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Default Extension="png" ContentType="image/png"/>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
        <w:rPr>
          <w:rFonts w:ascii="Times New Roman"/>
          <w:sz w:val="3"/>
        </w:rPr>
      </w:pPr>
    </w:p>
    <w:p>
      <w:pPr>
        <w:pStyle w:val="BodyText"/>
        <w:rPr>
          <w:rFonts w:ascii="Times New Roman"/>
        </w:rPr>
      </w:pPr>
      <w:r>
        <w:rPr>
          <w:rFonts w:ascii="Times New Roman"/>
        </w:rPr>
        <w:drawing>
          <wp:inline distT="0" distB="0" distL="0" distR="0">
            <wp:extent cx="7436732" cy="6356604"/>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436732" cy="6356604"/>
                    </a:xfrm>
                    <a:prstGeom prst="rect">
                      <a:avLst/>
                    </a:prstGeom>
                  </pic:spPr>
                </pic:pic>
              </a:graphicData>
            </a:graphic>
          </wp:inline>
        </w:drawing>
      </w:r>
      <w:r>
        <w:rPr>
          <w:rFonts w:ascii="Times New Roman"/>
        </w:rPr>
      </w:r>
    </w:p>
    <w:p>
      <w:pPr>
        <w:pStyle w:val="BodyText"/>
        <w:spacing w:before="8"/>
        <w:rPr>
          <w:rFonts w:ascii="Times New Roman"/>
          <w:sz w:val="7"/>
        </w:rPr>
      </w:pPr>
    </w:p>
    <w:p>
      <w:pPr>
        <w:spacing w:line="276" w:lineRule="auto" w:before="101"/>
        <w:ind w:left="3636" w:right="1436" w:hanging="778"/>
        <w:jc w:val="right"/>
        <w:rPr>
          <w:sz w:val="40"/>
        </w:rPr>
      </w:pPr>
      <w:r>
        <w:rPr>
          <w:sz w:val="40"/>
        </w:rPr>
        <w:t>Project commissioned by the Australian</w:t>
      </w:r>
      <w:r>
        <w:rPr>
          <w:spacing w:val="-108"/>
          <w:sz w:val="40"/>
        </w:rPr>
        <w:t> </w:t>
      </w:r>
      <w:r>
        <w:rPr>
          <w:sz w:val="40"/>
        </w:rPr>
        <w:t>Government</w:t>
      </w:r>
      <w:r>
        <w:rPr>
          <w:spacing w:val="-3"/>
          <w:sz w:val="40"/>
        </w:rPr>
        <w:t> </w:t>
      </w:r>
      <w:r>
        <w:rPr>
          <w:sz w:val="40"/>
        </w:rPr>
        <w:t>Department</w:t>
      </w:r>
      <w:r>
        <w:rPr>
          <w:spacing w:val="-3"/>
          <w:sz w:val="40"/>
        </w:rPr>
        <w:t> </w:t>
      </w:r>
      <w:r>
        <w:rPr>
          <w:sz w:val="40"/>
        </w:rPr>
        <w:t>of</w:t>
      </w:r>
      <w:r>
        <w:rPr>
          <w:spacing w:val="-7"/>
          <w:sz w:val="40"/>
        </w:rPr>
        <w:t> </w:t>
      </w:r>
      <w:r>
        <w:rPr>
          <w:sz w:val="40"/>
        </w:rPr>
        <w:t>Health</w:t>
      </w:r>
    </w:p>
    <w:p>
      <w:pPr>
        <w:spacing w:before="201"/>
        <w:ind w:left="0" w:right="1436" w:firstLine="0"/>
        <w:jc w:val="right"/>
        <w:rPr>
          <w:b/>
          <w:i/>
          <w:sz w:val="42"/>
        </w:rPr>
      </w:pPr>
      <w:r>
        <w:rPr>
          <w:b/>
          <w:i/>
          <w:color w:val="003C79"/>
          <w:sz w:val="42"/>
        </w:rPr>
        <w:t>Evaluation</w:t>
      </w:r>
      <w:r>
        <w:rPr>
          <w:b/>
          <w:i/>
          <w:color w:val="003C79"/>
          <w:spacing w:val="-2"/>
          <w:sz w:val="42"/>
        </w:rPr>
        <w:t> </w:t>
      </w:r>
      <w:r>
        <w:rPr>
          <w:b/>
          <w:i/>
          <w:color w:val="003C79"/>
          <w:sz w:val="42"/>
        </w:rPr>
        <w:t>of</w:t>
      </w:r>
      <w:r>
        <w:rPr>
          <w:b/>
          <w:i/>
          <w:color w:val="003C79"/>
          <w:spacing w:val="-3"/>
          <w:sz w:val="42"/>
        </w:rPr>
        <w:t> </w:t>
      </w:r>
      <w:r>
        <w:rPr>
          <w:b/>
          <w:i/>
          <w:color w:val="003C79"/>
          <w:sz w:val="42"/>
        </w:rPr>
        <w:t>the</w:t>
      </w:r>
      <w:r>
        <w:rPr>
          <w:b/>
          <w:i/>
          <w:color w:val="003C79"/>
          <w:spacing w:val="-1"/>
          <w:sz w:val="42"/>
        </w:rPr>
        <w:t> </w:t>
      </w:r>
      <w:r>
        <w:rPr>
          <w:b/>
          <w:i/>
          <w:color w:val="003C79"/>
          <w:sz w:val="42"/>
        </w:rPr>
        <w:t>Health</w:t>
      </w:r>
      <w:r>
        <w:rPr>
          <w:b/>
          <w:i/>
          <w:color w:val="003C79"/>
          <w:spacing w:val="-3"/>
          <w:sz w:val="42"/>
        </w:rPr>
        <w:t> </w:t>
      </w:r>
      <w:r>
        <w:rPr>
          <w:b/>
          <w:i/>
          <w:color w:val="003C79"/>
          <w:sz w:val="42"/>
        </w:rPr>
        <w:t>Care</w:t>
      </w:r>
      <w:r>
        <w:rPr>
          <w:b/>
          <w:i/>
          <w:color w:val="003C79"/>
          <w:spacing w:val="-1"/>
          <w:sz w:val="42"/>
        </w:rPr>
        <w:t> </w:t>
      </w:r>
      <w:r>
        <w:rPr>
          <w:b/>
          <w:i/>
          <w:color w:val="003C79"/>
          <w:sz w:val="42"/>
        </w:rPr>
        <w:t>Homes</w:t>
      </w:r>
    </w:p>
    <w:p>
      <w:pPr>
        <w:spacing w:before="76"/>
        <w:ind w:left="0" w:right="1434" w:firstLine="0"/>
        <w:jc w:val="right"/>
        <w:rPr>
          <w:b/>
          <w:i/>
          <w:sz w:val="42"/>
        </w:rPr>
      </w:pPr>
      <w:r>
        <w:rPr>
          <w:b/>
          <w:i/>
          <w:color w:val="003C79"/>
          <w:sz w:val="42"/>
        </w:rPr>
        <w:t>program</w:t>
      </w:r>
    </w:p>
    <w:p>
      <w:pPr>
        <w:spacing w:before="278"/>
        <w:ind w:left="0" w:right="1434" w:firstLine="0"/>
        <w:jc w:val="right"/>
        <w:rPr>
          <w:b/>
          <w:sz w:val="40"/>
        </w:rPr>
      </w:pPr>
      <w:r>
        <w:rPr>
          <w:b/>
          <w:color w:val="7E7E7E"/>
          <w:sz w:val="40"/>
        </w:rPr>
        <w:t>Evaluation</w:t>
      </w:r>
      <w:r>
        <w:rPr>
          <w:b/>
          <w:color w:val="7E7E7E"/>
          <w:spacing w:val="-4"/>
          <w:sz w:val="40"/>
        </w:rPr>
        <w:t> </w:t>
      </w:r>
      <w:r>
        <w:rPr>
          <w:b/>
          <w:color w:val="7E7E7E"/>
          <w:sz w:val="40"/>
        </w:rPr>
        <w:t>plan</w:t>
      </w:r>
    </w:p>
    <w:p>
      <w:pPr>
        <w:spacing w:after="0"/>
        <w:jc w:val="right"/>
        <w:rPr>
          <w:sz w:val="40"/>
        </w:rPr>
        <w:sectPr>
          <w:type w:val="continuous"/>
          <w:pgSz w:w="11910" w:h="16840"/>
          <w:pgMar w:top="1580" w:bottom="280" w:left="0" w:right="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sz w:val="15"/>
        </w:rPr>
      </w:pPr>
    </w:p>
    <w:p>
      <w:pPr>
        <w:pStyle w:val="Heading3"/>
        <w:spacing w:before="101"/>
      </w:pPr>
      <w:r>
        <w:rPr>
          <w:color w:val="003C79"/>
        </w:rPr>
        <w:t>Suggested</w:t>
      </w:r>
      <w:r>
        <w:rPr>
          <w:color w:val="003C79"/>
          <w:spacing w:val="-5"/>
        </w:rPr>
        <w:t> </w:t>
      </w:r>
      <w:r>
        <w:rPr>
          <w:color w:val="003C79"/>
        </w:rPr>
        <w:t>citation:</w:t>
      </w:r>
    </w:p>
    <w:p>
      <w:pPr>
        <w:spacing w:line="276" w:lineRule="auto" w:before="181"/>
        <w:ind w:left="1440" w:right="1520" w:firstLine="0"/>
        <w:jc w:val="left"/>
        <w:rPr>
          <w:rFonts w:ascii="Arial" w:hAnsi="Arial"/>
          <w:sz w:val="20"/>
        </w:rPr>
      </w:pPr>
      <w:r>
        <w:rPr>
          <w:sz w:val="20"/>
        </w:rPr>
        <w:t>Health Policy Analysis 2019. </w:t>
      </w:r>
      <w:r>
        <w:rPr>
          <w:i/>
          <w:sz w:val="20"/>
        </w:rPr>
        <w:t>Evaluation of the Health Care Homes program – Evaluation plan</w:t>
      </w:r>
      <w:r>
        <w:rPr>
          <w:sz w:val="20"/>
        </w:rPr>
        <w:t>.</w:t>
      </w:r>
      <w:r>
        <w:rPr>
          <w:spacing w:val="-53"/>
          <w:sz w:val="20"/>
        </w:rPr>
        <w:t> </w:t>
      </w:r>
      <w:r>
        <w:rPr>
          <w:sz w:val="20"/>
        </w:rPr>
        <w:t>Canberra:</w:t>
      </w:r>
      <w:r>
        <w:rPr>
          <w:spacing w:val="-4"/>
          <w:sz w:val="20"/>
        </w:rPr>
        <w:t> </w:t>
      </w:r>
      <w:r>
        <w:rPr>
          <w:sz w:val="20"/>
        </w:rPr>
        <w:t>Department</w:t>
      </w:r>
      <w:r>
        <w:rPr>
          <w:spacing w:val="1"/>
          <w:sz w:val="20"/>
        </w:rPr>
        <w:t> </w:t>
      </w:r>
      <w:r>
        <w:rPr>
          <w:sz w:val="20"/>
        </w:rPr>
        <w:t>of</w:t>
      </w:r>
      <w:r>
        <w:rPr>
          <w:spacing w:val="-1"/>
          <w:sz w:val="20"/>
        </w:rPr>
        <w:t> </w:t>
      </w:r>
      <w:r>
        <w:rPr>
          <w:sz w:val="20"/>
        </w:rPr>
        <w:t>Health</w:t>
      </w:r>
      <w:r>
        <w:rPr>
          <w:rFonts w:ascii="Arial" w:hAnsi="Arial"/>
          <w:sz w:val="20"/>
        </w:rPr>
        <w:t>.</w:t>
      </w:r>
    </w:p>
    <w:p>
      <w:pPr>
        <w:pStyle w:val="BodyText"/>
        <w:rPr>
          <w:rFonts w:ascii="Arial"/>
          <w:sz w:val="24"/>
        </w:rPr>
      </w:pPr>
    </w:p>
    <w:p>
      <w:pPr>
        <w:pStyle w:val="BodyText"/>
        <w:spacing w:before="1"/>
        <w:rPr>
          <w:rFonts w:ascii="Arial"/>
          <w:sz w:val="35"/>
        </w:rPr>
      </w:pPr>
    </w:p>
    <w:p>
      <w:pPr>
        <w:pStyle w:val="Heading3"/>
      </w:pPr>
      <w:r>
        <w:rPr>
          <w:color w:val="003C79"/>
        </w:rPr>
        <w:t>Disclaimer</w:t>
      </w:r>
    </w:p>
    <w:p>
      <w:pPr>
        <w:pStyle w:val="BodyText"/>
        <w:spacing w:line="276" w:lineRule="auto" w:before="181"/>
        <w:ind w:left="1440" w:right="1509"/>
      </w:pPr>
      <w:r>
        <w:rPr/>
        <w:t>Neither Health Policy Analysis nor any employee nor sub-contractor undertakes responsibility</w:t>
      </w:r>
      <w:r>
        <w:rPr>
          <w:spacing w:val="-53"/>
        </w:rPr>
        <w:t> </w:t>
      </w:r>
      <w:r>
        <w:rPr/>
        <w:t>in any way whatsoever to any person or organisation (other than the Australian Government</w:t>
      </w:r>
      <w:r>
        <w:rPr>
          <w:spacing w:val="-53"/>
        </w:rPr>
        <w:t> </w:t>
      </w:r>
      <w:r>
        <w:rPr/>
        <w:t>Department of Health) in respect of information set out in this report, including any errors or</w:t>
      </w:r>
      <w:r>
        <w:rPr>
          <w:spacing w:val="1"/>
        </w:rPr>
        <w:t> </w:t>
      </w:r>
      <w:r>
        <w:rPr/>
        <w:t>omissions</w:t>
      </w:r>
      <w:r>
        <w:rPr>
          <w:spacing w:val="-2"/>
        </w:rPr>
        <w:t> </w:t>
      </w:r>
      <w:r>
        <w:rPr/>
        <w:t>therein,</w:t>
      </w:r>
      <w:r>
        <w:rPr>
          <w:spacing w:val="-4"/>
        </w:rPr>
        <w:t> </w:t>
      </w:r>
      <w:r>
        <w:rPr/>
        <w:t>arising</w:t>
      </w:r>
      <w:r>
        <w:rPr>
          <w:spacing w:val="-1"/>
        </w:rPr>
        <w:t> </w:t>
      </w:r>
      <w:r>
        <w:rPr/>
        <w:t>through</w:t>
      </w:r>
      <w:r>
        <w:rPr>
          <w:spacing w:val="-1"/>
        </w:rPr>
        <w:t> </w:t>
      </w:r>
      <w:r>
        <w:rPr/>
        <w:t>negligence</w:t>
      </w:r>
      <w:r>
        <w:rPr>
          <w:spacing w:val="-1"/>
        </w:rPr>
        <w:t> </w:t>
      </w:r>
      <w:r>
        <w:rPr/>
        <w:t>or</w:t>
      </w:r>
      <w:r>
        <w:rPr>
          <w:spacing w:val="-2"/>
        </w:rPr>
        <w:t> </w:t>
      </w:r>
      <w:r>
        <w:rPr/>
        <w:t>otherwise,</w:t>
      </w:r>
      <w:r>
        <w:rPr>
          <w:spacing w:val="-3"/>
        </w:rPr>
        <w:t> </w:t>
      </w:r>
      <w:r>
        <w:rPr/>
        <w:t>however</w:t>
      </w:r>
      <w:r>
        <w:rPr>
          <w:spacing w:val="-2"/>
        </w:rPr>
        <w:t> </w:t>
      </w:r>
      <w:r>
        <w:rPr/>
        <w:t>caused.</w:t>
      </w:r>
    </w:p>
    <w:p>
      <w:pPr>
        <w:pStyle w:val="BodyText"/>
        <w:rPr>
          <w:sz w:val="24"/>
        </w:rPr>
      </w:pPr>
    </w:p>
    <w:p>
      <w:pPr>
        <w:pStyle w:val="BodyText"/>
        <w:spacing w:before="7"/>
        <w:rPr>
          <w:sz w:val="31"/>
        </w:rPr>
      </w:pPr>
    </w:p>
    <w:p>
      <w:pPr>
        <w:spacing w:before="0"/>
        <w:ind w:left="1440" w:right="0" w:firstLine="0"/>
        <w:jc w:val="left"/>
        <w:rPr>
          <w:b/>
          <w:sz w:val="36"/>
        </w:rPr>
      </w:pPr>
      <w:r>
        <w:rPr>
          <w:b/>
          <w:color w:val="003C79"/>
          <w:sz w:val="36"/>
        </w:rPr>
        <w:t>Health</w:t>
      </w:r>
      <w:r>
        <w:rPr>
          <w:b/>
          <w:color w:val="003C79"/>
          <w:spacing w:val="-4"/>
          <w:sz w:val="36"/>
        </w:rPr>
        <w:t> </w:t>
      </w:r>
      <w:r>
        <w:rPr>
          <w:b/>
          <w:color w:val="003C79"/>
          <w:sz w:val="36"/>
        </w:rPr>
        <w:t>Policy</w:t>
      </w:r>
      <w:r>
        <w:rPr>
          <w:b/>
          <w:color w:val="003C79"/>
          <w:spacing w:val="-2"/>
          <w:sz w:val="36"/>
        </w:rPr>
        <w:t> </w:t>
      </w:r>
      <w:r>
        <w:rPr>
          <w:b/>
          <w:color w:val="003C79"/>
          <w:sz w:val="36"/>
        </w:rPr>
        <w:t>Analysis</w:t>
      </w:r>
      <w:r>
        <w:rPr>
          <w:b/>
          <w:color w:val="003C79"/>
          <w:spacing w:val="-2"/>
          <w:sz w:val="36"/>
        </w:rPr>
        <w:t> </w:t>
      </w:r>
      <w:r>
        <w:rPr>
          <w:b/>
          <w:color w:val="003C79"/>
          <w:sz w:val="36"/>
        </w:rPr>
        <w:t>Pty</w:t>
      </w:r>
      <w:r>
        <w:rPr>
          <w:b/>
          <w:color w:val="003C79"/>
          <w:spacing w:val="-3"/>
          <w:sz w:val="36"/>
        </w:rPr>
        <w:t> </w:t>
      </w:r>
      <w:r>
        <w:rPr>
          <w:b/>
          <w:color w:val="003C79"/>
          <w:sz w:val="36"/>
        </w:rPr>
        <w:t>Ltd</w:t>
      </w:r>
    </w:p>
    <w:p>
      <w:pPr>
        <w:pStyle w:val="Heading6"/>
        <w:spacing w:before="267"/>
        <w:ind w:left="1440"/>
      </w:pPr>
      <w:r>
        <w:rPr>
          <w:color w:val="003C79"/>
        </w:rPr>
        <w:t>Suite</w:t>
      </w:r>
      <w:r>
        <w:rPr>
          <w:color w:val="003C79"/>
          <w:spacing w:val="-3"/>
        </w:rPr>
        <w:t> </w:t>
      </w:r>
      <w:r>
        <w:rPr>
          <w:color w:val="003C79"/>
        </w:rPr>
        <w:t>101,</w:t>
      </w:r>
      <w:r>
        <w:rPr>
          <w:color w:val="003C79"/>
          <w:spacing w:val="-2"/>
        </w:rPr>
        <w:t> </w:t>
      </w:r>
      <w:r>
        <w:rPr>
          <w:color w:val="003C79"/>
        </w:rPr>
        <w:t>30</w:t>
      </w:r>
      <w:r>
        <w:rPr>
          <w:color w:val="003C79"/>
          <w:spacing w:val="-3"/>
        </w:rPr>
        <w:t> </w:t>
      </w:r>
      <w:r>
        <w:rPr>
          <w:color w:val="003C79"/>
        </w:rPr>
        <w:t>Atchison</w:t>
      </w:r>
      <w:r>
        <w:rPr>
          <w:color w:val="003C79"/>
          <w:spacing w:val="-1"/>
        </w:rPr>
        <w:t> </w:t>
      </w:r>
      <w:r>
        <w:rPr>
          <w:color w:val="003C79"/>
        </w:rPr>
        <w:t>Street,</w:t>
      </w:r>
      <w:r>
        <w:rPr>
          <w:color w:val="003C79"/>
          <w:spacing w:val="-4"/>
        </w:rPr>
        <w:t> </w:t>
      </w:r>
      <w:r>
        <w:rPr>
          <w:color w:val="003C79"/>
        </w:rPr>
        <w:t>St</w:t>
      </w:r>
      <w:r>
        <w:rPr>
          <w:color w:val="003C79"/>
          <w:spacing w:val="-4"/>
        </w:rPr>
        <w:t> </w:t>
      </w:r>
      <w:r>
        <w:rPr>
          <w:color w:val="003C79"/>
        </w:rPr>
        <w:t>Leonards</w:t>
      </w:r>
      <w:r>
        <w:rPr>
          <w:color w:val="003C79"/>
          <w:spacing w:val="4"/>
        </w:rPr>
        <w:t> </w:t>
      </w:r>
      <w:r>
        <w:rPr>
          <w:color w:val="003C79"/>
        </w:rPr>
        <w:t>NSW</w:t>
      </w:r>
      <w:r>
        <w:rPr>
          <w:color w:val="003C79"/>
          <w:spacing w:val="-1"/>
        </w:rPr>
        <w:t> </w:t>
      </w:r>
      <w:r>
        <w:rPr>
          <w:color w:val="003C79"/>
        </w:rPr>
        <w:t>2065</w:t>
      </w:r>
    </w:p>
    <w:p>
      <w:pPr>
        <w:pStyle w:val="Heading6"/>
        <w:spacing w:before="158"/>
        <w:ind w:left="1440"/>
      </w:pPr>
      <w:r>
        <w:rPr>
          <w:color w:val="003C79"/>
        </w:rPr>
        <w:t>ABN:</w:t>
      </w:r>
      <w:r>
        <w:rPr>
          <w:color w:val="003C79"/>
          <w:spacing w:val="-3"/>
        </w:rPr>
        <w:t> </w:t>
      </w:r>
      <w:r>
        <w:rPr>
          <w:color w:val="003C79"/>
        </w:rPr>
        <w:t>54</w:t>
      </w:r>
      <w:r>
        <w:rPr>
          <w:color w:val="003C79"/>
          <w:spacing w:val="-2"/>
        </w:rPr>
        <w:t> </w:t>
      </w:r>
      <w:r>
        <w:rPr>
          <w:color w:val="003C79"/>
        </w:rPr>
        <w:t>105</w:t>
      </w:r>
      <w:r>
        <w:rPr>
          <w:color w:val="003C79"/>
          <w:spacing w:val="-2"/>
        </w:rPr>
        <w:t> </w:t>
      </w:r>
      <w:r>
        <w:rPr>
          <w:color w:val="003C79"/>
        </w:rPr>
        <w:t>830</w:t>
      </w:r>
      <w:r>
        <w:rPr>
          <w:color w:val="003C79"/>
          <w:spacing w:val="-3"/>
        </w:rPr>
        <w:t> </w:t>
      </w:r>
      <w:r>
        <w:rPr>
          <w:color w:val="003C79"/>
        </w:rPr>
        <w:t>920</w:t>
      </w:r>
    </w:p>
    <w:p>
      <w:pPr>
        <w:pStyle w:val="Heading6"/>
        <w:spacing w:before="156"/>
        <w:ind w:left="1440"/>
      </w:pPr>
      <w:r>
        <w:rPr>
          <w:color w:val="003C79"/>
        </w:rPr>
        <w:t>Phone:</w:t>
      </w:r>
      <w:r>
        <w:rPr>
          <w:color w:val="003C79"/>
          <w:spacing w:val="-5"/>
        </w:rPr>
        <w:t> </w:t>
      </w:r>
      <w:r>
        <w:rPr>
          <w:color w:val="003C79"/>
        </w:rPr>
        <w:t>+61</w:t>
      </w:r>
      <w:r>
        <w:rPr>
          <w:color w:val="003C79"/>
          <w:spacing w:val="-3"/>
        </w:rPr>
        <w:t> </w:t>
      </w:r>
      <w:r>
        <w:rPr>
          <w:color w:val="003C79"/>
        </w:rPr>
        <w:t>2</w:t>
      </w:r>
      <w:r>
        <w:rPr>
          <w:color w:val="003C79"/>
          <w:spacing w:val="-3"/>
        </w:rPr>
        <w:t> </w:t>
      </w:r>
      <w:r>
        <w:rPr>
          <w:color w:val="003C79"/>
        </w:rPr>
        <w:t>8065</w:t>
      </w:r>
      <w:r>
        <w:rPr>
          <w:color w:val="003C79"/>
          <w:spacing w:val="-3"/>
        </w:rPr>
        <w:t> </w:t>
      </w:r>
      <w:r>
        <w:rPr>
          <w:color w:val="003C79"/>
        </w:rPr>
        <w:t>6491</w:t>
      </w:r>
    </w:p>
    <w:p>
      <w:pPr>
        <w:spacing w:after="0"/>
        <w:sectPr>
          <w:pgSz w:w="11910" w:h="16840"/>
          <w:pgMar w:top="1580" w:bottom="280" w:left="0" w:right="0"/>
        </w:sectPr>
      </w:pPr>
    </w:p>
    <w:p>
      <w:pPr>
        <w:spacing w:before="82"/>
        <w:ind w:left="1440" w:right="0" w:firstLine="0"/>
        <w:jc w:val="left"/>
        <w:rPr>
          <w:sz w:val="72"/>
        </w:rPr>
      </w:pPr>
      <w:r>
        <w:rPr>
          <w:color w:val="003C79"/>
          <w:sz w:val="72"/>
        </w:rPr>
        <w:t>Table of</w:t>
      </w:r>
      <w:r>
        <w:rPr>
          <w:color w:val="003C79"/>
          <w:spacing w:val="-3"/>
          <w:sz w:val="72"/>
        </w:rPr>
        <w:t> </w:t>
      </w:r>
      <w:r>
        <w:rPr>
          <w:color w:val="003C79"/>
          <w:sz w:val="72"/>
        </w:rPr>
        <w:t>contents</w:t>
      </w:r>
    </w:p>
    <w:p>
      <w:pPr>
        <w:spacing w:after="0"/>
        <w:jc w:val="left"/>
        <w:rPr>
          <w:sz w:val="72"/>
        </w:rPr>
        <w:sectPr>
          <w:pgSz w:w="11910" w:h="16840"/>
          <w:pgMar w:top="1340" w:bottom="1440" w:left="0" w:right="0"/>
        </w:sectPr>
      </w:pPr>
    </w:p>
    <w:sdt>
      <w:sdtPr>
        <w:docPartObj>
          <w:docPartGallery w:val="Table of Contents"/>
          <w:docPartUnique/>
        </w:docPartObj>
      </w:sdtPr>
      <w:sdtEndPr/>
      <w:sdtContent>
        <w:p>
          <w:pPr>
            <w:pStyle w:val="TOC1"/>
            <w:tabs>
              <w:tab w:pos="10467" w:val="right" w:leader="dot"/>
            </w:tabs>
            <w:spacing w:before="200"/>
            <w:ind w:left="1298" w:firstLine="0"/>
            <w:rPr>
              <w:i/>
            </w:rPr>
          </w:pPr>
          <w:hyperlink w:history="true" w:anchor="_bookmark0">
            <w:r>
              <w:rPr>
                <w:i/>
                <w:color w:val="003C79"/>
              </w:rPr>
              <w:t>A</w:t>
            </w:r>
          </w:hyperlink>
          <w:hyperlink w:history="true" w:anchor="_bookmark0">
            <w:r>
              <w:rPr>
                <w:i/>
                <w:color w:val="003C79"/>
              </w:rPr>
              <w:t>bbreviations</w:t>
              <w:tab/>
              <w:t>i</w:t>
            </w:r>
          </w:hyperlink>
        </w:p>
        <w:p>
          <w:pPr>
            <w:pStyle w:val="TOC1"/>
            <w:tabs>
              <w:tab w:pos="10468" w:val="right" w:leader="dot"/>
            </w:tabs>
            <w:ind w:left="1298" w:firstLine="0"/>
            <w:rPr>
              <w:i/>
            </w:rPr>
          </w:pPr>
          <w:hyperlink w:history="true" w:anchor="_bookmark1">
            <w:r>
              <w:rPr>
                <w:i/>
                <w:color w:val="003C79"/>
              </w:rPr>
              <w:t>E</w:t>
            </w:r>
          </w:hyperlink>
          <w:hyperlink w:history="true" w:anchor="_bookmark1">
            <w:r>
              <w:rPr>
                <w:i/>
                <w:color w:val="003C79"/>
              </w:rPr>
              <w:t>xecutive</w:t>
            </w:r>
            <w:r>
              <w:rPr>
                <w:i/>
                <w:color w:val="003C79"/>
                <w:spacing w:val="-2"/>
              </w:rPr>
              <w:t> </w:t>
            </w:r>
            <w:r>
              <w:rPr>
                <w:i/>
                <w:color w:val="003C79"/>
              </w:rPr>
              <w:t>summary</w:t>
              <w:tab/>
              <w:t>1</w:t>
            </w:r>
          </w:hyperlink>
        </w:p>
        <w:p>
          <w:pPr>
            <w:pStyle w:val="TOC2"/>
            <w:tabs>
              <w:tab w:pos="10468" w:val="right" w:leader="dot"/>
            </w:tabs>
            <w:spacing w:before="137"/>
          </w:pPr>
          <w:hyperlink w:history="true" w:anchor="_bookmark2">
            <w:r>
              <w:rPr>
                <w:color w:val="003C79"/>
              </w:rPr>
              <w:t>E</w:t>
            </w:r>
          </w:hyperlink>
          <w:hyperlink w:history="true" w:anchor="_bookmark2">
            <w:r>
              <w:rPr>
                <w:color w:val="003C79"/>
              </w:rPr>
              <w:t>valuation</w:t>
            </w:r>
            <w:r>
              <w:rPr>
                <w:color w:val="003C79"/>
                <w:spacing w:val="-1"/>
              </w:rPr>
              <w:t> </w:t>
            </w:r>
            <w:r>
              <w:rPr>
                <w:color w:val="003C79"/>
              </w:rPr>
              <w:t>questions</w:t>
              <w:tab/>
              <w:t>2</w:t>
            </w:r>
          </w:hyperlink>
        </w:p>
        <w:p>
          <w:pPr>
            <w:pStyle w:val="TOC2"/>
            <w:tabs>
              <w:tab w:pos="10468" w:val="right" w:leader="dot"/>
            </w:tabs>
            <w:spacing w:before="138"/>
          </w:pPr>
          <w:hyperlink w:history="true" w:anchor="_bookmark3">
            <w:r>
              <w:rPr>
                <w:color w:val="003C79"/>
              </w:rPr>
              <w:t>E</w:t>
            </w:r>
          </w:hyperlink>
          <w:hyperlink w:history="true" w:anchor="_bookmark3">
            <w:r>
              <w:rPr>
                <w:color w:val="003C79"/>
              </w:rPr>
              <w:t>valuation</w:t>
            </w:r>
            <w:r>
              <w:rPr>
                <w:color w:val="003C79"/>
                <w:spacing w:val="-1"/>
              </w:rPr>
              <w:t> </w:t>
            </w:r>
            <w:r>
              <w:rPr>
                <w:color w:val="003C79"/>
              </w:rPr>
              <w:t>design</w:t>
              <w:tab/>
              <w:t>3</w:t>
            </w:r>
          </w:hyperlink>
        </w:p>
        <w:p>
          <w:pPr>
            <w:pStyle w:val="TOC1"/>
            <w:numPr>
              <w:ilvl w:val="0"/>
              <w:numId w:val="1"/>
            </w:numPr>
            <w:tabs>
              <w:tab w:pos="1668" w:val="left" w:leader="none"/>
              <w:tab w:pos="1669" w:val="left" w:leader="none"/>
              <w:tab w:pos="10468" w:val="right" w:leader="dot"/>
            </w:tabs>
            <w:spacing w:line="240" w:lineRule="auto" w:before="137" w:after="0"/>
            <w:ind w:left="1668" w:right="0" w:hanging="371"/>
            <w:jc w:val="left"/>
            <w:rPr>
              <w:i/>
            </w:rPr>
          </w:pPr>
          <w:hyperlink w:history="true" w:anchor="_bookmark5">
            <w:r>
              <w:rPr>
                <w:i/>
                <w:color w:val="003C79"/>
              </w:rPr>
              <w:t>Introduction</w:t>
              <w:tab/>
              <w:t>5</w:t>
            </w:r>
          </w:hyperlink>
        </w:p>
        <w:p>
          <w:pPr>
            <w:pStyle w:val="TOC2"/>
            <w:tabs>
              <w:tab w:pos="10468" w:val="right" w:leader="dot"/>
            </w:tabs>
          </w:pPr>
          <w:hyperlink w:history="true" w:anchor="_bookmark6">
            <w:r>
              <w:rPr>
                <w:color w:val="003C79"/>
              </w:rPr>
              <w:t>H</w:t>
            </w:r>
          </w:hyperlink>
          <w:hyperlink w:history="true" w:anchor="_bookmark6">
            <w:r>
              <w:rPr>
                <w:color w:val="003C79"/>
              </w:rPr>
              <w:t>ealth</w:t>
            </w:r>
            <w:r>
              <w:rPr>
                <w:color w:val="003C79"/>
                <w:spacing w:val="-1"/>
              </w:rPr>
              <w:t> </w:t>
            </w:r>
            <w:r>
              <w:rPr>
                <w:color w:val="003C79"/>
              </w:rPr>
              <w:t>Care</w:t>
            </w:r>
            <w:r>
              <w:rPr>
                <w:color w:val="003C79"/>
                <w:spacing w:val="-1"/>
              </w:rPr>
              <w:t> </w:t>
            </w:r>
            <w:r>
              <w:rPr>
                <w:color w:val="003C79"/>
              </w:rPr>
              <w:t>Homes</w:t>
              <w:tab/>
              <w:t>5</w:t>
            </w:r>
          </w:hyperlink>
        </w:p>
        <w:p>
          <w:pPr>
            <w:pStyle w:val="TOC2"/>
            <w:tabs>
              <w:tab w:pos="10468" w:val="right" w:leader="dot"/>
            </w:tabs>
            <w:spacing w:before="137"/>
          </w:pPr>
          <w:hyperlink w:history="true" w:anchor="_bookmark7">
            <w:r>
              <w:rPr>
                <w:color w:val="003C79"/>
              </w:rPr>
              <w:t>T</w:t>
            </w:r>
          </w:hyperlink>
          <w:hyperlink w:history="true" w:anchor="_bookmark7">
            <w:r>
              <w:rPr>
                <w:color w:val="003C79"/>
              </w:rPr>
              <w:t>he</w:t>
            </w:r>
            <w:r>
              <w:rPr>
                <w:color w:val="003C79"/>
                <w:spacing w:val="-1"/>
              </w:rPr>
              <w:t> </w:t>
            </w:r>
            <w:r>
              <w:rPr>
                <w:color w:val="003C79"/>
              </w:rPr>
              <w:t>Health Care</w:t>
            </w:r>
            <w:r>
              <w:rPr>
                <w:color w:val="003C79"/>
                <w:spacing w:val="-1"/>
              </w:rPr>
              <w:t> </w:t>
            </w:r>
            <w:r>
              <w:rPr>
                <w:color w:val="003C79"/>
              </w:rPr>
              <w:t>Homes</w:t>
            </w:r>
            <w:r>
              <w:rPr>
                <w:color w:val="003C79"/>
                <w:spacing w:val="1"/>
              </w:rPr>
              <w:t> </w:t>
            </w:r>
            <w:r>
              <w:rPr>
                <w:color w:val="003C79"/>
              </w:rPr>
              <w:t>trial</w:t>
              <w:tab/>
              <w:t>6</w:t>
            </w:r>
          </w:hyperlink>
        </w:p>
        <w:p>
          <w:pPr>
            <w:pStyle w:val="TOC2"/>
            <w:tabs>
              <w:tab w:pos="10468" w:val="right" w:leader="dot"/>
            </w:tabs>
          </w:pPr>
          <w:hyperlink w:history="true" w:anchor="_bookmark8">
            <w:r>
              <w:rPr>
                <w:color w:val="003C79"/>
              </w:rPr>
              <w:t>H</w:t>
            </w:r>
          </w:hyperlink>
          <w:hyperlink w:history="true" w:anchor="_bookmark8">
            <w:r>
              <w:rPr>
                <w:color w:val="003C79"/>
              </w:rPr>
              <w:t>CH</w:t>
            </w:r>
            <w:r>
              <w:rPr>
                <w:color w:val="003C79"/>
                <w:spacing w:val="-1"/>
              </w:rPr>
              <w:t> </w:t>
            </w:r>
            <w:r>
              <w:rPr>
                <w:color w:val="003C79"/>
              </w:rPr>
              <w:t>evaluation</w:t>
              <w:tab/>
              <w:t>7</w:t>
            </w:r>
          </w:hyperlink>
        </w:p>
        <w:p>
          <w:pPr>
            <w:pStyle w:val="TOC2"/>
            <w:tabs>
              <w:tab w:pos="10468" w:val="right" w:leader="dot"/>
            </w:tabs>
            <w:spacing w:before="137"/>
          </w:pPr>
          <w:hyperlink w:history="true" w:anchor="_bookmark10">
            <w:r>
              <w:rPr>
                <w:color w:val="003C79"/>
              </w:rPr>
              <w:t>De</w:t>
            </w:r>
          </w:hyperlink>
          <w:hyperlink w:history="true" w:anchor="_bookmark10">
            <w:r>
              <w:rPr>
                <w:color w:val="003C79"/>
              </w:rPr>
              <w:t>velopment of</w:t>
            </w:r>
            <w:r>
              <w:rPr>
                <w:color w:val="003C79"/>
                <w:spacing w:val="-1"/>
              </w:rPr>
              <w:t> </w:t>
            </w:r>
            <w:r>
              <w:rPr>
                <w:color w:val="003C79"/>
              </w:rPr>
              <w:t>the</w:t>
            </w:r>
            <w:r>
              <w:rPr>
                <w:color w:val="003C79"/>
                <w:spacing w:val="-1"/>
              </w:rPr>
              <w:t> </w:t>
            </w:r>
            <w:r>
              <w:rPr>
                <w:color w:val="003C79"/>
              </w:rPr>
              <w:t>evaluation plan</w:t>
              <w:tab/>
              <w:t>8</w:t>
            </w:r>
          </w:hyperlink>
        </w:p>
        <w:p>
          <w:pPr>
            <w:pStyle w:val="TOC1"/>
            <w:numPr>
              <w:ilvl w:val="0"/>
              <w:numId w:val="1"/>
            </w:numPr>
            <w:tabs>
              <w:tab w:pos="1668" w:val="left" w:leader="none"/>
              <w:tab w:pos="1669" w:val="left" w:leader="none"/>
              <w:tab w:pos="10468" w:val="right" w:leader="dot"/>
            </w:tabs>
            <w:spacing w:line="240" w:lineRule="auto" w:before="139" w:after="0"/>
            <w:ind w:left="1668" w:right="0" w:hanging="371"/>
            <w:jc w:val="left"/>
            <w:rPr>
              <w:i/>
            </w:rPr>
          </w:pPr>
          <w:hyperlink w:history="true" w:anchor="_bookmark11">
            <w:r>
              <w:rPr>
                <w:i/>
                <w:color w:val="003C79"/>
              </w:rPr>
              <w:t>HCH</w:t>
            </w:r>
            <w:r>
              <w:rPr>
                <w:i/>
                <w:color w:val="003C79"/>
                <w:spacing w:val="-1"/>
              </w:rPr>
              <w:t> </w:t>
            </w:r>
            <w:r>
              <w:rPr>
                <w:i/>
                <w:color w:val="003C79"/>
              </w:rPr>
              <w:t>theory of</w:t>
            </w:r>
            <w:r>
              <w:rPr>
                <w:i/>
                <w:color w:val="003C79"/>
                <w:spacing w:val="1"/>
              </w:rPr>
              <w:t> </w:t>
            </w:r>
            <w:r>
              <w:rPr>
                <w:i/>
                <w:color w:val="003C79"/>
              </w:rPr>
              <w:t>change</w:t>
            </w:r>
            <w:r>
              <w:rPr>
                <w:i/>
                <w:color w:val="003C79"/>
                <w:spacing w:val="-1"/>
              </w:rPr>
              <w:t> </w:t>
            </w:r>
            <w:r>
              <w:rPr>
                <w:i/>
                <w:color w:val="003C79"/>
              </w:rPr>
              <w:t>and</w:t>
            </w:r>
            <w:r>
              <w:rPr>
                <w:i/>
                <w:color w:val="003C79"/>
                <w:spacing w:val="-1"/>
              </w:rPr>
              <w:t> </w:t>
            </w:r>
            <w:r>
              <w:rPr>
                <w:i/>
                <w:color w:val="003C79"/>
              </w:rPr>
              <w:t>logic</w:t>
            </w:r>
            <w:r>
              <w:rPr>
                <w:i/>
                <w:color w:val="003C79"/>
                <w:spacing w:val="-3"/>
              </w:rPr>
              <w:t> </w:t>
            </w:r>
            <w:r>
              <w:rPr>
                <w:i/>
                <w:color w:val="003C79"/>
              </w:rPr>
              <w:t>model</w:t>
              <w:tab/>
              <w:t>10</w:t>
            </w:r>
          </w:hyperlink>
        </w:p>
        <w:p>
          <w:pPr>
            <w:pStyle w:val="TOC2"/>
            <w:tabs>
              <w:tab w:pos="10468" w:val="right" w:leader="dot"/>
            </w:tabs>
          </w:pPr>
          <w:hyperlink w:history="true" w:anchor="_bookmark12">
            <w:r>
              <w:rPr>
                <w:color w:val="003C79"/>
              </w:rPr>
              <w:t>H</w:t>
            </w:r>
          </w:hyperlink>
          <w:hyperlink w:history="true" w:anchor="_bookmark12">
            <w:r>
              <w:rPr>
                <w:color w:val="003C79"/>
              </w:rPr>
              <w:t>CH</w:t>
            </w:r>
            <w:r>
              <w:rPr>
                <w:color w:val="003C79"/>
                <w:spacing w:val="-1"/>
              </w:rPr>
              <w:t> </w:t>
            </w:r>
            <w:r>
              <w:rPr>
                <w:color w:val="003C79"/>
              </w:rPr>
              <w:t>theory of</w:t>
            </w:r>
            <w:r>
              <w:rPr>
                <w:color w:val="003C79"/>
                <w:spacing w:val="-1"/>
              </w:rPr>
              <w:t> </w:t>
            </w:r>
            <w:r>
              <w:rPr>
                <w:color w:val="003C79"/>
              </w:rPr>
              <w:t>change</w:t>
              <w:tab/>
              <w:t>10</w:t>
            </w:r>
          </w:hyperlink>
        </w:p>
        <w:p>
          <w:pPr>
            <w:pStyle w:val="TOC2"/>
            <w:tabs>
              <w:tab w:pos="10468" w:val="right" w:leader="dot"/>
            </w:tabs>
          </w:pPr>
          <w:hyperlink w:history="true" w:anchor="_bookmark14">
            <w:r>
              <w:rPr>
                <w:color w:val="003C79"/>
              </w:rPr>
              <w:t>Pro</w:t>
            </w:r>
          </w:hyperlink>
          <w:hyperlink w:history="true" w:anchor="_bookmark14">
            <w:r>
              <w:rPr>
                <w:color w:val="003C79"/>
              </w:rPr>
              <w:t>gram</w:t>
            </w:r>
            <w:r>
              <w:rPr>
                <w:color w:val="003C79"/>
                <w:spacing w:val="-2"/>
              </w:rPr>
              <w:t> </w:t>
            </w:r>
            <w:r>
              <w:rPr>
                <w:color w:val="003C79"/>
              </w:rPr>
              <w:t>logic</w:t>
              <w:tab/>
              <w:t>12</w:t>
            </w:r>
          </w:hyperlink>
        </w:p>
        <w:p>
          <w:pPr>
            <w:pStyle w:val="TOC2"/>
            <w:tabs>
              <w:tab w:pos="10468" w:val="right" w:leader="dot"/>
            </w:tabs>
            <w:spacing w:before="137"/>
          </w:pPr>
          <w:hyperlink w:history="true" w:anchor="_bookmark16">
            <w:r>
              <w:rPr>
                <w:color w:val="003C79"/>
              </w:rPr>
              <w:t>De</w:t>
            </w:r>
          </w:hyperlink>
          <w:hyperlink w:history="true" w:anchor="_bookmark16">
            <w:r>
              <w:rPr>
                <w:color w:val="003C79"/>
              </w:rPr>
              <w:t>fining</w:t>
            </w:r>
            <w:r>
              <w:rPr>
                <w:color w:val="003C79"/>
                <w:spacing w:val="-2"/>
              </w:rPr>
              <w:t> </w:t>
            </w:r>
            <w:r>
              <w:rPr>
                <w:color w:val="003C79"/>
              </w:rPr>
              <w:t>success</w:t>
              <w:tab/>
              <w:t>16</w:t>
            </w:r>
          </w:hyperlink>
        </w:p>
        <w:p>
          <w:pPr>
            <w:pStyle w:val="TOC1"/>
            <w:numPr>
              <w:ilvl w:val="0"/>
              <w:numId w:val="1"/>
            </w:numPr>
            <w:tabs>
              <w:tab w:pos="1668" w:val="left" w:leader="none"/>
              <w:tab w:pos="1669" w:val="left" w:leader="none"/>
              <w:tab w:pos="10468" w:val="right" w:leader="dot"/>
            </w:tabs>
            <w:spacing w:line="240" w:lineRule="auto" w:before="136" w:after="0"/>
            <w:ind w:left="1668" w:right="0" w:hanging="371"/>
            <w:jc w:val="left"/>
            <w:rPr>
              <w:i/>
            </w:rPr>
          </w:pPr>
          <w:hyperlink w:history="true" w:anchor="_bookmark17">
            <w:r>
              <w:rPr>
                <w:i/>
                <w:color w:val="003C79"/>
              </w:rPr>
              <w:t>Evaluation</w:t>
            </w:r>
            <w:r>
              <w:rPr>
                <w:i/>
                <w:color w:val="003C79"/>
                <w:spacing w:val="-1"/>
              </w:rPr>
              <w:t> </w:t>
            </w:r>
            <w:r>
              <w:rPr>
                <w:i/>
                <w:color w:val="003C79"/>
              </w:rPr>
              <w:t>questions</w:t>
              <w:tab/>
              <w:t>17</w:t>
            </w:r>
          </w:hyperlink>
        </w:p>
        <w:p>
          <w:pPr>
            <w:pStyle w:val="TOC1"/>
            <w:numPr>
              <w:ilvl w:val="0"/>
              <w:numId w:val="1"/>
            </w:numPr>
            <w:tabs>
              <w:tab w:pos="1668" w:val="left" w:leader="none"/>
              <w:tab w:pos="1669" w:val="left" w:leader="none"/>
              <w:tab w:pos="10468" w:val="right" w:leader="dot"/>
            </w:tabs>
            <w:spacing w:line="240" w:lineRule="auto" w:before="137" w:after="0"/>
            <w:ind w:left="1668" w:right="0" w:hanging="371"/>
            <w:jc w:val="left"/>
            <w:rPr>
              <w:i/>
            </w:rPr>
          </w:pPr>
          <w:hyperlink w:history="true" w:anchor="_bookmark23">
            <w:r>
              <w:rPr>
                <w:i/>
                <w:color w:val="003C79"/>
              </w:rPr>
              <w:t>Evaluation</w:t>
            </w:r>
            <w:r>
              <w:rPr>
                <w:i/>
                <w:color w:val="003C79"/>
                <w:spacing w:val="-1"/>
              </w:rPr>
              <w:t> </w:t>
            </w:r>
            <w:r>
              <w:rPr>
                <w:i/>
                <w:color w:val="003C79"/>
              </w:rPr>
              <w:t>design</w:t>
              <w:tab/>
              <w:t>41</w:t>
            </w:r>
          </w:hyperlink>
        </w:p>
        <w:p>
          <w:pPr>
            <w:pStyle w:val="TOC2"/>
            <w:tabs>
              <w:tab w:pos="10468" w:val="right" w:leader="dot"/>
            </w:tabs>
            <w:spacing w:before="139"/>
          </w:pPr>
          <w:hyperlink w:history="true" w:anchor="_bookmark24">
            <w:r>
              <w:rPr>
                <w:color w:val="003C79"/>
              </w:rPr>
              <w:t>Overvi</w:t>
            </w:r>
          </w:hyperlink>
          <w:hyperlink w:history="true" w:anchor="_bookmark24">
            <w:r>
              <w:rPr>
                <w:color w:val="003C79"/>
              </w:rPr>
              <w:t>ew</w:t>
              <w:tab/>
              <w:t>41</w:t>
            </w:r>
          </w:hyperlink>
        </w:p>
        <w:p>
          <w:pPr>
            <w:pStyle w:val="TOC2"/>
            <w:tabs>
              <w:tab w:pos="10468" w:val="right" w:leader="dot"/>
            </w:tabs>
          </w:pPr>
          <w:hyperlink w:history="true" w:anchor="_bookmark26">
            <w:r>
              <w:rPr>
                <w:color w:val="003C79"/>
              </w:rPr>
              <w:t>C</w:t>
            </w:r>
          </w:hyperlink>
          <w:hyperlink w:history="true" w:anchor="_bookmark26">
            <w:r>
              <w:rPr>
                <w:color w:val="003C79"/>
              </w:rPr>
              <w:t>omparative</w:t>
            </w:r>
            <w:r>
              <w:rPr>
                <w:color w:val="003C79"/>
                <w:spacing w:val="-2"/>
              </w:rPr>
              <w:t> </w:t>
            </w:r>
            <w:r>
              <w:rPr>
                <w:color w:val="003C79"/>
              </w:rPr>
              <w:t>effectiveness</w:t>
              <w:tab/>
              <w:t>42</w:t>
            </w:r>
          </w:hyperlink>
        </w:p>
        <w:p>
          <w:pPr>
            <w:pStyle w:val="TOC2"/>
            <w:tabs>
              <w:tab w:pos="10468" w:val="right" w:leader="dot"/>
            </w:tabs>
            <w:spacing w:before="137"/>
          </w:pPr>
          <w:hyperlink w:history="true" w:anchor="_bookmark29">
            <w:r>
              <w:rPr>
                <w:color w:val="003C79"/>
              </w:rPr>
              <w:t>B</w:t>
            </w:r>
          </w:hyperlink>
          <w:hyperlink w:history="true" w:anchor="_bookmark29">
            <w:r>
              <w:rPr>
                <w:color w:val="003C79"/>
              </w:rPr>
              <w:t>efore-</w:t>
            </w:r>
            <w:r>
              <w:rPr>
                <w:color w:val="003C79"/>
                <w:spacing w:val="-1"/>
              </w:rPr>
              <w:t> </w:t>
            </w:r>
            <w:r>
              <w:rPr>
                <w:color w:val="003C79"/>
              </w:rPr>
              <w:t>and-after</w:t>
            </w:r>
            <w:r>
              <w:rPr>
                <w:color w:val="003C79"/>
                <w:spacing w:val="-1"/>
              </w:rPr>
              <w:t> </w:t>
            </w:r>
            <w:r>
              <w:rPr>
                <w:color w:val="003C79"/>
              </w:rPr>
              <w:t>and</w:t>
            </w:r>
            <w:r>
              <w:rPr>
                <w:color w:val="003C79"/>
                <w:spacing w:val="-1"/>
              </w:rPr>
              <w:t> </w:t>
            </w:r>
            <w:r>
              <w:rPr>
                <w:color w:val="003C79"/>
              </w:rPr>
              <w:t>cross-sectional</w:t>
            </w:r>
            <w:r>
              <w:rPr>
                <w:color w:val="003C79"/>
                <w:spacing w:val="-1"/>
              </w:rPr>
              <w:t> </w:t>
            </w:r>
            <w:r>
              <w:rPr>
                <w:color w:val="003C79"/>
              </w:rPr>
              <w:t>analyses</w:t>
              <w:tab/>
              <w:t>45</w:t>
            </w:r>
          </w:hyperlink>
        </w:p>
        <w:p>
          <w:pPr>
            <w:pStyle w:val="TOC1"/>
            <w:numPr>
              <w:ilvl w:val="0"/>
              <w:numId w:val="1"/>
            </w:numPr>
            <w:tabs>
              <w:tab w:pos="1668" w:val="left" w:leader="none"/>
              <w:tab w:pos="1669" w:val="left" w:leader="none"/>
              <w:tab w:pos="10468" w:val="right" w:leader="dot"/>
            </w:tabs>
            <w:spacing w:line="240" w:lineRule="auto" w:before="136" w:after="0"/>
            <w:ind w:left="1668" w:right="0" w:hanging="371"/>
            <w:jc w:val="left"/>
            <w:rPr>
              <w:i/>
            </w:rPr>
          </w:pPr>
          <w:hyperlink w:history="true" w:anchor="_bookmark31">
            <w:r>
              <w:rPr>
                <w:i/>
                <w:color w:val="003C79"/>
              </w:rPr>
              <w:t>Primary</w:t>
            </w:r>
            <w:r>
              <w:rPr>
                <w:i/>
                <w:color w:val="003C79"/>
                <w:spacing w:val="-3"/>
              </w:rPr>
              <w:t> </w:t>
            </w:r>
            <w:r>
              <w:rPr>
                <w:i/>
                <w:color w:val="003C79"/>
              </w:rPr>
              <w:t>data collection</w:t>
              <w:tab/>
              <w:t>47</w:t>
            </w:r>
          </w:hyperlink>
        </w:p>
        <w:p>
          <w:pPr>
            <w:pStyle w:val="TOC2"/>
            <w:tabs>
              <w:tab w:pos="10468" w:val="right" w:leader="dot"/>
            </w:tabs>
          </w:pPr>
          <w:hyperlink w:history="true" w:anchor="_bookmark33">
            <w:r>
              <w:rPr>
                <w:color w:val="003C79"/>
              </w:rPr>
              <w:t>Prac</w:t>
            </w:r>
          </w:hyperlink>
          <w:hyperlink w:history="true" w:anchor="_bookmark33">
            <w:r>
              <w:rPr>
                <w:color w:val="003C79"/>
              </w:rPr>
              <w:t>tice</w:t>
            </w:r>
            <w:r>
              <w:rPr>
                <w:color w:val="003C79"/>
                <w:spacing w:val="-2"/>
              </w:rPr>
              <w:t> </w:t>
            </w:r>
            <w:r>
              <w:rPr>
                <w:color w:val="003C79"/>
              </w:rPr>
              <w:t>survey</w:t>
              <w:tab/>
              <w:t>47</w:t>
            </w:r>
          </w:hyperlink>
        </w:p>
        <w:p>
          <w:pPr>
            <w:pStyle w:val="TOC2"/>
            <w:tabs>
              <w:tab w:pos="10468" w:val="right" w:leader="dot"/>
            </w:tabs>
            <w:spacing w:before="137"/>
          </w:pPr>
          <w:hyperlink w:history="true" w:anchor="_bookmark34">
            <w:r>
              <w:rPr>
                <w:color w:val="003C79"/>
              </w:rPr>
              <w:t>Prac</w:t>
            </w:r>
          </w:hyperlink>
          <w:hyperlink w:history="true" w:anchor="_bookmark34">
            <w:r>
              <w:rPr>
                <w:color w:val="003C79"/>
              </w:rPr>
              <w:t>tice</w:t>
            </w:r>
            <w:r>
              <w:rPr>
                <w:color w:val="003C79"/>
                <w:spacing w:val="-2"/>
              </w:rPr>
              <w:t> </w:t>
            </w:r>
            <w:r>
              <w:rPr>
                <w:color w:val="003C79"/>
              </w:rPr>
              <w:t>staff</w:t>
            </w:r>
            <w:r>
              <w:rPr>
                <w:color w:val="003C79"/>
                <w:spacing w:val="-1"/>
              </w:rPr>
              <w:t> </w:t>
            </w:r>
            <w:r>
              <w:rPr>
                <w:color w:val="003C79"/>
              </w:rPr>
              <w:t>surveys</w:t>
              <w:tab/>
              <w:t>48</w:t>
            </w:r>
          </w:hyperlink>
        </w:p>
        <w:p>
          <w:pPr>
            <w:pStyle w:val="TOC2"/>
            <w:tabs>
              <w:tab w:pos="10468" w:val="right" w:leader="dot"/>
            </w:tabs>
            <w:spacing w:before="138"/>
          </w:pPr>
          <w:hyperlink w:history="true" w:anchor="_bookmark35">
            <w:r>
              <w:rPr>
                <w:color w:val="003C79"/>
              </w:rPr>
              <w:t>Prac</w:t>
            </w:r>
          </w:hyperlink>
          <w:hyperlink w:history="true" w:anchor="_bookmark35">
            <w:r>
              <w:rPr>
                <w:color w:val="003C79"/>
              </w:rPr>
              <w:t>tice</w:t>
            </w:r>
            <w:r>
              <w:rPr>
                <w:color w:val="003C79"/>
                <w:spacing w:val="-2"/>
              </w:rPr>
              <w:t> </w:t>
            </w:r>
            <w:r>
              <w:rPr>
                <w:color w:val="003C79"/>
              </w:rPr>
              <w:t>interviews</w:t>
              <w:tab/>
              <w:t>49</w:t>
            </w:r>
          </w:hyperlink>
        </w:p>
        <w:p>
          <w:pPr>
            <w:pStyle w:val="TOC2"/>
            <w:tabs>
              <w:tab w:pos="10468" w:val="right" w:leader="dot"/>
            </w:tabs>
            <w:spacing w:before="137"/>
          </w:pPr>
          <w:hyperlink w:history="true" w:anchor="_bookmark36">
            <w:r>
              <w:rPr>
                <w:color w:val="003C79"/>
              </w:rPr>
              <w:t>F</w:t>
            </w:r>
          </w:hyperlink>
          <w:hyperlink w:history="true" w:anchor="_bookmark36">
            <w:r>
              <w:rPr>
                <w:color w:val="003C79"/>
              </w:rPr>
              <w:t>ocus</w:t>
            </w:r>
            <w:r>
              <w:rPr>
                <w:color w:val="003C79"/>
                <w:spacing w:val="-2"/>
              </w:rPr>
              <w:t> </w:t>
            </w:r>
            <w:r>
              <w:rPr>
                <w:color w:val="003C79"/>
              </w:rPr>
              <w:t>group with related</w:t>
            </w:r>
            <w:r>
              <w:rPr>
                <w:color w:val="003C79"/>
                <w:spacing w:val="-1"/>
              </w:rPr>
              <w:t> </w:t>
            </w:r>
            <w:r>
              <w:rPr>
                <w:color w:val="003C79"/>
              </w:rPr>
              <w:t>providers</w:t>
              <w:tab/>
              <w:t>50</w:t>
            </w:r>
          </w:hyperlink>
        </w:p>
        <w:p>
          <w:pPr>
            <w:pStyle w:val="TOC2"/>
            <w:tabs>
              <w:tab w:pos="10468" w:val="right" w:leader="dot"/>
            </w:tabs>
            <w:spacing w:before="137"/>
          </w:pPr>
          <w:hyperlink w:history="true" w:anchor="_bookmark37">
            <w:r>
              <w:rPr>
                <w:color w:val="003C79"/>
              </w:rPr>
              <w:t>PHN</w:t>
            </w:r>
            <w:r>
              <w:rPr>
                <w:color w:val="003C79"/>
                <w:spacing w:val="-2"/>
              </w:rPr>
              <w:t> </w:t>
            </w:r>
          </w:hyperlink>
          <w:hyperlink w:history="true" w:anchor="_bookmark37">
            <w:r>
              <w:rPr>
                <w:color w:val="003C79"/>
              </w:rPr>
              <w:t>surveys</w:t>
            </w:r>
            <w:r>
              <w:rPr>
                <w:color w:val="003C79"/>
                <w:spacing w:val="1"/>
              </w:rPr>
              <w:t> </w:t>
            </w:r>
            <w:r>
              <w:rPr>
                <w:color w:val="003C79"/>
              </w:rPr>
              <w:t>and</w:t>
            </w:r>
            <w:r>
              <w:rPr>
                <w:color w:val="003C79"/>
                <w:spacing w:val="-1"/>
              </w:rPr>
              <w:t> </w:t>
            </w:r>
            <w:r>
              <w:rPr>
                <w:color w:val="003C79"/>
              </w:rPr>
              <w:t>interviews</w:t>
              <w:tab/>
              <w:t>50</w:t>
            </w:r>
          </w:hyperlink>
        </w:p>
        <w:p>
          <w:pPr>
            <w:pStyle w:val="TOC2"/>
            <w:tabs>
              <w:tab w:pos="10468" w:val="right" w:leader="dot"/>
            </w:tabs>
          </w:pPr>
          <w:hyperlink w:history="true" w:anchor="_bookmark38">
            <w:r>
              <w:rPr>
                <w:color w:val="003C79"/>
              </w:rPr>
              <w:t>L</w:t>
            </w:r>
          </w:hyperlink>
          <w:hyperlink w:history="true" w:anchor="_bookmark38">
            <w:r>
              <w:rPr>
                <w:color w:val="003C79"/>
              </w:rPr>
              <w:t>ocal</w:t>
            </w:r>
            <w:r>
              <w:rPr>
                <w:color w:val="003C79"/>
                <w:spacing w:val="-2"/>
              </w:rPr>
              <w:t> </w:t>
            </w:r>
            <w:r>
              <w:rPr>
                <w:color w:val="003C79"/>
              </w:rPr>
              <w:t>Hospital</w:t>
            </w:r>
            <w:r>
              <w:rPr>
                <w:color w:val="003C79"/>
                <w:spacing w:val="-1"/>
              </w:rPr>
              <w:t> </w:t>
            </w:r>
            <w:r>
              <w:rPr>
                <w:color w:val="003C79"/>
              </w:rPr>
              <w:t>Network</w:t>
            </w:r>
            <w:r>
              <w:rPr>
                <w:color w:val="003C79"/>
                <w:spacing w:val="1"/>
              </w:rPr>
              <w:t> </w:t>
            </w:r>
            <w:r>
              <w:rPr>
                <w:color w:val="003C79"/>
              </w:rPr>
              <w:t>(LHN)</w:t>
            </w:r>
            <w:r>
              <w:rPr>
                <w:color w:val="003C79"/>
                <w:spacing w:val="-3"/>
              </w:rPr>
              <w:t> </w:t>
            </w:r>
            <w:r>
              <w:rPr>
                <w:color w:val="003C79"/>
              </w:rPr>
              <w:t>and</w:t>
            </w:r>
            <w:r>
              <w:rPr>
                <w:color w:val="003C79"/>
                <w:spacing w:val="1"/>
              </w:rPr>
              <w:t> </w:t>
            </w:r>
            <w:r>
              <w:rPr>
                <w:color w:val="003C79"/>
              </w:rPr>
              <w:t>state/</w:t>
            </w:r>
            <w:r>
              <w:rPr>
                <w:color w:val="003C79"/>
                <w:spacing w:val="-2"/>
              </w:rPr>
              <w:t> </w:t>
            </w:r>
            <w:r>
              <w:rPr>
                <w:color w:val="003C79"/>
              </w:rPr>
              <w:t>territory</w:t>
            </w:r>
            <w:r>
              <w:rPr>
                <w:color w:val="003C79"/>
                <w:spacing w:val="-3"/>
              </w:rPr>
              <w:t> </w:t>
            </w:r>
            <w:r>
              <w:rPr>
                <w:color w:val="003C79"/>
              </w:rPr>
              <w:t>health</w:t>
            </w:r>
            <w:r>
              <w:rPr>
                <w:color w:val="003C79"/>
                <w:spacing w:val="-1"/>
              </w:rPr>
              <w:t> </w:t>
            </w:r>
            <w:r>
              <w:rPr>
                <w:color w:val="003C79"/>
              </w:rPr>
              <w:t>authority</w:t>
            </w:r>
            <w:r>
              <w:rPr>
                <w:color w:val="003C79"/>
                <w:spacing w:val="-3"/>
              </w:rPr>
              <w:t> </w:t>
            </w:r>
            <w:r>
              <w:rPr>
                <w:color w:val="003C79"/>
              </w:rPr>
              <w:t>interviews</w:t>
              <w:tab/>
              <w:t>51</w:t>
            </w:r>
          </w:hyperlink>
        </w:p>
        <w:p>
          <w:pPr>
            <w:pStyle w:val="TOC2"/>
            <w:tabs>
              <w:tab w:pos="10468" w:val="right" w:leader="dot"/>
            </w:tabs>
            <w:spacing w:before="137"/>
          </w:pPr>
          <w:hyperlink w:history="true" w:anchor="_bookmark39">
            <w:r>
              <w:rPr>
                <w:color w:val="003C79"/>
              </w:rPr>
              <w:t>Pat</w:t>
            </w:r>
          </w:hyperlink>
          <w:hyperlink w:history="true" w:anchor="_bookmark39">
            <w:r>
              <w:rPr>
                <w:color w:val="003C79"/>
              </w:rPr>
              <w:t>ient surveys</w:t>
            </w:r>
            <w:r>
              <w:rPr>
                <w:color w:val="003C79"/>
                <w:spacing w:val="-1"/>
              </w:rPr>
              <w:t> </w:t>
            </w:r>
            <w:r>
              <w:rPr>
                <w:color w:val="003C79"/>
              </w:rPr>
              <w:t>and</w:t>
            </w:r>
            <w:r>
              <w:rPr>
                <w:color w:val="003C79"/>
                <w:spacing w:val="-1"/>
              </w:rPr>
              <w:t> </w:t>
            </w:r>
            <w:r>
              <w:rPr>
                <w:color w:val="003C79"/>
              </w:rPr>
              <w:t>interviews</w:t>
              <w:tab/>
              <w:t>51</w:t>
            </w:r>
          </w:hyperlink>
        </w:p>
        <w:p>
          <w:pPr>
            <w:pStyle w:val="TOC1"/>
            <w:numPr>
              <w:ilvl w:val="0"/>
              <w:numId w:val="1"/>
            </w:numPr>
            <w:tabs>
              <w:tab w:pos="1668" w:val="left" w:leader="none"/>
              <w:tab w:pos="1669" w:val="left" w:leader="none"/>
              <w:tab w:pos="10468" w:val="right" w:leader="dot"/>
            </w:tabs>
            <w:spacing w:line="240" w:lineRule="auto" w:before="136" w:after="0"/>
            <w:ind w:left="1668" w:right="0" w:hanging="371"/>
            <w:jc w:val="left"/>
            <w:rPr>
              <w:i/>
            </w:rPr>
          </w:pPr>
          <w:hyperlink w:history="true" w:anchor="_bookmark40">
            <w:r>
              <w:rPr>
                <w:i/>
                <w:color w:val="003C79"/>
              </w:rPr>
              <w:t>Secondary</w:t>
            </w:r>
            <w:r>
              <w:rPr>
                <w:i/>
                <w:color w:val="003C79"/>
                <w:spacing w:val="-3"/>
              </w:rPr>
              <w:t> </w:t>
            </w:r>
            <w:r>
              <w:rPr>
                <w:i/>
                <w:color w:val="003C79"/>
              </w:rPr>
              <w:t>data sources</w:t>
              <w:tab/>
              <w:t>53</w:t>
            </w:r>
          </w:hyperlink>
        </w:p>
        <w:p>
          <w:pPr>
            <w:pStyle w:val="TOC2"/>
            <w:tabs>
              <w:tab w:pos="10468" w:val="right" w:leader="dot"/>
            </w:tabs>
            <w:spacing w:before="139"/>
          </w:pPr>
          <w:hyperlink w:history="true" w:anchor="_bookmark41">
            <w:r>
              <w:rPr>
                <w:color w:val="003C79"/>
              </w:rPr>
              <w:t>Prac</w:t>
            </w:r>
          </w:hyperlink>
          <w:hyperlink w:history="true" w:anchor="_bookmark41">
            <w:r>
              <w:rPr>
                <w:color w:val="003C79"/>
              </w:rPr>
              <w:t>tice</w:t>
            </w:r>
            <w:r>
              <w:rPr>
                <w:color w:val="003C79"/>
                <w:spacing w:val="-2"/>
              </w:rPr>
              <w:t> </w:t>
            </w:r>
            <w:r>
              <w:rPr>
                <w:color w:val="003C79"/>
              </w:rPr>
              <w:t>extracts</w:t>
              <w:tab/>
              <w:t>53</w:t>
            </w:r>
          </w:hyperlink>
        </w:p>
        <w:p>
          <w:pPr>
            <w:pStyle w:val="TOC2"/>
            <w:tabs>
              <w:tab w:pos="10468" w:val="right" w:leader="dot"/>
            </w:tabs>
          </w:pPr>
          <w:hyperlink w:history="true" w:anchor="_bookmark42">
            <w:r>
              <w:rPr>
                <w:color w:val="003C79"/>
              </w:rPr>
              <w:t>L</w:t>
            </w:r>
          </w:hyperlink>
          <w:hyperlink w:history="true" w:anchor="_bookmark42">
            <w:r>
              <w:rPr>
                <w:color w:val="003C79"/>
              </w:rPr>
              <w:t>inked</w:t>
            </w:r>
            <w:r>
              <w:rPr>
                <w:color w:val="003C79"/>
                <w:spacing w:val="-2"/>
              </w:rPr>
              <w:t> </w:t>
            </w:r>
            <w:r>
              <w:rPr>
                <w:color w:val="003C79"/>
              </w:rPr>
              <w:t>data and</w:t>
            </w:r>
            <w:r>
              <w:rPr>
                <w:color w:val="003C79"/>
                <w:spacing w:val="-1"/>
              </w:rPr>
              <w:t> </w:t>
            </w:r>
            <w:r>
              <w:rPr>
                <w:color w:val="003C79"/>
              </w:rPr>
              <w:t>components</w:t>
              <w:tab/>
              <w:t>53</w:t>
            </w:r>
          </w:hyperlink>
        </w:p>
        <w:p>
          <w:pPr>
            <w:pStyle w:val="TOC1"/>
            <w:numPr>
              <w:ilvl w:val="0"/>
              <w:numId w:val="1"/>
            </w:numPr>
            <w:tabs>
              <w:tab w:pos="1668" w:val="left" w:leader="none"/>
              <w:tab w:pos="1669" w:val="left" w:leader="none"/>
              <w:tab w:pos="10468" w:val="right" w:leader="dot"/>
            </w:tabs>
            <w:spacing w:line="240" w:lineRule="auto" w:before="137" w:after="0"/>
            <w:ind w:left="1668" w:right="0" w:hanging="371"/>
            <w:jc w:val="left"/>
            <w:rPr>
              <w:i/>
            </w:rPr>
          </w:pPr>
          <w:hyperlink w:history="true" w:anchor="_bookmark43">
            <w:r>
              <w:rPr>
                <w:i/>
                <w:color w:val="003C79"/>
              </w:rPr>
              <w:t>Economic</w:t>
            </w:r>
            <w:r>
              <w:rPr>
                <w:i/>
                <w:color w:val="003C79"/>
                <w:spacing w:val="-1"/>
              </w:rPr>
              <w:t> </w:t>
            </w:r>
            <w:r>
              <w:rPr>
                <w:i/>
                <w:color w:val="003C79"/>
              </w:rPr>
              <w:t>analysis</w:t>
              <w:tab/>
              <w:t>57</w:t>
            </w:r>
          </w:hyperlink>
        </w:p>
        <w:p>
          <w:pPr>
            <w:pStyle w:val="TOC2"/>
            <w:tabs>
              <w:tab w:pos="10468" w:val="right" w:leader="dot"/>
            </w:tabs>
          </w:pPr>
          <w:hyperlink w:history="true" w:anchor="_bookmark44">
            <w:r>
              <w:rPr>
                <w:color w:val="003C79"/>
              </w:rPr>
              <w:t>C</w:t>
            </w:r>
          </w:hyperlink>
          <w:hyperlink w:history="true" w:anchor="_bookmark44">
            <w:r>
              <w:rPr>
                <w:color w:val="003C79"/>
              </w:rPr>
              <w:t>ost to</w:t>
            </w:r>
            <w:r>
              <w:rPr>
                <w:color w:val="003C79"/>
                <w:spacing w:val="-1"/>
              </w:rPr>
              <w:t> </w:t>
            </w:r>
            <w:r>
              <w:rPr>
                <w:color w:val="003C79"/>
              </w:rPr>
              <w:t>governments</w:t>
            </w:r>
            <w:r>
              <w:rPr>
                <w:color w:val="003C79"/>
                <w:spacing w:val="-1"/>
              </w:rPr>
              <w:t> </w:t>
            </w:r>
            <w:r>
              <w:rPr>
                <w:color w:val="003C79"/>
              </w:rPr>
              <w:t>of</w:t>
            </w:r>
            <w:r>
              <w:rPr>
                <w:color w:val="003C79"/>
                <w:spacing w:val="-1"/>
              </w:rPr>
              <w:t> </w:t>
            </w:r>
            <w:r>
              <w:rPr>
                <w:color w:val="003C79"/>
              </w:rPr>
              <w:t>care</w:t>
            </w:r>
            <w:r>
              <w:rPr>
                <w:color w:val="003C79"/>
                <w:spacing w:val="-2"/>
              </w:rPr>
              <w:t> </w:t>
            </w:r>
            <w:r>
              <w:rPr>
                <w:color w:val="003C79"/>
              </w:rPr>
              <w:t>for</w:t>
            </w:r>
            <w:r>
              <w:rPr>
                <w:color w:val="003C79"/>
                <w:spacing w:val="-1"/>
              </w:rPr>
              <w:t> </w:t>
            </w:r>
            <w:r>
              <w:rPr>
                <w:color w:val="003C79"/>
              </w:rPr>
              <w:t>enrolled</w:t>
            </w:r>
            <w:r>
              <w:rPr>
                <w:color w:val="003C79"/>
                <w:spacing w:val="-1"/>
              </w:rPr>
              <w:t> </w:t>
            </w:r>
            <w:r>
              <w:rPr>
                <w:color w:val="003C79"/>
              </w:rPr>
              <w:t>patients</w:t>
              <w:tab/>
              <w:t>57</w:t>
            </w:r>
          </w:hyperlink>
        </w:p>
        <w:p>
          <w:pPr>
            <w:pStyle w:val="TOC2"/>
            <w:tabs>
              <w:tab w:pos="10468" w:val="right" w:leader="dot"/>
            </w:tabs>
          </w:pPr>
          <w:hyperlink w:history="true" w:anchor="_bookmark45">
            <w:r>
              <w:rPr>
                <w:color w:val="003C79"/>
              </w:rPr>
              <w:t>I</w:t>
            </w:r>
          </w:hyperlink>
          <w:hyperlink w:history="true" w:anchor="_bookmark45">
            <w:r>
              <w:rPr>
                <w:color w:val="003C79"/>
              </w:rPr>
              <w:t>mpact of</w:t>
            </w:r>
            <w:r>
              <w:rPr>
                <w:color w:val="003C79"/>
                <w:spacing w:val="-1"/>
              </w:rPr>
              <w:t> </w:t>
            </w:r>
            <w:r>
              <w:rPr>
                <w:color w:val="003C79"/>
              </w:rPr>
              <w:t>HCH</w:t>
            </w:r>
            <w:r>
              <w:rPr>
                <w:color w:val="003C79"/>
                <w:spacing w:val="-1"/>
              </w:rPr>
              <w:t> </w:t>
            </w:r>
            <w:r>
              <w:rPr>
                <w:color w:val="003C79"/>
              </w:rPr>
              <w:t>enrolment</w:t>
            </w:r>
            <w:r>
              <w:rPr>
                <w:color w:val="003C79"/>
                <w:spacing w:val="1"/>
              </w:rPr>
              <w:t> </w:t>
            </w:r>
            <w:r>
              <w:rPr>
                <w:color w:val="003C79"/>
              </w:rPr>
              <w:t>on patient out-of-pocket</w:t>
            </w:r>
            <w:r>
              <w:rPr>
                <w:color w:val="003C79"/>
                <w:spacing w:val="1"/>
              </w:rPr>
              <w:t> </w:t>
            </w:r>
            <w:r>
              <w:rPr>
                <w:color w:val="003C79"/>
              </w:rPr>
              <w:t>costs</w:t>
              <w:tab/>
              <w:t>57</w:t>
            </w:r>
          </w:hyperlink>
        </w:p>
        <w:p>
          <w:pPr>
            <w:pStyle w:val="TOC2"/>
            <w:tabs>
              <w:tab w:pos="10468" w:val="right" w:leader="dot"/>
            </w:tabs>
            <w:spacing w:before="137"/>
          </w:pPr>
          <w:hyperlink w:history="true" w:anchor="_bookmark46">
            <w:r>
              <w:rPr>
                <w:color w:val="003C79"/>
              </w:rPr>
              <w:t>Ne</w:t>
            </w:r>
          </w:hyperlink>
          <w:hyperlink w:history="true" w:anchor="_bookmark46">
            <w:r>
              <w:rPr>
                <w:color w:val="003C79"/>
              </w:rPr>
              <w:t>t cost</w:t>
            </w:r>
            <w:r>
              <w:rPr>
                <w:color w:val="003C79"/>
                <w:spacing w:val="1"/>
              </w:rPr>
              <w:t> </w:t>
            </w:r>
            <w:r>
              <w:rPr>
                <w:color w:val="003C79"/>
              </w:rPr>
              <w:t>to</w:t>
            </w:r>
            <w:r>
              <w:rPr>
                <w:color w:val="003C79"/>
                <w:spacing w:val="-1"/>
              </w:rPr>
              <w:t> </w:t>
            </w:r>
            <w:r>
              <w:rPr>
                <w:color w:val="003C79"/>
              </w:rPr>
              <w:t>governments</w:t>
              <w:tab/>
              <w:t>58</w:t>
            </w:r>
          </w:hyperlink>
        </w:p>
        <w:p>
          <w:pPr>
            <w:pStyle w:val="TOC2"/>
            <w:tabs>
              <w:tab w:pos="10468" w:val="right" w:leader="dot"/>
            </w:tabs>
            <w:spacing w:before="139" w:after="20"/>
          </w:pPr>
          <w:hyperlink w:history="true" w:anchor="_bookmark47">
            <w:r>
              <w:rPr>
                <w:color w:val="003C79"/>
              </w:rPr>
              <w:t>C</w:t>
            </w:r>
          </w:hyperlink>
          <w:hyperlink w:history="true" w:anchor="_bookmark47">
            <w:r>
              <w:rPr>
                <w:color w:val="003C79"/>
              </w:rPr>
              <w:t>osts</w:t>
            </w:r>
            <w:r>
              <w:rPr>
                <w:color w:val="003C79"/>
                <w:spacing w:val="-2"/>
              </w:rPr>
              <w:t> </w:t>
            </w:r>
            <w:r>
              <w:rPr>
                <w:color w:val="003C79"/>
              </w:rPr>
              <w:t>to</w:t>
            </w:r>
            <w:r>
              <w:rPr>
                <w:color w:val="003C79"/>
                <w:spacing w:val="-1"/>
              </w:rPr>
              <w:t> </w:t>
            </w:r>
            <w:r>
              <w:rPr>
                <w:color w:val="003C79"/>
              </w:rPr>
              <w:t>providers</w:t>
            </w:r>
            <w:r>
              <w:rPr>
                <w:color w:val="003C79"/>
                <w:spacing w:val="1"/>
              </w:rPr>
              <w:t> </w:t>
            </w:r>
            <w:r>
              <w:rPr>
                <w:color w:val="003C79"/>
              </w:rPr>
              <w:t>of</w:t>
            </w:r>
            <w:r>
              <w:rPr>
                <w:color w:val="003C79"/>
                <w:spacing w:val="-1"/>
              </w:rPr>
              <w:t> </w:t>
            </w:r>
            <w:r>
              <w:rPr>
                <w:color w:val="003C79"/>
              </w:rPr>
              <w:t>delivering</w:t>
            </w:r>
            <w:r>
              <w:rPr>
                <w:color w:val="003C79"/>
                <w:spacing w:val="-2"/>
              </w:rPr>
              <w:t> </w:t>
            </w:r>
            <w:r>
              <w:rPr>
                <w:color w:val="003C79"/>
              </w:rPr>
              <w:t>HCH</w:t>
              <w:tab/>
              <w:t>59</w:t>
            </w:r>
          </w:hyperlink>
        </w:p>
        <w:p>
          <w:pPr>
            <w:pStyle w:val="TOC2"/>
            <w:tabs>
              <w:tab w:pos="10468" w:val="right" w:leader="dot"/>
            </w:tabs>
            <w:spacing w:before="82"/>
          </w:pPr>
          <w:hyperlink w:history="true" w:anchor="_bookmark48">
            <w:r>
              <w:rPr>
                <w:color w:val="003C79"/>
              </w:rPr>
              <w:t>S</w:t>
            </w:r>
          </w:hyperlink>
          <w:hyperlink w:history="true" w:anchor="_bookmark48">
            <w:r>
              <w:rPr>
                <w:color w:val="003C79"/>
              </w:rPr>
              <w:t>ustainability</w:t>
            </w:r>
            <w:r>
              <w:rPr>
                <w:color w:val="003C79"/>
                <w:spacing w:val="-3"/>
              </w:rPr>
              <w:t> </w:t>
            </w:r>
            <w:r>
              <w:rPr>
                <w:color w:val="003C79"/>
              </w:rPr>
              <w:t>of</w:t>
            </w:r>
            <w:r>
              <w:rPr>
                <w:color w:val="003C79"/>
                <w:spacing w:val="-1"/>
              </w:rPr>
              <w:t> </w:t>
            </w:r>
            <w:r>
              <w:rPr>
                <w:color w:val="003C79"/>
              </w:rPr>
              <w:t>the</w:t>
            </w:r>
            <w:r>
              <w:rPr>
                <w:color w:val="003C79"/>
                <w:spacing w:val="-1"/>
              </w:rPr>
              <w:t> </w:t>
            </w:r>
            <w:r>
              <w:rPr>
                <w:color w:val="003C79"/>
              </w:rPr>
              <w:t>funding</w:t>
            </w:r>
            <w:r>
              <w:rPr>
                <w:color w:val="003C79"/>
                <w:spacing w:val="-1"/>
              </w:rPr>
              <w:t> </w:t>
            </w:r>
            <w:r>
              <w:rPr>
                <w:color w:val="003C79"/>
              </w:rPr>
              <w:t>models</w:t>
              <w:tab/>
              <w:t>59</w:t>
            </w:r>
          </w:hyperlink>
        </w:p>
        <w:p>
          <w:pPr>
            <w:pStyle w:val="TOC1"/>
            <w:numPr>
              <w:ilvl w:val="0"/>
              <w:numId w:val="1"/>
            </w:numPr>
            <w:tabs>
              <w:tab w:pos="1668" w:val="left" w:leader="none"/>
              <w:tab w:pos="1669" w:val="left" w:leader="none"/>
              <w:tab w:pos="10468" w:val="right" w:leader="dot"/>
            </w:tabs>
            <w:spacing w:line="240" w:lineRule="auto" w:before="137" w:after="0"/>
            <w:ind w:left="1668" w:right="0" w:hanging="371"/>
            <w:jc w:val="left"/>
            <w:rPr>
              <w:i/>
            </w:rPr>
          </w:pPr>
          <w:hyperlink w:history="true" w:anchor="_bookmark49">
            <w:r>
              <w:rPr>
                <w:i/>
                <w:color w:val="003C79"/>
              </w:rPr>
              <w:t>Analysis</w:t>
            </w:r>
            <w:r>
              <w:rPr>
                <w:i/>
                <w:color w:val="003C79"/>
                <w:spacing w:val="-2"/>
              </w:rPr>
              <w:t> </w:t>
            </w:r>
            <w:r>
              <w:rPr>
                <w:i/>
                <w:color w:val="003C79"/>
              </w:rPr>
              <w:t>plan</w:t>
              <w:tab/>
              <w:t>60</w:t>
            </w:r>
          </w:hyperlink>
        </w:p>
        <w:p>
          <w:pPr>
            <w:pStyle w:val="TOC2"/>
            <w:tabs>
              <w:tab w:pos="10468" w:val="right" w:leader="dot"/>
            </w:tabs>
          </w:pPr>
          <w:hyperlink w:history="true" w:anchor="_bookmark50">
            <w:r>
              <w:rPr>
                <w:color w:val="003C79"/>
              </w:rPr>
              <w:t>Q</w:t>
            </w:r>
          </w:hyperlink>
          <w:hyperlink w:history="true" w:anchor="_bookmark50">
            <w:r>
              <w:rPr>
                <w:color w:val="003C79"/>
              </w:rPr>
              <w:t>uantitative</w:t>
            </w:r>
            <w:r>
              <w:rPr>
                <w:color w:val="003C79"/>
                <w:spacing w:val="-2"/>
              </w:rPr>
              <w:t> </w:t>
            </w:r>
            <w:r>
              <w:rPr>
                <w:color w:val="003C79"/>
              </w:rPr>
              <w:t>data analysis</w:t>
              <w:tab/>
              <w:t>60</w:t>
            </w:r>
          </w:hyperlink>
        </w:p>
        <w:p>
          <w:pPr>
            <w:pStyle w:val="TOC2"/>
            <w:tabs>
              <w:tab w:pos="10468" w:val="right" w:leader="dot"/>
            </w:tabs>
          </w:pPr>
          <w:hyperlink w:history="true" w:anchor="_bookmark51">
            <w:r>
              <w:rPr>
                <w:color w:val="003C79"/>
              </w:rPr>
              <w:t>C</w:t>
            </w:r>
          </w:hyperlink>
          <w:hyperlink w:history="true" w:anchor="_bookmark51">
            <w:r>
              <w:rPr>
                <w:color w:val="003C79"/>
              </w:rPr>
              <w:t>omparative</w:t>
            </w:r>
            <w:r>
              <w:rPr>
                <w:color w:val="003C79"/>
                <w:spacing w:val="-2"/>
              </w:rPr>
              <w:t> </w:t>
            </w:r>
            <w:r>
              <w:rPr>
                <w:color w:val="003C79"/>
              </w:rPr>
              <w:t>analysis</w:t>
              <w:tab/>
              <w:t>60</w:t>
            </w:r>
          </w:hyperlink>
        </w:p>
        <w:p>
          <w:pPr>
            <w:pStyle w:val="TOC2"/>
            <w:tabs>
              <w:tab w:pos="10468" w:val="right" w:leader="dot"/>
            </w:tabs>
            <w:spacing w:before="139"/>
          </w:pPr>
          <w:hyperlink w:history="true" w:anchor="_bookmark53">
            <w:r>
              <w:rPr>
                <w:color w:val="003C79"/>
              </w:rPr>
              <w:t>B</w:t>
            </w:r>
          </w:hyperlink>
          <w:hyperlink w:history="true" w:anchor="_bookmark53">
            <w:r>
              <w:rPr>
                <w:color w:val="003C79"/>
              </w:rPr>
              <w:t>efore-and-after</w:t>
            </w:r>
            <w:r>
              <w:rPr>
                <w:color w:val="003C79"/>
                <w:spacing w:val="-2"/>
              </w:rPr>
              <w:t> </w:t>
            </w:r>
            <w:r>
              <w:rPr>
                <w:color w:val="003C79"/>
              </w:rPr>
              <w:t>analysis</w:t>
              <w:tab/>
              <w:t>61</w:t>
            </w:r>
          </w:hyperlink>
        </w:p>
        <w:p>
          <w:pPr>
            <w:pStyle w:val="TOC2"/>
            <w:tabs>
              <w:tab w:pos="10468" w:val="right" w:leader="dot"/>
            </w:tabs>
          </w:pPr>
          <w:hyperlink w:history="true" w:anchor="_bookmark54">
            <w:r>
              <w:rPr>
                <w:color w:val="003C79"/>
              </w:rPr>
              <w:t>Ot</w:t>
            </w:r>
          </w:hyperlink>
          <w:hyperlink w:history="true" w:anchor="_bookmark54">
            <w:r>
              <w:rPr>
                <w:color w:val="003C79"/>
              </w:rPr>
              <w:t>her</w:t>
            </w:r>
            <w:r>
              <w:rPr>
                <w:color w:val="003C79"/>
                <w:spacing w:val="-2"/>
              </w:rPr>
              <w:t> </w:t>
            </w:r>
            <w:r>
              <w:rPr>
                <w:color w:val="003C79"/>
              </w:rPr>
              <w:t>analyses</w:t>
              <w:tab/>
              <w:t>62</w:t>
            </w:r>
          </w:hyperlink>
        </w:p>
        <w:p>
          <w:pPr>
            <w:pStyle w:val="TOC2"/>
            <w:tabs>
              <w:tab w:pos="10468" w:val="right" w:leader="dot"/>
            </w:tabs>
            <w:spacing w:before="137"/>
          </w:pPr>
          <w:hyperlink w:history="true" w:anchor="_bookmark55">
            <w:r>
              <w:rPr>
                <w:color w:val="003C79"/>
              </w:rPr>
              <w:t>Q</w:t>
            </w:r>
          </w:hyperlink>
          <w:hyperlink w:history="true" w:anchor="_bookmark55">
            <w:r>
              <w:rPr>
                <w:color w:val="003C79"/>
              </w:rPr>
              <w:t>ualitative</w:t>
            </w:r>
            <w:r>
              <w:rPr>
                <w:color w:val="003C79"/>
                <w:spacing w:val="-2"/>
              </w:rPr>
              <w:t> </w:t>
            </w:r>
            <w:r>
              <w:rPr>
                <w:color w:val="003C79"/>
              </w:rPr>
              <w:t>data analysis</w:t>
              <w:tab/>
              <w:t>63</w:t>
            </w:r>
          </w:hyperlink>
        </w:p>
        <w:p>
          <w:pPr>
            <w:pStyle w:val="TOC1"/>
            <w:numPr>
              <w:ilvl w:val="0"/>
              <w:numId w:val="1"/>
            </w:numPr>
            <w:tabs>
              <w:tab w:pos="1668" w:val="left" w:leader="none"/>
              <w:tab w:pos="1669" w:val="left" w:leader="none"/>
              <w:tab w:pos="10468" w:val="right" w:leader="dot"/>
            </w:tabs>
            <w:spacing w:line="240" w:lineRule="auto" w:before="136" w:after="0"/>
            <w:ind w:left="1668" w:right="0" w:hanging="371"/>
            <w:jc w:val="left"/>
            <w:rPr>
              <w:i/>
            </w:rPr>
          </w:pPr>
          <w:hyperlink w:history="true" w:anchor="_bookmark57">
            <w:r>
              <w:rPr>
                <w:i/>
                <w:color w:val="003C79"/>
              </w:rPr>
              <w:t>Data</w:t>
            </w:r>
            <w:r>
              <w:rPr>
                <w:i/>
                <w:color w:val="003C79"/>
                <w:spacing w:val="-1"/>
              </w:rPr>
              <w:t> </w:t>
            </w:r>
            <w:r>
              <w:rPr>
                <w:i/>
                <w:color w:val="003C79"/>
              </w:rPr>
              <w:t>quality</w:t>
            </w:r>
            <w:r>
              <w:rPr>
                <w:i/>
                <w:color w:val="003C79"/>
                <w:spacing w:val="-2"/>
              </w:rPr>
              <w:t> </w:t>
            </w:r>
            <w:r>
              <w:rPr>
                <w:i/>
                <w:color w:val="003C79"/>
              </w:rPr>
              <w:t>control</w:t>
              <w:tab/>
              <w:t>64</w:t>
            </w:r>
          </w:hyperlink>
        </w:p>
        <w:p>
          <w:pPr>
            <w:pStyle w:val="TOC2"/>
            <w:tabs>
              <w:tab w:pos="10468" w:val="right" w:leader="dot"/>
            </w:tabs>
            <w:spacing w:before="137"/>
          </w:pPr>
          <w:hyperlink w:history="true" w:anchor="_bookmark58">
            <w:r>
              <w:rPr>
                <w:color w:val="003C79"/>
              </w:rPr>
              <w:t>Pri</w:t>
            </w:r>
          </w:hyperlink>
          <w:hyperlink w:history="true" w:anchor="_bookmark58">
            <w:r>
              <w:rPr>
                <w:color w:val="003C79"/>
              </w:rPr>
              <w:t>mary</w:t>
            </w:r>
            <w:r>
              <w:rPr>
                <w:color w:val="003C79"/>
                <w:spacing w:val="-3"/>
              </w:rPr>
              <w:t> </w:t>
            </w:r>
            <w:r>
              <w:rPr>
                <w:color w:val="003C79"/>
              </w:rPr>
              <w:t>data</w:t>
            </w:r>
            <w:r>
              <w:rPr>
                <w:color w:val="003C79"/>
                <w:spacing w:val="1"/>
              </w:rPr>
              <w:t> </w:t>
            </w:r>
            <w:r>
              <w:rPr>
                <w:color w:val="003C79"/>
              </w:rPr>
              <w:t>–</w:t>
            </w:r>
            <w:r>
              <w:rPr>
                <w:color w:val="003C79"/>
                <w:spacing w:val="1"/>
              </w:rPr>
              <w:t> </w:t>
            </w:r>
            <w:r>
              <w:rPr>
                <w:color w:val="003C79"/>
              </w:rPr>
              <w:t>surveys</w:t>
              <w:tab/>
              <w:t>64</w:t>
            </w:r>
          </w:hyperlink>
        </w:p>
        <w:p>
          <w:pPr>
            <w:pStyle w:val="TOC2"/>
            <w:tabs>
              <w:tab w:pos="10468" w:val="right" w:leader="dot"/>
            </w:tabs>
            <w:spacing w:before="137"/>
          </w:pPr>
          <w:hyperlink w:history="true" w:anchor="_bookmark61">
            <w:r>
              <w:rPr>
                <w:color w:val="003C79"/>
              </w:rPr>
              <w:t>Pri</w:t>
            </w:r>
          </w:hyperlink>
          <w:hyperlink w:history="true" w:anchor="_bookmark61">
            <w:r>
              <w:rPr>
                <w:color w:val="003C79"/>
              </w:rPr>
              <w:t>mary</w:t>
            </w:r>
            <w:r>
              <w:rPr>
                <w:color w:val="003C79"/>
                <w:spacing w:val="-3"/>
              </w:rPr>
              <w:t> </w:t>
            </w:r>
            <w:r>
              <w:rPr>
                <w:color w:val="003C79"/>
              </w:rPr>
              <w:t>data</w:t>
            </w:r>
            <w:r>
              <w:rPr>
                <w:color w:val="003C79"/>
                <w:spacing w:val="1"/>
              </w:rPr>
              <w:t> </w:t>
            </w:r>
            <w:r>
              <w:rPr>
                <w:color w:val="003C79"/>
              </w:rPr>
              <w:t>–</w:t>
            </w:r>
            <w:r>
              <w:rPr>
                <w:color w:val="003C79"/>
                <w:spacing w:val="1"/>
              </w:rPr>
              <w:t> </w:t>
            </w:r>
            <w:r>
              <w:rPr>
                <w:color w:val="003C79"/>
              </w:rPr>
              <w:t>interviews</w:t>
              <w:tab/>
              <w:t>66</w:t>
            </w:r>
          </w:hyperlink>
        </w:p>
        <w:p>
          <w:pPr>
            <w:pStyle w:val="TOC2"/>
            <w:tabs>
              <w:tab w:pos="10468" w:val="right" w:leader="dot"/>
            </w:tabs>
            <w:spacing w:before="138"/>
          </w:pPr>
          <w:hyperlink w:history="true" w:anchor="_bookmark62">
            <w:r>
              <w:rPr>
                <w:color w:val="003C79"/>
              </w:rPr>
              <w:t>S</w:t>
            </w:r>
          </w:hyperlink>
          <w:hyperlink w:history="true" w:anchor="_bookmark62">
            <w:r>
              <w:rPr>
                <w:color w:val="003C79"/>
              </w:rPr>
              <w:t>econdary</w:t>
            </w:r>
            <w:r>
              <w:rPr>
                <w:color w:val="003C79"/>
                <w:spacing w:val="-3"/>
              </w:rPr>
              <w:t> </w:t>
            </w:r>
            <w:r>
              <w:rPr>
                <w:color w:val="003C79"/>
              </w:rPr>
              <w:t>data</w:t>
              <w:tab/>
              <w:t>67</w:t>
            </w:r>
          </w:hyperlink>
        </w:p>
        <w:p>
          <w:pPr>
            <w:pStyle w:val="TOC1"/>
            <w:numPr>
              <w:ilvl w:val="0"/>
              <w:numId w:val="1"/>
            </w:numPr>
            <w:tabs>
              <w:tab w:pos="1669" w:val="left" w:leader="none"/>
              <w:tab w:pos="10468" w:val="right" w:leader="dot"/>
            </w:tabs>
            <w:spacing w:line="240" w:lineRule="auto" w:before="137" w:after="0"/>
            <w:ind w:left="1668" w:right="0" w:hanging="371"/>
            <w:jc w:val="left"/>
            <w:rPr>
              <w:i/>
            </w:rPr>
          </w:pPr>
          <w:hyperlink w:history="true" w:anchor="_bookmark63">
            <w:r>
              <w:rPr>
                <w:i/>
                <w:color w:val="003C79"/>
              </w:rPr>
              <w:t>Constraints</w:t>
            </w:r>
            <w:r>
              <w:rPr>
                <w:i/>
                <w:color w:val="003C79"/>
                <w:spacing w:val="-2"/>
              </w:rPr>
              <w:t> </w:t>
            </w:r>
            <w:r>
              <w:rPr>
                <w:i/>
                <w:color w:val="003C79"/>
              </w:rPr>
              <w:t>and</w:t>
            </w:r>
            <w:r>
              <w:rPr>
                <w:i/>
                <w:color w:val="003C79"/>
                <w:spacing w:val="-1"/>
              </w:rPr>
              <w:t> </w:t>
            </w:r>
            <w:r>
              <w:rPr>
                <w:i/>
                <w:color w:val="003C79"/>
              </w:rPr>
              <w:t>limitations</w:t>
              <w:tab/>
              <w:t>69</w:t>
            </w:r>
          </w:hyperlink>
        </w:p>
        <w:p>
          <w:pPr>
            <w:pStyle w:val="TOC2"/>
            <w:tabs>
              <w:tab w:pos="10468" w:val="right" w:leader="dot"/>
            </w:tabs>
          </w:pPr>
          <w:hyperlink w:history="true" w:anchor="_bookmark64">
            <w:r>
              <w:rPr>
                <w:color w:val="003C79"/>
              </w:rPr>
              <w:t>C</w:t>
            </w:r>
          </w:hyperlink>
          <w:hyperlink w:history="true" w:anchor="_bookmark64">
            <w:r>
              <w:rPr>
                <w:color w:val="003C79"/>
              </w:rPr>
              <w:t>omplexity</w:t>
            </w:r>
            <w:r>
              <w:rPr>
                <w:color w:val="003C79"/>
                <w:spacing w:val="-3"/>
              </w:rPr>
              <w:t> </w:t>
            </w:r>
            <w:r>
              <w:rPr>
                <w:color w:val="003C79"/>
              </w:rPr>
              <w:t>of</w:t>
            </w:r>
            <w:r>
              <w:rPr>
                <w:color w:val="003C79"/>
                <w:spacing w:val="-1"/>
              </w:rPr>
              <w:t> </w:t>
            </w:r>
            <w:r>
              <w:rPr>
                <w:color w:val="003C79"/>
              </w:rPr>
              <w:t>intervention</w:t>
              <w:tab/>
              <w:t>69</w:t>
            </w:r>
          </w:hyperlink>
        </w:p>
        <w:p>
          <w:pPr>
            <w:pStyle w:val="TOC2"/>
            <w:tabs>
              <w:tab w:pos="10468" w:val="right" w:leader="dot"/>
            </w:tabs>
            <w:spacing w:before="137"/>
          </w:pPr>
          <w:hyperlink w:history="true" w:anchor="_bookmark65">
            <w:r>
              <w:rPr>
                <w:color w:val="003C79"/>
              </w:rPr>
              <w:t>Ob</w:t>
            </w:r>
          </w:hyperlink>
          <w:hyperlink w:history="true" w:anchor="_bookmark65">
            <w:r>
              <w:rPr>
                <w:color w:val="003C79"/>
              </w:rPr>
              <w:t>servational</w:t>
            </w:r>
            <w:r>
              <w:rPr>
                <w:color w:val="003C79"/>
                <w:spacing w:val="1"/>
              </w:rPr>
              <w:t> </w:t>
            </w:r>
            <w:r>
              <w:rPr>
                <w:color w:val="003C79"/>
              </w:rPr>
              <w:t>(quasi</w:t>
            </w:r>
            <w:r>
              <w:rPr>
                <w:color w:val="003C79"/>
                <w:spacing w:val="-1"/>
              </w:rPr>
              <w:t> </w:t>
            </w:r>
            <w:r>
              <w:rPr>
                <w:color w:val="003C79"/>
              </w:rPr>
              <w:t>experimental)</w:t>
            </w:r>
            <w:r>
              <w:rPr>
                <w:color w:val="003C79"/>
                <w:spacing w:val="-2"/>
              </w:rPr>
              <w:t> </w:t>
            </w:r>
            <w:r>
              <w:rPr>
                <w:color w:val="003C79"/>
              </w:rPr>
              <w:t>design</w:t>
              <w:tab/>
              <w:t>69</w:t>
            </w:r>
          </w:hyperlink>
        </w:p>
        <w:p>
          <w:pPr>
            <w:pStyle w:val="TOC2"/>
            <w:tabs>
              <w:tab w:pos="10468" w:val="right" w:leader="dot"/>
            </w:tabs>
          </w:pPr>
          <w:hyperlink w:history="true" w:anchor="_bookmark66">
            <w:r>
              <w:rPr>
                <w:color w:val="003C79"/>
              </w:rPr>
              <w:t>S</w:t>
            </w:r>
          </w:hyperlink>
          <w:hyperlink w:history="true" w:anchor="_bookmark66">
            <w:r>
              <w:rPr>
                <w:color w:val="003C79"/>
              </w:rPr>
              <w:t>election</w:t>
            </w:r>
            <w:r>
              <w:rPr>
                <w:color w:val="003C79"/>
                <w:spacing w:val="-1"/>
              </w:rPr>
              <w:t> </w:t>
            </w:r>
            <w:r>
              <w:rPr>
                <w:color w:val="003C79"/>
              </w:rPr>
              <w:t>of</w:t>
            </w:r>
            <w:r>
              <w:rPr>
                <w:color w:val="003C79"/>
                <w:spacing w:val="-1"/>
              </w:rPr>
              <w:t> </w:t>
            </w:r>
            <w:r>
              <w:rPr>
                <w:color w:val="003C79"/>
              </w:rPr>
              <w:t>patients</w:t>
              <w:tab/>
              <w:t>70</w:t>
            </w:r>
          </w:hyperlink>
        </w:p>
        <w:p>
          <w:pPr>
            <w:pStyle w:val="TOC2"/>
            <w:tabs>
              <w:tab w:pos="10468" w:val="right" w:leader="dot"/>
            </w:tabs>
          </w:pPr>
          <w:hyperlink w:history="true" w:anchor="_bookmark67">
            <w:r>
              <w:rPr>
                <w:color w:val="003C79"/>
              </w:rPr>
              <w:t>L</w:t>
            </w:r>
          </w:hyperlink>
          <w:hyperlink w:history="true" w:anchor="_bookmark67">
            <w:r>
              <w:rPr>
                <w:color w:val="003C79"/>
              </w:rPr>
              <w:t>ength</w:t>
            </w:r>
            <w:r>
              <w:rPr>
                <w:color w:val="003C79"/>
                <w:spacing w:val="-1"/>
              </w:rPr>
              <w:t> </w:t>
            </w:r>
            <w:r>
              <w:rPr>
                <w:color w:val="003C79"/>
              </w:rPr>
              <w:t>of</w:t>
            </w:r>
            <w:r>
              <w:rPr>
                <w:color w:val="003C79"/>
                <w:spacing w:val="-1"/>
              </w:rPr>
              <w:t> </w:t>
            </w:r>
            <w:r>
              <w:rPr>
                <w:color w:val="003C79"/>
              </w:rPr>
              <w:t>time</w:t>
            </w:r>
            <w:r>
              <w:rPr>
                <w:color w:val="003C79"/>
                <w:spacing w:val="-1"/>
              </w:rPr>
              <w:t> </w:t>
            </w:r>
            <w:r>
              <w:rPr>
                <w:color w:val="003C79"/>
              </w:rPr>
              <w:t>for</w:t>
            </w:r>
            <w:r>
              <w:rPr>
                <w:color w:val="003C79"/>
                <w:spacing w:val="-1"/>
              </w:rPr>
              <w:t> </w:t>
            </w:r>
            <w:r>
              <w:rPr>
                <w:color w:val="003C79"/>
              </w:rPr>
              <w:t>changes</w:t>
            </w:r>
            <w:r>
              <w:rPr>
                <w:color w:val="003C79"/>
                <w:spacing w:val="-2"/>
              </w:rPr>
              <w:t> </w:t>
            </w:r>
            <w:r>
              <w:rPr>
                <w:color w:val="003C79"/>
              </w:rPr>
              <w:t>in outcomes</w:t>
            </w:r>
            <w:r>
              <w:rPr>
                <w:color w:val="003C79"/>
                <w:spacing w:val="-1"/>
              </w:rPr>
              <w:t> </w:t>
            </w:r>
            <w:r>
              <w:rPr>
                <w:color w:val="003C79"/>
              </w:rPr>
              <w:t>to</w:t>
            </w:r>
            <w:r>
              <w:rPr>
                <w:color w:val="003C79"/>
                <w:spacing w:val="-1"/>
              </w:rPr>
              <w:t> </w:t>
            </w:r>
            <w:r>
              <w:rPr>
                <w:color w:val="003C79"/>
              </w:rPr>
              <w:t>be</w:t>
            </w:r>
            <w:r>
              <w:rPr>
                <w:color w:val="003C79"/>
                <w:spacing w:val="-2"/>
              </w:rPr>
              <w:t> </w:t>
            </w:r>
            <w:r>
              <w:rPr>
                <w:color w:val="003C79"/>
              </w:rPr>
              <w:t>observed</w:t>
              <w:tab/>
              <w:t>70</w:t>
            </w:r>
          </w:hyperlink>
        </w:p>
        <w:p>
          <w:pPr>
            <w:pStyle w:val="TOC2"/>
            <w:tabs>
              <w:tab w:pos="10468" w:val="right" w:leader="dot"/>
            </w:tabs>
            <w:spacing w:before="139"/>
          </w:pPr>
          <w:hyperlink w:history="true" w:anchor="_bookmark68">
            <w:r>
              <w:rPr>
                <w:color w:val="003C79"/>
              </w:rPr>
              <w:t>H</w:t>
            </w:r>
          </w:hyperlink>
          <w:hyperlink w:history="true" w:anchor="_bookmark68">
            <w:r>
              <w:rPr>
                <w:color w:val="003C79"/>
              </w:rPr>
              <w:t>eterogeneity</w:t>
            </w:r>
            <w:r>
              <w:rPr>
                <w:color w:val="003C79"/>
                <w:spacing w:val="-3"/>
              </w:rPr>
              <w:t> </w:t>
            </w:r>
            <w:r>
              <w:rPr>
                <w:color w:val="003C79"/>
              </w:rPr>
              <w:t>in the</w:t>
            </w:r>
            <w:r>
              <w:rPr>
                <w:color w:val="003C79"/>
                <w:spacing w:val="-2"/>
              </w:rPr>
              <w:t> </w:t>
            </w:r>
            <w:r>
              <w:rPr>
                <w:color w:val="003C79"/>
              </w:rPr>
              <w:t>implementation of</w:t>
            </w:r>
            <w:r>
              <w:rPr>
                <w:color w:val="003C79"/>
                <w:spacing w:val="-1"/>
              </w:rPr>
              <w:t> </w:t>
            </w:r>
            <w:r>
              <w:rPr>
                <w:color w:val="003C79"/>
              </w:rPr>
              <w:t>HCH</w:t>
            </w:r>
            <w:r>
              <w:rPr>
                <w:color w:val="003C79"/>
                <w:spacing w:val="-1"/>
              </w:rPr>
              <w:t> </w:t>
            </w:r>
            <w:r>
              <w:rPr>
                <w:color w:val="003C79"/>
              </w:rPr>
              <w:t>within practices</w:t>
              <w:tab/>
              <w:t>71</w:t>
            </w:r>
          </w:hyperlink>
        </w:p>
        <w:p>
          <w:pPr>
            <w:pStyle w:val="TOC2"/>
            <w:tabs>
              <w:tab w:pos="10468" w:val="right" w:leader="dot"/>
            </w:tabs>
          </w:pPr>
          <w:hyperlink w:history="true" w:anchor="_bookmark69">
            <w:r>
              <w:rPr>
                <w:color w:val="003C79"/>
              </w:rPr>
              <w:t>Q</w:t>
            </w:r>
          </w:hyperlink>
          <w:hyperlink w:history="true" w:anchor="_bookmark69">
            <w:r>
              <w:rPr>
                <w:color w:val="003C79"/>
              </w:rPr>
              <w:t>uality</w:t>
            </w:r>
            <w:r>
              <w:rPr>
                <w:color w:val="003C79"/>
                <w:spacing w:val="-3"/>
              </w:rPr>
              <w:t> </w:t>
            </w:r>
            <w:r>
              <w:rPr>
                <w:color w:val="003C79"/>
              </w:rPr>
              <w:t>and</w:t>
            </w:r>
            <w:r>
              <w:rPr>
                <w:color w:val="003C79"/>
                <w:spacing w:val="-1"/>
              </w:rPr>
              <w:t> </w:t>
            </w:r>
            <w:r>
              <w:rPr>
                <w:color w:val="003C79"/>
              </w:rPr>
              <w:t>consistency</w:t>
            </w:r>
            <w:r>
              <w:rPr>
                <w:color w:val="003C79"/>
                <w:spacing w:val="-1"/>
              </w:rPr>
              <w:t> </w:t>
            </w:r>
            <w:r>
              <w:rPr>
                <w:color w:val="003C79"/>
              </w:rPr>
              <w:t>of</w:t>
            </w:r>
            <w:r>
              <w:rPr>
                <w:color w:val="003C79"/>
                <w:spacing w:val="-1"/>
              </w:rPr>
              <w:t> </w:t>
            </w:r>
            <w:r>
              <w:rPr>
                <w:color w:val="003C79"/>
              </w:rPr>
              <w:t>practice</w:t>
            </w:r>
            <w:r>
              <w:rPr>
                <w:color w:val="003C79"/>
                <w:spacing w:val="-1"/>
              </w:rPr>
              <w:t> </w:t>
            </w:r>
            <w:r>
              <w:rPr>
                <w:color w:val="003C79"/>
              </w:rPr>
              <w:t>data</w:t>
            </w:r>
            <w:r>
              <w:rPr>
                <w:color w:val="003C79"/>
                <w:spacing w:val="-1"/>
              </w:rPr>
              <w:t> </w:t>
            </w:r>
            <w:r>
              <w:rPr>
                <w:color w:val="003C79"/>
              </w:rPr>
              <w:t>extracts</w:t>
              <w:tab/>
              <w:t>71</w:t>
            </w:r>
          </w:hyperlink>
        </w:p>
        <w:p>
          <w:pPr>
            <w:pStyle w:val="TOC2"/>
            <w:tabs>
              <w:tab w:pos="10468" w:val="right" w:leader="dot"/>
            </w:tabs>
            <w:spacing w:before="137"/>
          </w:pPr>
          <w:hyperlink w:history="true" w:anchor="_bookmark70">
            <w:r>
              <w:rPr>
                <w:color w:val="003C79"/>
              </w:rPr>
              <w:t>De</w:t>
            </w:r>
          </w:hyperlink>
          <w:hyperlink w:history="true" w:anchor="_bookmark70">
            <w:r>
              <w:rPr>
                <w:color w:val="003C79"/>
              </w:rPr>
              <w:t>lays</w:t>
            </w:r>
            <w:r>
              <w:rPr>
                <w:color w:val="003C79"/>
                <w:spacing w:val="-2"/>
              </w:rPr>
              <w:t> </w:t>
            </w:r>
            <w:r>
              <w:rPr>
                <w:color w:val="003C79"/>
              </w:rPr>
              <w:t>in obtaining</w:t>
            </w:r>
            <w:r>
              <w:rPr>
                <w:color w:val="003C79"/>
                <w:spacing w:val="-1"/>
              </w:rPr>
              <w:t> </w:t>
            </w:r>
            <w:r>
              <w:rPr>
                <w:color w:val="003C79"/>
              </w:rPr>
              <w:t>secondary</w:t>
            </w:r>
            <w:r>
              <w:rPr>
                <w:color w:val="003C79"/>
                <w:spacing w:val="-2"/>
              </w:rPr>
              <w:t> </w:t>
            </w:r>
            <w:r>
              <w:rPr>
                <w:color w:val="003C79"/>
              </w:rPr>
              <w:t>data</w:t>
              <w:tab/>
              <w:t>72</w:t>
            </w:r>
          </w:hyperlink>
        </w:p>
        <w:p>
          <w:pPr>
            <w:pStyle w:val="TOC2"/>
            <w:tabs>
              <w:tab w:pos="10468" w:val="right" w:leader="dot"/>
            </w:tabs>
            <w:spacing w:before="137"/>
          </w:pPr>
          <w:hyperlink w:history="true" w:anchor="_bookmark71">
            <w:r>
              <w:rPr>
                <w:color w:val="003C79"/>
              </w:rPr>
              <w:t>Non</w:t>
            </w:r>
          </w:hyperlink>
          <w:hyperlink w:history="true" w:anchor="_bookmark71">
            <w:r>
              <w:rPr>
                <w:color w:val="003C79"/>
              </w:rPr>
              <w:t>-responses</w:t>
            </w:r>
            <w:r>
              <w:rPr>
                <w:color w:val="003C79"/>
                <w:spacing w:val="-3"/>
              </w:rPr>
              <w:t> </w:t>
            </w:r>
            <w:r>
              <w:rPr>
                <w:color w:val="003C79"/>
              </w:rPr>
              <w:t>to</w:t>
            </w:r>
            <w:r>
              <w:rPr>
                <w:color w:val="003C79"/>
                <w:spacing w:val="1"/>
              </w:rPr>
              <w:t> </w:t>
            </w:r>
            <w:r>
              <w:rPr>
                <w:color w:val="003C79"/>
              </w:rPr>
              <w:t>surveys</w:t>
              <w:tab/>
              <w:t>72</w:t>
            </w:r>
          </w:hyperlink>
        </w:p>
        <w:p>
          <w:pPr>
            <w:pStyle w:val="TOC1"/>
            <w:numPr>
              <w:ilvl w:val="0"/>
              <w:numId w:val="1"/>
            </w:numPr>
            <w:tabs>
              <w:tab w:pos="1669" w:val="left" w:leader="none"/>
              <w:tab w:pos="10468" w:val="right" w:leader="dot"/>
            </w:tabs>
            <w:spacing w:line="240" w:lineRule="auto" w:before="136" w:after="0"/>
            <w:ind w:left="1668" w:right="0" w:hanging="371"/>
            <w:jc w:val="left"/>
            <w:rPr>
              <w:i/>
            </w:rPr>
          </w:pPr>
          <w:hyperlink w:history="true" w:anchor="_bookmark72">
            <w:r>
              <w:rPr>
                <w:i/>
                <w:color w:val="003C79"/>
              </w:rPr>
              <w:t>Ethical</w:t>
            </w:r>
            <w:r>
              <w:rPr>
                <w:i/>
                <w:color w:val="003C79"/>
                <w:spacing w:val="-1"/>
              </w:rPr>
              <w:t> </w:t>
            </w:r>
            <w:r>
              <w:rPr>
                <w:i/>
                <w:color w:val="003C79"/>
              </w:rPr>
              <w:t>considerations</w:t>
              <w:tab/>
              <w:t>73</w:t>
            </w:r>
          </w:hyperlink>
        </w:p>
        <w:p>
          <w:pPr>
            <w:pStyle w:val="TOC2"/>
            <w:tabs>
              <w:tab w:pos="10468" w:val="right" w:leader="dot"/>
            </w:tabs>
          </w:pPr>
          <w:hyperlink w:history="true" w:anchor="_bookmark73">
            <w:r>
              <w:rPr>
                <w:color w:val="003C79"/>
              </w:rPr>
              <w:t>Pat</w:t>
            </w:r>
          </w:hyperlink>
          <w:hyperlink w:history="true" w:anchor="_bookmark73">
            <w:r>
              <w:rPr>
                <w:color w:val="003C79"/>
              </w:rPr>
              <w:t>ients</w:t>
            </w:r>
            <w:r>
              <w:rPr>
                <w:color w:val="003C79"/>
                <w:spacing w:val="-2"/>
              </w:rPr>
              <w:t> </w:t>
            </w:r>
            <w:r>
              <w:rPr>
                <w:color w:val="003C79"/>
              </w:rPr>
              <w:t>enrolled</w:t>
            </w:r>
            <w:r>
              <w:rPr>
                <w:color w:val="003C79"/>
                <w:spacing w:val="-1"/>
              </w:rPr>
              <w:t> </w:t>
            </w:r>
            <w:r>
              <w:rPr>
                <w:color w:val="003C79"/>
              </w:rPr>
              <w:t>in HCH</w:t>
              <w:tab/>
              <w:t>73</w:t>
            </w:r>
          </w:hyperlink>
        </w:p>
        <w:p>
          <w:pPr>
            <w:pStyle w:val="TOC1"/>
            <w:numPr>
              <w:ilvl w:val="0"/>
              <w:numId w:val="1"/>
            </w:numPr>
            <w:tabs>
              <w:tab w:pos="1669" w:val="left" w:leader="none"/>
              <w:tab w:pos="10468" w:val="right" w:leader="dot"/>
            </w:tabs>
            <w:spacing w:line="240" w:lineRule="auto" w:before="139" w:after="0"/>
            <w:ind w:left="1668" w:right="0" w:hanging="371"/>
            <w:jc w:val="left"/>
            <w:rPr>
              <w:i/>
            </w:rPr>
          </w:pPr>
          <w:hyperlink w:history="true" w:anchor="_bookmark74">
            <w:r>
              <w:rPr>
                <w:i/>
                <w:color w:val="003C79"/>
              </w:rPr>
              <w:t>Dissemination</w:t>
            </w:r>
            <w:r>
              <w:rPr>
                <w:i/>
                <w:color w:val="003C79"/>
                <w:spacing w:val="-1"/>
              </w:rPr>
              <w:t> </w:t>
            </w:r>
            <w:r>
              <w:rPr>
                <w:i/>
                <w:color w:val="003C79"/>
              </w:rPr>
              <w:t>strategy</w:t>
              <w:tab/>
              <w:t>75</w:t>
            </w:r>
          </w:hyperlink>
        </w:p>
        <w:p>
          <w:pPr>
            <w:pStyle w:val="TOC2"/>
            <w:tabs>
              <w:tab w:pos="10468" w:val="right" w:leader="dot"/>
            </w:tabs>
            <w:spacing w:before="137"/>
          </w:pPr>
          <w:hyperlink w:history="true" w:anchor="_bookmark75">
            <w:r>
              <w:rPr>
                <w:color w:val="003C79"/>
              </w:rPr>
              <w:t>Di</w:t>
            </w:r>
          </w:hyperlink>
          <w:hyperlink w:history="true" w:anchor="_bookmark75">
            <w:r>
              <w:rPr>
                <w:color w:val="003C79"/>
              </w:rPr>
              <w:t>ssemination</w:t>
            </w:r>
            <w:r>
              <w:rPr>
                <w:color w:val="003C79"/>
                <w:spacing w:val="-1"/>
              </w:rPr>
              <w:t> </w:t>
            </w:r>
            <w:r>
              <w:rPr>
                <w:color w:val="003C79"/>
              </w:rPr>
              <w:t>products</w:t>
              <w:tab/>
              <w:t>75</w:t>
            </w:r>
          </w:hyperlink>
        </w:p>
        <w:p>
          <w:pPr>
            <w:pStyle w:val="TOC2"/>
            <w:tabs>
              <w:tab w:pos="10468" w:val="right" w:leader="dot"/>
            </w:tabs>
          </w:pPr>
          <w:hyperlink w:history="true" w:anchor="_bookmark76">
            <w:r>
              <w:rPr>
                <w:color w:val="003C79"/>
              </w:rPr>
              <w:t>I</w:t>
            </w:r>
          </w:hyperlink>
          <w:hyperlink w:history="true" w:anchor="_bookmark76">
            <w:r>
              <w:rPr>
                <w:color w:val="003C79"/>
              </w:rPr>
              <w:t>ntended</w:t>
            </w:r>
            <w:r>
              <w:rPr>
                <w:color w:val="003C79"/>
                <w:spacing w:val="-1"/>
              </w:rPr>
              <w:t> </w:t>
            </w:r>
            <w:r>
              <w:rPr>
                <w:color w:val="003C79"/>
              </w:rPr>
              <w:t>audiences</w:t>
            </w:r>
            <w:r>
              <w:rPr>
                <w:color w:val="003C79"/>
                <w:spacing w:val="-1"/>
              </w:rPr>
              <w:t> </w:t>
            </w:r>
            <w:r>
              <w:rPr>
                <w:color w:val="003C79"/>
              </w:rPr>
              <w:t>for</w:t>
            </w:r>
            <w:r>
              <w:rPr>
                <w:color w:val="003C79"/>
                <w:spacing w:val="-1"/>
              </w:rPr>
              <w:t> </w:t>
            </w:r>
            <w:r>
              <w:rPr>
                <w:color w:val="003C79"/>
              </w:rPr>
              <w:t>the</w:t>
            </w:r>
            <w:r>
              <w:rPr>
                <w:color w:val="003C79"/>
                <w:spacing w:val="-1"/>
              </w:rPr>
              <w:t> </w:t>
            </w:r>
            <w:r>
              <w:rPr>
                <w:color w:val="003C79"/>
              </w:rPr>
              <w:t>dissemination</w:t>
              <w:tab/>
              <w:t>76</w:t>
            </w:r>
          </w:hyperlink>
        </w:p>
        <w:p>
          <w:pPr>
            <w:pStyle w:val="TOC2"/>
            <w:tabs>
              <w:tab w:pos="10468" w:val="right" w:leader="dot"/>
            </w:tabs>
          </w:pPr>
          <w:hyperlink w:history="true" w:anchor="_bookmark77">
            <w:r>
              <w:rPr>
                <w:color w:val="003C79"/>
              </w:rPr>
              <w:t>S</w:t>
            </w:r>
          </w:hyperlink>
          <w:hyperlink w:history="true" w:anchor="_bookmark77">
            <w:r>
              <w:rPr>
                <w:color w:val="003C79"/>
              </w:rPr>
              <w:t>trategies</w:t>
            </w:r>
            <w:r>
              <w:rPr>
                <w:color w:val="003C79"/>
                <w:spacing w:val="-2"/>
              </w:rPr>
              <w:t> </w:t>
            </w:r>
            <w:r>
              <w:rPr>
                <w:color w:val="003C79"/>
              </w:rPr>
              <w:t>and</w:t>
            </w:r>
            <w:r>
              <w:rPr>
                <w:color w:val="003C79"/>
                <w:spacing w:val="-1"/>
              </w:rPr>
              <w:t> </w:t>
            </w:r>
            <w:r>
              <w:rPr>
                <w:color w:val="003C79"/>
              </w:rPr>
              <w:t>timeframe</w:t>
            </w:r>
            <w:r>
              <w:rPr>
                <w:color w:val="003C79"/>
                <w:spacing w:val="-2"/>
              </w:rPr>
              <w:t> </w:t>
            </w:r>
            <w:r>
              <w:rPr>
                <w:color w:val="003C79"/>
              </w:rPr>
              <w:t>for</w:t>
            </w:r>
            <w:r>
              <w:rPr>
                <w:color w:val="003C79"/>
                <w:spacing w:val="-1"/>
              </w:rPr>
              <w:t> </w:t>
            </w:r>
            <w:r>
              <w:rPr>
                <w:color w:val="003C79"/>
              </w:rPr>
              <w:t>dissemination of</w:t>
            </w:r>
            <w:r>
              <w:rPr>
                <w:color w:val="003C79"/>
                <w:spacing w:val="-2"/>
              </w:rPr>
              <w:t> </w:t>
            </w:r>
            <w:r>
              <w:rPr>
                <w:color w:val="003C79"/>
              </w:rPr>
              <w:t>key</w:t>
            </w:r>
            <w:r>
              <w:rPr>
                <w:color w:val="003C79"/>
                <w:spacing w:val="1"/>
              </w:rPr>
              <w:t> </w:t>
            </w:r>
            <w:r>
              <w:rPr>
                <w:color w:val="003C79"/>
              </w:rPr>
              <w:t>products</w:t>
              <w:tab/>
              <w:t>77</w:t>
            </w:r>
          </w:hyperlink>
        </w:p>
        <w:p>
          <w:pPr>
            <w:pStyle w:val="TOC1"/>
            <w:tabs>
              <w:tab w:pos="10468" w:val="right" w:leader="dot"/>
            </w:tabs>
            <w:spacing w:before="137"/>
            <w:ind w:left="1298" w:firstLine="0"/>
            <w:rPr>
              <w:i/>
            </w:rPr>
          </w:pPr>
          <w:hyperlink w:history="true" w:anchor="_bookmark78">
            <w:r>
              <w:rPr>
                <w:i/>
                <w:color w:val="003C79"/>
              </w:rPr>
              <w:t>A</w:t>
            </w:r>
          </w:hyperlink>
          <w:hyperlink w:history="true" w:anchor="_bookmark78">
            <w:r>
              <w:rPr>
                <w:i/>
                <w:color w:val="003C79"/>
              </w:rPr>
              <w:t>ppendix</w:t>
            </w:r>
            <w:r>
              <w:rPr>
                <w:i/>
                <w:color w:val="003C79"/>
                <w:spacing w:val="-2"/>
              </w:rPr>
              <w:t> </w:t>
            </w:r>
            <w:r>
              <w:rPr>
                <w:i/>
                <w:color w:val="003C79"/>
              </w:rPr>
              <w:t>A</w:t>
            </w:r>
            <w:r>
              <w:rPr>
                <w:i/>
                <w:color w:val="003C79"/>
                <w:spacing w:val="-2"/>
              </w:rPr>
              <w:t> </w:t>
            </w:r>
            <w:r>
              <w:rPr>
                <w:i/>
                <w:color w:val="003C79"/>
              </w:rPr>
              <w:t>–</w:t>
            </w:r>
            <w:r>
              <w:rPr>
                <w:i/>
                <w:color w:val="003C79"/>
                <w:spacing w:val="1"/>
              </w:rPr>
              <w:t> </w:t>
            </w:r>
            <w:r>
              <w:rPr>
                <w:i/>
                <w:color w:val="003C79"/>
              </w:rPr>
              <w:t>Sampling</w:t>
            </w:r>
            <w:r>
              <w:rPr>
                <w:i/>
                <w:color w:val="003C79"/>
                <w:spacing w:val="-2"/>
              </w:rPr>
              <w:t> </w:t>
            </w:r>
            <w:r>
              <w:rPr>
                <w:i/>
                <w:color w:val="003C79"/>
              </w:rPr>
              <w:t>frame</w:t>
            </w:r>
            <w:r>
              <w:rPr>
                <w:i/>
                <w:color w:val="003C79"/>
                <w:spacing w:val="-1"/>
              </w:rPr>
              <w:t> </w:t>
            </w:r>
            <w:r>
              <w:rPr>
                <w:i/>
                <w:color w:val="003C79"/>
              </w:rPr>
              <w:t>for</w:t>
            </w:r>
            <w:r>
              <w:rPr>
                <w:i/>
                <w:color w:val="003C79"/>
                <w:spacing w:val="-2"/>
              </w:rPr>
              <w:t> </w:t>
            </w:r>
            <w:r>
              <w:rPr>
                <w:i/>
                <w:color w:val="003C79"/>
              </w:rPr>
              <w:t>practices</w:t>
            </w:r>
            <w:r>
              <w:rPr>
                <w:i/>
                <w:color w:val="003C79"/>
                <w:spacing w:val="-1"/>
              </w:rPr>
              <w:t> </w:t>
            </w:r>
            <w:r>
              <w:rPr>
                <w:i/>
                <w:color w:val="003C79"/>
              </w:rPr>
              <w:t>participating</w:t>
            </w:r>
            <w:r>
              <w:rPr>
                <w:i/>
                <w:color w:val="003C79"/>
                <w:spacing w:val="-4"/>
              </w:rPr>
              <w:t> </w:t>
            </w:r>
            <w:r>
              <w:rPr>
                <w:i/>
                <w:color w:val="003C79"/>
              </w:rPr>
              <w:t>in the</w:t>
            </w:r>
            <w:r>
              <w:rPr>
                <w:i/>
                <w:color w:val="003C79"/>
                <w:spacing w:val="-1"/>
              </w:rPr>
              <w:t> </w:t>
            </w:r>
            <w:r>
              <w:rPr>
                <w:i/>
                <w:color w:val="003C79"/>
              </w:rPr>
              <w:t>HCH trial</w:t>
              <w:tab/>
              <w:t>78</w:t>
            </w:r>
          </w:hyperlink>
        </w:p>
        <w:p>
          <w:pPr>
            <w:pStyle w:val="TOC1"/>
            <w:tabs>
              <w:tab w:pos="10468" w:val="right" w:leader="dot"/>
            </w:tabs>
            <w:spacing w:before="137"/>
            <w:ind w:left="1298" w:firstLine="0"/>
            <w:rPr>
              <w:i/>
            </w:rPr>
          </w:pPr>
          <w:hyperlink w:history="true" w:anchor="_bookmark80">
            <w:r>
              <w:rPr>
                <w:i/>
                <w:color w:val="003C79"/>
              </w:rPr>
              <w:t>A</w:t>
            </w:r>
          </w:hyperlink>
          <w:hyperlink w:history="true" w:anchor="_bookmark80">
            <w:r>
              <w:rPr>
                <w:i/>
                <w:color w:val="003C79"/>
              </w:rPr>
              <w:t>ppendix</w:t>
            </w:r>
            <w:r>
              <w:rPr>
                <w:i/>
                <w:color w:val="003C79"/>
                <w:spacing w:val="-2"/>
              </w:rPr>
              <w:t> </w:t>
            </w:r>
            <w:r>
              <w:rPr>
                <w:i/>
                <w:color w:val="003C79"/>
              </w:rPr>
              <w:t>B</w:t>
            </w:r>
            <w:r>
              <w:rPr>
                <w:i/>
                <w:color w:val="003C79"/>
                <w:spacing w:val="1"/>
              </w:rPr>
              <w:t> </w:t>
            </w:r>
            <w:r>
              <w:rPr>
                <w:i/>
                <w:color w:val="003C79"/>
              </w:rPr>
              <w:t>–</w:t>
            </w:r>
            <w:r>
              <w:rPr>
                <w:i/>
                <w:color w:val="003C79"/>
                <w:spacing w:val="1"/>
              </w:rPr>
              <w:t> </w:t>
            </w:r>
            <w:r>
              <w:rPr>
                <w:i/>
                <w:color w:val="003C79"/>
              </w:rPr>
              <w:t>Statistical power</w:t>
            </w:r>
            <w:r>
              <w:rPr>
                <w:i/>
                <w:color w:val="003C79"/>
                <w:spacing w:val="-1"/>
              </w:rPr>
              <w:t> </w:t>
            </w:r>
            <w:r>
              <w:rPr>
                <w:i/>
                <w:color w:val="003C79"/>
              </w:rPr>
              <w:t>estimates</w:t>
              <w:tab/>
              <w:t>80</w:t>
            </w:r>
          </w:hyperlink>
        </w:p>
        <w:p>
          <w:pPr>
            <w:pStyle w:val="TOC2"/>
            <w:tabs>
              <w:tab w:pos="10468" w:val="right" w:leader="dot"/>
            </w:tabs>
            <w:spacing w:before="139"/>
          </w:pPr>
          <w:hyperlink w:history="true" w:anchor="_bookmark81">
            <w:r>
              <w:rPr>
                <w:color w:val="003C79"/>
              </w:rPr>
              <w:t>Pat</w:t>
            </w:r>
          </w:hyperlink>
          <w:hyperlink w:history="true" w:anchor="_bookmark81">
            <w:r>
              <w:rPr>
                <w:color w:val="003C79"/>
              </w:rPr>
              <w:t>ient surveys</w:t>
              <w:tab/>
              <w:t>80</w:t>
            </w:r>
          </w:hyperlink>
        </w:p>
        <w:p>
          <w:pPr>
            <w:pStyle w:val="TOC2"/>
            <w:tabs>
              <w:tab w:pos="10468" w:val="right" w:leader="dot"/>
            </w:tabs>
          </w:pPr>
          <w:hyperlink w:history="true" w:anchor="_bookmark83">
            <w:r>
              <w:rPr>
                <w:color w:val="003C79"/>
              </w:rPr>
              <w:t>V</w:t>
            </w:r>
          </w:hyperlink>
          <w:hyperlink w:history="true" w:anchor="_bookmark83">
            <w:r>
              <w:rPr>
                <w:color w:val="003C79"/>
              </w:rPr>
              <w:t>alidity</w:t>
            </w:r>
            <w:r>
              <w:rPr>
                <w:color w:val="003C79"/>
                <w:spacing w:val="-3"/>
              </w:rPr>
              <w:t> </w:t>
            </w:r>
            <w:r>
              <w:rPr>
                <w:color w:val="003C79"/>
              </w:rPr>
              <w:t>considerations</w:t>
              <w:tab/>
              <w:t>83</w:t>
            </w:r>
          </w:hyperlink>
        </w:p>
        <w:p>
          <w:pPr>
            <w:pStyle w:val="TOC1"/>
            <w:tabs>
              <w:tab w:pos="10468" w:val="right" w:leader="dot"/>
            </w:tabs>
            <w:ind w:left="1298" w:firstLine="0"/>
            <w:rPr>
              <w:i/>
            </w:rPr>
          </w:pPr>
          <w:hyperlink w:history="true" w:anchor="_bookmark84">
            <w:r>
              <w:rPr>
                <w:i/>
                <w:color w:val="003C79"/>
              </w:rPr>
              <w:t>A</w:t>
            </w:r>
          </w:hyperlink>
          <w:hyperlink w:history="true" w:anchor="_bookmark84">
            <w:r>
              <w:rPr>
                <w:i/>
                <w:color w:val="003C79"/>
              </w:rPr>
              <w:t>ppendix</w:t>
            </w:r>
            <w:r>
              <w:rPr>
                <w:i/>
                <w:color w:val="003C79"/>
                <w:spacing w:val="-2"/>
              </w:rPr>
              <w:t> </w:t>
            </w:r>
            <w:r>
              <w:rPr>
                <w:i/>
                <w:color w:val="003C79"/>
              </w:rPr>
              <w:t>C</w:t>
            </w:r>
            <w:r>
              <w:rPr>
                <w:i/>
                <w:color w:val="003C79"/>
                <w:spacing w:val="-1"/>
              </w:rPr>
              <w:t> </w:t>
            </w:r>
            <w:r>
              <w:rPr>
                <w:i/>
                <w:color w:val="003C79"/>
              </w:rPr>
              <w:t>–</w:t>
            </w:r>
            <w:r>
              <w:rPr>
                <w:i/>
                <w:color w:val="003C79"/>
                <w:spacing w:val="1"/>
              </w:rPr>
              <w:t> </w:t>
            </w:r>
            <w:r>
              <w:rPr>
                <w:i/>
                <w:color w:val="003C79"/>
              </w:rPr>
              <w:t>Practice</w:t>
            </w:r>
            <w:r>
              <w:rPr>
                <w:i/>
                <w:color w:val="003C79"/>
                <w:spacing w:val="-1"/>
              </w:rPr>
              <w:t> </w:t>
            </w:r>
            <w:r>
              <w:rPr>
                <w:i/>
                <w:color w:val="003C79"/>
              </w:rPr>
              <w:t>survey</w:t>
              <w:tab/>
              <w:t>86</w:t>
            </w:r>
          </w:hyperlink>
        </w:p>
        <w:p>
          <w:pPr>
            <w:pStyle w:val="TOC1"/>
            <w:tabs>
              <w:tab w:pos="10465" w:val="right" w:leader="dot"/>
            </w:tabs>
            <w:spacing w:before="137"/>
            <w:ind w:left="1298" w:firstLine="0"/>
            <w:rPr>
              <w:i/>
            </w:rPr>
          </w:pPr>
          <w:hyperlink w:history="true" w:anchor="_bookmark85">
            <w:r>
              <w:rPr>
                <w:i/>
                <w:color w:val="003C79"/>
              </w:rPr>
              <w:t>A</w:t>
            </w:r>
          </w:hyperlink>
          <w:hyperlink w:history="true" w:anchor="_bookmark85">
            <w:r>
              <w:rPr>
                <w:i/>
                <w:color w:val="003C79"/>
              </w:rPr>
              <w:t>ppendix</w:t>
            </w:r>
            <w:r>
              <w:rPr>
                <w:i/>
                <w:color w:val="003C79"/>
                <w:spacing w:val="-2"/>
              </w:rPr>
              <w:t> </w:t>
            </w:r>
            <w:r>
              <w:rPr>
                <w:i/>
                <w:color w:val="003C79"/>
              </w:rPr>
              <w:t>D</w:t>
            </w:r>
            <w:r>
              <w:rPr>
                <w:i/>
                <w:color w:val="003C79"/>
                <w:spacing w:val="1"/>
              </w:rPr>
              <w:t> </w:t>
            </w:r>
            <w:r>
              <w:rPr>
                <w:i/>
                <w:color w:val="003C79"/>
              </w:rPr>
              <w:t>–</w:t>
            </w:r>
            <w:r>
              <w:rPr>
                <w:i/>
                <w:color w:val="003C79"/>
                <w:spacing w:val="1"/>
              </w:rPr>
              <w:t> </w:t>
            </w:r>
            <w:r>
              <w:rPr>
                <w:i/>
                <w:color w:val="003C79"/>
              </w:rPr>
              <w:t>Practice</w:t>
            </w:r>
            <w:r>
              <w:rPr>
                <w:i/>
                <w:color w:val="003C79"/>
                <w:spacing w:val="-1"/>
              </w:rPr>
              <w:t> </w:t>
            </w:r>
            <w:r>
              <w:rPr>
                <w:i/>
                <w:color w:val="003C79"/>
              </w:rPr>
              <w:t>staff</w:t>
            </w:r>
            <w:r>
              <w:rPr>
                <w:i/>
                <w:color w:val="003C79"/>
                <w:spacing w:val="1"/>
              </w:rPr>
              <w:t> </w:t>
            </w:r>
            <w:r>
              <w:rPr>
                <w:i/>
                <w:color w:val="003C79"/>
              </w:rPr>
              <w:t>survey</w:t>
              <w:tab/>
              <w:t>123</w:t>
            </w:r>
          </w:hyperlink>
        </w:p>
        <w:p>
          <w:pPr>
            <w:pStyle w:val="TOC1"/>
            <w:tabs>
              <w:tab w:pos="10465" w:val="right" w:leader="dot"/>
            </w:tabs>
            <w:ind w:left="1298" w:firstLine="0"/>
            <w:rPr>
              <w:i/>
            </w:rPr>
          </w:pPr>
          <w:hyperlink w:history="true" w:anchor="_bookmark86">
            <w:r>
              <w:rPr>
                <w:i/>
                <w:color w:val="003C79"/>
              </w:rPr>
              <w:t>A</w:t>
            </w:r>
          </w:hyperlink>
          <w:hyperlink w:history="true" w:anchor="_bookmark86">
            <w:r>
              <w:rPr>
                <w:i/>
                <w:color w:val="003C79"/>
              </w:rPr>
              <w:t>ppendix</w:t>
            </w:r>
            <w:r>
              <w:rPr>
                <w:i/>
                <w:color w:val="003C79"/>
                <w:spacing w:val="-2"/>
              </w:rPr>
              <w:t> </w:t>
            </w:r>
            <w:r>
              <w:rPr>
                <w:i/>
                <w:color w:val="003C79"/>
              </w:rPr>
              <w:t>E</w:t>
            </w:r>
            <w:r>
              <w:rPr>
                <w:i/>
                <w:color w:val="003C79"/>
                <w:spacing w:val="1"/>
              </w:rPr>
              <w:t> </w:t>
            </w:r>
            <w:r>
              <w:rPr>
                <w:i/>
                <w:color w:val="003C79"/>
              </w:rPr>
              <w:t>–</w:t>
            </w:r>
            <w:r>
              <w:rPr>
                <w:i/>
                <w:color w:val="003C79"/>
                <w:spacing w:val="1"/>
              </w:rPr>
              <w:t> </w:t>
            </w:r>
            <w:r>
              <w:rPr>
                <w:i/>
                <w:color w:val="003C79"/>
              </w:rPr>
              <w:t>PHN</w:t>
            </w:r>
            <w:r>
              <w:rPr>
                <w:i/>
                <w:color w:val="003C79"/>
                <w:spacing w:val="-1"/>
              </w:rPr>
              <w:t> </w:t>
            </w:r>
            <w:r>
              <w:rPr>
                <w:i/>
                <w:color w:val="003C79"/>
              </w:rPr>
              <w:t>survey</w:t>
              <w:tab/>
              <w:t>141</w:t>
            </w:r>
          </w:hyperlink>
        </w:p>
        <w:p>
          <w:pPr>
            <w:pStyle w:val="TOC1"/>
            <w:tabs>
              <w:tab w:pos="10465" w:val="right" w:leader="dot"/>
            </w:tabs>
            <w:ind w:left="1298" w:firstLine="0"/>
            <w:rPr>
              <w:i/>
            </w:rPr>
          </w:pPr>
          <w:hyperlink w:history="true" w:anchor="_bookmark87">
            <w:r>
              <w:rPr>
                <w:i/>
                <w:color w:val="003C79"/>
              </w:rPr>
              <w:t>A</w:t>
            </w:r>
          </w:hyperlink>
          <w:hyperlink w:history="true" w:anchor="_bookmark87">
            <w:r>
              <w:rPr>
                <w:i/>
                <w:color w:val="003C79"/>
              </w:rPr>
              <w:t>ppendix</w:t>
            </w:r>
            <w:r>
              <w:rPr>
                <w:i/>
                <w:color w:val="003C79"/>
                <w:spacing w:val="-2"/>
              </w:rPr>
              <w:t> </w:t>
            </w:r>
            <w:r>
              <w:rPr>
                <w:i/>
                <w:color w:val="003C79"/>
              </w:rPr>
              <w:t>F –</w:t>
            </w:r>
            <w:r>
              <w:rPr>
                <w:i/>
                <w:color w:val="003C79"/>
                <w:spacing w:val="1"/>
              </w:rPr>
              <w:t> </w:t>
            </w:r>
            <w:r>
              <w:rPr>
                <w:i/>
                <w:color w:val="003C79"/>
              </w:rPr>
              <w:t>Patient</w:t>
            </w:r>
            <w:r>
              <w:rPr>
                <w:i/>
                <w:color w:val="003C79"/>
                <w:spacing w:val="1"/>
              </w:rPr>
              <w:t> </w:t>
            </w:r>
            <w:r>
              <w:rPr>
                <w:i/>
                <w:color w:val="003C79"/>
              </w:rPr>
              <w:t>survey</w:t>
              <w:tab/>
              <w:t>159</w:t>
            </w:r>
          </w:hyperlink>
        </w:p>
        <w:p>
          <w:pPr>
            <w:pStyle w:val="TOC1"/>
            <w:tabs>
              <w:tab w:pos="10465" w:val="right" w:leader="dot"/>
            </w:tabs>
            <w:spacing w:before="139"/>
            <w:ind w:left="1298" w:firstLine="0"/>
            <w:rPr>
              <w:i/>
            </w:rPr>
          </w:pPr>
          <w:hyperlink w:history="true" w:anchor="_bookmark88">
            <w:r>
              <w:rPr>
                <w:i/>
                <w:color w:val="003C79"/>
              </w:rPr>
              <w:t>A</w:t>
            </w:r>
          </w:hyperlink>
          <w:hyperlink w:history="true" w:anchor="_bookmark88">
            <w:r>
              <w:rPr>
                <w:i/>
                <w:color w:val="003C79"/>
              </w:rPr>
              <w:t>ppendix</w:t>
            </w:r>
            <w:r>
              <w:rPr>
                <w:i/>
                <w:color w:val="003C79"/>
                <w:spacing w:val="-2"/>
              </w:rPr>
              <w:t> </w:t>
            </w:r>
            <w:r>
              <w:rPr>
                <w:i/>
                <w:color w:val="003C79"/>
              </w:rPr>
              <w:t>G</w:t>
            </w:r>
            <w:r>
              <w:rPr>
                <w:i/>
                <w:color w:val="003C79"/>
                <w:spacing w:val="-1"/>
              </w:rPr>
              <w:t> </w:t>
            </w:r>
            <w:r>
              <w:rPr>
                <w:i/>
                <w:color w:val="003C79"/>
              </w:rPr>
              <w:t>–</w:t>
            </w:r>
            <w:r>
              <w:rPr>
                <w:i/>
                <w:color w:val="003C79"/>
                <w:spacing w:val="1"/>
              </w:rPr>
              <w:t> </w:t>
            </w:r>
            <w:r>
              <w:rPr>
                <w:i/>
                <w:color w:val="003C79"/>
              </w:rPr>
              <w:t>Interview</w:t>
            </w:r>
            <w:r>
              <w:rPr>
                <w:i/>
                <w:color w:val="003C79"/>
                <w:spacing w:val="-5"/>
              </w:rPr>
              <w:t> </w:t>
            </w:r>
            <w:r>
              <w:rPr>
                <w:i/>
                <w:color w:val="003C79"/>
              </w:rPr>
              <w:t>and</w:t>
            </w:r>
            <w:r>
              <w:rPr>
                <w:i/>
                <w:color w:val="003C79"/>
                <w:spacing w:val="-1"/>
              </w:rPr>
              <w:t> </w:t>
            </w:r>
            <w:r>
              <w:rPr>
                <w:i/>
                <w:color w:val="003C79"/>
              </w:rPr>
              <w:t>focus</w:t>
            </w:r>
            <w:r>
              <w:rPr>
                <w:i/>
                <w:color w:val="003C79"/>
                <w:spacing w:val="-1"/>
              </w:rPr>
              <w:t> </w:t>
            </w:r>
            <w:r>
              <w:rPr>
                <w:i/>
                <w:color w:val="003C79"/>
              </w:rPr>
              <w:t>group</w:t>
            </w:r>
            <w:r>
              <w:rPr>
                <w:i/>
                <w:color w:val="003C79"/>
                <w:spacing w:val="-1"/>
              </w:rPr>
              <w:t> </w:t>
            </w:r>
            <w:r>
              <w:rPr>
                <w:i/>
                <w:color w:val="003C79"/>
              </w:rPr>
              <w:t>questions</w:t>
              <w:tab/>
              <w:t>177</w:t>
            </w:r>
          </w:hyperlink>
        </w:p>
        <w:p>
          <w:pPr>
            <w:pStyle w:val="TOC2"/>
            <w:tabs>
              <w:tab w:pos="10465" w:val="right" w:leader="dot"/>
            </w:tabs>
            <w:spacing w:before="137" w:after="240"/>
          </w:pPr>
          <w:hyperlink w:history="true" w:anchor="_bookmark89">
            <w:r>
              <w:rPr>
                <w:color w:val="003C79"/>
              </w:rPr>
              <w:t>T</w:t>
            </w:r>
          </w:hyperlink>
          <w:hyperlink w:history="true" w:anchor="_bookmark89">
            <w:r>
              <w:rPr>
                <w:color w:val="003C79"/>
              </w:rPr>
              <w:t>opic</w:t>
            </w:r>
            <w:r>
              <w:rPr>
                <w:color w:val="003C79"/>
                <w:spacing w:val="-1"/>
              </w:rPr>
              <w:t> </w:t>
            </w:r>
            <w:r>
              <w:rPr>
                <w:color w:val="003C79"/>
              </w:rPr>
              <w:t>guide –</w:t>
            </w:r>
            <w:r>
              <w:rPr>
                <w:color w:val="003C79"/>
                <w:spacing w:val="1"/>
              </w:rPr>
              <w:t> </w:t>
            </w:r>
            <w:r>
              <w:rPr>
                <w:color w:val="003C79"/>
              </w:rPr>
              <w:t>Patient*</w:t>
            </w:r>
            <w:r>
              <w:rPr>
                <w:color w:val="003C79"/>
                <w:spacing w:val="-4"/>
              </w:rPr>
              <w:t> </w:t>
            </w:r>
            <w:r>
              <w:rPr>
                <w:color w:val="003C79"/>
              </w:rPr>
              <w:t>interviews</w:t>
              <w:tab/>
              <w:t>177</w:t>
            </w:r>
          </w:hyperlink>
        </w:p>
        <w:p>
          <w:pPr>
            <w:pStyle w:val="TOC2"/>
            <w:tabs>
              <w:tab w:pos="10465" w:val="right" w:leader="dot"/>
            </w:tabs>
            <w:spacing w:before="82"/>
          </w:pPr>
          <w:hyperlink w:history="true" w:anchor="_bookmark90">
            <w:r>
              <w:rPr>
                <w:color w:val="003C79"/>
              </w:rPr>
              <w:t>T</w:t>
            </w:r>
          </w:hyperlink>
          <w:hyperlink w:history="true" w:anchor="_bookmark90">
            <w:r>
              <w:rPr>
                <w:color w:val="003C79"/>
              </w:rPr>
              <w:t>opic</w:t>
            </w:r>
            <w:r>
              <w:rPr>
                <w:color w:val="003C79"/>
                <w:spacing w:val="-1"/>
              </w:rPr>
              <w:t> </w:t>
            </w:r>
            <w:r>
              <w:rPr>
                <w:color w:val="003C79"/>
              </w:rPr>
              <w:t>guide –</w:t>
            </w:r>
            <w:r>
              <w:rPr>
                <w:color w:val="003C79"/>
                <w:spacing w:val="1"/>
              </w:rPr>
              <w:t> </w:t>
            </w:r>
            <w:r>
              <w:rPr>
                <w:color w:val="003C79"/>
              </w:rPr>
              <w:t>Patient*</w:t>
            </w:r>
            <w:r>
              <w:rPr>
                <w:color w:val="003C79"/>
                <w:spacing w:val="-4"/>
              </w:rPr>
              <w:t> </w:t>
            </w:r>
            <w:r>
              <w:rPr>
                <w:color w:val="003C79"/>
              </w:rPr>
              <w:t>focus</w:t>
            </w:r>
            <w:r>
              <w:rPr>
                <w:color w:val="003C79"/>
                <w:spacing w:val="-1"/>
              </w:rPr>
              <w:t> </w:t>
            </w:r>
            <w:r>
              <w:rPr>
                <w:color w:val="003C79"/>
              </w:rPr>
              <w:t>groups</w:t>
              <w:tab/>
              <w:t>179</w:t>
            </w:r>
          </w:hyperlink>
        </w:p>
        <w:p>
          <w:pPr>
            <w:pStyle w:val="TOC2"/>
            <w:tabs>
              <w:tab w:pos="10465" w:val="right" w:leader="dot"/>
            </w:tabs>
            <w:spacing w:before="137"/>
          </w:pPr>
          <w:hyperlink w:history="true" w:anchor="_bookmark91">
            <w:r>
              <w:rPr>
                <w:color w:val="003C79"/>
              </w:rPr>
              <w:t>T</w:t>
            </w:r>
          </w:hyperlink>
          <w:hyperlink w:history="true" w:anchor="_bookmark91">
            <w:r>
              <w:rPr>
                <w:color w:val="003C79"/>
              </w:rPr>
              <w:t>opic</w:t>
            </w:r>
            <w:r>
              <w:rPr>
                <w:color w:val="003C79"/>
                <w:spacing w:val="-1"/>
              </w:rPr>
              <w:t> </w:t>
            </w:r>
            <w:r>
              <w:rPr>
                <w:color w:val="003C79"/>
              </w:rPr>
              <w:t>guide –</w:t>
            </w:r>
            <w:r>
              <w:rPr>
                <w:color w:val="003C79"/>
                <w:spacing w:val="1"/>
              </w:rPr>
              <w:t> </w:t>
            </w:r>
            <w:r>
              <w:rPr>
                <w:color w:val="003C79"/>
              </w:rPr>
              <w:t>Practice*</w:t>
            </w:r>
            <w:r>
              <w:rPr>
                <w:color w:val="003C79"/>
                <w:spacing w:val="-4"/>
              </w:rPr>
              <w:t> </w:t>
            </w:r>
            <w:r>
              <w:rPr>
                <w:color w:val="003C79"/>
              </w:rPr>
              <w:t>interviews</w:t>
              <w:tab/>
              <w:t>182</w:t>
            </w:r>
          </w:hyperlink>
        </w:p>
        <w:p>
          <w:pPr>
            <w:pStyle w:val="TOC2"/>
            <w:tabs>
              <w:tab w:pos="10465" w:val="right" w:leader="dot"/>
            </w:tabs>
          </w:pPr>
          <w:hyperlink w:history="true" w:anchor="_bookmark92">
            <w:r>
              <w:rPr>
                <w:color w:val="003C79"/>
              </w:rPr>
              <w:t>T</w:t>
            </w:r>
          </w:hyperlink>
          <w:hyperlink w:history="true" w:anchor="_bookmark92">
            <w:r>
              <w:rPr>
                <w:color w:val="003C79"/>
              </w:rPr>
              <w:t>opic</w:t>
            </w:r>
            <w:r>
              <w:rPr>
                <w:color w:val="003C79"/>
                <w:spacing w:val="-1"/>
              </w:rPr>
              <w:t> </w:t>
            </w:r>
            <w:r>
              <w:rPr>
                <w:color w:val="003C79"/>
              </w:rPr>
              <w:t>guide –</w:t>
            </w:r>
            <w:r>
              <w:rPr>
                <w:color w:val="003C79"/>
                <w:spacing w:val="1"/>
              </w:rPr>
              <w:t> </w:t>
            </w:r>
            <w:r>
              <w:rPr>
                <w:color w:val="003C79"/>
              </w:rPr>
              <w:t>Practice*</w:t>
            </w:r>
            <w:r>
              <w:rPr>
                <w:color w:val="003C79"/>
                <w:spacing w:val="-4"/>
              </w:rPr>
              <w:t> </w:t>
            </w:r>
            <w:r>
              <w:rPr>
                <w:color w:val="003C79"/>
              </w:rPr>
              <w:t>staff**</w:t>
            </w:r>
            <w:r>
              <w:rPr>
                <w:color w:val="003C79"/>
                <w:spacing w:val="-4"/>
              </w:rPr>
              <w:t> </w:t>
            </w:r>
            <w:r>
              <w:rPr>
                <w:color w:val="003C79"/>
              </w:rPr>
              <w:t>interviews</w:t>
              <w:tab/>
              <w:t>184</w:t>
            </w:r>
          </w:hyperlink>
        </w:p>
        <w:p>
          <w:pPr>
            <w:pStyle w:val="TOC2"/>
            <w:tabs>
              <w:tab w:pos="10465" w:val="right" w:leader="dot"/>
            </w:tabs>
          </w:pPr>
          <w:hyperlink w:history="true" w:anchor="_bookmark93">
            <w:r>
              <w:rPr>
                <w:color w:val="003C79"/>
              </w:rPr>
              <w:t>T</w:t>
            </w:r>
          </w:hyperlink>
          <w:hyperlink w:history="true" w:anchor="_bookmark93">
            <w:r>
              <w:rPr>
                <w:color w:val="003C79"/>
              </w:rPr>
              <w:t>opic</w:t>
            </w:r>
            <w:r>
              <w:rPr>
                <w:color w:val="003C79"/>
                <w:spacing w:val="-1"/>
              </w:rPr>
              <w:t> </w:t>
            </w:r>
            <w:r>
              <w:rPr>
                <w:color w:val="003C79"/>
              </w:rPr>
              <w:t>guide</w:t>
            </w:r>
            <w:r>
              <w:rPr>
                <w:color w:val="003C79"/>
                <w:spacing w:val="-1"/>
              </w:rPr>
              <w:t> </w:t>
            </w:r>
            <w:r>
              <w:rPr>
                <w:color w:val="003C79"/>
              </w:rPr>
              <w:t>–</w:t>
            </w:r>
            <w:r>
              <w:rPr>
                <w:color w:val="003C79"/>
                <w:spacing w:val="3"/>
              </w:rPr>
              <w:t> </w:t>
            </w:r>
            <w:r>
              <w:rPr>
                <w:color w:val="003C79"/>
              </w:rPr>
              <w:t>Community</w:t>
            </w:r>
            <w:r>
              <w:rPr>
                <w:color w:val="003C79"/>
                <w:spacing w:val="-3"/>
              </w:rPr>
              <w:t> </w:t>
            </w:r>
            <w:r>
              <w:rPr>
                <w:color w:val="003C79"/>
              </w:rPr>
              <w:t>pharmacists</w:t>
            </w:r>
            <w:r>
              <w:rPr>
                <w:color w:val="003C79"/>
                <w:spacing w:val="1"/>
              </w:rPr>
              <w:t> </w:t>
            </w:r>
            <w:r>
              <w:rPr>
                <w:color w:val="003C79"/>
              </w:rPr>
              <w:t>(rounds 4 and</w:t>
            </w:r>
            <w:r>
              <w:rPr>
                <w:color w:val="003C79"/>
                <w:spacing w:val="-1"/>
              </w:rPr>
              <w:t> </w:t>
            </w:r>
            <w:r>
              <w:rPr>
                <w:color w:val="003C79"/>
              </w:rPr>
              <w:t>5</w:t>
            </w:r>
            <w:r>
              <w:rPr>
                <w:color w:val="003C79"/>
                <w:spacing w:val="-2"/>
              </w:rPr>
              <w:t> </w:t>
            </w:r>
            <w:r>
              <w:rPr>
                <w:color w:val="003C79"/>
              </w:rPr>
              <w:t>only)</w:t>
              <w:tab/>
              <w:t>185</w:t>
            </w:r>
          </w:hyperlink>
        </w:p>
        <w:p>
          <w:pPr>
            <w:pStyle w:val="TOC2"/>
            <w:tabs>
              <w:tab w:pos="10465" w:val="right" w:leader="dot"/>
            </w:tabs>
            <w:spacing w:before="139"/>
          </w:pPr>
          <w:hyperlink w:history="true" w:anchor="_bookmark94">
            <w:r>
              <w:rPr>
                <w:color w:val="003C79"/>
              </w:rPr>
              <w:t>T</w:t>
            </w:r>
          </w:hyperlink>
          <w:hyperlink w:history="true" w:anchor="_bookmark94">
            <w:r>
              <w:rPr>
                <w:color w:val="003C79"/>
              </w:rPr>
              <w:t>opic</w:t>
            </w:r>
            <w:r>
              <w:rPr>
                <w:color w:val="003C79"/>
                <w:spacing w:val="-2"/>
              </w:rPr>
              <w:t> </w:t>
            </w:r>
            <w:r>
              <w:rPr>
                <w:color w:val="003C79"/>
              </w:rPr>
              <w:t>guide</w:t>
            </w:r>
            <w:r>
              <w:rPr>
                <w:color w:val="003C79"/>
                <w:spacing w:val="-1"/>
              </w:rPr>
              <w:t> </w:t>
            </w:r>
            <w:r>
              <w:rPr>
                <w:color w:val="003C79"/>
              </w:rPr>
              <w:t>–</w:t>
            </w:r>
            <w:r>
              <w:rPr>
                <w:color w:val="003C79"/>
                <w:spacing w:val="1"/>
              </w:rPr>
              <w:t> </w:t>
            </w:r>
            <w:r>
              <w:rPr>
                <w:color w:val="003C79"/>
              </w:rPr>
              <w:t>Related</w:t>
            </w:r>
            <w:r>
              <w:rPr>
                <w:color w:val="003C79"/>
                <w:spacing w:val="-2"/>
              </w:rPr>
              <w:t> </w:t>
            </w:r>
            <w:r>
              <w:rPr>
                <w:color w:val="003C79"/>
              </w:rPr>
              <w:t>provider</w:t>
            </w:r>
            <w:r>
              <w:rPr>
                <w:color w:val="003C79"/>
                <w:spacing w:val="-3"/>
              </w:rPr>
              <w:t> </w:t>
            </w:r>
            <w:r>
              <w:rPr>
                <w:color w:val="003C79"/>
              </w:rPr>
              <w:t>focus</w:t>
            </w:r>
            <w:r>
              <w:rPr>
                <w:color w:val="003C79"/>
                <w:spacing w:val="-2"/>
              </w:rPr>
              <w:t> </w:t>
            </w:r>
            <w:r>
              <w:rPr>
                <w:color w:val="003C79"/>
              </w:rPr>
              <w:t>groups (except</w:t>
            </w:r>
            <w:r>
              <w:rPr>
                <w:color w:val="003C79"/>
                <w:spacing w:val="-1"/>
              </w:rPr>
              <w:t> </w:t>
            </w:r>
            <w:r>
              <w:rPr>
                <w:color w:val="003C79"/>
              </w:rPr>
              <w:t>community</w:t>
            </w:r>
            <w:r>
              <w:rPr>
                <w:color w:val="003C79"/>
                <w:spacing w:val="-3"/>
              </w:rPr>
              <w:t> </w:t>
            </w:r>
            <w:r>
              <w:rPr>
                <w:color w:val="003C79"/>
              </w:rPr>
              <w:t>pharmacists)</w:t>
              <w:tab/>
              <w:t>187</w:t>
            </w:r>
          </w:hyperlink>
        </w:p>
        <w:p>
          <w:pPr>
            <w:pStyle w:val="TOC2"/>
            <w:tabs>
              <w:tab w:pos="10465" w:val="right" w:leader="dot"/>
            </w:tabs>
          </w:pPr>
          <w:hyperlink w:history="true" w:anchor="_bookmark95">
            <w:r>
              <w:rPr>
                <w:color w:val="003C79"/>
              </w:rPr>
              <w:t>T</w:t>
            </w:r>
          </w:hyperlink>
          <w:hyperlink w:history="true" w:anchor="_bookmark95">
            <w:r>
              <w:rPr>
                <w:color w:val="003C79"/>
              </w:rPr>
              <w:t>opic</w:t>
            </w:r>
            <w:r>
              <w:rPr>
                <w:color w:val="003C79"/>
                <w:spacing w:val="-1"/>
              </w:rPr>
              <w:t> </w:t>
            </w:r>
            <w:r>
              <w:rPr>
                <w:color w:val="003C79"/>
              </w:rPr>
              <w:t>guide –</w:t>
            </w:r>
            <w:r>
              <w:rPr>
                <w:color w:val="003C79"/>
                <w:spacing w:val="1"/>
              </w:rPr>
              <w:t> </w:t>
            </w:r>
            <w:r>
              <w:rPr>
                <w:color w:val="003C79"/>
              </w:rPr>
              <w:t>PHN</w:t>
            </w:r>
            <w:r>
              <w:rPr>
                <w:color w:val="003C79"/>
                <w:spacing w:val="-2"/>
              </w:rPr>
              <w:t> </w:t>
            </w:r>
            <w:r>
              <w:rPr>
                <w:color w:val="003C79"/>
              </w:rPr>
              <w:t>interviews</w:t>
              <w:tab/>
              <w:t>188</w:t>
            </w:r>
          </w:hyperlink>
        </w:p>
        <w:p>
          <w:pPr>
            <w:pStyle w:val="TOC2"/>
            <w:tabs>
              <w:tab w:pos="10465" w:val="right" w:leader="dot"/>
            </w:tabs>
            <w:spacing w:before="137"/>
          </w:pPr>
          <w:hyperlink w:history="true" w:anchor="_bookmark96">
            <w:r>
              <w:rPr>
                <w:color w:val="003C79"/>
              </w:rPr>
              <w:t>T</w:t>
            </w:r>
          </w:hyperlink>
          <w:hyperlink w:history="true" w:anchor="_bookmark96">
            <w:r>
              <w:rPr>
                <w:color w:val="003C79"/>
              </w:rPr>
              <w:t>opic</w:t>
            </w:r>
            <w:r>
              <w:rPr>
                <w:color w:val="003C79"/>
                <w:spacing w:val="-1"/>
              </w:rPr>
              <w:t> </w:t>
            </w:r>
            <w:r>
              <w:rPr>
                <w:color w:val="003C79"/>
              </w:rPr>
              <w:t>guide –</w:t>
            </w:r>
            <w:r>
              <w:rPr>
                <w:color w:val="003C79"/>
                <w:spacing w:val="3"/>
              </w:rPr>
              <w:t> </w:t>
            </w:r>
            <w:r>
              <w:rPr>
                <w:color w:val="003C79"/>
              </w:rPr>
              <w:t>LHN/</w:t>
            </w:r>
            <w:r>
              <w:rPr>
                <w:color w:val="003C79"/>
                <w:spacing w:val="-1"/>
              </w:rPr>
              <w:t> </w:t>
            </w:r>
            <w:r>
              <w:rPr>
                <w:color w:val="003C79"/>
              </w:rPr>
              <w:t>state</w:t>
            </w:r>
            <w:r>
              <w:rPr>
                <w:color w:val="003C79"/>
                <w:spacing w:val="-2"/>
              </w:rPr>
              <w:t> </w:t>
            </w:r>
            <w:r>
              <w:rPr>
                <w:color w:val="003C79"/>
              </w:rPr>
              <w:t>and</w:t>
            </w:r>
            <w:r>
              <w:rPr>
                <w:color w:val="003C79"/>
                <w:spacing w:val="-1"/>
              </w:rPr>
              <w:t> </w:t>
            </w:r>
            <w:r>
              <w:rPr>
                <w:color w:val="003C79"/>
              </w:rPr>
              <w:t>territory</w:t>
            </w:r>
            <w:r>
              <w:rPr>
                <w:color w:val="003C79"/>
                <w:spacing w:val="-2"/>
              </w:rPr>
              <w:t> </w:t>
            </w:r>
            <w:r>
              <w:rPr>
                <w:color w:val="003C79"/>
              </w:rPr>
              <w:t>interviews</w:t>
              <w:tab/>
              <w:t>189</w:t>
            </w:r>
          </w:hyperlink>
        </w:p>
        <w:p>
          <w:pPr>
            <w:pStyle w:val="TOC1"/>
            <w:tabs>
              <w:tab w:pos="10465" w:val="right" w:leader="dot"/>
            </w:tabs>
            <w:ind w:left="1298" w:firstLine="0"/>
            <w:rPr>
              <w:i/>
            </w:rPr>
          </w:pPr>
          <w:hyperlink w:history="true" w:anchor="_bookmark97">
            <w:r>
              <w:rPr>
                <w:i/>
                <w:color w:val="003C79"/>
              </w:rPr>
              <w:t>R</w:t>
            </w:r>
          </w:hyperlink>
          <w:hyperlink w:history="true" w:anchor="_bookmark97">
            <w:r>
              <w:rPr>
                <w:i/>
                <w:color w:val="003C79"/>
              </w:rPr>
              <w:t>eferences</w:t>
              <w:tab/>
              <w:t>191</w:t>
            </w:r>
          </w:hyperlink>
        </w:p>
      </w:sdtContent>
    </w:sdt>
    <w:p>
      <w:pPr>
        <w:spacing w:after="0"/>
        <w:sectPr>
          <w:type w:val="continuous"/>
          <w:pgSz w:w="11910" w:h="16840"/>
          <w:pgMar w:top="1360" w:bottom="1440" w:left="0" w:right="0"/>
        </w:sectPr>
      </w:pPr>
    </w:p>
    <w:p>
      <w:pPr>
        <w:pStyle w:val="Heading1"/>
        <w:spacing w:before="82"/>
        <w:ind w:left="1440"/>
      </w:pPr>
      <w:bookmarkStart w:name="_bookmark0" w:id="1"/>
      <w:bookmarkEnd w:id="1"/>
      <w:r>
        <w:rPr/>
      </w:r>
      <w:r>
        <w:rPr>
          <w:color w:val="003C79"/>
        </w:rPr>
        <w:t>Abbreviations</w:t>
      </w:r>
    </w:p>
    <w:p>
      <w:pPr>
        <w:pStyle w:val="BodyText"/>
        <w:spacing w:before="4"/>
        <w:rPr>
          <w:sz w:val="16"/>
        </w:rPr>
      </w:pPr>
    </w:p>
    <w:tbl>
      <w:tblPr>
        <w:tblW w:w="0" w:type="auto"/>
        <w:jc w:val="left"/>
        <w:tblInd w:w="1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8"/>
        <w:gridCol w:w="7671"/>
      </w:tblGrid>
      <w:tr>
        <w:trPr>
          <w:trHeight w:val="363" w:hRule="atLeast"/>
        </w:trPr>
        <w:tc>
          <w:tcPr>
            <w:tcW w:w="1418" w:type="dxa"/>
          </w:tcPr>
          <w:p>
            <w:pPr>
              <w:pStyle w:val="TableParagraph"/>
              <w:spacing w:line="244" w:lineRule="exact"/>
              <w:ind w:left="50"/>
              <w:rPr>
                <w:sz w:val="20"/>
              </w:rPr>
            </w:pPr>
            <w:r>
              <w:rPr>
                <w:sz w:val="20"/>
              </w:rPr>
              <w:t>ABS</w:t>
            </w:r>
          </w:p>
        </w:tc>
        <w:tc>
          <w:tcPr>
            <w:tcW w:w="7671" w:type="dxa"/>
          </w:tcPr>
          <w:p>
            <w:pPr>
              <w:pStyle w:val="TableParagraph"/>
              <w:spacing w:line="244" w:lineRule="exact"/>
              <w:ind w:left="333"/>
              <w:rPr>
                <w:sz w:val="20"/>
              </w:rPr>
            </w:pPr>
            <w:r>
              <w:rPr>
                <w:sz w:val="20"/>
              </w:rPr>
              <w:t>Australian</w:t>
            </w:r>
            <w:r>
              <w:rPr>
                <w:spacing w:val="-5"/>
                <w:sz w:val="20"/>
              </w:rPr>
              <w:t> </w:t>
            </w:r>
            <w:r>
              <w:rPr>
                <w:sz w:val="20"/>
              </w:rPr>
              <w:t>Bureau</w:t>
            </w:r>
            <w:r>
              <w:rPr>
                <w:spacing w:val="-4"/>
                <w:sz w:val="20"/>
              </w:rPr>
              <w:t> </w:t>
            </w:r>
            <w:r>
              <w:rPr>
                <w:sz w:val="20"/>
              </w:rPr>
              <w:t>of</w:t>
            </w:r>
            <w:r>
              <w:rPr>
                <w:spacing w:val="-3"/>
                <w:sz w:val="20"/>
              </w:rPr>
              <w:t> </w:t>
            </w:r>
            <w:r>
              <w:rPr>
                <w:sz w:val="20"/>
              </w:rPr>
              <w:t>Statistics</w:t>
            </w:r>
          </w:p>
        </w:tc>
      </w:tr>
      <w:tr>
        <w:trPr>
          <w:trHeight w:val="482" w:hRule="atLeast"/>
        </w:trPr>
        <w:tc>
          <w:tcPr>
            <w:tcW w:w="1418" w:type="dxa"/>
          </w:tcPr>
          <w:p>
            <w:pPr>
              <w:pStyle w:val="TableParagraph"/>
              <w:spacing w:before="118"/>
              <w:ind w:left="50"/>
              <w:rPr>
                <w:sz w:val="20"/>
              </w:rPr>
            </w:pPr>
            <w:r>
              <w:rPr>
                <w:sz w:val="20"/>
              </w:rPr>
              <w:t>ACCHS</w:t>
            </w:r>
          </w:p>
        </w:tc>
        <w:tc>
          <w:tcPr>
            <w:tcW w:w="7671" w:type="dxa"/>
          </w:tcPr>
          <w:p>
            <w:pPr>
              <w:pStyle w:val="TableParagraph"/>
              <w:spacing w:before="118"/>
              <w:ind w:left="333"/>
              <w:rPr>
                <w:sz w:val="20"/>
              </w:rPr>
            </w:pPr>
            <w:r>
              <w:rPr>
                <w:sz w:val="20"/>
              </w:rPr>
              <w:t>Aboriginal</w:t>
            </w:r>
            <w:r>
              <w:rPr>
                <w:spacing w:val="-4"/>
                <w:sz w:val="20"/>
              </w:rPr>
              <w:t> </w:t>
            </w:r>
            <w:r>
              <w:rPr>
                <w:sz w:val="20"/>
              </w:rPr>
              <w:t>Community</w:t>
            </w:r>
            <w:r>
              <w:rPr>
                <w:spacing w:val="-3"/>
                <w:sz w:val="20"/>
              </w:rPr>
              <w:t> </w:t>
            </w:r>
            <w:r>
              <w:rPr>
                <w:sz w:val="20"/>
              </w:rPr>
              <w:t>Controlled</w:t>
            </w:r>
            <w:r>
              <w:rPr>
                <w:spacing w:val="-5"/>
                <w:sz w:val="20"/>
              </w:rPr>
              <w:t> </w:t>
            </w:r>
            <w:r>
              <w:rPr>
                <w:sz w:val="20"/>
              </w:rPr>
              <w:t>Health</w:t>
            </w:r>
            <w:r>
              <w:rPr>
                <w:spacing w:val="-3"/>
                <w:sz w:val="20"/>
              </w:rPr>
              <w:t> </w:t>
            </w:r>
            <w:r>
              <w:rPr>
                <w:sz w:val="20"/>
              </w:rPr>
              <w:t>Service</w:t>
            </w:r>
          </w:p>
        </w:tc>
      </w:tr>
      <w:tr>
        <w:trPr>
          <w:trHeight w:val="482" w:hRule="atLeast"/>
        </w:trPr>
        <w:tc>
          <w:tcPr>
            <w:tcW w:w="1418" w:type="dxa"/>
          </w:tcPr>
          <w:p>
            <w:pPr>
              <w:pStyle w:val="TableParagraph"/>
              <w:spacing w:before="118"/>
              <w:ind w:left="50"/>
              <w:rPr>
                <w:sz w:val="20"/>
              </w:rPr>
            </w:pPr>
            <w:r>
              <w:rPr>
                <w:sz w:val="20"/>
              </w:rPr>
              <w:t>AIHW</w:t>
            </w:r>
          </w:p>
        </w:tc>
        <w:tc>
          <w:tcPr>
            <w:tcW w:w="7671" w:type="dxa"/>
          </w:tcPr>
          <w:p>
            <w:pPr>
              <w:pStyle w:val="TableParagraph"/>
              <w:spacing w:before="118"/>
              <w:ind w:left="333"/>
              <w:rPr>
                <w:sz w:val="20"/>
              </w:rPr>
            </w:pPr>
            <w:r>
              <w:rPr>
                <w:sz w:val="20"/>
              </w:rPr>
              <w:t>Australian</w:t>
            </w:r>
            <w:r>
              <w:rPr>
                <w:spacing w:val="-4"/>
                <w:sz w:val="20"/>
              </w:rPr>
              <w:t> </w:t>
            </w:r>
            <w:r>
              <w:rPr>
                <w:sz w:val="20"/>
              </w:rPr>
              <w:t>Institute</w:t>
            </w:r>
            <w:r>
              <w:rPr>
                <w:spacing w:val="-4"/>
                <w:sz w:val="20"/>
              </w:rPr>
              <w:t> </w:t>
            </w:r>
            <w:r>
              <w:rPr>
                <w:sz w:val="20"/>
              </w:rPr>
              <w:t>of</w:t>
            </w:r>
            <w:r>
              <w:rPr>
                <w:spacing w:val="-4"/>
                <w:sz w:val="20"/>
              </w:rPr>
              <w:t> </w:t>
            </w:r>
            <w:r>
              <w:rPr>
                <w:sz w:val="20"/>
              </w:rPr>
              <w:t>Health</w:t>
            </w:r>
            <w:r>
              <w:rPr>
                <w:spacing w:val="-3"/>
                <w:sz w:val="20"/>
              </w:rPr>
              <w:t> </w:t>
            </w:r>
            <w:r>
              <w:rPr>
                <w:sz w:val="20"/>
              </w:rPr>
              <w:t>and</w:t>
            </w:r>
            <w:r>
              <w:rPr>
                <w:spacing w:val="-4"/>
                <w:sz w:val="20"/>
              </w:rPr>
              <w:t> </w:t>
            </w:r>
            <w:r>
              <w:rPr>
                <w:sz w:val="20"/>
              </w:rPr>
              <w:t>Welfare</w:t>
            </w:r>
          </w:p>
        </w:tc>
      </w:tr>
      <w:tr>
        <w:trPr>
          <w:trHeight w:val="481" w:hRule="atLeast"/>
        </w:trPr>
        <w:tc>
          <w:tcPr>
            <w:tcW w:w="1418" w:type="dxa"/>
          </w:tcPr>
          <w:p>
            <w:pPr>
              <w:pStyle w:val="TableParagraph"/>
              <w:spacing w:before="118"/>
              <w:ind w:left="50"/>
              <w:rPr>
                <w:sz w:val="20"/>
              </w:rPr>
            </w:pPr>
            <w:r>
              <w:rPr>
                <w:sz w:val="20"/>
              </w:rPr>
              <w:t>AMS</w:t>
            </w:r>
          </w:p>
        </w:tc>
        <w:tc>
          <w:tcPr>
            <w:tcW w:w="7671" w:type="dxa"/>
          </w:tcPr>
          <w:p>
            <w:pPr>
              <w:pStyle w:val="TableParagraph"/>
              <w:spacing w:before="118"/>
              <w:ind w:left="333"/>
              <w:rPr>
                <w:sz w:val="20"/>
              </w:rPr>
            </w:pPr>
            <w:r>
              <w:rPr>
                <w:sz w:val="20"/>
              </w:rPr>
              <w:t>Aboriginal</w:t>
            </w:r>
            <w:r>
              <w:rPr>
                <w:spacing w:val="-3"/>
                <w:sz w:val="20"/>
              </w:rPr>
              <w:t> </w:t>
            </w:r>
            <w:r>
              <w:rPr>
                <w:sz w:val="20"/>
              </w:rPr>
              <w:t>Medical</w:t>
            </w:r>
            <w:r>
              <w:rPr>
                <w:spacing w:val="-2"/>
                <w:sz w:val="20"/>
              </w:rPr>
              <w:t> </w:t>
            </w:r>
            <w:r>
              <w:rPr>
                <w:sz w:val="20"/>
              </w:rPr>
              <w:t>Service</w:t>
            </w:r>
          </w:p>
        </w:tc>
      </w:tr>
      <w:tr>
        <w:trPr>
          <w:trHeight w:val="481" w:hRule="atLeast"/>
        </w:trPr>
        <w:tc>
          <w:tcPr>
            <w:tcW w:w="1418" w:type="dxa"/>
          </w:tcPr>
          <w:p>
            <w:pPr>
              <w:pStyle w:val="TableParagraph"/>
              <w:spacing w:before="117"/>
              <w:ind w:left="50"/>
              <w:rPr>
                <w:sz w:val="20"/>
              </w:rPr>
            </w:pPr>
            <w:r>
              <w:rPr>
                <w:sz w:val="20"/>
              </w:rPr>
              <w:t>APC</w:t>
            </w:r>
          </w:p>
        </w:tc>
        <w:tc>
          <w:tcPr>
            <w:tcW w:w="7671" w:type="dxa"/>
          </w:tcPr>
          <w:p>
            <w:pPr>
              <w:pStyle w:val="TableParagraph"/>
              <w:spacing w:before="117"/>
              <w:ind w:left="333"/>
              <w:rPr>
                <w:sz w:val="20"/>
              </w:rPr>
            </w:pPr>
            <w:r>
              <w:rPr>
                <w:sz w:val="20"/>
              </w:rPr>
              <w:t>Admitted</w:t>
            </w:r>
            <w:r>
              <w:rPr>
                <w:spacing w:val="-5"/>
                <w:sz w:val="20"/>
              </w:rPr>
              <w:t> </w:t>
            </w:r>
            <w:r>
              <w:rPr>
                <w:sz w:val="20"/>
              </w:rPr>
              <w:t>patient</w:t>
            </w:r>
            <w:r>
              <w:rPr>
                <w:spacing w:val="-2"/>
                <w:sz w:val="20"/>
              </w:rPr>
              <w:t> </w:t>
            </w:r>
            <w:r>
              <w:rPr>
                <w:sz w:val="20"/>
              </w:rPr>
              <w:t>care</w:t>
            </w:r>
            <w:r>
              <w:rPr>
                <w:spacing w:val="-5"/>
                <w:sz w:val="20"/>
              </w:rPr>
              <w:t> </w:t>
            </w:r>
            <w:r>
              <w:rPr>
                <w:sz w:val="20"/>
              </w:rPr>
              <w:t>(NMDS)</w:t>
            </w:r>
          </w:p>
        </w:tc>
      </w:tr>
      <w:tr>
        <w:trPr>
          <w:trHeight w:val="482" w:hRule="atLeast"/>
        </w:trPr>
        <w:tc>
          <w:tcPr>
            <w:tcW w:w="1418" w:type="dxa"/>
          </w:tcPr>
          <w:p>
            <w:pPr>
              <w:pStyle w:val="TableParagraph"/>
              <w:spacing w:before="118"/>
              <w:ind w:left="50"/>
              <w:rPr>
                <w:sz w:val="20"/>
              </w:rPr>
            </w:pPr>
            <w:r>
              <w:rPr>
                <w:sz w:val="20"/>
              </w:rPr>
              <w:t>AR-DRG</w:t>
            </w:r>
          </w:p>
        </w:tc>
        <w:tc>
          <w:tcPr>
            <w:tcW w:w="7671" w:type="dxa"/>
          </w:tcPr>
          <w:p>
            <w:pPr>
              <w:pStyle w:val="TableParagraph"/>
              <w:spacing w:before="118"/>
              <w:ind w:left="333"/>
              <w:rPr>
                <w:sz w:val="20"/>
              </w:rPr>
            </w:pPr>
            <w:r>
              <w:rPr>
                <w:sz w:val="20"/>
              </w:rPr>
              <w:t>Australian</w:t>
            </w:r>
            <w:r>
              <w:rPr>
                <w:spacing w:val="-5"/>
                <w:sz w:val="20"/>
              </w:rPr>
              <w:t> </w:t>
            </w:r>
            <w:r>
              <w:rPr>
                <w:sz w:val="20"/>
              </w:rPr>
              <w:t>Refined</w:t>
            </w:r>
            <w:r>
              <w:rPr>
                <w:spacing w:val="-6"/>
                <w:sz w:val="20"/>
              </w:rPr>
              <w:t> </w:t>
            </w:r>
            <w:r>
              <w:rPr>
                <w:sz w:val="20"/>
              </w:rPr>
              <w:t>Diagnosis</w:t>
            </w:r>
            <w:r>
              <w:rPr>
                <w:spacing w:val="-5"/>
                <w:sz w:val="20"/>
              </w:rPr>
              <w:t> </w:t>
            </w:r>
            <w:r>
              <w:rPr>
                <w:sz w:val="20"/>
              </w:rPr>
              <w:t>Related</w:t>
            </w:r>
            <w:r>
              <w:rPr>
                <w:spacing w:val="-5"/>
                <w:sz w:val="20"/>
              </w:rPr>
              <w:t> </w:t>
            </w:r>
            <w:r>
              <w:rPr>
                <w:sz w:val="20"/>
              </w:rPr>
              <w:t>Group</w:t>
            </w:r>
          </w:p>
        </w:tc>
      </w:tr>
      <w:tr>
        <w:trPr>
          <w:trHeight w:val="482" w:hRule="atLeast"/>
        </w:trPr>
        <w:tc>
          <w:tcPr>
            <w:tcW w:w="1418" w:type="dxa"/>
          </w:tcPr>
          <w:p>
            <w:pPr>
              <w:pStyle w:val="TableParagraph"/>
              <w:spacing w:before="118"/>
              <w:ind w:left="50"/>
              <w:rPr>
                <w:sz w:val="20"/>
              </w:rPr>
            </w:pPr>
            <w:r>
              <w:rPr>
                <w:sz w:val="20"/>
              </w:rPr>
              <w:t>ASGS-RA</w:t>
            </w:r>
          </w:p>
        </w:tc>
        <w:tc>
          <w:tcPr>
            <w:tcW w:w="7671" w:type="dxa"/>
          </w:tcPr>
          <w:p>
            <w:pPr>
              <w:pStyle w:val="TableParagraph"/>
              <w:spacing w:before="118"/>
              <w:ind w:left="333"/>
              <w:rPr>
                <w:sz w:val="20"/>
              </w:rPr>
            </w:pPr>
            <w:r>
              <w:rPr>
                <w:sz w:val="20"/>
              </w:rPr>
              <w:t>Australian</w:t>
            </w:r>
            <w:r>
              <w:rPr>
                <w:spacing w:val="-5"/>
                <w:sz w:val="20"/>
              </w:rPr>
              <w:t> </w:t>
            </w:r>
            <w:r>
              <w:rPr>
                <w:sz w:val="20"/>
              </w:rPr>
              <w:t>Statistical</w:t>
            </w:r>
            <w:r>
              <w:rPr>
                <w:spacing w:val="-4"/>
                <w:sz w:val="20"/>
              </w:rPr>
              <w:t> </w:t>
            </w:r>
            <w:r>
              <w:rPr>
                <w:sz w:val="20"/>
              </w:rPr>
              <w:t>Geography</w:t>
            </w:r>
            <w:r>
              <w:rPr>
                <w:spacing w:val="-7"/>
                <w:sz w:val="20"/>
              </w:rPr>
              <w:t> </w:t>
            </w:r>
            <w:r>
              <w:rPr>
                <w:sz w:val="20"/>
              </w:rPr>
              <w:t>Standard -</w:t>
            </w:r>
            <w:r>
              <w:rPr>
                <w:spacing w:val="-4"/>
                <w:sz w:val="20"/>
              </w:rPr>
              <w:t> </w:t>
            </w:r>
            <w:r>
              <w:rPr>
                <w:sz w:val="20"/>
              </w:rPr>
              <w:t>Remoteness</w:t>
            </w:r>
            <w:r>
              <w:rPr>
                <w:spacing w:val="-4"/>
                <w:sz w:val="20"/>
              </w:rPr>
              <w:t> </w:t>
            </w:r>
            <w:r>
              <w:rPr>
                <w:sz w:val="20"/>
              </w:rPr>
              <w:t>Area</w:t>
            </w:r>
          </w:p>
        </w:tc>
      </w:tr>
      <w:tr>
        <w:trPr>
          <w:trHeight w:val="482" w:hRule="atLeast"/>
        </w:trPr>
        <w:tc>
          <w:tcPr>
            <w:tcW w:w="1418" w:type="dxa"/>
          </w:tcPr>
          <w:p>
            <w:pPr>
              <w:pStyle w:val="TableParagraph"/>
              <w:spacing w:before="118"/>
              <w:ind w:left="50"/>
              <w:rPr>
                <w:sz w:val="20"/>
              </w:rPr>
            </w:pPr>
            <w:r>
              <w:rPr>
                <w:sz w:val="20"/>
              </w:rPr>
              <w:t>EWG</w:t>
            </w:r>
          </w:p>
        </w:tc>
        <w:tc>
          <w:tcPr>
            <w:tcW w:w="7671" w:type="dxa"/>
          </w:tcPr>
          <w:p>
            <w:pPr>
              <w:pStyle w:val="TableParagraph"/>
              <w:spacing w:before="118"/>
              <w:ind w:left="333"/>
              <w:rPr>
                <w:sz w:val="20"/>
              </w:rPr>
            </w:pPr>
            <w:r>
              <w:rPr>
                <w:sz w:val="20"/>
              </w:rPr>
              <w:t>Evaluation</w:t>
            </w:r>
            <w:r>
              <w:rPr>
                <w:spacing w:val="-5"/>
                <w:sz w:val="20"/>
              </w:rPr>
              <w:t> </w:t>
            </w:r>
            <w:r>
              <w:rPr>
                <w:sz w:val="20"/>
              </w:rPr>
              <w:t>Working</w:t>
            </w:r>
            <w:r>
              <w:rPr>
                <w:spacing w:val="-6"/>
                <w:sz w:val="20"/>
              </w:rPr>
              <w:t> </w:t>
            </w:r>
            <w:r>
              <w:rPr>
                <w:sz w:val="20"/>
              </w:rPr>
              <w:t>Group</w:t>
            </w:r>
          </w:p>
        </w:tc>
      </w:tr>
      <w:tr>
        <w:trPr>
          <w:trHeight w:val="482" w:hRule="atLeast"/>
        </w:trPr>
        <w:tc>
          <w:tcPr>
            <w:tcW w:w="1418" w:type="dxa"/>
          </w:tcPr>
          <w:p>
            <w:pPr>
              <w:pStyle w:val="TableParagraph"/>
              <w:spacing w:before="118"/>
              <w:ind w:left="50"/>
              <w:rPr>
                <w:sz w:val="20"/>
              </w:rPr>
            </w:pPr>
            <w:r>
              <w:rPr>
                <w:sz w:val="20"/>
              </w:rPr>
              <w:t>GP</w:t>
            </w:r>
          </w:p>
        </w:tc>
        <w:tc>
          <w:tcPr>
            <w:tcW w:w="7671" w:type="dxa"/>
          </w:tcPr>
          <w:p>
            <w:pPr>
              <w:pStyle w:val="TableParagraph"/>
              <w:spacing w:before="118"/>
              <w:ind w:left="333"/>
              <w:rPr>
                <w:sz w:val="20"/>
              </w:rPr>
            </w:pPr>
            <w:r>
              <w:rPr>
                <w:sz w:val="20"/>
              </w:rPr>
              <w:t>General</w:t>
            </w:r>
            <w:r>
              <w:rPr>
                <w:spacing w:val="-5"/>
                <w:sz w:val="20"/>
              </w:rPr>
              <w:t> </w:t>
            </w:r>
            <w:r>
              <w:rPr>
                <w:sz w:val="20"/>
              </w:rPr>
              <w:t>practitioner</w:t>
            </w:r>
          </w:p>
        </w:tc>
      </w:tr>
      <w:tr>
        <w:trPr>
          <w:trHeight w:val="481" w:hRule="atLeast"/>
        </w:trPr>
        <w:tc>
          <w:tcPr>
            <w:tcW w:w="1418" w:type="dxa"/>
          </w:tcPr>
          <w:p>
            <w:pPr>
              <w:pStyle w:val="TableParagraph"/>
              <w:spacing w:before="118"/>
              <w:ind w:left="50"/>
              <w:rPr>
                <w:sz w:val="20"/>
              </w:rPr>
            </w:pPr>
            <w:r>
              <w:rPr>
                <w:sz w:val="20"/>
              </w:rPr>
              <w:t>HARP</w:t>
            </w:r>
          </w:p>
        </w:tc>
        <w:tc>
          <w:tcPr>
            <w:tcW w:w="7671" w:type="dxa"/>
          </w:tcPr>
          <w:p>
            <w:pPr>
              <w:pStyle w:val="TableParagraph"/>
              <w:spacing w:before="118"/>
              <w:ind w:left="333"/>
              <w:rPr>
                <w:sz w:val="20"/>
              </w:rPr>
            </w:pPr>
            <w:r>
              <w:rPr>
                <w:sz w:val="20"/>
              </w:rPr>
              <w:t>Hospital</w:t>
            </w:r>
            <w:r>
              <w:rPr>
                <w:spacing w:val="-3"/>
                <w:sz w:val="20"/>
              </w:rPr>
              <w:t> </w:t>
            </w:r>
            <w:r>
              <w:rPr>
                <w:sz w:val="20"/>
              </w:rPr>
              <w:t>Admission</w:t>
            </w:r>
            <w:r>
              <w:rPr>
                <w:spacing w:val="-5"/>
                <w:sz w:val="20"/>
              </w:rPr>
              <w:t> </w:t>
            </w:r>
            <w:r>
              <w:rPr>
                <w:sz w:val="20"/>
              </w:rPr>
              <w:t>Risk</w:t>
            </w:r>
            <w:r>
              <w:rPr>
                <w:spacing w:val="-2"/>
                <w:sz w:val="20"/>
              </w:rPr>
              <w:t> </w:t>
            </w:r>
            <w:r>
              <w:rPr>
                <w:sz w:val="20"/>
              </w:rPr>
              <w:t>Profile</w:t>
            </w:r>
            <w:r>
              <w:rPr>
                <w:spacing w:val="-2"/>
                <w:sz w:val="20"/>
              </w:rPr>
              <w:t> </w:t>
            </w:r>
            <w:r>
              <w:rPr>
                <w:sz w:val="20"/>
              </w:rPr>
              <w:t>(tool)</w:t>
            </w:r>
          </w:p>
        </w:tc>
      </w:tr>
      <w:tr>
        <w:trPr>
          <w:trHeight w:val="481" w:hRule="atLeast"/>
        </w:trPr>
        <w:tc>
          <w:tcPr>
            <w:tcW w:w="1418" w:type="dxa"/>
          </w:tcPr>
          <w:p>
            <w:pPr>
              <w:pStyle w:val="TableParagraph"/>
              <w:spacing w:before="117"/>
              <w:ind w:left="50"/>
              <w:rPr>
                <w:sz w:val="20"/>
              </w:rPr>
            </w:pPr>
            <w:r>
              <w:rPr>
                <w:sz w:val="20"/>
              </w:rPr>
              <w:t>HCH</w:t>
            </w:r>
          </w:p>
        </w:tc>
        <w:tc>
          <w:tcPr>
            <w:tcW w:w="7671" w:type="dxa"/>
          </w:tcPr>
          <w:p>
            <w:pPr>
              <w:pStyle w:val="TableParagraph"/>
              <w:spacing w:before="117"/>
              <w:ind w:left="333"/>
              <w:rPr>
                <w:sz w:val="20"/>
              </w:rPr>
            </w:pPr>
            <w:r>
              <w:rPr>
                <w:sz w:val="20"/>
              </w:rPr>
              <w:t>Health</w:t>
            </w:r>
            <w:r>
              <w:rPr>
                <w:spacing w:val="-1"/>
                <w:sz w:val="20"/>
              </w:rPr>
              <w:t> </w:t>
            </w:r>
            <w:r>
              <w:rPr>
                <w:sz w:val="20"/>
              </w:rPr>
              <w:t>care</w:t>
            </w:r>
            <w:r>
              <w:rPr>
                <w:spacing w:val="-4"/>
                <w:sz w:val="20"/>
              </w:rPr>
              <w:t> </w:t>
            </w:r>
            <w:r>
              <w:rPr>
                <w:sz w:val="20"/>
              </w:rPr>
              <w:t>home(s)</w:t>
            </w:r>
          </w:p>
        </w:tc>
      </w:tr>
      <w:tr>
        <w:trPr>
          <w:trHeight w:val="482" w:hRule="atLeast"/>
        </w:trPr>
        <w:tc>
          <w:tcPr>
            <w:tcW w:w="1418" w:type="dxa"/>
          </w:tcPr>
          <w:p>
            <w:pPr>
              <w:pStyle w:val="TableParagraph"/>
              <w:spacing w:before="118"/>
              <w:ind w:left="50"/>
              <w:rPr>
                <w:sz w:val="20"/>
              </w:rPr>
            </w:pPr>
            <w:r>
              <w:rPr>
                <w:sz w:val="20"/>
              </w:rPr>
              <w:t>HREC</w:t>
            </w:r>
          </w:p>
        </w:tc>
        <w:tc>
          <w:tcPr>
            <w:tcW w:w="7671" w:type="dxa"/>
          </w:tcPr>
          <w:p>
            <w:pPr>
              <w:pStyle w:val="TableParagraph"/>
              <w:spacing w:before="118"/>
              <w:ind w:left="333"/>
              <w:rPr>
                <w:sz w:val="20"/>
              </w:rPr>
            </w:pPr>
            <w:r>
              <w:rPr>
                <w:sz w:val="20"/>
              </w:rPr>
              <w:t>Human</w:t>
            </w:r>
            <w:r>
              <w:rPr>
                <w:spacing w:val="-4"/>
                <w:sz w:val="20"/>
              </w:rPr>
              <w:t> </w:t>
            </w:r>
            <w:r>
              <w:rPr>
                <w:sz w:val="20"/>
              </w:rPr>
              <w:t>Research</w:t>
            </w:r>
            <w:r>
              <w:rPr>
                <w:spacing w:val="-3"/>
                <w:sz w:val="20"/>
              </w:rPr>
              <w:t> </w:t>
            </w:r>
            <w:r>
              <w:rPr>
                <w:sz w:val="20"/>
              </w:rPr>
              <w:t>Ethics</w:t>
            </w:r>
            <w:r>
              <w:rPr>
                <w:spacing w:val="-7"/>
                <w:sz w:val="20"/>
              </w:rPr>
              <w:t> </w:t>
            </w:r>
            <w:r>
              <w:rPr>
                <w:sz w:val="20"/>
              </w:rPr>
              <w:t>Committee</w:t>
            </w:r>
          </w:p>
        </w:tc>
      </w:tr>
      <w:tr>
        <w:trPr>
          <w:trHeight w:val="482" w:hRule="atLeast"/>
        </w:trPr>
        <w:tc>
          <w:tcPr>
            <w:tcW w:w="1418" w:type="dxa"/>
          </w:tcPr>
          <w:p>
            <w:pPr>
              <w:pStyle w:val="TableParagraph"/>
              <w:spacing w:before="118"/>
              <w:ind w:left="50"/>
              <w:rPr>
                <w:sz w:val="20"/>
              </w:rPr>
            </w:pPr>
            <w:r>
              <w:rPr>
                <w:sz w:val="20"/>
              </w:rPr>
              <w:t>IAG</w:t>
            </w:r>
          </w:p>
        </w:tc>
        <w:tc>
          <w:tcPr>
            <w:tcW w:w="7671" w:type="dxa"/>
          </w:tcPr>
          <w:p>
            <w:pPr>
              <w:pStyle w:val="TableParagraph"/>
              <w:spacing w:before="118"/>
              <w:ind w:left="333"/>
              <w:rPr>
                <w:sz w:val="20"/>
              </w:rPr>
            </w:pPr>
            <w:r>
              <w:rPr>
                <w:sz w:val="20"/>
              </w:rPr>
              <w:t>Implementation</w:t>
            </w:r>
            <w:r>
              <w:rPr>
                <w:spacing w:val="-4"/>
                <w:sz w:val="20"/>
              </w:rPr>
              <w:t> </w:t>
            </w:r>
            <w:r>
              <w:rPr>
                <w:sz w:val="20"/>
              </w:rPr>
              <w:t>Advisory</w:t>
            </w:r>
            <w:r>
              <w:rPr>
                <w:spacing w:val="-6"/>
                <w:sz w:val="20"/>
              </w:rPr>
              <w:t> </w:t>
            </w:r>
            <w:r>
              <w:rPr>
                <w:sz w:val="20"/>
              </w:rPr>
              <w:t>Group</w:t>
            </w:r>
          </w:p>
        </w:tc>
      </w:tr>
      <w:tr>
        <w:trPr>
          <w:trHeight w:val="763" w:hRule="atLeast"/>
        </w:trPr>
        <w:tc>
          <w:tcPr>
            <w:tcW w:w="1418" w:type="dxa"/>
          </w:tcPr>
          <w:p>
            <w:pPr>
              <w:pStyle w:val="TableParagraph"/>
              <w:spacing w:before="118"/>
              <w:ind w:left="50"/>
              <w:rPr>
                <w:sz w:val="20"/>
              </w:rPr>
            </w:pPr>
            <w:r>
              <w:rPr>
                <w:sz w:val="20"/>
              </w:rPr>
              <w:t>ICD-10</w:t>
            </w:r>
          </w:p>
        </w:tc>
        <w:tc>
          <w:tcPr>
            <w:tcW w:w="7671" w:type="dxa"/>
          </w:tcPr>
          <w:p>
            <w:pPr>
              <w:pStyle w:val="TableParagraph"/>
              <w:spacing w:line="276" w:lineRule="auto" w:before="118"/>
              <w:ind w:left="333" w:right="738"/>
              <w:rPr>
                <w:sz w:val="20"/>
              </w:rPr>
            </w:pPr>
            <w:r>
              <w:rPr>
                <w:sz w:val="20"/>
              </w:rPr>
              <w:t>International Statistical Classification of Diseases and Related Health</w:t>
            </w:r>
            <w:r>
              <w:rPr>
                <w:spacing w:val="-53"/>
                <w:sz w:val="20"/>
              </w:rPr>
              <w:t> </w:t>
            </w:r>
            <w:r>
              <w:rPr>
                <w:sz w:val="20"/>
              </w:rPr>
              <w:t>Problems</w:t>
            </w:r>
            <w:r>
              <w:rPr>
                <w:spacing w:val="1"/>
                <w:sz w:val="20"/>
              </w:rPr>
              <w:t> </w:t>
            </w:r>
            <w:r>
              <w:rPr>
                <w:sz w:val="20"/>
              </w:rPr>
              <w:t>(10</w:t>
            </w:r>
            <w:r>
              <w:rPr>
                <w:position w:val="5"/>
                <w:sz w:val="13"/>
              </w:rPr>
              <w:t>th</w:t>
            </w:r>
            <w:r>
              <w:rPr>
                <w:spacing w:val="19"/>
                <w:position w:val="5"/>
                <w:sz w:val="13"/>
              </w:rPr>
              <w:t> </w:t>
            </w:r>
            <w:r>
              <w:rPr>
                <w:sz w:val="20"/>
              </w:rPr>
              <w:t>Revision)</w:t>
            </w:r>
          </w:p>
        </w:tc>
      </w:tr>
      <w:tr>
        <w:trPr>
          <w:trHeight w:val="765" w:hRule="atLeast"/>
        </w:trPr>
        <w:tc>
          <w:tcPr>
            <w:tcW w:w="1418" w:type="dxa"/>
          </w:tcPr>
          <w:p>
            <w:pPr>
              <w:pStyle w:val="TableParagraph"/>
              <w:spacing w:before="118"/>
              <w:ind w:left="50"/>
              <w:rPr>
                <w:sz w:val="20"/>
              </w:rPr>
            </w:pPr>
            <w:r>
              <w:rPr>
                <w:sz w:val="20"/>
              </w:rPr>
              <w:t>ICD-10-AM</w:t>
            </w:r>
          </w:p>
        </w:tc>
        <w:tc>
          <w:tcPr>
            <w:tcW w:w="7671" w:type="dxa"/>
          </w:tcPr>
          <w:p>
            <w:pPr>
              <w:pStyle w:val="TableParagraph"/>
              <w:spacing w:line="276" w:lineRule="auto" w:before="118"/>
              <w:ind w:left="333" w:right="34"/>
              <w:rPr>
                <w:sz w:val="20"/>
              </w:rPr>
            </w:pPr>
            <w:r>
              <w:rPr>
                <w:sz w:val="20"/>
              </w:rPr>
              <w:t>International Statistical Classification of Diseases and Related Problems, 10</w:t>
            </w:r>
            <w:r>
              <w:rPr>
                <w:position w:val="5"/>
                <w:sz w:val="13"/>
              </w:rPr>
              <w:t>th</w:t>
            </w:r>
            <w:r>
              <w:rPr>
                <w:spacing w:val="-33"/>
                <w:position w:val="5"/>
                <w:sz w:val="13"/>
              </w:rPr>
              <w:t> </w:t>
            </w:r>
            <w:r>
              <w:rPr>
                <w:sz w:val="20"/>
              </w:rPr>
              <w:t>Revision,</w:t>
            </w:r>
            <w:r>
              <w:rPr>
                <w:spacing w:val="1"/>
                <w:sz w:val="20"/>
              </w:rPr>
              <w:t> </w:t>
            </w:r>
            <w:r>
              <w:rPr>
                <w:sz w:val="20"/>
              </w:rPr>
              <w:t>Australian Modification</w:t>
            </w:r>
          </w:p>
        </w:tc>
      </w:tr>
      <w:tr>
        <w:trPr>
          <w:trHeight w:val="481" w:hRule="atLeast"/>
        </w:trPr>
        <w:tc>
          <w:tcPr>
            <w:tcW w:w="1418" w:type="dxa"/>
          </w:tcPr>
          <w:p>
            <w:pPr>
              <w:pStyle w:val="TableParagraph"/>
              <w:spacing w:before="118"/>
              <w:ind w:left="50"/>
              <w:rPr>
                <w:sz w:val="20"/>
              </w:rPr>
            </w:pPr>
            <w:r>
              <w:rPr>
                <w:sz w:val="20"/>
              </w:rPr>
              <w:t>LHN</w:t>
            </w:r>
          </w:p>
        </w:tc>
        <w:tc>
          <w:tcPr>
            <w:tcW w:w="7671" w:type="dxa"/>
          </w:tcPr>
          <w:p>
            <w:pPr>
              <w:pStyle w:val="TableParagraph"/>
              <w:spacing w:before="118"/>
              <w:ind w:left="333"/>
              <w:rPr>
                <w:sz w:val="20"/>
              </w:rPr>
            </w:pPr>
            <w:r>
              <w:rPr>
                <w:sz w:val="20"/>
              </w:rPr>
              <w:t>Local</w:t>
            </w:r>
            <w:r>
              <w:rPr>
                <w:spacing w:val="-3"/>
                <w:sz w:val="20"/>
              </w:rPr>
              <w:t> </w:t>
            </w:r>
            <w:r>
              <w:rPr>
                <w:sz w:val="20"/>
              </w:rPr>
              <w:t>Hospital</w:t>
            </w:r>
            <w:r>
              <w:rPr>
                <w:spacing w:val="-3"/>
                <w:sz w:val="20"/>
              </w:rPr>
              <w:t> </w:t>
            </w:r>
            <w:r>
              <w:rPr>
                <w:sz w:val="20"/>
              </w:rPr>
              <w:t>Network</w:t>
            </w:r>
          </w:p>
        </w:tc>
      </w:tr>
      <w:tr>
        <w:trPr>
          <w:trHeight w:val="481" w:hRule="atLeast"/>
        </w:trPr>
        <w:tc>
          <w:tcPr>
            <w:tcW w:w="1418" w:type="dxa"/>
          </w:tcPr>
          <w:p>
            <w:pPr>
              <w:pStyle w:val="TableParagraph"/>
              <w:spacing w:before="117"/>
              <w:ind w:left="50"/>
              <w:rPr>
                <w:sz w:val="20"/>
              </w:rPr>
            </w:pPr>
            <w:r>
              <w:rPr>
                <w:sz w:val="20"/>
              </w:rPr>
              <w:t>MBS</w:t>
            </w:r>
          </w:p>
        </w:tc>
        <w:tc>
          <w:tcPr>
            <w:tcW w:w="7671" w:type="dxa"/>
          </w:tcPr>
          <w:p>
            <w:pPr>
              <w:pStyle w:val="TableParagraph"/>
              <w:spacing w:before="117"/>
              <w:ind w:left="333"/>
              <w:rPr>
                <w:sz w:val="20"/>
              </w:rPr>
            </w:pPr>
            <w:r>
              <w:rPr>
                <w:sz w:val="20"/>
              </w:rPr>
              <w:t>Medical</w:t>
            </w:r>
            <w:r>
              <w:rPr>
                <w:spacing w:val="-3"/>
                <w:sz w:val="20"/>
              </w:rPr>
              <w:t> </w:t>
            </w:r>
            <w:r>
              <w:rPr>
                <w:sz w:val="20"/>
              </w:rPr>
              <w:t>Benefits</w:t>
            </w:r>
            <w:r>
              <w:rPr>
                <w:spacing w:val="-4"/>
                <w:sz w:val="20"/>
              </w:rPr>
              <w:t> </w:t>
            </w:r>
            <w:r>
              <w:rPr>
                <w:sz w:val="20"/>
              </w:rPr>
              <w:t>Schedule</w:t>
            </w:r>
          </w:p>
        </w:tc>
      </w:tr>
      <w:tr>
        <w:trPr>
          <w:trHeight w:val="482" w:hRule="atLeast"/>
        </w:trPr>
        <w:tc>
          <w:tcPr>
            <w:tcW w:w="1418" w:type="dxa"/>
          </w:tcPr>
          <w:p>
            <w:pPr>
              <w:pStyle w:val="TableParagraph"/>
              <w:spacing w:before="118"/>
              <w:ind w:left="50"/>
              <w:rPr>
                <w:sz w:val="20"/>
              </w:rPr>
            </w:pPr>
            <w:r>
              <w:rPr>
                <w:sz w:val="20"/>
              </w:rPr>
              <w:t>MM</w:t>
            </w:r>
          </w:p>
        </w:tc>
        <w:tc>
          <w:tcPr>
            <w:tcW w:w="7671" w:type="dxa"/>
          </w:tcPr>
          <w:p>
            <w:pPr>
              <w:pStyle w:val="TableParagraph"/>
              <w:spacing w:before="118"/>
              <w:ind w:left="333"/>
              <w:rPr>
                <w:sz w:val="20"/>
              </w:rPr>
            </w:pPr>
            <w:r>
              <w:rPr>
                <w:sz w:val="20"/>
              </w:rPr>
              <w:t>Modified</w:t>
            </w:r>
            <w:r>
              <w:rPr>
                <w:spacing w:val="-6"/>
                <w:sz w:val="20"/>
              </w:rPr>
              <w:t> </w:t>
            </w:r>
            <w:r>
              <w:rPr>
                <w:sz w:val="20"/>
              </w:rPr>
              <w:t>Monash</w:t>
            </w:r>
            <w:r>
              <w:rPr>
                <w:spacing w:val="-3"/>
                <w:sz w:val="20"/>
              </w:rPr>
              <w:t> </w:t>
            </w:r>
            <w:r>
              <w:rPr>
                <w:sz w:val="20"/>
              </w:rPr>
              <w:t>(remoteness</w:t>
            </w:r>
            <w:r>
              <w:rPr>
                <w:spacing w:val="-5"/>
                <w:sz w:val="20"/>
              </w:rPr>
              <w:t> </w:t>
            </w:r>
            <w:r>
              <w:rPr>
                <w:sz w:val="20"/>
              </w:rPr>
              <w:t>categorisation)</w:t>
            </w:r>
          </w:p>
        </w:tc>
      </w:tr>
      <w:tr>
        <w:trPr>
          <w:trHeight w:val="482" w:hRule="atLeast"/>
        </w:trPr>
        <w:tc>
          <w:tcPr>
            <w:tcW w:w="1418" w:type="dxa"/>
          </w:tcPr>
          <w:p>
            <w:pPr>
              <w:pStyle w:val="TableParagraph"/>
              <w:spacing w:before="118"/>
              <w:ind w:left="50"/>
              <w:rPr>
                <w:sz w:val="20"/>
              </w:rPr>
            </w:pPr>
            <w:r>
              <w:rPr>
                <w:sz w:val="20"/>
              </w:rPr>
              <w:t>NACCHO</w:t>
            </w:r>
          </w:p>
        </w:tc>
        <w:tc>
          <w:tcPr>
            <w:tcW w:w="7671" w:type="dxa"/>
          </w:tcPr>
          <w:p>
            <w:pPr>
              <w:pStyle w:val="TableParagraph"/>
              <w:spacing w:before="118"/>
              <w:ind w:left="333"/>
              <w:rPr>
                <w:sz w:val="20"/>
              </w:rPr>
            </w:pPr>
            <w:r>
              <w:rPr>
                <w:sz w:val="20"/>
              </w:rPr>
              <w:t>National</w:t>
            </w:r>
            <w:r>
              <w:rPr>
                <w:spacing w:val="-3"/>
                <w:sz w:val="20"/>
              </w:rPr>
              <w:t> </w:t>
            </w:r>
            <w:r>
              <w:rPr>
                <w:sz w:val="20"/>
              </w:rPr>
              <w:t>Aboriginal</w:t>
            </w:r>
            <w:r>
              <w:rPr>
                <w:spacing w:val="-4"/>
                <w:sz w:val="20"/>
              </w:rPr>
              <w:t> </w:t>
            </w:r>
            <w:r>
              <w:rPr>
                <w:sz w:val="20"/>
              </w:rPr>
              <w:t>Community</w:t>
            </w:r>
            <w:r>
              <w:rPr>
                <w:spacing w:val="-6"/>
                <w:sz w:val="20"/>
              </w:rPr>
              <w:t> </w:t>
            </w:r>
            <w:r>
              <w:rPr>
                <w:sz w:val="20"/>
              </w:rPr>
              <w:t>Controlled</w:t>
            </w:r>
            <w:r>
              <w:rPr>
                <w:spacing w:val="-5"/>
                <w:sz w:val="20"/>
              </w:rPr>
              <w:t> </w:t>
            </w:r>
            <w:r>
              <w:rPr>
                <w:sz w:val="20"/>
              </w:rPr>
              <w:t>Health</w:t>
            </w:r>
            <w:r>
              <w:rPr>
                <w:spacing w:val="-6"/>
                <w:sz w:val="20"/>
              </w:rPr>
              <w:t> </w:t>
            </w:r>
            <w:r>
              <w:rPr>
                <w:sz w:val="20"/>
              </w:rPr>
              <w:t>Organisation</w:t>
            </w:r>
          </w:p>
        </w:tc>
      </w:tr>
      <w:tr>
        <w:trPr>
          <w:trHeight w:val="482" w:hRule="atLeast"/>
        </w:trPr>
        <w:tc>
          <w:tcPr>
            <w:tcW w:w="1418" w:type="dxa"/>
          </w:tcPr>
          <w:p>
            <w:pPr>
              <w:pStyle w:val="TableParagraph"/>
              <w:spacing w:before="118"/>
              <w:ind w:left="50"/>
              <w:rPr>
                <w:sz w:val="20"/>
              </w:rPr>
            </w:pPr>
            <w:r>
              <w:rPr>
                <w:sz w:val="20"/>
              </w:rPr>
              <w:t>NACDC</w:t>
            </w:r>
          </w:p>
        </w:tc>
        <w:tc>
          <w:tcPr>
            <w:tcW w:w="7671" w:type="dxa"/>
          </w:tcPr>
          <w:p>
            <w:pPr>
              <w:pStyle w:val="TableParagraph"/>
              <w:spacing w:before="118"/>
              <w:ind w:left="333"/>
              <w:rPr>
                <w:sz w:val="20"/>
              </w:rPr>
            </w:pPr>
            <w:r>
              <w:rPr>
                <w:sz w:val="20"/>
              </w:rPr>
              <w:t>National</w:t>
            </w:r>
            <w:r>
              <w:rPr>
                <w:spacing w:val="-2"/>
                <w:sz w:val="20"/>
              </w:rPr>
              <w:t> </w:t>
            </w:r>
            <w:r>
              <w:rPr>
                <w:sz w:val="20"/>
              </w:rPr>
              <w:t>Aged</w:t>
            </w:r>
            <w:r>
              <w:rPr>
                <w:spacing w:val="-5"/>
                <w:sz w:val="20"/>
              </w:rPr>
              <w:t> </w:t>
            </w:r>
            <w:r>
              <w:rPr>
                <w:sz w:val="20"/>
              </w:rPr>
              <w:t>Care</w:t>
            </w:r>
            <w:r>
              <w:rPr>
                <w:spacing w:val="-4"/>
                <w:sz w:val="20"/>
              </w:rPr>
              <w:t> </w:t>
            </w:r>
            <w:r>
              <w:rPr>
                <w:sz w:val="20"/>
              </w:rPr>
              <w:t>Data</w:t>
            </w:r>
            <w:r>
              <w:rPr>
                <w:spacing w:val="-4"/>
                <w:sz w:val="20"/>
              </w:rPr>
              <w:t> </w:t>
            </w:r>
            <w:r>
              <w:rPr>
                <w:sz w:val="20"/>
              </w:rPr>
              <w:t>Clearinghouse</w:t>
            </w:r>
          </w:p>
        </w:tc>
      </w:tr>
      <w:tr>
        <w:trPr>
          <w:trHeight w:val="482" w:hRule="atLeast"/>
        </w:trPr>
        <w:tc>
          <w:tcPr>
            <w:tcW w:w="1418" w:type="dxa"/>
          </w:tcPr>
          <w:p>
            <w:pPr>
              <w:pStyle w:val="TableParagraph"/>
              <w:spacing w:before="118"/>
              <w:ind w:left="50"/>
              <w:rPr>
                <w:sz w:val="20"/>
              </w:rPr>
            </w:pPr>
            <w:r>
              <w:rPr>
                <w:sz w:val="20"/>
              </w:rPr>
              <w:t>NAPEDCD</w:t>
            </w:r>
          </w:p>
        </w:tc>
        <w:tc>
          <w:tcPr>
            <w:tcW w:w="7671" w:type="dxa"/>
          </w:tcPr>
          <w:p>
            <w:pPr>
              <w:pStyle w:val="TableParagraph"/>
              <w:spacing w:before="118"/>
              <w:ind w:left="333"/>
              <w:rPr>
                <w:sz w:val="20"/>
              </w:rPr>
            </w:pPr>
            <w:r>
              <w:rPr>
                <w:sz w:val="20"/>
              </w:rPr>
              <w:t>Non-admitted</w:t>
            </w:r>
            <w:r>
              <w:rPr>
                <w:spacing w:val="-5"/>
                <w:sz w:val="20"/>
              </w:rPr>
              <w:t> </w:t>
            </w:r>
            <w:r>
              <w:rPr>
                <w:sz w:val="20"/>
              </w:rPr>
              <w:t>patient</w:t>
            </w:r>
            <w:r>
              <w:rPr>
                <w:spacing w:val="-2"/>
                <w:sz w:val="20"/>
              </w:rPr>
              <w:t> </w:t>
            </w:r>
            <w:r>
              <w:rPr>
                <w:sz w:val="20"/>
              </w:rPr>
              <w:t>emergency</w:t>
            </w:r>
            <w:r>
              <w:rPr>
                <w:spacing w:val="-6"/>
                <w:sz w:val="20"/>
              </w:rPr>
              <w:t> </w:t>
            </w:r>
            <w:r>
              <w:rPr>
                <w:sz w:val="20"/>
              </w:rPr>
              <w:t>department</w:t>
            </w:r>
            <w:r>
              <w:rPr>
                <w:spacing w:val="-2"/>
                <w:sz w:val="20"/>
              </w:rPr>
              <w:t> </w:t>
            </w:r>
            <w:r>
              <w:rPr>
                <w:sz w:val="20"/>
              </w:rPr>
              <w:t>care</w:t>
            </w:r>
            <w:r>
              <w:rPr>
                <w:spacing w:val="-5"/>
                <w:sz w:val="20"/>
              </w:rPr>
              <w:t> </w:t>
            </w:r>
            <w:r>
              <w:rPr>
                <w:sz w:val="20"/>
              </w:rPr>
              <w:t>database</w:t>
            </w:r>
          </w:p>
        </w:tc>
      </w:tr>
      <w:tr>
        <w:trPr>
          <w:trHeight w:val="481" w:hRule="atLeast"/>
        </w:trPr>
        <w:tc>
          <w:tcPr>
            <w:tcW w:w="1418" w:type="dxa"/>
          </w:tcPr>
          <w:p>
            <w:pPr>
              <w:pStyle w:val="TableParagraph"/>
              <w:spacing w:before="118"/>
              <w:ind w:left="50"/>
              <w:rPr>
                <w:sz w:val="20"/>
              </w:rPr>
            </w:pPr>
            <w:r>
              <w:rPr>
                <w:sz w:val="20"/>
              </w:rPr>
              <w:t>NHMD</w:t>
            </w:r>
          </w:p>
        </w:tc>
        <w:tc>
          <w:tcPr>
            <w:tcW w:w="7671" w:type="dxa"/>
          </w:tcPr>
          <w:p>
            <w:pPr>
              <w:pStyle w:val="TableParagraph"/>
              <w:spacing w:before="118"/>
              <w:ind w:left="333"/>
              <w:rPr>
                <w:sz w:val="20"/>
              </w:rPr>
            </w:pPr>
            <w:r>
              <w:rPr>
                <w:sz w:val="20"/>
              </w:rPr>
              <w:t>National</w:t>
            </w:r>
            <w:r>
              <w:rPr>
                <w:spacing w:val="-5"/>
                <w:sz w:val="20"/>
              </w:rPr>
              <w:t> </w:t>
            </w:r>
            <w:r>
              <w:rPr>
                <w:sz w:val="20"/>
              </w:rPr>
              <w:t>hospital</w:t>
            </w:r>
            <w:r>
              <w:rPr>
                <w:spacing w:val="-4"/>
                <w:sz w:val="20"/>
              </w:rPr>
              <w:t> </w:t>
            </w:r>
            <w:r>
              <w:rPr>
                <w:sz w:val="20"/>
              </w:rPr>
              <w:t>morbidity</w:t>
            </w:r>
            <w:r>
              <w:rPr>
                <w:spacing w:val="-6"/>
                <w:sz w:val="20"/>
              </w:rPr>
              <w:t> </w:t>
            </w:r>
            <w:r>
              <w:rPr>
                <w:sz w:val="20"/>
              </w:rPr>
              <w:t>database</w:t>
            </w:r>
          </w:p>
        </w:tc>
      </w:tr>
      <w:tr>
        <w:trPr>
          <w:trHeight w:val="481" w:hRule="atLeast"/>
        </w:trPr>
        <w:tc>
          <w:tcPr>
            <w:tcW w:w="1418" w:type="dxa"/>
          </w:tcPr>
          <w:p>
            <w:pPr>
              <w:pStyle w:val="TableParagraph"/>
              <w:spacing w:before="117"/>
              <w:ind w:left="50"/>
              <w:rPr>
                <w:sz w:val="20"/>
              </w:rPr>
            </w:pPr>
            <w:r>
              <w:rPr>
                <w:sz w:val="20"/>
              </w:rPr>
              <w:t>NMDS</w:t>
            </w:r>
          </w:p>
        </w:tc>
        <w:tc>
          <w:tcPr>
            <w:tcW w:w="7671" w:type="dxa"/>
          </w:tcPr>
          <w:p>
            <w:pPr>
              <w:pStyle w:val="TableParagraph"/>
              <w:spacing w:before="117"/>
              <w:ind w:left="333"/>
              <w:rPr>
                <w:sz w:val="20"/>
              </w:rPr>
            </w:pPr>
            <w:r>
              <w:rPr>
                <w:sz w:val="20"/>
              </w:rPr>
              <w:t>National</w:t>
            </w:r>
            <w:r>
              <w:rPr>
                <w:spacing w:val="-2"/>
                <w:sz w:val="20"/>
              </w:rPr>
              <w:t> </w:t>
            </w:r>
            <w:r>
              <w:rPr>
                <w:sz w:val="20"/>
              </w:rPr>
              <w:t>minimum</w:t>
            </w:r>
            <w:r>
              <w:rPr>
                <w:spacing w:val="-4"/>
                <w:sz w:val="20"/>
              </w:rPr>
              <w:t> </w:t>
            </w:r>
            <w:r>
              <w:rPr>
                <w:sz w:val="20"/>
              </w:rPr>
              <w:t>data</w:t>
            </w:r>
            <w:r>
              <w:rPr>
                <w:spacing w:val="-3"/>
                <w:sz w:val="20"/>
              </w:rPr>
              <w:t> </w:t>
            </w:r>
            <w:r>
              <w:rPr>
                <w:sz w:val="20"/>
              </w:rPr>
              <w:t>set</w:t>
            </w:r>
          </w:p>
        </w:tc>
      </w:tr>
      <w:tr>
        <w:trPr>
          <w:trHeight w:val="482" w:hRule="atLeast"/>
        </w:trPr>
        <w:tc>
          <w:tcPr>
            <w:tcW w:w="1418" w:type="dxa"/>
          </w:tcPr>
          <w:p>
            <w:pPr>
              <w:pStyle w:val="TableParagraph"/>
              <w:spacing w:before="118"/>
              <w:ind w:left="50"/>
              <w:rPr>
                <w:sz w:val="20"/>
              </w:rPr>
            </w:pPr>
            <w:r>
              <w:rPr>
                <w:sz w:val="20"/>
              </w:rPr>
              <w:t>PBS</w:t>
            </w:r>
          </w:p>
        </w:tc>
        <w:tc>
          <w:tcPr>
            <w:tcW w:w="7671" w:type="dxa"/>
          </w:tcPr>
          <w:p>
            <w:pPr>
              <w:pStyle w:val="TableParagraph"/>
              <w:spacing w:before="118"/>
              <w:ind w:left="333"/>
              <w:rPr>
                <w:sz w:val="20"/>
              </w:rPr>
            </w:pPr>
            <w:r>
              <w:rPr>
                <w:sz w:val="20"/>
              </w:rPr>
              <w:t>Pharmaceutical</w:t>
            </w:r>
            <w:r>
              <w:rPr>
                <w:spacing w:val="-4"/>
                <w:sz w:val="20"/>
              </w:rPr>
              <w:t> </w:t>
            </w:r>
            <w:r>
              <w:rPr>
                <w:sz w:val="20"/>
              </w:rPr>
              <w:t>Benefits</w:t>
            </w:r>
            <w:r>
              <w:rPr>
                <w:spacing w:val="-8"/>
                <w:sz w:val="20"/>
              </w:rPr>
              <w:t> </w:t>
            </w:r>
            <w:r>
              <w:rPr>
                <w:sz w:val="20"/>
              </w:rPr>
              <w:t>Schedule</w:t>
            </w:r>
          </w:p>
        </w:tc>
      </w:tr>
      <w:tr>
        <w:trPr>
          <w:trHeight w:val="363" w:hRule="atLeast"/>
        </w:trPr>
        <w:tc>
          <w:tcPr>
            <w:tcW w:w="1418" w:type="dxa"/>
          </w:tcPr>
          <w:p>
            <w:pPr>
              <w:pStyle w:val="TableParagraph"/>
              <w:spacing w:line="225" w:lineRule="exact" w:before="118"/>
              <w:ind w:left="50"/>
              <w:rPr>
                <w:sz w:val="20"/>
              </w:rPr>
            </w:pPr>
            <w:r>
              <w:rPr>
                <w:sz w:val="20"/>
              </w:rPr>
              <w:t>PHN</w:t>
            </w:r>
          </w:p>
        </w:tc>
        <w:tc>
          <w:tcPr>
            <w:tcW w:w="7671" w:type="dxa"/>
          </w:tcPr>
          <w:p>
            <w:pPr>
              <w:pStyle w:val="TableParagraph"/>
              <w:spacing w:line="225" w:lineRule="exact" w:before="118"/>
              <w:ind w:left="333"/>
              <w:rPr>
                <w:sz w:val="20"/>
              </w:rPr>
            </w:pPr>
            <w:r>
              <w:rPr>
                <w:sz w:val="20"/>
              </w:rPr>
              <w:t>Primary</w:t>
            </w:r>
            <w:r>
              <w:rPr>
                <w:spacing w:val="-3"/>
                <w:sz w:val="20"/>
              </w:rPr>
              <w:t> </w:t>
            </w:r>
            <w:r>
              <w:rPr>
                <w:sz w:val="20"/>
              </w:rPr>
              <w:t>Health</w:t>
            </w:r>
            <w:r>
              <w:rPr>
                <w:spacing w:val="-1"/>
                <w:sz w:val="20"/>
              </w:rPr>
              <w:t> </w:t>
            </w:r>
            <w:r>
              <w:rPr>
                <w:sz w:val="20"/>
              </w:rPr>
              <w:t>Network</w:t>
            </w:r>
          </w:p>
        </w:tc>
      </w:tr>
    </w:tbl>
    <w:p>
      <w:pPr>
        <w:spacing w:after="0" w:line="225" w:lineRule="exact"/>
        <w:rPr>
          <w:sz w:val="20"/>
        </w:rPr>
        <w:sectPr>
          <w:footerReference w:type="default" r:id="rId6"/>
          <w:pgSz w:w="11910" w:h="16840"/>
          <w:pgMar w:footer="678" w:header="0" w:top="1340" w:bottom="86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6"/>
        </w:rPr>
      </w:pPr>
    </w:p>
    <w:p>
      <w:pPr>
        <w:pStyle w:val="BodyText"/>
        <w:spacing w:line="276" w:lineRule="auto" w:before="99"/>
        <w:ind w:left="1440" w:right="1492"/>
      </w:pPr>
      <w:r>
        <w:rPr/>
        <w:pict>
          <v:group style="position:absolute;margin-left:21.569412pt;margin-top:-121.21138pt;width:573.8pt;height:116.2pt;mso-position-horizontal-relative:page;mso-position-vertical-relative:paragraph;z-index:15728640" id="docshapegroup7" coordorigin="431,-2424" coordsize="11476,2324">
            <v:shape style="position:absolute;left:431;top:-2425;width:11476;height:1613" type="#_x0000_t75" id="docshape8" stroked="false">
              <v:imagedata r:id="rId8" o:title=""/>
            </v:shape>
            <v:shape style="position:absolute;left:431;top:-2425;width:11476;height:2324" type="#_x0000_t202" id="docshape9" filled="false" stroked="false">
              <v:textbox inset="0,0,0,0">
                <w:txbxContent>
                  <w:p>
                    <w:pPr>
                      <w:spacing w:line="240" w:lineRule="auto" w:before="6"/>
                      <w:rPr>
                        <w:sz w:val="117"/>
                      </w:rPr>
                    </w:pPr>
                  </w:p>
                  <w:p>
                    <w:pPr>
                      <w:spacing w:before="0"/>
                      <w:ind w:left="1009" w:right="0" w:firstLine="0"/>
                      <w:jc w:val="left"/>
                      <w:rPr>
                        <w:sz w:val="72"/>
                      </w:rPr>
                    </w:pPr>
                    <w:r>
                      <w:rPr>
                        <w:color w:val="003C79"/>
                        <w:sz w:val="72"/>
                      </w:rPr>
                      <w:t>Executive</w:t>
                    </w:r>
                    <w:r>
                      <w:rPr>
                        <w:color w:val="003C79"/>
                        <w:spacing w:val="-9"/>
                        <w:sz w:val="72"/>
                      </w:rPr>
                      <w:t> </w:t>
                    </w:r>
                    <w:r>
                      <w:rPr>
                        <w:color w:val="003C79"/>
                        <w:sz w:val="72"/>
                      </w:rPr>
                      <w:t>summary</w:t>
                    </w:r>
                  </w:p>
                </w:txbxContent>
              </v:textbox>
              <w10:wrap type="none"/>
            </v:shape>
            <w10:wrap type="none"/>
          </v:group>
        </w:pict>
      </w:r>
      <w:bookmarkStart w:name="_bookmark1" w:id="2"/>
      <w:bookmarkEnd w:id="2"/>
      <w:r>
        <w:rPr/>
      </w:r>
      <w:r>
        <w:rPr/>
        <w:t>The Department of Health contracted a consortium led by Health Policy Analysis to evaluate</w:t>
      </w:r>
      <w:r>
        <w:rPr>
          <w:spacing w:val="-53"/>
        </w:rPr>
        <w:t> </w:t>
      </w:r>
      <w:r>
        <w:rPr/>
        <w:t>the Health Care Homes (HCH) trial. The trial started on 1 October 2017 and will end on 30</w:t>
      </w:r>
      <w:r>
        <w:rPr>
          <w:spacing w:val="1"/>
        </w:rPr>
        <w:t> </w:t>
      </w:r>
      <w:r>
        <w:rPr/>
        <w:t>June 2021. Initially the trial was to end in November 2019, but in December 2018, the</w:t>
      </w:r>
      <w:r>
        <w:rPr>
          <w:spacing w:val="1"/>
        </w:rPr>
        <w:t> </w:t>
      </w:r>
      <w:r>
        <w:rPr/>
        <w:t>Australian Government announced an extension. This evaluation plan has been updated to</w:t>
      </w:r>
      <w:r>
        <w:rPr>
          <w:spacing w:val="1"/>
        </w:rPr>
        <w:t> </w:t>
      </w:r>
      <w:r>
        <w:rPr/>
        <w:t>reflect the extension. In addition, it has been updated to incorporate the evaluation of</w:t>
      </w:r>
      <w:r>
        <w:rPr>
          <w:spacing w:val="1"/>
        </w:rPr>
        <w:t> </w:t>
      </w:r>
      <w:r>
        <w:rPr/>
        <w:t>community pharmacies delivering services to HCH patients, which was added to the trial in</w:t>
      </w:r>
      <w:r>
        <w:rPr>
          <w:spacing w:val="1"/>
        </w:rPr>
        <w:t> </w:t>
      </w:r>
      <w:r>
        <w:rPr/>
        <w:t>August 2018.</w:t>
      </w:r>
    </w:p>
    <w:p>
      <w:pPr>
        <w:pStyle w:val="BodyText"/>
        <w:spacing w:line="276" w:lineRule="auto" w:before="201"/>
        <w:ind w:left="1440" w:right="1525"/>
      </w:pPr>
      <w:r>
        <w:rPr/>
        <w:t>The purpose of the evaluation is to assess the extent to which HCH is achieving its objectives,</w:t>
      </w:r>
      <w:r>
        <w:rPr>
          <w:spacing w:val="-53"/>
        </w:rPr>
        <w:t> </w:t>
      </w:r>
      <w:r>
        <w:rPr/>
        <w:t>and</w:t>
      </w:r>
      <w:r>
        <w:rPr>
          <w:spacing w:val="-2"/>
        </w:rPr>
        <w:t> </w:t>
      </w:r>
      <w:r>
        <w:rPr/>
        <w:t>to</w:t>
      </w:r>
      <w:r>
        <w:rPr>
          <w:spacing w:val="-1"/>
        </w:rPr>
        <w:t> </w:t>
      </w:r>
      <w:r>
        <w:rPr/>
        <w:t>inform</w:t>
      </w:r>
      <w:r>
        <w:rPr>
          <w:spacing w:val="-1"/>
        </w:rPr>
        <w:t> </w:t>
      </w:r>
      <w:r>
        <w:rPr/>
        <w:t>future</w:t>
      </w:r>
      <w:r>
        <w:rPr>
          <w:spacing w:val="-2"/>
        </w:rPr>
        <w:t> </w:t>
      </w:r>
      <w:r>
        <w:rPr/>
        <w:t>directions</w:t>
      </w:r>
      <w:r>
        <w:rPr>
          <w:spacing w:val="-1"/>
        </w:rPr>
        <w:t> </w:t>
      </w:r>
      <w:r>
        <w:rPr/>
        <w:t>for</w:t>
      </w:r>
      <w:r>
        <w:rPr>
          <w:spacing w:val="-1"/>
        </w:rPr>
        <w:t> </w:t>
      </w:r>
      <w:r>
        <w:rPr/>
        <w:t>HCH in</w:t>
      </w:r>
      <w:r>
        <w:rPr>
          <w:spacing w:val="1"/>
        </w:rPr>
        <w:t> </w:t>
      </w:r>
      <w:r>
        <w:rPr/>
        <w:t>Australia.</w:t>
      </w:r>
    </w:p>
    <w:p>
      <w:pPr>
        <w:pStyle w:val="BodyText"/>
        <w:spacing w:line="276" w:lineRule="auto" w:before="200"/>
        <w:ind w:left="1440" w:right="1493"/>
      </w:pPr>
      <w:r>
        <w:rPr/>
        <w:t>The evaluation started prior to the program being implemented, to develop the evaluation</w:t>
      </w:r>
      <w:r>
        <w:rPr>
          <w:spacing w:val="1"/>
        </w:rPr>
        <w:t> </w:t>
      </w:r>
      <w:r>
        <w:rPr/>
        <w:t>framework and establish the infrastructure for the evaluation. It will continue beyond the end</w:t>
      </w:r>
      <w:r>
        <w:rPr>
          <w:spacing w:val="-54"/>
        </w:rPr>
        <w:t> </w:t>
      </w:r>
      <w:r>
        <w:rPr/>
        <w:t>of</w:t>
      </w:r>
      <w:r>
        <w:rPr>
          <w:spacing w:val="-2"/>
        </w:rPr>
        <w:t> </w:t>
      </w:r>
      <w:r>
        <w:rPr/>
        <w:t>the</w:t>
      </w:r>
      <w:r>
        <w:rPr>
          <w:spacing w:val="-1"/>
        </w:rPr>
        <w:t> </w:t>
      </w:r>
      <w:r>
        <w:rPr/>
        <w:t>trial</w:t>
      </w:r>
      <w:r>
        <w:rPr>
          <w:spacing w:val="-2"/>
        </w:rPr>
        <w:t> </w:t>
      </w:r>
      <w:r>
        <w:rPr/>
        <w:t>to</w:t>
      </w:r>
      <w:r>
        <w:rPr>
          <w:spacing w:val="-1"/>
        </w:rPr>
        <w:t> </w:t>
      </w:r>
      <w:r>
        <w:rPr/>
        <w:t>report</w:t>
      </w:r>
      <w:r>
        <w:rPr>
          <w:spacing w:val="1"/>
        </w:rPr>
        <w:t> </w:t>
      </w:r>
      <w:r>
        <w:rPr/>
        <w:t>the</w:t>
      </w:r>
      <w:r>
        <w:rPr>
          <w:spacing w:val="-1"/>
        </w:rPr>
        <w:t> </w:t>
      </w:r>
      <w:r>
        <w:rPr/>
        <w:t>findings.</w:t>
      </w:r>
    </w:p>
    <w:p>
      <w:pPr>
        <w:pStyle w:val="BodyText"/>
        <w:spacing w:line="276" w:lineRule="auto" w:before="200"/>
        <w:ind w:left="1440" w:right="1461"/>
      </w:pPr>
      <w:r>
        <w:rPr/>
        <w:t>Mainstream general practices and Aboriginal Community Controlled Health Services</w:t>
      </w:r>
      <w:r>
        <w:rPr>
          <w:spacing w:val="1"/>
        </w:rPr>
        <w:t> </w:t>
      </w:r>
      <w:r>
        <w:rPr/>
        <w:t>(ACCHSs) from 10 PHNs (out of 31 Australia-wide) are participating in the trial. For simplicity, in</w:t>
      </w:r>
      <w:r>
        <w:rPr>
          <w:spacing w:val="-53"/>
        </w:rPr>
        <w:t> </w:t>
      </w:r>
      <w:r>
        <w:rPr/>
        <w:t>this plan we collectively refer to these as ‘practices’. Primary Health Network (PHNs) are also</w:t>
      </w:r>
      <w:r>
        <w:rPr>
          <w:spacing w:val="1"/>
        </w:rPr>
        <w:t> </w:t>
      </w:r>
      <w:r>
        <w:rPr/>
        <w:t>involved,</w:t>
      </w:r>
      <w:r>
        <w:rPr>
          <w:spacing w:val="-2"/>
        </w:rPr>
        <w:t> </w:t>
      </w:r>
      <w:r>
        <w:rPr/>
        <w:t>by</w:t>
      </w:r>
      <w:r>
        <w:rPr>
          <w:spacing w:val="-2"/>
        </w:rPr>
        <w:t> </w:t>
      </w:r>
      <w:r>
        <w:rPr/>
        <w:t>supporting practices</w:t>
      </w:r>
      <w:r>
        <w:rPr>
          <w:spacing w:val="-1"/>
        </w:rPr>
        <w:t> </w:t>
      </w:r>
      <w:r>
        <w:rPr/>
        <w:t>in implementing</w:t>
      </w:r>
      <w:r>
        <w:rPr>
          <w:spacing w:val="1"/>
        </w:rPr>
        <w:t> </w:t>
      </w:r>
      <w:r>
        <w:rPr/>
        <w:t>HCH.</w:t>
      </w:r>
    </w:p>
    <w:p>
      <w:pPr>
        <w:pStyle w:val="BodyText"/>
        <w:spacing w:line="278" w:lineRule="auto" w:before="199"/>
        <w:ind w:left="1440" w:right="1742"/>
      </w:pPr>
      <w:r>
        <w:rPr/>
        <w:t>HCH is a variant of the patient-centred medical home (PCMH), which aims to improve the</w:t>
      </w:r>
      <w:r>
        <w:rPr>
          <w:spacing w:val="-53"/>
        </w:rPr>
        <w:t> </w:t>
      </w:r>
      <w:r>
        <w:rPr/>
        <w:t>effectiveness</w:t>
      </w:r>
      <w:r>
        <w:rPr>
          <w:spacing w:val="-2"/>
        </w:rPr>
        <w:t> </w:t>
      </w:r>
      <w:r>
        <w:rPr/>
        <w:t>of</w:t>
      </w:r>
      <w:r>
        <w:rPr>
          <w:spacing w:val="-2"/>
        </w:rPr>
        <w:t> </w:t>
      </w:r>
      <w:r>
        <w:rPr/>
        <w:t>primary</w:t>
      </w:r>
      <w:r>
        <w:rPr>
          <w:spacing w:val="-1"/>
        </w:rPr>
        <w:t> </w:t>
      </w:r>
      <w:r>
        <w:rPr/>
        <w:t>care.</w:t>
      </w:r>
      <w:r>
        <w:rPr>
          <w:spacing w:val="-2"/>
        </w:rPr>
        <w:t> </w:t>
      </w:r>
      <w:r>
        <w:rPr/>
        <w:t>Features of</w:t>
      </w:r>
      <w:r>
        <w:rPr>
          <w:spacing w:val="-2"/>
        </w:rPr>
        <w:t> </w:t>
      </w:r>
      <w:r>
        <w:rPr/>
        <w:t>the</w:t>
      </w:r>
      <w:r>
        <w:rPr>
          <w:spacing w:val="1"/>
        </w:rPr>
        <w:t> </w:t>
      </w:r>
      <w:r>
        <w:rPr/>
        <w:t>Australian</w:t>
      </w:r>
      <w:r>
        <w:rPr>
          <w:spacing w:val="-1"/>
        </w:rPr>
        <w:t> </w:t>
      </w:r>
      <w:r>
        <w:rPr/>
        <w:t>implementation</w:t>
      </w:r>
      <w:r>
        <w:rPr>
          <w:spacing w:val="-1"/>
        </w:rPr>
        <w:t> </w:t>
      </w:r>
      <w:r>
        <w:rPr/>
        <w:t>are:</w:t>
      </w:r>
    </w:p>
    <w:p>
      <w:pPr>
        <w:pStyle w:val="ListParagraph"/>
        <w:numPr>
          <w:ilvl w:val="0"/>
          <w:numId w:val="2"/>
        </w:numPr>
        <w:tabs>
          <w:tab w:pos="2153" w:val="left" w:leader="none"/>
          <w:tab w:pos="2154" w:val="left" w:leader="none"/>
        </w:tabs>
        <w:spacing w:line="276" w:lineRule="auto" w:before="197" w:after="0"/>
        <w:ind w:left="2153" w:right="1464" w:hanging="356"/>
        <w:jc w:val="left"/>
        <w:rPr>
          <w:sz w:val="20"/>
        </w:rPr>
      </w:pPr>
      <w:r>
        <w:rPr>
          <w:sz w:val="20"/>
        </w:rPr>
        <w:t>voluntary enrolment of patients to a practice—their health care home—nominating a</w:t>
      </w:r>
      <w:r>
        <w:rPr>
          <w:spacing w:val="-53"/>
          <w:sz w:val="20"/>
        </w:rPr>
        <w:t> </w:t>
      </w:r>
      <w:r>
        <w:rPr>
          <w:sz w:val="20"/>
        </w:rPr>
        <w:t>GP</w:t>
      </w:r>
      <w:r>
        <w:rPr>
          <w:spacing w:val="-2"/>
          <w:sz w:val="20"/>
        </w:rPr>
        <w:t> </w:t>
      </w:r>
      <w:r>
        <w:rPr>
          <w:sz w:val="20"/>
        </w:rPr>
        <w:t>as</w:t>
      </w:r>
      <w:r>
        <w:rPr>
          <w:spacing w:val="-1"/>
          <w:sz w:val="20"/>
        </w:rPr>
        <w:t> </w:t>
      </w:r>
      <w:r>
        <w:rPr>
          <w:sz w:val="20"/>
        </w:rPr>
        <w:t>their</w:t>
      </w:r>
      <w:r>
        <w:rPr>
          <w:spacing w:val="-1"/>
          <w:sz w:val="20"/>
        </w:rPr>
        <w:t> </w:t>
      </w:r>
      <w:r>
        <w:rPr>
          <w:sz w:val="20"/>
        </w:rPr>
        <w:t>preferred clinician</w:t>
      </w:r>
    </w:p>
    <w:p>
      <w:pPr>
        <w:pStyle w:val="ListParagraph"/>
        <w:numPr>
          <w:ilvl w:val="0"/>
          <w:numId w:val="2"/>
        </w:numPr>
        <w:tabs>
          <w:tab w:pos="2153" w:val="left" w:leader="none"/>
          <w:tab w:pos="2154" w:val="left" w:leader="none"/>
        </w:tabs>
        <w:spacing w:line="240" w:lineRule="auto" w:before="0" w:after="0"/>
        <w:ind w:left="2153" w:right="0" w:hanging="356"/>
        <w:jc w:val="left"/>
        <w:rPr>
          <w:sz w:val="20"/>
        </w:rPr>
      </w:pPr>
      <w:r>
        <w:rPr>
          <w:sz w:val="20"/>
        </w:rPr>
        <w:t>tools</w:t>
      </w:r>
      <w:r>
        <w:rPr>
          <w:spacing w:val="-4"/>
          <w:sz w:val="20"/>
        </w:rPr>
        <w:t> </w:t>
      </w:r>
      <w:r>
        <w:rPr>
          <w:sz w:val="20"/>
        </w:rPr>
        <w:t>to</w:t>
      </w:r>
      <w:r>
        <w:rPr>
          <w:spacing w:val="-3"/>
          <w:sz w:val="20"/>
        </w:rPr>
        <w:t> </w:t>
      </w:r>
      <w:r>
        <w:rPr>
          <w:sz w:val="20"/>
        </w:rPr>
        <w:t>identify</w:t>
      </w:r>
      <w:r>
        <w:rPr>
          <w:spacing w:val="-4"/>
          <w:sz w:val="20"/>
        </w:rPr>
        <w:t> </w:t>
      </w:r>
      <w:r>
        <w:rPr>
          <w:sz w:val="20"/>
        </w:rPr>
        <w:t>patients</w:t>
      </w:r>
      <w:r>
        <w:rPr>
          <w:spacing w:val="-6"/>
          <w:sz w:val="20"/>
        </w:rPr>
        <w:t> </w:t>
      </w:r>
      <w:r>
        <w:rPr>
          <w:sz w:val="20"/>
        </w:rPr>
        <w:t>at</w:t>
      </w:r>
      <w:r>
        <w:rPr>
          <w:spacing w:val="-1"/>
          <w:sz w:val="20"/>
        </w:rPr>
        <w:t> </w:t>
      </w:r>
      <w:r>
        <w:rPr>
          <w:sz w:val="20"/>
        </w:rPr>
        <w:t>risk</w:t>
      </w:r>
      <w:r>
        <w:rPr>
          <w:spacing w:val="-3"/>
          <w:sz w:val="20"/>
        </w:rPr>
        <w:t> </w:t>
      </w:r>
      <w:r>
        <w:rPr>
          <w:sz w:val="20"/>
        </w:rPr>
        <w:t>of</w:t>
      </w:r>
      <w:r>
        <w:rPr>
          <w:spacing w:val="-3"/>
          <w:sz w:val="20"/>
        </w:rPr>
        <w:t> </w:t>
      </w:r>
      <w:r>
        <w:rPr>
          <w:sz w:val="20"/>
        </w:rPr>
        <w:t>hospitalisation</w:t>
      </w:r>
      <w:r>
        <w:rPr>
          <w:spacing w:val="-3"/>
          <w:sz w:val="20"/>
        </w:rPr>
        <w:t> </w:t>
      </w:r>
      <w:r>
        <w:rPr>
          <w:sz w:val="20"/>
        </w:rPr>
        <w:t>and</w:t>
      </w:r>
      <w:r>
        <w:rPr>
          <w:spacing w:val="-3"/>
          <w:sz w:val="20"/>
        </w:rPr>
        <w:t> </w:t>
      </w:r>
      <w:r>
        <w:rPr>
          <w:sz w:val="20"/>
        </w:rPr>
        <w:t>stratify</w:t>
      </w:r>
      <w:r>
        <w:rPr>
          <w:spacing w:val="-4"/>
          <w:sz w:val="20"/>
        </w:rPr>
        <w:t> </w:t>
      </w:r>
      <w:r>
        <w:rPr>
          <w:sz w:val="20"/>
        </w:rPr>
        <w:t>them</w:t>
      </w:r>
      <w:r>
        <w:rPr>
          <w:spacing w:val="-3"/>
          <w:sz w:val="20"/>
        </w:rPr>
        <w:t> </w:t>
      </w:r>
      <w:r>
        <w:rPr>
          <w:sz w:val="20"/>
        </w:rPr>
        <w:t>to</w:t>
      </w:r>
      <w:r>
        <w:rPr>
          <w:spacing w:val="-3"/>
          <w:sz w:val="20"/>
        </w:rPr>
        <w:t> </w:t>
      </w:r>
      <w:r>
        <w:rPr>
          <w:sz w:val="20"/>
        </w:rPr>
        <w:t>a</w:t>
      </w:r>
      <w:r>
        <w:rPr>
          <w:spacing w:val="-2"/>
          <w:sz w:val="20"/>
        </w:rPr>
        <w:t> </w:t>
      </w:r>
      <w:r>
        <w:rPr>
          <w:sz w:val="20"/>
        </w:rPr>
        <w:t>complexity</w:t>
      </w:r>
      <w:r>
        <w:rPr>
          <w:spacing w:val="-4"/>
          <w:sz w:val="20"/>
        </w:rPr>
        <w:t> </w:t>
      </w:r>
      <w:r>
        <w:rPr>
          <w:sz w:val="20"/>
        </w:rPr>
        <w:t>tier</w:t>
      </w:r>
    </w:p>
    <w:p>
      <w:pPr>
        <w:pStyle w:val="ListParagraph"/>
        <w:numPr>
          <w:ilvl w:val="0"/>
          <w:numId w:val="2"/>
        </w:numPr>
        <w:tabs>
          <w:tab w:pos="2153" w:val="left" w:leader="none"/>
          <w:tab w:pos="2154" w:val="left" w:leader="none"/>
        </w:tabs>
        <w:spacing w:line="240" w:lineRule="auto" w:before="36" w:after="0"/>
        <w:ind w:left="2153" w:right="0" w:hanging="356"/>
        <w:jc w:val="left"/>
        <w:rPr>
          <w:sz w:val="20"/>
        </w:rPr>
      </w:pPr>
      <w:r>
        <w:rPr>
          <w:sz w:val="20"/>
        </w:rPr>
        <w:t>a</w:t>
      </w:r>
      <w:r>
        <w:rPr>
          <w:spacing w:val="-3"/>
          <w:sz w:val="20"/>
        </w:rPr>
        <w:t> </w:t>
      </w:r>
      <w:r>
        <w:rPr>
          <w:sz w:val="20"/>
        </w:rPr>
        <w:t>bundled</w:t>
      </w:r>
      <w:r>
        <w:rPr>
          <w:spacing w:val="-3"/>
          <w:sz w:val="20"/>
        </w:rPr>
        <w:t> </w:t>
      </w:r>
      <w:r>
        <w:rPr>
          <w:sz w:val="20"/>
        </w:rPr>
        <w:t>payment</w:t>
      </w:r>
      <w:r>
        <w:rPr>
          <w:spacing w:val="-2"/>
          <w:sz w:val="20"/>
        </w:rPr>
        <w:t> </w:t>
      </w:r>
      <w:r>
        <w:rPr>
          <w:sz w:val="20"/>
        </w:rPr>
        <w:t>for</w:t>
      </w:r>
      <w:r>
        <w:rPr>
          <w:spacing w:val="-3"/>
          <w:sz w:val="20"/>
        </w:rPr>
        <w:t> </w:t>
      </w:r>
      <w:r>
        <w:rPr>
          <w:sz w:val="20"/>
        </w:rPr>
        <w:t>every</w:t>
      </w:r>
      <w:r>
        <w:rPr>
          <w:spacing w:val="-5"/>
          <w:sz w:val="20"/>
        </w:rPr>
        <w:t> </w:t>
      </w:r>
      <w:r>
        <w:rPr>
          <w:sz w:val="20"/>
        </w:rPr>
        <w:t>enrolled</w:t>
      </w:r>
      <w:r>
        <w:rPr>
          <w:spacing w:val="-3"/>
          <w:sz w:val="20"/>
        </w:rPr>
        <w:t> </w:t>
      </w:r>
      <w:r>
        <w:rPr>
          <w:sz w:val="20"/>
        </w:rPr>
        <w:t>patient</w:t>
      </w:r>
      <w:r>
        <w:rPr>
          <w:spacing w:val="-2"/>
          <w:sz w:val="20"/>
        </w:rPr>
        <w:t> </w:t>
      </w:r>
      <w:r>
        <w:rPr>
          <w:sz w:val="20"/>
        </w:rPr>
        <w:t>based</w:t>
      </w:r>
      <w:r>
        <w:rPr>
          <w:spacing w:val="-3"/>
          <w:sz w:val="20"/>
        </w:rPr>
        <w:t> </w:t>
      </w:r>
      <w:r>
        <w:rPr>
          <w:sz w:val="20"/>
        </w:rPr>
        <w:t>on</w:t>
      </w:r>
      <w:r>
        <w:rPr>
          <w:spacing w:val="-3"/>
          <w:sz w:val="20"/>
        </w:rPr>
        <w:t> </w:t>
      </w:r>
      <w:r>
        <w:rPr>
          <w:sz w:val="20"/>
        </w:rPr>
        <w:t>their</w:t>
      </w:r>
      <w:r>
        <w:rPr>
          <w:spacing w:val="-3"/>
          <w:sz w:val="20"/>
        </w:rPr>
        <w:t> </w:t>
      </w:r>
      <w:r>
        <w:rPr>
          <w:sz w:val="20"/>
        </w:rPr>
        <w:t>tier</w:t>
      </w:r>
      <w:r>
        <w:rPr>
          <w:spacing w:val="-4"/>
          <w:sz w:val="20"/>
        </w:rPr>
        <w:t> </w:t>
      </w:r>
      <w:r>
        <w:rPr>
          <w:sz w:val="20"/>
        </w:rPr>
        <w:t>(for</w:t>
      </w:r>
      <w:r>
        <w:rPr>
          <w:spacing w:val="-3"/>
          <w:sz w:val="20"/>
        </w:rPr>
        <w:t> </w:t>
      </w:r>
      <w:r>
        <w:rPr>
          <w:sz w:val="20"/>
        </w:rPr>
        <w:t>services</w:t>
      </w:r>
      <w:r>
        <w:rPr>
          <w:spacing w:val="-4"/>
          <w:sz w:val="20"/>
        </w:rPr>
        <w:t> </w:t>
      </w:r>
      <w:r>
        <w:rPr>
          <w:sz w:val="20"/>
        </w:rPr>
        <w:t>relating</w:t>
      </w:r>
    </w:p>
    <w:p>
      <w:pPr>
        <w:pStyle w:val="BodyText"/>
        <w:spacing w:before="38"/>
        <w:ind w:left="2153"/>
      </w:pPr>
      <w:r>
        <w:rPr/>
        <w:t>to</w:t>
      </w:r>
      <w:r>
        <w:rPr>
          <w:spacing w:val="-5"/>
        </w:rPr>
        <w:t> </w:t>
      </w:r>
      <w:r>
        <w:rPr/>
        <w:t>the</w:t>
      </w:r>
      <w:r>
        <w:rPr>
          <w:spacing w:val="-4"/>
        </w:rPr>
        <w:t> </w:t>
      </w:r>
      <w:r>
        <w:rPr/>
        <w:t>patient’s</w:t>
      </w:r>
      <w:r>
        <w:rPr>
          <w:spacing w:val="-4"/>
        </w:rPr>
        <w:t> </w:t>
      </w:r>
      <w:r>
        <w:rPr/>
        <w:t>chronic</w:t>
      </w:r>
      <w:r>
        <w:rPr>
          <w:spacing w:val="-4"/>
        </w:rPr>
        <w:t> </w:t>
      </w:r>
      <w:r>
        <w:rPr/>
        <w:t>conditions),</w:t>
      </w:r>
      <w:r>
        <w:rPr>
          <w:spacing w:val="-6"/>
        </w:rPr>
        <w:t> </w:t>
      </w:r>
      <w:r>
        <w:rPr/>
        <w:t>replacing</w:t>
      </w:r>
      <w:r>
        <w:rPr>
          <w:spacing w:val="-4"/>
        </w:rPr>
        <w:t> </w:t>
      </w:r>
      <w:r>
        <w:rPr/>
        <w:t>the</w:t>
      </w:r>
      <w:r>
        <w:rPr>
          <w:spacing w:val="-1"/>
        </w:rPr>
        <w:t> </w:t>
      </w:r>
      <w:r>
        <w:rPr/>
        <w:t>Medicare</w:t>
      </w:r>
      <w:r>
        <w:rPr>
          <w:spacing w:val="-4"/>
        </w:rPr>
        <w:t> </w:t>
      </w:r>
      <w:r>
        <w:rPr/>
        <w:t>fee-for-service</w:t>
      </w:r>
      <w:r>
        <w:rPr>
          <w:spacing w:val="-1"/>
        </w:rPr>
        <w:t> </w:t>
      </w:r>
      <w:r>
        <w:rPr/>
        <w:t>payment</w:t>
      </w:r>
    </w:p>
    <w:p>
      <w:pPr>
        <w:pStyle w:val="ListParagraph"/>
        <w:numPr>
          <w:ilvl w:val="0"/>
          <w:numId w:val="2"/>
        </w:numPr>
        <w:tabs>
          <w:tab w:pos="2153" w:val="left" w:leader="none"/>
          <w:tab w:pos="2154" w:val="left" w:leader="none"/>
        </w:tabs>
        <w:spacing w:line="276" w:lineRule="auto" w:before="36" w:after="0"/>
        <w:ind w:left="2153" w:right="1707" w:hanging="356"/>
        <w:jc w:val="left"/>
        <w:rPr>
          <w:sz w:val="20"/>
        </w:rPr>
      </w:pPr>
      <w:r>
        <w:rPr>
          <w:sz w:val="20"/>
        </w:rPr>
        <w:t>patient</w:t>
      </w:r>
      <w:r>
        <w:rPr>
          <w:spacing w:val="-2"/>
          <w:sz w:val="20"/>
        </w:rPr>
        <w:t> </w:t>
      </w:r>
      <w:r>
        <w:rPr>
          <w:sz w:val="20"/>
        </w:rPr>
        <w:t>access</w:t>
      </w:r>
      <w:r>
        <w:rPr>
          <w:spacing w:val="-4"/>
          <w:sz w:val="20"/>
        </w:rPr>
        <w:t> </w:t>
      </w:r>
      <w:r>
        <w:rPr>
          <w:sz w:val="20"/>
        </w:rPr>
        <w:t>to</w:t>
      </w:r>
      <w:r>
        <w:rPr>
          <w:spacing w:val="-3"/>
          <w:sz w:val="20"/>
        </w:rPr>
        <w:t> </w:t>
      </w:r>
      <w:r>
        <w:rPr>
          <w:sz w:val="20"/>
        </w:rPr>
        <w:t>medication</w:t>
      </w:r>
      <w:r>
        <w:rPr>
          <w:spacing w:val="-3"/>
          <w:sz w:val="20"/>
        </w:rPr>
        <w:t> </w:t>
      </w:r>
      <w:r>
        <w:rPr>
          <w:sz w:val="20"/>
        </w:rPr>
        <w:t>management</w:t>
      </w:r>
      <w:r>
        <w:rPr>
          <w:spacing w:val="-2"/>
          <w:sz w:val="20"/>
        </w:rPr>
        <w:t> </w:t>
      </w:r>
      <w:r>
        <w:rPr>
          <w:sz w:val="20"/>
        </w:rPr>
        <w:t>services</w:t>
      </w:r>
      <w:r>
        <w:rPr>
          <w:spacing w:val="-3"/>
          <w:sz w:val="20"/>
        </w:rPr>
        <w:t> </w:t>
      </w:r>
      <w:r>
        <w:rPr>
          <w:sz w:val="20"/>
        </w:rPr>
        <w:t>by</w:t>
      </w:r>
      <w:r>
        <w:rPr>
          <w:spacing w:val="-5"/>
          <w:sz w:val="20"/>
        </w:rPr>
        <w:t> </w:t>
      </w:r>
      <w:r>
        <w:rPr>
          <w:sz w:val="20"/>
        </w:rPr>
        <w:t>a</w:t>
      </w:r>
      <w:r>
        <w:rPr>
          <w:spacing w:val="-3"/>
          <w:sz w:val="20"/>
        </w:rPr>
        <w:t> </w:t>
      </w:r>
      <w:r>
        <w:rPr>
          <w:sz w:val="20"/>
        </w:rPr>
        <w:t>community</w:t>
      </w:r>
      <w:r>
        <w:rPr>
          <w:spacing w:val="-4"/>
          <w:sz w:val="20"/>
        </w:rPr>
        <w:t> </w:t>
      </w:r>
      <w:r>
        <w:rPr>
          <w:sz w:val="20"/>
        </w:rPr>
        <w:t>pharmacy</w:t>
      </w:r>
      <w:r>
        <w:rPr>
          <w:spacing w:val="-5"/>
          <w:sz w:val="20"/>
        </w:rPr>
        <w:t> </w:t>
      </w:r>
      <w:r>
        <w:rPr>
          <w:sz w:val="20"/>
        </w:rPr>
        <w:t>of</w:t>
      </w:r>
      <w:r>
        <w:rPr>
          <w:spacing w:val="-52"/>
          <w:sz w:val="20"/>
        </w:rPr>
        <w:t> </w:t>
      </w:r>
      <w:r>
        <w:rPr>
          <w:sz w:val="20"/>
        </w:rPr>
        <w:t>their</w:t>
      </w:r>
      <w:r>
        <w:rPr>
          <w:spacing w:val="-2"/>
          <w:sz w:val="20"/>
        </w:rPr>
        <w:t> </w:t>
      </w:r>
      <w:r>
        <w:rPr>
          <w:sz w:val="20"/>
        </w:rPr>
        <w:t>choice,</w:t>
      </w:r>
      <w:r>
        <w:rPr>
          <w:spacing w:val="-4"/>
          <w:sz w:val="20"/>
        </w:rPr>
        <w:t> </w:t>
      </w:r>
      <w:r>
        <w:rPr>
          <w:sz w:val="20"/>
        </w:rPr>
        <w:t>and</w:t>
      </w:r>
      <w:r>
        <w:rPr>
          <w:spacing w:val="-2"/>
          <w:sz w:val="20"/>
        </w:rPr>
        <w:t> </w:t>
      </w:r>
      <w:r>
        <w:rPr>
          <w:sz w:val="20"/>
        </w:rPr>
        <w:t>a bundled</w:t>
      </w:r>
      <w:r>
        <w:rPr>
          <w:spacing w:val="-2"/>
          <w:sz w:val="20"/>
        </w:rPr>
        <w:t> </w:t>
      </w:r>
      <w:r>
        <w:rPr>
          <w:sz w:val="20"/>
        </w:rPr>
        <w:t>payment to</w:t>
      </w:r>
      <w:r>
        <w:rPr>
          <w:spacing w:val="-1"/>
          <w:sz w:val="20"/>
        </w:rPr>
        <w:t> </w:t>
      </w:r>
      <w:r>
        <w:rPr>
          <w:sz w:val="20"/>
        </w:rPr>
        <w:t>the</w:t>
      </w:r>
      <w:r>
        <w:rPr>
          <w:spacing w:val="-2"/>
          <w:sz w:val="20"/>
        </w:rPr>
        <w:t> </w:t>
      </w:r>
      <w:r>
        <w:rPr>
          <w:sz w:val="20"/>
        </w:rPr>
        <w:t>pharmacy</w:t>
      </w:r>
      <w:r>
        <w:rPr>
          <w:spacing w:val="-3"/>
          <w:sz w:val="20"/>
        </w:rPr>
        <w:t> </w:t>
      </w:r>
      <w:r>
        <w:rPr>
          <w:sz w:val="20"/>
        </w:rPr>
        <w:t>for</w:t>
      </w:r>
      <w:r>
        <w:rPr>
          <w:spacing w:val="-2"/>
          <w:sz w:val="20"/>
        </w:rPr>
        <w:t> </w:t>
      </w:r>
      <w:r>
        <w:rPr>
          <w:sz w:val="20"/>
        </w:rPr>
        <w:t>these</w:t>
      </w:r>
      <w:r>
        <w:rPr>
          <w:spacing w:val="-1"/>
          <w:sz w:val="20"/>
        </w:rPr>
        <w:t> </w:t>
      </w:r>
      <w:r>
        <w:rPr>
          <w:sz w:val="20"/>
        </w:rPr>
        <w:t>services</w:t>
      </w:r>
    </w:p>
    <w:p>
      <w:pPr>
        <w:pStyle w:val="ListParagraph"/>
        <w:numPr>
          <w:ilvl w:val="0"/>
          <w:numId w:val="2"/>
        </w:numPr>
        <w:tabs>
          <w:tab w:pos="2153" w:val="left" w:leader="none"/>
          <w:tab w:pos="2154" w:val="left" w:leader="none"/>
        </w:tabs>
        <w:spacing w:line="240" w:lineRule="auto" w:before="0" w:after="0"/>
        <w:ind w:left="2153" w:right="0" w:hanging="356"/>
        <w:jc w:val="left"/>
        <w:rPr>
          <w:sz w:val="20"/>
        </w:rPr>
      </w:pPr>
      <w:r>
        <w:rPr>
          <w:sz w:val="20"/>
        </w:rPr>
        <w:t>training</w:t>
      </w:r>
      <w:r>
        <w:rPr>
          <w:spacing w:val="-4"/>
          <w:sz w:val="20"/>
        </w:rPr>
        <w:t> </w:t>
      </w:r>
      <w:r>
        <w:rPr>
          <w:sz w:val="20"/>
        </w:rPr>
        <w:t>resources</w:t>
      </w:r>
      <w:r>
        <w:rPr>
          <w:spacing w:val="-3"/>
          <w:sz w:val="20"/>
        </w:rPr>
        <w:t> </w:t>
      </w:r>
      <w:r>
        <w:rPr>
          <w:sz w:val="20"/>
        </w:rPr>
        <w:t>to</w:t>
      </w:r>
      <w:r>
        <w:rPr>
          <w:spacing w:val="-3"/>
          <w:sz w:val="20"/>
        </w:rPr>
        <w:t> </w:t>
      </w:r>
      <w:r>
        <w:rPr>
          <w:sz w:val="20"/>
        </w:rPr>
        <w:t>support</w:t>
      </w:r>
      <w:r>
        <w:rPr>
          <w:spacing w:val="-1"/>
          <w:sz w:val="20"/>
        </w:rPr>
        <w:t> </w:t>
      </w:r>
      <w:r>
        <w:rPr>
          <w:sz w:val="20"/>
        </w:rPr>
        <w:t>transformation</w:t>
      </w:r>
      <w:r>
        <w:rPr>
          <w:spacing w:val="-3"/>
          <w:sz w:val="20"/>
        </w:rPr>
        <w:t> </w:t>
      </w:r>
      <w:r>
        <w:rPr>
          <w:sz w:val="20"/>
        </w:rPr>
        <w:t>of</w:t>
      </w:r>
      <w:r>
        <w:rPr>
          <w:spacing w:val="-3"/>
          <w:sz w:val="20"/>
        </w:rPr>
        <w:t> </w:t>
      </w:r>
      <w:r>
        <w:rPr>
          <w:sz w:val="20"/>
        </w:rPr>
        <w:t>practices</w:t>
      </w:r>
      <w:r>
        <w:rPr>
          <w:spacing w:val="-3"/>
          <w:sz w:val="20"/>
        </w:rPr>
        <w:t> </w:t>
      </w:r>
      <w:r>
        <w:rPr>
          <w:sz w:val="20"/>
        </w:rPr>
        <w:t>towards</w:t>
      </w:r>
      <w:r>
        <w:rPr>
          <w:spacing w:val="-3"/>
          <w:sz w:val="20"/>
        </w:rPr>
        <w:t> </w:t>
      </w:r>
      <w:r>
        <w:rPr>
          <w:sz w:val="20"/>
        </w:rPr>
        <w:t>a</w:t>
      </w:r>
      <w:r>
        <w:rPr>
          <w:spacing w:val="-3"/>
          <w:sz w:val="20"/>
        </w:rPr>
        <w:t> </w:t>
      </w:r>
      <w:r>
        <w:rPr>
          <w:sz w:val="20"/>
        </w:rPr>
        <w:t>HCH model</w:t>
      </w:r>
    </w:p>
    <w:p>
      <w:pPr>
        <w:pStyle w:val="ListParagraph"/>
        <w:numPr>
          <w:ilvl w:val="0"/>
          <w:numId w:val="2"/>
        </w:numPr>
        <w:tabs>
          <w:tab w:pos="2153" w:val="left" w:leader="none"/>
          <w:tab w:pos="2154" w:val="left" w:leader="none"/>
        </w:tabs>
        <w:spacing w:line="276" w:lineRule="auto" w:before="38" w:after="0"/>
        <w:ind w:left="2153" w:right="2345" w:hanging="356"/>
        <w:jc w:val="left"/>
        <w:rPr>
          <w:sz w:val="20"/>
        </w:rPr>
      </w:pPr>
      <w:r>
        <w:rPr>
          <w:sz w:val="20"/>
        </w:rPr>
        <w:t>support</w:t>
      </w:r>
      <w:r>
        <w:rPr>
          <w:spacing w:val="-4"/>
          <w:sz w:val="20"/>
        </w:rPr>
        <w:t> </w:t>
      </w:r>
      <w:r>
        <w:rPr>
          <w:sz w:val="20"/>
        </w:rPr>
        <w:t>for</w:t>
      </w:r>
      <w:r>
        <w:rPr>
          <w:spacing w:val="-2"/>
          <w:sz w:val="20"/>
        </w:rPr>
        <w:t> </w:t>
      </w:r>
      <w:r>
        <w:rPr>
          <w:sz w:val="20"/>
        </w:rPr>
        <w:t>practices</w:t>
      </w:r>
      <w:r>
        <w:rPr>
          <w:spacing w:val="-5"/>
          <w:sz w:val="20"/>
        </w:rPr>
        <w:t> </w:t>
      </w:r>
      <w:r>
        <w:rPr>
          <w:sz w:val="20"/>
        </w:rPr>
        <w:t>to</w:t>
      </w:r>
      <w:r>
        <w:rPr>
          <w:spacing w:val="-5"/>
          <w:sz w:val="20"/>
        </w:rPr>
        <w:t> </w:t>
      </w:r>
      <w:r>
        <w:rPr>
          <w:sz w:val="20"/>
        </w:rPr>
        <w:t>undertake</w:t>
      </w:r>
      <w:r>
        <w:rPr>
          <w:spacing w:val="-5"/>
          <w:sz w:val="20"/>
        </w:rPr>
        <w:t> </w:t>
      </w:r>
      <w:r>
        <w:rPr>
          <w:sz w:val="20"/>
        </w:rPr>
        <w:t>transformation,</w:t>
      </w:r>
      <w:r>
        <w:rPr>
          <w:spacing w:val="-5"/>
          <w:sz w:val="20"/>
        </w:rPr>
        <w:t> </w:t>
      </w:r>
      <w:r>
        <w:rPr>
          <w:sz w:val="20"/>
        </w:rPr>
        <w:t>provided</w:t>
      </w:r>
      <w:r>
        <w:rPr>
          <w:spacing w:val="-4"/>
          <w:sz w:val="20"/>
        </w:rPr>
        <w:t> </w:t>
      </w:r>
      <w:r>
        <w:rPr>
          <w:sz w:val="20"/>
        </w:rPr>
        <w:t>by</w:t>
      </w:r>
      <w:r>
        <w:rPr>
          <w:spacing w:val="-4"/>
          <w:sz w:val="20"/>
        </w:rPr>
        <w:t> </w:t>
      </w:r>
      <w:r>
        <w:rPr>
          <w:sz w:val="20"/>
        </w:rPr>
        <w:t>PHN</w:t>
      </w:r>
      <w:r>
        <w:rPr>
          <w:spacing w:val="-5"/>
          <w:sz w:val="20"/>
        </w:rPr>
        <w:t> </w:t>
      </w:r>
      <w:r>
        <w:rPr>
          <w:sz w:val="20"/>
        </w:rPr>
        <w:t>practice</w:t>
      </w:r>
      <w:r>
        <w:rPr>
          <w:spacing w:val="-52"/>
          <w:sz w:val="20"/>
        </w:rPr>
        <w:t> </w:t>
      </w:r>
      <w:r>
        <w:rPr>
          <w:sz w:val="20"/>
        </w:rPr>
        <w:t>facilitators</w:t>
      </w:r>
    </w:p>
    <w:p>
      <w:pPr>
        <w:pStyle w:val="ListParagraph"/>
        <w:numPr>
          <w:ilvl w:val="0"/>
          <w:numId w:val="2"/>
        </w:numPr>
        <w:tabs>
          <w:tab w:pos="2153" w:val="left" w:leader="none"/>
          <w:tab w:pos="2154" w:val="left" w:leader="none"/>
        </w:tabs>
        <w:spacing w:line="276" w:lineRule="auto" w:before="0" w:after="0"/>
        <w:ind w:left="2153" w:right="1512" w:hanging="356"/>
        <w:jc w:val="left"/>
        <w:rPr>
          <w:sz w:val="20"/>
        </w:rPr>
      </w:pPr>
      <w:r>
        <w:rPr>
          <w:sz w:val="20"/>
        </w:rPr>
        <w:t>a</w:t>
      </w:r>
      <w:r>
        <w:rPr>
          <w:spacing w:val="-4"/>
          <w:sz w:val="20"/>
        </w:rPr>
        <w:t> </w:t>
      </w:r>
      <w:r>
        <w:rPr>
          <w:sz w:val="20"/>
        </w:rPr>
        <w:t>system</w:t>
      </w:r>
      <w:r>
        <w:rPr>
          <w:spacing w:val="-1"/>
          <w:sz w:val="20"/>
        </w:rPr>
        <w:t> </w:t>
      </w:r>
      <w:r>
        <w:rPr>
          <w:sz w:val="20"/>
        </w:rPr>
        <w:t>of</w:t>
      </w:r>
      <w:r>
        <w:rPr>
          <w:spacing w:val="-4"/>
          <w:sz w:val="20"/>
        </w:rPr>
        <w:t> </w:t>
      </w:r>
      <w:r>
        <w:rPr>
          <w:sz w:val="20"/>
        </w:rPr>
        <w:t>shared</w:t>
      </w:r>
      <w:r>
        <w:rPr>
          <w:spacing w:val="-4"/>
          <w:sz w:val="20"/>
        </w:rPr>
        <w:t> </w:t>
      </w:r>
      <w:r>
        <w:rPr>
          <w:sz w:val="20"/>
        </w:rPr>
        <w:t>care</w:t>
      </w:r>
      <w:r>
        <w:rPr>
          <w:spacing w:val="-2"/>
          <w:sz w:val="20"/>
        </w:rPr>
        <w:t> </w:t>
      </w:r>
      <w:r>
        <w:rPr>
          <w:sz w:val="20"/>
        </w:rPr>
        <w:t>planning</w:t>
      </w:r>
      <w:r>
        <w:rPr>
          <w:spacing w:val="-6"/>
          <w:sz w:val="20"/>
        </w:rPr>
        <w:t> </w:t>
      </w:r>
      <w:r>
        <w:rPr>
          <w:sz w:val="20"/>
        </w:rPr>
        <w:t>that</w:t>
      </w:r>
      <w:r>
        <w:rPr>
          <w:spacing w:val="-2"/>
          <w:sz w:val="20"/>
        </w:rPr>
        <w:t> </w:t>
      </w:r>
      <w:r>
        <w:rPr>
          <w:sz w:val="20"/>
        </w:rPr>
        <w:t>gives</w:t>
      </w:r>
      <w:r>
        <w:rPr>
          <w:spacing w:val="-4"/>
          <w:sz w:val="20"/>
        </w:rPr>
        <w:t> </w:t>
      </w:r>
      <w:r>
        <w:rPr>
          <w:sz w:val="20"/>
        </w:rPr>
        <w:t>authorised</w:t>
      </w:r>
      <w:r>
        <w:rPr>
          <w:spacing w:val="-4"/>
          <w:sz w:val="20"/>
        </w:rPr>
        <w:t> </w:t>
      </w:r>
      <w:r>
        <w:rPr>
          <w:sz w:val="20"/>
        </w:rPr>
        <w:t>health</w:t>
      </w:r>
      <w:r>
        <w:rPr>
          <w:spacing w:val="-3"/>
          <w:sz w:val="20"/>
        </w:rPr>
        <w:t> </w:t>
      </w:r>
      <w:r>
        <w:rPr>
          <w:sz w:val="20"/>
        </w:rPr>
        <w:t>professionals</w:t>
      </w:r>
      <w:r>
        <w:rPr>
          <w:spacing w:val="-4"/>
          <w:sz w:val="20"/>
        </w:rPr>
        <w:t> </w:t>
      </w:r>
      <w:r>
        <w:rPr>
          <w:sz w:val="20"/>
        </w:rPr>
        <w:t>access</w:t>
      </w:r>
      <w:r>
        <w:rPr>
          <w:spacing w:val="-4"/>
          <w:sz w:val="20"/>
        </w:rPr>
        <w:t> </w:t>
      </w:r>
      <w:r>
        <w:rPr>
          <w:sz w:val="20"/>
        </w:rPr>
        <w:t>to</w:t>
      </w:r>
      <w:r>
        <w:rPr>
          <w:spacing w:val="-53"/>
          <w:sz w:val="20"/>
        </w:rPr>
        <w:t> </w:t>
      </w:r>
      <w:r>
        <w:rPr>
          <w:sz w:val="20"/>
        </w:rPr>
        <w:t>an</w:t>
      </w:r>
      <w:r>
        <w:rPr>
          <w:spacing w:val="-1"/>
          <w:sz w:val="20"/>
        </w:rPr>
        <w:t> </w:t>
      </w:r>
      <w:r>
        <w:rPr>
          <w:sz w:val="20"/>
        </w:rPr>
        <w:t>up-to-date</w:t>
      </w:r>
      <w:r>
        <w:rPr>
          <w:spacing w:val="-2"/>
          <w:sz w:val="20"/>
        </w:rPr>
        <w:t> </w:t>
      </w:r>
      <w:r>
        <w:rPr>
          <w:sz w:val="20"/>
        </w:rPr>
        <w:t>electronic</w:t>
      </w:r>
      <w:r>
        <w:rPr>
          <w:spacing w:val="-2"/>
          <w:sz w:val="20"/>
        </w:rPr>
        <w:t> </w:t>
      </w:r>
      <w:r>
        <w:rPr>
          <w:sz w:val="20"/>
        </w:rPr>
        <w:t>medical</w:t>
      </w:r>
      <w:r>
        <w:rPr>
          <w:spacing w:val="-1"/>
          <w:sz w:val="20"/>
        </w:rPr>
        <w:t> </w:t>
      </w:r>
      <w:r>
        <w:rPr>
          <w:sz w:val="20"/>
        </w:rPr>
        <w:t>record</w:t>
      </w:r>
      <w:r>
        <w:rPr>
          <w:spacing w:val="-1"/>
          <w:sz w:val="20"/>
        </w:rPr>
        <w:t> </w:t>
      </w:r>
      <w:r>
        <w:rPr>
          <w:sz w:val="20"/>
        </w:rPr>
        <w:t>for</w:t>
      </w:r>
      <w:r>
        <w:rPr>
          <w:spacing w:val="-2"/>
          <w:sz w:val="20"/>
        </w:rPr>
        <w:t> </w:t>
      </w:r>
      <w:r>
        <w:rPr>
          <w:sz w:val="20"/>
        </w:rPr>
        <w:t>each enrolled</w:t>
      </w:r>
      <w:r>
        <w:rPr>
          <w:spacing w:val="-2"/>
          <w:sz w:val="20"/>
        </w:rPr>
        <w:t> </w:t>
      </w:r>
      <w:r>
        <w:rPr>
          <w:sz w:val="20"/>
        </w:rPr>
        <w:t>patient</w:t>
      </w:r>
    </w:p>
    <w:p>
      <w:pPr>
        <w:pStyle w:val="ListParagraph"/>
        <w:numPr>
          <w:ilvl w:val="0"/>
          <w:numId w:val="2"/>
        </w:numPr>
        <w:tabs>
          <w:tab w:pos="2153" w:val="left" w:leader="none"/>
          <w:tab w:pos="2154" w:val="left" w:leader="none"/>
        </w:tabs>
        <w:spacing w:line="240" w:lineRule="auto" w:before="0" w:after="0"/>
        <w:ind w:left="2153" w:right="0" w:hanging="356"/>
        <w:jc w:val="left"/>
        <w:rPr>
          <w:sz w:val="20"/>
        </w:rPr>
      </w:pPr>
      <w:r>
        <w:rPr>
          <w:sz w:val="20"/>
        </w:rPr>
        <w:t>data</w:t>
      </w:r>
      <w:r>
        <w:rPr>
          <w:spacing w:val="-4"/>
          <w:sz w:val="20"/>
        </w:rPr>
        <w:t> </w:t>
      </w:r>
      <w:r>
        <w:rPr>
          <w:sz w:val="20"/>
        </w:rPr>
        <w:t>sharing</w:t>
      </w:r>
    </w:p>
    <w:p>
      <w:pPr>
        <w:pStyle w:val="ListParagraph"/>
        <w:numPr>
          <w:ilvl w:val="0"/>
          <w:numId w:val="2"/>
        </w:numPr>
        <w:tabs>
          <w:tab w:pos="2153" w:val="left" w:leader="none"/>
          <w:tab w:pos="2154" w:val="left" w:leader="none"/>
        </w:tabs>
        <w:spacing w:line="240" w:lineRule="auto" w:before="36" w:after="0"/>
        <w:ind w:left="2153" w:right="0" w:hanging="356"/>
        <w:jc w:val="left"/>
        <w:rPr>
          <w:sz w:val="20"/>
        </w:rPr>
      </w:pPr>
      <w:r>
        <w:rPr>
          <w:sz w:val="20"/>
        </w:rPr>
        <w:t>evaluation</w:t>
      </w:r>
      <w:r>
        <w:rPr>
          <w:spacing w:val="-3"/>
          <w:sz w:val="20"/>
        </w:rPr>
        <w:t> </w:t>
      </w:r>
      <w:r>
        <w:rPr>
          <w:sz w:val="20"/>
        </w:rPr>
        <w:t>of</w:t>
      </w:r>
      <w:r>
        <w:rPr>
          <w:spacing w:val="-3"/>
          <w:sz w:val="20"/>
        </w:rPr>
        <w:t> </w:t>
      </w:r>
      <w:r>
        <w:rPr>
          <w:sz w:val="20"/>
        </w:rPr>
        <w:t>the</w:t>
      </w:r>
      <w:r>
        <w:rPr>
          <w:spacing w:val="-3"/>
          <w:sz w:val="20"/>
        </w:rPr>
        <w:t> </w:t>
      </w:r>
      <w:r>
        <w:rPr>
          <w:sz w:val="20"/>
        </w:rPr>
        <w:t>program.</w:t>
      </w:r>
    </w:p>
    <w:p>
      <w:pPr>
        <w:pStyle w:val="BodyText"/>
        <w:spacing w:before="4"/>
        <w:rPr>
          <w:sz w:val="19"/>
        </w:rPr>
      </w:pPr>
    </w:p>
    <w:p>
      <w:pPr>
        <w:pStyle w:val="BodyText"/>
        <w:ind w:left="1440"/>
      </w:pPr>
      <w:r>
        <w:rPr/>
        <w:t>The</w:t>
      </w:r>
      <w:r>
        <w:rPr>
          <w:spacing w:val="-4"/>
        </w:rPr>
        <w:t> </w:t>
      </w:r>
      <w:r>
        <w:rPr/>
        <w:t>program ultimately</w:t>
      </w:r>
      <w:r>
        <w:rPr>
          <w:spacing w:val="-4"/>
        </w:rPr>
        <w:t> </w:t>
      </w:r>
      <w:r>
        <w:rPr/>
        <w:t>aims</w:t>
      </w:r>
      <w:r>
        <w:rPr>
          <w:spacing w:val="-2"/>
        </w:rPr>
        <w:t> </w:t>
      </w:r>
      <w:r>
        <w:rPr/>
        <w:t>to:</w:t>
      </w:r>
    </w:p>
    <w:p>
      <w:pPr>
        <w:pStyle w:val="BodyText"/>
        <w:spacing w:before="4"/>
        <w:rPr>
          <w:sz w:val="19"/>
        </w:rPr>
      </w:pPr>
    </w:p>
    <w:p>
      <w:pPr>
        <w:pStyle w:val="ListParagraph"/>
        <w:numPr>
          <w:ilvl w:val="0"/>
          <w:numId w:val="2"/>
        </w:numPr>
        <w:tabs>
          <w:tab w:pos="2153" w:val="left" w:leader="none"/>
          <w:tab w:pos="2154" w:val="left" w:leader="none"/>
        </w:tabs>
        <w:spacing w:line="240" w:lineRule="auto" w:before="0" w:after="0"/>
        <w:ind w:left="2153" w:right="0" w:hanging="356"/>
        <w:jc w:val="left"/>
        <w:rPr>
          <w:sz w:val="20"/>
        </w:rPr>
      </w:pPr>
      <w:r>
        <w:rPr>
          <w:sz w:val="20"/>
        </w:rPr>
        <w:t>improve</w:t>
      </w:r>
      <w:r>
        <w:rPr>
          <w:spacing w:val="-5"/>
          <w:sz w:val="20"/>
        </w:rPr>
        <w:t> </w:t>
      </w:r>
      <w:r>
        <w:rPr>
          <w:sz w:val="20"/>
        </w:rPr>
        <w:t>health</w:t>
      </w:r>
      <w:r>
        <w:rPr>
          <w:spacing w:val="-4"/>
          <w:sz w:val="20"/>
        </w:rPr>
        <w:t> </w:t>
      </w:r>
      <w:r>
        <w:rPr>
          <w:sz w:val="20"/>
        </w:rPr>
        <w:t>outcomes</w:t>
      </w:r>
      <w:r>
        <w:rPr>
          <w:spacing w:val="-4"/>
          <w:sz w:val="20"/>
        </w:rPr>
        <w:t> </w:t>
      </w:r>
      <w:r>
        <w:rPr>
          <w:sz w:val="20"/>
        </w:rPr>
        <w:t>for</w:t>
      </w:r>
      <w:r>
        <w:rPr>
          <w:spacing w:val="-5"/>
          <w:sz w:val="20"/>
        </w:rPr>
        <w:t> </w:t>
      </w:r>
      <w:r>
        <w:rPr>
          <w:sz w:val="20"/>
        </w:rPr>
        <w:t>patients</w:t>
      </w:r>
      <w:r>
        <w:rPr>
          <w:spacing w:val="-5"/>
          <w:sz w:val="20"/>
        </w:rPr>
        <w:t> </w:t>
      </w:r>
      <w:r>
        <w:rPr>
          <w:sz w:val="20"/>
        </w:rPr>
        <w:t>with</w:t>
      </w:r>
      <w:r>
        <w:rPr>
          <w:spacing w:val="-3"/>
          <w:sz w:val="20"/>
        </w:rPr>
        <w:t> </w:t>
      </w:r>
      <w:r>
        <w:rPr>
          <w:sz w:val="20"/>
        </w:rPr>
        <w:t>chronic</w:t>
      </w:r>
      <w:r>
        <w:rPr>
          <w:spacing w:val="-4"/>
          <w:sz w:val="20"/>
        </w:rPr>
        <w:t> </w:t>
      </w:r>
      <w:r>
        <w:rPr>
          <w:sz w:val="20"/>
        </w:rPr>
        <w:t>disease</w:t>
      </w:r>
    </w:p>
    <w:p>
      <w:pPr>
        <w:pStyle w:val="ListParagraph"/>
        <w:numPr>
          <w:ilvl w:val="0"/>
          <w:numId w:val="2"/>
        </w:numPr>
        <w:tabs>
          <w:tab w:pos="2153" w:val="left" w:leader="none"/>
          <w:tab w:pos="2154" w:val="left" w:leader="none"/>
        </w:tabs>
        <w:spacing w:line="240" w:lineRule="auto" w:before="36" w:after="0"/>
        <w:ind w:left="2153" w:right="0" w:hanging="356"/>
        <w:jc w:val="left"/>
        <w:rPr>
          <w:sz w:val="20"/>
        </w:rPr>
      </w:pPr>
      <w:r>
        <w:rPr>
          <w:sz w:val="20"/>
        </w:rPr>
        <w:t>improve</w:t>
      </w:r>
      <w:r>
        <w:rPr>
          <w:spacing w:val="-3"/>
          <w:sz w:val="20"/>
        </w:rPr>
        <w:t> </w:t>
      </w:r>
      <w:r>
        <w:rPr>
          <w:sz w:val="20"/>
        </w:rPr>
        <w:t>the</w:t>
      </w:r>
      <w:r>
        <w:rPr>
          <w:spacing w:val="-3"/>
          <w:sz w:val="20"/>
        </w:rPr>
        <w:t> </w:t>
      </w:r>
      <w:r>
        <w:rPr>
          <w:sz w:val="20"/>
        </w:rPr>
        <w:t>experiences</w:t>
      </w:r>
      <w:r>
        <w:rPr>
          <w:spacing w:val="-3"/>
          <w:sz w:val="20"/>
        </w:rPr>
        <w:t> </w:t>
      </w:r>
      <w:r>
        <w:rPr>
          <w:sz w:val="20"/>
        </w:rPr>
        <w:t>of</w:t>
      </w:r>
      <w:r>
        <w:rPr>
          <w:spacing w:val="-3"/>
          <w:sz w:val="20"/>
        </w:rPr>
        <w:t> </w:t>
      </w:r>
      <w:r>
        <w:rPr>
          <w:sz w:val="20"/>
        </w:rPr>
        <w:t>patients</w:t>
      </w:r>
      <w:r>
        <w:rPr>
          <w:spacing w:val="-3"/>
          <w:sz w:val="20"/>
        </w:rPr>
        <w:t> </w:t>
      </w:r>
      <w:r>
        <w:rPr>
          <w:sz w:val="20"/>
        </w:rPr>
        <w:t>an</w:t>
      </w:r>
      <w:r>
        <w:rPr>
          <w:spacing w:val="-2"/>
          <w:sz w:val="20"/>
        </w:rPr>
        <w:t> </w:t>
      </w:r>
      <w:r>
        <w:rPr>
          <w:sz w:val="20"/>
        </w:rPr>
        <w:t>and</w:t>
      </w:r>
      <w:r>
        <w:rPr>
          <w:spacing w:val="-3"/>
          <w:sz w:val="20"/>
        </w:rPr>
        <w:t> </w:t>
      </w:r>
      <w:r>
        <w:rPr>
          <w:sz w:val="20"/>
        </w:rPr>
        <w:t>primary</w:t>
      </w:r>
      <w:r>
        <w:rPr>
          <w:spacing w:val="-4"/>
          <w:sz w:val="20"/>
        </w:rPr>
        <w:t> </w:t>
      </w:r>
      <w:r>
        <w:rPr>
          <w:sz w:val="20"/>
        </w:rPr>
        <w:t>care</w:t>
      </w:r>
      <w:r>
        <w:rPr>
          <w:spacing w:val="-3"/>
          <w:sz w:val="20"/>
        </w:rPr>
        <w:t> </w:t>
      </w:r>
      <w:r>
        <w:rPr>
          <w:sz w:val="20"/>
        </w:rPr>
        <w:t>staff</w:t>
      </w:r>
    </w:p>
    <w:p>
      <w:pPr>
        <w:pStyle w:val="ListParagraph"/>
        <w:numPr>
          <w:ilvl w:val="0"/>
          <w:numId w:val="2"/>
        </w:numPr>
        <w:tabs>
          <w:tab w:pos="2153" w:val="left" w:leader="none"/>
          <w:tab w:pos="2154" w:val="left" w:leader="none"/>
        </w:tabs>
        <w:spacing w:line="240" w:lineRule="auto" w:before="38" w:after="0"/>
        <w:ind w:left="2153" w:right="0" w:hanging="356"/>
        <w:jc w:val="left"/>
        <w:rPr>
          <w:sz w:val="20"/>
        </w:rPr>
      </w:pPr>
      <w:r>
        <w:rPr>
          <w:sz w:val="20"/>
        </w:rPr>
        <w:t>better</w:t>
      </w:r>
      <w:r>
        <w:rPr>
          <w:spacing w:val="-3"/>
          <w:sz w:val="20"/>
        </w:rPr>
        <w:t> </w:t>
      </w:r>
      <w:r>
        <w:rPr>
          <w:sz w:val="20"/>
        </w:rPr>
        <w:t>manage</w:t>
      </w:r>
      <w:r>
        <w:rPr>
          <w:spacing w:val="-2"/>
          <w:sz w:val="20"/>
        </w:rPr>
        <w:t> </w:t>
      </w:r>
      <w:r>
        <w:rPr>
          <w:sz w:val="20"/>
        </w:rPr>
        <w:t>health</w:t>
      </w:r>
      <w:r>
        <w:rPr>
          <w:spacing w:val="-2"/>
          <w:sz w:val="20"/>
        </w:rPr>
        <w:t> </w:t>
      </w:r>
      <w:r>
        <w:rPr>
          <w:sz w:val="20"/>
        </w:rPr>
        <w:t>care</w:t>
      </w:r>
      <w:r>
        <w:rPr>
          <w:spacing w:val="-3"/>
          <w:sz w:val="20"/>
        </w:rPr>
        <w:t> </w:t>
      </w:r>
      <w:r>
        <w:rPr>
          <w:sz w:val="20"/>
        </w:rPr>
        <w:t>costs.</w:t>
      </w:r>
    </w:p>
    <w:p>
      <w:pPr>
        <w:pStyle w:val="BodyText"/>
        <w:spacing w:before="4"/>
        <w:rPr>
          <w:sz w:val="19"/>
        </w:rPr>
      </w:pPr>
    </w:p>
    <w:p>
      <w:pPr>
        <w:pStyle w:val="BodyText"/>
        <w:ind w:left="1440"/>
      </w:pPr>
      <w:r>
        <w:rPr/>
        <w:t>It</w:t>
      </w:r>
      <w:r>
        <w:rPr>
          <w:spacing w:val="-1"/>
        </w:rPr>
        <w:t> </w:t>
      </w:r>
      <w:r>
        <w:rPr/>
        <w:t>is</w:t>
      </w:r>
      <w:r>
        <w:rPr>
          <w:spacing w:val="-3"/>
        </w:rPr>
        <w:t> </w:t>
      </w:r>
      <w:r>
        <w:rPr/>
        <w:t>hypothesised</w:t>
      </w:r>
      <w:r>
        <w:rPr>
          <w:spacing w:val="-3"/>
        </w:rPr>
        <w:t> </w:t>
      </w:r>
      <w:r>
        <w:rPr/>
        <w:t>that</w:t>
      </w:r>
      <w:r>
        <w:rPr>
          <w:spacing w:val="-2"/>
        </w:rPr>
        <w:t> </w:t>
      </w:r>
      <w:r>
        <w:rPr/>
        <w:t>these</w:t>
      </w:r>
      <w:r>
        <w:rPr>
          <w:spacing w:val="-3"/>
        </w:rPr>
        <w:t> </w:t>
      </w:r>
      <w:r>
        <w:rPr/>
        <w:t>aims</w:t>
      </w:r>
      <w:r>
        <w:rPr>
          <w:spacing w:val="-1"/>
        </w:rPr>
        <w:t> </w:t>
      </w:r>
      <w:r>
        <w:rPr/>
        <w:t>will</w:t>
      </w:r>
      <w:r>
        <w:rPr>
          <w:spacing w:val="-2"/>
        </w:rPr>
        <w:t> </w:t>
      </w:r>
      <w:r>
        <w:rPr/>
        <w:t>be</w:t>
      </w:r>
      <w:r>
        <w:rPr>
          <w:spacing w:val="-3"/>
        </w:rPr>
        <w:t> </w:t>
      </w:r>
      <w:r>
        <w:rPr/>
        <w:t>achieved</w:t>
      </w:r>
      <w:r>
        <w:rPr>
          <w:spacing w:val="-5"/>
        </w:rPr>
        <w:t> </w:t>
      </w:r>
      <w:r>
        <w:rPr/>
        <w:t>through:</w:t>
      </w:r>
    </w:p>
    <w:p>
      <w:pPr>
        <w:pStyle w:val="BodyText"/>
        <w:spacing w:before="4"/>
        <w:rPr>
          <w:sz w:val="19"/>
        </w:rPr>
      </w:pPr>
    </w:p>
    <w:p>
      <w:pPr>
        <w:pStyle w:val="ListParagraph"/>
        <w:numPr>
          <w:ilvl w:val="0"/>
          <w:numId w:val="2"/>
        </w:numPr>
        <w:tabs>
          <w:tab w:pos="2153" w:val="left" w:leader="none"/>
          <w:tab w:pos="2154" w:val="left" w:leader="none"/>
        </w:tabs>
        <w:spacing w:line="276" w:lineRule="auto" w:before="1" w:after="0"/>
        <w:ind w:left="2153" w:right="1558" w:hanging="356"/>
        <w:jc w:val="left"/>
        <w:rPr>
          <w:sz w:val="20"/>
        </w:rPr>
      </w:pPr>
      <w:r>
        <w:rPr>
          <w:sz w:val="20"/>
        </w:rPr>
        <w:t>delaying</w:t>
      </w:r>
      <w:r>
        <w:rPr>
          <w:spacing w:val="-5"/>
          <w:sz w:val="20"/>
        </w:rPr>
        <w:t> </w:t>
      </w:r>
      <w:r>
        <w:rPr>
          <w:sz w:val="20"/>
        </w:rPr>
        <w:t>the</w:t>
      </w:r>
      <w:r>
        <w:rPr>
          <w:spacing w:val="-4"/>
          <w:sz w:val="20"/>
        </w:rPr>
        <w:t> </w:t>
      </w:r>
      <w:r>
        <w:rPr>
          <w:sz w:val="20"/>
        </w:rPr>
        <w:t>progression</w:t>
      </w:r>
      <w:r>
        <w:rPr>
          <w:spacing w:val="-1"/>
          <w:sz w:val="20"/>
        </w:rPr>
        <w:t> </w:t>
      </w:r>
      <w:r>
        <w:rPr>
          <w:sz w:val="20"/>
        </w:rPr>
        <w:t>of</w:t>
      </w:r>
      <w:r>
        <w:rPr>
          <w:spacing w:val="-2"/>
          <w:sz w:val="20"/>
        </w:rPr>
        <w:t> </w:t>
      </w:r>
      <w:r>
        <w:rPr>
          <w:sz w:val="20"/>
        </w:rPr>
        <w:t>patients’</w:t>
      </w:r>
      <w:r>
        <w:rPr>
          <w:spacing w:val="-3"/>
          <w:sz w:val="20"/>
        </w:rPr>
        <w:t> </w:t>
      </w:r>
      <w:r>
        <w:rPr>
          <w:sz w:val="20"/>
        </w:rPr>
        <w:t>chronic</w:t>
      </w:r>
      <w:r>
        <w:rPr>
          <w:spacing w:val="-3"/>
          <w:sz w:val="20"/>
        </w:rPr>
        <w:t> </w:t>
      </w:r>
      <w:r>
        <w:rPr>
          <w:sz w:val="20"/>
        </w:rPr>
        <w:t>conditions,</w:t>
      </w:r>
      <w:r>
        <w:rPr>
          <w:spacing w:val="-7"/>
          <w:sz w:val="20"/>
        </w:rPr>
        <w:t> </w:t>
      </w:r>
      <w:r>
        <w:rPr>
          <w:sz w:val="20"/>
        </w:rPr>
        <w:t>and</w:t>
      </w:r>
      <w:r>
        <w:rPr>
          <w:spacing w:val="-4"/>
          <w:sz w:val="20"/>
        </w:rPr>
        <w:t> </w:t>
      </w:r>
      <w:r>
        <w:rPr>
          <w:sz w:val="20"/>
        </w:rPr>
        <w:t>preventing</w:t>
      </w:r>
      <w:r>
        <w:rPr>
          <w:spacing w:val="-4"/>
          <w:sz w:val="20"/>
        </w:rPr>
        <w:t> </w:t>
      </w:r>
      <w:r>
        <w:rPr>
          <w:sz w:val="20"/>
        </w:rPr>
        <w:t>the</w:t>
      </w:r>
      <w:r>
        <w:rPr>
          <w:spacing w:val="-4"/>
          <w:sz w:val="20"/>
        </w:rPr>
        <w:t> </w:t>
      </w:r>
      <w:r>
        <w:rPr>
          <w:sz w:val="20"/>
        </w:rPr>
        <w:t>onset</w:t>
      </w:r>
      <w:r>
        <w:rPr>
          <w:spacing w:val="-2"/>
          <w:sz w:val="20"/>
        </w:rPr>
        <w:t> </w:t>
      </w:r>
      <w:r>
        <w:rPr>
          <w:sz w:val="20"/>
        </w:rPr>
        <w:t>of</w:t>
      </w:r>
      <w:r>
        <w:rPr>
          <w:spacing w:val="-53"/>
          <w:sz w:val="20"/>
        </w:rPr>
        <w:t> </w:t>
      </w:r>
      <w:r>
        <w:rPr>
          <w:sz w:val="20"/>
        </w:rPr>
        <w:t>other</w:t>
      </w:r>
      <w:r>
        <w:rPr>
          <w:spacing w:val="-2"/>
          <w:sz w:val="20"/>
        </w:rPr>
        <w:t> </w:t>
      </w:r>
      <w:r>
        <w:rPr>
          <w:sz w:val="20"/>
        </w:rPr>
        <w:t>conditions</w:t>
      </w:r>
    </w:p>
    <w:p>
      <w:pPr>
        <w:spacing w:after="0" w:line="276" w:lineRule="auto"/>
        <w:jc w:val="left"/>
        <w:rPr>
          <w:sz w:val="20"/>
        </w:rPr>
        <w:sectPr>
          <w:footerReference w:type="default" r:id="rId7"/>
          <w:pgSz w:w="11910" w:h="16840"/>
          <w:pgMar w:footer="675" w:header="0" w:top="0" w:bottom="860" w:left="0" w:right="0"/>
          <w:pgNumType w:start="1"/>
        </w:sectPr>
      </w:pPr>
    </w:p>
    <w:p>
      <w:pPr>
        <w:pStyle w:val="ListParagraph"/>
        <w:numPr>
          <w:ilvl w:val="0"/>
          <w:numId w:val="2"/>
        </w:numPr>
        <w:tabs>
          <w:tab w:pos="2153" w:val="left" w:leader="none"/>
          <w:tab w:pos="2154" w:val="left" w:leader="none"/>
        </w:tabs>
        <w:spacing w:line="276" w:lineRule="auto" w:before="82" w:after="0"/>
        <w:ind w:left="2153" w:right="2634" w:hanging="356"/>
        <w:jc w:val="left"/>
        <w:rPr>
          <w:sz w:val="20"/>
        </w:rPr>
      </w:pPr>
      <w:r>
        <w:rPr>
          <w:sz w:val="20"/>
        </w:rPr>
        <w:t>strengthening the delivery of organised, evidence-based chronic disease</w:t>
      </w:r>
      <w:r>
        <w:rPr>
          <w:spacing w:val="-53"/>
          <w:sz w:val="20"/>
        </w:rPr>
        <w:t> </w:t>
      </w:r>
      <w:r>
        <w:rPr>
          <w:sz w:val="20"/>
        </w:rPr>
        <w:t>management,</w:t>
      </w:r>
      <w:r>
        <w:rPr>
          <w:spacing w:val="-7"/>
          <w:sz w:val="20"/>
        </w:rPr>
        <w:t> </w:t>
      </w:r>
      <w:r>
        <w:rPr>
          <w:sz w:val="20"/>
        </w:rPr>
        <w:t>including</w:t>
      </w:r>
      <w:r>
        <w:rPr>
          <w:spacing w:val="-5"/>
          <w:sz w:val="20"/>
        </w:rPr>
        <w:t> </w:t>
      </w:r>
      <w:r>
        <w:rPr>
          <w:sz w:val="20"/>
        </w:rPr>
        <w:t>addressing</w:t>
      </w:r>
      <w:r>
        <w:rPr>
          <w:spacing w:val="-5"/>
          <w:sz w:val="20"/>
        </w:rPr>
        <w:t> </w:t>
      </w:r>
      <w:r>
        <w:rPr>
          <w:sz w:val="20"/>
        </w:rPr>
        <w:t>patient</w:t>
      </w:r>
      <w:r>
        <w:rPr>
          <w:spacing w:val="-4"/>
          <w:sz w:val="20"/>
        </w:rPr>
        <w:t> </w:t>
      </w:r>
      <w:r>
        <w:rPr>
          <w:sz w:val="20"/>
        </w:rPr>
        <w:t>lifestyle</w:t>
      </w:r>
      <w:r>
        <w:rPr>
          <w:spacing w:val="-5"/>
          <w:sz w:val="20"/>
        </w:rPr>
        <w:t> </w:t>
      </w:r>
      <w:r>
        <w:rPr>
          <w:sz w:val="20"/>
        </w:rPr>
        <w:t>issues</w:t>
      </w:r>
      <w:r>
        <w:rPr>
          <w:spacing w:val="-5"/>
          <w:sz w:val="20"/>
        </w:rPr>
        <w:t> </w:t>
      </w:r>
      <w:r>
        <w:rPr>
          <w:sz w:val="20"/>
        </w:rPr>
        <w:t>and</w:t>
      </w:r>
      <w:r>
        <w:rPr>
          <w:spacing w:val="-5"/>
          <w:sz w:val="20"/>
        </w:rPr>
        <w:t> </w:t>
      </w:r>
      <w:r>
        <w:rPr>
          <w:sz w:val="20"/>
        </w:rPr>
        <w:t>behaviours</w:t>
      </w:r>
    </w:p>
    <w:p>
      <w:pPr>
        <w:pStyle w:val="ListParagraph"/>
        <w:numPr>
          <w:ilvl w:val="0"/>
          <w:numId w:val="2"/>
        </w:numPr>
        <w:tabs>
          <w:tab w:pos="2153" w:val="left" w:leader="none"/>
          <w:tab w:pos="2154" w:val="left" w:leader="none"/>
        </w:tabs>
        <w:spacing w:line="240" w:lineRule="auto" w:before="0" w:after="0"/>
        <w:ind w:left="2153" w:right="0" w:hanging="356"/>
        <w:jc w:val="left"/>
        <w:rPr>
          <w:sz w:val="20"/>
        </w:rPr>
      </w:pPr>
      <w:r>
        <w:rPr>
          <w:sz w:val="20"/>
        </w:rPr>
        <w:t>more</w:t>
      </w:r>
      <w:r>
        <w:rPr>
          <w:spacing w:val="-4"/>
          <w:sz w:val="20"/>
        </w:rPr>
        <w:t> </w:t>
      </w:r>
      <w:r>
        <w:rPr>
          <w:sz w:val="20"/>
        </w:rPr>
        <w:t>effectively</w:t>
      </w:r>
      <w:r>
        <w:rPr>
          <w:spacing w:val="-3"/>
          <w:sz w:val="20"/>
        </w:rPr>
        <w:t> </w:t>
      </w:r>
      <w:r>
        <w:rPr>
          <w:sz w:val="20"/>
        </w:rPr>
        <w:t>engaging</w:t>
      </w:r>
      <w:r>
        <w:rPr>
          <w:spacing w:val="-3"/>
          <w:sz w:val="20"/>
        </w:rPr>
        <w:t> </w:t>
      </w:r>
      <w:r>
        <w:rPr>
          <w:sz w:val="20"/>
        </w:rPr>
        <w:t>patients</w:t>
      </w:r>
      <w:r>
        <w:rPr>
          <w:spacing w:val="-3"/>
          <w:sz w:val="20"/>
        </w:rPr>
        <w:t> </w:t>
      </w:r>
      <w:r>
        <w:rPr>
          <w:sz w:val="20"/>
        </w:rPr>
        <w:t>in</w:t>
      </w:r>
      <w:r>
        <w:rPr>
          <w:spacing w:val="-4"/>
          <w:sz w:val="20"/>
        </w:rPr>
        <w:t> </w:t>
      </w:r>
      <w:r>
        <w:rPr>
          <w:sz w:val="20"/>
        </w:rPr>
        <w:t>their</w:t>
      </w:r>
      <w:r>
        <w:rPr>
          <w:spacing w:val="-3"/>
          <w:sz w:val="20"/>
        </w:rPr>
        <w:t> </w:t>
      </w:r>
      <w:r>
        <w:rPr>
          <w:sz w:val="20"/>
        </w:rPr>
        <w:t>care</w:t>
      </w:r>
    </w:p>
    <w:p>
      <w:pPr>
        <w:pStyle w:val="ListParagraph"/>
        <w:numPr>
          <w:ilvl w:val="0"/>
          <w:numId w:val="2"/>
        </w:numPr>
        <w:tabs>
          <w:tab w:pos="2153" w:val="left" w:leader="none"/>
          <w:tab w:pos="2154" w:val="left" w:leader="none"/>
        </w:tabs>
        <w:spacing w:line="276" w:lineRule="auto" w:before="36" w:after="0"/>
        <w:ind w:left="2153" w:right="1944" w:hanging="356"/>
        <w:jc w:val="left"/>
        <w:rPr>
          <w:sz w:val="20"/>
        </w:rPr>
      </w:pPr>
      <w:r>
        <w:rPr>
          <w:sz w:val="20"/>
        </w:rPr>
        <w:t>strengthening the relationship between primary care and secondary and tertiary</w:t>
      </w:r>
      <w:r>
        <w:rPr>
          <w:spacing w:val="-54"/>
          <w:sz w:val="20"/>
        </w:rPr>
        <w:t> </w:t>
      </w:r>
      <w:r>
        <w:rPr>
          <w:sz w:val="20"/>
        </w:rPr>
        <w:t>care.</w:t>
      </w:r>
    </w:p>
    <w:p>
      <w:pPr>
        <w:pStyle w:val="Heading2"/>
        <w:spacing w:before="201"/>
        <w:ind w:left="1440"/>
      </w:pPr>
      <w:bookmarkStart w:name="_bookmark2" w:id="3"/>
      <w:bookmarkEnd w:id="3"/>
      <w:r>
        <w:rPr/>
      </w:r>
      <w:r>
        <w:rPr>
          <w:color w:val="003C79"/>
        </w:rPr>
        <w:t>Evaluation</w:t>
      </w:r>
      <w:r>
        <w:rPr>
          <w:color w:val="003C79"/>
          <w:spacing w:val="-12"/>
        </w:rPr>
        <w:t> </w:t>
      </w:r>
      <w:r>
        <w:rPr>
          <w:color w:val="003C79"/>
        </w:rPr>
        <w:t>questions</w:t>
      </w:r>
    </w:p>
    <w:p>
      <w:pPr>
        <w:pStyle w:val="BodyText"/>
        <w:spacing w:before="258"/>
        <w:ind w:left="1440"/>
      </w:pPr>
      <w:r>
        <w:rPr/>
        <w:t>The</w:t>
      </w:r>
      <w:r>
        <w:rPr>
          <w:spacing w:val="-4"/>
        </w:rPr>
        <w:t> </w:t>
      </w:r>
      <w:r>
        <w:rPr/>
        <w:t>objectives</w:t>
      </w:r>
      <w:r>
        <w:rPr>
          <w:spacing w:val="-3"/>
        </w:rPr>
        <w:t> </w:t>
      </w:r>
      <w:r>
        <w:rPr/>
        <w:t>of</w:t>
      </w:r>
      <w:r>
        <w:rPr>
          <w:spacing w:val="-4"/>
        </w:rPr>
        <w:t> </w:t>
      </w:r>
      <w:r>
        <w:rPr/>
        <w:t>the</w:t>
      </w:r>
      <w:r>
        <w:rPr>
          <w:spacing w:val="-3"/>
        </w:rPr>
        <w:t> </w:t>
      </w:r>
      <w:r>
        <w:rPr/>
        <w:t>evaluation</w:t>
      </w:r>
      <w:r>
        <w:rPr>
          <w:spacing w:val="-3"/>
        </w:rPr>
        <w:t> </w:t>
      </w:r>
      <w:r>
        <w:rPr/>
        <w:t>are</w:t>
      </w:r>
      <w:r>
        <w:rPr>
          <w:spacing w:val="-3"/>
        </w:rPr>
        <w:t> </w:t>
      </w:r>
      <w:r>
        <w:rPr/>
        <w:t>to:</w:t>
      </w:r>
    </w:p>
    <w:p>
      <w:pPr>
        <w:pStyle w:val="BodyText"/>
        <w:spacing w:before="4"/>
        <w:rPr>
          <w:sz w:val="19"/>
        </w:rPr>
      </w:pPr>
    </w:p>
    <w:p>
      <w:pPr>
        <w:pStyle w:val="ListParagraph"/>
        <w:numPr>
          <w:ilvl w:val="0"/>
          <w:numId w:val="2"/>
        </w:numPr>
        <w:tabs>
          <w:tab w:pos="2153" w:val="left" w:leader="none"/>
          <w:tab w:pos="2154" w:val="left" w:leader="none"/>
        </w:tabs>
        <w:spacing w:line="240" w:lineRule="auto" w:before="1" w:after="0"/>
        <w:ind w:left="2153" w:right="0" w:hanging="356"/>
        <w:jc w:val="left"/>
        <w:rPr>
          <w:sz w:val="20"/>
        </w:rPr>
      </w:pPr>
      <w:r>
        <w:rPr>
          <w:sz w:val="20"/>
        </w:rPr>
        <w:t>Describe</w:t>
      </w:r>
      <w:r>
        <w:rPr>
          <w:spacing w:val="-3"/>
          <w:sz w:val="20"/>
        </w:rPr>
        <w:t> </w:t>
      </w:r>
      <w:r>
        <w:rPr>
          <w:sz w:val="20"/>
        </w:rPr>
        <w:t>the</w:t>
      </w:r>
      <w:r>
        <w:rPr>
          <w:spacing w:val="-3"/>
          <w:sz w:val="20"/>
        </w:rPr>
        <w:t> </w:t>
      </w:r>
      <w:r>
        <w:rPr>
          <w:sz w:val="20"/>
        </w:rPr>
        <w:t>process</w:t>
      </w:r>
      <w:r>
        <w:rPr>
          <w:spacing w:val="-3"/>
          <w:sz w:val="20"/>
        </w:rPr>
        <w:t> </w:t>
      </w:r>
      <w:r>
        <w:rPr>
          <w:sz w:val="20"/>
        </w:rPr>
        <w:t>of</w:t>
      </w:r>
      <w:r>
        <w:rPr>
          <w:spacing w:val="-3"/>
          <w:sz w:val="20"/>
        </w:rPr>
        <w:t> </w:t>
      </w:r>
      <w:r>
        <w:rPr>
          <w:sz w:val="20"/>
        </w:rPr>
        <w:t>implementing</w:t>
      </w:r>
      <w:r>
        <w:rPr>
          <w:spacing w:val="-4"/>
          <w:sz w:val="20"/>
        </w:rPr>
        <w:t> </w:t>
      </w:r>
      <w:r>
        <w:rPr>
          <w:sz w:val="20"/>
        </w:rPr>
        <w:t>the</w:t>
      </w:r>
      <w:r>
        <w:rPr>
          <w:spacing w:val="-3"/>
          <w:sz w:val="20"/>
        </w:rPr>
        <w:t> </w:t>
      </w:r>
      <w:r>
        <w:rPr>
          <w:sz w:val="20"/>
        </w:rPr>
        <w:t>HCH</w:t>
      </w:r>
      <w:r>
        <w:rPr>
          <w:spacing w:val="-2"/>
          <w:sz w:val="20"/>
        </w:rPr>
        <w:t> </w:t>
      </w:r>
      <w:r>
        <w:rPr>
          <w:sz w:val="20"/>
        </w:rPr>
        <w:t>program.</w:t>
      </w:r>
    </w:p>
    <w:p>
      <w:pPr>
        <w:pStyle w:val="BodyText"/>
        <w:spacing w:before="4"/>
        <w:rPr>
          <w:sz w:val="19"/>
        </w:rPr>
      </w:pPr>
    </w:p>
    <w:p>
      <w:pPr>
        <w:pStyle w:val="ListParagraph"/>
        <w:numPr>
          <w:ilvl w:val="0"/>
          <w:numId w:val="2"/>
        </w:numPr>
        <w:tabs>
          <w:tab w:pos="2160" w:val="left" w:leader="none"/>
          <w:tab w:pos="2161" w:val="left" w:leader="none"/>
        </w:tabs>
        <w:spacing w:line="240" w:lineRule="auto" w:before="0" w:after="0"/>
        <w:ind w:left="2160" w:right="0" w:hanging="361"/>
        <w:jc w:val="left"/>
        <w:rPr>
          <w:sz w:val="20"/>
        </w:rPr>
      </w:pPr>
      <w:r>
        <w:rPr>
          <w:sz w:val="20"/>
        </w:rPr>
        <w:t>Evaluate</w:t>
      </w:r>
      <w:r>
        <w:rPr>
          <w:spacing w:val="-3"/>
          <w:sz w:val="20"/>
        </w:rPr>
        <w:t> </w:t>
      </w:r>
      <w:r>
        <w:rPr>
          <w:sz w:val="20"/>
        </w:rPr>
        <w:t>the</w:t>
      </w:r>
      <w:r>
        <w:rPr>
          <w:spacing w:val="-3"/>
          <w:sz w:val="20"/>
        </w:rPr>
        <w:t> </w:t>
      </w:r>
      <w:r>
        <w:rPr>
          <w:sz w:val="20"/>
        </w:rPr>
        <w:t>effect</w:t>
      </w:r>
      <w:r>
        <w:rPr>
          <w:spacing w:val="-1"/>
          <w:sz w:val="20"/>
        </w:rPr>
        <w:t> </w:t>
      </w:r>
      <w:r>
        <w:rPr>
          <w:sz w:val="20"/>
        </w:rPr>
        <w:t>of</w:t>
      </w:r>
      <w:r>
        <w:rPr>
          <w:spacing w:val="-3"/>
          <w:sz w:val="20"/>
        </w:rPr>
        <w:t> </w:t>
      </w:r>
      <w:r>
        <w:rPr>
          <w:sz w:val="20"/>
        </w:rPr>
        <w:t>the</w:t>
      </w:r>
      <w:r>
        <w:rPr>
          <w:spacing w:val="-2"/>
          <w:sz w:val="20"/>
        </w:rPr>
        <w:t> </w:t>
      </w:r>
      <w:r>
        <w:rPr>
          <w:sz w:val="20"/>
        </w:rPr>
        <w:t>trial</w:t>
      </w:r>
      <w:r>
        <w:rPr>
          <w:spacing w:val="-2"/>
          <w:sz w:val="20"/>
        </w:rPr>
        <w:t> </w:t>
      </w:r>
      <w:r>
        <w:rPr>
          <w:sz w:val="20"/>
        </w:rPr>
        <w:t>on:</w:t>
      </w:r>
    </w:p>
    <w:p>
      <w:pPr>
        <w:pStyle w:val="ListParagraph"/>
        <w:numPr>
          <w:ilvl w:val="1"/>
          <w:numId w:val="2"/>
        </w:numPr>
        <w:tabs>
          <w:tab w:pos="2881" w:val="left" w:leader="none"/>
        </w:tabs>
        <w:spacing w:line="240" w:lineRule="auto" w:before="36" w:after="0"/>
        <w:ind w:left="2880" w:right="0" w:hanging="361"/>
        <w:jc w:val="left"/>
        <w:rPr>
          <w:sz w:val="20"/>
        </w:rPr>
      </w:pPr>
      <w:r>
        <w:rPr>
          <w:sz w:val="20"/>
        </w:rPr>
        <w:t>Quality</w:t>
      </w:r>
      <w:r>
        <w:rPr>
          <w:spacing w:val="-5"/>
          <w:sz w:val="20"/>
        </w:rPr>
        <w:t> </w:t>
      </w:r>
      <w:r>
        <w:rPr>
          <w:sz w:val="20"/>
        </w:rPr>
        <w:t>of</w:t>
      </w:r>
      <w:r>
        <w:rPr>
          <w:spacing w:val="-4"/>
          <w:sz w:val="20"/>
        </w:rPr>
        <w:t> </w:t>
      </w:r>
      <w:r>
        <w:rPr>
          <w:sz w:val="20"/>
        </w:rPr>
        <w:t>care</w:t>
      </w:r>
      <w:r>
        <w:rPr>
          <w:spacing w:val="-1"/>
          <w:sz w:val="20"/>
        </w:rPr>
        <w:t> </w:t>
      </w:r>
      <w:r>
        <w:rPr>
          <w:sz w:val="20"/>
        </w:rPr>
        <w:t>for</w:t>
      </w:r>
      <w:r>
        <w:rPr>
          <w:spacing w:val="-4"/>
          <w:sz w:val="20"/>
        </w:rPr>
        <w:t> </w:t>
      </w:r>
      <w:r>
        <w:rPr>
          <w:sz w:val="20"/>
        </w:rPr>
        <w:t>patients</w:t>
      </w:r>
      <w:r>
        <w:rPr>
          <w:spacing w:val="-4"/>
          <w:sz w:val="20"/>
        </w:rPr>
        <w:t> </w:t>
      </w:r>
      <w:r>
        <w:rPr>
          <w:sz w:val="20"/>
        </w:rPr>
        <w:t>with</w:t>
      </w:r>
      <w:r>
        <w:rPr>
          <w:spacing w:val="-3"/>
          <w:sz w:val="20"/>
        </w:rPr>
        <w:t> </w:t>
      </w:r>
      <w:r>
        <w:rPr>
          <w:sz w:val="20"/>
        </w:rPr>
        <w:t>chronic</w:t>
      </w:r>
      <w:r>
        <w:rPr>
          <w:spacing w:val="-3"/>
          <w:sz w:val="20"/>
        </w:rPr>
        <w:t> </w:t>
      </w:r>
      <w:r>
        <w:rPr>
          <w:sz w:val="20"/>
        </w:rPr>
        <w:t>and</w:t>
      </w:r>
      <w:r>
        <w:rPr>
          <w:spacing w:val="-3"/>
          <w:sz w:val="20"/>
        </w:rPr>
        <w:t> </w:t>
      </w:r>
      <w:r>
        <w:rPr>
          <w:sz w:val="20"/>
        </w:rPr>
        <w:t>complex</w:t>
      </w:r>
      <w:r>
        <w:rPr>
          <w:spacing w:val="-4"/>
          <w:sz w:val="20"/>
        </w:rPr>
        <w:t> </w:t>
      </w:r>
      <w:r>
        <w:rPr>
          <w:sz w:val="20"/>
        </w:rPr>
        <w:t>conditions.</w:t>
      </w:r>
    </w:p>
    <w:p>
      <w:pPr>
        <w:pStyle w:val="ListParagraph"/>
        <w:numPr>
          <w:ilvl w:val="1"/>
          <w:numId w:val="2"/>
        </w:numPr>
        <w:tabs>
          <w:tab w:pos="2881" w:val="left" w:leader="none"/>
        </w:tabs>
        <w:spacing w:line="256" w:lineRule="auto" w:before="22" w:after="0"/>
        <w:ind w:left="2880" w:right="2142" w:hanging="360"/>
        <w:jc w:val="left"/>
        <w:rPr>
          <w:sz w:val="20"/>
        </w:rPr>
      </w:pPr>
      <w:r>
        <w:rPr>
          <w:sz w:val="20"/>
        </w:rPr>
        <w:t>Patient</w:t>
      </w:r>
      <w:r>
        <w:rPr>
          <w:spacing w:val="-3"/>
          <w:sz w:val="20"/>
        </w:rPr>
        <w:t> </w:t>
      </w:r>
      <w:r>
        <w:rPr>
          <w:sz w:val="20"/>
        </w:rPr>
        <w:t>experience</w:t>
      </w:r>
      <w:r>
        <w:rPr>
          <w:spacing w:val="-4"/>
          <w:sz w:val="20"/>
        </w:rPr>
        <w:t> </w:t>
      </w:r>
      <w:r>
        <w:rPr>
          <w:sz w:val="20"/>
        </w:rPr>
        <w:t>of</w:t>
      </w:r>
      <w:r>
        <w:rPr>
          <w:spacing w:val="-5"/>
          <w:sz w:val="20"/>
        </w:rPr>
        <w:t> </w:t>
      </w:r>
      <w:r>
        <w:rPr>
          <w:sz w:val="20"/>
        </w:rPr>
        <w:t>care</w:t>
      </w:r>
      <w:r>
        <w:rPr>
          <w:spacing w:val="-1"/>
          <w:sz w:val="20"/>
        </w:rPr>
        <w:t> </w:t>
      </w:r>
      <w:r>
        <w:rPr>
          <w:sz w:val="20"/>
        </w:rPr>
        <w:t>(including</w:t>
      </w:r>
      <w:r>
        <w:rPr>
          <w:spacing w:val="-4"/>
          <w:sz w:val="20"/>
        </w:rPr>
        <w:t> </w:t>
      </w:r>
      <w:r>
        <w:rPr>
          <w:sz w:val="20"/>
        </w:rPr>
        <w:t>engagement,</w:t>
      </w:r>
      <w:r>
        <w:rPr>
          <w:spacing w:val="-7"/>
          <w:sz w:val="20"/>
        </w:rPr>
        <w:t> </w:t>
      </w:r>
      <w:r>
        <w:rPr>
          <w:sz w:val="20"/>
        </w:rPr>
        <w:t>activation</w:t>
      </w:r>
      <w:r>
        <w:rPr>
          <w:spacing w:val="-3"/>
          <w:sz w:val="20"/>
        </w:rPr>
        <w:t> </w:t>
      </w:r>
      <w:r>
        <w:rPr>
          <w:sz w:val="20"/>
        </w:rPr>
        <w:t>and</w:t>
      </w:r>
      <w:r>
        <w:rPr>
          <w:spacing w:val="-4"/>
          <w:sz w:val="20"/>
        </w:rPr>
        <w:t> </w:t>
      </w:r>
      <w:r>
        <w:rPr>
          <w:sz w:val="20"/>
        </w:rPr>
        <w:t>the</w:t>
      </w:r>
      <w:r>
        <w:rPr>
          <w:spacing w:val="-53"/>
          <w:sz w:val="20"/>
        </w:rPr>
        <w:t> </w:t>
      </w:r>
      <w:r>
        <w:rPr>
          <w:sz w:val="20"/>
        </w:rPr>
        <w:t>patient journey).</w:t>
      </w:r>
    </w:p>
    <w:p>
      <w:pPr>
        <w:pStyle w:val="ListParagraph"/>
        <w:numPr>
          <w:ilvl w:val="1"/>
          <w:numId w:val="2"/>
        </w:numPr>
        <w:tabs>
          <w:tab w:pos="2881" w:val="left" w:leader="none"/>
        </w:tabs>
        <w:spacing w:line="266" w:lineRule="auto" w:before="23" w:after="0"/>
        <w:ind w:left="2880" w:right="1531" w:hanging="360"/>
        <w:jc w:val="left"/>
        <w:rPr>
          <w:sz w:val="20"/>
        </w:rPr>
      </w:pPr>
      <w:r>
        <w:rPr>
          <w:sz w:val="20"/>
        </w:rPr>
        <w:t>Practice experience and behaviour (including changes to scope of practice,</w:t>
      </w:r>
      <w:r>
        <w:rPr>
          <w:spacing w:val="-53"/>
          <w:sz w:val="20"/>
        </w:rPr>
        <w:t> </w:t>
      </w:r>
      <w:r>
        <w:rPr>
          <w:sz w:val="20"/>
        </w:rPr>
        <w:t>quality improvement, system development, models of care, service delivery,</w:t>
      </w:r>
      <w:r>
        <w:rPr>
          <w:spacing w:val="1"/>
          <w:sz w:val="20"/>
        </w:rPr>
        <w:t> </w:t>
      </w:r>
      <w:r>
        <w:rPr>
          <w:sz w:val="20"/>
        </w:rPr>
        <w:t>business</w:t>
      </w:r>
      <w:r>
        <w:rPr>
          <w:spacing w:val="-2"/>
          <w:sz w:val="20"/>
        </w:rPr>
        <w:t> </w:t>
      </w:r>
      <w:r>
        <w:rPr>
          <w:sz w:val="20"/>
        </w:rPr>
        <w:t>models).</w:t>
      </w:r>
    </w:p>
    <w:p>
      <w:pPr>
        <w:pStyle w:val="ListParagraph"/>
        <w:numPr>
          <w:ilvl w:val="1"/>
          <w:numId w:val="2"/>
        </w:numPr>
        <w:tabs>
          <w:tab w:pos="2881" w:val="left" w:leader="none"/>
        </w:tabs>
        <w:spacing w:line="240" w:lineRule="auto" w:before="12" w:after="0"/>
        <w:ind w:left="2880" w:right="0" w:hanging="361"/>
        <w:jc w:val="left"/>
        <w:rPr>
          <w:sz w:val="20"/>
        </w:rPr>
      </w:pPr>
      <w:r>
        <w:rPr>
          <w:sz w:val="20"/>
        </w:rPr>
        <w:t>Service</w:t>
      </w:r>
      <w:r>
        <w:rPr>
          <w:spacing w:val="-7"/>
          <w:sz w:val="20"/>
        </w:rPr>
        <w:t> </w:t>
      </w:r>
      <w:r>
        <w:rPr>
          <w:sz w:val="20"/>
        </w:rPr>
        <w:t>use</w:t>
      </w:r>
      <w:r>
        <w:rPr>
          <w:spacing w:val="-5"/>
          <w:sz w:val="20"/>
        </w:rPr>
        <w:t> </w:t>
      </w:r>
      <w:r>
        <w:rPr>
          <w:sz w:val="20"/>
        </w:rPr>
        <w:t>(particularly</w:t>
      </w:r>
      <w:r>
        <w:rPr>
          <w:spacing w:val="-7"/>
          <w:sz w:val="20"/>
        </w:rPr>
        <w:t> </w:t>
      </w:r>
      <w:r>
        <w:rPr>
          <w:sz w:val="20"/>
        </w:rPr>
        <w:t>potentially</w:t>
      </w:r>
      <w:r>
        <w:rPr>
          <w:spacing w:val="-8"/>
          <w:sz w:val="20"/>
        </w:rPr>
        <w:t> </w:t>
      </w:r>
      <w:r>
        <w:rPr>
          <w:sz w:val="20"/>
        </w:rPr>
        <w:t>preventable</w:t>
      </w:r>
      <w:r>
        <w:rPr>
          <w:spacing w:val="-7"/>
          <w:sz w:val="20"/>
        </w:rPr>
        <w:t> </w:t>
      </w:r>
      <w:r>
        <w:rPr>
          <w:sz w:val="20"/>
        </w:rPr>
        <w:t>hospitalisations).</w:t>
      </w:r>
    </w:p>
    <w:p>
      <w:pPr>
        <w:pStyle w:val="ListParagraph"/>
        <w:numPr>
          <w:ilvl w:val="1"/>
          <w:numId w:val="2"/>
        </w:numPr>
        <w:tabs>
          <w:tab w:pos="2874" w:val="left" w:leader="none"/>
        </w:tabs>
        <w:spacing w:line="240" w:lineRule="auto" w:before="22" w:after="0"/>
        <w:ind w:left="2873" w:right="0" w:hanging="356"/>
        <w:jc w:val="left"/>
        <w:rPr>
          <w:sz w:val="20"/>
        </w:rPr>
      </w:pPr>
      <w:r>
        <w:rPr>
          <w:sz w:val="20"/>
        </w:rPr>
        <w:t>The</w:t>
      </w:r>
      <w:r>
        <w:rPr>
          <w:spacing w:val="-4"/>
          <w:sz w:val="20"/>
        </w:rPr>
        <w:t> </w:t>
      </w:r>
      <w:r>
        <w:rPr>
          <w:sz w:val="20"/>
        </w:rPr>
        <w:t>cost</w:t>
      </w:r>
      <w:r>
        <w:rPr>
          <w:spacing w:val="-2"/>
          <w:sz w:val="20"/>
        </w:rPr>
        <w:t> </w:t>
      </w:r>
      <w:r>
        <w:rPr>
          <w:sz w:val="20"/>
        </w:rPr>
        <w:t>of</w:t>
      </w:r>
      <w:r>
        <w:rPr>
          <w:spacing w:val="-2"/>
          <w:sz w:val="20"/>
        </w:rPr>
        <w:t> </w:t>
      </w:r>
      <w:r>
        <w:rPr>
          <w:sz w:val="20"/>
        </w:rPr>
        <w:t>care</w:t>
      </w:r>
      <w:r>
        <w:rPr>
          <w:spacing w:val="-4"/>
          <w:sz w:val="20"/>
        </w:rPr>
        <w:t> </w:t>
      </w:r>
      <w:r>
        <w:rPr>
          <w:sz w:val="20"/>
        </w:rPr>
        <w:t>for Government,</w:t>
      </w:r>
      <w:r>
        <w:rPr>
          <w:spacing w:val="-6"/>
          <w:sz w:val="20"/>
        </w:rPr>
        <w:t> </w:t>
      </w:r>
      <w:r>
        <w:rPr>
          <w:sz w:val="20"/>
        </w:rPr>
        <w:t>providers</w:t>
      </w:r>
      <w:r>
        <w:rPr>
          <w:spacing w:val="-4"/>
          <w:sz w:val="20"/>
        </w:rPr>
        <w:t> </w:t>
      </w:r>
      <w:r>
        <w:rPr>
          <w:sz w:val="20"/>
        </w:rPr>
        <w:t>and</w:t>
      </w:r>
      <w:r>
        <w:rPr>
          <w:spacing w:val="-3"/>
          <w:sz w:val="20"/>
        </w:rPr>
        <w:t> </w:t>
      </w:r>
      <w:r>
        <w:rPr>
          <w:sz w:val="20"/>
        </w:rPr>
        <w:t>patients.</w:t>
      </w:r>
    </w:p>
    <w:p>
      <w:pPr>
        <w:pStyle w:val="ListParagraph"/>
        <w:numPr>
          <w:ilvl w:val="0"/>
          <w:numId w:val="2"/>
        </w:numPr>
        <w:tabs>
          <w:tab w:pos="2160" w:val="left" w:leader="none"/>
          <w:tab w:pos="2161" w:val="left" w:leader="none"/>
        </w:tabs>
        <w:spacing w:line="276" w:lineRule="auto" w:before="222" w:after="0"/>
        <w:ind w:left="2160" w:right="1614" w:hanging="360"/>
        <w:jc w:val="left"/>
        <w:rPr>
          <w:sz w:val="20"/>
        </w:rPr>
      </w:pPr>
      <w:r>
        <w:rPr>
          <w:sz w:val="20"/>
        </w:rPr>
        <w:t>Assess</w:t>
      </w:r>
      <w:r>
        <w:rPr>
          <w:spacing w:val="-4"/>
          <w:sz w:val="20"/>
        </w:rPr>
        <w:t> </w:t>
      </w:r>
      <w:r>
        <w:rPr>
          <w:sz w:val="20"/>
        </w:rPr>
        <w:t>the</w:t>
      </w:r>
      <w:r>
        <w:rPr>
          <w:spacing w:val="-4"/>
          <w:sz w:val="20"/>
        </w:rPr>
        <w:t> </w:t>
      </w:r>
      <w:r>
        <w:rPr>
          <w:sz w:val="20"/>
        </w:rPr>
        <w:t>suitability</w:t>
      </w:r>
      <w:r>
        <w:rPr>
          <w:spacing w:val="-5"/>
          <w:sz w:val="20"/>
        </w:rPr>
        <w:t> </w:t>
      </w:r>
      <w:r>
        <w:rPr>
          <w:sz w:val="20"/>
        </w:rPr>
        <w:t>of</w:t>
      </w:r>
      <w:r>
        <w:rPr>
          <w:spacing w:val="-4"/>
          <w:sz w:val="20"/>
        </w:rPr>
        <w:t> </w:t>
      </w:r>
      <w:r>
        <w:rPr>
          <w:sz w:val="20"/>
        </w:rPr>
        <w:t>the</w:t>
      </w:r>
      <w:r>
        <w:rPr>
          <w:spacing w:val="-4"/>
          <w:sz w:val="20"/>
        </w:rPr>
        <w:t> </w:t>
      </w:r>
      <w:r>
        <w:rPr>
          <w:sz w:val="20"/>
        </w:rPr>
        <w:t>HCH</w:t>
      </w:r>
      <w:r>
        <w:rPr>
          <w:spacing w:val="-2"/>
          <w:sz w:val="20"/>
        </w:rPr>
        <w:t> </w:t>
      </w:r>
      <w:r>
        <w:rPr>
          <w:sz w:val="20"/>
        </w:rPr>
        <w:t>model</w:t>
      </w:r>
      <w:r>
        <w:rPr>
          <w:spacing w:val="-2"/>
          <w:sz w:val="20"/>
        </w:rPr>
        <w:t> </w:t>
      </w:r>
      <w:r>
        <w:rPr>
          <w:sz w:val="20"/>
        </w:rPr>
        <w:t>for</w:t>
      </w:r>
      <w:r>
        <w:rPr>
          <w:spacing w:val="-1"/>
          <w:sz w:val="20"/>
        </w:rPr>
        <w:t> </w:t>
      </w:r>
      <w:r>
        <w:rPr>
          <w:sz w:val="20"/>
        </w:rPr>
        <w:t>national</w:t>
      </w:r>
      <w:r>
        <w:rPr>
          <w:spacing w:val="-3"/>
          <w:sz w:val="20"/>
        </w:rPr>
        <w:t> </w:t>
      </w:r>
      <w:r>
        <w:rPr>
          <w:sz w:val="20"/>
        </w:rPr>
        <w:t>rollout</w:t>
      </w:r>
      <w:r>
        <w:rPr>
          <w:spacing w:val="-2"/>
          <w:sz w:val="20"/>
        </w:rPr>
        <w:t> </w:t>
      </w:r>
      <w:r>
        <w:rPr>
          <w:sz w:val="20"/>
        </w:rPr>
        <w:t>for</w:t>
      </w:r>
      <w:r>
        <w:rPr>
          <w:spacing w:val="-4"/>
          <w:sz w:val="20"/>
        </w:rPr>
        <w:t> </w:t>
      </w:r>
      <w:r>
        <w:rPr>
          <w:sz w:val="20"/>
        </w:rPr>
        <w:t>different</w:t>
      </w:r>
      <w:r>
        <w:rPr>
          <w:spacing w:val="-2"/>
          <w:sz w:val="20"/>
        </w:rPr>
        <w:t> </w:t>
      </w:r>
      <w:r>
        <w:rPr>
          <w:sz w:val="20"/>
        </w:rPr>
        <w:t>practice</w:t>
      </w:r>
      <w:r>
        <w:rPr>
          <w:spacing w:val="-4"/>
          <w:sz w:val="20"/>
        </w:rPr>
        <w:t> </w:t>
      </w:r>
      <w:r>
        <w:rPr>
          <w:sz w:val="20"/>
        </w:rPr>
        <w:t>types</w:t>
      </w:r>
      <w:r>
        <w:rPr>
          <w:spacing w:val="-52"/>
          <w:sz w:val="20"/>
        </w:rPr>
        <w:t> </w:t>
      </w:r>
      <w:r>
        <w:rPr>
          <w:sz w:val="20"/>
        </w:rPr>
        <w:t>across</w:t>
      </w:r>
      <w:r>
        <w:rPr>
          <w:spacing w:val="-3"/>
          <w:sz w:val="20"/>
        </w:rPr>
        <w:t> </w:t>
      </w:r>
      <w:r>
        <w:rPr>
          <w:sz w:val="20"/>
        </w:rPr>
        <w:t>a range</w:t>
      </w:r>
      <w:r>
        <w:rPr>
          <w:spacing w:val="2"/>
          <w:sz w:val="20"/>
        </w:rPr>
        <w:t> </w:t>
      </w:r>
      <w:r>
        <w:rPr>
          <w:sz w:val="20"/>
        </w:rPr>
        <w:t>of</w:t>
      </w:r>
      <w:r>
        <w:rPr>
          <w:spacing w:val="-1"/>
          <w:sz w:val="20"/>
        </w:rPr>
        <w:t> </w:t>
      </w:r>
      <w:r>
        <w:rPr>
          <w:sz w:val="20"/>
        </w:rPr>
        <w:t>contexts.</w:t>
      </w:r>
    </w:p>
    <w:p>
      <w:pPr>
        <w:pStyle w:val="BodyText"/>
        <w:spacing w:line="276" w:lineRule="auto" w:before="199"/>
        <w:ind w:left="1440" w:right="1815"/>
      </w:pPr>
      <w:r>
        <w:rPr/>
        <w:t>The key questions set out for the evaluation by the Australian Government Department of</w:t>
      </w:r>
      <w:r>
        <w:rPr>
          <w:spacing w:val="-53"/>
        </w:rPr>
        <w:t> </w:t>
      </w:r>
      <w:r>
        <w:rPr/>
        <w:t>Health are:</w:t>
      </w:r>
    </w:p>
    <w:p>
      <w:pPr>
        <w:pStyle w:val="ListParagraph"/>
        <w:numPr>
          <w:ilvl w:val="1"/>
          <w:numId w:val="1"/>
        </w:numPr>
        <w:tabs>
          <w:tab w:pos="2154" w:val="left" w:leader="none"/>
        </w:tabs>
        <w:spacing w:line="240" w:lineRule="auto" w:before="199" w:after="0"/>
        <w:ind w:left="2153" w:right="0" w:hanging="356"/>
        <w:jc w:val="left"/>
        <w:rPr>
          <w:sz w:val="20"/>
        </w:rPr>
      </w:pPr>
      <w:r>
        <w:rPr>
          <w:sz w:val="20"/>
        </w:rPr>
        <w:t>How</w:t>
      </w:r>
      <w:r>
        <w:rPr>
          <w:spacing w:val="-1"/>
          <w:sz w:val="20"/>
        </w:rPr>
        <w:t> </w:t>
      </w:r>
      <w:r>
        <w:rPr>
          <w:sz w:val="20"/>
        </w:rPr>
        <w:t>was</w:t>
      </w:r>
      <w:r>
        <w:rPr>
          <w:spacing w:val="-3"/>
          <w:sz w:val="20"/>
        </w:rPr>
        <w:t> </w:t>
      </w:r>
      <w:r>
        <w:rPr>
          <w:sz w:val="20"/>
        </w:rPr>
        <w:t>the</w:t>
      </w:r>
      <w:r>
        <w:rPr>
          <w:spacing w:val="-3"/>
          <w:sz w:val="20"/>
        </w:rPr>
        <w:t> </w:t>
      </w:r>
      <w:r>
        <w:rPr>
          <w:sz w:val="20"/>
        </w:rPr>
        <w:t>HCH</w:t>
      </w:r>
      <w:r>
        <w:rPr>
          <w:spacing w:val="-2"/>
          <w:sz w:val="20"/>
        </w:rPr>
        <w:t> </w:t>
      </w:r>
      <w:r>
        <w:rPr>
          <w:sz w:val="20"/>
        </w:rPr>
        <w:t>model</w:t>
      </w:r>
      <w:r>
        <w:rPr>
          <w:spacing w:val="-2"/>
          <w:sz w:val="20"/>
        </w:rPr>
        <w:t> </w:t>
      </w:r>
      <w:r>
        <w:rPr>
          <w:sz w:val="20"/>
        </w:rPr>
        <w:t>implemented</w:t>
      </w:r>
      <w:r>
        <w:rPr>
          <w:spacing w:val="-2"/>
          <w:sz w:val="20"/>
        </w:rPr>
        <w:t> </w:t>
      </w:r>
      <w:r>
        <w:rPr>
          <w:sz w:val="20"/>
        </w:rPr>
        <w:t>and</w:t>
      </w:r>
      <w:r>
        <w:rPr>
          <w:spacing w:val="2"/>
          <w:sz w:val="20"/>
        </w:rPr>
        <w:t> </w:t>
      </w:r>
      <w:r>
        <w:rPr>
          <w:sz w:val="20"/>
        </w:rPr>
        <w:t>what</w:t>
      </w:r>
      <w:r>
        <w:rPr>
          <w:spacing w:val="-3"/>
          <w:sz w:val="20"/>
        </w:rPr>
        <w:t> </w:t>
      </w:r>
      <w:r>
        <w:rPr>
          <w:sz w:val="20"/>
        </w:rPr>
        <w:t>were</w:t>
      </w:r>
      <w:r>
        <w:rPr>
          <w:spacing w:val="-3"/>
          <w:sz w:val="20"/>
        </w:rPr>
        <w:t> </w:t>
      </w:r>
      <w:r>
        <w:rPr>
          <w:sz w:val="20"/>
        </w:rPr>
        <w:t>the</w:t>
      </w:r>
      <w:r>
        <w:rPr>
          <w:spacing w:val="-3"/>
          <w:sz w:val="20"/>
        </w:rPr>
        <w:t> </w:t>
      </w:r>
      <w:r>
        <w:rPr>
          <w:sz w:val="20"/>
        </w:rPr>
        <w:t>barriers</w:t>
      </w:r>
      <w:r>
        <w:rPr>
          <w:spacing w:val="-2"/>
          <w:sz w:val="20"/>
        </w:rPr>
        <w:t> </w:t>
      </w:r>
      <w:r>
        <w:rPr>
          <w:sz w:val="20"/>
        </w:rPr>
        <w:t>and</w:t>
      </w:r>
      <w:r>
        <w:rPr>
          <w:spacing w:val="-3"/>
          <w:sz w:val="20"/>
        </w:rPr>
        <w:t> </w:t>
      </w:r>
      <w:r>
        <w:rPr>
          <w:sz w:val="20"/>
        </w:rPr>
        <w:t>enablers?</w:t>
      </w:r>
    </w:p>
    <w:p>
      <w:pPr>
        <w:pStyle w:val="ListParagraph"/>
        <w:numPr>
          <w:ilvl w:val="1"/>
          <w:numId w:val="1"/>
        </w:numPr>
        <w:tabs>
          <w:tab w:pos="2154" w:val="left" w:leader="none"/>
        </w:tabs>
        <w:spacing w:line="276" w:lineRule="auto" w:before="38" w:after="0"/>
        <w:ind w:left="2153" w:right="1995" w:hanging="356"/>
        <w:jc w:val="left"/>
        <w:rPr>
          <w:sz w:val="20"/>
        </w:rPr>
      </w:pPr>
      <w:r>
        <w:rPr>
          <w:sz w:val="20"/>
        </w:rPr>
        <w:t>How</w:t>
      </w:r>
      <w:r>
        <w:rPr>
          <w:spacing w:val="-2"/>
          <w:sz w:val="20"/>
        </w:rPr>
        <w:t> </w:t>
      </w:r>
      <w:r>
        <w:rPr>
          <w:sz w:val="20"/>
        </w:rPr>
        <w:t>does</w:t>
      </w:r>
      <w:r>
        <w:rPr>
          <w:spacing w:val="-4"/>
          <w:sz w:val="20"/>
        </w:rPr>
        <w:t> </w:t>
      </w:r>
      <w:r>
        <w:rPr>
          <w:sz w:val="20"/>
        </w:rPr>
        <w:t>the</w:t>
      </w:r>
      <w:r>
        <w:rPr>
          <w:spacing w:val="-4"/>
          <w:sz w:val="20"/>
        </w:rPr>
        <w:t> </w:t>
      </w:r>
      <w:r>
        <w:rPr>
          <w:sz w:val="20"/>
        </w:rPr>
        <w:t>HCH</w:t>
      </w:r>
      <w:r>
        <w:rPr>
          <w:spacing w:val="-3"/>
          <w:sz w:val="20"/>
        </w:rPr>
        <w:t> </w:t>
      </w:r>
      <w:r>
        <w:rPr>
          <w:sz w:val="20"/>
        </w:rPr>
        <w:t>model</w:t>
      </w:r>
      <w:r>
        <w:rPr>
          <w:spacing w:val="-3"/>
          <w:sz w:val="20"/>
        </w:rPr>
        <w:t> </w:t>
      </w:r>
      <w:r>
        <w:rPr>
          <w:sz w:val="20"/>
        </w:rPr>
        <w:t>change</w:t>
      </w:r>
      <w:r>
        <w:rPr>
          <w:spacing w:val="-3"/>
          <w:sz w:val="20"/>
        </w:rPr>
        <w:t> </w:t>
      </w:r>
      <w:r>
        <w:rPr>
          <w:sz w:val="20"/>
        </w:rPr>
        <w:t>the</w:t>
      </w:r>
      <w:r>
        <w:rPr>
          <w:spacing w:val="-6"/>
          <w:sz w:val="20"/>
        </w:rPr>
        <w:t> </w:t>
      </w:r>
      <w:r>
        <w:rPr>
          <w:sz w:val="20"/>
        </w:rPr>
        <w:t>way</w:t>
      </w:r>
      <w:r>
        <w:rPr>
          <w:spacing w:val="-5"/>
          <w:sz w:val="20"/>
        </w:rPr>
        <w:t> </w:t>
      </w:r>
      <w:r>
        <w:rPr>
          <w:sz w:val="20"/>
        </w:rPr>
        <w:t>practices</w:t>
      </w:r>
      <w:r>
        <w:rPr>
          <w:spacing w:val="-3"/>
          <w:sz w:val="20"/>
        </w:rPr>
        <w:t> </w:t>
      </w:r>
      <w:r>
        <w:rPr>
          <w:sz w:val="20"/>
        </w:rPr>
        <w:t>approach</w:t>
      </w:r>
      <w:r>
        <w:rPr>
          <w:spacing w:val="-3"/>
          <w:sz w:val="20"/>
        </w:rPr>
        <w:t> </w:t>
      </w:r>
      <w:r>
        <w:rPr>
          <w:sz w:val="20"/>
        </w:rPr>
        <w:t>chronic</w:t>
      </w:r>
      <w:r>
        <w:rPr>
          <w:spacing w:val="-3"/>
          <w:sz w:val="20"/>
        </w:rPr>
        <w:t> </w:t>
      </w:r>
      <w:r>
        <w:rPr>
          <w:sz w:val="20"/>
        </w:rPr>
        <w:t>disease</w:t>
      </w:r>
      <w:r>
        <w:rPr>
          <w:spacing w:val="-52"/>
          <w:sz w:val="20"/>
        </w:rPr>
        <w:t> </w:t>
      </w:r>
      <w:r>
        <w:rPr>
          <w:sz w:val="20"/>
        </w:rPr>
        <w:t>management?</w:t>
      </w:r>
    </w:p>
    <w:p>
      <w:pPr>
        <w:pStyle w:val="ListParagraph"/>
        <w:numPr>
          <w:ilvl w:val="1"/>
          <w:numId w:val="1"/>
        </w:numPr>
        <w:tabs>
          <w:tab w:pos="2154" w:val="left" w:leader="none"/>
        </w:tabs>
        <w:spacing w:line="240" w:lineRule="auto" w:before="0" w:after="0"/>
        <w:ind w:left="2153" w:right="0" w:hanging="356"/>
        <w:jc w:val="left"/>
        <w:rPr>
          <w:sz w:val="20"/>
        </w:rPr>
      </w:pPr>
      <w:r>
        <w:rPr>
          <w:sz w:val="20"/>
        </w:rPr>
        <w:t>Do</w:t>
      </w:r>
      <w:r>
        <w:rPr>
          <w:spacing w:val="-4"/>
          <w:sz w:val="20"/>
        </w:rPr>
        <w:t> </w:t>
      </w:r>
      <w:r>
        <w:rPr>
          <w:sz w:val="20"/>
        </w:rPr>
        <w:t>patients</w:t>
      </w:r>
      <w:r>
        <w:rPr>
          <w:spacing w:val="-3"/>
          <w:sz w:val="20"/>
        </w:rPr>
        <w:t> </w:t>
      </w:r>
      <w:r>
        <w:rPr>
          <w:sz w:val="20"/>
        </w:rPr>
        <w:t>enrolled</w:t>
      </w:r>
      <w:r>
        <w:rPr>
          <w:spacing w:val="-3"/>
          <w:sz w:val="20"/>
        </w:rPr>
        <w:t> </w:t>
      </w:r>
      <w:r>
        <w:rPr>
          <w:sz w:val="20"/>
        </w:rPr>
        <w:t>in</w:t>
      </w:r>
      <w:r>
        <w:rPr>
          <w:spacing w:val="-2"/>
          <w:sz w:val="20"/>
        </w:rPr>
        <w:t> </w:t>
      </w:r>
      <w:r>
        <w:rPr>
          <w:sz w:val="20"/>
        </w:rPr>
        <w:t>HCH</w:t>
      </w:r>
      <w:r>
        <w:rPr>
          <w:spacing w:val="-2"/>
          <w:sz w:val="20"/>
        </w:rPr>
        <w:t> </w:t>
      </w:r>
      <w:r>
        <w:rPr>
          <w:sz w:val="20"/>
        </w:rPr>
        <w:t>experience</w:t>
      </w:r>
      <w:r>
        <w:rPr>
          <w:spacing w:val="-3"/>
          <w:sz w:val="20"/>
        </w:rPr>
        <w:t> </w:t>
      </w:r>
      <w:r>
        <w:rPr>
          <w:sz w:val="20"/>
        </w:rPr>
        <w:t>better</w:t>
      </w:r>
      <w:r>
        <w:rPr>
          <w:spacing w:val="-3"/>
          <w:sz w:val="20"/>
        </w:rPr>
        <w:t> </w:t>
      </w:r>
      <w:r>
        <w:rPr>
          <w:sz w:val="20"/>
        </w:rPr>
        <w:t>quality</w:t>
      </w:r>
      <w:r>
        <w:rPr>
          <w:spacing w:val="-4"/>
          <w:sz w:val="20"/>
        </w:rPr>
        <w:t> </w:t>
      </w:r>
      <w:r>
        <w:rPr>
          <w:sz w:val="20"/>
        </w:rPr>
        <w:t>care?</w:t>
      </w:r>
    </w:p>
    <w:p>
      <w:pPr>
        <w:pStyle w:val="ListParagraph"/>
        <w:numPr>
          <w:ilvl w:val="1"/>
          <w:numId w:val="1"/>
        </w:numPr>
        <w:tabs>
          <w:tab w:pos="2154" w:val="left" w:leader="none"/>
        </w:tabs>
        <w:spacing w:line="276" w:lineRule="auto" w:before="36" w:after="0"/>
        <w:ind w:left="2153" w:right="1993" w:hanging="356"/>
        <w:jc w:val="left"/>
        <w:rPr>
          <w:sz w:val="20"/>
        </w:rPr>
      </w:pPr>
      <w:r>
        <w:rPr>
          <w:sz w:val="20"/>
        </w:rPr>
        <w:t>What are the financial effects of the HCH model on governments, providers and</w:t>
      </w:r>
      <w:r>
        <w:rPr>
          <w:spacing w:val="-53"/>
          <w:sz w:val="20"/>
        </w:rPr>
        <w:t> </w:t>
      </w:r>
      <w:r>
        <w:rPr>
          <w:sz w:val="20"/>
        </w:rPr>
        <w:t>individuals?</w:t>
      </w:r>
    </w:p>
    <w:p>
      <w:pPr>
        <w:pStyle w:val="BodyText"/>
        <w:spacing w:before="202"/>
        <w:ind w:left="1440"/>
      </w:pPr>
      <w:r>
        <w:rPr/>
        <w:t>Additional</w:t>
      </w:r>
      <w:r>
        <w:rPr>
          <w:spacing w:val="-4"/>
        </w:rPr>
        <w:t> </w:t>
      </w:r>
      <w:r>
        <w:rPr/>
        <w:t>questions</w:t>
      </w:r>
      <w:r>
        <w:rPr>
          <w:spacing w:val="-4"/>
        </w:rPr>
        <w:t> </w:t>
      </w:r>
      <w:r>
        <w:rPr/>
        <w:t>for</w:t>
      </w:r>
      <w:r>
        <w:rPr>
          <w:spacing w:val="-4"/>
        </w:rPr>
        <w:t> </w:t>
      </w:r>
      <w:r>
        <w:rPr/>
        <w:t>the</w:t>
      </w:r>
      <w:r>
        <w:rPr>
          <w:spacing w:val="-4"/>
        </w:rPr>
        <w:t> </w:t>
      </w:r>
      <w:r>
        <w:rPr/>
        <w:t>community</w:t>
      </w:r>
      <w:r>
        <w:rPr>
          <w:spacing w:val="-5"/>
        </w:rPr>
        <w:t> </w:t>
      </w:r>
      <w:r>
        <w:rPr/>
        <w:t>pharmacy</w:t>
      </w:r>
      <w:r>
        <w:rPr>
          <w:spacing w:val="-5"/>
        </w:rPr>
        <w:t> </w:t>
      </w:r>
      <w:r>
        <w:rPr/>
        <w:t>component</w:t>
      </w:r>
      <w:r>
        <w:rPr>
          <w:spacing w:val="-2"/>
        </w:rPr>
        <w:t> </w:t>
      </w:r>
      <w:r>
        <w:rPr/>
        <w:t>are:</w:t>
      </w:r>
    </w:p>
    <w:p>
      <w:pPr>
        <w:pStyle w:val="BodyText"/>
        <w:spacing w:before="2"/>
        <w:rPr>
          <w:sz w:val="19"/>
        </w:rPr>
      </w:pPr>
    </w:p>
    <w:p>
      <w:pPr>
        <w:pStyle w:val="ListParagraph"/>
        <w:numPr>
          <w:ilvl w:val="1"/>
          <w:numId w:val="1"/>
        </w:numPr>
        <w:tabs>
          <w:tab w:pos="2154" w:val="left" w:leader="none"/>
        </w:tabs>
        <w:spacing w:line="276" w:lineRule="auto" w:before="0" w:after="0"/>
        <w:ind w:left="2153" w:right="1482" w:hanging="356"/>
        <w:jc w:val="left"/>
        <w:rPr>
          <w:sz w:val="20"/>
        </w:rPr>
      </w:pPr>
      <w:r>
        <w:rPr>
          <w:sz w:val="20"/>
        </w:rPr>
        <w:t>Is the</w:t>
      </w:r>
      <w:r>
        <w:rPr>
          <w:spacing w:val="1"/>
          <w:sz w:val="20"/>
        </w:rPr>
        <w:t> </w:t>
      </w:r>
      <w:r>
        <w:rPr>
          <w:sz w:val="20"/>
        </w:rPr>
        <w:t>community</w:t>
      </w:r>
      <w:r>
        <w:rPr>
          <w:spacing w:val="-1"/>
          <w:sz w:val="20"/>
        </w:rPr>
        <w:t> </w:t>
      </w:r>
      <w:r>
        <w:rPr>
          <w:sz w:val="20"/>
        </w:rPr>
        <w:t>pharmacy component</w:t>
      </w:r>
      <w:r>
        <w:rPr>
          <w:spacing w:val="3"/>
          <w:sz w:val="20"/>
        </w:rPr>
        <w:t> </w:t>
      </w:r>
      <w:r>
        <w:rPr>
          <w:sz w:val="20"/>
        </w:rPr>
        <w:t>a</w:t>
      </w:r>
      <w:r>
        <w:rPr>
          <w:spacing w:val="1"/>
          <w:sz w:val="20"/>
        </w:rPr>
        <w:t> </w:t>
      </w:r>
      <w:r>
        <w:rPr>
          <w:sz w:val="20"/>
        </w:rPr>
        <w:t>beneficial</w:t>
      </w:r>
      <w:r>
        <w:rPr>
          <w:spacing w:val="2"/>
          <w:sz w:val="20"/>
        </w:rPr>
        <w:t> </w:t>
      </w:r>
      <w:r>
        <w:rPr>
          <w:sz w:val="20"/>
        </w:rPr>
        <w:t>component</w:t>
      </w:r>
      <w:r>
        <w:rPr>
          <w:spacing w:val="2"/>
          <w:sz w:val="20"/>
        </w:rPr>
        <w:t> </w:t>
      </w:r>
      <w:r>
        <w:rPr>
          <w:sz w:val="20"/>
        </w:rPr>
        <w:t>of</w:t>
      </w:r>
      <w:r>
        <w:rPr>
          <w:spacing w:val="1"/>
          <w:sz w:val="20"/>
        </w:rPr>
        <w:t> </w:t>
      </w:r>
      <w:r>
        <w:rPr>
          <w:sz w:val="20"/>
        </w:rPr>
        <w:t>the broader</w:t>
      </w:r>
      <w:r>
        <w:rPr>
          <w:spacing w:val="1"/>
          <w:sz w:val="20"/>
        </w:rPr>
        <w:t> </w:t>
      </w:r>
      <w:r>
        <w:rPr>
          <w:sz w:val="20"/>
        </w:rPr>
        <w:t>HCH</w:t>
      </w:r>
      <w:r>
        <w:rPr>
          <w:spacing w:val="-3"/>
          <w:sz w:val="20"/>
        </w:rPr>
        <w:t> </w:t>
      </w:r>
      <w:r>
        <w:rPr>
          <w:sz w:val="20"/>
        </w:rPr>
        <w:t>coordinated</w:t>
      </w:r>
      <w:r>
        <w:rPr>
          <w:spacing w:val="-3"/>
          <w:sz w:val="20"/>
        </w:rPr>
        <w:t> </w:t>
      </w:r>
      <w:r>
        <w:rPr>
          <w:sz w:val="20"/>
        </w:rPr>
        <w:t>care</w:t>
      </w:r>
      <w:r>
        <w:rPr>
          <w:spacing w:val="-3"/>
          <w:sz w:val="20"/>
        </w:rPr>
        <w:t> </w:t>
      </w:r>
      <w:r>
        <w:rPr>
          <w:sz w:val="20"/>
        </w:rPr>
        <w:t>model</w:t>
      </w:r>
      <w:r>
        <w:rPr>
          <w:spacing w:val="-3"/>
          <w:sz w:val="20"/>
        </w:rPr>
        <w:t> </w:t>
      </w:r>
      <w:r>
        <w:rPr>
          <w:sz w:val="20"/>
        </w:rPr>
        <w:t>and</w:t>
      </w:r>
      <w:r>
        <w:rPr>
          <w:spacing w:val="-3"/>
          <w:sz w:val="20"/>
        </w:rPr>
        <w:t> </w:t>
      </w:r>
      <w:r>
        <w:rPr>
          <w:sz w:val="20"/>
        </w:rPr>
        <w:t>should</w:t>
      </w:r>
      <w:r>
        <w:rPr>
          <w:spacing w:val="-3"/>
          <w:sz w:val="20"/>
        </w:rPr>
        <w:t> </w:t>
      </w:r>
      <w:r>
        <w:rPr>
          <w:sz w:val="20"/>
        </w:rPr>
        <w:t>it</w:t>
      </w:r>
      <w:r>
        <w:rPr>
          <w:spacing w:val="-2"/>
          <w:sz w:val="20"/>
        </w:rPr>
        <w:t> </w:t>
      </w:r>
      <w:r>
        <w:rPr>
          <w:sz w:val="20"/>
        </w:rPr>
        <w:t>be</w:t>
      </w:r>
      <w:r>
        <w:rPr>
          <w:spacing w:val="-3"/>
          <w:sz w:val="20"/>
        </w:rPr>
        <w:t> </w:t>
      </w:r>
      <w:r>
        <w:rPr>
          <w:sz w:val="20"/>
        </w:rPr>
        <w:t>included</w:t>
      </w:r>
      <w:r>
        <w:rPr>
          <w:spacing w:val="-2"/>
          <w:sz w:val="20"/>
        </w:rPr>
        <w:t> </w:t>
      </w:r>
      <w:r>
        <w:rPr>
          <w:sz w:val="20"/>
        </w:rPr>
        <w:t>as</w:t>
      </w:r>
      <w:r>
        <w:rPr>
          <w:spacing w:val="-4"/>
          <w:sz w:val="20"/>
        </w:rPr>
        <w:t> </w:t>
      </w:r>
      <w:r>
        <w:rPr>
          <w:sz w:val="20"/>
        </w:rPr>
        <w:t>part</w:t>
      </w:r>
      <w:r>
        <w:rPr>
          <w:spacing w:val="-1"/>
          <w:sz w:val="20"/>
        </w:rPr>
        <w:t> </w:t>
      </w:r>
      <w:r>
        <w:rPr>
          <w:sz w:val="20"/>
        </w:rPr>
        <w:t>of</w:t>
      </w:r>
      <w:r>
        <w:rPr>
          <w:spacing w:val="-3"/>
          <w:sz w:val="20"/>
        </w:rPr>
        <w:t> </w:t>
      </w:r>
      <w:r>
        <w:rPr>
          <w:sz w:val="20"/>
        </w:rPr>
        <w:t>any</w:t>
      </w:r>
      <w:r>
        <w:rPr>
          <w:spacing w:val="-3"/>
          <w:sz w:val="20"/>
        </w:rPr>
        <w:t> </w:t>
      </w:r>
      <w:r>
        <w:rPr>
          <w:sz w:val="20"/>
        </w:rPr>
        <w:t>future</w:t>
      </w:r>
      <w:r>
        <w:rPr>
          <w:spacing w:val="-3"/>
          <w:sz w:val="20"/>
        </w:rPr>
        <w:t> </w:t>
      </w:r>
      <w:r>
        <w:rPr>
          <w:sz w:val="20"/>
        </w:rPr>
        <w:t>roll</w:t>
      </w:r>
      <w:r>
        <w:rPr>
          <w:spacing w:val="-2"/>
          <w:sz w:val="20"/>
        </w:rPr>
        <w:t> </w:t>
      </w:r>
      <w:r>
        <w:rPr>
          <w:sz w:val="20"/>
        </w:rPr>
        <w:t>out?</w:t>
      </w:r>
    </w:p>
    <w:p>
      <w:pPr>
        <w:pStyle w:val="ListParagraph"/>
        <w:numPr>
          <w:ilvl w:val="1"/>
          <w:numId w:val="1"/>
        </w:numPr>
        <w:tabs>
          <w:tab w:pos="2154" w:val="left" w:leader="none"/>
        </w:tabs>
        <w:spacing w:line="276" w:lineRule="auto" w:before="0" w:after="0"/>
        <w:ind w:left="2153" w:right="1598" w:hanging="356"/>
        <w:jc w:val="left"/>
        <w:rPr>
          <w:sz w:val="20"/>
        </w:rPr>
      </w:pPr>
      <w:r>
        <w:rPr>
          <w:sz w:val="20"/>
        </w:rPr>
        <w:t>Do patients who received medication management services as part of the HCH trial</w:t>
      </w:r>
      <w:r>
        <w:rPr>
          <w:spacing w:val="-53"/>
          <w:sz w:val="20"/>
        </w:rPr>
        <w:t> </w:t>
      </w:r>
      <w:r>
        <w:rPr>
          <w:sz w:val="20"/>
        </w:rPr>
        <w:t>experience</w:t>
      </w:r>
      <w:r>
        <w:rPr>
          <w:spacing w:val="-2"/>
          <w:sz w:val="20"/>
        </w:rPr>
        <w:t> </w:t>
      </w:r>
      <w:r>
        <w:rPr>
          <w:sz w:val="20"/>
        </w:rPr>
        <w:t>better</w:t>
      </w:r>
      <w:r>
        <w:rPr>
          <w:spacing w:val="-1"/>
          <w:sz w:val="20"/>
        </w:rPr>
        <w:t> </w:t>
      </w:r>
      <w:r>
        <w:rPr>
          <w:sz w:val="20"/>
        </w:rPr>
        <w:t>health</w:t>
      </w:r>
      <w:r>
        <w:rPr>
          <w:spacing w:val="-2"/>
          <w:sz w:val="20"/>
        </w:rPr>
        <w:t> </w:t>
      </w:r>
      <w:r>
        <w:rPr>
          <w:sz w:val="20"/>
        </w:rPr>
        <w:t>outcomes</w:t>
      </w:r>
      <w:r>
        <w:rPr>
          <w:spacing w:val="-2"/>
          <w:sz w:val="20"/>
        </w:rPr>
        <w:t> </w:t>
      </w:r>
      <w:r>
        <w:rPr>
          <w:sz w:val="20"/>
        </w:rPr>
        <w:t>than patients</w:t>
      </w:r>
      <w:r>
        <w:rPr>
          <w:spacing w:val="-4"/>
          <w:sz w:val="20"/>
        </w:rPr>
        <w:t> </w:t>
      </w:r>
      <w:r>
        <w:rPr>
          <w:sz w:val="20"/>
        </w:rPr>
        <w:t>who</w:t>
      </w:r>
      <w:r>
        <w:rPr>
          <w:spacing w:val="-2"/>
          <w:sz w:val="20"/>
        </w:rPr>
        <w:t> </w:t>
      </w:r>
      <w:r>
        <w:rPr>
          <w:sz w:val="20"/>
        </w:rPr>
        <w:t>did</w:t>
      </w:r>
      <w:r>
        <w:rPr>
          <w:spacing w:val="-1"/>
          <w:sz w:val="20"/>
        </w:rPr>
        <w:t> </w:t>
      </w:r>
      <w:r>
        <w:rPr>
          <w:sz w:val="20"/>
        </w:rPr>
        <w:t>not?</w:t>
      </w:r>
    </w:p>
    <w:p>
      <w:pPr>
        <w:pStyle w:val="ListParagraph"/>
        <w:numPr>
          <w:ilvl w:val="1"/>
          <w:numId w:val="1"/>
        </w:numPr>
        <w:tabs>
          <w:tab w:pos="2154" w:val="left" w:leader="none"/>
        </w:tabs>
        <w:spacing w:line="276" w:lineRule="auto" w:before="0" w:after="0"/>
        <w:ind w:left="2153" w:right="2326" w:hanging="356"/>
        <w:jc w:val="left"/>
        <w:rPr>
          <w:sz w:val="20"/>
        </w:rPr>
      </w:pPr>
      <w:r>
        <w:rPr>
          <w:sz w:val="20"/>
        </w:rPr>
        <w:t>What was the level of engagement between HCH practices and community</w:t>
      </w:r>
      <w:r>
        <w:rPr>
          <w:spacing w:val="-53"/>
          <w:sz w:val="20"/>
        </w:rPr>
        <w:t> </w:t>
      </w:r>
      <w:r>
        <w:rPr>
          <w:sz w:val="20"/>
        </w:rPr>
        <w:t>pharmacy</w:t>
      </w:r>
      <w:r>
        <w:rPr>
          <w:spacing w:val="-1"/>
          <w:sz w:val="20"/>
        </w:rPr>
        <w:t> </w:t>
      </w:r>
      <w:r>
        <w:rPr>
          <w:sz w:val="20"/>
        </w:rPr>
        <w:t>(care</w:t>
      </w:r>
      <w:r>
        <w:rPr>
          <w:spacing w:val="-1"/>
          <w:sz w:val="20"/>
        </w:rPr>
        <w:t> </w:t>
      </w:r>
      <w:r>
        <w:rPr>
          <w:sz w:val="20"/>
        </w:rPr>
        <w:t>coordination)?</w:t>
      </w:r>
    </w:p>
    <w:p>
      <w:pPr>
        <w:pStyle w:val="ListParagraph"/>
        <w:numPr>
          <w:ilvl w:val="1"/>
          <w:numId w:val="1"/>
        </w:numPr>
        <w:tabs>
          <w:tab w:pos="2154" w:val="left" w:leader="none"/>
        </w:tabs>
        <w:spacing w:line="240" w:lineRule="auto" w:before="0" w:after="0"/>
        <w:ind w:left="2153" w:right="0" w:hanging="356"/>
        <w:jc w:val="left"/>
        <w:rPr>
          <w:sz w:val="20"/>
        </w:rPr>
      </w:pPr>
      <w:r>
        <w:rPr>
          <w:sz w:val="20"/>
        </w:rPr>
        <w:t>Is</w:t>
      </w:r>
      <w:r>
        <w:rPr>
          <w:spacing w:val="-4"/>
          <w:sz w:val="20"/>
        </w:rPr>
        <w:t> </w:t>
      </w:r>
      <w:r>
        <w:rPr>
          <w:sz w:val="20"/>
        </w:rPr>
        <w:t>the</w:t>
      </w:r>
      <w:r>
        <w:rPr>
          <w:spacing w:val="-4"/>
          <w:sz w:val="20"/>
        </w:rPr>
        <w:t> </w:t>
      </w:r>
      <w:r>
        <w:rPr>
          <w:sz w:val="20"/>
        </w:rPr>
        <w:t>inclusion</w:t>
      </w:r>
      <w:r>
        <w:rPr>
          <w:spacing w:val="-3"/>
          <w:sz w:val="20"/>
        </w:rPr>
        <w:t> </w:t>
      </w:r>
      <w:r>
        <w:rPr>
          <w:sz w:val="20"/>
        </w:rPr>
        <w:t>of</w:t>
      </w:r>
      <w:r>
        <w:rPr>
          <w:spacing w:val="-4"/>
          <w:sz w:val="20"/>
        </w:rPr>
        <w:t> </w:t>
      </w:r>
      <w:r>
        <w:rPr>
          <w:sz w:val="20"/>
        </w:rPr>
        <w:t>a</w:t>
      </w:r>
      <w:r>
        <w:rPr>
          <w:spacing w:val="-2"/>
          <w:sz w:val="20"/>
        </w:rPr>
        <w:t> </w:t>
      </w:r>
      <w:r>
        <w:rPr>
          <w:sz w:val="20"/>
        </w:rPr>
        <w:t>pharmacy</w:t>
      </w:r>
      <w:r>
        <w:rPr>
          <w:spacing w:val="-5"/>
          <w:sz w:val="20"/>
        </w:rPr>
        <w:t> </w:t>
      </w:r>
      <w:r>
        <w:rPr>
          <w:sz w:val="20"/>
        </w:rPr>
        <w:t>component</w:t>
      </w:r>
      <w:r>
        <w:rPr>
          <w:spacing w:val="-2"/>
          <w:sz w:val="20"/>
        </w:rPr>
        <w:t> </w:t>
      </w:r>
      <w:r>
        <w:rPr>
          <w:sz w:val="20"/>
        </w:rPr>
        <w:t>in</w:t>
      </w:r>
      <w:r>
        <w:rPr>
          <w:spacing w:val="-3"/>
          <w:sz w:val="20"/>
        </w:rPr>
        <w:t> </w:t>
      </w:r>
      <w:r>
        <w:rPr>
          <w:sz w:val="20"/>
        </w:rPr>
        <w:t>HCH</w:t>
      </w:r>
      <w:r>
        <w:rPr>
          <w:spacing w:val="-3"/>
          <w:sz w:val="20"/>
        </w:rPr>
        <w:t> </w:t>
      </w:r>
      <w:r>
        <w:rPr>
          <w:sz w:val="20"/>
        </w:rPr>
        <w:t>financially</w:t>
      </w:r>
      <w:r>
        <w:rPr>
          <w:spacing w:val="-4"/>
          <w:sz w:val="20"/>
        </w:rPr>
        <w:t> </w:t>
      </w:r>
      <w:r>
        <w:rPr>
          <w:sz w:val="20"/>
        </w:rPr>
        <w:t>viable?</w:t>
      </w:r>
    </w:p>
    <w:p>
      <w:pPr>
        <w:pStyle w:val="BodyText"/>
        <w:spacing w:before="4"/>
        <w:rPr>
          <w:sz w:val="19"/>
        </w:rPr>
      </w:pPr>
    </w:p>
    <w:p>
      <w:pPr>
        <w:pStyle w:val="BodyText"/>
        <w:ind w:left="1440"/>
      </w:pPr>
      <w:r>
        <w:rPr/>
        <w:t>Both</w:t>
      </w:r>
      <w:r>
        <w:rPr>
          <w:spacing w:val="-3"/>
        </w:rPr>
        <w:t> </w:t>
      </w:r>
      <w:r>
        <w:rPr/>
        <w:t>sets</w:t>
      </w:r>
      <w:r>
        <w:rPr>
          <w:spacing w:val="-3"/>
        </w:rPr>
        <w:t> </w:t>
      </w:r>
      <w:r>
        <w:rPr/>
        <w:t>of</w:t>
      </w:r>
      <w:r>
        <w:rPr>
          <w:spacing w:val="-3"/>
        </w:rPr>
        <w:t> </w:t>
      </w:r>
      <w:r>
        <w:rPr/>
        <w:t>questions</w:t>
      </w:r>
      <w:r>
        <w:rPr>
          <w:spacing w:val="-3"/>
        </w:rPr>
        <w:t> </w:t>
      </w:r>
      <w:r>
        <w:rPr/>
        <w:t>relate</w:t>
      </w:r>
      <w:r>
        <w:rPr>
          <w:spacing w:val="-4"/>
        </w:rPr>
        <w:t> </w:t>
      </w:r>
      <w:r>
        <w:rPr/>
        <w:t>to</w:t>
      </w:r>
      <w:r>
        <w:rPr>
          <w:spacing w:val="-3"/>
        </w:rPr>
        <w:t> </w:t>
      </w:r>
      <w:r>
        <w:rPr/>
        <w:t>structural,</w:t>
      </w:r>
      <w:r>
        <w:rPr>
          <w:spacing w:val="-5"/>
        </w:rPr>
        <w:t> </w:t>
      </w:r>
      <w:r>
        <w:rPr/>
        <w:t>process</w:t>
      </w:r>
      <w:r>
        <w:rPr>
          <w:spacing w:val="-2"/>
        </w:rPr>
        <w:t> </w:t>
      </w:r>
      <w:r>
        <w:rPr/>
        <w:t>and</w:t>
      </w:r>
      <w:r>
        <w:rPr>
          <w:spacing w:val="-3"/>
        </w:rPr>
        <w:t> </w:t>
      </w:r>
      <w:r>
        <w:rPr/>
        <w:t>outcome</w:t>
      </w:r>
      <w:r>
        <w:rPr>
          <w:spacing w:val="-4"/>
        </w:rPr>
        <w:t> </w:t>
      </w:r>
      <w:r>
        <w:rPr/>
        <w:t>dimensions</w:t>
      </w:r>
      <w:r>
        <w:rPr>
          <w:spacing w:val="-3"/>
        </w:rPr>
        <w:t> </w:t>
      </w:r>
      <w:r>
        <w:rPr/>
        <w:t>of</w:t>
      </w:r>
      <w:r>
        <w:rPr>
          <w:spacing w:val="-4"/>
        </w:rPr>
        <w:t> </w:t>
      </w:r>
      <w:r>
        <w:rPr/>
        <w:t>the</w:t>
      </w:r>
      <w:r>
        <w:rPr>
          <w:spacing w:val="-3"/>
        </w:rPr>
        <w:t> </w:t>
      </w:r>
      <w:r>
        <w:rPr/>
        <w:t>program.</w:t>
      </w:r>
    </w:p>
    <w:p>
      <w:pPr>
        <w:pStyle w:val="BodyText"/>
        <w:spacing w:before="4"/>
        <w:rPr>
          <w:sz w:val="19"/>
        </w:rPr>
      </w:pPr>
    </w:p>
    <w:p>
      <w:pPr>
        <w:pStyle w:val="BodyText"/>
        <w:spacing w:line="276" w:lineRule="auto"/>
        <w:ind w:left="1440" w:right="1492"/>
      </w:pPr>
      <w:r>
        <w:rPr/>
        <w:t>It is acknowledged that the short time frame of the trial means that not all the evaluation</w:t>
      </w:r>
      <w:r>
        <w:rPr>
          <w:spacing w:val="1"/>
        </w:rPr>
        <w:t> </w:t>
      </w:r>
      <w:r>
        <w:rPr/>
        <w:t>questions</w:t>
      </w:r>
      <w:r>
        <w:rPr>
          <w:spacing w:val="-4"/>
        </w:rPr>
        <w:t> </w:t>
      </w:r>
      <w:r>
        <w:rPr/>
        <w:t>will</w:t>
      </w:r>
      <w:r>
        <w:rPr>
          <w:spacing w:val="-3"/>
        </w:rPr>
        <w:t> </w:t>
      </w:r>
      <w:r>
        <w:rPr/>
        <w:t>be</w:t>
      </w:r>
      <w:r>
        <w:rPr>
          <w:spacing w:val="-4"/>
        </w:rPr>
        <w:t> </w:t>
      </w:r>
      <w:r>
        <w:rPr/>
        <w:t>able</w:t>
      </w:r>
      <w:r>
        <w:rPr>
          <w:spacing w:val="-5"/>
        </w:rPr>
        <w:t> </w:t>
      </w:r>
      <w:r>
        <w:rPr/>
        <w:t>to</w:t>
      </w:r>
      <w:r>
        <w:rPr>
          <w:spacing w:val="-4"/>
        </w:rPr>
        <w:t> </w:t>
      </w:r>
      <w:r>
        <w:rPr/>
        <w:t>be</w:t>
      </w:r>
      <w:r>
        <w:rPr>
          <w:spacing w:val="-3"/>
        </w:rPr>
        <w:t> </w:t>
      </w:r>
      <w:r>
        <w:rPr/>
        <w:t>answered</w:t>
      </w:r>
      <w:r>
        <w:rPr>
          <w:spacing w:val="-3"/>
        </w:rPr>
        <w:t> </w:t>
      </w:r>
      <w:r>
        <w:rPr/>
        <w:t>definitively.</w:t>
      </w:r>
      <w:r>
        <w:rPr>
          <w:spacing w:val="-6"/>
        </w:rPr>
        <w:t> </w:t>
      </w:r>
      <w:r>
        <w:rPr/>
        <w:t>Where</w:t>
      </w:r>
      <w:r>
        <w:rPr>
          <w:spacing w:val="-3"/>
        </w:rPr>
        <w:t> </w:t>
      </w:r>
      <w:r>
        <w:rPr/>
        <w:t>questions</w:t>
      </w:r>
      <w:r>
        <w:rPr>
          <w:spacing w:val="-4"/>
        </w:rPr>
        <w:t> </w:t>
      </w:r>
      <w:r>
        <w:rPr/>
        <w:t>cannot</w:t>
      </w:r>
      <w:r>
        <w:rPr>
          <w:spacing w:val="-2"/>
        </w:rPr>
        <w:t> </w:t>
      </w:r>
      <w:r>
        <w:rPr/>
        <w:t>be</w:t>
      </w:r>
      <w:r>
        <w:rPr>
          <w:spacing w:val="-4"/>
        </w:rPr>
        <w:t> </w:t>
      </w:r>
      <w:r>
        <w:rPr/>
        <w:t>answered,</w:t>
      </w:r>
      <w:r>
        <w:rPr>
          <w:spacing w:val="-5"/>
        </w:rPr>
        <w:t> </w:t>
      </w:r>
      <w:r>
        <w:rPr/>
        <w:t>the</w:t>
      </w:r>
      <w:r>
        <w:rPr>
          <w:spacing w:val="-52"/>
        </w:rPr>
        <w:t> </w:t>
      </w:r>
      <w:r>
        <w:rPr/>
        <w:t>information collected for the trial can be built upon and used for any subsequent rollout of</w:t>
      </w:r>
      <w:r>
        <w:rPr>
          <w:spacing w:val="1"/>
        </w:rPr>
        <w:t> </w:t>
      </w:r>
      <w:r>
        <w:rPr/>
        <w:t>HCH. Therefore, one of the objectives of the evaluation is to create an infrastructure for the</w:t>
      </w:r>
      <w:r>
        <w:rPr>
          <w:spacing w:val="1"/>
        </w:rPr>
        <w:t> </w:t>
      </w:r>
      <w:r>
        <w:rPr/>
        <w:t>ongoing</w:t>
      </w:r>
      <w:r>
        <w:rPr>
          <w:spacing w:val="-2"/>
        </w:rPr>
        <w:t> </w:t>
      </w:r>
      <w:r>
        <w:rPr/>
        <w:t>evaluation of</w:t>
      </w:r>
      <w:r>
        <w:rPr>
          <w:spacing w:val="-1"/>
        </w:rPr>
        <w:t> </w:t>
      </w:r>
      <w:r>
        <w:rPr/>
        <w:t>the</w:t>
      </w:r>
      <w:r>
        <w:rPr>
          <w:spacing w:val="-1"/>
        </w:rPr>
        <w:t> </w:t>
      </w:r>
      <w:r>
        <w:rPr/>
        <w:t>program</w:t>
      </w:r>
      <w:r>
        <w:rPr>
          <w:spacing w:val="-1"/>
        </w:rPr>
        <w:t> </w:t>
      </w:r>
      <w:r>
        <w:rPr/>
        <w:t>in</w:t>
      </w:r>
      <w:r>
        <w:rPr>
          <w:spacing w:val="1"/>
        </w:rPr>
        <w:t> </w:t>
      </w:r>
      <w:r>
        <w:rPr/>
        <w:t>Australia.</w:t>
      </w:r>
    </w:p>
    <w:p>
      <w:pPr>
        <w:spacing w:after="0" w:line="276" w:lineRule="auto"/>
        <w:sectPr>
          <w:pgSz w:w="11910" w:h="16840"/>
          <w:pgMar w:header="0" w:footer="675" w:top="1340" w:bottom="860" w:left="0" w:right="0"/>
        </w:sectPr>
      </w:pPr>
    </w:p>
    <w:p>
      <w:pPr>
        <w:pStyle w:val="Heading2"/>
        <w:spacing w:before="81"/>
        <w:ind w:left="1440"/>
      </w:pPr>
      <w:bookmarkStart w:name="_bookmark3" w:id="4"/>
      <w:bookmarkEnd w:id="4"/>
      <w:r>
        <w:rPr/>
      </w:r>
      <w:r>
        <w:rPr>
          <w:color w:val="003C79"/>
        </w:rPr>
        <w:t>Evaluation</w:t>
      </w:r>
      <w:r>
        <w:rPr>
          <w:color w:val="003C79"/>
          <w:spacing w:val="-10"/>
        </w:rPr>
        <w:t> </w:t>
      </w:r>
      <w:r>
        <w:rPr>
          <w:color w:val="003C79"/>
        </w:rPr>
        <w:t>design</w:t>
      </w:r>
    </w:p>
    <w:p>
      <w:pPr>
        <w:pStyle w:val="BodyText"/>
        <w:spacing w:before="259"/>
        <w:ind w:left="1440"/>
      </w:pPr>
      <w:r>
        <w:rPr/>
        <w:t>Practices</w:t>
      </w:r>
      <w:r>
        <w:rPr>
          <w:spacing w:val="-3"/>
        </w:rPr>
        <w:t> </w:t>
      </w:r>
      <w:r>
        <w:rPr/>
        <w:t>are</w:t>
      </w:r>
      <w:r>
        <w:rPr>
          <w:spacing w:val="-3"/>
        </w:rPr>
        <w:t> </w:t>
      </w:r>
      <w:r>
        <w:rPr/>
        <w:t>regarded</w:t>
      </w:r>
      <w:r>
        <w:rPr>
          <w:spacing w:val="-2"/>
        </w:rPr>
        <w:t> </w:t>
      </w:r>
      <w:r>
        <w:rPr/>
        <w:t>as</w:t>
      </w:r>
      <w:r>
        <w:rPr>
          <w:spacing w:val="-3"/>
        </w:rPr>
        <w:t> </w:t>
      </w:r>
      <w:r>
        <w:rPr/>
        <w:t>the</w:t>
      </w:r>
      <w:r>
        <w:rPr>
          <w:spacing w:val="-3"/>
        </w:rPr>
        <w:t> </w:t>
      </w:r>
      <w:r>
        <w:rPr/>
        <w:t>unit</w:t>
      </w:r>
      <w:r>
        <w:rPr>
          <w:spacing w:val="-1"/>
        </w:rPr>
        <w:t> </w:t>
      </w:r>
      <w:r>
        <w:rPr/>
        <w:t>of</w:t>
      </w:r>
      <w:r>
        <w:rPr>
          <w:spacing w:val="-3"/>
        </w:rPr>
        <w:t> </w:t>
      </w:r>
      <w:r>
        <w:rPr/>
        <w:t>study</w:t>
      </w:r>
      <w:r>
        <w:rPr>
          <w:spacing w:val="-3"/>
        </w:rPr>
        <w:t> </w:t>
      </w:r>
      <w:r>
        <w:rPr/>
        <w:t>for</w:t>
      </w:r>
      <w:r>
        <w:rPr>
          <w:spacing w:val="-2"/>
        </w:rPr>
        <w:t> </w:t>
      </w:r>
      <w:r>
        <w:rPr/>
        <w:t>the</w:t>
      </w:r>
      <w:r>
        <w:rPr>
          <w:spacing w:val="-3"/>
        </w:rPr>
        <w:t> </w:t>
      </w:r>
      <w:r>
        <w:rPr/>
        <w:t>evaluation,</w:t>
      </w:r>
      <w:r>
        <w:rPr>
          <w:spacing w:val="-5"/>
        </w:rPr>
        <w:t> </w:t>
      </w:r>
      <w:r>
        <w:rPr/>
        <w:t>with</w:t>
      </w:r>
      <w:r>
        <w:rPr>
          <w:spacing w:val="-2"/>
        </w:rPr>
        <w:t> </w:t>
      </w:r>
      <w:r>
        <w:rPr/>
        <w:t>patients</w:t>
      </w:r>
      <w:r>
        <w:rPr>
          <w:spacing w:val="-6"/>
        </w:rPr>
        <w:t> </w:t>
      </w:r>
      <w:r>
        <w:rPr/>
        <w:t>as</w:t>
      </w:r>
      <w:r>
        <w:rPr>
          <w:spacing w:val="-3"/>
        </w:rPr>
        <w:t> </w:t>
      </w:r>
      <w:r>
        <w:rPr/>
        <w:t>a</w:t>
      </w:r>
      <w:r>
        <w:rPr>
          <w:spacing w:val="-3"/>
        </w:rPr>
        <w:t> </w:t>
      </w:r>
      <w:r>
        <w:rPr/>
        <w:t>‘nested’</w:t>
      </w:r>
      <w:r>
        <w:rPr>
          <w:spacing w:val="-3"/>
        </w:rPr>
        <w:t> </w:t>
      </w:r>
      <w:r>
        <w:rPr/>
        <w:t>unit</w:t>
      </w:r>
    </w:p>
    <w:p>
      <w:pPr>
        <w:pStyle w:val="BodyText"/>
        <w:spacing w:before="38"/>
        <w:ind w:left="1440"/>
      </w:pPr>
      <w:r>
        <w:rPr/>
        <w:t>of</w:t>
      </w:r>
      <w:r>
        <w:rPr>
          <w:spacing w:val="-4"/>
        </w:rPr>
        <w:t> </w:t>
      </w:r>
      <w:r>
        <w:rPr/>
        <w:t>study</w:t>
      </w:r>
      <w:r>
        <w:rPr>
          <w:spacing w:val="-4"/>
        </w:rPr>
        <w:t> </w:t>
      </w:r>
      <w:r>
        <w:rPr/>
        <w:t>within</w:t>
      </w:r>
      <w:r>
        <w:rPr>
          <w:spacing w:val="-2"/>
        </w:rPr>
        <w:t> </w:t>
      </w:r>
      <w:r>
        <w:rPr/>
        <w:t>the</w:t>
      </w:r>
      <w:r>
        <w:rPr>
          <w:spacing w:val="-3"/>
        </w:rPr>
        <w:t> </w:t>
      </w:r>
      <w:r>
        <w:rPr/>
        <w:t>practices.</w:t>
      </w:r>
    </w:p>
    <w:p>
      <w:pPr>
        <w:pStyle w:val="BodyText"/>
        <w:spacing w:before="8"/>
        <w:rPr>
          <w:sz w:val="22"/>
        </w:rPr>
      </w:pPr>
    </w:p>
    <w:p>
      <w:pPr>
        <w:pStyle w:val="BodyText"/>
        <w:spacing w:line="276" w:lineRule="auto"/>
        <w:ind w:left="1440" w:right="1520"/>
      </w:pPr>
      <w:r>
        <w:rPr/>
        <w:t>The evaluation will use both qualitative and quantitative data. Some of these will be</w:t>
      </w:r>
      <w:r>
        <w:rPr>
          <w:spacing w:val="1"/>
        </w:rPr>
        <w:t> </w:t>
      </w:r>
      <w:r>
        <w:rPr/>
        <w:t>specifically</w:t>
      </w:r>
      <w:r>
        <w:rPr>
          <w:spacing w:val="-6"/>
        </w:rPr>
        <w:t> </w:t>
      </w:r>
      <w:r>
        <w:rPr/>
        <w:t>collected</w:t>
      </w:r>
      <w:r>
        <w:rPr>
          <w:spacing w:val="-4"/>
        </w:rPr>
        <w:t> </w:t>
      </w:r>
      <w:r>
        <w:rPr/>
        <w:t>for</w:t>
      </w:r>
      <w:r>
        <w:rPr>
          <w:spacing w:val="-5"/>
        </w:rPr>
        <w:t> </w:t>
      </w:r>
      <w:r>
        <w:rPr/>
        <w:t>the</w:t>
      </w:r>
      <w:r>
        <w:rPr>
          <w:spacing w:val="-4"/>
        </w:rPr>
        <w:t> </w:t>
      </w:r>
      <w:r>
        <w:rPr/>
        <w:t>evaluation</w:t>
      </w:r>
      <w:r>
        <w:rPr>
          <w:spacing w:val="-3"/>
        </w:rPr>
        <w:t> </w:t>
      </w:r>
      <w:r>
        <w:rPr/>
        <w:t>(i.e.</w:t>
      </w:r>
      <w:r>
        <w:rPr>
          <w:spacing w:val="-7"/>
        </w:rPr>
        <w:t> </w:t>
      </w:r>
      <w:r>
        <w:rPr/>
        <w:t>‘primary’</w:t>
      </w:r>
      <w:r>
        <w:rPr>
          <w:spacing w:val="-4"/>
        </w:rPr>
        <w:t> </w:t>
      </w:r>
      <w:r>
        <w:rPr/>
        <w:t>data).</w:t>
      </w:r>
      <w:r>
        <w:rPr>
          <w:spacing w:val="-4"/>
        </w:rPr>
        <w:t> </w:t>
      </w:r>
      <w:r>
        <w:rPr/>
        <w:t>The</w:t>
      </w:r>
      <w:r>
        <w:rPr>
          <w:spacing w:val="-5"/>
        </w:rPr>
        <w:t> </w:t>
      </w:r>
      <w:r>
        <w:rPr/>
        <w:t>evaluation</w:t>
      </w:r>
      <w:r>
        <w:rPr>
          <w:spacing w:val="-3"/>
        </w:rPr>
        <w:t> </w:t>
      </w:r>
      <w:r>
        <w:rPr/>
        <w:t>will</w:t>
      </w:r>
      <w:r>
        <w:rPr>
          <w:spacing w:val="-3"/>
        </w:rPr>
        <w:t> </w:t>
      </w:r>
      <w:r>
        <w:rPr/>
        <w:t>also</w:t>
      </w:r>
      <w:r>
        <w:rPr>
          <w:spacing w:val="-6"/>
        </w:rPr>
        <w:t> </w:t>
      </w:r>
      <w:r>
        <w:rPr/>
        <w:t>source</w:t>
      </w:r>
      <w:r>
        <w:rPr>
          <w:spacing w:val="-52"/>
        </w:rPr>
        <w:t> </w:t>
      </w:r>
      <w:r>
        <w:rPr/>
        <w:t>data</w:t>
      </w:r>
      <w:r>
        <w:rPr>
          <w:spacing w:val="-1"/>
        </w:rPr>
        <w:t> </w:t>
      </w:r>
      <w:r>
        <w:rPr/>
        <w:t>that</w:t>
      </w:r>
      <w:r>
        <w:rPr>
          <w:spacing w:val="-1"/>
        </w:rPr>
        <w:t> </w:t>
      </w:r>
      <w:r>
        <w:rPr/>
        <w:t>have</w:t>
      </w:r>
      <w:r>
        <w:rPr>
          <w:spacing w:val="-2"/>
        </w:rPr>
        <w:t> </w:t>
      </w:r>
      <w:r>
        <w:rPr/>
        <w:t>another</w:t>
      </w:r>
      <w:r>
        <w:rPr>
          <w:spacing w:val="-3"/>
        </w:rPr>
        <w:t> </w:t>
      </w:r>
      <w:r>
        <w:rPr/>
        <w:t>primary</w:t>
      </w:r>
      <w:r>
        <w:rPr>
          <w:spacing w:val="-3"/>
        </w:rPr>
        <w:t> </w:t>
      </w:r>
      <w:r>
        <w:rPr/>
        <w:t>purpose</w:t>
      </w:r>
      <w:r>
        <w:rPr>
          <w:spacing w:val="1"/>
        </w:rPr>
        <w:t> </w:t>
      </w:r>
      <w:r>
        <w:rPr/>
        <w:t>(i.e.</w:t>
      </w:r>
      <w:r>
        <w:rPr>
          <w:spacing w:val="-4"/>
        </w:rPr>
        <w:t> </w:t>
      </w:r>
      <w:r>
        <w:rPr/>
        <w:t>‘secondary’</w:t>
      </w:r>
      <w:r>
        <w:rPr>
          <w:spacing w:val="1"/>
        </w:rPr>
        <w:t> </w:t>
      </w:r>
      <w:r>
        <w:rPr/>
        <w:t>data).</w:t>
      </w:r>
    </w:p>
    <w:p>
      <w:pPr>
        <w:pStyle w:val="BodyText"/>
        <w:spacing w:line="276" w:lineRule="auto" w:before="198"/>
        <w:ind w:left="1440" w:right="1665"/>
      </w:pPr>
      <w:r>
        <w:rPr/>
        <w:t>Where possible, a comparison group will be used to assess the changes that are being</w:t>
      </w:r>
      <w:r>
        <w:rPr>
          <w:spacing w:val="1"/>
        </w:rPr>
        <w:t> </w:t>
      </w:r>
      <w:r>
        <w:rPr/>
        <w:t>studied for practices and patients. For these components, the evaluation will have a quasi-</w:t>
      </w:r>
      <w:r>
        <w:rPr>
          <w:spacing w:val="-53"/>
        </w:rPr>
        <w:t> </w:t>
      </w:r>
      <w:r>
        <w:rPr/>
        <w:t>experimental</w:t>
      </w:r>
      <w:r>
        <w:rPr>
          <w:spacing w:val="-1"/>
        </w:rPr>
        <w:t> </w:t>
      </w:r>
      <w:r>
        <w:rPr/>
        <w:t>design.</w:t>
      </w:r>
      <w:r>
        <w:rPr>
          <w:spacing w:val="-4"/>
        </w:rPr>
        <w:t> </w:t>
      </w:r>
      <w:r>
        <w:rPr/>
        <w:t>For</w:t>
      </w:r>
      <w:r>
        <w:rPr>
          <w:spacing w:val="2"/>
        </w:rPr>
        <w:t> </w:t>
      </w:r>
      <w:r>
        <w:rPr/>
        <w:t>others,</w:t>
      </w:r>
      <w:r>
        <w:rPr>
          <w:spacing w:val="-4"/>
        </w:rPr>
        <w:t> </w:t>
      </w:r>
      <w:r>
        <w:rPr/>
        <w:t>a before-and-after</w:t>
      </w:r>
      <w:r>
        <w:rPr>
          <w:spacing w:val="-1"/>
        </w:rPr>
        <w:t> </w:t>
      </w:r>
      <w:r>
        <w:rPr/>
        <w:t>design will be</w:t>
      </w:r>
      <w:r>
        <w:rPr>
          <w:spacing w:val="-1"/>
        </w:rPr>
        <w:t> </w:t>
      </w:r>
      <w:r>
        <w:rPr/>
        <w:t>used.</w:t>
      </w:r>
    </w:p>
    <w:p>
      <w:pPr>
        <w:pStyle w:val="BodyText"/>
        <w:spacing w:before="201"/>
        <w:ind w:left="1440"/>
      </w:pPr>
      <w:r>
        <w:rPr/>
        <w:t>For</w:t>
      </w:r>
      <w:r>
        <w:rPr>
          <w:spacing w:val="-5"/>
        </w:rPr>
        <w:t> </w:t>
      </w:r>
      <w:r>
        <w:rPr/>
        <w:t>practical</w:t>
      </w:r>
      <w:r>
        <w:rPr>
          <w:spacing w:val="-3"/>
        </w:rPr>
        <w:t> </w:t>
      </w:r>
      <w:r>
        <w:rPr/>
        <w:t>purposes,</w:t>
      </w:r>
      <w:r>
        <w:rPr>
          <w:spacing w:val="-2"/>
        </w:rPr>
        <w:t> </w:t>
      </w:r>
      <w:r>
        <w:rPr/>
        <w:t>data</w:t>
      </w:r>
      <w:r>
        <w:rPr>
          <w:spacing w:val="-3"/>
        </w:rPr>
        <w:t> </w:t>
      </w:r>
      <w:r>
        <w:rPr/>
        <w:t>collection</w:t>
      </w:r>
      <w:r>
        <w:rPr>
          <w:spacing w:val="-3"/>
        </w:rPr>
        <w:t> </w:t>
      </w:r>
      <w:r>
        <w:rPr/>
        <w:t>for</w:t>
      </w:r>
      <w:r>
        <w:rPr>
          <w:spacing w:val="-4"/>
        </w:rPr>
        <w:t> </w:t>
      </w:r>
      <w:r>
        <w:rPr/>
        <w:t>the</w:t>
      </w:r>
      <w:r>
        <w:rPr>
          <w:spacing w:val="-4"/>
        </w:rPr>
        <w:t> </w:t>
      </w:r>
      <w:r>
        <w:rPr/>
        <w:t>evaluation</w:t>
      </w:r>
      <w:r>
        <w:rPr>
          <w:spacing w:val="1"/>
        </w:rPr>
        <w:t> </w:t>
      </w:r>
      <w:r>
        <w:rPr/>
        <w:t>is</w:t>
      </w:r>
      <w:r>
        <w:rPr>
          <w:spacing w:val="-4"/>
        </w:rPr>
        <w:t> </w:t>
      </w:r>
      <w:r>
        <w:rPr/>
        <w:t>organised</w:t>
      </w:r>
      <w:r>
        <w:rPr>
          <w:spacing w:val="-4"/>
        </w:rPr>
        <w:t> </w:t>
      </w:r>
      <w:r>
        <w:rPr/>
        <w:t>into</w:t>
      </w:r>
      <w:r>
        <w:rPr>
          <w:spacing w:val="-3"/>
        </w:rPr>
        <w:t> </w:t>
      </w:r>
      <w:r>
        <w:rPr/>
        <w:t>‘rounds’.</w:t>
      </w:r>
      <w:r>
        <w:rPr>
          <w:spacing w:val="-5"/>
        </w:rPr>
        <w:t> </w:t>
      </w:r>
      <w:r>
        <w:rPr/>
        <w:t>The</w:t>
      </w:r>
      <w:r>
        <w:rPr>
          <w:spacing w:val="-4"/>
        </w:rPr>
        <w:t> </w:t>
      </w:r>
      <w:r>
        <w:rPr/>
        <w:t>time</w:t>
      </w:r>
    </w:p>
    <w:p>
      <w:pPr>
        <w:pStyle w:val="BodyText"/>
        <w:spacing w:before="36"/>
        <w:ind w:left="1440"/>
      </w:pPr>
      <w:r>
        <w:rPr/>
        <w:t>frames</w:t>
      </w:r>
      <w:r>
        <w:rPr>
          <w:spacing w:val="-3"/>
        </w:rPr>
        <w:t> </w:t>
      </w:r>
      <w:r>
        <w:rPr/>
        <w:t>for</w:t>
      </w:r>
      <w:r>
        <w:rPr>
          <w:spacing w:val="-2"/>
        </w:rPr>
        <w:t> </w:t>
      </w:r>
      <w:r>
        <w:rPr/>
        <w:t>these</w:t>
      </w:r>
      <w:r>
        <w:rPr>
          <w:spacing w:val="-2"/>
        </w:rPr>
        <w:t> </w:t>
      </w:r>
      <w:r>
        <w:rPr/>
        <w:t>are</w:t>
      </w:r>
      <w:r>
        <w:rPr>
          <w:spacing w:val="-1"/>
        </w:rPr>
        <w:t> </w:t>
      </w:r>
      <w:r>
        <w:rPr/>
        <w:t>shown</w:t>
      </w:r>
      <w:r>
        <w:rPr>
          <w:spacing w:val="-1"/>
        </w:rPr>
        <w:t> </w:t>
      </w:r>
      <w:r>
        <w:rPr/>
        <w:t>in</w:t>
      </w:r>
      <w:r>
        <w:rPr>
          <w:spacing w:val="-3"/>
        </w:rPr>
        <w:t> </w:t>
      </w:r>
      <w:r>
        <w:rPr/>
        <w:t>the</w:t>
      </w:r>
      <w:r>
        <w:rPr>
          <w:spacing w:val="-2"/>
        </w:rPr>
        <w:t> </w:t>
      </w:r>
      <w:r>
        <w:rPr/>
        <w:t>Table</w:t>
      </w:r>
      <w:r>
        <w:rPr>
          <w:spacing w:val="-2"/>
        </w:rPr>
        <w:t> </w:t>
      </w:r>
      <w:r>
        <w:rPr/>
        <w:t>below.</w:t>
      </w:r>
    </w:p>
    <w:p>
      <w:pPr>
        <w:pStyle w:val="BodyText"/>
        <w:spacing w:before="3"/>
        <w:rPr>
          <w:sz w:val="19"/>
        </w:rPr>
      </w:pPr>
    </w:p>
    <w:p>
      <w:pPr>
        <w:spacing w:before="0" w:after="35"/>
        <w:ind w:left="1444" w:right="1441" w:firstLine="0"/>
        <w:jc w:val="center"/>
        <w:rPr>
          <w:b/>
          <w:sz w:val="18"/>
        </w:rPr>
      </w:pPr>
      <w:r>
        <w:rPr>
          <w:b/>
          <w:sz w:val="18"/>
        </w:rPr>
        <w:t>Table</w:t>
      </w:r>
      <w:r>
        <w:rPr>
          <w:b/>
          <w:spacing w:val="-2"/>
          <w:sz w:val="18"/>
        </w:rPr>
        <w:t> </w:t>
      </w:r>
      <w:r>
        <w:rPr>
          <w:b/>
          <w:sz w:val="18"/>
        </w:rPr>
        <w:t>1</w:t>
      </w:r>
      <w:r>
        <w:rPr>
          <w:b/>
          <w:spacing w:val="-4"/>
          <w:sz w:val="18"/>
        </w:rPr>
        <w:t> </w:t>
      </w:r>
      <w:r>
        <w:rPr>
          <w:b/>
          <w:sz w:val="18"/>
        </w:rPr>
        <w:t>– Data collection</w:t>
      </w:r>
      <w:r>
        <w:rPr>
          <w:b/>
          <w:spacing w:val="-1"/>
          <w:sz w:val="18"/>
        </w:rPr>
        <w:t> </w:t>
      </w:r>
      <w:r>
        <w:rPr>
          <w:b/>
          <w:sz w:val="18"/>
        </w:rPr>
        <w:t>rounds</w:t>
      </w:r>
      <w:r>
        <w:rPr>
          <w:b/>
          <w:spacing w:val="-2"/>
          <w:sz w:val="18"/>
        </w:rPr>
        <w:t> </w:t>
      </w:r>
      <w:r>
        <w:rPr>
          <w:b/>
          <w:sz w:val="18"/>
        </w:rPr>
        <w:t>for</w:t>
      </w:r>
      <w:r>
        <w:rPr>
          <w:b/>
          <w:spacing w:val="-1"/>
          <w:sz w:val="18"/>
        </w:rPr>
        <w:t> </w:t>
      </w:r>
      <w:r>
        <w:rPr>
          <w:b/>
          <w:sz w:val="18"/>
        </w:rPr>
        <w:t>the</w:t>
      </w:r>
      <w:r>
        <w:rPr>
          <w:b/>
          <w:spacing w:val="-1"/>
          <w:sz w:val="18"/>
        </w:rPr>
        <w:t> </w:t>
      </w:r>
      <w:r>
        <w:rPr>
          <w:b/>
          <w:sz w:val="18"/>
        </w:rPr>
        <w:t>evaluation</w:t>
      </w:r>
      <w:r>
        <w:rPr>
          <w:b/>
          <w:spacing w:val="-1"/>
          <w:sz w:val="18"/>
        </w:rPr>
        <w:t> </w:t>
      </w:r>
      <w:r>
        <w:rPr>
          <w:b/>
          <w:sz w:val="18"/>
        </w:rPr>
        <w:t>and</w:t>
      </w:r>
      <w:r>
        <w:rPr>
          <w:b/>
          <w:spacing w:val="-3"/>
          <w:sz w:val="18"/>
        </w:rPr>
        <w:t> </w:t>
      </w:r>
      <w:r>
        <w:rPr>
          <w:b/>
          <w:sz w:val="18"/>
        </w:rPr>
        <w:t>time</w:t>
      </w:r>
      <w:r>
        <w:rPr>
          <w:b/>
          <w:spacing w:val="-2"/>
          <w:sz w:val="18"/>
        </w:rPr>
        <w:t> </w:t>
      </w:r>
      <w:r>
        <w:rPr>
          <w:b/>
          <w:sz w:val="18"/>
        </w:rPr>
        <w:t>frames</w:t>
      </w:r>
    </w:p>
    <w:tbl>
      <w:tblPr>
        <w:tblW w:w="0" w:type="auto"/>
        <w:jc w:val="left"/>
        <w:tblInd w:w="215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4532"/>
        <w:gridCol w:w="3077"/>
      </w:tblGrid>
      <w:tr>
        <w:trPr>
          <w:trHeight w:val="220" w:hRule="atLeast"/>
        </w:trPr>
        <w:tc>
          <w:tcPr>
            <w:tcW w:w="4532" w:type="dxa"/>
            <w:tcBorders>
              <w:bottom w:val="single" w:sz="6" w:space="0" w:color="BEBEBE"/>
              <w:right w:val="single" w:sz="6" w:space="0" w:color="BEBEBE"/>
            </w:tcBorders>
            <w:shd w:val="clear" w:color="auto" w:fill="003C79"/>
          </w:tcPr>
          <w:p>
            <w:pPr>
              <w:pStyle w:val="TableParagraph"/>
              <w:spacing w:line="200" w:lineRule="exact"/>
              <w:ind w:left="1314"/>
              <w:rPr>
                <w:b/>
                <w:sz w:val="18"/>
              </w:rPr>
            </w:pPr>
            <w:r>
              <w:rPr>
                <w:b/>
                <w:color w:val="FFFFFF"/>
                <w:sz w:val="18"/>
              </w:rPr>
              <w:t>Data</w:t>
            </w:r>
            <w:r>
              <w:rPr>
                <w:b/>
                <w:color w:val="FFFFFF"/>
                <w:spacing w:val="-2"/>
                <w:sz w:val="18"/>
              </w:rPr>
              <w:t> </w:t>
            </w:r>
            <w:r>
              <w:rPr>
                <w:b/>
                <w:color w:val="FFFFFF"/>
                <w:sz w:val="18"/>
              </w:rPr>
              <w:t>collection</w:t>
            </w:r>
            <w:r>
              <w:rPr>
                <w:b/>
                <w:color w:val="FFFFFF"/>
                <w:spacing w:val="-3"/>
                <w:sz w:val="18"/>
              </w:rPr>
              <w:t> </w:t>
            </w:r>
            <w:r>
              <w:rPr>
                <w:b/>
                <w:color w:val="FFFFFF"/>
                <w:sz w:val="18"/>
              </w:rPr>
              <w:t>round</w:t>
            </w:r>
          </w:p>
        </w:tc>
        <w:tc>
          <w:tcPr>
            <w:tcW w:w="3077" w:type="dxa"/>
            <w:tcBorders>
              <w:left w:val="single" w:sz="6" w:space="0" w:color="BEBEBE"/>
              <w:bottom w:val="single" w:sz="6" w:space="0" w:color="BEBEBE"/>
            </w:tcBorders>
            <w:shd w:val="clear" w:color="auto" w:fill="003C79"/>
          </w:tcPr>
          <w:p>
            <w:pPr>
              <w:pStyle w:val="TableParagraph"/>
              <w:spacing w:line="200" w:lineRule="exact"/>
              <w:ind w:left="1059" w:right="1050"/>
              <w:jc w:val="center"/>
              <w:rPr>
                <w:b/>
                <w:sz w:val="18"/>
              </w:rPr>
            </w:pPr>
            <w:r>
              <w:rPr>
                <w:b/>
                <w:color w:val="FFFFFF"/>
                <w:sz w:val="18"/>
              </w:rPr>
              <w:t>Timeframe</w:t>
            </w:r>
          </w:p>
        </w:tc>
      </w:tr>
      <w:tr>
        <w:trPr>
          <w:trHeight w:val="253" w:hRule="atLeast"/>
        </w:trPr>
        <w:tc>
          <w:tcPr>
            <w:tcW w:w="4532" w:type="dxa"/>
            <w:tcBorders>
              <w:top w:val="single" w:sz="6" w:space="0" w:color="BEBEBE"/>
              <w:bottom w:val="single" w:sz="6" w:space="0" w:color="BEBEBE"/>
              <w:right w:val="single" w:sz="6" w:space="0" w:color="BEBEBE"/>
            </w:tcBorders>
          </w:tcPr>
          <w:p>
            <w:pPr>
              <w:pStyle w:val="TableParagraph"/>
              <w:spacing w:line="219" w:lineRule="exact"/>
              <w:ind w:left="105"/>
              <w:rPr>
                <w:sz w:val="18"/>
              </w:rPr>
            </w:pPr>
            <w:r>
              <w:rPr>
                <w:sz w:val="18"/>
              </w:rPr>
              <w:t>Round</w:t>
            </w:r>
            <w:r>
              <w:rPr>
                <w:spacing w:val="-2"/>
                <w:sz w:val="18"/>
              </w:rPr>
              <w:t> </w:t>
            </w:r>
            <w:r>
              <w:rPr>
                <w:sz w:val="18"/>
              </w:rPr>
              <w:t>1 data</w:t>
            </w:r>
            <w:r>
              <w:rPr>
                <w:spacing w:val="-2"/>
                <w:sz w:val="18"/>
              </w:rPr>
              <w:t> </w:t>
            </w:r>
            <w:r>
              <w:rPr>
                <w:sz w:val="18"/>
              </w:rPr>
              <w:t>collection</w:t>
            </w:r>
          </w:p>
        </w:tc>
        <w:tc>
          <w:tcPr>
            <w:tcW w:w="3077" w:type="dxa"/>
            <w:tcBorders>
              <w:top w:val="single" w:sz="6" w:space="0" w:color="BEBEBE"/>
              <w:left w:val="single" w:sz="6" w:space="0" w:color="BEBEBE"/>
              <w:bottom w:val="single" w:sz="6" w:space="0" w:color="BEBEBE"/>
            </w:tcBorders>
          </w:tcPr>
          <w:p>
            <w:pPr>
              <w:pStyle w:val="TableParagraph"/>
              <w:spacing w:line="219" w:lineRule="exact"/>
              <w:ind w:right="93"/>
              <w:jc w:val="right"/>
              <w:rPr>
                <w:sz w:val="18"/>
              </w:rPr>
            </w:pPr>
            <w:r>
              <w:rPr>
                <w:sz w:val="18"/>
              </w:rPr>
              <w:t>1</w:t>
            </w:r>
            <w:r>
              <w:rPr>
                <w:spacing w:val="-2"/>
                <w:sz w:val="18"/>
              </w:rPr>
              <w:t> </w:t>
            </w:r>
            <w:r>
              <w:rPr>
                <w:sz w:val="18"/>
              </w:rPr>
              <w:t>October</w:t>
            </w:r>
            <w:r>
              <w:rPr>
                <w:spacing w:val="-2"/>
                <w:sz w:val="18"/>
              </w:rPr>
              <w:t> </w:t>
            </w:r>
            <w:r>
              <w:rPr>
                <w:sz w:val="18"/>
              </w:rPr>
              <w:t>2017</w:t>
            </w:r>
            <w:r>
              <w:rPr>
                <w:spacing w:val="-1"/>
                <w:sz w:val="18"/>
              </w:rPr>
              <w:t> </w:t>
            </w:r>
            <w:r>
              <w:rPr>
                <w:sz w:val="18"/>
              </w:rPr>
              <w:t>to</w:t>
            </w:r>
            <w:r>
              <w:rPr>
                <w:spacing w:val="-2"/>
                <w:sz w:val="18"/>
              </w:rPr>
              <w:t> </w:t>
            </w:r>
            <w:r>
              <w:rPr>
                <w:sz w:val="18"/>
              </w:rPr>
              <w:t>30 June</w:t>
            </w:r>
            <w:r>
              <w:rPr>
                <w:spacing w:val="-1"/>
                <w:sz w:val="18"/>
              </w:rPr>
              <w:t> </w:t>
            </w:r>
            <w:r>
              <w:rPr>
                <w:sz w:val="18"/>
              </w:rPr>
              <w:t>2018</w:t>
            </w:r>
          </w:p>
        </w:tc>
      </w:tr>
      <w:tr>
        <w:trPr>
          <w:trHeight w:val="253" w:hRule="atLeast"/>
        </w:trPr>
        <w:tc>
          <w:tcPr>
            <w:tcW w:w="4532" w:type="dxa"/>
            <w:tcBorders>
              <w:top w:val="single" w:sz="6" w:space="0" w:color="BEBEBE"/>
              <w:bottom w:val="single" w:sz="6" w:space="0" w:color="BEBEBE"/>
              <w:right w:val="single" w:sz="6" w:space="0" w:color="BEBEBE"/>
            </w:tcBorders>
          </w:tcPr>
          <w:p>
            <w:pPr>
              <w:pStyle w:val="TableParagraph"/>
              <w:spacing w:line="219" w:lineRule="exact"/>
              <w:ind w:left="105"/>
              <w:rPr>
                <w:sz w:val="18"/>
              </w:rPr>
            </w:pPr>
            <w:r>
              <w:rPr>
                <w:sz w:val="18"/>
              </w:rPr>
              <w:t>Round</w:t>
            </w:r>
            <w:r>
              <w:rPr>
                <w:spacing w:val="-2"/>
                <w:sz w:val="18"/>
              </w:rPr>
              <w:t> </w:t>
            </w:r>
            <w:r>
              <w:rPr>
                <w:sz w:val="18"/>
              </w:rPr>
              <w:t>2 data</w:t>
            </w:r>
            <w:r>
              <w:rPr>
                <w:spacing w:val="-2"/>
                <w:sz w:val="18"/>
              </w:rPr>
              <w:t> </w:t>
            </w:r>
            <w:r>
              <w:rPr>
                <w:sz w:val="18"/>
              </w:rPr>
              <w:t>collection</w:t>
            </w:r>
          </w:p>
        </w:tc>
        <w:tc>
          <w:tcPr>
            <w:tcW w:w="3077" w:type="dxa"/>
            <w:tcBorders>
              <w:top w:val="single" w:sz="6" w:space="0" w:color="BEBEBE"/>
              <w:left w:val="single" w:sz="6" w:space="0" w:color="BEBEBE"/>
              <w:bottom w:val="single" w:sz="6" w:space="0" w:color="BEBEBE"/>
            </w:tcBorders>
          </w:tcPr>
          <w:p>
            <w:pPr>
              <w:pStyle w:val="TableParagraph"/>
              <w:spacing w:line="219" w:lineRule="exact"/>
              <w:ind w:right="94"/>
              <w:jc w:val="right"/>
              <w:rPr>
                <w:sz w:val="18"/>
              </w:rPr>
            </w:pPr>
            <w:r>
              <w:rPr>
                <w:sz w:val="18"/>
              </w:rPr>
              <w:t>1</w:t>
            </w:r>
            <w:r>
              <w:rPr>
                <w:spacing w:val="-2"/>
                <w:sz w:val="18"/>
              </w:rPr>
              <w:t> </w:t>
            </w:r>
            <w:r>
              <w:rPr>
                <w:sz w:val="18"/>
              </w:rPr>
              <w:t>July</w:t>
            </w:r>
            <w:r>
              <w:rPr>
                <w:spacing w:val="-3"/>
                <w:sz w:val="18"/>
              </w:rPr>
              <w:t> </w:t>
            </w:r>
            <w:r>
              <w:rPr>
                <w:sz w:val="18"/>
              </w:rPr>
              <w:t>to</w:t>
            </w:r>
            <w:r>
              <w:rPr>
                <w:spacing w:val="-1"/>
                <w:sz w:val="18"/>
              </w:rPr>
              <w:t> </w:t>
            </w:r>
            <w:r>
              <w:rPr>
                <w:sz w:val="18"/>
              </w:rPr>
              <w:t>31</w:t>
            </w:r>
            <w:r>
              <w:rPr>
                <w:spacing w:val="-4"/>
                <w:sz w:val="18"/>
              </w:rPr>
              <w:t> </w:t>
            </w:r>
            <w:r>
              <w:rPr>
                <w:sz w:val="18"/>
              </w:rPr>
              <w:t>December</w:t>
            </w:r>
            <w:r>
              <w:rPr>
                <w:spacing w:val="-1"/>
                <w:sz w:val="18"/>
              </w:rPr>
              <w:t> </w:t>
            </w:r>
            <w:r>
              <w:rPr>
                <w:sz w:val="18"/>
              </w:rPr>
              <w:t>2018</w:t>
            </w:r>
          </w:p>
        </w:tc>
      </w:tr>
      <w:tr>
        <w:trPr>
          <w:trHeight w:val="253" w:hRule="atLeast"/>
        </w:trPr>
        <w:tc>
          <w:tcPr>
            <w:tcW w:w="4532" w:type="dxa"/>
            <w:tcBorders>
              <w:top w:val="single" w:sz="6" w:space="0" w:color="BEBEBE"/>
              <w:bottom w:val="single" w:sz="6" w:space="0" w:color="BEBEBE"/>
              <w:right w:val="single" w:sz="6" w:space="0" w:color="BEBEBE"/>
            </w:tcBorders>
          </w:tcPr>
          <w:p>
            <w:pPr>
              <w:pStyle w:val="TableParagraph"/>
              <w:spacing w:line="219" w:lineRule="exact"/>
              <w:ind w:left="105"/>
              <w:rPr>
                <w:sz w:val="18"/>
              </w:rPr>
            </w:pPr>
            <w:r>
              <w:rPr>
                <w:sz w:val="18"/>
              </w:rPr>
              <w:t>Round</w:t>
            </w:r>
            <w:r>
              <w:rPr>
                <w:spacing w:val="-2"/>
                <w:sz w:val="18"/>
              </w:rPr>
              <w:t> </w:t>
            </w:r>
            <w:r>
              <w:rPr>
                <w:sz w:val="18"/>
              </w:rPr>
              <w:t>3 data</w:t>
            </w:r>
            <w:r>
              <w:rPr>
                <w:spacing w:val="-2"/>
                <w:sz w:val="18"/>
              </w:rPr>
              <w:t> </w:t>
            </w:r>
            <w:r>
              <w:rPr>
                <w:sz w:val="18"/>
              </w:rPr>
              <w:t>collection</w:t>
            </w:r>
          </w:p>
        </w:tc>
        <w:tc>
          <w:tcPr>
            <w:tcW w:w="3077" w:type="dxa"/>
            <w:tcBorders>
              <w:top w:val="single" w:sz="6" w:space="0" w:color="BEBEBE"/>
              <w:left w:val="single" w:sz="6" w:space="0" w:color="BEBEBE"/>
              <w:bottom w:val="single" w:sz="6" w:space="0" w:color="BEBEBE"/>
            </w:tcBorders>
          </w:tcPr>
          <w:p>
            <w:pPr>
              <w:pStyle w:val="TableParagraph"/>
              <w:spacing w:line="219" w:lineRule="exact"/>
              <w:ind w:right="93"/>
              <w:jc w:val="right"/>
              <w:rPr>
                <w:sz w:val="18"/>
              </w:rPr>
            </w:pPr>
            <w:r>
              <w:rPr>
                <w:sz w:val="18"/>
              </w:rPr>
              <w:t>1</w:t>
            </w:r>
            <w:r>
              <w:rPr>
                <w:spacing w:val="-2"/>
                <w:sz w:val="18"/>
              </w:rPr>
              <w:t> </w:t>
            </w:r>
            <w:r>
              <w:rPr>
                <w:sz w:val="18"/>
              </w:rPr>
              <w:t>January</w:t>
            </w:r>
            <w:r>
              <w:rPr>
                <w:spacing w:val="-2"/>
                <w:sz w:val="18"/>
              </w:rPr>
              <w:t> </w:t>
            </w:r>
            <w:r>
              <w:rPr>
                <w:sz w:val="18"/>
              </w:rPr>
              <w:t>to</w:t>
            </w:r>
            <w:r>
              <w:rPr>
                <w:spacing w:val="-1"/>
                <w:sz w:val="18"/>
              </w:rPr>
              <w:t> </w:t>
            </w:r>
            <w:r>
              <w:rPr>
                <w:sz w:val="18"/>
              </w:rPr>
              <w:t>30</w:t>
            </w:r>
            <w:r>
              <w:rPr>
                <w:spacing w:val="-2"/>
                <w:sz w:val="18"/>
              </w:rPr>
              <w:t> </w:t>
            </w:r>
            <w:r>
              <w:rPr>
                <w:sz w:val="18"/>
              </w:rPr>
              <w:t>June</w:t>
            </w:r>
            <w:r>
              <w:rPr>
                <w:spacing w:val="-1"/>
                <w:sz w:val="18"/>
              </w:rPr>
              <w:t> </w:t>
            </w:r>
            <w:r>
              <w:rPr>
                <w:sz w:val="18"/>
              </w:rPr>
              <w:t>2019</w:t>
            </w:r>
          </w:p>
        </w:tc>
      </w:tr>
      <w:tr>
        <w:trPr>
          <w:trHeight w:val="253" w:hRule="atLeast"/>
        </w:trPr>
        <w:tc>
          <w:tcPr>
            <w:tcW w:w="4532" w:type="dxa"/>
            <w:tcBorders>
              <w:top w:val="single" w:sz="6" w:space="0" w:color="BEBEBE"/>
              <w:bottom w:val="single" w:sz="6" w:space="0" w:color="BEBEBE"/>
              <w:right w:val="single" w:sz="6" w:space="0" w:color="BEBEBE"/>
            </w:tcBorders>
          </w:tcPr>
          <w:p>
            <w:pPr>
              <w:pStyle w:val="TableParagraph"/>
              <w:spacing w:line="219" w:lineRule="exact"/>
              <w:ind w:left="105"/>
              <w:rPr>
                <w:sz w:val="18"/>
              </w:rPr>
            </w:pPr>
            <w:r>
              <w:rPr>
                <w:sz w:val="18"/>
              </w:rPr>
              <w:t>Round</w:t>
            </w:r>
            <w:r>
              <w:rPr>
                <w:spacing w:val="-2"/>
                <w:sz w:val="18"/>
              </w:rPr>
              <w:t> </w:t>
            </w:r>
            <w:r>
              <w:rPr>
                <w:sz w:val="18"/>
              </w:rPr>
              <w:t>4 data</w:t>
            </w:r>
            <w:r>
              <w:rPr>
                <w:spacing w:val="-2"/>
                <w:sz w:val="18"/>
              </w:rPr>
              <w:t> </w:t>
            </w:r>
            <w:r>
              <w:rPr>
                <w:sz w:val="18"/>
              </w:rPr>
              <w:t>collection</w:t>
            </w:r>
          </w:p>
        </w:tc>
        <w:tc>
          <w:tcPr>
            <w:tcW w:w="3077" w:type="dxa"/>
            <w:tcBorders>
              <w:top w:val="single" w:sz="6" w:space="0" w:color="BEBEBE"/>
              <w:left w:val="single" w:sz="6" w:space="0" w:color="BEBEBE"/>
              <w:bottom w:val="single" w:sz="6" w:space="0" w:color="BEBEBE"/>
            </w:tcBorders>
          </w:tcPr>
          <w:p>
            <w:pPr>
              <w:pStyle w:val="TableParagraph"/>
              <w:spacing w:line="219" w:lineRule="exact"/>
              <w:ind w:right="93"/>
              <w:jc w:val="right"/>
              <w:rPr>
                <w:sz w:val="18"/>
              </w:rPr>
            </w:pPr>
            <w:r>
              <w:rPr>
                <w:sz w:val="18"/>
              </w:rPr>
              <w:t>1</w:t>
            </w:r>
            <w:r>
              <w:rPr>
                <w:spacing w:val="-1"/>
                <w:sz w:val="18"/>
              </w:rPr>
              <w:t> </w:t>
            </w:r>
            <w:r>
              <w:rPr>
                <w:sz w:val="18"/>
              </w:rPr>
              <w:t>July</w:t>
            </w:r>
            <w:r>
              <w:rPr>
                <w:spacing w:val="-2"/>
                <w:sz w:val="18"/>
              </w:rPr>
              <w:t> </w:t>
            </w:r>
            <w:r>
              <w:rPr>
                <w:sz w:val="18"/>
              </w:rPr>
              <w:t>2019</w:t>
            </w:r>
            <w:r>
              <w:rPr>
                <w:spacing w:val="1"/>
                <w:sz w:val="18"/>
              </w:rPr>
              <w:t> </w:t>
            </w:r>
            <w:r>
              <w:rPr>
                <w:sz w:val="18"/>
              </w:rPr>
              <w:t>to</w:t>
            </w:r>
            <w:r>
              <w:rPr>
                <w:spacing w:val="-1"/>
                <w:sz w:val="18"/>
              </w:rPr>
              <w:t> </w:t>
            </w:r>
            <w:r>
              <w:rPr>
                <w:sz w:val="18"/>
              </w:rPr>
              <w:t>30</w:t>
            </w:r>
            <w:r>
              <w:rPr>
                <w:spacing w:val="-3"/>
                <w:sz w:val="18"/>
              </w:rPr>
              <w:t> </w:t>
            </w:r>
            <w:r>
              <w:rPr>
                <w:sz w:val="18"/>
              </w:rPr>
              <w:t>June</w:t>
            </w:r>
            <w:r>
              <w:rPr>
                <w:spacing w:val="-3"/>
                <w:sz w:val="18"/>
              </w:rPr>
              <w:t> </w:t>
            </w:r>
            <w:r>
              <w:rPr>
                <w:sz w:val="18"/>
              </w:rPr>
              <w:t>2020</w:t>
            </w:r>
          </w:p>
        </w:tc>
      </w:tr>
      <w:tr>
        <w:trPr>
          <w:trHeight w:val="253" w:hRule="atLeast"/>
        </w:trPr>
        <w:tc>
          <w:tcPr>
            <w:tcW w:w="4532" w:type="dxa"/>
            <w:tcBorders>
              <w:top w:val="single" w:sz="6" w:space="0" w:color="BEBEBE"/>
              <w:right w:val="single" w:sz="6" w:space="0" w:color="BEBEBE"/>
            </w:tcBorders>
          </w:tcPr>
          <w:p>
            <w:pPr>
              <w:pStyle w:val="TableParagraph"/>
              <w:spacing w:line="219" w:lineRule="exact"/>
              <w:ind w:left="105"/>
              <w:rPr>
                <w:sz w:val="18"/>
              </w:rPr>
            </w:pPr>
            <w:r>
              <w:rPr>
                <w:sz w:val="18"/>
              </w:rPr>
              <w:t>Round</w:t>
            </w:r>
            <w:r>
              <w:rPr>
                <w:spacing w:val="-1"/>
                <w:sz w:val="18"/>
              </w:rPr>
              <w:t> </w:t>
            </w:r>
            <w:r>
              <w:rPr>
                <w:sz w:val="18"/>
              </w:rPr>
              <w:t>5</w:t>
            </w:r>
            <w:r>
              <w:rPr>
                <w:spacing w:val="-1"/>
                <w:sz w:val="18"/>
              </w:rPr>
              <w:t> </w:t>
            </w:r>
            <w:r>
              <w:rPr>
                <w:sz w:val="18"/>
              </w:rPr>
              <w:t>data</w:t>
            </w:r>
            <w:r>
              <w:rPr>
                <w:spacing w:val="-2"/>
                <w:sz w:val="18"/>
              </w:rPr>
              <w:t> </w:t>
            </w:r>
            <w:r>
              <w:rPr>
                <w:sz w:val="18"/>
              </w:rPr>
              <w:t>collection</w:t>
            </w:r>
          </w:p>
        </w:tc>
        <w:tc>
          <w:tcPr>
            <w:tcW w:w="3077" w:type="dxa"/>
            <w:tcBorders>
              <w:top w:val="single" w:sz="6" w:space="0" w:color="BEBEBE"/>
              <w:left w:val="single" w:sz="6" w:space="0" w:color="BEBEBE"/>
            </w:tcBorders>
          </w:tcPr>
          <w:p>
            <w:pPr>
              <w:pStyle w:val="TableParagraph"/>
              <w:spacing w:line="219" w:lineRule="exact"/>
              <w:ind w:right="94"/>
              <w:jc w:val="right"/>
              <w:rPr>
                <w:sz w:val="18"/>
              </w:rPr>
            </w:pPr>
            <w:r>
              <w:rPr>
                <w:sz w:val="18"/>
              </w:rPr>
              <w:t>1</w:t>
            </w:r>
            <w:r>
              <w:rPr>
                <w:spacing w:val="-1"/>
                <w:sz w:val="18"/>
              </w:rPr>
              <w:t> </w:t>
            </w:r>
            <w:r>
              <w:rPr>
                <w:sz w:val="18"/>
              </w:rPr>
              <w:t>July</w:t>
            </w:r>
            <w:r>
              <w:rPr>
                <w:spacing w:val="-2"/>
                <w:sz w:val="18"/>
              </w:rPr>
              <w:t> </w:t>
            </w:r>
            <w:r>
              <w:rPr>
                <w:sz w:val="18"/>
              </w:rPr>
              <w:t>2020</w:t>
            </w:r>
            <w:r>
              <w:rPr>
                <w:spacing w:val="-1"/>
                <w:sz w:val="18"/>
              </w:rPr>
              <w:t> </w:t>
            </w:r>
            <w:r>
              <w:rPr>
                <w:sz w:val="18"/>
              </w:rPr>
              <w:t>to</w:t>
            </w:r>
            <w:r>
              <w:rPr>
                <w:spacing w:val="-1"/>
                <w:sz w:val="18"/>
              </w:rPr>
              <w:t> </w:t>
            </w:r>
            <w:r>
              <w:rPr>
                <w:sz w:val="18"/>
              </w:rPr>
              <w:t>30</w:t>
            </w:r>
            <w:r>
              <w:rPr>
                <w:spacing w:val="-3"/>
                <w:sz w:val="18"/>
              </w:rPr>
              <w:t> </w:t>
            </w:r>
            <w:r>
              <w:rPr>
                <w:sz w:val="18"/>
              </w:rPr>
              <w:t>June</w:t>
            </w:r>
            <w:r>
              <w:rPr>
                <w:spacing w:val="-3"/>
                <w:sz w:val="18"/>
              </w:rPr>
              <w:t> </w:t>
            </w:r>
            <w:r>
              <w:rPr>
                <w:sz w:val="18"/>
              </w:rPr>
              <w:t>2021</w:t>
            </w:r>
          </w:p>
        </w:tc>
      </w:tr>
    </w:tbl>
    <w:p>
      <w:pPr>
        <w:pStyle w:val="BodyText"/>
        <w:spacing w:before="5"/>
        <w:rPr>
          <w:b/>
          <w:sz w:val="23"/>
        </w:rPr>
      </w:pPr>
    </w:p>
    <w:p>
      <w:pPr>
        <w:pStyle w:val="BodyText"/>
        <w:spacing w:line="276" w:lineRule="auto"/>
        <w:ind w:left="1440" w:right="1477"/>
      </w:pPr>
      <w:hyperlink w:history="true" w:anchor="_bookmark4">
        <w:r>
          <w:rPr/>
          <w:t>Table 2 </w:t>
        </w:r>
      </w:hyperlink>
      <w:r>
        <w:rPr/>
        <w:t>lists the data collection approaches/ sources that will be used. In the ‘Comparator</w:t>
      </w:r>
      <w:r>
        <w:rPr>
          <w:spacing w:val="1"/>
        </w:rPr>
        <w:t> </w:t>
      </w:r>
      <w:r>
        <w:rPr/>
        <w:t>group’ column, ‘No’ means that the data will only relate to the practices or patients enrolled</w:t>
      </w:r>
      <w:r>
        <w:rPr>
          <w:spacing w:val="-53"/>
        </w:rPr>
        <w:t> </w:t>
      </w:r>
      <w:r>
        <w:rPr/>
        <w:t>in HCH. ‘Yes’ means that it is intended that data will be extracted and analysed for both the</w:t>
      </w:r>
      <w:r>
        <w:rPr>
          <w:spacing w:val="1"/>
        </w:rPr>
        <w:t> </w:t>
      </w:r>
      <w:r>
        <w:rPr/>
        <w:t>practices or patients enrolled in HCH as well as other (matched) practices and patients not</w:t>
      </w:r>
      <w:r>
        <w:rPr>
          <w:spacing w:val="1"/>
        </w:rPr>
        <w:t> </w:t>
      </w:r>
      <w:r>
        <w:rPr/>
        <w:t>participating in HCH. The Table also lists the rounds during which the data collection will</w:t>
      </w:r>
      <w:r>
        <w:rPr>
          <w:spacing w:val="1"/>
        </w:rPr>
        <w:t> </w:t>
      </w:r>
      <w:r>
        <w:rPr/>
        <w:t>occur.</w:t>
      </w:r>
    </w:p>
    <w:p>
      <w:pPr>
        <w:pStyle w:val="BodyText"/>
        <w:spacing w:line="276" w:lineRule="auto" w:before="200"/>
        <w:ind w:left="1440" w:right="1997"/>
      </w:pPr>
      <w:r>
        <w:rPr/>
        <w:t>Primary data collection will be in relation to the practices and enrolees within those</w:t>
      </w:r>
      <w:r>
        <w:rPr>
          <w:spacing w:val="1"/>
        </w:rPr>
        <w:t> </w:t>
      </w:r>
      <w:r>
        <w:rPr/>
        <w:t>practices, except for the case studies, which will be undertaken in a subset of practices</w:t>
      </w:r>
      <w:r>
        <w:rPr>
          <w:spacing w:val="-53"/>
        </w:rPr>
        <w:t> </w:t>
      </w:r>
      <w:r>
        <w:rPr/>
        <w:t>(approximately 20). The secondary data will be for all practices as well as comparator</w:t>
      </w:r>
      <w:r>
        <w:rPr>
          <w:spacing w:val="1"/>
        </w:rPr>
        <w:t> </w:t>
      </w:r>
      <w:r>
        <w:rPr/>
        <w:t>practices</w:t>
      </w:r>
      <w:r>
        <w:rPr>
          <w:spacing w:val="-1"/>
        </w:rPr>
        <w:t> </w:t>
      </w:r>
      <w:r>
        <w:rPr/>
        <w:t>and patients.</w:t>
      </w:r>
    </w:p>
    <w:p>
      <w:pPr>
        <w:spacing w:before="200" w:after="33"/>
        <w:ind w:left="1444" w:right="1441" w:firstLine="0"/>
        <w:jc w:val="center"/>
        <w:rPr>
          <w:b/>
          <w:sz w:val="18"/>
        </w:rPr>
      </w:pPr>
      <w:bookmarkStart w:name="_bookmark4" w:id="5"/>
      <w:bookmarkEnd w:id="5"/>
      <w:r>
        <w:rPr/>
      </w:r>
      <w:r>
        <w:rPr>
          <w:b/>
          <w:sz w:val="18"/>
        </w:rPr>
        <w:t>Table</w:t>
      </w:r>
      <w:r>
        <w:rPr>
          <w:b/>
          <w:spacing w:val="-1"/>
          <w:sz w:val="18"/>
        </w:rPr>
        <w:t> </w:t>
      </w:r>
      <w:r>
        <w:rPr>
          <w:b/>
          <w:sz w:val="18"/>
        </w:rPr>
        <w:t>2</w:t>
      </w:r>
      <w:r>
        <w:rPr>
          <w:b/>
          <w:spacing w:val="-4"/>
          <w:sz w:val="18"/>
        </w:rPr>
        <w:t> </w:t>
      </w:r>
      <w:r>
        <w:rPr>
          <w:b/>
          <w:sz w:val="18"/>
        </w:rPr>
        <w:t>– Evaluation</w:t>
      </w:r>
      <w:r>
        <w:rPr>
          <w:b/>
          <w:spacing w:val="-1"/>
          <w:sz w:val="18"/>
        </w:rPr>
        <w:t> </w:t>
      </w:r>
      <w:r>
        <w:rPr>
          <w:b/>
          <w:sz w:val="18"/>
        </w:rPr>
        <w:t>data</w:t>
      </w:r>
      <w:r>
        <w:rPr>
          <w:b/>
          <w:spacing w:val="-3"/>
          <w:sz w:val="18"/>
        </w:rPr>
        <w:t> </w:t>
      </w:r>
      <w:r>
        <w:rPr>
          <w:b/>
          <w:sz w:val="18"/>
        </w:rPr>
        <w:t>approaches/</w:t>
      </w:r>
      <w:r>
        <w:rPr>
          <w:b/>
          <w:spacing w:val="1"/>
          <w:sz w:val="18"/>
        </w:rPr>
        <w:t> </w:t>
      </w:r>
      <w:r>
        <w:rPr>
          <w:b/>
          <w:sz w:val="18"/>
        </w:rPr>
        <w:t>sources</w:t>
      </w:r>
    </w:p>
    <w:tbl>
      <w:tblPr>
        <w:tblW w:w="0" w:type="auto"/>
        <w:jc w:val="left"/>
        <w:tblInd w:w="145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3320"/>
        <w:gridCol w:w="1395"/>
        <w:gridCol w:w="1283"/>
        <w:gridCol w:w="1369"/>
        <w:gridCol w:w="1655"/>
      </w:tblGrid>
      <w:tr>
        <w:trPr>
          <w:trHeight w:val="662" w:hRule="atLeast"/>
        </w:trPr>
        <w:tc>
          <w:tcPr>
            <w:tcW w:w="3320" w:type="dxa"/>
            <w:shd w:val="clear" w:color="auto" w:fill="003C79"/>
          </w:tcPr>
          <w:p>
            <w:pPr>
              <w:pStyle w:val="TableParagraph"/>
              <w:spacing w:before="11"/>
              <w:rPr>
                <w:b/>
                <w:sz w:val="17"/>
              </w:rPr>
            </w:pPr>
          </w:p>
          <w:p>
            <w:pPr>
              <w:pStyle w:val="TableParagraph"/>
              <w:ind w:left="1111" w:right="1101"/>
              <w:jc w:val="center"/>
              <w:rPr>
                <w:b/>
                <w:sz w:val="18"/>
              </w:rPr>
            </w:pPr>
            <w:r>
              <w:rPr>
                <w:b/>
                <w:color w:val="FFFFFF"/>
                <w:sz w:val="18"/>
              </w:rPr>
              <w:t>Data</w:t>
            </w:r>
            <w:r>
              <w:rPr>
                <w:b/>
                <w:color w:val="FFFFFF"/>
                <w:spacing w:val="-2"/>
                <w:sz w:val="18"/>
              </w:rPr>
              <w:t> </w:t>
            </w:r>
            <w:r>
              <w:rPr>
                <w:b/>
                <w:color w:val="FFFFFF"/>
                <w:sz w:val="18"/>
              </w:rPr>
              <w:t>source</w:t>
            </w:r>
          </w:p>
        </w:tc>
        <w:tc>
          <w:tcPr>
            <w:tcW w:w="1395" w:type="dxa"/>
            <w:shd w:val="clear" w:color="auto" w:fill="003C79"/>
          </w:tcPr>
          <w:p>
            <w:pPr>
              <w:pStyle w:val="TableParagraph"/>
              <w:spacing w:before="109"/>
              <w:ind w:left="501" w:right="231" w:hanging="250"/>
              <w:rPr>
                <w:b/>
                <w:sz w:val="18"/>
              </w:rPr>
            </w:pPr>
            <w:r>
              <w:rPr>
                <w:b/>
                <w:color w:val="FFFFFF"/>
                <w:spacing w:val="-1"/>
                <w:sz w:val="18"/>
              </w:rPr>
              <w:t>Collection</w:t>
            </w:r>
            <w:r>
              <w:rPr>
                <w:b/>
                <w:color w:val="FFFFFF"/>
                <w:spacing w:val="-48"/>
                <w:sz w:val="18"/>
              </w:rPr>
              <w:t> </w:t>
            </w:r>
            <w:r>
              <w:rPr>
                <w:b/>
                <w:color w:val="FFFFFF"/>
                <w:sz w:val="18"/>
              </w:rPr>
              <w:t>type</w:t>
            </w:r>
          </w:p>
        </w:tc>
        <w:tc>
          <w:tcPr>
            <w:tcW w:w="1283" w:type="dxa"/>
            <w:shd w:val="clear" w:color="auto" w:fill="003C79"/>
          </w:tcPr>
          <w:p>
            <w:pPr>
              <w:pStyle w:val="TableParagraph"/>
              <w:spacing w:before="109"/>
              <w:ind w:left="380" w:right="81" w:hanging="274"/>
              <w:rPr>
                <w:b/>
                <w:sz w:val="18"/>
              </w:rPr>
            </w:pPr>
            <w:r>
              <w:rPr>
                <w:b/>
                <w:color w:val="FFFFFF"/>
                <w:sz w:val="18"/>
              </w:rPr>
              <w:t>Comparison</w:t>
            </w:r>
            <w:r>
              <w:rPr>
                <w:b/>
                <w:color w:val="FFFFFF"/>
                <w:spacing w:val="-48"/>
                <w:sz w:val="18"/>
              </w:rPr>
              <w:t> </w:t>
            </w:r>
            <w:r>
              <w:rPr>
                <w:b/>
                <w:color w:val="FFFFFF"/>
                <w:sz w:val="18"/>
              </w:rPr>
              <w:t>group</w:t>
            </w:r>
          </w:p>
        </w:tc>
        <w:tc>
          <w:tcPr>
            <w:tcW w:w="1369" w:type="dxa"/>
            <w:shd w:val="clear" w:color="auto" w:fill="003C79"/>
          </w:tcPr>
          <w:p>
            <w:pPr>
              <w:pStyle w:val="TableParagraph"/>
              <w:spacing w:line="220" w:lineRule="exact"/>
              <w:ind w:left="130" w:right="123"/>
              <w:jc w:val="center"/>
              <w:rPr>
                <w:b/>
                <w:sz w:val="18"/>
              </w:rPr>
            </w:pPr>
            <w:r>
              <w:rPr>
                <w:b/>
                <w:color w:val="FFFFFF"/>
                <w:sz w:val="18"/>
              </w:rPr>
              <w:t>Coverage of</w:t>
            </w:r>
            <w:r>
              <w:rPr>
                <w:b/>
                <w:color w:val="FFFFFF"/>
                <w:spacing w:val="-48"/>
                <w:sz w:val="18"/>
              </w:rPr>
              <w:t> </w:t>
            </w:r>
            <w:r>
              <w:rPr>
                <w:b/>
                <w:color w:val="FFFFFF"/>
                <w:sz w:val="18"/>
              </w:rPr>
              <w:t>pharmacy</w:t>
            </w:r>
            <w:r>
              <w:rPr>
                <w:b/>
                <w:color w:val="FFFFFF"/>
                <w:spacing w:val="1"/>
                <w:sz w:val="18"/>
              </w:rPr>
              <w:t> </w:t>
            </w:r>
            <w:r>
              <w:rPr>
                <w:b/>
                <w:color w:val="FFFFFF"/>
                <w:sz w:val="18"/>
              </w:rPr>
              <w:t>component</w:t>
            </w:r>
          </w:p>
        </w:tc>
        <w:tc>
          <w:tcPr>
            <w:tcW w:w="1655" w:type="dxa"/>
            <w:shd w:val="clear" w:color="auto" w:fill="003C79"/>
          </w:tcPr>
          <w:p>
            <w:pPr>
              <w:pStyle w:val="TableParagraph"/>
              <w:ind w:left="568" w:right="134" w:hanging="413"/>
              <w:rPr>
                <w:b/>
                <w:sz w:val="18"/>
              </w:rPr>
            </w:pPr>
            <w:r>
              <w:rPr>
                <w:b/>
                <w:color w:val="FFFFFF"/>
                <w:sz w:val="18"/>
              </w:rPr>
              <w:t>Data collection</w:t>
            </w:r>
            <w:r>
              <w:rPr>
                <w:b/>
                <w:color w:val="FFFFFF"/>
                <w:spacing w:val="-48"/>
                <w:sz w:val="18"/>
              </w:rPr>
              <w:t> </w:t>
            </w:r>
            <w:r>
              <w:rPr>
                <w:b/>
                <w:color w:val="FFFFFF"/>
                <w:sz w:val="18"/>
              </w:rPr>
              <w:t>round</w:t>
            </w:r>
          </w:p>
        </w:tc>
      </w:tr>
      <w:tr>
        <w:trPr>
          <w:trHeight w:val="220" w:hRule="atLeast"/>
        </w:trPr>
        <w:tc>
          <w:tcPr>
            <w:tcW w:w="3320" w:type="dxa"/>
          </w:tcPr>
          <w:p>
            <w:pPr>
              <w:pStyle w:val="TableParagraph"/>
              <w:spacing w:line="200" w:lineRule="exact"/>
              <w:ind w:left="107"/>
              <w:rPr>
                <w:sz w:val="18"/>
              </w:rPr>
            </w:pPr>
            <w:r>
              <w:rPr>
                <w:sz w:val="18"/>
              </w:rPr>
              <w:t>Patient*</w:t>
            </w:r>
            <w:r>
              <w:rPr>
                <w:spacing w:val="-7"/>
                <w:sz w:val="18"/>
              </w:rPr>
              <w:t> </w:t>
            </w:r>
            <w:r>
              <w:rPr>
                <w:sz w:val="18"/>
              </w:rPr>
              <w:t>surveys</w:t>
            </w:r>
          </w:p>
        </w:tc>
        <w:tc>
          <w:tcPr>
            <w:tcW w:w="1395" w:type="dxa"/>
          </w:tcPr>
          <w:p>
            <w:pPr>
              <w:pStyle w:val="TableParagraph"/>
              <w:spacing w:line="200" w:lineRule="exact"/>
              <w:ind w:left="202" w:right="192"/>
              <w:jc w:val="center"/>
              <w:rPr>
                <w:sz w:val="18"/>
              </w:rPr>
            </w:pPr>
            <w:r>
              <w:rPr>
                <w:sz w:val="18"/>
              </w:rPr>
              <w:t>Primary</w:t>
            </w:r>
          </w:p>
        </w:tc>
        <w:tc>
          <w:tcPr>
            <w:tcW w:w="1283" w:type="dxa"/>
          </w:tcPr>
          <w:p>
            <w:pPr>
              <w:pStyle w:val="TableParagraph"/>
              <w:spacing w:line="200" w:lineRule="exact"/>
              <w:ind w:left="468" w:right="467"/>
              <w:jc w:val="center"/>
              <w:rPr>
                <w:sz w:val="18"/>
              </w:rPr>
            </w:pPr>
            <w:r>
              <w:rPr>
                <w:sz w:val="18"/>
              </w:rPr>
              <w:t>No</w:t>
            </w:r>
          </w:p>
        </w:tc>
        <w:tc>
          <w:tcPr>
            <w:tcW w:w="1369" w:type="dxa"/>
          </w:tcPr>
          <w:p>
            <w:pPr>
              <w:pStyle w:val="TableParagraph"/>
              <w:spacing w:line="200" w:lineRule="exact"/>
              <w:ind w:left="125" w:right="123"/>
              <w:jc w:val="center"/>
              <w:rPr>
                <w:sz w:val="18"/>
              </w:rPr>
            </w:pPr>
            <w:r>
              <w:rPr>
                <w:sz w:val="18"/>
              </w:rPr>
              <w:t>Yes</w:t>
            </w:r>
          </w:p>
        </w:tc>
        <w:tc>
          <w:tcPr>
            <w:tcW w:w="1655" w:type="dxa"/>
          </w:tcPr>
          <w:p>
            <w:pPr>
              <w:pStyle w:val="TableParagraph"/>
              <w:spacing w:line="200" w:lineRule="exact"/>
              <w:ind w:left="112" w:right="109"/>
              <w:jc w:val="center"/>
              <w:rPr>
                <w:sz w:val="18"/>
              </w:rPr>
            </w:pPr>
            <w:r>
              <w:rPr>
                <w:sz w:val="18"/>
              </w:rPr>
              <w:t>Rounds</w:t>
            </w:r>
            <w:r>
              <w:rPr>
                <w:spacing w:val="-1"/>
                <w:sz w:val="18"/>
              </w:rPr>
              <w:t> </w:t>
            </w:r>
            <w:r>
              <w:rPr>
                <w:sz w:val="18"/>
              </w:rPr>
              <w:t>1,</w:t>
            </w:r>
            <w:r>
              <w:rPr>
                <w:spacing w:val="-2"/>
                <w:sz w:val="18"/>
              </w:rPr>
              <w:t> </w:t>
            </w:r>
            <w:r>
              <w:rPr>
                <w:sz w:val="18"/>
              </w:rPr>
              <w:t>4,</w:t>
            </w:r>
            <w:r>
              <w:rPr>
                <w:spacing w:val="-2"/>
                <w:sz w:val="18"/>
              </w:rPr>
              <w:t> </w:t>
            </w:r>
            <w:r>
              <w:rPr>
                <w:sz w:val="18"/>
              </w:rPr>
              <w:t>5</w:t>
            </w:r>
          </w:p>
        </w:tc>
      </w:tr>
      <w:tr>
        <w:trPr>
          <w:trHeight w:val="222" w:hRule="atLeast"/>
        </w:trPr>
        <w:tc>
          <w:tcPr>
            <w:tcW w:w="3320" w:type="dxa"/>
          </w:tcPr>
          <w:p>
            <w:pPr>
              <w:pStyle w:val="TableParagraph"/>
              <w:spacing w:line="202" w:lineRule="exact" w:before="1"/>
              <w:ind w:left="107"/>
              <w:rPr>
                <w:sz w:val="18"/>
              </w:rPr>
            </w:pPr>
            <w:r>
              <w:rPr>
                <w:sz w:val="18"/>
              </w:rPr>
              <w:t>Practice</w:t>
            </w:r>
            <w:r>
              <w:rPr>
                <w:spacing w:val="-5"/>
                <w:sz w:val="18"/>
              </w:rPr>
              <w:t> </w:t>
            </w:r>
            <w:r>
              <w:rPr>
                <w:sz w:val="18"/>
              </w:rPr>
              <w:t>surveys</w:t>
            </w:r>
          </w:p>
        </w:tc>
        <w:tc>
          <w:tcPr>
            <w:tcW w:w="1395" w:type="dxa"/>
          </w:tcPr>
          <w:p>
            <w:pPr>
              <w:pStyle w:val="TableParagraph"/>
              <w:spacing w:line="202" w:lineRule="exact" w:before="1"/>
              <w:ind w:left="202" w:right="192"/>
              <w:jc w:val="center"/>
              <w:rPr>
                <w:sz w:val="18"/>
              </w:rPr>
            </w:pPr>
            <w:r>
              <w:rPr>
                <w:sz w:val="18"/>
              </w:rPr>
              <w:t>Primary</w:t>
            </w:r>
          </w:p>
        </w:tc>
        <w:tc>
          <w:tcPr>
            <w:tcW w:w="1283" w:type="dxa"/>
          </w:tcPr>
          <w:p>
            <w:pPr>
              <w:pStyle w:val="TableParagraph"/>
              <w:spacing w:line="202" w:lineRule="exact" w:before="1"/>
              <w:ind w:left="468" w:right="467"/>
              <w:jc w:val="center"/>
              <w:rPr>
                <w:sz w:val="18"/>
              </w:rPr>
            </w:pPr>
            <w:r>
              <w:rPr>
                <w:sz w:val="18"/>
              </w:rPr>
              <w:t>No</w:t>
            </w:r>
          </w:p>
        </w:tc>
        <w:tc>
          <w:tcPr>
            <w:tcW w:w="1369" w:type="dxa"/>
          </w:tcPr>
          <w:p>
            <w:pPr>
              <w:pStyle w:val="TableParagraph"/>
              <w:spacing w:line="202" w:lineRule="exact" w:before="1"/>
              <w:ind w:left="123" w:right="123"/>
              <w:jc w:val="center"/>
              <w:rPr>
                <w:sz w:val="18"/>
              </w:rPr>
            </w:pPr>
            <w:r>
              <w:rPr>
                <w:sz w:val="18"/>
              </w:rPr>
              <w:t>No</w:t>
            </w:r>
          </w:p>
        </w:tc>
        <w:tc>
          <w:tcPr>
            <w:tcW w:w="1655" w:type="dxa"/>
          </w:tcPr>
          <w:p>
            <w:pPr>
              <w:pStyle w:val="TableParagraph"/>
              <w:spacing w:line="202" w:lineRule="exact" w:before="1"/>
              <w:ind w:left="112" w:right="111"/>
              <w:jc w:val="center"/>
              <w:rPr>
                <w:sz w:val="18"/>
              </w:rPr>
            </w:pPr>
            <w:r>
              <w:rPr>
                <w:sz w:val="18"/>
              </w:rPr>
              <w:t>Rounds</w:t>
            </w:r>
            <w:r>
              <w:rPr>
                <w:spacing w:val="-1"/>
                <w:sz w:val="18"/>
              </w:rPr>
              <w:t> </w:t>
            </w:r>
            <w:r>
              <w:rPr>
                <w:sz w:val="18"/>
              </w:rPr>
              <w:t>1,</w:t>
            </w:r>
            <w:r>
              <w:rPr>
                <w:spacing w:val="-2"/>
                <w:sz w:val="18"/>
              </w:rPr>
              <w:t> </w:t>
            </w:r>
            <w:r>
              <w:rPr>
                <w:sz w:val="18"/>
              </w:rPr>
              <w:t>2,</w:t>
            </w:r>
            <w:r>
              <w:rPr>
                <w:spacing w:val="-1"/>
                <w:sz w:val="18"/>
              </w:rPr>
              <w:t> </w:t>
            </w:r>
            <w:r>
              <w:rPr>
                <w:sz w:val="18"/>
              </w:rPr>
              <w:t>4,</w:t>
            </w:r>
            <w:r>
              <w:rPr>
                <w:spacing w:val="-2"/>
                <w:sz w:val="18"/>
              </w:rPr>
              <w:t> </w:t>
            </w:r>
            <w:r>
              <w:rPr>
                <w:sz w:val="18"/>
              </w:rPr>
              <w:t>5</w:t>
            </w:r>
          </w:p>
        </w:tc>
      </w:tr>
      <w:tr>
        <w:trPr>
          <w:trHeight w:val="220" w:hRule="atLeast"/>
        </w:trPr>
        <w:tc>
          <w:tcPr>
            <w:tcW w:w="3320" w:type="dxa"/>
          </w:tcPr>
          <w:p>
            <w:pPr>
              <w:pStyle w:val="TableParagraph"/>
              <w:spacing w:line="200" w:lineRule="exact"/>
              <w:ind w:left="107"/>
              <w:rPr>
                <w:sz w:val="18"/>
              </w:rPr>
            </w:pPr>
            <w:r>
              <w:rPr>
                <w:sz w:val="18"/>
              </w:rPr>
              <w:t>Practice</w:t>
            </w:r>
            <w:r>
              <w:rPr>
                <w:spacing w:val="-5"/>
                <w:sz w:val="18"/>
              </w:rPr>
              <w:t> </w:t>
            </w:r>
            <w:r>
              <w:rPr>
                <w:sz w:val="18"/>
              </w:rPr>
              <w:t>staff</w:t>
            </w:r>
            <w:r>
              <w:rPr>
                <w:spacing w:val="-4"/>
                <w:sz w:val="18"/>
              </w:rPr>
              <w:t> </w:t>
            </w:r>
            <w:r>
              <w:rPr>
                <w:sz w:val="18"/>
              </w:rPr>
              <w:t>surveys</w:t>
            </w:r>
          </w:p>
        </w:tc>
        <w:tc>
          <w:tcPr>
            <w:tcW w:w="1395" w:type="dxa"/>
          </w:tcPr>
          <w:p>
            <w:pPr>
              <w:pStyle w:val="TableParagraph"/>
              <w:spacing w:line="200" w:lineRule="exact"/>
              <w:ind w:left="202" w:right="192"/>
              <w:jc w:val="center"/>
              <w:rPr>
                <w:sz w:val="18"/>
              </w:rPr>
            </w:pPr>
            <w:r>
              <w:rPr>
                <w:sz w:val="18"/>
              </w:rPr>
              <w:t>Primary</w:t>
            </w:r>
          </w:p>
        </w:tc>
        <w:tc>
          <w:tcPr>
            <w:tcW w:w="1283" w:type="dxa"/>
          </w:tcPr>
          <w:p>
            <w:pPr>
              <w:pStyle w:val="TableParagraph"/>
              <w:spacing w:line="200" w:lineRule="exact"/>
              <w:ind w:left="468" w:right="467"/>
              <w:jc w:val="center"/>
              <w:rPr>
                <w:sz w:val="18"/>
              </w:rPr>
            </w:pPr>
            <w:r>
              <w:rPr>
                <w:sz w:val="18"/>
              </w:rPr>
              <w:t>No</w:t>
            </w:r>
          </w:p>
        </w:tc>
        <w:tc>
          <w:tcPr>
            <w:tcW w:w="1369" w:type="dxa"/>
          </w:tcPr>
          <w:p>
            <w:pPr>
              <w:pStyle w:val="TableParagraph"/>
              <w:spacing w:line="200" w:lineRule="exact"/>
              <w:ind w:left="127" w:right="123"/>
              <w:jc w:val="center"/>
              <w:rPr>
                <w:sz w:val="18"/>
              </w:rPr>
            </w:pPr>
            <w:r>
              <w:rPr>
                <w:sz w:val="18"/>
              </w:rPr>
              <w:t>Yes**</w:t>
            </w:r>
          </w:p>
        </w:tc>
        <w:tc>
          <w:tcPr>
            <w:tcW w:w="1655" w:type="dxa"/>
          </w:tcPr>
          <w:p>
            <w:pPr>
              <w:pStyle w:val="TableParagraph"/>
              <w:spacing w:line="200" w:lineRule="exact"/>
              <w:ind w:left="112" w:right="111"/>
              <w:jc w:val="center"/>
              <w:rPr>
                <w:sz w:val="18"/>
              </w:rPr>
            </w:pPr>
            <w:r>
              <w:rPr>
                <w:sz w:val="18"/>
              </w:rPr>
              <w:t>Rounds</w:t>
            </w:r>
            <w:r>
              <w:rPr>
                <w:spacing w:val="-1"/>
                <w:sz w:val="18"/>
              </w:rPr>
              <w:t> </w:t>
            </w:r>
            <w:r>
              <w:rPr>
                <w:sz w:val="18"/>
              </w:rPr>
              <w:t>1,</w:t>
            </w:r>
            <w:r>
              <w:rPr>
                <w:spacing w:val="-2"/>
                <w:sz w:val="18"/>
              </w:rPr>
              <w:t> </w:t>
            </w:r>
            <w:r>
              <w:rPr>
                <w:sz w:val="18"/>
              </w:rPr>
              <w:t>5</w:t>
            </w:r>
          </w:p>
        </w:tc>
      </w:tr>
      <w:tr>
        <w:trPr>
          <w:trHeight w:val="220" w:hRule="atLeast"/>
        </w:trPr>
        <w:tc>
          <w:tcPr>
            <w:tcW w:w="3320" w:type="dxa"/>
          </w:tcPr>
          <w:p>
            <w:pPr>
              <w:pStyle w:val="TableParagraph"/>
              <w:spacing w:line="200" w:lineRule="exact"/>
              <w:ind w:left="107"/>
              <w:rPr>
                <w:sz w:val="18"/>
              </w:rPr>
            </w:pPr>
            <w:r>
              <w:rPr>
                <w:sz w:val="18"/>
              </w:rPr>
              <w:t>PHN</w:t>
            </w:r>
            <w:r>
              <w:rPr>
                <w:spacing w:val="-5"/>
                <w:sz w:val="18"/>
              </w:rPr>
              <w:t> </w:t>
            </w:r>
            <w:r>
              <w:rPr>
                <w:sz w:val="18"/>
              </w:rPr>
              <w:t>surveys</w:t>
            </w:r>
          </w:p>
        </w:tc>
        <w:tc>
          <w:tcPr>
            <w:tcW w:w="1395" w:type="dxa"/>
          </w:tcPr>
          <w:p>
            <w:pPr>
              <w:pStyle w:val="TableParagraph"/>
              <w:spacing w:line="200" w:lineRule="exact"/>
              <w:ind w:left="202" w:right="192"/>
              <w:jc w:val="center"/>
              <w:rPr>
                <w:sz w:val="18"/>
              </w:rPr>
            </w:pPr>
            <w:r>
              <w:rPr>
                <w:sz w:val="18"/>
              </w:rPr>
              <w:t>Primary</w:t>
            </w:r>
          </w:p>
        </w:tc>
        <w:tc>
          <w:tcPr>
            <w:tcW w:w="1283" w:type="dxa"/>
          </w:tcPr>
          <w:p>
            <w:pPr>
              <w:pStyle w:val="TableParagraph"/>
              <w:spacing w:line="200" w:lineRule="exact"/>
              <w:ind w:left="468" w:right="467"/>
              <w:jc w:val="center"/>
              <w:rPr>
                <w:sz w:val="18"/>
              </w:rPr>
            </w:pPr>
            <w:r>
              <w:rPr>
                <w:sz w:val="18"/>
              </w:rPr>
              <w:t>No</w:t>
            </w:r>
          </w:p>
        </w:tc>
        <w:tc>
          <w:tcPr>
            <w:tcW w:w="1369" w:type="dxa"/>
          </w:tcPr>
          <w:p>
            <w:pPr>
              <w:pStyle w:val="TableParagraph"/>
              <w:spacing w:line="200" w:lineRule="exact"/>
              <w:ind w:left="123" w:right="123"/>
              <w:jc w:val="center"/>
              <w:rPr>
                <w:sz w:val="18"/>
              </w:rPr>
            </w:pPr>
            <w:r>
              <w:rPr>
                <w:sz w:val="18"/>
              </w:rPr>
              <w:t>No</w:t>
            </w:r>
          </w:p>
        </w:tc>
        <w:tc>
          <w:tcPr>
            <w:tcW w:w="1655" w:type="dxa"/>
          </w:tcPr>
          <w:p>
            <w:pPr>
              <w:pStyle w:val="TableParagraph"/>
              <w:spacing w:line="200" w:lineRule="exact"/>
              <w:ind w:left="112" w:right="108"/>
              <w:jc w:val="center"/>
              <w:rPr>
                <w:sz w:val="18"/>
              </w:rPr>
            </w:pPr>
            <w:r>
              <w:rPr>
                <w:sz w:val="18"/>
              </w:rPr>
              <w:t>Rounds</w:t>
            </w:r>
            <w:r>
              <w:rPr>
                <w:spacing w:val="-1"/>
                <w:sz w:val="18"/>
              </w:rPr>
              <w:t> </w:t>
            </w:r>
            <w:r>
              <w:rPr>
                <w:sz w:val="18"/>
              </w:rPr>
              <w:t>1,</w:t>
            </w:r>
            <w:r>
              <w:rPr>
                <w:spacing w:val="-1"/>
                <w:sz w:val="18"/>
              </w:rPr>
              <w:t> </w:t>
            </w:r>
            <w:r>
              <w:rPr>
                <w:sz w:val="18"/>
              </w:rPr>
              <w:t>4,</w:t>
            </w:r>
            <w:r>
              <w:rPr>
                <w:spacing w:val="-2"/>
                <w:sz w:val="18"/>
              </w:rPr>
              <w:t> </w:t>
            </w:r>
            <w:r>
              <w:rPr>
                <w:sz w:val="18"/>
              </w:rPr>
              <w:t>5</w:t>
            </w:r>
          </w:p>
        </w:tc>
      </w:tr>
      <w:tr>
        <w:trPr>
          <w:trHeight w:val="1987" w:hRule="atLeast"/>
        </w:trPr>
        <w:tc>
          <w:tcPr>
            <w:tcW w:w="3320" w:type="dxa"/>
          </w:tcPr>
          <w:p>
            <w:pPr>
              <w:pStyle w:val="TableParagraph"/>
              <w:spacing w:line="219" w:lineRule="exact"/>
              <w:ind w:left="107"/>
              <w:rPr>
                <w:sz w:val="18"/>
              </w:rPr>
            </w:pPr>
            <w:r>
              <w:rPr>
                <w:sz w:val="18"/>
              </w:rPr>
              <w:t>Case</w:t>
            </w:r>
            <w:r>
              <w:rPr>
                <w:spacing w:val="-1"/>
                <w:sz w:val="18"/>
              </w:rPr>
              <w:t> </w:t>
            </w:r>
            <w:r>
              <w:rPr>
                <w:sz w:val="18"/>
              </w:rPr>
              <w:t>studies</w:t>
            </w:r>
          </w:p>
          <w:p>
            <w:pPr>
              <w:pStyle w:val="TableParagraph"/>
              <w:numPr>
                <w:ilvl w:val="0"/>
                <w:numId w:val="3"/>
              </w:numPr>
              <w:tabs>
                <w:tab w:pos="271" w:val="left" w:leader="none"/>
              </w:tabs>
              <w:spacing w:line="240" w:lineRule="auto" w:before="0" w:after="0"/>
              <w:ind w:left="271" w:right="0" w:hanging="142"/>
              <w:jc w:val="left"/>
              <w:rPr>
                <w:sz w:val="18"/>
              </w:rPr>
            </w:pPr>
            <w:r>
              <w:rPr>
                <w:sz w:val="18"/>
              </w:rPr>
              <w:t>Patient*</w:t>
            </w:r>
            <w:r>
              <w:rPr>
                <w:spacing w:val="-7"/>
                <w:sz w:val="18"/>
              </w:rPr>
              <w:t> </w:t>
            </w:r>
            <w:r>
              <w:rPr>
                <w:sz w:val="18"/>
              </w:rPr>
              <w:t>interviews/</w:t>
            </w:r>
            <w:r>
              <w:rPr>
                <w:spacing w:val="-4"/>
                <w:sz w:val="18"/>
              </w:rPr>
              <w:t> </w:t>
            </w:r>
            <w:r>
              <w:rPr>
                <w:sz w:val="18"/>
              </w:rPr>
              <w:t>focus</w:t>
            </w:r>
            <w:r>
              <w:rPr>
                <w:spacing w:val="-4"/>
                <w:sz w:val="18"/>
              </w:rPr>
              <w:t> </w:t>
            </w:r>
            <w:r>
              <w:rPr>
                <w:sz w:val="18"/>
              </w:rPr>
              <w:t>groups</w:t>
            </w:r>
          </w:p>
          <w:p>
            <w:pPr>
              <w:pStyle w:val="TableParagraph"/>
              <w:numPr>
                <w:ilvl w:val="0"/>
                <w:numId w:val="3"/>
              </w:numPr>
              <w:tabs>
                <w:tab w:pos="271" w:val="left" w:leader="none"/>
              </w:tabs>
              <w:spacing w:line="240" w:lineRule="auto" w:before="0" w:after="0"/>
              <w:ind w:left="271" w:right="0" w:hanging="142"/>
              <w:jc w:val="left"/>
              <w:rPr>
                <w:sz w:val="18"/>
              </w:rPr>
            </w:pPr>
            <w:r>
              <w:rPr>
                <w:sz w:val="18"/>
              </w:rPr>
              <w:t>Practice</w:t>
            </w:r>
            <w:r>
              <w:rPr>
                <w:spacing w:val="-6"/>
                <w:sz w:val="18"/>
              </w:rPr>
              <w:t> </w:t>
            </w:r>
            <w:r>
              <w:rPr>
                <w:sz w:val="18"/>
              </w:rPr>
              <w:t>interviews</w:t>
            </w:r>
          </w:p>
          <w:p>
            <w:pPr>
              <w:pStyle w:val="TableParagraph"/>
              <w:numPr>
                <w:ilvl w:val="0"/>
                <w:numId w:val="3"/>
              </w:numPr>
              <w:tabs>
                <w:tab w:pos="271" w:val="left" w:leader="none"/>
              </w:tabs>
              <w:spacing w:line="240" w:lineRule="auto" w:before="0" w:after="0"/>
              <w:ind w:left="270" w:right="224" w:hanging="142"/>
              <w:jc w:val="left"/>
              <w:rPr>
                <w:sz w:val="18"/>
              </w:rPr>
            </w:pPr>
            <w:r>
              <w:rPr>
                <w:sz w:val="18"/>
              </w:rPr>
              <w:t>Related</w:t>
            </w:r>
            <w:r>
              <w:rPr>
                <w:spacing w:val="-5"/>
                <w:sz w:val="18"/>
              </w:rPr>
              <w:t> </w:t>
            </w:r>
            <w:r>
              <w:rPr>
                <w:sz w:val="18"/>
              </w:rPr>
              <w:t>provider</w:t>
            </w:r>
            <w:r>
              <w:rPr>
                <w:spacing w:val="-5"/>
                <w:sz w:val="18"/>
              </w:rPr>
              <w:t> </w:t>
            </w:r>
            <w:r>
              <w:rPr>
                <w:sz w:val="18"/>
              </w:rPr>
              <w:t>interviews</w:t>
            </w:r>
            <w:r>
              <w:rPr>
                <w:spacing w:val="-6"/>
                <w:sz w:val="18"/>
              </w:rPr>
              <w:t> </w:t>
            </w:r>
            <w:r>
              <w:rPr>
                <w:sz w:val="18"/>
              </w:rPr>
              <w:t>(e.g.</w:t>
            </w:r>
            <w:r>
              <w:rPr>
                <w:spacing w:val="-47"/>
                <w:sz w:val="18"/>
              </w:rPr>
              <w:t> </w:t>
            </w:r>
            <w:r>
              <w:rPr>
                <w:sz w:val="18"/>
              </w:rPr>
              <w:t>pharmacists,</w:t>
            </w:r>
            <w:r>
              <w:rPr>
                <w:spacing w:val="-5"/>
                <w:sz w:val="18"/>
              </w:rPr>
              <w:t> </w:t>
            </w:r>
            <w:r>
              <w:rPr>
                <w:sz w:val="18"/>
              </w:rPr>
              <w:t>allied</w:t>
            </w:r>
            <w:r>
              <w:rPr>
                <w:spacing w:val="-2"/>
                <w:sz w:val="18"/>
              </w:rPr>
              <w:t> </w:t>
            </w:r>
            <w:r>
              <w:rPr>
                <w:sz w:val="18"/>
              </w:rPr>
              <w:t>health)</w:t>
            </w:r>
          </w:p>
          <w:p>
            <w:pPr>
              <w:pStyle w:val="TableParagraph"/>
              <w:numPr>
                <w:ilvl w:val="0"/>
                <w:numId w:val="3"/>
              </w:numPr>
              <w:tabs>
                <w:tab w:pos="271" w:val="left" w:leader="none"/>
              </w:tabs>
              <w:spacing w:line="240" w:lineRule="auto" w:before="0" w:after="0"/>
              <w:ind w:left="271" w:right="0" w:hanging="142"/>
              <w:jc w:val="left"/>
              <w:rPr>
                <w:sz w:val="18"/>
              </w:rPr>
            </w:pPr>
            <w:r>
              <w:rPr>
                <w:sz w:val="18"/>
              </w:rPr>
              <w:t>PHN</w:t>
            </w:r>
            <w:r>
              <w:rPr>
                <w:spacing w:val="-4"/>
                <w:sz w:val="18"/>
              </w:rPr>
              <w:t> </w:t>
            </w:r>
            <w:r>
              <w:rPr>
                <w:sz w:val="18"/>
              </w:rPr>
              <w:t>interviews</w:t>
            </w:r>
          </w:p>
          <w:p>
            <w:pPr>
              <w:pStyle w:val="TableParagraph"/>
              <w:numPr>
                <w:ilvl w:val="0"/>
                <w:numId w:val="3"/>
              </w:numPr>
              <w:tabs>
                <w:tab w:pos="274" w:val="left" w:leader="none"/>
              </w:tabs>
              <w:spacing w:line="220" w:lineRule="exact" w:before="0" w:after="0"/>
              <w:ind w:left="273" w:right="291" w:hanging="142"/>
              <w:jc w:val="both"/>
              <w:rPr>
                <w:sz w:val="18"/>
              </w:rPr>
            </w:pPr>
            <w:r>
              <w:rPr>
                <w:sz w:val="18"/>
              </w:rPr>
              <w:t>Local Hospital Networks (LHNs)/</w:t>
            </w:r>
            <w:r>
              <w:rPr>
                <w:spacing w:val="-47"/>
                <w:sz w:val="18"/>
              </w:rPr>
              <w:t> </w:t>
            </w:r>
            <w:r>
              <w:rPr>
                <w:sz w:val="18"/>
              </w:rPr>
              <w:t>state &amp; territory health authority</w:t>
            </w:r>
            <w:r>
              <w:rPr>
                <w:spacing w:val="-48"/>
                <w:sz w:val="18"/>
              </w:rPr>
              <w:t> </w:t>
            </w:r>
            <w:r>
              <w:rPr>
                <w:sz w:val="18"/>
              </w:rPr>
              <w:t>interviews</w:t>
            </w:r>
          </w:p>
        </w:tc>
        <w:tc>
          <w:tcPr>
            <w:tcW w:w="1395" w:type="dxa"/>
          </w:tcPr>
          <w:p>
            <w:pPr>
              <w:pStyle w:val="TableParagraph"/>
              <w:rPr>
                <w:b/>
                <w:sz w:val="22"/>
              </w:rPr>
            </w:pPr>
          </w:p>
          <w:p>
            <w:pPr>
              <w:pStyle w:val="TableParagraph"/>
              <w:rPr>
                <w:b/>
                <w:sz w:val="22"/>
              </w:rPr>
            </w:pPr>
          </w:p>
          <w:p>
            <w:pPr>
              <w:pStyle w:val="TableParagraph"/>
              <w:spacing w:before="11"/>
              <w:rPr>
                <w:b/>
                <w:sz w:val="27"/>
              </w:rPr>
            </w:pPr>
          </w:p>
          <w:p>
            <w:pPr>
              <w:pStyle w:val="TableParagraph"/>
              <w:ind w:left="202" w:right="192"/>
              <w:jc w:val="center"/>
              <w:rPr>
                <w:sz w:val="18"/>
              </w:rPr>
            </w:pPr>
            <w:r>
              <w:rPr>
                <w:sz w:val="18"/>
              </w:rPr>
              <w:t>Primary</w:t>
            </w:r>
          </w:p>
        </w:tc>
        <w:tc>
          <w:tcPr>
            <w:tcW w:w="1283" w:type="dxa"/>
          </w:tcPr>
          <w:p>
            <w:pPr>
              <w:pStyle w:val="TableParagraph"/>
              <w:rPr>
                <w:b/>
                <w:sz w:val="22"/>
              </w:rPr>
            </w:pPr>
          </w:p>
          <w:p>
            <w:pPr>
              <w:pStyle w:val="TableParagraph"/>
              <w:rPr>
                <w:b/>
                <w:sz w:val="22"/>
              </w:rPr>
            </w:pPr>
          </w:p>
          <w:p>
            <w:pPr>
              <w:pStyle w:val="TableParagraph"/>
              <w:spacing w:before="11"/>
              <w:rPr>
                <w:b/>
                <w:sz w:val="27"/>
              </w:rPr>
            </w:pPr>
          </w:p>
          <w:p>
            <w:pPr>
              <w:pStyle w:val="TableParagraph"/>
              <w:ind w:left="468" w:right="467"/>
              <w:jc w:val="center"/>
              <w:rPr>
                <w:sz w:val="18"/>
              </w:rPr>
            </w:pPr>
            <w:r>
              <w:rPr>
                <w:sz w:val="18"/>
              </w:rPr>
              <w:t>No</w:t>
            </w:r>
          </w:p>
        </w:tc>
        <w:tc>
          <w:tcPr>
            <w:tcW w:w="1369" w:type="dxa"/>
          </w:tcPr>
          <w:p>
            <w:pPr>
              <w:pStyle w:val="TableParagraph"/>
              <w:rPr>
                <w:b/>
                <w:sz w:val="22"/>
              </w:rPr>
            </w:pPr>
          </w:p>
          <w:p>
            <w:pPr>
              <w:pStyle w:val="TableParagraph"/>
              <w:rPr>
                <w:b/>
                <w:sz w:val="22"/>
              </w:rPr>
            </w:pPr>
          </w:p>
          <w:p>
            <w:pPr>
              <w:pStyle w:val="TableParagraph"/>
              <w:spacing w:before="11"/>
              <w:rPr>
                <w:b/>
                <w:sz w:val="27"/>
              </w:rPr>
            </w:pPr>
          </w:p>
          <w:p>
            <w:pPr>
              <w:pStyle w:val="TableParagraph"/>
              <w:ind w:left="125" w:right="123"/>
              <w:jc w:val="center"/>
              <w:rPr>
                <w:sz w:val="18"/>
              </w:rPr>
            </w:pPr>
            <w:r>
              <w:rPr>
                <w:sz w:val="18"/>
              </w:rPr>
              <w:t>Yes</w:t>
            </w:r>
          </w:p>
        </w:tc>
        <w:tc>
          <w:tcPr>
            <w:tcW w:w="1655" w:type="dxa"/>
          </w:tcPr>
          <w:p>
            <w:pPr>
              <w:pStyle w:val="TableParagraph"/>
              <w:rPr>
                <w:b/>
                <w:sz w:val="22"/>
              </w:rPr>
            </w:pPr>
          </w:p>
          <w:p>
            <w:pPr>
              <w:pStyle w:val="TableParagraph"/>
              <w:rPr>
                <w:b/>
                <w:sz w:val="22"/>
              </w:rPr>
            </w:pPr>
          </w:p>
          <w:p>
            <w:pPr>
              <w:pStyle w:val="TableParagraph"/>
              <w:spacing w:before="11"/>
              <w:rPr>
                <w:b/>
                <w:sz w:val="27"/>
              </w:rPr>
            </w:pPr>
          </w:p>
          <w:p>
            <w:pPr>
              <w:pStyle w:val="TableParagraph"/>
              <w:ind w:left="112" w:right="109"/>
              <w:jc w:val="center"/>
              <w:rPr>
                <w:sz w:val="18"/>
              </w:rPr>
            </w:pPr>
            <w:r>
              <w:rPr>
                <w:sz w:val="18"/>
              </w:rPr>
              <w:t>Rounds</w:t>
            </w:r>
            <w:r>
              <w:rPr>
                <w:spacing w:val="-1"/>
                <w:sz w:val="18"/>
              </w:rPr>
              <w:t> </w:t>
            </w:r>
            <w:r>
              <w:rPr>
                <w:sz w:val="18"/>
              </w:rPr>
              <w:t>2,</w:t>
            </w:r>
            <w:r>
              <w:rPr>
                <w:spacing w:val="-2"/>
                <w:sz w:val="18"/>
              </w:rPr>
              <w:t> </w:t>
            </w:r>
            <w:r>
              <w:rPr>
                <w:sz w:val="18"/>
              </w:rPr>
              <w:t>4,</w:t>
            </w:r>
            <w:r>
              <w:rPr>
                <w:spacing w:val="-2"/>
                <w:sz w:val="18"/>
              </w:rPr>
              <w:t> </w:t>
            </w:r>
            <w:r>
              <w:rPr>
                <w:sz w:val="18"/>
              </w:rPr>
              <w:t>5</w:t>
            </w:r>
          </w:p>
        </w:tc>
      </w:tr>
      <w:tr>
        <w:trPr>
          <w:trHeight w:val="441" w:hRule="atLeast"/>
        </w:trPr>
        <w:tc>
          <w:tcPr>
            <w:tcW w:w="3320" w:type="dxa"/>
          </w:tcPr>
          <w:p>
            <w:pPr>
              <w:pStyle w:val="TableParagraph"/>
              <w:spacing w:line="219" w:lineRule="exact"/>
              <w:ind w:left="107"/>
              <w:rPr>
                <w:sz w:val="18"/>
              </w:rPr>
            </w:pPr>
            <w:r>
              <w:rPr>
                <w:sz w:val="18"/>
              </w:rPr>
              <w:t>HCH</w:t>
            </w:r>
            <w:r>
              <w:rPr>
                <w:spacing w:val="-2"/>
                <w:sz w:val="18"/>
              </w:rPr>
              <w:t> </w:t>
            </w:r>
            <w:r>
              <w:rPr>
                <w:sz w:val="18"/>
              </w:rPr>
              <w:t>program</w:t>
            </w:r>
            <w:r>
              <w:rPr>
                <w:spacing w:val="-6"/>
                <w:sz w:val="18"/>
              </w:rPr>
              <w:t> </w:t>
            </w:r>
            <w:r>
              <w:rPr>
                <w:sz w:val="18"/>
              </w:rPr>
              <w:t>data***</w:t>
            </w:r>
          </w:p>
        </w:tc>
        <w:tc>
          <w:tcPr>
            <w:tcW w:w="1395" w:type="dxa"/>
          </w:tcPr>
          <w:p>
            <w:pPr>
              <w:pStyle w:val="TableParagraph"/>
              <w:spacing w:line="219" w:lineRule="exact"/>
              <w:ind w:left="202" w:right="194"/>
              <w:jc w:val="center"/>
              <w:rPr>
                <w:sz w:val="18"/>
              </w:rPr>
            </w:pPr>
            <w:r>
              <w:rPr>
                <w:sz w:val="18"/>
              </w:rPr>
              <w:t>Secondary</w:t>
            </w:r>
          </w:p>
        </w:tc>
        <w:tc>
          <w:tcPr>
            <w:tcW w:w="1283" w:type="dxa"/>
          </w:tcPr>
          <w:p>
            <w:pPr>
              <w:pStyle w:val="TableParagraph"/>
              <w:spacing w:line="219" w:lineRule="exact"/>
              <w:ind w:left="468" w:right="467"/>
              <w:jc w:val="center"/>
              <w:rPr>
                <w:sz w:val="18"/>
              </w:rPr>
            </w:pPr>
            <w:r>
              <w:rPr>
                <w:sz w:val="18"/>
              </w:rPr>
              <w:t>No</w:t>
            </w:r>
          </w:p>
        </w:tc>
        <w:tc>
          <w:tcPr>
            <w:tcW w:w="1369" w:type="dxa"/>
          </w:tcPr>
          <w:p>
            <w:pPr>
              <w:pStyle w:val="TableParagraph"/>
              <w:spacing w:line="219" w:lineRule="exact"/>
              <w:ind w:left="125" w:right="123"/>
              <w:jc w:val="center"/>
              <w:rPr>
                <w:sz w:val="18"/>
              </w:rPr>
            </w:pPr>
            <w:r>
              <w:rPr>
                <w:sz w:val="18"/>
              </w:rPr>
              <w:t>Yes</w:t>
            </w:r>
          </w:p>
        </w:tc>
        <w:tc>
          <w:tcPr>
            <w:tcW w:w="1655" w:type="dxa"/>
          </w:tcPr>
          <w:p>
            <w:pPr>
              <w:pStyle w:val="TableParagraph"/>
              <w:spacing w:line="220" w:lineRule="exact"/>
              <w:ind w:left="623" w:right="279" w:hanging="324"/>
              <w:rPr>
                <w:sz w:val="18"/>
              </w:rPr>
            </w:pPr>
            <w:r>
              <w:rPr>
                <w:sz w:val="18"/>
              </w:rPr>
              <w:t>Jul 2017-Jun</w:t>
            </w:r>
            <w:r>
              <w:rPr>
                <w:spacing w:val="-47"/>
                <w:sz w:val="18"/>
              </w:rPr>
              <w:t> </w:t>
            </w:r>
            <w:r>
              <w:rPr>
                <w:sz w:val="18"/>
              </w:rPr>
              <w:t>2021</w:t>
            </w:r>
          </w:p>
        </w:tc>
      </w:tr>
    </w:tbl>
    <w:p>
      <w:pPr>
        <w:spacing w:after="0" w:line="220" w:lineRule="exact"/>
        <w:rPr>
          <w:sz w:val="18"/>
        </w:rPr>
        <w:sectPr>
          <w:pgSz w:w="11910" w:h="16840"/>
          <w:pgMar w:header="0" w:footer="675" w:top="1340" w:bottom="1129" w:left="0" w:right="0"/>
        </w:sectPr>
      </w:pPr>
    </w:p>
    <w:tbl>
      <w:tblPr>
        <w:tblW w:w="0" w:type="auto"/>
        <w:jc w:val="left"/>
        <w:tblInd w:w="145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3320"/>
        <w:gridCol w:w="1395"/>
        <w:gridCol w:w="1283"/>
        <w:gridCol w:w="1369"/>
        <w:gridCol w:w="1655"/>
      </w:tblGrid>
      <w:tr>
        <w:trPr>
          <w:trHeight w:val="662" w:hRule="atLeast"/>
        </w:trPr>
        <w:tc>
          <w:tcPr>
            <w:tcW w:w="3320" w:type="dxa"/>
            <w:shd w:val="clear" w:color="auto" w:fill="003C79"/>
          </w:tcPr>
          <w:p>
            <w:pPr>
              <w:pStyle w:val="TableParagraph"/>
              <w:spacing w:before="11"/>
              <w:rPr>
                <w:b/>
                <w:sz w:val="17"/>
              </w:rPr>
            </w:pPr>
          </w:p>
          <w:p>
            <w:pPr>
              <w:pStyle w:val="TableParagraph"/>
              <w:ind w:left="1111" w:right="1101"/>
              <w:jc w:val="center"/>
              <w:rPr>
                <w:b/>
                <w:sz w:val="18"/>
              </w:rPr>
            </w:pPr>
            <w:r>
              <w:rPr>
                <w:b/>
                <w:color w:val="FFFFFF"/>
                <w:sz w:val="18"/>
              </w:rPr>
              <w:t>Data</w:t>
            </w:r>
            <w:r>
              <w:rPr>
                <w:b/>
                <w:color w:val="FFFFFF"/>
                <w:spacing w:val="-2"/>
                <w:sz w:val="18"/>
              </w:rPr>
              <w:t> </w:t>
            </w:r>
            <w:r>
              <w:rPr>
                <w:b/>
                <w:color w:val="FFFFFF"/>
                <w:sz w:val="18"/>
              </w:rPr>
              <w:t>source</w:t>
            </w:r>
          </w:p>
        </w:tc>
        <w:tc>
          <w:tcPr>
            <w:tcW w:w="1395" w:type="dxa"/>
            <w:shd w:val="clear" w:color="auto" w:fill="003C79"/>
          </w:tcPr>
          <w:p>
            <w:pPr>
              <w:pStyle w:val="TableParagraph"/>
              <w:spacing w:before="109"/>
              <w:ind w:left="501" w:right="231" w:hanging="250"/>
              <w:rPr>
                <w:b/>
                <w:sz w:val="18"/>
              </w:rPr>
            </w:pPr>
            <w:r>
              <w:rPr>
                <w:b/>
                <w:color w:val="FFFFFF"/>
                <w:spacing w:val="-1"/>
                <w:sz w:val="18"/>
              </w:rPr>
              <w:t>Collection</w:t>
            </w:r>
            <w:r>
              <w:rPr>
                <w:b/>
                <w:color w:val="FFFFFF"/>
                <w:spacing w:val="-48"/>
                <w:sz w:val="18"/>
              </w:rPr>
              <w:t> </w:t>
            </w:r>
            <w:r>
              <w:rPr>
                <w:b/>
                <w:color w:val="FFFFFF"/>
                <w:sz w:val="18"/>
              </w:rPr>
              <w:t>type</w:t>
            </w:r>
          </w:p>
        </w:tc>
        <w:tc>
          <w:tcPr>
            <w:tcW w:w="1283" w:type="dxa"/>
            <w:shd w:val="clear" w:color="auto" w:fill="003C79"/>
          </w:tcPr>
          <w:p>
            <w:pPr>
              <w:pStyle w:val="TableParagraph"/>
              <w:spacing w:before="109"/>
              <w:ind w:left="380" w:right="81" w:hanging="274"/>
              <w:rPr>
                <w:b/>
                <w:sz w:val="18"/>
              </w:rPr>
            </w:pPr>
            <w:r>
              <w:rPr>
                <w:b/>
                <w:color w:val="FFFFFF"/>
                <w:sz w:val="18"/>
              </w:rPr>
              <w:t>Comparison</w:t>
            </w:r>
            <w:r>
              <w:rPr>
                <w:b/>
                <w:color w:val="FFFFFF"/>
                <w:spacing w:val="-48"/>
                <w:sz w:val="18"/>
              </w:rPr>
              <w:t> </w:t>
            </w:r>
            <w:r>
              <w:rPr>
                <w:b/>
                <w:color w:val="FFFFFF"/>
                <w:sz w:val="18"/>
              </w:rPr>
              <w:t>group</w:t>
            </w:r>
          </w:p>
        </w:tc>
        <w:tc>
          <w:tcPr>
            <w:tcW w:w="1369" w:type="dxa"/>
            <w:shd w:val="clear" w:color="auto" w:fill="003C79"/>
          </w:tcPr>
          <w:p>
            <w:pPr>
              <w:pStyle w:val="TableParagraph"/>
              <w:spacing w:line="219" w:lineRule="exact"/>
              <w:ind w:left="223" w:hanging="92"/>
              <w:rPr>
                <w:b/>
                <w:sz w:val="18"/>
              </w:rPr>
            </w:pPr>
            <w:r>
              <w:rPr>
                <w:b/>
                <w:color w:val="FFFFFF"/>
                <w:sz w:val="18"/>
              </w:rPr>
              <w:t>Coverage</w:t>
            </w:r>
            <w:r>
              <w:rPr>
                <w:b/>
                <w:color w:val="FFFFFF"/>
                <w:spacing w:val="-7"/>
                <w:sz w:val="18"/>
              </w:rPr>
              <w:t> </w:t>
            </w:r>
            <w:r>
              <w:rPr>
                <w:b/>
                <w:color w:val="FFFFFF"/>
                <w:sz w:val="18"/>
              </w:rPr>
              <w:t>of</w:t>
            </w:r>
          </w:p>
          <w:p>
            <w:pPr>
              <w:pStyle w:val="TableParagraph"/>
              <w:spacing w:line="220" w:lineRule="atLeast"/>
              <w:ind w:left="170" w:right="150" w:firstLine="52"/>
              <w:rPr>
                <w:b/>
                <w:sz w:val="18"/>
              </w:rPr>
            </w:pPr>
            <w:r>
              <w:rPr>
                <w:b/>
                <w:color w:val="FFFFFF"/>
                <w:sz w:val="18"/>
              </w:rPr>
              <w:t>pharmacy</w:t>
            </w:r>
            <w:r>
              <w:rPr>
                <w:b/>
                <w:color w:val="FFFFFF"/>
                <w:spacing w:val="1"/>
                <w:sz w:val="18"/>
              </w:rPr>
              <w:t> </w:t>
            </w:r>
            <w:r>
              <w:rPr>
                <w:b/>
                <w:color w:val="FFFFFF"/>
                <w:sz w:val="18"/>
              </w:rPr>
              <w:t>component</w:t>
            </w:r>
          </w:p>
        </w:tc>
        <w:tc>
          <w:tcPr>
            <w:tcW w:w="1655" w:type="dxa"/>
            <w:shd w:val="clear" w:color="auto" w:fill="003C79"/>
          </w:tcPr>
          <w:p>
            <w:pPr>
              <w:pStyle w:val="TableParagraph"/>
              <w:ind w:left="568" w:right="134" w:hanging="413"/>
              <w:rPr>
                <w:b/>
                <w:sz w:val="18"/>
              </w:rPr>
            </w:pPr>
            <w:r>
              <w:rPr>
                <w:b/>
                <w:color w:val="FFFFFF"/>
                <w:sz w:val="18"/>
              </w:rPr>
              <w:t>Data collection</w:t>
            </w:r>
            <w:r>
              <w:rPr>
                <w:b/>
                <w:color w:val="FFFFFF"/>
                <w:spacing w:val="-48"/>
                <w:sz w:val="18"/>
              </w:rPr>
              <w:t> </w:t>
            </w:r>
            <w:r>
              <w:rPr>
                <w:b/>
                <w:color w:val="FFFFFF"/>
                <w:sz w:val="18"/>
              </w:rPr>
              <w:t>round</w:t>
            </w:r>
          </w:p>
        </w:tc>
      </w:tr>
      <w:tr>
        <w:trPr>
          <w:trHeight w:val="441" w:hRule="atLeast"/>
        </w:trPr>
        <w:tc>
          <w:tcPr>
            <w:tcW w:w="3320" w:type="dxa"/>
          </w:tcPr>
          <w:p>
            <w:pPr>
              <w:pStyle w:val="TableParagraph"/>
              <w:spacing w:line="219" w:lineRule="exact"/>
              <w:ind w:left="107"/>
              <w:rPr>
                <w:sz w:val="18"/>
              </w:rPr>
            </w:pPr>
            <w:r>
              <w:rPr>
                <w:sz w:val="18"/>
              </w:rPr>
              <w:t>Risk</w:t>
            </w:r>
            <w:r>
              <w:rPr>
                <w:spacing w:val="-5"/>
                <w:sz w:val="18"/>
              </w:rPr>
              <w:t> </w:t>
            </w:r>
            <w:r>
              <w:rPr>
                <w:sz w:val="18"/>
              </w:rPr>
              <w:t>stratification</w:t>
            </w:r>
            <w:r>
              <w:rPr>
                <w:spacing w:val="-5"/>
                <w:sz w:val="18"/>
              </w:rPr>
              <w:t> </w:t>
            </w:r>
            <w:r>
              <w:rPr>
                <w:sz w:val="18"/>
              </w:rPr>
              <w:t>data</w:t>
            </w:r>
          </w:p>
        </w:tc>
        <w:tc>
          <w:tcPr>
            <w:tcW w:w="1395" w:type="dxa"/>
          </w:tcPr>
          <w:p>
            <w:pPr>
              <w:pStyle w:val="TableParagraph"/>
              <w:spacing w:line="219" w:lineRule="exact"/>
              <w:ind w:left="222"/>
              <w:rPr>
                <w:sz w:val="18"/>
              </w:rPr>
            </w:pPr>
            <w:r>
              <w:rPr>
                <w:sz w:val="18"/>
              </w:rPr>
              <w:t>Secondary</w:t>
            </w:r>
          </w:p>
        </w:tc>
        <w:tc>
          <w:tcPr>
            <w:tcW w:w="1283" w:type="dxa"/>
          </w:tcPr>
          <w:p>
            <w:pPr>
              <w:pStyle w:val="TableParagraph"/>
              <w:spacing w:line="219" w:lineRule="exact"/>
              <w:ind w:left="471" w:right="467"/>
              <w:jc w:val="center"/>
              <w:rPr>
                <w:sz w:val="18"/>
              </w:rPr>
            </w:pPr>
            <w:r>
              <w:rPr>
                <w:sz w:val="18"/>
              </w:rPr>
              <w:t>Yes</w:t>
            </w:r>
          </w:p>
        </w:tc>
        <w:tc>
          <w:tcPr>
            <w:tcW w:w="1369" w:type="dxa"/>
          </w:tcPr>
          <w:p>
            <w:pPr>
              <w:pStyle w:val="TableParagraph"/>
              <w:spacing w:line="219" w:lineRule="exact"/>
              <w:ind w:left="123" w:right="123"/>
              <w:jc w:val="center"/>
              <w:rPr>
                <w:sz w:val="18"/>
              </w:rPr>
            </w:pPr>
            <w:r>
              <w:rPr>
                <w:sz w:val="18"/>
              </w:rPr>
              <w:t>No</w:t>
            </w:r>
          </w:p>
        </w:tc>
        <w:tc>
          <w:tcPr>
            <w:tcW w:w="1655" w:type="dxa"/>
          </w:tcPr>
          <w:p>
            <w:pPr>
              <w:pStyle w:val="TableParagraph"/>
              <w:spacing w:line="220" w:lineRule="exact"/>
              <w:ind w:left="623" w:right="279" w:hanging="324"/>
              <w:rPr>
                <w:sz w:val="18"/>
              </w:rPr>
            </w:pPr>
            <w:r>
              <w:rPr>
                <w:sz w:val="18"/>
              </w:rPr>
              <w:t>Jul 2017-Jun</w:t>
            </w:r>
            <w:r>
              <w:rPr>
                <w:spacing w:val="-47"/>
                <w:sz w:val="18"/>
              </w:rPr>
              <w:t> </w:t>
            </w:r>
            <w:r>
              <w:rPr>
                <w:sz w:val="18"/>
              </w:rPr>
              <w:t>2021</w:t>
            </w:r>
          </w:p>
        </w:tc>
      </w:tr>
      <w:tr>
        <w:trPr>
          <w:trHeight w:val="441" w:hRule="atLeast"/>
        </w:trPr>
        <w:tc>
          <w:tcPr>
            <w:tcW w:w="3320" w:type="dxa"/>
          </w:tcPr>
          <w:p>
            <w:pPr>
              <w:pStyle w:val="TableParagraph"/>
              <w:spacing w:line="219" w:lineRule="exact"/>
              <w:ind w:left="107"/>
              <w:rPr>
                <w:sz w:val="18"/>
              </w:rPr>
            </w:pPr>
            <w:r>
              <w:rPr>
                <w:sz w:val="18"/>
              </w:rPr>
              <w:t>Practice</w:t>
            </w:r>
            <w:r>
              <w:rPr>
                <w:spacing w:val="-5"/>
                <w:sz w:val="18"/>
              </w:rPr>
              <w:t> </w:t>
            </w:r>
            <w:r>
              <w:rPr>
                <w:sz w:val="18"/>
              </w:rPr>
              <w:t>extracts</w:t>
            </w:r>
          </w:p>
        </w:tc>
        <w:tc>
          <w:tcPr>
            <w:tcW w:w="1395" w:type="dxa"/>
          </w:tcPr>
          <w:p>
            <w:pPr>
              <w:pStyle w:val="TableParagraph"/>
              <w:spacing w:line="219" w:lineRule="exact"/>
              <w:ind w:left="222"/>
              <w:rPr>
                <w:sz w:val="18"/>
              </w:rPr>
            </w:pPr>
            <w:r>
              <w:rPr>
                <w:sz w:val="18"/>
              </w:rPr>
              <w:t>Secondary</w:t>
            </w:r>
          </w:p>
        </w:tc>
        <w:tc>
          <w:tcPr>
            <w:tcW w:w="1283" w:type="dxa"/>
          </w:tcPr>
          <w:p>
            <w:pPr>
              <w:pStyle w:val="TableParagraph"/>
              <w:spacing w:line="219" w:lineRule="exact"/>
              <w:ind w:left="471" w:right="467"/>
              <w:jc w:val="center"/>
              <w:rPr>
                <w:sz w:val="18"/>
              </w:rPr>
            </w:pPr>
            <w:r>
              <w:rPr>
                <w:sz w:val="18"/>
              </w:rPr>
              <w:t>Yes</w:t>
            </w:r>
          </w:p>
        </w:tc>
        <w:tc>
          <w:tcPr>
            <w:tcW w:w="1369" w:type="dxa"/>
          </w:tcPr>
          <w:p>
            <w:pPr>
              <w:pStyle w:val="TableParagraph"/>
              <w:spacing w:line="219" w:lineRule="exact"/>
              <w:ind w:left="123" w:right="123"/>
              <w:jc w:val="center"/>
              <w:rPr>
                <w:sz w:val="18"/>
              </w:rPr>
            </w:pPr>
            <w:r>
              <w:rPr>
                <w:sz w:val="18"/>
              </w:rPr>
              <w:t>No</w:t>
            </w:r>
          </w:p>
        </w:tc>
        <w:tc>
          <w:tcPr>
            <w:tcW w:w="1655" w:type="dxa"/>
          </w:tcPr>
          <w:p>
            <w:pPr>
              <w:pStyle w:val="TableParagraph"/>
              <w:spacing w:line="220" w:lineRule="exact"/>
              <w:ind w:left="623" w:right="279" w:hanging="324"/>
              <w:rPr>
                <w:sz w:val="18"/>
              </w:rPr>
            </w:pPr>
            <w:r>
              <w:rPr>
                <w:sz w:val="18"/>
              </w:rPr>
              <w:t>Jul 2017-Jun</w:t>
            </w:r>
            <w:r>
              <w:rPr>
                <w:spacing w:val="-47"/>
                <w:sz w:val="18"/>
              </w:rPr>
              <w:t> </w:t>
            </w:r>
            <w:r>
              <w:rPr>
                <w:sz w:val="18"/>
              </w:rPr>
              <w:t>2021</w:t>
            </w:r>
          </w:p>
        </w:tc>
      </w:tr>
      <w:tr>
        <w:trPr>
          <w:trHeight w:val="3091" w:hRule="atLeast"/>
        </w:trPr>
        <w:tc>
          <w:tcPr>
            <w:tcW w:w="3320" w:type="dxa"/>
          </w:tcPr>
          <w:p>
            <w:pPr>
              <w:pStyle w:val="TableParagraph"/>
              <w:spacing w:line="219" w:lineRule="exact"/>
              <w:ind w:left="107"/>
              <w:rPr>
                <w:sz w:val="18"/>
              </w:rPr>
            </w:pPr>
            <w:r>
              <w:rPr>
                <w:sz w:val="18"/>
              </w:rPr>
              <w:t>Linked</w:t>
            </w:r>
            <w:r>
              <w:rPr>
                <w:spacing w:val="-4"/>
                <w:sz w:val="18"/>
              </w:rPr>
              <w:t> </w:t>
            </w:r>
            <w:r>
              <w:rPr>
                <w:sz w:val="18"/>
              </w:rPr>
              <w:t>data:</w:t>
            </w:r>
          </w:p>
          <w:p>
            <w:pPr>
              <w:pStyle w:val="TableParagraph"/>
              <w:numPr>
                <w:ilvl w:val="0"/>
                <w:numId w:val="4"/>
              </w:numPr>
              <w:tabs>
                <w:tab w:pos="271" w:val="left" w:leader="none"/>
              </w:tabs>
              <w:spacing w:line="240" w:lineRule="auto" w:before="0" w:after="0"/>
              <w:ind w:left="271" w:right="0" w:hanging="142"/>
              <w:jc w:val="left"/>
              <w:rPr>
                <w:sz w:val="18"/>
              </w:rPr>
            </w:pPr>
            <w:r>
              <w:rPr>
                <w:sz w:val="18"/>
              </w:rPr>
              <w:t>Medical</w:t>
            </w:r>
            <w:r>
              <w:rPr>
                <w:spacing w:val="-4"/>
                <w:sz w:val="18"/>
              </w:rPr>
              <w:t> </w:t>
            </w:r>
            <w:r>
              <w:rPr>
                <w:sz w:val="18"/>
              </w:rPr>
              <w:t>Benefits</w:t>
            </w:r>
            <w:r>
              <w:rPr>
                <w:spacing w:val="-5"/>
                <w:sz w:val="18"/>
              </w:rPr>
              <w:t> </w:t>
            </w:r>
            <w:r>
              <w:rPr>
                <w:sz w:val="18"/>
              </w:rPr>
              <w:t>Schedule</w:t>
            </w:r>
            <w:r>
              <w:rPr>
                <w:spacing w:val="-3"/>
                <w:sz w:val="18"/>
              </w:rPr>
              <w:t> </w:t>
            </w:r>
            <w:r>
              <w:rPr>
                <w:sz w:val="18"/>
              </w:rPr>
              <w:t>(MBS)</w:t>
            </w:r>
          </w:p>
          <w:p>
            <w:pPr>
              <w:pStyle w:val="TableParagraph"/>
              <w:numPr>
                <w:ilvl w:val="0"/>
                <w:numId w:val="4"/>
              </w:numPr>
              <w:tabs>
                <w:tab w:pos="271" w:val="left" w:leader="none"/>
              </w:tabs>
              <w:spacing w:line="240" w:lineRule="auto" w:before="0" w:after="0"/>
              <w:ind w:left="270" w:right="917" w:hanging="142"/>
              <w:jc w:val="left"/>
              <w:rPr>
                <w:sz w:val="18"/>
              </w:rPr>
            </w:pPr>
            <w:r>
              <w:rPr>
                <w:sz w:val="18"/>
              </w:rPr>
              <w:t>Pharmaceutical</w:t>
            </w:r>
            <w:r>
              <w:rPr>
                <w:spacing w:val="-11"/>
                <w:sz w:val="18"/>
              </w:rPr>
              <w:t> </w:t>
            </w:r>
            <w:r>
              <w:rPr>
                <w:sz w:val="18"/>
              </w:rPr>
              <w:t>Benefits</w:t>
            </w:r>
            <w:r>
              <w:rPr>
                <w:spacing w:val="-47"/>
                <w:sz w:val="18"/>
              </w:rPr>
              <w:t> </w:t>
            </w:r>
            <w:r>
              <w:rPr>
                <w:sz w:val="18"/>
              </w:rPr>
              <w:t>Schedule</w:t>
            </w:r>
            <w:r>
              <w:rPr>
                <w:spacing w:val="2"/>
                <w:sz w:val="18"/>
              </w:rPr>
              <w:t> </w:t>
            </w:r>
            <w:r>
              <w:rPr>
                <w:sz w:val="18"/>
              </w:rPr>
              <w:t>(PBS)</w:t>
            </w:r>
          </w:p>
          <w:p>
            <w:pPr>
              <w:pStyle w:val="TableParagraph"/>
              <w:numPr>
                <w:ilvl w:val="0"/>
                <w:numId w:val="4"/>
              </w:numPr>
              <w:tabs>
                <w:tab w:pos="271" w:val="left" w:leader="none"/>
              </w:tabs>
              <w:spacing w:line="240" w:lineRule="auto" w:before="0" w:after="0"/>
              <w:ind w:left="270" w:right="115" w:hanging="142"/>
              <w:jc w:val="left"/>
              <w:rPr>
                <w:sz w:val="18"/>
              </w:rPr>
            </w:pPr>
            <w:r>
              <w:rPr>
                <w:sz w:val="18"/>
              </w:rPr>
              <w:t>National hospital morbidity data -</w:t>
            </w:r>
            <w:r>
              <w:rPr>
                <w:spacing w:val="-48"/>
                <w:sz w:val="18"/>
              </w:rPr>
              <w:t> </w:t>
            </w:r>
            <w:r>
              <w:rPr>
                <w:sz w:val="18"/>
              </w:rPr>
              <w:t>hospital</w:t>
            </w:r>
            <w:r>
              <w:rPr>
                <w:spacing w:val="-1"/>
                <w:sz w:val="18"/>
              </w:rPr>
              <w:t> </w:t>
            </w:r>
            <w:r>
              <w:rPr>
                <w:sz w:val="18"/>
              </w:rPr>
              <w:t>separations</w:t>
            </w:r>
          </w:p>
          <w:p>
            <w:pPr>
              <w:pStyle w:val="TableParagraph"/>
              <w:numPr>
                <w:ilvl w:val="0"/>
                <w:numId w:val="4"/>
              </w:numPr>
              <w:tabs>
                <w:tab w:pos="271" w:val="left" w:leader="none"/>
              </w:tabs>
              <w:spacing w:line="240" w:lineRule="auto" w:before="0" w:after="0"/>
              <w:ind w:left="270" w:right="323" w:hanging="142"/>
              <w:jc w:val="left"/>
              <w:rPr>
                <w:sz w:val="18"/>
              </w:rPr>
            </w:pPr>
            <w:r>
              <w:rPr>
                <w:sz w:val="18"/>
              </w:rPr>
              <w:t>National non-admitted patient</w:t>
            </w:r>
            <w:r>
              <w:rPr>
                <w:spacing w:val="-47"/>
                <w:sz w:val="18"/>
              </w:rPr>
              <w:t> </w:t>
            </w:r>
            <w:r>
              <w:rPr>
                <w:sz w:val="18"/>
              </w:rPr>
              <w:t>emergency department care</w:t>
            </w:r>
            <w:r>
              <w:rPr>
                <w:spacing w:val="1"/>
                <w:sz w:val="18"/>
              </w:rPr>
              <w:t> </w:t>
            </w:r>
            <w:r>
              <w:rPr>
                <w:sz w:val="18"/>
              </w:rPr>
              <w:t>data</w:t>
            </w:r>
            <w:r>
              <w:rPr>
                <w:spacing w:val="-6"/>
                <w:sz w:val="18"/>
              </w:rPr>
              <w:t> </w:t>
            </w:r>
            <w:r>
              <w:rPr>
                <w:sz w:val="18"/>
              </w:rPr>
              <w:t>-</w:t>
            </w:r>
            <w:r>
              <w:rPr>
                <w:spacing w:val="-4"/>
                <w:sz w:val="18"/>
              </w:rPr>
              <w:t> </w:t>
            </w:r>
            <w:r>
              <w:rPr>
                <w:sz w:val="18"/>
              </w:rPr>
              <w:t>emergency</w:t>
            </w:r>
            <w:r>
              <w:rPr>
                <w:spacing w:val="-5"/>
                <w:sz w:val="18"/>
              </w:rPr>
              <w:t> </w:t>
            </w:r>
            <w:r>
              <w:rPr>
                <w:sz w:val="18"/>
              </w:rPr>
              <w:t>department</w:t>
            </w:r>
            <w:r>
              <w:rPr>
                <w:spacing w:val="-47"/>
                <w:sz w:val="18"/>
              </w:rPr>
              <w:t> </w:t>
            </w:r>
            <w:r>
              <w:rPr>
                <w:sz w:val="18"/>
              </w:rPr>
              <w:t>presentations</w:t>
            </w:r>
          </w:p>
          <w:p>
            <w:pPr>
              <w:pStyle w:val="TableParagraph"/>
              <w:numPr>
                <w:ilvl w:val="0"/>
                <w:numId w:val="4"/>
              </w:numPr>
              <w:tabs>
                <w:tab w:pos="271" w:val="left" w:leader="none"/>
              </w:tabs>
              <w:spacing w:line="240" w:lineRule="auto" w:before="1" w:after="0"/>
              <w:ind w:left="270" w:right="127" w:hanging="142"/>
              <w:jc w:val="left"/>
              <w:rPr>
                <w:sz w:val="18"/>
              </w:rPr>
            </w:pPr>
            <w:r>
              <w:rPr>
                <w:sz w:val="18"/>
              </w:rPr>
              <w:t>National aged care data –</w:t>
            </w:r>
            <w:r>
              <w:rPr>
                <w:spacing w:val="1"/>
                <w:sz w:val="18"/>
              </w:rPr>
              <w:t> </w:t>
            </w:r>
            <w:r>
              <w:rPr>
                <w:sz w:val="18"/>
              </w:rPr>
              <w:t>residential aged care admissions,</w:t>
            </w:r>
            <w:r>
              <w:rPr>
                <w:spacing w:val="-47"/>
                <w:sz w:val="18"/>
              </w:rPr>
              <w:t> </w:t>
            </w:r>
            <w:r>
              <w:rPr>
                <w:sz w:val="18"/>
              </w:rPr>
              <w:t>community</w:t>
            </w:r>
            <w:r>
              <w:rPr>
                <w:spacing w:val="-6"/>
                <w:sz w:val="18"/>
              </w:rPr>
              <w:t> </w:t>
            </w:r>
            <w:r>
              <w:rPr>
                <w:sz w:val="18"/>
              </w:rPr>
              <w:t>aged</w:t>
            </w:r>
            <w:r>
              <w:rPr>
                <w:spacing w:val="-6"/>
                <w:sz w:val="18"/>
              </w:rPr>
              <w:t> </w:t>
            </w:r>
            <w:r>
              <w:rPr>
                <w:sz w:val="18"/>
              </w:rPr>
              <w:t>care</w:t>
            </w:r>
            <w:r>
              <w:rPr>
                <w:spacing w:val="-5"/>
                <w:sz w:val="18"/>
              </w:rPr>
              <w:t> </w:t>
            </w:r>
            <w:r>
              <w:rPr>
                <w:sz w:val="18"/>
              </w:rPr>
              <w:t>packages</w:t>
            </w:r>
          </w:p>
          <w:p>
            <w:pPr>
              <w:pStyle w:val="TableParagraph"/>
              <w:numPr>
                <w:ilvl w:val="0"/>
                <w:numId w:val="4"/>
              </w:numPr>
              <w:tabs>
                <w:tab w:pos="274" w:val="left" w:leader="none"/>
              </w:tabs>
              <w:spacing w:line="202" w:lineRule="exact" w:before="1" w:after="0"/>
              <w:ind w:left="273" w:right="0" w:hanging="143"/>
              <w:jc w:val="left"/>
              <w:rPr>
                <w:sz w:val="18"/>
              </w:rPr>
            </w:pPr>
            <w:r>
              <w:rPr>
                <w:sz w:val="18"/>
              </w:rPr>
              <w:t>Fact</w:t>
            </w:r>
            <w:r>
              <w:rPr>
                <w:spacing w:val="-5"/>
                <w:sz w:val="18"/>
              </w:rPr>
              <w:t> </w:t>
            </w:r>
            <w:r>
              <w:rPr>
                <w:sz w:val="18"/>
              </w:rPr>
              <w:t>of</w:t>
            </w:r>
            <w:r>
              <w:rPr>
                <w:spacing w:val="-1"/>
                <w:sz w:val="18"/>
              </w:rPr>
              <w:t> </w:t>
            </w:r>
            <w:r>
              <w:rPr>
                <w:sz w:val="18"/>
              </w:rPr>
              <w:t>death</w:t>
            </w:r>
          </w:p>
        </w:tc>
        <w:tc>
          <w:tcPr>
            <w:tcW w:w="1395" w:type="dxa"/>
          </w:tcPr>
          <w:p>
            <w:pPr>
              <w:pStyle w:val="TableParagraph"/>
              <w:spacing w:line="219" w:lineRule="exact"/>
              <w:ind w:left="222"/>
              <w:rPr>
                <w:sz w:val="18"/>
              </w:rPr>
            </w:pPr>
            <w:r>
              <w:rPr>
                <w:sz w:val="18"/>
              </w:rPr>
              <w:t>Secondary</w:t>
            </w:r>
          </w:p>
        </w:tc>
        <w:tc>
          <w:tcPr>
            <w:tcW w:w="1283" w:type="dxa"/>
          </w:tcPr>
          <w:p>
            <w:pPr>
              <w:pStyle w:val="TableParagraph"/>
              <w:spacing w:line="219" w:lineRule="exact"/>
              <w:ind w:left="471" w:right="467"/>
              <w:jc w:val="center"/>
              <w:rPr>
                <w:sz w:val="18"/>
              </w:rPr>
            </w:pPr>
            <w:r>
              <w:rPr>
                <w:sz w:val="18"/>
              </w:rPr>
              <w:t>Yes</w:t>
            </w:r>
          </w:p>
        </w:tc>
        <w:tc>
          <w:tcPr>
            <w:tcW w:w="1369" w:type="dxa"/>
          </w:tcPr>
          <w:p>
            <w:pPr>
              <w:pStyle w:val="TableParagraph"/>
              <w:spacing w:line="219" w:lineRule="exact"/>
              <w:ind w:left="123" w:right="123"/>
              <w:jc w:val="center"/>
              <w:rPr>
                <w:sz w:val="18"/>
              </w:rPr>
            </w:pPr>
            <w:r>
              <w:rPr>
                <w:sz w:val="18"/>
              </w:rPr>
              <w:t>No</w:t>
            </w:r>
          </w:p>
        </w:tc>
        <w:tc>
          <w:tcPr>
            <w:tcW w:w="1655" w:type="dxa"/>
          </w:tcPr>
          <w:p>
            <w:pPr>
              <w:pStyle w:val="TableParagraph"/>
              <w:ind w:left="623" w:right="279" w:hanging="324"/>
              <w:rPr>
                <w:sz w:val="18"/>
              </w:rPr>
            </w:pPr>
            <w:r>
              <w:rPr>
                <w:sz w:val="18"/>
              </w:rPr>
              <w:t>Jul 2015-Jun</w:t>
            </w:r>
            <w:r>
              <w:rPr>
                <w:spacing w:val="-47"/>
                <w:sz w:val="18"/>
              </w:rPr>
              <w:t> </w:t>
            </w:r>
            <w:r>
              <w:rPr>
                <w:sz w:val="18"/>
              </w:rPr>
              <w:t>2021</w:t>
            </w:r>
          </w:p>
        </w:tc>
      </w:tr>
    </w:tbl>
    <w:p>
      <w:pPr>
        <w:spacing w:line="276" w:lineRule="auto" w:before="0"/>
        <w:ind w:left="1582" w:right="1516" w:firstLine="0"/>
        <w:jc w:val="left"/>
        <w:rPr>
          <w:i/>
          <w:sz w:val="16"/>
        </w:rPr>
      </w:pPr>
      <w:r>
        <w:rPr>
          <w:i/>
          <w:sz w:val="16"/>
        </w:rPr>
        <w:t>* For simplicity, the term ‘patient’ has been used in this document to refer to data collection relating to HCH</w:t>
      </w:r>
      <w:r>
        <w:rPr>
          <w:i/>
          <w:spacing w:val="1"/>
          <w:sz w:val="16"/>
        </w:rPr>
        <w:t> </w:t>
      </w:r>
      <w:r>
        <w:rPr>
          <w:i/>
          <w:sz w:val="16"/>
        </w:rPr>
        <w:t>enrolees, but also refers to carers and/ or family members of enrolled patients; ** GP survey only; *** Includes data</w:t>
      </w:r>
      <w:r>
        <w:rPr>
          <w:i/>
          <w:spacing w:val="-42"/>
          <w:sz w:val="16"/>
        </w:rPr>
        <w:t> </w:t>
      </w:r>
      <w:r>
        <w:rPr>
          <w:i/>
          <w:sz w:val="16"/>
        </w:rPr>
        <w:t>used to manage the program, including from the Department of Human Services and the Community Pharmacy</w:t>
      </w:r>
      <w:r>
        <w:rPr>
          <w:i/>
          <w:spacing w:val="1"/>
          <w:sz w:val="16"/>
        </w:rPr>
        <w:t> </w:t>
      </w:r>
      <w:r>
        <w:rPr>
          <w:i/>
          <w:sz w:val="16"/>
        </w:rPr>
        <w:t>Health</w:t>
      </w:r>
      <w:r>
        <w:rPr>
          <w:i/>
          <w:spacing w:val="-2"/>
          <w:sz w:val="16"/>
        </w:rPr>
        <w:t> </w:t>
      </w:r>
      <w:r>
        <w:rPr>
          <w:i/>
          <w:sz w:val="16"/>
        </w:rPr>
        <w:t>Outcomes</w:t>
      </w:r>
      <w:r>
        <w:rPr>
          <w:i/>
          <w:spacing w:val="-2"/>
          <w:sz w:val="16"/>
        </w:rPr>
        <w:t> </w:t>
      </w:r>
      <w:r>
        <w:rPr>
          <w:i/>
          <w:sz w:val="16"/>
        </w:rPr>
        <w:t>Data.</w:t>
      </w:r>
    </w:p>
    <w:p>
      <w:pPr>
        <w:pStyle w:val="BodyText"/>
        <w:spacing w:before="4"/>
        <w:rPr>
          <w:i/>
          <w:sz w:val="16"/>
        </w:rPr>
      </w:pPr>
    </w:p>
    <w:p>
      <w:pPr>
        <w:pStyle w:val="BodyText"/>
        <w:spacing w:line="276" w:lineRule="auto"/>
        <w:ind w:left="1440" w:right="1461"/>
      </w:pPr>
      <w:r>
        <w:rPr/>
        <w:t>The outputs of the evaluation are a series of reports documenting</w:t>
      </w:r>
      <w:r>
        <w:rPr>
          <w:spacing w:val="1"/>
        </w:rPr>
        <w:t> </w:t>
      </w:r>
      <w:r>
        <w:rPr/>
        <w:t>the findings, presentations,</w:t>
      </w:r>
      <w:r>
        <w:rPr>
          <w:spacing w:val="-54"/>
        </w:rPr>
        <w:t> </w:t>
      </w:r>
      <w:r>
        <w:rPr/>
        <w:t>and data for secondary research and/ or that can be built upon for future evaluation of the</w:t>
      </w:r>
      <w:r>
        <w:rPr>
          <w:spacing w:val="1"/>
        </w:rPr>
        <w:t> </w:t>
      </w:r>
      <w:r>
        <w:rPr/>
        <w:t>program.</w:t>
      </w:r>
    </w:p>
    <w:p>
      <w:pPr>
        <w:spacing w:after="0" w:line="276" w:lineRule="auto"/>
        <w:sectPr>
          <w:type w:val="continuous"/>
          <w:pgSz w:w="11910" w:h="16840"/>
          <w:pgMar w:header="0" w:footer="675" w:top="1420" w:bottom="86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6"/>
        </w:rPr>
      </w:pPr>
    </w:p>
    <w:p>
      <w:pPr>
        <w:pStyle w:val="Heading2"/>
        <w:spacing w:before="100"/>
        <w:ind w:left="1440"/>
        <w:jc w:val="both"/>
      </w:pPr>
      <w:r>
        <w:rPr/>
        <w:pict>
          <v:group style="position:absolute;margin-left:21.569412pt;margin-top:-121.126221pt;width:573.8pt;height:116.75pt;mso-position-horizontal-relative:page;mso-position-vertical-relative:paragraph;z-index:15729152" id="docshapegroup10" coordorigin="431,-2423" coordsize="11476,2335">
            <v:shape style="position:absolute;left:431;top:-2423;width:11476;height:1613" type="#_x0000_t75" id="docshape11" stroked="false">
              <v:imagedata r:id="rId8" o:title=""/>
            </v:shape>
            <v:shape style="position:absolute;left:9795;top:-1268;width:1200;height:1155" id="docshape12" coordorigin="9795,-1268" coordsize="1200,1155" path="m10395,-1268l10320,-1263,10247,-1250,10178,-1229,10113,-1200,10052,-1164,9997,-1122,9946,-1074,9902,-1020,9865,-961,9835,-899,9813,-832,9800,-762,9795,-690,9800,-618,9813,-548,9835,-481,9865,-419,9902,-360,9946,-306,9997,-258,10052,-216,10113,-180,10178,-151,10247,-130,10320,-117,10395,-113,10470,-117,10543,-130,10612,-151,10677,-180,10738,-216,10793,-258,10844,-306,10888,-360,10925,-419,10955,-481,10977,-548,10990,-618,10995,-690,10990,-762,10977,-832,10955,-899,10925,-961,10888,-1020,10844,-1074,10793,-1122,10738,-1164,10677,-1200,10612,-1229,10543,-1250,10470,-1263,10395,-1268xe" filled="true" fillcolor="#003c79" stroked="false">
              <v:path arrowok="t"/>
              <v:fill type="solid"/>
            </v:shape>
            <v:shape style="position:absolute;left:9795;top:-1268;width:1200;height:1155" id="docshape13" coordorigin="9795,-1268" coordsize="1200,1155" path="m9795,-690l9800,-762,9813,-832,9835,-899,9865,-961,9902,-1020,9946,-1074,9997,-1122,10052,-1164,10113,-1200,10178,-1229,10247,-1250,10320,-1263,10395,-1268,10470,-1263,10543,-1250,10612,-1229,10677,-1200,10738,-1164,10793,-1122,10844,-1074,10888,-1020,10925,-961,10955,-899,10977,-832,10990,-762,10995,-690,10990,-618,10977,-548,10955,-481,10925,-419,10888,-360,10844,-306,10793,-258,10738,-216,10677,-180,10612,-151,10543,-130,10470,-117,10395,-113,10320,-117,10247,-130,10178,-151,10113,-180,10052,-216,9997,-258,9946,-306,9902,-360,9865,-419,9835,-481,9813,-548,9800,-618,9795,-690xe" filled="false" stroked="true" strokeweight="2.5pt" strokecolor="#003c79">
              <v:path arrowok="t"/>
              <v:stroke dashstyle="solid"/>
            </v:shape>
            <v:shape style="position:absolute;left:1440;top:-982;width:4249;height:883" type="#_x0000_t202" id="docshape14" filled="false" stroked="false">
              <v:textbox inset="0,0,0,0">
                <w:txbxContent>
                  <w:p>
                    <w:pPr>
                      <w:spacing w:before="0"/>
                      <w:ind w:left="0" w:right="0" w:firstLine="0"/>
                      <w:jc w:val="left"/>
                      <w:rPr>
                        <w:sz w:val="72"/>
                      </w:rPr>
                    </w:pPr>
                    <w:r>
                      <w:rPr>
                        <w:color w:val="003C79"/>
                        <w:sz w:val="72"/>
                      </w:rPr>
                      <w:t>Introduction</w:t>
                    </w:r>
                  </w:p>
                </w:txbxContent>
              </v:textbox>
              <w10:wrap type="none"/>
            </v:shape>
            <v:shape style="position:absolute;left:10274;top:-959;width:266;height:539" type="#_x0000_t202" id="docshape15" filled="false" stroked="false">
              <v:textbox inset="0,0,0,0">
                <w:txbxContent>
                  <w:p>
                    <w:pPr>
                      <w:spacing w:line="538" w:lineRule="exact" w:before="0"/>
                      <w:ind w:left="0" w:right="0" w:firstLine="0"/>
                      <w:jc w:val="left"/>
                      <w:rPr>
                        <w:b/>
                        <w:sz w:val="44"/>
                      </w:rPr>
                    </w:pPr>
                    <w:r>
                      <w:rPr>
                        <w:b/>
                        <w:color w:val="FFFFFF"/>
                        <w:w w:val="99"/>
                        <w:sz w:val="44"/>
                      </w:rPr>
                      <w:t>1</w:t>
                    </w:r>
                  </w:p>
                </w:txbxContent>
              </v:textbox>
              <w10:wrap type="none"/>
            </v:shape>
            <w10:wrap type="none"/>
          </v:group>
        </w:pict>
      </w:r>
      <w:bookmarkStart w:name="_bookmark5" w:id="6"/>
      <w:bookmarkEnd w:id="6"/>
      <w:r>
        <w:rPr/>
      </w:r>
      <w:bookmarkStart w:name="_bookmark6" w:id="7"/>
      <w:bookmarkEnd w:id="7"/>
      <w:r>
        <w:rPr/>
      </w:r>
      <w:r>
        <w:rPr>
          <w:color w:val="003C79"/>
        </w:rPr>
        <w:t>Health</w:t>
      </w:r>
      <w:r>
        <w:rPr>
          <w:color w:val="003C79"/>
          <w:spacing w:val="-5"/>
        </w:rPr>
        <w:t> </w:t>
      </w:r>
      <w:r>
        <w:rPr>
          <w:color w:val="003C79"/>
        </w:rPr>
        <w:t>Care</w:t>
      </w:r>
      <w:r>
        <w:rPr>
          <w:color w:val="003C79"/>
          <w:spacing w:val="-5"/>
        </w:rPr>
        <w:t> </w:t>
      </w:r>
      <w:r>
        <w:rPr>
          <w:color w:val="003C79"/>
        </w:rPr>
        <w:t>Homes</w:t>
      </w:r>
    </w:p>
    <w:p>
      <w:pPr>
        <w:pStyle w:val="BodyText"/>
        <w:spacing w:line="276" w:lineRule="auto" w:before="258"/>
        <w:ind w:left="1440" w:right="2040"/>
        <w:jc w:val="both"/>
      </w:pPr>
      <w:r>
        <w:rPr/>
        <w:t>Health Care Homes (HCH) is one of the responses by the Australian Government to the</w:t>
      </w:r>
      <w:r>
        <w:rPr>
          <w:spacing w:val="1"/>
        </w:rPr>
        <w:t> </w:t>
      </w:r>
      <w:r>
        <w:rPr/>
        <w:t>Primary Health Care Advisory Group’s (</w:t>
      </w:r>
      <w:hyperlink w:history="true" w:anchor="_bookmark131">
        <w:r>
          <w:rPr/>
          <w:t>2015</w:t>
        </w:r>
      </w:hyperlink>
      <w:r>
        <w:rPr/>
        <w:t>) recommendations for better outcomes for</w:t>
      </w:r>
      <w:r>
        <w:rPr>
          <w:spacing w:val="-53"/>
        </w:rPr>
        <w:t> </w:t>
      </w:r>
      <w:r>
        <w:rPr/>
        <w:t>people</w:t>
      </w:r>
      <w:r>
        <w:rPr>
          <w:spacing w:val="-2"/>
        </w:rPr>
        <w:t> </w:t>
      </w:r>
      <w:r>
        <w:rPr/>
        <w:t>with</w:t>
      </w:r>
      <w:r>
        <w:rPr>
          <w:spacing w:val="-1"/>
        </w:rPr>
        <w:t> </w:t>
      </w:r>
      <w:r>
        <w:rPr/>
        <w:t>chronic and</w:t>
      </w:r>
      <w:r>
        <w:rPr>
          <w:spacing w:val="-3"/>
        </w:rPr>
        <w:t> </w:t>
      </w:r>
      <w:r>
        <w:rPr/>
        <w:t>complex</w:t>
      </w:r>
      <w:r>
        <w:rPr>
          <w:spacing w:val="-1"/>
        </w:rPr>
        <w:t> </w:t>
      </w:r>
      <w:r>
        <w:rPr/>
        <w:t>health</w:t>
      </w:r>
      <w:r>
        <w:rPr>
          <w:spacing w:val="-1"/>
        </w:rPr>
        <w:t> </w:t>
      </w:r>
      <w:r>
        <w:rPr/>
        <w:t>conditions.</w:t>
      </w:r>
    </w:p>
    <w:p>
      <w:pPr>
        <w:pStyle w:val="BodyText"/>
        <w:spacing w:line="276" w:lineRule="auto" w:before="201"/>
        <w:ind w:left="1440" w:right="1742"/>
      </w:pPr>
      <w:r>
        <w:rPr/>
        <w:t>HCH is a variant of the patient-centred medical home (PCMH), which aims to improve the</w:t>
      </w:r>
      <w:r>
        <w:rPr>
          <w:spacing w:val="-53"/>
        </w:rPr>
        <w:t> </w:t>
      </w:r>
      <w:r>
        <w:rPr/>
        <w:t>effectiveness</w:t>
      </w:r>
      <w:r>
        <w:rPr>
          <w:spacing w:val="-2"/>
        </w:rPr>
        <w:t> </w:t>
      </w:r>
      <w:r>
        <w:rPr/>
        <w:t>of</w:t>
      </w:r>
      <w:r>
        <w:rPr>
          <w:spacing w:val="-2"/>
        </w:rPr>
        <w:t> </w:t>
      </w:r>
      <w:r>
        <w:rPr/>
        <w:t>primary</w:t>
      </w:r>
      <w:r>
        <w:rPr>
          <w:spacing w:val="-1"/>
        </w:rPr>
        <w:t> </w:t>
      </w:r>
      <w:r>
        <w:rPr/>
        <w:t>care.</w:t>
      </w:r>
      <w:r>
        <w:rPr>
          <w:spacing w:val="-2"/>
        </w:rPr>
        <w:t> </w:t>
      </w:r>
      <w:r>
        <w:rPr/>
        <w:t>Features of</w:t>
      </w:r>
      <w:r>
        <w:rPr>
          <w:spacing w:val="-2"/>
        </w:rPr>
        <w:t> </w:t>
      </w:r>
      <w:r>
        <w:rPr/>
        <w:t>the</w:t>
      </w:r>
      <w:r>
        <w:rPr>
          <w:spacing w:val="1"/>
        </w:rPr>
        <w:t> </w:t>
      </w:r>
      <w:r>
        <w:rPr/>
        <w:t>Australian</w:t>
      </w:r>
      <w:r>
        <w:rPr>
          <w:spacing w:val="-1"/>
        </w:rPr>
        <w:t> </w:t>
      </w:r>
      <w:r>
        <w:rPr/>
        <w:t>implementation</w:t>
      </w:r>
      <w:r>
        <w:rPr>
          <w:spacing w:val="-1"/>
        </w:rPr>
        <w:t> </w:t>
      </w:r>
      <w:r>
        <w:rPr/>
        <w:t>are:</w:t>
      </w:r>
    </w:p>
    <w:p>
      <w:pPr>
        <w:pStyle w:val="ListParagraph"/>
        <w:numPr>
          <w:ilvl w:val="0"/>
          <w:numId w:val="5"/>
        </w:numPr>
        <w:tabs>
          <w:tab w:pos="2153" w:val="left" w:leader="none"/>
          <w:tab w:pos="2154" w:val="left" w:leader="none"/>
        </w:tabs>
        <w:spacing w:line="276" w:lineRule="auto" w:before="202" w:after="0"/>
        <w:ind w:left="2153" w:right="1464" w:hanging="356"/>
        <w:jc w:val="left"/>
        <w:rPr>
          <w:sz w:val="20"/>
        </w:rPr>
      </w:pPr>
      <w:r>
        <w:rPr>
          <w:sz w:val="20"/>
        </w:rPr>
        <w:t>voluntary enrolment of patients to a practice—their health care home—nominating a</w:t>
      </w:r>
      <w:r>
        <w:rPr>
          <w:spacing w:val="-53"/>
          <w:sz w:val="20"/>
        </w:rPr>
        <w:t> </w:t>
      </w:r>
      <w:r>
        <w:rPr>
          <w:sz w:val="20"/>
        </w:rPr>
        <w:t>GP</w:t>
      </w:r>
      <w:r>
        <w:rPr>
          <w:spacing w:val="-2"/>
          <w:sz w:val="20"/>
        </w:rPr>
        <w:t> </w:t>
      </w:r>
      <w:r>
        <w:rPr>
          <w:sz w:val="20"/>
        </w:rPr>
        <w:t>as</w:t>
      </w:r>
      <w:r>
        <w:rPr>
          <w:spacing w:val="-1"/>
          <w:sz w:val="20"/>
        </w:rPr>
        <w:t> </w:t>
      </w:r>
      <w:r>
        <w:rPr>
          <w:sz w:val="20"/>
        </w:rPr>
        <w:t>their</w:t>
      </w:r>
      <w:r>
        <w:rPr>
          <w:spacing w:val="-1"/>
          <w:sz w:val="20"/>
        </w:rPr>
        <w:t> </w:t>
      </w:r>
      <w:r>
        <w:rPr>
          <w:sz w:val="20"/>
        </w:rPr>
        <w:t>preferred clinician</w:t>
      </w:r>
    </w:p>
    <w:p>
      <w:pPr>
        <w:pStyle w:val="ListParagraph"/>
        <w:numPr>
          <w:ilvl w:val="0"/>
          <w:numId w:val="5"/>
        </w:numPr>
        <w:tabs>
          <w:tab w:pos="2153" w:val="left" w:leader="none"/>
          <w:tab w:pos="2154" w:val="left" w:leader="none"/>
        </w:tabs>
        <w:spacing w:line="240" w:lineRule="auto" w:before="0" w:after="0"/>
        <w:ind w:left="2153" w:right="0" w:hanging="356"/>
        <w:jc w:val="left"/>
        <w:rPr>
          <w:sz w:val="20"/>
        </w:rPr>
      </w:pPr>
      <w:r>
        <w:rPr>
          <w:sz w:val="20"/>
        </w:rPr>
        <w:t>tools</w:t>
      </w:r>
      <w:r>
        <w:rPr>
          <w:spacing w:val="-4"/>
          <w:sz w:val="20"/>
        </w:rPr>
        <w:t> </w:t>
      </w:r>
      <w:r>
        <w:rPr>
          <w:sz w:val="20"/>
        </w:rPr>
        <w:t>to</w:t>
      </w:r>
      <w:r>
        <w:rPr>
          <w:spacing w:val="-3"/>
          <w:sz w:val="20"/>
        </w:rPr>
        <w:t> </w:t>
      </w:r>
      <w:r>
        <w:rPr>
          <w:sz w:val="20"/>
        </w:rPr>
        <w:t>identify</w:t>
      </w:r>
      <w:r>
        <w:rPr>
          <w:spacing w:val="-4"/>
          <w:sz w:val="20"/>
        </w:rPr>
        <w:t> </w:t>
      </w:r>
      <w:r>
        <w:rPr>
          <w:sz w:val="20"/>
        </w:rPr>
        <w:t>patients</w:t>
      </w:r>
      <w:r>
        <w:rPr>
          <w:spacing w:val="-6"/>
          <w:sz w:val="20"/>
        </w:rPr>
        <w:t> </w:t>
      </w:r>
      <w:r>
        <w:rPr>
          <w:sz w:val="20"/>
        </w:rPr>
        <w:t>at</w:t>
      </w:r>
      <w:r>
        <w:rPr>
          <w:spacing w:val="-1"/>
          <w:sz w:val="20"/>
        </w:rPr>
        <w:t> </w:t>
      </w:r>
      <w:r>
        <w:rPr>
          <w:sz w:val="20"/>
        </w:rPr>
        <w:t>risk</w:t>
      </w:r>
      <w:r>
        <w:rPr>
          <w:spacing w:val="-3"/>
          <w:sz w:val="20"/>
        </w:rPr>
        <w:t> </w:t>
      </w:r>
      <w:r>
        <w:rPr>
          <w:sz w:val="20"/>
        </w:rPr>
        <w:t>of</w:t>
      </w:r>
      <w:r>
        <w:rPr>
          <w:spacing w:val="-3"/>
          <w:sz w:val="20"/>
        </w:rPr>
        <w:t> </w:t>
      </w:r>
      <w:r>
        <w:rPr>
          <w:sz w:val="20"/>
        </w:rPr>
        <w:t>hospitalisation</w:t>
      </w:r>
      <w:r>
        <w:rPr>
          <w:spacing w:val="-3"/>
          <w:sz w:val="20"/>
        </w:rPr>
        <w:t> </w:t>
      </w:r>
      <w:r>
        <w:rPr>
          <w:sz w:val="20"/>
        </w:rPr>
        <w:t>and</w:t>
      </w:r>
      <w:r>
        <w:rPr>
          <w:spacing w:val="-3"/>
          <w:sz w:val="20"/>
        </w:rPr>
        <w:t> </w:t>
      </w:r>
      <w:r>
        <w:rPr>
          <w:sz w:val="20"/>
        </w:rPr>
        <w:t>stratify</w:t>
      </w:r>
      <w:r>
        <w:rPr>
          <w:spacing w:val="-4"/>
          <w:sz w:val="20"/>
        </w:rPr>
        <w:t> </w:t>
      </w:r>
      <w:r>
        <w:rPr>
          <w:sz w:val="20"/>
        </w:rPr>
        <w:t>them</w:t>
      </w:r>
      <w:r>
        <w:rPr>
          <w:spacing w:val="-3"/>
          <w:sz w:val="20"/>
        </w:rPr>
        <w:t> </w:t>
      </w:r>
      <w:r>
        <w:rPr>
          <w:sz w:val="20"/>
        </w:rPr>
        <w:t>to</w:t>
      </w:r>
      <w:r>
        <w:rPr>
          <w:spacing w:val="-3"/>
          <w:sz w:val="20"/>
        </w:rPr>
        <w:t> </w:t>
      </w:r>
      <w:r>
        <w:rPr>
          <w:sz w:val="20"/>
        </w:rPr>
        <w:t>a</w:t>
      </w:r>
      <w:r>
        <w:rPr>
          <w:spacing w:val="-2"/>
          <w:sz w:val="20"/>
        </w:rPr>
        <w:t> </w:t>
      </w:r>
      <w:r>
        <w:rPr>
          <w:sz w:val="20"/>
        </w:rPr>
        <w:t>complexity</w:t>
      </w:r>
      <w:r>
        <w:rPr>
          <w:spacing w:val="-4"/>
          <w:sz w:val="20"/>
        </w:rPr>
        <w:t> </w:t>
      </w:r>
      <w:r>
        <w:rPr>
          <w:sz w:val="20"/>
        </w:rPr>
        <w:t>tier</w:t>
      </w:r>
    </w:p>
    <w:p>
      <w:pPr>
        <w:pStyle w:val="ListParagraph"/>
        <w:numPr>
          <w:ilvl w:val="0"/>
          <w:numId w:val="5"/>
        </w:numPr>
        <w:tabs>
          <w:tab w:pos="2153" w:val="left" w:leader="none"/>
          <w:tab w:pos="2154" w:val="left" w:leader="none"/>
        </w:tabs>
        <w:spacing w:line="240" w:lineRule="auto" w:before="36" w:after="0"/>
        <w:ind w:left="2153" w:right="0" w:hanging="356"/>
        <w:jc w:val="left"/>
        <w:rPr>
          <w:sz w:val="20"/>
        </w:rPr>
      </w:pPr>
      <w:r>
        <w:rPr>
          <w:sz w:val="20"/>
        </w:rPr>
        <w:t>a</w:t>
      </w:r>
      <w:r>
        <w:rPr>
          <w:spacing w:val="-3"/>
          <w:sz w:val="20"/>
        </w:rPr>
        <w:t> </w:t>
      </w:r>
      <w:r>
        <w:rPr>
          <w:sz w:val="20"/>
        </w:rPr>
        <w:t>bundled</w:t>
      </w:r>
      <w:r>
        <w:rPr>
          <w:spacing w:val="-3"/>
          <w:sz w:val="20"/>
        </w:rPr>
        <w:t> </w:t>
      </w:r>
      <w:r>
        <w:rPr>
          <w:sz w:val="20"/>
        </w:rPr>
        <w:t>payment</w:t>
      </w:r>
      <w:r>
        <w:rPr>
          <w:spacing w:val="-2"/>
          <w:sz w:val="20"/>
        </w:rPr>
        <w:t> </w:t>
      </w:r>
      <w:r>
        <w:rPr>
          <w:sz w:val="20"/>
        </w:rPr>
        <w:t>for</w:t>
      </w:r>
      <w:r>
        <w:rPr>
          <w:spacing w:val="-3"/>
          <w:sz w:val="20"/>
        </w:rPr>
        <w:t> </w:t>
      </w:r>
      <w:r>
        <w:rPr>
          <w:sz w:val="20"/>
        </w:rPr>
        <w:t>every</w:t>
      </w:r>
      <w:r>
        <w:rPr>
          <w:spacing w:val="-5"/>
          <w:sz w:val="20"/>
        </w:rPr>
        <w:t> </w:t>
      </w:r>
      <w:r>
        <w:rPr>
          <w:sz w:val="20"/>
        </w:rPr>
        <w:t>enrolled</w:t>
      </w:r>
      <w:r>
        <w:rPr>
          <w:spacing w:val="-3"/>
          <w:sz w:val="20"/>
        </w:rPr>
        <w:t> </w:t>
      </w:r>
      <w:r>
        <w:rPr>
          <w:sz w:val="20"/>
        </w:rPr>
        <w:t>patient</w:t>
      </w:r>
      <w:r>
        <w:rPr>
          <w:spacing w:val="-2"/>
          <w:sz w:val="20"/>
        </w:rPr>
        <w:t> </w:t>
      </w:r>
      <w:r>
        <w:rPr>
          <w:sz w:val="20"/>
        </w:rPr>
        <w:t>based</w:t>
      </w:r>
      <w:r>
        <w:rPr>
          <w:spacing w:val="-3"/>
          <w:sz w:val="20"/>
        </w:rPr>
        <w:t> </w:t>
      </w:r>
      <w:r>
        <w:rPr>
          <w:sz w:val="20"/>
        </w:rPr>
        <w:t>on</w:t>
      </w:r>
      <w:r>
        <w:rPr>
          <w:spacing w:val="-3"/>
          <w:sz w:val="20"/>
        </w:rPr>
        <w:t> </w:t>
      </w:r>
      <w:r>
        <w:rPr>
          <w:sz w:val="20"/>
        </w:rPr>
        <w:t>their</w:t>
      </w:r>
      <w:r>
        <w:rPr>
          <w:spacing w:val="-3"/>
          <w:sz w:val="20"/>
        </w:rPr>
        <w:t> </w:t>
      </w:r>
      <w:r>
        <w:rPr>
          <w:sz w:val="20"/>
        </w:rPr>
        <w:t>tier</w:t>
      </w:r>
      <w:r>
        <w:rPr>
          <w:spacing w:val="-4"/>
          <w:sz w:val="20"/>
        </w:rPr>
        <w:t> </w:t>
      </w:r>
      <w:r>
        <w:rPr>
          <w:sz w:val="20"/>
        </w:rPr>
        <w:t>(for</w:t>
      </w:r>
      <w:r>
        <w:rPr>
          <w:spacing w:val="-3"/>
          <w:sz w:val="20"/>
        </w:rPr>
        <w:t> </w:t>
      </w:r>
      <w:r>
        <w:rPr>
          <w:sz w:val="20"/>
        </w:rPr>
        <w:t>services</w:t>
      </w:r>
      <w:r>
        <w:rPr>
          <w:spacing w:val="-4"/>
          <w:sz w:val="20"/>
        </w:rPr>
        <w:t> </w:t>
      </w:r>
      <w:r>
        <w:rPr>
          <w:sz w:val="20"/>
        </w:rPr>
        <w:t>relating</w:t>
      </w:r>
    </w:p>
    <w:p>
      <w:pPr>
        <w:pStyle w:val="BodyText"/>
        <w:spacing w:before="38"/>
        <w:ind w:left="2153"/>
      </w:pPr>
      <w:r>
        <w:rPr/>
        <w:t>to</w:t>
      </w:r>
      <w:r>
        <w:rPr>
          <w:spacing w:val="-4"/>
        </w:rPr>
        <w:t> </w:t>
      </w:r>
      <w:r>
        <w:rPr/>
        <w:t>the</w:t>
      </w:r>
      <w:r>
        <w:rPr>
          <w:spacing w:val="-4"/>
        </w:rPr>
        <w:t> </w:t>
      </w:r>
      <w:r>
        <w:rPr/>
        <w:t>patient’s</w:t>
      </w:r>
      <w:r>
        <w:rPr>
          <w:spacing w:val="-4"/>
        </w:rPr>
        <w:t> </w:t>
      </w:r>
      <w:r>
        <w:rPr/>
        <w:t>chronic</w:t>
      </w:r>
      <w:r>
        <w:rPr>
          <w:spacing w:val="-1"/>
        </w:rPr>
        <w:t> </w:t>
      </w:r>
      <w:r>
        <w:rPr/>
        <w:t>conditions),</w:t>
      </w:r>
      <w:r>
        <w:rPr>
          <w:spacing w:val="-6"/>
        </w:rPr>
        <w:t> </w:t>
      </w:r>
      <w:r>
        <w:rPr/>
        <w:t>replacing</w:t>
      </w:r>
      <w:r>
        <w:rPr>
          <w:spacing w:val="-4"/>
        </w:rPr>
        <w:t> </w:t>
      </w:r>
      <w:r>
        <w:rPr/>
        <w:t>the</w:t>
      </w:r>
      <w:r>
        <w:rPr>
          <w:spacing w:val="-5"/>
        </w:rPr>
        <w:t> </w:t>
      </w:r>
      <w:r>
        <w:rPr/>
        <w:t>Medicare</w:t>
      </w:r>
      <w:r>
        <w:rPr>
          <w:spacing w:val="-4"/>
        </w:rPr>
        <w:t> </w:t>
      </w:r>
      <w:r>
        <w:rPr/>
        <w:t>fee-for-service</w:t>
      </w:r>
      <w:r>
        <w:rPr>
          <w:spacing w:val="-2"/>
        </w:rPr>
        <w:t> </w:t>
      </w:r>
      <w:r>
        <w:rPr/>
        <w:t>payment</w:t>
      </w:r>
    </w:p>
    <w:p>
      <w:pPr>
        <w:pStyle w:val="ListParagraph"/>
        <w:numPr>
          <w:ilvl w:val="0"/>
          <w:numId w:val="5"/>
        </w:numPr>
        <w:tabs>
          <w:tab w:pos="2153" w:val="left" w:leader="none"/>
          <w:tab w:pos="2154" w:val="left" w:leader="none"/>
        </w:tabs>
        <w:spacing w:line="240" w:lineRule="auto" w:before="35" w:after="0"/>
        <w:ind w:left="2153" w:right="0" w:hanging="356"/>
        <w:jc w:val="left"/>
        <w:rPr>
          <w:sz w:val="20"/>
        </w:rPr>
      </w:pPr>
      <w:r>
        <w:rPr>
          <w:sz w:val="20"/>
        </w:rPr>
        <w:t>training</w:t>
      </w:r>
      <w:r>
        <w:rPr>
          <w:spacing w:val="-4"/>
          <w:sz w:val="20"/>
        </w:rPr>
        <w:t> </w:t>
      </w:r>
      <w:r>
        <w:rPr>
          <w:sz w:val="20"/>
        </w:rPr>
        <w:t>resources</w:t>
      </w:r>
      <w:r>
        <w:rPr>
          <w:spacing w:val="-4"/>
          <w:sz w:val="20"/>
        </w:rPr>
        <w:t> </w:t>
      </w:r>
      <w:r>
        <w:rPr>
          <w:sz w:val="20"/>
        </w:rPr>
        <w:t>to</w:t>
      </w:r>
      <w:r>
        <w:rPr>
          <w:spacing w:val="-4"/>
          <w:sz w:val="20"/>
        </w:rPr>
        <w:t> </w:t>
      </w:r>
      <w:r>
        <w:rPr>
          <w:sz w:val="20"/>
        </w:rPr>
        <w:t>support</w:t>
      </w:r>
      <w:r>
        <w:rPr>
          <w:spacing w:val="-2"/>
          <w:sz w:val="20"/>
        </w:rPr>
        <w:t> </w:t>
      </w:r>
      <w:r>
        <w:rPr>
          <w:sz w:val="20"/>
        </w:rPr>
        <w:t>transformation</w:t>
      </w:r>
      <w:r>
        <w:rPr>
          <w:spacing w:val="-2"/>
          <w:sz w:val="20"/>
        </w:rPr>
        <w:t> </w:t>
      </w:r>
      <w:r>
        <w:rPr>
          <w:sz w:val="20"/>
        </w:rPr>
        <w:t>of</w:t>
      </w:r>
      <w:r>
        <w:rPr>
          <w:spacing w:val="-4"/>
          <w:sz w:val="20"/>
        </w:rPr>
        <w:t> </w:t>
      </w:r>
      <w:r>
        <w:rPr>
          <w:sz w:val="20"/>
        </w:rPr>
        <w:t>practices</w:t>
      </w:r>
      <w:r>
        <w:rPr>
          <w:spacing w:val="-4"/>
          <w:sz w:val="20"/>
        </w:rPr>
        <w:t> </w:t>
      </w:r>
      <w:r>
        <w:rPr>
          <w:sz w:val="20"/>
        </w:rPr>
        <w:t>towards</w:t>
      </w:r>
      <w:r>
        <w:rPr>
          <w:spacing w:val="-4"/>
          <w:sz w:val="20"/>
        </w:rPr>
        <w:t> </w:t>
      </w:r>
      <w:r>
        <w:rPr>
          <w:sz w:val="20"/>
        </w:rPr>
        <w:t>a</w:t>
      </w:r>
      <w:r>
        <w:rPr>
          <w:spacing w:val="-2"/>
          <w:sz w:val="20"/>
        </w:rPr>
        <w:t> </w:t>
      </w:r>
      <w:r>
        <w:rPr>
          <w:sz w:val="20"/>
        </w:rPr>
        <w:t>HCH</w:t>
      </w:r>
      <w:r>
        <w:rPr>
          <w:spacing w:val="-1"/>
          <w:sz w:val="20"/>
        </w:rPr>
        <w:t> </w:t>
      </w:r>
      <w:r>
        <w:rPr>
          <w:sz w:val="20"/>
        </w:rPr>
        <w:t>model</w:t>
      </w:r>
    </w:p>
    <w:p>
      <w:pPr>
        <w:pStyle w:val="ListParagraph"/>
        <w:numPr>
          <w:ilvl w:val="0"/>
          <w:numId w:val="5"/>
        </w:numPr>
        <w:tabs>
          <w:tab w:pos="2153" w:val="left" w:leader="none"/>
          <w:tab w:pos="2154" w:val="left" w:leader="none"/>
        </w:tabs>
        <w:spacing w:line="276" w:lineRule="auto" w:before="38" w:after="0"/>
        <w:ind w:left="2153" w:right="2345" w:hanging="356"/>
        <w:jc w:val="left"/>
        <w:rPr>
          <w:sz w:val="20"/>
        </w:rPr>
      </w:pPr>
      <w:r>
        <w:rPr>
          <w:sz w:val="20"/>
        </w:rPr>
        <w:t>support</w:t>
      </w:r>
      <w:r>
        <w:rPr>
          <w:spacing w:val="-4"/>
          <w:sz w:val="20"/>
        </w:rPr>
        <w:t> </w:t>
      </w:r>
      <w:r>
        <w:rPr>
          <w:sz w:val="20"/>
        </w:rPr>
        <w:t>for</w:t>
      </w:r>
      <w:r>
        <w:rPr>
          <w:spacing w:val="-2"/>
          <w:sz w:val="20"/>
        </w:rPr>
        <w:t> </w:t>
      </w:r>
      <w:r>
        <w:rPr>
          <w:sz w:val="20"/>
        </w:rPr>
        <w:t>practices</w:t>
      </w:r>
      <w:r>
        <w:rPr>
          <w:spacing w:val="-5"/>
          <w:sz w:val="20"/>
        </w:rPr>
        <w:t> </w:t>
      </w:r>
      <w:r>
        <w:rPr>
          <w:sz w:val="20"/>
        </w:rPr>
        <w:t>to</w:t>
      </w:r>
      <w:r>
        <w:rPr>
          <w:spacing w:val="-5"/>
          <w:sz w:val="20"/>
        </w:rPr>
        <w:t> </w:t>
      </w:r>
      <w:r>
        <w:rPr>
          <w:sz w:val="20"/>
        </w:rPr>
        <w:t>undertake</w:t>
      </w:r>
      <w:r>
        <w:rPr>
          <w:spacing w:val="-5"/>
          <w:sz w:val="20"/>
        </w:rPr>
        <w:t> </w:t>
      </w:r>
      <w:r>
        <w:rPr>
          <w:sz w:val="20"/>
        </w:rPr>
        <w:t>transformation,</w:t>
      </w:r>
      <w:r>
        <w:rPr>
          <w:spacing w:val="-5"/>
          <w:sz w:val="20"/>
        </w:rPr>
        <w:t> </w:t>
      </w:r>
      <w:r>
        <w:rPr>
          <w:sz w:val="20"/>
        </w:rPr>
        <w:t>provided</w:t>
      </w:r>
      <w:r>
        <w:rPr>
          <w:spacing w:val="-4"/>
          <w:sz w:val="20"/>
        </w:rPr>
        <w:t> </w:t>
      </w:r>
      <w:r>
        <w:rPr>
          <w:sz w:val="20"/>
        </w:rPr>
        <w:t>by</w:t>
      </w:r>
      <w:r>
        <w:rPr>
          <w:spacing w:val="-4"/>
          <w:sz w:val="20"/>
        </w:rPr>
        <w:t> </w:t>
      </w:r>
      <w:r>
        <w:rPr>
          <w:sz w:val="20"/>
        </w:rPr>
        <w:t>PHN</w:t>
      </w:r>
      <w:r>
        <w:rPr>
          <w:spacing w:val="-5"/>
          <w:sz w:val="20"/>
        </w:rPr>
        <w:t> </w:t>
      </w:r>
      <w:r>
        <w:rPr>
          <w:sz w:val="20"/>
        </w:rPr>
        <w:t>practice</w:t>
      </w:r>
      <w:r>
        <w:rPr>
          <w:spacing w:val="-52"/>
          <w:sz w:val="20"/>
        </w:rPr>
        <w:t> </w:t>
      </w:r>
      <w:r>
        <w:rPr>
          <w:sz w:val="20"/>
        </w:rPr>
        <w:t>facilitators</w:t>
      </w:r>
    </w:p>
    <w:p>
      <w:pPr>
        <w:pStyle w:val="ListParagraph"/>
        <w:numPr>
          <w:ilvl w:val="0"/>
          <w:numId w:val="5"/>
        </w:numPr>
        <w:tabs>
          <w:tab w:pos="2153" w:val="left" w:leader="none"/>
          <w:tab w:pos="2154" w:val="left" w:leader="none"/>
        </w:tabs>
        <w:spacing w:line="276" w:lineRule="auto" w:before="0" w:after="0"/>
        <w:ind w:left="2153" w:right="1506" w:hanging="356"/>
        <w:jc w:val="left"/>
        <w:rPr>
          <w:sz w:val="20"/>
        </w:rPr>
      </w:pPr>
      <w:r>
        <w:rPr>
          <w:sz w:val="20"/>
        </w:rPr>
        <w:t>a system of shared care planning that gives authorised health professionals access to</w:t>
      </w:r>
      <w:r>
        <w:rPr>
          <w:spacing w:val="-53"/>
          <w:sz w:val="20"/>
        </w:rPr>
        <w:t> </w:t>
      </w:r>
      <w:r>
        <w:rPr>
          <w:sz w:val="20"/>
        </w:rPr>
        <w:t>an</w:t>
      </w:r>
      <w:r>
        <w:rPr>
          <w:spacing w:val="-1"/>
          <w:sz w:val="20"/>
        </w:rPr>
        <w:t> </w:t>
      </w:r>
      <w:r>
        <w:rPr>
          <w:sz w:val="20"/>
        </w:rPr>
        <w:t>up-to-date</w:t>
      </w:r>
      <w:r>
        <w:rPr>
          <w:spacing w:val="-2"/>
          <w:sz w:val="20"/>
        </w:rPr>
        <w:t> </w:t>
      </w:r>
      <w:r>
        <w:rPr>
          <w:sz w:val="20"/>
        </w:rPr>
        <w:t>electronic</w:t>
      </w:r>
      <w:r>
        <w:rPr>
          <w:spacing w:val="-2"/>
          <w:sz w:val="20"/>
        </w:rPr>
        <w:t> </w:t>
      </w:r>
      <w:r>
        <w:rPr>
          <w:sz w:val="20"/>
        </w:rPr>
        <w:t>medical</w:t>
      </w:r>
      <w:r>
        <w:rPr>
          <w:spacing w:val="-1"/>
          <w:sz w:val="20"/>
        </w:rPr>
        <w:t> </w:t>
      </w:r>
      <w:r>
        <w:rPr>
          <w:sz w:val="20"/>
        </w:rPr>
        <w:t>record</w:t>
      </w:r>
      <w:r>
        <w:rPr>
          <w:spacing w:val="-1"/>
          <w:sz w:val="20"/>
        </w:rPr>
        <w:t> </w:t>
      </w:r>
      <w:r>
        <w:rPr>
          <w:sz w:val="20"/>
        </w:rPr>
        <w:t>for</w:t>
      </w:r>
      <w:r>
        <w:rPr>
          <w:spacing w:val="-2"/>
          <w:sz w:val="20"/>
        </w:rPr>
        <w:t> </w:t>
      </w:r>
      <w:r>
        <w:rPr>
          <w:sz w:val="20"/>
        </w:rPr>
        <w:t>each enrolled</w:t>
      </w:r>
      <w:r>
        <w:rPr>
          <w:spacing w:val="-2"/>
          <w:sz w:val="20"/>
        </w:rPr>
        <w:t> </w:t>
      </w:r>
      <w:r>
        <w:rPr>
          <w:sz w:val="20"/>
        </w:rPr>
        <w:t>patient</w:t>
      </w:r>
    </w:p>
    <w:p>
      <w:pPr>
        <w:pStyle w:val="ListParagraph"/>
        <w:numPr>
          <w:ilvl w:val="0"/>
          <w:numId w:val="5"/>
        </w:numPr>
        <w:tabs>
          <w:tab w:pos="2153" w:val="left" w:leader="none"/>
          <w:tab w:pos="2154" w:val="left" w:leader="none"/>
        </w:tabs>
        <w:spacing w:line="240" w:lineRule="auto" w:before="0" w:after="0"/>
        <w:ind w:left="2153" w:right="0" w:hanging="356"/>
        <w:jc w:val="left"/>
        <w:rPr>
          <w:sz w:val="20"/>
        </w:rPr>
      </w:pPr>
      <w:r>
        <w:rPr>
          <w:sz w:val="20"/>
        </w:rPr>
        <w:t>data</w:t>
      </w:r>
      <w:r>
        <w:rPr>
          <w:spacing w:val="-4"/>
          <w:sz w:val="20"/>
        </w:rPr>
        <w:t> </w:t>
      </w:r>
      <w:r>
        <w:rPr>
          <w:sz w:val="20"/>
        </w:rPr>
        <w:t>sharing</w:t>
      </w:r>
    </w:p>
    <w:p>
      <w:pPr>
        <w:pStyle w:val="ListParagraph"/>
        <w:numPr>
          <w:ilvl w:val="0"/>
          <w:numId w:val="5"/>
        </w:numPr>
        <w:tabs>
          <w:tab w:pos="2153" w:val="left" w:leader="none"/>
          <w:tab w:pos="2154" w:val="left" w:leader="none"/>
        </w:tabs>
        <w:spacing w:line="240" w:lineRule="auto" w:before="36" w:after="0"/>
        <w:ind w:left="2153" w:right="0" w:hanging="356"/>
        <w:jc w:val="left"/>
        <w:rPr>
          <w:sz w:val="20"/>
        </w:rPr>
      </w:pPr>
      <w:r>
        <w:rPr>
          <w:sz w:val="20"/>
        </w:rPr>
        <w:t>evaluation</w:t>
      </w:r>
      <w:r>
        <w:rPr>
          <w:spacing w:val="-3"/>
          <w:sz w:val="20"/>
        </w:rPr>
        <w:t> </w:t>
      </w:r>
      <w:r>
        <w:rPr>
          <w:sz w:val="20"/>
        </w:rPr>
        <w:t>of</w:t>
      </w:r>
      <w:r>
        <w:rPr>
          <w:spacing w:val="-3"/>
          <w:sz w:val="20"/>
        </w:rPr>
        <w:t> </w:t>
      </w:r>
      <w:r>
        <w:rPr>
          <w:sz w:val="20"/>
        </w:rPr>
        <w:t>the</w:t>
      </w:r>
      <w:r>
        <w:rPr>
          <w:spacing w:val="-3"/>
          <w:sz w:val="20"/>
        </w:rPr>
        <w:t> </w:t>
      </w:r>
      <w:r>
        <w:rPr>
          <w:sz w:val="20"/>
        </w:rPr>
        <w:t>program.</w:t>
      </w:r>
    </w:p>
    <w:p>
      <w:pPr>
        <w:pStyle w:val="BodyText"/>
        <w:spacing w:before="4"/>
        <w:rPr>
          <w:sz w:val="19"/>
        </w:rPr>
      </w:pPr>
    </w:p>
    <w:p>
      <w:pPr>
        <w:pStyle w:val="BodyText"/>
        <w:spacing w:line="276" w:lineRule="auto"/>
        <w:ind w:left="1440" w:right="1450"/>
      </w:pPr>
      <w:r>
        <w:rPr/>
        <w:t>Systematic reviews of the impact of the PCMH (</w:t>
      </w:r>
      <w:hyperlink w:history="true" w:anchor="_bookmark113">
        <w:r>
          <w:rPr/>
          <w:t>Peikes, Zutshi, Genevro et al., 2012, </w:t>
        </w:r>
      </w:hyperlink>
      <w:hyperlink w:history="true" w:anchor="_bookmark143">
        <w:r>
          <w:rPr/>
          <w:t>Williams,</w:t>
        </w:r>
      </w:hyperlink>
      <w:r>
        <w:rPr>
          <w:spacing w:val="1"/>
        </w:rPr>
        <w:t> </w:t>
      </w:r>
      <w:r>
        <w:rPr/>
        <w:t>Jackson, Powers et al., 2012, </w:t>
      </w:r>
      <w:hyperlink w:history="true" w:anchor="_bookmark120">
        <w:r>
          <w:rPr/>
          <w:t>Jackson, Powers, Chatterjee et al., 2013</w:t>
        </w:r>
      </w:hyperlink>
      <w:r>
        <w:rPr/>
        <w:t>) and more recent</w:t>
      </w:r>
      <w:r>
        <w:rPr>
          <w:spacing w:val="1"/>
        </w:rPr>
        <w:t> </w:t>
      </w:r>
      <w:r>
        <w:rPr/>
        <w:t>individual trials (</w:t>
      </w:r>
      <w:hyperlink w:history="true" w:anchor="_bookmark111">
        <w:r>
          <w:rPr/>
          <w:t>Fishman, Johnson, Coleman et al., 2012, </w:t>
        </w:r>
      </w:hyperlink>
      <w:hyperlink w:history="true" w:anchor="_bookmark127">
        <w:r>
          <w:rPr/>
          <w:t>Mosquera, Avritscher, Samuels et al.,</w:t>
        </w:r>
      </w:hyperlink>
      <w:r>
        <w:rPr>
          <w:spacing w:val="-53"/>
        </w:rPr>
        <w:t> </w:t>
      </w:r>
      <w:r>
        <w:rPr/>
        <w:t>2014,</w:t>
      </w:r>
      <w:r>
        <w:rPr>
          <w:spacing w:val="1"/>
        </w:rPr>
        <w:t> </w:t>
      </w:r>
      <w:hyperlink w:history="true" w:anchor="_bookmark112">
        <w:r>
          <w:rPr/>
          <w:t>Friedberg,</w:t>
        </w:r>
        <w:r>
          <w:rPr>
            <w:spacing w:val="4"/>
          </w:rPr>
          <w:t> </w:t>
        </w:r>
        <w:r>
          <w:rPr/>
          <w:t>Rosenthal,</w:t>
        </w:r>
        <w:r>
          <w:rPr>
            <w:spacing w:val="2"/>
          </w:rPr>
          <w:t> </w:t>
        </w:r>
        <w:r>
          <w:rPr/>
          <w:t>Werner</w:t>
        </w:r>
        <w:r>
          <w:rPr>
            <w:spacing w:val="4"/>
          </w:rPr>
          <w:t> </w:t>
        </w:r>
        <w:r>
          <w:rPr/>
          <w:t>et</w:t>
        </w:r>
        <w:r>
          <w:rPr>
            <w:spacing w:val="7"/>
          </w:rPr>
          <w:t> </w:t>
        </w:r>
        <w:r>
          <w:rPr/>
          <w:t>al.,</w:t>
        </w:r>
        <w:r>
          <w:rPr>
            <w:spacing w:val="4"/>
          </w:rPr>
          <w:t> </w:t>
        </w:r>
        <w:r>
          <w:rPr/>
          <w:t>2015,</w:t>
        </w:r>
        <w:r>
          <w:rPr>
            <w:spacing w:val="3"/>
          </w:rPr>
          <w:t> </w:t>
        </w:r>
      </w:hyperlink>
      <w:hyperlink w:history="true" w:anchor="_bookmark135">
        <w:r>
          <w:rPr/>
          <w:t>Rosenthal,</w:t>
        </w:r>
        <w:r>
          <w:rPr>
            <w:spacing w:val="2"/>
          </w:rPr>
          <w:t> </w:t>
        </w:r>
        <w:r>
          <w:rPr/>
          <w:t>Sinaiko,</w:t>
        </w:r>
        <w:r>
          <w:rPr>
            <w:spacing w:val="2"/>
          </w:rPr>
          <w:t> </w:t>
        </w:r>
        <w:r>
          <w:rPr/>
          <w:t>Eastman</w:t>
        </w:r>
        <w:r>
          <w:rPr>
            <w:spacing w:val="5"/>
          </w:rPr>
          <w:t> </w:t>
        </w:r>
        <w:r>
          <w:rPr/>
          <w:t>et</w:t>
        </w:r>
        <w:r>
          <w:rPr>
            <w:spacing w:val="6"/>
          </w:rPr>
          <w:t> </w:t>
        </w:r>
        <w:r>
          <w:rPr/>
          <w:t>al.,</w:t>
        </w:r>
        <w:r>
          <w:rPr>
            <w:spacing w:val="4"/>
          </w:rPr>
          <w:t> </w:t>
        </w:r>
        <w:r>
          <w:rPr/>
          <w:t>2015,</w:t>
        </w:r>
      </w:hyperlink>
      <w:r>
        <w:rPr>
          <w:spacing w:val="1"/>
        </w:rPr>
        <w:t> </w:t>
      </w:r>
      <w:hyperlink w:history="true" w:anchor="_bookmark110">
        <w:r>
          <w:rPr/>
          <w:t>Fifield, Forrest, Martin-Peele et al., 2013</w:t>
        </w:r>
      </w:hyperlink>
      <w:r>
        <w:rPr/>
        <w:t>), show mixed findings of PCMH. One of the challenges</w:t>
      </w:r>
      <w:r>
        <w:rPr>
          <w:spacing w:val="-53"/>
        </w:rPr>
        <w:t> </w:t>
      </w:r>
      <w:r>
        <w:rPr/>
        <w:t>is the extent to which any one practice/ organisation has implemented the range of</w:t>
      </w:r>
      <w:r>
        <w:rPr>
          <w:spacing w:val="1"/>
        </w:rPr>
        <w:t> </w:t>
      </w:r>
      <w:r>
        <w:rPr/>
        <w:t>components associated with PCMH. Where positive effects have been shown, they have</w:t>
      </w:r>
      <w:r>
        <w:rPr>
          <w:spacing w:val="1"/>
        </w:rPr>
        <w:t> </w:t>
      </w:r>
      <w:r>
        <w:rPr/>
        <w:t>been on patient and staff experience, care processes, and reduced presentations to</w:t>
      </w:r>
      <w:r>
        <w:rPr>
          <w:spacing w:val="1"/>
        </w:rPr>
        <w:t> </w:t>
      </w:r>
      <w:r>
        <w:rPr/>
        <w:t>emergency</w:t>
      </w:r>
      <w:r>
        <w:rPr>
          <w:spacing w:val="-3"/>
        </w:rPr>
        <w:t> </w:t>
      </w:r>
      <w:r>
        <w:rPr/>
        <w:t>departments</w:t>
      </w:r>
      <w:r>
        <w:rPr>
          <w:spacing w:val="-4"/>
        </w:rPr>
        <w:t> </w:t>
      </w:r>
      <w:r>
        <w:rPr/>
        <w:t>and</w:t>
      </w:r>
      <w:r>
        <w:rPr>
          <w:spacing w:val="-1"/>
        </w:rPr>
        <w:t> </w:t>
      </w:r>
      <w:r>
        <w:rPr/>
        <w:t>hospitalisation.</w:t>
      </w:r>
    </w:p>
    <w:p>
      <w:pPr>
        <w:pStyle w:val="BodyText"/>
        <w:spacing w:line="276" w:lineRule="auto" w:before="201"/>
        <w:ind w:left="1440" w:right="1713"/>
      </w:pPr>
      <w:r>
        <w:rPr/>
        <w:t>In August 2018, under the Sixth Community Pharmacy Agreement, the Government</w:t>
      </w:r>
      <w:r>
        <w:rPr>
          <w:spacing w:val="1"/>
        </w:rPr>
        <w:t> </w:t>
      </w:r>
      <w:r>
        <w:rPr/>
        <w:t>dedicated funds for HCH patients to receive additional medication management services</w:t>
      </w:r>
      <w:r>
        <w:rPr>
          <w:spacing w:val="-54"/>
        </w:rPr>
        <w:t> </w:t>
      </w:r>
      <w:r>
        <w:rPr/>
        <w:t>from</w:t>
      </w:r>
      <w:r>
        <w:rPr>
          <w:spacing w:val="-2"/>
        </w:rPr>
        <w:t> </w:t>
      </w:r>
      <w:r>
        <w:rPr/>
        <w:t>a community</w:t>
      </w:r>
      <w:r>
        <w:rPr>
          <w:spacing w:val="-2"/>
        </w:rPr>
        <w:t> </w:t>
      </w:r>
      <w:r>
        <w:rPr/>
        <w:t>pharmacy,</w:t>
      </w:r>
      <w:r>
        <w:rPr>
          <w:spacing w:val="-3"/>
        </w:rPr>
        <w:t> </w:t>
      </w:r>
      <w:r>
        <w:rPr/>
        <w:t>including:</w:t>
      </w:r>
    </w:p>
    <w:p>
      <w:pPr>
        <w:pStyle w:val="ListParagraph"/>
        <w:numPr>
          <w:ilvl w:val="0"/>
          <w:numId w:val="6"/>
        </w:numPr>
        <w:tabs>
          <w:tab w:pos="2154" w:val="left" w:leader="none"/>
        </w:tabs>
        <w:spacing w:line="240" w:lineRule="auto" w:before="201" w:after="0"/>
        <w:ind w:left="2153" w:right="0" w:hanging="356"/>
        <w:jc w:val="left"/>
        <w:rPr>
          <w:sz w:val="20"/>
        </w:rPr>
      </w:pPr>
      <w:r>
        <w:rPr>
          <w:sz w:val="20"/>
        </w:rPr>
        <w:t>Medication</w:t>
      </w:r>
      <w:r>
        <w:rPr>
          <w:spacing w:val="-4"/>
          <w:sz w:val="20"/>
        </w:rPr>
        <w:t> </w:t>
      </w:r>
      <w:r>
        <w:rPr>
          <w:sz w:val="20"/>
        </w:rPr>
        <w:t>reconciliation</w:t>
      </w:r>
      <w:r>
        <w:rPr>
          <w:spacing w:val="-4"/>
          <w:sz w:val="20"/>
        </w:rPr>
        <w:t> </w:t>
      </w:r>
      <w:r>
        <w:rPr>
          <w:sz w:val="20"/>
        </w:rPr>
        <w:t>and</w:t>
      </w:r>
      <w:r>
        <w:rPr>
          <w:spacing w:val="-5"/>
          <w:sz w:val="20"/>
        </w:rPr>
        <w:t> </w:t>
      </w:r>
      <w:r>
        <w:rPr>
          <w:sz w:val="20"/>
        </w:rPr>
        <w:t>assessing</w:t>
      </w:r>
      <w:r>
        <w:rPr>
          <w:spacing w:val="-5"/>
          <w:sz w:val="20"/>
        </w:rPr>
        <w:t> </w:t>
      </w:r>
      <w:r>
        <w:rPr>
          <w:sz w:val="20"/>
        </w:rPr>
        <w:t>the</w:t>
      </w:r>
      <w:r>
        <w:rPr>
          <w:spacing w:val="-4"/>
          <w:sz w:val="20"/>
        </w:rPr>
        <w:t> </w:t>
      </w:r>
      <w:r>
        <w:rPr>
          <w:sz w:val="20"/>
        </w:rPr>
        <w:t>patient’s</w:t>
      </w:r>
      <w:r>
        <w:rPr>
          <w:spacing w:val="-5"/>
          <w:sz w:val="20"/>
        </w:rPr>
        <w:t> </w:t>
      </w:r>
      <w:r>
        <w:rPr>
          <w:sz w:val="20"/>
        </w:rPr>
        <w:t>medicines</w:t>
      </w:r>
      <w:r>
        <w:rPr>
          <w:spacing w:val="-5"/>
          <w:sz w:val="20"/>
        </w:rPr>
        <w:t> </w:t>
      </w:r>
      <w:r>
        <w:rPr>
          <w:sz w:val="20"/>
        </w:rPr>
        <w:t>regimen.</w:t>
      </w:r>
    </w:p>
    <w:p>
      <w:pPr>
        <w:pStyle w:val="ListParagraph"/>
        <w:numPr>
          <w:ilvl w:val="0"/>
          <w:numId w:val="6"/>
        </w:numPr>
        <w:tabs>
          <w:tab w:pos="2154" w:val="left" w:leader="none"/>
        </w:tabs>
        <w:spacing w:line="276" w:lineRule="auto" w:before="35" w:after="0"/>
        <w:ind w:left="2153" w:right="1990" w:hanging="356"/>
        <w:jc w:val="left"/>
        <w:rPr>
          <w:sz w:val="20"/>
        </w:rPr>
      </w:pPr>
      <w:r>
        <w:rPr>
          <w:sz w:val="20"/>
        </w:rPr>
        <w:t>Identifying any potential medication-related issues and agreeing on medication</w:t>
      </w:r>
      <w:r>
        <w:rPr>
          <w:spacing w:val="-53"/>
          <w:sz w:val="20"/>
        </w:rPr>
        <w:t> </w:t>
      </w:r>
      <w:r>
        <w:rPr>
          <w:sz w:val="20"/>
        </w:rPr>
        <w:t>management goals.</w:t>
      </w:r>
    </w:p>
    <w:p>
      <w:pPr>
        <w:pStyle w:val="ListParagraph"/>
        <w:numPr>
          <w:ilvl w:val="0"/>
          <w:numId w:val="6"/>
        </w:numPr>
        <w:tabs>
          <w:tab w:pos="2154" w:val="left" w:leader="none"/>
        </w:tabs>
        <w:spacing w:line="276" w:lineRule="auto" w:before="0" w:after="0"/>
        <w:ind w:left="2153" w:right="1513" w:hanging="356"/>
        <w:jc w:val="left"/>
        <w:rPr>
          <w:sz w:val="20"/>
        </w:rPr>
      </w:pPr>
      <w:r>
        <w:rPr>
          <w:sz w:val="20"/>
        </w:rPr>
        <w:t>Developing a medication management plan (MMP) in collaboration with the patient</w:t>
      </w:r>
      <w:r>
        <w:rPr>
          <w:spacing w:val="-53"/>
          <w:sz w:val="20"/>
        </w:rPr>
        <w:t> </w:t>
      </w:r>
      <w:r>
        <w:rPr>
          <w:sz w:val="20"/>
        </w:rPr>
        <w:t>and</w:t>
      </w:r>
      <w:r>
        <w:rPr>
          <w:spacing w:val="-2"/>
          <w:sz w:val="20"/>
        </w:rPr>
        <w:t> </w:t>
      </w:r>
      <w:r>
        <w:rPr>
          <w:sz w:val="20"/>
        </w:rPr>
        <w:t>their</w:t>
      </w:r>
      <w:r>
        <w:rPr>
          <w:spacing w:val="-1"/>
          <w:sz w:val="20"/>
        </w:rPr>
        <w:t> </w:t>
      </w:r>
      <w:r>
        <w:rPr>
          <w:sz w:val="20"/>
        </w:rPr>
        <w:t>HCH.</w:t>
      </w:r>
    </w:p>
    <w:p>
      <w:pPr>
        <w:pStyle w:val="ListParagraph"/>
        <w:numPr>
          <w:ilvl w:val="0"/>
          <w:numId w:val="6"/>
        </w:numPr>
        <w:tabs>
          <w:tab w:pos="2161" w:val="left" w:leader="none"/>
        </w:tabs>
        <w:spacing w:line="276" w:lineRule="auto" w:before="0" w:after="0"/>
        <w:ind w:left="2160" w:right="1597" w:hanging="360"/>
        <w:jc w:val="left"/>
        <w:rPr>
          <w:sz w:val="20"/>
        </w:rPr>
      </w:pPr>
      <w:r>
        <w:rPr>
          <w:sz w:val="20"/>
        </w:rPr>
        <w:t>Providing regular follow-up reviews with the patient (in consultation with the referring</w:t>
      </w:r>
      <w:r>
        <w:rPr>
          <w:spacing w:val="-54"/>
          <w:sz w:val="20"/>
        </w:rPr>
        <w:t> </w:t>
      </w:r>
      <w:r>
        <w:rPr>
          <w:sz w:val="20"/>
        </w:rPr>
        <w:t>HCH</w:t>
      </w:r>
      <w:r>
        <w:rPr>
          <w:spacing w:val="-1"/>
          <w:sz w:val="20"/>
        </w:rPr>
        <w:t> </w:t>
      </w:r>
      <w:r>
        <w:rPr>
          <w:sz w:val="20"/>
        </w:rPr>
        <w:t>practice).</w:t>
      </w:r>
    </w:p>
    <w:p>
      <w:pPr>
        <w:pStyle w:val="ListParagraph"/>
        <w:numPr>
          <w:ilvl w:val="0"/>
          <w:numId w:val="6"/>
        </w:numPr>
        <w:tabs>
          <w:tab w:pos="2161" w:val="left" w:leader="none"/>
        </w:tabs>
        <w:spacing w:line="276" w:lineRule="auto" w:before="1" w:after="0"/>
        <w:ind w:left="2160" w:right="1480" w:hanging="360"/>
        <w:jc w:val="both"/>
        <w:rPr>
          <w:sz w:val="20"/>
        </w:rPr>
      </w:pPr>
      <w:r>
        <w:rPr>
          <w:sz w:val="20"/>
        </w:rPr>
        <w:t>Providing support services for the more complex patients, such as dose administration</w:t>
      </w:r>
      <w:r>
        <w:rPr>
          <w:spacing w:val="-53"/>
          <w:sz w:val="20"/>
        </w:rPr>
        <w:t> </w:t>
      </w:r>
      <w:r>
        <w:rPr>
          <w:sz w:val="20"/>
        </w:rPr>
        <w:t>aids, blood glucose monitoring, blood pressure monitoring and asthma management</w:t>
      </w:r>
      <w:r>
        <w:rPr>
          <w:spacing w:val="-53"/>
          <w:sz w:val="20"/>
        </w:rPr>
        <w:t> </w:t>
      </w:r>
      <w:r>
        <w:rPr>
          <w:sz w:val="20"/>
        </w:rPr>
        <w:t>planning.</w:t>
      </w:r>
    </w:p>
    <w:p>
      <w:pPr>
        <w:spacing w:after="0" w:line="276" w:lineRule="auto"/>
        <w:jc w:val="both"/>
        <w:rPr>
          <w:sz w:val="20"/>
        </w:rPr>
        <w:sectPr>
          <w:pgSz w:w="11910" w:h="16840"/>
          <w:pgMar w:header="0" w:footer="675" w:top="0" w:bottom="860" w:left="0" w:right="0"/>
        </w:sectPr>
      </w:pPr>
    </w:p>
    <w:p>
      <w:pPr>
        <w:pStyle w:val="BodyText"/>
        <w:spacing w:line="276" w:lineRule="auto" w:before="82"/>
        <w:ind w:left="1440" w:right="1461"/>
      </w:pPr>
      <w:r>
        <w:rPr/>
        <w:t>The</w:t>
      </w:r>
      <w:r>
        <w:rPr>
          <w:spacing w:val="-3"/>
        </w:rPr>
        <w:t> </w:t>
      </w:r>
      <w:r>
        <w:rPr/>
        <w:t>program</w:t>
      </w:r>
      <w:r>
        <w:rPr>
          <w:spacing w:val="-3"/>
        </w:rPr>
        <w:t> </w:t>
      </w:r>
      <w:r>
        <w:rPr/>
        <w:t>is</w:t>
      </w:r>
      <w:r>
        <w:rPr>
          <w:spacing w:val="-3"/>
        </w:rPr>
        <w:t> </w:t>
      </w:r>
      <w:r>
        <w:rPr/>
        <w:t>accessed by</w:t>
      </w:r>
      <w:r>
        <w:rPr>
          <w:spacing w:val="-4"/>
        </w:rPr>
        <w:t> </w:t>
      </w:r>
      <w:r>
        <w:rPr/>
        <w:t>referral of</w:t>
      </w:r>
      <w:r>
        <w:rPr>
          <w:spacing w:val="-3"/>
        </w:rPr>
        <w:t> </w:t>
      </w:r>
      <w:r>
        <w:rPr/>
        <w:t>the</w:t>
      </w:r>
      <w:r>
        <w:rPr>
          <w:spacing w:val="-3"/>
        </w:rPr>
        <w:t> </w:t>
      </w:r>
      <w:r>
        <w:rPr/>
        <w:t>patient</w:t>
      </w:r>
      <w:r>
        <w:rPr>
          <w:spacing w:val="-3"/>
        </w:rPr>
        <w:t> </w:t>
      </w:r>
      <w:r>
        <w:rPr/>
        <w:t>by</w:t>
      </w:r>
      <w:r>
        <w:rPr>
          <w:spacing w:val="-4"/>
        </w:rPr>
        <w:t> </w:t>
      </w:r>
      <w:r>
        <w:rPr/>
        <w:t>their</w:t>
      </w:r>
      <w:r>
        <w:rPr>
          <w:spacing w:val="-3"/>
        </w:rPr>
        <w:t> </w:t>
      </w:r>
      <w:r>
        <w:rPr/>
        <w:t>HCH</w:t>
      </w:r>
      <w:r>
        <w:rPr>
          <w:spacing w:val="-2"/>
        </w:rPr>
        <w:t> </w:t>
      </w:r>
      <w:r>
        <w:rPr/>
        <w:t>to</w:t>
      </w:r>
      <w:r>
        <w:rPr>
          <w:spacing w:val="-3"/>
        </w:rPr>
        <w:t> </w:t>
      </w:r>
      <w:r>
        <w:rPr/>
        <w:t>a</w:t>
      </w:r>
      <w:r>
        <w:rPr>
          <w:spacing w:val="-2"/>
        </w:rPr>
        <w:t> </w:t>
      </w:r>
      <w:r>
        <w:rPr/>
        <w:t>community</w:t>
      </w:r>
      <w:r>
        <w:rPr>
          <w:spacing w:val="-4"/>
        </w:rPr>
        <w:t> </w:t>
      </w:r>
      <w:r>
        <w:rPr/>
        <w:t>pharmacy</w:t>
      </w:r>
      <w:r>
        <w:rPr>
          <w:spacing w:val="-4"/>
        </w:rPr>
        <w:t> </w:t>
      </w:r>
      <w:r>
        <w:rPr/>
        <w:t>of</w:t>
      </w:r>
      <w:r>
        <w:rPr>
          <w:spacing w:val="-52"/>
        </w:rPr>
        <w:t> </w:t>
      </w:r>
      <w:r>
        <w:rPr/>
        <w:t>their choice. The community pharmacy and the HCH care team are to work together to</w:t>
      </w:r>
      <w:r>
        <w:rPr>
          <w:spacing w:val="1"/>
        </w:rPr>
        <w:t> </w:t>
      </w:r>
      <w:r>
        <w:rPr/>
        <w:t>deliver</w:t>
      </w:r>
      <w:r>
        <w:rPr>
          <w:spacing w:val="-2"/>
        </w:rPr>
        <w:t> </w:t>
      </w:r>
      <w:r>
        <w:rPr/>
        <w:t>the MMP.</w:t>
      </w:r>
    </w:p>
    <w:p>
      <w:pPr>
        <w:pStyle w:val="BodyText"/>
        <w:spacing w:line="276" w:lineRule="auto" w:before="201"/>
        <w:ind w:left="1440" w:right="2108"/>
      </w:pPr>
      <w:r>
        <w:rPr/>
        <w:t>Involvement of a community pharmacist in HCH-style models has been shown to have</w:t>
      </w:r>
      <w:r>
        <w:rPr>
          <w:spacing w:val="-53"/>
        </w:rPr>
        <w:t> </w:t>
      </w:r>
      <w:r>
        <w:rPr/>
        <w:t>benefits</w:t>
      </w:r>
      <w:r>
        <w:rPr>
          <w:spacing w:val="-2"/>
        </w:rPr>
        <w:t> </w:t>
      </w:r>
      <w:r>
        <w:rPr/>
        <w:t>in several evaluations,</w:t>
      </w:r>
      <w:r>
        <w:rPr>
          <w:spacing w:val="-3"/>
        </w:rPr>
        <w:t> </w:t>
      </w:r>
      <w:r>
        <w:rPr/>
        <w:t>including:</w:t>
      </w:r>
    </w:p>
    <w:p>
      <w:pPr>
        <w:pStyle w:val="ListParagraph"/>
        <w:numPr>
          <w:ilvl w:val="0"/>
          <w:numId w:val="5"/>
        </w:numPr>
        <w:tabs>
          <w:tab w:pos="2161" w:val="left" w:leader="none"/>
        </w:tabs>
        <w:spacing w:line="276" w:lineRule="auto" w:before="199" w:after="0"/>
        <w:ind w:left="2160" w:right="2015" w:hanging="360"/>
        <w:jc w:val="both"/>
        <w:rPr>
          <w:sz w:val="20"/>
        </w:rPr>
      </w:pPr>
      <w:r>
        <w:rPr>
          <w:sz w:val="20"/>
        </w:rPr>
        <w:t>Improved patient adherence to their medication regimen (</w:t>
      </w:r>
      <w:hyperlink w:history="true" w:anchor="_bookmark138">
        <w:r>
          <w:rPr>
            <w:sz w:val="20"/>
          </w:rPr>
          <w:t>Slazak, Kozakiewicz,</w:t>
        </w:r>
      </w:hyperlink>
      <w:r>
        <w:rPr>
          <w:spacing w:val="1"/>
          <w:sz w:val="20"/>
        </w:rPr>
        <w:t> </w:t>
      </w:r>
      <w:r>
        <w:rPr>
          <w:sz w:val="20"/>
        </w:rPr>
        <w:t>Winters et al., 2017, </w:t>
      </w:r>
      <w:hyperlink w:history="true" w:anchor="_bookmark108">
        <w:r>
          <w:rPr>
            <w:sz w:val="20"/>
          </w:rPr>
          <w:t>Debenito, Billups, Tran et al., 2014, </w:t>
        </w:r>
      </w:hyperlink>
      <w:hyperlink w:history="true" w:anchor="_bookmark100">
        <w:r>
          <w:rPr>
            <w:sz w:val="20"/>
          </w:rPr>
          <w:t>Altavela, Jones and Ritter,</w:t>
        </w:r>
      </w:hyperlink>
      <w:r>
        <w:rPr>
          <w:spacing w:val="-53"/>
          <w:sz w:val="20"/>
        </w:rPr>
        <w:t> </w:t>
      </w:r>
      <w:r>
        <w:rPr>
          <w:sz w:val="20"/>
        </w:rPr>
        <w:t>2008),</w:t>
      </w:r>
      <w:r>
        <w:rPr>
          <w:spacing w:val="-4"/>
          <w:sz w:val="20"/>
        </w:rPr>
        <w:t> </w:t>
      </w:r>
      <w:r>
        <w:rPr>
          <w:sz w:val="20"/>
        </w:rPr>
        <w:t>which</w:t>
      </w:r>
      <w:r>
        <w:rPr>
          <w:spacing w:val="-1"/>
          <w:sz w:val="20"/>
        </w:rPr>
        <w:t> </w:t>
      </w:r>
      <w:r>
        <w:rPr>
          <w:sz w:val="20"/>
        </w:rPr>
        <w:t>in</w:t>
      </w:r>
      <w:r>
        <w:rPr>
          <w:spacing w:val="-2"/>
          <w:sz w:val="20"/>
        </w:rPr>
        <w:t> </w:t>
      </w:r>
      <w:r>
        <w:rPr>
          <w:sz w:val="20"/>
        </w:rPr>
        <w:t>turn</w:t>
      </w:r>
      <w:r>
        <w:rPr>
          <w:spacing w:val="-1"/>
          <w:sz w:val="20"/>
        </w:rPr>
        <w:t> </w:t>
      </w:r>
      <w:r>
        <w:rPr>
          <w:sz w:val="20"/>
        </w:rPr>
        <w:t>contributes</w:t>
      </w:r>
      <w:r>
        <w:rPr>
          <w:spacing w:val="-2"/>
          <w:sz w:val="20"/>
        </w:rPr>
        <w:t> </w:t>
      </w:r>
      <w:r>
        <w:rPr>
          <w:sz w:val="20"/>
        </w:rPr>
        <w:t>to</w:t>
      </w:r>
      <w:r>
        <w:rPr>
          <w:spacing w:val="-1"/>
          <w:sz w:val="20"/>
        </w:rPr>
        <w:t> </w:t>
      </w:r>
      <w:r>
        <w:rPr>
          <w:sz w:val="20"/>
        </w:rPr>
        <w:t>improved</w:t>
      </w:r>
      <w:r>
        <w:rPr>
          <w:spacing w:val="-2"/>
          <w:sz w:val="20"/>
        </w:rPr>
        <w:t> </w:t>
      </w:r>
      <w:r>
        <w:rPr>
          <w:sz w:val="20"/>
        </w:rPr>
        <w:t>clinical</w:t>
      </w:r>
      <w:r>
        <w:rPr>
          <w:spacing w:val="-1"/>
          <w:sz w:val="20"/>
        </w:rPr>
        <w:t> </w:t>
      </w:r>
      <w:r>
        <w:rPr>
          <w:sz w:val="20"/>
        </w:rPr>
        <w:t>outcomes.</w:t>
      </w:r>
    </w:p>
    <w:p>
      <w:pPr>
        <w:pStyle w:val="ListParagraph"/>
        <w:numPr>
          <w:ilvl w:val="0"/>
          <w:numId w:val="5"/>
        </w:numPr>
        <w:tabs>
          <w:tab w:pos="2160" w:val="left" w:leader="none"/>
          <w:tab w:pos="2161" w:val="left" w:leader="none"/>
        </w:tabs>
        <w:spacing w:line="240" w:lineRule="auto" w:before="200" w:after="0"/>
        <w:ind w:left="2160" w:right="0" w:hanging="361"/>
        <w:jc w:val="left"/>
        <w:rPr>
          <w:sz w:val="20"/>
        </w:rPr>
      </w:pPr>
      <w:r>
        <w:rPr>
          <w:sz w:val="20"/>
        </w:rPr>
        <w:t>Improved</w:t>
      </w:r>
      <w:r>
        <w:rPr>
          <w:spacing w:val="-5"/>
          <w:sz w:val="20"/>
        </w:rPr>
        <w:t> </w:t>
      </w:r>
      <w:r>
        <w:rPr>
          <w:sz w:val="20"/>
        </w:rPr>
        <w:t>patient</w:t>
      </w:r>
      <w:r>
        <w:rPr>
          <w:spacing w:val="-2"/>
          <w:sz w:val="20"/>
        </w:rPr>
        <w:t> </w:t>
      </w:r>
      <w:r>
        <w:rPr>
          <w:sz w:val="20"/>
        </w:rPr>
        <w:t>clinical</w:t>
      </w:r>
      <w:r>
        <w:rPr>
          <w:spacing w:val="-5"/>
          <w:sz w:val="20"/>
        </w:rPr>
        <w:t> </w:t>
      </w:r>
      <w:r>
        <w:rPr>
          <w:sz w:val="20"/>
        </w:rPr>
        <w:t>outcomes,</w:t>
      </w:r>
      <w:r>
        <w:rPr>
          <w:spacing w:val="-6"/>
          <w:sz w:val="20"/>
        </w:rPr>
        <w:t> </w:t>
      </w:r>
      <w:r>
        <w:rPr>
          <w:sz w:val="20"/>
        </w:rPr>
        <w:t>such</w:t>
      </w:r>
      <w:r>
        <w:rPr>
          <w:spacing w:val="-4"/>
          <w:sz w:val="20"/>
        </w:rPr>
        <w:t> </w:t>
      </w:r>
      <w:r>
        <w:rPr>
          <w:sz w:val="20"/>
        </w:rPr>
        <w:t>as:</w:t>
      </w:r>
    </w:p>
    <w:p>
      <w:pPr>
        <w:pStyle w:val="BodyText"/>
        <w:spacing w:before="5"/>
        <w:rPr>
          <w:sz w:val="19"/>
        </w:rPr>
      </w:pPr>
    </w:p>
    <w:p>
      <w:pPr>
        <w:pStyle w:val="ListParagraph"/>
        <w:numPr>
          <w:ilvl w:val="1"/>
          <w:numId w:val="5"/>
        </w:numPr>
        <w:tabs>
          <w:tab w:pos="2881" w:val="left" w:leader="none"/>
        </w:tabs>
        <w:spacing w:line="268" w:lineRule="auto" w:before="0" w:after="0"/>
        <w:ind w:left="2880" w:right="1539" w:hanging="360"/>
        <w:jc w:val="left"/>
        <w:rPr>
          <w:sz w:val="20"/>
        </w:rPr>
      </w:pPr>
      <w:r>
        <w:rPr>
          <w:sz w:val="20"/>
        </w:rPr>
        <w:t>HbA1C and other outcomes for diabetic patients (</w:t>
      </w:r>
      <w:hyperlink w:history="true" w:anchor="_bookmark132">
        <w:r>
          <w:rPr>
            <w:sz w:val="20"/>
          </w:rPr>
          <w:t>Prudencio, Cutler, Roberts</w:t>
        </w:r>
      </w:hyperlink>
      <w:r>
        <w:rPr>
          <w:spacing w:val="1"/>
          <w:sz w:val="20"/>
        </w:rPr>
        <w:t> </w:t>
      </w:r>
      <w:r>
        <w:rPr>
          <w:sz w:val="20"/>
        </w:rPr>
        <w:t>et al., 2018, </w:t>
      </w:r>
      <w:hyperlink w:history="true" w:anchor="_bookmark106">
        <w:r>
          <w:rPr>
            <w:sz w:val="20"/>
          </w:rPr>
          <w:t>Chung, Rascati, Lopez et al., 2014, </w:t>
        </w:r>
      </w:hyperlink>
      <w:hyperlink w:history="true" w:anchor="_bookmark104">
        <w:r>
          <w:rPr>
            <w:sz w:val="20"/>
          </w:rPr>
          <w:t>Brooks, Rihani and Derus, 2007,</w:t>
        </w:r>
      </w:hyperlink>
      <w:r>
        <w:rPr>
          <w:spacing w:val="-53"/>
          <w:sz w:val="20"/>
        </w:rPr>
        <w:t> </w:t>
      </w:r>
      <w:hyperlink w:history="true" w:anchor="_bookmark130">
        <w:r>
          <w:rPr>
            <w:sz w:val="20"/>
          </w:rPr>
          <w:t>Pousinho, Morgado, Falcao et al., 2016, </w:t>
        </w:r>
      </w:hyperlink>
      <w:hyperlink w:history="true" w:anchor="_bookmark107">
        <w:r>
          <w:rPr>
            <w:sz w:val="20"/>
          </w:rPr>
          <w:t>Cranor, Bunting and Christensen,</w:t>
        </w:r>
      </w:hyperlink>
      <w:r>
        <w:rPr>
          <w:spacing w:val="1"/>
          <w:sz w:val="20"/>
        </w:rPr>
        <w:t> </w:t>
      </w:r>
      <w:r>
        <w:rPr>
          <w:sz w:val="20"/>
        </w:rPr>
        <w:t>2003)</w:t>
      </w:r>
    </w:p>
    <w:p>
      <w:pPr>
        <w:pStyle w:val="ListParagraph"/>
        <w:numPr>
          <w:ilvl w:val="1"/>
          <w:numId w:val="5"/>
        </w:numPr>
        <w:tabs>
          <w:tab w:pos="2881" w:val="left" w:leader="none"/>
        </w:tabs>
        <w:spacing w:line="259" w:lineRule="auto" w:before="213" w:after="0"/>
        <w:ind w:left="2880" w:right="2449" w:hanging="360"/>
        <w:jc w:val="left"/>
        <w:rPr>
          <w:sz w:val="20"/>
        </w:rPr>
      </w:pPr>
      <w:r>
        <w:rPr>
          <w:sz w:val="20"/>
        </w:rPr>
        <w:t>Peak expiratory rates for patients with asthma or chronic obstructive</w:t>
      </w:r>
      <w:r>
        <w:rPr>
          <w:spacing w:val="-53"/>
          <w:sz w:val="20"/>
        </w:rPr>
        <w:t> </w:t>
      </w:r>
      <w:r>
        <w:rPr>
          <w:sz w:val="20"/>
        </w:rPr>
        <w:t>pulmonary</w:t>
      </w:r>
      <w:r>
        <w:rPr>
          <w:spacing w:val="-1"/>
          <w:sz w:val="20"/>
        </w:rPr>
        <w:t> </w:t>
      </w:r>
      <w:r>
        <w:rPr>
          <w:sz w:val="20"/>
        </w:rPr>
        <w:t>disease (</w:t>
      </w:r>
      <w:hyperlink w:history="true" w:anchor="_bookmark142">
        <w:r>
          <w:rPr>
            <w:sz w:val="20"/>
          </w:rPr>
          <w:t>Weinberger,</w:t>
        </w:r>
        <w:r>
          <w:rPr>
            <w:spacing w:val="-2"/>
            <w:sz w:val="20"/>
          </w:rPr>
          <w:t> </w:t>
        </w:r>
        <w:r>
          <w:rPr>
            <w:sz w:val="20"/>
          </w:rPr>
          <w:t>Murray,</w:t>
        </w:r>
        <w:r>
          <w:rPr>
            <w:spacing w:val="-4"/>
            <w:sz w:val="20"/>
          </w:rPr>
          <w:t> </w:t>
        </w:r>
        <w:r>
          <w:rPr>
            <w:sz w:val="20"/>
          </w:rPr>
          <w:t>Marrero et al.,</w:t>
        </w:r>
        <w:r>
          <w:rPr>
            <w:spacing w:val="-4"/>
            <w:sz w:val="20"/>
          </w:rPr>
          <w:t> </w:t>
        </w:r>
        <w:r>
          <w:rPr>
            <w:sz w:val="20"/>
          </w:rPr>
          <w:t>2002</w:t>
        </w:r>
      </w:hyperlink>
      <w:r>
        <w:rPr>
          <w:sz w:val="20"/>
        </w:rPr>
        <w:t>)</w:t>
      </w:r>
    </w:p>
    <w:p>
      <w:pPr>
        <w:pStyle w:val="BodyText"/>
        <w:spacing w:before="9"/>
        <w:rPr>
          <w:sz w:val="17"/>
        </w:rPr>
      </w:pPr>
    </w:p>
    <w:p>
      <w:pPr>
        <w:pStyle w:val="ListParagraph"/>
        <w:numPr>
          <w:ilvl w:val="1"/>
          <w:numId w:val="5"/>
        </w:numPr>
        <w:tabs>
          <w:tab w:pos="2881" w:val="left" w:leader="none"/>
        </w:tabs>
        <w:spacing w:line="240" w:lineRule="auto" w:before="0" w:after="0"/>
        <w:ind w:left="2880" w:right="0" w:hanging="361"/>
        <w:jc w:val="left"/>
        <w:rPr>
          <w:sz w:val="20"/>
        </w:rPr>
      </w:pPr>
      <w:r>
        <w:rPr>
          <w:sz w:val="20"/>
        </w:rPr>
        <w:t>Blood</w:t>
      </w:r>
      <w:r>
        <w:rPr>
          <w:spacing w:val="-4"/>
          <w:sz w:val="20"/>
        </w:rPr>
        <w:t> </w:t>
      </w:r>
      <w:r>
        <w:rPr>
          <w:sz w:val="20"/>
        </w:rPr>
        <w:t>pressure</w:t>
      </w:r>
      <w:r>
        <w:rPr>
          <w:spacing w:val="-3"/>
          <w:sz w:val="20"/>
        </w:rPr>
        <w:t> </w:t>
      </w:r>
      <w:r>
        <w:rPr>
          <w:sz w:val="20"/>
        </w:rPr>
        <w:t>control</w:t>
      </w:r>
      <w:r>
        <w:rPr>
          <w:spacing w:val="-1"/>
          <w:sz w:val="20"/>
        </w:rPr>
        <w:t> </w:t>
      </w:r>
      <w:r>
        <w:rPr>
          <w:sz w:val="20"/>
        </w:rPr>
        <w:t>(</w:t>
      </w:r>
      <w:hyperlink w:history="true" w:anchor="_bookmark126">
        <w:r>
          <w:rPr>
            <w:sz w:val="20"/>
          </w:rPr>
          <w:t>Migliozzi,</w:t>
        </w:r>
        <w:r>
          <w:rPr>
            <w:spacing w:val="-5"/>
            <w:sz w:val="20"/>
          </w:rPr>
          <w:t> </w:t>
        </w:r>
        <w:r>
          <w:rPr>
            <w:sz w:val="20"/>
          </w:rPr>
          <w:t>Zullo,</w:t>
        </w:r>
        <w:r>
          <w:rPr>
            <w:spacing w:val="-3"/>
            <w:sz w:val="20"/>
          </w:rPr>
          <w:t> </w:t>
        </w:r>
        <w:r>
          <w:rPr>
            <w:sz w:val="20"/>
          </w:rPr>
          <w:t>Collins</w:t>
        </w:r>
        <w:r>
          <w:rPr>
            <w:spacing w:val="-4"/>
            <w:sz w:val="20"/>
          </w:rPr>
          <w:t> </w:t>
        </w:r>
        <w:r>
          <w:rPr>
            <w:sz w:val="20"/>
          </w:rPr>
          <w:t>et</w:t>
        </w:r>
        <w:r>
          <w:rPr>
            <w:spacing w:val="-1"/>
            <w:sz w:val="20"/>
          </w:rPr>
          <w:t> </w:t>
        </w:r>
        <w:r>
          <w:rPr>
            <w:sz w:val="20"/>
          </w:rPr>
          <w:t>al.,</w:t>
        </w:r>
        <w:r>
          <w:rPr>
            <w:spacing w:val="-4"/>
            <w:sz w:val="20"/>
          </w:rPr>
          <w:t> </w:t>
        </w:r>
        <w:r>
          <w:rPr>
            <w:sz w:val="20"/>
          </w:rPr>
          <w:t>2015</w:t>
        </w:r>
      </w:hyperlink>
      <w:r>
        <w:rPr>
          <w:sz w:val="20"/>
        </w:rPr>
        <w:t>)</w:t>
      </w:r>
    </w:p>
    <w:p>
      <w:pPr>
        <w:pStyle w:val="ListParagraph"/>
        <w:numPr>
          <w:ilvl w:val="1"/>
          <w:numId w:val="5"/>
        </w:numPr>
        <w:tabs>
          <w:tab w:pos="2881" w:val="left" w:leader="none"/>
        </w:tabs>
        <w:spacing w:line="240" w:lineRule="auto" w:before="221" w:after="0"/>
        <w:ind w:left="2880" w:right="0" w:hanging="361"/>
        <w:jc w:val="left"/>
        <w:rPr>
          <w:sz w:val="20"/>
        </w:rPr>
      </w:pPr>
      <w:r>
        <w:rPr>
          <w:sz w:val="20"/>
        </w:rPr>
        <w:t>Lipid</w:t>
      </w:r>
      <w:r>
        <w:rPr>
          <w:spacing w:val="-3"/>
          <w:sz w:val="20"/>
        </w:rPr>
        <w:t> </w:t>
      </w:r>
      <w:r>
        <w:rPr>
          <w:sz w:val="20"/>
        </w:rPr>
        <w:t>values</w:t>
      </w:r>
      <w:r>
        <w:rPr>
          <w:spacing w:val="-1"/>
          <w:sz w:val="20"/>
        </w:rPr>
        <w:t> </w:t>
      </w:r>
      <w:r>
        <w:rPr>
          <w:sz w:val="20"/>
        </w:rPr>
        <w:t>(</w:t>
      </w:r>
      <w:hyperlink w:history="true" w:anchor="_bookmark104">
        <w:r>
          <w:rPr>
            <w:sz w:val="20"/>
          </w:rPr>
          <w:t>Brooks</w:t>
        </w:r>
        <w:r>
          <w:rPr>
            <w:spacing w:val="-3"/>
            <w:sz w:val="20"/>
          </w:rPr>
          <w:t> </w:t>
        </w:r>
        <w:r>
          <w:rPr>
            <w:sz w:val="20"/>
          </w:rPr>
          <w:t>et</w:t>
        </w:r>
        <w:r>
          <w:rPr>
            <w:spacing w:val="-1"/>
            <w:sz w:val="20"/>
          </w:rPr>
          <w:t> </w:t>
        </w:r>
        <w:r>
          <w:rPr>
            <w:sz w:val="20"/>
          </w:rPr>
          <w:t>al.,</w:t>
        </w:r>
        <w:r>
          <w:rPr>
            <w:spacing w:val="-5"/>
            <w:sz w:val="20"/>
          </w:rPr>
          <w:t> </w:t>
        </w:r>
        <w:r>
          <w:rPr>
            <w:sz w:val="20"/>
          </w:rPr>
          <w:t>2007</w:t>
        </w:r>
      </w:hyperlink>
      <w:r>
        <w:rPr>
          <w:sz w:val="20"/>
        </w:rPr>
        <w:t>).</w:t>
      </w:r>
    </w:p>
    <w:p>
      <w:pPr>
        <w:pStyle w:val="ListParagraph"/>
        <w:numPr>
          <w:ilvl w:val="0"/>
          <w:numId w:val="5"/>
        </w:numPr>
        <w:tabs>
          <w:tab w:pos="2160" w:val="left" w:leader="none"/>
          <w:tab w:pos="2161" w:val="left" w:leader="none"/>
        </w:tabs>
        <w:spacing w:line="276" w:lineRule="auto" w:before="221" w:after="0"/>
        <w:ind w:left="2160" w:right="1434" w:hanging="360"/>
        <w:jc w:val="left"/>
        <w:rPr>
          <w:sz w:val="20"/>
        </w:rPr>
      </w:pPr>
      <w:r>
        <w:rPr>
          <w:sz w:val="20"/>
        </w:rPr>
        <w:t>Reduced adverse events associated with medications, leading to reduced</w:t>
      </w:r>
      <w:r>
        <w:rPr>
          <w:spacing w:val="1"/>
          <w:sz w:val="20"/>
        </w:rPr>
        <w:t> </w:t>
      </w:r>
      <w:r>
        <w:rPr>
          <w:sz w:val="20"/>
        </w:rPr>
        <w:t>ambulatory/</w:t>
      </w:r>
      <w:r>
        <w:rPr>
          <w:spacing w:val="7"/>
          <w:sz w:val="20"/>
        </w:rPr>
        <w:t> </w:t>
      </w:r>
      <w:r>
        <w:rPr>
          <w:sz w:val="20"/>
        </w:rPr>
        <w:t>emergency</w:t>
      </w:r>
      <w:r>
        <w:rPr>
          <w:spacing w:val="8"/>
          <w:sz w:val="20"/>
        </w:rPr>
        <w:t> </w:t>
      </w:r>
      <w:r>
        <w:rPr>
          <w:sz w:val="20"/>
        </w:rPr>
        <w:t>department</w:t>
      </w:r>
      <w:r>
        <w:rPr>
          <w:spacing w:val="10"/>
          <w:sz w:val="20"/>
        </w:rPr>
        <w:t> </w:t>
      </w:r>
      <w:r>
        <w:rPr>
          <w:sz w:val="20"/>
        </w:rPr>
        <w:t>presentations</w:t>
      </w:r>
      <w:r>
        <w:rPr>
          <w:spacing w:val="7"/>
          <w:sz w:val="20"/>
        </w:rPr>
        <w:t> </w:t>
      </w:r>
      <w:r>
        <w:rPr>
          <w:sz w:val="20"/>
        </w:rPr>
        <w:t>and/</w:t>
      </w:r>
      <w:r>
        <w:rPr>
          <w:spacing w:val="8"/>
          <w:sz w:val="20"/>
        </w:rPr>
        <w:t> </w:t>
      </w:r>
      <w:r>
        <w:rPr>
          <w:sz w:val="20"/>
        </w:rPr>
        <w:t>or</w:t>
      </w:r>
      <w:r>
        <w:rPr>
          <w:spacing w:val="7"/>
          <w:sz w:val="20"/>
        </w:rPr>
        <w:t> </w:t>
      </w:r>
      <w:r>
        <w:rPr>
          <w:sz w:val="20"/>
        </w:rPr>
        <w:t>hospitalisation</w:t>
      </w:r>
      <w:r>
        <w:rPr>
          <w:spacing w:val="1"/>
          <w:sz w:val="20"/>
        </w:rPr>
        <w:t> </w:t>
      </w:r>
      <w:r>
        <w:rPr>
          <w:sz w:val="20"/>
        </w:rPr>
        <w:t>(</w:t>
      </w:r>
      <w:hyperlink w:history="true" w:anchor="_bookmark134">
        <w:r>
          <w:rPr>
            <w:sz w:val="20"/>
          </w:rPr>
          <w:t>Romanelli, Leahy, Jukes et al., 2015, </w:t>
        </w:r>
      </w:hyperlink>
      <w:hyperlink w:history="true" w:anchor="_bookmark123">
        <w:r>
          <w:rPr>
            <w:sz w:val="20"/>
          </w:rPr>
          <w:t>Matzke, Moczygemba, Williams et al., 2018</w:t>
        </w:r>
      </w:hyperlink>
      <w:r>
        <w:rPr>
          <w:sz w:val="20"/>
        </w:rPr>
        <w:t>, </w:t>
      </w:r>
      <w:hyperlink w:history="true" w:anchor="_bookmark136">
        <w:r>
          <w:rPr>
            <w:sz w:val="20"/>
          </w:rPr>
          <w:t>Roth,</w:t>
        </w:r>
      </w:hyperlink>
      <w:r>
        <w:rPr>
          <w:spacing w:val="-53"/>
          <w:sz w:val="20"/>
        </w:rPr>
        <w:t> </w:t>
      </w:r>
      <w:r>
        <w:rPr>
          <w:sz w:val="20"/>
        </w:rPr>
        <w:t>Ivey,</w:t>
      </w:r>
      <w:r>
        <w:rPr>
          <w:spacing w:val="-4"/>
          <w:sz w:val="20"/>
        </w:rPr>
        <w:t> </w:t>
      </w:r>
      <w:r>
        <w:rPr>
          <w:sz w:val="20"/>
        </w:rPr>
        <w:t>Esserman et</w:t>
      </w:r>
      <w:r>
        <w:rPr>
          <w:spacing w:val="1"/>
          <w:sz w:val="20"/>
        </w:rPr>
        <w:t> </w:t>
      </w:r>
      <w:r>
        <w:rPr>
          <w:sz w:val="20"/>
        </w:rPr>
        <w:t>al.,</w:t>
      </w:r>
      <w:r>
        <w:rPr>
          <w:spacing w:val="-3"/>
          <w:sz w:val="20"/>
        </w:rPr>
        <w:t> </w:t>
      </w:r>
      <w:r>
        <w:rPr>
          <w:sz w:val="20"/>
        </w:rPr>
        <w:t>2013).</w:t>
      </w:r>
    </w:p>
    <w:p>
      <w:pPr>
        <w:pStyle w:val="ListParagraph"/>
        <w:numPr>
          <w:ilvl w:val="0"/>
          <w:numId w:val="5"/>
        </w:numPr>
        <w:tabs>
          <w:tab w:pos="2160" w:val="left" w:leader="none"/>
          <w:tab w:pos="2161" w:val="left" w:leader="none"/>
        </w:tabs>
        <w:spacing w:line="276" w:lineRule="auto" w:before="200" w:after="0"/>
        <w:ind w:left="2160" w:right="1778" w:hanging="360"/>
        <w:jc w:val="left"/>
        <w:rPr>
          <w:sz w:val="20"/>
        </w:rPr>
      </w:pPr>
      <w:r>
        <w:rPr>
          <w:sz w:val="20"/>
        </w:rPr>
        <w:t>Improved patient experience (</w:t>
      </w:r>
      <w:hyperlink w:history="true" w:anchor="_bookmark124">
        <w:r>
          <w:rPr>
            <w:sz w:val="20"/>
          </w:rPr>
          <w:t>McFarland, Wallace, Parra et al., 2014, </w:t>
        </w:r>
      </w:hyperlink>
      <w:hyperlink w:history="true" w:anchor="_bookmark133">
        <w:r>
          <w:rPr>
            <w:sz w:val="20"/>
          </w:rPr>
          <w:t>Ramalho de</w:t>
        </w:r>
      </w:hyperlink>
      <w:r>
        <w:rPr>
          <w:spacing w:val="-53"/>
          <w:sz w:val="20"/>
        </w:rPr>
        <w:t> </w:t>
      </w:r>
      <w:r>
        <w:rPr>
          <w:sz w:val="20"/>
        </w:rPr>
        <w:t>Oliveira,</w:t>
      </w:r>
      <w:r>
        <w:rPr>
          <w:spacing w:val="-4"/>
          <w:sz w:val="20"/>
        </w:rPr>
        <w:t> </w:t>
      </w:r>
      <w:r>
        <w:rPr>
          <w:sz w:val="20"/>
        </w:rPr>
        <w:t>Brummel and</w:t>
      </w:r>
      <w:r>
        <w:rPr>
          <w:spacing w:val="-1"/>
          <w:sz w:val="20"/>
        </w:rPr>
        <w:t> </w:t>
      </w:r>
      <w:r>
        <w:rPr>
          <w:sz w:val="20"/>
        </w:rPr>
        <w:t>Miller,</w:t>
      </w:r>
      <w:r>
        <w:rPr>
          <w:spacing w:val="-3"/>
          <w:sz w:val="20"/>
        </w:rPr>
        <w:t> </w:t>
      </w:r>
      <w:r>
        <w:rPr>
          <w:sz w:val="20"/>
        </w:rPr>
        <w:t>2010).</w:t>
      </w:r>
    </w:p>
    <w:p>
      <w:pPr>
        <w:pStyle w:val="ListParagraph"/>
        <w:numPr>
          <w:ilvl w:val="0"/>
          <w:numId w:val="5"/>
        </w:numPr>
        <w:tabs>
          <w:tab w:pos="2160" w:val="left" w:leader="none"/>
          <w:tab w:pos="2161" w:val="left" w:leader="none"/>
        </w:tabs>
        <w:spacing w:line="276" w:lineRule="auto" w:before="201" w:after="0"/>
        <w:ind w:left="2160" w:right="1738" w:hanging="360"/>
        <w:jc w:val="left"/>
        <w:rPr>
          <w:sz w:val="20"/>
        </w:rPr>
      </w:pPr>
      <w:r>
        <w:rPr>
          <w:sz w:val="20"/>
        </w:rPr>
        <w:t>Reduced costs, including patient out of pocket costs for medicines (</w:t>
      </w:r>
      <w:hyperlink w:history="true" w:anchor="_bookmark100">
        <w:r>
          <w:rPr>
            <w:sz w:val="20"/>
          </w:rPr>
          <w:t>Altavela et al.,</w:t>
        </w:r>
      </w:hyperlink>
      <w:r>
        <w:rPr>
          <w:spacing w:val="-53"/>
          <w:sz w:val="20"/>
        </w:rPr>
        <w:t> </w:t>
      </w:r>
      <w:r>
        <w:rPr>
          <w:sz w:val="20"/>
        </w:rPr>
        <w:t>2008, </w:t>
      </w:r>
      <w:hyperlink w:history="true" w:anchor="_bookmark140">
        <w:r>
          <w:rPr>
            <w:sz w:val="20"/>
          </w:rPr>
          <w:t>Tate, Hopper and Bergeron, 2018, </w:t>
        </w:r>
      </w:hyperlink>
      <w:hyperlink w:history="true" w:anchor="_bookmark121">
        <w:r>
          <w:rPr>
            <w:sz w:val="20"/>
          </w:rPr>
          <w:t>Lin, Lin, Chang et al., 2018, </w:t>
        </w:r>
      </w:hyperlink>
      <w:hyperlink w:history="true" w:anchor="_bookmark107">
        <w:r>
          <w:rPr>
            <w:sz w:val="20"/>
          </w:rPr>
          <w:t>Cranor et al.,</w:t>
        </w:r>
      </w:hyperlink>
      <w:r>
        <w:rPr>
          <w:spacing w:val="1"/>
          <w:sz w:val="20"/>
        </w:rPr>
        <w:t> </w:t>
      </w:r>
      <w:r>
        <w:rPr>
          <w:sz w:val="20"/>
        </w:rPr>
        <w:t>2003).</w:t>
      </w:r>
    </w:p>
    <w:p>
      <w:pPr>
        <w:pStyle w:val="Heading2"/>
        <w:spacing w:before="200"/>
        <w:ind w:left="1440"/>
      </w:pPr>
      <w:bookmarkStart w:name="_bookmark7" w:id="8"/>
      <w:bookmarkEnd w:id="8"/>
      <w:r>
        <w:rPr/>
      </w:r>
      <w:r>
        <w:rPr>
          <w:color w:val="003C79"/>
        </w:rPr>
        <w:t>The</w:t>
      </w:r>
      <w:r>
        <w:rPr>
          <w:color w:val="003C79"/>
          <w:spacing w:val="-4"/>
        </w:rPr>
        <w:t> </w:t>
      </w:r>
      <w:r>
        <w:rPr>
          <w:color w:val="003C79"/>
        </w:rPr>
        <w:t>Health</w:t>
      </w:r>
      <w:r>
        <w:rPr>
          <w:color w:val="003C79"/>
          <w:spacing w:val="-3"/>
        </w:rPr>
        <w:t> </w:t>
      </w:r>
      <w:r>
        <w:rPr>
          <w:color w:val="003C79"/>
        </w:rPr>
        <w:t>Care</w:t>
      </w:r>
      <w:r>
        <w:rPr>
          <w:color w:val="003C79"/>
          <w:spacing w:val="-5"/>
        </w:rPr>
        <w:t> </w:t>
      </w:r>
      <w:r>
        <w:rPr>
          <w:color w:val="003C79"/>
        </w:rPr>
        <w:t>Homes</w:t>
      </w:r>
      <w:r>
        <w:rPr>
          <w:color w:val="003C79"/>
          <w:spacing w:val="1"/>
        </w:rPr>
        <w:t> </w:t>
      </w:r>
      <w:r>
        <w:rPr>
          <w:color w:val="003C79"/>
        </w:rPr>
        <w:t>trial</w:t>
      </w:r>
    </w:p>
    <w:p>
      <w:pPr>
        <w:pStyle w:val="BodyText"/>
        <w:spacing w:line="276" w:lineRule="auto" w:before="259"/>
        <w:ind w:left="1440" w:right="1785"/>
      </w:pPr>
      <w:r>
        <w:rPr/>
        <w:t>The Australian Government Department of Health (from here on in referred to as the</w:t>
      </w:r>
      <w:r>
        <w:rPr>
          <w:spacing w:val="1"/>
        </w:rPr>
        <w:t> </w:t>
      </w:r>
      <w:r>
        <w:rPr/>
        <w:t>‘Department of Health’ or the ‘Department’) selected mainstream general practices and</w:t>
      </w:r>
      <w:r>
        <w:rPr>
          <w:spacing w:val="-53"/>
        </w:rPr>
        <w:t> </w:t>
      </w:r>
      <w:r>
        <w:rPr/>
        <w:t>Aboriginal Community Controlled Health Services (ACCHSs) (‘practices’) from across</w:t>
      </w:r>
      <w:r>
        <w:rPr>
          <w:spacing w:val="1"/>
        </w:rPr>
        <w:t> </w:t>
      </w:r>
      <w:r>
        <w:rPr/>
        <w:t>Australia to participate in the trial. These were from 10 regions aligned with the following</w:t>
      </w:r>
      <w:r>
        <w:rPr>
          <w:spacing w:val="1"/>
        </w:rPr>
        <w:t> </w:t>
      </w:r>
      <w:r>
        <w:rPr/>
        <w:t>Primary</w:t>
      </w:r>
      <w:r>
        <w:rPr>
          <w:spacing w:val="-3"/>
        </w:rPr>
        <w:t> </w:t>
      </w:r>
      <w:r>
        <w:rPr/>
        <w:t>Health Networks</w:t>
      </w:r>
      <w:r>
        <w:rPr>
          <w:spacing w:val="-1"/>
        </w:rPr>
        <w:t> </w:t>
      </w:r>
      <w:r>
        <w:rPr/>
        <w:t>(PHNs):</w:t>
      </w:r>
    </w:p>
    <w:p>
      <w:pPr>
        <w:pStyle w:val="ListParagraph"/>
        <w:numPr>
          <w:ilvl w:val="0"/>
          <w:numId w:val="5"/>
        </w:numPr>
        <w:tabs>
          <w:tab w:pos="2153" w:val="left" w:leader="none"/>
          <w:tab w:pos="2154" w:val="left" w:leader="none"/>
        </w:tabs>
        <w:spacing w:line="240" w:lineRule="auto" w:before="201" w:after="0"/>
        <w:ind w:left="2153" w:right="0" w:hanging="356"/>
        <w:jc w:val="left"/>
        <w:rPr>
          <w:sz w:val="20"/>
        </w:rPr>
      </w:pPr>
      <w:r>
        <w:rPr>
          <w:sz w:val="20"/>
        </w:rPr>
        <w:t>South</w:t>
      </w:r>
      <w:r>
        <w:rPr>
          <w:spacing w:val="-5"/>
          <w:sz w:val="20"/>
        </w:rPr>
        <w:t> </w:t>
      </w:r>
      <w:r>
        <w:rPr>
          <w:sz w:val="20"/>
        </w:rPr>
        <w:t>Eastern</w:t>
      </w:r>
      <w:r>
        <w:rPr>
          <w:spacing w:val="-4"/>
          <w:sz w:val="20"/>
        </w:rPr>
        <w:t> </w:t>
      </w:r>
      <w:r>
        <w:rPr>
          <w:sz w:val="20"/>
        </w:rPr>
        <w:t>Melbourne</w:t>
      </w:r>
    </w:p>
    <w:p>
      <w:pPr>
        <w:pStyle w:val="ListParagraph"/>
        <w:numPr>
          <w:ilvl w:val="0"/>
          <w:numId w:val="5"/>
        </w:numPr>
        <w:tabs>
          <w:tab w:pos="2153" w:val="left" w:leader="none"/>
          <w:tab w:pos="2154" w:val="left" w:leader="none"/>
        </w:tabs>
        <w:spacing w:line="240" w:lineRule="auto" w:before="35" w:after="0"/>
        <w:ind w:left="2153" w:right="0" w:hanging="356"/>
        <w:jc w:val="left"/>
        <w:rPr>
          <w:sz w:val="20"/>
        </w:rPr>
      </w:pPr>
      <w:r>
        <w:rPr>
          <w:sz w:val="20"/>
        </w:rPr>
        <w:t>Perth</w:t>
      </w:r>
      <w:r>
        <w:rPr>
          <w:spacing w:val="-2"/>
          <w:sz w:val="20"/>
        </w:rPr>
        <w:t> </w:t>
      </w:r>
      <w:r>
        <w:rPr>
          <w:sz w:val="20"/>
        </w:rPr>
        <w:t>North</w:t>
      </w:r>
    </w:p>
    <w:p>
      <w:pPr>
        <w:pStyle w:val="ListParagraph"/>
        <w:numPr>
          <w:ilvl w:val="0"/>
          <w:numId w:val="5"/>
        </w:numPr>
        <w:tabs>
          <w:tab w:pos="2153" w:val="left" w:leader="none"/>
          <w:tab w:pos="2154" w:val="left" w:leader="none"/>
        </w:tabs>
        <w:spacing w:line="240" w:lineRule="auto" w:before="38" w:after="0"/>
        <w:ind w:left="2153" w:right="0" w:hanging="356"/>
        <w:jc w:val="left"/>
        <w:rPr>
          <w:sz w:val="20"/>
        </w:rPr>
      </w:pPr>
      <w:r>
        <w:rPr>
          <w:sz w:val="20"/>
        </w:rPr>
        <w:t>Adelaide</w:t>
      </w:r>
    </w:p>
    <w:p>
      <w:pPr>
        <w:pStyle w:val="ListParagraph"/>
        <w:numPr>
          <w:ilvl w:val="0"/>
          <w:numId w:val="5"/>
        </w:numPr>
        <w:tabs>
          <w:tab w:pos="2153" w:val="left" w:leader="none"/>
          <w:tab w:pos="2154" w:val="left" w:leader="none"/>
        </w:tabs>
        <w:spacing w:line="240" w:lineRule="auto" w:before="36" w:after="0"/>
        <w:ind w:left="2153" w:right="0" w:hanging="356"/>
        <w:jc w:val="left"/>
        <w:rPr>
          <w:sz w:val="20"/>
        </w:rPr>
      </w:pPr>
      <w:r>
        <w:rPr>
          <w:sz w:val="20"/>
        </w:rPr>
        <w:t>Country</w:t>
      </w:r>
      <w:r>
        <w:rPr>
          <w:spacing w:val="-7"/>
          <w:sz w:val="20"/>
        </w:rPr>
        <w:t> </w:t>
      </w:r>
      <w:r>
        <w:rPr>
          <w:sz w:val="20"/>
        </w:rPr>
        <w:t>South</w:t>
      </w:r>
      <w:r>
        <w:rPr>
          <w:spacing w:val="-3"/>
          <w:sz w:val="20"/>
        </w:rPr>
        <w:t> </w:t>
      </w:r>
      <w:r>
        <w:rPr>
          <w:sz w:val="20"/>
        </w:rPr>
        <w:t>Australia</w:t>
      </w:r>
    </w:p>
    <w:p>
      <w:pPr>
        <w:pStyle w:val="ListParagraph"/>
        <w:numPr>
          <w:ilvl w:val="0"/>
          <w:numId w:val="5"/>
        </w:numPr>
        <w:tabs>
          <w:tab w:pos="2153" w:val="left" w:leader="none"/>
          <w:tab w:pos="2154" w:val="left" w:leader="none"/>
        </w:tabs>
        <w:spacing w:line="240" w:lineRule="auto" w:before="38" w:after="0"/>
        <w:ind w:left="2153" w:right="0" w:hanging="356"/>
        <w:jc w:val="left"/>
        <w:rPr>
          <w:sz w:val="20"/>
        </w:rPr>
      </w:pPr>
      <w:r>
        <w:rPr>
          <w:sz w:val="20"/>
        </w:rPr>
        <w:t>Brisbane</w:t>
      </w:r>
      <w:r>
        <w:rPr>
          <w:spacing w:val="-5"/>
          <w:sz w:val="20"/>
        </w:rPr>
        <w:t> </w:t>
      </w:r>
      <w:r>
        <w:rPr>
          <w:sz w:val="20"/>
        </w:rPr>
        <w:t>North</w:t>
      </w:r>
    </w:p>
    <w:p>
      <w:pPr>
        <w:pStyle w:val="ListParagraph"/>
        <w:numPr>
          <w:ilvl w:val="0"/>
          <w:numId w:val="5"/>
        </w:numPr>
        <w:tabs>
          <w:tab w:pos="2153" w:val="left" w:leader="none"/>
          <w:tab w:pos="2154" w:val="left" w:leader="none"/>
        </w:tabs>
        <w:spacing w:line="240" w:lineRule="auto" w:before="36" w:after="0"/>
        <w:ind w:left="2153" w:right="0" w:hanging="356"/>
        <w:jc w:val="left"/>
        <w:rPr>
          <w:sz w:val="20"/>
        </w:rPr>
      </w:pPr>
      <w:r>
        <w:rPr>
          <w:sz w:val="20"/>
        </w:rPr>
        <w:t>Western</w:t>
      </w:r>
      <w:r>
        <w:rPr>
          <w:spacing w:val="-4"/>
          <w:sz w:val="20"/>
        </w:rPr>
        <w:t> </w:t>
      </w:r>
      <w:r>
        <w:rPr>
          <w:sz w:val="20"/>
        </w:rPr>
        <w:t>Sydney</w:t>
      </w:r>
    </w:p>
    <w:p>
      <w:pPr>
        <w:pStyle w:val="ListParagraph"/>
        <w:numPr>
          <w:ilvl w:val="0"/>
          <w:numId w:val="5"/>
        </w:numPr>
        <w:tabs>
          <w:tab w:pos="2153" w:val="left" w:leader="none"/>
          <w:tab w:pos="2154" w:val="left" w:leader="none"/>
        </w:tabs>
        <w:spacing w:line="240" w:lineRule="auto" w:before="38" w:after="0"/>
        <w:ind w:left="2153" w:right="0" w:hanging="356"/>
        <w:jc w:val="left"/>
        <w:rPr>
          <w:sz w:val="20"/>
        </w:rPr>
      </w:pPr>
      <w:r>
        <w:rPr>
          <w:sz w:val="20"/>
        </w:rPr>
        <w:t>Hunter</w:t>
      </w:r>
      <w:r>
        <w:rPr>
          <w:spacing w:val="-5"/>
          <w:sz w:val="20"/>
        </w:rPr>
        <w:t> </w:t>
      </w:r>
      <w:r>
        <w:rPr>
          <w:sz w:val="20"/>
        </w:rPr>
        <w:t>New</w:t>
      </w:r>
      <w:r>
        <w:rPr>
          <w:spacing w:val="-1"/>
          <w:sz w:val="20"/>
        </w:rPr>
        <w:t> </w:t>
      </w:r>
      <w:r>
        <w:rPr>
          <w:sz w:val="20"/>
        </w:rPr>
        <w:t>England</w:t>
      </w:r>
      <w:r>
        <w:rPr>
          <w:spacing w:val="-5"/>
          <w:sz w:val="20"/>
        </w:rPr>
        <w:t> </w:t>
      </w:r>
      <w:r>
        <w:rPr>
          <w:sz w:val="20"/>
        </w:rPr>
        <w:t>and</w:t>
      </w:r>
      <w:r>
        <w:rPr>
          <w:spacing w:val="-6"/>
          <w:sz w:val="20"/>
        </w:rPr>
        <w:t> </w:t>
      </w:r>
      <w:r>
        <w:rPr>
          <w:sz w:val="20"/>
        </w:rPr>
        <w:t>Central</w:t>
      </w:r>
      <w:r>
        <w:rPr>
          <w:spacing w:val="-4"/>
          <w:sz w:val="20"/>
        </w:rPr>
        <w:t> </w:t>
      </w:r>
      <w:r>
        <w:rPr>
          <w:sz w:val="20"/>
        </w:rPr>
        <w:t>Coast</w:t>
      </w:r>
    </w:p>
    <w:p>
      <w:pPr>
        <w:spacing w:after="0" w:line="240" w:lineRule="auto"/>
        <w:jc w:val="left"/>
        <w:rPr>
          <w:sz w:val="20"/>
        </w:rPr>
        <w:sectPr>
          <w:pgSz w:w="11910" w:h="16840"/>
          <w:pgMar w:header="0" w:footer="675" w:top="1340" w:bottom="860" w:left="0" w:right="0"/>
        </w:sectPr>
      </w:pPr>
    </w:p>
    <w:p>
      <w:pPr>
        <w:pStyle w:val="ListParagraph"/>
        <w:numPr>
          <w:ilvl w:val="0"/>
          <w:numId w:val="5"/>
        </w:numPr>
        <w:tabs>
          <w:tab w:pos="2153" w:val="left" w:leader="none"/>
          <w:tab w:pos="2154" w:val="left" w:leader="none"/>
        </w:tabs>
        <w:spacing w:line="240" w:lineRule="auto" w:before="82" w:after="0"/>
        <w:ind w:left="2153" w:right="0" w:hanging="356"/>
        <w:jc w:val="left"/>
        <w:rPr>
          <w:sz w:val="20"/>
        </w:rPr>
      </w:pPr>
      <w:r>
        <w:rPr>
          <w:sz w:val="20"/>
        </w:rPr>
        <w:t>Nepean</w:t>
      </w:r>
      <w:r>
        <w:rPr>
          <w:spacing w:val="-4"/>
          <w:sz w:val="20"/>
        </w:rPr>
        <w:t> </w:t>
      </w:r>
      <w:r>
        <w:rPr>
          <w:sz w:val="20"/>
        </w:rPr>
        <w:t>Blue</w:t>
      </w:r>
      <w:r>
        <w:rPr>
          <w:spacing w:val="-4"/>
          <w:sz w:val="20"/>
        </w:rPr>
        <w:t> </w:t>
      </w:r>
      <w:r>
        <w:rPr>
          <w:sz w:val="20"/>
        </w:rPr>
        <w:t>Mountains</w:t>
      </w:r>
    </w:p>
    <w:p>
      <w:pPr>
        <w:pStyle w:val="ListParagraph"/>
        <w:numPr>
          <w:ilvl w:val="0"/>
          <w:numId w:val="5"/>
        </w:numPr>
        <w:tabs>
          <w:tab w:pos="2153" w:val="left" w:leader="none"/>
          <w:tab w:pos="2154" w:val="left" w:leader="none"/>
        </w:tabs>
        <w:spacing w:line="240" w:lineRule="auto" w:before="36" w:after="0"/>
        <w:ind w:left="2153" w:right="0" w:hanging="356"/>
        <w:jc w:val="left"/>
        <w:rPr>
          <w:sz w:val="20"/>
        </w:rPr>
      </w:pPr>
      <w:r>
        <w:rPr>
          <w:sz w:val="20"/>
        </w:rPr>
        <w:t>Northern</w:t>
      </w:r>
      <w:r>
        <w:rPr>
          <w:spacing w:val="-2"/>
          <w:sz w:val="20"/>
        </w:rPr>
        <w:t> </w:t>
      </w:r>
      <w:r>
        <w:rPr>
          <w:sz w:val="20"/>
        </w:rPr>
        <w:t>Territory</w:t>
      </w:r>
    </w:p>
    <w:p>
      <w:pPr>
        <w:pStyle w:val="ListParagraph"/>
        <w:numPr>
          <w:ilvl w:val="0"/>
          <w:numId w:val="5"/>
        </w:numPr>
        <w:tabs>
          <w:tab w:pos="2153" w:val="left" w:leader="none"/>
          <w:tab w:pos="2154" w:val="left" w:leader="none"/>
        </w:tabs>
        <w:spacing w:line="240" w:lineRule="auto" w:before="38" w:after="0"/>
        <w:ind w:left="2153" w:right="0" w:hanging="356"/>
        <w:jc w:val="left"/>
        <w:rPr>
          <w:sz w:val="20"/>
        </w:rPr>
      </w:pPr>
      <w:r>
        <w:rPr>
          <w:sz w:val="20"/>
        </w:rPr>
        <w:t>Tasmania.</w:t>
      </w:r>
    </w:p>
    <w:p>
      <w:pPr>
        <w:pStyle w:val="BodyText"/>
        <w:spacing w:before="4"/>
        <w:rPr>
          <w:sz w:val="19"/>
        </w:rPr>
      </w:pPr>
    </w:p>
    <w:p>
      <w:pPr>
        <w:pStyle w:val="BodyText"/>
        <w:spacing w:line="276" w:lineRule="auto"/>
        <w:ind w:left="1440" w:right="1520"/>
      </w:pPr>
      <w:r>
        <w:rPr/>
        <w:t>Twenty-two</w:t>
      </w:r>
      <w:r>
        <w:rPr>
          <w:spacing w:val="-4"/>
        </w:rPr>
        <w:t> </w:t>
      </w:r>
      <w:r>
        <w:rPr/>
        <w:t>practices</w:t>
      </w:r>
      <w:r>
        <w:rPr>
          <w:spacing w:val="-4"/>
        </w:rPr>
        <w:t> </w:t>
      </w:r>
      <w:r>
        <w:rPr/>
        <w:t>started</w:t>
      </w:r>
      <w:r>
        <w:rPr>
          <w:spacing w:val="-4"/>
        </w:rPr>
        <w:t> </w:t>
      </w:r>
      <w:r>
        <w:rPr/>
        <w:t>enrolling</w:t>
      </w:r>
      <w:r>
        <w:rPr>
          <w:spacing w:val="-4"/>
        </w:rPr>
        <w:t> </w:t>
      </w:r>
      <w:r>
        <w:rPr/>
        <w:t>patients</w:t>
      </w:r>
      <w:r>
        <w:rPr>
          <w:spacing w:val="-4"/>
        </w:rPr>
        <w:t> </w:t>
      </w:r>
      <w:r>
        <w:rPr/>
        <w:t>on</w:t>
      </w:r>
      <w:r>
        <w:rPr>
          <w:spacing w:val="-3"/>
        </w:rPr>
        <w:t> </w:t>
      </w:r>
      <w:r>
        <w:rPr/>
        <w:t>1</w:t>
      </w:r>
      <w:r>
        <w:rPr>
          <w:spacing w:val="-4"/>
        </w:rPr>
        <w:t> </w:t>
      </w:r>
      <w:r>
        <w:rPr/>
        <w:t>October</w:t>
      </w:r>
      <w:r>
        <w:rPr>
          <w:spacing w:val="-4"/>
        </w:rPr>
        <w:t> </w:t>
      </w:r>
      <w:r>
        <w:rPr/>
        <w:t>2017.</w:t>
      </w:r>
      <w:r>
        <w:rPr>
          <w:spacing w:val="-4"/>
        </w:rPr>
        <w:t> </w:t>
      </w:r>
      <w:r>
        <w:rPr/>
        <w:t>The</w:t>
      </w:r>
      <w:r>
        <w:rPr>
          <w:spacing w:val="-4"/>
        </w:rPr>
        <w:t> </w:t>
      </w:r>
      <w:r>
        <w:rPr/>
        <w:t>remaining</w:t>
      </w:r>
      <w:r>
        <w:rPr>
          <w:spacing w:val="-4"/>
        </w:rPr>
        <w:t> </w:t>
      </w:r>
      <w:r>
        <w:rPr/>
        <w:t>practices</w:t>
      </w:r>
      <w:r>
        <w:rPr>
          <w:spacing w:val="-52"/>
        </w:rPr>
        <w:t> </w:t>
      </w:r>
      <w:r>
        <w:rPr/>
        <w:t>started on 1 December 2017. Initially, practices were to cease enrolling patients by 30</w:t>
      </w:r>
      <w:r>
        <w:rPr>
          <w:spacing w:val="1"/>
        </w:rPr>
        <w:t> </w:t>
      </w:r>
      <w:r>
        <w:rPr/>
        <w:t>November 2018, with the remaining time in the trial – to 30 November 2019 – focused on</w:t>
      </w:r>
      <w:r>
        <w:rPr>
          <w:spacing w:val="1"/>
        </w:rPr>
        <w:t> </w:t>
      </w:r>
      <w:r>
        <w:rPr/>
        <w:t>practicing as a HCH. In December 2018, the Australian Government announced an</w:t>
      </w:r>
      <w:r>
        <w:rPr>
          <w:spacing w:val="1"/>
        </w:rPr>
        <w:t> </w:t>
      </w:r>
      <w:r>
        <w:rPr/>
        <w:t>extension to the program, extending patient enrolment to 30 June 2019 and the trial to 30</w:t>
      </w:r>
      <w:r>
        <w:rPr>
          <w:spacing w:val="1"/>
        </w:rPr>
        <w:t> </w:t>
      </w:r>
      <w:r>
        <w:rPr/>
        <w:t>June</w:t>
      </w:r>
      <w:r>
        <w:rPr>
          <w:spacing w:val="-2"/>
        </w:rPr>
        <w:t> </w:t>
      </w:r>
      <w:r>
        <w:rPr/>
        <w:t>2021.</w:t>
      </w:r>
    </w:p>
    <w:p>
      <w:pPr>
        <w:pStyle w:val="BodyText"/>
        <w:spacing w:line="276" w:lineRule="auto" w:before="199"/>
        <w:ind w:left="1440" w:right="1505"/>
      </w:pPr>
      <w:r>
        <w:rPr/>
        <w:t>This evaluation plan reflects the updated time line given the extension of the HCH trial. It also</w:t>
      </w:r>
      <w:r>
        <w:rPr>
          <w:spacing w:val="-53"/>
        </w:rPr>
        <w:t> </w:t>
      </w:r>
      <w:r>
        <w:rPr/>
        <w:t>incorporates</w:t>
      </w:r>
      <w:r>
        <w:rPr>
          <w:spacing w:val="-4"/>
        </w:rPr>
        <w:t> </w:t>
      </w:r>
      <w:r>
        <w:rPr/>
        <w:t>the</w:t>
      </w:r>
      <w:r>
        <w:rPr>
          <w:spacing w:val="-4"/>
        </w:rPr>
        <w:t> </w:t>
      </w:r>
      <w:r>
        <w:rPr/>
        <w:t>community</w:t>
      </w:r>
      <w:r>
        <w:rPr>
          <w:spacing w:val="-5"/>
        </w:rPr>
        <w:t> </w:t>
      </w:r>
      <w:r>
        <w:rPr/>
        <w:t>pharmacy</w:t>
      </w:r>
      <w:r>
        <w:rPr>
          <w:spacing w:val="-5"/>
        </w:rPr>
        <w:t> </w:t>
      </w:r>
      <w:r>
        <w:rPr/>
        <w:t>component,</w:t>
      </w:r>
      <w:r>
        <w:rPr>
          <w:spacing w:val="-6"/>
        </w:rPr>
        <w:t> </w:t>
      </w:r>
      <w:r>
        <w:rPr/>
        <w:t>which</w:t>
      </w:r>
      <w:r>
        <w:rPr>
          <w:spacing w:val="-5"/>
        </w:rPr>
        <w:t> </w:t>
      </w:r>
      <w:r>
        <w:rPr/>
        <w:t>was</w:t>
      </w:r>
      <w:r>
        <w:rPr>
          <w:spacing w:val="-3"/>
        </w:rPr>
        <w:t> </w:t>
      </w:r>
      <w:r>
        <w:rPr/>
        <w:t>announced</w:t>
      </w:r>
      <w:r>
        <w:rPr>
          <w:spacing w:val="-4"/>
        </w:rPr>
        <w:t> </w:t>
      </w:r>
      <w:r>
        <w:rPr/>
        <w:t>in</w:t>
      </w:r>
      <w:r>
        <w:rPr>
          <w:spacing w:val="-1"/>
        </w:rPr>
        <w:t> </w:t>
      </w:r>
      <w:r>
        <w:rPr/>
        <w:t>August</w:t>
      </w:r>
      <w:r>
        <w:rPr>
          <w:spacing w:val="-2"/>
        </w:rPr>
        <w:t> </w:t>
      </w:r>
      <w:r>
        <w:rPr/>
        <w:t>2018.</w:t>
      </w:r>
    </w:p>
    <w:p>
      <w:pPr>
        <w:pStyle w:val="Heading2"/>
        <w:spacing w:before="199"/>
        <w:ind w:left="1440"/>
      </w:pPr>
      <w:bookmarkStart w:name="_bookmark8" w:id="9"/>
      <w:bookmarkEnd w:id="9"/>
      <w:r>
        <w:rPr/>
      </w:r>
      <w:r>
        <w:rPr>
          <w:color w:val="003C79"/>
        </w:rPr>
        <w:t>HCH</w:t>
      </w:r>
      <w:r>
        <w:rPr>
          <w:color w:val="003C79"/>
          <w:spacing w:val="-6"/>
        </w:rPr>
        <w:t> </w:t>
      </w:r>
      <w:r>
        <w:rPr>
          <w:color w:val="003C79"/>
        </w:rPr>
        <w:t>evaluation</w:t>
      </w:r>
    </w:p>
    <w:p>
      <w:pPr>
        <w:pStyle w:val="BodyText"/>
        <w:spacing w:line="276" w:lineRule="auto" w:before="261"/>
        <w:ind w:left="1440" w:right="1657"/>
      </w:pPr>
      <w:r>
        <w:rPr/>
        <w:t>The evaluation of HCH has been established as a project for which there is a separate plan</w:t>
      </w:r>
      <w:r>
        <w:rPr>
          <w:spacing w:val="-53"/>
        </w:rPr>
        <w:t> </w:t>
      </w:r>
      <w:r>
        <w:rPr/>
        <w:t>describing the phases and steps in the evaluation and key dates. These are summarised in</w:t>
      </w:r>
      <w:r>
        <w:rPr>
          <w:spacing w:val="1"/>
        </w:rPr>
        <w:t> </w:t>
      </w:r>
      <w:hyperlink w:history="true" w:anchor="_bookmark9">
        <w:r>
          <w:rPr/>
          <w:t>Table</w:t>
        </w:r>
        <w:r>
          <w:rPr>
            <w:spacing w:val="-1"/>
          </w:rPr>
          <w:t> </w:t>
        </w:r>
        <w:r>
          <w:rPr/>
          <w:t>3.</w:t>
        </w:r>
      </w:hyperlink>
    </w:p>
    <w:p>
      <w:pPr>
        <w:spacing w:before="199"/>
        <w:ind w:left="1444" w:right="1444" w:firstLine="0"/>
        <w:jc w:val="center"/>
        <w:rPr>
          <w:b/>
          <w:sz w:val="18"/>
        </w:rPr>
      </w:pPr>
      <w:bookmarkStart w:name="_bookmark9" w:id="10"/>
      <w:bookmarkEnd w:id="10"/>
      <w:r>
        <w:rPr/>
      </w:r>
      <w:r>
        <w:rPr>
          <w:b/>
          <w:sz w:val="18"/>
        </w:rPr>
        <w:t>Table</w:t>
      </w:r>
      <w:r>
        <w:rPr>
          <w:b/>
          <w:spacing w:val="-2"/>
          <w:sz w:val="18"/>
        </w:rPr>
        <w:t> </w:t>
      </w:r>
      <w:r>
        <w:rPr>
          <w:b/>
          <w:sz w:val="18"/>
        </w:rPr>
        <w:t>3</w:t>
      </w:r>
      <w:r>
        <w:rPr>
          <w:b/>
          <w:spacing w:val="-5"/>
          <w:sz w:val="18"/>
        </w:rPr>
        <w:t> </w:t>
      </w:r>
      <w:r>
        <w:rPr>
          <w:b/>
          <w:sz w:val="18"/>
        </w:rPr>
        <w:t>– Project</w:t>
      </w:r>
      <w:r>
        <w:rPr>
          <w:b/>
          <w:spacing w:val="-4"/>
          <w:sz w:val="18"/>
        </w:rPr>
        <w:t> </w:t>
      </w:r>
      <w:r>
        <w:rPr>
          <w:b/>
          <w:sz w:val="18"/>
        </w:rPr>
        <w:t>phases</w:t>
      </w:r>
      <w:r>
        <w:rPr>
          <w:b/>
          <w:spacing w:val="-1"/>
          <w:sz w:val="18"/>
        </w:rPr>
        <w:t> </w:t>
      </w:r>
      <w:r>
        <w:rPr>
          <w:b/>
          <w:sz w:val="18"/>
        </w:rPr>
        <w:t>and</w:t>
      </w:r>
      <w:r>
        <w:rPr>
          <w:b/>
          <w:spacing w:val="-1"/>
          <w:sz w:val="18"/>
        </w:rPr>
        <w:t> </w:t>
      </w:r>
      <w:r>
        <w:rPr>
          <w:b/>
          <w:sz w:val="18"/>
        </w:rPr>
        <w:t>steps</w:t>
      </w:r>
      <w:r>
        <w:rPr>
          <w:b/>
          <w:spacing w:val="-1"/>
          <w:sz w:val="18"/>
        </w:rPr>
        <w:t> </w:t>
      </w:r>
      <w:r>
        <w:rPr>
          <w:b/>
          <w:sz w:val="18"/>
        </w:rPr>
        <w:t>and</w:t>
      </w:r>
      <w:r>
        <w:rPr>
          <w:b/>
          <w:spacing w:val="-1"/>
          <w:sz w:val="18"/>
        </w:rPr>
        <w:t> </w:t>
      </w:r>
      <w:r>
        <w:rPr>
          <w:b/>
          <w:sz w:val="18"/>
        </w:rPr>
        <w:t>time</w:t>
      </w:r>
      <w:r>
        <w:rPr>
          <w:b/>
          <w:spacing w:val="-2"/>
          <w:sz w:val="18"/>
        </w:rPr>
        <w:t> </w:t>
      </w:r>
      <w:r>
        <w:rPr>
          <w:b/>
          <w:sz w:val="18"/>
        </w:rPr>
        <w:t>frames</w:t>
      </w:r>
    </w:p>
    <w:tbl>
      <w:tblPr>
        <w:tblW w:w="0" w:type="auto"/>
        <w:jc w:val="left"/>
        <w:tblInd w:w="1848" w:type="dxa"/>
        <w:tblBorders>
          <w:top w:val="single" w:sz="6" w:space="0" w:color="BEBEBE"/>
          <w:left w:val="single" w:sz="6" w:space="0" w:color="BEBEBE"/>
          <w:bottom w:val="single" w:sz="6" w:space="0" w:color="BEBEBE"/>
          <w:right w:val="single" w:sz="6" w:space="0" w:color="BEBEBE"/>
          <w:insideH w:val="single" w:sz="6" w:space="0" w:color="BEBEBE"/>
          <w:insideV w:val="single" w:sz="6" w:space="0" w:color="BEBEBE"/>
        </w:tblBorders>
        <w:tblLayout w:type="fixed"/>
        <w:tblCellMar>
          <w:top w:w="0" w:type="dxa"/>
          <w:left w:w="0" w:type="dxa"/>
          <w:bottom w:w="0" w:type="dxa"/>
          <w:right w:w="0" w:type="dxa"/>
        </w:tblCellMar>
        <w:tblLook w:val="01E0"/>
      </w:tblPr>
      <w:tblGrid>
        <w:gridCol w:w="1845"/>
        <w:gridCol w:w="4393"/>
        <w:gridCol w:w="1985"/>
      </w:tblGrid>
      <w:tr>
        <w:trPr>
          <w:trHeight w:val="220" w:hRule="atLeast"/>
        </w:trPr>
        <w:tc>
          <w:tcPr>
            <w:tcW w:w="1845" w:type="dxa"/>
            <w:tcBorders>
              <w:left w:val="single" w:sz="4" w:space="0" w:color="BEBEBE"/>
            </w:tcBorders>
            <w:shd w:val="clear" w:color="auto" w:fill="003C79"/>
          </w:tcPr>
          <w:p>
            <w:pPr>
              <w:pStyle w:val="TableParagraph"/>
              <w:spacing w:line="200" w:lineRule="exact"/>
              <w:ind w:left="89" w:right="87"/>
              <w:jc w:val="center"/>
              <w:rPr>
                <w:b/>
                <w:sz w:val="18"/>
              </w:rPr>
            </w:pPr>
            <w:r>
              <w:rPr>
                <w:b/>
                <w:color w:val="FFFFFF"/>
                <w:sz w:val="18"/>
              </w:rPr>
              <w:t>Phase</w:t>
            </w:r>
          </w:p>
        </w:tc>
        <w:tc>
          <w:tcPr>
            <w:tcW w:w="4393" w:type="dxa"/>
            <w:shd w:val="clear" w:color="auto" w:fill="003C79"/>
          </w:tcPr>
          <w:p>
            <w:pPr>
              <w:pStyle w:val="TableParagraph"/>
              <w:spacing w:line="200" w:lineRule="exact"/>
              <w:ind w:left="1979" w:right="1977"/>
              <w:jc w:val="center"/>
              <w:rPr>
                <w:b/>
                <w:sz w:val="18"/>
              </w:rPr>
            </w:pPr>
            <w:r>
              <w:rPr>
                <w:b/>
                <w:color w:val="FFFFFF"/>
                <w:sz w:val="18"/>
              </w:rPr>
              <w:t>Step</w:t>
            </w:r>
          </w:p>
        </w:tc>
        <w:tc>
          <w:tcPr>
            <w:tcW w:w="1985" w:type="dxa"/>
            <w:tcBorders>
              <w:right w:val="single" w:sz="4" w:space="0" w:color="BEBEBE"/>
            </w:tcBorders>
            <w:shd w:val="clear" w:color="auto" w:fill="003C79"/>
          </w:tcPr>
          <w:p>
            <w:pPr>
              <w:pStyle w:val="TableParagraph"/>
              <w:spacing w:line="200" w:lineRule="exact"/>
              <w:ind w:left="504"/>
              <w:rPr>
                <w:b/>
                <w:sz w:val="18"/>
              </w:rPr>
            </w:pPr>
            <w:r>
              <w:rPr>
                <w:b/>
                <w:color w:val="FFFFFF"/>
                <w:sz w:val="18"/>
              </w:rPr>
              <w:t>Time</w:t>
            </w:r>
            <w:r>
              <w:rPr>
                <w:b/>
                <w:color w:val="FFFFFF"/>
                <w:spacing w:val="-1"/>
                <w:sz w:val="18"/>
              </w:rPr>
              <w:t> </w:t>
            </w:r>
            <w:r>
              <w:rPr>
                <w:b/>
                <w:color w:val="FFFFFF"/>
                <w:sz w:val="18"/>
              </w:rPr>
              <w:t>frame</w:t>
            </w:r>
          </w:p>
        </w:tc>
      </w:tr>
      <w:tr>
        <w:trPr>
          <w:trHeight w:val="1132" w:hRule="atLeast"/>
        </w:trPr>
        <w:tc>
          <w:tcPr>
            <w:tcW w:w="1845" w:type="dxa"/>
            <w:tcBorders>
              <w:left w:val="single" w:sz="4" w:space="0" w:color="BEBEBE"/>
            </w:tcBorders>
          </w:tcPr>
          <w:p>
            <w:pPr>
              <w:pStyle w:val="TableParagraph"/>
              <w:ind w:left="105" w:right="411"/>
              <w:rPr>
                <w:b/>
                <w:sz w:val="18"/>
              </w:rPr>
            </w:pPr>
            <w:r>
              <w:rPr>
                <w:b/>
                <w:sz w:val="18"/>
              </w:rPr>
              <w:t>1 Planning and</w:t>
            </w:r>
            <w:r>
              <w:rPr>
                <w:b/>
                <w:spacing w:val="-48"/>
                <w:sz w:val="18"/>
              </w:rPr>
              <w:t> </w:t>
            </w:r>
            <w:r>
              <w:rPr>
                <w:b/>
                <w:sz w:val="18"/>
              </w:rPr>
              <w:t>design</w:t>
            </w:r>
            <w:r>
              <w:rPr>
                <w:b/>
                <w:spacing w:val="-1"/>
                <w:sz w:val="18"/>
              </w:rPr>
              <w:t> </w:t>
            </w:r>
            <w:r>
              <w:rPr>
                <w:b/>
                <w:sz w:val="18"/>
              </w:rPr>
              <w:t>phase</w:t>
            </w:r>
          </w:p>
        </w:tc>
        <w:tc>
          <w:tcPr>
            <w:tcW w:w="4393" w:type="dxa"/>
          </w:tcPr>
          <w:p>
            <w:pPr>
              <w:pStyle w:val="TableParagraph"/>
              <w:spacing w:line="219" w:lineRule="exact"/>
              <w:ind w:left="98"/>
              <w:rPr>
                <w:sz w:val="18"/>
              </w:rPr>
            </w:pPr>
            <w:r>
              <w:rPr>
                <w:sz w:val="18"/>
              </w:rPr>
              <w:t>Initial</w:t>
            </w:r>
            <w:r>
              <w:rPr>
                <w:spacing w:val="-3"/>
                <w:sz w:val="18"/>
              </w:rPr>
              <w:t> </w:t>
            </w:r>
            <w:r>
              <w:rPr>
                <w:sz w:val="18"/>
              </w:rPr>
              <w:t>project</w:t>
            </w:r>
            <w:r>
              <w:rPr>
                <w:spacing w:val="-6"/>
                <w:sz w:val="18"/>
              </w:rPr>
              <w:t> </w:t>
            </w:r>
            <w:r>
              <w:rPr>
                <w:sz w:val="18"/>
              </w:rPr>
              <w:t>initiation</w:t>
            </w:r>
            <w:r>
              <w:rPr>
                <w:spacing w:val="-3"/>
                <w:sz w:val="18"/>
              </w:rPr>
              <w:t> </w:t>
            </w:r>
            <w:r>
              <w:rPr>
                <w:sz w:val="18"/>
              </w:rPr>
              <w:t>and</w:t>
            </w:r>
            <w:r>
              <w:rPr>
                <w:spacing w:val="-6"/>
                <w:sz w:val="18"/>
              </w:rPr>
              <w:t> </w:t>
            </w:r>
            <w:r>
              <w:rPr>
                <w:sz w:val="18"/>
              </w:rPr>
              <w:t>planning,</w:t>
            </w:r>
            <w:r>
              <w:rPr>
                <w:spacing w:val="-5"/>
                <w:sz w:val="18"/>
              </w:rPr>
              <w:t> </w:t>
            </w:r>
            <w:r>
              <w:rPr>
                <w:sz w:val="18"/>
              </w:rPr>
              <w:t>including:</w:t>
            </w:r>
          </w:p>
          <w:p>
            <w:pPr>
              <w:pStyle w:val="TableParagraph"/>
              <w:numPr>
                <w:ilvl w:val="0"/>
                <w:numId w:val="7"/>
              </w:numPr>
              <w:tabs>
                <w:tab w:pos="277" w:val="left" w:leader="none"/>
              </w:tabs>
              <w:spacing w:line="240" w:lineRule="auto" w:before="0" w:after="0"/>
              <w:ind w:left="276" w:right="0" w:hanging="179"/>
              <w:jc w:val="left"/>
              <w:rPr>
                <w:sz w:val="18"/>
              </w:rPr>
            </w:pPr>
            <w:r>
              <w:rPr>
                <w:sz w:val="18"/>
              </w:rPr>
              <w:t>Project</w:t>
            </w:r>
            <w:r>
              <w:rPr>
                <w:spacing w:val="-4"/>
                <w:sz w:val="18"/>
              </w:rPr>
              <w:t> </w:t>
            </w:r>
            <w:r>
              <w:rPr>
                <w:sz w:val="18"/>
              </w:rPr>
              <w:t>plan</w:t>
            </w:r>
          </w:p>
          <w:p>
            <w:pPr>
              <w:pStyle w:val="TableParagraph"/>
              <w:numPr>
                <w:ilvl w:val="0"/>
                <w:numId w:val="7"/>
              </w:numPr>
              <w:tabs>
                <w:tab w:pos="277" w:val="left" w:leader="none"/>
              </w:tabs>
              <w:spacing w:line="240" w:lineRule="auto" w:before="0" w:after="0"/>
              <w:ind w:left="276" w:right="0" w:hanging="179"/>
              <w:jc w:val="left"/>
              <w:rPr>
                <w:sz w:val="18"/>
              </w:rPr>
            </w:pPr>
            <w:r>
              <w:rPr>
                <w:sz w:val="18"/>
              </w:rPr>
              <w:t>Evaluation</w:t>
            </w:r>
            <w:r>
              <w:rPr>
                <w:spacing w:val="-5"/>
                <w:sz w:val="18"/>
              </w:rPr>
              <w:t> </w:t>
            </w:r>
            <w:r>
              <w:rPr>
                <w:sz w:val="18"/>
              </w:rPr>
              <w:t>plan</w:t>
            </w:r>
          </w:p>
          <w:p>
            <w:pPr>
              <w:pStyle w:val="TableParagraph"/>
              <w:numPr>
                <w:ilvl w:val="0"/>
                <w:numId w:val="7"/>
              </w:numPr>
              <w:tabs>
                <w:tab w:pos="277" w:val="left" w:leader="none"/>
              </w:tabs>
              <w:spacing w:line="240" w:lineRule="auto" w:before="0" w:after="0"/>
              <w:ind w:left="276" w:right="0" w:hanging="179"/>
              <w:jc w:val="left"/>
              <w:rPr>
                <w:sz w:val="18"/>
              </w:rPr>
            </w:pPr>
            <w:r>
              <w:rPr>
                <w:sz w:val="18"/>
              </w:rPr>
              <w:t>Evaluation</w:t>
            </w:r>
            <w:r>
              <w:rPr>
                <w:spacing w:val="-7"/>
                <w:sz w:val="18"/>
              </w:rPr>
              <w:t> </w:t>
            </w:r>
            <w:r>
              <w:rPr>
                <w:sz w:val="18"/>
              </w:rPr>
              <w:t>infrastructure</w:t>
            </w:r>
          </w:p>
          <w:p>
            <w:pPr>
              <w:pStyle w:val="TableParagraph"/>
              <w:numPr>
                <w:ilvl w:val="0"/>
                <w:numId w:val="7"/>
              </w:numPr>
              <w:tabs>
                <w:tab w:pos="277" w:val="left" w:leader="none"/>
              </w:tabs>
              <w:spacing w:line="240" w:lineRule="auto" w:before="1" w:after="0"/>
              <w:ind w:left="276" w:right="0" w:hanging="179"/>
              <w:jc w:val="left"/>
              <w:rPr>
                <w:sz w:val="18"/>
              </w:rPr>
            </w:pPr>
            <w:r>
              <w:rPr>
                <w:sz w:val="18"/>
              </w:rPr>
              <w:t>Ethics</w:t>
            </w:r>
            <w:r>
              <w:rPr>
                <w:spacing w:val="-6"/>
                <w:sz w:val="18"/>
              </w:rPr>
              <w:t> </w:t>
            </w:r>
            <w:r>
              <w:rPr>
                <w:sz w:val="18"/>
              </w:rPr>
              <w:t>approvals</w:t>
            </w:r>
          </w:p>
        </w:tc>
        <w:tc>
          <w:tcPr>
            <w:tcW w:w="1985" w:type="dxa"/>
            <w:tcBorders>
              <w:right w:val="single" w:sz="4" w:space="0" w:color="BEBEBE"/>
            </w:tcBorders>
          </w:tcPr>
          <w:p>
            <w:pPr>
              <w:pStyle w:val="TableParagraph"/>
              <w:spacing w:line="219" w:lineRule="exact"/>
              <w:ind w:right="94"/>
              <w:jc w:val="right"/>
              <w:rPr>
                <w:sz w:val="18"/>
              </w:rPr>
            </w:pPr>
            <w:r>
              <w:rPr>
                <w:sz w:val="18"/>
              </w:rPr>
              <w:t>Jan-Dec</w:t>
            </w:r>
            <w:r>
              <w:rPr>
                <w:spacing w:val="-3"/>
                <w:sz w:val="18"/>
              </w:rPr>
              <w:t> </w:t>
            </w:r>
            <w:r>
              <w:rPr>
                <w:sz w:val="18"/>
              </w:rPr>
              <w:t>2017</w:t>
            </w:r>
          </w:p>
        </w:tc>
      </w:tr>
      <w:tr>
        <w:trPr>
          <w:trHeight w:val="253" w:hRule="atLeast"/>
        </w:trPr>
        <w:tc>
          <w:tcPr>
            <w:tcW w:w="1845" w:type="dxa"/>
            <w:vMerge w:val="restart"/>
            <w:tcBorders>
              <w:left w:val="single" w:sz="4" w:space="0" w:color="BEBEBE"/>
            </w:tcBorders>
          </w:tcPr>
          <w:p>
            <w:pPr>
              <w:pStyle w:val="TableParagraph"/>
              <w:spacing w:line="219" w:lineRule="exact"/>
              <w:ind w:left="105"/>
              <w:rPr>
                <w:b/>
                <w:sz w:val="18"/>
              </w:rPr>
            </w:pPr>
            <w:r>
              <w:rPr>
                <w:b/>
                <w:sz w:val="18"/>
              </w:rPr>
              <w:t>2</w:t>
            </w:r>
            <w:r>
              <w:rPr>
                <w:b/>
                <w:spacing w:val="-2"/>
                <w:sz w:val="18"/>
              </w:rPr>
              <w:t> </w:t>
            </w:r>
            <w:r>
              <w:rPr>
                <w:b/>
                <w:sz w:val="18"/>
              </w:rPr>
              <w:t>Conduct</w:t>
            </w:r>
            <w:r>
              <w:rPr>
                <w:b/>
                <w:spacing w:val="-3"/>
                <w:sz w:val="18"/>
              </w:rPr>
              <w:t> </w:t>
            </w:r>
            <w:r>
              <w:rPr>
                <w:b/>
                <w:sz w:val="18"/>
              </w:rPr>
              <w:t>phase</w:t>
            </w:r>
          </w:p>
        </w:tc>
        <w:tc>
          <w:tcPr>
            <w:tcW w:w="4393" w:type="dxa"/>
          </w:tcPr>
          <w:p>
            <w:pPr>
              <w:pStyle w:val="TableParagraph"/>
              <w:spacing w:line="219" w:lineRule="exact"/>
              <w:ind w:left="98"/>
              <w:rPr>
                <w:sz w:val="18"/>
              </w:rPr>
            </w:pPr>
            <w:r>
              <w:rPr>
                <w:sz w:val="18"/>
              </w:rPr>
              <w:t>Round</w:t>
            </w:r>
            <w:r>
              <w:rPr>
                <w:spacing w:val="-2"/>
                <w:sz w:val="18"/>
              </w:rPr>
              <w:t> </w:t>
            </w:r>
            <w:r>
              <w:rPr>
                <w:sz w:val="18"/>
              </w:rPr>
              <w:t>1 data</w:t>
            </w:r>
            <w:r>
              <w:rPr>
                <w:spacing w:val="-2"/>
                <w:sz w:val="18"/>
              </w:rPr>
              <w:t> </w:t>
            </w:r>
            <w:r>
              <w:rPr>
                <w:sz w:val="18"/>
              </w:rPr>
              <w:t>collection</w:t>
            </w:r>
          </w:p>
        </w:tc>
        <w:tc>
          <w:tcPr>
            <w:tcW w:w="1985" w:type="dxa"/>
            <w:tcBorders>
              <w:right w:val="single" w:sz="4" w:space="0" w:color="BEBEBE"/>
            </w:tcBorders>
          </w:tcPr>
          <w:p>
            <w:pPr>
              <w:pStyle w:val="TableParagraph"/>
              <w:spacing w:line="219" w:lineRule="exact"/>
              <w:ind w:right="94"/>
              <w:jc w:val="right"/>
              <w:rPr>
                <w:sz w:val="18"/>
              </w:rPr>
            </w:pPr>
            <w:r>
              <w:rPr>
                <w:sz w:val="18"/>
              </w:rPr>
              <w:t>Oct</w:t>
            </w:r>
            <w:r>
              <w:rPr>
                <w:spacing w:val="-3"/>
                <w:sz w:val="18"/>
              </w:rPr>
              <w:t> </w:t>
            </w:r>
            <w:r>
              <w:rPr>
                <w:sz w:val="18"/>
              </w:rPr>
              <w:t>2017-Jun</w:t>
            </w:r>
            <w:r>
              <w:rPr>
                <w:spacing w:val="-2"/>
                <w:sz w:val="18"/>
              </w:rPr>
              <w:t> </w:t>
            </w:r>
            <w:r>
              <w:rPr>
                <w:sz w:val="18"/>
              </w:rPr>
              <w:t>2018</w:t>
            </w:r>
          </w:p>
        </w:tc>
      </w:tr>
      <w:tr>
        <w:trPr>
          <w:trHeight w:val="253" w:hRule="atLeast"/>
        </w:trPr>
        <w:tc>
          <w:tcPr>
            <w:tcW w:w="1845" w:type="dxa"/>
            <w:vMerge/>
            <w:tcBorders>
              <w:top w:val="nil"/>
              <w:left w:val="single" w:sz="4" w:space="0" w:color="BEBEBE"/>
            </w:tcBorders>
          </w:tcPr>
          <w:p>
            <w:pPr>
              <w:rPr>
                <w:sz w:val="2"/>
                <w:szCs w:val="2"/>
              </w:rPr>
            </w:pPr>
          </w:p>
        </w:tc>
        <w:tc>
          <w:tcPr>
            <w:tcW w:w="4393" w:type="dxa"/>
          </w:tcPr>
          <w:p>
            <w:pPr>
              <w:pStyle w:val="TableParagraph"/>
              <w:spacing w:line="219" w:lineRule="exact"/>
              <w:ind w:left="98"/>
              <w:rPr>
                <w:sz w:val="18"/>
              </w:rPr>
            </w:pPr>
            <w:r>
              <w:rPr>
                <w:sz w:val="18"/>
              </w:rPr>
              <w:t>Round</w:t>
            </w:r>
            <w:r>
              <w:rPr>
                <w:spacing w:val="-2"/>
                <w:sz w:val="18"/>
              </w:rPr>
              <w:t> </w:t>
            </w:r>
            <w:r>
              <w:rPr>
                <w:sz w:val="18"/>
              </w:rPr>
              <w:t>2</w:t>
            </w:r>
            <w:r>
              <w:rPr>
                <w:spacing w:val="-1"/>
                <w:sz w:val="18"/>
              </w:rPr>
              <w:t> </w:t>
            </w:r>
            <w:r>
              <w:rPr>
                <w:sz w:val="18"/>
              </w:rPr>
              <w:t>data</w:t>
            </w:r>
            <w:r>
              <w:rPr>
                <w:spacing w:val="-1"/>
                <w:sz w:val="18"/>
              </w:rPr>
              <w:t> </w:t>
            </w:r>
            <w:r>
              <w:rPr>
                <w:sz w:val="18"/>
              </w:rPr>
              <w:t>collection</w:t>
            </w:r>
          </w:p>
        </w:tc>
        <w:tc>
          <w:tcPr>
            <w:tcW w:w="1985" w:type="dxa"/>
            <w:tcBorders>
              <w:right w:val="single" w:sz="4" w:space="0" w:color="BEBEBE"/>
            </w:tcBorders>
          </w:tcPr>
          <w:p>
            <w:pPr>
              <w:pStyle w:val="TableParagraph"/>
              <w:spacing w:line="219" w:lineRule="exact"/>
              <w:ind w:right="94"/>
              <w:jc w:val="right"/>
              <w:rPr>
                <w:sz w:val="18"/>
              </w:rPr>
            </w:pPr>
            <w:r>
              <w:rPr>
                <w:sz w:val="18"/>
              </w:rPr>
              <w:t>Jul-Dec</w:t>
            </w:r>
            <w:r>
              <w:rPr>
                <w:spacing w:val="-3"/>
                <w:sz w:val="18"/>
              </w:rPr>
              <w:t> </w:t>
            </w:r>
            <w:r>
              <w:rPr>
                <w:sz w:val="18"/>
              </w:rPr>
              <w:t>2018</w:t>
            </w:r>
          </w:p>
        </w:tc>
      </w:tr>
      <w:tr>
        <w:trPr>
          <w:trHeight w:val="253" w:hRule="atLeast"/>
        </w:trPr>
        <w:tc>
          <w:tcPr>
            <w:tcW w:w="1845" w:type="dxa"/>
            <w:vMerge/>
            <w:tcBorders>
              <w:top w:val="nil"/>
              <w:left w:val="single" w:sz="4" w:space="0" w:color="BEBEBE"/>
            </w:tcBorders>
          </w:tcPr>
          <w:p>
            <w:pPr>
              <w:rPr>
                <w:sz w:val="2"/>
                <w:szCs w:val="2"/>
              </w:rPr>
            </w:pPr>
          </w:p>
        </w:tc>
        <w:tc>
          <w:tcPr>
            <w:tcW w:w="4393" w:type="dxa"/>
          </w:tcPr>
          <w:p>
            <w:pPr>
              <w:pStyle w:val="TableParagraph"/>
              <w:spacing w:line="219" w:lineRule="exact"/>
              <w:ind w:left="98"/>
              <w:rPr>
                <w:sz w:val="18"/>
              </w:rPr>
            </w:pPr>
            <w:r>
              <w:rPr>
                <w:sz w:val="18"/>
              </w:rPr>
              <w:t>Round</w:t>
            </w:r>
            <w:r>
              <w:rPr>
                <w:spacing w:val="-2"/>
                <w:sz w:val="18"/>
              </w:rPr>
              <w:t> </w:t>
            </w:r>
            <w:r>
              <w:rPr>
                <w:sz w:val="18"/>
              </w:rPr>
              <w:t>3 data</w:t>
            </w:r>
            <w:r>
              <w:rPr>
                <w:spacing w:val="-2"/>
                <w:sz w:val="18"/>
              </w:rPr>
              <w:t> </w:t>
            </w:r>
            <w:r>
              <w:rPr>
                <w:sz w:val="18"/>
              </w:rPr>
              <w:t>collection</w:t>
            </w:r>
          </w:p>
        </w:tc>
        <w:tc>
          <w:tcPr>
            <w:tcW w:w="1985" w:type="dxa"/>
            <w:tcBorders>
              <w:right w:val="single" w:sz="4" w:space="0" w:color="BEBEBE"/>
            </w:tcBorders>
          </w:tcPr>
          <w:p>
            <w:pPr>
              <w:pStyle w:val="TableParagraph"/>
              <w:spacing w:line="219" w:lineRule="exact"/>
              <w:ind w:right="94"/>
              <w:jc w:val="right"/>
              <w:rPr>
                <w:sz w:val="18"/>
              </w:rPr>
            </w:pPr>
            <w:r>
              <w:rPr>
                <w:sz w:val="18"/>
              </w:rPr>
              <w:t>Jan-Jun</w:t>
            </w:r>
            <w:r>
              <w:rPr>
                <w:spacing w:val="-1"/>
                <w:sz w:val="18"/>
              </w:rPr>
              <w:t> </w:t>
            </w:r>
            <w:r>
              <w:rPr>
                <w:sz w:val="18"/>
              </w:rPr>
              <w:t>2019</w:t>
            </w:r>
          </w:p>
        </w:tc>
      </w:tr>
      <w:tr>
        <w:trPr>
          <w:trHeight w:val="253" w:hRule="atLeast"/>
        </w:trPr>
        <w:tc>
          <w:tcPr>
            <w:tcW w:w="1845" w:type="dxa"/>
            <w:vMerge/>
            <w:tcBorders>
              <w:top w:val="nil"/>
              <w:left w:val="single" w:sz="4" w:space="0" w:color="BEBEBE"/>
            </w:tcBorders>
          </w:tcPr>
          <w:p>
            <w:pPr>
              <w:rPr>
                <w:sz w:val="2"/>
                <w:szCs w:val="2"/>
              </w:rPr>
            </w:pPr>
          </w:p>
        </w:tc>
        <w:tc>
          <w:tcPr>
            <w:tcW w:w="4393" w:type="dxa"/>
          </w:tcPr>
          <w:p>
            <w:pPr>
              <w:pStyle w:val="TableParagraph"/>
              <w:spacing w:line="219" w:lineRule="exact"/>
              <w:ind w:left="98"/>
              <w:rPr>
                <w:sz w:val="18"/>
              </w:rPr>
            </w:pPr>
            <w:r>
              <w:rPr>
                <w:sz w:val="18"/>
              </w:rPr>
              <w:t>Round</w:t>
            </w:r>
            <w:r>
              <w:rPr>
                <w:spacing w:val="-2"/>
                <w:sz w:val="18"/>
              </w:rPr>
              <w:t> </w:t>
            </w:r>
            <w:r>
              <w:rPr>
                <w:sz w:val="18"/>
              </w:rPr>
              <w:t>4 data</w:t>
            </w:r>
            <w:r>
              <w:rPr>
                <w:spacing w:val="-2"/>
                <w:sz w:val="18"/>
              </w:rPr>
              <w:t> </w:t>
            </w:r>
            <w:r>
              <w:rPr>
                <w:sz w:val="18"/>
              </w:rPr>
              <w:t>collection</w:t>
            </w:r>
          </w:p>
        </w:tc>
        <w:tc>
          <w:tcPr>
            <w:tcW w:w="1985" w:type="dxa"/>
            <w:tcBorders>
              <w:right w:val="single" w:sz="4" w:space="0" w:color="BEBEBE"/>
            </w:tcBorders>
          </w:tcPr>
          <w:p>
            <w:pPr>
              <w:pStyle w:val="TableParagraph"/>
              <w:spacing w:line="219" w:lineRule="exact"/>
              <w:ind w:right="94"/>
              <w:jc w:val="right"/>
              <w:rPr>
                <w:sz w:val="18"/>
              </w:rPr>
            </w:pPr>
            <w:r>
              <w:rPr>
                <w:sz w:val="18"/>
              </w:rPr>
              <w:t>Jul</w:t>
            </w:r>
            <w:r>
              <w:rPr>
                <w:spacing w:val="-2"/>
                <w:sz w:val="18"/>
              </w:rPr>
              <w:t> </w:t>
            </w:r>
            <w:r>
              <w:rPr>
                <w:sz w:val="18"/>
              </w:rPr>
              <w:t>2019-Jun</w:t>
            </w:r>
            <w:r>
              <w:rPr>
                <w:spacing w:val="-2"/>
                <w:sz w:val="18"/>
              </w:rPr>
              <w:t> </w:t>
            </w:r>
            <w:r>
              <w:rPr>
                <w:sz w:val="18"/>
              </w:rPr>
              <w:t>2020</w:t>
            </w:r>
          </w:p>
        </w:tc>
      </w:tr>
      <w:tr>
        <w:trPr>
          <w:trHeight w:val="253" w:hRule="atLeast"/>
        </w:trPr>
        <w:tc>
          <w:tcPr>
            <w:tcW w:w="1845" w:type="dxa"/>
            <w:vMerge/>
            <w:tcBorders>
              <w:top w:val="nil"/>
              <w:left w:val="single" w:sz="4" w:space="0" w:color="BEBEBE"/>
            </w:tcBorders>
          </w:tcPr>
          <w:p>
            <w:pPr>
              <w:rPr>
                <w:sz w:val="2"/>
                <w:szCs w:val="2"/>
              </w:rPr>
            </w:pPr>
          </w:p>
        </w:tc>
        <w:tc>
          <w:tcPr>
            <w:tcW w:w="4393" w:type="dxa"/>
          </w:tcPr>
          <w:p>
            <w:pPr>
              <w:pStyle w:val="TableParagraph"/>
              <w:spacing w:line="219" w:lineRule="exact"/>
              <w:ind w:left="98"/>
              <w:rPr>
                <w:sz w:val="18"/>
              </w:rPr>
            </w:pPr>
            <w:r>
              <w:rPr>
                <w:sz w:val="18"/>
              </w:rPr>
              <w:t>Round</w:t>
            </w:r>
            <w:r>
              <w:rPr>
                <w:spacing w:val="-2"/>
                <w:sz w:val="18"/>
              </w:rPr>
              <w:t> </w:t>
            </w:r>
            <w:r>
              <w:rPr>
                <w:sz w:val="18"/>
              </w:rPr>
              <w:t>5</w:t>
            </w:r>
            <w:r>
              <w:rPr>
                <w:spacing w:val="-1"/>
                <w:sz w:val="18"/>
              </w:rPr>
              <w:t> </w:t>
            </w:r>
            <w:r>
              <w:rPr>
                <w:sz w:val="18"/>
              </w:rPr>
              <w:t>data</w:t>
            </w:r>
            <w:r>
              <w:rPr>
                <w:spacing w:val="-2"/>
                <w:sz w:val="18"/>
              </w:rPr>
              <w:t> </w:t>
            </w:r>
            <w:r>
              <w:rPr>
                <w:sz w:val="18"/>
              </w:rPr>
              <w:t>collection</w:t>
            </w:r>
          </w:p>
        </w:tc>
        <w:tc>
          <w:tcPr>
            <w:tcW w:w="1985" w:type="dxa"/>
            <w:tcBorders>
              <w:right w:val="single" w:sz="4" w:space="0" w:color="BEBEBE"/>
            </w:tcBorders>
          </w:tcPr>
          <w:p>
            <w:pPr>
              <w:pStyle w:val="TableParagraph"/>
              <w:spacing w:line="219" w:lineRule="exact"/>
              <w:ind w:right="94"/>
              <w:jc w:val="right"/>
              <w:rPr>
                <w:sz w:val="18"/>
              </w:rPr>
            </w:pPr>
            <w:r>
              <w:rPr>
                <w:sz w:val="18"/>
              </w:rPr>
              <w:t>Jul</w:t>
            </w:r>
            <w:r>
              <w:rPr>
                <w:spacing w:val="-2"/>
                <w:sz w:val="18"/>
              </w:rPr>
              <w:t> </w:t>
            </w:r>
            <w:r>
              <w:rPr>
                <w:sz w:val="18"/>
              </w:rPr>
              <w:t>2020-Jun</w:t>
            </w:r>
            <w:r>
              <w:rPr>
                <w:spacing w:val="-2"/>
                <w:sz w:val="18"/>
              </w:rPr>
              <w:t> </w:t>
            </w:r>
            <w:r>
              <w:rPr>
                <w:sz w:val="18"/>
              </w:rPr>
              <w:t>2021</w:t>
            </w:r>
          </w:p>
        </w:tc>
      </w:tr>
      <w:tr>
        <w:trPr>
          <w:trHeight w:val="253" w:hRule="atLeast"/>
        </w:trPr>
        <w:tc>
          <w:tcPr>
            <w:tcW w:w="1845" w:type="dxa"/>
            <w:tcBorders>
              <w:left w:val="single" w:sz="4" w:space="0" w:color="BEBEBE"/>
              <w:bottom w:val="single" w:sz="4" w:space="0" w:color="BEBEBE"/>
            </w:tcBorders>
          </w:tcPr>
          <w:p>
            <w:pPr>
              <w:pStyle w:val="TableParagraph"/>
              <w:spacing w:line="219" w:lineRule="exact"/>
              <w:ind w:left="89" w:right="127"/>
              <w:jc w:val="center"/>
              <w:rPr>
                <w:b/>
                <w:sz w:val="18"/>
              </w:rPr>
            </w:pPr>
            <w:r>
              <w:rPr>
                <w:b/>
                <w:sz w:val="18"/>
              </w:rPr>
              <w:t>3</w:t>
            </w:r>
            <w:r>
              <w:rPr>
                <w:b/>
                <w:spacing w:val="-2"/>
                <w:sz w:val="18"/>
              </w:rPr>
              <w:t> </w:t>
            </w:r>
            <w:r>
              <w:rPr>
                <w:b/>
                <w:sz w:val="18"/>
              </w:rPr>
              <w:t>Reporting phase</w:t>
            </w:r>
          </w:p>
        </w:tc>
        <w:tc>
          <w:tcPr>
            <w:tcW w:w="4393" w:type="dxa"/>
            <w:tcBorders>
              <w:bottom w:val="single" w:sz="4" w:space="0" w:color="BEBEBE"/>
            </w:tcBorders>
          </w:tcPr>
          <w:p>
            <w:pPr>
              <w:pStyle w:val="TableParagraph"/>
              <w:spacing w:line="219" w:lineRule="exact"/>
              <w:ind w:left="98"/>
              <w:rPr>
                <w:sz w:val="18"/>
              </w:rPr>
            </w:pPr>
            <w:r>
              <w:rPr>
                <w:sz w:val="18"/>
              </w:rPr>
              <w:t>Draft</w:t>
            </w:r>
            <w:r>
              <w:rPr>
                <w:spacing w:val="-4"/>
                <w:sz w:val="18"/>
              </w:rPr>
              <w:t> </w:t>
            </w:r>
            <w:r>
              <w:rPr>
                <w:sz w:val="18"/>
              </w:rPr>
              <w:t>and</w:t>
            </w:r>
            <w:r>
              <w:rPr>
                <w:spacing w:val="-3"/>
                <w:sz w:val="18"/>
              </w:rPr>
              <w:t> </w:t>
            </w:r>
            <w:r>
              <w:rPr>
                <w:sz w:val="18"/>
              </w:rPr>
              <w:t>final</w:t>
            </w:r>
            <w:r>
              <w:rPr>
                <w:spacing w:val="-3"/>
                <w:sz w:val="18"/>
              </w:rPr>
              <w:t> </w:t>
            </w:r>
            <w:r>
              <w:rPr>
                <w:sz w:val="18"/>
              </w:rPr>
              <w:t>reports</w:t>
            </w:r>
            <w:r>
              <w:rPr>
                <w:spacing w:val="-3"/>
                <w:sz w:val="18"/>
              </w:rPr>
              <w:t> </w:t>
            </w:r>
            <w:r>
              <w:rPr>
                <w:sz w:val="18"/>
              </w:rPr>
              <w:t>of</w:t>
            </w:r>
            <w:r>
              <w:rPr>
                <w:spacing w:val="-1"/>
                <w:sz w:val="18"/>
              </w:rPr>
              <w:t> </w:t>
            </w:r>
            <w:r>
              <w:rPr>
                <w:sz w:val="18"/>
              </w:rPr>
              <w:t>the</w:t>
            </w:r>
            <w:r>
              <w:rPr>
                <w:spacing w:val="-4"/>
                <w:sz w:val="18"/>
              </w:rPr>
              <w:t> </w:t>
            </w:r>
            <w:r>
              <w:rPr>
                <w:sz w:val="18"/>
              </w:rPr>
              <w:t>evaluation</w:t>
            </w:r>
          </w:p>
        </w:tc>
        <w:tc>
          <w:tcPr>
            <w:tcW w:w="1985" w:type="dxa"/>
            <w:tcBorders>
              <w:bottom w:val="single" w:sz="4" w:space="0" w:color="BEBEBE"/>
              <w:right w:val="single" w:sz="4" w:space="0" w:color="BEBEBE"/>
            </w:tcBorders>
          </w:tcPr>
          <w:p>
            <w:pPr>
              <w:pStyle w:val="TableParagraph"/>
              <w:spacing w:line="219" w:lineRule="exact"/>
              <w:ind w:right="94"/>
              <w:jc w:val="right"/>
              <w:rPr>
                <w:sz w:val="18"/>
              </w:rPr>
            </w:pPr>
            <w:r>
              <w:rPr>
                <w:sz w:val="18"/>
              </w:rPr>
              <w:t>Jul</w:t>
            </w:r>
            <w:r>
              <w:rPr>
                <w:spacing w:val="-2"/>
                <w:sz w:val="18"/>
              </w:rPr>
              <w:t> </w:t>
            </w:r>
            <w:r>
              <w:rPr>
                <w:sz w:val="18"/>
              </w:rPr>
              <w:t>2021-Dec</w:t>
            </w:r>
            <w:r>
              <w:rPr>
                <w:spacing w:val="-2"/>
                <w:sz w:val="18"/>
              </w:rPr>
              <w:t> </w:t>
            </w:r>
            <w:r>
              <w:rPr>
                <w:sz w:val="18"/>
              </w:rPr>
              <w:t>2021</w:t>
            </w:r>
          </w:p>
        </w:tc>
      </w:tr>
    </w:tbl>
    <w:p>
      <w:pPr>
        <w:pStyle w:val="BodyText"/>
        <w:spacing w:before="4"/>
        <w:rPr>
          <w:b/>
          <w:sz w:val="23"/>
        </w:rPr>
      </w:pPr>
    </w:p>
    <w:p>
      <w:pPr>
        <w:pStyle w:val="BodyText"/>
        <w:spacing w:line="276" w:lineRule="auto"/>
        <w:ind w:left="1440" w:right="2009"/>
      </w:pPr>
      <w:r>
        <w:rPr/>
        <w:t>The evaluation plan is a component of the Phase 1. The plan specifies the design of the</w:t>
      </w:r>
      <w:r>
        <w:rPr>
          <w:spacing w:val="-53"/>
        </w:rPr>
        <w:t> </w:t>
      </w:r>
      <w:r>
        <w:rPr/>
        <w:t>evaluation,</w:t>
      </w:r>
      <w:r>
        <w:rPr>
          <w:spacing w:val="-4"/>
        </w:rPr>
        <w:t> </w:t>
      </w:r>
      <w:r>
        <w:rPr/>
        <w:t>including:</w:t>
      </w:r>
    </w:p>
    <w:p>
      <w:pPr>
        <w:pStyle w:val="ListParagraph"/>
        <w:numPr>
          <w:ilvl w:val="0"/>
          <w:numId w:val="5"/>
        </w:numPr>
        <w:tabs>
          <w:tab w:pos="2160" w:val="left" w:leader="none"/>
          <w:tab w:pos="2161" w:val="left" w:leader="none"/>
        </w:tabs>
        <w:spacing w:line="240" w:lineRule="auto" w:before="202" w:after="0"/>
        <w:ind w:left="2160" w:right="0" w:hanging="361"/>
        <w:jc w:val="left"/>
        <w:rPr>
          <w:sz w:val="20"/>
        </w:rPr>
      </w:pPr>
      <w:r>
        <w:rPr>
          <w:sz w:val="20"/>
        </w:rPr>
        <w:t>the</w:t>
      </w:r>
      <w:r>
        <w:rPr>
          <w:spacing w:val="-3"/>
          <w:sz w:val="20"/>
        </w:rPr>
        <w:t> </w:t>
      </w:r>
      <w:r>
        <w:rPr>
          <w:sz w:val="20"/>
        </w:rPr>
        <w:t>questions</w:t>
      </w:r>
      <w:r>
        <w:rPr>
          <w:spacing w:val="-4"/>
          <w:sz w:val="20"/>
        </w:rPr>
        <w:t> </w:t>
      </w:r>
      <w:r>
        <w:rPr>
          <w:sz w:val="20"/>
        </w:rPr>
        <w:t>to</w:t>
      </w:r>
      <w:r>
        <w:rPr>
          <w:spacing w:val="-4"/>
          <w:sz w:val="20"/>
        </w:rPr>
        <w:t> </w:t>
      </w:r>
      <w:r>
        <w:rPr>
          <w:sz w:val="20"/>
        </w:rPr>
        <w:t>be</w:t>
      </w:r>
      <w:r>
        <w:rPr>
          <w:spacing w:val="-1"/>
          <w:sz w:val="20"/>
        </w:rPr>
        <w:t> </w:t>
      </w:r>
      <w:r>
        <w:rPr>
          <w:sz w:val="20"/>
        </w:rPr>
        <w:t>answered</w:t>
      </w:r>
      <w:r>
        <w:rPr>
          <w:spacing w:val="-4"/>
          <w:sz w:val="20"/>
        </w:rPr>
        <w:t> </w:t>
      </w:r>
      <w:r>
        <w:rPr>
          <w:sz w:val="20"/>
        </w:rPr>
        <w:t>by</w:t>
      </w:r>
      <w:r>
        <w:rPr>
          <w:spacing w:val="-5"/>
          <w:sz w:val="20"/>
        </w:rPr>
        <w:t> </w:t>
      </w:r>
      <w:r>
        <w:rPr>
          <w:sz w:val="20"/>
        </w:rPr>
        <w:t>the</w:t>
      </w:r>
      <w:r>
        <w:rPr>
          <w:spacing w:val="-3"/>
          <w:sz w:val="20"/>
        </w:rPr>
        <w:t> </w:t>
      </w:r>
      <w:r>
        <w:rPr>
          <w:sz w:val="20"/>
        </w:rPr>
        <w:t>evaluation</w:t>
      </w:r>
    </w:p>
    <w:p>
      <w:pPr>
        <w:pStyle w:val="ListParagraph"/>
        <w:numPr>
          <w:ilvl w:val="0"/>
          <w:numId w:val="5"/>
        </w:numPr>
        <w:tabs>
          <w:tab w:pos="2160" w:val="left" w:leader="none"/>
          <w:tab w:pos="2161" w:val="left" w:leader="none"/>
        </w:tabs>
        <w:spacing w:line="240" w:lineRule="auto" w:before="36" w:after="0"/>
        <w:ind w:left="2160" w:right="0" w:hanging="361"/>
        <w:jc w:val="left"/>
        <w:rPr>
          <w:sz w:val="20"/>
        </w:rPr>
      </w:pPr>
      <w:r>
        <w:rPr>
          <w:sz w:val="20"/>
        </w:rPr>
        <w:t>the</w:t>
      </w:r>
      <w:r>
        <w:rPr>
          <w:spacing w:val="-3"/>
          <w:sz w:val="20"/>
        </w:rPr>
        <w:t> </w:t>
      </w:r>
      <w:r>
        <w:rPr>
          <w:sz w:val="20"/>
        </w:rPr>
        <w:t>overall</w:t>
      </w:r>
      <w:r>
        <w:rPr>
          <w:spacing w:val="-3"/>
          <w:sz w:val="20"/>
        </w:rPr>
        <w:t> </w:t>
      </w:r>
      <w:r>
        <w:rPr>
          <w:sz w:val="20"/>
        </w:rPr>
        <w:t>study</w:t>
      </w:r>
      <w:r>
        <w:rPr>
          <w:spacing w:val="-4"/>
          <w:sz w:val="20"/>
        </w:rPr>
        <w:t> </w:t>
      </w:r>
      <w:r>
        <w:rPr>
          <w:sz w:val="20"/>
        </w:rPr>
        <w:t>design</w:t>
      </w:r>
      <w:r>
        <w:rPr>
          <w:spacing w:val="2"/>
          <w:sz w:val="20"/>
        </w:rPr>
        <w:t> </w:t>
      </w:r>
      <w:r>
        <w:rPr>
          <w:sz w:val="20"/>
        </w:rPr>
        <w:t>and</w:t>
      </w:r>
      <w:r>
        <w:rPr>
          <w:spacing w:val="-4"/>
          <w:sz w:val="20"/>
        </w:rPr>
        <w:t> </w:t>
      </w:r>
      <w:r>
        <w:rPr>
          <w:sz w:val="20"/>
        </w:rPr>
        <w:t>methods</w:t>
      </w:r>
      <w:r>
        <w:rPr>
          <w:spacing w:val="-4"/>
          <w:sz w:val="20"/>
        </w:rPr>
        <w:t> </w:t>
      </w:r>
      <w:r>
        <w:rPr>
          <w:sz w:val="20"/>
        </w:rPr>
        <w:t>to</w:t>
      </w:r>
      <w:r>
        <w:rPr>
          <w:spacing w:val="-4"/>
          <w:sz w:val="20"/>
        </w:rPr>
        <w:t> </w:t>
      </w:r>
      <w:r>
        <w:rPr>
          <w:sz w:val="20"/>
        </w:rPr>
        <w:t>be</w:t>
      </w:r>
      <w:r>
        <w:rPr>
          <w:spacing w:val="-3"/>
          <w:sz w:val="20"/>
        </w:rPr>
        <w:t> </w:t>
      </w:r>
      <w:r>
        <w:rPr>
          <w:sz w:val="20"/>
        </w:rPr>
        <w:t>used</w:t>
      </w:r>
      <w:r>
        <w:rPr>
          <w:spacing w:val="-1"/>
          <w:sz w:val="20"/>
        </w:rPr>
        <w:t> </w:t>
      </w:r>
      <w:r>
        <w:rPr>
          <w:sz w:val="20"/>
        </w:rPr>
        <w:t>for</w:t>
      </w:r>
      <w:r>
        <w:rPr>
          <w:spacing w:val="-2"/>
          <w:sz w:val="20"/>
        </w:rPr>
        <w:t> </w:t>
      </w:r>
      <w:r>
        <w:rPr>
          <w:sz w:val="20"/>
        </w:rPr>
        <w:t>answering</w:t>
      </w:r>
      <w:r>
        <w:rPr>
          <w:spacing w:val="-2"/>
          <w:sz w:val="20"/>
        </w:rPr>
        <w:t> </w:t>
      </w:r>
      <w:r>
        <w:rPr>
          <w:sz w:val="20"/>
        </w:rPr>
        <w:t>the</w:t>
      </w:r>
      <w:r>
        <w:rPr>
          <w:spacing w:val="-4"/>
          <w:sz w:val="20"/>
        </w:rPr>
        <w:t> </w:t>
      </w:r>
      <w:r>
        <w:rPr>
          <w:sz w:val="20"/>
        </w:rPr>
        <w:t>questions</w:t>
      </w:r>
    </w:p>
    <w:p>
      <w:pPr>
        <w:pStyle w:val="ListParagraph"/>
        <w:numPr>
          <w:ilvl w:val="0"/>
          <w:numId w:val="5"/>
        </w:numPr>
        <w:tabs>
          <w:tab w:pos="2160" w:val="left" w:leader="none"/>
          <w:tab w:pos="2161" w:val="left" w:leader="none"/>
        </w:tabs>
        <w:spacing w:line="240" w:lineRule="auto" w:before="38" w:after="0"/>
        <w:ind w:left="2160" w:right="0" w:hanging="361"/>
        <w:jc w:val="left"/>
        <w:rPr>
          <w:sz w:val="20"/>
        </w:rPr>
      </w:pPr>
      <w:r>
        <w:rPr>
          <w:sz w:val="20"/>
        </w:rPr>
        <w:t>the</w:t>
      </w:r>
      <w:r>
        <w:rPr>
          <w:spacing w:val="-3"/>
          <w:sz w:val="20"/>
        </w:rPr>
        <w:t> </w:t>
      </w:r>
      <w:r>
        <w:rPr>
          <w:sz w:val="20"/>
        </w:rPr>
        <w:t>measures</w:t>
      </w:r>
      <w:r>
        <w:rPr>
          <w:spacing w:val="-3"/>
          <w:sz w:val="20"/>
        </w:rPr>
        <w:t> </w:t>
      </w:r>
      <w:r>
        <w:rPr>
          <w:sz w:val="20"/>
        </w:rPr>
        <w:t>to</w:t>
      </w:r>
      <w:r>
        <w:rPr>
          <w:spacing w:val="-4"/>
          <w:sz w:val="20"/>
        </w:rPr>
        <w:t> </w:t>
      </w:r>
      <w:r>
        <w:rPr>
          <w:sz w:val="20"/>
        </w:rPr>
        <w:t>be</w:t>
      </w:r>
      <w:r>
        <w:rPr>
          <w:spacing w:val="1"/>
          <w:sz w:val="20"/>
        </w:rPr>
        <w:t> </w:t>
      </w:r>
      <w:r>
        <w:rPr>
          <w:sz w:val="20"/>
        </w:rPr>
        <w:t>used</w:t>
      </w:r>
      <w:r>
        <w:rPr>
          <w:spacing w:val="1"/>
          <w:sz w:val="20"/>
        </w:rPr>
        <w:t> </w:t>
      </w:r>
      <w:r>
        <w:rPr>
          <w:sz w:val="20"/>
        </w:rPr>
        <w:t>to</w:t>
      </w:r>
      <w:r>
        <w:rPr>
          <w:spacing w:val="-3"/>
          <w:sz w:val="20"/>
        </w:rPr>
        <w:t> </w:t>
      </w:r>
      <w:r>
        <w:rPr>
          <w:sz w:val="20"/>
        </w:rPr>
        <w:t>show</w:t>
      </w:r>
      <w:r>
        <w:rPr>
          <w:spacing w:val="-1"/>
          <w:sz w:val="20"/>
        </w:rPr>
        <w:t> </w:t>
      </w:r>
      <w:r>
        <w:rPr>
          <w:sz w:val="20"/>
        </w:rPr>
        <w:t>changes</w:t>
      </w:r>
    </w:p>
    <w:p>
      <w:pPr>
        <w:pStyle w:val="ListParagraph"/>
        <w:numPr>
          <w:ilvl w:val="0"/>
          <w:numId w:val="5"/>
        </w:numPr>
        <w:tabs>
          <w:tab w:pos="2160" w:val="left" w:leader="none"/>
          <w:tab w:pos="2161" w:val="left" w:leader="none"/>
        </w:tabs>
        <w:spacing w:line="276" w:lineRule="auto" w:before="35" w:after="0"/>
        <w:ind w:left="2160" w:right="1718" w:hanging="360"/>
        <w:jc w:val="left"/>
        <w:rPr>
          <w:sz w:val="20"/>
        </w:rPr>
      </w:pPr>
      <w:r>
        <w:rPr>
          <w:sz w:val="20"/>
        </w:rPr>
        <w:t>the sources of data, primary (qualitative and quantitative) and secondary, that will</w:t>
      </w:r>
      <w:r>
        <w:rPr>
          <w:spacing w:val="-53"/>
          <w:sz w:val="20"/>
        </w:rPr>
        <w:t> </w:t>
      </w:r>
      <w:r>
        <w:rPr>
          <w:sz w:val="20"/>
        </w:rPr>
        <w:t>be</w:t>
      </w:r>
      <w:r>
        <w:rPr>
          <w:spacing w:val="-2"/>
          <w:sz w:val="20"/>
        </w:rPr>
        <w:t> </w:t>
      </w:r>
      <w:r>
        <w:rPr>
          <w:sz w:val="20"/>
        </w:rPr>
        <w:t>collected/</w:t>
      </w:r>
      <w:r>
        <w:rPr>
          <w:spacing w:val="-1"/>
          <w:sz w:val="20"/>
        </w:rPr>
        <w:t> </w:t>
      </w:r>
      <w:r>
        <w:rPr>
          <w:sz w:val="20"/>
        </w:rPr>
        <w:t>accessed</w:t>
      </w:r>
      <w:r>
        <w:rPr>
          <w:spacing w:val="2"/>
          <w:sz w:val="20"/>
        </w:rPr>
        <w:t> </w:t>
      </w:r>
      <w:r>
        <w:rPr>
          <w:sz w:val="20"/>
        </w:rPr>
        <w:t>for</w:t>
      </w:r>
      <w:r>
        <w:rPr>
          <w:spacing w:val="-1"/>
          <w:sz w:val="20"/>
        </w:rPr>
        <w:t> </w:t>
      </w:r>
      <w:r>
        <w:rPr>
          <w:sz w:val="20"/>
        </w:rPr>
        <w:t>the</w:t>
      </w:r>
      <w:r>
        <w:rPr>
          <w:spacing w:val="-2"/>
          <w:sz w:val="20"/>
        </w:rPr>
        <w:t> </w:t>
      </w:r>
      <w:r>
        <w:rPr>
          <w:sz w:val="20"/>
        </w:rPr>
        <w:t>evaluation</w:t>
      </w:r>
    </w:p>
    <w:p>
      <w:pPr>
        <w:pStyle w:val="ListParagraph"/>
        <w:numPr>
          <w:ilvl w:val="0"/>
          <w:numId w:val="5"/>
        </w:numPr>
        <w:tabs>
          <w:tab w:pos="2160" w:val="left" w:leader="none"/>
          <w:tab w:pos="2161" w:val="left" w:leader="none"/>
        </w:tabs>
        <w:spacing w:line="240" w:lineRule="auto" w:before="0" w:after="0"/>
        <w:ind w:left="2160" w:right="0" w:hanging="361"/>
        <w:jc w:val="left"/>
        <w:rPr>
          <w:sz w:val="20"/>
        </w:rPr>
      </w:pPr>
      <w:r>
        <w:rPr>
          <w:sz w:val="20"/>
        </w:rPr>
        <w:t>data</w:t>
      </w:r>
      <w:r>
        <w:rPr>
          <w:spacing w:val="-5"/>
          <w:sz w:val="20"/>
        </w:rPr>
        <w:t> </w:t>
      </w:r>
      <w:r>
        <w:rPr>
          <w:sz w:val="20"/>
        </w:rPr>
        <w:t>collection/</w:t>
      </w:r>
      <w:r>
        <w:rPr>
          <w:spacing w:val="-5"/>
          <w:sz w:val="20"/>
        </w:rPr>
        <w:t> </w:t>
      </w:r>
      <w:r>
        <w:rPr>
          <w:sz w:val="20"/>
        </w:rPr>
        <w:t>sourcing</w:t>
      </w:r>
      <w:r>
        <w:rPr>
          <w:spacing w:val="-3"/>
          <w:sz w:val="20"/>
        </w:rPr>
        <w:t> </w:t>
      </w:r>
      <w:r>
        <w:rPr>
          <w:sz w:val="20"/>
        </w:rPr>
        <w:t>methods</w:t>
      </w:r>
    </w:p>
    <w:p>
      <w:pPr>
        <w:pStyle w:val="ListParagraph"/>
        <w:numPr>
          <w:ilvl w:val="0"/>
          <w:numId w:val="5"/>
        </w:numPr>
        <w:tabs>
          <w:tab w:pos="2160" w:val="left" w:leader="none"/>
          <w:tab w:pos="2161" w:val="left" w:leader="none"/>
        </w:tabs>
        <w:spacing w:line="240" w:lineRule="auto" w:before="38" w:after="0"/>
        <w:ind w:left="2160" w:right="0" w:hanging="361"/>
        <w:jc w:val="left"/>
        <w:rPr>
          <w:sz w:val="20"/>
        </w:rPr>
      </w:pPr>
      <w:r>
        <w:rPr>
          <w:sz w:val="20"/>
        </w:rPr>
        <w:t>a</w:t>
      </w:r>
      <w:r>
        <w:rPr>
          <w:spacing w:val="-4"/>
          <w:sz w:val="20"/>
        </w:rPr>
        <w:t> </w:t>
      </w:r>
      <w:r>
        <w:rPr>
          <w:sz w:val="20"/>
        </w:rPr>
        <w:t>plan</w:t>
      </w:r>
      <w:r>
        <w:rPr>
          <w:spacing w:val="-4"/>
          <w:sz w:val="20"/>
        </w:rPr>
        <w:t> </w:t>
      </w:r>
      <w:r>
        <w:rPr>
          <w:sz w:val="20"/>
        </w:rPr>
        <w:t>for</w:t>
      </w:r>
      <w:r>
        <w:rPr>
          <w:spacing w:val="-4"/>
          <w:sz w:val="20"/>
        </w:rPr>
        <w:t> </w:t>
      </w:r>
      <w:r>
        <w:rPr>
          <w:sz w:val="20"/>
        </w:rPr>
        <w:t>statistical</w:t>
      </w:r>
      <w:r>
        <w:rPr>
          <w:spacing w:val="-4"/>
          <w:sz w:val="20"/>
        </w:rPr>
        <w:t> </w:t>
      </w:r>
      <w:r>
        <w:rPr>
          <w:sz w:val="20"/>
        </w:rPr>
        <w:t>and</w:t>
      </w:r>
      <w:r>
        <w:rPr>
          <w:spacing w:val="-7"/>
          <w:sz w:val="20"/>
        </w:rPr>
        <w:t> </w:t>
      </w:r>
      <w:r>
        <w:rPr>
          <w:sz w:val="20"/>
        </w:rPr>
        <w:t>qualitative</w:t>
      </w:r>
      <w:r>
        <w:rPr>
          <w:spacing w:val="-5"/>
          <w:sz w:val="20"/>
        </w:rPr>
        <w:t> </w:t>
      </w:r>
      <w:r>
        <w:rPr>
          <w:sz w:val="20"/>
        </w:rPr>
        <w:t>analysis</w:t>
      </w:r>
    </w:p>
    <w:p>
      <w:pPr>
        <w:pStyle w:val="ListParagraph"/>
        <w:numPr>
          <w:ilvl w:val="0"/>
          <w:numId w:val="5"/>
        </w:numPr>
        <w:tabs>
          <w:tab w:pos="2160" w:val="left" w:leader="none"/>
          <w:tab w:pos="2161" w:val="left" w:leader="none"/>
        </w:tabs>
        <w:spacing w:line="240" w:lineRule="auto" w:before="36" w:after="0"/>
        <w:ind w:left="2160" w:right="0" w:hanging="361"/>
        <w:jc w:val="left"/>
        <w:rPr>
          <w:sz w:val="20"/>
        </w:rPr>
      </w:pPr>
      <w:r>
        <w:rPr>
          <w:sz w:val="20"/>
        </w:rPr>
        <w:t>a</w:t>
      </w:r>
      <w:r>
        <w:rPr>
          <w:spacing w:val="-4"/>
          <w:sz w:val="20"/>
        </w:rPr>
        <w:t> </w:t>
      </w:r>
      <w:r>
        <w:rPr>
          <w:sz w:val="20"/>
        </w:rPr>
        <w:t>dissemination</w:t>
      </w:r>
      <w:r>
        <w:rPr>
          <w:spacing w:val="-3"/>
          <w:sz w:val="20"/>
        </w:rPr>
        <w:t> </w:t>
      </w:r>
      <w:r>
        <w:rPr>
          <w:sz w:val="20"/>
        </w:rPr>
        <w:t>plan.</w:t>
      </w:r>
    </w:p>
    <w:p>
      <w:pPr>
        <w:pStyle w:val="BodyText"/>
        <w:spacing w:before="4"/>
        <w:rPr>
          <w:sz w:val="19"/>
        </w:rPr>
      </w:pPr>
    </w:p>
    <w:p>
      <w:pPr>
        <w:pStyle w:val="BodyText"/>
        <w:spacing w:line="276" w:lineRule="auto"/>
        <w:ind w:left="1440" w:right="1552"/>
      </w:pPr>
      <w:r>
        <w:rPr/>
        <w:t>The evaluation plan was developed in consultation with key stakeholders, including the</w:t>
      </w:r>
      <w:r>
        <w:rPr>
          <w:spacing w:val="1"/>
        </w:rPr>
        <w:t> </w:t>
      </w:r>
      <w:r>
        <w:rPr/>
        <w:t>Evaluation Working Group (EWG) and the Implementation Advisory Group (IAG) established</w:t>
      </w:r>
      <w:r>
        <w:rPr>
          <w:spacing w:val="-53"/>
        </w:rPr>
        <w:t> </w:t>
      </w:r>
      <w:r>
        <w:rPr/>
        <w:t>by the Department of Health to oversee the evaluation, and the overall design,</w:t>
      </w:r>
      <w:r>
        <w:rPr>
          <w:spacing w:val="1"/>
        </w:rPr>
        <w:t> </w:t>
      </w:r>
      <w:r>
        <w:rPr/>
        <w:t>implementation</w:t>
      </w:r>
      <w:r>
        <w:rPr>
          <w:spacing w:val="-1"/>
        </w:rPr>
        <w:t> </w:t>
      </w:r>
      <w:r>
        <w:rPr/>
        <w:t>and</w:t>
      </w:r>
      <w:r>
        <w:rPr>
          <w:spacing w:val="-1"/>
        </w:rPr>
        <w:t> </w:t>
      </w:r>
      <w:r>
        <w:rPr/>
        <w:t>evaluation</w:t>
      </w:r>
      <w:r>
        <w:rPr>
          <w:spacing w:val="4"/>
        </w:rPr>
        <w:t> </w:t>
      </w:r>
      <w:r>
        <w:rPr/>
        <w:t>of</w:t>
      </w:r>
      <w:r>
        <w:rPr>
          <w:spacing w:val="-2"/>
        </w:rPr>
        <w:t> </w:t>
      </w:r>
      <w:r>
        <w:rPr/>
        <w:t>HCH respectively.</w:t>
      </w:r>
    </w:p>
    <w:p>
      <w:pPr>
        <w:pStyle w:val="BodyText"/>
        <w:spacing w:before="200"/>
        <w:ind w:left="1444" w:right="1449"/>
        <w:jc w:val="center"/>
      </w:pPr>
      <w:r>
        <w:rPr/>
        <w:t>Following</w:t>
      </w:r>
      <w:r>
        <w:rPr>
          <w:spacing w:val="-5"/>
        </w:rPr>
        <w:t> </w:t>
      </w:r>
      <w:r>
        <w:rPr/>
        <w:t>finalisation</w:t>
      </w:r>
      <w:r>
        <w:rPr>
          <w:spacing w:val="-3"/>
        </w:rPr>
        <w:t> </w:t>
      </w:r>
      <w:r>
        <w:rPr/>
        <w:t>of</w:t>
      </w:r>
      <w:r>
        <w:rPr>
          <w:spacing w:val="-4"/>
        </w:rPr>
        <w:t> </w:t>
      </w:r>
      <w:r>
        <w:rPr/>
        <w:t>the</w:t>
      </w:r>
      <w:r>
        <w:rPr>
          <w:spacing w:val="-4"/>
        </w:rPr>
        <w:t> </w:t>
      </w:r>
      <w:r>
        <w:rPr/>
        <w:t>evaluation</w:t>
      </w:r>
      <w:r>
        <w:rPr>
          <w:spacing w:val="2"/>
        </w:rPr>
        <w:t> </w:t>
      </w:r>
      <w:r>
        <w:rPr/>
        <w:t>plan,</w:t>
      </w:r>
      <w:r>
        <w:rPr>
          <w:spacing w:val="-6"/>
        </w:rPr>
        <w:t> </w:t>
      </w:r>
      <w:r>
        <w:rPr/>
        <w:t>ethical</w:t>
      </w:r>
      <w:r>
        <w:rPr>
          <w:spacing w:val="-4"/>
        </w:rPr>
        <w:t> </w:t>
      </w:r>
      <w:r>
        <w:rPr/>
        <w:t>approval</w:t>
      </w:r>
      <w:r>
        <w:rPr>
          <w:spacing w:val="-1"/>
        </w:rPr>
        <w:t> </w:t>
      </w:r>
      <w:r>
        <w:rPr/>
        <w:t>for</w:t>
      </w:r>
      <w:r>
        <w:rPr>
          <w:spacing w:val="-4"/>
        </w:rPr>
        <w:t> </w:t>
      </w:r>
      <w:r>
        <w:rPr/>
        <w:t>the</w:t>
      </w:r>
      <w:r>
        <w:rPr>
          <w:spacing w:val="-4"/>
        </w:rPr>
        <w:t> </w:t>
      </w:r>
      <w:r>
        <w:rPr/>
        <w:t>study</w:t>
      </w:r>
      <w:r>
        <w:rPr>
          <w:spacing w:val="-2"/>
        </w:rPr>
        <w:t> </w:t>
      </w:r>
      <w:r>
        <w:rPr/>
        <w:t>will</w:t>
      </w:r>
      <w:r>
        <w:rPr>
          <w:spacing w:val="-3"/>
        </w:rPr>
        <w:t> </w:t>
      </w:r>
      <w:r>
        <w:rPr/>
        <w:t>be</w:t>
      </w:r>
      <w:r>
        <w:rPr>
          <w:spacing w:val="-4"/>
        </w:rPr>
        <w:t> </w:t>
      </w:r>
      <w:r>
        <w:rPr/>
        <w:t>sought</w:t>
      </w:r>
      <w:r>
        <w:rPr>
          <w:spacing w:val="-3"/>
        </w:rPr>
        <w:t> </w:t>
      </w:r>
      <w:r>
        <w:rPr/>
        <w:t>from</w:t>
      </w:r>
    </w:p>
    <w:p>
      <w:pPr>
        <w:spacing w:after="0"/>
        <w:jc w:val="center"/>
        <w:sectPr>
          <w:pgSz w:w="11910" w:h="16840"/>
          <w:pgMar w:header="0" w:footer="675" w:top="1340" w:bottom="860" w:left="0" w:right="0"/>
        </w:sectPr>
      </w:pPr>
    </w:p>
    <w:p>
      <w:pPr>
        <w:pStyle w:val="BodyText"/>
        <w:spacing w:before="82"/>
        <w:ind w:left="1440"/>
      </w:pPr>
      <w:r>
        <w:rPr/>
        <w:t>appropriate</w:t>
      </w:r>
      <w:r>
        <w:rPr>
          <w:spacing w:val="-2"/>
        </w:rPr>
        <w:t> </w:t>
      </w:r>
      <w:r>
        <w:rPr/>
        <w:t>human</w:t>
      </w:r>
      <w:r>
        <w:rPr>
          <w:spacing w:val="-2"/>
        </w:rPr>
        <w:t> </w:t>
      </w:r>
      <w:r>
        <w:rPr/>
        <w:t>research</w:t>
      </w:r>
      <w:r>
        <w:rPr>
          <w:spacing w:val="-3"/>
        </w:rPr>
        <w:t> </w:t>
      </w:r>
      <w:r>
        <w:rPr/>
        <w:t>ethics</w:t>
      </w:r>
      <w:r>
        <w:rPr>
          <w:spacing w:val="-4"/>
        </w:rPr>
        <w:t> </w:t>
      </w:r>
      <w:r>
        <w:rPr/>
        <w:t>committees</w:t>
      </w:r>
      <w:r>
        <w:rPr>
          <w:spacing w:val="-2"/>
        </w:rPr>
        <w:t> </w:t>
      </w:r>
      <w:r>
        <w:rPr/>
        <w:t>(HRECs).</w:t>
      </w:r>
    </w:p>
    <w:p>
      <w:pPr>
        <w:pStyle w:val="BodyText"/>
        <w:spacing w:before="3"/>
        <w:rPr>
          <w:sz w:val="19"/>
        </w:rPr>
      </w:pPr>
    </w:p>
    <w:p>
      <w:pPr>
        <w:pStyle w:val="Heading2"/>
        <w:spacing w:before="1"/>
        <w:ind w:left="1440"/>
      </w:pPr>
      <w:bookmarkStart w:name="_bookmark10" w:id="11"/>
      <w:bookmarkEnd w:id="11"/>
      <w:r>
        <w:rPr/>
      </w:r>
      <w:r>
        <w:rPr>
          <w:color w:val="003C79"/>
        </w:rPr>
        <w:t>Development</w:t>
      </w:r>
      <w:r>
        <w:rPr>
          <w:color w:val="003C79"/>
          <w:spacing w:val="-6"/>
        </w:rPr>
        <w:t> </w:t>
      </w:r>
      <w:r>
        <w:rPr>
          <w:color w:val="003C79"/>
        </w:rPr>
        <w:t>of</w:t>
      </w:r>
      <w:r>
        <w:rPr>
          <w:color w:val="003C79"/>
          <w:spacing w:val="-3"/>
        </w:rPr>
        <w:t> </w:t>
      </w:r>
      <w:r>
        <w:rPr>
          <w:color w:val="003C79"/>
        </w:rPr>
        <w:t>the</w:t>
      </w:r>
      <w:r>
        <w:rPr>
          <w:color w:val="003C79"/>
          <w:spacing w:val="-1"/>
        </w:rPr>
        <w:t> </w:t>
      </w:r>
      <w:r>
        <w:rPr>
          <w:color w:val="003C79"/>
        </w:rPr>
        <w:t>evaluation</w:t>
      </w:r>
      <w:r>
        <w:rPr>
          <w:color w:val="003C79"/>
          <w:spacing w:val="-2"/>
        </w:rPr>
        <w:t> </w:t>
      </w:r>
      <w:r>
        <w:rPr>
          <w:color w:val="003C79"/>
        </w:rPr>
        <w:t>plan</w:t>
      </w:r>
    </w:p>
    <w:p>
      <w:pPr>
        <w:pStyle w:val="BodyText"/>
        <w:spacing w:line="276" w:lineRule="auto" w:before="258"/>
        <w:ind w:left="1440" w:right="1477"/>
      </w:pPr>
      <w:r>
        <w:rPr/>
        <w:t>The</w:t>
      </w:r>
      <w:r>
        <w:rPr>
          <w:spacing w:val="-4"/>
        </w:rPr>
        <w:t> </w:t>
      </w:r>
      <w:r>
        <w:rPr/>
        <w:t>starting</w:t>
      </w:r>
      <w:r>
        <w:rPr>
          <w:spacing w:val="-4"/>
        </w:rPr>
        <w:t> </w:t>
      </w:r>
      <w:r>
        <w:rPr/>
        <w:t>point</w:t>
      </w:r>
      <w:r>
        <w:rPr>
          <w:spacing w:val="-2"/>
        </w:rPr>
        <w:t> </w:t>
      </w:r>
      <w:r>
        <w:rPr/>
        <w:t>for</w:t>
      </w:r>
      <w:r>
        <w:rPr>
          <w:spacing w:val="-4"/>
        </w:rPr>
        <w:t> </w:t>
      </w:r>
      <w:r>
        <w:rPr/>
        <w:t>the</w:t>
      </w:r>
      <w:r>
        <w:rPr>
          <w:spacing w:val="-6"/>
        </w:rPr>
        <w:t> </w:t>
      </w:r>
      <w:r>
        <w:rPr/>
        <w:t>development</w:t>
      </w:r>
      <w:r>
        <w:rPr>
          <w:spacing w:val="-2"/>
        </w:rPr>
        <w:t> </w:t>
      </w:r>
      <w:r>
        <w:rPr/>
        <w:t>of</w:t>
      </w:r>
      <w:r>
        <w:rPr>
          <w:spacing w:val="-4"/>
        </w:rPr>
        <w:t> </w:t>
      </w:r>
      <w:r>
        <w:rPr/>
        <w:t>the</w:t>
      </w:r>
      <w:r>
        <w:rPr>
          <w:spacing w:val="-4"/>
        </w:rPr>
        <w:t> </w:t>
      </w:r>
      <w:r>
        <w:rPr/>
        <w:t>evaluation</w:t>
      </w:r>
      <w:r>
        <w:rPr>
          <w:spacing w:val="-2"/>
        </w:rPr>
        <w:t> </w:t>
      </w:r>
      <w:r>
        <w:rPr/>
        <w:t>plan</w:t>
      </w:r>
      <w:r>
        <w:rPr>
          <w:spacing w:val="-3"/>
        </w:rPr>
        <w:t> </w:t>
      </w:r>
      <w:r>
        <w:rPr/>
        <w:t>involved</w:t>
      </w:r>
      <w:r>
        <w:rPr>
          <w:spacing w:val="-4"/>
        </w:rPr>
        <w:t> </w:t>
      </w:r>
      <w:r>
        <w:rPr/>
        <w:t>articulating</w:t>
      </w:r>
      <w:r>
        <w:rPr>
          <w:spacing w:val="-6"/>
        </w:rPr>
        <w:t> </w:t>
      </w:r>
      <w:r>
        <w:rPr/>
        <w:t>the</w:t>
      </w:r>
      <w:r>
        <w:rPr>
          <w:spacing w:val="-4"/>
        </w:rPr>
        <w:t> </w:t>
      </w:r>
      <w:r>
        <w:rPr/>
        <w:t>theory</w:t>
      </w:r>
      <w:r>
        <w:rPr>
          <w:spacing w:val="-52"/>
        </w:rPr>
        <w:t> </w:t>
      </w:r>
      <w:r>
        <w:rPr/>
        <w:t>of change for HCH, and a review of the logic model for the program. These tools helped to</w:t>
      </w:r>
      <w:r>
        <w:rPr>
          <w:spacing w:val="1"/>
        </w:rPr>
        <w:t> </w:t>
      </w:r>
      <w:r>
        <w:rPr/>
        <w:t>clearly articulate outcomes of the program and the cause and effect relationships</w:t>
      </w:r>
      <w:r>
        <w:rPr>
          <w:spacing w:val="1"/>
        </w:rPr>
        <w:t> </w:t>
      </w:r>
      <w:r>
        <w:rPr/>
        <w:t>expected,</w:t>
      </w:r>
      <w:r>
        <w:rPr>
          <w:spacing w:val="-5"/>
        </w:rPr>
        <w:t> </w:t>
      </w:r>
      <w:r>
        <w:rPr/>
        <w:t>and</w:t>
      </w:r>
      <w:r>
        <w:rPr>
          <w:spacing w:val="-2"/>
        </w:rPr>
        <w:t> </w:t>
      </w:r>
      <w:r>
        <w:rPr/>
        <w:t>led</w:t>
      </w:r>
      <w:r>
        <w:rPr>
          <w:spacing w:val="-2"/>
        </w:rPr>
        <w:t> </w:t>
      </w:r>
      <w:r>
        <w:rPr/>
        <w:t>to</w:t>
      </w:r>
      <w:r>
        <w:rPr>
          <w:spacing w:val="-2"/>
        </w:rPr>
        <w:t> </w:t>
      </w:r>
      <w:r>
        <w:rPr/>
        <w:t>a</w:t>
      </w:r>
      <w:r>
        <w:rPr>
          <w:spacing w:val="-1"/>
        </w:rPr>
        <w:t> </w:t>
      </w:r>
      <w:r>
        <w:rPr/>
        <w:t>succinct</w:t>
      </w:r>
      <w:r>
        <w:rPr>
          <w:spacing w:val="-1"/>
        </w:rPr>
        <w:t> </w:t>
      </w:r>
      <w:r>
        <w:rPr/>
        <w:t>set of</w:t>
      </w:r>
      <w:r>
        <w:rPr>
          <w:spacing w:val="-2"/>
        </w:rPr>
        <w:t> </w:t>
      </w:r>
      <w:r>
        <w:rPr/>
        <w:t>questions on</w:t>
      </w:r>
      <w:r>
        <w:rPr>
          <w:spacing w:val="-2"/>
        </w:rPr>
        <w:t> </w:t>
      </w:r>
      <w:r>
        <w:rPr/>
        <w:t>which</w:t>
      </w:r>
      <w:r>
        <w:rPr>
          <w:spacing w:val="-3"/>
        </w:rPr>
        <w:t> </w:t>
      </w:r>
      <w:r>
        <w:rPr/>
        <w:t>the</w:t>
      </w:r>
      <w:r>
        <w:rPr>
          <w:spacing w:val="-2"/>
        </w:rPr>
        <w:t> </w:t>
      </w:r>
      <w:r>
        <w:rPr/>
        <w:t>evaluation</w:t>
      </w:r>
      <w:r>
        <w:rPr>
          <w:spacing w:val="-3"/>
        </w:rPr>
        <w:t> </w:t>
      </w:r>
      <w:r>
        <w:rPr/>
        <w:t>would</w:t>
      </w:r>
      <w:r>
        <w:rPr>
          <w:spacing w:val="-2"/>
        </w:rPr>
        <w:t> </w:t>
      </w:r>
      <w:r>
        <w:rPr/>
        <w:t>focus.</w:t>
      </w:r>
    </w:p>
    <w:p>
      <w:pPr>
        <w:pStyle w:val="BodyText"/>
        <w:spacing w:line="276" w:lineRule="auto" w:before="200"/>
        <w:ind w:left="1440" w:right="1507"/>
      </w:pPr>
      <w:r>
        <w:rPr/>
        <w:t>Because the evaluation is seeking to a show a causal relationship between practices’ and</w:t>
      </w:r>
      <w:r>
        <w:rPr>
          <w:spacing w:val="1"/>
        </w:rPr>
        <w:t> </w:t>
      </w:r>
      <w:r>
        <w:rPr/>
        <w:t>patients’ participation in the program and key outcomes, an experimental design is</w:t>
      </w:r>
      <w:r>
        <w:rPr>
          <w:spacing w:val="1"/>
        </w:rPr>
        <w:t> </w:t>
      </w:r>
      <w:r>
        <w:rPr/>
        <w:t>preferred. However, this requires random assignment to groups (intervention and control),</w:t>
      </w:r>
      <w:r>
        <w:rPr>
          <w:spacing w:val="1"/>
        </w:rPr>
        <w:t> </w:t>
      </w:r>
      <w:r>
        <w:rPr/>
        <w:t>which was not possible given the design of the implementation, namely, that practices were</w:t>
      </w:r>
      <w:r>
        <w:rPr>
          <w:spacing w:val="-53"/>
        </w:rPr>
        <w:t> </w:t>
      </w:r>
      <w:r>
        <w:rPr/>
        <w:t>invited to express their interest in participating, and that practices have been selected from</w:t>
      </w:r>
      <w:r>
        <w:rPr>
          <w:spacing w:val="1"/>
        </w:rPr>
        <w:t> </w:t>
      </w:r>
      <w:r>
        <w:rPr/>
        <w:t>the applications received. Random assignment of patients invited to participate in HCH is</w:t>
      </w:r>
      <w:r>
        <w:rPr>
          <w:spacing w:val="1"/>
        </w:rPr>
        <w:t> </w:t>
      </w:r>
      <w:r>
        <w:rPr/>
        <w:t>also not possible given that a policy decision was made for practices to invite patients to</w:t>
      </w:r>
      <w:r>
        <w:rPr>
          <w:spacing w:val="1"/>
        </w:rPr>
        <w:t> </w:t>
      </w:r>
      <w:r>
        <w:rPr/>
        <w:t>participate based on the benefit that they would receive from the program (based on the</w:t>
      </w:r>
      <w:r>
        <w:rPr>
          <w:spacing w:val="1"/>
        </w:rPr>
        <w:t> </w:t>
      </w:r>
      <w:r>
        <w:rPr/>
        <w:t>treating clinicians’ consideration of the patient’s risk of hospitalisation using a risk assessment</w:t>
      </w:r>
      <w:r>
        <w:rPr>
          <w:spacing w:val="1"/>
        </w:rPr>
        <w:t> </w:t>
      </w:r>
      <w:r>
        <w:rPr/>
        <w:t>tool). Therefore, a quasi-experimental design has been selected for the evaluation where</w:t>
      </w:r>
      <w:r>
        <w:rPr>
          <w:spacing w:val="1"/>
        </w:rPr>
        <w:t> </w:t>
      </w:r>
      <w:r>
        <w:rPr/>
        <w:t>possible. This involves the use of ‘controls’ (referred to as ‘comparators’ in this report), but</w:t>
      </w:r>
      <w:r>
        <w:rPr>
          <w:spacing w:val="1"/>
        </w:rPr>
        <w:t> </w:t>
      </w:r>
      <w:r>
        <w:rPr/>
        <w:t>assignment to the intervention or comparator group is not random. For other aspects of the</w:t>
      </w:r>
      <w:r>
        <w:rPr>
          <w:spacing w:val="1"/>
        </w:rPr>
        <w:t> </w:t>
      </w:r>
      <w:r>
        <w:rPr/>
        <w:t>evaluation, a before-and-after study was the only option due to the inability to assign</w:t>
      </w:r>
      <w:r>
        <w:rPr>
          <w:spacing w:val="1"/>
        </w:rPr>
        <w:t> </w:t>
      </w:r>
      <w:r>
        <w:rPr/>
        <w:t>comparators.</w:t>
      </w:r>
    </w:p>
    <w:p>
      <w:pPr>
        <w:pStyle w:val="BodyText"/>
        <w:spacing w:line="276" w:lineRule="auto" w:before="202"/>
        <w:ind w:left="1440" w:right="1628"/>
      </w:pPr>
      <w:r>
        <w:rPr/>
        <w:t>To develop measures for the evaluation, a literature review of systematic reviews of models</w:t>
      </w:r>
      <w:r>
        <w:rPr>
          <w:spacing w:val="-53"/>
        </w:rPr>
        <w:t> </w:t>
      </w:r>
      <w:r>
        <w:rPr/>
        <w:t>similar to HCH was undertaken (including </w:t>
      </w:r>
      <w:hyperlink w:history="true" w:anchor="_bookmark113">
        <w:r>
          <w:rPr/>
          <w:t>Peikes et al., 2012, </w:t>
        </w:r>
      </w:hyperlink>
      <w:hyperlink w:history="true" w:anchor="_bookmark143">
        <w:r>
          <w:rPr/>
          <w:t>Williams et al., 2012</w:t>
        </w:r>
      </w:hyperlink>
      <w:hyperlink w:history="true" w:anchor="_bookmark120">
        <w:r>
          <w:rPr/>
          <w:t>,Jackson et</w:t>
        </w:r>
      </w:hyperlink>
      <w:r>
        <w:rPr>
          <w:spacing w:val="1"/>
        </w:rPr>
        <w:t> </w:t>
      </w:r>
      <w:r>
        <w:rPr/>
        <w:t>al., 2013), as well as some of the key individual evaluations of these models (e.g. </w:t>
      </w:r>
      <w:hyperlink w:history="true" w:anchor="_bookmark111">
        <w:r>
          <w:rPr/>
          <w:t>Fishman et</w:t>
        </w:r>
      </w:hyperlink>
      <w:r>
        <w:rPr>
          <w:spacing w:val="-53"/>
        </w:rPr>
        <w:t> </w:t>
      </w:r>
      <w:r>
        <w:rPr/>
        <w:t>al., 2012, </w:t>
      </w:r>
      <w:hyperlink w:history="true" w:anchor="_bookmark127">
        <w:r>
          <w:rPr/>
          <w:t>Mosquera et al., 2014, </w:t>
        </w:r>
      </w:hyperlink>
      <w:hyperlink w:history="true" w:anchor="_bookmark112">
        <w:r>
          <w:rPr/>
          <w:t>Friedberg et al., 2015, </w:t>
        </w:r>
      </w:hyperlink>
      <w:hyperlink w:history="true" w:anchor="_bookmark135">
        <w:r>
          <w:rPr/>
          <w:t>Rosenthal et al., 2015, </w:t>
        </w:r>
      </w:hyperlink>
      <w:hyperlink w:history="true" w:anchor="_bookmark110">
        <w:r>
          <w:rPr/>
          <w:t>Fifield et al.,</w:t>
        </w:r>
      </w:hyperlink>
      <w:r>
        <w:rPr>
          <w:spacing w:val="1"/>
        </w:rPr>
        <w:t> </w:t>
      </w:r>
      <w:r>
        <w:rPr/>
        <w:t>2013). This analysis provided information on the broad measurement areas and specific</w:t>
      </w:r>
      <w:r>
        <w:rPr>
          <w:spacing w:val="1"/>
        </w:rPr>
        <w:t> </w:t>
      </w:r>
      <w:r>
        <w:rPr/>
        <w:t>measures that had been used in previous studies. These were grouped into the following</w:t>
      </w:r>
      <w:r>
        <w:rPr>
          <w:spacing w:val="1"/>
        </w:rPr>
        <w:t> </w:t>
      </w:r>
      <w:r>
        <w:rPr/>
        <w:t>areas:</w:t>
      </w:r>
    </w:p>
    <w:p>
      <w:pPr>
        <w:pStyle w:val="ListParagraph"/>
        <w:numPr>
          <w:ilvl w:val="0"/>
          <w:numId w:val="5"/>
        </w:numPr>
        <w:tabs>
          <w:tab w:pos="2160" w:val="left" w:leader="none"/>
          <w:tab w:pos="2161" w:val="left" w:leader="none"/>
        </w:tabs>
        <w:spacing w:line="276" w:lineRule="auto" w:before="201" w:after="0"/>
        <w:ind w:left="2160" w:right="1484" w:hanging="360"/>
        <w:jc w:val="left"/>
        <w:rPr>
          <w:sz w:val="20"/>
        </w:rPr>
      </w:pPr>
      <w:r>
        <w:rPr>
          <w:sz w:val="20"/>
        </w:rPr>
        <w:t>structural features of practices, including the extent to which the practice reflects the</w:t>
      </w:r>
      <w:r>
        <w:rPr>
          <w:spacing w:val="-53"/>
          <w:sz w:val="20"/>
        </w:rPr>
        <w:t> </w:t>
      </w:r>
      <w:r>
        <w:rPr>
          <w:sz w:val="20"/>
        </w:rPr>
        <w:t>attributes</w:t>
      </w:r>
      <w:r>
        <w:rPr>
          <w:spacing w:val="-2"/>
          <w:sz w:val="20"/>
        </w:rPr>
        <w:t> </w:t>
      </w:r>
      <w:r>
        <w:rPr>
          <w:sz w:val="20"/>
        </w:rPr>
        <w:t>of</w:t>
      </w:r>
      <w:r>
        <w:rPr>
          <w:spacing w:val="-1"/>
          <w:sz w:val="20"/>
        </w:rPr>
        <w:t> </w:t>
      </w:r>
      <w:r>
        <w:rPr>
          <w:sz w:val="20"/>
        </w:rPr>
        <w:t>a</w:t>
      </w:r>
      <w:r>
        <w:rPr>
          <w:spacing w:val="1"/>
          <w:sz w:val="20"/>
        </w:rPr>
        <w:t> </w:t>
      </w:r>
      <w:r>
        <w:rPr>
          <w:sz w:val="20"/>
        </w:rPr>
        <w:t>HCH</w:t>
      </w:r>
    </w:p>
    <w:p>
      <w:pPr>
        <w:pStyle w:val="ListParagraph"/>
        <w:numPr>
          <w:ilvl w:val="0"/>
          <w:numId w:val="5"/>
        </w:numPr>
        <w:tabs>
          <w:tab w:pos="2160" w:val="left" w:leader="none"/>
          <w:tab w:pos="2161" w:val="left" w:leader="none"/>
        </w:tabs>
        <w:spacing w:line="276" w:lineRule="auto" w:before="0" w:after="0"/>
        <w:ind w:left="2160" w:right="1434" w:hanging="360"/>
        <w:jc w:val="left"/>
        <w:rPr>
          <w:sz w:val="20"/>
        </w:rPr>
      </w:pPr>
      <w:r>
        <w:rPr>
          <w:sz w:val="20"/>
        </w:rPr>
        <w:t>processes</w:t>
      </w:r>
      <w:r>
        <w:rPr>
          <w:spacing w:val="-5"/>
          <w:sz w:val="20"/>
        </w:rPr>
        <w:t> </w:t>
      </w:r>
      <w:r>
        <w:rPr>
          <w:sz w:val="20"/>
        </w:rPr>
        <w:t>of</w:t>
      </w:r>
      <w:r>
        <w:rPr>
          <w:spacing w:val="-4"/>
          <w:sz w:val="20"/>
        </w:rPr>
        <w:t> </w:t>
      </w:r>
      <w:r>
        <w:rPr>
          <w:sz w:val="20"/>
        </w:rPr>
        <w:t>care,</w:t>
      </w:r>
      <w:r>
        <w:rPr>
          <w:spacing w:val="-6"/>
          <w:sz w:val="20"/>
        </w:rPr>
        <w:t> </w:t>
      </w:r>
      <w:r>
        <w:rPr>
          <w:sz w:val="20"/>
        </w:rPr>
        <w:t>including</w:t>
      </w:r>
      <w:r>
        <w:rPr>
          <w:spacing w:val="-4"/>
          <w:sz w:val="20"/>
        </w:rPr>
        <w:t> </w:t>
      </w:r>
      <w:r>
        <w:rPr>
          <w:sz w:val="20"/>
        </w:rPr>
        <w:t>care</w:t>
      </w:r>
      <w:r>
        <w:rPr>
          <w:spacing w:val="-4"/>
          <w:sz w:val="20"/>
        </w:rPr>
        <w:t> </w:t>
      </w:r>
      <w:r>
        <w:rPr>
          <w:sz w:val="20"/>
        </w:rPr>
        <w:t>planning,</w:t>
      </w:r>
      <w:r>
        <w:rPr>
          <w:spacing w:val="-7"/>
          <w:sz w:val="20"/>
        </w:rPr>
        <w:t> </w:t>
      </w:r>
      <w:r>
        <w:rPr>
          <w:sz w:val="20"/>
        </w:rPr>
        <w:t>chronic</w:t>
      </w:r>
      <w:r>
        <w:rPr>
          <w:spacing w:val="-3"/>
          <w:sz w:val="20"/>
        </w:rPr>
        <w:t> </w:t>
      </w:r>
      <w:r>
        <w:rPr>
          <w:sz w:val="20"/>
        </w:rPr>
        <w:t>disease</w:t>
      </w:r>
      <w:r>
        <w:rPr>
          <w:spacing w:val="-4"/>
          <w:sz w:val="20"/>
        </w:rPr>
        <w:t> </w:t>
      </w:r>
      <w:r>
        <w:rPr>
          <w:sz w:val="20"/>
        </w:rPr>
        <w:t>management,</w:t>
      </w:r>
      <w:r>
        <w:rPr>
          <w:spacing w:val="-4"/>
          <w:sz w:val="20"/>
        </w:rPr>
        <w:t> </w:t>
      </w:r>
      <w:r>
        <w:rPr>
          <w:sz w:val="20"/>
        </w:rPr>
        <w:t>preventive</w:t>
      </w:r>
      <w:r>
        <w:rPr>
          <w:spacing w:val="-53"/>
          <w:sz w:val="20"/>
        </w:rPr>
        <w:t> </w:t>
      </w:r>
      <w:r>
        <w:rPr>
          <w:sz w:val="20"/>
        </w:rPr>
        <w:t>measures</w:t>
      </w:r>
    </w:p>
    <w:p>
      <w:pPr>
        <w:pStyle w:val="ListParagraph"/>
        <w:numPr>
          <w:ilvl w:val="0"/>
          <w:numId w:val="5"/>
        </w:numPr>
        <w:tabs>
          <w:tab w:pos="2160" w:val="left" w:leader="none"/>
          <w:tab w:pos="2161" w:val="left" w:leader="none"/>
        </w:tabs>
        <w:spacing w:line="276" w:lineRule="auto" w:before="0" w:after="0"/>
        <w:ind w:left="2160" w:right="2242" w:hanging="360"/>
        <w:jc w:val="left"/>
        <w:rPr>
          <w:sz w:val="20"/>
        </w:rPr>
      </w:pPr>
      <w:r>
        <w:rPr>
          <w:sz w:val="20"/>
        </w:rPr>
        <w:t>use of health services, including of primary care, secondary care, emergency</w:t>
      </w:r>
      <w:r>
        <w:rPr>
          <w:spacing w:val="-53"/>
          <w:sz w:val="20"/>
        </w:rPr>
        <w:t> </w:t>
      </w:r>
      <w:r>
        <w:rPr>
          <w:sz w:val="20"/>
        </w:rPr>
        <w:t>departments</w:t>
      </w:r>
      <w:r>
        <w:rPr>
          <w:spacing w:val="-2"/>
          <w:sz w:val="20"/>
        </w:rPr>
        <w:t> </w:t>
      </w:r>
      <w:r>
        <w:rPr>
          <w:sz w:val="20"/>
        </w:rPr>
        <w:t>and</w:t>
      </w:r>
      <w:r>
        <w:rPr>
          <w:spacing w:val="1"/>
          <w:sz w:val="20"/>
        </w:rPr>
        <w:t> </w:t>
      </w:r>
      <w:r>
        <w:rPr>
          <w:sz w:val="20"/>
        </w:rPr>
        <w:t>hospitals</w:t>
      </w:r>
    </w:p>
    <w:p>
      <w:pPr>
        <w:pStyle w:val="ListParagraph"/>
        <w:numPr>
          <w:ilvl w:val="0"/>
          <w:numId w:val="5"/>
        </w:numPr>
        <w:tabs>
          <w:tab w:pos="2160" w:val="left" w:leader="none"/>
          <w:tab w:pos="2161" w:val="left" w:leader="none"/>
        </w:tabs>
        <w:spacing w:line="276" w:lineRule="auto" w:before="0" w:after="0"/>
        <w:ind w:left="2160" w:right="1624" w:hanging="360"/>
        <w:jc w:val="left"/>
        <w:rPr>
          <w:sz w:val="20"/>
        </w:rPr>
      </w:pPr>
      <w:r>
        <w:rPr>
          <w:sz w:val="20"/>
        </w:rPr>
        <w:t>patient experience of care, including overall assessment and experience of specific</w:t>
      </w:r>
      <w:r>
        <w:rPr>
          <w:spacing w:val="-53"/>
          <w:sz w:val="20"/>
        </w:rPr>
        <w:t> </w:t>
      </w:r>
      <w:r>
        <w:rPr>
          <w:sz w:val="20"/>
        </w:rPr>
        <w:t>aspects</w:t>
      </w:r>
      <w:r>
        <w:rPr>
          <w:spacing w:val="-2"/>
          <w:sz w:val="20"/>
        </w:rPr>
        <w:t> </w:t>
      </w:r>
      <w:r>
        <w:rPr>
          <w:sz w:val="20"/>
        </w:rPr>
        <w:t>of</w:t>
      </w:r>
      <w:r>
        <w:rPr>
          <w:spacing w:val="-1"/>
          <w:sz w:val="20"/>
        </w:rPr>
        <w:t> </w:t>
      </w:r>
      <w:r>
        <w:rPr>
          <w:sz w:val="20"/>
        </w:rPr>
        <w:t>care</w:t>
      </w:r>
      <w:r>
        <w:rPr>
          <w:spacing w:val="-1"/>
          <w:sz w:val="20"/>
        </w:rPr>
        <w:t> </w:t>
      </w:r>
      <w:r>
        <w:rPr>
          <w:sz w:val="20"/>
        </w:rPr>
        <w:t>relevant to</w:t>
      </w:r>
      <w:r>
        <w:rPr>
          <w:spacing w:val="-1"/>
          <w:sz w:val="20"/>
        </w:rPr>
        <w:t> </w:t>
      </w:r>
      <w:r>
        <w:rPr>
          <w:sz w:val="20"/>
        </w:rPr>
        <w:t>the</w:t>
      </w:r>
      <w:r>
        <w:rPr>
          <w:spacing w:val="-1"/>
          <w:sz w:val="20"/>
        </w:rPr>
        <w:t> </w:t>
      </w:r>
      <w:r>
        <w:rPr>
          <w:sz w:val="20"/>
        </w:rPr>
        <w:t>HCH intervention</w:t>
      </w:r>
    </w:p>
    <w:p>
      <w:pPr>
        <w:pStyle w:val="ListParagraph"/>
        <w:numPr>
          <w:ilvl w:val="0"/>
          <w:numId w:val="5"/>
        </w:numPr>
        <w:tabs>
          <w:tab w:pos="2160" w:val="left" w:leader="none"/>
          <w:tab w:pos="2161" w:val="left" w:leader="none"/>
        </w:tabs>
        <w:spacing w:line="240" w:lineRule="auto" w:before="0" w:after="0"/>
        <w:ind w:left="2160" w:right="0" w:hanging="361"/>
        <w:jc w:val="left"/>
        <w:rPr>
          <w:sz w:val="20"/>
        </w:rPr>
      </w:pPr>
      <w:r>
        <w:rPr>
          <w:sz w:val="20"/>
        </w:rPr>
        <w:t>outcomes</w:t>
      </w:r>
      <w:r>
        <w:rPr>
          <w:spacing w:val="-4"/>
          <w:sz w:val="20"/>
        </w:rPr>
        <w:t> </w:t>
      </w:r>
      <w:r>
        <w:rPr>
          <w:sz w:val="20"/>
        </w:rPr>
        <w:t>measured</w:t>
      </w:r>
      <w:r>
        <w:rPr>
          <w:spacing w:val="-4"/>
          <w:sz w:val="20"/>
        </w:rPr>
        <w:t> </w:t>
      </w:r>
      <w:r>
        <w:rPr>
          <w:sz w:val="20"/>
        </w:rPr>
        <w:t>through</w:t>
      </w:r>
      <w:r>
        <w:rPr>
          <w:spacing w:val="-2"/>
          <w:sz w:val="20"/>
        </w:rPr>
        <w:t> </w:t>
      </w:r>
      <w:r>
        <w:rPr>
          <w:sz w:val="20"/>
        </w:rPr>
        <w:t>patient</w:t>
      </w:r>
      <w:r>
        <w:rPr>
          <w:spacing w:val="-2"/>
          <w:sz w:val="20"/>
        </w:rPr>
        <w:t> </w:t>
      </w:r>
      <w:r>
        <w:rPr>
          <w:sz w:val="20"/>
        </w:rPr>
        <w:t>reports</w:t>
      </w:r>
    </w:p>
    <w:p>
      <w:pPr>
        <w:pStyle w:val="ListParagraph"/>
        <w:numPr>
          <w:ilvl w:val="0"/>
          <w:numId w:val="5"/>
        </w:numPr>
        <w:tabs>
          <w:tab w:pos="2160" w:val="left" w:leader="none"/>
          <w:tab w:pos="2161" w:val="left" w:leader="none"/>
        </w:tabs>
        <w:spacing w:line="240" w:lineRule="auto" w:before="36" w:after="0"/>
        <w:ind w:left="2160" w:right="0" w:hanging="361"/>
        <w:jc w:val="left"/>
        <w:rPr>
          <w:sz w:val="20"/>
        </w:rPr>
      </w:pPr>
      <w:r>
        <w:rPr>
          <w:sz w:val="20"/>
        </w:rPr>
        <w:t>outcomes</w:t>
      </w:r>
      <w:r>
        <w:rPr>
          <w:spacing w:val="-5"/>
          <w:sz w:val="20"/>
        </w:rPr>
        <w:t> </w:t>
      </w:r>
      <w:r>
        <w:rPr>
          <w:sz w:val="20"/>
        </w:rPr>
        <w:t>measured</w:t>
      </w:r>
      <w:r>
        <w:rPr>
          <w:spacing w:val="-5"/>
          <w:sz w:val="20"/>
        </w:rPr>
        <w:t> </w:t>
      </w:r>
      <w:r>
        <w:rPr>
          <w:sz w:val="20"/>
        </w:rPr>
        <w:t>through</w:t>
      </w:r>
      <w:r>
        <w:rPr>
          <w:spacing w:val="-4"/>
          <w:sz w:val="20"/>
        </w:rPr>
        <w:t> </w:t>
      </w:r>
      <w:r>
        <w:rPr>
          <w:sz w:val="20"/>
        </w:rPr>
        <w:t>biophysical</w:t>
      </w:r>
      <w:r>
        <w:rPr>
          <w:spacing w:val="-3"/>
          <w:sz w:val="20"/>
        </w:rPr>
        <w:t> </w:t>
      </w:r>
      <w:r>
        <w:rPr>
          <w:sz w:val="20"/>
        </w:rPr>
        <w:t>or</w:t>
      </w:r>
      <w:r>
        <w:rPr>
          <w:spacing w:val="-5"/>
          <w:sz w:val="20"/>
        </w:rPr>
        <w:t> </w:t>
      </w:r>
      <w:r>
        <w:rPr>
          <w:sz w:val="20"/>
        </w:rPr>
        <w:t>clinical</w:t>
      </w:r>
      <w:r>
        <w:rPr>
          <w:spacing w:val="-4"/>
          <w:sz w:val="20"/>
        </w:rPr>
        <w:t> </w:t>
      </w:r>
      <w:r>
        <w:rPr>
          <w:sz w:val="20"/>
        </w:rPr>
        <w:t>markers</w:t>
      </w:r>
    </w:p>
    <w:p>
      <w:pPr>
        <w:pStyle w:val="ListParagraph"/>
        <w:numPr>
          <w:ilvl w:val="0"/>
          <w:numId w:val="5"/>
        </w:numPr>
        <w:tabs>
          <w:tab w:pos="2160" w:val="left" w:leader="none"/>
          <w:tab w:pos="2161" w:val="left" w:leader="none"/>
        </w:tabs>
        <w:spacing w:line="276" w:lineRule="auto" w:before="38" w:after="0"/>
        <w:ind w:left="2160" w:right="2145" w:hanging="360"/>
        <w:jc w:val="left"/>
        <w:rPr>
          <w:sz w:val="20"/>
        </w:rPr>
      </w:pPr>
      <w:r>
        <w:rPr>
          <w:sz w:val="20"/>
        </w:rPr>
        <w:t>outcomes measured through proxy indicators derived/ implied from analysis of</w:t>
      </w:r>
      <w:r>
        <w:rPr>
          <w:spacing w:val="-54"/>
          <w:sz w:val="20"/>
        </w:rPr>
        <w:t> </w:t>
      </w:r>
      <w:r>
        <w:rPr>
          <w:sz w:val="20"/>
        </w:rPr>
        <w:t>pharmacy,</w:t>
      </w:r>
      <w:r>
        <w:rPr>
          <w:spacing w:val="-2"/>
          <w:sz w:val="20"/>
        </w:rPr>
        <w:t> </w:t>
      </w:r>
      <w:r>
        <w:rPr>
          <w:sz w:val="20"/>
        </w:rPr>
        <w:t>hospital and</w:t>
      </w:r>
      <w:r>
        <w:rPr>
          <w:spacing w:val="-1"/>
          <w:sz w:val="20"/>
        </w:rPr>
        <w:t> </w:t>
      </w:r>
      <w:r>
        <w:rPr>
          <w:sz w:val="20"/>
        </w:rPr>
        <w:t>other</w:t>
      </w:r>
      <w:r>
        <w:rPr>
          <w:spacing w:val="-1"/>
          <w:sz w:val="20"/>
        </w:rPr>
        <w:t> </w:t>
      </w:r>
      <w:r>
        <w:rPr>
          <w:sz w:val="20"/>
        </w:rPr>
        <w:t>data</w:t>
      </w:r>
    </w:p>
    <w:p>
      <w:pPr>
        <w:pStyle w:val="ListParagraph"/>
        <w:numPr>
          <w:ilvl w:val="0"/>
          <w:numId w:val="5"/>
        </w:numPr>
        <w:tabs>
          <w:tab w:pos="2160" w:val="left" w:leader="none"/>
          <w:tab w:pos="2161" w:val="left" w:leader="none"/>
        </w:tabs>
        <w:spacing w:line="240" w:lineRule="auto" w:before="0" w:after="0"/>
        <w:ind w:left="2160" w:right="0" w:hanging="361"/>
        <w:jc w:val="left"/>
        <w:rPr>
          <w:sz w:val="20"/>
        </w:rPr>
      </w:pPr>
      <w:r>
        <w:rPr>
          <w:sz w:val="20"/>
        </w:rPr>
        <w:t>outcomes</w:t>
      </w:r>
      <w:r>
        <w:rPr>
          <w:spacing w:val="-3"/>
          <w:sz w:val="20"/>
        </w:rPr>
        <w:t> </w:t>
      </w:r>
      <w:r>
        <w:rPr>
          <w:sz w:val="20"/>
        </w:rPr>
        <w:t>related</w:t>
      </w:r>
      <w:r>
        <w:rPr>
          <w:spacing w:val="-3"/>
          <w:sz w:val="20"/>
        </w:rPr>
        <w:t> </w:t>
      </w:r>
      <w:r>
        <w:rPr>
          <w:sz w:val="20"/>
        </w:rPr>
        <w:t>to</w:t>
      </w:r>
      <w:r>
        <w:rPr>
          <w:spacing w:val="-2"/>
          <w:sz w:val="20"/>
        </w:rPr>
        <w:t> </w:t>
      </w:r>
      <w:r>
        <w:rPr>
          <w:sz w:val="20"/>
        </w:rPr>
        <w:t>mortality</w:t>
      </w:r>
    </w:p>
    <w:p>
      <w:pPr>
        <w:pStyle w:val="ListParagraph"/>
        <w:numPr>
          <w:ilvl w:val="0"/>
          <w:numId w:val="5"/>
        </w:numPr>
        <w:tabs>
          <w:tab w:pos="2160" w:val="left" w:leader="none"/>
          <w:tab w:pos="2161" w:val="left" w:leader="none"/>
        </w:tabs>
        <w:spacing w:line="240" w:lineRule="auto" w:before="35" w:after="0"/>
        <w:ind w:left="2160" w:right="0" w:hanging="361"/>
        <w:jc w:val="left"/>
        <w:rPr>
          <w:sz w:val="20"/>
        </w:rPr>
      </w:pPr>
      <w:r>
        <w:rPr>
          <w:sz w:val="20"/>
        </w:rPr>
        <w:t>primary</w:t>
      </w:r>
      <w:r>
        <w:rPr>
          <w:spacing w:val="-4"/>
          <w:sz w:val="20"/>
        </w:rPr>
        <w:t> </w:t>
      </w:r>
      <w:r>
        <w:rPr>
          <w:sz w:val="20"/>
        </w:rPr>
        <w:t>care</w:t>
      </w:r>
      <w:r>
        <w:rPr>
          <w:spacing w:val="-4"/>
          <w:sz w:val="20"/>
        </w:rPr>
        <w:t> </w:t>
      </w:r>
      <w:r>
        <w:rPr>
          <w:sz w:val="20"/>
        </w:rPr>
        <w:t>provider</w:t>
      </w:r>
      <w:r>
        <w:rPr>
          <w:spacing w:val="-1"/>
          <w:sz w:val="20"/>
        </w:rPr>
        <w:t> </w:t>
      </w:r>
      <w:r>
        <w:rPr>
          <w:sz w:val="20"/>
        </w:rPr>
        <w:t>experience</w:t>
      </w:r>
    </w:p>
    <w:p>
      <w:pPr>
        <w:pStyle w:val="ListParagraph"/>
        <w:numPr>
          <w:ilvl w:val="0"/>
          <w:numId w:val="5"/>
        </w:numPr>
        <w:tabs>
          <w:tab w:pos="2153" w:val="left" w:leader="none"/>
          <w:tab w:pos="2154" w:val="left" w:leader="none"/>
        </w:tabs>
        <w:spacing w:line="240" w:lineRule="auto" w:before="38" w:after="0"/>
        <w:ind w:left="2153" w:right="0" w:hanging="356"/>
        <w:jc w:val="left"/>
        <w:rPr>
          <w:sz w:val="20"/>
        </w:rPr>
      </w:pPr>
      <w:r>
        <w:rPr>
          <w:sz w:val="20"/>
        </w:rPr>
        <w:t>costs</w:t>
      </w:r>
      <w:r>
        <w:rPr>
          <w:spacing w:val="-3"/>
          <w:sz w:val="20"/>
        </w:rPr>
        <w:t> </w:t>
      </w:r>
      <w:r>
        <w:rPr>
          <w:sz w:val="20"/>
        </w:rPr>
        <w:t>of</w:t>
      </w:r>
      <w:r>
        <w:rPr>
          <w:spacing w:val="-2"/>
          <w:sz w:val="20"/>
        </w:rPr>
        <w:t> </w:t>
      </w:r>
      <w:r>
        <w:rPr>
          <w:sz w:val="20"/>
        </w:rPr>
        <w:t>care.</w:t>
      </w:r>
    </w:p>
    <w:p>
      <w:pPr>
        <w:pStyle w:val="BodyText"/>
        <w:spacing w:before="2"/>
        <w:rPr>
          <w:sz w:val="19"/>
        </w:rPr>
      </w:pPr>
    </w:p>
    <w:p>
      <w:pPr>
        <w:pStyle w:val="BodyText"/>
        <w:spacing w:line="276" w:lineRule="auto" w:before="1"/>
        <w:ind w:left="1440" w:right="1899"/>
      </w:pPr>
      <w:r>
        <w:rPr/>
        <w:t>Within each of these areas, the evaluation team reviewed candidate instruments for the</w:t>
      </w:r>
      <w:r>
        <w:rPr>
          <w:spacing w:val="-53"/>
        </w:rPr>
        <w:t> </w:t>
      </w:r>
      <w:r>
        <w:rPr/>
        <w:t>evaluation.</w:t>
      </w:r>
      <w:r>
        <w:rPr>
          <w:spacing w:val="-1"/>
        </w:rPr>
        <w:t> </w:t>
      </w:r>
      <w:r>
        <w:rPr/>
        <w:t>The</w:t>
      </w:r>
      <w:r>
        <w:rPr>
          <w:spacing w:val="-1"/>
        </w:rPr>
        <w:t> </w:t>
      </w:r>
      <w:r>
        <w:rPr/>
        <w:t>team</w:t>
      </w:r>
      <w:r>
        <w:rPr>
          <w:spacing w:val="-1"/>
        </w:rPr>
        <w:t> </w:t>
      </w:r>
      <w:r>
        <w:rPr/>
        <w:t>considered whether:</w:t>
      </w:r>
    </w:p>
    <w:p>
      <w:pPr>
        <w:spacing w:after="0" w:line="276" w:lineRule="auto"/>
        <w:sectPr>
          <w:pgSz w:w="11910" w:h="16840"/>
          <w:pgMar w:header="0" w:footer="675" w:top="1340" w:bottom="860" w:left="0" w:right="0"/>
        </w:sectPr>
      </w:pPr>
    </w:p>
    <w:p>
      <w:pPr>
        <w:pStyle w:val="ListParagraph"/>
        <w:numPr>
          <w:ilvl w:val="0"/>
          <w:numId w:val="5"/>
        </w:numPr>
        <w:tabs>
          <w:tab w:pos="2160" w:val="left" w:leader="none"/>
          <w:tab w:pos="2161" w:val="left" w:leader="none"/>
        </w:tabs>
        <w:spacing w:line="240" w:lineRule="auto" w:before="82" w:after="0"/>
        <w:ind w:left="2160" w:right="0" w:hanging="361"/>
        <w:jc w:val="left"/>
        <w:rPr>
          <w:sz w:val="20"/>
        </w:rPr>
      </w:pPr>
      <w:r>
        <w:rPr>
          <w:sz w:val="20"/>
        </w:rPr>
        <w:t>the</w:t>
      </w:r>
      <w:r>
        <w:rPr>
          <w:spacing w:val="-3"/>
          <w:sz w:val="20"/>
        </w:rPr>
        <w:t> </w:t>
      </w:r>
      <w:r>
        <w:rPr>
          <w:sz w:val="20"/>
        </w:rPr>
        <w:t>instrument</w:t>
      </w:r>
      <w:r>
        <w:rPr>
          <w:spacing w:val="-2"/>
          <w:sz w:val="20"/>
        </w:rPr>
        <w:t> </w:t>
      </w:r>
      <w:r>
        <w:rPr>
          <w:sz w:val="20"/>
        </w:rPr>
        <w:t>addresses</w:t>
      </w:r>
      <w:r>
        <w:rPr>
          <w:spacing w:val="-2"/>
          <w:sz w:val="20"/>
        </w:rPr>
        <w:t> </w:t>
      </w:r>
      <w:r>
        <w:rPr>
          <w:sz w:val="20"/>
        </w:rPr>
        <w:t>the</w:t>
      </w:r>
      <w:r>
        <w:rPr>
          <w:spacing w:val="-2"/>
          <w:sz w:val="20"/>
        </w:rPr>
        <w:t> </w:t>
      </w:r>
      <w:r>
        <w:rPr>
          <w:sz w:val="20"/>
        </w:rPr>
        <w:t>key</w:t>
      </w:r>
      <w:r>
        <w:rPr>
          <w:spacing w:val="-5"/>
          <w:sz w:val="20"/>
        </w:rPr>
        <w:t> </w:t>
      </w:r>
      <w:r>
        <w:rPr>
          <w:sz w:val="20"/>
        </w:rPr>
        <w:t>questions</w:t>
      </w:r>
      <w:r>
        <w:rPr>
          <w:spacing w:val="-3"/>
          <w:sz w:val="20"/>
        </w:rPr>
        <w:t> </w:t>
      </w:r>
      <w:r>
        <w:rPr>
          <w:sz w:val="20"/>
        </w:rPr>
        <w:t>of</w:t>
      </w:r>
      <w:r>
        <w:rPr>
          <w:spacing w:val="-3"/>
          <w:sz w:val="20"/>
        </w:rPr>
        <w:t> </w:t>
      </w:r>
      <w:r>
        <w:rPr>
          <w:sz w:val="20"/>
        </w:rPr>
        <w:t>the</w:t>
      </w:r>
      <w:r>
        <w:rPr>
          <w:spacing w:val="-4"/>
          <w:sz w:val="20"/>
        </w:rPr>
        <w:t> </w:t>
      </w:r>
      <w:r>
        <w:rPr>
          <w:sz w:val="20"/>
        </w:rPr>
        <w:t>evaluation</w:t>
      </w:r>
    </w:p>
    <w:p>
      <w:pPr>
        <w:pStyle w:val="ListParagraph"/>
        <w:numPr>
          <w:ilvl w:val="0"/>
          <w:numId w:val="5"/>
        </w:numPr>
        <w:tabs>
          <w:tab w:pos="2160" w:val="left" w:leader="none"/>
          <w:tab w:pos="2161" w:val="left" w:leader="none"/>
        </w:tabs>
        <w:spacing w:line="240" w:lineRule="auto" w:before="36" w:after="0"/>
        <w:ind w:left="2160" w:right="0" w:hanging="361"/>
        <w:jc w:val="left"/>
        <w:rPr>
          <w:sz w:val="20"/>
        </w:rPr>
      </w:pPr>
      <w:r>
        <w:rPr>
          <w:sz w:val="20"/>
        </w:rPr>
        <w:t>the</w:t>
      </w:r>
      <w:r>
        <w:rPr>
          <w:spacing w:val="-3"/>
          <w:sz w:val="20"/>
        </w:rPr>
        <w:t> </w:t>
      </w:r>
      <w:r>
        <w:rPr>
          <w:sz w:val="20"/>
        </w:rPr>
        <w:t>rigour</w:t>
      </w:r>
      <w:r>
        <w:rPr>
          <w:spacing w:val="-3"/>
          <w:sz w:val="20"/>
        </w:rPr>
        <w:t> </w:t>
      </w:r>
      <w:r>
        <w:rPr>
          <w:sz w:val="20"/>
        </w:rPr>
        <w:t>with</w:t>
      </w:r>
      <w:r>
        <w:rPr>
          <w:spacing w:val="-4"/>
          <w:sz w:val="20"/>
        </w:rPr>
        <w:t> </w:t>
      </w:r>
      <w:r>
        <w:rPr>
          <w:sz w:val="20"/>
        </w:rPr>
        <w:t>which</w:t>
      </w:r>
      <w:r>
        <w:rPr>
          <w:spacing w:val="-4"/>
          <w:sz w:val="20"/>
        </w:rPr>
        <w:t> </w:t>
      </w:r>
      <w:r>
        <w:rPr>
          <w:sz w:val="20"/>
        </w:rPr>
        <w:t>the</w:t>
      </w:r>
      <w:r>
        <w:rPr>
          <w:spacing w:val="-5"/>
          <w:sz w:val="20"/>
        </w:rPr>
        <w:t> </w:t>
      </w:r>
      <w:r>
        <w:rPr>
          <w:sz w:val="20"/>
        </w:rPr>
        <w:t>instrument</w:t>
      </w:r>
      <w:r>
        <w:rPr>
          <w:spacing w:val="1"/>
          <w:sz w:val="20"/>
        </w:rPr>
        <w:t> </w:t>
      </w:r>
      <w:r>
        <w:rPr>
          <w:sz w:val="20"/>
        </w:rPr>
        <w:t>was</w:t>
      </w:r>
      <w:r>
        <w:rPr>
          <w:spacing w:val="-4"/>
          <w:sz w:val="20"/>
        </w:rPr>
        <w:t> </w:t>
      </w:r>
      <w:r>
        <w:rPr>
          <w:sz w:val="20"/>
        </w:rPr>
        <w:t>developed</w:t>
      </w:r>
      <w:r>
        <w:rPr>
          <w:spacing w:val="-3"/>
          <w:sz w:val="20"/>
        </w:rPr>
        <w:t> </w:t>
      </w:r>
      <w:r>
        <w:rPr>
          <w:sz w:val="20"/>
        </w:rPr>
        <w:t>and</w:t>
      </w:r>
      <w:r>
        <w:rPr>
          <w:spacing w:val="-3"/>
          <w:sz w:val="20"/>
        </w:rPr>
        <w:t> </w:t>
      </w:r>
      <w:r>
        <w:rPr>
          <w:sz w:val="20"/>
        </w:rPr>
        <w:t>validated</w:t>
      </w:r>
    </w:p>
    <w:p>
      <w:pPr>
        <w:pStyle w:val="ListParagraph"/>
        <w:numPr>
          <w:ilvl w:val="0"/>
          <w:numId w:val="5"/>
        </w:numPr>
        <w:tabs>
          <w:tab w:pos="2160" w:val="left" w:leader="none"/>
          <w:tab w:pos="2161" w:val="left" w:leader="none"/>
        </w:tabs>
        <w:spacing w:line="240" w:lineRule="auto" w:before="38" w:after="0"/>
        <w:ind w:left="2160" w:right="0" w:hanging="361"/>
        <w:jc w:val="left"/>
        <w:rPr>
          <w:sz w:val="20"/>
        </w:rPr>
      </w:pPr>
      <w:r>
        <w:rPr>
          <w:sz w:val="20"/>
        </w:rPr>
        <w:t>the</w:t>
      </w:r>
      <w:r>
        <w:rPr>
          <w:spacing w:val="-3"/>
          <w:sz w:val="20"/>
        </w:rPr>
        <w:t> </w:t>
      </w:r>
      <w:r>
        <w:rPr>
          <w:sz w:val="20"/>
        </w:rPr>
        <w:t>use</w:t>
      </w:r>
      <w:r>
        <w:rPr>
          <w:spacing w:val="-4"/>
          <w:sz w:val="20"/>
        </w:rPr>
        <w:t> </w:t>
      </w:r>
      <w:r>
        <w:rPr>
          <w:sz w:val="20"/>
        </w:rPr>
        <w:t>of</w:t>
      </w:r>
      <w:r>
        <w:rPr>
          <w:spacing w:val="-4"/>
          <w:sz w:val="20"/>
        </w:rPr>
        <w:t> </w:t>
      </w:r>
      <w:r>
        <w:rPr>
          <w:sz w:val="20"/>
        </w:rPr>
        <w:t>the</w:t>
      </w:r>
      <w:r>
        <w:rPr>
          <w:spacing w:val="-3"/>
          <w:sz w:val="20"/>
        </w:rPr>
        <w:t> </w:t>
      </w:r>
      <w:r>
        <w:rPr>
          <w:sz w:val="20"/>
        </w:rPr>
        <w:t>instrument</w:t>
      </w:r>
      <w:r>
        <w:rPr>
          <w:spacing w:val="-2"/>
          <w:sz w:val="20"/>
        </w:rPr>
        <w:t> </w:t>
      </w:r>
      <w:r>
        <w:rPr>
          <w:sz w:val="20"/>
        </w:rPr>
        <w:t>in</w:t>
      </w:r>
      <w:r>
        <w:rPr>
          <w:spacing w:val="-3"/>
          <w:sz w:val="20"/>
        </w:rPr>
        <w:t> </w:t>
      </w:r>
      <w:r>
        <w:rPr>
          <w:sz w:val="20"/>
        </w:rPr>
        <w:t>previous</w:t>
      </w:r>
      <w:r>
        <w:rPr>
          <w:spacing w:val="-4"/>
          <w:sz w:val="20"/>
        </w:rPr>
        <w:t> </w:t>
      </w:r>
      <w:r>
        <w:rPr>
          <w:sz w:val="20"/>
        </w:rPr>
        <w:t>evaluations</w:t>
      </w:r>
      <w:r>
        <w:rPr>
          <w:spacing w:val="-3"/>
          <w:sz w:val="20"/>
        </w:rPr>
        <w:t> </w:t>
      </w:r>
      <w:r>
        <w:rPr>
          <w:sz w:val="20"/>
        </w:rPr>
        <w:t>of</w:t>
      </w:r>
      <w:r>
        <w:rPr>
          <w:spacing w:val="-2"/>
          <w:sz w:val="20"/>
        </w:rPr>
        <w:t> </w:t>
      </w:r>
      <w:r>
        <w:rPr>
          <w:sz w:val="20"/>
        </w:rPr>
        <w:t>models</w:t>
      </w:r>
      <w:r>
        <w:rPr>
          <w:spacing w:val="-2"/>
          <w:sz w:val="20"/>
        </w:rPr>
        <w:t> </w:t>
      </w:r>
      <w:r>
        <w:rPr>
          <w:sz w:val="20"/>
        </w:rPr>
        <w:t>similar</w:t>
      </w:r>
      <w:r>
        <w:rPr>
          <w:spacing w:val="-4"/>
          <w:sz w:val="20"/>
        </w:rPr>
        <w:t> </w:t>
      </w:r>
      <w:r>
        <w:rPr>
          <w:sz w:val="20"/>
        </w:rPr>
        <w:t>to</w:t>
      </w:r>
      <w:r>
        <w:rPr>
          <w:spacing w:val="-4"/>
          <w:sz w:val="20"/>
        </w:rPr>
        <w:t> </w:t>
      </w:r>
      <w:r>
        <w:rPr>
          <w:sz w:val="20"/>
        </w:rPr>
        <w:t>HCH</w:t>
      </w:r>
    </w:p>
    <w:p>
      <w:pPr>
        <w:pStyle w:val="ListParagraph"/>
        <w:numPr>
          <w:ilvl w:val="0"/>
          <w:numId w:val="5"/>
        </w:numPr>
        <w:tabs>
          <w:tab w:pos="2160" w:val="left" w:leader="none"/>
          <w:tab w:pos="2161" w:val="left" w:leader="none"/>
        </w:tabs>
        <w:spacing w:line="276" w:lineRule="auto" w:before="35" w:after="0"/>
        <w:ind w:left="2160" w:right="2041" w:hanging="360"/>
        <w:jc w:val="left"/>
        <w:rPr>
          <w:sz w:val="20"/>
        </w:rPr>
      </w:pPr>
      <w:r>
        <w:rPr>
          <w:sz w:val="20"/>
        </w:rPr>
        <w:t>the extent to which the instrument provided appropriate methods to summarise</w:t>
      </w:r>
      <w:r>
        <w:rPr>
          <w:spacing w:val="-53"/>
          <w:sz w:val="20"/>
        </w:rPr>
        <w:t> </w:t>
      </w:r>
      <w:r>
        <w:rPr>
          <w:sz w:val="20"/>
        </w:rPr>
        <w:t>responses</w:t>
      </w:r>
      <w:r>
        <w:rPr>
          <w:spacing w:val="-2"/>
          <w:sz w:val="20"/>
        </w:rPr>
        <w:t> </w:t>
      </w:r>
      <w:r>
        <w:rPr>
          <w:sz w:val="20"/>
        </w:rPr>
        <w:t>to</w:t>
      </w:r>
      <w:r>
        <w:rPr>
          <w:spacing w:val="-2"/>
          <w:sz w:val="20"/>
        </w:rPr>
        <w:t> </w:t>
      </w:r>
      <w:r>
        <w:rPr>
          <w:sz w:val="20"/>
        </w:rPr>
        <w:t>individual items</w:t>
      </w:r>
      <w:r>
        <w:rPr>
          <w:spacing w:val="-2"/>
          <w:sz w:val="20"/>
        </w:rPr>
        <w:t> </w:t>
      </w:r>
      <w:r>
        <w:rPr>
          <w:sz w:val="20"/>
        </w:rPr>
        <w:t>across</w:t>
      </w:r>
      <w:r>
        <w:rPr>
          <w:spacing w:val="-2"/>
          <w:sz w:val="20"/>
        </w:rPr>
        <w:t> </w:t>
      </w:r>
      <w:r>
        <w:rPr>
          <w:sz w:val="20"/>
        </w:rPr>
        <w:t>a</w:t>
      </w:r>
      <w:r>
        <w:rPr>
          <w:spacing w:val="-1"/>
          <w:sz w:val="20"/>
        </w:rPr>
        <w:t> </w:t>
      </w:r>
      <w:r>
        <w:rPr>
          <w:sz w:val="20"/>
        </w:rPr>
        <w:t>small set of</w:t>
      </w:r>
      <w:r>
        <w:rPr>
          <w:spacing w:val="1"/>
          <w:sz w:val="20"/>
        </w:rPr>
        <w:t> </w:t>
      </w:r>
      <w:r>
        <w:rPr>
          <w:sz w:val="20"/>
        </w:rPr>
        <w:t>domains</w:t>
      </w:r>
    </w:p>
    <w:p>
      <w:pPr>
        <w:pStyle w:val="ListParagraph"/>
        <w:numPr>
          <w:ilvl w:val="0"/>
          <w:numId w:val="5"/>
        </w:numPr>
        <w:tabs>
          <w:tab w:pos="2160" w:val="left" w:leader="none"/>
          <w:tab w:pos="2161" w:val="left" w:leader="none"/>
        </w:tabs>
        <w:spacing w:line="240" w:lineRule="auto" w:before="0" w:after="0"/>
        <w:ind w:left="2160" w:right="0" w:hanging="361"/>
        <w:jc w:val="left"/>
        <w:rPr>
          <w:sz w:val="20"/>
        </w:rPr>
      </w:pPr>
      <w:r>
        <w:rPr>
          <w:sz w:val="20"/>
        </w:rPr>
        <w:t>the</w:t>
      </w:r>
      <w:r>
        <w:rPr>
          <w:spacing w:val="-2"/>
          <w:sz w:val="20"/>
        </w:rPr>
        <w:t> </w:t>
      </w:r>
      <w:r>
        <w:rPr>
          <w:sz w:val="20"/>
        </w:rPr>
        <w:t>time</w:t>
      </w:r>
      <w:r>
        <w:rPr>
          <w:spacing w:val="-2"/>
          <w:sz w:val="20"/>
        </w:rPr>
        <w:t> </w:t>
      </w:r>
      <w:r>
        <w:rPr>
          <w:sz w:val="20"/>
        </w:rPr>
        <w:t>required</w:t>
      </w:r>
      <w:r>
        <w:rPr>
          <w:spacing w:val="-3"/>
          <w:sz w:val="20"/>
        </w:rPr>
        <w:t> </w:t>
      </w:r>
      <w:r>
        <w:rPr>
          <w:sz w:val="20"/>
        </w:rPr>
        <w:t>for</w:t>
      </w:r>
      <w:r>
        <w:rPr>
          <w:spacing w:val="-2"/>
          <w:sz w:val="20"/>
        </w:rPr>
        <w:t> </w:t>
      </w:r>
      <w:r>
        <w:rPr>
          <w:sz w:val="20"/>
        </w:rPr>
        <w:t>respondents</w:t>
      </w:r>
      <w:r>
        <w:rPr>
          <w:spacing w:val="-3"/>
          <w:sz w:val="20"/>
        </w:rPr>
        <w:t> </w:t>
      </w:r>
      <w:r>
        <w:rPr>
          <w:sz w:val="20"/>
        </w:rPr>
        <w:t>to</w:t>
      </w:r>
      <w:r>
        <w:rPr>
          <w:spacing w:val="-2"/>
          <w:sz w:val="20"/>
        </w:rPr>
        <w:t> </w:t>
      </w:r>
      <w:r>
        <w:rPr>
          <w:sz w:val="20"/>
        </w:rPr>
        <w:t>complete</w:t>
      </w:r>
      <w:r>
        <w:rPr>
          <w:spacing w:val="-2"/>
          <w:sz w:val="20"/>
        </w:rPr>
        <w:t> </w:t>
      </w:r>
      <w:r>
        <w:rPr>
          <w:sz w:val="20"/>
        </w:rPr>
        <w:t>the</w:t>
      </w:r>
      <w:r>
        <w:rPr>
          <w:spacing w:val="-5"/>
          <w:sz w:val="20"/>
        </w:rPr>
        <w:t> </w:t>
      </w:r>
      <w:r>
        <w:rPr>
          <w:sz w:val="20"/>
        </w:rPr>
        <w:t>instrument</w:t>
      </w:r>
    </w:p>
    <w:p>
      <w:pPr>
        <w:pStyle w:val="ListParagraph"/>
        <w:numPr>
          <w:ilvl w:val="0"/>
          <w:numId w:val="5"/>
        </w:numPr>
        <w:tabs>
          <w:tab w:pos="2153" w:val="left" w:leader="none"/>
          <w:tab w:pos="2154" w:val="left" w:leader="none"/>
        </w:tabs>
        <w:spacing w:line="240" w:lineRule="auto" w:before="38" w:after="0"/>
        <w:ind w:left="2153" w:right="0" w:hanging="356"/>
        <w:jc w:val="left"/>
        <w:rPr>
          <w:sz w:val="20"/>
        </w:rPr>
      </w:pPr>
      <w:r>
        <w:rPr>
          <w:sz w:val="20"/>
        </w:rPr>
        <w:t>fees</w:t>
      </w:r>
      <w:r>
        <w:rPr>
          <w:spacing w:val="-4"/>
          <w:sz w:val="20"/>
        </w:rPr>
        <w:t> </w:t>
      </w:r>
      <w:r>
        <w:rPr>
          <w:sz w:val="20"/>
        </w:rPr>
        <w:t>associated</w:t>
      </w:r>
      <w:r>
        <w:rPr>
          <w:spacing w:val="-3"/>
          <w:sz w:val="20"/>
        </w:rPr>
        <w:t> </w:t>
      </w:r>
      <w:r>
        <w:rPr>
          <w:sz w:val="20"/>
        </w:rPr>
        <w:t>with</w:t>
      </w:r>
      <w:r>
        <w:rPr>
          <w:spacing w:val="-2"/>
          <w:sz w:val="20"/>
        </w:rPr>
        <w:t> </w:t>
      </w:r>
      <w:r>
        <w:rPr>
          <w:sz w:val="20"/>
        </w:rPr>
        <w:t>using</w:t>
      </w:r>
      <w:r>
        <w:rPr>
          <w:spacing w:val="-3"/>
          <w:sz w:val="20"/>
        </w:rPr>
        <w:t> </w:t>
      </w:r>
      <w:r>
        <w:rPr>
          <w:sz w:val="20"/>
        </w:rPr>
        <w:t>the</w:t>
      </w:r>
      <w:r>
        <w:rPr>
          <w:spacing w:val="-4"/>
          <w:sz w:val="20"/>
        </w:rPr>
        <w:t> </w:t>
      </w:r>
      <w:r>
        <w:rPr>
          <w:sz w:val="20"/>
        </w:rPr>
        <w:t>instrument.</w:t>
      </w:r>
    </w:p>
    <w:p>
      <w:pPr>
        <w:pStyle w:val="BodyText"/>
        <w:spacing w:before="4"/>
        <w:rPr>
          <w:sz w:val="19"/>
        </w:rPr>
      </w:pPr>
    </w:p>
    <w:p>
      <w:pPr>
        <w:pStyle w:val="BodyText"/>
        <w:spacing w:line="276" w:lineRule="auto" w:before="1"/>
        <w:ind w:left="1440" w:right="1677"/>
      </w:pPr>
      <w:r>
        <w:rPr/>
        <w:t>Where there was not a single instrument that covered the questions specifically needing to</w:t>
      </w:r>
      <w:r>
        <w:rPr>
          <w:spacing w:val="-53"/>
        </w:rPr>
        <w:t> </w:t>
      </w:r>
      <w:r>
        <w:rPr/>
        <w:t>be</w:t>
      </w:r>
      <w:r>
        <w:rPr>
          <w:spacing w:val="-3"/>
        </w:rPr>
        <w:t> </w:t>
      </w:r>
      <w:r>
        <w:rPr/>
        <w:t>addressed</w:t>
      </w:r>
      <w:r>
        <w:rPr>
          <w:spacing w:val="-2"/>
        </w:rPr>
        <w:t> </w:t>
      </w:r>
      <w:r>
        <w:rPr/>
        <w:t>in</w:t>
      </w:r>
      <w:r>
        <w:rPr>
          <w:spacing w:val="-1"/>
        </w:rPr>
        <w:t> </w:t>
      </w:r>
      <w:r>
        <w:rPr/>
        <w:t>this</w:t>
      </w:r>
      <w:r>
        <w:rPr>
          <w:spacing w:val="-2"/>
        </w:rPr>
        <w:t> </w:t>
      </w:r>
      <w:r>
        <w:rPr/>
        <w:t>evaluation,</w:t>
      </w:r>
      <w:r>
        <w:rPr>
          <w:spacing w:val="-4"/>
        </w:rPr>
        <w:t> </w:t>
      </w:r>
      <w:r>
        <w:rPr/>
        <w:t>the</w:t>
      </w:r>
      <w:r>
        <w:rPr>
          <w:spacing w:val="2"/>
        </w:rPr>
        <w:t> </w:t>
      </w:r>
      <w:r>
        <w:rPr/>
        <w:t>questions</w:t>
      </w:r>
      <w:r>
        <w:rPr>
          <w:spacing w:val="-3"/>
        </w:rPr>
        <w:t> </w:t>
      </w:r>
      <w:r>
        <w:rPr/>
        <w:t>were</w:t>
      </w:r>
      <w:r>
        <w:rPr>
          <w:spacing w:val="-1"/>
        </w:rPr>
        <w:t> </w:t>
      </w:r>
      <w:r>
        <w:rPr/>
        <w:t>drawn</w:t>
      </w:r>
      <w:r>
        <w:rPr>
          <w:spacing w:val="-1"/>
        </w:rPr>
        <w:t> </w:t>
      </w:r>
      <w:r>
        <w:rPr/>
        <w:t>from more</w:t>
      </w:r>
      <w:r>
        <w:rPr>
          <w:spacing w:val="-2"/>
        </w:rPr>
        <w:t> </w:t>
      </w:r>
      <w:r>
        <w:rPr/>
        <w:t>than</w:t>
      </w:r>
      <w:r>
        <w:rPr>
          <w:spacing w:val="-3"/>
        </w:rPr>
        <w:t> </w:t>
      </w:r>
      <w:r>
        <w:rPr/>
        <w:t>one</w:t>
      </w:r>
      <w:r>
        <w:rPr>
          <w:spacing w:val="-2"/>
        </w:rPr>
        <w:t> </w:t>
      </w:r>
      <w:r>
        <w:rPr/>
        <w:t>source.</w:t>
      </w:r>
    </w:p>
    <w:p>
      <w:pPr>
        <w:pStyle w:val="BodyText"/>
        <w:spacing w:line="276" w:lineRule="auto" w:before="199"/>
        <w:ind w:left="1440" w:right="1551"/>
      </w:pPr>
      <w:r>
        <w:rPr/>
        <w:t>The team also considered administration of the instruments to maximise responses (including</w:t>
      </w:r>
      <w:r>
        <w:rPr>
          <w:spacing w:val="-53"/>
        </w:rPr>
        <w:t> </w:t>
      </w:r>
      <w:r>
        <w:rPr/>
        <w:t>specifically for Aboriginal and Torres Strait Islander people), but be within the budget</w:t>
      </w:r>
      <w:r>
        <w:rPr>
          <w:spacing w:val="1"/>
        </w:rPr>
        <w:t> </w:t>
      </w:r>
      <w:r>
        <w:rPr/>
        <w:t>available</w:t>
      </w:r>
      <w:r>
        <w:rPr>
          <w:spacing w:val="-2"/>
        </w:rPr>
        <w:t> </w:t>
      </w:r>
      <w:r>
        <w:rPr/>
        <w:t>for</w:t>
      </w:r>
      <w:r>
        <w:rPr>
          <w:spacing w:val="-1"/>
        </w:rPr>
        <w:t> </w:t>
      </w:r>
      <w:r>
        <w:rPr/>
        <w:t>the</w:t>
      </w:r>
      <w:r>
        <w:rPr>
          <w:spacing w:val="1"/>
        </w:rPr>
        <w:t> </w:t>
      </w:r>
      <w:r>
        <w:rPr/>
        <w:t>evaluation.</w:t>
      </w:r>
    </w:p>
    <w:p>
      <w:pPr>
        <w:spacing w:before="202"/>
        <w:ind w:left="1440" w:right="0" w:firstLine="0"/>
        <w:jc w:val="left"/>
        <w:rPr>
          <w:sz w:val="58"/>
        </w:rPr>
      </w:pPr>
      <w:r>
        <w:rPr>
          <w:color w:val="003C79"/>
          <w:sz w:val="58"/>
        </w:rPr>
        <w:t>Document</w:t>
      </w:r>
      <w:r>
        <w:rPr>
          <w:color w:val="003C79"/>
          <w:spacing w:val="-3"/>
          <w:sz w:val="58"/>
        </w:rPr>
        <w:t> </w:t>
      </w:r>
      <w:r>
        <w:rPr>
          <w:color w:val="003C79"/>
          <w:sz w:val="58"/>
        </w:rPr>
        <w:t>content</w:t>
      </w:r>
    </w:p>
    <w:p>
      <w:pPr>
        <w:pStyle w:val="BodyText"/>
        <w:spacing w:before="200"/>
        <w:ind w:left="1440"/>
      </w:pPr>
      <w:r>
        <w:rPr/>
        <w:t>This</w:t>
      </w:r>
      <w:r>
        <w:rPr>
          <w:spacing w:val="-4"/>
        </w:rPr>
        <w:t> </w:t>
      </w:r>
      <w:r>
        <w:rPr/>
        <w:t>document</w:t>
      </w:r>
      <w:r>
        <w:rPr>
          <w:spacing w:val="-2"/>
        </w:rPr>
        <w:t> </w:t>
      </w:r>
      <w:r>
        <w:rPr/>
        <w:t>presents</w:t>
      </w:r>
      <w:r>
        <w:rPr>
          <w:spacing w:val="-4"/>
        </w:rPr>
        <w:t> </w:t>
      </w:r>
      <w:r>
        <w:rPr/>
        <w:t>the</w:t>
      </w:r>
      <w:r>
        <w:rPr>
          <w:spacing w:val="-3"/>
        </w:rPr>
        <w:t> </w:t>
      </w:r>
      <w:r>
        <w:rPr/>
        <w:t>plan</w:t>
      </w:r>
      <w:r>
        <w:rPr>
          <w:spacing w:val="-3"/>
        </w:rPr>
        <w:t> </w:t>
      </w:r>
      <w:r>
        <w:rPr/>
        <w:t>for</w:t>
      </w:r>
      <w:r>
        <w:rPr>
          <w:spacing w:val="-4"/>
        </w:rPr>
        <w:t> </w:t>
      </w:r>
      <w:r>
        <w:rPr/>
        <w:t>evaluation,</w:t>
      </w:r>
      <w:r>
        <w:rPr>
          <w:spacing w:val="1"/>
        </w:rPr>
        <w:t> </w:t>
      </w:r>
      <w:r>
        <w:rPr/>
        <w:t>outlining:</w:t>
      </w:r>
    </w:p>
    <w:p>
      <w:pPr>
        <w:pStyle w:val="BodyText"/>
        <w:spacing w:before="1"/>
        <w:rPr>
          <w:sz w:val="19"/>
        </w:rPr>
      </w:pPr>
    </w:p>
    <w:p>
      <w:pPr>
        <w:pStyle w:val="ListParagraph"/>
        <w:numPr>
          <w:ilvl w:val="0"/>
          <w:numId w:val="5"/>
        </w:numPr>
        <w:tabs>
          <w:tab w:pos="2153" w:val="left" w:leader="none"/>
          <w:tab w:pos="2154" w:val="left" w:leader="none"/>
        </w:tabs>
        <w:spacing w:line="276" w:lineRule="auto" w:before="0" w:after="0"/>
        <w:ind w:left="2153" w:right="1985" w:hanging="356"/>
        <w:jc w:val="left"/>
        <w:rPr>
          <w:sz w:val="20"/>
        </w:rPr>
      </w:pPr>
      <w:r>
        <w:rPr>
          <w:sz w:val="20"/>
        </w:rPr>
        <w:t>The theory of change for HCH, articulating the causal pathways between the</w:t>
      </w:r>
      <w:r>
        <w:rPr>
          <w:spacing w:val="1"/>
          <w:sz w:val="20"/>
        </w:rPr>
        <w:t> </w:t>
      </w:r>
      <w:r>
        <w:rPr>
          <w:sz w:val="20"/>
        </w:rPr>
        <w:t>outcomes expected of a program and the inputs and activities that will achieve</w:t>
      </w:r>
      <w:r>
        <w:rPr>
          <w:spacing w:val="-54"/>
          <w:sz w:val="20"/>
        </w:rPr>
        <w:t> </w:t>
      </w:r>
      <w:r>
        <w:rPr>
          <w:sz w:val="20"/>
        </w:rPr>
        <w:t>these (</w:t>
      </w:r>
      <w:r>
        <w:rPr>
          <w:b/>
          <w:sz w:val="20"/>
        </w:rPr>
        <w:t>Chapter</w:t>
      </w:r>
      <w:r>
        <w:rPr>
          <w:b/>
          <w:spacing w:val="1"/>
          <w:sz w:val="20"/>
        </w:rPr>
        <w:t> </w:t>
      </w:r>
      <w:r>
        <w:rPr>
          <w:b/>
          <w:sz w:val="20"/>
        </w:rPr>
        <w:t>2</w:t>
      </w:r>
      <w:r>
        <w:rPr>
          <w:sz w:val="20"/>
        </w:rPr>
        <w:t>).</w:t>
      </w:r>
    </w:p>
    <w:p>
      <w:pPr>
        <w:pStyle w:val="ListParagraph"/>
        <w:numPr>
          <w:ilvl w:val="0"/>
          <w:numId w:val="5"/>
        </w:numPr>
        <w:tabs>
          <w:tab w:pos="2153" w:val="left" w:leader="none"/>
          <w:tab w:pos="2154" w:val="left" w:leader="none"/>
        </w:tabs>
        <w:spacing w:line="276" w:lineRule="auto" w:before="2" w:after="0"/>
        <w:ind w:left="2153" w:right="1887" w:hanging="356"/>
        <w:jc w:val="left"/>
        <w:rPr>
          <w:sz w:val="20"/>
        </w:rPr>
      </w:pPr>
      <w:r>
        <w:rPr>
          <w:sz w:val="20"/>
        </w:rPr>
        <w:t>The components of the HCH program, including resources (i.e. ‘inputs’), activities,</w:t>
      </w:r>
      <w:r>
        <w:rPr>
          <w:spacing w:val="-53"/>
          <w:sz w:val="20"/>
        </w:rPr>
        <w:t> </w:t>
      </w:r>
      <w:r>
        <w:rPr>
          <w:sz w:val="20"/>
        </w:rPr>
        <w:t>outputs, and the changes or benefits that are expected from the program</w:t>
      </w:r>
      <w:r>
        <w:rPr>
          <w:spacing w:val="1"/>
          <w:sz w:val="20"/>
        </w:rPr>
        <w:t> </w:t>
      </w:r>
      <w:r>
        <w:rPr>
          <w:sz w:val="20"/>
        </w:rPr>
        <w:t>(outcomes)</w:t>
      </w:r>
      <w:r>
        <w:rPr>
          <w:spacing w:val="-1"/>
          <w:sz w:val="20"/>
        </w:rPr>
        <w:t> </w:t>
      </w:r>
      <w:r>
        <w:rPr>
          <w:sz w:val="20"/>
        </w:rPr>
        <w:t>(</w:t>
      </w:r>
      <w:r>
        <w:rPr>
          <w:b/>
          <w:sz w:val="20"/>
        </w:rPr>
        <w:t>Chapter</w:t>
      </w:r>
      <w:r>
        <w:rPr>
          <w:b/>
          <w:spacing w:val="1"/>
          <w:sz w:val="20"/>
        </w:rPr>
        <w:t> </w:t>
      </w:r>
      <w:r>
        <w:rPr>
          <w:b/>
          <w:sz w:val="20"/>
        </w:rPr>
        <w:t>2</w:t>
      </w:r>
      <w:r>
        <w:rPr>
          <w:sz w:val="20"/>
        </w:rPr>
        <w:t>).</w:t>
      </w:r>
    </w:p>
    <w:p>
      <w:pPr>
        <w:pStyle w:val="ListParagraph"/>
        <w:numPr>
          <w:ilvl w:val="0"/>
          <w:numId w:val="5"/>
        </w:numPr>
        <w:tabs>
          <w:tab w:pos="2153" w:val="left" w:leader="none"/>
          <w:tab w:pos="2154" w:val="left" w:leader="none"/>
        </w:tabs>
        <w:spacing w:line="276" w:lineRule="auto" w:before="0" w:after="0"/>
        <w:ind w:left="2153" w:right="1465" w:hanging="356"/>
        <w:jc w:val="left"/>
        <w:rPr>
          <w:sz w:val="20"/>
        </w:rPr>
      </w:pPr>
      <w:r>
        <w:rPr>
          <w:sz w:val="20"/>
        </w:rPr>
        <w:t>The</w:t>
      </w:r>
      <w:r>
        <w:rPr>
          <w:spacing w:val="-2"/>
          <w:sz w:val="20"/>
        </w:rPr>
        <w:t> </w:t>
      </w:r>
      <w:r>
        <w:rPr>
          <w:sz w:val="20"/>
        </w:rPr>
        <w:t>questions</w:t>
      </w:r>
      <w:r>
        <w:rPr>
          <w:spacing w:val="-3"/>
          <w:sz w:val="20"/>
        </w:rPr>
        <w:t> </w:t>
      </w:r>
      <w:r>
        <w:rPr>
          <w:sz w:val="20"/>
        </w:rPr>
        <w:t>to</w:t>
      </w:r>
      <w:r>
        <w:rPr>
          <w:spacing w:val="-3"/>
          <w:sz w:val="20"/>
        </w:rPr>
        <w:t> </w:t>
      </w:r>
      <w:r>
        <w:rPr>
          <w:sz w:val="20"/>
        </w:rPr>
        <w:t>be</w:t>
      </w:r>
      <w:r>
        <w:rPr>
          <w:spacing w:val="-3"/>
          <w:sz w:val="20"/>
        </w:rPr>
        <w:t> </w:t>
      </w:r>
      <w:r>
        <w:rPr>
          <w:sz w:val="20"/>
        </w:rPr>
        <w:t>addressed</w:t>
      </w:r>
      <w:r>
        <w:rPr>
          <w:spacing w:val="-3"/>
          <w:sz w:val="20"/>
        </w:rPr>
        <w:t> </w:t>
      </w:r>
      <w:r>
        <w:rPr>
          <w:sz w:val="20"/>
        </w:rPr>
        <w:t>in</w:t>
      </w:r>
      <w:r>
        <w:rPr>
          <w:spacing w:val="-2"/>
          <w:sz w:val="20"/>
        </w:rPr>
        <w:t> </w:t>
      </w:r>
      <w:r>
        <w:rPr>
          <w:sz w:val="20"/>
        </w:rPr>
        <w:t>the</w:t>
      </w:r>
      <w:r>
        <w:rPr>
          <w:spacing w:val="-3"/>
          <w:sz w:val="20"/>
        </w:rPr>
        <w:t> </w:t>
      </w:r>
      <w:r>
        <w:rPr>
          <w:sz w:val="20"/>
        </w:rPr>
        <w:t>evaluation</w:t>
      </w:r>
      <w:r>
        <w:rPr>
          <w:spacing w:val="-2"/>
          <w:sz w:val="20"/>
        </w:rPr>
        <w:t> </w:t>
      </w:r>
      <w:r>
        <w:rPr>
          <w:sz w:val="20"/>
        </w:rPr>
        <w:t>and</w:t>
      </w:r>
      <w:r>
        <w:rPr>
          <w:spacing w:val="-3"/>
          <w:sz w:val="20"/>
        </w:rPr>
        <w:t> </w:t>
      </w:r>
      <w:r>
        <w:rPr>
          <w:sz w:val="20"/>
        </w:rPr>
        <w:t>how</w:t>
      </w:r>
      <w:r>
        <w:rPr>
          <w:spacing w:val="-1"/>
          <w:sz w:val="20"/>
        </w:rPr>
        <w:t> </w:t>
      </w:r>
      <w:r>
        <w:rPr>
          <w:sz w:val="20"/>
        </w:rPr>
        <w:t>these</w:t>
      </w:r>
      <w:r>
        <w:rPr>
          <w:spacing w:val="-3"/>
          <w:sz w:val="20"/>
        </w:rPr>
        <w:t> </w:t>
      </w:r>
      <w:r>
        <w:rPr>
          <w:sz w:val="20"/>
        </w:rPr>
        <w:t>relate</w:t>
      </w:r>
      <w:r>
        <w:rPr>
          <w:spacing w:val="-4"/>
          <w:sz w:val="20"/>
        </w:rPr>
        <w:t> </w:t>
      </w:r>
      <w:r>
        <w:rPr>
          <w:sz w:val="20"/>
        </w:rPr>
        <w:t>to</w:t>
      </w:r>
      <w:r>
        <w:rPr>
          <w:spacing w:val="-3"/>
          <w:sz w:val="20"/>
        </w:rPr>
        <w:t> </w:t>
      </w:r>
      <w:r>
        <w:rPr>
          <w:sz w:val="20"/>
        </w:rPr>
        <w:t>the</w:t>
      </w:r>
      <w:r>
        <w:rPr>
          <w:spacing w:val="-3"/>
          <w:sz w:val="20"/>
        </w:rPr>
        <w:t> </w:t>
      </w:r>
      <w:r>
        <w:rPr>
          <w:sz w:val="20"/>
        </w:rPr>
        <w:t>program</w:t>
      </w:r>
      <w:r>
        <w:rPr>
          <w:spacing w:val="-53"/>
          <w:sz w:val="20"/>
        </w:rPr>
        <w:t> </w:t>
      </w:r>
      <w:r>
        <w:rPr>
          <w:sz w:val="20"/>
        </w:rPr>
        <w:t>components</w:t>
      </w:r>
      <w:r>
        <w:rPr>
          <w:spacing w:val="1"/>
          <w:sz w:val="20"/>
        </w:rPr>
        <w:t> </w:t>
      </w:r>
      <w:r>
        <w:rPr>
          <w:sz w:val="20"/>
        </w:rPr>
        <w:t>(</w:t>
      </w:r>
      <w:r>
        <w:rPr>
          <w:b/>
          <w:sz w:val="20"/>
        </w:rPr>
        <w:t>Chapter</w:t>
      </w:r>
      <w:r>
        <w:rPr>
          <w:b/>
          <w:spacing w:val="1"/>
          <w:sz w:val="20"/>
        </w:rPr>
        <w:t> </w:t>
      </w:r>
      <w:r>
        <w:rPr>
          <w:b/>
          <w:sz w:val="20"/>
        </w:rPr>
        <w:t>3</w:t>
      </w:r>
      <w:r>
        <w:rPr>
          <w:sz w:val="20"/>
        </w:rPr>
        <w:t>).</w:t>
      </w:r>
    </w:p>
    <w:p>
      <w:pPr>
        <w:pStyle w:val="ListParagraph"/>
        <w:numPr>
          <w:ilvl w:val="0"/>
          <w:numId w:val="5"/>
        </w:numPr>
        <w:tabs>
          <w:tab w:pos="2153" w:val="left" w:leader="none"/>
          <w:tab w:pos="2154" w:val="left" w:leader="none"/>
        </w:tabs>
        <w:spacing w:line="276" w:lineRule="auto" w:before="0" w:after="0"/>
        <w:ind w:left="2153" w:right="1920" w:hanging="356"/>
        <w:jc w:val="left"/>
        <w:rPr>
          <w:sz w:val="20"/>
        </w:rPr>
      </w:pPr>
      <w:r>
        <w:rPr>
          <w:sz w:val="20"/>
        </w:rPr>
        <w:t>The evaluation design, including how data collected through the evaluation</w:t>
      </w:r>
      <w:r>
        <w:rPr>
          <w:spacing w:val="1"/>
          <w:sz w:val="20"/>
        </w:rPr>
        <w:t> </w:t>
      </w:r>
      <w:r>
        <w:rPr>
          <w:sz w:val="20"/>
        </w:rPr>
        <w:t>(qualitative and quantitative) will be used to respond to the evaluation questions</w:t>
      </w:r>
      <w:r>
        <w:rPr>
          <w:spacing w:val="-53"/>
          <w:sz w:val="20"/>
        </w:rPr>
        <w:t> </w:t>
      </w:r>
      <w:r>
        <w:rPr>
          <w:sz w:val="20"/>
        </w:rPr>
        <w:t>(</w:t>
      </w:r>
      <w:r>
        <w:rPr>
          <w:b/>
          <w:sz w:val="20"/>
        </w:rPr>
        <w:t>Chapter</w:t>
      </w:r>
      <w:r>
        <w:rPr>
          <w:b/>
          <w:spacing w:val="2"/>
          <w:sz w:val="20"/>
        </w:rPr>
        <w:t> </w:t>
      </w:r>
      <w:r>
        <w:rPr>
          <w:b/>
          <w:sz w:val="20"/>
        </w:rPr>
        <w:t>4</w:t>
      </w:r>
      <w:r>
        <w:rPr>
          <w:sz w:val="20"/>
        </w:rPr>
        <w:t>).</w:t>
      </w:r>
    </w:p>
    <w:p>
      <w:pPr>
        <w:pStyle w:val="ListParagraph"/>
        <w:numPr>
          <w:ilvl w:val="0"/>
          <w:numId w:val="5"/>
        </w:numPr>
        <w:tabs>
          <w:tab w:pos="2160" w:val="left" w:leader="none"/>
          <w:tab w:pos="2161" w:val="left" w:leader="none"/>
        </w:tabs>
        <w:spacing w:line="240" w:lineRule="auto" w:before="0" w:after="0"/>
        <w:ind w:left="2160" w:right="0" w:hanging="361"/>
        <w:jc w:val="left"/>
        <w:rPr>
          <w:sz w:val="20"/>
        </w:rPr>
      </w:pPr>
      <w:r>
        <w:rPr>
          <w:sz w:val="20"/>
        </w:rPr>
        <w:t>Primary</w:t>
      </w:r>
      <w:r>
        <w:rPr>
          <w:spacing w:val="-5"/>
          <w:sz w:val="20"/>
        </w:rPr>
        <w:t> </w:t>
      </w:r>
      <w:r>
        <w:rPr>
          <w:sz w:val="20"/>
        </w:rPr>
        <w:t>data</w:t>
      </w:r>
      <w:r>
        <w:rPr>
          <w:spacing w:val="-3"/>
          <w:sz w:val="20"/>
        </w:rPr>
        <w:t> </w:t>
      </w:r>
      <w:r>
        <w:rPr>
          <w:sz w:val="20"/>
        </w:rPr>
        <w:t>that</w:t>
      </w:r>
      <w:r>
        <w:rPr>
          <w:spacing w:val="-1"/>
          <w:sz w:val="20"/>
        </w:rPr>
        <w:t> </w:t>
      </w:r>
      <w:r>
        <w:rPr>
          <w:sz w:val="20"/>
        </w:rPr>
        <w:t>will</w:t>
      </w:r>
      <w:r>
        <w:rPr>
          <w:spacing w:val="-3"/>
          <w:sz w:val="20"/>
        </w:rPr>
        <w:t> </w:t>
      </w:r>
      <w:r>
        <w:rPr>
          <w:sz w:val="20"/>
        </w:rPr>
        <w:t>be</w:t>
      </w:r>
      <w:r>
        <w:rPr>
          <w:spacing w:val="-5"/>
          <w:sz w:val="20"/>
        </w:rPr>
        <w:t> </w:t>
      </w:r>
      <w:r>
        <w:rPr>
          <w:sz w:val="20"/>
        </w:rPr>
        <w:t>collected</w:t>
      </w:r>
      <w:r>
        <w:rPr>
          <w:spacing w:val="-4"/>
          <w:sz w:val="20"/>
        </w:rPr>
        <w:t> </w:t>
      </w:r>
      <w:r>
        <w:rPr>
          <w:sz w:val="20"/>
        </w:rPr>
        <w:t>through</w:t>
      </w:r>
      <w:r>
        <w:rPr>
          <w:spacing w:val="-2"/>
          <w:sz w:val="20"/>
        </w:rPr>
        <w:t> </w:t>
      </w:r>
      <w:r>
        <w:rPr>
          <w:sz w:val="20"/>
        </w:rPr>
        <w:t>the</w:t>
      </w:r>
      <w:r>
        <w:rPr>
          <w:spacing w:val="-4"/>
          <w:sz w:val="20"/>
        </w:rPr>
        <w:t> </w:t>
      </w:r>
      <w:r>
        <w:rPr>
          <w:sz w:val="20"/>
        </w:rPr>
        <w:t>evaluation</w:t>
      </w:r>
      <w:r>
        <w:rPr>
          <w:spacing w:val="3"/>
          <w:sz w:val="20"/>
        </w:rPr>
        <w:t> </w:t>
      </w:r>
      <w:r>
        <w:rPr>
          <w:sz w:val="20"/>
        </w:rPr>
        <w:t>(</w:t>
      </w:r>
      <w:r>
        <w:rPr>
          <w:b/>
          <w:sz w:val="20"/>
        </w:rPr>
        <w:t>Chapter</w:t>
      </w:r>
      <w:r>
        <w:rPr>
          <w:b/>
          <w:spacing w:val="-3"/>
          <w:sz w:val="20"/>
        </w:rPr>
        <w:t> </w:t>
      </w:r>
      <w:r>
        <w:rPr>
          <w:b/>
          <w:sz w:val="20"/>
        </w:rPr>
        <w:t>5</w:t>
      </w:r>
      <w:r>
        <w:rPr>
          <w:sz w:val="20"/>
        </w:rPr>
        <w:t>).</w:t>
      </w:r>
    </w:p>
    <w:p>
      <w:pPr>
        <w:pStyle w:val="ListParagraph"/>
        <w:numPr>
          <w:ilvl w:val="0"/>
          <w:numId w:val="5"/>
        </w:numPr>
        <w:tabs>
          <w:tab w:pos="2160" w:val="left" w:leader="none"/>
          <w:tab w:pos="2161" w:val="left" w:leader="none"/>
        </w:tabs>
        <w:spacing w:line="240" w:lineRule="auto" w:before="36" w:after="0"/>
        <w:ind w:left="2160" w:right="0" w:hanging="361"/>
        <w:jc w:val="left"/>
        <w:rPr>
          <w:sz w:val="20"/>
        </w:rPr>
      </w:pPr>
      <w:r>
        <w:rPr>
          <w:sz w:val="20"/>
        </w:rPr>
        <w:t>Secondary</w:t>
      </w:r>
      <w:r>
        <w:rPr>
          <w:spacing w:val="-5"/>
          <w:sz w:val="20"/>
        </w:rPr>
        <w:t> </w:t>
      </w:r>
      <w:r>
        <w:rPr>
          <w:sz w:val="20"/>
        </w:rPr>
        <w:t>source</w:t>
      </w:r>
      <w:r>
        <w:rPr>
          <w:spacing w:val="-4"/>
          <w:sz w:val="20"/>
        </w:rPr>
        <w:t> </w:t>
      </w:r>
      <w:r>
        <w:rPr>
          <w:sz w:val="20"/>
        </w:rPr>
        <w:t>of</w:t>
      </w:r>
      <w:r>
        <w:rPr>
          <w:spacing w:val="-1"/>
          <w:sz w:val="20"/>
        </w:rPr>
        <w:t> </w:t>
      </w:r>
      <w:r>
        <w:rPr>
          <w:sz w:val="20"/>
        </w:rPr>
        <w:t>data</w:t>
      </w:r>
      <w:r>
        <w:rPr>
          <w:spacing w:val="-3"/>
          <w:sz w:val="20"/>
        </w:rPr>
        <w:t> </w:t>
      </w:r>
      <w:r>
        <w:rPr>
          <w:sz w:val="20"/>
        </w:rPr>
        <w:t>that</w:t>
      </w:r>
      <w:r>
        <w:rPr>
          <w:spacing w:val="-2"/>
          <w:sz w:val="20"/>
        </w:rPr>
        <w:t> </w:t>
      </w:r>
      <w:r>
        <w:rPr>
          <w:sz w:val="20"/>
        </w:rPr>
        <w:t>will</w:t>
      </w:r>
      <w:r>
        <w:rPr>
          <w:spacing w:val="-2"/>
          <w:sz w:val="20"/>
        </w:rPr>
        <w:t> </w:t>
      </w:r>
      <w:r>
        <w:rPr>
          <w:sz w:val="20"/>
        </w:rPr>
        <w:t>be</w:t>
      </w:r>
      <w:r>
        <w:rPr>
          <w:spacing w:val="-4"/>
          <w:sz w:val="20"/>
        </w:rPr>
        <w:t> </w:t>
      </w:r>
      <w:r>
        <w:rPr>
          <w:sz w:val="20"/>
        </w:rPr>
        <w:t>drawn</w:t>
      </w:r>
      <w:r>
        <w:rPr>
          <w:spacing w:val="-2"/>
          <w:sz w:val="20"/>
        </w:rPr>
        <w:t> </w:t>
      </w:r>
      <w:r>
        <w:rPr>
          <w:sz w:val="20"/>
        </w:rPr>
        <w:t>on</w:t>
      </w:r>
      <w:r>
        <w:rPr>
          <w:spacing w:val="-3"/>
          <w:sz w:val="20"/>
        </w:rPr>
        <w:t> </w:t>
      </w:r>
      <w:r>
        <w:rPr>
          <w:sz w:val="20"/>
        </w:rPr>
        <w:t>for</w:t>
      </w:r>
      <w:r>
        <w:rPr>
          <w:spacing w:val="-4"/>
          <w:sz w:val="20"/>
        </w:rPr>
        <w:t> </w:t>
      </w:r>
      <w:r>
        <w:rPr>
          <w:sz w:val="20"/>
        </w:rPr>
        <w:t>the</w:t>
      </w:r>
      <w:r>
        <w:rPr>
          <w:spacing w:val="-3"/>
          <w:sz w:val="20"/>
        </w:rPr>
        <w:t> </w:t>
      </w:r>
      <w:r>
        <w:rPr>
          <w:sz w:val="20"/>
        </w:rPr>
        <w:t>evaluation</w:t>
      </w:r>
      <w:r>
        <w:rPr>
          <w:spacing w:val="6"/>
          <w:sz w:val="20"/>
        </w:rPr>
        <w:t> </w:t>
      </w:r>
      <w:r>
        <w:rPr>
          <w:sz w:val="20"/>
        </w:rPr>
        <w:t>(</w:t>
      </w:r>
      <w:r>
        <w:rPr>
          <w:b/>
          <w:sz w:val="20"/>
        </w:rPr>
        <w:t>Chapter</w:t>
      </w:r>
      <w:r>
        <w:rPr>
          <w:b/>
          <w:spacing w:val="-2"/>
          <w:sz w:val="20"/>
        </w:rPr>
        <w:t> </w:t>
      </w:r>
      <w:r>
        <w:rPr>
          <w:b/>
          <w:sz w:val="20"/>
        </w:rPr>
        <w:t>6</w:t>
      </w:r>
      <w:r>
        <w:rPr>
          <w:sz w:val="20"/>
        </w:rPr>
        <w:t>).</w:t>
      </w:r>
    </w:p>
    <w:p>
      <w:pPr>
        <w:pStyle w:val="ListParagraph"/>
        <w:numPr>
          <w:ilvl w:val="0"/>
          <w:numId w:val="5"/>
        </w:numPr>
        <w:tabs>
          <w:tab w:pos="2160" w:val="left" w:leader="none"/>
          <w:tab w:pos="2161" w:val="left" w:leader="none"/>
        </w:tabs>
        <w:spacing w:line="240" w:lineRule="auto" w:before="38" w:after="0"/>
        <w:ind w:left="2160" w:right="0" w:hanging="361"/>
        <w:jc w:val="left"/>
        <w:rPr>
          <w:sz w:val="20"/>
        </w:rPr>
      </w:pPr>
      <w:r>
        <w:rPr>
          <w:sz w:val="20"/>
        </w:rPr>
        <w:t>The</w:t>
      </w:r>
      <w:r>
        <w:rPr>
          <w:spacing w:val="-4"/>
          <w:sz w:val="20"/>
        </w:rPr>
        <w:t> </w:t>
      </w:r>
      <w:r>
        <w:rPr>
          <w:sz w:val="20"/>
        </w:rPr>
        <w:t>plan</w:t>
      </w:r>
      <w:r>
        <w:rPr>
          <w:spacing w:val="-3"/>
          <w:sz w:val="20"/>
        </w:rPr>
        <w:t> </w:t>
      </w:r>
      <w:r>
        <w:rPr>
          <w:sz w:val="20"/>
        </w:rPr>
        <w:t>for</w:t>
      </w:r>
      <w:r>
        <w:rPr>
          <w:spacing w:val="-4"/>
          <w:sz w:val="20"/>
        </w:rPr>
        <w:t> </w:t>
      </w:r>
      <w:r>
        <w:rPr>
          <w:sz w:val="20"/>
        </w:rPr>
        <w:t>undertaking</w:t>
      </w:r>
      <w:r>
        <w:rPr>
          <w:spacing w:val="-6"/>
          <w:sz w:val="20"/>
        </w:rPr>
        <w:t> </w:t>
      </w:r>
      <w:r>
        <w:rPr>
          <w:sz w:val="20"/>
        </w:rPr>
        <w:t>the</w:t>
      </w:r>
      <w:r>
        <w:rPr>
          <w:spacing w:val="-4"/>
          <w:sz w:val="20"/>
        </w:rPr>
        <w:t> </w:t>
      </w:r>
      <w:r>
        <w:rPr>
          <w:sz w:val="20"/>
        </w:rPr>
        <w:t>economic</w:t>
      </w:r>
      <w:r>
        <w:rPr>
          <w:spacing w:val="-3"/>
          <w:sz w:val="20"/>
        </w:rPr>
        <w:t> </w:t>
      </w:r>
      <w:r>
        <w:rPr>
          <w:sz w:val="20"/>
        </w:rPr>
        <w:t>analyses</w:t>
      </w:r>
      <w:r>
        <w:rPr>
          <w:spacing w:val="3"/>
          <w:sz w:val="20"/>
        </w:rPr>
        <w:t> </w:t>
      </w:r>
      <w:r>
        <w:rPr>
          <w:sz w:val="20"/>
        </w:rPr>
        <w:t>(</w:t>
      </w:r>
      <w:r>
        <w:rPr>
          <w:b/>
          <w:sz w:val="20"/>
        </w:rPr>
        <w:t>Chapter</w:t>
      </w:r>
      <w:r>
        <w:rPr>
          <w:b/>
          <w:spacing w:val="-3"/>
          <w:sz w:val="20"/>
        </w:rPr>
        <w:t> </w:t>
      </w:r>
      <w:r>
        <w:rPr>
          <w:b/>
          <w:sz w:val="20"/>
        </w:rPr>
        <w:t>7</w:t>
      </w:r>
      <w:r>
        <w:rPr>
          <w:sz w:val="20"/>
        </w:rPr>
        <w:t>).</w:t>
      </w:r>
    </w:p>
    <w:p>
      <w:pPr>
        <w:pStyle w:val="ListParagraph"/>
        <w:numPr>
          <w:ilvl w:val="0"/>
          <w:numId w:val="5"/>
        </w:numPr>
        <w:tabs>
          <w:tab w:pos="2160" w:val="left" w:leader="none"/>
          <w:tab w:pos="2161" w:val="left" w:leader="none"/>
        </w:tabs>
        <w:spacing w:line="276" w:lineRule="auto" w:before="35" w:after="0"/>
        <w:ind w:left="2160" w:right="2024" w:hanging="360"/>
        <w:jc w:val="left"/>
        <w:rPr>
          <w:sz w:val="20"/>
        </w:rPr>
      </w:pPr>
      <w:r>
        <w:rPr>
          <w:sz w:val="20"/>
        </w:rPr>
        <w:t>The</w:t>
      </w:r>
      <w:r>
        <w:rPr>
          <w:spacing w:val="-5"/>
          <w:sz w:val="20"/>
        </w:rPr>
        <w:t> </w:t>
      </w:r>
      <w:r>
        <w:rPr>
          <w:sz w:val="20"/>
        </w:rPr>
        <w:t>plan</w:t>
      </w:r>
      <w:r>
        <w:rPr>
          <w:spacing w:val="-3"/>
          <w:sz w:val="20"/>
        </w:rPr>
        <w:t> </w:t>
      </w:r>
      <w:r>
        <w:rPr>
          <w:sz w:val="20"/>
        </w:rPr>
        <w:t>for</w:t>
      </w:r>
      <w:r>
        <w:rPr>
          <w:spacing w:val="-5"/>
          <w:sz w:val="20"/>
        </w:rPr>
        <w:t> </w:t>
      </w:r>
      <w:r>
        <w:rPr>
          <w:sz w:val="20"/>
        </w:rPr>
        <w:t>undertaking</w:t>
      </w:r>
      <w:r>
        <w:rPr>
          <w:spacing w:val="-6"/>
          <w:sz w:val="20"/>
        </w:rPr>
        <w:t> </w:t>
      </w:r>
      <w:r>
        <w:rPr>
          <w:sz w:val="20"/>
        </w:rPr>
        <w:t>other</w:t>
      </w:r>
      <w:r>
        <w:rPr>
          <w:spacing w:val="-4"/>
          <w:sz w:val="20"/>
        </w:rPr>
        <w:t> </w:t>
      </w:r>
      <w:r>
        <w:rPr>
          <w:sz w:val="20"/>
        </w:rPr>
        <w:t>data</w:t>
      </w:r>
      <w:r>
        <w:rPr>
          <w:spacing w:val="-4"/>
          <w:sz w:val="20"/>
        </w:rPr>
        <w:t> </w:t>
      </w:r>
      <w:r>
        <w:rPr>
          <w:sz w:val="20"/>
        </w:rPr>
        <w:t>analysis,</w:t>
      </w:r>
      <w:r>
        <w:rPr>
          <w:spacing w:val="-6"/>
          <w:sz w:val="20"/>
        </w:rPr>
        <w:t> </w:t>
      </w:r>
      <w:r>
        <w:rPr>
          <w:sz w:val="20"/>
        </w:rPr>
        <w:t>including</w:t>
      </w:r>
      <w:r>
        <w:rPr>
          <w:spacing w:val="-4"/>
          <w:sz w:val="20"/>
        </w:rPr>
        <w:t> </w:t>
      </w:r>
      <w:r>
        <w:rPr>
          <w:sz w:val="20"/>
        </w:rPr>
        <w:t>statistical</w:t>
      </w:r>
      <w:r>
        <w:rPr>
          <w:spacing w:val="-4"/>
          <w:sz w:val="20"/>
        </w:rPr>
        <w:t> </w:t>
      </w:r>
      <w:r>
        <w:rPr>
          <w:sz w:val="20"/>
        </w:rPr>
        <w:t>and</w:t>
      </w:r>
      <w:r>
        <w:rPr>
          <w:spacing w:val="-4"/>
          <w:sz w:val="20"/>
        </w:rPr>
        <w:t> </w:t>
      </w:r>
      <w:r>
        <w:rPr>
          <w:sz w:val="20"/>
        </w:rPr>
        <w:t>qualitative</w:t>
      </w:r>
      <w:r>
        <w:rPr>
          <w:spacing w:val="-53"/>
          <w:sz w:val="20"/>
        </w:rPr>
        <w:t> </w:t>
      </w:r>
      <w:r>
        <w:rPr>
          <w:sz w:val="20"/>
        </w:rPr>
        <w:t>analyses</w:t>
      </w:r>
      <w:r>
        <w:rPr>
          <w:spacing w:val="1"/>
          <w:sz w:val="20"/>
        </w:rPr>
        <w:t> </w:t>
      </w:r>
      <w:r>
        <w:rPr>
          <w:sz w:val="20"/>
        </w:rPr>
        <w:t>(</w:t>
      </w:r>
      <w:r>
        <w:rPr>
          <w:b/>
          <w:sz w:val="20"/>
        </w:rPr>
        <w:t>Chapter</w:t>
      </w:r>
      <w:r>
        <w:rPr>
          <w:b/>
          <w:spacing w:val="3"/>
          <w:sz w:val="20"/>
        </w:rPr>
        <w:t> </w:t>
      </w:r>
      <w:r>
        <w:rPr>
          <w:b/>
          <w:sz w:val="20"/>
        </w:rPr>
        <w:t>8</w:t>
      </w:r>
      <w:r>
        <w:rPr>
          <w:sz w:val="20"/>
        </w:rPr>
        <w:t>).</w:t>
      </w:r>
    </w:p>
    <w:p>
      <w:pPr>
        <w:pStyle w:val="ListParagraph"/>
        <w:numPr>
          <w:ilvl w:val="0"/>
          <w:numId w:val="5"/>
        </w:numPr>
        <w:tabs>
          <w:tab w:pos="2160" w:val="left" w:leader="none"/>
          <w:tab w:pos="2161" w:val="left" w:leader="none"/>
        </w:tabs>
        <w:spacing w:line="276" w:lineRule="auto" w:before="1" w:after="0"/>
        <w:ind w:left="2160" w:right="1481" w:hanging="360"/>
        <w:jc w:val="left"/>
        <w:rPr>
          <w:sz w:val="20"/>
        </w:rPr>
      </w:pPr>
      <w:r>
        <w:rPr>
          <w:sz w:val="20"/>
        </w:rPr>
        <w:t>Ethical</w:t>
      </w:r>
      <w:r>
        <w:rPr>
          <w:spacing w:val="-3"/>
          <w:sz w:val="20"/>
        </w:rPr>
        <w:t> </w:t>
      </w:r>
      <w:r>
        <w:rPr>
          <w:sz w:val="20"/>
        </w:rPr>
        <w:t>considerations</w:t>
      </w:r>
      <w:r>
        <w:rPr>
          <w:spacing w:val="-4"/>
          <w:sz w:val="20"/>
        </w:rPr>
        <w:t> </w:t>
      </w:r>
      <w:r>
        <w:rPr>
          <w:sz w:val="20"/>
        </w:rPr>
        <w:t>related</w:t>
      </w:r>
      <w:r>
        <w:rPr>
          <w:spacing w:val="-4"/>
          <w:sz w:val="20"/>
        </w:rPr>
        <w:t> </w:t>
      </w:r>
      <w:r>
        <w:rPr>
          <w:sz w:val="20"/>
        </w:rPr>
        <w:t>to</w:t>
      </w:r>
      <w:r>
        <w:rPr>
          <w:spacing w:val="-3"/>
          <w:sz w:val="20"/>
        </w:rPr>
        <w:t> </w:t>
      </w:r>
      <w:r>
        <w:rPr>
          <w:sz w:val="20"/>
        </w:rPr>
        <w:t>the</w:t>
      </w:r>
      <w:r>
        <w:rPr>
          <w:spacing w:val="-3"/>
          <w:sz w:val="20"/>
        </w:rPr>
        <w:t> </w:t>
      </w:r>
      <w:r>
        <w:rPr>
          <w:sz w:val="20"/>
        </w:rPr>
        <w:t>conduct</w:t>
      </w:r>
      <w:r>
        <w:rPr>
          <w:spacing w:val="-2"/>
          <w:sz w:val="20"/>
        </w:rPr>
        <w:t> </w:t>
      </w:r>
      <w:r>
        <w:rPr>
          <w:sz w:val="20"/>
        </w:rPr>
        <w:t>of</w:t>
      </w:r>
      <w:r>
        <w:rPr>
          <w:spacing w:val="-4"/>
          <w:sz w:val="20"/>
        </w:rPr>
        <w:t> </w:t>
      </w:r>
      <w:r>
        <w:rPr>
          <w:sz w:val="20"/>
        </w:rPr>
        <w:t>the</w:t>
      </w:r>
      <w:r>
        <w:rPr>
          <w:spacing w:val="-4"/>
          <w:sz w:val="20"/>
        </w:rPr>
        <w:t> </w:t>
      </w:r>
      <w:r>
        <w:rPr>
          <w:sz w:val="20"/>
        </w:rPr>
        <w:t>evaluation</w:t>
      </w:r>
      <w:r>
        <w:rPr>
          <w:spacing w:val="-2"/>
          <w:sz w:val="20"/>
        </w:rPr>
        <w:t> </w:t>
      </w:r>
      <w:r>
        <w:rPr>
          <w:sz w:val="20"/>
        </w:rPr>
        <w:t>and</w:t>
      </w:r>
      <w:r>
        <w:rPr>
          <w:spacing w:val="-4"/>
          <w:sz w:val="20"/>
        </w:rPr>
        <w:t> </w:t>
      </w:r>
      <w:r>
        <w:rPr>
          <w:sz w:val="20"/>
        </w:rPr>
        <w:t>how</w:t>
      </w:r>
      <w:r>
        <w:rPr>
          <w:spacing w:val="-2"/>
          <w:sz w:val="20"/>
        </w:rPr>
        <w:t> </w:t>
      </w:r>
      <w:r>
        <w:rPr>
          <w:sz w:val="20"/>
        </w:rPr>
        <w:t>these</w:t>
      </w:r>
      <w:r>
        <w:rPr>
          <w:spacing w:val="-4"/>
          <w:sz w:val="20"/>
        </w:rPr>
        <w:t> </w:t>
      </w:r>
      <w:r>
        <w:rPr>
          <w:sz w:val="20"/>
        </w:rPr>
        <w:t>will</w:t>
      </w:r>
      <w:r>
        <w:rPr>
          <w:spacing w:val="-2"/>
          <w:sz w:val="20"/>
        </w:rPr>
        <w:t> </w:t>
      </w:r>
      <w:r>
        <w:rPr>
          <w:sz w:val="20"/>
        </w:rPr>
        <w:t>be</w:t>
      </w:r>
      <w:r>
        <w:rPr>
          <w:spacing w:val="-53"/>
          <w:sz w:val="20"/>
        </w:rPr>
        <w:t> </w:t>
      </w:r>
      <w:r>
        <w:rPr>
          <w:sz w:val="20"/>
        </w:rPr>
        <w:t>addressed</w:t>
      </w:r>
      <w:r>
        <w:rPr>
          <w:spacing w:val="1"/>
          <w:sz w:val="20"/>
        </w:rPr>
        <w:t> </w:t>
      </w:r>
      <w:r>
        <w:rPr>
          <w:sz w:val="20"/>
        </w:rPr>
        <w:t>(</w:t>
      </w:r>
      <w:r>
        <w:rPr>
          <w:b/>
          <w:sz w:val="20"/>
        </w:rPr>
        <w:t>Chapter</w:t>
      </w:r>
      <w:r>
        <w:rPr>
          <w:b/>
          <w:spacing w:val="1"/>
          <w:sz w:val="20"/>
        </w:rPr>
        <w:t> </w:t>
      </w:r>
      <w:r>
        <w:rPr>
          <w:b/>
          <w:sz w:val="20"/>
        </w:rPr>
        <w:t>9</w:t>
      </w:r>
      <w:r>
        <w:rPr>
          <w:sz w:val="20"/>
        </w:rPr>
        <w:t>).</w:t>
      </w:r>
    </w:p>
    <w:p>
      <w:pPr>
        <w:pStyle w:val="ListParagraph"/>
        <w:numPr>
          <w:ilvl w:val="0"/>
          <w:numId w:val="5"/>
        </w:numPr>
        <w:tabs>
          <w:tab w:pos="2160" w:val="left" w:leader="none"/>
          <w:tab w:pos="2161" w:val="left" w:leader="none"/>
        </w:tabs>
        <w:spacing w:line="276" w:lineRule="auto" w:before="0" w:after="0"/>
        <w:ind w:left="2160" w:right="1826" w:hanging="360"/>
        <w:jc w:val="left"/>
        <w:rPr>
          <w:sz w:val="20"/>
        </w:rPr>
      </w:pPr>
      <w:r>
        <w:rPr>
          <w:sz w:val="20"/>
        </w:rPr>
        <w:t>The plan for disseminating the methods and findings from the evaluation (</w:t>
      </w:r>
      <w:r>
        <w:rPr>
          <w:b/>
          <w:sz w:val="20"/>
        </w:rPr>
        <w:t>Chapter</w:t>
      </w:r>
      <w:r>
        <w:rPr>
          <w:b/>
          <w:spacing w:val="-53"/>
          <w:sz w:val="20"/>
        </w:rPr>
        <w:t> </w:t>
      </w:r>
      <w:r>
        <w:rPr>
          <w:b/>
          <w:sz w:val="20"/>
        </w:rPr>
        <w:t>10</w:t>
      </w:r>
      <w:r>
        <w:rPr>
          <w:sz w:val="20"/>
        </w:rPr>
        <w:t>).</w:t>
      </w:r>
    </w:p>
    <w:p>
      <w:pPr>
        <w:spacing w:after="0" w:line="276" w:lineRule="auto"/>
        <w:jc w:val="left"/>
        <w:rPr>
          <w:sz w:val="20"/>
        </w:rPr>
        <w:sectPr>
          <w:pgSz w:w="11910" w:h="16840"/>
          <w:pgMar w:header="0" w:footer="675" w:top="1340" w:bottom="860" w:left="0" w:right="0"/>
        </w:sectPr>
      </w:pPr>
    </w:p>
    <w:p>
      <w:pPr>
        <w:pStyle w:val="BodyText"/>
      </w:pPr>
    </w:p>
    <w:p>
      <w:pPr>
        <w:pStyle w:val="BodyText"/>
      </w:pPr>
    </w:p>
    <w:p>
      <w:pPr>
        <w:pStyle w:val="BodyText"/>
      </w:pPr>
    </w:p>
    <w:p>
      <w:pPr>
        <w:pStyle w:val="BodyText"/>
      </w:pPr>
    </w:p>
    <w:p>
      <w:pPr>
        <w:pStyle w:val="BodyText"/>
        <w:spacing w:before="10"/>
        <w:rPr>
          <w:sz w:val="27"/>
        </w:rPr>
      </w:pPr>
    </w:p>
    <w:p>
      <w:pPr>
        <w:tabs>
          <w:tab w:pos="10153" w:val="left" w:leader="none"/>
        </w:tabs>
        <w:spacing w:before="100"/>
        <w:ind w:left="1440" w:right="0" w:firstLine="0"/>
        <w:jc w:val="left"/>
        <w:rPr>
          <w:b/>
          <w:sz w:val="44"/>
        </w:rPr>
      </w:pPr>
      <w:r>
        <w:rPr/>
        <w:pict>
          <v:group style="position:absolute;margin-left:21.569412pt;margin-top:-67.049072pt;width:573.8pt;height:116.75pt;mso-position-horizontal-relative:page;mso-position-vertical-relative:paragraph;z-index:-27554816" id="docshapegroup16" coordorigin="431,-1341" coordsize="11476,2335">
            <v:shape style="position:absolute;left:431;top:-1341;width:11476;height:1613" type="#_x0000_t75" id="docshape17" stroked="false">
              <v:imagedata r:id="rId8" o:title=""/>
            </v:shape>
            <v:shape style="position:absolute;left:9675;top:-186;width:1200;height:1155" id="docshape18" coordorigin="9675,-186" coordsize="1200,1155" path="m10275,-186l10200,-181,10127,-168,10058,-147,9993,-118,9932,-82,9877,-40,9826,8,9782,62,9745,120,9715,183,9693,249,9680,319,9675,392,9680,464,9693,534,9715,600,9745,663,9782,721,9826,775,9877,823,9932,866,9993,901,10058,930,10127,951,10200,965,10275,969,10350,965,10423,951,10492,930,10557,901,10618,866,10673,823,10724,775,10768,721,10805,663,10835,600,10857,534,10870,464,10875,392,10870,319,10857,249,10835,183,10805,120,10768,62,10724,8,10673,-40,10618,-82,10557,-118,10492,-147,10423,-168,10350,-181,10275,-186xe" filled="true" fillcolor="#003c79" stroked="false">
              <v:path arrowok="t"/>
              <v:fill type="solid"/>
            </v:shape>
            <v:shape style="position:absolute;left:9675;top:-186;width:1200;height:1155" id="docshape19" coordorigin="9675,-186" coordsize="1200,1155" path="m9675,392l9680,319,9693,249,9715,183,9745,120,9782,62,9826,8,9877,-40,9932,-82,9993,-118,10058,-147,10127,-168,10200,-181,10275,-186,10350,-181,10423,-168,10492,-147,10557,-118,10618,-82,10673,-40,10724,8,10768,62,10805,120,10835,183,10857,249,10870,319,10875,392,10870,464,10857,534,10835,600,10805,663,10768,721,10724,775,10673,823,10618,866,10557,901,10492,930,10423,951,10350,965,10275,969,10200,965,10127,951,10058,930,9993,901,9932,866,9877,823,9826,775,9782,721,9745,663,9715,600,9693,534,9680,464,9675,392xe" filled="false" stroked="true" strokeweight="2.5pt" strokecolor="#003c79">
              <v:path arrowok="t"/>
              <v:stroke dashstyle="solid"/>
            </v:shape>
            <w10:wrap type="none"/>
          </v:group>
        </w:pict>
      </w:r>
      <w:bookmarkStart w:name="_bookmark11" w:id="12"/>
      <w:bookmarkEnd w:id="12"/>
      <w:r>
        <w:rPr/>
      </w:r>
      <w:r>
        <w:rPr>
          <w:color w:val="003C79"/>
          <w:sz w:val="72"/>
        </w:rPr>
        <w:t>HCH</w:t>
      </w:r>
      <w:r>
        <w:rPr>
          <w:color w:val="003C79"/>
          <w:spacing w:val="-2"/>
          <w:sz w:val="72"/>
        </w:rPr>
        <w:t> </w:t>
      </w:r>
      <w:r>
        <w:rPr>
          <w:color w:val="003C79"/>
          <w:sz w:val="72"/>
        </w:rPr>
        <w:t>theory of</w:t>
      </w:r>
      <w:r>
        <w:rPr>
          <w:color w:val="003C79"/>
          <w:spacing w:val="-1"/>
          <w:sz w:val="72"/>
        </w:rPr>
        <w:t> </w:t>
      </w:r>
      <w:r>
        <w:rPr>
          <w:color w:val="003C79"/>
          <w:sz w:val="72"/>
        </w:rPr>
        <w:t>change</w:t>
        <w:tab/>
      </w:r>
      <w:r>
        <w:rPr>
          <w:b/>
          <w:color w:val="FFFFFF"/>
          <w:position w:val="26"/>
          <w:sz w:val="44"/>
        </w:rPr>
        <w:t>2</w:t>
      </w:r>
    </w:p>
    <w:p>
      <w:pPr>
        <w:spacing w:before="1"/>
        <w:ind w:left="1440" w:right="0" w:firstLine="0"/>
        <w:jc w:val="left"/>
        <w:rPr>
          <w:sz w:val="72"/>
        </w:rPr>
      </w:pPr>
      <w:r>
        <w:rPr>
          <w:color w:val="003C79"/>
          <w:sz w:val="72"/>
        </w:rPr>
        <w:t>and</w:t>
      </w:r>
      <w:r>
        <w:rPr>
          <w:color w:val="003C79"/>
          <w:spacing w:val="-3"/>
          <w:sz w:val="72"/>
        </w:rPr>
        <w:t> </w:t>
      </w:r>
      <w:r>
        <w:rPr>
          <w:color w:val="003C79"/>
          <w:sz w:val="72"/>
        </w:rPr>
        <w:t>logic</w:t>
      </w:r>
      <w:r>
        <w:rPr>
          <w:color w:val="003C79"/>
          <w:spacing w:val="-3"/>
          <w:sz w:val="72"/>
        </w:rPr>
        <w:t> </w:t>
      </w:r>
      <w:r>
        <w:rPr>
          <w:color w:val="003C79"/>
          <w:sz w:val="72"/>
        </w:rPr>
        <w:t>model</w:t>
      </w:r>
    </w:p>
    <w:p>
      <w:pPr>
        <w:spacing w:before="199"/>
        <w:ind w:left="1440" w:right="0" w:firstLine="0"/>
        <w:jc w:val="left"/>
        <w:rPr>
          <w:sz w:val="32"/>
        </w:rPr>
      </w:pPr>
      <w:bookmarkStart w:name="_bookmark12" w:id="13"/>
      <w:bookmarkEnd w:id="13"/>
      <w:r>
        <w:rPr/>
      </w:r>
      <w:r>
        <w:rPr>
          <w:color w:val="003C79"/>
          <w:sz w:val="32"/>
        </w:rPr>
        <w:t>HCH</w:t>
      </w:r>
      <w:r>
        <w:rPr>
          <w:color w:val="003C79"/>
          <w:spacing w:val="-3"/>
          <w:sz w:val="32"/>
        </w:rPr>
        <w:t> </w:t>
      </w:r>
      <w:r>
        <w:rPr>
          <w:color w:val="003C79"/>
          <w:sz w:val="32"/>
        </w:rPr>
        <w:t>theory</w:t>
      </w:r>
      <w:r>
        <w:rPr>
          <w:color w:val="003C79"/>
          <w:spacing w:val="-5"/>
          <w:sz w:val="32"/>
        </w:rPr>
        <w:t> </w:t>
      </w:r>
      <w:r>
        <w:rPr>
          <w:color w:val="003C79"/>
          <w:sz w:val="32"/>
        </w:rPr>
        <w:t>of</w:t>
      </w:r>
      <w:r>
        <w:rPr>
          <w:color w:val="003C79"/>
          <w:spacing w:val="-2"/>
          <w:sz w:val="32"/>
        </w:rPr>
        <w:t> </w:t>
      </w:r>
      <w:r>
        <w:rPr>
          <w:color w:val="003C79"/>
          <w:sz w:val="32"/>
        </w:rPr>
        <w:t>change</w:t>
      </w:r>
    </w:p>
    <w:p>
      <w:pPr>
        <w:pStyle w:val="BodyText"/>
        <w:rPr>
          <w:sz w:val="13"/>
        </w:rPr>
      </w:pPr>
    </w:p>
    <w:p>
      <w:pPr>
        <w:pStyle w:val="BodyText"/>
        <w:spacing w:line="276" w:lineRule="auto" w:before="99"/>
        <w:ind w:left="1440" w:right="1649"/>
      </w:pPr>
      <w:r>
        <w:rPr/>
        <w:t>Underlying HCH is a theory of change articulating the causal pathways between the</w:t>
      </w:r>
      <w:r>
        <w:rPr>
          <w:spacing w:val="1"/>
        </w:rPr>
        <w:t> </w:t>
      </w:r>
      <w:r>
        <w:rPr/>
        <w:t>outcomes expected of a program and the inputs and activities that will achieve these. The</w:t>
      </w:r>
      <w:r>
        <w:rPr>
          <w:spacing w:val="-53"/>
        </w:rPr>
        <w:t> </w:t>
      </w:r>
      <w:r>
        <w:rPr/>
        <w:t>theory of change is an important component of evaluation as it can help to explain why</w:t>
      </w:r>
      <w:r>
        <w:rPr>
          <w:spacing w:val="1"/>
        </w:rPr>
        <w:t> </w:t>
      </w:r>
      <w:r>
        <w:rPr/>
        <w:t>HCH did or did not work in certain contexts or for specific groups. The theory of change for</w:t>
      </w:r>
      <w:r>
        <w:rPr>
          <w:spacing w:val="1"/>
        </w:rPr>
        <w:t> </w:t>
      </w:r>
      <w:r>
        <w:rPr/>
        <w:t>HCH</w:t>
      </w:r>
      <w:r>
        <w:rPr>
          <w:spacing w:val="-1"/>
        </w:rPr>
        <w:t> </w:t>
      </w:r>
      <w:r>
        <w:rPr/>
        <w:t>is</w:t>
      </w:r>
      <w:r>
        <w:rPr>
          <w:spacing w:val="-1"/>
        </w:rPr>
        <w:t> </w:t>
      </w:r>
      <w:r>
        <w:rPr/>
        <w:t>shown in</w:t>
      </w:r>
      <w:r>
        <w:rPr>
          <w:spacing w:val="2"/>
        </w:rPr>
        <w:t> </w:t>
      </w:r>
      <w:hyperlink w:history="true" w:anchor="_bookmark13">
        <w:r>
          <w:rPr/>
          <w:t>Figure 1.</w:t>
        </w:r>
      </w:hyperlink>
    </w:p>
    <w:p>
      <w:pPr>
        <w:pStyle w:val="BodyText"/>
        <w:spacing w:line="276" w:lineRule="auto" w:before="201"/>
        <w:ind w:left="1440" w:right="1526"/>
      </w:pPr>
      <w:r>
        <w:rPr/>
        <w:t>The ultimate aims of the HCH program are improved health outcomes (defined as improved</w:t>
      </w:r>
      <w:r>
        <w:rPr>
          <w:spacing w:val="-53"/>
        </w:rPr>
        <w:t> </w:t>
      </w:r>
      <w:r>
        <w:rPr/>
        <w:t>health-related quality of life, including functional outcomes, and mortality/ life expectancy)</w:t>
      </w:r>
      <w:r>
        <w:rPr>
          <w:spacing w:val="1"/>
        </w:rPr>
        <w:t> </w:t>
      </w:r>
      <w:r>
        <w:rPr/>
        <w:t>and improved experience of primary care for patients enrolled in the program, and better</w:t>
      </w:r>
      <w:r>
        <w:rPr>
          <w:spacing w:val="1"/>
        </w:rPr>
        <w:t> </w:t>
      </w:r>
      <w:r>
        <w:rPr/>
        <w:t>control of health care costs. These align closely with the triple aims of the Institute for</w:t>
      </w:r>
      <w:r>
        <w:rPr>
          <w:spacing w:val="1"/>
        </w:rPr>
        <w:t> </w:t>
      </w:r>
      <w:r>
        <w:rPr/>
        <w:t>Healthcare Improvement (IHI) (</w:t>
      </w:r>
      <w:hyperlink w:history="true" w:anchor="_bookmark139">
        <w:r>
          <w:rPr/>
          <w:t>Stiefel M and K., 2012</w:t>
        </w:r>
      </w:hyperlink>
      <w:r>
        <w:rPr/>
        <w:t>), and the health system goals identified</w:t>
      </w:r>
      <w:r>
        <w:rPr>
          <w:spacing w:val="-53"/>
        </w:rPr>
        <w:t> </w:t>
      </w:r>
      <w:r>
        <w:rPr/>
        <w:t>by the World Health Organization (WHO) in its health systems report framework (</w:t>
      </w:r>
      <w:hyperlink w:history="true" w:anchor="_bookmark128">
        <w:r>
          <w:rPr/>
          <w:t>Murray and</w:t>
        </w:r>
      </w:hyperlink>
      <w:r>
        <w:rPr>
          <w:spacing w:val="1"/>
        </w:rPr>
        <w:t> </w:t>
      </w:r>
      <w:hyperlink w:history="true" w:anchor="_bookmark128">
        <w:r>
          <w:rPr/>
          <w:t>Evans, 2003; </w:t>
        </w:r>
      </w:hyperlink>
      <w:hyperlink w:history="true" w:anchor="_bookmark144">
        <w:r>
          <w:rPr/>
          <w:t>World Health Organization, 2000</w:t>
        </w:r>
      </w:hyperlink>
      <w:r>
        <w:rPr/>
        <w:t>). The HCH trial will focus on patient experience,</w:t>
      </w:r>
      <w:r>
        <w:rPr>
          <w:spacing w:val="-53"/>
        </w:rPr>
        <w:t> </w:t>
      </w:r>
      <w:r>
        <w:rPr/>
        <w:t>which encompasses system responsiveness according to IHI and WHO, and is considered as</w:t>
      </w:r>
      <w:r>
        <w:rPr>
          <w:spacing w:val="1"/>
        </w:rPr>
        <w:t> </w:t>
      </w:r>
      <w:r>
        <w:rPr/>
        <w:t>a</w:t>
      </w:r>
      <w:r>
        <w:rPr>
          <w:spacing w:val="-1"/>
        </w:rPr>
        <w:t> </w:t>
      </w:r>
      <w:r>
        <w:rPr/>
        <w:t>distinct</w:t>
      </w:r>
      <w:r>
        <w:rPr>
          <w:spacing w:val="1"/>
        </w:rPr>
        <w:t> </w:t>
      </w:r>
      <w:r>
        <w:rPr/>
        <w:t>outcome</w:t>
      </w:r>
      <w:r>
        <w:rPr>
          <w:spacing w:val="-1"/>
        </w:rPr>
        <w:t> </w:t>
      </w:r>
      <w:r>
        <w:rPr/>
        <w:t>that</w:t>
      </w:r>
      <w:r>
        <w:rPr>
          <w:spacing w:val="-2"/>
        </w:rPr>
        <w:t> </w:t>
      </w:r>
      <w:r>
        <w:rPr/>
        <w:t>is</w:t>
      </w:r>
      <w:r>
        <w:rPr>
          <w:spacing w:val="-1"/>
        </w:rPr>
        <w:t> </w:t>
      </w:r>
      <w:r>
        <w:rPr/>
        <w:t>valuable</w:t>
      </w:r>
      <w:r>
        <w:rPr>
          <w:spacing w:val="-1"/>
        </w:rPr>
        <w:t> </w:t>
      </w:r>
      <w:r>
        <w:rPr/>
        <w:t>in</w:t>
      </w:r>
      <w:r>
        <w:rPr>
          <w:spacing w:val="-1"/>
        </w:rPr>
        <w:t> </w:t>
      </w:r>
      <w:r>
        <w:rPr/>
        <w:t>and</w:t>
      </w:r>
      <w:r>
        <w:rPr>
          <w:spacing w:val="-1"/>
        </w:rPr>
        <w:t> </w:t>
      </w:r>
      <w:r>
        <w:rPr/>
        <w:t>of</w:t>
      </w:r>
      <w:r>
        <w:rPr>
          <w:spacing w:val="-1"/>
        </w:rPr>
        <w:t> </w:t>
      </w:r>
      <w:r>
        <w:rPr/>
        <w:t>itself.</w:t>
      </w:r>
    </w:p>
    <w:p>
      <w:pPr>
        <w:pStyle w:val="BodyText"/>
        <w:spacing w:line="276" w:lineRule="auto" w:before="201"/>
        <w:ind w:left="1440" w:right="1527"/>
      </w:pPr>
      <w:r>
        <w:rPr/>
        <w:t>Working back from these outcomes is a series of conditions required to achieve them. The</w:t>
      </w:r>
      <w:r>
        <w:rPr>
          <w:spacing w:val="1"/>
        </w:rPr>
        <w:t> </w:t>
      </w:r>
      <w:r>
        <w:rPr/>
        <w:t>first of these relates to delaying the progression of chronic disease, and preventing the onset</w:t>
      </w:r>
      <w:r>
        <w:rPr>
          <w:spacing w:val="-53"/>
        </w:rPr>
        <w:t> </w:t>
      </w:r>
      <w:r>
        <w:rPr/>
        <w:t>of</w:t>
      </w:r>
      <w:r>
        <w:rPr>
          <w:spacing w:val="-2"/>
        </w:rPr>
        <w:t> </w:t>
      </w:r>
      <w:r>
        <w:rPr/>
        <w:t>other health problems.</w:t>
      </w:r>
    </w:p>
    <w:p>
      <w:pPr>
        <w:pStyle w:val="BodyText"/>
        <w:spacing w:line="276" w:lineRule="auto" w:before="200"/>
        <w:ind w:left="1440" w:right="1960"/>
      </w:pPr>
      <w:r>
        <w:rPr/>
        <w:t>The next relates to organised, evidence-based chronic disease management, including</w:t>
      </w:r>
      <w:r>
        <w:rPr>
          <w:spacing w:val="-53"/>
        </w:rPr>
        <w:t> </w:t>
      </w:r>
      <w:r>
        <w:rPr/>
        <w:t>addressing</w:t>
      </w:r>
      <w:r>
        <w:rPr>
          <w:spacing w:val="-2"/>
        </w:rPr>
        <w:t> </w:t>
      </w:r>
      <w:r>
        <w:rPr/>
        <w:t>patient</w:t>
      </w:r>
      <w:r>
        <w:rPr>
          <w:spacing w:val="-1"/>
        </w:rPr>
        <w:t> </w:t>
      </w:r>
      <w:r>
        <w:rPr/>
        <w:t>lifestyle</w:t>
      </w:r>
      <w:r>
        <w:rPr>
          <w:spacing w:val="-2"/>
        </w:rPr>
        <w:t> </w:t>
      </w:r>
      <w:r>
        <w:rPr/>
        <w:t>issues</w:t>
      </w:r>
      <w:r>
        <w:rPr>
          <w:spacing w:val="-1"/>
        </w:rPr>
        <w:t> </w:t>
      </w:r>
      <w:r>
        <w:rPr/>
        <w:t>and</w:t>
      </w:r>
      <w:r>
        <w:rPr>
          <w:spacing w:val="-1"/>
        </w:rPr>
        <w:t> </w:t>
      </w:r>
      <w:r>
        <w:rPr/>
        <w:t>behaviours.</w:t>
      </w:r>
    </w:p>
    <w:p>
      <w:pPr>
        <w:pStyle w:val="BodyText"/>
        <w:spacing w:line="276" w:lineRule="auto" w:before="199"/>
        <w:ind w:left="1440" w:right="1498"/>
      </w:pPr>
      <w:r>
        <w:rPr/>
        <w:t>Following this is the engagement of patients in their care, and the relationships with</w:t>
      </w:r>
      <w:r>
        <w:rPr>
          <w:spacing w:val="1"/>
        </w:rPr>
        <w:t> </w:t>
      </w:r>
      <w:r>
        <w:rPr/>
        <w:t>secondary and tertiary care. A specific feature of the HCH program is the implementation of</w:t>
      </w:r>
      <w:r>
        <w:rPr>
          <w:spacing w:val="-53"/>
        </w:rPr>
        <w:t> </w:t>
      </w:r>
      <w:r>
        <w:rPr/>
        <w:t>better methods for identifying high risk patients and planning care with these patients, and</w:t>
      </w:r>
      <w:r>
        <w:rPr>
          <w:spacing w:val="1"/>
        </w:rPr>
        <w:t> </w:t>
      </w:r>
      <w:r>
        <w:rPr/>
        <w:t>access of patients to medication management via local pharmacists. Improved patient</w:t>
      </w:r>
      <w:r>
        <w:rPr>
          <w:spacing w:val="1"/>
        </w:rPr>
        <w:t> </w:t>
      </w:r>
      <w:r>
        <w:rPr/>
        <w:t>engagement</w:t>
      </w:r>
      <w:r>
        <w:rPr>
          <w:spacing w:val="-1"/>
        </w:rPr>
        <w:t> </w:t>
      </w:r>
      <w:r>
        <w:rPr/>
        <w:t>is</w:t>
      </w:r>
      <w:r>
        <w:rPr>
          <w:spacing w:val="-3"/>
        </w:rPr>
        <w:t> </w:t>
      </w:r>
      <w:r>
        <w:rPr/>
        <w:t>another</w:t>
      </w:r>
      <w:r>
        <w:rPr>
          <w:spacing w:val="-3"/>
        </w:rPr>
        <w:t> </w:t>
      </w:r>
      <w:r>
        <w:rPr/>
        <w:t>intended</w:t>
      </w:r>
      <w:r>
        <w:rPr>
          <w:spacing w:val="-1"/>
        </w:rPr>
        <w:t> </w:t>
      </w:r>
      <w:r>
        <w:rPr/>
        <w:t>result,</w:t>
      </w:r>
      <w:r>
        <w:rPr>
          <w:spacing w:val="-5"/>
        </w:rPr>
        <w:t> </w:t>
      </w:r>
      <w:r>
        <w:rPr/>
        <w:t>along</w:t>
      </w:r>
      <w:r>
        <w:rPr>
          <w:spacing w:val="-2"/>
        </w:rPr>
        <w:t> </w:t>
      </w:r>
      <w:r>
        <w:rPr/>
        <w:t>with</w:t>
      </w:r>
      <w:r>
        <w:rPr>
          <w:spacing w:val="-3"/>
        </w:rPr>
        <w:t> </w:t>
      </w:r>
      <w:r>
        <w:rPr/>
        <w:t>improved</w:t>
      </w:r>
      <w:r>
        <w:rPr>
          <w:spacing w:val="-3"/>
        </w:rPr>
        <w:t> </w:t>
      </w:r>
      <w:r>
        <w:rPr/>
        <w:t>access</w:t>
      </w:r>
      <w:r>
        <w:rPr>
          <w:spacing w:val="-2"/>
        </w:rPr>
        <w:t> </w:t>
      </w:r>
      <w:r>
        <w:rPr/>
        <w:t>and coordination.</w:t>
      </w:r>
    </w:p>
    <w:p>
      <w:pPr>
        <w:pStyle w:val="BodyText"/>
        <w:spacing w:line="276" w:lineRule="auto" w:before="201"/>
        <w:ind w:left="1440" w:right="1759"/>
      </w:pPr>
      <w:r>
        <w:rPr/>
        <w:t>Underpinning these conditions is the capacity of primary care practices and infrastructure</w:t>
      </w:r>
      <w:r>
        <w:rPr>
          <w:spacing w:val="-53"/>
        </w:rPr>
        <w:t> </w:t>
      </w:r>
      <w:r>
        <w:rPr/>
        <w:t>available</w:t>
      </w:r>
      <w:r>
        <w:rPr>
          <w:spacing w:val="-4"/>
        </w:rPr>
        <w:t> </w:t>
      </w:r>
      <w:r>
        <w:rPr/>
        <w:t>to</w:t>
      </w:r>
      <w:r>
        <w:rPr>
          <w:spacing w:val="-1"/>
        </w:rPr>
        <w:t> </w:t>
      </w:r>
      <w:r>
        <w:rPr/>
        <w:t>support</w:t>
      </w:r>
      <w:r>
        <w:rPr>
          <w:spacing w:val="1"/>
        </w:rPr>
        <w:t> </w:t>
      </w:r>
      <w:r>
        <w:rPr/>
        <w:t>practices.</w:t>
      </w:r>
    </w:p>
    <w:p>
      <w:pPr>
        <w:pStyle w:val="BodyText"/>
        <w:spacing w:line="276" w:lineRule="auto" w:before="200"/>
        <w:ind w:left="1440" w:right="1520"/>
      </w:pPr>
      <w:r>
        <w:rPr/>
        <w:t>To</w:t>
      </w:r>
      <w:r>
        <w:rPr>
          <w:spacing w:val="-4"/>
        </w:rPr>
        <w:t> </w:t>
      </w:r>
      <w:r>
        <w:rPr/>
        <w:t>bring</w:t>
      </w:r>
      <w:r>
        <w:rPr>
          <w:spacing w:val="-3"/>
        </w:rPr>
        <w:t> </w:t>
      </w:r>
      <w:r>
        <w:rPr/>
        <w:t>about</w:t>
      </w:r>
      <w:r>
        <w:rPr>
          <w:spacing w:val="-2"/>
        </w:rPr>
        <w:t> </w:t>
      </w:r>
      <w:r>
        <w:rPr/>
        <w:t>the</w:t>
      </w:r>
      <w:r>
        <w:rPr>
          <w:spacing w:val="-3"/>
        </w:rPr>
        <w:t> </w:t>
      </w:r>
      <w:r>
        <w:rPr/>
        <w:t>conditions required</w:t>
      </w:r>
      <w:r>
        <w:rPr>
          <w:spacing w:val="-3"/>
        </w:rPr>
        <w:t> </w:t>
      </w:r>
      <w:r>
        <w:rPr/>
        <w:t>to</w:t>
      </w:r>
      <w:r>
        <w:rPr>
          <w:spacing w:val="-3"/>
        </w:rPr>
        <w:t> </w:t>
      </w:r>
      <w:r>
        <w:rPr/>
        <w:t>achieve</w:t>
      </w:r>
      <w:r>
        <w:rPr>
          <w:spacing w:val="-3"/>
        </w:rPr>
        <w:t> </w:t>
      </w:r>
      <w:r>
        <w:rPr/>
        <w:t>the</w:t>
      </w:r>
      <w:r>
        <w:rPr>
          <w:spacing w:val="-4"/>
        </w:rPr>
        <w:t> </w:t>
      </w:r>
      <w:r>
        <w:rPr/>
        <w:t>desired</w:t>
      </w:r>
      <w:r>
        <w:rPr>
          <w:spacing w:val="-3"/>
        </w:rPr>
        <w:t> </w:t>
      </w:r>
      <w:r>
        <w:rPr/>
        <w:t>outcomes,</w:t>
      </w:r>
      <w:r>
        <w:rPr>
          <w:spacing w:val="-5"/>
        </w:rPr>
        <w:t> </w:t>
      </w:r>
      <w:r>
        <w:rPr/>
        <w:t>the</w:t>
      </w:r>
      <w:r>
        <w:rPr>
          <w:spacing w:val="-4"/>
        </w:rPr>
        <w:t> </w:t>
      </w:r>
      <w:r>
        <w:rPr/>
        <w:t>HCH</w:t>
      </w:r>
      <w:r>
        <w:rPr>
          <w:spacing w:val="-2"/>
        </w:rPr>
        <w:t> </w:t>
      </w:r>
      <w:r>
        <w:rPr/>
        <w:t>program</w:t>
      </w:r>
      <w:r>
        <w:rPr>
          <w:spacing w:val="-52"/>
        </w:rPr>
        <w:t> </w:t>
      </w:r>
      <w:r>
        <w:rPr/>
        <w:t>entails: infrastructure to support risk stratification, a bundled payment system to support</w:t>
      </w:r>
      <w:r>
        <w:rPr>
          <w:spacing w:val="1"/>
        </w:rPr>
        <w:t> </w:t>
      </w:r>
      <w:r>
        <w:rPr/>
        <w:t>greater flexibility in the delivery of chronic care, training focussed on increasing the</w:t>
      </w:r>
      <w:r>
        <w:rPr>
          <w:spacing w:val="1"/>
        </w:rPr>
        <w:t> </w:t>
      </w:r>
      <w:r>
        <w:rPr/>
        <w:t>capability of primary care staff in implementing HCH, and support from PHNs in these</w:t>
      </w:r>
      <w:r>
        <w:rPr>
          <w:spacing w:val="1"/>
        </w:rPr>
        <w:t> </w:t>
      </w:r>
      <w:r>
        <w:rPr/>
        <w:t>processes.</w:t>
      </w:r>
    </w:p>
    <w:p>
      <w:pPr>
        <w:spacing w:after="0" w:line="276" w:lineRule="auto"/>
        <w:sectPr>
          <w:pgSz w:w="11910" w:h="16840"/>
          <w:pgMar w:header="0" w:footer="675" w:top="0" w:bottom="860" w:left="0" w:right="0"/>
        </w:sectPr>
      </w:pPr>
    </w:p>
    <w:p>
      <w:pPr>
        <w:pStyle w:val="BodyText"/>
        <w:spacing w:before="12"/>
        <w:rPr>
          <w:sz w:val="18"/>
        </w:rPr>
      </w:pPr>
      <w:r>
        <w:rPr/>
        <w:pict>
          <v:rect style="position:absolute;margin-left:70.559998pt;margin-top:547.536011pt;width:700.92pt;height:.47998pt;mso-position-horizontal-relative:page;mso-position-vertical-relative:page;z-index:15730688" id="docshape22" filled="true" fillcolor="#d9d9d9" stroked="false">
            <v:fill type="solid"/>
            <w10:wrap type="none"/>
          </v:rect>
        </w:pict>
      </w:r>
    </w:p>
    <w:p>
      <w:pPr>
        <w:spacing w:before="100"/>
        <w:ind w:left="4815" w:right="4794" w:firstLine="0"/>
        <w:jc w:val="center"/>
        <w:rPr>
          <w:b/>
          <w:sz w:val="18"/>
        </w:rPr>
      </w:pPr>
      <w:bookmarkStart w:name="_bookmark13" w:id="14"/>
      <w:bookmarkEnd w:id="14"/>
      <w:r>
        <w:rPr/>
      </w:r>
      <w:r>
        <w:rPr>
          <w:b/>
          <w:sz w:val="18"/>
        </w:rPr>
        <w:t>Figure</w:t>
      </w:r>
      <w:r>
        <w:rPr>
          <w:b/>
          <w:spacing w:val="-3"/>
          <w:sz w:val="18"/>
        </w:rPr>
        <w:t> </w:t>
      </w:r>
      <w:r>
        <w:rPr>
          <w:b/>
          <w:sz w:val="18"/>
        </w:rPr>
        <w:t>1-</w:t>
      </w:r>
      <w:r>
        <w:rPr>
          <w:b/>
          <w:spacing w:val="-3"/>
          <w:sz w:val="18"/>
        </w:rPr>
        <w:t> </w:t>
      </w:r>
      <w:r>
        <w:rPr>
          <w:b/>
          <w:sz w:val="18"/>
        </w:rPr>
        <w:t>Theory</w:t>
      </w:r>
      <w:r>
        <w:rPr>
          <w:b/>
          <w:spacing w:val="-2"/>
          <w:sz w:val="18"/>
        </w:rPr>
        <w:t> </w:t>
      </w:r>
      <w:r>
        <w:rPr>
          <w:b/>
          <w:sz w:val="18"/>
        </w:rPr>
        <w:t>of</w:t>
      </w:r>
      <w:r>
        <w:rPr>
          <w:b/>
          <w:spacing w:val="-3"/>
          <w:sz w:val="18"/>
        </w:rPr>
        <w:t> </w:t>
      </w:r>
      <w:r>
        <w:rPr>
          <w:b/>
          <w:sz w:val="18"/>
        </w:rPr>
        <w:t>change</w:t>
      </w:r>
      <w:r>
        <w:rPr>
          <w:b/>
          <w:spacing w:val="-4"/>
          <w:sz w:val="18"/>
        </w:rPr>
        <w:t> </w:t>
      </w:r>
      <w:r>
        <w:rPr>
          <w:b/>
          <w:sz w:val="18"/>
        </w:rPr>
        <w:t>model</w:t>
      </w:r>
    </w:p>
    <w:p>
      <w:pPr>
        <w:pStyle w:val="BodyText"/>
        <w:spacing w:before="5"/>
        <w:rPr>
          <w:b/>
          <w:sz w:val="5"/>
        </w:rPr>
      </w:pPr>
      <w:r>
        <w:rPr/>
        <w:drawing>
          <wp:anchor distT="0" distB="0" distL="0" distR="0" allowOverlap="1" layoutInCell="1" locked="0" behindDoc="0" simplePos="0" relativeHeight="3">
            <wp:simplePos x="0" y="0"/>
            <wp:positionH relativeFrom="page">
              <wp:posOffset>1422019</wp:posOffset>
            </wp:positionH>
            <wp:positionV relativeFrom="paragraph">
              <wp:posOffset>57412</wp:posOffset>
            </wp:positionV>
            <wp:extent cx="7737185" cy="5452681"/>
            <wp:effectExtent l="0" t="0" r="0" b="0"/>
            <wp:wrapTopAndBottom/>
            <wp:docPr id="3" name="image3.jpeg"/>
            <wp:cNvGraphicFramePr>
              <a:graphicFrameLocks noChangeAspect="1"/>
            </wp:cNvGraphicFramePr>
            <a:graphic>
              <a:graphicData uri="http://schemas.openxmlformats.org/drawingml/2006/picture">
                <pic:pic>
                  <pic:nvPicPr>
                    <pic:cNvPr id="4" name="image3.jpeg"/>
                    <pic:cNvPicPr/>
                  </pic:nvPicPr>
                  <pic:blipFill>
                    <a:blip r:embed="rId10" cstate="print"/>
                    <a:stretch>
                      <a:fillRect/>
                    </a:stretch>
                  </pic:blipFill>
                  <pic:spPr>
                    <a:xfrm>
                      <a:off x="0" y="0"/>
                      <a:ext cx="7737185" cy="5452681"/>
                    </a:xfrm>
                    <a:prstGeom prst="rect">
                      <a:avLst/>
                    </a:prstGeom>
                  </pic:spPr>
                </pic:pic>
              </a:graphicData>
            </a:graphic>
          </wp:anchor>
        </w:drawing>
      </w:r>
    </w:p>
    <w:p>
      <w:pPr>
        <w:spacing w:after="0"/>
        <w:rPr>
          <w:sz w:val="5"/>
        </w:rPr>
        <w:sectPr>
          <w:footerReference w:type="default" r:id="rId9"/>
          <w:pgSz w:w="16840" w:h="11910" w:orient="landscape"/>
          <w:pgMar w:footer="728" w:header="0" w:top="1100" w:bottom="920" w:left="2120" w:right="2140"/>
        </w:sectPr>
      </w:pPr>
    </w:p>
    <w:p>
      <w:pPr>
        <w:pStyle w:val="Heading2"/>
        <w:spacing w:before="81"/>
        <w:ind w:left="140"/>
      </w:pPr>
      <w:bookmarkStart w:name="_bookmark14" w:id="15"/>
      <w:bookmarkEnd w:id="15"/>
      <w:r>
        <w:rPr/>
      </w:r>
      <w:r>
        <w:rPr>
          <w:color w:val="003C79"/>
        </w:rPr>
        <w:t>Program</w:t>
      </w:r>
      <w:r>
        <w:rPr>
          <w:color w:val="003C79"/>
          <w:spacing w:val="-7"/>
        </w:rPr>
        <w:t> </w:t>
      </w:r>
      <w:r>
        <w:rPr>
          <w:color w:val="003C79"/>
        </w:rPr>
        <w:t>logic</w:t>
      </w:r>
    </w:p>
    <w:p>
      <w:pPr>
        <w:pStyle w:val="BodyText"/>
        <w:spacing w:line="276" w:lineRule="auto" w:before="259"/>
        <w:ind w:left="140" w:right="149"/>
      </w:pPr>
      <w:r>
        <w:rPr/>
        <w:t>Logic</w:t>
      </w:r>
      <w:r>
        <w:rPr>
          <w:spacing w:val="2"/>
        </w:rPr>
        <w:t> </w:t>
      </w:r>
      <w:r>
        <w:rPr/>
        <w:t>models</w:t>
      </w:r>
      <w:r>
        <w:rPr>
          <w:spacing w:val="1"/>
        </w:rPr>
        <w:t> </w:t>
      </w:r>
      <w:r>
        <w:rPr/>
        <w:t>graphically</w:t>
      </w:r>
      <w:r>
        <w:rPr>
          <w:spacing w:val="1"/>
        </w:rPr>
        <w:t> </w:t>
      </w:r>
      <w:r>
        <w:rPr/>
        <w:t>illustrate</w:t>
      </w:r>
      <w:r>
        <w:rPr>
          <w:spacing w:val="2"/>
        </w:rPr>
        <w:t> </w:t>
      </w:r>
      <w:r>
        <w:rPr/>
        <w:t>program</w:t>
      </w:r>
      <w:r>
        <w:rPr>
          <w:spacing w:val="1"/>
        </w:rPr>
        <w:t> </w:t>
      </w:r>
      <w:r>
        <w:rPr/>
        <w:t>components,</w:t>
      </w:r>
      <w:r>
        <w:rPr>
          <w:spacing w:val="-1"/>
        </w:rPr>
        <w:t> </w:t>
      </w:r>
      <w:r>
        <w:rPr/>
        <w:t>clearly identifying</w:t>
      </w:r>
      <w:r>
        <w:rPr>
          <w:spacing w:val="3"/>
        </w:rPr>
        <w:t> </w:t>
      </w:r>
      <w:r>
        <w:rPr/>
        <w:t>the</w:t>
      </w:r>
      <w:r>
        <w:rPr>
          <w:spacing w:val="3"/>
        </w:rPr>
        <w:t> </w:t>
      </w:r>
      <w:r>
        <w:rPr/>
        <w:t>resources</w:t>
      </w:r>
      <w:r>
        <w:rPr>
          <w:spacing w:val="1"/>
        </w:rPr>
        <w:t> </w:t>
      </w:r>
      <w:r>
        <w:rPr/>
        <w:t>that go into the program (i.e. ‘inputs’), the activities carried out as part of the program, the</w:t>
      </w:r>
      <w:r>
        <w:rPr>
          <w:spacing w:val="1"/>
        </w:rPr>
        <w:t> </w:t>
      </w:r>
      <w:r>
        <w:rPr/>
        <w:t>outputs that are expected to be produced by undertaking the activities, and the changes or</w:t>
      </w:r>
      <w:r>
        <w:rPr>
          <w:spacing w:val="-53"/>
        </w:rPr>
        <w:t> </w:t>
      </w:r>
      <w:r>
        <w:rPr/>
        <w:t>benefits that are expected from the program (outcomes). Outcomes can be categorised</w:t>
      </w:r>
      <w:r>
        <w:rPr>
          <w:spacing w:val="1"/>
        </w:rPr>
        <w:t> </w:t>
      </w:r>
      <w:r>
        <w:rPr/>
        <w:t>into</w:t>
      </w:r>
      <w:r>
        <w:rPr>
          <w:spacing w:val="-2"/>
        </w:rPr>
        <w:t> </w:t>
      </w:r>
      <w:r>
        <w:rPr/>
        <w:t>short,</w:t>
      </w:r>
      <w:r>
        <w:rPr>
          <w:spacing w:val="-3"/>
        </w:rPr>
        <w:t> </w:t>
      </w:r>
      <w:r>
        <w:rPr/>
        <w:t>medium</w:t>
      </w:r>
      <w:r>
        <w:rPr>
          <w:spacing w:val="-1"/>
        </w:rPr>
        <w:t> </w:t>
      </w:r>
      <w:r>
        <w:rPr/>
        <w:t>and</w:t>
      </w:r>
      <w:r>
        <w:rPr>
          <w:spacing w:val="-1"/>
        </w:rPr>
        <w:t> </w:t>
      </w:r>
      <w:r>
        <w:rPr/>
        <w:t>long</w:t>
      </w:r>
      <w:r>
        <w:rPr>
          <w:spacing w:val="-1"/>
        </w:rPr>
        <w:t> </w:t>
      </w:r>
      <w:r>
        <w:rPr/>
        <w:t>term.</w:t>
      </w:r>
    </w:p>
    <w:p>
      <w:pPr>
        <w:pStyle w:val="BodyText"/>
        <w:spacing w:line="276" w:lineRule="auto" w:before="201"/>
        <w:ind w:left="140" w:right="926"/>
      </w:pPr>
      <w:r>
        <w:rPr/>
        <w:t>An important use of the model is that it provides an overview of the features of the</w:t>
      </w:r>
      <w:r>
        <w:rPr>
          <w:spacing w:val="1"/>
        </w:rPr>
        <w:t> </w:t>
      </w:r>
      <w:r>
        <w:rPr/>
        <w:t>intervention (the HCH program) that should be described and examined through the</w:t>
      </w:r>
      <w:r>
        <w:rPr>
          <w:spacing w:val="-54"/>
        </w:rPr>
        <w:t> </w:t>
      </w:r>
      <w:r>
        <w:rPr/>
        <w:t>evaluation.</w:t>
      </w:r>
    </w:p>
    <w:p>
      <w:pPr>
        <w:pStyle w:val="BodyText"/>
        <w:spacing w:line="276" w:lineRule="auto" w:before="201"/>
        <w:ind w:left="140" w:right="649"/>
      </w:pPr>
      <w:hyperlink w:history="true" w:anchor="_bookmark15">
        <w:r>
          <w:rPr/>
          <w:t>Figure 2 </w:t>
        </w:r>
      </w:hyperlink>
      <w:r>
        <w:rPr/>
        <w:t>sets out a logic model for the HCH evaluation. To assist the interpretability of the</w:t>
      </w:r>
      <w:r>
        <w:rPr>
          <w:spacing w:val="-53"/>
        </w:rPr>
        <w:t> </w:t>
      </w:r>
      <w:r>
        <w:rPr/>
        <w:t>program</w:t>
      </w:r>
      <w:r>
        <w:rPr>
          <w:spacing w:val="-2"/>
        </w:rPr>
        <w:t> </w:t>
      </w:r>
      <w:r>
        <w:rPr/>
        <w:t>logic model,</w:t>
      </w:r>
      <w:r>
        <w:rPr>
          <w:spacing w:val="-3"/>
        </w:rPr>
        <w:t> </w:t>
      </w:r>
      <w:r>
        <w:rPr/>
        <w:t>the</w:t>
      </w:r>
      <w:r>
        <w:rPr>
          <w:spacing w:val="-2"/>
        </w:rPr>
        <w:t> </w:t>
      </w:r>
      <w:r>
        <w:rPr/>
        <w:t>model is</w:t>
      </w:r>
      <w:r>
        <w:rPr>
          <w:spacing w:val="-1"/>
        </w:rPr>
        <w:t> </w:t>
      </w:r>
      <w:r>
        <w:rPr/>
        <w:t>presented</w:t>
      </w:r>
      <w:r>
        <w:rPr>
          <w:spacing w:val="-2"/>
        </w:rPr>
        <w:t> </w:t>
      </w:r>
      <w:r>
        <w:rPr/>
        <w:t>at</w:t>
      </w:r>
      <w:r>
        <w:rPr>
          <w:spacing w:val="1"/>
        </w:rPr>
        <w:t> </w:t>
      </w:r>
      <w:r>
        <w:rPr/>
        <w:t>four</w:t>
      </w:r>
      <w:r>
        <w:rPr>
          <w:spacing w:val="-1"/>
        </w:rPr>
        <w:t> </w:t>
      </w:r>
      <w:r>
        <w:rPr/>
        <w:t>levels:</w:t>
      </w:r>
    </w:p>
    <w:p>
      <w:pPr>
        <w:pStyle w:val="ListParagraph"/>
        <w:numPr>
          <w:ilvl w:val="0"/>
          <w:numId w:val="8"/>
        </w:numPr>
        <w:tabs>
          <w:tab w:pos="853" w:val="left" w:leader="none"/>
          <w:tab w:pos="854" w:val="left" w:leader="none"/>
        </w:tabs>
        <w:spacing w:line="276" w:lineRule="auto" w:before="199" w:after="0"/>
        <w:ind w:left="853" w:right="652" w:hanging="356"/>
        <w:jc w:val="left"/>
        <w:rPr>
          <w:sz w:val="20"/>
        </w:rPr>
      </w:pPr>
      <w:r>
        <w:rPr>
          <w:sz w:val="20"/>
        </w:rPr>
        <w:t>The</w:t>
      </w:r>
      <w:r>
        <w:rPr>
          <w:spacing w:val="-4"/>
          <w:sz w:val="20"/>
        </w:rPr>
        <w:t> </w:t>
      </w:r>
      <w:r>
        <w:rPr>
          <w:sz w:val="20"/>
        </w:rPr>
        <w:t>program</w:t>
      </w:r>
      <w:r>
        <w:rPr>
          <w:spacing w:val="-4"/>
          <w:sz w:val="20"/>
        </w:rPr>
        <w:t> </w:t>
      </w:r>
      <w:r>
        <w:rPr>
          <w:sz w:val="20"/>
        </w:rPr>
        <w:t>level,</w:t>
      </w:r>
      <w:r>
        <w:rPr>
          <w:spacing w:val="-5"/>
          <w:sz w:val="20"/>
        </w:rPr>
        <w:t> </w:t>
      </w:r>
      <w:r>
        <w:rPr>
          <w:sz w:val="20"/>
        </w:rPr>
        <w:t>which</w:t>
      </w:r>
      <w:r>
        <w:rPr>
          <w:spacing w:val="-3"/>
          <w:sz w:val="20"/>
        </w:rPr>
        <w:t> </w:t>
      </w:r>
      <w:r>
        <w:rPr>
          <w:sz w:val="20"/>
        </w:rPr>
        <w:t>is</w:t>
      </w:r>
      <w:r>
        <w:rPr>
          <w:spacing w:val="-4"/>
          <w:sz w:val="20"/>
        </w:rPr>
        <w:t> </w:t>
      </w:r>
      <w:r>
        <w:rPr>
          <w:sz w:val="20"/>
        </w:rPr>
        <w:t>principally</w:t>
      </w:r>
      <w:r>
        <w:rPr>
          <w:spacing w:val="-5"/>
          <w:sz w:val="20"/>
        </w:rPr>
        <w:t> </w:t>
      </w:r>
      <w:r>
        <w:rPr>
          <w:sz w:val="20"/>
        </w:rPr>
        <w:t>concerned with</w:t>
      </w:r>
      <w:r>
        <w:rPr>
          <w:spacing w:val="-5"/>
          <w:sz w:val="20"/>
        </w:rPr>
        <w:t> </w:t>
      </w:r>
      <w:r>
        <w:rPr>
          <w:sz w:val="20"/>
        </w:rPr>
        <w:t>the</w:t>
      </w:r>
      <w:r>
        <w:rPr>
          <w:spacing w:val="-4"/>
          <w:sz w:val="20"/>
        </w:rPr>
        <w:t> </w:t>
      </w:r>
      <w:r>
        <w:rPr>
          <w:sz w:val="20"/>
        </w:rPr>
        <w:t>activities,</w:t>
      </w:r>
      <w:r>
        <w:rPr>
          <w:spacing w:val="-5"/>
          <w:sz w:val="20"/>
        </w:rPr>
        <w:t> </w:t>
      </w:r>
      <w:r>
        <w:rPr>
          <w:sz w:val="20"/>
        </w:rPr>
        <w:t>outputs</w:t>
      </w:r>
      <w:r>
        <w:rPr>
          <w:spacing w:val="-4"/>
          <w:sz w:val="20"/>
        </w:rPr>
        <w:t> </w:t>
      </w:r>
      <w:r>
        <w:rPr>
          <w:sz w:val="20"/>
        </w:rPr>
        <w:t>and</w:t>
      </w:r>
      <w:r>
        <w:rPr>
          <w:spacing w:val="-52"/>
          <w:sz w:val="20"/>
        </w:rPr>
        <w:t> </w:t>
      </w:r>
      <w:r>
        <w:rPr>
          <w:sz w:val="20"/>
        </w:rPr>
        <w:t>outcomes</w:t>
      </w:r>
      <w:r>
        <w:rPr>
          <w:spacing w:val="-2"/>
          <w:sz w:val="20"/>
        </w:rPr>
        <w:t> </w:t>
      </w:r>
      <w:r>
        <w:rPr>
          <w:sz w:val="20"/>
        </w:rPr>
        <w:t>at</w:t>
      </w:r>
      <w:r>
        <w:rPr>
          <w:spacing w:val="1"/>
          <w:sz w:val="20"/>
        </w:rPr>
        <w:t> </w:t>
      </w:r>
      <w:r>
        <w:rPr>
          <w:sz w:val="20"/>
        </w:rPr>
        <w:t>the</w:t>
      </w:r>
      <w:r>
        <w:rPr>
          <w:spacing w:val="-1"/>
          <w:sz w:val="20"/>
        </w:rPr>
        <w:t> </w:t>
      </w:r>
      <w:r>
        <w:rPr>
          <w:sz w:val="20"/>
        </w:rPr>
        <w:t>national level.</w:t>
      </w:r>
    </w:p>
    <w:p>
      <w:pPr>
        <w:pStyle w:val="ListParagraph"/>
        <w:numPr>
          <w:ilvl w:val="0"/>
          <w:numId w:val="8"/>
        </w:numPr>
        <w:tabs>
          <w:tab w:pos="853" w:val="left" w:leader="none"/>
          <w:tab w:pos="854" w:val="left" w:leader="none"/>
        </w:tabs>
        <w:spacing w:line="276" w:lineRule="auto" w:before="201" w:after="0"/>
        <w:ind w:left="853" w:right="179" w:hanging="356"/>
        <w:jc w:val="left"/>
        <w:rPr>
          <w:sz w:val="20"/>
        </w:rPr>
      </w:pPr>
      <w:r>
        <w:rPr>
          <w:sz w:val="20"/>
        </w:rPr>
        <w:t>The PHN/regional level, which focusses on the context of the program within each</w:t>
      </w:r>
      <w:r>
        <w:rPr>
          <w:spacing w:val="1"/>
          <w:sz w:val="20"/>
        </w:rPr>
        <w:t> </w:t>
      </w:r>
      <w:r>
        <w:rPr>
          <w:sz w:val="20"/>
        </w:rPr>
        <w:t>PHN and region, and considers the issues and outcomes of the program at that level.</w:t>
      </w:r>
      <w:r>
        <w:rPr>
          <w:spacing w:val="-53"/>
          <w:sz w:val="20"/>
        </w:rPr>
        <w:t> </w:t>
      </w:r>
      <w:r>
        <w:rPr>
          <w:sz w:val="20"/>
        </w:rPr>
        <w:t>At this level, state/territory and Local Hospital Network (LHN) initiatives are also</w:t>
      </w:r>
      <w:r>
        <w:rPr>
          <w:spacing w:val="1"/>
          <w:sz w:val="20"/>
        </w:rPr>
        <w:t> </w:t>
      </w:r>
      <w:r>
        <w:rPr>
          <w:sz w:val="20"/>
        </w:rPr>
        <w:t>important, such as how the practices have leveraged or integrated these initiatives in</w:t>
      </w:r>
      <w:r>
        <w:rPr>
          <w:spacing w:val="-53"/>
          <w:sz w:val="20"/>
        </w:rPr>
        <w:t> </w:t>
      </w:r>
      <w:r>
        <w:rPr>
          <w:sz w:val="20"/>
        </w:rPr>
        <w:t>their</w:t>
      </w:r>
      <w:r>
        <w:rPr>
          <w:spacing w:val="-2"/>
          <w:sz w:val="20"/>
        </w:rPr>
        <w:t> </w:t>
      </w:r>
      <w:r>
        <w:rPr>
          <w:sz w:val="20"/>
        </w:rPr>
        <w:t>implementation of</w:t>
      </w:r>
      <w:r>
        <w:rPr>
          <w:spacing w:val="-1"/>
          <w:sz w:val="20"/>
        </w:rPr>
        <w:t> </w:t>
      </w:r>
      <w:r>
        <w:rPr>
          <w:sz w:val="20"/>
        </w:rPr>
        <w:t>HCH.</w:t>
      </w:r>
    </w:p>
    <w:p>
      <w:pPr>
        <w:pStyle w:val="ListParagraph"/>
        <w:numPr>
          <w:ilvl w:val="0"/>
          <w:numId w:val="8"/>
        </w:numPr>
        <w:tabs>
          <w:tab w:pos="853" w:val="left" w:leader="none"/>
          <w:tab w:pos="854" w:val="left" w:leader="none"/>
        </w:tabs>
        <w:spacing w:line="276" w:lineRule="auto" w:before="198" w:after="0"/>
        <w:ind w:left="853" w:right="177" w:hanging="356"/>
        <w:jc w:val="left"/>
        <w:rPr>
          <w:sz w:val="20"/>
        </w:rPr>
      </w:pPr>
      <w:r>
        <w:rPr>
          <w:sz w:val="20"/>
        </w:rPr>
        <w:t>The practice level is focussed on how practices have responded to the opportunities</w:t>
      </w:r>
      <w:r>
        <w:rPr>
          <w:spacing w:val="1"/>
          <w:sz w:val="20"/>
        </w:rPr>
        <w:t> </w:t>
      </w:r>
      <w:r>
        <w:rPr>
          <w:sz w:val="20"/>
        </w:rPr>
        <w:t>available through the HCH program, the changes implemented within practices, and</w:t>
      </w:r>
      <w:r>
        <w:rPr>
          <w:spacing w:val="-53"/>
          <w:sz w:val="20"/>
        </w:rPr>
        <w:t> </w:t>
      </w:r>
      <w:r>
        <w:rPr>
          <w:sz w:val="20"/>
        </w:rPr>
        <w:t>how these have contributed to improved approaches to chronic disease</w:t>
      </w:r>
      <w:r>
        <w:rPr>
          <w:spacing w:val="1"/>
          <w:sz w:val="20"/>
        </w:rPr>
        <w:t> </w:t>
      </w:r>
      <w:r>
        <w:rPr>
          <w:sz w:val="20"/>
        </w:rPr>
        <w:t>management. This level also includes the community pharmacies delivering the</w:t>
      </w:r>
      <w:r>
        <w:rPr>
          <w:spacing w:val="1"/>
          <w:sz w:val="20"/>
        </w:rPr>
        <w:t> </w:t>
      </w:r>
      <w:r>
        <w:rPr>
          <w:sz w:val="20"/>
        </w:rPr>
        <w:t>medication</w:t>
      </w:r>
      <w:r>
        <w:rPr>
          <w:spacing w:val="-2"/>
          <w:sz w:val="20"/>
        </w:rPr>
        <w:t> </w:t>
      </w:r>
      <w:r>
        <w:rPr>
          <w:sz w:val="20"/>
        </w:rPr>
        <w:t>management services</w:t>
      </w:r>
      <w:r>
        <w:rPr>
          <w:spacing w:val="2"/>
          <w:sz w:val="20"/>
        </w:rPr>
        <w:t> </w:t>
      </w:r>
      <w:r>
        <w:rPr>
          <w:sz w:val="20"/>
        </w:rPr>
        <w:t>to</w:t>
      </w:r>
      <w:r>
        <w:rPr>
          <w:spacing w:val="-2"/>
          <w:sz w:val="20"/>
        </w:rPr>
        <w:t> </w:t>
      </w:r>
      <w:r>
        <w:rPr>
          <w:sz w:val="20"/>
        </w:rPr>
        <w:t>patients</w:t>
      </w:r>
      <w:r>
        <w:rPr>
          <w:spacing w:val="-2"/>
          <w:sz w:val="20"/>
        </w:rPr>
        <w:t> </w:t>
      </w:r>
      <w:r>
        <w:rPr>
          <w:sz w:val="20"/>
        </w:rPr>
        <w:t>referred</w:t>
      </w:r>
      <w:r>
        <w:rPr>
          <w:spacing w:val="-2"/>
          <w:sz w:val="20"/>
        </w:rPr>
        <w:t> </w:t>
      </w:r>
      <w:r>
        <w:rPr>
          <w:sz w:val="20"/>
        </w:rPr>
        <w:t>by</w:t>
      </w:r>
      <w:r>
        <w:rPr>
          <w:spacing w:val="-3"/>
          <w:sz w:val="20"/>
        </w:rPr>
        <w:t> </w:t>
      </w:r>
      <w:r>
        <w:rPr>
          <w:sz w:val="20"/>
        </w:rPr>
        <w:t>the</w:t>
      </w:r>
      <w:r>
        <w:rPr>
          <w:spacing w:val="-2"/>
          <w:sz w:val="20"/>
        </w:rPr>
        <w:t> </w:t>
      </w:r>
      <w:r>
        <w:rPr>
          <w:sz w:val="20"/>
        </w:rPr>
        <w:t>HCH</w:t>
      </w:r>
      <w:r>
        <w:rPr>
          <w:spacing w:val="-2"/>
          <w:sz w:val="20"/>
        </w:rPr>
        <w:t> </w:t>
      </w:r>
      <w:r>
        <w:rPr>
          <w:sz w:val="20"/>
        </w:rPr>
        <w:t>practices.</w:t>
      </w:r>
    </w:p>
    <w:p>
      <w:pPr>
        <w:pStyle w:val="ListParagraph"/>
        <w:numPr>
          <w:ilvl w:val="0"/>
          <w:numId w:val="8"/>
        </w:numPr>
        <w:tabs>
          <w:tab w:pos="853" w:val="left" w:leader="none"/>
          <w:tab w:pos="854" w:val="left" w:leader="none"/>
        </w:tabs>
        <w:spacing w:line="276" w:lineRule="auto" w:before="201" w:after="0"/>
        <w:ind w:left="853" w:right="467" w:hanging="356"/>
        <w:jc w:val="left"/>
        <w:rPr>
          <w:sz w:val="20"/>
        </w:rPr>
      </w:pPr>
      <w:r>
        <w:rPr>
          <w:sz w:val="20"/>
        </w:rPr>
        <w:t>The patient level considers the impact of the program for patients and their carers</w:t>
      </w:r>
      <w:r>
        <w:rPr>
          <w:spacing w:val="1"/>
          <w:sz w:val="20"/>
        </w:rPr>
        <w:t> </w:t>
      </w:r>
      <w:r>
        <w:rPr>
          <w:sz w:val="20"/>
        </w:rPr>
        <w:t>and families, including the extent to which the program has resulted in a better</w:t>
      </w:r>
      <w:r>
        <w:rPr>
          <w:spacing w:val="1"/>
          <w:sz w:val="20"/>
        </w:rPr>
        <w:t> </w:t>
      </w:r>
      <w:r>
        <w:rPr>
          <w:sz w:val="20"/>
        </w:rPr>
        <w:t>experience of primary care, greater engagement, reduced number/ severity of</w:t>
      </w:r>
      <w:r>
        <w:rPr>
          <w:spacing w:val="1"/>
          <w:sz w:val="20"/>
        </w:rPr>
        <w:t> </w:t>
      </w:r>
      <w:r>
        <w:rPr>
          <w:sz w:val="20"/>
        </w:rPr>
        <w:t>medication issues and adverse events, improved outcomes, reduced unnecessary</w:t>
      </w:r>
      <w:r>
        <w:rPr>
          <w:spacing w:val="-53"/>
          <w:sz w:val="20"/>
        </w:rPr>
        <w:t> </w:t>
      </w:r>
      <w:r>
        <w:rPr>
          <w:sz w:val="20"/>
        </w:rPr>
        <w:t>presentations to emergency departments and hospitalisations, and delayed entry</w:t>
      </w:r>
      <w:r>
        <w:rPr>
          <w:spacing w:val="1"/>
          <w:sz w:val="20"/>
        </w:rPr>
        <w:t> </w:t>
      </w:r>
      <w:r>
        <w:rPr>
          <w:sz w:val="20"/>
        </w:rPr>
        <w:t>into</w:t>
      </w:r>
      <w:r>
        <w:rPr>
          <w:spacing w:val="-2"/>
          <w:sz w:val="20"/>
        </w:rPr>
        <w:t> </w:t>
      </w:r>
      <w:r>
        <w:rPr>
          <w:sz w:val="20"/>
        </w:rPr>
        <w:t>residential care.</w:t>
      </w:r>
    </w:p>
    <w:p>
      <w:pPr>
        <w:pStyle w:val="BodyText"/>
        <w:spacing w:line="276" w:lineRule="auto" w:before="202"/>
        <w:ind w:left="140" w:right="406"/>
      </w:pPr>
      <w:r>
        <w:rPr/>
        <w:t>For each level of the model, elements have been identified related to inputs, activities,</w:t>
      </w:r>
      <w:r>
        <w:rPr>
          <w:spacing w:val="1"/>
        </w:rPr>
        <w:t> </w:t>
      </w:r>
      <w:r>
        <w:rPr/>
        <w:t>outputs, short-term outcomes (i.e. those for which a change could be expected to be</w:t>
      </w:r>
      <w:r>
        <w:rPr>
          <w:spacing w:val="1"/>
        </w:rPr>
        <w:t> </w:t>
      </w:r>
      <w:r>
        <w:rPr/>
        <w:t>observed after two years of implementation) and medium-term (two to five years) to long-</w:t>
      </w:r>
      <w:r>
        <w:rPr>
          <w:spacing w:val="-53"/>
        </w:rPr>
        <w:t> </w:t>
      </w:r>
      <w:r>
        <w:rPr/>
        <w:t>term</w:t>
      </w:r>
      <w:r>
        <w:rPr>
          <w:spacing w:val="-2"/>
        </w:rPr>
        <w:t> </w:t>
      </w:r>
      <w:r>
        <w:rPr/>
        <w:t>(six</w:t>
      </w:r>
      <w:r>
        <w:rPr>
          <w:spacing w:val="-1"/>
        </w:rPr>
        <w:t> </w:t>
      </w:r>
      <w:r>
        <w:rPr/>
        <w:t>to</w:t>
      </w:r>
      <w:r>
        <w:rPr>
          <w:spacing w:val="-1"/>
        </w:rPr>
        <w:t> </w:t>
      </w:r>
      <w:r>
        <w:rPr/>
        <w:t>10</w:t>
      </w:r>
      <w:r>
        <w:rPr>
          <w:spacing w:val="2"/>
        </w:rPr>
        <w:t> </w:t>
      </w:r>
      <w:r>
        <w:rPr/>
        <w:t>years)</w:t>
      </w:r>
      <w:r>
        <w:rPr>
          <w:spacing w:val="1"/>
        </w:rPr>
        <w:t> </w:t>
      </w:r>
      <w:r>
        <w:rPr/>
        <w:t>outcomes.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12"/>
        </w:rPr>
      </w:pPr>
      <w:r>
        <w:rPr/>
        <w:pict>
          <v:rect style="position:absolute;margin-left:70.584pt;margin-top:8.856445pt;width:454.27pt;height:.47998pt;mso-position-horizontal-relative:page;mso-position-vertical-relative:paragraph;z-index:-15726080;mso-wrap-distance-left:0;mso-wrap-distance-right:0" id="docshape25" filled="true" fillcolor="#d9d9d9" stroked="false">
            <v:fill type="solid"/>
            <w10:wrap type="topAndBottom"/>
          </v:rect>
        </w:pict>
      </w:r>
    </w:p>
    <w:p>
      <w:pPr>
        <w:spacing w:after="0"/>
        <w:rPr>
          <w:sz w:val="12"/>
        </w:rPr>
        <w:sectPr>
          <w:footerReference w:type="default" r:id="rId11"/>
          <w:pgSz w:w="11910" w:h="16840"/>
          <w:pgMar w:footer="727" w:header="0" w:top="1340" w:bottom="920" w:left="1300" w:right="1300"/>
        </w:sectPr>
      </w:pPr>
    </w:p>
    <w:p>
      <w:pPr>
        <w:pStyle w:val="BodyText"/>
        <w:spacing w:before="12"/>
        <w:rPr>
          <w:sz w:val="18"/>
        </w:rPr>
      </w:pPr>
    </w:p>
    <w:p>
      <w:pPr>
        <w:spacing w:before="100"/>
        <w:ind w:left="2605" w:right="2623" w:firstLine="0"/>
        <w:jc w:val="center"/>
        <w:rPr>
          <w:b/>
          <w:sz w:val="18"/>
        </w:rPr>
      </w:pPr>
      <w:r>
        <w:rPr/>
        <w:drawing>
          <wp:anchor distT="0" distB="0" distL="0" distR="0" allowOverlap="1" layoutInCell="1" locked="0" behindDoc="0" simplePos="0" relativeHeight="6">
            <wp:simplePos x="0" y="0"/>
            <wp:positionH relativeFrom="page">
              <wp:posOffset>914400</wp:posOffset>
            </wp:positionH>
            <wp:positionV relativeFrom="paragraph">
              <wp:posOffset>225078</wp:posOffset>
            </wp:positionV>
            <wp:extent cx="8746812" cy="3366134"/>
            <wp:effectExtent l="0" t="0" r="0" b="0"/>
            <wp:wrapTopAndBottom/>
            <wp:docPr id="5" name="image4.jpeg"/>
            <wp:cNvGraphicFramePr>
              <a:graphicFrameLocks noChangeAspect="1"/>
            </wp:cNvGraphicFramePr>
            <a:graphic>
              <a:graphicData uri="http://schemas.openxmlformats.org/drawingml/2006/picture">
                <pic:pic>
                  <pic:nvPicPr>
                    <pic:cNvPr id="6" name="image4.jpeg"/>
                    <pic:cNvPicPr/>
                  </pic:nvPicPr>
                  <pic:blipFill>
                    <a:blip r:embed="rId13" cstate="print"/>
                    <a:stretch>
                      <a:fillRect/>
                    </a:stretch>
                  </pic:blipFill>
                  <pic:spPr>
                    <a:xfrm>
                      <a:off x="0" y="0"/>
                      <a:ext cx="8746812" cy="3366134"/>
                    </a:xfrm>
                    <a:prstGeom prst="rect">
                      <a:avLst/>
                    </a:prstGeom>
                  </pic:spPr>
                </pic:pic>
              </a:graphicData>
            </a:graphic>
          </wp:anchor>
        </w:drawing>
      </w:r>
      <w:bookmarkStart w:name="_bookmark15" w:id="16"/>
      <w:bookmarkEnd w:id="16"/>
      <w:r>
        <w:rPr/>
      </w:r>
      <w:r>
        <w:rPr>
          <w:b/>
          <w:sz w:val="18"/>
        </w:rPr>
        <w:t>Figure</w:t>
      </w:r>
      <w:r>
        <w:rPr>
          <w:b/>
          <w:spacing w:val="-2"/>
          <w:sz w:val="18"/>
        </w:rPr>
        <w:t> </w:t>
      </w:r>
      <w:r>
        <w:rPr>
          <w:b/>
          <w:sz w:val="18"/>
        </w:rPr>
        <w:t>2</w:t>
      </w:r>
      <w:r>
        <w:rPr>
          <w:b/>
          <w:spacing w:val="-2"/>
          <w:sz w:val="18"/>
        </w:rPr>
        <w:t> </w:t>
      </w:r>
      <w:r>
        <w:rPr>
          <w:b/>
          <w:sz w:val="18"/>
        </w:rPr>
        <w:t>- Program</w:t>
      </w:r>
      <w:r>
        <w:rPr>
          <w:b/>
          <w:spacing w:val="-4"/>
          <w:sz w:val="18"/>
        </w:rPr>
        <w:t> </w:t>
      </w:r>
      <w:r>
        <w:rPr>
          <w:b/>
          <w:sz w:val="18"/>
        </w:rPr>
        <w:t>logic</w:t>
      </w:r>
      <w:r>
        <w:rPr>
          <w:b/>
          <w:spacing w:val="-2"/>
          <w:sz w:val="18"/>
        </w:rPr>
        <w:t> </w:t>
      </w:r>
      <w:r>
        <w:rPr>
          <w:b/>
          <w:sz w:val="18"/>
        </w:rPr>
        <w:t>of</w:t>
      </w:r>
      <w:r>
        <w:rPr>
          <w:b/>
          <w:spacing w:val="-1"/>
          <w:sz w:val="18"/>
        </w:rPr>
        <w:t> </w:t>
      </w:r>
      <w:r>
        <w:rPr>
          <w:b/>
          <w:sz w:val="18"/>
        </w:rPr>
        <w:t>the</w:t>
      </w:r>
      <w:r>
        <w:rPr>
          <w:b/>
          <w:spacing w:val="-2"/>
          <w:sz w:val="18"/>
        </w:rPr>
        <w:t> </w:t>
      </w:r>
      <w:r>
        <w:rPr>
          <w:b/>
          <w:sz w:val="18"/>
        </w:rPr>
        <w:t>HCH</w:t>
      </w:r>
      <w:r>
        <w:rPr>
          <w:b/>
          <w:spacing w:val="-1"/>
          <w:sz w:val="18"/>
        </w:rPr>
        <w:t> </w:t>
      </w:r>
      <w:r>
        <w:rPr>
          <w:b/>
          <w:sz w:val="18"/>
        </w:rPr>
        <w:t>trial</w:t>
      </w:r>
    </w:p>
    <w:p>
      <w:pPr>
        <w:spacing w:after="0"/>
        <w:jc w:val="center"/>
        <w:rPr>
          <w:sz w:val="18"/>
        </w:rPr>
        <w:sectPr>
          <w:footerReference w:type="default" r:id="rId12"/>
          <w:pgSz w:w="16840" w:h="11910" w:orient="landscape"/>
          <w:pgMar w:footer="676" w:header="0" w:top="1100" w:bottom="860" w:left="1340" w:right="1320"/>
          <w:pgNumType w:start="13"/>
        </w:sectPr>
      </w:pPr>
    </w:p>
    <w:p>
      <w:pPr>
        <w:pStyle w:val="BodyText"/>
        <w:spacing w:before="12"/>
        <w:rPr>
          <w:b/>
          <w:sz w:val="18"/>
        </w:rPr>
      </w:pPr>
    </w:p>
    <w:p>
      <w:pPr>
        <w:spacing w:before="100"/>
        <w:ind w:left="2605" w:right="2576" w:firstLine="0"/>
        <w:jc w:val="center"/>
        <w:rPr>
          <w:b/>
          <w:sz w:val="18"/>
        </w:rPr>
      </w:pPr>
      <w:hyperlink w:history="true" w:anchor="_bookmark15">
        <w:r>
          <w:rPr>
            <w:b/>
            <w:sz w:val="18"/>
          </w:rPr>
          <w:t>Figure</w:t>
        </w:r>
        <w:r>
          <w:rPr>
            <w:b/>
            <w:spacing w:val="-2"/>
            <w:sz w:val="18"/>
          </w:rPr>
          <w:t> </w:t>
        </w:r>
        <w:r>
          <w:rPr>
            <w:b/>
            <w:sz w:val="18"/>
          </w:rPr>
          <w:t>2</w:t>
        </w:r>
        <w:r>
          <w:rPr>
            <w:b/>
            <w:spacing w:val="-2"/>
            <w:sz w:val="18"/>
          </w:rPr>
          <w:t> </w:t>
        </w:r>
        <w:r>
          <w:rPr>
            <w:b/>
            <w:sz w:val="18"/>
          </w:rPr>
          <w:t>-</w:t>
        </w:r>
        <w:r>
          <w:rPr>
            <w:b/>
            <w:spacing w:val="-1"/>
            <w:sz w:val="18"/>
          </w:rPr>
          <w:t> </w:t>
        </w:r>
        <w:r>
          <w:rPr>
            <w:b/>
            <w:sz w:val="18"/>
          </w:rPr>
          <w:t>Program</w:t>
        </w:r>
        <w:r>
          <w:rPr>
            <w:b/>
            <w:spacing w:val="-1"/>
            <w:sz w:val="18"/>
          </w:rPr>
          <w:t> </w:t>
        </w:r>
        <w:r>
          <w:rPr>
            <w:b/>
            <w:sz w:val="18"/>
          </w:rPr>
          <w:t>logic</w:t>
        </w:r>
        <w:r>
          <w:rPr>
            <w:b/>
            <w:spacing w:val="-2"/>
            <w:sz w:val="18"/>
          </w:rPr>
          <w:t> </w:t>
        </w:r>
        <w:r>
          <w:rPr>
            <w:b/>
            <w:sz w:val="18"/>
          </w:rPr>
          <w:t>of</w:t>
        </w:r>
        <w:r>
          <w:rPr>
            <w:b/>
            <w:spacing w:val="-2"/>
            <w:sz w:val="18"/>
          </w:rPr>
          <w:t> </w:t>
        </w:r>
        <w:r>
          <w:rPr>
            <w:b/>
            <w:sz w:val="18"/>
          </w:rPr>
          <w:t>the</w:t>
        </w:r>
        <w:r>
          <w:rPr>
            <w:b/>
            <w:spacing w:val="-2"/>
            <w:sz w:val="18"/>
          </w:rPr>
          <w:t> </w:t>
        </w:r>
        <w:r>
          <w:rPr>
            <w:b/>
            <w:sz w:val="18"/>
          </w:rPr>
          <w:t>HCH</w:t>
        </w:r>
        <w:r>
          <w:rPr>
            <w:b/>
            <w:spacing w:val="-2"/>
            <w:sz w:val="18"/>
          </w:rPr>
          <w:t> </w:t>
        </w:r>
      </w:hyperlink>
      <w:r>
        <w:rPr>
          <w:b/>
          <w:sz w:val="18"/>
        </w:rPr>
        <w:t>(continued)</w:t>
      </w:r>
    </w:p>
    <w:p>
      <w:pPr>
        <w:pStyle w:val="BodyText"/>
        <w:spacing w:before="5"/>
        <w:rPr>
          <w:b/>
          <w:sz w:val="5"/>
        </w:rPr>
      </w:pPr>
      <w:r>
        <w:rPr/>
        <w:drawing>
          <wp:anchor distT="0" distB="0" distL="0" distR="0" allowOverlap="1" layoutInCell="1" locked="0" behindDoc="0" simplePos="0" relativeHeight="7">
            <wp:simplePos x="0" y="0"/>
            <wp:positionH relativeFrom="page">
              <wp:posOffset>963162</wp:posOffset>
            </wp:positionH>
            <wp:positionV relativeFrom="paragraph">
              <wp:posOffset>57412</wp:posOffset>
            </wp:positionV>
            <wp:extent cx="8672992" cy="3771137"/>
            <wp:effectExtent l="0" t="0" r="0" b="0"/>
            <wp:wrapTopAndBottom/>
            <wp:docPr id="7" name="image5.jpeg"/>
            <wp:cNvGraphicFramePr>
              <a:graphicFrameLocks noChangeAspect="1"/>
            </wp:cNvGraphicFramePr>
            <a:graphic>
              <a:graphicData uri="http://schemas.openxmlformats.org/drawingml/2006/picture">
                <pic:pic>
                  <pic:nvPicPr>
                    <pic:cNvPr id="8" name="image5.jpeg"/>
                    <pic:cNvPicPr/>
                  </pic:nvPicPr>
                  <pic:blipFill>
                    <a:blip r:embed="rId14" cstate="print"/>
                    <a:stretch>
                      <a:fillRect/>
                    </a:stretch>
                  </pic:blipFill>
                  <pic:spPr>
                    <a:xfrm>
                      <a:off x="0" y="0"/>
                      <a:ext cx="8672992" cy="3771137"/>
                    </a:xfrm>
                    <a:prstGeom prst="rect">
                      <a:avLst/>
                    </a:prstGeom>
                  </pic:spPr>
                </pic:pic>
              </a:graphicData>
            </a:graphic>
          </wp:anchor>
        </w:drawing>
      </w:r>
    </w:p>
    <w:p>
      <w:pPr>
        <w:spacing w:after="0"/>
        <w:rPr>
          <w:sz w:val="5"/>
        </w:rPr>
        <w:sectPr>
          <w:pgSz w:w="16840" w:h="11910" w:orient="landscape"/>
          <w:pgMar w:header="0" w:footer="676" w:top="1100" w:bottom="860" w:left="1340" w:right="1320"/>
        </w:sectPr>
      </w:pPr>
    </w:p>
    <w:p>
      <w:pPr>
        <w:pStyle w:val="BodyText"/>
        <w:spacing w:before="12"/>
        <w:rPr>
          <w:b/>
          <w:sz w:val="18"/>
        </w:rPr>
      </w:pPr>
    </w:p>
    <w:p>
      <w:pPr>
        <w:spacing w:before="100"/>
        <w:ind w:left="2605" w:right="2622" w:firstLine="0"/>
        <w:jc w:val="center"/>
        <w:rPr>
          <w:b/>
          <w:sz w:val="18"/>
        </w:rPr>
      </w:pPr>
      <w:r>
        <w:rPr/>
        <w:drawing>
          <wp:anchor distT="0" distB="0" distL="0" distR="0" allowOverlap="1" layoutInCell="1" locked="0" behindDoc="0" simplePos="0" relativeHeight="8">
            <wp:simplePos x="0" y="0"/>
            <wp:positionH relativeFrom="page">
              <wp:posOffset>914400</wp:posOffset>
            </wp:positionH>
            <wp:positionV relativeFrom="paragraph">
              <wp:posOffset>225459</wp:posOffset>
            </wp:positionV>
            <wp:extent cx="8828029" cy="2725483"/>
            <wp:effectExtent l="0" t="0" r="0" b="0"/>
            <wp:wrapTopAndBottom/>
            <wp:docPr id="9" name="image6.jpeg"/>
            <wp:cNvGraphicFramePr>
              <a:graphicFrameLocks noChangeAspect="1"/>
            </wp:cNvGraphicFramePr>
            <a:graphic>
              <a:graphicData uri="http://schemas.openxmlformats.org/drawingml/2006/picture">
                <pic:pic>
                  <pic:nvPicPr>
                    <pic:cNvPr id="10" name="image6.jpeg"/>
                    <pic:cNvPicPr/>
                  </pic:nvPicPr>
                  <pic:blipFill>
                    <a:blip r:embed="rId15" cstate="print"/>
                    <a:stretch>
                      <a:fillRect/>
                    </a:stretch>
                  </pic:blipFill>
                  <pic:spPr>
                    <a:xfrm>
                      <a:off x="0" y="0"/>
                      <a:ext cx="8828029" cy="2725483"/>
                    </a:xfrm>
                    <a:prstGeom prst="rect">
                      <a:avLst/>
                    </a:prstGeom>
                  </pic:spPr>
                </pic:pic>
              </a:graphicData>
            </a:graphic>
          </wp:anchor>
        </w:drawing>
      </w:r>
      <w:hyperlink w:history="true" w:anchor="_bookmark15">
        <w:r>
          <w:rPr>
            <w:b/>
            <w:sz w:val="18"/>
          </w:rPr>
          <w:t>Figure</w:t>
        </w:r>
        <w:r>
          <w:rPr>
            <w:b/>
            <w:spacing w:val="-2"/>
            <w:sz w:val="18"/>
          </w:rPr>
          <w:t> </w:t>
        </w:r>
        <w:r>
          <w:rPr>
            <w:b/>
            <w:sz w:val="18"/>
          </w:rPr>
          <w:t>2</w:t>
        </w:r>
        <w:r>
          <w:rPr>
            <w:b/>
            <w:spacing w:val="-2"/>
            <w:sz w:val="18"/>
          </w:rPr>
          <w:t> </w:t>
        </w:r>
        <w:r>
          <w:rPr>
            <w:b/>
            <w:sz w:val="18"/>
          </w:rPr>
          <w:t>- Program</w:t>
        </w:r>
        <w:r>
          <w:rPr>
            <w:b/>
            <w:spacing w:val="-4"/>
            <w:sz w:val="18"/>
          </w:rPr>
          <w:t> </w:t>
        </w:r>
        <w:r>
          <w:rPr>
            <w:b/>
            <w:sz w:val="18"/>
          </w:rPr>
          <w:t>logic</w:t>
        </w:r>
        <w:r>
          <w:rPr>
            <w:b/>
            <w:spacing w:val="-2"/>
            <w:sz w:val="18"/>
          </w:rPr>
          <w:t> </w:t>
        </w:r>
        <w:r>
          <w:rPr>
            <w:b/>
            <w:sz w:val="18"/>
          </w:rPr>
          <w:t>of</w:t>
        </w:r>
        <w:r>
          <w:rPr>
            <w:b/>
            <w:spacing w:val="-1"/>
            <w:sz w:val="18"/>
          </w:rPr>
          <w:t> </w:t>
        </w:r>
        <w:r>
          <w:rPr>
            <w:b/>
            <w:sz w:val="18"/>
          </w:rPr>
          <w:t>the</w:t>
        </w:r>
        <w:r>
          <w:rPr>
            <w:b/>
            <w:spacing w:val="-2"/>
            <w:sz w:val="18"/>
          </w:rPr>
          <w:t> </w:t>
        </w:r>
        <w:r>
          <w:rPr>
            <w:b/>
            <w:sz w:val="18"/>
          </w:rPr>
          <w:t>HCH</w:t>
        </w:r>
        <w:r>
          <w:rPr>
            <w:b/>
            <w:spacing w:val="-2"/>
            <w:sz w:val="18"/>
          </w:rPr>
          <w:t> </w:t>
        </w:r>
      </w:hyperlink>
      <w:r>
        <w:rPr>
          <w:b/>
          <w:sz w:val="18"/>
        </w:rPr>
        <w:t>(continued)</w:t>
      </w:r>
    </w:p>
    <w:p>
      <w:pPr>
        <w:spacing w:after="0"/>
        <w:jc w:val="center"/>
        <w:rPr>
          <w:sz w:val="18"/>
        </w:rPr>
        <w:sectPr>
          <w:pgSz w:w="16840" w:h="11910" w:orient="landscape"/>
          <w:pgMar w:header="0" w:footer="676" w:top="1100" w:bottom="860" w:left="1340" w:right="1320"/>
        </w:sectPr>
      </w:pPr>
    </w:p>
    <w:p>
      <w:pPr>
        <w:pStyle w:val="Heading2"/>
        <w:spacing w:before="81"/>
        <w:ind w:left="100"/>
      </w:pPr>
      <w:bookmarkStart w:name="_bookmark16" w:id="17"/>
      <w:bookmarkEnd w:id="17"/>
      <w:r>
        <w:rPr/>
      </w:r>
      <w:r>
        <w:rPr>
          <w:color w:val="003C79"/>
        </w:rPr>
        <w:t>Defining</w:t>
      </w:r>
      <w:r>
        <w:rPr>
          <w:color w:val="003C79"/>
          <w:spacing w:val="-7"/>
        </w:rPr>
        <w:t> </w:t>
      </w:r>
      <w:r>
        <w:rPr>
          <w:color w:val="003C79"/>
        </w:rPr>
        <w:t>success</w:t>
      </w:r>
    </w:p>
    <w:p>
      <w:pPr>
        <w:pStyle w:val="BodyText"/>
        <w:spacing w:line="276" w:lineRule="auto" w:before="259"/>
        <w:ind w:left="100" w:right="640"/>
      </w:pPr>
      <w:r>
        <w:rPr/>
        <w:t>The evaluation is of the HCH trial, and thus is focussed on the short-term outcomes listed in</w:t>
      </w:r>
      <w:r>
        <w:rPr>
          <w:spacing w:val="-53"/>
        </w:rPr>
        <w:t> </w:t>
      </w:r>
      <w:r>
        <w:rPr/>
        <w:t>the</w:t>
      </w:r>
      <w:r>
        <w:rPr>
          <w:spacing w:val="-2"/>
        </w:rPr>
        <w:t> </w:t>
      </w:r>
      <w:r>
        <w:rPr/>
        <w:t>logic</w:t>
      </w:r>
      <w:r>
        <w:rPr>
          <w:spacing w:val="-1"/>
        </w:rPr>
        <w:t> </w:t>
      </w:r>
      <w:r>
        <w:rPr/>
        <w:t>model.</w:t>
      </w:r>
      <w:r>
        <w:rPr>
          <w:spacing w:val="3"/>
        </w:rPr>
        <w:t> </w:t>
      </w:r>
      <w:r>
        <w:rPr/>
        <w:t>At the</w:t>
      </w:r>
      <w:r>
        <w:rPr>
          <w:spacing w:val="-2"/>
        </w:rPr>
        <w:t> </w:t>
      </w:r>
      <w:r>
        <w:rPr/>
        <w:t>end</w:t>
      </w:r>
      <w:r>
        <w:rPr>
          <w:spacing w:val="-1"/>
        </w:rPr>
        <w:t> </w:t>
      </w:r>
      <w:r>
        <w:rPr/>
        <w:t>of the</w:t>
      </w:r>
      <w:r>
        <w:rPr>
          <w:spacing w:val="-2"/>
        </w:rPr>
        <w:t> </w:t>
      </w:r>
      <w:r>
        <w:rPr/>
        <w:t>trial,</w:t>
      </w:r>
      <w:r>
        <w:rPr>
          <w:spacing w:val="-3"/>
        </w:rPr>
        <w:t> </w:t>
      </w:r>
      <w:r>
        <w:rPr/>
        <w:t>at</w:t>
      </w:r>
      <w:r>
        <w:rPr>
          <w:spacing w:val="-2"/>
        </w:rPr>
        <w:t> </w:t>
      </w:r>
      <w:r>
        <w:rPr/>
        <w:t>the</w:t>
      </w:r>
      <w:r>
        <w:rPr>
          <w:spacing w:val="-2"/>
        </w:rPr>
        <w:t> </w:t>
      </w:r>
      <w:r>
        <w:rPr/>
        <w:t>program</w:t>
      </w:r>
      <w:r>
        <w:rPr>
          <w:spacing w:val="-1"/>
        </w:rPr>
        <w:t> </w:t>
      </w:r>
      <w:r>
        <w:rPr/>
        <w:t>level,</w:t>
      </w:r>
      <w:r>
        <w:rPr>
          <w:spacing w:val="-2"/>
        </w:rPr>
        <w:t> </w:t>
      </w:r>
      <w:r>
        <w:rPr/>
        <w:t>success</w:t>
      </w:r>
      <w:r>
        <w:rPr>
          <w:spacing w:val="-3"/>
        </w:rPr>
        <w:t> </w:t>
      </w:r>
      <w:r>
        <w:rPr/>
        <w:t>will entail:</w:t>
      </w:r>
    </w:p>
    <w:p>
      <w:pPr>
        <w:pStyle w:val="ListParagraph"/>
        <w:numPr>
          <w:ilvl w:val="0"/>
          <w:numId w:val="8"/>
        </w:numPr>
        <w:tabs>
          <w:tab w:pos="813" w:val="left" w:leader="none"/>
          <w:tab w:pos="814" w:val="left" w:leader="none"/>
        </w:tabs>
        <w:spacing w:line="276" w:lineRule="auto" w:before="202" w:after="0"/>
        <w:ind w:left="813" w:right="407" w:hanging="356"/>
        <w:jc w:val="left"/>
        <w:rPr>
          <w:sz w:val="20"/>
        </w:rPr>
      </w:pPr>
      <w:r>
        <w:rPr>
          <w:sz w:val="20"/>
        </w:rPr>
        <w:t>An appropriate</w:t>
      </w:r>
      <w:r>
        <w:rPr>
          <w:spacing w:val="-4"/>
          <w:sz w:val="20"/>
        </w:rPr>
        <w:t> </w:t>
      </w:r>
      <w:r>
        <w:rPr>
          <w:sz w:val="20"/>
        </w:rPr>
        <w:t>mix</w:t>
      </w:r>
      <w:r>
        <w:rPr>
          <w:spacing w:val="-3"/>
          <w:sz w:val="20"/>
        </w:rPr>
        <w:t> </w:t>
      </w:r>
      <w:r>
        <w:rPr>
          <w:sz w:val="20"/>
        </w:rPr>
        <w:t>of</w:t>
      </w:r>
      <w:r>
        <w:rPr>
          <w:spacing w:val="-4"/>
          <w:sz w:val="20"/>
        </w:rPr>
        <w:t> </w:t>
      </w:r>
      <w:r>
        <w:rPr>
          <w:sz w:val="20"/>
        </w:rPr>
        <w:t>practice</w:t>
      </w:r>
      <w:r>
        <w:rPr>
          <w:spacing w:val="-6"/>
          <w:sz w:val="20"/>
        </w:rPr>
        <w:t> </w:t>
      </w:r>
      <w:r>
        <w:rPr>
          <w:sz w:val="20"/>
        </w:rPr>
        <w:t>types</w:t>
      </w:r>
      <w:r>
        <w:rPr>
          <w:spacing w:val="-3"/>
          <w:sz w:val="20"/>
        </w:rPr>
        <w:t> </w:t>
      </w:r>
      <w:r>
        <w:rPr>
          <w:sz w:val="20"/>
        </w:rPr>
        <w:t>participating</w:t>
      </w:r>
      <w:r>
        <w:rPr>
          <w:spacing w:val="-4"/>
          <w:sz w:val="20"/>
        </w:rPr>
        <w:t> </w:t>
      </w:r>
      <w:r>
        <w:rPr>
          <w:sz w:val="20"/>
        </w:rPr>
        <w:t>in</w:t>
      </w:r>
      <w:r>
        <w:rPr>
          <w:spacing w:val="-2"/>
          <w:sz w:val="20"/>
        </w:rPr>
        <w:t> </w:t>
      </w:r>
      <w:r>
        <w:rPr>
          <w:sz w:val="20"/>
        </w:rPr>
        <w:t>the</w:t>
      </w:r>
      <w:r>
        <w:rPr>
          <w:spacing w:val="-4"/>
          <w:sz w:val="20"/>
        </w:rPr>
        <w:t> </w:t>
      </w:r>
      <w:r>
        <w:rPr>
          <w:sz w:val="20"/>
        </w:rPr>
        <w:t>program</w:t>
      </w:r>
      <w:r>
        <w:rPr>
          <w:spacing w:val="-4"/>
          <w:sz w:val="20"/>
        </w:rPr>
        <w:t> </w:t>
      </w:r>
      <w:r>
        <w:rPr>
          <w:sz w:val="20"/>
        </w:rPr>
        <w:t>to</w:t>
      </w:r>
      <w:r>
        <w:rPr>
          <w:spacing w:val="-3"/>
          <w:sz w:val="20"/>
        </w:rPr>
        <w:t> </w:t>
      </w:r>
      <w:r>
        <w:rPr>
          <w:sz w:val="20"/>
        </w:rPr>
        <w:t>show</w:t>
      </w:r>
      <w:r>
        <w:rPr>
          <w:spacing w:val="-2"/>
          <w:sz w:val="20"/>
        </w:rPr>
        <w:t> </w:t>
      </w:r>
      <w:r>
        <w:rPr>
          <w:sz w:val="20"/>
        </w:rPr>
        <w:t>viability</w:t>
      </w:r>
      <w:r>
        <w:rPr>
          <w:spacing w:val="-4"/>
          <w:sz w:val="20"/>
        </w:rPr>
        <w:t> </w:t>
      </w:r>
      <w:r>
        <w:rPr>
          <w:sz w:val="20"/>
        </w:rPr>
        <w:t>of</w:t>
      </w:r>
      <w:r>
        <w:rPr>
          <w:spacing w:val="-53"/>
          <w:sz w:val="20"/>
        </w:rPr>
        <w:t> </w:t>
      </w:r>
      <w:r>
        <w:rPr>
          <w:sz w:val="20"/>
        </w:rPr>
        <w:t>the</w:t>
      </w:r>
      <w:r>
        <w:rPr>
          <w:spacing w:val="-2"/>
          <w:sz w:val="20"/>
        </w:rPr>
        <w:t> </w:t>
      </w:r>
      <w:r>
        <w:rPr>
          <w:sz w:val="20"/>
        </w:rPr>
        <w:t>model for</w:t>
      </w:r>
      <w:r>
        <w:rPr>
          <w:spacing w:val="-1"/>
          <w:sz w:val="20"/>
        </w:rPr>
        <w:t> </w:t>
      </w:r>
      <w:r>
        <w:rPr>
          <w:sz w:val="20"/>
        </w:rPr>
        <w:t>different</w:t>
      </w:r>
      <w:r>
        <w:rPr>
          <w:spacing w:val="1"/>
          <w:sz w:val="20"/>
        </w:rPr>
        <w:t> </w:t>
      </w:r>
      <w:r>
        <w:rPr>
          <w:sz w:val="20"/>
        </w:rPr>
        <w:t>practices.</w:t>
      </w:r>
    </w:p>
    <w:p>
      <w:pPr>
        <w:pStyle w:val="ListParagraph"/>
        <w:numPr>
          <w:ilvl w:val="0"/>
          <w:numId w:val="8"/>
        </w:numPr>
        <w:tabs>
          <w:tab w:pos="813" w:val="left" w:leader="none"/>
          <w:tab w:pos="814" w:val="left" w:leader="none"/>
        </w:tabs>
        <w:spacing w:line="276" w:lineRule="auto" w:before="0" w:after="0"/>
        <w:ind w:left="813" w:right="538" w:hanging="356"/>
        <w:jc w:val="left"/>
        <w:rPr>
          <w:sz w:val="20"/>
        </w:rPr>
      </w:pPr>
      <w:r>
        <w:rPr>
          <w:sz w:val="20"/>
        </w:rPr>
        <w:t>A</w:t>
      </w:r>
      <w:r>
        <w:rPr>
          <w:spacing w:val="-5"/>
          <w:sz w:val="20"/>
        </w:rPr>
        <w:t> </w:t>
      </w:r>
      <w:r>
        <w:rPr>
          <w:sz w:val="20"/>
        </w:rPr>
        <w:t>sufficient</w:t>
      </w:r>
      <w:r>
        <w:rPr>
          <w:spacing w:val="-1"/>
          <w:sz w:val="20"/>
        </w:rPr>
        <w:t> </w:t>
      </w:r>
      <w:r>
        <w:rPr>
          <w:sz w:val="20"/>
        </w:rPr>
        <w:t>number</w:t>
      </w:r>
      <w:r>
        <w:rPr>
          <w:spacing w:val="-3"/>
          <w:sz w:val="20"/>
        </w:rPr>
        <w:t> </w:t>
      </w:r>
      <w:r>
        <w:rPr>
          <w:sz w:val="20"/>
        </w:rPr>
        <w:t>and</w:t>
      </w:r>
      <w:r>
        <w:rPr>
          <w:spacing w:val="-3"/>
          <w:sz w:val="20"/>
        </w:rPr>
        <w:t> </w:t>
      </w:r>
      <w:r>
        <w:rPr>
          <w:sz w:val="20"/>
        </w:rPr>
        <w:t>mix</w:t>
      </w:r>
      <w:r>
        <w:rPr>
          <w:spacing w:val="-3"/>
          <w:sz w:val="20"/>
        </w:rPr>
        <w:t> </w:t>
      </w:r>
      <w:r>
        <w:rPr>
          <w:sz w:val="20"/>
        </w:rPr>
        <w:t>of</w:t>
      </w:r>
      <w:r>
        <w:rPr>
          <w:spacing w:val="-4"/>
          <w:sz w:val="20"/>
        </w:rPr>
        <w:t> </w:t>
      </w:r>
      <w:r>
        <w:rPr>
          <w:sz w:val="20"/>
        </w:rPr>
        <w:t>patients</w:t>
      </w:r>
      <w:r>
        <w:rPr>
          <w:spacing w:val="-3"/>
          <w:sz w:val="20"/>
        </w:rPr>
        <w:t> </w:t>
      </w:r>
      <w:r>
        <w:rPr>
          <w:sz w:val="20"/>
        </w:rPr>
        <w:t>enrolled</w:t>
      </w:r>
      <w:r>
        <w:rPr>
          <w:spacing w:val="-3"/>
          <w:sz w:val="20"/>
        </w:rPr>
        <w:t> </w:t>
      </w:r>
      <w:r>
        <w:rPr>
          <w:sz w:val="20"/>
        </w:rPr>
        <w:t>in</w:t>
      </w:r>
      <w:r>
        <w:rPr>
          <w:spacing w:val="-2"/>
          <w:sz w:val="20"/>
        </w:rPr>
        <w:t> </w:t>
      </w:r>
      <w:r>
        <w:rPr>
          <w:sz w:val="20"/>
        </w:rPr>
        <w:t>the</w:t>
      </w:r>
      <w:r>
        <w:rPr>
          <w:spacing w:val="-3"/>
          <w:sz w:val="20"/>
        </w:rPr>
        <w:t> </w:t>
      </w:r>
      <w:r>
        <w:rPr>
          <w:sz w:val="20"/>
        </w:rPr>
        <w:t>program</w:t>
      </w:r>
      <w:r>
        <w:rPr>
          <w:spacing w:val="-3"/>
          <w:sz w:val="20"/>
        </w:rPr>
        <w:t> </w:t>
      </w:r>
      <w:r>
        <w:rPr>
          <w:sz w:val="20"/>
        </w:rPr>
        <w:t>to</w:t>
      </w:r>
      <w:r>
        <w:rPr>
          <w:spacing w:val="-4"/>
          <w:sz w:val="20"/>
        </w:rPr>
        <w:t> </w:t>
      </w:r>
      <w:r>
        <w:rPr>
          <w:sz w:val="20"/>
        </w:rPr>
        <w:t>show</w:t>
      </w:r>
      <w:r>
        <w:rPr>
          <w:spacing w:val="-1"/>
          <w:sz w:val="20"/>
        </w:rPr>
        <w:t> </w:t>
      </w:r>
      <w:r>
        <w:rPr>
          <w:sz w:val="20"/>
        </w:rPr>
        <w:t>the</w:t>
      </w:r>
      <w:r>
        <w:rPr>
          <w:spacing w:val="-3"/>
          <w:sz w:val="20"/>
        </w:rPr>
        <w:t> </w:t>
      </w:r>
      <w:r>
        <w:rPr>
          <w:sz w:val="20"/>
        </w:rPr>
        <w:t>viability</w:t>
      </w:r>
      <w:r>
        <w:rPr>
          <w:spacing w:val="-52"/>
          <w:sz w:val="20"/>
        </w:rPr>
        <w:t> </w:t>
      </w:r>
      <w:r>
        <w:rPr>
          <w:sz w:val="20"/>
        </w:rPr>
        <w:t>for</w:t>
      </w:r>
      <w:r>
        <w:rPr>
          <w:spacing w:val="-2"/>
          <w:sz w:val="20"/>
        </w:rPr>
        <w:t> </w:t>
      </w:r>
      <w:r>
        <w:rPr>
          <w:sz w:val="20"/>
        </w:rPr>
        <w:t>patients</w:t>
      </w:r>
      <w:r>
        <w:rPr>
          <w:spacing w:val="-1"/>
          <w:sz w:val="20"/>
        </w:rPr>
        <w:t> </w:t>
      </w:r>
      <w:r>
        <w:rPr>
          <w:sz w:val="20"/>
        </w:rPr>
        <w:t>at</w:t>
      </w:r>
      <w:r>
        <w:rPr>
          <w:spacing w:val="1"/>
          <w:sz w:val="20"/>
        </w:rPr>
        <w:t> </w:t>
      </w:r>
      <w:r>
        <w:rPr>
          <w:sz w:val="20"/>
        </w:rPr>
        <w:t>different</w:t>
      </w:r>
      <w:r>
        <w:rPr>
          <w:spacing w:val="1"/>
          <w:sz w:val="20"/>
        </w:rPr>
        <w:t> </w:t>
      </w:r>
      <w:r>
        <w:rPr>
          <w:sz w:val="20"/>
        </w:rPr>
        <w:t>risk levels.</w:t>
      </w:r>
    </w:p>
    <w:p>
      <w:pPr>
        <w:pStyle w:val="ListParagraph"/>
        <w:numPr>
          <w:ilvl w:val="0"/>
          <w:numId w:val="8"/>
        </w:numPr>
        <w:tabs>
          <w:tab w:pos="813" w:val="left" w:leader="none"/>
          <w:tab w:pos="814" w:val="left" w:leader="none"/>
        </w:tabs>
        <w:spacing w:line="276" w:lineRule="auto" w:before="0" w:after="0"/>
        <w:ind w:left="813" w:right="549" w:hanging="356"/>
        <w:jc w:val="left"/>
        <w:rPr>
          <w:sz w:val="20"/>
        </w:rPr>
      </w:pPr>
      <w:r>
        <w:rPr>
          <w:sz w:val="20"/>
        </w:rPr>
        <w:t>Financial viability of the program, or that the changes required to achieve financial</w:t>
      </w:r>
      <w:r>
        <w:rPr>
          <w:spacing w:val="-53"/>
          <w:sz w:val="20"/>
        </w:rPr>
        <w:t> </w:t>
      </w:r>
      <w:r>
        <w:rPr>
          <w:sz w:val="20"/>
        </w:rPr>
        <w:t>viability</w:t>
      </w:r>
      <w:r>
        <w:rPr>
          <w:spacing w:val="-3"/>
          <w:sz w:val="20"/>
        </w:rPr>
        <w:t> </w:t>
      </w:r>
      <w:r>
        <w:rPr>
          <w:sz w:val="20"/>
        </w:rPr>
        <w:t>are</w:t>
      </w:r>
      <w:r>
        <w:rPr>
          <w:spacing w:val="-1"/>
          <w:sz w:val="20"/>
        </w:rPr>
        <w:t> </w:t>
      </w:r>
      <w:r>
        <w:rPr>
          <w:sz w:val="20"/>
        </w:rPr>
        <w:t>feasible.</w:t>
      </w:r>
    </w:p>
    <w:p>
      <w:pPr>
        <w:pStyle w:val="BodyText"/>
        <w:spacing w:before="200"/>
        <w:ind w:left="100"/>
      </w:pPr>
      <w:r>
        <w:rPr/>
        <w:t>At</w:t>
      </w:r>
      <w:r>
        <w:rPr>
          <w:spacing w:val="-2"/>
        </w:rPr>
        <w:t> </w:t>
      </w:r>
      <w:r>
        <w:rPr/>
        <w:t>the</w:t>
      </w:r>
      <w:r>
        <w:rPr>
          <w:spacing w:val="-3"/>
        </w:rPr>
        <w:t> </w:t>
      </w:r>
      <w:r>
        <w:rPr/>
        <w:t>practice</w:t>
      </w:r>
      <w:r>
        <w:rPr>
          <w:spacing w:val="-2"/>
        </w:rPr>
        <w:t> </w:t>
      </w:r>
      <w:r>
        <w:rPr/>
        <w:t>level,</w:t>
      </w:r>
      <w:r>
        <w:rPr>
          <w:spacing w:val="-3"/>
        </w:rPr>
        <w:t> </w:t>
      </w:r>
      <w:r>
        <w:rPr/>
        <w:t>success</w:t>
      </w:r>
      <w:r>
        <w:rPr>
          <w:spacing w:val="-3"/>
        </w:rPr>
        <w:t> </w:t>
      </w:r>
      <w:r>
        <w:rPr/>
        <w:t>will</w:t>
      </w:r>
      <w:r>
        <w:rPr>
          <w:spacing w:val="-2"/>
        </w:rPr>
        <w:t> </w:t>
      </w:r>
      <w:r>
        <w:rPr/>
        <w:t>be</w:t>
      </w:r>
      <w:r>
        <w:rPr>
          <w:spacing w:val="-3"/>
        </w:rPr>
        <w:t> </w:t>
      </w:r>
      <w:r>
        <w:rPr/>
        <w:t>shown</w:t>
      </w:r>
      <w:r>
        <w:rPr>
          <w:spacing w:val="-2"/>
        </w:rPr>
        <w:t> </w:t>
      </w:r>
      <w:r>
        <w:rPr/>
        <w:t>by:</w:t>
      </w:r>
    </w:p>
    <w:p>
      <w:pPr>
        <w:pStyle w:val="BodyText"/>
        <w:spacing w:before="4"/>
        <w:rPr>
          <w:sz w:val="19"/>
        </w:rPr>
      </w:pPr>
    </w:p>
    <w:p>
      <w:pPr>
        <w:pStyle w:val="ListParagraph"/>
        <w:numPr>
          <w:ilvl w:val="0"/>
          <w:numId w:val="8"/>
        </w:numPr>
        <w:tabs>
          <w:tab w:pos="813" w:val="left" w:leader="none"/>
          <w:tab w:pos="814" w:val="left" w:leader="none"/>
        </w:tabs>
        <w:spacing w:line="276" w:lineRule="auto" w:before="0" w:after="0"/>
        <w:ind w:left="813" w:right="550" w:hanging="356"/>
        <w:jc w:val="left"/>
        <w:rPr>
          <w:sz w:val="20"/>
        </w:rPr>
      </w:pPr>
      <w:r>
        <w:rPr>
          <w:sz w:val="20"/>
        </w:rPr>
        <w:t>Movement along the dimensions of the patient centred medical home, particularly</w:t>
      </w:r>
      <w:r>
        <w:rPr>
          <w:spacing w:val="-53"/>
          <w:sz w:val="20"/>
        </w:rPr>
        <w:t> </w:t>
      </w:r>
      <w:r>
        <w:rPr>
          <w:sz w:val="20"/>
        </w:rPr>
        <w:t>those</w:t>
      </w:r>
      <w:r>
        <w:rPr>
          <w:spacing w:val="-2"/>
          <w:sz w:val="20"/>
        </w:rPr>
        <w:t> </w:t>
      </w:r>
      <w:r>
        <w:rPr>
          <w:sz w:val="20"/>
        </w:rPr>
        <w:t>specifically</w:t>
      </w:r>
      <w:r>
        <w:rPr>
          <w:spacing w:val="-2"/>
          <w:sz w:val="20"/>
        </w:rPr>
        <w:t> </w:t>
      </w:r>
      <w:r>
        <w:rPr>
          <w:sz w:val="20"/>
        </w:rPr>
        <w:t>related</w:t>
      </w:r>
      <w:r>
        <w:rPr>
          <w:spacing w:val="-3"/>
          <w:sz w:val="20"/>
        </w:rPr>
        <w:t> </w:t>
      </w:r>
      <w:r>
        <w:rPr>
          <w:sz w:val="20"/>
        </w:rPr>
        <w:t>to</w:t>
      </w:r>
      <w:r>
        <w:rPr>
          <w:spacing w:val="-2"/>
          <w:sz w:val="20"/>
        </w:rPr>
        <w:t> </w:t>
      </w:r>
      <w:r>
        <w:rPr>
          <w:sz w:val="20"/>
        </w:rPr>
        <w:t>chronic disease</w:t>
      </w:r>
      <w:r>
        <w:rPr>
          <w:spacing w:val="-1"/>
          <w:sz w:val="20"/>
        </w:rPr>
        <w:t> </w:t>
      </w:r>
      <w:r>
        <w:rPr>
          <w:sz w:val="20"/>
        </w:rPr>
        <w:t>care.</w:t>
      </w:r>
    </w:p>
    <w:p>
      <w:pPr>
        <w:pStyle w:val="ListParagraph"/>
        <w:numPr>
          <w:ilvl w:val="0"/>
          <w:numId w:val="8"/>
        </w:numPr>
        <w:tabs>
          <w:tab w:pos="813" w:val="left" w:leader="none"/>
          <w:tab w:pos="814" w:val="left" w:leader="none"/>
        </w:tabs>
        <w:spacing w:line="276" w:lineRule="auto" w:before="0" w:after="0"/>
        <w:ind w:left="813" w:right="641" w:hanging="356"/>
        <w:jc w:val="left"/>
        <w:rPr>
          <w:sz w:val="20"/>
        </w:rPr>
      </w:pPr>
      <w:r>
        <w:rPr>
          <w:sz w:val="20"/>
        </w:rPr>
        <w:t>Positive experiences of practice staff, for example, in more meaningfully engaging</w:t>
      </w:r>
      <w:r>
        <w:rPr>
          <w:spacing w:val="-53"/>
          <w:sz w:val="20"/>
        </w:rPr>
        <w:t> </w:t>
      </w:r>
      <w:r>
        <w:rPr>
          <w:sz w:val="20"/>
        </w:rPr>
        <w:t>with</w:t>
      </w:r>
      <w:r>
        <w:rPr>
          <w:spacing w:val="-1"/>
          <w:sz w:val="20"/>
        </w:rPr>
        <w:t> </w:t>
      </w:r>
      <w:r>
        <w:rPr>
          <w:sz w:val="20"/>
        </w:rPr>
        <w:t>patients,</w:t>
      </w:r>
      <w:r>
        <w:rPr>
          <w:spacing w:val="-2"/>
          <w:sz w:val="20"/>
        </w:rPr>
        <w:t> </w:t>
      </w:r>
      <w:r>
        <w:rPr>
          <w:sz w:val="20"/>
        </w:rPr>
        <w:t>and</w:t>
      </w:r>
      <w:r>
        <w:rPr>
          <w:spacing w:val="-2"/>
          <w:sz w:val="20"/>
        </w:rPr>
        <w:t> </w:t>
      </w:r>
      <w:r>
        <w:rPr>
          <w:sz w:val="20"/>
        </w:rPr>
        <w:t>in working</w:t>
      </w:r>
      <w:r>
        <w:rPr>
          <w:spacing w:val="-2"/>
          <w:sz w:val="20"/>
        </w:rPr>
        <w:t> </w:t>
      </w:r>
      <w:r>
        <w:rPr>
          <w:sz w:val="20"/>
        </w:rPr>
        <w:t>within</w:t>
      </w:r>
      <w:r>
        <w:rPr>
          <w:spacing w:val="-2"/>
          <w:sz w:val="20"/>
        </w:rPr>
        <w:t> </w:t>
      </w:r>
      <w:r>
        <w:rPr>
          <w:sz w:val="20"/>
        </w:rPr>
        <w:t>the</w:t>
      </w:r>
      <w:r>
        <w:rPr>
          <w:spacing w:val="-2"/>
          <w:sz w:val="20"/>
        </w:rPr>
        <w:t> </w:t>
      </w:r>
      <w:r>
        <w:rPr>
          <w:sz w:val="20"/>
        </w:rPr>
        <w:t>maximum</w:t>
      </w:r>
      <w:r>
        <w:rPr>
          <w:spacing w:val="-1"/>
          <w:sz w:val="20"/>
        </w:rPr>
        <w:t> </w:t>
      </w:r>
      <w:r>
        <w:rPr>
          <w:sz w:val="20"/>
        </w:rPr>
        <w:t>scope</w:t>
      </w:r>
      <w:r>
        <w:rPr>
          <w:spacing w:val="-2"/>
          <w:sz w:val="20"/>
        </w:rPr>
        <w:t> </w:t>
      </w:r>
      <w:r>
        <w:rPr>
          <w:sz w:val="20"/>
        </w:rPr>
        <w:t>of</w:t>
      </w:r>
      <w:r>
        <w:rPr>
          <w:spacing w:val="-1"/>
          <w:sz w:val="20"/>
        </w:rPr>
        <w:t> </w:t>
      </w:r>
      <w:r>
        <w:rPr>
          <w:sz w:val="20"/>
        </w:rPr>
        <w:t>their</w:t>
      </w:r>
      <w:r>
        <w:rPr>
          <w:spacing w:val="-2"/>
          <w:sz w:val="20"/>
        </w:rPr>
        <w:t> </w:t>
      </w:r>
      <w:r>
        <w:rPr>
          <w:sz w:val="20"/>
        </w:rPr>
        <w:t>roles.</w:t>
      </w:r>
    </w:p>
    <w:p>
      <w:pPr>
        <w:pStyle w:val="ListParagraph"/>
        <w:numPr>
          <w:ilvl w:val="0"/>
          <w:numId w:val="8"/>
        </w:numPr>
        <w:tabs>
          <w:tab w:pos="813" w:val="left" w:leader="none"/>
          <w:tab w:pos="814" w:val="left" w:leader="none"/>
        </w:tabs>
        <w:spacing w:line="276" w:lineRule="auto" w:before="0" w:after="0"/>
        <w:ind w:left="813" w:right="766" w:hanging="356"/>
        <w:jc w:val="left"/>
        <w:rPr>
          <w:sz w:val="20"/>
        </w:rPr>
      </w:pPr>
      <w:r>
        <w:rPr>
          <w:sz w:val="20"/>
        </w:rPr>
        <w:t>Financial</w:t>
      </w:r>
      <w:r>
        <w:rPr>
          <w:spacing w:val="-3"/>
          <w:sz w:val="20"/>
        </w:rPr>
        <w:t> </w:t>
      </w:r>
      <w:r>
        <w:rPr>
          <w:sz w:val="20"/>
        </w:rPr>
        <w:t>viability</w:t>
      </w:r>
      <w:r>
        <w:rPr>
          <w:spacing w:val="-4"/>
          <w:sz w:val="20"/>
        </w:rPr>
        <w:t> </w:t>
      </w:r>
      <w:r>
        <w:rPr>
          <w:sz w:val="20"/>
        </w:rPr>
        <w:t>for</w:t>
      </w:r>
      <w:r>
        <w:rPr>
          <w:spacing w:val="-3"/>
          <w:sz w:val="20"/>
        </w:rPr>
        <w:t> </w:t>
      </w:r>
      <w:r>
        <w:rPr>
          <w:sz w:val="20"/>
        </w:rPr>
        <w:t>the</w:t>
      </w:r>
      <w:r>
        <w:rPr>
          <w:spacing w:val="-4"/>
          <w:sz w:val="20"/>
        </w:rPr>
        <w:t> </w:t>
      </w:r>
      <w:r>
        <w:rPr>
          <w:sz w:val="20"/>
        </w:rPr>
        <w:t>range</w:t>
      </w:r>
      <w:r>
        <w:rPr>
          <w:spacing w:val="-3"/>
          <w:sz w:val="20"/>
        </w:rPr>
        <w:t> </w:t>
      </w:r>
      <w:r>
        <w:rPr>
          <w:sz w:val="20"/>
        </w:rPr>
        <w:t>of</w:t>
      </w:r>
      <w:r>
        <w:rPr>
          <w:spacing w:val="-3"/>
          <w:sz w:val="20"/>
        </w:rPr>
        <w:t> </w:t>
      </w:r>
      <w:r>
        <w:rPr>
          <w:sz w:val="20"/>
        </w:rPr>
        <w:t>practices</w:t>
      </w:r>
      <w:r>
        <w:rPr>
          <w:spacing w:val="-4"/>
          <w:sz w:val="20"/>
        </w:rPr>
        <w:t> </w:t>
      </w:r>
      <w:r>
        <w:rPr>
          <w:sz w:val="20"/>
        </w:rPr>
        <w:t>in</w:t>
      </w:r>
      <w:r>
        <w:rPr>
          <w:spacing w:val="-2"/>
          <w:sz w:val="20"/>
        </w:rPr>
        <w:t> </w:t>
      </w:r>
      <w:r>
        <w:rPr>
          <w:sz w:val="20"/>
        </w:rPr>
        <w:t>which</w:t>
      </w:r>
      <w:r>
        <w:rPr>
          <w:spacing w:val="-2"/>
          <w:sz w:val="20"/>
        </w:rPr>
        <w:t> </w:t>
      </w:r>
      <w:r>
        <w:rPr>
          <w:sz w:val="20"/>
        </w:rPr>
        <w:t>it</w:t>
      </w:r>
      <w:r>
        <w:rPr>
          <w:spacing w:val="-2"/>
          <w:sz w:val="20"/>
        </w:rPr>
        <w:t> </w:t>
      </w:r>
      <w:r>
        <w:rPr>
          <w:sz w:val="20"/>
        </w:rPr>
        <w:t>is</w:t>
      </w:r>
      <w:r>
        <w:rPr>
          <w:spacing w:val="-3"/>
          <w:sz w:val="20"/>
        </w:rPr>
        <w:t> </w:t>
      </w:r>
      <w:r>
        <w:rPr>
          <w:sz w:val="20"/>
        </w:rPr>
        <w:t>implemented,</w:t>
      </w:r>
      <w:r>
        <w:rPr>
          <w:spacing w:val="-5"/>
          <w:sz w:val="20"/>
        </w:rPr>
        <w:t> </w:t>
      </w:r>
      <w:r>
        <w:rPr>
          <w:sz w:val="20"/>
        </w:rPr>
        <w:t>or</w:t>
      </w:r>
      <w:r>
        <w:rPr>
          <w:spacing w:val="-4"/>
          <w:sz w:val="20"/>
        </w:rPr>
        <w:t> </w:t>
      </w:r>
      <w:r>
        <w:rPr>
          <w:sz w:val="20"/>
        </w:rPr>
        <w:t>that</w:t>
      </w:r>
      <w:r>
        <w:rPr>
          <w:spacing w:val="-3"/>
          <w:sz w:val="20"/>
        </w:rPr>
        <w:t> </w:t>
      </w:r>
      <w:r>
        <w:rPr>
          <w:sz w:val="20"/>
        </w:rPr>
        <w:t>the</w:t>
      </w:r>
      <w:r>
        <w:rPr>
          <w:spacing w:val="-52"/>
          <w:sz w:val="20"/>
        </w:rPr>
        <w:t> </w:t>
      </w:r>
      <w:r>
        <w:rPr>
          <w:sz w:val="20"/>
        </w:rPr>
        <w:t>changes</w:t>
      </w:r>
      <w:r>
        <w:rPr>
          <w:spacing w:val="-1"/>
          <w:sz w:val="20"/>
        </w:rPr>
        <w:t> </w:t>
      </w:r>
      <w:r>
        <w:rPr>
          <w:sz w:val="20"/>
        </w:rPr>
        <w:t>required</w:t>
      </w:r>
      <w:r>
        <w:rPr>
          <w:spacing w:val="1"/>
          <w:sz w:val="20"/>
        </w:rPr>
        <w:t> </w:t>
      </w:r>
      <w:r>
        <w:rPr>
          <w:sz w:val="20"/>
        </w:rPr>
        <w:t>to</w:t>
      </w:r>
      <w:r>
        <w:rPr>
          <w:spacing w:val="-2"/>
          <w:sz w:val="20"/>
        </w:rPr>
        <w:t> </w:t>
      </w:r>
      <w:r>
        <w:rPr>
          <w:sz w:val="20"/>
        </w:rPr>
        <w:t>achieve</w:t>
      </w:r>
      <w:r>
        <w:rPr>
          <w:spacing w:val="-1"/>
          <w:sz w:val="20"/>
        </w:rPr>
        <w:t> </w:t>
      </w:r>
      <w:r>
        <w:rPr>
          <w:sz w:val="20"/>
        </w:rPr>
        <w:t>financial</w:t>
      </w:r>
      <w:r>
        <w:rPr>
          <w:spacing w:val="-1"/>
          <w:sz w:val="20"/>
        </w:rPr>
        <w:t> </w:t>
      </w:r>
      <w:r>
        <w:rPr>
          <w:sz w:val="20"/>
        </w:rPr>
        <w:t>viability</w:t>
      </w:r>
      <w:r>
        <w:rPr>
          <w:spacing w:val="-2"/>
          <w:sz w:val="20"/>
        </w:rPr>
        <w:t> </w:t>
      </w:r>
      <w:r>
        <w:rPr>
          <w:sz w:val="20"/>
        </w:rPr>
        <w:t>are</w:t>
      </w:r>
      <w:r>
        <w:rPr>
          <w:spacing w:val="-2"/>
          <w:sz w:val="20"/>
        </w:rPr>
        <w:t> </w:t>
      </w:r>
      <w:r>
        <w:rPr>
          <w:sz w:val="20"/>
        </w:rPr>
        <w:t>feasible.</w:t>
      </w:r>
    </w:p>
    <w:p>
      <w:pPr>
        <w:pStyle w:val="BodyText"/>
        <w:spacing w:before="199"/>
        <w:ind w:left="100"/>
      </w:pPr>
      <w:r>
        <w:rPr/>
        <w:t>For</w:t>
      </w:r>
      <w:r>
        <w:rPr>
          <w:spacing w:val="-3"/>
        </w:rPr>
        <w:t> </w:t>
      </w:r>
      <w:r>
        <w:rPr/>
        <w:t>patients</w:t>
      </w:r>
      <w:r>
        <w:rPr>
          <w:spacing w:val="-3"/>
        </w:rPr>
        <w:t> </w:t>
      </w:r>
      <w:r>
        <w:rPr/>
        <w:t>and</w:t>
      </w:r>
      <w:r>
        <w:rPr>
          <w:spacing w:val="-3"/>
        </w:rPr>
        <w:t> </w:t>
      </w:r>
      <w:r>
        <w:rPr/>
        <w:t>their</w:t>
      </w:r>
      <w:r>
        <w:rPr>
          <w:spacing w:val="-3"/>
        </w:rPr>
        <w:t> </w:t>
      </w:r>
      <w:r>
        <w:rPr/>
        <w:t>carers</w:t>
      </w:r>
      <w:r>
        <w:rPr>
          <w:spacing w:val="-3"/>
        </w:rPr>
        <w:t> </w:t>
      </w:r>
      <w:r>
        <w:rPr/>
        <w:t>and</w:t>
      </w:r>
      <w:r>
        <w:rPr>
          <w:spacing w:val="-3"/>
        </w:rPr>
        <w:t> </w:t>
      </w:r>
      <w:r>
        <w:rPr/>
        <w:t>families,</w:t>
      </w:r>
      <w:r>
        <w:rPr>
          <w:spacing w:val="-3"/>
        </w:rPr>
        <w:t> </w:t>
      </w:r>
      <w:r>
        <w:rPr/>
        <w:t>success</w:t>
      </w:r>
      <w:r>
        <w:rPr>
          <w:spacing w:val="2"/>
        </w:rPr>
        <w:t> </w:t>
      </w:r>
      <w:r>
        <w:rPr/>
        <w:t>at</w:t>
      </w:r>
      <w:r>
        <w:rPr>
          <w:spacing w:val="-3"/>
        </w:rPr>
        <w:t> </w:t>
      </w:r>
      <w:r>
        <w:rPr/>
        <w:t>the</w:t>
      </w:r>
      <w:r>
        <w:rPr>
          <w:spacing w:val="-2"/>
        </w:rPr>
        <w:t> </w:t>
      </w:r>
      <w:r>
        <w:rPr/>
        <w:t>end</w:t>
      </w:r>
      <w:r>
        <w:rPr>
          <w:spacing w:val="-3"/>
        </w:rPr>
        <w:t> </w:t>
      </w:r>
      <w:r>
        <w:rPr/>
        <w:t>of</w:t>
      </w:r>
      <w:r>
        <w:rPr>
          <w:spacing w:val="-2"/>
        </w:rPr>
        <w:t> </w:t>
      </w:r>
      <w:r>
        <w:rPr/>
        <w:t>the</w:t>
      </w:r>
      <w:r>
        <w:rPr>
          <w:spacing w:val="-3"/>
        </w:rPr>
        <w:t> </w:t>
      </w:r>
      <w:r>
        <w:rPr/>
        <w:t>trial</w:t>
      </w:r>
      <w:r>
        <w:rPr>
          <w:spacing w:val="-1"/>
        </w:rPr>
        <w:t> </w:t>
      </w:r>
      <w:r>
        <w:rPr/>
        <w:t>will</w:t>
      </w:r>
      <w:r>
        <w:rPr>
          <w:spacing w:val="-4"/>
        </w:rPr>
        <w:t> </w:t>
      </w:r>
      <w:r>
        <w:rPr/>
        <w:t>be</w:t>
      </w:r>
      <w:r>
        <w:rPr>
          <w:spacing w:val="-3"/>
        </w:rPr>
        <w:t> </w:t>
      </w:r>
      <w:r>
        <w:rPr/>
        <w:t>shown</w:t>
      </w:r>
      <w:r>
        <w:rPr>
          <w:spacing w:val="-2"/>
        </w:rPr>
        <w:t> </w:t>
      </w:r>
      <w:r>
        <w:rPr/>
        <w:t>by:</w:t>
      </w:r>
    </w:p>
    <w:p>
      <w:pPr>
        <w:pStyle w:val="BodyText"/>
        <w:spacing w:before="4"/>
        <w:rPr>
          <w:sz w:val="19"/>
        </w:rPr>
      </w:pPr>
    </w:p>
    <w:p>
      <w:pPr>
        <w:pStyle w:val="ListParagraph"/>
        <w:numPr>
          <w:ilvl w:val="0"/>
          <w:numId w:val="8"/>
        </w:numPr>
        <w:tabs>
          <w:tab w:pos="813" w:val="left" w:leader="none"/>
          <w:tab w:pos="814" w:val="left" w:leader="none"/>
        </w:tabs>
        <w:spacing w:line="240" w:lineRule="auto" w:before="0" w:after="0"/>
        <w:ind w:left="813" w:right="0" w:hanging="356"/>
        <w:jc w:val="left"/>
        <w:rPr>
          <w:sz w:val="20"/>
        </w:rPr>
      </w:pPr>
      <w:r>
        <w:rPr>
          <w:sz w:val="20"/>
        </w:rPr>
        <w:t>Improved</w:t>
      </w:r>
      <w:r>
        <w:rPr>
          <w:spacing w:val="-4"/>
          <w:sz w:val="20"/>
        </w:rPr>
        <w:t> </w:t>
      </w:r>
      <w:r>
        <w:rPr>
          <w:sz w:val="20"/>
        </w:rPr>
        <w:t>experience</w:t>
      </w:r>
      <w:r>
        <w:rPr>
          <w:spacing w:val="-3"/>
          <w:sz w:val="20"/>
        </w:rPr>
        <w:t> </w:t>
      </w:r>
      <w:r>
        <w:rPr>
          <w:sz w:val="20"/>
        </w:rPr>
        <w:t>of</w:t>
      </w:r>
      <w:r>
        <w:rPr>
          <w:spacing w:val="-1"/>
          <w:sz w:val="20"/>
        </w:rPr>
        <w:t> </w:t>
      </w:r>
      <w:r>
        <w:rPr>
          <w:sz w:val="20"/>
        </w:rPr>
        <w:t>primary</w:t>
      </w:r>
      <w:r>
        <w:rPr>
          <w:spacing w:val="-4"/>
          <w:sz w:val="20"/>
        </w:rPr>
        <w:t> </w:t>
      </w:r>
      <w:r>
        <w:rPr>
          <w:sz w:val="20"/>
        </w:rPr>
        <w:t>care,</w:t>
      </w:r>
      <w:r>
        <w:rPr>
          <w:spacing w:val="-5"/>
          <w:sz w:val="20"/>
        </w:rPr>
        <w:t> </w:t>
      </w:r>
      <w:r>
        <w:rPr>
          <w:sz w:val="20"/>
        </w:rPr>
        <w:t>including</w:t>
      </w:r>
      <w:r>
        <w:rPr>
          <w:spacing w:val="-4"/>
          <w:sz w:val="20"/>
        </w:rPr>
        <w:t> </w:t>
      </w:r>
      <w:r>
        <w:rPr>
          <w:sz w:val="20"/>
        </w:rPr>
        <w:t>experience</w:t>
      </w:r>
      <w:r>
        <w:rPr>
          <w:spacing w:val="-3"/>
          <w:sz w:val="20"/>
        </w:rPr>
        <w:t> </w:t>
      </w:r>
      <w:r>
        <w:rPr>
          <w:sz w:val="20"/>
        </w:rPr>
        <w:t>of</w:t>
      </w:r>
      <w:r>
        <w:rPr>
          <w:spacing w:val="-3"/>
          <w:sz w:val="20"/>
        </w:rPr>
        <w:t> </w:t>
      </w:r>
      <w:r>
        <w:rPr>
          <w:sz w:val="20"/>
        </w:rPr>
        <w:t>coordination</w:t>
      </w:r>
      <w:r>
        <w:rPr>
          <w:spacing w:val="-2"/>
          <w:sz w:val="20"/>
        </w:rPr>
        <w:t> </w:t>
      </w:r>
      <w:r>
        <w:rPr>
          <w:sz w:val="20"/>
        </w:rPr>
        <w:t>of</w:t>
      </w:r>
      <w:r>
        <w:rPr>
          <w:spacing w:val="-3"/>
          <w:sz w:val="20"/>
        </w:rPr>
        <w:t> </w:t>
      </w:r>
      <w:r>
        <w:rPr>
          <w:sz w:val="20"/>
        </w:rPr>
        <w:t>care.</w:t>
      </w:r>
    </w:p>
    <w:p>
      <w:pPr>
        <w:pStyle w:val="ListParagraph"/>
        <w:numPr>
          <w:ilvl w:val="0"/>
          <w:numId w:val="8"/>
        </w:numPr>
        <w:tabs>
          <w:tab w:pos="813" w:val="left" w:leader="none"/>
          <w:tab w:pos="814" w:val="left" w:leader="none"/>
        </w:tabs>
        <w:spacing w:line="240" w:lineRule="auto" w:before="36" w:after="0"/>
        <w:ind w:left="813" w:right="0" w:hanging="356"/>
        <w:jc w:val="left"/>
        <w:rPr>
          <w:sz w:val="20"/>
        </w:rPr>
      </w:pPr>
      <w:r>
        <w:rPr>
          <w:sz w:val="20"/>
        </w:rPr>
        <w:t>Increased</w:t>
      </w:r>
      <w:r>
        <w:rPr>
          <w:spacing w:val="-4"/>
          <w:sz w:val="20"/>
        </w:rPr>
        <w:t> </w:t>
      </w:r>
      <w:r>
        <w:rPr>
          <w:sz w:val="20"/>
        </w:rPr>
        <w:t>levels</w:t>
      </w:r>
      <w:r>
        <w:rPr>
          <w:spacing w:val="-3"/>
          <w:sz w:val="20"/>
        </w:rPr>
        <w:t> </w:t>
      </w:r>
      <w:r>
        <w:rPr>
          <w:sz w:val="20"/>
        </w:rPr>
        <w:t>of</w:t>
      </w:r>
      <w:r>
        <w:rPr>
          <w:spacing w:val="-3"/>
          <w:sz w:val="20"/>
        </w:rPr>
        <w:t> </w:t>
      </w:r>
      <w:r>
        <w:rPr>
          <w:sz w:val="20"/>
        </w:rPr>
        <w:t>evidence</w:t>
      </w:r>
      <w:r>
        <w:rPr>
          <w:spacing w:val="-3"/>
          <w:sz w:val="20"/>
        </w:rPr>
        <w:t> </w:t>
      </w:r>
      <w:r>
        <w:rPr>
          <w:sz w:val="20"/>
        </w:rPr>
        <w:t>based</w:t>
      </w:r>
      <w:r>
        <w:rPr>
          <w:spacing w:val="-3"/>
          <w:sz w:val="20"/>
        </w:rPr>
        <w:t> </w:t>
      </w:r>
      <w:r>
        <w:rPr>
          <w:sz w:val="20"/>
        </w:rPr>
        <w:t>chronic</w:t>
      </w:r>
      <w:r>
        <w:rPr>
          <w:spacing w:val="-2"/>
          <w:sz w:val="20"/>
        </w:rPr>
        <w:t> </w:t>
      </w:r>
      <w:r>
        <w:rPr>
          <w:sz w:val="20"/>
        </w:rPr>
        <w:t>disease</w:t>
      </w:r>
      <w:r>
        <w:rPr>
          <w:spacing w:val="-3"/>
          <w:sz w:val="20"/>
        </w:rPr>
        <w:t> </w:t>
      </w:r>
      <w:r>
        <w:rPr>
          <w:sz w:val="20"/>
        </w:rPr>
        <w:t>care.</w:t>
      </w:r>
    </w:p>
    <w:p>
      <w:pPr>
        <w:pStyle w:val="ListParagraph"/>
        <w:numPr>
          <w:ilvl w:val="0"/>
          <w:numId w:val="8"/>
        </w:numPr>
        <w:tabs>
          <w:tab w:pos="813" w:val="left" w:leader="none"/>
          <w:tab w:pos="814" w:val="left" w:leader="none"/>
        </w:tabs>
        <w:spacing w:line="276" w:lineRule="auto" w:before="38" w:after="0"/>
        <w:ind w:left="813" w:right="666" w:hanging="356"/>
        <w:jc w:val="left"/>
        <w:rPr>
          <w:sz w:val="20"/>
        </w:rPr>
      </w:pPr>
      <w:r>
        <w:rPr>
          <w:sz w:val="20"/>
        </w:rPr>
        <w:t>Improved level of activation, including greater engagement in care planning and</w:t>
      </w:r>
      <w:r>
        <w:rPr>
          <w:spacing w:val="-53"/>
          <w:sz w:val="20"/>
        </w:rPr>
        <w:t> </w:t>
      </w:r>
      <w:r>
        <w:rPr>
          <w:sz w:val="20"/>
        </w:rPr>
        <w:t>self-management of</w:t>
      </w:r>
      <w:r>
        <w:rPr>
          <w:spacing w:val="-1"/>
          <w:sz w:val="20"/>
        </w:rPr>
        <w:t> </w:t>
      </w:r>
      <w:r>
        <w:rPr>
          <w:sz w:val="20"/>
        </w:rPr>
        <w:t>chronic conditions.</w:t>
      </w:r>
    </w:p>
    <w:p>
      <w:pPr>
        <w:pStyle w:val="ListParagraph"/>
        <w:numPr>
          <w:ilvl w:val="0"/>
          <w:numId w:val="8"/>
        </w:numPr>
        <w:tabs>
          <w:tab w:pos="813" w:val="left" w:leader="none"/>
          <w:tab w:pos="814" w:val="left" w:leader="none"/>
        </w:tabs>
        <w:spacing w:line="240" w:lineRule="auto" w:before="0" w:after="0"/>
        <w:ind w:left="813" w:right="0" w:hanging="356"/>
        <w:jc w:val="left"/>
        <w:rPr>
          <w:sz w:val="20"/>
        </w:rPr>
      </w:pPr>
      <w:r>
        <w:rPr>
          <w:sz w:val="20"/>
        </w:rPr>
        <w:t>No</w:t>
      </w:r>
      <w:r>
        <w:rPr>
          <w:spacing w:val="-2"/>
          <w:sz w:val="20"/>
        </w:rPr>
        <w:t> </w:t>
      </w:r>
      <w:r>
        <w:rPr>
          <w:sz w:val="20"/>
        </w:rPr>
        <w:t>significant</w:t>
      </w:r>
      <w:r>
        <w:rPr>
          <w:spacing w:val="-4"/>
          <w:sz w:val="20"/>
        </w:rPr>
        <w:t> </w:t>
      </w:r>
      <w:r>
        <w:rPr>
          <w:sz w:val="20"/>
        </w:rPr>
        <w:t>impact</w:t>
      </w:r>
      <w:r>
        <w:rPr>
          <w:spacing w:val="-1"/>
          <w:sz w:val="20"/>
        </w:rPr>
        <w:t> </w:t>
      </w:r>
      <w:r>
        <w:rPr>
          <w:sz w:val="20"/>
        </w:rPr>
        <w:t>on</w:t>
      </w:r>
      <w:r>
        <w:rPr>
          <w:spacing w:val="-5"/>
          <w:sz w:val="20"/>
        </w:rPr>
        <w:t> </w:t>
      </w:r>
      <w:r>
        <w:rPr>
          <w:sz w:val="20"/>
        </w:rPr>
        <w:t>costs</w:t>
      </w:r>
      <w:r>
        <w:rPr>
          <w:spacing w:val="-4"/>
          <w:sz w:val="20"/>
        </w:rPr>
        <w:t> </w:t>
      </w:r>
      <w:r>
        <w:rPr>
          <w:sz w:val="20"/>
        </w:rPr>
        <w:t>to</w:t>
      </w:r>
      <w:r>
        <w:rPr>
          <w:spacing w:val="-3"/>
          <w:sz w:val="20"/>
        </w:rPr>
        <w:t> </w:t>
      </w:r>
      <w:r>
        <w:rPr>
          <w:sz w:val="20"/>
        </w:rPr>
        <w:t>receive</w:t>
      </w:r>
      <w:r>
        <w:rPr>
          <w:spacing w:val="-4"/>
          <w:sz w:val="20"/>
        </w:rPr>
        <w:t> </w:t>
      </w:r>
      <w:r>
        <w:rPr>
          <w:sz w:val="20"/>
        </w:rPr>
        <w:t>health</w:t>
      </w:r>
      <w:r>
        <w:rPr>
          <w:spacing w:val="-2"/>
          <w:sz w:val="20"/>
        </w:rPr>
        <w:t> </w:t>
      </w:r>
      <w:r>
        <w:rPr>
          <w:sz w:val="20"/>
        </w:rPr>
        <w:t>care.</w:t>
      </w:r>
    </w:p>
    <w:p>
      <w:pPr>
        <w:pStyle w:val="BodyText"/>
        <w:spacing w:before="4"/>
        <w:rPr>
          <w:sz w:val="19"/>
        </w:rPr>
      </w:pPr>
    </w:p>
    <w:p>
      <w:pPr>
        <w:pStyle w:val="BodyText"/>
        <w:spacing w:line="276" w:lineRule="auto"/>
        <w:ind w:left="100" w:right="374"/>
      </w:pPr>
      <w:r>
        <w:rPr/>
        <w:t>The evaluation will also seek preliminary evidence on some medium to long-term outcomes,</w:t>
      </w:r>
      <w:r>
        <w:rPr>
          <w:spacing w:val="-53"/>
        </w:rPr>
        <w:t> </w:t>
      </w:r>
      <w:r>
        <w:rPr/>
        <w:t>such</w:t>
      </w:r>
      <w:r>
        <w:rPr>
          <w:spacing w:val="-3"/>
        </w:rPr>
        <w:t> </w:t>
      </w:r>
      <w:r>
        <w:rPr/>
        <w:t>as</w:t>
      </w:r>
      <w:r>
        <w:rPr>
          <w:spacing w:val="-2"/>
        </w:rPr>
        <w:t> </w:t>
      </w:r>
      <w:r>
        <w:rPr/>
        <w:t>the</w:t>
      </w:r>
      <w:r>
        <w:rPr>
          <w:spacing w:val="-3"/>
        </w:rPr>
        <w:t> </w:t>
      </w:r>
      <w:r>
        <w:rPr/>
        <w:t>impact</w:t>
      </w:r>
      <w:r>
        <w:rPr>
          <w:spacing w:val="-2"/>
        </w:rPr>
        <w:t> </w:t>
      </w:r>
      <w:r>
        <w:rPr/>
        <w:t>on</w:t>
      </w:r>
      <w:r>
        <w:rPr>
          <w:spacing w:val="-2"/>
        </w:rPr>
        <w:t> </w:t>
      </w:r>
      <w:r>
        <w:rPr/>
        <w:t>hospitalisations</w:t>
      </w:r>
      <w:r>
        <w:rPr>
          <w:spacing w:val="-3"/>
        </w:rPr>
        <w:t> </w:t>
      </w:r>
      <w:r>
        <w:rPr/>
        <w:t>of</w:t>
      </w:r>
      <w:r>
        <w:rPr>
          <w:spacing w:val="-2"/>
        </w:rPr>
        <w:t> </w:t>
      </w:r>
      <w:r>
        <w:rPr/>
        <w:t>HCH</w:t>
      </w:r>
      <w:r>
        <w:rPr>
          <w:spacing w:val="-3"/>
        </w:rPr>
        <w:t> </w:t>
      </w:r>
      <w:r>
        <w:rPr/>
        <w:t>patients,</w:t>
      </w:r>
      <w:r>
        <w:rPr>
          <w:spacing w:val="-4"/>
        </w:rPr>
        <w:t> </w:t>
      </w:r>
      <w:r>
        <w:rPr/>
        <w:t>and</w:t>
      </w:r>
      <w:r>
        <w:rPr>
          <w:spacing w:val="-3"/>
        </w:rPr>
        <w:t> </w:t>
      </w:r>
      <w:r>
        <w:rPr/>
        <w:t>the</w:t>
      </w:r>
      <w:r>
        <w:rPr>
          <w:spacing w:val="-3"/>
        </w:rPr>
        <w:t> </w:t>
      </w:r>
      <w:r>
        <w:rPr/>
        <w:t>impact</w:t>
      </w:r>
      <w:r>
        <w:rPr>
          <w:spacing w:val="-1"/>
        </w:rPr>
        <w:t> </w:t>
      </w:r>
      <w:r>
        <w:rPr/>
        <w:t>on</w:t>
      </w:r>
      <w:r>
        <w:rPr>
          <w:spacing w:val="-4"/>
        </w:rPr>
        <w:t> </w:t>
      </w:r>
      <w:r>
        <w:rPr/>
        <w:t>health</w:t>
      </w:r>
      <w:r>
        <w:rPr>
          <w:spacing w:val="-2"/>
        </w:rPr>
        <w:t> </w:t>
      </w:r>
      <w:r>
        <w:rPr/>
        <w:t>outcomes.</w:t>
      </w:r>
    </w:p>
    <w:p>
      <w:pPr>
        <w:pStyle w:val="BodyText"/>
        <w:spacing w:line="276" w:lineRule="auto" w:before="200"/>
        <w:ind w:left="100" w:right="438"/>
      </w:pPr>
      <w:r>
        <w:rPr/>
        <w:t>Conclusions on whether there have been positive outcomes in these areas will be based on</w:t>
      </w:r>
      <w:r>
        <w:rPr>
          <w:spacing w:val="-53"/>
        </w:rPr>
        <w:t> </w:t>
      </w:r>
      <w:r>
        <w:rPr/>
        <w:t>statistical evidence that HCH practices and patients have changed following the</w:t>
      </w:r>
      <w:r>
        <w:rPr>
          <w:spacing w:val="1"/>
        </w:rPr>
        <w:t> </w:t>
      </w:r>
      <w:r>
        <w:rPr/>
        <w:t>implementation of the HCH model relative to the changes observed for comparator</w:t>
      </w:r>
      <w:r>
        <w:rPr>
          <w:spacing w:val="1"/>
        </w:rPr>
        <w:t> </w:t>
      </w:r>
      <w:r>
        <w:rPr/>
        <w:t>practices and/ or patients (where comparators are available), or from before the</w:t>
      </w:r>
      <w:r>
        <w:rPr>
          <w:spacing w:val="1"/>
        </w:rPr>
        <w:t> </w:t>
      </w:r>
      <w:r>
        <w:rPr/>
        <w:t>implementation of the HCH model. These findings will be supplemented by qualitative</w:t>
      </w:r>
      <w:r>
        <w:rPr>
          <w:spacing w:val="1"/>
        </w:rPr>
        <w:t> </w:t>
      </w:r>
      <w:r>
        <w:rPr/>
        <w:t>analysis</w:t>
      </w:r>
      <w:r>
        <w:rPr>
          <w:spacing w:val="-2"/>
        </w:rPr>
        <w:t> </w:t>
      </w:r>
      <w:r>
        <w:rPr/>
        <w:t>of the</w:t>
      </w:r>
      <w:r>
        <w:rPr>
          <w:spacing w:val="-2"/>
        </w:rPr>
        <w:t> </w:t>
      </w:r>
      <w:r>
        <w:rPr/>
        <w:t>experiences</w:t>
      </w:r>
      <w:r>
        <w:rPr>
          <w:spacing w:val="-1"/>
        </w:rPr>
        <w:t> </w:t>
      </w:r>
      <w:r>
        <w:rPr/>
        <w:t>of</w:t>
      </w:r>
      <w:r>
        <w:rPr>
          <w:spacing w:val="-2"/>
        </w:rPr>
        <w:t> </w:t>
      </w:r>
      <w:r>
        <w:rPr/>
        <w:t>patients,</w:t>
      </w:r>
      <w:r>
        <w:rPr>
          <w:spacing w:val="-3"/>
        </w:rPr>
        <w:t> </w:t>
      </w:r>
      <w:r>
        <w:rPr/>
        <w:t>and</w:t>
      </w:r>
      <w:r>
        <w:rPr>
          <w:spacing w:val="-1"/>
        </w:rPr>
        <w:t> </w:t>
      </w:r>
      <w:r>
        <w:rPr/>
        <w:t>HCH</w:t>
      </w:r>
      <w:r>
        <w:rPr>
          <w:spacing w:val="1"/>
        </w:rPr>
        <w:t> </w:t>
      </w:r>
      <w:r>
        <w:rPr/>
        <w:t>practice</w:t>
      </w:r>
      <w:r>
        <w:rPr>
          <w:spacing w:val="-1"/>
        </w:rPr>
        <w:t> </w:t>
      </w:r>
      <w:r>
        <w:rPr/>
        <w:t>staff.</w:t>
      </w:r>
    </w:p>
    <w:p>
      <w:pPr>
        <w:pStyle w:val="BodyText"/>
        <w:spacing w:line="276" w:lineRule="auto" w:before="200"/>
        <w:ind w:left="100" w:right="463"/>
      </w:pPr>
      <w:r>
        <w:rPr/>
        <w:t>Another goal of the trial is to articulate learnings that have implications for the design of the</w:t>
      </w:r>
      <w:r>
        <w:rPr>
          <w:spacing w:val="-53"/>
        </w:rPr>
        <w:t> </w:t>
      </w:r>
      <w:r>
        <w:rPr/>
        <w:t>HCH program for subsequent rollout. In this sense, success of the program entails that the</w:t>
      </w:r>
      <w:r>
        <w:rPr>
          <w:spacing w:val="1"/>
        </w:rPr>
        <w:t> </w:t>
      </w:r>
      <w:r>
        <w:rPr/>
        <w:t>recommended changes to the program are feasible from the perspectives of the various</w:t>
      </w:r>
      <w:r>
        <w:rPr>
          <w:spacing w:val="1"/>
        </w:rPr>
        <w:t> </w:t>
      </w:r>
      <w:r>
        <w:rPr/>
        <w:t>stakeholders</w:t>
      </w:r>
      <w:r>
        <w:rPr>
          <w:spacing w:val="-1"/>
        </w:rPr>
        <w:t> </w:t>
      </w:r>
      <w:r>
        <w:rPr/>
        <w:t>(i.e.</w:t>
      </w:r>
      <w:r>
        <w:rPr>
          <w:spacing w:val="-4"/>
        </w:rPr>
        <w:t> </w:t>
      </w:r>
      <w:r>
        <w:rPr/>
        <w:t>patients,</w:t>
      </w:r>
      <w:r>
        <w:rPr>
          <w:spacing w:val="-4"/>
        </w:rPr>
        <w:t> </w:t>
      </w:r>
      <w:r>
        <w:rPr/>
        <w:t>practices,</w:t>
      </w:r>
      <w:r>
        <w:rPr>
          <w:spacing w:val="-4"/>
        </w:rPr>
        <w:t> </w:t>
      </w:r>
      <w:r>
        <w:rPr/>
        <w:t>regional</w:t>
      </w:r>
      <w:r>
        <w:rPr>
          <w:spacing w:val="-2"/>
        </w:rPr>
        <w:t> </w:t>
      </w:r>
      <w:r>
        <w:rPr/>
        <w:t>organisations</w:t>
      </w:r>
      <w:r>
        <w:rPr>
          <w:spacing w:val="-2"/>
        </w:rPr>
        <w:t> </w:t>
      </w:r>
      <w:r>
        <w:rPr/>
        <w:t>and</w:t>
      </w:r>
      <w:r>
        <w:rPr>
          <w:spacing w:val="-2"/>
        </w:rPr>
        <w:t> </w:t>
      </w:r>
      <w:r>
        <w:rPr/>
        <w:t>governments).</w:t>
      </w:r>
    </w:p>
    <w:p>
      <w:pPr>
        <w:spacing w:after="0" w:line="276" w:lineRule="auto"/>
        <w:sectPr>
          <w:footerReference w:type="default" r:id="rId16"/>
          <w:pgSz w:w="11910" w:h="16840"/>
          <w:pgMar w:footer="675" w:header="0" w:top="1340" w:bottom="860" w:left="1340" w:right="1140"/>
        </w:sectPr>
      </w:pPr>
    </w:p>
    <w:p>
      <w:pPr>
        <w:pStyle w:val="BodyText"/>
      </w:pPr>
      <w:r>
        <w:rPr/>
        <w:pict>
          <v:group style="position:absolute;margin-left:21.666113pt;margin-top:0pt;width:573.7pt;height:116.2pt;mso-position-horizontal-relative:page;mso-position-vertical-relative:page;z-index:-27551232" id="docshapegroup32" coordorigin="433,0" coordsize="11474,2324">
            <v:shape style="position:absolute;left:433;top:0;width:11474;height:1577" type="#_x0000_t75" id="docshape33" stroked="false">
              <v:imagedata r:id="rId17" o:title=""/>
            </v:shape>
            <v:shape style="position:absolute;left:9915;top:1095;width:1200;height:1155" id="docshape34" coordorigin="9915,1095" coordsize="1200,1155" path="m10515,1095l10440,1100,10367,1113,10298,1134,10233,1163,10172,1198,10117,1241,10066,1289,10022,1343,9985,1401,9955,1464,9933,1530,9920,1600,9915,1673,9920,1745,9933,1815,9955,1881,9985,1944,10022,2002,10066,2056,10117,2104,10172,2147,10233,2182,10298,2211,10367,2232,10440,2245,10515,2250,10590,2245,10663,2232,10732,2211,10797,2182,10858,2147,10913,2104,10964,2056,11008,2002,11045,1944,11075,1881,11097,1815,11110,1745,11115,1673,11110,1600,11097,1530,11075,1464,11045,1401,11008,1343,10964,1289,10913,1241,10858,1198,10797,1163,10732,1134,10663,1113,10590,1100,10515,1095xe" filled="true" fillcolor="#003c79" stroked="false">
              <v:path arrowok="t"/>
              <v:fill type="solid"/>
            </v:shape>
            <v:shape style="position:absolute;left:9915;top:1095;width:1200;height:1155" id="docshape35" coordorigin="9915,1095" coordsize="1200,1155" path="m9915,1673l9920,1600,9933,1530,9955,1464,9985,1401,10022,1343,10066,1289,10117,1241,10172,1198,10233,1163,10298,1134,10367,1113,10440,1100,10515,1095,10590,1100,10663,1113,10732,1134,10797,1163,10858,1198,10913,1241,10964,1289,11008,1343,11045,1401,11075,1464,11097,1530,11110,1600,11115,1673,11110,1745,11097,1815,11075,1881,11045,1944,11008,2002,10964,2056,10913,2104,10858,2147,10797,2182,10732,2211,10663,2232,10590,2245,10515,2250,10440,2245,10367,2232,10298,2211,10233,2182,10172,2147,10117,2104,10066,2056,10022,2002,9985,1944,9955,1881,9933,1815,9920,1745,9915,1673xe" filled="false" stroked="true" strokeweight="2.5pt" strokecolor="#003c79">
              <v:path arrowok="t"/>
              <v:stroke dashstyle="solid"/>
            </v:shape>
            <v:shape style="position:absolute;left:1440;top:1440;width:7120;height:883" type="#_x0000_t202" id="docshape36" filled="false" stroked="false">
              <v:textbox inset="0,0,0,0">
                <w:txbxContent>
                  <w:p>
                    <w:pPr>
                      <w:spacing w:before="0"/>
                      <w:ind w:left="0" w:right="0" w:firstLine="0"/>
                      <w:jc w:val="left"/>
                      <w:rPr>
                        <w:sz w:val="72"/>
                      </w:rPr>
                    </w:pPr>
                    <w:r>
                      <w:rPr>
                        <w:color w:val="003C79"/>
                        <w:sz w:val="72"/>
                      </w:rPr>
                      <w:t>Evaluation</w:t>
                    </w:r>
                    <w:r>
                      <w:rPr>
                        <w:color w:val="003C79"/>
                        <w:spacing w:val="-14"/>
                        <w:sz w:val="72"/>
                      </w:rPr>
                      <w:t> </w:t>
                    </w:r>
                    <w:r>
                      <w:rPr>
                        <w:color w:val="003C79"/>
                        <w:sz w:val="72"/>
                      </w:rPr>
                      <w:t>questions</w:t>
                    </w:r>
                  </w:p>
                </w:txbxContent>
              </v:textbox>
              <w10:wrap type="none"/>
            </v:shape>
            <v:shape style="position:absolute;left:10394;top:1404;width:266;height:539" type="#_x0000_t202" id="docshape37" filled="false" stroked="false">
              <v:textbox inset="0,0,0,0">
                <w:txbxContent>
                  <w:p>
                    <w:pPr>
                      <w:spacing w:line="538" w:lineRule="exact" w:before="0"/>
                      <w:ind w:left="0" w:right="0" w:firstLine="0"/>
                      <w:jc w:val="left"/>
                      <w:rPr>
                        <w:b/>
                        <w:sz w:val="44"/>
                      </w:rPr>
                    </w:pPr>
                    <w:r>
                      <w:rPr>
                        <w:b/>
                        <w:color w:val="FFFFFF"/>
                        <w:w w:val="99"/>
                        <w:sz w:val="44"/>
                      </w:rPr>
                      <w:t>3</w:t>
                    </w:r>
                  </w:p>
                </w:txbxContent>
              </v:textbox>
              <w10:wrap type="none"/>
            </v:shape>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6"/>
        </w:rPr>
      </w:pPr>
    </w:p>
    <w:p>
      <w:pPr>
        <w:pStyle w:val="BodyText"/>
        <w:spacing w:line="276" w:lineRule="auto" w:before="99"/>
        <w:ind w:left="100" w:right="440"/>
      </w:pPr>
      <w:bookmarkStart w:name="_bookmark17" w:id="18"/>
      <w:bookmarkEnd w:id="18"/>
      <w:r>
        <w:rPr/>
      </w:r>
      <w:r>
        <w:rPr/>
        <w:t>The purpose of the evaluation is to assess the extent to which HCH is achieving its objectives</w:t>
      </w:r>
      <w:r>
        <w:rPr>
          <w:spacing w:val="-53"/>
        </w:rPr>
        <w:t> </w:t>
      </w:r>
      <w:r>
        <w:rPr/>
        <w:t>(summative evaluation), and inform the future directions of the program (formative</w:t>
      </w:r>
      <w:r>
        <w:rPr>
          <w:spacing w:val="1"/>
        </w:rPr>
        <w:t> </w:t>
      </w:r>
      <w:r>
        <w:rPr/>
        <w:t>evaluation).</w:t>
      </w:r>
    </w:p>
    <w:p>
      <w:pPr>
        <w:pStyle w:val="BodyText"/>
        <w:spacing w:line="276" w:lineRule="auto" w:before="201"/>
        <w:ind w:left="100" w:right="471"/>
      </w:pPr>
      <w:r>
        <w:rPr/>
        <w:t>The evaluation is focused on identifying the changes in structure and processes that occur</w:t>
      </w:r>
      <w:r>
        <w:rPr>
          <w:spacing w:val="1"/>
        </w:rPr>
        <w:t> </w:t>
      </w:r>
      <w:r>
        <w:rPr/>
        <w:t>following the rollout of HCH. The evaluation will seek to measure short-term outcomes of the</w:t>
      </w:r>
      <w:r>
        <w:rPr>
          <w:spacing w:val="-53"/>
        </w:rPr>
        <w:t> </w:t>
      </w:r>
      <w:r>
        <w:rPr/>
        <w:t>program and provide preliminary evidence concerning the medium- to longer-term</w:t>
      </w:r>
      <w:r>
        <w:rPr>
          <w:spacing w:val="1"/>
        </w:rPr>
        <w:t> </w:t>
      </w:r>
      <w:r>
        <w:rPr/>
        <w:t>outcomes.</w:t>
      </w:r>
    </w:p>
    <w:p>
      <w:pPr>
        <w:pStyle w:val="BodyText"/>
        <w:spacing w:before="200"/>
        <w:ind w:left="100"/>
      </w:pPr>
      <w:r>
        <w:rPr/>
        <w:t>The</w:t>
      </w:r>
      <w:r>
        <w:rPr>
          <w:spacing w:val="-3"/>
        </w:rPr>
        <w:t> </w:t>
      </w:r>
      <w:r>
        <w:rPr/>
        <w:t>key</w:t>
      </w:r>
      <w:r>
        <w:rPr>
          <w:spacing w:val="-4"/>
        </w:rPr>
        <w:t> </w:t>
      </w:r>
      <w:r>
        <w:rPr/>
        <w:t>questions</w:t>
      </w:r>
      <w:r>
        <w:rPr>
          <w:spacing w:val="-2"/>
        </w:rPr>
        <w:t> </w:t>
      </w:r>
      <w:r>
        <w:rPr/>
        <w:t>posed</w:t>
      </w:r>
      <w:r>
        <w:rPr>
          <w:spacing w:val="-1"/>
        </w:rPr>
        <w:t> </w:t>
      </w:r>
      <w:r>
        <w:rPr/>
        <w:t>for</w:t>
      </w:r>
      <w:r>
        <w:rPr>
          <w:spacing w:val="-3"/>
        </w:rPr>
        <w:t> </w:t>
      </w:r>
      <w:r>
        <w:rPr/>
        <w:t>the</w:t>
      </w:r>
      <w:r>
        <w:rPr>
          <w:spacing w:val="-3"/>
        </w:rPr>
        <w:t> </w:t>
      </w:r>
      <w:r>
        <w:rPr/>
        <w:t>evaluation</w:t>
      </w:r>
      <w:r>
        <w:rPr>
          <w:spacing w:val="-2"/>
        </w:rPr>
        <w:t> </w:t>
      </w:r>
      <w:r>
        <w:rPr/>
        <w:t>are:</w:t>
      </w:r>
    </w:p>
    <w:p>
      <w:pPr>
        <w:pStyle w:val="BodyText"/>
        <w:spacing w:before="4"/>
        <w:rPr>
          <w:sz w:val="19"/>
        </w:rPr>
      </w:pPr>
    </w:p>
    <w:p>
      <w:pPr>
        <w:pStyle w:val="ListParagraph"/>
        <w:numPr>
          <w:ilvl w:val="0"/>
          <w:numId w:val="9"/>
        </w:numPr>
        <w:tabs>
          <w:tab w:pos="821" w:val="left" w:leader="none"/>
        </w:tabs>
        <w:spacing w:line="240" w:lineRule="auto" w:before="0" w:after="0"/>
        <w:ind w:left="820" w:right="0" w:hanging="361"/>
        <w:jc w:val="left"/>
        <w:rPr>
          <w:sz w:val="20"/>
        </w:rPr>
      </w:pPr>
      <w:r>
        <w:rPr>
          <w:sz w:val="20"/>
        </w:rPr>
        <w:t>How</w:t>
      </w:r>
      <w:r>
        <w:rPr>
          <w:spacing w:val="-1"/>
          <w:sz w:val="20"/>
        </w:rPr>
        <w:t> </w:t>
      </w:r>
      <w:r>
        <w:rPr>
          <w:sz w:val="20"/>
        </w:rPr>
        <w:t>was</w:t>
      </w:r>
      <w:r>
        <w:rPr>
          <w:spacing w:val="-3"/>
          <w:sz w:val="20"/>
        </w:rPr>
        <w:t> </w:t>
      </w:r>
      <w:r>
        <w:rPr>
          <w:sz w:val="20"/>
        </w:rPr>
        <w:t>the</w:t>
      </w:r>
      <w:r>
        <w:rPr>
          <w:spacing w:val="-3"/>
          <w:sz w:val="20"/>
        </w:rPr>
        <w:t> </w:t>
      </w:r>
      <w:r>
        <w:rPr>
          <w:sz w:val="20"/>
        </w:rPr>
        <w:t>HCH</w:t>
      </w:r>
      <w:r>
        <w:rPr>
          <w:spacing w:val="-1"/>
          <w:sz w:val="20"/>
        </w:rPr>
        <w:t> </w:t>
      </w:r>
      <w:r>
        <w:rPr>
          <w:sz w:val="20"/>
        </w:rPr>
        <w:t>model</w:t>
      </w:r>
      <w:r>
        <w:rPr>
          <w:spacing w:val="-2"/>
          <w:sz w:val="20"/>
        </w:rPr>
        <w:t> </w:t>
      </w:r>
      <w:r>
        <w:rPr>
          <w:sz w:val="20"/>
        </w:rPr>
        <w:t>implemented</w:t>
      </w:r>
      <w:r>
        <w:rPr>
          <w:spacing w:val="-3"/>
          <w:sz w:val="20"/>
        </w:rPr>
        <w:t> </w:t>
      </w:r>
      <w:r>
        <w:rPr>
          <w:sz w:val="20"/>
        </w:rPr>
        <w:t>and</w:t>
      </w:r>
      <w:r>
        <w:rPr>
          <w:spacing w:val="-3"/>
          <w:sz w:val="20"/>
        </w:rPr>
        <w:t> </w:t>
      </w:r>
      <w:r>
        <w:rPr>
          <w:sz w:val="20"/>
        </w:rPr>
        <w:t>what</w:t>
      </w:r>
      <w:r>
        <w:rPr>
          <w:spacing w:val="-2"/>
          <w:sz w:val="20"/>
        </w:rPr>
        <w:t> </w:t>
      </w:r>
      <w:r>
        <w:rPr>
          <w:sz w:val="20"/>
        </w:rPr>
        <w:t>were</w:t>
      </w:r>
      <w:r>
        <w:rPr>
          <w:spacing w:val="-3"/>
          <w:sz w:val="20"/>
        </w:rPr>
        <w:t> </w:t>
      </w:r>
      <w:r>
        <w:rPr>
          <w:sz w:val="20"/>
        </w:rPr>
        <w:t>the</w:t>
      </w:r>
      <w:r>
        <w:rPr>
          <w:spacing w:val="-3"/>
          <w:sz w:val="20"/>
        </w:rPr>
        <w:t> </w:t>
      </w:r>
      <w:r>
        <w:rPr>
          <w:sz w:val="20"/>
        </w:rPr>
        <w:t>barriers</w:t>
      </w:r>
      <w:r>
        <w:rPr>
          <w:spacing w:val="-3"/>
          <w:sz w:val="20"/>
        </w:rPr>
        <w:t> </w:t>
      </w:r>
      <w:r>
        <w:rPr>
          <w:sz w:val="20"/>
        </w:rPr>
        <w:t>and</w:t>
      </w:r>
      <w:r>
        <w:rPr>
          <w:spacing w:val="-2"/>
          <w:sz w:val="20"/>
        </w:rPr>
        <w:t> </w:t>
      </w:r>
      <w:r>
        <w:rPr>
          <w:sz w:val="20"/>
        </w:rPr>
        <w:t>enablers?</w:t>
      </w:r>
    </w:p>
    <w:p>
      <w:pPr>
        <w:pStyle w:val="ListParagraph"/>
        <w:numPr>
          <w:ilvl w:val="0"/>
          <w:numId w:val="9"/>
        </w:numPr>
        <w:tabs>
          <w:tab w:pos="821" w:val="left" w:leader="none"/>
        </w:tabs>
        <w:spacing w:line="276" w:lineRule="auto" w:before="38" w:after="0"/>
        <w:ind w:left="820" w:right="841" w:hanging="360"/>
        <w:jc w:val="left"/>
        <w:rPr>
          <w:sz w:val="20"/>
        </w:rPr>
      </w:pPr>
      <w:r>
        <w:rPr>
          <w:sz w:val="20"/>
        </w:rPr>
        <w:t>How does the HCH model change the way practices approach chronic disease</w:t>
      </w:r>
      <w:r>
        <w:rPr>
          <w:spacing w:val="-53"/>
          <w:sz w:val="20"/>
        </w:rPr>
        <w:t> </w:t>
      </w:r>
      <w:r>
        <w:rPr>
          <w:sz w:val="20"/>
        </w:rPr>
        <w:t>management?</w:t>
      </w:r>
    </w:p>
    <w:p>
      <w:pPr>
        <w:pStyle w:val="ListParagraph"/>
        <w:numPr>
          <w:ilvl w:val="0"/>
          <w:numId w:val="9"/>
        </w:numPr>
        <w:tabs>
          <w:tab w:pos="821" w:val="left" w:leader="none"/>
        </w:tabs>
        <w:spacing w:line="240" w:lineRule="auto" w:before="0" w:after="0"/>
        <w:ind w:left="820" w:right="0" w:hanging="361"/>
        <w:jc w:val="left"/>
        <w:rPr>
          <w:sz w:val="20"/>
        </w:rPr>
      </w:pPr>
      <w:r>
        <w:rPr>
          <w:sz w:val="20"/>
        </w:rPr>
        <w:t>Do</w:t>
      </w:r>
      <w:r>
        <w:rPr>
          <w:spacing w:val="-4"/>
          <w:sz w:val="20"/>
        </w:rPr>
        <w:t> </w:t>
      </w:r>
      <w:r>
        <w:rPr>
          <w:sz w:val="20"/>
        </w:rPr>
        <w:t>patients</w:t>
      </w:r>
      <w:r>
        <w:rPr>
          <w:spacing w:val="-3"/>
          <w:sz w:val="20"/>
        </w:rPr>
        <w:t> </w:t>
      </w:r>
      <w:r>
        <w:rPr>
          <w:sz w:val="20"/>
        </w:rPr>
        <w:t>enrolled</w:t>
      </w:r>
      <w:r>
        <w:rPr>
          <w:spacing w:val="-3"/>
          <w:sz w:val="20"/>
        </w:rPr>
        <w:t> </w:t>
      </w:r>
      <w:r>
        <w:rPr>
          <w:sz w:val="20"/>
        </w:rPr>
        <w:t>in</w:t>
      </w:r>
      <w:r>
        <w:rPr>
          <w:spacing w:val="-2"/>
          <w:sz w:val="20"/>
        </w:rPr>
        <w:t> </w:t>
      </w:r>
      <w:r>
        <w:rPr>
          <w:sz w:val="20"/>
        </w:rPr>
        <w:t>HCH</w:t>
      </w:r>
      <w:r>
        <w:rPr>
          <w:spacing w:val="-2"/>
          <w:sz w:val="20"/>
        </w:rPr>
        <w:t> </w:t>
      </w:r>
      <w:r>
        <w:rPr>
          <w:sz w:val="20"/>
        </w:rPr>
        <w:t>experience</w:t>
      </w:r>
      <w:r>
        <w:rPr>
          <w:spacing w:val="-3"/>
          <w:sz w:val="20"/>
        </w:rPr>
        <w:t> </w:t>
      </w:r>
      <w:r>
        <w:rPr>
          <w:sz w:val="20"/>
        </w:rPr>
        <w:t>better</w:t>
      </w:r>
      <w:r>
        <w:rPr>
          <w:spacing w:val="-3"/>
          <w:sz w:val="20"/>
        </w:rPr>
        <w:t> </w:t>
      </w:r>
      <w:r>
        <w:rPr>
          <w:sz w:val="20"/>
        </w:rPr>
        <w:t>quality</w:t>
      </w:r>
      <w:r>
        <w:rPr>
          <w:spacing w:val="-4"/>
          <w:sz w:val="20"/>
        </w:rPr>
        <w:t> </w:t>
      </w:r>
      <w:r>
        <w:rPr>
          <w:sz w:val="20"/>
        </w:rPr>
        <w:t>care?</w:t>
      </w:r>
    </w:p>
    <w:p>
      <w:pPr>
        <w:pStyle w:val="ListParagraph"/>
        <w:numPr>
          <w:ilvl w:val="0"/>
          <w:numId w:val="9"/>
        </w:numPr>
        <w:tabs>
          <w:tab w:pos="821" w:val="left" w:leader="none"/>
        </w:tabs>
        <w:spacing w:line="276" w:lineRule="auto" w:before="35" w:after="0"/>
        <w:ind w:left="820" w:right="853" w:hanging="360"/>
        <w:jc w:val="left"/>
        <w:rPr>
          <w:sz w:val="20"/>
        </w:rPr>
      </w:pPr>
      <w:r>
        <w:rPr>
          <w:sz w:val="20"/>
        </w:rPr>
        <w:t>What are the financial effects of the HCH model on governments, providers and</w:t>
      </w:r>
      <w:r>
        <w:rPr>
          <w:spacing w:val="-54"/>
          <w:sz w:val="20"/>
        </w:rPr>
        <w:t> </w:t>
      </w:r>
      <w:r>
        <w:rPr>
          <w:sz w:val="20"/>
        </w:rPr>
        <w:t>individuals?</w:t>
      </w:r>
    </w:p>
    <w:p>
      <w:pPr>
        <w:pStyle w:val="BodyText"/>
        <w:spacing w:before="200"/>
        <w:ind w:left="100"/>
      </w:pPr>
      <w:r>
        <w:rPr/>
        <w:t>Additional</w:t>
      </w:r>
      <w:r>
        <w:rPr>
          <w:spacing w:val="-4"/>
        </w:rPr>
        <w:t> </w:t>
      </w:r>
      <w:r>
        <w:rPr/>
        <w:t>questions</w:t>
      </w:r>
      <w:r>
        <w:rPr>
          <w:spacing w:val="-4"/>
        </w:rPr>
        <w:t> </w:t>
      </w:r>
      <w:r>
        <w:rPr/>
        <w:t>for</w:t>
      </w:r>
      <w:r>
        <w:rPr>
          <w:spacing w:val="-4"/>
        </w:rPr>
        <w:t> </w:t>
      </w:r>
      <w:r>
        <w:rPr/>
        <w:t>the</w:t>
      </w:r>
      <w:r>
        <w:rPr>
          <w:spacing w:val="-4"/>
        </w:rPr>
        <w:t> </w:t>
      </w:r>
      <w:r>
        <w:rPr/>
        <w:t>community</w:t>
      </w:r>
      <w:r>
        <w:rPr>
          <w:spacing w:val="-5"/>
        </w:rPr>
        <w:t> </w:t>
      </w:r>
      <w:r>
        <w:rPr/>
        <w:t>pharmacy</w:t>
      </w:r>
      <w:r>
        <w:rPr>
          <w:spacing w:val="-5"/>
        </w:rPr>
        <w:t> </w:t>
      </w:r>
      <w:r>
        <w:rPr/>
        <w:t>component</w:t>
      </w:r>
      <w:r>
        <w:rPr>
          <w:spacing w:val="-2"/>
        </w:rPr>
        <w:t> </w:t>
      </w:r>
      <w:r>
        <w:rPr/>
        <w:t>are:</w:t>
      </w:r>
    </w:p>
    <w:p>
      <w:pPr>
        <w:pStyle w:val="BodyText"/>
        <w:spacing w:before="4"/>
        <w:rPr>
          <w:sz w:val="19"/>
        </w:rPr>
      </w:pPr>
    </w:p>
    <w:p>
      <w:pPr>
        <w:pStyle w:val="ListParagraph"/>
        <w:numPr>
          <w:ilvl w:val="0"/>
          <w:numId w:val="9"/>
        </w:numPr>
        <w:tabs>
          <w:tab w:pos="821" w:val="left" w:leader="none"/>
        </w:tabs>
        <w:spacing w:line="278" w:lineRule="auto" w:before="0" w:after="0"/>
        <w:ind w:left="820" w:right="335" w:hanging="360"/>
        <w:jc w:val="left"/>
        <w:rPr>
          <w:sz w:val="20"/>
        </w:rPr>
      </w:pPr>
      <w:r>
        <w:rPr>
          <w:sz w:val="20"/>
        </w:rPr>
        <w:t>Is the</w:t>
      </w:r>
      <w:r>
        <w:rPr>
          <w:spacing w:val="1"/>
          <w:sz w:val="20"/>
        </w:rPr>
        <w:t> </w:t>
      </w:r>
      <w:r>
        <w:rPr>
          <w:sz w:val="20"/>
        </w:rPr>
        <w:t>community</w:t>
      </w:r>
      <w:r>
        <w:rPr>
          <w:spacing w:val="-1"/>
          <w:sz w:val="20"/>
        </w:rPr>
        <w:t> </w:t>
      </w:r>
      <w:r>
        <w:rPr>
          <w:sz w:val="20"/>
        </w:rPr>
        <w:t>pharmacy component</w:t>
      </w:r>
      <w:r>
        <w:rPr>
          <w:spacing w:val="3"/>
          <w:sz w:val="20"/>
        </w:rPr>
        <w:t> </w:t>
      </w:r>
      <w:r>
        <w:rPr>
          <w:sz w:val="20"/>
        </w:rPr>
        <w:t>a</w:t>
      </w:r>
      <w:r>
        <w:rPr>
          <w:spacing w:val="1"/>
          <w:sz w:val="20"/>
        </w:rPr>
        <w:t> </w:t>
      </w:r>
      <w:r>
        <w:rPr>
          <w:sz w:val="20"/>
        </w:rPr>
        <w:t>beneficial</w:t>
      </w:r>
      <w:r>
        <w:rPr>
          <w:spacing w:val="2"/>
          <w:sz w:val="20"/>
        </w:rPr>
        <w:t> </w:t>
      </w:r>
      <w:r>
        <w:rPr>
          <w:sz w:val="20"/>
        </w:rPr>
        <w:t>component</w:t>
      </w:r>
      <w:r>
        <w:rPr>
          <w:spacing w:val="2"/>
          <w:sz w:val="20"/>
        </w:rPr>
        <w:t> </w:t>
      </w:r>
      <w:r>
        <w:rPr>
          <w:sz w:val="20"/>
        </w:rPr>
        <w:t>of</w:t>
      </w:r>
      <w:r>
        <w:rPr>
          <w:spacing w:val="1"/>
          <w:sz w:val="20"/>
        </w:rPr>
        <w:t> </w:t>
      </w:r>
      <w:r>
        <w:rPr>
          <w:sz w:val="20"/>
        </w:rPr>
        <w:t>the broader</w:t>
      </w:r>
      <w:r>
        <w:rPr>
          <w:spacing w:val="1"/>
          <w:sz w:val="20"/>
        </w:rPr>
        <w:t> </w:t>
      </w:r>
      <w:r>
        <w:rPr>
          <w:sz w:val="20"/>
        </w:rPr>
        <w:t>HCH</w:t>
      </w:r>
      <w:r>
        <w:rPr>
          <w:spacing w:val="-3"/>
          <w:sz w:val="20"/>
        </w:rPr>
        <w:t> </w:t>
      </w:r>
      <w:r>
        <w:rPr>
          <w:sz w:val="20"/>
        </w:rPr>
        <w:t>coordinated</w:t>
      </w:r>
      <w:r>
        <w:rPr>
          <w:spacing w:val="-3"/>
          <w:sz w:val="20"/>
        </w:rPr>
        <w:t> </w:t>
      </w:r>
      <w:r>
        <w:rPr>
          <w:sz w:val="20"/>
        </w:rPr>
        <w:t>care</w:t>
      </w:r>
      <w:r>
        <w:rPr>
          <w:spacing w:val="-3"/>
          <w:sz w:val="20"/>
        </w:rPr>
        <w:t> </w:t>
      </w:r>
      <w:r>
        <w:rPr>
          <w:sz w:val="20"/>
        </w:rPr>
        <w:t>model</w:t>
      </w:r>
      <w:r>
        <w:rPr>
          <w:spacing w:val="-3"/>
          <w:sz w:val="20"/>
        </w:rPr>
        <w:t> </w:t>
      </w:r>
      <w:r>
        <w:rPr>
          <w:sz w:val="20"/>
        </w:rPr>
        <w:t>and</w:t>
      </w:r>
      <w:r>
        <w:rPr>
          <w:spacing w:val="-3"/>
          <w:sz w:val="20"/>
        </w:rPr>
        <w:t> </w:t>
      </w:r>
      <w:r>
        <w:rPr>
          <w:sz w:val="20"/>
        </w:rPr>
        <w:t>should</w:t>
      </w:r>
      <w:r>
        <w:rPr>
          <w:spacing w:val="-3"/>
          <w:sz w:val="20"/>
        </w:rPr>
        <w:t> </w:t>
      </w:r>
      <w:r>
        <w:rPr>
          <w:sz w:val="20"/>
        </w:rPr>
        <w:t>it</w:t>
      </w:r>
      <w:r>
        <w:rPr>
          <w:spacing w:val="-2"/>
          <w:sz w:val="20"/>
        </w:rPr>
        <w:t> </w:t>
      </w:r>
      <w:r>
        <w:rPr>
          <w:sz w:val="20"/>
        </w:rPr>
        <w:t>be</w:t>
      </w:r>
      <w:r>
        <w:rPr>
          <w:spacing w:val="-3"/>
          <w:sz w:val="20"/>
        </w:rPr>
        <w:t> </w:t>
      </w:r>
      <w:r>
        <w:rPr>
          <w:sz w:val="20"/>
        </w:rPr>
        <w:t>included</w:t>
      </w:r>
      <w:r>
        <w:rPr>
          <w:spacing w:val="-2"/>
          <w:sz w:val="20"/>
        </w:rPr>
        <w:t> </w:t>
      </w:r>
      <w:r>
        <w:rPr>
          <w:sz w:val="20"/>
        </w:rPr>
        <w:t>as</w:t>
      </w:r>
      <w:r>
        <w:rPr>
          <w:spacing w:val="-4"/>
          <w:sz w:val="20"/>
        </w:rPr>
        <w:t> </w:t>
      </w:r>
      <w:r>
        <w:rPr>
          <w:sz w:val="20"/>
        </w:rPr>
        <w:t>part</w:t>
      </w:r>
      <w:r>
        <w:rPr>
          <w:spacing w:val="-1"/>
          <w:sz w:val="20"/>
        </w:rPr>
        <w:t> </w:t>
      </w:r>
      <w:r>
        <w:rPr>
          <w:sz w:val="20"/>
        </w:rPr>
        <w:t>of</w:t>
      </w:r>
      <w:r>
        <w:rPr>
          <w:spacing w:val="-3"/>
          <w:sz w:val="20"/>
        </w:rPr>
        <w:t> </w:t>
      </w:r>
      <w:r>
        <w:rPr>
          <w:sz w:val="20"/>
        </w:rPr>
        <w:t>any</w:t>
      </w:r>
      <w:r>
        <w:rPr>
          <w:spacing w:val="-3"/>
          <w:sz w:val="20"/>
        </w:rPr>
        <w:t> </w:t>
      </w:r>
      <w:r>
        <w:rPr>
          <w:sz w:val="20"/>
        </w:rPr>
        <w:t>future</w:t>
      </w:r>
      <w:r>
        <w:rPr>
          <w:spacing w:val="-3"/>
          <w:sz w:val="20"/>
        </w:rPr>
        <w:t> </w:t>
      </w:r>
      <w:r>
        <w:rPr>
          <w:sz w:val="20"/>
        </w:rPr>
        <w:t>roll</w:t>
      </w:r>
      <w:r>
        <w:rPr>
          <w:spacing w:val="-2"/>
          <w:sz w:val="20"/>
        </w:rPr>
        <w:t> </w:t>
      </w:r>
      <w:r>
        <w:rPr>
          <w:sz w:val="20"/>
        </w:rPr>
        <w:t>out?</w:t>
      </w:r>
    </w:p>
    <w:p>
      <w:pPr>
        <w:pStyle w:val="ListParagraph"/>
        <w:numPr>
          <w:ilvl w:val="0"/>
          <w:numId w:val="9"/>
        </w:numPr>
        <w:tabs>
          <w:tab w:pos="821" w:val="left" w:leader="none"/>
        </w:tabs>
        <w:spacing w:line="276" w:lineRule="auto" w:before="0" w:after="0"/>
        <w:ind w:left="820" w:right="459" w:hanging="360"/>
        <w:jc w:val="left"/>
        <w:rPr>
          <w:sz w:val="20"/>
        </w:rPr>
      </w:pPr>
      <w:r>
        <w:rPr>
          <w:sz w:val="20"/>
        </w:rPr>
        <w:t>Do</w:t>
      </w:r>
      <w:r>
        <w:rPr>
          <w:spacing w:val="-4"/>
          <w:sz w:val="20"/>
        </w:rPr>
        <w:t> </w:t>
      </w:r>
      <w:r>
        <w:rPr>
          <w:sz w:val="20"/>
        </w:rPr>
        <w:t>patients</w:t>
      </w:r>
      <w:r>
        <w:rPr>
          <w:spacing w:val="-6"/>
          <w:sz w:val="20"/>
        </w:rPr>
        <w:t> </w:t>
      </w:r>
      <w:r>
        <w:rPr>
          <w:sz w:val="20"/>
        </w:rPr>
        <w:t>who</w:t>
      </w:r>
      <w:r>
        <w:rPr>
          <w:spacing w:val="-4"/>
          <w:sz w:val="20"/>
        </w:rPr>
        <w:t> </w:t>
      </w:r>
      <w:r>
        <w:rPr>
          <w:sz w:val="20"/>
        </w:rPr>
        <w:t>received</w:t>
      </w:r>
      <w:r>
        <w:rPr>
          <w:spacing w:val="-3"/>
          <w:sz w:val="20"/>
        </w:rPr>
        <w:t> </w:t>
      </w:r>
      <w:r>
        <w:rPr>
          <w:sz w:val="20"/>
        </w:rPr>
        <w:t>medication</w:t>
      </w:r>
      <w:r>
        <w:rPr>
          <w:spacing w:val="-3"/>
          <w:sz w:val="20"/>
        </w:rPr>
        <w:t> </w:t>
      </w:r>
      <w:r>
        <w:rPr>
          <w:sz w:val="20"/>
        </w:rPr>
        <w:t>management</w:t>
      </w:r>
      <w:r>
        <w:rPr>
          <w:spacing w:val="-1"/>
          <w:sz w:val="20"/>
        </w:rPr>
        <w:t> </w:t>
      </w:r>
      <w:r>
        <w:rPr>
          <w:sz w:val="20"/>
        </w:rPr>
        <w:t>services</w:t>
      </w:r>
      <w:r>
        <w:rPr>
          <w:spacing w:val="-4"/>
          <w:sz w:val="20"/>
        </w:rPr>
        <w:t> </w:t>
      </w:r>
      <w:r>
        <w:rPr>
          <w:sz w:val="20"/>
        </w:rPr>
        <w:t>as</w:t>
      </w:r>
      <w:r>
        <w:rPr>
          <w:spacing w:val="-3"/>
          <w:sz w:val="20"/>
        </w:rPr>
        <w:t> </w:t>
      </w:r>
      <w:r>
        <w:rPr>
          <w:sz w:val="20"/>
        </w:rPr>
        <w:t>part</w:t>
      </w:r>
      <w:r>
        <w:rPr>
          <w:spacing w:val="-2"/>
          <w:sz w:val="20"/>
        </w:rPr>
        <w:t> </w:t>
      </w:r>
      <w:r>
        <w:rPr>
          <w:sz w:val="20"/>
        </w:rPr>
        <w:t>of</w:t>
      </w:r>
      <w:r>
        <w:rPr>
          <w:spacing w:val="-3"/>
          <w:sz w:val="20"/>
        </w:rPr>
        <w:t> </w:t>
      </w:r>
      <w:r>
        <w:rPr>
          <w:sz w:val="20"/>
        </w:rPr>
        <w:t>the</w:t>
      </w:r>
      <w:r>
        <w:rPr>
          <w:spacing w:val="-4"/>
          <w:sz w:val="20"/>
        </w:rPr>
        <w:t> </w:t>
      </w:r>
      <w:r>
        <w:rPr>
          <w:sz w:val="20"/>
        </w:rPr>
        <w:t>HCH</w:t>
      </w:r>
      <w:r>
        <w:rPr>
          <w:spacing w:val="-3"/>
          <w:sz w:val="20"/>
        </w:rPr>
        <w:t> </w:t>
      </w:r>
      <w:r>
        <w:rPr>
          <w:sz w:val="20"/>
        </w:rPr>
        <w:t>trial</w:t>
      </w:r>
      <w:r>
        <w:rPr>
          <w:spacing w:val="-52"/>
          <w:sz w:val="20"/>
        </w:rPr>
        <w:t> </w:t>
      </w:r>
      <w:r>
        <w:rPr>
          <w:sz w:val="20"/>
        </w:rPr>
        <w:t>experience</w:t>
      </w:r>
      <w:r>
        <w:rPr>
          <w:spacing w:val="-2"/>
          <w:sz w:val="20"/>
        </w:rPr>
        <w:t> </w:t>
      </w:r>
      <w:r>
        <w:rPr>
          <w:sz w:val="20"/>
        </w:rPr>
        <w:t>better</w:t>
      </w:r>
      <w:r>
        <w:rPr>
          <w:spacing w:val="-1"/>
          <w:sz w:val="20"/>
        </w:rPr>
        <w:t> </w:t>
      </w:r>
      <w:r>
        <w:rPr>
          <w:sz w:val="20"/>
        </w:rPr>
        <w:t>health</w:t>
      </w:r>
      <w:r>
        <w:rPr>
          <w:spacing w:val="-2"/>
          <w:sz w:val="20"/>
        </w:rPr>
        <w:t> </w:t>
      </w:r>
      <w:r>
        <w:rPr>
          <w:sz w:val="20"/>
        </w:rPr>
        <w:t>outcomes</w:t>
      </w:r>
      <w:r>
        <w:rPr>
          <w:spacing w:val="-1"/>
          <w:sz w:val="20"/>
        </w:rPr>
        <w:t> </w:t>
      </w:r>
      <w:r>
        <w:rPr>
          <w:sz w:val="20"/>
        </w:rPr>
        <w:t>than</w:t>
      </w:r>
      <w:r>
        <w:rPr>
          <w:spacing w:val="-1"/>
          <w:sz w:val="20"/>
        </w:rPr>
        <w:t> </w:t>
      </w:r>
      <w:r>
        <w:rPr>
          <w:sz w:val="20"/>
        </w:rPr>
        <w:t>patients</w:t>
      </w:r>
      <w:r>
        <w:rPr>
          <w:spacing w:val="-4"/>
          <w:sz w:val="20"/>
        </w:rPr>
        <w:t> </w:t>
      </w:r>
      <w:r>
        <w:rPr>
          <w:sz w:val="20"/>
        </w:rPr>
        <w:t>who</w:t>
      </w:r>
      <w:r>
        <w:rPr>
          <w:spacing w:val="-1"/>
          <w:sz w:val="20"/>
        </w:rPr>
        <w:t> </w:t>
      </w:r>
      <w:r>
        <w:rPr>
          <w:sz w:val="20"/>
        </w:rPr>
        <w:t>did</w:t>
      </w:r>
      <w:r>
        <w:rPr>
          <w:spacing w:val="-1"/>
          <w:sz w:val="20"/>
        </w:rPr>
        <w:t> </w:t>
      </w:r>
      <w:r>
        <w:rPr>
          <w:sz w:val="20"/>
        </w:rPr>
        <w:t>not?</w:t>
      </w:r>
    </w:p>
    <w:p>
      <w:pPr>
        <w:pStyle w:val="ListParagraph"/>
        <w:numPr>
          <w:ilvl w:val="0"/>
          <w:numId w:val="9"/>
        </w:numPr>
        <w:tabs>
          <w:tab w:pos="821" w:val="left" w:leader="none"/>
        </w:tabs>
        <w:spacing w:line="276" w:lineRule="auto" w:before="0" w:after="0"/>
        <w:ind w:left="820" w:right="1179" w:hanging="360"/>
        <w:jc w:val="left"/>
        <w:rPr>
          <w:sz w:val="20"/>
        </w:rPr>
      </w:pPr>
      <w:r>
        <w:rPr>
          <w:sz w:val="20"/>
        </w:rPr>
        <w:t>What was the level of engagement between HCH practices and community</w:t>
      </w:r>
      <w:r>
        <w:rPr>
          <w:spacing w:val="-53"/>
          <w:sz w:val="20"/>
        </w:rPr>
        <w:t> </w:t>
      </w:r>
      <w:r>
        <w:rPr>
          <w:sz w:val="20"/>
        </w:rPr>
        <w:t>pharmacy</w:t>
      </w:r>
      <w:r>
        <w:rPr>
          <w:spacing w:val="-1"/>
          <w:sz w:val="20"/>
        </w:rPr>
        <w:t> </w:t>
      </w:r>
      <w:r>
        <w:rPr>
          <w:sz w:val="20"/>
        </w:rPr>
        <w:t>(care</w:t>
      </w:r>
      <w:r>
        <w:rPr>
          <w:spacing w:val="-1"/>
          <w:sz w:val="20"/>
        </w:rPr>
        <w:t> </w:t>
      </w:r>
      <w:r>
        <w:rPr>
          <w:sz w:val="20"/>
        </w:rPr>
        <w:t>coordination)?</w:t>
      </w:r>
    </w:p>
    <w:p>
      <w:pPr>
        <w:pStyle w:val="ListParagraph"/>
        <w:numPr>
          <w:ilvl w:val="0"/>
          <w:numId w:val="9"/>
        </w:numPr>
        <w:tabs>
          <w:tab w:pos="821" w:val="left" w:leader="none"/>
        </w:tabs>
        <w:spacing w:line="240" w:lineRule="auto" w:before="0" w:after="0"/>
        <w:ind w:left="820" w:right="0" w:hanging="361"/>
        <w:jc w:val="left"/>
        <w:rPr>
          <w:sz w:val="20"/>
        </w:rPr>
      </w:pPr>
      <w:r>
        <w:rPr>
          <w:sz w:val="20"/>
        </w:rPr>
        <w:t>Is</w:t>
      </w:r>
      <w:r>
        <w:rPr>
          <w:spacing w:val="-4"/>
          <w:sz w:val="20"/>
        </w:rPr>
        <w:t> </w:t>
      </w:r>
      <w:r>
        <w:rPr>
          <w:sz w:val="20"/>
        </w:rPr>
        <w:t>the</w:t>
      </w:r>
      <w:r>
        <w:rPr>
          <w:spacing w:val="-4"/>
          <w:sz w:val="20"/>
        </w:rPr>
        <w:t> </w:t>
      </w:r>
      <w:r>
        <w:rPr>
          <w:sz w:val="20"/>
        </w:rPr>
        <w:t>inclusion</w:t>
      </w:r>
      <w:r>
        <w:rPr>
          <w:spacing w:val="-4"/>
          <w:sz w:val="20"/>
        </w:rPr>
        <w:t> </w:t>
      </w:r>
      <w:r>
        <w:rPr>
          <w:sz w:val="20"/>
        </w:rPr>
        <w:t>of</w:t>
      </w:r>
      <w:r>
        <w:rPr>
          <w:spacing w:val="-4"/>
          <w:sz w:val="20"/>
        </w:rPr>
        <w:t> </w:t>
      </w:r>
      <w:r>
        <w:rPr>
          <w:sz w:val="20"/>
        </w:rPr>
        <w:t>a</w:t>
      </w:r>
      <w:r>
        <w:rPr>
          <w:spacing w:val="-3"/>
          <w:sz w:val="20"/>
        </w:rPr>
        <w:t> </w:t>
      </w:r>
      <w:r>
        <w:rPr>
          <w:sz w:val="20"/>
        </w:rPr>
        <w:t>pharmacy</w:t>
      </w:r>
      <w:r>
        <w:rPr>
          <w:spacing w:val="-5"/>
          <w:sz w:val="20"/>
        </w:rPr>
        <w:t> </w:t>
      </w:r>
      <w:r>
        <w:rPr>
          <w:sz w:val="20"/>
        </w:rPr>
        <w:t>component</w:t>
      </w:r>
      <w:r>
        <w:rPr>
          <w:spacing w:val="-2"/>
          <w:sz w:val="20"/>
        </w:rPr>
        <w:t> </w:t>
      </w:r>
      <w:r>
        <w:rPr>
          <w:sz w:val="20"/>
        </w:rPr>
        <w:t>in</w:t>
      </w:r>
      <w:r>
        <w:rPr>
          <w:spacing w:val="-3"/>
          <w:sz w:val="20"/>
        </w:rPr>
        <w:t> </w:t>
      </w:r>
      <w:r>
        <w:rPr>
          <w:sz w:val="20"/>
        </w:rPr>
        <w:t>HCH</w:t>
      </w:r>
      <w:r>
        <w:rPr>
          <w:spacing w:val="-3"/>
          <w:sz w:val="20"/>
        </w:rPr>
        <w:t> </w:t>
      </w:r>
      <w:r>
        <w:rPr>
          <w:sz w:val="20"/>
        </w:rPr>
        <w:t>financially</w:t>
      </w:r>
      <w:r>
        <w:rPr>
          <w:spacing w:val="-4"/>
          <w:sz w:val="20"/>
        </w:rPr>
        <w:t> </w:t>
      </w:r>
      <w:r>
        <w:rPr>
          <w:sz w:val="20"/>
        </w:rPr>
        <w:t>viable?</w:t>
      </w:r>
    </w:p>
    <w:p>
      <w:pPr>
        <w:pStyle w:val="BodyText"/>
        <w:spacing w:before="12"/>
        <w:rPr>
          <w:sz w:val="18"/>
        </w:rPr>
      </w:pPr>
    </w:p>
    <w:p>
      <w:pPr>
        <w:pStyle w:val="BodyText"/>
        <w:spacing w:line="276" w:lineRule="auto"/>
        <w:ind w:left="100" w:right="374"/>
      </w:pPr>
      <w:r>
        <w:rPr/>
        <w:t>These questions have several dimensions. Therefore, a set of more detailed questions have</w:t>
      </w:r>
      <w:r>
        <w:rPr>
          <w:spacing w:val="1"/>
        </w:rPr>
        <w:t> </w:t>
      </w:r>
      <w:r>
        <w:rPr/>
        <w:t>been developed for each of the key questions. Each key questions is described below,</w:t>
      </w:r>
      <w:r>
        <w:rPr>
          <w:spacing w:val="1"/>
        </w:rPr>
        <w:t> </w:t>
      </w:r>
      <w:r>
        <w:rPr/>
        <w:t>followed</w:t>
      </w:r>
      <w:r>
        <w:rPr>
          <w:spacing w:val="-3"/>
        </w:rPr>
        <w:t> </w:t>
      </w:r>
      <w:r>
        <w:rPr/>
        <w:t>by</w:t>
      </w:r>
      <w:r>
        <w:rPr>
          <w:spacing w:val="-4"/>
        </w:rPr>
        <w:t> </w:t>
      </w:r>
      <w:r>
        <w:rPr/>
        <w:t>tables</w:t>
      </w:r>
      <w:r>
        <w:rPr>
          <w:spacing w:val="-2"/>
        </w:rPr>
        <w:t> </w:t>
      </w:r>
      <w:r>
        <w:rPr/>
        <w:t>listing</w:t>
      </w:r>
      <w:r>
        <w:rPr>
          <w:spacing w:val="-5"/>
        </w:rPr>
        <w:t> </w:t>
      </w:r>
      <w:r>
        <w:rPr/>
        <w:t>the</w:t>
      </w:r>
      <w:r>
        <w:rPr>
          <w:spacing w:val="-3"/>
        </w:rPr>
        <w:t> </w:t>
      </w:r>
      <w:r>
        <w:rPr/>
        <w:t>related</w:t>
      </w:r>
      <w:r>
        <w:rPr>
          <w:spacing w:val="-2"/>
        </w:rPr>
        <w:t> </w:t>
      </w:r>
      <w:r>
        <w:rPr/>
        <w:t>detailed</w:t>
      </w:r>
      <w:r>
        <w:rPr>
          <w:spacing w:val="-3"/>
        </w:rPr>
        <w:t> </w:t>
      </w:r>
      <w:r>
        <w:rPr/>
        <w:t>questions</w:t>
      </w:r>
      <w:r>
        <w:rPr>
          <w:spacing w:val="-3"/>
        </w:rPr>
        <w:t> </w:t>
      </w:r>
      <w:r>
        <w:rPr/>
        <w:t>and</w:t>
      </w:r>
      <w:r>
        <w:rPr>
          <w:spacing w:val="-2"/>
        </w:rPr>
        <w:t> </w:t>
      </w:r>
      <w:r>
        <w:rPr/>
        <w:t>measures</w:t>
      </w:r>
      <w:r>
        <w:rPr>
          <w:spacing w:val="-3"/>
        </w:rPr>
        <w:t> </w:t>
      </w:r>
      <w:r>
        <w:rPr/>
        <w:t>to</w:t>
      </w:r>
      <w:r>
        <w:rPr>
          <w:spacing w:val="-3"/>
        </w:rPr>
        <w:t> </w:t>
      </w:r>
      <w:r>
        <w:rPr/>
        <w:t>be</w:t>
      </w:r>
      <w:r>
        <w:rPr>
          <w:spacing w:val="-3"/>
        </w:rPr>
        <w:t> </w:t>
      </w:r>
      <w:r>
        <w:rPr/>
        <w:t>used</w:t>
      </w:r>
      <w:r>
        <w:rPr>
          <w:spacing w:val="-2"/>
        </w:rPr>
        <w:t> </w:t>
      </w:r>
      <w:r>
        <w:rPr/>
        <w:t>to</w:t>
      </w:r>
      <w:r>
        <w:rPr>
          <w:spacing w:val="-3"/>
        </w:rPr>
        <w:t> </w:t>
      </w:r>
      <w:r>
        <w:rPr/>
        <w:t>respond</w:t>
      </w:r>
      <w:r>
        <w:rPr>
          <w:spacing w:val="-52"/>
        </w:rPr>
        <w:t> </w:t>
      </w:r>
      <w:r>
        <w:rPr/>
        <w:t>to the questions. The relationship of each detailed question to the columns of the logic</w:t>
      </w:r>
      <w:r>
        <w:rPr>
          <w:spacing w:val="1"/>
        </w:rPr>
        <w:t> </w:t>
      </w:r>
      <w:r>
        <w:rPr/>
        <w:t>model (i.e. inputs, activities, outputs, short term outcomes, and medium to long term</w:t>
      </w:r>
      <w:r>
        <w:rPr>
          <w:spacing w:val="1"/>
        </w:rPr>
        <w:t> </w:t>
      </w:r>
      <w:r>
        <w:rPr/>
        <w:t>outcomes)</w:t>
      </w:r>
      <w:r>
        <w:rPr>
          <w:spacing w:val="-4"/>
        </w:rPr>
        <w:t> </w:t>
      </w:r>
      <w:r>
        <w:rPr/>
        <w:t>is</w:t>
      </w:r>
      <w:r>
        <w:rPr>
          <w:spacing w:val="-1"/>
        </w:rPr>
        <w:t> </w:t>
      </w:r>
      <w:r>
        <w:rPr/>
        <w:t>also shown.</w:t>
      </w:r>
    </w:p>
    <w:p>
      <w:pPr>
        <w:pStyle w:val="Heading6"/>
        <w:spacing w:line="276" w:lineRule="auto" w:before="200"/>
        <w:ind w:left="100" w:right="640"/>
      </w:pPr>
      <w:r>
        <w:rPr/>
        <w:t>Key</w:t>
      </w:r>
      <w:r>
        <w:rPr>
          <w:spacing w:val="-3"/>
        </w:rPr>
        <w:t> </w:t>
      </w:r>
      <w:r>
        <w:rPr/>
        <w:t>question</w:t>
      </w:r>
      <w:r>
        <w:rPr>
          <w:spacing w:val="-2"/>
        </w:rPr>
        <w:t> </w:t>
      </w:r>
      <w:r>
        <w:rPr/>
        <w:t>1:</w:t>
      </w:r>
      <w:r>
        <w:rPr>
          <w:spacing w:val="-2"/>
        </w:rPr>
        <w:t> </w:t>
      </w:r>
      <w:r>
        <w:rPr/>
        <w:t>How</w:t>
      </w:r>
      <w:r>
        <w:rPr>
          <w:spacing w:val="-3"/>
        </w:rPr>
        <w:t> </w:t>
      </w:r>
      <w:r>
        <w:rPr/>
        <w:t>was</w:t>
      </w:r>
      <w:r>
        <w:rPr>
          <w:spacing w:val="-1"/>
        </w:rPr>
        <w:t> </w:t>
      </w:r>
      <w:r>
        <w:rPr/>
        <w:t>the</w:t>
      </w:r>
      <w:r>
        <w:rPr>
          <w:spacing w:val="-5"/>
        </w:rPr>
        <w:t> </w:t>
      </w:r>
      <w:r>
        <w:rPr/>
        <w:t>HCH</w:t>
      </w:r>
      <w:r>
        <w:rPr>
          <w:spacing w:val="-3"/>
        </w:rPr>
        <w:t> </w:t>
      </w:r>
      <w:r>
        <w:rPr/>
        <w:t>model</w:t>
      </w:r>
      <w:r>
        <w:rPr>
          <w:spacing w:val="-2"/>
        </w:rPr>
        <w:t> </w:t>
      </w:r>
      <w:r>
        <w:rPr/>
        <w:t>implemented</w:t>
      </w:r>
      <w:r>
        <w:rPr>
          <w:spacing w:val="-4"/>
        </w:rPr>
        <w:t> </w:t>
      </w:r>
      <w:r>
        <w:rPr/>
        <w:t>and</w:t>
      </w:r>
      <w:r>
        <w:rPr>
          <w:spacing w:val="-2"/>
        </w:rPr>
        <w:t> </w:t>
      </w:r>
      <w:r>
        <w:rPr/>
        <w:t>what</w:t>
      </w:r>
      <w:r>
        <w:rPr>
          <w:spacing w:val="-2"/>
        </w:rPr>
        <w:t> </w:t>
      </w:r>
      <w:r>
        <w:rPr/>
        <w:t>were</w:t>
      </w:r>
      <w:r>
        <w:rPr>
          <w:spacing w:val="-5"/>
        </w:rPr>
        <w:t> </w:t>
      </w:r>
      <w:r>
        <w:rPr/>
        <w:t>the</w:t>
      </w:r>
      <w:r>
        <w:rPr>
          <w:spacing w:val="-2"/>
        </w:rPr>
        <w:t> </w:t>
      </w:r>
      <w:r>
        <w:rPr/>
        <w:t>barriers</w:t>
      </w:r>
      <w:r>
        <w:rPr>
          <w:spacing w:val="-3"/>
        </w:rPr>
        <w:t> </w:t>
      </w:r>
      <w:r>
        <w:rPr/>
        <w:t>and</w:t>
      </w:r>
      <w:r>
        <w:rPr>
          <w:spacing w:val="-53"/>
        </w:rPr>
        <w:t> </w:t>
      </w:r>
      <w:r>
        <w:rPr/>
        <w:t>enablers?</w:t>
      </w:r>
    </w:p>
    <w:p>
      <w:pPr>
        <w:pStyle w:val="BodyText"/>
        <w:spacing w:line="276" w:lineRule="auto" w:before="201"/>
        <w:ind w:left="100" w:right="374"/>
      </w:pPr>
      <w:r>
        <w:rPr/>
        <w:t>This question mainly relates to the inputs and activities columns of the logic model at the</w:t>
      </w:r>
      <w:r>
        <w:rPr>
          <w:spacing w:val="1"/>
        </w:rPr>
        <w:t> </w:t>
      </w:r>
      <w:r>
        <w:rPr/>
        <w:t>program and PHN/regional levels. (Implementation activities undertaken by practices are</w:t>
      </w:r>
      <w:r>
        <w:rPr>
          <w:spacing w:val="1"/>
        </w:rPr>
        <w:t> </w:t>
      </w:r>
      <w:r>
        <w:rPr/>
        <w:t>addressed under key question 2.) Key question 1 is principally concerned with what activities</w:t>
      </w:r>
      <w:r>
        <w:rPr>
          <w:spacing w:val="-53"/>
        </w:rPr>
        <w:t> </w:t>
      </w:r>
      <w:r>
        <w:rPr/>
        <w:t>were undertaken towards implementing the HCH program, quantifying the resources used</w:t>
      </w:r>
      <w:r>
        <w:rPr>
          <w:spacing w:val="1"/>
        </w:rPr>
        <w:t> </w:t>
      </w:r>
      <w:r>
        <w:rPr/>
        <w:t>for this, and systematically presenting the lessons on the factors that facilitated or hindered</w:t>
      </w:r>
      <w:r>
        <w:rPr>
          <w:spacing w:val="1"/>
        </w:rPr>
        <w:t> </w:t>
      </w:r>
      <w:r>
        <w:rPr/>
        <w:t>implementation.</w:t>
      </w:r>
      <w:r>
        <w:rPr>
          <w:spacing w:val="-3"/>
        </w:rPr>
        <w:t> </w:t>
      </w:r>
      <w:r>
        <w:rPr/>
        <w:t>Detailed</w:t>
      </w:r>
      <w:r>
        <w:rPr>
          <w:spacing w:val="-1"/>
        </w:rPr>
        <w:t> </w:t>
      </w:r>
      <w:r>
        <w:rPr/>
        <w:t>questions</w:t>
      </w:r>
      <w:r>
        <w:rPr>
          <w:spacing w:val="-2"/>
        </w:rPr>
        <w:t> </w:t>
      </w:r>
      <w:r>
        <w:rPr/>
        <w:t>are</w:t>
      </w:r>
      <w:r>
        <w:rPr>
          <w:spacing w:val="2"/>
        </w:rPr>
        <w:t> </w:t>
      </w:r>
      <w:r>
        <w:rPr/>
        <w:t>shown in</w:t>
      </w:r>
      <w:r>
        <w:rPr>
          <w:spacing w:val="1"/>
        </w:rPr>
        <w:t> </w:t>
      </w:r>
      <w:hyperlink w:history="true" w:anchor="_bookmark18">
        <w:r>
          <w:rPr/>
          <w:t>Table 4.</w:t>
        </w:r>
      </w:hyperlink>
    </w:p>
    <w:p>
      <w:pPr>
        <w:pStyle w:val="BodyText"/>
        <w:spacing w:line="276" w:lineRule="auto" w:before="200"/>
        <w:ind w:left="100" w:right="429"/>
      </w:pPr>
      <w:r>
        <w:rPr/>
        <w:t>At the </w:t>
      </w:r>
      <w:r>
        <w:rPr>
          <w:b/>
        </w:rPr>
        <w:t>program level </w:t>
      </w:r>
      <w:r>
        <w:rPr/>
        <w:t>a comprehensive and accurate description of the program objectives</w:t>
      </w:r>
      <w:r>
        <w:rPr>
          <w:spacing w:val="-53"/>
        </w:rPr>
        <w:t> </w:t>
      </w:r>
      <w:r>
        <w:rPr/>
        <w:t>is required, as well as program level inputs and activities undertaken to support</w:t>
      </w:r>
      <w:r>
        <w:rPr>
          <w:spacing w:val="1"/>
        </w:rPr>
        <w:t> </w:t>
      </w:r>
      <w:r>
        <w:rPr/>
        <w:t>implementation,</w:t>
      </w:r>
      <w:r>
        <w:rPr>
          <w:spacing w:val="-5"/>
        </w:rPr>
        <w:t> </w:t>
      </w:r>
      <w:r>
        <w:rPr/>
        <w:t>and</w:t>
      </w:r>
      <w:r>
        <w:rPr>
          <w:spacing w:val="-3"/>
        </w:rPr>
        <w:t> </w:t>
      </w:r>
      <w:r>
        <w:rPr/>
        <w:t>the</w:t>
      </w:r>
      <w:r>
        <w:rPr>
          <w:spacing w:val="-3"/>
        </w:rPr>
        <w:t> </w:t>
      </w:r>
      <w:r>
        <w:rPr/>
        <w:t>policy</w:t>
      </w:r>
      <w:r>
        <w:rPr>
          <w:spacing w:val="-4"/>
        </w:rPr>
        <w:t> </w:t>
      </w:r>
      <w:r>
        <w:rPr/>
        <w:t>and</w:t>
      </w:r>
      <w:r>
        <w:rPr>
          <w:spacing w:val="-3"/>
        </w:rPr>
        <w:t> </w:t>
      </w:r>
      <w:r>
        <w:rPr/>
        <w:t>regulatory</w:t>
      </w:r>
      <w:r>
        <w:rPr>
          <w:spacing w:val="-4"/>
        </w:rPr>
        <w:t> </w:t>
      </w:r>
      <w:r>
        <w:rPr/>
        <w:t>framework.</w:t>
      </w:r>
      <w:r>
        <w:rPr>
          <w:spacing w:val="1"/>
        </w:rPr>
        <w:t> </w:t>
      </w:r>
      <w:r>
        <w:rPr/>
        <w:t>Based</w:t>
      </w:r>
      <w:r>
        <w:rPr>
          <w:spacing w:val="-3"/>
        </w:rPr>
        <w:t> </w:t>
      </w:r>
      <w:r>
        <w:rPr/>
        <w:t>on</w:t>
      </w:r>
      <w:r>
        <w:rPr>
          <w:spacing w:val="-3"/>
        </w:rPr>
        <w:t> </w:t>
      </w:r>
      <w:r>
        <w:rPr/>
        <w:t>analysis</w:t>
      </w:r>
      <w:r>
        <w:rPr>
          <w:spacing w:val="-3"/>
        </w:rPr>
        <w:t> </w:t>
      </w:r>
      <w:r>
        <w:rPr/>
        <w:t>of</w:t>
      </w:r>
      <w:r>
        <w:rPr>
          <w:spacing w:val="-2"/>
        </w:rPr>
        <w:t> </w:t>
      </w:r>
      <w:r>
        <w:rPr/>
        <w:t>evidence</w:t>
      </w:r>
    </w:p>
    <w:p>
      <w:pPr>
        <w:spacing w:after="0" w:line="276" w:lineRule="auto"/>
        <w:sectPr>
          <w:pgSz w:w="11910" w:h="16840"/>
          <w:pgMar w:header="0" w:footer="675" w:top="0" w:bottom="860" w:left="1340" w:right="1140"/>
        </w:sectPr>
      </w:pPr>
    </w:p>
    <w:p>
      <w:pPr>
        <w:pStyle w:val="BodyText"/>
        <w:spacing w:line="276" w:lineRule="auto" w:before="82"/>
        <w:ind w:left="100" w:right="640"/>
        <w:rPr>
          <w:i/>
        </w:rPr>
      </w:pPr>
      <w:r>
        <w:rPr/>
        <w:t>around</w:t>
      </w:r>
      <w:r>
        <w:rPr>
          <w:spacing w:val="-4"/>
        </w:rPr>
        <w:t> </w:t>
      </w:r>
      <w:r>
        <w:rPr/>
        <w:t>the</w:t>
      </w:r>
      <w:r>
        <w:rPr>
          <w:spacing w:val="-2"/>
        </w:rPr>
        <w:t> </w:t>
      </w:r>
      <w:r>
        <w:rPr/>
        <w:t>trial,</w:t>
      </w:r>
      <w:r>
        <w:rPr>
          <w:spacing w:val="-5"/>
        </w:rPr>
        <w:t> </w:t>
      </w:r>
      <w:r>
        <w:rPr/>
        <w:t>the</w:t>
      </w:r>
      <w:r>
        <w:rPr>
          <w:spacing w:val="-4"/>
        </w:rPr>
        <w:t> </w:t>
      </w:r>
      <w:r>
        <w:rPr/>
        <w:t>evaluation</w:t>
      </w:r>
      <w:r>
        <w:rPr>
          <w:spacing w:val="-2"/>
        </w:rPr>
        <w:t> </w:t>
      </w:r>
      <w:r>
        <w:rPr/>
        <w:t>should</w:t>
      </w:r>
      <w:r>
        <w:rPr>
          <w:spacing w:val="-4"/>
        </w:rPr>
        <w:t> </w:t>
      </w:r>
      <w:r>
        <w:rPr/>
        <w:t>identify</w:t>
      </w:r>
      <w:r>
        <w:rPr>
          <w:spacing w:val="-4"/>
        </w:rPr>
        <w:t> </w:t>
      </w:r>
      <w:r>
        <w:rPr/>
        <w:t>the</w:t>
      </w:r>
      <w:r>
        <w:rPr>
          <w:spacing w:val="-3"/>
        </w:rPr>
        <w:t> </w:t>
      </w:r>
      <w:r>
        <w:rPr/>
        <w:t>ways</w:t>
      </w:r>
      <w:r>
        <w:rPr>
          <w:spacing w:val="-4"/>
        </w:rPr>
        <w:t> </w:t>
      </w:r>
      <w:r>
        <w:rPr/>
        <w:t>in</w:t>
      </w:r>
      <w:r>
        <w:rPr>
          <w:spacing w:val="-2"/>
        </w:rPr>
        <w:t> </w:t>
      </w:r>
      <w:r>
        <w:rPr/>
        <w:t>which</w:t>
      </w:r>
      <w:r>
        <w:rPr>
          <w:spacing w:val="-2"/>
        </w:rPr>
        <w:t> </w:t>
      </w:r>
      <w:r>
        <w:rPr/>
        <w:t>the</w:t>
      </w:r>
      <w:r>
        <w:rPr>
          <w:spacing w:val="-4"/>
        </w:rPr>
        <w:t> </w:t>
      </w:r>
      <w:r>
        <w:rPr/>
        <w:t>design</w:t>
      </w:r>
      <w:r>
        <w:rPr>
          <w:spacing w:val="-2"/>
        </w:rPr>
        <w:t> </w:t>
      </w:r>
      <w:r>
        <w:rPr/>
        <w:t>of</w:t>
      </w:r>
      <w:r>
        <w:rPr>
          <w:spacing w:val="-3"/>
        </w:rPr>
        <w:t> </w:t>
      </w:r>
      <w:r>
        <w:rPr/>
        <w:t>the</w:t>
      </w:r>
      <w:r>
        <w:rPr>
          <w:spacing w:val="-4"/>
        </w:rPr>
        <w:t> </w:t>
      </w:r>
      <w:r>
        <w:rPr/>
        <w:t>HCH</w:t>
      </w:r>
      <w:r>
        <w:rPr>
          <w:spacing w:val="-52"/>
        </w:rPr>
        <w:t> </w:t>
      </w:r>
      <w:r>
        <w:rPr/>
        <w:t>program could be improved in subsequent rollouts to better achieve the program’s</w:t>
      </w:r>
      <w:r>
        <w:rPr>
          <w:spacing w:val="1"/>
        </w:rPr>
        <w:t> </w:t>
      </w:r>
      <w:r>
        <w:rPr/>
        <w:t>objectiv</w:t>
      </w:r>
      <w:r>
        <w:rPr>
          <w:i/>
        </w:rPr>
        <w:t>es.</w:t>
      </w:r>
    </w:p>
    <w:p>
      <w:pPr>
        <w:pStyle w:val="BodyText"/>
        <w:spacing w:line="276" w:lineRule="auto" w:before="201"/>
        <w:ind w:left="100" w:right="393"/>
      </w:pPr>
      <w:r>
        <w:rPr/>
        <w:t>Consideration of implementation activities at the </w:t>
      </w:r>
      <w:r>
        <w:rPr>
          <w:b/>
        </w:rPr>
        <w:t>PHN/ regional level </w:t>
      </w:r>
      <w:r>
        <w:rPr/>
        <w:t>is also required. This will</w:t>
      </w:r>
      <w:r>
        <w:rPr>
          <w:spacing w:val="-53"/>
        </w:rPr>
        <w:t> </w:t>
      </w:r>
      <w:r>
        <w:rPr/>
        <w:t>entail describing PHN efforts to plan for and support the HCH program implementation, and</w:t>
      </w:r>
      <w:r>
        <w:rPr>
          <w:spacing w:val="1"/>
        </w:rPr>
        <w:t> </w:t>
      </w:r>
      <w:r>
        <w:rPr/>
        <w:t>support practices in recruiting patients, and provide training to practice staff. PHNs will</w:t>
      </w:r>
      <w:r>
        <w:rPr>
          <w:spacing w:val="1"/>
        </w:rPr>
        <w:t> </w:t>
      </w:r>
      <w:r>
        <w:rPr/>
        <w:t>leverage existing initiatives and infrastructure and build on existing processes for engaging</w:t>
      </w:r>
      <w:r>
        <w:rPr>
          <w:spacing w:val="1"/>
        </w:rPr>
        <w:t> </w:t>
      </w:r>
      <w:r>
        <w:rPr/>
        <w:t>with practices, and these should be described. Perspectives from PHNs and practices will be</w:t>
      </w:r>
      <w:r>
        <w:rPr>
          <w:spacing w:val="-53"/>
        </w:rPr>
        <w:t> </w:t>
      </w:r>
      <w:r>
        <w:rPr/>
        <w:t>important for identifying the opportunities and challenges for enhancing PHN support in the</w:t>
      </w:r>
      <w:r>
        <w:rPr>
          <w:spacing w:val="1"/>
        </w:rPr>
        <w:t> </w:t>
      </w:r>
      <w:r>
        <w:rPr/>
        <w:t>next stage of HCH. At this level, state/territory and LHN initiatives will also be used to assist</w:t>
      </w:r>
      <w:r>
        <w:rPr>
          <w:spacing w:val="1"/>
        </w:rPr>
        <w:t> </w:t>
      </w:r>
      <w:r>
        <w:rPr/>
        <w:t>HCH implementation (including those under the Council of Australian Governments bilateral</w:t>
      </w:r>
      <w:r>
        <w:rPr>
          <w:spacing w:val="-53"/>
        </w:rPr>
        <w:t> </w:t>
      </w:r>
      <w:r>
        <w:rPr/>
        <w:t>agreements), and these also need to be described, and the extent to which these are</w:t>
      </w:r>
      <w:r>
        <w:rPr>
          <w:spacing w:val="1"/>
        </w:rPr>
        <w:t> </w:t>
      </w:r>
      <w:r>
        <w:rPr/>
        <w:t>leveraged</w:t>
      </w:r>
      <w:r>
        <w:rPr>
          <w:spacing w:val="-1"/>
        </w:rPr>
        <w:t> </w:t>
      </w:r>
      <w:r>
        <w:rPr/>
        <w:t>by</w:t>
      </w:r>
      <w:r>
        <w:rPr>
          <w:spacing w:val="-2"/>
        </w:rPr>
        <w:t> </w:t>
      </w:r>
      <w:r>
        <w:rPr/>
        <w:t>practices</w:t>
      </w:r>
      <w:r>
        <w:rPr>
          <w:spacing w:val="-1"/>
        </w:rPr>
        <w:t> </w:t>
      </w:r>
      <w:r>
        <w:rPr/>
        <w:t>assessed.</w:t>
      </w:r>
    </w:p>
    <w:p>
      <w:pPr>
        <w:spacing w:after="0" w:line="276" w:lineRule="auto"/>
        <w:sectPr>
          <w:pgSz w:w="11910" w:h="16840"/>
          <w:pgMar w:header="0" w:footer="675" w:top="1340" w:bottom="860" w:left="1340" w:right="1140"/>
        </w:sectPr>
      </w:pPr>
    </w:p>
    <w:p>
      <w:pPr>
        <w:pStyle w:val="BodyText"/>
        <w:spacing w:before="11"/>
        <w:rPr>
          <w:sz w:val="22"/>
        </w:rPr>
      </w:pPr>
    </w:p>
    <w:p>
      <w:pPr>
        <w:spacing w:before="100"/>
        <w:ind w:left="3603" w:right="3959" w:firstLine="0"/>
        <w:jc w:val="center"/>
        <w:rPr>
          <w:b/>
          <w:sz w:val="18"/>
        </w:rPr>
      </w:pPr>
      <w:bookmarkStart w:name="_bookmark18" w:id="19"/>
      <w:bookmarkEnd w:id="19"/>
      <w:r>
        <w:rPr/>
      </w:r>
      <w:r>
        <w:rPr>
          <w:b/>
          <w:sz w:val="18"/>
        </w:rPr>
        <w:t>Table</w:t>
      </w:r>
      <w:r>
        <w:rPr>
          <w:b/>
          <w:spacing w:val="-2"/>
          <w:sz w:val="18"/>
        </w:rPr>
        <w:t> </w:t>
      </w:r>
      <w:r>
        <w:rPr>
          <w:b/>
          <w:sz w:val="18"/>
        </w:rPr>
        <w:t>4</w:t>
      </w:r>
      <w:r>
        <w:rPr>
          <w:b/>
          <w:spacing w:val="-5"/>
          <w:sz w:val="18"/>
        </w:rPr>
        <w:t> </w:t>
      </w:r>
      <w:r>
        <w:rPr>
          <w:b/>
          <w:sz w:val="18"/>
        </w:rPr>
        <w:t>–</w:t>
      </w:r>
      <w:r>
        <w:rPr>
          <w:b/>
          <w:spacing w:val="-1"/>
          <w:sz w:val="18"/>
        </w:rPr>
        <w:t> </w:t>
      </w:r>
      <w:r>
        <w:rPr>
          <w:b/>
          <w:sz w:val="18"/>
        </w:rPr>
        <w:t>Detailed</w:t>
      </w:r>
      <w:r>
        <w:rPr>
          <w:b/>
          <w:spacing w:val="-1"/>
          <w:sz w:val="18"/>
        </w:rPr>
        <w:t> </w:t>
      </w:r>
      <w:r>
        <w:rPr>
          <w:b/>
          <w:sz w:val="18"/>
        </w:rPr>
        <w:t>evaluation</w:t>
      </w:r>
      <w:r>
        <w:rPr>
          <w:b/>
          <w:spacing w:val="-2"/>
          <w:sz w:val="18"/>
        </w:rPr>
        <w:t> </w:t>
      </w:r>
      <w:r>
        <w:rPr>
          <w:b/>
          <w:sz w:val="18"/>
        </w:rPr>
        <w:t>questions</w:t>
      </w:r>
      <w:r>
        <w:rPr>
          <w:b/>
          <w:spacing w:val="-2"/>
          <w:sz w:val="18"/>
        </w:rPr>
        <w:t> </w:t>
      </w:r>
      <w:r>
        <w:rPr>
          <w:b/>
          <w:sz w:val="18"/>
        </w:rPr>
        <w:t>and</w:t>
      </w:r>
      <w:r>
        <w:rPr>
          <w:b/>
          <w:spacing w:val="-1"/>
          <w:sz w:val="18"/>
        </w:rPr>
        <w:t> </w:t>
      </w:r>
      <w:r>
        <w:rPr>
          <w:b/>
          <w:sz w:val="18"/>
        </w:rPr>
        <w:t>measures</w:t>
      </w:r>
      <w:r>
        <w:rPr>
          <w:b/>
          <w:spacing w:val="-2"/>
          <w:sz w:val="18"/>
        </w:rPr>
        <w:t> </w:t>
      </w:r>
      <w:r>
        <w:rPr>
          <w:b/>
          <w:sz w:val="18"/>
        </w:rPr>
        <w:t>relating</w:t>
      </w:r>
      <w:r>
        <w:rPr>
          <w:b/>
          <w:spacing w:val="-1"/>
          <w:sz w:val="18"/>
        </w:rPr>
        <w:t> </w:t>
      </w:r>
      <w:r>
        <w:rPr>
          <w:b/>
          <w:sz w:val="18"/>
        </w:rPr>
        <w:t>to</w:t>
      </w:r>
      <w:r>
        <w:rPr>
          <w:b/>
          <w:spacing w:val="-3"/>
          <w:sz w:val="18"/>
        </w:rPr>
        <w:t> </w:t>
      </w:r>
      <w:r>
        <w:rPr>
          <w:b/>
          <w:sz w:val="18"/>
        </w:rPr>
        <w:t>Key</w:t>
      </w:r>
      <w:r>
        <w:rPr>
          <w:b/>
          <w:spacing w:val="-1"/>
          <w:sz w:val="18"/>
        </w:rPr>
        <w:t> </w:t>
      </w:r>
      <w:r>
        <w:rPr>
          <w:b/>
          <w:sz w:val="18"/>
        </w:rPr>
        <w:t>question</w:t>
      </w:r>
      <w:r>
        <w:rPr>
          <w:b/>
          <w:spacing w:val="-1"/>
          <w:sz w:val="18"/>
        </w:rPr>
        <w:t> </w:t>
      </w:r>
      <w:r>
        <w:rPr>
          <w:b/>
          <w:sz w:val="18"/>
        </w:rPr>
        <w:t>1</w:t>
      </w:r>
    </w:p>
    <w:p>
      <w:pPr>
        <w:pStyle w:val="BodyText"/>
        <w:spacing w:before="6"/>
        <w:rPr>
          <w:b/>
          <w:sz w:val="7"/>
        </w:rPr>
      </w:pPr>
    </w:p>
    <w:tbl>
      <w:tblPr>
        <w:tblW w:w="0" w:type="auto"/>
        <w:jc w:val="left"/>
        <w:tblInd w:w="11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5809"/>
        <w:gridCol w:w="6853"/>
        <w:gridCol w:w="324"/>
        <w:gridCol w:w="327"/>
        <w:gridCol w:w="324"/>
        <w:gridCol w:w="324"/>
        <w:gridCol w:w="326"/>
      </w:tblGrid>
      <w:tr>
        <w:trPr>
          <w:trHeight w:val="1509" w:hRule="atLeast"/>
        </w:trPr>
        <w:tc>
          <w:tcPr>
            <w:tcW w:w="5809" w:type="dxa"/>
            <w:shd w:val="clear" w:color="auto" w:fill="003C79"/>
          </w:tcPr>
          <w:p>
            <w:pPr>
              <w:pStyle w:val="TableParagraph"/>
              <w:rPr>
                <w:b/>
                <w:sz w:val="20"/>
              </w:rPr>
            </w:pPr>
          </w:p>
          <w:p>
            <w:pPr>
              <w:pStyle w:val="TableParagraph"/>
              <w:rPr>
                <w:b/>
                <w:sz w:val="20"/>
              </w:rPr>
            </w:pPr>
          </w:p>
          <w:p>
            <w:pPr>
              <w:pStyle w:val="TableParagraph"/>
              <w:spacing w:before="164"/>
              <w:ind w:left="1579"/>
              <w:rPr>
                <w:b/>
                <w:sz w:val="16"/>
              </w:rPr>
            </w:pPr>
            <w:r>
              <w:rPr>
                <w:b/>
                <w:color w:val="FFFFFF"/>
                <w:sz w:val="16"/>
              </w:rPr>
              <w:t>Key</w:t>
            </w:r>
            <w:r>
              <w:rPr>
                <w:b/>
                <w:color w:val="FFFFFF"/>
                <w:spacing w:val="-4"/>
                <w:sz w:val="16"/>
              </w:rPr>
              <w:t> </w:t>
            </w:r>
            <w:r>
              <w:rPr>
                <w:b/>
                <w:color w:val="FFFFFF"/>
                <w:sz w:val="16"/>
              </w:rPr>
              <w:t>question</w:t>
            </w:r>
            <w:r>
              <w:rPr>
                <w:b/>
                <w:color w:val="FFFFFF"/>
                <w:spacing w:val="-5"/>
                <w:sz w:val="16"/>
              </w:rPr>
              <w:t> </w:t>
            </w:r>
            <w:r>
              <w:rPr>
                <w:b/>
                <w:color w:val="FFFFFF"/>
                <w:sz w:val="16"/>
              </w:rPr>
              <w:t>1:</w:t>
            </w:r>
            <w:r>
              <w:rPr>
                <w:b/>
                <w:color w:val="FFFFFF"/>
                <w:spacing w:val="-2"/>
                <w:sz w:val="16"/>
              </w:rPr>
              <w:t> </w:t>
            </w:r>
            <w:r>
              <w:rPr>
                <w:b/>
                <w:color w:val="FFFFFF"/>
                <w:sz w:val="16"/>
              </w:rPr>
              <w:t>Detailed</w:t>
            </w:r>
            <w:r>
              <w:rPr>
                <w:b/>
                <w:color w:val="FFFFFF"/>
                <w:spacing w:val="-2"/>
                <w:sz w:val="16"/>
              </w:rPr>
              <w:t> </w:t>
            </w:r>
            <w:r>
              <w:rPr>
                <w:b/>
                <w:color w:val="FFFFFF"/>
                <w:sz w:val="16"/>
              </w:rPr>
              <w:t>questions</w:t>
            </w:r>
          </w:p>
        </w:tc>
        <w:tc>
          <w:tcPr>
            <w:tcW w:w="6853" w:type="dxa"/>
            <w:shd w:val="clear" w:color="auto" w:fill="003C79"/>
          </w:tcPr>
          <w:p>
            <w:pPr>
              <w:pStyle w:val="TableParagraph"/>
              <w:rPr>
                <w:b/>
                <w:sz w:val="20"/>
              </w:rPr>
            </w:pPr>
          </w:p>
          <w:p>
            <w:pPr>
              <w:pStyle w:val="TableParagraph"/>
              <w:rPr>
                <w:b/>
                <w:sz w:val="20"/>
              </w:rPr>
            </w:pPr>
          </w:p>
          <w:p>
            <w:pPr>
              <w:pStyle w:val="TableParagraph"/>
              <w:spacing w:before="164"/>
              <w:ind w:left="2424" w:right="2419"/>
              <w:jc w:val="center"/>
              <w:rPr>
                <w:b/>
                <w:sz w:val="16"/>
              </w:rPr>
            </w:pPr>
            <w:r>
              <w:rPr>
                <w:b/>
                <w:color w:val="FFFFFF"/>
                <w:sz w:val="16"/>
              </w:rPr>
              <w:t>Key</w:t>
            </w:r>
            <w:r>
              <w:rPr>
                <w:b/>
                <w:color w:val="FFFFFF"/>
                <w:spacing w:val="-4"/>
                <w:sz w:val="16"/>
              </w:rPr>
              <w:t> </w:t>
            </w:r>
            <w:r>
              <w:rPr>
                <w:b/>
                <w:color w:val="FFFFFF"/>
                <w:sz w:val="16"/>
              </w:rPr>
              <w:t>question</w:t>
            </w:r>
            <w:r>
              <w:rPr>
                <w:b/>
                <w:color w:val="FFFFFF"/>
                <w:spacing w:val="-4"/>
                <w:sz w:val="16"/>
              </w:rPr>
              <w:t> </w:t>
            </w:r>
            <w:r>
              <w:rPr>
                <w:b/>
                <w:color w:val="FFFFFF"/>
                <w:sz w:val="16"/>
              </w:rPr>
              <w:t>1:</w:t>
            </w:r>
            <w:r>
              <w:rPr>
                <w:b/>
                <w:color w:val="FFFFFF"/>
                <w:spacing w:val="-3"/>
                <w:sz w:val="16"/>
              </w:rPr>
              <w:t> </w:t>
            </w:r>
            <w:r>
              <w:rPr>
                <w:b/>
                <w:color w:val="FFFFFF"/>
                <w:sz w:val="16"/>
              </w:rPr>
              <w:t>Measures</w:t>
            </w:r>
          </w:p>
        </w:tc>
        <w:tc>
          <w:tcPr>
            <w:tcW w:w="324" w:type="dxa"/>
            <w:shd w:val="clear" w:color="auto" w:fill="003C79"/>
            <w:textDirection w:val="btLr"/>
          </w:tcPr>
          <w:p>
            <w:pPr>
              <w:pStyle w:val="TableParagraph"/>
              <w:spacing w:before="62"/>
              <w:ind w:left="503" w:right="504"/>
              <w:jc w:val="center"/>
              <w:rPr>
                <w:b/>
                <w:sz w:val="16"/>
              </w:rPr>
            </w:pPr>
            <w:r>
              <w:rPr>
                <w:b/>
                <w:color w:val="FFFFFF"/>
                <w:sz w:val="16"/>
              </w:rPr>
              <w:t>Inputs</w:t>
            </w:r>
          </w:p>
        </w:tc>
        <w:tc>
          <w:tcPr>
            <w:tcW w:w="327" w:type="dxa"/>
            <w:shd w:val="clear" w:color="auto" w:fill="003C79"/>
            <w:textDirection w:val="btLr"/>
          </w:tcPr>
          <w:p>
            <w:pPr>
              <w:pStyle w:val="TableParagraph"/>
              <w:spacing w:before="64"/>
              <w:ind w:left="407"/>
              <w:rPr>
                <w:b/>
                <w:sz w:val="16"/>
              </w:rPr>
            </w:pPr>
            <w:r>
              <w:rPr>
                <w:b/>
                <w:color w:val="FFFFFF"/>
                <w:sz w:val="16"/>
              </w:rPr>
              <w:t>Activities</w:t>
            </w:r>
          </w:p>
        </w:tc>
        <w:tc>
          <w:tcPr>
            <w:tcW w:w="324" w:type="dxa"/>
            <w:shd w:val="clear" w:color="auto" w:fill="003C79"/>
            <w:textDirection w:val="btLr"/>
          </w:tcPr>
          <w:p>
            <w:pPr>
              <w:pStyle w:val="TableParagraph"/>
              <w:spacing w:before="62"/>
              <w:ind w:left="455"/>
              <w:rPr>
                <w:b/>
                <w:sz w:val="16"/>
              </w:rPr>
            </w:pPr>
            <w:r>
              <w:rPr>
                <w:b/>
                <w:color w:val="FFFFFF"/>
                <w:sz w:val="16"/>
              </w:rPr>
              <w:t>Outputs</w:t>
            </w:r>
          </w:p>
        </w:tc>
        <w:tc>
          <w:tcPr>
            <w:tcW w:w="324" w:type="dxa"/>
            <w:shd w:val="clear" w:color="auto" w:fill="003C79"/>
            <w:textDirection w:val="btLr"/>
          </w:tcPr>
          <w:p>
            <w:pPr>
              <w:pStyle w:val="TableParagraph"/>
              <w:spacing w:before="64"/>
              <w:ind w:left="254"/>
              <w:rPr>
                <w:b/>
                <w:sz w:val="16"/>
              </w:rPr>
            </w:pPr>
            <w:r>
              <w:rPr>
                <w:b/>
                <w:color w:val="FFFFFF"/>
                <w:sz w:val="16"/>
              </w:rPr>
              <w:t>Outcomes</w:t>
            </w:r>
            <w:r>
              <w:rPr>
                <w:b/>
                <w:color w:val="FFFFFF"/>
                <w:spacing w:val="-2"/>
                <w:sz w:val="16"/>
              </w:rPr>
              <w:t> </w:t>
            </w:r>
            <w:r>
              <w:rPr>
                <w:b/>
                <w:color w:val="FFFFFF"/>
                <w:sz w:val="16"/>
              </w:rPr>
              <w:t>ST</w:t>
            </w:r>
          </w:p>
        </w:tc>
        <w:tc>
          <w:tcPr>
            <w:tcW w:w="326" w:type="dxa"/>
            <w:shd w:val="clear" w:color="auto" w:fill="003C79"/>
            <w:textDirection w:val="btLr"/>
          </w:tcPr>
          <w:p>
            <w:pPr>
              <w:pStyle w:val="TableParagraph"/>
              <w:spacing w:before="64"/>
              <w:ind w:left="222"/>
              <w:rPr>
                <w:b/>
                <w:sz w:val="16"/>
              </w:rPr>
            </w:pPr>
            <w:r>
              <w:rPr>
                <w:b/>
                <w:color w:val="FFFFFF"/>
                <w:sz w:val="16"/>
              </w:rPr>
              <w:t>Outcomes</w:t>
            </w:r>
            <w:r>
              <w:rPr>
                <w:b/>
                <w:color w:val="FFFFFF"/>
                <w:spacing w:val="-1"/>
                <w:sz w:val="16"/>
              </w:rPr>
              <w:t> </w:t>
            </w:r>
            <w:r>
              <w:rPr>
                <w:b/>
                <w:color w:val="FFFFFF"/>
                <w:sz w:val="16"/>
              </w:rPr>
              <w:t>MT</w:t>
            </w:r>
          </w:p>
        </w:tc>
      </w:tr>
      <w:tr>
        <w:trPr>
          <w:trHeight w:val="309" w:hRule="atLeast"/>
        </w:trPr>
        <w:tc>
          <w:tcPr>
            <w:tcW w:w="14287" w:type="dxa"/>
            <w:gridSpan w:val="7"/>
            <w:shd w:val="clear" w:color="auto" w:fill="F1F1F1"/>
          </w:tcPr>
          <w:p>
            <w:pPr>
              <w:pStyle w:val="TableParagraph"/>
              <w:spacing w:before="55"/>
              <w:ind w:left="57"/>
              <w:rPr>
                <w:b/>
                <w:sz w:val="16"/>
              </w:rPr>
            </w:pPr>
            <w:r>
              <w:rPr>
                <w:b/>
                <w:sz w:val="16"/>
              </w:rPr>
              <w:t>Level:</w:t>
            </w:r>
            <w:r>
              <w:rPr>
                <w:b/>
                <w:spacing w:val="-5"/>
                <w:sz w:val="16"/>
              </w:rPr>
              <w:t> </w:t>
            </w:r>
            <w:r>
              <w:rPr>
                <w:b/>
                <w:sz w:val="16"/>
              </w:rPr>
              <w:t>Program</w:t>
            </w:r>
          </w:p>
        </w:tc>
      </w:tr>
      <w:tr>
        <w:trPr>
          <w:trHeight w:val="415" w:hRule="atLeast"/>
        </w:trPr>
        <w:tc>
          <w:tcPr>
            <w:tcW w:w="5809" w:type="dxa"/>
            <w:vMerge w:val="restart"/>
          </w:tcPr>
          <w:p>
            <w:pPr>
              <w:pStyle w:val="TableParagraph"/>
              <w:spacing w:line="264" w:lineRule="auto" w:before="58"/>
              <w:ind w:left="504" w:right="146" w:hanging="426"/>
              <w:rPr>
                <w:sz w:val="16"/>
              </w:rPr>
            </w:pPr>
            <w:r>
              <w:rPr>
                <w:sz w:val="16"/>
              </w:rPr>
              <w:t>1.01 What program level activities were undertaken to assist</w:t>
            </w:r>
            <w:r>
              <w:rPr>
                <w:spacing w:val="1"/>
                <w:sz w:val="16"/>
              </w:rPr>
              <w:t> </w:t>
            </w:r>
            <w:r>
              <w:rPr>
                <w:sz w:val="16"/>
              </w:rPr>
              <w:t>implementation, including program governance, planning, risk</w:t>
            </w:r>
            <w:r>
              <w:rPr>
                <w:spacing w:val="1"/>
                <w:sz w:val="16"/>
              </w:rPr>
              <w:t> </w:t>
            </w:r>
            <w:r>
              <w:rPr>
                <w:sz w:val="16"/>
              </w:rPr>
              <w:t>management, stakeholder engagement, development of policies</w:t>
            </w:r>
            <w:r>
              <w:rPr>
                <w:spacing w:val="-42"/>
                <w:sz w:val="16"/>
              </w:rPr>
              <w:t> </w:t>
            </w:r>
            <w:r>
              <w:rPr>
                <w:sz w:val="16"/>
              </w:rPr>
              <w:t>and</w:t>
            </w:r>
            <w:r>
              <w:rPr>
                <w:spacing w:val="-2"/>
                <w:sz w:val="16"/>
              </w:rPr>
              <w:t> </w:t>
            </w:r>
            <w:r>
              <w:rPr>
                <w:sz w:val="16"/>
              </w:rPr>
              <w:t>procedures,</w:t>
            </w:r>
            <w:r>
              <w:rPr>
                <w:spacing w:val="-1"/>
                <w:sz w:val="16"/>
              </w:rPr>
              <w:t> </w:t>
            </w:r>
            <w:r>
              <w:rPr>
                <w:sz w:val="16"/>
              </w:rPr>
              <w:t>and</w:t>
            </w:r>
            <w:r>
              <w:rPr>
                <w:spacing w:val="-1"/>
                <w:sz w:val="16"/>
              </w:rPr>
              <w:t> </w:t>
            </w:r>
            <w:r>
              <w:rPr>
                <w:sz w:val="16"/>
              </w:rPr>
              <w:t>HCH</w:t>
            </w:r>
            <w:r>
              <w:rPr>
                <w:spacing w:val="-2"/>
                <w:sz w:val="16"/>
              </w:rPr>
              <w:t> </w:t>
            </w:r>
            <w:r>
              <w:rPr>
                <w:sz w:val="16"/>
              </w:rPr>
              <w:t>model development?</w:t>
            </w:r>
          </w:p>
        </w:tc>
        <w:tc>
          <w:tcPr>
            <w:tcW w:w="6853" w:type="dxa"/>
          </w:tcPr>
          <w:p>
            <w:pPr>
              <w:pStyle w:val="TableParagraph"/>
              <w:spacing w:before="58"/>
              <w:ind w:left="81"/>
              <w:rPr>
                <w:sz w:val="16"/>
              </w:rPr>
            </w:pPr>
            <w:r>
              <w:rPr>
                <w:sz w:val="16"/>
              </w:rPr>
              <w:t>1.01.01</w:t>
            </w:r>
            <w:r>
              <w:rPr>
                <w:spacing w:val="-3"/>
                <w:sz w:val="16"/>
              </w:rPr>
              <w:t> </w:t>
            </w:r>
            <w:r>
              <w:rPr>
                <w:sz w:val="16"/>
              </w:rPr>
              <w:t>Description</w:t>
            </w:r>
            <w:r>
              <w:rPr>
                <w:spacing w:val="-3"/>
                <w:sz w:val="16"/>
              </w:rPr>
              <w:t> </w:t>
            </w:r>
            <w:r>
              <w:rPr>
                <w:sz w:val="16"/>
              </w:rPr>
              <w:t>of</w:t>
            </w:r>
            <w:r>
              <w:rPr>
                <w:spacing w:val="-3"/>
                <w:sz w:val="16"/>
              </w:rPr>
              <w:t> </w:t>
            </w:r>
            <w:r>
              <w:rPr>
                <w:sz w:val="16"/>
              </w:rPr>
              <w:t>program</w:t>
            </w:r>
            <w:r>
              <w:rPr>
                <w:spacing w:val="-6"/>
                <w:sz w:val="16"/>
              </w:rPr>
              <w:t> </w:t>
            </w:r>
            <w:r>
              <w:rPr>
                <w:sz w:val="16"/>
              </w:rPr>
              <w:t>implementation</w:t>
            </w:r>
            <w:r>
              <w:rPr>
                <w:spacing w:val="-3"/>
                <w:sz w:val="16"/>
              </w:rPr>
              <w:t> </w:t>
            </w:r>
            <w:r>
              <w:rPr>
                <w:sz w:val="16"/>
              </w:rPr>
              <w:t>activities</w:t>
            </w:r>
            <w:r>
              <w:rPr>
                <w:spacing w:val="-4"/>
                <w:sz w:val="16"/>
              </w:rPr>
              <w:t> </w:t>
            </w:r>
            <w:r>
              <w:rPr>
                <w:sz w:val="16"/>
              </w:rPr>
              <w:t>undertaken.</w:t>
            </w:r>
          </w:p>
        </w:tc>
        <w:tc>
          <w:tcPr>
            <w:tcW w:w="324" w:type="dxa"/>
          </w:tcPr>
          <w:p>
            <w:pPr>
              <w:pStyle w:val="TableParagraph"/>
              <w:rPr>
                <w:rFonts w:ascii="Times New Roman"/>
                <w:sz w:val="16"/>
              </w:rPr>
            </w:pPr>
          </w:p>
        </w:tc>
        <w:tc>
          <w:tcPr>
            <w:tcW w:w="327" w:type="dxa"/>
          </w:tcPr>
          <w:p>
            <w:pPr>
              <w:pStyle w:val="TableParagraph"/>
              <w:spacing w:before="58"/>
              <w:ind w:right="88"/>
              <w:jc w:val="right"/>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551"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315" w:hanging="567"/>
              <w:rPr>
                <w:sz w:val="16"/>
              </w:rPr>
            </w:pPr>
            <w:r>
              <w:rPr>
                <w:sz w:val="16"/>
              </w:rPr>
              <w:t>1.01.02 Opportunities for improving program-level activities in subsequent rollouts of</w:t>
            </w:r>
            <w:r>
              <w:rPr>
                <w:spacing w:val="-42"/>
                <w:sz w:val="16"/>
              </w:rPr>
              <w:t> </w:t>
            </w:r>
            <w:r>
              <w:rPr>
                <w:sz w:val="16"/>
              </w:rPr>
              <w:t>the</w:t>
            </w:r>
            <w:r>
              <w:rPr>
                <w:spacing w:val="1"/>
                <w:sz w:val="16"/>
              </w:rPr>
              <w:t> </w:t>
            </w:r>
            <w:r>
              <w:rPr>
                <w:sz w:val="16"/>
              </w:rPr>
              <w:t>program</w:t>
            </w:r>
            <w:r>
              <w:rPr>
                <w:spacing w:val="-1"/>
                <w:sz w:val="16"/>
              </w:rPr>
              <w:t> </w:t>
            </w:r>
            <w:r>
              <w:rPr>
                <w:sz w:val="16"/>
              </w:rPr>
              <w:t>most</w:t>
            </w:r>
            <w:r>
              <w:rPr>
                <w:spacing w:val="-1"/>
                <w:sz w:val="16"/>
              </w:rPr>
              <w:t> </w:t>
            </w:r>
            <w:r>
              <w:rPr>
                <w:sz w:val="16"/>
              </w:rPr>
              <w:t>frequently</w:t>
            </w:r>
            <w:r>
              <w:rPr>
                <w:spacing w:val="-5"/>
                <w:sz w:val="16"/>
              </w:rPr>
              <w:t> </w:t>
            </w:r>
            <w:r>
              <w:rPr>
                <w:sz w:val="16"/>
              </w:rPr>
              <w:t>identified</w:t>
            </w:r>
            <w:r>
              <w:rPr>
                <w:spacing w:val="-1"/>
                <w:sz w:val="16"/>
              </w:rPr>
              <w:t> </w:t>
            </w:r>
            <w:r>
              <w:rPr>
                <w:sz w:val="16"/>
              </w:rPr>
              <w:t>by</w:t>
            </w:r>
            <w:r>
              <w:rPr>
                <w:spacing w:val="-2"/>
                <w:sz w:val="16"/>
              </w:rPr>
              <w:t> </w:t>
            </w:r>
            <w:r>
              <w:rPr>
                <w:sz w:val="16"/>
              </w:rPr>
              <w:t>stakeholders.</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spacing w:before="57"/>
              <w:ind w:left="100"/>
              <w:rPr>
                <w:rFonts w:ascii="Wingdings" w:hAnsi="Wingdings"/>
                <w:sz w:val="16"/>
              </w:rPr>
            </w:pPr>
            <w:r>
              <w:rPr>
                <w:rFonts w:ascii="Wingdings" w:hAnsi="Wingdings"/>
                <w:w w:val="100"/>
                <w:sz w:val="16"/>
              </w:rPr>
              <w:t></w:t>
            </w:r>
          </w:p>
        </w:tc>
      </w:tr>
      <w:tr>
        <w:trPr>
          <w:trHeight w:val="414" w:hRule="atLeast"/>
        </w:trPr>
        <w:tc>
          <w:tcPr>
            <w:tcW w:w="5809" w:type="dxa"/>
            <w:vMerge w:val="restart"/>
          </w:tcPr>
          <w:p>
            <w:pPr>
              <w:pStyle w:val="TableParagraph"/>
              <w:spacing w:line="264" w:lineRule="auto" w:before="57"/>
              <w:ind w:left="504" w:right="75" w:hanging="426"/>
              <w:rPr>
                <w:sz w:val="16"/>
              </w:rPr>
            </w:pPr>
            <w:r>
              <w:rPr>
                <w:sz w:val="16"/>
              </w:rPr>
              <w:t>1.02 How were practices recruited to participate in the HCH program?</w:t>
            </w:r>
            <w:r>
              <w:rPr>
                <w:spacing w:val="1"/>
                <w:sz w:val="16"/>
              </w:rPr>
              <w:t> </w:t>
            </w:r>
            <w:r>
              <w:rPr>
                <w:sz w:val="16"/>
              </w:rPr>
              <w:t>What were the characteristics of practices that were accepted to</w:t>
            </w:r>
            <w:r>
              <w:rPr>
                <w:spacing w:val="1"/>
                <w:sz w:val="16"/>
              </w:rPr>
              <w:t> </w:t>
            </w:r>
            <w:r>
              <w:rPr>
                <w:sz w:val="16"/>
              </w:rPr>
              <w:t>participate in the HCH program? Did this yield an appropriate mix</w:t>
            </w:r>
            <w:r>
              <w:rPr>
                <w:spacing w:val="1"/>
                <w:sz w:val="16"/>
              </w:rPr>
              <w:t> </w:t>
            </w:r>
            <w:r>
              <w:rPr>
                <w:sz w:val="16"/>
              </w:rPr>
              <w:t>of practice types and settings for testing the first stage of the</w:t>
            </w:r>
            <w:r>
              <w:rPr>
                <w:spacing w:val="1"/>
                <w:sz w:val="16"/>
              </w:rPr>
              <w:t> </w:t>
            </w:r>
            <w:r>
              <w:rPr>
                <w:sz w:val="16"/>
              </w:rPr>
              <w:t>program's rollout? Did the practices recruited enrol a sufficient</w:t>
            </w:r>
            <w:r>
              <w:rPr>
                <w:spacing w:val="1"/>
                <w:sz w:val="16"/>
              </w:rPr>
              <w:t> </w:t>
            </w:r>
            <w:r>
              <w:rPr>
                <w:sz w:val="16"/>
              </w:rPr>
              <w:t>number</w:t>
            </w:r>
            <w:r>
              <w:rPr>
                <w:spacing w:val="-4"/>
                <w:sz w:val="16"/>
              </w:rPr>
              <w:t> </w:t>
            </w:r>
            <w:r>
              <w:rPr>
                <w:sz w:val="16"/>
              </w:rPr>
              <w:t>and</w:t>
            </w:r>
            <w:r>
              <w:rPr>
                <w:spacing w:val="-2"/>
                <w:sz w:val="16"/>
              </w:rPr>
              <w:t> </w:t>
            </w:r>
            <w:r>
              <w:rPr>
                <w:sz w:val="16"/>
              </w:rPr>
              <w:t>mix</w:t>
            </w:r>
            <w:r>
              <w:rPr>
                <w:spacing w:val="-4"/>
                <w:sz w:val="16"/>
              </w:rPr>
              <w:t> </w:t>
            </w:r>
            <w:r>
              <w:rPr>
                <w:sz w:val="16"/>
              </w:rPr>
              <w:t>of</w:t>
            </w:r>
            <w:r>
              <w:rPr>
                <w:spacing w:val="-2"/>
                <w:sz w:val="16"/>
              </w:rPr>
              <w:t> </w:t>
            </w:r>
            <w:r>
              <w:rPr>
                <w:sz w:val="16"/>
              </w:rPr>
              <w:t>patients</w:t>
            </w:r>
            <w:r>
              <w:rPr>
                <w:spacing w:val="-1"/>
                <w:sz w:val="16"/>
              </w:rPr>
              <w:t> </w:t>
            </w:r>
            <w:r>
              <w:rPr>
                <w:sz w:val="16"/>
              </w:rPr>
              <w:t>to</w:t>
            </w:r>
            <w:r>
              <w:rPr>
                <w:spacing w:val="-5"/>
                <w:sz w:val="16"/>
              </w:rPr>
              <w:t> </w:t>
            </w:r>
            <w:r>
              <w:rPr>
                <w:sz w:val="16"/>
              </w:rPr>
              <w:t>demonstrate</w:t>
            </w:r>
            <w:r>
              <w:rPr>
                <w:spacing w:val="-3"/>
                <w:sz w:val="16"/>
              </w:rPr>
              <w:t> </w:t>
            </w:r>
            <w:r>
              <w:rPr>
                <w:sz w:val="16"/>
              </w:rPr>
              <w:t>HCH</w:t>
            </w:r>
            <w:r>
              <w:rPr>
                <w:spacing w:val="-2"/>
                <w:sz w:val="16"/>
              </w:rPr>
              <w:t> </w:t>
            </w:r>
            <w:r>
              <w:rPr>
                <w:sz w:val="16"/>
              </w:rPr>
              <w:t>program</w:t>
            </w:r>
            <w:r>
              <w:rPr>
                <w:spacing w:val="-1"/>
                <w:sz w:val="16"/>
              </w:rPr>
              <w:t> </w:t>
            </w:r>
            <w:r>
              <w:rPr>
                <w:sz w:val="16"/>
              </w:rPr>
              <w:t>viability?</w:t>
            </w:r>
          </w:p>
        </w:tc>
        <w:tc>
          <w:tcPr>
            <w:tcW w:w="6853" w:type="dxa"/>
          </w:tcPr>
          <w:p>
            <w:pPr>
              <w:pStyle w:val="TableParagraph"/>
              <w:spacing w:before="57"/>
              <w:ind w:left="81"/>
              <w:rPr>
                <w:sz w:val="16"/>
              </w:rPr>
            </w:pPr>
            <w:r>
              <w:rPr>
                <w:sz w:val="16"/>
              </w:rPr>
              <w:t>1.02.01</w:t>
            </w:r>
            <w:r>
              <w:rPr>
                <w:spacing w:val="-4"/>
                <w:sz w:val="16"/>
              </w:rPr>
              <w:t> </w:t>
            </w:r>
            <w:r>
              <w:rPr>
                <w:sz w:val="16"/>
              </w:rPr>
              <w:t>Description</w:t>
            </w:r>
            <w:r>
              <w:rPr>
                <w:spacing w:val="-4"/>
                <w:sz w:val="16"/>
              </w:rPr>
              <w:t> </w:t>
            </w:r>
            <w:r>
              <w:rPr>
                <w:sz w:val="16"/>
              </w:rPr>
              <w:t>of</w:t>
            </w:r>
            <w:r>
              <w:rPr>
                <w:spacing w:val="-5"/>
                <w:sz w:val="16"/>
              </w:rPr>
              <w:t> </w:t>
            </w:r>
            <w:r>
              <w:rPr>
                <w:sz w:val="16"/>
              </w:rPr>
              <w:t>practice</w:t>
            </w:r>
            <w:r>
              <w:rPr>
                <w:spacing w:val="-1"/>
                <w:sz w:val="16"/>
              </w:rPr>
              <w:t> </w:t>
            </w:r>
            <w:r>
              <w:rPr>
                <w:sz w:val="16"/>
              </w:rPr>
              <w:t>recruitment</w:t>
            </w:r>
            <w:r>
              <w:rPr>
                <w:spacing w:val="-6"/>
                <w:sz w:val="16"/>
              </w:rPr>
              <w:t> </w:t>
            </w:r>
            <w:r>
              <w:rPr>
                <w:sz w:val="16"/>
              </w:rPr>
              <w:t>activities</w:t>
            </w:r>
            <w:r>
              <w:rPr>
                <w:spacing w:val="-6"/>
                <w:sz w:val="16"/>
              </w:rPr>
              <w:t> </w:t>
            </w:r>
            <w:r>
              <w:rPr>
                <w:sz w:val="16"/>
              </w:rPr>
              <w:t>undertaken.</w:t>
            </w:r>
          </w:p>
        </w:tc>
        <w:tc>
          <w:tcPr>
            <w:tcW w:w="324" w:type="dxa"/>
          </w:tcPr>
          <w:p>
            <w:pPr>
              <w:pStyle w:val="TableParagraph"/>
              <w:rPr>
                <w:rFonts w:ascii="Times New Roman"/>
                <w:sz w:val="16"/>
              </w:rPr>
            </w:pPr>
          </w:p>
        </w:tc>
        <w:tc>
          <w:tcPr>
            <w:tcW w:w="327" w:type="dxa"/>
          </w:tcPr>
          <w:p>
            <w:pPr>
              <w:pStyle w:val="TableParagraph"/>
              <w:spacing w:before="57"/>
              <w:ind w:right="88"/>
              <w:jc w:val="right"/>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976"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168" w:hanging="567"/>
              <w:rPr>
                <w:sz w:val="16"/>
              </w:rPr>
            </w:pPr>
            <w:r>
              <w:rPr>
                <w:sz w:val="16"/>
              </w:rPr>
              <w:t>1.02.02 Number of practices applying and recruited by the study strata, including</w:t>
            </w:r>
            <w:r>
              <w:rPr>
                <w:spacing w:val="1"/>
                <w:sz w:val="16"/>
              </w:rPr>
              <w:t> </w:t>
            </w:r>
            <w:r>
              <w:rPr>
                <w:sz w:val="16"/>
              </w:rPr>
              <w:t>Modified</w:t>
            </w:r>
            <w:r>
              <w:rPr>
                <w:spacing w:val="-4"/>
                <w:sz w:val="16"/>
              </w:rPr>
              <w:t> </w:t>
            </w:r>
            <w:r>
              <w:rPr>
                <w:sz w:val="16"/>
              </w:rPr>
              <w:t>Monash</w:t>
            </w:r>
            <w:r>
              <w:rPr>
                <w:spacing w:val="-4"/>
                <w:sz w:val="16"/>
              </w:rPr>
              <w:t> </w:t>
            </w:r>
            <w:r>
              <w:rPr>
                <w:sz w:val="16"/>
              </w:rPr>
              <w:t>(remoteness)</w:t>
            </w:r>
            <w:r>
              <w:rPr>
                <w:spacing w:val="-6"/>
                <w:sz w:val="16"/>
              </w:rPr>
              <w:t> </w:t>
            </w:r>
            <w:r>
              <w:rPr>
                <w:sz w:val="16"/>
              </w:rPr>
              <w:t>categories,</w:t>
            </w:r>
            <w:r>
              <w:rPr>
                <w:spacing w:val="-6"/>
                <w:sz w:val="16"/>
              </w:rPr>
              <w:t> </w:t>
            </w:r>
            <w:r>
              <w:rPr>
                <w:sz w:val="16"/>
              </w:rPr>
              <w:t>ownership</w:t>
            </w:r>
            <w:r>
              <w:rPr>
                <w:spacing w:val="-3"/>
                <w:sz w:val="16"/>
              </w:rPr>
              <w:t> </w:t>
            </w:r>
            <w:r>
              <w:rPr>
                <w:sz w:val="16"/>
              </w:rPr>
              <w:t>structure,</w:t>
            </w:r>
            <w:r>
              <w:rPr>
                <w:spacing w:val="-4"/>
                <w:sz w:val="16"/>
              </w:rPr>
              <w:t> </w:t>
            </w:r>
            <w:r>
              <w:rPr>
                <w:sz w:val="16"/>
              </w:rPr>
              <w:t>practice</w:t>
            </w:r>
            <w:r>
              <w:rPr>
                <w:spacing w:val="-4"/>
                <w:sz w:val="16"/>
              </w:rPr>
              <w:t> </w:t>
            </w:r>
            <w:r>
              <w:rPr>
                <w:sz w:val="16"/>
              </w:rPr>
              <w:t>size</w:t>
            </w:r>
            <w:r>
              <w:rPr>
                <w:spacing w:val="-41"/>
                <w:sz w:val="16"/>
              </w:rPr>
              <w:t> </w:t>
            </w:r>
            <w:r>
              <w:rPr>
                <w:sz w:val="16"/>
              </w:rPr>
              <w:t>and staff categories (GP only, GP + Practice Nurse, GP + Practice Nurse +</w:t>
            </w:r>
            <w:r>
              <w:rPr>
                <w:spacing w:val="1"/>
                <w:sz w:val="16"/>
              </w:rPr>
              <w:t> </w:t>
            </w:r>
            <w:r>
              <w:rPr>
                <w:sz w:val="16"/>
              </w:rPr>
              <w:t>Other</w:t>
            </w:r>
            <w:r>
              <w:rPr>
                <w:spacing w:val="-1"/>
                <w:sz w:val="16"/>
              </w:rPr>
              <w:t> </w:t>
            </w:r>
            <w:r>
              <w:rPr>
                <w:sz w:val="16"/>
              </w:rPr>
              <w:t>clinical staff).</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b/>
                <w:sz w:val="18"/>
              </w:rPr>
            </w:pPr>
          </w:p>
          <w:p>
            <w:pPr>
              <w:pStyle w:val="TableParagraph"/>
              <w:rPr>
                <w:b/>
                <w:sz w:val="18"/>
              </w:rPr>
            </w:pPr>
          </w:p>
          <w:p>
            <w:pPr>
              <w:pStyle w:val="TableParagraph"/>
              <w:spacing w:before="1"/>
              <w:rPr>
                <w:b/>
                <w:sz w:val="23"/>
              </w:rPr>
            </w:pPr>
          </w:p>
          <w:p>
            <w:pPr>
              <w:pStyle w:val="TableParagraph"/>
              <w:ind w:right="44"/>
              <w:jc w:val="right"/>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415" w:hRule="atLeast"/>
        </w:trPr>
        <w:tc>
          <w:tcPr>
            <w:tcW w:w="5809" w:type="dxa"/>
            <w:vMerge/>
            <w:tcBorders>
              <w:top w:val="nil"/>
            </w:tcBorders>
          </w:tcPr>
          <w:p>
            <w:pPr>
              <w:rPr>
                <w:sz w:val="2"/>
                <w:szCs w:val="2"/>
              </w:rPr>
            </w:pPr>
          </w:p>
        </w:tc>
        <w:tc>
          <w:tcPr>
            <w:tcW w:w="6853" w:type="dxa"/>
          </w:tcPr>
          <w:p>
            <w:pPr>
              <w:pStyle w:val="TableParagraph"/>
              <w:spacing w:before="57"/>
              <w:ind w:left="81"/>
              <w:rPr>
                <w:sz w:val="16"/>
              </w:rPr>
            </w:pPr>
            <w:r>
              <w:rPr>
                <w:sz w:val="16"/>
              </w:rPr>
              <w:t>1.02.03</w:t>
            </w:r>
            <w:r>
              <w:rPr>
                <w:spacing w:val="-1"/>
                <w:sz w:val="16"/>
              </w:rPr>
              <w:t> </w:t>
            </w:r>
            <w:r>
              <w:rPr>
                <w:sz w:val="16"/>
              </w:rPr>
              <w:t>Number</w:t>
            </w:r>
            <w:r>
              <w:rPr>
                <w:spacing w:val="-3"/>
                <w:sz w:val="16"/>
              </w:rPr>
              <w:t> </w:t>
            </w:r>
            <w:r>
              <w:rPr>
                <w:sz w:val="16"/>
              </w:rPr>
              <w:t>of</w:t>
            </w:r>
            <w:r>
              <w:rPr>
                <w:spacing w:val="-2"/>
                <w:sz w:val="16"/>
              </w:rPr>
              <w:t> </w:t>
            </w:r>
            <w:r>
              <w:rPr>
                <w:sz w:val="16"/>
              </w:rPr>
              <w:t>practices recruited</w:t>
            </w:r>
            <w:r>
              <w:rPr>
                <w:spacing w:val="-4"/>
                <w:sz w:val="16"/>
              </w:rPr>
              <w:t> </w:t>
            </w:r>
            <w:r>
              <w:rPr>
                <w:sz w:val="16"/>
              </w:rPr>
              <w:t>is</w:t>
            </w:r>
            <w:r>
              <w:rPr>
                <w:spacing w:val="-3"/>
                <w:sz w:val="16"/>
              </w:rPr>
              <w:t> </w:t>
            </w:r>
            <w:r>
              <w:rPr>
                <w:sz w:val="16"/>
              </w:rPr>
              <w:t>at</w:t>
            </w:r>
            <w:r>
              <w:rPr>
                <w:spacing w:val="-4"/>
                <w:sz w:val="16"/>
              </w:rPr>
              <w:t> </w:t>
            </w:r>
            <w:r>
              <w:rPr>
                <w:sz w:val="16"/>
              </w:rPr>
              <w:t>least 10 for</w:t>
            </w:r>
            <w:r>
              <w:rPr>
                <w:spacing w:val="-5"/>
                <w:sz w:val="16"/>
              </w:rPr>
              <w:t> </w:t>
            </w:r>
            <w:r>
              <w:rPr>
                <w:sz w:val="16"/>
              </w:rPr>
              <w:t>each</w:t>
            </w:r>
            <w:r>
              <w:rPr>
                <w:spacing w:val="-2"/>
                <w:sz w:val="16"/>
              </w:rPr>
              <w:t> </w:t>
            </w:r>
            <w:r>
              <w:rPr>
                <w:sz w:val="16"/>
              </w:rPr>
              <w:t>of</w:t>
            </w:r>
            <w:r>
              <w:rPr>
                <w:spacing w:val="-2"/>
                <w:sz w:val="16"/>
              </w:rPr>
              <w:t> </w:t>
            </w:r>
            <w:r>
              <w:rPr>
                <w:sz w:val="16"/>
              </w:rPr>
              <w:t>the study</w:t>
            </w:r>
            <w:r>
              <w:rPr>
                <w:spacing w:val="-2"/>
                <w:sz w:val="16"/>
              </w:rPr>
              <w:t> </w:t>
            </w:r>
            <w:r>
              <w:rPr>
                <w:sz w:val="16"/>
              </w:rPr>
              <w:t>strata.</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4"/>
              <w:rPr>
                <w:b/>
                <w:sz w:val="13"/>
              </w:rPr>
            </w:pPr>
          </w:p>
          <w:p>
            <w:pPr>
              <w:pStyle w:val="TableParagraph"/>
              <w:ind w:left="99"/>
              <w:jc w:val="center"/>
              <w:rPr>
                <w:rFonts w:ascii="Wingdings" w:hAnsi="Wingdings"/>
                <w:sz w:val="16"/>
              </w:rPr>
            </w:pPr>
            <w:r>
              <w:rPr>
                <w:rFonts w:ascii="Wingdings" w:hAnsi="Wingdings"/>
                <w:w w:val="100"/>
                <w:sz w:val="16"/>
              </w:rPr>
              <w:t></w:t>
            </w:r>
          </w:p>
        </w:tc>
        <w:tc>
          <w:tcPr>
            <w:tcW w:w="326" w:type="dxa"/>
          </w:tcPr>
          <w:p>
            <w:pPr>
              <w:pStyle w:val="TableParagraph"/>
              <w:rPr>
                <w:rFonts w:ascii="Times New Roman"/>
                <w:sz w:val="16"/>
              </w:rPr>
            </w:pPr>
          </w:p>
        </w:tc>
      </w:tr>
      <w:tr>
        <w:trPr>
          <w:trHeight w:val="544"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168" w:hanging="567"/>
              <w:rPr>
                <w:sz w:val="16"/>
              </w:rPr>
            </w:pPr>
            <w:r>
              <w:rPr>
                <w:sz w:val="16"/>
              </w:rPr>
              <w:t>1.02.04 Number of patients enrolled from HCH practices is at least 100 for each of the</w:t>
            </w:r>
            <w:r>
              <w:rPr>
                <w:spacing w:val="-43"/>
                <w:sz w:val="16"/>
              </w:rPr>
              <w:t> </w:t>
            </w:r>
            <w:r>
              <w:rPr>
                <w:sz w:val="16"/>
              </w:rPr>
              <w:t>study strata.</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10"/>
              <w:rPr>
                <w:b/>
                <w:sz w:val="23"/>
              </w:rPr>
            </w:pPr>
          </w:p>
          <w:p>
            <w:pPr>
              <w:pStyle w:val="TableParagraph"/>
              <w:ind w:left="99"/>
              <w:jc w:val="center"/>
              <w:rPr>
                <w:rFonts w:ascii="Wingdings" w:hAnsi="Wingdings"/>
                <w:sz w:val="16"/>
              </w:rPr>
            </w:pPr>
            <w:r>
              <w:rPr>
                <w:rFonts w:ascii="Wingdings" w:hAnsi="Wingdings"/>
                <w:w w:val="100"/>
                <w:sz w:val="16"/>
              </w:rPr>
              <w:t></w:t>
            </w:r>
          </w:p>
        </w:tc>
        <w:tc>
          <w:tcPr>
            <w:tcW w:w="326" w:type="dxa"/>
          </w:tcPr>
          <w:p>
            <w:pPr>
              <w:pStyle w:val="TableParagraph"/>
              <w:rPr>
                <w:rFonts w:ascii="Times New Roman"/>
                <w:sz w:val="16"/>
              </w:rPr>
            </w:pPr>
          </w:p>
        </w:tc>
      </w:tr>
      <w:tr>
        <w:trPr>
          <w:trHeight w:val="546"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300" w:hanging="567"/>
              <w:rPr>
                <w:sz w:val="16"/>
              </w:rPr>
            </w:pPr>
            <w:r>
              <w:rPr>
                <w:sz w:val="16"/>
              </w:rPr>
              <w:t>1.02.05 Frequency of categories of factors influencing the practice to participate in</w:t>
            </w:r>
            <w:r>
              <w:rPr>
                <w:spacing w:val="-42"/>
                <w:sz w:val="16"/>
              </w:rPr>
              <w:t> </w:t>
            </w:r>
            <w:r>
              <w:rPr>
                <w:sz w:val="16"/>
              </w:rPr>
              <w:t>the</w:t>
            </w:r>
            <w:r>
              <w:rPr>
                <w:spacing w:val="1"/>
                <w:sz w:val="16"/>
              </w:rPr>
              <w:t> </w:t>
            </w:r>
            <w:r>
              <w:rPr>
                <w:sz w:val="16"/>
              </w:rPr>
              <w:t>HCH</w:t>
            </w:r>
            <w:r>
              <w:rPr>
                <w:spacing w:val="-1"/>
                <w:sz w:val="16"/>
              </w:rPr>
              <w:t> </w:t>
            </w:r>
            <w:r>
              <w:rPr>
                <w:sz w:val="16"/>
              </w:rPr>
              <w:t>program.</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rPr>
                <w:b/>
                <w:sz w:val="24"/>
              </w:rPr>
            </w:pPr>
          </w:p>
          <w:p>
            <w:pPr>
              <w:pStyle w:val="TableParagraph"/>
              <w:spacing w:before="1"/>
              <w:ind w:left="143"/>
              <w:rPr>
                <w:rFonts w:ascii="Wingdings" w:hAnsi="Wingdings"/>
                <w:sz w:val="16"/>
              </w:rPr>
            </w:pPr>
            <w:r>
              <w:rPr>
                <w:rFonts w:ascii="Wingdings" w:hAnsi="Wingdings"/>
                <w:w w:val="100"/>
                <w:sz w:val="16"/>
              </w:rPr>
              <w:t></w:t>
            </w:r>
          </w:p>
        </w:tc>
      </w:tr>
      <w:tr>
        <w:trPr>
          <w:trHeight w:val="544"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422" w:hanging="567"/>
              <w:rPr>
                <w:sz w:val="16"/>
              </w:rPr>
            </w:pPr>
            <w:r>
              <w:rPr>
                <w:sz w:val="16"/>
              </w:rPr>
              <w:t>1.02.06 Proportion of HCH practice populations by Modified Monash (remoteness)</w:t>
            </w:r>
            <w:r>
              <w:rPr>
                <w:spacing w:val="-42"/>
                <w:sz w:val="16"/>
              </w:rPr>
              <w:t> </w:t>
            </w:r>
            <w:r>
              <w:rPr>
                <w:sz w:val="16"/>
              </w:rPr>
              <w:t>categories.</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10"/>
              <w:rPr>
                <w:b/>
                <w:sz w:val="23"/>
              </w:rPr>
            </w:pPr>
          </w:p>
          <w:p>
            <w:pPr>
              <w:pStyle w:val="TableParagraph"/>
              <w:ind w:left="99"/>
              <w:jc w:val="center"/>
              <w:rPr>
                <w:rFonts w:ascii="Wingdings" w:hAnsi="Wingdings"/>
                <w:sz w:val="16"/>
              </w:rPr>
            </w:pPr>
            <w:r>
              <w:rPr>
                <w:rFonts w:ascii="Wingdings" w:hAnsi="Wingdings"/>
                <w:w w:val="100"/>
                <w:sz w:val="16"/>
              </w:rPr>
              <w:t></w:t>
            </w:r>
          </w:p>
        </w:tc>
        <w:tc>
          <w:tcPr>
            <w:tcW w:w="326" w:type="dxa"/>
          </w:tcPr>
          <w:p>
            <w:pPr>
              <w:pStyle w:val="TableParagraph"/>
              <w:rPr>
                <w:rFonts w:ascii="Times New Roman"/>
                <w:sz w:val="16"/>
              </w:rPr>
            </w:pPr>
          </w:p>
        </w:tc>
      </w:tr>
      <w:tr>
        <w:trPr>
          <w:trHeight w:val="546"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554" w:hanging="567"/>
              <w:rPr>
                <w:sz w:val="16"/>
              </w:rPr>
            </w:pPr>
            <w:r>
              <w:rPr>
                <w:sz w:val="16"/>
              </w:rPr>
              <w:t>1.02.07 Opportunities to encourage wide recruitment of practices in subsequent</w:t>
            </w:r>
            <w:r>
              <w:rPr>
                <w:spacing w:val="-42"/>
                <w:sz w:val="16"/>
              </w:rPr>
              <w:t> </w:t>
            </w:r>
            <w:r>
              <w:rPr>
                <w:sz w:val="16"/>
              </w:rPr>
              <w:t>rollouts</w:t>
            </w:r>
            <w:r>
              <w:rPr>
                <w:spacing w:val="-3"/>
                <w:sz w:val="16"/>
              </w:rPr>
              <w:t> </w:t>
            </w:r>
            <w:r>
              <w:rPr>
                <w:sz w:val="16"/>
              </w:rPr>
              <w:t>of the</w:t>
            </w:r>
            <w:r>
              <w:rPr>
                <w:spacing w:val="-1"/>
                <w:sz w:val="16"/>
              </w:rPr>
              <w:t> </w:t>
            </w:r>
            <w:r>
              <w:rPr>
                <w:sz w:val="16"/>
              </w:rPr>
              <w:t>program</w:t>
            </w:r>
            <w:r>
              <w:rPr>
                <w:spacing w:val="-2"/>
                <w:sz w:val="16"/>
              </w:rPr>
              <w:t> </w:t>
            </w:r>
            <w:r>
              <w:rPr>
                <w:sz w:val="16"/>
              </w:rPr>
              <w:t>most</w:t>
            </w:r>
            <w:r>
              <w:rPr>
                <w:spacing w:val="-1"/>
                <w:sz w:val="16"/>
              </w:rPr>
              <w:t> </w:t>
            </w:r>
            <w:r>
              <w:rPr>
                <w:sz w:val="16"/>
              </w:rPr>
              <w:t>frequently</w:t>
            </w:r>
            <w:r>
              <w:rPr>
                <w:spacing w:val="-5"/>
                <w:sz w:val="16"/>
              </w:rPr>
              <w:t> </w:t>
            </w:r>
            <w:r>
              <w:rPr>
                <w:sz w:val="16"/>
              </w:rPr>
              <w:t>identified</w:t>
            </w:r>
            <w:r>
              <w:rPr>
                <w:spacing w:val="-1"/>
                <w:sz w:val="16"/>
              </w:rPr>
              <w:t> </w:t>
            </w:r>
            <w:r>
              <w:rPr>
                <w:sz w:val="16"/>
              </w:rPr>
              <w:t>by</w:t>
            </w:r>
            <w:r>
              <w:rPr>
                <w:spacing w:val="-2"/>
                <w:sz w:val="16"/>
              </w:rPr>
              <w:t> </w:t>
            </w:r>
            <w:r>
              <w:rPr>
                <w:sz w:val="16"/>
              </w:rPr>
              <w:t>stakeholders</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rPr>
                <w:b/>
                <w:sz w:val="24"/>
              </w:rPr>
            </w:pPr>
          </w:p>
          <w:p>
            <w:pPr>
              <w:pStyle w:val="TableParagraph"/>
              <w:spacing w:before="1"/>
              <w:ind w:left="143"/>
              <w:rPr>
                <w:rFonts w:ascii="Wingdings" w:hAnsi="Wingdings"/>
                <w:sz w:val="16"/>
              </w:rPr>
            </w:pPr>
            <w:r>
              <w:rPr>
                <w:rFonts w:ascii="Wingdings" w:hAnsi="Wingdings"/>
                <w:w w:val="100"/>
                <w:sz w:val="16"/>
              </w:rPr>
              <w:t></w:t>
            </w:r>
          </w:p>
        </w:tc>
      </w:tr>
      <w:tr>
        <w:trPr>
          <w:trHeight w:val="545" w:hRule="atLeast"/>
        </w:trPr>
        <w:tc>
          <w:tcPr>
            <w:tcW w:w="5809" w:type="dxa"/>
            <w:vMerge w:val="restart"/>
          </w:tcPr>
          <w:p>
            <w:pPr>
              <w:pStyle w:val="TableParagraph"/>
              <w:spacing w:line="264" w:lineRule="auto" w:before="58"/>
              <w:ind w:left="504" w:right="146" w:hanging="426"/>
              <w:rPr>
                <w:sz w:val="16"/>
              </w:rPr>
            </w:pPr>
            <w:r>
              <w:rPr>
                <w:sz w:val="16"/>
              </w:rPr>
              <w:t>1.03 How was HCH training strategy implemented at the national level?</w:t>
            </w:r>
            <w:r>
              <w:rPr>
                <w:spacing w:val="-42"/>
                <w:sz w:val="16"/>
              </w:rPr>
              <w:t> </w:t>
            </w:r>
            <w:r>
              <w:rPr>
                <w:sz w:val="16"/>
              </w:rPr>
              <w:t>What</w:t>
            </w:r>
            <w:r>
              <w:rPr>
                <w:spacing w:val="-3"/>
                <w:sz w:val="16"/>
              </w:rPr>
              <w:t> </w:t>
            </w:r>
            <w:r>
              <w:rPr>
                <w:sz w:val="16"/>
              </w:rPr>
              <w:t>training</w:t>
            </w:r>
            <w:r>
              <w:rPr>
                <w:spacing w:val="-5"/>
                <w:sz w:val="16"/>
              </w:rPr>
              <w:t> </w:t>
            </w:r>
            <w:r>
              <w:rPr>
                <w:sz w:val="16"/>
              </w:rPr>
              <w:t>was</w:t>
            </w:r>
            <w:r>
              <w:rPr>
                <w:spacing w:val="-3"/>
                <w:sz w:val="16"/>
              </w:rPr>
              <w:t> </w:t>
            </w:r>
            <w:r>
              <w:rPr>
                <w:sz w:val="16"/>
              </w:rPr>
              <w:t>provided to</w:t>
            </w:r>
            <w:r>
              <w:rPr>
                <w:spacing w:val="-5"/>
                <w:sz w:val="16"/>
              </w:rPr>
              <w:t> </w:t>
            </w:r>
            <w:r>
              <w:rPr>
                <w:sz w:val="16"/>
              </w:rPr>
              <w:t>HCH</w:t>
            </w:r>
            <w:r>
              <w:rPr>
                <w:spacing w:val="-2"/>
                <w:sz w:val="16"/>
              </w:rPr>
              <w:t> </w:t>
            </w:r>
            <w:r>
              <w:rPr>
                <w:sz w:val="16"/>
              </w:rPr>
              <w:t>practices?</w:t>
            </w:r>
            <w:r>
              <w:rPr>
                <w:spacing w:val="-2"/>
                <w:sz w:val="16"/>
              </w:rPr>
              <w:t> </w:t>
            </w:r>
            <w:r>
              <w:rPr>
                <w:sz w:val="16"/>
              </w:rPr>
              <w:t>What</w:t>
            </w:r>
            <w:r>
              <w:rPr>
                <w:spacing w:val="-4"/>
                <w:sz w:val="16"/>
              </w:rPr>
              <w:t> </w:t>
            </w:r>
            <w:r>
              <w:rPr>
                <w:sz w:val="16"/>
              </w:rPr>
              <w:t>was the</w:t>
            </w:r>
            <w:r>
              <w:rPr>
                <w:spacing w:val="-2"/>
                <w:sz w:val="16"/>
              </w:rPr>
              <w:t> </w:t>
            </w:r>
            <w:r>
              <w:rPr>
                <w:sz w:val="16"/>
              </w:rPr>
              <w:t>level</w:t>
            </w:r>
            <w:r>
              <w:rPr>
                <w:spacing w:val="-42"/>
                <w:sz w:val="16"/>
              </w:rPr>
              <w:t> </w:t>
            </w:r>
            <w:r>
              <w:rPr>
                <w:sz w:val="16"/>
              </w:rPr>
              <w:t>of participation by practice staff in training? How effective was</w:t>
            </w:r>
            <w:r>
              <w:rPr>
                <w:spacing w:val="1"/>
                <w:sz w:val="16"/>
              </w:rPr>
              <w:t> </w:t>
            </w:r>
            <w:r>
              <w:rPr>
                <w:sz w:val="16"/>
              </w:rPr>
              <w:t>HCH training in enhancing practice staff knowledge and</w:t>
            </w:r>
            <w:r>
              <w:rPr>
                <w:spacing w:val="1"/>
                <w:sz w:val="16"/>
              </w:rPr>
              <w:t> </w:t>
            </w:r>
            <w:r>
              <w:rPr>
                <w:sz w:val="16"/>
              </w:rPr>
              <w:t>understanding of the HCH program, the patient centred medical</w:t>
            </w:r>
            <w:r>
              <w:rPr>
                <w:spacing w:val="1"/>
                <w:sz w:val="16"/>
              </w:rPr>
              <w:t> </w:t>
            </w:r>
            <w:r>
              <w:rPr>
                <w:sz w:val="16"/>
              </w:rPr>
              <w:t>home, and the approach for implementing change within the</w:t>
            </w:r>
            <w:r>
              <w:rPr>
                <w:spacing w:val="1"/>
                <w:sz w:val="16"/>
              </w:rPr>
              <w:t> </w:t>
            </w:r>
            <w:r>
              <w:rPr>
                <w:sz w:val="16"/>
              </w:rPr>
              <w:t>practice?</w:t>
            </w:r>
            <w:r>
              <w:rPr>
                <w:spacing w:val="-3"/>
                <w:sz w:val="16"/>
              </w:rPr>
              <w:t> </w:t>
            </w:r>
            <w:r>
              <w:rPr>
                <w:sz w:val="16"/>
              </w:rPr>
              <w:t>Which</w:t>
            </w:r>
            <w:r>
              <w:rPr>
                <w:spacing w:val="-2"/>
                <w:sz w:val="16"/>
              </w:rPr>
              <w:t> </w:t>
            </w:r>
            <w:r>
              <w:rPr>
                <w:sz w:val="16"/>
              </w:rPr>
              <w:t>approaches</w:t>
            </w:r>
            <w:r>
              <w:rPr>
                <w:spacing w:val="-1"/>
                <w:sz w:val="16"/>
              </w:rPr>
              <w:t> </w:t>
            </w:r>
            <w:r>
              <w:rPr>
                <w:sz w:val="16"/>
              </w:rPr>
              <w:t>to training</w:t>
            </w:r>
            <w:r>
              <w:rPr>
                <w:spacing w:val="-5"/>
                <w:sz w:val="16"/>
              </w:rPr>
              <w:t> </w:t>
            </w:r>
            <w:r>
              <w:rPr>
                <w:sz w:val="16"/>
              </w:rPr>
              <w:t>were</w:t>
            </w:r>
            <w:r>
              <w:rPr>
                <w:spacing w:val="-2"/>
                <w:sz w:val="16"/>
              </w:rPr>
              <w:t> </w:t>
            </w:r>
            <w:r>
              <w:rPr>
                <w:sz w:val="16"/>
              </w:rPr>
              <w:t>most</w:t>
            </w:r>
            <w:r>
              <w:rPr>
                <w:spacing w:val="-3"/>
                <w:sz w:val="16"/>
              </w:rPr>
              <w:t> </w:t>
            </w:r>
            <w:r>
              <w:rPr>
                <w:sz w:val="16"/>
              </w:rPr>
              <w:t>successful?</w:t>
            </w:r>
          </w:p>
        </w:tc>
        <w:tc>
          <w:tcPr>
            <w:tcW w:w="6853" w:type="dxa"/>
          </w:tcPr>
          <w:p>
            <w:pPr>
              <w:pStyle w:val="TableParagraph"/>
              <w:spacing w:line="264" w:lineRule="auto" w:before="58"/>
              <w:ind w:left="647" w:right="130" w:hanging="567"/>
              <w:rPr>
                <w:sz w:val="16"/>
              </w:rPr>
            </w:pPr>
            <w:r>
              <w:rPr>
                <w:sz w:val="16"/>
              </w:rPr>
              <w:t>1.03.01 Description of activities undertaken and arrangements for HCH training for the</w:t>
            </w:r>
            <w:r>
              <w:rPr>
                <w:spacing w:val="-42"/>
                <w:sz w:val="16"/>
              </w:rPr>
              <w:t> </w:t>
            </w:r>
            <w:r>
              <w:rPr>
                <w:sz w:val="16"/>
              </w:rPr>
              <w:t>trial.</w:t>
            </w:r>
          </w:p>
        </w:tc>
        <w:tc>
          <w:tcPr>
            <w:tcW w:w="324" w:type="dxa"/>
          </w:tcPr>
          <w:p>
            <w:pPr>
              <w:pStyle w:val="TableParagraph"/>
              <w:rPr>
                <w:rFonts w:ascii="Times New Roman"/>
                <w:sz w:val="16"/>
              </w:rPr>
            </w:pPr>
          </w:p>
        </w:tc>
        <w:tc>
          <w:tcPr>
            <w:tcW w:w="327" w:type="dxa"/>
          </w:tcPr>
          <w:p>
            <w:pPr>
              <w:pStyle w:val="TableParagraph"/>
              <w:spacing w:before="11"/>
              <w:rPr>
                <w:b/>
                <w:sz w:val="23"/>
              </w:rPr>
            </w:pPr>
          </w:p>
          <w:p>
            <w:pPr>
              <w:pStyle w:val="TableParagraph"/>
              <w:ind w:right="44"/>
              <w:jc w:val="right"/>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546"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238" w:hanging="567"/>
              <w:rPr>
                <w:sz w:val="16"/>
              </w:rPr>
            </w:pPr>
            <w:r>
              <w:rPr>
                <w:sz w:val="16"/>
              </w:rPr>
              <w:t>1.03.02 Number of HCH practice staff who participated in PHN-delivered training, by</w:t>
            </w:r>
            <w:r>
              <w:rPr>
                <w:spacing w:val="-42"/>
                <w:sz w:val="16"/>
              </w:rPr>
              <w:t> </w:t>
            </w:r>
            <w:r>
              <w:rPr>
                <w:sz w:val="16"/>
              </w:rPr>
              <w:t>staff</w:t>
            </w:r>
            <w:r>
              <w:rPr>
                <w:spacing w:val="-1"/>
                <w:sz w:val="16"/>
              </w:rPr>
              <w:t> </w:t>
            </w:r>
            <w:r>
              <w:rPr>
                <w:sz w:val="16"/>
              </w:rPr>
              <w:t>category.</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b/>
                <w:sz w:val="24"/>
              </w:rPr>
            </w:pPr>
          </w:p>
          <w:p>
            <w:pPr>
              <w:pStyle w:val="TableParagraph"/>
              <w:spacing w:before="1"/>
              <w:ind w:right="44"/>
              <w:jc w:val="right"/>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546"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267" w:hanging="567"/>
              <w:rPr>
                <w:sz w:val="16"/>
              </w:rPr>
            </w:pPr>
            <w:r>
              <w:rPr>
                <w:sz w:val="16"/>
              </w:rPr>
              <w:t>1.03.03 Proportion of HCH practice staff (based on head count) who participated in</w:t>
            </w:r>
            <w:r>
              <w:rPr>
                <w:spacing w:val="-42"/>
                <w:sz w:val="16"/>
              </w:rPr>
              <w:t> </w:t>
            </w:r>
            <w:r>
              <w:rPr>
                <w:sz w:val="16"/>
              </w:rPr>
              <w:t>PHN-delivered training,</w:t>
            </w:r>
            <w:r>
              <w:rPr>
                <w:spacing w:val="-3"/>
                <w:sz w:val="16"/>
              </w:rPr>
              <w:t> </w:t>
            </w:r>
            <w:r>
              <w:rPr>
                <w:sz w:val="16"/>
              </w:rPr>
              <w:t>by</w:t>
            </w:r>
            <w:r>
              <w:rPr>
                <w:spacing w:val="1"/>
                <w:sz w:val="16"/>
              </w:rPr>
              <w:t> </w:t>
            </w:r>
            <w:r>
              <w:rPr>
                <w:sz w:val="16"/>
              </w:rPr>
              <w:t>staff</w:t>
            </w:r>
            <w:r>
              <w:rPr>
                <w:spacing w:val="-4"/>
                <w:sz w:val="16"/>
              </w:rPr>
              <w:t> </w:t>
            </w:r>
            <w:r>
              <w:rPr>
                <w:sz w:val="16"/>
              </w:rPr>
              <w:t>category.</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spacing w:before="10"/>
              <w:rPr>
                <w:b/>
                <w:sz w:val="23"/>
              </w:rPr>
            </w:pPr>
          </w:p>
          <w:p>
            <w:pPr>
              <w:pStyle w:val="TableParagraph"/>
              <w:ind w:right="44"/>
              <w:jc w:val="right"/>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bl>
    <w:p>
      <w:pPr>
        <w:pStyle w:val="BodyText"/>
        <w:rPr>
          <w:b/>
        </w:rPr>
      </w:pPr>
    </w:p>
    <w:p>
      <w:pPr>
        <w:pStyle w:val="BodyText"/>
        <w:spacing w:before="7"/>
        <w:rPr>
          <w:b/>
          <w:sz w:val="26"/>
        </w:rPr>
      </w:pPr>
      <w:r>
        <w:rPr/>
        <w:pict>
          <v:rect style="position:absolute;margin-left:70.559998pt;margin-top:17.492533pt;width:700.92pt;height:.47998pt;mso-position-horizontal-relative:page;mso-position-vertical-relative:paragraph;z-index:-15723520;mso-wrap-distance-left:0;mso-wrap-distance-right:0" id="docshape40" filled="true" fillcolor="#d9d9d9" stroked="false">
            <v:fill type="solid"/>
            <w10:wrap type="topAndBottom"/>
          </v:rect>
        </w:pict>
      </w:r>
    </w:p>
    <w:p>
      <w:pPr>
        <w:spacing w:after="0"/>
        <w:rPr>
          <w:sz w:val="26"/>
        </w:rPr>
        <w:sectPr>
          <w:footerReference w:type="default" r:id="rId18"/>
          <w:pgSz w:w="16840" w:h="11910" w:orient="landscape"/>
          <w:pgMar w:footer="427" w:header="0" w:top="1100" w:bottom="620" w:left="1340" w:right="980"/>
        </w:sectPr>
      </w:pPr>
    </w:p>
    <w:p>
      <w:pPr>
        <w:pStyle w:val="BodyText"/>
        <w:spacing w:before="2" w:after="1"/>
        <w:rPr>
          <w:b/>
          <w:sz w:val="27"/>
        </w:rPr>
      </w:pPr>
    </w:p>
    <w:tbl>
      <w:tblPr>
        <w:tblW w:w="0" w:type="auto"/>
        <w:jc w:val="left"/>
        <w:tblInd w:w="11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5809"/>
        <w:gridCol w:w="6853"/>
        <w:gridCol w:w="324"/>
        <w:gridCol w:w="327"/>
        <w:gridCol w:w="324"/>
        <w:gridCol w:w="324"/>
        <w:gridCol w:w="326"/>
      </w:tblGrid>
      <w:tr>
        <w:trPr>
          <w:trHeight w:val="1509" w:hRule="atLeast"/>
        </w:trPr>
        <w:tc>
          <w:tcPr>
            <w:tcW w:w="5809" w:type="dxa"/>
            <w:shd w:val="clear" w:color="auto" w:fill="003C79"/>
          </w:tcPr>
          <w:p>
            <w:pPr>
              <w:pStyle w:val="TableParagraph"/>
              <w:rPr>
                <w:b/>
                <w:sz w:val="20"/>
              </w:rPr>
            </w:pPr>
          </w:p>
          <w:p>
            <w:pPr>
              <w:pStyle w:val="TableParagraph"/>
              <w:rPr>
                <w:b/>
                <w:sz w:val="20"/>
              </w:rPr>
            </w:pPr>
          </w:p>
          <w:p>
            <w:pPr>
              <w:pStyle w:val="TableParagraph"/>
              <w:spacing w:before="164"/>
              <w:ind w:left="1579"/>
              <w:rPr>
                <w:b/>
                <w:sz w:val="16"/>
              </w:rPr>
            </w:pPr>
            <w:r>
              <w:rPr>
                <w:b/>
                <w:color w:val="FFFFFF"/>
                <w:sz w:val="16"/>
              </w:rPr>
              <w:t>Key</w:t>
            </w:r>
            <w:r>
              <w:rPr>
                <w:b/>
                <w:color w:val="FFFFFF"/>
                <w:spacing w:val="-4"/>
                <w:sz w:val="16"/>
              </w:rPr>
              <w:t> </w:t>
            </w:r>
            <w:r>
              <w:rPr>
                <w:b/>
                <w:color w:val="FFFFFF"/>
                <w:sz w:val="16"/>
              </w:rPr>
              <w:t>question</w:t>
            </w:r>
            <w:r>
              <w:rPr>
                <w:b/>
                <w:color w:val="FFFFFF"/>
                <w:spacing w:val="-5"/>
                <w:sz w:val="16"/>
              </w:rPr>
              <w:t> </w:t>
            </w:r>
            <w:r>
              <w:rPr>
                <w:b/>
                <w:color w:val="FFFFFF"/>
                <w:sz w:val="16"/>
              </w:rPr>
              <w:t>1:</w:t>
            </w:r>
            <w:r>
              <w:rPr>
                <w:b/>
                <w:color w:val="FFFFFF"/>
                <w:spacing w:val="-2"/>
                <w:sz w:val="16"/>
              </w:rPr>
              <w:t> </w:t>
            </w:r>
            <w:r>
              <w:rPr>
                <w:b/>
                <w:color w:val="FFFFFF"/>
                <w:sz w:val="16"/>
              </w:rPr>
              <w:t>Detailed</w:t>
            </w:r>
            <w:r>
              <w:rPr>
                <w:b/>
                <w:color w:val="FFFFFF"/>
                <w:spacing w:val="-2"/>
                <w:sz w:val="16"/>
              </w:rPr>
              <w:t> </w:t>
            </w:r>
            <w:r>
              <w:rPr>
                <w:b/>
                <w:color w:val="FFFFFF"/>
                <w:sz w:val="16"/>
              </w:rPr>
              <w:t>questions</w:t>
            </w:r>
          </w:p>
        </w:tc>
        <w:tc>
          <w:tcPr>
            <w:tcW w:w="6853" w:type="dxa"/>
            <w:shd w:val="clear" w:color="auto" w:fill="003C79"/>
          </w:tcPr>
          <w:p>
            <w:pPr>
              <w:pStyle w:val="TableParagraph"/>
              <w:rPr>
                <w:b/>
                <w:sz w:val="20"/>
              </w:rPr>
            </w:pPr>
          </w:p>
          <w:p>
            <w:pPr>
              <w:pStyle w:val="TableParagraph"/>
              <w:rPr>
                <w:b/>
                <w:sz w:val="20"/>
              </w:rPr>
            </w:pPr>
          </w:p>
          <w:p>
            <w:pPr>
              <w:pStyle w:val="TableParagraph"/>
              <w:spacing w:before="164"/>
              <w:ind w:left="2424" w:right="2419"/>
              <w:jc w:val="center"/>
              <w:rPr>
                <w:b/>
                <w:sz w:val="16"/>
              </w:rPr>
            </w:pPr>
            <w:r>
              <w:rPr>
                <w:b/>
                <w:color w:val="FFFFFF"/>
                <w:sz w:val="16"/>
              </w:rPr>
              <w:t>Key</w:t>
            </w:r>
            <w:r>
              <w:rPr>
                <w:b/>
                <w:color w:val="FFFFFF"/>
                <w:spacing w:val="-4"/>
                <w:sz w:val="16"/>
              </w:rPr>
              <w:t> </w:t>
            </w:r>
            <w:r>
              <w:rPr>
                <w:b/>
                <w:color w:val="FFFFFF"/>
                <w:sz w:val="16"/>
              </w:rPr>
              <w:t>question</w:t>
            </w:r>
            <w:r>
              <w:rPr>
                <w:b/>
                <w:color w:val="FFFFFF"/>
                <w:spacing w:val="-4"/>
                <w:sz w:val="16"/>
              </w:rPr>
              <w:t> </w:t>
            </w:r>
            <w:r>
              <w:rPr>
                <w:b/>
                <w:color w:val="FFFFFF"/>
                <w:sz w:val="16"/>
              </w:rPr>
              <w:t>1:</w:t>
            </w:r>
            <w:r>
              <w:rPr>
                <w:b/>
                <w:color w:val="FFFFFF"/>
                <w:spacing w:val="-3"/>
                <w:sz w:val="16"/>
              </w:rPr>
              <w:t> </w:t>
            </w:r>
            <w:r>
              <w:rPr>
                <w:b/>
                <w:color w:val="FFFFFF"/>
                <w:sz w:val="16"/>
              </w:rPr>
              <w:t>Measures</w:t>
            </w:r>
          </w:p>
        </w:tc>
        <w:tc>
          <w:tcPr>
            <w:tcW w:w="324" w:type="dxa"/>
            <w:shd w:val="clear" w:color="auto" w:fill="003C79"/>
            <w:textDirection w:val="btLr"/>
          </w:tcPr>
          <w:p>
            <w:pPr>
              <w:pStyle w:val="TableParagraph"/>
              <w:spacing w:before="62"/>
              <w:ind w:left="503" w:right="504"/>
              <w:jc w:val="center"/>
              <w:rPr>
                <w:b/>
                <w:sz w:val="16"/>
              </w:rPr>
            </w:pPr>
            <w:r>
              <w:rPr>
                <w:b/>
                <w:color w:val="FFFFFF"/>
                <w:sz w:val="16"/>
              </w:rPr>
              <w:t>Inputs</w:t>
            </w:r>
          </w:p>
        </w:tc>
        <w:tc>
          <w:tcPr>
            <w:tcW w:w="327" w:type="dxa"/>
            <w:shd w:val="clear" w:color="auto" w:fill="003C79"/>
            <w:textDirection w:val="btLr"/>
          </w:tcPr>
          <w:p>
            <w:pPr>
              <w:pStyle w:val="TableParagraph"/>
              <w:spacing w:before="64"/>
              <w:ind w:left="407"/>
              <w:rPr>
                <w:b/>
                <w:sz w:val="16"/>
              </w:rPr>
            </w:pPr>
            <w:r>
              <w:rPr>
                <w:b/>
                <w:color w:val="FFFFFF"/>
                <w:sz w:val="16"/>
              </w:rPr>
              <w:t>Activities</w:t>
            </w:r>
          </w:p>
        </w:tc>
        <w:tc>
          <w:tcPr>
            <w:tcW w:w="324" w:type="dxa"/>
            <w:shd w:val="clear" w:color="auto" w:fill="003C79"/>
            <w:textDirection w:val="btLr"/>
          </w:tcPr>
          <w:p>
            <w:pPr>
              <w:pStyle w:val="TableParagraph"/>
              <w:spacing w:before="62"/>
              <w:ind w:left="455"/>
              <w:rPr>
                <w:b/>
                <w:sz w:val="16"/>
              </w:rPr>
            </w:pPr>
            <w:r>
              <w:rPr>
                <w:b/>
                <w:color w:val="FFFFFF"/>
                <w:sz w:val="16"/>
              </w:rPr>
              <w:t>Outputs</w:t>
            </w:r>
          </w:p>
        </w:tc>
        <w:tc>
          <w:tcPr>
            <w:tcW w:w="324" w:type="dxa"/>
            <w:shd w:val="clear" w:color="auto" w:fill="003C79"/>
            <w:textDirection w:val="btLr"/>
          </w:tcPr>
          <w:p>
            <w:pPr>
              <w:pStyle w:val="TableParagraph"/>
              <w:spacing w:before="64"/>
              <w:ind w:left="254"/>
              <w:rPr>
                <w:b/>
                <w:sz w:val="16"/>
              </w:rPr>
            </w:pPr>
            <w:r>
              <w:rPr>
                <w:b/>
                <w:color w:val="FFFFFF"/>
                <w:sz w:val="16"/>
              </w:rPr>
              <w:t>Outcomes</w:t>
            </w:r>
            <w:r>
              <w:rPr>
                <w:b/>
                <w:color w:val="FFFFFF"/>
                <w:spacing w:val="-2"/>
                <w:sz w:val="16"/>
              </w:rPr>
              <w:t> </w:t>
            </w:r>
            <w:r>
              <w:rPr>
                <w:b/>
                <w:color w:val="FFFFFF"/>
                <w:sz w:val="16"/>
              </w:rPr>
              <w:t>ST</w:t>
            </w:r>
          </w:p>
        </w:tc>
        <w:tc>
          <w:tcPr>
            <w:tcW w:w="326" w:type="dxa"/>
            <w:shd w:val="clear" w:color="auto" w:fill="003C79"/>
            <w:textDirection w:val="btLr"/>
          </w:tcPr>
          <w:p>
            <w:pPr>
              <w:pStyle w:val="TableParagraph"/>
              <w:spacing w:before="64"/>
              <w:ind w:left="222"/>
              <w:rPr>
                <w:b/>
                <w:sz w:val="16"/>
              </w:rPr>
            </w:pPr>
            <w:r>
              <w:rPr>
                <w:b/>
                <w:color w:val="FFFFFF"/>
                <w:sz w:val="16"/>
              </w:rPr>
              <w:t>Outcomes</w:t>
            </w:r>
            <w:r>
              <w:rPr>
                <w:b/>
                <w:color w:val="FFFFFF"/>
                <w:spacing w:val="-1"/>
                <w:sz w:val="16"/>
              </w:rPr>
              <w:t> </w:t>
            </w:r>
            <w:r>
              <w:rPr>
                <w:b/>
                <w:color w:val="FFFFFF"/>
                <w:sz w:val="16"/>
              </w:rPr>
              <w:t>MT</w:t>
            </w:r>
          </w:p>
        </w:tc>
      </w:tr>
      <w:tr>
        <w:trPr>
          <w:trHeight w:val="544" w:hRule="atLeast"/>
        </w:trPr>
        <w:tc>
          <w:tcPr>
            <w:tcW w:w="5809" w:type="dxa"/>
            <w:vMerge w:val="restart"/>
          </w:tcPr>
          <w:p>
            <w:pPr>
              <w:pStyle w:val="TableParagraph"/>
              <w:rPr>
                <w:rFonts w:ascii="Times New Roman"/>
                <w:sz w:val="16"/>
              </w:rPr>
            </w:pPr>
          </w:p>
        </w:tc>
        <w:tc>
          <w:tcPr>
            <w:tcW w:w="6853" w:type="dxa"/>
          </w:tcPr>
          <w:p>
            <w:pPr>
              <w:pStyle w:val="TableParagraph"/>
              <w:spacing w:line="264" w:lineRule="auto" w:before="57"/>
              <w:ind w:left="647" w:right="745" w:hanging="567"/>
              <w:rPr>
                <w:sz w:val="16"/>
              </w:rPr>
            </w:pPr>
            <w:r>
              <w:rPr>
                <w:sz w:val="16"/>
              </w:rPr>
              <w:t>1.03.04 Number of HCH practice staff who completed the online HCH training</w:t>
            </w:r>
            <w:r>
              <w:rPr>
                <w:spacing w:val="-42"/>
                <w:sz w:val="16"/>
              </w:rPr>
              <w:t> </w:t>
            </w:r>
            <w:r>
              <w:rPr>
                <w:sz w:val="16"/>
              </w:rPr>
              <w:t>program</w:t>
            </w:r>
            <w:r>
              <w:rPr>
                <w:spacing w:val="-2"/>
                <w:sz w:val="16"/>
              </w:rPr>
              <w:t> </w:t>
            </w:r>
            <w:r>
              <w:rPr>
                <w:sz w:val="16"/>
              </w:rPr>
              <w:t>modules,</w:t>
            </w:r>
            <w:r>
              <w:rPr>
                <w:spacing w:val="-3"/>
                <w:sz w:val="16"/>
              </w:rPr>
              <w:t> </w:t>
            </w:r>
            <w:r>
              <w:rPr>
                <w:sz w:val="16"/>
              </w:rPr>
              <w:t>by</w:t>
            </w:r>
            <w:r>
              <w:rPr>
                <w:spacing w:val="-3"/>
                <w:sz w:val="16"/>
              </w:rPr>
              <w:t> </w:t>
            </w:r>
            <w:r>
              <w:rPr>
                <w:sz w:val="16"/>
              </w:rPr>
              <w:t>staff category</w:t>
            </w:r>
            <w:r>
              <w:rPr>
                <w:spacing w:val="-3"/>
                <w:sz w:val="16"/>
              </w:rPr>
              <w:t> </w:t>
            </w:r>
            <w:r>
              <w:rPr>
                <w:sz w:val="16"/>
              </w:rPr>
              <w:t>(by</w:t>
            </w:r>
            <w:r>
              <w:rPr>
                <w:spacing w:val="-2"/>
                <w:sz w:val="16"/>
              </w:rPr>
              <w:t> </w:t>
            </w:r>
            <w:r>
              <w:rPr>
                <w:sz w:val="16"/>
              </w:rPr>
              <w:t>module</w:t>
            </w:r>
            <w:r>
              <w:rPr>
                <w:spacing w:val="-2"/>
                <w:sz w:val="16"/>
              </w:rPr>
              <w:t> </w:t>
            </w:r>
            <w:r>
              <w:rPr>
                <w:sz w:val="16"/>
              </w:rPr>
              <w:t>and</w:t>
            </w:r>
            <w:r>
              <w:rPr>
                <w:spacing w:val="1"/>
                <w:sz w:val="16"/>
              </w:rPr>
              <w:t> </w:t>
            </w:r>
            <w:r>
              <w:rPr>
                <w:sz w:val="16"/>
              </w:rPr>
              <w:t>overall).</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10"/>
              <w:rPr>
                <w:b/>
                <w:sz w:val="23"/>
              </w:rPr>
            </w:pPr>
          </w:p>
          <w:p>
            <w:pPr>
              <w:pStyle w:val="TableParagraph"/>
              <w:ind w:left="143"/>
              <w:rPr>
                <w:rFonts w:ascii="Wingdings" w:hAnsi="Wingdings"/>
                <w:sz w:val="16"/>
              </w:rPr>
            </w:pPr>
            <w:r>
              <w:rPr>
                <w:rFonts w:ascii="Wingdings" w:hAnsi="Wingdings"/>
                <w:w w:val="100"/>
                <w:sz w:val="16"/>
              </w:rPr>
              <w:t></w:t>
            </w:r>
          </w:p>
        </w:tc>
        <w:tc>
          <w:tcPr>
            <w:tcW w:w="326" w:type="dxa"/>
          </w:tcPr>
          <w:p>
            <w:pPr>
              <w:pStyle w:val="TableParagraph"/>
              <w:rPr>
                <w:rFonts w:ascii="Times New Roman"/>
                <w:sz w:val="16"/>
              </w:rPr>
            </w:pPr>
          </w:p>
        </w:tc>
      </w:tr>
      <w:tr>
        <w:trPr>
          <w:trHeight w:val="547"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409" w:hanging="567"/>
              <w:rPr>
                <w:sz w:val="16"/>
              </w:rPr>
            </w:pPr>
            <w:r>
              <w:rPr>
                <w:sz w:val="16"/>
              </w:rPr>
              <w:t>1.03.05 Proportion of HCH practices from which practice staff participated in PHN-</w:t>
            </w:r>
            <w:r>
              <w:rPr>
                <w:spacing w:val="-42"/>
                <w:sz w:val="16"/>
              </w:rPr>
              <w:t> </w:t>
            </w:r>
            <w:r>
              <w:rPr>
                <w:sz w:val="16"/>
              </w:rPr>
              <w:t>delivered</w:t>
            </w:r>
            <w:r>
              <w:rPr>
                <w:spacing w:val="-2"/>
                <w:sz w:val="16"/>
              </w:rPr>
              <w:t> </w:t>
            </w:r>
            <w:r>
              <w:rPr>
                <w:sz w:val="16"/>
              </w:rPr>
              <w:t>training.</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spacing w:before="57"/>
              <w:ind w:left="8"/>
              <w:jc w:val="center"/>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544"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299" w:hanging="567"/>
              <w:rPr>
                <w:sz w:val="16"/>
              </w:rPr>
            </w:pPr>
            <w:r>
              <w:rPr>
                <w:sz w:val="16"/>
              </w:rPr>
              <w:t>1.03.06 Tools most frequently identified by practice staff as being the most helpful in</w:t>
            </w:r>
            <w:r>
              <w:rPr>
                <w:spacing w:val="-42"/>
                <w:sz w:val="16"/>
              </w:rPr>
              <w:t> </w:t>
            </w:r>
            <w:r>
              <w:rPr>
                <w:sz w:val="16"/>
              </w:rPr>
              <w:t>the</w:t>
            </w:r>
            <w:r>
              <w:rPr>
                <w:spacing w:val="2"/>
                <w:sz w:val="16"/>
              </w:rPr>
              <w:t> </w:t>
            </w:r>
            <w:r>
              <w:rPr>
                <w:sz w:val="16"/>
              </w:rPr>
              <w:t>HCH</w:t>
            </w:r>
            <w:r>
              <w:rPr>
                <w:spacing w:val="-1"/>
                <w:sz w:val="16"/>
              </w:rPr>
              <w:t> </w:t>
            </w:r>
            <w:r>
              <w:rPr>
                <w:sz w:val="16"/>
              </w:rPr>
              <w:t>implementation.</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spacing w:before="57"/>
              <w:ind w:left="100"/>
              <w:rPr>
                <w:rFonts w:ascii="Wingdings" w:hAnsi="Wingdings"/>
                <w:sz w:val="16"/>
              </w:rPr>
            </w:pPr>
            <w:r>
              <w:rPr>
                <w:rFonts w:ascii="Wingdings" w:hAnsi="Wingdings"/>
                <w:w w:val="100"/>
                <w:sz w:val="16"/>
              </w:rPr>
              <w:t></w:t>
            </w:r>
          </w:p>
        </w:tc>
      </w:tr>
      <w:tr>
        <w:trPr>
          <w:trHeight w:val="546"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114" w:hanging="567"/>
              <w:rPr>
                <w:sz w:val="16"/>
              </w:rPr>
            </w:pPr>
            <w:r>
              <w:rPr>
                <w:sz w:val="16"/>
              </w:rPr>
              <w:t>1.03.07 Training modules most frequently identified by practice staff as being the most</w:t>
            </w:r>
            <w:r>
              <w:rPr>
                <w:spacing w:val="-43"/>
                <w:sz w:val="16"/>
              </w:rPr>
              <w:t> </w:t>
            </w:r>
            <w:r>
              <w:rPr>
                <w:sz w:val="16"/>
              </w:rPr>
              <w:t>helpful</w:t>
            </w:r>
            <w:r>
              <w:rPr>
                <w:spacing w:val="-1"/>
                <w:sz w:val="16"/>
              </w:rPr>
              <w:t> </w:t>
            </w:r>
            <w:r>
              <w:rPr>
                <w:sz w:val="16"/>
              </w:rPr>
              <w:t>in</w:t>
            </w:r>
            <w:r>
              <w:rPr>
                <w:spacing w:val="1"/>
                <w:sz w:val="16"/>
              </w:rPr>
              <w:t> </w:t>
            </w:r>
            <w:r>
              <w:rPr>
                <w:sz w:val="16"/>
              </w:rPr>
              <w:t>the</w:t>
            </w:r>
            <w:r>
              <w:rPr>
                <w:spacing w:val="-1"/>
                <w:sz w:val="16"/>
              </w:rPr>
              <w:t> </w:t>
            </w:r>
            <w:r>
              <w:rPr>
                <w:sz w:val="16"/>
              </w:rPr>
              <w:t>HCH</w:t>
            </w:r>
            <w:r>
              <w:rPr>
                <w:spacing w:val="-3"/>
                <w:sz w:val="16"/>
              </w:rPr>
              <w:t> </w:t>
            </w:r>
            <w:r>
              <w:rPr>
                <w:sz w:val="16"/>
              </w:rPr>
              <w:t>implementation.</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57"/>
              <w:ind w:left="100"/>
              <w:rPr>
                <w:rFonts w:ascii="Wingdings" w:hAnsi="Wingdings"/>
                <w:sz w:val="16"/>
              </w:rPr>
            </w:pPr>
            <w:r>
              <w:rPr>
                <w:rFonts w:ascii="Wingdings" w:hAnsi="Wingdings"/>
                <w:w w:val="100"/>
                <w:sz w:val="16"/>
              </w:rPr>
              <w:t></w:t>
            </w:r>
          </w:p>
        </w:tc>
        <w:tc>
          <w:tcPr>
            <w:tcW w:w="326" w:type="dxa"/>
          </w:tcPr>
          <w:p>
            <w:pPr>
              <w:pStyle w:val="TableParagraph"/>
              <w:rPr>
                <w:rFonts w:ascii="Times New Roman"/>
                <w:sz w:val="16"/>
              </w:rPr>
            </w:pPr>
          </w:p>
        </w:tc>
      </w:tr>
      <w:tr>
        <w:trPr>
          <w:trHeight w:val="544"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486" w:hanging="567"/>
              <w:rPr>
                <w:sz w:val="16"/>
              </w:rPr>
            </w:pPr>
            <w:r>
              <w:rPr>
                <w:sz w:val="16"/>
              </w:rPr>
              <w:t>1.03.08 Improvements in HCH training most frequently identified by practices and</w:t>
            </w:r>
            <w:r>
              <w:rPr>
                <w:spacing w:val="-42"/>
                <w:sz w:val="16"/>
              </w:rPr>
              <w:t> </w:t>
            </w:r>
            <w:r>
              <w:rPr>
                <w:sz w:val="16"/>
              </w:rPr>
              <w:t>PHNs.</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spacing w:before="57"/>
              <w:ind w:left="100"/>
              <w:rPr>
                <w:rFonts w:ascii="Wingdings" w:hAnsi="Wingdings"/>
                <w:sz w:val="16"/>
              </w:rPr>
            </w:pPr>
            <w:r>
              <w:rPr>
                <w:rFonts w:ascii="Wingdings" w:hAnsi="Wingdings"/>
                <w:w w:val="100"/>
                <w:sz w:val="16"/>
              </w:rPr>
              <w:t></w:t>
            </w:r>
          </w:p>
        </w:tc>
      </w:tr>
      <w:tr>
        <w:trPr>
          <w:trHeight w:val="546" w:hRule="atLeast"/>
        </w:trPr>
        <w:tc>
          <w:tcPr>
            <w:tcW w:w="5809" w:type="dxa"/>
            <w:vMerge w:val="restart"/>
          </w:tcPr>
          <w:p>
            <w:pPr>
              <w:pStyle w:val="TableParagraph"/>
              <w:spacing w:line="264" w:lineRule="auto" w:before="57"/>
              <w:ind w:left="504" w:right="75" w:hanging="426"/>
              <w:rPr>
                <w:sz w:val="16"/>
              </w:rPr>
            </w:pPr>
            <w:r>
              <w:rPr>
                <w:sz w:val="16"/>
              </w:rPr>
              <w:t>1.04 What infrastructure and processes were commissioned to support</w:t>
            </w:r>
            <w:r>
              <w:rPr>
                <w:spacing w:val="1"/>
                <w:sz w:val="16"/>
              </w:rPr>
              <w:t> </w:t>
            </w:r>
            <w:r>
              <w:rPr>
                <w:sz w:val="16"/>
              </w:rPr>
              <w:t>processes for risk stratification and patient enrolment? In what ways</w:t>
            </w:r>
            <w:r>
              <w:rPr>
                <w:spacing w:val="-42"/>
                <w:sz w:val="16"/>
              </w:rPr>
              <w:t> </w:t>
            </w:r>
            <w:r>
              <w:rPr>
                <w:sz w:val="16"/>
              </w:rPr>
              <w:t>could processes and infrastructure for risk stratification and</w:t>
            </w:r>
            <w:r>
              <w:rPr>
                <w:spacing w:val="1"/>
                <w:sz w:val="16"/>
              </w:rPr>
              <w:t> </w:t>
            </w:r>
            <w:r>
              <w:rPr>
                <w:sz w:val="16"/>
              </w:rPr>
              <w:t>enrolment of patients be improved? How well did the risk</w:t>
            </w:r>
            <w:r>
              <w:rPr>
                <w:spacing w:val="1"/>
                <w:sz w:val="16"/>
              </w:rPr>
              <w:t> </w:t>
            </w:r>
            <w:r>
              <w:rPr>
                <w:sz w:val="16"/>
              </w:rPr>
              <w:t>stratification model and processes predict hospitalisation and use</w:t>
            </w:r>
            <w:r>
              <w:rPr>
                <w:spacing w:val="1"/>
                <w:sz w:val="16"/>
              </w:rPr>
              <w:t> </w:t>
            </w:r>
            <w:r>
              <w:rPr>
                <w:sz w:val="16"/>
              </w:rPr>
              <w:t>of other health care services? Was there sufficient information</w:t>
            </w:r>
            <w:r>
              <w:rPr>
                <w:spacing w:val="1"/>
                <w:sz w:val="16"/>
              </w:rPr>
              <w:t> </w:t>
            </w:r>
            <w:r>
              <w:rPr>
                <w:sz w:val="16"/>
              </w:rPr>
              <w:t>available in practice data and other sources to allocate to risk</w:t>
            </w:r>
            <w:r>
              <w:rPr>
                <w:spacing w:val="1"/>
                <w:sz w:val="16"/>
              </w:rPr>
              <w:t> </w:t>
            </w:r>
            <w:r>
              <w:rPr>
                <w:sz w:val="16"/>
              </w:rPr>
              <w:t>categories? What are the implications of applying the risk</w:t>
            </w:r>
            <w:r>
              <w:rPr>
                <w:spacing w:val="1"/>
                <w:sz w:val="16"/>
              </w:rPr>
              <w:t> </w:t>
            </w:r>
            <w:r>
              <w:rPr>
                <w:sz w:val="16"/>
              </w:rPr>
              <w:t>stratification and patient selection processes more broadly across</w:t>
            </w:r>
            <w:r>
              <w:rPr>
                <w:spacing w:val="1"/>
                <w:sz w:val="16"/>
              </w:rPr>
              <w:t> </w:t>
            </w:r>
            <w:r>
              <w:rPr>
                <w:sz w:val="16"/>
              </w:rPr>
              <w:t>Australian primary care practice populations? What improvement</w:t>
            </w:r>
            <w:r>
              <w:rPr>
                <w:spacing w:val="1"/>
                <w:sz w:val="16"/>
              </w:rPr>
              <w:t> </w:t>
            </w:r>
            <w:r>
              <w:rPr>
                <w:sz w:val="16"/>
              </w:rPr>
              <w:t>would be expected if the risk stratification process included</w:t>
            </w:r>
            <w:r>
              <w:rPr>
                <w:spacing w:val="1"/>
                <w:sz w:val="16"/>
              </w:rPr>
              <w:t> </w:t>
            </w:r>
            <w:r>
              <w:rPr>
                <w:sz w:val="16"/>
              </w:rPr>
              <w:t>additional</w:t>
            </w:r>
            <w:r>
              <w:rPr>
                <w:spacing w:val="1"/>
                <w:sz w:val="16"/>
              </w:rPr>
              <w:t> </w:t>
            </w:r>
            <w:r>
              <w:rPr>
                <w:sz w:val="16"/>
              </w:rPr>
              <w:t>data</w:t>
            </w:r>
            <w:r>
              <w:rPr>
                <w:spacing w:val="1"/>
                <w:sz w:val="16"/>
              </w:rPr>
              <w:t> </w:t>
            </w:r>
            <w:r>
              <w:rPr>
                <w:sz w:val="16"/>
              </w:rPr>
              <w:t>sources?</w:t>
            </w:r>
          </w:p>
        </w:tc>
        <w:tc>
          <w:tcPr>
            <w:tcW w:w="6853" w:type="dxa"/>
          </w:tcPr>
          <w:p>
            <w:pPr>
              <w:pStyle w:val="TableParagraph"/>
              <w:spacing w:line="264" w:lineRule="auto" w:before="57"/>
              <w:ind w:left="647" w:right="78" w:hanging="567"/>
              <w:rPr>
                <w:sz w:val="16"/>
              </w:rPr>
            </w:pPr>
            <w:r>
              <w:rPr>
                <w:sz w:val="16"/>
              </w:rPr>
              <w:t>1.04.01 Description of activities undertaken and arrangements for risk stratification and</w:t>
            </w:r>
            <w:r>
              <w:rPr>
                <w:spacing w:val="-42"/>
                <w:sz w:val="16"/>
              </w:rPr>
              <w:t> </w:t>
            </w:r>
            <w:r>
              <w:rPr>
                <w:sz w:val="16"/>
              </w:rPr>
              <w:t>patient</w:t>
            </w:r>
            <w:r>
              <w:rPr>
                <w:spacing w:val="-4"/>
                <w:sz w:val="16"/>
              </w:rPr>
              <w:t> </w:t>
            </w:r>
            <w:r>
              <w:rPr>
                <w:sz w:val="16"/>
              </w:rPr>
              <w:t>enrolment</w:t>
            </w:r>
            <w:r>
              <w:rPr>
                <w:spacing w:val="-1"/>
                <w:sz w:val="16"/>
              </w:rPr>
              <w:t> </w:t>
            </w:r>
            <w:r>
              <w:rPr>
                <w:sz w:val="16"/>
              </w:rPr>
              <w:t>for</w:t>
            </w:r>
            <w:r>
              <w:rPr>
                <w:spacing w:val="2"/>
                <w:sz w:val="16"/>
              </w:rPr>
              <w:t> </w:t>
            </w:r>
            <w:r>
              <w:rPr>
                <w:sz w:val="16"/>
              </w:rPr>
              <w:t>the</w:t>
            </w:r>
            <w:r>
              <w:rPr>
                <w:spacing w:val="2"/>
                <w:sz w:val="16"/>
              </w:rPr>
              <w:t> </w:t>
            </w:r>
            <w:r>
              <w:rPr>
                <w:sz w:val="16"/>
              </w:rPr>
              <w:t>trial.</w:t>
            </w:r>
          </w:p>
        </w:tc>
        <w:tc>
          <w:tcPr>
            <w:tcW w:w="324" w:type="dxa"/>
          </w:tcPr>
          <w:p>
            <w:pPr>
              <w:pStyle w:val="TableParagraph"/>
              <w:rPr>
                <w:rFonts w:ascii="Times New Roman"/>
                <w:sz w:val="16"/>
              </w:rPr>
            </w:pPr>
          </w:p>
        </w:tc>
        <w:tc>
          <w:tcPr>
            <w:tcW w:w="327" w:type="dxa"/>
          </w:tcPr>
          <w:p>
            <w:pPr>
              <w:pStyle w:val="TableParagraph"/>
              <w:spacing w:before="57"/>
              <w:ind w:right="88"/>
              <w:jc w:val="right"/>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976"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439" w:hanging="567"/>
              <w:rPr>
                <w:sz w:val="16"/>
              </w:rPr>
            </w:pPr>
            <w:r>
              <w:rPr>
                <w:sz w:val="16"/>
              </w:rPr>
              <w:t>1.04.02 Performance of risk stratification model in predicting fact of hospitalisation</w:t>
            </w:r>
            <w:r>
              <w:rPr>
                <w:spacing w:val="-42"/>
                <w:sz w:val="16"/>
              </w:rPr>
              <w:t> </w:t>
            </w:r>
            <w:r>
              <w:rPr>
                <w:sz w:val="16"/>
              </w:rPr>
              <w:t>(AUC), number of hospitalisations/bed days (RMSE) and level of health</w:t>
            </w:r>
            <w:r>
              <w:rPr>
                <w:spacing w:val="1"/>
                <w:sz w:val="16"/>
              </w:rPr>
              <w:t> </w:t>
            </w:r>
            <w:r>
              <w:rPr>
                <w:sz w:val="16"/>
              </w:rPr>
              <w:t>expenditure (RMSE) (AUC-Area under the curve, RMSE-Root mean square</w:t>
            </w:r>
            <w:r>
              <w:rPr>
                <w:spacing w:val="1"/>
                <w:sz w:val="16"/>
              </w:rPr>
              <w:t> </w:t>
            </w:r>
            <w:r>
              <w:rPr>
                <w:sz w:val="16"/>
              </w:rPr>
              <w:t>error).</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58"/>
              <w:ind w:left="100"/>
              <w:rPr>
                <w:rFonts w:ascii="Wingdings" w:hAnsi="Wingdings"/>
                <w:sz w:val="16"/>
              </w:rPr>
            </w:pPr>
            <w:r>
              <w:rPr>
                <w:rFonts w:ascii="Wingdings" w:hAnsi="Wingdings"/>
                <w:w w:val="100"/>
                <w:sz w:val="16"/>
              </w:rPr>
              <w:t></w:t>
            </w:r>
          </w:p>
        </w:tc>
        <w:tc>
          <w:tcPr>
            <w:tcW w:w="326" w:type="dxa"/>
          </w:tcPr>
          <w:p>
            <w:pPr>
              <w:pStyle w:val="TableParagraph"/>
              <w:rPr>
                <w:rFonts w:ascii="Times New Roman"/>
                <w:sz w:val="16"/>
              </w:rPr>
            </w:pPr>
          </w:p>
        </w:tc>
      </w:tr>
      <w:tr>
        <w:trPr>
          <w:trHeight w:val="546"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87" w:hanging="567"/>
              <w:rPr>
                <w:sz w:val="16"/>
              </w:rPr>
            </w:pPr>
            <w:r>
              <w:rPr>
                <w:sz w:val="16"/>
              </w:rPr>
              <w:t>1.04.03 Variation in predictive performance of risk stratification models across practice</w:t>
            </w:r>
            <w:r>
              <w:rPr>
                <w:spacing w:val="-42"/>
                <w:sz w:val="16"/>
              </w:rPr>
              <w:t> </w:t>
            </w:r>
            <w:r>
              <w:rPr>
                <w:sz w:val="16"/>
              </w:rPr>
              <w:t>types/categories</w:t>
            </w:r>
            <w:r>
              <w:rPr>
                <w:spacing w:val="-3"/>
                <w:sz w:val="16"/>
              </w:rPr>
              <w:t> </w:t>
            </w:r>
            <w:r>
              <w:rPr>
                <w:sz w:val="16"/>
              </w:rPr>
              <w:t>(reflecting</w:t>
            </w:r>
            <w:r>
              <w:rPr>
                <w:spacing w:val="-4"/>
                <w:sz w:val="16"/>
              </w:rPr>
              <w:t> </w:t>
            </w:r>
            <w:r>
              <w:rPr>
                <w:sz w:val="16"/>
              </w:rPr>
              <w:t>quality</w:t>
            </w:r>
            <w:r>
              <w:rPr>
                <w:spacing w:val="-3"/>
                <w:sz w:val="16"/>
              </w:rPr>
              <w:t> </w:t>
            </w:r>
            <w:r>
              <w:rPr>
                <w:sz w:val="16"/>
              </w:rPr>
              <w:t>of</w:t>
            </w:r>
            <w:r>
              <w:rPr>
                <w:spacing w:val="-1"/>
                <w:sz w:val="16"/>
              </w:rPr>
              <w:t> </w:t>
            </w:r>
            <w:r>
              <w:rPr>
                <w:sz w:val="16"/>
              </w:rPr>
              <w:t>practice</w:t>
            </w:r>
            <w:r>
              <w:rPr>
                <w:spacing w:val="-3"/>
                <w:sz w:val="16"/>
              </w:rPr>
              <w:t> </w:t>
            </w:r>
            <w:r>
              <w:rPr>
                <w:sz w:val="16"/>
              </w:rPr>
              <w:t>information).</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57"/>
              <w:ind w:left="100"/>
              <w:rPr>
                <w:rFonts w:ascii="Wingdings" w:hAnsi="Wingdings"/>
                <w:sz w:val="16"/>
              </w:rPr>
            </w:pPr>
            <w:r>
              <w:rPr>
                <w:rFonts w:ascii="Wingdings" w:hAnsi="Wingdings"/>
                <w:w w:val="100"/>
                <w:sz w:val="16"/>
              </w:rPr>
              <w:t></w:t>
            </w:r>
          </w:p>
        </w:tc>
        <w:tc>
          <w:tcPr>
            <w:tcW w:w="326" w:type="dxa"/>
          </w:tcPr>
          <w:p>
            <w:pPr>
              <w:pStyle w:val="TableParagraph"/>
              <w:rPr>
                <w:rFonts w:ascii="Times New Roman"/>
                <w:sz w:val="16"/>
              </w:rPr>
            </w:pPr>
          </w:p>
        </w:tc>
      </w:tr>
      <w:tr>
        <w:trPr>
          <w:trHeight w:val="604"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315" w:hanging="567"/>
              <w:rPr>
                <w:sz w:val="16"/>
              </w:rPr>
            </w:pPr>
            <w:r>
              <w:rPr>
                <w:sz w:val="16"/>
              </w:rPr>
              <w:t>1.04.04</w:t>
            </w:r>
            <w:r>
              <w:rPr>
                <w:spacing w:val="-5"/>
                <w:sz w:val="16"/>
              </w:rPr>
              <w:t> </w:t>
            </w:r>
            <w:r>
              <w:rPr>
                <w:sz w:val="16"/>
              </w:rPr>
              <w:t>Improvement</w:t>
            </w:r>
            <w:r>
              <w:rPr>
                <w:spacing w:val="-6"/>
                <w:sz w:val="16"/>
              </w:rPr>
              <w:t> </w:t>
            </w:r>
            <w:r>
              <w:rPr>
                <w:sz w:val="16"/>
              </w:rPr>
              <w:t>in</w:t>
            </w:r>
            <w:r>
              <w:rPr>
                <w:spacing w:val="-3"/>
                <w:sz w:val="16"/>
              </w:rPr>
              <w:t> </w:t>
            </w:r>
            <w:r>
              <w:rPr>
                <w:sz w:val="16"/>
              </w:rPr>
              <w:t>predictive</w:t>
            </w:r>
            <w:r>
              <w:rPr>
                <w:spacing w:val="-4"/>
                <w:sz w:val="16"/>
              </w:rPr>
              <w:t> </w:t>
            </w:r>
            <w:r>
              <w:rPr>
                <w:sz w:val="16"/>
              </w:rPr>
              <w:t>performance</w:t>
            </w:r>
            <w:r>
              <w:rPr>
                <w:spacing w:val="-3"/>
                <w:sz w:val="16"/>
              </w:rPr>
              <w:t> </w:t>
            </w:r>
            <w:r>
              <w:rPr>
                <w:sz w:val="16"/>
              </w:rPr>
              <w:t>measures</w:t>
            </w:r>
            <w:r>
              <w:rPr>
                <w:spacing w:val="-7"/>
                <w:sz w:val="16"/>
              </w:rPr>
              <w:t> </w:t>
            </w:r>
            <w:r>
              <w:rPr>
                <w:sz w:val="16"/>
              </w:rPr>
              <w:t>when</w:t>
            </w:r>
            <w:r>
              <w:rPr>
                <w:spacing w:val="-2"/>
                <w:sz w:val="16"/>
              </w:rPr>
              <w:t> </w:t>
            </w:r>
            <w:r>
              <w:rPr>
                <w:sz w:val="16"/>
              </w:rPr>
              <w:t>adding</w:t>
            </w:r>
            <w:r>
              <w:rPr>
                <w:spacing w:val="-4"/>
                <w:sz w:val="16"/>
              </w:rPr>
              <w:t> </w:t>
            </w:r>
            <w:r>
              <w:rPr>
                <w:sz w:val="16"/>
              </w:rPr>
              <w:t>additional</w:t>
            </w:r>
            <w:r>
              <w:rPr>
                <w:spacing w:val="-41"/>
                <w:sz w:val="16"/>
              </w:rPr>
              <w:t> </w:t>
            </w:r>
            <w:r>
              <w:rPr>
                <w:sz w:val="16"/>
              </w:rPr>
              <w:t>data from</w:t>
            </w:r>
            <w:r>
              <w:rPr>
                <w:spacing w:val="-3"/>
                <w:sz w:val="16"/>
              </w:rPr>
              <w:t> </w:t>
            </w:r>
            <w:r>
              <w:rPr>
                <w:sz w:val="16"/>
              </w:rPr>
              <w:t>linked</w:t>
            </w:r>
            <w:r>
              <w:rPr>
                <w:spacing w:val="1"/>
                <w:sz w:val="16"/>
              </w:rPr>
              <w:t> </w:t>
            </w:r>
            <w:r>
              <w:rPr>
                <w:sz w:val="16"/>
              </w:rPr>
              <w:t>source.</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57"/>
              <w:ind w:left="100"/>
              <w:rPr>
                <w:rFonts w:ascii="Wingdings" w:hAnsi="Wingdings"/>
                <w:sz w:val="16"/>
              </w:rPr>
            </w:pPr>
            <w:r>
              <w:rPr>
                <w:rFonts w:ascii="Wingdings" w:hAnsi="Wingdings"/>
                <w:w w:val="100"/>
                <w:sz w:val="16"/>
              </w:rPr>
              <w:t></w:t>
            </w:r>
          </w:p>
        </w:tc>
        <w:tc>
          <w:tcPr>
            <w:tcW w:w="326" w:type="dxa"/>
          </w:tcPr>
          <w:p>
            <w:pPr>
              <w:pStyle w:val="TableParagraph"/>
              <w:rPr>
                <w:rFonts w:ascii="Times New Roman"/>
                <w:sz w:val="16"/>
              </w:rPr>
            </w:pPr>
          </w:p>
        </w:tc>
      </w:tr>
      <w:tr>
        <w:trPr>
          <w:trHeight w:val="415" w:hRule="atLeast"/>
        </w:trPr>
        <w:tc>
          <w:tcPr>
            <w:tcW w:w="5809" w:type="dxa"/>
            <w:vMerge w:val="restart"/>
          </w:tcPr>
          <w:p>
            <w:pPr>
              <w:pStyle w:val="TableParagraph"/>
              <w:spacing w:line="264" w:lineRule="auto" w:before="57"/>
              <w:ind w:left="504" w:right="146" w:hanging="426"/>
              <w:rPr>
                <w:sz w:val="16"/>
              </w:rPr>
            </w:pPr>
            <w:r>
              <w:rPr>
                <w:sz w:val="16"/>
              </w:rPr>
              <w:t>1.05 How effective and efficient were the program's administrative</w:t>
            </w:r>
            <w:r>
              <w:rPr>
                <w:spacing w:val="1"/>
                <w:sz w:val="16"/>
              </w:rPr>
              <w:t> </w:t>
            </w:r>
            <w:r>
              <w:rPr>
                <w:sz w:val="16"/>
              </w:rPr>
              <w:t>processes,</w:t>
            </w:r>
            <w:r>
              <w:rPr>
                <w:spacing w:val="-6"/>
                <w:sz w:val="16"/>
              </w:rPr>
              <w:t> </w:t>
            </w:r>
            <w:r>
              <w:rPr>
                <w:sz w:val="16"/>
              </w:rPr>
              <w:t>including</w:t>
            </w:r>
            <w:r>
              <w:rPr>
                <w:spacing w:val="-3"/>
                <w:sz w:val="16"/>
              </w:rPr>
              <w:t> </w:t>
            </w:r>
            <w:r>
              <w:rPr>
                <w:sz w:val="16"/>
              </w:rPr>
              <w:t>for</w:t>
            </w:r>
            <w:r>
              <w:rPr>
                <w:spacing w:val="-4"/>
                <w:sz w:val="16"/>
              </w:rPr>
              <w:t> </w:t>
            </w:r>
            <w:r>
              <w:rPr>
                <w:sz w:val="16"/>
              </w:rPr>
              <w:t>patient</w:t>
            </w:r>
            <w:r>
              <w:rPr>
                <w:spacing w:val="-5"/>
                <w:sz w:val="16"/>
              </w:rPr>
              <w:t> </w:t>
            </w:r>
            <w:r>
              <w:rPr>
                <w:sz w:val="16"/>
              </w:rPr>
              <w:t>enrolment,</w:t>
            </w:r>
            <w:r>
              <w:rPr>
                <w:spacing w:val="-3"/>
                <w:sz w:val="16"/>
              </w:rPr>
              <w:t> </w:t>
            </w:r>
            <w:r>
              <w:rPr>
                <w:sz w:val="16"/>
              </w:rPr>
              <w:t>claims</w:t>
            </w:r>
            <w:r>
              <w:rPr>
                <w:spacing w:val="-4"/>
                <w:sz w:val="16"/>
              </w:rPr>
              <w:t> </w:t>
            </w:r>
            <w:r>
              <w:rPr>
                <w:sz w:val="16"/>
              </w:rPr>
              <w:t>management,</w:t>
            </w:r>
            <w:r>
              <w:rPr>
                <w:spacing w:val="-41"/>
                <w:sz w:val="16"/>
              </w:rPr>
              <w:t> </w:t>
            </w:r>
            <w:r>
              <w:rPr>
                <w:sz w:val="16"/>
              </w:rPr>
              <w:t>monitoring program processes, and managing program</w:t>
            </w:r>
            <w:r>
              <w:rPr>
                <w:spacing w:val="1"/>
                <w:sz w:val="16"/>
              </w:rPr>
              <w:t> </w:t>
            </w:r>
            <w:r>
              <w:rPr>
                <w:sz w:val="16"/>
              </w:rPr>
              <w:t>compliance</w:t>
            </w:r>
            <w:r>
              <w:rPr>
                <w:spacing w:val="-2"/>
                <w:sz w:val="16"/>
              </w:rPr>
              <w:t> </w:t>
            </w:r>
            <w:r>
              <w:rPr>
                <w:sz w:val="16"/>
              </w:rPr>
              <w:t>and</w:t>
            </w:r>
            <w:r>
              <w:rPr>
                <w:spacing w:val="-3"/>
                <w:sz w:val="16"/>
              </w:rPr>
              <w:t> </w:t>
            </w:r>
            <w:r>
              <w:rPr>
                <w:sz w:val="16"/>
              </w:rPr>
              <w:t>integrity?</w:t>
            </w:r>
          </w:p>
        </w:tc>
        <w:tc>
          <w:tcPr>
            <w:tcW w:w="6853" w:type="dxa"/>
          </w:tcPr>
          <w:p>
            <w:pPr>
              <w:pStyle w:val="TableParagraph"/>
              <w:spacing w:before="57"/>
              <w:ind w:left="81"/>
              <w:rPr>
                <w:sz w:val="16"/>
              </w:rPr>
            </w:pPr>
            <w:r>
              <w:rPr>
                <w:sz w:val="16"/>
              </w:rPr>
              <w:t>1.05.01</w:t>
            </w:r>
            <w:r>
              <w:rPr>
                <w:spacing w:val="-4"/>
                <w:sz w:val="16"/>
              </w:rPr>
              <w:t> </w:t>
            </w:r>
            <w:r>
              <w:rPr>
                <w:sz w:val="16"/>
              </w:rPr>
              <w:t>Description</w:t>
            </w:r>
            <w:r>
              <w:rPr>
                <w:spacing w:val="-5"/>
                <w:sz w:val="16"/>
              </w:rPr>
              <w:t> </w:t>
            </w:r>
            <w:r>
              <w:rPr>
                <w:sz w:val="16"/>
              </w:rPr>
              <w:t>of</w:t>
            </w:r>
            <w:r>
              <w:rPr>
                <w:spacing w:val="-4"/>
                <w:sz w:val="16"/>
              </w:rPr>
              <w:t> </w:t>
            </w:r>
            <w:r>
              <w:rPr>
                <w:sz w:val="16"/>
              </w:rPr>
              <w:t>administrative</w:t>
            </w:r>
            <w:r>
              <w:rPr>
                <w:spacing w:val="-5"/>
                <w:sz w:val="16"/>
              </w:rPr>
              <w:t> </w:t>
            </w:r>
            <w:r>
              <w:rPr>
                <w:sz w:val="16"/>
              </w:rPr>
              <w:t>arrangements</w:t>
            </w:r>
            <w:r>
              <w:rPr>
                <w:spacing w:val="-3"/>
                <w:sz w:val="16"/>
              </w:rPr>
              <w:t> </w:t>
            </w:r>
            <w:r>
              <w:rPr>
                <w:sz w:val="16"/>
              </w:rPr>
              <w:t>for the</w:t>
            </w:r>
            <w:r>
              <w:rPr>
                <w:spacing w:val="-2"/>
                <w:sz w:val="16"/>
              </w:rPr>
              <w:t> </w:t>
            </w:r>
            <w:r>
              <w:rPr>
                <w:sz w:val="16"/>
              </w:rPr>
              <w:t>trial.</w:t>
            </w:r>
          </w:p>
        </w:tc>
        <w:tc>
          <w:tcPr>
            <w:tcW w:w="324" w:type="dxa"/>
          </w:tcPr>
          <w:p>
            <w:pPr>
              <w:pStyle w:val="TableParagraph"/>
              <w:rPr>
                <w:rFonts w:ascii="Times New Roman"/>
                <w:sz w:val="16"/>
              </w:rPr>
            </w:pPr>
          </w:p>
        </w:tc>
        <w:tc>
          <w:tcPr>
            <w:tcW w:w="327" w:type="dxa"/>
          </w:tcPr>
          <w:p>
            <w:pPr>
              <w:pStyle w:val="TableParagraph"/>
              <w:spacing w:before="57"/>
              <w:ind w:right="88"/>
              <w:jc w:val="right"/>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412" w:hRule="atLeast"/>
        </w:trPr>
        <w:tc>
          <w:tcPr>
            <w:tcW w:w="5809" w:type="dxa"/>
            <w:vMerge/>
            <w:tcBorders>
              <w:top w:val="nil"/>
            </w:tcBorders>
          </w:tcPr>
          <w:p>
            <w:pPr>
              <w:rPr>
                <w:sz w:val="2"/>
                <w:szCs w:val="2"/>
              </w:rPr>
            </w:pPr>
          </w:p>
        </w:tc>
        <w:tc>
          <w:tcPr>
            <w:tcW w:w="6853" w:type="dxa"/>
          </w:tcPr>
          <w:p>
            <w:pPr>
              <w:pStyle w:val="TableParagraph"/>
              <w:spacing w:before="57"/>
              <w:ind w:left="81"/>
              <w:rPr>
                <w:sz w:val="16"/>
              </w:rPr>
            </w:pPr>
            <w:r>
              <w:rPr>
                <w:sz w:val="16"/>
              </w:rPr>
              <w:t>1.05.02</w:t>
            </w:r>
            <w:r>
              <w:rPr>
                <w:spacing w:val="-3"/>
                <w:sz w:val="16"/>
              </w:rPr>
              <w:t> </w:t>
            </w:r>
            <w:r>
              <w:rPr>
                <w:sz w:val="16"/>
              </w:rPr>
              <w:t>Proportion</w:t>
            </w:r>
            <w:r>
              <w:rPr>
                <w:spacing w:val="-3"/>
                <w:sz w:val="16"/>
              </w:rPr>
              <w:t> </w:t>
            </w:r>
            <w:r>
              <w:rPr>
                <w:sz w:val="16"/>
              </w:rPr>
              <w:t>of</w:t>
            </w:r>
            <w:r>
              <w:rPr>
                <w:spacing w:val="-4"/>
                <w:sz w:val="16"/>
              </w:rPr>
              <w:t> </w:t>
            </w:r>
            <w:r>
              <w:rPr>
                <w:sz w:val="16"/>
              </w:rPr>
              <w:t>HCH</w:t>
            </w:r>
            <w:r>
              <w:rPr>
                <w:spacing w:val="-3"/>
                <w:sz w:val="16"/>
              </w:rPr>
              <w:t> </w:t>
            </w:r>
            <w:r>
              <w:rPr>
                <w:sz w:val="16"/>
              </w:rPr>
              <w:t>claims</w:t>
            </w:r>
            <w:r>
              <w:rPr>
                <w:spacing w:val="-2"/>
                <w:sz w:val="16"/>
              </w:rPr>
              <w:t> </w:t>
            </w:r>
            <w:r>
              <w:rPr>
                <w:sz w:val="16"/>
              </w:rPr>
              <w:t>processed</w:t>
            </w:r>
            <w:r>
              <w:rPr>
                <w:spacing w:val="-6"/>
                <w:sz w:val="16"/>
              </w:rPr>
              <w:t> </w:t>
            </w:r>
            <w:r>
              <w:rPr>
                <w:sz w:val="16"/>
              </w:rPr>
              <w:t>within</w:t>
            </w:r>
            <w:r>
              <w:rPr>
                <w:spacing w:val="-2"/>
                <w:sz w:val="16"/>
              </w:rPr>
              <w:t> </w:t>
            </w:r>
            <w:r>
              <w:rPr>
                <w:sz w:val="16"/>
              </w:rPr>
              <w:t>specified</w:t>
            </w:r>
            <w:r>
              <w:rPr>
                <w:spacing w:val="-1"/>
                <w:sz w:val="16"/>
              </w:rPr>
              <w:t> </w:t>
            </w:r>
            <w:r>
              <w:rPr>
                <w:sz w:val="16"/>
              </w:rPr>
              <w:t>timeframes.</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spacing w:before="57"/>
              <w:ind w:left="8"/>
              <w:jc w:val="center"/>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546"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315" w:hanging="567"/>
              <w:rPr>
                <w:sz w:val="16"/>
              </w:rPr>
            </w:pPr>
            <w:r>
              <w:rPr>
                <w:sz w:val="16"/>
              </w:rPr>
              <w:t>1.05.03 Proportion of practices agreeing that the HCH processes reduced</w:t>
            </w:r>
            <w:r>
              <w:rPr>
                <w:spacing w:val="1"/>
                <w:sz w:val="16"/>
              </w:rPr>
              <w:t> </w:t>
            </w:r>
            <w:r>
              <w:rPr>
                <w:sz w:val="16"/>
              </w:rPr>
              <w:t>administrative</w:t>
            </w:r>
            <w:r>
              <w:rPr>
                <w:spacing w:val="-3"/>
                <w:sz w:val="16"/>
              </w:rPr>
              <w:t> </w:t>
            </w:r>
            <w:r>
              <w:rPr>
                <w:sz w:val="16"/>
              </w:rPr>
              <w:t>burden</w:t>
            </w:r>
            <w:r>
              <w:rPr>
                <w:spacing w:val="-3"/>
                <w:sz w:val="16"/>
              </w:rPr>
              <w:t> </w:t>
            </w:r>
            <w:r>
              <w:rPr>
                <w:sz w:val="16"/>
              </w:rPr>
              <w:t>for</w:t>
            </w:r>
            <w:r>
              <w:rPr>
                <w:spacing w:val="-4"/>
                <w:sz w:val="16"/>
              </w:rPr>
              <w:t> </w:t>
            </w:r>
            <w:r>
              <w:rPr>
                <w:sz w:val="16"/>
              </w:rPr>
              <w:t>the</w:t>
            </w:r>
            <w:r>
              <w:rPr>
                <w:spacing w:val="-1"/>
                <w:sz w:val="16"/>
              </w:rPr>
              <w:t> </w:t>
            </w:r>
            <w:r>
              <w:rPr>
                <w:sz w:val="16"/>
              </w:rPr>
              <w:t>practice compared</w:t>
            </w:r>
            <w:r>
              <w:rPr>
                <w:spacing w:val="-6"/>
                <w:sz w:val="16"/>
              </w:rPr>
              <w:t> </w:t>
            </w:r>
            <w:r>
              <w:rPr>
                <w:sz w:val="16"/>
              </w:rPr>
              <w:t>with</w:t>
            </w:r>
            <w:r>
              <w:rPr>
                <w:spacing w:val="-2"/>
                <w:sz w:val="16"/>
              </w:rPr>
              <w:t> </w:t>
            </w:r>
            <w:r>
              <w:rPr>
                <w:sz w:val="16"/>
              </w:rPr>
              <w:t>usual</w:t>
            </w:r>
            <w:r>
              <w:rPr>
                <w:spacing w:val="-2"/>
                <w:sz w:val="16"/>
              </w:rPr>
              <w:t> </w:t>
            </w:r>
            <w:r>
              <w:rPr>
                <w:sz w:val="16"/>
              </w:rPr>
              <w:t>MBS</w:t>
            </w:r>
            <w:r>
              <w:rPr>
                <w:spacing w:val="-2"/>
                <w:sz w:val="16"/>
              </w:rPr>
              <w:t> </w:t>
            </w:r>
            <w:r>
              <w:rPr>
                <w:sz w:val="16"/>
              </w:rPr>
              <w:t>processes.</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spacing w:before="57"/>
              <w:ind w:left="8"/>
              <w:jc w:val="center"/>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546"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615" w:hanging="567"/>
              <w:rPr>
                <w:sz w:val="16"/>
              </w:rPr>
            </w:pPr>
            <w:r>
              <w:rPr>
                <w:sz w:val="16"/>
              </w:rPr>
              <w:t>1.05.04 Program and administrative improvements most frequently identified by</w:t>
            </w:r>
            <w:r>
              <w:rPr>
                <w:spacing w:val="-42"/>
                <w:sz w:val="16"/>
              </w:rPr>
              <w:t> </w:t>
            </w:r>
            <w:r>
              <w:rPr>
                <w:sz w:val="16"/>
              </w:rPr>
              <w:t>practices</w:t>
            </w:r>
            <w:r>
              <w:rPr>
                <w:spacing w:val="-3"/>
                <w:sz w:val="16"/>
              </w:rPr>
              <w:t> </w:t>
            </w:r>
            <w:r>
              <w:rPr>
                <w:sz w:val="16"/>
              </w:rPr>
              <w:t>and</w:t>
            </w:r>
            <w:r>
              <w:rPr>
                <w:spacing w:val="-1"/>
                <w:sz w:val="16"/>
              </w:rPr>
              <w:t> </w:t>
            </w:r>
            <w:r>
              <w:rPr>
                <w:sz w:val="16"/>
              </w:rPr>
              <w:t>other</w:t>
            </w:r>
            <w:r>
              <w:rPr>
                <w:spacing w:val="-2"/>
                <w:sz w:val="16"/>
              </w:rPr>
              <w:t> </w:t>
            </w:r>
            <w:r>
              <w:rPr>
                <w:sz w:val="16"/>
              </w:rPr>
              <w:t>stakeholders.</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spacing w:before="57"/>
              <w:ind w:left="100"/>
              <w:rPr>
                <w:rFonts w:ascii="Wingdings" w:hAnsi="Wingdings"/>
                <w:sz w:val="16"/>
              </w:rPr>
            </w:pPr>
            <w:r>
              <w:rPr>
                <w:rFonts w:ascii="Wingdings" w:hAnsi="Wingdings"/>
                <w:w w:val="100"/>
                <w:sz w:val="16"/>
              </w:rPr>
              <w:t></w:t>
            </w:r>
          </w:p>
        </w:tc>
      </w:tr>
    </w:tbl>
    <w:p>
      <w:pPr>
        <w:spacing w:after="0"/>
        <w:rPr>
          <w:rFonts w:ascii="Wingdings" w:hAnsi="Wingdings"/>
          <w:sz w:val="16"/>
        </w:rPr>
        <w:sectPr>
          <w:footerReference w:type="default" r:id="rId19"/>
          <w:pgSz w:w="16840" w:h="11910" w:orient="landscape"/>
          <w:pgMar w:footer="676" w:header="0" w:top="1100" w:bottom="860" w:left="1340" w:right="980"/>
        </w:sectPr>
      </w:pPr>
    </w:p>
    <w:p>
      <w:pPr>
        <w:pStyle w:val="BodyText"/>
        <w:spacing w:before="2" w:after="1"/>
        <w:rPr>
          <w:b/>
          <w:sz w:val="27"/>
        </w:rPr>
      </w:pPr>
    </w:p>
    <w:tbl>
      <w:tblPr>
        <w:tblW w:w="0" w:type="auto"/>
        <w:jc w:val="left"/>
        <w:tblInd w:w="11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5809"/>
        <w:gridCol w:w="6853"/>
        <w:gridCol w:w="324"/>
        <w:gridCol w:w="327"/>
        <w:gridCol w:w="324"/>
        <w:gridCol w:w="324"/>
        <w:gridCol w:w="326"/>
      </w:tblGrid>
      <w:tr>
        <w:trPr>
          <w:trHeight w:val="1509" w:hRule="atLeast"/>
        </w:trPr>
        <w:tc>
          <w:tcPr>
            <w:tcW w:w="5809" w:type="dxa"/>
            <w:shd w:val="clear" w:color="auto" w:fill="003C79"/>
          </w:tcPr>
          <w:p>
            <w:pPr>
              <w:pStyle w:val="TableParagraph"/>
              <w:rPr>
                <w:b/>
                <w:sz w:val="20"/>
              </w:rPr>
            </w:pPr>
          </w:p>
          <w:p>
            <w:pPr>
              <w:pStyle w:val="TableParagraph"/>
              <w:rPr>
                <w:b/>
                <w:sz w:val="20"/>
              </w:rPr>
            </w:pPr>
          </w:p>
          <w:p>
            <w:pPr>
              <w:pStyle w:val="TableParagraph"/>
              <w:spacing w:before="164"/>
              <w:ind w:left="1579"/>
              <w:rPr>
                <w:b/>
                <w:sz w:val="16"/>
              </w:rPr>
            </w:pPr>
            <w:r>
              <w:rPr>
                <w:b/>
                <w:color w:val="FFFFFF"/>
                <w:sz w:val="16"/>
              </w:rPr>
              <w:t>Key</w:t>
            </w:r>
            <w:r>
              <w:rPr>
                <w:b/>
                <w:color w:val="FFFFFF"/>
                <w:spacing w:val="-4"/>
                <w:sz w:val="16"/>
              </w:rPr>
              <w:t> </w:t>
            </w:r>
            <w:r>
              <w:rPr>
                <w:b/>
                <w:color w:val="FFFFFF"/>
                <w:sz w:val="16"/>
              </w:rPr>
              <w:t>question</w:t>
            </w:r>
            <w:r>
              <w:rPr>
                <w:b/>
                <w:color w:val="FFFFFF"/>
                <w:spacing w:val="-5"/>
                <w:sz w:val="16"/>
              </w:rPr>
              <w:t> </w:t>
            </w:r>
            <w:r>
              <w:rPr>
                <w:b/>
                <w:color w:val="FFFFFF"/>
                <w:sz w:val="16"/>
              </w:rPr>
              <w:t>1:</w:t>
            </w:r>
            <w:r>
              <w:rPr>
                <w:b/>
                <w:color w:val="FFFFFF"/>
                <w:spacing w:val="-2"/>
                <w:sz w:val="16"/>
              </w:rPr>
              <w:t> </w:t>
            </w:r>
            <w:r>
              <w:rPr>
                <w:b/>
                <w:color w:val="FFFFFF"/>
                <w:sz w:val="16"/>
              </w:rPr>
              <w:t>Detailed</w:t>
            </w:r>
            <w:r>
              <w:rPr>
                <w:b/>
                <w:color w:val="FFFFFF"/>
                <w:spacing w:val="-2"/>
                <w:sz w:val="16"/>
              </w:rPr>
              <w:t> </w:t>
            </w:r>
            <w:r>
              <w:rPr>
                <w:b/>
                <w:color w:val="FFFFFF"/>
                <w:sz w:val="16"/>
              </w:rPr>
              <w:t>questions</w:t>
            </w:r>
          </w:p>
        </w:tc>
        <w:tc>
          <w:tcPr>
            <w:tcW w:w="6853" w:type="dxa"/>
            <w:shd w:val="clear" w:color="auto" w:fill="003C79"/>
          </w:tcPr>
          <w:p>
            <w:pPr>
              <w:pStyle w:val="TableParagraph"/>
              <w:rPr>
                <w:b/>
                <w:sz w:val="20"/>
              </w:rPr>
            </w:pPr>
          </w:p>
          <w:p>
            <w:pPr>
              <w:pStyle w:val="TableParagraph"/>
              <w:rPr>
                <w:b/>
                <w:sz w:val="20"/>
              </w:rPr>
            </w:pPr>
          </w:p>
          <w:p>
            <w:pPr>
              <w:pStyle w:val="TableParagraph"/>
              <w:spacing w:before="164"/>
              <w:ind w:left="2424" w:right="2419"/>
              <w:jc w:val="center"/>
              <w:rPr>
                <w:b/>
                <w:sz w:val="16"/>
              </w:rPr>
            </w:pPr>
            <w:r>
              <w:rPr>
                <w:b/>
                <w:color w:val="FFFFFF"/>
                <w:sz w:val="16"/>
              </w:rPr>
              <w:t>Key</w:t>
            </w:r>
            <w:r>
              <w:rPr>
                <w:b/>
                <w:color w:val="FFFFFF"/>
                <w:spacing w:val="-4"/>
                <w:sz w:val="16"/>
              </w:rPr>
              <w:t> </w:t>
            </w:r>
            <w:r>
              <w:rPr>
                <w:b/>
                <w:color w:val="FFFFFF"/>
                <w:sz w:val="16"/>
              </w:rPr>
              <w:t>question</w:t>
            </w:r>
            <w:r>
              <w:rPr>
                <w:b/>
                <w:color w:val="FFFFFF"/>
                <w:spacing w:val="-4"/>
                <w:sz w:val="16"/>
              </w:rPr>
              <w:t> </w:t>
            </w:r>
            <w:r>
              <w:rPr>
                <w:b/>
                <w:color w:val="FFFFFF"/>
                <w:sz w:val="16"/>
              </w:rPr>
              <w:t>1:</w:t>
            </w:r>
            <w:r>
              <w:rPr>
                <w:b/>
                <w:color w:val="FFFFFF"/>
                <w:spacing w:val="-3"/>
                <w:sz w:val="16"/>
              </w:rPr>
              <w:t> </w:t>
            </w:r>
            <w:r>
              <w:rPr>
                <w:b/>
                <w:color w:val="FFFFFF"/>
                <w:sz w:val="16"/>
              </w:rPr>
              <w:t>Measures</w:t>
            </w:r>
          </w:p>
        </w:tc>
        <w:tc>
          <w:tcPr>
            <w:tcW w:w="324" w:type="dxa"/>
            <w:shd w:val="clear" w:color="auto" w:fill="003C79"/>
            <w:textDirection w:val="btLr"/>
          </w:tcPr>
          <w:p>
            <w:pPr>
              <w:pStyle w:val="TableParagraph"/>
              <w:spacing w:before="62"/>
              <w:ind w:left="503" w:right="504"/>
              <w:jc w:val="center"/>
              <w:rPr>
                <w:b/>
                <w:sz w:val="16"/>
              </w:rPr>
            </w:pPr>
            <w:r>
              <w:rPr>
                <w:b/>
                <w:color w:val="FFFFFF"/>
                <w:sz w:val="16"/>
              </w:rPr>
              <w:t>Inputs</w:t>
            </w:r>
          </w:p>
        </w:tc>
        <w:tc>
          <w:tcPr>
            <w:tcW w:w="327" w:type="dxa"/>
            <w:shd w:val="clear" w:color="auto" w:fill="003C79"/>
            <w:textDirection w:val="btLr"/>
          </w:tcPr>
          <w:p>
            <w:pPr>
              <w:pStyle w:val="TableParagraph"/>
              <w:spacing w:before="64"/>
              <w:ind w:left="407"/>
              <w:rPr>
                <w:b/>
                <w:sz w:val="16"/>
              </w:rPr>
            </w:pPr>
            <w:r>
              <w:rPr>
                <w:b/>
                <w:color w:val="FFFFFF"/>
                <w:sz w:val="16"/>
              </w:rPr>
              <w:t>Activities</w:t>
            </w:r>
          </w:p>
        </w:tc>
        <w:tc>
          <w:tcPr>
            <w:tcW w:w="324" w:type="dxa"/>
            <w:shd w:val="clear" w:color="auto" w:fill="003C79"/>
            <w:textDirection w:val="btLr"/>
          </w:tcPr>
          <w:p>
            <w:pPr>
              <w:pStyle w:val="TableParagraph"/>
              <w:spacing w:before="62"/>
              <w:ind w:left="455"/>
              <w:rPr>
                <w:b/>
                <w:sz w:val="16"/>
              </w:rPr>
            </w:pPr>
            <w:r>
              <w:rPr>
                <w:b/>
                <w:color w:val="FFFFFF"/>
                <w:sz w:val="16"/>
              </w:rPr>
              <w:t>Outputs</w:t>
            </w:r>
          </w:p>
        </w:tc>
        <w:tc>
          <w:tcPr>
            <w:tcW w:w="324" w:type="dxa"/>
            <w:shd w:val="clear" w:color="auto" w:fill="003C79"/>
            <w:textDirection w:val="btLr"/>
          </w:tcPr>
          <w:p>
            <w:pPr>
              <w:pStyle w:val="TableParagraph"/>
              <w:spacing w:before="64"/>
              <w:ind w:left="254"/>
              <w:rPr>
                <w:b/>
                <w:sz w:val="16"/>
              </w:rPr>
            </w:pPr>
            <w:r>
              <w:rPr>
                <w:b/>
                <w:color w:val="FFFFFF"/>
                <w:sz w:val="16"/>
              </w:rPr>
              <w:t>Outcomes</w:t>
            </w:r>
            <w:r>
              <w:rPr>
                <w:b/>
                <w:color w:val="FFFFFF"/>
                <w:spacing w:val="-2"/>
                <w:sz w:val="16"/>
              </w:rPr>
              <w:t> </w:t>
            </w:r>
            <w:r>
              <w:rPr>
                <w:b/>
                <w:color w:val="FFFFFF"/>
                <w:sz w:val="16"/>
              </w:rPr>
              <w:t>ST</w:t>
            </w:r>
          </w:p>
        </w:tc>
        <w:tc>
          <w:tcPr>
            <w:tcW w:w="326" w:type="dxa"/>
            <w:shd w:val="clear" w:color="auto" w:fill="003C79"/>
            <w:textDirection w:val="btLr"/>
          </w:tcPr>
          <w:p>
            <w:pPr>
              <w:pStyle w:val="TableParagraph"/>
              <w:spacing w:before="64"/>
              <w:ind w:left="222"/>
              <w:rPr>
                <w:b/>
                <w:sz w:val="16"/>
              </w:rPr>
            </w:pPr>
            <w:r>
              <w:rPr>
                <w:b/>
                <w:color w:val="FFFFFF"/>
                <w:sz w:val="16"/>
              </w:rPr>
              <w:t>Outcomes</w:t>
            </w:r>
            <w:r>
              <w:rPr>
                <w:b/>
                <w:color w:val="FFFFFF"/>
                <w:spacing w:val="-1"/>
                <w:sz w:val="16"/>
              </w:rPr>
              <w:t> </w:t>
            </w:r>
            <w:r>
              <w:rPr>
                <w:b/>
                <w:color w:val="FFFFFF"/>
                <w:sz w:val="16"/>
              </w:rPr>
              <w:t>MT</w:t>
            </w:r>
          </w:p>
        </w:tc>
      </w:tr>
      <w:tr>
        <w:trPr>
          <w:trHeight w:val="544" w:hRule="atLeast"/>
        </w:trPr>
        <w:tc>
          <w:tcPr>
            <w:tcW w:w="5809" w:type="dxa"/>
          </w:tcPr>
          <w:p>
            <w:pPr>
              <w:pStyle w:val="TableParagraph"/>
              <w:rPr>
                <w:rFonts w:ascii="Times New Roman"/>
                <w:sz w:val="16"/>
              </w:rPr>
            </w:pPr>
          </w:p>
        </w:tc>
        <w:tc>
          <w:tcPr>
            <w:tcW w:w="6853" w:type="dxa"/>
          </w:tcPr>
          <w:p>
            <w:pPr>
              <w:pStyle w:val="TableParagraph"/>
              <w:spacing w:line="264" w:lineRule="auto" w:before="57"/>
              <w:ind w:left="647" w:right="152" w:hanging="567"/>
              <w:rPr>
                <w:sz w:val="16"/>
              </w:rPr>
            </w:pPr>
            <w:r>
              <w:rPr>
                <w:sz w:val="16"/>
              </w:rPr>
              <w:t>1.05.05 Description of compliance issues that emerged during the trial and how these</w:t>
            </w:r>
            <w:r>
              <w:rPr>
                <w:spacing w:val="-42"/>
                <w:sz w:val="16"/>
              </w:rPr>
              <w:t> </w:t>
            </w:r>
            <w:r>
              <w:rPr>
                <w:sz w:val="16"/>
              </w:rPr>
              <w:t>were</w:t>
            </w:r>
            <w:r>
              <w:rPr>
                <w:spacing w:val="-2"/>
                <w:sz w:val="16"/>
              </w:rPr>
              <w:t> </w:t>
            </w:r>
            <w:r>
              <w:rPr>
                <w:sz w:val="16"/>
              </w:rPr>
              <w:t>addressed.</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spacing w:before="57"/>
              <w:ind w:left="97"/>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331" w:hRule="atLeast"/>
        </w:trPr>
        <w:tc>
          <w:tcPr>
            <w:tcW w:w="14287" w:type="dxa"/>
            <w:gridSpan w:val="7"/>
            <w:shd w:val="clear" w:color="auto" w:fill="F1F1F1"/>
          </w:tcPr>
          <w:p>
            <w:pPr>
              <w:pStyle w:val="TableParagraph"/>
              <w:spacing w:before="57"/>
              <w:ind w:left="57"/>
              <w:rPr>
                <w:b/>
                <w:sz w:val="16"/>
              </w:rPr>
            </w:pPr>
            <w:r>
              <w:rPr>
                <w:b/>
                <w:sz w:val="16"/>
              </w:rPr>
              <w:t>Level:</w:t>
            </w:r>
            <w:r>
              <w:rPr>
                <w:b/>
                <w:spacing w:val="-5"/>
                <w:sz w:val="16"/>
              </w:rPr>
              <w:t> </w:t>
            </w:r>
            <w:r>
              <w:rPr>
                <w:b/>
                <w:sz w:val="16"/>
              </w:rPr>
              <w:t>Primary</w:t>
            </w:r>
            <w:r>
              <w:rPr>
                <w:b/>
                <w:spacing w:val="-5"/>
                <w:sz w:val="16"/>
              </w:rPr>
              <w:t> </w:t>
            </w:r>
            <w:r>
              <w:rPr>
                <w:b/>
                <w:sz w:val="16"/>
              </w:rPr>
              <w:t>Health</w:t>
            </w:r>
            <w:r>
              <w:rPr>
                <w:b/>
                <w:spacing w:val="-4"/>
                <w:sz w:val="16"/>
              </w:rPr>
              <w:t> </w:t>
            </w:r>
            <w:r>
              <w:rPr>
                <w:b/>
                <w:sz w:val="16"/>
              </w:rPr>
              <w:t>Network/Regional</w:t>
            </w:r>
          </w:p>
        </w:tc>
      </w:tr>
      <w:tr>
        <w:trPr>
          <w:trHeight w:val="544" w:hRule="atLeast"/>
        </w:trPr>
        <w:tc>
          <w:tcPr>
            <w:tcW w:w="5809" w:type="dxa"/>
            <w:vMerge w:val="restart"/>
          </w:tcPr>
          <w:p>
            <w:pPr>
              <w:pStyle w:val="TableParagraph"/>
              <w:spacing w:line="264" w:lineRule="auto" w:before="57"/>
              <w:ind w:left="504" w:right="125" w:hanging="426"/>
              <w:rPr>
                <w:sz w:val="16"/>
              </w:rPr>
            </w:pPr>
            <w:r>
              <w:rPr>
                <w:sz w:val="16"/>
              </w:rPr>
              <w:t>1.06 What roles did PHNs play in the HCH implementation? What existing</w:t>
            </w:r>
            <w:r>
              <w:rPr>
                <w:spacing w:val="-42"/>
                <w:sz w:val="16"/>
              </w:rPr>
              <w:t> </w:t>
            </w:r>
            <w:r>
              <w:rPr>
                <w:sz w:val="16"/>
              </w:rPr>
              <w:t>PHN/ state/territory/ LHN quality improvement/ chronic disease</w:t>
            </w:r>
            <w:r>
              <w:rPr>
                <w:spacing w:val="1"/>
                <w:sz w:val="16"/>
              </w:rPr>
              <w:t> </w:t>
            </w:r>
            <w:r>
              <w:rPr>
                <w:sz w:val="16"/>
              </w:rPr>
              <w:t>management initiatives were leveraged to assist the HCH</w:t>
            </w:r>
            <w:r>
              <w:rPr>
                <w:spacing w:val="1"/>
                <w:sz w:val="16"/>
              </w:rPr>
              <w:t> </w:t>
            </w:r>
            <w:r>
              <w:rPr>
                <w:sz w:val="16"/>
              </w:rPr>
              <w:t>implementation?</w:t>
            </w:r>
          </w:p>
        </w:tc>
        <w:tc>
          <w:tcPr>
            <w:tcW w:w="6853" w:type="dxa"/>
          </w:tcPr>
          <w:p>
            <w:pPr>
              <w:pStyle w:val="TableParagraph"/>
              <w:spacing w:line="264" w:lineRule="auto" w:before="57"/>
              <w:ind w:left="647" w:right="540" w:hanging="567"/>
              <w:rPr>
                <w:sz w:val="16"/>
              </w:rPr>
            </w:pPr>
            <w:r>
              <w:rPr>
                <w:sz w:val="16"/>
              </w:rPr>
              <w:t>1.06.01 Support activities most frequently identified by practices, PHNs and other</w:t>
            </w:r>
            <w:r>
              <w:rPr>
                <w:spacing w:val="-42"/>
                <w:sz w:val="16"/>
              </w:rPr>
              <w:t> </w:t>
            </w:r>
            <w:r>
              <w:rPr>
                <w:sz w:val="16"/>
              </w:rPr>
              <w:t>stakeholders.</w:t>
            </w:r>
          </w:p>
        </w:tc>
        <w:tc>
          <w:tcPr>
            <w:tcW w:w="324" w:type="dxa"/>
          </w:tcPr>
          <w:p>
            <w:pPr>
              <w:pStyle w:val="TableParagraph"/>
              <w:rPr>
                <w:rFonts w:ascii="Times New Roman"/>
                <w:sz w:val="16"/>
              </w:rPr>
            </w:pPr>
          </w:p>
        </w:tc>
        <w:tc>
          <w:tcPr>
            <w:tcW w:w="327" w:type="dxa"/>
          </w:tcPr>
          <w:p>
            <w:pPr>
              <w:pStyle w:val="TableParagraph"/>
              <w:spacing w:before="57"/>
              <w:ind w:right="88"/>
              <w:jc w:val="right"/>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762"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122" w:hanging="567"/>
              <w:rPr>
                <w:sz w:val="16"/>
              </w:rPr>
            </w:pPr>
            <w:r>
              <w:rPr>
                <w:sz w:val="16"/>
              </w:rPr>
              <w:t>1.06.02 Description of quality improvement/ chronic disease management initiatives</w:t>
            </w:r>
            <w:r>
              <w:rPr>
                <w:spacing w:val="1"/>
                <w:sz w:val="16"/>
              </w:rPr>
              <w:t> </w:t>
            </w:r>
            <w:r>
              <w:rPr>
                <w:sz w:val="16"/>
              </w:rPr>
              <w:t>by PHNs, LHNs, and state and territory health authorities leveraged during HCH</w:t>
            </w:r>
            <w:r>
              <w:rPr>
                <w:spacing w:val="-42"/>
                <w:sz w:val="16"/>
              </w:rPr>
              <w:t> </w:t>
            </w:r>
            <w:r>
              <w:rPr>
                <w:sz w:val="16"/>
              </w:rPr>
              <w:t>implementation.</w:t>
            </w:r>
          </w:p>
        </w:tc>
        <w:tc>
          <w:tcPr>
            <w:tcW w:w="324" w:type="dxa"/>
          </w:tcPr>
          <w:p>
            <w:pPr>
              <w:pStyle w:val="TableParagraph"/>
              <w:rPr>
                <w:rFonts w:ascii="Times New Roman"/>
                <w:sz w:val="16"/>
              </w:rPr>
            </w:pPr>
          </w:p>
        </w:tc>
        <w:tc>
          <w:tcPr>
            <w:tcW w:w="327" w:type="dxa"/>
          </w:tcPr>
          <w:p>
            <w:pPr>
              <w:pStyle w:val="TableParagraph"/>
              <w:spacing w:before="57"/>
              <w:ind w:right="88"/>
              <w:jc w:val="right"/>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544"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88" w:hanging="567"/>
              <w:rPr>
                <w:sz w:val="16"/>
              </w:rPr>
            </w:pPr>
            <w:r>
              <w:rPr>
                <w:sz w:val="16"/>
              </w:rPr>
              <w:t>1.06.03 Quality improvement/ chronic disease management initiatives most frequently</w:t>
            </w:r>
            <w:r>
              <w:rPr>
                <w:spacing w:val="-42"/>
                <w:sz w:val="16"/>
              </w:rPr>
              <w:t> </w:t>
            </w:r>
            <w:r>
              <w:rPr>
                <w:sz w:val="16"/>
              </w:rPr>
              <w:t>identified</w:t>
            </w:r>
            <w:r>
              <w:rPr>
                <w:spacing w:val="-2"/>
                <w:sz w:val="16"/>
              </w:rPr>
              <w:t> </w:t>
            </w:r>
            <w:r>
              <w:rPr>
                <w:sz w:val="16"/>
              </w:rPr>
              <w:t>by</w:t>
            </w:r>
            <w:r>
              <w:rPr>
                <w:spacing w:val="-2"/>
                <w:sz w:val="16"/>
              </w:rPr>
              <w:t> </w:t>
            </w:r>
            <w:r>
              <w:rPr>
                <w:sz w:val="16"/>
              </w:rPr>
              <w:t>practices,</w:t>
            </w:r>
            <w:r>
              <w:rPr>
                <w:spacing w:val="-3"/>
                <w:sz w:val="16"/>
              </w:rPr>
              <w:t> </w:t>
            </w:r>
            <w:r>
              <w:rPr>
                <w:sz w:val="16"/>
              </w:rPr>
              <w:t>PHNs</w:t>
            </w:r>
            <w:r>
              <w:rPr>
                <w:spacing w:val="-2"/>
                <w:sz w:val="16"/>
              </w:rPr>
              <w:t> </w:t>
            </w:r>
            <w:r>
              <w:rPr>
                <w:sz w:val="16"/>
              </w:rPr>
              <w:t>and</w:t>
            </w:r>
            <w:r>
              <w:rPr>
                <w:spacing w:val="-1"/>
                <w:sz w:val="16"/>
              </w:rPr>
              <w:t> </w:t>
            </w:r>
            <w:r>
              <w:rPr>
                <w:sz w:val="16"/>
              </w:rPr>
              <w:t>other</w:t>
            </w:r>
            <w:r>
              <w:rPr>
                <w:spacing w:val="-2"/>
                <w:sz w:val="16"/>
              </w:rPr>
              <w:t> </w:t>
            </w:r>
            <w:r>
              <w:rPr>
                <w:sz w:val="16"/>
              </w:rPr>
              <w:t>stakeholders.</w:t>
            </w:r>
          </w:p>
        </w:tc>
        <w:tc>
          <w:tcPr>
            <w:tcW w:w="324" w:type="dxa"/>
          </w:tcPr>
          <w:p>
            <w:pPr>
              <w:pStyle w:val="TableParagraph"/>
              <w:rPr>
                <w:rFonts w:ascii="Times New Roman"/>
                <w:sz w:val="16"/>
              </w:rPr>
            </w:pPr>
          </w:p>
        </w:tc>
        <w:tc>
          <w:tcPr>
            <w:tcW w:w="327" w:type="dxa"/>
          </w:tcPr>
          <w:p>
            <w:pPr>
              <w:pStyle w:val="TableParagraph"/>
              <w:spacing w:before="57"/>
              <w:ind w:right="88"/>
              <w:jc w:val="right"/>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703" w:hRule="atLeast"/>
        </w:trPr>
        <w:tc>
          <w:tcPr>
            <w:tcW w:w="5809" w:type="dxa"/>
            <w:vMerge/>
            <w:tcBorders>
              <w:top w:val="nil"/>
            </w:tcBorders>
          </w:tcPr>
          <w:p>
            <w:pPr>
              <w:rPr>
                <w:sz w:val="2"/>
                <w:szCs w:val="2"/>
              </w:rPr>
            </w:pPr>
          </w:p>
        </w:tc>
        <w:tc>
          <w:tcPr>
            <w:tcW w:w="6853" w:type="dxa"/>
          </w:tcPr>
          <w:p>
            <w:pPr>
              <w:pStyle w:val="TableParagraph"/>
              <w:spacing w:before="57"/>
              <w:ind w:left="647" w:right="62" w:hanging="567"/>
              <w:jc w:val="both"/>
              <w:rPr>
                <w:sz w:val="16"/>
              </w:rPr>
            </w:pPr>
            <w:r>
              <w:rPr>
                <w:sz w:val="16"/>
              </w:rPr>
              <w:t>1.06.04 Opportunities for improvement in support provided to practices by PHNs, LHNs,</w:t>
            </w:r>
            <w:r>
              <w:rPr>
                <w:spacing w:val="1"/>
                <w:sz w:val="16"/>
              </w:rPr>
              <w:t> </w:t>
            </w:r>
            <w:r>
              <w:rPr>
                <w:sz w:val="16"/>
              </w:rPr>
              <w:t>and state and territory health authorities most frequently identified by practices</w:t>
            </w:r>
            <w:r>
              <w:rPr>
                <w:spacing w:val="-42"/>
                <w:sz w:val="16"/>
              </w:rPr>
              <w:t> </w:t>
            </w:r>
            <w:r>
              <w:rPr>
                <w:sz w:val="16"/>
              </w:rPr>
              <w:t>and</w:t>
            </w:r>
            <w:r>
              <w:rPr>
                <w:spacing w:val="-1"/>
                <w:sz w:val="16"/>
              </w:rPr>
              <w:t> </w:t>
            </w:r>
            <w:r>
              <w:rPr>
                <w:sz w:val="16"/>
              </w:rPr>
              <w:t>PHNs.</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spacing w:before="57"/>
              <w:ind w:left="100"/>
              <w:rPr>
                <w:rFonts w:ascii="Wingdings" w:hAnsi="Wingdings"/>
                <w:sz w:val="16"/>
              </w:rPr>
            </w:pPr>
            <w:r>
              <w:rPr>
                <w:rFonts w:ascii="Wingdings" w:hAnsi="Wingdings"/>
                <w:w w:val="100"/>
                <w:sz w:val="16"/>
              </w:rPr>
              <w:t></w:t>
            </w:r>
          </w:p>
        </w:tc>
      </w:tr>
    </w:tbl>
    <w:p>
      <w:pPr>
        <w:spacing w:after="0"/>
        <w:rPr>
          <w:rFonts w:ascii="Wingdings" w:hAnsi="Wingdings"/>
          <w:sz w:val="16"/>
        </w:rPr>
        <w:sectPr>
          <w:pgSz w:w="16840" w:h="11910" w:orient="landscape"/>
          <w:pgMar w:header="0" w:footer="676" w:top="1100" w:bottom="860" w:left="1340" w:right="980"/>
        </w:sectPr>
      </w:pPr>
    </w:p>
    <w:p>
      <w:pPr>
        <w:pStyle w:val="Heading6"/>
        <w:spacing w:line="276" w:lineRule="auto"/>
        <w:ind w:right="170"/>
      </w:pPr>
      <w:r>
        <w:rPr/>
        <w:t>Key</w:t>
      </w:r>
      <w:r>
        <w:rPr>
          <w:spacing w:val="-3"/>
        </w:rPr>
        <w:t> </w:t>
      </w:r>
      <w:r>
        <w:rPr/>
        <w:t>question</w:t>
      </w:r>
      <w:r>
        <w:rPr>
          <w:spacing w:val="-3"/>
        </w:rPr>
        <w:t> </w:t>
      </w:r>
      <w:r>
        <w:rPr/>
        <w:t>2:</w:t>
      </w:r>
      <w:r>
        <w:rPr>
          <w:spacing w:val="-3"/>
        </w:rPr>
        <w:t> </w:t>
      </w:r>
      <w:r>
        <w:rPr/>
        <w:t>How</w:t>
      </w:r>
      <w:r>
        <w:rPr>
          <w:spacing w:val="-3"/>
        </w:rPr>
        <w:t> </w:t>
      </w:r>
      <w:r>
        <w:rPr/>
        <w:t>does</w:t>
      </w:r>
      <w:r>
        <w:rPr>
          <w:spacing w:val="-4"/>
        </w:rPr>
        <w:t> </w:t>
      </w:r>
      <w:r>
        <w:rPr/>
        <w:t>the</w:t>
      </w:r>
      <w:r>
        <w:rPr>
          <w:spacing w:val="-5"/>
        </w:rPr>
        <w:t> </w:t>
      </w:r>
      <w:r>
        <w:rPr/>
        <w:t>HCH</w:t>
      </w:r>
      <w:r>
        <w:rPr>
          <w:spacing w:val="-4"/>
        </w:rPr>
        <w:t> </w:t>
      </w:r>
      <w:r>
        <w:rPr/>
        <w:t>model</w:t>
      </w:r>
      <w:r>
        <w:rPr>
          <w:spacing w:val="-2"/>
        </w:rPr>
        <w:t> </w:t>
      </w:r>
      <w:r>
        <w:rPr/>
        <w:t>change</w:t>
      </w:r>
      <w:r>
        <w:rPr>
          <w:spacing w:val="-3"/>
        </w:rPr>
        <w:t> </w:t>
      </w:r>
      <w:r>
        <w:rPr/>
        <w:t>the</w:t>
      </w:r>
      <w:r>
        <w:rPr>
          <w:spacing w:val="-3"/>
        </w:rPr>
        <w:t> </w:t>
      </w:r>
      <w:r>
        <w:rPr/>
        <w:t>way</w:t>
      </w:r>
      <w:r>
        <w:rPr>
          <w:spacing w:val="-5"/>
        </w:rPr>
        <w:t> </w:t>
      </w:r>
      <w:r>
        <w:rPr/>
        <w:t>practices</w:t>
      </w:r>
      <w:r>
        <w:rPr>
          <w:spacing w:val="-5"/>
        </w:rPr>
        <w:t> </w:t>
      </w:r>
      <w:r>
        <w:rPr/>
        <w:t>approach</w:t>
      </w:r>
      <w:r>
        <w:rPr>
          <w:spacing w:val="-4"/>
        </w:rPr>
        <w:t> </w:t>
      </w:r>
      <w:r>
        <w:rPr/>
        <w:t>chronic</w:t>
      </w:r>
      <w:r>
        <w:rPr>
          <w:spacing w:val="-53"/>
        </w:rPr>
        <w:t> </w:t>
      </w:r>
      <w:r>
        <w:rPr/>
        <w:t>disease</w:t>
      </w:r>
      <w:r>
        <w:rPr>
          <w:spacing w:val="-3"/>
        </w:rPr>
        <w:t> </w:t>
      </w:r>
      <w:r>
        <w:rPr/>
        <w:t>management?</w:t>
      </w:r>
    </w:p>
    <w:p>
      <w:pPr>
        <w:pStyle w:val="BodyText"/>
        <w:spacing w:line="276" w:lineRule="auto" w:before="199"/>
        <w:ind w:left="140" w:right="170"/>
      </w:pPr>
      <w:r>
        <w:rPr/>
        <w:t>Key question 2 relates to the practice level of the logic model. High-risk patients with chronic</w:t>
      </w:r>
      <w:r>
        <w:rPr>
          <w:spacing w:val="-53"/>
        </w:rPr>
        <w:t> </w:t>
      </w:r>
      <w:r>
        <w:rPr/>
        <w:t>disease are the target group for the HCH program, and consequently, change in chronic</w:t>
      </w:r>
      <w:r>
        <w:rPr>
          <w:spacing w:val="1"/>
        </w:rPr>
        <w:t> </w:t>
      </w:r>
      <w:r>
        <w:rPr/>
        <w:t>disease management is a principal focus. The evaluation needs to examine the changes</w:t>
      </w:r>
      <w:r>
        <w:rPr>
          <w:spacing w:val="1"/>
        </w:rPr>
        <w:t> </w:t>
      </w:r>
      <w:r>
        <w:rPr/>
        <w:t>that occurred</w:t>
      </w:r>
      <w:r>
        <w:rPr>
          <w:spacing w:val="-2"/>
        </w:rPr>
        <w:t> </w:t>
      </w:r>
      <w:r>
        <w:rPr/>
        <w:t>within</w:t>
      </w:r>
      <w:r>
        <w:rPr>
          <w:spacing w:val="-1"/>
        </w:rPr>
        <w:t> </w:t>
      </w:r>
      <w:r>
        <w:rPr/>
        <w:t>practices</w:t>
      </w:r>
      <w:r>
        <w:rPr>
          <w:spacing w:val="-2"/>
        </w:rPr>
        <w:t> </w:t>
      </w:r>
      <w:r>
        <w:rPr/>
        <w:t>from</w:t>
      </w:r>
      <w:r>
        <w:rPr>
          <w:spacing w:val="-2"/>
        </w:rPr>
        <w:t> </w:t>
      </w:r>
      <w:r>
        <w:rPr/>
        <w:t>prior</w:t>
      </w:r>
      <w:r>
        <w:rPr>
          <w:spacing w:val="-2"/>
        </w:rPr>
        <w:t> </w:t>
      </w:r>
      <w:r>
        <w:rPr/>
        <w:t>to</w:t>
      </w:r>
      <w:r>
        <w:rPr>
          <w:spacing w:val="-2"/>
        </w:rPr>
        <w:t> </w:t>
      </w:r>
      <w:r>
        <w:rPr/>
        <w:t>the</w:t>
      </w:r>
      <w:r>
        <w:rPr>
          <w:spacing w:val="-2"/>
        </w:rPr>
        <w:t> </w:t>
      </w:r>
      <w:r>
        <w:rPr/>
        <w:t>implementation</w:t>
      </w:r>
      <w:r>
        <w:rPr>
          <w:spacing w:val="-1"/>
        </w:rPr>
        <w:t> </w:t>
      </w:r>
      <w:r>
        <w:rPr/>
        <w:t>to</w:t>
      </w:r>
      <w:r>
        <w:rPr>
          <w:spacing w:val="-2"/>
        </w:rPr>
        <w:t> </w:t>
      </w:r>
      <w:r>
        <w:rPr/>
        <w:t>the</w:t>
      </w:r>
      <w:r>
        <w:rPr>
          <w:spacing w:val="-2"/>
        </w:rPr>
        <w:t> </w:t>
      </w:r>
      <w:r>
        <w:rPr/>
        <w:t>end</w:t>
      </w:r>
      <w:r>
        <w:rPr>
          <w:spacing w:val="-2"/>
        </w:rPr>
        <w:t> </w:t>
      </w:r>
      <w:r>
        <w:rPr/>
        <w:t>of</w:t>
      </w:r>
      <w:r>
        <w:rPr>
          <w:spacing w:val="4"/>
        </w:rPr>
        <w:t> </w:t>
      </w:r>
      <w:r>
        <w:rPr/>
        <w:t>the</w:t>
      </w:r>
      <w:r>
        <w:rPr>
          <w:spacing w:val="-2"/>
        </w:rPr>
        <w:t> </w:t>
      </w:r>
      <w:r>
        <w:rPr/>
        <w:t>trial.</w:t>
      </w:r>
    </w:p>
    <w:p>
      <w:pPr>
        <w:pStyle w:val="BodyText"/>
        <w:ind w:left="140"/>
      </w:pPr>
      <w:r>
        <w:rPr/>
        <w:t>Detailed</w:t>
      </w:r>
      <w:r>
        <w:rPr>
          <w:spacing w:val="-4"/>
        </w:rPr>
        <w:t> </w:t>
      </w:r>
      <w:r>
        <w:rPr/>
        <w:t>questions</w:t>
      </w:r>
      <w:r>
        <w:rPr>
          <w:spacing w:val="-3"/>
        </w:rPr>
        <w:t> </w:t>
      </w:r>
      <w:r>
        <w:rPr/>
        <w:t>for</w:t>
      </w:r>
      <w:r>
        <w:rPr>
          <w:spacing w:val="-3"/>
        </w:rPr>
        <w:t> </w:t>
      </w:r>
      <w:r>
        <w:rPr/>
        <w:t>key</w:t>
      </w:r>
      <w:r>
        <w:rPr>
          <w:spacing w:val="-4"/>
        </w:rPr>
        <w:t> </w:t>
      </w:r>
      <w:r>
        <w:rPr/>
        <w:t>question</w:t>
      </w:r>
      <w:r>
        <w:rPr>
          <w:spacing w:val="-2"/>
        </w:rPr>
        <w:t> </w:t>
      </w:r>
      <w:r>
        <w:rPr/>
        <w:t>2</w:t>
      </w:r>
      <w:r>
        <w:rPr>
          <w:spacing w:val="-3"/>
        </w:rPr>
        <w:t> </w:t>
      </w:r>
      <w:r>
        <w:rPr/>
        <w:t>are</w:t>
      </w:r>
      <w:r>
        <w:rPr>
          <w:spacing w:val="-3"/>
        </w:rPr>
        <w:t> </w:t>
      </w:r>
      <w:r>
        <w:rPr/>
        <w:t>shown</w:t>
      </w:r>
      <w:r>
        <w:rPr>
          <w:spacing w:val="1"/>
        </w:rPr>
        <w:t> </w:t>
      </w:r>
      <w:hyperlink w:history="true" w:anchor="_bookmark19">
        <w:r>
          <w:rPr/>
          <w:t>Table</w:t>
        </w:r>
        <w:r>
          <w:rPr>
            <w:spacing w:val="-2"/>
          </w:rPr>
          <w:t> </w:t>
        </w:r>
        <w:r>
          <w:rPr/>
          <w:t>5,</w:t>
        </w:r>
        <w:r>
          <w:rPr>
            <w:spacing w:val="-5"/>
          </w:rPr>
          <w:t> </w:t>
        </w:r>
      </w:hyperlink>
      <w:r>
        <w:rPr/>
        <w:t>together</w:t>
      </w:r>
      <w:r>
        <w:rPr>
          <w:spacing w:val="-3"/>
        </w:rPr>
        <w:t> </w:t>
      </w:r>
      <w:r>
        <w:rPr/>
        <w:t>with</w:t>
      </w:r>
      <w:r>
        <w:rPr>
          <w:spacing w:val="-2"/>
        </w:rPr>
        <w:t> </w:t>
      </w:r>
      <w:r>
        <w:rPr/>
        <w:t>associated</w:t>
      </w:r>
      <w:r>
        <w:rPr>
          <w:spacing w:val="-1"/>
        </w:rPr>
        <w:t> </w:t>
      </w:r>
      <w:r>
        <w:rPr/>
        <w:t>measures.</w:t>
      </w:r>
    </w:p>
    <w:p>
      <w:pPr>
        <w:pStyle w:val="BodyText"/>
        <w:spacing w:before="4"/>
        <w:rPr>
          <w:sz w:val="19"/>
        </w:rPr>
      </w:pPr>
    </w:p>
    <w:p>
      <w:pPr>
        <w:pStyle w:val="BodyText"/>
        <w:spacing w:line="276" w:lineRule="auto" w:before="1"/>
        <w:ind w:left="140" w:right="131"/>
      </w:pPr>
      <w:r>
        <w:rPr/>
        <w:t>Although chronic disease management is central to the HCH program, the assessment of</w:t>
      </w:r>
      <w:r>
        <w:rPr>
          <w:spacing w:val="1"/>
        </w:rPr>
        <w:t> </w:t>
      </w:r>
      <w:r>
        <w:rPr/>
        <w:t>change within practices should be broader, given that the patient centred medical home</w:t>
      </w:r>
      <w:r>
        <w:rPr>
          <w:spacing w:val="1"/>
        </w:rPr>
        <w:t> </w:t>
      </w:r>
      <w:r>
        <w:rPr/>
        <w:t>model is a practice-wide initiative. The evaluation should assess the maturity of participating</w:t>
      </w:r>
      <w:r>
        <w:rPr>
          <w:spacing w:val="1"/>
        </w:rPr>
        <w:t> </w:t>
      </w:r>
      <w:r>
        <w:rPr/>
        <w:t>practices on dimensions of the patient centred medical home model at the</w:t>
      </w:r>
      <w:r>
        <w:rPr>
          <w:spacing w:val="1"/>
        </w:rPr>
        <w:t> </w:t>
      </w:r>
      <w:r>
        <w:rPr/>
        <w:t>commencement of the HCH program (recognising that practices may have already</w:t>
      </w:r>
      <w:r>
        <w:rPr>
          <w:spacing w:val="1"/>
        </w:rPr>
        <w:t> </w:t>
      </w:r>
      <w:r>
        <w:rPr/>
        <w:t>incorporated some practices aligned with a patient centred medical home approach), and</w:t>
      </w:r>
      <w:r>
        <w:rPr>
          <w:spacing w:val="-53"/>
        </w:rPr>
        <w:t> </w:t>
      </w:r>
      <w:r>
        <w:rPr/>
        <w:t>how practices</w:t>
      </w:r>
      <w:r>
        <w:rPr>
          <w:spacing w:val="-1"/>
        </w:rPr>
        <w:t> </w:t>
      </w:r>
      <w:r>
        <w:rPr/>
        <w:t>change</w:t>
      </w:r>
      <w:r>
        <w:rPr>
          <w:spacing w:val="-2"/>
        </w:rPr>
        <w:t> </w:t>
      </w:r>
      <w:r>
        <w:rPr/>
        <w:t>on</w:t>
      </w:r>
      <w:r>
        <w:rPr>
          <w:spacing w:val="2"/>
        </w:rPr>
        <w:t> </w:t>
      </w:r>
      <w:r>
        <w:rPr/>
        <w:t>these</w:t>
      </w:r>
      <w:r>
        <w:rPr>
          <w:spacing w:val="-1"/>
        </w:rPr>
        <w:t> </w:t>
      </w:r>
      <w:r>
        <w:rPr/>
        <w:t>dimensions</w:t>
      </w:r>
      <w:r>
        <w:rPr>
          <w:spacing w:val="-1"/>
        </w:rPr>
        <w:t> </w:t>
      </w:r>
      <w:r>
        <w:rPr/>
        <w:t>by</w:t>
      </w:r>
      <w:r>
        <w:rPr>
          <w:spacing w:val="-2"/>
        </w:rPr>
        <w:t> </w:t>
      </w:r>
      <w:r>
        <w:rPr/>
        <w:t>the</w:t>
      </w:r>
      <w:r>
        <w:rPr>
          <w:spacing w:val="-1"/>
        </w:rPr>
        <w:t> </w:t>
      </w:r>
      <w:r>
        <w:rPr/>
        <w:t>end</w:t>
      </w:r>
      <w:r>
        <w:rPr>
          <w:spacing w:val="-2"/>
        </w:rPr>
        <w:t> </w:t>
      </w:r>
      <w:r>
        <w:rPr/>
        <w:t>of the</w:t>
      </w:r>
      <w:r>
        <w:rPr>
          <w:spacing w:val="-1"/>
        </w:rPr>
        <w:t> </w:t>
      </w:r>
      <w:r>
        <w:rPr/>
        <w:t>trial.</w:t>
      </w:r>
    </w:p>
    <w:p>
      <w:pPr>
        <w:pStyle w:val="BodyText"/>
        <w:spacing w:line="276" w:lineRule="auto" w:before="201"/>
        <w:ind w:left="140" w:right="47"/>
      </w:pPr>
      <w:r>
        <w:rPr/>
        <w:t>Prior</w:t>
      </w:r>
      <w:r>
        <w:rPr>
          <w:spacing w:val="-5"/>
        </w:rPr>
        <w:t> </w:t>
      </w:r>
      <w:r>
        <w:rPr/>
        <w:t>to</w:t>
      </w:r>
      <w:r>
        <w:rPr>
          <w:spacing w:val="-4"/>
        </w:rPr>
        <w:t> </w:t>
      </w:r>
      <w:r>
        <w:rPr/>
        <w:t>HCH,</w:t>
      </w:r>
      <w:r>
        <w:rPr>
          <w:spacing w:val="-6"/>
        </w:rPr>
        <w:t> </w:t>
      </w:r>
      <w:r>
        <w:rPr/>
        <w:t>practices</w:t>
      </w:r>
      <w:r>
        <w:rPr>
          <w:spacing w:val="-4"/>
        </w:rPr>
        <w:t> </w:t>
      </w:r>
      <w:r>
        <w:rPr/>
        <w:t>will</w:t>
      </w:r>
      <w:r>
        <w:rPr>
          <w:spacing w:val="-4"/>
        </w:rPr>
        <w:t> </w:t>
      </w:r>
      <w:r>
        <w:rPr/>
        <w:t>have</w:t>
      </w:r>
      <w:r>
        <w:rPr>
          <w:spacing w:val="-4"/>
        </w:rPr>
        <w:t> </w:t>
      </w:r>
      <w:r>
        <w:rPr/>
        <w:t>implemented</w:t>
      </w:r>
      <w:r>
        <w:rPr>
          <w:spacing w:val="-4"/>
        </w:rPr>
        <w:t> </w:t>
      </w:r>
      <w:r>
        <w:rPr/>
        <w:t>various</w:t>
      </w:r>
      <w:r>
        <w:rPr>
          <w:spacing w:val="-5"/>
        </w:rPr>
        <w:t> </w:t>
      </w:r>
      <w:r>
        <w:rPr/>
        <w:t>initiatives</w:t>
      </w:r>
      <w:r>
        <w:rPr>
          <w:spacing w:val="-4"/>
        </w:rPr>
        <w:t> </w:t>
      </w:r>
      <w:r>
        <w:rPr/>
        <w:t>for</w:t>
      </w:r>
      <w:r>
        <w:rPr>
          <w:spacing w:val="-4"/>
        </w:rPr>
        <w:t> </w:t>
      </w:r>
      <w:r>
        <w:rPr/>
        <w:t>improving</w:t>
      </w:r>
      <w:r>
        <w:rPr>
          <w:spacing w:val="-4"/>
        </w:rPr>
        <w:t> </w:t>
      </w:r>
      <w:r>
        <w:rPr/>
        <w:t>chronic</w:t>
      </w:r>
      <w:r>
        <w:rPr>
          <w:spacing w:val="-4"/>
        </w:rPr>
        <w:t> </w:t>
      </w:r>
      <w:r>
        <w:rPr/>
        <w:t>disease</w:t>
      </w:r>
      <w:r>
        <w:rPr>
          <w:spacing w:val="-52"/>
        </w:rPr>
        <w:t> </w:t>
      </w:r>
      <w:r>
        <w:rPr/>
        <w:t>management (as this was one of the criteria for selecting them to participate in HCH). It will</w:t>
      </w:r>
      <w:r>
        <w:rPr>
          <w:spacing w:val="1"/>
        </w:rPr>
        <w:t> </w:t>
      </w:r>
      <w:r>
        <w:rPr/>
        <w:t>be important to understand these initiatives, and how practices have leveraged and</w:t>
      </w:r>
      <w:r>
        <w:rPr>
          <w:spacing w:val="1"/>
        </w:rPr>
        <w:t> </w:t>
      </w:r>
      <w:r>
        <w:rPr/>
        <w:t>enhanced these during the HCH implementation. Similarly, an understanding of existing</w:t>
      </w:r>
      <w:r>
        <w:rPr>
          <w:spacing w:val="1"/>
        </w:rPr>
        <w:t> </w:t>
      </w:r>
      <w:r>
        <w:rPr/>
        <w:t>quality improvement initiatives within the practices is required. These also often encompass</w:t>
      </w:r>
      <w:r>
        <w:rPr>
          <w:spacing w:val="1"/>
        </w:rPr>
        <w:t> </w:t>
      </w:r>
      <w:r>
        <w:rPr/>
        <w:t>the</w:t>
      </w:r>
      <w:r>
        <w:rPr>
          <w:spacing w:val="-3"/>
        </w:rPr>
        <w:t> </w:t>
      </w:r>
      <w:r>
        <w:rPr/>
        <w:t>whole</w:t>
      </w:r>
      <w:r>
        <w:rPr>
          <w:spacing w:val="-3"/>
        </w:rPr>
        <w:t> </w:t>
      </w:r>
      <w:r>
        <w:rPr/>
        <w:t>patient</w:t>
      </w:r>
      <w:r>
        <w:rPr>
          <w:spacing w:val="-1"/>
        </w:rPr>
        <w:t> </w:t>
      </w:r>
      <w:r>
        <w:rPr/>
        <w:t>population</w:t>
      </w:r>
      <w:r>
        <w:rPr>
          <w:spacing w:val="-2"/>
        </w:rPr>
        <w:t> </w:t>
      </w:r>
      <w:r>
        <w:rPr/>
        <w:t>rather</w:t>
      </w:r>
      <w:r>
        <w:rPr>
          <w:spacing w:val="-3"/>
        </w:rPr>
        <w:t> </w:t>
      </w:r>
      <w:r>
        <w:rPr/>
        <w:t>than</w:t>
      </w:r>
      <w:r>
        <w:rPr>
          <w:spacing w:val="1"/>
        </w:rPr>
        <w:t> </w:t>
      </w:r>
      <w:r>
        <w:rPr/>
        <w:t>being</w:t>
      </w:r>
      <w:r>
        <w:rPr>
          <w:spacing w:val="-2"/>
        </w:rPr>
        <w:t> </w:t>
      </w:r>
      <w:r>
        <w:rPr/>
        <w:t>limited</w:t>
      </w:r>
      <w:r>
        <w:rPr>
          <w:spacing w:val="-3"/>
        </w:rPr>
        <w:t> </w:t>
      </w:r>
      <w:r>
        <w:rPr/>
        <w:t>to</w:t>
      </w:r>
      <w:r>
        <w:rPr>
          <w:spacing w:val="-2"/>
        </w:rPr>
        <w:t> </w:t>
      </w:r>
      <w:r>
        <w:rPr/>
        <w:t>patients</w:t>
      </w:r>
      <w:r>
        <w:rPr>
          <w:spacing w:val="-3"/>
        </w:rPr>
        <w:t> </w:t>
      </w:r>
      <w:r>
        <w:rPr/>
        <w:t>with</w:t>
      </w:r>
      <w:r>
        <w:rPr>
          <w:spacing w:val="-2"/>
        </w:rPr>
        <w:t> </w:t>
      </w:r>
      <w:r>
        <w:rPr/>
        <w:t>chronic</w:t>
      </w:r>
      <w:r>
        <w:rPr>
          <w:spacing w:val="-2"/>
        </w:rPr>
        <w:t> </w:t>
      </w:r>
      <w:r>
        <w:rPr/>
        <w:t>illnesses.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
        <w:rPr>
          <w:sz w:val="26"/>
        </w:rPr>
      </w:pPr>
      <w:r>
        <w:rPr/>
        <w:pict>
          <v:rect style="position:absolute;margin-left:70.584pt;margin-top:17.740606pt;width:454.27pt;height:.47998pt;mso-position-horizontal-relative:page;mso-position-vertical-relative:paragraph;z-index:-15723008;mso-wrap-distance-left:0;mso-wrap-distance-right:0" id="docshape46" filled="true" fillcolor="#d9d9d9" stroked="false">
            <v:fill type="solid"/>
            <w10:wrap type="topAndBottom"/>
          </v:rect>
        </w:pict>
      </w:r>
    </w:p>
    <w:p>
      <w:pPr>
        <w:spacing w:after="0"/>
        <w:rPr>
          <w:sz w:val="26"/>
        </w:rPr>
        <w:sectPr>
          <w:footerReference w:type="default" r:id="rId20"/>
          <w:pgSz w:w="11910" w:h="16840"/>
          <w:pgMar w:footer="727" w:header="0" w:top="1340" w:bottom="920" w:left="1300" w:right="1360"/>
        </w:sectPr>
      </w:pPr>
    </w:p>
    <w:p>
      <w:pPr>
        <w:pStyle w:val="BodyText"/>
        <w:spacing w:before="12"/>
        <w:rPr>
          <w:sz w:val="18"/>
        </w:rPr>
      </w:pPr>
    </w:p>
    <w:p>
      <w:pPr>
        <w:spacing w:before="100"/>
        <w:ind w:left="3603" w:right="3959" w:firstLine="0"/>
        <w:jc w:val="center"/>
        <w:rPr>
          <w:b/>
          <w:sz w:val="18"/>
        </w:rPr>
      </w:pPr>
      <w:bookmarkStart w:name="_bookmark19" w:id="20"/>
      <w:bookmarkEnd w:id="20"/>
      <w:r>
        <w:rPr/>
      </w:r>
      <w:r>
        <w:rPr>
          <w:b/>
          <w:sz w:val="18"/>
        </w:rPr>
        <w:t>Table</w:t>
      </w:r>
      <w:r>
        <w:rPr>
          <w:b/>
          <w:spacing w:val="-2"/>
          <w:sz w:val="18"/>
        </w:rPr>
        <w:t> </w:t>
      </w:r>
      <w:r>
        <w:rPr>
          <w:b/>
          <w:sz w:val="18"/>
        </w:rPr>
        <w:t>5</w:t>
      </w:r>
      <w:r>
        <w:rPr>
          <w:b/>
          <w:spacing w:val="-5"/>
          <w:sz w:val="18"/>
        </w:rPr>
        <w:t> </w:t>
      </w:r>
      <w:r>
        <w:rPr>
          <w:b/>
          <w:sz w:val="18"/>
        </w:rPr>
        <w:t>–</w:t>
      </w:r>
      <w:r>
        <w:rPr>
          <w:b/>
          <w:spacing w:val="-1"/>
          <w:sz w:val="18"/>
        </w:rPr>
        <w:t> </w:t>
      </w:r>
      <w:r>
        <w:rPr>
          <w:b/>
          <w:sz w:val="18"/>
        </w:rPr>
        <w:t>Detailed</w:t>
      </w:r>
      <w:r>
        <w:rPr>
          <w:b/>
          <w:spacing w:val="-1"/>
          <w:sz w:val="18"/>
        </w:rPr>
        <w:t> </w:t>
      </w:r>
      <w:r>
        <w:rPr>
          <w:b/>
          <w:sz w:val="18"/>
        </w:rPr>
        <w:t>evaluation</w:t>
      </w:r>
      <w:r>
        <w:rPr>
          <w:b/>
          <w:spacing w:val="-2"/>
          <w:sz w:val="18"/>
        </w:rPr>
        <w:t> </w:t>
      </w:r>
      <w:r>
        <w:rPr>
          <w:b/>
          <w:sz w:val="18"/>
        </w:rPr>
        <w:t>questions</w:t>
      </w:r>
      <w:r>
        <w:rPr>
          <w:b/>
          <w:spacing w:val="-2"/>
          <w:sz w:val="18"/>
        </w:rPr>
        <w:t> </w:t>
      </w:r>
      <w:r>
        <w:rPr>
          <w:b/>
          <w:sz w:val="18"/>
        </w:rPr>
        <w:t>and</w:t>
      </w:r>
      <w:r>
        <w:rPr>
          <w:b/>
          <w:spacing w:val="-1"/>
          <w:sz w:val="18"/>
        </w:rPr>
        <w:t> </w:t>
      </w:r>
      <w:r>
        <w:rPr>
          <w:b/>
          <w:sz w:val="18"/>
        </w:rPr>
        <w:t>measures</w:t>
      </w:r>
      <w:r>
        <w:rPr>
          <w:b/>
          <w:spacing w:val="-2"/>
          <w:sz w:val="18"/>
        </w:rPr>
        <w:t> </w:t>
      </w:r>
      <w:r>
        <w:rPr>
          <w:b/>
          <w:sz w:val="18"/>
        </w:rPr>
        <w:t>relating</w:t>
      </w:r>
      <w:r>
        <w:rPr>
          <w:b/>
          <w:spacing w:val="-1"/>
          <w:sz w:val="18"/>
        </w:rPr>
        <w:t> </w:t>
      </w:r>
      <w:r>
        <w:rPr>
          <w:b/>
          <w:sz w:val="18"/>
        </w:rPr>
        <w:t>to</w:t>
      </w:r>
      <w:r>
        <w:rPr>
          <w:b/>
          <w:spacing w:val="-3"/>
          <w:sz w:val="18"/>
        </w:rPr>
        <w:t> </w:t>
      </w:r>
      <w:r>
        <w:rPr>
          <w:b/>
          <w:sz w:val="18"/>
        </w:rPr>
        <w:t>Key</w:t>
      </w:r>
      <w:r>
        <w:rPr>
          <w:b/>
          <w:spacing w:val="-1"/>
          <w:sz w:val="18"/>
        </w:rPr>
        <w:t> </w:t>
      </w:r>
      <w:r>
        <w:rPr>
          <w:b/>
          <w:sz w:val="18"/>
        </w:rPr>
        <w:t>question</w:t>
      </w:r>
      <w:r>
        <w:rPr>
          <w:b/>
          <w:spacing w:val="-1"/>
          <w:sz w:val="18"/>
        </w:rPr>
        <w:t> </w:t>
      </w:r>
      <w:r>
        <w:rPr>
          <w:b/>
          <w:sz w:val="18"/>
        </w:rPr>
        <w:t>2</w:t>
      </w:r>
    </w:p>
    <w:p>
      <w:pPr>
        <w:pStyle w:val="BodyText"/>
        <w:spacing w:before="4"/>
        <w:rPr>
          <w:b/>
          <w:sz w:val="7"/>
        </w:rPr>
      </w:pPr>
    </w:p>
    <w:tbl>
      <w:tblPr>
        <w:tblW w:w="0" w:type="auto"/>
        <w:jc w:val="left"/>
        <w:tblInd w:w="11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5809"/>
        <w:gridCol w:w="6853"/>
        <w:gridCol w:w="324"/>
        <w:gridCol w:w="327"/>
        <w:gridCol w:w="324"/>
        <w:gridCol w:w="324"/>
        <w:gridCol w:w="326"/>
      </w:tblGrid>
      <w:tr>
        <w:trPr>
          <w:trHeight w:val="1509" w:hRule="atLeast"/>
        </w:trPr>
        <w:tc>
          <w:tcPr>
            <w:tcW w:w="5809" w:type="dxa"/>
            <w:shd w:val="clear" w:color="auto" w:fill="003C79"/>
          </w:tcPr>
          <w:p>
            <w:pPr>
              <w:pStyle w:val="TableParagraph"/>
              <w:rPr>
                <w:b/>
                <w:sz w:val="20"/>
              </w:rPr>
            </w:pPr>
          </w:p>
          <w:p>
            <w:pPr>
              <w:pStyle w:val="TableParagraph"/>
              <w:rPr>
                <w:b/>
                <w:sz w:val="20"/>
              </w:rPr>
            </w:pPr>
          </w:p>
          <w:p>
            <w:pPr>
              <w:pStyle w:val="TableParagraph"/>
              <w:spacing w:before="167"/>
              <w:ind w:left="1579"/>
              <w:rPr>
                <w:b/>
                <w:sz w:val="16"/>
              </w:rPr>
            </w:pPr>
            <w:r>
              <w:rPr>
                <w:b/>
                <w:color w:val="FFFFFF"/>
                <w:sz w:val="16"/>
              </w:rPr>
              <w:t>Key</w:t>
            </w:r>
            <w:r>
              <w:rPr>
                <w:b/>
                <w:color w:val="FFFFFF"/>
                <w:spacing w:val="-4"/>
                <w:sz w:val="16"/>
              </w:rPr>
              <w:t> </w:t>
            </w:r>
            <w:r>
              <w:rPr>
                <w:b/>
                <w:color w:val="FFFFFF"/>
                <w:sz w:val="16"/>
              </w:rPr>
              <w:t>question</w:t>
            </w:r>
            <w:r>
              <w:rPr>
                <w:b/>
                <w:color w:val="FFFFFF"/>
                <w:spacing w:val="-5"/>
                <w:sz w:val="16"/>
              </w:rPr>
              <w:t> </w:t>
            </w:r>
            <w:r>
              <w:rPr>
                <w:b/>
                <w:color w:val="FFFFFF"/>
                <w:sz w:val="16"/>
              </w:rPr>
              <w:t>2:</w:t>
            </w:r>
            <w:r>
              <w:rPr>
                <w:b/>
                <w:color w:val="FFFFFF"/>
                <w:spacing w:val="-2"/>
                <w:sz w:val="16"/>
              </w:rPr>
              <w:t> </w:t>
            </w:r>
            <w:r>
              <w:rPr>
                <w:b/>
                <w:color w:val="FFFFFF"/>
                <w:sz w:val="16"/>
              </w:rPr>
              <w:t>Detailed</w:t>
            </w:r>
            <w:r>
              <w:rPr>
                <w:b/>
                <w:color w:val="FFFFFF"/>
                <w:spacing w:val="-2"/>
                <w:sz w:val="16"/>
              </w:rPr>
              <w:t> </w:t>
            </w:r>
            <w:r>
              <w:rPr>
                <w:b/>
                <w:color w:val="FFFFFF"/>
                <w:sz w:val="16"/>
              </w:rPr>
              <w:t>questions</w:t>
            </w:r>
          </w:p>
        </w:tc>
        <w:tc>
          <w:tcPr>
            <w:tcW w:w="6853" w:type="dxa"/>
            <w:shd w:val="clear" w:color="auto" w:fill="003C79"/>
          </w:tcPr>
          <w:p>
            <w:pPr>
              <w:pStyle w:val="TableParagraph"/>
              <w:rPr>
                <w:b/>
                <w:sz w:val="20"/>
              </w:rPr>
            </w:pPr>
          </w:p>
          <w:p>
            <w:pPr>
              <w:pStyle w:val="TableParagraph"/>
              <w:rPr>
                <w:b/>
                <w:sz w:val="20"/>
              </w:rPr>
            </w:pPr>
          </w:p>
          <w:p>
            <w:pPr>
              <w:pStyle w:val="TableParagraph"/>
              <w:spacing w:before="167"/>
              <w:ind w:left="2424" w:right="2419"/>
              <w:jc w:val="center"/>
              <w:rPr>
                <w:b/>
                <w:sz w:val="16"/>
              </w:rPr>
            </w:pPr>
            <w:r>
              <w:rPr>
                <w:b/>
                <w:color w:val="FFFFFF"/>
                <w:sz w:val="16"/>
              </w:rPr>
              <w:t>Key</w:t>
            </w:r>
            <w:r>
              <w:rPr>
                <w:b/>
                <w:color w:val="FFFFFF"/>
                <w:spacing w:val="-4"/>
                <w:sz w:val="16"/>
              </w:rPr>
              <w:t> </w:t>
            </w:r>
            <w:r>
              <w:rPr>
                <w:b/>
                <w:color w:val="FFFFFF"/>
                <w:sz w:val="16"/>
              </w:rPr>
              <w:t>question</w:t>
            </w:r>
            <w:r>
              <w:rPr>
                <w:b/>
                <w:color w:val="FFFFFF"/>
                <w:spacing w:val="-4"/>
                <w:sz w:val="16"/>
              </w:rPr>
              <w:t> </w:t>
            </w:r>
            <w:r>
              <w:rPr>
                <w:b/>
                <w:color w:val="FFFFFF"/>
                <w:sz w:val="16"/>
              </w:rPr>
              <w:t>2:</w:t>
            </w:r>
            <w:r>
              <w:rPr>
                <w:b/>
                <w:color w:val="FFFFFF"/>
                <w:spacing w:val="-3"/>
                <w:sz w:val="16"/>
              </w:rPr>
              <w:t> </w:t>
            </w:r>
            <w:r>
              <w:rPr>
                <w:b/>
                <w:color w:val="FFFFFF"/>
                <w:sz w:val="16"/>
              </w:rPr>
              <w:t>Measures</w:t>
            </w:r>
          </w:p>
        </w:tc>
        <w:tc>
          <w:tcPr>
            <w:tcW w:w="324" w:type="dxa"/>
            <w:shd w:val="clear" w:color="auto" w:fill="003C79"/>
            <w:textDirection w:val="btLr"/>
          </w:tcPr>
          <w:p>
            <w:pPr>
              <w:pStyle w:val="TableParagraph"/>
              <w:spacing w:before="62"/>
              <w:ind w:left="503" w:right="504"/>
              <w:jc w:val="center"/>
              <w:rPr>
                <w:b/>
                <w:sz w:val="16"/>
              </w:rPr>
            </w:pPr>
            <w:r>
              <w:rPr>
                <w:b/>
                <w:color w:val="FFFFFF"/>
                <w:sz w:val="16"/>
              </w:rPr>
              <w:t>Inputs</w:t>
            </w:r>
          </w:p>
        </w:tc>
        <w:tc>
          <w:tcPr>
            <w:tcW w:w="327" w:type="dxa"/>
            <w:shd w:val="clear" w:color="auto" w:fill="003C79"/>
            <w:textDirection w:val="btLr"/>
          </w:tcPr>
          <w:p>
            <w:pPr>
              <w:pStyle w:val="TableParagraph"/>
              <w:spacing w:before="64"/>
              <w:ind w:left="407"/>
              <w:rPr>
                <w:b/>
                <w:sz w:val="16"/>
              </w:rPr>
            </w:pPr>
            <w:r>
              <w:rPr>
                <w:b/>
                <w:color w:val="FFFFFF"/>
                <w:sz w:val="16"/>
              </w:rPr>
              <w:t>Activities</w:t>
            </w:r>
          </w:p>
        </w:tc>
        <w:tc>
          <w:tcPr>
            <w:tcW w:w="324" w:type="dxa"/>
            <w:shd w:val="clear" w:color="auto" w:fill="003C79"/>
            <w:textDirection w:val="btLr"/>
          </w:tcPr>
          <w:p>
            <w:pPr>
              <w:pStyle w:val="TableParagraph"/>
              <w:spacing w:before="62"/>
              <w:ind w:left="455"/>
              <w:rPr>
                <w:b/>
                <w:sz w:val="16"/>
              </w:rPr>
            </w:pPr>
            <w:r>
              <w:rPr>
                <w:b/>
                <w:color w:val="FFFFFF"/>
                <w:sz w:val="16"/>
              </w:rPr>
              <w:t>Outputs</w:t>
            </w:r>
          </w:p>
        </w:tc>
        <w:tc>
          <w:tcPr>
            <w:tcW w:w="324" w:type="dxa"/>
            <w:shd w:val="clear" w:color="auto" w:fill="003C79"/>
            <w:textDirection w:val="btLr"/>
          </w:tcPr>
          <w:p>
            <w:pPr>
              <w:pStyle w:val="TableParagraph"/>
              <w:spacing w:before="64"/>
              <w:ind w:left="254"/>
              <w:rPr>
                <w:b/>
                <w:sz w:val="16"/>
              </w:rPr>
            </w:pPr>
            <w:r>
              <w:rPr>
                <w:b/>
                <w:color w:val="FFFFFF"/>
                <w:sz w:val="16"/>
              </w:rPr>
              <w:t>Outcomes</w:t>
            </w:r>
            <w:r>
              <w:rPr>
                <w:b/>
                <w:color w:val="FFFFFF"/>
                <w:spacing w:val="-2"/>
                <w:sz w:val="16"/>
              </w:rPr>
              <w:t> </w:t>
            </w:r>
            <w:r>
              <w:rPr>
                <w:b/>
                <w:color w:val="FFFFFF"/>
                <w:sz w:val="16"/>
              </w:rPr>
              <w:t>ST</w:t>
            </w:r>
          </w:p>
        </w:tc>
        <w:tc>
          <w:tcPr>
            <w:tcW w:w="326" w:type="dxa"/>
            <w:shd w:val="clear" w:color="auto" w:fill="003C79"/>
            <w:textDirection w:val="btLr"/>
          </w:tcPr>
          <w:p>
            <w:pPr>
              <w:pStyle w:val="TableParagraph"/>
              <w:spacing w:before="64"/>
              <w:ind w:left="222"/>
              <w:rPr>
                <w:b/>
                <w:sz w:val="16"/>
              </w:rPr>
            </w:pPr>
            <w:r>
              <w:rPr>
                <w:b/>
                <w:color w:val="FFFFFF"/>
                <w:sz w:val="16"/>
              </w:rPr>
              <w:t>Outcomes</w:t>
            </w:r>
            <w:r>
              <w:rPr>
                <w:b/>
                <w:color w:val="FFFFFF"/>
                <w:spacing w:val="-1"/>
                <w:sz w:val="16"/>
              </w:rPr>
              <w:t> </w:t>
            </w:r>
            <w:r>
              <w:rPr>
                <w:b/>
                <w:color w:val="FFFFFF"/>
                <w:sz w:val="16"/>
              </w:rPr>
              <w:t>MT</w:t>
            </w:r>
          </w:p>
        </w:tc>
      </w:tr>
      <w:tr>
        <w:trPr>
          <w:trHeight w:val="311" w:hRule="atLeast"/>
        </w:trPr>
        <w:tc>
          <w:tcPr>
            <w:tcW w:w="14287" w:type="dxa"/>
            <w:gridSpan w:val="7"/>
            <w:shd w:val="clear" w:color="auto" w:fill="F1F1F1"/>
          </w:tcPr>
          <w:p>
            <w:pPr>
              <w:pStyle w:val="TableParagraph"/>
              <w:spacing w:before="57"/>
              <w:ind w:left="57"/>
              <w:rPr>
                <w:b/>
                <w:sz w:val="16"/>
              </w:rPr>
            </w:pPr>
            <w:r>
              <w:rPr>
                <w:b/>
                <w:sz w:val="16"/>
              </w:rPr>
              <w:t>Level:</w:t>
            </w:r>
            <w:r>
              <w:rPr>
                <w:b/>
                <w:spacing w:val="-6"/>
                <w:sz w:val="16"/>
              </w:rPr>
              <w:t> </w:t>
            </w:r>
            <w:r>
              <w:rPr>
                <w:b/>
                <w:sz w:val="16"/>
              </w:rPr>
              <w:t>Practice</w:t>
            </w:r>
          </w:p>
        </w:tc>
      </w:tr>
      <w:tr>
        <w:trPr>
          <w:trHeight w:val="544" w:hRule="atLeast"/>
        </w:trPr>
        <w:tc>
          <w:tcPr>
            <w:tcW w:w="5809" w:type="dxa"/>
            <w:vMerge w:val="restart"/>
          </w:tcPr>
          <w:p>
            <w:pPr>
              <w:pStyle w:val="TableParagraph"/>
              <w:spacing w:line="264" w:lineRule="auto" w:before="55"/>
              <w:ind w:left="504" w:right="268" w:hanging="426"/>
              <w:rPr>
                <w:sz w:val="16"/>
              </w:rPr>
            </w:pPr>
            <w:r>
              <w:rPr>
                <w:sz w:val="16"/>
              </w:rPr>
              <w:t>2.01 What did practices do to implement HCH, and how did this differ</w:t>
            </w:r>
            <w:r>
              <w:rPr>
                <w:spacing w:val="1"/>
                <w:sz w:val="16"/>
              </w:rPr>
              <w:t> </w:t>
            </w:r>
            <w:r>
              <w:rPr>
                <w:sz w:val="16"/>
              </w:rPr>
              <w:t>between practices, including changes to policies, procedures,</w:t>
            </w:r>
            <w:r>
              <w:rPr>
                <w:spacing w:val="1"/>
                <w:sz w:val="16"/>
              </w:rPr>
              <w:t> </w:t>
            </w:r>
            <w:r>
              <w:rPr>
                <w:sz w:val="16"/>
              </w:rPr>
              <w:t>systems, administrative processes, changes to manage payment</w:t>
            </w:r>
            <w:r>
              <w:rPr>
                <w:spacing w:val="-42"/>
                <w:sz w:val="16"/>
              </w:rPr>
              <w:t> </w:t>
            </w:r>
            <w:r>
              <w:rPr>
                <w:sz w:val="16"/>
              </w:rPr>
              <w:t>for HCH patients, processes for risk stratification, and patient</w:t>
            </w:r>
            <w:r>
              <w:rPr>
                <w:spacing w:val="1"/>
                <w:sz w:val="16"/>
              </w:rPr>
              <w:t> </w:t>
            </w:r>
            <w:r>
              <w:rPr>
                <w:sz w:val="16"/>
              </w:rPr>
              <w:t>enrolment?</w:t>
            </w:r>
          </w:p>
        </w:tc>
        <w:tc>
          <w:tcPr>
            <w:tcW w:w="6853" w:type="dxa"/>
          </w:tcPr>
          <w:p>
            <w:pPr>
              <w:pStyle w:val="TableParagraph"/>
              <w:spacing w:line="264" w:lineRule="auto" w:before="55"/>
              <w:ind w:left="647" w:right="168" w:hanging="567"/>
              <w:rPr>
                <w:sz w:val="16"/>
              </w:rPr>
            </w:pPr>
            <w:r>
              <w:rPr>
                <w:sz w:val="16"/>
              </w:rPr>
              <w:t>2.01.01 Most frequent changes to policies, procedures and systems as a result of HCH</w:t>
            </w:r>
            <w:r>
              <w:rPr>
                <w:spacing w:val="-42"/>
                <w:sz w:val="16"/>
              </w:rPr>
              <w:t> </w:t>
            </w:r>
            <w:r>
              <w:rPr>
                <w:sz w:val="16"/>
              </w:rPr>
              <w:t>implementation</w:t>
            </w:r>
            <w:r>
              <w:rPr>
                <w:spacing w:val="-2"/>
                <w:sz w:val="16"/>
              </w:rPr>
              <w:t> </w:t>
            </w:r>
            <w:r>
              <w:rPr>
                <w:sz w:val="16"/>
              </w:rPr>
              <w:t>(together</w:t>
            </w:r>
            <w:r>
              <w:rPr>
                <w:spacing w:val="-4"/>
                <w:sz w:val="16"/>
              </w:rPr>
              <w:t> </w:t>
            </w:r>
            <w:r>
              <w:rPr>
                <w:sz w:val="16"/>
              </w:rPr>
              <w:t>with</w:t>
            </w:r>
            <w:r>
              <w:rPr>
                <w:spacing w:val="-4"/>
                <w:sz w:val="16"/>
              </w:rPr>
              <w:t> </w:t>
            </w:r>
            <w:r>
              <w:rPr>
                <w:sz w:val="16"/>
              </w:rPr>
              <w:t>descriptions).</w:t>
            </w:r>
          </w:p>
        </w:tc>
        <w:tc>
          <w:tcPr>
            <w:tcW w:w="324" w:type="dxa"/>
          </w:tcPr>
          <w:p>
            <w:pPr>
              <w:pStyle w:val="TableParagraph"/>
              <w:rPr>
                <w:rFonts w:ascii="Times New Roman"/>
                <w:sz w:val="16"/>
              </w:rPr>
            </w:pPr>
          </w:p>
        </w:tc>
        <w:tc>
          <w:tcPr>
            <w:tcW w:w="327" w:type="dxa"/>
          </w:tcPr>
          <w:p>
            <w:pPr>
              <w:pStyle w:val="TableParagraph"/>
              <w:spacing w:before="55"/>
              <w:ind w:right="88"/>
              <w:jc w:val="right"/>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760"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452" w:hanging="567"/>
              <w:rPr>
                <w:sz w:val="16"/>
              </w:rPr>
            </w:pPr>
            <w:r>
              <w:rPr>
                <w:sz w:val="16"/>
              </w:rPr>
              <w:t>2.01.02 Proportion of practices that reported changes to administrative processes</w:t>
            </w:r>
            <w:r>
              <w:rPr>
                <w:spacing w:val="-42"/>
                <w:sz w:val="16"/>
              </w:rPr>
              <w:t> </w:t>
            </w:r>
            <w:r>
              <w:rPr>
                <w:sz w:val="16"/>
              </w:rPr>
              <w:t>(grouped to categories) to manage payments as a result of HCH</w:t>
            </w:r>
            <w:r>
              <w:rPr>
                <w:spacing w:val="1"/>
                <w:sz w:val="16"/>
              </w:rPr>
              <w:t> </w:t>
            </w:r>
            <w:r>
              <w:rPr>
                <w:sz w:val="16"/>
              </w:rPr>
              <w:t>implementation</w:t>
            </w:r>
            <w:r>
              <w:rPr>
                <w:spacing w:val="-2"/>
                <w:sz w:val="16"/>
              </w:rPr>
              <w:t> </w:t>
            </w:r>
            <w:r>
              <w:rPr>
                <w:sz w:val="16"/>
              </w:rPr>
              <w:t>(together</w:t>
            </w:r>
            <w:r>
              <w:rPr>
                <w:spacing w:val="-2"/>
                <w:sz w:val="16"/>
              </w:rPr>
              <w:t> </w:t>
            </w:r>
            <w:r>
              <w:rPr>
                <w:sz w:val="16"/>
              </w:rPr>
              <w:t>with</w:t>
            </w:r>
            <w:r>
              <w:rPr>
                <w:spacing w:val="-5"/>
                <w:sz w:val="16"/>
              </w:rPr>
              <w:t> </w:t>
            </w:r>
            <w:r>
              <w:rPr>
                <w:sz w:val="16"/>
              </w:rPr>
              <w:t>descriptions</w:t>
            </w:r>
            <w:r>
              <w:rPr>
                <w:spacing w:val="-2"/>
                <w:sz w:val="16"/>
              </w:rPr>
              <w:t> </w:t>
            </w:r>
            <w:r>
              <w:rPr>
                <w:sz w:val="16"/>
              </w:rPr>
              <w:t>of</w:t>
            </w:r>
            <w:r>
              <w:rPr>
                <w:spacing w:val="-2"/>
                <w:sz w:val="16"/>
              </w:rPr>
              <w:t> </w:t>
            </w:r>
            <w:r>
              <w:rPr>
                <w:sz w:val="16"/>
              </w:rPr>
              <w:t>processes).</w:t>
            </w:r>
          </w:p>
        </w:tc>
        <w:tc>
          <w:tcPr>
            <w:tcW w:w="324" w:type="dxa"/>
          </w:tcPr>
          <w:p>
            <w:pPr>
              <w:pStyle w:val="TableParagraph"/>
              <w:rPr>
                <w:rFonts w:ascii="Times New Roman"/>
                <w:sz w:val="16"/>
              </w:rPr>
            </w:pPr>
          </w:p>
        </w:tc>
        <w:tc>
          <w:tcPr>
            <w:tcW w:w="327" w:type="dxa"/>
          </w:tcPr>
          <w:p>
            <w:pPr>
              <w:pStyle w:val="TableParagraph"/>
              <w:spacing w:before="6"/>
              <w:rPr>
                <w:b/>
                <w:sz w:val="20"/>
              </w:rPr>
            </w:pPr>
          </w:p>
          <w:p>
            <w:pPr>
              <w:pStyle w:val="TableParagraph"/>
              <w:ind w:right="88"/>
              <w:jc w:val="right"/>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762"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39" w:hanging="567"/>
              <w:rPr>
                <w:sz w:val="16"/>
              </w:rPr>
            </w:pPr>
            <w:r>
              <w:rPr>
                <w:sz w:val="16"/>
              </w:rPr>
              <w:t>2.01.03 Proportion of practices that reported undertaking activities (grouped to</w:t>
            </w:r>
            <w:r>
              <w:rPr>
                <w:spacing w:val="1"/>
                <w:sz w:val="16"/>
              </w:rPr>
              <w:t> </w:t>
            </w:r>
            <w:r>
              <w:rPr>
                <w:sz w:val="16"/>
              </w:rPr>
              <w:t>categories) for risk stratification and patient enrolment processes (together with</w:t>
            </w:r>
            <w:r>
              <w:rPr>
                <w:spacing w:val="-42"/>
                <w:sz w:val="16"/>
              </w:rPr>
              <w:t> </w:t>
            </w:r>
            <w:r>
              <w:rPr>
                <w:sz w:val="16"/>
              </w:rPr>
              <w:t>descriptions</w:t>
            </w:r>
            <w:r>
              <w:rPr>
                <w:spacing w:val="-3"/>
                <w:sz w:val="16"/>
              </w:rPr>
              <w:t> </w:t>
            </w:r>
            <w:r>
              <w:rPr>
                <w:sz w:val="16"/>
              </w:rPr>
              <w:t>of</w:t>
            </w:r>
            <w:r>
              <w:rPr>
                <w:spacing w:val="-1"/>
                <w:sz w:val="16"/>
              </w:rPr>
              <w:t> </w:t>
            </w:r>
            <w:r>
              <w:rPr>
                <w:sz w:val="16"/>
              </w:rPr>
              <w:t>processes).</w:t>
            </w:r>
          </w:p>
        </w:tc>
        <w:tc>
          <w:tcPr>
            <w:tcW w:w="324" w:type="dxa"/>
          </w:tcPr>
          <w:p>
            <w:pPr>
              <w:pStyle w:val="TableParagraph"/>
              <w:rPr>
                <w:rFonts w:ascii="Times New Roman"/>
                <w:sz w:val="16"/>
              </w:rPr>
            </w:pPr>
          </w:p>
        </w:tc>
        <w:tc>
          <w:tcPr>
            <w:tcW w:w="327" w:type="dxa"/>
          </w:tcPr>
          <w:p>
            <w:pPr>
              <w:pStyle w:val="TableParagraph"/>
              <w:spacing w:before="9"/>
              <w:rPr>
                <w:b/>
                <w:sz w:val="20"/>
              </w:rPr>
            </w:pPr>
          </w:p>
          <w:p>
            <w:pPr>
              <w:pStyle w:val="TableParagraph"/>
              <w:ind w:right="88"/>
              <w:jc w:val="right"/>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760" w:hRule="atLeast"/>
        </w:trPr>
        <w:tc>
          <w:tcPr>
            <w:tcW w:w="5809" w:type="dxa"/>
            <w:vMerge w:val="restart"/>
          </w:tcPr>
          <w:p>
            <w:pPr>
              <w:pStyle w:val="TableParagraph"/>
              <w:spacing w:line="264" w:lineRule="auto" w:before="57"/>
              <w:ind w:left="504" w:right="121" w:hanging="426"/>
              <w:rPr>
                <w:sz w:val="16"/>
              </w:rPr>
            </w:pPr>
            <w:r>
              <w:rPr>
                <w:sz w:val="16"/>
              </w:rPr>
              <w:t>2.02 How did practices approach provision of chronic disease care prior</w:t>
            </w:r>
            <w:r>
              <w:rPr>
                <w:spacing w:val="-42"/>
                <w:sz w:val="16"/>
              </w:rPr>
              <w:t> </w:t>
            </w:r>
            <w:r>
              <w:rPr>
                <w:sz w:val="16"/>
              </w:rPr>
              <w:t>to the implementation of HCH? What chronic disease</w:t>
            </w:r>
            <w:r>
              <w:rPr>
                <w:spacing w:val="1"/>
                <w:sz w:val="16"/>
              </w:rPr>
              <w:t> </w:t>
            </w:r>
            <w:r>
              <w:rPr>
                <w:sz w:val="16"/>
              </w:rPr>
              <w:t>management and quality improvement initiatives were in place</w:t>
            </w:r>
            <w:r>
              <w:rPr>
                <w:spacing w:val="1"/>
                <w:sz w:val="16"/>
              </w:rPr>
              <w:t> </w:t>
            </w:r>
            <w:r>
              <w:rPr>
                <w:sz w:val="16"/>
              </w:rPr>
              <w:t>within the practice at the commencement of the HCH program?</w:t>
            </w:r>
            <w:r>
              <w:rPr>
                <w:spacing w:val="1"/>
                <w:sz w:val="16"/>
              </w:rPr>
              <w:t> </w:t>
            </w:r>
            <w:r>
              <w:rPr>
                <w:sz w:val="16"/>
              </w:rPr>
              <w:t>Which of these were used and/or enhanced for the HCH</w:t>
            </w:r>
            <w:r>
              <w:rPr>
                <w:spacing w:val="1"/>
                <w:sz w:val="16"/>
              </w:rPr>
              <w:t> </w:t>
            </w:r>
            <w:r>
              <w:rPr>
                <w:sz w:val="16"/>
              </w:rPr>
              <w:t>implementation?</w:t>
            </w:r>
          </w:p>
        </w:tc>
        <w:tc>
          <w:tcPr>
            <w:tcW w:w="6853" w:type="dxa"/>
          </w:tcPr>
          <w:p>
            <w:pPr>
              <w:pStyle w:val="TableParagraph"/>
              <w:spacing w:line="264" w:lineRule="auto" w:before="57"/>
              <w:ind w:left="647" w:right="236" w:hanging="567"/>
              <w:rPr>
                <w:sz w:val="16"/>
              </w:rPr>
            </w:pPr>
            <w:r>
              <w:rPr>
                <w:sz w:val="16"/>
              </w:rPr>
              <w:t>2.02.01 Most frequent chronic disease management/quality improvement initiatives</w:t>
            </w:r>
            <w:r>
              <w:rPr>
                <w:spacing w:val="1"/>
                <w:sz w:val="16"/>
              </w:rPr>
              <w:t> </w:t>
            </w:r>
            <w:r>
              <w:rPr>
                <w:sz w:val="16"/>
              </w:rPr>
              <w:t>and processes that were a focus during the trial. Initiatives will be assigned to</w:t>
            </w:r>
            <w:r>
              <w:rPr>
                <w:spacing w:val="-42"/>
                <w:sz w:val="16"/>
              </w:rPr>
              <w:t> </w:t>
            </w:r>
            <w:r>
              <w:rPr>
                <w:sz w:val="16"/>
              </w:rPr>
              <w:t>categories</w:t>
            </w:r>
            <w:r>
              <w:rPr>
                <w:spacing w:val="-3"/>
                <w:sz w:val="16"/>
              </w:rPr>
              <w:t> </w:t>
            </w:r>
            <w:r>
              <w:rPr>
                <w:sz w:val="16"/>
              </w:rPr>
              <w:t>based</w:t>
            </w:r>
            <w:r>
              <w:rPr>
                <w:spacing w:val="-1"/>
                <w:sz w:val="16"/>
              </w:rPr>
              <w:t> </w:t>
            </w:r>
            <w:r>
              <w:rPr>
                <w:sz w:val="16"/>
              </w:rPr>
              <w:t>on</w:t>
            </w:r>
            <w:r>
              <w:rPr>
                <w:spacing w:val="-1"/>
                <w:sz w:val="16"/>
              </w:rPr>
              <w:t> </w:t>
            </w:r>
            <w:r>
              <w:rPr>
                <w:sz w:val="16"/>
              </w:rPr>
              <w:t>coding</w:t>
            </w:r>
            <w:r>
              <w:rPr>
                <w:spacing w:val="-3"/>
                <w:sz w:val="16"/>
              </w:rPr>
              <w:t> </w:t>
            </w:r>
            <w:r>
              <w:rPr>
                <w:sz w:val="16"/>
              </w:rPr>
              <w:t>of</w:t>
            </w:r>
            <w:r>
              <w:rPr>
                <w:spacing w:val="-1"/>
                <w:sz w:val="16"/>
              </w:rPr>
              <w:t> </w:t>
            </w:r>
            <w:r>
              <w:rPr>
                <w:sz w:val="16"/>
              </w:rPr>
              <w:t>textual</w:t>
            </w:r>
            <w:r>
              <w:rPr>
                <w:spacing w:val="2"/>
                <w:sz w:val="16"/>
              </w:rPr>
              <w:t> </w:t>
            </w:r>
            <w:r>
              <w:rPr>
                <w:sz w:val="16"/>
              </w:rPr>
              <w:t>descriptions.</w:t>
            </w:r>
          </w:p>
        </w:tc>
        <w:tc>
          <w:tcPr>
            <w:tcW w:w="324" w:type="dxa"/>
          </w:tcPr>
          <w:p>
            <w:pPr>
              <w:pStyle w:val="TableParagraph"/>
              <w:rPr>
                <w:rFonts w:ascii="Times New Roman"/>
                <w:sz w:val="16"/>
              </w:rPr>
            </w:pPr>
          </w:p>
        </w:tc>
        <w:tc>
          <w:tcPr>
            <w:tcW w:w="327" w:type="dxa"/>
          </w:tcPr>
          <w:p>
            <w:pPr>
              <w:pStyle w:val="TableParagraph"/>
              <w:spacing w:before="57"/>
              <w:ind w:right="88"/>
              <w:jc w:val="right"/>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638"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590" w:hanging="567"/>
              <w:rPr>
                <w:sz w:val="16"/>
              </w:rPr>
            </w:pPr>
            <w:r>
              <w:rPr>
                <w:sz w:val="16"/>
              </w:rPr>
              <w:t>2.02.02 Proportion of practices that reported focussing on specific categories of</w:t>
            </w:r>
            <w:r>
              <w:rPr>
                <w:spacing w:val="-42"/>
                <w:sz w:val="16"/>
              </w:rPr>
              <w:t> </w:t>
            </w:r>
            <w:r>
              <w:rPr>
                <w:sz w:val="16"/>
              </w:rPr>
              <w:t>chronic</w:t>
            </w:r>
            <w:r>
              <w:rPr>
                <w:spacing w:val="-3"/>
                <w:sz w:val="16"/>
              </w:rPr>
              <w:t> </w:t>
            </w:r>
            <w:r>
              <w:rPr>
                <w:sz w:val="16"/>
              </w:rPr>
              <w:t>disease</w:t>
            </w:r>
            <w:r>
              <w:rPr>
                <w:spacing w:val="-2"/>
                <w:sz w:val="16"/>
              </w:rPr>
              <w:t> </w:t>
            </w:r>
            <w:r>
              <w:rPr>
                <w:sz w:val="16"/>
              </w:rPr>
              <w:t>management/quality</w:t>
            </w:r>
            <w:r>
              <w:rPr>
                <w:spacing w:val="-4"/>
                <w:sz w:val="16"/>
              </w:rPr>
              <w:t> </w:t>
            </w:r>
            <w:r>
              <w:rPr>
                <w:sz w:val="16"/>
              </w:rPr>
              <w:t>improvement</w:t>
            </w:r>
            <w:r>
              <w:rPr>
                <w:spacing w:val="-4"/>
                <w:sz w:val="16"/>
              </w:rPr>
              <w:t> </w:t>
            </w:r>
            <w:r>
              <w:rPr>
                <w:sz w:val="16"/>
              </w:rPr>
              <w:t>initiatives.</w:t>
            </w:r>
          </w:p>
        </w:tc>
        <w:tc>
          <w:tcPr>
            <w:tcW w:w="324" w:type="dxa"/>
          </w:tcPr>
          <w:p>
            <w:pPr>
              <w:pStyle w:val="TableParagraph"/>
              <w:rPr>
                <w:rFonts w:ascii="Times New Roman"/>
                <w:sz w:val="16"/>
              </w:rPr>
            </w:pPr>
          </w:p>
        </w:tc>
        <w:tc>
          <w:tcPr>
            <w:tcW w:w="327" w:type="dxa"/>
          </w:tcPr>
          <w:p>
            <w:pPr>
              <w:pStyle w:val="TableParagraph"/>
              <w:spacing w:before="9"/>
              <w:rPr>
                <w:b/>
                <w:sz w:val="20"/>
              </w:rPr>
            </w:pPr>
          </w:p>
          <w:p>
            <w:pPr>
              <w:pStyle w:val="TableParagraph"/>
              <w:ind w:right="88"/>
              <w:jc w:val="right"/>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760" w:hRule="atLeast"/>
        </w:trPr>
        <w:tc>
          <w:tcPr>
            <w:tcW w:w="5809" w:type="dxa"/>
            <w:vMerge w:val="restart"/>
          </w:tcPr>
          <w:p>
            <w:pPr>
              <w:pStyle w:val="TableParagraph"/>
              <w:spacing w:line="264" w:lineRule="auto" w:before="57"/>
              <w:ind w:left="504" w:hanging="426"/>
              <w:rPr>
                <w:sz w:val="16"/>
              </w:rPr>
            </w:pPr>
            <w:r>
              <w:rPr>
                <w:sz w:val="16"/>
              </w:rPr>
              <w:t>2.03</w:t>
            </w:r>
            <w:r>
              <w:rPr>
                <w:spacing w:val="-2"/>
                <w:sz w:val="16"/>
              </w:rPr>
              <w:t> </w:t>
            </w:r>
            <w:r>
              <w:rPr>
                <w:sz w:val="16"/>
              </w:rPr>
              <w:t>How</w:t>
            </w:r>
            <w:r>
              <w:rPr>
                <w:spacing w:val="2"/>
                <w:sz w:val="16"/>
              </w:rPr>
              <w:t> </w:t>
            </w:r>
            <w:r>
              <w:rPr>
                <w:sz w:val="16"/>
              </w:rPr>
              <w:t>did</w:t>
            </w:r>
            <w:r>
              <w:rPr>
                <w:spacing w:val="-2"/>
                <w:sz w:val="16"/>
              </w:rPr>
              <w:t> </w:t>
            </w:r>
            <w:r>
              <w:rPr>
                <w:sz w:val="16"/>
              </w:rPr>
              <w:t>the</w:t>
            </w:r>
            <w:r>
              <w:rPr>
                <w:spacing w:val="-1"/>
                <w:sz w:val="16"/>
              </w:rPr>
              <w:t> </w:t>
            </w:r>
            <w:r>
              <w:rPr>
                <w:sz w:val="16"/>
              </w:rPr>
              <w:t>mix,</w:t>
            </w:r>
            <w:r>
              <w:rPr>
                <w:spacing w:val="-3"/>
                <w:sz w:val="16"/>
              </w:rPr>
              <w:t> </w:t>
            </w:r>
            <w:r>
              <w:rPr>
                <w:sz w:val="16"/>
              </w:rPr>
              <w:t>roles</w:t>
            </w:r>
            <w:r>
              <w:rPr>
                <w:spacing w:val="-3"/>
                <w:sz w:val="16"/>
              </w:rPr>
              <w:t> </w:t>
            </w:r>
            <w:r>
              <w:rPr>
                <w:sz w:val="16"/>
              </w:rPr>
              <w:t>and</w:t>
            </w:r>
            <w:r>
              <w:rPr>
                <w:spacing w:val="-3"/>
                <w:sz w:val="16"/>
              </w:rPr>
              <w:t> </w:t>
            </w:r>
            <w:r>
              <w:rPr>
                <w:sz w:val="16"/>
              </w:rPr>
              <w:t>activities</w:t>
            </w:r>
            <w:r>
              <w:rPr>
                <w:spacing w:val="-3"/>
                <w:sz w:val="16"/>
              </w:rPr>
              <w:t> </w:t>
            </w:r>
            <w:r>
              <w:rPr>
                <w:sz w:val="16"/>
              </w:rPr>
              <w:t>of</w:t>
            </w:r>
            <w:r>
              <w:rPr>
                <w:spacing w:val="-3"/>
                <w:sz w:val="16"/>
              </w:rPr>
              <w:t> </w:t>
            </w:r>
            <w:r>
              <w:rPr>
                <w:sz w:val="16"/>
              </w:rPr>
              <w:t>primary</w:t>
            </w:r>
            <w:r>
              <w:rPr>
                <w:spacing w:val="-2"/>
                <w:sz w:val="16"/>
              </w:rPr>
              <w:t> </w:t>
            </w:r>
            <w:r>
              <w:rPr>
                <w:sz w:val="16"/>
              </w:rPr>
              <w:t>health</w:t>
            </w:r>
            <w:r>
              <w:rPr>
                <w:spacing w:val="-2"/>
                <w:sz w:val="16"/>
              </w:rPr>
              <w:t> </w:t>
            </w:r>
            <w:r>
              <w:rPr>
                <w:sz w:val="16"/>
              </w:rPr>
              <w:t>care</w:t>
            </w:r>
            <w:r>
              <w:rPr>
                <w:spacing w:val="-3"/>
                <w:sz w:val="16"/>
              </w:rPr>
              <w:t> </w:t>
            </w:r>
            <w:r>
              <w:rPr>
                <w:sz w:val="16"/>
              </w:rPr>
              <w:t>staff</w:t>
            </w:r>
            <w:r>
              <w:rPr>
                <w:spacing w:val="-41"/>
                <w:sz w:val="16"/>
              </w:rPr>
              <w:t> </w:t>
            </w:r>
            <w:r>
              <w:rPr>
                <w:sz w:val="16"/>
              </w:rPr>
              <w:t>change</w:t>
            </w:r>
            <w:r>
              <w:rPr>
                <w:spacing w:val="1"/>
                <w:sz w:val="16"/>
              </w:rPr>
              <w:t> </w:t>
            </w:r>
            <w:r>
              <w:rPr>
                <w:sz w:val="16"/>
              </w:rPr>
              <w:t>following</w:t>
            </w:r>
            <w:r>
              <w:rPr>
                <w:spacing w:val="-3"/>
                <w:sz w:val="16"/>
              </w:rPr>
              <w:t> </w:t>
            </w:r>
            <w:r>
              <w:rPr>
                <w:sz w:val="16"/>
              </w:rPr>
              <w:t>the</w:t>
            </w:r>
            <w:r>
              <w:rPr>
                <w:spacing w:val="-1"/>
                <w:sz w:val="16"/>
              </w:rPr>
              <w:t> </w:t>
            </w:r>
            <w:r>
              <w:rPr>
                <w:sz w:val="16"/>
              </w:rPr>
              <w:t>HCH</w:t>
            </w:r>
            <w:r>
              <w:rPr>
                <w:spacing w:val="-1"/>
                <w:sz w:val="16"/>
              </w:rPr>
              <w:t> </w:t>
            </w:r>
            <w:r>
              <w:rPr>
                <w:sz w:val="16"/>
              </w:rPr>
              <w:t>program</w:t>
            </w:r>
            <w:r>
              <w:rPr>
                <w:spacing w:val="-4"/>
                <w:sz w:val="16"/>
              </w:rPr>
              <w:t> </w:t>
            </w:r>
            <w:r>
              <w:rPr>
                <w:sz w:val="16"/>
              </w:rPr>
              <w:t>implementation?</w:t>
            </w:r>
          </w:p>
        </w:tc>
        <w:tc>
          <w:tcPr>
            <w:tcW w:w="6853" w:type="dxa"/>
          </w:tcPr>
          <w:p>
            <w:pPr>
              <w:pStyle w:val="TableParagraph"/>
              <w:spacing w:line="264" w:lineRule="auto" w:before="57"/>
              <w:ind w:left="647" w:right="315" w:hanging="567"/>
              <w:rPr>
                <w:sz w:val="16"/>
              </w:rPr>
            </w:pPr>
            <w:r>
              <w:rPr>
                <w:sz w:val="16"/>
              </w:rPr>
              <w:t>2.03.01 Mean number of staff (head count and FTE) by staff type (GP, practice</w:t>
            </w:r>
            <w:r>
              <w:rPr>
                <w:spacing w:val="1"/>
                <w:sz w:val="16"/>
              </w:rPr>
              <w:t> </w:t>
            </w:r>
            <w:r>
              <w:rPr>
                <w:sz w:val="16"/>
              </w:rPr>
              <w:t>nurse/other nurse, nurse practitioner, allied health staff, Aboriginal Health</w:t>
            </w:r>
            <w:r>
              <w:rPr>
                <w:spacing w:val="1"/>
                <w:sz w:val="16"/>
              </w:rPr>
              <w:t> </w:t>
            </w:r>
            <w:r>
              <w:rPr>
                <w:sz w:val="16"/>
              </w:rPr>
              <w:t>Worker,</w:t>
            </w:r>
            <w:r>
              <w:rPr>
                <w:spacing w:val="-3"/>
                <w:sz w:val="16"/>
              </w:rPr>
              <w:t> </w:t>
            </w:r>
            <w:r>
              <w:rPr>
                <w:sz w:val="16"/>
              </w:rPr>
              <w:t>administrative</w:t>
            </w:r>
            <w:r>
              <w:rPr>
                <w:spacing w:val="-2"/>
                <w:sz w:val="16"/>
              </w:rPr>
              <w:t> </w:t>
            </w:r>
            <w:r>
              <w:rPr>
                <w:sz w:val="16"/>
              </w:rPr>
              <w:t>staff)</w:t>
            </w:r>
            <w:r>
              <w:rPr>
                <w:spacing w:val="-5"/>
                <w:sz w:val="16"/>
              </w:rPr>
              <w:t> </w:t>
            </w:r>
            <w:r>
              <w:rPr>
                <w:sz w:val="16"/>
              </w:rPr>
              <w:t>at</w:t>
            </w:r>
            <w:r>
              <w:rPr>
                <w:spacing w:val="-2"/>
                <w:sz w:val="16"/>
              </w:rPr>
              <w:t> </w:t>
            </w:r>
            <w:r>
              <w:rPr>
                <w:sz w:val="16"/>
              </w:rPr>
              <w:t>commencement</w:t>
            </w:r>
            <w:r>
              <w:rPr>
                <w:spacing w:val="-4"/>
                <w:sz w:val="16"/>
              </w:rPr>
              <w:t> </w:t>
            </w:r>
            <w:r>
              <w:rPr>
                <w:sz w:val="16"/>
              </w:rPr>
              <w:t>and</w:t>
            </w:r>
            <w:r>
              <w:rPr>
                <w:spacing w:val="1"/>
                <w:sz w:val="16"/>
              </w:rPr>
              <w:t> </w:t>
            </w:r>
            <w:r>
              <w:rPr>
                <w:sz w:val="16"/>
              </w:rPr>
              <w:t>at</w:t>
            </w:r>
            <w:r>
              <w:rPr>
                <w:spacing w:val="-2"/>
                <w:sz w:val="16"/>
              </w:rPr>
              <w:t> </w:t>
            </w:r>
            <w:r>
              <w:rPr>
                <w:sz w:val="16"/>
              </w:rPr>
              <w:t>the</w:t>
            </w:r>
            <w:r>
              <w:rPr>
                <w:spacing w:val="-2"/>
                <w:sz w:val="16"/>
              </w:rPr>
              <w:t> </w:t>
            </w:r>
            <w:r>
              <w:rPr>
                <w:sz w:val="16"/>
              </w:rPr>
              <w:t>end of</w:t>
            </w:r>
            <w:r>
              <w:rPr>
                <w:spacing w:val="-2"/>
                <w:sz w:val="16"/>
              </w:rPr>
              <w:t> </w:t>
            </w:r>
            <w:r>
              <w:rPr>
                <w:sz w:val="16"/>
              </w:rPr>
              <w:t>the</w:t>
            </w:r>
            <w:r>
              <w:rPr>
                <w:spacing w:val="-1"/>
                <w:sz w:val="16"/>
              </w:rPr>
              <w:t> </w:t>
            </w:r>
            <w:r>
              <w:rPr>
                <w:sz w:val="16"/>
              </w:rPr>
              <w:t>trial.</w:t>
            </w:r>
          </w:p>
        </w:tc>
        <w:tc>
          <w:tcPr>
            <w:tcW w:w="324" w:type="dxa"/>
          </w:tcPr>
          <w:p>
            <w:pPr>
              <w:pStyle w:val="TableParagraph"/>
              <w:spacing w:before="57"/>
              <w:ind w:left="98"/>
              <w:rPr>
                <w:rFonts w:ascii="Wingdings" w:hAnsi="Wingdings"/>
                <w:sz w:val="16"/>
              </w:rPr>
            </w:pPr>
            <w:r>
              <w:rPr>
                <w:rFonts w:ascii="Wingdings" w:hAnsi="Wingdings"/>
                <w:w w:val="100"/>
                <w:sz w:val="16"/>
              </w:rPr>
              <w:t></w:t>
            </w: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762"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362" w:hanging="567"/>
              <w:rPr>
                <w:sz w:val="16"/>
              </w:rPr>
            </w:pPr>
            <w:r>
              <w:rPr>
                <w:sz w:val="16"/>
              </w:rPr>
              <w:t>2.03.02 Proportion of practices that reported undertaking changes in staff roles</w:t>
            </w:r>
            <w:r>
              <w:rPr>
                <w:spacing w:val="1"/>
                <w:sz w:val="16"/>
              </w:rPr>
              <w:t> </w:t>
            </w:r>
            <w:r>
              <w:rPr>
                <w:sz w:val="16"/>
              </w:rPr>
              <w:t>(grouped to categories) following the HCH commencement (together with</w:t>
            </w:r>
            <w:r>
              <w:rPr>
                <w:spacing w:val="-42"/>
                <w:sz w:val="16"/>
              </w:rPr>
              <w:t> </w:t>
            </w:r>
            <w:r>
              <w:rPr>
                <w:sz w:val="16"/>
              </w:rPr>
              <w:t>descriptions</w:t>
            </w:r>
            <w:r>
              <w:rPr>
                <w:spacing w:val="-3"/>
                <w:sz w:val="16"/>
              </w:rPr>
              <w:t> </w:t>
            </w:r>
            <w:r>
              <w:rPr>
                <w:sz w:val="16"/>
              </w:rPr>
              <w:t>of</w:t>
            </w:r>
            <w:r>
              <w:rPr>
                <w:spacing w:val="1"/>
                <w:sz w:val="16"/>
              </w:rPr>
              <w:t> </w:t>
            </w:r>
            <w:r>
              <w:rPr>
                <w:sz w:val="16"/>
              </w:rPr>
              <w:t>changes).</w:t>
            </w:r>
          </w:p>
        </w:tc>
        <w:tc>
          <w:tcPr>
            <w:tcW w:w="324" w:type="dxa"/>
          </w:tcPr>
          <w:p>
            <w:pPr>
              <w:pStyle w:val="TableParagraph"/>
              <w:rPr>
                <w:rFonts w:ascii="Times New Roman"/>
                <w:sz w:val="16"/>
              </w:rPr>
            </w:pPr>
          </w:p>
        </w:tc>
        <w:tc>
          <w:tcPr>
            <w:tcW w:w="327" w:type="dxa"/>
          </w:tcPr>
          <w:p>
            <w:pPr>
              <w:pStyle w:val="TableParagraph"/>
              <w:spacing w:before="9"/>
              <w:rPr>
                <w:b/>
                <w:sz w:val="20"/>
              </w:rPr>
            </w:pPr>
          </w:p>
          <w:p>
            <w:pPr>
              <w:pStyle w:val="TableParagraph"/>
              <w:ind w:right="88"/>
              <w:jc w:val="right"/>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761" w:hRule="atLeast"/>
        </w:trPr>
        <w:tc>
          <w:tcPr>
            <w:tcW w:w="5809" w:type="dxa"/>
            <w:vMerge/>
            <w:tcBorders>
              <w:top w:val="nil"/>
            </w:tcBorders>
          </w:tcPr>
          <w:p>
            <w:pPr>
              <w:rPr>
                <w:sz w:val="2"/>
                <w:szCs w:val="2"/>
              </w:rPr>
            </w:pPr>
          </w:p>
        </w:tc>
        <w:tc>
          <w:tcPr>
            <w:tcW w:w="6853" w:type="dxa"/>
          </w:tcPr>
          <w:p>
            <w:pPr>
              <w:pStyle w:val="TableParagraph"/>
              <w:spacing w:line="264" w:lineRule="auto" w:before="58"/>
              <w:ind w:left="647" w:right="361" w:hanging="567"/>
              <w:jc w:val="both"/>
              <w:rPr>
                <w:sz w:val="16"/>
              </w:rPr>
            </w:pPr>
            <w:r>
              <w:rPr>
                <w:sz w:val="16"/>
              </w:rPr>
              <w:t>2.03.03 Proportion of practices that reported undertaking changes in staff activities</w:t>
            </w:r>
            <w:r>
              <w:rPr>
                <w:spacing w:val="-42"/>
                <w:sz w:val="16"/>
              </w:rPr>
              <w:t> </w:t>
            </w:r>
            <w:r>
              <w:rPr>
                <w:sz w:val="16"/>
              </w:rPr>
              <w:t>(grouped to categories) following the HCH commencement (together with</w:t>
            </w:r>
            <w:r>
              <w:rPr>
                <w:spacing w:val="-42"/>
                <w:sz w:val="16"/>
              </w:rPr>
              <w:t> </w:t>
            </w:r>
            <w:r>
              <w:rPr>
                <w:sz w:val="16"/>
              </w:rPr>
              <w:t>descriptions</w:t>
            </w:r>
            <w:r>
              <w:rPr>
                <w:spacing w:val="-3"/>
                <w:sz w:val="16"/>
              </w:rPr>
              <w:t> </w:t>
            </w:r>
            <w:r>
              <w:rPr>
                <w:sz w:val="16"/>
              </w:rPr>
              <w:t>of</w:t>
            </w:r>
            <w:r>
              <w:rPr>
                <w:spacing w:val="1"/>
                <w:sz w:val="16"/>
              </w:rPr>
              <w:t> </w:t>
            </w:r>
            <w:r>
              <w:rPr>
                <w:sz w:val="16"/>
              </w:rPr>
              <w:t>changes).</w:t>
            </w:r>
          </w:p>
        </w:tc>
        <w:tc>
          <w:tcPr>
            <w:tcW w:w="324" w:type="dxa"/>
          </w:tcPr>
          <w:p>
            <w:pPr>
              <w:pStyle w:val="TableParagraph"/>
              <w:rPr>
                <w:rFonts w:ascii="Times New Roman"/>
                <w:sz w:val="16"/>
              </w:rPr>
            </w:pPr>
          </w:p>
        </w:tc>
        <w:tc>
          <w:tcPr>
            <w:tcW w:w="327" w:type="dxa"/>
          </w:tcPr>
          <w:p>
            <w:pPr>
              <w:pStyle w:val="TableParagraph"/>
              <w:spacing w:before="7"/>
              <w:rPr>
                <w:b/>
                <w:sz w:val="20"/>
              </w:rPr>
            </w:pPr>
          </w:p>
          <w:p>
            <w:pPr>
              <w:pStyle w:val="TableParagraph"/>
              <w:ind w:right="88"/>
              <w:jc w:val="right"/>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762" w:hRule="atLeast"/>
        </w:trPr>
        <w:tc>
          <w:tcPr>
            <w:tcW w:w="5809" w:type="dxa"/>
          </w:tcPr>
          <w:p>
            <w:pPr>
              <w:pStyle w:val="TableParagraph"/>
              <w:spacing w:line="264" w:lineRule="auto" w:before="57"/>
              <w:ind w:left="504" w:right="146" w:hanging="426"/>
              <w:rPr>
                <w:sz w:val="16"/>
              </w:rPr>
            </w:pPr>
            <w:r>
              <w:rPr>
                <w:sz w:val="16"/>
              </w:rPr>
              <w:t>2.04 How did the relationship between the practice and other health</w:t>
            </w:r>
            <w:r>
              <w:rPr>
                <w:spacing w:val="1"/>
                <w:sz w:val="16"/>
              </w:rPr>
              <w:t> </w:t>
            </w:r>
            <w:r>
              <w:rPr>
                <w:sz w:val="16"/>
              </w:rPr>
              <w:t>care and service providers change during the HCH</w:t>
            </w:r>
            <w:r>
              <w:rPr>
                <w:spacing w:val="1"/>
                <w:sz w:val="16"/>
              </w:rPr>
              <w:t> </w:t>
            </w:r>
            <w:r>
              <w:rPr>
                <w:sz w:val="16"/>
              </w:rPr>
              <w:t>implementation?</w:t>
            </w:r>
            <w:r>
              <w:rPr>
                <w:spacing w:val="-3"/>
                <w:sz w:val="16"/>
              </w:rPr>
              <w:t> </w:t>
            </w:r>
            <w:r>
              <w:rPr>
                <w:sz w:val="16"/>
              </w:rPr>
              <w:t>Did</w:t>
            </w:r>
            <w:r>
              <w:rPr>
                <w:spacing w:val="-1"/>
                <w:sz w:val="16"/>
              </w:rPr>
              <w:t> </w:t>
            </w:r>
            <w:r>
              <w:rPr>
                <w:sz w:val="16"/>
              </w:rPr>
              <w:t>the</w:t>
            </w:r>
            <w:r>
              <w:rPr>
                <w:spacing w:val="-4"/>
                <w:sz w:val="16"/>
              </w:rPr>
              <w:t> </w:t>
            </w:r>
            <w:r>
              <w:rPr>
                <w:sz w:val="16"/>
              </w:rPr>
              <w:t>HCH</w:t>
            </w:r>
            <w:r>
              <w:rPr>
                <w:spacing w:val="-3"/>
                <w:sz w:val="16"/>
              </w:rPr>
              <w:t> </w:t>
            </w:r>
            <w:r>
              <w:rPr>
                <w:sz w:val="16"/>
              </w:rPr>
              <w:t>program</w:t>
            </w:r>
            <w:r>
              <w:rPr>
                <w:spacing w:val="-3"/>
                <w:sz w:val="16"/>
              </w:rPr>
              <w:t> </w:t>
            </w:r>
            <w:r>
              <w:rPr>
                <w:sz w:val="16"/>
              </w:rPr>
              <w:t>provide</w:t>
            </w:r>
            <w:r>
              <w:rPr>
                <w:spacing w:val="-3"/>
                <w:sz w:val="16"/>
              </w:rPr>
              <w:t> </w:t>
            </w:r>
            <w:r>
              <w:rPr>
                <w:sz w:val="16"/>
              </w:rPr>
              <w:t>opportunities</w:t>
            </w:r>
            <w:r>
              <w:rPr>
                <w:spacing w:val="-5"/>
                <w:sz w:val="16"/>
              </w:rPr>
              <w:t> </w:t>
            </w:r>
            <w:r>
              <w:rPr>
                <w:sz w:val="16"/>
              </w:rPr>
              <w:t>for</w:t>
            </w:r>
          </w:p>
        </w:tc>
        <w:tc>
          <w:tcPr>
            <w:tcW w:w="6853" w:type="dxa"/>
          </w:tcPr>
          <w:p>
            <w:pPr>
              <w:pStyle w:val="TableParagraph"/>
              <w:spacing w:line="264" w:lineRule="auto" w:before="57"/>
              <w:ind w:left="647" w:right="563" w:hanging="567"/>
              <w:rPr>
                <w:sz w:val="16"/>
              </w:rPr>
            </w:pPr>
            <w:r>
              <w:rPr>
                <w:sz w:val="16"/>
              </w:rPr>
              <w:t>2.04.01 Most frequent changes in care coordination reported by external health</w:t>
            </w:r>
            <w:r>
              <w:rPr>
                <w:spacing w:val="-42"/>
                <w:sz w:val="16"/>
              </w:rPr>
              <w:t> </w:t>
            </w:r>
            <w:r>
              <w:rPr>
                <w:sz w:val="16"/>
              </w:rPr>
              <w:t>service providers with which HCH practices interact (together with</w:t>
            </w:r>
            <w:r>
              <w:rPr>
                <w:spacing w:val="1"/>
                <w:sz w:val="16"/>
              </w:rPr>
              <w:t> </w:t>
            </w:r>
            <w:r>
              <w:rPr>
                <w:sz w:val="16"/>
              </w:rPr>
              <w:t>descriptions).</w:t>
            </w:r>
          </w:p>
        </w:tc>
        <w:tc>
          <w:tcPr>
            <w:tcW w:w="324" w:type="dxa"/>
          </w:tcPr>
          <w:p>
            <w:pPr>
              <w:pStyle w:val="TableParagraph"/>
              <w:rPr>
                <w:rFonts w:ascii="Times New Roman"/>
                <w:sz w:val="16"/>
              </w:rPr>
            </w:pPr>
          </w:p>
        </w:tc>
        <w:tc>
          <w:tcPr>
            <w:tcW w:w="327" w:type="dxa"/>
          </w:tcPr>
          <w:p>
            <w:pPr>
              <w:pStyle w:val="TableParagraph"/>
              <w:spacing w:before="57"/>
              <w:ind w:right="88"/>
              <w:jc w:val="right"/>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bl>
    <w:p>
      <w:pPr>
        <w:pStyle w:val="BodyText"/>
        <w:rPr>
          <w:b/>
        </w:rPr>
      </w:pPr>
    </w:p>
    <w:p>
      <w:pPr>
        <w:pStyle w:val="BodyText"/>
        <w:rPr>
          <w:b/>
        </w:rPr>
      </w:pPr>
    </w:p>
    <w:p>
      <w:pPr>
        <w:pStyle w:val="BodyText"/>
        <w:spacing w:before="4"/>
        <w:rPr>
          <w:b/>
          <w:sz w:val="19"/>
        </w:rPr>
      </w:pPr>
      <w:r>
        <w:rPr/>
        <w:pict>
          <v:rect style="position:absolute;margin-left:70.559998pt;margin-top:13.047705pt;width:700.92pt;height:.47998pt;mso-position-horizontal-relative:page;mso-position-vertical-relative:paragraph;z-index:-15722496;mso-wrap-distance-left:0;mso-wrap-distance-right:0" id="docshape49" filled="true" fillcolor="#d9d9d9" stroked="false">
            <v:fill type="solid"/>
            <w10:wrap type="topAndBottom"/>
          </v:rect>
        </w:pict>
      </w:r>
    </w:p>
    <w:p>
      <w:pPr>
        <w:spacing w:after="0"/>
        <w:rPr>
          <w:sz w:val="19"/>
        </w:rPr>
        <w:sectPr>
          <w:footerReference w:type="default" r:id="rId21"/>
          <w:pgSz w:w="16840" w:h="11910" w:orient="landscape"/>
          <w:pgMar w:footer="427" w:header="0" w:top="1100" w:bottom="620" w:left="1340" w:right="980"/>
          <w:pgNumType w:start="23"/>
        </w:sectPr>
      </w:pPr>
    </w:p>
    <w:p>
      <w:pPr>
        <w:pStyle w:val="BodyText"/>
        <w:spacing w:before="2" w:after="1"/>
        <w:rPr>
          <w:b/>
          <w:sz w:val="27"/>
        </w:rPr>
      </w:pPr>
    </w:p>
    <w:tbl>
      <w:tblPr>
        <w:tblW w:w="0" w:type="auto"/>
        <w:jc w:val="left"/>
        <w:tblInd w:w="11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5809"/>
        <w:gridCol w:w="6853"/>
        <w:gridCol w:w="324"/>
        <w:gridCol w:w="327"/>
        <w:gridCol w:w="324"/>
        <w:gridCol w:w="324"/>
        <w:gridCol w:w="326"/>
      </w:tblGrid>
      <w:tr>
        <w:trPr>
          <w:trHeight w:val="1509" w:hRule="atLeast"/>
        </w:trPr>
        <w:tc>
          <w:tcPr>
            <w:tcW w:w="5809" w:type="dxa"/>
            <w:shd w:val="clear" w:color="auto" w:fill="003C79"/>
          </w:tcPr>
          <w:p>
            <w:pPr>
              <w:pStyle w:val="TableParagraph"/>
              <w:rPr>
                <w:b/>
                <w:sz w:val="20"/>
              </w:rPr>
            </w:pPr>
          </w:p>
          <w:p>
            <w:pPr>
              <w:pStyle w:val="TableParagraph"/>
              <w:rPr>
                <w:b/>
                <w:sz w:val="20"/>
              </w:rPr>
            </w:pPr>
          </w:p>
          <w:p>
            <w:pPr>
              <w:pStyle w:val="TableParagraph"/>
              <w:spacing w:before="164"/>
              <w:ind w:left="1579"/>
              <w:rPr>
                <w:b/>
                <w:sz w:val="16"/>
              </w:rPr>
            </w:pPr>
            <w:r>
              <w:rPr>
                <w:b/>
                <w:color w:val="FFFFFF"/>
                <w:sz w:val="16"/>
              </w:rPr>
              <w:t>Key</w:t>
            </w:r>
            <w:r>
              <w:rPr>
                <w:b/>
                <w:color w:val="FFFFFF"/>
                <w:spacing w:val="-4"/>
                <w:sz w:val="16"/>
              </w:rPr>
              <w:t> </w:t>
            </w:r>
            <w:r>
              <w:rPr>
                <w:b/>
                <w:color w:val="FFFFFF"/>
                <w:sz w:val="16"/>
              </w:rPr>
              <w:t>question</w:t>
            </w:r>
            <w:r>
              <w:rPr>
                <w:b/>
                <w:color w:val="FFFFFF"/>
                <w:spacing w:val="-5"/>
                <w:sz w:val="16"/>
              </w:rPr>
              <w:t> </w:t>
            </w:r>
            <w:r>
              <w:rPr>
                <w:b/>
                <w:color w:val="FFFFFF"/>
                <w:sz w:val="16"/>
              </w:rPr>
              <w:t>2:</w:t>
            </w:r>
            <w:r>
              <w:rPr>
                <w:b/>
                <w:color w:val="FFFFFF"/>
                <w:spacing w:val="-2"/>
                <w:sz w:val="16"/>
              </w:rPr>
              <w:t> </w:t>
            </w:r>
            <w:r>
              <w:rPr>
                <w:b/>
                <w:color w:val="FFFFFF"/>
                <w:sz w:val="16"/>
              </w:rPr>
              <w:t>Detailed</w:t>
            </w:r>
            <w:r>
              <w:rPr>
                <w:b/>
                <w:color w:val="FFFFFF"/>
                <w:spacing w:val="-2"/>
                <w:sz w:val="16"/>
              </w:rPr>
              <w:t> </w:t>
            </w:r>
            <w:r>
              <w:rPr>
                <w:b/>
                <w:color w:val="FFFFFF"/>
                <w:sz w:val="16"/>
              </w:rPr>
              <w:t>questions</w:t>
            </w:r>
          </w:p>
        </w:tc>
        <w:tc>
          <w:tcPr>
            <w:tcW w:w="6853" w:type="dxa"/>
            <w:shd w:val="clear" w:color="auto" w:fill="003C79"/>
          </w:tcPr>
          <w:p>
            <w:pPr>
              <w:pStyle w:val="TableParagraph"/>
              <w:rPr>
                <w:b/>
                <w:sz w:val="20"/>
              </w:rPr>
            </w:pPr>
          </w:p>
          <w:p>
            <w:pPr>
              <w:pStyle w:val="TableParagraph"/>
              <w:rPr>
                <w:b/>
                <w:sz w:val="20"/>
              </w:rPr>
            </w:pPr>
          </w:p>
          <w:p>
            <w:pPr>
              <w:pStyle w:val="TableParagraph"/>
              <w:spacing w:before="164"/>
              <w:ind w:left="2424" w:right="2419"/>
              <w:jc w:val="center"/>
              <w:rPr>
                <w:b/>
                <w:sz w:val="16"/>
              </w:rPr>
            </w:pPr>
            <w:r>
              <w:rPr>
                <w:b/>
                <w:color w:val="FFFFFF"/>
                <w:sz w:val="16"/>
              </w:rPr>
              <w:t>Key</w:t>
            </w:r>
            <w:r>
              <w:rPr>
                <w:b/>
                <w:color w:val="FFFFFF"/>
                <w:spacing w:val="-4"/>
                <w:sz w:val="16"/>
              </w:rPr>
              <w:t> </w:t>
            </w:r>
            <w:r>
              <w:rPr>
                <w:b/>
                <w:color w:val="FFFFFF"/>
                <w:sz w:val="16"/>
              </w:rPr>
              <w:t>question</w:t>
            </w:r>
            <w:r>
              <w:rPr>
                <w:b/>
                <w:color w:val="FFFFFF"/>
                <w:spacing w:val="-4"/>
                <w:sz w:val="16"/>
              </w:rPr>
              <w:t> </w:t>
            </w:r>
            <w:r>
              <w:rPr>
                <w:b/>
                <w:color w:val="FFFFFF"/>
                <w:sz w:val="16"/>
              </w:rPr>
              <w:t>2:</w:t>
            </w:r>
            <w:r>
              <w:rPr>
                <w:b/>
                <w:color w:val="FFFFFF"/>
                <w:spacing w:val="-3"/>
                <w:sz w:val="16"/>
              </w:rPr>
              <w:t> </w:t>
            </w:r>
            <w:r>
              <w:rPr>
                <w:b/>
                <w:color w:val="FFFFFF"/>
                <w:sz w:val="16"/>
              </w:rPr>
              <w:t>Measures</w:t>
            </w:r>
          </w:p>
        </w:tc>
        <w:tc>
          <w:tcPr>
            <w:tcW w:w="324" w:type="dxa"/>
            <w:shd w:val="clear" w:color="auto" w:fill="003C79"/>
            <w:textDirection w:val="btLr"/>
          </w:tcPr>
          <w:p>
            <w:pPr>
              <w:pStyle w:val="TableParagraph"/>
              <w:spacing w:before="62"/>
              <w:ind w:left="503" w:right="504"/>
              <w:jc w:val="center"/>
              <w:rPr>
                <w:b/>
                <w:sz w:val="16"/>
              </w:rPr>
            </w:pPr>
            <w:r>
              <w:rPr>
                <w:b/>
                <w:color w:val="FFFFFF"/>
                <w:sz w:val="16"/>
              </w:rPr>
              <w:t>Inputs</w:t>
            </w:r>
          </w:p>
        </w:tc>
        <w:tc>
          <w:tcPr>
            <w:tcW w:w="327" w:type="dxa"/>
            <w:shd w:val="clear" w:color="auto" w:fill="003C79"/>
            <w:textDirection w:val="btLr"/>
          </w:tcPr>
          <w:p>
            <w:pPr>
              <w:pStyle w:val="TableParagraph"/>
              <w:spacing w:before="64"/>
              <w:ind w:left="407"/>
              <w:rPr>
                <w:b/>
                <w:sz w:val="16"/>
              </w:rPr>
            </w:pPr>
            <w:r>
              <w:rPr>
                <w:b/>
                <w:color w:val="FFFFFF"/>
                <w:sz w:val="16"/>
              </w:rPr>
              <w:t>Activities</w:t>
            </w:r>
          </w:p>
        </w:tc>
        <w:tc>
          <w:tcPr>
            <w:tcW w:w="324" w:type="dxa"/>
            <w:shd w:val="clear" w:color="auto" w:fill="003C79"/>
            <w:textDirection w:val="btLr"/>
          </w:tcPr>
          <w:p>
            <w:pPr>
              <w:pStyle w:val="TableParagraph"/>
              <w:spacing w:before="62"/>
              <w:ind w:left="455"/>
              <w:rPr>
                <w:b/>
                <w:sz w:val="16"/>
              </w:rPr>
            </w:pPr>
            <w:r>
              <w:rPr>
                <w:b/>
                <w:color w:val="FFFFFF"/>
                <w:sz w:val="16"/>
              </w:rPr>
              <w:t>Outputs</w:t>
            </w:r>
          </w:p>
        </w:tc>
        <w:tc>
          <w:tcPr>
            <w:tcW w:w="324" w:type="dxa"/>
            <w:shd w:val="clear" w:color="auto" w:fill="003C79"/>
            <w:textDirection w:val="btLr"/>
          </w:tcPr>
          <w:p>
            <w:pPr>
              <w:pStyle w:val="TableParagraph"/>
              <w:spacing w:before="64"/>
              <w:ind w:left="254"/>
              <w:rPr>
                <w:b/>
                <w:sz w:val="16"/>
              </w:rPr>
            </w:pPr>
            <w:r>
              <w:rPr>
                <w:b/>
                <w:color w:val="FFFFFF"/>
                <w:sz w:val="16"/>
              </w:rPr>
              <w:t>Outcomes</w:t>
            </w:r>
            <w:r>
              <w:rPr>
                <w:b/>
                <w:color w:val="FFFFFF"/>
                <w:spacing w:val="-2"/>
                <w:sz w:val="16"/>
              </w:rPr>
              <w:t> </w:t>
            </w:r>
            <w:r>
              <w:rPr>
                <w:b/>
                <w:color w:val="FFFFFF"/>
                <w:sz w:val="16"/>
              </w:rPr>
              <w:t>ST</w:t>
            </w:r>
          </w:p>
        </w:tc>
        <w:tc>
          <w:tcPr>
            <w:tcW w:w="326" w:type="dxa"/>
            <w:shd w:val="clear" w:color="auto" w:fill="003C79"/>
            <w:textDirection w:val="btLr"/>
          </w:tcPr>
          <w:p>
            <w:pPr>
              <w:pStyle w:val="TableParagraph"/>
              <w:spacing w:before="64"/>
              <w:ind w:left="222"/>
              <w:rPr>
                <w:b/>
                <w:sz w:val="16"/>
              </w:rPr>
            </w:pPr>
            <w:r>
              <w:rPr>
                <w:b/>
                <w:color w:val="FFFFFF"/>
                <w:sz w:val="16"/>
              </w:rPr>
              <w:t>Outcomes</w:t>
            </w:r>
            <w:r>
              <w:rPr>
                <w:b/>
                <w:color w:val="FFFFFF"/>
                <w:spacing w:val="-1"/>
                <w:sz w:val="16"/>
              </w:rPr>
              <w:t> </w:t>
            </w:r>
            <w:r>
              <w:rPr>
                <w:b/>
                <w:color w:val="FFFFFF"/>
                <w:sz w:val="16"/>
              </w:rPr>
              <w:t>MT</w:t>
            </w:r>
          </w:p>
        </w:tc>
      </w:tr>
      <w:tr>
        <w:trPr>
          <w:trHeight w:val="760" w:hRule="atLeast"/>
        </w:trPr>
        <w:tc>
          <w:tcPr>
            <w:tcW w:w="5809" w:type="dxa"/>
          </w:tcPr>
          <w:p>
            <w:pPr>
              <w:pStyle w:val="TableParagraph"/>
              <w:spacing w:line="264" w:lineRule="auto" w:before="57"/>
              <w:ind w:left="504" w:right="146"/>
              <w:rPr>
                <w:sz w:val="16"/>
              </w:rPr>
            </w:pPr>
            <w:r>
              <w:rPr>
                <w:sz w:val="16"/>
              </w:rPr>
              <w:t>better coordination of care, information sharing and</w:t>
            </w:r>
            <w:r>
              <w:rPr>
                <w:spacing w:val="1"/>
                <w:sz w:val="16"/>
              </w:rPr>
              <w:t> </w:t>
            </w:r>
            <w:r>
              <w:rPr>
                <w:sz w:val="16"/>
              </w:rPr>
              <w:t>communication</w:t>
            </w:r>
            <w:r>
              <w:rPr>
                <w:spacing w:val="-6"/>
                <w:sz w:val="16"/>
              </w:rPr>
              <w:t> </w:t>
            </w:r>
            <w:r>
              <w:rPr>
                <w:sz w:val="16"/>
              </w:rPr>
              <w:t>with</w:t>
            </w:r>
            <w:r>
              <w:rPr>
                <w:spacing w:val="-3"/>
                <w:sz w:val="16"/>
              </w:rPr>
              <w:t> </w:t>
            </w:r>
            <w:r>
              <w:rPr>
                <w:sz w:val="16"/>
              </w:rPr>
              <w:t>other</w:t>
            </w:r>
            <w:r>
              <w:rPr>
                <w:spacing w:val="-4"/>
                <w:sz w:val="16"/>
              </w:rPr>
              <w:t> </w:t>
            </w:r>
            <w:r>
              <w:rPr>
                <w:sz w:val="16"/>
              </w:rPr>
              <w:t>health</w:t>
            </w:r>
            <w:r>
              <w:rPr>
                <w:spacing w:val="-1"/>
                <w:sz w:val="16"/>
              </w:rPr>
              <w:t> </w:t>
            </w:r>
            <w:r>
              <w:rPr>
                <w:sz w:val="16"/>
              </w:rPr>
              <w:t>care</w:t>
            </w:r>
            <w:r>
              <w:rPr>
                <w:spacing w:val="-3"/>
                <w:sz w:val="16"/>
              </w:rPr>
              <w:t> </w:t>
            </w:r>
            <w:r>
              <w:rPr>
                <w:sz w:val="16"/>
              </w:rPr>
              <w:t>and</w:t>
            </w:r>
            <w:r>
              <w:rPr>
                <w:spacing w:val="-3"/>
                <w:sz w:val="16"/>
              </w:rPr>
              <w:t> </w:t>
            </w:r>
            <w:r>
              <w:rPr>
                <w:sz w:val="16"/>
              </w:rPr>
              <w:t>service</w:t>
            </w:r>
            <w:r>
              <w:rPr>
                <w:spacing w:val="-3"/>
                <w:sz w:val="16"/>
              </w:rPr>
              <w:t> </w:t>
            </w:r>
            <w:r>
              <w:rPr>
                <w:sz w:val="16"/>
              </w:rPr>
              <w:t>providers?</w:t>
            </w:r>
          </w:p>
        </w:tc>
        <w:tc>
          <w:tcPr>
            <w:tcW w:w="6853" w:type="dxa"/>
          </w:tcPr>
          <w:p>
            <w:pPr>
              <w:pStyle w:val="TableParagraph"/>
              <w:spacing w:line="264" w:lineRule="auto" w:before="57"/>
              <w:ind w:left="647" w:right="131" w:hanging="567"/>
              <w:rPr>
                <w:sz w:val="16"/>
              </w:rPr>
            </w:pPr>
            <w:r>
              <w:rPr>
                <w:sz w:val="16"/>
              </w:rPr>
              <w:t>2.04.02 Proportion of practices that reported changes in relationship between the</w:t>
            </w:r>
            <w:r>
              <w:rPr>
                <w:spacing w:val="1"/>
                <w:sz w:val="16"/>
              </w:rPr>
              <w:t> </w:t>
            </w:r>
            <w:r>
              <w:rPr>
                <w:sz w:val="16"/>
              </w:rPr>
              <w:t>practice and other health care and service providers (grouped to categories)</w:t>
            </w:r>
            <w:r>
              <w:rPr>
                <w:spacing w:val="-42"/>
                <w:sz w:val="16"/>
              </w:rPr>
              <w:t> </w:t>
            </w:r>
            <w:r>
              <w:rPr>
                <w:sz w:val="16"/>
              </w:rPr>
              <w:t>following</w:t>
            </w:r>
            <w:r>
              <w:rPr>
                <w:spacing w:val="-3"/>
                <w:sz w:val="16"/>
              </w:rPr>
              <w:t> </w:t>
            </w:r>
            <w:r>
              <w:rPr>
                <w:sz w:val="16"/>
              </w:rPr>
              <w:t>HCH</w:t>
            </w:r>
            <w:r>
              <w:rPr>
                <w:spacing w:val="-2"/>
                <w:sz w:val="16"/>
              </w:rPr>
              <w:t> </w:t>
            </w:r>
            <w:r>
              <w:rPr>
                <w:sz w:val="16"/>
              </w:rPr>
              <w:t>commencement</w:t>
            </w:r>
            <w:r>
              <w:rPr>
                <w:spacing w:val="-2"/>
                <w:sz w:val="16"/>
              </w:rPr>
              <w:t> </w:t>
            </w:r>
            <w:r>
              <w:rPr>
                <w:sz w:val="16"/>
              </w:rPr>
              <w:t>(together</w:t>
            </w:r>
            <w:r>
              <w:rPr>
                <w:spacing w:val="-5"/>
                <w:sz w:val="16"/>
              </w:rPr>
              <w:t> </w:t>
            </w:r>
            <w:r>
              <w:rPr>
                <w:sz w:val="16"/>
              </w:rPr>
              <w:t>with</w:t>
            </w:r>
            <w:r>
              <w:rPr>
                <w:spacing w:val="-1"/>
                <w:sz w:val="16"/>
              </w:rPr>
              <w:t> </w:t>
            </w:r>
            <w:r>
              <w:rPr>
                <w:sz w:val="16"/>
              </w:rPr>
              <w:t>descriptions</w:t>
            </w:r>
            <w:r>
              <w:rPr>
                <w:spacing w:val="-2"/>
                <w:sz w:val="16"/>
              </w:rPr>
              <w:t> </w:t>
            </w:r>
            <w:r>
              <w:rPr>
                <w:sz w:val="16"/>
              </w:rPr>
              <w:t>of changes).</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57"/>
              <w:ind w:left="100"/>
              <w:rPr>
                <w:rFonts w:ascii="Wingdings" w:hAnsi="Wingdings"/>
                <w:sz w:val="16"/>
              </w:rPr>
            </w:pPr>
            <w:r>
              <w:rPr>
                <w:rFonts w:ascii="Wingdings" w:hAnsi="Wingdings"/>
                <w:w w:val="100"/>
                <w:sz w:val="16"/>
              </w:rPr>
              <w:t></w:t>
            </w:r>
          </w:p>
        </w:tc>
        <w:tc>
          <w:tcPr>
            <w:tcW w:w="326" w:type="dxa"/>
          </w:tcPr>
          <w:p>
            <w:pPr>
              <w:pStyle w:val="TableParagraph"/>
              <w:rPr>
                <w:rFonts w:ascii="Times New Roman"/>
                <w:sz w:val="16"/>
              </w:rPr>
            </w:pPr>
          </w:p>
        </w:tc>
      </w:tr>
      <w:tr>
        <w:trPr>
          <w:trHeight w:val="979" w:hRule="atLeast"/>
        </w:trPr>
        <w:tc>
          <w:tcPr>
            <w:tcW w:w="5809" w:type="dxa"/>
          </w:tcPr>
          <w:p>
            <w:pPr>
              <w:pStyle w:val="TableParagraph"/>
              <w:spacing w:line="264" w:lineRule="auto" w:before="58"/>
              <w:ind w:left="504" w:right="146" w:hanging="426"/>
              <w:rPr>
                <w:sz w:val="16"/>
              </w:rPr>
            </w:pPr>
            <w:r>
              <w:rPr>
                <w:sz w:val="16"/>
              </w:rPr>
              <w:t>2.05 How did the additional flexibility associated with the bundled</w:t>
            </w:r>
            <w:r>
              <w:rPr>
                <w:spacing w:val="1"/>
                <w:sz w:val="16"/>
              </w:rPr>
              <w:t> </w:t>
            </w:r>
            <w:r>
              <w:rPr>
                <w:sz w:val="16"/>
              </w:rPr>
              <w:t>payment facilitate practice change? Was the value of the</w:t>
            </w:r>
            <w:r>
              <w:rPr>
                <w:spacing w:val="1"/>
                <w:sz w:val="16"/>
              </w:rPr>
              <w:t> </w:t>
            </w:r>
            <w:r>
              <w:rPr>
                <w:sz w:val="16"/>
              </w:rPr>
              <w:t>bundled</w:t>
            </w:r>
            <w:r>
              <w:rPr>
                <w:spacing w:val="-3"/>
                <w:sz w:val="16"/>
              </w:rPr>
              <w:t> </w:t>
            </w:r>
            <w:r>
              <w:rPr>
                <w:sz w:val="16"/>
              </w:rPr>
              <w:t>payment</w:t>
            </w:r>
            <w:r>
              <w:rPr>
                <w:spacing w:val="-3"/>
                <w:sz w:val="16"/>
              </w:rPr>
              <w:t> </w:t>
            </w:r>
            <w:r>
              <w:rPr>
                <w:sz w:val="16"/>
              </w:rPr>
              <w:t>sufficient</w:t>
            </w:r>
            <w:r>
              <w:rPr>
                <w:spacing w:val="-3"/>
                <w:sz w:val="16"/>
              </w:rPr>
              <w:t> </w:t>
            </w:r>
            <w:r>
              <w:rPr>
                <w:sz w:val="16"/>
              </w:rPr>
              <w:t>to</w:t>
            </w:r>
            <w:r>
              <w:rPr>
                <w:spacing w:val="-6"/>
                <w:sz w:val="16"/>
              </w:rPr>
              <w:t> </w:t>
            </w:r>
            <w:r>
              <w:rPr>
                <w:sz w:val="16"/>
              </w:rPr>
              <w:t>change the</w:t>
            </w:r>
            <w:r>
              <w:rPr>
                <w:spacing w:val="-5"/>
                <w:sz w:val="16"/>
              </w:rPr>
              <w:t> </w:t>
            </w:r>
            <w:r>
              <w:rPr>
                <w:sz w:val="16"/>
              </w:rPr>
              <w:t>way</w:t>
            </w:r>
            <w:r>
              <w:rPr>
                <w:spacing w:val="-3"/>
                <w:sz w:val="16"/>
              </w:rPr>
              <w:t> </w:t>
            </w:r>
            <w:r>
              <w:rPr>
                <w:sz w:val="16"/>
              </w:rPr>
              <w:t>practices</w:t>
            </w:r>
            <w:r>
              <w:rPr>
                <w:spacing w:val="-4"/>
                <w:sz w:val="16"/>
              </w:rPr>
              <w:t> </w:t>
            </w:r>
            <w:r>
              <w:rPr>
                <w:sz w:val="16"/>
              </w:rPr>
              <w:t>provide</w:t>
            </w:r>
            <w:r>
              <w:rPr>
                <w:spacing w:val="-41"/>
                <w:sz w:val="16"/>
              </w:rPr>
              <w:t> </w:t>
            </w:r>
            <w:r>
              <w:rPr>
                <w:sz w:val="16"/>
              </w:rPr>
              <w:t>chronic</w:t>
            </w:r>
            <w:r>
              <w:rPr>
                <w:spacing w:val="-3"/>
                <w:sz w:val="16"/>
              </w:rPr>
              <w:t> </w:t>
            </w:r>
            <w:r>
              <w:rPr>
                <w:sz w:val="16"/>
              </w:rPr>
              <w:t>disease</w:t>
            </w:r>
            <w:r>
              <w:rPr>
                <w:spacing w:val="2"/>
                <w:sz w:val="16"/>
              </w:rPr>
              <w:t> </w:t>
            </w:r>
            <w:r>
              <w:rPr>
                <w:sz w:val="16"/>
              </w:rPr>
              <w:t>care?</w:t>
            </w:r>
          </w:p>
        </w:tc>
        <w:tc>
          <w:tcPr>
            <w:tcW w:w="6853" w:type="dxa"/>
          </w:tcPr>
          <w:p>
            <w:pPr>
              <w:pStyle w:val="TableParagraph"/>
              <w:spacing w:line="264" w:lineRule="auto" w:before="58"/>
              <w:ind w:left="647" w:right="180" w:hanging="567"/>
              <w:rPr>
                <w:sz w:val="16"/>
              </w:rPr>
            </w:pPr>
            <w:r>
              <w:rPr>
                <w:sz w:val="16"/>
              </w:rPr>
              <w:t>2.05.01 Proportion of practices that reported undertaking specific changes (grouped</w:t>
            </w:r>
            <w:r>
              <w:rPr>
                <w:spacing w:val="-42"/>
                <w:sz w:val="16"/>
              </w:rPr>
              <w:t> </w:t>
            </w:r>
            <w:r>
              <w:rPr>
                <w:sz w:val="16"/>
              </w:rPr>
              <w:t>to categories) due to the additional flexibility that the bundled payment</w:t>
            </w:r>
            <w:r>
              <w:rPr>
                <w:spacing w:val="1"/>
                <w:sz w:val="16"/>
              </w:rPr>
              <w:t> </w:t>
            </w:r>
            <w:r>
              <w:rPr>
                <w:sz w:val="16"/>
              </w:rPr>
              <w:t>provided for the</w:t>
            </w:r>
            <w:r>
              <w:rPr>
                <w:spacing w:val="-2"/>
                <w:sz w:val="16"/>
              </w:rPr>
              <w:t> </w:t>
            </w:r>
            <w:r>
              <w:rPr>
                <w:sz w:val="16"/>
              </w:rPr>
              <w:t>practice</w:t>
            </w:r>
            <w:r>
              <w:rPr>
                <w:spacing w:val="-1"/>
                <w:sz w:val="16"/>
              </w:rPr>
              <w:t> </w:t>
            </w:r>
            <w:r>
              <w:rPr>
                <w:sz w:val="16"/>
              </w:rPr>
              <w:t>(together</w:t>
            </w:r>
            <w:r>
              <w:rPr>
                <w:spacing w:val="-3"/>
                <w:sz w:val="16"/>
              </w:rPr>
              <w:t> </w:t>
            </w:r>
            <w:r>
              <w:rPr>
                <w:sz w:val="16"/>
              </w:rPr>
              <w:t>with</w:t>
            </w:r>
            <w:r>
              <w:rPr>
                <w:spacing w:val="-2"/>
                <w:sz w:val="16"/>
              </w:rPr>
              <w:t> </w:t>
            </w:r>
            <w:r>
              <w:rPr>
                <w:sz w:val="16"/>
              </w:rPr>
              <w:t>descriptions</w:t>
            </w:r>
            <w:r>
              <w:rPr>
                <w:spacing w:val="-3"/>
                <w:sz w:val="16"/>
              </w:rPr>
              <w:t> </w:t>
            </w:r>
            <w:r>
              <w:rPr>
                <w:sz w:val="16"/>
              </w:rPr>
              <w:t>of</w:t>
            </w:r>
            <w:r>
              <w:rPr>
                <w:spacing w:val="-1"/>
                <w:sz w:val="16"/>
              </w:rPr>
              <w:t> </w:t>
            </w:r>
            <w:r>
              <w:rPr>
                <w:sz w:val="16"/>
              </w:rPr>
              <w:t>processes).</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58"/>
              <w:ind w:left="100"/>
              <w:rPr>
                <w:rFonts w:ascii="Wingdings" w:hAnsi="Wingdings"/>
                <w:sz w:val="16"/>
              </w:rPr>
            </w:pPr>
            <w:r>
              <w:rPr>
                <w:rFonts w:ascii="Wingdings" w:hAnsi="Wingdings"/>
                <w:w w:val="100"/>
                <w:sz w:val="16"/>
              </w:rPr>
              <w:t></w:t>
            </w:r>
          </w:p>
        </w:tc>
        <w:tc>
          <w:tcPr>
            <w:tcW w:w="326" w:type="dxa"/>
          </w:tcPr>
          <w:p>
            <w:pPr>
              <w:pStyle w:val="TableParagraph"/>
              <w:rPr>
                <w:rFonts w:ascii="Times New Roman"/>
                <w:sz w:val="16"/>
              </w:rPr>
            </w:pPr>
          </w:p>
        </w:tc>
      </w:tr>
      <w:tr>
        <w:trPr>
          <w:trHeight w:val="1408" w:hRule="atLeast"/>
        </w:trPr>
        <w:tc>
          <w:tcPr>
            <w:tcW w:w="5809" w:type="dxa"/>
            <w:vMerge w:val="restart"/>
          </w:tcPr>
          <w:p>
            <w:pPr>
              <w:pStyle w:val="TableParagraph"/>
              <w:spacing w:line="261" w:lineRule="auto" w:before="57"/>
              <w:ind w:left="504" w:right="777" w:hanging="426"/>
              <w:rPr>
                <w:sz w:val="16"/>
              </w:rPr>
            </w:pPr>
            <w:r>
              <w:rPr>
                <w:sz w:val="16"/>
              </w:rPr>
              <w:t>2.06 How did practices change from prior to the HCH program</w:t>
            </w:r>
            <w:r>
              <w:rPr>
                <w:spacing w:val="1"/>
                <w:sz w:val="16"/>
              </w:rPr>
              <w:t> </w:t>
            </w:r>
            <w:r>
              <w:rPr>
                <w:sz w:val="16"/>
              </w:rPr>
              <w:t>implementation to the end of the trial in implementing the</w:t>
            </w:r>
            <w:r>
              <w:rPr>
                <w:spacing w:val="-42"/>
                <w:sz w:val="16"/>
              </w:rPr>
              <w:t> </w:t>
            </w:r>
            <w:r>
              <w:rPr>
                <w:sz w:val="16"/>
              </w:rPr>
              <w:t>dimensions</w:t>
            </w:r>
            <w:r>
              <w:rPr>
                <w:spacing w:val="-3"/>
                <w:sz w:val="16"/>
              </w:rPr>
              <w:t> </w:t>
            </w:r>
            <w:r>
              <w:rPr>
                <w:sz w:val="16"/>
              </w:rPr>
              <w:t>of</w:t>
            </w:r>
            <w:r>
              <w:rPr>
                <w:spacing w:val="-2"/>
                <w:sz w:val="16"/>
              </w:rPr>
              <w:t> </w:t>
            </w:r>
            <w:r>
              <w:rPr>
                <w:sz w:val="16"/>
              </w:rPr>
              <w:t>the patient</w:t>
            </w:r>
            <w:r>
              <w:rPr>
                <w:spacing w:val="-1"/>
                <w:sz w:val="16"/>
              </w:rPr>
              <w:t> </w:t>
            </w:r>
            <w:r>
              <w:rPr>
                <w:sz w:val="16"/>
              </w:rPr>
              <w:t>centred</w:t>
            </w:r>
            <w:r>
              <w:rPr>
                <w:spacing w:val="-2"/>
                <w:sz w:val="16"/>
              </w:rPr>
              <w:t> </w:t>
            </w:r>
            <w:r>
              <w:rPr>
                <w:sz w:val="16"/>
              </w:rPr>
              <w:t>medical</w:t>
            </w:r>
            <w:r>
              <w:rPr>
                <w:spacing w:val="-1"/>
                <w:sz w:val="16"/>
              </w:rPr>
              <w:t> </w:t>
            </w:r>
            <w:r>
              <w:rPr>
                <w:sz w:val="16"/>
              </w:rPr>
              <w:t>home?</w:t>
            </w:r>
          </w:p>
        </w:tc>
        <w:tc>
          <w:tcPr>
            <w:tcW w:w="6853" w:type="dxa"/>
          </w:tcPr>
          <w:p>
            <w:pPr>
              <w:pStyle w:val="TableParagraph"/>
              <w:spacing w:line="264" w:lineRule="auto" w:before="57"/>
              <w:ind w:left="647" w:right="60" w:hanging="567"/>
              <w:rPr>
                <w:sz w:val="16"/>
              </w:rPr>
            </w:pPr>
            <w:r>
              <w:rPr>
                <w:sz w:val="16"/>
              </w:rPr>
              <w:t>2.06.01 Proportion of practices with improved overall score, scores on each dimension,</w:t>
            </w:r>
            <w:r>
              <w:rPr>
                <w:spacing w:val="-42"/>
                <w:sz w:val="16"/>
              </w:rPr>
              <w:t> </w:t>
            </w:r>
            <w:r>
              <w:rPr>
                <w:sz w:val="16"/>
              </w:rPr>
              <w:t>and scores for individual items, on the HCH-A tool, from between HCH</w:t>
            </w:r>
            <w:r>
              <w:rPr>
                <w:spacing w:val="1"/>
                <w:sz w:val="16"/>
              </w:rPr>
              <w:t> </w:t>
            </w:r>
            <w:r>
              <w:rPr>
                <w:sz w:val="16"/>
              </w:rPr>
              <w:t>commencement and at the end of the trial. (Change in mean scores will also</w:t>
            </w:r>
            <w:r>
              <w:rPr>
                <w:spacing w:val="1"/>
                <w:sz w:val="16"/>
              </w:rPr>
              <w:t> </w:t>
            </w:r>
            <w:r>
              <w:rPr>
                <w:sz w:val="16"/>
              </w:rPr>
              <w:t>be analysed.) The following dimensions will be highlighted in the analysis:</w:t>
            </w:r>
            <w:r>
              <w:rPr>
                <w:spacing w:val="1"/>
                <w:sz w:val="16"/>
              </w:rPr>
              <w:t> </w:t>
            </w:r>
            <w:r>
              <w:rPr>
                <w:sz w:val="16"/>
              </w:rPr>
              <w:t>organised/evidence based care, continuous and team based healing</w:t>
            </w:r>
            <w:r>
              <w:rPr>
                <w:spacing w:val="1"/>
                <w:sz w:val="16"/>
              </w:rPr>
              <w:t> </w:t>
            </w:r>
            <w:r>
              <w:rPr>
                <w:sz w:val="16"/>
              </w:rPr>
              <w:t>relationships,</w:t>
            </w:r>
            <w:r>
              <w:rPr>
                <w:spacing w:val="-3"/>
                <w:sz w:val="16"/>
              </w:rPr>
              <w:t> </w:t>
            </w:r>
            <w:r>
              <w:rPr>
                <w:sz w:val="16"/>
              </w:rPr>
              <w:t>patient</w:t>
            </w:r>
            <w:r>
              <w:rPr>
                <w:spacing w:val="-1"/>
                <w:sz w:val="16"/>
              </w:rPr>
              <w:t> </w:t>
            </w:r>
            <w:r>
              <w:rPr>
                <w:sz w:val="16"/>
              </w:rPr>
              <w:t>centred</w:t>
            </w:r>
            <w:r>
              <w:rPr>
                <w:spacing w:val="-1"/>
                <w:sz w:val="16"/>
              </w:rPr>
              <w:t> </w:t>
            </w:r>
            <w:r>
              <w:rPr>
                <w:sz w:val="16"/>
              </w:rPr>
              <w:t>interactions,</w:t>
            </w:r>
            <w:r>
              <w:rPr>
                <w:spacing w:val="-3"/>
                <w:sz w:val="16"/>
              </w:rPr>
              <w:t> </w:t>
            </w:r>
            <w:r>
              <w:rPr>
                <w:sz w:val="16"/>
              </w:rPr>
              <w:t>and</w:t>
            </w:r>
            <w:r>
              <w:rPr>
                <w:spacing w:val="-2"/>
                <w:sz w:val="16"/>
              </w:rPr>
              <w:t> </w:t>
            </w:r>
            <w:r>
              <w:rPr>
                <w:sz w:val="16"/>
              </w:rPr>
              <w:t>care</w:t>
            </w:r>
            <w:r>
              <w:rPr>
                <w:spacing w:val="2"/>
                <w:sz w:val="16"/>
              </w:rPr>
              <w:t> </w:t>
            </w:r>
            <w:r>
              <w:rPr>
                <w:sz w:val="16"/>
              </w:rPr>
              <w:t>coordination.</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57"/>
              <w:ind w:left="100"/>
              <w:rPr>
                <w:rFonts w:ascii="Wingdings" w:hAnsi="Wingdings"/>
                <w:sz w:val="16"/>
              </w:rPr>
            </w:pPr>
            <w:r>
              <w:rPr>
                <w:rFonts w:ascii="Wingdings" w:hAnsi="Wingdings"/>
                <w:w w:val="100"/>
                <w:sz w:val="16"/>
              </w:rPr>
              <w:t></w:t>
            </w:r>
          </w:p>
        </w:tc>
        <w:tc>
          <w:tcPr>
            <w:tcW w:w="326" w:type="dxa"/>
          </w:tcPr>
          <w:p>
            <w:pPr>
              <w:pStyle w:val="TableParagraph"/>
              <w:rPr>
                <w:rFonts w:ascii="Times New Roman"/>
                <w:sz w:val="16"/>
              </w:rPr>
            </w:pPr>
          </w:p>
        </w:tc>
      </w:tr>
      <w:tr>
        <w:trPr>
          <w:trHeight w:val="544"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70" w:hanging="567"/>
              <w:rPr>
                <w:sz w:val="16"/>
              </w:rPr>
            </w:pPr>
            <w:r>
              <w:rPr>
                <w:sz w:val="16"/>
              </w:rPr>
              <w:t>2.06.02 Change between HCH program commencement and at the end of the trial in</w:t>
            </w:r>
            <w:r>
              <w:rPr>
                <w:spacing w:val="-42"/>
                <w:sz w:val="16"/>
              </w:rPr>
              <w:t> </w:t>
            </w:r>
            <w:r>
              <w:rPr>
                <w:sz w:val="16"/>
              </w:rPr>
              <w:t>the</w:t>
            </w:r>
            <w:r>
              <w:rPr>
                <w:spacing w:val="1"/>
                <w:sz w:val="16"/>
              </w:rPr>
              <w:t> </w:t>
            </w:r>
            <w:r>
              <w:rPr>
                <w:sz w:val="16"/>
              </w:rPr>
              <w:t>proportion</w:t>
            </w:r>
            <w:r>
              <w:rPr>
                <w:spacing w:val="-1"/>
                <w:sz w:val="16"/>
              </w:rPr>
              <w:t> </w:t>
            </w:r>
            <w:r>
              <w:rPr>
                <w:sz w:val="16"/>
              </w:rPr>
              <w:t>of</w:t>
            </w:r>
            <w:r>
              <w:rPr>
                <w:spacing w:val="-2"/>
                <w:sz w:val="16"/>
              </w:rPr>
              <w:t> </w:t>
            </w:r>
            <w:r>
              <w:rPr>
                <w:sz w:val="16"/>
              </w:rPr>
              <w:t>practices</w:t>
            </w:r>
            <w:r>
              <w:rPr>
                <w:spacing w:val="-2"/>
                <w:sz w:val="16"/>
              </w:rPr>
              <w:t> </w:t>
            </w:r>
            <w:r>
              <w:rPr>
                <w:sz w:val="16"/>
              </w:rPr>
              <w:t>by</w:t>
            </w:r>
            <w:r>
              <w:rPr>
                <w:spacing w:val="-2"/>
                <w:sz w:val="16"/>
              </w:rPr>
              <w:t> </w:t>
            </w:r>
            <w:r>
              <w:rPr>
                <w:sz w:val="16"/>
              </w:rPr>
              <w:t>after-hours</w:t>
            </w:r>
            <w:r>
              <w:rPr>
                <w:spacing w:val="-2"/>
                <w:sz w:val="16"/>
              </w:rPr>
              <w:t> </w:t>
            </w:r>
            <w:r>
              <w:rPr>
                <w:sz w:val="16"/>
              </w:rPr>
              <w:t>arrangement</w:t>
            </w:r>
            <w:r>
              <w:rPr>
                <w:spacing w:val="-1"/>
                <w:sz w:val="16"/>
              </w:rPr>
              <w:t> </w:t>
            </w:r>
            <w:r>
              <w:rPr>
                <w:sz w:val="16"/>
              </w:rPr>
              <w:t>categories.</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58"/>
              <w:ind w:left="100"/>
              <w:rPr>
                <w:rFonts w:ascii="Wingdings" w:hAnsi="Wingdings"/>
                <w:sz w:val="16"/>
              </w:rPr>
            </w:pPr>
            <w:r>
              <w:rPr>
                <w:rFonts w:ascii="Wingdings" w:hAnsi="Wingdings"/>
                <w:w w:val="100"/>
                <w:sz w:val="16"/>
              </w:rPr>
              <w:t></w:t>
            </w:r>
          </w:p>
        </w:tc>
        <w:tc>
          <w:tcPr>
            <w:tcW w:w="326" w:type="dxa"/>
          </w:tcPr>
          <w:p>
            <w:pPr>
              <w:pStyle w:val="TableParagraph"/>
              <w:rPr>
                <w:rFonts w:ascii="Times New Roman"/>
                <w:sz w:val="16"/>
              </w:rPr>
            </w:pPr>
          </w:p>
        </w:tc>
      </w:tr>
      <w:tr>
        <w:trPr>
          <w:trHeight w:val="546"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200" w:hanging="567"/>
              <w:rPr>
                <w:sz w:val="16"/>
              </w:rPr>
            </w:pPr>
            <w:r>
              <w:rPr>
                <w:sz w:val="16"/>
              </w:rPr>
              <w:t>2.06.03 Change between HCH program commencement and at the end of the trial,</w:t>
            </w:r>
            <w:r>
              <w:rPr>
                <w:spacing w:val="-42"/>
                <w:sz w:val="16"/>
              </w:rPr>
              <w:t> </w:t>
            </w:r>
            <w:r>
              <w:rPr>
                <w:sz w:val="16"/>
              </w:rPr>
              <w:t>in</w:t>
            </w:r>
            <w:r>
              <w:rPr>
                <w:spacing w:val="-2"/>
                <w:sz w:val="16"/>
              </w:rPr>
              <w:t> </w:t>
            </w:r>
            <w:r>
              <w:rPr>
                <w:sz w:val="16"/>
              </w:rPr>
              <w:t>practice</w:t>
            </w:r>
            <w:r>
              <w:rPr>
                <w:spacing w:val="-1"/>
                <w:sz w:val="16"/>
              </w:rPr>
              <w:t> </w:t>
            </w:r>
            <w:r>
              <w:rPr>
                <w:sz w:val="16"/>
              </w:rPr>
              <w:t>operating</w:t>
            </w:r>
            <w:r>
              <w:rPr>
                <w:spacing w:val="-1"/>
                <w:sz w:val="16"/>
              </w:rPr>
              <w:t> </w:t>
            </w:r>
            <w:r>
              <w:rPr>
                <w:sz w:val="16"/>
              </w:rPr>
              <w:t>hours</w:t>
            </w:r>
            <w:r>
              <w:rPr>
                <w:spacing w:val="-2"/>
                <w:sz w:val="16"/>
              </w:rPr>
              <w:t> </w:t>
            </w:r>
            <w:r>
              <w:rPr>
                <w:sz w:val="16"/>
              </w:rPr>
              <w:t>by</w:t>
            </w:r>
            <w:r>
              <w:rPr>
                <w:spacing w:val="-4"/>
                <w:sz w:val="16"/>
              </w:rPr>
              <w:t> </w:t>
            </w:r>
            <w:r>
              <w:rPr>
                <w:sz w:val="16"/>
              </w:rPr>
              <w:t>day</w:t>
            </w:r>
            <w:r>
              <w:rPr>
                <w:spacing w:val="-2"/>
                <w:sz w:val="16"/>
              </w:rPr>
              <w:t> </w:t>
            </w:r>
            <w:r>
              <w:rPr>
                <w:sz w:val="16"/>
              </w:rPr>
              <w:t>of</w:t>
            </w:r>
            <w:r>
              <w:rPr>
                <w:spacing w:val="-4"/>
                <w:sz w:val="16"/>
              </w:rPr>
              <w:t> </w:t>
            </w:r>
            <w:r>
              <w:rPr>
                <w:sz w:val="16"/>
              </w:rPr>
              <w:t>week</w:t>
            </w:r>
            <w:r>
              <w:rPr>
                <w:spacing w:val="-2"/>
                <w:sz w:val="16"/>
              </w:rPr>
              <w:t> </w:t>
            </w:r>
            <w:r>
              <w:rPr>
                <w:sz w:val="16"/>
              </w:rPr>
              <w:t>and</w:t>
            </w:r>
            <w:r>
              <w:rPr>
                <w:spacing w:val="-1"/>
                <w:sz w:val="16"/>
              </w:rPr>
              <w:t> </w:t>
            </w:r>
            <w:r>
              <w:rPr>
                <w:sz w:val="16"/>
              </w:rPr>
              <w:t>public</w:t>
            </w:r>
            <w:r>
              <w:rPr>
                <w:spacing w:val="-2"/>
                <w:sz w:val="16"/>
              </w:rPr>
              <w:t> </w:t>
            </w:r>
            <w:r>
              <w:rPr>
                <w:sz w:val="16"/>
              </w:rPr>
              <w:t>holidays.</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57"/>
              <w:ind w:left="100"/>
              <w:rPr>
                <w:rFonts w:ascii="Wingdings" w:hAnsi="Wingdings"/>
                <w:sz w:val="16"/>
              </w:rPr>
            </w:pPr>
            <w:r>
              <w:rPr>
                <w:rFonts w:ascii="Wingdings" w:hAnsi="Wingdings"/>
                <w:w w:val="100"/>
                <w:sz w:val="16"/>
              </w:rPr>
              <w:t></w:t>
            </w:r>
          </w:p>
        </w:tc>
        <w:tc>
          <w:tcPr>
            <w:tcW w:w="326" w:type="dxa"/>
          </w:tcPr>
          <w:p>
            <w:pPr>
              <w:pStyle w:val="TableParagraph"/>
              <w:rPr>
                <w:rFonts w:ascii="Times New Roman"/>
                <w:sz w:val="16"/>
              </w:rPr>
            </w:pPr>
          </w:p>
        </w:tc>
      </w:tr>
      <w:tr>
        <w:trPr>
          <w:trHeight w:val="544" w:hRule="atLeast"/>
        </w:trPr>
        <w:tc>
          <w:tcPr>
            <w:tcW w:w="5809" w:type="dxa"/>
          </w:tcPr>
          <w:p>
            <w:pPr>
              <w:pStyle w:val="TableParagraph"/>
              <w:spacing w:line="264" w:lineRule="auto" w:before="57"/>
              <w:ind w:left="504" w:right="255" w:hanging="426"/>
              <w:rPr>
                <w:sz w:val="16"/>
              </w:rPr>
            </w:pPr>
            <w:r>
              <w:rPr>
                <w:sz w:val="16"/>
              </w:rPr>
              <w:t>2.07 Which practice level approaches to implementation worked well,</w:t>
            </w:r>
            <w:r>
              <w:rPr>
                <w:spacing w:val="-42"/>
                <w:sz w:val="16"/>
              </w:rPr>
              <w:t> </w:t>
            </w:r>
            <w:r>
              <w:rPr>
                <w:sz w:val="16"/>
              </w:rPr>
              <w:t>and</w:t>
            </w:r>
            <w:r>
              <w:rPr>
                <w:spacing w:val="-3"/>
                <w:sz w:val="16"/>
              </w:rPr>
              <w:t> </w:t>
            </w:r>
            <w:r>
              <w:rPr>
                <w:sz w:val="16"/>
              </w:rPr>
              <w:t>in</w:t>
            </w:r>
            <w:r>
              <w:rPr>
                <w:spacing w:val="-4"/>
                <w:sz w:val="16"/>
              </w:rPr>
              <w:t> </w:t>
            </w:r>
            <w:r>
              <w:rPr>
                <w:sz w:val="16"/>
              </w:rPr>
              <w:t>what</w:t>
            </w:r>
            <w:r>
              <w:rPr>
                <w:spacing w:val="-1"/>
                <w:sz w:val="16"/>
              </w:rPr>
              <w:t> </w:t>
            </w:r>
            <w:r>
              <w:rPr>
                <w:sz w:val="16"/>
              </w:rPr>
              <w:t>contexts?</w:t>
            </w:r>
          </w:p>
        </w:tc>
        <w:tc>
          <w:tcPr>
            <w:tcW w:w="6853" w:type="dxa"/>
          </w:tcPr>
          <w:p>
            <w:pPr>
              <w:pStyle w:val="TableParagraph"/>
              <w:spacing w:line="264" w:lineRule="auto" w:before="57"/>
              <w:ind w:left="647" w:right="364" w:hanging="567"/>
              <w:rPr>
                <w:sz w:val="16"/>
              </w:rPr>
            </w:pPr>
            <w:r>
              <w:rPr>
                <w:sz w:val="16"/>
              </w:rPr>
              <w:t>2.07.01 Rating of effectiveness of implementation strategies by practices (together</w:t>
            </w:r>
            <w:r>
              <w:rPr>
                <w:spacing w:val="-42"/>
                <w:sz w:val="16"/>
              </w:rPr>
              <w:t> </w:t>
            </w:r>
            <w:r>
              <w:rPr>
                <w:sz w:val="16"/>
              </w:rPr>
              <w:t>with</w:t>
            </w:r>
            <w:r>
              <w:rPr>
                <w:spacing w:val="-2"/>
                <w:sz w:val="16"/>
              </w:rPr>
              <w:t> </w:t>
            </w:r>
            <w:r>
              <w:rPr>
                <w:sz w:val="16"/>
              </w:rPr>
              <w:t>descriptions).</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57"/>
              <w:ind w:left="100"/>
              <w:rPr>
                <w:rFonts w:ascii="Wingdings" w:hAnsi="Wingdings"/>
                <w:sz w:val="16"/>
              </w:rPr>
            </w:pPr>
            <w:r>
              <w:rPr>
                <w:rFonts w:ascii="Wingdings" w:hAnsi="Wingdings"/>
                <w:w w:val="100"/>
                <w:sz w:val="16"/>
              </w:rPr>
              <w:t></w:t>
            </w:r>
          </w:p>
        </w:tc>
        <w:tc>
          <w:tcPr>
            <w:tcW w:w="326" w:type="dxa"/>
          </w:tcPr>
          <w:p>
            <w:pPr>
              <w:pStyle w:val="TableParagraph"/>
              <w:rPr>
                <w:rFonts w:ascii="Times New Roman"/>
                <w:sz w:val="16"/>
              </w:rPr>
            </w:pPr>
          </w:p>
        </w:tc>
      </w:tr>
      <w:tr>
        <w:trPr>
          <w:trHeight w:val="546" w:hRule="atLeast"/>
        </w:trPr>
        <w:tc>
          <w:tcPr>
            <w:tcW w:w="5809" w:type="dxa"/>
            <w:vMerge w:val="restart"/>
          </w:tcPr>
          <w:p>
            <w:pPr>
              <w:pStyle w:val="TableParagraph"/>
              <w:spacing w:line="264" w:lineRule="auto" w:before="57"/>
              <w:ind w:left="504" w:hanging="426"/>
              <w:rPr>
                <w:sz w:val="16"/>
              </w:rPr>
            </w:pPr>
            <w:r>
              <w:rPr>
                <w:sz w:val="16"/>
              </w:rPr>
              <w:t>2.08 How did the impact of HCH vary across practices with different</w:t>
            </w:r>
            <w:r>
              <w:rPr>
                <w:spacing w:val="1"/>
                <w:sz w:val="16"/>
              </w:rPr>
              <w:t> </w:t>
            </w:r>
            <w:r>
              <w:rPr>
                <w:sz w:val="16"/>
              </w:rPr>
              <w:t>characteristics (e.g. across different remoteness areas and</w:t>
            </w:r>
            <w:r>
              <w:rPr>
                <w:spacing w:val="1"/>
                <w:sz w:val="16"/>
              </w:rPr>
              <w:t> </w:t>
            </w:r>
            <w:r>
              <w:rPr>
                <w:sz w:val="16"/>
              </w:rPr>
              <w:t>ownership</w:t>
            </w:r>
            <w:r>
              <w:rPr>
                <w:spacing w:val="-6"/>
                <w:sz w:val="16"/>
              </w:rPr>
              <w:t> </w:t>
            </w:r>
            <w:r>
              <w:rPr>
                <w:sz w:val="16"/>
              </w:rPr>
              <w:t>arrangements)?</w:t>
            </w:r>
            <w:r>
              <w:rPr>
                <w:spacing w:val="-1"/>
                <w:sz w:val="16"/>
              </w:rPr>
              <w:t> </w:t>
            </w:r>
            <w:r>
              <w:rPr>
                <w:sz w:val="16"/>
              </w:rPr>
              <w:t>How</w:t>
            </w:r>
            <w:r>
              <w:rPr>
                <w:spacing w:val="-1"/>
                <w:sz w:val="16"/>
              </w:rPr>
              <w:t> </w:t>
            </w:r>
            <w:r>
              <w:rPr>
                <w:sz w:val="16"/>
              </w:rPr>
              <w:t>did</w:t>
            </w:r>
            <w:r>
              <w:rPr>
                <w:spacing w:val="-4"/>
                <w:sz w:val="16"/>
              </w:rPr>
              <w:t> </w:t>
            </w:r>
            <w:r>
              <w:rPr>
                <w:sz w:val="16"/>
              </w:rPr>
              <w:t>these</w:t>
            </w:r>
            <w:r>
              <w:rPr>
                <w:spacing w:val="-4"/>
                <w:sz w:val="16"/>
              </w:rPr>
              <w:t> </w:t>
            </w:r>
            <w:r>
              <w:rPr>
                <w:sz w:val="16"/>
              </w:rPr>
              <w:t>characteristics</w:t>
            </w:r>
            <w:r>
              <w:rPr>
                <w:spacing w:val="-5"/>
                <w:sz w:val="16"/>
              </w:rPr>
              <w:t> </w:t>
            </w:r>
            <w:r>
              <w:rPr>
                <w:sz w:val="16"/>
              </w:rPr>
              <w:t>affect</w:t>
            </w:r>
            <w:r>
              <w:rPr>
                <w:spacing w:val="-4"/>
                <w:sz w:val="16"/>
              </w:rPr>
              <w:t> </w:t>
            </w:r>
            <w:r>
              <w:rPr>
                <w:sz w:val="16"/>
              </w:rPr>
              <w:t>the</w:t>
            </w:r>
            <w:r>
              <w:rPr>
                <w:spacing w:val="-41"/>
                <w:sz w:val="16"/>
              </w:rPr>
              <w:t> </w:t>
            </w:r>
            <w:r>
              <w:rPr>
                <w:sz w:val="16"/>
              </w:rPr>
              <w:t>success of the model? What does this tell us about the potential of</w:t>
            </w:r>
            <w:r>
              <w:rPr>
                <w:spacing w:val="1"/>
                <w:sz w:val="16"/>
              </w:rPr>
              <w:t> </w:t>
            </w:r>
            <w:r>
              <w:rPr>
                <w:sz w:val="16"/>
              </w:rPr>
              <w:t>the HCH program to improve access to primary health care,</w:t>
            </w:r>
            <w:r>
              <w:rPr>
                <w:spacing w:val="1"/>
                <w:sz w:val="16"/>
              </w:rPr>
              <w:t> </w:t>
            </w:r>
            <w:r>
              <w:rPr>
                <w:sz w:val="16"/>
              </w:rPr>
              <w:t>particularly for vulnerable and disadvantaged populations, and</w:t>
            </w:r>
            <w:r>
              <w:rPr>
                <w:spacing w:val="1"/>
                <w:sz w:val="16"/>
              </w:rPr>
              <w:t> </w:t>
            </w:r>
            <w:r>
              <w:rPr>
                <w:sz w:val="16"/>
              </w:rPr>
              <w:t>improve</w:t>
            </w:r>
            <w:r>
              <w:rPr>
                <w:spacing w:val="-2"/>
                <w:sz w:val="16"/>
              </w:rPr>
              <w:t> </w:t>
            </w:r>
            <w:r>
              <w:rPr>
                <w:sz w:val="16"/>
              </w:rPr>
              <w:t>equity</w:t>
            </w:r>
            <w:r>
              <w:rPr>
                <w:spacing w:val="-4"/>
                <w:sz w:val="16"/>
              </w:rPr>
              <w:t> </w:t>
            </w:r>
            <w:r>
              <w:rPr>
                <w:sz w:val="16"/>
              </w:rPr>
              <w:t>in</w:t>
            </w:r>
            <w:r>
              <w:rPr>
                <w:spacing w:val="-1"/>
                <w:sz w:val="16"/>
              </w:rPr>
              <w:t> </w:t>
            </w:r>
            <w:r>
              <w:rPr>
                <w:sz w:val="16"/>
              </w:rPr>
              <w:t>health</w:t>
            </w:r>
            <w:r>
              <w:rPr>
                <w:spacing w:val="-1"/>
                <w:sz w:val="16"/>
              </w:rPr>
              <w:t> </w:t>
            </w:r>
            <w:r>
              <w:rPr>
                <w:sz w:val="16"/>
              </w:rPr>
              <w:t>outcomes?</w:t>
            </w:r>
          </w:p>
        </w:tc>
        <w:tc>
          <w:tcPr>
            <w:tcW w:w="6853" w:type="dxa"/>
          </w:tcPr>
          <w:p>
            <w:pPr>
              <w:pStyle w:val="TableParagraph"/>
              <w:spacing w:line="264" w:lineRule="auto" w:before="57"/>
              <w:ind w:left="647" w:hanging="567"/>
              <w:rPr>
                <w:sz w:val="16"/>
              </w:rPr>
            </w:pPr>
            <w:r>
              <w:rPr>
                <w:sz w:val="16"/>
              </w:rPr>
              <w:t>2.08.01</w:t>
            </w:r>
            <w:r>
              <w:rPr>
                <w:spacing w:val="-2"/>
                <w:sz w:val="16"/>
              </w:rPr>
              <w:t> </w:t>
            </w:r>
            <w:r>
              <w:rPr>
                <w:sz w:val="16"/>
              </w:rPr>
              <w:t>Proportion</w:t>
            </w:r>
            <w:r>
              <w:rPr>
                <w:spacing w:val="-3"/>
                <w:sz w:val="16"/>
              </w:rPr>
              <w:t> </w:t>
            </w:r>
            <w:r>
              <w:rPr>
                <w:sz w:val="16"/>
              </w:rPr>
              <w:t>of</w:t>
            </w:r>
            <w:r>
              <w:rPr>
                <w:spacing w:val="-2"/>
                <w:sz w:val="16"/>
              </w:rPr>
              <w:t> </w:t>
            </w:r>
            <w:r>
              <w:rPr>
                <w:sz w:val="16"/>
              </w:rPr>
              <w:t>patients</w:t>
            </w:r>
            <w:r>
              <w:rPr>
                <w:spacing w:val="-4"/>
                <w:sz w:val="16"/>
              </w:rPr>
              <w:t> </w:t>
            </w:r>
            <w:r>
              <w:rPr>
                <w:sz w:val="16"/>
              </w:rPr>
              <w:t>enrolled</w:t>
            </w:r>
            <w:r>
              <w:rPr>
                <w:spacing w:val="-3"/>
                <w:sz w:val="16"/>
              </w:rPr>
              <w:t> </w:t>
            </w:r>
            <w:r>
              <w:rPr>
                <w:sz w:val="16"/>
              </w:rPr>
              <w:t>in</w:t>
            </w:r>
            <w:r>
              <w:rPr>
                <w:spacing w:val="-2"/>
                <w:sz w:val="16"/>
              </w:rPr>
              <w:t> </w:t>
            </w:r>
            <w:r>
              <w:rPr>
                <w:sz w:val="16"/>
              </w:rPr>
              <w:t>HCH</w:t>
            </w:r>
            <w:r>
              <w:rPr>
                <w:spacing w:val="-3"/>
                <w:sz w:val="16"/>
              </w:rPr>
              <w:t> </w:t>
            </w:r>
            <w:r>
              <w:rPr>
                <w:sz w:val="16"/>
              </w:rPr>
              <w:t>by</w:t>
            </w:r>
            <w:r>
              <w:rPr>
                <w:spacing w:val="-3"/>
                <w:sz w:val="16"/>
              </w:rPr>
              <w:t> </w:t>
            </w:r>
            <w:r>
              <w:rPr>
                <w:sz w:val="16"/>
              </w:rPr>
              <w:t>risk</w:t>
            </w:r>
            <w:r>
              <w:rPr>
                <w:spacing w:val="-1"/>
                <w:sz w:val="16"/>
              </w:rPr>
              <w:t> </w:t>
            </w:r>
            <w:r>
              <w:rPr>
                <w:sz w:val="16"/>
              </w:rPr>
              <w:t>tier</w:t>
            </w:r>
            <w:r>
              <w:rPr>
                <w:spacing w:val="-4"/>
                <w:sz w:val="16"/>
              </w:rPr>
              <w:t> </w:t>
            </w:r>
            <w:r>
              <w:rPr>
                <w:sz w:val="16"/>
              </w:rPr>
              <w:t>and</w:t>
            </w:r>
            <w:r>
              <w:rPr>
                <w:spacing w:val="-2"/>
                <w:sz w:val="16"/>
              </w:rPr>
              <w:t> </w:t>
            </w:r>
            <w:r>
              <w:rPr>
                <w:sz w:val="16"/>
              </w:rPr>
              <w:t>other</w:t>
            </w:r>
            <w:r>
              <w:rPr>
                <w:spacing w:val="-4"/>
                <w:sz w:val="16"/>
              </w:rPr>
              <w:t> </w:t>
            </w:r>
            <w:r>
              <w:rPr>
                <w:sz w:val="16"/>
              </w:rPr>
              <w:t>selected</w:t>
            </w:r>
            <w:r>
              <w:rPr>
                <w:spacing w:val="-41"/>
                <w:sz w:val="16"/>
              </w:rPr>
              <w:t> </w:t>
            </w:r>
            <w:r>
              <w:rPr>
                <w:sz w:val="16"/>
              </w:rPr>
              <w:t>characteristics,</w:t>
            </w:r>
            <w:r>
              <w:rPr>
                <w:spacing w:val="-2"/>
                <w:sz w:val="16"/>
              </w:rPr>
              <w:t> </w:t>
            </w:r>
            <w:r>
              <w:rPr>
                <w:sz w:val="16"/>
              </w:rPr>
              <w:t>compared</w:t>
            </w:r>
            <w:r>
              <w:rPr>
                <w:spacing w:val="-1"/>
                <w:sz w:val="16"/>
              </w:rPr>
              <w:t> </w:t>
            </w:r>
            <w:r>
              <w:rPr>
                <w:sz w:val="16"/>
              </w:rPr>
              <w:t>across</w:t>
            </w:r>
            <w:r>
              <w:rPr>
                <w:spacing w:val="-2"/>
                <w:sz w:val="16"/>
              </w:rPr>
              <w:t> </w:t>
            </w:r>
            <w:r>
              <w:rPr>
                <w:sz w:val="16"/>
              </w:rPr>
              <w:t>HCH</w:t>
            </w:r>
            <w:r>
              <w:rPr>
                <w:spacing w:val="-1"/>
                <w:sz w:val="16"/>
              </w:rPr>
              <w:t> </w:t>
            </w:r>
            <w:r>
              <w:rPr>
                <w:sz w:val="16"/>
              </w:rPr>
              <w:t>practice</w:t>
            </w:r>
            <w:r>
              <w:rPr>
                <w:spacing w:val="1"/>
                <w:sz w:val="16"/>
              </w:rPr>
              <w:t> </w:t>
            </w:r>
            <w:r>
              <w:rPr>
                <w:sz w:val="16"/>
              </w:rPr>
              <w:t>strata.</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57"/>
              <w:ind w:left="100"/>
              <w:rPr>
                <w:rFonts w:ascii="Wingdings" w:hAnsi="Wingdings"/>
                <w:sz w:val="16"/>
              </w:rPr>
            </w:pPr>
            <w:r>
              <w:rPr>
                <w:rFonts w:ascii="Wingdings" w:hAnsi="Wingdings"/>
                <w:w w:val="100"/>
                <w:sz w:val="16"/>
              </w:rPr>
              <w:t></w:t>
            </w:r>
          </w:p>
        </w:tc>
        <w:tc>
          <w:tcPr>
            <w:tcW w:w="326" w:type="dxa"/>
          </w:tcPr>
          <w:p>
            <w:pPr>
              <w:pStyle w:val="TableParagraph"/>
              <w:rPr>
                <w:rFonts w:ascii="Times New Roman"/>
                <w:sz w:val="16"/>
              </w:rPr>
            </w:pPr>
          </w:p>
        </w:tc>
      </w:tr>
      <w:tr>
        <w:trPr>
          <w:trHeight w:val="544"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543" w:hanging="567"/>
              <w:rPr>
                <w:sz w:val="16"/>
              </w:rPr>
            </w:pPr>
            <w:r>
              <w:rPr>
                <w:sz w:val="16"/>
              </w:rPr>
              <w:t>2.08.02 Patients enrolled in HCH as a proportion of the total practice population,</w:t>
            </w:r>
            <w:r>
              <w:rPr>
                <w:spacing w:val="-42"/>
                <w:sz w:val="16"/>
              </w:rPr>
              <w:t> </w:t>
            </w:r>
            <w:r>
              <w:rPr>
                <w:sz w:val="16"/>
              </w:rPr>
              <w:t>compared</w:t>
            </w:r>
            <w:r>
              <w:rPr>
                <w:spacing w:val="-2"/>
                <w:sz w:val="16"/>
              </w:rPr>
              <w:t> </w:t>
            </w:r>
            <w:r>
              <w:rPr>
                <w:sz w:val="16"/>
              </w:rPr>
              <w:t>across</w:t>
            </w:r>
            <w:r>
              <w:rPr>
                <w:spacing w:val="-2"/>
                <w:sz w:val="16"/>
              </w:rPr>
              <w:t> </w:t>
            </w:r>
            <w:r>
              <w:rPr>
                <w:sz w:val="16"/>
              </w:rPr>
              <w:t>HCH</w:t>
            </w:r>
            <w:r>
              <w:rPr>
                <w:spacing w:val="-1"/>
                <w:sz w:val="16"/>
              </w:rPr>
              <w:t> </w:t>
            </w:r>
            <w:r>
              <w:rPr>
                <w:sz w:val="16"/>
              </w:rPr>
              <w:t>practice</w:t>
            </w:r>
            <w:r>
              <w:rPr>
                <w:spacing w:val="2"/>
                <w:sz w:val="16"/>
              </w:rPr>
              <w:t> </w:t>
            </w:r>
            <w:r>
              <w:rPr>
                <w:sz w:val="16"/>
              </w:rPr>
              <w:t>strata.</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57"/>
              <w:ind w:left="100"/>
              <w:rPr>
                <w:rFonts w:ascii="Wingdings" w:hAnsi="Wingdings"/>
                <w:sz w:val="16"/>
              </w:rPr>
            </w:pPr>
            <w:r>
              <w:rPr>
                <w:rFonts w:ascii="Wingdings" w:hAnsi="Wingdings"/>
                <w:w w:val="100"/>
                <w:sz w:val="16"/>
              </w:rPr>
              <w:t></w:t>
            </w:r>
          </w:p>
        </w:tc>
        <w:tc>
          <w:tcPr>
            <w:tcW w:w="326" w:type="dxa"/>
          </w:tcPr>
          <w:p>
            <w:pPr>
              <w:pStyle w:val="TableParagraph"/>
              <w:rPr>
                <w:rFonts w:ascii="Times New Roman"/>
                <w:sz w:val="16"/>
              </w:rPr>
            </w:pPr>
          </w:p>
        </w:tc>
      </w:tr>
      <w:tr>
        <w:trPr>
          <w:trHeight w:val="762"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413" w:hanging="567"/>
              <w:rPr>
                <w:sz w:val="16"/>
              </w:rPr>
            </w:pPr>
            <w:r>
              <w:rPr>
                <w:sz w:val="16"/>
              </w:rPr>
              <w:t>2.08.03 Multiple: Comparison of patient level outcomes, including access (see key</w:t>
            </w:r>
            <w:r>
              <w:rPr>
                <w:spacing w:val="-42"/>
                <w:sz w:val="16"/>
              </w:rPr>
              <w:t> </w:t>
            </w:r>
            <w:r>
              <w:rPr>
                <w:sz w:val="16"/>
              </w:rPr>
              <w:t>question 3) compared across HCH practice strata and assessment of</w:t>
            </w:r>
            <w:r>
              <w:rPr>
                <w:spacing w:val="1"/>
                <w:sz w:val="16"/>
              </w:rPr>
              <w:t> </w:t>
            </w:r>
            <w:r>
              <w:rPr>
                <w:sz w:val="16"/>
              </w:rPr>
              <w:t>implications</w:t>
            </w:r>
            <w:r>
              <w:rPr>
                <w:spacing w:val="-3"/>
                <w:sz w:val="16"/>
              </w:rPr>
              <w:t> </w:t>
            </w:r>
            <w:r>
              <w:rPr>
                <w:sz w:val="16"/>
              </w:rPr>
              <w:t>for</w:t>
            </w:r>
            <w:r>
              <w:rPr>
                <w:spacing w:val="-2"/>
                <w:sz w:val="16"/>
              </w:rPr>
              <w:t> </w:t>
            </w:r>
            <w:r>
              <w:rPr>
                <w:sz w:val="16"/>
              </w:rPr>
              <w:t>equity</w:t>
            </w:r>
            <w:r>
              <w:rPr>
                <w:spacing w:val="-1"/>
                <w:sz w:val="16"/>
              </w:rPr>
              <w:t> </w:t>
            </w:r>
            <w:r>
              <w:rPr>
                <w:sz w:val="16"/>
              </w:rPr>
              <w:t>in</w:t>
            </w:r>
            <w:r>
              <w:rPr>
                <w:spacing w:val="-1"/>
                <w:sz w:val="16"/>
              </w:rPr>
              <w:t> </w:t>
            </w:r>
            <w:r>
              <w:rPr>
                <w:sz w:val="16"/>
              </w:rPr>
              <w:t>access</w:t>
            </w:r>
            <w:r>
              <w:rPr>
                <w:spacing w:val="-2"/>
                <w:sz w:val="16"/>
              </w:rPr>
              <w:t> </w:t>
            </w:r>
            <w:r>
              <w:rPr>
                <w:sz w:val="16"/>
              </w:rPr>
              <w:t>and</w:t>
            </w:r>
            <w:r>
              <w:rPr>
                <w:spacing w:val="-2"/>
                <w:sz w:val="16"/>
              </w:rPr>
              <w:t> </w:t>
            </w:r>
            <w:r>
              <w:rPr>
                <w:sz w:val="16"/>
              </w:rPr>
              <w:t>outcomes.</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57"/>
              <w:ind w:left="100"/>
              <w:rPr>
                <w:rFonts w:ascii="Wingdings" w:hAnsi="Wingdings"/>
                <w:sz w:val="16"/>
              </w:rPr>
            </w:pPr>
            <w:r>
              <w:rPr>
                <w:rFonts w:ascii="Wingdings" w:hAnsi="Wingdings"/>
                <w:w w:val="100"/>
                <w:sz w:val="16"/>
              </w:rPr>
              <w:t></w:t>
            </w:r>
          </w:p>
        </w:tc>
        <w:tc>
          <w:tcPr>
            <w:tcW w:w="326" w:type="dxa"/>
          </w:tcPr>
          <w:p>
            <w:pPr>
              <w:pStyle w:val="TableParagraph"/>
              <w:spacing w:before="57"/>
              <w:ind w:left="100"/>
              <w:rPr>
                <w:rFonts w:ascii="Wingdings" w:hAnsi="Wingdings"/>
                <w:sz w:val="16"/>
              </w:rPr>
            </w:pPr>
            <w:r>
              <w:rPr>
                <w:rFonts w:ascii="Wingdings" w:hAnsi="Wingdings"/>
                <w:w w:val="100"/>
                <w:sz w:val="16"/>
              </w:rPr>
              <w:t></w:t>
            </w:r>
          </w:p>
        </w:tc>
      </w:tr>
      <w:tr>
        <w:trPr>
          <w:trHeight w:val="760" w:hRule="atLeast"/>
        </w:trPr>
        <w:tc>
          <w:tcPr>
            <w:tcW w:w="5809" w:type="dxa"/>
          </w:tcPr>
          <w:p>
            <w:pPr>
              <w:pStyle w:val="TableParagraph"/>
              <w:spacing w:line="261" w:lineRule="auto" w:before="57"/>
              <w:ind w:left="504" w:right="193" w:hanging="426"/>
              <w:rPr>
                <w:sz w:val="16"/>
              </w:rPr>
            </w:pPr>
            <w:r>
              <w:rPr>
                <w:sz w:val="16"/>
              </w:rPr>
              <w:t>2.09 How did the HCH implementation change provider experiences of</w:t>
            </w:r>
            <w:r>
              <w:rPr>
                <w:spacing w:val="-42"/>
                <w:sz w:val="16"/>
              </w:rPr>
              <w:t> </w:t>
            </w:r>
            <w:r>
              <w:rPr>
                <w:sz w:val="16"/>
              </w:rPr>
              <w:t>delivering</w:t>
            </w:r>
            <w:r>
              <w:rPr>
                <w:spacing w:val="-3"/>
                <w:sz w:val="16"/>
              </w:rPr>
              <w:t> </w:t>
            </w:r>
            <w:r>
              <w:rPr>
                <w:sz w:val="16"/>
              </w:rPr>
              <w:t>primary care services?</w:t>
            </w:r>
          </w:p>
        </w:tc>
        <w:tc>
          <w:tcPr>
            <w:tcW w:w="6853" w:type="dxa"/>
          </w:tcPr>
          <w:p>
            <w:pPr>
              <w:pStyle w:val="TableParagraph"/>
              <w:spacing w:line="261" w:lineRule="auto" w:before="57"/>
              <w:ind w:left="647" w:right="138" w:hanging="567"/>
              <w:jc w:val="both"/>
              <w:rPr>
                <w:sz w:val="16"/>
              </w:rPr>
            </w:pPr>
            <w:r>
              <w:rPr>
                <w:sz w:val="16"/>
              </w:rPr>
              <w:t>2.09.01 Proportion of practice staff who report that following the HCH implementation</w:t>
            </w:r>
            <w:r>
              <w:rPr>
                <w:spacing w:val="-42"/>
                <w:sz w:val="16"/>
              </w:rPr>
              <w:t> </w:t>
            </w:r>
            <w:r>
              <w:rPr>
                <w:sz w:val="16"/>
              </w:rPr>
              <w:t>they experienced improvements in selected aspects of their job, including: (a)</w:t>
            </w:r>
            <w:r>
              <w:rPr>
                <w:spacing w:val="-42"/>
                <w:sz w:val="16"/>
              </w:rPr>
              <w:t> </w:t>
            </w:r>
            <w:r>
              <w:rPr>
                <w:sz w:val="16"/>
              </w:rPr>
              <w:t>having</w:t>
            </w:r>
            <w:r>
              <w:rPr>
                <w:spacing w:val="-3"/>
                <w:sz w:val="16"/>
              </w:rPr>
              <w:t> </w:t>
            </w:r>
            <w:r>
              <w:rPr>
                <w:sz w:val="16"/>
              </w:rPr>
              <w:t>clear</w:t>
            </w:r>
            <w:r>
              <w:rPr>
                <w:spacing w:val="-3"/>
                <w:sz w:val="16"/>
              </w:rPr>
              <w:t> </w:t>
            </w:r>
            <w:r>
              <w:rPr>
                <w:sz w:val="16"/>
              </w:rPr>
              <w:t>planned</w:t>
            </w:r>
            <w:r>
              <w:rPr>
                <w:spacing w:val="-2"/>
                <w:sz w:val="16"/>
              </w:rPr>
              <w:t> </w:t>
            </w:r>
            <w:r>
              <w:rPr>
                <w:sz w:val="16"/>
              </w:rPr>
              <w:t>goals</w:t>
            </w:r>
            <w:r>
              <w:rPr>
                <w:spacing w:val="-3"/>
                <w:sz w:val="16"/>
              </w:rPr>
              <w:t> </w:t>
            </w:r>
            <w:r>
              <w:rPr>
                <w:sz w:val="16"/>
              </w:rPr>
              <w:t>and objectives;</w:t>
            </w:r>
            <w:r>
              <w:rPr>
                <w:spacing w:val="-2"/>
                <w:sz w:val="16"/>
              </w:rPr>
              <w:t> </w:t>
            </w:r>
            <w:r>
              <w:rPr>
                <w:sz w:val="16"/>
              </w:rPr>
              <w:t>(b)</w:t>
            </w:r>
            <w:r>
              <w:rPr>
                <w:spacing w:val="-4"/>
                <w:sz w:val="16"/>
              </w:rPr>
              <w:t> </w:t>
            </w:r>
            <w:r>
              <w:rPr>
                <w:sz w:val="16"/>
              </w:rPr>
              <w:t>having</w:t>
            </w:r>
            <w:r>
              <w:rPr>
                <w:spacing w:val="-3"/>
                <w:sz w:val="16"/>
              </w:rPr>
              <w:t> </w:t>
            </w:r>
            <w:r>
              <w:rPr>
                <w:sz w:val="16"/>
              </w:rPr>
              <w:t>an</w:t>
            </w:r>
            <w:r>
              <w:rPr>
                <w:spacing w:val="-2"/>
                <w:sz w:val="16"/>
              </w:rPr>
              <w:t> </w:t>
            </w:r>
            <w:r>
              <w:rPr>
                <w:sz w:val="16"/>
              </w:rPr>
              <w:t>interesting</w:t>
            </w:r>
            <w:r>
              <w:rPr>
                <w:spacing w:val="1"/>
                <w:sz w:val="16"/>
              </w:rPr>
              <w:t> </w:t>
            </w:r>
            <w:r>
              <w:rPr>
                <w:sz w:val="16"/>
              </w:rPr>
              <w:t>job;</w:t>
            </w:r>
            <w:r>
              <w:rPr>
                <w:spacing w:val="-3"/>
                <w:sz w:val="16"/>
              </w:rPr>
              <w:t> </w:t>
            </w:r>
            <w:r>
              <w:rPr>
                <w:sz w:val="16"/>
              </w:rPr>
              <w:t>(c)</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57"/>
              <w:ind w:left="100"/>
              <w:rPr>
                <w:rFonts w:ascii="Wingdings" w:hAnsi="Wingdings"/>
                <w:sz w:val="16"/>
              </w:rPr>
            </w:pPr>
            <w:r>
              <w:rPr>
                <w:rFonts w:ascii="Wingdings" w:hAnsi="Wingdings"/>
                <w:w w:val="100"/>
                <w:sz w:val="16"/>
              </w:rPr>
              <w:t></w:t>
            </w:r>
          </w:p>
        </w:tc>
        <w:tc>
          <w:tcPr>
            <w:tcW w:w="326" w:type="dxa"/>
          </w:tcPr>
          <w:p>
            <w:pPr>
              <w:pStyle w:val="TableParagraph"/>
              <w:rPr>
                <w:rFonts w:ascii="Times New Roman"/>
                <w:sz w:val="16"/>
              </w:rPr>
            </w:pPr>
          </w:p>
        </w:tc>
      </w:tr>
    </w:tbl>
    <w:p>
      <w:pPr>
        <w:spacing w:after="0"/>
        <w:rPr>
          <w:rFonts w:ascii="Times New Roman"/>
          <w:sz w:val="16"/>
        </w:rPr>
        <w:sectPr>
          <w:footerReference w:type="default" r:id="rId22"/>
          <w:pgSz w:w="16840" w:h="11910" w:orient="landscape"/>
          <w:pgMar w:footer="676" w:header="0" w:top="1100" w:bottom="860" w:left="1340" w:right="980"/>
        </w:sectPr>
      </w:pPr>
    </w:p>
    <w:p>
      <w:pPr>
        <w:pStyle w:val="BodyText"/>
        <w:spacing w:before="2" w:after="1"/>
        <w:rPr>
          <w:b/>
          <w:sz w:val="27"/>
        </w:rPr>
      </w:pPr>
    </w:p>
    <w:tbl>
      <w:tblPr>
        <w:tblW w:w="0" w:type="auto"/>
        <w:jc w:val="left"/>
        <w:tblInd w:w="11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5809"/>
        <w:gridCol w:w="6853"/>
        <w:gridCol w:w="324"/>
        <w:gridCol w:w="327"/>
        <w:gridCol w:w="324"/>
        <w:gridCol w:w="324"/>
        <w:gridCol w:w="326"/>
      </w:tblGrid>
      <w:tr>
        <w:trPr>
          <w:trHeight w:val="1509" w:hRule="atLeast"/>
        </w:trPr>
        <w:tc>
          <w:tcPr>
            <w:tcW w:w="5809" w:type="dxa"/>
            <w:shd w:val="clear" w:color="auto" w:fill="003C79"/>
          </w:tcPr>
          <w:p>
            <w:pPr>
              <w:pStyle w:val="TableParagraph"/>
              <w:rPr>
                <w:b/>
                <w:sz w:val="20"/>
              </w:rPr>
            </w:pPr>
          </w:p>
          <w:p>
            <w:pPr>
              <w:pStyle w:val="TableParagraph"/>
              <w:rPr>
                <w:b/>
                <w:sz w:val="20"/>
              </w:rPr>
            </w:pPr>
          </w:p>
          <w:p>
            <w:pPr>
              <w:pStyle w:val="TableParagraph"/>
              <w:spacing w:before="164"/>
              <w:ind w:left="1579"/>
              <w:rPr>
                <w:b/>
                <w:sz w:val="16"/>
              </w:rPr>
            </w:pPr>
            <w:r>
              <w:rPr>
                <w:b/>
                <w:color w:val="FFFFFF"/>
                <w:sz w:val="16"/>
              </w:rPr>
              <w:t>Key</w:t>
            </w:r>
            <w:r>
              <w:rPr>
                <w:b/>
                <w:color w:val="FFFFFF"/>
                <w:spacing w:val="-4"/>
                <w:sz w:val="16"/>
              </w:rPr>
              <w:t> </w:t>
            </w:r>
            <w:r>
              <w:rPr>
                <w:b/>
                <w:color w:val="FFFFFF"/>
                <w:sz w:val="16"/>
              </w:rPr>
              <w:t>question</w:t>
            </w:r>
            <w:r>
              <w:rPr>
                <w:b/>
                <w:color w:val="FFFFFF"/>
                <w:spacing w:val="-5"/>
                <w:sz w:val="16"/>
              </w:rPr>
              <w:t> </w:t>
            </w:r>
            <w:r>
              <w:rPr>
                <w:b/>
                <w:color w:val="FFFFFF"/>
                <w:sz w:val="16"/>
              </w:rPr>
              <w:t>2:</w:t>
            </w:r>
            <w:r>
              <w:rPr>
                <w:b/>
                <w:color w:val="FFFFFF"/>
                <w:spacing w:val="-2"/>
                <w:sz w:val="16"/>
              </w:rPr>
              <w:t> </w:t>
            </w:r>
            <w:r>
              <w:rPr>
                <w:b/>
                <w:color w:val="FFFFFF"/>
                <w:sz w:val="16"/>
              </w:rPr>
              <w:t>Detailed</w:t>
            </w:r>
            <w:r>
              <w:rPr>
                <w:b/>
                <w:color w:val="FFFFFF"/>
                <w:spacing w:val="-2"/>
                <w:sz w:val="16"/>
              </w:rPr>
              <w:t> </w:t>
            </w:r>
            <w:r>
              <w:rPr>
                <w:b/>
                <w:color w:val="FFFFFF"/>
                <w:sz w:val="16"/>
              </w:rPr>
              <w:t>questions</w:t>
            </w:r>
          </w:p>
        </w:tc>
        <w:tc>
          <w:tcPr>
            <w:tcW w:w="6853" w:type="dxa"/>
            <w:shd w:val="clear" w:color="auto" w:fill="003C79"/>
          </w:tcPr>
          <w:p>
            <w:pPr>
              <w:pStyle w:val="TableParagraph"/>
              <w:rPr>
                <w:b/>
                <w:sz w:val="20"/>
              </w:rPr>
            </w:pPr>
          </w:p>
          <w:p>
            <w:pPr>
              <w:pStyle w:val="TableParagraph"/>
              <w:rPr>
                <w:b/>
                <w:sz w:val="20"/>
              </w:rPr>
            </w:pPr>
          </w:p>
          <w:p>
            <w:pPr>
              <w:pStyle w:val="TableParagraph"/>
              <w:spacing w:before="164"/>
              <w:ind w:left="2424" w:right="2419"/>
              <w:jc w:val="center"/>
              <w:rPr>
                <w:b/>
                <w:sz w:val="16"/>
              </w:rPr>
            </w:pPr>
            <w:r>
              <w:rPr>
                <w:b/>
                <w:color w:val="FFFFFF"/>
                <w:sz w:val="16"/>
              </w:rPr>
              <w:t>Key</w:t>
            </w:r>
            <w:r>
              <w:rPr>
                <w:b/>
                <w:color w:val="FFFFFF"/>
                <w:spacing w:val="-4"/>
                <w:sz w:val="16"/>
              </w:rPr>
              <w:t> </w:t>
            </w:r>
            <w:r>
              <w:rPr>
                <w:b/>
                <w:color w:val="FFFFFF"/>
                <w:sz w:val="16"/>
              </w:rPr>
              <w:t>question</w:t>
            </w:r>
            <w:r>
              <w:rPr>
                <w:b/>
                <w:color w:val="FFFFFF"/>
                <w:spacing w:val="-4"/>
                <w:sz w:val="16"/>
              </w:rPr>
              <w:t> </w:t>
            </w:r>
            <w:r>
              <w:rPr>
                <w:b/>
                <w:color w:val="FFFFFF"/>
                <w:sz w:val="16"/>
              </w:rPr>
              <w:t>2:</w:t>
            </w:r>
            <w:r>
              <w:rPr>
                <w:b/>
                <w:color w:val="FFFFFF"/>
                <w:spacing w:val="-3"/>
                <w:sz w:val="16"/>
              </w:rPr>
              <w:t> </w:t>
            </w:r>
            <w:r>
              <w:rPr>
                <w:b/>
                <w:color w:val="FFFFFF"/>
                <w:sz w:val="16"/>
              </w:rPr>
              <w:t>Measures</w:t>
            </w:r>
          </w:p>
        </w:tc>
        <w:tc>
          <w:tcPr>
            <w:tcW w:w="324" w:type="dxa"/>
            <w:shd w:val="clear" w:color="auto" w:fill="003C79"/>
            <w:textDirection w:val="btLr"/>
          </w:tcPr>
          <w:p>
            <w:pPr>
              <w:pStyle w:val="TableParagraph"/>
              <w:spacing w:before="62"/>
              <w:ind w:left="503" w:right="504"/>
              <w:jc w:val="center"/>
              <w:rPr>
                <w:b/>
                <w:sz w:val="16"/>
              </w:rPr>
            </w:pPr>
            <w:r>
              <w:rPr>
                <w:b/>
                <w:color w:val="FFFFFF"/>
                <w:sz w:val="16"/>
              </w:rPr>
              <w:t>Inputs</w:t>
            </w:r>
          </w:p>
        </w:tc>
        <w:tc>
          <w:tcPr>
            <w:tcW w:w="327" w:type="dxa"/>
            <w:shd w:val="clear" w:color="auto" w:fill="003C79"/>
            <w:textDirection w:val="btLr"/>
          </w:tcPr>
          <w:p>
            <w:pPr>
              <w:pStyle w:val="TableParagraph"/>
              <w:spacing w:before="64"/>
              <w:ind w:left="407"/>
              <w:rPr>
                <w:b/>
                <w:sz w:val="16"/>
              </w:rPr>
            </w:pPr>
            <w:r>
              <w:rPr>
                <w:b/>
                <w:color w:val="FFFFFF"/>
                <w:sz w:val="16"/>
              </w:rPr>
              <w:t>Activities</w:t>
            </w:r>
          </w:p>
        </w:tc>
        <w:tc>
          <w:tcPr>
            <w:tcW w:w="324" w:type="dxa"/>
            <w:shd w:val="clear" w:color="auto" w:fill="003C79"/>
            <w:textDirection w:val="btLr"/>
          </w:tcPr>
          <w:p>
            <w:pPr>
              <w:pStyle w:val="TableParagraph"/>
              <w:spacing w:before="62"/>
              <w:ind w:left="455"/>
              <w:rPr>
                <w:b/>
                <w:sz w:val="16"/>
              </w:rPr>
            </w:pPr>
            <w:r>
              <w:rPr>
                <w:b/>
                <w:color w:val="FFFFFF"/>
                <w:sz w:val="16"/>
              </w:rPr>
              <w:t>Outputs</w:t>
            </w:r>
          </w:p>
        </w:tc>
        <w:tc>
          <w:tcPr>
            <w:tcW w:w="324" w:type="dxa"/>
            <w:shd w:val="clear" w:color="auto" w:fill="003C79"/>
            <w:textDirection w:val="btLr"/>
          </w:tcPr>
          <w:p>
            <w:pPr>
              <w:pStyle w:val="TableParagraph"/>
              <w:spacing w:before="64"/>
              <w:ind w:left="254"/>
              <w:rPr>
                <w:b/>
                <w:sz w:val="16"/>
              </w:rPr>
            </w:pPr>
            <w:r>
              <w:rPr>
                <w:b/>
                <w:color w:val="FFFFFF"/>
                <w:sz w:val="16"/>
              </w:rPr>
              <w:t>Outcomes</w:t>
            </w:r>
            <w:r>
              <w:rPr>
                <w:b/>
                <w:color w:val="FFFFFF"/>
                <w:spacing w:val="-2"/>
                <w:sz w:val="16"/>
              </w:rPr>
              <w:t> </w:t>
            </w:r>
            <w:r>
              <w:rPr>
                <w:b/>
                <w:color w:val="FFFFFF"/>
                <w:sz w:val="16"/>
              </w:rPr>
              <w:t>ST</w:t>
            </w:r>
          </w:p>
        </w:tc>
        <w:tc>
          <w:tcPr>
            <w:tcW w:w="326" w:type="dxa"/>
            <w:shd w:val="clear" w:color="auto" w:fill="003C79"/>
            <w:textDirection w:val="btLr"/>
          </w:tcPr>
          <w:p>
            <w:pPr>
              <w:pStyle w:val="TableParagraph"/>
              <w:spacing w:before="64"/>
              <w:ind w:left="222"/>
              <w:rPr>
                <w:b/>
                <w:sz w:val="16"/>
              </w:rPr>
            </w:pPr>
            <w:r>
              <w:rPr>
                <w:b/>
                <w:color w:val="FFFFFF"/>
                <w:sz w:val="16"/>
              </w:rPr>
              <w:t>Outcomes</w:t>
            </w:r>
            <w:r>
              <w:rPr>
                <w:b/>
                <w:color w:val="FFFFFF"/>
                <w:spacing w:val="-1"/>
                <w:sz w:val="16"/>
              </w:rPr>
              <w:t> </w:t>
            </w:r>
            <w:r>
              <w:rPr>
                <w:b/>
                <w:color w:val="FFFFFF"/>
                <w:sz w:val="16"/>
              </w:rPr>
              <w:t>MT</w:t>
            </w:r>
          </w:p>
        </w:tc>
      </w:tr>
      <w:tr>
        <w:trPr>
          <w:trHeight w:val="544" w:hRule="atLeast"/>
        </w:trPr>
        <w:tc>
          <w:tcPr>
            <w:tcW w:w="5809" w:type="dxa"/>
            <w:vMerge w:val="restart"/>
          </w:tcPr>
          <w:p>
            <w:pPr>
              <w:pStyle w:val="TableParagraph"/>
              <w:rPr>
                <w:rFonts w:ascii="Times New Roman"/>
                <w:sz w:val="16"/>
              </w:rPr>
            </w:pPr>
          </w:p>
        </w:tc>
        <w:tc>
          <w:tcPr>
            <w:tcW w:w="6853" w:type="dxa"/>
          </w:tcPr>
          <w:p>
            <w:pPr>
              <w:pStyle w:val="TableParagraph"/>
              <w:spacing w:line="264" w:lineRule="auto" w:before="57"/>
              <w:ind w:left="647" w:right="146"/>
              <w:rPr>
                <w:sz w:val="16"/>
              </w:rPr>
            </w:pPr>
            <w:r>
              <w:rPr>
                <w:sz w:val="16"/>
              </w:rPr>
              <w:t>developing their role; (d) working to the full scope of their practice; (e) having</w:t>
            </w:r>
            <w:r>
              <w:rPr>
                <w:spacing w:val="-42"/>
                <w:sz w:val="16"/>
              </w:rPr>
              <w:t> </w:t>
            </w:r>
            <w:r>
              <w:rPr>
                <w:sz w:val="16"/>
              </w:rPr>
              <w:t>adequate</w:t>
            </w:r>
            <w:r>
              <w:rPr>
                <w:spacing w:val="-2"/>
                <w:sz w:val="16"/>
              </w:rPr>
              <w:t> </w:t>
            </w:r>
            <w:r>
              <w:rPr>
                <w:sz w:val="16"/>
              </w:rPr>
              <w:t>resources</w:t>
            </w:r>
            <w:r>
              <w:rPr>
                <w:spacing w:val="1"/>
                <w:sz w:val="16"/>
              </w:rPr>
              <w:t> </w:t>
            </w:r>
            <w:r>
              <w:rPr>
                <w:sz w:val="16"/>
              </w:rPr>
              <w:t>to</w:t>
            </w:r>
            <w:r>
              <w:rPr>
                <w:spacing w:val="-1"/>
                <w:sz w:val="16"/>
              </w:rPr>
              <w:t> </w:t>
            </w:r>
            <w:r>
              <w:rPr>
                <w:sz w:val="16"/>
              </w:rPr>
              <w:t>do</w:t>
            </w:r>
            <w:r>
              <w:rPr>
                <w:spacing w:val="-1"/>
                <w:sz w:val="16"/>
              </w:rPr>
              <w:t> </w:t>
            </w:r>
            <w:r>
              <w:rPr>
                <w:sz w:val="16"/>
              </w:rPr>
              <w:t>their</w:t>
            </w:r>
            <w:r>
              <w:rPr>
                <w:spacing w:val="-2"/>
                <w:sz w:val="16"/>
              </w:rPr>
              <w:t> </w:t>
            </w:r>
            <w:r>
              <w:rPr>
                <w:sz w:val="16"/>
              </w:rPr>
              <w:t>job.</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547"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281" w:hanging="567"/>
              <w:rPr>
                <w:sz w:val="16"/>
              </w:rPr>
            </w:pPr>
            <w:r>
              <w:rPr>
                <w:sz w:val="16"/>
              </w:rPr>
              <w:t>2.09.02 Change in proportion of staff who left the service in the year prior to HCH vs.</w:t>
            </w:r>
            <w:r>
              <w:rPr>
                <w:spacing w:val="-42"/>
                <w:sz w:val="16"/>
              </w:rPr>
              <w:t> </w:t>
            </w:r>
            <w:r>
              <w:rPr>
                <w:sz w:val="16"/>
              </w:rPr>
              <w:t>the</w:t>
            </w:r>
            <w:r>
              <w:rPr>
                <w:spacing w:val="1"/>
                <w:sz w:val="16"/>
              </w:rPr>
              <w:t> </w:t>
            </w:r>
            <w:r>
              <w:rPr>
                <w:sz w:val="16"/>
              </w:rPr>
              <w:t>final year</w:t>
            </w:r>
            <w:r>
              <w:rPr>
                <w:spacing w:val="-2"/>
                <w:sz w:val="16"/>
              </w:rPr>
              <w:t> </w:t>
            </w:r>
            <w:r>
              <w:rPr>
                <w:sz w:val="16"/>
              </w:rPr>
              <w:t>of</w:t>
            </w:r>
            <w:r>
              <w:rPr>
                <w:spacing w:val="-1"/>
                <w:sz w:val="16"/>
              </w:rPr>
              <w:t> </w:t>
            </w:r>
            <w:r>
              <w:rPr>
                <w:sz w:val="16"/>
              </w:rPr>
              <w:t>HCH.</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57"/>
              <w:ind w:left="100"/>
              <w:rPr>
                <w:rFonts w:ascii="Wingdings" w:hAnsi="Wingdings"/>
                <w:sz w:val="16"/>
              </w:rPr>
            </w:pPr>
            <w:r>
              <w:rPr>
                <w:rFonts w:ascii="Wingdings" w:hAnsi="Wingdings"/>
                <w:w w:val="100"/>
                <w:sz w:val="16"/>
              </w:rPr>
              <w:t></w:t>
            </w:r>
          </w:p>
        </w:tc>
        <w:tc>
          <w:tcPr>
            <w:tcW w:w="326" w:type="dxa"/>
          </w:tcPr>
          <w:p>
            <w:pPr>
              <w:pStyle w:val="TableParagraph"/>
              <w:rPr>
                <w:rFonts w:ascii="Times New Roman"/>
                <w:sz w:val="16"/>
              </w:rPr>
            </w:pPr>
          </w:p>
        </w:tc>
      </w:tr>
    </w:tbl>
    <w:p>
      <w:pPr>
        <w:spacing w:after="0"/>
        <w:rPr>
          <w:rFonts w:ascii="Times New Roman"/>
          <w:sz w:val="16"/>
        </w:rPr>
        <w:sectPr>
          <w:pgSz w:w="16840" w:h="11910" w:orient="landscape"/>
          <w:pgMar w:header="0" w:footer="676" w:top="1100" w:bottom="860" w:left="1340" w:right="980"/>
        </w:sectPr>
      </w:pPr>
    </w:p>
    <w:p>
      <w:pPr>
        <w:pStyle w:val="Heading6"/>
        <w:ind w:left="100"/>
      </w:pPr>
      <w:r>
        <w:rPr/>
        <w:t>Key</w:t>
      </w:r>
      <w:r>
        <w:rPr>
          <w:spacing w:val="-3"/>
        </w:rPr>
        <w:t> </w:t>
      </w:r>
      <w:r>
        <w:rPr/>
        <w:t>question</w:t>
      </w:r>
      <w:r>
        <w:rPr>
          <w:spacing w:val="-3"/>
        </w:rPr>
        <w:t> </w:t>
      </w:r>
      <w:r>
        <w:rPr/>
        <w:t>3:</w:t>
      </w:r>
      <w:r>
        <w:rPr>
          <w:spacing w:val="-3"/>
        </w:rPr>
        <w:t> </w:t>
      </w:r>
      <w:r>
        <w:rPr/>
        <w:t>Do</w:t>
      </w:r>
      <w:r>
        <w:rPr>
          <w:spacing w:val="-2"/>
        </w:rPr>
        <w:t> </w:t>
      </w:r>
      <w:r>
        <w:rPr/>
        <w:t>patients</w:t>
      </w:r>
      <w:r>
        <w:rPr>
          <w:spacing w:val="-4"/>
        </w:rPr>
        <w:t> </w:t>
      </w:r>
      <w:r>
        <w:rPr/>
        <w:t>enrolled</w:t>
      </w:r>
      <w:r>
        <w:rPr>
          <w:spacing w:val="-5"/>
        </w:rPr>
        <w:t> </w:t>
      </w:r>
      <w:r>
        <w:rPr/>
        <w:t>in</w:t>
      </w:r>
      <w:r>
        <w:rPr>
          <w:spacing w:val="-2"/>
        </w:rPr>
        <w:t> </w:t>
      </w:r>
      <w:r>
        <w:rPr/>
        <w:t>HCH</w:t>
      </w:r>
      <w:r>
        <w:rPr>
          <w:spacing w:val="-6"/>
        </w:rPr>
        <w:t> </w:t>
      </w:r>
      <w:r>
        <w:rPr/>
        <w:t>experience</w:t>
      </w:r>
      <w:r>
        <w:rPr>
          <w:spacing w:val="-5"/>
        </w:rPr>
        <w:t> </w:t>
      </w:r>
      <w:r>
        <w:rPr/>
        <w:t>better</w:t>
      </w:r>
      <w:r>
        <w:rPr>
          <w:spacing w:val="-3"/>
        </w:rPr>
        <w:t> </w:t>
      </w:r>
      <w:r>
        <w:rPr/>
        <w:t>quality</w:t>
      </w:r>
      <w:r>
        <w:rPr>
          <w:spacing w:val="-3"/>
        </w:rPr>
        <w:t> </w:t>
      </w:r>
      <w:r>
        <w:rPr/>
        <w:t>care?</w:t>
      </w:r>
    </w:p>
    <w:p>
      <w:pPr>
        <w:pStyle w:val="BodyText"/>
        <w:spacing w:before="4"/>
        <w:rPr>
          <w:b/>
          <w:sz w:val="19"/>
        </w:rPr>
      </w:pPr>
    </w:p>
    <w:p>
      <w:pPr>
        <w:pStyle w:val="BodyText"/>
        <w:spacing w:line="276" w:lineRule="auto"/>
        <w:ind w:left="100" w:right="297"/>
        <w:jc w:val="both"/>
      </w:pPr>
      <w:r>
        <w:rPr/>
        <w:t>Key question 3 relates to the patient level of the logic model. Detailed questions are shown</w:t>
      </w:r>
      <w:r>
        <w:rPr>
          <w:spacing w:val="-53"/>
        </w:rPr>
        <w:t> </w:t>
      </w:r>
      <w:hyperlink w:history="true" w:anchor="_bookmark20">
        <w:r>
          <w:rPr/>
          <w:t>Table</w:t>
        </w:r>
        <w:r>
          <w:rPr>
            <w:spacing w:val="-1"/>
          </w:rPr>
          <w:t> </w:t>
        </w:r>
        <w:r>
          <w:rPr/>
          <w:t>6,</w:t>
        </w:r>
        <w:r>
          <w:rPr>
            <w:spacing w:val="-1"/>
          </w:rPr>
          <w:t> </w:t>
        </w:r>
      </w:hyperlink>
      <w:r>
        <w:rPr/>
        <w:t>together</w:t>
      </w:r>
      <w:r>
        <w:rPr>
          <w:spacing w:val="-1"/>
        </w:rPr>
        <w:t> </w:t>
      </w:r>
      <w:r>
        <w:rPr/>
        <w:t>with</w:t>
      </w:r>
      <w:r>
        <w:rPr>
          <w:spacing w:val="1"/>
        </w:rPr>
        <w:t> </w:t>
      </w:r>
      <w:r>
        <w:rPr/>
        <w:t>associated</w:t>
      </w:r>
      <w:r>
        <w:rPr>
          <w:spacing w:val="1"/>
        </w:rPr>
        <w:t> </w:t>
      </w:r>
      <w:r>
        <w:rPr/>
        <w:t>measures.</w:t>
      </w:r>
    </w:p>
    <w:p>
      <w:pPr>
        <w:pStyle w:val="BodyText"/>
        <w:spacing w:before="200"/>
        <w:ind w:left="100"/>
      </w:pPr>
      <w:r>
        <w:rPr/>
        <w:t>An objective</w:t>
      </w:r>
      <w:r>
        <w:rPr>
          <w:spacing w:val="-4"/>
        </w:rPr>
        <w:t> </w:t>
      </w:r>
      <w:r>
        <w:rPr/>
        <w:t>of</w:t>
      </w:r>
      <w:r>
        <w:rPr>
          <w:spacing w:val="-3"/>
        </w:rPr>
        <w:t> </w:t>
      </w:r>
      <w:r>
        <w:rPr/>
        <w:t>HCH</w:t>
      </w:r>
      <w:r>
        <w:rPr>
          <w:spacing w:val="-3"/>
        </w:rPr>
        <w:t> </w:t>
      </w:r>
      <w:r>
        <w:rPr/>
        <w:t>is</w:t>
      </w:r>
      <w:r>
        <w:rPr>
          <w:spacing w:val="-3"/>
        </w:rPr>
        <w:t> </w:t>
      </w:r>
      <w:r>
        <w:rPr/>
        <w:t>that:</w:t>
      </w:r>
    </w:p>
    <w:p>
      <w:pPr>
        <w:pStyle w:val="BodyText"/>
        <w:spacing w:before="4"/>
        <w:rPr>
          <w:sz w:val="19"/>
        </w:rPr>
      </w:pPr>
    </w:p>
    <w:p>
      <w:pPr>
        <w:spacing w:line="276" w:lineRule="auto" w:before="0"/>
        <w:ind w:left="666" w:right="641" w:firstLine="0"/>
        <w:jc w:val="left"/>
        <w:rPr>
          <w:i/>
          <w:sz w:val="20"/>
        </w:rPr>
      </w:pPr>
      <w:r>
        <w:rPr>
          <w:i/>
          <w:sz w:val="20"/>
        </w:rPr>
        <w:t>People living with chronic and complex conditions, supported by their carers and</w:t>
      </w:r>
      <w:r>
        <w:rPr>
          <w:i/>
          <w:spacing w:val="-53"/>
          <w:sz w:val="20"/>
        </w:rPr>
        <w:t> </w:t>
      </w:r>
      <w:r>
        <w:rPr>
          <w:i/>
          <w:sz w:val="20"/>
        </w:rPr>
        <w:t>families where appropriate, will be actively involved in planning and</w:t>
      </w:r>
      <w:r>
        <w:rPr>
          <w:i/>
          <w:spacing w:val="1"/>
          <w:sz w:val="20"/>
        </w:rPr>
        <w:t> </w:t>
      </w:r>
      <w:r>
        <w:rPr>
          <w:i/>
          <w:sz w:val="20"/>
        </w:rPr>
        <w:t>implementing their care. They will be engaged in shared decision-making and</w:t>
      </w:r>
      <w:r>
        <w:rPr>
          <w:i/>
          <w:spacing w:val="1"/>
          <w:sz w:val="20"/>
        </w:rPr>
        <w:t> </w:t>
      </w:r>
      <w:r>
        <w:rPr>
          <w:i/>
          <w:sz w:val="20"/>
        </w:rPr>
        <w:t>supported</w:t>
      </w:r>
      <w:r>
        <w:rPr>
          <w:i/>
          <w:spacing w:val="-2"/>
          <w:sz w:val="20"/>
        </w:rPr>
        <w:t> </w:t>
      </w:r>
      <w:r>
        <w:rPr>
          <w:i/>
          <w:sz w:val="20"/>
        </w:rPr>
        <w:t>to</w:t>
      </w:r>
      <w:r>
        <w:rPr>
          <w:i/>
          <w:spacing w:val="-1"/>
          <w:sz w:val="20"/>
        </w:rPr>
        <w:t> </w:t>
      </w:r>
      <w:r>
        <w:rPr>
          <w:i/>
          <w:sz w:val="20"/>
        </w:rPr>
        <w:t>stay</w:t>
      </w:r>
      <w:r>
        <w:rPr>
          <w:i/>
          <w:spacing w:val="-3"/>
          <w:sz w:val="20"/>
        </w:rPr>
        <w:t> </w:t>
      </w:r>
      <w:r>
        <w:rPr>
          <w:i/>
          <w:sz w:val="20"/>
        </w:rPr>
        <w:t>healthy</w:t>
      </w:r>
      <w:r>
        <w:rPr>
          <w:i/>
          <w:spacing w:val="-2"/>
          <w:sz w:val="20"/>
        </w:rPr>
        <w:t> </w:t>
      </w:r>
      <w:r>
        <w:rPr>
          <w:i/>
          <w:sz w:val="20"/>
        </w:rPr>
        <w:t>and</w:t>
      </w:r>
      <w:r>
        <w:rPr>
          <w:i/>
          <w:spacing w:val="-2"/>
          <w:sz w:val="20"/>
        </w:rPr>
        <w:t> </w:t>
      </w:r>
      <w:r>
        <w:rPr>
          <w:i/>
          <w:sz w:val="20"/>
        </w:rPr>
        <w:t>to</w:t>
      </w:r>
      <w:r>
        <w:rPr>
          <w:i/>
          <w:spacing w:val="-1"/>
          <w:sz w:val="20"/>
        </w:rPr>
        <w:t> </w:t>
      </w:r>
      <w:r>
        <w:rPr>
          <w:i/>
          <w:sz w:val="20"/>
        </w:rPr>
        <w:t>better</w:t>
      </w:r>
      <w:r>
        <w:rPr>
          <w:i/>
          <w:spacing w:val="-2"/>
          <w:sz w:val="20"/>
        </w:rPr>
        <w:t> </w:t>
      </w:r>
      <w:r>
        <w:rPr>
          <w:i/>
          <w:sz w:val="20"/>
        </w:rPr>
        <w:t>self-manage</w:t>
      </w:r>
      <w:r>
        <w:rPr>
          <w:i/>
          <w:spacing w:val="-1"/>
          <w:sz w:val="20"/>
        </w:rPr>
        <w:t> </w:t>
      </w:r>
      <w:r>
        <w:rPr>
          <w:i/>
          <w:sz w:val="20"/>
        </w:rPr>
        <w:t>their</w:t>
      </w:r>
      <w:r>
        <w:rPr>
          <w:i/>
          <w:spacing w:val="-1"/>
          <w:sz w:val="20"/>
        </w:rPr>
        <w:t> </w:t>
      </w:r>
      <w:r>
        <w:rPr>
          <w:i/>
          <w:sz w:val="20"/>
        </w:rPr>
        <w:t>conditions.</w:t>
      </w:r>
    </w:p>
    <w:p>
      <w:pPr>
        <w:pStyle w:val="BodyText"/>
        <w:spacing w:before="199"/>
        <w:ind w:left="100"/>
      </w:pPr>
      <w:r>
        <w:rPr/>
        <w:t>(</w:t>
      </w:r>
      <w:hyperlink w:history="true" w:anchor="_bookmark102">
        <w:r>
          <w:rPr/>
          <w:t>Australian</w:t>
        </w:r>
        <w:r>
          <w:rPr>
            <w:spacing w:val="-2"/>
          </w:rPr>
          <w:t> </w:t>
        </w:r>
        <w:r>
          <w:rPr/>
          <w:t>Government</w:t>
        </w:r>
        <w:r>
          <w:rPr>
            <w:spacing w:val="-1"/>
          </w:rPr>
          <w:t> </w:t>
        </w:r>
        <w:r>
          <w:rPr/>
          <w:t>Department</w:t>
        </w:r>
        <w:r>
          <w:rPr>
            <w:spacing w:val="-1"/>
          </w:rPr>
          <w:t> </w:t>
        </w:r>
        <w:r>
          <w:rPr/>
          <w:t>of</w:t>
        </w:r>
        <w:r>
          <w:rPr>
            <w:spacing w:val="-2"/>
          </w:rPr>
          <w:t> </w:t>
        </w:r>
        <w:r>
          <w:rPr/>
          <w:t>Health,</w:t>
        </w:r>
        <w:r>
          <w:rPr>
            <w:spacing w:val="-5"/>
          </w:rPr>
          <w:t> </w:t>
        </w:r>
        <w:r>
          <w:rPr/>
          <w:t>2016</w:t>
        </w:r>
      </w:hyperlink>
      <w:r>
        <w:rPr/>
        <w:t>,</w:t>
      </w:r>
      <w:r>
        <w:rPr>
          <w:spacing w:val="-4"/>
        </w:rPr>
        <w:t> </w:t>
      </w:r>
      <w:r>
        <w:rPr/>
        <w:t>p</w:t>
      </w:r>
      <w:r>
        <w:rPr>
          <w:spacing w:val="-2"/>
        </w:rPr>
        <w:t> </w:t>
      </w:r>
      <w:r>
        <w:rPr/>
        <w:t>4)</w:t>
      </w:r>
    </w:p>
    <w:p>
      <w:pPr>
        <w:pStyle w:val="BodyText"/>
        <w:spacing w:before="5"/>
        <w:rPr>
          <w:sz w:val="19"/>
        </w:rPr>
      </w:pPr>
    </w:p>
    <w:p>
      <w:pPr>
        <w:pStyle w:val="BodyText"/>
        <w:spacing w:line="276" w:lineRule="auto"/>
        <w:ind w:left="100" w:right="406"/>
        <w:jc w:val="both"/>
      </w:pPr>
      <w:r>
        <w:rPr/>
        <w:t>This objective builds on the recommendations of the Primary Health Care Advisory Group,</w:t>
      </w:r>
      <w:r>
        <w:rPr>
          <w:spacing w:val="-53"/>
        </w:rPr>
        <w:t> </w:t>
      </w:r>
      <w:r>
        <w:rPr/>
        <w:t>which emphasised the need to </w:t>
      </w:r>
      <w:r>
        <w:rPr>
          <w:i/>
        </w:rPr>
        <w:t>activate </w:t>
      </w:r>
      <w:r>
        <w:rPr/>
        <w:t>patients to be engaged in their care. The Review</w:t>
      </w:r>
      <w:r>
        <w:rPr>
          <w:spacing w:val="-54"/>
        </w:rPr>
        <w:t> </w:t>
      </w:r>
      <w:r>
        <w:rPr/>
        <w:t>proposed</w:t>
      </w:r>
      <w:r>
        <w:rPr>
          <w:spacing w:val="-2"/>
        </w:rPr>
        <w:t> </w:t>
      </w:r>
      <w:r>
        <w:rPr/>
        <w:t>that:</w:t>
      </w:r>
    </w:p>
    <w:p>
      <w:pPr>
        <w:spacing w:line="276" w:lineRule="auto" w:before="200"/>
        <w:ind w:left="666" w:right="594" w:firstLine="0"/>
        <w:jc w:val="left"/>
        <w:rPr>
          <w:i/>
          <w:sz w:val="20"/>
        </w:rPr>
      </w:pPr>
      <w:r>
        <w:rPr>
          <w:i/>
          <w:sz w:val="20"/>
        </w:rPr>
        <w:t>As </w:t>
      </w:r>
      <w:r>
        <w:rPr>
          <w:i/>
          <w:color w:val="211E1F"/>
          <w:sz w:val="20"/>
        </w:rPr>
        <w:t>part of care planning with the patient …, an assessment of the level of patient</w:t>
      </w:r>
      <w:r>
        <w:rPr>
          <w:i/>
          <w:color w:val="211E1F"/>
          <w:spacing w:val="1"/>
          <w:sz w:val="20"/>
        </w:rPr>
        <w:t> </w:t>
      </w:r>
      <w:r>
        <w:rPr>
          <w:i/>
          <w:color w:val="211E1F"/>
          <w:sz w:val="20"/>
        </w:rPr>
        <w:t>health literacy and their motivation for adopting healthier behaviours to support</w:t>
      </w:r>
      <w:r>
        <w:rPr>
          <w:i/>
          <w:color w:val="211E1F"/>
          <w:spacing w:val="1"/>
          <w:sz w:val="20"/>
        </w:rPr>
        <w:t> </w:t>
      </w:r>
      <w:r>
        <w:rPr>
          <w:i/>
          <w:color w:val="211E1F"/>
          <w:sz w:val="20"/>
        </w:rPr>
        <w:t>their care should be included. A patient activation measure or similar short survey</w:t>
      </w:r>
      <w:r>
        <w:rPr>
          <w:i/>
          <w:color w:val="211E1F"/>
          <w:spacing w:val="-53"/>
          <w:sz w:val="20"/>
        </w:rPr>
        <w:t> </w:t>
      </w:r>
      <w:r>
        <w:rPr>
          <w:i/>
          <w:color w:val="211E1F"/>
          <w:sz w:val="20"/>
        </w:rPr>
        <w:t>would define the role of the patient in the care plan, including guiding patients to</w:t>
      </w:r>
      <w:r>
        <w:rPr>
          <w:i/>
          <w:color w:val="211E1F"/>
          <w:spacing w:val="-53"/>
          <w:sz w:val="20"/>
        </w:rPr>
        <w:t> </w:t>
      </w:r>
      <w:r>
        <w:rPr>
          <w:i/>
          <w:color w:val="211E1F"/>
          <w:sz w:val="20"/>
        </w:rPr>
        <w:t>tools and information that can help them to know more about their health</w:t>
      </w:r>
      <w:r>
        <w:rPr>
          <w:i/>
          <w:color w:val="211E1F"/>
          <w:spacing w:val="1"/>
          <w:sz w:val="20"/>
        </w:rPr>
        <w:t> </w:t>
      </w:r>
      <w:r>
        <w:rPr>
          <w:i/>
          <w:color w:val="211E1F"/>
          <w:sz w:val="20"/>
        </w:rPr>
        <w:t>conditions</w:t>
      </w:r>
      <w:r>
        <w:rPr>
          <w:i/>
          <w:color w:val="211E1F"/>
          <w:spacing w:val="-2"/>
          <w:sz w:val="20"/>
        </w:rPr>
        <w:t> </w:t>
      </w:r>
      <w:r>
        <w:rPr>
          <w:i/>
          <w:color w:val="211E1F"/>
          <w:sz w:val="20"/>
        </w:rPr>
        <w:t>and</w:t>
      </w:r>
      <w:r>
        <w:rPr>
          <w:i/>
          <w:color w:val="211E1F"/>
          <w:spacing w:val="-1"/>
          <w:sz w:val="20"/>
        </w:rPr>
        <w:t> </w:t>
      </w:r>
      <w:r>
        <w:rPr>
          <w:i/>
          <w:color w:val="211E1F"/>
          <w:sz w:val="20"/>
        </w:rPr>
        <w:t>how</w:t>
      </w:r>
      <w:r>
        <w:rPr>
          <w:i/>
          <w:color w:val="211E1F"/>
          <w:spacing w:val="-5"/>
          <w:sz w:val="20"/>
        </w:rPr>
        <w:t> </w:t>
      </w:r>
      <w:r>
        <w:rPr>
          <w:i/>
          <w:color w:val="211E1F"/>
          <w:sz w:val="20"/>
        </w:rPr>
        <w:t>to</w:t>
      </w:r>
      <w:r>
        <w:rPr>
          <w:i/>
          <w:color w:val="211E1F"/>
          <w:spacing w:val="1"/>
          <w:sz w:val="20"/>
        </w:rPr>
        <w:t> </w:t>
      </w:r>
      <w:r>
        <w:rPr>
          <w:i/>
          <w:color w:val="211E1F"/>
          <w:sz w:val="20"/>
        </w:rPr>
        <w:t>manage</w:t>
      </w:r>
      <w:r>
        <w:rPr>
          <w:i/>
          <w:color w:val="211E1F"/>
          <w:spacing w:val="-1"/>
          <w:sz w:val="20"/>
        </w:rPr>
        <w:t> </w:t>
      </w:r>
      <w:r>
        <w:rPr>
          <w:i/>
          <w:color w:val="211E1F"/>
          <w:sz w:val="20"/>
        </w:rPr>
        <w:t>them.</w:t>
      </w:r>
    </w:p>
    <w:p>
      <w:pPr>
        <w:pStyle w:val="BodyText"/>
        <w:spacing w:before="199"/>
        <w:ind w:left="100"/>
      </w:pPr>
      <w:r>
        <w:rPr>
          <w:color w:val="211E1F"/>
        </w:rPr>
        <w:t>(</w:t>
      </w:r>
      <w:hyperlink w:history="true" w:anchor="_bookmark131">
        <w:r>
          <w:rPr>
            <w:color w:val="211E1F"/>
          </w:rPr>
          <w:t>Primary</w:t>
        </w:r>
        <w:r>
          <w:rPr>
            <w:color w:val="211E1F"/>
            <w:spacing w:val="-4"/>
          </w:rPr>
          <w:t> </w:t>
        </w:r>
        <w:r>
          <w:rPr>
            <w:color w:val="211E1F"/>
          </w:rPr>
          <w:t>Health</w:t>
        </w:r>
        <w:r>
          <w:rPr>
            <w:color w:val="211E1F"/>
            <w:spacing w:val="-2"/>
          </w:rPr>
          <w:t> </w:t>
        </w:r>
        <w:r>
          <w:rPr>
            <w:color w:val="211E1F"/>
          </w:rPr>
          <w:t>Care Advisory</w:t>
        </w:r>
        <w:r>
          <w:rPr>
            <w:color w:val="211E1F"/>
            <w:spacing w:val="-3"/>
          </w:rPr>
          <w:t> </w:t>
        </w:r>
        <w:r>
          <w:rPr>
            <w:color w:val="211E1F"/>
          </w:rPr>
          <w:t>Group,</w:t>
        </w:r>
        <w:r>
          <w:rPr>
            <w:color w:val="211E1F"/>
            <w:spacing w:val="-5"/>
          </w:rPr>
          <w:t> </w:t>
        </w:r>
        <w:r>
          <w:rPr>
            <w:color w:val="211E1F"/>
          </w:rPr>
          <w:t>2015,</w:t>
        </w:r>
        <w:r>
          <w:rPr>
            <w:color w:val="211E1F"/>
            <w:spacing w:val="-5"/>
          </w:rPr>
          <w:t> </w:t>
        </w:r>
      </w:hyperlink>
      <w:r>
        <w:rPr>
          <w:color w:val="211E1F"/>
        </w:rPr>
        <w:t>p 22)</w:t>
      </w:r>
    </w:p>
    <w:p>
      <w:pPr>
        <w:pStyle w:val="BodyText"/>
        <w:spacing w:before="5"/>
        <w:rPr>
          <w:sz w:val="19"/>
        </w:rPr>
      </w:pPr>
    </w:p>
    <w:p>
      <w:pPr>
        <w:pStyle w:val="BodyText"/>
        <w:spacing w:line="276" w:lineRule="auto"/>
        <w:ind w:left="100" w:right="371"/>
        <w:jc w:val="both"/>
      </w:pPr>
      <w:r>
        <w:rPr/>
        <w:t>Therefore, following enrolment in the HCH program, patients, and their carers and families,</w:t>
      </w:r>
      <w:r>
        <w:rPr>
          <w:spacing w:val="-54"/>
        </w:rPr>
        <w:t> </w:t>
      </w:r>
      <w:r>
        <w:rPr/>
        <w:t>will</w:t>
      </w:r>
      <w:r>
        <w:rPr>
          <w:spacing w:val="-2"/>
        </w:rPr>
        <w:t> </w:t>
      </w:r>
      <w:r>
        <w:rPr/>
        <w:t>be</w:t>
      </w:r>
      <w:r>
        <w:rPr>
          <w:spacing w:val="-3"/>
        </w:rPr>
        <w:t> </w:t>
      </w:r>
      <w:r>
        <w:rPr/>
        <w:t>engaged</w:t>
      </w:r>
      <w:r>
        <w:rPr>
          <w:spacing w:val="-2"/>
        </w:rPr>
        <w:t> </w:t>
      </w:r>
      <w:r>
        <w:rPr/>
        <w:t>in</w:t>
      </w:r>
      <w:r>
        <w:rPr>
          <w:spacing w:val="-1"/>
        </w:rPr>
        <w:t> </w:t>
      </w:r>
      <w:r>
        <w:rPr/>
        <w:t>developing</w:t>
      </w:r>
      <w:r>
        <w:rPr>
          <w:spacing w:val="-3"/>
        </w:rPr>
        <w:t> </w:t>
      </w:r>
      <w:r>
        <w:rPr/>
        <w:t>a</w:t>
      </w:r>
      <w:r>
        <w:rPr>
          <w:spacing w:val="-2"/>
        </w:rPr>
        <w:t> </w:t>
      </w:r>
      <w:r>
        <w:rPr/>
        <w:t>care</w:t>
      </w:r>
      <w:r>
        <w:rPr>
          <w:spacing w:val="-3"/>
        </w:rPr>
        <w:t> </w:t>
      </w:r>
      <w:r>
        <w:rPr/>
        <w:t>plan</w:t>
      </w:r>
      <w:r>
        <w:rPr>
          <w:spacing w:val="-1"/>
        </w:rPr>
        <w:t> </w:t>
      </w:r>
      <w:r>
        <w:rPr/>
        <w:t>(which</w:t>
      </w:r>
      <w:r>
        <w:rPr>
          <w:spacing w:val="-2"/>
        </w:rPr>
        <w:t> </w:t>
      </w:r>
      <w:r>
        <w:rPr/>
        <w:t>may</w:t>
      </w:r>
      <w:r>
        <w:rPr>
          <w:spacing w:val="-4"/>
        </w:rPr>
        <w:t> </w:t>
      </w:r>
      <w:r>
        <w:rPr/>
        <w:t>build</w:t>
      </w:r>
      <w:r>
        <w:rPr>
          <w:spacing w:val="-3"/>
        </w:rPr>
        <w:t> </w:t>
      </w:r>
      <w:r>
        <w:rPr/>
        <w:t>on</w:t>
      </w:r>
      <w:r>
        <w:rPr>
          <w:spacing w:val="-2"/>
        </w:rPr>
        <w:t> </w:t>
      </w:r>
      <w:r>
        <w:rPr/>
        <w:t>an</w:t>
      </w:r>
      <w:r>
        <w:rPr>
          <w:spacing w:val="-2"/>
        </w:rPr>
        <w:t> </w:t>
      </w:r>
      <w:r>
        <w:rPr/>
        <w:t>existing</w:t>
      </w:r>
      <w:r>
        <w:rPr>
          <w:spacing w:val="-3"/>
        </w:rPr>
        <w:t> </w:t>
      </w:r>
      <w:r>
        <w:rPr/>
        <w:t>care</w:t>
      </w:r>
      <w:r>
        <w:rPr>
          <w:spacing w:val="-3"/>
        </w:rPr>
        <w:t> </w:t>
      </w:r>
      <w:r>
        <w:rPr/>
        <w:t>plan).</w:t>
      </w:r>
    </w:p>
    <w:p>
      <w:pPr>
        <w:pStyle w:val="BodyText"/>
        <w:spacing w:line="276" w:lineRule="auto" w:before="199"/>
        <w:ind w:left="100" w:right="136"/>
      </w:pPr>
      <w:r>
        <w:rPr>
          <w:color w:val="211E1F"/>
        </w:rPr>
        <w:t>The evaluation should assess how the HCH implementation led to enhancements in the care</w:t>
      </w:r>
      <w:r>
        <w:rPr>
          <w:color w:val="211E1F"/>
          <w:spacing w:val="-53"/>
        </w:rPr>
        <w:t> </w:t>
      </w:r>
      <w:r>
        <w:rPr>
          <w:color w:val="211E1F"/>
        </w:rPr>
        <w:t>planning and review processes and other patient-provider interactions, and the extent to</w:t>
      </w:r>
      <w:r>
        <w:rPr>
          <w:color w:val="211E1F"/>
          <w:spacing w:val="1"/>
        </w:rPr>
        <w:t> </w:t>
      </w:r>
      <w:r>
        <w:rPr>
          <w:color w:val="211E1F"/>
        </w:rPr>
        <w:t>which these led to greater levels of patient activation. Another aspect of this will be to</w:t>
      </w:r>
      <w:r>
        <w:rPr>
          <w:color w:val="211E1F"/>
          <w:spacing w:val="1"/>
        </w:rPr>
        <w:t> </w:t>
      </w:r>
      <w:r>
        <w:rPr>
          <w:color w:val="211E1F"/>
        </w:rPr>
        <w:t>consider</w:t>
      </w:r>
      <w:r>
        <w:rPr>
          <w:color w:val="211E1F"/>
          <w:spacing w:val="-2"/>
        </w:rPr>
        <w:t> </w:t>
      </w:r>
      <w:r>
        <w:rPr>
          <w:color w:val="211E1F"/>
        </w:rPr>
        <w:t>the</w:t>
      </w:r>
      <w:r>
        <w:rPr>
          <w:color w:val="211E1F"/>
          <w:spacing w:val="-2"/>
        </w:rPr>
        <w:t> </w:t>
      </w:r>
      <w:r>
        <w:rPr>
          <w:color w:val="211E1F"/>
        </w:rPr>
        <w:t>characteristics</w:t>
      </w:r>
      <w:r>
        <w:rPr>
          <w:color w:val="211E1F"/>
          <w:spacing w:val="-2"/>
        </w:rPr>
        <w:t> </w:t>
      </w:r>
      <w:r>
        <w:rPr>
          <w:color w:val="211E1F"/>
        </w:rPr>
        <w:t>of</w:t>
      </w:r>
      <w:r>
        <w:rPr>
          <w:color w:val="211E1F"/>
          <w:spacing w:val="-2"/>
        </w:rPr>
        <w:t> </w:t>
      </w:r>
      <w:r>
        <w:rPr>
          <w:color w:val="211E1F"/>
        </w:rPr>
        <w:t>patients</w:t>
      </w:r>
      <w:r>
        <w:rPr>
          <w:color w:val="211E1F"/>
          <w:spacing w:val="-2"/>
        </w:rPr>
        <w:t> </w:t>
      </w:r>
      <w:r>
        <w:rPr>
          <w:color w:val="211E1F"/>
        </w:rPr>
        <w:t>for</w:t>
      </w:r>
      <w:r>
        <w:rPr>
          <w:color w:val="211E1F"/>
          <w:spacing w:val="-2"/>
        </w:rPr>
        <w:t> </w:t>
      </w:r>
      <w:r>
        <w:rPr>
          <w:color w:val="211E1F"/>
        </w:rPr>
        <w:t>whom</w:t>
      </w:r>
      <w:r>
        <w:rPr>
          <w:color w:val="211E1F"/>
          <w:spacing w:val="-2"/>
        </w:rPr>
        <w:t> </w:t>
      </w:r>
      <w:r>
        <w:rPr>
          <w:color w:val="211E1F"/>
        </w:rPr>
        <w:t>HCH</w:t>
      </w:r>
      <w:r>
        <w:rPr>
          <w:color w:val="211E1F"/>
          <w:spacing w:val="-1"/>
        </w:rPr>
        <w:t> </w:t>
      </w:r>
      <w:r>
        <w:rPr>
          <w:color w:val="211E1F"/>
        </w:rPr>
        <w:t>will</w:t>
      </w:r>
      <w:r>
        <w:rPr>
          <w:color w:val="211E1F"/>
          <w:spacing w:val="-1"/>
        </w:rPr>
        <w:t> </w:t>
      </w:r>
      <w:r>
        <w:rPr>
          <w:color w:val="211E1F"/>
        </w:rPr>
        <w:t>be</w:t>
      </w:r>
      <w:r>
        <w:rPr>
          <w:color w:val="211E1F"/>
          <w:spacing w:val="-2"/>
        </w:rPr>
        <w:t> </w:t>
      </w:r>
      <w:r>
        <w:rPr>
          <w:color w:val="211E1F"/>
        </w:rPr>
        <w:t>most beneficial.</w:t>
      </w:r>
    </w:p>
    <w:p>
      <w:pPr>
        <w:pStyle w:val="BodyText"/>
        <w:spacing w:line="276" w:lineRule="auto" w:before="202"/>
        <w:ind w:left="100" w:right="101"/>
      </w:pPr>
      <w:r>
        <w:rPr>
          <w:color w:val="211E1F"/>
        </w:rPr>
        <w:t>By changing the funding from fee-for-service to a bundled payment, the HCH program</w:t>
      </w:r>
      <w:r>
        <w:rPr>
          <w:color w:val="211E1F"/>
          <w:spacing w:val="1"/>
        </w:rPr>
        <w:t> </w:t>
      </w:r>
      <w:r>
        <w:rPr>
          <w:color w:val="211E1F"/>
        </w:rPr>
        <w:t>opens opportunities for new ways of interacting with patients. This flexibility supports one of</w:t>
      </w:r>
      <w:r>
        <w:rPr>
          <w:color w:val="211E1F"/>
          <w:spacing w:val="1"/>
        </w:rPr>
        <w:t> </w:t>
      </w:r>
      <w:r>
        <w:rPr>
          <w:color w:val="211E1F"/>
        </w:rPr>
        <w:t>the key attributes of the </w:t>
      </w:r>
      <w:r>
        <w:rPr/>
        <w:t>patient centred medical home model</w:t>
      </w:r>
      <w:r>
        <w:rPr>
          <w:color w:val="211E1F"/>
        </w:rPr>
        <w:t>, which is to create new ways</w:t>
      </w:r>
      <w:r>
        <w:rPr>
          <w:color w:val="211E1F"/>
          <w:spacing w:val="1"/>
        </w:rPr>
        <w:t> </w:t>
      </w:r>
      <w:r>
        <w:rPr>
          <w:color w:val="211E1F"/>
        </w:rPr>
        <w:t>through which</w:t>
      </w:r>
      <w:r>
        <w:rPr>
          <w:color w:val="211E1F"/>
          <w:spacing w:val="1"/>
        </w:rPr>
        <w:t> </w:t>
      </w:r>
      <w:r>
        <w:rPr>
          <w:color w:val="211E1F"/>
        </w:rPr>
        <w:t>patients</w:t>
      </w:r>
      <w:r>
        <w:rPr>
          <w:color w:val="211E1F"/>
          <w:spacing w:val="-1"/>
        </w:rPr>
        <w:t> </w:t>
      </w:r>
      <w:r>
        <w:rPr>
          <w:color w:val="211E1F"/>
        </w:rPr>
        <w:t>can</w:t>
      </w:r>
      <w:r>
        <w:rPr>
          <w:color w:val="211E1F"/>
          <w:spacing w:val="1"/>
        </w:rPr>
        <w:t> </w:t>
      </w:r>
      <w:r>
        <w:rPr>
          <w:color w:val="211E1F"/>
        </w:rPr>
        <w:t>gain access</w:t>
      </w:r>
      <w:r>
        <w:rPr>
          <w:color w:val="211E1F"/>
          <w:spacing w:val="4"/>
        </w:rPr>
        <w:t> </w:t>
      </w:r>
      <w:r>
        <w:rPr>
          <w:color w:val="211E1F"/>
        </w:rPr>
        <w:t>to</w:t>
      </w:r>
      <w:r>
        <w:rPr>
          <w:color w:val="211E1F"/>
          <w:spacing w:val="-2"/>
        </w:rPr>
        <w:t> </w:t>
      </w:r>
      <w:r>
        <w:rPr>
          <w:color w:val="211E1F"/>
        </w:rPr>
        <w:t>primary care.</w:t>
      </w:r>
      <w:r>
        <w:rPr>
          <w:color w:val="211E1F"/>
          <w:spacing w:val="-3"/>
        </w:rPr>
        <w:t> </w:t>
      </w:r>
      <w:r>
        <w:rPr>
          <w:color w:val="211E1F"/>
        </w:rPr>
        <w:t>The</w:t>
      </w:r>
      <w:r>
        <w:rPr>
          <w:color w:val="211E1F"/>
          <w:spacing w:val="3"/>
        </w:rPr>
        <w:t> </w:t>
      </w:r>
      <w:r>
        <w:rPr>
          <w:color w:val="211E1F"/>
        </w:rPr>
        <w:t>evaluation should examine</w:t>
      </w:r>
      <w:r>
        <w:rPr>
          <w:color w:val="211E1F"/>
          <w:spacing w:val="1"/>
        </w:rPr>
        <w:t> </w:t>
      </w:r>
      <w:r>
        <w:rPr>
          <w:color w:val="211E1F"/>
        </w:rPr>
        <w:t>how the mix of contacts between the patient and practice changed, including whether the</w:t>
      </w:r>
      <w:r>
        <w:rPr>
          <w:color w:val="211E1F"/>
          <w:spacing w:val="-53"/>
        </w:rPr>
        <w:t> </w:t>
      </w:r>
      <w:r>
        <w:rPr>
          <w:color w:val="211E1F"/>
        </w:rPr>
        <w:t>alternative</w:t>
      </w:r>
      <w:r>
        <w:rPr>
          <w:color w:val="211E1F"/>
          <w:spacing w:val="-4"/>
        </w:rPr>
        <w:t> </w:t>
      </w:r>
      <w:r>
        <w:rPr>
          <w:color w:val="211E1F"/>
        </w:rPr>
        <w:t>modalities</w:t>
      </w:r>
      <w:r>
        <w:rPr>
          <w:color w:val="211E1F"/>
          <w:spacing w:val="-4"/>
        </w:rPr>
        <w:t> </w:t>
      </w:r>
      <w:r>
        <w:rPr>
          <w:color w:val="211E1F"/>
        </w:rPr>
        <w:t>were</w:t>
      </w:r>
      <w:r>
        <w:rPr>
          <w:color w:val="211E1F"/>
          <w:spacing w:val="-3"/>
        </w:rPr>
        <w:t> </w:t>
      </w:r>
      <w:r>
        <w:rPr>
          <w:color w:val="211E1F"/>
        </w:rPr>
        <w:t>used</w:t>
      </w:r>
      <w:r>
        <w:rPr>
          <w:color w:val="211E1F"/>
          <w:spacing w:val="-4"/>
        </w:rPr>
        <w:t> </w:t>
      </w:r>
      <w:r>
        <w:rPr>
          <w:color w:val="211E1F"/>
        </w:rPr>
        <w:t>by</w:t>
      </w:r>
      <w:r>
        <w:rPr>
          <w:color w:val="211E1F"/>
          <w:spacing w:val="-4"/>
        </w:rPr>
        <w:t> </w:t>
      </w:r>
      <w:r>
        <w:rPr>
          <w:color w:val="211E1F"/>
        </w:rPr>
        <w:t>patients,</w:t>
      </w:r>
      <w:r>
        <w:rPr>
          <w:color w:val="211E1F"/>
          <w:spacing w:val="-7"/>
        </w:rPr>
        <w:t> </w:t>
      </w:r>
      <w:r>
        <w:rPr>
          <w:color w:val="211E1F"/>
        </w:rPr>
        <w:t>and</w:t>
      </w:r>
      <w:r>
        <w:rPr>
          <w:color w:val="211E1F"/>
          <w:spacing w:val="-1"/>
        </w:rPr>
        <w:t> </w:t>
      </w:r>
      <w:r>
        <w:rPr>
          <w:color w:val="211E1F"/>
        </w:rPr>
        <w:t>how</w:t>
      </w:r>
      <w:r>
        <w:rPr>
          <w:color w:val="211E1F"/>
          <w:spacing w:val="-1"/>
        </w:rPr>
        <w:t> </w:t>
      </w:r>
      <w:r>
        <w:rPr>
          <w:color w:val="211E1F"/>
        </w:rPr>
        <w:t>this</w:t>
      </w:r>
      <w:r>
        <w:rPr>
          <w:color w:val="211E1F"/>
          <w:spacing w:val="-4"/>
        </w:rPr>
        <w:t> </w:t>
      </w:r>
      <w:r>
        <w:rPr>
          <w:color w:val="211E1F"/>
        </w:rPr>
        <w:t>impacted</w:t>
      </w:r>
      <w:r>
        <w:rPr>
          <w:color w:val="211E1F"/>
          <w:spacing w:val="-5"/>
        </w:rPr>
        <w:t> </w:t>
      </w:r>
      <w:r>
        <w:rPr>
          <w:color w:val="211E1F"/>
        </w:rPr>
        <w:t>the</w:t>
      </w:r>
      <w:r>
        <w:rPr>
          <w:color w:val="211E1F"/>
          <w:spacing w:val="-4"/>
        </w:rPr>
        <w:t> </w:t>
      </w:r>
      <w:r>
        <w:rPr>
          <w:color w:val="211E1F"/>
        </w:rPr>
        <w:t>overall</w:t>
      </w:r>
      <w:r>
        <w:rPr>
          <w:color w:val="211E1F"/>
          <w:spacing w:val="-3"/>
        </w:rPr>
        <w:t> </w:t>
      </w:r>
      <w:r>
        <w:rPr>
          <w:color w:val="211E1F"/>
        </w:rPr>
        <w:t>level</w:t>
      </w:r>
      <w:r>
        <w:rPr>
          <w:color w:val="211E1F"/>
          <w:spacing w:val="-2"/>
        </w:rPr>
        <w:t> </w:t>
      </w:r>
      <w:r>
        <w:rPr>
          <w:color w:val="211E1F"/>
        </w:rPr>
        <w:t>of</w:t>
      </w:r>
      <w:r>
        <w:rPr>
          <w:color w:val="211E1F"/>
          <w:spacing w:val="-4"/>
        </w:rPr>
        <w:t> </w:t>
      </w:r>
      <w:r>
        <w:rPr>
          <w:color w:val="211E1F"/>
        </w:rPr>
        <w:t>care</w:t>
      </w:r>
      <w:r>
        <w:rPr>
          <w:color w:val="211E1F"/>
          <w:spacing w:val="-52"/>
        </w:rPr>
        <w:t> </w:t>
      </w:r>
      <w:r>
        <w:rPr>
          <w:color w:val="211E1F"/>
        </w:rPr>
        <w:t>accessed</w:t>
      </w:r>
      <w:r>
        <w:rPr>
          <w:color w:val="211E1F"/>
          <w:spacing w:val="-2"/>
        </w:rPr>
        <w:t> </w:t>
      </w:r>
      <w:r>
        <w:rPr>
          <w:color w:val="211E1F"/>
        </w:rPr>
        <w:t>by patients.</w:t>
      </w:r>
    </w:p>
    <w:p>
      <w:pPr>
        <w:pStyle w:val="BodyText"/>
        <w:spacing w:line="276" w:lineRule="auto" w:before="201"/>
        <w:ind w:left="100" w:right="503"/>
      </w:pPr>
      <w:r>
        <w:rPr>
          <w:color w:val="211E1F"/>
        </w:rPr>
        <w:t>Another intended change is that improved chronic disease management is provided for</w:t>
      </w:r>
      <w:r>
        <w:rPr>
          <w:color w:val="211E1F"/>
          <w:spacing w:val="-53"/>
        </w:rPr>
        <w:t> </w:t>
      </w:r>
      <w:r>
        <w:rPr>
          <w:color w:val="211E1F"/>
        </w:rPr>
        <w:t>HCH</w:t>
      </w:r>
      <w:r>
        <w:rPr>
          <w:color w:val="211E1F"/>
          <w:spacing w:val="-1"/>
        </w:rPr>
        <w:t> </w:t>
      </w:r>
      <w:r>
        <w:rPr>
          <w:color w:val="211E1F"/>
        </w:rPr>
        <w:t>patients.</w:t>
      </w:r>
    </w:p>
    <w:p>
      <w:pPr>
        <w:pStyle w:val="BodyText"/>
        <w:spacing w:line="276" w:lineRule="auto" w:before="199"/>
        <w:ind w:left="100" w:right="99"/>
      </w:pPr>
      <w:r>
        <w:rPr>
          <w:color w:val="211E1F"/>
        </w:rPr>
        <w:t>Ideally the changes resulting from the HCH implementation will result in changes in the use of</w:t>
      </w:r>
      <w:r>
        <w:rPr>
          <w:color w:val="211E1F"/>
          <w:spacing w:val="-53"/>
        </w:rPr>
        <w:t> </w:t>
      </w:r>
      <w:r>
        <w:rPr>
          <w:color w:val="211E1F"/>
        </w:rPr>
        <w:t>other health care services outside the practice. This includes the use of allied health,</w:t>
      </w:r>
      <w:r>
        <w:rPr>
          <w:color w:val="211E1F"/>
          <w:spacing w:val="1"/>
        </w:rPr>
        <w:t> </w:t>
      </w:r>
      <w:r>
        <w:rPr>
          <w:color w:val="211E1F"/>
        </w:rPr>
        <w:t>secondary care and hospital services. The long-term expectation is that the HCH model will</w:t>
      </w:r>
      <w:r>
        <w:rPr>
          <w:color w:val="211E1F"/>
          <w:spacing w:val="1"/>
        </w:rPr>
        <w:t> </w:t>
      </w:r>
      <w:r>
        <w:rPr>
          <w:color w:val="211E1F"/>
        </w:rPr>
        <w:t>lead to reduced inappropriate use of hospital services. While hospital use needs to be</w:t>
      </w:r>
      <w:r>
        <w:rPr>
          <w:color w:val="211E1F"/>
          <w:spacing w:val="1"/>
        </w:rPr>
        <w:t> </w:t>
      </w:r>
      <w:r>
        <w:rPr>
          <w:color w:val="211E1F"/>
        </w:rPr>
        <w:t>assessed in the trial, previous research suggests that reductions may not be observed within</w:t>
      </w:r>
      <w:r>
        <w:rPr>
          <w:color w:val="211E1F"/>
          <w:spacing w:val="1"/>
        </w:rPr>
        <w:t> </w:t>
      </w:r>
      <w:r>
        <w:rPr>
          <w:color w:val="211E1F"/>
        </w:rPr>
        <w:t>the time frame of two years. In addition, changes in the mix of secondary health care and</w:t>
      </w:r>
      <w:r>
        <w:rPr>
          <w:color w:val="211E1F"/>
          <w:spacing w:val="1"/>
        </w:rPr>
        <w:t> </w:t>
      </w:r>
      <w:r>
        <w:rPr>
          <w:color w:val="211E1F"/>
        </w:rPr>
        <w:t>hospital</w:t>
      </w:r>
      <w:r>
        <w:rPr>
          <w:color w:val="211E1F"/>
          <w:spacing w:val="-4"/>
        </w:rPr>
        <w:t> </w:t>
      </w:r>
      <w:r>
        <w:rPr>
          <w:color w:val="211E1F"/>
        </w:rPr>
        <w:t>services</w:t>
      </w:r>
      <w:r>
        <w:rPr>
          <w:color w:val="211E1F"/>
          <w:spacing w:val="-4"/>
        </w:rPr>
        <w:t> </w:t>
      </w:r>
      <w:r>
        <w:rPr>
          <w:color w:val="211E1F"/>
        </w:rPr>
        <w:t>accessed</w:t>
      </w:r>
      <w:r>
        <w:rPr>
          <w:color w:val="211E1F"/>
          <w:spacing w:val="-4"/>
        </w:rPr>
        <w:t> </w:t>
      </w:r>
      <w:r>
        <w:rPr>
          <w:color w:val="211E1F"/>
        </w:rPr>
        <w:t>by</w:t>
      </w:r>
      <w:r>
        <w:rPr>
          <w:color w:val="211E1F"/>
          <w:spacing w:val="-5"/>
        </w:rPr>
        <w:t> </w:t>
      </w:r>
      <w:r>
        <w:rPr>
          <w:color w:val="211E1F"/>
        </w:rPr>
        <w:t>HCH</w:t>
      </w:r>
      <w:r>
        <w:rPr>
          <w:color w:val="211E1F"/>
          <w:spacing w:val="-3"/>
        </w:rPr>
        <w:t> </w:t>
      </w:r>
      <w:r>
        <w:rPr>
          <w:color w:val="211E1F"/>
        </w:rPr>
        <w:t>patients</w:t>
      </w:r>
      <w:r>
        <w:rPr>
          <w:color w:val="211E1F"/>
          <w:spacing w:val="-4"/>
        </w:rPr>
        <w:t> </w:t>
      </w:r>
      <w:r>
        <w:rPr>
          <w:color w:val="211E1F"/>
        </w:rPr>
        <w:t>should</w:t>
      </w:r>
      <w:r>
        <w:rPr>
          <w:color w:val="211E1F"/>
          <w:spacing w:val="-1"/>
        </w:rPr>
        <w:t> </w:t>
      </w:r>
      <w:r>
        <w:rPr>
          <w:color w:val="211E1F"/>
        </w:rPr>
        <w:t>be</w:t>
      </w:r>
      <w:r>
        <w:rPr>
          <w:color w:val="211E1F"/>
          <w:spacing w:val="-4"/>
        </w:rPr>
        <w:t> </w:t>
      </w:r>
      <w:r>
        <w:rPr>
          <w:color w:val="211E1F"/>
        </w:rPr>
        <w:t>considered.</w:t>
      </w:r>
      <w:r>
        <w:rPr>
          <w:color w:val="211E1F"/>
          <w:spacing w:val="-1"/>
        </w:rPr>
        <w:t> </w:t>
      </w:r>
      <w:r>
        <w:rPr>
          <w:color w:val="211E1F"/>
        </w:rPr>
        <w:t>Appropriate</w:t>
      </w:r>
      <w:r>
        <w:rPr>
          <w:color w:val="211E1F"/>
          <w:spacing w:val="-4"/>
        </w:rPr>
        <w:t> </w:t>
      </w:r>
      <w:r>
        <w:rPr>
          <w:color w:val="211E1F"/>
        </w:rPr>
        <w:t>use</w:t>
      </w:r>
      <w:r>
        <w:rPr>
          <w:color w:val="211E1F"/>
          <w:spacing w:val="-4"/>
        </w:rPr>
        <w:t> </w:t>
      </w:r>
      <w:r>
        <w:rPr>
          <w:color w:val="211E1F"/>
        </w:rPr>
        <w:t>of</w:t>
      </w:r>
      <w:r>
        <w:rPr>
          <w:color w:val="211E1F"/>
          <w:spacing w:val="-5"/>
        </w:rPr>
        <w:t> </w:t>
      </w:r>
      <w:r>
        <w:rPr>
          <w:color w:val="211E1F"/>
        </w:rPr>
        <w:t>these</w:t>
      </w:r>
    </w:p>
    <w:p>
      <w:pPr>
        <w:spacing w:after="0" w:line="276" w:lineRule="auto"/>
        <w:sectPr>
          <w:footerReference w:type="default" r:id="rId23"/>
          <w:pgSz w:w="11910" w:h="16840"/>
          <w:pgMar w:footer="675" w:header="0" w:top="1340" w:bottom="860" w:left="1340" w:right="1380"/>
        </w:sectPr>
      </w:pPr>
    </w:p>
    <w:p>
      <w:pPr>
        <w:pStyle w:val="BodyText"/>
        <w:spacing w:line="276" w:lineRule="auto" w:before="82"/>
        <w:ind w:left="100" w:right="620"/>
      </w:pPr>
      <w:r>
        <w:rPr>
          <w:color w:val="211E1F"/>
        </w:rPr>
        <w:t>services implies both the reduction in unnecessary care, and identifying and addressing</w:t>
      </w:r>
      <w:r>
        <w:rPr>
          <w:color w:val="211E1F"/>
          <w:spacing w:val="-54"/>
        </w:rPr>
        <w:t> </w:t>
      </w:r>
      <w:r>
        <w:rPr>
          <w:color w:val="211E1F"/>
        </w:rPr>
        <w:t>under-use.</w:t>
      </w:r>
    </w:p>
    <w:p>
      <w:pPr>
        <w:pStyle w:val="BodyText"/>
        <w:spacing w:line="276" w:lineRule="auto" w:before="199"/>
        <w:ind w:left="100" w:right="254"/>
      </w:pPr>
      <w:r>
        <w:rPr/>
        <w:t>The HCH model is expected to lead to an improved experience of care for patients, their</w:t>
      </w:r>
      <w:r>
        <w:rPr>
          <w:spacing w:val="1"/>
        </w:rPr>
        <w:t> </w:t>
      </w:r>
      <w:r>
        <w:rPr/>
        <w:t>carers and families. This includes the improved experience of primary care delivered by the</w:t>
      </w:r>
      <w:r>
        <w:rPr>
          <w:spacing w:val="-53"/>
        </w:rPr>
        <w:t> </w:t>
      </w:r>
      <w:r>
        <w:rPr/>
        <w:t>HCH practice, and the experience of coordination of care with other providers. In the</w:t>
      </w:r>
      <w:r>
        <w:rPr>
          <w:spacing w:val="1"/>
        </w:rPr>
        <w:t> </w:t>
      </w:r>
      <w:r>
        <w:rPr/>
        <w:t>evaluation,</w:t>
      </w:r>
      <w:r>
        <w:rPr>
          <w:spacing w:val="-4"/>
        </w:rPr>
        <w:t> </w:t>
      </w:r>
      <w:r>
        <w:rPr/>
        <w:t>changes</w:t>
      </w:r>
      <w:r>
        <w:rPr>
          <w:spacing w:val="-1"/>
        </w:rPr>
        <w:t> </w:t>
      </w:r>
      <w:r>
        <w:rPr/>
        <w:t>in</w:t>
      </w:r>
      <w:r>
        <w:rPr>
          <w:spacing w:val="-1"/>
        </w:rPr>
        <w:t> </w:t>
      </w:r>
      <w:r>
        <w:rPr/>
        <w:t>patient</w:t>
      </w:r>
      <w:r>
        <w:rPr>
          <w:spacing w:val="1"/>
        </w:rPr>
        <w:t> </w:t>
      </w:r>
      <w:r>
        <w:rPr/>
        <w:t>experience</w:t>
      </w:r>
      <w:r>
        <w:rPr>
          <w:spacing w:val="-1"/>
        </w:rPr>
        <w:t> </w:t>
      </w:r>
      <w:r>
        <w:rPr/>
        <w:t>need</w:t>
      </w:r>
      <w:r>
        <w:rPr>
          <w:spacing w:val="-1"/>
        </w:rPr>
        <w:t> </w:t>
      </w:r>
      <w:r>
        <w:rPr/>
        <w:t>to</w:t>
      </w:r>
      <w:r>
        <w:rPr>
          <w:spacing w:val="-2"/>
        </w:rPr>
        <w:t> </w:t>
      </w:r>
      <w:r>
        <w:rPr/>
        <w:t>be</w:t>
      </w:r>
      <w:r>
        <w:rPr>
          <w:spacing w:val="-1"/>
        </w:rPr>
        <w:t> </w:t>
      </w:r>
      <w:r>
        <w:rPr/>
        <w:t>assessed.</w:t>
      </w:r>
    </w:p>
    <w:p>
      <w:pPr>
        <w:pStyle w:val="BodyText"/>
        <w:spacing w:line="276" w:lineRule="auto" w:before="202"/>
        <w:ind w:left="100" w:right="101"/>
      </w:pPr>
      <w:r>
        <w:rPr/>
        <w:t>Medium- and long-term outcomes of the HCH program include improvements in health</w:t>
      </w:r>
      <w:r>
        <w:rPr>
          <w:spacing w:val="1"/>
        </w:rPr>
        <w:t> </w:t>
      </w:r>
      <w:r>
        <w:rPr/>
        <w:t>status (as evidenced by changes in clinical measures), key health events (such as the onset</w:t>
      </w:r>
      <w:r>
        <w:rPr>
          <w:spacing w:val="1"/>
        </w:rPr>
        <w:t> </w:t>
      </w:r>
      <w:r>
        <w:rPr/>
        <w:t>of acute conditions, exacerbations of chronic conditions, transition to residential care, and</w:t>
      </w:r>
      <w:r>
        <w:rPr>
          <w:spacing w:val="1"/>
        </w:rPr>
        <w:t> </w:t>
      </w:r>
      <w:r>
        <w:rPr/>
        <w:t>death), and other patient outcomes (including patient-reported outcomes). Previous</w:t>
      </w:r>
      <w:r>
        <w:rPr>
          <w:spacing w:val="1"/>
        </w:rPr>
        <w:t> </w:t>
      </w:r>
      <w:r>
        <w:rPr/>
        <w:t>research on the patient centred medical home model suggests that significant changes in</w:t>
      </w:r>
      <w:r>
        <w:rPr>
          <w:spacing w:val="1"/>
        </w:rPr>
        <w:t> </w:t>
      </w:r>
      <w:r>
        <w:rPr/>
        <w:t>these outcomes are unlikely to be observed in the time frame for the trial. However, these</w:t>
      </w:r>
      <w:r>
        <w:rPr>
          <w:spacing w:val="1"/>
        </w:rPr>
        <w:t> </w:t>
      </w:r>
      <w:r>
        <w:rPr/>
        <w:t>outcomes should be assessed in the evaluation where possible. As the HCH cohort includes</w:t>
      </w:r>
      <w:r>
        <w:rPr>
          <w:spacing w:val="1"/>
        </w:rPr>
        <w:t> </w:t>
      </w:r>
      <w:r>
        <w:rPr/>
        <w:t>patients whose chronic illnesses will be advanced, it is important to measure changes in</w:t>
      </w:r>
      <w:r>
        <w:rPr>
          <w:spacing w:val="1"/>
        </w:rPr>
        <w:t> </w:t>
      </w:r>
      <w:r>
        <w:rPr/>
        <w:t>outcomes</w:t>
      </w:r>
      <w:r>
        <w:rPr>
          <w:spacing w:val="-4"/>
        </w:rPr>
        <w:t> </w:t>
      </w:r>
      <w:r>
        <w:rPr/>
        <w:t>by</w:t>
      </w:r>
      <w:r>
        <w:rPr>
          <w:spacing w:val="-3"/>
        </w:rPr>
        <w:t> </w:t>
      </w:r>
      <w:r>
        <w:rPr/>
        <w:t>comparing</w:t>
      </w:r>
      <w:r>
        <w:rPr>
          <w:spacing w:val="-4"/>
        </w:rPr>
        <w:t> </w:t>
      </w:r>
      <w:r>
        <w:rPr/>
        <w:t>HCH</w:t>
      </w:r>
      <w:r>
        <w:rPr>
          <w:spacing w:val="-2"/>
        </w:rPr>
        <w:t> </w:t>
      </w:r>
      <w:r>
        <w:rPr/>
        <w:t>patients</w:t>
      </w:r>
      <w:r>
        <w:rPr>
          <w:spacing w:val="-7"/>
        </w:rPr>
        <w:t> </w:t>
      </w:r>
      <w:r>
        <w:rPr/>
        <w:t>with</w:t>
      </w:r>
      <w:r>
        <w:rPr>
          <w:spacing w:val="-2"/>
        </w:rPr>
        <w:t> </w:t>
      </w:r>
      <w:r>
        <w:rPr/>
        <w:t>a</w:t>
      </w:r>
      <w:r>
        <w:rPr>
          <w:spacing w:val="-3"/>
        </w:rPr>
        <w:t> </w:t>
      </w:r>
      <w:r>
        <w:rPr/>
        <w:t>similar</w:t>
      </w:r>
      <w:r>
        <w:rPr>
          <w:spacing w:val="-3"/>
        </w:rPr>
        <w:t> </w:t>
      </w:r>
      <w:r>
        <w:rPr/>
        <w:t>group</w:t>
      </w:r>
      <w:r>
        <w:rPr>
          <w:spacing w:val="-1"/>
        </w:rPr>
        <w:t> </w:t>
      </w:r>
      <w:r>
        <w:rPr/>
        <w:t>of</w:t>
      </w:r>
      <w:r>
        <w:rPr>
          <w:spacing w:val="-3"/>
        </w:rPr>
        <w:t> </w:t>
      </w:r>
      <w:r>
        <w:rPr/>
        <w:t>patients</w:t>
      </w:r>
      <w:r>
        <w:rPr>
          <w:spacing w:val="-4"/>
        </w:rPr>
        <w:t> </w:t>
      </w:r>
      <w:r>
        <w:rPr/>
        <w:t>receiving</w:t>
      </w:r>
      <w:r>
        <w:rPr>
          <w:spacing w:val="-3"/>
        </w:rPr>
        <w:t> </w:t>
      </w:r>
      <w:r>
        <w:rPr/>
        <w:t>primary</w:t>
      </w:r>
      <w:r>
        <w:rPr>
          <w:spacing w:val="-5"/>
        </w:rPr>
        <w:t> </w:t>
      </w:r>
      <w:r>
        <w:rPr/>
        <w:t>care</w:t>
      </w:r>
      <w:r>
        <w:rPr>
          <w:spacing w:val="-52"/>
        </w:rPr>
        <w:t> </w:t>
      </w:r>
      <w:r>
        <w:rPr/>
        <w:t>in practices that are not participating in HCH. Success in improved chronic disease</w:t>
      </w:r>
      <w:r>
        <w:rPr>
          <w:spacing w:val="1"/>
        </w:rPr>
        <w:t> </w:t>
      </w:r>
      <w:r>
        <w:rPr/>
        <w:t>management will be evidenced by demonstrating that the HCH model delays the</w:t>
      </w:r>
      <w:r>
        <w:rPr>
          <w:spacing w:val="1"/>
        </w:rPr>
        <w:t> </w:t>
      </w:r>
      <w:r>
        <w:rPr/>
        <w:t>progression</w:t>
      </w:r>
      <w:r>
        <w:rPr>
          <w:spacing w:val="-1"/>
        </w:rPr>
        <w:t> </w:t>
      </w:r>
      <w:r>
        <w:rPr/>
        <w:t>of</w:t>
      </w:r>
      <w:r>
        <w:rPr>
          <w:spacing w:val="-2"/>
        </w:rPr>
        <w:t> </w:t>
      </w:r>
      <w:r>
        <w:rPr/>
        <w:t>chronic</w:t>
      </w:r>
      <w:r>
        <w:rPr>
          <w:spacing w:val="-1"/>
        </w:rPr>
        <w:t> </w:t>
      </w:r>
      <w:r>
        <w:rPr/>
        <w:t>disease,</w:t>
      </w:r>
      <w:r>
        <w:rPr>
          <w:spacing w:val="-4"/>
        </w:rPr>
        <w:t> </w:t>
      </w:r>
      <w:r>
        <w:rPr/>
        <w:t>rather</w:t>
      </w:r>
      <w:r>
        <w:rPr>
          <w:spacing w:val="-1"/>
        </w:rPr>
        <w:t> </w:t>
      </w:r>
      <w:r>
        <w:rPr/>
        <w:t>than</w:t>
      </w:r>
      <w:r>
        <w:rPr>
          <w:spacing w:val="-1"/>
        </w:rPr>
        <w:t> </w:t>
      </w:r>
      <w:r>
        <w:rPr/>
        <w:t>preventing</w:t>
      </w:r>
      <w:r>
        <w:rPr>
          <w:spacing w:val="-2"/>
        </w:rPr>
        <w:t> </w:t>
      </w:r>
      <w:r>
        <w:rPr/>
        <w:t>progression</w:t>
      </w:r>
      <w:r>
        <w:rPr>
          <w:spacing w:val="-2"/>
        </w:rPr>
        <w:t> </w:t>
      </w:r>
      <w:r>
        <w:rPr/>
        <w:t>altogether.</w:t>
      </w:r>
    </w:p>
    <w:p>
      <w:pPr>
        <w:spacing w:after="0" w:line="276" w:lineRule="auto"/>
        <w:sectPr>
          <w:pgSz w:w="11910" w:h="16840"/>
          <w:pgMar w:header="0" w:footer="675" w:top="1340" w:bottom="860" w:left="1340" w:right="1380"/>
        </w:sectPr>
      </w:pPr>
    </w:p>
    <w:p>
      <w:pPr>
        <w:pStyle w:val="BodyText"/>
        <w:spacing w:before="12"/>
        <w:rPr>
          <w:sz w:val="18"/>
        </w:rPr>
      </w:pPr>
    </w:p>
    <w:p>
      <w:pPr>
        <w:spacing w:before="100"/>
        <w:ind w:left="3603" w:right="3959" w:firstLine="0"/>
        <w:jc w:val="center"/>
        <w:rPr>
          <w:b/>
          <w:sz w:val="18"/>
        </w:rPr>
      </w:pPr>
      <w:bookmarkStart w:name="_bookmark20" w:id="21"/>
      <w:bookmarkEnd w:id="21"/>
      <w:r>
        <w:rPr/>
      </w:r>
      <w:r>
        <w:rPr>
          <w:b/>
          <w:sz w:val="18"/>
        </w:rPr>
        <w:t>Table</w:t>
      </w:r>
      <w:r>
        <w:rPr>
          <w:b/>
          <w:spacing w:val="-2"/>
          <w:sz w:val="18"/>
        </w:rPr>
        <w:t> </w:t>
      </w:r>
      <w:r>
        <w:rPr>
          <w:b/>
          <w:sz w:val="18"/>
        </w:rPr>
        <w:t>6</w:t>
      </w:r>
      <w:r>
        <w:rPr>
          <w:b/>
          <w:spacing w:val="-5"/>
          <w:sz w:val="18"/>
        </w:rPr>
        <w:t> </w:t>
      </w:r>
      <w:r>
        <w:rPr>
          <w:b/>
          <w:sz w:val="18"/>
        </w:rPr>
        <w:t>–</w:t>
      </w:r>
      <w:r>
        <w:rPr>
          <w:b/>
          <w:spacing w:val="-1"/>
          <w:sz w:val="18"/>
        </w:rPr>
        <w:t> </w:t>
      </w:r>
      <w:r>
        <w:rPr>
          <w:b/>
          <w:sz w:val="18"/>
        </w:rPr>
        <w:t>Detailed</w:t>
      </w:r>
      <w:r>
        <w:rPr>
          <w:b/>
          <w:spacing w:val="-1"/>
          <w:sz w:val="18"/>
        </w:rPr>
        <w:t> </w:t>
      </w:r>
      <w:r>
        <w:rPr>
          <w:b/>
          <w:sz w:val="18"/>
        </w:rPr>
        <w:t>evaluation</w:t>
      </w:r>
      <w:r>
        <w:rPr>
          <w:b/>
          <w:spacing w:val="-2"/>
          <w:sz w:val="18"/>
        </w:rPr>
        <w:t> </w:t>
      </w:r>
      <w:r>
        <w:rPr>
          <w:b/>
          <w:sz w:val="18"/>
        </w:rPr>
        <w:t>questions</w:t>
      </w:r>
      <w:r>
        <w:rPr>
          <w:b/>
          <w:spacing w:val="-2"/>
          <w:sz w:val="18"/>
        </w:rPr>
        <w:t> </w:t>
      </w:r>
      <w:r>
        <w:rPr>
          <w:b/>
          <w:sz w:val="18"/>
        </w:rPr>
        <w:t>and</w:t>
      </w:r>
      <w:r>
        <w:rPr>
          <w:b/>
          <w:spacing w:val="-1"/>
          <w:sz w:val="18"/>
        </w:rPr>
        <w:t> </w:t>
      </w:r>
      <w:r>
        <w:rPr>
          <w:b/>
          <w:sz w:val="18"/>
        </w:rPr>
        <w:t>measures</w:t>
      </w:r>
      <w:r>
        <w:rPr>
          <w:b/>
          <w:spacing w:val="-2"/>
          <w:sz w:val="18"/>
        </w:rPr>
        <w:t> </w:t>
      </w:r>
      <w:r>
        <w:rPr>
          <w:b/>
          <w:sz w:val="18"/>
        </w:rPr>
        <w:t>relating</w:t>
      </w:r>
      <w:r>
        <w:rPr>
          <w:b/>
          <w:spacing w:val="-1"/>
          <w:sz w:val="18"/>
        </w:rPr>
        <w:t> </w:t>
      </w:r>
      <w:r>
        <w:rPr>
          <w:b/>
          <w:sz w:val="18"/>
        </w:rPr>
        <w:t>to</w:t>
      </w:r>
      <w:r>
        <w:rPr>
          <w:b/>
          <w:spacing w:val="-3"/>
          <w:sz w:val="18"/>
        </w:rPr>
        <w:t> </w:t>
      </w:r>
      <w:r>
        <w:rPr>
          <w:b/>
          <w:sz w:val="18"/>
        </w:rPr>
        <w:t>Key</w:t>
      </w:r>
      <w:r>
        <w:rPr>
          <w:b/>
          <w:spacing w:val="-1"/>
          <w:sz w:val="18"/>
        </w:rPr>
        <w:t> </w:t>
      </w:r>
      <w:r>
        <w:rPr>
          <w:b/>
          <w:sz w:val="18"/>
        </w:rPr>
        <w:t>question</w:t>
      </w:r>
      <w:r>
        <w:rPr>
          <w:b/>
          <w:spacing w:val="-1"/>
          <w:sz w:val="18"/>
        </w:rPr>
        <w:t> </w:t>
      </w:r>
      <w:r>
        <w:rPr>
          <w:b/>
          <w:sz w:val="18"/>
        </w:rPr>
        <w:t>3</w:t>
      </w:r>
    </w:p>
    <w:p>
      <w:pPr>
        <w:pStyle w:val="BodyText"/>
        <w:spacing w:before="4"/>
        <w:rPr>
          <w:b/>
          <w:sz w:val="7"/>
        </w:rPr>
      </w:pPr>
    </w:p>
    <w:tbl>
      <w:tblPr>
        <w:tblW w:w="0" w:type="auto"/>
        <w:jc w:val="left"/>
        <w:tblInd w:w="11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5809"/>
        <w:gridCol w:w="6853"/>
        <w:gridCol w:w="324"/>
        <w:gridCol w:w="327"/>
        <w:gridCol w:w="324"/>
        <w:gridCol w:w="324"/>
        <w:gridCol w:w="326"/>
      </w:tblGrid>
      <w:tr>
        <w:trPr>
          <w:trHeight w:val="1509" w:hRule="atLeast"/>
        </w:trPr>
        <w:tc>
          <w:tcPr>
            <w:tcW w:w="5809" w:type="dxa"/>
            <w:tcBorders>
              <w:top w:val="nil"/>
            </w:tcBorders>
            <w:shd w:val="clear" w:color="auto" w:fill="003C79"/>
          </w:tcPr>
          <w:p>
            <w:pPr>
              <w:pStyle w:val="TableParagraph"/>
              <w:rPr>
                <w:b/>
                <w:sz w:val="20"/>
              </w:rPr>
            </w:pPr>
          </w:p>
          <w:p>
            <w:pPr>
              <w:pStyle w:val="TableParagraph"/>
              <w:rPr>
                <w:b/>
                <w:sz w:val="20"/>
              </w:rPr>
            </w:pPr>
          </w:p>
          <w:p>
            <w:pPr>
              <w:pStyle w:val="TableParagraph"/>
              <w:spacing w:before="164"/>
              <w:ind w:left="1579"/>
              <w:rPr>
                <w:b/>
                <w:sz w:val="16"/>
              </w:rPr>
            </w:pPr>
            <w:r>
              <w:rPr>
                <w:b/>
                <w:color w:val="FFFFFF"/>
                <w:sz w:val="16"/>
              </w:rPr>
              <w:t>Key</w:t>
            </w:r>
            <w:r>
              <w:rPr>
                <w:b/>
                <w:color w:val="FFFFFF"/>
                <w:spacing w:val="-4"/>
                <w:sz w:val="16"/>
              </w:rPr>
              <w:t> </w:t>
            </w:r>
            <w:r>
              <w:rPr>
                <w:b/>
                <w:color w:val="FFFFFF"/>
                <w:sz w:val="16"/>
              </w:rPr>
              <w:t>question</w:t>
            </w:r>
            <w:r>
              <w:rPr>
                <w:b/>
                <w:color w:val="FFFFFF"/>
                <w:spacing w:val="-5"/>
                <w:sz w:val="16"/>
              </w:rPr>
              <w:t> </w:t>
            </w:r>
            <w:r>
              <w:rPr>
                <w:b/>
                <w:color w:val="FFFFFF"/>
                <w:sz w:val="16"/>
              </w:rPr>
              <w:t>3:</w:t>
            </w:r>
            <w:r>
              <w:rPr>
                <w:b/>
                <w:color w:val="FFFFFF"/>
                <w:spacing w:val="-2"/>
                <w:sz w:val="16"/>
              </w:rPr>
              <w:t> </w:t>
            </w:r>
            <w:r>
              <w:rPr>
                <w:b/>
                <w:color w:val="FFFFFF"/>
                <w:sz w:val="16"/>
              </w:rPr>
              <w:t>Detailed</w:t>
            </w:r>
            <w:r>
              <w:rPr>
                <w:b/>
                <w:color w:val="FFFFFF"/>
                <w:spacing w:val="-2"/>
                <w:sz w:val="16"/>
              </w:rPr>
              <w:t> </w:t>
            </w:r>
            <w:r>
              <w:rPr>
                <w:b/>
                <w:color w:val="FFFFFF"/>
                <w:sz w:val="16"/>
              </w:rPr>
              <w:t>questions</w:t>
            </w:r>
          </w:p>
        </w:tc>
        <w:tc>
          <w:tcPr>
            <w:tcW w:w="6853" w:type="dxa"/>
            <w:tcBorders>
              <w:top w:val="nil"/>
            </w:tcBorders>
            <w:shd w:val="clear" w:color="auto" w:fill="003C79"/>
          </w:tcPr>
          <w:p>
            <w:pPr>
              <w:pStyle w:val="TableParagraph"/>
              <w:rPr>
                <w:b/>
                <w:sz w:val="20"/>
              </w:rPr>
            </w:pPr>
          </w:p>
          <w:p>
            <w:pPr>
              <w:pStyle w:val="TableParagraph"/>
              <w:rPr>
                <w:b/>
                <w:sz w:val="20"/>
              </w:rPr>
            </w:pPr>
          </w:p>
          <w:p>
            <w:pPr>
              <w:pStyle w:val="TableParagraph"/>
              <w:spacing w:before="164"/>
              <w:ind w:left="2424" w:right="2419"/>
              <w:jc w:val="center"/>
              <w:rPr>
                <w:b/>
                <w:sz w:val="16"/>
              </w:rPr>
            </w:pPr>
            <w:r>
              <w:rPr>
                <w:b/>
                <w:color w:val="FFFFFF"/>
                <w:sz w:val="16"/>
              </w:rPr>
              <w:t>Key</w:t>
            </w:r>
            <w:r>
              <w:rPr>
                <w:b/>
                <w:color w:val="FFFFFF"/>
                <w:spacing w:val="-4"/>
                <w:sz w:val="16"/>
              </w:rPr>
              <w:t> </w:t>
            </w:r>
            <w:r>
              <w:rPr>
                <w:b/>
                <w:color w:val="FFFFFF"/>
                <w:sz w:val="16"/>
              </w:rPr>
              <w:t>question</w:t>
            </w:r>
            <w:r>
              <w:rPr>
                <w:b/>
                <w:color w:val="FFFFFF"/>
                <w:spacing w:val="-4"/>
                <w:sz w:val="16"/>
              </w:rPr>
              <w:t> </w:t>
            </w:r>
            <w:r>
              <w:rPr>
                <w:b/>
                <w:color w:val="FFFFFF"/>
                <w:sz w:val="16"/>
              </w:rPr>
              <w:t>3:</w:t>
            </w:r>
            <w:r>
              <w:rPr>
                <w:b/>
                <w:color w:val="FFFFFF"/>
                <w:spacing w:val="-3"/>
                <w:sz w:val="16"/>
              </w:rPr>
              <w:t> </w:t>
            </w:r>
            <w:r>
              <w:rPr>
                <w:b/>
                <w:color w:val="FFFFFF"/>
                <w:sz w:val="16"/>
              </w:rPr>
              <w:t>Measures</w:t>
            </w:r>
          </w:p>
        </w:tc>
        <w:tc>
          <w:tcPr>
            <w:tcW w:w="324" w:type="dxa"/>
            <w:tcBorders>
              <w:top w:val="nil"/>
            </w:tcBorders>
            <w:shd w:val="clear" w:color="auto" w:fill="003C79"/>
            <w:textDirection w:val="btLr"/>
          </w:tcPr>
          <w:p>
            <w:pPr>
              <w:pStyle w:val="TableParagraph"/>
              <w:spacing w:before="57"/>
              <w:ind w:left="503" w:right="504"/>
              <w:jc w:val="center"/>
              <w:rPr>
                <w:b/>
                <w:sz w:val="16"/>
              </w:rPr>
            </w:pPr>
            <w:r>
              <w:rPr>
                <w:b/>
                <w:color w:val="FFFFFF"/>
                <w:sz w:val="16"/>
              </w:rPr>
              <w:t>Inputs</w:t>
            </w:r>
          </w:p>
        </w:tc>
        <w:tc>
          <w:tcPr>
            <w:tcW w:w="327" w:type="dxa"/>
            <w:tcBorders>
              <w:top w:val="nil"/>
            </w:tcBorders>
            <w:shd w:val="clear" w:color="auto" w:fill="003C79"/>
            <w:textDirection w:val="btLr"/>
          </w:tcPr>
          <w:p>
            <w:pPr>
              <w:pStyle w:val="TableParagraph"/>
              <w:spacing w:before="59"/>
              <w:ind w:left="407"/>
              <w:rPr>
                <w:b/>
                <w:sz w:val="16"/>
              </w:rPr>
            </w:pPr>
            <w:r>
              <w:rPr>
                <w:b/>
                <w:color w:val="FFFFFF"/>
                <w:sz w:val="16"/>
              </w:rPr>
              <w:t>Activities</w:t>
            </w:r>
          </w:p>
        </w:tc>
        <w:tc>
          <w:tcPr>
            <w:tcW w:w="324" w:type="dxa"/>
            <w:tcBorders>
              <w:top w:val="nil"/>
            </w:tcBorders>
            <w:shd w:val="clear" w:color="auto" w:fill="003C79"/>
            <w:textDirection w:val="btLr"/>
          </w:tcPr>
          <w:p>
            <w:pPr>
              <w:pStyle w:val="TableParagraph"/>
              <w:spacing w:before="57"/>
              <w:ind w:left="455"/>
              <w:rPr>
                <w:b/>
                <w:sz w:val="16"/>
              </w:rPr>
            </w:pPr>
            <w:r>
              <w:rPr>
                <w:b/>
                <w:color w:val="FFFFFF"/>
                <w:sz w:val="16"/>
              </w:rPr>
              <w:t>Outputs</w:t>
            </w:r>
          </w:p>
        </w:tc>
        <w:tc>
          <w:tcPr>
            <w:tcW w:w="324" w:type="dxa"/>
            <w:tcBorders>
              <w:top w:val="nil"/>
            </w:tcBorders>
            <w:shd w:val="clear" w:color="auto" w:fill="003C79"/>
            <w:textDirection w:val="btLr"/>
          </w:tcPr>
          <w:p>
            <w:pPr>
              <w:pStyle w:val="TableParagraph"/>
              <w:spacing w:before="57"/>
              <w:ind w:left="254"/>
              <w:rPr>
                <w:b/>
                <w:sz w:val="16"/>
              </w:rPr>
            </w:pPr>
            <w:r>
              <w:rPr>
                <w:b/>
                <w:color w:val="FFFFFF"/>
                <w:sz w:val="16"/>
              </w:rPr>
              <w:t>Outcomes</w:t>
            </w:r>
            <w:r>
              <w:rPr>
                <w:b/>
                <w:color w:val="FFFFFF"/>
                <w:spacing w:val="-2"/>
                <w:sz w:val="16"/>
              </w:rPr>
              <w:t> </w:t>
            </w:r>
            <w:r>
              <w:rPr>
                <w:b/>
                <w:color w:val="FFFFFF"/>
                <w:sz w:val="16"/>
              </w:rPr>
              <w:t>ST</w:t>
            </w:r>
          </w:p>
        </w:tc>
        <w:tc>
          <w:tcPr>
            <w:tcW w:w="326" w:type="dxa"/>
            <w:tcBorders>
              <w:top w:val="nil"/>
            </w:tcBorders>
            <w:shd w:val="clear" w:color="auto" w:fill="003C79"/>
            <w:textDirection w:val="btLr"/>
          </w:tcPr>
          <w:p>
            <w:pPr>
              <w:pStyle w:val="TableParagraph"/>
              <w:spacing w:before="59"/>
              <w:ind w:left="222"/>
              <w:rPr>
                <w:b/>
                <w:sz w:val="16"/>
              </w:rPr>
            </w:pPr>
            <w:r>
              <w:rPr>
                <w:b/>
                <w:color w:val="FFFFFF"/>
                <w:sz w:val="16"/>
              </w:rPr>
              <w:t>Outcomes</w:t>
            </w:r>
            <w:r>
              <w:rPr>
                <w:b/>
                <w:color w:val="FFFFFF"/>
                <w:spacing w:val="-1"/>
                <w:sz w:val="16"/>
              </w:rPr>
              <w:t> </w:t>
            </w:r>
            <w:r>
              <w:rPr>
                <w:b/>
                <w:color w:val="FFFFFF"/>
                <w:sz w:val="16"/>
              </w:rPr>
              <w:t>MT</w:t>
            </w:r>
          </w:p>
        </w:tc>
      </w:tr>
      <w:tr>
        <w:trPr>
          <w:trHeight w:val="309" w:hRule="atLeast"/>
        </w:trPr>
        <w:tc>
          <w:tcPr>
            <w:tcW w:w="14287" w:type="dxa"/>
            <w:gridSpan w:val="7"/>
            <w:shd w:val="clear" w:color="auto" w:fill="F1F1F1"/>
          </w:tcPr>
          <w:p>
            <w:pPr>
              <w:pStyle w:val="TableParagraph"/>
              <w:spacing w:before="57"/>
              <w:ind w:left="57"/>
              <w:rPr>
                <w:b/>
                <w:sz w:val="16"/>
              </w:rPr>
            </w:pPr>
            <w:r>
              <w:rPr>
                <w:b/>
                <w:sz w:val="16"/>
              </w:rPr>
              <w:t>Level:</w:t>
            </w:r>
            <w:r>
              <w:rPr>
                <w:b/>
                <w:spacing w:val="-4"/>
                <w:sz w:val="16"/>
              </w:rPr>
              <w:t> </w:t>
            </w:r>
            <w:r>
              <w:rPr>
                <w:b/>
                <w:sz w:val="16"/>
              </w:rPr>
              <w:t>Patient</w:t>
            </w:r>
          </w:p>
        </w:tc>
      </w:tr>
      <w:tr>
        <w:trPr>
          <w:trHeight w:val="1195" w:hRule="atLeast"/>
        </w:trPr>
        <w:tc>
          <w:tcPr>
            <w:tcW w:w="5809" w:type="dxa"/>
            <w:vMerge w:val="restart"/>
          </w:tcPr>
          <w:p>
            <w:pPr>
              <w:pStyle w:val="TableParagraph"/>
              <w:spacing w:line="264" w:lineRule="auto" w:before="58"/>
              <w:ind w:left="504" w:right="146" w:hanging="426"/>
              <w:rPr>
                <w:sz w:val="16"/>
              </w:rPr>
            </w:pPr>
            <w:r>
              <w:rPr>
                <w:sz w:val="16"/>
              </w:rPr>
              <w:t>3.01 What changes occurred in the quality of chronic illness care</w:t>
            </w:r>
            <w:r>
              <w:rPr>
                <w:spacing w:val="1"/>
                <w:sz w:val="16"/>
              </w:rPr>
              <w:t> </w:t>
            </w:r>
            <w:r>
              <w:rPr>
                <w:sz w:val="16"/>
              </w:rPr>
              <w:t>provided for patients enrolled in the HCH program, and how did</w:t>
            </w:r>
            <w:r>
              <w:rPr>
                <w:spacing w:val="1"/>
                <w:sz w:val="16"/>
              </w:rPr>
              <w:t> </w:t>
            </w:r>
            <w:r>
              <w:rPr>
                <w:sz w:val="16"/>
              </w:rPr>
              <w:t>these compare with patients receiving care from practices not</w:t>
            </w:r>
            <w:r>
              <w:rPr>
                <w:spacing w:val="1"/>
                <w:sz w:val="16"/>
              </w:rPr>
              <w:t> </w:t>
            </w:r>
            <w:r>
              <w:rPr>
                <w:sz w:val="16"/>
              </w:rPr>
              <w:t>enrolled in HCH? Was there an improvement in the provision of</w:t>
            </w:r>
            <w:r>
              <w:rPr>
                <w:spacing w:val="1"/>
                <w:sz w:val="16"/>
              </w:rPr>
              <w:t> </w:t>
            </w:r>
            <w:r>
              <w:rPr>
                <w:sz w:val="16"/>
              </w:rPr>
              <w:t>preventive services (e.g. influenza vaccination). Was there an</w:t>
            </w:r>
            <w:r>
              <w:rPr>
                <w:spacing w:val="1"/>
                <w:sz w:val="16"/>
              </w:rPr>
              <w:t> </w:t>
            </w:r>
            <w:r>
              <w:rPr>
                <w:sz w:val="16"/>
              </w:rPr>
              <w:t>improvement</w:t>
            </w:r>
            <w:r>
              <w:rPr>
                <w:spacing w:val="-5"/>
                <w:sz w:val="16"/>
              </w:rPr>
              <w:t> </w:t>
            </w:r>
            <w:r>
              <w:rPr>
                <w:sz w:val="16"/>
              </w:rPr>
              <w:t>in</w:t>
            </w:r>
            <w:r>
              <w:rPr>
                <w:spacing w:val="-2"/>
                <w:sz w:val="16"/>
              </w:rPr>
              <w:t> </w:t>
            </w:r>
            <w:r>
              <w:rPr>
                <w:sz w:val="16"/>
              </w:rPr>
              <w:t>the</w:t>
            </w:r>
            <w:r>
              <w:rPr>
                <w:spacing w:val="-4"/>
                <w:sz w:val="16"/>
              </w:rPr>
              <w:t> </w:t>
            </w:r>
            <w:r>
              <w:rPr>
                <w:sz w:val="16"/>
              </w:rPr>
              <w:t>level</w:t>
            </w:r>
            <w:r>
              <w:rPr>
                <w:spacing w:val="1"/>
                <w:sz w:val="16"/>
              </w:rPr>
              <w:t> </w:t>
            </w:r>
            <w:r>
              <w:rPr>
                <w:sz w:val="16"/>
              </w:rPr>
              <w:t>of</w:t>
            </w:r>
            <w:r>
              <w:rPr>
                <w:spacing w:val="-2"/>
                <w:sz w:val="16"/>
              </w:rPr>
              <w:t> </w:t>
            </w:r>
            <w:r>
              <w:rPr>
                <w:sz w:val="16"/>
              </w:rPr>
              <w:t>medications</w:t>
            </w:r>
            <w:r>
              <w:rPr>
                <w:spacing w:val="-4"/>
                <w:sz w:val="16"/>
              </w:rPr>
              <w:t> </w:t>
            </w:r>
            <w:r>
              <w:rPr>
                <w:sz w:val="16"/>
              </w:rPr>
              <w:t>review</w:t>
            </w:r>
            <w:r>
              <w:rPr>
                <w:spacing w:val="1"/>
                <w:sz w:val="16"/>
              </w:rPr>
              <w:t> </w:t>
            </w:r>
            <w:r>
              <w:rPr>
                <w:sz w:val="16"/>
              </w:rPr>
              <w:t>and</w:t>
            </w:r>
            <w:r>
              <w:rPr>
                <w:spacing w:val="-3"/>
                <w:sz w:val="16"/>
              </w:rPr>
              <w:t> </w:t>
            </w:r>
            <w:r>
              <w:rPr>
                <w:sz w:val="16"/>
              </w:rPr>
              <w:t>quality</w:t>
            </w:r>
            <w:r>
              <w:rPr>
                <w:spacing w:val="-2"/>
                <w:sz w:val="16"/>
              </w:rPr>
              <w:t> </w:t>
            </w:r>
            <w:r>
              <w:rPr>
                <w:sz w:val="16"/>
              </w:rPr>
              <w:t>use</w:t>
            </w:r>
            <w:r>
              <w:rPr>
                <w:spacing w:val="-2"/>
                <w:sz w:val="16"/>
              </w:rPr>
              <w:t> </w:t>
            </w:r>
            <w:r>
              <w:rPr>
                <w:sz w:val="16"/>
              </w:rPr>
              <w:t>of</w:t>
            </w:r>
            <w:r>
              <w:rPr>
                <w:spacing w:val="-42"/>
                <w:sz w:val="16"/>
              </w:rPr>
              <w:t> </w:t>
            </w:r>
            <w:r>
              <w:rPr>
                <w:sz w:val="16"/>
              </w:rPr>
              <w:t>medicines?</w:t>
            </w:r>
          </w:p>
        </w:tc>
        <w:tc>
          <w:tcPr>
            <w:tcW w:w="6853" w:type="dxa"/>
          </w:tcPr>
          <w:p>
            <w:pPr>
              <w:pStyle w:val="TableParagraph"/>
              <w:spacing w:line="264" w:lineRule="auto" w:before="58"/>
              <w:ind w:left="647" w:right="201" w:hanging="567"/>
              <w:jc w:val="both"/>
              <w:rPr>
                <w:sz w:val="16"/>
              </w:rPr>
            </w:pPr>
            <w:r>
              <w:rPr>
                <w:sz w:val="16"/>
              </w:rPr>
              <w:t>3.01.01 Change in the proportion of HCH patients with a diagnosis of Type 2 diabetes</w:t>
            </w:r>
            <w:r>
              <w:rPr>
                <w:spacing w:val="-43"/>
                <w:sz w:val="16"/>
              </w:rPr>
              <w:t> </w:t>
            </w:r>
            <w:r>
              <w:rPr>
                <w:sz w:val="16"/>
              </w:rPr>
              <w:t>recorded in the practice system/inferred from other practice system data, for</w:t>
            </w:r>
            <w:r>
              <w:rPr>
                <w:spacing w:val="-42"/>
                <w:sz w:val="16"/>
              </w:rPr>
              <w:t> </w:t>
            </w:r>
            <w:r>
              <w:rPr>
                <w:sz w:val="16"/>
              </w:rPr>
              <w:t>whom the results of a HbA1c test were recorded at least once in the previous</w:t>
            </w:r>
            <w:r>
              <w:rPr>
                <w:spacing w:val="-42"/>
                <w:sz w:val="16"/>
              </w:rPr>
              <w:t> </w:t>
            </w:r>
            <w:r>
              <w:rPr>
                <w:sz w:val="16"/>
              </w:rPr>
              <w:t>six and in the previous 12 months compared with the change for comparator</w:t>
            </w:r>
            <w:r>
              <w:rPr>
                <w:spacing w:val="-42"/>
                <w:sz w:val="16"/>
              </w:rPr>
              <w:t> </w:t>
            </w:r>
            <w:r>
              <w:rPr>
                <w:sz w:val="16"/>
              </w:rPr>
              <w:t>patients.</w:t>
            </w:r>
            <w:r>
              <w:rPr>
                <w:spacing w:val="-1"/>
                <w:sz w:val="16"/>
              </w:rPr>
              <w:t> </w:t>
            </w:r>
            <w:r>
              <w:rPr>
                <w:sz w:val="16"/>
              </w:rPr>
              <w:t>(See</w:t>
            </w:r>
            <w:r>
              <w:rPr>
                <w:spacing w:val="-1"/>
                <w:sz w:val="16"/>
              </w:rPr>
              <w:t> </w:t>
            </w:r>
            <w:r>
              <w:rPr>
                <w:sz w:val="16"/>
              </w:rPr>
              <w:t>Note</w:t>
            </w:r>
            <w:r>
              <w:rPr>
                <w:spacing w:val="2"/>
                <w:sz w:val="16"/>
              </w:rPr>
              <w:t> </w:t>
            </w:r>
            <w:r>
              <w:rPr>
                <w:sz w:val="16"/>
              </w:rPr>
              <w:t>1)</w:t>
            </w:r>
            <w:r>
              <w:rPr>
                <w:spacing w:val="-4"/>
                <w:sz w:val="16"/>
              </w:rPr>
              <w:t> </w:t>
            </w:r>
            <w:r>
              <w:rPr>
                <w:sz w:val="16"/>
              </w:rPr>
              <w:t>(See</w:t>
            </w:r>
            <w:r>
              <w:rPr>
                <w:spacing w:val="-1"/>
                <w:sz w:val="16"/>
              </w:rPr>
              <w:t> </w:t>
            </w:r>
            <w:r>
              <w:rPr>
                <w:sz w:val="16"/>
              </w:rPr>
              <w:t>Note</w:t>
            </w:r>
            <w:r>
              <w:rPr>
                <w:spacing w:val="2"/>
                <w:sz w:val="16"/>
              </w:rPr>
              <w:t> </w:t>
            </w:r>
            <w:r>
              <w:rPr>
                <w:sz w:val="16"/>
              </w:rPr>
              <w:t>2)</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spacing w:before="57"/>
              <w:ind w:left="8"/>
              <w:jc w:val="center"/>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976"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252" w:hanging="567"/>
              <w:rPr>
                <w:sz w:val="16"/>
              </w:rPr>
            </w:pPr>
            <w:r>
              <w:rPr>
                <w:sz w:val="16"/>
              </w:rPr>
              <w:t>3.01.02 Change in the proportion of HCH patients for whom a diagnosis of diabetes</w:t>
            </w:r>
            <w:r>
              <w:rPr>
                <w:spacing w:val="1"/>
                <w:sz w:val="16"/>
              </w:rPr>
              <w:t> </w:t>
            </w:r>
            <w:r>
              <w:rPr>
                <w:sz w:val="16"/>
              </w:rPr>
              <w:t>can be inferred from MBS/PBS claims, for whom a claim for a HbA1c test was</w:t>
            </w:r>
            <w:r>
              <w:rPr>
                <w:spacing w:val="-42"/>
                <w:sz w:val="16"/>
              </w:rPr>
              <w:t> </w:t>
            </w:r>
            <w:r>
              <w:rPr>
                <w:sz w:val="16"/>
              </w:rPr>
              <w:t>made at least once in the previous six and in the previous 12 months</w:t>
            </w:r>
            <w:r>
              <w:rPr>
                <w:spacing w:val="1"/>
                <w:sz w:val="16"/>
              </w:rPr>
              <w:t> </w:t>
            </w:r>
            <w:r>
              <w:rPr>
                <w:sz w:val="16"/>
              </w:rPr>
              <w:t>compared</w:t>
            </w:r>
            <w:r>
              <w:rPr>
                <w:spacing w:val="-5"/>
                <w:sz w:val="16"/>
              </w:rPr>
              <w:t> </w:t>
            </w:r>
            <w:r>
              <w:rPr>
                <w:sz w:val="16"/>
              </w:rPr>
              <w:t>with</w:t>
            </w:r>
            <w:r>
              <w:rPr>
                <w:spacing w:val="-1"/>
                <w:sz w:val="16"/>
              </w:rPr>
              <w:t> </w:t>
            </w:r>
            <w:r>
              <w:rPr>
                <w:sz w:val="16"/>
              </w:rPr>
              <w:t>the change</w:t>
            </w:r>
            <w:r>
              <w:rPr>
                <w:spacing w:val="-1"/>
                <w:sz w:val="16"/>
              </w:rPr>
              <w:t> </w:t>
            </w:r>
            <w:r>
              <w:rPr>
                <w:sz w:val="16"/>
              </w:rPr>
              <w:t>for</w:t>
            </w:r>
            <w:r>
              <w:rPr>
                <w:spacing w:val="-4"/>
                <w:sz w:val="16"/>
              </w:rPr>
              <w:t> </w:t>
            </w:r>
            <w:r>
              <w:rPr>
                <w:sz w:val="16"/>
              </w:rPr>
              <w:t>comparator</w:t>
            </w:r>
            <w:r>
              <w:rPr>
                <w:spacing w:val="-2"/>
                <w:sz w:val="16"/>
              </w:rPr>
              <w:t> </w:t>
            </w:r>
            <w:r>
              <w:rPr>
                <w:sz w:val="16"/>
              </w:rPr>
              <w:t>patients.</w:t>
            </w:r>
            <w:r>
              <w:rPr>
                <w:spacing w:val="1"/>
                <w:sz w:val="16"/>
              </w:rPr>
              <w:t> </w:t>
            </w:r>
            <w:r>
              <w:rPr>
                <w:sz w:val="16"/>
              </w:rPr>
              <w:t>(See</w:t>
            </w:r>
            <w:r>
              <w:rPr>
                <w:spacing w:val="-3"/>
                <w:sz w:val="16"/>
              </w:rPr>
              <w:t> </w:t>
            </w:r>
            <w:r>
              <w:rPr>
                <w:sz w:val="16"/>
              </w:rPr>
              <w:t>Note</w:t>
            </w:r>
            <w:r>
              <w:rPr>
                <w:spacing w:val="1"/>
                <w:sz w:val="16"/>
              </w:rPr>
              <w:t> </w:t>
            </w:r>
            <w:r>
              <w:rPr>
                <w:sz w:val="16"/>
              </w:rPr>
              <w:t>2)</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spacing w:before="57"/>
              <w:ind w:left="8"/>
              <w:jc w:val="center"/>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1192"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137" w:hanging="567"/>
              <w:rPr>
                <w:sz w:val="16"/>
              </w:rPr>
            </w:pPr>
            <w:r>
              <w:rPr>
                <w:sz w:val="16"/>
              </w:rPr>
              <w:t>3.01.03 Change in the proportion of HCH patients for whom the results of a blood</w:t>
            </w:r>
            <w:r>
              <w:rPr>
                <w:spacing w:val="1"/>
                <w:sz w:val="16"/>
              </w:rPr>
              <w:t> </w:t>
            </w:r>
            <w:r>
              <w:rPr>
                <w:sz w:val="16"/>
              </w:rPr>
              <w:t>pressure assessment were recorded at least once in the previous six and in the</w:t>
            </w:r>
            <w:r>
              <w:rPr>
                <w:spacing w:val="-42"/>
                <w:sz w:val="16"/>
              </w:rPr>
              <w:t> </w:t>
            </w:r>
            <w:r>
              <w:rPr>
                <w:sz w:val="16"/>
              </w:rPr>
              <w:t>previous 12 months compared with the change for comparator patients. (See</w:t>
            </w:r>
            <w:r>
              <w:rPr>
                <w:spacing w:val="-42"/>
                <w:sz w:val="16"/>
              </w:rPr>
              <w:t> </w:t>
            </w:r>
            <w:r>
              <w:rPr>
                <w:sz w:val="16"/>
              </w:rPr>
              <w:t>Note 2) Patients with a diagnosis of Type 2 diabetes will be analysed</w:t>
            </w:r>
            <w:r>
              <w:rPr>
                <w:spacing w:val="1"/>
                <w:sz w:val="16"/>
              </w:rPr>
              <w:t> </w:t>
            </w:r>
            <w:r>
              <w:rPr>
                <w:sz w:val="16"/>
              </w:rPr>
              <w:t>separately.</w:t>
            </w:r>
            <w:r>
              <w:rPr>
                <w:spacing w:val="-3"/>
                <w:sz w:val="16"/>
              </w:rPr>
              <w:t> </w:t>
            </w:r>
            <w:r>
              <w:rPr>
                <w:sz w:val="16"/>
              </w:rPr>
              <w:t>(See</w:t>
            </w:r>
            <w:r>
              <w:rPr>
                <w:spacing w:val="-1"/>
                <w:sz w:val="16"/>
              </w:rPr>
              <w:t> </w:t>
            </w:r>
            <w:r>
              <w:rPr>
                <w:sz w:val="16"/>
              </w:rPr>
              <w:t>Note</w:t>
            </w:r>
            <w:r>
              <w:rPr>
                <w:spacing w:val="-1"/>
                <w:sz w:val="16"/>
              </w:rPr>
              <w:t> </w:t>
            </w:r>
            <w:r>
              <w:rPr>
                <w:sz w:val="16"/>
              </w:rPr>
              <w:t>1)</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spacing w:before="57"/>
              <w:ind w:left="8"/>
              <w:jc w:val="center"/>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978"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245" w:hanging="567"/>
              <w:rPr>
                <w:sz w:val="16"/>
              </w:rPr>
            </w:pPr>
            <w:r>
              <w:rPr>
                <w:sz w:val="16"/>
              </w:rPr>
              <w:t>3.01.04 Change in the proportion of HCH patients or whom the results of a lipid test</w:t>
            </w:r>
            <w:r>
              <w:rPr>
                <w:spacing w:val="1"/>
                <w:sz w:val="16"/>
              </w:rPr>
              <w:t> </w:t>
            </w:r>
            <w:r>
              <w:rPr>
                <w:sz w:val="16"/>
              </w:rPr>
              <w:t>were recorded in the practice system at least once in the previous six and in</w:t>
            </w:r>
            <w:r>
              <w:rPr>
                <w:spacing w:val="-42"/>
                <w:sz w:val="16"/>
              </w:rPr>
              <w:t> </w:t>
            </w:r>
            <w:r>
              <w:rPr>
                <w:sz w:val="16"/>
              </w:rPr>
              <w:t>the previous 12 months compared with the change for comparator patients.</w:t>
            </w:r>
            <w:r>
              <w:rPr>
                <w:spacing w:val="-43"/>
                <w:sz w:val="16"/>
              </w:rPr>
              <w:t> </w:t>
            </w:r>
            <w:r>
              <w:rPr>
                <w:sz w:val="16"/>
              </w:rPr>
              <w:t>(See</w:t>
            </w:r>
            <w:r>
              <w:rPr>
                <w:spacing w:val="-2"/>
                <w:sz w:val="16"/>
              </w:rPr>
              <w:t> </w:t>
            </w:r>
            <w:r>
              <w:rPr>
                <w:sz w:val="16"/>
              </w:rPr>
              <w:t>Note</w:t>
            </w:r>
            <w:r>
              <w:rPr>
                <w:spacing w:val="-1"/>
                <w:sz w:val="16"/>
              </w:rPr>
              <w:t> </w:t>
            </w:r>
            <w:r>
              <w:rPr>
                <w:sz w:val="16"/>
              </w:rPr>
              <w:t>1)</w:t>
            </w:r>
            <w:r>
              <w:rPr>
                <w:spacing w:val="-4"/>
                <w:sz w:val="16"/>
              </w:rPr>
              <w:t> </w:t>
            </w:r>
            <w:r>
              <w:rPr>
                <w:sz w:val="16"/>
              </w:rPr>
              <w:t>(See</w:t>
            </w:r>
            <w:r>
              <w:rPr>
                <w:spacing w:val="-1"/>
                <w:sz w:val="16"/>
              </w:rPr>
              <w:t> </w:t>
            </w:r>
            <w:r>
              <w:rPr>
                <w:sz w:val="16"/>
              </w:rPr>
              <w:t>Note</w:t>
            </w:r>
            <w:r>
              <w:rPr>
                <w:spacing w:val="2"/>
                <w:sz w:val="16"/>
              </w:rPr>
              <w:t> </w:t>
            </w:r>
            <w:r>
              <w:rPr>
                <w:sz w:val="16"/>
              </w:rPr>
              <w:t>2)</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spacing w:before="57"/>
              <w:ind w:left="8"/>
              <w:jc w:val="center"/>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1625" w:hRule="atLeast"/>
        </w:trPr>
        <w:tc>
          <w:tcPr>
            <w:tcW w:w="5809" w:type="dxa"/>
            <w:vMerge/>
            <w:tcBorders>
              <w:top w:val="nil"/>
            </w:tcBorders>
          </w:tcPr>
          <w:p>
            <w:pPr>
              <w:rPr>
                <w:sz w:val="2"/>
                <w:szCs w:val="2"/>
              </w:rPr>
            </w:pPr>
          </w:p>
        </w:tc>
        <w:tc>
          <w:tcPr>
            <w:tcW w:w="6853" w:type="dxa"/>
          </w:tcPr>
          <w:p>
            <w:pPr>
              <w:pStyle w:val="TableParagraph"/>
              <w:spacing w:line="264" w:lineRule="auto" w:before="55"/>
              <w:ind w:left="647" w:hanging="567"/>
              <w:rPr>
                <w:sz w:val="16"/>
              </w:rPr>
            </w:pPr>
            <w:r>
              <w:rPr>
                <w:sz w:val="16"/>
              </w:rPr>
              <w:t>3.01.05 Change in the proportion of HCH patients with a diagnosis of Type 2 diabetes</w:t>
            </w:r>
            <w:r>
              <w:rPr>
                <w:spacing w:val="1"/>
                <w:sz w:val="16"/>
              </w:rPr>
              <w:t> </w:t>
            </w:r>
            <w:r>
              <w:rPr>
                <w:sz w:val="16"/>
              </w:rPr>
              <w:t>and patients who had a cardiovascular disease diagnosis recorded in the</w:t>
            </w:r>
            <w:r>
              <w:rPr>
                <w:spacing w:val="1"/>
                <w:sz w:val="16"/>
              </w:rPr>
              <w:t> </w:t>
            </w:r>
            <w:r>
              <w:rPr>
                <w:sz w:val="16"/>
              </w:rPr>
              <w:t>practice system/inferred from other practice system data, for whom the results</w:t>
            </w:r>
            <w:r>
              <w:rPr>
                <w:spacing w:val="1"/>
                <w:sz w:val="16"/>
              </w:rPr>
              <w:t> </w:t>
            </w:r>
            <w:r>
              <w:rPr>
                <w:sz w:val="16"/>
              </w:rPr>
              <w:t>of a kidney function test (estimated glomerular filtration rate (eGFR) and/ or an</w:t>
            </w:r>
            <w:r>
              <w:rPr>
                <w:spacing w:val="-42"/>
                <w:sz w:val="16"/>
              </w:rPr>
              <w:t> </w:t>
            </w:r>
            <w:r>
              <w:rPr>
                <w:sz w:val="16"/>
              </w:rPr>
              <w:t>albumin/creatinine</w:t>
            </w:r>
            <w:r>
              <w:rPr>
                <w:spacing w:val="-2"/>
                <w:sz w:val="16"/>
              </w:rPr>
              <w:t> </w:t>
            </w:r>
            <w:r>
              <w:rPr>
                <w:sz w:val="16"/>
              </w:rPr>
              <w:t>ratio</w:t>
            </w:r>
            <w:r>
              <w:rPr>
                <w:spacing w:val="-2"/>
                <w:sz w:val="16"/>
              </w:rPr>
              <w:t> </w:t>
            </w:r>
            <w:r>
              <w:rPr>
                <w:sz w:val="16"/>
              </w:rPr>
              <w:t>(ACR)</w:t>
            </w:r>
            <w:r>
              <w:rPr>
                <w:spacing w:val="-4"/>
                <w:sz w:val="16"/>
              </w:rPr>
              <w:t> </w:t>
            </w:r>
            <w:r>
              <w:rPr>
                <w:sz w:val="16"/>
              </w:rPr>
              <w:t>or</w:t>
            </w:r>
            <w:r>
              <w:rPr>
                <w:spacing w:val="-1"/>
                <w:sz w:val="16"/>
              </w:rPr>
              <w:t> </w:t>
            </w:r>
            <w:r>
              <w:rPr>
                <w:sz w:val="16"/>
              </w:rPr>
              <w:t>other</w:t>
            </w:r>
            <w:r>
              <w:rPr>
                <w:spacing w:val="-3"/>
                <w:sz w:val="16"/>
              </w:rPr>
              <w:t> </w:t>
            </w:r>
            <w:r>
              <w:rPr>
                <w:sz w:val="16"/>
              </w:rPr>
              <w:t>micro</w:t>
            </w:r>
            <w:r>
              <w:rPr>
                <w:spacing w:val="-3"/>
                <w:sz w:val="16"/>
              </w:rPr>
              <w:t> </w:t>
            </w:r>
            <w:r>
              <w:rPr>
                <w:sz w:val="16"/>
              </w:rPr>
              <w:t>albumin</w:t>
            </w:r>
            <w:r>
              <w:rPr>
                <w:spacing w:val="-2"/>
                <w:sz w:val="16"/>
              </w:rPr>
              <w:t> </w:t>
            </w:r>
            <w:r>
              <w:rPr>
                <w:sz w:val="16"/>
              </w:rPr>
              <w:t>test</w:t>
            </w:r>
            <w:r>
              <w:rPr>
                <w:spacing w:val="-3"/>
                <w:sz w:val="16"/>
              </w:rPr>
              <w:t> </w:t>
            </w:r>
            <w:r>
              <w:rPr>
                <w:sz w:val="16"/>
              </w:rPr>
              <w:t>result)</w:t>
            </w:r>
            <w:r>
              <w:rPr>
                <w:spacing w:val="-7"/>
                <w:sz w:val="16"/>
              </w:rPr>
              <w:t> </w:t>
            </w:r>
            <w:r>
              <w:rPr>
                <w:sz w:val="16"/>
              </w:rPr>
              <w:t>was</w:t>
            </w:r>
            <w:r>
              <w:rPr>
                <w:spacing w:val="-3"/>
                <w:sz w:val="16"/>
              </w:rPr>
              <w:t> </w:t>
            </w:r>
            <w:r>
              <w:rPr>
                <w:sz w:val="16"/>
              </w:rPr>
              <w:t>recorded</w:t>
            </w:r>
            <w:r>
              <w:rPr>
                <w:spacing w:val="-41"/>
                <w:sz w:val="16"/>
              </w:rPr>
              <w:t> </w:t>
            </w:r>
            <w:r>
              <w:rPr>
                <w:sz w:val="16"/>
              </w:rPr>
              <w:t>at least once in the previous 12 months compared with the change for</w:t>
            </w:r>
            <w:r>
              <w:rPr>
                <w:spacing w:val="1"/>
                <w:sz w:val="16"/>
              </w:rPr>
              <w:t> </w:t>
            </w:r>
            <w:r>
              <w:rPr>
                <w:sz w:val="16"/>
              </w:rPr>
              <w:t>comparator</w:t>
            </w:r>
            <w:r>
              <w:rPr>
                <w:spacing w:val="-3"/>
                <w:sz w:val="16"/>
              </w:rPr>
              <w:t> </w:t>
            </w:r>
            <w:r>
              <w:rPr>
                <w:sz w:val="16"/>
              </w:rPr>
              <w:t>patients.</w:t>
            </w:r>
            <w:r>
              <w:rPr>
                <w:spacing w:val="1"/>
                <w:sz w:val="16"/>
              </w:rPr>
              <w:t> </w:t>
            </w:r>
            <w:r>
              <w:rPr>
                <w:sz w:val="16"/>
              </w:rPr>
              <w:t>(See</w:t>
            </w:r>
            <w:r>
              <w:rPr>
                <w:spacing w:val="-3"/>
                <w:sz w:val="16"/>
              </w:rPr>
              <w:t> </w:t>
            </w:r>
            <w:r>
              <w:rPr>
                <w:sz w:val="16"/>
              </w:rPr>
              <w:t>Note</w:t>
            </w:r>
            <w:r>
              <w:rPr>
                <w:spacing w:val="2"/>
                <w:sz w:val="16"/>
              </w:rPr>
              <w:t> </w:t>
            </w:r>
            <w:r>
              <w:rPr>
                <w:sz w:val="16"/>
              </w:rPr>
              <w:t>1)</w:t>
            </w:r>
            <w:r>
              <w:rPr>
                <w:spacing w:val="-4"/>
                <w:sz w:val="16"/>
              </w:rPr>
              <w:t> </w:t>
            </w:r>
            <w:r>
              <w:rPr>
                <w:sz w:val="16"/>
              </w:rPr>
              <w:t>(See</w:t>
            </w:r>
            <w:r>
              <w:rPr>
                <w:spacing w:val="-1"/>
                <w:sz w:val="16"/>
              </w:rPr>
              <w:t> </w:t>
            </w:r>
            <w:r>
              <w:rPr>
                <w:sz w:val="16"/>
              </w:rPr>
              <w:t>Note</w:t>
            </w:r>
            <w:r>
              <w:rPr>
                <w:spacing w:val="-1"/>
                <w:sz w:val="16"/>
              </w:rPr>
              <w:t> </w:t>
            </w:r>
            <w:r>
              <w:rPr>
                <w:sz w:val="16"/>
              </w:rPr>
              <w:t>2)</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spacing w:before="55"/>
              <w:ind w:left="8"/>
              <w:jc w:val="center"/>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760" w:hRule="atLeast"/>
        </w:trPr>
        <w:tc>
          <w:tcPr>
            <w:tcW w:w="5809" w:type="dxa"/>
            <w:vMerge/>
            <w:tcBorders>
              <w:top w:val="nil"/>
            </w:tcBorders>
          </w:tcPr>
          <w:p>
            <w:pPr>
              <w:rPr>
                <w:sz w:val="2"/>
                <w:szCs w:val="2"/>
              </w:rPr>
            </w:pPr>
          </w:p>
        </w:tc>
        <w:tc>
          <w:tcPr>
            <w:tcW w:w="6853" w:type="dxa"/>
          </w:tcPr>
          <w:p>
            <w:pPr>
              <w:pStyle w:val="TableParagraph"/>
              <w:spacing w:line="264" w:lineRule="auto" w:before="55"/>
              <w:ind w:left="647" w:right="100" w:hanging="567"/>
              <w:rPr>
                <w:sz w:val="16"/>
              </w:rPr>
            </w:pPr>
            <w:r>
              <w:rPr>
                <w:sz w:val="16"/>
              </w:rPr>
              <w:t>3.01.06 Change in the proportion of HCH patients for whom a claim for a lipid test was</w:t>
            </w:r>
            <w:r>
              <w:rPr>
                <w:spacing w:val="-42"/>
                <w:sz w:val="16"/>
              </w:rPr>
              <w:t> </w:t>
            </w:r>
            <w:r>
              <w:rPr>
                <w:sz w:val="16"/>
              </w:rPr>
              <w:t>made at least once in the previous 12 months compared with the change for</w:t>
            </w:r>
            <w:r>
              <w:rPr>
                <w:spacing w:val="1"/>
                <w:sz w:val="16"/>
              </w:rPr>
              <w:t> </w:t>
            </w:r>
            <w:r>
              <w:rPr>
                <w:sz w:val="16"/>
              </w:rPr>
              <w:t>comparator</w:t>
            </w:r>
            <w:r>
              <w:rPr>
                <w:spacing w:val="-3"/>
                <w:sz w:val="16"/>
              </w:rPr>
              <w:t> </w:t>
            </w:r>
            <w:r>
              <w:rPr>
                <w:sz w:val="16"/>
              </w:rPr>
              <w:t>patients.</w:t>
            </w:r>
            <w:r>
              <w:rPr>
                <w:spacing w:val="1"/>
                <w:sz w:val="16"/>
              </w:rPr>
              <w:t> </w:t>
            </w:r>
            <w:r>
              <w:rPr>
                <w:sz w:val="16"/>
              </w:rPr>
              <w:t>(See</w:t>
            </w:r>
            <w:r>
              <w:rPr>
                <w:spacing w:val="-3"/>
                <w:sz w:val="16"/>
              </w:rPr>
              <w:t> </w:t>
            </w:r>
            <w:r>
              <w:rPr>
                <w:sz w:val="16"/>
              </w:rPr>
              <w:t>Note</w:t>
            </w:r>
            <w:r>
              <w:rPr>
                <w:spacing w:val="2"/>
                <w:sz w:val="16"/>
              </w:rPr>
              <w:t> </w:t>
            </w:r>
            <w:r>
              <w:rPr>
                <w:sz w:val="16"/>
              </w:rPr>
              <w:t>1)</w:t>
            </w:r>
            <w:r>
              <w:rPr>
                <w:spacing w:val="-4"/>
                <w:sz w:val="16"/>
              </w:rPr>
              <w:t> </w:t>
            </w:r>
            <w:r>
              <w:rPr>
                <w:sz w:val="16"/>
              </w:rPr>
              <w:t>(See</w:t>
            </w:r>
            <w:r>
              <w:rPr>
                <w:spacing w:val="-1"/>
                <w:sz w:val="16"/>
              </w:rPr>
              <w:t> </w:t>
            </w:r>
            <w:r>
              <w:rPr>
                <w:sz w:val="16"/>
              </w:rPr>
              <w:t>Note</w:t>
            </w:r>
            <w:r>
              <w:rPr>
                <w:spacing w:val="-2"/>
                <w:sz w:val="16"/>
              </w:rPr>
              <w:t> </w:t>
            </w:r>
            <w:r>
              <w:rPr>
                <w:sz w:val="16"/>
              </w:rPr>
              <w:t>2)</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spacing w:before="55"/>
              <w:ind w:left="8"/>
              <w:jc w:val="center"/>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bl>
    <w:p>
      <w:pPr>
        <w:pStyle w:val="BodyText"/>
        <w:rPr>
          <w:b/>
        </w:rPr>
      </w:pPr>
    </w:p>
    <w:p>
      <w:pPr>
        <w:pStyle w:val="BodyText"/>
        <w:spacing w:before="1"/>
        <w:rPr>
          <w:b/>
          <w:sz w:val="25"/>
        </w:rPr>
      </w:pPr>
      <w:r>
        <w:rPr/>
        <w:pict>
          <v:rect style="position:absolute;margin-left:70.559998pt;margin-top:16.575928pt;width:700.92pt;height:.47998pt;mso-position-horizontal-relative:page;mso-position-vertical-relative:paragraph;z-index:-15721984;mso-wrap-distance-left:0;mso-wrap-distance-right:0" id="docshape58" filled="true" fillcolor="#d9d9d9" stroked="false">
            <v:fill type="solid"/>
            <w10:wrap type="topAndBottom"/>
          </v:rect>
        </w:pict>
      </w:r>
    </w:p>
    <w:p>
      <w:pPr>
        <w:spacing w:after="0"/>
        <w:rPr>
          <w:sz w:val="25"/>
        </w:rPr>
        <w:sectPr>
          <w:footerReference w:type="default" r:id="rId24"/>
          <w:pgSz w:w="16840" w:h="11910" w:orient="landscape"/>
          <w:pgMar w:footer="427" w:header="0" w:top="1100" w:bottom="620" w:left="1340" w:right="980"/>
        </w:sectPr>
      </w:pPr>
    </w:p>
    <w:p>
      <w:pPr>
        <w:pStyle w:val="BodyText"/>
        <w:spacing w:before="2" w:after="1"/>
        <w:rPr>
          <w:b/>
          <w:sz w:val="27"/>
        </w:rPr>
      </w:pPr>
    </w:p>
    <w:tbl>
      <w:tblPr>
        <w:tblW w:w="0" w:type="auto"/>
        <w:jc w:val="left"/>
        <w:tblInd w:w="11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5809"/>
        <w:gridCol w:w="6853"/>
        <w:gridCol w:w="324"/>
        <w:gridCol w:w="327"/>
        <w:gridCol w:w="324"/>
        <w:gridCol w:w="324"/>
        <w:gridCol w:w="326"/>
      </w:tblGrid>
      <w:tr>
        <w:trPr>
          <w:trHeight w:val="1509" w:hRule="atLeast"/>
        </w:trPr>
        <w:tc>
          <w:tcPr>
            <w:tcW w:w="5809" w:type="dxa"/>
            <w:tcBorders>
              <w:top w:val="nil"/>
            </w:tcBorders>
            <w:shd w:val="clear" w:color="auto" w:fill="003C79"/>
          </w:tcPr>
          <w:p>
            <w:pPr>
              <w:pStyle w:val="TableParagraph"/>
              <w:rPr>
                <w:b/>
                <w:sz w:val="20"/>
              </w:rPr>
            </w:pPr>
          </w:p>
          <w:p>
            <w:pPr>
              <w:pStyle w:val="TableParagraph"/>
              <w:rPr>
                <w:b/>
                <w:sz w:val="20"/>
              </w:rPr>
            </w:pPr>
          </w:p>
          <w:p>
            <w:pPr>
              <w:pStyle w:val="TableParagraph"/>
              <w:spacing w:before="164"/>
              <w:ind w:left="1579"/>
              <w:rPr>
                <w:b/>
                <w:sz w:val="16"/>
              </w:rPr>
            </w:pPr>
            <w:r>
              <w:rPr>
                <w:b/>
                <w:color w:val="FFFFFF"/>
                <w:sz w:val="16"/>
              </w:rPr>
              <w:t>Key</w:t>
            </w:r>
            <w:r>
              <w:rPr>
                <w:b/>
                <w:color w:val="FFFFFF"/>
                <w:spacing w:val="-4"/>
                <w:sz w:val="16"/>
              </w:rPr>
              <w:t> </w:t>
            </w:r>
            <w:r>
              <w:rPr>
                <w:b/>
                <w:color w:val="FFFFFF"/>
                <w:sz w:val="16"/>
              </w:rPr>
              <w:t>question</w:t>
            </w:r>
            <w:r>
              <w:rPr>
                <w:b/>
                <w:color w:val="FFFFFF"/>
                <w:spacing w:val="-5"/>
                <w:sz w:val="16"/>
              </w:rPr>
              <w:t> </w:t>
            </w:r>
            <w:r>
              <w:rPr>
                <w:b/>
                <w:color w:val="FFFFFF"/>
                <w:sz w:val="16"/>
              </w:rPr>
              <w:t>3:</w:t>
            </w:r>
            <w:r>
              <w:rPr>
                <w:b/>
                <w:color w:val="FFFFFF"/>
                <w:spacing w:val="-2"/>
                <w:sz w:val="16"/>
              </w:rPr>
              <w:t> </w:t>
            </w:r>
            <w:r>
              <w:rPr>
                <w:b/>
                <w:color w:val="FFFFFF"/>
                <w:sz w:val="16"/>
              </w:rPr>
              <w:t>Detailed</w:t>
            </w:r>
            <w:r>
              <w:rPr>
                <w:b/>
                <w:color w:val="FFFFFF"/>
                <w:spacing w:val="-2"/>
                <w:sz w:val="16"/>
              </w:rPr>
              <w:t> </w:t>
            </w:r>
            <w:r>
              <w:rPr>
                <w:b/>
                <w:color w:val="FFFFFF"/>
                <w:sz w:val="16"/>
              </w:rPr>
              <w:t>questions</w:t>
            </w:r>
          </w:p>
        </w:tc>
        <w:tc>
          <w:tcPr>
            <w:tcW w:w="6853" w:type="dxa"/>
            <w:tcBorders>
              <w:top w:val="nil"/>
            </w:tcBorders>
            <w:shd w:val="clear" w:color="auto" w:fill="003C79"/>
          </w:tcPr>
          <w:p>
            <w:pPr>
              <w:pStyle w:val="TableParagraph"/>
              <w:rPr>
                <w:b/>
                <w:sz w:val="20"/>
              </w:rPr>
            </w:pPr>
          </w:p>
          <w:p>
            <w:pPr>
              <w:pStyle w:val="TableParagraph"/>
              <w:rPr>
                <w:b/>
                <w:sz w:val="20"/>
              </w:rPr>
            </w:pPr>
          </w:p>
          <w:p>
            <w:pPr>
              <w:pStyle w:val="TableParagraph"/>
              <w:spacing w:before="164"/>
              <w:ind w:left="2424" w:right="2419"/>
              <w:jc w:val="center"/>
              <w:rPr>
                <w:b/>
                <w:sz w:val="16"/>
              </w:rPr>
            </w:pPr>
            <w:r>
              <w:rPr>
                <w:b/>
                <w:color w:val="FFFFFF"/>
                <w:sz w:val="16"/>
              </w:rPr>
              <w:t>Key</w:t>
            </w:r>
            <w:r>
              <w:rPr>
                <w:b/>
                <w:color w:val="FFFFFF"/>
                <w:spacing w:val="-4"/>
                <w:sz w:val="16"/>
              </w:rPr>
              <w:t> </w:t>
            </w:r>
            <w:r>
              <w:rPr>
                <w:b/>
                <w:color w:val="FFFFFF"/>
                <w:sz w:val="16"/>
              </w:rPr>
              <w:t>question</w:t>
            </w:r>
            <w:r>
              <w:rPr>
                <w:b/>
                <w:color w:val="FFFFFF"/>
                <w:spacing w:val="-4"/>
                <w:sz w:val="16"/>
              </w:rPr>
              <w:t> </w:t>
            </w:r>
            <w:r>
              <w:rPr>
                <w:b/>
                <w:color w:val="FFFFFF"/>
                <w:sz w:val="16"/>
              </w:rPr>
              <w:t>3:</w:t>
            </w:r>
            <w:r>
              <w:rPr>
                <w:b/>
                <w:color w:val="FFFFFF"/>
                <w:spacing w:val="-3"/>
                <w:sz w:val="16"/>
              </w:rPr>
              <w:t> </w:t>
            </w:r>
            <w:r>
              <w:rPr>
                <w:b/>
                <w:color w:val="FFFFFF"/>
                <w:sz w:val="16"/>
              </w:rPr>
              <w:t>Measures</w:t>
            </w:r>
          </w:p>
        </w:tc>
        <w:tc>
          <w:tcPr>
            <w:tcW w:w="324" w:type="dxa"/>
            <w:tcBorders>
              <w:top w:val="nil"/>
            </w:tcBorders>
            <w:shd w:val="clear" w:color="auto" w:fill="003C79"/>
            <w:textDirection w:val="btLr"/>
          </w:tcPr>
          <w:p>
            <w:pPr>
              <w:pStyle w:val="TableParagraph"/>
              <w:spacing w:before="57"/>
              <w:ind w:left="503" w:right="504"/>
              <w:jc w:val="center"/>
              <w:rPr>
                <w:b/>
                <w:sz w:val="16"/>
              </w:rPr>
            </w:pPr>
            <w:r>
              <w:rPr>
                <w:b/>
                <w:color w:val="FFFFFF"/>
                <w:sz w:val="16"/>
              </w:rPr>
              <w:t>Inputs</w:t>
            </w:r>
          </w:p>
        </w:tc>
        <w:tc>
          <w:tcPr>
            <w:tcW w:w="327" w:type="dxa"/>
            <w:tcBorders>
              <w:top w:val="nil"/>
            </w:tcBorders>
            <w:shd w:val="clear" w:color="auto" w:fill="003C79"/>
            <w:textDirection w:val="btLr"/>
          </w:tcPr>
          <w:p>
            <w:pPr>
              <w:pStyle w:val="TableParagraph"/>
              <w:spacing w:before="59"/>
              <w:ind w:left="407"/>
              <w:rPr>
                <w:b/>
                <w:sz w:val="16"/>
              </w:rPr>
            </w:pPr>
            <w:r>
              <w:rPr>
                <w:b/>
                <w:color w:val="FFFFFF"/>
                <w:sz w:val="16"/>
              </w:rPr>
              <w:t>Activities</w:t>
            </w:r>
          </w:p>
        </w:tc>
        <w:tc>
          <w:tcPr>
            <w:tcW w:w="324" w:type="dxa"/>
            <w:tcBorders>
              <w:top w:val="nil"/>
            </w:tcBorders>
            <w:shd w:val="clear" w:color="auto" w:fill="003C79"/>
            <w:textDirection w:val="btLr"/>
          </w:tcPr>
          <w:p>
            <w:pPr>
              <w:pStyle w:val="TableParagraph"/>
              <w:spacing w:before="57"/>
              <w:ind w:left="455"/>
              <w:rPr>
                <w:b/>
                <w:sz w:val="16"/>
              </w:rPr>
            </w:pPr>
            <w:r>
              <w:rPr>
                <w:b/>
                <w:color w:val="FFFFFF"/>
                <w:sz w:val="16"/>
              </w:rPr>
              <w:t>Outputs</w:t>
            </w:r>
          </w:p>
        </w:tc>
        <w:tc>
          <w:tcPr>
            <w:tcW w:w="324" w:type="dxa"/>
            <w:tcBorders>
              <w:top w:val="nil"/>
            </w:tcBorders>
            <w:shd w:val="clear" w:color="auto" w:fill="003C79"/>
            <w:textDirection w:val="btLr"/>
          </w:tcPr>
          <w:p>
            <w:pPr>
              <w:pStyle w:val="TableParagraph"/>
              <w:spacing w:before="57"/>
              <w:ind w:left="254"/>
              <w:rPr>
                <w:b/>
                <w:sz w:val="16"/>
              </w:rPr>
            </w:pPr>
            <w:r>
              <w:rPr>
                <w:b/>
                <w:color w:val="FFFFFF"/>
                <w:sz w:val="16"/>
              </w:rPr>
              <w:t>Outcomes</w:t>
            </w:r>
            <w:r>
              <w:rPr>
                <w:b/>
                <w:color w:val="FFFFFF"/>
                <w:spacing w:val="-2"/>
                <w:sz w:val="16"/>
              </w:rPr>
              <w:t> </w:t>
            </w:r>
            <w:r>
              <w:rPr>
                <w:b/>
                <w:color w:val="FFFFFF"/>
                <w:sz w:val="16"/>
              </w:rPr>
              <w:t>ST</w:t>
            </w:r>
          </w:p>
        </w:tc>
        <w:tc>
          <w:tcPr>
            <w:tcW w:w="326" w:type="dxa"/>
            <w:tcBorders>
              <w:top w:val="nil"/>
            </w:tcBorders>
            <w:shd w:val="clear" w:color="auto" w:fill="003C79"/>
            <w:textDirection w:val="btLr"/>
          </w:tcPr>
          <w:p>
            <w:pPr>
              <w:pStyle w:val="TableParagraph"/>
              <w:spacing w:before="59"/>
              <w:ind w:left="222"/>
              <w:rPr>
                <w:b/>
                <w:sz w:val="16"/>
              </w:rPr>
            </w:pPr>
            <w:r>
              <w:rPr>
                <w:b/>
                <w:color w:val="FFFFFF"/>
                <w:sz w:val="16"/>
              </w:rPr>
              <w:t>Outcomes</w:t>
            </w:r>
            <w:r>
              <w:rPr>
                <w:b/>
                <w:color w:val="FFFFFF"/>
                <w:spacing w:val="-1"/>
                <w:sz w:val="16"/>
              </w:rPr>
              <w:t> </w:t>
            </w:r>
            <w:r>
              <w:rPr>
                <w:b/>
                <w:color w:val="FFFFFF"/>
                <w:sz w:val="16"/>
              </w:rPr>
              <w:t>MT</w:t>
            </w:r>
          </w:p>
        </w:tc>
      </w:tr>
      <w:tr>
        <w:trPr>
          <w:trHeight w:val="544" w:hRule="atLeast"/>
        </w:trPr>
        <w:tc>
          <w:tcPr>
            <w:tcW w:w="5809" w:type="dxa"/>
            <w:vMerge w:val="restart"/>
          </w:tcPr>
          <w:p>
            <w:pPr>
              <w:pStyle w:val="TableParagraph"/>
              <w:rPr>
                <w:rFonts w:ascii="Times New Roman"/>
                <w:sz w:val="16"/>
              </w:rPr>
            </w:pPr>
          </w:p>
        </w:tc>
        <w:tc>
          <w:tcPr>
            <w:tcW w:w="6853" w:type="dxa"/>
          </w:tcPr>
          <w:p>
            <w:pPr>
              <w:pStyle w:val="TableParagraph"/>
              <w:spacing w:line="264" w:lineRule="auto" w:before="57"/>
              <w:ind w:left="647" w:right="340" w:hanging="567"/>
              <w:rPr>
                <w:sz w:val="16"/>
              </w:rPr>
            </w:pPr>
            <w:r>
              <w:rPr>
                <w:sz w:val="16"/>
              </w:rPr>
              <w:t>3.01.06a Change in the proportion of HCH patients whose smoking status has been</w:t>
            </w:r>
            <w:r>
              <w:rPr>
                <w:spacing w:val="-42"/>
                <w:sz w:val="16"/>
              </w:rPr>
              <w:t> </w:t>
            </w:r>
            <w:r>
              <w:rPr>
                <w:sz w:val="16"/>
              </w:rPr>
              <w:t>recorded.</w:t>
            </w:r>
            <w:r>
              <w:rPr>
                <w:spacing w:val="-4"/>
                <w:sz w:val="16"/>
              </w:rPr>
              <w:t> </w:t>
            </w:r>
            <w:r>
              <w:rPr>
                <w:sz w:val="16"/>
              </w:rPr>
              <w:t>(See</w:t>
            </w:r>
            <w:r>
              <w:rPr>
                <w:spacing w:val="-1"/>
                <w:sz w:val="16"/>
              </w:rPr>
              <w:t> </w:t>
            </w:r>
            <w:r>
              <w:rPr>
                <w:sz w:val="16"/>
              </w:rPr>
              <w:t>Note</w:t>
            </w:r>
            <w:r>
              <w:rPr>
                <w:spacing w:val="-1"/>
                <w:sz w:val="16"/>
              </w:rPr>
              <w:t> </w:t>
            </w:r>
            <w:r>
              <w:rPr>
                <w:sz w:val="16"/>
              </w:rPr>
              <w:t>1)</w:t>
            </w:r>
            <w:r>
              <w:rPr>
                <w:spacing w:val="-4"/>
                <w:sz w:val="16"/>
              </w:rPr>
              <w:t> </w:t>
            </w:r>
            <w:r>
              <w:rPr>
                <w:sz w:val="16"/>
              </w:rPr>
              <w:t>(See</w:t>
            </w:r>
            <w:r>
              <w:rPr>
                <w:spacing w:val="-3"/>
                <w:sz w:val="16"/>
              </w:rPr>
              <w:t> </w:t>
            </w:r>
            <w:r>
              <w:rPr>
                <w:sz w:val="16"/>
              </w:rPr>
              <w:t>Note</w:t>
            </w:r>
            <w:r>
              <w:rPr>
                <w:spacing w:val="2"/>
                <w:sz w:val="16"/>
              </w:rPr>
              <w:t> </w:t>
            </w:r>
            <w:r>
              <w:rPr>
                <w:sz w:val="16"/>
              </w:rPr>
              <w:t>2)</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spacing w:before="57"/>
              <w:ind w:left="8"/>
              <w:jc w:val="center"/>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763"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62" w:hanging="567"/>
              <w:rPr>
                <w:sz w:val="16"/>
              </w:rPr>
            </w:pPr>
            <w:r>
              <w:rPr>
                <w:sz w:val="16"/>
              </w:rPr>
              <w:t>3.01.06b Change in the proportion of HCH patients for whom information has been</w:t>
            </w:r>
            <w:r>
              <w:rPr>
                <w:spacing w:val="1"/>
                <w:sz w:val="16"/>
              </w:rPr>
              <w:t> </w:t>
            </w:r>
            <w:r>
              <w:rPr>
                <w:sz w:val="16"/>
              </w:rPr>
              <w:t>recorded in the practice clinical management system to enable calculation of</w:t>
            </w:r>
            <w:r>
              <w:rPr>
                <w:spacing w:val="-42"/>
                <w:sz w:val="16"/>
              </w:rPr>
              <w:t> </w:t>
            </w:r>
            <w:r>
              <w:rPr>
                <w:sz w:val="16"/>
              </w:rPr>
              <w:t>BMI.</w:t>
            </w:r>
            <w:r>
              <w:rPr>
                <w:spacing w:val="-4"/>
                <w:sz w:val="16"/>
              </w:rPr>
              <w:t> </w:t>
            </w:r>
            <w:r>
              <w:rPr>
                <w:sz w:val="16"/>
              </w:rPr>
              <w:t>(See</w:t>
            </w:r>
            <w:r>
              <w:rPr>
                <w:spacing w:val="-1"/>
                <w:sz w:val="16"/>
              </w:rPr>
              <w:t> </w:t>
            </w:r>
            <w:r>
              <w:rPr>
                <w:sz w:val="16"/>
              </w:rPr>
              <w:t>Note</w:t>
            </w:r>
            <w:r>
              <w:rPr>
                <w:spacing w:val="2"/>
                <w:sz w:val="16"/>
              </w:rPr>
              <w:t> </w:t>
            </w:r>
            <w:r>
              <w:rPr>
                <w:sz w:val="16"/>
              </w:rPr>
              <w:t>1)</w:t>
            </w:r>
            <w:r>
              <w:rPr>
                <w:spacing w:val="-4"/>
                <w:sz w:val="16"/>
              </w:rPr>
              <w:t> </w:t>
            </w:r>
            <w:r>
              <w:rPr>
                <w:sz w:val="16"/>
              </w:rPr>
              <w:t>(See</w:t>
            </w:r>
            <w:r>
              <w:rPr>
                <w:spacing w:val="-1"/>
                <w:sz w:val="16"/>
              </w:rPr>
              <w:t> </w:t>
            </w:r>
            <w:r>
              <w:rPr>
                <w:sz w:val="16"/>
              </w:rPr>
              <w:t>Note</w:t>
            </w:r>
            <w:r>
              <w:rPr>
                <w:spacing w:val="-1"/>
                <w:sz w:val="16"/>
              </w:rPr>
              <w:t> </w:t>
            </w:r>
            <w:r>
              <w:rPr>
                <w:sz w:val="16"/>
              </w:rPr>
              <w:t>2)</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spacing w:before="57"/>
              <w:ind w:left="8"/>
              <w:jc w:val="center"/>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544" w:hRule="atLeast"/>
        </w:trPr>
        <w:tc>
          <w:tcPr>
            <w:tcW w:w="5809" w:type="dxa"/>
            <w:vMerge/>
            <w:tcBorders>
              <w:top w:val="nil"/>
            </w:tcBorders>
          </w:tcPr>
          <w:p>
            <w:pPr>
              <w:rPr>
                <w:sz w:val="2"/>
                <w:szCs w:val="2"/>
              </w:rPr>
            </w:pPr>
          </w:p>
        </w:tc>
        <w:tc>
          <w:tcPr>
            <w:tcW w:w="6853" w:type="dxa"/>
          </w:tcPr>
          <w:p>
            <w:pPr>
              <w:pStyle w:val="TableParagraph"/>
              <w:spacing w:line="261" w:lineRule="auto" w:before="57"/>
              <w:ind w:left="647" w:right="646" w:hanging="567"/>
              <w:rPr>
                <w:sz w:val="16"/>
              </w:rPr>
            </w:pPr>
            <w:r>
              <w:rPr>
                <w:sz w:val="16"/>
              </w:rPr>
              <w:t>3.01.06c Change in the proportion of HCH patients who are immunised against</w:t>
            </w:r>
            <w:r>
              <w:rPr>
                <w:spacing w:val="-42"/>
                <w:sz w:val="16"/>
              </w:rPr>
              <w:t> </w:t>
            </w:r>
            <w:r>
              <w:rPr>
                <w:sz w:val="16"/>
              </w:rPr>
              <w:t>influenza.</w:t>
            </w:r>
            <w:r>
              <w:rPr>
                <w:spacing w:val="-4"/>
                <w:sz w:val="16"/>
              </w:rPr>
              <w:t> </w:t>
            </w:r>
            <w:r>
              <w:rPr>
                <w:sz w:val="16"/>
              </w:rPr>
              <w:t>(See</w:t>
            </w:r>
            <w:r>
              <w:rPr>
                <w:spacing w:val="-1"/>
                <w:sz w:val="16"/>
              </w:rPr>
              <w:t> </w:t>
            </w:r>
            <w:r>
              <w:rPr>
                <w:sz w:val="16"/>
              </w:rPr>
              <w:t>Note</w:t>
            </w:r>
            <w:r>
              <w:rPr>
                <w:spacing w:val="2"/>
                <w:sz w:val="16"/>
              </w:rPr>
              <w:t> </w:t>
            </w:r>
            <w:r>
              <w:rPr>
                <w:sz w:val="16"/>
              </w:rPr>
              <w:t>1)</w:t>
            </w:r>
            <w:r>
              <w:rPr>
                <w:spacing w:val="-4"/>
                <w:sz w:val="16"/>
              </w:rPr>
              <w:t> </w:t>
            </w:r>
            <w:r>
              <w:rPr>
                <w:sz w:val="16"/>
              </w:rPr>
              <w:t>(See</w:t>
            </w:r>
            <w:r>
              <w:rPr>
                <w:spacing w:val="-1"/>
                <w:sz w:val="16"/>
              </w:rPr>
              <w:t> </w:t>
            </w:r>
            <w:r>
              <w:rPr>
                <w:sz w:val="16"/>
              </w:rPr>
              <w:t>Note</w:t>
            </w:r>
            <w:r>
              <w:rPr>
                <w:spacing w:val="2"/>
                <w:sz w:val="16"/>
              </w:rPr>
              <w:t> </w:t>
            </w:r>
            <w:r>
              <w:rPr>
                <w:sz w:val="16"/>
              </w:rPr>
              <w:t>2)</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spacing w:before="57"/>
              <w:ind w:left="8"/>
              <w:jc w:val="center"/>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762"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157" w:hanging="567"/>
              <w:rPr>
                <w:sz w:val="16"/>
              </w:rPr>
            </w:pPr>
            <w:r>
              <w:rPr>
                <w:sz w:val="16"/>
              </w:rPr>
              <w:t>3.01.06d Change in the proportion of HCH patients who have had the necessary risk</w:t>
            </w:r>
            <w:r>
              <w:rPr>
                <w:spacing w:val="1"/>
                <w:sz w:val="16"/>
              </w:rPr>
              <w:t> </w:t>
            </w:r>
            <w:r>
              <w:rPr>
                <w:sz w:val="16"/>
              </w:rPr>
              <w:t>factors assessed to enable cardiovascular disease assessment (including age,</w:t>
            </w:r>
            <w:r>
              <w:rPr>
                <w:spacing w:val="-42"/>
                <w:sz w:val="16"/>
              </w:rPr>
              <w:t> </w:t>
            </w:r>
            <w:r>
              <w:rPr>
                <w:sz w:val="16"/>
              </w:rPr>
              <w:t>smoking</w:t>
            </w:r>
            <w:r>
              <w:rPr>
                <w:spacing w:val="-2"/>
                <w:sz w:val="16"/>
              </w:rPr>
              <w:t> </w:t>
            </w:r>
            <w:r>
              <w:rPr>
                <w:sz w:val="16"/>
              </w:rPr>
              <w:t>status,</w:t>
            </w:r>
            <w:r>
              <w:rPr>
                <w:spacing w:val="-1"/>
                <w:sz w:val="16"/>
              </w:rPr>
              <w:t> </w:t>
            </w:r>
            <w:r>
              <w:rPr>
                <w:sz w:val="16"/>
              </w:rPr>
              <w:t>cholesterol</w:t>
            </w:r>
            <w:r>
              <w:rPr>
                <w:spacing w:val="1"/>
                <w:sz w:val="16"/>
              </w:rPr>
              <w:t> </w:t>
            </w:r>
            <w:r>
              <w:rPr>
                <w:sz w:val="16"/>
              </w:rPr>
              <w:t>and</w:t>
            </w:r>
            <w:r>
              <w:rPr>
                <w:spacing w:val="-3"/>
                <w:sz w:val="16"/>
              </w:rPr>
              <w:t> </w:t>
            </w:r>
            <w:r>
              <w:rPr>
                <w:sz w:val="16"/>
              </w:rPr>
              <w:t>blood</w:t>
            </w:r>
            <w:r>
              <w:rPr>
                <w:spacing w:val="-2"/>
                <w:sz w:val="16"/>
              </w:rPr>
              <w:t> </w:t>
            </w:r>
            <w:r>
              <w:rPr>
                <w:sz w:val="16"/>
              </w:rPr>
              <w:t>pressure).</w:t>
            </w:r>
            <w:r>
              <w:rPr>
                <w:spacing w:val="-1"/>
                <w:sz w:val="16"/>
              </w:rPr>
              <w:t> </w:t>
            </w:r>
            <w:r>
              <w:rPr>
                <w:sz w:val="16"/>
              </w:rPr>
              <w:t>(See</w:t>
            </w:r>
            <w:r>
              <w:rPr>
                <w:spacing w:val="-2"/>
                <w:sz w:val="16"/>
              </w:rPr>
              <w:t> </w:t>
            </w:r>
            <w:r>
              <w:rPr>
                <w:sz w:val="16"/>
              </w:rPr>
              <w:t>Note</w:t>
            </w:r>
            <w:r>
              <w:rPr>
                <w:spacing w:val="-3"/>
                <w:sz w:val="16"/>
              </w:rPr>
              <w:t> </w:t>
            </w:r>
            <w:r>
              <w:rPr>
                <w:sz w:val="16"/>
              </w:rPr>
              <w:t>1)</w:t>
            </w:r>
            <w:r>
              <w:rPr>
                <w:spacing w:val="-5"/>
                <w:sz w:val="16"/>
              </w:rPr>
              <w:t> </w:t>
            </w:r>
            <w:r>
              <w:rPr>
                <w:sz w:val="16"/>
              </w:rPr>
              <w:t>(See</w:t>
            </w:r>
            <w:r>
              <w:rPr>
                <w:spacing w:val="-3"/>
                <w:sz w:val="16"/>
              </w:rPr>
              <w:t> </w:t>
            </w:r>
            <w:r>
              <w:rPr>
                <w:sz w:val="16"/>
              </w:rPr>
              <w:t>Note</w:t>
            </w:r>
            <w:r>
              <w:rPr>
                <w:spacing w:val="1"/>
                <w:sz w:val="16"/>
              </w:rPr>
              <w:t> </w:t>
            </w:r>
            <w:r>
              <w:rPr>
                <w:sz w:val="16"/>
              </w:rPr>
              <w:t>2)</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spacing w:before="57"/>
              <w:ind w:left="8"/>
              <w:jc w:val="center"/>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2918" w:hRule="atLeast"/>
        </w:trPr>
        <w:tc>
          <w:tcPr>
            <w:tcW w:w="5809" w:type="dxa"/>
            <w:vMerge/>
            <w:tcBorders>
              <w:top w:val="nil"/>
            </w:tcBorders>
          </w:tcPr>
          <w:p>
            <w:pPr>
              <w:rPr>
                <w:sz w:val="2"/>
                <w:szCs w:val="2"/>
              </w:rPr>
            </w:pPr>
          </w:p>
        </w:tc>
        <w:tc>
          <w:tcPr>
            <w:tcW w:w="6853" w:type="dxa"/>
          </w:tcPr>
          <w:p>
            <w:pPr>
              <w:pStyle w:val="TableParagraph"/>
              <w:spacing w:line="264" w:lineRule="auto" w:before="55"/>
              <w:ind w:left="647" w:right="86" w:hanging="567"/>
              <w:rPr>
                <w:sz w:val="16"/>
              </w:rPr>
            </w:pPr>
            <w:r>
              <w:rPr>
                <w:sz w:val="16"/>
              </w:rPr>
              <w:t>3.01.07 Change in the proportion of patients for whom a claim for a GP management</w:t>
            </w:r>
            <w:r>
              <w:rPr>
                <w:spacing w:val="-42"/>
                <w:sz w:val="16"/>
              </w:rPr>
              <w:t> </w:t>
            </w:r>
            <w:r>
              <w:rPr>
                <w:sz w:val="16"/>
              </w:rPr>
              <w:t>plan or review (MBS items 721) was made in the previous 24 months (with</w:t>
            </w:r>
            <w:r>
              <w:rPr>
                <w:spacing w:val="1"/>
                <w:sz w:val="16"/>
              </w:rPr>
              <w:t> </w:t>
            </w:r>
            <w:r>
              <w:rPr>
                <w:sz w:val="16"/>
              </w:rPr>
              <w:t>additional analysis conducted on previous 12 months), compared with the</w:t>
            </w:r>
            <w:r>
              <w:rPr>
                <w:spacing w:val="1"/>
                <w:sz w:val="16"/>
              </w:rPr>
              <w:t> </w:t>
            </w:r>
            <w:r>
              <w:rPr>
                <w:sz w:val="16"/>
              </w:rPr>
              <w:t>change for comparator patients. Note: HCH patients will not be eligible to</w:t>
            </w:r>
            <w:r>
              <w:rPr>
                <w:spacing w:val="1"/>
                <w:sz w:val="16"/>
              </w:rPr>
              <w:t> </w:t>
            </w:r>
            <w:r>
              <w:rPr>
                <w:sz w:val="16"/>
              </w:rPr>
              <w:t>claim item 721. However, the development of a GP management care plan is</w:t>
            </w:r>
            <w:r>
              <w:rPr>
                <w:spacing w:val="1"/>
                <w:sz w:val="16"/>
              </w:rPr>
              <w:t> </w:t>
            </w:r>
            <w:r>
              <w:rPr>
                <w:sz w:val="16"/>
              </w:rPr>
              <w:t>a requirement for enrolment in HCH. Therefore, it can be assumed that 100% of</w:t>
            </w:r>
            <w:r>
              <w:rPr>
                <w:spacing w:val="-42"/>
                <w:sz w:val="16"/>
              </w:rPr>
              <w:t> </w:t>
            </w:r>
            <w:r>
              <w:rPr>
                <w:sz w:val="16"/>
              </w:rPr>
              <w:t>HCH patients have a GP management plan prepared. (See also Note 1 and</w:t>
            </w:r>
            <w:r>
              <w:rPr>
                <w:spacing w:val="1"/>
                <w:sz w:val="16"/>
              </w:rPr>
              <w:t> </w:t>
            </w:r>
            <w:r>
              <w:rPr>
                <w:sz w:val="16"/>
              </w:rPr>
              <w:t>Note</w:t>
            </w:r>
            <w:r>
              <w:rPr>
                <w:spacing w:val="-2"/>
                <w:sz w:val="16"/>
              </w:rPr>
              <w:t> </w:t>
            </w:r>
            <w:r>
              <w:rPr>
                <w:sz w:val="16"/>
              </w:rPr>
              <w:t>2)</w:t>
            </w:r>
          </w:p>
          <w:p>
            <w:pPr>
              <w:pStyle w:val="TableParagraph"/>
              <w:spacing w:before="9"/>
              <w:rPr>
                <w:b/>
                <w:sz w:val="17"/>
              </w:rPr>
            </w:pPr>
          </w:p>
          <w:p>
            <w:pPr>
              <w:pStyle w:val="TableParagraph"/>
              <w:spacing w:line="264" w:lineRule="auto"/>
              <w:ind w:left="659" w:right="72"/>
              <w:rPr>
                <w:sz w:val="16"/>
              </w:rPr>
            </w:pPr>
            <w:r>
              <w:rPr>
                <w:sz w:val="16"/>
              </w:rPr>
              <w:t>Additional analysis will be conducted to assess trends for Reviews of a GP</w:t>
            </w:r>
            <w:r>
              <w:rPr>
                <w:spacing w:val="1"/>
                <w:sz w:val="16"/>
              </w:rPr>
              <w:t> </w:t>
            </w:r>
            <w:r>
              <w:rPr>
                <w:sz w:val="16"/>
              </w:rPr>
              <w:t>Management Plan (Item 732) and contribution to a Multidisciplinary Care Plan,</w:t>
            </w:r>
            <w:r>
              <w:rPr>
                <w:spacing w:val="-43"/>
                <w:sz w:val="16"/>
              </w:rPr>
              <w:t> </w:t>
            </w:r>
            <w:r>
              <w:rPr>
                <w:sz w:val="16"/>
              </w:rPr>
              <w:t>or to a Review of a Multidisciplinary Care Plan (item 729), and Health</w:t>
            </w:r>
            <w:r>
              <w:rPr>
                <w:spacing w:val="1"/>
                <w:sz w:val="16"/>
              </w:rPr>
              <w:t> </w:t>
            </w:r>
            <w:r>
              <w:rPr>
                <w:sz w:val="16"/>
              </w:rPr>
              <w:t>Assessment</w:t>
            </w:r>
            <w:r>
              <w:rPr>
                <w:spacing w:val="-2"/>
                <w:sz w:val="16"/>
              </w:rPr>
              <w:t> </w:t>
            </w:r>
            <w:r>
              <w:rPr>
                <w:sz w:val="16"/>
              </w:rPr>
              <w:t>for Aboriginal</w:t>
            </w:r>
            <w:r>
              <w:rPr>
                <w:spacing w:val="-1"/>
                <w:sz w:val="16"/>
              </w:rPr>
              <w:t> </w:t>
            </w:r>
            <w:r>
              <w:rPr>
                <w:sz w:val="16"/>
              </w:rPr>
              <w:t>and</w:t>
            </w:r>
            <w:r>
              <w:rPr>
                <w:spacing w:val="-2"/>
                <w:sz w:val="16"/>
              </w:rPr>
              <w:t> </w:t>
            </w:r>
            <w:r>
              <w:rPr>
                <w:sz w:val="16"/>
              </w:rPr>
              <w:t>Torres</w:t>
            </w:r>
            <w:r>
              <w:rPr>
                <w:spacing w:val="-3"/>
                <w:sz w:val="16"/>
              </w:rPr>
              <w:t> </w:t>
            </w:r>
            <w:r>
              <w:rPr>
                <w:sz w:val="16"/>
              </w:rPr>
              <w:t>Strait</w:t>
            </w:r>
            <w:r>
              <w:rPr>
                <w:spacing w:val="-4"/>
                <w:sz w:val="16"/>
              </w:rPr>
              <w:t> </w:t>
            </w:r>
            <w:r>
              <w:rPr>
                <w:sz w:val="16"/>
              </w:rPr>
              <w:t>Islander</w:t>
            </w:r>
            <w:r>
              <w:rPr>
                <w:spacing w:val="-3"/>
                <w:sz w:val="16"/>
              </w:rPr>
              <w:t> </w:t>
            </w:r>
            <w:r>
              <w:rPr>
                <w:sz w:val="16"/>
              </w:rPr>
              <w:t>People</w:t>
            </w:r>
            <w:r>
              <w:rPr>
                <w:spacing w:val="-2"/>
                <w:sz w:val="16"/>
              </w:rPr>
              <w:t> </w:t>
            </w:r>
            <w:r>
              <w:rPr>
                <w:sz w:val="16"/>
              </w:rPr>
              <w:t>(MBS</w:t>
            </w:r>
            <w:r>
              <w:rPr>
                <w:spacing w:val="-3"/>
                <w:sz w:val="16"/>
              </w:rPr>
              <w:t> </w:t>
            </w:r>
            <w:r>
              <w:rPr>
                <w:sz w:val="16"/>
              </w:rPr>
              <w:t>item 715).</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spacing w:before="55"/>
              <w:ind w:left="8"/>
              <w:jc w:val="center"/>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1624"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72" w:hanging="567"/>
              <w:rPr>
                <w:sz w:val="16"/>
              </w:rPr>
            </w:pPr>
            <w:r>
              <w:rPr>
                <w:sz w:val="16"/>
              </w:rPr>
              <w:t>3.01.08 Change in the proportion of patients for whom a claim for the development of</w:t>
            </w:r>
            <w:r>
              <w:rPr>
                <w:spacing w:val="-42"/>
                <w:sz w:val="16"/>
              </w:rPr>
              <w:t> </w:t>
            </w:r>
            <w:r>
              <w:rPr>
                <w:sz w:val="16"/>
              </w:rPr>
              <w:t>Team Care Arrangement (TCA) service (MBS item 723) was made in the</w:t>
            </w:r>
            <w:r>
              <w:rPr>
                <w:spacing w:val="1"/>
                <w:sz w:val="16"/>
              </w:rPr>
              <w:t> </w:t>
            </w:r>
            <w:r>
              <w:rPr>
                <w:sz w:val="16"/>
              </w:rPr>
              <w:t>previous 24 months (with additional analysis conducted on previous 12</w:t>
            </w:r>
            <w:r>
              <w:rPr>
                <w:spacing w:val="1"/>
                <w:sz w:val="16"/>
              </w:rPr>
              <w:t> </w:t>
            </w:r>
            <w:r>
              <w:rPr>
                <w:sz w:val="16"/>
              </w:rPr>
              <w:t>months), compared with the change for comparator patients. Note: HCH</w:t>
            </w:r>
            <w:r>
              <w:rPr>
                <w:spacing w:val="1"/>
                <w:sz w:val="16"/>
              </w:rPr>
              <w:t> </w:t>
            </w:r>
            <w:r>
              <w:rPr>
                <w:sz w:val="16"/>
              </w:rPr>
              <w:t>patients’ eligibility for item 721 for services delivered by the HCH practice will</w:t>
            </w:r>
            <w:r>
              <w:rPr>
                <w:spacing w:val="1"/>
                <w:sz w:val="16"/>
              </w:rPr>
              <w:t> </w:t>
            </w:r>
            <w:r>
              <w:rPr>
                <w:sz w:val="16"/>
              </w:rPr>
              <w:t>change, therefore assessment of these changes will require analysis and</w:t>
            </w:r>
            <w:r>
              <w:rPr>
                <w:spacing w:val="1"/>
                <w:sz w:val="16"/>
              </w:rPr>
              <w:t> </w:t>
            </w:r>
            <w:r>
              <w:rPr>
                <w:sz w:val="16"/>
              </w:rPr>
              <w:t>modelling</w:t>
            </w:r>
            <w:r>
              <w:rPr>
                <w:spacing w:val="-3"/>
                <w:sz w:val="16"/>
              </w:rPr>
              <w:t> </w:t>
            </w:r>
            <w:r>
              <w:rPr>
                <w:sz w:val="16"/>
              </w:rPr>
              <w:t>based</w:t>
            </w:r>
            <w:r>
              <w:rPr>
                <w:spacing w:val="-2"/>
                <w:sz w:val="16"/>
              </w:rPr>
              <w:t> </w:t>
            </w:r>
            <w:r>
              <w:rPr>
                <w:sz w:val="16"/>
              </w:rPr>
              <w:t>on</w:t>
            </w:r>
            <w:r>
              <w:rPr>
                <w:spacing w:val="-2"/>
                <w:sz w:val="16"/>
              </w:rPr>
              <w:t> </w:t>
            </w:r>
            <w:r>
              <w:rPr>
                <w:sz w:val="16"/>
              </w:rPr>
              <w:t>practice</w:t>
            </w:r>
            <w:r>
              <w:rPr>
                <w:spacing w:val="-1"/>
                <w:sz w:val="16"/>
              </w:rPr>
              <w:t> </w:t>
            </w:r>
            <w:r>
              <w:rPr>
                <w:sz w:val="16"/>
              </w:rPr>
              <w:t>data</w:t>
            </w:r>
            <w:r>
              <w:rPr>
                <w:spacing w:val="-2"/>
                <w:sz w:val="16"/>
              </w:rPr>
              <w:t> </w:t>
            </w:r>
            <w:r>
              <w:rPr>
                <w:sz w:val="16"/>
              </w:rPr>
              <w:t>extracts.</w:t>
            </w:r>
            <w:r>
              <w:rPr>
                <w:spacing w:val="-2"/>
                <w:sz w:val="16"/>
              </w:rPr>
              <w:t> </w:t>
            </w:r>
            <w:r>
              <w:rPr>
                <w:sz w:val="16"/>
              </w:rPr>
              <w:t>(See</w:t>
            </w:r>
            <w:r>
              <w:rPr>
                <w:spacing w:val="-1"/>
                <w:sz w:val="16"/>
              </w:rPr>
              <w:t> </w:t>
            </w:r>
            <w:r>
              <w:rPr>
                <w:sz w:val="16"/>
              </w:rPr>
              <w:t>also</w:t>
            </w:r>
            <w:r>
              <w:rPr>
                <w:spacing w:val="-5"/>
                <w:sz w:val="16"/>
              </w:rPr>
              <w:t> </w:t>
            </w:r>
            <w:r>
              <w:rPr>
                <w:sz w:val="16"/>
              </w:rPr>
              <w:t>Note 1</w:t>
            </w:r>
            <w:r>
              <w:rPr>
                <w:spacing w:val="-2"/>
                <w:sz w:val="16"/>
              </w:rPr>
              <w:t> </w:t>
            </w:r>
            <w:r>
              <w:rPr>
                <w:sz w:val="16"/>
              </w:rPr>
              <w:t>and</w:t>
            </w:r>
            <w:r>
              <w:rPr>
                <w:spacing w:val="-2"/>
                <w:sz w:val="16"/>
              </w:rPr>
              <w:t> </w:t>
            </w:r>
            <w:r>
              <w:rPr>
                <w:sz w:val="16"/>
              </w:rPr>
              <w:t>Note</w:t>
            </w:r>
            <w:r>
              <w:rPr>
                <w:spacing w:val="-2"/>
                <w:sz w:val="16"/>
              </w:rPr>
              <w:t> </w:t>
            </w:r>
            <w:r>
              <w:rPr>
                <w:sz w:val="16"/>
              </w:rPr>
              <w:t>2).</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spacing w:before="57"/>
              <w:ind w:left="8"/>
              <w:jc w:val="center"/>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bl>
    <w:p>
      <w:pPr>
        <w:spacing w:after="0"/>
        <w:rPr>
          <w:rFonts w:ascii="Times New Roman"/>
          <w:sz w:val="16"/>
        </w:rPr>
        <w:sectPr>
          <w:footerReference w:type="default" r:id="rId25"/>
          <w:pgSz w:w="16840" w:h="11910" w:orient="landscape"/>
          <w:pgMar w:footer="676" w:header="0" w:top="1100" w:bottom="860" w:left="1340" w:right="980"/>
        </w:sectPr>
      </w:pPr>
    </w:p>
    <w:p>
      <w:pPr>
        <w:pStyle w:val="BodyText"/>
        <w:spacing w:before="2" w:after="1"/>
        <w:rPr>
          <w:b/>
          <w:sz w:val="27"/>
        </w:rPr>
      </w:pPr>
    </w:p>
    <w:tbl>
      <w:tblPr>
        <w:tblW w:w="0" w:type="auto"/>
        <w:jc w:val="left"/>
        <w:tblInd w:w="11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5809"/>
        <w:gridCol w:w="6853"/>
        <w:gridCol w:w="324"/>
        <w:gridCol w:w="327"/>
        <w:gridCol w:w="324"/>
        <w:gridCol w:w="324"/>
        <w:gridCol w:w="326"/>
      </w:tblGrid>
      <w:tr>
        <w:trPr>
          <w:trHeight w:val="1509" w:hRule="atLeast"/>
        </w:trPr>
        <w:tc>
          <w:tcPr>
            <w:tcW w:w="5809" w:type="dxa"/>
            <w:tcBorders>
              <w:top w:val="nil"/>
            </w:tcBorders>
            <w:shd w:val="clear" w:color="auto" w:fill="003C79"/>
          </w:tcPr>
          <w:p>
            <w:pPr>
              <w:pStyle w:val="TableParagraph"/>
              <w:rPr>
                <w:b/>
                <w:sz w:val="20"/>
              </w:rPr>
            </w:pPr>
          </w:p>
          <w:p>
            <w:pPr>
              <w:pStyle w:val="TableParagraph"/>
              <w:rPr>
                <w:b/>
                <w:sz w:val="20"/>
              </w:rPr>
            </w:pPr>
          </w:p>
          <w:p>
            <w:pPr>
              <w:pStyle w:val="TableParagraph"/>
              <w:spacing w:before="164"/>
              <w:ind w:left="1579"/>
              <w:rPr>
                <w:b/>
                <w:sz w:val="16"/>
              </w:rPr>
            </w:pPr>
            <w:r>
              <w:rPr>
                <w:b/>
                <w:color w:val="FFFFFF"/>
                <w:sz w:val="16"/>
              </w:rPr>
              <w:t>Key</w:t>
            </w:r>
            <w:r>
              <w:rPr>
                <w:b/>
                <w:color w:val="FFFFFF"/>
                <w:spacing w:val="-4"/>
                <w:sz w:val="16"/>
              </w:rPr>
              <w:t> </w:t>
            </w:r>
            <w:r>
              <w:rPr>
                <w:b/>
                <w:color w:val="FFFFFF"/>
                <w:sz w:val="16"/>
              </w:rPr>
              <w:t>question</w:t>
            </w:r>
            <w:r>
              <w:rPr>
                <w:b/>
                <w:color w:val="FFFFFF"/>
                <w:spacing w:val="-5"/>
                <w:sz w:val="16"/>
              </w:rPr>
              <w:t> </w:t>
            </w:r>
            <w:r>
              <w:rPr>
                <w:b/>
                <w:color w:val="FFFFFF"/>
                <w:sz w:val="16"/>
              </w:rPr>
              <w:t>3:</w:t>
            </w:r>
            <w:r>
              <w:rPr>
                <w:b/>
                <w:color w:val="FFFFFF"/>
                <w:spacing w:val="-2"/>
                <w:sz w:val="16"/>
              </w:rPr>
              <w:t> </w:t>
            </w:r>
            <w:r>
              <w:rPr>
                <w:b/>
                <w:color w:val="FFFFFF"/>
                <w:sz w:val="16"/>
              </w:rPr>
              <w:t>Detailed</w:t>
            </w:r>
            <w:r>
              <w:rPr>
                <w:b/>
                <w:color w:val="FFFFFF"/>
                <w:spacing w:val="-2"/>
                <w:sz w:val="16"/>
              </w:rPr>
              <w:t> </w:t>
            </w:r>
            <w:r>
              <w:rPr>
                <w:b/>
                <w:color w:val="FFFFFF"/>
                <w:sz w:val="16"/>
              </w:rPr>
              <w:t>questions</w:t>
            </w:r>
          </w:p>
        </w:tc>
        <w:tc>
          <w:tcPr>
            <w:tcW w:w="6853" w:type="dxa"/>
            <w:tcBorders>
              <w:top w:val="nil"/>
            </w:tcBorders>
            <w:shd w:val="clear" w:color="auto" w:fill="003C79"/>
          </w:tcPr>
          <w:p>
            <w:pPr>
              <w:pStyle w:val="TableParagraph"/>
              <w:rPr>
                <w:b/>
                <w:sz w:val="20"/>
              </w:rPr>
            </w:pPr>
          </w:p>
          <w:p>
            <w:pPr>
              <w:pStyle w:val="TableParagraph"/>
              <w:rPr>
                <w:b/>
                <w:sz w:val="20"/>
              </w:rPr>
            </w:pPr>
          </w:p>
          <w:p>
            <w:pPr>
              <w:pStyle w:val="TableParagraph"/>
              <w:spacing w:before="164"/>
              <w:ind w:left="2424" w:right="2419"/>
              <w:jc w:val="center"/>
              <w:rPr>
                <w:b/>
                <w:sz w:val="16"/>
              </w:rPr>
            </w:pPr>
            <w:r>
              <w:rPr>
                <w:b/>
                <w:color w:val="FFFFFF"/>
                <w:sz w:val="16"/>
              </w:rPr>
              <w:t>Key</w:t>
            </w:r>
            <w:r>
              <w:rPr>
                <w:b/>
                <w:color w:val="FFFFFF"/>
                <w:spacing w:val="-4"/>
                <w:sz w:val="16"/>
              </w:rPr>
              <w:t> </w:t>
            </w:r>
            <w:r>
              <w:rPr>
                <w:b/>
                <w:color w:val="FFFFFF"/>
                <w:sz w:val="16"/>
              </w:rPr>
              <w:t>question</w:t>
            </w:r>
            <w:r>
              <w:rPr>
                <w:b/>
                <w:color w:val="FFFFFF"/>
                <w:spacing w:val="-4"/>
                <w:sz w:val="16"/>
              </w:rPr>
              <w:t> </w:t>
            </w:r>
            <w:r>
              <w:rPr>
                <w:b/>
                <w:color w:val="FFFFFF"/>
                <w:sz w:val="16"/>
              </w:rPr>
              <w:t>3:</w:t>
            </w:r>
            <w:r>
              <w:rPr>
                <w:b/>
                <w:color w:val="FFFFFF"/>
                <w:spacing w:val="-3"/>
                <w:sz w:val="16"/>
              </w:rPr>
              <w:t> </w:t>
            </w:r>
            <w:r>
              <w:rPr>
                <w:b/>
                <w:color w:val="FFFFFF"/>
                <w:sz w:val="16"/>
              </w:rPr>
              <w:t>Measures</w:t>
            </w:r>
          </w:p>
        </w:tc>
        <w:tc>
          <w:tcPr>
            <w:tcW w:w="324" w:type="dxa"/>
            <w:tcBorders>
              <w:top w:val="nil"/>
            </w:tcBorders>
            <w:shd w:val="clear" w:color="auto" w:fill="003C79"/>
            <w:textDirection w:val="btLr"/>
          </w:tcPr>
          <w:p>
            <w:pPr>
              <w:pStyle w:val="TableParagraph"/>
              <w:spacing w:before="57"/>
              <w:ind w:left="503" w:right="504"/>
              <w:jc w:val="center"/>
              <w:rPr>
                <w:b/>
                <w:sz w:val="16"/>
              </w:rPr>
            </w:pPr>
            <w:r>
              <w:rPr>
                <w:b/>
                <w:color w:val="FFFFFF"/>
                <w:sz w:val="16"/>
              </w:rPr>
              <w:t>Inputs</w:t>
            </w:r>
          </w:p>
        </w:tc>
        <w:tc>
          <w:tcPr>
            <w:tcW w:w="327" w:type="dxa"/>
            <w:tcBorders>
              <w:top w:val="nil"/>
            </w:tcBorders>
            <w:shd w:val="clear" w:color="auto" w:fill="003C79"/>
            <w:textDirection w:val="btLr"/>
          </w:tcPr>
          <w:p>
            <w:pPr>
              <w:pStyle w:val="TableParagraph"/>
              <w:spacing w:before="59"/>
              <w:ind w:left="407"/>
              <w:rPr>
                <w:b/>
                <w:sz w:val="16"/>
              </w:rPr>
            </w:pPr>
            <w:r>
              <w:rPr>
                <w:b/>
                <w:color w:val="FFFFFF"/>
                <w:sz w:val="16"/>
              </w:rPr>
              <w:t>Activities</w:t>
            </w:r>
          </w:p>
        </w:tc>
        <w:tc>
          <w:tcPr>
            <w:tcW w:w="324" w:type="dxa"/>
            <w:tcBorders>
              <w:top w:val="nil"/>
            </w:tcBorders>
            <w:shd w:val="clear" w:color="auto" w:fill="003C79"/>
            <w:textDirection w:val="btLr"/>
          </w:tcPr>
          <w:p>
            <w:pPr>
              <w:pStyle w:val="TableParagraph"/>
              <w:spacing w:before="57"/>
              <w:ind w:left="455"/>
              <w:rPr>
                <w:b/>
                <w:sz w:val="16"/>
              </w:rPr>
            </w:pPr>
            <w:r>
              <w:rPr>
                <w:b/>
                <w:color w:val="FFFFFF"/>
                <w:sz w:val="16"/>
              </w:rPr>
              <w:t>Outputs</w:t>
            </w:r>
          </w:p>
        </w:tc>
        <w:tc>
          <w:tcPr>
            <w:tcW w:w="324" w:type="dxa"/>
            <w:tcBorders>
              <w:top w:val="nil"/>
            </w:tcBorders>
            <w:shd w:val="clear" w:color="auto" w:fill="003C79"/>
            <w:textDirection w:val="btLr"/>
          </w:tcPr>
          <w:p>
            <w:pPr>
              <w:pStyle w:val="TableParagraph"/>
              <w:spacing w:before="57"/>
              <w:ind w:left="254"/>
              <w:rPr>
                <w:b/>
                <w:sz w:val="16"/>
              </w:rPr>
            </w:pPr>
            <w:r>
              <w:rPr>
                <w:b/>
                <w:color w:val="FFFFFF"/>
                <w:sz w:val="16"/>
              </w:rPr>
              <w:t>Outcomes</w:t>
            </w:r>
            <w:r>
              <w:rPr>
                <w:b/>
                <w:color w:val="FFFFFF"/>
                <w:spacing w:val="-2"/>
                <w:sz w:val="16"/>
              </w:rPr>
              <w:t> </w:t>
            </w:r>
            <w:r>
              <w:rPr>
                <w:b/>
                <w:color w:val="FFFFFF"/>
                <w:sz w:val="16"/>
              </w:rPr>
              <w:t>ST</w:t>
            </w:r>
          </w:p>
        </w:tc>
        <w:tc>
          <w:tcPr>
            <w:tcW w:w="326" w:type="dxa"/>
            <w:tcBorders>
              <w:top w:val="nil"/>
            </w:tcBorders>
            <w:shd w:val="clear" w:color="auto" w:fill="003C79"/>
            <w:textDirection w:val="btLr"/>
          </w:tcPr>
          <w:p>
            <w:pPr>
              <w:pStyle w:val="TableParagraph"/>
              <w:spacing w:before="59"/>
              <w:ind w:left="222"/>
              <w:rPr>
                <w:b/>
                <w:sz w:val="16"/>
              </w:rPr>
            </w:pPr>
            <w:r>
              <w:rPr>
                <w:b/>
                <w:color w:val="FFFFFF"/>
                <w:sz w:val="16"/>
              </w:rPr>
              <w:t>Outcomes</w:t>
            </w:r>
            <w:r>
              <w:rPr>
                <w:b/>
                <w:color w:val="FFFFFF"/>
                <w:spacing w:val="-1"/>
                <w:sz w:val="16"/>
              </w:rPr>
              <w:t> </w:t>
            </w:r>
            <w:r>
              <w:rPr>
                <w:b/>
                <w:color w:val="FFFFFF"/>
                <w:sz w:val="16"/>
              </w:rPr>
              <w:t>MT</w:t>
            </w:r>
          </w:p>
        </w:tc>
      </w:tr>
      <w:tr>
        <w:trPr>
          <w:trHeight w:val="1625" w:hRule="atLeast"/>
        </w:trPr>
        <w:tc>
          <w:tcPr>
            <w:tcW w:w="5809" w:type="dxa"/>
            <w:vMerge w:val="restart"/>
          </w:tcPr>
          <w:p>
            <w:pPr>
              <w:pStyle w:val="TableParagraph"/>
              <w:rPr>
                <w:rFonts w:ascii="Times New Roman"/>
                <w:sz w:val="16"/>
              </w:rPr>
            </w:pPr>
          </w:p>
        </w:tc>
        <w:tc>
          <w:tcPr>
            <w:tcW w:w="6853" w:type="dxa"/>
          </w:tcPr>
          <w:p>
            <w:pPr>
              <w:pStyle w:val="TableParagraph"/>
              <w:spacing w:line="264" w:lineRule="auto" w:before="57"/>
              <w:ind w:left="647" w:right="85" w:hanging="567"/>
              <w:rPr>
                <w:sz w:val="16"/>
              </w:rPr>
            </w:pPr>
            <w:r>
              <w:rPr>
                <w:sz w:val="16"/>
              </w:rPr>
              <w:t>3.01.09 Change in the proportion of patients who can be classified as meeting the</w:t>
            </w:r>
            <w:r>
              <w:rPr>
                <w:spacing w:val="1"/>
                <w:sz w:val="16"/>
              </w:rPr>
              <w:t> </w:t>
            </w:r>
            <w:r>
              <w:rPr>
                <w:sz w:val="16"/>
              </w:rPr>
              <w:t>criteria for psychotropic polypharmacy, polypharmacy or hyperpolypharmacy</w:t>
            </w:r>
            <w:r>
              <w:rPr>
                <w:spacing w:val="-42"/>
                <w:sz w:val="16"/>
              </w:rPr>
              <w:t> </w:t>
            </w:r>
            <w:r>
              <w:rPr>
                <w:sz w:val="16"/>
              </w:rPr>
              <w:t>compared with the change for comparator patients. (See Note 2)</w:t>
            </w:r>
            <w:r>
              <w:rPr>
                <w:spacing w:val="1"/>
                <w:sz w:val="16"/>
              </w:rPr>
              <w:t> </w:t>
            </w:r>
            <w:r>
              <w:rPr>
                <w:sz w:val="16"/>
              </w:rPr>
              <w:t>Psychotropic polypharmacy is defined as two or more psychotropic medicines</w:t>
            </w:r>
            <w:r>
              <w:rPr>
                <w:spacing w:val="-42"/>
                <w:sz w:val="16"/>
              </w:rPr>
              <w:t> </w:t>
            </w:r>
            <w:r>
              <w:rPr>
                <w:sz w:val="16"/>
              </w:rPr>
              <w:t>‘taken’ at the same time. Polypharmacy is defined to five to 10 medicines</w:t>
            </w:r>
            <w:r>
              <w:rPr>
                <w:spacing w:val="1"/>
                <w:sz w:val="16"/>
              </w:rPr>
              <w:t> </w:t>
            </w:r>
            <w:r>
              <w:rPr>
                <w:sz w:val="16"/>
              </w:rPr>
              <w:t>‘taken’ at the same time. Hyperpolypharmacy is defined as 10 or more</w:t>
            </w:r>
            <w:r>
              <w:rPr>
                <w:spacing w:val="1"/>
                <w:sz w:val="16"/>
              </w:rPr>
              <w:t> </w:t>
            </w:r>
            <w:r>
              <w:rPr>
                <w:sz w:val="16"/>
              </w:rPr>
              <w:t>medicines</w:t>
            </w:r>
            <w:r>
              <w:rPr>
                <w:spacing w:val="-3"/>
                <w:sz w:val="16"/>
              </w:rPr>
              <w:t> </w:t>
            </w:r>
            <w:r>
              <w:rPr>
                <w:sz w:val="16"/>
              </w:rPr>
              <w:t>‘taken’</w:t>
            </w:r>
            <w:r>
              <w:rPr>
                <w:spacing w:val="-1"/>
                <w:sz w:val="16"/>
              </w:rPr>
              <w:t> </w:t>
            </w:r>
            <w:r>
              <w:rPr>
                <w:sz w:val="16"/>
              </w:rPr>
              <w:t>at</w:t>
            </w:r>
            <w:r>
              <w:rPr>
                <w:spacing w:val="-1"/>
                <w:sz w:val="16"/>
              </w:rPr>
              <w:t> </w:t>
            </w:r>
            <w:r>
              <w:rPr>
                <w:sz w:val="16"/>
              </w:rPr>
              <w:t>the same</w:t>
            </w:r>
            <w:r>
              <w:rPr>
                <w:spacing w:val="-1"/>
                <w:sz w:val="16"/>
              </w:rPr>
              <w:t> </w:t>
            </w:r>
            <w:r>
              <w:rPr>
                <w:sz w:val="16"/>
              </w:rPr>
              <w:t>time.</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57"/>
              <w:ind w:left="100"/>
              <w:rPr>
                <w:rFonts w:ascii="Wingdings" w:hAnsi="Wingdings"/>
                <w:sz w:val="16"/>
              </w:rPr>
            </w:pPr>
            <w:r>
              <w:rPr>
                <w:rFonts w:ascii="Wingdings" w:hAnsi="Wingdings"/>
                <w:w w:val="100"/>
                <w:sz w:val="16"/>
              </w:rPr>
              <w:t></w:t>
            </w:r>
          </w:p>
        </w:tc>
        <w:tc>
          <w:tcPr>
            <w:tcW w:w="326" w:type="dxa"/>
          </w:tcPr>
          <w:p>
            <w:pPr>
              <w:pStyle w:val="TableParagraph"/>
              <w:rPr>
                <w:rFonts w:ascii="Times New Roman"/>
                <w:sz w:val="16"/>
              </w:rPr>
            </w:pPr>
          </w:p>
        </w:tc>
      </w:tr>
      <w:tr>
        <w:trPr>
          <w:trHeight w:val="1192"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85" w:hanging="567"/>
              <w:rPr>
                <w:sz w:val="16"/>
              </w:rPr>
            </w:pPr>
            <w:r>
              <w:rPr>
                <w:sz w:val="16"/>
              </w:rPr>
              <w:t>3.01.10 Change in the proportion of patients who can be classified as meeting the</w:t>
            </w:r>
            <w:r>
              <w:rPr>
                <w:spacing w:val="1"/>
                <w:sz w:val="16"/>
              </w:rPr>
              <w:t> </w:t>
            </w:r>
            <w:r>
              <w:rPr>
                <w:sz w:val="16"/>
              </w:rPr>
              <w:t>criteria for psychotropic polypharmacy, polypharmacy or hyperpolypharmacy</w:t>
            </w:r>
            <w:r>
              <w:rPr>
                <w:spacing w:val="-42"/>
                <w:sz w:val="16"/>
              </w:rPr>
              <w:t> </w:t>
            </w:r>
            <w:r>
              <w:rPr>
                <w:sz w:val="16"/>
              </w:rPr>
              <w:t>for whom a medication review claim was made in the previous 12 months</w:t>
            </w:r>
            <w:r>
              <w:rPr>
                <w:spacing w:val="1"/>
                <w:sz w:val="16"/>
              </w:rPr>
              <w:t> </w:t>
            </w:r>
            <w:r>
              <w:rPr>
                <w:sz w:val="16"/>
              </w:rPr>
              <w:t>compared with the change for comparator patients. (See Note 2) See</w:t>
            </w:r>
            <w:r>
              <w:rPr>
                <w:spacing w:val="1"/>
                <w:sz w:val="16"/>
              </w:rPr>
              <w:t> </w:t>
            </w:r>
            <w:r>
              <w:rPr>
                <w:sz w:val="16"/>
              </w:rPr>
              <w:t>definitions</w:t>
            </w:r>
            <w:r>
              <w:rPr>
                <w:spacing w:val="-3"/>
                <w:sz w:val="16"/>
              </w:rPr>
              <w:t> </w:t>
            </w:r>
            <w:r>
              <w:rPr>
                <w:sz w:val="16"/>
              </w:rPr>
              <w:t>above.</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57"/>
              <w:ind w:left="100"/>
              <w:rPr>
                <w:rFonts w:ascii="Wingdings" w:hAnsi="Wingdings"/>
                <w:sz w:val="16"/>
              </w:rPr>
            </w:pPr>
            <w:r>
              <w:rPr>
                <w:rFonts w:ascii="Wingdings" w:hAnsi="Wingdings"/>
                <w:w w:val="100"/>
                <w:sz w:val="16"/>
              </w:rPr>
              <w:t></w:t>
            </w:r>
          </w:p>
        </w:tc>
        <w:tc>
          <w:tcPr>
            <w:tcW w:w="326" w:type="dxa"/>
          </w:tcPr>
          <w:p>
            <w:pPr>
              <w:pStyle w:val="TableParagraph"/>
              <w:rPr>
                <w:rFonts w:ascii="Times New Roman"/>
                <w:sz w:val="16"/>
              </w:rPr>
            </w:pPr>
          </w:p>
        </w:tc>
      </w:tr>
      <w:tr>
        <w:trPr>
          <w:trHeight w:val="1192"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268" w:hanging="567"/>
              <w:rPr>
                <w:sz w:val="16"/>
              </w:rPr>
            </w:pPr>
            <w:r>
              <w:rPr>
                <w:sz w:val="16"/>
              </w:rPr>
              <w:t>3.01.11 Change in the proportion of patients who exceed thresholds for potential</w:t>
            </w:r>
            <w:r>
              <w:rPr>
                <w:spacing w:val="1"/>
                <w:sz w:val="16"/>
              </w:rPr>
              <w:t> </w:t>
            </w:r>
            <w:r>
              <w:rPr>
                <w:sz w:val="16"/>
              </w:rPr>
              <w:t>inappropriate drug use (based on Beers criteria </w:t>
            </w:r>
            <w:hyperlink w:history="true" w:anchor="_bookmark101">
              <w:r>
                <w:rPr>
                  <w:sz w:val="16"/>
                </w:rPr>
                <w:t>(American Geriatrics Society</w:t>
              </w:r>
            </w:hyperlink>
            <w:r>
              <w:rPr>
                <w:spacing w:val="-42"/>
                <w:sz w:val="16"/>
              </w:rPr>
              <w:t> </w:t>
            </w:r>
            <w:r>
              <w:rPr>
                <w:sz w:val="16"/>
              </w:rPr>
              <w:t>Beers Criteria Update Expert Panel, 2015) and/or Drug Burden Index </w:t>
            </w:r>
            <w:hyperlink w:history="true" w:anchor="_bookmark118">
              <w:r>
                <w:rPr>
                  <w:sz w:val="16"/>
                </w:rPr>
                <w:t>(Hilmer,</w:t>
              </w:r>
            </w:hyperlink>
            <w:r>
              <w:rPr>
                <w:spacing w:val="1"/>
                <w:sz w:val="16"/>
              </w:rPr>
              <w:t> </w:t>
            </w:r>
            <w:r>
              <w:rPr>
                <w:sz w:val="16"/>
              </w:rPr>
              <w:t>Mager, Simonsick et al., 2007)) compared with the change for comparator</w:t>
            </w:r>
            <w:r>
              <w:rPr>
                <w:spacing w:val="1"/>
                <w:sz w:val="16"/>
              </w:rPr>
              <w:t> </w:t>
            </w:r>
            <w:r>
              <w:rPr>
                <w:sz w:val="16"/>
              </w:rPr>
              <w:t>patients.</w:t>
            </w:r>
            <w:r>
              <w:rPr>
                <w:spacing w:val="-2"/>
                <w:sz w:val="16"/>
              </w:rPr>
              <w:t> </w:t>
            </w:r>
            <w:r>
              <w:rPr>
                <w:sz w:val="16"/>
              </w:rPr>
              <w:t>(See</w:t>
            </w:r>
            <w:r>
              <w:rPr>
                <w:spacing w:val="-1"/>
                <w:sz w:val="16"/>
              </w:rPr>
              <w:t> </w:t>
            </w:r>
            <w:r>
              <w:rPr>
                <w:sz w:val="16"/>
              </w:rPr>
              <w:t>Note</w:t>
            </w:r>
            <w:r>
              <w:rPr>
                <w:spacing w:val="2"/>
                <w:sz w:val="16"/>
              </w:rPr>
              <w:t> </w:t>
            </w:r>
            <w:r>
              <w:rPr>
                <w:sz w:val="16"/>
              </w:rPr>
              <w:t>2)</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57"/>
              <w:ind w:left="100"/>
              <w:rPr>
                <w:rFonts w:ascii="Wingdings" w:hAnsi="Wingdings"/>
                <w:sz w:val="16"/>
              </w:rPr>
            </w:pPr>
            <w:r>
              <w:rPr>
                <w:rFonts w:ascii="Wingdings" w:hAnsi="Wingdings"/>
                <w:w w:val="100"/>
                <w:sz w:val="16"/>
              </w:rPr>
              <w:t></w:t>
            </w:r>
          </w:p>
        </w:tc>
        <w:tc>
          <w:tcPr>
            <w:tcW w:w="326" w:type="dxa"/>
          </w:tcPr>
          <w:p>
            <w:pPr>
              <w:pStyle w:val="TableParagraph"/>
              <w:rPr>
                <w:rFonts w:ascii="Times New Roman"/>
                <w:sz w:val="16"/>
              </w:rPr>
            </w:pPr>
          </w:p>
        </w:tc>
      </w:tr>
      <w:tr>
        <w:trPr>
          <w:trHeight w:val="978" w:hRule="atLeast"/>
        </w:trPr>
        <w:tc>
          <w:tcPr>
            <w:tcW w:w="5809" w:type="dxa"/>
            <w:vMerge w:val="restart"/>
          </w:tcPr>
          <w:p>
            <w:pPr>
              <w:pStyle w:val="TableParagraph"/>
              <w:spacing w:line="264" w:lineRule="auto" w:before="57"/>
              <w:ind w:left="504" w:right="112" w:hanging="426"/>
              <w:rPr>
                <w:sz w:val="16"/>
              </w:rPr>
            </w:pPr>
            <w:r>
              <w:rPr>
                <w:sz w:val="16"/>
              </w:rPr>
              <w:t>3.02 Did patients enrolled in the HCH program have improved access to</w:t>
            </w:r>
            <w:r>
              <w:rPr>
                <w:spacing w:val="-42"/>
                <w:sz w:val="16"/>
              </w:rPr>
              <w:t> </w:t>
            </w:r>
            <w:r>
              <w:rPr>
                <w:sz w:val="16"/>
              </w:rPr>
              <w:t>primary care services, including through alternate ways of</w:t>
            </w:r>
            <w:r>
              <w:rPr>
                <w:spacing w:val="1"/>
                <w:sz w:val="16"/>
              </w:rPr>
              <w:t> </w:t>
            </w:r>
            <w:r>
              <w:rPr>
                <w:sz w:val="16"/>
              </w:rPr>
              <w:t>accessing the service? How did the use of primary care services</w:t>
            </w:r>
            <w:r>
              <w:rPr>
                <w:spacing w:val="1"/>
                <w:sz w:val="16"/>
              </w:rPr>
              <w:t> </w:t>
            </w:r>
            <w:r>
              <w:rPr>
                <w:sz w:val="16"/>
              </w:rPr>
              <w:t>change for HCH patients compared with similar patients receiving</w:t>
            </w:r>
            <w:r>
              <w:rPr>
                <w:spacing w:val="1"/>
                <w:sz w:val="16"/>
              </w:rPr>
              <w:t> </w:t>
            </w:r>
            <w:r>
              <w:rPr>
                <w:sz w:val="16"/>
              </w:rPr>
              <w:t>care from practices not enrolled in HCH? How did use of services</w:t>
            </w:r>
            <w:r>
              <w:rPr>
                <w:spacing w:val="1"/>
                <w:sz w:val="16"/>
              </w:rPr>
              <w:t> </w:t>
            </w:r>
            <w:r>
              <w:rPr>
                <w:sz w:val="16"/>
              </w:rPr>
              <w:t>from within the HCH practice change? Did the HCH model result in</w:t>
            </w:r>
            <w:r>
              <w:rPr>
                <w:spacing w:val="-43"/>
                <w:sz w:val="16"/>
              </w:rPr>
              <w:t> </w:t>
            </w:r>
            <w:r>
              <w:rPr>
                <w:sz w:val="16"/>
              </w:rPr>
              <w:t>increased</w:t>
            </w:r>
            <w:r>
              <w:rPr>
                <w:spacing w:val="-2"/>
                <w:sz w:val="16"/>
              </w:rPr>
              <w:t> </w:t>
            </w:r>
            <w:r>
              <w:rPr>
                <w:sz w:val="16"/>
              </w:rPr>
              <w:t>continuity</w:t>
            </w:r>
            <w:r>
              <w:rPr>
                <w:spacing w:val="-4"/>
                <w:sz w:val="16"/>
              </w:rPr>
              <w:t> </w:t>
            </w:r>
            <w:r>
              <w:rPr>
                <w:sz w:val="16"/>
              </w:rPr>
              <w:t>in</w:t>
            </w:r>
            <w:r>
              <w:rPr>
                <w:spacing w:val="1"/>
                <w:sz w:val="16"/>
              </w:rPr>
              <w:t> </w:t>
            </w:r>
            <w:r>
              <w:rPr>
                <w:sz w:val="16"/>
              </w:rPr>
              <w:t>the</w:t>
            </w:r>
            <w:r>
              <w:rPr>
                <w:spacing w:val="-2"/>
                <w:sz w:val="16"/>
              </w:rPr>
              <w:t> </w:t>
            </w:r>
            <w:r>
              <w:rPr>
                <w:sz w:val="16"/>
              </w:rPr>
              <w:t>provision</w:t>
            </w:r>
            <w:r>
              <w:rPr>
                <w:spacing w:val="-1"/>
                <w:sz w:val="16"/>
              </w:rPr>
              <w:t> </w:t>
            </w:r>
            <w:r>
              <w:rPr>
                <w:sz w:val="16"/>
              </w:rPr>
              <w:t>of</w:t>
            </w:r>
            <w:r>
              <w:rPr>
                <w:spacing w:val="-1"/>
                <w:sz w:val="16"/>
              </w:rPr>
              <w:t> </w:t>
            </w:r>
            <w:r>
              <w:rPr>
                <w:sz w:val="16"/>
              </w:rPr>
              <w:t>primary</w:t>
            </w:r>
            <w:r>
              <w:rPr>
                <w:spacing w:val="-1"/>
                <w:sz w:val="16"/>
              </w:rPr>
              <w:t> </w:t>
            </w:r>
            <w:r>
              <w:rPr>
                <w:sz w:val="16"/>
              </w:rPr>
              <w:t>care?</w:t>
            </w:r>
          </w:p>
        </w:tc>
        <w:tc>
          <w:tcPr>
            <w:tcW w:w="6853" w:type="dxa"/>
          </w:tcPr>
          <w:p>
            <w:pPr>
              <w:pStyle w:val="TableParagraph"/>
              <w:spacing w:line="264" w:lineRule="auto" w:before="57"/>
              <w:ind w:left="647" w:right="51" w:hanging="567"/>
              <w:rPr>
                <w:sz w:val="16"/>
              </w:rPr>
            </w:pPr>
            <w:r>
              <w:rPr>
                <w:sz w:val="16"/>
              </w:rPr>
              <w:t>3.02.01 Proportion of patients who increased their assessment of access to care items</w:t>
            </w:r>
            <w:r>
              <w:rPr>
                <w:spacing w:val="1"/>
                <w:sz w:val="16"/>
              </w:rPr>
              <w:t> </w:t>
            </w:r>
            <w:r>
              <w:rPr>
                <w:sz w:val="16"/>
              </w:rPr>
              <w:t>on the patient survey (aggregated across dimensions and individual item</w:t>
            </w:r>
            <w:r>
              <w:rPr>
                <w:spacing w:val="1"/>
                <w:sz w:val="16"/>
              </w:rPr>
              <w:t> </w:t>
            </w:r>
            <w:r>
              <w:rPr>
                <w:sz w:val="16"/>
              </w:rPr>
              <w:t>scores) between baseline and final patient survey. (Change in mean scores will</w:t>
            </w:r>
            <w:r>
              <w:rPr>
                <w:spacing w:val="-42"/>
                <w:sz w:val="16"/>
              </w:rPr>
              <w:t> </w:t>
            </w:r>
            <w:r>
              <w:rPr>
                <w:sz w:val="16"/>
              </w:rPr>
              <w:t>also</w:t>
            </w:r>
            <w:r>
              <w:rPr>
                <w:spacing w:val="-2"/>
                <w:sz w:val="16"/>
              </w:rPr>
              <w:t> </w:t>
            </w:r>
            <w:r>
              <w:rPr>
                <w:sz w:val="16"/>
              </w:rPr>
              <w:t>be</w:t>
            </w:r>
            <w:r>
              <w:rPr>
                <w:spacing w:val="-1"/>
                <w:sz w:val="16"/>
              </w:rPr>
              <w:t> </w:t>
            </w:r>
            <w:r>
              <w:rPr>
                <w:sz w:val="16"/>
              </w:rPr>
              <w:t>analysed.)</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57"/>
              <w:ind w:left="100"/>
              <w:rPr>
                <w:rFonts w:ascii="Wingdings" w:hAnsi="Wingdings"/>
                <w:sz w:val="16"/>
              </w:rPr>
            </w:pPr>
            <w:r>
              <w:rPr>
                <w:rFonts w:ascii="Wingdings" w:hAnsi="Wingdings"/>
                <w:w w:val="100"/>
                <w:sz w:val="16"/>
              </w:rPr>
              <w:t></w:t>
            </w:r>
          </w:p>
        </w:tc>
        <w:tc>
          <w:tcPr>
            <w:tcW w:w="326" w:type="dxa"/>
          </w:tcPr>
          <w:p>
            <w:pPr>
              <w:pStyle w:val="TableParagraph"/>
              <w:rPr>
                <w:rFonts w:ascii="Times New Roman"/>
                <w:sz w:val="16"/>
              </w:rPr>
            </w:pPr>
          </w:p>
        </w:tc>
      </w:tr>
      <w:tr>
        <w:trPr>
          <w:trHeight w:val="544" w:hRule="atLeast"/>
        </w:trPr>
        <w:tc>
          <w:tcPr>
            <w:tcW w:w="5809" w:type="dxa"/>
            <w:vMerge/>
            <w:tcBorders>
              <w:top w:val="nil"/>
            </w:tcBorders>
          </w:tcPr>
          <w:p>
            <w:pPr>
              <w:rPr>
                <w:sz w:val="2"/>
                <w:szCs w:val="2"/>
              </w:rPr>
            </w:pPr>
          </w:p>
        </w:tc>
        <w:tc>
          <w:tcPr>
            <w:tcW w:w="6853" w:type="dxa"/>
          </w:tcPr>
          <w:p>
            <w:pPr>
              <w:pStyle w:val="TableParagraph"/>
              <w:spacing w:line="261" w:lineRule="auto" w:before="57"/>
              <w:ind w:left="647" w:right="65" w:hanging="567"/>
              <w:rPr>
                <w:sz w:val="16"/>
              </w:rPr>
            </w:pPr>
            <w:r>
              <w:rPr>
                <w:sz w:val="16"/>
              </w:rPr>
              <w:t>3.02.02 Most frequent improvements in access to care reported by consumers, families</w:t>
            </w:r>
            <w:r>
              <w:rPr>
                <w:spacing w:val="-42"/>
                <w:sz w:val="16"/>
              </w:rPr>
              <w:t> </w:t>
            </w:r>
            <w:r>
              <w:rPr>
                <w:sz w:val="16"/>
              </w:rPr>
              <w:t>and</w:t>
            </w:r>
            <w:r>
              <w:rPr>
                <w:spacing w:val="-2"/>
                <w:sz w:val="16"/>
              </w:rPr>
              <w:t> </w:t>
            </w:r>
            <w:r>
              <w:rPr>
                <w:sz w:val="16"/>
              </w:rPr>
              <w:t>carers</w:t>
            </w:r>
            <w:r>
              <w:rPr>
                <w:spacing w:val="-2"/>
                <w:sz w:val="16"/>
              </w:rPr>
              <w:t> </w:t>
            </w:r>
            <w:r>
              <w:rPr>
                <w:sz w:val="16"/>
              </w:rPr>
              <w:t>(together</w:t>
            </w:r>
            <w:r>
              <w:rPr>
                <w:spacing w:val="-4"/>
                <w:sz w:val="16"/>
              </w:rPr>
              <w:t> </w:t>
            </w:r>
            <w:r>
              <w:rPr>
                <w:sz w:val="16"/>
              </w:rPr>
              <w:t>with</w:t>
            </w:r>
            <w:r>
              <w:rPr>
                <w:spacing w:val="-1"/>
                <w:sz w:val="16"/>
              </w:rPr>
              <w:t> </w:t>
            </w:r>
            <w:r>
              <w:rPr>
                <w:sz w:val="16"/>
              </w:rPr>
              <w:t>descriptions).</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57"/>
              <w:ind w:left="100"/>
              <w:rPr>
                <w:rFonts w:ascii="Wingdings" w:hAnsi="Wingdings"/>
                <w:sz w:val="16"/>
              </w:rPr>
            </w:pPr>
            <w:r>
              <w:rPr>
                <w:rFonts w:ascii="Wingdings" w:hAnsi="Wingdings"/>
                <w:w w:val="100"/>
                <w:sz w:val="16"/>
              </w:rPr>
              <w:t></w:t>
            </w:r>
          </w:p>
        </w:tc>
        <w:tc>
          <w:tcPr>
            <w:tcW w:w="326" w:type="dxa"/>
          </w:tcPr>
          <w:p>
            <w:pPr>
              <w:pStyle w:val="TableParagraph"/>
              <w:rPr>
                <w:rFonts w:ascii="Times New Roman"/>
                <w:sz w:val="16"/>
              </w:rPr>
            </w:pPr>
          </w:p>
        </w:tc>
      </w:tr>
      <w:tr>
        <w:trPr>
          <w:trHeight w:val="1193"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91" w:hanging="567"/>
              <w:rPr>
                <w:sz w:val="16"/>
              </w:rPr>
            </w:pPr>
            <w:r>
              <w:rPr>
                <w:sz w:val="16"/>
              </w:rPr>
              <w:t>3.02.03 Change in the mean number of services for which unreferred MBS claims have</w:t>
            </w:r>
            <w:r>
              <w:rPr>
                <w:spacing w:val="-42"/>
                <w:sz w:val="16"/>
              </w:rPr>
              <w:t> </w:t>
            </w:r>
            <w:r>
              <w:rPr>
                <w:sz w:val="16"/>
              </w:rPr>
              <w:t>been made in the previous 12 months compared with the change for</w:t>
            </w:r>
            <w:r>
              <w:rPr>
                <w:spacing w:val="1"/>
                <w:sz w:val="16"/>
              </w:rPr>
              <w:t> </w:t>
            </w:r>
            <w:r>
              <w:rPr>
                <w:sz w:val="16"/>
              </w:rPr>
              <w:t>comparator patients. (See Note 2) (Note: for HCH patients, levels of service will</w:t>
            </w:r>
            <w:r>
              <w:rPr>
                <w:spacing w:val="-42"/>
                <w:sz w:val="16"/>
              </w:rPr>
              <w:t> </w:t>
            </w:r>
            <w:r>
              <w:rPr>
                <w:sz w:val="16"/>
              </w:rPr>
              <w:t>be estimated by using practice data extracts to identify equivalent services</w:t>
            </w:r>
            <w:r>
              <w:rPr>
                <w:spacing w:val="1"/>
                <w:sz w:val="16"/>
              </w:rPr>
              <w:t> </w:t>
            </w:r>
            <w:r>
              <w:rPr>
                <w:sz w:val="16"/>
              </w:rPr>
              <w:t>claimable</w:t>
            </w:r>
            <w:r>
              <w:rPr>
                <w:spacing w:val="-2"/>
                <w:sz w:val="16"/>
              </w:rPr>
              <w:t> </w:t>
            </w:r>
            <w:r>
              <w:rPr>
                <w:sz w:val="16"/>
              </w:rPr>
              <w:t>under</w:t>
            </w:r>
            <w:r>
              <w:rPr>
                <w:spacing w:val="-2"/>
                <w:sz w:val="16"/>
              </w:rPr>
              <w:t> </w:t>
            </w:r>
            <w:r>
              <w:rPr>
                <w:sz w:val="16"/>
              </w:rPr>
              <w:t>MBS.)</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57"/>
              <w:ind w:left="100"/>
              <w:rPr>
                <w:rFonts w:ascii="Wingdings" w:hAnsi="Wingdings"/>
                <w:sz w:val="16"/>
              </w:rPr>
            </w:pPr>
            <w:r>
              <w:rPr>
                <w:rFonts w:ascii="Wingdings" w:hAnsi="Wingdings"/>
                <w:w w:val="100"/>
                <w:sz w:val="16"/>
              </w:rPr>
              <w:t></w:t>
            </w:r>
          </w:p>
        </w:tc>
        <w:tc>
          <w:tcPr>
            <w:tcW w:w="326" w:type="dxa"/>
          </w:tcPr>
          <w:p>
            <w:pPr>
              <w:pStyle w:val="TableParagraph"/>
              <w:rPr>
                <w:rFonts w:ascii="Times New Roman"/>
                <w:sz w:val="16"/>
              </w:rPr>
            </w:pPr>
          </w:p>
        </w:tc>
      </w:tr>
      <w:tr>
        <w:trPr>
          <w:trHeight w:val="546"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175" w:hanging="567"/>
              <w:rPr>
                <w:sz w:val="16"/>
              </w:rPr>
            </w:pPr>
            <w:r>
              <w:rPr>
                <w:sz w:val="16"/>
              </w:rPr>
              <w:t>3.02.04 Change in the proportion of primary care services delivered across modalities</w:t>
            </w:r>
            <w:r>
              <w:rPr>
                <w:spacing w:val="-42"/>
                <w:sz w:val="16"/>
              </w:rPr>
              <w:t> </w:t>
            </w:r>
            <w:r>
              <w:rPr>
                <w:sz w:val="16"/>
              </w:rPr>
              <w:t>(face-to-face,</w:t>
            </w:r>
            <w:r>
              <w:rPr>
                <w:spacing w:val="-3"/>
                <w:sz w:val="16"/>
              </w:rPr>
              <w:t> </w:t>
            </w:r>
            <w:r>
              <w:rPr>
                <w:sz w:val="16"/>
              </w:rPr>
              <w:t>telemedicine,</w:t>
            </w:r>
            <w:r>
              <w:rPr>
                <w:spacing w:val="-5"/>
                <w:sz w:val="16"/>
              </w:rPr>
              <w:t> </w:t>
            </w:r>
            <w:r>
              <w:rPr>
                <w:sz w:val="16"/>
              </w:rPr>
              <w:t>email)</w:t>
            </w:r>
            <w:r>
              <w:rPr>
                <w:spacing w:val="-8"/>
                <w:sz w:val="16"/>
              </w:rPr>
              <w:t> </w:t>
            </w:r>
            <w:r>
              <w:rPr>
                <w:sz w:val="16"/>
              </w:rPr>
              <w:t>and</w:t>
            </w:r>
            <w:r>
              <w:rPr>
                <w:spacing w:val="-3"/>
                <w:sz w:val="16"/>
              </w:rPr>
              <w:t> </w:t>
            </w:r>
            <w:r>
              <w:rPr>
                <w:sz w:val="16"/>
              </w:rPr>
              <w:t>staff</w:t>
            </w:r>
            <w:r>
              <w:rPr>
                <w:spacing w:val="-1"/>
                <w:sz w:val="16"/>
              </w:rPr>
              <w:t> </w:t>
            </w:r>
            <w:r>
              <w:rPr>
                <w:sz w:val="16"/>
              </w:rPr>
              <w:t>type</w:t>
            </w:r>
            <w:r>
              <w:rPr>
                <w:spacing w:val="-3"/>
                <w:sz w:val="16"/>
              </w:rPr>
              <w:t> </w:t>
            </w:r>
            <w:r>
              <w:rPr>
                <w:sz w:val="16"/>
              </w:rPr>
              <w:t>(GP,</w:t>
            </w:r>
            <w:r>
              <w:rPr>
                <w:spacing w:val="-3"/>
                <w:sz w:val="16"/>
              </w:rPr>
              <w:t> </w:t>
            </w:r>
            <w:r>
              <w:rPr>
                <w:sz w:val="16"/>
              </w:rPr>
              <w:t>practice nurse,</w:t>
            </w:r>
            <w:r>
              <w:rPr>
                <w:spacing w:val="-3"/>
                <w:sz w:val="16"/>
              </w:rPr>
              <w:t> </w:t>
            </w:r>
            <w:r>
              <w:rPr>
                <w:sz w:val="16"/>
              </w:rPr>
              <w:t>nurse</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57"/>
              <w:ind w:left="100"/>
              <w:rPr>
                <w:rFonts w:ascii="Wingdings" w:hAnsi="Wingdings"/>
                <w:sz w:val="16"/>
              </w:rPr>
            </w:pPr>
            <w:r>
              <w:rPr>
                <w:rFonts w:ascii="Wingdings" w:hAnsi="Wingdings"/>
                <w:w w:val="100"/>
                <w:sz w:val="16"/>
              </w:rPr>
              <w:t></w:t>
            </w:r>
          </w:p>
        </w:tc>
        <w:tc>
          <w:tcPr>
            <w:tcW w:w="326" w:type="dxa"/>
          </w:tcPr>
          <w:p>
            <w:pPr>
              <w:pStyle w:val="TableParagraph"/>
              <w:rPr>
                <w:rFonts w:ascii="Times New Roman"/>
                <w:sz w:val="16"/>
              </w:rPr>
            </w:pPr>
          </w:p>
        </w:tc>
      </w:tr>
    </w:tbl>
    <w:p>
      <w:pPr>
        <w:spacing w:after="0"/>
        <w:rPr>
          <w:rFonts w:ascii="Times New Roman"/>
          <w:sz w:val="16"/>
        </w:rPr>
        <w:sectPr>
          <w:pgSz w:w="16840" w:h="11910" w:orient="landscape"/>
          <w:pgMar w:header="0" w:footer="676" w:top="1100" w:bottom="860" w:left="1340" w:right="980"/>
        </w:sectPr>
      </w:pPr>
    </w:p>
    <w:p>
      <w:pPr>
        <w:pStyle w:val="BodyText"/>
        <w:spacing w:before="2" w:after="1"/>
        <w:rPr>
          <w:b/>
          <w:sz w:val="27"/>
        </w:rPr>
      </w:pPr>
    </w:p>
    <w:tbl>
      <w:tblPr>
        <w:tblW w:w="0" w:type="auto"/>
        <w:jc w:val="left"/>
        <w:tblInd w:w="11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5809"/>
        <w:gridCol w:w="6853"/>
        <w:gridCol w:w="324"/>
        <w:gridCol w:w="327"/>
        <w:gridCol w:w="324"/>
        <w:gridCol w:w="324"/>
        <w:gridCol w:w="326"/>
      </w:tblGrid>
      <w:tr>
        <w:trPr>
          <w:trHeight w:val="1509" w:hRule="atLeast"/>
        </w:trPr>
        <w:tc>
          <w:tcPr>
            <w:tcW w:w="5809" w:type="dxa"/>
            <w:tcBorders>
              <w:top w:val="nil"/>
            </w:tcBorders>
            <w:shd w:val="clear" w:color="auto" w:fill="003C79"/>
          </w:tcPr>
          <w:p>
            <w:pPr>
              <w:pStyle w:val="TableParagraph"/>
              <w:rPr>
                <w:b/>
                <w:sz w:val="20"/>
              </w:rPr>
            </w:pPr>
          </w:p>
          <w:p>
            <w:pPr>
              <w:pStyle w:val="TableParagraph"/>
              <w:rPr>
                <w:b/>
                <w:sz w:val="20"/>
              </w:rPr>
            </w:pPr>
          </w:p>
          <w:p>
            <w:pPr>
              <w:pStyle w:val="TableParagraph"/>
              <w:spacing w:before="164"/>
              <w:ind w:left="1579"/>
              <w:rPr>
                <w:b/>
                <w:sz w:val="16"/>
              </w:rPr>
            </w:pPr>
            <w:r>
              <w:rPr>
                <w:b/>
                <w:color w:val="FFFFFF"/>
                <w:sz w:val="16"/>
              </w:rPr>
              <w:t>Key</w:t>
            </w:r>
            <w:r>
              <w:rPr>
                <w:b/>
                <w:color w:val="FFFFFF"/>
                <w:spacing w:val="-4"/>
                <w:sz w:val="16"/>
              </w:rPr>
              <w:t> </w:t>
            </w:r>
            <w:r>
              <w:rPr>
                <w:b/>
                <w:color w:val="FFFFFF"/>
                <w:sz w:val="16"/>
              </w:rPr>
              <w:t>question</w:t>
            </w:r>
            <w:r>
              <w:rPr>
                <w:b/>
                <w:color w:val="FFFFFF"/>
                <w:spacing w:val="-5"/>
                <w:sz w:val="16"/>
              </w:rPr>
              <w:t> </w:t>
            </w:r>
            <w:r>
              <w:rPr>
                <w:b/>
                <w:color w:val="FFFFFF"/>
                <w:sz w:val="16"/>
              </w:rPr>
              <w:t>3:</w:t>
            </w:r>
            <w:r>
              <w:rPr>
                <w:b/>
                <w:color w:val="FFFFFF"/>
                <w:spacing w:val="-2"/>
                <w:sz w:val="16"/>
              </w:rPr>
              <w:t> </w:t>
            </w:r>
            <w:r>
              <w:rPr>
                <w:b/>
                <w:color w:val="FFFFFF"/>
                <w:sz w:val="16"/>
              </w:rPr>
              <w:t>Detailed</w:t>
            </w:r>
            <w:r>
              <w:rPr>
                <w:b/>
                <w:color w:val="FFFFFF"/>
                <w:spacing w:val="-2"/>
                <w:sz w:val="16"/>
              </w:rPr>
              <w:t> </w:t>
            </w:r>
            <w:r>
              <w:rPr>
                <w:b/>
                <w:color w:val="FFFFFF"/>
                <w:sz w:val="16"/>
              </w:rPr>
              <w:t>questions</w:t>
            </w:r>
          </w:p>
        </w:tc>
        <w:tc>
          <w:tcPr>
            <w:tcW w:w="6853" w:type="dxa"/>
            <w:tcBorders>
              <w:top w:val="nil"/>
            </w:tcBorders>
            <w:shd w:val="clear" w:color="auto" w:fill="003C79"/>
          </w:tcPr>
          <w:p>
            <w:pPr>
              <w:pStyle w:val="TableParagraph"/>
              <w:rPr>
                <w:b/>
                <w:sz w:val="20"/>
              </w:rPr>
            </w:pPr>
          </w:p>
          <w:p>
            <w:pPr>
              <w:pStyle w:val="TableParagraph"/>
              <w:rPr>
                <w:b/>
                <w:sz w:val="20"/>
              </w:rPr>
            </w:pPr>
          </w:p>
          <w:p>
            <w:pPr>
              <w:pStyle w:val="TableParagraph"/>
              <w:spacing w:before="164"/>
              <w:ind w:left="2424" w:right="2419"/>
              <w:jc w:val="center"/>
              <w:rPr>
                <w:b/>
                <w:sz w:val="16"/>
              </w:rPr>
            </w:pPr>
            <w:r>
              <w:rPr>
                <w:b/>
                <w:color w:val="FFFFFF"/>
                <w:sz w:val="16"/>
              </w:rPr>
              <w:t>Key</w:t>
            </w:r>
            <w:r>
              <w:rPr>
                <w:b/>
                <w:color w:val="FFFFFF"/>
                <w:spacing w:val="-4"/>
                <w:sz w:val="16"/>
              </w:rPr>
              <w:t> </w:t>
            </w:r>
            <w:r>
              <w:rPr>
                <w:b/>
                <w:color w:val="FFFFFF"/>
                <w:sz w:val="16"/>
              </w:rPr>
              <w:t>question</w:t>
            </w:r>
            <w:r>
              <w:rPr>
                <w:b/>
                <w:color w:val="FFFFFF"/>
                <w:spacing w:val="-4"/>
                <w:sz w:val="16"/>
              </w:rPr>
              <w:t> </w:t>
            </w:r>
            <w:r>
              <w:rPr>
                <w:b/>
                <w:color w:val="FFFFFF"/>
                <w:sz w:val="16"/>
              </w:rPr>
              <w:t>3:</w:t>
            </w:r>
            <w:r>
              <w:rPr>
                <w:b/>
                <w:color w:val="FFFFFF"/>
                <w:spacing w:val="-3"/>
                <w:sz w:val="16"/>
              </w:rPr>
              <w:t> </w:t>
            </w:r>
            <w:r>
              <w:rPr>
                <w:b/>
                <w:color w:val="FFFFFF"/>
                <w:sz w:val="16"/>
              </w:rPr>
              <w:t>Measures</w:t>
            </w:r>
          </w:p>
        </w:tc>
        <w:tc>
          <w:tcPr>
            <w:tcW w:w="324" w:type="dxa"/>
            <w:tcBorders>
              <w:top w:val="nil"/>
            </w:tcBorders>
            <w:shd w:val="clear" w:color="auto" w:fill="003C79"/>
            <w:textDirection w:val="btLr"/>
          </w:tcPr>
          <w:p>
            <w:pPr>
              <w:pStyle w:val="TableParagraph"/>
              <w:spacing w:before="57"/>
              <w:ind w:left="503" w:right="504"/>
              <w:jc w:val="center"/>
              <w:rPr>
                <w:b/>
                <w:sz w:val="16"/>
              </w:rPr>
            </w:pPr>
            <w:r>
              <w:rPr>
                <w:b/>
                <w:color w:val="FFFFFF"/>
                <w:sz w:val="16"/>
              </w:rPr>
              <w:t>Inputs</w:t>
            </w:r>
          </w:p>
        </w:tc>
        <w:tc>
          <w:tcPr>
            <w:tcW w:w="327" w:type="dxa"/>
            <w:tcBorders>
              <w:top w:val="nil"/>
            </w:tcBorders>
            <w:shd w:val="clear" w:color="auto" w:fill="003C79"/>
            <w:textDirection w:val="btLr"/>
          </w:tcPr>
          <w:p>
            <w:pPr>
              <w:pStyle w:val="TableParagraph"/>
              <w:spacing w:before="59"/>
              <w:ind w:left="407"/>
              <w:rPr>
                <w:b/>
                <w:sz w:val="16"/>
              </w:rPr>
            </w:pPr>
            <w:r>
              <w:rPr>
                <w:b/>
                <w:color w:val="FFFFFF"/>
                <w:sz w:val="16"/>
              </w:rPr>
              <w:t>Activities</w:t>
            </w:r>
          </w:p>
        </w:tc>
        <w:tc>
          <w:tcPr>
            <w:tcW w:w="324" w:type="dxa"/>
            <w:tcBorders>
              <w:top w:val="nil"/>
            </w:tcBorders>
            <w:shd w:val="clear" w:color="auto" w:fill="003C79"/>
            <w:textDirection w:val="btLr"/>
          </w:tcPr>
          <w:p>
            <w:pPr>
              <w:pStyle w:val="TableParagraph"/>
              <w:spacing w:before="57"/>
              <w:ind w:left="455"/>
              <w:rPr>
                <w:b/>
                <w:sz w:val="16"/>
              </w:rPr>
            </w:pPr>
            <w:r>
              <w:rPr>
                <w:b/>
                <w:color w:val="FFFFFF"/>
                <w:sz w:val="16"/>
              </w:rPr>
              <w:t>Outputs</w:t>
            </w:r>
          </w:p>
        </w:tc>
        <w:tc>
          <w:tcPr>
            <w:tcW w:w="324" w:type="dxa"/>
            <w:tcBorders>
              <w:top w:val="nil"/>
            </w:tcBorders>
            <w:shd w:val="clear" w:color="auto" w:fill="003C79"/>
            <w:textDirection w:val="btLr"/>
          </w:tcPr>
          <w:p>
            <w:pPr>
              <w:pStyle w:val="TableParagraph"/>
              <w:spacing w:before="57"/>
              <w:ind w:left="254"/>
              <w:rPr>
                <w:b/>
                <w:sz w:val="16"/>
              </w:rPr>
            </w:pPr>
            <w:r>
              <w:rPr>
                <w:b/>
                <w:color w:val="FFFFFF"/>
                <w:sz w:val="16"/>
              </w:rPr>
              <w:t>Outcomes</w:t>
            </w:r>
            <w:r>
              <w:rPr>
                <w:b/>
                <w:color w:val="FFFFFF"/>
                <w:spacing w:val="-2"/>
                <w:sz w:val="16"/>
              </w:rPr>
              <w:t> </w:t>
            </w:r>
            <w:r>
              <w:rPr>
                <w:b/>
                <w:color w:val="FFFFFF"/>
                <w:sz w:val="16"/>
              </w:rPr>
              <w:t>ST</w:t>
            </w:r>
          </w:p>
        </w:tc>
        <w:tc>
          <w:tcPr>
            <w:tcW w:w="326" w:type="dxa"/>
            <w:tcBorders>
              <w:top w:val="nil"/>
            </w:tcBorders>
            <w:shd w:val="clear" w:color="auto" w:fill="003C79"/>
            <w:textDirection w:val="btLr"/>
          </w:tcPr>
          <w:p>
            <w:pPr>
              <w:pStyle w:val="TableParagraph"/>
              <w:spacing w:before="59"/>
              <w:ind w:left="222"/>
              <w:rPr>
                <w:b/>
                <w:sz w:val="16"/>
              </w:rPr>
            </w:pPr>
            <w:r>
              <w:rPr>
                <w:b/>
                <w:color w:val="FFFFFF"/>
                <w:sz w:val="16"/>
              </w:rPr>
              <w:t>Outcomes</w:t>
            </w:r>
            <w:r>
              <w:rPr>
                <w:b/>
                <w:color w:val="FFFFFF"/>
                <w:spacing w:val="-1"/>
                <w:sz w:val="16"/>
              </w:rPr>
              <w:t> </w:t>
            </w:r>
            <w:r>
              <w:rPr>
                <w:b/>
                <w:color w:val="FFFFFF"/>
                <w:sz w:val="16"/>
              </w:rPr>
              <w:t>MT</w:t>
            </w:r>
          </w:p>
        </w:tc>
      </w:tr>
      <w:tr>
        <w:trPr>
          <w:trHeight w:val="760" w:hRule="atLeast"/>
        </w:trPr>
        <w:tc>
          <w:tcPr>
            <w:tcW w:w="5809" w:type="dxa"/>
            <w:vMerge w:val="restart"/>
          </w:tcPr>
          <w:p>
            <w:pPr>
              <w:pStyle w:val="TableParagraph"/>
              <w:rPr>
                <w:rFonts w:ascii="Times New Roman"/>
                <w:sz w:val="16"/>
              </w:rPr>
            </w:pPr>
          </w:p>
        </w:tc>
        <w:tc>
          <w:tcPr>
            <w:tcW w:w="6853" w:type="dxa"/>
          </w:tcPr>
          <w:p>
            <w:pPr>
              <w:pStyle w:val="TableParagraph"/>
              <w:spacing w:line="261" w:lineRule="auto" w:before="57"/>
              <w:ind w:left="647" w:right="62"/>
              <w:rPr>
                <w:sz w:val="16"/>
              </w:rPr>
            </w:pPr>
            <w:r>
              <w:rPr>
                <w:sz w:val="16"/>
              </w:rPr>
              <w:t>practitioner, allied health, Aboriginal Health Worker) in the previous 12 months</w:t>
            </w:r>
            <w:r>
              <w:rPr>
                <w:spacing w:val="1"/>
                <w:sz w:val="16"/>
              </w:rPr>
              <w:t> </w:t>
            </w:r>
            <w:r>
              <w:rPr>
                <w:sz w:val="16"/>
              </w:rPr>
              <w:t>between: (a) entry to the HCH program; and (b) the anniversary of entry to the</w:t>
            </w:r>
            <w:r>
              <w:rPr>
                <w:spacing w:val="-42"/>
                <w:sz w:val="16"/>
              </w:rPr>
              <w:t> </w:t>
            </w:r>
            <w:r>
              <w:rPr>
                <w:sz w:val="16"/>
              </w:rPr>
              <w:t>program.</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976" w:hRule="atLeast"/>
        </w:trPr>
        <w:tc>
          <w:tcPr>
            <w:tcW w:w="5809" w:type="dxa"/>
            <w:vMerge/>
            <w:tcBorders>
              <w:top w:val="nil"/>
            </w:tcBorders>
          </w:tcPr>
          <w:p>
            <w:pPr>
              <w:rPr>
                <w:sz w:val="2"/>
                <w:szCs w:val="2"/>
              </w:rPr>
            </w:pPr>
          </w:p>
        </w:tc>
        <w:tc>
          <w:tcPr>
            <w:tcW w:w="6853" w:type="dxa"/>
          </w:tcPr>
          <w:p>
            <w:pPr>
              <w:pStyle w:val="TableParagraph"/>
              <w:spacing w:line="264" w:lineRule="auto" w:before="58"/>
              <w:ind w:left="647" w:right="80" w:hanging="567"/>
              <w:rPr>
                <w:sz w:val="16"/>
              </w:rPr>
            </w:pPr>
            <w:r>
              <w:rPr>
                <w:sz w:val="16"/>
              </w:rPr>
              <w:t>3.02.05 Change in non-referred services delivered by HCH practices as a proportion of</w:t>
            </w:r>
            <w:r>
              <w:rPr>
                <w:spacing w:val="-42"/>
                <w:sz w:val="16"/>
              </w:rPr>
              <w:t> </w:t>
            </w:r>
            <w:r>
              <w:rPr>
                <w:sz w:val="16"/>
              </w:rPr>
              <w:t>all primary care providers. (An additional formulation of this measure will</w:t>
            </w:r>
            <w:r>
              <w:rPr>
                <w:spacing w:val="1"/>
                <w:sz w:val="16"/>
              </w:rPr>
              <w:t> </w:t>
            </w:r>
            <w:r>
              <w:rPr>
                <w:sz w:val="16"/>
              </w:rPr>
              <w:t>include emergency department presentations in the numerator of total non-</w:t>
            </w:r>
            <w:r>
              <w:rPr>
                <w:spacing w:val="1"/>
                <w:sz w:val="16"/>
              </w:rPr>
              <w:t> </w:t>
            </w:r>
            <w:r>
              <w:rPr>
                <w:sz w:val="16"/>
              </w:rPr>
              <w:t>referred</w:t>
            </w:r>
            <w:r>
              <w:rPr>
                <w:spacing w:val="-2"/>
                <w:sz w:val="16"/>
              </w:rPr>
              <w:t> </w:t>
            </w:r>
            <w:r>
              <w:rPr>
                <w:sz w:val="16"/>
              </w:rPr>
              <w:t>services.)</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58"/>
              <w:ind w:left="100"/>
              <w:rPr>
                <w:rFonts w:ascii="Wingdings" w:hAnsi="Wingdings"/>
                <w:sz w:val="16"/>
              </w:rPr>
            </w:pPr>
            <w:r>
              <w:rPr>
                <w:rFonts w:ascii="Wingdings" w:hAnsi="Wingdings"/>
                <w:w w:val="100"/>
                <w:sz w:val="16"/>
              </w:rPr>
              <w:t></w:t>
            </w:r>
          </w:p>
        </w:tc>
        <w:tc>
          <w:tcPr>
            <w:tcW w:w="326" w:type="dxa"/>
          </w:tcPr>
          <w:p>
            <w:pPr>
              <w:pStyle w:val="TableParagraph"/>
              <w:rPr>
                <w:rFonts w:ascii="Times New Roman"/>
                <w:sz w:val="16"/>
              </w:rPr>
            </w:pPr>
          </w:p>
        </w:tc>
      </w:tr>
      <w:tr>
        <w:trPr>
          <w:trHeight w:val="1627"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208" w:hanging="567"/>
              <w:rPr>
                <w:sz w:val="16"/>
              </w:rPr>
            </w:pPr>
            <w:r>
              <w:rPr>
                <w:sz w:val="16"/>
              </w:rPr>
              <w:t>3.02.06 Change in indices of care continuity and care density for the previous 12</w:t>
            </w:r>
            <w:r>
              <w:rPr>
                <w:spacing w:val="1"/>
                <w:sz w:val="16"/>
              </w:rPr>
              <w:t> </w:t>
            </w:r>
            <w:r>
              <w:rPr>
                <w:sz w:val="16"/>
              </w:rPr>
              <w:t>months compared with the change for comparator patients. (Note for HCH</w:t>
            </w:r>
            <w:r>
              <w:rPr>
                <w:spacing w:val="1"/>
                <w:sz w:val="16"/>
              </w:rPr>
              <w:t> </w:t>
            </w:r>
            <w:r>
              <w:rPr>
                <w:sz w:val="16"/>
              </w:rPr>
              <w:t>patients, levels of service will be estimated by using practice data extracts to</w:t>
            </w:r>
            <w:r>
              <w:rPr>
                <w:spacing w:val="-42"/>
                <w:sz w:val="16"/>
              </w:rPr>
              <w:t> </w:t>
            </w:r>
            <w:r>
              <w:rPr>
                <w:sz w:val="16"/>
              </w:rPr>
              <w:t>identify equivalent services claimable under MBS.) Indices include: usual</w:t>
            </w:r>
            <w:r>
              <w:rPr>
                <w:spacing w:val="1"/>
                <w:sz w:val="16"/>
              </w:rPr>
              <w:t> </w:t>
            </w:r>
            <w:r>
              <w:rPr>
                <w:sz w:val="16"/>
              </w:rPr>
              <w:t>provider of care (UPC) index </w:t>
            </w:r>
            <w:hyperlink w:history="true" w:anchor="_bookmark137">
              <w:r>
                <w:rPr>
                  <w:sz w:val="16"/>
                </w:rPr>
                <w:t>(Saultz, 2003</w:t>
              </w:r>
            </w:hyperlink>
            <w:r>
              <w:rPr>
                <w:sz w:val="16"/>
              </w:rPr>
              <w:t>), Bice Boxerman Continuity of Care</w:t>
            </w:r>
            <w:r>
              <w:rPr>
                <w:spacing w:val="-42"/>
                <w:sz w:val="16"/>
              </w:rPr>
              <w:t> </w:t>
            </w:r>
            <w:r>
              <w:rPr>
                <w:sz w:val="16"/>
              </w:rPr>
              <w:t>(COC) index </w:t>
            </w:r>
            <w:hyperlink w:history="true" w:anchor="_bookmark103">
              <w:r>
                <w:rPr>
                  <w:sz w:val="16"/>
                </w:rPr>
                <w:t>(Bice and Boxerman, 1977</w:t>
              </w:r>
            </w:hyperlink>
            <w:r>
              <w:rPr>
                <w:sz w:val="16"/>
              </w:rPr>
              <w:t>), and Care Density Index </w:t>
            </w:r>
            <w:hyperlink w:history="true" w:anchor="_bookmark129">
              <w:r>
                <w:rPr>
                  <w:sz w:val="16"/>
                </w:rPr>
                <w:t>(Pollack,</w:t>
              </w:r>
            </w:hyperlink>
            <w:r>
              <w:rPr>
                <w:spacing w:val="1"/>
                <w:sz w:val="16"/>
              </w:rPr>
              <w:t> </w:t>
            </w:r>
            <w:r>
              <w:rPr>
                <w:sz w:val="16"/>
              </w:rPr>
              <w:t>Weissman,</w:t>
            </w:r>
            <w:r>
              <w:rPr>
                <w:spacing w:val="-1"/>
                <w:sz w:val="16"/>
              </w:rPr>
              <w:t> </w:t>
            </w:r>
            <w:r>
              <w:rPr>
                <w:sz w:val="16"/>
              </w:rPr>
              <w:t>Lemke</w:t>
            </w:r>
            <w:r>
              <w:rPr>
                <w:spacing w:val="-3"/>
                <w:sz w:val="16"/>
              </w:rPr>
              <w:t> </w:t>
            </w:r>
            <w:r>
              <w:rPr>
                <w:sz w:val="16"/>
              </w:rPr>
              <w:t>et</w:t>
            </w:r>
            <w:r>
              <w:rPr>
                <w:spacing w:val="-1"/>
                <w:sz w:val="16"/>
              </w:rPr>
              <w:t> </w:t>
            </w:r>
            <w:r>
              <w:rPr>
                <w:sz w:val="16"/>
              </w:rPr>
              <w:t>al.,</w:t>
            </w:r>
            <w:r>
              <w:rPr>
                <w:spacing w:val="-1"/>
                <w:sz w:val="16"/>
              </w:rPr>
              <w:t> </w:t>
            </w:r>
            <w:r>
              <w:rPr>
                <w:sz w:val="16"/>
              </w:rPr>
              <w:t>2013).</w:t>
            </w:r>
            <w:r>
              <w:rPr>
                <w:spacing w:val="-1"/>
                <w:sz w:val="16"/>
              </w:rPr>
              <w:t> </w:t>
            </w:r>
            <w:r>
              <w:rPr>
                <w:sz w:val="16"/>
              </w:rPr>
              <w:t>(See</w:t>
            </w:r>
            <w:r>
              <w:rPr>
                <w:spacing w:val="-2"/>
                <w:sz w:val="16"/>
              </w:rPr>
              <w:t> </w:t>
            </w:r>
            <w:r>
              <w:rPr>
                <w:sz w:val="16"/>
              </w:rPr>
              <w:t>Note</w:t>
            </w:r>
            <w:r>
              <w:rPr>
                <w:spacing w:val="2"/>
                <w:sz w:val="16"/>
              </w:rPr>
              <w:t> </w:t>
            </w:r>
            <w:r>
              <w:rPr>
                <w:sz w:val="16"/>
              </w:rPr>
              <w:t>2)</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57"/>
              <w:ind w:left="100"/>
              <w:rPr>
                <w:rFonts w:ascii="Wingdings" w:hAnsi="Wingdings"/>
                <w:sz w:val="16"/>
              </w:rPr>
            </w:pPr>
            <w:r>
              <w:rPr>
                <w:rFonts w:ascii="Wingdings" w:hAnsi="Wingdings"/>
                <w:w w:val="100"/>
                <w:sz w:val="16"/>
              </w:rPr>
              <w:t></w:t>
            </w:r>
          </w:p>
        </w:tc>
        <w:tc>
          <w:tcPr>
            <w:tcW w:w="326" w:type="dxa"/>
          </w:tcPr>
          <w:p>
            <w:pPr>
              <w:pStyle w:val="TableParagraph"/>
              <w:rPr>
                <w:rFonts w:ascii="Times New Roman"/>
                <w:sz w:val="16"/>
              </w:rPr>
            </w:pPr>
          </w:p>
        </w:tc>
      </w:tr>
      <w:tr>
        <w:trPr>
          <w:trHeight w:val="976" w:hRule="atLeast"/>
        </w:trPr>
        <w:tc>
          <w:tcPr>
            <w:tcW w:w="5809" w:type="dxa"/>
            <w:vMerge w:val="restart"/>
          </w:tcPr>
          <w:p>
            <w:pPr>
              <w:pStyle w:val="TableParagraph"/>
              <w:spacing w:line="264" w:lineRule="auto" w:before="55"/>
              <w:ind w:left="504" w:right="56" w:hanging="426"/>
              <w:rPr>
                <w:sz w:val="16"/>
              </w:rPr>
            </w:pPr>
            <w:r>
              <w:rPr>
                <w:sz w:val="16"/>
              </w:rPr>
              <w:t>3.03 How did the use of secondary care and other community-based</w:t>
            </w:r>
            <w:r>
              <w:rPr>
                <w:spacing w:val="1"/>
                <w:sz w:val="16"/>
              </w:rPr>
              <w:t> </w:t>
            </w:r>
            <w:r>
              <w:rPr>
                <w:sz w:val="16"/>
              </w:rPr>
              <w:t>services change for HCH patients compared with similar patients in</w:t>
            </w:r>
            <w:r>
              <w:rPr>
                <w:spacing w:val="1"/>
                <w:sz w:val="16"/>
              </w:rPr>
              <w:t> </w:t>
            </w:r>
            <w:r>
              <w:rPr>
                <w:sz w:val="16"/>
              </w:rPr>
              <w:t>practices not enrolled in HCH? Was there improved coordination of</w:t>
            </w:r>
            <w:r>
              <w:rPr>
                <w:spacing w:val="-42"/>
                <w:sz w:val="16"/>
              </w:rPr>
              <w:t> </w:t>
            </w:r>
            <w:r>
              <w:rPr>
                <w:sz w:val="16"/>
              </w:rPr>
              <w:t>services</w:t>
            </w:r>
            <w:r>
              <w:rPr>
                <w:spacing w:val="-3"/>
                <w:sz w:val="16"/>
              </w:rPr>
              <w:t> </w:t>
            </w:r>
            <w:r>
              <w:rPr>
                <w:sz w:val="16"/>
              </w:rPr>
              <w:t>between</w:t>
            </w:r>
            <w:r>
              <w:rPr>
                <w:spacing w:val="-2"/>
                <w:sz w:val="16"/>
              </w:rPr>
              <w:t> </w:t>
            </w:r>
            <w:r>
              <w:rPr>
                <w:sz w:val="16"/>
              </w:rPr>
              <w:t>primary</w:t>
            </w:r>
            <w:r>
              <w:rPr>
                <w:spacing w:val="-3"/>
                <w:sz w:val="16"/>
              </w:rPr>
              <w:t> </w:t>
            </w:r>
            <w:r>
              <w:rPr>
                <w:sz w:val="16"/>
              </w:rPr>
              <w:t>care</w:t>
            </w:r>
            <w:r>
              <w:rPr>
                <w:spacing w:val="-1"/>
                <w:sz w:val="16"/>
              </w:rPr>
              <w:t> </w:t>
            </w:r>
            <w:r>
              <w:rPr>
                <w:sz w:val="16"/>
              </w:rPr>
              <w:t>and</w:t>
            </w:r>
            <w:r>
              <w:rPr>
                <w:spacing w:val="-2"/>
                <w:sz w:val="16"/>
              </w:rPr>
              <w:t> </w:t>
            </w:r>
            <w:r>
              <w:rPr>
                <w:sz w:val="16"/>
              </w:rPr>
              <w:t>other</w:t>
            </w:r>
            <w:r>
              <w:rPr>
                <w:spacing w:val="-3"/>
                <w:sz w:val="16"/>
              </w:rPr>
              <w:t> </w:t>
            </w:r>
            <w:r>
              <w:rPr>
                <w:sz w:val="16"/>
              </w:rPr>
              <w:t>service</w:t>
            </w:r>
            <w:r>
              <w:rPr>
                <w:spacing w:val="-2"/>
                <w:sz w:val="16"/>
              </w:rPr>
              <w:t> </w:t>
            </w:r>
            <w:r>
              <w:rPr>
                <w:sz w:val="16"/>
              </w:rPr>
              <w:t>providers?</w:t>
            </w:r>
          </w:p>
        </w:tc>
        <w:tc>
          <w:tcPr>
            <w:tcW w:w="6853" w:type="dxa"/>
          </w:tcPr>
          <w:p>
            <w:pPr>
              <w:pStyle w:val="TableParagraph"/>
              <w:spacing w:line="264" w:lineRule="auto" w:before="55"/>
              <w:ind w:left="647" w:right="168" w:hanging="567"/>
              <w:rPr>
                <w:sz w:val="16"/>
              </w:rPr>
            </w:pPr>
            <w:r>
              <w:rPr>
                <w:sz w:val="16"/>
              </w:rPr>
              <w:t>3.03.01 Change in the mean number of claims for allied health services available</w:t>
            </w:r>
            <w:r>
              <w:rPr>
                <w:spacing w:val="1"/>
                <w:sz w:val="16"/>
              </w:rPr>
              <w:t> </w:t>
            </w:r>
            <w:r>
              <w:rPr>
                <w:sz w:val="16"/>
              </w:rPr>
              <w:t>under MBS for people with chronic diseases (MBS Items 10950-10970;81100-</w:t>
            </w:r>
            <w:r>
              <w:rPr>
                <w:spacing w:val="1"/>
                <w:sz w:val="16"/>
              </w:rPr>
              <w:t> </w:t>
            </w:r>
            <w:r>
              <w:rPr>
                <w:sz w:val="16"/>
              </w:rPr>
              <w:t>81125)</w:t>
            </w:r>
            <w:r>
              <w:rPr>
                <w:spacing w:val="-6"/>
                <w:sz w:val="16"/>
              </w:rPr>
              <w:t> </w:t>
            </w:r>
            <w:r>
              <w:rPr>
                <w:sz w:val="16"/>
              </w:rPr>
              <w:t>in</w:t>
            </w:r>
            <w:r>
              <w:rPr>
                <w:spacing w:val="-3"/>
                <w:sz w:val="16"/>
              </w:rPr>
              <w:t> </w:t>
            </w:r>
            <w:r>
              <w:rPr>
                <w:sz w:val="16"/>
              </w:rPr>
              <w:t>the</w:t>
            </w:r>
            <w:r>
              <w:rPr>
                <w:spacing w:val="-2"/>
                <w:sz w:val="16"/>
              </w:rPr>
              <w:t> </w:t>
            </w:r>
            <w:r>
              <w:rPr>
                <w:sz w:val="16"/>
              </w:rPr>
              <w:t>previous</w:t>
            </w:r>
            <w:r>
              <w:rPr>
                <w:spacing w:val="-4"/>
                <w:sz w:val="16"/>
              </w:rPr>
              <w:t> </w:t>
            </w:r>
            <w:r>
              <w:rPr>
                <w:sz w:val="16"/>
              </w:rPr>
              <w:t>12</w:t>
            </w:r>
            <w:r>
              <w:rPr>
                <w:spacing w:val="-4"/>
                <w:sz w:val="16"/>
              </w:rPr>
              <w:t> </w:t>
            </w:r>
            <w:r>
              <w:rPr>
                <w:sz w:val="16"/>
              </w:rPr>
              <w:t>months compared</w:t>
            </w:r>
            <w:r>
              <w:rPr>
                <w:spacing w:val="-6"/>
                <w:sz w:val="16"/>
              </w:rPr>
              <w:t> </w:t>
            </w:r>
            <w:r>
              <w:rPr>
                <w:sz w:val="16"/>
              </w:rPr>
              <w:t>with</w:t>
            </w:r>
            <w:r>
              <w:rPr>
                <w:spacing w:val="-1"/>
                <w:sz w:val="16"/>
              </w:rPr>
              <w:t> </w:t>
            </w:r>
            <w:r>
              <w:rPr>
                <w:sz w:val="16"/>
              </w:rPr>
              <w:t>the change</w:t>
            </w:r>
            <w:r>
              <w:rPr>
                <w:spacing w:val="-3"/>
                <w:sz w:val="16"/>
              </w:rPr>
              <w:t> </w:t>
            </w:r>
            <w:r>
              <w:rPr>
                <w:sz w:val="16"/>
              </w:rPr>
              <w:t>for</w:t>
            </w:r>
            <w:r>
              <w:rPr>
                <w:spacing w:val="-1"/>
                <w:sz w:val="16"/>
              </w:rPr>
              <w:t> </w:t>
            </w:r>
            <w:r>
              <w:rPr>
                <w:sz w:val="16"/>
              </w:rPr>
              <w:t>comparator</w:t>
            </w:r>
            <w:r>
              <w:rPr>
                <w:spacing w:val="-41"/>
                <w:sz w:val="16"/>
              </w:rPr>
              <w:t> </w:t>
            </w:r>
            <w:r>
              <w:rPr>
                <w:sz w:val="16"/>
              </w:rPr>
              <w:t>patients.</w:t>
            </w:r>
            <w:r>
              <w:rPr>
                <w:spacing w:val="-1"/>
                <w:sz w:val="16"/>
              </w:rPr>
              <w:t> </w:t>
            </w:r>
            <w:r>
              <w:rPr>
                <w:sz w:val="16"/>
              </w:rPr>
              <w:t>(See</w:t>
            </w:r>
            <w:r>
              <w:rPr>
                <w:spacing w:val="-1"/>
                <w:sz w:val="16"/>
              </w:rPr>
              <w:t> </w:t>
            </w:r>
            <w:r>
              <w:rPr>
                <w:sz w:val="16"/>
              </w:rPr>
              <w:t>Note</w:t>
            </w:r>
            <w:r>
              <w:rPr>
                <w:spacing w:val="2"/>
                <w:sz w:val="16"/>
              </w:rPr>
              <w:t> </w:t>
            </w:r>
            <w:r>
              <w:rPr>
                <w:sz w:val="16"/>
              </w:rPr>
              <w:t>2)</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55"/>
              <w:ind w:left="100"/>
              <w:rPr>
                <w:rFonts w:ascii="Wingdings" w:hAnsi="Wingdings"/>
                <w:sz w:val="16"/>
              </w:rPr>
            </w:pPr>
            <w:r>
              <w:rPr>
                <w:rFonts w:ascii="Wingdings" w:hAnsi="Wingdings"/>
                <w:w w:val="100"/>
                <w:sz w:val="16"/>
              </w:rPr>
              <w:t></w:t>
            </w:r>
          </w:p>
        </w:tc>
        <w:tc>
          <w:tcPr>
            <w:tcW w:w="326" w:type="dxa"/>
          </w:tcPr>
          <w:p>
            <w:pPr>
              <w:pStyle w:val="TableParagraph"/>
              <w:rPr>
                <w:rFonts w:ascii="Times New Roman"/>
                <w:sz w:val="16"/>
              </w:rPr>
            </w:pPr>
          </w:p>
        </w:tc>
      </w:tr>
      <w:tr>
        <w:trPr>
          <w:trHeight w:val="1192"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106" w:hanging="567"/>
              <w:rPr>
                <w:sz w:val="16"/>
              </w:rPr>
            </w:pPr>
            <w:r>
              <w:rPr>
                <w:sz w:val="16"/>
              </w:rPr>
              <w:t>3.03.02 Change in the mean number of specialist, pathology and imaging services for</w:t>
            </w:r>
            <w:r>
              <w:rPr>
                <w:spacing w:val="-42"/>
                <w:sz w:val="16"/>
              </w:rPr>
              <w:t> </w:t>
            </w:r>
            <w:r>
              <w:rPr>
                <w:sz w:val="16"/>
              </w:rPr>
              <w:t>which MBS claims have been made in in the previous 12 months compared</w:t>
            </w:r>
            <w:r>
              <w:rPr>
                <w:spacing w:val="1"/>
                <w:sz w:val="16"/>
              </w:rPr>
              <w:t> </w:t>
            </w:r>
            <w:r>
              <w:rPr>
                <w:sz w:val="16"/>
              </w:rPr>
              <w:t>with the change for comparator patients. (See Note 2) (Note for HCH patients,</w:t>
            </w:r>
            <w:r>
              <w:rPr>
                <w:spacing w:val="-42"/>
                <w:sz w:val="16"/>
              </w:rPr>
              <w:t> </w:t>
            </w:r>
            <w:r>
              <w:rPr>
                <w:sz w:val="16"/>
              </w:rPr>
              <w:t>levels of service will be estimated by using practice data extracts to identify</w:t>
            </w:r>
            <w:r>
              <w:rPr>
                <w:spacing w:val="1"/>
                <w:sz w:val="16"/>
              </w:rPr>
              <w:t> </w:t>
            </w:r>
            <w:r>
              <w:rPr>
                <w:sz w:val="16"/>
              </w:rPr>
              <w:t>equivalent</w:t>
            </w:r>
            <w:r>
              <w:rPr>
                <w:spacing w:val="-4"/>
                <w:sz w:val="16"/>
              </w:rPr>
              <w:t> </w:t>
            </w:r>
            <w:r>
              <w:rPr>
                <w:sz w:val="16"/>
              </w:rPr>
              <w:t>services</w:t>
            </w:r>
            <w:r>
              <w:rPr>
                <w:spacing w:val="1"/>
                <w:sz w:val="16"/>
              </w:rPr>
              <w:t> </w:t>
            </w:r>
            <w:r>
              <w:rPr>
                <w:sz w:val="16"/>
              </w:rPr>
              <w:t>claimable</w:t>
            </w:r>
            <w:r>
              <w:rPr>
                <w:spacing w:val="-1"/>
                <w:sz w:val="16"/>
              </w:rPr>
              <w:t> </w:t>
            </w:r>
            <w:r>
              <w:rPr>
                <w:sz w:val="16"/>
              </w:rPr>
              <w:t>under</w:t>
            </w:r>
            <w:r>
              <w:rPr>
                <w:spacing w:val="-4"/>
                <w:sz w:val="16"/>
              </w:rPr>
              <w:t> </w:t>
            </w:r>
            <w:r>
              <w:rPr>
                <w:sz w:val="16"/>
              </w:rPr>
              <w:t>MBS.)</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57"/>
              <w:ind w:left="100"/>
              <w:rPr>
                <w:rFonts w:ascii="Wingdings" w:hAnsi="Wingdings"/>
                <w:sz w:val="16"/>
              </w:rPr>
            </w:pPr>
            <w:r>
              <w:rPr>
                <w:rFonts w:ascii="Wingdings" w:hAnsi="Wingdings"/>
                <w:w w:val="100"/>
                <w:sz w:val="16"/>
              </w:rPr>
              <w:t></w:t>
            </w:r>
          </w:p>
        </w:tc>
        <w:tc>
          <w:tcPr>
            <w:tcW w:w="326" w:type="dxa"/>
          </w:tcPr>
          <w:p>
            <w:pPr>
              <w:pStyle w:val="TableParagraph"/>
              <w:rPr>
                <w:rFonts w:ascii="Times New Roman"/>
                <w:sz w:val="16"/>
              </w:rPr>
            </w:pPr>
          </w:p>
        </w:tc>
      </w:tr>
      <w:tr>
        <w:trPr>
          <w:trHeight w:val="760"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227" w:hanging="567"/>
              <w:rPr>
                <w:sz w:val="16"/>
              </w:rPr>
            </w:pPr>
            <w:r>
              <w:rPr>
                <w:sz w:val="16"/>
              </w:rPr>
              <w:t>3.03.03 Most frequent changes in referral pathways and improvements in integration</w:t>
            </w:r>
            <w:r>
              <w:rPr>
                <w:spacing w:val="-42"/>
                <w:sz w:val="16"/>
              </w:rPr>
              <w:t> </w:t>
            </w:r>
            <w:r>
              <w:rPr>
                <w:sz w:val="16"/>
              </w:rPr>
              <w:t>of care reported by practices, PHNs and other stakeholders (together with</w:t>
            </w:r>
            <w:r>
              <w:rPr>
                <w:spacing w:val="1"/>
                <w:sz w:val="16"/>
              </w:rPr>
              <w:t> </w:t>
            </w:r>
            <w:r>
              <w:rPr>
                <w:sz w:val="16"/>
              </w:rPr>
              <w:t>descriptions).</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57"/>
              <w:ind w:left="100"/>
              <w:rPr>
                <w:rFonts w:ascii="Wingdings" w:hAnsi="Wingdings"/>
                <w:sz w:val="16"/>
              </w:rPr>
            </w:pPr>
            <w:r>
              <w:rPr>
                <w:rFonts w:ascii="Wingdings" w:hAnsi="Wingdings"/>
                <w:w w:val="100"/>
                <w:sz w:val="16"/>
              </w:rPr>
              <w:t></w:t>
            </w:r>
          </w:p>
        </w:tc>
        <w:tc>
          <w:tcPr>
            <w:tcW w:w="326" w:type="dxa"/>
          </w:tcPr>
          <w:p>
            <w:pPr>
              <w:pStyle w:val="TableParagraph"/>
              <w:rPr>
                <w:rFonts w:ascii="Times New Roman"/>
                <w:sz w:val="16"/>
              </w:rPr>
            </w:pPr>
          </w:p>
        </w:tc>
      </w:tr>
      <w:tr>
        <w:trPr>
          <w:trHeight w:val="978" w:hRule="atLeast"/>
        </w:trPr>
        <w:tc>
          <w:tcPr>
            <w:tcW w:w="5809" w:type="dxa"/>
          </w:tcPr>
          <w:p>
            <w:pPr>
              <w:pStyle w:val="TableParagraph"/>
              <w:spacing w:line="264" w:lineRule="auto" w:before="57"/>
              <w:ind w:left="504" w:right="198" w:hanging="426"/>
              <w:rPr>
                <w:sz w:val="16"/>
              </w:rPr>
            </w:pPr>
            <w:r>
              <w:rPr>
                <w:sz w:val="16"/>
              </w:rPr>
              <w:t>3.04 Were the patients enrolled in the HCH program and their families/</w:t>
            </w:r>
            <w:r>
              <w:rPr>
                <w:spacing w:val="1"/>
                <w:sz w:val="16"/>
              </w:rPr>
              <w:t> </w:t>
            </w:r>
            <w:r>
              <w:rPr>
                <w:sz w:val="16"/>
              </w:rPr>
              <w:t>carers more engaged in managing patients’ health needs? What</w:t>
            </w:r>
            <w:r>
              <w:rPr>
                <w:spacing w:val="-42"/>
                <w:sz w:val="16"/>
              </w:rPr>
              <w:t> </w:t>
            </w:r>
            <w:r>
              <w:rPr>
                <w:sz w:val="16"/>
              </w:rPr>
              <w:t>strategies</w:t>
            </w:r>
            <w:r>
              <w:rPr>
                <w:spacing w:val="-2"/>
                <w:sz w:val="16"/>
              </w:rPr>
              <w:t> </w:t>
            </w:r>
            <w:r>
              <w:rPr>
                <w:sz w:val="16"/>
              </w:rPr>
              <w:t>resulted</w:t>
            </w:r>
            <w:r>
              <w:rPr>
                <w:spacing w:val="-5"/>
                <w:sz w:val="16"/>
              </w:rPr>
              <w:t> </w:t>
            </w:r>
            <w:r>
              <w:rPr>
                <w:sz w:val="16"/>
              </w:rPr>
              <w:t>in</w:t>
            </w:r>
            <w:r>
              <w:rPr>
                <w:spacing w:val="-1"/>
                <w:sz w:val="16"/>
              </w:rPr>
              <w:t> </w:t>
            </w:r>
            <w:r>
              <w:rPr>
                <w:sz w:val="16"/>
              </w:rPr>
              <w:t>the</w:t>
            </w:r>
            <w:r>
              <w:rPr>
                <w:spacing w:val="-3"/>
                <w:sz w:val="16"/>
              </w:rPr>
              <w:t> </w:t>
            </w:r>
            <w:r>
              <w:rPr>
                <w:sz w:val="16"/>
              </w:rPr>
              <w:t>greatest</w:t>
            </w:r>
            <w:r>
              <w:rPr>
                <w:spacing w:val="-5"/>
                <w:sz w:val="16"/>
              </w:rPr>
              <w:t> </w:t>
            </w:r>
            <w:r>
              <w:rPr>
                <w:sz w:val="16"/>
              </w:rPr>
              <w:t>impact</w:t>
            </w:r>
            <w:r>
              <w:rPr>
                <w:spacing w:val="-3"/>
                <w:sz w:val="16"/>
              </w:rPr>
              <w:t> </w:t>
            </w:r>
            <w:r>
              <w:rPr>
                <w:sz w:val="16"/>
              </w:rPr>
              <w:t>on</w:t>
            </w:r>
            <w:r>
              <w:rPr>
                <w:spacing w:val="-3"/>
                <w:sz w:val="16"/>
              </w:rPr>
              <w:t> </w:t>
            </w:r>
            <w:r>
              <w:rPr>
                <w:sz w:val="16"/>
              </w:rPr>
              <w:t>patient</w:t>
            </w:r>
            <w:r>
              <w:rPr>
                <w:spacing w:val="-5"/>
                <w:sz w:val="16"/>
              </w:rPr>
              <w:t> </w:t>
            </w:r>
            <w:r>
              <w:rPr>
                <w:sz w:val="16"/>
              </w:rPr>
              <w:t>activation?</w:t>
            </w:r>
          </w:p>
        </w:tc>
        <w:tc>
          <w:tcPr>
            <w:tcW w:w="6853" w:type="dxa"/>
          </w:tcPr>
          <w:p>
            <w:pPr>
              <w:pStyle w:val="TableParagraph"/>
              <w:spacing w:line="264" w:lineRule="auto" w:before="57"/>
              <w:ind w:left="647" w:right="303" w:hanging="567"/>
              <w:rPr>
                <w:sz w:val="16"/>
              </w:rPr>
            </w:pPr>
            <w:r>
              <w:rPr>
                <w:sz w:val="16"/>
              </w:rPr>
              <w:t>3.04.01 Proportion of patients with improved assessment of engagement, including</w:t>
            </w:r>
            <w:r>
              <w:rPr>
                <w:spacing w:val="1"/>
                <w:sz w:val="16"/>
              </w:rPr>
              <w:t> </w:t>
            </w:r>
            <w:r>
              <w:rPr>
                <w:sz w:val="16"/>
              </w:rPr>
              <w:t>increased involvement in care planning (aggregated across dimension and</w:t>
            </w:r>
            <w:r>
              <w:rPr>
                <w:spacing w:val="-42"/>
                <w:sz w:val="16"/>
              </w:rPr>
              <w:t> </w:t>
            </w:r>
            <w:r>
              <w:rPr>
                <w:sz w:val="16"/>
              </w:rPr>
              <w:t>individual item scores) and activation between baseline and final survey.</w:t>
            </w:r>
            <w:r>
              <w:rPr>
                <w:spacing w:val="1"/>
                <w:sz w:val="16"/>
              </w:rPr>
              <w:t> </w:t>
            </w:r>
            <w:r>
              <w:rPr>
                <w:sz w:val="16"/>
              </w:rPr>
              <w:t>(Change</w:t>
            </w:r>
            <w:r>
              <w:rPr>
                <w:spacing w:val="-4"/>
                <w:sz w:val="16"/>
              </w:rPr>
              <w:t> </w:t>
            </w:r>
            <w:r>
              <w:rPr>
                <w:sz w:val="16"/>
              </w:rPr>
              <w:t>in</w:t>
            </w:r>
            <w:r>
              <w:rPr>
                <w:spacing w:val="-1"/>
                <w:sz w:val="16"/>
              </w:rPr>
              <w:t> </w:t>
            </w:r>
            <w:r>
              <w:rPr>
                <w:sz w:val="16"/>
              </w:rPr>
              <w:t>mean</w:t>
            </w:r>
            <w:r>
              <w:rPr>
                <w:spacing w:val="-1"/>
                <w:sz w:val="16"/>
              </w:rPr>
              <w:t> </w:t>
            </w:r>
            <w:r>
              <w:rPr>
                <w:sz w:val="16"/>
              </w:rPr>
              <w:t>scores</w:t>
            </w:r>
            <w:r>
              <w:rPr>
                <w:spacing w:val="-4"/>
                <w:sz w:val="16"/>
              </w:rPr>
              <w:t> </w:t>
            </w:r>
            <w:r>
              <w:rPr>
                <w:sz w:val="16"/>
              </w:rPr>
              <w:t>will also be</w:t>
            </w:r>
            <w:r>
              <w:rPr>
                <w:spacing w:val="-1"/>
                <w:sz w:val="16"/>
              </w:rPr>
              <w:t> </w:t>
            </w:r>
            <w:r>
              <w:rPr>
                <w:sz w:val="16"/>
              </w:rPr>
              <w:t>assessed).</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57"/>
              <w:ind w:left="100"/>
              <w:rPr>
                <w:rFonts w:ascii="Wingdings" w:hAnsi="Wingdings"/>
                <w:sz w:val="16"/>
              </w:rPr>
            </w:pPr>
            <w:r>
              <w:rPr>
                <w:rFonts w:ascii="Wingdings" w:hAnsi="Wingdings"/>
                <w:w w:val="100"/>
                <w:sz w:val="16"/>
              </w:rPr>
              <w:t></w:t>
            </w:r>
          </w:p>
        </w:tc>
        <w:tc>
          <w:tcPr>
            <w:tcW w:w="326" w:type="dxa"/>
          </w:tcPr>
          <w:p>
            <w:pPr>
              <w:pStyle w:val="TableParagraph"/>
              <w:rPr>
                <w:rFonts w:ascii="Times New Roman"/>
                <w:sz w:val="16"/>
              </w:rPr>
            </w:pPr>
          </w:p>
        </w:tc>
      </w:tr>
    </w:tbl>
    <w:p>
      <w:pPr>
        <w:spacing w:after="0"/>
        <w:rPr>
          <w:rFonts w:ascii="Times New Roman"/>
          <w:sz w:val="16"/>
        </w:rPr>
        <w:sectPr>
          <w:pgSz w:w="16840" w:h="11910" w:orient="landscape"/>
          <w:pgMar w:header="0" w:footer="676" w:top="1100" w:bottom="860" w:left="1340" w:right="980"/>
        </w:sectPr>
      </w:pPr>
    </w:p>
    <w:p>
      <w:pPr>
        <w:pStyle w:val="BodyText"/>
        <w:spacing w:before="2" w:after="1"/>
        <w:rPr>
          <w:b/>
          <w:sz w:val="27"/>
        </w:rPr>
      </w:pPr>
    </w:p>
    <w:tbl>
      <w:tblPr>
        <w:tblW w:w="0" w:type="auto"/>
        <w:jc w:val="left"/>
        <w:tblInd w:w="11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5809"/>
        <w:gridCol w:w="6853"/>
        <w:gridCol w:w="324"/>
        <w:gridCol w:w="327"/>
        <w:gridCol w:w="324"/>
        <w:gridCol w:w="324"/>
        <w:gridCol w:w="326"/>
      </w:tblGrid>
      <w:tr>
        <w:trPr>
          <w:trHeight w:val="1509" w:hRule="atLeast"/>
        </w:trPr>
        <w:tc>
          <w:tcPr>
            <w:tcW w:w="5809" w:type="dxa"/>
            <w:tcBorders>
              <w:top w:val="nil"/>
            </w:tcBorders>
            <w:shd w:val="clear" w:color="auto" w:fill="003C79"/>
          </w:tcPr>
          <w:p>
            <w:pPr>
              <w:pStyle w:val="TableParagraph"/>
              <w:rPr>
                <w:b/>
                <w:sz w:val="20"/>
              </w:rPr>
            </w:pPr>
          </w:p>
          <w:p>
            <w:pPr>
              <w:pStyle w:val="TableParagraph"/>
              <w:rPr>
                <w:b/>
                <w:sz w:val="20"/>
              </w:rPr>
            </w:pPr>
          </w:p>
          <w:p>
            <w:pPr>
              <w:pStyle w:val="TableParagraph"/>
              <w:spacing w:before="164"/>
              <w:ind w:left="1579"/>
              <w:rPr>
                <w:b/>
                <w:sz w:val="16"/>
              </w:rPr>
            </w:pPr>
            <w:r>
              <w:rPr>
                <w:b/>
                <w:color w:val="FFFFFF"/>
                <w:sz w:val="16"/>
              </w:rPr>
              <w:t>Key</w:t>
            </w:r>
            <w:r>
              <w:rPr>
                <w:b/>
                <w:color w:val="FFFFFF"/>
                <w:spacing w:val="-4"/>
                <w:sz w:val="16"/>
              </w:rPr>
              <w:t> </w:t>
            </w:r>
            <w:r>
              <w:rPr>
                <w:b/>
                <w:color w:val="FFFFFF"/>
                <w:sz w:val="16"/>
              </w:rPr>
              <w:t>question</w:t>
            </w:r>
            <w:r>
              <w:rPr>
                <w:b/>
                <w:color w:val="FFFFFF"/>
                <w:spacing w:val="-5"/>
                <w:sz w:val="16"/>
              </w:rPr>
              <w:t> </w:t>
            </w:r>
            <w:r>
              <w:rPr>
                <w:b/>
                <w:color w:val="FFFFFF"/>
                <w:sz w:val="16"/>
              </w:rPr>
              <w:t>3:</w:t>
            </w:r>
            <w:r>
              <w:rPr>
                <w:b/>
                <w:color w:val="FFFFFF"/>
                <w:spacing w:val="-2"/>
                <w:sz w:val="16"/>
              </w:rPr>
              <w:t> </w:t>
            </w:r>
            <w:r>
              <w:rPr>
                <w:b/>
                <w:color w:val="FFFFFF"/>
                <w:sz w:val="16"/>
              </w:rPr>
              <w:t>Detailed</w:t>
            </w:r>
            <w:r>
              <w:rPr>
                <w:b/>
                <w:color w:val="FFFFFF"/>
                <w:spacing w:val="-2"/>
                <w:sz w:val="16"/>
              </w:rPr>
              <w:t> </w:t>
            </w:r>
            <w:r>
              <w:rPr>
                <w:b/>
                <w:color w:val="FFFFFF"/>
                <w:sz w:val="16"/>
              </w:rPr>
              <w:t>questions</w:t>
            </w:r>
          </w:p>
        </w:tc>
        <w:tc>
          <w:tcPr>
            <w:tcW w:w="6853" w:type="dxa"/>
            <w:tcBorders>
              <w:top w:val="nil"/>
            </w:tcBorders>
            <w:shd w:val="clear" w:color="auto" w:fill="003C79"/>
          </w:tcPr>
          <w:p>
            <w:pPr>
              <w:pStyle w:val="TableParagraph"/>
              <w:rPr>
                <w:b/>
                <w:sz w:val="20"/>
              </w:rPr>
            </w:pPr>
          </w:p>
          <w:p>
            <w:pPr>
              <w:pStyle w:val="TableParagraph"/>
              <w:rPr>
                <w:b/>
                <w:sz w:val="20"/>
              </w:rPr>
            </w:pPr>
          </w:p>
          <w:p>
            <w:pPr>
              <w:pStyle w:val="TableParagraph"/>
              <w:spacing w:before="164"/>
              <w:ind w:left="2424" w:right="2419"/>
              <w:jc w:val="center"/>
              <w:rPr>
                <w:b/>
                <w:sz w:val="16"/>
              </w:rPr>
            </w:pPr>
            <w:r>
              <w:rPr>
                <w:b/>
                <w:color w:val="FFFFFF"/>
                <w:sz w:val="16"/>
              </w:rPr>
              <w:t>Key</w:t>
            </w:r>
            <w:r>
              <w:rPr>
                <w:b/>
                <w:color w:val="FFFFFF"/>
                <w:spacing w:val="-4"/>
                <w:sz w:val="16"/>
              </w:rPr>
              <w:t> </w:t>
            </w:r>
            <w:r>
              <w:rPr>
                <w:b/>
                <w:color w:val="FFFFFF"/>
                <w:sz w:val="16"/>
              </w:rPr>
              <w:t>question</w:t>
            </w:r>
            <w:r>
              <w:rPr>
                <w:b/>
                <w:color w:val="FFFFFF"/>
                <w:spacing w:val="-4"/>
                <w:sz w:val="16"/>
              </w:rPr>
              <w:t> </w:t>
            </w:r>
            <w:r>
              <w:rPr>
                <w:b/>
                <w:color w:val="FFFFFF"/>
                <w:sz w:val="16"/>
              </w:rPr>
              <w:t>3:</w:t>
            </w:r>
            <w:r>
              <w:rPr>
                <w:b/>
                <w:color w:val="FFFFFF"/>
                <w:spacing w:val="-3"/>
                <w:sz w:val="16"/>
              </w:rPr>
              <w:t> </w:t>
            </w:r>
            <w:r>
              <w:rPr>
                <w:b/>
                <w:color w:val="FFFFFF"/>
                <w:sz w:val="16"/>
              </w:rPr>
              <w:t>Measures</w:t>
            </w:r>
          </w:p>
        </w:tc>
        <w:tc>
          <w:tcPr>
            <w:tcW w:w="324" w:type="dxa"/>
            <w:tcBorders>
              <w:top w:val="nil"/>
            </w:tcBorders>
            <w:shd w:val="clear" w:color="auto" w:fill="003C79"/>
            <w:textDirection w:val="btLr"/>
          </w:tcPr>
          <w:p>
            <w:pPr>
              <w:pStyle w:val="TableParagraph"/>
              <w:spacing w:before="57"/>
              <w:ind w:left="503" w:right="504"/>
              <w:jc w:val="center"/>
              <w:rPr>
                <w:b/>
                <w:sz w:val="16"/>
              </w:rPr>
            </w:pPr>
            <w:r>
              <w:rPr>
                <w:b/>
                <w:color w:val="FFFFFF"/>
                <w:sz w:val="16"/>
              </w:rPr>
              <w:t>Inputs</w:t>
            </w:r>
          </w:p>
        </w:tc>
        <w:tc>
          <w:tcPr>
            <w:tcW w:w="327" w:type="dxa"/>
            <w:tcBorders>
              <w:top w:val="nil"/>
            </w:tcBorders>
            <w:shd w:val="clear" w:color="auto" w:fill="003C79"/>
            <w:textDirection w:val="btLr"/>
          </w:tcPr>
          <w:p>
            <w:pPr>
              <w:pStyle w:val="TableParagraph"/>
              <w:spacing w:before="59"/>
              <w:ind w:left="407"/>
              <w:rPr>
                <w:b/>
                <w:sz w:val="16"/>
              </w:rPr>
            </w:pPr>
            <w:r>
              <w:rPr>
                <w:b/>
                <w:color w:val="FFFFFF"/>
                <w:sz w:val="16"/>
              </w:rPr>
              <w:t>Activities</w:t>
            </w:r>
          </w:p>
        </w:tc>
        <w:tc>
          <w:tcPr>
            <w:tcW w:w="324" w:type="dxa"/>
            <w:tcBorders>
              <w:top w:val="nil"/>
            </w:tcBorders>
            <w:shd w:val="clear" w:color="auto" w:fill="003C79"/>
            <w:textDirection w:val="btLr"/>
          </w:tcPr>
          <w:p>
            <w:pPr>
              <w:pStyle w:val="TableParagraph"/>
              <w:spacing w:before="57"/>
              <w:ind w:left="455"/>
              <w:rPr>
                <w:b/>
                <w:sz w:val="16"/>
              </w:rPr>
            </w:pPr>
            <w:r>
              <w:rPr>
                <w:b/>
                <w:color w:val="FFFFFF"/>
                <w:sz w:val="16"/>
              </w:rPr>
              <w:t>Outputs</w:t>
            </w:r>
          </w:p>
        </w:tc>
        <w:tc>
          <w:tcPr>
            <w:tcW w:w="324" w:type="dxa"/>
            <w:tcBorders>
              <w:top w:val="nil"/>
            </w:tcBorders>
            <w:shd w:val="clear" w:color="auto" w:fill="003C79"/>
            <w:textDirection w:val="btLr"/>
          </w:tcPr>
          <w:p>
            <w:pPr>
              <w:pStyle w:val="TableParagraph"/>
              <w:spacing w:before="57"/>
              <w:ind w:left="254"/>
              <w:rPr>
                <w:b/>
                <w:sz w:val="16"/>
              </w:rPr>
            </w:pPr>
            <w:r>
              <w:rPr>
                <w:b/>
                <w:color w:val="FFFFFF"/>
                <w:sz w:val="16"/>
              </w:rPr>
              <w:t>Outcomes</w:t>
            </w:r>
            <w:r>
              <w:rPr>
                <w:b/>
                <w:color w:val="FFFFFF"/>
                <w:spacing w:val="-2"/>
                <w:sz w:val="16"/>
              </w:rPr>
              <w:t> </w:t>
            </w:r>
            <w:r>
              <w:rPr>
                <w:b/>
                <w:color w:val="FFFFFF"/>
                <w:sz w:val="16"/>
              </w:rPr>
              <w:t>ST</w:t>
            </w:r>
          </w:p>
        </w:tc>
        <w:tc>
          <w:tcPr>
            <w:tcW w:w="326" w:type="dxa"/>
            <w:tcBorders>
              <w:top w:val="nil"/>
            </w:tcBorders>
            <w:shd w:val="clear" w:color="auto" w:fill="003C79"/>
            <w:textDirection w:val="btLr"/>
          </w:tcPr>
          <w:p>
            <w:pPr>
              <w:pStyle w:val="TableParagraph"/>
              <w:spacing w:before="59"/>
              <w:ind w:left="222"/>
              <w:rPr>
                <w:b/>
                <w:sz w:val="16"/>
              </w:rPr>
            </w:pPr>
            <w:r>
              <w:rPr>
                <w:b/>
                <w:color w:val="FFFFFF"/>
                <w:sz w:val="16"/>
              </w:rPr>
              <w:t>Outcomes</w:t>
            </w:r>
            <w:r>
              <w:rPr>
                <w:b/>
                <w:color w:val="FFFFFF"/>
                <w:spacing w:val="-1"/>
                <w:sz w:val="16"/>
              </w:rPr>
              <w:t> </w:t>
            </w:r>
            <w:r>
              <w:rPr>
                <w:b/>
                <w:color w:val="FFFFFF"/>
                <w:sz w:val="16"/>
              </w:rPr>
              <w:t>MT</w:t>
            </w:r>
          </w:p>
        </w:tc>
      </w:tr>
      <w:tr>
        <w:trPr>
          <w:trHeight w:val="544" w:hRule="atLeast"/>
        </w:trPr>
        <w:tc>
          <w:tcPr>
            <w:tcW w:w="5809" w:type="dxa"/>
          </w:tcPr>
          <w:p>
            <w:pPr>
              <w:pStyle w:val="TableParagraph"/>
              <w:rPr>
                <w:rFonts w:ascii="Times New Roman"/>
                <w:sz w:val="16"/>
              </w:rPr>
            </w:pPr>
          </w:p>
        </w:tc>
        <w:tc>
          <w:tcPr>
            <w:tcW w:w="6853" w:type="dxa"/>
          </w:tcPr>
          <w:p>
            <w:pPr>
              <w:pStyle w:val="TableParagraph"/>
              <w:spacing w:line="264" w:lineRule="auto" w:before="57"/>
              <w:ind w:left="647" w:right="348" w:hanging="567"/>
              <w:rPr>
                <w:sz w:val="16"/>
              </w:rPr>
            </w:pPr>
            <w:r>
              <w:rPr>
                <w:sz w:val="16"/>
              </w:rPr>
              <w:t>3.04.02 Most frequent changes in patient engagement and activation reported by</w:t>
            </w:r>
            <w:r>
              <w:rPr>
                <w:spacing w:val="-42"/>
                <w:sz w:val="16"/>
              </w:rPr>
              <w:t> </w:t>
            </w:r>
            <w:r>
              <w:rPr>
                <w:sz w:val="16"/>
              </w:rPr>
              <w:t>patients</w:t>
            </w:r>
            <w:r>
              <w:rPr>
                <w:spacing w:val="-2"/>
                <w:sz w:val="16"/>
              </w:rPr>
              <w:t> </w:t>
            </w:r>
            <w:r>
              <w:rPr>
                <w:sz w:val="16"/>
              </w:rPr>
              <w:t>(together</w:t>
            </w:r>
            <w:r>
              <w:rPr>
                <w:spacing w:val="-7"/>
                <w:sz w:val="16"/>
              </w:rPr>
              <w:t> </w:t>
            </w:r>
            <w:r>
              <w:rPr>
                <w:sz w:val="16"/>
              </w:rPr>
              <w:t>with</w:t>
            </w:r>
            <w:r>
              <w:rPr>
                <w:spacing w:val="-1"/>
                <w:sz w:val="16"/>
              </w:rPr>
              <w:t> </w:t>
            </w:r>
            <w:r>
              <w:rPr>
                <w:sz w:val="16"/>
              </w:rPr>
              <w:t>descriptions).</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57"/>
              <w:ind w:left="100"/>
              <w:rPr>
                <w:rFonts w:ascii="Wingdings" w:hAnsi="Wingdings"/>
                <w:sz w:val="16"/>
              </w:rPr>
            </w:pPr>
            <w:r>
              <w:rPr>
                <w:rFonts w:ascii="Wingdings" w:hAnsi="Wingdings"/>
                <w:w w:val="100"/>
                <w:sz w:val="16"/>
              </w:rPr>
              <w:t></w:t>
            </w:r>
          </w:p>
        </w:tc>
        <w:tc>
          <w:tcPr>
            <w:tcW w:w="326" w:type="dxa"/>
          </w:tcPr>
          <w:p>
            <w:pPr>
              <w:pStyle w:val="TableParagraph"/>
              <w:rPr>
                <w:rFonts w:ascii="Times New Roman"/>
                <w:sz w:val="16"/>
              </w:rPr>
            </w:pPr>
          </w:p>
        </w:tc>
      </w:tr>
      <w:tr>
        <w:trPr>
          <w:trHeight w:val="763" w:hRule="atLeast"/>
        </w:trPr>
        <w:tc>
          <w:tcPr>
            <w:tcW w:w="5809" w:type="dxa"/>
            <w:vMerge w:val="restart"/>
          </w:tcPr>
          <w:p>
            <w:pPr>
              <w:pStyle w:val="TableParagraph"/>
              <w:spacing w:line="264" w:lineRule="auto" w:before="57"/>
              <w:ind w:left="504" w:right="162" w:hanging="426"/>
              <w:rPr>
                <w:sz w:val="16"/>
              </w:rPr>
            </w:pPr>
            <w:r>
              <w:rPr>
                <w:sz w:val="16"/>
              </w:rPr>
              <w:t>3.05 Did patients enrolled in the HCH program report an improved</w:t>
            </w:r>
            <w:r>
              <w:rPr>
                <w:spacing w:val="1"/>
                <w:sz w:val="16"/>
              </w:rPr>
              <w:t> </w:t>
            </w:r>
            <w:r>
              <w:rPr>
                <w:sz w:val="16"/>
              </w:rPr>
              <w:t>experience of primary care, including coordination of their care</w:t>
            </w:r>
            <w:r>
              <w:rPr>
                <w:spacing w:val="1"/>
                <w:sz w:val="16"/>
              </w:rPr>
              <w:t> </w:t>
            </w:r>
            <w:r>
              <w:rPr>
                <w:sz w:val="16"/>
              </w:rPr>
              <w:t>and communication with their primary care providers? What were</w:t>
            </w:r>
            <w:r>
              <w:rPr>
                <w:spacing w:val="-43"/>
                <w:sz w:val="16"/>
              </w:rPr>
              <w:t> </w:t>
            </w:r>
            <w:r>
              <w:rPr>
                <w:sz w:val="16"/>
              </w:rPr>
              <w:t>the</w:t>
            </w:r>
            <w:r>
              <w:rPr>
                <w:spacing w:val="-2"/>
                <w:sz w:val="16"/>
              </w:rPr>
              <w:t> </w:t>
            </w:r>
            <w:r>
              <w:rPr>
                <w:sz w:val="16"/>
              </w:rPr>
              <w:t>experiences</w:t>
            </w:r>
            <w:r>
              <w:rPr>
                <w:spacing w:val="-3"/>
                <w:sz w:val="16"/>
              </w:rPr>
              <w:t> </w:t>
            </w:r>
            <w:r>
              <w:rPr>
                <w:sz w:val="16"/>
              </w:rPr>
              <w:t>of</w:t>
            </w:r>
            <w:r>
              <w:rPr>
                <w:spacing w:val="-2"/>
                <w:sz w:val="16"/>
              </w:rPr>
              <w:t> </w:t>
            </w:r>
            <w:r>
              <w:rPr>
                <w:sz w:val="16"/>
              </w:rPr>
              <w:t>patients,</w:t>
            </w:r>
            <w:r>
              <w:rPr>
                <w:spacing w:val="-2"/>
                <w:sz w:val="16"/>
              </w:rPr>
              <w:t> </w:t>
            </w:r>
            <w:r>
              <w:rPr>
                <w:sz w:val="16"/>
              </w:rPr>
              <w:t>carers</w:t>
            </w:r>
            <w:r>
              <w:rPr>
                <w:spacing w:val="-3"/>
                <w:sz w:val="16"/>
              </w:rPr>
              <w:t> </w:t>
            </w:r>
            <w:r>
              <w:rPr>
                <w:sz w:val="16"/>
              </w:rPr>
              <w:t>and</w:t>
            </w:r>
            <w:r>
              <w:rPr>
                <w:spacing w:val="-2"/>
                <w:sz w:val="16"/>
              </w:rPr>
              <w:t> </w:t>
            </w:r>
            <w:r>
              <w:rPr>
                <w:sz w:val="16"/>
              </w:rPr>
              <w:t>families</w:t>
            </w:r>
            <w:r>
              <w:rPr>
                <w:spacing w:val="-4"/>
                <w:sz w:val="16"/>
              </w:rPr>
              <w:t> </w:t>
            </w:r>
            <w:r>
              <w:rPr>
                <w:sz w:val="16"/>
              </w:rPr>
              <w:t>in</w:t>
            </w:r>
            <w:r>
              <w:rPr>
                <w:spacing w:val="-2"/>
                <w:sz w:val="16"/>
              </w:rPr>
              <w:t> </w:t>
            </w:r>
            <w:r>
              <w:rPr>
                <w:sz w:val="16"/>
              </w:rPr>
              <w:t>care</w:t>
            </w:r>
            <w:r>
              <w:rPr>
                <w:spacing w:val="-2"/>
                <w:sz w:val="16"/>
              </w:rPr>
              <w:t> </w:t>
            </w:r>
            <w:r>
              <w:rPr>
                <w:sz w:val="16"/>
              </w:rPr>
              <w:t>planning?</w:t>
            </w:r>
          </w:p>
        </w:tc>
        <w:tc>
          <w:tcPr>
            <w:tcW w:w="6853" w:type="dxa"/>
          </w:tcPr>
          <w:p>
            <w:pPr>
              <w:pStyle w:val="TableParagraph"/>
              <w:spacing w:line="264" w:lineRule="auto" w:before="57"/>
              <w:ind w:left="647" w:right="316" w:hanging="567"/>
              <w:jc w:val="both"/>
              <w:rPr>
                <w:sz w:val="16"/>
              </w:rPr>
            </w:pPr>
            <w:r>
              <w:rPr>
                <w:sz w:val="16"/>
              </w:rPr>
              <w:t>3.05.01 Proportion of patients with an improved rating of their primary care provider</w:t>
            </w:r>
            <w:r>
              <w:rPr>
                <w:spacing w:val="-42"/>
                <w:sz w:val="16"/>
              </w:rPr>
              <w:t> </w:t>
            </w:r>
            <w:r>
              <w:rPr>
                <w:sz w:val="16"/>
              </w:rPr>
              <w:t>between the baseline and final patient survey. (Change in mean scores will</w:t>
            </w:r>
            <w:r>
              <w:rPr>
                <w:spacing w:val="-42"/>
                <w:sz w:val="16"/>
              </w:rPr>
              <w:t> </w:t>
            </w:r>
            <w:r>
              <w:rPr>
                <w:sz w:val="16"/>
              </w:rPr>
              <w:t>also</w:t>
            </w:r>
            <w:r>
              <w:rPr>
                <w:spacing w:val="-2"/>
                <w:sz w:val="16"/>
              </w:rPr>
              <w:t> </w:t>
            </w:r>
            <w:r>
              <w:rPr>
                <w:sz w:val="16"/>
              </w:rPr>
              <w:t>be</w:t>
            </w:r>
            <w:r>
              <w:rPr>
                <w:spacing w:val="-1"/>
                <w:sz w:val="16"/>
              </w:rPr>
              <w:t> </w:t>
            </w:r>
            <w:r>
              <w:rPr>
                <w:sz w:val="16"/>
              </w:rPr>
              <w:t>assessed.)</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57"/>
              <w:ind w:left="100"/>
              <w:rPr>
                <w:rFonts w:ascii="Wingdings" w:hAnsi="Wingdings"/>
                <w:sz w:val="16"/>
              </w:rPr>
            </w:pPr>
            <w:r>
              <w:rPr>
                <w:rFonts w:ascii="Wingdings" w:hAnsi="Wingdings"/>
                <w:w w:val="100"/>
                <w:sz w:val="16"/>
              </w:rPr>
              <w:t></w:t>
            </w:r>
          </w:p>
        </w:tc>
        <w:tc>
          <w:tcPr>
            <w:tcW w:w="326" w:type="dxa"/>
          </w:tcPr>
          <w:p>
            <w:pPr>
              <w:pStyle w:val="TableParagraph"/>
              <w:rPr>
                <w:rFonts w:ascii="Times New Roman"/>
                <w:sz w:val="16"/>
              </w:rPr>
            </w:pPr>
          </w:p>
        </w:tc>
      </w:tr>
      <w:tr>
        <w:trPr>
          <w:trHeight w:val="976"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172" w:hanging="567"/>
              <w:rPr>
                <w:sz w:val="16"/>
              </w:rPr>
            </w:pPr>
            <w:r>
              <w:rPr>
                <w:sz w:val="16"/>
              </w:rPr>
              <w:t>3.05.02 Proportion of patients with an improved assessment of the communication</w:t>
            </w:r>
            <w:r>
              <w:rPr>
                <w:spacing w:val="1"/>
                <w:sz w:val="16"/>
              </w:rPr>
              <w:t> </w:t>
            </w:r>
            <w:r>
              <w:rPr>
                <w:sz w:val="16"/>
              </w:rPr>
              <w:t>items (aggregated across dimension and individual item scores) between the</w:t>
            </w:r>
            <w:r>
              <w:rPr>
                <w:spacing w:val="-42"/>
                <w:sz w:val="16"/>
              </w:rPr>
              <w:t> </w:t>
            </w:r>
            <w:r>
              <w:rPr>
                <w:sz w:val="16"/>
              </w:rPr>
              <w:t>baseline and final patient survey. (Change in mean scores will also be</w:t>
            </w:r>
            <w:r>
              <w:rPr>
                <w:spacing w:val="1"/>
                <w:sz w:val="16"/>
              </w:rPr>
              <w:t> </w:t>
            </w:r>
            <w:r>
              <w:rPr>
                <w:sz w:val="16"/>
              </w:rPr>
              <w:t>assessed.)</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57"/>
              <w:ind w:left="100"/>
              <w:rPr>
                <w:rFonts w:ascii="Wingdings" w:hAnsi="Wingdings"/>
                <w:sz w:val="16"/>
              </w:rPr>
            </w:pPr>
            <w:r>
              <w:rPr>
                <w:rFonts w:ascii="Wingdings" w:hAnsi="Wingdings"/>
                <w:w w:val="100"/>
                <w:sz w:val="16"/>
              </w:rPr>
              <w:t></w:t>
            </w:r>
          </w:p>
        </w:tc>
        <w:tc>
          <w:tcPr>
            <w:tcW w:w="326" w:type="dxa"/>
          </w:tcPr>
          <w:p>
            <w:pPr>
              <w:pStyle w:val="TableParagraph"/>
              <w:rPr>
                <w:rFonts w:ascii="Times New Roman"/>
                <w:sz w:val="16"/>
              </w:rPr>
            </w:pPr>
          </w:p>
        </w:tc>
      </w:tr>
      <w:tr>
        <w:trPr>
          <w:trHeight w:val="976"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37" w:hanging="567"/>
              <w:rPr>
                <w:sz w:val="16"/>
              </w:rPr>
            </w:pPr>
            <w:r>
              <w:rPr>
                <w:sz w:val="16"/>
              </w:rPr>
              <w:t>3.05.03 Proportion of patients with an improved assessment of the coordination of care</w:t>
            </w:r>
            <w:r>
              <w:rPr>
                <w:spacing w:val="-42"/>
                <w:sz w:val="16"/>
              </w:rPr>
              <w:t> </w:t>
            </w:r>
            <w:r>
              <w:rPr>
                <w:sz w:val="16"/>
              </w:rPr>
              <w:t>items (aggregated across dimension and individual item scores) between the</w:t>
            </w:r>
            <w:r>
              <w:rPr>
                <w:spacing w:val="1"/>
                <w:sz w:val="16"/>
              </w:rPr>
              <w:t> </w:t>
            </w:r>
            <w:r>
              <w:rPr>
                <w:sz w:val="16"/>
              </w:rPr>
              <w:t>baseline and final patient survey. (Change in mean scores will also be</w:t>
            </w:r>
            <w:r>
              <w:rPr>
                <w:spacing w:val="1"/>
                <w:sz w:val="16"/>
              </w:rPr>
              <w:t> </w:t>
            </w:r>
            <w:r>
              <w:rPr>
                <w:sz w:val="16"/>
              </w:rPr>
              <w:t>assessed.)</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57"/>
              <w:ind w:left="100"/>
              <w:rPr>
                <w:rFonts w:ascii="Wingdings" w:hAnsi="Wingdings"/>
                <w:sz w:val="16"/>
              </w:rPr>
            </w:pPr>
            <w:r>
              <w:rPr>
                <w:rFonts w:ascii="Wingdings" w:hAnsi="Wingdings"/>
                <w:w w:val="100"/>
                <w:sz w:val="16"/>
              </w:rPr>
              <w:t></w:t>
            </w:r>
          </w:p>
        </w:tc>
        <w:tc>
          <w:tcPr>
            <w:tcW w:w="326" w:type="dxa"/>
          </w:tcPr>
          <w:p>
            <w:pPr>
              <w:pStyle w:val="TableParagraph"/>
              <w:rPr>
                <w:rFonts w:ascii="Times New Roman"/>
                <w:sz w:val="16"/>
              </w:rPr>
            </w:pPr>
          </w:p>
        </w:tc>
      </w:tr>
      <w:tr>
        <w:trPr>
          <w:trHeight w:val="547"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473" w:hanging="567"/>
              <w:rPr>
                <w:sz w:val="16"/>
              </w:rPr>
            </w:pPr>
            <w:r>
              <w:rPr>
                <w:sz w:val="16"/>
              </w:rPr>
              <w:t>3.05.04 Most frequent improvements in communication and coordination of care</w:t>
            </w:r>
            <w:r>
              <w:rPr>
                <w:spacing w:val="-43"/>
                <w:sz w:val="16"/>
              </w:rPr>
              <w:t> </w:t>
            </w:r>
            <w:r>
              <w:rPr>
                <w:sz w:val="16"/>
              </w:rPr>
              <w:t>reported</w:t>
            </w:r>
            <w:r>
              <w:rPr>
                <w:spacing w:val="-3"/>
                <w:sz w:val="16"/>
              </w:rPr>
              <w:t> </w:t>
            </w:r>
            <w:r>
              <w:rPr>
                <w:sz w:val="16"/>
              </w:rPr>
              <w:t>by</w:t>
            </w:r>
            <w:r>
              <w:rPr>
                <w:spacing w:val="-4"/>
                <w:sz w:val="16"/>
              </w:rPr>
              <w:t> </w:t>
            </w:r>
            <w:r>
              <w:rPr>
                <w:sz w:val="16"/>
              </w:rPr>
              <w:t>consumers,</w:t>
            </w:r>
            <w:r>
              <w:rPr>
                <w:spacing w:val="-3"/>
                <w:sz w:val="16"/>
              </w:rPr>
              <w:t> </w:t>
            </w:r>
            <w:r>
              <w:rPr>
                <w:sz w:val="16"/>
              </w:rPr>
              <w:t>families</w:t>
            </w:r>
            <w:r>
              <w:rPr>
                <w:spacing w:val="-3"/>
                <w:sz w:val="16"/>
              </w:rPr>
              <w:t> </w:t>
            </w:r>
            <w:r>
              <w:rPr>
                <w:sz w:val="16"/>
              </w:rPr>
              <w:t>and</w:t>
            </w:r>
            <w:r>
              <w:rPr>
                <w:spacing w:val="-1"/>
                <w:sz w:val="16"/>
              </w:rPr>
              <w:t> </w:t>
            </w:r>
            <w:r>
              <w:rPr>
                <w:sz w:val="16"/>
              </w:rPr>
              <w:t>carers</w:t>
            </w:r>
            <w:r>
              <w:rPr>
                <w:spacing w:val="-4"/>
                <w:sz w:val="16"/>
              </w:rPr>
              <w:t> </w:t>
            </w:r>
            <w:r>
              <w:rPr>
                <w:sz w:val="16"/>
              </w:rPr>
              <w:t>(together</w:t>
            </w:r>
            <w:r>
              <w:rPr>
                <w:spacing w:val="-5"/>
                <w:sz w:val="16"/>
              </w:rPr>
              <w:t> </w:t>
            </w:r>
            <w:r>
              <w:rPr>
                <w:sz w:val="16"/>
              </w:rPr>
              <w:t>with</w:t>
            </w:r>
            <w:r>
              <w:rPr>
                <w:spacing w:val="-1"/>
                <w:sz w:val="16"/>
              </w:rPr>
              <w:t> </w:t>
            </w:r>
            <w:r>
              <w:rPr>
                <w:sz w:val="16"/>
              </w:rPr>
              <w:t>descriptions).</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58"/>
              <w:ind w:left="100"/>
              <w:rPr>
                <w:rFonts w:ascii="Wingdings" w:hAnsi="Wingdings"/>
                <w:sz w:val="16"/>
              </w:rPr>
            </w:pPr>
            <w:r>
              <w:rPr>
                <w:rFonts w:ascii="Wingdings" w:hAnsi="Wingdings"/>
                <w:w w:val="100"/>
                <w:sz w:val="16"/>
              </w:rPr>
              <w:t></w:t>
            </w:r>
          </w:p>
        </w:tc>
        <w:tc>
          <w:tcPr>
            <w:tcW w:w="326" w:type="dxa"/>
          </w:tcPr>
          <w:p>
            <w:pPr>
              <w:pStyle w:val="TableParagraph"/>
              <w:rPr>
                <w:rFonts w:ascii="Times New Roman"/>
                <w:sz w:val="16"/>
              </w:rPr>
            </w:pPr>
          </w:p>
        </w:tc>
      </w:tr>
      <w:tr>
        <w:trPr>
          <w:trHeight w:val="976" w:hRule="atLeast"/>
        </w:trPr>
        <w:tc>
          <w:tcPr>
            <w:tcW w:w="5809" w:type="dxa"/>
            <w:vMerge w:val="restart"/>
            <w:tcBorders>
              <w:bottom w:val="nil"/>
            </w:tcBorders>
          </w:tcPr>
          <w:p>
            <w:pPr>
              <w:pStyle w:val="TableParagraph"/>
              <w:spacing w:line="264" w:lineRule="auto" w:before="57"/>
              <w:ind w:left="504" w:right="396" w:hanging="426"/>
              <w:rPr>
                <w:sz w:val="16"/>
              </w:rPr>
            </w:pPr>
            <w:r>
              <w:rPr>
                <w:sz w:val="16"/>
              </w:rPr>
              <w:t>3.06 How did the utilisation of hospital services (including emergency</w:t>
            </w:r>
            <w:r>
              <w:rPr>
                <w:spacing w:val="-42"/>
                <w:sz w:val="16"/>
              </w:rPr>
              <w:t> </w:t>
            </w:r>
            <w:r>
              <w:rPr>
                <w:sz w:val="16"/>
              </w:rPr>
              <w:t>care), and entry into aged care change for HCH patients</w:t>
            </w:r>
            <w:r>
              <w:rPr>
                <w:spacing w:val="1"/>
                <w:sz w:val="16"/>
              </w:rPr>
              <w:t> </w:t>
            </w:r>
            <w:r>
              <w:rPr>
                <w:sz w:val="16"/>
              </w:rPr>
              <w:t>compared with similar patients receiving care in practices not</w:t>
            </w:r>
            <w:r>
              <w:rPr>
                <w:spacing w:val="1"/>
                <w:sz w:val="16"/>
              </w:rPr>
              <w:t> </w:t>
            </w:r>
            <w:r>
              <w:rPr>
                <w:sz w:val="16"/>
              </w:rPr>
              <w:t>enrolled</w:t>
            </w:r>
            <w:r>
              <w:rPr>
                <w:spacing w:val="-2"/>
                <w:sz w:val="16"/>
              </w:rPr>
              <w:t> </w:t>
            </w:r>
            <w:r>
              <w:rPr>
                <w:sz w:val="16"/>
              </w:rPr>
              <w:t>in</w:t>
            </w:r>
            <w:r>
              <w:rPr>
                <w:spacing w:val="-1"/>
                <w:sz w:val="16"/>
              </w:rPr>
              <w:t> </w:t>
            </w:r>
            <w:r>
              <w:rPr>
                <w:sz w:val="16"/>
              </w:rPr>
              <w:t>HCH?</w:t>
            </w:r>
          </w:p>
        </w:tc>
        <w:tc>
          <w:tcPr>
            <w:tcW w:w="6853" w:type="dxa"/>
          </w:tcPr>
          <w:p>
            <w:pPr>
              <w:pStyle w:val="TableParagraph"/>
              <w:spacing w:line="264" w:lineRule="auto" w:before="57"/>
              <w:ind w:left="647" w:right="235" w:hanging="567"/>
              <w:jc w:val="both"/>
              <w:rPr>
                <w:sz w:val="16"/>
              </w:rPr>
            </w:pPr>
            <w:r>
              <w:rPr>
                <w:sz w:val="16"/>
              </w:rPr>
              <w:t>3.06.01 Change in the mean number of emergency department presentations (total</w:t>
            </w:r>
            <w:r>
              <w:rPr>
                <w:spacing w:val="-43"/>
                <w:sz w:val="16"/>
              </w:rPr>
              <w:t> </w:t>
            </w:r>
            <w:r>
              <w:rPr>
                <w:sz w:val="16"/>
              </w:rPr>
              <w:t>and by episode end status) per patient in the previous 12 months compared</w:t>
            </w:r>
            <w:r>
              <w:rPr>
                <w:spacing w:val="1"/>
                <w:sz w:val="16"/>
              </w:rPr>
              <w:t> </w:t>
            </w:r>
            <w:r>
              <w:rPr>
                <w:sz w:val="16"/>
              </w:rPr>
              <w:t>with</w:t>
            </w:r>
            <w:r>
              <w:rPr>
                <w:spacing w:val="-2"/>
                <w:sz w:val="16"/>
              </w:rPr>
              <w:t> </w:t>
            </w:r>
            <w:r>
              <w:rPr>
                <w:sz w:val="16"/>
              </w:rPr>
              <w:t>the</w:t>
            </w:r>
            <w:r>
              <w:rPr>
                <w:spacing w:val="2"/>
                <w:sz w:val="16"/>
              </w:rPr>
              <w:t> </w:t>
            </w:r>
            <w:r>
              <w:rPr>
                <w:sz w:val="16"/>
              </w:rPr>
              <w:t>change</w:t>
            </w:r>
            <w:r>
              <w:rPr>
                <w:spacing w:val="-2"/>
                <w:sz w:val="16"/>
              </w:rPr>
              <w:t> </w:t>
            </w:r>
            <w:r>
              <w:rPr>
                <w:sz w:val="16"/>
              </w:rPr>
              <w:t>for</w:t>
            </w:r>
            <w:r>
              <w:rPr>
                <w:spacing w:val="-2"/>
                <w:sz w:val="16"/>
              </w:rPr>
              <w:t> </w:t>
            </w:r>
            <w:r>
              <w:rPr>
                <w:sz w:val="16"/>
              </w:rPr>
              <w:t>comparator</w:t>
            </w:r>
            <w:r>
              <w:rPr>
                <w:spacing w:val="1"/>
                <w:sz w:val="16"/>
              </w:rPr>
              <w:t> </w:t>
            </w:r>
            <w:r>
              <w:rPr>
                <w:sz w:val="16"/>
              </w:rPr>
              <w:t>patients.</w:t>
            </w:r>
            <w:r>
              <w:rPr>
                <w:spacing w:val="1"/>
                <w:sz w:val="16"/>
              </w:rPr>
              <w:t> </w:t>
            </w:r>
            <w:r>
              <w:rPr>
                <w:sz w:val="16"/>
              </w:rPr>
              <w:t>(See</w:t>
            </w:r>
            <w:r>
              <w:rPr>
                <w:spacing w:val="-1"/>
                <w:sz w:val="16"/>
              </w:rPr>
              <w:t> </w:t>
            </w:r>
            <w:r>
              <w:rPr>
                <w:sz w:val="16"/>
              </w:rPr>
              <w:t>Note</w:t>
            </w:r>
            <w:r>
              <w:rPr>
                <w:spacing w:val="2"/>
                <w:sz w:val="16"/>
              </w:rPr>
              <w:t> </w:t>
            </w:r>
            <w:r>
              <w:rPr>
                <w:sz w:val="16"/>
              </w:rPr>
              <w:t>2)</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spacing w:before="57"/>
              <w:ind w:left="100"/>
              <w:rPr>
                <w:rFonts w:ascii="Wingdings" w:hAnsi="Wingdings"/>
                <w:sz w:val="16"/>
              </w:rPr>
            </w:pPr>
            <w:r>
              <w:rPr>
                <w:rFonts w:ascii="Wingdings" w:hAnsi="Wingdings"/>
                <w:w w:val="100"/>
                <w:sz w:val="16"/>
              </w:rPr>
              <w:t></w:t>
            </w:r>
          </w:p>
        </w:tc>
      </w:tr>
      <w:tr>
        <w:trPr>
          <w:trHeight w:val="762" w:hRule="atLeast"/>
        </w:trPr>
        <w:tc>
          <w:tcPr>
            <w:tcW w:w="5809" w:type="dxa"/>
            <w:vMerge/>
            <w:tcBorders>
              <w:top w:val="nil"/>
              <w:bottom w:val="nil"/>
            </w:tcBorders>
          </w:tcPr>
          <w:p>
            <w:pPr>
              <w:rPr>
                <w:sz w:val="2"/>
                <w:szCs w:val="2"/>
              </w:rPr>
            </w:pPr>
          </w:p>
        </w:tc>
        <w:tc>
          <w:tcPr>
            <w:tcW w:w="6853" w:type="dxa"/>
          </w:tcPr>
          <w:p>
            <w:pPr>
              <w:pStyle w:val="TableParagraph"/>
              <w:spacing w:line="264" w:lineRule="auto" w:before="57"/>
              <w:ind w:left="647" w:right="229" w:hanging="567"/>
              <w:rPr>
                <w:sz w:val="16"/>
              </w:rPr>
            </w:pPr>
            <w:r>
              <w:rPr>
                <w:sz w:val="16"/>
              </w:rPr>
              <w:t>3.06.02 Change in the mean number of emergency admitted patient care episodes</w:t>
            </w:r>
            <w:r>
              <w:rPr>
                <w:spacing w:val="-42"/>
                <w:sz w:val="16"/>
              </w:rPr>
              <w:t> </w:t>
            </w:r>
            <w:r>
              <w:rPr>
                <w:sz w:val="16"/>
              </w:rPr>
              <w:t>per patient in the previous 12 months compared with the change for</w:t>
            </w:r>
            <w:r>
              <w:rPr>
                <w:spacing w:val="1"/>
                <w:sz w:val="16"/>
              </w:rPr>
              <w:t> </w:t>
            </w:r>
            <w:r>
              <w:rPr>
                <w:sz w:val="16"/>
              </w:rPr>
              <w:t>comparator</w:t>
            </w:r>
            <w:r>
              <w:rPr>
                <w:spacing w:val="-3"/>
                <w:sz w:val="16"/>
              </w:rPr>
              <w:t> </w:t>
            </w:r>
            <w:r>
              <w:rPr>
                <w:sz w:val="16"/>
              </w:rPr>
              <w:t>patients.</w:t>
            </w:r>
            <w:r>
              <w:rPr>
                <w:spacing w:val="1"/>
                <w:sz w:val="16"/>
              </w:rPr>
              <w:t> </w:t>
            </w:r>
            <w:r>
              <w:rPr>
                <w:sz w:val="16"/>
              </w:rPr>
              <w:t>(See</w:t>
            </w:r>
            <w:r>
              <w:rPr>
                <w:spacing w:val="-3"/>
                <w:sz w:val="16"/>
              </w:rPr>
              <w:t> </w:t>
            </w:r>
            <w:r>
              <w:rPr>
                <w:sz w:val="16"/>
              </w:rPr>
              <w:t>Note</w:t>
            </w:r>
            <w:r>
              <w:rPr>
                <w:spacing w:val="2"/>
                <w:sz w:val="16"/>
              </w:rPr>
              <w:t> </w:t>
            </w:r>
            <w:r>
              <w:rPr>
                <w:sz w:val="16"/>
              </w:rPr>
              <w:t>2)</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spacing w:before="57"/>
              <w:ind w:left="100"/>
              <w:rPr>
                <w:rFonts w:ascii="Wingdings" w:hAnsi="Wingdings"/>
                <w:sz w:val="16"/>
              </w:rPr>
            </w:pPr>
            <w:r>
              <w:rPr>
                <w:rFonts w:ascii="Wingdings" w:hAnsi="Wingdings"/>
                <w:w w:val="100"/>
                <w:sz w:val="16"/>
              </w:rPr>
              <w:t></w:t>
            </w:r>
          </w:p>
        </w:tc>
      </w:tr>
      <w:tr>
        <w:trPr>
          <w:trHeight w:val="761" w:hRule="atLeast"/>
        </w:trPr>
        <w:tc>
          <w:tcPr>
            <w:tcW w:w="5809" w:type="dxa"/>
            <w:vMerge/>
            <w:tcBorders>
              <w:top w:val="nil"/>
              <w:bottom w:val="nil"/>
            </w:tcBorders>
          </w:tcPr>
          <w:p>
            <w:pPr>
              <w:rPr>
                <w:sz w:val="2"/>
                <w:szCs w:val="2"/>
              </w:rPr>
            </w:pPr>
          </w:p>
        </w:tc>
        <w:tc>
          <w:tcPr>
            <w:tcW w:w="6853" w:type="dxa"/>
          </w:tcPr>
          <w:p>
            <w:pPr>
              <w:pStyle w:val="TableParagraph"/>
              <w:spacing w:line="264" w:lineRule="auto" w:before="55"/>
              <w:ind w:left="647" w:right="325" w:hanging="567"/>
              <w:rPr>
                <w:sz w:val="16"/>
              </w:rPr>
            </w:pPr>
            <w:r>
              <w:rPr>
                <w:sz w:val="16"/>
              </w:rPr>
              <w:t>3.06.03 Change in the mean number of total admitted patient care episodes per</w:t>
            </w:r>
            <w:r>
              <w:rPr>
                <w:spacing w:val="1"/>
                <w:sz w:val="16"/>
              </w:rPr>
              <w:t> </w:t>
            </w:r>
            <w:r>
              <w:rPr>
                <w:sz w:val="16"/>
              </w:rPr>
              <w:t>patient and bed days per patient in the previous 12 months compared with</w:t>
            </w:r>
            <w:r>
              <w:rPr>
                <w:spacing w:val="-42"/>
                <w:sz w:val="16"/>
              </w:rPr>
              <w:t> </w:t>
            </w:r>
            <w:r>
              <w:rPr>
                <w:sz w:val="16"/>
              </w:rPr>
              <w:t>the</w:t>
            </w:r>
            <w:r>
              <w:rPr>
                <w:spacing w:val="1"/>
                <w:sz w:val="16"/>
              </w:rPr>
              <w:t> </w:t>
            </w:r>
            <w:r>
              <w:rPr>
                <w:sz w:val="16"/>
              </w:rPr>
              <w:t>change</w:t>
            </w:r>
            <w:r>
              <w:rPr>
                <w:spacing w:val="2"/>
                <w:sz w:val="16"/>
              </w:rPr>
              <w:t> </w:t>
            </w:r>
            <w:r>
              <w:rPr>
                <w:sz w:val="16"/>
              </w:rPr>
              <w:t>for comparator</w:t>
            </w:r>
            <w:r>
              <w:rPr>
                <w:spacing w:val="-2"/>
                <w:sz w:val="16"/>
              </w:rPr>
              <w:t> </w:t>
            </w:r>
            <w:r>
              <w:rPr>
                <w:sz w:val="16"/>
              </w:rPr>
              <w:t>patients.</w:t>
            </w:r>
            <w:r>
              <w:rPr>
                <w:spacing w:val="1"/>
                <w:sz w:val="16"/>
              </w:rPr>
              <w:t> </w:t>
            </w:r>
            <w:r>
              <w:rPr>
                <w:sz w:val="16"/>
              </w:rPr>
              <w:t>(See</w:t>
            </w:r>
            <w:r>
              <w:rPr>
                <w:spacing w:val="-2"/>
                <w:sz w:val="16"/>
              </w:rPr>
              <w:t> </w:t>
            </w:r>
            <w:r>
              <w:rPr>
                <w:sz w:val="16"/>
              </w:rPr>
              <w:t>Note</w:t>
            </w:r>
            <w:r>
              <w:rPr>
                <w:spacing w:val="2"/>
                <w:sz w:val="16"/>
              </w:rPr>
              <w:t> </w:t>
            </w:r>
            <w:r>
              <w:rPr>
                <w:sz w:val="16"/>
              </w:rPr>
              <w:t>2)</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spacing w:before="55"/>
              <w:ind w:left="100"/>
              <w:rPr>
                <w:rFonts w:ascii="Wingdings" w:hAnsi="Wingdings"/>
                <w:sz w:val="16"/>
              </w:rPr>
            </w:pPr>
            <w:r>
              <w:rPr>
                <w:rFonts w:ascii="Wingdings" w:hAnsi="Wingdings"/>
                <w:w w:val="100"/>
                <w:sz w:val="16"/>
              </w:rPr>
              <w:t></w:t>
            </w:r>
          </w:p>
        </w:tc>
      </w:tr>
      <w:tr>
        <w:trPr>
          <w:trHeight w:val="760" w:hRule="atLeast"/>
        </w:trPr>
        <w:tc>
          <w:tcPr>
            <w:tcW w:w="5809" w:type="dxa"/>
            <w:vMerge/>
            <w:tcBorders>
              <w:top w:val="nil"/>
              <w:bottom w:val="nil"/>
            </w:tcBorders>
          </w:tcPr>
          <w:p>
            <w:pPr>
              <w:rPr>
                <w:sz w:val="2"/>
                <w:szCs w:val="2"/>
              </w:rPr>
            </w:pPr>
          </w:p>
        </w:tc>
        <w:tc>
          <w:tcPr>
            <w:tcW w:w="6853" w:type="dxa"/>
          </w:tcPr>
          <w:p>
            <w:pPr>
              <w:pStyle w:val="TableParagraph"/>
              <w:spacing w:line="264" w:lineRule="auto" w:before="57"/>
              <w:ind w:left="647" w:right="195" w:hanging="567"/>
              <w:jc w:val="both"/>
              <w:rPr>
                <w:sz w:val="16"/>
              </w:rPr>
            </w:pPr>
            <w:r>
              <w:rPr>
                <w:sz w:val="16"/>
              </w:rPr>
              <w:t>3.06.04 Change in the mean number of total admitted patient care readmissions per</w:t>
            </w:r>
            <w:r>
              <w:rPr>
                <w:spacing w:val="-42"/>
                <w:sz w:val="16"/>
              </w:rPr>
              <w:t> </w:t>
            </w:r>
            <w:r>
              <w:rPr>
                <w:sz w:val="16"/>
              </w:rPr>
              <w:t>patient in the previous 12 months compared with the change for comparator</w:t>
            </w:r>
            <w:r>
              <w:rPr>
                <w:spacing w:val="-43"/>
                <w:sz w:val="16"/>
              </w:rPr>
              <w:t> </w:t>
            </w:r>
            <w:r>
              <w:rPr>
                <w:sz w:val="16"/>
              </w:rPr>
              <w:t>patients.</w:t>
            </w:r>
            <w:r>
              <w:rPr>
                <w:spacing w:val="-1"/>
                <w:sz w:val="16"/>
              </w:rPr>
              <w:t> </w:t>
            </w:r>
            <w:r>
              <w:rPr>
                <w:sz w:val="16"/>
              </w:rPr>
              <w:t>(See</w:t>
            </w:r>
            <w:r>
              <w:rPr>
                <w:spacing w:val="-1"/>
                <w:sz w:val="16"/>
              </w:rPr>
              <w:t> </w:t>
            </w:r>
            <w:r>
              <w:rPr>
                <w:sz w:val="16"/>
              </w:rPr>
              <w:t>Note</w:t>
            </w:r>
            <w:r>
              <w:rPr>
                <w:spacing w:val="2"/>
                <w:sz w:val="16"/>
              </w:rPr>
              <w:t> </w:t>
            </w:r>
            <w:r>
              <w:rPr>
                <w:sz w:val="16"/>
              </w:rPr>
              <w:t>2)</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spacing w:before="57"/>
              <w:ind w:left="100"/>
              <w:rPr>
                <w:rFonts w:ascii="Wingdings" w:hAnsi="Wingdings"/>
                <w:sz w:val="16"/>
              </w:rPr>
            </w:pPr>
            <w:r>
              <w:rPr>
                <w:rFonts w:ascii="Wingdings" w:hAnsi="Wingdings"/>
                <w:w w:val="100"/>
                <w:sz w:val="16"/>
              </w:rPr>
              <w:t></w:t>
            </w:r>
          </w:p>
        </w:tc>
      </w:tr>
    </w:tbl>
    <w:p>
      <w:pPr>
        <w:spacing w:after="0"/>
        <w:rPr>
          <w:rFonts w:ascii="Wingdings" w:hAnsi="Wingdings"/>
          <w:sz w:val="16"/>
        </w:rPr>
        <w:sectPr>
          <w:pgSz w:w="16840" w:h="11910" w:orient="landscape"/>
          <w:pgMar w:header="0" w:footer="676" w:top="1100" w:bottom="860" w:left="1340" w:right="980"/>
        </w:sectPr>
      </w:pPr>
    </w:p>
    <w:p>
      <w:pPr>
        <w:pStyle w:val="BodyText"/>
        <w:spacing w:before="2" w:after="1"/>
        <w:rPr>
          <w:b/>
          <w:sz w:val="27"/>
        </w:rPr>
      </w:pPr>
    </w:p>
    <w:tbl>
      <w:tblPr>
        <w:tblW w:w="0" w:type="auto"/>
        <w:jc w:val="left"/>
        <w:tblInd w:w="11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5809"/>
        <w:gridCol w:w="6853"/>
        <w:gridCol w:w="324"/>
        <w:gridCol w:w="327"/>
        <w:gridCol w:w="324"/>
        <w:gridCol w:w="324"/>
        <w:gridCol w:w="326"/>
      </w:tblGrid>
      <w:tr>
        <w:trPr>
          <w:trHeight w:val="1509" w:hRule="atLeast"/>
        </w:trPr>
        <w:tc>
          <w:tcPr>
            <w:tcW w:w="5809" w:type="dxa"/>
            <w:tcBorders>
              <w:top w:val="nil"/>
            </w:tcBorders>
            <w:shd w:val="clear" w:color="auto" w:fill="003C79"/>
          </w:tcPr>
          <w:p>
            <w:pPr>
              <w:pStyle w:val="TableParagraph"/>
              <w:rPr>
                <w:b/>
                <w:sz w:val="20"/>
              </w:rPr>
            </w:pPr>
          </w:p>
          <w:p>
            <w:pPr>
              <w:pStyle w:val="TableParagraph"/>
              <w:rPr>
                <w:b/>
                <w:sz w:val="20"/>
              </w:rPr>
            </w:pPr>
          </w:p>
          <w:p>
            <w:pPr>
              <w:pStyle w:val="TableParagraph"/>
              <w:spacing w:before="164"/>
              <w:ind w:left="1579"/>
              <w:rPr>
                <w:b/>
                <w:sz w:val="16"/>
              </w:rPr>
            </w:pPr>
            <w:r>
              <w:rPr>
                <w:b/>
                <w:color w:val="FFFFFF"/>
                <w:sz w:val="16"/>
              </w:rPr>
              <w:t>Key</w:t>
            </w:r>
            <w:r>
              <w:rPr>
                <w:b/>
                <w:color w:val="FFFFFF"/>
                <w:spacing w:val="-4"/>
                <w:sz w:val="16"/>
              </w:rPr>
              <w:t> </w:t>
            </w:r>
            <w:r>
              <w:rPr>
                <w:b/>
                <w:color w:val="FFFFFF"/>
                <w:sz w:val="16"/>
              </w:rPr>
              <w:t>question</w:t>
            </w:r>
            <w:r>
              <w:rPr>
                <w:b/>
                <w:color w:val="FFFFFF"/>
                <w:spacing w:val="-5"/>
                <w:sz w:val="16"/>
              </w:rPr>
              <w:t> </w:t>
            </w:r>
            <w:r>
              <w:rPr>
                <w:b/>
                <w:color w:val="FFFFFF"/>
                <w:sz w:val="16"/>
              </w:rPr>
              <w:t>3:</w:t>
            </w:r>
            <w:r>
              <w:rPr>
                <w:b/>
                <w:color w:val="FFFFFF"/>
                <w:spacing w:val="-2"/>
                <w:sz w:val="16"/>
              </w:rPr>
              <w:t> </w:t>
            </w:r>
            <w:r>
              <w:rPr>
                <w:b/>
                <w:color w:val="FFFFFF"/>
                <w:sz w:val="16"/>
              </w:rPr>
              <w:t>Detailed</w:t>
            </w:r>
            <w:r>
              <w:rPr>
                <w:b/>
                <w:color w:val="FFFFFF"/>
                <w:spacing w:val="-2"/>
                <w:sz w:val="16"/>
              </w:rPr>
              <w:t> </w:t>
            </w:r>
            <w:r>
              <w:rPr>
                <w:b/>
                <w:color w:val="FFFFFF"/>
                <w:sz w:val="16"/>
              </w:rPr>
              <w:t>questions</w:t>
            </w:r>
          </w:p>
        </w:tc>
        <w:tc>
          <w:tcPr>
            <w:tcW w:w="6853" w:type="dxa"/>
            <w:tcBorders>
              <w:top w:val="nil"/>
            </w:tcBorders>
            <w:shd w:val="clear" w:color="auto" w:fill="003C79"/>
          </w:tcPr>
          <w:p>
            <w:pPr>
              <w:pStyle w:val="TableParagraph"/>
              <w:rPr>
                <w:b/>
                <w:sz w:val="20"/>
              </w:rPr>
            </w:pPr>
          </w:p>
          <w:p>
            <w:pPr>
              <w:pStyle w:val="TableParagraph"/>
              <w:rPr>
                <w:b/>
                <w:sz w:val="20"/>
              </w:rPr>
            </w:pPr>
          </w:p>
          <w:p>
            <w:pPr>
              <w:pStyle w:val="TableParagraph"/>
              <w:spacing w:before="164"/>
              <w:ind w:left="2424" w:right="2419"/>
              <w:jc w:val="center"/>
              <w:rPr>
                <w:b/>
                <w:sz w:val="16"/>
              </w:rPr>
            </w:pPr>
            <w:r>
              <w:rPr>
                <w:b/>
                <w:color w:val="FFFFFF"/>
                <w:sz w:val="16"/>
              </w:rPr>
              <w:t>Key</w:t>
            </w:r>
            <w:r>
              <w:rPr>
                <w:b/>
                <w:color w:val="FFFFFF"/>
                <w:spacing w:val="-4"/>
                <w:sz w:val="16"/>
              </w:rPr>
              <w:t> </w:t>
            </w:r>
            <w:r>
              <w:rPr>
                <w:b/>
                <w:color w:val="FFFFFF"/>
                <w:sz w:val="16"/>
              </w:rPr>
              <w:t>question</w:t>
            </w:r>
            <w:r>
              <w:rPr>
                <w:b/>
                <w:color w:val="FFFFFF"/>
                <w:spacing w:val="-4"/>
                <w:sz w:val="16"/>
              </w:rPr>
              <w:t> </w:t>
            </w:r>
            <w:r>
              <w:rPr>
                <w:b/>
                <w:color w:val="FFFFFF"/>
                <w:sz w:val="16"/>
              </w:rPr>
              <w:t>3:</w:t>
            </w:r>
            <w:r>
              <w:rPr>
                <w:b/>
                <w:color w:val="FFFFFF"/>
                <w:spacing w:val="-3"/>
                <w:sz w:val="16"/>
              </w:rPr>
              <w:t> </w:t>
            </w:r>
            <w:r>
              <w:rPr>
                <w:b/>
                <w:color w:val="FFFFFF"/>
                <w:sz w:val="16"/>
              </w:rPr>
              <w:t>Measures</w:t>
            </w:r>
          </w:p>
        </w:tc>
        <w:tc>
          <w:tcPr>
            <w:tcW w:w="324" w:type="dxa"/>
            <w:tcBorders>
              <w:top w:val="nil"/>
            </w:tcBorders>
            <w:shd w:val="clear" w:color="auto" w:fill="003C79"/>
            <w:textDirection w:val="btLr"/>
          </w:tcPr>
          <w:p>
            <w:pPr>
              <w:pStyle w:val="TableParagraph"/>
              <w:spacing w:before="57"/>
              <w:ind w:left="503" w:right="504"/>
              <w:jc w:val="center"/>
              <w:rPr>
                <w:b/>
                <w:sz w:val="16"/>
              </w:rPr>
            </w:pPr>
            <w:r>
              <w:rPr>
                <w:b/>
                <w:color w:val="FFFFFF"/>
                <w:sz w:val="16"/>
              </w:rPr>
              <w:t>Inputs</w:t>
            </w:r>
          </w:p>
        </w:tc>
        <w:tc>
          <w:tcPr>
            <w:tcW w:w="327" w:type="dxa"/>
            <w:tcBorders>
              <w:top w:val="nil"/>
            </w:tcBorders>
            <w:shd w:val="clear" w:color="auto" w:fill="003C79"/>
            <w:textDirection w:val="btLr"/>
          </w:tcPr>
          <w:p>
            <w:pPr>
              <w:pStyle w:val="TableParagraph"/>
              <w:spacing w:before="59"/>
              <w:ind w:left="407"/>
              <w:rPr>
                <w:b/>
                <w:sz w:val="16"/>
              </w:rPr>
            </w:pPr>
            <w:r>
              <w:rPr>
                <w:b/>
                <w:color w:val="FFFFFF"/>
                <w:sz w:val="16"/>
              </w:rPr>
              <w:t>Activities</w:t>
            </w:r>
          </w:p>
        </w:tc>
        <w:tc>
          <w:tcPr>
            <w:tcW w:w="324" w:type="dxa"/>
            <w:tcBorders>
              <w:top w:val="nil"/>
            </w:tcBorders>
            <w:shd w:val="clear" w:color="auto" w:fill="003C79"/>
            <w:textDirection w:val="btLr"/>
          </w:tcPr>
          <w:p>
            <w:pPr>
              <w:pStyle w:val="TableParagraph"/>
              <w:spacing w:before="57"/>
              <w:ind w:left="455"/>
              <w:rPr>
                <w:b/>
                <w:sz w:val="16"/>
              </w:rPr>
            </w:pPr>
            <w:r>
              <w:rPr>
                <w:b/>
                <w:color w:val="FFFFFF"/>
                <w:sz w:val="16"/>
              </w:rPr>
              <w:t>Outputs</w:t>
            </w:r>
          </w:p>
        </w:tc>
        <w:tc>
          <w:tcPr>
            <w:tcW w:w="324" w:type="dxa"/>
            <w:tcBorders>
              <w:top w:val="nil"/>
            </w:tcBorders>
            <w:shd w:val="clear" w:color="auto" w:fill="003C79"/>
            <w:textDirection w:val="btLr"/>
          </w:tcPr>
          <w:p>
            <w:pPr>
              <w:pStyle w:val="TableParagraph"/>
              <w:spacing w:before="57"/>
              <w:ind w:left="254"/>
              <w:rPr>
                <w:b/>
                <w:sz w:val="16"/>
              </w:rPr>
            </w:pPr>
            <w:r>
              <w:rPr>
                <w:b/>
                <w:color w:val="FFFFFF"/>
                <w:sz w:val="16"/>
              </w:rPr>
              <w:t>Outcomes</w:t>
            </w:r>
            <w:r>
              <w:rPr>
                <w:b/>
                <w:color w:val="FFFFFF"/>
                <w:spacing w:val="-2"/>
                <w:sz w:val="16"/>
              </w:rPr>
              <w:t> </w:t>
            </w:r>
            <w:r>
              <w:rPr>
                <w:b/>
                <w:color w:val="FFFFFF"/>
                <w:sz w:val="16"/>
              </w:rPr>
              <w:t>ST</w:t>
            </w:r>
          </w:p>
        </w:tc>
        <w:tc>
          <w:tcPr>
            <w:tcW w:w="326" w:type="dxa"/>
            <w:tcBorders>
              <w:top w:val="nil"/>
            </w:tcBorders>
            <w:shd w:val="clear" w:color="auto" w:fill="003C79"/>
            <w:textDirection w:val="btLr"/>
          </w:tcPr>
          <w:p>
            <w:pPr>
              <w:pStyle w:val="TableParagraph"/>
              <w:spacing w:before="59"/>
              <w:ind w:left="222"/>
              <w:rPr>
                <w:b/>
                <w:sz w:val="16"/>
              </w:rPr>
            </w:pPr>
            <w:r>
              <w:rPr>
                <w:b/>
                <w:color w:val="FFFFFF"/>
                <w:sz w:val="16"/>
              </w:rPr>
              <w:t>Outcomes</w:t>
            </w:r>
            <w:r>
              <w:rPr>
                <w:b/>
                <w:color w:val="FFFFFF"/>
                <w:spacing w:val="-1"/>
                <w:sz w:val="16"/>
              </w:rPr>
              <w:t> </w:t>
            </w:r>
            <w:r>
              <w:rPr>
                <w:b/>
                <w:color w:val="FFFFFF"/>
                <w:sz w:val="16"/>
              </w:rPr>
              <w:t>MT</w:t>
            </w:r>
          </w:p>
        </w:tc>
      </w:tr>
      <w:tr>
        <w:trPr>
          <w:trHeight w:val="544" w:hRule="atLeast"/>
        </w:trPr>
        <w:tc>
          <w:tcPr>
            <w:tcW w:w="5809" w:type="dxa"/>
            <w:vMerge w:val="restart"/>
          </w:tcPr>
          <w:p>
            <w:pPr>
              <w:pStyle w:val="TableParagraph"/>
              <w:rPr>
                <w:rFonts w:ascii="Times New Roman"/>
                <w:sz w:val="16"/>
              </w:rPr>
            </w:pPr>
          </w:p>
        </w:tc>
        <w:tc>
          <w:tcPr>
            <w:tcW w:w="6853" w:type="dxa"/>
          </w:tcPr>
          <w:p>
            <w:pPr>
              <w:pStyle w:val="TableParagraph"/>
              <w:spacing w:line="264" w:lineRule="auto" w:before="57"/>
              <w:ind w:left="647" w:right="441" w:hanging="567"/>
              <w:rPr>
                <w:sz w:val="16"/>
              </w:rPr>
            </w:pPr>
            <w:r>
              <w:rPr>
                <w:sz w:val="16"/>
              </w:rPr>
              <w:t>3.06.05 Change in the proportion of acute bed days occurring in a hospital that is</w:t>
            </w:r>
            <w:r>
              <w:rPr>
                <w:spacing w:val="-42"/>
                <w:sz w:val="16"/>
              </w:rPr>
              <w:t> </w:t>
            </w:r>
            <w:r>
              <w:rPr>
                <w:sz w:val="16"/>
              </w:rPr>
              <w:t>located close</w:t>
            </w:r>
            <w:r>
              <w:rPr>
                <w:spacing w:val="2"/>
                <w:sz w:val="16"/>
              </w:rPr>
              <w:t> </w:t>
            </w:r>
            <w:r>
              <w:rPr>
                <w:sz w:val="16"/>
              </w:rPr>
              <w:t>to</w:t>
            </w:r>
            <w:r>
              <w:rPr>
                <w:spacing w:val="-1"/>
                <w:sz w:val="16"/>
              </w:rPr>
              <w:t> </w:t>
            </w:r>
            <w:r>
              <w:rPr>
                <w:sz w:val="16"/>
              </w:rPr>
              <w:t>the patient's residence.</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spacing w:before="57"/>
              <w:ind w:left="100"/>
              <w:rPr>
                <w:rFonts w:ascii="Wingdings" w:hAnsi="Wingdings"/>
                <w:sz w:val="16"/>
              </w:rPr>
            </w:pPr>
            <w:r>
              <w:rPr>
                <w:rFonts w:ascii="Wingdings" w:hAnsi="Wingdings"/>
                <w:w w:val="100"/>
                <w:sz w:val="16"/>
              </w:rPr>
              <w:t></w:t>
            </w:r>
          </w:p>
        </w:tc>
      </w:tr>
      <w:tr>
        <w:trPr>
          <w:trHeight w:val="763"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62" w:hanging="567"/>
              <w:rPr>
                <w:sz w:val="16"/>
              </w:rPr>
            </w:pPr>
            <w:r>
              <w:rPr>
                <w:sz w:val="16"/>
              </w:rPr>
              <w:t>3.06.06 Change in the mean number of potentially preventable admitted patient care</w:t>
            </w:r>
            <w:r>
              <w:rPr>
                <w:spacing w:val="-42"/>
                <w:sz w:val="16"/>
              </w:rPr>
              <w:t> </w:t>
            </w:r>
            <w:r>
              <w:rPr>
                <w:sz w:val="16"/>
              </w:rPr>
              <w:t>episodes</w:t>
            </w:r>
            <w:r>
              <w:rPr>
                <w:spacing w:val="1"/>
                <w:sz w:val="16"/>
              </w:rPr>
              <w:t> </w:t>
            </w:r>
            <w:r>
              <w:rPr>
                <w:sz w:val="16"/>
              </w:rPr>
              <w:t>(overall</w:t>
            </w:r>
            <w:r>
              <w:rPr>
                <w:spacing w:val="4"/>
                <w:sz w:val="16"/>
              </w:rPr>
              <w:t> </w:t>
            </w:r>
            <w:r>
              <w:rPr>
                <w:sz w:val="16"/>
              </w:rPr>
              <w:t>and</w:t>
            </w:r>
            <w:r>
              <w:rPr>
                <w:spacing w:val="2"/>
                <w:sz w:val="16"/>
              </w:rPr>
              <w:t> </w:t>
            </w:r>
            <w:r>
              <w:rPr>
                <w:sz w:val="16"/>
              </w:rPr>
              <w:t>by</w:t>
            </w:r>
            <w:r>
              <w:rPr>
                <w:spacing w:val="2"/>
                <w:sz w:val="16"/>
              </w:rPr>
              <w:t> </w:t>
            </w:r>
            <w:r>
              <w:rPr>
                <w:sz w:val="16"/>
              </w:rPr>
              <w:t>type) per</w:t>
            </w:r>
            <w:r>
              <w:rPr>
                <w:spacing w:val="2"/>
                <w:sz w:val="16"/>
              </w:rPr>
              <w:t> </w:t>
            </w:r>
            <w:r>
              <w:rPr>
                <w:sz w:val="16"/>
              </w:rPr>
              <w:t>patient in</w:t>
            </w:r>
            <w:r>
              <w:rPr>
                <w:spacing w:val="5"/>
                <w:sz w:val="16"/>
              </w:rPr>
              <w:t> </w:t>
            </w:r>
            <w:r>
              <w:rPr>
                <w:sz w:val="16"/>
              </w:rPr>
              <w:t>the</w:t>
            </w:r>
            <w:r>
              <w:rPr>
                <w:spacing w:val="2"/>
                <w:sz w:val="16"/>
              </w:rPr>
              <w:t> </w:t>
            </w:r>
            <w:r>
              <w:rPr>
                <w:sz w:val="16"/>
              </w:rPr>
              <w:t>previous</w:t>
            </w:r>
            <w:r>
              <w:rPr>
                <w:spacing w:val="2"/>
                <w:sz w:val="16"/>
              </w:rPr>
              <w:t> </w:t>
            </w:r>
            <w:r>
              <w:rPr>
                <w:sz w:val="16"/>
              </w:rPr>
              <w:t>12</w:t>
            </w:r>
            <w:r>
              <w:rPr>
                <w:spacing w:val="2"/>
                <w:sz w:val="16"/>
              </w:rPr>
              <w:t> </w:t>
            </w:r>
            <w:r>
              <w:rPr>
                <w:sz w:val="16"/>
              </w:rPr>
              <w:t>months</w:t>
            </w:r>
            <w:r>
              <w:rPr>
                <w:spacing w:val="1"/>
                <w:sz w:val="16"/>
              </w:rPr>
              <w:t> </w:t>
            </w:r>
            <w:r>
              <w:rPr>
                <w:sz w:val="16"/>
              </w:rPr>
              <w:t>compared</w:t>
            </w:r>
            <w:r>
              <w:rPr>
                <w:spacing w:val="-5"/>
                <w:sz w:val="16"/>
              </w:rPr>
              <w:t> </w:t>
            </w:r>
            <w:r>
              <w:rPr>
                <w:sz w:val="16"/>
              </w:rPr>
              <w:t>with</w:t>
            </w:r>
            <w:r>
              <w:rPr>
                <w:spacing w:val="-1"/>
                <w:sz w:val="16"/>
              </w:rPr>
              <w:t> </w:t>
            </w:r>
            <w:r>
              <w:rPr>
                <w:sz w:val="16"/>
              </w:rPr>
              <w:t>the change</w:t>
            </w:r>
            <w:r>
              <w:rPr>
                <w:spacing w:val="-1"/>
                <w:sz w:val="16"/>
              </w:rPr>
              <w:t> </w:t>
            </w:r>
            <w:r>
              <w:rPr>
                <w:sz w:val="16"/>
              </w:rPr>
              <w:t>for</w:t>
            </w:r>
            <w:r>
              <w:rPr>
                <w:spacing w:val="-4"/>
                <w:sz w:val="16"/>
              </w:rPr>
              <w:t> </w:t>
            </w:r>
            <w:r>
              <w:rPr>
                <w:sz w:val="16"/>
              </w:rPr>
              <w:t>comparator</w:t>
            </w:r>
            <w:r>
              <w:rPr>
                <w:spacing w:val="-2"/>
                <w:sz w:val="16"/>
              </w:rPr>
              <w:t> </w:t>
            </w:r>
            <w:r>
              <w:rPr>
                <w:sz w:val="16"/>
              </w:rPr>
              <w:t>patients.</w:t>
            </w:r>
            <w:r>
              <w:rPr>
                <w:spacing w:val="2"/>
                <w:sz w:val="16"/>
              </w:rPr>
              <w:t> </w:t>
            </w:r>
            <w:r>
              <w:rPr>
                <w:sz w:val="16"/>
              </w:rPr>
              <w:t>(See</w:t>
            </w:r>
            <w:r>
              <w:rPr>
                <w:spacing w:val="-4"/>
                <w:sz w:val="16"/>
              </w:rPr>
              <w:t> </w:t>
            </w:r>
            <w:r>
              <w:rPr>
                <w:sz w:val="16"/>
              </w:rPr>
              <w:t>Note</w:t>
            </w:r>
            <w:r>
              <w:rPr>
                <w:spacing w:val="2"/>
                <w:sz w:val="16"/>
              </w:rPr>
              <w:t> </w:t>
            </w:r>
            <w:r>
              <w:rPr>
                <w:sz w:val="16"/>
              </w:rPr>
              <w:t>2)</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spacing w:before="57"/>
              <w:ind w:left="100"/>
              <w:rPr>
                <w:rFonts w:ascii="Wingdings" w:hAnsi="Wingdings"/>
                <w:sz w:val="16"/>
              </w:rPr>
            </w:pPr>
            <w:r>
              <w:rPr>
                <w:rFonts w:ascii="Wingdings" w:hAnsi="Wingdings"/>
                <w:w w:val="100"/>
                <w:sz w:val="16"/>
              </w:rPr>
              <w:t></w:t>
            </w:r>
          </w:p>
        </w:tc>
      </w:tr>
      <w:tr>
        <w:trPr>
          <w:trHeight w:val="760" w:hRule="atLeast"/>
        </w:trPr>
        <w:tc>
          <w:tcPr>
            <w:tcW w:w="5809" w:type="dxa"/>
            <w:vMerge/>
            <w:tcBorders>
              <w:top w:val="nil"/>
            </w:tcBorders>
          </w:tcPr>
          <w:p>
            <w:pPr>
              <w:rPr>
                <w:sz w:val="2"/>
                <w:szCs w:val="2"/>
              </w:rPr>
            </w:pPr>
          </w:p>
        </w:tc>
        <w:tc>
          <w:tcPr>
            <w:tcW w:w="6853" w:type="dxa"/>
          </w:tcPr>
          <w:p>
            <w:pPr>
              <w:pStyle w:val="TableParagraph"/>
              <w:spacing w:line="261" w:lineRule="auto" w:before="57"/>
              <w:ind w:left="647" w:right="46" w:hanging="567"/>
              <w:rPr>
                <w:sz w:val="16"/>
              </w:rPr>
            </w:pPr>
            <w:r>
              <w:rPr>
                <w:sz w:val="16"/>
              </w:rPr>
              <w:t>3.06.07 Change in the mean number of potentially preventable admitted patient care</w:t>
            </w:r>
            <w:r>
              <w:rPr>
                <w:spacing w:val="-42"/>
                <w:sz w:val="16"/>
              </w:rPr>
              <w:t> </w:t>
            </w:r>
            <w:r>
              <w:rPr>
                <w:sz w:val="16"/>
              </w:rPr>
              <w:t>bed days (overall and by type) per patient in the previous 12 months</w:t>
            </w:r>
            <w:r>
              <w:rPr>
                <w:spacing w:val="1"/>
                <w:sz w:val="16"/>
              </w:rPr>
              <w:t> </w:t>
            </w:r>
            <w:r>
              <w:rPr>
                <w:sz w:val="16"/>
              </w:rPr>
              <w:t>compared</w:t>
            </w:r>
            <w:r>
              <w:rPr>
                <w:spacing w:val="-5"/>
                <w:sz w:val="16"/>
              </w:rPr>
              <w:t> </w:t>
            </w:r>
            <w:r>
              <w:rPr>
                <w:sz w:val="16"/>
              </w:rPr>
              <w:t>with</w:t>
            </w:r>
            <w:r>
              <w:rPr>
                <w:spacing w:val="-1"/>
                <w:sz w:val="16"/>
              </w:rPr>
              <w:t> </w:t>
            </w:r>
            <w:r>
              <w:rPr>
                <w:sz w:val="16"/>
              </w:rPr>
              <w:t>the change</w:t>
            </w:r>
            <w:r>
              <w:rPr>
                <w:spacing w:val="-1"/>
                <w:sz w:val="16"/>
              </w:rPr>
              <w:t> </w:t>
            </w:r>
            <w:r>
              <w:rPr>
                <w:sz w:val="16"/>
              </w:rPr>
              <w:t>for</w:t>
            </w:r>
            <w:r>
              <w:rPr>
                <w:spacing w:val="-3"/>
                <w:sz w:val="16"/>
              </w:rPr>
              <w:t> </w:t>
            </w:r>
            <w:r>
              <w:rPr>
                <w:sz w:val="16"/>
              </w:rPr>
              <w:t>comparator</w:t>
            </w:r>
            <w:r>
              <w:rPr>
                <w:spacing w:val="-2"/>
                <w:sz w:val="16"/>
              </w:rPr>
              <w:t> </w:t>
            </w:r>
            <w:r>
              <w:rPr>
                <w:sz w:val="16"/>
              </w:rPr>
              <w:t>patients.</w:t>
            </w:r>
            <w:r>
              <w:rPr>
                <w:spacing w:val="1"/>
                <w:sz w:val="16"/>
              </w:rPr>
              <w:t> </w:t>
            </w:r>
            <w:r>
              <w:rPr>
                <w:sz w:val="16"/>
              </w:rPr>
              <w:t>(See</w:t>
            </w:r>
            <w:r>
              <w:rPr>
                <w:spacing w:val="-4"/>
                <w:sz w:val="16"/>
              </w:rPr>
              <w:t> </w:t>
            </w:r>
            <w:r>
              <w:rPr>
                <w:sz w:val="16"/>
              </w:rPr>
              <w:t>Note</w:t>
            </w:r>
            <w:r>
              <w:rPr>
                <w:spacing w:val="2"/>
                <w:sz w:val="16"/>
              </w:rPr>
              <w:t> </w:t>
            </w:r>
            <w:r>
              <w:rPr>
                <w:sz w:val="16"/>
              </w:rPr>
              <w:t>2)</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spacing w:before="57"/>
              <w:ind w:left="100"/>
              <w:rPr>
                <w:rFonts w:ascii="Wingdings" w:hAnsi="Wingdings"/>
                <w:sz w:val="16"/>
              </w:rPr>
            </w:pPr>
            <w:r>
              <w:rPr>
                <w:rFonts w:ascii="Wingdings" w:hAnsi="Wingdings"/>
                <w:w w:val="100"/>
                <w:sz w:val="16"/>
              </w:rPr>
              <w:t></w:t>
            </w:r>
          </w:p>
        </w:tc>
      </w:tr>
      <w:tr>
        <w:trPr>
          <w:trHeight w:val="760"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hanging="567"/>
              <w:rPr>
                <w:sz w:val="16"/>
              </w:rPr>
            </w:pPr>
            <w:r>
              <w:rPr>
                <w:sz w:val="16"/>
              </w:rPr>
              <w:t>3.06.08</w:t>
            </w:r>
            <w:r>
              <w:rPr>
                <w:spacing w:val="-3"/>
                <w:sz w:val="16"/>
              </w:rPr>
              <w:t> </w:t>
            </w:r>
            <w:r>
              <w:rPr>
                <w:sz w:val="16"/>
              </w:rPr>
              <w:t>Change</w:t>
            </w:r>
            <w:r>
              <w:rPr>
                <w:spacing w:val="-4"/>
                <w:sz w:val="16"/>
              </w:rPr>
              <w:t> </w:t>
            </w:r>
            <w:r>
              <w:rPr>
                <w:sz w:val="16"/>
              </w:rPr>
              <w:t>in</w:t>
            </w:r>
            <w:r>
              <w:rPr>
                <w:spacing w:val="-3"/>
                <w:sz w:val="16"/>
              </w:rPr>
              <w:t> </w:t>
            </w:r>
            <w:r>
              <w:rPr>
                <w:sz w:val="16"/>
              </w:rPr>
              <w:t>the</w:t>
            </w:r>
            <w:r>
              <w:rPr>
                <w:spacing w:val="-3"/>
                <w:sz w:val="16"/>
              </w:rPr>
              <w:t> </w:t>
            </w:r>
            <w:r>
              <w:rPr>
                <w:sz w:val="16"/>
              </w:rPr>
              <w:t>mean</w:t>
            </w:r>
            <w:r>
              <w:rPr>
                <w:spacing w:val="-3"/>
                <w:sz w:val="16"/>
              </w:rPr>
              <w:t> </w:t>
            </w:r>
            <w:r>
              <w:rPr>
                <w:sz w:val="16"/>
              </w:rPr>
              <w:t>National</w:t>
            </w:r>
            <w:r>
              <w:rPr>
                <w:spacing w:val="-1"/>
                <w:sz w:val="16"/>
              </w:rPr>
              <w:t> </w:t>
            </w:r>
            <w:r>
              <w:rPr>
                <w:sz w:val="16"/>
              </w:rPr>
              <w:t>Weighted</w:t>
            </w:r>
            <w:r>
              <w:rPr>
                <w:spacing w:val="-2"/>
                <w:sz w:val="16"/>
              </w:rPr>
              <w:t> </w:t>
            </w:r>
            <w:r>
              <w:rPr>
                <w:sz w:val="16"/>
              </w:rPr>
              <w:t>Activity</w:t>
            </w:r>
            <w:r>
              <w:rPr>
                <w:spacing w:val="-1"/>
                <w:sz w:val="16"/>
              </w:rPr>
              <w:t> </w:t>
            </w:r>
            <w:r>
              <w:rPr>
                <w:sz w:val="16"/>
              </w:rPr>
              <w:t>Units</w:t>
            </w:r>
            <w:r>
              <w:rPr>
                <w:spacing w:val="-7"/>
                <w:sz w:val="16"/>
              </w:rPr>
              <w:t> </w:t>
            </w:r>
            <w:r>
              <w:rPr>
                <w:sz w:val="16"/>
              </w:rPr>
              <w:t>(NWAU)</w:t>
            </w:r>
            <w:r>
              <w:rPr>
                <w:spacing w:val="-5"/>
                <w:sz w:val="16"/>
              </w:rPr>
              <w:t> </w:t>
            </w:r>
            <w:r>
              <w:rPr>
                <w:sz w:val="16"/>
              </w:rPr>
              <w:t>(admitted</w:t>
            </w:r>
            <w:r>
              <w:rPr>
                <w:spacing w:val="-4"/>
                <w:sz w:val="16"/>
              </w:rPr>
              <w:t> </w:t>
            </w:r>
            <w:r>
              <w:rPr>
                <w:sz w:val="16"/>
              </w:rPr>
              <w:t>and</w:t>
            </w:r>
            <w:r>
              <w:rPr>
                <w:spacing w:val="-41"/>
                <w:sz w:val="16"/>
              </w:rPr>
              <w:t> </w:t>
            </w:r>
            <w:r>
              <w:rPr>
                <w:sz w:val="16"/>
              </w:rPr>
              <w:t>emergency care) per patient in the previous 12 months compared with the</w:t>
            </w:r>
            <w:r>
              <w:rPr>
                <w:spacing w:val="1"/>
                <w:sz w:val="16"/>
              </w:rPr>
              <w:t> </w:t>
            </w:r>
            <w:r>
              <w:rPr>
                <w:sz w:val="16"/>
              </w:rPr>
              <w:t>change</w:t>
            </w:r>
            <w:r>
              <w:rPr>
                <w:spacing w:val="1"/>
                <w:sz w:val="16"/>
              </w:rPr>
              <w:t> </w:t>
            </w:r>
            <w:r>
              <w:rPr>
                <w:sz w:val="16"/>
              </w:rPr>
              <w:t>for</w:t>
            </w:r>
            <w:r>
              <w:rPr>
                <w:spacing w:val="1"/>
                <w:sz w:val="16"/>
              </w:rPr>
              <w:t> </w:t>
            </w:r>
            <w:r>
              <w:rPr>
                <w:sz w:val="16"/>
              </w:rPr>
              <w:t>comparator</w:t>
            </w:r>
            <w:r>
              <w:rPr>
                <w:spacing w:val="-2"/>
                <w:sz w:val="16"/>
              </w:rPr>
              <w:t> </w:t>
            </w:r>
            <w:r>
              <w:rPr>
                <w:sz w:val="16"/>
              </w:rPr>
              <w:t>patients.</w:t>
            </w:r>
            <w:r>
              <w:rPr>
                <w:spacing w:val="-1"/>
                <w:sz w:val="16"/>
              </w:rPr>
              <w:t> </w:t>
            </w:r>
            <w:r>
              <w:rPr>
                <w:sz w:val="16"/>
              </w:rPr>
              <w:t>(See</w:t>
            </w:r>
            <w:r>
              <w:rPr>
                <w:spacing w:val="-1"/>
                <w:sz w:val="16"/>
              </w:rPr>
              <w:t> </w:t>
            </w:r>
            <w:r>
              <w:rPr>
                <w:sz w:val="16"/>
              </w:rPr>
              <w:t>Note</w:t>
            </w:r>
            <w:r>
              <w:rPr>
                <w:spacing w:val="2"/>
                <w:sz w:val="16"/>
              </w:rPr>
              <w:t> </w:t>
            </w:r>
            <w:r>
              <w:rPr>
                <w:sz w:val="16"/>
              </w:rPr>
              <w:t>2)</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spacing w:before="57"/>
              <w:ind w:left="100"/>
              <w:rPr>
                <w:rFonts w:ascii="Wingdings" w:hAnsi="Wingdings"/>
                <w:sz w:val="16"/>
              </w:rPr>
            </w:pPr>
            <w:r>
              <w:rPr>
                <w:rFonts w:ascii="Wingdings" w:hAnsi="Wingdings"/>
                <w:w w:val="100"/>
                <w:sz w:val="16"/>
              </w:rPr>
              <w:t></w:t>
            </w:r>
          </w:p>
        </w:tc>
      </w:tr>
      <w:tr>
        <w:trPr>
          <w:trHeight w:val="547"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238" w:hanging="567"/>
              <w:rPr>
                <w:sz w:val="16"/>
              </w:rPr>
            </w:pPr>
            <w:r>
              <w:rPr>
                <w:sz w:val="16"/>
              </w:rPr>
              <w:t>3.06.09 Proportion of patients admitted to a residential aged care facility compared</w:t>
            </w:r>
            <w:r>
              <w:rPr>
                <w:spacing w:val="-42"/>
                <w:sz w:val="16"/>
              </w:rPr>
              <w:t> </w:t>
            </w:r>
            <w:r>
              <w:rPr>
                <w:sz w:val="16"/>
              </w:rPr>
              <w:t>with</w:t>
            </w:r>
            <w:r>
              <w:rPr>
                <w:spacing w:val="-2"/>
                <w:sz w:val="16"/>
              </w:rPr>
              <w:t> </w:t>
            </w:r>
            <w:r>
              <w:rPr>
                <w:sz w:val="16"/>
              </w:rPr>
              <w:t>proportion for comparator</w:t>
            </w:r>
            <w:r>
              <w:rPr>
                <w:spacing w:val="-4"/>
                <w:sz w:val="16"/>
              </w:rPr>
              <w:t> </w:t>
            </w:r>
            <w:r>
              <w:rPr>
                <w:sz w:val="16"/>
              </w:rPr>
              <w:t>patients.</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spacing w:before="57"/>
              <w:ind w:left="100"/>
              <w:rPr>
                <w:rFonts w:ascii="Wingdings" w:hAnsi="Wingdings"/>
                <w:sz w:val="16"/>
              </w:rPr>
            </w:pPr>
            <w:r>
              <w:rPr>
                <w:rFonts w:ascii="Wingdings" w:hAnsi="Wingdings"/>
                <w:w w:val="100"/>
                <w:sz w:val="16"/>
              </w:rPr>
              <w:t></w:t>
            </w:r>
          </w:p>
        </w:tc>
      </w:tr>
      <w:tr>
        <w:trPr>
          <w:trHeight w:val="760"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142" w:hanging="567"/>
              <w:rPr>
                <w:sz w:val="16"/>
              </w:rPr>
            </w:pPr>
            <w:r>
              <w:rPr>
                <w:sz w:val="16"/>
              </w:rPr>
              <w:t>3.06.10 Mean/ median time for HCH patients admitted to a residential aged care</w:t>
            </w:r>
            <w:r>
              <w:rPr>
                <w:spacing w:val="1"/>
                <w:sz w:val="16"/>
              </w:rPr>
              <w:t> </w:t>
            </w:r>
            <w:r>
              <w:rPr>
                <w:sz w:val="16"/>
              </w:rPr>
              <w:t>facility compared with the mean/ median time for comparator patients (using</w:t>
            </w:r>
            <w:r>
              <w:rPr>
                <w:spacing w:val="-42"/>
                <w:sz w:val="16"/>
              </w:rPr>
              <w:t> </w:t>
            </w:r>
            <w:r>
              <w:rPr>
                <w:sz w:val="16"/>
              </w:rPr>
              <w:t>time-to-event</w:t>
            </w:r>
            <w:r>
              <w:rPr>
                <w:spacing w:val="-4"/>
                <w:sz w:val="16"/>
              </w:rPr>
              <w:t> </w:t>
            </w:r>
            <w:r>
              <w:rPr>
                <w:sz w:val="16"/>
              </w:rPr>
              <w:t>analysis).</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spacing w:before="57"/>
              <w:ind w:left="100"/>
              <w:rPr>
                <w:rFonts w:ascii="Wingdings" w:hAnsi="Wingdings"/>
                <w:sz w:val="16"/>
              </w:rPr>
            </w:pPr>
            <w:r>
              <w:rPr>
                <w:rFonts w:ascii="Wingdings" w:hAnsi="Wingdings"/>
                <w:w w:val="100"/>
                <w:sz w:val="16"/>
              </w:rPr>
              <w:t></w:t>
            </w:r>
          </w:p>
        </w:tc>
      </w:tr>
      <w:tr>
        <w:trPr>
          <w:trHeight w:val="1194" w:hRule="atLeast"/>
        </w:trPr>
        <w:tc>
          <w:tcPr>
            <w:tcW w:w="5809" w:type="dxa"/>
            <w:vMerge w:val="restart"/>
          </w:tcPr>
          <w:p>
            <w:pPr>
              <w:pStyle w:val="TableParagraph"/>
              <w:spacing w:line="264" w:lineRule="auto" w:before="57"/>
              <w:ind w:left="504" w:right="125" w:hanging="426"/>
              <w:rPr>
                <w:sz w:val="16"/>
              </w:rPr>
            </w:pPr>
            <w:r>
              <w:rPr>
                <w:sz w:val="16"/>
              </w:rPr>
              <w:t>3.07 Which patients benefited from the HCH program? Are the benefits</w:t>
            </w:r>
            <w:r>
              <w:rPr>
                <w:spacing w:val="1"/>
                <w:sz w:val="16"/>
              </w:rPr>
              <w:t> </w:t>
            </w:r>
            <w:r>
              <w:rPr>
                <w:sz w:val="16"/>
              </w:rPr>
              <w:t>of the HCH program similar for patients across categories of</w:t>
            </w:r>
            <w:r>
              <w:rPr>
                <w:spacing w:val="1"/>
                <w:sz w:val="16"/>
              </w:rPr>
              <w:t> </w:t>
            </w:r>
            <w:r>
              <w:rPr>
                <w:sz w:val="16"/>
              </w:rPr>
              <w:t>disadvantage? Was patient participation in the program</w:t>
            </w:r>
            <w:r>
              <w:rPr>
                <w:spacing w:val="1"/>
                <w:sz w:val="16"/>
              </w:rPr>
              <w:t> </w:t>
            </w:r>
            <w:r>
              <w:rPr>
                <w:sz w:val="16"/>
              </w:rPr>
              <w:t>maintained through the trial? Were movements of patients</w:t>
            </w:r>
            <w:r>
              <w:rPr>
                <w:spacing w:val="1"/>
                <w:sz w:val="16"/>
              </w:rPr>
              <w:t> </w:t>
            </w:r>
            <w:r>
              <w:rPr>
                <w:sz w:val="16"/>
              </w:rPr>
              <w:t>between risk tiers appropriate?</w:t>
            </w:r>
            <w:r>
              <w:rPr>
                <w:spacing w:val="1"/>
                <w:sz w:val="16"/>
              </w:rPr>
              <w:t> </w:t>
            </w:r>
            <w:r>
              <w:rPr>
                <w:sz w:val="16"/>
              </w:rPr>
              <w:t>What does this tell us about the</w:t>
            </w:r>
            <w:r>
              <w:rPr>
                <w:spacing w:val="1"/>
                <w:sz w:val="16"/>
              </w:rPr>
              <w:t> </w:t>
            </w:r>
            <w:r>
              <w:rPr>
                <w:sz w:val="16"/>
              </w:rPr>
              <w:t>potential of</w:t>
            </w:r>
            <w:r>
              <w:rPr>
                <w:spacing w:val="-2"/>
                <w:sz w:val="16"/>
              </w:rPr>
              <w:t> </w:t>
            </w:r>
            <w:r>
              <w:rPr>
                <w:sz w:val="16"/>
              </w:rPr>
              <w:t>the</w:t>
            </w:r>
            <w:r>
              <w:rPr>
                <w:spacing w:val="-1"/>
                <w:sz w:val="16"/>
              </w:rPr>
              <w:t> </w:t>
            </w:r>
            <w:r>
              <w:rPr>
                <w:sz w:val="16"/>
              </w:rPr>
              <w:t>HCH</w:t>
            </w:r>
            <w:r>
              <w:rPr>
                <w:spacing w:val="-3"/>
                <w:sz w:val="16"/>
              </w:rPr>
              <w:t> </w:t>
            </w:r>
            <w:r>
              <w:rPr>
                <w:sz w:val="16"/>
              </w:rPr>
              <w:t>program</w:t>
            </w:r>
            <w:r>
              <w:rPr>
                <w:spacing w:val="-2"/>
                <w:sz w:val="16"/>
              </w:rPr>
              <w:t> </w:t>
            </w:r>
            <w:r>
              <w:rPr>
                <w:sz w:val="16"/>
              </w:rPr>
              <w:t>to</w:t>
            </w:r>
            <w:r>
              <w:rPr>
                <w:spacing w:val="-2"/>
                <w:sz w:val="16"/>
              </w:rPr>
              <w:t> </w:t>
            </w:r>
            <w:r>
              <w:rPr>
                <w:sz w:val="16"/>
              </w:rPr>
              <w:t>improve</w:t>
            </w:r>
            <w:r>
              <w:rPr>
                <w:spacing w:val="-3"/>
                <w:sz w:val="16"/>
              </w:rPr>
              <w:t> </w:t>
            </w:r>
            <w:r>
              <w:rPr>
                <w:sz w:val="16"/>
              </w:rPr>
              <w:t>access</w:t>
            </w:r>
            <w:r>
              <w:rPr>
                <w:spacing w:val="-3"/>
                <w:sz w:val="16"/>
              </w:rPr>
              <w:t> </w:t>
            </w:r>
            <w:r>
              <w:rPr>
                <w:sz w:val="16"/>
              </w:rPr>
              <w:t>to</w:t>
            </w:r>
            <w:r>
              <w:rPr>
                <w:spacing w:val="-2"/>
                <w:sz w:val="16"/>
              </w:rPr>
              <w:t> </w:t>
            </w:r>
            <w:r>
              <w:rPr>
                <w:sz w:val="16"/>
              </w:rPr>
              <w:t>primary</w:t>
            </w:r>
            <w:r>
              <w:rPr>
                <w:spacing w:val="-3"/>
                <w:sz w:val="16"/>
              </w:rPr>
              <w:t> </w:t>
            </w:r>
            <w:r>
              <w:rPr>
                <w:sz w:val="16"/>
              </w:rPr>
              <w:t>health</w:t>
            </w:r>
            <w:r>
              <w:rPr>
                <w:spacing w:val="-42"/>
                <w:sz w:val="16"/>
              </w:rPr>
              <w:t> </w:t>
            </w:r>
            <w:r>
              <w:rPr>
                <w:sz w:val="16"/>
              </w:rPr>
              <w:t>care, particularly for vulnerable and disadvantaged populations,</w:t>
            </w:r>
            <w:r>
              <w:rPr>
                <w:spacing w:val="1"/>
                <w:sz w:val="16"/>
              </w:rPr>
              <w:t> </w:t>
            </w:r>
            <w:r>
              <w:rPr>
                <w:sz w:val="16"/>
              </w:rPr>
              <w:t>and</w:t>
            </w:r>
            <w:r>
              <w:rPr>
                <w:spacing w:val="-3"/>
                <w:sz w:val="16"/>
              </w:rPr>
              <w:t> </w:t>
            </w:r>
            <w:r>
              <w:rPr>
                <w:sz w:val="16"/>
              </w:rPr>
              <w:t>improved</w:t>
            </w:r>
            <w:r>
              <w:rPr>
                <w:spacing w:val="-1"/>
                <w:sz w:val="16"/>
              </w:rPr>
              <w:t> </w:t>
            </w:r>
            <w:r>
              <w:rPr>
                <w:sz w:val="16"/>
              </w:rPr>
              <w:t>equity</w:t>
            </w:r>
            <w:r>
              <w:rPr>
                <w:spacing w:val="-4"/>
                <w:sz w:val="16"/>
              </w:rPr>
              <w:t> </w:t>
            </w:r>
            <w:r>
              <w:rPr>
                <w:sz w:val="16"/>
              </w:rPr>
              <w:t>in</w:t>
            </w:r>
            <w:r>
              <w:rPr>
                <w:spacing w:val="-1"/>
                <w:sz w:val="16"/>
              </w:rPr>
              <w:t> </w:t>
            </w:r>
            <w:r>
              <w:rPr>
                <w:sz w:val="16"/>
              </w:rPr>
              <w:t>health</w:t>
            </w:r>
            <w:r>
              <w:rPr>
                <w:spacing w:val="-4"/>
                <w:sz w:val="16"/>
              </w:rPr>
              <w:t> </w:t>
            </w:r>
            <w:r>
              <w:rPr>
                <w:sz w:val="16"/>
              </w:rPr>
              <w:t>outcomes?</w:t>
            </w:r>
          </w:p>
        </w:tc>
        <w:tc>
          <w:tcPr>
            <w:tcW w:w="6853" w:type="dxa"/>
          </w:tcPr>
          <w:p>
            <w:pPr>
              <w:pStyle w:val="TableParagraph"/>
              <w:spacing w:line="264" w:lineRule="auto" w:before="57"/>
              <w:ind w:left="647" w:right="90" w:hanging="567"/>
              <w:rPr>
                <w:sz w:val="16"/>
              </w:rPr>
            </w:pPr>
            <w:r>
              <w:rPr>
                <w:sz w:val="16"/>
              </w:rPr>
              <w:t>3.07.01 Multiple: Comparison of patient level outcomes (each of the indicators)</w:t>
            </w:r>
            <w:r>
              <w:rPr>
                <w:spacing w:val="1"/>
                <w:sz w:val="16"/>
              </w:rPr>
              <w:t> </w:t>
            </w:r>
            <w:r>
              <w:rPr>
                <w:sz w:val="16"/>
              </w:rPr>
              <w:t>compared across selected patient characteristics including: remoteness area</w:t>
            </w:r>
            <w:r>
              <w:rPr>
                <w:spacing w:val="1"/>
                <w:sz w:val="16"/>
              </w:rPr>
              <w:t> </w:t>
            </w:r>
            <w:r>
              <w:rPr>
                <w:sz w:val="16"/>
              </w:rPr>
              <w:t>of residence, Indigenous status, selected cultural and linguistic diversity (CALD)</w:t>
            </w:r>
            <w:r>
              <w:rPr>
                <w:spacing w:val="-42"/>
                <w:sz w:val="16"/>
              </w:rPr>
              <w:t> </w:t>
            </w:r>
            <w:r>
              <w:rPr>
                <w:sz w:val="16"/>
              </w:rPr>
              <w:t>categories, categories of risk, including assessment of implications for equity in</w:t>
            </w:r>
            <w:r>
              <w:rPr>
                <w:spacing w:val="1"/>
                <w:sz w:val="16"/>
              </w:rPr>
              <w:t> </w:t>
            </w:r>
            <w:r>
              <w:rPr>
                <w:sz w:val="16"/>
              </w:rPr>
              <w:t>access</w:t>
            </w:r>
            <w:r>
              <w:rPr>
                <w:spacing w:val="-3"/>
                <w:sz w:val="16"/>
              </w:rPr>
              <w:t> </w:t>
            </w:r>
            <w:r>
              <w:rPr>
                <w:sz w:val="16"/>
              </w:rPr>
              <w:t>and</w:t>
            </w:r>
            <w:r>
              <w:rPr>
                <w:spacing w:val="-1"/>
                <w:sz w:val="16"/>
              </w:rPr>
              <w:t> </w:t>
            </w:r>
            <w:r>
              <w:rPr>
                <w:sz w:val="16"/>
              </w:rPr>
              <w:t>outcomes.</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57"/>
              <w:ind w:left="100"/>
              <w:rPr>
                <w:rFonts w:ascii="Wingdings" w:hAnsi="Wingdings"/>
                <w:sz w:val="16"/>
              </w:rPr>
            </w:pPr>
            <w:r>
              <w:rPr>
                <w:rFonts w:ascii="Wingdings" w:hAnsi="Wingdings"/>
                <w:w w:val="100"/>
                <w:sz w:val="16"/>
              </w:rPr>
              <w:t></w:t>
            </w:r>
          </w:p>
        </w:tc>
        <w:tc>
          <w:tcPr>
            <w:tcW w:w="326" w:type="dxa"/>
          </w:tcPr>
          <w:p>
            <w:pPr>
              <w:pStyle w:val="TableParagraph"/>
              <w:spacing w:before="57"/>
              <w:ind w:left="100"/>
              <w:rPr>
                <w:rFonts w:ascii="Wingdings" w:hAnsi="Wingdings"/>
                <w:sz w:val="16"/>
              </w:rPr>
            </w:pPr>
            <w:r>
              <w:rPr>
                <w:rFonts w:ascii="Wingdings" w:hAnsi="Wingdings"/>
                <w:w w:val="100"/>
                <w:sz w:val="16"/>
              </w:rPr>
              <w:t></w:t>
            </w:r>
          </w:p>
        </w:tc>
      </w:tr>
      <w:tr>
        <w:trPr>
          <w:trHeight w:val="636" w:hRule="atLeast"/>
        </w:trPr>
        <w:tc>
          <w:tcPr>
            <w:tcW w:w="5809" w:type="dxa"/>
            <w:vMerge/>
            <w:tcBorders>
              <w:top w:val="nil"/>
            </w:tcBorders>
          </w:tcPr>
          <w:p>
            <w:pPr>
              <w:rPr>
                <w:sz w:val="2"/>
                <w:szCs w:val="2"/>
              </w:rPr>
            </w:pPr>
          </w:p>
        </w:tc>
        <w:tc>
          <w:tcPr>
            <w:tcW w:w="6853" w:type="dxa"/>
          </w:tcPr>
          <w:p>
            <w:pPr>
              <w:pStyle w:val="TableParagraph"/>
              <w:spacing w:line="261" w:lineRule="auto" w:before="57"/>
              <w:ind w:left="647" w:right="578" w:hanging="567"/>
              <w:rPr>
                <w:sz w:val="16"/>
              </w:rPr>
            </w:pPr>
            <w:r>
              <w:rPr>
                <w:sz w:val="16"/>
              </w:rPr>
              <w:t>3.07.02 Proportion of patients who leave the program categorised by reason for</w:t>
            </w:r>
            <w:r>
              <w:rPr>
                <w:spacing w:val="-42"/>
                <w:sz w:val="16"/>
              </w:rPr>
              <w:t> </w:t>
            </w:r>
            <w:r>
              <w:rPr>
                <w:sz w:val="16"/>
              </w:rPr>
              <w:t>leaving.</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spacing w:before="57"/>
              <w:ind w:left="100"/>
              <w:rPr>
                <w:rFonts w:ascii="Wingdings" w:hAnsi="Wingdings"/>
                <w:sz w:val="16"/>
              </w:rPr>
            </w:pPr>
            <w:r>
              <w:rPr>
                <w:rFonts w:ascii="Wingdings" w:hAnsi="Wingdings"/>
                <w:w w:val="100"/>
                <w:sz w:val="16"/>
              </w:rPr>
              <w:t></w:t>
            </w:r>
          </w:p>
        </w:tc>
        <w:tc>
          <w:tcPr>
            <w:tcW w:w="326" w:type="dxa"/>
          </w:tcPr>
          <w:p>
            <w:pPr>
              <w:pStyle w:val="TableParagraph"/>
              <w:rPr>
                <w:rFonts w:ascii="Times New Roman"/>
                <w:sz w:val="16"/>
              </w:rPr>
            </w:pPr>
          </w:p>
        </w:tc>
      </w:tr>
      <w:tr>
        <w:trPr>
          <w:trHeight w:val="1410" w:hRule="atLeast"/>
        </w:trPr>
        <w:tc>
          <w:tcPr>
            <w:tcW w:w="5809" w:type="dxa"/>
          </w:tcPr>
          <w:p>
            <w:pPr>
              <w:pStyle w:val="TableParagraph"/>
              <w:spacing w:line="264" w:lineRule="auto" w:before="57"/>
              <w:ind w:left="504" w:right="146" w:hanging="426"/>
              <w:rPr>
                <w:sz w:val="16"/>
              </w:rPr>
            </w:pPr>
            <w:r>
              <w:rPr>
                <w:sz w:val="16"/>
              </w:rPr>
              <w:t>3.08</w:t>
            </w:r>
            <w:r>
              <w:rPr>
                <w:spacing w:val="-2"/>
                <w:sz w:val="16"/>
              </w:rPr>
              <w:t> </w:t>
            </w:r>
            <w:r>
              <w:rPr>
                <w:sz w:val="16"/>
              </w:rPr>
              <w:t>What</w:t>
            </w:r>
            <w:r>
              <w:rPr>
                <w:spacing w:val="-2"/>
                <w:sz w:val="16"/>
              </w:rPr>
              <w:t> </w:t>
            </w:r>
            <w:r>
              <w:rPr>
                <w:sz w:val="16"/>
              </w:rPr>
              <w:t>preliminary</w:t>
            </w:r>
            <w:r>
              <w:rPr>
                <w:spacing w:val="-2"/>
                <w:sz w:val="16"/>
              </w:rPr>
              <w:t> </w:t>
            </w:r>
            <w:r>
              <w:rPr>
                <w:sz w:val="16"/>
              </w:rPr>
              <w:t>evidence</w:t>
            </w:r>
            <w:r>
              <w:rPr>
                <w:spacing w:val="-4"/>
                <w:sz w:val="16"/>
              </w:rPr>
              <w:t> </w:t>
            </w:r>
            <w:r>
              <w:rPr>
                <w:sz w:val="16"/>
              </w:rPr>
              <w:t>is</w:t>
            </w:r>
            <w:r>
              <w:rPr>
                <w:spacing w:val="-4"/>
                <w:sz w:val="16"/>
              </w:rPr>
              <w:t> </w:t>
            </w:r>
            <w:r>
              <w:rPr>
                <w:sz w:val="16"/>
              </w:rPr>
              <w:t>there</w:t>
            </w:r>
            <w:r>
              <w:rPr>
                <w:spacing w:val="-2"/>
                <w:sz w:val="16"/>
              </w:rPr>
              <w:t> </w:t>
            </w:r>
            <w:r>
              <w:rPr>
                <w:sz w:val="16"/>
              </w:rPr>
              <w:t>of the</w:t>
            </w:r>
            <w:r>
              <w:rPr>
                <w:spacing w:val="-2"/>
                <w:sz w:val="16"/>
              </w:rPr>
              <w:t> </w:t>
            </w:r>
            <w:r>
              <w:rPr>
                <w:sz w:val="16"/>
              </w:rPr>
              <w:t>impact</w:t>
            </w:r>
            <w:r>
              <w:rPr>
                <w:spacing w:val="-4"/>
                <w:sz w:val="16"/>
              </w:rPr>
              <w:t> </w:t>
            </w:r>
            <w:r>
              <w:rPr>
                <w:sz w:val="16"/>
              </w:rPr>
              <w:t>of</w:t>
            </w:r>
            <w:r>
              <w:rPr>
                <w:spacing w:val="-1"/>
                <w:sz w:val="16"/>
              </w:rPr>
              <w:t> </w:t>
            </w:r>
            <w:r>
              <w:rPr>
                <w:sz w:val="16"/>
              </w:rPr>
              <w:t>the</w:t>
            </w:r>
            <w:r>
              <w:rPr>
                <w:spacing w:val="-2"/>
                <w:sz w:val="16"/>
              </w:rPr>
              <w:t> </w:t>
            </w:r>
            <w:r>
              <w:rPr>
                <w:sz w:val="16"/>
              </w:rPr>
              <w:t>HCH</w:t>
            </w:r>
            <w:r>
              <w:rPr>
                <w:spacing w:val="-41"/>
                <w:sz w:val="16"/>
              </w:rPr>
              <w:t> </w:t>
            </w:r>
            <w:r>
              <w:rPr>
                <w:sz w:val="16"/>
              </w:rPr>
              <w:t>program</w:t>
            </w:r>
            <w:r>
              <w:rPr>
                <w:spacing w:val="-2"/>
                <w:sz w:val="16"/>
              </w:rPr>
              <w:t> </w:t>
            </w:r>
            <w:r>
              <w:rPr>
                <w:sz w:val="16"/>
              </w:rPr>
              <w:t>on</w:t>
            </w:r>
            <w:r>
              <w:rPr>
                <w:spacing w:val="-1"/>
                <w:sz w:val="16"/>
              </w:rPr>
              <w:t> </w:t>
            </w:r>
            <w:r>
              <w:rPr>
                <w:sz w:val="16"/>
              </w:rPr>
              <w:t>health</w:t>
            </w:r>
            <w:r>
              <w:rPr>
                <w:spacing w:val="-1"/>
                <w:sz w:val="16"/>
              </w:rPr>
              <w:t> </w:t>
            </w:r>
            <w:r>
              <w:rPr>
                <w:sz w:val="16"/>
              </w:rPr>
              <w:t>outcomes?</w:t>
            </w:r>
          </w:p>
        </w:tc>
        <w:tc>
          <w:tcPr>
            <w:tcW w:w="6853" w:type="dxa"/>
          </w:tcPr>
          <w:p>
            <w:pPr>
              <w:pStyle w:val="TableParagraph"/>
              <w:spacing w:line="264" w:lineRule="auto" w:before="57"/>
              <w:ind w:left="647" w:right="145" w:hanging="567"/>
              <w:rPr>
                <w:sz w:val="16"/>
              </w:rPr>
            </w:pPr>
            <w:r>
              <w:rPr>
                <w:sz w:val="16"/>
              </w:rPr>
              <w:t>3.08.01 Change in the proportion of HCH patients with a diagnosis of Type 2 diabetes</w:t>
            </w:r>
            <w:r>
              <w:rPr>
                <w:spacing w:val="-42"/>
                <w:sz w:val="16"/>
              </w:rPr>
              <w:t> </w:t>
            </w:r>
            <w:r>
              <w:rPr>
                <w:sz w:val="16"/>
              </w:rPr>
              <w:t>recorded in the practice system/inferred from other practice system data,</w:t>
            </w:r>
            <w:r>
              <w:rPr>
                <w:spacing w:val="1"/>
                <w:sz w:val="16"/>
              </w:rPr>
              <w:t> </w:t>
            </w:r>
            <w:r>
              <w:rPr>
                <w:sz w:val="16"/>
              </w:rPr>
              <w:t>whose last HbA1c measurement result was within specified levels (less than or</w:t>
            </w:r>
            <w:r>
              <w:rPr>
                <w:spacing w:val="1"/>
                <w:sz w:val="16"/>
              </w:rPr>
              <w:t> </w:t>
            </w:r>
            <w:r>
              <w:rPr>
                <w:sz w:val="16"/>
              </w:rPr>
              <w:t>equal to 7%; greater than 7% but less than or equal to 8%; greater than 8% but</w:t>
            </w:r>
            <w:r>
              <w:rPr>
                <w:spacing w:val="-42"/>
                <w:sz w:val="16"/>
              </w:rPr>
              <w:t> </w:t>
            </w:r>
            <w:r>
              <w:rPr>
                <w:sz w:val="16"/>
              </w:rPr>
              <w:t>less than 10%; greater than or equal to 10%), compared with the change for</w:t>
            </w:r>
            <w:r>
              <w:rPr>
                <w:spacing w:val="1"/>
                <w:sz w:val="16"/>
              </w:rPr>
              <w:t> </w:t>
            </w:r>
            <w:r>
              <w:rPr>
                <w:sz w:val="16"/>
              </w:rPr>
              <w:t>comparator</w:t>
            </w:r>
            <w:r>
              <w:rPr>
                <w:spacing w:val="-3"/>
                <w:sz w:val="16"/>
              </w:rPr>
              <w:t> </w:t>
            </w:r>
            <w:r>
              <w:rPr>
                <w:sz w:val="16"/>
              </w:rPr>
              <w:t>patients.</w:t>
            </w:r>
            <w:r>
              <w:rPr>
                <w:spacing w:val="1"/>
                <w:sz w:val="16"/>
              </w:rPr>
              <w:t> </w:t>
            </w:r>
            <w:r>
              <w:rPr>
                <w:sz w:val="16"/>
              </w:rPr>
              <w:t>(See</w:t>
            </w:r>
            <w:r>
              <w:rPr>
                <w:spacing w:val="-3"/>
                <w:sz w:val="16"/>
              </w:rPr>
              <w:t> </w:t>
            </w:r>
            <w:r>
              <w:rPr>
                <w:sz w:val="16"/>
              </w:rPr>
              <w:t>Note</w:t>
            </w:r>
            <w:r>
              <w:rPr>
                <w:spacing w:val="2"/>
                <w:sz w:val="16"/>
              </w:rPr>
              <w:t> </w:t>
            </w:r>
            <w:r>
              <w:rPr>
                <w:sz w:val="16"/>
              </w:rPr>
              <w:t>1)</w:t>
            </w:r>
            <w:r>
              <w:rPr>
                <w:spacing w:val="-3"/>
                <w:sz w:val="16"/>
              </w:rPr>
              <w:t> </w:t>
            </w:r>
            <w:r>
              <w:rPr>
                <w:sz w:val="16"/>
              </w:rPr>
              <w:t>(See</w:t>
            </w:r>
            <w:r>
              <w:rPr>
                <w:spacing w:val="-1"/>
                <w:sz w:val="16"/>
              </w:rPr>
              <w:t> </w:t>
            </w:r>
            <w:r>
              <w:rPr>
                <w:sz w:val="16"/>
              </w:rPr>
              <w:t>Note</w:t>
            </w:r>
            <w:r>
              <w:rPr>
                <w:spacing w:val="-1"/>
                <w:sz w:val="16"/>
              </w:rPr>
              <w:t> </w:t>
            </w:r>
            <w:r>
              <w:rPr>
                <w:sz w:val="16"/>
              </w:rPr>
              <w:t>2)</w:t>
            </w:r>
          </w:p>
        </w:tc>
        <w:tc>
          <w:tcPr>
            <w:tcW w:w="324" w:type="dxa"/>
          </w:tcPr>
          <w:p>
            <w:pPr>
              <w:pStyle w:val="TableParagraph"/>
              <w:rPr>
                <w:rFonts w:ascii="Times New Roman"/>
                <w:sz w:val="16"/>
              </w:rPr>
            </w:pP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spacing w:before="57"/>
              <w:ind w:left="100"/>
              <w:rPr>
                <w:rFonts w:ascii="Wingdings" w:hAnsi="Wingdings"/>
                <w:sz w:val="16"/>
              </w:rPr>
            </w:pPr>
            <w:r>
              <w:rPr>
                <w:rFonts w:ascii="Wingdings" w:hAnsi="Wingdings"/>
                <w:w w:val="100"/>
                <w:sz w:val="16"/>
              </w:rPr>
              <w:t></w:t>
            </w:r>
          </w:p>
        </w:tc>
      </w:tr>
    </w:tbl>
    <w:p>
      <w:pPr>
        <w:spacing w:after="0"/>
        <w:rPr>
          <w:rFonts w:ascii="Wingdings" w:hAnsi="Wingdings"/>
          <w:sz w:val="16"/>
        </w:rPr>
        <w:sectPr>
          <w:pgSz w:w="16840" w:h="11910" w:orient="landscape"/>
          <w:pgMar w:header="0" w:footer="676" w:top="1100" w:bottom="860" w:left="1340" w:right="980"/>
        </w:sectPr>
      </w:pPr>
    </w:p>
    <w:p>
      <w:pPr>
        <w:pStyle w:val="BodyText"/>
        <w:spacing w:before="2" w:after="1"/>
        <w:rPr>
          <w:b/>
          <w:sz w:val="27"/>
        </w:rPr>
      </w:pPr>
    </w:p>
    <w:tbl>
      <w:tblPr>
        <w:tblW w:w="0" w:type="auto"/>
        <w:jc w:val="left"/>
        <w:tblInd w:w="11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5809"/>
        <w:gridCol w:w="6853"/>
        <w:gridCol w:w="324"/>
        <w:gridCol w:w="327"/>
        <w:gridCol w:w="324"/>
        <w:gridCol w:w="324"/>
        <w:gridCol w:w="326"/>
      </w:tblGrid>
      <w:tr>
        <w:trPr>
          <w:trHeight w:val="1509" w:hRule="atLeast"/>
        </w:trPr>
        <w:tc>
          <w:tcPr>
            <w:tcW w:w="5809" w:type="dxa"/>
            <w:tcBorders>
              <w:top w:val="nil"/>
            </w:tcBorders>
            <w:shd w:val="clear" w:color="auto" w:fill="003C79"/>
          </w:tcPr>
          <w:p>
            <w:pPr>
              <w:pStyle w:val="TableParagraph"/>
              <w:rPr>
                <w:b/>
                <w:sz w:val="20"/>
              </w:rPr>
            </w:pPr>
          </w:p>
          <w:p>
            <w:pPr>
              <w:pStyle w:val="TableParagraph"/>
              <w:rPr>
                <w:b/>
                <w:sz w:val="20"/>
              </w:rPr>
            </w:pPr>
          </w:p>
          <w:p>
            <w:pPr>
              <w:pStyle w:val="TableParagraph"/>
              <w:spacing w:before="164"/>
              <w:ind w:left="1579"/>
              <w:rPr>
                <w:b/>
                <w:sz w:val="16"/>
              </w:rPr>
            </w:pPr>
            <w:r>
              <w:rPr>
                <w:b/>
                <w:color w:val="FFFFFF"/>
                <w:sz w:val="16"/>
              </w:rPr>
              <w:t>Key</w:t>
            </w:r>
            <w:r>
              <w:rPr>
                <w:b/>
                <w:color w:val="FFFFFF"/>
                <w:spacing w:val="-4"/>
                <w:sz w:val="16"/>
              </w:rPr>
              <w:t> </w:t>
            </w:r>
            <w:r>
              <w:rPr>
                <w:b/>
                <w:color w:val="FFFFFF"/>
                <w:sz w:val="16"/>
              </w:rPr>
              <w:t>question</w:t>
            </w:r>
            <w:r>
              <w:rPr>
                <w:b/>
                <w:color w:val="FFFFFF"/>
                <w:spacing w:val="-5"/>
                <w:sz w:val="16"/>
              </w:rPr>
              <w:t> </w:t>
            </w:r>
            <w:r>
              <w:rPr>
                <w:b/>
                <w:color w:val="FFFFFF"/>
                <w:sz w:val="16"/>
              </w:rPr>
              <w:t>3:</w:t>
            </w:r>
            <w:r>
              <w:rPr>
                <w:b/>
                <w:color w:val="FFFFFF"/>
                <w:spacing w:val="-2"/>
                <w:sz w:val="16"/>
              </w:rPr>
              <w:t> </w:t>
            </w:r>
            <w:r>
              <w:rPr>
                <w:b/>
                <w:color w:val="FFFFFF"/>
                <w:sz w:val="16"/>
              </w:rPr>
              <w:t>Detailed</w:t>
            </w:r>
            <w:r>
              <w:rPr>
                <w:b/>
                <w:color w:val="FFFFFF"/>
                <w:spacing w:val="-2"/>
                <w:sz w:val="16"/>
              </w:rPr>
              <w:t> </w:t>
            </w:r>
            <w:r>
              <w:rPr>
                <w:b/>
                <w:color w:val="FFFFFF"/>
                <w:sz w:val="16"/>
              </w:rPr>
              <w:t>questions</w:t>
            </w:r>
          </w:p>
        </w:tc>
        <w:tc>
          <w:tcPr>
            <w:tcW w:w="6853" w:type="dxa"/>
            <w:tcBorders>
              <w:top w:val="nil"/>
            </w:tcBorders>
            <w:shd w:val="clear" w:color="auto" w:fill="003C79"/>
          </w:tcPr>
          <w:p>
            <w:pPr>
              <w:pStyle w:val="TableParagraph"/>
              <w:rPr>
                <w:b/>
                <w:sz w:val="20"/>
              </w:rPr>
            </w:pPr>
          </w:p>
          <w:p>
            <w:pPr>
              <w:pStyle w:val="TableParagraph"/>
              <w:rPr>
                <w:b/>
                <w:sz w:val="20"/>
              </w:rPr>
            </w:pPr>
          </w:p>
          <w:p>
            <w:pPr>
              <w:pStyle w:val="TableParagraph"/>
              <w:spacing w:before="164"/>
              <w:ind w:left="2424" w:right="2419"/>
              <w:jc w:val="center"/>
              <w:rPr>
                <w:b/>
                <w:sz w:val="16"/>
              </w:rPr>
            </w:pPr>
            <w:r>
              <w:rPr>
                <w:b/>
                <w:color w:val="FFFFFF"/>
                <w:sz w:val="16"/>
              </w:rPr>
              <w:t>Key</w:t>
            </w:r>
            <w:r>
              <w:rPr>
                <w:b/>
                <w:color w:val="FFFFFF"/>
                <w:spacing w:val="-4"/>
                <w:sz w:val="16"/>
              </w:rPr>
              <w:t> </w:t>
            </w:r>
            <w:r>
              <w:rPr>
                <w:b/>
                <w:color w:val="FFFFFF"/>
                <w:sz w:val="16"/>
              </w:rPr>
              <w:t>question</w:t>
            </w:r>
            <w:r>
              <w:rPr>
                <w:b/>
                <w:color w:val="FFFFFF"/>
                <w:spacing w:val="-4"/>
                <w:sz w:val="16"/>
              </w:rPr>
              <w:t> </w:t>
            </w:r>
            <w:r>
              <w:rPr>
                <w:b/>
                <w:color w:val="FFFFFF"/>
                <w:sz w:val="16"/>
              </w:rPr>
              <w:t>3:</w:t>
            </w:r>
            <w:r>
              <w:rPr>
                <w:b/>
                <w:color w:val="FFFFFF"/>
                <w:spacing w:val="-3"/>
                <w:sz w:val="16"/>
              </w:rPr>
              <w:t> </w:t>
            </w:r>
            <w:r>
              <w:rPr>
                <w:b/>
                <w:color w:val="FFFFFF"/>
                <w:sz w:val="16"/>
              </w:rPr>
              <w:t>Measures</w:t>
            </w:r>
          </w:p>
        </w:tc>
        <w:tc>
          <w:tcPr>
            <w:tcW w:w="324" w:type="dxa"/>
            <w:tcBorders>
              <w:top w:val="nil"/>
            </w:tcBorders>
            <w:shd w:val="clear" w:color="auto" w:fill="003C79"/>
            <w:textDirection w:val="btLr"/>
          </w:tcPr>
          <w:p>
            <w:pPr>
              <w:pStyle w:val="TableParagraph"/>
              <w:spacing w:before="57"/>
              <w:ind w:left="503" w:right="504"/>
              <w:jc w:val="center"/>
              <w:rPr>
                <w:b/>
                <w:sz w:val="16"/>
              </w:rPr>
            </w:pPr>
            <w:r>
              <w:rPr>
                <w:b/>
                <w:color w:val="FFFFFF"/>
                <w:sz w:val="16"/>
              </w:rPr>
              <w:t>Inputs</w:t>
            </w:r>
          </w:p>
        </w:tc>
        <w:tc>
          <w:tcPr>
            <w:tcW w:w="327" w:type="dxa"/>
            <w:tcBorders>
              <w:top w:val="nil"/>
            </w:tcBorders>
            <w:shd w:val="clear" w:color="auto" w:fill="003C79"/>
            <w:textDirection w:val="btLr"/>
          </w:tcPr>
          <w:p>
            <w:pPr>
              <w:pStyle w:val="TableParagraph"/>
              <w:spacing w:before="59"/>
              <w:ind w:left="407"/>
              <w:rPr>
                <w:b/>
                <w:sz w:val="16"/>
              </w:rPr>
            </w:pPr>
            <w:r>
              <w:rPr>
                <w:b/>
                <w:color w:val="FFFFFF"/>
                <w:sz w:val="16"/>
              </w:rPr>
              <w:t>Activities</w:t>
            </w:r>
          </w:p>
        </w:tc>
        <w:tc>
          <w:tcPr>
            <w:tcW w:w="324" w:type="dxa"/>
            <w:tcBorders>
              <w:top w:val="nil"/>
            </w:tcBorders>
            <w:shd w:val="clear" w:color="auto" w:fill="003C79"/>
            <w:textDirection w:val="btLr"/>
          </w:tcPr>
          <w:p>
            <w:pPr>
              <w:pStyle w:val="TableParagraph"/>
              <w:spacing w:before="57"/>
              <w:ind w:left="455"/>
              <w:rPr>
                <w:b/>
                <w:sz w:val="16"/>
              </w:rPr>
            </w:pPr>
            <w:r>
              <w:rPr>
                <w:b/>
                <w:color w:val="FFFFFF"/>
                <w:sz w:val="16"/>
              </w:rPr>
              <w:t>Outputs</w:t>
            </w:r>
          </w:p>
        </w:tc>
        <w:tc>
          <w:tcPr>
            <w:tcW w:w="324" w:type="dxa"/>
            <w:tcBorders>
              <w:top w:val="nil"/>
            </w:tcBorders>
            <w:shd w:val="clear" w:color="auto" w:fill="003C79"/>
            <w:textDirection w:val="btLr"/>
          </w:tcPr>
          <w:p>
            <w:pPr>
              <w:pStyle w:val="TableParagraph"/>
              <w:spacing w:before="57"/>
              <w:ind w:left="254"/>
              <w:rPr>
                <w:b/>
                <w:sz w:val="16"/>
              </w:rPr>
            </w:pPr>
            <w:r>
              <w:rPr>
                <w:b/>
                <w:color w:val="FFFFFF"/>
                <w:sz w:val="16"/>
              </w:rPr>
              <w:t>Outcomes</w:t>
            </w:r>
            <w:r>
              <w:rPr>
                <w:b/>
                <w:color w:val="FFFFFF"/>
                <w:spacing w:val="-2"/>
                <w:sz w:val="16"/>
              </w:rPr>
              <w:t> </w:t>
            </w:r>
            <w:r>
              <w:rPr>
                <w:b/>
                <w:color w:val="FFFFFF"/>
                <w:sz w:val="16"/>
              </w:rPr>
              <w:t>ST</w:t>
            </w:r>
          </w:p>
        </w:tc>
        <w:tc>
          <w:tcPr>
            <w:tcW w:w="326" w:type="dxa"/>
            <w:tcBorders>
              <w:top w:val="nil"/>
            </w:tcBorders>
            <w:shd w:val="clear" w:color="auto" w:fill="003C79"/>
            <w:textDirection w:val="btLr"/>
          </w:tcPr>
          <w:p>
            <w:pPr>
              <w:pStyle w:val="TableParagraph"/>
              <w:spacing w:before="59"/>
              <w:ind w:left="222"/>
              <w:rPr>
                <w:b/>
                <w:sz w:val="16"/>
              </w:rPr>
            </w:pPr>
            <w:r>
              <w:rPr>
                <w:b/>
                <w:color w:val="FFFFFF"/>
                <w:sz w:val="16"/>
              </w:rPr>
              <w:t>Outcomes</w:t>
            </w:r>
            <w:r>
              <w:rPr>
                <w:b/>
                <w:color w:val="FFFFFF"/>
                <w:spacing w:val="-1"/>
                <w:sz w:val="16"/>
              </w:rPr>
              <w:t> </w:t>
            </w:r>
            <w:r>
              <w:rPr>
                <w:b/>
                <w:color w:val="FFFFFF"/>
                <w:sz w:val="16"/>
              </w:rPr>
              <w:t>MT</w:t>
            </w:r>
          </w:p>
        </w:tc>
      </w:tr>
      <w:tr>
        <w:trPr>
          <w:trHeight w:val="1841" w:hRule="atLeast"/>
        </w:trPr>
        <w:tc>
          <w:tcPr>
            <w:tcW w:w="5809" w:type="dxa"/>
            <w:vMerge w:val="restart"/>
          </w:tcPr>
          <w:p>
            <w:pPr>
              <w:pStyle w:val="TableParagraph"/>
              <w:rPr>
                <w:rFonts w:ascii="Times New Roman"/>
                <w:sz w:val="14"/>
              </w:rPr>
            </w:pPr>
          </w:p>
        </w:tc>
        <w:tc>
          <w:tcPr>
            <w:tcW w:w="6853" w:type="dxa"/>
          </w:tcPr>
          <w:p>
            <w:pPr>
              <w:pStyle w:val="TableParagraph"/>
              <w:spacing w:line="264" w:lineRule="auto" w:before="57"/>
              <w:ind w:left="647" w:right="105" w:hanging="567"/>
              <w:rPr>
                <w:sz w:val="16"/>
              </w:rPr>
            </w:pPr>
            <w:r>
              <w:rPr>
                <w:sz w:val="16"/>
              </w:rPr>
              <w:t>3.08.02 Change in the proportion of HCH patients with a diagnosis of Type 2 diabetes</w:t>
            </w:r>
            <w:r>
              <w:rPr>
                <w:spacing w:val="1"/>
                <w:sz w:val="16"/>
              </w:rPr>
              <w:t> </w:t>
            </w:r>
            <w:r>
              <w:rPr>
                <w:sz w:val="16"/>
              </w:rPr>
              <w:t>or cardiovascular disease recorded in the practice system/inferred from other</w:t>
            </w:r>
            <w:r>
              <w:rPr>
                <w:spacing w:val="1"/>
                <w:sz w:val="16"/>
              </w:rPr>
              <w:t> </w:t>
            </w:r>
            <w:r>
              <w:rPr>
                <w:sz w:val="16"/>
              </w:rPr>
              <w:t>practice system data, who had a kidney function test within the last 12 months</w:t>
            </w:r>
            <w:r>
              <w:rPr>
                <w:spacing w:val="-42"/>
                <w:sz w:val="16"/>
              </w:rPr>
              <w:t> </w:t>
            </w:r>
            <w:r>
              <w:rPr>
                <w:sz w:val="16"/>
              </w:rPr>
              <w:t>and an eGFR result recorded, with results within specified levels (greater than</w:t>
            </w:r>
            <w:r>
              <w:rPr>
                <w:spacing w:val="1"/>
                <w:sz w:val="16"/>
              </w:rPr>
              <w:t> </w:t>
            </w:r>
            <w:r>
              <w:rPr>
                <w:sz w:val="16"/>
              </w:rPr>
              <w:t>or equal to 90; greater than or equal to 60 but less than 90; greater than or</w:t>
            </w:r>
            <w:r>
              <w:rPr>
                <w:spacing w:val="1"/>
                <w:sz w:val="16"/>
              </w:rPr>
              <w:t> </w:t>
            </w:r>
            <w:r>
              <w:rPr>
                <w:sz w:val="16"/>
              </w:rPr>
              <w:t>equal to 45 but less than 60; greater than or equal to 30 but less than 45;</w:t>
            </w:r>
            <w:r>
              <w:rPr>
                <w:spacing w:val="1"/>
                <w:sz w:val="16"/>
              </w:rPr>
              <w:t> </w:t>
            </w:r>
            <w:r>
              <w:rPr>
                <w:sz w:val="16"/>
              </w:rPr>
              <w:t>greater than or equal to 15 but less than 30; less than 15), compared with the</w:t>
            </w:r>
            <w:r>
              <w:rPr>
                <w:spacing w:val="1"/>
                <w:sz w:val="16"/>
              </w:rPr>
              <w:t> </w:t>
            </w:r>
            <w:r>
              <w:rPr>
                <w:sz w:val="16"/>
              </w:rPr>
              <w:t>change</w:t>
            </w:r>
            <w:r>
              <w:rPr>
                <w:spacing w:val="1"/>
                <w:sz w:val="16"/>
              </w:rPr>
              <w:t> </w:t>
            </w:r>
            <w:r>
              <w:rPr>
                <w:sz w:val="16"/>
              </w:rPr>
              <w:t>for</w:t>
            </w:r>
            <w:r>
              <w:rPr>
                <w:spacing w:val="1"/>
                <w:sz w:val="16"/>
              </w:rPr>
              <w:t> </w:t>
            </w:r>
            <w:r>
              <w:rPr>
                <w:sz w:val="16"/>
              </w:rPr>
              <w:t>comparator</w:t>
            </w:r>
            <w:r>
              <w:rPr>
                <w:spacing w:val="-3"/>
                <w:sz w:val="16"/>
              </w:rPr>
              <w:t> </w:t>
            </w:r>
            <w:r>
              <w:rPr>
                <w:sz w:val="16"/>
              </w:rPr>
              <w:t>patients. (See</w:t>
            </w:r>
            <w:r>
              <w:rPr>
                <w:spacing w:val="-2"/>
                <w:sz w:val="16"/>
              </w:rPr>
              <w:t> </w:t>
            </w:r>
            <w:r>
              <w:rPr>
                <w:sz w:val="16"/>
              </w:rPr>
              <w:t>Note</w:t>
            </w:r>
            <w:r>
              <w:rPr>
                <w:spacing w:val="2"/>
                <w:sz w:val="16"/>
              </w:rPr>
              <w:t> </w:t>
            </w:r>
            <w:r>
              <w:rPr>
                <w:sz w:val="16"/>
              </w:rPr>
              <w:t>1)</w:t>
            </w:r>
            <w:r>
              <w:rPr>
                <w:spacing w:val="-5"/>
                <w:sz w:val="16"/>
              </w:rPr>
              <w:t> </w:t>
            </w:r>
            <w:r>
              <w:rPr>
                <w:sz w:val="16"/>
              </w:rPr>
              <w:t>(See</w:t>
            </w:r>
            <w:r>
              <w:rPr>
                <w:spacing w:val="-1"/>
                <w:sz w:val="16"/>
              </w:rPr>
              <w:t> </w:t>
            </w:r>
            <w:r>
              <w:rPr>
                <w:sz w:val="16"/>
              </w:rPr>
              <w:t>Note</w:t>
            </w:r>
            <w:r>
              <w:rPr>
                <w:spacing w:val="-1"/>
                <w:sz w:val="16"/>
              </w:rPr>
              <w:t> </w:t>
            </w:r>
            <w:r>
              <w:rPr>
                <w:sz w:val="16"/>
              </w:rPr>
              <w:t>2)</w:t>
            </w:r>
          </w:p>
        </w:tc>
        <w:tc>
          <w:tcPr>
            <w:tcW w:w="324" w:type="dxa"/>
          </w:tcPr>
          <w:p>
            <w:pPr>
              <w:pStyle w:val="TableParagraph"/>
              <w:rPr>
                <w:rFonts w:ascii="Times New Roman"/>
                <w:sz w:val="14"/>
              </w:rPr>
            </w:pPr>
          </w:p>
        </w:tc>
        <w:tc>
          <w:tcPr>
            <w:tcW w:w="327" w:type="dxa"/>
          </w:tcPr>
          <w:p>
            <w:pPr>
              <w:pStyle w:val="TableParagraph"/>
              <w:rPr>
                <w:rFonts w:ascii="Times New Roman"/>
                <w:sz w:val="14"/>
              </w:rPr>
            </w:pPr>
          </w:p>
        </w:tc>
        <w:tc>
          <w:tcPr>
            <w:tcW w:w="324" w:type="dxa"/>
          </w:tcPr>
          <w:p>
            <w:pPr>
              <w:pStyle w:val="TableParagraph"/>
              <w:rPr>
                <w:rFonts w:ascii="Times New Roman"/>
                <w:sz w:val="14"/>
              </w:rPr>
            </w:pPr>
          </w:p>
        </w:tc>
        <w:tc>
          <w:tcPr>
            <w:tcW w:w="324" w:type="dxa"/>
          </w:tcPr>
          <w:p>
            <w:pPr>
              <w:pStyle w:val="TableParagraph"/>
              <w:rPr>
                <w:rFonts w:ascii="Times New Roman"/>
                <w:sz w:val="14"/>
              </w:rPr>
            </w:pPr>
          </w:p>
        </w:tc>
        <w:tc>
          <w:tcPr>
            <w:tcW w:w="326" w:type="dxa"/>
          </w:tcPr>
          <w:p>
            <w:pPr>
              <w:pStyle w:val="TableParagraph"/>
              <w:spacing w:before="57"/>
              <w:ind w:left="100"/>
              <w:rPr>
                <w:rFonts w:ascii="Wingdings" w:hAnsi="Wingdings"/>
                <w:sz w:val="16"/>
              </w:rPr>
            </w:pPr>
            <w:r>
              <w:rPr>
                <w:rFonts w:ascii="Wingdings" w:hAnsi="Wingdings"/>
                <w:w w:val="100"/>
                <w:sz w:val="16"/>
              </w:rPr>
              <w:t></w:t>
            </w:r>
          </w:p>
        </w:tc>
      </w:tr>
      <w:tr>
        <w:trPr>
          <w:trHeight w:val="1192"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62" w:hanging="567"/>
              <w:rPr>
                <w:sz w:val="16"/>
              </w:rPr>
            </w:pPr>
            <w:r>
              <w:rPr>
                <w:sz w:val="16"/>
              </w:rPr>
              <w:t>3.08.03 Change in the proportion of HCH patients with a diagnosis of Type 2 diabetes</w:t>
            </w:r>
            <w:r>
              <w:rPr>
                <w:spacing w:val="1"/>
                <w:sz w:val="16"/>
              </w:rPr>
              <w:t> </w:t>
            </w:r>
            <w:r>
              <w:rPr>
                <w:sz w:val="16"/>
              </w:rPr>
              <w:t>recorded in the practice system/inferred from other practice system data,</w:t>
            </w:r>
            <w:r>
              <w:rPr>
                <w:spacing w:val="1"/>
                <w:sz w:val="16"/>
              </w:rPr>
              <w:t> </w:t>
            </w:r>
            <w:r>
              <w:rPr>
                <w:sz w:val="16"/>
              </w:rPr>
              <w:t>whose last blood pressure measurement result was less than or equal to 130/80</w:t>
            </w:r>
            <w:r>
              <w:rPr>
                <w:spacing w:val="1"/>
                <w:sz w:val="16"/>
              </w:rPr>
              <w:t> </w:t>
            </w:r>
            <w:r>
              <w:rPr>
                <w:sz w:val="16"/>
              </w:rPr>
              <w:t>mmHg, compared with the change for comparator patients. (See Note 1) (See</w:t>
            </w:r>
            <w:r>
              <w:rPr>
                <w:spacing w:val="-42"/>
                <w:sz w:val="16"/>
              </w:rPr>
              <w:t> </w:t>
            </w:r>
            <w:r>
              <w:rPr>
                <w:sz w:val="16"/>
              </w:rPr>
              <w:t>Note</w:t>
            </w:r>
            <w:r>
              <w:rPr>
                <w:spacing w:val="-2"/>
                <w:sz w:val="16"/>
              </w:rPr>
              <w:t> </w:t>
            </w:r>
            <w:r>
              <w:rPr>
                <w:sz w:val="16"/>
              </w:rPr>
              <w:t>2)</w:t>
            </w:r>
          </w:p>
        </w:tc>
        <w:tc>
          <w:tcPr>
            <w:tcW w:w="324" w:type="dxa"/>
          </w:tcPr>
          <w:p>
            <w:pPr>
              <w:pStyle w:val="TableParagraph"/>
              <w:rPr>
                <w:rFonts w:ascii="Times New Roman"/>
                <w:sz w:val="14"/>
              </w:rPr>
            </w:pPr>
          </w:p>
        </w:tc>
        <w:tc>
          <w:tcPr>
            <w:tcW w:w="327" w:type="dxa"/>
          </w:tcPr>
          <w:p>
            <w:pPr>
              <w:pStyle w:val="TableParagraph"/>
              <w:rPr>
                <w:rFonts w:ascii="Times New Roman"/>
                <w:sz w:val="14"/>
              </w:rPr>
            </w:pPr>
          </w:p>
        </w:tc>
        <w:tc>
          <w:tcPr>
            <w:tcW w:w="324" w:type="dxa"/>
          </w:tcPr>
          <w:p>
            <w:pPr>
              <w:pStyle w:val="TableParagraph"/>
              <w:rPr>
                <w:rFonts w:ascii="Times New Roman"/>
                <w:sz w:val="14"/>
              </w:rPr>
            </w:pPr>
          </w:p>
        </w:tc>
        <w:tc>
          <w:tcPr>
            <w:tcW w:w="324" w:type="dxa"/>
          </w:tcPr>
          <w:p>
            <w:pPr>
              <w:pStyle w:val="TableParagraph"/>
              <w:rPr>
                <w:rFonts w:ascii="Times New Roman"/>
                <w:sz w:val="14"/>
              </w:rPr>
            </w:pPr>
          </w:p>
        </w:tc>
        <w:tc>
          <w:tcPr>
            <w:tcW w:w="326" w:type="dxa"/>
          </w:tcPr>
          <w:p>
            <w:pPr>
              <w:pStyle w:val="TableParagraph"/>
              <w:spacing w:before="57"/>
              <w:ind w:left="100"/>
              <w:rPr>
                <w:rFonts w:ascii="Wingdings" w:hAnsi="Wingdings"/>
                <w:sz w:val="16"/>
              </w:rPr>
            </w:pPr>
            <w:r>
              <w:rPr>
                <w:rFonts w:ascii="Wingdings" w:hAnsi="Wingdings"/>
                <w:w w:val="100"/>
                <w:sz w:val="16"/>
              </w:rPr>
              <w:t></w:t>
            </w:r>
          </w:p>
        </w:tc>
      </w:tr>
      <w:tr>
        <w:trPr>
          <w:trHeight w:val="976"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83" w:hanging="567"/>
              <w:rPr>
                <w:sz w:val="16"/>
              </w:rPr>
            </w:pPr>
            <w:r>
              <w:rPr>
                <w:sz w:val="16"/>
              </w:rPr>
              <w:t>3.08.04 Median time to event reflecting onset of serious acute cardiovascular event or</w:t>
            </w:r>
            <w:r>
              <w:rPr>
                <w:spacing w:val="-42"/>
                <w:sz w:val="16"/>
              </w:rPr>
              <w:t> </w:t>
            </w:r>
            <w:r>
              <w:rPr>
                <w:sz w:val="16"/>
              </w:rPr>
              <w:t>death. Composite index of hospital admission for selected serious conditions</w:t>
            </w:r>
            <w:r>
              <w:rPr>
                <w:spacing w:val="1"/>
                <w:sz w:val="16"/>
              </w:rPr>
              <w:t> </w:t>
            </w:r>
            <w:r>
              <w:rPr>
                <w:sz w:val="16"/>
              </w:rPr>
              <w:t>(e.g. acute coronary syndrome, stroke) and death. Median time to event for</w:t>
            </w:r>
            <w:r>
              <w:rPr>
                <w:spacing w:val="1"/>
                <w:sz w:val="16"/>
              </w:rPr>
              <w:t> </w:t>
            </w:r>
            <w:r>
              <w:rPr>
                <w:sz w:val="16"/>
              </w:rPr>
              <w:t>HCH</w:t>
            </w:r>
            <w:r>
              <w:rPr>
                <w:spacing w:val="-3"/>
                <w:sz w:val="16"/>
              </w:rPr>
              <w:t> </w:t>
            </w:r>
            <w:r>
              <w:rPr>
                <w:sz w:val="16"/>
              </w:rPr>
              <w:t>patients</w:t>
            </w:r>
            <w:r>
              <w:rPr>
                <w:spacing w:val="-1"/>
                <w:sz w:val="16"/>
              </w:rPr>
              <w:t> </w:t>
            </w:r>
            <w:r>
              <w:rPr>
                <w:sz w:val="16"/>
              </w:rPr>
              <w:t>compared</w:t>
            </w:r>
            <w:r>
              <w:rPr>
                <w:spacing w:val="-6"/>
                <w:sz w:val="16"/>
              </w:rPr>
              <w:t> </w:t>
            </w:r>
            <w:r>
              <w:rPr>
                <w:sz w:val="16"/>
              </w:rPr>
              <w:t>with</w:t>
            </w:r>
            <w:r>
              <w:rPr>
                <w:spacing w:val="-3"/>
                <w:sz w:val="16"/>
              </w:rPr>
              <w:t> </w:t>
            </w:r>
            <w:r>
              <w:rPr>
                <w:sz w:val="16"/>
              </w:rPr>
              <w:t>comparator</w:t>
            </w:r>
            <w:r>
              <w:rPr>
                <w:spacing w:val="-3"/>
                <w:sz w:val="16"/>
              </w:rPr>
              <w:t> </w:t>
            </w:r>
            <w:r>
              <w:rPr>
                <w:sz w:val="16"/>
              </w:rPr>
              <w:t>patients (using</w:t>
            </w:r>
            <w:r>
              <w:rPr>
                <w:spacing w:val="-1"/>
                <w:sz w:val="16"/>
              </w:rPr>
              <w:t> </w:t>
            </w:r>
            <w:r>
              <w:rPr>
                <w:sz w:val="16"/>
              </w:rPr>
              <w:t>survival analysis).</w:t>
            </w:r>
          </w:p>
        </w:tc>
        <w:tc>
          <w:tcPr>
            <w:tcW w:w="324" w:type="dxa"/>
          </w:tcPr>
          <w:p>
            <w:pPr>
              <w:pStyle w:val="TableParagraph"/>
              <w:rPr>
                <w:rFonts w:ascii="Times New Roman"/>
                <w:sz w:val="14"/>
              </w:rPr>
            </w:pPr>
          </w:p>
        </w:tc>
        <w:tc>
          <w:tcPr>
            <w:tcW w:w="327" w:type="dxa"/>
          </w:tcPr>
          <w:p>
            <w:pPr>
              <w:pStyle w:val="TableParagraph"/>
              <w:rPr>
                <w:rFonts w:ascii="Times New Roman"/>
                <w:sz w:val="14"/>
              </w:rPr>
            </w:pPr>
          </w:p>
        </w:tc>
        <w:tc>
          <w:tcPr>
            <w:tcW w:w="324" w:type="dxa"/>
          </w:tcPr>
          <w:p>
            <w:pPr>
              <w:pStyle w:val="TableParagraph"/>
              <w:rPr>
                <w:rFonts w:ascii="Times New Roman"/>
                <w:sz w:val="14"/>
              </w:rPr>
            </w:pPr>
          </w:p>
        </w:tc>
        <w:tc>
          <w:tcPr>
            <w:tcW w:w="324" w:type="dxa"/>
          </w:tcPr>
          <w:p>
            <w:pPr>
              <w:pStyle w:val="TableParagraph"/>
              <w:rPr>
                <w:rFonts w:ascii="Times New Roman"/>
                <w:sz w:val="14"/>
              </w:rPr>
            </w:pPr>
          </w:p>
        </w:tc>
        <w:tc>
          <w:tcPr>
            <w:tcW w:w="326" w:type="dxa"/>
          </w:tcPr>
          <w:p>
            <w:pPr>
              <w:pStyle w:val="TableParagraph"/>
              <w:spacing w:before="57"/>
              <w:ind w:left="100"/>
              <w:rPr>
                <w:rFonts w:ascii="Wingdings" w:hAnsi="Wingdings"/>
                <w:sz w:val="16"/>
              </w:rPr>
            </w:pPr>
            <w:r>
              <w:rPr>
                <w:rFonts w:ascii="Wingdings" w:hAnsi="Wingdings"/>
                <w:w w:val="100"/>
                <w:sz w:val="16"/>
              </w:rPr>
              <w:t></w:t>
            </w:r>
          </w:p>
        </w:tc>
      </w:tr>
      <w:tr>
        <w:trPr>
          <w:trHeight w:val="546" w:hRule="atLeast"/>
        </w:trPr>
        <w:tc>
          <w:tcPr>
            <w:tcW w:w="5809" w:type="dxa"/>
            <w:vMerge/>
            <w:tcBorders>
              <w:top w:val="nil"/>
            </w:tcBorders>
          </w:tcPr>
          <w:p>
            <w:pPr>
              <w:rPr>
                <w:sz w:val="2"/>
                <w:szCs w:val="2"/>
              </w:rPr>
            </w:pPr>
          </w:p>
        </w:tc>
        <w:tc>
          <w:tcPr>
            <w:tcW w:w="6853" w:type="dxa"/>
          </w:tcPr>
          <w:p>
            <w:pPr>
              <w:pStyle w:val="TableParagraph"/>
              <w:spacing w:line="264" w:lineRule="auto" w:before="57"/>
              <w:ind w:left="647" w:right="406" w:hanging="567"/>
              <w:rPr>
                <w:sz w:val="16"/>
              </w:rPr>
            </w:pPr>
            <w:r>
              <w:rPr>
                <w:sz w:val="16"/>
              </w:rPr>
              <w:t>3.08.05 Median survival (time to death). HCH patients compared with comparator</w:t>
            </w:r>
            <w:r>
              <w:rPr>
                <w:spacing w:val="-42"/>
                <w:sz w:val="16"/>
              </w:rPr>
              <w:t> </w:t>
            </w:r>
            <w:r>
              <w:rPr>
                <w:sz w:val="16"/>
              </w:rPr>
              <w:t>patients</w:t>
            </w:r>
            <w:r>
              <w:rPr>
                <w:spacing w:val="-3"/>
                <w:sz w:val="16"/>
              </w:rPr>
              <w:t> </w:t>
            </w:r>
            <w:r>
              <w:rPr>
                <w:sz w:val="16"/>
              </w:rPr>
              <w:t>(using</w:t>
            </w:r>
            <w:r>
              <w:rPr>
                <w:spacing w:val="-2"/>
                <w:sz w:val="16"/>
              </w:rPr>
              <w:t> </w:t>
            </w:r>
            <w:r>
              <w:rPr>
                <w:sz w:val="16"/>
              </w:rPr>
              <w:t>survival</w:t>
            </w:r>
            <w:r>
              <w:rPr>
                <w:spacing w:val="2"/>
                <w:sz w:val="16"/>
              </w:rPr>
              <w:t> </w:t>
            </w:r>
            <w:r>
              <w:rPr>
                <w:sz w:val="16"/>
              </w:rPr>
              <w:t>analysis).</w:t>
            </w:r>
          </w:p>
        </w:tc>
        <w:tc>
          <w:tcPr>
            <w:tcW w:w="324" w:type="dxa"/>
          </w:tcPr>
          <w:p>
            <w:pPr>
              <w:pStyle w:val="TableParagraph"/>
              <w:rPr>
                <w:rFonts w:ascii="Times New Roman"/>
                <w:sz w:val="14"/>
              </w:rPr>
            </w:pPr>
          </w:p>
        </w:tc>
        <w:tc>
          <w:tcPr>
            <w:tcW w:w="327" w:type="dxa"/>
          </w:tcPr>
          <w:p>
            <w:pPr>
              <w:pStyle w:val="TableParagraph"/>
              <w:rPr>
                <w:rFonts w:ascii="Times New Roman"/>
                <w:sz w:val="14"/>
              </w:rPr>
            </w:pPr>
          </w:p>
        </w:tc>
        <w:tc>
          <w:tcPr>
            <w:tcW w:w="324" w:type="dxa"/>
          </w:tcPr>
          <w:p>
            <w:pPr>
              <w:pStyle w:val="TableParagraph"/>
              <w:rPr>
                <w:rFonts w:ascii="Times New Roman"/>
                <w:sz w:val="14"/>
              </w:rPr>
            </w:pPr>
          </w:p>
        </w:tc>
        <w:tc>
          <w:tcPr>
            <w:tcW w:w="324" w:type="dxa"/>
          </w:tcPr>
          <w:p>
            <w:pPr>
              <w:pStyle w:val="TableParagraph"/>
              <w:rPr>
                <w:rFonts w:ascii="Times New Roman"/>
                <w:sz w:val="14"/>
              </w:rPr>
            </w:pPr>
          </w:p>
        </w:tc>
        <w:tc>
          <w:tcPr>
            <w:tcW w:w="326" w:type="dxa"/>
          </w:tcPr>
          <w:p>
            <w:pPr>
              <w:pStyle w:val="TableParagraph"/>
              <w:spacing w:before="57"/>
              <w:ind w:left="100"/>
              <w:rPr>
                <w:rFonts w:ascii="Wingdings" w:hAnsi="Wingdings"/>
                <w:sz w:val="16"/>
              </w:rPr>
            </w:pPr>
            <w:r>
              <w:rPr>
                <w:rFonts w:ascii="Wingdings" w:hAnsi="Wingdings"/>
                <w:w w:val="100"/>
                <w:sz w:val="16"/>
              </w:rPr>
              <w:t></w:t>
            </w:r>
          </w:p>
        </w:tc>
      </w:tr>
    </w:tbl>
    <w:p>
      <w:pPr>
        <w:spacing w:line="276" w:lineRule="auto" w:before="3"/>
        <w:ind w:left="100" w:right="4280" w:firstLine="0"/>
        <w:jc w:val="left"/>
        <w:rPr>
          <w:i/>
          <w:sz w:val="14"/>
        </w:rPr>
      </w:pPr>
      <w:r>
        <w:rPr>
          <w:i/>
          <w:sz w:val="14"/>
        </w:rPr>
        <w:t>Note 1: These measures are currently part of the National Key Performance Indicators (nKPIs) for Indigenous specific primary healthcare organisations.</w:t>
      </w:r>
      <w:r>
        <w:rPr>
          <w:i/>
          <w:spacing w:val="-37"/>
          <w:sz w:val="14"/>
        </w:rPr>
        <w:t> </w:t>
      </w:r>
      <w:r>
        <w:rPr>
          <w:i/>
          <w:sz w:val="14"/>
        </w:rPr>
        <w:t>Note</w:t>
      </w:r>
      <w:r>
        <w:rPr>
          <w:i/>
          <w:spacing w:val="-1"/>
          <w:sz w:val="14"/>
        </w:rPr>
        <w:t> </w:t>
      </w:r>
      <w:r>
        <w:rPr>
          <w:i/>
          <w:sz w:val="14"/>
        </w:rPr>
        <w:t>2:</w:t>
      </w:r>
      <w:r>
        <w:rPr>
          <w:i/>
          <w:spacing w:val="-1"/>
          <w:sz w:val="14"/>
        </w:rPr>
        <w:t> </w:t>
      </w:r>
      <w:r>
        <w:rPr>
          <w:i/>
          <w:sz w:val="14"/>
        </w:rPr>
        <w:t>Analysis of</w:t>
      </w:r>
      <w:r>
        <w:rPr>
          <w:i/>
          <w:spacing w:val="-2"/>
          <w:sz w:val="14"/>
        </w:rPr>
        <w:t> </w:t>
      </w:r>
      <w:r>
        <w:rPr>
          <w:i/>
          <w:sz w:val="14"/>
        </w:rPr>
        <w:t>trends based</w:t>
      </w:r>
      <w:r>
        <w:rPr>
          <w:i/>
          <w:spacing w:val="-1"/>
          <w:sz w:val="14"/>
        </w:rPr>
        <w:t> </w:t>
      </w:r>
      <w:r>
        <w:rPr>
          <w:i/>
          <w:sz w:val="14"/>
        </w:rPr>
        <w:t>on</w:t>
      </w:r>
      <w:r>
        <w:rPr>
          <w:i/>
          <w:spacing w:val="-1"/>
          <w:sz w:val="14"/>
        </w:rPr>
        <w:t> </w:t>
      </w:r>
      <w:r>
        <w:rPr>
          <w:i/>
          <w:sz w:val="14"/>
        </w:rPr>
        <w:t>measures</w:t>
      </w:r>
      <w:r>
        <w:rPr>
          <w:i/>
          <w:spacing w:val="-1"/>
          <w:sz w:val="14"/>
        </w:rPr>
        <w:t> </w:t>
      </w:r>
      <w:r>
        <w:rPr>
          <w:i/>
          <w:sz w:val="14"/>
        </w:rPr>
        <w:t>calculated</w:t>
      </w:r>
      <w:r>
        <w:rPr>
          <w:i/>
          <w:spacing w:val="-1"/>
          <w:sz w:val="14"/>
        </w:rPr>
        <w:t> </w:t>
      </w:r>
      <w:r>
        <w:rPr>
          <w:i/>
          <w:sz w:val="14"/>
        </w:rPr>
        <w:t>at each six-month</w:t>
      </w:r>
      <w:r>
        <w:rPr>
          <w:i/>
          <w:spacing w:val="-2"/>
          <w:sz w:val="14"/>
        </w:rPr>
        <w:t> </w:t>
      </w:r>
      <w:r>
        <w:rPr>
          <w:i/>
          <w:sz w:val="14"/>
        </w:rPr>
        <w:t>interval</w:t>
      </w:r>
      <w:r>
        <w:rPr>
          <w:i/>
          <w:spacing w:val="-1"/>
          <w:sz w:val="14"/>
        </w:rPr>
        <w:t> </w:t>
      </w:r>
      <w:r>
        <w:rPr>
          <w:i/>
          <w:sz w:val="14"/>
        </w:rPr>
        <w:t>from</w:t>
      </w:r>
      <w:r>
        <w:rPr>
          <w:i/>
          <w:spacing w:val="-2"/>
          <w:sz w:val="14"/>
        </w:rPr>
        <w:t> </w:t>
      </w:r>
      <w:r>
        <w:rPr>
          <w:i/>
          <w:sz w:val="14"/>
        </w:rPr>
        <w:t>the date</w:t>
      </w:r>
      <w:r>
        <w:rPr>
          <w:i/>
          <w:spacing w:val="-1"/>
          <w:sz w:val="14"/>
        </w:rPr>
        <w:t> </w:t>
      </w:r>
      <w:r>
        <w:rPr>
          <w:i/>
          <w:sz w:val="14"/>
        </w:rPr>
        <w:t>of</w:t>
      </w:r>
      <w:r>
        <w:rPr>
          <w:i/>
          <w:spacing w:val="1"/>
          <w:sz w:val="14"/>
        </w:rPr>
        <w:t> </w:t>
      </w:r>
      <w:r>
        <w:rPr>
          <w:i/>
          <w:sz w:val="14"/>
        </w:rPr>
        <w:t>enrolment</w:t>
      </w:r>
      <w:r>
        <w:rPr>
          <w:i/>
          <w:spacing w:val="1"/>
          <w:sz w:val="14"/>
        </w:rPr>
        <w:t> </w:t>
      </w:r>
      <w:r>
        <w:rPr>
          <w:i/>
          <w:sz w:val="14"/>
        </w:rPr>
        <w:t>in</w:t>
      </w:r>
      <w:r>
        <w:rPr>
          <w:i/>
          <w:spacing w:val="-2"/>
          <w:sz w:val="14"/>
        </w:rPr>
        <w:t> </w:t>
      </w:r>
      <w:r>
        <w:rPr>
          <w:i/>
          <w:sz w:val="14"/>
        </w:rPr>
        <w:t>HCH.</w:t>
      </w:r>
    </w:p>
    <w:p>
      <w:pPr>
        <w:spacing w:after="0" w:line="276" w:lineRule="auto"/>
        <w:jc w:val="left"/>
        <w:rPr>
          <w:sz w:val="14"/>
        </w:rPr>
        <w:sectPr>
          <w:pgSz w:w="16840" w:h="11910" w:orient="landscape"/>
          <w:pgMar w:header="0" w:footer="676" w:top="1100" w:bottom="860" w:left="1340" w:right="980"/>
        </w:sectPr>
      </w:pPr>
    </w:p>
    <w:p>
      <w:pPr>
        <w:pStyle w:val="Heading6"/>
        <w:spacing w:line="276" w:lineRule="auto"/>
        <w:ind w:right="406"/>
      </w:pPr>
      <w:r>
        <w:rPr/>
        <w:t>Key</w:t>
      </w:r>
      <w:r>
        <w:rPr>
          <w:spacing w:val="-3"/>
        </w:rPr>
        <w:t> </w:t>
      </w:r>
      <w:r>
        <w:rPr/>
        <w:t>question</w:t>
      </w:r>
      <w:r>
        <w:rPr>
          <w:spacing w:val="-2"/>
        </w:rPr>
        <w:t> </w:t>
      </w:r>
      <w:r>
        <w:rPr/>
        <w:t>4:</w:t>
      </w:r>
      <w:r>
        <w:rPr>
          <w:spacing w:val="-3"/>
        </w:rPr>
        <w:t> </w:t>
      </w:r>
      <w:r>
        <w:rPr/>
        <w:t>What</w:t>
      </w:r>
      <w:r>
        <w:rPr>
          <w:spacing w:val="-3"/>
        </w:rPr>
        <w:t> </w:t>
      </w:r>
      <w:r>
        <w:rPr/>
        <w:t>are</w:t>
      </w:r>
      <w:r>
        <w:rPr>
          <w:spacing w:val="-3"/>
        </w:rPr>
        <w:t> </w:t>
      </w:r>
      <w:r>
        <w:rPr/>
        <w:t>the</w:t>
      </w:r>
      <w:r>
        <w:rPr>
          <w:spacing w:val="-5"/>
        </w:rPr>
        <w:t> </w:t>
      </w:r>
      <w:r>
        <w:rPr/>
        <w:t>financial</w:t>
      </w:r>
      <w:r>
        <w:rPr>
          <w:spacing w:val="-2"/>
        </w:rPr>
        <w:t> </w:t>
      </w:r>
      <w:r>
        <w:rPr/>
        <w:t>effects</w:t>
      </w:r>
      <w:r>
        <w:rPr>
          <w:spacing w:val="-1"/>
        </w:rPr>
        <w:t> </w:t>
      </w:r>
      <w:r>
        <w:rPr/>
        <w:t>of</w:t>
      </w:r>
      <w:r>
        <w:rPr>
          <w:spacing w:val="-4"/>
        </w:rPr>
        <w:t> </w:t>
      </w:r>
      <w:r>
        <w:rPr/>
        <w:t>the</w:t>
      </w:r>
      <w:r>
        <w:rPr>
          <w:spacing w:val="-6"/>
        </w:rPr>
        <w:t> </w:t>
      </w:r>
      <w:r>
        <w:rPr/>
        <w:t>HCH</w:t>
      </w:r>
      <w:r>
        <w:rPr>
          <w:spacing w:val="1"/>
        </w:rPr>
        <w:t> </w:t>
      </w:r>
      <w:r>
        <w:rPr/>
        <w:t>model</w:t>
      </w:r>
      <w:r>
        <w:rPr>
          <w:spacing w:val="-3"/>
        </w:rPr>
        <w:t> </w:t>
      </w:r>
      <w:r>
        <w:rPr/>
        <w:t>on</w:t>
      </w:r>
      <w:r>
        <w:rPr>
          <w:spacing w:val="-4"/>
        </w:rPr>
        <w:t> </w:t>
      </w:r>
      <w:r>
        <w:rPr/>
        <w:t>governments,</w:t>
      </w:r>
      <w:r>
        <w:rPr>
          <w:spacing w:val="-5"/>
        </w:rPr>
        <w:t> </w:t>
      </w:r>
      <w:r>
        <w:rPr/>
        <w:t>providers</w:t>
      </w:r>
      <w:r>
        <w:rPr>
          <w:spacing w:val="-53"/>
        </w:rPr>
        <w:t> </w:t>
      </w:r>
      <w:r>
        <w:rPr/>
        <w:t>and</w:t>
      </w:r>
      <w:r>
        <w:rPr>
          <w:spacing w:val="-2"/>
        </w:rPr>
        <w:t> </w:t>
      </w:r>
      <w:r>
        <w:rPr/>
        <w:t>individuals?</w:t>
      </w:r>
    </w:p>
    <w:p>
      <w:pPr>
        <w:pStyle w:val="BodyText"/>
        <w:spacing w:line="276" w:lineRule="auto" w:before="199"/>
        <w:ind w:left="140" w:right="137"/>
      </w:pPr>
      <w:r>
        <w:rPr/>
        <w:t>The final question requires consideration of the financial impact of the HCH model. This</w:t>
      </w:r>
      <w:r>
        <w:rPr>
          <w:spacing w:val="1"/>
        </w:rPr>
        <w:t> </w:t>
      </w:r>
      <w:r>
        <w:rPr/>
        <w:t>includes the impact on patients, on HCH practices, on changes in the use of primary and</w:t>
      </w:r>
      <w:r>
        <w:rPr>
          <w:spacing w:val="1"/>
        </w:rPr>
        <w:t> </w:t>
      </w:r>
      <w:r>
        <w:rPr/>
        <w:t>secondary services outside the HCH practice, and the impact of changes in the use of acute</w:t>
      </w:r>
      <w:r>
        <w:rPr>
          <w:spacing w:val="-53"/>
        </w:rPr>
        <w:t> </w:t>
      </w:r>
      <w:r>
        <w:rPr/>
        <w:t>health care services. Detailed question for key question 4 are shown </w:t>
      </w:r>
      <w:hyperlink w:history="true" w:anchor="_bookmark21">
        <w:r>
          <w:rPr/>
          <w:t>Table 7, </w:t>
        </w:r>
      </w:hyperlink>
      <w:r>
        <w:rPr/>
        <w:t>together with</w:t>
      </w:r>
      <w:r>
        <w:rPr>
          <w:spacing w:val="1"/>
        </w:rPr>
        <w:t> </w:t>
      </w:r>
      <w:r>
        <w:rPr/>
        <w:t>associated measures.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8"/>
        </w:rPr>
      </w:pPr>
      <w:r>
        <w:rPr/>
        <w:pict>
          <v:rect style="position:absolute;margin-left:70.584pt;margin-top:12.684668pt;width:454.27pt;height:.47998pt;mso-position-horizontal-relative:page;mso-position-vertical-relative:paragraph;z-index:-15721472;mso-wrap-distance-left:0;mso-wrap-distance-right:0" id="docshape64" filled="true" fillcolor="#d9d9d9" stroked="false">
            <v:fill type="solid"/>
            <w10:wrap type="topAndBottom"/>
          </v:rect>
        </w:pict>
      </w:r>
    </w:p>
    <w:p>
      <w:pPr>
        <w:spacing w:after="0"/>
        <w:rPr>
          <w:sz w:val="18"/>
        </w:rPr>
        <w:sectPr>
          <w:footerReference w:type="default" r:id="rId26"/>
          <w:pgSz w:w="11910" w:h="16840"/>
          <w:pgMar w:footer="727" w:header="0" w:top="1340" w:bottom="920" w:left="1300" w:right="1300"/>
        </w:sectPr>
      </w:pPr>
    </w:p>
    <w:p>
      <w:pPr>
        <w:pStyle w:val="BodyText"/>
        <w:spacing w:before="12"/>
        <w:rPr>
          <w:sz w:val="18"/>
        </w:rPr>
      </w:pPr>
    </w:p>
    <w:p>
      <w:pPr>
        <w:spacing w:before="100"/>
        <w:ind w:left="3604" w:right="3957" w:firstLine="0"/>
        <w:jc w:val="center"/>
        <w:rPr>
          <w:b/>
          <w:sz w:val="18"/>
        </w:rPr>
      </w:pPr>
      <w:bookmarkStart w:name="_bookmark21" w:id="22"/>
      <w:bookmarkEnd w:id="22"/>
      <w:r>
        <w:rPr/>
      </w:r>
      <w:r>
        <w:rPr>
          <w:b/>
          <w:sz w:val="18"/>
        </w:rPr>
        <w:t>Table</w:t>
      </w:r>
      <w:r>
        <w:rPr>
          <w:b/>
          <w:spacing w:val="-2"/>
          <w:sz w:val="18"/>
        </w:rPr>
        <w:t> </w:t>
      </w:r>
      <w:r>
        <w:rPr>
          <w:b/>
          <w:sz w:val="18"/>
        </w:rPr>
        <w:t>7</w:t>
      </w:r>
      <w:r>
        <w:rPr>
          <w:b/>
          <w:spacing w:val="-5"/>
          <w:sz w:val="18"/>
        </w:rPr>
        <w:t> </w:t>
      </w:r>
      <w:r>
        <w:rPr>
          <w:sz w:val="18"/>
        </w:rPr>
        <w:t>–</w:t>
      </w:r>
      <w:r>
        <w:rPr>
          <w:spacing w:val="-3"/>
          <w:sz w:val="18"/>
        </w:rPr>
        <w:t> </w:t>
      </w:r>
      <w:r>
        <w:rPr>
          <w:b/>
          <w:sz w:val="18"/>
        </w:rPr>
        <w:t>Detailed</w:t>
      </w:r>
      <w:r>
        <w:rPr>
          <w:b/>
          <w:spacing w:val="-1"/>
          <w:sz w:val="18"/>
        </w:rPr>
        <w:t> </w:t>
      </w:r>
      <w:r>
        <w:rPr>
          <w:b/>
          <w:sz w:val="18"/>
        </w:rPr>
        <w:t>evaluation</w:t>
      </w:r>
      <w:r>
        <w:rPr>
          <w:b/>
          <w:spacing w:val="-2"/>
          <w:sz w:val="18"/>
        </w:rPr>
        <w:t> </w:t>
      </w:r>
      <w:r>
        <w:rPr>
          <w:b/>
          <w:sz w:val="18"/>
        </w:rPr>
        <w:t>questions</w:t>
      </w:r>
      <w:r>
        <w:rPr>
          <w:b/>
          <w:spacing w:val="-1"/>
          <w:sz w:val="18"/>
        </w:rPr>
        <w:t> </w:t>
      </w:r>
      <w:r>
        <w:rPr>
          <w:b/>
          <w:sz w:val="18"/>
        </w:rPr>
        <w:t>and</w:t>
      </w:r>
      <w:r>
        <w:rPr>
          <w:b/>
          <w:spacing w:val="-1"/>
          <w:sz w:val="18"/>
        </w:rPr>
        <w:t> </w:t>
      </w:r>
      <w:r>
        <w:rPr>
          <w:b/>
          <w:sz w:val="18"/>
        </w:rPr>
        <w:t>measures</w:t>
      </w:r>
      <w:r>
        <w:rPr>
          <w:b/>
          <w:spacing w:val="-2"/>
          <w:sz w:val="18"/>
        </w:rPr>
        <w:t> </w:t>
      </w:r>
      <w:r>
        <w:rPr>
          <w:b/>
          <w:sz w:val="18"/>
        </w:rPr>
        <w:t>relating</w:t>
      </w:r>
      <w:r>
        <w:rPr>
          <w:b/>
          <w:spacing w:val="-1"/>
          <w:sz w:val="18"/>
        </w:rPr>
        <w:t> </w:t>
      </w:r>
      <w:r>
        <w:rPr>
          <w:b/>
          <w:sz w:val="18"/>
        </w:rPr>
        <w:t>to</w:t>
      </w:r>
      <w:r>
        <w:rPr>
          <w:b/>
          <w:spacing w:val="-3"/>
          <w:sz w:val="18"/>
        </w:rPr>
        <w:t> </w:t>
      </w:r>
      <w:r>
        <w:rPr>
          <w:b/>
          <w:sz w:val="18"/>
        </w:rPr>
        <w:t>Key</w:t>
      </w:r>
      <w:r>
        <w:rPr>
          <w:b/>
          <w:spacing w:val="-1"/>
          <w:sz w:val="18"/>
        </w:rPr>
        <w:t> </w:t>
      </w:r>
      <w:r>
        <w:rPr>
          <w:b/>
          <w:sz w:val="18"/>
        </w:rPr>
        <w:t>question</w:t>
      </w:r>
      <w:r>
        <w:rPr>
          <w:b/>
          <w:spacing w:val="-1"/>
          <w:sz w:val="18"/>
        </w:rPr>
        <w:t> </w:t>
      </w:r>
      <w:r>
        <w:rPr>
          <w:b/>
          <w:sz w:val="18"/>
        </w:rPr>
        <w:t>4</w:t>
      </w:r>
    </w:p>
    <w:p>
      <w:pPr>
        <w:pStyle w:val="BodyText"/>
        <w:spacing w:before="4"/>
        <w:rPr>
          <w:b/>
          <w:sz w:val="7"/>
        </w:rPr>
      </w:pPr>
    </w:p>
    <w:tbl>
      <w:tblPr>
        <w:tblW w:w="0" w:type="auto"/>
        <w:jc w:val="left"/>
        <w:tblInd w:w="11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5809"/>
        <w:gridCol w:w="6853"/>
        <w:gridCol w:w="324"/>
        <w:gridCol w:w="327"/>
        <w:gridCol w:w="324"/>
        <w:gridCol w:w="324"/>
        <w:gridCol w:w="326"/>
      </w:tblGrid>
      <w:tr>
        <w:trPr>
          <w:trHeight w:val="1396" w:hRule="atLeast"/>
        </w:trPr>
        <w:tc>
          <w:tcPr>
            <w:tcW w:w="5809" w:type="dxa"/>
            <w:shd w:val="clear" w:color="auto" w:fill="003C79"/>
          </w:tcPr>
          <w:p>
            <w:pPr>
              <w:pStyle w:val="TableParagraph"/>
              <w:rPr>
                <w:b/>
                <w:sz w:val="20"/>
              </w:rPr>
            </w:pPr>
          </w:p>
          <w:p>
            <w:pPr>
              <w:pStyle w:val="TableParagraph"/>
              <w:spacing w:before="11"/>
              <w:rPr>
                <w:b/>
                <w:sz w:val="28"/>
              </w:rPr>
            </w:pPr>
          </w:p>
          <w:p>
            <w:pPr>
              <w:pStyle w:val="TableParagraph"/>
              <w:ind w:left="1579"/>
              <w:rPr>
                <w:b/>
                <w:sz w:val="16"/>
              </w:rPr>
            </w:pPr>
            <w:r>
              <w:rPr>
                <w:b/>
                <w:color w:val="FFFFFF"/>
                <w:sz w:val="16"/>
              </w:rPr>
              <w:t>Key</w:t>
            </w:r>
            <w:r>
              <w:rPr>
                <w:b/>
                <w:color w:val="FFFFFF"/>
                <w:spacing w:val="-4"/>
                <w:sz w:val="16"/>
              </w:rPr>
              <w:t> </w:t>
            </w:r>
            <w:r>
              <w:rPr>
                <w:b/>
                <w:color w:val="FFFFFF"/>
                <w:sz w:val="16"/>
              </w:rPr>
              <w:t>question</w:t>
            </w:r>
            <w:r>
              <w:rPr>
                <w:b/>
                <w:color w:val="FFFFFF"/>
                <w:spacing w:val="-5"/>
                <w:sz w:val="16"/>
              </w:rPr>
              <w:t> </w:t>
            </w:r>
            <w:r>
              <w:rPr>
                <w:b/>
                <w:color w:val="FFFFFF"/>
                <w:sz w:val="16"/>
              </w:rPr>
              <w:t>4:</w:t>
            </w:r>
            <w:r>
              <w:rPr>
                <w:b/>
                <w:color w:val="FFFFFF"/>
                <w:spacing w:val="-2"/>
                <w:sz w:val="16"/>
              </w:rPr>
              <w:t> </w:t>
            </w:r>
            <w:r>
              <w:rPr>
                <w:b/>
                <w:color w:val="FFFFFF"/>
                <w:sz w:val="16"/>
              </w:rPr>
              <w:t>Detailed</w:t>
            </w:r>
            <w:r>
              <w:rPr>
                <w:b/>
                <w:color w:val="FFFFFF"/>
                <w:spacing w:val="-2"/>
                <w:sz w:val="16"/>
              </w:rPr>
              <w:t> </w:t>
            </w:r>
            <w:r>
              <w:rPr>
                <w:b/>
                <w:color w:val="FFFFFF"/>
                <w:sz w:val="16"/>
              </w:rPr>
              <w:t>questions</w:t>
            </w:r>
          </w:p>
        </w:tc>
        <w:tc>
          <w:tcPr>
            <w:tcW w:w="6853" w:type="dxa"/>
            <w:shd w:val="clear" w:color="auto" w:fill="003C79"/>
          </w:tcPr>
          <w:p>
            <w:pPr>
              <w:pStyle w:val="TableParagraph"/>
              <w:rPr>
                <w:b/>
                <w:sz w:val="20"/>
              </w:rPr>
            </w:pPr>
          </w:p>
          <w:p>
            <w:pPr>
              <w:pStyle w:val="TableParagraph"/>
              <w:spacing w:before="11"/>
              <w:rPr>
                <w:b/>
                <w:sz w:val="28"/>
              </w:rPr>
            </w:pPr>
          </w:p>
          <w:p>
            <w:pPr>
              <w:pStyle w:val="TableParagraph"/>
              <w:ind w:left="2427" w:right="2417"/>
              <w:jc w:val="center"/>
              <w:rPr>
                <w:b/>
                <w:sz w:val="16"/>
              </w:rPr>
            </w:pPr>
            <w:r>
              <w:rPr>
                <w:b/>
                <w:color w:val="FFFFFF"/>
                <w:sz w:val="16"/>
              </w:rPr>
              <w:t>Key</w:t>
            </w:r>
            <w:r>
              <w:rPr>
                <w:b/>
                <w:color w:val="FFFFFF"/>
                <w:spacing w:val="-4"/>
                <w:sz w:val="16"/>
              </w:rPr>
              <w:t> </w:t>
            </w:r>
            <w:r>
              <w:rPr>
                <w:b/>
                <w:color w:val="FFFFFF"/>
                <w:sz w:val="16"/>
              </w:rPr>
              <w:t>question</w:t>
            </w:r>
            <w:r>
              <w:rPr>
                <w:b/>
                <w:color w:val="FFFFFF"/>
                <w:spacing w:val="-4"/>
                <w:sz w:val="16"/>
              </w:rPr>
              <w:t> </w:t>
            </w:r>
            <w:r>
              <w:rPr>
                <w:b/>
                <w:color w:val="FFFFFF"/>
                <w:sz w:val="16"/>
              </w:rPr>
              <w:t>4:</w:t>
            </w:r>
            <w:r>
              <w:rPr>
                <w:b/>
                <w:color w:val="FFFFFF"/>
                <w:spacing w:val="-3"/>
                <w:sz w:val="16"/>
              </w:rPr>
              <w:t> </w:t>
            </w:r>
            <w:r>
              <w:rPr>
                <w:b/>
                <w:color w:val="FFFFFF"/>
                <w:sz w:val="16"/>
              </w:rPr>
              <w:t>Measures</w:t>
            </w:r>
          </w:p>
        </w:tc>
        <w:tc>
          <w:tcPr>
            <w:tcW w:w="324" w:type="dxa"/>
            <w:shd w:val="clear" w:color="auto" w:fill="003C79"/>
            <w:textDirection w:val="btLr"/>
          </w:tcPr>
          <w:p>
            <w:pPr>
              <w:pStyle w:val="TableParagraph"/>
              <w:spacing w:line="186" w:lineRule="exact" w:before="107"/>
              <w:ind w:left="465"/>
              <w:rPr>
                <w:b/>
                <w:sz w:val="16"/>
              </w:rPr>
            </w:pPr>
            <w:r>
              <w:rPr>
                <w:b/>
                <w:color w:val="FFFFFF"/>
                <w:sz w:val="16"/>
              </w:rPr>
              <w:t>Inputs</w:t>
            </w:r>
          </w:p>
        </w:tc>
        <w:tc>
          <w:tcPr>
            <w:tcW w:w="327" w:type="dxa"/>
            <w:shd w:val="clear" w:color="auto" w:fill="003C79"/>
            <w:textDirection w:val="btLr"/>
          </w:tcPr>
          <w:p>
            <w:pPr>
              <w:pStyle w:val="TableParagraph"/>
              <w:spacing w:line="187" w:lineRule="exact" w:before="110"/>
              <w:ind w:left="350"/>
              <w:rPr>
                <w:b/>
                <w:sz w:val="16"/>
              </w:rPr>
            </w:pPr>
            <w:r>
              <w:rPr>
                <w:b/>
                <w:color w:val="FFFFFF"/>
                <w:sz w:val="16"/>
              </w:rPr>
              <w:t>Activities</w:t>
            </w:r>
          </w:p>
        </w:tc>
        <w:tc>
          <w:tcPr>
            <w:tcW w:w="324" w:type="dxa"/>
            <w:shd w:val="clear" w:color="auto" w:fill="003C79"/>
            <w:textDirection w:val="btLr"/>
          </w:tcPr>
          <w:p>
            <w:pPr>
              <w:pStyle w:val="TableParagraph"/>
              <w:spacing w:line="187" w:lineRule="exact" w:before="107"/>
              <w:ind w:left="398"/>
              <w:rPr>
                <w:b/>
                <w:sz w:val="16"/>
              </w:rPr>
            </w:pPr>
            <w:r>
              <w:rPr>
                <w:b/>
                <w:color w:val="FFFFFF"/>
                <w:sz w:val="16"/>
              </w:rPr>
              <w:t>Outputs</w:t>
            </w:r>
          </w:p>
        </w:tc>
        <w:tc>
          <w:tcPr>
            <w:tcW w:w="324" w:type="dxa"/>
            <w:shd w:val="clear" w:color="auto" w:fill="003C79"/>
            <w:textDirection w:val="btLr"/>
          </w:tcPr>
          <w:p>
            <w:pPr>
              <w:pStyle w:val="TableParagraph"/>
              <w:spacing w:line="184" w:lineRule="exact" w:before="110"/>
              <w:ind w:left="196"/>
              <w:rPr>
                <w:b/>
                <w:sz w:val="16"/>
              </w:rPr>
            </w:pPr>
            <w:r>
              <w:rPr>
                <w:b/>
                <w:color w:val="FFFFFF"/>
                <w:sz w:val="16"/>
              </w:rPr>
              <w:t>Outcomes</w:t>
            </w:r>
            <w:r>
              <w:rPr>
                <w:b/>
                <w:color w:val="FFFFFF"/>
                <w:spacing w:val="-2"/>
                <w:sz w:val="16"/>
              </w:rPr>
              <w:t> </w:t>
            </w:r>
            <w:r>
              <w:rPr>
                <w:b/>
                <w:color w:val="FFFFFF"/>
                <w:sz w:val="16"/>
              </w:rPr>
              <w:t>ST</w:t>
            </w:r>
          </w:p>
        </w:tc>
        <w:tc>
          <w:tcPr>
            <w:tcW w:w="326" w:type="dxa"/>
            <w:shd w:val="clear" w:color="auto" w:fill="003C79"/>
            <w:textDirection w:val="btLr"/>
          </w:tcPr>
          <w:p>
            <w:pPr>
              <w:pStyle w:val="TableParagraph"/>
              <w:spacing w:line="186" w:lineRule="exact" w:before="110"/>
              <w:ind w:left="165"/>
              <w:rPr>
                <w:b/>
                <w:sz w:val="16"/>
              </w:rPr>
            </w:pPr>
            <w:r>
              <w:rPr>
                <w:b/>
                <w:color w:val="FFFFFF"/>
                <w:sz w:val="16"/>
              </w:rPr>
              <w:t>Outcomes</w:t>
            </w:r>
            <w:r>
              <w:rPr>
                <w:b/>
                <w:color w:val="FFFFFF"/>
                <w:spacing w:val="-1"/>
                <w:sz w:val="16"/>
              </w:rPr>
              <w:t> </w:t>
            </w:r>
            <w:r>
              <w:rPr>
                <w:b/>
                <w:color w:val="FFFFFF"/>
                <w:sz w:val="16"/>
              </w:rPr>
              <w:t>MT</w:t>
            </w:r>
          </w:p>
        </w:tc>
      </w:tr>
      <w:tr>
        <w:trPr>
          <w:trHeight w:val="196" w:hRule="atLeast"/>
        </w:trPr>
        <w:tc>
          <w:tcPr>
            <w:tcW w:w="14287" w:type="dxa"/>
            <w:gridSpan w:val="7"/>
            <w:shd w:val="clear" w:color="auto" w:fill="F1F1F1"/>
          </w:tcPr>
          <w:p>
            <w:pPr>
              <w:pStyle w:val="TableParagraph"/>
              <w:spacing w:line="176" w:lineRule="exact"/>
              <w:ind w:left="107"/>
              <w:rPr>
                <w:b/>
                <w:sz w:val="16"/>
              </w:rPr>
            </w:pPr>
            <w:r>
              <w:rPr>
                <w:b/>
                <w:sz w:val="16"/>
              </w:rPr>
              <w:t>Level:</w:t>
            </w:r>
            <w:r>
              <w:rPr>
                <w:b/>
                <w:spacing w:val="-4"/>
                <w:sz w:val="16"/>
              </w:rPr>
              <w:t> </w:t>
            </w:r>
            <w:r>
              <w:rPr>
                <w:b/>
                <w:sz w:val="16"/>
              </w:rPr>
              <w:t>Program</w:t>
            </w:r>
          </w:p>
        </w:tc>
      </w:tr>
      <w:tr>
        <w:trPr>
          <w:trHeight w:val="645" w:hRule="atLeast"/>
        </w:trPr>
        <w:tc>
          <w:tcPr>
            <w:tcW w:w="5809" w:type="dxa"/>
          </w:tcPr>
          <w:p>
            <w:pPr>
              <w:pStyle w:val="TableParagraph"/>
              <w:spacing w:line="196" w:lineRule="exact"/>
              <w:ind w:left="129"/>
              <w:rPr>
                <w:sz w:val="16"/>
              </w:rPr>
            </w:pPr>
            <w:r>
              <w:rPr>
                <w:sz w:val="16"/>
              </w:rPr>
              <w:t>4.01</w:t>
            </w:r>
            <w:r>
              <w:rPr>
                <w:spacing w:val="-2"/>
                <w:sz w:val="16"/>
              </w:rPr>
              <w:t> </w:t>
            </w:r>
            <w:r>
              <w:rPr>
                <w:sz w:val="16"/>
              </w:rPr>
              <w:t>What</w:t>
            </w:r>
            <w:r>
              <w:rPr>
                <w:spacing w:val="-4"/>
                <w:sz w:val="16"/>
              </w:rPr>
              <w:t> </w:t>
            </w:r>
            <w:r>
              <w:rPr>
                <w:sz w:val="16"/>
              </w:rPr>
              <w:t>is</w:t>
            </w:r>
            <w:r>
              <w:rPr>
                <w:spacing w:val="-1"/>
                <w:sz w:val="16"/>
              </w:rPr>
              <w:t> </w:t>
            </w:r>
            <w:r>
              <w:rPr>
                <w:sz w:val="16"/>
              </w:rPr>
              <w:t>the cost</w:t>
            </w:r>
            <w:r>
              <w:rPr>
                <w:spacing w:val="-2"/>
                <w:sz w:val="16"/>
              </w:rPr>
              <w:t> </w:t>
            </w:r>
            <w:r>
              <w:rPr>
                <w:sz w:val="16"/>
              </w:rPr>
              <w:t>to</w:t>
            </w:r>
            <w:r>
              <w:rPr>
                <w:spacing w:val="-1"/>
                <w:sz w:val="16"/>
              </w:rPr>
              <w:t> </w:t>
            </w:r>
            <w:r>
              <w:rPr>
                <w:sz w:val="16"/>
              </w:rPr>
              <w:t>governments</w:t>
            </w:r>
            <w:r>
              <w:rPr>
                <w:spacing w:val="-3"/>
                <w:sz w:val="16"/>
              </w:rPr>
              <w:t> </w:t>
            </w:r>
            <w:r>
              <w:rPr>
                <w:sz w:val="16"/>
              </w:rPr>
              <w:t>of</w:t>
            </w:r>
            <w:r>
              <w:rPr>
                <w:spacing w:val="-1"/>
                <w:sz w:val="16"/>
              </w:rPr>
              <w:t> </w:t>
            </w:r>
            <w:r>
              <w:rPr>
                <w:sz w:val="16"/>
              </w:rPr>
              <w:t>care</w:t>
            </w:r>
            <w:r>
              <w:rPr>
                <w:spacing w:val="-2"/>
                <w:sz w:val="16"/>
              </w:rPr>
              <w:t> </w:t>
            </w:r>
            <w:r>
              <w:rPr>
                <w:sz w:val="16"/>
              </w:rPr>
              <w:t>for</w:t>
            </w:r>
            <w:r>
              <w:rPr>
                <w:spacing w:val="-4"/>
                <w:sz w:val="16"/>
              </w:rPr>
              <w:t> </w:t>
            </w:r>
            <w:r>
              <w:rPr>
                <w:sz w:val="16"/>
              </w:rPr>
              <w:t>HCH</w:t>
            </w:r>
            <w:r>
              <w:rPr>
                <w:spacing w:val="-2"/>
                <w:sz w:val="16"/>
              </w:rPr>
              <w:t> </w:t>
            </w:r>
            <w:r>
              <w:rPr>
                <w:sz w:val="16"/>
              </w:rPr>
              <w:t>enrolled</w:t>
            </w:r>
            <w:r>
              <w:rPr>
                <w:spacing w:val="-3"/>
                <w:sz w:val="16"/>
              </w:rPr>
              <w:t> </w:t>
            </w:r>
            <w:r>
              <w:rPr>
                <w:sz w:val="16"/>
              </w:rPr>
              <w:t>patients?</w:t>
            </w:r>
          </w:p>
        </w:tc>
        <w:tc>
          <w:tcPr>
            <w:tcW w:w="6853" w:type="dxa"/>
          </w:tcPr>
          <w:p>
            <w:pPr>
              <w:pStyle w:val="TableParagraph"/>
              <w:spacing w:line="264" w:lineRule="auto"/>
              <w:ind w:left="700" w:right="315" w:hanging="567"/>
              <w:rPr>
                <w:sz w:val="16"/>
              </w:rPr>
            </w:pPr>
            <w:r>
              <w:rPr>
                <w:sz w:val="16"/>
              </w:rPr>
              <w:t>4.01.01 Difference in mean government payments in the previous 12 months</w:t>
            </w:r>
            <w:r>
              <w:rPr>
                <w:spacing w:val="1"/>
                <w:sz w:val="16"/>
              </w:rPr>
              <w:t> </w:t>
            </w:r>
            <w:r>
              <w:rPr>
                <w:sz w:val="16"/>
              </w:rPr>
              <w:t>between</w:t>
            </w:r>
            <w:r>
              <w:rPr>
                <w:spacing w:val="-2"/>
                <w:sz w:val="16"/>
              </w:rPr>
              <w:t> </w:t>
            </w:r>
            <w:r>
              <w:rPr>
                <w:sz w:val="16"/>
              </w:rPr>
              <w:t>(a)</w:t>
            </w:r>
            <w:r>
              <w:rPr>
                <w:spacing w:val="-4"/>
                <w:sz w:val="16"/>
              </w:rPr>
              <w:t> </w:t>
            </w:r>
            <w:r>
              <w:rPr>
                <w:sz w:val="16"/>
              </w:rPr>
              <w:t>entry to</w:t>
            </w:r>
            <w:r>
              <w:rPr>
                <w:spacing w:val="-2"/>
                <w:sz w:val="16"/>
              </w:rPr>
              <w:t> </w:t>
            </w:r>
            <w:r>
              <w:rPr>
                <w:sz w:val="16"/>
              </w:rPr>
              <w:t>the HCH</w:t>
            </w:r>
            <w:r>
              <w:rPr>
                <w:spacing w:val="-4"/>
                <w:sz w:val="16"/>
              </w:rPr>
              <w:t> </w:t>
            </w:r>
            <w:r>
              <w:rPr>
                <w:sz w:val="16"/>
              </w:rPr>
              <w:t>program;</w:t>
            </w:r>
            <w:r>
              <w:rPr>
                <w:spacing w:val="-1"/>
                <w:sz w:val="16"/>
              </w:rPr>
              <w:t> </w:t>
            </w:r>
            <w:r>
              <w:rPr>
                <w:sz w:val="16"/>
              </w:rPr>
              <w:t>and</w:t>
            </w:r>
            <w:r>
              <w:rPr>
                <w:spacing w:val="-2"/>
                <w:sz w:val="16"/>
              </w:rPr>
              <w:t> </w:t>
            </w:r>
            <w:r>
              <w:rPr>
                <w:sz w:val="16"/>
              </w:rPr>
              <w:t>(b)</w:t>
            </w:r>
            <w:r>
              <w:rPr>
                <w:spacing w:val="-3"/>
                <w:sz w:val="16"/>
              </w:rPr>
              <w:t> </w:t>
            </w:r>
            <w:r>
              <w:rPr>
                <w:sz w:val="16"/>
              </w:rPr>
              <w:t>the</w:t>
            </w:r>
            <w:r>
              <w:rPr>
                <w:spacing w:val="-1"/>
                <w:sz w:val="16"/>
              </w:rPr>
              <w:t> </w:t>
            </w:r>
            <w:r>
              <w:rPr>
                <w:sz w:val="16"/>
              </w:rPr>
              <w:t>anniversary of</w:t>
            </w:r>
            <w:r>
              <w:rPr>
                <w:spacing w:val="-2"/>
                <w:sz w:val="16"/>
              </w:rPr>
              <w:t> </w:t>
            </w:r>
            <w:r>
              <w:rPr>
                <w:sz w:val="16"/>
              </w:rPr>
              <w:t>entry to</w:t>
            </w:r>
          </w:p>
          <w:p>
            <w:pPr>
              <w:pStyle w:val="TableParagraph"/>
              <w:spacing w:line="194" w:lineRule="exact"/>
              <w:ind w:left="700"/>
              <w:rPr>
                <w:sz w:val="16"/>
              </w:rPr>
            </w:pPr>
            <w:r>
              <w:rPr>
                <w:sz w:val="16"/>
              </w:rPr>
              <w:t>the</w:t>
            </w:r>
            <w:r>
              <w:rPr>
                <w:spacing w:val="-1"/>
                <w:sz w:val="16"/>
              </w:rPr>
              <w:t> </w:t>
            </w:r>
            <w:r>
              <w:rPr>
                <w:sz w:val="16"/>
              </w:rPr>
              <w:t>program,</w:t>
            </w:r>
            <w:r>
              <w:rPr>
                <w:spacing w:val="-2"/>
                <w:sz w:val="16"/>
              </w:rPr>
              <w:t> </w:t>
            </w:r>
            <w:r>
              <w:rPr>
                <w:sz w:val="16"/>
              </w:rPr>
              <w:t>HCH</w:t>
            </w:r>
            <w:r>
              <w:rPr>
                <w:spacing w:val="-3"/>
                <w:sz w:val="16"/>
              </w:rPr>
              <w:t> </w:t>
            </w:r>
            <w:r>
              <w:rPr>
                <w:sz w:val="16"/>
              </w:rPr>
              <w:t>patients vs.</w:t>
            </w:r>
            <w:r>
              <w:rPr>
                <w:spacing w:val="-4"/>
                <w:sz w:val="16"/>
              </w:rPr>
              <w:t> </w:t>
            </w:r>
            <w:r>
              <w:rPr>
                <w:sz w:val="16"/>
              </w:rPr>
              <w:t>comparator</w:t>
            </w:r>
            <w:r>
              <w:rPr>
                <w:spacing w:val="-4"/>
                <w:sz w:val="16"/>
              </w:rPr>
              <w:t> </w:t>
            </w:r>
            <w:r>
              <w:rPr>
                <w:sz w:val="16"/>
              </w:rPr>
              <w:t>patients.</w:t>
            </w:r>
          </w:p>
        </w:tc>
        <w:tc>
          <w:tcPr>
            <w:tcW w:w="324" w:type="dxa"/>
          </w:tcPr>
          <w:p>
            <w:pPr>
              <w:pStyle w:val="TableParagraph"/>
              <w:rPr>
                <w:rFonts w:ascii="Times New Roman"/>
                <w:sz w:val="16"/>
              </w:rPr>
            </w:pPr>
          </w:p>
        </w:tc>
        <w:tc>
          <w:tcPr>
            <w:tcW w:w="327" w:type="dxa"/>
          </w:tcPr>
          <w:p>
            <w:pPr>
              <w:pStyle w:val="TableParagraph"/>
              <w:ind w:right="80"/>
              <w:jc w:val="right"/>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1295" w:hRule="atLeast"/>
        </w:trPr>
        <w:tc>
          <w:tcPr>
            <w:tcW w:w="5809" w:type="dxa"/>
          </w:tcPr>
          <w:p>
            <w:pPr>
              <w:pStyle w:val="TableParagraph"/>
              <w:spacing w:line="261" w:lineRule="auto" w:before="2"/>
              <w:ind w:left="554" w:right="215" w:hanging="426"/>
              <w:rPr>
                <w:sz w:val="16"/>
              </w:rPr>
            </w:pPr>
            <w:r>
              <w:rPr>
                <w:sz w:val="16"/>
              </w:rPr>
              <w:t>4.02 What is the cost to governments of care for HCH enrolled patients</w:t>
            </w:r>
            <w:r>
              <w:rPr>
                <w:spacing w:val="-42"/>
                <w:sz w:val="16"/>
              </w:rPr>
              <w:t> </w:t>
            </w:r>
            <w:r>
              <w:rPr>
                <w:sz w:val="16"/>
              </w:rPr>
              <w:t>taking into consideration the net of savings due to reduced</w:t>
            </w:r>
            <w:r>
              <w:rPr>
                <w:spacing w:val="1"/>
                <w:sz w:val="16"/>
              </w:rPr>
              <w:t> </w:t>
            </w:r>
            <w:r>
              <w:rPr>
                <w:sz w:val="16"/>
              </w:rPr>
              <w:t>hospitalisation</w:t>
            </w:r>
            <w:r>
              <w:rPr>
                <w:spacing w:val="-2"/>
                <w:sz w:val="16"/>
              </w:rPr>
              <w:t> </w:t>
            </w:r>
            <w:r>
              <w:rPr>
                <w:sz w:val="16"/>
              </w:rPr>
              <w:t>and</w:t>
            </w:r>
            <w:r>
              <w:rPr>
                <w:spacing w:val="-1"/>
                <w:sz w:val="16"/>
              </w:rPr>
              <w:t> </w:t>
            </w:r>
            <w:r>
              <w:rPr>
                <w:sz w:val="16"/>
              </w:rPr>
              <w:t>other</w:t>
            </w:r>
            <w:r>
              <w:rPr>
                <w:spacing w:val="-2"/>
                <w:sz w:val="16"/>
              </w:rPr>
              <w:t> </w:t>
            </w:r>
            <w:r>
              <w:rPr>
                <w:sz w:val="16"/>
              </w:rPr>
              <w:t>health</w:t>
            </w:r>
            <w:r>
              <w:rPr>
                <w:spacing w:val="-2"/>
                <w:sz w:val="16"/>
              </w:rPr>
              <w:t> </w:t>
            </w:r>
            <w:r>
              <w:rPr>
                <w:sz w:val="16"/>
              </w:rPr>
              <w:t>services?</w:t>
            </w:r>
          </w:p>
        </w:tc>
        <w:tc>
          <w:tcPr>
            <w:tcW w:w="6853" w:type="dxa"/>
          </w:tcPr>
          <w:p>
            <w:pPr>
              <w:pStyle w:val="TableParagraph"/>
              <w:numPr>
                <w:ilvl w:val="2"/>
                <w:numId w:val="10"/>
              </w:numPr>
              <w:tabs>
                <w:tab w:pos="711" w:val="left" w:leader="none"/>
              </w:tabs>
              <w:spacing w:line="264" w:lineRule="auto" w:before="2" w:after="0"/>
              <w:ind w:left="700" w:right="168" w:hanging="567"/>
              <w:jc w:val="left"/>
              <w:rPr>
                <w:sz w:val="16"/>
              </w:rPr>
            </w:pPr>
            <w:r>
              <w:rPr>
                <w:sz w:val="16"/>
              </w:rPr>
              <w:t>Difference in mean per patient total of government MBS/HCH payments and</w:t>
            </w:r>
            <w:r>
              <w:rPr>
                <w:spacing w:val="-42"/>
                <w:sz w:val="16"/>
              </w:rPr>
              <w:t> </w:t>
            </w:r>
            <w:r>
              <w:rPr>
                <w:sz w:val="16"/>
              </w:rPr>
              <w:t>cost</w:t>
            </w:r>
            <w:r>
              <w:rPr>
                <w:spacing w:val="-3"/>
                <w:sz w:val="16"/>
              </w:rPr>
              <w:t> </w:t>
            </w:r>
            <w:r>
              <w:rPr>
                <w:sz w:val="16"/>
              </w:rPr>
              <w:t>to government</w:t>
            </w:r>
            <w:r>
              <w:rPr>
                <w:spacing w:val="-2"/>
                <w:sz w:val="16"/>
              </w:rPr>
              <w:t> </w:t>
            </w:r>
            <w:r>
              <w:rPr>
                <w:sz w:val="16"/>
              </w:rPr>
              <w:t>of</w:t>
            </w:r>
            <w:r>
              <w:rPr>
                <w:spacing w:val="-2"/>
                <w:sz w:val="16"/>
              </w:rPr>
              <w:t> </w:t>
            </w:r>
            <w:r>
              <w:rPr>
                <w:sz w:val="16"/>
              </w:rPr>
              <w:t>hospital</w:t>
            </w:r>
            <w:r>
              <w:rPr>
                <w:spacing w:val="-1"/>
                <w:sz w:val="16"/>
              </w:rPr>
              <w:t> </w:t>
            </w:r>
            <w:r>
              <w:rPr>
                <w:sz w:val="16"/>
              </w:rPr>
              <w:t>services</w:t>
            </w:r>
            <w:r>
              <w:rPr>
                <w:spacing w:val="-5"/>
                <w:sz w:val="16"/>
              </w:rPr>
              <w:t> </w:t>
            </w:r>
            <w:r>
              <w:rPr>
                <w:sz w:val="16"/>
              </w:rPr>
              <w:t>in the</w:t>
            </w:r>
            <w:r>
              <w:rPr>
                <w:spacing w:val="-3"/>
                <w:sz w:val="16"/>
              </w:rPr>
              <w:t> </w:t>
            </w:r>
            <w:r>
              <w:rPr>
                <w:sz w:val="16"/>
              </w:rPr>
              <w:t>previous</w:t>
            </w:r>
            <w:r>
              <w:rPr>
                <w:spacing w:val="3"/>
                <w:sz w:val="16"/>
              </w:rPr>
              <w:t> </w:t>
            </w:r>
            <w:r>
              <w:rPr>
                <w:sz w:val="16"/>
              </w:rPr>
              <w:t>12</w:t>
            </w:r>
            <w:r>
              <w:rPr>
                <w:spacing w:val="-3"/>
                <w:sz w:val="16"/>
              </w:rPr>
              <w:t> </w:t>
            </w:r>
            <w:r>
              <w:rPr>
                <w:sz w:val="16"/>
              </w:rPr>
              <w:t>months</w:t>
            </w:r>
            <w:r>
              <w:rPr>
                <w:spacing w:val="-2"/>
                <w:sz w:val="16"/>
              </w:rPr>
              <w:t> </w:t>
            </w:r>
            <w:r>
              <w:rPr>
                <w:sz w:val="16"/>
              </w:rPr>
              <w:t>between:</w:t>
            </w:r>
          </w:p>
          <w:p>
            <w:pPr>
              <w:pStyle w:val="TableParagraph"/>
              <w:numPr>
                <w:ilvl w:val="3"/>
                <w:numId w:val="10"/>
              </w:numPr>
              <w:tabs>
                <w:tab w:pos="972" w:val="left" w:leader="none"/>
              </w:tabs>
              <w:spacing w:line="264" w:lineRule="auto" w:before="0" w:after="0"/>
              <w:ind w:left="700" w:right="430" w:firstLine="0"/>
              <w:jc w:val="left"/>
              <w:rPr>
                <w:sz w:val="16"/>
              </w:rPr>
            </w:pPr>
            <w:r>
              <w:rPr>
                <w:sz w:val="16"/>
              </w:rPr>
              <w:t>entry to the HCH program; and (b) the anniversary of entry to the</w:t>
            </w:r>
            <w:r>
              <w:rPr>
                <w:spacing w:val="1"/>
                <w:sz w:val="16"/>
              </w:rPr>
              <w:t> </w:t>
            </w:r>
            <w:r>
              <w:rPr>
                <w:sz w:val="16"/>
              </w:rPr>
              <w:t>program, HCH patients vs. comparator patients. Cost to government of</w:t>
            </w:r>
            <w:r>
              <w:rPr>
                <w:spacing w:val="1"/>
                <w:sz w:val="16"/>
              </w:rPr>
              <w:t> </w:t>
            </w:r>
            <w:r>
              <w:rPr>
                <w:sz w:val="16"/>
              </w:rPr>
              <w:t>hospital services</w:t>
            </w:r>
            <w:r>
              <w:rPr>
                <w:spacing w:val="-6"/>
                <w:sz w:val="16"/>
              </w:rPr>
              <w:t> </w:t>
            </w:r>
            <w:r>
              <w:rPr>
                <w:sz w:val="16"/>
              </w:rPr>
              <w:t>will</w:t>
            </w:r>
            <w:r>
              <w:rPr>
                <w:spacing w:val="-2"/>
                <w:sz w:val="16"/>
              </w:rPr>
              <w:t> </w:t>
            </w:r>
            <w:r>
              <w:rPr>
                <w:sz w:val="16"/>
              </w:rPr>
              <w:t>be</w:t>
            </w:r>
            <w:r>
              <w:rPr>
                <w:spacing w:val="-2"/>
                <w:sz w:val="16"/>
              </w:rPr>
              <w:t> </w:t>
            </w:r>
            <w:r>
              <w:rPr>
                <w:sz w:val="16"/>
              </w:rPr>
              <w:t>based</w:t>
            </w:r>
            <w:r>
              <w:rPr>
                <w:spacing w:val="-3"/>
                <w:sz w:val="16"/>
              </w:rPr>
              <w:t> </w:t>
            </w:r>
            <w:r>
              <w:rPr>
                <w:sz w:val="16"/>
              </w:rPr>
              <w:t>on</w:t>
            </w:r>
            <w:r>
              <w:rPr>
                <w:spacing w:val="-1"/>
                <w:sz w:val="16"/>
              </w:rPr>
              <w:t> </w:t>
            </w:r>
            <w:r>
              <w:rPr>
                <w:sz w:val="16"/>
              </w:rPr>
              <w:t>the</w:t>
            </w:r>
            <w:r>
              <w:rPr>
                <w:spacing w:val="1"/>
                <w:sz w:val="16"/>
              </w:rPr>
              <w:t> </w:t>
            </w:r>
            <w:r>
              <w:rPr>
                <w:sz w:val="16"/>
              </w:rPr>
              <w:t>total</w:t>
            </w:r>
            <w:r>
              <w:rPr>
                <w:spacing w:val="-2"/>
                <w:sz w:val="16"/>
              </w:rPr>
              <w:t> </w:t>
            </w:r>
            <w:r>
              <w:rPr>
                <w:sz w:val="16"/>
              </w:rPr>
              <w:t>NWAUs</w:t>
            </w:r>
            <w:r>
              <w:rPr>
                <w:spacing w:val="-1"/>
                <w:sz w:val="16"/>
              </w:rPr>
              <w:t> </w:t>
            </w:r>
            <w:r>
              <w:rPr>
                <w:sz w:val="16"/>
              </w:rPr>
              <w:t>related</w:t>
            </w:r>
            <w:r>
              <w:rPr>
                <w:spacing w:val="-3"/>
                <w:sz w:val="16"/>
              </w:rPr>
              <w:t> </w:t>
            </w:r>
            <w:r>
              <w:rPr>
                <w:sz w:val="16"/>
              </w:rPr>
              <w:t>to</w:t>
            </w:r>
            <w:r>
              <w:rPr>
                <w:spacing w:val="-2"/>
                <w:sz w:val="16"/>
              </w:rPr>
              <w:t> </w:t>
            </w:r>
            <w:r>
              <w:rPr>
                <w:sz w:val="16"/>
              </w:rPr>
              <w:t>use</w:t>
            </w:r>
            <w:r>
              <w:rPr>
                <w:spacing w:val="-3"/>
                <w:sz w:val="16"/>
              </w:rPr>
              <w:t> </w:t>
            </w:r>
            <w:r>
              <w:rPr>
                <w:sz w:val="16"/>
              </w:rPr>
              <w:t>of</w:t>
            </w:r>
            <w:r>
              <w:rPr>
                <w:spacing w:val="-3"/>
                <w:sz w:val="16"/>
              </w:rPr>
              <w:t> </w:t>
            </w:r>
            <w:r>
              <w:rPr>
                <w:sz w:val="16"/>
              </w:rPr>
              <w:t>public</w:t>
            </w:r>
          </w:p>
          <w:p>
            <w:pPr>
              <w:pStyle w:val="TableParagraph"/>
              <w:spacing w:line="196" w:lineRule="exact"/>
              <w:ind w:left="700"/>
              <w:rPr>
                <w:sz w:val="16"/>
              </w:rPr>
            </w:pPr>
            <w:r>
              <w:rPr>
                <w:sz w:val="16"/>
              </w:rPr>
              <w:t>hospitals,</w:t>
            </w:r>
            <w:r>
              <w:rPr>
                <w:spacing w:val="-3"/>
                <w:sz w:val="16"/>
              </w:rPr>
              <w:t> </w:t>
            </w:r>
            <w:r>
              <w:rPr>
                <w:sz w:val="16"/>
              </w:rPr>
              <w:t>multiplied</w:t>
            </w:r>
            <w:r>
              <w:rPr>
                <w:spacing w:val="-4"/>
                <w:sz w:val="16"/>
              </w:rPr>
              <w:t> </w:t>
            </w:r>
            <w:r>
              <w:rPr>
                <w:sz w:val="16"/>
              </w:rPr>
              <w:t>by</w:t>
            </w:r>
            <w:r>
              <w:rPr>
                <w:spacing w:val="-4"/>
                <w:sz w:val="16"/>
              </w:rPr>
              <w:t> </w:t>
            </w:r>
            <w:r>
              <w:rPr>
                <w:sz w:val="16"/>
              </w:rPr>
              <w:t>the</w:t>
            </w:r>
            <w:r>
              <w:rPr>
                <w:spacing w:val="-4"/>
                <w:sz w:val="16"/>
              </w:rPr>
              <w:t> </w:t>
            </w:r>
            <w:r>
              <w:rPr>
                <w:sz w:val="16"/>
              </w:rPr>
              <w:t>National</w:t>
            </w:r>
            <w:r>
              <w:rPr>
                <w:spacing w:val="-3"/>
                <w:sz w:val="16"/>
              </w:rPr>
              <w:t> </w:t>
            </w:r>
            <w:r>
              <w:rPr>
                <w:sz w:val="16"/>
              </w:rPr>
              <w:t>Efficient</w:t>
            </w:r>
            <w:r>
              <w:rPr>
                <w:spacing w:val="-3"/>
                <w:sz w:val="16"/>
              </w:rPr>
              <w:t> </w:t>
            </w:r>
            <w:r>
              <w:rPr>
                <w:sz w:val="16"/>
              </w:rPr>
              <w:t>Price.</w:t>
            </w:r>
          </w:p>
        </w:tc>
        <w:tc>
          <w:tcPr>
            <w:tcW w:w="324" w:type="dxa"/>
          </w:tcPr>
          <w:p>
            <w:pPr>
              <w:pStyle w:val="TableParagraph"/>
              <w:rPr>
                <w:rFonts w:ascii="Times New Roman"/>
                <w:sz w:val="16"/>
              </w:rPr>
            </w:pPr>
          </w:p>
        </w:tc>
        <w:tc>
          <w:tcPr>
            <w:tcW w:w="327" w:type="dxa"/>
          </w:tcPr>
          <w:p>
            <w:pPr>
              <w:pStyle w:val="TableParagraph"/>
              <w:rPr>
                <w:b/>
                <w:sz w:val="16"/>
              </w:rPr>
            </w:pPr>
          </w:p>
          <w:p>
            <w:pPr>
              <w:pStyle w:val="TableParagraph"/>
              <w:ind w:right="80"/>
              <w:jc w:val="right"/>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431" w:hRule="atLeast"/>
        </w:trPr>
        <w:tc>
          <w:tcPr>
            <w:tcW w:w="5809" w:type="dxa"/>
          </w:tcPr>
          <w:p>
            <w:pPr>
              <w:pStyle w:val="TableParagraph"/>
              <w:spacing w:line="196" w:lineRule="exact"/>
              <w:ind w:left="129"/>
              <w:rPr>
                <w:sz w:val="16"/>
              </w:rPr>
            </w:pPr>
            <w:r>
              <w:rPr>
                <w:sz w:val="16"/>
              </w:rPr>
              <w:t>4.03</w:t>
            </w:r>
            <w:r>
              <w:rPr>
                <w:spacing w:val="-4"/>
                <w:sz w:val="16"/>
              </w:rPr>
              <w:t> </w:t>
            </w:r>
            <w:r>
              <w:rPr>
                <w:sz w:val="16"/>
              </w:rPr>
              <w:t>Is</w:t>
            </w:r>
            <w:r>
              <w:rPr>
                <w:spacing w:val="-4"/>
                <w:sz w:val="16"/>
              </w:rPr>
              <w:t> </w:t>
            </w:r>
            <w:r>
              <w:rPr>
                <w:sz w:val="16"/>
              </w:rPr>
              <w:t>the</w:t>
            </w:r>
            <w:r>
              <w:rPr>
                <w:spacing w:val="-2"/>
                <w:sz w:val="16"/>
              </w:rPr>
              <w:t> </w:t>
            </w:r>
            <w:r>
              <w:rPr>
                <w:sz w:val="16"/>
              </w:rPr>
              <w:t>current</w:t>
            </w:r>
            <w:r>
              <w:rPr>
                <w:spacing w:val="-3"/>
                <w:sz w:val="16"/>
              </w:rPr>
              <w:t> </w:t>
            </w:r>
            <w:r>
              <w:rPr>
                <w:sz w:val="16"/>
              </w:rPr>
              <w:t>HCH</w:t>
            </w:r>
            <w:r>
              <w:rPr>
                <w:spacing w:val="-2"/>
                <w:sz w:val="16"/>
              </w:rPr>
              <w:t> </w:t>
            </w:r>
            <w:r>
              <w:rPr>
                <w:sz w:val="16"/>
              </w:rPr>
              <w:t>model financially</w:t>
            </w:r>
            <w:r>
              <w:rPr>
                <w:spacing w:val="-4"/>
                <w:sz w:val="16"/>
              </w:rPr>
              <w:t> </w:t>
            </w:r>
            <w:r>
              <w:rPr>
                <w:sz w:val="16"/>
              </w:rPr>
              <w:t>sustainable?</w:t>
            </w:r>
          </w:p>
        </w:tc>
        <w:tc>
          <w:tcPr>
            <w:tcW w:w="6853" w:type="dxa"/>
          </w:tcPr>
          <w:p>
            <w:pPr>
              <w:pStyle w:val="TableParagraph"/>
              <w:spacing w:line="196" w:lineRule="exact"/>
              <w:ind w:left="134"/>
              <w:rPr>
                <w:sz w:val="16"/>
              </w:rPr>
            </w:pPr>
            <w:r>
              <w:rPr>
                <w:sz w:val="16"/>
              </w:rPr>
              <w:t>4.03.01</w:t>
            </w:r>
            <w:r>
              <w:rPr>
                <w:spacing w:val="-3"/>
                <w:sz w:val="16"/>
              </w:rPr>
              <w:t> </w:t>
            </w:r>
            <w:r>
              <w:rPr>
                <w:sz w:val="16"/>
              </w:rPr>
              <w:t>Mean</w:t>
            </w:r>
            <w:r>
              <w:rPr>
                <w:spacing w:val="-2"/>
                <w:sz w:val="16"/>
              </w:rPr>
              <w:t> </w:t>
            </w:r>
            <w:r>
              <w:rPr>
                <w:sz w:val="16"/>
              </w:rPr>
              <w:t>government</w:t>
            </w:r>
            <w:r>
              <w:rPr>
                <w:spacing w:val="-2"/>
                <w:sz w:val="16"/>
              </w:rPr>
              <w:t> </w:t>
            </w:r>
            <w:r>
              <w:rPr>
                <w:sz w:val="16"/>
              </w:rPr>
              <w:t>cost</w:t>
            </w:r>
            <w:r>
              <w:rPr>
                <w:spacing w:val="-4"/>
                <w:sz w:val="16"/>
              </w:rPr>
              <w:t> </w:t>
            </w:r>
            <w:r>
              <w:rPr>
                <w:sz w:val="16"/>
              </w:rPr>
              <w:t>(including</w:t>
            </w:r>
            <w:r>
              <w:rPr>
                <w:spacing w:val="-2"/>
                <w:sz w:val="16"/>
              </w:rPr>
              <w:t> </w:t>
            </w:r>
            <w:r>
              <w:rPr>
                <w:sz w:val="16"/>
              </w:rPr>
              <w:t>of</w:t>
            </w:r>
            <w:r>
              <w:rPr>
                <w:spacing w:val="-2"/>
                <w:sz w:val="16"/>
              </w:rPr>
              <w:t> </w:t>
            </w:r>
            <w:r>
              <w:rPr>
                <w:sz w:val="16"/>
              </w:rPr>
              <w:t>hospital</w:t>
            </w:r>
            <w:r>
              <w:rPr>
                <w:spacing w:val="1"/>
                <w:sz w:val="16"/>
              </w:rPr>
              <w:t> </w:t>
            </w:r>
            <w:r>
              <w:rPr>
                <w:sz w:val="16"/>
              </w:rPr>
              <w:t>services)</w:t>
            </w:r>
            <w:r>
              <w:rPr>
                <w:spacing w:val="-4"/>
                <w:sz w:val="16"/>
              </w:rPr>
              <w:t> </w:t>
            </w:r>
            <w:r>
              <w:rPr>
                <w:sz w:val="16"/>
              </w:rPr>
              <w:t>per</w:t>
            </w:r>
            <w:r>
              <w:rPr>
                <w:spacing w:val="-3"/>
                <w:sz w:val="16"/>
              </w:rPr>
              <w:t> </w:t>
            </w:r>
            <w:r>
              <w:rPr>
                <w:sz w:val="16"/>
              </w:rPr>
              <w:t>patient</w:t>
            </w:r>
            <w:r>
              <w:rPr>
                <w:spacing w:val="-4"/>
                <w:sz w:val="16"/>
              </w:rPr>
              <w:t> </w:t>
            </w:r>
            <w:r>
              <w:rPr>
                <w:sz w:val="16"/>
              </w:rPr>
              <w:t>is</w:t>
            </w:r>
            <w:r>
              <w:rPr>
                <w:spacing w:val="-5"/>
                <w:sz w:val="16"/>
              </w:rPr>
              <w:t> </w:t>
            </w:r>
            <w:r>
              <w:rPr>
                <w:sz w:val="16"/>
              </w:rPr>
              <w:t>less for</w:t>
            </w:r>
          </w:p>
          <w:p>
            <w:pPr>
              <w:pStyle w:val="TableParagraph"/>
              <w:spacing w:line="196" w:lineRule="exact" w:before="20"/>
              <w:ind w:left="700"/>
              <w:rPr>
                <w:sz w:val="16"/>
              </w:rPr>
            </w:pPr>
            <w:r>
              <w:rPr>
                <w:sz w:val="16"/>
              </w:rPr>
              <w:t>HCH</w:t>
            </w:r>
            <w:r>
              <w:rPr>
                <w:spacing w:val="-4"/>
                <w:sz w:val="16"/>
              </w:rPr>
              <w:t> </w:t>
            </w:r>
            <w:r>
              <w:rPr>
                <w:sz w:val="16"/>
              </w:rPr>
              <w:t>patients</w:t>
            </w:r>
            <w:r>
              <w:rPr>
                <w:spacing w:val="-2"/>
                <w:sz w:val="16"/>
              </w:rPr>
              <w:t> </w:t>
            </w:r>
            <w:r>
              <w:rPr>
                <w:sz w:val="16"/>
              </w:rPr>
              <w:t>vs.</w:t>
            </w:r>
            <w:r>
              <w:rPr>
                <w:spacing w:val="-3"/>
                <w:sz w:val="16"/>
              </w:rPr>
              <w:t> </w:t>
            </w:r>
            <w:r>
              <w:rPr>
                <w:sz w:val="16"/>
              </w:rPr>
              <w:t>comparator</w:t>
            </w:r>
            <w:r>
              <w:rPr>
                <w:spacing w:val="-2"/>
                <w:sz w:val="16"/>
              </w:rPr>
              <w:t> </w:t>
            </w:r>
            <w:r>
              <w:rPr>
                <w:sz w:val="16"/>
              </w:rPr>
              <w:t>patients.</w:t>
            </w:r>
          </w:p>
        </w:tc>
        <w:tc>
          <w:tcPr>
            <w:tcW w:w="324" w:type="dxa"/>
          </w:tcPr>
          <w:p>
            <w:pPr>
              <w:pStyle w:val="TableParagraph"/>
              <w:rPr>
                <w:rFonts w:ascii="Times New Roman"/>
                <w:sz w:val="16"/>
              </w:rPr>
            </w:pPr>
          </w:p>
        </w:tc>
        <w:tc>
          <w:tcPr>
            <w:tcW w:w="327" w:type="dxa"/>
          </w:tcPr>
          <w:p>
            <w:pPr>
              <w:pStyle w:val="TableParagraph"/>
              <w:rPr>
                <w:b/>
                <w:sz w:val="16"/>
              </w:rPr>
            </w:pPr>
          </w:p>
          <w:p>
            <w:pPr>
              <w:pStyle w:val="TableParagraph"/>
              <w:ind w:right="80"/>
              <w:jc w:val="right"/>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431" w:hRule="atLeast"/>
        </w:trPr>
        <w:tc>
          <w:tcPr>
            <w:tcW w:w="5809" w:type="dxa"/>
          </w:tcPr>
          <w:p>
            <w:pPr>
              <w:pStyle w:val="TableParagraph"/>
              <w:spacing w:line="196" w:lineRule="exact"/>
              <w:ind w:left="129"/>
              <w:rPr>
                <w:sz w:val="16"/>
              </w:rPr>
            </w:pPr>
            <w:r>
              <w:rPr>
                <w:sz w:val="16"/>
              </w:rPr>
              <w:t>4.04</w:t>
            </w:r>
            <w:r>
              <w:rPr>
                <w:spacing w:val="-2"/>
                <w:sz w:val="16"/>
              </w:rPr>
              <w:t> </w:t>
            </w:r>
            <w:r>
              <w:rPr>
                <w:sz w:val="16"/>
              </w:rPr>
              <w:t>What</w:t>
            </w:r>
            <w:r>
              <w:rPr>
                <w:spacing w:val="-3"/>
                <w:sz w:val="16"/>
              </w:rPr>
              <w:t> </w:t>
            </w:r>
            <w:r>
              <w:rPr>
                <w:sz w:val="16"/>
              </w:rPr>
              <w:t>resources</w:t>
            </w:r>
            <w:r>
              <w:rPr>
                <w:spacing w:val="-3"/>
                <w:sz w:val="16"/>
              </w:rPr>
              <w:t> </w:t>
            </w:r>
            <w:r>
              <w:rPr>
                <w:sz w:val="16"/>
              </w:rPr>
              <w:t>are required to</w:t>
            </w:r>
            <w:r>
              <w:rPr>
                <w:spacing w:val="-3"/>
                <w:sz w:val="16"/>
              </w:rPr>
              <w:t> </w:t>
            </w:r>
            <w:r>
              <w:rPr>
                <w:sz w:val="16"/>
              </w:rPr>
              <w:t>make</w:t>
            </w:r>
            <w:r>
              <w:rPr>
                <w:spacing w:val="-2"/>
                <w:sz w:val="16"/>
              </w:rPr>
              <w:t> </w:t>
            </w:r>
            <w:r>
              <w:rPr>
                <w:sz w:val="16"/>
              </w:rPr>
              <w:t>HCH</w:t>
            </w:r>
            <w:r>
              <w:rPr>
                <w:spacing w:val="-1"/>
                <w:sz w:val="16"/>
              </w:rPr>
              <w:t> </w:t>
            </w:r>
            <w:r>
              <w:rPr>
                <w:sz w:val="16"/>
              </w:rPr>
              <w:t>succeed,</w:t>
            </w:r>
            <w:r>
              <w:rPr>
                <w:spacing w:val="-4"/>
                <w:sz w:val="16"/>
              </w:rPr>
              <w:t> </w:t>
            </w:r>
            <w:r>
              <w:rPr>
                <w:sz w:val="16"/>
              </w:rPr>
              <w:t>and</w:t>
            </w:r>
            <w:r>
              <w:rPr>
                <w:spacing w:val="-5"/>
                <w:sz w:val="16"/>
              </w:rPr>
              <w:t> </w:t>
            </w:r>
            <w:r>
              <w:rPr>
                <w:sz w:val="16"/>
              </w:rPr>
              <w:t>how can</w:t>
            </w:r>
          </w:p>
          <w:p>
            <w:pPr>
              <w:pStyle w:val="TableParagraph"/>
              <w:spacing w:line="196" w:lineRule="exact" w:before="20"/>
              <w:ind w:left="554"/>
              <w:rPr>
                <w:sz w:val="16"/>
              </w:rPr>
            </w:pPr>
            <w:r>
              <w:rPr>
                <w:sz w:val="16"/>
              </w:rPr>
              <w:t>these</w:t>
            </w:r>
            <w:r>
              <w:rPr>
                <w:spacing w:val="-4"/>
                <w:sz w:val="16"/>
              </w:rPr>
              <w:t> </w:t>
            </w:r>
            <w:r>
              <w:rPr>
                <w:sz w:val="16"/>
              </w:rPr>
              <w:t>be</w:t>
            </w:r>
            <w:r>
              <w:rPr>
                <w:spacing w:val="-3"/>
                <w:sz w:val="16"/>
              </w:rPr>
              <w:t> </w:t>
            </w:r>
            <w:r>
              <w:rPr>
                <w:sz w:val="16"/>
              </w:rPr>
              <w:t>efficiently</w:t>
            </w:r>
            <w:r>
              <w:rPr>
                <w:spacing w:val="-3"/>
                <w:sz w:val="16"/>
              </w:rPr>
              <w:t> </w:t>
            </w:r>
            <w:r>
              <w:rPr>
                <w:sz w:val="16"/>
              </w:rPr>
              <w:t>used?</w:t>
            </w:r>
          </w:p>
        </w:tc>
        <w:tc>
          <w:tcPr>
            <w:tcW w:w="6853" w:type="dxa"/>
          </w:tcPr>
          <w:p>
            <w:pPr>
              <w:pStyle w:val="TableParagraph"/>
              <w:spacing w:line="196" w:lineRule="exact"/>
              <w:ind w:right="338"/>
              <w:jc w:val="right"/>
              <w:rPr>
                <w:sz w:val="16"/>
              </w:rPr>
            </w:pPr>
            <w:r>
              <w:rPr>
                <w:sz w:val="16"/>
              </w:rPr>
              <w:t>4.04.01</w:t>
            </w:r>
            <w:r>
              <w:rPr>
                <w:spacing w:val="-3"/>
                <w:sz w:val="16"/>
              </w:rPr>
              <w:t> </w:t>
            </w:r>
            <w:r>
              <w:rPr>
                <w:sz w:val="16"/>
              </w:rPr>
              <w:t>Estimated</w:t>
            </w:r>
            <w:r>
              <w:rPr>
                <w:spacing w:val="-2"/>
                <w:sz w:val="16"/>
              </w:rPr>
              <w:t> </w:t>
            </w:r>
            <w:r>
              <w:rPr>
                <w:sz w:val="16"/>
              </w:rPr>
              <w:t>cost</w:t>
            </w:r>
            <w:r>
              <w:rPr>
                <w:spacing w:val="-3"/>
                <w:sz w:val="16"/>
              </w:rPr>
              <w:t> </w:t>
            </w:r>
            <w:r>
              <w:rPr>
                <w:sz w:val="16"/>
              </w:rPr>
              <w:t>of</w:t>
            </w:r>
            <w:r>
              <w:rPr>
                <w:spacing w:val="-3"/>
                <w:sz w:val="16"/>
              </w:rPr>
              <w:t> </w:t>
            </w:r>
            <w:r>
              <w:rPr>
                <w:sz w:val="16"/>
              </w:rPr>
              <w:t>improvements</w:t>
            </w:r>
            <w:r>
              <w:rPr>
                <w:spacing w:val="-1"/>
                <w:sz w:val="16"/>
              </w:rPr>
              <w:t> </w:t>
            </w:r>
            <w:r>
              <w:rPr>
                <w:sz w:val="16"/>
              </w:rPr>
              <w:t>to</w:t>
            </w:r>
            <w:r>
              <w:rPr>
                <w:spacing w:val="-4"/>
                <w:sz w:val="16"/>
              </w:rPr>
              <w:t> </w:t>
            </w:r>
            <w:r>
              <w:rPr>
                <w:sz w:val="16"/>
              </w:rPr>
              <w:t>the</w:t>
            </w:r>
            <w:r>
              <w:rPr>
                <w:spacing w:val="-2"/>
                <w:sz w:val="16"/>
              </w:rPr>
              <w:t> </w:t>
            </w:r>
            <w:r>
              <w:rPr>
                <w:sz w:val="16"/>
              </w:rPr>
              <w:t>design</w:t>
            </w:r>
            <w:r>
              <w:rPr>
                <w:spacing w:val="-4"/>
                <w:sz w:val="16"/>
              </w:rPr>
              <w:t> </w:t>
            </w:r>
            <w:r>
              <w:rPr>
                <w:sz w:val="16"/>
              </w:rPr>
              <w:t>and</w:t>
            </w:r>
            <w:r>
              <w:rPr>
                <w:spacing w:val="-3"/>
                <w:sz w:val="16"/>
              </w:rPr>
              <w:t> </w:t>
            </w:r>
            <w:r>
              <w:rPr>
                <w:sz w:val="16"/>
              </w:rPr>
              <w:t>payment</w:t>
            </w:r>
            <w:r>
              <w:rPr>
                <w:spacing w:val="-6"/>
                <w:sz w:val="16"/>
              </w:rPr>
              <w:t> </w:t>
            </w:r>
            <w:r>
              <w:rPr>
                <w:sz w:val="16"/>
              </w:rPr>
              <w:t>arrangements</w:t>
            </w:r>
          </w:p>
          <w:p>
            <w:pPr>
              <w:pStyle w:val="TableParagraph"/>
              <w:spacing w:line="196" w:lineRule="exact" w:before="20"/>
              <w:ind w:right="349"/>
              <w:jc w:val="right"/>
              <w:rPr>
                <w:sz w:val="16"/>
              </w:rPr>
            </w:pPr>
            <w:r>
              <w:rPr>
                <w:sz w:val="16"/>
              </w:rPr>
              <w:t>for</w:t>
            </w:r>
            <w:r>
              <w:rPr>
                <w:spacing w:val="-1"/>
                <w:sz w:val="16"/>
              </w:rPr>
              <w:t> </w:t>
            </w:r>
            <w:r>
              <w:rPr>
                <w:sz w:val="16"/>
              </w:rPr>
              <w:t>the</w:t>
            </w:r>
            <w:r>
              <w:rPr>
                <w:spacing w:val="-1"/>
                <w:sz w:val="16"/>
              </w:rPr>
              <w:t> </w:t>
            </w:r>
            <w:r>
              <w:rPr>
                <w:sz w:val="16"/>
              </w:rPr>
              <w:t>HCH</w:t>
            </w:r>
            <w:r>
              <w:rPr>
                <w:spacing w:val="-2"/>
                <w:sz w:val="16"/>
              </w:rPr>
              <w:t> </w:t>
            </w:r>
            <w:r>
              <w:rPr>
                <w:sz w:val="16"/>
              </w:rPr>
              <w:t>model</w:t>
            </w:r>
            <w:r>
              <w:rPr>
                <w:spacing w:val="-1"/>
                <w:sz w:val="16"/>
              </w:rPr>
              <w:t> </w:t>
            </w:r>
            <w:r>
              <w:rPr>
                <w:sz w:val="16"/>
              </w:rPr>
              <w:t>and</w:t>
            </w:r>
            <w:r>
              <w:rPr>
                <w:spacing w:val="-2"/>
                <w:sz w:val="16"/>
              </w:rPr>
              <w:t> </w:t>
            </w:r>
            <w:r>
              <w:rPr>
                <w:sz w:val="16"/>
              </w:rPr>
              <w:t>the</w:t>
            </w:r>
            <w:r>
              <w:rPr>
                <w:spacing w:val="-3"/>
                <w:sz w:val="16"/>
              </w:rPr>
              <w:t> </w:t>
            </w:r>
            <w:r>
              <w:rPr>
                <w:sz w:val="16"/>
              </w:rPr>
              <w:t>impacts these</w:t>
            </w:r>
            <w:r>
              <w:rPr>
                <w:spacing w:val="-4"/>
                <w:sz w:val="16"/>
              </w:rPr>
              <w:t> </w:t>
            </w:r>
            <w:r>
              <w:rPr>
                <w:sz w:val="16"/>
              </w:rPr>
              <w:t>will have</w:t>
            </w:r>
            <w:r>
              <w:rPr>
                <w:spacing w:val="1"/>
                <w:sz w:val="16"/>
              </w:rPr>
              <w:t> </w:t>
            </w:r>
            <w:r>
              <w:rPr>
                <w:sz w:val="16"/>
              </w:rPr>
              <w:t>on</w:t>
            </w:r>
            <w:r>
              <w:rPr>
                <w:spacing w:val="-2"/>
                <w:sz w:val="16"/>
              </w:rPr>
              <w:t> </w:t>
            </w:r>
            <w:r>
              <w:rPr>
                <w:sz w:val="16"/>
              </w:rPr>
              <w:t>program outcomes.</w:t>
            </w:r>
          </w:p>
        </w:tc>
        <w:tc>
          <w:tcPr>
            <w:tcW w:w="324" w:type="dxa"/>
          </w:tcPr>
          <w:p>
            <w:pPr>
              <w:pStyle w:val="TableParagraph"/>
              <w:rPr>
                <w:rFonts w:ascii="Times New Roman"/>
                <w:sz w:val="16"/>
              </w:rPr>
            </w:pPr>
          </w:p>
        </w:tc>
        <w:tc>
          <w:tcPr>
            <w:tcW w:w="327" w:type="dxa"/>
          </w:tcPr>
          <w:p>
            <w:pPr>
              <w:pStyle w:val="TableParagraph"/>
              <w:rPr>
                <w:b/>
                <w:sz w:val="16"/>
              </w:rPr>
            </w:pPr>
          </w:p>
          <w:p>
            <w:pPr>
              <w:pStyle w:val="TableParagraph"/>
              <w:ind w:right="80"/>
              <w:jc w:val="right"/>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432" w:hRule="atLeast"/>
        </w:trPr>
        <w:tc>
          <w:tcPr>
            <w:tcW w:w="5809" w:type="dxa"/>
          </w:tcPr>
          <w:p>
            <w:pPr>
              <w:pStyle w:val="TableParagraph"/>
              <w:ind w:left="129"/>
              <w:rPr>
                <w:sz w:val="16"/>
              </w:rPr>
            </w:pPr>
            <w:r>
              <w:rPr>
                <w:sz w:val="16"/>
              </w:rPr>
              <w:t>4.05</w:t>
            </w:r>
            <w:r>
              <w:rPr>
                <w:spacing w:val="-2"/>
                <w:sz w:val="16"/>
              </w:rPr>
              <w:t> </w:t>
            </w:r>
            <w:r>
              <w:rPr>
                <w:sz w:val="16"/>
              </w:rPr>
              <w:t>What</w:t>
            </w:r>
            <w:r>
              <w:rPr>
                <w:spacing w:val="-4"/>
                <w:sz w:val="16"/>
              </w:rPr>
              <w:t> </w:t>
            </w:r>
            <w:r>
              <w:rPr>
                <w:sz w:val="16"/>
              </w:rPr>
              <w:t>will</w:t>
            </w:r>
            <w:r>
              <w:rPr>
                <w:spacing w:val="-1"/>
                <w:sz w:val="16"/>
              </w:rPr>
              <w:t> </w:t>
            </w:r>
            <w:r>
              <w:rPr>
                <w:sz w:val="16"/>
              </w:rPr>
              <w:t>be</w:t>
            </w:r>
            <w:r>
              <w:rPr>
                <w:spacing w:val="-2"/>
                <w:sz w:val="16"/>
              </w:rPr>
              <w:t> </w:t>
            </w:r>
            <w:r>
              <w:rPr>
                <w:sz w:val="16"/>
              </w:rPr>
              <w:t>the</w:t>
            </w:r>
            <w:r>
              <w:rPr>
                <w:spacing w:val="-1"/>
                <w:sz w:val="16"/>
              </w:rPr>
              <w:t> </w:t>
            </w:r>
            <w:r>
              <w:rPr>
                <w:sz w:val="16"/>
              </w:rPr>
              <w:t>financial</w:t>
            </w:r>
            <w:r>
              <w:rPr>
                <w:spacing w:val="-2"/>
                <w:sz w:val="16"/>
              </w:rPr>
              <w:t> </w:t>
            </w:r>
            <w:r>
              <w:rPr>
                <w:sz w:val="16"/>
              </w:rPr>
              <w:t>impact</w:t>
            </w:r>
            <w:r>
              <w:rPr>
                <w:spacing w:val="-4"/>
                <w:sz w:val="16"/>
              </w:rPr>
              <w:t> </w:t>
            </w:r>
            <w:r>
              <w:rPr>
                <w:sz w:val="16"/>
              </w:rPr>
              <w:t>of</w:t>
            </w:r>
            <w:r>
              <w:rPr>
                <w:spacing w:val="-2"/>
                <w:sz w:val="16"/>
              </w:rPr>
              <w:t> </w:t>
            </w:r>
            <w:r>
              <w:rPr>
                <w:sz w:val="16"/>
              </w:rPr>
              <w:t>extending the</w:t>
            </w:r>
            <w:r>
              <w:rPr>
                <w:spacing w:val="-2"/>
                <w:sz w:val="16"/>
              </w:rPr>
              <w:t> </w:t>
            </w:r>
            <w:r>
              <w:rPr>
                <w:sz w:val="16"/>
              </w:rPr>
              <w:t>model</w:t>
            </w:r>
            <w:r>
              <w:rPr>
                <w:spacing w:val="-2"/>
                <w:sz w:val="16"/>
              </w:rPr>
              <w:t> </w:t>
            </w:r>
            <w:r>
              <w:rPr>
                <w:sz w:val="16"/>
              </w:rPr>
              <w:t>to</w:t>
            </w:r>
          </w:p>
          <w:p>
            <w:pPr>
              <w:pStyle w:val="TableParagraph"/>
              <w:spacing w:line="196" w:lineRule="exact" w:before="20"/>
              <w:ind w:left="554"/>
              <w:rPr>
                <w:sz w:val="16"/>
              </w:rPr>
            </w:pPr>
            <w:r>
              <w:rPr>
                <w:sz w:val="16"/>
              </w:rPr>
              <w:t>practices</w:t>
            </w:r>
            <w:r>
              <w:rPr>
                <w:spacing w:val="-5"/>
                <w:sz w:val="16"/>
              </w:rPr>
              <w:t> </w:t>
            </w:r>
            <w:r>
              <w:rPr>
                <w:sz w:val="16"/>
              </w:rPr>
              <w:t>across</w:t>
            </w:r>
            <w:r>
              <w:rPr>
                <w:spacing w:val="-1"/>
                <w:sz w:val="16"/>
              </w:rPr>
              <w:t> </w:t>
            </w:r>
            <w:r>
              <w:rPr>
                <w:sz w:val="16"/>
              </w:rPr>
              <w:t>Australia?</w:t>
            </w:r>
          </w:p>
        </w:tc>
        <w:tc>
          <w:tcPr>
            <w:tcW w:w="6853" w:type="dxa"/>
          </w:tcPr>
          <w:p>
            <w:pPr>
              <w:pStyle w:val="TableParagraph"/>
              <w:ind w:left="134"/>
              <w:rPr>
                <w:sz w:val="16"/>
              </w:rPr>
            </w:pPr>
            <w:r>
              <w:rPr>
                <w:sz w:val="16"/>
              </w:rPr>
              <w:t>4.05.01</w:t>
            </w:r>
            <w:r>
              <w:rPr>
                <w:spacing w:val="-2"/>
                <w:sz w:val="16"/>
              </w:rPr>
              <w:t> </w:t>
            </w:r>
            <w:r>
              <w:rPr>
                <w:sz w:val="16"/>
              </w:rPr>
              <w:t>Estimated</w:t>
            </w:r>
            <w:r>
              <w:rPr>
                <w:spacing w:val="-1"/>
                <w:sz w:val="16"/>
              </w:rPr>
              <w:t> </w:t>
            </w:r>
            <w:r>
              <w:rPr>
                <w:sz w:val="16"/>
              </w:rPr>
              <w:t>cost</w:t>
            </w:r>
            <w:r>
              <w:rPr>
                <w:spacing w:val="-3"/>
                <w:sz w:val="16"/>
              </w:rPr>
              <w:t> </w:t>
            </w:r>
            <w:r>
              <w:rPr>
                <w:sz w:val="16"/>
              </w:rPr>
              <w:t>to government</w:t>
            </w:r>
            <w:r>
              <w:rPr>
                <w:spacing w:val="-3"/>
                <w:sz w:val="16"/>
              </w:rPr>
              <w:t> </w:t>
            </w:r>
            <w:r>
              <w:rPr>
                <w:sz w:val="16"/>
              </w:rPr>
              <w:t>of</w:t>
            </w:r>
            <w:r>
              <w:rPr>
                <w:spacing w:val="-3"/>
                <w:sz w:val="16"/>
              </w:rPr>
              <w:t> </w:t>
            </w:r>
            <w:r>
              <w:rPr>
                <w:sz w:val="16"/>
              </w:rPr>
              <w:t>extending</w:t>
            </w:r>
            <w:r>
              <w:rPr>
                <w:spacing w:val="-4"/>
                <w:sz w:val="16"/>
              </w:rPr>
              <w:t> </w:t>
            </w:r>
            <w:r>
              <w:rPr>
                <w:sz w:val="16"/>
              </w:rPr>
              <w:t>the</w:t>
            </w:r>
            <w:r>
              <w:rPr>
                <w:spacing w:val="-2"/>
                <w:sz w:val="16"/>
              </w:rPr>
              <w:t> </w:t>
            </w:r>
            <w:r>
              <w:rPr>
                <w:sz w:val="16"/>
              </w:rPr>
              <w:t>HCH</w:t>
            </w:r>
            <w:r>
              <w:rPr>
                <w:spacing w:val="-3"/>
                <w:sz w:val="16"/>
              </w:rPr>
              <w:t> </w:t>
            </w:r>
            <w:r>
              <w:rPr>
                <w:sz w:val="16"/>
              </w:rPr>
              <w:t>to</w:t>
            </w:r>
            <w:r>
              <w:rPr>
                <w:spacing w:val="-3"/>
                <w:sz w:val="16"/>
              </w:rPr>
              <w:t> </w:t>
            </w:r>
            <w:r>
              <w:rPr>
                <w:sz w:val="16"/>
              </w:rPr>
              <w:t>all</w:t>
            </w:r>
            <w:r>
              <w:rPr>
                <w:spacing w:val="-2"/>
                <w:sz w:val="16"/>
              </w:rPr>
              <w:t> </w:t>
            </w:r>
            <w:r>
              <w:rPr>
                <w:sz w:val="16"/>
              </w:rPr>
              <w:t>other</w:t>
            </w:r>
            <w:r>
              <w:rPr>
                <w:spacing w:val="-3"/>
                <w:sz w:val="16"/>
              </w:rPr>
              <w:t> </w:t>
            </w:r>
            <w:r>
              <w:rPr>
                <w:sz w:val="16"/>
              </w:rPr>
              <w:t>practices</w:t>
            </w:r>
          </w:p>
          <w:p>
            <w:pPr>
              <w:pStyle w:val="TableParagraph"/>
              <w:spacing w:line="196" w:lineRule="exact" w:before="20"/>
              <w:ind w:left="700"/>
              <w:rPr>
                <w:sz w:val="16"/>
              </w:rPr>
            </w:pPr>
            <w:r>
              <w:rPr>
                <w:sz w:val="16"/>
              </w:rPr>
              <w:t>across Australia.</w:t>
            </w:r>
          </w:p>
        </w:tc>
        <w:tc>
          <w:tcPr>
            <w:tcW w:w="324" w:type="dxa"/>
          </w:tcPr>
          <w:p>
            <w:pPr>
              <w:pStyle w:val="TableParagraph"/>
              <w:ind w:left="107"/>
              <w:rPr>
                <w:rFonts w:ascii="Wingdings" w:hAnsi="Wingdings"/>
                <w:sz w:val="16"/>
              </w:rPr>
            </w:pPr>
            <w:r>
              <w:rPr>
                <w:rFonts w:ascii="Wingdings" w:hAnsi="Wingdings"/>
                <w:w w:val="100"/>
                <w:sz w:val="16"/>
              </w:rPr>
              <w:t></w:t>
            </w:r>
          </w:p>
        </w:tc>
        <w:tc>
          <w:tcPr>
            <w:tcW w:w="327" w:type="dxa"/>
          </w:tcPr>
          <w:p>
            <w:pPr>
              <w:pStyle w:val="TableParagraph"/>
              <w:rPr>
                <w:rFonts w:ascii="Times New Roman"/>
                <w:sz w:val="16"/>
              </w:rPr>
            </w:pP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1079" w:hRule="atLeast"/>
        </w:trPr>
        <w:tc>
          <w:tcPr>
            <w:tcW w:w="5809" w:type="dxa"/>
          </w:tcPr>
          <w:p>
            <w:pPr>
              <w:pStyle w:val="TableParagraph"/>
              <w:spacing w:line="196" w:lineRule="exact"/>
              <w:ind w:left="129"/>
              <w:rPr>
                <w:sz w:val="16"/>
              </w:rPr>
            </w:pPr>
            <w:r>
              <w:rPr>
                <w:sz w:val="16"/>
              </w:rPr>
              <w:t>4.06</w:t>
            </w:r>
            <w:r>
              <w:rPr>
                <w:spacing w:val="-2"/>
                <w:sz w:val="16"/>
              </w:rPr>
              <w:t> </w:t>
            </w:r>
            <w:r>
              <w:rPr>
                <w:sz w:val="16"/>
              </w:rPr>
              <w:t>Does</w:t>
            </w:r>
            <w:r>
              <w:rPr>
                <w:spacing w:val="-1"/>
                <w:sz w:val="16"/>
              </w:rPr>
              <w:t> </w:t>
            </w:r>
            <w:r>
              <w:rPr>
                <w:sz w:val="16"/>
              </w:rPr>
              <w:t>the</w:t>
            </w:r>
            <w:r>
              <w:rPr>
                <w:spacing w:val="-2"/>
                <w:sz w:val="16"/>
              </w:rPr>
              <w:t> </w:t>
            </w:r>
            <w:r>
              <w:rPr>
                <w:sz w:val="16"/>
              </w:rPr>
              <w:t>HCH</w:t>
            </w:r>
            <w:r>
              <w:rPr>
                <w:spacing w:val="-3"/>
                <w:sz w:val="16"/>
              </w:rPr>
              <w:t> </w:t>
            </w:r>
            <w:r>
              <w:rPr>
                <w:sz w:val="16"/>
              </w:rPr>
              <w:t>program</w:t>
            </w:r>
            <w:r>
              <w:rPr>
                <w:spacing w:val="-2"/>
                <w:sz w:val="16"/>
              </w:rPr>
              <w:t> </w:t>
            </w:r>
            <w:r>
              <w:rPr>
                <w:sz w:val="16"/>
              </w:rPr>
              <w:t>deliver</w:t>
            </w:r>
            <w:r>
              <w:rPr>
                <w:spacing w:val="-4"/>
                <w:sz w:val="16"/>
              </w:rPr>
              <w:t> </w:t>
            </w:r>
            <w:r>
              <w:rPr>
                <w:sz w:val="16"/>
              </w:rPr>
              <w:t>value</w:t>
            </w:r>
            <w:r>
              <w:rPr>
                <w:spacing w:val="-2"/>
                <w:sz w:val="16"/>
              </w:rPr>
              <w:t> </w:t>
            </w:r>
            <w:r>
              <w:rPr>
                <w:sz w:val="16"/>
              </w:rPr>
              <w:t>for</w:t>
            </w:r>
            <w:r>
              <w:rPr>
                <w:spacing w:val="-4"/>
                <w:sz w:val="16"/>
              </w:rPr>
              <w:t> </w:t>
            </w:r>
            <w:r>
              <w:rPr>
                <w:sz w:val="16"/>
              </w:rPr>
              <w:t>money?</w:t>
            </w:r>
          </w:p>
        </w:tc>
        <w:tc>
          <w:tcPr>
            <w:tcW w:w="6853" w:type="dxa"/>
          </w:tcPr>
          <w:p>
            <w:pPr>
              <w:pStyle w:val="TableParagraph"/>
              <w:spacing w:line="264" w:lineRule="auto"/>
              <w:ind w:left="700" w:right="86" w:hanging="567"/>
              <w:rPr>
                <w:sz w:val="16"/>
              </w:rPr>
            </w:pPr>
            <w:r>
              <w:rPr>
                <w:sz w:val="16"/>
              </w:rPr>
              <w:t>4.06.01 Cost consequence analysis: Mean government cost per patient is less for HCH</w:t>
            </w:r>
            <w:r>
              <w:rPr>
                <w:spacing w:val="-42"/>
                <w:sz w:val="16"/>
              </w:rPr>
              <w:t> </w:t>
            </w:r>
            <w:r>
              <w:rPr>
                <w:sz w:val="16"/>
              </w:rPr>
              <w:t>patients vs. comparator patients and there is evidence that HCH delivers</w:t>
            </w:r>
            <w:r>
              <w:rPr>
                <w:spacing w:val="1"/>
                <w:sz w:val="16"/>
              </w:rPr>
              <w:t> </w:t>
            </w:r>
            <w:r>
              <w:rPr>
                <w:sz w:val="16"/>
              </w:rPr>
              <w:t>equivalent or superior outcomes for patients. Alternatively, mean government</w:t>
            </w:r>
            <w:r>
              <w:rPr>
                <w:spacing w:val="-42"/>
                <w:sz w:val="16"/>
              </w:rPr>
              <w:t> </w:t>
            </w:r>
            <w:r>
              <w:rPr>
                <w:sz w:val="16"/>
              </w:rPr>
              <w:t>cost</w:t>
            </w:r>
            <w:r>
              <w:rPr>
                <w:spacing w:val="-3"/>
                <w:sz w:val="16"/>
              </w:rPr>
              <w:t> </w:t>
            </w:r>
            <w:r>
              <w:rPr>
                <w:sz w:val="16"/>
              </w:rPr>
              <w:t>per</w:t>
            </w:r>
            <w:r>
              <w:rPr>
                <w:spacing w:val="-4"/>
                <w:sz w:val="16"/>
              </w:rPr>
              <w:t> </w:t>
            </w:r>
            <w:r>
              <w:rPr>
                <w:sz w:val="16"/>
              </w:rPr>
              <w:t>patient</w:t>
            </w:r>
            <w:r>
              <w:rPr>
                <w:spacing w:val="-5"/>
                <w:sz w:val="16"/>
              </w:rPr>
              <w:t> </w:t>
            </w:r>
            <w:r>
              <w:rPr>
                <w:sz w:val="16"/>
              </w:rPr>
              <w:t>is</w:t>
            </w:r>
            <w:r>
              <w:rPr>
                <w:spacing w:val="-1"/>
                <w:sz w:val="16"/>
              </w:rPr>
              <w:t> </w:t>
            </w:r>
            <w:r>
              <w:rPr>
                <w:sz w:val="16"/>
              </w:rPr>
              <w:t>greater</w:t>
            </w:r>
            <w:r>
              <w:rPr>
                <w:spacing w:val="-1"/>
                <w:sz w:val="16"/>
              </w:rPr>
              <w:t> </w:t>
            </w:r>
            <w:r>
              <w:rPr>
                <w:sz w:val="16"/>
              </w:rPr>
              <w:t>for</w:t>
            </w:r>
            <w:r>
              <w:rPr>
                <w:spacing w:val="-4"/>
                <w:sz w:val="16"/>
              </w:rPr>
              <w:t> </w:t>
            </w:r>
            <w:r>
              <w:rPr>
                <w:sz w:val="16"/>
              </w:rPr>
              <w:t>HCH</w:t>
            </w:r>
            <w:r>
              <w:rPr>
                <w:spacing w:val="-1"/>
                <w:sz w:val="16"/>
              </w:rPr>
              <w:t> </w:t>
            </w:r>
            <w:r>
              <w:rPr>
                <w:sz w:val="16"/>
              </w:rPr>
              <w:t>patients</w:t>
            </w:r>
            <w:r>
              <w:rPr>
                <w:spacing w:val="1"/>
                <w:sz w:val="16"/>
              </w:rPr>
              <w:t> </w:t>
            </w:r>
            <w:r>
              <w:rPr>
                <w:sz w:val="16"/>
              </w:rPr>
              <w:t>vs.</w:t>
            </w:r>
            <w:r>
              <w:rPr>
                <w:spacing w:val="-2"/>
                <w:sz w:val="16"/>
              </w:rPr>
              <w:t> </w:t>
            </w:r>
            <w:r>
              <w:rPr>
                <w:sz w:val="16"/>
              </w:rPr>
              <w:t>comparator</w:t>
            </w:r>
            <w:r>
              <w:rPr>
                <w:spacing w:val="-4"/>
                <w:sz w:val="16"/>
              </w:rPr>
              <w:t> </w:t>
            </w:r>
            <w:r>
              <w:rPr>
                <w:sz w:val="16"/>
              </w:rPr>
              <w:t>patients</w:t>
            </w:r>
            <w:r>
              <w:rPr>
                <w:spacing w:val="-1"/>
                <w:sz w:val="16"/>
              </w:rPr>
              <w:t> </w:t>
            </w:r>
            <w:r>
              <w:rPr>
                <w:sz w:val="16"/>
              </w:rPr>
              <w:t>and there</w:t>
            </w:r>
          </w:p>
          <w:p>
            <w:pPr>
              <w:pStyle w:val="TableParagraph"/>
              <w:spacing w:line="196" w:lineRule="exact"/>
              <w:ind w:left="700"/>
              <w:rPr>
                <w:sz w:val="16"/>
              </w:rPr>
            </w:pPr>
            <w:r>
              <w:rPr>
                <w:sz w:val="16"/>
              </w:rPr>
              <w:t>is</w:t>
            </w:r>
            <w:r>
              <w:rPr>
                <w:spacing w:val="-5"/>
                <w:sz w:val="16"/>
              </w:rPr>
              <w:t> </w:t>
            </w:r>
            <w:r>
              <w:rPr>
                <w:sz w:val="16"/>
              </w:rPr>
              <w:t>evidence that</w:t>
            </w:r>
            <w:r>
              <w:rPr>
                <w:spacing w:val="-5"/>
                <w:sz w:val="16"/>
              </w:rPr>
              <w:t> </w:t>
            </w:r>
            <w:r>
              <w:rPr>
                <w:sz w:val="16"/>
              </w:rPr>
              <w:t>HCH</w:t>
            </w:r>
            <w:r>
              <w:rPr>
                <w:spacing w:val="-3"/>
                <w:sz w:val="16"/>
              </w:rPr>
              <w:t> </w:t>
            </w:r>
            <w:r>
              <w:rPr>
                <w:sz w:val="16"/>
              </w:rPr>
              <w:t>delivers</w:t>
            </w:r>
            <w:r>
              <w:rPr>
                <w:spacing w:val="-2"/>
                <w:sz w:val="16"/>
              </w:rPr>
              <w:t> </w:t>
            </w:r>
            <w:r>
              <w:rPr>
                <w:sz w:val="16"/>
              </w:rPr>
              <w:t>superior</w:t>
            </w:r>
            <w:r>
              <w:rPr>
                <w:spacing w:val="-2"/>
                <w:sz w:val="16"/>
              </w:rPr>
              <w:t> </w:t>
            </w:r>
            <w:r>
              <w:rPr>
                <w:sz w:val="16"/>
              </w:rPr>
              <w:t>outcomes</w:t>
            </w:r>
            <w:r>
              <w:rPr>
                <w:spacing w:val="-1"/>
                <w:sz w:val="16"/>
              </w:rPr>
              <w:t> </w:t>
            </w:r>
            <w:r>
              <w:rPr>
                <w:sz w:val="16"/>
              </w:rPr>
              <w:t>for</w:t>
            </w:r>
            <w:r>
              <w:rPr>
                <w:spacing w:val="-4"/>
                <w:sz w:val="16"/>
              </w:rPr>
              <w:t> </w:t>
            </w:r>
            <w:r>
              <w:rPr>
                <w:sz w:val="16"/>
              </w:rPr>
              <w:t>patients.</w:t>
            </w:r>
          </w:p>
        </w:tc>
        <w:tc>
          <w:tcPr>
            <w:tcW w:w="324" w:type="dxa"/>
          </w:tcPr>
          <w:p>
            <w:pPr>
              <w:pStyle w:val="TableParagraph"/>
              <w:rPr>
                <w:rFonts w:ascii="Times New Roman"/>
                <w:sz w:val="16"/>
              </w:rPr>
            </w:pPr>
          </w:p>
        </w:tc>
        <w:tc>
          <w:tcPr>
            <w:tcW w:w="327" w:type="dxa"/>
          </w:tcPr>
          <w:p>
            <w:pPr>
              <w:pStyle w:val="TableParagraph"/>
              <w:rPr>
                <w:b/>
                <w:sz w:val="16"/>
              </w:rPr>
            </w:pPr>
          </w:p>
          <w:p>
            <w:pPr>
              <w:pStyle w:val="TableParagraph"/>
              <w:ind w:right="80"/>
              <w:jc w:val="right"/>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249" w:hRule="atLeast"/>
        </w:trPr>
        <w:tc>
          <w:tcPr>
            <w:tcW w:w="14287" w:type="dxa"/>
            <w:gridSpan w:val="7"/>
            <w:shd w:val="clear" w:color="auto" w:fill="F1F1F1"/>
          </w:tcPr>
          <w:p>
            <w:pPr>
              <w:pStyle w:val="TableParagraph"/>
              <w:spacing w:line="196" w:lineRule="exact"/>
              <w:ind w:left="107"/>
              <w:rPr>
                <w:b/>
                <w:sz w:val="16"/>
              </w:rPr>
            </w:pPr>
            <w:r>
              <w:rPr>
                <w:b/>
                <w:sz w:val="16"/>
              </w:rPr>
              <w:t>Level:</w:t>
            </w:r>
            <w:r>
              <w:rPr>
                <w:b/>
                <w:spacing w:val="-5"/>
                <w:sz w:val="16"/>
              </w:rPr>
              <w:t> </w:t>
            </w:r>
            <w:r>
              <w:rPr>
                <w:b/>
                <w:sz w:val="16"/>
              </w:rPr>
              <w:t>Practice</w:t>
            </w:r>
          </w:p>
        </w:tc>
      </w:tr>
      <w:tr>
        <w:trPr>
          <w:trHeight w:val="431" w:hRule="atLeast"/>
        </w:trPr>
        <w:tc>
          <w:tcPr>
            <w:tcW w:w="5809" w:type="dxa"/>
            <w:vMerge w:val="restart"/>
          </w:tcPr>
          <w:p>
            <w:pPr>
              <w:pStyle w:val="TableParagraph"/>
              <w:spacing w:line="264" w:lineRule="auto"/>
              <w:ind w:left="554" w:right="166" w:hanging="426"/>
              <w:jc w:val="both"/>
              <w:rPr>
                <w:sz w:val="16"/>
              </w:rPr>
            </w:pPr>
            <w:r>
              <w:rPr>
                <w:sz w:val="16"/>
              </w:rPr>
              <w:t>4.07 What are the costs to practices of delivering HCH programs? Is this</w:t>
            </w:r>
            <w:r>
              <w:rPr>
                <w:spacing w:val="-42"/>
                <w:sz w:val="16"/>
              </w:rPr>
              <w:t> </w:t>
            </w:r>
            <w:r>
              <w:rPr>
                <w:sz w:val="16"/>
              </w:rPr>
              <w:t>matched by HCH payments? Is the current HCH model financially</w:t>
            </w:r>
            <w:r>
              <w:rPr>
                <w:spacing w:val="-42"/>
                <w:sz w:val="16"/>
              </w:rPr>
              <w:t> </w:t>
            </w:r>
            <w:r>
              <w:rPr>
                <w:sz w:val="16"/>
              </w:rPr>
              <w:t>sustainable</w:t>
            </w:r>
            <w:r>
              <w:rPr>
                <w:spacing w:val="1"/>
                <w:sz w:val="16"/>
              </w:rPr>
              <w:t> </w:t>
            </w:r>
            <w:r>
              <w:rPr>
                <w:sz w:val="16"/>
              </w:rPr>
              <w:t>for</w:t>
            </w:r>
            <w:r>
              <w:rPr>
                <w:spacing w:val="-2"/>
                <w:sz w:val="16"/>
              </w:rPr>
              <w:t> </w:t>
            </w:r>
            <w:r>
              <w:rPr>
                <w:sz w:val="16"/>
              </w:rPr>
              <w:t>practices?</w:t>
            </w:r>
          </w:p>
        </w:tc>
        <w:tc>
          <w:tcPr>
            <w:tcW w:w="6853" w:type="dxa"/>
          </w:tcPr>
          <w:p>
            <w:pPr>
              <w:pStyle w:val="TableParagraph"/>
              <w:spacing w:line="196" w:lineRule="exact"/>
              <w:ind w:left="134"/>
              <w:rPr>
                <w:sz w:val="16"/>
              </w:rPr>
            </w:pPr>
            <w:r>
              <w:rPr>
                <w:sz w:val="16"/>
              </w:rPr>
              <w:t>4.07.01</w:t>
            </w:r>
            <w:r>
              <w:rPr>
                <w:spacing w:val="-3"/>
                <w:sz w:val="16"/>
              </w:rPr>
              <w:t> </w:t>
            </w:r>
            <w:r>
              <w:rPr>
                <w:sz w:val="16"/>
              </w:rPr>
              <w:t>Per</w:t>
            </w:r>
            <w:r>
              <w:rPr>
                <w:spacing w:val="-5"/>
                <w:sz w:val="16"/>
              </w:rPr>
              <w:t> </w:t>
            </w:r>
            <w:r>
              <w:rPr>
                <w:sz w:val="16"/>
              </w:rPr>
              <w:t>patient</w:t>
            </w:r>
            <w:r>
              <w:rPr>
                <w:spacing w:val="-3"/>
                <w:sz w:val="16"/>
              </w:rPr>
              <w:t> </w:t>
            </w:r>
            <w:r>
              <w:rPr>
                <w:sz w:val="16"/>
              </w:rPr>
              <w:t>practice</w:t>
            </w:r>
            <w:r>
              <w:rPr>
                <w:spacing w:val="-1"/>
                <w:sz w:val="16"/>
              </w:rPr>
              <w:t> </w:t>
            </w:r>
            <w:r>
              <w:rPr>
                <w:sz w:val="16"/>
              </w:rPr>
              <w:t>revenue</w:t>
            </w:r>
            <w:r>
              <w:rPr>
                <w:spacing w:val="-3"/>
                <w:sz w:val="16"/>
              </w:rPr>
              <w:t> </w:t>
            </w:r>
            <w:r>
              <w:rPr>
                <w:sz w:val="16"/>
              </w:rPr>
              <w:t>for</w:t>
            </w:r>
            <w:r>
              <w:rPr>
                <w:spacing w:val="-5"/>
                <w:sz w:val="16"/>
              </w:rPr>
              <w:t> </w:t>
            </w:r>
            <w:r>
              <w:rPr>
                <w:sz w:val="16"/>
              </w:rPr>
              <w:t>HCH</w:t>
            </w:r>
            <w:r>
              <w:rPr>
                <w:spacing w:val="-3"/>
                <w:sz w:val="16"/>
              </w:rPr>
              <w:t> </w:t>
            </w:r>
            <w:r>
              <w:rPr>
                <w:sz w:val="16"/>
              </w:rPr>
              <w:t>patients</w:t>
            </w:r>
            <w:r>
              <w:rPr>
                <w:spacing w:val="-2"/>
                <w:sz w:val="16"/>
              </w:rPr>
              <w:t> </w:t>
            </w:r>
            <w:r>
              <w:rPr>
                <w:sz w:val="16"/>
              </w:rPr>
              <w:t>compared</w:t>
            </w:r>
            <w:r>
              <w:rPr>
                <w:spacing w:val="-7"/>
                <w:sz w:val="16"/>
              </w:rPr>
              <w:t> </w:t>
            </w:r>
            <w:r>
              <w:rPr>
                <w:sz w:val="16"/>
              </w:rPr>
              <w:t>with</w:t>
            </w:r>
            <w:r>
              <w:rPr>
                <w:spacing w:val="-1"/>
                <w:sz w:val="16"/>
              </w:rPr>
              <w:t> </w:t>
            </w:r>
            <w:r>
              <w:rPr>
                <w:sz w:val="16"/>
              </w:rPr>
              <w:t>continuation</w:t>
            </w:r>
            <w:r>
              <w:rPr>
                <w:spacing w:val="-4"/>
                <w:sz w:val="16"/>
              </w:rPr>
              <w:t> </w:t>
            </w:r>
            <w:r>
              <w:rPr>
                <w:sz w:val="16"/>
              </w:rPr>
              <w:t>of</w:t>
            </w:r>
          </w:p>
          <w:p>
            <w:pPr>
              <w:pStyle w:val="TableParagraph"/>
              <w:spacing w:line="196" w:lineRule="exact" w:before="20"/>
              <w:ind w:left="700"/>
              <w:rPr>
                <w:sz w:val="16"/>
              </w:rPr>
            </w:pPr>
            <w:r>
              <w:rPr>
                <w:sz w:val="16"/>
              </w:rPr>
              <w:t>usual</w:t>
            </w:r>
            <w:r>
              <w:rPr>
                <w:spacing w:val="-2"/>
                <w:sz w:val="16"/>
              </w:rPr>
              <w:t> </w:t>
            </w:r>
            <w:r>
              <w:rPr>
                <w:sz w:val="16"/>
              </w:rPr>
              <w:t>MBS</w:t>
            </w:r>
            <w:r>
              <w:rPr>
                <w:spacing w:val="-3"/>
                <w:sz w:val="16"/>
              </w:rPr>
              <w:t> </w:t>
            </w:r>
            <w:r>
              <w:rPr>
                <w:sz w:val="16"/>
              </w:rPr>
              <w:t>payments.</w:t>
            </w:r>
          </w:p>
        </w:tc>
        <w:tc>
          <w:tcPr>
            <w:tcW w:w="324" w:type="dxa"/>
          </w:tcPr>
          <w:p>
            <w:pPr>
              <w:pStyle w:val="TableParagraph"/>
              <w:rPr>
                <w:rFonts w:ascii="Times New Roman"/>
                <w:sz w:val="16"/>
              </w:rPr>
            </w:pPr>
          </w:p>
        </w:tc>
        <w:tc>
          <w:tcPr>
            <w:tcW w:w="327" w:type="dxa"/>
          </w:tcPr>
          <w:p>
            <w:pPr>
              <w:pStyle w:val="TableParagraph"/>
              <w:ind w:right="80"/>
              <w:jc w:val="right"/>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432" w:hRule="atLeast"/>
        </w:trPr>
        <w:tc>
          <w:tcPr>
            <w:tcW w:w="5809" w:type="dxa"/>
            <w:vMerge/>
            <w:tcBorders>
              <w:top w:val="nil"/>
            </w:tcBorders>
          </w:tcPr>
          <w:p>
            <w:pPr>
              <w:rPr>
                <w:sz w:val="2"/>
                <w:szCs w:val="2"/>
              </w:rPr>
            </w:pPr>
          </w:p>
        </w:tc>
        <w:tc>
          <w:tcPr>
            <w:tcW w:w="6853" w:type="dxa"/>
          </w:tcPr>
          <w:p>
            <w:pPr>
              <w:pStyle w:val="TableParagraph"/>
              <w:spacing w:line="196" w:lineRule="exact"/>
              <w:ind w:left="134"/>
              <w:rPr>
                <w:sz w:val="16"/>
              </w:rPr>
            </w:pPr>
            <w:r>
              <w:rPr>
                <w:sz w:val="16"/>
              </w:rPr>
              <w:t>4.07.02</w:t>
            </w:r>
            <w:r>
              <w:rPr>
                <w:spacing w:val="-2"/>
                <w:sz w:val="16"/>
              </w:rPr>
              <w:t> </w:t>
            </w:r>
            <w:r>
              <w:rPr>
                <w:sz w:val="16"/>
              </w:rPr>
              <w:t>Change</w:t>
            </w:r>
            <w:r>
              <w:rPr>
                <w:spacing w:val="-2"/>
                <w:sz w:val="16"/>
              </w:rPr>
              <w:t> </w:t>
            </w:r>
            <w:r>
              <w:rPr>
                <w:sz w:val="16"/>
              </w:rPr>
              <w:t>in</w:t>
            </w:r>
            <w:r>
              <w:rPr>
                <w:spacing w:val="-3"/>
                <w:sz w:val="16"/>
              </w:rPr>
              <w:t> </w:t>
            </w:r>
            <w:r>
              <w:rPr>
                <w:sz w:val="16"/>
              </w:rPr>
              <w:t>net</w:t>
            </w:r>
            <w:r>
              <w:rPr>
                <w:spacing w:val="-2"/>
                <w:sz w:val="16"/>
              </w:rPr>
              <w:t> </w:t>
            </w:r>
            <w:r>
              <w:rPr>
                <w:sz w:val="16"/>
              </w:rPr>
              <w:t>cost</w:t>
            </w:r>
            <w:r>
              <w:rPr>
                <w:spacing w:val="-2"/>
                <w:sz w:val="16"/>
              </w:rPr>
              <w:t> </w:t>
            </w:r>
            <w:r>
              <w:rPr>
                <w:sz w:val="16"/>
              </w:rPr>
              <w:t>to</w:t>
            </w:r>
            <w:r>
              <w:rPr>
                <w:spacing w:val="-3"/>
                <w:sz w:val="16"/>
              </w:rPr>
              <w:t> </w:t>
            </w:r>
            <w:r>
              <w:rPr>
                <w:sz w:val="16"/>
              </w:rPr>
              <w:t>practices</w:t>
            </w:r>
            <w:r>
              <w:rPr>
                <w:spacing w:val="-3"/>
                <w:sz w:val="16"/>
              </w:rPr>
              <w:t> </w:t>
            </w:r>
            <w:r>
              <w:rPr>
                <w:sz w:val="16"/>
              </w:rPr>
              <w:t>per</w:t>
            </w:r>
            <w:r>
              <w:rPr>
                <w:spacing w:val="-3"/>
                <w:sz w:val="16"/>
              </w:rPr>
              <w:t> </w:t>
            </w:r>
            <w:r>
              <w:rPr>
                <w:sz w:val="16"/>
              </w:rPr>
              <w:t>patient</w:t>
            </w:r>
            <w:r>
              <w:rPr>
                <w:spacing w:val="-3"/>
                <w:sz w:val="16"/>
              </w:rPr>
              <w:t> </w:t>
            </w:r>
            <w:r>
              <w:rPr>
                <w:sz w:val="16"/>
              </w:rPr>
              <w:t>resulting</w:t>
            </w:r>
            <w:r>
              <w:rPr>
                <w:spacing w:val="-1"/>
                <w:sz w:val="16"/>
              </w:rPr>
              <w:t> </w:t>
            </w:r>
            <w:r>
              <w:rPr>
                <w:sz w:val="16"/>
              </w:rPr>
              <w:t>from changes</w:t>
            </w:r>
            <w:r>
              <w:rPr>
                <w:spacing w:val="-4"/>
                <w:sz w:val="16"/>
              </w:rPr>
              <w:t> </w:t>
            </w:r>
            <w:r>
              <w:rPr>
                <w:sz w:val="16"/>
              </w:rPr>
              <w:t>in</w:t>
            </w:r>
            <w:r>
              <w:rPr>
                <w:spacing w:val="-2"/>
                <w:sz w:val="16"/>
              </w:rPr>
              <w:t> </w:t>
            </w:r>
            <w:r>
              <w:rPr>
                <w:sz w:val="16"/>
              </w:rPr>
              <w:t>the</w:t>
            </w:r>
            <w:r>
              <w:rPr>
                <w:spacing w:val="-1"/>
                <w:sz w:val="16"/>
              </w:rPr>
              <w:t> </w:t>
            </w:r>
            <w:r>
              <w:rPr>
                <w:sz w:val="16"/>
              </w:rPr>
              <w:t>mix</w:t>
            </w:r>
          </w:p>
          <w:p>
            <w:pPr>
              <w:pStyle w:val="TableParagraph"/>
              <w:spacing w:before="20"/>
              <w:ind w:left="700"/>
              <w:rPr>
                <w:sz w:val="16"/>
              </w:rPr>
            </w:pPr>
            <w:r>
              <w:rPr>
                <w:sz w:val="16"/>
              </w:rPr>
              <w:t>of</w:t>
            </w:r>
            <w:r>
              <w:rPr>
                <w:spacing w:val="-2"/>
                <w:sz w:val="16"/>
              </w:rPr>
              <w:t> </w:t>
            </w:r>
            <w:r>
              <w:rPr>
                <w:sz w:val="16"/>
              </w:rPr>
              <w:t>services</w:t>
            </w:r>
            <w:r>
              <w:rPr>
                <w:spacing w:val="-4"/>
                <w:sz w:val="16"/>
              </w:rPr>
              <w:t> </w:t>
            </w:r>
            <w:r>
              <w:rPr>
                <w:sz w:val="16"/>
              </w:rPr>
              <w:t>delivered</w:t>
            </w:r>
            <w:r>
              <w:rPr>
                <w:spacing w:val="-1"/>
                <w:sz w:val="16"/>
              </w:rPr>
              <w:t> </w:t>
            </w:r>
            <w:r>
              <w:rPr>
                <w:sz w:val="16"/>
              </w:rPr>
              <w:t>to</w:t>
            </w:r>
            <w:r>
              <w:rPr>
                <w:spacing w:val="-3"/>
                <w:sz w:val="16"/>
              </w:rPr>
              <w:t> </w:t>
            </w:r>
            <w:r>
              <w:rPr>
                <w:sz w:val="16"/>
              </w:rPr>
              <w:t>HCH</w:t>
            </w:r>
            <w:r>
              <w:rPr>
                <w:spacing w:val="-3"/>
                <w:sz w:val="16"/>
              </w:rPr>
              <w:t> </w:t>
            </w:r>
            <w:r>
              <w:rPr>
                <w:sz w:val="16"/>
              </w:rPr>
              <w:t>patients.</w:t>
            </w:r>
          </w:p>
        </w:tc>
        <w:tc>
          <w:tcPr>
            <w:tcW w:w="324" w:type="dxa"/>
          </w:tcPr>
          <w:p>
            <w:pPr>
              <w:pStyle w:val="TableParagraph"/>
              <w:rPr>
                <w:rFonts w:ascii="Times New Roman"/>
                <w:sz w:val="16"/>
              </w:rPr>
            </w:pPr>
          </w:p>
        </w:tc>
        <w:tc>
          <w:tcPr>
            <w:tcW w:w="327" w:type="dxa"/>
          </w:tcPr>
          <w:p>
            <w:pPr>
              <w:pStyle w:val="TableParagraph"/>
              <w:ind w:right="80"/>
              <w:jc w:val="right"/>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r>
        <w:trPr>
          <w:trHeight w:val="196" w:hRule="atLeast"/>
        </w:trPr>
        <w:tc>
          <w:tcPr>
            <w:tcW w:w="14287" w:type="dxa"/>
            <w:gridSpan w:val="7"/>
            <w:shd w:val="clear" w:color="auto" w:fill="F1F1F1"/>
          </w:tcPr>
          <w:p>
            <w:pPr>
              <w:pStyle w:val="TableParagraph"/>
              <w:spacing w:line="176" w:lineRule="exact"/>
              <w:ind w:left="107"/>
              <w:rPr>
                <w:b/>
                <w:sz w:val="16"/>
              </w:rPr>
            </w:pPr>
            <w:r>
              <w:rPr>
                <w:b/>
                <w:sz w:val="16"/>
              </w:rPr>
              <w:t>Level:</w:t>
            </w:r>
            <w:r>
              <w:rPr>
                <w:b/>
                <w:spacing w:val="-5"/>
                <w:sz w:val="16"/>
              </w:rPr>
              <w:t> </w:t>
            </w:r>
            <w:r>
              <w:rPr>
                <w:b/>
                <w:sz w:val="16"/>
              </w:rPr>
              <w:t>Patient</w:t>
            </w:r>
          </w:p>
        </w:tc>
      </w:tr>
      <w:tr>
        <w:trPr>
          <w:trHeight w:val="1293" w:hRule="atLeast"/>
        </w:trPr>
        <w:tc>
          <w:tcPr>
            <w:tcW w:w="5809" w:type="dxa"/>
          </w:tcPr>
          <w:p>
            <w:pPr>
              <w:pStyle w:val="TableParagraph"/>
              <w:spacing w:line="264" w:lineRule="auto"/>
              <w:ind w:left="554" w:right="207" w:hanging="426"/>
              <w:rPr>
                <w:sz w:val="16"/>
              </w:rPr>
            </w:pPr>
            <w:r>
              <w:rPr>
                <w:sz w:val="16"/>
              </w:rPr>
              <w:t>4.08 What is the impact of HCH enrolment on patient, carer and family</w:t>
            </w:r>
            <w:r>
              <w:rPr>
                <w:spacing w:val="-42"/>
                <w:sz w:val="16"/>
              </w:rPr>
              <w:t> </w:t>
            </w:r>
            <w:r>
              <w:rPr>
                <w:sz w:val="16"/>
              </w:rPr>
              <w:t>out-of-pocket</w:t>
            </w:r>
            <w:r>
              <w:rPr>
                <w:spacing w:val="-2"/>
                <w:sz w:val="16"/>
              </w:rPr>
              <w:t> </w:t>
            </w:r>
            <w:r>
              <w:rPr>
                <w:sz w:val="16"/>
              </w:rPr>
              <w:t>costs?</w:t>
            </w:r>
          </w:p>
        </w:tc>
        <w:tc>
          <w:tcPr>
            <w:tcW w:w="6853" w:type="dxa"/>
          </w:tcPr>
          <w:p>
            <w:pPr>
              <w:pStyle w:val="TableParagraph"/>
              <w:spacing w:line="264" w:lineRule="auto"/>
              <w:ind w:left="700" w:right="268" w:hanging="567"/>
              <w:rPr>
                <w:sz w:val="16"/>
              </w:rPr>
            </w:pPr>
            <w:r>
              <w:rPr>
                <w:sz w:val="16"/>
              </w:rPr>
              <w:t>4.08.01 Difference in the mean out-of-pocket payments for HCH patients in the</w:t>
            </w:r>
            <w:r>
              <w:rPr>
                <w:spacing w:val="1"/>
                <w:sz w:val="16"/>
              </w:rPr>
              <w:t> </w:t>
            </w:r>
            <w:r>
              <w:rPr>
                <w:sz w:val="16"/>
              </w:rPr>
              <w:t>previous 12 months between: (a) entry to the HCH program; and (b) the</w:t>
            </w:r>
            <w:r>
              <w:rPr>
                <w:spacing w:val="1"/>
                <w:sz w:val="16"/>
              </w:rPr>
              <w:t> </w:t>
            </w:r>
            <w:r>
              <w:rPr>
                <w:sz w:val="16"/>
              </w:rPr>
              <w:t>anniversary of entry to the program, HCH patients vs. comparator patients.</w:t>
            </w:r>
            <w:r>
              <w:rPr>
                <w:spacing w:val="1"/>
                <w:sz w:val="16"/>
              </w:rPr>
              <w:t> </w:t>
            </w:r>
            <w:r>
              <w:rPr>
                <w:sz w:val="16"/>
              </w:rPr>
              <w:t>Out-of-pocket costs will be estimated from MBS and PBS data, analysis of</w:t>
            </w:r>
            <w:r>
              <w:rPr>
                <w:spacing w:val="1"/>
                <w:sz w:val="16"/>
              </w:rPr>
              <w:t> </w:t>
            </w:r>
            <w:r>
              <w:rPr>
                <w:sz w:val="16"/>
              </w:rPr>
              <w:t>hospital data</w:t>
            </w:r>
            <w:r>
              <w:rPr>
                <w:spacing w:val="-2"/>
                <w:sz w:val="16"/>
              </w:rPr>
              <w:t> </w:t>
            </w:r>
            <w:r>
              <w:rPr>
                <w:sz w:val="16"/>
              </w:rPr>
              <w:t>and</w:t>
            </w:r>
            <w:r>
              <w:rPr>
                <w:spacing w:val="-3"/>
                <w:sz w:val="16"/>
              </w:rPr>
              <w:t> </w:t>
            </w:r>
            <w:r>
              <w:rPr>
                <w:sz w:val="16"/>
              </w:rPr>
              <w:t>analysis</w:t>
            </w:r>
            <w:r>
              <w:rPr>
                <w:spacing w:val="-3"/>
                <w:sz w:val="16"/>
              </w:rPr>
              <w:t> </w:t>
            </w:r>
            <w:r>
              <w:rPr>
                <w:sz w:val="16"/>
              </w:rPr>
              <w:t>and</w:t>
            </w:r>
            <w:r>
              <w:rPr>
                <w:spacing w:val="-2"/>
                <w:sz w:val="16"/>
              </w:rPr>
              <w:t> </w:t>
            </w:r>
            <w:r>
              <w:rPr>
                <w:sz w:val="16"/>
              </w:rPr>
              <w:t>modelling</w:t>
            </w:r>
            <w:r>
              <w:rPr>
                <w:spacing w:val="-4"/>
                <w:sz w:val="16"/>
              </w:rPr>
              <w:t> </w:t>
            </w:r>
            <w:r>
              <w:rPr>
                <w:sz w:val="16"/>
              </w:rPr>
              <w:t>of</w:t>
            </w:r>
            <w:r>
              <w:rPr>
                <w:spacing w:val="-2"/>
                <w:sz w:val="16"/>
              </w:rPr>
              <w:t> </w:t>
            </w:r>
            <w:r>
              <w:rPr>
                <w:sz w:val="16"/>
              </w:rPr>
              <w:t>practice</w:t>
            </w:r>
            <w:r>
              <w:rPr>
                <w:spacing w:val="-2"/>
                <w:sz w:val="16"/>
              </w:rPr>
              <w:t> </w:t>
            </w:r>
            <w:r>
              <w:rPr>
                <w:sz w:val="16"/>
              </w:rPr>
              <w:t>policies</w:t>
            </w:r>
            <w:r>
              <w:rPr>
                <w:spacing w:val="-4"/>
                <w:sz w:val="16"/>
              </w:rPr>
              <w:t> </w:t>
            </w:r>
            <w:r>
              <w:rPr>
                <w:sz w:val="16"/>
              </w:rPr>
              <w:t>relating</w:t>
            </w:r>
            <w:r>
              <w:rPr>
                <w:spacing w:val="-3"/>
                <w:sz w:val="16"/>
              </w:rPr>
              <w:t> </w:t>
            </w:r>
            <w:r>
              <w:rPr>
                <w:sz w:val="16"/>
              </w:rPr>
              <w:t>to</w:t>
            </w:r>
            <w:r>
              <w:rPr>
                <w:spacing w:val="-1"/>
                <w:sz w:val="16"/>
              </w:rPr>
              <w:t> </w:t>
            </w:r>
            <w:r>
              <w:rPr>
                <w:sz w:val="16"/>
              </w:rPr>
              <w:t>co-</w:t>
            </w:r>
          </w:p>
          <w:p>
            <w:pPr>
              <w:pStyle w:val="TableParagraph"/>
              <w:spacing w:line="195" w:lineRule="exact"/>
              <w:ind w:left="700"/>
              <w:rPr>
                <w:sz w:val="16"/>
              </w:rPr>
            </w:pPr>
            <w:r>
              <w:rPr>
                <w:sz w:val="16"/>
              </w:rPr>
              <w:t>payments</w:t>
            </w:r>
            <w:r>
              <w:rPr>
                <w:spacing w:val="-1"/>
                <w:sz w:val="16"/>
              </w:rPr>
              <w:t> </w:t>
            </w:r>
            <w:r>
              <w:rPr>
                <w:sz w:val="16"/>
              </w:rPr>
              <w:t>for</w:t>
            </w:r>
            <w:r>
              <w:rPr>
                <w:spacing w:val="-4"/>
                <w:sz w:val="16"/>
              </w:rPr>
              <w:t> </w:t>
            </w:r>
            <w:r>
              <w:rPr>
                <w:sz w:val="16"/>
              </w:rPr>
              <w:t>HCH</w:t>
            </w:r>
            <w:r>
              <w:rPr>
                <w:spacing w:val="-2"/>
                <w:sz w:val="16"/>
              </w:rPr>
              <w:t> </w:t>
            </w:r>
            <w:r>
              <w:rPr>
                <w:sz w:val="16"/>
              </w:rPr>
              <w:t>patients.</w:t>
            </w:r>
          </w:p>
        </w:tc>
        <w:tc>
          <w:tcPr>
            <w:tcW w:w="324" w:type="dxa"/>
          </w:tcPr>
          <w:p>
            <w:pPr>
              <w:pStyle w:val="TableParagraph"/>
              <w:rPr>
                <w:rFonts w:ascii="Times New Roman"/>
                <w:sz w:val="16"/>
              </w:rPr>
            </w:pPr>
          </w:p>
        </w:tc>
        <w:tc>
          <w:tcPr>
            <w:tcW w:w="327" w:type="dxa"/>
          </w:tcPr>
          <w:p>
            <w:pPr>
              <w:pStyle w:val="TableParagraph"/>
              <w:spacing w:before="10"/>
              <w:rPr>
                <w:b/>
                <w:sz w:val="15"/>
              </w:rPr>
            </w:pPr>
          </w:p>
          <w:p>
            <w:pPr>
              <w:pStyle w:val="TableParagraph"/>
              <w:ind w:right="80"/>
              <w:jc w:val="right"/>
              <w:rPr>
                <w:rFonts w:ascii="Wingdings" w:hAnsi="Wingdings"/>
                <w:sz w:val="16"/>
              </w:rPr>
            </w:pPr>
            <w:r>
              <w:rPr>
                <w:rFonts w:ascii="Wingdings" w:hAnsi="Wingdings"/>
                <w:w w:val="100"/>
                <w:sz w:val="16"/>
              </w:rPr>
              <w:t></w:t>
            </w:r>
          </w:p>
        </w:tc>
        <w:tc>
          <w:tcPr>
            <w:tcW w:w="324" w:type="dxa"/>
          </w:tcPr>
          <w:p>
            <w:pPr>
              <w:pStyle w:val="TableParagraph"/>
              <w:rPr>
                <w:rFonts w:ascii="Times New Roman"/>
                <w:sz w:val="16"/>
              </w:rPr>
            </w:pPr>
          </w:p>
        </w:tc>
        <w:tc>
          <w:tcPr>
            <w:tcW w:w="324" w:type="dxa"/>
          </w:tcPr>
          <w:p>
            <w:pPr>
              <w:pStyle w:val="TableParagraph"/>
              <w:rPr>
                <w:rFonts w:ascii="Times New Roman"/>
                <w:sz w:val="16"/>
              </w:rPr>
            </w:pPr>
          </w:p>
        </w:tc>
        <w:tc>
          <w:tcPr>
            <w:tcW w:w="326" w:type="dxa"/>
          </w:tcPr>
          <w:p>
            <w:pPr>
              <w:pStyle w:val="TableParagraph"/>
              <w:rPr>
                <w:rFonts w:ascii="Times New Roman"/>
                <w:sz w:val="16"/>
              </w:rPr>
            </w:pPr>
          </w:p>
        </w:tc>
      </w:tr>
    </w:tbl>
    <w:p>
      <w:pPr>
        <w:pStyle w:val="BodyText"/>
        <w:rPr>
          <w:b/>
        </w:rPr>
      </w:pPr>
    </w:p>
    <w:p>
      <w:pPr>
        <w:pStyle w:val="BodyText"/>
        <w:spacing w:before="3"/>
        <w:rPr>
          <w:b/>
          <w:sz w:val="23"/>
        </w:rPr>
      </w:pPr>
      <w:r>
        <w:rPr/>
        <w:pict>
          <v:rect style="position:absolute;margin-left:70.559998pt;margin-top:15.449854pt;width:700.92pt;height:.47998pt;mso-position-horizontal-relative:page;mso-position-vertical-relative:paragraph;z-index:-15720960;mso-wrap-distance-left:0;mso-wrap-distance-right:0" id="docshape67" filled="true" fillcolor="#d9d9d9" stroked="false">
            <v:fill type="solid"/>
            <w10:wrap type="topAndBottom"/>
          </v:rect>
        </w:pict>
      </w:r>
    </w:p>
    <w:p>
      <w:pPr>
        <w:spacing w:after="0"/>
        <w:rPr>
          <w:sz w:val="23"/>
        </w:rPr>
        <w:sectPr>
          <w:footerReference w:type="default" r:id="rId27"/>
          <w:pgSz w:w="16840" w:h="11910" w:orient="landscape"/>
          <w:pgMar w:footer="728" w:header="0" w:top="1100" w:bottom="920" w:left="1340" w:right="980"/>
        </w:sectPr>
      </w:pPr>
    </w:p>
    <w:p>
      <w:pPr>
        <w:pStyle w:val="Heading6"/>
        <w:spacing w:line="276" w:lineRule="auto"/>
        <w:ind w:right="90"/>
      </w:pPr>
      <w:r>
        <w:rPr/>
        <w:pict>
          <v:rect style="position:absolute;margin-left:70.584pt;margin-top:794.159973pt;width:454.27pt;height:.47998pt;mso-position-horizontal-relative:page;mso-position-vertical-relative:page;z-index:15736832" id="docshape70" filled="true" fillcolor="#d9d9d9" stroked="false">
            <v:fill type="solid"/>
            <w10:wrap type="none"/>
          </v:rect>
        </w:pict>
      </w:r>
      <w:r>
        <w:rPr/>
        <w:t>Key questions 5 to 8: Evaluation questions for the community pharmacy component of the</w:t>
      </w:r>
      <w:r>
        <w:rPr>
          <w:spacing w:val="-53"/>
        </w:rPr>
        <w:t> </w:t>
      </w:r>
      <w:r>
        <w:rPr/>
        <w:t>HCH</w:t>
      </w:r>
      <w:r>
        <w:rPr>
          <w:spacing w:val="-1"/>
        </w:rPr>
        <w:t> </w:t>
      </w:r>
      <w:r>
        <w:rPr/>
        <w:t>trial</w:t>
      </w:r>
    </w:p>
    <w:p>
      <w:pPr>
        <w:pStyle w:val="BodyText"/>
        <w:spacing w:line="276" w:lineRule="auto" w:before="199"/>
        <w:ind w:left="140" w:right="238"/>
      </w:pPr>
      <w:r>
        <w:rPr/>
        <w:t>Questions 5 to 8 relate to the community pharmacy component of the HCH trial. </w:t>
      </w:r>
      <w:hyperlink w:history="true" w:anchor="_bookmark22">
        <w:r>
          <w:rPr/>
          <w:t>Table 8</w:t>
        </w:r>
      </w:hyperlink>
      <w:r>
        <w:rPr>
          <w:spacing w:val="-53"/>
        </w:rPr>
        <w:t> </w:t>
      </w:r>
      <w:r>
        <w:rPr/>
        <w:t>shows</w:t>
      </w:r>
      <w:r>
        <w:rPr>
          <w:spacing w:val="-2"/>
        </w:rPr>
        <w:t> </w:t>
      </w:r>
      <w:r>
        <w:rPr/>
        <w:t>these along with associated measures.</w:t>
      </w:r>
    </w:p>
    <w:p>
      <w:pPr>
        <w:spacing w:after="0" w:line="276" w:lineRule="auto"/>
        <w:sectPr>
          <w:footerReference w:type="default" r:id="rId28"/>
          <w:pgSz w:w="11910" w:h="16840"/>
          <w:pgMar w:footer="727" w:header="0" w:top="1340" w:bottom="920" w:left="1300" w:right="1680"/>
        </w:sectPr>
      </w:pPr>
    </w:p>
    <w:p>
      <w:pPr>
        <w:pStyle w:val="BodyText"/>
        <w:spacing w:before="12"/>
        <w:rPr>
          <w:sz w:val="18"/>
        </w:rPr>
      </w:pPr>
    </w:p>
    <w:p>
      <w:pPr>
        <w:spacing w:before="100" w:after="35"/>
        <w:ind w:left="2605" w:right="2624" w:firstLine="0"/>
        <w:jc w:val="center"/>
        <w:rPr>
          <w:b/>
          <w:sz w:val="18"/>
        </w:rPr>
      </w:pPr>
      <w:bookmarkStart w:name="_bookmark22" w:id="23"/>
      <w:bookmarkEnd w:id="23"/>
      <w:r>
        <w:rPr/>
      </w:r>
      <w:r>
        <w:rPr>
          <w:b/>
          <w:sz w:val="18"/>
        </w:rPr>
        <w:t>Table</w:t>
      </w:r>
      <w:r>
        <w:rPr>
          <w:b/>
          <w:spacing w:val="-3"/>
          <w:sz w:val="18"/>
        </w:rPr>
        <w:t> </w:t>
      </w:r>
      <w:r>
        <w:rPr>
          <w:b/>
          <w:sz w:val="18"/>
        </w:rPr>
        <w:t>8</w:t>
      </w:r>
      <w:r>
        <w:rPr>
          <w:b/>
          <w:spacing w:val="-5"/>
          <w:sz w:val="18"/>
        </w:rPr>
        <w:t> </w:t>
      </w:r>
      <w:r>
        <w:rPr>
          <w:b/>
          <w:sz w:val="18"/>
        </w:rPr>
        <w:t>–</w:t>
      </w:r>
      <w:r>
        <w:rPr>
          <w:b/>
          <w:spacing w:val="-1"/>
          <w:sz w:val="18"/>
        </w:rPr>
        <w:t> </w:t>
      </w:r>
      <w:r>
        <w:rPr>
          <w:b/>
          <w:sz w:val="18"/>
        </w:rPr>
        <w:t>Detailed</w:t>
      </w:r>
      <w:r>
        <w:rPr>
          <w:b/>
          <w:spacing w:val="-1"/>
          <w:sz w:val="18"/>
        </w:rPr>
        <w:t> </w:t>
      </w:r>
      <w:r>
        <w:rPr>
          <w:b/>
          <w:sz w:val="18"/>
        </w:rPr>
        <w:t>questions</w:t>
      </w:r>
      <w:r>
        <w:rPr>
          <w:b/>
          <w:spacing w:val="-5"/>
          <w:sz w:val="18"/>
        </w:rPr>
        <w:t> </w:t>
      </w:r>
      <w:r>
        <w:rPr>
          <w:b/>
          <w:sz w:val="18"/>
        </w:rPr>
        <w:t>for</w:t>
      </w:r>
      <w:r>
        <w:rPr>
          <w:b/>
          <w:spacing w:val="-3"/>
          <w:sz w:val="18"/>
        </w:rPr>
        <w:t> </w:t>
      </w:r>
      <w:r>
        <w:rPr>
          <w:b/>
          <w:sz w:val="18"/>
        </w:rPr>
        <w:t>the</w:t>
      </w:r>
      <w:r>
        <w:rPr>
          <w:b/>
          <w:spacing w:val="-2"/>
          <w:sz w:val="18"/>
        </w:rPr>
        <w:t> </w:t>
      </w:r>
      <w:r>
        <w:rPr>
          <w:b/>
          <w:sz w:val="18"/>
        </w:rPr>
        <w:t>evaluation</w:t>
      </w:r>
      <w:r>
        <w:rPr>
          <w:b/>
          <w:spacing w:val="-2"/>
          <w:sz w:val="18"/>
        </w:rPr>
        <w:t> </w:t>
      </w:r>
      <w:r>
        <w:rPr>
          <w:b/>
          <w:sz w:val="18"/>
        </w:rPr>
        <w:t>of</w:t>
      </w:r>
      <w:r>
        <w:rPr>
          <w:b/>
          <w:spacing w:val="-3"/>
          <w:sz w:val="18"/>
        </w:rPr>
        <w:t> </w:t>
      </w:r>
      <w:r>
        <w:rPr>
          <w:b/>
          <w:sz w:val="18"/>
        </w:rPr>
        <w:t>the</w:t>
      </w:r>
      <w:r>
        <w:rPr>
          <w:b/>
          <w:spacing w:val="-2"/>
          <w:sz w:val="18"/>
        </w:rPr>
        <w:t> </w:t>
      </w:r>
      <w:r>
        <w:rPr>
          <w:b/>
          <w:sz w:val="18"/>
        </w:rPr>
        <w:t>community</w:t>
      </w:r>
      <w:r>
        <w:rPr>
          <w:b/>
          <w:spacing w:val="-2"/>
          <w:sz w:val="18"/>
        </w:rPr>
        <w:t> </w:t>
      </w:r>
      <w:r>
        <w:rPr>
          <w:b/>
          <w:sz w:val="18"/>
        </w:rPr>
        <w:t>pharmacy</w:t>
      </w:r>
      <w:r>
        <w:rPr>
          <w:b/>
          <w:spacing w:val="-1"/>
          <w:sz w:val="18"/>
        </w:rPr>
        <w:t> </w:t>
      </w:r>
      <w:r>
        <w:rPr>
          <w:b/>
          <w:sz w:val="18"/>
        </w:rPr>
        <w:t>component</w:t>
      </w:r>
      <w:r>
        <w:rPr>
          <w:b/>
          <w:spacing w:val="-4"/>
          <w:sz w:val="18"/>
        </w:rPr>
        <w:t> </w:t>
      </w:r>
      <w:r>
        <w:rPr>
          <w:b/>
          <w:sz w:val="18"/>
        </w:rPr>
        <w:t>of</w:t>
      </w:r>
      <w:r>
        <w:rPr>
          <w:b/>
          <w:spacing w:val="-3"/>
          <w:sz w:val="18"/>
        </w:rPr>
        <w:t> </w:t>
      </w:r>
      <w:r>
        <w:rPr>
          <w:b/>
          <w:sz w:val="18"/>
        </w:rPr>
        <w:t>the</w:t>
      </w:r>
      <w:r>
        <w:rPr>
          <w:b/>
          <w:spacing w:val="-2"/>
          <w:sz w:val="18"/>
        </w:rPr>
        <w:t> </w:t>
      </w:r>
      <w:r>
        <w:rPr>
          <w:b/>
          <w:sz w:val="18"/>
        </w:rPr>
        <w:t>HCH</w:t>
      </w:r>
      <w:r>
        <w:rPr>
          <w:b/>
          <w:spacing w:val="-3"/>
          <w:sz w:val="18"/>
        </w:rPr>
        <w:t> </w:t>
      </w:r>
      <w:r>
        <w:rPr>
          <w:b/>
          <w:sz w:val="18"/>
        </w:rPr>
        <w:t>trial</w:t>
      </w:r>
    </w:p>
    <w:tbl>
      <w:tblPr>
        <w:tblW w:w="0" w:type="auto"/>
        <w:jc w:val="left"/>
        <w:tblInd w:w="11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11229"/>
        <w:gridCol w:w="1049"/>
        <w:gridCol w:w="322"/>
        <w:gridCol w:w="322"/>
        <w:gridCol w:w="322"/>
        <w:gridCol w:w="322"/>
        <w:gridCol w:w="386"/>
      </w:tblGrid>
      <w:tr>
        <w:trPr>
          <w:trHeight w:val="1741" w:hRule="atLeast"/>
        </w:trPr>
        <w:tc>
          <w:tcPr>
            <w:tcW w:w="11229" w:type="dxa"/>
            <w:shd w:val="clear" w:color="auto" w:fill="003C79"/>
          </w:tcPr>
          <w:p>
            <w:pPr>
              <w:pStyle w:val="TableParagraph"/>
              <w:rPr>
                <w:b/>
                <w:sz w:val="20"/>
              </w:rPr>
            </w:pPr>
          </w:p>
          <w:p>
            <w:pPr>
              <w:pStyle w:val="TableParagraph"/>
              <w:rPr>
                <w:b/>
                <w:sz w:val="20"/>
              </w:rPr>
            </w:pPr>
          </w:p>
          <w:p>
            <w:pPr>
              <w:pStyle w:val="TableParagraph"/>
              <w:rPr>
                <w:b/>
                <w:sz w:val="23"/>
              </w:rPr>
            </w:pPr>
          </w:p>
          <w:p>
            <w:pPr>
              <w:pStyle w:val="TableParagraph"/>
              <w:ind w:left="5222" w:right="5214"/>
              <w:jc w:val="center"/>
              <w:rPr>
                <w:b/>
                <w:sz w:val="16"/>
              </w:rPr>
            </w:pPr>
            <w:r>
              <w:rPr>
                <w:b/>
                <w:color w:val="FFFFFF"/>
                <w:sz w:val="16"/>
              </w:rPr>
              <w:t>Measures</w:t>
            </w:r>
          </w:p>
        </w:tc>
        <w:tc>
          <w:tcPr>
            <w:tcW w:w="1049" w:type="dxa"/>
            <w:shd w:val="clear" w:color="auto" w:fill="003C79"/>
          </w:tcPr>
          <w:p>
            <w:pPr>
              <w:pStyle w:val="TableParagraph"/>
              <w:rPr>
                <w:b/>
                <w:sz w:val="23"/>
              </w:rPr>
            </w:pPr>
          </w:p>
          <w:p>
            <w:pPr>
              <w:pStyle w:val="TableParagraph"/>
              <w:spacing w:before="1"/>
              <w:ind w:left="55" w:right="46" w:hanging="3"/>
              <w:jc w:val="center"/>
              <w:rPr>
                <w:b/>
                <w:sz w:val="16"/>
              </w:rPr>
            </w:pPr>
            <w:r>
              <w:rPr>
                <w:b/>
                <w:color w:val="FFFFFF"/>
                <w:sz w:val="16"/>
              </w:rPr>
              <w:t>Level</w:t>
            </w:r>
            <w:r>
              <w:rPr>
                <w:b/>
                <w:color w:val="FFFFFF"/>
                <w:spacing w:val="1"/>
                <w:sz w:val="16"/>
              </w:rPr>
              <w:t> </w:t>
            </w:r>
            <w:r>
              <w:rPr>
                <w:b/>
                <w:color w:val="FFFFFF"/>
                <w:sz w:val="16"/>
              </w:rPr>
              <w:t>PR=Program</w:t>
            </w:r>
            <w:r>
              <w:rPr>
                <w:b/>
                <w:color w:val="FFFFFF"/>
                <w:spacing w:val="-42"/>
                <w:sz w:val="16"/>
              </w:rPr>
              <w:t> </w:t>
            </w:r>
            <w:r>
              <w:rPr>
                <w:b/>
                <w:color w:val="FFFFFF"/>
                <w:sz w:val="16"/>
              </w:rPr>
              <w:t>PH/C=</w:t>
            </w:r>
          </w:p>
          <w:p>
            <w:pPr>
              <w:pStyle w:val="TableParagraph"/>
              <w:ind w:left="55" w:right="48"/>
              <w:jc w:val="center"/>
              <w:rPr>
                <w:b/>
                <w:sz w:val="16"/>
              </w:rPr>
            </w:pPr>
            <w:r>
              <w:rPr>
                <w:b/>
                <w:color w:val="FFFFFF"/>
                <w:sz w:val="16"/>
              </w:rPr>
              <w:t>Pharmacist/</w:t>
            </w:r>
            <w:r>
              <w:rPr>
                <w:b/>
                <w:color w:val="FFFFFF"/>
                <w:spacing w:val="-42"/>
                <w:sz w:val="16"/>
              </w:rPr>
              <w:t> </w:t>
            </w:r>
            <w:r>
              <w:rPr>
                <w:b/>
                <w:color w:val="FFFFFF"/>
                <w:sz w:val="16"/>
              </w:rPr>
              <w:t>practice</w:t>
            </w:r>
            <w:r>
              <w:rPr>
                <w:b/>
                <w:color w:val="FFFFFF"/>
                <w:spacing w:val="1"/>
                <w:sz w:val="16"/>
              </w:rPr>
              <w:t> </w:t>
            </w:r>
            <w:r>
              <w:rPr>
                <w:b/>
                <w:color w:val="FFFFFF"/>
                <w:sz w:val="16"/>
              </w:rPr>
              <w:t>PT=Patient</w:t>
            </w:r>
          </w:p>
        </w:tc>
        <w:tc>
          <w:tcPr>
            <w:tcW w:w="322" w:type="dxa"/>
            <w:shd w:val="clear" w:color="auto" w:fill="003C79"/>
            <w:textDirection w:val="btLr"/>
          </w:tcPr>
          <w:p>
            <w:pPr>
              <w:pStyle w:val="TableParagraph"/>
              <w:spacing w:before="62"/>
              <w:ind w:left="620" w:right="619"/>
              <w:jc w:val="center"/>
              <w:rPr>
                <w:b/>
                <w:sz w:val="16"/>
              </w:rPr>
            </w:pPr>
            <w:r>
              <w:rPr>
                <w:b/>
                <w:color w:val="FFFFFF"/>
                <w:sz w:val="16"/>
              </w:rPr>
              <w:t>Inputs</w:t>
            </w:r>
          </w:p>
        </w:tc>
        <w:tc>
          <w:tcPr>
            <w:tcW w:w="322" w:type="dxa"/>
            <w:shd w:val="clear" w:color="auto" w:fill="003C79"/>
            <w:textDirection w:val="btLr"/>
          </w:tcPr>
          <w:p>
            <w:pPr>
              <w:pStyle w:val="TableParagraph"/>
              <w:spacing w:before="61"/>
              <w:ind w:left="525"/>
              <w:rPr>
                <w:b/>
                <w:sz w:val="16"/>
              </w:rPr>
            </w:pPr>
            <w:r>
              <w:rPr>
                <w:b/>
                <w:color w:val="FFFFFF"/>
                <w:sz w:val="16"/>
              </w:rPr>
              <w:t>Activities</w:t>
            </w:r>
          </w:p>
        </w:tc>
        <w:tc>
          <w:tcPr>
            <w:tcW w:w="322" w:type="dxa"/>
            <w:shd w:val="clear" w:color="auto" w:fill="003C79"/>
            <w:textDirection w:val="btLr"/>
          </w:tcPr>
          <w:p>
            <w:pPr>
              <w:pStyle w:val="TableParagraph"/>
              <w:spacing w:before="61"/>
              <w:ind w:left="573"/>
              <w:rPr>
                <w:b/>
                <w:sz w:val="16"/>
              </w:rPr>
            </w:pPr>
            <w:r>
              <w:rPr>
                <w:b/>
                <w:color w:val="FFFFFF"/>
                <w:sz w:val="16"/>
              </w:rPr>
              <w:t>Outputs</w:t>
            </w:r>
          </w:p>
        </w:tc>
        <w:tc>
          <w:tcPr>
            <w:tcW w:w="322" w:type="dxa"/>
            <w:shd w:val="clear" w:color="auto" w:fill="003C79"/>
            <w:textDirection w:val="btLr"/>
          </w:tcPr>
          <w:p>
            <w:pPr>
              <w:pStyle w:val="TableParagraph"/>
              <w:spacing w:before="61"/>
              <w:ind w:left="371"/>
              <w:rPr>
                <w:b/>
                <w:sz w:val="16"/>
              </w:rPr>
            </w:pPr>
            <w:r>
              <w:rPr>
                <w:b/>
                <w:color w:val="FFFFFF"/>
                <w:sz w:val="16"/>
              </w:rPr>
              <w:t>Outcomes</w:t>
            </w:r>
            <w:r>
              <w:rPr>
                <w:b/>
                <w:color w:val="FFFFFF"/>
                <w:spacing w:val="-2"/>
                <w:sz w:val="16"/>
              </w:rPr>
              <w:t> </w:t>
            </w:r>
            <w:r>
              <w:rPr>
                <w:b/>
                <w:color w:val="FFFFFF"/>
                <w:sz w:val="16"/>
              </w:rPr>
              <w:t>ST</w:t>
            </w:r>
          </w:p>
        </w:tc>
        <w:tc>
          <w:tcPr>
            <w:tcW w:w="386" w:type="dxa"/>
            <w:shd w:val="clear" w:color="auto" w:fill="003C79"/>
            <w:textDirection w:val="btLr"/>
          </w:tcPr>
          <w:p>
            <w:pPr>
              <w:pStyle w:val="TableParagraph"/>
              <w:spacing w:before="94"/>
              <w:ind w:left="340"/>
              <w:rPr>
                <w:b/>
                <w:sz w:val="16"/>
              </w:rPr>
            </w:pPr>
            <w:r>
              <w:rPr>
                <w:b/>
                <w:color w:val="FFFFFF"/>
                <w:sz w:val="16"/>
              </w:rPr>
              <w:t>Outcomes</w:t>
            </w:r>
            <w:r>
              <w:rPr>
                <w:b/>
                <w:color w:val="FFFFFF"/>
                <w:spacing w:val="-1"/>
                <w:sz w:val="16"/>
              </w:rPr>
              <w:t> </w:t>
            </w:r>
            <w:r>
              <w:rPr>
                <w:b/>
                <w:color w:val="FFFFFF"/>
                <w:sz w:val="16"/>
              </w:rPr>
              <w:t>MT</w:t>
            </w:r>
          </w:p>
        </w:tc>
      </w:tr>
      <w:tr>
        <w:trPr>
          <w:trHeight w:val="381" w:hRule="atLeast"/>
        </w:trPr>
        <w:tc>
          <w:tcPr>
            <w:tcW w:w="13952" w:type="dxa"/>
            <w:gridSpan w:val="7"/>
            <w:shd w:val="clear" w:color="auto" w:fill="F1F1F1"/>
          </w:tcPr>
          <w:p>
            <w:pPr>
              <w:pStyle w:val="TableParagraph"/>
              <w:spacing w:before="57"/>
              <w:ind w:left="57"/>
              <w:rPr>
                <w:b/>
                <w:sz w:val="16"/>
              </w:rPr>
            </w:pPr>
            <w:r>
              <w:rPr>
                <w:b/>
                <w:sz w:val="16"/>
              </w:rPr>
              <w:t>Key</w:t>
            </w:r>
            <w:r>
              <w:rPr>
                <w:b/>
                <w:spacing w:val="-4"/>
                <w:sz w:val="16"/>
              </w:rPr>
              <w:t> </w:t>
            </w:r>
            <w:r>
              <w:rPr>
                <w:b/>
                <w:sz w:val="16"/>
              </w:rPr>
              <w:t>question</w:t>
            </w:r>
            <w:r>
              <w:rPr>
                <w:b/>
                <w:spacing w:val="-5"/>
                <w:sz w:val="16"/>
              </w:rPr>
              <w:t> </w:t>
            </w:r>
            <w:r>
              <w:rPr>
                <w:b/>
                <w:sz w:val="16"/>
              </w:rPr>
              <w:t>5:</w:t>
            </w:r>
            <w:r>
              <w:rPr>
                <w:b/>
                <w:spacing w:val="-3"/>
                <w:sz w:val="16"/>
              </w:rPr>
              <w:t> </w:t>
            </w:r>
            <w:r>
              <w:rPr>
                <w:b/>
                <w:sz w:val="16"/>
              </w:rPr>
              <w:t>Is</w:t>
            </w:r>
            <w:r>
              <w:rPr>
                <w:b/>
                <w:spacing w:val="-2"/>
                <w:sz w:val="16"/>
              </w:rPr>
              <w:t> </w:t>
            </w:r>
            <w:r>
              <w:rPr>
                <w:b/>
                <w:sz w:val="16"/>
              </w:rPr>
              <w:t>community pharmacy</w:t>
            </w:r>
            <w:r>
              <w:rPr>
                <w:b/>
                <w:spacing w:val="-2"/>
                <w:sz w:val="16"/>
              </w:rPr>
              <w:t> </w:t>
            </w:r>
            <w:r>
              <w:rPr>
                <w:b/>
                <w:sz w:val="16"/>
              </w:rPr>
              <w:t>a</w:t>
            </w:r>
            <w:r>
              <w:rPr>
                <w:b/>
                <w:spacing w:val="-2"/>
                <w:sz w:val="16"/>
              </w:rPr>
              <w:t> </w:t>
            </w:r>
            <w:r>
              <w:rPr>
                <w:b/>
                <w:sz w:val="16"/>
              </w:rPr>
              <w:t>beneficial</w:t>
            </w:r>
            <w:r>
              <w:rPr>
                <w:b/>
                <w:spacing w:val="-2"/>
                <w:sz w:val="16"/>
              </w:rPr>
              <w:t> </w:t>
            </w:r>
            <w:r>
              <w:rPr>
                <w:b/>
                <w:sz w:val="16"/>
              </w:rPr>
              <w:t>component</w:t>
            </w:r>
            <w:r>
              <w:rPr>
                <w:b/>
                <w:spacing w:val="-2"/>
                <w:sz w:val="16"/>
              </w:rPr>
              <w:t> </w:t>
            </w:r>
            <w:r>
              <w:rPr>
                <w:b/>
                <w:sz w:val="16"/>
              </w:rPr>
              <w:t>of</w:t>
            </w:r>
            <w:r>
              <w:rPr>
                <w:b/>
                <w:spacing w:val="-2"/>
                <w:sz w:val="16"/>
              </w:rPr>
              <w:t> </w:t>
            </w:r>
            <w:r>
              <w:rPr>
                <w:b/>
                <w:sz w:val="16"/>
              </w:rPr>
              <w:t>the</w:t>
            </w:r>
            <w:r>
              <w:rPr>
                <w:b/>
                <w:spacing w:val="-2"/>
                <w:sz w:val="16"/>
              </w:rPr>
              <w:t> </w:t>
            </w:r>
            <w:r>
              <w:rPr>
                <w:b/>
                <w:sz w:val="16"/>
              </w:rPr>
              <w:t>broader</w:t>
            </w:r>
            <w:r>
              <w:rPr>
                <w:b/>
                <w:spacing w:val="-3"/>
                <w:sz w:val="16"/>
              </w:rPr>
              <w:t> </w:t>
            </w:r>
            <w:r>
              <w:rPr>
                <w:b/>
                <w:sz w:val="16"/>
              </w:rPr>
              <w:t>HCH</w:t>
            </w:r>
            <w:r>
              <w:rPr>
                <w:b/>
                <w:spacing w:val="-3"/>
                <w:sz w:val="16"/>
              </w:rPr>
              <w:t> </w:t>
            </w:r>
            <w:r>
              <w:rPr>
                <w:b/>
                <w:sz w:val="16"/>
              </w:rPr>
              <w:t>coordinated</w:t>
            </w:r>
            <w:r>
              <w:rPr>
                <w:b/>
                <w:spacing w:val="-2"/>
                <w:sz w:val="16"/>
              </w:rPr>
              <w:t> </w:t>
            </w:r>
            <w:r>
              <w:rPr>
                <w:b/>
                <w:sz w:val="16"/>
              </w:rPr>
              <w:t>care</w:t>
            </w:r>
            <w:r>
              <w:rPr>
                <w:b/>
                <w:spacing w:val="-3"/>
                <w:sz w:val="16"/>
              </w:rPr>
              <w:t> </w:t>
            </w:r>
            <w:r>
              <w:rPr>
                <w:b/>
                <w:sz w:val="16"/>
              </w:rPr>
              <w:t>model</w:t>
            </w:r>
            <w:r>
              <w:rPr>
                <w:b/>
                <w:spacing w:val="-4"/>
                <w:sz w:val="16"/>
              </w:rPr>
              <w:t> </w:t>
            </w:r>
            <w:r>
              <w:rPr>
                <w:b/>
                <w:sz w:val="16"/>
              </w:rPr>
              <w:t>and</w:t>
            </w:r>
            <w:r>
              <w:rPr>
                <w:b/>
                <w:spacing w:val="-3"/>
                <w:sz w:val="16"/>
              </w:rPr>
              <w:t> </w:t>
            </w:r>
            <w:r>
              <w:rPr>
                <w:b/>
                <w:sz w:val="16"/>
              </w:rPr>
              <w:t>should</w:t>
            </w:r>
            <w:r>
              <w:rPr>
                <w:b/>
                <w:spacing w:val="-2"/>
                <w:sz w:val="16"/>
              </w:rPr>
              <w:t> </w:t>
            </w:r>
            <w:r>
              <w:rPr>
                <w:b/>
                <w:sz w:val="16"/>
              </w:rPr>
              <w:t>it</w:t>
            </w:r>
            <w:r>
              <w:rPr>
                <w:b/>
                <w:spacing w:val="-6"/>
                <w:sz w:val="16"/>
              </w:rPr>
              <w:t> </w:t>
            </w:r>
            <w:r>
              <w:rPr>
                <w:b/>
                <w:sz w:val="16"/>
              </w:rPr>
              <w:t>be</w:t>
            </w:r>
            <w:r>
              <w:rPr>
                <w:b/>
                <w:spacing w:val="-2"/>
                <w:sz w:val="16"/>
              </w:rPr>
              <w:t> </w:t>
            </w:r>
            <w:r>
              <w:rPr>
                <w:b/>
                <w:sz w:val="16"/>
              </w:rPr>
              <w:t>included</w:t>
            </w:r>
            <w:r>
              <w:rPr>
                <w:b/>
                <w:spacing w:val="-4"/>
                <w:sz w:val="16"/>
              </w:rPr>
              <w:t> </w:t>
            </w:r>
            <w:r>
              <w:rPr>
                <w:b/>
                <w:sz w:val="16"/>
              </w:rPr>
              <w:t>as</w:t>
            </w:r>
            <w:r>
              <w:rPr>
                <w:b/>
                <w:spacing w:val="-2"/>
                <w:sz w:val="16"/>
              </w:rPr>
              <w:t> </w:t>
            </w:r>
            <w:r>
              <w:rPr>
                <w:b/>
                <w:sz w:val="16"/>
              </w:rPr>
              <w:t>part</w:t>
            </w:r>
            <w:r>
              <w:rPr>
                <w:b/>
                <w:spacing w:val="-2"/>
                <w:sz w:val="16"/>
              </w:rPr>
              <w:t> </w:t>
            </w:r>
            <w:r>
              <w:rPr>
                <w:b/>
                <w:sz w:val="16"/>
              </w:rPr>
              <w:t>of</w:t>
            </w:r>
            <w:r>
              <w:rPr>
                <w:b/>
                <w:spacing w:val="-3"/>
                <w:sz w:val="16"/>
              </w:rPr>
              <w:t> </w:t>
            </w:r>
            <w:r>
              <w:rPr>
                <w:b/>
                <w:sz w:val="16"/>
              </w:rPr>
              <w:t>any</w:t>
            </w:r>
            <w:r>
              <w:rPr>
                <w:b/>
                <w:spacing w:val="-4"/>
                <w:sz w:val="16"/>
              </w:rPr>
              <w:t> </w:t>
            </w:r>
            <w:r>
              <w:rPr>
                <w:b/>
                <w:sz w:val="16"/>
              </w:rPr>
              <w:t>future</w:t>
            </w:r>
            <w:r>
              <w:rPr>
                <w:b/>
                <w:spacing w:val="-2"/>
                <w:sz w:val="16"/>
              </w:rPr>
              <w:t> </w:t>
            </w:r>
            <w:r>
              <w:rPr>
                <w:b/>
                <w:sz w:val="16"/>
              </w:rPr>
              <w:t>roll</w:t>
            </w:r>
            <w:r>
              <w:rPr>
                <w:b/>
                <w:spacing w:val="-1"/>
                <w:sz w:val="16"/>
              </w:rPr>
              <w:t> </w:t>
            </w:r>
            <w:r>
              <w:rPr>
                <w:b/>
                <w:sz w:val="16"/>
              </w:rPr>
              <w:t>out?</w:t>
            </w:r>
          </w:p>
        </w:tc>
      </w:tr>
      <w:tr>
        <w:trPr>
          <w:trHeight w:val="378" w:hRule="atLeast"/>
        </w:trPr>
        <w:tc>
          <w:tcPr>
            <w:tcW w:w="11229" w:type="dxa"/>
          </w:tcPr>
          <w:p>
            <w:pPr>
              <w:pStyle w:val="TableParagraph"/>
              <w:spacing w:before="55"/>
              <w:ind w:left="57"/>
              <w:rPr>
                <w:sz w:val="16"/>
              </w:rPr>
            </w:pPr>
            <w:r>
              <w:rPr>
                <w:sz w:val="16"/>
              </w:rPr>
              <w:t>5.01</w:t>
            </w:r>
            <w:r>
              <w:rPr>
                <w:spacing w:val="-2"/>
                <w:sz w:val="16"/>
              </w:rPr>
              <w:t> </w:t>
            </w:r>
            <w:r>
              <w:rPr>
                <w:sz w:val="16"/>
              </w:rPr>
              <w:t>Description</w:t>
            </w:r>
            <w:r>
              <w:rPr>
                <w:spacing w:val="-3"/>
                <w:sz w:val="16"/>
              </w:rPr>
              <w:t> </w:t>
            </w:r>
            <w:r>
              <w:rPr>
                <w:sz w:val="16"/>
              </w:rPr>
              <w:t>of</w:t>
            </w:r>
            <w:r>
              <w:rPr>
                <w:spacing w:val="-3"/>
                <w:sz w:val="16"/>
              </w:rPr>
              <w:t> </w:t>
            </w:r>
            <w:r>
              <w:rPr>
                <w:sz w:val="16"/>
              </w:rPr>
              <w:t>program</w:t>
            </w:r>
            <w:r>
              <w:rPr>
                <w:spacing w:val="-3"/>
                <w:sz w:val="16"/>
              </w:rPr>
              <w:t> </w:t>
            </w:r>
            <w:r>
              <w:rPr>
                <w:sz w:val="16"/>
              </w:rPr>
              <w:t>activities</w:t>
            </w:r>
            <w:r>
              <w:rPr>
                <w:spacing w:val="-4"/>
                <w:sz w:val="16"/>
              </w:rPr>
              <w:t> </w:t>
            </w:r>
            <w:r>
              <w:rPr>
                <w:sz w:val="16"/>
              </w:rPr>
              <w:t>undertaken.</w:t>
            </w:r>
          </w:p>
        </w:tc>
        <w:tc>
          <w:tcPr>
            <w:tcW w:w="1049" w:type="dxa"/>
          </w:tcPr>
          <w:p>
            <w:pPr>
              <w:pStyle w:val="TableParagraph"/>
              <w:spacing w:before="55"/>
              <w:ind w:left="55" w:right="46"/>
              <w:jc w:val="center"/>
              <w:rPr>
                <w:sz w:val="16"/>
              </w:rPr>
            </w:pPr>
            <w:r>
              <w:rPr>
                <w:sz w:val="16"/>
              </w:rPr>
              <w:t>PR</w:t>
            </w:r>
          </w:p>
        </w:tc>
        <w:tc>
          <w:tcPr>
            <w:tcW w:w="322" w:type="dxa"/>
          </w:tcPr>
          <w:p>
            <w:pPr>
              <w:pStyle w:val="TableParagraph"/>
              <w:rPr>
                <w:rFonts w:ascii="Times New Roman"/>
                <w:sz w:val="16"/>
              </w:rPr>
            </w:pPr>
          </w:p>
        </w:tc>
        <w:tc>
          <w:tcPr>
            <w:tcW w:w="322" w:type="dxa"/>
          </w:tcPr>
          <w:p>
            <w:pPr>
              <w:pStyle w:val="TableParagraph"/>
              <w:spacing w:before="55"/>
              <w:ind w:left="97"/>
              <w:rPr>
                <w:rFonts w:ascii="Wingdings" w:hAnsi="Wingdings"/>
                <w:sz w:val="16"/>
              </w:rPr>
            </w:pPr>
            <w:r>
              <w:rPr>
                <w:rFonts w:ascii="Wingdings" w:hAnsi="Wingdings"/>
                <w:w w:val="100"/>
                <w:sz w:val="16"/>
              </w:rPr>
              <w:t></w:t>
            </w: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86" w:type="dxa"/>
          </w:tcPr>
          <w:p>
            <w:pPr>
              <w:pStyle w:val="TableParagraph"/>
              <w:rPr>
                <w:rFonts w:ascii="Times New Roman"/>
                <w:sz w:val="16"/>
              </w:rPr>
            </w:pPr>
          </w:p>
        </w:tc>
      </w:tr>
      <w:tr>
        <w:trPr>
          <w:trHeight w:val="378" w:hRule="atLeast"/>
        </w:trPr>
        <w:tc>
          <w:tcPr>
            <w:tcW w:w="11229" w:type="dxa"/>
          </w:tcPr>
          <w:p>
            <w:pPr>
              <w:pStyle w:val="TableParagraph"/>
              <w:spacing w:before="57"/>
              <w:ind w:left="57"/>
              <w:rPr>
                <w:sz w:val="16"/>
              </w:rPr>
            </w:pPr>
            <w:r>
              <w:rPr>
                <w:sz w:val="16"/>
              </w:rPr>
              <w:t>5.02</w:t>
            </w:r>
            <w:r>
              <w:rPr>
                <w:spacing w:val="-2"/>
                <w:sz w:val="16"/>
              </w:rPr>
              <w:t> </w:t>
            </w:r>
            <w:r>
              <w:rPr>
                <w:sz w:val="16"/>
              </w:rPr>
              <w:t>How</w:t>
            </w:r>
            <w:r>
              <w:rPr>
                <w:spacing w:val="1"/>
                <w:sz w:val="16"/>
              </w:rPr>
              <w:t> </w:t>
            </w:r>
            <w:r>
              <w:rPr>
                <w:sz w:val="16"/>
              </w:rPr>
              <w:t>did</w:t>
            </w:r>
            <w:r>
              <w:rPr>
                <w:spacing w:val="-7"/>
                <w:sz w:val="16"/>
              </w:rPr>
              <w:t> </w:t>
            </w:r>
            <w:r>
              <w:rPr>
                <w:sz w:val="16"/>
              </w:rPr>
              <w:t>pharmacists</w:t>
            </w:r>
            <w:r>
              <w:rPr>
                <w:spacing w:val="-1"/>
                <w:sz w:val="16"/>
              </w:rPr>
              <w:t> </w:t>
            </w:r>
            <w:r>
              <w:rPr>
                <w:sz w:val="16"/>
              </w:rPr>
              <w:t>prepare</w:t>
            </w:r>
            <w:r>
              <w:rPr>
                <w:spacing w:val="-3"/>
                <w:sz w:val="16"/>
              </w:rPr>
              <w:t> </w:t>
            </w:r>
            <w:r>
              <w:rPr>
                <w:sz w:val="16"/>
              </w:rPr>
              <w:t>for</w:t>
            </w:r>
            <w:r>
              <w:rPr>
                <w:spacing w:val="-5"/>
                <w:sz w:val="16"/>
              </w:rPr>
              <w:t> </w:t>
            </w:r>
            <w:r>
              <w:rPr>
                <w:sz w:val="16"/>
              </w:rPr>
              <w:t>delivering</w:t>
            </w:r>
            <w:r>
              <w:rPr>
                <w:spacing w:val="-4"/>
                <w:sz w:val="16"/>
              </w:rPr>
              <w:t> </w:t>
            </w:r>
            <w:r>
              <w:rPr>
                <w:sz w:val="16"/>
              </w:rPr>
              <w:t>medication</w:t>
            </w:r>
            <w:r>
              <w:rPr>
                <w:spacing w:val="-4"/>
                <w:sz w:val="16"/>
              </w:rPr>
              <w:t> </w:t>
            </w:r>
            <w:r>
              <w:rPr>
                <w:sz w:val="16"/>
              </w:rPr>
              <w:t>management</w:t>
            </w:r>
            <w:r>
              <w:rPr>
                <w:spacing w:val="-3"/>
                <w:sz w:val="16"/>
              </w:rPr>
              <w:t> </w:t>
            </w:r>
            <w:r>
              <w:rPr>
                <w:sz w:val="16"/>
              </w:rPr>
              <w:t>services</w:t>
            </w:r>
            <w:r>
              <w:rPr>
                <w:spacing w:val="-2"/>
                <w:sz w:val="16"/>
              </w:rPr>
              <w:t> </w:t>
            </w:r>
            <w:r>
              <w:rPr>
                <w:sz w:val="16"/>
              </w:rPr>
              <w:t>to</w:t>
            </w:r>
            <w:r>
              <w:rPr>
                <w:spacing w:val="-4"/>
                <w:sz w:val="16"/>
              </w:rPr>
              <w:t> </w:t>
            </w:r>
            <w:r>
              <w:rPr>
                <w:sz w:val="16"/>
              </w:rPr>
              <w:t>patients?</w:t>
            </w:r>
          </w:p>
        </w:tc>
        <w:tc>
          <w:tcPr>
            <w:tcW w:w="1049" w:type="dxa"/>
          </w:tcPr>
          <w:p>
            <w:pPr>
              <w:pStyle w:val="TableParagraph"/>
              <w:spacing w:before="57"/>
              <w:ind w:left="55" w:right="45"/>
              <w:jc w:val="center"/>
              <w:rPr>
                <w:sz w:val="16"/>
              </w:rPr>
            </w:pPr>
            <w:r>
              <w:rPr>
                <w:sz w:val="16"/>
              </w:rPr>
              <w:t>PH/C</w:t>
            </w:r>
          </w:p>
        </w:tc>
        <w:tc>
          <w:tcPr>
            <w:tcW w:w="322" w:type="dxa"/>
          </w:tcPr>
          <w:p>
            <w:pPr>
              <w:pStyle w:val="TableParagraph"/>
              <w:rPr>
                <w:rFonts w:ascii="Times New Roman"/>
                <w:sz w:val="16"/>
              </w:rPr>
            </w:pPr>
          </w:p>
        </w:tc>
        <w:tc>
          <w:tcPr>
            <w:tcW w:w="322" w:type="dxa"/>
          </w:tcPr>
          <w:p>
            <w:pPr>
              <w:pStyle w:val="TableParagraph"/>
              <w:spacing w:before="57"/>
              <w:ind w:left="97"/>
              <w:rPr>
                <w:rFonts w:ascii="Wingdings" w:hAnsi="Wingdings"/>
                <w:sz w:val="16"/>
              </w:rPr>
            </w:pPr>
            <w:r>
              <w:rPr>
                <w:rFonts w:ascii="Wingdings" w:hAnsi="Wingdings"/>
                <w:w w:val="100"/>
                <w:sz w:val="16"/>
              </w:rPr>
              <w:t></w:t>
            </w: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86" w:type="dxa"/>
          </w:tcPr>
          <w:p>
            <w:pPr>
              <w:pStyle w:val="TableParagraph"/>
              <w:rPr>
                <w:rFonts w:ascii="Times New Roman"/>
                <w:sz w:val="16"/>
              </w:rPr>
            </w:pPr>
          </w:p>
        </w:tc>
      </w:tr>
      <w:tr>
        <w:trPr>
          <w:trHeight w:val="381" w:hRule="atLeast"/>
        </w:trPr>
        <w:tc>
          <w:tcPr>
            <w:tcW w:w="11229" w:type="dxa"/>
          </w:tcPr>
          <w:p>
            <w:pPr>
              <w:pStyle w:val="TableParagraph"/>
              <w:spacing w:before="57"/>
              <w:ind w:left="57"/>
              <w:rPr>
                <w:sz w:val="16"/>
              </w:rPr>
            </w:pPr>
            <w:r>
              <w:rPr>
                <w:sz w:val="16"/>
              </w:rPr>
              <w:t>5.03</w:t>
            </w:r>
            <w:r>
              <w:rPr>
                <w:spacing w:val="-3"/>
                <w:sz w:val="16"/>
              </w:rPr>
              <w:t> </w:t>
            </w:r>
            <w:r>
              <w:rPr>
                <w:sz w:val="16"/>
              </w:rPr>
              <w:t>Number</w:t>
            </w:r>
            <w:r>
              <w:rPr>
                <w:spacing w:val="-5"/>
                <w:sz w:val="16"/>
              </w:rPr>
              <w:t> </w:t>
            </w:r>
            <w:r>
              <w:rPr>
                <w:sz w:val="16"/>
              </w:rPr>
              <w:t>of</w:t>
            </w:r>
            <w:r>
              <w:rPr>
                <w:spacing w:val="-4"/>
                <w:sz w:val="16"/>
              </w:rPr>
              <w:t> </w:t>
            </w:r>
            <w:r>
              <w:rPr>
                <w:sz w:val="16"/>
              </w:rPr>
              <w:t>pharmacists</w:t>
            </w:r>
            <w:r>
              <w:rPr>
                <w:spacing w:val="-1"/>
                <w:sz w:val="16"/>
              </w:rPr>
              <w:t> </w:t>
            </w:r>
            <w:r>
              <w:rPr>
                <w:sz w:val="16"/>
              </w:rPr>
              <w:t>completing</w:t>
            </w:r>
            <w:r>
              <w:rPr>
                <w:spacing w:val="-2"/>
                <w:sz w:val="16"/>
              </w:rPr>
              <w:t> </w:t>
            </w:r>
            <w:r>
              <w:rPr>
                <w:sz w:val="16"/>
              </w:rPr>
              <w:t>the</w:t>
            </w:r>
            <w:r>
              <w:rPr>
                <w:spacing w:val="-4"/>
                <w:sz w:val="16"/>
              </w:rPr>
              <w:t> </w:t>
            </w:r>
            <w:r>
              <w:rPr>
                <w:sz w:val="16"/>
              </w:rPr>
              <w:t>online</w:t>
            </w:r>
            <w:r>
              <w:rPr>
                <w:spacing w:val="-4"/>
                <w:sz w:val="16"/>
              </w:rPr>
              <w:t> </w:t>
            </w:r>
            <w:r>
              <w:rPr>
                <w:sz w:val="16"/>
              </w:rPr>
              <w:t>training</w:t>
            </w:r>
            <w:r>
              <w:rPr>
                <w:spacing w:val="-3"/>
                <w:sz w:val="16"/>
              </w:rPr>
              <w:t> </w:t>
            </w:r>
            <w:r>
              <w:rPr>
                <w:sz w:val="16"/>
              </w:rPr>
              <w:t>and</w:t>
            </w:r>
            <w:r>
              <w:rPr>
                <w:spacing w:val="-2"/>
                <w:sz w:val="16"/>
              </w:rPr>
              <w:t> </w:t>
            </w:r>
            <w:r>
              <w:rPr>
                <w:sz w:val="16"/>
              </w:rPr>
              <w:t>attending</w:t>
            </w:r>
            <w:r>
              <w:rPr>
                <w:spacing w:val="-3"/>
                <w:sz w:val="16"/>
              </w:rPr>
              <w:t> </w:t>
            </w:r>
            <w:r>
              <w:rPr>
                <w:sz w:val="16"/>
              </w:rPr>
              <w:t>the</w:t>
            </w:r>
            <w:r>
              <w:rPr>
                <w:spacing w:val="-1"/>
                <w:sz w:val="16"/>
              </w:rPr>
              <w:t> </w:t>
            </w:r>
            <w:r>
              <w:rPr>
                <w:sz w:val="16"/>
              </w:rPr>
              <w:t>training</w:t>
            </w:r>
            <w:r>
              <w:rPr>
                <w:spacing w:val="-6"/>
                <w:sz w:val="16"/>
              </w:rPr>
              <w:t> </w:t>
            </w:r>
            <w:r>
              <w:rPr>
                <w:sz w:val="16"/>
              </w:rPr>
              <w:t>workshops.</w:t>
            </w:r>
          </w:p>
        </w:tc>
        <w:tc>
          <w:tcPr>
            <w:tcW w:w="1049" w:type="dxa"/>
          </w:tcPr>
          <w:p>
            <w:pPr>
              <w:pStyle w:val="TableParagraph"/>
              <w:spacing w:before="57"/>
              <w:ind w:left="55" w:right="46"/>
              <w:jc w:val="center"/>
              <w:rPr>
                <w:sz w:val="16"/>
              </w:rPr>
            </w:pPr>
            <w:r>
              <w:rPr>
                <w:sz w:val="16"/>
              </w:rPr>
              <w:t>PR</w:t>
            </w: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86" w:type="dxa"/>
          </w:tcPr>
          <w:p>
            <w:pPr>
              <w:pStyle w:val="TableParagraph"/>
              <w:rPr>
                <w:rFonts w:ascii="Times New Roman"/>
                <w:sz w:val="16"/>
              </w:rPr>
            </w:pPr>
          </w:p>
        </w:tc>
      </w:tr>
      <w:tr>
        <w:trPr>
          <w:trHeight w:val="378" w:hRule="atLeast"/>
        </w:trPr>
        <w:tc>
          <w:tcPr>
            <w:tcW w:w="11229" w:type="dxa"/>
          </w:tcPr>
          <w:p>
            <w:pPr>
              <w:pStyle w:val="TableParagraph"/>
              <w:spacing w:before="55"/>
              <w:ind w:left="57"/>
              <w:rPr>
                <w:sz w:val="16"/>
              </w:rPr>
            </w:pPr>
            <w:r>
              <w:rPr>
                <w:sz w:val="16"/>
              </w:rPr>
              <w:t>5.04</w:t>
            </w:r>
            <w:r>
              <w:rPr>
                <w:spacing w:val="-4"/>
                <w:sz w:val="16"/>
              </w:rPr>
              <w:t> </w:t>
            </w:r>
            <w:r>
              <w:rPr>
                <w:sz w:val="16"/>
              </w:rPr>
              <w:t>Pharmacists’</w:t>
            </w:r>
            <w:r>
              <w:rPr>
                <w:spacing w:val="-4"/>
                <w:sz w:val="16"/>
              </w:rPr>
              <w:t> </w:t>
            </w:r>
            <w:r>
              <w:rPr>
                <w:sz w:val="16"/>
              </w:rPr>
              <w:t>satisfaction</w:t>
            </w:r>
            <w:r>
              <w:rPr>
                <w:spacing w:val="-6"/>
                <w:sz w:val="16"/>
              </w:rPr>
              <w:t> </w:t>
            </w:r>
            <w:r>
              <w:rPr>
                <w:sz w:val="16"/>
              </w:rPr>
              <w:t>with</w:t>
            </w:r>
            <w:r>
              <w:rPr>
                <w:spacing w:val="-4"/>
                <w:sz w:val="16"/>
              </w:rPr>
              <w:t> </w:t>
            </w:r>
            <w:r>
              <w:rPr>
                <w:sz w:val="16"/>
              </w:rPr>
              <w:t>online training</w:t>
            </w:r>
            <w:r>
              <w:rPr>
                <w:spacing w:val="-5"/>
                <w:sz w:val="16"/>
              </w:rPr>
              <w:t> </w:t>
            </w:r>
            <w:r>
              <w:rPr>
                <w:sz w:val="16"/>
              </w:rPr>
              <w:t>and</w:t>
            </w:r>
            <w:r>
              <w:rPr>
                <w:spacing w:val="-4"/>
                <w:sz w:val="16"/>
              </w:rPr>
              <w:t> </w:t>
            </w:r>
            <w:r>
              <w:rPr>
                <w:sz w:val="16"/>
              </w:rPr>
              <w:t>training</w:t>
            </w:r>
            <w:r>
              <w:rPr>
                <w:spacing w:val="-4"/>
                <w:sz w:val="16"/>
              </w:rPr>
              <w:t> </w:t>
            </w:r>
            <w:r>
              <w:rPr>
                <w:sz w:val="16"/>
              </w:rPr>
              <w:t>workshops.</w:t>
            </w:r>
          </w:p>
        </w:tc>
        <w:tc>
          <w:tcPr>
            <w:tcW w:w="1049" w:type="dxa"/>
          </w:tcPr>
          <w:p>
            <w:pPr>
              <w:pStyle w:val="TableParagraph"/>
              <w:spacing w:before="55"/>
              <w:ind w:left="55" w:right="46"/>
              <w:jc w:val="center"/>
              <w:rPr>
                <w:sz w:val="16"/>
              </w:rPr>
            </w:pPr>
            <w:r>
              <w:rPr>
                <w:sz w:val="16"/>
              </w:rPr>
              <w:t>PR</w:t>
            </w:r>
          </w:p>
        </w:tc>
        <w:tc>
          <w:tcPr>
            <w:tcW w:w="322" w:type="dxa"/>
          </w:tcPr>
          <w:p>
            <w:pPr>
              <w:pStyle w:val="TableParagraph"/>
              <w:rPr>
                <w:rFonts w:ascii="Times New Roman"/>
                <w:sz w:val="16"/>
              </w:rPr>
            </w:pPr>
          </w:p>
        </w:tc>
        <w:tc>
          <w:tcPr>
            <w:tcW w:w="322" w:type="dxa"/>
          </w:tcPr>
          <w:p>
            <w:pPr>
              <w:pStyle w:val="TableParagraph"/>
              <w:spacing w:before="55"/>
              <w:ind w:left="97"/>
              <w:rPr>
                <w:rFonts w:ascii="Wingdings" w:hAnsi="Wingdings"/>
                <w:sz w:val="16"/>
              </w:rPr>
            </w:pPr>
            <w:r>
              <w:rPr>
                <w:rFonts w:ascii="Wingdings" w:hAnsi="Wingdings"/>
                <w:w w:val="100"/>
                <w:sz w:val="16"/>
              </w:rPr>
              <w:t></w:t>
            </w: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86" w:type="dxa"/>
          </w:tcPr>
          <w:p>
            <w:pPr>
              <w:pStyle w:val="TableParagraph"/>
              <w:rPr>
                <w:rFonts w:ascii="Times New Roman"/>
                <w:sz w:val="16"/>
              </w:rPr>
            </w:pPr>
          </w:p>
        </w:tc>
      </w:tr>
      <w:tr>
        <w:trPr>
          <w:trHeight w:val="604" w:hRule="atLeast"/>
        </w:trPr>
        <w:tc>
          <w:tcPr>
            <w:tcW w:w="11229" w:type="dxa"/>
          </w:tcPr>
          <w:p>
            <w:pPr>
              <w:pStyle w:val="TableParagraph"/>
              <w:spacing w:line="276" w:lineRule="auto" w:before="57"/>
              <w:ind w:left="57" w:right="452"/>
              <w:rPr>
                <w:sz w:val="16"/>
              </w:rPr>
            </w:pPr>
            <w:r>
              <w:rPr>
                <w:sz w:val="16"/>
              </w:rPr>
              <w:t>5.05 Nature of pharmacy integration initiatives, including related to medication reconciliation/ review, that HCH practices and community</w:t>
            </w:r>
            <w:r>
              <w:rPr>
                <w:spacing w:val="-42"/>
                <w:sz w:val="16"/>
              </w:rPr>
              <w:t> </w:t>
            </w:r>
            <w:r>
              <w:rPr>
                <w:sz w:val="16"/>
              </w:rPr>
              <w:t>pharmacists had</w:t>
            </w:r>
            <w:r>
              <w:rPr>
                <w:spacing w:val="-4"/>
                <w:sz w:val="16"/>
              </w:rPr>
              <w:t> </w:t>
            </w:r>
            <w:r>
              <w:rPr>
                <w:sz w:val="16"/>
              </w:rPr>
              <w:t>in</w:t>
            </w:r>
            <w:r>
              <w:rPr>
                <w:spacing w:val="-2"/>
                <w:sz w:val="16"/>
              </w:rPr>
              <w:t> </w:t>
            </w:r>
            <w:r>
              <w:rPr>
                <w:sz w:val="16"/>
              </w:rPr>
              <w:t>place</w:t>
            </w:r>
            <w:r>
              <w:rPr>
                <w:spacing w:val="-1"/>
                <w:sz w:val="16"/>
              </w:rPr>
              <w:t> </w:t>
            </w:r>
            <w:r>
              <w:rPr>
                <w:sz w:val="16"/>
              </w:rPr>
              <w:t>prior</w:t>
            </w:r>
            <w:r>
              <w:rPr>
                <w:spacing w:val="-5"/>
                <w:sz w:val="16"/>
              </w:rPr>
              <w:t> </w:t>
            </w:r>
            <w:r>
              <w:rPr>
                <w:sz w:val="16"/>
              </w:rPr>
              <w:t>to</w:t>
            </w:r>
            <w:r>
              <w:rPr>
                <w:spacing w:val="1"/>
                <w:sz w:val="16"/>
              </w:rPr>
              <w:t> </w:t>
            </w:r>
            <w:r>
              <w:rPr>
                <w:sz w:val="16"/>
              </w:rPr>
              <w:t>the</w:t>
            </w:r>
            <w:r>
              <w:rPr>
                <w:spacing w:val="2"/>
                <w:sz w:val="16"/>
              </w:rPr>
              <w:t> </w:t>
            </w:r>
            <w:r>
              <w:rPr>
                <w:sz w:val="16"/>
              </w:rPr>
              <w:t>commencement</w:t>
            </w:r>
            <w:r>
              <w:rPr>
                <w:spacing w:val="-4"/>
                <w:sz w:val="16"/>
              </w:rPr>
              <w:t> </w:t>
            </w:r>
            <w:r>
              <w:rPr>
                <w:sz w:val="16"/>
              </w:rPr>
              <w:t>of</w:t>
            </w:r>
            <w:r>
              <w:rPr>
                <w:spacing w:val="1"/>
                <w:sz w:val="16"/>
              </w:rPr>
              <w:t> </w:t>
            </w:r>
            <w:r>
              <w:rPr>
                <w:sz w:val="16"/>
              </w:rPr>
              <w:t>the</w:t>
            </w:r>
            <w:r>
              <w:rPr>
                <w:spacing w:val="1"/>
                <w:sz w:val="16"/>
              </w:rPr>
              <w:t> </w:t>
            </w:r>
            <w:r>
              <w:rPr>
                <w:sz w:val="16"/>
              </w:rPr>
              <w:t>community</w:t>
            </w:r>
            <w:r>
              <w:rPr>
                <w:spacing w:val="-2"/>
                <w:sz w:val="16"/>
              </w:rPr>
              <w:t> </w:t>
            </w:r>
            <w:r>
              <w:rPr>
                <w:sz w:val="16"/>
              </w:rPr>
              <w:t>pharmacy</w:t>
            </w:r>
            <w:r>
              <w:rPr>
                <w:spacing w:val="-2"/>
                <w:sz w:val="16"/>
              </w:rPr>
              <w:t> </w:t>
            </w:r>
            <w:r>
              <w:rPr>
                <w:sz w:val="16"/>
              </w:rPr>
              <w:t>component</w:t>
            </w:r>
            <w:r>
              <w:rPr>
                <w:spacing w:val="-2"/>
                <w:sz w:val="16"/>
              </w:rPr>
              <w:t> </w:t>
            </w:r>
            <w:r>
              <w:rPr>
                <w:sz w:val="16"/>
              </w:rPr>
              <w:t>of</w:t>
            </w:r>
            <w:r>
              <w:rPr>
                <w:spacing w:val="-1"/>
                <w:sz w:val="16"/>
              </w:rPr>
              <w:t> </w:t>
            </w:r>
            <w:r>
              <w:rPr>
                <w:sz w:val="16"/>
              </w:rPr>
              <w:t>the</w:t>
            </w:r>
            <w:r>
              <w:rPr>
                <w:spacing w:val="-1"/>
                <w:sz w:val="16"/>
              </w:rPr>
              <w:t> </w:t>
            </w:r>
            <w:r>
              <w:rPr>
                <w:sz w:val="16"/>
              </w:rPr>
              <w:t>HCH</w:t>
            </w:r>
            <w:r>
              <w:rPr>
                <w:spacing w:val="1"/>
                <w:sz w:val="16"/>
              </w:rPr>
              <w:t> </w:t>
            </w:r>
            <w:r>
              <w:rPr>
                <w:sz w:val="16"/>
              </w:rPr>
              <w:t>trial.</w:t>
            </w:r>
          </w:p>
        </w:tc>
        <w:tc>
          <w:tcPr>
            <w:tcW w:w="1049" w:type="dxa"/>
          </w:tcPr>
          <w:p>
            <w:pPr>
              <w:pStyle w:val="TableParagraph"/>
              <w:spacing w:before="57"/>
              <w:ind w:left="55" w:right="45"/>
              <w:jc w:val="center"/>
              <w:rPr>
                <w:sz w:val="16"/>
              </w:rPr>
            </w:pPr>
            <w:r>
              <w:rPr>
                <w:sz w:val="16"/>
              </w:rPr>
              <w:t>PH/C</w:t>
            </w: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86" w:type="dxa"/>
          </w:tcPr>
          <w:p>
            <w:pPr>
              <w:pStyle w:val="TableParagraph"/>
              <w:rPr>
                <w:rFonts w:ascii="Times New Roman"/>
                <w:sz w:val="16"/>
              </w:rPr>
            </w:pPr>
          </w:p>
        </w:tc>
      </w:tr>
      <w:tr>
        <w:trPr>
          <w:trHeight w:val="379" w:hRule="atLeast"/>
        </w:trPr>
        <w:tc>
          <w:tcPr>
            <w:tcW w:w="11229" w:type="dxa"/>
          </w:tcPr>
          <w:p>
            <w:pPr>
              <w:pStyle w:val="TableParagraph"/>
              <w:spacing w:before="57"/>
              <w:ind w:left="57"/>
              <w:rPr>
                <w:sz w:val="16"/>
              </w:rPr>
            </w:pPr>
            <w:r>
              <w:rPr>
                <w:sz w:val="16"/>
              </w:rPr>
              <w:t>5.06</w:t>
            </w:r>
            <w:r>
              <w:rPr>
                <w:spacing w:val="-1"/>
                <w:sz w:val="16"/>
              </w:rPr>
              <w:t> </w:t>
            </w:r>
            <w:r>
              <w:rPr>
                <w:sz w:val="16"/>
              </w:rPr>
              <w:t>What</w:t>
            </w:r>
            <w:r>
              <w:rPr>
                <w:spacing w:val="-2"/>
                <w:sz w:val="16"/>
              </w:rPr>
              <w:t> </w:t>
            </w:r>
            <w:r>
              <w:rPr>
                <w:sz w:val="16"/>
              </w:rPr>
              <w:t>features</w:t>
            </w:r>
            <w:r>
              <w:rPr>
                <w:spacing w:val="-3"/>
                <w:sz w:val="16"/>
              </w:rPr>
              <w:t> </w:t>
            </w:r>
            <w:r>
              <w:rPr>
                <w:sz w:val="16"/>
              </w:rPr>
              <w:t>of the</w:t>
            </w:r>
            <w:r>
              <w:rPr>
                <w:spacing w:val="-1"/>
                <w:sz w:val="16"/>
              </w:rPr>
              <w:t> </w:t>
            </w:r>
            <w:r>
              <w:rPr>
                <w:sz w:val="16"/>
              </w:rPr>
              <w:t>program</w:t>
            </w:r>
            <w:r>
              <w:rPr>
                <w:spacing w:val="-5"/>
                <w:sz w:val="16"/>
              </w:rPr>
              <w:t> </w:t>
            </w:r>
            <w:r>
              <w:rPr>
                <w:sz w:val="16"/>
              </w:rPr>
              <w:t>worked</w:t>
            </w:r>
            <w:r>
              <w:rPr>
                <w:spacing w:val="-2"/>
                <w:sz w:val="16"/>
              </w:rPr>
              <w:t> </w:t>
            </w:r>
            <w:r>
              <w:rPr>
                <w:sz w:val="16"/>
              </w:rPr>
              <w:t>and</w:t>
            </w:r>
            <w:r>
              <w:rPr>
                <w:spacing w:val="-5"/>
                <w:sz w:val="16"/>
              </w:rPr>
              <w:t> </w:t>
            </w:r>
            <w:r>
              <w:rPr>
                <w:sz w:val="16"/>
              </w:rPr>
              <w:t>what</w:t>
            </w:r>
            <w:r>
              <w:rPr>
                <w:spacing w:val="-1"/>
                <w:sz w:val="16"/>
              </w:rPr>
              <w:t> </w:t>
            </w:r>
            <w:r>
              <w:rPr>
                <w:sz w:val="16"/>
              </w:rPr>
              <w:t>features</w:t>
            </w:r>
            <w:r>
              <w:rPr>
                <w:spacing w:val="-5"/>
                <w:sz w:val="16"/>
              </w:rPr>
              <w:t> </w:t>
            </w:r>
            <w:r>
              <w:rPr>
                <w:sz w:val="16"/>
              </w:rPr>
              <w:t>need</w:t>
            </w:r>
            <w:r>
              <w:rPr>
                <w:spacing w:val="-2"/>
                <w:sz w:val="16"/>
              </w:rPr>
              <w:t> </w:t>
            </w:r>
            <w:r>
              <w:rPr>
                <w:sz w:val="16"/>
              </w:rPr>
              <w:t>to be</w:t>
            </w:r>
            <w:r>
              <w:rPr>
                <w:spacing w:val="-4"/>
                <w:sz w:val="16"/>
              </w:rPr>
              <w:t> </w:t>
            </w:r>
            <w:r>
              <w:rPr>
                <w:sz w:val="16"/>
              </w:rPr>
              <w:t>improved?</w:t>
            </w:r>
          </w:p>
        </w:tc>
        <w:tc>
          <w:tcPr>
            <w:tcW w:w="1049" w:type="dxa"/>
          </w:tcPr>
          <w:p>
            <w:pPr>
              <w:pStyle w:val="TableParagraph"/>
              <w:spacing w:before="57"/>
              <w:ind w:left="55" w:right="46"/>
              <w:jc w:val="center"/>
              <w:rPr>
                <w:sz w:val="16"/>
              </w:rPr>
            </w:pPr>
            <w:r>
              <w:rPr>
                <w:sz w:val="16"/>
              </w:rPr>
              <w:t>PR</w:t>
            </w: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spacing w:before="57"/>
              <w:ind w:left="97"/>
              <w:rPr>
                <w:rFonts w:ascii="Wingdings" w:hAnsi="Wingdings"/>
                <w:sz w:val="16"/>
              </w:rPr>
            </w:pPr>
            <w:r>
              <w:rPr>
                <w:rFonts w:ascii="Wingdings" w:hAnsi="Wingdings"/>
                <w:w w:val="100"/>
                <w:sz w:val="16"/>
              </w:rPr>
              <w:t></w:t>
            </w:r>
          </w:p>
        </w:tc>
        <w:tc>
          <w:tcPr>
            <w:tcW w:w="386" w:type="dxa"/>
          </w:tcPr>
          <w:p>
            <w:pPr>
              <w:pStyle w:val="TableParagraph"/>
              <w:rPr>
                <w:rFonts w:ascii="Times New Roman"/>
                <w:sz w:val="16"/>
              </w:rPr>
            </w:pPr>
          </w:p>
        </w:tc>
      </w:tr>
      <w:tr>
        <w:trPr>
          <w:trHeight w:val="381" w:hRule="atLeast"/>
        </w:trPr>
        <w:tc>
          <w:tcPr>
            <w:tcW w:w="11229" w:type="dxa"/>
          </w:tcPr>
          <w:p>
            <w:pPr>
              <w:pStyle w:val="TableParagraph"/>
              <w:spacing w:before="57"/>
              <w:ind w:left="57"/>
              <w:rPr>
                <w:sz w:val="16"/>
              </w:rPr>
            </w:pPr>
            <w:r>
              <w:rPr>
                <w:sz w:val="16"/>
              </w:rPr>
              <w:t>5.07</w:t>
            </w:r>
            <w:r>
              <w:rPr>
                <w:spacing w:val="-1"/>
                <w:sz w:val="16"/>
              </w:rPr>
              <w:t> </w:t>
            </w:r>
            <w:r>
              <w:rPr>
                <w:sz w:val="16"/>
              </w:rPr>
              <w:t>Number</w:t>
            </w:r>
            <w:r>
              <w:rPr>
                <w:spacing w:val="-4"/>
                <w:sz w:val="16"/>
              </w:rPr>
              <w:t> </w:t>
            </w:r>
            <w:r>
              <w:rPr>
                <w:sz w:val="16"/>
              </w:rPr>
              <w:t>and</w:t>
            </w:r>
            <w:r>
              <w:rPr>
                <w:spacing w:val="-3"/>
                <w:sz w:val="16"/>
              </w:rPr>
              <w:t> </w:t>
            </w:r>
            <w:r>
              <w:rPr>
                <w:sz w:val="16"/>
              </w:rPr>
              <w:t>proportion of</w:t>
            </w:r>
            <w:r>
              <w:rPr>
                <w:spacing w:val="-4"/>
                <w:sz w:val="16"/>
              </w:rPr>
              <w:t> </w:t>
            </w:r>
            <w:r>
              <w:rPr>
                <w:sz w:val="16"/>
              </w:rPr>
              <w:t>HCH</w:t>
            </w:r>
            <w:r>
              <w:rPr>
                <w:spacing w:val="-3"/>
                <w:sz w:val="16"/>
              </w:rPr>
              <w:t> </w:t>
            </w:r>
            <w:r>
              <w:rPr>
                <w:sz w:val="16"/>
              </w:rPr>
              <w:t>patients</w:t>
            </w:r>
            <w:r>
              <w:rPr>
                <w:spacing w:val="-3"/>
                <w:sz w:val="16"/>
              </w:rPr>
              <w:t> </w:t>
            </w:r>
            <w:r>
              <w:rPr>
                <w:sz w:val="16"/>
              </w:rPr>
              <w:t>(by</w:t>
            </w:r>
            <w:r>
              <w:rPr>
                <w:spacing w:val="1"/>
                <w:sz w:val="16"/>
              </w:rPr>
              <w:t> </w:t>
            </w:r>
            <w:r>
              <w:rPr>
                <w:sz w:val="16"/>
              </w:rPr>
              <w:t>tier)</w:t>
            </w:r>
            <w:r>
              <w:rPr>
                <w:spacing w:val="-5"/>
                <w:sz w:val="16"/>
              </w:rPr>
              <w:t> </w:t>
            </w:r>
            <w:r>
              <w:rPr>
                <w:sz w:val="16"/>
              </w:rPr>
              <w:t>receiving</w:t>
            </w:r>
            <w:r>
              <w:rPr>
                <w:spacing w:val="-3"/>
                <w:sz w:val="16"/>
              </w:rPr>
              <w:t> </w:t>
            </w:r>
            <w:r>
              <w:rPr>
                <w:sz w:val="16"/>
              </w:rPr>
              <w:t>Trial</w:t>
            </w:r>
            <w:r>
              <w:rPr>
                <w:spacing w:val="-2"/>
                <w:sz w:val="16"/>
              </w:rPr>
              <w:t> </w:t>
            </w:r>
            <w:r>
              <w:rPr>
                <w:sz w:val="16"/>
              </w:rPr>
              <w:t>Program</w:t>
            </w:r>
            <w:r>
              <w:rPr>
                <w:spacing w:val="-2"/>
                <w:sz w:val="16"/>
              </w:rPr>
              <w:t> </w:t>
            </w:r>
            <w:r>
              <w:rPr>
                <w:sz w:val="16"/>
              </w:rPr>
              <w:t>services</w:t>
            </w:r>
            <w:r>
              <w:rPr>
                <w:spacing w:val="-3"/>
                <w:sz w:val="16"/>
              </w:rPr>
              <w:t> </w:t>
            </w:r>
            <w:r>
              <w:rPr>
                <w:sz w:val="16"/>
              </w:rPr>
              <w:t>and</w:t>
            </w:r>
            <w:r>
              <w:rPr>
                <w:spacing w:val="1"/>
                <w:sz w:val="16"/>
              </w:rPr>
              <w:t> </w:t>
            </w:r>
            <w:r>
              <w:rPr>
                <w:sz w:val="16"/>
              </w:rPr>
              <w:t>comparison</w:t>
            </w:r>
            <w:r>
              <w:rPr>
                <w:spacing w:val="-8"/>
                <w:sz w:val="16"/>
              </w:rPr>
              <w:t> </w:t>
            </w:r>
            <w:r>
              <w:rPr>
                <w:sz w:val="16"/>
              </w:rPr>
              <w:t>with</w:t>
            </w:r>
            <w:r>
              <w:rPr>
                <w:spacing w:val="-3"/>
                <w:sz w:val="16"/>
              </w:rPr>
              <w:t> </w:t>
            </w:r>
            <w:r>
              <w:rPr>
                <w:sz w:val="16"/>
              </w:rPr>
              <w:t>HCH</w:t>
            </w:r>
            <w:r>
              <w:rPr>
                <w:spacing w:val="-2"/>
                <w:sz w:val="16"/>
              </w:rPr>
              <w:t> </w:t>
            </w:r>
            <w:r>
              <w:rPr>
                <w:sz w:val="16"/>
              </w:rPr>
              <w:t>population.</w:t>
            </w:r>
          </w:p>
        </w:tc>
        <w:tc>
          <w:tcPr>
            <w:tcW w:w="1049" w:type="dxa"/>
          </w:tcPr>
          <w:p>
            <w:pPr>
              <w:pStyle w:val="TableParagraph"/>
              <w:spacing w:before="57"/>
              <w:ind w:left="55" w:right="46"/>
              <w:jc w:val="center"/>
              <w:rPr>
                <w:sz w:val="16"/>
              </w:rPr>
            </w:pPr>
            <w:r>
              <w:rPr>
                <w:sz w:val="16"/>
              </w:rPr>
              <w:t>PR</w:t>
            </w: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spacing w:before="57"/>
              <w:ind w:left="97"/>
              <w:rPr>
                <w:rFonts w:ascii="Wingdings" w:hAnsi="Wingdings"/>
                <w:sz w:val="16"/>
              </w:rPr>
            </w:pPr>
            <w:r>
              <w:rPr>
                <w:rFonts w:ascii="Wingdings" w:hAnsi="Wingdings"/>
                <w:w w:val="100"/>
                <w:sz w:val="16"/>
              </w:rPr>
              <w:t></w:t>
            </w:r>
          </w:p>
        </w:tc>
        <w:tc>
          <w:tcPr>
            <w:tcW w:w="322" w:type="dxa"/>
          </w:tcPr>
          <w:p>
            <w:pPr>
              <w:pStyle w:val="TableParagraph"/>
              <w:rPr>
                <w:rFonts w:ascii="Times New Roman"/>
                <w:sz w:val="16"/>
              </w:rPr>
            </w:pPr>
          </w:p>
        </w:tc>
        <w:tc>
          <w:tcPr>
            <w:tcW w:w="386" w:type="dxa"/>
          </w:tcPr>
          <w:p>
            <w:pPr>
              <w:pStyle w:val="TableParagraph"/>
              <w:rPr>
                <w:rFonts w:ascii="Times New Roman"/>
                <w:sz w:val="16"/>
              </w:rPr>
            </w:pPr>
          </w:p>
        </w:tc>
      </w:tr>
      <w:tr>
        <w:trPr>
          <w:trHeight w:val="378" w:hRule="atLeast"/>
        </w:trPr>
        <w:tc>
          <w:tcPr>
            <w:tcW w:w="11229" w:type="dxa"/>
          </w:tcPr>
          <w:p>
            <w:pPr>
              <w:pStyle w:val="TableParagraph"/>
              <w:spacing w:before="57"/>
              <w:ind w:left="57"/>
              <w:rPr>
                <w:sz w:val="16"/>
              </w:rPr>
            </w:pPr>
            <w:r>
              <w:rPr>
                <w:sz w:val="16"/>
              </w:rPr>
              <w:t>5.08</w:t>
            </w:r>
            <w:r>
              <w:rPr>
                <w:spacing w:val="-3"/>
                <w:sz w:val="16"/>
              </w:rPr>
              <w:t> </w:t>
            </w:r>
            <w:r>
              <w:rPr>
                <w:sz w:val="16"/>
              </w:rPr>
              <w:t>Distribution</w:t>
            </w:r>
            <w:r>
              <w:rPr>
                <w:spacing w:val="-2"/>
                <w:sz w:val="16"/>
              </w:rPr>
              <w:t> </w:t>
            </w:r>
            <w:r>
              <w:rPr>
                <w:sz w:val="16"/>
              </w:rPr>
              <w:t>of</w:t>
            </w:r>
            <w:r>
              <w:rPr>
                <w:spacing w:val="-3"/>
                <w:sz w:val="16"/>
              </w:rPr>
              <w:t> </w:t>
            </w:r>
            <w:r>
              <w:rPr>
                <w:sz w:val="16"/>
              </w:rPr>
              <w:t>patients</w:t>
            </w:r>
            <w:r>
              <w:rPr>
                <w:spacing w:val="-1"/>
                <w:sz w:val="16"/>
              </w:rPr>
              <w:t> </w:t>
            </w:r>
            <w:r>
              <w:rPr>
                <w:sz w:val="16"/>
              </w:rPr>
              <w:t>across</w:t>
            </w:r>
            <w:r>
              <w:rPr>
                <w:spacing w:val="-1"/>
                <w:sz w:val="16"/>
              </w:rPr>
              <w:t> </w:t>
            </w:r>
            <w:r>
              <w:rPr>
                <w:sz w:val="16"/>
              </w:rPr>
              <w:t>self-reported</w:t>
            </w:r>
            <w:r>
              <w:rPr>
                <w:spacing w:val="-3"/>
                <w:sz w:val="16"/>
              </w:rPr>
              <w:t> </w:t>
            </w:r>
            <w:r>
              <w:rPr>
                <w:sz w:val="16"/>
              </w:rPr>
              <w:t>chronic</w:t>
            </w:r>
            <w:r>
              <w:rPr>
                <w:spacing w:val="-4"/>
                <w:sz w:val="16"/>
              </w:rPr>
              <w:t> </w:t>
            </w:r>
            <w:r>
              <w:rPr>
                <w:sz w:val="16"/>
              </w:rPr>
              <w:t>conditions,</w:t>
            </w:r>
            <w:r>
              <w:rPr>
                <w:spacing w:val="-5"/>
                <w:sz w:val="16"/>
              </w:rPr>
              <w:t> </w:t>
            </w:r>
            <w:r>
              <w:rPr>
                <w:sz w:val="16"/>
              </w:rPr>
              <w:t>and</w:t>
            </w:r>
            <w:r>
              <w:rPr>
                <w:spacing w:val="-2"/>
                <w:sz w:val="16"/>
              </w:rPr>
              <w:t> </w:t>
            </w:r>
            <w:r>
              <w:rPr>
                <w:sz w:val="16"/>
              </w:rPr>
              <w:t>comparison</w:t>
            </w:r>
            <w:r>
              <w:rPr>
                <w:spacing w:val="-5"/>
                <w:sz w:val="16"/>
              </w:rPr>
              <w:t> </w:t>
            </w:r>
            <w:r>
              <w:rPr>
                <w:sz w:val="16"/>
              </w:rPr>
              <w:t>with</w:t>
            </w:r>
            <w:r>
              <w:rPr>
                <w:spacing w:val="-3"/>
                <w:sz w:val="16"/>
              </w:rPr>
              <w:t> </w:t>
            </w:r>
            <w:r>
              <w:rPr>
                <w:sz w:val="16"/>
              </w:rPr>
              <w:t>HCH</w:t>
            </w:r>
            <w:r>
              <w:rPr>
                <w:spacing w:val="-3"/>
                <w:sz w:val="16"/>
              </w:rPr>
              <w:t> </w:t>
            </w:r>
            <w:r>
              <w:rPr>
                <w:sz w:val="16"/>
              </w:rPr>
              <w:t>population.</w:t>
            </w:r>
          </w:p>
        </w:tc>
        <w:tc>
          <w:tcPr>
            <w:tcW w:w="1049" w:type="dxa"/>
          </w:tcPr>
          <w:p>
            <w:pPr>
              <w:pStyle w:val="TableParagraph"/>
              <w:spacing w:before="57"/>
              <w:ind w:left="55" w:right="45"/>
              <w:jc w:val="center"/>
              <w:rPr>
                <w:sz w:val="16"/>
              </w:rPr>
            </w:pPr>
            <w:r>
              <w:rPr>
                <w:sz w:val="16"/>
              </w:rPr>
              <w:t>PH/C</w:t>
            </w: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spacing w:before="57"/>
              <w:ind w:left="97"/>
              <w:rPr>
                <w:rFonts w:ascii="Wingdings" w:hAnsi="Wingdings"/>
                <w:sz w:val="16"/>
              </w:rPr>
            </w:pPr>
            <w:r>
              <w:rPr>
                <w:rFonts w:ascii="Wingdings" w:hAnsi="Wingdings"/>
                <w:w w:val="100"/>
                <w:sz w:val="16"/>
              </w:rPr>
              <w:t></w:t>
            </w:r>
          </w:p>
        </w:tc>
        <w:tc>
          <w:tcPr>
            <w:tcW w:w="322" w:type="dxa"/>
          </w:tcPr>
          <w:p>
            <w:pPr>
              <w:pStyle w:val="TableParagraph"/>
              <w:rPr>
                <w:rFonts w:ascii="Times New Roman"/>
                <w:sz w:val="16"/>
              </w:rPr>
            </w:pPr>
          </w:p>
        </w:tc>
        <w:tc>
          <w:tcPr>
            <w:tcW w:w="386" w:type="dxa"/>
          </w:tcPr>
          <w:p>
            <w:pPr>
              <w:pStyle w:val="TableParagraph"/>
              <w:rPr>
                <w:rFonts w:ascii="Times New Roman"/>
                <w:sz w:val="16"/>
              </w:rPr>
            </w:pPr>
          </w:p>
        </w:tc>
      </w:tr>
      <w:tr>
        <w:trPr>
          <w:trHeight w:val="378" w:hRule="atLeast"/>
        </w:trPr>
        <w:tc>
          <w:tcPr>
            <w:tcW w:w="11229" w:type="dxa"/>
          </w:tcPr>
          <w:p>
            <w:pPr>
              <w:pStyle w:val="TableParagraph"/>
              <w:spacing w:before="57"/>
              <w:ind w:left="57"/>
              <w:rPr>
                <w:sz w:val="16"/>
              </w:rPr>
            </w:pPr>
            <w:r>
              <w:rPr>
                <w:sz w:val="16"/>
              </w:rPr>
              <w:t>5.09</w:t>
            </w:r>
            <w:r>
              <w:rPr>
                <w:spacing w:val="-2"/>
                <w:sz w:val="16"/>
              </w:rPr>
              <w:t> </w:t>
            </w:r>
            <w:r>
              <w:rPr>
                <w:sz w:val="16"/>
              </w:rPr>
              <w:t>Distribution</w:t>
            </w:r>
            <w:r>
              <w:rPr>
                <w:spacing w:val="-2"/>
                <w:sz w:val="16"/>
              </w:rPr>
              <w:t> </w:t>
            </w:r>
            <w:r>
              <w:rPr>
                <w:sz w:val="16"/>
              </w:rPr>
              <w:t>of</w:t>
            </w:r>
            <w:r>
              <w:rPr>
                <w:spacing w:val="-3"/>
                <w:sz w:val="16"/>
              </w:rPr>
              <w:t> </w:t>
            </w:r>
            <w:r>
              <w:rPr>
                <w:sz w:val="16"/>
              </w:rPr>
              <w:t>patients</w:t>
            </w:r>
            <w:r>
              <w:rPr>
                <w:spacing w:val="-1"/>
                <w:sz w:val="16"/>
              </w:rPr>
              <w:t> </w:t>
            </w:r>
            <w:r>
              <w:rPr>
                <w:sz w:val="16"/>
              </w:rPr>
              <w:t>across</w:t>
            </w:r>
            <w:r>
              <w:rPr>
                <w:spacing w:val="-3"/>
                <w:sz w:val="16"/>
              </w:rPr>
              <w:t> </w:t>
            </w:r>
            <w:r>
              <w:rPr>
                <w:sz w:val="16"/>
              </w:rPr>
              <w:t>practice types</w:t>
            </w:r>
            <w:r>
              <w:rPr>
                <w:spacing w:val="-4"/>
                <w:sz w:val="16"/>
              </w:rPr>
              <w:t> </w:t>
            </w:r>
            <w:r>
              <w:rPr>
                <w:sz w:val="16"/>
              </w:rPr>
              <w:t>and</w:t>
            </w:r>
            <w:r>
              <w:rPr>
                <w:spacing w:val="-1"/>
                <w:sz w:val="16"/>
              </w:rPr>
              <w:t> </w:t>
            </w:r>
            <w:r>
              <w:rPr>
                <w:sz w:val="16"/>
              </w:rPr>
              <w:t>geographic</w:t>
            </w:r>
            <w:r>
              <w:rPr>
                <w:spacing w:val="-4"/>
                <w:sz w:val="16"/>
              </w:rPr>
              <w:t> </w:t>
            </w:r>
            <w:r>
              <w:rPr>
                <w:sz w:val="16"/>
              </w:rPr>
              <w:t>regions,</w:t>
            </w:r>
            <w:r>
              <w:rPr>
                <w:spacing w:val="-5"/>
                <w:sz w:val="16"/>
              </w:rPr>
              <w:t> </w:t>
            </w:r>
            <w:r>
              <w:rPr>
                <w:sz w:val="16"/>
              </w:rPr>
              <w:t>and</w:t>
            </w:r>
            <w:r>
              <w:rPr>
                <w:spacing w:val="-3"/>
                <w:sz w:val="16"/>
              </w:rPr>
              <w:t> </w:t>
            </w:r>
            <w:r>
              <w:rPr>
                <w:sz w:val="16"/>
              </w:rPr>
              <w:t>comparison</w:t>
            </w:r>
            <w:r>
              <w:rPr>
                <w:spacing w:val="-3"/>
                <w:sz w:val="16"/>
              </w:rPr>
              <w:t> </w:t>
            </w:r>
            <w:r>
              <w:rPr>
                <w:sz w:val="16"/>
              </w:rPr>
              <w:t>with</w:t>
            </w:r>
            <w:r>
              <w:rPr>
                <w:spacing w:val="-3"/>
                <w:sz w:val="16"/>
              </w:rPr>
              <w:t> </w:t>
            </w:r>
            <w:r>
              <w:rPr>
                <w:sz w:val="16"/>
              </w:rPr>
              <w:t>HCH</w:t>
            </w:r>
            <w:r>
              <w:rPr>
                <w:spacing w:val="-2"/>
                <w:sz w:val="16"/>
              </w:rPr>
              <w:t> </w:t>
            </w:r>
            <w:r>
              <w:rPr>
                <w:sz w:val="16"/>
              </w:rPr>
              <w:t>population.</w:t>
            </w:r>
          </w:p>
        </w:tc>
        <w:tc>
          <w:tcPr>
            <w:tcW w:w="1049" w:type="dxa"/>
          </w:tcPr>
          <w:p>
            <w:pPr>
              <w:pStyle w:val="TableParagraph"/>
              <w:spacing w:before="57"/>
              <w:ind w:left="55" w:right="46"/>
              <w:jc w:val="center"/>
              <w:rPr>
                <w:sz w:val="16"/>
              </w:rPr>
            </w:pPr>
            <w:r>
              <w:rPr>
                <w:sz w:val="16"/>
              </w:rPr>
              <w:t>PR</w:t>
            </w: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spacing w:before="57"/>
              <w:ind w:left="97"/>
              <w:rPr>
                <w:rFonts w:ascii="Wingdings" w:hAnsi="Wingdings"/>
                <w:sz w:val="16"/>
              </w:rPr>
            </w:pPr>
            <w:r>
              <w:rPr>
                <w:rFonts w:ascii="Wingdings" w:hAnsi="Wingdings"/>
                <w:w w:val="100"/>
                <w:sz w:val="16"/>
              </w:rPr>
              <w:t></w:t>
            </w:r>
          </w:p>
        </w:tc>
        <w:tc>
          <w:tcPr>
            <w:tcW w:w="322" w:type="dxa"/>
          </w:tcPr>
          <w:p>
            <w:pPr>
              <w:pStyle w:val="TableParagraph"/>
              <w:rPr>
                <w:rFonts w:ascii="Times New Roman"/>
                <w:sz w:val="16"/>
              </w:rPr>
            </w:pPr>
          </w:p>
        </w:tc>
        <w:tc>
          <w:tcPr>
            <w:tcW w:w="386" w:type="dxa"/>
          </w:tcPr>
          <w:p>
            <w:pPr>
              <w:pStyle w:val="TableParagraph"/>
              <w:rPr>
                <w:rFonts w:ascii="Times New Roman"/>
                <w:sz w:val="16"/>
              </w:rPr>
            </w:pPr>
          </w:p>
        </w:tc>
      </w:tr>
      <w:tr>
        <w:trPr>
          <w:trHeight w:val="381" w:hRule="atLeast"/>
        </w:trPr>
        <w:tc>
          <w:tcPr>
            <w:tcW w:w="11229" w:type="dxa"/>
          </w:tcPr>
          <w:p>
            <w:pPr>
              <w:pStyle w:val="TableParagraph"/>
              <w:spacing w:before="57"/>
              <w:ind w:left="57"/>
              <w:rPr>
                <w:sz w:val="16"/>
              </w:rPr>
            </w:pPr>
            <w:r>
              <w:rPr>
                <w:sz w:val="16"/>
              </w:rPr>
              <w:t>5.10</w:t>
            </w:r>
            <w:r>
              <w:rPr>
                <w:spacing w:val="-2"/>
                <w:sz w:val="16"/>
              </w:rPr>
              <w:t> </w:t>
            </w:r>
            <w:r>
              <w:rPr>
                <w:sz w:val="16"/>
              </w:rPr>
              <w:t>Number</w:t>
            </w:r>
            <w:r>
              <w:rPr>
                <w:spacing w:val="-4"/>
                <w:sz w:val="16"/>
              </w:rPr>
              <w:t> </w:t>
            </w:r>
            <w:r>
              <w:rPr>
                <w:sz w:val="16"/>
              </w:rPr>
              <w:t>and</w:t>
            </w:r>
            <w:r>
              <w:rPr>
                <w:spacing w:val="-3"/>
                <w:sz w:val="16"/>
              </w:rPr>
              <w:t> </w:t>
            </w:r>
            <w:r>
              <w:rPr>
                <w:sz w:val="16"/>
              </w:rPr>
              <w:t>proportion</w:t>
            </w:r>
            <w:r>
              <w:rPr>
                <w:spacing w:val="-1"/>
                <w:sz w:val="16"/>
              </w:rPr>
              <w:t> </w:t>
            </w:r>
            <w:r>
              <w:rPr>
                <w:sz w:val="16"/>
              </w:rPr>
              <w:t>of</w:t>
            </w:r>
            <w:r>
              <w:rPr>
                <w:spacing w:val="-4"/>
                <w:sz w:val="16"/>
              </w:rPr>
              <w:t> </w:t>
            </w:r>
            <w:r>
              <w:rPr>
                <w:sz w:val="16"/>
              </w:rPr>
              <w:t>patients</w:t>
            </w:r>
            <w:r>
              <w:rPr>
                <w:spacing w:val="-1"/>
                <w:sz w:val="16"/>
              </w:rPr>
              <w:t> </w:t>
            </w:r>
            <w:r>
              <w:rPr>
                <w:sz w:val="16"/>
              </w:rPr>
              <w:t>that</w:t>
            </w:r>
            <w:r>
              <w:rPr>
                <w:spacing w:val="-3"/>
                <w:sz w:val="16"/>
              </w:rPr>
              <w:t> </w:t>
            </w:r>
            <w:r>
              <w:rPr>
                <w:sz w:val="16"/>
              </w:rPr>
              <w:t>completed</w:t>
            </w:r>
            <w:r>
              <w:rPr>
                <w:spacing w:val="-3"/>
                <w:sz w:val="16"/>
              </w:rPr>
              <w:t> </w:t>
            </w:r>
            <w:r>
              <w:rPr>
                <w:sz w:val="16"/>
              </w:rPr>
              <w:t>follow-up</w:t>
            </w:r>
            <w:r>
              <w:rPr>
                <w:spacing w:val="-3"/>
                <w:sz w:val="16"/>
              </w:rPr>
              <w:t> </w:t>
            </w:r>
            <w:r>
              <w:rPr>
                <w:sz w:val="16"/>
              </w:rPr>
              <w:t>reviews.</w:t>
            </w:r>
          </w:p>
        </w:tc>
        <w:tc>
          <w:tcPr>
            <w:tcW w:w="1049" w:type="dxa"/>
          </w:tcPr>
          <w:p>
            <w:pPr>
              <w:pStyle w:val="TableParagraph"/>
              <w:spacing w:before="57"/>
              <w:ind w:left="55" w:right="46"/>
              <w:jc w:val="center"/>
              <w:rPr>
                <w:sz w:val="16"/>
              </w:rPr>
            </w:pPr>
            <w:r>
              <w:rPr>
                <w:sz w:val="16"/>
              </w:rPr>
              <w:t>PT</w:t>
            </w: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spacing w:before="57"/>
              <w:ind w:left="97"/>
              <w:rPr>
                <w:rFonts w:ascii="Wingdings" w:hAnsi="Wingdings"/>
                <w:sz w:val="16"/>
              </w:rPr>
            </w:pPr>
            <w:r>
              <w:rPr>
                <w:rFonts w:ascii="Wingdings" w:hAnsi="Wingdings"/>
                <w:w w:val="100"/>
                <w:sz w:val="16"/>
              </w:rPr>
              <w:t></w:t>
            </w:r>
          </w:p>
        </w:tc>
        <w:tc>
          <w:tcPr>
            <w:tcW w:w="322" w:type="dxa"/>
          </w:tcPr>
          <w:p>
            <w:pPr>
              <w:pStyle w:val="TableParagraph"/>
              <w:rPr>
                <w:rFonts w:ascii="Times New Roman"/>
                <w:sz w:val="16"/>
              </w:rPr>
            </w:pPr>
          </w:p>
        </w:tc>
        <w:tc>
          <w:tcPr>
            <w:tcW w:w="386" w:type="dxa"/>
          </w:tcPr>
          <w:p>
            <w:pPr>
              <w:pStyle w:val="TableParagraph"/>
              <w:rPr>
                <w:rFonts w:ascii="Times New Roman"/>
                <w:sz w:val="16"/>
              </w:rPr>
            </w:pPr>
          </w:p>
        </w:tc>
      </w:tr>
      <w:tr>
        <w:trPr>
          <w:trHeight w:val="378" w:hRule="atLeast"/>
        </w:trPr>
        <w:tc>
          <w:tcPr>
            <w:tcW w:w="11229" w:type="dxa"/>
          </w:tcPr>
          <w:p>
            <w:pPr>
              <w:pStyle w:val="TableParagraph"/>
              <w:spacing w:before="57"/>
              <w:ind w:left="57"/>
              <w:rPr>
                <w:sz w:val="16"/>
              </w:rPr>
            </w:pPr>
            <w:r>
              <w:rPr>
                <w:sz w:val="16"/>
              </w:rPr>
              <w:t>5.11</w:t>
            </w:r>
            <w:r>
              <w:rPr>
                <w:spacing w:val="-3"/>
                <w:sz w:val="16"/>
              </w:rPr>
              <w:t> </w:t>
            </w:r>
            <w:r>
              <w:rPr>
                <w:sz w:val="16"/>
              </w:rPr>
              <w:t>How adequate</w:t>
            </w:r>
            <w:r>
              <w:rPr>
                <w:spacing w:val="-5"/>
                <w:sz w:val="16"/>
              </w:rPr>
              <w:t> </w:t>
            </w:r>
            <w:r>
              <w:rPr>
                <w:sz w:val="16"/>
              </w:rPr>
              <w:t>was</w:t>
            </w:r>
            <w:r>
              <w:rPr>
                <w:spacing w:val="-2"/>
                <w:sz w:val="16"/>
              </w:rPr>
              <w:t> </w:t>
            </w:r>
            <w:r>
              <w:rPr>
                <w:sz w:val="16"/>
              </w:rPr>
              <w:t>the</w:t>
            </w:r>
            <w:r>
              <w:rPr>
                <w:spacing w:val="-3"/>
                <w:sz w:val="16"/>
              </w:rPr>
              <w:t> </w:t>
            </w:r>
            <w:r>
              <w:rPr>
                <w:sz w:val="16"/>
              </w:rPr>
              <w:t>number</w:t>
            </w:r>
            <w:r>
              <w:rPr>
                <w:spacing w:val="-2"/>
                <w:sz w:val="16"/>
              </w:rPr>
              <w:t> </w:t>
            </w:r>
            <w:r>
              <w:rPr>
                <w:sz w:val="16"/>
              </w:rPr>
              <w:t>of</w:t>
            </w:r>
            <w:r>
              <w:rPr>
                <w:spacing w:val="-2"/>
                <w:sz w:val="16"/>
              </w:rPr>
              <w:t> </w:t>
            </w:r>
            <w:r>
              <w:rPr>
                <w:sz w:val="16"/>
              </w:rPr>
              <w:t>sessions</w:t>
            </w:r>
            <w:r>
              <w:rPr>
                <w:spacing w:val="-1"/>
                <w:sz w:val="16"/>
              </w:rPr>
              <w:t> </w:t>
            </w:r>
            <w:r>
              <w:rPr>
                <w:sz w:val="16"/>
              </w:rPr>
              <w:t>for</w:t>
            </w:r>
            <w:r>
              <w:rPr>
                <w:spacing w:val="-4"/>
                <w:sz w:val="16"/>
              </w:rPr>
              <w:t> </w:t>
            </w:r>
            <w:r>
              <w:rPr>
                <w:sz w:val="16"/>
              </w:rPr>
              <w:t>patients’</w:t>
            </w:r>
            <w:r>
              <w:rPr>
                <w:spacing w:val="-4"/>
                <w:sz w:val="16"/>
              </w:rPr>
              <w:t> </w:t>
            </w:r>
            <w:r>
              <w:rPr>
                <w:sz w:val="16"/>
              </w:rPr>
              <w:t>needs?</w:t>
            </w:r>
          </w:p>
        </w:tc>
        <w:tc>
          <w:tcPr>
            <w:tcW w:w="1049" w:type="dxa"/>
          </w:tcPr>
          <w:p>
            <w:pPr>
              <w:pStyle w:val="TableParagraph"/>
              <w:spacing w:before="57"/>
              <w:ind w:left="55" w:right="46"/>
              <w:jc w:val="center"/>
              <w:rPr>
                <w:sz w:val="16"/>
              </w:rPr>
            </w:pPr>
            <w:r>
              <w:rPr>
                <w:sz w:val="16"/>
              </w:rPr>
              <w:t>PT</w:t>
            </w: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spacing w:before="57"/>
              <w:ind w:left="97"/>
              <w:rPr>
                <w:rFonts w:ascii="Wingdings" w:hAnsi="Wingdings"/>
                <w:sz w:val="16"/>
              </w:rPr>
            </w:pPr>
            <w:r>
              <w:rPr>
                <w:rFonts w:ascii="Wingdings" w:hAnsi="Wingdings"/>
                <w:w w:val="100"/>
                <w:sz w:val="16"/>
              </w:rPr>
              <w:t></w:t>
            </w:r>
          </w:p>
        </w:tc>
        <w:tc>
          <w:tcPr>
            <w:tcW w:w="386" w:type="dxa"/>
          </w:tcPr>
          <w:p>
            <w:pPr>
              <w:pStyle w:val="TableParagraph"/>
              <w:rPr>
                <w:rFonts w:ascii="Times New Roman"/>
                <w:sz w:val="16"/>
              </w:rPr>
            </w:pPr>
          </w:p>
        </w:tc>
      </w:tr>
      <w:tr>
        <w:trPr>
          <w:trHeight w:val="378" w:hRule="atLeast"/>
        </w:trPr>
        <w:tc>
          <w:tcPr>
            <w:tcW w:w="11229" w:type="dxa"/>
          </w:tcPr>
          <w:p>
            <w:pPr>
              <w:pStyle w:val="TableParagraph"/>
              <w:spacing w:before="57"/>
              <w:ind w:left="57"/>
              <w:rPr>
                <w:sz w:val="16"/>
              </w:rPr>
            </w:pPr>
            <w:r>
              <w:rPr>
                <w:sz w:val="16"/>
              </w:rPr>
              <w:t>5.12</w:t>
            </w:r>
            <w:r>
              <w:rPr>
                <w:spacing w:val="-3"/>
                <w:sz w:val="16"/>
              </w:rPr>
              <w:t> </w:t>
            </w:r>
            <w:r>
              <w:rPr>
                <w:sz w:val="16"/>
              </w:rPr>
              <w:t>Number</w:t>
            </w:r>
            <w:r>
              <w:rPr>
                <w:spacing w:val="-4"/>
                <w:sz w:val="16"/>
              </w:rPr>
              <w:t> </w:t>
            </w:r>
            <w:r>
              <w:rPr>
                <w:sz w:val="16"/>
              </w:rPr>
              <w:t>and</w:t>
            </w:r>
            <w:r>
              <w:rPr>
                <w:spacing w:val="-3"/>
                <w:sz w:val="16"/>
              </w:rPr>
              <w:t> </w:t>
            </w:r>
            <w:r>
              <w:rPr>
                <w:sz w:val="16"/>
              </w:rPr>
              <w:t>proportion</w:t>
            </w:r>
            <w:r>
              <w:rPr>
                <w:spacing w:val="-1"/>
                <w:sz w:val="16"/>
              </w:rPr>
              <w:t> </w:t>
            </w:r>
            <w:r>
              <w:rPr>
                <w:sz w:val="16"/>
              </w:rPr>
              <w:t>of</w:t>
            </w:r>
            <w:r>
              <w:rPr>
                <w:spacing w:val="-4"/>
                <w:sz w:val="16"/>
              </w:rPr>
              <w:t> </w:t>
            </w:r>
            <w:r>
              <w:rPr>
                <w:sz w:val="16"/>
              </w:rPr>
              <w:t>Tier</w:t>
            </w:r>
            <w:r>
              <w:rPr>
                <w:spacing w:val="-2"/>
                <w:sz w:val="16"/>
              </w:rPr>
              <w:t> </w:t>
            </w:r>
            <w:r>
              <w:rPr>
                <w:sz w:val="16"/>
              </w:rPr>
              <w:t>2</w:t>
            </w:r>
            <w:r>
              <w:rPr>
                <w:spacing w:val="-4"/>
                <w:sz w:val="16"/>
              </w:rPr>
              <w:t> </w:t>
            </w:r>
            <w:r>
              <w:rPr>
                <w:sz w:val="16"/>
              </w:rPr>
              <w:t>and</w:t>
            </w:r>
            <w:r>
              <w:rPr>
                <w:spacing w:val="-2"/>
                <w:sz w:val="16"/>
              </w:rPr>
              <w:t> </w:t>
            </w:r>
            <w:r>
              <w:rPr>
                <w:sz w:val="16"/>
              </w:rPr>
              <w:t>Tier</w:t>
            </w:r>
            <w:r>
              <w:rPr>
                <w:spacing w:val="-2"/>
                <w:sz w:val="16"/>
              </w:rPr>
              <w:t> </w:t>
            </w:r>
            <w:r>
              <w:rPr>
                <w:sz w:val="16"/>
              </w:rPr>
              <w:t>3</w:t>
            </w:r>
            <w:r>
              <w:rPr>
                <w:spacing w:val="-4"/>
                <w:sz w:val="16"/>
              </w:rPr>
              <w:t> </w:t>
            </w:r>
            <w:r>
              <w:rPr>
                <w:sz w:val="16"/>
              </w:rPr>
              <w:t>patients</w:t>
            </w:r>
            <w:r>
              <w:rPr>
                <w:spacing w:val="-1"/>
                <w:sz w:val="16"/>
              </w:rPr>
              <w:t> </w:t>
            </w:r>
            <w:r>
              <w:rPr>
                <w:sz w:val="16"/>
              </w:rPr>
              <w:t>receiving</w:t>
            </w:r>
            <w:r>
              <w:rPr>
                <w:spacing w:val="-1"/>
                <w:sz w:val="16"/>
              </w:rPr>
              <w:t> </w:t>
            </w:r>
            <w:r>
              <w:rPr>
                <w:sz w:val="16"/>
              </w:rPr>
              <w:t>supporting</w:t>
            </w:r>
            <w:r>
              <w:rPr>
                <w:spacing w:val="-4"/>
                <w:sz w:val="16"/>
              </w:rPr>
              <w:t> </w:t>
            </w:r>
            <w:r>
              <w:rPr>
                <w:sz w:val="16"/>
              </w:rPr>
              <w:t>services.</w:t>
            </w:r>
          </w:p>
        </w:tc>
        <w:tc>
          <w:tcPr>
            <w:tcW w:w="1049" w:type="dxa"/>
          </w:tcPr>
          <w:p>
            <w:pPr>
              <w:pStyle w:val="TableParagraph"/>
              <w:spacing w:before="57"/>
              <w:ind w:left="55" w:right="46"/>
              <w:jc w:val="center"/>
              <w:rPr>
                <w:sz w:val="16"/>
              </w:rPr>
            </w:pPr>
            <w:r>
              <w:rPr>
                <w:sz w:val="16"/>
              </w:rPr>
              <w:t>PT</w:t>
            </w: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spacing w:before="57"/>
              <w:ind w:left="97"/>
              <w:rPr>
                <w:rFonts w:ascii="Wingdings" w:hAnsi="Wingdings"/>
                <w:sz w:val="16"/>
              </w:rPr>
            </w:pPr>
            <w:r>
              <w:rPr>
                <w:rFonts w:ascii="Wingdings" w:hAnsi="Wingdings"/>
                <w:w w:val="100"/>
                <w:sz w:val="16"/>
              </w:rPr>
              <w:t></w:t>
            </w:r>
          </w:p>
        </w:tc>
        <w:tc>
          <w:tcPr>
            <w:tcW w:w="322" w:type="dxa"/>
          </w:tcPr>
          <w:p>
            <w:pPr>
              <w:pStyle w:val="TableParagraph"/>
              <w:rPr>
                <w:rFonts w:ascii="Times New Roman"/>
                <w:sz w:val="16"/>
              </w:rPr>
            </w:pPr>
          </w:p>
        </w:tc>
        <w:tc>
          <w:tcPr>
            <w:tcW w:w="386" w:type="dxa"/>
          </w:tcPr>
          <w:p>
            <w:pPr>
              <w:pStyle w:val="TableParagraph"/>
              <w:rPr>
                <w:rFonts w:ascii="Times New Roman"/>
                <w:sz w:val="16"/>
              </w:rPr>
            </w:pPr>
          </w:p>
        </w:tc>
      </w:tr>
      <w:tr>
        <w:trPr>
          <w:trHeight w:val="381" w:hRule="atLeast"/>
        </w:trPr>
        <w:tc>
          <w:tcPr>
            <w:tcW w:w="11229" w:type="dxa"/>
          </w:tcPr>
          <w:p>
            <w:pPr>
              <w:pStyle w:val="TableParagraph"/>
              <w:spacing w:before="58"/>
              <w:ind w:left="57"/>
              <w:rPr>
                <w:sz w:val="16"/>
              </w:rPr>
            </w:pPr>
            <w:r>
              <w:rPr>
                <w:sz w:val="16"/>
              </w:rPr>
              <w:t>5.13 Types</w:t>
            </w:r>
            <w:r>
              <w:rPr>
                <w:spacing w:val="-3"/>
                <w:sz w:val="16"/>
              </w:rPr>
              <w:t> </w:t>
            </w:r>
            <w:r>
              <w:rPr>
                <w:sz w:val="16"/>
              </w:rPr>
              <w:t>of</w:t>
            </w:r>
            <w:r>
              <w:rPr>
                <w:spacing w:val="-2"/>
                <w:sz w:val="16"/>
              </w:rPr>
              <w:t> </w:t>
            </w:r>
            <w:r>
              <w:rPr>
                <w:sz w:val="16"/>
              </w:rPr>
              <w:t>supporting</w:t>
            </w:r>
            <w:r>
              <w:rPr>
                <w:spacing w:val="-3"/>
                <w:sz w:val="16"/>
              </w:rPr>
              <w:t> </w:t>
            </w:r>
            <w:r>
              <w:rPr>
                <w:sz w:val="16"/>
              </w:rPr>
              <w:t>services provided</w:t>
            </w:r>
            <w:r>
              <w:rPr>
                <w:spacing w:val="-5"/>
                <w:sz w:val="16"/>
              </w:rPr>
              <w:t> </w:t>
            </w:r>
            <w:r>
              <w:rPr>
                <w:sz w:val="16"/>
              </w:rPr>
              <w:t>by</w:t>
            </w:r>
            <w:r>
              <w:rPr>
                <w:spacing w:val="-2"/>
                <w:sz w:val="16"/>
              </w:rPr>
              <w:t> </w:t>
            </w:r>
            <w:r>
              <w:rPr>
                <w:sz w:val="16"/>
              </w:rPr>
              <w:t>pharmacists to</w:t>
            </w:r>
            <w:r>
              <w:rPr>
                <w:spacing w:val="-2"/>
                <w:sz w:val="16"/>
              </w:rPr>
              <w:t> </w:t>
            </w:r>
            <w:r>
              <w:rPr>
                <w:sz w:val="16"/>
              </w:rPr>
              <w:t>Tier</w:t>
            </w:r>
            <w:r>
              <w:rPr>
                <w:spacing w:val="-1"/>
                <w:sz w:val="16"/>
              </w:rPr>
              <w:t> </w:t>
            </w:r>
            <w:r>
              <w:rPr>
                <w:sz w:val="16"/>
              </w:rPr>
              <w:t>2</w:t>
            </w:r>
            <w:r>
              <w:rPr>
                <w:spacing w:val="-3"/>
                <w:sz w:val="16"/>
              </w:rPr>
              <w:t> </w:t>
            </w:r>
            <w:r>
              <w:rPr>
                <w:sz w:val="16"/>
              </w:rPr>
              <w:t>and 3</w:t>
            </w:r>
            <w:r>
              <w:rPr>
                <w:spacing w:val="-5"/>
                <w:sz w:val="16"/>
              </w:rPr>
              <w:t> </w:t>
            </w:r>
            <w:r>
              <w:rPr>
                <w:sz w:val="16"/>
              </w:rPr>
              <w:t>patients</w:t>
            </w:r>
            <w:r>
              <w:rPr>
                <w:spacing w:val="-3"/>
                <w:sz w:val="16"/>
              </w:rPr>
              <w:t> </w:t>
            </w:r>
            <w:r>
              <w:rPr>
                <w:sz w:val="16"/>
              </w:rPr>
              <w:t>and</w:t>
            </w:r>
            <w:r>
              <w:rPr>
                <w:spacing w:val="-2"/>
                <w:sz w:val="16"/>
              </w:rPr>
              <w:t> </w:t>
            </w:r>
            <w:r>
              <w:rPr>
                <w:sz w:val="16"/>
              </w:rPr>
              <w:t>changes</w:t>
            </w:r>
            <w:r>
              <w:rPr>
                <w:spacing w:val="-3"/>
                <w:sz w:val="16"/>
              </w:rPr>
              <w:t> </w:t>
            </w:r>
            <w:r>
              <w:rPr>
                <w:sz w:val="16"/>
              </w:rPr>
              <w:t>at</w:t>
            </w:r>
            <w:r>
              <w:rPr>
                <w:spacing w:val="-2"/>
                <w:sz w:val="16"/>
              </w:rPr>
              <w:t> </w:t>
            </w:r>
            <w:r>
              <w:rPr>
                <w:sz w:val="16"/>
              </w:rPr>
              <w:t>follow-up</w:t>
            </w:r>
            <w:r>
              <w:rPr>
                <w:spacing w:val="-2"/>
                <w:sz w:val="16"/>
              </w:rPr>
              <w:t> </w:t>
            </w:r>
            <w:r>
              <w:rPr>
                <w:sz w:val="16"/>
              </w:rPr>
              <w:t>review.</w:t>
            </w:r>
          </w:p>
        </w:tc>
        <w:tc>
          <w:tcPr>
            <w:tcW w:w="1049" w:type="dxa"/>
          </w:tcPr>
          <w:p>
            <w:pPr>
              <w:pStyle w:val="TableParagraph"/>
              <w:spacing w:before="58"/>
              <w:ind w:left="55" w:right="45"/>
              <w:jc w:val="center"/>
              <w:rPr>
                <w:sz w:val="16"/>
              </w:rPr>
            </w:pPr>
            <w:r>
              <w:rPr>
                <w:sz w:val="16"/>
              </w:rPr>
              <w:t>PH/C</w:t>
            </w: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spacing w:before="58"/>
              <w:ind w:left="97"/>
              <w:rPr>
                <w:rFonts w:ascii="Wingdings" w:hAnsi="Wingdings"/>
                <w:sz w:val="16"/>
              </w:rPr>
            </w:pPr>
            <w:r>
              <w:rPr>
                <w:rFonts w:ascii="Wingdings" w:hAnsi="Wingdings"/>
                <w:w w:val="100"/>
                <w:sz w:val="16"/>
              </w:rPr>
              <w:t></w:t>
            </w:r>
          </w:p>
        </w:tc>
        <w:tc>
          <w:tcPr>
            <w:tcW w:w="322" w:type="dxa"/>
          </w:tcPr>
          <w:p>
            <w:pPr>
              <w:pStyle w:val="TableParagraph"/>
              <w:rPr>
                <w:rFonts w:ascii="Times New Roman"/>
                <w:sz w:val="16"/>
              </w:rPr>
            </w:pPr>
          </w:p>
        </w:tc>
        <w:tc>
          <w:tcPr>
            <w:tcW w:w="386" w:type="dxa"/>
          </w:tcPr>
          <w:p>
            <w:pPr>
              <w:pStyle w:val="TableParagraph"/>
              <w:rPr>
                <w:rFonts w:ascii="Times New Roman"/>
                <w:sz w:val="16"/>
              </w:rPr>
            </w:pPr>
          </w:p>
        </w:tc>
      </w:tr>
      <w:tr>
        <w:trPr>
          <w:trHeight w:val="378" w:hRule="atLeast"/>
        </w:trPr>
        <w:tc>
          <w:tcPr>
            <w:tcW w:w="11229" w:type="dxa"/>
          </w:tcPr>
          <w:p>
            <w:pPr>
              <w:pStyle w:val="TableParagraph"/>
              <w:spacing w:before="57"/>
              <w:ind w:left="57"/>
              <w:rPr>
                <w:sz w:val="16"/>
              </w:rPr>
            </w:pPr>
            <w:r>
              <w:rPr>
                <w:sz w:val="16"/>
              </w:rPr>
              <w:t>5.14</w:t>
            </w:r>
            <w:r>
              <w:rPr>
                <w:spacing w:val="-2"/>
                <w:sz w:val="16"/>
              </w:rPr>
              <w:t> </w:t>
            </w:r>
            <w:r>
              <w:rPr>
                <w:sz w:val="16"/>
              </w:rPr>
              <w:t>Under</w:t>
            </w:r>
            <w:r>
              <w:rPr>
                <w:spacing w:val="-6"/>
                <w:sz w:val="16"/>
              </w:rPr>
              <w:t> </w:t>
            </w:r>
            <w:r>
              <w:rPr>
                <w:sz w:val="16"/>
              </w:rPr>
              <w:t>what</w:t>
            </w:r>
            <w:r>
              <w:rPr>
                <w:spacing w:val="-3"/>
                <w:sz w:val="16"/>
              </w:rPr>
              <w:t> </w:t>
            </w:r>
            <w:r>
              <w:rPr>
                <w:sz w:val="16"/>
              </w:rPr>
              <w:t>circumstances</w:t>
            </w:r>
            <w:r>
              <w:rPr>
                <w:spacing w:val="-3"/>
                <w:sz w:val="16"/>
              </w:rPr>
              <w:t> </w:t>
            </w:r>
            <w:r>
              <w:rPr>
                <w:sz w:val="16"/>
              </w:rPr>
              <w:t>do</w:t>
            </w:r>
            <w:r>
              <w:rPr>
                <w:spacing w:val="-3"/>
                <w:sz w:val="16"/>
              </w:rPr>
              <w:t> </w:t>
            </w:r>
            <w:r>
              <w:rPr>
                <w:sz w:val="16"/>
              </w:rPr>
              <w:t>Tier</w:t>
            </w:r>
            <w:r>
              <w:rPr>
                <w:spacing w:val="-2"/>
                <w:sz w:val="16"/>
              </w:rPr>
              <w:t> </w:t>
            </w:r>
            <w:r>
              <w:rPr>
                <w:sz w:val="16"/>
              </w:rPr>
              <w:t>1</w:t>
            </w:r>
            <w:r>
              <w:rPr>
                <w:spacing w:val="-4"/>
                <w:sz w:val="16"/>
              </w:rPr>
              <w:t> </w:t>
            </w:r>
            <w:r>
              <w:rPr>
                <w:sz w:val="16"/>
              </w:rPr>
              <w:t>patients</w:t>
            </w:r>
            <w:r>
              <w:rPr>
                <w:spacing w:val="-1"/>
                <w:sz w:val="16"/>
              </w:rPr>
              <w:t> </w:t>
            </w:r>
            <w:r>
              <w:rPr>
                <w:sz w:val="16"/>
              </w:rPr>
              <w:t>benefit</w:t>
            </w:r>
            <w:r>
              <w:rPr>
                <w:spacing w:val="-5"/>
                <w:sz w:val="16"/>
              </w:rPr>
              <w:t> </w:t>
            </w:r>
            <w:r>
              <w:rPr>
                <w:sz w:val="16"/>
              </w:rPr>
              <w:t>from</w:t>
            </w:r>
            <w:r>
              <w:rPr>
                <w:spacing w:val="-1"/>
                <w:sz w:val="16"/>
              </w:rPr>
              <w:t> </w:t>
            </w:r>
            <w:r>
              <w:rPr>
                <w:sz w:val="16"/>
              </w:rPr>
              <w:t>supporting</w:t>
            </w:r>
            <w:r>
              <w:rPr>
                <w:spacing w:val="-4"/>
                <w:sz w:val="16"/>
              </w:rPr>
              <w:t> </w:t>
            </w:r>
            <w:r>
              <w:rPr>
                <w:sz w:val="16"/>
              </w:rPr>
              <w:t>services?</w:t>
            </w:r>
          </w:p>
        </w:tc>
        <w:tc>
          <w:tcPr>
            <w:tcW w:w="1049" w:type="dxa"/>
          </w:tcPr>
          <w:p>
            <w:pPr>
              <w:pStyle w:val="TableParagraph"/>
              <w:spacing w:before="57"/>
              <w:ind w:left="55" w:right="46"/>
              <w:jc w:val="center"/>
              <w:rPr>
                <w:sz w:val="16"/>
              </w:rPr>
            </w:pPr>
            <w:r>
              <w:rPr>
                <w:sz w:val="16"/>
              </w:rPr>
              <w:t>PT</w:t>
            </w: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spacing w:before="57"/>
              <w:ind w:left="97"/>
              <w:rPr>
                <w:rFonts w:ascii="Wingdings" w:hAnsi="Wingdings"/>
                <w:sz w:val="16"/>
              </w:rPr>
            </w:pPr>
            <w:r>
              <w:rPr>
                <w:rFonts w:ascii="Wingdings" w:hAnsi="Wingdings"/>
                <w:w w:val="100"/>
                <w:sz w:val="16"/>
              </w:rPr>
              <w:t></w:t>
            </w:r>
          </w:p>
        </w:tc>
        <w:tc>
          <w:tcPr>
            <w:tcW w:w="386" w:type="dxa"/>
          </w:tcPr>
          <w:p>
            <w:pPr>
              <w:pStyle w:val="TableParagraph"/>
              <w:rPr>
                <w:rFonts w:ascii="Times New Roman"/>
                <w:sz w:val="16"/>
              </w:rPr>
            </w:pPr>
          </w:p>
        </w:tc>
      </w:tr>
      <w:tr>
        <w:trPr>
          <w:trHeight w:val="378" w:hRule="atLeast"/>
        </w:trPr>
        <w:tc>
          <w:tcPr>
            <w:tcW w:w="11229" w:type="dxa"/>
          </w:tcPr>
          <w:p>
            <w:pPr>
              <w:pStyle w:val="TableParagraph"/>
              <w:spacing w:before="57"/>
              <w:ind w:left="57"/>
              <w:rPr>
                <w:sz w:val="16"/>
              </w:rPr>
            </w:pPr>
            <w:r>
              <w:rPr>
                <w:sz w:val="16"/>
              </w:rPr>
              <w:t>5.15</w:t>
            </w:r>
            <w:r>
              <w:rPr>
                <w:spacing w:val="-2"/>
                <w:sz w:val="16"/>
              </w:rPr>
              <w:t> </w:t>
            </w:r>
            <w:r>
              <w:rPr>
                <w:sz w:val="16"/>
              </w:rPr>
              <w:t>Was</w:t>
            </w:r>
            <w:r>
              <w:rPr>
                <w:spacing w:val="-1"/>
                <w:sz w:val="16"/>
              </w:rPr>
              <w:t> </w:t>
            </w:r>
            <w:r>
              <w:rPr>
                <w:sz w:val="16"/>
              </w:rPr>
              <w:t>patient</w:t>
            </w:r>
            <w:r>
              <w:rPr>
                <w:spacing w:val="-5"/>
                <w:sz w:val="16"/>
              </w:rPr>
              <w:t> </w:t>
            </w:r>
            <w:r>
              <w:rPr>
                <w:sz w:val="16"/>
              </w:rPr>
              <w:t>participation</w:t>
            </w:r>
            <w:r>
              <w:rPr>
                <w:spacing w:val="-3"/>
                <w:sz w:val="16"/>
              </w:rPr>
              <w:t> </w:t>
            </w:r>
            <w:r>
              <w:rPr>
                <w:sz w:val="16"/>
              </w:rPr>
              <w:t>in</w:t>
            </w:r>
            <w:r>
              <w:rPr>
                <w:spacing w:val="-2"/>
                <w:sz w:val="16"/>
              </w:rPr>
              <w:t> </w:t>
            </w:r>
            <w:r>
              <w:rPr>
                <w:sz w:val="16"/>
              </w:rPr>
              <w:t>the</w:t>
            </w:r>
            <w:r>
              <w:rPr>
                <w:spacing w:val="-2"/>
                <w:sz w:val="16"/>
              </w:rPr>
              <w:t> </w:t>
            </w:r>
            <w:r>
              <w:rPr>
                <w:sz w:val="16"/>
              </w:rPr>
              <w:t>program</w:t>
            </w:r>
            <w:r>
              <w:rPr>
                <w:spacing w:val="-3"/>
                <w:sz w:val="16"/>
              </w:rPr>
              <w:t> </w:t>
            </w:r>
            <w:r>
              <w:rPr>
                <w:sz w:val="16"/>
              </w:rPr>
              <w:t>maintained</w:t>
            </w:r>
            <w:r>
              <w:rPr>
                <w:spacing w:val="-1"/>
                <w:sz w:val="16"/>
              </w:rPr>
              <w:t> </w:t>
            </w:r>
            <w:r>
              <w:rPr>
                <w:sz w:val="16"/>
              </w:rPr>
              <w:t>throughout</w:t>
            </w:r>
            <w:r>
              <w:rPr>
                <w:spacing w:val="-3"/>
                <w:sz w:val="16"/>
              </w:rPr>
              <w:t> </w:t>
            </w:r>
            <w:r>
              <w:rPr>
                <w:sz w:val="16"/>
              </w:rPr>
              <w:t>the</w:t>
            </w:r>
            <w:r>
              <w:rPr>
                <w:spacing w:val="-3"/>
                <w:sz w:val="16"/>
              </w:rPr>
              <w:t> </w:t>
            </w:r>
            <w:r>
              <w:rPr>
                <w:sz w:val="16"/>
              </w:rPr>
              <w:t>trial?</w:t>
            </w:r>
          </w:p>
        </w:tc>
        <w:tc>
          <w:tcPr>
            <w:tcW w:w="1049" w:type="dxa"/>
          </w:tcPr>
          <w:p>
            <w:pPr>
              <w:pStyle w:val="TableParagraph"/>
              <w:spacing w:before="57"/>
              <w:ind w:left="55" w:right="46"/>
              <w:jc w:val="center"/>
              <w:rPr>
                <w:sz w:val="16"/>
              </w:rPr>
            </w:pPr>
            <w:r>
              <w:rPr>
                <w:sz w:val="16"/>
              </w:rPr>
              <w:t>PT</w:t>
            </w: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spacing w:before="57"/>
              <w:ind w:left="97"/>
              <w:rPr>
                <w:rFonts w:ascii="Wingdings" w:hAnsi="Wingdings"/>
                <w:sz w:val="16"/>
              </w:rPr>
            </w:pPr>
            <w:r>
              <w:rPr>
                <w:rFonts w:ascii="Wingdings" w:hAnsi="Wingdings"/>
                <w:w w:val="100"/>
                <w:sz w:val="16"/>
              </w:rPr>
              <w:t></w:t>
            </w:r>
          </w:p>
        </w:tc>
        <w:tc>
          <w:tcPr>
            <w:tcW w:w="322" w:type="dxa"/>
          </w:tcPr>
          <w:p>
            <w:pPr>
              <w:pStyle w:val="TableParagraph"/>
              <w:rPr>
                <w:rFonts w:ascii="Times New Roman"/>
                <w:sz w:val="16"/>
              </w:rPr>
            </w:pPr>
          </w:p>
        </w:tc>
        <w:tc>
          <w:tcPr>
            <w:tcW w:w="386" w:type="dxa"/>
          </w:tcPr>
          <w:p>
            <w:pPr>
              <w:pStyle w:val="TableParagraph"/>
              <w:rPr>
                <w:rFonts w:ascii="Times New Roman"/>
                <w:sz w:val="16"/>
              </w:rPr>
            </w:pPr>
          </w:p>
        </w:tc>
      </w:tr>
      <w:tr>
        <w:trPr>
          <w:trHeight w:val="381" w:hRule="atLeast"/>
        </w:trPr>
        <w:tc>
          <w:tcPr>
            <w:tcW w:w="11229" w:type="dxa"/>
          </w:tcPr>
          <w:p>
            <w:pPr>
              <w:pStyle w:val="TableParagraph"/>
              <w:spacing w:before="57"/>
              <w:ind w:left="57"/>
              <w:rPr>
                <w:sz w:val="16"/>
              </w:rPr>
            </w:pPr>
            <w:r>
              <w:rPr>
                <w:sz w:val="16"/>
              </w:rPr>
              <w:t>5.16</w:t>
            </w:r>
            <w:r>
              <w:rPr>
                <w:spacing w:val="-1"/>
                <w:sz w:val="16"/>
              </w:rPr>
              <w:t> </w:t>
            </w:r>
            <w:r>
              <w:rPr>
                <w:sz w:val="16"/>
              </w:rPr>
              <w:t>What</w:t>
            </w:r>
            <w:r>
              <w:rPr>
                <w:spacing w:val="-5"/>
                <w:sz w:val="16"/>
              </w:rPr>
              <w:t> </w:t>
            </w:r>
            <w:r>
              <w:rPr>
                <w:sz w:val="16"/>
              </w:rPr>
              <w:t>were the types</w:t>
            </w:r>
            <w:r>
              <w:rPr>
                <w:spacing w:val="-4"/>
                <w:sz w:val="16"/>
              </w:rPr>
              <w:t> </w:t>
            </w:r>
            <w:r>
              <w:rPr>
                <w:sz w:val="16"/>
              </w:rPr>
              <w:t>of</w:t>
            </w:r>
            <w:r>
              <w:rPr>
                <w:spacing w:val="-2"/>
                <w:sz w:val="16"/>
              </w:rPr>
              <w:t> </w:t>
            </w:r>
            <w:r>
              <w:rPr>
                <w:sz w:val="16"/>
              </w:rPr>
              <w:t>goals</w:t>
            </w:r>
            <w:r>
              <w:rPr>
                <w:spacing w:val="-6"/>
                <w:sz w:val="16"/>
              </w:rPr>
              <w:t> </w:t>
            </w:r>
            <w:r>
              <w:rPr>
                <w:sz w:val="16"/>
              </w:rPr>
              <w:t>identified</w:t>
            </w:r>
            <w:r>
              <w:rPr>
                <w:spacing w:val="-1"/>
                <w:sz w:val="16"/>
              </w:rPr>
              <w:t> </w:t>
            </w:r>
            <w:r>
              <w:rPr>
                <w:sz w:val="16"/>
              </w:rPr>
              <w:t>for</w:t>
            </w:r>
            <w:r>
              <w:rPr>
                <w:spacing w:val="-4"/>
                <w:sz w:val="16"/>
              </w:rPr>
              <w:t> </w:t>
            </w:r>
            <w:r>
              <w:rPr>
                <w:sz w:val="16"/>
              </w:rPr>
              <w:t>patients</w:t>
            </w:r>
            <w:r>
              <w:rPr>
                <w:spacing w:val="-1"/>
                <w:sz w:val="16"/>
              </w:rPr>
              <w:t> </w:t>
            </w:r>
            <w:r>
              <w:rPr>
                <w:sz w:val="16"/>
              </w:rPr>
              <w:t>during</w:t>
            </w:r>
            <w:r>
              <w:rPr>
                <w:spacing w:val="-3"/>
                <w:sz w:val="16"/>
              </w:rPr>
              <w:t> </w:t>
            </w:r>
            <w:r>
              <w:rPr>
                <w:sz w:val="16"/>
              </w:rPr>
              <w:t>the</w:t>
            </w:r>
            <w:r>
              <w:rPr>
                <w:spacing w:val="-2"/>
                <w:sz w:val="16"/>
              </w:rPr>
              <w:t> </w:t>
            </w:r>
            <w:r>
              <w:rPr>
                <w:sz w:val="16"/>
              </w:rPr>
              <w:t>development</w:t>
            </w:r>
            <w:r>
              <w:rPr>
                <w:spacing w:val="-3"/>
                <w:sz w:val="16"/>
              </w:rPr>
              <w:t> </w:t>
            </w:r>
            <w:r>
              <w:rPr>
                <w:sz w:val="16"/>
              </w:rPr>
              <w:t>of</w:t>
            </w:r>
            <w:r>
              <w:rPr>
                <w:spacing w:val="-1"/>
                <w:sz w:val="16"/>
              </w:rPr>
              <w:t> </w:t>
            </w:r>
            <w:r>
              <w:rPr>
                <w:sz w:val="16"/>
              </w:rPr>
              <w:t>the</w:t>
            </w:r>
            <w:r>
              <w:rPr>
                <w:spacing w:val="-3"/>
                <w:sz w:val="16"/>
              </w:rPr>
              <w:t> </w:t>
            </w:r>
            <w:r>
              <w:rPr>
                <w:sz w:val="16"/>
              </w:rPr>
              <w:t>MMP?</w:t>
            </w:r>
            <w:r>
              <w:rPr>
                <w:spacing w:val="2"/>
                <w:sz w:val="16"/>
              </w:rPr>
              <w:t> </w:t>
            </w:r>
            <w:r>
              <w:rPr>
                <w:sz w:val="16"/>
              </w:rPr>
              <w:t>Which</w:t>
            </w:r>
            <w:r>
              <w:rPr>
                <w:spacing w:val="-5"/>
                <w:sz w:val="16"/>
              </w:rPr>
              <w:t> </w:t>
            </w:r>
            <w:r>
              <w:rPr>
                <w:sz w:val="16"/>
              </w:rPr>
              <w:t>were the</w:t>
            </w:r>
            <w:r>
              <w:rPr>
                <w:spacing w:val="-3"/>
                <w:sz w:val="16"/>
              </w:rPr>
              <w:t> </w:t>
            </w:r>
            <w:r>
              <w:rPr>
                <w:sz w:val="16"/>
              </w:rPr>
              <w:t>most</w:t>
            </w:r>
            <w:r>
              <w:rPr>
                <w:spacing w:val="-3"/>
                <w:sz w:val="16"/>
              </w:rPr>
              <w:t> </w:t>
            </w:r>
            <w:r>
              <w:rPr>
                <w:sz w:val="16"/>
              </w:rPr>
              <w:t>common?</w:t>
            </w:r>
          </w:p>
        </w:tc>
        <w:tc>
          <w:tcPr>
            <w:tcW w:w="1049" w:type="dxa"/>
          </w:tcPr>
          <w:p>
            <w:pPr>
              <w:pStyle w:val="TableParagraph"/>
              <w:spacing w:before="57"/>
              <w:ind w:left="55" w:right="45"/>
              <w:jc w:val="center"/>
              <w:rPr>
                <w:sz w:val="16"/>
              </w:rPr>
            </w:pPr>
            <w:r>
              <w:rPr>
                <w:sz w:val="16"/>
              </w:rPr>
              <w:t>PH/C</w:t>
            </w:r>
          </w:p>
        </w:tc>
        <w:tc>
          <w:tcPr>
            <w:tcW w:w="322" w:type="dxa"/>
          </w:tcPr>
          <w:p>
            <w:pPr>
              <w:pStyle w:val="TableParagraph"/>
              <w:rPr>
                <w:rFonts w:ascii="Times New Roman"/>
                <w:sz w:val="16"/>
              </w:rPr>
            </w:pPr>
          </w:p>
        </w:tc>
        <w:tc>
          <w:tcPr>
            <w:tcW w:w="322" w:type="dxa"/>
          </w:tcPr>
          <w:p>
            <w:pPr>
              <w:pStyle w:val="TableParagraph"/>
              <w:spacing w:before="57"/>
              <w:ind w:left="97"/>
              <w:rPr>
                <w:rFonts w:ascii="Wingdings" w:hAnsi="Wingdings"/>
                <w:sz w:val="16"/>
              </w:rPr>
            </w:pPr>
            <w:r>
              <w:rPr>
                <w:rFonts w:ascii="Wingdings" w:hAnsi="Wingdings"/>
                <w:w w:val="100"/>
                <w:sz w:val="16"/>
              </w:rPr>
              <w:t></w:t>
            </w: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86" w:type="dxa"/>
          </w:tcPr>
          <w:p>
            <w:pPr>
              <w:pStyle w:val="TableParagraph"/>
              <w:rPr>
                <w:rFonts w:ascii="Times New Roman"/>
                <w:sz w:val="16"/>
              </w:rPr>
            </w:pPr>
          </w:p>
        </w:tc>
      </w:tr>
    </w:tbl>
    <w:p>
      <w:pPr>
        <w:pStyle w:val="BodyText"/>
        <w:rPr>
          <w:b/>
        </w:rPr>
      </w:pPr>
    </w:p>
    <w:p>
      <w:pPr>
        <w:pStyle w:val="BodyText"/>
        <w:rPr>
          <w:b/>
        </w:rPr>
      </w:pPr>
    </w:p>
    <w:p>
      <w:pPr>
        <w:pStyle w:val="BodyText"/>
        <w:spacing w:before="4"/>
        <w:rPr>
          <w:b/>
          <w:sz w:val="11"/>
        </w:rPr>
      </w:pPr>
      <w:r>
        <w:rPr/>
        <w:pict>
          <v:rect style="position:absolute;margin-left:70.559998pt;margin-top:8.143408pt;width:700.92pt;height:.47998pt;mso-position-horizontal-relative:page;mso-position-vertical-relative:paragraph;z-index:-15719936;mso-wrap-distance-left:0;mso-wrap-distance-right:0" id="docshape73" filled="true" fillcolor="#d9d9d9" stroked="false">
            <v:fill type="solid"/>
            <w10:wrap type="topAndBottom"/>
          </v:rect>
        </w:pict>
      </w:r>
    </w:p>
    <w:p>
      <w:pPr>
        <w:spacing w:after="0"/>
        <w:rPr>
          <w:sz w:val="11"/>
        </w:rPr>
        <w:sectPr>
          <w:footerReference w:type="default" r:id="rId29"/>
          <w:pgSz w:w="16840" w:h="11910" w:orient="landscape"/>
          <w:pgMar w:footer="427" w:header="0" w:top="1100" w:bottom="620" w:left="1340" w:right="1320"/>
          <w:pgNumType w:start="38"/>
        </w:sectPr>
      </w:pPr>
    </w:p>
    <w:p>
      <w:pPr>
        <w:pStyle w:val="BodyText"/>
        <w:spacing w:before="2" w:after="1"/>
        <w:rPr>
          <w:b/>
          <w:sz w:val="27"/>
        </w:rPr>
      </w:pPr>
    </w:p>
    <w:tbl>
      <w:tblPr>
        <w:tblW w:w="0" w:type="auto"/>
        <w:jc w:val="left"/>
        <w:tblInd w:w="11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11229"/>
        <w:gridCol w:w="1049"/>
        <w:gridCol w:w="322"/>
        <w:gridCol w:w="322"/>
        <w:gridCol w:w="322"/>
        <w:gridCol w:w="322"/>
        <w:gridCol w:w="386"/>
      </w:tblGrid>
      <w:tr>
        <w:trPr>
          <w:trHeight w:val="1742" w:hRule="atLeast"/>
        </w:trPr>
        <w:tc>
          <w:tcPr>
            <w:tcW w:w="11229" w:type="dxa"/>
            <w:shd w:val="clear" w:color="auto" w:fill="003C79"/>
          </w:tcPr>
          <w:p>
            <w:pPr>
              <w:pStyle w:val="TableParagraph"/>
              <w:rPr>
                <w:b/>
                <w:sz w:val="20"/>
              </w:rPr>
            </w:pPr>
          </w:p>
          <w:p>
            <w:pPr>
              <w:pStyle w:val="TableParagraph"/>
              <w:rPr>
                <w:b/>
                <w:sz w:val="20"/>
              </w:rPr>
            </w:pPr>
          </w:p>
          <w:p>
            <w:pPr>
              <w:pStyle w:val="TableParagraph"/>
              <w:rPr>
                <w:b/>
                <w:sz w:val="23"/>
              </w:rPr>
            </w:pPr>
          </w:p>
          <w:p>
            <w:pPr>
              <w:pStyle w:val="TableParagraph"/>
              <w:ind w:left="5222" w:right="5214"/>
              <w:jc w:val="center"/>
              <w:rPr>
                <w:b/>
                <w:sz w:val="16"/>
              </w:rPr>
            </w:pPr>
            <w:r>
              <w:rPr>
                <w:b/>
                <w:color w:val="FFFFFF"/>
                <w:sz w:val="16"/>
              </w:rPr>
              <w:t>Measures</w:t>
            </w:r>
          </w:p>
        </w:tc>
        <w:tc>
          <w:tcPr>
            <w:tcW w:w="1049" w:type="dxa"/>
            <w:shd w:val="clear" w:color="auto" w:fill="003C79"/>
          </w:tcPr>
          <w:p>
            <w:pPr>
              <w:pStyle w:val="TableParagraph"/>
              <w:rPr>
                <w:b/>
                <w:sz w:val="23"/>
              </w:rPr>
            </w:pPr>
          </w:p>
          <w:p>
            <w:pPr>
              <w:pStyle w:val="TableParagraph"/>
              <w:spacing w:before="1"/>
              <w:ind w:left="55" w:right="46" w:hanging="3"/>
              <w:jc w:val="center"/>
              <w:rPr>
                <w:b/>
                <w:sz w:val="16"/>
              </w:rPr>
            </w:pPr>
            <w:r>
              <w:rPr>
                <w:b/>
                <w:color w:val="FFFFFF"/>
                <w:sz w:val="16"/>
              </w:rPr>
              <w:t>Level</w:t>
            </w:r>
            <w:r>
              <w:rPr>
                <w:b/>
                <w:color w:val="FFFFFF"/>
                <w:spacing w:val="1"/>
                <w:sz w:val="16"/>
              </w:rPr>
              <w:t> </w:t>
            </w:r>
            <w:r>
              <w:rPr>
                <w:b/>
                <w:color w:val="FFFFFF"/>
                <w:sz w:val="16"/>
              </w:rPr>
              <w:t>PR=Program</w:t>
            </w:r>
            <w:r>
              <w:rPr>
                <w:b/>
                <w:color w:val="FFFFFF"/>
                <w:spacing w:val="-42"/>
                <w:sz w:val="16"/>
              </w:rPr>
              <w:t> </w:t>
            </w:r>
            <w:r>
              <w:rPr>
                <w:b/>
                <w:color w:val="FFFFFF"/>
                <w:sz w:val="16"/>
              </w:rPr>
              <w:t>PH/C=</w:t>
            </w:r>
          </w:p>
          <w:p>
            <w:pPr>
              <w:pStyle w:val="TableParagraph"/>
              <w:ind w:left="55" w:right="48"/>
              <w:jc w:val="center"/>
              <w:rPr>
                <w:b/>
                <w:sz w:val="16"/>
              </w:rPr>
            </w:pPr>
            <w:r>
              <w:rPr>
                <w:b/>
                <w:color w:val="FFFFFF"/>
                <w:sz w:val="16"/>
              </w:rPr>
              <w:t>Pharmacist/</w:t>
            </w:r>
            <w:r>
              <w:rPr>
                <w:b/>
                <w:color w:val="FFFFFF"/>
                <w:spacing w:val="-42"/>
                <w:sz w:val="16"/>
              </w:rPr>
              <w:t> </w:t>
            </w:r>
            <w:r>
              <w:rPr>
                <w:b/>
                <w:color w:val="FFFFFF"/>
                <w:sz w:val="16"/>
              </w:rPr>
              <w:t>practice</w:t>
            </w:r>
            <w:r>
              <w:rPr>
                <w:b/>
                <w:color w:val="FFFFFF"/>
                <w:spacing w:val="1"/>
                <w:sz w:val="16"/>
              </w:rPr>
              <w:t> </w:t>
            </w:r>
            <w:r>
              <w:rPr>
                <w:b/>
                <w:color w:val="FFFFFF"/>
                <w:sz w:val="16"/>
              </w:rPr>
              <w:t>PT=Patient</w:t>
            </w:r>
          </w:p>
        </w:tc>
        <w:tc>
          <w:tcPr>
            <w:tcW w:w="322" w:type="dxa"/>
            <w:shd w:val="clear" w:color="auto" w:fill="003C79"/>
            <w:textDirection w:val="btLr"/>
          </w:tcPr>
          <w:p>
            <w:pPr>
              <w:pStyle w:val="TableParagraph"/>
              <w:spacing w:before="62"/>
              <w:ind w:left="620" w:right="621"/>
              <w:jc w:val="center"/>
              <w:rPr>
                <w:b/>
                <w:sz w:val="16"/>
              </w:rPr>
            </w:pPr>
            <w:r>
              <w:rPr>
                <w:b/>
                <w:color w:val="FFFFFF"/>
                <w:sz w:val="16"/>
              </w:rPr>
              <w:t>Inputs</w:t>
            </w:r>
          </w:p>
        </w:tc>
        <w:tc>
          <w:tcPr>
            <w:tcW w:w="322" w:type="dxa"/>
            <w:shd w:val="clear" w:color="auto" w:fill="003C79"/>
            <w:textDirection w:val="btLr"/>
          </w:tcPr>
          <w:p>
            <w:pPr>
              <w:pStyle w:val="TableParagraph"/>
              <w:spacing w:before="61"/>
              <w:ind w:left="522"/>
              <w:rPr>
                <w:b/>
                <w:sz w:val="16"/>
              </w:rPr>
            </w:pPr>
            <w:r>
              <w:rPr>
                <w:b/>
                <w:color w:val="FFFFFF"/>
                <w:sz w:val="16"/>
              </w:rPr>
              <w:t>Activities</w:t>
            </w:r>
          </w:p>
        </w:tc>
        <w:tc>
          <w:tcPr>
            <w:tcW w:w="322" w:type="dxa"/>
            <w:shd w:val="clear" w:color="auto" w:fill="003C79"/>
            <w:textDirection w:val="btLr"/>
          </w:tcPr>
          <w:p>
            <w:pPr>
              <w:pStyle w:val="TableParagraph"/>
              <w:spacing w:before="61"/>
              <w:ind w:left="570"/>
              <w:rPr>
                <w:b/>
                <w:sz w:val="16"/>
              </w:rPr>
            </w:pPr>
            <w:r>
              <w:rPr>
                <w:b/>
                <w:color w:val="FFFFFF"/>
                <w:sz w:val="16"/>
              </w:rPr>
              <w:t>Outputs</w:t>
            </w:r>
          </w:p>
        </w:tc>
        <w:tc>
          <w:tcPr>
            <w:tcW w:w="322" w:type="dxa"/>
            <w:shd w:val="clear" w:color="auto" w:fill="003C79"/>
            <w:textDirection w:val="btLr"/>
          </w:tcPr>
          <w:p>
            <w:pPr>
              <w:pStyle w:val="TableParagraph"/>
              <w:spacing w:before="61"/>
              <w:ind w:left="369"/>
              <w:rPr>
                <w:b/>
                <w:sz w:val="16"/>
              </w:rPr>
            </w:pPr>
            <w:r>
              <w:rPr>
                <w:b/>
                <w:color w:val="FFFFFF"/>
                <w:sz w:val="16"/>
              </w:rPr>
              <w:t>Outcomes</w:t>
            </w:r>
            <w:r>
              <w:rPr>
                <w:b/>
                <w:color w:val="FFFFFF"/>
                <w:spacing w:val="-2"/>
                <w:sz w:val="16"/>
              </w:rPr>
              <w:t> </w:t>
            </w:r>
            <w:r>
              <w:rPr>
                <w:b/>
                <w:color w:val="FFFFFF"/>
                <w:sz w:val="16"/>
              </w:rPr>
              <w:t>ST</w:t>
            </w:r>
          </w:p>
        </w:tc>
        <w:tc>
          <w:tcPr>
            <w:tcW w:w="386" w:type="dxa"/>
            <w:shd w:val="clear" w:color="auto" w:fill="003C79"/>
            <w:textDirection w:val="btLr"/>
          </w:tcPr>
          <w:p>
            <w:pPr>
              <w:pStyle w:val="TableParagraph"/>
              <w:spacing w:before="94"/>
              <w:ind w:left="338"/>
              <w:rPr>
                <w:b/>
                <w:sz w:val="16"/>
              </w:rPr>
            </w:pPr>
            <w:r>
              <w:rPr>
                <w:b/>
                <w:color w:val="FFFFFF"/>
                <w:sz w:val="16"/>
              </w:rPr>
              <w:t>Outcomes</w:t>
            </w:r>
            <w:r>
              <w:rPr>
                <w:b/>
                <w:color w:val="FFFFFF"/>
                <w:spacing w:val="-1"/>
                <w:sz w:val="16"/>
              </w:rPr>
              <w:t> </w:t>
            </w:r>
            <w:r>
              <w:rPr>
                <w:b/>
                <w:color w:val="FFFFFF"/>
                <w:sz w:val="16"/>
              </w:rPr>
              <w:t>MT</w:t>
            </w:r>
          </w:p>
        </w:tc>
      </w:tr>
      <w:tr>
        <w:trPr>
          <w:trHeight w:val="381" w:hRule="atLeast"/>
        </w:trPr>
        <w:tc>
          <w:tcPr>
            <w:tcW w:w="11229" w:type="dxa"/>
          </w:tcPr>
          <w:p>
            <w:pPr>
              <w:pStyle w:val="TableParagraph"/>
              <w:spacing w:before="57"/>
              <w:ind w:left="57"/>
              <w:rPr>
                <w:sz w:val="16"/>
              </w:rPr>
            </w:pPr>
            <w:r>
              <w:rPr>
                <w:sz w:val="16"/>
              </w:rPr>
              <w:t>5.17</w:t>
            </w:r>
            <w:r>
              <w:rPr>
                <w:spacing w:val="-1"/>
                <w:sz w:val="16"/>
              </w:rPr>
              <w:t> </w:t>
            </w:r>
            <w:r>
              <w:rPr>
                <w:sz w:val="16"/>
              </w:rPr>
              <w:t>What</w:t>
            </w:r>
            <w:r>
              <w:rPr>
                <w:spacing w:val="-4"/>
                <w:sz w:val="16"/>
              </w:rPr>
              <w:t> </w:t>
            </w:r>
            <w:r>
              <w:rPr>
                <w:sz w:val="16"/>
              </w:rPr>
              <w:t>were the type</w:t>
            </w:r>
            <w:r>
              <w:rPr>
                <w:spacing w:val="-2"/>
                <w:sz w:val="16"/>
              </w:rPr>
              <w:t> </w:t>
            </w:r>
            <w:r>
              <w:rPr>
                <w:sz w:val="16"/>
              </w:rPr>
              <w:t>of</w:t>
            </w:r>
            <w:r>
              <w:rPr>
                <w:spacing w:val="-3"/>
                <w:sz w:val="16"/>
              </w:rPr>
              <w:t> </w:t>
            </w:r>
            <w:r>
              <w:rPr>
                <w:sz w:val="16"/>
              </w:rPr>
              <w:t>outcomes</w:t>
            </w:r>
            <w:r>
              <w:rPr>
                <w:spacing w:val="-2"/>
                <w:sz w:val="16"/>
              </w:rPr>
              <w:t> </w:t>
            </w:r>
            <w:r>
              <w:rPr>
                <w:sz w:val="16"/>
              </w:rPr>
              <w:t>reported</w:t>
            </w:r>
            <w:r>
              <w:rPr>
                <w:spacing w:val="-2"/>
                <w:sz w:val="16"/>
              </w:rPr>
              <w:t> </w:t>
            </w:r>
            <w:r>
              <w:rPr>
                <w:sz w:val="16"/>
              </w:rPr>
              <w:t>in</w:t>
            </w:r>
            <w:r>
              <w:rPr>
                <w:spacing w:val="-2"/>
                <w:sz w:val="16"/>
              </w:rPr>
              <w:t> </w:t>
            </w:r>
            <w:r>
              <w:rPr>
                <w:sz w:val="16"/>
              </w:rPr>
              <w:t>patients’</w:t>
            </w:r>
            <w:r>
              <w:rPr>
                <w:spacing w:val="-4"/>
                <w:sz w:val="16"/>
              </w:rPr>
              <w:t> </w:t>
            </w:r>
            <w:r>
              <w:rPr>
                <w:sz w:val="16"/>
              </w:rPr>
              <w:t>MMPs?</w:t>
            </w:r>
            <w:r>
              <w:rPr>
                <w:spacing w:val="-3"/>
                <w:sz w:val="16"/>
              </w:rPr>
              <w:t> </w:t>
            </w:r>
            <w:r>
              <w:rPr>
                <w:sz w:val="16"/>
              </w:rPr>
              <w:t>Which</w:t>
            </w:r>
            <w:r>
              <w:rPr>
                <w:spacing w:val="-5"/>
                <w:sz w:val="16"/>
              </w:rPr>
              <w:t> </w:t>
            </w:r>
            <w:r>
              <w:rPr>
                <w:sz w:val="16"/>
              </w:rPr>
              <w:t>were</w:t>
            </w:r>
            <w:r>
              <w:rPr>
                <w:spacing w:val="-3"/>
                <w:sz w:val="16"/>
              </w:rPr>
              <w:t> </w:t>
            </w:r>
            <w:r>
              <w:rPr>
                <w:sz w:val="16"/>
              </w:rPr>
              <w:t>the</w:t>
            </w:r>
            <w:r>
              <w:rPr>
                <w:spacing w:val="-1"/>
                <w:sz w:val="16"/>
              </w:rPr>
              <w:t> </w:t>
            </w:r>
            <w:r>
              <w:rPr>
                <w:sz w:val="16"/>
              </w:rPr>
              <w:t>most</w:t>
            </w:r>
            <w:r>
              <w:rPr>
                <w:spacing w:val="-3"/>
                <w:sz w:val="16"/>
              </w:rPr>
              <w:t> </w:t>
            </w:r>
            <w:r>
              <w:rPr>
                <w:sz w:val="16"/>
              </w:rPr>
              <w:t>common?</w:t>
            </w:r>
          </w:p>
        </w:tc>
        <w:tc>
          <w:tcPr>
            <w:tcW w:w="1049" w:type="dxa"/>
          </w:tcPr>
          <w:p>
            <w:pPr>
              <w:pStyle w:val="TableParagraph"/>
              <w:spacing w:before="57"/>
              <w:ind w:left="55" w:right="45"/>
              <w:jc w:val="center"/>
              <w:rPr>
                <w:sz w:val="16"/>
              </w:rPr>
            </w:pPr>
            <w:r>
              <w:rPr>
                <w:sz w:val="16"/>
              </w:rPr>
              <w:t>PH/C</w:t>
            </w: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spacing w:before="57"/>
              <w:ind w:left="97"/>
              <w:rPr>
                <w:rFonts w:ascii="Wingdings" w:hAnsi="Wingdings"/>
                <w:sz w:val="16"/>
              </w:rPr>
            </w:pPr>
            <w:r>
              <w:rPr>
                <w:rFonts w:ascii="Wingdings" w:hAnsi="Wingdings"/>
                <w:w w:val="100"/>
                <w:sz w:val="16"/>
              </w:rPr>
              <w:t></w:t>
            </w:r>
          </w:p>
        </w:tc>
        <w:tc>
          <w:tcPr>
            <w:tcW w:w="322" w:type="dxa"/>
          </w:tcPr>
          <w:p>
            <w:pPr>
              <w:pStyle w:val="TableParagraph"/>
              <w:rPr>
                <w:rFonts w:ascii="Times New Roman"/>
                <w:sz w:val="16"/>
              </w:rPr>
            </w:pPr>
          </w:p>
        </w:tc>
        <w:tc>
          <w:tcPr>
            <w:tcW w:w="386" w:type="dxa"/>
          </w:tcPr>
          <w:p>
            <w:pPr>
              <w:pStyle w:val="TableParagraph"/>
              <w:rPr>
                <w:rFonts w:ascii="Times New Roman"/>
                <w:sz w:val="16"/>
              </w:rPr>
            </w:pPr>
          </w:p>
        </w:tc>
      </w:tr>
      <w:tr>
        <w:trPr>
          <w:trHeight w:val="379" w:hRule="atLeast"/>
        </w:trPr>
        <w:tc>
          <w:tcPr>
            <w:tcW w:w="11229" w:type="dxa"/>
          </w:tcPr>
          <w:p>
            <w:pPr>
              <w:pStyle w:val="TableParagraph"/>
              <w:spacing w:before="58"/>
              <w:ind w:left="57"/>
              <w:rPr>
                <w:sz w:val="16"/>
              </w:rPr>
            </w:pPr>
            <w:r>
              <w:rPr>
                <w:sz w:val="16"/>
              </w:rPr>
              <w:t>5.18</w:t>
            </w:r>
            <w:r>
              <w:rPr>
                <w:spacing w:val="-1"/>
                <w:sz w:val="16"/>
              </w:rPr>
              <w:t> </w:t>
            </w:r>
            <w:r>
              <w:rPr>
                <w:sz w:val="16"/>
              </w:rPr>
              <w:t>Which</w:t>
            </w:r>
            <w:r>
              <w:rPr>
                <w:spacing w:val="-3"/>
                <w:sz w:val="16"/>
              </w:rPr>
              <w:t> </w:t>
            </w:r>
            <w:r>
              <w:rPr>
                <w:sz w:val="16"/>
              </w:rPr>
              <w:t>patients</w:t>
            </w:r>
            <w:r>
              <w:rPr>
                <w:spacing w:val="-3"/>
                <w:sz w:val="16"/>
              </w:rPr>
              <w:t> </w:t>
            </w:r>
            <w:r>
              <w:rPr>
                <w:sz w:val="16"/>
              </w:rPr>
              <w:t>benefited</w:t>
            </w:r>
            <w:r>
              <w:rPr>
                <w:spacing w:val="-3"/>
                <w:sz w:val="16"/>
              </w:rPr>
              <w:t> </w:t>
            </w:r>
            <w:r>
              <w:rPr>
                <w:sz w:val="16"/>
              </w:rPr>
              <w:t>from the</w:t>
            </w:r>
            <w:r>
              <w:rPr>
                <w:spacing w:val="-2"/>
                <w:sz w:val="16"/>
              </w:rPr>
              <w:t> </w:t>
            </w:r>
            <w:r>
              <w:rPr>
                <w:sz w:val="16"/>
              </w:rPr>
              <w:t>Trial</w:t>
            </w:r>
            <w:r>
              <w:rPr>
                <w:spacing w:val="-2"/>
                <w:sz w:val="16"/>
              </w:rPr>
              <w:t> </w:t>
            </w:r>
            <w:r>
              <w:rPr>
                <w:sz w:val="16"/>
              </w:rPr>
              <w:t>Program</w:t>
            </w:r>
            <w:r>
              <w:rPr>
                <w:spacing w:val="-2"/>
                <w:sz w:val="16"/>
              </w:rPr>
              <w:t> </w:t>
            </w:r>
            <w:r>
              <w:rPr>
                <w:sz w:val="16"/>
              </w:rPr>
              <w:t>and</w:t>
            </w:r>
            <w:r>
              <w:rPr>
                <w:spacing w:val="-1"/>
                <w:sz w:val="16"/>
              </w:rPr>
              <w:t> </w:t>
            </w:r>
            <w:r>
              <w:rPr>
                <w:sz w:val="16"/>
              </w:rPr>
              <w:t>how</w:t>
            </w:r>
            <w:r>
              <w:rPr>
                <w:spacing w:val="-2"/>
                <w:sz w:val="16"/>
              </w:rPr>
              <w:t> </w:t>
            </w:r>
            <w:r>
              <w:rPr>
                <w:sz w:val="16"/>
              </w:rPr>
              <w:t>did</w:t>
            </w:r>
            <w:r>
              <w:rPr>
                <w:spacing w:val="-3"/>
                <w:sz w:val="16"/>
              </w:rPr>
              <w:t> </w:t>
            </w:r>
            <w:r>
              <w:rPr>
                <w:sz w:val="16"/>
              </w:rPr>
              <w:t>they</w:t>
            </w:r>
            <w:r>
              <w:rPr>
                <w:spacing w:val="-2"/>
                <w:sz w:val="16"/>
              </w:rPr>
              <w:t> </w:t>
            </w:r>
            <w:r>
              <w:rPr>
                <w:sz w:val="16"/>
              </w:rPr>
              <w:t>benefit?</w:t>
            </w:r>
          </w:p>
        </w:tc>
        <w:tc>
          <w:tcPr>
            <w:tcW w:w="1049" w:type="dxa"/>
          </w:tcPr>
          <w:p>
            <w:pPr>
              <w:pStyle w:val="TableParagraph"/>
              <w:spacing w:before="58"/>
              <w:ind w:left="55" w:right="46"/>
              <w:jc w:val="center"/>
              <w:rPr>
                <w:sz w:val="16"/>
              </w:rPr>
            </w:pPr>
            <w:r>
              <w:rPr>
                <w:sz w:val="16"/>
              </w:rPr>
              <w:t>PT</w:t>
            </w: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spacing w:before="57"/>
              <w:ind w:left="97"/>
              <w:rPr>
                <w:rFonts w:ascii="Wingdings" w:hAnsi="Wingdings"/>
                <w:sz w:val="16"/>
              </w:rPr>
            </w:pPr>
            <w:r>
              <w:rPr>
                <w:rFonts w:ascii="Wingdings" w:hAnsi="Wingdings"/>
                <w:w w:val="100"/>
                <w:sz w:val="16"/>
              </w:rPr>
              <w:t></w:t>
            </w:r>
          </w:p>
        </w:tc>
        <w:tc>
          <w:tcPr>
            <w:tcW w:w="386" w:type="dxa"/>
          </w:tcPr>
          <w:p>
            <w:pPr>
              <w:pStyle w:val="TableParagraph"/>
              <w:rPr>
                <w:rFonts w:ascii="Times New Roman"/>
                <w:sz w:val="16"/>
              </w:rPr>
            </w:pPr>
          </w:p>
        </w:tc>
      </w:tr>
      <w:tr>
        <w:trPr>
          <w:trHeight w:val="604" w:hRule="atLeast"/>
        </w:trPr>
        <w:tc>
          <w:tcPr>
            <w:tcW w:w="11229" w:type="dxa"/>
          </w:tcPr>
          <w:p>
            <w:pPr>
              <w:pStyle w:val="TableParagraph"/>
              <w:spacing w:line="276" w:lineRule="auto" w:before="57"/>
              <w:ind w:left="57" w:right="1070"/>
              <w:rPr>
                <w:sz w:val="16"/>
              </w:rPr>
            </w:pPr>
            <w:r>
              <w:rPr>
                <w:sz w:val="16"/>
              </w:rPr>
              <w:t>5.19 Are the benefits of the program similar for patients across categories of disadvantage? What strategies are required to ensure</w:t>
            </w:r>
            <w:r>
              <w:rPr>
                <w:spacing w:val="-42"/>
                <w:sz w:val="16"/>
              </w:rPr>
              <w:t> </w:t>
            </w:r>
            <w:r>
              <w:rPr>
                <w:sz w:val="16"/>
              </w:rPr>
              <w:t>disadvantaged groups</w:t>
            </w:r>
            <w:r>
              <w:rPr>
                <w:spacing w:val="-2"/>
                <w:sz w:val="16"/>
              </w:rPr>
              <w:t> </w:t>
            </w:r>
            <w:r>
              <w:rPr>
                <w:sz w:val="16"/>
              </w:rPr>
              <w:t>benefit</w:t>
            </w:r>
            <w:r>
              <w:rPr>
                <w:spacing w:val="-3"/>
                <w:sz w:val="16"/>
              </w:rPr>
              <w:t> </w:t>
            </w:r>
            <w:r>
              <w:rPr>
                <w:sz w:val="16"/>
              </w:rPr>
              <w:t>from</w:t>
            </w:r>
            <w:r>
              <w:rPr>
                <w:spacing w:val="1"/>
                <w:sz w:val="16"/>
              </w:rPr>
              <w:t> </w:t>
            </w:r>
            <w:r>
              <w:rPr>
                <w:sz w:val="16"/>
              </w:rPr>
              <w:t>the</w:t>
            </w:r>
            <w:r>
              <w:rPr>
                <w:spacing w:val="-1"/>
                <w:sz w:val="16"/>
              </w:rPr>
              <w:t> </w:t>
            </w:r>
            <w:r>
              <w:rPr>
                <w:sz w:val="16"/>
              </w:rPr>
              <w:t>program?</w:t>
            </w:r>
          </w:p>
        </w:tc>
        <w:tc>
          <w:tcPr>
            <w:tcW w:w="1049" w:type="dxa"/>
          </w:tcPr>
          <w:p>
            <w:pPr>
              <w:pStyle w:val="TableParagraph"/>
              <w:spacing w:before="57"/>
              <w:ind w:left="55" w:right="46"/>
              <w:jc w:val="center"/>
              <w:rPr>
                <w:sz w:val="16"/>
              </w:rPr>
            </w:pPr>
            <w:r>
              <w:rPr>
                <w:sz w:val="16"/>
              </w:rPr>
              <w:t>PT</w:t>
            </w: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spacing w:before="57"/>
              <w:ind w:left="97"/>
              <w:rPr>
                <w:rFonts w:ascii="Wingdings" w:hAnsi="Wingdings"/>
                <w:sz w:val="16"/>
              </w:rPr>
            </w:pPr>
            <w:r>
              <w:rPr>
                <w:rFonts w:ascii="Wingdings" w:hAnsi="Wingdings"/>
                <w:w w:val="100"/>
                <w:sz w:val="16"/>
              </w:rPr>
              <w:t></w:t>
            </w:r>
          </w:p>
        </w:tc>
        <w:tc>
          <w:tcPr>
            <w:tcW w:w="386" w:type="dxa"/>
          </w:tcPr>
          <w:p>
            <w:pPr>
              <w:pStyle w:val="TableParagraph"/>
              <w:rPr>
                <w:rFonts w:ascii="Times New Roman"/>
                <w:sz w:val="16"/>
              </w:rPr>
            </w:pPr>
          </w:p>
        </w:tc>
      </w:tr>
      <w:tr>
        <w:trPr>
          <w:trHeight w:val="381" w:hRule="atLeast"/>
        </w:trPr>
        <w:tc>
          <w:tcPr>
            <w:tcW w:w="11229" w:type="dxa"/>
          </w:tcPr>
          <w:p>
            <w:pPr>
              <w:pStyle w:val="TableParagraph"/>
              <w:spacing w:before="57"/>
              <w:ind w:left="57"/>
              <w:rPr>
                <w:sz w:val="16"/>
              </w:rPr>
            </w:pPr>
            <w:r>
              <w:rPr>
                <w:sz w:val="16"/>
              </w:rPr>
              <w:t>5.20</w:t>
            </w:r>
            <w:r>
              <w:rPr>
                <w:spacing w:val="-3"/>
                <w:sz w:val="16"/>
              </w:rPr>
              <w:t> </w:t>
            </w:r>
            <w:r>
              <w:rPr>
                <w:sz w:val="16"/>
              </w:rPr>
              <w:t>How</w:t>
            </w:r>
            <w:r>
              <w:rPr>
                <w:spacing w:val="-4"/>
                <w:sz w:val="16"/>
              </w:rPr>
              <w:t> </w:t>
            </w:r>
            <w:r>
              <w:rPr>
                <w:sz w:val="16"/>
              </w:rPr>
              <w:t>were</w:t>
            </w:r>
            <w:r>
              <w:rPr>
                <w:spacing w:val="-3"/>
                <w:sz w:val="16"/>
              </w:rPr>
              <w:t> </w:t>
            </w:r>
            <w:r>
              <w:rPr>
                <w:sz w:val="16"/>
              </w:rPr>
              <w:t>medications</w:t>
            </w:r>
            <w:r>
              <w:rPr>
                <w:spacing w:val="-2"/>
                <w:sz w:val="16"/>
              </w:rPr>
              <w:t> </w:t>
            </w:r>
            <w:r>
              <w:rPr>
                <w:sz w:val="16"/>
              </w:rPr>
              <w:t>reviewed</w:t>
            </w:r>
            <w:r>
              <w:rPr>
                <w:spacing w:val="-4"/>
                <w:sz w:val="16"/>
              </w:rPr>
              <w:t> </w:t>
            </w:r>
            <w:r>
              <w:rPr>
                <w:sz w:val="16"/>
              </w:rPr>
              <w:t>for</w:t>
            </w:r>
            <w:r>
              <w:rPr>
                <w:spacing w:val="-4"/>
                <w:sz w:val="16"/>
              </w:rPr>
              <w:t> </w:t>
            </w:r>
            <w:r>
              <w:rPr>
                <w:sz w:val="16"/>
              </w:rPr>
              <w:t>patients</w:t>
            </w:r>
            <w:r>
              <w:rPr>
                <w:spacing w:val="-5"/>
                <w:sz w:val="16"/>
              </w:rPr>
              <w:t> </w:t>
            </w:r>
            <w:r>
              <w:rPr>
                <w:sz w:val="16"/>
              </w:rPr>
              <w:t>who</w:t>
            </w:r>
            <w:r>
              <w:rPr>
                <w:spacing w:val="-3"/>
                <w:sz w:val="16"/>
              </w:rPr>
              <w:t> </w:t>
            </w:r>
            <w:r>
              <w:rPr>
                <w:sz w:val="16"/>
              </w:rPr>
              <w:t>did</w:t>
            </w:r>
            <w:r>
              <w:rPr>
                <w:spacing w:val="-4"/>
                <w:sz w:val="16"/>
              </w:rPr>
              <w:t> </w:t>
            </w:r>
            <w:r>
              <w:rPr>
                <w:sz w:val="16"/>
              </w:rPr>
              <w:t>not</w:t>
            </w:r>
            <w:r>
              <w:rPr>
                <w:spacing w:val="-3"/>
                <w:sz w:val="16"/>
              </w:rPr>
              <w:t> </w:t>
            </w:r>
            <w:r>
              <w:rPr>
                <w:sz w:val="16"/>
              </w:rPr>
              <w:t>receive</w:t>
            </w:r>
            <w:r>
              <w:rPr>
                <w:spacing w:val="-1"/>
                <w:sz w:val="16"/>
              </w:rPr>
              <w:t> </w:t>
            </w:r>
            <w:r>
              <w:rPr>
                <w:sz w:val="16"/>
              </w:rPr>
              <w:t>services</w:t>
            </w:r>
            <w:r>
              <w:rPr>
                <w:spacing w:val="-5"/>
                <w:sz w:val="16"/>
              </w:rPr>
              <w:t> </w:t>
            </w:r>
            <w:r>
              <w:rPr>
                <w:sz w:val="16"/>
              </w:rPr>
              <w:t>from</w:t>
            </w:r>
            <w:r>
              <w:rPr>
                <w:spacing w:val="-1"/>
                <w:sz w:val="16"/>
              </w:rPr>
              <w:t> </w:t>
            </w:r>
            <w:r>
              <w:rPr>
                <w:sz w:val="16"/>
              </w:rPr>
              <w:t>community</w:t>
            </w:r>
            <w:r>
              <w:rPr>
                <w:spacing w:val="-2"/>
                <w:sz w:val="16"/>
              </w:rPr>
              <w:t> </w:t>
            </w:r>
            <w:r>
              <w:rPr>
                <w:sz w:val="16"/>
              </w:rPr>
              <w:t>pharmacists?</w:t>
            </w:r>
          </w:p>
        </w:tc>
        <w:tc>
          <w:tcPr>
            <w:tcW w:w="1049" w:type="dxa"/>
          </w:tcPr>
          <w:p>
            <w:pPr>
              <w:pStyle w:val="TableParagraph"/>
              <w:spacing w:before="57"/>
              <w:ind w:left="55" w:right="46"/>
              <w:jc w:val="center"/>
              <w:rPr>
                <w:sz w:val="16"/>
              </w:rPr>
            </w:pPr>
            <w:r>
              <w:rPr>
                <w:sz w:val="16"/>
              </w:rPr>
              <w:t>PT</w:t>
            </w: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spacing w:before="57"/>
              <w:ind w:left="97"/>
              <w:rPr>
                <w:rFonts w:ascii="Wingdings" w:hAnsi="Wingdings"/>
                <w:sz w:val="16"/>
              </w:rPr>
            </w:pPr>
            <w:r>
              <w:rPr>
                <w:rFonts w:ascii="Wingdings" w:hAnsi="Wingdings"/>
                <w:w w:val="100"/>
                <w:sz w:val="16"/>
              </w:rPr>
              <w:t></w:t>
            </w:r>
          </w:p>
        </w:tc>
        <w:tc>
          <w:tcPr>
            <w:tcW w:w="386" w:type="dxa"/>
          </w:tcPr>
          <w:p>
            <w:pPr>
              <w:pStyle w:val="TableParagraph"/>
              <w:rPr>
                <w:rFonts w:ascii="Times New Roman"/>
                <w:sz w:val="16"/>
              </w:rPr>
            </w:pPr>
          </w:p>
        </w:tc>
      </w:tr>
      <w:tr>
        <w:trPr>
          <w:trHeight w:val="378" w:hRule="atLeast"/>
        </w:trPr>
        <w:tc>
          <w:tcPr>
            <w:tcW w:w="11229" w:type="dxa"/>
          </w:tcPr>
          <w:p>
            <w:pPr>
              <w:pStyle w:val="TableParagraph"/>
              <w:spacing w:before="57"/>
              <w:ind w:left="57"/>
              <w:rPr>
                <w:sz w:val="16"/>
              </w:rPr>
            </w:pPr>
            <w:r>
              <w:rPr>
                <w:sz w:val="16"/>
              </w:rPr>
              <w:t>5.21</w:t>
            </w:r>
            <w:r>
              <w:rPr>
                <w:spacing w:val="-2"/>
                <w:sz w:val="16"/>
              </w:rPr>
              <w:t> </w:t>
            </w:r>
            <w:r>
              <w:rPr>
                <w:sz w:val="16"/>
              </w:rPr>
              <w:t>Opportunities</w:t>
            </w:r>
            <w:r>
              <w:rPr>
                <w:spacing w:val="-4"/>
                <w:sz w:val="16"/>
              </w:rPr>
              <w:t> </w:t>
            </w:r>
            <w:r>
              <w:rPr>
                <w:sz w:val="16"/>
              </w:rPr>
              <w:t>for</w:t>
            </w:r>
            <w:r>
              <w:rPr>
                <w:spacing w:val="-6"/>
                <w:sz w:val="16"/>
              </w:rPr>
              <w:t> </w:t>
            </w:r>
            <w:r>
              <w:rPr>
                <w:sz w:val="16"/>
              </w:rPr>
              <w:t>improving</w:t>
            </w:r>
            <w:r>
              <w:rPr>
                <w:spacing w:val="-2"/>
                <w:sz w:val="16"/>
              </w:rPr>
              <w:t> </w:t>
            </w:r>
            <w:r>
              <w:rPr>
                <w:sz w:val="16"/>
              </w:rPr>
              <w:t>program-level</w:t>
            </w:r>
            <w:r>
              <w:rPr>
                <w:spacing w:val="-3"/>
                <w:sz w:val="16"/>
              </w:rPr>
              <w:t> </w:t>
            </w:r>
            <w:r>
              <w:rPr>
                <w:sz w:val="16"/>
              </w:rPr>
              <w:t>activities</w:t>
            </w:r>
            <w:r>
              <w:rPr>
                <w:spacing w:val="-4"/>
                <w:sz w:val="16"/>
              </w:rPr>
              <w:t> </w:t>
            </w:r>
            <w:r>
              <w:rPr>
                <w:sz w:val="16"/>
              </w:rPr>
              <w:t>in</w:t>
            </w:r>
            <w:r>
              <w:rPr>
                <w:spacing w:val="-3"/>
                <w:sz w:val="16"/>
              </w:rPr>
              <w:t> </w:t>
            </w:r>
            <w:r>
              <w:rPr>
                <w:sz w:val="16"/>
              </w:rPr>
              <w:t>subsequent</w:t>
            </w:r>
            <w:r>
              <w:rPr>
                <w:spacing w:val="-3"/>
                <w:sz w:val="16"/>
              </w:rPr>
              <w:t> </w:t>
            </w:r>
            <w:r>
              <w:rPr>
                <w:sz w:val="16"/>
              </w:rPr>
              <w:t>rollouts</w:t>
            </w:r>
            <w:r>
              <w:rPr>
                <w:spacing w:val="-4"/>
                <w:sz w:val="16"/>
              </w:rPr>
              <w:t> </w:t>
            </w:r>
            <w:r>
              <w:rPr>
                <w:sz w:val="16"/>
              </w:rPr>
              <w:t>of</w:t>
            </w:r>
            <w:r>
              <w:rPr>
                <w:spacing w:val="-2"/>
                <w:sz w:val="16"/>
              </w:rPr>
              <w:t> </w:t>
            </w:r>
            <w:r>
              <w:rPr>
                <w:sz w:val="16"/>
              </w:rPr>
              <w:t>the</w:t>
            </w:r>
            <w:r>
              <w:rPr>
                <w:spacing w:val="-3"/>
                <w:sz w:val="16"/>
              </w:rPr>
              <w:t> </w:t>
            </w:r>
            <w:r>
              <w:rPr>
                <w:sz w:val="16"/>
              </w:rPr>
              <w:t>program</w:t>
            </w:r>
            <w:r>
              <w:rPr>
                <w:spacing w:val="-3"/>
                <w:sz w:val="16"/>
              </w:rPr>
              <w:t> </w:t>
            </w:r>
            <w:r>
              <w:rPr>
                <w:sz w:val="16"/>
              </w:rPr>
              <w:t>most</w:t>
            </w:r>
            <w:r>
              <w:rPr>
                <w:spacing w:val="-3"/>
                <w:sz w:val="16"/>
              </w:rPr>
              <w:t> </w:t>
            </w:r>
            <w:r>
              <w:rPr>
                <w:sz w:val="16"/>
              </w:rPr>
              <w:t>frequently</w:t>
            </w:r>
            <w:r>
              <w:rPr>
                <w:spacing w:val="-6"/>
                <w:sz w:val="16"/>
              </w:rPr>
              <w:t> </w:t>
            </w:r>
            <w:r>
              <w:rPr>
                <w:sz w:val="16"/>
              </w:rPr>
              <w:t>identified</w:t>
            </w:r>
            <w:r>
              <w:rPr>
                <w:spacing w:val="-3"/>
                <w:sz w:val="16"/>
              </w:rPr>
              <w:t> </w:t>
            </w:r>
            <w:r>
              <w:rPr>
                <w:sz w:val="16"/>
              </w:rPr>
              <w:t>by</w:t>
            </w:r>
            <w:r>
              <w:rPr>
                <w:spacing w:val="-5"/>
                <w:sz w:val="16"/>
              </w:rPr>
              <w:t> </w:t>
            </w:r>
            <w:r>
              <w:rPr>
                <w:sz w:val="16"/>
              </w:rPr>
              <w:t>stakeholders.</w:t>
            </w:r>
          </w:p>
        </w:tc>
        <w:tc>
          <w:tcPr>
            <w:tcW w:w="1049" w:type="dxa"/>
          </w:tcPr>
          <w:p>
            <w:pPr>
              <w:pStyle w:val="TableParagraph"/>
              <w:spacing w:before="57"/>
              <w:ind w:left="55" w:right="46"/>
              <w:jc w:val="center"/>
              <w:rPr>
                <w:sz w:val="16"/>
              </w:rPr>
            </w:pPr>
            <w:r>
              <w:rPr>
                <w:sz w:val="16"/>
              </w:rPr>
              <w:t>PR</w:t>
            </w: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86" w:type="dxa"/>
          </w:tcPr>
          <w:p>
            <w:pPr>
              <w:pStyle w:val="TableParagraph"/>
              <w:spacing w:before="57"/>
              <w:ind w:left="128"/>
              <w:rPr>
                <w:rFonts w:ascii="Wingdings" w:hAnsi="Wingdings"/>
                <w:sz w:val="16"/>
              </w:rPr>
            </w:pPr>
            <w:r>
              <w:rPr>
                <w:rFonts w:ascii="Wingdings" w:hAnsi="Wingdings"/>
                <w:w w:val="100"/>
                <w:sz w:val="16"/>
              </w:rPr>
              <w:t></w:t>
            </w:r>
          </w:p>
        </w:tc>
      </w:tr>
      <w:tr>
        <w:trPr>
          <w:trHeight w:val="378" w:hRule="atLeast"/>
        </w:trPr>
        <w:tc>
          <w:tcPr>
            <w:tcW w:w="13952" w:type="dxa"/>
            <w:gridSpan w:val="7"/>
            <w:shd w:val="clear" w:color="auto" w:fill="F1F1F1"/>
          </w:tcPr>
          <w:p>
            <w:pPr>
              <w:pStyle w:val="TableParagraph"/>
              <w:spacing w:before="57"/>
              <w:ind w:left="57"/>
              <w:rPr>
                <w:b/>
                <w:sz w:val="16"/>
              </w:rPr>
            </w:pPr>
            <w:r>
              <w:rPr>
                <w:b/>
                <w:sz w:val="16"/>
              </w:rPr>
              <w:t>Key</w:t>
            </w:r>
            <w:r>
              <w:rPr>
                <w:b/>
                <w:spacing w:val="-4"/>
                <w:sz w:val="16"/>
              </w:rPr>
              <w:t> </w:t>
            </w:r>
            <w:r>
              <w:rPr>
                <w:b/>
                <w:sz w:val="16"/>
              </w:rPr>
              <w:t>question</w:t>
            </w:r>
            <w:r>
              <w:rPr>
                <w:b/>
                <w:spacing w:val="-5"/>
                <w:sz w:val="16"/>
              </w:rPr>
              <w:t> </w:t>
            </w:r>
            <w:r>
              <w:rPr>
                <w:b/>
                <w:sz w:val="16"/>
              </w:rPr>
              <w:t>6:</w:t>
            </w:r>
            <w:r>
              <w:rPr>
                <w:b/>
                <w:spacing w:val="-3"/>
                <w:sz w:val="16"/>
              </w:rPr>
              <w:t> </w:t>
            </w:r>
            <w:r>
              <w:rPr>
                <w:b/>
                <w:sz w:val="16"/>
              </w:rPr>
              <w:t>Do</w:t>
            </w:r>
            <w:r>
              <w:rPr>
                <w:b/>
                <w:spacing w:val="-3"/>
                <w:sz w:val="16"/>
              </w:rPr>
              <w:t> </w:t>
            </w:r>
            <w:r>
              <w:rPr>
                <w:b/>
                <w:sz w:val="16"/>
              </w:rPr>
              <w:t>patients</w:t>
            </w:r>
            <w:r>
              <w:rPr>
                <w:b/>
                <w:spacing w:val="-5"/>
                <w:sz w:val="16"/>
              </w:rPr>
              <w:t> </w:t>
            </w:r>
            <w:r>
              <w:rPr>
                <w:b/>
                <w:sz w:val="16"/>
              </w:rPr>
              <w:t>who</w:t>
            </w:r>
            <w:r>
              <w:rPr>
                <w:b/>
                <w:spacing w:val="-1"/>
                <w:sz w:val="16"/>
              </w:rPr>
              <w:t> </w:t>
            </w:r>
            <w:r>
              <w:rPr>
                <w:b/>
                <w:sz w:val="16"/>
              </w:rPr>
              <w:t>received</w:t>
            </w:r>
            <w:r>
              <w:rPr>
                <w:b/>
                <w:spacing w:val="-4"/>
                <w:sz w:val="16"/>
              </w:rPr>
              <w:t> </w:t>
            </w:r>
            <w:r>
              <w:rPr>
                <w:b/>
                <w:sz w:val="16"/>
              </w:rPr>
              <w:t>medication</w:t>
            </w:r>
            <w:r>
              <w:rPr>
                <w:b/>
                <w:spacing w:val="-3"/>
                <w:sz w:val="16"/>
              </w:rPr>
              <w:t> </w:t>
            </w:r>
            <w:r>
              <w:rPr>
                <w:b/>
                <w:sz w:val="16"/>
              </w:rPr>
              <w:t>management</w:t>
            </w:r>
            <w:r>
              <w:rPr>
                <w:b/>
                <w:spacing w:val="-2"/>
                <w:sz w:val="16"/>
              </w:rPr>
              <w:t> </w:t>
            </w:r>
            <w:r>
              <w:rPr>
                <w:b/>
                <w:sz w:val="16"/>
              </w:rPr>
              <w:t>services</w:t>
            </w:r>
            <w:r>
              <w:rPr>
                <w:b/>
                <w:spacing w:val="-3"/>
                <w:sz w:val="16"/>
              </w:rPr>
              <w:t> </w:t>
            </w:r>
            <w:r>
              <w:rPr>
                <w:b/>
                <w:sz w:val="16"/>
              </w:rPr>
              <w:t>as</w:t>
            </w:r>
            <w:r>
              <w:rPr>
                <w:b/>
                <w:spacing w:val="-3"/>
                <w:sz w:val="16"/>
              </w:rPr>
              <w:t> </w:t>
            </w:r>
            <w:r>
              <w:rPr>
                <w:b/>
                <w:sz w:val="16"/>
              </w:rPr>
              <w:t>part</w:t>
            </w:r>
            <w:r>
              <w:rPr>
                <w:b/>
                <w:spacing w:val="-3"/>
                <w:sz w:val="16"/>
              </w:rPr>
              <w:t> </w:t>
            </w:r>
            <w:r>
              <w:rPr>
                <w:b/>
                <w:sz w:val="16"/>
              </w:rPr>
              <w:t>of</w:t>
            </w:r>
            <w:r>
              <w:rPr>
                <w:b/>
                <w:spacing w:val="-1"/>
                <w:sz w:val="16"/>
              </w:rPr>
              <w:t> </w:t>
            </w:r>
            <w:r>
              <w:rPr>
                <w:b/>
                <w:sz w:val="16"/>
              </w:rPr>
              <w:t>the</w:t>
            </w:r>
            <w:r>
              <w:rPr>
                <w:b/>
                <w:spacing w:val="-4"/>
                <w:sz w:val="16"/>
              </w:rPr>
              <w:t> </w:t>
            </w:r>
            <w:r>
              <w:rPr>
                <w:b/>
                <w:sz w:val="16"/>
              </w:rPr>
              <w:t>HCH</w:t>
            </w:r>
            <w:r>
              <w:rPr>
                <w:b/>
                <w:spacing w:val="-1"/>
                <w:sz w:val="16"/>
              </w:rPr>
              <w:t> </w:t>
            </w:r>
            <w:r>
              <w:rPr>
                <w:b/>
                <w:sz w:val="16"/>
              </w:rPr>
              <w:t>trial</w:t>
            </w:r>
            <w:r>
              <w:rPr>
                <w:b/>
                <w:spacing w:val="-2"/>
                <w:sz w:val="16"/>
              </w:rPr>
              <w:t> </w:t>
            </w:r>
            <w:r>
              <w:rPr>
                <w:b/>
                <w:sz w:val="16"/>
              </w:rPr>
              <w:t>experience better</w:t>
            </w:r>
            <w:r>
              <w:rPr>
                <w:b/>
                <w:spacing w:val="-3"/>
                <w:sz w:val="16"/>
              </w:rPr>
              <w:t> </w:t>
            </w:r>
            <w:r>
              <w:rPr>
                <w:b/>
                <w:sz w:val="16"/>
              </w:rPr>
              <w:t>health</w:t>
            </w:r>
            <w:r>
              <w:rPr>
                <w:b/>
                <w:spacing w:val="-2"/>
                <w:sz w:val="16"/>
              </w:rPr>
              <w:t> </w:t>
            </w:r>
            <w:r>
              <w:rPr>
                <w:b/>
                <w:sz w:val="16"/>
              </w:rPr>
              <w:t>outcomes</w:t>
            </w:r>
            <w:r>
              <w:rPr>
                <w:b/>
                <w:spacing w:val="-3"/>
                <w:sz w:val="16"/>
              </w:rPr>
              <w:t> </w:t>
            </w:r>
            <w:r>
              <w:rPr>
                <w:b/>
                <w:sz w:val="16"/>
              </w:rPr>
              <w:t>than</w:t>
            </w:r>
            <w:r>
              <w:rPr>
                <w:b/>
                <w:spacing w:val="-2"/>
                <w:sz w:val="16"/>
              </w:rPr>
              <w:t> </w:t>
            </w:r>
            <w:r>
              <w:rPr>
                <w:b/>
                <w:sz w:val="16"/>
              </w:rPr>
              <w:t>patients</w:t>
            </w:r>
            <w:r>
              <w:rPr>
                <w:b/>
                <w:spacing w:val="-2"/>
                <w:sz w:val="16"/>
              </w:rPr>
              <w:t> </w:t>
            </w:r>
            <w:r>
              <w:rPr>
                <w:b/>
                <w:sz w:val="16"/>
              </w:rPr>
              <w:t>who</w:t>
            </w:r>
            <w:r>
              <w:rPr>
                <w:b/>
                <w:spacing w:val="-4"/>
                <w:sz w:val="16"/>
              </w:rPr>
              <w:t> </w:t>
            </w:r>
            <w:r>
              <w:rPr>
                <w:b/>
                <w:sz w:val="16"/>
              </w:rPr>
              <w:t>did</w:t>
            </w:r>
            <w:r>
              <w:rPr>
                <w:b/>
                <w:spacing w:val="-2"/>
                <w:sz w:val="16"/>
              </w:rPr>
              <w:t> </w:t>
            </w:r>
            <w:r>
              <w:rPr>
                <w:b/>
                <w:sz w:val="16"/>
              </w:rPr>
              <w:t>not?</w:t>
            </w:r>
          </w:p>
        </w:tc>
      </w:tr>
      <w:tr>
        <w:trPr>
          <w:trHeight w:val="381" w:hRule="atLeast"/>
        </w:trPr>
        <w:tc>
          <w:tcPr>
            <w:tcW w:w="11229" w:type="dxa"/>
          </w:tcPr>
          <w:p>
            <w:pPr>
              <w:pStyle w:val="TableParagraph"/>
              <w:spacing w:before="57"/>
              <w:ind w:left="57"/>
              <w:rPr>
                <w:sz w:val="16"/>
              </w:rPr>
            </w:pPr>
            <w:r>
              <w:rPr>
                <w:sz w:val="16"/>
              </w:rPr>
              <w:t>6.01</w:t>
            </w:r>
            <w:r>
              <w:rPr>
                <w:spacing w:val="-2"/>
                <w:sz w:val="16"/>
              </w:rPr>
              <w:t> </w:t>
            </w:r>
            <w:r>
              <w:rPr>
                <w:sz w:val="16"/>
              </w:rPr>
              <w:t>What</w:t>
            </w:r>
            <w:r>
              <w:rPr>
                <w:spacing w:val="-3"/>
                <w:sz w:val="16"/>
              </w:rPr>
              <w:t> </w:t>
            </w:r>
            <w:r>
              <w:rPr>
                <w:sz w:val="16"/>
              </w:rPr>
              <w:t>criteria</w:t>
            </w:r>
            <w:r>
              <w:rPr>
                <w:spacing w:val="-1"/>
                <w:sz w:val="16"/>
              </w:rPr>
              <w:t> </w:t>
            </w:r>
            <w:r>
              <w:rPr>
                <w:sz w:val="16"/>
              </w:rPr>
              <w:t>did</w:t>
            </w:r>
            <w:r>
              <w:rPr>
                <w:spacing w:val="-3"/>
                <w:sz w:val="16"/>
              </w:rPr>
              <w:t> </w:t>
            </w:r>
            <w:r>
              <w:rPr>
                <w:sz w:val="16"/>
              </w:rPr>
              <w:t>practices</w:t>
            </w:r>
            <w:r>
              <w:rPr>
                <w:spacing w:val="-6"/>
                <w:sz w:val="16"/>
              </w:rPr>
              <w:t> </w:t>
            </w:r>
            <w:r>
              <w:rPr>
                <w:sz w:val="16"/>
              </w:rPr>
              <w:t>use</w:t>
            </w:r>
            <w:r>
              <w:rPr>
                <w:spacing w:val="-2"/>
                <w:sz w:val="16"/>
              </w:rPr>
              <w:t> </w:t>
            </w:r>
            <w:r>
              <w:rPr>
                <w:sz w:val="16"/>
              </w:rPr>
              <w:t>to</w:t>
            </w:r>
            <w:r>
              <w:rPr>
                <w:spacing w:val="-1"/>
                <w:sz w:val="16"/>
              </w:rPr>
              <w:t> </w:t>
            </w:r>
            <w:r>
              <w:rPr>
                <w:sz w:val="16"/>
              </w:rPr>
              <w:t>select</w:t>
            </w:r>
            <w:r>
              <w:rPr>
                <w:spacing w:val="-5"/>
                <w:sz w:val="16"/>
              </w:rPr>
              <w:t> </w:t>
            </w:r>
            <w:r>
              <w:rPr>
                <w:sz w:val="16"/>
              </w:rPr>
              <w:t>patients</w:t>
            </w:r>
            <w:r>
              <w:rPr>
                <w:spacing w:val="-6"/>
                <w:sz w:val="16"/>
              </w:rPr>
              <w:t> </w:t>
            </w:r>
            <w:r>
              <w:rPr>
                <w:sz w:val="16"/>
              </w:rPr>
              <w:t>who</w:t>
            </w:r>
            <w:r>
              <w:rPr>
                <w:spacing w:val="-3"/>
                <w:sz w:val="16"/>
              </w:rPr>
              <w:t> </w:t>
            </w:r>
            <w:r>
              <w:rPr>
                <w:sz w:val="16"/>
              </w:rPr>
              <w:t>could</w:t>
            </w:r>
            <w:r>
              <w:rPr>
                <w:spacing w:val="-1"/>
                <w:sz w:val="16"/>
              </w:rPr>
              <w:t> </w:t>
            </w:r>
            <w:r>
              <w:rPr>
                <w:sz w:val="16"/>
              </w:rPr>
              <w:t>benefit</w:t>
            </w:r>
            <w:r>
              <w:rPr>
                <w:spacing w:val="-4"/>
                <w:sz w:val="16"/>
              </w:rPr>
              <w:t> </w:t>
            </w:r>
            <w:r>
              <w:rPr>
                <w:sz w:val="16"/>
              </w:rPr>
              <w:t>from</w:t>
            </w:r>
            <w:r>
              <w:rPr>
                <w:spacing w:val="3"/>
                <w:sz w:val="16"/>
              </w:rPr>
              <w:t> </w:t>
            </w:r>
            <w:r>
              <w:rPr>
                <w:sz w:val="16"/>
              </w:rPr>
              <w:t>community</w:t>
            </w:r>
            <w:r>
              <w:rPr>
                <w:spacing w:val="-4"/>
                <w:sz w:val="16"/>
              </w:rPr>
              <w:t> </w:t>
            </w:r>
            <w:r>
              <w:rPr>
                <w:sz w:val="16"/>
              </w:rPr>
              <w:t>pharmacist</w:t>
            </w:r>
            <w:r>
              <w:rPr>
                <w:spacing w:val="-5"/>
                <w:sz w:val="16"/>
              </w:rPr>
              <w:t> </w:t>
            </w:r>
            <w:r>
              <w:rPr>
                <w:sz w:val="16"/>
              </w:rPr>
              <w:t>input?</w:t>
            </w:r>
          </w:p>
        </w:tc>
        <w:tc>
          <w:tcPr>
            <w:tcW w:w="1049" w:type="dxa"/>
          </w:tcPr>
          <w:p>
            <w:pPr>
              <w:pStyle w:val="TableParagraph"/>
              <w:spacing w:before="57"/>
              <w:ind w:left="55" w:right="45"/>
              <w:jc w:val="center"/>
              <w:rPr>
                <w:sz w:val="16"/>
              </w:rPr>
            </w:pPr>
            <w:r>
              <w:rPr>
                <w:sz w:val="16"/>
              </w:rPr>
              <w:t>PH/C</w:t>
            </w:r>
          </w:p>
        </w:tc>
        <w:tc>
          <w:tcPr>
            <w:tcW w:w="322" w:type="dxa"/>
          </w:tcPr>
          <w:p>
            <w:pPr>
              <w:pStyle w:val="TableParagraph"/>
              <w:rPr>
                <w:rFonts w:ascii="Times New Roman"/>
                <w:sz w:val="16"/>
              </w:rPr>
            </w:pPr>
          </w:p>
        </w:tc>
        <w:tc>
          <w:tcPr>
            <w:tcW w:w="322" w:type="dxa"/>
          </w:tcPr>
          <w:p>
            <w:pPr>
              <w:pStyle w:val="TableParagraph"/>
              <w:spacing w:before="57"/>
              <w:ind w:left="97"/>
              <w:rPr>
                <w:rFonts w:ascii="Wingdings" w:hAnsi="Wingdings"/>
                <w:sz w:val="16"/>
              </w:rPr>
            </w:pPr>
            <w:r>
              <w:rPr>
                <w:rFonts w:ascii="Wingdings" w:hAnsi="Wingdings"/>
                <w:w w:val="100"/>
                <w:sz w:val="16"/>
              </w:rPr>
              <w:t></w:t>
            </w: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86" w:type="dxa"/>
          </w:tcPr>
          <w:p>
            <w:pPr>
              <w:pStyle w:val="TableParagraph"/>
              <w:rPr>
                <w:rFonts w:ascii="Times New Roman"/>
                <w:sz w:val="16"/>
              </w:rPr>
            </w:pPr>
          </w:p>
        </w:tc>
      </w:tr>
      <w:tr>
        <w:trPr>
          <w:trHeight w:val="604" w:hRule="atLeast"/>
        </w:trPr>
        <w:tc>
          <w:tcPr>
            <w:tcW w:w="11229" w:type="dxa"/>
          </w:tcPr>
          <w:p>
            <w:pPr>
              <w:pStyle w:val="TableParagraph"/>
              <w:spacing w:line="276" w:lineRule="auto" w:before="57"/>
              <w:ind w:left="57" w:right="620"/>
              <w:rPr>
                <w:sz w:val="16"/>
              </w:rPr>
            </w:pPr>
            <w:r>
              <w:rPr>
                <w:sz w:val="16"/>
              </w:rPr>
              <w:t>6.02 Change in patients’ self-reported (to the pharmacist) attendance at an emergency department and/ or hospitalisation in the last 6</w:t>
            </w:r>
            <w:r>
              <w:rPr>
                <w:spacing w:val="-42"/>
                <w:sz w:val="16"/>
              </w:rPr>
              <w:t> </w:t>
            </w:r>
            <w:r>
              <w:rPr>
                <w:sz w:val="16"/>
              </w:rPr>
              <w:t>months</w:t>
            </w:r>
            <w:r>
              <w:rPr>
                <w:spacing w:val="-2"/>
                <w:sz w:val="16"/>
              </w:rPr>
              <w:t> </w:t>
            </w:r>
            <w:r>
              <w:rPr>
                <w:sz w:val="16"/>
              </w:rPr>
              <w:t>–</w:t>
            </w:r>
            <w:r>
              <w:rPr>
                <w:spacing w:val="-3"/>
                <w:sz w:val="16"/>
              </w:rPr>
              <w:t> </w:t>
            </w:r>
            <w:r>
              <w:rPr>
                <w:sz w:val="16"/>
              </w:rPr>
              <w:t>initial assessment</w:t>
            </w:r>
            <w:r>
              <w:rPr>
                <w:spacing w:val="-1"/>
                <w:sz w:val="16"/>
              </w:rPr>
              <w:t> </w:t>
            </w:r>
            <w:r>
              <w:rPr>
                <w:sz w:val="16"/>
              </w:rPr>
              <w:t>compared</w:t>
            </w:r>
            <w:r>
              <w:rPr>
                <w:spacing w:val="-4"/>
                <w:sz w:val="16"/>
              </w:rPr>
              <w:t> </w:t>
            </w:r>
            <w:r>
              <w:rPr>
                <w:sz w:val="16"/>
              </w:rPr>
              <w:t>with</w:t>
            </w:r>
            <w:r>
              <w:rPr>
                <w:spacing w:val="-1"/>
                <w:sz w:val="16"/>
              </w:rPr>
              <w:t> </w:t>
            </w:r>
            <w:r>
              <w:rPr>
                <w:sz w:val="16"/>
              </w:rPr>
              <w:t>follow-up</w:t>
            </w:r>
            <w:r>
              <w:rPr>
                <w:spacing w:val="-1"/>
                <w:sz w:val="16"/>
              </w:rPr>
              <w:t> </w:t>
            </w:r>
            <w:r>
              <w:rPr>
                <w:sz w:val="16"/>
              </w:rPr>
              <w:t>review.</w:t>
            </w:r>
          </w:p>
        </w:tc>
        <w:tc>
          <w:tcPr>
            <w:tcW w:w="1049" w:type="dxa"/>
          </w:tcPr>
          <w:p>
            <w:pPr>
              <w:pStyle w:val="TableParagraph"/>
              <w:spacing w:before="57"/>
              <w:ind w:left="55" w:right="46"/>
              <w:jc w:val="center"/>
              <w:rPr>
                <w:sz w:val="16"/>
              </w:rPr>
            </w:pPr>
            <w:r>
              <w:rPr>
                <w:sz w:val="16"/>
              </w:rPr>
              <w:t>PT</w:t>
            </w: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spacing w:before="58"/>
              <w:ind w:left="97"/>
              <w:rPr>
                <w:rFonts w:ascii="Wingdings" w:hAnsi="Wingdings"/>
                <w:sz w:val="16"/>
              </w:rPr>
            </w:pPr>
            <w:r>
              <w:rPr>
                <w:rFonts w:ascii="Wingdings" w:hAnsi="Wingdings"/>
                <w:w w:val="100"/>
                <w:sz w:val="16"/>
              </w:rPr>
              <w:t></w:t>
            </w:r>
          </w:p>
        </w:tc>
        <w:tc>
          <w:tcPr>
            <w:tcW w:w="386" w:type="dxa"/>
          </w:tcPr>
          <w:p>
            <w:pPr>
              <w:pStyle w:val="TableParagraph"/>
              <w:rPr>
                <w:rFonts w:ascii="Times New Roman"/>
                <w:sz w:val="16"/>
              </w:rPr>
            </w:pPr>
          </w:p>
        </w:tc>
      </w:tr>
      <w:tr>
        <w:trPr>
          <w:trHeight w:val="378" w:hRule="atLeast"/>
        </w:trPr>
        <w:tc>
          <w:tcPr>
            <w:tcW w:w="11229" w:type="dxa"/>
          </w:tcPr>
          <w:p>
            <w:pPr>
              <w:pStyle w:val="TableParagraph"/>
              <w:spacing w:before="57"/>
              <w:ind w:left="57"/>
              <w:rPr>
                <w:sz w:val="16"/>
              </w:rPr>
            </w:pPr>
            <w:r>
              <w:rPr>
                <w:sz w:val="16"/>
              </w:rPr>
              <w:t>6.03</w:t>
            </w:r>
            <w:r>
              <w:rPr>
                <w:spacing w:val="-2"/>
                <w:sz w:val="16"/>
              </w:rPr>
              <w:t> </w:t>
            </w:r>
            <w:r>
              <w:rPr>
                <w:sz w:val="16"/>
              </w:rPr>
              <w:t>Change</w:t>
            </w:r>
            <w:r>
              <w:rPr>
                <w:spacing w:val="-5"/>
                <w:sz w:val="16"/>
              </w:rPr>
              <w:t> </w:t>
            </w:r>
            <w:r>
              <w:rPr>
                <w:sz w:val="16"/>
              </w:rPr>
              <w:t>in</w:t>
            </w:r>
            <w:r>
              <w:rPr>
                <w:spacing w:val="-3"/>
                <w:sz w:val="16"/>
              </w:rPr>
              <w:t> </w:t>
            </w:r>
            <w:r>
              <w:rPr>
                <w:sz w:val="16"/>
              </w:rPr>
              <w:t>MedsIndex</w:t>
            </w:r>
            <w:r>
              <w:rPr>
                <w:spacing w:val="-4"/>
                <w:sz w:val="16"/>
              </w:rPr>
              <w:t> </w:t>
            </w:r>
            <w:r>
              <w:rPr>
                <w:sz w:val="16"/>
              </w:rPr>
              <w:t>score -</w:t>
            </w:r>
            <w:r>
              <w:rPr>
                <w:spacing w:val="-7"/>
                <w:sz w:val="16"/>
              </w:rPr>
              <w:t> </w:t>
            </w:r>
            <w:r>
              <w:rPr>
                <w:sz w:val="16"/>
              </w:rPr>
              <w:t>initial assessment</w:t>
            </w:r>
            <w:r>
              <w:rPr>
                <w:spacing w:val="-3"/>
                <w:sz w:val="16"/>
              </w:rPr>
              <w:t> </w:t>
            </w:r>
            <w:r>
              <w:rPr>
                <w:sz w:val="16"/>
              </w:rPr>
              <w:t>compared</w:t>
            </w:r>
            <w:r>
              <w:rPr>
                <w:spacing w:val="-6"/>
                <w:sz w:val="16"/>
              </w:rPr>
              <w:t> </w:t>
            </w:r>
            <w:r>
              <w:rPr>
                <w:sz w:val="16"/>
              </w:rPr>
              <w:t>with</w:t>
            </w:r>
            <w:r>
              <w:rPr>
                <w:spacing w:val="-1"/>
                <w:sz w:val="16"/>
              </w:rPr>
              <w:t> </w:t>
            </w:r>
            <w:r>
              <w:rPr>
                <w:sz w:val="16"/>
              </w:rPr>
              <w:t>follow-up</w:t>
            </w:r>
            <w:r>
              <w:rPr>
                <w:spacing w:val="-1"/>
                <w:sz w:val="16"/>
              </w:rPr>
              <w:t> </w:t>
            </w:r>
            <w:r>
              <w:rPr>
                <w:sz w:val="16"/>
              </w:rPr>
              <w:t>review.</w:t>
            </w:r>
          </w:p>
        </w:tc>
        <w:tc>
          <w:tcPr>
            <w:tcW w:w="1049" w:type="dxa"/>
          </w:tcPr>
          <w:p>
            <w:pPr>
              <w:pStyle w:val="TableParagraph"/>
              <w:spacing w:before="57"/>
              <w:ind w:left="55" w:right="46"/>
              <w:jc w:val="center"/>
              <w:rPr>
                <w:sz w:val="16"/>
              </w:rPr>
            </w:pPr>
            <w:r>
              <w:rPr>
                <w:sz w:val="16"/>
              </w:rPr>
              <w:t>PT</w:t>
            </w: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spacing w:before="57"/>
              <w:ind w:left="97"/>
              <w:rPr>
                <w:rFonts w:ascii="Wingdings" w:hAnsi="Wingdings"/>
                <w:sz w:val="16"/>
              </w:rPr>
            </w:pPr>
            <w:r>
              <w:rPr>
                <w:rFonts w:ascii="Wingdings" w:hAnsi="Wingdings"/>
                <w:w w:val="100"/>
                <w:sz w:val="16"/>
              </w:rPr>
              <w:t></w:t>
            </w:r>
          </w:p>
        </w:tc>
        <w:tc>
          <w:tcPr>
            <w:tcW w:w="386" w:type="dxa"/>
          </w:tcPr>
          <w:p>
            <w:pPr>
              <w:pStyle w:val="TableParagraph"/>
              <w:rPr>
                <w:rFonts w:ascii="Times New Roman"/>
                <w:sz w:val="16"/>
              </w:rPr>
            </w:pPr>
          </w:p>
        </w:tc>
      </w:tr>
      <w:tr>
        <w:trPr>
          <w:trHeight w:val="381" w:hRule="atLeast"/>
        </w:trPr>
        <w:tc>
          <w:tcPr>
            <w:tcW w:w="11229" w:type="dxa"/>
          </w:tcPr>
          <w:p>
            <w:pPr>
              <w:pStyle w:val="TableParagraph"/>
              <w:spacing w:before="57"/>
              <w:ind w:left="57"/>
              <w:rPr>
                <w:sz w:val="16"/>
              </w:rPr>
            </w:pPr>
            <w:r>
              <w:rPr>
                <w:sz w:val="16"/>
              </w:rPr>
              <w:t>6.04</w:t>
            </w:r>
            <w:r>
              <w:rPr>
                <w:spacing w:val="-3"/>
                <w:sz w:val="16"/>
              </w:rPr>
              <w:t> </w:t>
            </w:r>
            <w:r>
              <w:rPr>
                <w:sz w:val="16"/>
              </w:rPr>
              <w:t>Change</w:t>
            </w:r>
            <w:r>
              <w:rPr>
                <w:spacing w:val="-6"/>
                <w:sz w:val="16"/>
              </w:rPr>
              <w:t> </w:t>
            </w:r>
            <w:r>
              <w:rPr>
                <w:sz w:val="16"/>
              </w:rPr>
              <w:t>in</w:t>
            </w:r>
            <w:r>
              <w:rPr>
                <w:spacing w:val="-3"/>
                <w:sz w:val="16"/>
              </w:rPr>
              <w:t> </w:t>
            </w:r>
            <w:r>
              <w:rPr>
                <w:sz w:val="16"/>
              </w:rPr>
              <w:t>patients’</w:t>
            </w:r>
            <w:r>
              <w:rPr>
                <w:spacing w:val="-4"/>
                <w:sz w:val="16"/>
              </w:rPr>
              <w:t> </w:t>
            </w:r>
            <w:r>
              <w:rPr>
                <w:sz w:val="16"/>
              </w:rPr>
              <w:t>adherence to</w:t>
            </w:r>
            <w:r>
              <w:rPr>
                <w:spacing w:val="-4"/>
                <w:sz w:val="16"/>
              </w:rPr>
              <w:t> </w:t>
            </w:r>
            <w:r>
              <w:rPr>
                <w:sz w:val="16"/>
              </w:rPr>
              <w:t>medication</w:t>
            </w:r>
            <w:r>
              <w:rPr>
                <w:spacing w:val="-2"/>
                <w:sz w:val="16"/>
              </w:rPr>
              <w:t> </w:t>
            </w:r>
            <w:r>
              <w:rPr>
                <w:sz w:val="16"/>
              </w:rPr>
              <w:t>(pharmacists' assessment)</w:t>
            </w:r>
            <w:r>
              <w:rPr>
                <w:spacing w:val="-5"/>
                <w:sz w:val="16"/>
              </w:rPr>
              <w:t> </w:t>
            </w:r>
            <w:r>
              <w:rPr>
                <w:sz w:val="16"/>
              </w:rPr>
              <w:t>-</w:t>
            </w:r>
            <w:r>
              <w:rPr>
                <w:spacing w:val="-3"/>
                <w:sz w:val="16"/>
              </w:rPr>
              <w:t> </w:t>
            </w:r>
            <w:r>
              <w:rPr>
                <w:sz w:val="16"/>
              </w:rPr>
              <w:t>initial</w:t>
            </w:r>
            <w:r>
              <w:rPr>
                <w:spacing w:val="-2"/>
                <w:sz w:val="16"/>
              </w:rPr>
              <w:t> </w:t>
            </w:r>
            <w:r>
              <w:rPr>
                <w:sz w:val="16"/>
              </w:rPr>
              <w:t>assessment</w:t>
            </w:r>
            <w:r>
              <w:rPr>
                <w:spacing w:val="-4"/>
                <w:sz w:val="16"/>
              </w:rPr>
              <w:t> </w:t>
            </w:r>
            <w:r>
              <w:rPr>
                <w:sz w:val="16"/>
              </w:rPr>
              <w:t>compared</w:t>
            </w:r>
            <w:r>
              <w:rPr>
                <w:spacing w:val="-6"/>
                <w:sz w:val="16"/>
              </w:rPr>
              <w:t> </w:t>
            </w:r>
            <w:r>
              <w:rPr>
                <w:sz w:val="16"/>
              </w:rPr>
              <w:t>with</w:t>
            </w:r>
            <w:r>
              <w:rPr>
                <w:spacing w:val="-4"/>
                <w:sz w:val="16"/>
              </w:rPr>
              <w:t> </w:t>
            </w:r>
            <w:r>
              <w:rPr>
                <w:sz w:val="16"/>
              </w:rPr>
              <w:t>follow-up</w:t>
            </w:r>
            <w:r>
              <w:rPr>
                <w:spacing w:val="-3"/>
                <w:sz w:val="16"/>
              </w:rPr>
              <w:t> </w:t>
            </w:r>
            <w:r>
              <w:rPr>
                <w:sz w:val="16"/>
              </w:rPr>
              <w:t>review.</w:t>
            </w:r>
          </w:p>
        </w:tc>
        <w:tc>
          <w:tcPr>
            <w:tcW w:w="1049" w:type="dxa"/>
          </w:tcPr>
          <w:p>
            <w:pPr>
              <w:pStyle w:val="TableParagraph"/>
              <w:spacing w:before="57"/>
              <w:ind w:left="55" w:right="46"/>
              <w:jc w:val="center"/>
              <w:rPr>
                <w:sz w:val="16"/>
              </w:rPr>
            </w:pPr>
            <w:r>
              <w:rPr>
                <w:sz w:val="16"/>
              </w:rPr>
              <w:t>PT</w:t>
            </w: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spacing w:before="57"/>
              <w:ind w:left="97"/>
              <w:rPr>
                <w:rFonts w:ascii="Wingdings" w:hAnsi="Wingdings"/>
                <w:sz w:val="16"/>
              </w:rPr>
            </w:pPr>
            <w:r>
              <w:rPr>
                <w:rFonts w:ascii="Wingdings" w:hAnsi="Wingdings"/>
                <w:w w:val="100"/>
                <w:sz w:val="16"/>
              </w:rPr>
              <w:t></w:t>
            </w:r>
          </w:p>
        </w:tc>
        <w:tc>
          <w:tcPr>
            <w:tcW w:w="386" w:type="dxa"/>
          </w:tcPr>
          <w:p>
            <w:pPr>
              <w:pStyle w:val="TableParagraph"/>
              <w:rPr>
                <w:rFonts w:ascii="Times New Roman"/>
                <w:sz w:val="16"/>
              </w:rPr>
            </w:pPr>
          </w:p>
        </w:tc>
      </w:tr>
      <w:tr>
        <w:trPr>
          <w:trHeight w:val="604" w:hRule="atLeast"/>
        </w:trPr>
        <w:tc>
          <w:tcPr>
            <w:tcW w:w="11229" w:type="dxa"/>
          </w:tcPr>
          <w:p>
            <w:pPr>
              <w:pStyle w:val="TableParagraph"/>
              <w:spacing w:line="276" w:lineRule="auto" w:before="57"/>
              <w:ind w:left="57"/>
              <w:rPr>
                <w:sz w:val="16"/>
              </w:rPr>
            </w:pPr>
            <w:r>
              <w:rPr>
                <w:sz w:val="16"/>
              </w:rPr>
              <w:t>6.05 Change in the proportion of patients who can be classified as meeting the criteria for psychotropic polypharmacy</w:t>
            </w:r>
            <w:r>
              <w:rPr>
                <w:position w:val="4"/>
                <w:sz w:val="10"/>
              </w:rPr>
              <w:t>1</w:t>
            </w:r>
            <w:r>
              <w:rPr>
                <w:sz w:val="16"/>
              </w:rPr>
              <w:t>, polypharmacy</w:t>
            </w:r>
            <w:r>
              <w:rPr>
                <w:position w:val="4"/>
                <w:sz w:val="10"/>
              </w:rPr>
              <w:t>1 </w:t>
            </w:r>
            <w:r>
              <w:rPr>
                <w:sz w:val="16"/>
              </w:rPr>
              <w:t>or</w:t>
            </w:r>
            <w:r>
              <w:rPr>
                <w:spacing w:val="-42"/>
                <w:sz w:val="16"/>
              </w:rPr>
              <w:t> </w:t>
            </w:r>
            <w:r>
              <w:rPr>
                <w:sz w:val="16"/>
              </w:rPr>
              <w:t>hyperpolypharmacy</w:t>
            </w:r>
            <w:r>
              <w:rPr>
                <w:position w:val="4"/>
                <w:sz w:val="10"/>
              </w:rPr>
              <w:t>1</w:t>
            </w:r>
            <w:r>
              <w:rPr>
                <w:spacing w:val="16"/>
                <w:position w:val="4"/>
                <w:sz w:val="10"/>
              </w:rPr>
              <w:t> </w:t>
            </w:r>
            <w:r>
              <w:rPr>
                <w:sz w:val="16"/>
              </w:rPr>
              <w:t>-</w:t>
            </w:r>
            <w:r>
              <w:rPr>
                <w:spacing w:val="-5"/>
                <w:sz w:val="16"/>
              </w:rPr>
              <w:t> </w:t>
            </w:r>
            <w:r>
              <w:rPr>
                <w:sz w:val="16"/>
              </w:rPr>
              <w:t>initial</w:t>
            </w:r>
            <w:r>
              <w:rPr>
                <w:spacing w:val="2"/>
                <w:sz w:val="16"/>
              </w:rPr>
              <w:t> </w:t>
            </w:r>
            <w:r>
              <w:rPr>
                <w:sz w:val="16"/>
              </w:rPr>
              <w:t>assessment</w:t>
            </w:r>
            <w:r>
              <w:rPr>
                <w:spacing w:val="-1"/>
                <w:sz w:val="16"/>
              </w:rPr>
              <w:t> </w:t>
            </w:r>
            <w:r>
              <w:rPr>
                <w:sz w:val="16"/>
              </w:rPr>
              <w:t>compared</w:t>
            </w:r>
            <w:r>
              <w:rPr>
                <w:spacing w:val="-5"/>
                <w:sz w:val="16"/>
              </w:rPr>
              <w:t> </w:t>
            </w:r>
            <w:r>
              <w:rPr>
                <w:sz w:val="16"/>
              </w:rPr>
              <w:t>with</w:t>
            </w:r>
            <w:r>
              <w:rPr>
                <w:spacing w:val="-1"/>
                <w:sz w:val="16"/>
              </w:rPr>
              <w:t> </w:t>
            </w:r>
            <w:r>
              <w:rPr>
                <w:sz w:val="16"/>
              </w:rPr>
              <w:t>follow-up</w:t>
            </w:r>
            <w:r>
              <w:rPr>
                <w:spacing w:val="-1"/>
                <w:sz w:val="16"/>
              </w:rPr>
              <w:t> </w:t>
            </w:r>
            <w:r>
              <w:rPr>
                <w:sz w:val="16"/>
              </w:rPr>
              <w:t>review.</w:t>
            </w:r>
          </w:p>
        </w:tc>
        <w:tc>
          <w:tcPr>
            <w:tcW w:w="1049" w:type="dxa"/>
          </w:tcPr>
          <w:p>
            <w:pPr>
              <w:pStyle w:val="TableParagraph"/>
              <w:spacing w:before="57"/>
              <w:ind w:left="55" w:right="46"/>
              <w:jc w:val="center"/>
              <w:rPr>
                <w:sz w:val="16"/>
              </w:rPr>
            </w:pPr>
            <w:r>
              <w:rPr>
                <w:sz w:val="16"/>
              </w:rPr>
              <w:t>PT</w:t>
            </w: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spacing w:before="57"/>
              <w:ind w:left="97"/>
              <w:rPr>
                <w:rFonts w:ascii="Wingdings" w:hAnsi="Wingdings"/>
                <w:sz w:val="16"/>
              </w:rPr>
            </w:pPr>
            <w:r>
              <w:rPr>
                <w:rFonts w:ascii="Wingdings" w:hAnsi="Wingdings"/>
                <w:w w:val="100"/>
                <w:sz w:val="16"/>
              </w:rPr>
              <w:t></w:t>
            </w:r>
          </w:p>
        </w:tc>
        <w:tc>
          <w:tcPr>
            <w:tcW w:w="386" w:type="dxa"/>
          </w:tcPr>
          <w:p>
            <w:pPr>
              <w:pStyle w:val="TableParagraph"/>
              <w:rPr>
                <w:rFonts w:ascii="Times New Roman"/>
                <w:sz w:val="16"/>
              </w:rPr>
            </w:pPr>
          </w:p>
        </w:tc>
      </w:tr>
      <w:tr>
        <w:trPr>
          <w:trHeight w:val="604" w:hRule="atLeast"/>
        </w:trPr>
        <w:tc>
          <w:tcPr>
            <w:tcW w:w="11229" w:type="dxa"/>
          </w:tcPr>
          <w:p>
            <w:pPr>
              <w:pStyle w:val="TableParagraph"/>
              <w:spacing w:line="276" w:lineRule="auto" w:before="57"/>
              <w:ind w:left="57" w:right="85"/>
              <w:rPr>
                <w:sz w:val="16"/>
              </w:rPr>
            </w:pPr>
            <w:r>
              <w:rPr>
                <w:sz w:val="16"/>
              </w:rPr>
              <w:t>6.06 Change in pharmacist’s observation of the patient’s achievement of each of the agreed medication management goals at the follow up</w:t>
            </w:r>
            <w:r>
              <w:rPr>
                <w:spacing w:val="-42"/>
                <w:sz w:val="16"/>
              </w:rPr>
              <w:t> </w:t>
            </w:r>
            <w:r>
              <w:rPr>
                <w:sz w:val="16"/>
              </w:rPr>
              <w:t>review.</w:t>
            </w:r>
          </w:p>
        </w:tc>
        <w:tc>
          <w:tcPr>
            <w:tcW w:w="1049" w:type="dxa"/>
          </w:tcPr>
          <w:p>
            <w:pPr>
              <w:pStyle w:val="TableParagraph"/>
              <w:spacing w:before="57"/>
              <w:ind w:left="55" w:right="46"/>
              <w:jc w:val="center"/>
              <w:rPr>
                <w:sz w:val="16"/>
              </w:rPr>
            </w:pPr>
            <w:r>
              <w:rPr>
                <w:sz w:val="16"/>
              </w:rPr>
              <w:t>PT</w:t>
            </w: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spacing w:before="57"/>
              <w:ind w:left="97"/>
              <w:rPr>
                <w:rFonts w:ascii="Wingdings" w:hAnsi="Wingdings"/>
                <w:sz w:val="16"/>
              </w:rPr>
            </w:pPr>
            <w:r>
              <w:rPr>
                <w:rFonts w:ascii="Wingdings" w:hAnsi="Wingdings"/>
                <w:w w:val="100"/>
                <w:sz w:val="16"/>
              </w:rPr>
              <w:t></w:t>
            </w:r>
          </w:p>
        </w:tc>
        <w:tc>
          <w:tcPr>
            <w:tcW w:w="386" w:type="dxa"/>
          </w:tcPr>
          <w:p>
            <w:pPr>
              <w:pStyle w:val="TableParagraph"/>
              <w:rPr>
                <w:rFonts w:ascii="Times New Roman"/>
                <w:sz w:val="16"/>
              </w:rPr>
            </w:pPr>
          </w:p>
        </w:tc>
      </w:tr>
      <w:tr>
        <w:trPr>
          <w:trHeight w:val="381" w:hRule="atLeast"/>
        </w:trPr>
        <w:tc>
          <w:tcPr>
            <w:tcW w:w="11229" w:type="dxa"/>
          </w:tcPr>
          <w:p>
            <w:pPr>
              <w:pStyle w:val="TableParagraph"/>
              <w:spacing w:before="58"/>
              <w:ind w:left="57"/>
              <w:rPr>
                <w:sz w:val="16"/>
              </w:rPr>
            </w:pPr>
            <w:r>
              <w:rPr>
                <w:sz w:val="16"/>
              </w:rPr>
              <w:t>6.07</w:t>
            </w:r>
            <w:r>
              <w:rPr>
                <w:spacing w:val="-3"/>
                <w:sz w:val="16"/>
              </w:rPr>
              <w:t> </w:t>
            </w:r>
            <w:r>
              <w:rPr>
                <w:sz w:val="16"/>
              </w:rPr>
              <w:t>Patients’</w:t>
            </w:r>
            <w:r>
              <w:rPr>
                <w:spacing w:val="-2"/>
                <w:sz w:val="16"/>
              </w:rPr>
              <w:t> </w:t>
            </w:r>
            <w:r>
              <w:rPr>
                <w:sz w:val="16"/>
              </w:rPr>
              <w:t>assessment</w:t>
            </w:r>
            <w:r>
              <w:rPr>
                <w:spacing w:val="-4"/>
                <w:sz w:val="16"/>
              </w:rPr>
              <w:t> </w:t>
            </w:r>
            <w:r>
              <w:rPr>
                <w:sz w:val="16"/>
              </w:rPr>
              <w:t>of</w:t>
            </w:r>
            <w:r>
              <w:rPr>
                <w:spacing w:val="-3"/>
                <w:sz w:val="16"/>
              </w:rPr>
              <w:t> </w:t>
            </w:r>
            <w:r>
              <w:rPr>
                <w:sz w:val="16"/>
              </w:rPr>
              <w:t>community</w:t>
            </w:r>
            <w:r>
              <w:rPr>
                <w:spacing w:val="-4"/>
                <w:sz w:val="16"/>
              </w:rPr>
              <w:t> </w:t>
            </w:r>
            <w:r>
              <w:rPr>
                <w:sz w:val="16"/>
              </w:rPr>
              <w:t>pharmacy</w:t>
            </w:r>
            <w:r>
              <w:rPr>
                <w:spacing w:val="-4"/>
                <w:sz w:val="16"/>
              </w:rPr>
              <w:t> </w:t>
            </w:r>
            <w:r>
              <w:rPr>
                <w:sz w:val="16"/>
              </w:rPr>
              <w:t>service</w:t>
            </w:r>
            <w:r>
              <w:rPr>
                <w:spacing w:val="-5"/>
                <w:sz w:val="16"/>
              </w:rPr>
              <w:t> </w:t>
            </w:r>
            <w:r>
              <w:rPr>
                <w:sz w:val="16"/>
              </w:rPr>
              <w:t>in</w:t>
            </w:r>
            <w:r>
              <w:rPr>
                <w:spacing w:val="-3"/>
                <w:sz w:val="16"/>
              </w:rPr>
              <w:t> </w:t>
            </w:r>
            <w:r>
              <w:rPr>
                <w:sz w:val="16"/>
              </w:rPr>
              <w:t>gaining</w:t>
            </w:r>
            <w:r>
              <w:rPr>
                <w:spacing w:val="-4"/>
                <w:sz w:val="16"/>
              </w:rPr>
              <w:t> </w:t>
            </w:r>
            <w:r>
              <w:rPr>
                <w:sz w:val="16"/>
              </w:rPr>
              <w:t>knowledge,</w:t>
            </w:r>
            <w:r>
              <w:rPr>
                <w:spacing w:val="-6"/>
                <w:sz w:val="16"/>
              </w:rPr>
              <w:t> </w:t>
            </w:r>
            <w:r>
              <w:rPr>
                <w:sz w:val="16"/>
              </w:rPr>
              <w:t>improving</w:t>
            </w:r>
            <w:r>
              <w:rPr>
                <w:spacing w:val="-2"/>
                <w:sz w:val="16"/>
              </w:rPr>
              <w:t> </w:t>
            </w:r>
            <w:r>
              <w:rPr>
                <w:sz w:val="16"/>
              </w:rPr>
              <w:t>confidence</w:t>
            </w:r>
            <w:r>
              <w:rPr>
                <w:spacing w:val="-3"/>
                <w:sz w:val="16"/>
              </w:rPr>
              <w:t> </w:t>
            </w:r>
            <w:r>
              <w:rPr>
                <w:sz w:val="16"/>
              </w:rPr>
              <w:t>and</w:t>
            </w:r>
            <w:r>
              <w:rPr>
                <w:spacing w:val="-2"/>
                <w:sz w:val="16"/>
              </w:rPr>
              <w:t> </w:t>
            </w:r>
            <w:r>
              <w:rPr>
                <w:sz w:val="16"/>
              </w:rPr>
              <w:t>competence</w:t>
            </w:r>
            <w:r>
              <w:rPr>
                <w:spacing w:val="-5"/>
                <w:sz w:val="16"/>
              </w:rPr>
              <w:t> </w:t>
            </w:r>
            <w:r>
              <w:rPr>
                <w:sz w:val="16"/>
              </w:rPr>
              <w:t>with</w:t>
            </w:r>
            <w:r>
              <w:rPr>
                <w:spacing w:val="-2"/>
                <w:sz w:val="16"/>
              </w:rPr>
              <w:t> </w:t>
            </w:r>
            <w:r>
              <w:rPr>
                <w:sz w:val="16"/>
              </w:rPr>
              <w:t>medications.</w:t>
            </w:r>
          </w:p>
        </w:tc>
        <w:tc>
          <w:tcPr>
            <w:tcW w:w="1049" w:type="dxa"/>
          </w:tcPr>
          <w:p>
            <w:pPr>
              <w:pStyle w:val="TableParagraph"/>
              <w:spacing w:before="58"/>
              <w:ind w:left="55" w:right="46"/>
              <w:jc w:val="center"/>
              <w:rPr>
                <w:sz w:val="16"/>
              </w:rPr>
            </w:pPr>
            <w:r>
              <w:rPr>
                <w:sz w:val="16"/>
              </w:rPr>
              <w:t>PT</w:t>
            </w: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spacing w:before="58"/>
              <w:ind w:left="97"/>
              <w:rPr>
                <w:rFonts w:ascii="Wingdings" w:hAnsi="Wingdings"/>
                <w:sz w:val="16"/>
              </w:rPr>
            </w:pPr>
            <w:r>
              <w:rPr>
                <w:rFonts w:ascii="Wingdings" w:hAnsi="Wingdings"/>
                <w:w w:val="100"/>
                <w:sz w:val="16"/>
              </w:rPr>
              <w:t></w:t>
            </w:r>
          </w:p>
        </w:tc>
        <w:tc>
          <w:tcPr>
            <w:tcW w:w="386" w:type="dxa"/>
          </w:tcPr>
          <w:p>
            <w:pPr>
              <w:pStyle w:val="TableParagraph"/>
              <w:rPr>
                <w:rFonts w:ascii="Times New Roman"/>
                <w:sz w:val="16"/>
              </w:rPr>
            </w:pPr>
          </w:p>
        </w:tc>
      </w:tr>
      <w:tr>
        <w:trPr>
          <w:trHeight w:val="604" w:hRule="atLeast"/>
        </w:trPr>
        <w:tc>
          <w:tcPr>
            <w:tcW w:w="11229" w:type="dxa"/>
          </w:tcPr>
          <w:p>
            <w:pPr>
              <w:pStyle w:val="TableParagraph"/>
              <w:spacing w:line="276" w:lineRule="auto" w:before="57"/>
              <w:ind w:left="57" w:right="377"/>
              <w:rPr>
                <w:sz w:val="16"/>
              </w:rPr>
            </w:pPr>
            <w:r>
              <w:rPr>
                <w:sz w:val="16"/>
              </w:rPr>
              <w:t>6.08 Themes identified in qualitative analysis of reports from patients, carers and families on their experiences in receiving the services of the</w:t>
            </w:r>
            <w:r>
              <w:rPr>
                <w:spacing w:val="-42"/>
                <w:sz w:val="16"/>
              </w:rPr>
              <w:t> </w:t>
            </w:r>
            <w:r>
              <w:rPr>
                <w:sz w:val="16"/>
              </w:rPr>
              <w:t>community</w:t>
            </w:r>
            <w:r>
              <w:rPr>
                <w:spacing w:val="-3"/>
                <w:sz w:val="16"/>
              </w:rPr>
              <w:t> </w:t>
            </w:r>
            <w:r>
              <w:rPr>
                <w:sz w:val="16"/>
              </w:rPr>
              <w:t>pharmacist.</w:t>
            </w:r>
          </w:p>
        </w:tc>
        <w:tc>
          <w:tcPr>
            <w:tcW w:w="1049" w:type="dxa"/>
          </w:tcPr>
          <w:p>
            <w:pPr>
              <w:pStyle w:val="TableParagraph"/>
              <w:spacing w:before="57"/>
              <w:ind w:left="55" w:right="46"/>
              <w:jc w:val="center"/>
              <w:rPr>
                <w:sz w:val="16"/>
              </w:rPr>
            </w:pPr>
            <w:r>
              <w:rPr>
                <w:sz w:val="16"/>
              </w:rPr>
              <w:t>PT</w:t>
            </w: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spacing w:before="57"/>
              <w:ind w:left="97"/>
              <w:rPr>
                <w:rFonts w:ascii="Wingdings" w:hAnsi="Wingdings"/>
                <w:sz w:val="16"/>
              </w:rPr>
            </w:pPr>
            <w:r>
              <w:rPr>
                <w:rFonts w:ascii="Wingdings" w:hAnsi="Wingdings"/>
                <w:w w:val="100"/>
                <w:sz w:val="16"/>
              </w:rPr>
              <w:t></w:t>
            </w:r>
          </w:p>
        </w:tc>
        <w:tc>
          <w:tcPr>
            <w:tcW w:w="386" w:type="dxa"/>
          </w:tcPr>
          <w:p>
            <w:pPr>
              <w:pStyle w:val="TableParagraph"/>
              <w:rPr>
                <w:rFonts w:ascii="Times New Roman"/>
                <w:sz w:val="16"/>
              </w:rPr>
            </w:pPr>
          </w:p>
        </w:tc>
      </w:tr>
      <w:tr>
        <w:trPr>
          <w:trHeight w:val="606" w:hRule="atLeast"/>
        </w:trPr>
        <w:tc>
          <w:tcPr>
            <w:tcW w:w="11229" w:type="dxa"/>
          </w:tcPr>
          <w:p>
            <w:pPr>
              <w:pStyle w:val="TableParagraph"/>
              <w:spacing w:line="276" w:lineRule="auto" w:before="57"/>
              <w:ind w:left="57" w:right="250"/>
              <w:rPr>
                <w:sz w:val="16"/>
              </w:rPr>
            </w:pPr>
            <w:r>
              <w:rPr>
                <w:sz w:val="16"/>
              </w:rPr>
              <w:t>6.09 Did patients referred to community pharmacists report an improved experience of care overall, including coordination of their care and</w:t>
            </w:r>
            <w:r>
              <w:rPr>
                <w:spacing w:val="-42"/>
                <w:sz w:val="16"/>
              </w:rPr>
              <w:t> </w:t>
            </w:r>
            <w:r>
              <w:rPr>
                <w:sz w:val="16"/>
              </w:rPr>
              <w:t>communication</w:t>
            </w:r>
            <w:r>
              <w:rPr>
                <w:spacing w:val="-5"/>
                <w:sz w:val="16"/>
              </w:rPr>
              <w:t> </w:t>
            </w:r>
            <w:r>
              <w:rPr>
                <w:sz w:val="16"/>
              </w:rPr>
              <w:t>with</w:t>
            </w:r>
            <w:r>
              <w:rPr>
                <w:spacing w:val="-1"/>
                <w:sz w:val="16"/>
              </w:rPr>
              <w:t> </w:t>
            </w:r>
            <w:r>
              <w:rPr>
                <w:sz w:val="16"/>
              </w:rPr>
              <w:t>their</w:t>
            </w:r>
            <w:r>
              <w:rPr>
                <w:spacing w:val="-2"/>
                <w:sz w:val="16"/>
              </w:rPr>
              <w:t> </w:t>
            </w:r>
            <w:r>
              <w:rPr>
                <w:sz w:val="16"/>
              </w:rPr>
              <w:t>HCH?</w:t>
            </w:r>
          </w:p>
        </w:tc>
        <w:tc>
          <w:tcPr>
            <w:tcW w:w="1049" w:type="dxa"/>
          </w:tcPr>
          <w:p>
            <w:pPr>
              <w:pStyle w:val="TableParagraph"/>
              <w:spacing w:before="57"/>
              <w:ind w:left="55" w:right="46"/>
              <w:jc w:val="center"/>
              <w:rPr>
                <w:sz w:val="16"/>
              </w:rPr>
            </w:pPr>
            <w:r>
              <w:rPr>
                <w:sz w:val="16"/>
              </w:rPr>
              <w:t>PT</w:t>
            </w: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spacing w:before="57"/>
              <w:ind w:left="97"/>
              <w:rPr>
                <w:rFonts w:ascii="Wingdings" w:hAnsi="Wingdings"/>
                <w:sz w:val="16"/>
              </w:rPr>
            </w:pPr>
            <w:r>
              <w:rPr>
                <w:rFonts w:ascii="Wingdings" w:hAnsi="Wingdings"/>
                <w:w w:val="100"/>
                <w:sz w:val="16"/>
              </w:rPr>
              <w:t></w:t>
            </w:r>
          </w:p>
        </w:tc>
        <w:tc>
          <w:tcPr>
            <w:tcW w:w="386" w:type="dxa"/>
          </w:tcPr>
          <w:p>
            <w:pPr>
              <w:pStyle w:val="TableParagraph"/>
              <w:rPr>
                <w:rFonts w:ascii="Times New Roman"/>
                <w:sz w:val="16"/>
              </w:rPr>
            </w:pPr>
          </w:p>
        </w:tc>
      </w:tr>
    </w:tbl>
    <w:p>
      <w:pPr>
        <w:spacing w:after="0"/>
        <w:rPr>
          <w:rFonts w:ascii="Times New Roman"/>
          <w:sz w:val="16"/>
        </w:rPr>
        <w:sectPr>
          <w:footerReference w:type="default" r:id="rId30"/>
          <w:pgSz w:w="16840" w:h="11910" w:orient="landscape"/>
          <w:pgMar w:footer="676" w:header="0" w:top="1100" w:bottom="860" w:left="1340" w:right="1320"/>
        </w:sectPr>
      </w:pPr>
    </w:p>
    <w:p>
      <w:pPr>
        <w:pStyle w:val="BodyText"/>
        <w:spacing w:before="2" w:after="1"/>
        <w:rPr>
          <w:b/>
          <w:sz w:val="27"/>
        </w:rPr>
      </w:pPr>
    </w:p>
    <w:tbl>
      <w:tblPr>
        <w:tblW w:w="0" w:type="auto"/>
        <w:jc w:val="left"/>
        <w:tblInd w:w="11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11229"/>
        <w:gridCol w:w="1049"/>
        <w:gridCol w:w="322"/>
        <w:gridCol w:w="322"/>
        <w:gridCol w:w="322"/>
        <w:gridCol w:w="322"/>
        <w:gridCol w:w="386"/>
      </w:tblGrid>
      <w:tr>
        <w:trPr>
          <w:trHeight w:val="1742" w:hRule="atLeast"/>
        </w:trPr>
        <w:tc>
          <w:tcPr>
            <w:tcW w:w="11229" w:type="dxa"/>
            <w:shd w:val="clear" w:color="auto" w:fill="003C79"/>
          </w:tcPr>
          <w:p>
            <w:pPr>
              <w:pStyle w:val="TableParagraph"/>
              <w:rPr>
                <w:b/>
                <w:sz w:val="20"/>
              </w:rPr>
            </w:pPr>
          </w:p>
          <w:p>
            <w:pPr>
              <w:pStyle w:val="TableParagraph"/>
              <w:rPr>
                <w:b/>
                <w:sz w:val="20"/>
              </w:rPr>
            </w:pPr>
          </w:p>
          <w:p>
            <w:pPr>
              <w:pStyle w:val="TableParagraph"/>
              <w:rPr>
                <w:b/>
                <w:sz w:val="23"/>
              </w:rPr>
            </w:pPr>
          </w:p>
          <w:p>
            <w:pPr>
              <w:pStyle w:val="TableParagraph"/>
              <w:ind w:left="5222" w:right="5214"/>
              <w:jc w:val="center"/>
              <w:rPr>
                <w:b/>
                <w:sz w:val="16"/>
              </w:rPr>
            </w:pPr>
            <w:r>
              <w:rPr>
                <w:b/>
                <w:color w:val="FFFFFF"/>
                <w:sz w:val="16"/>
              </w:rPr>
              <w:t>Measures</w:t>
            </w:r>
          </w:p>
        </w:tc>
        <w:tc>
          <w:tcPr>
            <w:tcW w:w="1049" w:type="dxa"/>
            <w:shd w:val="clear" w:color="auto" w:fill="003C79"/>
          </w:tcPr>
          <w:p>
            <w:pPr>
              <w:pStyle w:val="TableParagraph"/>
              <w:rPr>
                <w:b/>
                <w:sz w:val="23"/>
              </w:rPr>
            </w:pPr>
          </w:p>
          <w:p>
            <w:pPr>
              <w:pStyle w:val="TableParagraph"/>
              <w:spacing w:before="1"/>
              <w:ind w:left="55" w:right="46" w:hanging="3"/>
              <w:jc w:val="center"/>
              <w:rPr>
                <w:b/>
                <w:sz w:val="16"/>
              </w:rPr>
            </w:pPr>
            <w:r>
              <w:rPr>
                <w:b/>
                <w:color w:val="FFFFFF"/>
                <w:sz w:val="16"/>
              </w:rPr>
              <w:t>Level</w:t>
            </w:r>
            <w:r>
              <w:rPr>
                <w:b/>
                <w:color w:val="FFFFFF"/>
                <w:spacing w:val="1"/>
                <w:sz w:val="16"/>
              </w:rPr>
              <w:t> </w:t>
            </w:r>
            <w:r>
              <w:rPr>
                <w:b/>
                <w:color w:val="FFFFFF"/>
                <w:sz w:val="16"/>
              </w:rPr>
              <w:t>PR=Program</w:t>
            </w:r>
            <w:r>
              <w:rPr>
                <w:b/>
                <w:color w:val="FFFFFF"/>
                <w:spacing w:val="-42"/>
                <w:sz w:val="16"/>
              </w:rPr>
              <w:t> </w:t>
            </w:r>
            <w:r>
              <w:rPr>
                <w:b/>
                <w:color w:val="FFFFFF"/>
                <w:sz w:val="16"/>
              </w:rPr>
              <w:t>PH/C=</w:t>
            </w:r>
          </w:p>
          <w:p>
            <w:pPr>
              <w:pStyle w:val="TableParagraph"/>
              <w:ind w:left="55" w:right="48"/>
              <w:jc w:val="center"/>
              <w:rPr>
                <w:b/>
                <w:sz w:val="16"/>
              </w:rPr>
            </w:pPr>
            <w:r>
              <w:rPr>
                <w:b/>
                <w:color w:val="FFFFFF"/>
                <w:sz w:val="16"/>
              </w:rPr>
              <w:t>Pharmacist/</w:t>
            </w:r>
            <w:r>
              <w:rPr>
                <w:b/>
                <w:color w:val="FFFFFF"/>
                <w:spacing w:val="-42"/>
                <w:sz w:val="16"/>
              </w:rPr>
              <w:t> </w:t>
            </w:r>
            <w:r>
              <w:rPr>
                <w:b/>
                <w:color w:val="FFFFFF"/>
                <w:sz w:val="16"/>
              </w:rPr>
              <w:t>practice</w:t>
            </w:r>
            <w:r>
              <w:rPr>
                <w:b/>
                <w:color w:val="FFFFFF"/>
                <w:spacing w:val="1"/>
                <w:sz w:val="16"/>
              </w:rPr>
              <w:t> </w:t>
            </w:r>
            <w:r>
              <w:rPr>
                <w:b/>
                <w:color w:val="FFFFFF"/>
                <w:sz w:val="16"/>
              </w:rPr>
              <w:t>PT=Patient</w:t>
            </w:r>
          </w:p>
        </w:tc>
        <w:tc>
          <w:tcPr>
            <w:tcW w:w="322" w:type="dxa"/>
            <w:shd w:val="clear" w:color="auto" w:fill="003C79"/>
            <w:textDirection w:val="btLr"/>
          </w:tcPr>
          <w:p>
            <w:pPr>
              <w:pStyle w:val="TableParagraph"/>
              <w:spacing w:before="62"/>
              <w:ind w:left="620" w:right="621"/>
              <w:jc w:val="center"/>
              <w:rPr>
                <w:b/>
                <w:sz w:val="16"/>
              </w:rPr>
            </w:pPr>
            <w:r>
              <w:rPr>
                <w:b/>
                <w:color w:val="FFFFFF"/>
                <w:sz w:val="16"/>
              </w:rPr>
              <w:t>Inputs</w:t>
            </w:r>
          </w:p>
        </w:tc>
        <w:tc>
          <w:tcPr>
            <w:tcW w:w="322" w:type="dxa"/>
            <w:shd w:val="clear" w:color="auto" w:fill="003C79"/>
            <w:textDirection w:val="btLr"/>
          </w:tcPr>
          <w:p>
            <w:pPr>
              <w:pStyle w:val="TableParagraph"/>
              <w:spacing w:before="61"/>
              <w:ind w:left="522"/>
              <w:rPr>
                <w:b/>
                <w:sz w:val="16"/>
              </w:rPr>
            </w:pPr>
            <w:r>
              <w:rPr>
                <w:b/>
                <w:color w:val="FFFFFF"/>
                <w:sz w:val="16"/>
              </w:rPr>
              <w:t>Activities</w:t>
            </w:r>
          </w:p>
        </w:tc>
        <w:tc>
          <w:tcPr>
            <w:tcW w:w="322" w:type="dxa"/>
            <w:shd w:val="clear" w:color="auto" w:fill="003C79"/>
            <w:textDirection w:val="btLr"/>
          </w:tcPr>
          <w:p>
            <w:pPr>
              <w:pStyle w:val="TableParagraph"/>
              <w:spacing w:before="61"/>
              <w:ind w:left="570"/>
              <w:rPr>
                <w:b/>
                <w:sz w:val="16"/>
              </w:rPr>
            </w:pPr>
            <w:r>
              <w:rPr>
                <w:b/>
                <w:color w:val="FFFFFF"/>
                <w:sz w:val="16"/>
              </w:rPr>
              <w:t>Outputs</w:t>
            </w:r>
          </w:p>
        </w:tc>
        <w:tc>
          <w:tcPr>
            <w:tcW w:w="322" w:type="dxa"/>
            <w:shd w:val="clear" w:color="auto" w:fill="003C79"/>
            <w:textDirection w:val="btLr"/>
          </w:tcPr>
          <w:p>
            <w:pPr>
              <w:pStyle w:val="TableParagraph"/>
              <w:spacing w:before="61"/>
              <w:ind w:left="369"/>
              <w:rPr>
                <w:b/>
                <w:sz w:val="16"/>
              </w:rPr>
            </w:pPr>
            <w:r>
              <w:rPr>
                <w:b/>
                <w:color w:val="FFFFFF"/>
                <w:sz w:val="16"/>
              </w:rPr>
              <w:t>Outcomes</w:t>
            </w:r>
            <w:r>
              <w:rPr>
                <w:b/>
                <w:color w:val="FFFFFF"/>
                <w:spacing w:val="-2"/>
                <w:sz w:val="16"/>
              </w:rPr>
              <w:t> </w:t>
            </w:r>
            <w:r>
              <w:rPr>
                <w:b/>
                <w:color w:val="FFFFFF"/>
                <w:sz w:val="16"/>
              </w:rPr>
              <w:t>ST</w:t>
            </w:r>
          </w:p>
        </w:tc>
        <w:tc>
          <w:tcPr>
            <w:tcW w:w="386" w:type="dxa"/>
            <w:shd w:val="clear" w:color="auto" w:fill="003C79"/>
            <w:textDirection w:val="btLr"/>
          </w:tcPr>
          <w:p>
            <w:pPr>
              <w:pStyle w:val="TableParagraph"/>
              <w:spacing w:before="94"/>
              <w:ind w:left="338"/>
              <w:rPr>
                <w:b/>
                <w:sz w:val="16"/>
              </w:rPr>
            </w:pPr>
            <w:r>
              <w:rPr>
                <w:b/>
                <w:color w:val="FFFFFF"/>
                <w:sz w:val="16"/>
              </w:rPr>
              <w:t>Outcomes</w:t>
            </w:r>
            <w:r>
              <w:rPr>
                <w:b/>
                <w:color w:val="FFFFFF"/>
                <w:spacing w:val="-1"/>
                <w:sz w:val="16"/>
              </w:rPr>
              <w:t> </w:t>
            </w:r>
            <w:r>
              <w:rPr>
                <w:b/>
                <w:color w:val="FFFFFF"/>
                <w:sz w:val="16"/>
              </w:rPr>
              <w:t>MT</w:t>
            </w:r>
          </w:p>
        </w:tc>
      </w:tr>
      <w:tr>
        <w:trPr>
          <w:trHeight w:val="381" w:hRule="atLeast"/>
        </w:trPr>
        <w:tc>
          <w:tcPr>
            <w:tcW w:w="13952" w:type="dxa"/>
            <w:gridSpan w:val="7"/>
            <w:shd w:val="clear" w:color="auto" w:fill="F1F1F1"/>
          </w:tcPr>
          <w:p>
            <w:pPr>
              <w:pStyle w:val="TableParagraph"/>
              <w:spacing w:before="57"/>
              <w:ind w:left="57"/>
              <w:rPr>
                <w:b/>
                <w:sz w:val="16"/>
              </w:rPr>
            </w:pPr>
            <w:r>
              <w:rPr>
                <w:b/>
                <w:sz w:val="16"/>
              </w:rPr>
              <w:t>Key</w:t>
            </w:r>
            <w:r>
              <w:rPr>
                <w:b/>
                <w:spacing w:val="-5"/>
                <w:sz w:val="16"/>
              </w:rPr>
              <w:t> </w:t>
            </w:r>
            <w:r>
              <w:rPr>
                <w:b/>
                <w:sz w:val="16"/>
              </w:rPr>
              <w:t>question</w:t>
            </w:r>
            <w:r>
              <w:rPr>
                <w:b/>
                <w:spacing w:val="-6"/>
                <w:sz w:val="16"/>
              </w:rPr>
              <w:t> </w:t>
            </w:r>
            <w:r>
              <w:rPr>
                <w:b/>
                <w:sz w:val="16"/>
              </w:rPr>
              <w:t>7:</w:t>
            </w:r>
            <w:r>
              <w:rPr>
                <w:b/>
                <w:spacing w:val="-3"/>
                <w:sz w:val="16"/>
              </w:rPr>
              <w:t> </w:t>
            </w:r>
            <w:r>
              <w:rPr>
                <w:b/>
                <w:sz w:val="16"/>
              </w:rPr>
              <w:t>What</w:t>
            </w:r>
            <w:r>
              <w:rPr>
                <w:b/>
                <w:spacing w:val="-5"/>
                <w:sz w:val="16"/>
              </w:rPr>
              <w:t> </w:t>
            </w:r>
            <w:r>
              <w:rPr>
                <w:b/>
                <w:sz w:val="16"/>
              </w:rPr>
              <w:t>was</w:t>
            </w:r>
            <w:r>
              <w:rPr>
                <w:b/>
                <w:spacing w:val="-3"/>
                <w:sz w:val="16"/>
              </w:rPr>
              <w:t> </w:t>
            </w:r>
            <w:r>
              <w:rPr>
                <w:b/>
                <w:sz w:val="16"/>
              </w:rPr>
              <w:t>the</w:t>
            </w:r>
            <w:r>
              <w:rPr>
                <w:b/>
                <w:spacing w:val="-3"/>
                <w:sz w:val="16"/>
              </w:rPr>
              <w:t> </w:t>
            </w:r>
            <w:r>
              <w:rPr>
                <w:b/>
                <w:sz w:val="16"/>
              </w:rPr>
              <w:t>level</w:t>
            </w:r>
            <w:r>
              <w:rPr>
                <w:b/>
                <w:spacing w:val="-5"/>
                <w:sz w:val="16"/>
              </w:rPr>
              <w:t> </w:t>
            </w:r>
            <w:r>
              <w:rPr>
                <w:b/>
                <w:sz w:val="16"/>
              </w:rPr>
              <w:t>of</w:t>
            </w:r>
            <w:r>
              <w:rPr>
                <w:b/>
                <w:spacing w:val="-3"/>
                <w:sz w:val="16"/>
              </w:rPr>
              <w:t> </w:t>
            </w:r>
            <w:r>
              <w:rPr>
                <w:b/>
                <w:sz w:val="16"/>
              </w:rPr>
              <w:t>engagement</w:t>
            </w:r>
            <w:r>
              <w:rPr>
                <w:b/>
                <w:spacing w:val="-3"/>
                <w:sz w:val="16"/>
              </w:rPr>
              <w:t> </w:t>
            </w:r>
            <w:r>
              <w:rPr>
                <w:b/>
                <w:sz w:val="16"/>
              </w:rPr>
              <w:t>between</w:t>
            </w:r>
            <w:r>
              <w:rPr>
                <w:b/>
                <w:spacing w:val="-5"/>
                <w:sz w:val="16"/>
              </w:rPr>
              <w:t> </w:t>
            </w:r>
            <w:r>
              <w:rPr>
                <w:b/>
                <w:sz w:val="16"/>
              </w:rPr>
              <w:t>HCH</w:t>
            </w:r>
            <w:r>
              <w:rPr>
                <w:b/>
                <w:spacing w:val="-1"/>
                <w:sz w:val="16"/>
              </w:rPr>
              <w:t> </w:t>
            </w:r>
            <w:r>
              <w:rPr>
                <w:b/>
                <w:sz w:val="16"/>
              </w:rPr>
              <w:t>practices</w:t>
            </w:r>
            <w:r>
              <w:rPr>
                <w:b/>
                <w:spacing w:val="-4"/>
                <w:sz w:val="16"/>
              </w:rPr>
              <w:t> </w:t>
            </w:r>
            <w:r>
              <w:rPr>
                <w:b/>
                <w:sz w:val="16"/>
              </w:rPr>
              <w:t>and</w:t>
            </w:r>
            <w:r>
              <w:rPr>
                <w:b/>
                <w:spacing w:val="-4"/>
                <w:sz w:val="16"/>
              </w:rPr>
              <w:t> </w:t>
            </w:r>
            <w:r>
              <w:rPr>
                <w:b/>
                <w:sz w:val="16"/>
              </w:rPr>
              <w:t>community</w:t>
            </w:r>
            <w:r>
              <w:rPr>
                <w:b/>
                <w:spacing w:val="-1"/>
                <w:sz w:val="16"/>
              </w:rPr>
              <w:t> </w:t>
            </w:r>
            <w:r>
              <w:rPr>
                <w:b/>
                <w:sz w:val="16"/>
              </w:rPr>
              <w:t>pharmacy</w:t>
            </w:r>
            <w:r>
              <w:rPr>
                <w:b/>
                <w:spacing w:val="-3"/>
                <w:sz w:val="16"/>
              </w:rPr>
              <w:t> </w:t>
            </w:r>
            <w:r>
              <w:rPr>
                <w:b/>
                <w:sz w:val="16"/>
              </w:rPr>
              <w:t>(care</w:t>
            </w:r>
            <w:r>
              <w:rPr>
                <w:b/>
                <w:spacing w:val="-1"/>
                <w:sz w:val="16"/>
              </w:rPr>
              <w:t> </w:t>
            </w:r>
            <w:r>
              <w:rPr>
                <w:b/>
                <w:sz w:val="16"/>
              </w:rPr>
              <w:t>coordination)?</w:t>
            </w:r>
          </w:p>
        </w:tc>
      </w:tr>
      <w:tr>
        <w:trPr>
          <w:trHeight w:val="605" w:hRule="atLeast"/>
        </w:trPr>
        <w:tc>
          <w:tcPr>
            <w:tcW w:w="11229" w:type="dxa"/>
          </w:tcPr>
          <w:p>
            <w:pPr>
              <w:pStyle w:val="TableParagraph"/>
              <w:spacing w:before="58"/>
              <w:ind w:left="57"/>
              <w:rPr>
                <w:sz w:val="16"/>
              </w:rPr>
            </w:pPr>
            <w:r>
              <w:rPr>
                <w:sz w:val="16"/>
              </w:rPr>
              <w:t>7.01</w:t>
            </w:r>
            <w:r>
              <w:rPr>
                <w:spacing w:val="-3"/>
                <w:sz w:val="16"/>
              </w:rPr>
              <w:t> </w:t>
            </w:r>
            <w:r>
              <w:rPr>
                <w:sz w:val="16"/>
              </w:rPr>
              <w:t>Number</w:t>
            </w:r>
            <w:r>
              <w:rPr>
                <w:spacing w:val="-4"/>
                <w:sz w:val="16"/>
              </w:rPr>
              <w:t> </w:t>
            </w:r>
            <w:r>
              <w:rPr>
                <w:sz w:val="16"/>
              </w:rPr>
              <w:t>of</w:t>
            </w:r>
            <w:r>
              <w:rPr>
                <w:spacing w:val="-3"/>
                <w:sz w:val="16"/>
              </w:rPr>
              <w:t> </w:t>
            </w:r>
            <w:r>
              <w:rPr>
                <w:sz w:val="16"/>
              </w:rPr>
              <w:t>pharmacists</w:t>
            </w:r>
            <w:r>
              <w:rPr>
                <w:spacing w:val="-1"/>
                <w:sz w:val="16"/>
              </w:rPr>
              <w:t> </w:t>
            </w:r>
            <w:r>
              <w:rPr>
                <w:sz w:val="16"/>
              </w:rPr>
              <w:t>verbally</w:t>
            </w:r>
            <w:r>
              <w:rPr>
                <w:spacing w:val="-4"/>
                <w:sz w:val="16"/>
              </w:rPr>
              <w:t> </w:t>
            </w:r>
            <w:r>
              <w:rPr>
                <w:sz w:val="16"/>
              </w:rPr>
              <w:t>consulting</w:t>
            </w:r>
            <w:r>
              <w:rPr>
                <w:spacing w:val="-4"/>
                <w:sz w:val="16"/>
              </w:rPr>
              <w:t> </w:t>
            </w:r>
            <w:r>
              <w:rPr>
                <w:sz w:val="16"/>
              </w:rPr>
              <w:t>HCH/</w:t>
            </w:r>
            <w:r>
              <w:rPr>
                <w:spacing w:val="-2"/>
                <w:sz w:val="16"/>
              </w:rPr>
              <w:t> </w:t>
            </w:r>
            <w:r>
              <w:rPr>
                <w:sz w:val="16"/>
              </w:rPr>
              <w:t>GP</w:t>
            </w:r>
            <w:r>
              <w:rPr>
                <w:spacing w:val="-3"/>
                <w:sz w:val="16"/>
              </w:rPr>
              <w:t> </w:t>
            </w:r>
            <w:r>
              <w:rPr>
                <w:sz w:val="16"/>
              </w:rPr>
              <w:t>about</w:t>
            </w:r>
            <w:r>
              <w:rPr>
                <w:spacing w:val="-3"/>
                <w:sz w:val="16"/>
              </w:rPr>
              <w:t> </w:t>
            </w:r>
            <w:r>
              <w:rPr>
                <w:sz w:val="16"/>
              </w:rPr>
              <w:t>the patient,</w:t>
            </w:r>
            <w:r>
              <w:rPr>
                <w:spacing w:val="-3"/>
                <w:sz w:val="16"/>
              </w:rPr>
              <w:t> </w:t>
            </w:r>
            <w:r>
              <w:rPr>
                <w:sz w:val="16"/>
              </w:rPr>
              <w:t>participating</w:t>
            </w:r>
            <w:r>
              <w:rPr>
                <w:spacing w:val="-6"/>
                <w:sz w:val="16"/>
              </w:rPr>
              <w:t> </w:t>
            </w:r>
            <w:r>
              <w:rPr>
                <w:sz w:val="16"/>
              </w:rPr>
              <w:t>in team</w:t>
            </w:r>
            <w:r>
              <w:rPr>
                <w:spacing w:val="-1"/>
                <w:sz w:val="16"/>
              </w:rPr>
              <w:t> </w:t>
            </w:r>
            <w:r>
              <w:rPr>
                <w:sz w:val="16"/>
              </w:rPr>
              <w:t>care</w:t>
            </w:r>
            <w:r>
              <w:rPr>
                <w:spacing w:val="-3"/>
                <w:sz w:val="16"/>
              </w:rPr>
              <w:t> </w:t>
            </w:r>
            <w:r>
              <w:rPr>
                <w:sz w:val="16"/>
              </w:rPr>
              <w:t>meetings/</w:t>
            </w:r>
            <w:r>
              <w:rPr>
                <w:spacing w:val="-4"/>
                <w:sz w:val="16"/>
              </w:rPr>
              <w:t> </w:t>
            </w:r>
            <w:r>
              <w:rPr>
                <w:sz w:val="16"/>
              </w:rPr>
              <w:t>case conferences</w:t>
            </w:r>
            <w:r>
              <w:rPr>
                <w:spacing w:val="-4"/>
                <w:sz w:val="16"/>
              </w:rPr>
              <w:t> </w:t>
            </w:r>
            <w:r>
              <w:rPr>
                <w:sz w:val="16"/>
              </w:rPr>
              <w:t>with</w:t>
            </w:r>
          </w:p>
          <w:p>
            <w:pPr>
              <w:pStyle w:val="TableParagraph"/>
              <w:spacing w:before="29"/>
              <w:ind w:left="57"/>
              <w:rPr>
                <w:sz w:val="16"/>
              </w:rPr>
            </w:pPr>
            <w:r>
              <w:rPr>
                <w:sz w:val="16"/>
              </w:rPr>
              <w:t>patients’</w:t>
            </w:r>
            <w:r>
              <w:rPr>
                <w:spacing w:val="-3"/>
                <w:sz w:val="16"/>
              </w:rPr>
              <w:t> </w:t>
            </w:r>
            <w:r>
              <w:rPr>
                <w:sz w:val="16"/>
              </w:rPr>
              <w:t>HCH,</w:t>
            </w:r>
            <w:r>
              <w:rPr>
                <w:spacing w:val="-4"/>
                <w:sz w:val="16"/>
              </w:rPr>
              <w:t> </w:t>
            </w:r>
            <w:r>
              <w:rPr>
                <w:sz w:val="16"/>
              </w:rPr>
              <w:t>or</w:t>
            </w:r>
            <w:r>
              <w:rPr>
                <w:spacing w:val="-4"/>
                <w:sz w:val="16"/>
              </w:rPr>
              <w:t> </w:t>
            </w:r>
            <w:r>
              <w:rPr>
                <w:sz w:val="16"/>
              </w:rPr>
              <w:t>advising</w:t>
            </w:r>
            <w:r>
              <w:rPr>
                <w:spacing w:val="-3"/>
                <w:sz w:val="16"/>
              </w:rPr>
              <w:t> </w:t>
            </w:r>
            <w:r>
              <w:rPr>
                <w:sz w:val="16"/>
              </w:rPr>
              <w:t>the</w:t>
            </w:r>
            <w:r>
              <w:rPr>
                <w:spacing w:val="-2"/>
                <w:sz w:val="16"/>
              </w:rPr>
              <w:t> </w:t>
            </w:r>
            <w:r>
              <w:rPr>
                <w:sz w:val="16"/>
              </w:rPr>
              <w:t>HCH/</w:t>
            </w:r>
            <w:r>
              <w:rPr>
                <w:spacing w:val="-1"/>
                <w:sz w:val="16"/>
              </w:rPr>
              <w:t> </w:t>
            </w:r>
            <w:r>
              <w:rPr>
                <w:sz w:val="16"/>
              </w:rPr>
              <w:t>GP</w:t>
            </w:r>
            <w:r>
              <w:rPr>
                <w:spacing w:val="-3"/>
                <w:sz w:val="16"/>
              </w:rPr>
              <w:t> </w:t>
            </w:r>
            <w:r>
              <w:rPr>
                <w:sz w:val="16"/>
              </w:rPr>
              <w:t>of</w:t>
            </w:r>
            <w:r>
              <w:rPr>
                <w:spacing w:val="-5"/>
                <w:sz w:val="16"/>
              </w:rPr>
              <w:t> </w:t>
            </w:r>
            <w:r>
              <w:rPr>
                <w:sz w:val="16"/>
              </w:rPr>
              <w:t>issues</w:t>
            </w:r>
            <w:r>
              <w:rPr>
                <w:spacing w:val="-1"/>
                <w:sz w:val="16"/>
              </w:rPr>
              <w:t> </w:t>
            </w:r>
            <w:r>
              <w:rPr>
                <w:sz w:val="16"/>
              </w:rPr>
              <w:t>through</w:t>
            </w:r>
            <w:r>
              <w:rPr>
                <w:spacing w:val="-3"/>
                <w:sz w:val="16"/>
              </w:rPr>
              <w:t> </w:t>
            </w:r>
            <w:r>
              <w:rPr>
                <w:sz w:val="16"/>
              </w:rPr>
              <w:t>other</w:t>
            </w:r>
            <w:r>
              <w:rPr>
                <w:spacing w:val="-3"/>
                <w:sz w:val="16"/>
              </w:rPr>
              <w:t> </w:t>
            </w:r>
            <w:r>
              <w:rPr>
                <w:sz w:val="16"/>
              </w:rPr>
              <w:t>communication.</w:t>
            </w:r>
          </w:p>
        </w:tc>
        <w:tc>
          <w:tcPr>
            <w:tcW w:w="1049" w:type="dxa"/>
          </w:tcPr>
          <w:p>
            <w:pPr>
              <w:pStyle w:val="TableParagraph"/>
              <w:spacing w:before="58"/>
              <w:ind w:left="55" w:right="45"/>
              <w:jc w:val="center"/>
              <w:rPr>
                <w:sz w:val="16"/>
              </w:rPr>
            </w:pPr>
            <w:r>
              <w:rPr>
                <w:sz w:val="16"/>
              </w:rPr>
              <w:t>PH/C</w:t>
            </w: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spacing w:before="57"/>
              <w:ind w:left="97"/>
              <w:rPr>
                <w:rFonts w:ascii="Wingdings" w:hAnsi="Wingdings"/>
                <w:sz w:val="16"/>
              </w:rPr>
            </w:pPr>
            <w:r>
              <w:rPr>
                <w:rFonts w:ascii="Wingdings" w:hAnsi="Wingdings"/>
                <w:w w:val="100"/>
                <w:sz w:val="16"/>
              </w:rPr>
              <w:t></w:t>
            </w:r>
          </w:p>
        </w:tc>
        <w:tc>
          <w:tcPr>
            <w:tcW w:w="322" w:type="dxa"/>
          </w:tcPr>
          <w:p>
            <w:pPr>
              <w:pStyle w:val="TableParagraph"/>
              <w:rPr>
                <w:rFonts w:ascii="Times New Roman"/>
                <w:sz w:val="16"/>
              </w:rPr>
            </w:pPr>
          </w:p>
        </w:tc>
        <w:tc>
          <w:tcPr>
            <w:tcW w:w="386" w:type="dxa"/>
          </w:tcPr>
          <w:p>
            <w:pPr>
              <w:pStyle w:val="TableParagraph"/>
              <w:rPr>
                <w:rFonts w:ascii="Times New Roman"/>
                <w:sz w:val="16"/>
              </w:rPr>
            </w:pPr>
          </w:p>
        </w:tc>
      </w:tr>
      <w:tr>
        <w:trPr>
          <w:trHeight w:val="378" w:hRule="atLeast"/>
        </w:trPr>
        <w:tc>
          <w:tcPr>
            <w:tcW w:w="11229" w:type="dxa"/>
          </w:tcPr>
          <w:p>
            <w:pPr>
              <w:pStyle w:val="TableParagraph"/>
              <w:spacing w:before="57"/>
              <w:ind w:left="57"/>
              <w:rPr>
                <w:sz w:val="16"/>
              </w:rPr>
            </w:pPr>
            <w:r>
              <w:rPr>
                <w:sz w:val="16"/>
              </w:rPr>
              <w:t>7.02</w:t>
            </w:r>
            <w:r>
              <w:rPr>
                <w:spacing w:val="-3"/>
                <w:sz w:val="16"/>
              </w:rPr>
              <w:t> </w:t>
            </w:r>
            <w:r>
              <w:rPr>
                <w:sz w:val="16"/>
              </w:rPr>
              <w:t>What</w:t>
            </w:r>
            <w:r>
              <w:rPr>
                <w:spacing w:val="-4"/>
                <w:sz w:val="16"/>
              </w:rPr>
              <w:t> </w:t>
            </w:r>
            <w:r>
              <w:rPr>
                <w:sz w:val="16"/>
              </w:rPr>
              <w:t>approaches</w:t>
            </w:r>
            <w:r>
              <w:rPr>
                <w:spacing w:val="-7"/>
                <w:sz w:val="16"/>
              </w:rPr>
              <w:t> </w:t>
            </w:r>
            <w:r>
              <w:rPr>
                <w:sz w:val="16"/>
              </w:rPr>
              <w:t>were</w:t>
            </w:r>
            <w:r>
              <w:rPr>
                <w:spacing w:val="-4"/>
                <w:sz w:val="16"/>
              </w:rPr>
              <w:t> </w:t>
            </w:r>
            <w:r>
              <w:rPr>
                <w:sz w:val="16"/>
              </w:rPr>
              <w:t>implemented</w:t>
            </w:r>
            <w:r>
              <w:rPr>
                <w:spacing w:val="-2"/>
                <w:sz w:val="16"/>
              </w:rPr>
              <w:t> </w:t>
            </w:r>
            <w:r>
              <w:rPr>
                <w:sz w:val="16"/>
              </w:rPr>
              <w:t>to</w:t>
            </w:r>
            <w:r>
              <w:rPr>
                <w:spacing w:val="-4"/>
                <w:sz w:val="16"/>
              </w:rPr>
              <w:t> </w:t>
            </w:r>
            <w:r>
              <w:rPr>
                <w:sz w:val="16"/>
              </w:rPr>
              <w:t>facilitate</w:t>
            </w:r>
            <w:r>
              <w:rPr>
                <w:spacing w:val="-1"/>
                <w:sz w:val="16"/>
              </w:rPr>
              <w:t> </w:t>
            </w:r>
            <w:r>
              <w:rPr>
                <w:sz w:val="16"/>
              </w:rPr>
              <w:t>collaboration</w:t>
            </w:r>
            <w:r>
              <w:rPr>
                <w:spacing w:val="-4"/>
                <w:sz w:val="16"/>
              </w:rPr>
              <w:t> </w:t>
            </w:r>
            <w:r>
              <w:rPr>
                <w:sz w:val="16"/>
              </w:rPr>
              <w:t>between</w:t>
            </w:r>
            <w:r>
              <w:rPr>
                <w:spacing w:val="-1"/>
                <w:sz w:val="16"/>
              </w:rPr>
              <w:t> </w:t>
            </w:r>
            <w:r>
              <w:rPr>
                <w:sz w:val="16"/>
              </w:rPr>
              <w:t>pharmacists</w:t>
            </w:r>
            <w:r>
              <w:rPr>
                <w:spacing w:val="-1"/>
                <w:sz w:val="16"/>
              </w:rPr>
              <w:t> </w:t>
            </w:r>
            <w:r>
              <w:rPr>
                <w:sz w:val="16"/>
              </w:rPr>
              <w:t>and</w:t>
            </w:r>
            <w:r>
              <w:rPr>
                <w:spacing w:val="-2"/>
                <w:sz w:val="16"/>
              </w:rPr>
              <w:t> </w:t>
            </w:r>
            <w:r>
              <w:rPr>
                <w:sz w:val="16"/>
              </w:rPr>
              <w:t>HCH</w:t>
            </w:r>
            <w:r>
              <w:rPr>
                <w:spacing w:val="-4"/>
                <w:sz w:val="16"/>
              </w:rPr>
              <w:t> </w:t>
            </w:r>
            <w:r>
              <w:rPr>
                <w:sz w:val="16"/>
              </w:rPr>
              <w:t>practices/</w:t>
            </w:r>
            <w:r>
              <w:rPr>
                <w:spacing w:val="-3"/>
                <w:sz w:val="16"/>
              </w:rPr>
              <w:t> </w:t>
            </w:r>
            <w:r>
              <w:rPr>
                <w:sz w:val="16"/>
              </w:rPr>
              <w:t>GPs?</w:t>
            </w:r>
          </w:p>
        </w:tc>
        <w:tc>
          <w:tcPr>
            <w:tcW w:w="1049" w:type="dxa"/>
          </w:tcPr>
          <w:p>
            <w:pPr>
              <w:pStyle w:val="TableParagraph"/>
              <w:spacing w:before="57"/>
              <w:ind w:left="55" w:right="45"/>
              <w:jc w:val="center"/>
              <w:rPr>
                <w:sz w:val="16"/>
              </w:rPr>
            </w:pPr>
            <w:r>
              <w:rPr>
                <w:sz w:val="16"/>
              </w:rPr>
              <w:t>PH/C</w:t>
            </w:r>
          </w:p>
        </w:tc>
        <w:tc>
          <w:tcPr>
            <w:tcW w:w="322" w:type="dxa"/>
          </w:tcPr>
          <w:p>
            <w:pPr>
              <w:pStyle w:val="TableParagraph"/>
              <w:rPr>
                <w:rFonts w:ascii="Times New Roman"/>
                <w:sz w:val="16"/>
              </w:rPr>
            </w:pPr>
          </w:p>
        </w:tc>
        <w:tc>
          <w:tcPr>
            <w:tcW w:w="322" w:type="dxa"/>
          </w:tcPr>
          <w:p>
            <w:pPr>
              <w:pStyle w:val="TableParagraph"/>
              <w:spacing w:before="57"/>
              <w:ind w:left="97"/>
              <w:rPr>
                <w:rFonts w:ascii="Wingdings" w:hAnsi="Wingdings"/>
                <w:sz w:val="16"/>
              </w:rPr>
            </w:pPr>
            <w:r>
              <w:rPr>
                <w:rFonts w:ascii="Wingdings" w:hAnsi="Wingdings"/>
                <w:w w:val="100"/>
                <w:sz w:val="16"/>
              </w:rPr>
              <w:t></w:t>
            </w: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86" w:type="dxa"/>
          </w:tcPr>
          <w:p>
            <w:pPr>
              <w:pStyle w:val="TableParagraph"/>
              <w:rPr>
                <w:rFonts w:ascii="Times New Roman"/>
                <w:sz w:val="16"/>
              </w:rPr>
            </w:pPr>
          </w:p>
        </w:tc>
      </w:tr>
      <w:tr>
        <w:trPr>
          <w:trHeight w:val="832" w:hRule="atLeast"/>
        </w:trPr>
        <w:tc>
          <w:tcPr>
            <w:tcW w:w="11229" w:type="dxa"/>
          </w:tcPr>
          <w:p>
            <w:pPr>
              <w:pStyle w:val="TableParagraph"/>
              <w:spacing w:line="276" w:lineRule="auto" w:before="57"/>
              <w:ind w:left="57" w:right="53"/>
              <w:rPr>
                <w:sz w:val="16"/>
              </w:rPr>
            </w:pPr>
            <w:r>
              <w:rPr>
                <w:sz w:val="16"/>
              </w:rPr>
              <w:t>7.03 How successful were these models from the perspective of pharmacists and HCH practices/GPs? What factors contributed to or detracted</w:t>
            </w:r>
            <w:r>
              <w:rPr>
                <w:spacing w:val="-42"/>
                <w:sz w:val="16"/>
              </w:rPr>
              <w:t> </w:t>
            </w:r>
            <w:r>
              <w:rPr>
                <w:sz w:val="16"/>
              </w:rPr>
              <w:t>from successful collaboration? What needs to change to improve the level of interprofessional collaboration between pharmacists and HCH</w:t>
            </w:r>
            <w:r>
              <w:rPr>
                <w:spacing w:val="1"/>
                <w:sz w:val="16"/>
              </w:rPr>
              <w:t> </w:t>
            </w:r>
            <w:r>
              <w:rPr>
                <w:sz w:val="16"/>
              </w:rPr>
              <w:t>practices/GPs?</w:t>
            </w:r>
          </w:p>
        </w:tc>
        <w:tc>
          <w:tcPr>
            <w:tcW w:w="1049" w:type="dxa"/>
          </w:tcPr>
          <w:p>
            <w:pPr>
              <w:pStyle w:val="TableParagraph"/>
              <w:spacing w:before="57"/>
              <w:ind w:left="55" w:right="45"/>
              <w:jc w:val="center"/>
              <w:rPr>
                <w:sz w:val="16"/>
              </w:rPr>
            </w:pPr>
            <w:r>
              <w:rPr>
                <w:sz w:val="16"/>
              </w:rPr>
              <w:t>PH/C</w:t>
            </w: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spacing w:before="57"/>
              <w:ind w:left="97"/>
              <w:rPr>
                <w:rFonts w:ascii="Wingdings" w:hAnsi="Wingdings"/>
                <w:sz w:val="16"/>
              </w:rPr>
            </w:pPr>
            <w:r>
              <w:rPr>
                <w:rFonts w:ascii="Wingdings" w:hAnsi="Wingdings"/>
                <w:w w:val="100"/>
                <w:sz w:val="16"/>
              </w:rPr>
              <w:t></w:t>
            </w:r>
          </w:p>
        </w:tc>
        <w:tc>
          <w:tcPr>
            <w:tcW w:w="386" w:type="dxa"/>
          </w:tcPr>
          <w:p>
            <w:pPr>
              <w:pStyle w:val="TableParagraph"/>
              <w:rPr>
                <w:rFonts w:ascii="Times New Roman"/>
                <w:sz w:val="16"/>
              </w:rPr>
            </w:pPr>
          </w:p>
        </w:tc>
      </w:tr>
      <w:tr>
        <w:trPr>
          <w:trHeight w:val="378" w:hRule="atLeast"/>
        </w:trPr>
        <w:tc>
          <w:tcPr>
            <w:tcW w:w="13952" w:type="dxa"/>
            <w:gridSpan w:val="7"/>
            <w:shd w:val="clear" w:color="auto" w:fill="F1F1F1"/>
          </w:tcPr>
          <w:p>
            <w:pPr>
              <w:pStyle w:val="TableParagraph"/>
              <w:spacing w:before="57"/>
              <w:ind w:left="57"/>
              <w:rPr>
                <w:b/>
                <w:sz w:val="16"/>
              </w:rPr>
            </w:pPr>
            <w:r>
              <w:rPr>
                <w:b/>
                <w:sz w:val="16"/>
              </w:rPr>
              <w:t>Key</w:t>
            </w:r>
            <w:r>
              <w:rPr>
                <w:b/>
                <w:spacing w:val="-4"/>
                <w:sz w:val="16"/>
              </w:rPr>
              <w:t> </w:t>
            </w:r>
            <w:r>
              <w:rPr>
                <w:b/>
                <w:sz w:val="16"/>
              </w:rPr>
              <w:t>question</w:t>
            </w:r>
            <w:r>
              <w:rPr>
                <w:b/>
                <w:spacing w:val="-4"/>
                <w:sz w:val="16"/>
              </w:rPr>
              <w:t> </w:t>
            </w:r>
            <w:r>
              <w:rPr>
                <w:b/>
                <w:sz w:val="16"/>
              </w:rPr>
              <w:t>8:</w:t>
            </w:r>
            <w:r>
              <w:rPr>
                <w:b/>
                <w:spacing w:val="-2"/>
                <w:sz w:val="16"/>
              </w:rPr>
              <w:t> </w:t>
            </w:r>
            <w:r>
              <w:rPr>
                <w:b/>
                <w:sz w:val="16"/>
              </w:rPr>
              <w:t>Is</w:t>
            </w:r>
            <w:r>
              <w:rPr>
                <w:b/>
                <w:spacing w:val="-3"/>
                <w:sz w:val="16"/>
              </w:rPr>
              <w:t> </w:t>
            </w:r>
            <w:r>
              <w:rPr>
                <w:b/>
                <w:sz w:val="16"/>
              </w:rPr>
              <w:t>the</w:t>
            </w:r>
            <w:r>
              <w:rPr>
                <w:b/>
                <w:spacing w:val="-3"/>
                <w:sz w:val="16"/>
              </w:rPr>
              <w:t> </w:t>
            </w:r>
            <w:r>
              <w:rPr>
                <w:b/>
                <w:sz w:val="16"/>
              </w:rPr>
              <w:t>inclusion</w:t>
            </w:r>
            <w:r>
              <w:rPr>
                <w:b/>
                <w:spacing w:val="-3"/>
                <w:sz w:val="16"/>
              </w:rPr>
              <w:t> </w:t>
            </w:r>
            <w:r>
              <w:rPr>
                <w:b/>
                <w:sz w:val="16"/>
              </w:rPr>
              <w:t>of a</w:t>
            </w:r>
            <w:r>
              <w:rPr>
                <w:b/>
                <w:spacing w:val="-2"/>
                <w:sz w:val="16"/>
              </w:rPr>
              <w:t> </w:t>
            </w:r>
            <w:r>
              <w:rPr>
                <w:b/>
                <w:sz w:val="16"/>
              </w:rPr>
              <w:t>pharmacy</w:t>
            </w:r>
            <w:r>
              <w:rPr>
                <w:b/>
                <w:spacing w:val="-3"/>
                <w:sz w:val="16"/>
              </w:rPr>
              <w:t> </w:t>
            </w:r>
            <w:r>
              <w:rPr>
                <w:b/>
                <w:sz w:val="16"/>
              </w:rPr>
              <w:t>component</w:t>
            </w:r>
            <w:r>
              <w:rPr>
                <w:b/>
                <w:spacing w:val="-1"/>
                <w:sz w:val="16"/>
              </w:rPr>
              <w:t> </w:t>
            </w:r>
            <w:r>
              <w:rPr>
                <w:b/>
                <w:sz w:val="16"/>
              </w:rPr>
              <w:t>in</w:t>
            </w:r>
            <w:r>
              <w:rPr>
                <w:b/>
                <w:spacing w:val="-5"/>
                <w:sz w:val="16"/>
              </w:rPr>
              <w:t> </w:t>
            </w:r>
            <w:r>
              <w:rPr>
                <w:b/>
                <w:sz w:val="16"/>
              </w:rPr>
              <w:t>HCH financially</w:t>
            </w:r>
            <w:r>
              <w:rPr>
                <w:b/>
                <w:spacing w:val="-3"/>
                <w:sz w:val="16"/>
              </w:rPr>
              <w:t> </w:t>
            </w:r>
            <w:r>
              <w:rPr>
                <w:b/>
                <w:sz w:val="16"/>
              </w:rPr>
              <w:t>viable?</w:t>
            </w:r>
          </w:p>
        </w:tc>
      </w:tr>
      <w:tr>
        <w:trPr>
          <w:trHeight w:val="378" w:hRule="atLeast"/>
        </w:trPr>
        <w:tc>
          <w:tcPr>
            <w:tcW w:w="11229" w:type="dxa"/>
          </w:tcPr>
          <w:p>
            <w:pPr>
              <w:pStyle w:val="TableParagraph"/>
              <w:spacing w:before="57"/>
              <w:ind w:left="57"/>
              <w:rPr>
                <w:sz w:val="16"/>
              </w:rPr>
            </w:pPr>
            <w:r>
              <w:rPr>
                <w:sz w:val="16"/>
              </w:rPr>
              <w:t>8.01</w:t>
            </w:r>
            <w:r>
              <w:rPr>
                <w:spacing w:val="-3"/>
                <w:sz w:val="16"/>
              </w:rPr>
              <w:t> </w:t>
            </w:r>
            <w:r>
              <w:rPr>
                <w:sz w:val="16"/>
              </w:rPr>
              <w:t>What</w:t>
            </w:r>
            <w:r>
              <w:rPr>
                <w:spacing w:val="-4"/>
                <w:sz w:val="16"/>
              </w:rPr>
              <w:t> </w:t>
            </w:r>
            <w:r>
              <w:rPr>
                <w:sz w:val="16"/>
              </w:rPr>
              <w:t>is</w:t>
            </w:r>
            <w:r>
              <w:rPr>
                <w:spacing w:val="-2"/>
                <w:sz w:val="16"/>
              </w:rPr>
              <w:t> </w:t>
            </w:r>
            <w:r>
              <w:rPr>
                <w:sz w:val="16"/>
              </w:rPr>
              <w:t>the cost</w:t>
            </w:r>
            <w:r>
              <w:rPr>
                <w:spacing w:val="-3"/>
                <w:sz w:val="16"/>
              </w:rPr>
              <w:t> </w:t>
            </w:r>
            <w:r>
              <w:rPr>
                <w:sz w:val="16"/>
              </w:rPr>
              <w:t>of</w:t>
            </w:r>
            <w:r>
              <w:rPr>
                <w:spacing w:val="-1"/>
                <w:sz w:val="16"/>
              </w:rPr>
              <w:t> </w:t>
            </w:r>
            <w:r>
              <w:rPr>
                <w:sz w:val="16"/>
              </w:rPr>
              <w:t>the</w:t>
            </w:r>
            <w:r>
              <w:rPr>
                <w:spacing w:val="1"/>
                <w:sz w:val="16"/>
              </w:rPr>
              <w:t> </w:t>
            </w:r>
            <w:r>
              <w:rPr>
                <w:sz w:val="16"/>
              </w:rPr>
              <w:t>community</w:t>
            </w:r>
            <w:r>
              <w:rPr>
                <w:spacing w:val="-4"/>
                <w:sz w:val="16"/>
              </w:rPr>
              <w:t> </w:t>
            </w:r>
            <w:r>
              <w:rPr>
                <w:sz w:val="16"/>
              </w:rPr>
              <w:t>pharmacy</w:t>
            </w:r>
            <w:r>
              <w:rPr>
                <w:spacing w:val="-1"/>
                <w:sz w:val="16"/>
              </w:rPr>
              <w:t> </w:t>
            </w:r>
            <w:r>
              <w:rPr>
                <w:sz w:val="16"/>
              </w:rPr>
              <w:t>component</w:t>
            </w:r>
            <w:r>
              <w:rPr>
                <w:spacing w:val="-3"/>
                <w:sz w:val="16"/>
              </w:rPr>
              <w:t> </w:t>
            </w:r>
            <w:r>
              <w:rPr>
                <w:sz w:val="16"/>
              </w:rPr>
              <w:t>of</w:t>
            </w:r>
            <w:r>
              <w:rPr>
                <w:spacing w:val="-1"/>
                <w:sz w:val="16"/>
              </w:rPr>
              <w:t> </w:t>
            </w:r>
            <w:r>
              <w:rPr>
                <w:sz w:val="16"/>
              </w:rPr>
              <w:t>the</w:t>
            </w:r>
            <w:r>
              <w:rPr>
                <w:spacing w:val="-2"/>
                <w:sz w:val="16"/>
              </w:rPr>
              <w:t> </w:t>
            </w:r>
            <w:r>
              <w:rPr>
                <w:sz w:val="16"/>
              </w:rPr>
              <w:t>HCH</w:t>
            </w:r>
            <w:r>
              <w:rPr>
                <w:spacing w:val="-1"/>
                <w:sz w:val="16"/>
              </w:rPr>
              <w:t> </w:t>
            </w:r>
            <w:r>
              <w:rPr>
                <w:sz w:val="16"/>
              </w:rPr>
              <w:t>trial?</w:t>
            </w:r>
          </w:p>
        </w:tc>
        <w:tc>
          <w:tcPr>
            <w:tcW w:w="1049" w:type="dxa"/>
          </w:tcPr>
          <w:p>
            <w:pPr>
              <w:pStyle w:val="TableParagraph"/>
              <w:spacing w:before="57"/>
              <w:ind w:left="55" w:right="46"/>
              <w:jc w:val="center"/>
              <w:rPr>
                <w:sz w:val="16"/>
              </w:rPr>
            </w:pPr>
            <w:r>
              <w:rPr>
                <w:sz w:val="16"/>
              </w:rPr>
              <w:t>PR</w:t>
            </w: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86" w:type="dxa"/>
          </w:tcPr>
          <w:p>
            <w:pPr>
              <w:pStyle w:val="TableParagraph"/>
              <w:spacing w:before="57"/>
              <w:ind w:left="128"/>
              <w:rPr>
                <w:rFonts w:ascii="Wingdings" w:hAnsi="Wingdings"/>
                <w:sz w:val="16"/>
              </w:rPr>
            </w:pPr>
            <w:r>
              <w:rPr>
                <w:rFonts w:ascii="Wingdings" w:hAnsi="Wingdings"/>
                <w:w w:val="100"/>
                <w:sz w:val="16"/>
              </w:rPr>
              <w:t></w:t>
            </w:r>
          </w:p>
        </w:tc>
      </w:tr>
      <w:tr>
        <w:trPr>
          <w:trHeight w:val="381" w:hRule="atLeast"/>
        </w:trPr>
        <w:tc>
          <w:tcPr>
            <w:tcW w:w="11229" w:type="dxa"/>
          </w:tcPr>
          <w:p>
            <w:pPr>
              <w:pStyle w:val="TableParagraph"/>
              <w:spacing w:before="57"/>
              <w:ind w:left="57"/>
              <w:rPr>
                <w:sz w:val="16"/>
              </w:rPr>
            </w:pPr>
            <w:r>
              <w:rPr>
                <w:sz w:val="16"/>
              </w:rPr>
              <w:t>8.02</w:t>
            </w:r>
            <w:r>
              <w:rPr>
                <w:spacing w:val="-2"/>
                <w:sz w:val="16"/>
              </w:rPr>
              <w:t> </w:t>
            </w:r>
            <w:r>
              <w:rPr>
                <w:sz w:val="16"/>
              </w:rPr>
              <w:t>Do</w:t>
            </w:r>
            <w:r>
              <w:rPr>
                <w:spacing w:val="-3"/>
                <w:sz w:val="16"/>
              </w:rPr>
              <w:t> </w:t>
            </w:r>
            <w:r>
              <w:rPr>
                <w:sz w:val="16"/>
              </w:rPr>
              <w:t>the</w:t>
            </w:r>
            <w:r>
              <w:rPr>
                <w:spacing w:val="-1"/>
                <w:sz w:val="16"/>
              </w:rPr>
              <w:t> </w:t>
            </w:r>
            <w:r>
              <w:rPr>
                <w:sz w:val="16"/>
              </w:rPr>
              <w:t>fees</w:t>
            </w:r>
            <w:r>
              <w:rPr>
                <w:spacing w:val="-4"/>
                <w:sz w:val="16"/>
              </w:rPr>
              <w:t> </w:t>
            </w:r>
            <w:r>
              <w:rPr>
                <w:sz w:val="16"/>
              </w:rPr>
              <w:t>paid</w:t>
            </w:r>
            <w:r>
              <w:rPr>
                <w:spacing w:val="-2"/>
                <w:sz w:val="16"/>
              </w:rPr>
              <w:t> </w:t>
            </w:r>
            <w:r>
              <w:rPr>
                <w:sz w:val="16"/>
              </w:rPr>
              <w:t>to</w:t>
            </w:r>
            <w:r>
              <w:rPr>
                <w:spacing w:val="-3"/>
                <w:sz w:val="16"/>
              </w:rPr>
              <w:t> </w:t>
            </w:r>
            <w:r>
              <w:rPr>
                <w:sz w:val="16"/>
              </w:rPr>
              <w:t>pharmacists</w:t>
            </w:r>
            <w:r>
              <w:rPr>
                <w:spacing w:val="1"/>
                <w:sz w:val="16"/>
              </w:rPr>
              <w:t> </w:t>
            </w:r>
            <w:r>
              <w:rPr>
                <w:sz w:val="16"/>
              </w:rPr>
              <w:t>compensate</w:t>
            </w:r>
            <w:r>
              <w:rPr>
                <w:spacing w:val="-3"/>
                <w:sz w:val="16"/>
              </w:rPr>
              <w:t> </w:t>
            </w:r>
            <w:r>
              <w:rPr>
                <w:sz w:val="16"/>
              </w:rPr>
              <w:t>for</w:t>
            </w:r>
            <w:r>
              <w:rPr>
                <w:spacing w:val="-1"/>
                <w:sz w:val="16"/>
              </w:rPr>
              <w:t> </w:t>
            </w:r>
            <w:r>
              <w:rPr>
                <w:sz w:val="16"/>
              </w:rPr>
              <w:t>the time</w:t>
            </w:r>
            <w:r>
              <w:rPr>
                <w:spacing w:val="-1"/>
                <w:sz w:val="16"/>
              </w:rPr>
              <w:t> </w:t>
            </w:r>
            <w:r>
              <w:rPr>
                <w:sz w:val="16"/>
              </w:rPr>
              <w:t>spent</w:t>
            </w:r>
            <w:r>
              <w:rPr>
                <w:spacing w:val="-4"/>
                <w:sz w:val="16"/>
              </w:rPr>
              <w:t> </w:t>
            </w:r>
            <w:r>
              <w:rPr>
                <w:sz w:val="16"/>
              </w:rPr>
              <w:t>with</w:t>
            </w:r>
            <w:r>
              <w:rPr>
                <w:spacing w:val="-3"/>
                <w:sz w:val="16"/>
              </w:rPr>
              <w:t> </w:t>
            </w:r>
            <w:r>
              <w:rPr>
                <w:sz w:val="16"/>
              </w:rPr>
              <w:t>HCH</w:t>
            </w:r>
            <w:r>
              <w:rPr>
                <w:spacing w:val="-2"/>
                <w:sz w:val="16"/>
              </w:rPr>
              <w:t> </w:t>
            </w:r>
            <w:r>
              <w:rPr>
                <w:sz w:val="16"/>
              </w:rPr>
              <w:t>patients</w:t>
            </w:r>
            <w:r>
              <w:rPr>
                <w:spacing w:val="-4"/>
                <w:sz w:val="16"/>
              </w:rPr>
              <w:t> </w:t>
            </w:r>
            <w:r>
              <w:rPr>
                <w:sz w:val="16"/>
              </w:rPr>
              <w:t>during</w:t>
            </w:r>
            <w:r>
              <w:rPr>
                <w:spacing w:val="-5"/>
                <w:sz w:val="16"/>
              </w:rPr>
              <w:t> </w:t>
            </w:r>
            <w:r>
              <w:rPr>
                <w:sz w:val="16"/>
              </w:rPr>
              <w:t>the trial?</w:t>
            </w:r>
          </w:p>
        </w:tc>
        <w:tc>
          <w:tcPr>
            <w:tcW w:w="1049" w:type="dxa"/>
          </w:tcPr>
          <w:p>
            <w:pPr>
              <w:pStyle w:val="TableParagraph"/>
              <w:spacing w:before="57"/>
              <w:ind w:left="55" w:right="45"/>
              <w:jc w:val="center"/>
              <w:rPr>
                <w:sz w:val="16"/>
              </w:rPr>
            </w:pPr>
            <w:r>
              <w:rPr>
                <w:sz w:val="16"/>
              </w:rPr>
              <w:t>PH/C</w:t>
            </w: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86" w:type="dxa"/>
          </w:tcPr>
          <w:p>
            <w:pPr>
              <w:pStyle w:val="TableParagraph"/>
              <w:rPr>
                <w:rFonts w:ascii="Times New Roman"/>
                <w:sz w:val="16"/>
              </w:rPr>
            </w:pPr>
          </w:p>
        </w:tc>
      </w:tr>
      <w:tr>
        <w:trPr>
          <w:trHeight w:val="378" w:hRule="atLeast"/>
        </w:trPr>
        <w:tc>
          <w:tcPr>
            <w:tcW w:w="11229" w:type="dxa"/>
          </w:tcPr>
          <w:p>
            <w:pPr>
              <w:pStyle w:val="TableParagraph"/>
              <w:spacing w:before="57"/>
              <w:ind w:left="57"/>
              <w:rPr>
                <w:sz w:val="16"/>
              </w:rPr>
            </w:pPr>
            <w:r>
              <w:rPr>
                <w:sz w:val="16"/>
              </w:rPr>
              <w:t>8.03</w:t>
            </w:r>
            <w:r>
              <w:rPr>
                <w:spacing w:val="-1"/>
                <w:sz w:val="16"/>
              </w:rPr>
              <w:t> </w:t>
            </w:r>
            <w:r>
              <w:rPr>
                <w:sz w:val="16"/>
              </w:rPr>
              <w:t>What</w:t>
            </w:r>
            <w:r>
              <w:rPr>
                <w:spacing w:val="-4"/>
                <w:sz w:val="16"/>
              </w:rPr>
              <w:t> </w:t>
            </w:r>
            <w:r>
              <w:rPr>
                <w:sz w:val="16"/>
              </w:rPr>
              <w:t>is the</w:t>
            </w:r>
            <w:r>
              <w:rPr>
                <w:spacing w:val="-2"/>
                <w:sz w:val="16"/>
              </w:rPr>
              <w:t> </w:t>
            </w:r>
            <w:r>
              <w:rPr>
                <w:sz w:val="16"/>
              </w:rPr>
              <w:t>evidence</w:t>
            </w:r>
            <w:r>
              <w:rPr>
                <w:spacing w:val="-2"/>
                <w:sz w:val="16"/>
              </w:rPr>
              <w:t> </w:t>
            </w:r>
            <w:r>
              <w:rPr>
                <w:sz w:val="16"/>
              </w:rPr>
              <w:t>that</w:t>
            </w:r>
            <w:r>
              <w:rPr>
                <w:spacing w:val="-2"/>
                <w:sz w:val="16"/>
              </w:rPr>
              <w:t> </w:t>
            </w:r>
            <w:r>
              <w:rPr>
                <w:sz w:val="16"/>
              </w:rPr>
              <w:t>the program</w:t>
            </w:r>
            <w:r>
              <w:rPr>
                <w:spacing w:val="-6"/>
                <w:sz w:val="16"/>
              </w:rPr>
              <w:t> </w:t>
            </w:r>
            <w:r>
              <w:rPr>
                <w:sz w:val="16"/>
              </w:rPr>
              <w:t>will</w:t>
            </w:r>
            <w:r>
              <w:rPr>
                <w:spacing w:val="-4"/>
                <w:sz w:val="16"/>
              </w:rPr>
              <w:t> </w:t>
            </w:r>
            <w:r>
              <w:rPr>
                <w:sz w:val="16"/>
              </w:rPr>
              <w:t>lead</w:t>
            </w:r>
            <w:r>
              <w:rPr>
                <w:spacing w:val="-1"/>
                <w:sz w:val="16"/>
              </w:rPr>
              <w:t> </w:t>
            </w:r>
            <w:r>
              <w:rPr>
                <w:sz w:val="16"/>
              </w:rPr>
              <w:t>to cost</w:t>
            </w:r>
            <w:r>
              <w:rPr>
                <w:spacing w:val="-2"/>
                <w:sz w:val="16"/>
              </w:rPr>
              <w:t> </w:t>
            </w:r>
            <w:r>
              <w:rPr>
                <w:sz w:val="16"/>
              </w:rPr>
              <w:t>savings</w:t>
            </w:r>
            <w:r>
              <w:rPr>
                <w:spacing w:val="-3"/>
                <w:sz w:val="16"/>
              </w:rPr>
              <w:t> </w:t>
            </w:r>
            <w:r>
              <w:rPr>
                <w:sz w:val="16"/>
              </w:rPr>
              <w:t>through</w:t>
            </w:r>
            <w:r>
              <w:rPr>
                <w:spacing w:val="-2"/>
                <w:sz w:val="16"/>
              </w:rPr>
              <w:t> </w:t>
            </w:r>
            <w:r>
              <w:rPr>
                <w:sz w:val="16"/>
              </w:rPr>
              <w:t>quality</w:t>
            </w:r>
            <w:r>
              <w:rPr>
                <w:spacing w:val="-2"/>
                <w:sz w:val="16"/>
              </w:rPr>
              <w:t> </w:t>
            </w:r>
            <w:r>
              <w:rPr>
                <w:sz w:val="16"/>
              </w:rPr>
              <w:t>use</w:t>
            </w:r>
            <w:r>
              <w:rPr>
                <w:spacing w:val="1"/>
                <w:sz w:val="16"/>
              </w:rPr>
              <w:t> </w:t>
            </w:r>
            <w:r>
              <w:rPr>
                <w:sz w:val="16"/>
              </w:rPr>
              <w:t>of</w:t>
            </w:r>
            <w:r>
              <w:rPr>
                <w:spacing w:val="-3"/>
                <w:sz w:val="16"/>
              </w:rPr>
              <w:t> </w:t>
            </w:r>
            <w:r>
              <w:rPr>
                <w:sz w:val="16"/>
              </w:rPr>
              <w:t>medicines?</w:t>
            </w:r>
          </w:p>
        </w:tc>
        <w:tc>
          <w:tcPr>
            <w:tcW w:w="1049" w:type="dxa"/>
          </w:tcPr>
          <w:p>
            <w:pPr>
              <w:pStyle w:val="TableParagraph"/>
              <w:spacing w:before="57"/>
              <w:ind w:left="55" w:right="46"/>
              <w:jc w:val="center"/>
              <w:rPr>
                <w:sz w:val="16"/>
              </w:rPr>
            </w:pPr>
            <w:r>
              <w:rPr>
                <w:sz w:val="16"/>
              </w:rPr>
              <w:t>PR</w:t>
            </w: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22" w:type="dxa"/>
          </w:tcPr>
          <w:p>
            <w:pPr>
              <w:pStyle w:val="TableParagraph"/>
              <w:rPr>
                <w:rFonts w:ascii="Times New Roman"/>
                <w:sz w:val="16"/>
              </w:rPr>
            </w:pPr>
          </w:p>
        </w:tc>
        <w:tc>
          <w:tcPr>
            <w:tcW w:w="386" w:type="dxa"/>
          </w:tcPr>
          <w:p>
            <w:pPr>
              <w:pStyle w:val="TableParagraph"/>
              <w:rPr>
                <w:rFonts w:ascii="Times New Roman"/>
                <w:sz w:val="16"/>
              </w:rPr>
            </w:pPr>
          </w:p>
        </w:tc>
      </w:tr>
    </w:tbl>
    <w:p>
      <w:pPr>
        <w:spacing w:line="276" w:lineRule="auto" w:before="4"/>
        <w:ind w:left="100" w:right="0" w:firstLine="0"/>
        <w:jc w:val="left"/>
        <w:rPr>
          <w:i/>
          <w:sz w:val="16"/>
        </w:rPr>
      </w:pPr>
      <w:r>
        <w:rPr>
          <w:i/>
          <w:position w:val="4"/>
          <w:sz w:val="10"/>
        </w:rPr>
        <w:t>1 </w:t>
      </w:r>
      <w:r>
        <w:rPr>
          <w:i/>
          <w:sz w:val="16"/>
        </w:rPr>
        <w:t>Psychotropic polypharmacy is defined as two or more psychotropic medicines ‘taken’ at the same time. Polypharmacy is defined to five to 10 medicines ‘taken’ at the same time.</w:t>
      </w:r>
      <w:r>
        <w:rPr>
          <w:i/>
          <w:spacing w:val="-42"/>
          <w:sz w:val="16"/>
        </w:rPr>
        <w:t> </w:t>
      </w:r>
      <w:r>
        <w:rPr>
          <w:i/>
          <w:sz w:val="16"/>
        </w:rPr>
        <w:t>Hyperpolypharmacy</w:t>
      </w:r>
      <w:r>
        <w:rPr>
          <w:i/>
          <w:spacing w:val="-3"/>
          <w:sz w:val="16"/>
        </w:rPr>
        <w:t> </w:t>
      </w:r>
      <w:r>
        <w:rPr>
          <w:i/>
          <w:sz w:val="16"/>
        </w:rPr>
        <w:t>is</w:t>
      </w:r>
      <w:r>
        <w:rPr>
          <w:i/>
          <w:spacing w:val="-2"/>
          <w:sz w:val="16"/>
        </w:rPr>
        <w:t> </w:t>
      </w:r>
      <w:r>
        <w:rPr>
          <w:i/>
          <w:sz w:val="16"/>
        </w:rPr>
        <w:t>defined</w:t>
      </w:r>
      <w:r>
        <w:rPr>
          <w:i/>
          <w:spacing w:val="-1"/>
          <w:sz w:val="16"/>
        </w:rPr>
        <w:t> </w:t>
      </w:r>
      <w:r>
        <w:rPr>
          <w:i/>
          <w:sz w:val="16"/>
        </w:rPr>
        <w:t>as</w:t>
      </w:r>
      <w:r>
        <w:rPr>
          <w:i/>
          <w:spacing w:val="1"/>
          <w:sz w:val="16"/>
        </w:rPr>
        <w:t> </w:t>
      </w:r>
      <w:r>
        <w:rPr>
          <w:i/>
          <w:sz w:val="16"/>
        </w:rPr>
        <w:t>10</w:t>
      </w:r>
      <w:r>
        <w:rPr>
          <w:i/>
          <w:spacing w:val="-2"/>
          <w:sz w:val="16"/>
        </w:rPr>
        <w:t> </w:t>
      </w:r>
      <w:r>
        <w:rPr>
          <w:i/>
          <w:sz w:val="16"/>
        </w:rPr>
        <w:t>or</w:t>
      </w:r>
      <w:r>
        <w:rPr>
          <w:i/>
          <w:spacing w:val="-2"/>
          <w:sz w:val="16"/>
        </w:rPr>
        <w:t> </w:t>
      </w:r>
      <w:r>
        <w:rPr>
          <w:i/>
          <w:sz w:val="16"/>
        </w:rPr>
        <w:t>more</w:t>
      </w:r>
      <w:r>
        <w:rPr>
          <w:i/>
          <w:spacing w:val="-1"/>
          <w:sz w:val="16"/>
        </w:rPr>
        <w:t> </w:t>
      </w:r>
      <w:r>
        <w:rPr>
          <w:i/>
          <w:sz w:val="16"/>
        </w:rPr>
        <w:t>medicines</w:t>
      </w:r>
      <w:r>
        <w:rPr>
          <w:i/>
          <w:spacing w:val="-2"/>
          <w:sz w:val="16"/>
        </w:rPr>
        <w:t> </w:t>
      </w:r>
      <w:r>
        <w:rPr>
          <w:i/>
          <w:sz w:val="16"/>
        </w:rPr>
        <w:t>‘taken’</w:t>
      </w:r>
      <w:r>
        <w:rPr>
          <w:i/>
          <w:spacing w:val="-2"/>
          <w:sz w:val="16"/>
        </w:rPr>
        <w:t> </w:t>
      </w:r>
      <w:r>
        <w:rPr>
          <w:i/>
          <w:sz w:val="16"/>
        </w:rPr>
        <w:t>at</w:t>
      </w:r>
      <w:r>
        <w:rPr>
          <w:i/>
          <w:spacing w:val="-1"/>
          <w:sz w:val="16"/>
        </w:rPr>
        <w:t> </w:t>
      </w:r>
      <w:r>
        <w:rPr>
          <w:i/>
          <w:sz w:val="16"/>
        </w:rPr>
        <w:t>the same</w:t>
      </w:r>
      <w:r>
        <w:rPr>
          <w:i/>
          <w:spacing w:val="-1"/>
          <w:sz w:val="16"/>
        </w:rPr>
        <w:t> </w:t>
      </w:r>
      <w:r>
        <w:rPr>
          <w:i/>
          <w:sz w:val="16"/>
        </w:rPr>
        <w:t>time.</w:t>
      </w:r>
    </w:p>
    <w:p>
      <w:pPr>
        <w:spacing w:after="0" w:line="276" w:lineRule="auto"/>
        <w:jc w:val="left"/>
        <w:rPr>
          <w:sz w:val="16"/>
        </w:rPr>
        <w:sectPr>
          <w:pgSz w:w="16840" w:h="11910" w:orient="landscape"/>
          <w:pgMar w:header="0" w:footer="676" w:top="1100" w:bottom="860" w:left="1340" w:right="1320"/>
        </w:sectPr>
      </w:pPr>
    </w:p>
    <w:p>
      <w:pPr>
        <w:pStyle w:val="BodyText"/>
        <w:rPr>
          <w:i/>
        </w:rPr>
      </w:pPr>
      <w:r>
        <w:rPr/>
        <w:pict>
          <v:group style="position:absolute;margin-left:20.164064pt;margin-top:0pt;width:575.050pt;height:116.65pt;mso-position-horizontal-relative:page;mso-position-vertical-relative:page;z-index:-27546624" id="docshapegroup80" coordorigin="403,0" coordsize="11501,2333">
            <v:shape style="position:absolute;left:403;top:0;width:11501;height:1613" type="#_x0000_t75" id="docshape81" stroked="false">
              <v:imagedata r:id="rId32" o:title=""/>
            </v:shape>
            <v:shape style="position:absolute;left:9694;top:1153;width:1200;height:1155" id="docshape82" coordorigin="9694,1153" coordsize="1200,1155" path="m10294,1153l10219,1157,10146,1171,10077,1192,10012,1221,9951,1256,9896,1299,9845,1347,9801,1401,9764,1459,9734,1522,9712,1588,9699,1658,9694,1730,9699,1803,9712,1873,9734,1939,9764,2002,9801,2060,9845,2114,9896,2162,9951,2205,10012,2240,10077,2269,10146,2290,10219,2303,10294,2308,10369,2303,10442,2290,10511,2269,10576,2240,10637,2205,10692,2162,10743,2114,10787,2060,10824,2002,10854,1939,10876,1873,10889,1803,10894,1730,10889,1658,10876,1588,10854,1522,10824,1459,10787,1401,10743,1347,10692,1299,10637,1256,10576,1221,10511,1192,10442,1171,10369,1157,10294,1153xe" filled="true" fillcolor="#003c79" stroked="false">
              <v:path arrowok="t"/>
              <v:fill type="solid"/>
            </v:shape>
            <v:shape style="position:absolute;left:9694;top:1153;width:1200;height:1155" id="docshape83" coordorigin="9694,1153" coordsize="1200,1155" path="m9694,1730l9699,1658,9712,1588,9734,1522,9764,1459,9801,1401,9845,1347,9896,1299,9951,1256,10012,1221,10077,1192,10146,1171,10219,1157,10294,1153,10369,1157,10442,1171,10511,1192,10576,1221,10637,1256,10692,1299,10743,1347,10787,1401,10824,1459,10854,1522,10876,1588,10889,1658,10894,1730,10889,1803,10876,1873,10854,1939,10824,2002,10787,2060,10743,2114,10692,2162,10637,2205,10576,2240,10511,2269,10442,2290,10369,2303,10294,2308,10219,2303,10146,2290,10077,2269,10012,2240,9951,2205,9896,2162,9845,2114,9801,2060,9764,2002,9734,1939,9712,1873,9699,1803,9694,1730xe" filled="false" stroked="true" strokeweight="2.5pt" strokecolor="#003c79">
              <v:path arrowok="t"/>
              <v:stroke dashstyle="solid"/>
            </v:shape>
            <v:shape style="position:absolute;left:1440;top:1440;width:6175;height:883" type="#_x0000_t202" id="docshape84" filled="false" stroked="false">
              <v:textbox inset="0,0,0,0">
                <w:txbxContent>
                  <w:p>
                    <w:pPr>
                      <w:spacing w:before="0"/>
                      <w:ind w:left="0" w:right="0" w:firstLine="0"/>
                      <w:jc w:val="left"/>
                      <w:rPr>
                        <w:sz w:val="72"/>
                      </w:rPr>
                    </w:pPr>
                    <w:r>
                      <w:rPr>
                        <w:color w:val="003C79"/>
                        <w:sz w:val="72"/>
                      </w:rPr>
                      <w:t>Evaluation</w:t>
                    </w:r>
                    <w:r>
                      <w:rPr>
                        <w:color w:val="003C79"/>
                        <w:spacing w:val="-13"/>
                        <w:sz w:val="72"/>
                      </w:rPr>
                      <w:t> </w:t>
                    </w:r>
                    <w:r>
                      <w:rPr>
                        <w:color w:val="003C79"/>
                        <w:sz w:val="72"/>
                      </w:rPr>
                      <w:t>design</w:t>
                    </w:r>
                  </w:p>
                </w:txbxContent>
              </v:textbox>
              <w10:wrap type="none"/>
            </v:shape>
            <v:shape style="position:absolute;left:10173;top:1464;width:266;height:539" type="#_x0000_t202" id="docshape85" filled="false" stroked="false">
              <v:textbox inset="0,0,0,0">
                <w:txbxContent>
                  <w:p>
                    <w:pPr>
                      <w:spacing w:line="538" w:lineRule="exact" w:before="0"/>
                      <w:ind w:left="0" w:right="0" w:firstLine="0"/>
                      <w:jc w:val="left"/>
                      <w:rPr>
                        <w:b/>
                        <w:sz w:val="44"/>
                      </w:rPr>
                    </w:pPr>
                    <w:r>
                      <w:rPr>
                        <w:b/>
                        <w:color w:val="FFFFFF"/>
                        <w:w w:val="99"/>
                        <w:sz w:val="44"/>
                      </w:rPr>
                      <w:t>4</w:t>
                    </w:r>
                  </w:p>
                </w:txbxContent>
              </v:textbox>
              <w10:wrap type="none"/>
            </v:shape>
            <w10:wrap type="none"/>
          </v:group>
        </w:pic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
        <w:rPr>
          <w:i/>
          <w:sz w:val="16"/>
        </w:rPr>
      </w:pPr>
    </w:p>
    <w:p>
      <w:pPr>
        <w:pStyle w:val="Heading2"/>
        <w:spacing w:before="100"/>
      </w:pPr>
      <w:bookmarkStart w:name="_bookmark23" w:id="24"/>
      <w:bookmarkEnd w:id="24"/>
      <w:r>
        <w:rPr/>
      </w:r>
      <w:bookmarkStart w:name="_bookmark24" w:id="25"/>
      <w:bookmarkEnd w:id="25"/>
      <w:r>
        <w:rPr/>
      </w:r>
      <w:r>
        <w:rPr>
          <w:color w:val="003C79"/>
        </w:rPr>
        <w:t>Overview</w:t>
      </w:r>
    </w:p>
    <w:p>
      <w:pPr>
        <w:pStyle w:val="BodyText"/>
        <w:spacing w:before="258"/>
        <w:ind w:left="860"/>
      </w:pPr>
      <w:r>
        <w:rPr/>
        <w:t>Two</w:t>
      </w:r>
      <w:r>
        <w:rPr>
          <w:spacing w:val="-3"/>
        </w:rPr>
        <w:t> </w:t>
      </w:r>
      <w:r>
        <w:rPr/>
        <w:t>approaches</w:t>
      </w:r>
      <w:r>
        <w:rPr>
          <w:spacing w:val="-3"/>
        </w:rPr>
        <w:t> </w:t>
      </w:r>
      <w:r>
        <w:rPr/>
        <w:t>will</w:t>
      </w:r>
      <w:r>
        <w:rPr>
          <w:spacing w:val="-2"/>
        </w:rPr>
        <w:t> </w:t>
      </w:r>
      <w:r>
        <w:rPr/>
        <w:t>be</w:t>
      </w:r>
      <w:r>
        <w:rPr>
          <w:spacing w:val="-2"/>
        </w:rPr>
        <w:t> </w:t>
      </w:r>
      <w:r>
        <w:rPr/>
        <w:t>taken</w:t>
      </w:r>
      <w:r>
        <w:rPr>
          <w:spacing w:val="1"/>
        </w:rPr>
        <w:t> </w:t>
      </w:r>
      <w:r>
        <w:rPr/>
        <w:t>to</w:t>
      </w:r>
      <w:r>
        <w:rPr>
          <w:spacing w:val="-3"/>
        </w:rPr>
        <w:t> </w:t>
      </w:r>
      <w:r>
        <w:rPr/>
        <w:t>estimate</w:t>
      </w:r>
      <w:r>
        <w:rPr>
          <w:spacing w:val="-1"/>
        </w:rPr>
        <w:t> </w:t>
      </w:r>
      <w:r>
        <w:rPr/>
        <w:t>the</w:t>
      </w:r>
      <w:r>
        <w:rPr>
          <w:spacing w:val="-3"/>
        </w:rPr>
        <w:t> </w:t>
      </w:r>
      <w:r>
        <w:rPr/>
        <w:t>impact</w:t>
      </w:r>
      <w:r>
        <w:rPr>
          <w:spacing w:val="-1"/>
        </w:rPr>
        <w:t> </w:t>
      </w:r>
      <w:r>
        <w:rPr/>
        <w:t>of the</w:t>
      </w:r>
      <w:r>
        <w:rPr>
          <w:spacing w:val="-3"/>
        </w:rPr>
        <w:t> </w:t>
      </w:r>
      <w:r>
        <w:rPr/>
        <w:t>HCH</w:t>
      </w:r>
      <w:r>
        <w:rPr>
          <w:spacing w:val="-2"/>
        </w:rPr>
        <w:t> </w:t>
      </w:r>
      <w:r>
        <w:rPr/>
        <w:t>program:</w:t>
      </w:r>
    </w:p>
    <w:p>
      <w:pPr>
        <w:pStyle w:val="BodyText"/>
        <w:spacing w:before="5"/>
        <w:rPr>
          <w:sz w:val="19"/>
        </w:rPr>
      </w:pPr>
    </w:p>
    <w:p>
      <w:pPr>
        <w:pStyle w:val="ListParagraph"/>
        <w:numPr>
          <w:ilvl w:val="0"/>
          <w:numId w:val="11"/>
        </w:numPr>
        <w:tabs>
          <w:tab w:pos="1573" w:val="left" w:leader="none"/>
          <w:tab w:pos="1574" w:val="left" w:leader="none"/>
        </w:tabs>
        <w:spacing w:line="276" w:lineRule="auto" w:before="0" w:after="0"/>
        <w:ind w:left="1573" w:right="1252" w:hanging="356"/>
        <w:jc w:val="left"/>
        <w:rPr>
          <w:sz w:val="20"/>
        </w:rPr>
      </w:pPr>
      <w:r>
        <w:rPr>
          <w:sz w:val="20"/>
        </w:rPr>
        <w:t>Analysis involving comparison groups. For example, where changes in measures</w:t>
      </w:r>
      <w:r>
        <w:rPr>
          <w:spacing w:val="1"/>
          <w:sz w:val="20"/>
        </w:rPr>
        <w:t> </w:t>
      </w:r>
      <w:r>
        <w:rPr>
          <w:sz w:val="20"/>
        </w:rPr>
        <w:t>related to patients enrolled in HCH are compared with similar patients receiving care</w:t>
      </w:r>
      <w:r>
        <w:rPr>
          <w:spacing w:val="-53"/>
          <w:sz w:val="20"/>
        </w:rPr>
        <w:t> </w:t>
      </w:r>
      <w:r>
        <w:rPr>
          <w:sz w:val="20"/>
        </w:rPr>
        <w:t>in practices not enrolled in HCH. Similarly, changes in practices participating in HCH</w:t>
      </w:r>
      <w:r>
        <w:rPr>
          <w:spacing w:val="1"/>
          <w:sz w:val="20"/>
        </w:rPr>
        <w:t> </w:t>
      </w:r>
      <w:r>
        <w:rPr>
          <w:sz w:val="20"/>
        </w:rPr>
        <w:t>compared</w:t>
      </w:r>
      <w:r>
        <w:rPr>
          <w:spacing w:val="-2"/>
          <w:sz w:val="20"/>
        </w:rPr>
        <w:t> </w:t>
      </w:r>
      <w:r>
        <w:rPr>
          <w:sz w:val="20"/>
        </w:rPr>
        <w:t>with</w:t>
      </w:r>
      <w:r>
        <w:rPr>
          <w:spacing w:val="-1"/>
          <w:sz w:val="20"/>
        </w:rPr>
        <w:t> </w:t>
      </w:r>
      <w:r>
        <w:rPr>
          <w:sz w:val="20"/>
        </w:rPr>
        <w:t>similar</w:t>
      </w:r>
      <w:r>
        <w:rPr>
          <w:spacing w:val="-2"/>
          <w:sz w:val="20"/>
        </w:rPr>
        <w:t> </w:t>
      </w:r>
      <w:r>
        <w:rPr>
          <w:sz w:val="20"/>
        </w:rPr>
        <w:t>practices</w:t>
      </w:r>
      <w:r>
        <w:rPr>
          <w:spacing w:val="-1"/>
          <w:sz w:val="20"/>
        </w:rPr>
        <w:t> </w:t>
      </w:r>
      <w:r>
        <w:rPr>
          <w:sz w:val="20"/>
        </w:rPr>
        <w:t>not participating</w:t>
      </w:r>
      <w:r>
        <w:rPr>
          <w:spacing w:val="-4"/>
          <w:sz w:val="20"/>
        </w:rPr>
        <w:t> </w:t>
      </w:r>
      <w:r>
        <w:rPr>
          <w:sz w:val="20"/>
        </w:rPr>
        <w:t>in the</w:t>
      </w:r>
      <w:r>
        <w:rPr>
          <w:spacing w:val="-2"/>
          <w:sz w:val="20"/>
        </w:rPr>
        <w:t> </w:t>
      </w:r>
      <w:r>
        <w:rPr>
          <w:sz w:val="20"/>
        </w:rPr>
        <w:t>program.</w:t>
      </w:r>
    </w:p>
    <w:p>
      <w:pPr>
        <w:pStyle w:val="ListParagraph"/>
        <w:numPr>
          <w:ilvl w:val="0"/>
          <w:numId w:val="11"/>
        </w:numPr>
        <w:tabs>
          <w:tab w:pos="1573" w:val="left" w:leader="none"/>
          <w:tab w:pos="1574" w:val="left" w:leader="none"/>
        </w:tabs>
        <w:spacing w:line="276" w:lineRule="auto" w:before="202" w:after="0"/>
        <w:ind w:left="1573" w:right="1294" w:hanging="356"/>
        <w:jc w:val="left"/>
        <w:rPr>
          <w:sz w:val="20"/>
        </w:rPr>
      </w:pPr>
      <w:r>
        <w:rPr>
          <w:sz w:val="20"/>
        </w:rPr>
        <w:t>Analysis</w:t>
      </w:r>
      <w:r>
        <w:rPr>
          <w:spacing w:val="-4"/>
          <w:sz w:val="20"/>
        </w:rPr>
        <w:t> </w:t>
      </w:r>
      <w:r>
        <w:rPr>
          <w:sz w:val="20"/>
        </w:rPr>
        <w:t>that</w:t>
      </w:r>
      <w:r>
        <w:rPr>
          <w:spacing w:val="-1"/>
          <w:sz w:val="20"/>
        </w:rPr>
        <w:t> </w:t>
      </w:r>
      <w:r>
        <w:rPr>
          <w:sz w:val="20"/>
        </w:rPr>
        <w:t>tracks</w:t>
      </w:r>
      <w:r>
        <w:rPr>
          <w:spacing w:val="-4"/>
          <w:sz w:val="20"/>
        </w:rPr>
        <w:t> </w:t>
      </w:r>
      <w:r>
        <w:rPr>
          <w:sz w:val="20"/>
        </w:rPr>
        <w:t>changes</w:t>
      </w:r>
      <w:r>
        <w:rPr>
          <w:spacing w:val="-3"/>
          <w:sz w:val="20"/>
        </w:rPr>
        <w:t> </w:t>
      </w:r>
      <w:r>
        <w:rPr>
          <w:sz w:val="20"/>
        </w:rPr>
        <w:t>prior</w:t>
      </w:r>
      <w:r>
        <w:rPr>
          <w:spacing w:val="-3"/>
          <w:sz w:val="20"/>
        </w:rPr>
        <w:t> </w:t>
      </w:r>
      <w:r>
        <w:rPr>
          <w:sz w:val="20"/>
        </w:rPr>
        <w:t>to</w:t>
      </w:r>
      <w:r>
        <w:rPr>
          <w:spacing w:val="-4"/>
          <w:sz w:val="20"/>
        </w:rPr>
        <w:t> </w:t>
      </w:r>
      <w:r>
        <w:rPr>
          <w:sz w:val="20"/>
        </w:rPr>
        <w:t>and</w:t>
      </w:r>
      <w:r>
        <w:rPr>
          <w:spacing w:val="-3"/>
          <w:sz w:val="20"/>
        </w:rPr>
        <w:t> </w:t>
      </w:r>
      <w:r>
        <w:rPr>
          <w:sz w:val="20"/>
        </w:rPr>
        <w:t>following</w:t>
      </w:r>
      <w:r>
        <w:rPr>
          <w:spacing w:val="-5"/>
          <w:sz w:val="20"/>
        </w:rPr>
        <w:t> </w:t>
      </w:r>
      <w:r>
        <w:rPr>
          <w:sz w:val="20"/>
        </w:rPr>
        <w:t>the</w:t>
      </w:r>
      <w:r>
        <w:rPr>
          <w:spacing w:val="-4"/>
          <w:sz w:val="20"/>
        </w:rPr>
        <w:t> </w:t>
      </w:r>
      <w:r>
        <w:rPr>
          <w:sz w:val="20"/>
        </w:rPr>
        <w:t>implementation</w:t>
      </w:r>
      <w:r>
        <w:rPr>
          <w:spacing w:val="-2"/>
          <w:sz w:val="20"/>
        </w:rPr>
        <w:t> </w:t>
      </w:r>
      <w:r>
        <w:rPr>
          <w:sz w:val="20"/>
        </w:rPr>
        <w:t>HCH,</w:t>
      </w:r>
      <w:r>
        <w:rPr>
          <w:spacing w:val="-5"/>
          <w:sz w:val="20"/>
        </w:rPr>
        <w:t> </w:t>
      </w:r>
      <w:r>
        <w:rPr>
          <w:sz w:val="20"/>
        </w:rPr>
        <w:t>and</w:t>
      </w:r>
      <w:r>
        <w:rPr>
          <w:spacing w:val="-4"/>
          <w:sz w:val="20"/>
        </w:rPr>
        <w:t> </w:t>
      </w:r>
      <w:r>
        <w:rPr>
          <w:sz w:val="20"/>
        </w:rPr>
        <w:t>the</w:t>
      </w:r>
      <w:r>
        <w:rPr>
          <w:spacing w:val="-52"/>
          <w:sz w:val="20"/>
        </w:rPr>
        <w:t> </w:t>
      </w:r>
      <w:r>
        <w:rPr>
          <w:sz w:val="20"/>
        </w:rPr>
        <w:t>changes</w:t>
      </w:r>
      <w:r>
        <w:rPr>
          <w:spacing w:val="-2"/>
          <w:sz w:val="20"/>
        </w:rPr>
        <w:t> </w:t>
      </w:r>
      <w:r>
        <w:rPr>
          <w:sz w:val="20"/>
        </w:rPr>
        <w:t>that occur for</w:t>
      </w:r>
      <w:r>
        <w:rPr>
          <w:spacing w:val="1"/>
          <w:sz w:val="20"/>
        </w:rPr>
        <w:t> </w:t>
      </w:r>
      <w:r>
        <w:rPr>
          <w:sz w:val="20"/>
        </w:rPr>
        <w:t>patients</w:t>
      </w:r>
      <w:r>
        <w:rPr>
          <w:spacing w:val="-2"/>
          <w:sz w:val="20"/>
        </w:rPr>
        <w:t> </w:t>
      </w:r>
      <w:r>
        <w:rPr>
          <w:sz w:val="20"/>
        </w:rPr>
        <w:t>and</w:t>
      </w:r>
      <w:r>
        <w:rPr>
          <w:spacing w:val="-1"/>
          <w:sz w:val="20"/>
        </w:rPr>
        <w:t> </w:t>
      </w:r>
      <w:r>
        <w:rPr>
          <w:sz w:val="20"/>
        </w:rPr>
        <w:t>practices</w:t>
      </w:r>
      <w:r>
        <w:rPr>
          <w:spacing w:val="-2"/>
          <w:sz w:val="20"/>
        </w:rPr>
        <w:t> </w:t>
      </w:r>
      <w:r>
        <w:rPr>
          <w:sz w:val="20"/>
        </w:rPr>
        <w:t>as</w:t>
      </w:r>
      <w:r>
        <w:rPr>
          <w:spacing w:val="-2"/>
          <w:sz w:val="20"/>
        </w:rPr>
        <w:t> </w:t>
      </w:r>
      <w:r>
        <w:rPr>
          <w:sz w:val="20"/>
        </w:rPr>
        <w:t>a result of</w:t>
      </w:r>
      <w:r>
        <w:rPr>
          <w:spacing w:val="-2"/>
          <w:sz w:val="20"/>
        </w:rPr>
        <w:t> </w:t>
      </w:r>
      <w:r>
        <w:rPr>
          <w:sz w:val="20"/>
        </w:rPr>
        <w:t>HCH.</w:t>
      </w:r>
    </w:p>
    <w:p>
      <w:pPr>
        <w:pStyle w:val="BodyText"/>
        <w:spacing w:line="276" w:lineRule="auto" w:before="199"/>
        <w:ind w:left="860" w:right="1455"/>
      </w:pPr>
      <w:r>
        <w:rPr/>
        <w:t>The analysis will need to identify dimensions across which practices vary, and to allocate</w:t>
      </w:r>
      <w:r>
        <w:rPr>
          <w:spacing w:val="1"/>
        </w:rPr>
        <w:t> </w:t>
      </w:r>
      <w:r>
        <w:rPr/>
        <w:t>practices to categories that are important in considering the further rollout of the program</w:t>
      </w:r>
      <w:r>
        <w:rPr>
          <w:spacing w:val="-53"/>
        </w:rPr>
        <w:t> </w:t>
      </w:r>
      <w:r>
        <w:rPr/>
        <w:t>(e.g.</w:t>
      </w:r>
      <w:r>
        <w:rPr>
          <w:spacing w:val="-5"/>
        </w:rPr>
        <w:t> </w:t>
      </w:r>
      <w:r>
        <w:rPr/>
        <w:t>location,</w:t>
      </w:r>
      <w:r>
        <w:rPr>
          <w:spacing w:val="-5"/>
        </w:rPr>
        <w:t> </w:t>
      </w:r>
      <w:r>
        <w:rPr/>
        <w:t>size,</w:t>
      </w:r>
      <w:r>
        <w:rPr>
          <w:spacing w:val="-4"/>
        </w:rPr>
        <w:t> </w:t>
      </w:r>
      <w:r>
        <w:rPr/>
        <w:t>organisational</w:t>
      </w:r>
      <w:r>
        <w:rPr>
          <w:spacing w:val="-2"/>
        </w:rPr>
        <w:t> </w:t>
      </w:r>
      <w:r>
        <w:rPr/>
        <w:t>ownership</w:t>
      </w:r>
      <w:r>
        <w:rPr>
          <w:spacing w:val="-2"/>
        </w:rPr>
        <w:t> </w:t>
      </w:r>
      <w:r>
        <w:rPr/>
        <w:t>and</w:t>
      </w:r>
      <w:r>
        <w:rPr>
          <w:spacing w:val="-3"/>
        </w:rPr>
        <w:t> </w:t>
      </w:r>
      <w:r>
        <w:rPr/>
        <w:t>aspects</w:t>
      </w:r>
      <w:r>
        <w:rPr>
          <w:spacing w:val="-3"/>
        </w:rPr>
        <w:t> </w:t>
      </w:r>
      <w:r>
        <w:rPr/>
        <w:t>of</w:t>
      </w:r>
      <w:r>
        <w:rPr>
          <w:spacing w:val="-3"/>
        </w:rPr>
        <w:t> </w:t>
      </w:r>
      <w:r>
        <w:rPr/>
        <w:t>organisational</w:t>
      </w:r>
      <w:r>
        <w:rPr>
          <w:spacing w:val="5"/>
        </w:rPr>
        <w:t> </w:t>
      </w:r>
      <w:r>
        <w:rPr/>
        <w:t>‘maturity’).</w:t>
      </w:r>
    </w:p>
    <w:p>
      <w:pPr>
        <w:pStyle w:val="BodyText"/>
        <w:spacing w:line="276" w:lineRule="auto" w:before="201"/>
        <w:ind w:left="860" w:right="1699"/>
      </w:pPr>
      <w:r>
        <w:rPr/>
        <w:t>The following sections provide further descriptions of the approaches to conducting the</w:t>
      </w:r>
      <w:r>
        <w:rPr>
          <w:spacing w:val="-53"/>
        </w:rPr>
        <w:t> </w:t>
      </w:r>
      <w:r>
        <w:rPr/>
        <w:t>comparative</w:t>
      </w:r>
      <w:r>
        <w:rPr>
          <w:spacing w:val="-2"/>
        </w:rPr>
        <w:t> </w:t>
      </w:r>
      <w:r>
        <w:rPr/>
        <w:t>analysis</w:t>
      </w:r>
      <w:r>
        <w:rPr>
          <w:spacing w:val="-1"/>
        </w:rPr>
        <w:t> </w:t>
      </w:r>
      <w:r>
        <w:rPr/>
        <w:t>and</w:t>
      </w:r>
      <w:r>
        <w:rPr>
          <w:spacing w:val="1"/>
        </w:rPr>
        <w:t> </w:t>
      </w:r>
      <w:r>
        <w:rPr/>
        <w:t>the before-and-after</w:t>
      </w:r>
      <w:r>
        <w:rPr>
          <w:spacing w:val="-1"/>
        </w:rPr>
        <w:t> </w:t>
      </w:r>
      <w:r>
        <w:rPr/>
        <w:t>analysis.</w:t>
      </w:r>
    </w:p>
    <w:p>
      <w:pPr>
        <w:pStyle w:val="BodyText"/>
        <w:spacing w:line="276" w:lineRule="auto" w:before="199"/>
        <w:ind w:left="860" w:right="1557"/>
      </w:pPr>
      <w:r>
        <w:rPr/>
        <w:t>Qualitative data collected will provide an opportunity to explore in-depth outcomes that</w:t>
      </w:r>
      <w:r>
        <w:rPr>
          <w:spacing w:val="-53"/>
        </w:rPr>
        <w:t> </w:t>
      </w:r>
      <w:r>
        <w:rPr/>
        <w:t>may not be easily measured through quantitative means, and describe the factors that</w:t>
      </w:r>
      <w:r>
        <w:rPr>
          <w:spacing w:val="1"/>
        </w:rPr>
        <w:t> </w:t>
      </w:r>
      <w:r>
        <w:rPr/>
        <w:t>contributed</w:t>
      </w:r>
      <w:r>
        <w:rPr>
          <w:spacing w:val="-2"/>
        </w:rPr>
        <w:t> </w:t>
      </w:r>
      <w:r>
        <w:rPr/>
        <w:t>to</w:t>
      </w:r>
      <w:r>
        <w:rPr>
          <w:spacing w:val="-1"/>
        </w:rPr>
        <w:t> </w:t>
      </w:r>
      <w:r>
        <w:rPr/>
        <w:t>or</w:t>
      </w:r>
      <w:r>
        <w:rPr>
          <w:spacing w:val="-1"/>
        </w:rPr>
        <w:t> </w:t>
      </w:r>
      <w:r>
        <w:rPr/>
        <w:t>impacted</w:t>
      </w:r>
      <w:r>
        <w:rPr>
          <w:spacing w:val="-2"/>
        </w:rPr>
        <w:t> </w:t>
      </w:r>
      <w:r>
        <w:rPr/>
        <w:t>the</w:t>
      </w:r>
      <w:r>
        <w:rPr>
          <w:spacing w:val="-1"/>
        </w:rPr>
        <w:t> </w:t>
      </w:r>
      <w:r>
        <w:rPr/>
        <w:t>observed</w:t>
      </w:r>
      <w:r>
        <w:rPr>
          <w:spacing w:val="-1"/>
        </w:rPr>
        <w:t> </w:t>
      </w:r>
      <w:r>
        <w:rPr/>
        <w:t>changes.</w:t>
      </w:r>
    </w:p>
    <w:p>
      <w:pPr>
        <w:pStyle w:val="BodyText"/>
        <w:spacing w:line="276" w:lineRule="auto" w:before="201"/>
        <w:ind w:left="860" w:right="1236"/>
      </w:pPr>
      <w:hyperlink w:history="true" w:anchor="_bookmark25">
        <w:r>
          <w:rPr/>
          <w:t>Table 9 </w:t>
        </w:r>
      </w:hyperlink>
      <w:r>
        <w:rPr/>
        <w:t>sets out the data collection approaches/ sources that will be used. In the</w:t>
      </w:r>
      <w:r>
        <w:rPr>
          <w:spacing w:val="1"/>
        </w:rPr>
        <w:t> </w:t>
      </w:r>
      <w:r>
        <w:rPr/>
        <w:t>‘Comparator group’ column, ‘No’ means that the data will only relate to the practices or</w:t>
      </w:r>
      <w:r>
        <w:rPr>
          <w:spacing w:val="1"/>
        </w:rPr>
        <w:t> </w:t>
      </w:r>
      <w:r>
        <w:rPr/>
        <w:t>patients enrolled in HCH. ‘Yes’ means that it is intended that data will be extracted and</w:t>
      </w:r>
      <w:r>
        <w:rPr>
          <w:spacing w:val="1"/>
        </w:rPr>
        <w:t> </w:t>
      </w:r>
      <w:r>
        <w:rPr/>
        <w:t>analysed for both the practices or patients enrolled in HCH as well as other (matched)</w:t>
      </w:r>
      <w:r>
        <w:rPr>
          <w:spacing w:val="1"/>
        </w:rPr>
        <w:t> </w:t>
      </w:r>
      <w:r>
        <w:rPr/>
        <w:t>practices</w:t>
      </w:r>
      <w:r>
        <w:rPr>
          <w:spacing w:val="-4"/>
        </w:rPr>
        <w:t> </w:t>
      </w:r>
      <w:r>
        <w:rPr/>
        <w:t>and</w:t>
      </w:r>
      <w:r>
        <w:rPr>
          <w:spacing w:val="-4"/>
        </w:rPr>
        <w:t> </w:t>
      </w:r>
      <w:r>
        <w:rPr/>
        <w:t>patients</w:t>
      </w:r>
      <w:r>
        <w:rPr>
          <w:spacing w:val="-4"/>
        </w:rPr>
        <w:t> </w:t>
      </w:r>
      <w:r>
        <w:rPr/>
        <w:t>not</w:t>
      </w:r>
      <w:r>
        <w:rPr>
          <w:spacing w:val="-2"/>
        </w:rPr>
        <w:t> </w:t>
      </w:r>
      <w:r>
        <w:rPr/>
        <w:t>participating</w:t>
      </w:r>
      <w:r>
        <w:rPr>
          <w:spacing w:val="-4"/>
        </w:rPr>
        <w:t> </w:t>
      </w:r>
      <w:r>
        <w:rPr/>
        <w:t>in</w:t>
      </w:r>
      <w:r>
        <w:rPr>
          <w:spacing w:val="-2"/>
        </w:rPr>
        <w:t> </w:t>
      </w:r>
      <w:r>
        <w:rPr/>
        <w:t>HCH.</w:t>
      </w:r>
      <w:r>
        <w:rPr>
          <w:spacing w:val="-4"/>
        </w:rPr>
        <w:t> </w:t>
      </w:r>
      <w:r>
        <w:rPr/>
        <w:t>The</w:t>
      </w:r>
      <w:r>
        <w:rPr>
          <w:spacing w:val="-4"/>
        </w:rPr>
        <w:t> </w:t>
      </w:r>
      <w:r>
        <w:rPr/>
        <w:t>Table</w:t>
      </w:r>
      <w:r>
        <w:rPr>
          <w:spacing w:val="-4"/>
        </w:rPr>
        <w:t> </w:t>
      </w:r>
      <w:r>
        <w:rPr/>
        <w:t>also</w:t>
      </w:r>
      <w:r>
        <w:rPr>
          <w:spacing w:val="-5"/>
        </w:rPr>
        <w:t> </w:t>
      </w:r>
      <w:r>
        <w:rPr/>
        <w:t>lists</w:t>
      </w:r>
      <w:r>
        <w:rPr>
          <w:spacing w:val="-3"/>
        </w:rPr>
        <w:t> </w:t>
      </w:r>
      <w:r>
        <w:rPr/>
        <w:t>the</w:t>
      </w:r>
      <w:r>
        <w:rPr>
          <w:spacing w:val="-4"/>
        </w:rPr>
        <w:t> </w:t>
      </w:r>
      <w:r>
        <w:rPr/>
        <w:t>rounds</w:t>
      </w:r>
      <w:r>
        <w:rPr>
          <w:spacing w:val="-4"/>
        </w:rPr>
        <w:t> </w:t>
      </w:r>
      <w:r>
        <w:rPr/>
        <w:t>during</w:t>
      </w:r>
      <w:r>
        <w:rPr>
          <w:spacing w:val="-4"/>
        </w:rPr>
        <w:t> </w:t>
      </w:r>
      <w:r>
        <w:rPr/>
        <w:t>which</w:t>
      </w:r>
      <w:r>
        <w:rPr>
          <w:spacing w:val="-52"/>
        </w:rPr>
        <w:t> </w:t>
      </w:r>
      <w:r>
        <w:rPr/>
        <w:t>the</w:t>
      </w:r>
      <w:r>
        <w:rPr>
          <w:spacing w:val="-2"/>
        </w:rPr>
        <w:t> </w:t>
      </w:r>
      <w:r>
        <w:rPr/>
        <w:t>data</w:t>
      </w:r>
      <w:r>
        <w:rPr>
          <w:spacing w:val="-1"/>
        </w:rPr>
        <w:t> </w:t>
      </w:r>
      <w:r>
        <w:rPr/>
        <w:t>collection will occur.</w:t>
      </w:r>
    </w:p>
    <w:p>
      <w:pPr>
        <w:pStyle w:val="BodyText"/>
        <w:spacing w:line="276" w:lineRule="auto" w:before="199"/>
        <w:ind w:left="860" w:right="1455"/>
      </w:pPr>
      <w:r>
        <w:rPr/>
        <w:t>Primary data collection will be in relation to the practices and enrolees within those</w:t>
      </w:r>
      <w:r>
        <w:rPr>
          <w:spacing w:val="1"/>
        </w:rPr>
        <w:t> </w:t>
      </w:r>
      <w:r>
        <w:rPr/>
        <w:t>practices,</w:t>
      </w:r>
      <w:r>
        <w:rPr>
          <w:spacing w:val="-6"/>
        </w:rPr>
        <w:t> </w:t>
      </w:r>
      <w:r>
        <w:rPr/>
        <w:t>except</w:t>
      </w:r>
      <w:r>
        <w:rPr>
          <w:spacing w:val="-1"/>
        </w:rPr>
        <w:t> </w:t>
      </w:r>
      <w:r>
        <w:rPr/>
        <w:t>for</w:t>
      </w:r>
      <w:r>
        <w:rPr>
          <w:spacing w:val="-4"/>
        </w:rPr>
        <w:t> </w:t>
      </w:r>
      <w:r>
        <w:rPr/>
        <w:t>the</w:t>
      </w:r>
      <w:r>
        <w:rPr>
          <w:spacing w:val="-3"/>
        </w:rPr>
        <w:t> </w:t>
      </w:r>
      <w:r>
        <w:rPr/>
        <w:t>case</w:t>
      </w:r>
      <w:r>
        <w:rPr>
          <w:spacing w:val="-4"/>
        </w:rPr>
        <w:t> </w:t>
      </w:r>
      <w:r>
        <w:rPr/>
        <w:t>studies,</w:t>
      </w:r>
      <w:r>
        <w:rPr>
          <w:spacing w:val="-5"/>
        </w:rPr>
        <w:t> </w:t>
      </w:r>
      <w:r>
        <w:rPr/>
        <w:t>which</w:t>
      </w:r>
      <w:r>
        <w:rPr>
          <w:spacing w:val="-3"/>
        </w:rPr>
        <w:t> </w:t>
      </w:r>
      <w:r>
        <w:rPr/>
        <w:t>will</w:t>
      </w:r>
      <w:r>
        <w:rPr>
          <w:spacing w:val="-2"/>
        </w:rPr>
        <w:t> </w:t>
      </w:r>
      <w:r>
        <w:rPr/>
        <w:t>be</w:t>
      </w:r>
      <w:r>
        <w:rPr>
          <w:spacing w:val="-4"/>
        </w:rPr>
        <w:t> </w:t>
      </w:r>
      <w:r>
        <w:rPr/>
        <w:t>undertaken</w:t>
      </w:r>
      <w:r>
        <w:rPr>
          <w:spacing w:val="-2"/>
        </w:rPr>
        <w:t> </w:t>
      </w:r>
      <w:r>
        <w:rPr/>
        <w:t>in</w:t>
      </w:r>
      <w:r>
        <w:rPr>
          <w:spacing w:val="-3"/>
        </w:rPr>
        <w:t> </w:t>
      </w:r>
      <w:r>
        <w:rPr/>
        <w:t>a</w:t>
      </w:r>
      <w:r>
        <w:rPr>
          <w:spacing w:val="-2"/>
        </w:rPr>
        <w:t> </w:t>
      </w:r>
      <w:r>
        <w:rPr/>
        <w:t>subset</w:t>
      </w:r>
      <w:r>
        <w:rPr>
          <w:spacing w:val="-2"/>
        </w:rPr>
        <w:t> </w:t>
      </w:r>
      <w:r>
        <w:rPr/>
        <w:t>of</w:t>
      </w:r>
      <w:r>
        <w:rPr>
          <w:spacing w:val="-3"/>
        </w:rPr>
        <w:t> </w:t>
      </w:r>
      <w:r>
        <w:rPr/>
        <w:t>practices</w:t>
      </w:r>
      <w:r>
        <w:rPr>
          <w:spacing w:val="-53"/>
        </w:rPr>
        <w:t> </w:t>
      </w:r>
      <w:r>
        <w:rPr/>
        <w:t>(approximately 20). The secondary data will be for all practices as well as comparator</w:t>
      </w:r>
      <w:r>
        <w:rPr>
          <w:spacing w:val="1"/>
        </w:rPr>
        <w:t> </w:t>
      </w:r>
      <w:r>
        <w:rPr/>
        <w:t>practices</w:t>
      </w:r>
      <w:r>
        <w:rPr>
          <w:spacing w:val="-2"/>
        </w:rPr>
        <w:t> </w:t>
      </w:r>
      <w:r>
        <w:rPr/>
        <w:t>and</w:t>
      </w:r>
      <w:r>
        <w:rPr>
          <w:spacing w:val="1"/>
        </w:rPr>
        <w:t> </w:t>
      </w:r>
      <w:r>
        <w:rPr/>
        <w:t>patients.</w:t>
      </w:r>
    </w:p>
    <w:p>
      <w:pPr>
        <w:spacing w:after="0" w:line="276" w:lineRule="auto"/>
        <w:sectPr>
          <w:footerReference w:type="default" r:id="rId31"/>
          <w:pgSz w:w="11910" w:h="16840"/>
          <w:pgMar w:footer="675" w:header="0" w:top="0" w:bottom="860" w:left="580" w:right="280"/>
        </w:sectPr>
      </w:pPr>
    </w:p>
    <w:p>
      <w:pPr>
        <w:spacing w:before="80" w:after="36"/>
        <w:ind w:left="1225" w:right="1520" w:firstLine="0"/>
        <w:jc w:val="center"/>
        <w:rPr>
          <w:b/>
          <w:sz w:val="18"/>
        </w:rPr>
      </w:pPr>
      <w:bookmarkStart w:name="_bookmark25" w:id="26"/>
      <w:bookmarkEnd w:id="26"/>
      <w:r>
        <w:rPr/>
      </w:r>
      <w:r>
        <w:rPr>
          <w:b/>
          <w:sz w:val="18"/>
        </w:rPr>
        <w:t>Table</w:t>
      </w:r>
      <w:r>
        <w:rPr>
          <w:b/>
          <w:spacing w:val="-2"/>
          <w:sz w:val="18"/>
        </w:rPr>
        <w:t> </w:t>
      </w:r>
      <w:r>
        <w:rPr>
          <w:b/>
          <w:sz w:val="18"/>
        </w:rPr>
        <w:t>9</w:t>
      </w:r>
      <w:r>
        <w:rPr>
          <w:b/>
          <w:spacing w:val="-5"/>
          <w:sz w:val="18"/>
        </w:rPr>
        <w:t> </w:t>
      </w:r>
      <w:r>
        <w:rPr>
          <w:b/>
          <w:sz w:val="18"/>
        </w:rPr>
        <w:t>– Evaluation</w:t>
      </w:r>
      <w:r>
        <w:rPr>
          <w:b/>
          <w:spacing w:val="-2"/>
          <w:sz w:val="18"/>
        </w:rPr>
        <w:t> </w:t>
      </w:r>
      <w:r>
        <w:rPr>
          <w:b/>
          <w:sz w:val="18"/>
        </w:rPr>
        <w:t>data</w:t>
      </w:r>
      <w:r>
        <w:rPr>
          <w:b/>
          <w:spacing w:val="-1"/>
          <w:sz w:val="18"/>
        </w:rPr>
        <w:t> </w:t>
      </w:r>
      <w:r>
        <w:rPr>
          <w:b/>
          <w:sz w:val="18"/>
        </w:rPr>
        <w:t>sources/ approaches</w:t>
      </w:r>
    </w:p>
    <w:tbl>
      <w:tblPr>
        <w:tblW w:w="0" w:type="auto"/>
        <w:jc w:val="left"/>
        <w:tblInd w:w="87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3320"/>
        <w:gridCol w:w="1395"/>
        <w:gridCol w:w="1283"/>
        <w:gridCol w:w="1369"/>
        <w:gridCol w:w="1655"/>
      </w:tblGrid>
      <w:tr>
        <w:trPr>
          <w:trHeight w:val="662" w:hRule="atLeast"/>
        </w:trPr>
        <w:tc>
          <w:tcPr>
            <w:tcW w:w="3320" w:type="dxa"/>
            <w:shd w:val="clear" w:color="auto" w:fill="003C79"/>
          </w:tcPr>
          <w:p>
            <w:pPr>
              <w:pStyle w:val="TableParagraph"/>
              <w:spacing w:before="11"/>
              <w:rPr>
                <w:b/>
                <w:sz w:val="17"/>
              </w:rPr>
            </w:pPr>
          </w:p>
          <w:p>
            <w:pPr>
              <w:pStyle w:val="TableParagraph"/>
              <w:ind w:left="1111" w:right="1101"/>
              <w:jc w:val="center"/>
              <w:rPr>
                <w:b/>
                <w:sz w:val="18"/>
              </w:rPr>
            </w:pPr>
            <w:r>
              <w:rPr>
                <w:b/>
                <w:color w:val="FFFFFF"/>
                <w:sz w:val="18"/>
              </w:rPr>
              <w:t>Data</w:t>
            </w:r>
            <w:r>
              <w:rPr>
                <w:b/>
                <w:color w:val="FFFFFF"/>
                <w:spacing w:val="-2"/>
                <w:sz w:val="18"/>
              </w:rPr>
              <w:t> </w:t>
            </w:r>
            <w:r>
              <w:rPr>
                <w:b/>
                <w:color w:val="FFFFFF"/>
                <w:sz w:val="18"/>
              </w:rPr>
              <w:t>source</w:t>
            </w:r>
          </w:p>
        </w:tc>
        <w:tc>
          <w:tcPr>
            <w:tcW w:w="1395" w:type="dxa"/>
            <w:shd w:val="clear" w:color="auto" w:fill="003C79"/>
          </w:tcPr>
          <w:p>
            <w:pPr>
              <w:pStyle w:val="TableParagraph"/>
              <w:spacing w:before="109"/>
              <w:ind w:left="501" w:right="231" w:hanging="250"/>
              <w:rPr>
                <w:b/>
                <w:sz w:val="18"/>
              </w:rPr>
            </w:pPr>
            <w:r>
              <w:rPr>
                <w:b/>
                <w:color w:val="FFFFFF"/>
                <w:spacing w:val="-1"/>
                <w:sz w:val="18"/>
              </w:rPr>
              <w:t>Collection</w:t>
            </w:r>
            <w:r>
              <w:rPr>
                <w:b/>
                <w:color w:val="FFFFFF"/>
                <w:spacing w:val="-48"/>
                <w:sz w:val="18"/>
              </w:rPr>
              <w:t> </w:t>
            </w:r>
            <w:r>
              <w:rPr>
                <w:b/>
                <w:color w:val="FFFFFF"/>
                <w:sz w:val="18"/>
              </w:rPr>
              <w:t>type</w:t>
            </w:r>
          </w:p>
        </w:tc>
        <w:tc>
          <w:tcPr>
            <w:tcW w:w="1283" w:type="dxa"/>
            <w:shd w:val="clear" w:color="auto" w:fill="003C79"/>
          </w:tcPr>
          <w:p>
            <w:pPr>
              <w:pStyle w:val="TableParagraph"/>
              <w:spacing w:before="109"/>
              <w:ind w:left="380" w:right="81" w:hanging="274"/>
              <w:rPr>
                <w:b/>
                <w:sz w:val="18"/>
              </w:rPr>
            </w:pPr>
            <w:r>
              <w:rPr>
                <w:b/>
                <w:color w:val="FFFFFF"/>
                <w:sz w:val="18"/>
              </w:rPr>
              <w:t>Comparison</w:t>
            </w:r>
            <w:r>
              <w:rPr>
                <w:b/>
                <w:color w:val="FFFFFF"/>
                <w:spacing w:val="-48"/>
                <w:sz w:val="18"/>
              </w:rPr>
              <w:t> </w:t>
            </w:r>
            <w:r>
              <w:rPr>
                <w:b/>
                <w:color w:val="FFFFFF"/>
                <w:sz w:val="18"/>
              </w:rPr>
              <w:t>group</w:t>
            </w:r>
          </w:p>
        </w:tc>
        <w:tc>
          <w:tcPr>
            <w:tcW w:w="1369" w:type="dxa"/>
            <w:shd w:val="clear" w:color="auto" w:fill="003C79"/>
          </w:tcPr>
          <w:p>
            <w:pPr>
              <w:pStyle w:val="TableParagraph"/>
              <w:spacing w:line="220" w:lineRule="exact"/>
              <w:ind w:left="132" w:right="121"/>
              <w:jc w:val="center"/>
              <w:rPr>
                <w:b/>
                <w:sz w:val="18"/>
              </w:rPr>
            </w:pPr>
            <w:r>
              <w:rPr>
                <w:b/>
                <w:color w:val="FFFFFF"/>
                <w:sz w:val="18"/>
              </w:rPr>
              <w:t>Coverage of</w:t>
            </w:r>
            <w:r>
              <w:rPr>
                <w:b/>
                <w:color w:val="FFFFFF"/>
                <w:spacing w:val="-48"/>
                <w:sz w:val="18"/>
              </w:rPr>
              <w:t> </w:t>
            </w:r>
            <w:r>
              <w:rPr>
                <w:b/>
                <w:color w:val="FFFFFF"/>
                <w:sz w:val="18"/>
              </w:rPr>
              <w:t>pharmacy</w:t>
            </w:r>
            <w:r>
              <w:rPr>
                <w:b/>
                <w:color w:val="FFFFFF"/>
                <w:spacing w:val="1"/>
                <w:sz w:val="18"/>
              </w:rPr>
              <w:t> </w:t>
            </w:r>
            <w:r>
              <w:rPr>
                <w:b/>
                <w:color w:val="FFFFFF"/>
                <w:sz w:val="18"/>
              </w:rPr>
              <w:t>component</w:t>
            </w:r>
          </w:p>
        </w:tc>
        <w:tc>
          <w:tcPr>
            <w:tcW w:w="1655" w:type="dxa"/>
            <w:shd w:val="clear" w:color="auto" w:fill="003C79"/>
          </w:tcPr>
          <w:p>
            <w:pPr>
              <w:pStyle w:val="TableParagraph"/>
              <w:ind w:left="499" w:right="134" w:hanging="344"/>
              <w:rPr>
                <w:b/>
                <w:sz w:val="18"/>
              </w:rPr>
            </w:pPr>
            <w:r>
              <w:rPr>
                <w:b/>
                <w:color w:val="FFFFFF"/>
                <w:sz w:val="18"/>
              </w:rPr>
              <w:t>Data collection</w:t>
            </w:r>
            <w:r>
              <w:rPr>
                <w:b/>
                <w:color w:val="FFFFFF"/>
                <w:spacing w:val="-48"/>
                <w:sz w:val="18"/>
              </w:rPr>
              <w:t> </w:t>
            </w:r>
            <w:r>
              <w:rPr>
                <w:b/>
                <w:color w:val="FFFFFF"/>
                <w:sz w:val="18"/>
              </w:rPr>
              <w:t>periods</w:t>
            </w:r>
          </w:p>
        </w:tc>
      </w:tr>
      <w:tr>
        <w:trPr>
          <w:trHeight w:val="220" w:hRule="atLeast"/>
        </w:trPr>
        <w:tc>
          <w:tcPr>
            <w:tcW w:w="3320" w:type="dxa"/>
          </w:tcPr>
          <w:p>
            <w:pPr>
              <w:pStyle w:val="TableParagraph"/>
              <w:spacing w:line="200" w:lineRule="exact"/>
              <w:ind w:left="107"/>
              <w:rPr>
                <w:sz w:val="18"/>
              </w:rPr>
            </w:pPr>
            <w:r>
              <w:rPr>
                <w:sz w:val="18"/>
              </w:rPr>
              <w:t>Patient*</w:t>
            </w:r>
            <w:r>
              <w:rPr>
                <w:spacing w:val="-7"/>
                <w:sz w:val="18"/>
              </w:rPr>
              <w:t> </w:t>
            </w:r>
            <w:r>
              <w:rPr>
                <w:sz w:val="18"/>
              </w:rPr>
              <w:t>surveys</w:t>
            </w:r>
          </w:p>
        </w:tc>
        <w:tc>
          <w:tcPr>
            <w:tcW w:w="1395" w:type="dxa"/>
          </w:tcPr>
          <w:p>
            <w:pPr>
              <w:pStyle w:val="TableParagraph"/>
              <w:spacing w:line="200" w:lineRule="exact"/>
              <w:ind w:left="202" w:right="192"/>
              <w:jc w:val="center"/>
              <w:rPr>
                <w:sz w:val="18"/>
              </w:rPr>
            </w:pPr>
            <w:r>
              <w:rPr>
                <w:sz w:val="18"/>
              </w:rPr>
              <w:t>Primary</w:t>
            </w:r>
          </w:p>
        </w:tc>
        <w:tc>
          <w:tcPr>
            <w:tcW w:w="1283" w:type="dxa"/>
          </w:tcPr>
          <w:p>
            <w:pPr>
              <w:pStyle w:val="TableParagraph"/>
              <w:spacing w:line="200" w:lineRule="exact"/>
              <w:ind w:left="468" w:right="467"/>
              <w:jc w:val="center"/>
              <w:rPr>
                <w:sz w:val="18"/>
              </w:rPr>
            </w:pPr>
            <w:r>
              <w:rPr>
                <w:sz w:val="18"/>
              </w:rPr>
              <w:t>No</w:t>
            </w:r>
          </w:p>
        </w:tc>
        <w:tc>
          <w:tcPr>
            <w:tcW w:w="1369" w:type="dxa"/>
          </w:tcPr>
          <w:p>
            <w:pPr>
              <w:pStyle w:val="TableParagraph"/>
              <w:spacing w:line="200" w:lineRule="exact"/>
              <w:ind w:left="130" w:right="123"/>
              <w:jc w:val="center"/>
              <w:rPr>
                <w:sz w:val="18"/>
              </w:rPr>
            </w:pPr>
            <w:r>
              <w:rPr>
                <w:sz w:val="18"/>
              </w:rPr>
              <w:t>Yes</w:t>
            </w:r>
          </w:p>
        </w:tc>
        <w:tc>
          <w:tcPr>
            <w:tcW w:w="1655" w:type="dxa"/>
          </w:tcPr>
          <w:p>
            <w:pPr>
              <w:pStyle w:val="TableParagraph"/>
              <w:spacing w:line="200" w:lineRule="exact"/>
              <w:ind w:left="112" w:right="109"/>
              <w:jc w:val="center"/>
              <w:rPr>
                <w:sz w:val="18"/>
              </w:rPr>
            </w:pPr>
            <w:r>
              <w:rPr>
                <w:sz w:val="18"/>
              </w:rPr>
              <w:t>Rounds</w:t>
            </w:r>
            <w:r>
              <w:rPr>
                <w:spacing w:val="-1"/>
                <w:sz w:val="18"/>
              </w:rPr>
              <w:t> </w:t>
            </w:r>
            <w:r>
              <w:rPr>
                <w:sz w:val="18"/>
              </w:rPr>
              <w:t>1,</w:t>
            </w:r>
            <w:r>
              <w:rPr>
                <w:spacing w:val="-2"/>
                <w:sz w:val="18"/>
              </w:rPr>
              <w:t> </w:t>
            </w:r>
            <w:r>
              <w:rPr>
                <w:sz w:val="18"/>
              </w:rPr>
              <w:t>4,</w:t>
            </w:r>
            <w:r>
              <w:rPr>
                <w:spacing w:val="-2"/>
                <w:sz w:val="18"/>
              </w:rPr>
              <w:t> </w:t>
            </w:r>
            <w:r>
              <w:rPr>
                <w:sz w:val="18"/>
              </w:rPr>
              <w:t>5</w:t>
            </w:r>
          </w:p>
        </w:tc>
      </w:tr>
      <w:tr>
        <w:trPr>
          <w:trHeight w:val="220" w:hRule="atLeast"/>
        </w:trPr>
        <w:tc>
          <w:tcPr>
            <w:tcW w:w="3320" w:type="dxa"/>
          </w:tcPr>
          <w:p>
            <w:pPr>
              <w:pStyle w:val="TableParagraph"/>
              <w:spacing w:line="200" w:lineRule="exact"/>
              <w:ind w:left="107"/>
              <w:rPr>
                <w:sz w:val="18"/>
              </w:rPr>
            </w:pPr>
            <w:r>
              <w:rPr>
                <w:sz w:val="18"/>
              </w:rPr>
              <w:t>Practice</w:t>
            </w:r>
            <w:r>
              <w:rPr>
                <w:spacing w:val="-5"/>
                <w:sz w:val="18"/>
              </w:rPr>
              <w:t> </w:t>
            </w:r>
            <w:r>
              <w:rPr>
                <w:sz w:val="18"/>
              </w:rPr>
              <w:t>surveys</w:t>
            </w:r>
          </w:p>
        </w:tc>
        <w:tc>
          <w:tcPr>
            <w:tcW w:w="1395" w:type="dxa"/>
          </w:tcPr>
          <w:p>
            <w:pPr>
              <w:pStyle w:val="TableParagraph"/>
              <w:spacing w:line="200" w:lineRule="exact"/>
              <w:ind w:left="202" w:right="192"/>
              <w:jc w:val="center"/>
              <w:rPr>
                <w:sz w:val="18"/>
              </w:rPr>
            </w:pPr>
            <w:r>
              <w:rPr>
                <w:sz w:val="18"/>
              </w:rPr>
              <w:t>Primary</w:t>
            </w:r>
          </w:p>
        </w:tc>
        <w:tc>
          <w:tcPr>
            <w:tcW w:w="1283" w:type="dxa"/>
          </w:tcPr>
          <w:p>
            <w:pPr>
              <w:pStyle w:val="TableParagraph"/>
              <w:spacing w:line="200" w:lineRule="exact"/>
              <w:ind w:left="468" w:right="467"/>
              <w:jc w:val="center"/>
              <w:rPr>
                <w:sz w:val="18"/>
              </w:rPr>
            </w:pPr>
            <w:r>
              <w:rPr>
                <w:sz w:val="18"/>
              </w:rPr>
              <w:t>No</w:t>
            </w:r>
          </w:p>
        </w:tc>
        <w:tc>
          <w:tcPr>
            <w:tcW w:w="1369" w:type="dxa"/>
          </w:tcPr>
          <w:p>
            <w:pPr>
              <w:pStyle w:val="TableParagraph"/>
              <w:spacing w:line="200" w:lineRule="exact"/>
              <w:ind w:left="126" w:right="123"/>
              <w:jc w:val="center"/>
              <w:rPr>
                <w:sz w:val="18"/>
              </w:rPr>
            </w:pPr>
            <w:r>
              <w:rPr>
                <w:sz w:val="18"/>
              </w:rPr>
              <w:t>No</w:t>
            </w:r>
          </w:p>
        </w:tc>
        <w:tc>
          <w:tcPr>
            <w:tcW w:w="1655" w:type="dxa"/>
          </w:tcPr>
          <w:p>
            <w:pPr>
              <w:pStyle w:val="TableParagraph"/>
              <w:spacing w:line="200" w:lineRule="exact"/>
              <w:ind w:left="112" w:right="111"/>
              <w:jc w:val="center"/>
              <w:rPr>
                <w:sz w:val="18"/>
              </w:rPr>
            </w:pPr>
            <w:r>
              <w:rPr>
                <w:sz w:val="18"/>
              </w:rPr>
              <w:t>Rounds</w:t>
            </w:r>
            <w:r>
              <w:rPr>
                <w:spacing w:val="-1"/>
                <w:sz w:val="18"/>
              </w:rPr>
              <w:t> </w:t>
            </w:r>
            <w:r>
              <w:rPr>
                <w:sz w:val="18"/>
              </w:rPr>
              <w:t>1,</w:t>
            </w:r>
            <w:r>
              <w:rPr>
                <w:spacing w:val="-2"/>
                <w:sz w:val="18"/>
              </w:rPr>
              <w:t> </w:t>
            </w:r>
            <w:r>
              <w:rPr>
                <w:sz w:val="18"/>
              </w:rPr>
              <w:t>2,</w:t>
            </w:r>
            <w:r>
              <w:rPr>
                <w:spacing w:val="-1"/>
                <w:sz w:val="18"/>
              </w:rPr>
              <w:t> </w:t>
            </w:r>
            <w:r>
              <w:rPr>
                <w:sz w:val="18"/>
              </w:rPr>
              <w:t>4,</w:t>
            </w:r>
            <w:r>
              <w:rPr>
                <w:spacing w:val="-2"/>
                <w:sz w:val="18"/>
              </w:rPr>
              <w:t> </w:t>
            </w:r>
            <w:r>
              <w:rPr>
                <w:sz w:val="18"/>
              </w:rPr>
              <w:t>5</w:t>
            </w:r>
          </w:p>
        </w:tc>
      </w:tr>
      <w:tr>
        <w:trPr>
          <w:trHeight w:val="220" w:hRule="atLeast"/>
        </w:trPr>
        <w:tc>
          <w:tcPr>
            <w:tcW w:w="3320" w:type="dxa"/>
          </w:tcPr>
          <w:p>
            <w:pPr>
              <w:pStyle w:val="TableParagraph"/>
              <w:spacing w:line="200" w:lineRule="exact"/>
              <w:ind w:left="107"/>
              <w:rPr>
                <w:sz w:val="18"/>
              </w:rPr>
            </w:pPr>
            <w:r>
              <w:rPr>
                <w:sz w:val="18"/>
              </w:rPr>
              <w:t>Practice</w:t>
            </w:r>
            <w:r>
              <w:rPr>
                <w:spacing w:val="-5"/>
                <w:sz w:val="18"/>
              </w:rPr>
              <w:t> </w:t>
            </w:r>
            <w:r>
              <w:rPr>
                <w:sz w:val="18"/>
              </w:rPr>
              <w:t>staff</w:t>
            </w:r>
            <w:r>
              <w:rPr>
                <w:spacing w:val="-4"/>
                <w:sz w:val="18"/>
              </w:rPr>
              <w:t> </w:t>
            </w:r>
            <w:r>
              <w:rPr>
                <w:sz w:val="18"/>
              </w:rPr>
              <w:t>surveys</w:t>
            </w:r>
          </w:p>
        </w:tc>
        <w:tc>
          <w:tcPr>
            <w:tcW w:w="1395" w:type="dxa"/>
          </w:tcPr>
          <w:p>
            <w:pPr>
              <w:pStyle w:val="TableParagraph"/>
              <w:spacing w:line="200" w:lineRule="exact"/>
              <w:ind w:left="202" w:right="192"/>
              <w:jc w:val="center"/>
              <w:rPr>
                <w:sz w:val="18"/>
              </w:rPr>
            </w:pPr>
            <w:r>
              <w:rPr>
                <w:sz w:val="18"/>
              </w:rPr>
              <w:t>Primary</w:t>
            </w:r>
          </w:p>
        </w:tc>
        <w:tc>
          <w:tcPr>
            <w:tcW w:w="1283" w:type="dxa"/>
          </w:tcPr>
          <w:p>
            <w:pPr>
              <w:pStyle w:val="TableParagraph"/>
              <w:spacing w:line="200" w:lineRule="exact"/>
              <w:ind w:left="468" w:right="467"/>
              <w:jc w:val="center"/>
              <w:rPr>
                <w:sz w:val="18"/>
              </w:rPr>
            </w:pPr>
            <w:r>
              <w:rPr>
                <w:sz w:val="18"/>
              </w:rPr>
              <w:t>No</w:t>
            </w:r>
          </w:p>
        </w:tc>
        <w:tc>
          <w:tcPr>
            <w:tcW w:w="1369" w:type="dxa"/>
          </w:tcPr>
          <w:p>
            <w:pPr>
              <w:pStyle w:val="TableParagraph"/>
              <w:spacing w:line="200" w:lineRule="exact"/>
              <w:ind w:left="131" w:right="123"/>
              <w:jc w:val="center"/>
              <w:rPr>
                <w:sz w:val="18"/>
              </w:rPr>
            </w:pPr>
            <w:r>
              <w:rPr>
                <w:sz w:val="18"/>
              </w:rPr>
              <w:t>Yes**</w:t>
            </w:r>
          </w:p>
        </w:tc>
        <w:tc>
          <w:tcPr>
            <w:tcW w:w="1655" w:type="dxa"/>
          </w:tcPr>
          <w:p>
            <w:pPr>
              <w:pStyle w:val="TableParagraph"/>
              <w:spacing w:line="200" w:lineRule="exact"/>
              <w:ind w:left="112" w:right="111"/>
              <w:jc w:val="center"/>
              <w:rPr>
                <w:sz w:val="18"/>
              </w:rPr>
            </w:pPr>
            <w:r>
              <w:rPr>
                <w:sz w:val="18"/>
              </w:rPr>
              <w:t>Rounds</w:t>
            </w:r>
            <w:r>
              <w:rPr>
                <w:spacing w:val="-1"/>
                <w:sz w:val="18"/>
              </w:rPr>
              <w:t> </w:t>
            </w:r>
            <w:r>
              <w:rPr>
                <w:sz w:val="18"/>
              </w:rPr>
              <w:t>1,</w:t>
            </w:r>
            <w:r>
              <w:rPr>
                <w:spacing w:val="-2"/>
                <w:sz w:val="18"/>
              </w:rPr>
              <w:t> </w:t>
            </w:r>
            <w:r>
              <w:rPr>
                <w:sz w:val="18"/>
              </w:rPr>
              <w:t>5</w:t>
            </w:r>
          </w:p>
        </w:tc>
      </w:tr>
      <w:tr>
        <w:trPr>
          <w:trHeight w:val="220" w:hRule="atLeast"/>
        </w:trPr>
        <w:tc>
          <w:tcPr>
            <w:tcW w:w="3320" w:type="dxa"/>
          </w:tcPr>
          <w:p>
            <w:pPr>
              <w:pStyle w:val="TableParagraph"/>
              <w:spacing w:line="200" w:lineRule="exact"/>
              <w:ind w:left="107"/>
              <w:rPr>
                <w:sz w:val="18"/>
              </w:rPr>
            </w:pPr>
            <w:r>
              <w:rPr>
                <w:sz w:val="18"/>
              </w:rPr>
              <w:t>PHN</w:t>
            </w:r>
            <w:r>
              <w:rPr>
                <w:spacing w:val="-5"/>
                <w:sz w:val="18"/>
              </w:rPr>
              <w:t> </w:t>
            </w:r>
            <w:r>
              <w:rPr>
                <w:sz w:val="18"/>
              </w:rPr>
              <w:t>surveys</w:t>
            </w:r>
          </w:p>
        </w:tc>
        <w:tc>
          <w:tcPr>
            <w:tcW w:w="1395" w:type="dxa"/>
          </w:tcPr>
          <w:p>
            <w:pPr>
              <w:pStyle w:val="TableParagraph"/>
              <w:spacing w:line="200" w:lineRule="exact"/>
              <w:ind w:left="202" w:right="192"/>
              <w:jc w:val="center"/>
              <w:rPr>
                <w:sz w:val="18"/>
              </w:rPr>
            </w:pPr>
            <w:r>
              <w:rPr>
                <w:sz w:val="18"/>
              </w:rPr>
              <w:t>Primary</w:t>
            </w:r>
          </w:p>
        </w:tc>
        <w:tc>
          <w:tcPr>
            <w:tcW w:w="1283" w:type="dxa"/>
          </w:tcPr>
          <w:p>
            <w:pPr>
              <w:pStyle w:val="TableParagraph"/>
              <w:spacing w:line="200" w:lineRule="exact"/>
              <w:ind w:left="468" w:right="467"/>
              <w:jc w:val="center"/>
              <w:rPr>
                <w:sz w:val="18"/>
              </w:rPr>
            </w:pPr>
            <w:r>
              <w:rPr>
                <w:sz w:val="18"/>
              </w:rPr>
              <w:t>No</w:t>
            </w:r>
          </w:p>
        </w:tc>
        <w:tc>
          <w:tcPr>
            <w:tcW w:w="1369" w:type="dxa"/>
          </w:tcPr>
          <w:p>
            <w:pPr>
              <w:pStyle w:val="TableParagraph"/>
              <w:spacing w:line="200" w:lineRule="exact"/>
              <w:ind w:left="126" w:right="123"/>
              <w:jc w:val="center"/>
              <w:rPr>
                <w:sz w:val="18"/>
              </w:rPr>
            </w:pPr>
            <w:r>
              <w:rPr>
                <w:sz w:val="18"/>
              </w:rPr>
              <w:t>No</w:t>
            </w:r>
          </w:p>
        </w:tc>
        <w:tc>
          <w:tcPr>
            <w:tcW w:w="1655" w:type="dxa"/>
          </w:tcPr>
          <w:p>
            <w:pPr>
              <w:pStyle w:val="TableParagraph"/>
              <w:spacing w:line="200" w:lineRule="exact"/>
              <w:ind w:left="112" w:right="108"/>
              <w:jc w:val="center"/>
              <w:rPr>
                <w:sz w:val="18"/>
              </w:rPr>
            </w:pPr>
            <w:r>
              <w:rPr>
                <w:sz w:val="18"/>
              </w:rPr>
              <w:t>Rounds</w:t>
            </w:r>
            <w:r>
              <w:rPr>
                <w:spacing w:val="-1"/>
                <w:sz w:val="18"/>
              </w:rPr>
              <w:t> </w:t>
            </w:r>
            <w:r>
              <w:rPr>
                <w:sz w:val="18"/>
              </w:rPr>
              <w:t>1,</w:t>
            </w:r>
            <w:r>
              <w:rPr>
                <w:spacing w:val="-1"/>
                <w:sz w:val="18"/>
              </w:rPr>
              <w:t> </w:t>
            </w:r>
            <w:r>
              <w:rPr>
                <w:sz w:val="18"/>
              </w:rPr>
              <w:t>4,</w:t>
            </w:r>
            <w:r>
              <w:rPr>
                <w:spacing w:val="-2"/>
                <w:sz w:val="18"/>
              </w:rPr>
              <w:t> </w:t>
            </w:r>
            <w:r>
              <w:rPr>
                <w:sz w:val="18"/>
              </w:rPr>
              <w:t>5</w:t>
            </w:r>
          </w:p>
        </w:tc>
      </w:tr>
      <w:tr>
        <w:trPr>
          <w:trHeight w:val="1987" w:hRule="atLeast"/>
        </w:trPr>
        <w:tc>
          <w:tcPr>
            <w:tcW w:w="3320" w:type="dxa"/>
          </w:tcPr>
          <w:p>
            <w:pPr>
              <w:pStyle w:val="TableParagraph"/>
              <w:spacing w:line="219" w:lineRule="exact"/>
              <w:ind w:left="107"/>
              <w:rPr>
                <w:sz w:val="18"/>
              </w:rPr>
            </w:pPr>
            <w:r>
              <w:rPr>
                <w:sz w:val="18"/>
              </w:rPr>
              <w:t>Case</w:t>
            </w:r>
            <w:r>
              <w:rPr>
                <w:spacing w:val="-1"/>
                <w:sz w:val="18"/>
              </w:rPr>
              <w:t> </w:t>
            </w:r>
            <w:r>
              <w:rPr>
                <w:sz w:val="18"/>
              </w:rPr>
              <w:t>studies</w:t>
            </w:r>
          </w:p>
          <w:p>
            <w:pPr>
              <w:pStyle w:val="TableParagraph"/>
              <w:numPr>
                <w:ilvl w:val="0"/>
                <w:numId w:val="12"/>
              </w:numPr>
              <w:tabs>
                <w:tab w:pos="271" w:val="left" w:leader="none"/>
              </w:tabs>
              <w:spacing w:line="240" w:lineRule="auto" w:before="0" w:after="0"/>
              <w:ind w:left="271" w:right="0" w:hanging="142"/>
              <w:jc w:val="left"/>
              <w:rPr>
                <w:sz w:val="18"/>
              </w:rPr>
            </w:pPr>
            <w:r>
              <w:rPr>
                <w:sz w:val="18"/>
              </w:rPr>
              <w:t>Patient*</w:t>
            </w:r>
            <w:r>
              <w:rPr>
                <w:spacing w:val="-8"/>
                <w:sz w:val="18"/>
              </w:rPr>
              <w:t> </w:t>
            </w:r>
            <w:r>
              <w:rPr>
                <w:sz w:val="18"/>
              </w:rPr>
              <w:t>interviews/</w:t>
            </w:r>
            <w:r>
              <w:rPr>
                <w:spacing w:val="-4"/>
                <w:sz w:val="18"/>
              </w:rPr>
              <w:t> </w:t>
            </w:r>
            <w:r>
              <w:rPr>
                <w:sz w:val="18"/>
              </w:rPr>
              <w:t>focus</w:t>
            </w:r>
            <w:r>
              <w:rPr>
                <w:spacing w:val="-4"/>
                <w:sz w:val="18"/>
              </w:rPr>
              <w:t> </w:t>
            </w:r>
            <w:r>
              <w:rPr>
                <w:sz w:val="18"/>
              </w:rPr>
              <w:t>groups</w:t>
            </w:r>
          </w:p>
          <w:p>
            <w:pPr>
              <w:pStyle w:val="TableParagraph"/>
              <w:numPr>
                <w:ilvl w:val="0"/>
                <w:numId w:val="12"/>
              </w:numPr>
              <w:tabs>
                <w:tab w:pos="271" w:val="left" w:leader="none"/>
              </w:tabs>
              <w:spacing w:line="240" w:lineRule="auto" w:before="0" w:after="0"/>
              <w:ind w:left="271" w:right="0" w:hanging="142"/>
              <w:jc w:val="left"/>
              <w:rPr>
                <w:sz w:val="18"/>
              </w:rPr>
            </w:pPr>
            <w:r>
              <w:rPr>
                <w:sz w:val="18"/>
              </w:rPr>
              <w:t>Practice</w:t>
            </w:r>
            <w:r>
              <w:rPr>
                <w:spacing w:val="-6"/>
                <w:sz w:val="18"/>
              </w:rPr>
              <w:t> </w:t>
            </w:r>
            <w:r>
              <w:rPr>
                <w:sz w:val="18"/>
              </w:rPr>
              <w:t>interviews</w:t>
            </w:r>
          </w:p>
          <w:p>
            <w:pPr>
              <w:pStyle w:val="TableParagraph"/>
              <w:numPr>
                <w:ilvl w:val="0"/>
                <w:numId w:val="12"/>
              </w:numPr>
              <w:tabs>
                <w:tab w:pos="271" w:val="left" w:leader="none"/>
              </w:tabs>
              <w:spacing w:line="240" w:lineRule="auto" w:before="0" w:after="0"/>
              <w:ind w:left="270" w:right="224" w:hanging="142"/>
              <w:jc w:val="left"/>
              <w:rPr>
                <w:sz w:val="18"/>
              </w:rPr>
            </w:pPr>
            <w:r>
              <w:rPr>
                <w:sz w:val="18"/>
              </w:rPr>
              <w:t>Related</w:t>
            </w:r>
            <w:r>
              <w:rPr>
                <w:spacing w:val="-5"/>
                <w:sz w:val="18"/>
              </w:rPr>
              <w:t> </w:t>
            </w:r>
            <w:r>
              <w:rPr>
                <w:sz w:val="18"/>
              </w:rPr>
              <w:t>provider</w:t>
            </w:r>
            <w:r>
              <w:rPr>
                <w:spacing w:val="-5"/>
                <w:sz w:val="18"/>
              </w:rPr>
              <w:t> </w:t>
            </w:r>
            <w:r>
              <w:rPr>
                <w:sz w:val="18"/>
              </w:rPr>
              <w:t>interviews</w:t>
            </w:r>
            <w:r>
              <w:rPr>
                <w:spacing w:val="-6"/>
                <w:sz w:val="18"/>
              </w:rPr>
              <w:t> </w:t>
            </w:r>
            <w:r>
              <w:rPr>
                <w:sz w:val="18"/>
              </w:rPr>
              <w:t>(e.g.</w:t>
            </w:r>
            <w:r>
              <w:rPr>
                <w:spacing w:val="-47"/>
                <w:sz w:val="18"/>
              </w:rPr>
              <w:t> </w:t>
            </w:r>
            <w:r>
              <w:rPr>
                <w:sz w:val="18"/>
              </w:rPr>
              <w:t>pharmacists,</w:t>
            </w:r>
            <w:r>
              <w:rPr>
                <w:spacing w:val="-5"/>
                <w:sz w:val="18"/>
              </w:rPr>
              <w:t> </w:t>
            </w:r>
            <w:r>
              <w:rPr>
                <w:sz w:val="18"/>
              </w:rPr>
              <w:t>allied</w:t>
            </w:r>
            <w:r>
              <w:rPr>
                <w:spacing w:val="-2"/>
                <w:sz w:val="18"/>
              </w:rPr>
              <w:t> </w:t>
            </w:r>
            <w:r>
              <w:rPr>
                <w:sz w:val="18"/>
              </w:rPr>
              <w:t>health)</w:t>
            </w:r>
          </w:p>
          <w:p>
            <w:pPr>
              <w:pStyle w:val="TableParagraph"/>
              <w:numPr>
                <w:ilvl w:val="0"/>
                <w:numId w:val="12"/>
              </w:numPr>
              <w:tabs>
                <w:tab w:pos="271" w:val="left" w:leader="none"/>
              </w:tabs>
              <w:spacing w:line="240" w:lineRule="auto" w:before="0" w:after="0"/>
              <w:ind w:left="271" w:right="0" w:hanging="142"/>
              <w:jc w:val="left"/>
              <w:rPr>
                <w:sz w:val="18"/>
              </w:rPr>
            </w:pPr>
            <w:r>
              <w:rPr>
                <w:sz w:val="18"/>
              </w:rPr>
              <w:t>PHN</w:t>
            </w:r>
            <w:r>
              <w:rPr>
                <w:spacing w:val="-4"/>
                <w:sz w:val="18"/>
              </w:rPr>
              <w:t> </w:t>
            </w:r>
            <w:r>
              <w:rPr>
                <w:sz w:val="18"/>
              </w:rPr>
              <w:t>interviews</w:t>
            </w:r>
          </w:p>
          <w:p>
            <w:pPr>
              <w:pStyle w:val="TableParagraph"/>
              <w:numPr>
                <w:ilvl w:val="0"/>
                <w:numId w:val="12"/>
              </w:numPr>
              <w:tabs>
                <w:tab w:pos="274" w:val="left" w:leader="none"/>
              </w:tabs>
              <w:spacing w:line="240" w:lineRule="auto" w:before="0" w:after="0"/>
              <w:ind w:left="273" w:right="0" w:hanging="142"/>
              <w:jc w:val="left"/>
              <w:rPr>
                <w:sz w:val="18"/>
              </w:rPr>
            </w:pPr>
            <w:r>
              <w:rPr>
                <w:sz w:val="18"/>
              </w:rPr>
              <w:t>Local</w:t>
            </w:r>
            <w:r>
              <w:rPr>
                <w:spacing w:val="-6"/>
                <w:sz w:val="18"/>
              </w:rPr>
              <w:t> </w:t>
            </w:r>
            <w:r>
              <w:rPr>
                <w:sz w:val="18"/>
              </w:rPr>
              <w:t>Hospital</w:t>
            </w:r>
            <w:r>
              <w:rPr>
                <w:spacing w:val="-5"/>
                <w:sz w:val="18"/>
              </w:rPr>
              <w:t> </w:t>
            </w:r>
            <w:r>
              <w:rPr>
                <w:sz w:val="18"/>
              </w:rPr>
              <w:t>Networks</w:t>
            </w:r>
            <w:r>
              <w:rPr>
                <w:spacing w:val="-3"/>
                <w:sz w:val="18"/>
              </w:rPr>
              <w:t> </w:t>
            </w:r>
            <w:r>
              <w:rPr>
                <w:sz w:val="18"/>
              </w:rPr>
              <w:t>(LHNs)/</w:t>
            </w:r>
          </w:p>
          <w:p>
            <w:pPr>
              <w:pStyle w:val="TableParagraph"/>
              <w:spacing w:line="220" w:lineRule="atLeast"/>
              <w:ind w:left="273" w:right="289"/>
              <w:rPr>
                <w:sz w:val="18"/>
              </w:rPr>
            </w:pPr>
            <w:r>
              <w:rPr>
                <w:sz w:val="18"/>
              </w:rPr>
              <w:t>state</w:t>
            </w:r>
            <w:r>
              <w:rPr>
                <w:spacing w:val="-4"/>
                <w:sz w:val="18"/>
              </w:rPr>
              <w:t> </w:t>
            </w:r>
            <w:r>
              <w:rPr>
                <w:sz w:val="18"/>
              </w:rPr>
              <w:t>&amp;</w:t>
            </w:r>
            <w:r>
              <w:rPr>
                <w:spacing w:val="-3"/>
                <w:sz w:val="18"/>
              </w:rPr>
              <w:t> </w:t>
            </w:r>
            <w:r>
              <w:rPr>
                <w:sz w:val="18"/>
              </w:rPr>
              <w:t>territory</w:t>
            </w:r>
            <w:r>
              <w:rPr>
                <w:spacing w:val="-7"/>
                <w:sz w:val="18"/>
              </w:rPr>
              <w:t> </w:t>
            </w:r>
            <w:r>
              <w:rPr>
                <w:sz w:val="18"/>
              </w:rPr>
              <w:t>health</w:t>
            </w:r>
            <w:r>
              <w:rPr>
                <w:spacing w:val="-3"/>
                <w:sz w:val="18"/>
              </w:rPr>
              <w:t> </w:t>
            </w:r>
            <w:r>
              <w:rPr>
                <w:sz w:val="18"/>
              </w:rPr>
              <w:t>authority</w:t>
            </w:r>
            <w:r>
              <w:rPr>
                <w:spacing w:val="-47"/>
                <w:sz w:val="18"/>
              </w:rPr>
              <w:t> </w:t>
            </w:r>
            <w:r>
              <w:rPr>
                <w:sz w:val="18"/>
              </w:rPr>
              <w:t>interviews</w:t>
            </w:r>
          </w:p>
        </w:tc>
        <w:tc>
          <w:tcPr>
            <w:tcW w:w="1395" w:type="dxa"/>
          </w:tcPr>
          <w:p>
            <w:pPr>
              <w:pStyle w:val="TableParagraph"/>
              <w:rPr>
                <w:b/>
                <w:sz w:val="22"/>
              </w:rPr>
            </w:pPr>
          </w:p>
          <w:p>
            <w:pPr>
              <w:pStyle w:val="TableParagraph"/>
              <w:rPr>
                <w:b/>
                <w:sz w:val="22"/>
              </w:rPr>
            </w:pPr>
          </w:p>
          <w:p>
            <w:pPr>
              <w:pStyle w:val="TableParagraph"/>
              <w:spacing w:before="11"/>
              <w:rPr>
                <w:b/>
                <w:sz w:val="27"/>
              </w:rPr>
            </w:pPr>
          </w:p>
          <w:p>
            <w:pPr>
              <w:pStyle w:val="TableParagraph"/>
              <w:ind w:left="202" w:right="192"/>
              <w:jc w:val="center"/>
              <w:rPr>
                <w:sz w:val="18"/>
              </w:rPr>
            </w:pPr>
            <w:r>
              <w:rPr>
                <w:sz w:val="18"/>
              </w:rPr>
              <w:t>Primary</w:t>
            </w:r>
          </w:p>
        </w:tc>
        <w:tc>
          <w:tcPr>
            <w:tcW w:w="1283" w:type="dxa"/>
          </w:tcPr>
          <w:p>
            <w:pPr>
              <w:pStyle w:val="TableParagraph"/>
              <w:rPr>
                <w:b/>
                <w:sz w:val="22"/>
              </w:rPr>
            </w:pPr>
          </w:p>
          <w:p>
            <w:pPr>
              <w:pStyle w:val="TableParagraph"/>
              <w:rPr>
                <w:b/>
                <w:sz w:val="22"/>
              </w:rPr>
            </w:pPr>
          </w:p>
          <w:p>
            <w:pPr>
              <w:pStyle w:val="TableParagraph"/>
              <w:spacing w:before="11"/>
              <w:rPr>
                <w:b/>
                <w:sz w:val="27"/>
              </w:rPr>
            </w:pPr>
          </w:p>
          <w:p>
            <w:pPr>
              <w:pStyle w:val="TableParagraph"/>
              <w:ind w:left="468" w:right="467"/>
              <w:jc w:val="center"/>
              <w:rPr>
                <w:sz w:val="18"/>
              </w:rPr>
            </w:pPr>
            <w:r>
              <w:rPr>
                <w:sz w:val="18"/>
              </w:rPr>
              <w:t>No</w:t>
            </w:r>
          </w:p>
        </w:tc>
        <w:tc>
          <w:tcPr>
            <w:tcW w:w="1369" w:type="dxa"/>
          </w:tcPr>
          <w:p>
            <w:pPr>
              <w:pStyle w:val="TableParagraph"/>
              <w:rPr>
                <w:b/>
                <w:sz w:val="22"/>
              </w:rPr>
            </w:pPr>
          </w:p>
          <w:p>
            <w:pPr>
              <w:pStyle w:val="TableParagraph"/>
              <w:rPr>
                <w:b/>
                <w:sz w:val="22"/>
              </w:rPr>
            </w:pPr>
          </w:p>
          <w:p>
            <w:pPr>
              <w:pStyle w:val="TableParagraph"/>
              <w:spacing w:before="11"/>
              <w:rPr>
                <w:b/>
                <w:sz w:val="27"/>
              </w:rPr>
            </w:pPr>
          </w:p>
          <w:p>
            <w:pPr>
              <w:pStyle w:val="TableParagraph"/>
              <w:ind w:left="130" w:right="123"/>
              <w:jc w:val="center"/>
              <w:rPr>
                <w:sz w:val="18"/>
              </w:rPr>
            </w:pPr>
            <w:r>
              <w:rPr>
                <w:sz w:val="18"/>
              </w:rPr>
              <w:t>Yes</w:t>
            </w:r>
          </w:p>
        </w:tc>
        <w:tc>
          <w:tcPr>
            <w:tcW w:w="1655" w:type="dxa"/>
          </w:tcPr>
          <w:p>
            <w:pPr>
              <w:pStyle w:val="TableParagraph"/>
              <w:rPr>
                <w:b/>
                <w:sz w:val="22"/>
              </w:rPr>
            </w:pPr>
          </w:p>
          <w:p>
            <w:pPr>
              <w:pStyle w:val="TableParagraph"/>
              <w:rPr>
                <w:b/>
                <w:sz w:val="22"/>
              </w:rPr>
            </w:pPr>
          </w:p>
          <w:p>
            <w:pPr>
              <w:pStyle w:val="TableParagraph"/>
              <w:spacing w:before="11"/>
              <w:rPr>
                <w:b/>
                <w:sz w:val="27"/>
              </w:rPr>
            </w:pPr>
          </w:p>
          <w:p>
            <w:pPr>
              <w:pStyle w:val="TableParagraph"/>
              <w:ind w:left="112" w:right="109"/>
              <w:jc w:val="center"/>
              <w:rPr>
                <w:sz w:val="18"/>
              </w:rPr>
            </w:pPr>
            <w:r>
              <w:rPr>
                <w:sz w:val="18"/>
              </w:rPr>
              <w:t>Rounds</w:t>
            </w:r>
            <w:r>
              <w:rPr>
                <w:spacing w:val="-1"/>
                <w:sz w:val="18"/>
              </w:rPr>
              <w:t> </w:t>
            </w:r>
            <w:r>
              <w:rPr>
                <w:sz w:val="18"/>
              </w:rPr>
              <w:t>2,</w:t>
            </w:r>
            <w:r>
              <w:rPr>
                <w:spacing w:val="-2"/>
                <w:sz w:val="18"/>
              </w:rPr>
              <w:t> </w:t>
            </w:r>
            <w:r>
              <w:rPr>
                <w:sz w:val="18"/>
              </w:rPr>
              <w:t>4,</w:t>
            </w:r>
            <w:r>
              <w:rPr>
                <w:spacing w:val="-2"/>
                <w:sz w:val="18"/>
              </w:rPr>
              <w:t> </w:t>
            </w:r>
            <w:r>
              <w:rPr>
                <w:sz w:val="18"/>
              </w:rPr>
              <w:t>5</w:t>
            </w:r>
          </w:p>
        </w:tc>
      </w:tr>
      <w:tr>
        <w:trPr>
          <w:trHeight w:val="441" w:hRule="atLeast"/>
        </w:trPr>
        <w:tc>
          <w:tcPr>
            <w:tcW w:w="3320" w:type="dxa"/>
          </w:tcPr>
          <w:p>
            <w:pPr>
              <w:pStyle w:val="TableParagraph"/>
              <w:spacing w:line="219" w:lineRule="exact"/>
              <w:ind w:left="107"/>
              <w:rPr>
                <w:sz w:val="18"/>
              </w:rPr>
            </w:pPr>
            <w:r>
              <w:rPr>
                <w:sz w:val="18"/>
              </w:rPr>
              <w:t>HCH</w:t>
            </w:r>
            <w:r>
              <w:rPr>
                <w:spacing w:val="-2"/>
                <w:sz w:val="18"/>
              </w:rPr>
              <w:t> </w:t>
            </w:r>
            <w:r>
              <w:rPr>
                <w:sz w:val="18"/>
              </w:rPr>
              <w:t>program</w:t>
            </w:r>
            <w:r>
              <w:rPr>
                <w:spacing w:val="-6"/>
                <w:sz w:val="18"/>
              </w:rPr>
              <w:t> </w:t>
            </w:r>
            <w:r>
              <w:rPr>
                <w:sz w:val="18"/>
              </w:rPr>
              <w:t>data***</w:t>
            </w:r>
          </w:p>
        </w:tc>
        <w:tc>
          <w:tcPr>
            <w:tcW w:w="1395" w:type="dxa"/>
          </w:tcPr>
          <w:p>
            <w:pPr>
              <w:pStyle w:val="TableParagraph"/>
              <w:spacing w:line="219" w:lineRule="exact"/>
              <w:ind w:left="202" w:right="194"/>
              <w:jc w:val="center"/>
              <w:rPr>
                <w:sz w:val="18"/>
              </w:rPr>
            </w:pPr>
            <w:r>
              <w:rPr>
                <w:sz w:val="18"/>
              </w:rPr>
              <w:t>Secondary</w:t>
            </w:r>
          </w:p>
        </w:tc>
        <w:tc>
          <w:tcPr>
            <w:tcW w:w="1283" w:type="dxa"/>
          </w:tcPr>
          <w:p>
            <w:pPr>
              <w:pStyle w:val="TableParagraph"/>
              <w:spacing w:line="219" w:lineRule="exact"/>
              <w:ind w:left="468" w:right="467"/>
              <w:jc w:val="center"/>
              <w:rPr>
                <w:sz w:val="18"/>
              </w:rPr>
            </w:pPr>
            <w:r>
              <w:rPr>
                <w:sz w:val="18"/>
              </w:rPr>
              <w:t>No</w:t>
            </w:r>
          </w:p>
        </w:tc>
        <w:tc>
          <w:tcPr>
            <w:tcW w:w="1369" w:type="dxa"/>
          </w:tcPr>
          <w:p>
            <w:pPr>
              <w:pStyle w:val="TableParagraph"/>
              <w:spacing w:line="219" w:lineRule="exact"/>
              <w:ind w:left="130" w:right="123"/>
              <w:jc w:val="center"/>
              <w:rPr>
                <w:sz w:val="18"/>
              </w:rPr>
            </w:pPr>
            <w:r>
              <w:rPr>
                <w:sz w:val="18"/>
              </w:rPr>
              <w:t>Yes</w:t>
            </w:r>
          </w:p>
        </w:tc>
        <w:tc>
          <w:tcPr>
            <w:tcW w:w="1655" w:type="dxa"/>
          </w:tcPr>
          <w:p>
            <w:pPr>
              <w:pStyle w:val="TableParagraph"/>
              <w:spacing w:line="220" w:lineRule="exact"/>
              <w:ind w:left="623" w:right="279" w:hanging="324"/>
              <w:rPr>
                <w:sz w:val="18"/>
              </w:rPr>
            </w:pPr>
            <w:r>
              <w:rPr>
                <w:sz w:val="18"/>
              </w:rPr>
              <w:t>Jul 2017-Jun</w:t>
            </w:r>
            <w:r>
              <w:rPr>
                <w:spacing w:val="-47"/>
                <w:sz w:val="18"/>
              </w:rPr>
              <w:t> </w:t>
            </w:r>
            <w:r>
              <w:rPr>
                <w:sz w:val="18"/>
              </w:rPr>
              <w:t>2021</w:t>
            </w:r>
          </w:p>
        </w:tc>
      </w:tr>
      <w:tr>
        <w:trPr>
          <w:trHeight w:val="441" w:hRule="atLeast"/>
        </w:trPr>
        <w:tc>
          <w:tcPr>
            <w:tcW w:w="3320" w:type="dxa"/>
          </w:tcPr>
          <w:p>
            <w:pPr>
              <w:pStyle w:val="TableParagraph"/>
              <w:spacing w:line="219" w:lineRule="exact"/>
              <w:ind w:left="107"/>
              <w:rPr>
                <w:sz w:val="18"/>
              </w:rPr>
            </w:pPr>
            <w:r>
              <w:rPr>
                <w:sz w:val="18"/>
              </w:rPr>
              <w:t>Risk</w:t>
            </w:r>
            <w:r>
              <w:rPr>
                <w:spacing w:val="-5"/>
                <w:sz w:val="18"/>
              </w:rPr>
              <w:t> </w:t>
            </w:r>
            <w:r>
              <w:rPr>
                <w:sz w:val="18"/>
              </w:rPr>
              <w:t>stratification</w:t>
            </w:r>
            <w:r>
              <w:rPr>
                <w:spacing w:val="-5"/>
                <w:sz w:val="18"/>
              </w:rPr>
              <w:t> </w:t>
            </w:r>
            <w:r>
              <w:rPr>
                <w:sz w:val="18"/>
              </w:rPr>
              <w:t>data</w:t>
            </w:r>
          </w:p>
        </w:tc>
        <w:tc>
          <w:tcPr>
            <w:tcW w:w="1395" w:type="dxa"/>
          </w:tcPr>
          <w:p>
            <w:pPr>
              <w:pStyle w:val="TableParagraph"/>
              <w:spacing w:line="219" w:lineRule="exact"/>
              <w:ind w:left="202" w:right="194"/>
              <w:jc w:val="center"/>
              <w:rPr>
                <w:sz w:val="18"/>
              </w:rPr>
            </w:pPr>
            <w:r>
              <w:rPr>
                <w:sz w:val="18"/>
              </w:rPr>
              <w:t>Secondary</w:t>
            </w:r>
          </w:p>
        </w:tc>
        <w:tc>
          <w:tcPr>
            <w:tcW w:w="1283" w:type="dxa"/>
          </w:tcPr>
          <w:p>
            <w:pPr>
              <w:pStyle w:val="TableParagraph"/>
              <w:spacing w:line="219" w:lineRule="exact"/>
              <w:ind w:left="471" w:right="467"/>
              <w:jc w:val="center"/>
              <w:rPr>
                <w:sz w:val="18"/>
              </w:rPr>
            </w:pPr>
            <w:r>
              <w:rPr>
                <w:sz w:val="18"/>
              </w:rPr>
              <w:t>Yes</w:t>
            </w:r>
          </w:p>
        </w:tc>
        <w:tc>
          <w:tcPr>
            <w:tcW w:w="1369" w:type="dxa"/>
          </w:tcPr>
          <w:p>
            <w:pPr>
              <w:pStyle w:val="TableParagraph"/>
              <w:spacing w:line="219" w:lineRule="exact"/>
              <w:ind w:left="126" w:right="123"/>
              <w:jc w:val="center"/>
              <w:rPr>
                <w:sz w:val="18"/>
              </w:rPr>
            </w:pPr>
            <w:r>
              <w:rPr>
                <w:sz w:val="18"/>
              </w:rPr>
              <w:t>No</w:t>
            </w:r>
          </w:p>
        </w:tc>
        <w:tc>
          <w:tcPr>
            <w:tcW w:w="1655" w:type="dxa"/>
          </w:tcPr>
          <w:p>
            <w:pPr>
              <w:pStyle w:val="TableParagraph"/>
              <w:spacing w:line="220" w:lineRule="exact"/>
              <w:ind w:left="623" w:right="279" w:hanging="324"/>
              <w:rPr>
                <w:sz w:val="18"/>
              </w:rPr>
            </w:pPr>
            <w:r>
              <w:rPr>
                <w:sz w:val="18"/>
              </w:rPr>
              <w:t>Jul 2017-Jun</w:t>
            </w:r>
            <w:r>
              <w:rPr>
                <w:spacing w:val="-47"/>
                <w:sz w:val="18"/>
              </w:rPr>
              <w:t> </w:t>
            </w:r>
            <w:r>
              <w:rPr>
                <w:sz w:val="18"/>
              </w:rPr>
              <w:t>2021</w:t>
            </w:r>
          </w:p>
        </w:tc>
      </w:tr>
      <w:tr>
        <w:trPr>
          <w:trHeight w:val="441" w:hRule="atLeast"/>
        </w:trPr>
        <w:tc>
          <w:tcPr>
            <w:tcW w:w="3320" w:type="dxa"/>
          </w:tcPr>
          <w:p>
            <w:pPr>
              <w:pStyle w:val="TableParagraph"/>
              <w:spacing w:line="219" w:lineRule="exact"/>
              <w:ind w:left="107"/>
              <w:rPr>
                <w:sz w:val="18"/>
              </w:rPr>
            </w:pPr>
            <w:r>
              <w:rPr>
                <w:sz w:val="18"/>
              </w:rPr>
              <w:t>Practice</w:t>
            </w:r>
            <w:r>
              <w:rPr>
                <w:spacing w:val="-5"/>
                <w:sz w:val="18"/>
              </w:rPr>
              <w:t> </w:t>
            </w:r>
            <w:r>
              <w:rPr>
                <w:sz w:val="18"/>
              </w:rPr>
              <w:t>extracts</w:t>
            </w:r>
          </w:p>
        </w:tc>
        <w:tc>
          <w:tcPr>
            <w:tcW w:w="1395" w:type="dxa"/>
          </w:tcPr>
          <w:p>
            <w:pPr>
              <w:pStyle w:val="TableParagraph"/>
              <w:spacing w:line="219" w:lineRule="exact"/>
              <w:ind w:left="202" w:right="194"/>
              <w:jc w:val="center"/>
              <w:rPr>
                <w:sz w:val="18"/>
              </w:rPr>
            </w:pPr>
            <w:r>
              <w:rPr>
                <w:sz w:val="18"/>
              </w:rPr>
              <w:t>Secondary</w:t>
            </w:r>
          </w:p>
        </w:tc>
        <w:tc>
          <w:tcPr>
            <w:tcW w:w="1283" w:type="dxa"/>
          </w:tcPr>
          <w:p>
            <w:pPr>
              <w:pStyle w:val="TableParagraph"/>
              <w:spacing w:line="219" w:lineRule="exact"/>
              <w:ind w:left="471" w:right="467"/>
              <w:jc w:val="center"/>
              <w:rPr>
                <w:sz w:val="18"/>
              </w:rPr>
            </w:pPr>
            <w:r>
              <w:rPr>
                <w:sz w:val="18"/>
              </w:rPr>
              <w:t>Yes</w:t>
            </w:r>
          </w:p>
        </w:tc>
        <w:tc>
          <w:tcPr>
            <w:tcW w:w="1369" w:type="dxa"/>
          </w:tcPr>
          <w:p>
            <w:pPr>
              <w:pStyle w:val="TableParagraph"/>
              <w:spacing w:line="219" w:lineRule="exact"/>
              <w:ind w:left="126" w:right="123"/>
              <w:jc w:val="center"/>
              <w:rPr>
                <w:sz w:val="18"/>
              </w:rPr>
            </w:pPr>
            <w:r>
              <w:rPr>
                <w:sz w:val="18"/>
              </w:rPr>
              <w:t>No</w:t>
            </w:r>
          </w:p>
        </w:tc>
        <w:tc>
          <w:tcPr>
            <w:tcW w:w="1655" w:type="dxa"/>
          </w:tcPr>
          <w:p>
            <w:pPr>
              <w:pStyle w:val="TableParagraph"/>
              <w:spacing w:line="220" w:lineRule="exact"/>
              <w:ind w:left="623" w:right="279" w:hanging="324"/>
              <w:rPr>
                <w:sz w:val="18"/>
              </w:rPr>
            </w:pPr>
            <w:r>
              <w:rPr>
                <w:sz w:val="18"/>
              </w:rPr>
              <w:t>Jul 2017-Jun</w:t>
            </w:r>
            <w:r>
              <w:rPr>
                <w:spacing w:val="-47"/>
                <w:sz w:val="18"/>
              </w:rPr>
              <w:t> </w:t>
            </w:r>
            <w:r>
              <w:rPr>
                <w:sz w:val="18"/>
              </w:rPr>
              <w:t>2021</w:t>
            </w:r>
          </w:p>
        </w:tc>
      </w:tr>
      <w:tr>
        <w:trPr>
          <w:trHeight w:val="3091" w:hRule="atLeast"/>
        </w:trPr>
        <w:tc>
          <w:tcPr>
            <w:tcW w:w="3320" w:type="dxa"/>
          </w:tcPr>
          <w:p>
            <w:pPr>
              <w:pStyle w:val="TableParagraph"/>
              <w:spacing w:line="219" w:lineRule="exact"/>
              <w:ind w:left="107"/>
              <w:rPr>
                <w:sz w:val="18"/>
              </w:rPr>
            </w:pPr>
            <w:r>
              <w:rPr>
                <w:sz w:val="18"/>
              </w:rPr>
              <w:t>Linked</w:t>
            </w:r>
            <w:r>
              <w:rPr>
                <w:spacing w:val="-4"/>
                <w:sz w:val="18"/>
              </w:rPr>
              <w:t> </w:t>
            </w:r>
            <w:r>
              <w:rPr>
                <w:sz w:val="18"/>
              </w:rPr>
              <w:t>data:</w:t>
            </w:r>
          </w:p>
          <w:p>
            <w:pPr>
              <w:pStyle w:val="TableParagraph"/>
              <w:numPr>
                <w:ilvl w:val="0"/>
                <w:numId w:val="13"/>
              </w:numPr>
              <w:tabs>
                <w:tab w:pos="271" w:val="left" w:leader="none"/>
              </w:tabs>
              <w:spacing w:line="240" w:lineRule="auto" w:before="0" w:after="0"/>
              <w:ind w:left="271" w:right="0" w:hanging="142"/>
              <w:jc w:val="left"/>
              <w:rPr>
                <w:sz w:val="18"/>
              </w:rPr>
            </w:pPr>
            <w:r>
              <w:rPr>
                <w:sz w:val="18"/>
              </w:rPr>
              <w:t>Medical</w:t>
            </w:r>
            <w:r>
              <w:rPr>
                <w:spacing w:val="-4"/>
                <w:sz w:val="18"/>
              </w:rPr>
              <w:t> </w:t>
            </w:r>
            <w:r>
              <w:rPr>
                <w:sz w:val="18"/>
              </w:rPr>
              <w:t>Benefits</w:t>
            </w:r>
            <w:r>
              <w:rPr>
                <w:spacing w:val="-5"/>
                <w:sz w:val="18"/>
              </w:rPr>
              <w:t> </w:t>
            </w:r>
            <w:r>
              <w:rPr>
                <w:sz w:val="18"/>
              </w:rPr>
              <w:t>Schedule</w:t>
            </w:r>
            <w:r>
              <w:rPr>
                <w:spacing w:val="-3"/>
                <w:sz w:val="18"/>
              </w:rPr>
              <w:t> </w:t>
            </w:r>
            <w:r>
              <w:rPr>
                <w:sz w:val="18"/>
              </w:rPr>
              <w:t>(MBS)</w:t>
            </w:r>
          </w:p>
          <w:p>
            <w:pPr>
              <w:pStyle w:val="TableParagraph"/>
              <w:numPr>
                <w:ilvl w:val="0"/>
                <w:numId w:val="13"/>
              </w:numPr>
              <w:tabs>
                <w:tab w:pos="271" w:val="left" w:leader="none"/>
              </w:tabs>
              <w:spacing w:line="240" w:lineRule="auto" w:before="0" w:after="0"/>
              <w:ind w:left="270" w:right="917" w:hanging="142"/>
              <w:jc w:val="left"/>
              <w:rPr>
                <w:sz w:val="18"/>
              </w:rPr>
            </w:pPr>
            <w:r>
              <w:rPr>
                <w:sz w:val="18"/>
              </w:rPr>
              <w:t>Pharmaceutical</w:t>
            </w:r>
            <w:r>
              <w:rPr>
                <w:spacing w:val="-11"/>
                <w:sz w:val="18"/>
              </w:rPr>
              <w:t> </w:t>
            </w:r>
            <w:r>
              <w:rPr>
                <w:sz w:val="18"/>
              </w:rPr>
              <w:t>Benefits</w:t>
            </w:r>
            <w:r>
              <w:rPr>
                <w:spacing w:val="-47"/>
                <w:sz w:val="18"/>
              </w:rPr>
              <w:t> </w:t>
            </w:r>
            <w:r>
              <w:rPr>
                <w:sz w:val="18"/>
              </w:rPr>
              <w:t>Schedule</w:t>
            </w:r>
            <w:r>
              <w:rPr>
                <w:spacing w:val="2"/>
                <w:sz w:val="18"/>
              </w:rPr>
              <w:t> </w:t>
            </w:r>
            <w:r>
              <w:rPr>
                <w:sz w:val="18"/>
              </w:rPr>
              <w:t>(PBS)</w:t>
            </w:r>
          </w:p>
          <w:p>
            <w:pPr>
              <w:pStyle w:val="TableParagraph"/>
              <w:numPr>
                <w:ilvl w:val="0"/>
                <w:numId w:val="13"/>
              </w:numPr>
              <w:tabs>
                <w:tab w:pos="271" w:val="left" w:leader="none"/>
              </w:tabs>
              <w:spacing w:line="240" w:lineRule="auto" w:before="0" w:after="0"/>
              <w:ind w:left="270" w:right="115" w:hanging="142"/>
              <w:jc w:val="left"/>
              <w:rPr>
                <w:sz w:val="18"/>
              </w:rPr>
            </w:pPr>
            <w:r>
              <w:rPr>
                <w:sz w:val="18"/>
              </w:rPr>
              <w:t>National hospital morbidity data -</w:t>
            </w:r>
            <w:r>
              <w:rPr>
                <w:spacing w:val="-48"/>
                <w:sz w:val="18"/>
              </w:rPr>
              <w:t> </w:t>
            </w:r>
            <w:r>
              <w:rPr>
                <w:sz w:val="18"/>
              </w:rPr>
              <w:t>hospital</w:t>
            </w:r>
            <w:r>
              <w:rPr>
                <w:spacing w:val="-1"/>
                <w:sz w:val="18"/>
              </w:rPr>
              <w:t> </w:t>
            </w:r>
            <w:r>
              <w:rPr>
                <w:sz w:val="18"/>
              </w:rPr>
              <w:t>separations</w:t>
            </w:r>
          </w:p>
          <w:p>
            <w:pPr>
              <w:pStyle w:val="TableParagraph"/>
              <w:numPr>
                <w:ilvl w:val="0"/>
                <w:numId w:val="13"/>
              </w:numPr>
              <w:tabs>
                <w:tab w:pos="271" w:val="left" w:leader="none"/>
              </w:tabs>
              <w:spacing w:line="240" w:lineRule="auto" w:before="0" w:after="0"/>
              <w:ind w:left="270" w:right="323" w:hanging="142"/>
              <w:jc w:val="left"/>
              <w:rPr>
                <w:sz w:val="18"/>
              </w:rPr>
            </w:pPr>
            <w:r>
              <w:rPr>
                <w:sz w:val="18"/>
              </w:rPr>
              <w:t>National non-admitted patient</w:t>
            </w:r>
            <w:r>
              <w:rPr>
                <w:spacing w:val="-47"/>
                <w:sz w:val="18"/>
              </w:rPr>
              <w:t> </w:t>
            </w:r>
            <w:r>
              <w:rPr>
                <w:sz w:val="18"/>
              </w:rPr>
              <w:t>emergency department care</w:t>
            </w:r>
            <w:r>
              <w:rPr>
                <w:spacing w:val="1"/>
                <w:sz w:val="18"/>
              </w:rPr>
              <w:t> </w:t>
            </w:r>
            <w:r>
              <w:rPr>
                <w:sz w:val="18"/>
              </w:rPr>
              <w:t>data</w:t>
            </w:r>
            <w:r>
              <w:rPr>
                <w:spacing w:val="-6"/>
                <w:sz w:val="18"/>
              </w:rPr>
              <w:t> </w:t>
            </w:r>
            <w:r>
              <w:rPr>
                <w:sz w:val="18"/>
              </w:rPr>
              <w:t>-</w:t>
            </w:r>
            <w:r>
              <w:rPr>
                <w:spacing w:val="-4"/>
                <w:sz w:val="18"/>
              </w:rPr>
              <w:t> </w:t>
            </w:r>
            <w:r>
              <w:rPr>
                <w:sz w:val="18"/>
              </w:rPr>
              <w:t>emergency</w:t>
            </w:r>
            <w:r>
              <w:rPr>
                <w:spacing w:val="-5"/>
                <w:sz w:val="18"/>
              </w:rPr>
              <w:t> </w:t>
            </w:r>
            <w:r>
              <w:rPr>
                <w:sz w:val="18"/>
              </w:rPr>
              <w:t>department</w:t>
            </w:r>
            <w:r>
              <w:rPr>
                <w:spacing w:val="-47"/>
                <w:sz w:val="18"/>
              </w:rPr>
              <w:t> </w:t>
            </w:r>
            <w:r>
              <w:rPr>
                <w:sz w:val="18"/>
              </w:rPr>
              <w:t>presentations</w:t>
            </w:r>
          </w:p>
          <w:p>
            <w:pPr>
              <w:pStyle w:val="TableParagraph"/>
              <w:numPr>
                <w:ilvl w:val="0"/>
                <w:numId w:val="13"/>
              </w:numPr>
              <w:tabs>
                <w:tab w:pos="271" w:val="left" w:leader="none"/>
              </w:tabs>
              <w:spacing w:line="240" w:lineRule="auto" w:before="1" w:after="0"/>
              <w:ind w:left="270" w:right="127" w:hanging="142"/>
              <w:jc w:val="left"/>
              <w:rPr>
                <w:sz w:val="18"/>
              </w:rPr>
            </w:pPr>
            <w:r>
              <w:rPr>
                <w:sz w:val="18"/>
              </w:rPr>
              <w:t>National aged care data –</w:t>
            </w:r>
            <w:r>
              <w:rPr>
                <w:spacing w:val="1"/>
                <w:sz w:val="18"/>
              </w:rPr>
              <w:t> </w:t>
            </w:r>
            <w:r>
              <w:rPr>
                <w:sz w:val="18"/>
              </w:rPr>
              <w:t>residential aged care admissions,</w:t>
            </w:r>
            <w:r>
              <w:rPr>
                <w:spacing w:val="-47"/>
                <w:sz w:val="18"/>
              </w:rPr>
              <w:t> </w:t>
            </w:r>
            <w:r>
              <w:rPr>
                <w:sz w:val="18"/>
              </w:rPr>
              <w:t>community</w:t>
            </w:r>
            <w:r>
              <w:rPr>
                <w:spacing w:val="-6"/>
                <w:sz w:val="18"/>
              </w:rPr>
              <w:t> </w:t>
            </w:r>
            <w:r>
              <w:rPr>
                <w:sz w:val="18"/>
              </w:rPr>
              <w:t>aged</w:t>
            </w:r>
            <w:r>
              <w:rPr>
                <w:spacing w:val="-6"/>
                <w:sz w:val="18"/>
              </w:rPr>
              <w:t> </w:t>
            </w:r>
            <w:r>
              <w:rPr>
                <w:sz w:val="18"/>
              </w:rPr>
              <w:t>care</w:t>
            </w:r>
            <w:r>
              <w:rPr>
                <w:spacing w:val="-5"/>
                <w:sz w:val="18"/>
              </w:rPr>
              <w:t> </w:t>
            </w:r>
            <w:r>
              <w:rPr>
                <w:sz w:val="18"/>
              </w:rPr>
              <w:t>packages</w:t>
            </w:r>
          </w:p>
          <w:p>
            <w:pPr>
              <w:pStyle w:val="TableParagraph"/>
              <w:numPr>
                <w:ilvl w:val="0"/>
                <w:numId w:val="13"/>
              </w:numPr>
              <w:tabs>
                <w:tab w:pos="274" w:val="left" w:leader="none"/>
              </w:tabs>
              <w:spacing w:line="202" w:lineRule="exact" w:before="0" w:after="0"/>
              <w:ind w:left="273" w:right="0" w:hanging="143"/>
              <w:jc w:val="left"/>
              <w:rPr>
                <w:sz w:val="18"/>
              </w:rPr>
            </w:pPr>
            <w:r>
              <w:rPr>
                <w:sz w:val="18"/>
              </w:rPr>
              <w:t>Fact</w:t>
            </w:r>
            <w:r>
              <w:rPr>
                <w:spacing w:val="-5"/>
                <w:sz w:val="18"/>
              </w:rPr>
              <w:t> </w:t>
            </w:r>
            <w:r>
              <w:rPr>
                <w:sz w:val="18"/>
              </w:rPr>
              <w:t>of</w:t>
            </w:r>
            <w:r>
              <w:rPr>
                <w:spacing w:val="-1"/>
                <w:sz w:val="18"/>
              </w:rPr>
              <w:t> </w:t>
            </w:r>
            <w:r>
              <w:rPr>
                <w:sz w:val="18"/>
              </w:rPr>
              <w:t>death</w:t>
            </w:r>
          </w:p>
        </w:tc>
        <w:tc>
          <w:tcPr>
            <w:tcW w:w="1395" w:type="dxa"/>
          </w:tcPr>
          <w:p>
            <w:pPr>
              <w:pStyle w:val="TableParagraph"/>
              <w:spacing w:line="219" w:lineRule="exact"/>
              <w:ind w:left="202" w:right="194"/>
              <w:jc w:val="center"/>
              <w:rPr>
                <w:sz w:val="18"/>
              </w:rPr>
            </w:pPr>
            <w:r>
              <w:rPr>
                <w:sz w:val="18"/>
              </w:rPr>
              <w:t>Secondary</w:t>
            </w:r>
          </w:p>
        </w:tc>
        <w:tc>
          <w:tcPr>
            <w:tcW w:w="1283" w:type="dxa"/>
          </w:tcPr>
          <w:p>
            <w:pPr>
              <w:pStyle w:val="TableParagraph"/>
              <w:spacing w:line="219" w:lineRule="exact"/>
              <w:ind w:left="471" w:right="467"/>
              <w:jc w:val="center"/>
              <w:rPr>
                <w:sz w:val="18"/>
              </w:rPr>
            </w:pPr>
            <w:r>
              <w:rPr>
                <w:sz w:val="18"/>
              </w:rPr>
              <w:t>Yes</w:t>
            </w:r>
          </w:p>
        </w:tc>
        <w:tc>
          <w:tcPr>
            <w:tcW w:w="1369" w:type="dxa"/>
          </w:tcPr>
          <w:p>
            <w:pPr>
              <w:pStyle w:val="TableParagraph"/>
              <w:spacing w:line="219" w:lineRule="exact"/>
              <w:ind w:left="126" w:right="123"/>
              <w:jc w:val="center"/>
              <w:rPr>
                <w:sz w:val="18"/>
              </w:rPr>
            </w:pPr>
            <w:r>
              <w:rPr>
                <w:sz w:val="18"/>
              </w:rPr>
              <w:t>No</w:t>
            </w:r>
          </w:p>
        </w:tc>
        <w:tc>
          <w:tcPr>
            <w:tcW w:w="1655" w:type="dxa"/>
          </w:tcPr>
          <w:p>
            <w:pPr>
              <w:pStyle w:val="TableParagraph"/>
              <w:ind w:left="623" w:right="279" w:hanging="324"/>
              <w:rPr>
                <w:sz w:val="18"/>
              </w:rPr>
            </w:pPr>
            <w:r>
              <w:rPr>
                <w:sz w:val="18"/>
              </w:rPr>
              <w:t>Jul 2015-Jun</w:t>
            </w:r>
            <w:r>
              <w:rPr>
                <w:spacing w:val="-47"/>
                <w:sz w:val="18"/>
              </w:rPr>
              <w:t> </w:t>
            </w:r>
            <w:r>
              <w:rPr>
                <w:sz w:val="18"/>
              </w:rPr>
              <w:t>2021</w:t>
            </w:r>
          </w:p>
        </w:tc>
      </w:tr>
    </w:tbl>
    <w:p>
      <w:pPr>
        <w:spacing w:line="276" w:lineRule="auto" w:before="2"/>
        <w:ind w:left="1002" w:right="1236" w:firstLine="0"/>
        <w:jc w:val="left"/>
        <w:rPr>
          <w:i/>
          <w:sz w:val="16"/>
        </w:rPr>
      </w:pPr>
      <w:r>
        <w:rPr>
          <w:i/>
          <w:sz w:val="16"/>
        </w:rPr>
        <w:t>* For simplicity, the term ‘patient’ has been used in this document to refer to data collection relating to HCH</w:t>
      </w:r>
      <w:r>
        <w:rPr>
          <w:i/>
          <w:spacing w:val="1"/>
          <w:sz w:val="16"/>
        </w:rPr>
        <w:t> </w:t>
      </w:r>
      <w:r>
        <w:rPr>
          <w:i/>
          <w:sz w:val="16"/>
        </w:rPr>
        <w:t>enrolees, but also refers to carers and/ or family members of enrolled patients; ** GP survey only; *** Includes data</w:t>
      </w:r>
      <w:r>
        <w:rPr>
          <w:i/>
          <w:spacing w:val="-42"/>
          <w:sz w:val="16"/>
        </w:rPr>
        <w:t> </w:t>
      </w:r>
      <w:r>
        <w:rPr>
          <w:i/>
          <w:sz w:val="16"/>
        </w:rPr>
        <w:t>used to manage the program, including from the Department of Human Services and the Community Pharmacy</w:t>
      </w:r>
      <w:r>
        <w:rPr>
          <w:i/>
          <w:spacing w:val="1"/>
          <w:sz w:val="16"/>
        </w:rPr>
        <w:t> </w:t>
      </w:r>
      <w:r>
        <w:rPr>
          <w:i/>
          <w:sz w:val="16"/>
        </w:rPr>
        <w:t>Health</w:t>
      </w:r>
      <w:r>
        <w:rPr>
          <w:i/>
          <w:spacing w:val="-2"/>
          <w:sz w:val="16"/>
        </w:rPr>
        <w:t> </w:t>
      </w:r>
      <w:r>
        <w:rPr>
          <w:i/>
          <w:sz w:val="16"/>
        </w:rPr>
        <w:t>Outcomes</w:t>
      </w:r>
      <w:r>
        <w:rPr>
          <w:i/>
          <w:spacing w:val="-2"/>
          <w:sz w:val="16"/>
        </w:rPr>
        <w:t> </w:t>
      </w:r>
      <w:r>
        <w:rPr>
          <w:i/>
          <w:sz w:val="16"/>
        </w:rPr>
        <w:t>Data.</w:t>
      </w:r>
    </w:p>
    <w:p>
      <w:pPr>
        <w:pStyle w:val="BodyText"/>
        <w:spacing w:before="3"/>
        <w:rPr>
          <w:i/>
          <w:sz w:val="16"/>
        </w:rPr>
      </w:pPr>
    </w:p>
    <w:p>
      <w:pPr>
        <w:pStyle w:val="Heading2"/>
      </w:pPr>
      <w:bookmarkStart w:name="_bookmark26" w:id="27"/>
      <w:bookmarkEnd w:id="27"/>
      <w:r>
        <w:rPr/>
      </w:r>
      <w:r>
        <w:rPr>
          <w:color w:val="003C79"/>
        </w:rPr>
        <w:t>Comparative</w:t>
      </w:r>
      <w:r>
        <w:rPr>
          <w:color w:val="003C79"/>
          <w:spacing w:val="-13"/>
        </w:rPr>
        <w:t> </w:t>
      </w:r>
      <w:r>
        <w:rPr>
          <w:color w:val="003C79"/>
        </w:rPr>
        <w:t>effectiveness</w:t>
      </w:r>
    </w:p>
    <w:p>
      <w:pPr>
        <w:pStyle w:val="BodyText"/>
        <w:spacing w:line="276" w:lineRule="auto" w:before="262"/>
        <w:ind w:left="860" w:right="1207"/>
      </w:pPr>
      <w:r>
        <w:rPr/>
        <w:t>The evaluation will be based on a quasi-experimental design in which selected outcomes for</w:t>
      </w:r>
      <w:r>
        <w:rPr>
          <w:spacing w:val="-53"/>
        </w:rPr>
        <w:t> </w:t>
      </w:r>
      <w:r>
        <w:rPr/>
        <w:t>an intervention group (patients enrolled in HCH) will be compared with outcomes of</w:t>
      </w:r>
      <w:r>
        <w:rPr>
          <w:spacing w:val="1"/>
        </w:rPr>
        <w:t> </w:t>
      </w:r>
      <w:r>
        <w:rPr/>
        <w:t>comparison group(s) (equivalent patients receiving care in practices not participating in</w:t>
      </w:r>
      <w:r>
        <w:rPr>
          <w:spacing w:val="1"/>
        </w:rPr>
        <w:t> </w:t>
      </w:r>
      <w:r>
        <w:rPr/>
        <w:t>HCH).</w:t>
      </w:r>
      <w:r>
        <w:rPr>
          <w:spacing w:val="-4"/>
        </w:rPr>
        <w:t> </w:t>
      </w:r>
      <w:r>
        <w:rPr/>
        <w:t>The</w:t>
      </w:r>
      <w:r>
        <w:rPr>
          <w:spacing w:val="-1"/>
        </w:rPr>
        <w:t> </w:t>
      </w:r>
      <w:r>
        <w:rPr/>
        <w:t>unit</w:t>
      </w:r>
      <w:r>
        <w:rPr>
          <w:spacing w:val="-2"/>
        </w:rPr>
        <w:t> </w:t>
      </w:r>
      <w:r>
        <w:rPr/>
        <w:t>of</w:t>
      </w:r>
      <w:r>
        <w:rPr>
          <w:spacing w:val="-3"/>
        </w:rPr>
        <w:t> </w:t>
      </w:r>
      <w:r>
        <w:rPr/>
        <w:t>observation</w:t>
      </w:r>
      <w:r>
        <w:rPr>
          <w:spacing w:val="-3"/>
        </w:rPr>
        <w:t> </w:t>
      </w:r>
      <w:r>
        <w:rPr/>
        <w:t>for</w:t>
      </w:r>
      <w:r>
        <w:rPr>
          <w:spacing w:val="-4"/>
        </w:rPr>
        <w:t> </w:t>
      </w:r>
      <w:r>
        <w:rPr/>
        <w:t>the</w:t>
      </w:r>
      <w:r>
        <w:rPr>
          <w:spacing w:val="-3"/>
        </w:rPr>
        <w:t> </w:t>
      </w:r>
      <w:r>
        <w:rPr/>
        <w:t>intervention</w:t>
      </w:r>
      <w:r>
        <w:rPr>
          <w:spacing w:val="-3"/>
        </w:rPr>
        <w:t> </w:t>
      </w:r>
      <w:r>
        <w:rPr/>
        <w:t>and</w:t>
      </w:r>
      <w:r>
        <w:rPr>
          <w:spacing w:val="-4"/>
        </w:rPr>
        <w:t> </w:t>
      </w:r>
      <w:r>
        <w:rPr/>
        <w:t>comparison</w:t>
      </w:r>
      <w:r>
        <w:rPr>
          <w:spacing w:val="-2"/>
        </w:rPr>
        <w:t> </w:t>
      </w:r>
      <w:r>
        <w:rPr/>
        <w:t>groups</w:t>
      </w:r>
      <w:r>
        <w:rPr>
          <w:spacing w:val="-4"/>
        </w:rPr>
        <w:t> </w:t>
      </w:r>
      <w:r>
        <w:rPr/>
        <w:t>will</w:t>
      </w:r>
      <w:r>
        <w:rPr>
          <w:spacing w:val="6"/>
        </w:rPr>
        <w:t> </w:t>
      </w:r>
      <w:r>
        <w:rPr/>
        <w:t>be</w:t>
      </w:r>
      <w:r>
        <w:rPr>
          <w:spacing w:val="-4"/>
        </w:rPr>
        <w:t> </w:t>
      </w:r>
      <w:r>
        <w:rPr/>
        <w:t>the</w:t>
      </w:r>
      <w:r>
        <w:rPr>
          <w:spacing w:val="-4"/>
        </w:rPr>
        <w:t> </w:t>
      </w:r>
      <w:r>
        <w:rPr/>
        <w:t>patient.</w:t>
      </w:r>
    </w:p>
    <w:p>
      <w:pPr>
        <w:pStyle w:val="BodyText"/>
        <w:spacing w:line="276" w:lineRule="auto" w:before="199"/>
        <w:ind w:left="860" w:right="1154"/>
      </w:pPr>
      <w:r>
        <w:rPr/>
        <w:t>There is the possibility that there will be more than one comparison group. This depends on</w:t>
      </w:r>
      <w:r>
        <w:rPr>
          <w:spacing w:val="1"/>
        </w:rPr>
        <w:t> </w:t>
      </w:r>
      <w:r>
        <w:rPr/>
        <w:t>the availability of data on comparisons and ethical approval to link data related to</w:t>
      </w:r>
      <w:r>
        <w:rPr>
          <w:spacing w:val="1"/>
        </w:rPr>
        <w:t> </w:t>
      </w:r>
      <w:r>
        <w:rPr/>
        <w:t>comparison groups. The Department of Health is creating a data set linking MBS, PBS, hospital</w:t>
      </w:r>
      <w:r>
        <w:rPr>
          <w:spacing w:val="-53"/>
        </w:rPr>
        <w:t> </w:t>
      </w:r>
      <w:r>
        <w:rPr/>
        <w:t>separations and emergency department attendances, which is one of the key sources of</w:t>
      </w:r>
      <w:r>
        <w:rPr>
          <w:spacing w:val="1"/>
        </w:rPr>
        <w:t> </w:t>
      </w:r>
      <w:r>
        <w:rPr/>
        <w:t>data</w:t>
      </w:r>
      <w:r>
        <w:rPr>
          <w:spacing w:val="-1"/>
        </w:rPr>
        <w:t> </w:t>
      </w:r>
      <w:r>
        <w:rPr/>
        <w:t>for</w:t>
      </w:r>
      <w:r>
        <w:rPr>
          <w:spacing w:val="-1"/>
        </w:rPr>
        <w:t> </w:t>
      </w:r>
      <w:r>
        <w:rPr/>
        <w:t>HCH enrolees</w:t>
      </w:r>
      <w:r>
        <w:rPr>
          <w:spacing w:val="-1"/>
        </w:rPr>
        <w:t> </w:t>
      </w:r>
      <w:r>
        <w:rPr/>
        <w:t>and</w:t>
      </w:r>
      <w:r>
        <w:rPr>
          <w:spacing w:val="2"/>
        </w:rPr>
        <w:t> </w:t>
      </w:r>
      <w:r>
        <w:rPr/>
        <w:t>comparison</w:t>
      </w:r>
      <w:r>
        <w:rPr>
          <w:spacing w:val="1"/>
        </w:rPr>
        <w:t> </w:t>
      </w:r>
      <w:r>
        <w:rPr/>
        <w:t>patients.</w:t>
      </w:r>
    </w:p>
    <w:p>
      <w:pPr>
        <w:pStyle w:val="BodyText"/>
        <w:spacing w:line="276" w:lineRule="auto" w:before="200"/>
        <w:ind w:left="860" w:right="1313"/>
      </w:pPr>
      <w:r>
        <w:rPr/>
        <w:t>Extracts of data from general practice systems will also be obtained, leveraging</w:t>
      </w:r>
      <w:r>
        <w:rPr>
          <w:spacing w:val="1"/>
        </w:rPr>
        <w:t> </w:t>
      </w:r>
      <w:r>
        <w:rPr/>
        <w:t>arrangements currently in place. As practice data will not be linked with MBS and PBS data,</w:t>
      </w:r>
      <w:r>
        <w:rPr>
          <w:spacing w:val="-53"/>
        </w:rPr>
        <w:t> </w:t>
      </w:r>
      <w:r>
        <w:rPr/>
        <w:t>two</w:t>
      </w:r>
      <w:r>
        <w:rPr>
          <w:spacing w:val="-2"/>
        </w:rPr>
        <w:t> </w:t>
      </w:r>
      <w:r>
        <w:rPr/>
        <w:t>comparison</w:t>
      </w:r>
      <w:r>
        <w:rPr>
          <w:spacing w:val="-1"/>
        </w:rPr>
        <w:t> </w:t>
      </w:r>
      <w:r>
        <w:rPr/>
        <w:t>groups will be</w:t>
      </w:r>
      <w:r>
        <w:rPr>
          <w:spacing w:val="-2"/>
        </w:rPr>
        <w:t> </w:t>
      </w:r>
      <w:r>
        <w:rPr/>
        <w:t>required:</w:t>
      </w:r>
      <w:r>
        <w:rPr>
          <w:spacing w:val="-2"/>
        </w:rPr>
        <w:t> </w:t>
      </w:r>
      <w:r>
        <w:rPr/>
        <w:t>one</w:t>
      </w:r>
      <w:r>
        <w:rPr>
          <w:spacing w:val="-1"/>
        </w:rPr>
        <w:t> </w:t>
      </w:r>
      <w:r>
        <w:rPr/>
        <w:t>for</w:t>
      </w:r>
      <w:r>
        <w:rPr>
          <w:spacing w:val="-2"/>
        </w:rPr>
        <w:t> </w:t>
      </w:r>
      <w:r>
        <w:rPr/>
        <w:t>the</w:t>
      </w:r>
      <w:r>
        <w:rPr>
          <w:spacing w:val="-2"/>
        </w:rPr>
        <w:t> </w:t>
      </w:r>
      <w:r>
        <w:rPr/>
        <w:t>MBS</w:t>
      </w:r>
      <w:r>
        <w:rPr>
          <w:spacing w:val="-1"/>
        </w:rPr>
        <w:t> </w:t>
      </w:r>
      <w:r>
        <w:rPr/>
        <w:t>and</w:t>
      </w:r>
      <w:r>
        <w:rPr>
          <w:spacing w:val="-2"/>
        </w:rPr>
        <w:t> </w:t>
      </w:r>
      <w:r>
        <w:rPr/>
        <w:t>PBS</w:t>
      </w:r>
      <w:r>
        <w:rPr>
          <w:spacing w:val="-2"/>
        </w:rPr>
        <w:t> </w:t>
      </w:r>
      <w:r>
        <w:rPr/>
        <w:t>data,</w:t>
      </w:r>
      <w:r>
        <w:rPr>
          <w:spacing w:val="-3"/>
        </w:rPr>
        <w:t> </w:t>
      </w:r>
      <w:r>
        <w:rPr/>
        <w:t>and</w:t>
      </w:r>
      <w:r>
        <w:rPr>
          <w:spacing w:val="-2"/>
        </w:rPr>
        <w:t> </w:t>
      </w:r>
      <w:r>
        <w:rPr/>
        <w:t>one</w:t>
      </w:r>
      <w:r>
        <w:rPr>
          <w:spacing w:val="-2"/>
        </w:rPr>
        <w:t> </w:t>
      </w:r>
      <w:r>
        <w:rPr/>
        <w:t>for</w:t>
      </w:r>
      <w:r>
        <w:rPr>
          <w:spacing w:val="-1"/>
        </w:rPr>
        <w:t> </w:t>
      </w:r>
      <w:r>
        <w:rPr/>
        <w:t>the</w:t>
      </w:r>
    </w:p>
    <w:p>
      <w:pPr>
        <w:spacing w:after="0" w:line="276" w:lineRule="auto"/>
        <w:sectPr>
          <w:pgSz w:w="11910" w:h="16840"/>
          <w:pgMar w:header="0" w:footer="675" w:top="1340" w:bottom="860" w:left="580" w:right="280"/>
        </w:sectPr>
      </w:pPr>
    </w:p>
    <w:p>
      <w:pPr>
        <w:pStyle w:val="BodyText"/>
        <w:spacing w:line="276" w:lineRule="auto" w:before="82"/>
        <w:ind w:left="860" w:right="1672"/>
      </w:pPr>
      <w:r>
        <w:rPr/>
        <w:t>practice data. For both, identification of matched comparisons will be required, but the</w:t>
      </w:r>
      <w:r>
        <w:rPr>
          <w:spacing w:val="-54"/>
        </w:rPr>
        <w:t> </w:t>
      </w:r>
      <w:r>
        <w:rPr/>
        <w:t>criteria</w:t>
      </w:r>
      <w:r>
        <w:rPr>
          <w:spacing w:val="-1"/>
        </w:rPr>
        <w:t> </w:t>
      </w:r>
      <w:r>
        <w:rPr/>
        <w:t>for</w:t>
      </w:r>
      <w:r>
        <w:rPr>
          <w:spacing w:val="-1"/>
        </w:rPr>
        <w:t> </w:t>
      </w:r>
      <w:r>
        <w:rPr/>
        <w:t>this is</w:t>
      </w:r>
      <w:r>
        <w:rPr>
          <w:spacing w:val="-1"/>
        </w:rPr>
        <w:t> </w:t>
      </w:r>
      <w:r>
        <w:rPr/>
        <w:t>likely</w:t>
      </w:r>
      <w:r>
        <w:rPr>
          <w:spacing w:val="-2"/>
        </w:rPr>
        <w:t> </w:t>
      </w:r>
      <w:r>
        <w:rPr/>
        <w:t>to vary</w:t>
      </w:r>
      <w:r>
        <w:rPr>
          <w:spacing w:val="-2"/>
        </w:rPr>
        <w:t> </w:t>
      </w:r>
      <w:r>
        <w:rPr/>
        <w:t>between</w:t>
      </w:r>
      <w:r>
        <w:rPr>
          <w:spacing w:val="-1"/>
        </w:rPr>
        <w:t> </w:t>
      </w:r>
      <w:r>
        <w:rPr/>
        <w:t>groups.</w:t>
      </w:r>
    </w:p>
    <w:p>
      <w:pPr>
        <w:pStyle w:val="BodyText"/>
        <w:spacing w:line="276" w:lineRule="auto" w:before="199"/>
        <w:ind w:left="860" w:right="1312"/>
      </w:pPr>
      <w:r>
        <w:rPr/>
        <w:t>Intervention and comparison patients will be selected using a propensity scoring approach,</w:t>
      </w:r>
      <w:r>
        <w:rPr>
          <w:spacing w:val="-53"/>
        </w:rPr>
        <w:t> </w:t>
      </w:r>
      <w:r>
        <w:rPr/>
        <w:t>which considers: age, sex, Indigenous status, remoteness or area of residence, PHN and risk</w:t>
      </w:r>
      <w:r>
        <w:rPr>
          <w:spacing w:val="1"/>
        </w:rPr>
        <w:t> </w:t>
      </w:r>
      <w:r>
        <w:rPr/>
        <w:t>strata/ score. Risk strata/ scores will be derived by applying a risk stratification system that</w:t>
      </w:r>
      <w:r>
        <w:rPr>
          <w:spacing w:val="1"/>
        </w:rPr>
        <w:t> </w:t>
      </w:r>
      <w:r>
        <w:rPr/>
        <w:t>can be equally applied to intervention and comparison groups. This will not be the same as</w:t>
      </w:r>
      <w:r>
        <w:rPr>
          <w:spacing w:val="-53"/>
        </w:rPr>
        <w:t> </w:t>
      </w:r>
      <w:r>
        <w:rPr/>
        <w:t>the risk stratification system used in the enrolment process for HCH, as not all the input data</w:t>
      </w:r>
      <w:r>
        <w:rPr>
          <w:spacing w:val="1"/>
        </w:rPr>
        <w:t> </w:t>
      </w:r>
      <w:r>
        <w:rPr/>
        <w:t>for this system will be available for comparison patients. Instead, a model using PBS data,</w:t>
      </w:r>
      <w:r>
        <w:rPr>
          <w:spacing w:val="1"/>
        </w:rPr>
        <w:t> </w:t>
      </w:r>
      <w:r>
        <w:rPr/>
        <w:t>and diagnoses recorded for patients in hospitalisation data, will be used. Matching criteria</w:t>
      </w:r>
      <w:r>
        <w:rPr>
          <w:spacing w:val="1"/>
        </w:rPr>
        <w:t> </w:t>
      </w:r>
      <w:r>
        <w:rPr/>
        <w:t>will be applied reflecting data at the time of enrolment into HCH by the intervention group,</w:t>
      </w:r>
      <w:r>
        <w:rPr>
          <w:spacing w:val="-53"/>
        </w:rPr>
        <w:t> </w:t>
      </w:r>
      <w:r>
        <w:rPr/>
        <w:t>based on point-in-time factors (e.g. age) and analysis of the prior two years of data (i.e. risk</w:t>
      </w:r>
      <w:r>
        <w:rPr>
          <w:spacing w:val="-53"/>
        </w:rPr>
        <w:t> </w:t>
      </w:r>
      <w:r>
        <w:rPr/>
        <w:t>profile).</w:t>
      </w:r>
      <w:r>
        <w:rPr>
          <w:spacing w:val="1"/>
        </w:rPr>
        <w:t> </w:t>
      </w:r>
      <w:r>
        <w:rPr/>
        <w:t>A</w:t>
      </w:r>
      <w:r>
        <w:rPr>
          <w:spacing w:val="-5"/>
        </w:rPr>
        <w:t> </w:t>
      </w:r>
      <w:r>
        <w:rPr/>
        <w:t>proxy</w:t>
      </w:r>
      <w:r>
        <w:rPr>
          <w:spacing w:val="-3"/>
        </w:rPr>
        <w:t> </w:t>
      </w:r>
      <w:r>
        <w:rPr/>
        <w:t>enrolment point</w:t>
      </w:r>
      <w:r>
        <w:rPr>
          <w:spacing w:val="1"/>
        </w:rPr>
        <w:t> </w:t>
      </w:r>
      <w:r>
        <w:rPr/>
        <w:t>will</w:t>
      </w:r>
      <w:r>
        <w:rPr>
          <w:spacing w:val="3"/>
        </w:rPr>
        <w:t> </w:t>
      </w:r>
      <w:r>
        <w:rPr/>
        <w:t>be</w:t>
      </w:r>
      <w:r>
        <w:rPr>
          <w:spacing w:val="-2"/>
        </w:rPr>
        <w:t> </w:t>
      </w:r>
      <w:r>
        <w:rPr/>
        <w:t>identified</w:t>
      </w:r>
      <w:r>
        <w:rPr>
          <w:spacing w:val="-2"/>
        </w:rPr>
        <w:t> </w:t>
      </w:r>
      <w:r>
        <w:rPr/>
        <w:t>for</w:t>
      </w:r>
      <w:r>
        <w:rPr>
          <w:spacing w:val="-2"/>
        </w:rPr>
        <w:t> </w:t>
      </w:r>
      <w:r>
        <w:rPr/>
        <w:t>comparison patients.</w:t>
      </w:r>
    </w:p>
    <w:p>
      <w:pPr>
        <w:pStyle w:val="BodyText"/>
        <w:spacing w:line="276" w:lineRule="auto" w:before="203"/>
        <w:ind w:left="860" w:right="1320"/>
      </w:pPr>
      <w:r>
        <w:rPr/>
        <w:t>Patients are clustered into general practices and other primary health care services. For the</w:t>
      </w:r>
      <w:r>
        <w:rPr>
          <w:spacing w:val="-53"/>
        </w:rPr>
        <w:t> </w:t>
      </w:r>
      <w:r>
        <w:rPr/>
        <w:t>intervention group, information on clustering will be available to the evaluators. This may be</w:t>
      </w:r>
      <w:r>
        <w:rPr>
          <w:spacing w:val="-53"/>
        </w:rPr>
        <w:t> </w:t>
      </w:r>
      <w:r>
        <w:rPr/>
        <w:t>the case for patients within the comparison group, but is not yet confirmed. It may be</w:t>
      </w:r>
      <w:r>
        <w:rPr>
          <w:spacing w:val="1"/>
        </w:rPr>
        <w:t> </w:t>
      </w:r>
      <w:r>
        <w:rPr/>
        <w:t>possible to apply proxy measures to estimate clustering within practices in the comparison</w:t>
      </w:r>
      <w:r>
        <w:rPr>
          <w:spacing w:val="1"/>
        </w:rPr>
        <w:t> </w:t>
      </w:r>
      <w:r>
        <w:rPr/>
        <w:t>group. If information is available on the practices of patients from the comparison groups,</w:t>
      </w:r>
      <w:r>
        <w:rPr>
          <w:spacing w:val="1"/>
        </w:rPr>
        <w:t> </w:t>
      </w:r>
      <w:r>
        <w:rPr/>
        <w:t>then practices will be matched as a first step in selecting comparisons, and then patients</w:t>
      </w:r>
      <w:r>
        <w:rPr>
          <w:spacing w:val="1"/>
        </w:rPr>
        <w:t> </w:t>
      </w:r>
      <w:r>
        <w:rPr/>
        <w:t>drawn</w:t>
      </w:r>
      <w:r>
        <w:rPr>
          <w:spacing w:val="-1"/>
        </w:rPr>
        <w:t> </w:t>
      </w:r>
      <w:r>
        <w:rPr/>
        <w:t>from</w:t>
      </w:r>
      <w:r>
        <w:rPr>
          <w:spacing w:val="-1"/>
        </w:rPr>
        <w:t> </w:t>
      </w:r>
      <w:r>
        <w:rPr/>
        <w:t>within</w:t>
      </w:r>
      <w:r>
        <w:rPr>
          <w:spacing w:val="-2"/>
        </w:rPr>
        <w:t> </w:t>
      </w:r>
      <w:r>
        <w:rPr/>
        <w:t>those</w:t>
      </w:r>
      <w:r>
        <w:rPr>
          <w:spacing w:val="-1"/>
        </w:rPr>
        <w:t> </w:t>
      </w:r>
      <w:r>
        <w:rPr/>
        <w:t>practices.</w:t>
      </w:r>
    </w:p>
    <w:p>
      <w:pPr>
        <w:pStyle w:val="BodyText"/>
        <w:spacing w:line="276" w:lineRule="auto" w:before="198"/>
        <w:ind w:left="860" w:right="1740"/>
      </w:pPr>
      <w:r>
        <w:rPr/>
        <w:t>For the intervention and comparison groups, core measures will be derived for a period</w:t>
      </w:r>
      <w:r>
        <w:rPr>
          <w:spacing w:val="-53"/>
        </w:rPr>
        <w:t> </w:t>
      </w:r>
      <w:r>
        <w:rPr/>
        <w:t>preceding</w:t>
      </w:r>
      <w:r>
        <w:rPr>
          <w:spacing w:val="-2"/>
        </w:rPr>
        <w:t> </w:t>
      </w:r>
      <w:r>
        <w:rPr/>
        <w:t>the</w:t>
      </w:r>
      <w:r>
        <w:rPr>
          <w:spacing w:val="-1"/>
        </w:rPr>
        <w:t> </w:t>
      </w:r>
      <w:r>
        <w:rPr/>
        <w:t>implementation of</w:t>
      </w:r>
      <w:r>
        <w:rPr>
          <w:spacing w:val="-2"/>
        </w:rPr>
        <w:t> </w:t>
      </w:r>
      <w:r>
        <w:rPr/>
        <w:t>HCH,</w:t>
      </w:r>
      <w:r>
        <w:rPr>
          <w:spacing w:val="-3"/>
        </w:rPr>
        <w:t> </w:t>
      </w:r>
      <w:r>
        <w:rPr/>
        <w:t>and</w:t>
      </w:r>
      <w:r>
        <w:rPr>
          <w:spacing w:val="-1"/>
        </w:rPr>
        <w:t> </w:t>
      </w:r>
      <w:r>
        <w:rPr/>
        <w:t>during</w:t>
      </w:r>
      <w:r>
        <w:rPr>
          <w:spacing w:val="-2"/>
        </w:rPr>
        <w:t> </w:t>
      </w:r>
      <w:r>
        <w:rPr/>
        <w:t>the</w:t>
      </w:r>
      <w:r>
        <w:rPr>
          <w:spacing w:val="5"/>
        </w:rPr>
        <w:t> </w:t>
      </w:r>
      <w:r>
        <w:rPr/>
        <w:t>trial.</w:t>
      </w:r>
    </w:p>
    <w:p>
      <w:pPr>
        <w:pStyle w:val="BodyText"/>
        <w:spacing w:line="276" w:lineRule="auto" w:before="202"/>
        <w:ind w:left="860" w:right="1166"/>
      </w:pPr>
      <w:r>
        <w:rPr/>
        <w:t>Patients will be progressively enrolled in HCH during the first 21 months of the rollout of the</w:t>
      </w:r>
      <w:r>
        <w:rPr>
          <w:spacing w:val="1"/>
        </w:rPr>
        <w:t> </w:t>
      </w:r>
      <w:r>
        <w:rPr/>
        <w:t>program (October 2017-June 2019). For comparison purposes, observations will be subset into</w:t>
      </w:r>
      <w:r>
        <w:rPr>
          <w:spacing w:val="-54"/>
        </w:rPr>
        <w:t> </w:t>
      </w:r>
      <w:r>
        <w:rPr/>
        <w:t>two</w:t>
      </w:r>
      <w:r>
        <w:rPr>
          <w:spacing w:val="1"/>
        </w:rPr>
        <w:t> </w:t>
      </w:r>
      <w:r>
        <w:rPr/>
        <w:t>periods:</w:t>
      </w:r>
      <w:r>
        <w:rPr>
          <w:spacing w:val="-1"/>
        </w:rPr>
        <w:t> </w:t>
      </w:r>
      <w:r>
        <w:rPr/>
        <w:t>the</w:t>
      </w:r>
      <w:r>
        <w:rPr>
          <w:spacing w:val="3"/>
        </w:rPr>
        <w:t> </w:t>
      </w:r>
      <w:r>
        <w:rPr/>
        <w:t>two</w:t>
      </w:r>
      <w:r>
        <w:rPr>
          <w:spacing w:val="1"/>
        </w:rPr>
        <w:t> </w:t>
      </w:r>
      <w:r>
        <w:rPr/>
        <w:t>years</w:t>
      </w:r>
      <w:r>
        <w:rPr>
          <w:spacing w:val="3"/>
        </w:rPr>
        <w:t> </w:t>
      </w:r>
      <w:r>
        <w:rPr/>
        <w:t>preceding</w:t>
      </w:r>
      <w:r>
        <w:rPr>
          <w:spacing w:val="1"/>
        </w:rPr>
        <w:t> </w:t>
      </w:r>
      <w:r>
        <w:rPr/>
        <w:t>enrolment</w:t>
      </w:r>
      <w:r>
        <w:rPr>
          <w:spacing w:val="7"/>
        </w:rPr>
        <w:t> </w:t>
      </w:r>
      <w:r>
        <w:rPr/>
        <w:t>(i.e. as</w:t>
      </w:r>
      <w:r>
        <w:rPr>
          <w:spacing w:val="1"/>
        </w:rPr>
        <w:t> </w:t>
      </w:r>
      <w:r>
        <w:rPr/>
        <w:t>far</w:t>
      </w:r>
      <w:r>
        <w:rPr>
          <w:spacing w:val="2"/>
        </w:rPr>
        <w:t> </w:t>
      </w:r>
      <w:r>
        <w:rPr/>
        <w:t>back</w:t>
      </w:r>
      <w:r>
        <w:rPr>
          <w:spacing w:val="2"/>
        </w:rPr>
        <w:t> </w:t>
      </w:r>
      <w:r>
        <w:rPr/>
        <w:t>as</w:t>
      </w:r>
      <w:r>
        <w:rPr>
          <w:spacing w:val="1"/>
        </w:rPr>
        <w:t> </w:t>
      </w:r>
      <w:r>
        <w:rPr/>
        <w:t>1</w:t>
      </w:r>
      <w:r>
        <w:rPr>
          <w:spacing w:val="2"/>
        </w:rPr>
        <w:t> </w:t>
      </w:r>
      <w:r>
        <w:rPr/>
        <w:t>July</w:t>
      </w:r>
      <w:r>
        <w:rPr>
          <w:spacing w:val="2"/>
        </w:rPr>
        <w:t> </w:t>
      </w:r>
      <w:r>
        <w:rPr/>
        <w:t>2015</w:t>
      </w:r>
      <w:r>
        <w:rPr>
          <w:spacing w:val="2"/>
        </w:rPr>
        <w:t> </w:t>
      </w:r>
      <w:r>
        <w:rPr/>
        <w:t>and</w:t>
      </w:r>
      <w:r>
        <w:rPr>
          <w:spacing w:val="1"/>
        </w:rPr>
        <w:t> </w:t>
      </w:r>
      <w:r>
        <w:rPr/>
        <w:t>up</w:t>
      </w:r>
      <w:r>
        <w:rPr>
          <w:spacing w:val="3"/>
        </w:rPr>
        <w:t> </w:t>
      </w:r>
      <w:r>
        <w:rPr/>
        <w:t>to</w:t>
      </w:r>
      <w:r>
        <w:rPr>
          <w:spacing w:val="1"/>
        </w:rPr>
        <w:t> </w:t>
      </w:r>
      <w:r>
        <w:rPr/>
        <w:t>and including June 2019) and up to two years following enrolment. The maximum follow-up</w:t>
      </w:r>
      <w:r>
        <w:rPr>
          <w:spacing w:val="1"/>
        </w:rPr>
        <w:t> </w:t>
      </w:r>
      <w:r>
        <w:rPr/>
        <w:t>period with be three years and 9 months (i.e. patients enrolled in October 2017), and the</w:t>
      </w:r>
      <w:r>
        <w:rPr>
          <w:spacing w:val="1"/>
        </w:rPr>
        <w:t> </w:t>
      </w:r>
      <w:r>
        <w:rPr/>
        <w:t>minimum</w:t>
      </w:r>
      <w:r>
        <w:rPr>
          <w:spacing w:val="-1"/>
        </w:rPr>
        <w:t> </w:t>
      </w:r>
      <w:r>
        <w:rPr/>
        <w:t>24</w:t>
      </w:r>
      <w:r>
        <w:rPr>
          <w:spacing w:val="-2"/>
        </w:rPr>
        <w:t> </w:t>
      </w:r>
      <w:r>
        <w:rPr/>
        <w:t>months (patients</w:t>
      </w:r>
      <w:r>
        <w:rPr>
          <w:spacing w:val="-1"/>
        </w:rPr>
        <w:t> </w:t>
      </w:r>
      <w:r>
        <w:rPr/>
        <w:t>enrolled</w:t>
      </w:r>
      <w:r>
        <w:rPr>
          <w:spacing w:val="-2"/>
        </w:rPr>
        <w:t> </w:t>
      </w:r>
      <w:r>
        <w:rPr/>
        <w:t>in</w:t>
      </w:r>
      <w:r>
        <w:rPr>
          <w:spacing w:val="-1"/>
        </w:rPr>
        <w:t> </w:t>
      </w:r>
      <w:r>
        <w:rPr/>
        <w:t>the</w:t>
      </w:r>
      <w:r>
        <w:rPr>
          <w:spacing w:val="-1"/>
        </w:rPr>
        <w:t> </w:t>
      </w:r>
      <w:r>
        <w:rPr/>
        <w:t>program</w:t>
      </w:r>
      <w:r>
        <w:rPr>
          <w:spacing w:val="3"/>
        </w:rPr>
        <w:t> </w:t>
      </w:r>
      <w:r>
        <w:rPr/>
        <w:t>up</w:t>
      </w:r>
      <w:r>
        <w:rPr>
          <w:spacing w:val="-1"/>
        </w:rPr>
        <w:t> </w:t>
      </w:r>
      <w:r>
        <w:rPr/>
        <w:t>during</w:t>
      </w:r>
      <w:r>
        <w:rPr>
          <w:spacing w:val="-1"/>
        </w:rPr>
        <w:t> </w:t>
      </w:r>
      <w:r>
        <w:rPr/>
        <w:t>June</w:t>
      </w:r>
      <w:r>
        <w:rPr>
          <w:spacing w:val="-2"/>
        </w:rPr>
        <w:t> </w:t>
      </w:r>
      <w:r>
        <w:rPr/>
        <w:t>2019).</w:t>
      </w:r>
    </w:p>
    <w:p>
      <w:pPr>
        <w:pStyle w:val="BodyText"/>
        <w:spacing w:line="276" w:lineRule="auto" w:before="199"/>
        <w:ind w:left="860" w:right="1195"/>
      </w:pPr>
      <w:r>
        <w:rPr/>
        <w:t>The effect of HCH will be estimated by comparing differences in the values of measures for</w:t>
      </w:r>
      <w:r>
        <w:rPr>
          <w:spacing w:val="1"/>
        </w:rPr>
        <w:t> </w:t>
      </w:r>
      <w:r>
        <w:rPr/>
        <w:t>the intervention and comparison groups between the 27-29 months prior to enrolment/ proxy</w:t>
      </w:r>
      <w:r>
        <w:rPr>
          <w:spacing w:val="-53"/>
        </w:rPr>
        <w:t> </w:t>
      </w:r>
      <w:r>
        <w:rPr/>
        <w:t>enrolment,</w:t>
      </w:r>
      <w:r>
        <w:rPr>
          <w:spacing w:val="-1"/>
        </w:rPr>
        <w:t> </w:t>
      </w:r>
      <w:r>
        <w:rPr/>
        <w:t>each</w:t>
      </w:r>
      <w:r>
        <w:rPr>
          <w:spacing w:val="3"/>
        </w:rPr>
        <w:t> </w:t>
      </w:r>
      <w:r>
        <w:rPr/>
        <w:t>six-month</w:t>
      </w:r>
      <w:r>
        <w:rPr>
          <w:spacing w:val="1"/>
        </w:rPr>
        <w:t> </w:t>
      </w:r>
      <w:r>
        <w:rPr/>
        <w:t>period</w:t>
      </w:r>
      <w:r>
        <w:rPr>
          <w:spacing w:val="3"/>
        </w:rPr>
        <w:t> </w:t>
      </w:r>
      <w:r>
        <w:rPr/>
        <w:t>following enrolment,</w:t>
      </w:r>
      <w:r>
        <w:rPr>
          <w:spacing w:val="-1"/>
        </w:rPr>
        <w:t> </w:t>
      </w:r>
      <w:r>
        <w:rPr/>
        <w:t>and</w:t>
      </w:r>
      <w:r>
        <w:rPr>
          <w:spacing w:val="2"/>
        </w:rPr>
        <w:t> </w:t>
      </w:r>
      <w:r>
        <w:rPr/>
        <w:t>the full</w:t>
      </w:r>
      <w:r>
        <w:rPr>
          <w:spacing w:val="2"/>
        </w:rPr>
        <w:t> </w:t>
      </w:r>
      <w:r>
        <w:rPr/>
        <w:t>post</w:t>
      </w:r>
      <w:r>
        <w:rPr>
          <w:spacing w:val="2"/>
        </w:rPr>
        <w:t> </w:t>
      </w:r>
      <w:r>
        <w:rPr/>
        <w:t>enrolment</w:t>
      </w:r>
      <w:r>
        <w:rPr>
          <w:spacing w:val="3"/>
        </w:rPr>
        <w:t> </w:t>
      </w:r>
      <w:r>
        <w:rPr/>
        <w:t>period</w:t>
      </w:r>
      <w:r>
        <w:rPr>
          <w:spacing w:val="1"/>
        </w:rPr>
        <w:t> </w:t>
      </w:r>
      <w:r>
        <w:rPr/>
        <w:t>(up to three years and 9 months). Adjustments will be made to take account of variation</w:t>
      </w:r>
      <w:r>
        <w:rPr>
          <w:spacing w:val="1"/>
        </w:rPr>
        <w:t> </w:t>
      </w:r>
      <w:r>
        <w:rPr/>
        <w:t>within</w:t>
      </w:r>
      <w:r>
        <w:rPr>
          <w:spacing w:val="-4"/>
        </w:rPr>
        <w:t> </w:t>
      </w:r>
      <w:r>
        <w:rPr/>
        <w:t>the</w:t>
      </w:r>
      <w:r>
        <w:rPr>
          <w:spacing w:val="-2"/>
        </w:rPr>
        <w:t> </w:t>
      </w:r>
      <w:r>
        <w:rPr/>
        <w:t>intervention</w:t>
      </w:r>
      <w:r>
        <w:rPr>
          <w:spacing w:val="2"/>
        </w:rPr>
        <w:t> </w:t>
      </w:r>
      <w:r>
        <w:rPr/>
        <w:t>and</w:t>
      </w:r>
      <w:r>
        <w:rPr>
          <w:spacing w:val="-2"/>
        </w:rPr>
        <w:t> </w:t>
      </w:r>
      <w:r>
        <w:rPr/>
        <w:t>comparator groups</w:t>
      </w:r>
      <w:r>
        <w:rPr>
          <w:spacing w:val="-2"/>
        </w:rPr>
        <w:t> </w:t>
      </w:r>
      <w:r>
        <w:rPr/>
        <w:t>in</w:t>
      </w:r>
      <w:r>
        <w:rPr>
          <w:spacing w:val="-1"/>
        </w:rPr>
        <w:t> </w:t>
      </w:r>
      <w:r>
        <w:rPr/>
        <w:t>the</w:t>
      </w:r>
      <w:r>
        <w:rPr>
          <w:spacing w:val="-2"/>
        </w:rPr>
        <w:t> </w:t>
      </w:r>
      <w:r>
        <w:rPr/>
        <w:t>number</w:t>
      </w:r>
      <w:r>
        <w:rPr>
          <w:spacing w:val="-2"/>
        </w:rPr>
        <w:t> </w:t>
      </w:r>
      <w:r>
        <w:rPr/>
        <w:t>of</w:t>
      </w:r>
      <w:r>
        <w:rPr>
          <w:spacing w:val="-2"/>
        </w:rPr>
        <w:t> </w:t>
      </w:r>
      <w:r>
        <w:rPr/>
        <w:t>months</w:t>
      </w:r>
      <w:r>
        <w:rPr>
          <w:spacing w:val="-2"/>
        </w:rPr>
        <w:t> </w:t>
      </w:r>
      <w:r>
        <w:rPr/>
        <w:t>observed.</w:t>
      </w:r>
    </w:p>
    <w:p>
      <w:pPr>
        <w:pStyle w:val="BodyText"/>
        <w:spacing w:line="276" w:lineRule="auto" w:before="201"/>
        <w:ind w:left="860" w:right="1455"/>
      </w:pPr>
      <w:r>
        <w:rPr/>
        <w:t>The</w:t>
      </w:r>
      <w:r>
        <w:rPr>
          <w:spacing w:val="-4"/>
        </w:rPr>
        <w:t> </w:t>
      </w:r>
      <w:r>
        <w:rPr/>
        <w:t>characteristics</w:t>
      </w:r>
      <w:r>
        <w:rPr>
          <w:spacing w:val="-4"/>
        </w:rPr>
        <w:t> </w:t>
      </w:r>
      <w:r>
        <w:rPr/>
        <w:t>to</w:t>
      </w:r>
      <w:r>
        <w:rPr>
          <w:spacing w:val="-4"/>
        </w:rPr>
        <w:t> </w:t>
      </w:r>
      <w:r>
        <w:rPr/>
        <w:t>be</w:t>
      </w:r>
      <w:r>
        <w:rPr>
          <w:spacing w:val="-3"/>
        </w:rPr>
        <w:t> </w:t>
      </w:r>
      <w:r>
        <w:rPr/>
        <w:t>evaluated</w:t>
      </w:r>
      <w:r>
        <w:rPr>
          <w:spacing w:val="-4"/>
        </w:rPr>
        <w:t> </w:t>
      </w:r>
      <w:r>
        <w:rPr/>
        <w:t>of</w:t>
      </w:r>
      <w:r>
        <w:rPr>
          <w:spacing w:val="-4"/>
        </w:rPr>
        <w:t> </w:t>
      </w:r>
      <w:r>
        <w:rPr/>
        <w:t>the</w:t>
      </w:r>
      <w:r>
        <w:rPr>
          <w:spacing w:val="-3"/>
        </w:rPr>
        <w:t> </w:t>
      </w:r>
      <w:r>
        <w:rPr/>
        <w:t>intervention</w:t>
      </w:r>
      <w:r>
        <w:rPr>
          <w:spacing w:val="-3"/>
        </w:rPr>
        <w:t> </w:t>
      </w:r>
      <w:r>
        <w:rPr/>
        <w:t>and</w:t>
      </w:r>
      <w:r>
        <w:rPr>
          <w:spacing w:val="-4"/>
        </w:rPr>
        <w:t> </w:t>
      </w:r>
      <w:r>
        <w:rPr/>
        <w:t>comparison</w:t>
      </w:r>
      <w:r>
        <w:rPr>
          <w:spacing w:val="-2"/>
        </w:rPr>
        <w:t> </w:t>
      </w:r>
      <w:r>
        <w:rPr/>
        <w:t>groups</w:t>
      </w:r>
      <w:r>
        <w:rPr>
          <w:spacing w:val="-2"/>
        </w:rPr>
        <w:t> </w:t>
      </w:r>
      <w:r>
        <w:rPr/>
        <w:t>are</w:t>
      </w:r>
      <w:r>
        <w:rPr>
          <w:spacing w:val="-53"/>
        </w:rPr>
        <w:t> </w:t>
      </w:r>
      <w:r>
        <w:rPr/>
        <w:t>summarised</w:t>
      </w:r>
      <w:r>
        <w:rPr>
          <w:spacing w:val="-2"/>
        </w:rPr>
        <w:t> </w:t>
      </w:r>
      <w:r>
        <w:rPr/>
        <w:t>in</w:t>
      </w:r>
      <w:r>
        <w:rPr>
          <w:spacing w:val="1"/>
        </w:rPr>
        <w:t> </w:t>
      </w:r>
      <w:hyperlink w:history="true" w:anchor="_bookmark27">
        <w:r>
          <w:rPr/>
          <w:t>Table 10.</w:t>
        </w:r>
      </w:hyperlink>
    </w:p>
    <w:p>
      <w:pPr>
        <w:spacing w:after="0" w:line="276" w:lineRule="auto"/>
        <w:sectPr>
          <w:pgSz w:w="11910" w:h="16840"/>
          <w:pgMar w:header="0" w:footer="675" w:top="1340" w:bottom="860" w:left="580" w:right="280"/>
        </w:sectPr>
      </w:pPr>
    </w:p>
    <w:p>
      <w:pPr>
        <w:spacing w:before="80"/>
        <w:ind w:left="1225" w:right="1524" w:firstLine="0"/>
        <w:jc w:val="center"/>
        <w:rPr>
          <w:b/>
          <w:sz w:val="18"/>
        </w:rPr>
      </w:pPr>
      <w:bookmarkStart w:name="_bookmark27" w:id="28"/>
      <w:bookmarkEnd w:id="28"/>
      <w:r>
        <w:rPr/>
      </w:r>
      <w:r>
        <w:rPr>
          <w:b/>
          <w:sz w:val="18"/>
        </w:rPr>
        <w:t>Table</w:t>
      </w:r>
      <w:r>
        <w:rPr>
          <w:b/>
          <w:spacing w:val="-3"/>
          <w:sz w:val="18"/>
        </w:rPr>
        <w:t> </w:t>
      </w:r>
      <w:r>
        <w:rPr>
          <w:b/>
          <w:sz w:val="18"/>
        </w:rPr>
        <w:t>10</w:t>
      </w:r>
      <w:r>
        <w:rPr>
          <w:b/>
          <w:spacing w:val="-5"/>
          <w:sz w:val="18"/>
        </w:rPr>
        <w:t> </w:t>
      </w:r>
      <w:r>
        <w:rPr>
          <w:b/>
          <w:sz w:val="18"/>
        </w:rPr>
        <w:t>–</w:t>
      </w:r>
      <w:r>
        <w:rPr>
          <w:b/>
          <w:spacing w:val="-1"/>
          <w:sz w:val="18"/>
        </w:rPr>
        <w:t> </w:t>
      </w:r>
      <w:r>
        <w:rPr>
          <w:b/>
          <w:sz w:val="18"/>
        </w:rPr>
        <w:t>Summary</w:t>
      </w:r>
      <w:r>
        <w:rPr>
          <w:b/>
          <w:spacing w:val="-1"/>
          <w:sz w:val="18"/>
        </w:rPr>
        <w:t> </w:t>
      </w:r>
      <w:r>
        <w:rPr>
          <w:b/>
          <w:sz w:val="18"/>
        </w:rPr>
        <w:t>of</w:t>
      </w:r>
      <w:r>
        <w:rPr>
          <w:b/>
          <w:spacing w:val="-3"/>
          <w:sz w:val="18"/>
        </w:rPr>
        <w:t> </w:t>
      </w:r>
      <w:r>
        <w:rPr>
          <w:b/>
          <w:sz w:val="18"/>
        </w:rPr>
        <w:t>intervention</w:t>
      </w:r>
      <w:r>
        <w:rPr>
          <w:b/>
          <w:spacing w:val="-2"/>
          <w:sz w:val="18"/>
        </w:rPr>
        <w:t> </w:t>
      </w:r>
      <w:r>
        <w:rPr>
          <w:b/>
          <w:sz w:val="18"/>
        </w:rPr>
        <w:t>and</w:t>
      </w:r>
      <w:r>
        <w:rPr>
          <w:b/>
          <w:spacing w:val="-1"/>
          <w:sz w:val="18"/>
        </w:rPr>
        <w:t> </w:t>
      </w:r>
      <w:r>
        <w:rPr>
          <w:b/>
          <w:sz w:val="18"/>
        </w:rPr>
        <w:t>comparison</w:t>
      </w:r>
      <w:r>
        <w:rPr>
          <w:b/>
          <w:spacing w:val="-2"/>
          <w:sz w:val="18"/>
        </w:rPr>
        <w:t> </w:t>
      </w:r>
      <w:r>
        <w:rPr>
          <w:b/>
          <w:sz w:val="18"/>
        </w:rPr>
        <w:t>groups</w:t>
      </w:r>
    </w:p>
    <w:p>
      <w:pPr>
        <w:pStyle w:val="BodyText"/>
        <w:spacing w:before="5"/>
        <w:rPr>
          <w:b/>
          <w:sz w:val="7"/>
        </w:rPr>
      </w:pPr>
    </w:p>
    <w:tbl>
      <w:tblPr>
        <w:tblW w:w="0" w:type="auto"/>
        <w:jc w:val="left"/>
        <w:tblInd w:w="77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2263"/>
        <w:gridCol w:w="3476"/>
        <w:gridCol w:w="3476"/>
      </w:tblGrid>
      <w:tr>
        <w:trPr>
          <w:trHeight w:val="374" w:hRule="atLeast"/>
        </w:trPr>
        <w:tc>
          <w:tcPr>
            <w:tcW w:w="2263" w:type="dxa"/>
            <w:shd w:val="clear" w:color="auto" w:fill="003C79"/>
          </w:tcPr>
          <w:p>
            <w:pPr>
              <w:pStyle w:val="TableParagraph"/>
              <w:spacing w:line="219" w:lineRule="exact"/>
              <w:ind w:left="482"/>
              <w:rPr>
                <w:b/>
                <w:sz w:val="18"/>
              </w:rPr>
            </w:pPr>
            <w:r>
              <w:rPr>
                <w:b/>
                <w:color w:val="FFFFFF"/>
                <w:sz w:val="18"/>
              </w:rPr>
              <w:t>Characteristics</w:t>
            </w:r>
          </w:p>
        </w:tc>
        <w:tc>
          <w:tcPr>
            <w:tcW w:w="3476" w:type="dxa"/>
            <w:shd w:val="clear" w:color="auto" w:fill="003C79"/>
          </w:tcPr>
          <w:p>
            <w:pPr>
              <w:pStyle w:val="TableParagraph"/>
              <w:spacing w:line="219" w:lineRule="exact"/>
              <w:ind w:left="1179" w:right="1174"/>
              <w:jc w:val="center"/>
              <w:rPr>
                <w:b/>
                <w:sz w:val="18"/>
              </w:rPr>
            </w:pPr>
            <w:r>
              <w:rPr>
                <w:b/>
                <w:color w:val="FFFFFF"/>
                <w:sz w:val="18"/>
              </w:rPr>
              <w:t>Intervention</w:t>
            </w:r>
          </w:p>
        </w:tc>
        <w:tc>
          <w:tcPr>
            <w:tcW w:w="3476" w:type="dxa"/>
            <w:shd w:val="clear" w:color="auto" w:fill="003C79"/>
          </w:tcPr>
          <w:p>
            <w:pPr>
              <w:pStyle w:val="TableParagraph"/>
              <w:spacing w:line="219" w:lineRule="exact"/>
              <w:ind w:left="1185" w:right="1174"/>
              <w:jc w:val="center"/>
              <w:rPr>
                <w:b/>
                <w:sz w:val="18"/>
              </w:rPr>
            </w:pPr>
            <w:r>
              <w:rPr>
                <w:b/>
                <w:color w:val="FFFFFF"/>
                <w:sz w:val="18"/>
              </w:rPr>
              <w:t>Comparison</w:t>
            </w:r>
          </w:p>
        </w:tc>
      </w:tr>
      <w:tr>
        <w:trPr>
          <w:trHeight w:val="508" w:hRule="atLeast"/>
        </w:trPr>
        <w:tc>
          <w:tcPr>
            <w:tcW w:w="2263" w:type="dxa"/>
          </w:tcPr>
          <w:p>
            <w:pPr>
              <w:pStyle w:val="TableParagraph"/>
              <w:spacing w:line="219" w:lineRule="exact"/>
              <w:ind w:left="107"/>
              <w:rPr>
                <w:sz w:val="18"/>
              </w:rPr>
            </w:pPr>
            <w:r>
              <w:rPr>
                <w:sz w:val="18"/>
              </w:rPr>
              <w:t>Practices</w:t>
            </w:r>
          </w:p>
        </w:tc>
        <w:tc>
          <w:tcPr>
            <w:tcW w:w="3476" w:type="dxa"/>
          </w:tcPr>
          <w:p>
            <w:pPr>
              <w:pStyle w:val="TableParagraph"/>
              <w:spacing w:line="219" w:lineRule="exact"/>
              <w:ind w:left="107"/>
              <w:rPr>
                <w:sz w:val="18"/>
              </w:rPr>
            </w:pPr>
            <w:r>
              <w:rPr>
                <w:sz w:val="18"/>
              </w:rPr>
              <w:t>200</w:t>
            </w:r>
            <w:r>
              <w:rPr>
                <w:spacing w:val="-5"/>
                <w:sz w:val="18"/>
              </w:rPr>
              <w:t> </w:t>
            </w:r>
            <w:r>
              <w:rPr>
                <w:sz w:val="18"/>
              </w:rPr>
              <w:t>practices/</w:t>
            </w:r>
            <w:r>
              <w:rPr>
                <w:spacing w:val="-3"/>
                <w:sz w:val="18"/>
              </w:rPr>
              <w:t> </w:t>
            </w:r>
            <w:r>
              <w:rPr>
                <w:sz w:val="18"/>
              </w:rPr>
              <w:t>services</w:t>
            </w:r>
            <w:r>
              <w:rPr>
                <w:spacing w:val="-6"/>
                <w:sz w:val="18"/>
              </w:rPr>
              <w:t> </w:t>
            </w:r>
            <w:r>
              <w:rPr>
                <w:sz w:val="18"/>
              </w:rPr>
              <w:t>selected</w:t>
            </w:r>
            <w:r>
              <w:rPr>
                <w:spacing w:val="-2"/>
                <w:sz w:val="18"/>
              </w:rPr>
              <w:t> </w:t>
            </w:r>
            <w:r>
              <w:rPr>
                <w:sz w:val="18"/>
              </w:rPr>
              <w:t>to</w:t>
            </w:r>
          </w:p>
          <w:p>
            <w:pPr>
              <w:pStyle w:val="TableParagraph"/>
              <w:spacing w:before="33"/>
              <w:ind w:left="107"/>
              <w:rPr>
                <w:sz w:val="18"/>
              </w:rPr>
            </w:pPr>
            <w:r>
              <w:rPr>
                <w:sz w:val="18"/>
              </w:rPr>
              <w:t>participate</w:t>
            </w:r>
            <w:r>
              <w:rPr>
                <w:spacing w:val="-4"/>
                <w:sz w:val="18"/>
              </w:rPr>
              <w:t> </w:t>
            </w:r>
            <w:r>
              <w:rPr>
                <w:sz w:val="18"/>
              </w:rPr>
              <w:t>in</w:t>
            </w:r>
            <w:r>
              <w:rPr>
                <w:spacing w:val="-2"/>
                <w:sz w:val="18"/>
              </w:rPr>
              <w:t> </w:t>
            </w:r>
            <w:r>
              <w:rPr>
                <w:sz w:val="18"/>
              </w:rPr>
              <w:t>HCH.</w:t>
            </w:r>
          </w:p>
        </w:tc>
        <w:tc>
          <w:tcPr>
            <w:tcW w:w="3476" w:type="dxa"/>
          </w:tcPr>
          <w:p>
            <w:pPr>
              <w:pStyle w:val="TableParagraph"/>
              <w:spacing w:line="219" w:lineRule="exact"/>
              <w:ind w:left="108"/>
              <w:rPr>
                <w:sz w:val="18"/>
              </w:rPr>
            </w:pPr>
            <w:r>
              <w:rPr>
                <w:sz w:val="18"/>
              </w:rPr>
              <w:t>Comparison</w:t>
            </w:r>
            <w:r>
              <w:rPr>
                <w:spacing w:val="-3"/>
                <w:sz w:val="18"/>
              </w:rPr>
              <w:t> </w:t>
            </w:r>
            <w:r>
              <w:rPr>
                <w:sz w:val="18"/>
              </w:rPr>
              <w:t>practices</w:t>
            </w:r>
            <w:r>
              <w:rPr>
                <w:spacing w:val="-4"/>
                <w:sz w:val="18"/>
              </w:rPr>
              <w:t> </w:t>
            </w:r>
            <w:r>
              <w:rPr>
                <w:sz w:val="18"/>
              </w:rPr>
              <w:t>to</w:t>
            </w:r>
            <w:r>
              <w:rPr>
                <w:spacing w:val="-3"/>
                <w:sz w:val="18"/>
              </w:rPr>
              <w:t> </w:t>
            </w:r>
            <w:r>
              <w:rPr>
                <w:sz w:val="18"/>
              </w:rPr>
              <w:t>be</w:t>
            </w:r>
          </w:p>
          <w:p>
            <w:pPr>
              <w:pStyle w:val="TableParagraph"/>
              <w:spacing w:before="33"/>
              <w:ind w:left="108"/>
              <w:rPr>
                <w:sz w:val="18"/>
              </w:rPr>
            </w:pPr>
            <w:r>
              <w:rPr>
                <w:sz w:val="18"/>
              </w:rPr>
              <w:t>selected.</w:t>
            </w:r>
          </w:p>
        </w:tc>
      </w:tr>
      <w:tr>
        <w:trPr>
          <w:trHeight w:val="505" w:hRule="atLeast"/>
        </w:trPr>
        <w:tc>
          <w:tcPr>
            <w:tcW w:w="2263" w:type="dxa"/>
          </w:tcPr>
          <w:p>
            <w:pPr>
              <w:pStyle w:val="TableParagraph"/>
              <w:spacing w:line="219" w:lineRule="exact"/>
              <w:ind w:left="107"/>
              <w:rPr>
                <w:sz w:val="18"/>
              </w:rPr>
            </w:pPr>
            <w:r>
              <w:rPr>
                <w:sz w:val="18"/>
              </w:rPr>
              <w:t>Practice</w:t>
            </w:r>
            <w:r>
              <w:rPr>
                <w:spacing w:val="-5"/>
                <w:sz w:val="18"/>
              </w:rPr>
              <w:t> </w:t>
            </w:r>
            <w:r>
              <w:rPr>
                <w:sz w:val="18"/>
              </w:rPr>
              <w:t>populations</w:t>
            </w:r>
          </w:p>
        </w:tc>
        <w:tc>
          <w:tcPr>
            <w:tcW w:w="3476" w:type="dxa"/>
          </w:tcPr>
          <w:p>
            <w:pPr>
              <w:pStyle w:val="TableParagraph"/>
              <w:spacing w:line="219" w:lineRule="exact"/>
              <w:ind w:left="107"/>
              <w:rPr>
                <w:sz w:val="18"/>
              </w:rPr>
            </w:pPr>
            <w:r>
              <w:rPr>
                <w:sz w:val="18"/>
              </w:rPr>
              <w:t>High-risk</w:t>
            </w:r>
            <w:r>
              <w:rPr>
                <w:spacing w:val="-4"/>
                <w:sz w:val="18"/>
              </w:rPr>
              <w:t> </w:t>
            </w:r>
            <w:r>
              <w:rPr>
                <w:sz w:val="18"/>
              </w:rPr>
              <w:t>patients</w:t>
            </w:r>
            <w:r>
              <w:rPr>
                <w:spacing w:val="-6"/>
                <w:sz w:val="18"/>
              </w:rPr>
              <w:t> </w:t>
            </w:r>
            <w:r>
              <w:rPr>
                <w:sz w:val="18"/>
              </w:rPr>
              <w:t>identified</w:t>
            </w:r>
            <w:r>
              <w:rPr>
                <w:spacing w:val="-2"/>
                <w:sz w:val="18"/>
              </w:rPr>
              <w:t> </w:t>
            </w:r>
            <w:r>
              <w:rPr>
                <w:sz w:val="18"/>
              </w:rPr>
              <w:t>through</w:t>
            </w:r>
          </w:p>
          <w:p>
            <w:pPr>
              <w:pStyle w:val="TableParagraph"/>
              <w:spacing w:before="33"/>
              <w:ind w:left="107"/>
              <w:rPr>
                <w:sz w:val="18"/>
              </w:rPr>
            </w:pPr>
            <w:r>
              <w:rPr>
                <w:sz w:val="18"/>
              </w:rPr>
              <w:t>risk</w:t>
            </w:r>
            <w:r>
              <w:rPr>
                <w:spacing w:val="-5"/>
                <w:sz w:val="18"/>
              </w:rPr>
              <w:t> </w:t>
            </w:r>
            <w:r>
              <w:rPr>
                <w:sz w:val="18"/>
              </w:rPr>
              <w:t>stratification.</w:t>
            </w:r>
          </w:p>
        </w:tc>
        <w:tc>
          <w:tcPr>
            <w:tcW w:w="3476" w:type="dxa"/>
          </w:tcPr>
          <w:p>
            <w:pPr>
              <w:pStyle w:val="TableParagraph"/>
              <w:rPr>
                <w:rFonts w:ascii="Times New Roman"/>
                <w:sz w:val="18"/>
              </w:rPr>
            </w:pPr>
          </w:p>
        </w:tc>
      </w:tr>
      <w:tr>
        <w:trPr>
          <w:trHeight w:val="508" w:hRule="atLeast"/>
        </w:trPr>
        <w:tc>
          <w:tcPr>
            <w:tcW w:w="2263" w:type="dxa"/>
          </w:tcPr>
          <w:p>
            <w:pPr>
              <w:pStyle w:val="TableParagraph"/>
              <w:spacing w:before="1"/>
              <w:ind w:left="107"/>
              <w:rPr>
                <w:sz w:val="18"/>
              </w:rPr>
            </w:pPr>
            <w:r>
              <w:rPr>
                <w:sz w:val="18"/>
              </w:rPr>
              <w:t>Patients</w:t>
            </w:r>
            <w:r>
              <w:rPr>
                <w:spacing w:val="-2"/>
                <w:sz w:val="18"/>
              </w:rPr>
              <w:t> </w:t>
            </w:r>
            <w:r>
              <w:rPr>
                <w:sz w:val="18"/>
              </w:rPr>
              <w:t>enrolled</w:t>
            </w:r>
            <w:r>
              <w:rPr>
                <w:spacing w:val="-4"/>
                <w:sz w:val="18"/>
              </w:rPr>
              <w:t> </w:t>
            </w:r>
            <w:r>
              <w:rPr>
                <w:sz w:val="18"/>
              </w:rPr>
              <w:t>in</w:t>
            </w:r>
          </w:p>
          <w:p>
            <w:pPr>
              <w:pStyle w:val="TableParagraph"/>
              <w:spacing w:before="31"/>
              <w:ind w:left="107"/>
              <w:rPr>
                <w:sz w:val="18"/>
              </w:rPr>
            </w:pPr>
            <w:r>
              <w:rPr>
                <w:sz w:val="18"/>
              </w:rPr>
              <w:t>HCH</w:t>
            </w:r>
          </w:p>
        </w:tc>
        <w:tc>
          <w:tcPr>
            <w:tcW w:w="3476" w:type="dxa"/>
          </w:tcPr>
          <w:p>
            <w:pPr>
              <w:pStyle w:val="TableParagraph"/>
              <w:spacing w:before="1"/>
              <w:ind w:left="107"/>
              <w:rPr>
                <w:sz w:val="18"/>
              </w:rPr>
            </w:pPr>
            <w:r>
              <w:rPr>
                <w:sz w:val="18"/>
              </w:rPr>
              <w:t>Selected</w:t>
            </w:r>
            <w:r>
              <w:rPr>
                <w:spacing w:val="-2"/>
                <w:sz w:val="18"/>
              </w:rPr>
              <w:t> </w:t>
            </w:r>
            <w:r>
              <w:rPr>
                <w:sz w:val="18"/>
              </w:rPr>
              <w:t>high-risk</w:t>
            </w:r>
            <w:r>
              <w:rPr>
                <w:spacing w:val="-2"/>
                <w:sz w:val="18"/>
              </w:rPr>
              <w:t> </w:t>
            </w:r>
            <w:r>
              <w:rPr>
                <w:sz w:val="18"/>
              </w:rPr>
              <w:t>patients</w:t>
            </w:r>
            <w:r>
              <w:rPr>
                <w:spacing w:val="-4"/>
                <w:sz w:val="18"/>
              </w:rPr>
              <w:t> </w:t>
            </w:r>
            <w:r>
              <w:rPr>
                <w:sz w:val="18"/>
              </w:rPr>
              <w:t>enrolled</w:t>
            </w:r>
            <w:r>
              <w:rPr>
                <w:spacing w:val="-5"/>
                <w:sz w:val="18"/>
              </w:rPr>
              <w:t> </w:t>
            </w:r>
            <w:r>
              <w:rPr>
                <w:sz w:val="18"/>
              </w:rPr>
              <w:t>in</w:t>
            </w:r>
          </w:p>
          <w:p>
            <w:pPr>
              <w:pStyle w:val="TableParagraph"/>
              <w:spacing w:before="31"/>
              <w:ind w:left="107"/>
              <w:rPr>
                <w:sz w:val="18"/>
              </w:rPr>
            </w:pPr>
            <w:r>
              <w:rPr>
                <w:sz w:val="18"/>
              </w:rPr>
              <w:t>HCH.</w:t>
            </w:r>
          </w:p>
        </w:tc>
        <w:tc>
          <w:tcPr>
            <w:tcW w:w="3476" w:type="dxa"/>
          </w:tcPr>
          <w:p>
            <w:pPr>
              <w:pStyle w:val="TableParagraph"/>
              <w:rPr>
                <w:rFonts w:ascii="Times New Roman"/>
                <w:sz w:val="18"/>
              </w:rPr>
            </w:pPr>
          </w:p>
        </w:tc>
      </w:tr>
      <w:tr>
        <w:trPr>
          <w:trHeight w:val="1014" w:hRule="atLeast"/>
        </w:trPr>
        <w:tc>
          <w:tcPr>
            <w:tcW w:w="2263" w:type="dxa"/>
          </w:tcPr>
          <w:p>
            <w:pPr>
              <w:pStyle w:val="TableParagraph"/>
              <w:spacing w:line="276" w:lineRule="auto"/>
              <w:ind w:left="107" w:right="195"/>
              <w:jc w:val="both"/>
              <w:rPr>
                <w:sz w:val="18"/>
              </w:rPr>
            </w:pPr>
            <w:r>
              <w:rPr>
                <w:sz w:val="18"/>
              </w:rPr>
              <w:t>Patients who agree to</w:t>
            </w:r>
            <w:r>
              <w:rPr>
                <w:spacing w:val="-47"/>
                <w:sz w:val="18"/>
              </w:rPr>
              <w:t> </w:t>
            </w:r>
            <w:r>
              <w:rPr>
                <w:sz w:val="18"/>
              </w:rPr>
              <w:t>participate in the HCH</w:t>
            </w:r>
            <w:r>
              <w:rPr>
                <w:spacing w:val="-48"/>
                <w:sz w:val="18"/>
              </w:rPr>
              <w:t> </w:t>
            </w:r>
            <w:r>
              <w:rPr>
                <w:sz w:val="18"/>
              </w:rPr>
              <w:t>evaluation</w:t>
            </w:r>
          </w:p>
        </w:tc>
        <w:tc>
          <w:tcPr>
            <w:tcW w:w="3476" w:type="dxa"/>
          </w:tcPr>
          <w:p>
            <w:pPr>
              <w:pStyle w:val="TableParagraph"/>
              <w:spacing w:line="276" w:lineRule="auto"/>
              <w:ind w:left="107" w:right="206"/>
              <w:rPr>
                <w:sz w:val="18"/>
              </w:rPr>
            </w:pPr>
            <w:r>
              <w:rPr>
                <w:sz w:val="18"/>
              </w:rPr>
              <w:t>HCH enrolees will be included in the</w:t>
            </w:r>
            <w:r>
              <w:rPr>
                <w:spacing w:val="-48"/>
                <w:sz w:val="18"/>
              </w:rPr>
              <w:t> </w:t>
            </w:r>
            <w:r>
              <w:rPr>
                <w:sz w:val="18"/>
              </w:rPr>
              <w:t>evaluation unless they opt out. It is</w:t>
            </w:r>
            <w:r>
              <w:rPr>
                <w:spacing w:val="1"/>
                <w:sz w:val="18"/>
              </w:rPr>
              <w:t> </w:t>
            </w:r>
            <w:r>
              <w:rPr>
                <w:sz w:val="18"/>
              </w:rPr>
              <w:t>expected</w:t>
            </w:r>
            <w:r>
              <w:rPr>
                <w:spacing w:val="-2"/>
                <w:sz w:val="18"/>
              </w:rPr>
              <w:t> </w:t>
            </w:r>
            <w:r>
              <w:rPr>
                <w:sz w:val="18"/>
              </w:rPr>
              <w:t>that</w:t>
            </w:r>
            <w:r>
              <w:rPr>
                <w:spacing w:val="-2"/>
                <w:sz w:val="18"/>
              </w:rPr>
              <w:t> </w:t>
            </w:r>
            <w:r>
              <w:rPr>
                <w:sz w:val="18"/>
              </w:rPr>
              <w:t>some</w:t>
            </w:r>
            <w:r>
              <w:rPr>
                <w:spacing w:val="-1"/>
                <w:sz w:val="18"/>
              </w:rPr>
              <w:t> </w:t>
            </w:r>
            <w:r>
              <w:rPr>
                <w:sz w:val="18"/>
              </w:rPr>
              <w:t>will</w:t>
            </w:r>
            <w:r>
              <w:rPr>
                <w:spacing w:val="-1"/>
                <w:sz w:val="18"/>
              </w:rPr>
              <w:t> </w:t>
            </w:r>
            <w:r>
              <w:rPr>
                <w:sz w:val="18"/>
              </w:rPr>
              <w:t>opt</w:t>
            </w:r>
            <w:r>
              <w:rPr>
                <w:spacing w:val="-3"/>
                <w:sz w:val="18"/>
              </w:rPr>
              <w:t> </w:t>
            </w:r>
            <w:r>
              <w:rPr>
                <w:sz w:val="18"/>
              </w:rPr>
              <w:t>out.</w:t>
            </w:r>
          </w:p>
        </w:tc>
        <w:tc>
          <w:tcPr>
            <w:tcW w:w="3476" w:type="dxa"/>
          </w:tcPr>
          <w:p>
            <w:pPr>
              <w:pStyle w:val="TableParagraph"/>
              <w:spacing w:line="276" w:lineRule="auto"/>
              <w:ind w:left="108" w:right="659"/>
              <w:rPr>
                <w:sz w:val="18"/>
              </w:rPr>
            </w:pPr>
            <w:r>
              <w:rPr>
                <w:sz w:val="18"/>
              </w:rPr>
              <w:t>A matched set of comparison</w:t>
            </w:r>
            <w:r>
              <w:rPr>
                <w:spacing w:val="1"/>
                <w:sz w:val="18"/>
              </w:rPr>
              <w:t> </w:t>
            </w:r>
            <w:r>
              <w:rPr>
                <w:sz w:val="18"/>
              </w:rPr>
              <w:t>patients based on analysis of</w:t>
            </w:r>
            <w:r>
              <w:rPr>
                <w:spacing w:val="1"/>
                <w:sz w:val="18"/>
              </w:rPr>
              <w:t> </w:t>
            </w:r>
            <w:r>
              <w:rPr>
                <w:sz w:val="18"/>
              </w:rPr>
              <w:t>available</w:t>
            </w:r>
            <w:r>
              <w:rPr>
                <w:spacing w:val="-5"/>
                <w:sz w:val="18"/>
              </w:rPr>
              <w:t> </w:t>
            </w:r>
            <w:r>
              <w:rPr>
                <w:sz w:val="18"/>
              </w:rPr>
              <w:t>data</w:t>
            </w:r>
            <w:r>
              <w:rPr>
                <w:spacing w:val="-2"/>
                <w:sz w:val="18"/>
              </w:rPr>
              <w:t> </w:t>
            </w:r>
            <w:r>
              <w:rPr>
                <w:sz w:val="18"/>
              </w:rPr>
              <w:t>(national</w:t>
            </w:r>
            <w:r>
              <w:rPr>
                <w:spacing w:val="-6"/>
                <w:sz w:val="18"/>
              </w:rPr>
              <w:t> </w:t>
            </w:r>
            <w:r>
              <w:rPr>
                <w:sz w:val="18"/>
              </w:rPr>
              <w:t>linked</w:t>
            </w:r>
          </w:p>
          <w:p>
            <w:pPr>
              <w:pStyle w:val="TableParagraph"/>
              <w:ind w:left="108"/>
              <w:rPr>
                <w:sz w:val="18"/>
              </w:rPr>
            </w:pPr>
            <w:r>
              <w:rPr>
                <w:sz w:val="18"/>
              </w:rPr>
              <w:t>data).</w:t>
            </w:r>
          </w:p>
        </w:tc>
      </w:tr>
      <w:tr>
        <w:trPr>
          <w:trHeight w:val="509" w:hRule="atLeast"/>
        </w:trPr>
        <w:tc>
          <w:tcPr>
            <w:tcW w:w="2263" w:type="dxa"/>
            <w:vMerge w:val="restart"/>
          </w:tcPr>
          <w:p>
            <w:pPr>
              <w:pStyle w:val="TableParagraph"/>
              <w:spacing w:line="219" w:lineRule="exact"/>
              <w:ind w:left="107"/>
              <w:rPr>
                <w:sz w:val="18"/>
              </w:rPr>
            </w:pPr>
            <w:r>
              <w:rPr>
                <w:sz w:val="18"/>
              </w:rPr>
              <w:t>Observation</w:t>
            </w:r>
            <w:r>
              <w:rPr>
                <w:spacing w:val="-5"/>
                <w:sz w:val="18"/>
              </w:rPr>
              <w:t> </w:t>
            </w:r>
            <w:r>
              <w:rPr>
                <w:sz w:val="18"/>
              </w:rPr>
              <w:t>periods</w:t>
            </w:r>
          </w:p>
        </w:tc>
        <w:tc>
          <w:tcPr>
            <w:tcW w:w="3476" w:type="dxa"/>
          </w:tcPr>
          <w:p>
            <w:pPr>
              <w:pStyle w:val="TableParagraph"/>
              <w:spacing w:line="219" w:lineRule="exact"/>
              <w:ind w:left="107"/>
              <w:rPr>
                <w:sz w:val="18"/>
              </w:rPr>
            </w:pPr>
            <w:r>
              <w:rPr>
                <w:sz w:val="18"/>
              </w:rPr>
              <w:t>Two</w:t>
            </w:r>
            <w:r>
              <w:rPr>
                <w:spacing w:val="-3"/>
                <w:sz w:val="18"/>
              </w:rPr>
              <w:t> </w:t>
            </w:r>
            <w:r>
              <w:rPr>
                <w:sz w:val="18"/>
              </w:rPr>
              <w:t>years</w:t>
            </w:r>
            <w:r>
              <w:rPr>
                <w:spacing w:val="-2"/>
                <w:sz w:val="18"/>
              </w:rPr>
              <w:t> </w:t>
            </w:r>
            <w:r>
              <w:rPr>
                <w:sz w:val="18"/>
              </w:rPr>
              <w:t>prior</w:t>
            </w:r>
            <w:r>
              <w:rPr>
                <w:spacing w:val="-3"/>
                <w:sz w:val="18"/>
              </w:rPr>
              <w:t> </w:t>
            </w:r>
            <w:r>
              <w:rPr>
                <w:sz w:val="18"/>
              </w:rPr>
              <w:t>to</w:t>
            </w:r>
            <w:r>
              <w:rPr>
                <w:spacing w:val="-3"/>
                <w:sz w:val="18"/>
              </w:rPr>
              <w:t> </w:t>
            </w:r>
            <w:r>
              <w:rPr>
                <w:sz w:val="18"/>
              </w:rPr>
              <w:t>enrolment.</w:t>
            </w:r>
          </w:p>
        </w:tc>
        <w:tc>
          <w:tcPr>
            <w:tcW w:w="3476" w:type="dxa"/>
          </w:tcPr>
          <w:p>
            <w:pPr>
              <w:pStyle w:val="TableParagraph"/>
              <w:spacing w:line="219" w:lineRule="exact"/>
              <w:ind w:left="108"/>
              <w:rPr>
                <w:sz w:val="18"/>
              </w:rPr>
            </w:pPr>
            <w:r>
              <w:rPr>
                <w:sz w:val="18"/>
              </w:rPr>
              <w:t>Two</w:t>
            </w:r>
            <w:r>
              <w:rPr>
                <w:spacing w:val="-3"/>
                <w:sz w:val="18"/>
              </w:rPr>
              <w:t> </w:t>
            </w:r>
            <w:r>
              <w:rPr>
                <w:sz w:val="18"/>
              </w:rPr>
              <w:t>years</w:t>
            </w:r>
            <w:r>
              <w:rPr>
                <w:spacing w:val="-2"/>
                <w:sz w:val="18"/>
              </w:rPr>
              <w:t> </w:t>
            </w:r>
            <w:r>
              <w:rPr>
                <w:sz w:val="18"/>
              </w:rPr>
              <w:t>prior</w:t>
            </w:r>
            <w:r>
              <w:rPr>
                <w:spacing w:val="-2"/>
                <w:sz w:val="18"/>
              </w:rPr>
              <w:t> </w:t>
            </w:r>
            <w:r>
              <w:rPr>
                <w:sz w:val="18"/>
              </w:rPr>
              <w:t>to</w:t>
            </w:r>
            <w:r>
              <w:rPr>
                <w:spacing w:val="-4"/>
                <w:sz w:val="18"/>
              </w:rPr>
              <w:t> </w:t>
            </w:r>
            <w:r>
              <w:rPr>
                <w:sz w:val="18"/>
              </w:rPr>
              <w:t>proxy</w:t>
            </w:r>
            <w:r>
              <w:rPr>
                <w:spacing w:val="-3"/>
                <w:sz w:val="18"/>
              </w:rPr>
              <w:t> </w:t>
            </w:r>
            <w:r>
              <w:rPr>
                <w:sz w:val="18"/>
              </w:rPr>
              <w:t>enrolment</w:t>
            </w:r>
          </w:p>
          <w:p>
            <w:pPr>
              <w:pStyle w:val="TableParagraph"/>
              <w:spacing w:before="34"/>
              <w:ind w:left="108"/>
              <w:rPr>
                <w:sz w:val="18"/>
              </w:rPr>
            </w:pPr>
            <w:r>
              <w:rPr>
                <w:sz w:val="18"/>
              </w:rPr>
              <w:t>date.</w:t>
            </w:r>
          </w:p>
        </w:tc>
      </w:tr>
      <w:tr>
        <w:trPr>
          <w:trHeight w:val="508" w:hRule="atLeast"/>
        </w:trPr>
        <w:tc>
          <w:tcPr>
            <w:tcW w:w="2263" w:type="dxa"/>
            <w:vMerge/>
            <w:tcBorders>
              <w:top w:val="nil"/>
            </w:tcBorders>
          </w:tcPr>
          <w:p>
            <w:pPr>
              <w:rPr>
                <w:sz w:val="2"/>
                <w:szCs w:val="2"/>
              </w:rPr>
            </w:pPr>
          </w:p>
        </w:tc>
        <w:tc>
          <w:tcPr>
            <w:tcW w:w="3476" w:type="dxa"/>
          </w:tcPr>
          <w:p>
            <w:pPr>
              <w:pStyle w:val="TableParagraph"/>
              <w:spacing w:line="219" w:lineRule="exact"/>
              <w:ind w:left="107"/>
              <w:rPr>
                <w:sz w:val="18"/>
              </w:rPr>
            </w:pPr>
            <w:r>
              <w:rPr>
                <w:sz w:val="18"/>
              </w:rPr>
              <w:t>Each</w:t>
            </w:r>
            <w:r>
              <w:rPr>
                <w:spacing w:val="-3"/>
                <w:sz w:val="18"/>
              </w:rPr>
              <w:t> </w:t>
            </w:r>
            <w:r>
              <w:rPr>
                <w:sz w:val="18"/>
              </w:rPr>
              <w:t>six-month</w:t>
            </w:r>
            <w:r>
              <w:rPr>
                <w:spacing w:val="-2"/>
                <w:sz w:val="18"/>
              </w:rPr>
              <w:t> </w:t>
            </w:r>
            <w:r>
              <w:rPr>
                <w:sz w:val="18"/>
              </w:rPr>
              <w:t>period</w:t>
            </w:r>
            <w:r>
              <w:rPr>
                <w:spacing w:val="-4"/>
                <w:sz w:val="18"/>
              </w:rPr>
              <w:t> </w:t>
            </w:r>
            <w:r>
              <w:rPr>
                <w:sz w:val="18"/>
              </w:rPr>
              <w:t>post</w:t>
            </w:r>
          </w:p>
          <w:p>
            <w:pPr>
              <w:pStyle w:val="TableParagraph"/>
              <w:spacing w:before="33"/>
              <w:ind w:left="107"/>
              <w:rPr>
                <w:sz w:val="18"/>
              </w:rPr>
            </w:pPr>
            <w:r>
              <w:rPr>
                <w:sz w:val="18"/>
              </w:rPr>
              <w:t>enrolment.</w:t>
            </w:r>
          </w:p>
        </w:tc>
        <w:tc>
          <w:tcPr>
            <w:tcW w:w="3476" w:type="dxa"/>
          </w:tcPr>
          <w:p>
            <w:pPr>
              <w:pStyle w:val="TableParagraph"/>
              <w:spacing w:line="219" w:lineRule="exact"/>
              <w:ind w:left="108"/>
              <w:rPr>
                <w:sz w:val="18"/>
              </w:rPr>
            </w:pPr>
            <w:r>
              <w:rPr>
                <w:sz w:val="18"/>
              </w:rPr>
              <w:t>Each</w:t>
            </w:r>
            <w:r>
              <w:rPr>
                <w:spacing w:val="-3"/>
                <w:sz w:val="18"/>
              </w:rPr>
              <w:t> </w:t>
            </w:r>
            <w:r>
              <w:rPr>
                <w:sz w:val="18"/>
              </w:rPr>
              <w:t>six-month</w:t>
            </w:r>
            <w:r>
              <w:rPr>
                <w:spacing w:val="-2"/>
                <w:sz w:val="18"/>
              </w:rPr>
              <w:t> </w:t>
            </w:r>
            <w:r>
              <w:rPr>
                <w:sz w:val="18"/>
              </w:rPr>
              <w:t>period</w:t>
            </w:r>
            <w:r>
              <w:rPr>
                <w:spacing w:val="-2"/>
                <w:sz w:val="18"/>
              </w:rPr>
              <w:t> </w:t>
            </w:r>
            <w:r>
              <w:rPr>
                <w:sz w:val="18"/>
              </w:rPr>
              <w:t>post</w:t>
            </w:r>
            <w:r>
              <w:rPr>
                <w:spacing w:val="-3"/>
                <w:sz w:val="18"/>
              </w:rPr>
              <w:t> </w:t>
            </w:r>
            <w:r>
              <w:rPr>
                <w:sz w:val="18"/>
              </w:rPr>
              <w:t>proxy</w:t>
            </w:r>
          </w:p>
          <w:p>
            <w:pPr>
              <w:pStyle w:val="TableParagraph"/>
              <w:spacing w:before="33"/>
              <w:ind w:left="108"/>
              <w:rPr>
                <w:sz w:val="18"/>
              </w:rPr>
            </w:pPr>
            <w:r>
              <w:rPr>
                <w:sz w:val="18"/>
              </w:rPr>
              <w:t>enrolment.</w:t>
            </w:r>
          </w:p>
        </w:tc>
      </w:tr>
      <w:tr>
        <w:trPr>
          <w:trHeight w:val="506" w:hRule="atLeast"/>
        </w:trPr>
        <w:tc>
          <w:tcPr>
            <w:tcW w:w="2263" w:type="dxa"/>
            <w:vMerge/>
            <w:tcBorders>
              <w:top w:val="nil"/>
            </w:tcBorders>
          </w:tcPr>
          <w:p>
            <w:pPr>
              <w:rPr>
                <w:sz w:val="2"/>
                <w:szCs w:val="2"/>
              </w:rPr>
            </w:pPr>
          </w:p>
        </w:tc>
        <w:tc>
          <w:tcPr>
            <w:tcW w:w="3476" w:type="dxa"/>
          </w:tcPr>
          <w:p>
            <w:pPr>
              <w:pStyle w:val="TableParagraph"/>
              <w:spacing w:line="219" w:lineRule="exact"/>
              <w:ind w:left="107"/>
              <w:rPr>
                <w:sz w:val="18"/>
              </w:rPr>
            </w:pPr>
            <w:r>
              <w:rPr>
                <w:sz w:val="18"/>
              </w:rPr>
              <w:t>Up</w:t>
            </w:r>
            <w:r>
              <w:rPr>
                <w:spacing w:val="-3"/>
                <w:sz w:val="18"/>
              </w:rPr>
              <w:t> </w:t>
            </w:r>
            <w:r>
              <w:rPr>
                <w:sz w:val="18"/>
              </w:rPr>
              <w:t>to</w:t>
            </w:r>
            <w:r>
              <w:rPr>
                <w:spacing w:val="-2"/>
                <w:sz w:val="18"/>
              </w:rPr>
              <w:t> </w:t>
            </w:r>
            <w:r>
              <w:rPr>
                <w:sz w:val="18"/>
              </w:rPr>
              <w:t>three</w:t>
            </w:r>
            <w:r>
              <w:rPr>
                <w:spacing w:val="-1"/>
                <w:sz w:val="18"/>
              </w:rPr>
              <w:t> </w:t>
            </w:r>
            <w:r>
              <w:rPr>
                <w:sz w:val="18"/>
              </w:rPr>
              <w:t>years</w:t>
            </w:r>
            <w:r>
              <w:rPr>
                <w:spacing w:val="-3"/>
                <w:sz w:val="18"/>
              </w:rPr>
              <w:t> </w:t>
            </w:r>
            <w:r>
              <w:rPr>
                <w:sz w:val="18"/>
              </w:rPr>
              <w:t>and</w:t>
            </w:r>
            <w:r>
              <w:rPr>
                <w:spacing w:val="-2"/>
                <w:sz w:val="18"/>
              </w:rPr>
              <w:t> </w:t>
            </w:r>
            <w:r>
              <w:rPr>
                <w:sz w:val="18"/>
              </w:rPr>
              <w:t>9</w:t>
            </w:r>
            <w:r>
              <w:rPr>
                <w:spacing w:val="-3"/>
                <w:sz w:val="18"/>
              </w:rPr>
              <w:t> </w:t>
            </w:r>
            <w:r>
              <w:rPr>
                <w:sz w:val="18"/>
              </w:rPr>
              <w:t>months post</w:t>
            </w:r>
          </w:p>
          <w:p>
            <w:pPr>
              <w:pStyle w:val="TableParagraph"/>
              <w:spacing w:before="33"/>
              <w:ind w:left="107"/>
              <w:rPr>
                <w:sz w:val="18"/>
              </w:rPr>
            </w:pPr>
            <w:r>
              <w:rPr>
                <w:sz w:val="18"/>
              </w:rPr>
              <w:t>enrolment.</w:t>
            </w:r>
          </w:p>
        </w:tc>
        <w:tc>
          <w:tcPr>
            <w:tcW w:w="3476" w:type="dxa"/>
          </w:tcPr>
          <w:p>
            <w:pPr>
              <w:pStyle w:val="TableParagraph"/>
              <w:spacing w:line="219" w:lineRule="exact"/>
              <w:ind w:left="108"/>
              <w:rPr>
                <w:sz w:val="18"/>
              </w:rPr>
            </w:pPr>
            <w:r>
              <w:rPr>
                <w:sz w:val="18"/>
              </w:rPr>
              <w:t>Up</w:t>
            </w:r>
            <w:r>
              <w:rPr>
                <w:spacing w:val="-3"/>
                <w:sz w:val="18"/>
              </w:rPr>
              <w:t> </w:t>
            </w:r>
            <w:r>
              <w:rPr>
                <w:sz w:val="18"/>
              </w:rPr>
              <w:t>to</w:t>
            </w:r>
            <w:r>
              <w:rPr>
                <w:spacing w:val="-3"/>
                <w:sz w:val="18"/>
              </w:rPr>
              <w:t> </w:t>
            </w:r>
            <w:r>
              <w:rPr>
                <w:sz w:val="18"/>
              </w:rPr>
              <w:t>three</w:t>
            </w:r>
            <w:r>
              <w:rPr>
                <w:spacing w:val="-1"/>
                <w:sz w:val="18"/>
              </w:rPr>
              <w:t> </w:t>
            </w:r>
            <w:r>
              <w:rPr>
                <w:sz w:val="18"/>
              </w:rPr>
              <w:t>years</w:t>
            </w:r>
            <w:r>
              <w:rPr>
                <w:spacing w:val="-3"/>
                <w:sz w:val="18"/>
              </w:rPr>
              <w:t> </w:t>
            </w:r>
            <w:r>
              <w:rPr>
                <w:sz w:val="18"/>
              </w:rPr>
              <w:t>and</w:t>
            </w:r>
            <w:r>
              <w:rPr>
                <w:spacing w:val="-2"/>
                <w:sz w:val="18"/>
              </w:rPr>
              <w:t> </w:t>
            </w:r>
            <w:r>
              <w:rPr>
                <w:sz w:val="18"/>
              </w:rPr>
              <w:t>9</w:t>
            </w:r>
            <w:r>
              <w:rPr>
                <w:spacing w:val="-3"/>
                <w:sz w:val="18"/>
              </w:rPr>
              <w:t> </w:t>
            </w:r>
            <w:r>
              <w:rPr>
                <w:sz w:val="18"/>
              </w:rPr>
              <w:t>months post</w:t>
            </w:r>
          </w:p>
          <w:p>
            <w:pPr>
              <w:pStyle w:val="TableParagraph"/>
              <w:spacing w:before="33"/>
              <w:ind w:left="108"/>
              <w:rPr>
                <w:sz w:val="18"/>
              </w:rPr>
            </w:pPr>
            <w:r>
              <w:rPr>
                <w:sz w:val="18"/>
              </w:rPr>
              <w:t>proxy</w:t>
            </w:r>
            <w:r>
              <w:rPr>
                <w:spacing w:val="-5"/>
                <w:sz w:val="18"/>
              </w:rPr>
              <w:t> </w:t>
            </w:r>
            <w:r>
              <w:rPr>
                <w:sz w:val="18"/>
              </w:rPr>
              <w:t>enrolment.</w:t>
            </w:r>
          </w:p>
        </w:tc>
      </w:tr>
    </w:tbl>
    <w:p>
      <w:pPr>
        <w:pStyle w:val="BodyText"/>
        <w:spacing w:before="4"/>
        <w:rPr>
          <w:b/>
          <w:sz w:val="23"/>
        </w:rPr>
      </w:pPr>
    </w:p>
    <w:p>
      <w:pPr>
        <w:pStyle w:val="BodyText"/>
        <w:spacing w:line="276" w:lineRule="auto"/>
        <w:ind w:left="860" w:right="1173"/>
      </w:pPr>
      <w:r>
        <w:rPr/>
        <w:t>As discussed, the effects that can be estimated using the design described above will be</w:t>
      </w:r>
      <w:r>
        <w:rPr>
          <w:spacing w:val="1"/>
        </w:rPr>
        <w:t> </w:t>
      </w:r>
      <w:r>
        <w:rPr/>
        <w:t>limited</w:t>
      </w:r>
      <w:r>
        <w:rPr>
          <w:spacing w:val="-4"/>
        </w:rPr>
        <w:t> </w:t>
      </w:r>
      <w:r>
        <w:rPr/>
        <w:t>to</w:t>
      </w:r>
      <w:r>
        <w:rPr>
          <w:spacing w:val="-3"/>
        </w:rPr>
        <w:t> </w:t>
      </w:r>
      <w:r>
        <w:rPr/>
        <w:t>those</w:t>
      </w:r>
      <w:r>
        <w:rPr>
          <w:spacing w:val="-3"/>
        </w:rPr>
        <w:t> </w:t>
      </w:r>
      <w:r>
        <w:rPr/>
        <w:t>for</w:t>
      </w:r>
      <w:r>
        <w:rPr>
          <w:spacing w:val="-3"/>
        </w:rPr>
        <w:t> </w:t>
      </w:r>
      <w:r>
        <w:rPr/>
        <w:t>which</w:t>
      </w:r>
      <w:r>
        <w:rPr>
          <w:spacing w:val="-5"/>
        </w:rPr>
        <w:t> </w:t>
      </w:r>
      <w:r>
        <w:rPr/>
        <w:t>measures</w:t>
      </w:r>
      <w:r>
        <w:rPr>
          <w:spacing w:val="-3"/>
        </w:rPr>
        <w:t> </w:t>
      </w:r>
      <w:r>
        <w:rPr/>
        <w:t>can</w:t>
      </w:r>
      <w:r>
        <w:rPr>
          <w:spacing w:val="-2"/>
        </w:rPr>
        <w:t> </w:t>
      </w:r>
      <w:r>
        <w:rPr/>
        <w:t>be</w:t>
      </w:r>
      <w:r>
        <w:rPr>
          <w:spacing w:val="-3"/>
        </w:rPr>
        <w:t> </w:t>
      </w:r>
      <w:r>
        <w:rPr/>
        <w:t>derived</w:t>
      </w:r>
      <w:r>
        <w:rPr>
          <w:spacing w:val="-4"/>
        </w:rPr>
        <w:t> </w:t>
      </w:r>
      <w:r>
        <w:rPr/>
        <w:t>for</w:t>
      </w:r>
      <w:r>
        <w:rPr>
          <w:spacing w:val="-3"/>
        </w:rPr>
        <w:t> </w:t>
      </w:r>
      <w:r>
        <w:rPr/>
        <w:t>both</w:t>
      </w:r>
      <w:r>
        <w:rPr>
          <w:spacing w:val="-2"/>
        </w:rPr>
        <w:t> </w:t>
      </w:r>
      <w:r>
        <w:rPr/>
        <w:t>the</w:t>
      </w:r>
      <w:r>
        <w:rPr>
          <w:spacing w:val="-3"/>
        </w:rPr>
        <w:t> </w:t>
      </w:r>
      <w:r>
        <w:rPr/>
        <w:t>intervention</w:t>
      </w:r>
      <w:r>
        <w:rPr>
          <w:spacing w:val="-3"/>
        </w:rPr>
        <w:t> </w:t>
      </w:r>
      <w:r>
        <w:rPr/>
        <w:t>and</w:t>
      </w:r>
      <w:r>
        <w:rPr>
          <w:spacing w:val="-3"/>
        </w:rPr>
        <w:t> </w:t>
      </w:r>
      <w:r>
        <w:rPr/>
        <w:t>comparison</w:t>
      </w:r>
      <w:r>
        <w:rPr>
          <w:spacing w:val="-52"/>
        </w:rPr>
        <w:t> </w:t>
      </w:r>
      <w:r>
        <w:rPr/>
        <w:t>groups. These will be largely limited to measures related to key questions 3 (some of which</w:t>
      </w:r>
      <w:r>
        <w:rPr>
          <w:spacing w:val="1"/>
        </w:rPr>
        <w:t> </w:t>
      </w:r>
      <w:r>
        <w:rPr/>
        <w:t>include</w:t>
      </w:r>
      <w:r>
        <w:rPr>
          <w:spacing w:val="5"/>
        </w:rPr>
        <w:t> </w:t>
      </w:r>
      <w:r>
        <w:rPr/>
        <w:t>the</w:t>
      </w:r>
      <w:r>
        <w:rPr>
          <w:spacing w:val="3"/>
        </w:rPr>
        <w:t> </w:t>
      </w:r>
      <w:r>
        <w:rPr/>
        <w:t>impact</w:t>
      </w:r>
      <w:r>
        <w:rPr>
          <w:spacing w:val="5"/>
        </w:rPr>
        <w:t> </w:t>
      </w:r>
      <w:r>
        <w:rPr/>
        <w:t>on</w:t>
      </w:r>
      <w:r>
        <w:rPr>
          <w:spacing w:val="4"/>
        </w:rPr>
        <w:t> </w:t>
      </w:r>
      <w:r>
        <w:rPr/>
        <w:t>health</w:t>
      </w:r>
      <w:r>
        <w:rPr>
          <w:spacing w:val="4"/>
        </w:rPr>
        <w:t> </w:t>
      </w:r>
      <w:r>
        <w:rPr/>
        <w:t>outcomes)</w:t>
      </w:r>
      <w:r>
        <w:rPr>
          <w:spacing w:val="2"/>
        </w:rPr>
        <w:t> </w:t>
      </w:r>
      <w:r>
        <w:rPr/>
        <w:t>and</w:t>
      </w:r>
      <w:r>
        <w:rPr>
          <w:spacing w:val="6"/>
        </w:rPr>
        <w:t> </w:t>
      </w:r>
      <w:r>
        <w:rPr/>
        <w:t>4.</w:t>
      </w:r>
      <w:r>
        <w:rPr>
          <w:spacing w:val="1"/>
        </w:rPr>
        <w:t> </w:t>
      </w:r>
      <w:r>
        <w:rPr/>
        <w:t>The</w:t>
      </w:r>
      <w:r>
        <w:rPr>
          <w:spacing w:val="3"/>
        </w:rPr>
        <w:t> </w:t>
      </w:r>
      <w:r>
        <w:rPr/>
        <w:t>intended</w:t>
      </w:r>
      <w:r>
        <w:rPr>
          <w:spacing w:val="4"/>
        </w:rPr>
        <w:t> </w:t>
      </w:r>
      <w:r>
        <w:rPr/>
        <w:t>approach</w:t>
      </w:r>
      <w:r>
        <w:rPr>
          <w:spacing w:val="2"/>
        </w:rPr>
        <w:t> </w:t>
      </w:r>
      <w:r>
        <w:rPr/>
        <w:t>to</w:t>
      </w:r>
      <w:r>
        <w:rPr>
          <w:spacing w:val="2"/>
        </w:rPr>
        <w:t> </w:t>
      </w:r>
      <w:r>
        <w:rPr/>
        <w:t>these</w:t>
      </w:r>
      <w:r>
        <w:rPr>
          <w:spacing w:val="3"/>
        </w:rPr>
        <w:t> </w:t>
      </w:r>
      <w:r>
        <w:rPr/>
        <w:t>is</w:t>
      </w:r>
      <w:r>
        <w:rPr>
          <w:spacing w:val="1"/>
        </w:rPr>
        <w:t> </w:t>
      </w:r>
      <w:r>
        <w:rPr/>
        <w:t>described</w:t>
      </w:r>
      <w:r>
        <w:rPr>
          <w:spacing w:val="-2"/>
        </w:rPr>
        <w:t> </w:t>
      </w:r>
      <w:r>
        <w:rPr/>
        <w:t>in</w:t>
      </w:r>
      <w:r>
        <w:rPr>
          <w:spacing w:val="1"/>
        </w:rPr>
        <w:t> </w:t>
      </w:r>
      <w:hyperlink w:history="true" w:anchor="_bookmark28">
        <w:r>
          <w:rPr/>
          <w:t>Table 11</w:t>
        </w:r>
        <w:r>
          <w:rPr>
            <w:spacing w:val="-1"/>
          </w:rPr>
          <w:t> </w:t>
        </w:r>
      </w:hyperlink>
      <w:r>
        <w:rPr/>
        <w:t>below.</w:t>
      </w:r>
    </w:p>
    <w:p>
      <w:pPr>
        <w:spacing w:before="199" w:after="35"/>
        <w:ind w:left="1225" w:right="1520" w:firstLine="0"/>
        <w:jc w:val="center"/>
        <w:rPr>
          <w:b/>
          <w:sz w:val="18"/>
        </w:rPr>
      </w:pPr>
      <w:bookmarkStart w:name="_bookmark28" w:id="29"/>
      <w:bookmarkEnd w:id="29"/>
      <w:r>
        <w:rPr/>
      </w:r>
      <w:r>
        <w:rPr>
          <w:b/>
          <w:sz w:val="18"/>
        </w:rPr>
        <w:t>Table</w:t>
      </w:r>
      <w:r>
        <w:rPr>
          <w:b/>
          <w:spacing w:val="-3"/>
          <w:sz w:val="18"/>
        </w:rPr>
        <w:t> </w:t>
      </w:r>
      <w:r>
        <w:rPr>
          <w:b/>
          <w:sz w:val="18"/>
        </w:rPr>
        <w:t>11</w:t>
      </w:r>
      <w:r>
        <w:rPr>
          <w:b/>
          <w:spacing w:val="-5"/>
          <w:sz w:val="18"/>
        </w:rPr>
        <w:t> </w:t>
      </w:r>
      <w:r>
        <w:rPr>
          <w:b/>
          <w:sz w:val="18"/>
        </w:rPr>
        <w:t>–</w:t>
      </w:r>
      <w:r>
        <w:rPr>
          <w:b/>
          <w:spacing w:val="-2"/>
          <w:sz w:val="18"/>
        </w:rPr>
        <w:t> </w:t>
      </w:r>
      <w:r>
        <w:rPr>
          <w:b/>
          <w:sz w:val="18"/>
        </w:rPr>
        <w:t>Key</w:t>
      </w:r>
      <w:r>
        <w:rPr>
          <w:b/>
          <w:spacing w:val="-1"/>
          <w:sz w:val="18"/>
        </w:rPr>
        <w:t> </w:t>
      </w:r>
      <w:r>
        <w:rPr>
          <w:b/>
          <w:sz w:val="18"/>
        </w:rPr>
        <w:t>questions</w:t>
      </w:r>
      <w:r>
        <w:rPr>
          <w:b/>
          <w:spacing w:val="-2"/>
          <w:sz w:val="18"/>
        </w:rPr>
        <w:t> </w:t>
      </w:r>
      <w:r>
        <w:rPr>
          <w:b/>
          <w:sz w:val="18"/>
        </w:rPr>
        <w:t>to</w:t>
      </w:r>
      <w:r>
        <w:rPr>
          <w:b/>
          <w:spacing w:val="-4"/>
          <w:sz w:val="18"/>
        </w:rPr>
        <w:t> </w:t>
      </w:r>
      <w:r>
        <w:rPr>
          <w:b/>
          <w:sz w:val="18"/>
        </w:rPr>
        <w:t>be</w:t>
      </w:r>
      <w:r>
        <w:rPr>
          <w:b/>
          <w:spacing w:val="-3"/>
          <w:sz w:val="18"/>
        </w:rPr>
        <w:t> </w:t>
      </w:r>
      <w:r>
        <w:rPr>
          <w:b/>
          <w:sz w:val="18"/>
        </w:rPr>
        <w:t>evaluated</w:t>
      </w:r>
      <w:r>
        <w:rPr>
          <w:b/>
          <w:spacing w:val="-1"/>
          <w:sz w:val="18"/>
        </w:rPr>
        <w:t> </w:t>
      </w:r>
      <w:r>
        <w:rPr>
          <w:b/>
          <w:sz w:val="18"/>
        </w:rPr>
        <w:t>through</w:t>
      </w:r>
      <w:r>
        <w:rPr>
          <w:b/>
          <w:spacing w:val="-3"/>
          <w:sz w:val="18"/>
        </w:rPr>
        <w:t> </w:t>
      </w:r>
      <w:r>
        <w:rPr>
          <w:b/>
          <w:sz w:val="18"/>
        </w:rPr>
        <w:t>comparative</w:t>
      </w:r>
      <w:r>
        <w:rPr>
          <w:b/>
          <w:spacing w:val="-2"/>
          <w:sz w:val="18"/>
        </w:rPr>
        <w:t> </w:t>
      </w:r>
      <w:r>
        <w:rPr>
          <w:b/>
          <w:sz w:val="18"/>
        </w:rPr>
        <w:t>effectiveness</w:t>
      </w:r>
      <w:r>
        <w:rPr>
          <w:b/>
          <w:spacing w:val="-2"/>
          <w:sz w:val="18"/>
        </w:rPr>
        <w:t> </w:t>
      </w:r>
      <w:r>
        <w:rPr>
          <w:b/>
          <w:sz w:val="18"/>
        </w:rPr>
        <w:t>analysis</w:t>
      </w:r>
    </w:p>
    <w:tbl>
      <w:tblPr>
        <w:tblW w:w="0" w:type="auto"/>
        <w:jc w:val="left"/>
        <w:tblInd w:w="87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2691"/>
        <w:gridCol w:w="6327"/>
      </w:tblGrid>
      <w:tr>
        <w:trPr>
          <w:trHeight w:val="340" w:hRule="atLeast"/>
        </w:trPr>
        <w:tc>
          <w:tcPr>
            <w:tcW w:w="2691" w:type="dxa"/>
            <w:shd w:val="clear" w:color="auto" w:fill="003C79"/>
          </w:tcPr>
          <w:p>
            <w:pPr>
              <w:pStyle w:val="TableParagraph"/>
              <w:spacing w:line="219" w:lineRule="exact"/>
              <w:ind w:left="782"/>
              <w:rPr>
                <w:b/>
                <w:sz w:val="18"/>
              </w:rPr>
            </w:pPr>
            <w:r>
              <w:rPr>
                <w:b/>
                <w:color w:val="FFFFFF"/>
                <w:sz w:val="18"/>
              </w:rPr>
              <w:t>Key</w:t>
            </w:r>
            <w:r>
              <w:rPr>
                <w:b/>
                <w:color w:val="FFFFFF"/>
                <w:spacing w:val="-1"/>
                <w:sz w:val="18"/>
              </w:rPr>
              <w:t> </w:t>
            </w:r>
            <w:r>
              <w:rPr>
                <w:b/>
                <w:color w:val="FFFFFF"/>
                <w:sz w:val="18"/>
              </w:rPr>
              <w:t>question</w:t>
            </w:r>
          </w:p>
        </w:tc>
        <w:tc>
          <w:tcPr>
            <w:tcW w:w="6327" w:type="dxa"/>
            <w:shd w:val="clear" w:color="auto" w:fill="003C79"/>
          </w:tcPr>
          <w:p>
            <w:pPr>
              <w:pStyle w:val="TableParagraph"/>
              <w:spacing w:line="219" w:lineRule="exact"/>
              <w:ind w:left="2086" w:right="2083"/>
              <w:jc w:val="center"/>
              <w:rPr>
                <w:b/>
                <w:sz w:val="18"/>
              </w:rPr>
            </w:pPr>
            <w:r>
              <w:rPr>
                <w:b/>
                <w:color w:val="FFFFFF"/>
                <w:sz w:val="18"/>
              </w:rPr>
              <w:t>Description</w:t>
            </w:r>
            <w:r>
              <w:rPr>
                <w:b/>
                <w:color w:val="FFFFFF"/>
                <w:spacing w:val="-3"/>
                <w:sz w:val="18"/>
              </w:rPr>
              <w:t> </w:t>
            </w:r>
            <w:r>
              <w:rPr>
                <w:b/>
                <w:color w:val="FFFFFF"/>
                <w:sz w:val="18"/>
              </w:rPr>
              <w:t>of</w:t>
            </w:r>
            <w:r>
              <w:rPr>
                <w:b/>
                <w:color w:val="FFFFFF"/>
                <w:spacing w:val="-3"/>
                <w:sz w:val="18"/>
              </w:rPr>
              <w:t> </w:t>
            </w:r>
            <w:r>
              <w:rPr>
                <w:b/>
                <w:color w:val="FFFFFF"/>
                <w:sz w:val="18"/>
              </w:rPr>
              <w:t>approach</w:t>
            </w:r>
          </w:p>
        </w:tc>
      </w:tr>
      <w:tr>
        <w:trPr>
          <w:trHeight w:val="6437" w:hRule="atLeast"/>
        </w:trPr>
        <w:tc>
          <w:tcPr>
            <w:tcW w:w="2691" w:type="dxa"/>
          </w:tcPr>
          <w:p>
            <w:pPr>
              <w:pStyle w:val="TableParagraph"/>
              <w:ind w:left="107" w:right="177"/>
              <w:jc w:val="both"/>
              <w:rPr>
                <w:sz w:val="18"/>
              </w:rPr>
            </w:pPr>
            <w:r>
              <w:rPr>
                <w:sz w:val="18"/>
              </w:rPr>
              <w:t>Key question 3: Do patients</w:t>
            </w:r>
            <w:r>
              <w:rPr>
                <w:spacing w:val="-47"/>
                <w:sz w:val="18"/>
              </w:rPr>
              <w:t> </w:t>
            </w:r>
            <w:r>
              <w:rPr>
                <w:sz w:val="18"/>
              </w:rPr>
              <w:t>enrolled in HCH experience</w:t>
            </w:r>
            <w:r>
              <w:rPr>
                <w:spacing w:val="-47"/>
                <w:sz w:val="18"/>
              </w:rPr>
              <w:t> </w:t>
            </w:r>
            <w:r>
              <w:rPr>
                <w:sz w:val="18"/>
              </w:rPr>
              <w:t>better</w:t>
            </w:r>
            <w:r>
              <w:rPr>
                <w:spacing w:val="-1"/>
                <w:sz w:val="18"/>
              </w:rPr>
              <w:t> </w:t>
            </w:r>
            <w:r>
              <w:rPr>
                <w:sz w:val="18"/>
              </w:rPr>
              <w:t>quality</w:t>
            </w:r>
            <w:r>
              <w:rPr>
                <w:spacing w:val="-2"/>
                <w:sz w:val="18"/>
              </w:rPr>
              <w:t> </w:t>
            </w:r>
            <w:r>
              <w:rPr>
                <w:sz w:val="18"/>
              </w:rPr>
              <w:t>care?</w:t>
            </w:r>
          </w:p>
        </w:tc>
        <w:tc>
          <w:tcPr>
            <w:tcW w:w="6327" w:type="dxa"/>
          </w:tcPr>
          <w:p>
            <w:pPr>
              <w:pStyle w:val="TableParagraph"/>
              <w:spacing w:line="276" w:lineRule="auto"/>
              <w:ind w:left="105" w:right="264"/>
              <w:rPr>
                <w:sz w:val="18"/>
              </w:rPr>
            </w:pPr>
            <w:r>
              <w:rPr>
                <w:sz w:val="18"/>
              </w:rPr>
              <w:t>Measures of changes in clinical processes associated with the</w:t>
            </w:r>
            <w:r>
              <w:rPr>
                <w:spacing w:val="1"/>
                <w:sz w:val="18"/>
              </w:rPr>
              <w:t> </w:t>
            </w:r>
            <w:r>
              <w:rPr>
                <w:sz w:val="18"/>
              </w:rPr>
              <w:t>implementation of HCH. This will include measures of the provision of</w:t>
            </w:r>
            <w:r>
              <w:rPr>
                <w:spacing w:val="-48"/>
                <w:sz w:val="18"/>
              </w:rPr>
              <w:t> </w:t>
            </w:r>
            <w:r>
              <w:rPr>
                <w:sz w:val="18"/>
              </w:rPr>
              <w:t>preventive</w:t>
            </w:r>
            <w:r>
              <w:rPr>
                <w:spacing w:val="-4"/>
                <w:sz w:val="18"/>
              </w:rPr>
              <w:t> </w:t>
            </w:r>
            <w:r>
              <w:rPr>
                <w:sz w:val="18"/>
              </w:rPr>
              <w:t>services</w:t>
            </w:r>
            <w:r>
              <w:rPr>
                <w:spacing w:val="-4"/>
                <w:sz w:val="18"/>
              </w:rPr>
              <w:t> </w:t>
            </w:r>
            <w:r>
              <w:rPr>
                <w:sz w:val="18"/>
              </w:rPr>
              <w:t>and</w:t>
            </w:r>
            <w:r>
              <w:rPr>
                <w:spacing w:val="-4"/>
                <w:sz w:val="18"/>
              </w:rPr>
              <w:t> </w:t>
            </w:r>
            <w:r>
              <w:rPr>
                <w:sz w:val="18"/>
              </w:rPr>
              <w:t>the</w:t>
            </w:r>
            <w:r>
              <w:rPr>
                <w:spacing w:val="-5"/>
                <w:sz w:val="18"/>
              </w:rPr>
              <w:t> </w:t>
            </w:r>
            <w:r>
              <w:rPr>
                <w:sz w:val="18"/>
              </w:rPr>
              <w:t>provision</w:t>
            </w:r>
            <w:r>
              <w:rPr>
                <w:spacing w:val="-3"/>
                <w:sz w:val="18"/>
              </w:rPr>
              <w:t> </w:t>
            </w:r>
            <w:r>
              <w:rPr>
                <w:sz w:val="18"/>
              </w:rPr>
              <w:t>of</w:t>
            </w:r>
            <w:r>
              <w:rPr>
                <w:spacing w:val="-5"/>
                <w:sz w:val="18"/>
              </w:rPr>
              <w:t> </w:t>
            </w:r>
            <w:r>
              <w:rPr>
                <w:sz w:val="18"/>
              </w:rPr>
              <w:t>appropriate</w:t>
            </w:r>
            <w:r>
              <w:rPr>
                <w:spacing w:val="-3"/>
                <w:sz w:val="18"/>
              </w:rPr>
              <w:t> </w:t>
            </w:r>
            <w:r>
              <w:rPr>
                <w:sz w:val="18"/>
              </w:rPr>
              <w:t>care</w:t>
            </w:r>
            <w:r>
              <w:rPr>
                <w:spacing w:val="-3"/>
                <w:sz w:val="18"/>
              </w:rPr>
              <w:t> </w:t>
            </w:r>
            <w:r>
              <w:rPr>
                <w:sz w:val="18"/>
              </w:rPr>
              <w:t>consistent</w:t>
            </w:r>
            <w:r>
              <w:rPr>
                <w:spacing w:val="-47"/>
                <w:sz w:val="18"/>
              </w:rPr>
              <w:t> </w:t>
            </w:r>
            <w:r>
              <w:rPr>
                <w:sz w:val="18"/>
              </w:rPr>
              <w:t>with</w:t>
            </w:r>
            <w:r>
              <w:rPr>
                <w:spacing w:val="-2"/>
                <w:sz w:val="18"/>
              </w:rPr>
              <w:t> </w:t>
            </w:r>
            <w:r>
              <w:rPr>
                <w:sz w:val="18"/>
              </w:rPr>
              <w:t>clinical</w:t>
            </w:r>
            <w:r>
              <w:rPr>
                <w:spacing w:val="-1"/>
                <w:sz w:val="18"/>
              </w:rPr>
              <w:t> </w:t>
            </w:r>
            <w:r>
              <w:rPr>
                <w:sz w:val="18"/>
              </w:rPr>
              <w:t>guidelines</w:t>
            </w:r>
            <w:r>
              <w:rPr>
                <w:spacing w:val="-2"/>
                <w:sz w:val="18"/>
              </w:rPr>
              <w:t> </w:t>
            </w:r>
            <w:r>
              <w:rPr>
                <w:sz w:val="18"/>
              </w:rPr>
              <w:t>for management</w:t>
            </w:r>
            <w:r>
              <w:rPr>
                <w:spacing w:val="-3"/>
                <w:sz w:val="18"/>
              </w:rPr>
              <w:t> </w:t>
            </w:r>
            <w:r>
              <w:rPr>
                <w:sz w:val="18"/>
              </w:rPr>
              <w:t>of</w:t>
            </w:r>
            <w:r>
              <w:rPr>
                <w:spacing w:val="-1"/>
                <w:sz w:val="18"/>
              </w:rPr>
              <w:t> </w:t>
            </w:r>
            <w:r>
              <w:rPr>
                <w:sz w:val="18"/>
              </w:rPr>
              <w:t>chronic</w:t>
            </w:r>
            <w:r>
              <w:rPr>
                <w:spacing w:val="-2"/>
                <w:sz w:val="18"/>
              </w:rPr>
              <w:t> </w:t>
            </w:r>
            <w:r>
              <w:rPr>
                <w:sz w:val="18"/>
              </w:rPr>
              <w:t>conditions.</w:t>
            </w:r>
          </w:p>
          <w:p>
            <w:pPr>
              <w:pStyle w:val="TableParagraph"/>
              <w:spacing w:line="276" w:lineRule="auto" w:before="118"/>
              <w:ind w:left="105" w:right="300"/>
              <w:rPr>
                <w:sz w:val="18"/>
              </w:rPr>
            </w:pPr>
            <w:r>
              <w:rPr>
                <w:sz w:val="18"/>
              </w:rPr>
              <w:t>Various aspects of health outcomes can be estimated using routine</w:t>
            </w:r>
            <w:r>
              <w:rPr>
                <w:spacing w:val="-48"/>
                <w:sz w:val="18"/>
              </w:rPr>
              <w:t> </w:t>
            </w:r>
            <w:r>
              <w:rPr>
                <w:sz w:val="18"/>
              </w:rPr>
              <w:t>data</w:t>
            </w:r>
            <w:r>
              <w:rPr>
                <w:spacing w:val="-2"/>
                <w:sz w:val="18"/>
              </w:rPr>
              <w:t> </w:t>
            </w:r>
            <w:r>
              <w:rPr>
                <w:sz w:val="18"/>
              </w:rPr>
              <w:t>sources.</w:t>
            </w:r>
            <w:r>
              <w:rPr>
                <w:spacing w:val="-3"/>
                <w:sz w:val="18"/>
              </w:rPr>
              <w:t> </w:t>
            </w:r>
            <w:r>
              <w:rPr>
                <w:sz w:val="18"/>
              </w:rPr>
              <w:t>These</w:t>
            </w:r>
            <w:r>
              <w:rPr>
                <w:spacing w:val="-1"/>
                <w:sz w:val="18"/>
              </w:rPr>
              <w:t> </w:t>
            </w:r>
            <w:r>
              <w:rPr>
                <w:sz w:val="18"/>
              </w:rPr>
              <w:t>include</w:t>
            </w:r>
            <w:r>
              <w:rPr>
                <w:spacing w:val="-2"/>
                <w:sz w:val="18"/>
              </w:rPr>
              <w:t> </w:t>
            </w:r>
            <w:r>
              <w:rPr>
                <w:sz w:val="18"/>
              </w:rPr>
              <w:t>estimates</w:t>
            </w:r>
            <w:r>
              <w:rPr>
                <w:spacing w:val="-1"/>
                <w:sz w:val="18"/>
              </w:rPr>
              <w:t> </w:t>
            </w:r>
            <w:r>
              <w:rPr>
                <w:sz w:val="18"/>
              </w:rPr>
              <w:t>of:</w:t>
            </w:r>
          </w:p>
          <w:p>
            <w:pPr>
              <w:pStyle w:val="TableParagraph"/>
              <w:numPr>
                <w:ilvl w:val="0"/>
                <w:numId w:val="14"/>
              </w:numPr>
              <w:tabs>
                <w:tab w:pos="818" w:val="left" w:leader="none"/>
                <w:tab w:pos="819" w:val="left" w:leader="none"/>
              </w:tabs>
              <w:spacing w:line="240" w:lineRule="auto" w:before="119" w:after="0"/>
              <w:ind w:left="818" w:right="0" w:hanging="357"/>
              <w:jc w:val="left"/>
              <w:rPr>
                <w:sz w:val="18"/>
              </w:rPr>
            </w:pPr>
            <w:r>
              <w:rPr>
                <w:sz w:val="18"/>
              </w:rPr>
              <w:t>mortality</w:t>
            </w:r>
          </w:p>
          <w:p>
            <w:pPr>
              <w:pStyle w:val="TableParagraph"/>
              <w:numPr>
                <w:ilvl w:val="0"/>
                <w:numId w:val="14"/>
              </w:numPr>
              <w:tabs>
                <w:tab w:pos="825" w:val="left" w:leader="none"/>
                <w:tab w:pos="826" w:val="left" w:leader="none"/>
              </w:tabs>
              <w:spacing w:line="276" w:lineRule="auto" w:before="34" w:after="0"/>
              <w:ind w:left="825" w:right="523" w:hanging="360"/>
              <w:jc w:val="left"/>
              <w:rPr>
                <w:sz w:val="18"/>
              </w:rPr>
            </w:pPr>
            <w:r>
              <w:rPr>
                <w:sz w:val="18"/>
              </w:rPr>
              <w:t>progression</w:t>
            </w:r>
            <w:r>
              <w:rPr>
                <w:spacing w:val="-7"/>
                <w:sz w:val="18"/>
              </w:rPr>
              <w:t> </w:t>
            </w:r>
            <w:r>
              <w:rPr>
                <w:sz w:val="18"/>
              </w:rPr>
              <w:t>of</w:t>
            </w:r>
            <w:r>
              <w:rPr>
                <w:spacing w:val="-3"/>
                <w:sz w:val="18"/>
              </w:rPr>
              <w:t> </w:t>
            </w:r>
            <w:r>
              <w:rPr>
                <w:sz w:val="18"/>
              </w:rPr>
              <w:t>disease</w:t>
            </w:r>
            <w:r>
              <w:rPr>
                <w:spacing w:val="-3"/>
                <w:sz w:val="18"/>
              </w:rPr>
              <w:t> </w:t>
            </w:r>
            <w:r>
              <w:rPr>
                <w:sz w:val="18"/>
              </w:rPr>
              <w:t>based</w:t>
            </w:r>
            <w:r>
              <w:rPr>
                <w:spacing w:val="-5"/>
                <w:sz w:val="18"/>
              </w:rPr>
              <w:t> </w:t>
            </w:r>
            <w:r>
              <w:rPr>
                <w:sz w:val="18"/>
              </w:rPr>
              <w:t>on</w:t>
            </w:r>
            <w:r>
              <w:rPr>
                <w:spacing w:val="-3"/>
                <w:sz w:val="18"/>
              </w:rPr>
              <w:t> </w:t>
            </w:r>
            <w:r>
              <w:rPr>
                <w:sz w:val="18"/>
              </w:rPr>
              <w:t>hospitalisation</w:t>
            </w:r>
            <w:r>
              <w:rPr>
                <w:spacing w:val="-4"/>
                <w:sz w:val="18"/>
              </w:rPr>
              <w:t> </w:t>
            </w:r>
            <w:r>
              <w:rPr>
                <w:sz w:val="18"/>
              </w:rPr>
              <w:t>data</w:t>
            </w:r>
            <w:r>
              <w:rPr>
                <w:spacing w:val="-4"/>
                <w:sz w:val="18"/>
              </w:rPr>
              <w:t> </w:t>
            </w:r>
            <w:r>
              <w:rPr>
                <w:sz w:val="18"/>
              </w:rPr>
              <w:t>and</w:t>
            </w:r>
            <w:r>
              <w:rPr>
                <w:spacing w:val="-47"/>
                <w:sz w:val="18"/>
              </w:rPr>
              <w:t> </w:t>
            </w:r>
            <w:r>
              <w:rPr>
                <w:sz w:val="18"/>
              </w:rPr>
              <w:t>pharmaceutical data (using population risk stratification</w:t>
            </w:r>
            <w:r>
              <w:rPr>
                <w:spacing w:val="1"/>
                <w:sz w:val="18"/>
              </w:rPr>
              <w:t> </w:t>
            </w:r>
            <w:r>
              <w:rPr>
                <w:sz w:val="18"/>
              </w:rPr>
              <w:t>tools)</w:t>
            </w:r>
          </w:p>
          <w:p>
            <w:pPr>
              <w:pStyle w:val="TableParagraph"/>
              <w:numPr>
                <w:ilvl w:val="0"/>
                <w:numId w:val="14"/>
              </w:numPr>
              <w:tabs>
                <w:tab w:pos="825" w:val="left" w:leader="none"/>
                <w:tab w:pos="826" w:val="left" w:leader="none"/>
              </w:tabs>
              <w:spacing w:line="240" w:lineRule="auto" w:before="0" w:after="0"/>
              <w:ind w:left="825" w:right="0" w:hanging="361"/>
              <w:jc w:val="left"/>
              <w:rPr>
                <w:sz w:val="18"/>
              </w:rPr>
            </w:pPr>
            <w:r>
              <w:rPr>
                <w:sz w:val="18"/>
              </w:rPr>
              <w:t>admission</w:t>
            </w:r>
            <w:r>
              <w:rPr>
                <w:spacing w:val="-4"/>
                <w:sz w:val="18"/>
              </w:rPr>
              <w:t> </w:t>
            </w:r>
            <w:r>
              <w:rPr>
                <w:sz w:val="18"/>
              </w:rPr>
              <w:t>to</w:t>
            </w:r>
            <w:r>
              <w:rPr>
                <w:spacing w:val="-3"/>
                <w:sz w:val="18"/>
              </w:rPr>
              <w:t> </w:t>
            </w:r>
            <w:r>
              <w:rPr>
                <w:sz w:val="18"/>
              </w:rPr>
              <w:t>residential</w:t>
            </w:r>
            <w:r>
              <w:rPr>
                <w:spacing w:val="-5"/>
                <w:sz w:val="18"/>
              </w:rPr>
              <w:t> </w:t>
            </w:r>
            <w:r>
              <w:rPr>
                <w:sz w:val="18"/>
              </w:rPr>
              <w:t>care.</w:t>
            </w:r>
          </w:p>
          <w:p>
            <w:pPr>
              <w:pStyle w:val="TableParagraph"/>
              <w:spacing w:line="276" w:lineRule="auto" w:before="154"/>
              <w:ind w:left="105" w:right="85"/>
              <w:rPr>
                <w:sz w:val="18"/>
              </w:rPr>
            </w:pPr>
            <w:r>
              <w:rPr>
                <w:sz w:val="18"/>
              </w:rPr>
              <w:t>Key question 3 also seeks to determine whether patients enrolled in</w:t>
            </w:r>
            <w:r>
              <w:rPr>
                <w:spacing w:val="1"/>
                <w:sz w:val="18"/>
              </w:rPr>
              <w:t> </w:t>
            </w:r>
            <w:r>
              <w:rPr>
                <w:sz w:val="18"/>
              </w:rPr>
              <w:t>HCH have different patterns of service use. This will be addressed</w:t>
            </w:r>
            <w:r>
              <w:rPr>
                <w:spacing w:val="1"/>
                <w:sz w:val="18"/>
              </w:rPr>
              <w:t> </w:t>
            </w:r>
            <w:r>
              <w:rPr>
                <w:sz w:val="18"/>
              </w:rPr>
              <w:t>through analysis of differences in service use between the intervention</w:t>
            </w:r>
            <w:r>
              <w:rPr>
                <w:spacing w:val="-47"/>
                <w:sz w:val="18"/>
              </w:rPr>
              <w:t> </w:t>
            </w:r>
            <w:r>
              <w:rPr>
                <w:sz w:val="18"/>
              </w:rPr>
              <w:t>and comparison groups. This analysis can be conducted for sub-</w:t>
            </w:r>
            <w:r>
              <w:rPr>
                <w:spacing w:val="1"/>
                <w:sz w:val="18"/>
              </w:rPr>
              <w:t> </w:t>
            </w:r>
            <w:r>
              <w:rPr>
                <w:sz w:val="18"/>
              </w:rPr>
              <w:t>categories</w:t>
            </w:r>
            <w:r>
              <w:rPr>
                <w:spacing w:val="-2"/>
                <w:sz w:val="18"/>
              </w:rPr>
              <w:t> </w:t>
            </w:r>
            <w:r>
              <w:rPr>
                <w:sz w:val="18"/>
              </w:rPr>
              <w:t>of services,</w:t>
            </w:r>
            <w:r>
              <w:rPr>
                <w:spacing w:val="-2"/>
                <w:sz w:val="18"/>
              </w:rPr>
              <w:t> </w:t>
            </w:r>
            <w:r>
              <w:rPr>
                <w:sz w:val="18"/>
              </w:rPr>
              <w:t>including:</w:t>
            </w:r>
          </w:p>
          <w:p>
            <w:pPr>
              <w:pStyle w:val="TableParagraph"/>
              <w:numPr>
                <w:ilvl w:val="0"/>
                <w:numId w:val="14"/>
              </w:numPr>
              <w:tabs>
                <w:tab w:pos="818" w:val="left" w:leader="none"/>
                <w:tab w:pos="819" w:val="left" w:leader="none"/>
              </w:tabs>
              <w:spacing w:line="240" w:lineRule="auto" w:before="120" w:after="0"/>
              <w:ind w:left="818" w:right="0" w:hanging="357"/>
              <w:jc w:val="left"/>
              <w:rPr>
                <w:sz w:val="18"/>
              </w:rPr>
            </w:pPr>
            <w:r>
              <w:rPr>
                <w:sz w:val="18"/>
              </w:rPr>
              <w:t>primary</w:t>
            </w:r>
            <w:r>
              <w:rPr>
                <w:spacing w:val="-3"/>
                <w:sz w:val="18"/>
              </w:rPr>
              <w:t> </w:t>
            </w:r>
            <w:r>
              <w:rPr>
                <w:sz w:val="18"/>
              </w:rPr>
              <w:t>care</w:t>
            </w:r>
          </w:p>
          <w:p>
            <w:pPr>
              <w:pStyle w:val="TableParagraph"/>
              <w:numPr>
                <w:ilvl w:val="0"/>
                <w:numId w:val="14"/>
              </w:numPr>
              <w:tabs>
                <w:tab w:pos="818" w:val="left" w:leader="none"/>
                <w:tab w:pos="819" w:val="left" w:leader="none"/>
              </w:tabs>
              <w:spacing w:line="240" w:lineRule="auto" w:before="34" w:after="0"/>
              <w:ind w:left="818" w:right="0" w:hanging="357"/>
              <w:jc w:val="left"/>
              <w:rPr>
                <w:sz w:val="18"/>
              </w:rPr>
            </w:pPr>
            <w:r>
              <w:rPr>
                <w:sz w:val="18"/>
              </w:rPr>
              <w:t>secondary</w:t>
            </w:r>
            <w:r>
              <w:rPr>
                <w:spacing w:val="-3"/>
                <w:sz w:val="18"/>
              </w:rPr>
              <w:t> </w:t>
            </w:r>
            <w:r>
              <w:rPr>
                <w:sz w:val="18"/>
              </w:rPr>
              <w:t>(specialist</w:t>
            </w:r>
            <w:r>
              <w:rPr>
                <w:spacing w:val="-7"/>
                <w:sz w:val="18"/>
              </w:rPr>
              <w:t> </w:t>
            </w:r>
            <w:r>
              <w:rPr>
                <w:sz w:val="18"/>
              </w:rPr>
              <w:t>care</w:t>
            </w:r>
            <w:r>
              <w:rPr>
                <w:spacing w:val="-7"/>
                <w:sz w:val="18"/>
              </w:rPr>
              <w:t> </w:t>
            </w:r>
            <w:r>
              <w:rPr>
                <w:sz w:val="18"/>
              </w:rPr>
              <w:t>attendance)</w:t>
            </w:r>
          </w:p>
          <w:p>
            <w:pPr>
              <w:pStyle w:val="TableParagraph"/>
              <w:numPr>
                <w:ilvl w:val="0"/>
                <w:numId w:val="14"/>
              </w:numPr>
              <w:tabs>
                <w:tab w:pos="818" w:val="left" w:leader="none"/>
                <w:tab w:pos="819" w:val="left" w:leader="none"/>
              </w:tabs>
              <w:spacing w:line="240" w:lineRule="auto" w:before="31" w:after="0"/>
              <w:ind w:left="818" w:right="0" w:hanging="357"/>
              <w:jc w:val="left"/>
              <w:rPr>
                <w:sz w:val="18"/>
              </w:rPr>
            </w:pPr>
            <w:r>
              <w:rPr>
                <w:sz w:val="18"/>
              </w:rPr>
              <w:t>pharmaceutical</w:t>
            </w:r>
            <w:r>
              <w:rPr>
                <w:spacing w:val="-5"/>
                <w:sz w:val="18"/>
              </w:rPr>
              <w:t> </w:t>
            </w:r>
            <w:r>
              <w:rPr>
                <w:sz w:val="18"/>
              </w:rPr>
              <w:t>use</w:t>
            </w:r>
            <w:r>
              <w:rPr>
                <w:spacing w:val="-5"/>
                <w:sz w:val="18"/>
              </w:rPr>
              <w:t> </w:t>
            </w:r>
            <w:r>
              <w:rPr>
                <w:sz w:val="18"/>
              </w:rPr>
              <w:t>(PBS</w:t>
            </w:r>
            <w:r>
              <w:rPr>
                <w:spacing w:val="-7"/>
                <w:sz w:val="18"/>
              </w:rPr>
              <w:t> </w:t>
            </w:r>
            <w:r>
              <w:rPr>
                <w:sz w:val="18"/>
              </w:rPr>
              <w:t>related</w:t>
            </w:r>
            <w:r>
              <w:rPr>
                <w:spacing w:val="-6"/>
                <w:sz w:val="18"/>
              </w:rPr>
              <w:t> </w:t>
            </w:r>
            <w:r>
              <w:rPr>
                <w:sz w:val="18"/>
              </w:rPr>
              <w:t>only)</w:t>
            </w:r>
          </w:p>
          <w:p>
            <w:pPr>
              <w:pStyle w:val="TableParagraph"/>
              <w:numPr>
                <w:ilvl w:val="0"/>
                <w:numId w:val="14"/>
              </w:numPr>
              <w:tabs>
                <w:tab w:pos="818" w:val="left" w:leader="none"/>
                <w:tab w:pos="819" w:val="left" w:leader="none"/>
              </w:tabs>
              <w:spacing w:line="240" w:lineRule="auto" w:before="34" w:after="0"/>
              <w:ind w:left="818" w:right="0" w:hanging="357"/>
              <w:jc w:val="left"/>
              <w:rPr>
                <w:sz w:val="18"/>
              </w:rPr>
            </w:pPr>
            <w:r>
              <w:rPr>
                <w:sz w:val="18"/>
              </w:rPr>
              <w:t>emergency</w:t>
            </w:r>
            <w:r>
              <w:rPr>
                <w:spacing w:val="-10"/>
                <w:sz w:val="18"/>
              </w:rPr>
              <w:t> </w:t>
            </w:r>
            <w:r>
              <w:rPr>
                <w:sz w:val="18"/>
              </w:rPr>
              <w:t>department</w:t>
            </w:r>
            <w:r>
              <w:rPr>
                <w:spacing w:val="-10"/>
                <w:sz w:val="18"/>
              </w:rPr>
              <w:t> </w:t>
            </w:r>
            <w:r>
              <w:rPr>
                <w:sz w:val="18"/>
              </w:rPr>
              <w:t>presentations</w:t>
            </w:r>
          </w:p>
          <w:p>
            <w:pPr>
              <w:pStyle w:val="TableParagraph"/>
              <w:numPr>
                <w:ilvl w:val="0"/>
                <w:numId w:val="14"/>
              </w:numPr>
              <w:tabs>
                <w:tab w:pos="818" w:val="left" w:leader="none"/>
                <w:tab w:pos="819" w:val="left" w:leader="none"/>
              </w:tabs>
              <w:spacing w:line="240" w:lineRule="auto" w:before="34" w:after="0"/>
              <w:ind w:left="818" w:right="0" w:hanging="357"/>
              <w:jc w:val="left"/>
              <w:rPr>
                <w:sz w:val="18"/>
              </w:rPr>
            </w:pPr>
            <w:r>
              <w:rPr>
                <w:sz w:val="18"/>
              </w:rPr>
              <w:t>hospital</w:t>
            </w:r>
            <w:r>
              <w:rPr>
                <w:spacing w:val="-5"/>
                <w:sz w:val="18"/>
              </w:rPr>
              <w:t> </w:t>
            </w:r>
            <w:r>
              <w:rPr>
                <w:sz w:val="18"/>
              </w:rPr>
              <w:t>admissions,</w:t>
            </w:r>
            <w:r>
              <w:rPr>
                <w:spacing w:val="-8"/>
                <w:sz w:val="18"/>
              </w:rPr>
              <w:t> </w:t>
            </w:r>
            <w:r>
              <w:rPr>
                <w:sz w:val="18"/>
              </w:rPr>
              <w:t>including:</w:t>
            </w:r>
          </w:p>
          <w:p>
            <w:pPr>
              <w:pStyle w:val="TableParagraph"/>
              <w:numPr>
                <w:ilvl w:val="1"/>
                <w:numId w:val="14"/>
              </w:numPr>
              <w:tabs>
                <w:tab w:pos="1133" w:val="left" w:leader="none"/>
              </w:tabs>
              <w:spacing w:line="240" w:lineRule="auto" w:before="154" w:after="0"/>
              <w:ind w:left="1132" w:right="0" w:hanging="284"/>
              <w:jc w:val="left"/>
              <w:rPr>
                <w:sz w:val="18"/>
              </w:rPr>
            </w:pPr>
            <w:r>
              <w:rPr>
                <w:sz w:val="18"/>
              </w:rPr>
              <w:t>total</w:t>
            </w:r>
            <w:r>
              <w:rPr>
                <w:spacing w:val="-3"/>
                <w:sz w:val="18"/>
              </w:rPr>
              <w:t> </w:t>
            </w:r>
            <w:r>
              <w:rPr>
                <w:sz w:val="18"/>
              </w:rPr>
              <w:t>admissions,</w:t>
            </w:r>
            <w:r>
              <w:rPr>
                <w:spacing w:val="-5"/>
                <w:sz w:val="18"/>
              </w:rPr>
              <w:t> </w:t>
            </w:r>
            <w:r>
              <w:rPr>
                <w:sz w:val="18"/>
              </w:rPr>
              <w:t>bed</w:t>
            </w:r>
            <w:r>
              <w:rPr>
                <w:spacing w:val="-4"/>
                <w:sz w:val="18"/>
              </w:rPr>
              <w:t> </w:t>
            </w:r>
            <w:r>
              <w:rPr>
                <w:sz w:val="18"/>
              </w:rPr>
              <w:t>days,</w:t>
            </w:r>
            <w:r>
              <w:rPr>
                <w:spacing w:val="-3"/>
                <w:sz w:val="18"/>
              </w:rPr>
              <w:t> </w:t>
            </w:r>
            <w:r>
              <w:rPr>
                <w:sz w:val="18"/>
              </w:rPr>
              <w:t>and</w:t>
            </w:r>
            <w:r>
              <w:rPr>
                <w:spacing w:val="-4"/>
                <w:sz w:val="18"/>
              </w:rPr>
              <w:t> </w:t>
            </w:r>
            <w:r>
              <w:rPr>
                <w:sz w:val="18"/>
              </w:rPr>
              <w:t>weighted</w:t>
            </w:r>
            <w:r>
              <w:rPr>
                <w:spacing w:val="-3"/>
                <w:sz w:val="18"/>
              </w:rPr>
              <w:t> </w:t>
            </w:r>
            <w:r>
              <w:rPr>
                <w:sz w:val="18"/>
              </w:rPr>
              <w:t>admissions</w:t>
            </w:r>
          </w:p>
          <w:p>
            <w:pPr>
              <w:pStyle w:val="TableParagraph"/>
              <w:numPr>
                <w:ilvl w:val="1"/>
                <w:numId w:val="14"/>
              </w:numPr>
              <w:tabs>
                <w:tab w:pos="1133" w:val="left" w:leader="none"/>
              </w:tabs>
              <w:spacing w:line="240" w:lineRule="auto" w:before="17" w:after="0"/>
              <w:ind w:left="1132" w:right="0" w:hanging="284"/>
              <w:jc w:val="left"/>
              <w:rPr>
                <w:sz w:val="18"/>
              </w:rPr>
            </w:pPr>
            <w:r>
              <w:rPr>
                <w:sz w:val="18"/>
              </w:rPr>
              <w:t>emergency</w:t>
            </w:r>
            <w:r>
              <w:rPr>
                <w:spacing w:val="-4"/>
                <w:sz w:val="18"/>
              </w:rPr>
              <w:t> </w:t>
            </w:r>
            <w:r>
              <w:rPr>
                <w:sz w:val="18"/>
              </w:rPr>
              <w:t>admissions</w:t>
            </w:r>
            <w:r>
              <w:rPr>
                <w:spacing w:val="-3"/>
                <w:sz w:val="18"/>
              </w:rPr>
              <w:t> </w:t>
            </w:r>
            <w:r>
              <w:rPr>
                <w:sz w:val="18"/>
              </w:rPr>
              <w:t>and</w:t>
            </w:r>
            <w:r>
              <w:rPr>
                <w:spacing w:val="-6"/>
                <w:sz w:val="18"/>
              </w:rPr>
              <w:t> </w:t>
            </w:r>
            <w:r>
              <w:rPr>
                <w:sz w:val="18"/>
              </w:rPr>
              <w:t>weighted</w:t>
            </w:r>
            <w:r>
              <w:rPr>
                <w:spacing w:val="-4"/>
                <w:sz w:val="18"/>
              </w:rPr>
              <w:t> </w:t>
            </w:r>
            <w:r>
              <w:rPr>
                <w:sz w:val="18"/>
              </w:rPr>
              <w:t>admissions</w:t>
            </w:r>
          </w:p>
        </w:tc>
      </w:tr>
    </w:tbl>
    <w:p>
      <w:pPr>
        <w:spacing w:after="0" w:line="240" w:lineRule="auto"/>
        <w:jc w:val="left"/>
        <w:rPr>
          <w:sz w:val="18"/>
        </w:rPr>
        <w:sectPr>
          <w:pgSz w:w="11910" w:h="16840"/>
          <w:pgMar w:header="0" w:footer="675" w:top="1340" w:bottom="1458" w:left="580" w:right="280"/>
        </w:sectPr>
      </w:pPr>
    </w:p>
    <w:tbl>
      <w:tblPr>
        <w:tblW w:w="0" w:type="auto"/>
        <w:jc w:val="left"/>
        <w:tblInd w:w="87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2691"/>
        <w:gridCol w:w="6327"/>
      </w:tblGrid>
      <w:tr>
        <w:trPr>
          <w:trHeight w:val="340" w:hRule="atLeast"/>
        </w:trPr>
        <w:tc>
          <w:tcPr>
            <w:tcW w:w="2691" w:type="dxa"/>
            <w:shd w:val="clear" w:color="auto" w:fill="003C79"/>
          </w:tcPr>
          <w:p>
            <w:pPr>
              <w:pStyle w:val="TableParagraph"/>
              <w:spacing w:line="219" w:lineRule="exact"/>
              <w:ind w:left="782"/>
              <w:rPr>
                <w:b/>
                <w:sz w:val="18"/>
              </w:rPr>
            </w:pPr>
            <w:r>
              <w:rPr>
                <w:b/>
                <w:color w:val="FFFFFF"/>
                <w:sz w:val="18"/>
              </w:rPr>
              <w:t>Key</w:t>
            </w:r>
            <w:r>
              <w:rPr>
                <w:b/>
                <w:color w:val="FFFFFF"/>
                <w:spacing w:val="-1"/>
                <w:sz w:val="18"/>
              </w:rPr>
              <w:t> </w:t>
            </w:r>
            <w:r>
              <w:rPr>
                <w:b/>
                <w:color w:val="FFFFFF"/>
                <w:sz w:val="18"/>
              </w:rPr>
              <w:t>question</w:t>
            </w:r>
          </w:p>
        </w:tc>
        <w:tc>
          <w:tcPr>
            <w:tcW w:w="6327" w:type="dxa"/>
            <w:shd w:val="clear" w:color="auto" w:fill="003C79"/>
          </w:tcPr>
          <w:p>
            <w:pPr>
              <w:pStyle w:val="TableParagraph"/>
              <w:spacing w:line="219" w:lineRule="exact"/>
              <w:ind w:left="2086" w:right="2083"/>
              <w:jc w:val="center"/>
              <w:rPr>
                <w:b/>
                <w:sz w:val="18"/>
              </w:rPr>
            </w:pPr>
            <w:r>
              <w:rPr>
                <w:b/>
                <w:color w:val="FFFFFF"/>
                <w:sz w:val="18"/>
              </w:rPr>
              <w:t>Description</w:t>
            </w:r>
            <w:r>
              <w:rPr>
                <w:b/>
                <w:color w:val="FFFFFF"/>
                <w:spacing w:val="-3"/>
                <w:sz w:val="18"/>
              </w:rPr>
              <w:t> </w:t>
            </w:r>
            <w:r>
              <w:rPr>
                <w:b/>
                <w:color w:val="FFFFFF"/>
                <w:sz w:val="18"/>
              </w:rPr>
              <w:t>of</w:t>
            </w:r>
            <w:r>
              <w:rPr>
                <w:b/>
                <w:color w:val="FFFFFF"/>
                <w:spacing w:val="-3"/>
                <w:sz w:val="18"/>
              </w:rPr>
              <w:t> </w:t>
            </w:r>
            <w:r>
              <w:rPr>
                <w:b/>
                <w:color w:val="FFFFFF"/>
                <w:sz w:val="18"/>
              </w:rPr>
              <w:t>approach</w:t>
            </w:r>
          </w:p>
        </w:tc>
      </w:tr>
      <w:tr>
        <w:trPr>
          <w:trHeight w:val="1134" w:hRule="atLeast"/>
        </w:trPr>
        <w:tc>
          <w:tcPr>
            <w:tcW w:w="2691" w:type="dxa"/>
          </w:tcPr>
          <w:p>
            <w:pPr>
              <w:pStyle w:val="TableParagraph"/>
              <w:rPr>
                <w:rFonts w:ascii="Times New Roman"/>
                <w:sz w:val="18"/>
              </w:rPr>
            </w:pPr>
          </w:p>
        </w:tc>
        <w:tc>
          <w:tcPr>
            <w:tcW w:w="6327" w:type="dxa"/>
          </w:tcPr>
          <w:p>
            <w:pPr>
              <w:pStyle w:val="TableParagraph"/>
              <w:numPr>
                <w:ilvl w:val="0"/>
                <w:numId w:val="15"/>
              </w:numPr>
              <w:tabs>
                <w:tab w:pos="1133" w:val="left" w:leader="none"/>
              </w:tabs>
              <w:spacing w:line="259" w:lineRule="auto" w:before="0" w:after="0"/>
              <w:ind w:left="1132" w:right="961" w:hanging="284"/>
              <w:jc w:val="left"/>
              <w:rPr>
                <w:sz w:val="18"/>
              </w:rPr>
            </w:pPr>
            <w:r>
              <w:rPr>
                <w:sz w:val="18"/>
              </w:rPr>
              <w:t>potentially avoidable admissions, bed days, and</w:t>
            </w:r>
            <w:r>
              <w:rPr>
                <w:spacing w:val="-47"/>
                <w:sz w:val="18"/>
              </w:rPr>
              <w:t> </w:t>
            </w:r>
            <w:r>
              <w:rPr>
                <w:sz w:val="18"/>
              </w:rPr>
              <w:t>weighted</w:t>
            </w:r>
            <w:r>
              <w:rPr>
                <w:spacing w:val="-2"/>
                <w:sz w:val="18"/>
              </w:rPr>
              <w:t> </w:t>
            </w:r>
            <w:r>
              <w:rPr>
                <w:sz w:val="18"/>
              </w:rPr>
              <w:t>admissions</w:t>
            </w:r>
          </w:p>
          <w:p>
            <w:pPr>
              <w:pStyle w:val="TableParagraph"/>
              <w:numPr>
                <w:ilvl w:val="0"/>
                <w:numId w:val="15"/>
              </w:numPr>
              <w:tabs>
                <w:tab w:pos="1133" w:val="left" w:leader="none"/>
              </w:tabs>
              <w:spacing w:line="259" w:lineRule="auto" w:before="16" w:after="0"/>
              <w:ind w:left="1132" w:right="464" w:hanging="284"/>
              <w:jc w:val="left"/>
              <w:rPr>
                <w:sz w:val="18"/>
              </w:rPr>
            </w:pPr>
            <w:r>
              <w:rPr>
                <w:sz w:val="18"/>
              </w:rPr>
              <w:t>admissions</w:t>
            </w:r>
            <w:r>
              <w:rPr>
                <w:spacing w:val="-3"/>
                <w:sz w:val="18"/>
              </w:rPr>
              <w:t> </w:t>
            </w:r>
            <w:r>
              <w:rPr>
                <w:sz w:val="18"/>
              </w:rPr>
              <w:t>related</w:t>
            </w:r>
            <w:r>
              <w:rPr>
                <w:spacing w:val="-3"/>
                <w:sz w:val="18"/>
              </w:rPr>
              <w:t> </w:t>
            </w:r>
            <w:r>
              <w:rPr>
                <w:sz w:val="18"/>
              </w:rPr>
              <w:t>to</w:t>
            </w:r>
            <w:r>
              <w:rPr>
                <w:spacing w:val="-3"/>
                <w:sz w:val="18"/>
              </w:rPr>
              <w:t> </w:t>
            </w:r>
            <w:r>
              <w:rPr>
                <w:sz w:val="18"/>
              </w:rPr>
              <w:t>the</w:t>
            </w:r>
            <w:r>
              <w:rPr>
                <w:spacing w:val="-2"/>
                <w:sz w:val="18"/>
              </w:rPr>
              <w:t> </w:t>
            </w:r>
            <w:r>
              <w:rPr>
                <w:sz w:val="18"/>
              </w:rPr>
              <w:t>chronic</w:t>
            </w:r>
            <w:r>
              <w:rPr>
                <w:spacing w:val="-2"/>
                <w:sz w:val="18"/>
              </w:rPr>
              <w:t> </w:t>
            </w:r>
            <w:r>
              <w:rPr>
                <w:sz w:val="18"/>
              </w:rPr>
              <w:t>diseases</w:t>
            </w:r>
            <w:r>
              <w:rPr>
                <w:spacing w:val="-5"/>
                <w:sz w:val="18"/>
              </w:rPr>
              <w:t> </w:t>
            </w:r>
            <w:r>
              <w:rPr>
                <w:sz w:val="18"/>
              </w:rPr>
              <w:t>identified</w:t>
            </w:r>
            <w:r>
              <w:rPr>
                <w:spacing w:val="-5"/>
                <w:sz w:val="18"/>
              </w:rPr>
              <w:t> </w:t>
            </w:r>
            <w:r>
              <w:rPr>
                <w:sz w:val="18"/>
              </w:rPr>
              <w:t>in</w:t>
            </w:r>
            <w:r>
              <w:rPr>
                <w:spacing w:val="-47"/>
                <w:sz w:val="18"/>
              </w:rPr>
              <w:t> </w:t>
            </w:r>
            <w:r>
              <w:rPr>
                <w:sz w:val="18"/>
              </w:rPr>
              <w:t>data</w:t>
            </w:r>
            <w:r>
              <w:rPr>
                <w:spacing w:val="-2"/>
                <w:sz w:val="18"/>
              </w:rPr>
              <w:t> </w:t>
            </w:r>
            <w:r>
              <w:rPr>
                <w:sz w:val="18"/>
              </w:rPr>
              <w:t>sources,</w:t>
            </w:r>
            <w:r>
              <w:rPr>
                <w:spacing w:val="-4"/>
                <w:sz w:val="18"/>
              </w:rPr>
              <w:t> </w:t>
            </w:r>
            <w:r>
              <w:rPr>
                <w:sz w:val="18"/>
              </w:rPr>
              <w:t>bed</w:t>
            </w:r>
            <w:r>
              <w:rPr>
                <w:spacing w:val="-2"/>
                <w:sz w:val="18"/>
              </w:rPr>
              <w:t> </w:t>
            </w:r>
            <w:r>
              <w:rPr>
                <w:sz w:val="18"/>
              </w:rPr>
              <w:t>days,</w:t>
            </w:r>
            <w:r>
              <w:rPr>
                <w:spacing w:val="-3"/>
                <w:sz w:val="18"/>
              </w:rPr>
              <w:t> </w:t>
            </w:r>
            <w:r>
              <w:rPr>
                <w:sz w:val="18"/>
              </w:rPr>
              <w:t>and</w:t>
            </w:r>
            <w:r>
              <w:rPr>
                <w:spacing w:val="-1"/>
                <w:sz w:val="18"/>
              </w:rPr>
              <w:t> </w:t>
            </w:r>
            <w:r>
              <w:rPr>
                <w:sz w:val="18"/>
              </w:rPr>
              <w:t>weighted</w:t>
            </w:r>
            <w:r>
              <w:rPr>
                <w:spacing w:val="-2"/>
                <w:sz w:val="18"/>
              </w:rPr>
              <w:t> </w:t>
            </w:r>
            <w:r>
              <w:rPr>
                <w:sz w:val="18"/>
              </w:rPr>
              <w:t>admissions.</w:t>
            </w:r>
          </w:p>
        </w:tc>
      </w:tr>
      <w:tr>
        <w:trPr>
          <w:trHeight w:val="5559" w:hRule="atLeast"/>
        </w:trPr>
        <w:tc>
          <w:tcPr>
            <w:tcW w:w="2691" w:type="dxa"/>
          </w:tcPr>
          <w:p>
            <w:pPr>
              <w:pStyle w:val="TableParagraph"/>
              <w:ind w:left="107" w:right="113"/>
              <w:rPr>
                <w:sz w:val="18"/>
              </w:rPr>
            </w:pPr>
            <w:r>
              <w:rPr>
                <w:sz w:val="18"/>
              </w:rPr>
              <w:t>Key question 4: What are</w:t>
            </w:r>
            <w:r>
              <w:rPr>
                <w:spacing w:val="1"/>
                <w:sz w:val="18"/>
              </w:rPr>
              <w:t> </w:t>
            </w:r>
            <w:r>
              <w:rPr>
                <w:sz w:val="18"/>
              </w:rPr>
              <w:t>the financial effects of the</w:t>
            </w:r>
            <w:r>
              <w:rPr>
                <w:spacing w:val="1"/>
                <w:sz w:val="18"/>
              </w:rPr>
              <w:t> </w:t>
            </w:r>
            <w:r>
              <w:rPr>
                <w:sz w:val="18"/>
              </w:rPr>
              <w:t>HCH</w:t>
            </w:r>
            <w:r>
              <w:rPr>
                <w:spacing w:val="1"/>
                <w:sz w:val="18"/>
              </w:rPr>
              <w:t> </w:t>
            </w:r>
            <w:r>
              <w:rPr>
                <w:sz w:val="18"/>
              </w:rPr>
              <w:t>model on</w:t>
            </w:r>
            <w:r>
              <w:rPr>
                <w:spacing w:val="1"/>
                <w:sz w:val="18"/>
              </w:rPr>
              <w:t> </w:t>
            </w:r>
            <w:r>
              <w:rPr>
                <w:sz w:val="18"/>
              </w:rPr>
              <w:t>governments, providers and</w:t>
            </w:r>
            <w:r>
              <w:rPr>
                <w:spacing w:val="-47"/>
                <w:sz w:val="18"/>
              </w:rPr>
              <w:t> </w:t>
            </w:r>
            <w:r>
              <w:rPr>
                <w:sz w:val="18"/>
              </w:rPr>
              <w:t>individuals?</w:t>
            </w:r>
          </w:p>
        </w:tc>
        <w:tc>
          <w:tcPr>
            <w:tcW w:w="6327" w:type="dxa"/>
          </w:tcPr>
          <w:p>
            <w:pPr>
              <w:pStyle w:val="TableParagraph"/>
              <w:spacing w:line="276" w:lineRule="auto"/>
              <w:ind w:left="105" w:right="85"/>
              <w:rPr>
                <w:sz w:val="18"/>
              </w:rPr>
            </w:pPr>
            <w:r>
              <w:rPr>
                <w:sz w:val="18"/>
              </w:rPr>
              <w:t>Analysis of difference in costs between intervention and comparison</w:t>
            </w:r>
            <w:r>
              <w:rPr>
                <w:spacing w:val="-47"/>
                <w:sz w:val="18"/>
              </w:rPr>
              <w:t> </w:t>
            </w:r>
            <w:r>
              <w:rPr>
                <w:sz w:val="18"/>
              </w:rPr>
              <w:t>groups, from the perspective of government, providers and patients.</w:t>
            </w:r>
            <w:r>
              <w:rPr>
                <w:spacing w:val="-47"/>
                <w:sz w:val="18"/>
              </w:rPr>
              <w:t> </w:t>
            </w:r>
            <w:r>
              <w:rPr>
                <w:sz w:val="18"/>
              </w:rPr>
              <w:t>Costs will be modelled using data on service use. Costs of</w:t>
            </w:r>
            <w:r>
              <w:rPr>
                <w:spacing w:val="1"/>
                <w:sz w:val="18"/>
              </w:rPr>
              <w:t> </w:t>
            </w:r>
            <w:r>
              <w:rPr>
                <w:sz w:val="18"/>
              </w:rPr>
              <w:t>implementation</w:t>
            </w:r>
            <w:r>
              <w:rPr>
                <w:spacing w:val="-4"/>
                <w:sz w:val="18"/>
              </w:rPr>
              <w:t> </w:t>
            </w:r>
            <w:r>
              <w:rPr>
                <w:sz w:val="18"/>
              </w:rPr>
              <w:t>and</w:t>
            </w:r>
            <w:r>
              <w:rPr>
                <w:spacing w:val="-4"/>
                <w:sz w:val="18"/>
              </w:rPr>
              <w:t> </w:t>
            </w:r>
            <w:r>
              <w:rPr>
                <w:sz w:val="18"/>
              </w:rPr>
              <w:t>ongoing</w:t>
            </w:r>
            <w:r>
              <w:rPr>
                <w:spacing w:val="-2"/>
                <w:sz w:val="18"/>
              </w:rPr>
              <w:t> </w:t>
            </w:r>
            <w:r>
              <w:rPr>
                <w:sz w:val="18"/>
              </w:rPr>
              <w:t>management</w:t>
            </w:r>
            <w:r>
              <w:rPr>
                <w:spacing w:val="-5"/>
                <w:sz w:val="18"/>
              </w:rPr>
              <w:t> </w:t>
            </w:r>
            <w:r>
              <w:rPr>
                <w:sz w:val="18"/>
              </w:rPr>
              <w:t>of</w:t>
            </w:r>
            <w:r>
              <w:rPr>
                <w:spacing w:val="-3"/>
                <w:sz w:val="18"/>
              </w:rPr>
              <w:t> </w:t>
            </w:r>
            <w:r>
              <w:rPr>
                <w:sz w:val="18"/>
              </w:rPr>
              <w:t>HCH</w:t>
            </w:r>
            <w:r>
              <w:rPr>
                <w:spacing w:val="-4"/>
                <w:sz w:val="18"/>
              </w:rPr>
              <w:t> </w:t>
            </w:r>
            <w:r>
              <w:rPr>
                <w:sz w:val="18"/>
              </w:rPr>
              <w:t>will</w:t>
            </w:r>
            <w:r>
              <w:rPr>
                <w:spacing w:val="-4"/>
                <w:sz w:val="18"/>
              </w:rPr>
              <w:t> </w:t>
            </w:r>
            <w:r>
              <w:rPr>
                <w:sz w:val="18"/>
              </w:rPr>
              <w:t>be</w:t>
            </w:r>
            <w:r>
              <w:rPr>
                <w:spacing w:val="-3"/>
                <w:sz w:val="18"/>
              </w:rPr>
              <w:t> </w:t>
            </w:r>
            <w:r>
              <w:rPr>
                <w:sz w:val="18"/>
              </w:rPr>
              <w:t>captured</w:t>
            </w:r>
            <w:r>
              <w:rPr>
                <w:spacing w:val="-47"/>
                <w:sz w:val="18"/>
              </w:rPr>
              <w:t> </w:t>
            </w:r>
            <w:r>
              <w:rPr>
                <w:sz w:val="18"/>
              </w:rPr>
              <w:t>from Department of Health data, and interviews with practices and</w:t>
            </w:r>
            <w:r>
              <w:rPr>
                <w:spacing w:val="1"/>
                <w:sz w:val="18"/>
              </w:rPr>
              <w:t> </w:t>
            </w:r>
            <w:r>
              <w:rPr>
                <w:sz w:val="18"/>
              </w:rPr>
              <w:t>PHNs.</w:t>
            </w:r>
          </w:p>
          <w:p>
            <w:pPr>
              <w:pStyle w:val="TableParagraph"/>
              <w:spacing w:line="276" w:lineRule="auto" w:before="120"/>
              <w:ind w:left="105" w:right="85"/>
              <w:rPr>
                <w:sz w:val="18"/>
              </w:rPr>
            </w:pPr>
            <w:r>
              <w:rPr>
                <w:sz w:val="18"/>
              </w:rPr>
              <w:t>The potential to use practice data extracts to estimate the use of</w:t>
            </w:r>
            <w:r>
              <w:rPr>
                <w:spacing w:val="1"/>
                <w:sz w:val="18"/>
              </w:rPr>
              <w:t> </w:t>
            </w:r>
            <w:r>
              <w:rPr>
                <w:sz w:val="18"/>
              </w:rPr>
              <w:t>services</w:t>
            </w:r>
            <w:r>
              <w:rPr>
                <w:spacing w:val="-4"/>
                <w:sz w:val="18"/>
              </w:rPr>
              <w:t> </w:t>
            </w:r>
            <w:r>
              <w:rPr>
                <w:sz w:val="18"/>
              </w:rPr>
              <w:t>provided</w:t>
            </w:r>
            <w:r>
              <w:rPr>
                <w:spacing w:val="-3"/>
                <w:sz w:val="18"/>
              </w:rPr>
              <w:t> </w:t>
            </w:r>
            <w:r>
              <w:rPr>
                <w:sz w:val="18"/>
              </w:rPr>
              <w:t>by</w:t>
            </w:r>
            <w:r>
              <w:rPr>
                <w:spacing w:val="-3"/>
                <w:sz w:val="18"/>
              </w:rPr>
              <w:t> </w:t>
            </w:r>
            <w:r>
              <w:rPr>
                <w:sz w:val="18"/>
              </w:rPr>
              <w:t>the</w:t>
            </w:r>
            <w:r>
              <w:rPr>
                <w:spacing w:val="-2"/>
                <w:sz w:val="18"/>
              </w:rPr>
              <w:t> </w:t>
            </w:r>
            <w:r>
              <w:rPr>
                <w:sz w:val="18"/>
              </w:rPr>
              <w:t>HCH</w:t>
            </w:r>
            <w:r>
              <w:rPr>
                <w:spacing w:val="-4"/>
                <w:sz w:val="18"/>
              </w:rPr>
              <w:t> </w:t>
            </w:r>
            <w:r>
              <w:rPr>
                <w:sz w:val="18"/>
              </w:rPr>
              <w:t>practice</w:t>
            </w:r>
            <w:r>
              <w:rPr>
                <w:spacing w:val="2"/>
                <w:sz w:val="18"/>
              </w:rPr>
              <w:t> </w:t>
            </w:r>
            <w:r>
              <w:rPr>
                <w:sz w:val="18"/>
              </w:rPr>
              <w:t>for</w:t>
            </w:r>
            <w:r>
              <w:rPr>
                <w:spacing w:val="-2"/>
                <w:sz w:val="18"/>
              </w:rPr>
              <w:t> </w:t>
            </w:r>
            <w:r>
              <w:rPr>
                <w:sz w:val="18"/>
              </w:rPr>
              <w:t>which</w:t>
            </w:r>
            <w:r>
              <w:rPr>
                <w:spacing w:val="-3"/>
                <w:sz w:val="18"/>
              </w:rPr>
              <w:t> </w:t>
            </w:r>
            <w:r>
              <w:rPr>
                <w:sz w:val="18"/>
              </w:rPr>
              <w:t>no</w:t>
            </w:r>
            <w:r>
              <w:rPr>
                <w:spacing w:val="-2"/>
                <w:sz w:val="18"/>
              </w:rPr>
              <w:t> </w:t>
            </w:r>
            <w:r>
              <w:rPr>
                <w:sz w:val="18"/>
              </w:rPr>
              <w:t>MBS</w:t>
            </w:r>
            <w:r>
              <w:rPr>
                <w:spacing w:val="-5"/>
                <w:sz w:val="18"/>
              </w:rPr>
              <w:t> </w:t>
            </w:r>
            <w:r>
              <w:rPr>
                <w:sz w:val="18"/>
              </w:rPr>
              <w:t>payment</w:t>
            </w:r>
            <w:r>
              <w:rPr>
                <w:spacing w:val="-4"/>
                <w:sz w:val="18"/>
              </w:rPr>
              <w:t> </w:t>
            </w:r>
            <w:r>
              <w:rPr>
                <w:sz w:val="18"/>
              </w:rPr>
              <w:t>has</w:t>
            </w:r>
            <w:r>
              <w:rPr>
                <w:spacing w:val="-47"/>
                <w:sz w:val="18"/>
              </w:rPr>
              <w:t> </w:t>
            </w:r>
            <w:r>
              <w:rPr>
                <w:sz w:val="18"/>
              </w:rPr>
              <w:t>been made will be explored. If not, these data will be sought through</w:t>
            </w:r>
            <w:r>
              <w:rPr>
                <w:spacing w:val="1"/>
                <w:sz w:val="18"/>
              </w:rPr>
              <w:t> </w:t>
            </w:r>
            <w:r>
              <w:rPr>
                <w:sz w:val="18"/>
              </w:rPr>
              <w:t>other</w:t>
            </w:r>
            <w:r>
              <w:rPr>
                <w:spacing w:val="-2"/>
                <w:sz w:val="18"/>
              </w:rPr>
              <w:t> </w:t>
            </w:r>
            <w:r>
              <w:rPr>
                <w:sz w:val="18"/>
              </w:rPr>
              <w:t>avenues (e.g.</w:t>
            </w:r>
            <w:r>
              <w:rPr>
                <w:spacing w:val="-4"/>
                <w:sz w:val="18"/>
              </w:rPr>
              <w:t> </w:t>
            </w:r>
            <w:r>
              <w:rPr>
                <w:sz w:val="18"/>
              </w:rPr>
              <w:t>a</w:t>
            </w:r>
            <w:r>
              <w:rPr>
                <w:spacing w:val="-1"/>
                <w:sz w:val="18"/>
              </w:rPr>
              <w:t> </w:t>
            </w:r>
            <w:r>
              <w:rPr>
                <w:sz w:val="18"/>
              </w:rPr>
              <w:t>survey</w:t>
            </w:r>
            <w:r>
              <w:rPr>
                <w:spacing w:val="-3"/>
                <w:sz w:val="18"/>
              </w:rPr>
              <w:t> </w:t>
            </w:r>
            <w:r>
              <w:rPr>
                <w:sz w:val="18"/>
              </w:rPr>
              <w:t>of</w:t>
            </w:r>
            <w:r>
              <w:rPr>
                <w:spacing w:val="-2"/>
                <w:sz w:val="18"/>
              </w:rPr>
              <w:t> </w:t>
            </w:r>
            <w:r>
              <w:rPr>
                <w:sz w:val="18"/>
              </w:rPr>
              <w:t>practices</w:t>
            </w:r>
            <w:r>
              <w:rPr>
                <w:spacing w:val="-5"/>
                <w:sz w:val="18"/>
              </w:rPr>
              <w:t> </w:t>
            </w:r>
            <w:r>
              <w:rPr>
                <w:sz w:val="18"/>
              </w:rPr>
              <w:t>for</w:t>
            </w:r>
            <w:r>
              <w:rPr>
                <w:spacing w:val="-3"/>
                <w:sz w:val="18"/>
              </w:rPr>
              <w:t> </w:t>
            </w:r>
            <w:r>
              <w:rPr>
                <w:sz w:val="18"/>
              </w:rPr>
              <w:t>a</w:t>
            </w:r>
            <w:r>
              <w:rPr>
                <w:spacing w:val="-2"/>
                <w:sz w:val="18"/>
              </w:rPr>
              <w:t> </w:t>
            </w:r>
            <w:r>
              <w:rPr>
                <w:sz w:val="18"/>
              </w:rPr>
              <w:t>sample</w:t>
            </w:r>
            <w:r>
              <w:rPr>
                <w:spacing w:val="1"/>
                <w:sz w:val="18"/>
              </w:rPr>
              <w:t> </w:t>
            </w:r>
            <w:r>
              <w:rPr>
                <w:sz w:val="18"/>
              </w:rPr>
              <w:t>of</w:t>
            </w:r>
            <w:r>
              <w:rPr>
                <w:spacing w:val="-2"/>
                <w:sz w:val="18"/>
              </w:rPr>
              <w:t> </w:t>
            </w:r>
            <w:r>
              <w:rPr>
                <w:sz w:val="18"/>
              </w:rPr>
              <w:t>patients).</w:t>
            </w:r>
          </w:p>
          <w:p>
            <w:pPr>
              <w:pStyle w:val="TableParagraph"/>
              <w:spacing w:line="276" w:lineRule="auto"/>
              <w:ind w:left="105" w:right="85"/>
              <w:rPr>
                <w:sz w:val="18"/>
              </w:rPr>
            </w:pPr>
            <w:r>
              <w:rPr>
                <w:sz w:val="18"/>
              </w:rPr>
              <w:t>The data will be used to estimate the difference between actual</w:t>
            </w:r>
            <w:r>
              <w:rPr>
                <w:spacing w:val="1"/>
                <w:sz w:val="18"/>
              </w:rPr>
              <w:t> </w:t>
            </w:r>
            <w:r>
              <w:rPr>
                <w:sz w:val="18"/>
              </w:rPr>
              <w:t>revenue from the HCH payment and the MBS revenue a practice</w:t>
            </w:r>
            <w:r>
              <w:rPr>
                <w:spacing w:val="1"/>
                <w:sz w:val="18"/>
              </w:rPr>
              <w:t> </w:t>
            </w:r>
            <w:r>
              <w:rPr>
                <w:sz w:val="18"/>
              </w:rPr>
              <w:t>would achieve outside the model, to determine the financial impact</w:t>
            </w:r>
            <w:r>
              <w:rPr>
                <w:spacing w:val="1"/>
                <w:sz w:val="18"/>
              </w:rPr>
              <w:t> </w:t>
            </w:r>
            <w:r>
              <w:rPr>
                <w:sz w:val="18"/>
              </w:rPr>
              <w:t>on</w:t>
            </w:r>
            <w:r>
              <w:rPr>
                <w:spacing w:val="-3"/>
                <w:sz w:val="18"/>
              </w:rPr>
              <w:t> </w:t>
            </w:r>
            <w:r>
              <w:rPr>
                <w:sz w:val="18"/>
              </w:rPr>
              <w:t>the</w:t>
            </w:r>
            <w:r>
              <w:rPr>
                <w:spacing w:val="-2"/>
                <w:sz w:val="18"/>
              </w:rPr>
              <w:t> </w:t>
            </w:r>
            <w:r>
              <w:rPr>
                <w:sz w:val="18"/>
              </w:rPr>
              <w:t>practice.</w:t>
            </w:r>
            <w:r>
              <w:rPr>
                <w:spacing w:val="-5"/>
                <w:sz w:val="18"/>
              </w:rPr>
              <w:t> </w:t>
            </w:r>
            <w:r>
              <w:rPr>
                <w:sz w:val="18"/>
              </w:rPr>
              <w:t>Data</w:t>
            </w:r>
            <w:r>
              <w:rPr>
                <w:spacing w:val="-3"/>
                <w:sz w:val="18"/>
              </w:rPr>
              <w:t> </w:t>
            </w:r>
            <w:r>
              <w:rPr>
                <w:sz w:val="18"/>
              </w:rPr>
              <w:t>from</w:t>
            </w:r>
            <w:r>
              <w:rPr>
                <w:spacing w:val="-3"/>
                <w:sz w:val="18"/>
              </w:rPr>
              <w:t> </w:t>
            </w:r>
            <w:r>
              <w:rPr>
                <w:sz w:val="18"/>
              </w:rPr>
              <w:t>practices</w:t>
            </w:r>
            <w:r>
              <w:rPr>
                <w:spacing w:val="-4"/>
                <w:sz w:val="18"/>
              </w:rPr>
              <w:t> </w:t>
            </w:r>
            <w:r>
              <w:rPr>
                <w:sz w:val="18"/>
              </w:rPr>
              <w:t>will</w:t>
            </w:r>
            <w:r>
              <w:rPr>
                <w:spacing w:val="-3"/>
                <w:sz w:val="18"/>
              </w:rPr>
              <w:t> </w:t>
            </w:r>
            <w:r>
              <w:rPr>
                <w:sz w:val="18"/>
              </w:rPr>
              <w:t>be</w:t>
            </w:r>
            <w:r>
              <w:rPr>
                <w:spacing w:val="-3"/>
                <w:sz w:val="18"/>
              </w:rPr>
              <w:t> </w:t>
            </w:r>
            <w:r>
              <w:rPr>
                <w:sz w:val="18"/>
              </w:rPr>
              <w:t>obtained</w:t>
            </w:r>
            <w:r>
              <w:rPr>
                <w:spacing w:val="-3"/>
                <w:sz w:val="18"/>
              </w:rPr>
              <w:t> </w:t>
            </w:r>
            <w:r>
              <w:rPr>
                <w:sz w:val="18"/>
              </w:rPr>
              <w:t>to</w:t>
            </w:r>
            <w:r>
              <w:rPr>
                <w:spacing w:val="-3"/>
                <w:sz w:val="18"/>
              </w:rPr>
              <w:t> </w:t>
            </w:r>
            <w:r>
              <w:rPr>
                <w:sz w:val="18"/>
              </w:rPr>
              <w:t>estimate</w:t>
            </w:r>
            <w:r>
              <w:rPr>
                <w:spacing w:val="-3"/>
                <w:sz w:val="18"/>
              </w:rPr>
              <w:t> </w:t>
            </w:r>
            <w:r>
              <w:rPr>
                <w:sz w:val="18"/>
              </w:rPr>
              <w:t>the</w:t>
            </w:r>
            <w:r>
              <w:rPr>
                <w:spacing w:val="-47"/>
                <w:sz w:val="18"/>
              </w:rPr>
              <w:t> </w:t>
            </w:r>
            <w:r>
              <w:rPr>
                <w:sz w:val="18"/>
              </w:rPr>
              <w:t>additional costs of new initiatives within the practice that have</w:t>
            </w:r>
            <w:r>
              <w:rPr>
                <w:spacing w:val="1"/>
                <w:sz w:val="18"/>
              </w:rPr>
              <w:t> </w:t>
            </w:r>
            <w:r>
              <w:rPr>
                <w:sz w:val="18"/>
              </w:rPr>
              <w:t>occurred</w:t>
            </w:r>
            <w:r>
              <w:rPr>
                <w:spacing w:val="-2"/>
                <w:sz w:val="18"/>
              </w:rPr>
              <w:t> </w:t>
            </w:r>
            <w:r>
              <w:rPr>
                <w:sz w:val="18"/>
              </w:rPr>
              <w:t>as</w:t>
            </w:r>
            <w:r>
              <w:rPr>
                <w:spacing w:val="-1"/>
                <w:sz w:val="18"/>
              </w:rPr>
              <w:t> </w:t>
            </w:r>
            <w:r>
              <w:rPr>
                <w:sz w:val="18"/>
              </w:rPr>
              <w:t>a</w:t>
            </w:r>
            <w:r>
              <w:rPr>
                <w:spacing w:val="-4"/>
                <w:sz w:val="18"/>
              </w:rPr>
              <w:t> </w:t>
            </w:r>
            <w:r>
              <w:rPr>
                <w:sz w:val="18"/>
              </w:rPr>
              <w:t>result</w:t>
            </w:r>
            <w:r>
              <w:rPr>
                <w:spacing w:val="-2"/>
                <w:sz w:val="18"/>
              </w:rPr>
              <w:t> </w:t>
            </w:r>
            <w:r>
              <w:rPr>
                <w:sz w:val="18"/>
              </w:rPr>
              <w:t>of</w:t>
            </w:r>
            <w:r>
              <w:rPr>
                <w:spacing w:val="1"/>
                <w:sz w:val="18"/>
              </w:rPr>
              <w:t> </w:t>
            </w:r>
            <w:r>
              <w:rPr>
                <w:sz w:val="18"/>
              </w:rPr>
              <w:t>the</w:t>
            </w:r>
            <w:r>
              <w:rPr>
                <w:spacing w:val="-1"/>
                <w:sz w:val="18"/>
              </w:rPr>
              <w:t> </w:t>
            </w:r>
            <w:r>
              <w:rPr>
                <w:sz w:val="18"/>
              </w:rPr>
              <w:t>HCH implementation.</w:t>
            </w:r>
          </w:p>
          <w:p>
            <w:pPr>
              <w:pStyle w:val="TableParagraph"/>
              <w:spacing w:line="276" w:lineRule="auto" w:before="119"/>
              <w:ind w:left="105" w:right="264"/>
              <w:rPr>
                <w:sz w:val="18"/>
              </w:rPr>
            </w:pPr>
            <w:r>
              <w:rPr>
                <w:sz w:val="18"/>
              </w:rPr>
              <w:t>Cost</w:t>
            </w:r>
            <w:r>
              <w:rPr>
                <w:spacing w:val="-4"/>
                <w:sz w:val="18"/>
              </w:rPr>
              <w:t> </w:t>
            </w:r>
            <w:r>
              <w:rPr>
                <w:sz w:val="18"/>
              </w:rPr>
              <w:t>minimisation/</w:t>
            </w:r>
            <w:r>
              <w:rPr>
                <w:spacing w:val="-4"/>
                <w:sz w:val="18"/>
              </w:rPr>
              <w:t> </w:t>
            </w:r>
            <w:r>
              <w:rPr>
                <w:sz w:val="18"/>
              </w:rPr>
              <w:t>effectiveness</w:t>
            </w:r>
            <w:r>
              <w:rPr>
                <w:spacing w:val="-5"/>
                <w:sz w:val="18"/>
              </w:rPr>
              <w:t> </w:t>
            </w:r>
            <w:r>
              <w:rPr>
                <w:sz w:val="18"/>
              </w:rPr>
              <w:t>analysis</w:t>
            </w:r>
            <w:r>
              <w:rPr>
                <w:spacing w:val="-6"/>
                <w:sz w:val="18"/>
              </w:rPr>
              <w:t> </w:t>
            </w:r>
            <w:r>
              <w:rPr>
                <w:sz w:val="18"/>
              </w:rPr>
              <w:t>will</w:t>
            </w:r>
            <w:r>
              <w:rPr>
                <w:spacing w:val="-5"/>
                <w:sz w:val="18"/>
              </w:rPr>
              <w:t> </w:t>
            </w:r>
            <w:r>
              <w:rPr>
                <w:sz w:val="18"/>
              </w:rPr>
              <w:t>be</w:t>
            </w:r>
            <w:r>
              <w:rPr>
                <w:spacing w:val="-6"/>
                <w:sz w:val="18"/>
              </w:rPr>
              <w:t> </w:t>
            </w:r>
            <w:r>
              <w:rPr>
                <w:sz w:val="18"/>
              </w:rPr>
              <w:t>undertaken</w:t>
            </w:r>
            <w:r>
              <w:rPr>
                <w:spacing w:val="-4"/>
                <w:sz w:val="18"/>
              </w:rPr>
              <w:t> </w:t>
            </w:r>
            <w:r>
              <w:rPr>
                <w:sz w:val="18"/>
              </w:rPr>
              <w:t>using</w:t>
            </w:r>
            <w:r>
              <w:rPr>
                <w:spacing w:val="-47"/>
                <w:sz w:val="18"/>
              </w:rPr>
              <w:t> </w:t>
            </w:r>
            <w:r>
              <w:rPr>
                <w:sz w:val="18"/>
              </w:rPr>
              <w:t>modelling</w:t>
            </w:r>
            <w:r>
              <w:rPr>
                <w:spacing w:val="-3"/>
                <w:sz w:val="18"/>
              </w:rPr>
              <w:t> </w:t>
            </w:r>
            <w:r>
              <w:rPr>
                <w:sz w:val="18"/>
              </w:rPr>
              <w:t>based</w:t>
            </w:r>
            <w:r>
              <w:rPr>
                <w:spacing w:val="-1"/>
                <w:sz w:val="18"/>
              </w:rPr>
              <w:t> </w:t>
            </w:r>
            <w:r>
              <w:rPr>
                <w:sz w:val="18"/>
              </w:rPr>
              <w:t>on these data.</w:t>
            </w:r>
          </w:p>
          <w:p>
            <w:pPr>
              <w:pStyle w:val="TableParagraph"/>
              <w:spacing w:line="276" w:lineRule="auto" w:before="121"/>
              <w:ind w:left="105" w:right="264"/>
              <w:rPr>
                <w:sz w:val="18"/>
              </w:rPr>
            </w:pPr>
            <w:r>
              <w:rPr>
                <w:sz w:val="18"/>
              </w:rPr>
              <w:t>Modelling</w:t>
            </w:r>
            <w:r>
              <w:rPr>
                <w:spacing w:val="-5"/>
                <w:sz w:val="18"/>
              </w:rPr>
              <w:t> </w:t>
            </w:r>
            <w:r>
              <w:rPr>
                <w:sz w:val="18"/>
              </w:rPr>
              <w:t>will</w:t>
            </w:r>
            <w:r>
              <w:rPr>
                <w:spacing w:val="-5"/>
                <w:sz w:val="18"/>
              </w:rPr>
              <w:t> </w:t>
            </w:r>
            <w:r>
              <w:rPr>
                <w:sz w:val="18"/>
              </w:rPr>
              <w:t>be</w:t>
            </w:r>
            <w:r>
              <w:rPr>
                <w:spacing w:val="-2"/>
                <w:sz w:val="18"/>
              </w:rPr>
              <w:t> </w:t>
            </w:r>
            <w:r>
              <w:rPr>
                <w:sz w:val="18"/>
              </w:rPr>
              <w:t>undertaken</w:t>
            </w:r>
            <w:r>
              <w:rPr>
                <w:spacing w:val="-2"/>
                <w:sz w:val="18"/>
              </w:rPr>
              <w:t> </w:t>
            </w:r>
            <w:r>
              <w:rPr>
                <w:sz w:val="18"/>
              </w:rPr>
              <w:t>to</w:t>
            </w:r>
            <w:r>
              <w:rPr>
                <w:spacing w:val="-3"/>
                <w:sz w:val="18"/>
              </w:rPr>
              <w:t> </w:t>
            </w:r>
            <w:r>
              <w:rPr>
                <w:sz w:val="18"/>
              </w:rPr>
              <w:t>estimate</w:t>
            </w:r>
            <w:r>
              <w:rPr>
                <w:spacing w:val="-3"/>
                <w:sz w:val="18"/>
              </w:rPr>
              <w:t> </w:t>
            </w:r>
            <w:r>
              <w:rPr>
                <w:sz w:val="18"/>
              </w:rPr>
              <w:t>the</w:t>
            </w:r>
            <w:r>
              <w:rPr>
                <w:spacing w:val="-2"/>
                <w:sz w:val="18"/>
              </w:rPr>
              <w:t> </w:t>
            </w:r>
            <w:r>
              <w:rPr>
                <w:sz w:val="18"/>
              </w:rPr>
              <w:t>cost</w:t>
            </w:r>
            <w:r>
              <w:rPr>
                <w:spacing w:val="-4"/>
                <w:sz w:val="18"/>
              </w:rPr>
              <w:t> </w:t>
            </w:r>
            <w:r>
              <w:rPr>
                <w:sz w:val="18"/>
              </w:rPr>
              <w:t>to</w:t>
            </w:r>
            <w:r>
              <w:rPr>
                <w:spacing w:val="-3"/>
                <w:sz w:val="18"/>
              </w:rPr>
              <w:t> </w:t>
            </w:r>
            <w:r>
              <w:rPr>
                <w:sz w:val="18"/>
              </w:rPr>
              <w:t>government</w:t>
            </w:r>
            <w:r>
              <w:rPr>
                <w:spacing w:val="-4"/>
                <w:sz w:val="18"/>
              </w:rPr>
              <w:t> </w:t>
            </w:r>
            <w:r>
              <w:rPr>
                <w:sz w:val="18"/>
              </w:rPr>
              <w:t>of</w:t>
            </w:r>
            <w:r>
              <w:rPr>
                <w:spacing w:val="-47"/>
                <w:sz w:val="18"/>
              </w:rPr>
              <w:t> </w:t>
            </w:r>
            <w:r>
              <w:rPr>
                <w:sz w:val="18"/>
              </w:rPr>
              <w:t>further</w:t>
            </w:r>
            <w:r>
              <w:rPr>
                <w:spacing w:val="-1"/>
                <w:sz w:val="18"/>
              </w:rPr>
              <w:t> </w:t>
            </w:r>
            <w:r>
              <w:rPr>
                <w:sz w:val="18"/>
              </w:rPr>
              <w:t>rollout</w:t>
            </w:r>
            <w:r>
              <w:rPr>
                <w:spacing w:val="-1"/>
                <w:sz w:val="18"/>
              </w:rPr>
              <w:t> </w:t>
            </w:r>
            <w:r>
              <w:rPr>
                <w:sz w:val="18"/>
              </w:rPr>
              <w:t>of HCH.</w:t>
            </w:r>
          </w:p>
        </w:tc>
      </w:tr>
    </w:tbl>
    <w:p>
      <w:pPr>
        <w:pStyle w:val="BodyText"/>
        <w:spacing w:before="10"/>
        <w:rPr>
          <w:b/>
          <w:sz w:val="14"/>
        </w:rPr>
      </w:pPr>
    </w:p>
    <w:p>
      <w:pPr>
        <w:pStyle w:val="Heading2"/>
        <w:spacing w:before="100"/>
      </w:pPr>
      <w:bookmarkStart w:name="_bookmark29" w:id="30"/>
      <w:bookmarkEnd w:id="30"/>
      <w:r>
        <w:rPr/>
      </w:r>
      <w:r>
        <w:rPr>
          <w:color w:val="003C79"/>
        </w:rPr>
        <w:t>Before-</w:t>
      </w:r>
      <w:r>
        <w:rPr>
          <w:color w:val="003C79"/>
          <w:spacing w:val="-6"/>
        </w:rPr>
        <w:t> </w:t>
      </w:r>
      <w:r>
        <w:rPr>
          <w:color w:val="003C79"/>
        </w:rPr>
        <w:t>and-after</w:t>
      </w:r>
      <w:r>
        <w:rPr>
          <w:color w:val="003C79"/>
          <w:spacing w:val="-6"/>
        </w:rPr>
        <w:t> </w:t>
      </w:r>
      <w:r>
        <w:rPr>
          <w:color w:val="003C79"/>
        </w:rPr>
        <w:t>and</w:t>
      </w:r>
      <w:r>
        <w:rPr>
          <w:color w:val="003C79"/>
          <w:spacing w:val="-3"/>
        </w:rPr>
        <w:t> </w:t>
      </w:r>
      <w:r>
        <w:rPr>
          <w:color w:val="003C79"/>
        </w:rPr>
        <w:t>cross-sectional</w:t>
      </w:r>
      <w:r>
        <w:rPr>
          <w:color w:val="003C79"/>
          <w:spacing w:val="-2"/>
        </w:rPr>
        <w:t> </w:t>
      </w:r>
      <w:r>
        <w:rPr>
          <w:color w:val="003C79"/>
        </w:rPr>
        <w:t>analyses</w:t>
      </w:r>
    </w:p>
    <w:p>
      <w:pPr>
        <w:pStyle w:val="BodyText"/>
        <w:spacing w:line="276" w:lineRule="auto" w:before="259"/>
        <w:ind w:left="860" w:right="1288"/>
      </w:pPr>
      <w:r>
        <w:rPr/>
        <w:t>In addition to estimating effects of the HCH for a set of outcomes, the evaluation will collect</w:t>
      </w:r>
      <w:r>
        <w:rPr>
          <w:spacing w:val="-53"/>
        </w:rPr>
        <w:t> </w:t>
      </w:r>
      <w:r>
        <w:rPr/>
        <w:t>data from the HCH practices and patients for which no comparisons will be available. The</w:t>
      </w:r>
      <w:r>
        <w:rPr>
          <w:spacing w:val="1"/>
        </w:rPr>
        <w:t> </w:t>
      </w:r>
      <w:r>
        <w:rPr/>
        <w:t>absence of a comparison group limits the capacity to draw conclusions about whether any</w:t>
      </w:r>
      <w:r>
        <w:rPr>
          <w:spacing w:val="-53"/>
        </w:rPr>
        <w:t> </w:t>
      </w:r>
      <w:r>
        <w:rPr/>
        <w:t>changes observed within the practices and/ or patients are an improvement on usual care,</w:t>
      </w:r>
      <w:r>
        <w:rPr>
          <w:spacing w:val="-53"/>
        </w:rPr>
        <w:t> </w:t>
      </w:r>
      <w:r>
        <w:rPr/>
        <w:t>or</w:t>
      </w:r>
      <w:r>
        <w:rPr>
          <w:spacing w:val="-2"/>
        </w:rPr>
        <w:t> </w:t>
      </w:r>
      <w:r>
        <w:rPr/>
        <w:t>may have</w:t>
      </w:r>
      <w:r>
        <w:rPr>
          <w:spacing w:val="-2"/>
        </w:rPr>
        <w:t> </w:t>
      </w:r>
      <w:r>
        <w:rPr/>
        <w:t>occurred</w:t>
      </w:r>
      <w:r>
        <w:rPr>
          <w:spacing w:val="-1"/>
        </w:rPr>
        <w:t> </w:t>
      </w:r>
      <w:r>
        <w:rPr/>
        <w:t>in</w:t>
      </w:r>
      <w:r>
        <w:rPr>
          <w:spacing w:val="2"/>
        </w:rPr>
        <w:t> </w:t>
      </w:r>
      <w:r>
        <w:rPr/>
        <w:t>the</w:t>
      </w:r>
      <w:r>
        <w:rPr>
          <w:spacing w:val="-1"/>
        </w:rPr>
        <w:t> </w:t>
      </w:r>
      <w:r>
        <w:rPr/>
        <w:t>absence</w:t>
      </w:r>
      <w:r>
        <w:rPr>
          <w:spacing w:val="-1"/>
        </w:rPr>
        <w:t> </w:t>
      </w:r>
      <w:r>
        <w:rPr/>
        <w:t>of</w:t>
      </w:r>
      <w:r>
        <w:rPr>
          <w:spacing w:val="1"/>
        </w:rPr>
        <w:t> </w:t>
      </w:r>
      <w:r>
        <w:rPr/>
        <w:t>the HCH</w:t>
      </w:r>
      <w:r>
        <w:rPr>
          <w:spacing w:val="-1"/>
        </w:rPr>
        <w:t> </w:t>
      </w:r>
      <w:r>
        <w:rPr/>
        <w:t>intervention.</w:t>
      </w:r>
    </w:p>
    <w:p>
      <w:pPr>
        <w:pStyle w:val="BodyText"/>
        <w:spacing w:line="276" w:lineRule="auto" w:before="200"/>
        <w:ind w:left="860" w:right="1222"/>
      </w:pPr>
      <w:r>
        <w:rPr/>
        <w:t>Some analyses will be cross-sectional, for example, comparing the practices that have been</w:t>
      </w:r>
      <w:r>
        <w:rPr>
          <w:spacing w:val="-53"/>
        </w:rPr>
        <w:t> </w:t>
      </w:r>
      <w:r>
        <w:rPr/>
        <w:t>recruited into the HCH program with the full population of practices. These analyses will be</w:t>
      </w:r>
      <w:r>
        <w:rPr>
          <w:spacing w:val="1"/>
        </w:rPr>
        <w:t> </w:t>
      </w:r>
      <w:r>
        <w:rPr/>
        <w:t>important in considering the applicability of the evidence generated from the evaluation to</w:t>
      </w:r>
      <w:r>
        <w:rPr>
          <w:spacing w:val="1"/>
        </w:rPr>
        <w:t> </w:t>
      </w:r>
      <w:r>
        <w:rPr/>
        <w:t>the</w:t>
      </w:r>
      <w:r>
        <w:rPr>
          <w:spacing w:val="-2"/>
        </w:rPr>
        <w:t> </w:t>
      </w:r>
      <w:r>
        <w:rPr/>
        <w:t>full population of</w:t>
      </w:r>
      <w:r>
        <w:rPr>
          <w:spacing w:val="-1"/>
        </w:rPr>
        <w:t> </w:t>
      </w:r>
      <w:r>
        <w:rPr/>
        <w:t>practices.</w:t>
      </w:r>
    </w:p>
    <w:p>
      <w:pPr>
        <w:pStyle w:val="BodyText"/>
        <w:spacing w:line="276" w:lineRule="auto" w:before="202"/>
        <w:ind w:left="860" w:right="1236"/>
      </w:pPr>
      <w:r>
        <w:rPr/>
        <w:t>The</w:t>
      </w:r>
      <w:r>
        <w:rPr>
          <w:spacing w:val="-4"/>
        </w:rPr>
        <w:t> </w:t>
      </w:r>
      <w:r>
        <w:rPr/>
        <w:t>key</w:t>
      </w:r>
      <w:r>
        <w:rPr>
          <w:spacing w:val="-5"/>
        </w:rPr>
        <w:t> </w:t>
      </w:r>
      <w:r>
        <w:rPr/>
        <w:t>questions</w:t>
      </w:r>
      <w:r>
        <w:rPr>
          <w:spacing w:val="-3"/>
        </w:rPr>
        <w:t> </w:t>
      </w:r>
      <w:r>
        <w:rPr/>
        <w:t>to</w:t>
      </w:r>
      <w:r>
        <w:rPr>
          <w:spacing w:val="-4"/>
        </w:rPr>
        <w:t> </w:t>
      </w:r>
      <w:r>
        <w:rPr/>
        <w:t>be</w:t>
      </w:r>
      <w:r>
        <w:rPr>
          <w:spacing w:val="-1"/>
        </w:rPr>
        <w:t> </w:t>
      </w:r>
      <w:r>
        <w:rPr/>
        <w:t>addressed</w:t>
      </w:r>
      <w:r>
        <w:rPr>
          <w:spacing w:val="-3"/>
        </w:rPr>
        <w:t> </w:t>
      </w:r>
      <w:r>
        <w:rPr/>
        <w:t>through</w:t>
      </w:r>
      <w:r>
        <w:rPr>
          <w:spacing w:val="-3"/>
        </w:rPr>
        <w:t> </w:t>
      </w:r>
      <w:r>
        <w:rPr/>
        <w:t>these</w:t>
      </w:r>
      <w:r>
        <w:rPr>
          <w:spacing w:val="-4"/>
        </w:rPr>
        <w:t> </w:t>
      </w:r>
      <w:r>
        <w:rPr/>
        <w:t>additional</w:t>
      </w:r>
      <w:r>
        <w:rPr>
          <w:spacing w:val="-2"/>
        </w:rPr>
        <w:t> </w:t>
      </w:r>
      <w:r>
        <w:rPr/>
        <w:t>components</w:t>
      </w:r>
      <w:r>
        <w:rPr>
          <w:spacing w:val="-7"/>
        </w:rPr>
        <w:t> </w:t>
      </w:r>
      <w:r>
        <w:rPr/>
        <w:t>of</w:t>
      </w:r>
      <w:r>
        <w:rPr>
          <w:spacing w:val="-3"/>
        </w:rPr>
        <w:t> </w:t>
      </w:r>
      <w:r>
        <w:rPr/>
        <w:t>the</w:t>
      </w:r>
      <w:r>
        <w:rPr>
          <w:spacing w:val="-4"/>
        </w:rPr>
        <w:t> </w:t>
      </w:r>
      <w:r>
        <w:rPr/>
        <w:t>evaluation,</w:t>
      </w:r>
      <w:r>
        <w:rPr>
          <w:spacing w:val="-53"/>
        </w:rPr>
        <w:t> </w:t>
      </w:r>
      <w:r>
        <w:rPr/>
        <w:t>and the approach to addressing these through before-and-after analysis and qualitative</w:t>
      </w:r>
      <w:r>
        <w:rPr>
          <w:spacing w:val="1"/>
        </w:rPr>
        <w:t> </w:t>
      </w:r>
      <w:r>
        <w:rPr/>
        <w:t>analysis,</w:t>
      </w:r>
      <w:r>
        <w:rPr>
          <w:spacing w:val="-4"/>
        </w:rPr>
        <w:t> </w:t>
      </w:r>
      <w:r>
        <w:rPr/>
        <w:t>are</w:t>
      </w:r>
      <w:r>
        <w:rPr>
          <w:spacing w:val="-1"/>
        </w:rPr>
        <w:t> </w:t>
      </w:r>
      <w:r>
        <w:rPr/>
        <w:t>described</w:t>
      </w:r>
      <w:r>
        <w:rPr>
          <w:spacing w:val="-1"/>
        </w:rPr>
        <w:t> </w:t>
      </w:r>
      <w:r>
        <w:rPr/>
        <w:t>in</w:t>
      </w:r>
      <w:r>
        <w:rPr>
          <w:spacing w:val="4"/>
        </w:rPr>
        <w:t> </w:t>
      </w:r>
      <w:hyperlink w:history="true" w:anchor="_bookmark30">
        <w:r>
          <w:rPr/>
          <w:t>Table 12.</w:t>
        </w:r>
      </w:hyperlink>
    </w:p>
    <w:p>
      <w:pPr>
        <w:spacing w:after="0" w:line="276" w:lineRule="auto"/>
        <w:sectPr>
          <w:type w:val="continuous"/>
          <w:pgSz w:w="11910" w:h="16840"/>
          <w:pgMar w:header="0" w:footer="675" w:top="1420" w:bottom="860" w:left="580" w:right="280"/>
        </w:sectPr>
      </w:pPr>
    </w:p>
    <w:p>
      <w:pPr>
        <w:spacing w:before="80"/>
        <w:ind w:left="1158" w:right="0" w:firstLine="0"/>
        <w:jc w:val="left"/>
        <w:rPr>
          <w:b/>
          <w:sz w:val="18"/>
        </w:rPr>
      </w:pPr>
      <w:bookmarkStart w:name="_bookmark30" w:id="31"/>
      <w:bookmarkEnd w:id="31"/>
      <w:r>
        <w:rPr/>
      </w:r>
      <w:r>
        <w:rPr>
          <w:b/>
          <w:sz w:val="18"/>
        </w:rPr>
        <w:t>Table</w:t>
      </w:r>
      <w:r>
        <w:rPr>
          <w:b/>
          <w:spacing w:val="-3"/>
          <w:sz w:val="18"/>
        </w:rPr>
        <w:t> </w:t>
      </w:r>
      <w:r>
        <w:rPr>
          <w:b/>
          <w:sz w:val="18"/>
        </w:rPr>
        <w:t>12</w:t>
      </w:r>
      <w:r>
        <w:rPr>
          <w:b/>
          <w:spacing w:val="-5"/>
          <w:sz w:val="18"/>
        </w:rPr>
        <w:t> </w:t>
      </w:r>
      <w:r>
        <w:rPr>
          <w:b/>
          <w:sz w:val="18"/>
        </w:rPr>
        <w:t>–</w:t>
      </w:r>
      <w:r>
        <w:rPr>
          <w:b/>
          <w:spacing w:val="-2"/>
          <w:sz w:val="18"/>
        </w:rPr>
        <w:t> </w:t>
      </w:r>
      <w:r>
        <w:rPr>
          <w:b/>
          <w:sz w:val="18"/>
        </w:rPr>
        <w:t>Key</w:t>
      </w:r>
      <w:r>
        <w:rPr>
          <w:b/>
          <w:spacing w:val="-2"/>
          <w:sz w:val="18"/>
        </w:rPr>
        <w:t> </w:t>
      </w:r>
      <w:r>
        <w:rPr>
          <w:b/>
          <w:sz w:val="18"/>
        </w:rPr>
        <w:t>questions</w:t>
      </w:r>
      <w:r>
        <w:rPr>
          <w:b/>
          <w:spacing w:val="-2"/>
          <w:sz w:val="18"/>
        </w:rPr>
        <w:t> </w:t>
      </w:r>
      <w:r>
        <w:rPr>
          <w:b/>
          <w:sz w:val="18"/>
        </w:rPr>
        <w:t>to</w:t>
      </w:r>
      <w:r>
        <w:rPr>
          <w:b/>
          <w:spacing w:val="-4"/>
          <w:sz w:val="18"/>
        </w:rPr>
        <w:t> </w:t>
      </w:r>
      <w:r>
        <w:rPr>
          <w:b/>
          <w:sz w:val="18"/>
        </w:rPr>
        <w:t>be</w:t>
      </w:r>
      <w:r>
        <w:rPr>
          <w:b/>
          <w:spacing w:val="-3"/>
          <w:sz w:val="18"/>
        </w:rPr>
        <w:t> </w:t>
      </w:r>
      <w:r>
        <w:rPr>
          <w:b/>
          <w:sz w:val="18"/>
        </w:rPr>
        <w:t>evaluated</w:t>
      </w:r>
      <w:r>
        <w:rPr>
          <w:b/>
          <w:spacing w:val="-2"/>
          <w:sz w:val="18"/>
        </w:rPr>
        <w:t> </w:t>
      </w:r>
      <w:r>
        <w:rPr>
          <w:b/>
          <w:sz w:val="18"/>
        </w:rPr>
        <w:t>through</w:t>
      </w:r>
      <w:r>
        <w:rPr>
          <w:b/>
          <w:spacing w:val="-3"/>
          <w:sz w:val="18"/>
        </w:rPr>
        <w:t> </w:t>
      </w:r>
      <w:r>
        <w:rPr>
          <w:b/>
          <w:sz w:val="18"/>
        </w:rPr>
        <w:t>before-</w:t>
      </w:r>
      <w:r>
        <w:rPr>
          <w:b/>
          <w:spacing w:val="-2"/>
          <w:sz w:val="18"/>
        </w:rPr>
        <w:t> </w:t>
      </w:r>
      <w:r>
        <w:rPr>
          <w:b/>
          <w:sz w:val="18"/>
        </w:rPr>
        <w:t>and-after</w:t>
      </w:r>
      <w:r>
        <w:rPr>
          <w:b/>
          <w:spacing w:val="-3"/>
          <w:sz w:val="18"/>
        </w:rPr>
        <w:t> </w:t>
      </w:r>
      <w:r>
        <w:rPr>
          <w:b/>
          <w:sz w:val="18"/>
        </w:rPr>
        <w:t>and</w:t>
      </w:r>
      <w:r>
        <w:rPr>
          <w:b/>
          <w:spacing w:val="-2"/>
          <w:sz w:val="18"/>
        </w:rPr>
        <w:t> </w:t>
      </w:r>
      <w:r>
        <w:rPr>
          <w:b/>
          <w:sz w:val="18"/>
        </w:rPr>
        <w:t>cross-sectional</w:t>
      </w:r>
      <w:r>
        <w:rPr>
          <w:b/>
          <w:spacing w:val="-2"/>
          <w:sz w:val="18"/>
        </w:rPr>
        <w:t> </w:t>
      </w:r>
      <w:r>
        <w:rPr>
          <w:b/>
          <w:sz w:val="18"/>
        </w:rPr>
        <w:t>analyses</w:t>
      </w:r>
    </w:p>
    <w:p>
      <w:pPr>
        <w:pStyle w:val="BodyText"/>
        <w:spacing w:before="5"/>
        <w:rPr>
          <w:b/>
          <w:sz w:val="7"/>
        </w:rPr>
      </w:pPr>
    </w:p>
    <w:tbl>
      <w:tblPr>
        <w:tblW w:w="0" w:type="auto"/>
        <w:jc w:val="left"/>
        <w:tblInd w:w="87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2547"/>
        <w:gridCol w:w="6471"/>
      </w:tblGrid>
      <w:tr>
        <w:trPr>
          <w:trHeight w:val="340" w:hRule="atLeast"/>
        </w:trPr>
        <w:tc>
          <w:tcPr>
            <w:tcW w:w="2547" w:type="dxa"/>
            <w:shd w:val="clear" w:color="auto" w:fill="003C79"/>
          </w:tcPr>
          <w:p>
            <w:pPr>
              <w:pStyle w:val="TableParagraph"/>
              <w:spacing w:line="219" w:lineRule="exact"/>
              <w:ind w:left="710"/>
              <w:rPr>
                <w:b/>
                <w:sz w:val="18"/>
              </w:rPr>
            </w:pPr>
            <w:r>
              <w:rPr>
                <w:b/>
                <w:color w:val="FFFFFF"/>
                <w:sz w:val="18"/>
              </w:rPr>
              <w:t>Key</w:t>
            </w:r>
            <w:r>
              <w:rPr>
                <w:b/>
                <w:color w:val="FFFFFF"/>
                <w:spacing w:val="-1"/>
                <w:sz w:val="18"/>
              </w:rPr>
              <w:t> </w:t>
            </w:r>
            <w:r>
              <w:rPr>
                <w:b/>
                <w:color w:val="FFFFFF"/>
                <w:sz w:val="18"/>
              </w:rPr>
              <w:t>question</w:t>
            </w:r>
          </w:p>
        </w:tc>
        <w:tc>
          <w:tcPr>
            <w:tcW w:w="6471" w:type="dxa"/>
            <w:shd w:val="clear" w:color="auto" w:fill="003C79"/>
          </w:tcPr>
          <w:p>
            <w:pPr>
              <w:pStyle w:val="TableParagraph"/>
              <w:spacing w:line="219" w:lineRule="exact"/>
              <w:ind w:left="2160" w:right="2152"/>
              <w:jc w:val="center"/>
              <w:rPr>
                <w:b/>
                <w:sz w:val="18"/>
              </w:rPr>
            </w:pPr>
            <w:r>
              <w:rPr>
                <w:b/>
                <w:color w:val="FFFFFF"/>
                <w:sz w:val="18"/>
              </w:rPr>
              <w:t>Description</w:t>
            </w:r>
            <w:r>
              <w:rPr>
                <w:b/>
                <w:color w:val="FFFFFF"/>
                <w:spacing w:val="-3"/>
                <w:sz w:val="18"/>
              </w:rPr>
              <w:t> </w:t>
            </w:r>
            <w:r>
              <w:rPr>
                <w:b/>
                <w:color w:val="FFFFFF"/>
                <w:sz w:val="18"/>
              </w:rPr>
              <w:t>of</w:t>
            </w:r>
            <w:r>
              <w:rPr>
                <w:b/>
                <w:color w:val="FFFFFF"/>
                <w:spacing w:val="-3"/>
                <w:sz w:val="18"/>
              </w:rPr>
              <w:t> </w:t>
            </w:r>
            <w:r>
              <w:rPr>
                <w:b/>
                <w:color w:val="FFFFFF"/>
                <w:sz w:val="18"/>
              </w:rPr>
              <w:t>approach</w:t>
            </w:r>
          </w:p>
        </w:tc>
      </w:tr>
      <w:tr>
        <w:trPr>
          <w:trHeight w:val="1885" w:hRule="atLeast"/>
        </w:trPr>
        <w:tc>
          <w:tcPr>
            <w:tcW w:w="2547" w:type="dxa"/>
          </w:tcPr>
          <w:p>
            <w:pPr>
              <w:pStyle w:val="TableParagraph"/>
              <w:ind w:left="107" w:right="277"/>
              <w:rPr>
                <w:sz w:val="18"/>
              </w:rPr>
            </w:pPr>
            <w:r>
              <w:rPr>
                <w:sz w:val="18"/>
              </w:rPr>
              <w:t>Key</w:t>
            </w:r>
            <w:r>
              <w:rPr>
                <w:spacing w:val="-3"/>
                <w:sz w:val="18"/>
              </w:rPr>
              <w:t> </w:t>
            </w:r>
            <w:r>
              <w:rPr>
                <w:sz w:val="18"/>
              </w:rPr>
              <w:t>question</w:t>
            </w:r>
            <w:r>
              <w:rPr>
                <w:spacing w:val="-3"/>
                <w:sz w:val="18"/>
              </w:rPr>
              <w:t> </w:t>
            </w:r>
            <w:r>
              <w:rPr>
                <w:sz w:val="18"/>
              </w:rPr>
              <w:t>1:</w:t>
            </w:r>
            <w:r>
              <w:rPr>
                <w:spacing w:val="-4"/>
                <w:sz w:val="18"/>
              </w:rPr>
              <w:t> </w:t>
            </w:r>
            <w:r>
              <w:rPr>
                <w:sz w:val="18"/>
              </w:rPr>
              <w:t>How</w:t>
            </w:r>
            <w:r>
              <w:rPr>
                <w:spacing w:val="-3"/>
                <w:sz w:val="18"/>
              </w:rPr>
              <w:t> </w:t>
            </w:r>
            <w:r>
              <w:rPr>
                <w:sz w:val="18"/>
              </w:rPr>
              <w:t>was</w:t>
            </w:r>
            <w:r>
              <w:rPr>
                <w:spacing w:val="-47"/>
                <w:sz w:val="18"/>
              </w:rPr>
              <w:t> </w:t>
            </w:r>
            <w:r>
              <w:rPr>
                <w:sz w:val="18"/>
              </w:rPr>
              <w:t>the HCH model</w:t>
            </w:r>
            <w:r>
              <w:rPr>
                <w:spacing w:val="1"/>
                <w:sz w:val="18"/>
              </w:rPr>
              <w:t> </w:t>
            </w:r>
            <w:r>
              <w:rPr>
                <w:sz w:val="18"/>
              </w:rPr>
              <w:t>implemented and what</w:t>
            </w:r>
            <w:r>
              <w:rPr>
                <w:spacing w:val="1"/>
                <w:sz w:val="18"/>
              </w:rPr>
              <w:t> </w:t>
            </w:r>
            <w:r>
              <w:rPr>
                <w:sz w:val="18"/>
              </w:rPr>
              <w:t>were the barriers and</w:t>
            </w:r>
            <w:r>
              <w:rPr>
                <w:spacing w:val="1"/>
                <w:sz w:val="18"/>
              </w:rPr>
              <w:t> </w:t>
            </w:r>
            <w:r>
              <w:rPr>
                <w:sz w:val="18"/>
              </w:rPr>
              <w:t>enablers?</w:t>
            </w:r>
          </w:p>
        </w:tc>
        <w:tc>
          <w:tcPr>
            <w:tcW w:w="6471" w:type="dxa"/>
          </w:tcPr>
          <w:p>
            <w:pPr>
              <w:pStyle w:val="TableParagraph"/>
              <w:ind w:left="107" w:right="197"/>
              <w:rPr>
                <w:sz w:val="18"/>
              </w:rPr>
            </w:pPr>
            <w:r>
              <w:rPr>
                <w:sz w:val="18"/>
              </w:rPr>
              <w:t>Analysis of quantitative and qualitative information on how the</w:t>
            </w:r>
            <w:r>
              <w:rPr>
                <w:spacing w:val="1"/>
                <w:sz w:val="18"/>
              </w:rPr>
              <w:t> </w:t>
            </w:r>
            <w:r>
              <w:rPr>
                <w:sz w:val="18"/>
              </w:rPr>
              <w:t>program was implemented, with a focus on identifying enablers and</w:t>
            </w:r>
            <w:r>
              <w:rPr>
                <w:spacing w:val="1"/>
                <w:sz w:val="18"/>
              </w:rPr>
              <w:t> </w:t>
            </w:r>
            <w:r>
              <w:rPr>
                <w:sz w:val="18"/>
              </w:rPr>
              <w:t>barriers that could be enhanced or addressed in subsequent stages of</w:t>
            </w:r>
            <w:r>
              <w:rPr>
                <w:spacing w:val="-47"/>
                <w:sz w:val="18"/>
              </w:rPr>
              <w:t> </w:t>
            </w:r>
            <w:r>
              <w:rPr>
                <w:sz w:val="18"/>
              </w:rPr>
              <w:t>the implementation of HCH. This will include analysis of aspects of the</w:t>
            </w:r>
            <w:r>
              <w:rPr>
                <w:spacing w:val="1"/>
                <w:sz w:val="18"/>
              </w:rPr>
              <w:t> </w:t>
            </w:r>
            <w:r>
              <w:rPr>
                <w:sz w:val="18"/>
              </w:rPr>
              <w:t>enrolment process (e.g. how well the risk stratification process worked,</w:t>
            </w:r>
            <w:r>
              <w:rPr>
                <w:spacing w:val="-47"/>
                <w:sz w:val="18"/>
              </w:rPr>
              <w:t> </w:t>
            </w:r>
            <w:r>
              <w:rPr>
                <w:sz w:val="18"/>
              </w:rPr>
              <w:t>proportions of patients willing to be enrolled in the program),</w:t>
            </w:r>
            <w:r>
              <w:rPr>
                <w:spacing w:val="1"/>
                <w:sz w:val="18"/>
              </w:rPr>
              <w:t> </w:t>
            </w:r>
            <w:r>
              <w:rPr>
                <w:sz w:val="18"/>
              </w:rPr>
              <w:t>effectiveness and utility of training provided, and PHN support to</w:t>
            </w:r>
            <w:r>
              <w:rPr>
                <w:spacing w:val="1"/>
                <w:sz w:val="18"/>
              </w:rPr>
              <w:t> </w:t>
            </w:r>
            <w:r>
              <w:rPr>
                <w:sz w:val="18"/>
              </w:rPr>
              <w:t>practices.</w:t>
            </w:r>
          </w:p>
        </w:tc>
      </w:tr>
      <w:tr>
        <w:trPr>
          <w:trHeight w:val="3129" w:hRule="atLeast"/>
        </w:trPr>
        <w:tc>
          <w:tcPr>
            <w:tcW w:w="2547" w:type="dxa"/>
          </w:tcPr>
          <w:p>
            <w:pPr>
              <w:pStyle w:val="TableParagraph"/>
              <w:ind w:left="107" w:right="104"/>
              <w:rPr>
                <w:sz w:val="18"/>
              </w:rPr>
            </w:pPr>
            <w:r>
              <w:rPr>
                <w:sz w:val="18"/>
              </w:rPr>
              <w:t>Key question 2: How does</w:t>
            </w:r>
            <w:r>
              <w:rPr>
                <w:spacing w:val="1"/>
                <w:sz w:val="18"/>
              </w:rPr>
              <w:t> </w:t>
            </w:r>
            <w:r>
              <w:rPr>
                <w:sz w:val="18"/>
              </w:rPr>
              <w:t>the HCH model change</w:t>
            </w:r>
            <w:r>
              <w:rPr>
                <w:spacing w:val="1"/>
                <w:sz w:val="18"/>
              </w:rPr>
              <w:t> </w:t>
            </w:r>
            <w:r>
              <w:rPr>
                <w:sz w:val="18"/>
              </w:rPr>
              <w:t>the way practices</w:t>
            </w:r>
            <w:r>
              <w:rPr>
                <w:spacing w:val="1"/>
                <w:sz w:val="18"/>
              </w:rPr>
              <w:t> </w:t>
            </w:r>
            <w:r>
              <w:rPr>
                <w:sz w:val="18"/>
              </w:rPr>
              <w:t>approach chronic disease</w:t>
            </w:r>
            <w:r>
              <w:rPr>
                <w:spacing w:val="-47"/>
                <w:sz w:val="18"/>
              </w:rPr>
              <w:t> </w:t>
            </w:r>
            <w:r>
              <w:rPr>
                <w:sz w:val="18"/>
              </w:rPr>
              <w:t>management?</w:t>
            </w:r>
          </w:p>
        </w:tc>
        <w:tc>
          <w:tcPr>
            <w:tcW w:w="6471" w:type="dxa"/>
          </w:tcPr>
          <w:p>
            <w:pPr>
              <w:pStyle w:val="TableParagraph"/>
              <w:ind w:left="107" w:right="197"/>
              <w:rPr>
                <w:sz w:val="18"/>
              </w:rPr>
            </w:pPr>
            <w:r>
              <w:rPr>
                <w:sz w:val="18"/>
              </w:rPr>
              <w:t>Some</w:t>
            </w:r>
            <w:r>
              <w:rPr>
                <w:spacing w:val="-3"/>
                <w:sz w:val="18"/>
              </w:rPr>
              <w:t> </w:t>
            </w:r>
            <w:r>
              <w:rPr>
                <w:sz w:val="18"/>
              </w:rPr>
              <w:t>aspects</w:t>
            </w:r>
            <w:r>
              <w:rPr>
                <w:spacing w:val="-4"/>
                <w:sz w:val="18"/>
              </w:rPr>
              <w:t> </w:t>
            </w:r>
            <w:r>
              <w:rPr>
                <w:sz w:val="18"/>
              </w:rPr>
              <w:t>of</w:t>
            </w:r>
            <w:r>
              <w:rPr>
                <w:spacing w:val="-3"/>
                <w:sz w:val="18"/>
              </w:rPr>
              <w:t> </w:t>
            </w:r>
            <w:r>
              <w:rPr>
                <w:sz w:val="18"/>
              </w:rPr>
              <w:t>this</w:t>
            </w:r>
            <w:r>
              <w:rPr>
                <w:spacing w:val="-3"/>
                <w:sz w:val="18"/>
              </w:rPr>
              <w:t> </w:t>
            </w:r>
            <w:r>
              <w:rPr>
                <w:sz w:val="18"/>
              </w:rPr>
              <w:t>question</w:t>
            </w:r>
            <w:r>
              <w:rPr>
                <w:spacing w:val="-3"/>
                <w:sz w:val="18"/>
              </w:rPr>
              <w:t> </w:t>
            </w:r>
            <w:r>
              <w:rPr>
                <w:sz w:val="18"/>
              </w:rPr>
              <w:t>will</w:t>
            </w:r>
            <w:r>
              <w:rPr>
                <w:spacing w:val="-4"/>
                <w:sz w:val="18"/>
              </w:rPr>
              <w:t> </w:t>
            </w:r>
            <w:r>
              <w:rPr>
                <w:sz w:val="18"/>
              </w:rPr>
              <w:t>also</w:t>
            </w:r>
            <w:r>
              <w:rPr>
                <w:spacing w:val="-3"/>
                <w:sz w:val="18"/>
              </w:rPr>
              <w:t> </w:t>
            </w:r>
            <w:r>
              <w:rPr>
                <w:sz w:val="18"/>
              </w:rPr>
              <w:t>be</w:t>
            </w:r>
            <w:r>
              <w:rPr>
                <w:spacing w:val="-3"/>
                <w:sz w:val="18"/>
              </w:rPr>
              <w:t> </w:t>
            </w:r>
            <w:r>
              <w:rPr>
                <w:sz w:val="18"/>
              </w:rPr>
              <w:t>addressed</w:t>
            </w:r>
            <w:r>
              <w:rPr>
                <w:spacing w:val="-4"/>
                <w:sz w:val="18"/>
              </w:rPr>
              <w:t> </w:t>
            </w:r>
            <w:r>
              <w:rPr>
                <w:sz w:val="18"/>
              </w:rPr>
              <w:t>from</w:t>
            </w:r>
            <w:r>
              <w:rPr>
                <w:spacing w:val="-4"/>
                <w:sz w:val="18"/>
              </w:rPr>
              <w:t> </w:t>
            </w:r>
            <w:r>
              <w:rPr>
                <w:sz w:val="18"/>
              </w:rPr>
              <w:t>the</w:t>
            </w:r>
            <w:r>
              <w:rPr>
                <w:spacing w:val="-2"/>
                <w:sz w:val="18"/>
              </w:rPr>
              <w:t> </w:t>
            </w:r>
            <w:r>
              <w:rPr>
                <w:sz w:val="18"/>
              </w:rPr>
              <w:t>analysis</w:t>
            </w:r>
            <w:r>
              <w:rPr>
                <w:spacing w:val="-47"/>
                <w:sz w:val="18"/>
              </w:rPr>
              <w:t> </w:t>
            </w:r>
            <w:r>
              <w:rPr>
                <w:sz w:val="18"/>
              </w:rPr>
              <w:t>described</w:t>
            </w:r>
            <w:r>
              <w:rPr>
                <w:spacing w:val="-2"/>
                <w:sz w:val="18"/>
              </w:rPr>
              <w:t> </w:t>
            </w:r>
            <w:r>
              <w:rPr>
                <w:sz w:val="18"/>
              </w:rPr>
              <w:t>under Key question 1.</w:t>
            </w:r>
          </w:p>
          <w:p>
            <w:pPr>
              <w:pStyle w:val="TableParagraph"/>
              <w:spacing w:before="119"/>
              <w:ind w:left="107"/>
              <w:rPr>
                <w:sz w:val="18"/>
              </w:rPr>
            </w:pPr>
            <w:r>
              <w:rPr>
                <w:sz w:val="18"/>
              </w:rPr>
              <w:t>Quantitative</w:t>
            </w:r>
            <w:r>
              <w:rPr>
                <w:spacing w:val="-4"/>
                <w:sz w:val="18"/>
              </w:rPr>
              <w:t> </w:t>
            </w:r>
            <w:r>
              <w:rPr>
                <w:sz w:val="18"/>
              </w:rPr>
              <w:t>and</w:t>
            </w:r>
            <w:r>
              <w:rPr>
                <w:spacing w:val="-4"/>
                <w:sz w:val="18"/>
              </w:rPr>
              <w:t> </w:t>
            </w:r>
            <w:r>
              <w:rPr>
                <w:sz w:val="18"/>
              </w:rPr>
              <w:t>qualitative</w:t>
            </w:r>
            <w:r>
              <w:rPr>
                <w:spacing w:val="-3"/>
                <w:sz w:val="18"/>
              </w:rPr>
              <w:t> </w:t>
            </w:r>
            <w:r>
              <w:rPr>
                <w:sz w:val="18"/>
              </w:rPr>
              <w:t>data</w:t>
            </w:r>
            <w:r>
              <w:rPr>
                <w:spacing w:val="-4"/>
                <w:sz w:val="18"/>
              </w:rPr>
              <w:t> </w:t>
            </w:r>
            <w:r>
              <w:rPr>
                <w:sz w:val="18"/>
              </w:rPr>
              <w:t>obtained</w:t>
            </w:r>
            <w:r>
              <w:rPr>
                <w:spacing w:val="-5"/>
                <w:sz w:val="18"/>
              </w:rPr>
              <w:t> </w:t>
            </w:r>
            <w:r>
              <w:rPr>
                <w:sz w:val="18"/>
              </w:rPr>
              <w:t>from</w:t>
            </w:r>
            <w:r>
              <w:rPr>
                <w:spacing w:val="-7"/>
                <w:sz w:val="18"/>
              </w:rPr>
              <w:t> </w:t>
            </w:r>
            <w:r>
              <w:rPr>
                <w:sz w:val="18"/>
              </w:rPr>
              <w:t>practices</w:t>
            </w:r>
            <w:r>
              <w:rPr>
                <w:spacing w:val="-4"/>
                <w:sz w:val="18"/>
              </w:rPr>
              <w:t> </w:t>
            </w:r>
            <w:r>
              <w:rPr>
                <w:sz w:val="18"/>
              </w:rPr>
              <w:t>on</w:t>
            </w:r>
            <w:r>
              <w:rPr>
                <w:spacing w:val="-3"/>
                <w:sz w:val="18"/>
              </w:rPr>
              <w:t> </w:t>
            </w:r>
            <w:r>
              <w:rPr>
                <w:sz w:val="18"/>
              </w:rPr>
              <w:t>structural</w:t>
            </w:r>
            <w:r>
              <w:rPr>
                <w:spacing w:val="-47"/>
                <w:sz w:val="18"/>
              </w:rPr>
              <w:t> </w:t>
            </w:r>
            <w:r>
              <w:rPr>
                <w:sz w:val="18"/>
              </w:rPr>
              <w:t>and process attributes at the commencement of the HCH</w:t>
            </w:r>
            <w:r>
              <w:rPr>
                <w:spacing w:val="1"/>
                <w:sz w:val="18"/>
              </w:rPr>
              <w:t> </w:t>
            </w:r>
            <w:r>
              <w:rPr>
                <w:sz w:val="18"/>
              </w:rPr>
              <w:t>implementation and following implementation (12- and 24-month time</w:t>
            </w:r>
            <w:r>
              <w:rPr>
                <w:spacing w:val="1"/>
                <w:sz w:val="18"/>
              </w:rPr>
              <w:t> </w:t>
            </w:r>
            <w:r>
              <w:rPr>
                <w:sz w:val="18"/>
              </w:rPr>
              <w:t>points). This will include for example, changes in recording key clinical</w:t>
            </w:r>
            <w:r>
              <w:rPr>
                <w:spacing w:val="1"/>
                <w:sz w:val="18"/>
              </w:rPr>
              <w:t> </w:t>
            </w:r>
            <w:r>
              <w:rPr>
                <w:sz w:val="18"/>
              </w:rPr>
              <w:t>measures,</w:t>
            </w:r>
            <w:r>
              <w:rPr>
                <w:spacing w:val="-3"/>
                <w:sz w:val="18"/>
              </w:rPr>
              <w:t> </w:t>
            </w:r>
            <w:r>
              <w:rPr>
                <w:sz w:val="18"/>
              </w:rPr>
              <w:t>such as</w:t>
            </w:r>
            <w:r>
              <w:rPr>
                <w:spacing w:val="-1"/>
                <w:sz w:val="18"/>
              </w:rPr>
              <w:t> </w:t>
            </w:r>
            <w:r>
              <w:rPr>
                <w:sz w:val="18"/>
              </w:rPr>
              <w:t>blood</w:t>
            </w:r>
            <w:r>
              <w:rPr>
                <w:spacing w:val="-1"/>
                <w:sz w:val="18"/>
              </w:rPr>
              <w:t> </w:t>
            </w:r>
            <w:r>
              <w:rPr>
                <w:sz w:val="18"/>
              </w:rPr>
              <w:t>pressure.</w:t>
            </w:r>
          </w:p>
          <w:p>
            <w:pPr>
              <w:pStyle w:val="TableParagraph"/>
              <w:spacing w:before="121"/>
              <w:ind w:left="107" w:right="197"/>
              <w:rPr>
                <w:sz w:val="18"/>
              </w:rPr>
            </w:pPr>
            <w:r>
              <w:rPr>
                <w:sz w:val="18"/>
              </w:rPr>
              <w:t>Quantitative</w:t>
            </w:r>
            <w:r>
              <w:rPr>
                <w:spacing w:val="-3"/>
                <w:sz w:val="18"/>
              </w:rPr>
              <w:t> </w:t>
            </w:r>
            <w:r>
              <w:rPr>
                <w:sz w:val="18"/>
              </w:rPr>
              <w:t>and</w:t>
            </w:r>
            <w:r>
              <w:rPr>
                <w:spacing w:val="-4"/>
                <w:sz w:val="18"/>
              </w:rPr>
              <w:t> </w:t>
            </w:r>
            <w:r>
              <w:rPr>
                <w:sz w:val="18"/>
              </w:rPr>
              <w:t>qualitative</w:t>
            </w:r>
            <w:r>
              <w:rPr>
                <w:spacing w:val="-3"/>
                <w:sz w:val="18"/>
              </w:rPr>
              <w:t> </w:t>
            </w:r>
            <w:r>
              <w:rPr>
                <w:sz w:val="18"/>
              </w:rPr>
              <w:t>data</w:t>
            </w:r>
            <w:r>
              <w:rPr>
                <w:spacing w:val="-3"/>
                <w:sz w:val="18"/>
              </w:rPr>
              <w:t> </w:t>
            </w:r>
            <w:r>
              <w:rPr>
                <w:sz w:val="18"/>
              </w:rPr>
              <w:t>from</w:t>
            </w:r>
            <w:r>
              <w:rPr>
                <w:spacing w:val="-7"/>
                <w:sz w:val="18"/>
              </w:rPr>
              <w:t> </w:t>
            </w:r>
            <w:r>
              <w:rPr>
                <w:sz w:val="18"/>
              </w:rPr>
              <w:t>practices</w:t>
            </w:r>
            <w:r>
              <w:rPr>
                <w:spacing w:val="-4"/>
                <w:sz w:val="18"/>
              </w:rPr>
              <w:t> </w:t>
            </w:r>
            <w:r>
              <w:rPr>
                <w:sz w:val="18"/>
              </w:rPr>
              <w:t>on</w:t>
            </w:r>
            <w:r>
              <w:rPr>
                <w:spacing w:val="-2"/>
                <w:sz w:val="18"/>
              </w:rPr>
              <w:t> </w:t>
            </w:r>
            <w:r>
              <w:rPr>
                <w:sz w:val="18"/>
              </w:rPr>
              <w:t>the</w:t>
            </w:r>
            <w:r>
              <w:rPr>
                <w:spacing w:val="-3"/>
                <w:sz w:val="18"/>
              </w:rPr>
              <w:t> </w:t>
            </w:r>
            <w:r>
              <w:rPr>
                <w:sz w:val="18"/>
              </w:rPr>
              <w:t>processes</w:t>
            </w:r>
            <w:r>
              <w:rPr>
                <w:spacing w:val="-6"/>
                <w:sz w:val="18"/>
              </w:rPr>
              <w:t> </w:t>
            </w:r>
            <w:r>
              <w:rPr>
                <w:sz w:val="18"/>
              </w:rPr>
              <w:t>of</w:t>
            </w:r>
            <w:r>
              <w:rPr>
                <w:spacing w:val="-46"/>
                <w:sz w:val="18"/>
              </w:rPr>
              <w:t> </w:t>
            </w:r>
            <w:r>
              <w:rPr>
                <w:sz w:val="18"/>
              </w:rPr>
              <w:t>implementation</w:t>
            </w:r>
            <w:r>
              <w:rPr>
                <w:spacing w:val="-1"/>
                <w:sz w:val="18"/>
              </w:rPr>
              <w:t> </w:t>
            </w:r>
            <w:r>
              <w:rPr>
                <w:sz w:val="18"/>
              </w:rPr>
              <w:t>of changes</w:t>
            </w:r>
            <w:r>
              <w:rPr>
                <w:spacing w:val="-4"/>
                <w:sz w:val="18"/>
              </w:rPr>
              <w:t> </w:t>
            </w:r>
            <w:r>
              <w:rPr>
                <w:sz w:val="18"/>
              </w:rPr>
              <w:t>prompted</w:t>
            </w:r>
            <w:r>
              <w:rPr>
                <w:spacing w:val="-1"/>
                <w:sz w:val="18"/>
              </w:rPr>
              <w:t> </w:t>
            </w:r>
            <w:r>
              <w:rPr>
                <w:sz w:val="18"/>
              </w:rPr>
              <w:t>by</w:t>
            </w:r>
            <w:r>
              <w:rPr>
                <w:spacing w:val="-1"/>
                <w:sz w:val="18"/>
              </w:rPr>
              <w:t> </w:t>
            </w:r>
            <w:r>
              <w:rPr>
                <w:sz w:val="18"/>
              </w:rPr>
              <w:t>HCH.</w:t>
            </w:r>
          </w:p>
          <w:p>
            <w:pPr>
              <w:pStyle w:val="TableParagraph"/>
              <w:spacing w:before="120"/>
              <w:ind w:left="107"/>
              <w:rPr>
                <w:sz w:val="18"/>
              </w:rPr>
            </w:pPr>
            <w:r>
              <w:rPr>
                <w:sz w:val="18"/>
              </w:rPr>
              <w:t>Primary care clinicians and other staff quantitative and qualitative</w:t>
            </w:r>
            <w:r>
              <w:rPr>
                <w:spacing w:val="1"/>
                <w:sz w:val="18"/>
              </w:rPr>
              <w:t> </w:t>
            </w:r>
            <w:r>
              <w:rPr>
                <w:sz w:val="18"/>
              </w:rPr>
              <w:t>assessments</w:t>
            </w:r>
            <w:r>
              <w:rPr>
                <w:spacing w:val="-4"/>
                <w:sz w:val="18"/>
              </w:rPr>
              <w:t> </w:t>
            </w:r>
            <w:r>
              <w:rPr>
                <w:sz w:val="18"/>
              </w:rPr>
              <w:t>of</w:t>
            </w:r>
            <w:r>
              <w:rPr>
                <w:spacing w:val="-3"/>
                <w:sz w:val="18"/>
              </w:rPr>
              <w:t> </w:t>
            </w:r>
            <w:r>
              <w:rPr>
                <w:sz w:val="18"/>
              </w:rPr>
              <w:t>the</w:t>
            </w:r>
            <w:r>
              <w:rPr>
                <w:spacing w:val="-2"/>
                <w:sz w:val="18"/>
              </w:rPr>
              <w:t> </w:t>
            </w:r>
            <w:r>
              <w:rPr>
                <w:sz w:val="18"/>
              </w:rPr>
              <w:t>experience</w:t>
            </w:r>
            <w:r>
              <w:rPr>
                <w:spacing w:val="-3"/>
                <w:sz w:val="18"/>
              </w:rPr>
              <w:t> </w:t>
            </w:r>
            <w:r>
              <w:rPr>
                <w:sz w:val="18"/>
              </w:rPr>
              <w:t>of</w:t>
            </w:r>
            <w:r>
              <w:rPr>
                <w:spacing w:val="-4"/>
                <w:sz w:val="18"/>
              </w:rPr>
              <w:t> </w:t>
            </w:r>
            <w:r>
              <w:rPr>
                <w:sz w:val="18"/>
              </w:rPr>
              <w:t>delivering</w:t>
            </w:r>
            <w:r>
              <w:rPr>
                <w:spacing w:val="-1"/>
                <w:sz w:val="18"/>
              </w:rPr>
              <w:t> </w:t>
            </w:r>
            <w:r>
              <w:rPr>
                <w:sz w:val="18"/>
              </w:rPr>
              <w:t>care</w:t>
            </w:r>
            <w:r>
              <w:rPr>
                <w:spacing w:val="-3"/>
                <w:sz w:val="18"/>
              </w:rPr>
              <w:t> </w:t>
            </w:r>
            <w:r>
              <w:rPr>
                <w:sz w:val="18"/>
              </w:rPr>
              <w:t>as</w:t>
            </w:r>
            <w:r>
              <w:rPr>
                <w:spacing w:val="-4"/>
                <w:sz w:val="18"/>
              </w:rPr>
              <w:t> </w:t>
            </w:r>
            <w:r>
              <w:rPr>
                <w:sz w:val="18"/>
              </w:rPr>
              <w:t>a</w:t>
            </w:r>
            <w:r>
              <w:rPr>
                <w:spacing w:val="-3"/>
                <w:sz w:val="18"/>
              </w:rPr>
              <w:t> </w:t>
            </w:r>
            <w:r>
              <w:rPr>
                <w:sz w:val="18"/>
              </w:rPr>
              <w:t>HCH,</w:t>
            </w:r>
            <w:r>
              <w:rPr>
                <w:spacing w:val="-5"/>
                <w:sz w:val="18"/>
              </w:rPr>
              <w:t> </w:t>
            </w:r>
            <w:r>
              <w:rPr>
                <w:sz w:val="18"/>
              </w:rPr>
              <w:t>at</w:t>
            </w:r>
            <w:r>
              <w:rPr>
                <w:spacing w:val="-4"/>
                <w:sz w:val="18"/>
              </w:rPr>
              <w:t> </w:t>
            </w:r>
            <w:r>
              <w:rPr>
                <w:sz w:val="18"/>
              </w:rPr>
              <w:t>selected</w:t>
            </w:r>
            <w:r>
              <w:rPr>
                <w:spacing w:val="-47"/>
                <w:sz w:val="18"/>
              </w:rPr>
              <w:t> </w:t>
            </w:r>
            <w:r>
              <w:rPr>
                <w:sz w:val="18"/>
              </w:rPr>
              <w:t>points</w:t>
            </w:r>
            <w:r>
              <w:rPr>
                <w:spacing w:val="-2"/>
                <w:sz w:val="18"/>
              </w:rPr>
              <w:t> </w:t>
            </w:r>
            <w:r>
              <w:rPr>
                <w:sz w:val="18"/>
              </w:rPr>
              <w:t>post implementation.</w:t>
            </w:r>
          </w:p>
        </w:tc>
      </w:tr>
      <w:tr>
        <w:trPr>
          <w:trHeight w:val="1785" w:hRule="atLeast"/>
        </w:trPr>
        <w:tc>
          <w:tcPr>
            <w:tcW w:w="2547" w:type="dxa"/>
          </w:tcPr>
          <w:p>
            <w:pPr>
              <w:pStyle w:val="TableParagraph"/>
              <w:ind w:left="107" w:right="199"/>
              <w:rPr>
                <w:sz w:val="18"/>
              </w:rPr>
            </w:pPr>
            <w:r>
              <w:rPr>
                <w:sz w:val="18"/>
              </w:rPr>
              <w:t>Key question 3: Do</w:t>
            </w:r>
            <w:r>
              <w:rPr>
                <w:spacing w:val="1"/>
                <w:sz w:val="18"/>
              </w:rPr>
              <w:t> </w:t>
            </w:r>
            <w:r>
              <w:rPr>
                <w:sz w:val="18"/>
              </w:rPr>
              <w:t>patients enrolled in HCH</w:t>
            </w:r>
            <w:r>
              <w:rPr>
                <w:spacing w:val="1"/>
                <w:sz w:val="18"/>
              </w:rPr>
              <w:t> </w:t>
            </w:r>
            <w:r>
              <w:rPr>
                <w:sz w:val="18"/>
              </w:rPr>
              <w:t>experience better quality</w:t>
            </w:r>
            <w:r>
              <w:rPr>
                <w:spacing w:val="-47"/>
                <w:sz w:val="18"/>
              </w:rPr>
              <w:t> </w:t>
            </w:r>
            <w:r>
              <w:rPr>
                <w:sz w:val="18"/>
              </w:rPr>
              <w:t>care?</w:t>
            </w:r>
          </w:p>
        </w:tc>
        <w:tc>
          <w:tcPr>
            <w:tcW w:w="6471" w:type="dxa"/>
          </w:tcPr>
          <w:p>
            <w:pPr>
              <w:pStyle w:val="TableParagraph"/>
              <w:ind w:left="107" w:right="356"/>
              <w:rPr>
                <w:sz w:val="18"/>
              </w:rPr>
            </w:pPr>
            <w:r>
              <w:rPr>
                <w:sz w:val="18"/>
              </w:rPr>
              <w:t>Patient assessment of key dimensions of quality of care and care</w:t>
            </w:r>
            <w:r>
              <w:rPr>
                <w:spacing w:val="1"/>
                <w:sz w:val="18"/>
              </w:rPr>
              <w:t> </w:t>
            </w:r>
            <w:r>
              <w:rPr>
                <w:sz w:val="18"/>
              </w:rPr>
              <w:t>coordination at the time of enrolment to HCH and at selected points</w:t>
            </w:r>
            <w:r>
              <w:rPr>
                <w:spacing w:val="-47"/>
                <w:sz w:val="18"/>
              </w:rPr>
              <w:t> </w:t>
            </w:r>
            <w:r>
              <w:rPr>
                <w:sz w:val="18"/>
              </w:rPr>
              <w:t>post</w:t>
            </w:r>
            <w:r>
              <w:rPr>
                <w:spacing w:val="-3"/>
                <w:sz w:val="18"/>
              </w:rPr>
              <w:t> </w:t>
            </w:r>
            <w:r>
              <w:rPr>
                <w:sz w:val="18"/>
              </w:rPr>
              <w:t>enrolment.</w:t>
            </w:r>
          </w:p>
          <w:p>
            <w:pPr>
              <w:pStyle w:val="TableParagraph"/>
              <w:spacing w:before="119"/>
              <w:ind w:left="107" w:right="162"/>
              <w:rPr>
                <w:sz w:val="18"/>
              </w:rPr>
            </w:pPr>
            <w:r>
              <w:rPr>
                <w:sz w:val="18"/>
              </w:rPr>
              <w:t>Measures of change in clinical processes associated with the</w:t>
            </w:r>
            <w:r>
              <w:rPr>
                <w:spacing w:val="1"/>
                <w:sz w:val="18"/>
              </w:rPr>
              <w:t> </w:t>
            </w:r>
            <w:r>
              <w:rPr>
                <w:sz w:val="18"/>
              </w:rPr>
              <w:t>implementation of HCH, including measures of preventive services and</w:t>
            </w:r>
            <w:r>
              <w:rPr>
                <w:spacing w:val="-47"/>
                <w:sz w:val="18"/>
              </w:rPr>
              <w:t> </w:t>
            </w:r>
            <w:r>
              <w:rPr>
                <w:sz w:val="18"/>
              </w:rPr>
              <w:t>of appropriate care consistent with clinical guidelines for the</w:t>
            </w:r>
            <w:r>
              <w:rPr>
                <w:spacing w:val="1"/>
                <w:sz w:val="18"/>
              </w:rPr>
              <w:t> </w:t>
            </w:r>
            <w:r>
              <w:rPr>
                <w:sz w:val="18"/>
              </w:rPr>
              <w:t>management</w:t>
            </w:r>
            <w:r>
              <w:rPr>
                <w:spacing w:val="-3"/>
                <w:sz w:val="18"/>
              </w:rPr>
              <w:t> </w:t>
            </w:r>
            <w:r>
              <w:rPr>
                <w:sz w:val="18"/>
              </w:rPr>
              <w:t>of</w:t>
            </w:r>
            <w:r>
              <w:rPr>
                <w:spacing w:val="1"/>
                <w:sz w:val="18"/>
              </w:rPr>
              <w:t> </w:t>
            </w:r>
            <w:r>
              <w:rPr>
                <w:sz w:val="18"/>
              </w:rPr>
              <w:t>chronic conditions.</w:t>
            </w:r>
          </w:p>
        </w:tc>
      </w:tr>
    </w:tbl>
    <w:p>
      <w:pPr>
        <w:spacing w:after="0"/>
        <w:rPr>
          <w:sz w:val="18"/>
        </w:rPr>
        <w:sectPr>
          <w:pgSz w:w="11910" w:h="16840"/>
          <w:pgMar w:header="0" w:footer="675" w:top="1340" w:bottom="860" w:left="580" w:right="280"/>
        </w:sectPr>
      </w:pPr>
    </w:p>
    <w:p>
      <w:pPr>
        <w:pStyle w:val="BodyText"/>
        <w:rPr>
          <w:b/>
        </w:rPr>
      </w:pPr>
      <w:r>
        <w:rPr/>
        <w:pict>
          <v:group style="position:absolute;margin-left:19.070364pt;margin-top:.849983pt;width:574.65pt;height:115.45pt;mso-position-horizontal-relative:page;mso-position-vertical-relative:page;z-index:-27546112" id="docshapegroup86" coordorigin="381,17" coordsize="11493,2309">
            <v:shape style="position:absolute;left:381;top:17;width:11493;height:1614" type="#_x0000_t75" id="docshape87" stroked="false">
              <v:imagedata r:id="rId32" o:title=""/>
            </v:shape>
            <v:shape style="position:absolute;left:9842;top:1146;width:1200;height:1155" id="docshape88" coordorigin="9842,1146" coordsize="1200,1155" path="m10442,1146l10367,1150,10294,1164,10225,1185,10160,1214,10099,1249,10044,1292,9993,1340,9949,1394,9912,1452,9882,1515,9860,1581,9847,1651,9842,1723,9847,1796,9860,1866,9882,1932,9912,1995,9949,2053,9993,2107,10044,2155,10099,2198,10160,2233,10225,2262,10294,2283,10367,2296,10442,2301,10517,2296,10590,2283,10659,2262,10724,2233,10785,2198,10840,2155,10891,2107,10935,2053,10972,1995,11002,1932,11024,1866,11037,1796,11042,1723,11037,1651,11024,1581,11002,1515,10972,1452,10935,1394,10891,1340,10840,1292,10785,1249,10724,1214,10659,1185,10590,1164,10517,1150,10442,1146xe" filled="true" fillcolor="#003c79" stroked="false">
              <v:path arrowok="t"/>
              <v:fill type="solid"/>
            </v:shape>
            <v:shape style="position:absolute;left:9842;top:1146;width:1200;height:1155" id="docshape89" coordorigin="9842,1146" coordsize="1200,1155" path="m9842,1723l9847,1651,9860,1581,9882,1515,9912,1452,9949,1394,9993,1340,10044,1292,10099,1249,10160,1214,10225,1185,10294,1164,10367,1150,10442,1146,10517,1150,10590,1164,10659,1185,10724,1214,10785,1249,10840,1292,10891,1340,10935,1394,10972,1452,11002,1515,11024,1581,11037,1651,11042,1723,11037,1796,11024,1866,11002,1932,10972,1995,10935,2053,10891,2107,10840,2155,10785,2198,10724,2233,10659,2262,10590,2283,10517,2296,10442,2301,10367,2296,10294,2283,10225,2262,10160,2233,10099,2198,10044,2155,9993,2107,9949,2053,9912,1995,9882,1932,9860,1866,9847,1796,9842,1723xe" filled="false" stroked="true" strokeweight="2.5pt" strokecolor="#003c79">
              <v:path arrowok="t"/>
              <v:stroke dashstyle="solid"/>
            </v:shape>
            <v:shape style="position:absolute;left:1440;top:1440;width:8154;height:883" type="#_x0000_t202" id="docshape90" filled="false" stroked="false">
              <v:textbox inset="0,0,0,0">
                <w:txbxContent>
                  <w:p>
                    <w:pPr>
                      <w:spacing w:before="0"/>
                      <w:ind w:left="0" w:right="0" w:firstLine="0"/>
                      <w:jc w:val="left"/>
                      <w:rPr>
                        <w:sz w:val="72"/>
                      </w:rPr>
                    </w:pPr>
                    <w:r>
                      <w:rPr>
                        <w:color w:val="003C79"/>
                        <w:sz w:val="72"/>
                      </w:rPr>
                      <w:t>Primary</w:t>
                    </w:r>
                    <w:r>
                      <w:rPr>
                        <w:color w:val="003C79"/>
                        <w:spacing w:val="-2"/>
                        <w:sz w:val="72"/>
                      </w:rPr>
                      <w:t> </w:t>
                    </w:r>
                    <w:r>
                      <w:rPr>
                        <w:color w:val="003C79"/>
                        <w:sz w:val="72"/>
                      </w:rPr>
                      <w:t>data</w:t>
                    </w:r>
                    <w:r>
                      <w:rPr>
                        <w:color w:val="003C79"/>
                        <w:spacing w:val="-4"/>
                        <w:sz w:val="72"/>
                      </w:rPr>
                      <w:t> </w:t>
                    </w:r>
                    <w:r>
                      <w:rPr>
                        <w:color w:val="003C79"/>
                        <w:sz w:val="72"/>
                      </w:rPr>
                      <w:t>collection</w:t>
                    </w:r>
                  </w:p>
                </w:txbxContent>
              </v:textbox>
              <w10:wrap type="none"/>
            </v:shape>
            <v:shape style="position:absolute;left:10322;top:1457;width:266;height:539" type="#_x0000_t202" id="docshape91" filled="false" stroked="false">
              <v:textbox inset="0,0,0,0">
                <w:txbxContent>
                  <w:p>
                    <w:pPr>
                      <w:spacing w:line="538" w:lineRule="exact" w:before="0"/>
                      <w:ind w:left="0" w:right="0" w:firstLine="0"/>
                      <w:jc w:val="left"/>
                      <w:rPr>
                        <w:b/>
                        <w:sz w:val="44"/>
                      </w:rPr>
                    </w:pPr>
                    <w:r>
                      <w:rPr>
                        <w:b/>
                        <w:color w:val="FFFFFF"/>
                        <w:w w:val="99"/>
                        <w:sz w:val="44"/>
                      </w:rPr>
                      <w:t>5</w:t>
                    </w:r>
                  </w:p>
                </w:txbxContent>
              </v:textbox>
              <w10:wrap type="none"/>
            </v:shape>
            <w10:wrap type="none"/>
          </v:group>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
        <w:rPr>
          <w:b/>
          <w:sz w:val="16"/>
        </w:rPr>
      </w:pPr>
    </w:p>
    <w:p>
      <w:pPr>
        <w:pStyle w:val="BodyText"/>
        <w:spacing w:line="276" w:lineRule="auto" w:before="99"/>
        <w:ind w:left="860" w:right="1662"/>
      </w:pPr>
      <w:bookmarkStart w:name="_bookmark31" w:id="32"/>
      <w:bookmarkEnd w:id="32"/>
      <w:r>
        <w:rPr/>
      </w:r>
      <w:r>
        <w:rPr/>
        <w:t>The groups from which primary data will be collected and the approaches are shown in</w:t>
      </w:r>
      <w:r>
        <w:rPr>
          <w:spacing w:val="-53"/>
        </w:rPr>
        <w:t> </w:t>
      </w:r>
      <w:hyperlink w:history="true" w:anchor="_bookmark32">
        <w:r>
          <w:rPr/>
          <w:t>Table</w:t>
        </w:r>
        <w:r>
          <w:rPr>
            <w:spacing w:val="-1"/>
          </w:rPr>
          <w:t> </w:t>
        </w:r>
        <w:r>
          <w:rPr/>
          <w:t>13.</w:t>
        </w:r>
      </w:hyperlink>
    </w:p>
    <w:p>
      <w:pPr>
        <w:spacing w:before="198"/>
        <w:ind w:left="1225" w:right="1522" w:firstLine="0"/>
        <w:jc w:val="center"/>
        <w:rPr>
          <w:b/>
          <w:sz w:val="18"/>
        </w:rPr>
      </w:pPr>
      <w:bookmarkStart w:name="_bookmark32" w:id="33"/>
      <w:bookmarkEnd w:id="33"/>
      <w:r>
        <w:rPr/>
      </w:r>
      <w:r>
        <w:rPr>
          <w:b/>
          <w:sz w:val="18"/>
        </w:rPr>
        <w:t>Table</w:t>
      </w:r>
      <w:r>
        <w:rPr>
          <w:b/>
          <w:spacing w:val="-3"/>
          <w:sz w:val="18"/>
        </w:rPr>
        <w:t> </w:t>
      </w:r>
      <w:r>
        <w:rPr>
          <w:b/>
          <w:sz w:val="18"/>
        </w:rPr>
        <w:t>13</w:t>
      </w:r>
      <w:r>
        <w:rPr>
          <w:b/>
          <w:spacing w:val="-5"/>
          <w:sz w:val="18"/>
        </w:rPr>
        <w:t> </w:t>
      </w:r>
      <w:r>
        <w:rPr>
          <w:b/>
          <w:sz w:val="18"/>
        </w:rPr>
        <w:t>–</w:t>
      </w:r>
      <w:r>
        <w:rPr>
          <w:b/>
          <w:spacing w:val="-1"/>
          <w:sz w:val="18"/>
        </w:rPr>
        <w:t> </w:t>
      </w:r>
      <w:r>
        <w:rPr>
          <w:b/>
          <w:sz w:val="18"/>
        </w:rPr>
        <w:t>Primary</w:t>
      </w:r>
      <w:r>
        <w:rPr>
          <w:b/>
          <w:spacing w:val="-2"/>
          <w:sz w:val="18"/>
        </w:rPr>
        <w:t> </w:t>
      </w:r>
      <w:r>
        <w:rPr>
          <w:b/>
          <w:sz w:val="18"/>
        </w:rPr>
        <w:t>data</w:t>
      </w:r>
      <w:r>
        <w:rPr>
          <w:b/>
          <w:spacing w:val="-4"/>
          <w:sz w:val="18"/>
        </w:rPr>
        <w:t> </w:t>
      </w:r>
      <w:r>
        <w:rPr>
          <w:b/>
          <w:sz w:val="18"/>
        </w:rPr>
        <w:t>collection</w:t>
      </w:r>
      <w:r>
        <w:rPr>
          <w:b/>
          <w:spacing w:val="-2"/>
          <w:sz w:val="18"/>
        </w:rPr>
        <w:t> </w:t>
      </w:r>
      <w:r>
        <w:rPr>
          <w:b/>
          <w:sz w:val="18"/>
        </w:rPr>
        <w:t>approaches</w:t>
      </w:r>
    </w:p>
    <w:p>
      <w:pPr>
        <w:pStyle w:val="BodyText"/>
        <w:spacing w:before="6"/>
        <w:rPr>
          <w:b/>
          <w:sz w:val="7"/>
        </w:rPr>
      </w:pPr>
    </w:p>
    <w:tbl>
      <w:tblPr>
        <w:tblW w:w="0" w:type="auto"/>
        <w:jc w:val="left"/>
        <w:tblInd w:w="87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3963"/>
        <w:gridCol w:w="2528"/>
        <w:gridCol w:w="2528"/>
      </w:tblGrid>
      <w:tr>
        <w:trPr>
          <w:trHeight w:val="220" w:hRule="atLeast"/>
        </w:trPr>
        <w:tc>
          <w:tcPr>
            <w:tcW w:w="3963" w:type="dxa"/>
            <w:vMerge w:val="restart"/>
            <w:shd w:val="clear" w:color="auto" w:fill="003C79"/>
          </w:tcPr>
          <w:p>
            <w:pPr>
              <w:pStyle w:val="TableParagraph"/>
              <w:spacing w:before="114"/>
              <w:ind w:left="1683" w:right="1678"/>
              <w:jc w:val="center"/>
              <w:rPr>
                <w:b/>
                <w:sz w:val="18"/>
              </w:rPr>
            </w:pPr>
            <w:r>
              <w:rPr>
                <w:b/>
                <w:color w:val="FFFFFF"/>
                <w:sz w:val="18"/>
              </w:rPr>
              <w:t>Group</w:t>
            </w:r>
          </w:p>
        </w:tc>
        <w:tc>
          <w:tcPr>
            <w:tcW w:w="5056" w:type="dxa"/>
            <w:gridSpan w:val="2"/>
            <w:shd w:val="clear" w:color="auto" w:fill="003C79"/>
          </w:tcPr>
          <w:p>
            <w:pPr>
              <w:pStyle w:val="TableParagraph"/>
              <w:spacing w:line="200" w:lineRule="exact"/>
              <w:ind w:left="431"/>
              <w:rPr>
                <w:b/>
                <w:sz w:val="18"/>
              </w:rPr>
            </w:pPr>
            <w:r>
              <w:rPr>
                <w:b/>
                <w:color w:val="FFFFFF"/>
                <w:sz w:val="18"/>
              </w:rPr>
              <w:t>Data</w:t>
            </w:r>
            <w:r>
              <w:rPr>
                <w:b/>
                <w:color w:val="FFFFFF"/>
                <w:spacing w:val="-2"/>
                <w:sz w:val="18"/>
              </w:rPr>
              <w:t> </w:t>
            </w:r>
            <w:r>
              <w:rPr>
                <w:b/>
                <w:color w:val="FFFFFF"/>
                <w:sz w:val="18"/>
              </w:rPr>
              <w:t>collection</w:t>
            </w:r>
            <w:r>
              <w:rPr>
                <w:b/>
                <w:color w:val="FFFFFF"/>
                <w:spacing w:val="-2"/>
                <w:sz w:val="18"/>
              </w:rPr>
              <w:t> </w:t>
            </w:r>
            <w:r>
              <w:rPr>
                <w:b/>
                <w:color w:val="FFFFFF"/>
                <w:sz w:val="18"/>
              </w:rPr>
              <w:t>approach</w:t>
            </w:r>
            <w:r>
              <w:rPr>
                <w:b/>
                <w:color w:val="FFFFFF"/>
                <w:spacing w:val="-5"/>
                <w:sz w:val="18"/>
              </w:rPr>
              <w:t> </w:t>
            </w:r>
            <w:r>
              <w:rPr>
                <w:b/>
                <w:color w:val="FFFFFF"/>
                <w:sz w:val="18"/>
              </w:rPr>
              <w:t>and</w:t>
            </w:r>
            <w:r>
              <w:rPr>
                <w:b/>
                <w:color w:val="FFFFFF"/>
                <w:spacing w:val="-1"/>
                <w:sz w:val="18"/>
              </w:rPr>
              <w:t> </w:t>
            </w:r>
            <w:r>
              <w:rPr>
                <w:b/>
                <w:color w:val="FFFFFF"/>
                <w:sz w:val="18"/>
              </w:rPr>
              <w:t>evaluation</w:t>
            </w:r>
            <w:r>
              <w:rPr>
                <w:b/>
                <w:color w:val="FFFFFF"/>
                <w:spacing w:val="-2"/>
                <w:sz w:val="18"/>
              </w:rPr>
              <w:t> </w:t>
            </w:r>
            <w:r>
              <w:rPr>
                <w:b/>
                <w:color w:val="FFFFFF"/>
                <w:sz w:val="18"/>
              </w:rPr>
              <w:t>round</w:t>
            </w:r>
          </w:p>
        </w:tc>
      </w:tr>
      <w:tr>
        <w:trPr>
          <w:trHeight w:val="220" w:hRule="atLeast"/>
        </w:trPr>
        <w:tc>
          <w:tcPr>
            <w:tcW w:w="3963" w:type="dxa"/>
            <w:vMerge/>
            <w:tcBorders>
              <w:top w:val="nil"/>
            </w:tcBorders>
            <w:shd w:val="clear" w:color="auto" w:fill="003C79"/>
          </w:tcPr>
          <w:p>
            <w:pPr>
              <w:rPr>
                <w:sz w:val="2"/>
                <w:szCs w:val="2"/>
              </w:rPr>
            </w:pPr>
          </w:p>
        </w:tc>
        <w:tc>
          <w:tcPr>
            <w:tcW w:w="2528" w:type="dxa"/>
            <w:shd w:val="clear" w:color="auto" w:fill="003C79"/>
          </w:tcPr>
          <w:p>
            <w:pPr>
              <w:pStyle w:val="TableParagraph"/>
              <w:spacing w:line="200" w:lineRule="exact"/>
              <w:ind w:left="184" w:right="179"/>
              <w:jc w:val="center"/>
              <w:rPr>
                <w:b/>
                <w:sz w:val="18"/>
              </w:rPr>
            </w:pPr>
            <w:r>
              <w:rPr>
                <w:b/>
                <w:color w:val="FFFFFF"/>
                <w:sz w:val="18"/>
              </w:rPr>
              <w:t>Survey</w:t>
            </w:r>
          </w:p>
        </w:tc>
        <w:tc>
          <w:tcPr>
            <w:tcW w:w="2528" w:type="dxa"/>
            <w:shd w:val="clear" w:color="auto" w:fill="003C79"/>
          </w:tcPr>
          <w:p>
            <w:pPr>
              <w:pStyle w:val="TableParagraph"/>
              <w:spacing w:line="200" w:lineRule="exact"/>
              <w:ind w:left="186" w:right="179"/>
              <w:jc w:val="center"/>
              <w:rPr>
                <w:b/>
                <w:sz w:val="18"/>
              </w:rPr>
            </w:pPr>
            <w:r>
              <w:rPr>
                <w:b/>
                <w:color w:val="FFFFFF"/>
                <w:sz w:val="18"/>
              </w:rPr>
              <w:t>Interviews/</w:t>
            </w:r>
            <w:r>
              <w:rPr>
                <w:b/>
                <w:color w:val="FFFFFF"/>
                <w:spacing w:val="-2"/>
                <w:sz w:val="18"/>
              </w:rPr>
              <w:t> </w:t>
            </w:r>
            <w:r>
              <w:rPr>
                <w:b/>
                <w:color w:val="FFFFFF"/>
                <w:sz w:val="18"/>
              </w:rPr>
              <w:t>focus</w:t>
            </w:r>
            <w:r>
              <w:rPr>
                <w:b/>
                <w:color w:val="FFFFFF"/>
                <w:spacing w:val="-2"/>
                <w:sz w:val="18"/>
              </w:rPr>
              <w:t> </w:t>
            </w:r>
            <w:r>
              <w:rPr>
                <w:b/>
                <w:color w:val="FFFFFF"/>
                <w:sz w:val="18"/>
              </w:rPr>
              <w:t>groups</w:t>
            </w:r>
          </w:p>
        </w:tc>
      </w:tr>
      <w:tr>
        <w:trPr>
          <w:trHeight w:val="220" w:hRule="atLeast"/>
        </w:trPr>
        <w:tc>
          <w:tcPr>
            <w:tcW w:w="3963" w:type="dxa"/>
          </w:tcPr>
          <w:p>
            <w:pPr>
              <w:pStyle w:val="TableParagraph"/>
              <w:spacing w:line="200" w:lineRule="exact"/>
              <w:ind w:left="107"/>
              <w:rPr>
                <w:sz w:val="18"/>
              </w:rPr>
            </w:pPr>
            <w:r>
              <w:rPr>
                <w:sz w:val="18"/>
              </w:rPr>
              <w:t>Patients*</w:t>
            </w:r>
          </w:p>
        </w:tc>
        <w:tc>
          <w:tcPr>
            <w:tcW w:w="2528" w:type="dxa"/>
          </w:tcPr>
          <w:p>
            <w:pPr>
              <w:pStyle w:val="TableParagraph"/>
              <w:spacing w:line="200" w:lineRule="exact"/>
              <w:ind w:left="186" w:right="178"/>
              <w:jc w:val="center"/>
              <w:rPr>
                <w:sz w:val="18"/>
              </w:rPr>
            </w:pPr>
            <w:r>
              <w:rPr>
                <w:sz w:val="18"/>
              </w:rPr>
              <w:t>Rounds</w:t>
            </w:r>
            <w:r>
              <w:rPr>
                <w:spacing w:val="-1"/>
                <w:sz w:val="18"/>
              </w:rPr>
              <w:t> </w:t>
            </w:r>
            <w:r>
              <w:rPr>
                <w:sz w:val="18"/>
              </w:rPr>
              <w:t>1,</w:t>
            </w:r>
            <w:r>
              <w:rPr>
                <w:spacing w:val="-2"/>
                <w:sz w:val="18"/>
              </w:rPr>
              <w:t> </w:t>
            </w:r>
            <w:r>
              <w:rPr>
                <w:sz w:val="18"/>
              </w:rPr>
              <w:t>4,</w:t>
            </w:r>
            <w:r>
              <w:rPr>
                <w:spacing w:val="-2"/>
                <w:sz w:val="18"/>
              </w:rPr>
              <w:t> </w:t>
            </w:r>
            <w:r>
              <w:rPr>
                <w:sz w:val="18"/>
              </w:rPr>
              <w:t>5</w:t>
            </w:r>
          </w:p>
        </w:tc>
        <w:tc>
          <w:tcPr>
            <w:tcW w:w="2528" w:type="dxa"/>
          </w:tcPr>
          <w:p>
            <w:pPr>
              <w:pStyle w:val="TableParagraph"/>
              <w:spacing w:line="200" w:lineRule="exact"/>
              <w:ind w:left="186" w:right="179"/>
              <w:jc w:val="center"/>
              <w:rPr>
                <w:sz w:val="18"/>
              </w:rPr>
            </w:pPr>
            <w:r>
              <w:rPr>
                <w:sz w:val="18"/>
              </w:rPr>
              <w:t>Rounds</w:t>
            </w:r>
            <w:r>
              <w:rPr>
                <w:spacing w:val="-1"/>
                <w:sz w:val="18"/>
              </w:rPr>
              <w:t> </w:t>
            </w:r>
            <w:r>
              <w:rPr>
                <w:sz w:val="18"/>
              </w:rPr>
              <w:t>2,</w:t>
            </w:r>
            <w:r>
              <w:rPr>
                <w:spacing w:val="-2"/>
                <w:sz w:val="18"/>
              </w:rPr>
              <w:t> </w:t>
            </w:r>
            <w:r>
              <w:rPr>
                <w:sz w:val="18"/>
              </w:rPr>
              <w:t>4,</w:t>
            </w:r>
            <w:r>
              <w:rPr>
                <w:spacing w:val="-2"/>
                <w:sz w:val="18"/>
              </w:rPr>
              <w:t> </w:t>
            </w:r>
            <w:r>
              <w:rPr>
                <w:sz w:val="18"/>
              </w:rPr>
              <w:t>5</w:t>
            </w:r>
          </w:p>
        </w:tc>
      </w:tr>
      <w:tr>
        <w:trPr>
          <w:trHeight w:val="220" w:hRule="atLeast"/>
        </w:trPr>
        <w:tc>
          <w:tcPr>
            <w:tcW w:w="3963" w:type="dxa"/>
          </w:tcPr>
          <w:p>
            <w:pPr>
              <w:pStyle w:val="TableParagraph"/>
              <w:spacing w:line="200" w:lineRule="exact"/>
              <w:ind w:left="107"/>
              <w:rPr>
                <w:sz w:val="18"/>
              </w:rPr>
            </w:pPr>
            <w:r>
              <w:rPr>
                <w:sz w:val="18"/>
              </w:rPr>
              <w:t>Practices</w:t>
            </w:r>
          </w:p>
        </w:tc>
        <w:tc>
          <w:tcPr>
            <w:tcW w:w="2528" w:type="dxa"/>
          </w:tcPr>
          <w:p>
            <w:pPr>
              <w:pStyle w:val="TableParagraph"/>
              <w:spacing w:line="200" w:lineRule="exact"/>
              <w:ind w:left="185" w:right="179"/>
              <w:jc w:val="center"/>
              <w:rPr>
                <w:sz w:val="18"/>
              </w:rPr>
            </w:pPr>
            <w:r>
              <w:rPr>
                <w:sz w:val="18"/>
              </w:rPr>
              <w:t>Rounds</w:t>
            </w:r>
            <w:r>
              <w:rPr>
                <w:spacing w:val="-1"/>
                <w:sz w:val="18"/>
              </w:rPr>
              <w:t> </w:t>
            </w:r>
            <w:r>
              <w:rPr>
                <w:sz w:val="18"/>
              </w:rPr>
              <w:t>1,</w:t>
            </w:r>
            <w:r>
              <w:rPr>
                <w:spacing w:val="-2"/>
                <w:sz w:val="18"/>
              </w:rPr>
              <w:t> </w:t>
            </w:r>
            <w:r>
              <w:rPr>
                <w:sz w:val="18"/>
              </w:rPr>
              <w:t>2,</w:t>
            </w:r>
            <w:r>
              <w:rPr>
                <w:spacing w:val="-1"/>
                <w:sz w:val="18"/>
              </w:rPr>
              <w:t> </w:t>
            </w:r>
            <w:r>
              <w:rPr>
                <w:sz w:val="18"/>
              </w:rPr>
              <w:t>4,</w:t>
            </w:r>
            <w:r>
              <w:rPr>
                <w:spacing w:val="-2"/>
                <w:sz w:val="18"/>
              </w:rPr>
              <w:t> </w:t>
            </w:r>
            <w:r>
              <w:rPr>
                <w:sz w:val="18"/>
              </w:rPr>
              <w:t>5</w:t>
            </w:r>
          </w:p>
        </w:tc>
        <w:tc>
          <w:tcPr>
            <w:tcW w:w="2528" w:type="dxa"/>
          </w:tcPr>
          <w:p>
            <w:pPr>
              <w:pStyle w:val="TableParagraph"/>
              <w:spacing w:line="200" w:lineRule="exact"/>
              <w:ind w:left="186" w:right="179"/>
              <w:jc w:val="center"/>
              <w:rPr>
                <w:sz w:val="18"/>
              </w:rPr>
            </w:pPr>
            <w:r>
              <w:rPr>
                <w:sz w:val="18"/>
              </w:rPr>
              <w:t>Rounds</w:t>
            </w:r>
            <w:r>
              <w:rPr>
                <w:spacing w:val="-1"/>
                <w:sz w:val="18"/>
              </w:rPr>
              <w:t> </w:t>
            </w:r>
            <w:r>
              <w:rPr>
                <w:sz w:val="18"/>
              </w:rPr>
              <w:t>2,</w:t>
            </w:r>
            <w:r>
              <w:rPr>
                <w:spacing w:val="-2"/>
                <w:sz w:val="18"/>
              </w:rPr>
              <w:t> </w:t>
            </w:r>
            <w:r>
              <w:rPr>
                <w:sz w:val="18"/>
              </w:rPr>
              <w:t>4,</w:t>
            </w:r>
            <w:r>
              <w:rPr>
                <w:spacing w:val="-2"/>
                <w:sz w:val="18"/>
              </w:rPr>
              <w:t> </w:t>
            </w:r>
            <w:r>
              <w:rPr>
                <w:sz w:val="18"/>
              </w:rPr>
              <w:t>5</w:t>
            </w:r>
          </w:p>
        </w:tc>
      </w:tr>
      <w:tr>
        <w:trPr>
          <w:trHeight w:val="220" w:hRule="atLeast"/>
        </w:trPr>
        <w:tc>
          <w:tcPr>
            <w:tcW w:w="3963" w:type="dxa"/>
          </w:tcPr>
          <w:p>
            <w:pPr>
              <w:pStyle w:val="TableParagraph"/>
              <w:spacing w:line="200" w:lineRule="exact"/>
              <w:ind w:left="107"/>
              <w:rPr>
                <w:sz w:val="18"/>
              </w:rPr>
            </w:pPr>
            <w:r>
              <w:rPr>
                <w:sz w:val="18"/>
              </w:rPr>
              <w:t>Practice</w:t>
            </w:r>
            <w:r>
              <w:rPr>
                <w:spacing w:val="-4"/>
                <w:sz w:val="18"/>
              </w:rPr>
              <w:t> </w:t>
            </w:r>
            <w:r>
              <w:rPr>
                <w:sz w:val="18"/>
              </w:rPr>
              <w:t>staff</w:t>
            </w:r>
          </w:p>
        </w:tc>
        <w:tc>
          <w:tcPr>
            <w:tcW w:w="2528" w:type="dxa"/>
          </w:tcPr>
          <w:p>
            <w:pPr>
              <w:pStyle w:val="TableParagraph"/>
              <w:spacing w:line="200" w:lineRule="exact"/>
              <w:ind w:left="185" w:right="179"/>
              <w:jc w:val="center"/>
              <w:rPr>
                <w:sz w:val="18"/>
              </w:rPr>
            </w:pPr>
            <w:r>
              <w:rPr>
                <w:sz w:val="18"/>
              </w:rPr>
              <w:t>Rounds</w:t>
            </w:r>
            <w:r>
              <w:rPr>
                <w:spacing w:val="-1"/>
                <w:sz w:val="18"/>
              </w:rPr>
              <w:t> </w:t>
            </w:r>
            <w:r>
              <w:rPr>
                <w:sz w:val="18"/>
              </w:rPr>
              <w:t>1,</w:t>
            </w:r>
            <w:r>
              <w:rPr>
                <w:spacing w:val="-2"/>
                <w:sz w:val="18"/>
              </w:rPr>
              <w:t> </w:t>
            </w:r>
            <w:r>
              <w:rPr>
                <w:sz w:val="18"/>
              </w:rPr>
              <w:t>5</w:t>
            </w:r>
          </w:p>
        </w:tc>
        <w:tc>
          <w:tcPr>
            <w:tcW w:w="2528" w:type="dxa"/>
          </w:tcPr>
          <w:p>
            <w:pPr>
              <w:pStyle w:val="TableParagraph"/>
              <w:spacing w:line="200" w:lineRule="exact"/>
              <w:ind w:left="186" w:right="179"/>
              <w:jc w:val="center"/>
              <w:rPr>
                <w:sz w:val="18"/>
              </w:rPr>
            </w:pPr>
            <w:r>
              <w:rPr>
                <w:sz w:val="18"/>
              </w:rPr>
              <w:t>Rounds</w:t>
            </w:r>
            <w:r>
              <w:rPr>
                <w:spacing w:val="-1"/>
                <w:sz w:val="18"/>
              </w:rPr>
              <w:t> </w:t>
            </w:r>
            <w:r>
              <w:rPr>
                <w:sz w:val="18"/>
              </w:rPr>
              <w:t>2,</w:t>
            </w:r>
            <w:r>
              <w:rPr>
                <w:spacing w:val="-2"/>
                <w:sz w:val="18"/>
              </w:rPr>
              <w:t> </w:t>
            </w:r>
            <w:r>
              <w:rPr>
                <w:sz w:val="18"/>
              </w:rPr>
              <w:t>4,</w:t>
            </w:r>
            <w:r>
              <w:rPr>
                <w:spacing w:val="-2"/>
                <w:sz w:val="18"/>
              </w:rPr>
              <w:t> </w:t>
            </w:r>
            <w:r>
              <w:rPr>
                <w:sz w:val="18"/>
              </w:rPr>
              <w:t>5</w:t>
            </w:r>
          </w:p>
        </w:tc>
      </w:tr>
      <w:tr>
        <w:trPr>
          <w:trHeight w:val="221" w:hRule="atLeast"/>
        </w:trPr>
        <w:tc>
          <w:tcPr>
            <w:tcW w:w="3963" w:type="dxa"/>
          </w:tcPr>
          <w:p>
            <w:pPr>
              <w:pStyle w:val="TableParagraph"/>
              <w:spacing w:line="201" w:lineRule="exact"/>
              <w:ind w:left="107"/>
              <w:rPr>
                <w:sz w:val="18"/>
              </w:rPr>
            </w:pPr>
            <w:r>
              <w:rPr>
                <w:sz w:val="18"/>
              </w:rPr>
              <w:t>PHNs</w:t>
            </w:r>
          </w:p>
        </w:tc>
        <w:tc>
          <w:tcPr>
            <w:tcW w:w="2528" w:type="dxa"/>
          </w:tcPr>
          <w:p>
            <w:pPr>
              <w:pStyle w:val="TableParagraph"/>
              <w:spacing w:line="201" w:lineRule="exact"/>
              <w:ind w:left="186" w:right="176"/>
              <w:jc w:val="center"/>
              <w:rPr>
                <w:sz w:val="18"/>
              </w:rPr>
            </w:pPr>
            <w:r>
              <w:rPr>
                <w:sz w:val="18"/>
              </w:rPr>
              <w:t>Rounds</w:t>
            </w:r>
            <w:r>
              <w:rPr>
                <w:spacing w:val="-1"/>
                <w:sz w:val="18"/>
              </w:rPr>
              <w:t> </w:t>
            </w:r>
            <w:r>
              <w:rPr>
                <w:sz w:val="18"/>
              </w:rPr>
              <w:t>1,</w:t>
            </w:r>
            <w:r>
              <w:rPr>
                <w:spacing w:val="-1"/>
                <w:sz w:val="18"/>
              </w:rPr>
              <w:t> </w:t>
            </w:r>
            <w:r>
              <w:rPr>
                <w:sz w:val="18"/>
              </w:rPr>
              <w:t>4,</w:t>
            </w:r>
            <w:r>
              <w:rPr>
                <w:spacing w:val="-2"/>
                <w:sz w:val="18"/>
              </w:rPr>
              <w:t> </w:t>
            </w:r>
            <w:r>
              <w:rPr>
                <w:sz w:val="18"/>
              </w:rPr>
              <w:t>5</w:t>
            </w:r>
          </w:p>
        </w:tc>
        <w:tc>
          <w:tcPr>
            <w:tcW w:w="2528" w:type="dxa"/>
          </w:tcPr>
          <w:p>
            <w:pPr>
              <w:pStyle w:val="TableParagraph"/>
              <w:spacing w:line="201" w:lineRule="exact"/>
              <w:ind w:left="186" w:right="179"/>
              <w:jc w:val="center"/>
              <w:rPr>
                <w:sz w:val="18"/>
              </w:rPr>
            </w:pPr>
            <w:r>
              <w:rPr>
                <w:sz w:val="18"/>
              </w:rPr>
              <w:t>Rounds</w:t>
            </w:r>
            <w:r>
              <w:rPr>
                <w:spacing w:val="-1"/>
                <w:sz w:val="18"/>
              </w:rPr>
              <w:t> </w:t>
            </w:r>
            <w:r>
              <w:rPr>
                <w:sz w:val="18"/>
              </w:rPr>
              <w:t>2,</w:t>
            </w:r>
            <w:r>
              <w:rPr>
                <w:spacing w:val="-2"/>
                <w:sz w:val="18"/>
              </w:rPr>
              <w:t> </w:t>
            </w:r>
            <w:r>
              <w:rPr>
                <w:sz w:val="18"/>
              </w:rPr>
              <w:t>4,</w:t>
            </w:r>
            <w:r>
              <w:rPr>
                <w:spacing w:val="-2"/>
                <w:sz w:val="18"/>
              </w:rPr>
              <w:t> </w:t>
            </w:r>
            <w:r>
              <w:rPr>
                <w:sz w:val="18"/>
              </w:rPr>
              <w:t>5</w:t>
            </w:r>
          </w:p>
        </w:tc>
      </w:tr>
      <w:tr>
        <w:trPr>
          <w:trHeight w:val="222" w:hRule="atLeast"/>
        </w:trPr>
        <w:tc>
          <w:tcPr>
            <w:tcW w:w="3963" w:type="dxa"/>
          </w:tcPr>
          <w:p>
            <w:pPr>
              <w:pStyle w:val="TableParagraph"/>
              <w:spacing w:line="202" w:lineRule="exact" w:before="1"/>
              <w:ind w:left="107"/>
              <w:rPr>
                <w:sz w:val="18"/>
              </w:rPr>
            </w:pPr>
            <w:r>
              <w:rPr>
                <w:sz w:val="18"/>
              </w:rPr>
              <w:t>Related</w:t>
            </w:r>
            <w:r>
              <w:rPr>
                <w:spacing w:val="-3"/>
                <w:sz w:val="18"/>
              </w:rPr>
              <w:t> </w:t>
            </w:r>
            <w:r>
              <w:rPr>
                <w:sz w:val="18"/>
              </w:rPr>
              <w:t>providers</w:t>
            </w:r>
          </w:p>
        </w:tc>
        <w:tc>
          <w:tcPr>
            <w:tcW w:w="2528" w:type="dxa"/>
          </w:tcPr>
          <w:p>
            <w:pPr>
              <w:pStyle w:val="TableParagraph"/>
              <w:rPr>
                <w:rFonts w:ascii="Times New Roman"/>
                <w:sz w:val="14"/>
              </w:rPr>
            </w:pPr>
          </w:p>
        </w:tc>
        <w:tc>
          <w:tcPr>
            <w:tcW w:w="2528" w:type="dxa"/>
          </w:tcPr>
          <w:p>
            <w:pPr>
              <w:pStyle w:val="TableParagraph"/>
              <w:spacing w:line="202" w:lineRule="exact" w:before="1"/>
              <w:ind w:left="186" w:right="179"/>
              <w:jc w:val="center"/>
              <w:rPr>
                <w:sz w:val="18"/>
              </w:rPr>
            </w:pPr>
            <w:r>
              <w:rPr>
                <w:sz w:val="18"/>
              </w:rPr>
              <w:t>Rounds</w:t>
            </w:r>
            <w:r>
              <w:rPr>
                <w:spacing w:val="-1"/>
                <w:sz w:val="18"/>
              </w:rPr>
              <w:t> </w:t>
            </w:r>
            <w:r>
              <w:rPr>
                <w:sz w:val="18"/>
              </w:rPr>
              <w:t>2,</w:t>
            </w:r>
            <w:r>
              <w:rPr>
                <w:spacing w:val="-2"/>
                <w:sz w:val="18"/>
              </w:rPr>
              <w:t> </w:t>
            </w:r>
            <w:r>
              <w:rPr>
                <w:sz w:val="18"/>
              </w:rPr>
              <w:t>4,</w:t>
            </w:r>
            <w:r>
              <w:rPr>
                <w:spacing w:val="-2"/>
                <w:sz w:val="18"/>
              </w:rPr>
              <w:t> </w:t>
            </w:r>
            <w:r>
              <w:rPr>
                <w:sz w:val="18"/>
              </w:rPr>
              <w:t>5</w:t>
            </w:r>
          </w:p>
        </w:tc>
      </w:tr>
      <w:tr>
        <w:trPr>
          <w:trHeight w:val="441" w:hRule="atLeast"/>
        </w:trPr>
        <w:tc>
          <w:tcPr>
            <w:tcW w:w="3963" w:type="dxa"/>
          </w:tcPr>
          <w:p>
            <w:pPr>
              <w:pStyle w:val="TableParagraph"/>
              <w:spacing w:line="220" w:lineRule="exact"/>
              <w:ind w:left="107" w:right="429"/>
              <w:rPr>
                <w:sz w:val="18"/>
              </w:rPr>
            </w:pPr>
            <w:r>
              <w:rPr>
                <w:sz w:val="18"/>
              </w:rPr>
              <w:t>Local Hospital Networks (LHNs)/ state &amp;</w:t>
            </w:r>
            <w:r>
              <w:rPr>
                <w:spacing w:val="-48"/>
                <w:sz w:val="18"/>
              </w:rPr>
              <w:t> </w:t>
            </w:r>
            <w:r>
              <w:rPr>
                <w:sz w:val="18"/>
              </w:rPr>
              <w:t>territory</w:t>
            </w:r>
            <w:r>
              <w:rPr>
                <w:spacing w:val="-1"/>
                <w:sz w:val="18"/>
              </w:rPr>
              <w:t> </w:t>
            </w:r>
            <w:r>
              <w:rPr>
                <w:sz w:val="18"/>
              </w:rPr>
              <w:t>health authorities</w:t>
            </w:r>
          </w:p>
        </w:tc>
        <w:tc>
          <w:tcPr>
            <w:tcW w:w="2528" w:type="dxa"/>
          </w:tcPr>
          <w:p>
            <w:pPr>
              <w:pStyle w:val="TableParagraph"/>
              <w:rPr>
                <w:rFonts w:ascii="Times New Roman"/>
                <w:sz w:val="20"/>
              </w:rPr>
            </w:pPr>
          </w:p>
        </w:tc>
        <w:tc>
          <w:tcPr>
            <w:tcW w:w="2528" w:type="dxa"/>
          </w:tcPr>
          <w:p>
            <w:pPr>
              <w:pStyle w:val="TableParagraph"/>
              <w:spacing w:line="219" w:lineRule="exact"/>
              <w:ind w:left="186" w:right="179"/>
              <w:jc w:val="center"/>
              <w:rPr>
                <w:sz w:val="18"/>
              </w:rPr>
            </w:pPr>
            <w:r>
              <w:rPr>
                <w:sz w:val="18"/>
              </w:rPr>
              <w:t>Rounds</w:t>
            </w:r>
            <w:r>
              <w:rPr>
                <w:spacing w:val="-1"/>
                <w:sz w:val="18"/>
              </w:rPr>
              <w:t> </w:t>
            </w:r>
            <w:r>
              <w:rPr>
                <w:sz w:val="18"/>
              </w:rPr>
              <w:t>2,</w:t>
            </w:r>
            <w:r>
              <w:rPr>
                <w:spacing w:val="-2"/>
                <w:sz w:val="18"/>
              </w:rPr>
              <w:t> </w:t>
            </w:r>
            <w:r>
              <w:rPr>
                <w:sz w:val="18"/>
              </w:rPr>
              <w:t>4,</w:t>
            </w:r>
            <w:r>
              <w:rPr>
                <w:spacing w:val="-2"/>
                <w:sz w:val="18"/>
              </w:rPr>
              <w:t> </w:t>
            </w:r>
            <w:r>
              <w:rPr>
                <w:sz w:val="18"/>
              </w:rPr>
              <w:t>5</w:t>
            </w:r>
          </w:p>
        </w:tc>
      </w:tr>
    </w:tbl>
    <w:p>
      <w:pPr>
        <w:pStyle w:val="ListParagraph"/>
        <w:numPr>
          <w:ilvl w:val="0"/>
          <w:numId w:val="16"/>
        </w:numPr>
        <w:tabs>
          <w:tab w:pos="971" w:val="left" w:leader="none"/>
        </w:tabs>
        <w:spacing w:line="240" w:lineRule="auto" w:before="3" w:after="0"/>
        <w:ind w:left="970" w:right="0" w:hanging="111"/>
        <w:jc w:val="left"/>
        <w:rPr>
          <w:i/>
          <w:sz w:val="16"/>
        </w:rPr>
      </w:pPr>
      <w:r>
        <w:rPr>
          <w:i/>
          <w:sz w:val="16"/>
        </w:rPr>
        <w:t>Includes</w:t>
      </w:r>
      <w:r>
        <w:rPr>
          <w:i/>
          <w:spacing w:val="-1"/>
          <w:sz w:val="16"/>
        </w:rPr>
        <w:t> </w:t>
      </w:r>
      <w:r>
        <w:rPr>
          <w:i/>
          <w:sz w:val="16"/>
        </w:rPr>
        <w:t>carers</w:t>
      </w:r>
      <w:r>
        <w:rPr>
          <w:i/>
          <w:spacing w:val="-4"/>
          <w:sz w:val="16"/>
        </w:rPr>
        <w:t> </w:t>
      </w:r>
      <w:r>
        <w:rPr>
          <w:i/>
          <w:sz w:val="16"/>
        </w:rPr>
        <w:t>and/</w:t>
      </w:r>
      <w:r>
        <w:rPr>
          <w:i/>
          <w:spacing w:val="-4"/>
          <w:sz w:val="16"/>
        </w:rPr>
        <w:t> </w:t>
      </w:r>
      <w:r>
        <w:rPr>
          <w:i/>
          <w:sz w:val="16"/>
        </w:rPr>
        <w:t>or family</w:t>
      </w:r>
      <w:r>
        <w:rPr>
          <w:i/>
          <w:spacing w:val="-6"/>
          <w:sz w:val="16"/>
        </w:rPr>
        <w:t> </w:t>
      </w:r>
      <w:r>
        <w:rPr>
          <w:i/>
          <w:sz w:val="16"/>
        </w:rPr>
        <w:t>members</w:t>
      </w:r>
      <w:r>
        <w:rPr>
          <w:i/>
          <w:spacing w:val="-4"/>
          <w:sz w:val="16"/>
        </w:rPr>
        <w:t> </w:t>
      </w:r>
      <w:r>
        <w:rPr>
          <w:i/>
          <w:sz w:val="16"/>
        </w:rPr>
        <w:t>of</w:t>
      </w:r>
      <w:r>
        <w:rPr>
          <w:i/>
          <w:spacing w:val="-2"/>
          <w:sz w:val="16"/>
        </w:rPr>
        <w:t> </w:t>
      </w:r>
      <w:r>
        <w:rPr>
          <w:i/>
          <w:sz w:val="16"/>
        </w:rPr>
        <w:t>enrolled</w:t>
      </w:r>
      <w:r>
        <w:rPr>
          <w:i/>
          <w:spacing w:val="-3"/>
          <w:sz w:val="16"/>
        </w:rPr>
        <w:t> </w:t>
      </w:r>
      <w:r>
        <w:rPr>
          <w:i/>
          <w:sz w:val="16"/>
        </w:rPr>
        <w:t>patients.</w:t>
      </w:r>
    </w:p>
    <w:p>
      <w:pPr>
        <w:pStyle w:val="BodyText"/>
        <w:spacing w:before="8"/>
        <w:rPr>
          <w:i/>
          <w:sz w:val="18"/>
        </w:rPr>
      </w:pPr>
    </w:p>
    <w:p>
      <w:pPr>
        <w:pStyle w:val="BodyText"/>
        <w:spacing w:line="276" w:lineRule="auto" w:before="1"/>
        <w:ind w:left="860" w:right="1418"/>
      </w:pPr>
      <w:r>
        <w:rPr/>
        <w:t>Note that in addition to practice surveys and practice staff surveys, practice level data will</w:t>
      </w:r>
      <w:r>
        <w:rPr>
          <w:spacing w:val="-53"/>
        </w:rPr>
        <w:t> </w:t>
      </w:r>
      <w:r>
        <w:rPr/>
        <w:t>be</w:t>
      </w:r>
      <w:r>
        <w:rPr>
          <w:spacing w:val="-2"/>
        </w:rPr>
        <w:t> </w:t>
      </w:r>
      <w:r>
        <w:rPr/>
        <w:t>sourced</w:t>
      </w:r>
      <w:r>
        <w:rPr>
          <w:spacing w:val="-1"/>
        </w:rPr>
        <w:t> </w:t>
      </w:r>
      <w:r>
        <w:rPr/>
        <w:t>from:</w:t>
      </w:r>
    </w:p>
    <w:p>
      <w:pPr>
        <w:pStyle w:val="ListParagraph"/>
        <w:numPr>
          <w:ilvl w:val="1"/>
          <w:numId w:val="16"/>
        </w:numPr>
        <w:tabs>
          <w:tab w:pos="1573" w:val="left" w:leader="none"/>
          <w:tab w:pos="1574" w:val="left" w:leader="none"/>
        </w:tabs>
        <w:spacing w:line="276" w:lineRule="auto" w:before="199" w:after="0"/>
        <w:ind w:left="1573" w:right="1316" w:hanging="356"/>
        <w:jc w:val="left"/>
        <w:rPr>
          <w:sz w:val="20"/>
        </w:rPr>
      </w:pPr>
      <w:r>
        <w:rPr>
          <w:sz w:val="20"/>
        </w:rPr>
        <w:t>Data extracts from practices (see </w:t>
      </w:r>
      <w:r>
        <w:rPr>
          <w:i/>
          <w:sz w:val="20"/>
        </w:rPr>
        <w:t>Chapter 6 Secondary data sources</w:t>
      </w:r>
      <w:r>
        <w:rPr>
          <w:sz w:val="20"/>
        </w:rPr>
        <w:t>). These will be</w:t>
      </w:r>
      <w:r>
        <w:rPr>
          <w:spacing w:val="1"/>
          <w:sz w:val="20"/>
        </w:rPr>
        <w:t> </w:t>
      </w:r>
      <w:r>
        <w:rPr>
          <w:sz w:val="20"/>
        </w:rPr>
        <w:t>used</w:t>
      </w:r>
      <w:r>
        <w:rPr>
          <w:spacing w:val="-4"/>
          <w:sz w:val="20"/>
        </w:rPr>
        <w:t> </w:t>
      </w:r>
      <w:r>
        <w:rPr>
          <w:sz w:val="20"/>
        </w:rPr>
        <w:t>to</w:t>
      </w:r>
      <w:r>
        <w:rPr>
          <w:spacing w:val="-4"/>
          <w:sz w:val="20"/>
        </w:rPr>
        <w:t> </w:t>
      </w:r>
      <w:r>
        <w:rPr>
          <w:sz w:val="20"/>
        </w:rPr>
        <w:t>build</w:t>
      </w:r>
      <w:r>
        <w:rPr>
          <w:spacing w:val="-4"/>
          <w:sz w:val="20"/>
        </w:rPr>
        <w:t> </w:t>
      </w:r>
      <w:r>
        <w:rPr>
          <w:sz w:val="20"/>
        </w:rPr>
        <w:t>an</w:t>
      </w:r>
      <w:r>
        <w:rPr>
          <w:spacing w:val="-3"/>
          <w:sz w:val="20"/>
        </w:rPr>
        <w:t> </w:t>
      </w:r>
      <w:r>
        <w:rPr>
          <w:sz w:val="20"/>
        </w:rPr>
        <w:t>understanding</w:t>
      </w:r>
      <w:r>
        <w:rPr>
          <w:spacing w:val="-4"/>
          <w:sz w:val="20"/>
        </w:rPr>
        <w:t> </w:t>
      </w:r>
      <w:r>
        <w:rPr>
          <w:sz w:val="20"/>
        </w:rPr>
        <w:t>of</w:t>
      </w:r>
      <w:r>
        <w:rPr>
          <w:spacing w:val="-3"/>
          <w:sz w:val="20"/>
        </w:rPr>
        <w:t> </w:t>
      </w:r>
      <w:r>
        <w:rPr>
          <w:sz w:val="20"/>
        </w:rPr>
        <w:t>the</w:t>
      </w:r>
      <w:r>
        <w:rPr>
          <w:spacing w:val="-4"/>
          <w:sz w:val="20"/>
        </w:rPr>
        <w:t> </w:t>
      </w:r>
      <w:r>
        <w:rPr>
          <w:sz w:val="20"/>
        </w:rPr>
        <w:t>practice</w:t>
      </w:r>
      <w:r>
        <w:rPr>
          <w:spacing w:val="-4"/>
          <w:sz w:val="20"/>
        </w:rPr>
        <w:t> </w:t>
      </w:r>
      <w:r>
        <w:rPr>
          <w:sz w:val="20"/>
        </w:rPr>
        <w:t>population</w:t>
      </w:r>
      <w:r>
        <w:rPr>
          <w:spacing w:val="-3"/>
          <w:sz w:val="20"/>
        </w:rPr>
        <w:t> </w:t>
      </w:r>
      <w:r>
        <w:rPr>
          <w:sz w:val="20"/>
        </w:rPr>
        <w:t>and</w:t>
      </w:r>
      <w:r>
        <w:rPr>
          <w:spacing w:val="-4"/>
          <w:sz w:val="20"/>
        </w:rPr>
        <w:t> </w:t>
      </w:r>
      <w:r>
        <w:rPr>
          <w:sz w:val="20"/>
        </w:rPr>
        <w:t>the</w:t>
      </w:r>
      <w:r>
        <w:rPr>
          <w:spacing w:val="-3"/>
          <w:sz w:val="20"/>
        </w:rPr>
        <w:t> </w:t>
      </w:r>
      <w:r>
        <w:rPr>
          <w:sz w:val="20"/>
        </w:rPr>
        <w:t>patients</w:t>
      </w:r>
      <w:r>
        <w:rPr>
          <w:spacing w:val="-4"/>
          <w:sz w:val="20"/>
        </w:rPr>
        <w:t> </w:t>
      </w:r>
      <w:r>
        <w:rPr>
          <w:sz w:val="20"/>
        </w:rPr>
        <w:t>enrolled</w:t>
      </w:r>
      <w:r>
        <w:rPr>
          <w:spacing w:val="-52"/>
          <w:sz w:val="20"/>
        </w:rPr>
        <w:t> </w:t>
      </w:r>
      <w:r>
        <w:rPr>
          <w:sz w:val="20"/>
        </w:rPr>
        <w:t>in</w:t>
      </w:r>
      <w:r>
        <w:rPr>
          <w:spacing w:val="-1"/>
          <w:sz w:val="20"/>
        </w:rPr>
        <w:t> </w:t>
      </w:r>
      <w:r>
        <w:rPr>
          <w:sz w:val="20"/>
        </w:rPr>
        <w:t>HCH.</w:t>
      </w:r>
    </w:p>
    <w:p>
      <w:pPr>
        <w:pStyle w:val="ListParagraph"/>
        <w:numPr>
          <w:ilvl w:val="1"/>
          <w:numId w:val="16"/>
        </w:numPr>
        <w:tabs>
          <w:tab w:pos="1573" w:val="left" w:leader="none"/>
          <w:tab w:pos="1574" w:val="left" w:leader="none"/>
        </w:tabs>
        <w:spacing w:line="276" w:lineRule="auto" w:before="1" w:after="0"/>
        <w:ind w:left="1573" w:right="1902" w:hanging="356"/>
        <w:jc w:val="left"/>
        <w:rPr>
          <w:sz w:val="20"/>
        </w:rPr>
      </w:pPr>
      <w:r>
        <w:rPr>
          <w:sz w:val="20"/>
        </w:rPr>
        <w:t>Program information. Includes data to manage the program, such as from the</w:t>
      </w:r>
      <w:r>
        <w:rPr>
          <w:spacing w:val="-53"/>
          <w:sz w:val="20"/>
        </w:rPr>
        <w:t> </w:t>
      </w:r>
      <w:r>
        <w:rPr>
          <w:sz w:val="20"/>
        </w:rPr>
        <w:t>Department of</w:t>
      </w:r>
      <w:r>
        <w:rPr>
          <w:spacing w:val="-1"/>
          <w:sz w:val="20"/>
        </w:rPr>
        <w:t> </w:t>
      </w:r>
      <w:r>
        <w:rPr>
          <w:sz w:val="20"/>
        </w:rPr>
        <w:t>Human Services.</w:t>
      </w:r>
    </w:p>
    <w:p>
      <w:pPr>
        <w:pStyle w:val="ListParagraph"/>
        <w:numPr>
          <w:ilvl w:val="1"/>
          <w:numId w:val="16"/>
        </w:numPr>
        <w:tabs>
          <w:tab w:pos="1573" w:val="left" w:leader="none"/>
          <w:tab w:pos="1574" w:val="left" w:leader="none"/>
        </w:tabs>
        <w:spacing w:line="276" w:lineRule="auto" w:before="0" w:after="0"/>
        <w:ind w:left="1573" w:right="1349" w:hanging="356"/>
        <w:jc w:val="left"/>
        <w:rPr>
          <w:sz w:val="20"/>
        </w:rPr>
      </w:pPr>
      <w:r>
        <w:rPr>
          <w:sz w:val="20"/>
        </w:rPr>
        <w:t>PHNs.</w:t>
      </w:r>
      <w:r>
        <w:rPr>
          <w:spacing w:val="-7"/>
          <w:sz w:val="20"/>
        </w:rPr>
        <w:t> </w:t>
      </w:r>
      <w:r>
        <w:rPr>
          <w:sz w:val="20"/>
        </w:rPr>
        <w:t>Information</w:t>
      </w:r>
      <w:r>
        <w:rPr>
          <w:spacing w:val="-3"/>
          <w:sz w:val="20"/>
        </w:rPr>
        <w:t> </w:t>
      </w:r>
      <w:r>
        <w:rPr>
          <w:sz w:val="20"/>
        </w:rPr>
        <w:t>about</w:t>
      </w:r>
      <w:r>
        <w:rPr>
          <w:spacing w:val="-3"/>
          <w:sz w:val="20"/>
        </w:rPr>
        <w:t> </w:t>
      </w:r>
      <w:r>
        <w:rPr>
          <w:sz w:val="20"/>
        </w:rPr>
        <w:t>local initiatives/</w:t>
      </w:r>
      <w:r>
        <w:rPr>
          <w:spacing w:val="-6"/>
          <w:sz w:val="20"/>
        </w:rPr>
        <w:t> </w:t>
      </w:r>
      <w:r>
        <w:rPr>
          <w:sz w:val="20"/>
        </w:rPr>
        <w:t>programs</w:t>
      </w:r>
      <w:r>
        <w:rPr>
          <w:spacing w:val="-2"/>
          <w:sz w:val="20"/>
        </w:rPr>
        <w:t> </w:t>
      </w:r>
      <w:r>
        <w:rPr>
          <w:sz w:val="20"/>
        </w:rPr>
        <w:t>that</w:t>
      </w:r>
      <w:r>
        <w:rPr>
          <w:spacing w:val="-3"/>
          <w:sz w:val="20"/>
        </w:rPr>
        <w:t> </w:t>
      </w:r>
      <w:r>
        <w:rPr>
          <w:sz w:val="20"/>
        </w:rPr>
        <w:t>practices</w:t>
      </w:r>
      <w:r>
        <w:rPr>
          <w:spacing w:val="-4"/>
          <w:sz w:val="20"/>
        </w:rPr>
        <w:t> </w:t>
      </w:r>
      <w:r>
        <w:rPr>
          <w:sz w:val="20"/>
        </w:rPr>
        <w:t>participate</w:t>
      </w:r>
      <w:r>
        <w:rPr>
          <w:spacing w:val="-5"/>
          <w:sz w:val="20"/>
        </w:rPr>
        <w:t> </w:t>
      </w:r>
      <w:r>
        <w:rPr>
          <w:sz w:val="20"/>
        </w:rPr>
        <w:t>in</w:t>
      </w:r>
      <w:r>
        <w:rPr>
          <w:spacing w:val="-3"/>
          <w:sz w:val="20"/>
        </w:rPr>
        <w:t> </w:t>
      </w:r>
      <w:r>
        <w:rPr>
          <w:sz w:val="20"/>
        </w:rPr>
        <w:t>may</w:t>
      </w:r>
      <w:r>
        <w:rPr>
          <w:spacing w:val="-53"/>
          <w:sz w:val="20"/>
        </w:rPr>
        <w:t> </w:t>
      </w:r>
      <w:r>
        <w:rPr>
          <w:sz w:val="20"/>
        </w:rPr>
        <w:t>also</w:t>
      </w:r>
      <w:r>
        <w:rPr>
          <w:spacing w:val="-3"/>
          <w:sz w:val="20"/>
        </w:rPr>
        <w:t> </w:t>
      </w:r>
      <w:r>
        <w:rPr>
          <w:sz w:val="20"/>
        </w:rPr>
        <w:t>be</w:t>
      </w:r>
      <w:r>
        <w:rPr>
          <w:spacing w:val="-2"/>
          <w:sz w:val="20"/>
        </w:rPr>
        <w:t> </w:t>
      </w:r>
      <w:r>
        <w:rPr>
          <w:sz w:val="20"/>
        </w:rPr>
        <w:t>available</w:t>
      </w:r>
      <w:r>
        <w:rPr>
          <w:spacing w:val="-1"/>
          <w:sz w:val="20"/>
        </w:rPr>
        <w:t> </w:t>
      </w:r>
      <w:r>
        <w:rPr>
          <w:sz w:val="20"/>
        </w:rPr>
        <w:t>from</w:t>
      </w:r>
      <w:r>
        <w:rPr>
          <w:spacing w:val="-2"/>
          <w:sz w:val="20"/>
        </w:rPr>
        <w:t> </w:t>
      </w:r>
      <w:r>
        <w:rPr>
          <w:sz w:val="20"/>
        </w:rPr>
        <w:t>PHNs</w:t>
      </w:r>
      <w:r>
        <w:rPr>
          <w:spacing w:val="1"/>
          <w:sz w:val="20"/>
        </w:rPr>
        <w:t> </w:t>
      </w:r>
      <w:r>
        <w:rPr>
          <w:sz w:val="20"/>
        </w:rPr>
        <w:t>in addition</w:t>
      </w:r>
      <w:r>
        <w:rPr>
          <w:spacing w:val="-1"/>
          <w:sz w:val="20"/>
        </w:rPr>
        <w:t> </w:t>
      </w:r>
      <w:r>
        <w:rPr>
          <w:sz w:val="20"/>
        </w:rPr>
        <w:t>to</w:t>
      </w:r>
      <w:r>
        <w:rPr>
          <w:spacing w:val="-1"/>
          <w:sz w:val="20"/>
        </w:rPr>
        <w:t> </w:t>
      </w:r>
      <w:r>
        <w:rPr>
          <w:sz w:val="20"/>
        </w:rPr>
        <w:t>obtaining</w:t>
      </w:r>
      <w:r>
        <w:rPr>
          <w:spacing w:val="-2"/>
          <w:sz w:val="20"/>
        </w:rPr>
        <w:t> </w:t>
      </w:r>
      <w:r>
        <w:rPr>
          <w:sz w:val="20"/>
        </w:rPr>
        <w:t>it from</w:t>
      </w:r>
      <w:r>
        <w:rPr>
          <w:spacing w:val="-1"/>
          <w:sz w:val="20"/>
        </w:rPr>
        <w:t> </w:t>
      </w:r>
      <w:r>
        <w:rPr>
          <w:sz w:val="20"/>
        </w:rPr>
        <w:t>practices.</w:t>
      </w:r>
    </w:p>
    <w:p>
      <w:pPr>
        <w:pStyle w:val="BodyText"/>
        <w:spacing w:line="276" w:lineRule="auto" w:before="200"/>
        <w:ind w:left="860" w:right="1361"/>
      </w:pPr>
      <w:r>
        <w:rPr/>
        <w:t>For community pharmacies, the Community Pharmacy Health Outcomes Data will be used</w:t>
      </w:r>
      <w:r>
        <w:rPr>
          <w:spacing w:val="-53"/>
        </w:rPr>
        <w:t> </w:t>
      </w:r>
      <w:r>
        <w:rPr/>
        <w:t>to</w:t>
      </w:r>
      <w:r>
        <w:rPr>
          <w:spacing w:val="-2"/>
        </w:rPr>
        <w:t> </w:t>
      </w:r>
      <w:r>
        <w:rPr/>
        <w:t>supplement</w:t>
      </w:r>
      <w:r>
        <w:rPr>
          <w:spacing w:val="1"/>
        </w:rPr>
        <w:t> </w:t>
      </w:r>
      <w:r>
        <w:rPr/>
        <w:t>information</w:t>
      </w:r>
      <w:r>
        <w:rPr>
          <w:spacing w:val="-1"/>
        </w:rPr>
        <w:t> </w:t>
      </w:r>
      <w:r>
        <w:rPr/>
        <w:t>obtained</w:t>
      </w:r>
      <w:r>
        <w:rPr>
          <w:spacing w:val="-1"/>
        </w:rPr>
        <w:t> </w:t>
      </w:r>
      <w:r>
        <w:rPr/>
        <w:t>from</w:t>
      </w:r>
      <w:r>
        <w:rPr>
          <w:spacing w:val="-2"/>
        </w:rPr>
        <w:t> </w:t>
      </w:r>
      <w:r>
        <w:rPr/>
        <w:t>surveys</w:t>
      </w:r>
      <w:r>
        <w:rPr>
          <w:spacing w:val="1"/>
        </w:rPr>
        <w:t> </w:t>
      </w:r>
      <w:r>
        <w:rPr/>
        <w:t>and</w:t>
      </w:r>
      <w:r>
        <w:rPr>
          <w:spacing w:val="-2"/>
        </w:rPr>
        <w:t> </w:t>
      </w:r>
      <w:r>
        <w:rPr/>
        <w:t>interviews.</w:t>
      </w:r>
    </w:p>
    <w:p>
      <w:pPr>
        <w:pStyle w:val="BodyText"/>
        <w:spacing w:before="201"/>
        <w:ind w:left="860"/>
      </w:pPr>
      <w:r>
        <w:rPr/>
        <w:t>The</w:t>
      </w:r>
      <w:r>
        <w:rPr>
          <w:spacing w:val="-4"/>
        </w:rPr>
        <w:t> </w:t>
      </w:r>
      <w:r>
        <w:rPr/>
        <w:t>collection</w:t>
      </w:r>
      <w:r>
        <w:rPr>
          <w:spacing w:val="-3"/>
        </w:rPr>
        <w:t> </w:t>
      </w:r>
      <w:r>
        <w:rPr/>
        <w:t>approaches</w:t>
      </w:r>
      <w:r>
        <w:rPr>
          <w:spacing w:val="-4"/>
        </w:rPr>
        <w:t> </w:t>
      </w:r>
      <w:r>
        <w:rPr/>
        <w:t>are</w:t>
      </w:r>
      <w:r>
        <w:rPr>
          <w:spacing w:val="-3"/>
        </w:rPr>
        <w:t> </w:t>
      </w:r>
      <w:r>
        <w:rPr/>
        <w:t>described</w:t>
      </w:r>
      <w:r>
        <w:rPr>
          <w:spacing w:val="-4"/>
        </w:rPr>
        <w:t> </w:t>
      </w:r>
      <w:r>
        <w:rPr/>
        <w:t>below.</w:t>
      </w:r>
    </w:p>
    <w:p>
      <w:pPr>
        <w:pStyle w:val="BodyText"/>
        <w:spacing w:before="1"/>
        <w:rPr>
          <w:sz w:val="19"/>
        </w:rPr>
      </w:pPr>
    </w:p>
    <w:p>
      <w:pPr>
        <w:pStyle w:val="Heading2"/>
      </w:pPr>
      <w:bookmarkStart w:name="_bookmark33" w:id="34"/>
      <w:bookmarkEnd w:id="34"/>
      <w:r>
        <w:rPr/>
      </w:r>
      <w:r>
        <w:rPr>
          <w:color w:val="003C79"/>
        </w:rPr>
        <w:t>Practice</w:t>
      </w:r>
      <w:r>
        <w:rPr>
          <w:color w:val="003C79"/>
          <w:spacing w:val="-5"/>
        </w:rPr>
        <w:t> </w:t>
      </w:r>
      <w:r>
        <w:rPr>
          <w:color w:val="003C79"/>
        </w:rPr>
        <w:t>survey</w:t>
      </w:r>
    </w:p>
    <w:p>
      <w:pPr>
        <w:pStyle w:val="BodyText"/>
        <w:spacing w:line="276" w:lineRule="auto" w:before="262"/>
        <w:ind w:left="860" w:right="1432"/>
      </w:pPr>
      <w:r>
        <w:rPr/>
        <w:t>All participating HCH practices will be invited to participate in the practice survey. The</w:t>
      </w:r>
      <w:r>
        <w:rPr>
          <w:spacing w:val="1"/>
        </w:rPr>
        <w:t> </w:t>
      </w:r>
      <w:r>
        <w:rPr/>
        <w:t>practice survey is expected to be coordinated by a nominated person within the practice</w:t>
      </w:r>
      <w:r>
        <w:rPr>
          <w:spacing w:val="-54"/>
        </w:rPr>
        <w:t> </w:t>
      </w:r>
      <w:r>
        <w:rPr/>
        <w:t>(such as a practice manager), but will need to seek input from GPs, practice nurses, nurse</w:t>
      </w:r>
      <w:r>
        <w:rPr>
          <w:spacing w:val="1"/>
        </w:rPr>
        <w:t> </w:t>
      </w:r>
      <w:r>
        <w:rPr/>
        <w:t>practitioners</w:t>
      </w:r>
      <w:r>
        <w:rPr>
          <w:spacing w:val="-2"/>
        </w:rPr>
        <w:t> </w:t>
      </w:r>
      <w:r>
        <w:rPr/>
        <w:t>and</w:t>
      </w:r>
      <w:r>
        <w:rPr>
          <w:spacing w:val="-1"/>
        </w:rPr>
        <w:t> </w:t>
      </w:r>
      <w:r>
        <w:rPr/>
        <w:t>other</w:t>
      </w:r>
      <w:r>
        <w:rPr>
          <w:spacing w:val="-1"/>
        </w:rPr>
        <w:t> </w:t>
      </w:r>
      <w:r>
        <w:rPr/>
        <w:t>practice</w:t>
      </w:r>
      <w:r>
        <w:rPr>
          <w:spacing w:val="-1"/>
        </w:rPr>
        <w:t> </w:t>
      </w:r>
      <w:r>
        <w:rPr/>
        <w:t>staff.</w:t>
      </w:r>
    </w:p>
    <w:p>
      <w:pPr>
        <w:pStyle w:val="BodyText"/>
        <w:spacing w:before="199"/>
        <w:ind w:left="860"/>
      </w:pPr>
      <w:r>
        <w:rPr/>
        <w:t>The</w:t>
      </w:r>
      <w:r>
        <w:rPr>
          <w:spacing w:val="-3"/>
        </w:rPr>
        <w:t> </w:t>
      </w:r>
      <w:r>
        <w:rPr/>
        <w:t>practice</w:t>
      </w:r>
      <w:r>
        <w:rPr>
          <w:spacing w:val="-3"/>
        </w:rPr>
        <w:t> </w:t>
      </w:r>
      <w:r>
        <w:rPr/>
        <w:t>survey</w:t>
      </w:r>
      <w:r>
        <w:rPr>
          <w:spacing w:val="-4"/>
        </w:rPr>
        <w:t> </w:t>
      </w:r>
      <w:r>
        <w:rPr/>
        <w:t>is</w:t>
      </w:r>
      <w:r>
        <w:rPr>
          <w:spacing w:val="-3"/>
        </w:rPr>
        <w:t> </w:t>
      </w:r>
      <w:r>
        <w:rPr/>
        <w:t>at</w:t>
      </w:r>
      <w:r>
        <w:rPr>
          <w:spacing w:val="-1"/>
        </w:rPr>
        <w:t> </w:t>
      </w:r>
      <w:r>
        <w:rPr/>
        <w:t>Appendix</w:t>
      </w:r>
      <w:r>
        <w:rPr>
          <w:spacing w:val="-3"/>
        </w:rPr>
        <w:t> </w:t>
      </w:r>
      <w:r>
        <w:rPr/>
        <w:t>C.</w:t>
      </w:r>
      <w:r>
        <w:rPr>
          <w:spacing w:val="-1"/>
        </w:rPr>
        <w:t> </w:t>
      </w:r>
      <w:r>
        <w:rPr/>
        <w:t>In</w:t>
      </w:r>
      <w:r>
        <w:rPr>
          <w:spacing w:val="-2"/>
        </w:rPr>
        <w:t> </w:t>
      </w:r>
      <w:r>
        <w:rPr/>
        <w:t>summary,</w:t>
      </w:r>
      <w:r>
        <w:rPr>
          <w:spacing w:val="-3"/>
        </w:rPr>
        <w:t> </w:t>
      </w:r>
      <w:r>
        <w:rPr/>
        <w:t>it</w:t>
      </w:r>
      <w:r>
        <w:rPr>
          <w:spacing w:val="-1"/>
        </w:rPr>
        <w:t> </w:t>
      </w:r>
      <w:r>
        <w:rPr/>
        <w:t>will</w:t>
      </w:r>
      <w:r>
        <w:rPr>
          <w:spacing w:val="-2"/>
        </w:rPr>
        <w:t> </w:t>
      </w:r>
      <w:r>
        <w:rPr/>
        <w:t>collect</w:t>
      </w:r>
      <w:r>
        <w:rPr>
          <w:spacing w:val="-3"/>
        </w:rPr>
        <w:t> </w:t>
      </w:r>
      <w:r>
        <w:rPr/>
        <w:t>information</w:t>
      </w:r>
      <w:r>
        <w:rPr>
          <w:spacing w:val="-2"/>
        </w:rPr>
        <w:t> </w:t>
      </w:r>
      <w:r>
        <w:rPr/>
        <w:t>on:</w:t>
      </w:r>
    </w:p>
    <w:p>
      <w:pPr>
        <w:pStyle w:val="BodyText"/>
        <w:spacing w:before="4"/>
        <w:rPr>
          <w:sz w:val="19"/>
        </w:rPr>
      </w:pPr>
    </w:p>
    <w:p>
      <w:pPr>
        <w:pStyle w:val="ListParagraph"/>
        <w:numPr>
          <w:ilvl w:val="1"/>
          <w:numId w:val="16"/>
        </w:numPr>
        <w:tabs>
          <w:tab w:pos="1573" w:val="left" w:leader="none"/>
          <w:tab w:pos="1574" w:val="left" w:leader="none"/>
        </w:tabs>
        <w:spacing w:line="240" w:lineRule="auto" w:before="1" w:after="0"/>
        <w:ind w:left="1573" w:right="0" w:hanging="356"/>
        <w:jc w:val="left"/>
        <w:rPr>
          <w:sz w:val="20"/>
        </w:rPr>
      </w:pPr>
      <w:r>
        <w:rPr>
          <w:sz w:val="20"/>
        </w:rPr>
        <w:t>practice</w:t>
      </w:r>
      <w:r>
        <w:rPr>
          <w:spacing w:val="-6"/>
          <w:sz w:val="20"/>
        </w:rPr>
        <w:t> </w:t>
      </w:r>
      <w:r>
        <w:rPr>
          <w:sz w:val="20"/>
        </w:rPr>
        <w:t>and</w:t>
      </w:r>
      <w:r>
        <w:rPr>
          <w:spacing w:val="-5"/>
          <w:sz w:val="20"/>
        </w:rPr>
        <w:t> </w:t>
      </w:r>
      <w:r>
        <w:rPr>
          <w:sz w:val="20"/>
        </w:rPr>
        <w:t>organisational</w:t>
      </w:r>
      <w:r>
        <w:rPr>
          <w:spacing w:val="-4"/>
          <w:sz w:val="20"/>
        </w:rPr>
        <w:t> </w:t>
      </w:r>
      <w:r>
        <w:rPr>
          <w:sz w:val="20"/>
        </w:rPr>
        <w:t>details</w:t>
      </w:r>
    </w:p>
    <w:p>
      <w:pPr>
        <w:pStyle w:val="ListParagraph"/>
        <w:numPr>
          <w:ilvl w:val="1"/>
          <w:numId w:val="16"/>
        </w:numPr>
        <w:tabs>
          <w:tab w:pos="1573" w:val="left" w:leader="none"/>
          <w:tab w:pos="1574" w:val="left" w:leader="none"/>
        </w:tabs>
        <w:spacing w:line="240" w:lineRule="auto" w:before="35" w:after="0"/>
        <w:ind w:left="1573" w:right="0" w:hanging="356"/>
        <w:jc w:val="left"/>
        <w:rPr>
          <w:sz w:val="20"/>
        </w:rPr>
      </w:pPr>
      <w:r>
        <w:rPr>
          <w:sz w:val="20"/>
        </w:rPr>
        <w:t>staffing</w:t>
      </w:r>
      <w:r>
        <w:rPr>
          <w:spacing w:val="-4"/>
          <w:sz w:val="20"/>
        </w:rPr>
        <w:t> </w:t>
      </w:r>
      <w:r>
        <w:rPr>
          <w:sz w:val="20"/>
        </w:rPr>
        <w:t>configuration</w:t>
      </w:r>
    </w:p>
    <w:p>
      <w:pPr>
        <w:pStyle w:val="ListParagraph"/>
        <w:numPr>
          <w:ilvl w:val="1"/>
          <w:numId w:val="16"/>
        </w:numPr>
        <w:tabs>
          <w:tab w:pos="1573" w:val="left" w:leader="none"/>
          <w:tab w:pos="1574" w:val="left" w:leader="none"/>
        </w:tabs>
        <w:spacing w:line="240" w:lineRule="auto" w:before="38" w:after="0"/>
        <w:ind w:left="1573" w:right="0" w:hanging="356"/>
        <w:jc w:val="left"/>
        <w:rPr>
          <w:sz w:val="20"/>
        </w:rPr>
      </w:pPr>
      <w:r>
        <w:rPr>
          <w:sz w:val="20"/>
        </w:rPr>
        <w:t>access</w:t>
      </w:r>
      <w:r>
        <w:rPr>
          <w:spacing w:val="-5"/>
          <w:sz w:val="20"/>
        </w:rPr>
        <w:t> </w:t>
      </w:r>
      <w:r>
        <w:rPr>
          <w:sz w:val="20"/>
        </w:rPr>
        <w:t>arrangements</w:t>
      </w:r>
      <w:r>
        <w:rPr>
          <w:spacing w:val="-2"/>
          <w:sz w:val="20"/>
        </w:rPr>
        <w:t> </w:t>
      </w:r>
      <w:r>
        <w:rPr>
          <w:sz w:val="20"/>
        </w:rPr>
        <w:t>(opening</w:t>
      </w:r>
      <w:r>
        <w:rPr>
          <w:spacing w:val="-5"/>
          <w:sz w:val="20"/>
        </w:rPr>
        <w:t> </w:t>
      </w:r>
      <w:r>
        <w:rPr>
          <w:sz w:val="20"/>
        </w:rPr>
        <w:t>hours,</w:t>
      </w:r>
      <w:r>
        <w:rPr>
          <w:spacing w:val="-6"/>
          <w:sz w:val="20"/>
        </w:rPr>
        <w:t> </w:t>
      </w:r>
      <w:r>
        <w:rPr>
          <w:sz w:val="20"/>
        </w:rPr>
        <w:t>after-hours</w:t>
      </w:r>
      <w:r>
        <w:rPr>
          <w:spacing w:val="-2"/>
          <w:sz w:val="20"/>
        </w:rPr>
        <w:t> </w:t>
      </w:r>
      <w:r>
        <w:rPr>
          <w:sz w:val="20"/>
        </w:rPr>
        <w:t>arrangements)</w:t>
      </w:r>
    </w:p>
    <w:p>
      <w:pPr>
        <w:pStyle w:val="ListParagraph"/>
        <w:numPr>
          <w:ilvl w:val="1"/>
          <w:numId w:val="16"/>
        </w:numPr>
        <w:tabs>
          <w:tab w:pos="1573" w:val="left" w:leader="none"/>
          <w:tab w:pos="1574" w:val="left" w:leader="none"/>
        </w:tabs>
        <w:spacing w:line="240" w:lineRule="auto" w:before="36" w:after="0"/>
        <w:ind w:left="1573" w:right="0" w:hanging="356"/>
        <w:jc w:val="left"/>
        <w:rPr>
          <w:sz w:val="20"/>
        </w:rPr>
      </w:pPr>
      <w:r>
        <w:rPr>
          <w:sz w:val="20"/>
        </w:rPr>
        <w:t>information</w:t>
      </w:r>
      <w:r>
        <w:rPr>
          <w:spacing w:val="-4"/>
          <w:sz w:val="20"/>
        </w:rPr>
        <w:t> </w:t>
      </w:r>
      <w:r>
        <w:rPr>
          <w:sz w:val="20"/>
        </w:rPr>
        <w:t>systems</w:t>
      </w:r>
      <w:r>
        <w:rPr>
          <w:spacing w:val="-5"/>
          <w:sz w:val="20"/>
        </w:rPr>
        <w:t> </w:t>
      </w:r>
      <w:r>
        <w:rPr>
          <w:sz w:val="20"/>
        </w:rPr>
        <w:t>and</w:t>
      </w:r>
      <w:r>
        <w:rPr>
          <w:spacing w:val="-2"/>
          <w:sz w:val="20"/>
        </w:rPr>
        <w:t> </w:t>
      </w:r>
      <w:r>
        <w:rPr>
          <w:sz w:val="20"/>
        </w:rPr>
        <w:t>uses</w:t>
      </w:r>
    </w:p>
    <w:p>
      <w:pPr>
        <w:pStyle w:val="ListParagraph"/>
        <w:numPr>
          <w:ilvl w:val="1"/>
          <w:numId w:val="16"/>
        </w:numPr>
        <w:tabs>
          <w:tab w:pos="1573" w:val="left" w:leader="none"/>
          <w:tab w:pos="1574" w:val="left" w:leader="none"/>
        </w:tabs>
        <w:spacing w:line="240" w:lineRule="auto" w:before="38" w:after="0"/>
        <w:ind w:left="1573" w:right="0" w:hanging="356"/>
        <w:jc w:val="left"/>
        <w:rPr>
          <w:sz w:val="20"/>
        </w:rPr>
      </w:pPr>
      <w:r>
        <w:rPr>
          <w:sz w:val="20"/>
        </w:rPr>
        <w:t>assessment</w:t>
      </w:r>
      <w:r>
        <w:rPr>
          <w:spacing w:val="-3"/>
          <w:sz w:val="20"/>
        </w:rPr>
        <w:t> </w:t>
      </w:r>
      <w:r>
        <w:rPr>
          <w:sz w:val="20"/>
        </w:rPr>
        <w:t>of</w:t>
      </w:r>
      <w:r>
        <w:rPr>
          <w:spacing w:val="-5"/>
          <w:sz w:val="20"/>
        </w:rPr>
        <w:t> </w:t>
      </w:r>
      <w:r>
        <w:rPr>
          <w:sz w:val="20"/>
        </w:rPr>
        <w:t>risk</w:t>
      </w:r>
      <w:r>
        <w:rPr>
          <w:spacing w:val="-4"/>
          <w:sz w:val="20"/>
        </w:rPr>
        <w:t> </w:t>
      </w:r>
      <w:r>
        <w:rPr>
          <w:sz w:val="20"/>
        </w:rPr>
        <w:t>stratification</w:t>
      </w:r>
      <w:r>
        <w:rPr>
          <w:spacing w:val="-4"/>
          <w:sz w:val="20"/>
        </w:rPr>
        <w:t> </w:t>
      </w:r>
      <w:r>
        <w:rPr>
          <w:sz w:val="20"/>
        </w:rPr>
        <w:t>and</w:t>
      </w:r>
      <w:r>
        <w:rPr>
          <w:spacing w:val="-4"/>
          <w:sz w:val="20"/>
        </w:rPr>
        <w:t> </w:t>
      </w:r>
      <w:r>
        <w:rPr>
          <w:sz w:val="20"/>
        </w:rPr>
        <w:t>enrolment</w:t>
      </w:r>
      <w:r>
        <w:rPr>
          <w:spacing w:val="-3"/>
          <w:sz w:val="20"/>
        </w:rPr>
        <w:t> </w:t>
      </w:r>
      <w:r>
        <w:rPr>
          <w:sz w:val="20"/>
        </w:rPr>
        <w:t>processes</w:t>
      </w:r>
    </w:p>
    <w:p>
      <w:pPr>
        <w:pStyle w:val="ListParagraph"/>
        <w:numPr>
          <w:ilvl w:val="1"/>
          <w:numId w:val="16"/>
        </w:numPr>
        <w:tabs>
          <w:tab w:pos="1573" w:val="left" w:leader="none"/>
          <w:tab w:pos="1574" w:val="left" w:leader="none"/>
        </w:tabs>
        <w:spacing w:line="240" w:lineRule="auto" w:before="35" w:after="0"/>
        <w:ind w:left="1573" w:right="0" w:hanging="356"/>
        <w:jc w:val="left"/>
        <w:rPr>
          <w:sz w:val="20"/>
        </w:rPr>
      </w:pPr>
      <w:r>
        <w:rPr>
          <w:sz w:val="20"/>
        </w:rPr>
        <w:t>shared</w:t>
      </w:r>
      <w:r>
        <w:rPr>
          <w:spacing w:val="-4"/>
          <w:sz w:val="20"/>
        </w:rPr>
        <w:t> </w:t>
      </w:r>
      <w:r>
        <w:rPr>
          <w:sz w:val="20"/>
        </w:rPr>
        <w:t>care</w:t>
      </w:r>
      <w:r>
        <w:rPr>
          <w:spacing w:val="-4"/>
          <w:sz w:val="20"/>
        </w:rPr>
        <w:t> </w:t>
      </w:r>
      <w:r>
        <w:rPr>
          <w:sz w:val="20"/>
        </w:rPr>
        <w:t>planning</w:t>
      </w:r>
    </w:p>
    <w:p>
      <w:pPr>
        <w:pStyle w:val="ListParagraph"/>
        <w:numPr>
          <w:ilvl w:val="1"/>
          <w:numId w:val="16"/>
        </w:numPr>
        <w:tabs>
          <w:tab w:pos="1573" w:val="left" w:leader="none"/>
          <w:tab w:pos="1574" w:val="left" w:leader="none"/>
        </w:tabs>
        <w:spacing w:line="240" w:lineRule="auto" w:before="38" w:after="0"/>
        <w:ind w:left="1573" w:right="0" w:hanging="356"/>
        <w:jc w:val="left"/>
        <w:rPr>
          <w:sz w:val="20"/>
        </w:rPr>
      </w:pPr>
      <w:r>
        <w:rPr>
          <w:sz w:val="20"/>
        </w:rPr>
        <w:t>patient</w:t>
      </w:r>
      <w:r>
        <w:rPr>
          <w:spacing w:val="-4"/>
          <w:sz w:val="20"/>
        </w:rPr>
        <w:t> </w:t>
      </w:r>
      <w:r>
        <w:rPr>
          <w:sz w:val="20"/>
        </w:rPr>
        <w:t>engagement</w:t>
      </w:r>
      <w:r>
        <w:rPr>
          <w:spacing w:val="-4"/>
          <w:sz w:val="20"/>
        </w:rPr>
        <w:t> </w:t>
      </w:r>
      <w:r>
        <w:rPr>
          <w:sz w:val="20"/>
        </w:rPr>
        <w:t>and</w:t>
      </w:r>
      <w:r>
        <w:rPr>
          <w:spacing w:val="-5"/>
          <w:sz w:val="20"/>
        </w:rPr>
        <w:t> </w:t>
      </w:r>
      <w:r>
        <w:rPr>
          <w:sz w:val="20"/>
        </w:rPr>
        <w:t>activation</w:t>
      </w:r>
    </w:p>
    <w:p>
      <w:pPr>
        <w:pStyle w:val="ListParagraph"/>
        <w:numPr>
          <w:ilvl w:val="1"/>
          <w:numId w:val="16"/>
        </w:numPr>
        <w:tabs>
          <w:tab w:pos="1573" w:val="left" w:leader="none"/>
          <w:tab w:pos="1574" w:val="left" w:leader="none"/>
        </w:tabs>
        <w:spacing w:line="240" w:lineRule="auto" w:before="36" w:after="0"/>
        <w:ind w:left="1573" w:right="0" w:hanging="356"/>
        <w:jc w:val="left"/>
        <w:rPr>
          <w:sz w:val="20"/>
        </w:rPr>
      </w:pPr>
      <w:r>
        <w:rPr>
          <w:sz w:val="20"/>
        </w:rPr>
        <w:t>chronic</w:t>
      </w:r>
      <w:r>
        <w:rPr>
          <w:spacing w:val="-4"/>
          <w:sz w:val="20"/>
        </w:rPr>
        <w:t> </w:t>
      </w:r>
      <w:r>
        <w:rPr>
          <w:sz w:val="20"/>
        </w:rPr>
        <w:t>disease</w:t>
      </w:r>
      <w:r>
        <w:rPr>
          <w:spacing w:val="-5"/>
          <w:sz w:val="20"/>
        </w:rPr>
        <w:t> </w:t>
      </w:r>
      <w:r>
        <w:rPr>
          <w:sz w:val="20"/>
        </w:rPr>
        <w:t>management</w:t>
      </w:r>
    </w:p>
    <w:p>
      <w:pPr>
        <w:pStyle w:val="ListParagraph"/>
        <w:numPr>
          <w:ilvl w:val="1"/>
          <w:numId w:val="16"/>
        </w:numPr>
        <w:tabs>
          <w:tab w:pos="1573" w:val="left" w:leader="none"/>
          <w:tab w:pos="1574" w:val="left" w:leader="none"/>
        </w:tabs>
        <w:spacing w:line="240" w:lineRule="auto" w:before="38" w:after="0"/>
        <w:ind w:left="1573" w:right="0" w:hanging="356"/>
        <w:jc w:val="left"/>
        <w:rPr>
          <w:sz w:val="20"/>
        </w:rPr>
      </w:pPr>
      <w:r>
        <w:rPr>
          <w:sz w:val="20"/>
        </w:rPr>
        <w:t>initiatives</w:t>
      </w:r>
      <w:r>
        <w:rPr>
          <w:spacing w:val="-5"/>
          <w:sz w:val="20"/>
        </w:rPr>
        <w:t> </w:t>
      </w:r>
      <w:r>
        <w:rPr>
          <w:sz w:val="20"/>
        </w:rPr>
        <w:t>implemented/</w:t>
      </w:r>
      <w:r>
        <w:rPr>
          <w:spacing w:val="-6"/>
          <w:sz w:val="20"/>
        </w:rPr>
        <w:t> </w:t>
      </w:r>
      <w:r>
        <w:rPr>
          <w:sz w:val="20"/>
        </w:rPr>
        <w:t>enhances</w:t>
      </w:r>
      <w:r>
        <w:rPr>
          <w:spacing w:val="-4"/>
          <w:sz w:val="20"/>
        </w:rPr>
        <w:t> </w:t>
      </w:r>
      <w:r>
        <w:rPr>
          <w:sz w:val="20"/>
        </w:rPr>
        <w:t>as</w:t>
      </w:r>
      <w:r>
        <w:rPr>
          <w:spacing w:val="-4"/>
          <w:sz w:val="20"/>
        </w:rPr>
        <w:t> </w:t>
      </w:r>
      <w:r>
        <w:rPr>
          <w:sz w:val="20"/>
        </w:rPr>
        <w:t>part</w:t>
      </w:r>
      <w:r>
        <w:rPr>
          <w:spacing w:val="-2"/>
          <w:sz w:val="20"/>
        </w:rPr>
        <w:t> </w:t>
      </w:r>
      <w:r>
        <w:rPr>
          <w:sz w:val="20"/>
        </w:rPr>
        <w:t>of</w:t>
      </w:r>
      <w:r>
        <w:rPr>
          <w:spacing w:val="-5"/>
          <w:sz w:val="20"/>
        </w:rPr>
        <w:t> </w:t>
      </w:r>
      <w:r>
        <w:rPr>
          <w:sz w:val="20"/>
        </w:rPr>
        <w:t>HCH</w:t>
      </w:r>
    </w:p>
    <w:p>
      <w:pPr>
        <w:spacing w:after="0" w:line="240" w:lineRule="auto"/>
        <w:jc w:val="left"/>
        <w:rPr>
          <w:sz w:val="20"/>
        </w:rPr>
        <w:sectPr>
          <w:pgSz w:w="11910" w:h="16840"/>
          <w:pgMar w:header="0" w:footer="675" w:top="0" w:bottom="860" w:left="580" w:right="280"/>
        </w:sectPr>
      </w:pPr>
    </w:p>
    <w:p>
      <w:pPr>
        <w:pStyle w:val="ListParagraph"/>
        <w:numPr>
          <w:ilvl w:val="1"/>
          <w:numId w:val="16"/>
        </w:numPr>
        <w:tabs>
          <w:tab w:pos="1573" w:val="left" w:leader="none"/>
          <w:tab w:pos="1574" w:val="left" w:leader="none"/>
        </w:tabs>
        <w:spacing w:line="240" w:lineRule="auto" w:before="82" w:after="0"/>
        <w:ind w:left="1573" w:right="0" w:hanging="356"/>
        <w:jc w:val="left"/>
        <w:rPr>
          <w:sz w:val="20"/>
        </w:rPr>
      </w:pPr>
      <w:r>
        <w:rPr>
          <w:sz w:val="20"/>
        </w:rPr>
        <w:t>assessment</w:t>
      </w:r>
      <w:r>
        <w:rPr>
          <w:spacing w:val="-3"/>
          <w:sz w:val="20"/>
        </w:rPr>
        <w:t> </w:t>
      </w:r>
      <w:r>
        <w:rPr>
          <w:sz w:val="20"/>
        </w:rPr>
        <w:t>of</w:t>
      </w:r>
      <w:r>
        <w:rPr>
          <w:spacing w:val="-4"/>
          <w:sz w:val="20"/>
        </w:rPr>
        <w:t> </w:t>
      </w:r>
      <w:r>
        <w:rPr>
          <w:sz w:val="20"/>
        </w:rPr>
        <w:t>training</w:t>
      </w:r>
      <w:r>
        <w:rPr>
          <w:spacing w:val="-5"/>
          <w:sz w:val="20"/>
        </w:rPr>
        <w:t> </w:t>
      </w:r>
      <w:r>
        <w:rPr>
          <w:sz w:val="20"/>
        </w:rPr>
        <w:t>and</w:t>
      </w:r>
      <w:r>
        <w:rPr>
          <w:spacing w:val="-4"/>
          <w:sz w:val="20"/>
        </w:rPr>
        <w:t> </w:t>
      </w:r>
      <w:r>
        <w:rPr>
          <w:sz w:val="20"/>
        </w:rPr>
        <w:t>support</w:t>
      </w:r>
    </w:p>
    <w:p>
      <w:pPr>
        <w:pStyle w:val="ListParagraph"/>
        <w:numPr>
          <w:ilvl w:val="1"/>
          <w:numId w:val="16"/>
        </w:numPr>
        <w:tabs>
          <w:tab w:pos="1573" w:val="left" w:leader="none"/>
          <w:tab w:pos="1574" w:val="left" w:leader="none"/>
        </w:tabs>
        <w:spacing w:line="240" w:lineRule="auto" w:before="36" w:after="0"/>
        <w:ind w:left="1573" w:right="0" w:hanging="356"/>
        <w:jc w:val="left"/>
        <w:rPr>
          <w:sz w:val="20"/>
        </w:rPr>
      </w:pPr>
      <w:r>
        <w:rPr>
          <w:sz w:val="20"/>
        </w:rPr>
        <w:t>financial</w:t>
      </w:r>
      <w:r>
        <w:rPr>
          <w:spacing w:val="-4"/>
          <w:sz w:val="20"/>
        </w:rPr>
        <w:t> </w:t>
      </w:r>
      <w:r>
        <w:rPr>
          <w:sz w:val="20"/>
        </w:rPr>
        <w:t>impacts</w:t>
      </w:r>
      <w:r>
        <w:rPr>
          <w:spacing w:val="-3"/>
          <w:sz w:val="20"/>
        </w:rPr>
        <w:t> </w:t>
      </w:r>
      <w:r>
        <w:rPr>
          <w:sz w:val="20"/>
        </w:rPr>
        <w:t>of</w:t>
      </w:r>
      <w:r>
        <w:rPr>
          <w:spacing w:val="-3"/>
          <w:sz w:val="20"/>
        </w:rPr>
        <w:t> </w:t>
      </w:r>
      <w:r>
        <w:rPr>
          <w:sz w:val="20"/>
        </w:rPr>
        <w:t>HCH.</w:t>
      </w:r>
    </w:p>
    <w:p>
      <w:pPr>
        <w:pStyle w:val="BodyText"/>
        <w:spacing w:before="4"/>
        <w:rPr>
          <w:sz w:val="19"/>
        </w:rPr>
      </w:pPr>
    </w:p>
    <w:p>
      <w:pPr>
        <w:pStyle w:val="BodyText"/>
        <w:ind w:left="860"/>
      </w:pPr>
      <w:r>
        <w:rPr/>
        <w:t>Where</w:t>
      </w:r>
      <w:r>
        <w:rPr>
          <w:spacing w:val="-3"/>
        </w:rPr>
        <w:t> </w:t>
      </w:r>
      <w:r>
        <w:rPr/>
        <w:t>relevant,</w:t>
      </w:r>
      <w:r>
        <w:rPr>
          <w:spacing w:val="-5"/>
        </w:rPr>
        <w:t> </w:t>
      </w:r>
      <w:r>
        <w:rPr/>
        <w:t>changes</w:t>
      </w:r>
      <w:r>
        <w:rPr>
          <w:spacing w:val="-1"/>
        </w:rPr>
        <w:t> </w:t>
      </w:r>
      <w:r>
        <w:rPr/>
        <w:t>to</w:t>
      </w:r>
      <w:r>
        <w:rPr>
          <w:spacing w:val="-3"/>
        </w:rPr>
        <w:t> </w:t>
      </w:r>
      <w:r>
        <w:rPr/>
        <w:t>the</w:t>
      </w:r>
      <w:r>
        <w:rPr>
          <w:spacing w:val="-3"/>
        </w:rPr>
        <w:t> </w:t>
      </w:r>
      <w:r>
        <w:rPr/>
        <w:t>above</w:t>
      </w:r>
      <w:r>
        <w:rPr>
          <w:spacing w:val="-3"/>
        </w:rPr>
        <w:t> </w:t>
      </w:r>
      <w:r>
        <w:rPr/>
        <w:t>will</w:t>
      </w:r>
      <w:r>
        <w:rPr>
          <w:spacing w:val="-2"/>
        </w:rPr>
        <w:t> </w:t>
      </w:r>
      <w:r>
        <w:rPr/>
        <w:t>be</w:t>
      </w:r>
      <w:r>
        <w:rPr>
          <w:spacing w:val="-3"/>
        </w:rPr>
        <w:t> </w:t>
      </w:r>
      <w:r>
        <w:rPr/>
        <w:t>captured</w:t>
      </w:r>
      <w:r>
        <w:rPr>
          <w:spacing w:val="-3"/>
        </w:rPr>
        <w:t> </w:t>
      </w:r>
      <w:r>
        <w:rPr/>
        <w:t>in</w:t>
      </w:r>
      <w:r>
        <w:rPr>
          <w:spacing w:val="-2"/>
        </w:rPr>
        <w:t> </w:t>
      </w:r>
      <w:r>
        <w:rPr/>
        <w:t>each</w:t>
      </w:r>
      <w:r>
        <w:rPr>
          <w:spacing w:val="-2"/>
        </w:rPr>
        <w:t> </w:t>
      </w:r>
      <w:r>
        <w:rPr/>
        <w:t>survey</w:t>
      </w:r>
      <w:r>
        <w:rPr>
          <w:spacing w:val="-4"/>
        </w:rPr>
        <w:t> </w:t>
      </w:r>
      <w:r>
        <w:rPr/>
        <w:t>round.</w:t>
      </w:r>
    </w:p>
    <w:p>
      <w:pPr>
        <w:pStyle w:val="BodyText"/>
        <w:spacing w:before="4"/>
        <w:rPr>
          <w:sz w:val="19"/>
        </w:rPr>
      </w:pPr>
    </w:p>
    <w:p>
      <w:pPr>
        <w:pStyle w:val="BodyText"/>
        <w:spacing w:line="276" w:lineRule="auto"/>
        <w:ind w:left="860" w:right="1263"/>
      </w:pPr>
      <w:r>
        <w:rPr/>
        <w:t>In addition, a key objective of the practice level data collection will be to assess the extent</w:t>
      </w:r>
      <w:r>
        <w:rPr>
          <w:spacing w:val="1"/>
        </w:rPr>
        <w:t> </w:t>
      </w:r>
      <w:r>
        <w:rPr/>
        <w:t>to which a practice displays the elements of a HCH, and the strength of those elements. The</w:t>
      </w:r>
      <w:r>
        <w:rPr>
          <w:spacing w:val="-53"/>
        </w:rPr>
        <w:t> </w:t>
      </w:r>
      <w:r>
        <w:rPr/>
        <w:t>tool that will be used to allocate practices to categories that reflect the level of maturity of</w:t>
      </w:r>
      <w:r>
        <w:rPr>
          <w:spacing w:val="1"/>
        </w:rPr>
        <w:t> </w:t>
      </w:r>
      <w:r>
        <w:rPr/>
        <w:t>HCH elements is the Health Care Homes Assessment (HCH-A), a tool adopted for use in</w:t>
      </w:r>
      <w:r>
        <w:rPr>
          <w:spacing w:val="1"/>
        </w:rPr>
        <w:t> </w:t>
      </w:r>
      <w:r>
        <w:rPr/>
        <w:t>Australia by WentWest in 2015, and further adapted by AGPAL in 2017 for the HCH</w:t>
      </w:r>
      <w:r>
        <w:rPr>
          <w:spacing w:val="1"/>
        </w:rPr>
        <w:t> </w:t>
      </w:r>
      <w:r>
        <w:rPr/>
        <w:t>implementation in Australia (</w:t>
      </w:r>
      <w:hyperlink w:history="true" w:anchor="_bookmark122">
        <w:r>
          <w:rPr/>
          <w:t>MacColl Center for Health Care Innovation at Group Health</w:t>
        </w:r>
      </w:hyperlink>
      <w:r>
        <w:rPr>
          <w:spacing w:val="1"/>
        </w:rPr>
        <w:t> </w:t>
      </w:r>
      <w:r>
        <w:rPr/>
        <w:t>Research Institute, Qualis Health, WentWest et al., 2017). This is a self-assessment tool</w:t>
      </w:r>
      <w:r>
        <w:rPr>
          <w:spacing w:val="1"/>
        </w:rPr>
        <w:t> </w:t>
      </w:r>
      <w:r>
        <w:rPr/>
        <w:t>intended to be completed by practices to assess their status as a HCH, and track their</w:t>
      </w:r>
      <w:r>
        <w:rPr>
          <w:spacing w:val="1"/>
        </w:rPr>
        <w:t> </w:t>
      </w:r>
      <w:r>
        <w:rPr/>
        <w:t>progress against the domains of the patient centred medical home model. The tool has</w:t>
      </w:r>
      <w:r>
        <w:rPr>
          <w:spacing w:val="1"/>
        </w:rPr>
        <w:t> </w:t>
      </w:r>
      <w:r>
        <w:rPr/>
        <w:t>been</w:t>
      </w:r>
      <w:r>
        <w:rPr>
          <w:spacing w:val="-1"/>
        </w:rPr>
        <w:t> </w:t>
      </w:r>
      <w:r>
        <w:rPr/>
        <w:t>embedded</w:t>
      </w:r>
      <w:r>
        <w:rPr>
          <w:spacing w:val="-1"/>
        </w:rPr>
        <w:t> </w:t>
      </w:r>
      <w:r>
        <w:rPr/>
        <w:t>in the</w:t>
      </w:r>
      <w:r>
        <w:rPr>
          <w:spacing w:val="-2"/>
        </w:rPr>
        <w:t> </w:t>
      </w:r>
      <w:r>
        <w:rPr/>
        <w:t>practice</w:t>
      </w:r>
      <w:r>
        <w:rPr>
          <w:spacing w:val="-1"/>
        </w:rPr>
        <w:t> </w:t>
      </w:r>
      <w:r>
        <w:rPr/>
        <w:t>survey</w:t>
      </w:r>
      <w:r>
        <w:rPr>
          <w:spacing w:val="-2"/>
        </w:rPr>
        <w:t> </w:t>
      </w:r>
      <w:r>
        <w:rPr/>
        <w:t>at</w:t>
      </w:r>
      <w:r>
        <w:rPr>
          <w:spacing w:val="3"/>
        </w:rPr>
        <w:t> </w:t>
      </w:r>
      <w:r>
        <w:rPr/>
        <w:t>Appendix</w:t>
      </w:r>
      <w:r>
        <w:rPr>
          <w:spacing w:val="-2"/>
        </w:rPr>
        <w:t> </w:t>
      </w:r>
      <w:r>
        <w:rPr/>
        <w:t>C.</w:t>
      </w:r>
    </w:p>
    <w:p>
      <w:pPr>
        <w:pStyle w:val="Heading2"/>
        <w:spacing w:before="199"/>
      </w:pPr>
      <w:bookmarkStart w:name="_bookmark34" w:id="35"/>
      <w:bookmarkEnd w:id="35"/>
      <w:r>
        <w:rPr/>
      </w:r>
      <w:r>
        <w:rPr>
          <w:color w:val="003C79"/>
        </w:rPr>
        <w:t>Practice</w:t>
      </w:r>
      <w:r>
        <w:rPr>
          <w:color w:val="003C79"/>
          <w:spacing w:val="-6"/>
        </w:rPr>
        <w:t> </w:t>
      </w:r>
      <w:r>
        <w:rPr>
          <w:color w:val="003C79"/>
        </w:rPr>
        <w:t>staff</w:t>
      </w:r>
      <w:r>
        <w:rPr>
          <w:color w:val="003C79"/>
          <w:spacing w:val="-1"/>
        </w:rPr>
        <w:t> </w:t>
      </w:r>
      <w:r>
        <w:rPr>
          <w:color w:val="003C79"/>
        </w:rPr>
        <w:t>surveys</w:t>
      </w:r>
    </w:p>
    <w:p>
      <w:pPr>
        <w:pStyle w:val="BodyText"/>
        <w:spacing w:line="276" w:lineRule="auto" w:before="261"/>
        <w:ind w:left="860" w:right="1716"/>
      </w:pPr>
      <w:r>
        <w:rPr/>
        <w:t>Practice staff surveys will be administered at two time points: Round 1 and Round 5. The</w:t>
      </w:r>
      <w:r>
        <w:rPr>
          <w:spacing w:val="-53"/>
        </w:rPr>
        <w:t> </w:t>
      </w:r>
      <w:r>
        <w:rPr/>
        <w:t>practice staff survey is at Appendix D. It is largely based on the Medical Home Care</w:t>
      </w:r>
      <w:r>
        <w:rPr>
          <w:spacing w:val="1"/>
        </w:rPr>
        <w:t> </w:t>
      </w:r>
      <w:r>
        <w:rPr/>
        <w:t>Coordination Survey (</w:t>
      </w:r>
      <w:hyperlink w:history="true" w:anchor="_bookmark145">
        <w:r>
          <w:rPr/>
          <w:t>Zlateva, Anderson, Coman et al., 2015</w:t>
        </w:r>
      </w:hyperlink>
      <w:r>
        <w:rPr/>
        <w:t>), and will collect staff</w:t>
      </w:r>
      <w:r>
        <w:rPr>
          <w:spacing w:val="1"/>
        </w:rPr>
        <w:t> </w:t>
      </w:r>
      <w:r>
        <w:rPr/>
        <w:t>perspectives</w:t>
      </w:r>
      <w:r>
        <w:rPr>
          <w:spacing w:val="-2"/>
        </w:rPr>
        <w:t> </w:t>
      </w:r>
      <w:r>
        <w:rPr/>
        <w:t>on:</w:t>
      </w:r>
    </w:p>
    <w:p>
      <w:pPr>
        <w:pStyle w:val="ListParagraph"/>
        <w:numPr>
          <w:ilvl w:val="1"/>
          <w:numId w:val="16"/>
        </w:numPr>
        <w:tabs>
          <w:tab w:pos="1573" w:val="left" w:leader="none"/>
          <w:tab w:pos="1574" w:val="left" w:leader="none"/>
        </w:tabs>
        <w:spacing w:line="276" w:lineRule="auto" w:before="200" w:after="0"/>
        <w:ind w:left="1573" w:right="1417" w:hanging="356"/>
        <w:jc w:val="left"/>
        <w:rPr>
          <w:sz w:val="20"/>
        </w:rPr>
      </w:pPr>
      <w:r>
        <w:rPr>
          <w:b/>
          <w:sz w:val="20"/>
        </w:rPr>
        <w:t>HCH processes: care planning and review, multidisciplinary/ interdisciplinary team</w:t>
      </w:r>
      <w:r>
        <w:rPr>
          <w:b/>
          <w:spacing w:val="1"/>
          <w:sz w:val="20"/>
        </w:rPr>
        <w:t> </w:t>
      </w:r>
      <w:r>
        <w:rPr>
          <w:b/>
          <w:sz w:val="20"/>
        </w:rPr>
        <w:t>care, </w:t>
      </w:r>
      <w:r>
        <w:rPr>
          <w:sz w:val="20"/>
        </w:rPr>
        <w:t>for example, changes to team collaboration within the practice, changes to</w:t>
      </w:r>
      <w:r>
        <w:rPr>
          <w:spacing w:val="1"/>
          <w:sz w:val="20"/>
        </w:rPr>
        <w:t> </w:t>
      </w:r>
      <w:r>
        <w:rPr>
          <w:sz w:val="20"/>
        </w:rPr>
        <w:t>care coordination. The Round 5 GP survey will specifically include questions on how</w:t>
      </w:r>
      <w:r>
        <w:rPr>
          <w:spacing w:val="-53"/>
          <w:sz w:val="20"/>
        </w:rPr>
        <w:t> </w:t>
      </w:r>
      <w:r>
        <w:rPr>
          <w:sz w:val="20"/>
        </w:rPr>
        <w:t>GPs</w:t>
      </w:r>
      <w:r>
        <w:rPr>
          <w:spacing w:val="-2"/>
          <w:sz w:val="20"/>
        </w:rPr>
        <w:t> </w:t>
      </w:r>
      <w:r>
        <w:rPr>
          <w:sz w:val="20"/>
        </w:rPr>
        <w:t>and pharmacists</w:t>
      </w:r>
      <w:r>
        <w:rPr>
          <w:spacing w:val="-1"/>
          <w:sz w:val="20"/>
        </w:rPr>
        <w:t> </w:t>
      </w:r>
      <w:r>
        <w:rPr>
          <w:sz w:val="20"/>
        </w:rPr>
        <w:t>work together.</w:t>
      </w:r>
    </w:p>
    <w:p>
      <w:pPr>
        <w:pStyle w:val="ListParagraph"/>
        <w:numPr>
          <w:ilvl w:val="1"/>
          <w:numId w:val="16"/>
        </w:numPr>
        <w:tabs>
          <w:tab w:pos="1573" w:val="left" w:leader="none"/>
          <w:tab w:pos="1574" w:val="left" w:leader="none"/>
        </w:tabs>
        <w:spacing w:line="276" w:lineRule="auto" w:before="199" w:after="0"/>
        <w:ind w:left="1573" w:right="1294" w:hanging="356"/>
        <w:jc w:val="left"/>
        <w:rPr>
          <w:sz w:val="20"/>
        </w:rPr>
      </w:pPr>
      <w:r>
        <w:rPr>
          <w:b/>
          <w:sz w:val="20"/>
        </w:rPr>
        <w:t>HCH processes: chronic disease management, </w:t>
      </w:r>
      <w:r>
        <w:rPr>
          <w:sz w:val="20"/>
        </w:rPr>
        <w:t>for example, patient communication</w:t>
      </w:r>
      <w:r>
        <w:rPr>
          <w:spacing w:val="-53"/>
          <w:sz w:val="20"/>
        </w:rPr>
        <w:t> </w:t>
      </w:r>
      <w:r>
        <w:rPr>
          <w:sz w:val="20"/>
        </w:rPr>
        <w:t>and</w:t>
      </w:r>
      <w:r>
        <w:rPr>
          <w:spacing w:val="-2"/>
          <w:sz w:val="20"/>
        </w:rPr>
        <w:t> </w:t>
      </w:r>
      <w:r>
        <w:rPr>
          <w:sz w:val="20"/>
        </w:rPr>
        <w:t>engagement.</w:t>
      </w:r>
    </w:p>
    <w:p>
      <w:pPr>
        <w:pStyle w:val="ListParagraph"/>
        <w:numPr>
          <w:ilvl w:val="1"/>
          <w:numId w:val="16"/>
        </w:numPr>
        <w:tabs>
          <w:tab w:pos="1573" w:val="left" w:leader="none"/>
          <w:tab w:pos="1574" w:val="left" w:leader="none"/>
        </w:tabs>
        <w:spacing w:line="276" w:lineRule="auto" w:before="202" w:after="0"/>
        <w:ind w:left="1573" w:right="1401" w:hanging="356"/>
        <w:jc w:val="left"/>
        <w:rPr>
          <w:sz w:val="20"/>
        </w:rPr>
      </w:pPr>
      <w:r>
        <w:rPr>
          <w:b/>
          <w:sz w:val="20"/>
        </w:rPr>
        <w:t>HCH overall impact, </w:t>
      </w:r>
      <w:r>
        <w:rPr>
          <w:sz w:val="20"/>
        </w:rPr>
        <w:t>for example, staff experience/ assessment of the impact of the</w:t>
      </w:r>
      <w:r>
        <w:rPr>
          <w:spacing w:val="-53"/>
          <w:sz w:val="20"/>
        </w:rPr>
        <w:t> </w:t>
      </w:r>
      <w:r>
        <w:rPr>
          <w:sz w:val="20"/>
        </w:rPr>
        <w:t>HCH</w:t>
      </w:r>
      <w:r>
        <w:rPr>
          <w:spacing w:val="-2"/>
          <w:sz w:val="20"/>
        </w:rPr>
        <w:t> </w:t>
      </w:r>
      <w:r>
        <w:rPr>
          <w:sz w:val="20"/>
        </w:rPr>
        <w:t>program</w:t>
      </w:r>
      <w:r>
        <w:rPr>
          <w:spacing w:val="1"/>
          <w:sz w:val="20"/>
        </w:rPr>
        <w:t> </w:t>
      </w:r>
      <w:r>
        <w:rPr>
          <w:sz w:val="20"/>
        </w:rPr>
        <w:t>on</w:t>
      </w:r>
      <w:r>
        <w:rPr>
          <w:spacing w:val="-2"/>
          <w:sz w:val="20"/>
        </w:rPr>
        <w:t> </w:t>
      </w:r>
      <w:r>
        <w:rPr>
          <w:sz w:val="20"/>
        </w:rPr>
        <w:t>the</w:t>
      </w:r>
      <w:r>
        <w:rPr>
          <w:spacing w:val="-2"/>
          <w:sz w:val="20"/>
        </w:rPr>
        <w:t> </w:t>
      </w:r>
      <w:r>
        <w:rPr>
          <w:sz w:val="20"/>
        </w:rPr>
        <w:t>quality</w:t>
      </w:r>
      <w:r>
        <w:rPr>
          <w:spacing w:val="-3"/>
          <w:sz w:val="20"/>
        </w:rPr>
        <w:t> </w:t>
      </w:r>
      <w:r>
        <w:rPr>
          <w:sz w:val="20"/>
        </w:rPr>
        <w:t>of</w:t>
      </w:r>
      <w:r>
        <w:rPr>
          <w:spacing w:val="-3"/>
          <w:sz w:val="20"/>
        </w:rPr>
        <w:t> </w:t>
      </w:r>
      <w:r>
        <w:rPr>
          <w:sz w:val="20"/>
        </w:rPr>
        <w:t>care</w:t>
      </w:r>
      <w:r>
        <w:rPr>
          <w:spacing w:val="-2"/>
          <w:sz w:val="20"/>
        </w:rPr>
        <w:t> </w:t>
      </w:r>
      <w:r>
        <w:rPr>
          <w:sz w:val="20"/>
        </w:rPr>
        <w:t>delivered</w:t>
      </w:r>
      <w:r>
        <w:rPr>
          <w:spacing w:val="2"/>
          <w:sz w:val="20"/>
        </w:rPr>
        <w:t> </w:t>
      </w:r>
      <w:r>
        <w:rPr>
          <w:sz w:val="20"/>
        </w:rPr>
        <w:t>to patients</w:t>
      </w:r>
      <w:r>
        <w:rPr>
          <w:spacing w:val="-2"/>
          <w:sz w:val="20"/>
        </w:rPr>
        <w:t> </w:t>
      </w:r>
      <w:r>
        <w:rPr>
          <w:sz w:val="20"/>
        </w:rPr>
        <w:t>and</w:t>
      </w:r>
      <w:r>
        <w:rPr>
          <w:spacing w:val="-3"/>
          <w:sz w:val="20"/>
        </w:rPr>
        <w:t> </w:t>
      </w:r>
      <w:r>
        <w:rPr>
          <w:sz w:val="20"/>
        </w:rPr>
        <w:t>their</w:t>
      </w:r>
      <w:r>
        <w:rPr>
          <w:spacing w:val="-2"/>
          <w:sz w:val="20"/>
        </w:rPr>
        <w:t> </w:t>
      </w:r>
      <w:r>
        <w:rPr>
          <w:sz w:val="20"/>
        </w:rPr>
        <w:t>outcomes.</w:t>
      </w:r>
    </w:p>
    <w:p>
      <w:pPr>
        <w:pStyle w:val="ListParagraph"/>
        <w:numPr>
          <w:ilvl w:val="1"/>
          <w:numId w:val="16"/>
        </w:numPr>
        <w:tabs>
          <w:tab w:pos="1573" w:val="left" w:leader="none"/>
          <w:tab w:pos="1574" w:val="left" w:leader="none"/>
        </w:tabs>
        <w:spacing w:line="276" w:lineRule="auto" w:before="199" w:after="0"/>
        <w:ind w:left="1573" w:right="1417" w:hanging="356"/>
        <w:jc w:val="left"/>
        <w:rPr>
          <w:sz w:val="20"/>
        </w:rPr>
      </w:pPr>
      <w:r>
        <w:rPr>
          <w:b/>
          <w:sz w:val="20"/>
        </w:rPr>
        <w:t>Training,</w:t>
      </w:r>
      <w:r>
        <w:rPr>
          <w:b/>
          <w:spacing w:val="-5"/>
          <w:sz w:val="20"/>
        </w:rPr>
        <w:t> </w:t>
      </w:r>
      <w:r>
        <w:rPr>
          <w:sz w:val="20"/>
        </w:rPr>
        <w:t>for</w:t>
      </w:r>
      <w:r>
        <w:rPr>
          <w:spacing w:val="-4"/>
          <w:sz w:val="20"/>
        </w:rPr>
        <w:t> </w:t>
      </w:r>
      <w:r>
        <w:rPr>
          <w:sz w:val="20"/>
        </w:rPr>
        <w:t>example,</w:t>
      </w:r>
      <w:r>
        <w:rPr>
          <w:spacing w:val="-4"/>
          <w:sz w:val="20"/>
        </w:rPr>
        <w:t> </w:t>
      </w:r>
      <w:r>
        <w:rPr>
          <w:sz w:val="20"/>
        </w:rPr>
        <w:t>staff</w:t>
      </w:r>
      <w:r>
        <w:rPr>
          <w:spacing w:val="-4"/>
          <w:sz w:val="20"/>
        </w:rPr>
        <w:t> </w:t>
      </w:r>
      <w:r>
        <w:rPr>
          <w:sz w:val="20"/>
        </w:rPr>
        <w:t>experience/</w:t>
      </w:r>
      <w:r>
        <w:rPr>
          <w:spacing w:val="-4"/>
          <w:sz w:val="20"/>
        </w:rPr>
        <w:t> </w:t>
      </w:r>
      <w:r>
        <w:rPr>
          <w:sz w:val="20"/>
        </w:rPr>
        <w:t>assessment</w:t>
      </w:r>
      <w:r>
        <w:rPr>
          <w:spacing w:val="-2"/>
          <w:sz w:val="20"/>
        </w:rPr>
        <w:t> </w:t>
      </w:r>
      <w:r>
        <w:rPr>
          <w:sz w:val="20"/>
        </w:rPr>
        <w:t>of</w:t>
      </w:r>
      <w:r>
        <w:rPr>
          <w:spacing w:val="-4"/>
          <w:sz w:val="20"/>
        </w:rPr>
        <w:t> </w:t>
      </w:r>
      <w:r>
        <w:rPr>
          <w:sz w:val="20"/>
        </w:rPr>
        <w:t>the</w:t>
      </w:r>
      <w:r>
        <w:rPr>
          <w:spacing w:val="-4"/>
          <w:sz w:val="20"/>
        </w:rPr>
        <w:t> </w:t>
      </w:r>
      <w:r>
        <w:rPr>
          <w:sz w:val="20"/>
        </w:rPr>
        <w:t>utility</w:t>
      </w:r>
      <w:r>
        <w:rPr>
          <w:spacing w:val="-5"/>
          <w:sz w:val="20"/>
        </w:rPr>
        <w:t> </w:t>
      </w:r>
      <w:r>
        <w:rPr>
          <w:sz w:val="20"/>
        </w:rPr>
        <w:t>of</w:t>
      </w:r>
      <w:r>
        <w:rPr>
          <w:spacing w:val="-4"/>
          <w:sz w:val="20"/>
        </w:rPr>
        <w:t> </w:t>
      </w:r>
      <w:r>
        <w:rPr>
          <w:sz w:val="20"/>
        </w:rPr>
        <w:t>training</w:t>
      </w:r>
      <w:r>
        <w:rPr>
          <w:spacing w:val="-4"/>
          <w:sz w:val="20"/>
        </w:rPr>
        <w:t> </w:t>
      </w:r>
      <w:r>
        <w:rPr>
          <w:sz w:val="20"/>
        </w:rPr>
        <w:t>provided</w:t>
      </w:r>
      <w:r>
        <w:rPr>
          <w:spacing w:val="-52"/>
          <w:sz w:val="20"/>
        </w:rPr>
        <w:t> </w:t>
      </w:r>
      <w:r>
        <w:rPr>
          <w:sz w:val="20"/>
        </w:rPr>
        <w:t>as</w:t>
      </w:r>
      <w:r>
        <w:rPr>
          <w:spacing w:val="-2"/>
          <w:sz w:val="20"/>
        </w:rPr>
        <w:t> </w:t>
      </w:r>
      <w:r>
        <w:rPr>
          <w:sz w:val="20"/>
        </w:rPr>
        <w:t>a</w:t>
      </w:r>
      <w:r>
        <w:rPr>
          <w:spacing w:val="-1"/>
          <w:sz w:val="20"/>
        </w:rPr>
        <w:t> </w:t>
      </w:r>
      <w:r>
        <w:rPr>
          <w:sz w:val="20"/>
        </w:rPr>
        <w:t>part</w:t>
      </w:r>
      <w:r>
        <w:rPr>
          <w:spacing w:val="1"/>
          <w:sz w:val="20"/>
        </w:rPr>
        <w:t> </w:t>
      </w:r>
      <w:r>
        <w:rPr>
          <w:sz w:val="20"/>
        </w:rPr>
        <w:t>of</w:t>
      </w:r>
      <w:r>
        <w:rPr>
          <w:spacing w:val="-1"/>
          <w:sz w:val="20"/>
        </w:rPr>
        <w:t> </w:t>
      </w:r>
      <w:r>
        <w:rPr>
          <w:sz w:val="20"/>
        </w:rPr>
        <w:t>the</w:t>
      </w:r>
      <w:r>
        <w:rPr>
          <w:spacing w:val="-1"/>
          <w:sz w:val="20"/>
        </w:rPr>
        <w:t> </w:t>
      </w:r>
      <w:r>
        <w:rPr>
          <w:sz w:val="20"/>
        </w:rPr>
        <w:t>HCH implementation.</w:t>
      </w:r>
    </w:p>
    <w:p>
      <w:pPr>
        <w:pStyle w:val="ListParagraph"/>
        <w:numPr>
          <w:ilvl w:val="1"/>
          <w:numId w:val="16"/>
        </w:numPr>
        <w:tabs>
          <w:tab w:pos="1573" w:val="left" w:leader="none"/>
          <w:tab w:pos="1574" w:val="left" w:leader="none"/>
        </w:tabs>
        <w:spacing w:line="240" w:lineRule="auto" w:before="200" w:after="0"/>
        <w:ind w:left="1573" w:right="0" w:hanging="356"/>
        <w:jc w:val="left"/>
        <w:rPr>
          <w:sz w:val="20"/>
        </w:rPr>
      </w:pPr>
      <w:r>
        <w:rPr>
          <w:b/>
          <w:sz w:val="20"/>
        </w:rPr>
        <w:t>Provider</w:t>
      </w:r>
      <w:r>
        <w:rPr>
          <w:b/>
          <w:spacing w:val="-3"/>
          <w:sz w:val="20"/>
        </w:rPr>
        <w:t> </w:t>
      </w:r>
      <w:r>
        <w:rPr>
          <w:b/>
          <w:sz w:val="20"/>
        </w:rPr>
        <w:t>experience,</w:t>
      </w:r>
      <w:r>
        <w:rPr>
          <w:b/>
          <w:spacing w:val="-1"/>
          <w:sz w:val="20"/>
        </w:rPr>
        <w:t> </w:t>
      </w:r>
      <w:r>
        <w:rPr>
          <w:sz w:val="20"/>
        </w:rPr>
        <w:t>for</w:t>
      </w:r>
      <w:r>
        <w:rPr>
          <w:spacing w:val="-1"/>
          <w:sz w:val="20"/>
        </w:rPr>
        <w:t> </w:t>
      </w:r>
      <w:r>
        <w:rPr>
          <w:sz w:val="20"/>
        </w:rPr>
        <w:t>example,</w:t>
      </w:r>
      <w:r>
        <w:rPr>
          <w:spacing w:val="-6"/>
          <w:sz w:val="20"/>
        </w:rPr>
        <w:t> </w:t>
      </w:r>
      <w:r>
        <w:rPr>
          <w:sz w:val="20"/>
        </w:rPr>
        <w:t>staff</w:t>
      </w:r>
      <w:r>
        <w:rPr>
          <w:spacing w:val="-3"/>
          <w:sz w:val="20"/>
        </w:rPr>
        <w:t> </w:t>
      </w:r>
      <w:r>
        <w:rPr>
          <w:sz w:val="20"/>
        </w:rPr>
        <w:t>satisfaction</w:t>
      </w:r>
      <w:r>
        <w:rPr>
          <w:spacing w:val="-3"/>
          <w:sz w:val="20"/>
        </w:rPr>
        <w:t> </w:t>
      </w:r>
      <w:r>
        <w:rPr>
          <w:sz w:val="20"/>
        </w:rPr>
        <w:t>and</w:t>
      </w:r>
      <w:r>
        <w:rPr>
          <w:spacing w:val="-4"/>
          <w:sz w:val="20"/>
        </w:rPr>
        <w:t> </w:t>
      </w:r>
      <w:r>
        <w:rPr>
          <w:sz w:val="20"/>
        </w:rPr>
        <w:t>impact</w:t>
      </w:r>
      <w:r>
        <w:rPr>
          <w:spacing w:val="-2"/>
          <w:sz w:val="20"/>
        </w:rPr>
        <w:t> </w:t>
      </w:r>
      <w:r>
        <w:rPr>
          <w:sz w:val="20"/>
        </w:rPr>
        <w:t>of</w:t>
      </w:r>
      <w:r>
        <w:rPr>
          <w:spacing w:val="-3"/>
          <w:sz w:val="20"/>
        </w:rPr>
        <w:t> </w:t>
      </w:r>
      <w:r>
        <w:rPr>
          <w:sz w:val="20"/>
        </w:rPr>
        <w:t>HCH</w:t>
      </w:r>
      <w:r>
        <w:rPr>
          <w:spacing w:val="2"/>
          <w:sz w:val="20"/>
        </w:rPr>
        <w:t> </w:t>
      </w:r>
      <w:r>
        <w:rPr>
          <w:sz w:val="20"/>
        </w:rPr>
        <w:t>on role.</w:t>
      </w:r>
    </w:p>
    <w:p>
      <w:pPr>
        <w:pStyle w:val="BodyText"/>
        <w:spacing w:before="4"/>
        <w:rPr>
          <w:sz w:val="19"/>
        </w:rPr>
      </w:pPr>
    </w:p>
    <w:p>
      <w:pPr>
        <w:pStyle w:val="BodyText"/>
        <w:spacing w:line="276" w:lineRule="auto"/>
        <w:ind w:left="860" w:right="1256"/>
      </w:pPr>
      <w:r>
        <w:rPr/>
        <w:t>Some of the data above will also be collected through the practice survey (e.g. through the</w:t>
      </w:r>
      <w:r>
        <w:rPr>
          <w:spacing w:val="-54"/>
        </w:rPr>
        <w:t> </w:t>
      </w:r>
      <w:r>
        <w:rPr/>
        <w:t>HCH-A tool). The responses from individual staff members will assist with interpreting and</w:t>
      </w:r>
      <w:r>
        <w:rPr>
          <w:spacing w:val="1"/>
        </w:rPr>
        <w:t> </w:t>
      </w:r>
      <w:r>
        <w:rPr/>
        <w:t>moderating the</w:t>
      </w:r>
      <w:r>
        <w:rPr>
          <w:spacing w:val="-1"/>
        </w:rPr>
        <w:t> </w:t>
      </w:r>
      <w:r>
        <w:rPr/>
        <w:t>responses submitted</w:t>
      </w:r>
      <w:r>
        <w:rPr>
          <w:spacing w:val="-1"/>
        </w:rPr>
        <w:t> </w:t>
      </w:r>
      <w:r>
        <w:rPr/>
        <w:t>by</w:t>
      </w:r>
      <w:r>
        <w:rPr>
          <w:spacing w:val="-2"/>
        </w:rPr>
        <w:t> </w:t>
      </w:r>
      <w:r>
        <w:rPr/>
        <w:t>the</w:t>
      </w:r>
      <w:r>
        <w:rPr>
          <w:spacing w:val="-2"/>
        </w:rPr>
        <w:t> </w:t>
      </w:r>
      <w:r>
        <w:rPr/>
        <w:t>practice.</w:t>
      </w:r>
    </w:p>
    <w:p>
      <w:pPr>
        <w:spacing w:after="0" w:line="276" w:lineRule="auto"/>
        <w:sectPr>
          <w:pgSz w:w="11910" w:h="16840"/>
          <w:pgMar w:header="0" w:footer="675" w:top="1340" w:bottom="860" w:left="580" w:right="280"/>
        </w:sectPr>
      </w:pPr>
    </w:p>
    <w:p>
      <w:pPr>
        <w:spacing w:before="136"/>
        <w:ind w:left="757" w:right="1524" w:firstLine="0"/>
        <w:jc w:val="center"/>
        <w:rPr>
          <w:sz w:val="32"/>
        </w:rPr>
      </w:pPr>
      <w:r>
        <w:rPr/>
        <w:pict>
          <v:rect style="position:absolute;margin-left:72pt;margin-top:.073726pt;width:427.8pt;height:417.75pt;mso-position-horizontal-relative:page;mso-position-vertical-relative:paragraph;z-index:-27545600" id="docshape92" filled="true" fillcolor="#f1f1f1" stroked="false">
            <v:fill type="solid"/>
            <w10:wrap type="none"/>
          </v:rect>
        </w:pict>
      </w:r>
      <w:r>
        <w:rPr>
          <w:color w:val="003C79"/>
          <w:sz w:val="32"/>
        </w:rPr>
        <w:t>Case</w:t>
      </w:r>
      <w:r>
        <w:rPr>
          <w:color w:val="003C79"/>
          <w:spacing w:val="-4"/>
          <w:sz w:val="32"/>
        </w:rPr>
        <w:t> </w:t>
      </w:r>
      <w:r>
        <w:rPr>
          <w:color w:val="003C79"/>
          <w:sz w:val="32"/>
        </w:rPr>
        <w:t>studies</w:t>
      </w:r>
    </w:p>
    <w:p>
      <w:pPr>
        <w:spacing w:line="276" w:lineRule="auto" w:before="171"/>
        <w:ind w:left="1009" w:right="1908" w:firstLine="0"/>
        <w:jc w:val="left"/>
        <w:rPr>
          <w:sz w:val="18"/>
        </w:rPr>
      </w:pPr>
      <w:r>
        <w:rPr>
          <w:sz w:val="18"/>
        </w:rPr>
        <w:t>Case studies will be undertaken in 10-12 locations/ communities, and depending on the</w:t>
      </w:r>
      <w:r>
        <w:rPr>
          <w:spacing w:val="1"/>
          <w:sz w:val="18"/>
        </w:rPr>
        <w:t> </w:t>
      </w:r>
      <w:r>
        <w:rPr>
          <w:sz w:val="18"/>
        </w:rPr>
        <w:t>proximity of practices within these locations, will involve about 20 practices. The aim of the</w:t>
      </w:r>
      <w:r>
        <w:rPr>
          <w:spacing w:val="1"/>
          <w:sz w:val="18"/>
        </w:rPr>
        <w:t> </w:t>
      </w:r>
      <w:r>
        <w:rPr>
          <w:sz w:val="18"/>
        </w:rPr>
        <w:t>case studies is to provide more comprehensive information for the evaluation about what</w:t>
      </w:r>
      <w:r>
        <w:rPr>
          <w:spacing w:val="1"/>
          <w:sz w:val="18"/>
        </w:rPr>
        <w:t> </w:t>
      </w:r>
      <w:r>
        <w:rPr>
          <w:sz w:val="18"/>
        </w:rPr>
        <w:t>happened with the implementation in the selected locations, from various perspectives. They</w:t>
      </w:r>
      <w:r>
        <w:rPr>
          <w:spacing w:val="-47"/>
          <w:sz w:val="18"/>
        </w:rPr>
        <w:t> </w:t>
      </w:r>
      <w:r>
        <w:rPr>
          <w:sz w:val="18"/>
        </w:rPr>
        <w:t>will provide an opportunity to explore in detail the experience of patients and GPs, primary</w:t>
      </w:r>
      <w:r>
        <w:rPr>
          <w:spacing w:val="1"/>
          <w:sz w:val="18"/>
        </w:rPr>
        <w:t> </w:t>
      </w:r>
      <w:r>
        <w:rPr>
          <w:sz w:val="18"/>
        </w:rPr>
        <w:t>care</w:t>
      </w:r>
      <w:r>
        <w:rPr>
          <w:spacing w:val="-1"/>
          <w:sz w:val="18"/>
        </w:rPr>
        <w:t> </w:t>
      </w:r>
      <w:r>
        <w:rPr>
          <w:sz w:val="18"/>
        </w:rPr>
        <w:t>staff</w:t>
      </w:r>
      <w:r>
        <w:rPr>
          <w:spacing w:val="-2"/>
          <w:sz w:val="18"/>
        </w:rPr>
        <w:t> </w:t>
      </w:r>
      <w:r>
        <w:rPr>
          <w:sz w:val="18"/>
        </w:rPr>
        <w:t>and</w:t>
      </w:r>
      <w:r>
        <w:rPr>
          <w:spacing w:val="-1"/>
          <w:sz w:val="18"/>
        </w:rPr>
        <w:t> </w:t>
      </w:r>
      <w:r>
        <w:rPr>
          <w:sz w:val="18"/>
        </w:rPr>
        <w:t>other stakeholders.</w:t>
      </w:r>
    </w:p>
    <w:p>
      <w:pPr>
        <w:pStyle w:val="BodyText"/>
        <w:spacing w:before="4"/>
        <w:rPr>
          <w:sz w:val="16"/>
        </w:rPr>
      </w:pPr>
    </w:p>
    <w:p>
      <w:pPr>
        <w:spacing w:line="273" w:lineRule="auto" w:before="0"/>
        <w:ind w:left="1009" w:right="2045" w:firstLine="0"/>
        <w:jc w:val="left"/>
        <w:rPr>
          <w:sz w:val="18"/>
        </w:rPr>
      </w:pPr>
      <w:r>
        <w:rPr>
          <w:sz w:val="18"/>
        </w:rPr>
        <w:t>The case studies will involve two to three-day intensive site visits, engaging various groups as</w:t>
      </w:r>
      <w:r>
        <w:rPr>
          <w:spacing w:val="-47"/>
          <w:sz w:val="18"/>
        </w:rPr>
        <w:t> </w:t>
      </w:r>
      <w:r>
        <w:rPr>
          <w:sz w:val="18"/>
        </w:rPr>
        <w:t>follows:</w:t>
      </w:r>
    </w:p>
    <w:p>
      <w:pPr>
        <w:pStyle w:val="BodyText"/>
        <w:spacing w:before="8"/>
        <w:rPr>
          <w:sz w:val="16"/>
        </w:rPr>
      </w:pPr>
    </w:p>
    <w:p>
      <w:pPr>
        <w:pStyle w:val="ListParagraph"/>
        <w:numPr>
          <w:ilvl w:val="2"/>
          <w:numId w:val="16"/>
        </w:numPr>
        <w:tabs>
          <w:tab w:pos="1721" w:val="left" w:leader="none"/>
          <w:tab w:pos="1722" w:val="left" w:leader="none"/>
        </w:tabs>
        <w:spacing w:line="273" w:lineRule="auto" w:before="1" w:after="0"/>
        <w:ind w:left="1722" w:right="2401" w:hanging="356"/>
        <w:jc w:val="left"/>
        <w:rPr>
          <w:sz w:val="18"/>
        </w:rPr>
      </w:pPr>
      <w:r>
        <w:rPr>
          <w:sz w:val="18"/>
        </w:rPr>
        <w:t>patient (including carer and/ or family) interviews and focus groups, and where</w:t>
      </w:r>
      <w:r>
        <w:rPr>
          <w:spacing w:val="-47"/>
          <w:sz w:val="18"/>
        </w:rPr>
        <w:t> </w:t>
      </w:r>
      <w:r>
        <w:rPr>
          <w:sz w:val="18"/>
        </w:rPr>
        <w:t>appropriate,</w:t>
      </w:r>
      <w:r>
        <w:rPr>
          <w:spacing w:val="-3"/>
          <w:sz w:val="18"/>
        </w:rPr>
        <w:t> </w:t>
      </w:r>
      <w:r>
        <w:rPr>
          <w:sz w:val="18"/>
        </w:rPr>
        <w:t>interviews</w:t>
      </w:r>
      <w:r>
        <w:rPr>
          <w:spacing w:val="-1"/>
          <w:sz w:val="18"/>
        </w:rPr>
        <w:t> </w:t>
      </w:r>
      <w:r>
        <w:rPr>
          <w:sz w:val="18"/>
        </w:rPr>
        <w:t>with</w:t>
      </w:r>
      <w:r>
        <w:rPr>
          <w:spacing w:val="-3"/>
          <w:sz w:val="18"/>
        </w:rPr>
        <w:t> </w:t>
      </w:r>
      <w:r>
        <w:rPr>
          <w:sz w:val="18"/>
        </w:rPr>
        <w:t>community</w:t>
      </w:r>
      <w:r>
        <w:rPr>
          <w:spacing w:val="-1"/>
          <w:sz w:val="18"/>
        </w:rPr>
        <w:t> </w:t>
      </w:r>
      <w:r>
        <w:rPr>
          <w:sz w:val="18"/>
        </w:rPr>
        <w:t>members</w:t>
      </w:r>
    </w:p>
    <w:p>
      <w:pPr>
        <w:pStyle w:val="ListParagraph"/>
        <w:numPr>
          <w:ilvl w:val="2"/>
          <w:numId w:val="16"/>
        </w:numPr>
        <w:tabs>
          <w:tab w:pos="1721" w:val="left" w:leader="none"/>
          <w:tab w:pos="1722" w:val="left" w:leader="none"/>
        </w:tabs>
        <w:spacing w:line="240" w:lineRule="auto" w:before="3" w:after="0"/>
        <w:ind w:left="1722" w:right="0" w:hanging="356"/>
        <w:jc w:val="left"/>
        <w:rPr>
          <w:sz w:val="18"/>
        </w:rPr>
      </w:pPr>
      <w:r>
        <w:rPr>
          <w:sz w:val="18"/>
        </w:rPr>
        <w:t>practice</w:t>
      </w:r>
      <w:r>
        <w:rPr>
          <w:spacing w:val="-3"/>
          <w:sz w:val="18"/>
        </w:rPr>
        <w:t> </w:t>
      </w:r>
      <w:r>
        <w:rPr>
          <w:sz w:val="18"/>
        </w:rPr>
        <w:t>and</w:t>
      </w:r>
      <w:r>
        <w:rPr>
          <w:spacing w:val="-4"/>
          <w:sz w:val="18"/>
        </w:rPr>
        <w:t> </w:t>
      </w:r>
      <w:r>
        <w:rPr>
          <w:sz w:val="18"/>
        </w:rPr>
        <w:t>practice</w:t>
      </w:r>
      <w:r>
        <w:rPr>
          <w:spacing w:val="-3"/>
          <w:sz w:val="18"/>
        </w:rPr>
        <w:t> </w:t>
      </w:r>
      <w:r>
        <w:rPr>
          <w:sz w:val="18"/>
        </w:rPr>
        <w:t>staff</w:t>
      </w:r>
      <w:r>
        <w:rPr>
          <w:spacing w:val="-5"/>
          <w:sz w:val="18"/>
        </w:rPr>
        <w:t> </w:t>
      </w:r>
      <w:r>
        <w:rPr>
          <w:sz w:val="18"/>
        </w:rPr>
        <w:t>interviews</w:t>
      </w:r>
    </w:p>
    <w:p>
      <w:pPr>
        <w:pStyle w:val="ListParagraph"/>
        <w:numPr>
          <w:ilvl w:val="2"/>
          <w:numId w:val="16"/>
        </w:numPr>
        <w:tabs>
          <w:tab w:pos="1721" w:val="left" w:leader="none"/>
          <w:tab w:pos="1722" w:val="left" w:leader="none"/>
        </w:tabs>
        <w:spacing w:line="276" w:lineRule="auto" w:before="34" w:after="0"/>
        <w:ind w:left="1722" w:right="2267" w:hanging="356"/>
        <w:jc w:val="left"/>
        <w:rPr>
          <w:sz w:val="18"/>
        </w:rPr>
      </w:pPr>
      <w:r>
        <w:rPr>
          <w:sz w:val="18"/>
        </w:rPr>
        <w:t>allied health/community pharmacy and other service provider focus groups (in a</w:t>
      </w:r>
      <w:r>
        <w:rPr>
          <w:spacing w:val="-47"/>
          <w:sz w:val="18"/>
        </w:rPr>
        <w:t> </w:t>
      </w:r>
      <w:r>
        <w:rPr>
          <w:sz w:val="18"/>
        </w:rPr>
        <w:t>subset</w:t>
      </w:r>
      <w:r>
        <w:rPr>
          <w:spacing w:val="-3"/>
          <w:sz w:val="18"/>
        </w:rPr>
        <w:t> </w:t>
      </w:r>
      <w:r>
        <w:rPr>
          <w:sz w:val="18"/>
        </w:rPr>
        <w:t>of</w:t>
      </w:r>
      <w:r>
        <w:rPr>
          <w:spacing w:val="1"/>
          <w:sz w:val="18"/>
        </w:rPr>
        <w:t> </w:t>
      </w:r>
      <w:r>
        <w:rPr>
          <w:sz w:val="18"/>
        </w:rPr>
        <w:t>the 10-12 locations)</w:t>
      </w:r>
    </w:p>
    <w:p>
      <w:pPr>
        <w:pStyle w:val="ListParagraph"/>
        <w:numPr>
          <w:ilvl w:val="2"/>
          <w:numId w:val="16"/>
        </w:numPr>
        <w:tabs>
          <w:tab w:pos="1721" w:val="left" w:leader="none"/>
          <w:tab w:pos="1722" w:val="left" w:leader="none"/>
        </w:tabs>
        <w:spacing w:line="219" w:lineRule="exact" w:before="0" w:after="0"/>
        <w:ind w:left="1722" w:right="0" w:hanging="356"/>
        <w:jc w:val="left"/>
        <w:rPr>
          <w:sz w:val="18"/>
        </w:rPr>
      </w:pPr>
      <w:r>
        <w:rPr>
          <w:sz w:val="18"/>
        </w:rPr>
        <w:t>PHN</w:t>
      </w:r>
      <w:r>
        <w:rPr>
          <w:spacing w:val="-4"/>
          <w:sz w:val="18"/>
        </w:rPr>
        <w:t> </w:t>
      </w:r>
      <w:r>
        <w:rPr>
          <w:sz w:val="18"/>
        </w:rPr>
        <w:t>interviews</w:t>
      </w:r>
    </w:p>
    <w:p>
      <w:pPr>
        <w:pStyle w:val="ListParagraph"/>
        <w:numPr>
          <w:ilvl w:val="2"/>
          <w:numId w:val="16"/>
        </w:numPr>
        <w:tabs>
          <w:tab w:pos="1721" w:val="left" w:leader="none"/>
          <w:tab w:pos="1722" w:val="left" w:leader="none"/>
        </w:tabs>
        <w:spacing w:line="240" w:lineRule="auto" w:before="34" w:after="0"/>
        <w:ind w:left="1722" w:right="0" w:hanging="356"/>
        <w:jc w:val="left"/>
        <w:rPr>
          <w:sz w:val="18"/>
        </w:rPr>
      </w:pPr>
      <w:r>
        <w:rPr>
          <w:sz w:val="18"/>
        </w:rPr>
        <w:t>LHN</w:t>
      </w:r>
      <w:r>
        <w:rPr>
          <w:spacing w:val="-6"/>
          <w:sz w:val="18"/>
        </w:rPr>
        <w:t> </w:t>
      </w:r>
      <w:r>
        <w:rPr>
          <w:sz w:val="18"/>
        </w:rPr>
        <w:t>and</w:t>
      </w:r>
      <w:r>
        <w:rPr>
          <w:spacing w:val="-5"/>
          <w:sz w:val="18"/>
        </w:rPr>
        <w:t> </w:t>
      </w:r>
      <w:r>
        <w:rPr>
          <w:sz w:val="18"/>
        </w:rPr>
        <w:t>state/territory</w:t>
      </w:r>
      <w:r>
        <w:rPr>
          <w:spacing w:val="-5"/>
          <w:sz w:val="18"/>
        </w:rPr>
        <w:t> </w:t>
      </w:r>
      <w:r>
        <w:rPr>
          <w:sz w:val="18"/>
        </w:rPr>
        <w:t>health</w:t>
      </w:r>
      <w:r>
        <w:rPr>
          <w:spacing w:val="-5"/>
          <w:sz w:val="18"/>
        </w:rPr>
        <w:t> </w:t>
      </w:r>
      <w:r>
        <w:rPr>
          <w:sz w:val="18"/>
        </w:rPr>
        <w:t>authority</w:t>
      </w:r>
      <w:r>
        <w:rPr>
          <w:spacing w:val="-5"/>
          <w:sz w:val="18"/>
        </w:rPr>
        <w:t> </w:t>
      </w:r>
      <w:r>
        <w:rPr>
          <w:sz w:val="18"/>
        </w:rPr>
        <w:t>interviews.</w:t>
      </w:r>
    </w:p>
    <w:p>
      <w:pPr>
        <w:pStyle w:val="BodyText"/>
        <w:rPr>
          <w:sz w:val="19"/>
        </w:rPr>
      </w:pPr>
    </w:p>
    <w:p>
      <w:pPr>
        <w:spacing w:before="0"/>
        <w:ind w:left="1009" w:right="0" w:firstLine="0"/>
        <w:jc w:val="left"/>
        <w:rPr>
          <w:sz w:val="18"/>
        </w:rPr>
      </w:pPr>
      <w:r>
        <w:rPr>
          <w:sz w:val="18"/>
        </w:rPr>
        <w:t>Preparation</w:t>
      </w:r>
      <w:r>
        <w:rPr>
          <w:spacing w:val="-4"/>
          <w:sz w:val="18"/>
        </w:rPr>
        <w:t> </w:t>
      </w:r>
      <w:r>
        <w:rPr>
          <w:sz w:val="18"/>
        </w:rPr>
        <w:t>for</w:t>
      </w:r>
      <w:r>
        <w:rPr>
          <w:spacing w:val="-2"/>
          <w:sz w:val="18"/>
        </w:rPr>
        <w:t> </w:t>
      </w:r>
      <w:r>
        <w:rPr>
          <w:sz w:val="18"/>
        </w:rPr>
        <w:t>the</w:t>
      </w:r>
      <w:r>
        <w:rPr>
          <w:spacing w:val="-2"/>
          <w:sz w:val="18"/>
        </w:rPr>
        <w:t> </w:t>
      </w:r>
      <w:r>
        <w:rPr>
          <w:sz w:val="18"/>
        </w:rPr>
        <w:t>site</w:t>
      </w:r>
      <w:r>
        <w:rPr>
          <w:spacing w:val="-2"/>
          <w:sz w:val="18"/>
        </w:rPr>
        <w:t> </w:t>
      </w:r>
      <w:r>
        <w:rPr>
          <w:sz w:val="18"/>
        </w:rPr>
        <w:t>visits</w:t>
      </w:r>
      <w:r>
        <w:rPr>
          <w:spacing w:val="-3"/>
          <w:sz w:val="18"/>
        </w:rPr>
        <w:t> </w:t>
      </w:r>
      <w:r>
        <w:rPr>
          <w:sz w:val="18"/>
        </w:rPr>
        <w:t>will</w:t>
      </w:r>
      <w:r>
        <w:rPr>
          <w:spacing w:val="-4"/>
          <w:sz w:val="18"/>
        </w:rPr>
        <w:t> </w:t>
      </w:r>
      <w:r>
        <w:rPr>
          <w:sz w:val="18"/>
        </w:rPr>
        <w:t>include:</w:t>
      </w:r>
    </w:p>
    <w:p>
      <w:pPr>
        <w:pStyle w:val="BodyText"/>
        <w:rPr>
          <w:sz w:val="19"/>
        </w:rPr>
      </w:pPr>
    </w:p>
    <w:p>
      <w:pPr>
        <w:pStyle w:val="ListParagraph"/>
        <w:numPr>
          <w:ilvl w:val="2"/>
          <w:numId w:val="16"/>
        </w:numPr>
        <w:tabs>
          <w:tab w:pos="1721" w:val="left" w:leader="none"/>
          <w:tab w:pos="1722" w:val="left" w:leader="none"/>
        </w:tabs>
        <w:spacing w:line="240" w:lineRule="auto" w:before="0" w:after="0"/>
        <w:ind w:left="1722" w:right="0" w:hanging="356"/>
        <w:jc w:val="left"/>
        <w:rPr>
          <w:sz w:val="18"/>
        </w:rPr>
      </w:pPr>
      <w:r>
        <w:rPr>
          <w:sz w:val="18"/>
        </w:rPr>
        <w:t>review</w:t>
      </w:r>
      <w:r>
        <w:rPr>
          <w:spacing w:val="-4"/>
          <w:sz w:val="18"/>
        </w:rPr>
        <w:t> </w:t>
      </w:r>
      <w:r>
        <w:rPr>
          <w:sz w:val="18"/>
        </w:rPr>
        <w:t>of</w:t>
      </w:r>
      <w:r>
        <w:rPr>
          <w:spacing w:val="-3"/>
          <w:sz w:val="18"/>
        </w:rPr>
        <w:t> </w:t>
      </w:r>
      <w:r>
        <w:rPr>
          <w:sz w:val="18"/>
        </w:rPr>
        <w:t>all</w:t>
      </w:r>
      <w:r>
        <w:rPr>
          <w:spacing w:val="-2"/>
          <w:sz w:val="18"/>
        </w:rPr>
        <w:t> </w:t>
      </w:r>
      <w:r>
        <w:rPr>
          <w:sz w:val="18"/>
        </w:rPr>
        <w:t>data</w:t>
      </w:r>
      <w:r>
        <w:rPr>
          <w:spacing w:val="-4"/>
          <w:sz w:val="18"/>
        </w:rPr>
        <w:t> </w:t>
      </w:r>
      <w:r>
        <w:rPr>
          <w:sz w:val="18"/>
        </w:rPr>
        <w:t>about</w:t>
      </w:r>
      <w:r>
        <w:rPr>
          <w:spacing w:val="-4"/>
          <w:sz w:val="18"/>
        </w:rPr>
        <w:t> </w:t>
      </w:r>
      <w:r>
        <w:rPr>
          <w:sz w:val="18"/>
        </w:rPr>
        <w:t>that</w:t>
      </w:r>
      <w:r>
        <w:rPr>
          <w:spacing w:val="-4"/>
          <w:sz w:val="18"/>
        </w:rPr>
        <w:t> </w:t>
      </w:r>
      <w:r>
        <w:rPr>
          <w:sz w:val="18"/>
        </w:rPr>
        <w:t>practice(s)</w:t>
      </w:r>
    </w:p>
    <w:p>
      <w:pPr>
        <w:pStyle w:val="ListParagraph"/>
        <w:numPr>
          <w:ilvl w:val="2"/>
          <w:numId w:val="16"/>
        </w:numPr>
        <w:tabs>
          <w:tab w:pos="1721" w:val="left" w:leader="none"/>
          <w:tab w:pos="1722" w:val="left" w:leader="none"/>
        </w:tabs>
        <w:spacing w:line="276" w:lineRule="auto" w:before="33" w:after="0"/>
        <w:ind w:left="1722" w:right="1922" w:hanging="356"/>
        <w:jc w:val="left"/>
        <w:rPr>
          <w:sz w:val="18"/>
        </w:rPr>
      </w:pPr>
      <w:r>
        <w:rPr>
          <w:sz w:val="18"/>
        </w:rPr>
        <w:t>development,</w:t>
      </w:r>
      <w:r>
        <w:rPr>
          <w:spacing w:val="-5"/>
          <w:sz w:val="18"/>
        </w:rPr>
        <w:t> </w:t>
      </w:r>
      <w:r>
        <w:rPr>
          <w:sz w:val="18"/>
        </w:rPr>
        <w:t>in</w:t>
      </w:r>
      <w:r>
        <w:rPr>
          <w:spacing w:val="-3"/>
          <w:sz w:val="18"/>
        </w:rPr>
        <w:t> </w:t>
      </w:r>
      <w:r>
        <w:rPr>
          <w:sz w:val="18"/>
        </w:rPr>
        <w:t>close</w:t>
      </w:r>
      <w:r>
        <w:rPr>
          <w:spacing w:val="-5"/>
          <w:sz w:val="18"/>
        </w:rPr>
        <w:t> </w:t>
      </w:r>
      <w:r>
        <w:rPr>
          <w:sz w:val="18"/>
        </w:rPr>
        <w:t>collaboration</w:t>
      </w:r>
      <w:r>
        <w:rPr>
          <w:spacing w:val="-3"/>
          <w:sz w:val="18"/>
        </w:rPr>
        <w:t> </w:t>
      </w:r>
      <w:r>
        <w:rPr>
          <w:sz w:val="18"/>
        </w:rPr>
        <w:t>with</w:t>
      </w:r>
      <w:r>
        <w:rPr>
          <w:spacing w:val="-3"/>
          <w:sz w:val="18"/>
        </w:rPr>
        <w:t> </w:t>
      </w:r>
      <w:r>
        <w:rPr>
          <w:sz w:val="18"/>
        </w:rPr>
        <w:t>the</w:t>
      </w:r>
      <w:r>
        <w:rPr>
          <w:spacing w:val="-3"/>
          <w:sz w:val="18"/>
        </w:rPr>
        <w:t> </w:t>
      </w:r>
      <w:r>
        <w:rPr>
          <w:sz w:val="18"/>
        </w:rPr>
        <w:t>PHN</w:t>
      </w:r>
      <w:r>
        <w:rPr>
          <w:spacing w:val="-4"/>
          <w:sz w:val="18"/>
        </w:rPr>
        <w:t> </w:t>
      </w:r>
      <w:r>
        <w:rPr>
          <w:sz w:val="18"/>
        </w:rPr>
        <w:t>and/</w:t>
      </w:r>
      <w:r>
        <w:rPr>
          <w:spacing w:val="-3"/>
          <w:sz w:val="18"/>
        </w:rPr>
        <w:t> </w:t>
      </w:r>
      <w:r>
        <w:rPr>
          <w:sz w:val="18"/>
        </w:rPr>
        <w:t>or</w:t>
      </w:r>
      <w:r>
        <w:rPr>
          <w:spacing w:val="-3"/>
          <w:sz w:val="18"/>
        </w:rPr>
        <w:t> </w:t>
      </w:r>
      <w:r>
        <w:rPr>
          <w:sz w:val="18"/>
        </w:rPr>
        <w:t>practice(s),</w:t>
      </w:r>
      <w:r>
        <w:rPr>
          <w:spacing w:val="-5"/>
          <w:sz w:val="18"/>
        </w:rPr>
        <w:t> </w:t>
      </w:r>
      <w:r>
        <w:rPr>
          <w:sz w:val="18"/>
        </w:rPr>
        <w:t>of</w:t>
      </w:r>
      <w:r>
        <w:rPr>
          <w:spacing w:val="-2"/>
          <w:sz w:val="18"/>
        </w:rPr>
        <w:t> </w:t>
      </w:r>
      <w:r>
        <w:rPr>
          <w:sz w:val="18"/>
        </w:rPr>
        <w:t>appropriate</w:t>
      </w:r>
      <w:r>
        <w:rPr>
          <w:spacing w:val="-47"/>
          <w:sz w:val="18"/>
        </w:rPr>
        <w:t> </w:t>
      </w:r>
      <w:r>
        <w:rPr>
          <w:sz w:val="18"/>
        </w:rPr>
        <w:t>processes</w:t>
      </w:r>
      <w:r>
        <w:rPr>
          <w:spacing w:val="-2"/>
          <w:sz w:val="18"/>
        </w:rPr>
        <w:t> </w:t>
      </w:r>
      <w:r>
        <w:rPr>
          <w:sz w:val="18"/>
        </w:rPr>
        <w:t>to</w:t>
      </w:r>
      <w:r>
        <w:rPr>
          <w:spacing w:val="-4"/>
          <w:sz w:val="18"/>
        </w:rPr>
        <w:t> </w:t>
      </w:r>
      <w:r>
        <w:rPr>
          <w:sz w:val="18"/>
        </w:rPr>
        <w:t>identify</w:t>
      </w:r>
      <w:r>
        <w:rPr>
          <w:spacing w:val="-2"/>
          <w:sz w:val="18"/>
        </w:rPr>
        <w:t> </w:t>
      </w:r>
      <w:r>
        <w:rPr>
          <w:sz w:val="18"/>
        </w:rPr>
        <w:t>potential</w:t>
      </w:r>
      <w:r>
        <w:rPr>
          <w:spacing w:val="-1"/>
          <w:sz w:val="18"/>
        </w:rPr>
        <w:t> </w:t>
      </w:r>
      <w:r>
        <w:rPr>
          <w:sz w:val="18"/>
        </w:rPr>
        <w:t>interviewees</w:t>
      </w:r>
      <w:r>
        <w:rPr>
          <w:spacing w:val="-2"/>
          <w:sz w:val="18"/>
        </w:rPr>
        <w:t> </w:t>
      </w:r>
      <w:r>
        <w:rPr>
          <w:sz w:val="18"/>
        </w:rPr>
        <w:t>and</w:t>
      </w:r>
      <w:r>
        <w:rPr>
          <w:spacing w:val="-4"/>
          <w:sz w:val="18"/>
        </w:rPr>
        <w:t> </w:t>
      </w:r>
      <w:r>
        <w:rPr>
          <w:sz w:val="18"/>
        </w:rPr>
        <w:t>invite</w:t>
      </w:r>
      <w:r>
        <w:rPr>
          <w:spacing w:val="-1"/>
          <w:sz w:val="18"/>
        </w:rPr>
        <w:t> </w:t>
      </w:r>
      <w:r>
        <w:rPr>
          <w:sz w:val="18"/>
        </w:rPr>
        <w:t>them</w:t>
      </w:r>
      <w:r>
        <w:rPr>
          <w:spacing w:val="-5"/>
          <w:sz w:val="18"/>
        </w:rPr>
        <w:t> </w:t>
      </w:r>
      <w:r>
        <w:rPr>
          <w:sz w:val="18"/>
        </w:rPr>
        <w:t>to</w:t>
      </w:r>
      <w:r>
        <w:rPr>
          <w:spacing w:val="-2"/>
          <w:sz w:val="18"/>
        </w:rPr>
        <w:t> </w:t>
      </w:r>
      <w:r>
        <w:rPr>
          <w:sz w:val="18"/>
        </w:rPr>
        <w:t>participate</w:t>
      </w:r>
    </w:p>
    <w:p>
      <w:pPr>
        <w:pStyle w:val="ListParagraph"/>
        <w:numPr>
          <w:ilvl w:val="2"/>
          <w:numId w:val="16"/>
        </w:numPr>
        <w:tabs>
          <w:tab w:pos="1721" w:val="left" w:leader="none"/>
          <w:tab w:pos="1722" w:val="left" w:leader="none"/>
        </w:tabs>
        <w:spacing w:line="219" w:lineRule="exact" w:before="0" w:after="0"/>
        <w:ind w:left="1722" w:right="0" w:hanging="356"/>
        <w:jc w:val="left"/>
        <w:rPr>
          <w:sz w:val="18"/>
        </w:rPr>
      </w:pPr>
      <w:r>
        <w:rPr>
          <w:sz w:val="18"/>
        </w:rPr>
        <w:t>construction</w:t>
      </w:r>
      <w:r>
        <w:rPr>
          <w:spacing w:val="-3"/>
          <w:sz w:val="18"/>
        </w:rPr>
        <w:t> </w:t>
      </w:r>
      <w:r>
        <w:rPr>
          <w:sz w:val="18"/>
        </w:rPr>
        <w:t>of</w:t>
      </w:r>
      <w:r>
        <w:rPr>
          <w:spacing w:val="-3"/>
          <w:sz w:val="18"/>
        </w:rPr>
        <w:t> </w:t>
      </w:r>
      <w:r>
        <w:rPr>
          <w:sz w:val="18"/>
        </w:rPr>
        <w:t>a</w:t>
      </w:r>
      <w:r>
        <w:rPr>
          <w:spacing w:val="-3"/>
          <w:sz w:val="18"/>
        </w:rPr>
        <w:t> </w:t>
      </w:r>
      <w:r>
        <w:rPr>
          <w:sz w:val="18"/>
        </w:rPr>
        <w:t>draft</w:t>
      </w:r>
      <w:r>
        <w:rPr>
          <w:spacing w:val="-5"/>
          <w:sz w:val="18"/>
        </w:rPr>
        <w:t> </w:t>
      </w:r>
      <w:r>
        <w:rPr>
          <w:sz w:val="18"/>
        </w:rPr>
        <w:t>site</w:t>
      </w:r>
      <w:r>
        <w:rPr>
          <w:spacing w:val="-3"/>
          <w:sz w:val="18"/>
        </w:rPr>
        <w:t> </w:t>
      </w:r>
      <w:r>
        <w:rPr>
          <w:sz w:val="18"/>
        </w:rPr>
        <w:t>visit</w:t>
      </w:r>
      <w:r>
        <w:rPr>
          <w:spacing w:val="-5"/>
          <w:sz w:val="18"/>
        </w:rPr>
        <w:t> </w:t>
      </w:r>
      <w:r>
        <w:rPr>
          <w:sz w:val="18"/>
        </w:rPr>
        <w:t>plan,</w:t>
      </w:r>
      <w:r>
        <w:rPr>
          <w:spacing w:val="-4"/>
          <w:sz w:val="18"/>
        </w:rPr>
        <w:t> </w:t>
      </w:r>
      <w:r>
        <w:rPr>
          <w:sz w:val="18"/>
        </w:rPr>
        <w:t>including</w:t>
      </w:r>
      <w:r>
        <w:rPr>
          <w:spacing w:val="-6"/>
          <w:sz w:val="18"/>
        </w:rPr>
        <w:t> </w:t>
      </w:r>
      <w:r>
        <w:rPr>
          <w:sz w:val="18"/>
        </w:rPr>
        <w:t>interview</w:t>
      </w:r>
      <w:r>
        <w:rPr>
          <w:spacing w:val="-6"/>
          <w:sz w:val="18"/>
        </w:rPr>
        <w:t> </w:t>
      </w:r>
      <w:r>
        <w:rPr>
          <w:sz w:val="18"/>
        </w:rPr>
        <w:t>times,</w:t>
      </w:r>
      <w:r>
        <w:rPr>
          <w:spacing w:val="-5"/>
          <w:sz w:val="18"/>
        </w:rPr>
        <w:t> </w:t>
      </w:r>
      <w:r>
        <w:rPr>
          <w:sz w:val="18"/>
        </w:rPr>
        <w:t>places</w:t>
      </w:r>
      <w:r>
        <w:rPr>
          <w:spacing w:val="-4"/>
          <w:sz w:val="18"/>
        </w:rPr>
        <w:t> </w:t>
      </w:r>
      <w:r>
        <w:rPr>
          <w:sz w:val="18"/>
        </w:rPr>
        <w:t>and</w:t>
      </w:r>
      <w:r>
        <w:rPr>
          <w:spacing w:val="-4"/>
          <w:sz w:val="18"/>
        </w:rPr>
        <w:t> </w:t>
      </w:r>
      <w:r>
        <w:rPr>
          <w:sz w:val="18"/>
        </w:rPr>
        <w:t>participants.</w:t>
      </w:r>
    </w:p>
    <w:p>
      <w:pPr>
        <w:pStyle w:val="BodyText"/>
        <w:spacing w:before="3"/>
        <w:rPr>
          <w:sz w:val="19"/>
        </w:rPr>
      </w:pPr>
    </w:p>
    <w:p>
      <w:pPr>
        <w:spacing w:line="273" w:lineRule="auto" w:before="0"/>
        <w:ind w:left="1009" w:right="1908" w:firstLine="0"/>
        <w:jc w:val="left"/>
        <w:rPr>
          <w:sz w:val="18"/>
        </w:rPr>
      </w:pPr>
      <w:r>
        <w:rPr>
          <w:sz w:val="18"/>
        </w:rPr>
        <w:t>In</w:t>
      </w:r>
      <w:r>
        <w:rPr>
          <w:spacing w:val="-5"/>
          <w:sz w:val="18"/>
        </w:rPr>
        <w:t> </w:t>
      </w:r>
      <w:r>
        <w:rPr>
          <w:sz w:val="18"/>
        </w:rPr>
        <w:t>locations</w:t>
      </w:r>
      <w:r>
        <w:rPr>
          <w:spacing w:val="-4"/>
          <w:sz w:val="18"/>
        </w:rPr>
        <w:t> </w:t>
      </w:r>
      <w:r>
        <w:rPr>
          <w:sz w:val="18"/>
        </w:rPr>
        <w:t>involving</w:t>
      </w:r>
      <w:r>
        <w:rPr>
          <w:spacing w:val="1"/>
          <w:sz w:val="18"/>
        </w:rPr>
        <w:t> </w:t>
      </w:r>
      <w:r>
        <w:rPr>
          <w:sz w:val="18"/>
        </w:rPr>
        <w:t>ACCHSs,</w:t>
      </w:r>
      <w:r>
        <w:rPr>
          <w:spacing w:val="-5"/>
          <w:sz w:val="18"/>
        </w:rPr>
        <w:t> </w:t>
      </w:r>
      <w:r>
        <w:rPr>
          <w:sz w:val="18"/>
        </w:rPr>
        <w:t>preparation</w:t>
      </w:r>
      <w:r>
        <w:rPr>
          <w:spacing w:val="-3"/>
          <w:sz w:val="18"/>
        </w:rPr>
        <w:t> </w:t>
      </w:r>
      <w:r>
        <w:rPr>
          <w:sz w:val="18"/>
        </w:rPr>
        <w:t>for</w:t>
      </w:r>
      <w:r>
        <w:rPr>
          <w:spacing w:val="-2"/>
          <w:sz w:val="18"/>
        </w:rPr>
        <w:t> </w:t>
      </w:r>
      <w:r>
        <w:rPr>
          <w:sz w:val="18"/>
        </w:rPr>
        <w:t>site</w:t>
      </w:r>
      <w:r>
        <w:rPr>
          <w:spacing w:val="-3"/>
          <w:sz w:val="18"/>
        </w:rPr>
        <w:t> </w:t>
      </w:r>
      <w:r>
        <w:rPr>
          <w:sz w:val="18"/>
        </w:rPr>
        <w:t>visits</w:t>
      </w:r>
      <w:r>
        <w:rPr>
          <w:spacing w:val="-3"/>
          <w:sz w:val="18"/>
        </w:rPr>
        <w:t> </w:t>
      </w:r>
      <w:r>
        <w:rPr>
          <w:sz w:val="18"/>
        </w:rPr>
        <w:t>will</w:t>
      </w:r>
      <w:r>
        <w:rPr>
          <w:spacing w:val="-4"/>
          <w:sz w:val="18"/>
        </w:rPr>
        <w:t> </w:t>
      </w:r>
      <w:r>
        <w:rPr>
          <w:sz w:val="18"/>
        </w:rPr>
        <w:t>require</w:t>
      </w:r>
      <w:r>
        <w:rPr>
          <w:spacing w:val="-4"/>
          <w:sz w:val="18"/>
        </w:rPr>
        <w:t> </w:t>
      </w:r>
      <w:r>
        <w:rPr>
          <w:sz w:val="18"/>
        </w:rPr>
        <w:t>extensive</w:t>
      </w:r>
      <w:r>
        <w:rPr>
          <w:spacing w:val="-2"/>
          <w:sz w:val="18"/>
        </w:rPr>
        <w:t> </w:t>
      </w:r>
      <w:r>
        <w:rPr>
          <w:sz w:val="18"/>
        </w:rPr>
        <w:t>liaison</w:t>
      </w:r>
      <w:r>
        <w:rPr>
          <w:spacing w:val="-5"/>
          <w:sz w:val="18"/>
        </w:rPr>
        <w:t> </w:t>
      </w:r>
      <w:r>
        <w:rPr>
          <w:sz w:val="18"/>
        </w:rPr>
        <w:t>with</w:t>
      </w:r>
      <w:r>
        <w:rPr>
          <w:spacing w:val="-2"/>
          <w:sz w:val="18"/>
        </w:rPr>
        <w:t> </w:t>
      </w:r>
      <w:r>
        <w:rPr>
          <w:sz w:val="18"/>
        </w:rPr>
        <w:t>the</w:t>
      </w:r>
      <w:r>
        <w:rPr>
          <w:spacing w:val="-47"/>
          <w:sz w:val="18"/>
        </w:rPr>
        <w:t> </w:t>
      </w:r>
      <w:r>
        <w:rPr>
          <w:sz w:val="18"/>
        </w:rPr>
        <w:t>local</w:t>
      </w:r>
      <w:r>
        <w:rPr>
          <w:spacing w:val="-1"/>
          <w:sz w:val="18"/>
        </w:rPr>
        <w:t> </w:t>
      </w:r>
      <w:r>
        <w:rPr>
          <w:sz w:val="18"/>
        </w:rPr>
        <w:t>community</w:t>
      </w:r>
      <w:r>
        <w:rPr>
          <w:spacing w:val="-1"/>
          <w:sz w:val="18"/>
        </w:rPr>
        <w:t> </w:t>
      </w:r>
      <w:r>
        <w:rPr>
          <w:sz w:val="18"/>
        </w:rPr>
        <w:t>prior to</w:t>
      </w:r>
      <w:r>
        <w:rPr>
          <w:spacing w:val="-1"/>
          <w:sz w:val="18"/>
        </w:rPr>
        <w:t> </w:t>
      </w:r>
      <w:r>
        <w:rPr>
          <w:sz w:val="18"/>
        </w:rPr>
        <w:t>the visit.</w:t>
      </w:r>
    </w:p>
    <w:p>
      <w:pPr>
        <w:pStyle w:val="BodyText"/>
        <w:spacing w:before="6"/>
        <w:rPr>
          <w:sz w:val="16"/>
        </w:rPr>
      </w:pPr>
    </w:p>
    <w:p>
      <w:pPr>
        <w:spacing w:line="276" w:lineRule="auto" w:before="0"/>
        <w:ind w:left="1009" w:right="1801" w:firstLine="0"/>
        <w:jc w:val="left"/>
        <w:rPr>
          <w:sz w:val="18"/>
        </w:rPr>
      </w:pPr>
      <w:r>
        <w:rPr>
          <w:sz w:val="18"/>
        </w:rPr>
        <w:t>Within each case study, efforts will be made to ensure views and experiences are elicited from</w:t>
      </w:r>
      <w:r>
        <w:rPr>
          <w:spacing w:val="-47"/>
          <w:sz w:val="18"/>
        </w:rPr>
        <w:t> </w:t>
      </w:r>
      <w:r>
        <w:rPr>
          <w:sz w:val="18"/>
        </w:rPr>
        <w:t>a wide range of participants that reflect the patient population and staffing of the practices,</w:t>
      </w:r>
      <w:r>
        <w:rPr>
          <w:spacing w:val="1"/>
          <w:sz w:val="18"/>
        </w:rPr>
        <w:t> </w:t>
      </w:r>
      <w:r>
        <w:rPr>
          <w:sz w:val="18"/>
        </w:rPr>
        <w:t>with</w:t>
      </w:r>
      <w:r>
        <w:rPr>
          <w:spacing w:val="-1"/>
          <w:sz w:val="18"/>
        </w:rPr>
        <w:t> </w:t>
      </w:r>
      <w:r>
        <w:rPr>
          <w:sz w:val="18"/>
        </w:rPr>
        <w:t>the aim</w:t>
      </w:r>
      <w:r>
        <w:rPr>
          <w:spacing w:val="-4"/>
          <w:sz w:val="18"/>
        </w:rPr>
        <w:t> </w:t>
      </w:r>
      <w:r>
        <w:rPr>
          <w:sz w:val="18"/>
        </w:rPr>
        <w:t>of maximising</w:t>
      </w:r>
      <w:r>
        <w:rPr>
          <w:spacing w:val="-2"/>
          <w:sz w:val="18"/>
        </w:rPr>
        <w:t> </w:t>
      </w:r>
      <w:r>
        <w:rPr>
          <w:sz w:val="18"/>
        </w:rPr>
        <w:t>variability</w:t>
      </w:r>
      <w:r>
        <w:rPr>
          <w:spacing w:val="-1"/>
          <w:sz w:val="18"/>
        </w:rPr>
        <w:t> </w:t>
      </w:r>
      <w:r>
        <w:rPr>
          <w:sz w:val="18"/>
        </w:rPr>
        <w:t>in the</w:t>
      </w:r>
      <w:r>
        <w:rPr>
          <w:spacing w:val="-1"/>
          <w:sz w:val="18"/>
        </w:rPr>
        <w:t> </w:t>
      </w:r>
      <w:r>
        <w:rPr>
          <w:sz w:val="18"/>
        </w:rPr>
        <w:t>sample.</w:t>
      </w:r>
    </w:p>
    <w:p>
      <w:pPr>
        <w:pStyle w:val="BodyText"/>
        <w:spacing w:before="9"/>
        <w:rPr>
          <w:sz w:val="21"/>
        </w:rPr>
      </w:pPr>
    </w:p>
    <w:p>
      <w:pPr>
        <w:pStyle w:val="Heading2"/>
        <w:spacing w:before="99"/>
      </w:pPr>
      <w:bookmarkStart w:name="_bookmark35" w:id="36"/>
      <w:bookmarkEnd w:id="36"/>
      <w:r>
        <w:rPr/>
      </w:r>
      <w:r>
        <w:rPr>
          <w:color w:val="003C79"/>
        </w:rPr>
        <w:t>Practice</w:t>
      </w:r>
      <w:r>
        <w:rPr>
          <w:color w:val="003C79"/>
          <w:spacing w:val="-11"/>
        </w:rPr>
        <w:t> </w:t>
      </w:r>
      <w:r>
        <w:rPr>
          <w:color w:val="003C79"/>
        </w:rPr>
        <w:t>interviews</w:t>
      </w:r>
    </w:p>
    <w:p>
      <w:pPr>
        <w:pStyle w:val="BodyText"/>
        <w:spacing w:line="276" w:lineRule="auto" w:before="259"/>
        <w:ind w:left="860" w:right="1328"/>
      </w:pPr>
      <w:r>
        <w:rPr/>
        <w:t>Interviews with practices will provide a means of exploring features and impacts of the HCH</w:t>
      </w:r>
      <w:r>
        <w:rPr>
          <w:spacing w:val="-53"/>
        </w:rPr>
        <w:t> </w:t>
      </w:r>
      <w:r>
        <w:rPr/>
        <w:t>implementation that are not easily captured in a more structured way. A topic guide (i.e.</w:t>
      </w:r>
      <w:r>
        <w:rPr>
          <w:spacing w:val="1"/>
        </w:rPr>
        <w:t> </w:t>
      </w:r>
      <w:r>
        <w:rPr/>
        <w:t>broad outline of the topics to be covered) for the practice interviews is at Appendix G. The</w:t>
      </w:r>
      <w:r>
        <w:rPr>
          <w:spacing w:val="1"/>
        </w:rPr>
        <w:t> </w:t>
      </w:r>
      <w:r>
        <w:rPr/>
        <w:t>key</w:t>
      </w:r>
      <w:r>
        <w:rPr>
          <w:spacing w:val="-3"/>
        </w:rPr>
        <w:t> </w:t>
      </w:r>
      <w:r>
        <w:rPr/>
        <w:t>areas</w:t>
      </w:r>
      <w:r>
        <w:rPr>
          <w:spacing w:val="-1"/>
        </w:rPr>
        <w:t> </w:t>
      </w:r>
      <w:r>
        <w:rPr/>
        <w:t>for discussion</w:t>
      </w:r>
      <w:r>
        <w:rPr>
          <w:spacing w:val="-1"/>
        </w:rPr>
        <w:t> </w:t>
      </w:r>
      <w:r>
        <w:rPr/>
        <w:t>are:</w:t>
      </w:r>
    </w:p>
    <w:p>
      <w:pPr>
        <w:pStyle w:val="ListParagraph"/>
        <w:numPr>
          <w:ilvl w:val="1"/>
          <w:numId w:val="16"/>
        </w:numPr>
        <w:tabs>
          <w:tab w:pos="1573" w:val="left" w:leader="none"/>
          <w:tab w:pos="1574" w:val="left" w:leader="none"/>
        </w:tabs>
        <w:spacing w:line="240" w:lineRule="auto" w:before="202" w:after="0"/>
        <w:ind w:left="1573" w:right="0" w:hanging="356"/>
        <w:jc w:val="left"/>
        <w:rPr>
          <w:sz w:val="20"/>
        </w:rPr>
      </w:pPr>
      <w:r>
        <w:rPr>
          <w:sz w:val="20"/>
        </w:rPr>
        <w:t>The</w:t>
      </w:r>
      <w:r>
        <w:rPr>
          <w:spacing w:val="-4"/>
          <w:sz w:val="20"/>
        </w:rPr>
        <w:t> </w:t>
      </w:r>
      <w:r>
        <w:rPr>
          <w:sz w:val="20"/>
        </w:rPr>
        <w:t>nature</w:t>
      </w:r>
      <w:r>
        <w:rPr>
          <w:spacing w:val="-4"/>
          <w:sz w:val="20"/>
        </w:rPr>
        <w:t> </w:t>
      </w:r>
      <w:r>
        <w:rPr>
          <w:sz w:val="20"/>
        </w:rPr>
        <w:t>of</w:t>
      </w:r>
      <w:r>
        <w:rPr>
          <w:spacing w:val="-3"/>
          <w:sz w:val="20"/>
        </w:rPr>
        <w:t> </w:t>
      </w:r>
      <w:r>
        <w:rPr>
          <w:sz w:val="20"/>
        </w:rPr>
        <w:t>changes</w:t>
      </w:r>
      <w:r>
        <w:rPr>
          <w:spacing w:val="-4"/>
          <w:sz w:val="20"/>
        </w:rPr>
        <w:t> </w:t>
      </w:r>
      <w:r>
        <w:rPr>
          <w:sz w:val="20"/>
        </w:rPr>
        <w:t>that</w:t>
      </w:r>
      <w:r>
        <w:rPr>
          <w:spacing w:val="-2"/>
          <w:sz w:val="20"/>
        </w:rPr>
        <w:t> </w:t>
      </w:r>
      <w:r>
        <w:rPr>
          <w:sz w:val="20"/>
        </w:rPr>
        <w:t>have</w:t>
      </w:r>
      <w:r>
        <w:rPr>
          <w:spacing w:val="-3"/>
          <w:sz w:val="20"/>
        </w:rPr>
        <w:t> </w:t>
      </w:r>
      <w:r>
        <w:rPr>
          <w:sz w:val="20"/>
        </w:rPr>
        <w:t>occurred</w:t>
      </w:r>
      <w:r>
        <w:rPr>
          <w:spacing w:val="-4"/>
          <w:sz w:val="20"/>
        </w:rPr>
        <w:t> </w:t>
      </w:r>
      <w:r>
        <w:rPr>
          <w:sz w:val="20"/>
        </w:rPr>
        <w:t>within</w:t>
      </w:r>
      <w:r>
        <w:rPr>
          <w:spacing w:val="-2"/>
          <w:sz w:val="20"/>
        </w:rPr>
        <w:t> </w:t>
      </w:r>
      <w:r>
        <w:rPr>
          <w:sz w:val="20"/>
        </w:rPr>
        <w:t>practices</w:t>
      </w:r>
      <w:r>
        <w:rPr>
          <w:spacing w:val="-4"/>
          <w:sz w:val="20"/>
        </w:rPr>
        <w:t> </w:t>
      </w:r>
      <w:r>
        <w:rPr>
          <w:sz w:val="20"/>
        </w:rPr>
        <w:t>associated</w:t>
      </w:r>
      <w:r>
        <w:rPr>
          <w:spacing w:val="-4"/>
          <w:sz w:val="20"/>
        </w:rPr>
        <w:t> </w:t>
      </w:r>
      <w:r>
        <w:rPr>
          <w:sz w:val="20"/>
        </w:rPr>
        <w:t>with</w:t>
      </w:r>
      <w:r>
        <w:rPr>
          <w:spacing w:val="-3"/>
          <w:sz w:val="20"/>
        </w:rPr>
        <w:t> </w:t>
      </w:r>
      <w:r>
        <w:rPr>
          <w:sz w:val="20"/>
        </w:rPr>
        <w:t>HCH.</w:t>
      </w:r>
    </w:p>
    <w:p>
      <w:pPr>
        <w:pStyle w:val="ListParagraph"/>
        <w:numPr>
          <w:ilvl w:val="1"/>
          <w:numId w:val="16"/>
        </w:numPr>
        <w:tabs>
          <w:tab w:pos="1573" w:val="left" w:leader="none"/>
          <w:tab w:pos="1574" w:val="left" w:leader="none"/>
        </w:tabs>
        <w:spacing w:line="240" w:lineRule="auto" w:before="36" w:after="0"/>
        <w:ind w:left="1573" w:right="0" w:hanging="356"/>
        <w:jc w:val="left"/>
        <w:rPr>
          <w:sz w:val="20"/>
        </w:rPr>
      </w:pPr>
      <w:r>
        <w:rPr>
          <w:sz w:val="20"/>
        </w:rPr>
        <w:t>Shared</w:t>
      </w:r>
      <w:r>
        <w:rPr>
          <w:spacing w:val="-4"/>
          <w:sz w:val="20"/>
        </w:rPr>
        <w:t> </w:t>
      </w:r>
      <w:r>
        <w:rPr>
          <w:sz w:val="20"/>
        </w:rPr>
        <w:t>care</w:t>
      </w:r>
      <w:r>
        <w:rPr>
          <w:spacing w:val="-3"/>
          <w:sz w:val="20"/>
        </w:rPr>
        <w:t> </w:t>
      </w:r>
      <w:r>
        <w:rPr>
          <w:sz w:val="20"/>
        </w:rPr>
        <w:t>plans/</w:t>
      </w:r>
      <w:r>
        <w:rPr>
          <w:spacing w:val="-3"/>
          <w:sz w:val="20"/>
        </w:rPr>
        <w:t> </w:t>
      </w:r>
      <w:r>
        <w:rPr>
          <w:sz w:val="20"/>
        </w:rPr>
        <w:t>planning</w:t>
      </w:r>
      <w:r>
        <w:rPr>
          <w:spacing w:val="-3"/>
          <w:sz w:val="20"/>
        </w:rPr>
        <w:t> </w:t>
      </w:r>
      <w:r>
        <w:rPr>
          <w:sz w:val="20"/>
        </w:rPr>
        <w:t>process.</w:t>
      </w:r>
    </w:p>
    <w:p>
      <w:pPr>
        <w:pStyle w:val="ListParagraph"/>
        <w:numPr>
          <w:ilvl w:val="1"/>
          <w:numId w:val="16"/>
        </w:numPr>
        <w:tabs>
          <w:tab w:pos="1573" w:val="left" w:leader="none"/>
          <w:tab w:pos="1574" w:val="left" w:leader="none"/>
        </w:tabs>
        <w:spacing w:line="276" w:lineRule="auto" w:before="37" w:after="0"/>
        <w:ind w:left="1573" w:right="1404" w:hanging="356"/>
        <w:jc w:val="left"/>
        <w:rPr>
          <w:sz w:val="20"/>
        </w:rPr>
      </w:pPr>
      <w:r>
        <w:rPr>
          <w:sz w:val="20"/>
        </w:rPr>
        <w:t>Any initiatives involving pharmacists preceding HCH and experiences with referring</w:t>
      </w:r>
      <w:r>
        <w:rPr>
          <w:spacing w:val="1"/>
          <w:sz w:val="20"/>
        </w:rPr>
        <w:t> </w:t>
      </w:r>
      <w:r>
        <w:rPr>
          <w:sz w:val="20"/>
        </w:rPr>
        <w:t>patients</w:t>
      </w:r>
      <w:r>
        <w:rPr>
          <w:spacing w:val="-5"/>
          <w:sz w:val="20"/>
        </w:rPr>
        <w:t> </w:t>
      </w:r>
      <w:r>
        <w:rPr>
          <w:sz w:val="20"/>
        </w:rPr>
        <w:t>to</w:t>
      </w:r>
      <w:r>
        <w:rPr>
          <w:spacing w:val="-4"/>
          <w:sz w:val="20"/>
        </w:rPr>
        <w:t> </w:t>
      </w:r>
      <w:r>
        <w:rPr>
          <w:sz w:val="20"/>
        </w:rPr>
        <w:t>community</w:t>
      </w:r>
      <w:r>
        <w:rPr>
          <w:spacing w:val="-6"/>
          <w:sz w:val="20"/>
        </w:rPr>
        <w:t> </w:t>
      </w:r>
      <w:r>
        <w:rPr>
          <w:sz w:val="20"/>
        </w:rPr>
        <w:t>pharmacists</w:t>
      </w:r>
      <w:r>
        <w:rPr>
          <w:spacing w:val="-4"/>
          <w:sz w:val="20"/>
        </w:rPr>
        <w:t> </w:t>
      </w:r>
      <w:r>
        <w:rPr>
          <w:sz w:val="20"/>
        </w:rPr>
        <w:t>following</w:t>
      </w:r>
      <w:r>
        <w:rPr>
          <w:spacing w:val="-6"/>
          <w:sz w:val="20"/>
        </w:rPr>
        <w:t> </w:t>
      </w:r>
      <w:r>
        <w:rPr>
          <w:sz w:val="20"/>
        </w:rPr>
        <w:t>the</w:t>
      </w:r>
      <w:r>
        <w:rPr>
          <w:spacing w:val="-5"/>
          <w:sz w:val="20"/>
        </w:rPr>
        <w:t> </w:t>
      </w:r>
      <w:r>
        <w:rPr>
          <w:sz w:val="20"/>
        </w:rPr>
        <w:t>implementation</w:t>
      </w:r>
      <w:r>
        <w:rPr>
          <w:spacing w:val="-3"/>
          <w:sz w:val="20"/>
        </w:rPr>
        <w:t> </w:t>
      </w:r>
      <w:r>
        <w:rPr>
          <w:sz w:val="20"/>
        </w:rPr>
        <w:t>of</w:t>
      </w:r>
      <w:r>
        <w:rPr>
          <w:spacing w:val="-5"/>
          <w:sz w:val="20"/>
        </w:rPr>
        <w:t> </w:t>
      </w:r>
      <w:r>
        <w:rPr>
          <w:sz w:val="20"/>
        </w:rPr>
        <w:t>the</w:t>
      </w:r>
      <w:r>
        <w:rPr>
          <w:spacing w:val="-4"/>
          <w:sz w:val="20"/>
        </w:rPr>
        <w:t> </w:t>
      </w:r>
      <w:r>
        <w:rPr>
          <w:sz w:val="20"/>
        </w:rPr>
        <w:t>community</w:t>
      </w:r>
      <w:r>
        <w:rPr>
          <w:spacing w:val="-53"/>
          <w:sz w:val="20"/>
        </w:rPr>
        <w:t> </w:t>
      </w:r>
      <w:r>
        <w:rPr>
          <w:sz w:val="20"/>
        </w:rPr>
        <w:t>pharmacy</w:t>
      </w:r>
      <w:r>
        <w:rPr>
          <w:spacing w:val="-3"/>
          <w:sz w:val="20"/>
        </w:rPr>
        <w:t> </w:t>
      </w:r>
      <w:r>
        <w:rPr>
          <w:sz w:val="20"/>
        </w:rPr>
        <w:t>component</w:t>
      </w:r>
      <w:r>
        <w:rPr>
          <w:spacing w:val="1"/>
          <w:sz w:val="20"/>
        </w:rPr>
        <w:t> </w:t>
      </w:r>
      <w:r>
        <w:rPr>
          <w:sz w:val="20"/>
        </w:rPr>
        <w:t>of</w:t>
      </w:r>
      <w:r>
        <w:rPr>
          <w:spacing w:val="-1"/>
          <w:sz w:val="20"/>
        </w:rPr>
        <w:t> </w:t>
      </w:r>
      <w:r>
        <w:rPr>
          <w:sz w:val="20"/>
        </w:rPr>
        <w:t>the</w:t>
      </w:r>
      <w:r>
        <w:rPr>
          <w:spacing w:val="-1"/>
          <w:sz w:val="20"/>
        </w:rPr>
        <w:t> </w:t>
      </w:r>
      <w:r>
        <w:rPr>
          <w:sz w:val="20"/>
        </w:rPr>
        <w:t>trial.</w:t>
      </w:r>
    </w:p>
    <w:p>
      <w:pPr>
        <w:pStyle w:val="ListParagraph"/>
        <w:numPr>
          <w:ilvl w:val="1"/>
          <w:numId w:val="16"/>
        </w:numPr>
        <w:tabs>
          <w:tab w:pos="1573" w:val="left" w:leader="none"/>
          <w:tab w:pos="1574" w:val="left" w:leader="none"/>
        </w:tabs>
        <w:spacing w:line="276" w:lineRule="auto" w:before="0" w:after="0"/>
        <w:ind w:left="1573" w:right="1885" w:hanging="356"/>
        <w:jc w:val="left"/>
        <w:rPr>
          <w:sz w:val="20"/>
        </w:rPr>
      </w:pPr>
      <w:r>
        <w:rPr>
          <w:sz w:val="20"/>
        </w:rPr>
        <w:t>Movement</w:t>
      </w:r>
      <w:r>
        <w:rPr>
          <w:spacing w:val="-4"/>
          <w:sz w:val="20"/>
        </w:rPr>
        <w:t> </w:t>
      </w:r>
      <w:r>
        <w:rPr>
          <w:sz w:val="20"/>
        </w:rPr>
        <w:t>towards</w:t>
      </w:r>
      <w:r>
        <w:rPr>
          <w:spacing w:val="-5"/>
          <w:sz w:val="20"/>
        </w:rPr>
        <w:t> </w:t>
      </w:r>
      <w:r>
        <w:rPr>
          <w:sz w:val="20"/>
        </w:rPr>
        <w:t>intended</w:t>
      </w:r>
      <w:r>
        <w:rPr>
          <w:spacing w:val="-4"/>
          <w:sz w:val="20"/>
        </w:rPr>
        <w:t> </w:t>
      </w:r>
      <w:r>
        <w:rPr>
          <w:sz w:val="20"/>
        </w:rPr>
        <w:t>outcomes,</w:t>
      </w:r>
      <w:r>
        <w:rPr>
          <w:spacing w:val="-7"/>
          <w:sz w:val="20"/>
        </w:rPr>
        <w:t> </w:t>
      </w:r>
      <w:r>
        <w:rPr>
          <w:sz w:val="20"/>
        </w:rPr>
        <w:t>including</w:t>
      </w:r>
      <w:r>
        <w:rPr>
          <w:spacing w:val="-3"/>
          <w:sz w:val="20"/>
        </w:rPr>
        <w:t> </w:t>
      </w:r>
      <w:r>
        <w:rPr>
          <w:sz w:val="20"/>
        </w:rPr>
        <w:t>impact</w:t>
      </w:r>
      <w:r>
        <w:rPr>
          <w:spacing w:val="-3"/>
          <w:sz w:val="20"/>
        </w:rPr>
        <w:t> </w:t>
      </w:r>
      <w:r>
        <w:rPr>
          <w:sz w:val="20"/>
        </w:rPr>
        <w:t>of</w:t>
      </w:r>
      <w:r>
        <w:rPr>
          <w:spacing w:val="-5"/>
          <w:sz w:val="20"/>
        </w:rPr>
        <w:t> </w:t>
      </w:r>
      <w:r>
        <w:rPr>
          <w:sz w:val="20"/>
        </w:rPr>
        <w:t>HCH</w:t>
      </w:r>
      <w:r>
        <w:rPr>
          <w:spacing w:val="-5"/>
          <w:sz w:val="20"/>
        </w:rPr>
        <w:t> </w:t>
      </w:r>
      <w:r>
        <w:rPr>
          <w:sz w:val="20"/>
        </w:rPr>
        <w:t>initiatives</w:t>
      </w:r>
      <w:r>
        <w:rPr>
          <w:spacing w:val="-5"/>
          <w:sz w:val="20"/>
        </w:rPr>
        <w:t> </w:t>
      </w:r>
      <w:r>
        <w:rPr>
          <w:sz w:val="20"/>
        </w:rPr>
        <w:t>on</w:t>
      </w:r>
      <w:r>
        <w:rPr>
          <w:spacing w:val="-52"/>
          <w:sz w:val="20"/>
        </w:rPr>
        <w:t> </w:t>
      </w:r>
      <w:r>
        <w:rPr>
          <w:sz w:val="20"/>
        </w:rPr>
        <w:t>patients.</w:t>
      </w:r>
    </w:p>
    <w:p>
      <w:pPr>
        <w:pStyle w:val="ListParagraph"/>
        <w:numPr>
          <w:ilvl w:val="1"/>
          <w:numId w:val="16"/>
        </w:numPr>
        <w:tabs>
          <w:tab w:pos="1573" w:val="left" w:leader="none"/>
          <w:tab w:pos="1574" w:val="left" w:leader="none"/>
        </w:tabs>
        <w:spacing w:line="240" w:lineRule="auto" w:before="0" w:after="0"/>
        <w:ind w:left="1573" w:right="0" w:hanging="356"/>
        <w:jc w:val="left"/>
        <w:rPr>
          <w:sz w:val="20"/>
        </w:rPr>
      </w:pPr>
      <w:r>
        <w:rPr>
          <w:sz w:val="20"/>
        </w:rPr>
        <w:t>Impact</w:t>
      </w:r>
      <w:r>
        <w:rPr>
          <w:spacing w:val="-1"/>
          <w:sz w:val="20"/>
        </w:rPr>
        <w:t> </w:t>
      </w:r>
      <w:r>
        <w:rPr>
          <w:sz w:val="20"/>
        </w:rPr>
        <w:t>of</w:t>
      </w:r>
      <w:r>
        <w:rPr>
          <w:spacing w:val="-4"/>
          <w:sz w:val="20"/>
        </w:rPr>
        <w:t> </w:t>
      </w:r>
      <w:r>
        <w:rPr>
          <w:sz w:val="20"/>
        </w:rPr>
        <w:t>the</w:t>
      </w:r>
      <w:r>
        <w:rPr>
          <w:spacing w:val="-4"/>
          <w:sz w:val="20"/>
        </w:rPr>
        <w:t> </w:t>
      </w:r>
      <w:r>
        <w:rPr>
          <w:sz w:val="20"/>
        </w:rPr>
        <w:t>HCH</w:t>
      </w:r>
      <w:r>
        <w:rPr>
          <w:spacing w:val="-2"/>
          <w:sz w:val="20"/>
        </w:rPr>
        <w:t> </w:t>
      </w:r>
      <w:r>
        <w:rPr>
          <w:sz w:val="20"/>
        </w:rPr>
        <w:t>implementation</w:t>
      </w:r>
      <w:r>
        <w:rPr>
          <w:spacing w:val="-2"/>
          <w:sz w:val="20"/>
        </w:rPr>
        <w:t> </w:t>
      </w:r>
      <w:r>
        <w:rPr>
          <w:sz w:val="20"/>
        </w:rPr>
        <w:t>on</w:t>
      </w:r>
      <w:r>
        <w:rPr>
          <w:spacing w:val="-2"/>
          <w:sz w:val="20"/>
        </w:rPr>
        <w:t> </w:t>
      </w:r>
      <w:r>
        <w:rPr>
          <w:sz w:val="20"/>
        </w:rPr>
        <w:t>practice</w:t>
      </w:r>
      <w:r>
        <w:rPr>
          <w:spacing w:val="-4"/>
          <w:sz w:val="20"/>
        </w:rPr>
        <w:t> </w:t>
      </w:r>
      <w:r>
        <w:rPr>
          <w:sz w:val="20"/>
        </w:rPr>
        <w:t>staff.</w:t>
      </w:r>
    </w:p>
    <w:p>
      <w:pPr>
        <w:pStyle w:val="ListParagraph"/>
        <w:numPr>
          <w:ilvl w:val="1"/>
          <w:numId w:val="16"/>
        </w:numPr>
        <w:tabs>
          <w:tab w:pos="1573" w:val="left" w:leader="none"/>
          <w:tab w:pos="1574" w:val="left" w:leader="none"/>
        </w:tabs>
        <w:spacing w:line="240" w:lineRule="auto" w:before="37" w:after="0"/>
        <w:ind w:left="1573" w:right="0" w:hanging="356"/>
        <w:jc w:val="left"/>
        <w:rPr>
          <w:sz w:val="20"/>
        </w:rPr>
      </w:pPr>
      <w:r>
        <w:rPr>
          <w:sz w:val="20"/>
        </w:rPr>
        <w:t>Unintended</w:t>
      </w:r>
      <w:r>
        <w:rPr>
          <w:spacing w:val="-3"/>
          <w:sz w:val="20"/>
        </w:rPr>
        <w:t> </w:t>
      </w:r>
      <w:r>
        <w:rPr>
          <w:sz w:val="20"/>
        </w:rPr>
        <w:t>impacts/</w:t>
      </w:r>
      <w:r>
        <w:rPr>
          <w:spacing w:val="-5"/>
          <w:sz w:val="20"/>
        </w:rPr>
        <w:t> </w:t>
      </w:r>
      <w:r>
        <w:rPr>
          <w:sz w:val="20"/>
        </w:rPr>
        <w:t>outcomes</w:t>
      </w:r>
      <w:r>
        <w:rPr>
          <w:spacing w:val="2"/>
          <w:sz w:val="20"/>
        </w:rPr>
        <w:t> </w:t>
      </w:r>
      <w:r>
        <w:rPr>
          <w:sz w:val="20"/>
        </w:rPr>
        <w:t>of</w:t>
      </w:r>
      <w:r>
        <w:rPr>
          <w:spacing w:val="-4"/>
          <w:sz w:val="20"/>
        </w:rPr>
        <w:t> </w:t>
      </w:r>
      <w:r>
        <w:rPr>
          <w:sz w:val="20"/>
        </w:rPr>
        <w:t>the</w:t>
      </w:r>
      <w:r>
        <w:rPr>
          <w:spacing w:val="-4"/>
          <w:sz w:val="20"/>
        </w:rPr>
        <w:t> </w:t>
      </w:r>
      <w:r>
        <w:rPr>
          <w:sz w:val="20"/>
        </w:rPr>
        <w:t>implementation.</w:t>
      </w:r>
    </w:p>
    <w:p>
      <w:pPr>
        <w:pStyle w:val="ListParagraph"/>
        <w:numPr>
          <w:ilvl w:val="1"/>
          <w:numId w:val="16"/>
        </w:numPr>
        <w:tabs>
          <w:tab w:pos="1573" w:val="left" w:leader="none"/>
          <w:tab w:pos="1574" w:val="left" w:leader="none"/>
        </w:tabs>
        <w:spacing w:line="276" w:lineRule="auto" w:before="36" w:after="0"/>
        <w:ind w:left="1573" w:right="2199" w:hanging="356"/>
        <w:jc w:val="left"/>
        <w:rPr>
          <w:sz w:val="20"/>
        </w:rPr>
      </w:pPr>
      <w:r>
        <w:rPr>
          <w:sz w:val="20"/>
        </w:rPr>
        <w:t>Factors</w:t>
      </w:r>
      <w:r>
        <w:rPr>
          <w:spacing w:val="-4"/>
          <w:sz w:val="20"/>
        </w:rPr>
        <w:t> </w:t>
      </w:r>
      <w:r>
        <w:rPr>
          <w:sz w:val="20"/>
        </w:rPr>
        <w:t>that</w:t>
      </w:r>
      <w:r>
        <w:rPr>
          <w:spacing w:val="-2"/>
          <w:sz w:val="20"/>
        </w:rPr>
        <w:t> </w:t>
      </w:r>
      <w:r>
        <w:rPr>
          <w:sz w:val="20"/>
        </w:rPr>
        <w:t>have</w:t>
      </w:r>
      <w:r>
        <w:rPr>
          <w:spacing w:val="-4"/>
          <w:sz w:val="20"/>
        </w:rPr>
        <w:t> </w:t>
      </w:r>
      <w:r>
        <w:rPr>
          <w:sz w:val="20"/>
        </w:rPr>
        <w:t>assisted</w:t>
      </w:r>
      <w:r>
        <w:rPr>
          <w:spacing w:val="-4"/>
          <w:sz w:val="20"/>
        </w:rPr>
        <w:t> </w:t>
      </w:r>
      <w:r>
        <w:rPr>
          <w:sz w:val="20"/>
        </w:rPr>
        <w:t>the</w:t>
      </w:r>
      <w:r>
        <w:rPr>
          <w:spacing w:val="-4"/>
          <w:sz w:val="20"/>
        </w:rPr>
        <w:t> </w:t>
      </w:r>
      <w:r>
        <w:rPr>
          <w:sz w:val="20"/>
        </w:rPr>
        <w:t>implementation,</w:t>
      </w:r>
      <w:r>
        <w:rPr>
          <w:spacing w:val="-5"/>
          <w:sz w:val="20"/>
        </w:rPr>
        <w:t> </w:t>
      </w:r>
      <w:r>
        <w:rPr>
          <w:sz w:val="20"/>
        </w:rPr>
        <w:t>and</w:t>
      </w:r>
      <w:r>
        <w:rPr>
          <w:spacing w:val="-4"/>
          <w:sz w:val="20"/>
        </w:rPr>
        <w:t> </w:t>
      </w:r>
      <w:r>
        <w:rPr>
          <w:sz w:val="20"/>
        </w:rPr>
        <w:t>factors</w:t>
      </w:r>
      <w:r>
        <w:rPr>
          <w:spacing w:val="-4"/>
          <w:sz w:val="20"/>
        </w:rPr>
        <w:t> </w:t>
      </w:r>
      <w:r>
        <w:rPr>
          <w:sz w:val="20"/>
        </w:rPr>
        <w:t>that</w:t>
      </w:r>
      <w:r>
        <w:rPr>
          <w:spacing w:val="-4"/>
          <w:sz w:val="20"/>
        </w:rPr>
        <w:t> </w:t>
      </w:r>
      <w:r>
        <w:rPr>
          <w:sz w:val="20"/>
        </w:rPr>
        <w:t>have</w:t>
      </w:r>
      <w:r>
        <w:rPr>
          <w:spacing w:val="-3"/>
          <w:sz w:val="20"/>
        </w:rPr>
        <w:t> </w:t>
      </w:r>
      <w:r>
        <w:rPr>
          <w:sz w:val="20"/>
        </w:rPr>
        <w:t>been</w:t>
      </w:r>
      <w:r>
        <w:rPr>
          <w:spacing w:val="-53"/>
          <w:sz w:val="20"/>
        </w:rPr>
        <w:t> </w:t>
      </w:r>
      <w:r>
        <w:rPr>
          <w:sz w:val="20"/>
        </w:rPr>
        <w:t>challenging.</w:t>
      </w:r>
    </w:p>
    <w:p>
      <w:pPr>
        <w:pStyle w:val="ListParagraph"/>
        <w:numPr>
          <w:ilvl w:val="1"/>
          <w:numId w:val="16"/>
        </w:numPr>
        <w:tabs>
          <w:tab w:pos="1573" w:val="left" w:leader="none"/>
          <w:tab w:pos="1574" w:val="left" w:leader="none"/>
        </w:tabs>
        <w:spacing w:line="240" w:lineRule="auto" w:before="0" w:after="0"/>
        <w:ind w:left="1573" w:right="0" w:hanging="356"/>
        <w:jc w:val="left"/>
        <w:rPr>
          <w:sz w:val="20"/>
        </w:rPr>
      </w:pPr>
      <w:r>
        <w:rPr>
          <w:sz w:val="20"/>
        </w:rPr>
        <w:t>Contextual</w:t>
      </w:r>
      <w:r>
        <w:rPr>
          <w:spacing w:val="-5"/>
          <w:sz w:val="20"/>
        </w:rPr>
        <w:t> </w:t>
      </w:r>
      <w:r>
        <w:rPr>
          <w:sz w:val="20"/>
        </w:rPr>
        <w:t>factors/</w:t>
      </w:r>
      <w:r>
        <w:rPr>
          <w:spacing w:val="-6"/>
          <w:sz w:val="20"/>
        </w:rPr>
        <w:t> </w:t>
      </w:r>
      <w:r>
        <w:rPr>
          <w:sz w:val="20"/>
        </w:rPr>
        <w:t>parallel</w:t>
      </w:r>
      <w:r>
        <w:rPr>
          <w:spacing w:val="-4"/>
          <w:sz w:val="20"/>
        </w:rPr>
        <w:t> </w:t>
      </w:r>
      <w:r>
        <w:rPr>
          <w:sz w:val="20"/>
        </w:rPr>
        <w:t>internal</w:t>
      </w:r>
      <w:r>
        <w:rPr>
          <w:spacing w:val="-4"/>
          <w:sz w:val="20"/>
        </w:rPr>
        <w:t> </w:t>
      </w:r>
      <w:r>
        <w:rPr>
          <w:sz w:val="20"/>
        </w:rPr>
        <w:t>and</w:t>
      </w:r>
      <w:r>
        <w:rPr>
          <w:spacing w:val="-5"/>
          <w:sz w:val="20"/>
        </w:rPr>
        <w:t> </w:t>
      </w:r>
      <w:r>
        <w:rPr>
          <w:sz w:val="20"/>
        </w:rPr>
        <w:t>external</w:t>
      </w:r>
      <w:r>
        <w:rPr>
          <w:spacing w:val="-5"/>
          <w:sz w:val="20"/>
        </w:rPr>
        <w:t> </w:t>
      </w:r>
      <w:r>
        <w:rPr>
          <w:sz w:val="20"/>
        </w:rPr>
        <w:t>initiative.</w:t>
      </w:r>
    </w:p>
    <w:p>
      <w:pPr>
        <w:spacing w:after="0" w:line="240" w:lineRule="auto"/>
        <w:jc w:val="left"/>
        <w:rPr>
          <w:sz w:val="20"/>
        </w:rPr>
        <w:sectPr>
          <w:pgSz w:w="11910" w:h="16840"/>
          <w:pgMar w:header="0" w:footer="675" w:top="1420" w:bottom="860" w:left="580" w:right="280"/>
        </w:sectPr>
      </w:pPr>
    </w:p>
    <w:p>
      <w:pPr>
        <w:pStyle w:val="BodyText"/>
        <w:spacing w:line="276" w:lineRule="auto" w:before="82"/>
        <w:ind w:left="860" w:right="1260"/>
      </w:pPr>
      <w:r>
        <w:rPr/>
        <w:t>Interviews may be held one-on-one with GPs, practice managers, practice nurses and other</w:t>
      </w:r>
      <w:r>
        <w:rPr>
          <w:spacing w:val="-54"/>
        </w:rPr>
        <w:t> </w:t>
      </w:r>
      <w:r>
        <w:rPr/>
        <w:t>practice staff, or with a group of these staff. The topic guide reflects issues relevant to the</w:t>
      </w:r>
      <w:r>
        <w:rPr>
          <w:spacing w:val="1"/>
        </w:rPr>
        <w:t> </w:t>
      </w:r>
      <w:r>
        <w:rPr/>
        <w:t>round of data collection. Interviews in Round 2 will explore the nature of changes</w:t>
      </w:r>
      <w:r>
        <w:rPr>
          <w:spacing w:val="1"/>
        </w:rPr>
        <w:t> </w:t>
      </w:r>
      <w:r>
        <w:rPr/>
        <w:t>implemented</w:t>
      </w:r>
      <w:r>
        <w:rPr>
          <w:spacing w:val="-3"/>
        </w:rPr>
        <w:t> </w:t>
      </w:r>
      <w:r>
        <w:rPr/>
        <w:t>in</w:t>
      </w:r>
      <w:r>
        <w:rPr>
          <w:spacing w:val="-3"/>
        </w:rPr>
        <w:t> </w:t>
      </w:r>
      <w:r>
        <w:rPr/>
        <w:t>the</w:t>
      </w:r>
      <w:r>
        <w:rPr>
          <w:spacing w:val="-2"/>
        </w:rPr>
        <w:t> </w:t>
      </w:r>
      <w:r>
        <w:rPr/>
        <w:t>practice,</w:t>
      </w:r>
      <w:r>
        <w:rPr>
          <w:spacing w:val="-4"/>
        </w:rPr>
        <w:t> </w:t>
      </w:r>
      <w:r>
        <w:rPr/>
        <w:t>and</w:t>
      </w:r>
      <w:r>
        <w:rPr>
          <w:spacing w:val="-2"/>
        </w:rPr>
        <w:t> </w:t>
      </w:r>
      <w:r>
        <w:rPr/>
        <w:t>factors</w:t>
      </w:r>
      <w:r>
        <w:rPr>
          <w:spacing w:val="-2"/>
        </w:rPr>
        <w:t> </w:t>
      </w:r>
      <w:r>
        <w:rPr/>
        <w:t>that assisted</w:t>
      </w:r>
      <w:r>
        <w:rPr>
          <w:spacing w:val="-2"/>
        </w:rPr>
        <w:t> </w:t>
      </w:r>
      <w:r>
        <w:rPr/>
        <w:t>or</w:t>
      </w:r>
      <w:r>
        <w:rPr>
          <w:spacing w:val="-2"/>
        </w:rPr>
        <w:t> </w:t>
      </w:r>
      <w:r>
        <w:rPr/>
        <w:t>impacted</w:t>
      </w:r>
      <w:r>
        <w:rPr>
          <w:spacing w:val="-2"/>
        </w:rPr>
        <w:t> </w:t>
      </w:r>
      <w:r>
        <w:rPr/>
        <w:t>implementation.</w:t>
      </w:r>
    </w:p>
    <w:p>
      <w:pPr>
        <w:pStyle w:val="BodyText"/>
        <w:spacing w:line="276" w:lineRule="auto"/>
        <w:ind w:left="860" w:right="1259"/>
      </w:pPr>
      <w:r>
        <w:rPr/>
        <w:t>Interviews in rounds 4 and 5 will assess the impact of the changes, the factors that impacted</w:t>
      </w:r>
      <w:r>
        <w:rPr>
          <w:spacing w:val="-53"/>
        </w:rPr>
        <w:t> </w:t>
      </w:r>
      <w:r>
        <w:rPr/>
        <w:t>success,</w:t>
      </w:r>
      <w:r>
        <w:rPr>
          <w:spacing w:val="-4"/>
        </w:rPr>
        <w:t> </w:t>
      </w:r>
      <w:r>
        <w:rPr/>
        <w:t>and</w:t>
      </w:r>
      <w:r>
        <w:rPr>
          <w:spacing w:val="-1"/>
        </w:rPr>
        <w:t> </w:t>
      </w:r>
      <w:r>
        <w:rPr/>
        <w:t>the</w:t>
      </w:r>
      <w:r>
        <w:rPr>
          <w:spacing w:val="-2"/>
        </w:rPr>
        <w:t> </w:t>
      </w:r>
      <w:r>
        <w:rPr/>
        <w:t>features</w:t>
      </w:r>
      <w:r>
        <w:rPr>
          <w:spacing w:val="-1"/>
        </w:rPr>
        <w:t> </w:t>
      </w:r>
      <w:r>
        <w:rPr/>
        <w:t>of</w:t>
      </w:r>
      <w:r>
        <w:rPr>
          <w:spacing w:val="-2"/>
        </w:rPr>
        <w:t> </w:t>
      </w:r>
      <w:r>
        <w:rPr/>
        <w:t>the</w:t>
      </w:r>
      <w:r>
        <w:rPr>
          <w:spacing w:val="-1"/>
        </w:rPr>
        <w:t> </w:t>
      </w:r>
      <w:r>
        <w:rPr/>
        <w:t>program</w:t>
      </w:r>
      <w:r>
        <w:rPr>
          <w:spacing w:val="-2"/>
        </w:rPr>
        <w:t> </w:t>
      </w:r>
      <w:r>
        <w:rPr/>
        <w:t>that</w:t>
      </w:r>
      <w:r>
        <w:rPr>
          <w:spacing w:val="1"/>
        </w:rPr>
        <w:t> </w:t>
      </w:r>
      <w:r>
        <w:rPr/>
        <w:t>may</w:t>
      </w:r>
      <w:r>
        <w:rPr>
          <w:spacing w:val="-3"/>
        </w:rPr>
        <w:t> </w:t>
      </w:r>
      <w:r>
        <w:rPr/>
        <w:t>require</w:t>
      </w:r>
      <w:r>
        <w:rPr>
          <w:spacing w:val="5"/>
        </w:rPr>
        <w:t> </w:t>
      </w:r>
      <w:r>
        <w:rPr/>
        <w:t>modification.</w:t>
      </w:r>
    </w:p>
    <w:p>
      <w:pPr>
        <w:pStyle w:val="Heading2"/>
        <w:spacing w:before="199"/>
      </w:pPr>
      <w:bookmarkStart w:name="_bookmark36" w:id="37"/>
      <w:bookmarkEnd w:id="37"/>
      <w:r>
        <w:rPr/>
      </w:r>
      <w:r>
        <w:rPr>
          <w:color w:val="003C79"/>
        </w:rPr>
        <w:t>Focus</w:t>
      </w:r>
      <w:r>
        <w:rPr>
          <w:color w:val="003C79"/>
          <w:spacing w:val="-3"/>
        </w:rPr>
        <w:t> </w:t>
      </w:r>
      <w:r>
        <w:rPr>
          <w:color w:val="003C79"/>
        </w:rPr>
        <w:t>group with</w:t>
      </w:r>
      <w:r>
        <w:rPr>
          <w:color w:val="003C79"/>
          <w:spacing w:val="-6"/>
        </w:rPr>
        <w:t> </w:t>
      </w:r>
      <w:r>
        <w:rPr>
          <w:color w:val="003C79"/>
        </w:rPr>
        <w:t>related</w:t>
      </w:r>
      <w:r>
        <w:rPr>
          <w:color w:val="003C79"/>
          <w:spacing w:val="-7"/>
        </w:rPr>
        <w:t> </w:t>
      </w:r>
      <w:r>
        <w:rPr>
          <w:color w:val="003C79"/>
        </w:rPr>
        <w:t>providers</w:t>
      </w:r>
    </w:p>
    <w:p>
      <w:pPr>
        <w:pStyle w:val="BodyText"/>
        <w:spacing w:line="276" w:lineRule="auto" w:before="261"/>
        <w:ind w:left="860" w:right="1149"/>
      </w:pPr>
      <w:r>
        <w:rPr/>
        <w:t>To supplement the information received from practices, focus groups with providers that HCH</w:t>
      </w:r>
      <w:r>
        <w:rPr>
          <w:spacing w:val="-53"/>
        </w:rPr>
        <w:t> </w:t>
      </w:r>
      <w:r>
        <w:rPr/>
        <w:t>practices refer to or receives referrals from, will be held. It is anticipated that this will mostly be</w:t>
      </w:r>
      <w:r>
        <w:rPr>
          <w:spacing w:val="-53"/>
        </w:rPr>
        <w:t> </w:t>
      </w:r>
      <w:r>
        <w:rPr/>
        <w:t>allied health providers and community pharmacists. The focus groups will occur in a small</w:t>
      </w:r>
      <w:r>
        <w:rPr>
          <w:spacing w:val="1"/>
        </w:rPr>
        <w:t> </w:t>
      </w:r>
      <w:r>
        <w:rPr/>
        <w:t>subset of the practices that will be interviewed in-depth. Information about related providers</w:t>
      </w:r>
      <w:r>
        <w:rPr>
          <w:spacing w:val="1"/>
        </w:rPr>
        <w:t> </w:t>
      </w:r>
      <w:r>
        <w:rPr/>
        <w:t>will</w:t>
      </w:r>
      <w:r>
        <w:rPr>
          <w:spacing w:val="-1"/>
        </w:rPr>
        <w:t> </w:t>
      </w:r>
      <w:r>
        <w:rPr/>
        <w:t>be</w:t>
      </w:r>
      <w:r>
        <w:rPr>
          <w:spacing w:val="-2"/>
        </w:rPr>
        <w:t> </w:t>
      </w:r>
      <w:r>
        <w:rPr/>
        <w:t>sought from</w:t>
      </w:r>
      <w:r>
        <w:rPr>
          <w:spacing w:val="-1"/>
        </w:rPr>
        <w:t> </w:t>
      </w:r>
      <w:r>
        <w:rPr/>
        <w:t>the</w:t>
      </w:r>
      <w:r>
        <w:rPr>
          <w:spacing w:val="-2"/>
        </w:rPr>
        <w:t> </w:t>
      </w:r>
      <w:r>
        <w:rPr/>
        <w:t>practices</w:t>
      </w:r>
      <w:r>
        <w:rPr>
          <w:spacing w:val="2"/>
        </w:rPr>
        <w:t> </w:t>
      </w:r>
      <w:r>
        <w:rPr/>
        <w:t>participating</w:t>
      </w:r>
      <w:r>
        <w:rPr>
          <w:spacing w:val="-1"/>
        </w:rPr>
        <w:t> </w:t>
      </w:r>
      <w:r>
        <w:rPr/>
        <w:t>in</w:t>
      </w:r>
      <w:r>
        <w:rPr>
          <w:spacing w:val="-3"/>
        </w:rPr>
        <w:t> </w:t>
      </w:r>
      <w:r>
        <w:rPr/>
        <w:t>the</w:t>
      </w:r>
      <w:r>
        <w:rPr>
          <w:spacing w:val="-1"/>
        </w:rPr>
        <w:t> </w:t>
      </w:r>
      <w:r>
        <w:rPr/>
        <w:t>case</w:t>
      </w:r>
      <w:r>
        <w:rPr>
          <w:spacing w:val="-2"/>
        </w:rPr>
        <w:t> </w:t>
      </w:r>
      <w:r>
        <w:rPr/>
        <w:t>studies,</w:t>
      </w:r>
      <w:r>
        <w:rPr>
          <w:spacing w:val="-3"/>
        </w:rPr>
        <w:t> </w:t>
      </w:r>
      <w:r>
        <w:rPr/>
        <w:t>and</w:t>
      </w:r>
      <w:r>
        <w:rPr>
          <w:spacing w:val="-2"/>
        </w:rPr>
        <w:t> </w:t>
      </w:r>
      <w:r>
        <w:rPr/>
        <w:t>PHNs.</w:t>
      </w:r>
    </w:p>
    <w:p>
      <w:pPr>
        <w:pStyle w:val="BodyText"/>
        <w:spacing w:line="276" w:lineRule="auto" w:before="198"/>
        <w:ind w:left="860" w:right="1236"/>
      </w:pPr>
      <w:r>
        <w:rPr/>
        <w:t>The</w:t>
      </w:r>
      <w:r>
        <w:rPr>
          <w:spacing w:val="-4"/>
        </w:rPr>
        <w:t> </w:t>
      </w:r>
      <w:r>
        <w:rPr/>
        <w:t>purpose</w:t>
      </w:r>
      <w:r>
        <w:rPr>
          <w:spacing w:val="-1"/>
        </w:rPr>
        <w:t> </w:t>
      </w:r>
      <w:r>
        <w:rPr/>
        <w:t>of</w:t>
      </w:r>
      <w:r>
        <w:rPr>
          <w:spacing w:val="-3"/>
        </w:rPr>
        <w:t> </w:t>
      </w:r>
      <w:r>
        <w:rPr/>
        <w:t>the</w:t>
      </w:r>
      <w:r>
        <w:rPr>
          <w:spacing w:val="-3"/>
        </w:rPr>
        <w:t> </w:t>
      </w:r>
      <w:r>
        <w:rPr/>
        <w:t>focus</w:t>
      </w:r>
      <w:r>
        <w:rPr>
          <w:spacing w:val="-1"/>
        </w:rPr>
        <w:t> </w:t>
      </w:r>
      <w:r>
        <w:rPr/>
        <w:t>group</w:t>
      </w:r>
      <w:r>
        <w:rPr>
          <w:spacing w:val="-2"/>
        </w:rPr>
        <w:t> </w:t>
      </w:r>
      <w:r>
        <w:rPr/>
        <w:t>will</w:t>
      </w:r>
      <w:r>
        <w:rPr>
          <w:spacing w:val="-2"/>
        </w:rPr>
        <w:t> </w:t>
      </w:r>
      <w:r>
        <w:rPr/>
        <w:t>be</w:t>
      </w:r>
      <w:r>
        <w:rPr>
          <w:spacing w:val="-3"/>
        </w:rPr>
        <w:t> </w:t>
      </w:r>
      <w:r>
        <w:rPr/>
        <w:t>to</w:t>
      </w:r>
      <w:r>
        <w:rPr>
          <w:spacing w:val="-3"/>
        </w:rPr>
        <w:t> </w:t>
      </w:r>
      <w:r>
        <w:rPr/>
        <w:t>ascertain</w:t>
      </w:r>
      <w:r>
        <w:rPr>
          <w:spacing w:val="-2"/>
        </w:rPr>
        <w:t> </w:t>
      </w:r>
      <w:r>
        <w:rPr/>
        <w:t>the</w:t>
      </w:r>
      <w:r>
        <w:rPr>
          <w:spacing w:val="-3"/>
        </w:rPr>
        <w:t> </w:t>
      </w:r>
      <w:r>
        <w:rPr/>
        <w:t>experiences</w:t>
      </w:r>
      <w:r>
        <w:rPr>
          <w:spacing w:val="-3"/>
        </w:rPr>
        <w:t> </w:t>
      </w:r>
      <w:r>
        <w:rPr/>
        <w:t>of</w:t>
      </w:r>
      <w:r>
        <w:rPr>
          <w:spacing w:val="-3"/>
        </w:rPr>
        <w:t> </w:t>
      </w:r>
      <w:r>
        <w:rPr/>
        <w:t>coordination</w:t>
      </w:r>
      <w:r>
        <w:rPr>
          <w:spacing w:val="-2"/>
        </w:rPr>
        <w:t> </w:t>
      </w:r>
      <w:r>
        <w:rPr/>
        <w:t>of</w:t>
      </w:r>
      <w:r>
        <w:rPr>
          <w:spacing w:val="-3"/>
        </w:rPr>
        <w:t> </w:t>
      </w:r>
      <w:r>
        <w:rPr/>
        <w:t>care</w:t>
      </w:r>
      <w:r>
        <w:rPr>
          <w:spacing w:val="-52"/>
        </w:rPr>
        <w:t> </w:t>
      </w:r>
      <w:r>
        <w:rPr/>
        <w:t>of patients from the perspectives of these other providers. Community pharmacists will also</w:t>
      </w:r>
      <w:r>
        <w:rPr>
          <w:spacing w:val="1"/>
        </w:rPr>
        <w:t> </w:t>
      </w:r>
      <w:r>
        <w:rPr/>
        <w:t>be asked about their experiences with the community pharmacy component of the HCH</w:t>
      </w:r>
      <w:r>
        <w:rPr>
          <w:spacing w:val="1"/>
        </w:rPr>
        <w:t> </w:t>
      </w:r>
      <w:r>
        <w:rPr/>
        <w:t>trial.</w:t>
      </w:r>
    </w:p>
    <w:p>
      <w:pPr>
        <w:pStyle w:val="BodyText"/>
        <w:spacing w:before="202"/>
        <w:ind w:left="860"/>
      </w:pPr>
      <w:r>
        <w:rPr/>
        <w:t>Topic</w:t>
      </w:r>
      <w:r>
        <w:rPr>
          <w:spacing w:val="-3"/>
        </w:rPr>
        <w:t> </w:t>
      </w:r>
      <w:r>
        <w:rPr/>
        <w:t>guides</w:t>
      </w:r>
      <w:r>
        <w:rPr>
          <w:spacing w:val="-4"/>
        </w:rPr>
        <w:t> </w:t>
      </w:r>
      <w:r>
        <w:rPr/>
        <w:t>for</w:t>
      </w:r>
      <w:r>
        <w:rPr>
          <w:spacing w:val="-1"/>
        </w:rPr>
        <w:t> </w:t>
      </w:r>
      <w:r>
        <w:rPr/>
        <w:t>related</w:t>
      </w:r>
      <w:r>
        <w:rPr>
          <w:spacing w:val="-3"/>
        </w:rPr>
        <w:t> </w:t>
      </w:r>
      <w:r>
        <w:rPr/>
        <w:t>provider</w:t>
      </w:r>
      <w:r>
        <w:rPr>
          <w:spacing w:val="-4"/>
        </w:rPr>
        <w:t> </w:t>
      </w:r>
      <w:r>
        <w:rPr/>
        <w:t>interviews</w:t>
      </w:r>
      <w:r>
        <w:rPr>
          <w:spacing w:val="-4"/>
        </w:rPr>
        <w:t> </w:t>
      </w:r>
      <w:r>
        <w:rPr/>
        <w:t>are</w:t>
      </w:r>
      <w:r>
        <w:rPr>
          <w:spacing w:val="-3"/>
        </w:rPr>
        <w:t> </w:t>
      </w:r>
      <w:r>
        <w:rPr/>
        <w:t>at</w:t>
      </w:r>
      <w:r>
        <w:rPr>
          <w:spacing w:val="-2"/>
        </w:rPr>
        <w:t> </w:t>
      </w:r>
      <w:r>
        <w:rPr/>
        <w:t>Appendix</w:t>
      </w:r>
      <w:r>
        <w:rPr>
          <w:spacing w:val="-4"/>
        </w:rPr>
        <w:t> </w:t>
      </w:r>
      <w:r>
        <w:rPr/>
        <w:t>G.</w:t>
      </w:r>
    </w:p>
    <w:p>
      <w:pPr>
        <w:pStyle w:val="BodyText"/>
        <w:spacing w:before="3"/>
        <w:rPr>
          <w:sz w:val="19"/>
        </w:rPr>
      </w:pPr>
    </w:p>
    <w:p>
      <w:pPr>
        <w:pStyle w:val="Heading2"/>
        <w:spacing w:before="1"/>
      </w:pPr>
      <w:bookmarkStart w:name="_bookmark37" w:id="38"/>
      <w:bookmarkEnd w:id="38"/>
      <w:r>
        <w:rPr/>
      </w:r>
      <w:r>
        <w:rPr>
          <w:color w:val="003C79"/>
        </w:rPr>
        <w:t>PHN</w:t>
      </w:r>
      <w:r>
        <w:rPr>
          <w:color w:val="003C79"/>
          <w:spacing w:val="-7"/>
        </w:rPr>
        <w:t> </w:t>
      </w:r>
      <w:r>
        <w:rPr>
          <w:color w:val="003C79"/>
        </w:rPr>
        <w:t>surveys</w:t>
      </w:r>
      <w:r>
        <w:rPr>
          <w:color w:val="003C79"/>
          <w:spacing w:val="-3"/>
        </w:rPr>
        <w:t> </w:t>
      </w:r>
      <w:r>
        <w:rPr>
          <w:color w:val="003C79"/>
        </w:rPr>
        <w:t>and</w:t>
      </w:r>
      <w:r>
        <w:rPr>
          <w:color w:val="003C79"/>
          <w:spacing w:val="-5"/>
        </w:rPr>
        <w:t> </w:t>
      </w:r>
      <w:r>
        <w:rPr>
          <w:color w:val="003C79"/>
        </w:rPr>
        <w:t>interviews</w:t>
      </w:r>
    </w:p>
    <w:p>
      <w:pPr>
        <w:pStyle w:val="BodyText"/>
        <w:spacing w:line="276" w:lineRule="auto" w:before="259"/>
        <w:ind w:left="860" w:right="1236"/>
      </w:pPr>
      <w:r>
        <w:rPr/>
        <w:t>PHNs are playing an active role in the HCH implementation. This role includes assisting</w:t>
      </w:r>
      <w:r>
        <w:rPr>
          <w:spacing w:val="1"/>
        </w:rPr>
        <w:t> </w:t>
      </w:r>
      <w:r>
        <w:rPr/>
        <w:t>practices in implementation (e.g. enrolling patients and training practice staff). The PHN</w:t>
      </w:r>
      <w:r>
        <w:rPr>
          <w:spacing w:val="1"/>
        </w:rPr>
        <w:t> </w:t>
      </w:r>
      <w:r>
        <w:rPr/>
        <w:t>survey</w:t>
      </w:r>
      <w:r>
        <w:rPr>
          <w:spacing w:val="-5"/>
        </w:rPr>
        <w:t> </w:t>
      </w:r>
      <w:r>
        <w:rPr/>
        <w:t>will</w:t>
      </w:r>
      <w:r>
        <w:rPr>
          <w:spacing w:val="-1"/>
        </w:rPr>
        <w:t> </w:t>
      </w:r>
      <w:r>
        <w:rPr/>
        <w:t>capture</w:t>
      </w:r>
      <w:r>
        <w:rPr>
          <w:spacing w:val="-2"/>
        </w:rPr>
        <w:t> </w:t>
      </w:r>
      <w:r>
        <w:rPr/>
        <w:t>these</w:t>
      </w:r>
      <w:r>
        <w:rPr>
          <w:spacing w:val="-5"/>
        </w:rPr>
        <w:t> </w:t>
      </w:r>
      <w:r>
        <w:rPr/>
        <w:t>activities</w:t>
      </w:r>
      <w:r>
        <w:rPr>
          <w:spacing w:val="-3"/>
        </w:rPr>
        <w:t> </w:t>
      </w:r>
      <w:r>
        <w:rPr/>
        <w:t>and</w:t>
      </w:r>
      <w:r>
        <w:rPr>
          <w:spacing w:val="-4"/>
        </w:rPr>
        <w:t> </w:t>
      </w:r>
      <w:r>
        <w:rPr/>
        <w:t>inputs</w:t>
      </w:r>
      <w:r>
        <w:rPr>
          <w:spacing w:val="-3"/>
        </w:rPr>
        <w:t> </w:t>
      </w:r>
      <w:r>
        <w:rPr/>
        <w:t>to</w:t>
      </w:r>
      <w:r>
        <w:rPr>
          <w:spacing w:val="-3"/>
        </w:rPr>
        <w:t> </w:t>
      </w:r>
      <w:r>
        <w:rPr/>
        <w:t>the</w:t>
      </w:r>
      <w:r>
        <w:rPr>
          <w:spacing w:val="-3"/>
        </w:rPr>
        <w:t> </w:t>
      </w:r>
      <w:r>
        <w:rPr/>
        <w:t>program.</w:t>
      </w:r>
      <w:r>
        <w:rPr>
          <w:spacing w:val="1"/>
        </w:rPr>
        <w:t> </w:t>
      </w:r>
      <w:r>
        <w:rPr/>
        <w:t>The</w:t>
      </w:r>
      <w:r>
        <w:rPr>
          <w:spacing w:val="-3"/>
        </w:rPr>
        <w:t> </w:t>
      </w:r>
      <w:r>
        <w:rPr/>
        <w:t>PHN</w:t>
      </w:r>
      <w:r>
        <w:rPr>
          <w:spacing w:val="-3"/>
        </w:rPr>
        <w:t> </w:t>
      </w:r>
      <w:r>
        <w:rPr/>
        <w:t>survey</w:t>
      </w:r>
      <w:r>
        <w:rPr>
          <w:spacing w:val="-3"/>
        </w:rPr>
        <w:t> </w:t>
      </w:r>
      <w:r>
        <w:rPr/>
        <w:t>is</w:t>
      </w:r>
      <w:r>
        <w:rPr>
          <w:spacing w:val="-3"/>
        </w:rPr>
        <w:t> </w:t>
      </w:r>
      <w:r>
        <w:rPr/>
        <w:t>at</w:t>
      </w:r>
      <w:r>
        <w:rPr>
          <w:spacing w:val="1"/>
        </w:rPr>
        <w:t> </w:t>
      </w:r>
      <w:r>
        <w:rPr/>
        <w:t>Appendix</w:t>
      </w:r>
    </w:p>
    <w:p>
      <w:pPr>
        <w:pStyle w:val="BodyText"/>
        <w:spacing w:line="244" w:lineRule="exact"/>
        <w:ind w:left="860"/>
      </w:pPr>
      <w:r>
        <w:rPr/>
        <w:t>E.</w:t>
      </w:r>
      <w:r>
        <w:rPr>
          <w:spacing w:val="-5"/>
        </w:rPr>
        <w:t> </w:t>
      </w:r>
      <w:r>
        <w:rPr/>
        <w:t>Key</w:t>
      </w:r>
      <w:r>
        <w:rPr>
          <w:spacing w:val="-4"/>
        </w:rPr>
        <w:t> </w:t>
      </w:r>
      <w:r>
        <w:rPr/>
        <w:t>questions</w:t>
      </w:r>
      <w:r>
        <w:rPr>
          <w:spacing w:val="-1"/>
        </w:rPr>
        <w:t> </w:t>
      </w:r>
      <w:r>
        <w:rPr/>
        <w:t>include:</w:t>
      </w:r>
    </w:p>
    <w:p>
      <w:pPr>
        <w:pStyle w:val="BodyText"/>
        <w:spacing w:before="4"/>
        <w:rPr>
          <w:sz w:val="19"/>
        </w:rPr>
      </w:pPr>
    </w:p>
    <w:p>
      <w:pPr>
        <w:pStyle w:val="ListParagraph"/>
        <w:numPr>
          <w:ilvl w:val="0"/>
          <w:numId w:val="17"/>
        </w:numPr>
        <w:tabs>
          <w:tab w:pos="1573" w:val="left" w:leader="none"/>
          <w:tab w:pos="1574" w:val="left" w:leader="none"/>
        </w:tabs>
        <w:spacing w:line="240" w:lineRule="auto" w:before="0" w:after="0"/>
        <w:ind w:left="1573" w:right="0" w:hanging="356"/>
        <w:jc w:val="left"/>
        <w:rPr>
          <w:sz w:val="20"/>
        </w:rPr>
      </w:pPr>
      <w:r>
        <w:rPr>
          <w:sz w:val="20"/>
        </w:rPr>
        <w:t>the</w:t>
      </w:r>
      <w:r>
        <w:rPr>
          <w:spacing w:val="-3"/>
          <w:sz w:val="20"/>
        </w:rPr>
        <w:t> </w:t>
      </w:r>
      <w:r>
        <w:rPr>
          <w:sz w:val="20"/>
        </w:rPr>
        <w:t>nature</w:t>
      </w:r>
      <w:r>
        <w:rPr>
          <w:spacing w:val="-2"/>
          <w:sz w:val="20"/>
        </w:rPr>
        <w:t> </w:t>
      </w:r>
      <w:r>
        <w:rPr>
          <w:sz w:val="20"/>
        </w:rPr>
        <w:t>of</w:t>
      </w:r>
      <w:r>
        <w:rPr>
          <w:spacing w:val="-4"/>
          <w:sz w:val="20"/>
        </w:rPr>
        <w:t> </w:t>
      </w:r>
      <w:r>
        <w:rPr>
          <w:sz w:val="20"/>
        </w:rPr>
        <w:t>training</w:t>
      </w:r>
      <w:r>
        <w:rPr>
          <w:spacing w:val="-3"/>
          <w:sz w:val="20"/>
        </w:rPr>
        <w:t> </w:t>
      </w:r>
      <w:r>
        <w:rPr>
          <w:sz w:val="20"/>
        </w:rPr>
        <w:t>provided</w:t>
      </w:r>
      <w:r>
        <w:rPr>
          <w:spacing w:val="-3"/>
          <w:sz w:val="20"/>
        </w:rPr>
        <w:t> </w:t>
      </w:r>
      <w:r>
        <w:rPr>
          <w:sz w:val="20"/>
        </w:rPr>
        <w:t>to</w:t>
      </w:r>
      <w:r>
        <w:rPr>
          <w:spacing w:val="-3"/>
          <w:sz w:val="20"/>
        </w:rPr>
        <w:t> </w:t>
      </w:r>
      <w:r>
        <w:rPr>
          <w:sz w:val="20"/>
        </w:rPr>
        <w:t>practices</w:t>
      </w:r>
    </w:p>
    <w:p>
      <w:pPr>
        <w:pStyle w:val="ListParagraph"/>
        <w:numPr>
          <w:ilvl w:val="0"/>
          <w:numId w:val="17"/>
        </w:numPr>
        <w:tabs>
          <w:tab w:pos="1573" w:val="left" w:leader="none"/>
          <w:tab w:pos="1574" w:val="left" w:leader="none"/>
        </w:tabs>
        <w:spacing w:line="240" w:lineRule="auto" w:before="38" w:after="0"/>
        <w:ind w:left="1573" w:right="0" w:hanging="356"/>
        <w:jc w:val="left"/>
        <w:rPr>
          <w:sz w:val="20"/>
        </w:rPr>
      </w:pPr>
      <w:r>
        <w:rPr>
          <w:sz w:val="20"/>
        </w:rPr>
        <w:t>the</w:t>
      </w:r>
      <w:r>
        <w:rPr>
          <w:spacing w:val="-5"/>
          <w:sz w:val="20"/>
        </w:rPr>
        <w:t> </w:t>
      </w:r>
      <w:r>
        <w:rPr>
          <w:sz w:val="20"/>
        </w:rPr>
        <w:t>nature</w:t>
      </w:r>
      <w:r>
        <w:rPr>
          <w:spacing w:val="-4"/>
          <w:sz w:val="20"/>
        </w:rPr>
        <w:t> </w:t>
      </w:r>
      <w:r>
        <w:rPr>
          <w:sz w:val="20"/>
        </w:rPr>
        <w:t>of</w:t>
      </w:r>
      <w:r>
        <w:rPr>
          <w:spacing w:val="-4"/>
          <w:sz w:val="20"/>
        </w:rPr>
        <w:t> </w:t>
      </w:r>
      <w:r>
        <w:rPr>
          <w:sz w:val="20"/>
        </w:rPr>
        <w:t>support</w:t>
      </w:r>
      <w:r>
        <w:rPr>
          <w:spacing w:val="-2"/>
          <w:sz w:val="20"/>
        </w:rPr>
        <w:t> </w:t>
      </w:r>
      <w:r>
        <w:rPr>
          <w:sz w:val="20"/>
        </w:rPr>
        <w:t>provided</w:t>
      </w:r>
      <w:r>
        <w:rPr>
          <w:spacing w:val="-3"/>
          <w:sz w:val="20"/>
        </w:rPr>
        <w:t> </w:t>
      </w:r>
      <w:r>
        <w:rPr>
          <w:sz w:val="20"/>
        </w:rPr>
        <w:t>for</w:t>
      </w:r>
      <w:r>
        <w:rPr>
          <w:spacing w:val="-1"/>
          <w:sz w:val="20"/>
        </w:rPr>
        <w:t> </w:t>
      </w:r>
      <w:r>
        <w:rPr>
          <w:sz w:val="20"/>
        </w:rPr>
        <w:t>enrolling</w:t>
      </w:r>
      <w:r>
        <w:rPr>
          <w:spacing w:val="-2"/>
          <w:sz w:val="20"/>
        </w:rPr>
        <w:t> </w:t>
      </w:r>
      <w:r>
        <w:rPr>
          <w:sz w:val="20"/>
        </w:rPr>
        <w:t>patients</w:t>
      </w:r>
    </w:p>
    <w:p>
      <w:pPr>
        <w:pStyle w:val="ListParagraph"/>
        <w:numPr>
          <w:ilvl w:val="0"/>
          <w:numId w:val="17"/>
        </w:numPr>
        <w:tabs>
          <w:tab w:pos="1573" w:val="left" w:leader="none"/>
          <w:tab w:pos="1574" w:val="left" w:leader="none"/>
        </w:tabs>
        <w:spacing w:line="240" w:lineRule="auto" w:before="36" w:after="0"/>
        <w:ind w:left="1573" w:right="0" w:hanging="356"/>
        <w:jc w:val="left"/>
        <w:rPr>
          <w:sz w:val="20"/>
        </w:rPr>
      </w:pPr>
      <w:r>
        <w:rPr>
          <w:sz w:val="20"/>
        </w:rPr>
        <w:t>nature</w:t>
      </w:r>
      <w:r>
        <w:rPr>
          <w:spacing w:val="-4"/>
          <w:sz w:val="20"/>
        </w:rPr>
        <w:t> </w:t>
      </w:r>
      <w:r>
        <w:rPr>
          <w:sz w:val="20"/>
        </w:rPr>
        <w:t>of</w:t>
      </w:r>
      <w:r>
        <w:rPr>
          <w:spacing w:val="-4"/>
          <w:sz w:val="20"/>
        </w:rPr>
        <w:t> </w:t>
      </w:r>
      <w:r>
        <w:rPr>
          <w:sz w:val="20"/>
        </w:rPr>
        <w:t>other</w:t>
      </w:r>
      <w:r>
        <w:rPr>
          <w:spacing w:val="-4"/>
          <w:sz w:val="20"/>
        </w:rPr>
        <w:t> </w:t>
      </w:r>
      <w:r>
        <w:rPr>
          <w:sz w:val="20"/>
        </w:rPr>
        <w:t>PHN</w:t>
      </w:r>
      <w:r>
        <w:rPr>
          <w:spacing w:val="-5"/>
          <w:sz w:val="20"/>
        </w:rPr>
        <w:t> </w:t>
      </w:r>
      <w:r>
        <w:rPr>
          <w:sz w:val="20"/>
        </w:rPr>
        <w:t>initiatives</w:t>
      </w:r>
      <w:r>
        <w:rPr>
          <w:spacing w:val="-3"/>
          <w:sz w:val="20"/>
        </w:rPr>
        <w:t> </w:t>
      </w:r>
      <w:r>
        <w:rPr>
          <w:sz w:val="20"/>
        </w:rPr>
        <w:t>impacting</w:t>
      </w:r>
      <w:r>
        <w:rPr>
          <w:spacing w:val="-4"/>
          <w:sz w:val="20"/>
        </w:rPr>
        <w:t> </w:t>
      </w:r>
      <w:r>
        <w:rPr>
          <w:sz w:val="20"/>
        </w:rPr>
        <w:t>HCH</w:t>
      </w:r>
      <w:r>
        <w:rPr>
          <w:spacing w:val="-3"/>
          <w:sz w:val="20"/>
        </w:rPr>
        <w:t> </w:t>
      </w:r>
      <w:r>
        <w:rPr>
          <w:sz w:val="20"/>
        </w:rPr>
        <w:t>practices</w:t>
      </w:r>
    </w:p>
    <w:p>
      <w:pPr>
        <w:pStyle w:val="ListParagraph"/>
        <w:numPr>
          <w:ilvl w:val="0"/>
          <w:numId w:val="17"/>
        </w:numPr>
        <w:tabs>
          <w:tab w:pos="1573" w:val="left" w:leader="none"/>
          <w:tab w:pos="1574" w:val="left" w:leader="none"/>
        </w:tabs>
        <w:spacing w:line="240" w:lineRule="auto" w:before="38" w:after="0"/>
        <w:ind w:left="1573" w:right="0" w:hanging="356"/>
        <w:jc w:val="left"/>
        <w:rPr>
          <w:sz w:val="20"/>
        </w:rPr>
      </w:pPr>
      <w:r>
        <w:rPr>
          <w:sz w:val="20"/>
        </w:rPr>
        <w:t>PHN</w:t>
      </w:r>
      <w:r>
        <w:rPr>
          <w:spacing w:val="-4"/>
          <w:sz w:val="20"/>
        </w:rPr>
        <w:t> </w:t>
      </w:r>
      <w:r>
        <w:rPr>
          <w:sz w:val="20"/>
        </w:rPr>
        <w:t>resources</w:t>
      </w:r>
      <w:r>
        <w:rPr>
          <w:spacing w:val="-3"/>
          <w:sz w:val="20"/>
        </w:rPr>
        <w:t> </w:t>
      </w:r>
      <w:r>
        <w:rPr>
          <w:sz w:val="20"/>
        </w:rPr>
        <w:t>involved</w:t>
      </w:r>
      <w:r>
        <w:rPr>
          <w:spacing w:val="-4"/>
          <w:sz w:val="20"/>
        </w:rPr>
        <w:t> </w:t>
      </w:r>
      <w:r>
        <w:rPr>
          <w:sz w:val="20"/>
        </w:rPr>
        <w:t>in</w:t>
      </w:r>
      <w:r>
        <w:rPr>
          <w:spacing w:val="-3"/>
          <w:sz w:val="20"/>
        </w:rPr>
        <w:t> </w:t>
      </w:r>
      <w:r>
        <w:rPr>
          <w:sz w:val="20"/>
        </w:rPr>
        <w:t>support</w:t>
      </w:r>
      <w:r>
        <w:rPr>
          <w:spacing w:val="-1"/>
          <w:sz w:val="20"/>
        </w:rPr>
        <w:t> </w:t>
      </w:r>
      <w:r>
        <w:rPr>
          <w:sz w:val="20"/>
        </w:rPr>
        <w:t>and</w:t>
      </w:r>
      <w:r>
        <w:rPr>
          <w:spacing w:val="-4"/>
          <w:sz w:val="20"/>
        </w:rPr>
        <w:t> </w:t>
      </w:r>
      <w:r>
        <w:rPr>
          <w:sz w:val="20"/>
        </w:rPr>
        <w:t>training</w:t>
      </w:r>
      <w:r>
        <w:rPr>
          <w:spacing w:val="-3"/>
          <w:sz w:val="20"/>
        </w:rPr>
        <w:t> </w:t>
      </w:r>
      <w:r>
        <w:rPr>
          <w:sz w:val="20"/>
        </w:rPr>
        <w:t>of</w:t>
      </w:r>
      <w:r>
        <w:rPr>
          <w:spacing w:val="-4"/>
          <w:sz w:val="20"/>
        </w:rPr>
        <w:t> </w:t>
      </w:r>
      <w:r>
        <w:rPr>
          <w:sz w:val="20"/>
        </w:rPr>
        <w:t>HCH</w:t>
      </w:r>
      <w:r>
        <w:rPr>
          <w:spacing w:val="-2"/>
          <w:sz w:val="20"/>
        </w:rPr>
        <w:t> </w:t>
      </w:r>
      <w:r>
        <w:rPr>
          <w:sz w:val="20"/>
        </w:rPr>
        <w:t>practices</w:t>
      </w:r>
    </w:p>
    <w:p>
      <w:pPr>
        <w:pStyle w:val="ListParagraph"/>
        <w:numPr>
          <w:ilvl w:val="0"/>
          <w:numId w:val="17"/>
        </w:numPr>
        <w:tabs>
          <w:tab w:pos="1573" w:val="left" w:leader="none"/>
          <w:tab w:pos="1574" w:val="left" w:leader="none"/>
        </w:tabs>
        <w:spacing w:line="276" w:lineRule="auto" w:before="35" w:after="0"/>
        <w:ind w:left="1573" w:right="1626" w:hanging="356"/>
        <w:jc w:val="left"/>
        <w:rPr>
          <w:sz w:val="20"/>
        </w:rPr>
      </w:pPr>
      <w:r>
        <w:rPr>
          <w:sz w:val="20"/>
        </w:rPr>
        <w:t>PHN assessment of factors impacting the implementation of HCH within practices</w:t>
      </w:r>
      <w:r>
        <w:rPr>
          <w:spacing w:val="-54"/>
          <w:sz w:val="20"/>
        </w:rPr>
        <w:t> </w:t>
      </w:r>
      <w:r>
        <w:rPr>
          <w:sz w:val="20"/>
        </w:rPr>
        <w:t>(enablers</w:t>
      </w:r>
      <w:r>
        <w:rPr>
          <w:spacing w:val="-2"/>
          <w:sz w:val="20"/>
        </w:rPr>
        <w:t> </w:t>
      </w:r>
      <w:r>
        <w:rPr>
          <w:sz w:val="20"/>
        </w:rPr>
        <w:t>and</w:t>
      </w:r>
      <w:r>
        <w:rPr>
          <w:spacing w:val="-1"/>
          <w:sz w:val="20"/>
        </w:rPr>
        <w:t> </w:t>
      </w:r>
      <w:r>
        <w:rPr>
          <w:sz w:val="20"/>
        </w:rPr>
        <w:t>barriers)</w:t>
      </w:r>
    </w:p>
    <w:p>
      <w:pPr>
        <w:pStyle w:val="ListParagraph"/>
        <w:numPr>
          <w:ilvl w:val="0"/>
          <w:numId w:val="17"/>
        </w:numPr>
        <w:tabs>
          <w:tab w:pos="1573" w:val="left" w:leader="none"/>
          <w:tab w:pos="1574" w:val="left" w:leader="none"/>
        </w:tabs>
        <w:spacing w:line="240" w:lineRule="auto" w:before="0" w:after="0"/>
        <w:ind w:left="1573" w:right="0" w:hanging="356"/>
        <w:jc w:val="left"/>
        <w:rPr>
          <w:sz w:val="20"/>
        </w:rPr>
      </w:pPr>
      <w:r>
        <w:rPr>
          <w:sz w:val="20"/>
        </w:rPr>
        <w:t>PHN</w:t>
      </w:r>
      <w:r>
        <w:rPr>
          <w:spacing w:val="-4"/>
          <w:sz w:val="20"/>
        </w:rPr>
        <w:t> </w:t>
      </w:r>
      <w:r>
        <w:rPr>
          <w:sz w:val="20"/>
        </w:rPr>
        <w:t>assessment</w:t>
      </w:r>
      <w:r>
        <w:rPr>
          <w:spacing w:val="-1"/>
          <w:sz w:val="20"/>
        </w:rPr>
        <w:t> </w:t>
      </w:r>
      <w:r>
        <w:rPr>
          <w:sz w:val="20"/>
        </w:rPr>
        <w:t>of</w:t>
      </w:r>
      <w:r>
        <w:rPr>
          <w:spacing w:val="-2"/>
          <w:sz w:val="20"/>
        </w:rPr>
        <w:t> </w:t>
      </w:r>
      <w:r>
        <w:rPr>
          <w:sz w:val="20"/>
        </w:rPr>
        <w:t>the</w:t>
      </w:r>
      <w:r>
        <w:rPr>
          <w:spacing w:val="-2"/>
          <w:sz w:val="20"/>
        </w:rPr>
        <w:t> </w:t>
      </w:r>
      <w:r>
        <w:rPr>
          <w:sz w:val="20"/>
        </w:rPr>
        <w:t>impact of</w:t>
      </w:r>
      <w:r>
        <w:rPr>
          <w:spacing w:val="-3"/>
          <w:sz w:val="20"/>
        </w:rPr>
        <w:t> </w:t>
      </w:r>
      <w:r>
        <w:rPr>
          <w:sz w:val="20"/>
        </w:rPr>
        <w:t>HCH</w:t>
      </w:r>
      <w:r>
        <w:rPr>
          <w:spacing w:val="-2"/>
          <w:sz w:val="20"/>
        </w:rPr>
        <w:t> </w:t>
      </w:r>
      <w:r>
        <w:rPr>
          <w:sz w:val="20"/>
        </w:rPr>
        <w:t>amongst</w:t>
      </w:r>
      <w:r>
        <w:rPr>
          <w:spacing w:val="-2"/>
          <w:sz w:val="20"/>
        </w:rPr>
        <w:t> </w:t>
      </w:r>
      <w:r>
        <w:rPr>
          <w:sz w:val="20"/>
        </w:rPr>
        <w:t>practices.</w:t>
      </w:r>
    </w:p>
    <w:p>
      <w:pPr>
        <w:pStyle w:val="BodyText"/>
        <w:spacing w:before="5"/>
        <w:rPr>
          <w:sz w:val="19"/>
        </w:rPr>
      </w:pPr>
    </w:p>
    <w:p>
      <w:pPr>
        <w:pStyle w:val="BodyText"/>
        <w:spacing w:line="276" w:lineRule="auto"/>
        <w:ind w:left="860" w:right="1217"/>
      </w:pPr>
      <w:r>
        <w:rPr/>
        <w:t>Representatives from PHNs will also be interviewed. These interviews will provide a</w:t>
      </w:r>
      <w:r>
        <w:rPr>
          <w:spacing w:val="1"/>
        </w:rPr>
        <w:t> </w:t>
      </w:r>
      <w:r>
        <w:rPr/>
        <w:t>mechanism to further explore the issues associated with the implementation and success of</w:t>
      </w:r>
      <w:r>
        <w:rPr>
          <w:spacing w:val="1"/>
        </w:rPr>
        <w:t> </w:t>
      </w:r>
      <w:r>
        <w:rPr/>
        <w:t>HCH across practices within the PHN, and to identify opportunities for improving the</w:t>
      </w:r>
      <w:r>
        <w:rPr>
          <w:spacing w:val="1"/>
        </w:rPr>
        <w:t> </w:t>
      </w:r>
      <w:r>
        <w:rPr/>
        <w:t>program’s</w:t>
      </w:r>
      <w:r>
        <w:rPr>
          <w:spacing w:val="-3"/>
        </w:rPr>
        <w:t> </w:t>
      </w:r>
      <w:r>
        <w:rPr/>
        <w:t>design.</w:t>
      </w:r>
      <w:r>
        <w:rPr>
          <w:spacing w:val="-5"/>
        </w:rPr>
        <w:t> </w:t>
      </w:r>
      <w:r>
        <w:rPr/>
        <w:t>The</w:t>
      </w:r>
      <w:r>
        <w:rPr>
          <w:spacing w:val="-3"/>
        </w:rPr>
        <w:t> </w:t>
      </w:r>
      <w:r>
        <w:rPr/>
        <w:t>topic</w:t>
      </w:r>
      <w:r>
        <w:rPr>
          <w:spacing w:val="-4"/>
        </w:rPr>
        <w:t> </w:t>
      </w:r>
      <w:r>
        <w:rPr/>
        <w:t>guide</w:t>
      </w:r>
      <w:r>
        <w:rPr>
          <w:spacing w:val="-4"/>
        </w:rPr>
        <w:t> </w:t>
      </w:r>
      <w:r>
        <w:rPr/>
        <w:t>for</w:t>
      </w:r>
      <w:r>
        <w:rPr>
          <w:spacing w:val="-3"/>
        </w:rPr>
        <w:t> </w:t>
      </w:r>
      <w:r>
        <w:rPr/>
        <w:t>the</w:t>
      </w:r>
      <w:r>
        <w:rPr>
          <w:spacing w:val="-4"/>
        </w:rPr>
        <w:t> </w:t>
      </w:r>
      <w:r>
        <w:rPr/>
        <w:t>interviews</w:t>
      </w:r>
      <w:r>
        <w:rPr>
          <w:spacing w:val="-4"/>
        </w:rPr>
        <w:t> </w:t>
      </w:r>
      <w:r>
        <w:rPr/>
        <w:t>is</w:t>
      </w:r>
      <w:r>
        <w:rPr>
          <w:spacing w:val="-4"/>
        </w:rPr>
        <w:t> </w:t>
      </w:r>
      <w:r>
        <w:rPr/>
        <w:t>at</w:t>
      </w:r>
      <w:r>
        <w:rPr>
          <w:spacing w:val="-1"/>
        </w:rPr>
        <w:t> </w:t>
      </w:r>
      <w:r>
        <w:rPr/>
        <w:t>Appendix</w:t>
      </w:r>
      <w:r>
        <w:rPr>
          <w:spacing w:val="-4"/>
        </w:rPr>
        <w:t> </w:t>
      </w:r>
      <w:r>
        <w:rPr/>
        <w:t>G,</w:t>
      </w:r>
      <w:r>
        <w:rPr>
          <w:spacing w:val="-5"/>
        </w:rPr>
        <w:t> </w:t>
      </w:r>
      <w:r>
        <w:rPr/>
        <w:t>including</w:t>
      </w:r>
      <w:r>
        <w:rPr>
          <w:spacing w:val="-4"/>
        </w:rPr>
        <w:t> </w:t>
      </w:r>
      <w:r>
        <w:rPr/>
        <w:t>discussion</w:t>
      </w:r>
      <w:r>
        <w:rPr>
          <w:spacing w:val="-2"/>
        </w:rPr>
        <w:t> </w:t>
      </w:r>
      <w:r>
        <w:rPr/>
        <w:t>on</w:t>
      </w:r>
      <w:r>
        <w:rPr>
          <w:spacing w:val="-52"/>
        </w:rPr>
        <w:t> </w:t>
      </w:r>
      <w:r>
        <w:rPr/>
        <w:t>the</w:t>
      </w:r>
      <w:r>
        <w:rPr>
          <w:spacing w:val="-2"/>
        </w:rPr>
        <w:t> </w:t>
      </w:r>
      <w:r>
        <w:rPr/>
        <w:t>following:</w:t>
      </w:r>
    </w:p>
    <w:p>
      <w:pPr>
        <w:pStyle w:val="ListParagraph"/>
        <w:numPr>
          <w:ilvl w:val="0"/>
          <w:numId w:val="17"/>
        </w:numPr>
        <w:tabs>
          <w:tab w:pos="1573" w:val="left" w:leader="none"/>
          <w:tab w:pos="1574" w:val="left" w:leader="none"/>
        </w:tabs>
        <w:spacing w:line="240" w:lineRule="auto" w:before="200" w:after="0"/>
        <w:ind w:left="1573" w:right="0" w:hanging="356"/>
        <w:jc w:val="left"/>
        <w:rPr>
          <w:sz w:val="20"/>
        </w:rPr>
      </w:pPr>
      <w:r>
        <w:rPr>
          <w:sz w:val="20"/>
        </w:rPr>
        <w:t>enablers</w:t>
      </w:r>
      <w:r>
        <w:rPr>
          <w:spacing w:val="-4"/>
          <w:sz w:val="20"/>
        </w:rPr>
        <w:t> </w:t>
      </w:r>
      <w:r>
        <w:rPr>
          <w:sz w:val="20"/>
        </w:rPr>
        <w:t>and</w:t>
      </w:r>
      <w:r>
        <w:rPr>
          <w:spacing w:val="-3"/>
          <w:sz w:val="20"/>
        </w:rPr>
        <w:t> </w:t>
      </w:r>
      <w:r>
        <w:rPr>
          <w:sz w:val="20"/>
        </w:rPr>
        <w:t>barriers</w:t>
      </w:r>
      <w:r>
        <w:rPr>
          <w:spacing w:val="-3"/>
          <w:sz w:val="20"/>
        </w:rPr>
        <w:t> </w:t>
      </w:r>
      <w:r>
        <w:rPr>
          <w:sz w:val="20"/>
        </w:rPr>
        <w:t>for PHNs</w:t>
      </w:r>
    </w:p>
    <w:p>
      <w:pPr>
        <w:pStyle w:val="ListParagraph"/>
        <w:numPr>
          <w:ilvl w:val="0"/>
          <w:numId w:val="17"/>
        </w:numPr>
        <w:tabs>
          <w:tab w:pos="1573" w:val="left" w:leader="none"/>
          <w:tab w:pos="1574" w:val="left" w:leader="none"/>
        </w:tabs>
        <w:spacing w:line="276" w:lineRule="auto" w:before="36" w:after="0"/>
        <w:ind w:left="1573" w:right="1314" w:hanging="356"/>
        <w:jc w:val="left"/>
        <w:rPr>
          <w:sz w:val="20"/>
        </w:rPr>
      </w:pPr>
      <w:r>
        <w:rPr>
          <w:sz w:val="20"/>
        </w:rPr>
        <w:t>enablers and barriers for practices, including in relation to the community pharmacy</w:t>
      </w:r>
      <w:r>
        <w:rPr>
          <w:spacing w:val="-54"/>
          <w:sz w:val="20"/>
        </w:rPr>
        <w:t> </w:t>
      </w:r>
      <w:r>
        <w:rPr>
          <w:sz w:val="20"/>
        </w:rPr>
        <w:t>component</w:t>
      </w:r>
    </w:p>
    <w:p>
      <w:pPr>
        <w:pStyle w:val="ListParagraph"/>
        <w:numPr>
          <w:ilvl w:val="0"/>
          <w:numId w:val="17"/>
        </w:numPr>
        <w:tabs>
          <w:tab w:pos="1573" w:val="left" w:leader="none"/>
          <w:tab w:pos="1574" w:val="left" w:leader="none"/>
        </w:tabs>
        <w:spacing w:line="240" w:lineRule="auto" w:before="0" w:after="0"/>
        <w:ind w:left="1573" w:right="0" w:hanging="356"/>
        <w:jc w:val="left"/>
        <w:rPr>
          <w:sz w:val="20"/>
        </w:rPr>
      </w:pPr>
      <w:r>
        <w:rPr>
          <w:sz w:val="20"/>
        </w:rPr>
        <w:t>views</w:t>
      </w:r>
      <w:r>
        <w:rPr>
          <w:spacing w:val="-4"/>
          <w:sz w:val="20"/>
        </w:rPr>
        <w:t> </w:t>
      </w:r>
      <w:r>
        <w:rPr>
          <w:sz w:val="20"/>
        </w:rPr>
        <w:t>on</w:t>
      </w:r>
      <w:r>
        <w:rPr>
          <w:spacing w:val="-2"/>
          <w:sz w:val="20"/>
        </w:rPr>
        <w:t> </w:t>
      </w:r>
      <w:r>
        <w:rPr>
          <w:sz w:val="20"/>
        </w:rPr>
        <w:t>features</w:t>
      </w:r>
      <w:r>
        <w:rPr>
          <w:spacing w:val="-1"/>
          <w:sz w:val="20"/>
        </w:rPr>
        <w:t> </w:t>
      </w:r>
      <w:r>
        <w:rPr>
          <w:sz w:val="20"/>
        </w:rPr>
        <w:t>of</w:t>
      </w:r>
      <w:r>
        <w:rPr>
          <w:spacing w:val="-4"/>
          <w:sz w:val="20"/>
        </w:rPr>
        <w:t> </w:t>
      </w:r>
      <w:r>
        <w:rPr>
          <w:sz w:val="20"/>
        </w:rPr>
        <w:t>practices</w:t>
      </w:r>
      <w:r>
        <w:rPr>
          <w:spacing w:val="-4"/>
          <w:sz w:val="20"/>
        </w:rPr>
        <w:t> </w:t>
      </w:r>
      <w:r>
        <w:rPr>
          <w:sz w:val="20"/>
        </w:rPr>
        <w:t>successfully</w:t>
      </w:r>
      <w:r>
        <w:rPr>
          <w:spacing w:val="-4"/>
          <w:sz w:val="20"/>
        </w:rPr>
        <w:t> </w:t>
      </w:r>
      <w:r>
        <w:rPr>
          <w:sz w:val="20"/>
        </w:rPr>
        <w:t>implementing</w:t>
      </w:r>
      <w:r>
        <w:rPr>
          <w:spacing w:val="-4"/>
          <w:sz w:val="20"/>
        </w:rPr>
        <w:t> </w:t>
      </w:r>
      <w:r>
        <w:rPr>
          <w:sz w:val="20"/>
        </w:rPr>
        <w:t>HCH</w:t>
      </w:r>
    </w:p>
    <w:p>
      <w:pPr>
        <w:pStyle w:val="ListParagraph"/>
        <w:numPr>
          <w:ilvl w:val="0"/>
          <w:numId w:val="17"/>
        </w:numPr>
        <w:tabs>
          <w:tab w:pos="1573" w:val="left" w:leader="none"/>
          <w:tab w:pos="1574" w:val="left" w:leader="none"/>
        </w:tabs>
        <w:spacing w:line="240" w:lineRule="auto" w:before="38" w:after="0"/>
        <w:ind w:left="1573" w:right="0" w:hanging="356"/>
        <w:jc w:val="left"/>
        <w:rPr>
          <w:sz w:val="20"/>
        </w:rPr>
      </w:pPr>
      <w:r>
        <w:rPr>
          <w:sz w:val="20"/>
        </w:rPr>
        <w:t>contextual</w:t>
      </w:r>
      <w:r>
        <w:rPr>
          <w:spacing w:val="-4"/>
          <w:sz w:val="20"/>
        </w:rPr>
        <w:t> </w:t>
      </w:r>
      <w:r>
        <w:rPr>
          <w:sz w:val="20"/>
        </w:rPr>
        <w:t>information/</w:t>
      </w:r>
      <w:r>
        <w:rPr>
          <w:spacing w:val="-4"/>
          <w:sz w:val="20"/>
        </w:rPr>
        <w:t> </w:t>
      </w:r>
      <w:r>
        <w:rPr>
          <w:sz w:val="20"/>
        </w:rPr>
        <w:t>factors.</w:t>
      </w:r>
    </w:p>
    <w:p>
      <w:pPr>
        <w:spacing w:after="0" w:line="240" w:lineRule="auto"/>
        <w:jc w:val="left"/>
        <w:rPr>
          <w:sz w:val="20"/>
        </w:rPr>
        <w:sectPr>
          <w:pgSz w:w="11910" w:h="16840"/>
          <w:pgMar w:header="0" w:footer="675" w:top="1340" w:bottom="860" w:left="580" w:right="280"/>
        </w:sectPr>
      </w:pPr>
    </w:p>
    <w:p>
      <w:pPr>
        <w:pStyle w:val="Heading2"/>
        <w:spacing w:line="276" w:lineRule="auto" w:before="81"/>
        <w:ind w:right="1663"/>
      </w:pPr>
      <w:bookmarkStart w:name="_bookmark38" w:id="39"/>
      <w:bookmarkEnd w:id="39"/>
      <w:r>
        <w:rPr/>
      </w:r>
      <w:r>
        <w:rPr>
          <w:color w:val="003C79"/>
        </w:rPr>
        <w:t>Local Hospital Network (LHN) and state/ territory health</w:t>
      </w:r>
      <w:r>
        <w:rPr>
          <w:color w:val="003C79"/>
          <w:spacing w:val="-86"/>
        </w:rPr>
        <w:t> </w:t>
      </w:r>
      <w:r>
        <w:rPr>
          <w:color w:val="003C79"/>
        </w:rPr>
        <w:t>authority</w:t>
      </w:r>
      <w:r>
        <w:rPr>
          <w:color w:val="003C79"/>
          <w:spacing w:val="1"/>
        </w:rPr>
        <w:t> </w:t>
      </w:r>
      <w:r>
        <w:rPr>
          <w:color w:val="003C79"/>
        </w:rPr>
        <w:t>interviews</w:t>
      </w:r>
    </w:p>
    <w:p>
      <w:pPr>
        <w:pStyle w:val="BodyText"/>
        <w:spacing w:line="276" w:lineRule="auto" w:before="200"/>
        <w:ind w:left="860" w:right="1186"/>
      </w:pPr>
      <w:r>
        <w:rPr/>
        <w:t>With each round of practice interviews, representative of LHNs aligned with the regions in</w:t>
      </w:r>
      <w:r>
        <w:rPr>
          <w:spacing w:val="1"/>
        </w:rPr>
        <w:t> </w:t>
      </w:r>
      <w:r>
        <w:rPr/>
        <w:t>which HCH is implemented and health authorities within each state and territory will also be</w:t>
      </w:r>
      <w:r>
        <w:rPr>
          <w:spacing w:val="1"/>
        </w:rPr>
        <w:t> </w:t>
      </w:r>
      <w:r>
        <w:rPr/>
        <w:t>interviewed. These interviews will provide a mechanism to identify and explore initiatives</w:t>
      </w:r>
      <w:r>
        <w:rPr>
          <w:spacing w:val="1"/>
        </w:rPr>
        <w:t> </w:t>
      </w:r>
      <w:r>
        <w:rPr/>
        <w:t>being implemented by LHNs and/ or state and territory health authorities that impacted on</w:t>
      </w:r>
      <w:r>
        <w:rPr>
          <w:spacing w:val="1"/>
        </w:rPr>
        <w:t> </w:t>
      </w:r>
      <w:r>
        <w:rPr/>
        <w:t>HCH practices, including those undertaken as part of the bilateral agreements. The topic</w:t>
      </w:r>
      <w:r>
        <w:rPr>
          <w:spacing w:val="1"/>
        </w:rPr>
        <w:t> </w:t>
      </w:r>
      <w:r>
        <w:rPr/>
        <w:t>guide for LHN and state/ territory health authority interviews is at Appendix G. Also, the LHNs</w:t>
      </w:r>
      <w:r>
        <w:rPr>
          <w:spacing w:val="1"/>
        </w:rPr>
        <w:t> </w:t>
      </w:r>
      <w:r>
        <w:rPr/>
        <w:t>are likely to be more closely involved in the implementation of HCH amongst practices within</w:t>
      </w:r>
      <w:r>
        <w:rPr>
          <w:spacing w:val="-53"/>
        </w:rPr>
        <w:t> </w:t>
      </w:r>
      <w:r>
        <w:rPr/>
        <w:t>their regions, and thus have views on enablers and barriers for practices in implementing</w:t>
      </w:r>
      <w:r>
        <w:rPr>
          <w:spacing w:val="1"/>
        </w:rPr>
        <w:t> </w:t>
      </w:r>
      <w:r>
        <w:rPr/>
        <w:t>HCH, and features associated with successful implementation. They will also be asked about</w:t>
      </w:r>
      <w:r>
        <w:rPr>
          <w:spacing w:val="1"/>
        </w:rPr>
        <w:t> </w:t>
      </w:r>
      <w:r>
        <w:rPr/>
        <w:t>these.</w:t>
      </w:r>
    </w:p>
    <w:p>
      <w:pPr>
        <w:pStyle w:val="Heading2"/>
        <w:spacing w:before="202"/>
      </w:pPr>
      <w:bookmarkStart w:name="_bookmark39" w:id="40"/>
      <w:bookmarkEnd w:id="40"/>
      <w:r>
        <w:rPr/>
      </w:r>
      <w:r>
        <w:rPr>
          <w:color w:val="003C79"/>
        </w:rPr>
        <w:t>Patient</w:t>
      </w:r>
      <w:r>
        <w:rPr>
          <w:color w:val="003C79"/>
          <w:spacing w:val="-7"/>
        </w:rPr>
        <w:t> </w:t>
      </w:r>
      <w:r>
        <w:rPr>
          <w:color w:val="003C79"/>
        </w:rPr>
        <w:t>surveys</w:t>
      </w:r>
      <w:r>
        <w:rPr>
          <w:color w:val="003C79"/>
          <w:spacing w:val="-7"/>
        </w:rPr>
        <w:t> </w:t>
      </w:r>
      <w:r>
        <w:rPr>
          <w:color w:val="003C79"/>
        </w:rPr>
        <w:t>and</w:t>
      </w:r>
      <w:r>
        <w:rPr>
          <w:color w:val="003C79"/>
          <w:spacing w:val="-6"/>
        </w:rPr>
        <w:t> </w:t>
      </w:r>
      <w:r>
        <w:rPr>
          <w:color w:val="003C79"/>
        </w:rPr>
        <w:t>interviews</w:t>
      </w:r>
    </w:p>
    <w:p>
      <w:pPr>
        <w:pStyle w:val="BodyText"/>
        <w:spacing w:line="276" w:lineRule="auto" w:before="259"/>
        <w:ind w:left="860" w:right="1176"/>
      </w:pPr>
      <w:r>
        <w:rPr/>
        <w:t>Surveys are intended to be of patients enrolled in HCH, but in some instances, may be</w:t>
      </w:r>
      <w:r>
        <w:rPr>
          <w:spacing w:val="1"/>
        </w:rPr>
        <w:t> </w:t>
      </w:r>
      <w:r>
        <w:rPr/>
        <w:t>completed by a proxy on behalf of the patient (e.g. carer, family member). A question in the</w:t>
      </w:r>
      <w:r>
        <w:rPr>
          <w:spacing w:val="-53"/>
        </w:rPr>
        <w:t> </w:t>
      </w:r>
      <w:r>
        <w:rPr/>
        <w:t>survey will be whether the patient had assistance in completing the survey, and the level of</w:t>
      </w:r>
      <w:r>
        <w:rPr>
          <w:spacing w:val="1"/>
        </w:rPr>
        <w:t> </w:t>
      </w:r>
      <w:r>
        <w:rPr/>
        <w:t>this</w:t>
      </w:r>
      <w:r>
        <w:rPr>
          <w:spacing w:val="-2"/>
        </w:rPr>
        <w:t> </w:t>
      </w:r>
      <w:r>
        <w:rPr/>
        <w:t>assistance.</w:t>
      </w:r>
    </w:p>
    <w:p>
      <w:pPr>
        <w:pStyle w:val="BodyText"/>
        <w:spacing w:line="276" w:lineRule="auto" w:before="199"/>
        <w:ind w:left="860" w:right="1205"/>
      </w:pPr>
      <w:r>
        <w:rPr/>
        <w:t>Interviews are also intended, to obtain experiences of enrolled patients, but will also seek the</w:t>
      </w:r>
      <w:r>
        <w:rPr>
          <w:spacing w:val="-54"/>
        </w:rPr>
        <w:t> </w:t>
      </w:r>
      <w:r>
        <w:rPr/>
        <w:t>views of carers and/ or families as a proxy for the patient, as well as independent of the</w:t>
      </w:r>
      <w:r>
        <w:rPr>
          <w:spacing w:val="1"/>
        </w:rPr>
        <w:t> </w:t>
      </w:r>
      <w:r>
        <w:rPr/>
        <w:t>patients</w:t>
      </w:r>
      <w:r>
        <w:rPr>
          <w:spacing w:val="-2"/>
        </w:rPr>
        <w:t> </w:t>
      </w:r>
      <w:r>
        <w:rPr/>
        <w:t>(but</w:t>
      </w:r>
      <w:r>
        <w:rPr>
          <w:spacing w:val="1"/>
        </w:rPr>
        <w:t> </w:t>
      </w:r>
      <w:r>
        <w:rPr/>
        <w:t>focusing</w:t>
      </w:r>
      <w:r>
        <w:rPr>
          <w:spacing w:val="-1"/>
        </w:rPr>
        <w:t> </w:t>
      </w:r>
      <w:r>
        <w:rPr/>
        <w:t>on</w:t>
      </w:r>
      <w:r>
        <w:rPr>
          <w:spacing w:val="1"/>
        </w:rPr>
        <w:t> </w:t>
      </w:r>
      <w:r>
        <w:rPr/>
        <w:t>the</w:t>
      </w:r>
      <w:r>
        <w:rPr>
          <w:spacing w:val="-1"/>
        </w:rPr>
        <w:t> </w:t>
      </w:r>
      <w:r>
        <w:rPr/>
        <w:t>care</w:t>
      </w:r>
      <w:r>
        <w:rPr>
          <w:spacing w:val="-1"/>
        </w:rPr>
        <w:t> </w:t>
      </w:r>
      <w:r>
        <w:rPr/>
        <w:t>delivered</w:t>
      </w:r>
      <w:r>
        <w:rPr>
          <w:spacing w:val="-1"/>
        </w:rPr>
        <w:t> </w:t>
      </w:r>
      <w:r>
        <w:rPr/>
        <w:t>to</w:t>
      </w:r>
      <w:r>
        <w:rPr>
          <w:spacing w:val="-1"/>
        </w:rPr>
        <w:t> </w:t>
      </w:r>
      <w:r>
        <w:rPr/>
        <w:t>patients).</w:t>
      </w:r>
    </w:p>
    <w:p>
      <w:pPr>
        <w:pStyle w:val="Heading6"/>
        <w:spacing w:line="276" w:lineRule="auto" w:before="201"/>
        <w:ind w:left="860" w:right="1502"/>
      </w:pPr>
      <w:r>
        <w:rPr/>
        <w:t>For simplicity, the term ‘patient’ has been used in this document to refer to data collection</w:t>
      </w:r>
      <w:r>
        <w:rPr>
          <w:spacing w:val="-54"/>
        </w:rPr>
        <w:t> </w:t>
      </w:r>
      <w:r>
        <w:rPr/>
        <w:t>relating to HCH enrolees, but as explained above, may also refer to carers and/ or family</w:t>
      </w:r>
      <w:r>
        <w:rPr>
          <w:spacing w:val="1"/>
        </w:rPr>
        <w:t> </w:t>
      </w:r>
      <w:r>
        <w:rPr/>
        <w:t>members</w:t>
      </w:r>
      <w:r>
        <w:rPr>
          <w:spacing w:val="-1"/>
        </w:rPr>
        <w:t> </w:t>
      </w:r>
      <w:r>
        <w:rPr/>
        <w:t>of</w:t>
      </w:r>
      <w:r>
        <w:rPr>
          <w:spacing w:val="-2"/>
        </w:rPr>
        <w:t> </w:t>
      </w:r>
      <w:r>
        <w:rPr/>
        <w:t>enrolled</w:t>
      </w:r>
      <w:r>
        <w:rPr>
          <w:spacing w:val="-1"/>
        </w:rPr>
        <w:t> </w:t>
      </w:r>
      <w:r>
        <w:rPr/>
        <w:t>patients.</w:t>
      </w:r>
    </w:p>
    <w:p>
      <w:pPr>
        <w:pStyle w:val="BodyText"/>
        <w:spacing w:line="276" w:lineRule="auto" w:before="200"/>
        <w:ind w:left="860" w:right="1242"/>
      </w:pPr>
      <w:r>
        <w:rPr/>
        <w:t>Only patients enrolled in HCH will be invited to participate in a survey and/ or an interview or</w:t>
      </w:r>
      <w:r>
        <w:rPr>
          <w:spacing w:val="-53"/>
        </w:rPr>
        <w:t> </w:t>
      </w:r>
      <w:r>
        <w:rPr/>
        <w:t>focus</w:t>
      </w:r>
      <w:r>
        <w:rPr>
          <w:spacing w:val="-2"/>
        </w:rPr>
        <w:t> </w:t>
      </w:r>
      <w:r>
        <w:rPr/>
        <w:t>group.</w:t>
      </w:r>
      <w:r>
        <w:rPr>
          <w:spacing w:val="-1"/>
        </w:rPr>
        <w:t> </w:t>
      </w:r>
      <w:r>
        <w:rPr/>
        <w:t>No</w:t>
      </w:r>
      <w:r>
        <w:rPr>
          <w:spacing w:val="-1"/>
        </w:rPr>
        <w:t> </w:t>
      </w:r>
      <w:r>
        <w:rPr/>
        <w:t>comparisons</w:t>
      </w:r>
      <w:r>
        <w:rPr>
          <w:spacing w:val="-1"/>
        </w:rPr>
        <w:t> </w:t>
      </w:r>
      <w:r>
        <w:rPr/>
        <w:t>are</w:t>
      </w:r>
      <w:r>
        <w:rPr>
          <w:spacing w:val="-1"/>
        </w:rPr>
        <w:t> </w:t>
      </w:r>
      <w:r>
        <w:rPr/>
        <w:t>intended.</w:t>
      </w:r>
    </w:p>
    <w:p>
      <w:pPr>
        <w:pStyle w:val="BodyText"/>
        <w:spacing w:line="276" w:lineRule="auto" w:before="199"/>
        <w:ind w:left="860" w:right="1444"/>
      </w:pPr>
      <w:r>
        <w:rPr/>
        <w:t>There will be three administration points for the surveys (Round 1, Round 4 and Round 5).</w:t>
      </w:r>
      <w:r>
        <w:rPr>
          <w:spacing w:val="1"/>
        </w:rPr>
        <w:t> </w:t>
      </w:r>
      <w:r>
        <w:rPr/>
        <w:t>Changes will be measured at the patient level (i.e. a repeated measures design), but can</w:t>
      </w:r>
      <w:r>
        <w:rPr>
          <w:spacing w:val="-53"/>
        </w:rPr>
        <w:t> </w:t>
      </w:r>
      <w:r>
        <w:rPr/>
        <w:t>only be assessed between these time points (i.e. there will be no data preceding the initial</w:t>
      </w:r>
      <w:r>
        <w:rPr>
          <w:spacing w:val="-53"/>
        </w:rPr>
        <w:t> </w:t>
      </w:r>
      <w:r>
        <w:rPr/>
        <w:t>interview).</w:t>
      </w:r>
    </w:p>
    <w:p>
      <w:pPr>
        <w:pStyle w:val="BodyText"/>
        <w:spacing w:line="276" w:lineRule="auto" w:before="202"/>
        <w:ind w:left="860" w:right="1154"/>
      </w:pPr>
      <w:r>
        <w:rPr/>
        <w:t>A</w:t>
      </w:r>
      <w:r>
        <w:rPr>
          <w:spacing w:val="-5"/>
        </w:rPr>
        <w:t> </w:t>
      </w:r>
      <w:r>
        <w:rPr/>
        <w:t>sample of</w:t>
      </w:r>
      <w:r>
        <w:rPr>
          <w:spacing w:val="-3"/>
        </w:rPr>
        <w:t> </w:t>
      </w:r>
      <w:r>
        <w:rPr/>
        <w:t>patients</w:t>
      </w:r>
      <w:r>
        <w:rPr>
          <w:spacing w:val="-7"/>
        </w:rPr>
        <w:t> </w:t>
      </w:r>
      <w:r>
        <w:rPr/>
        <w:t>will</w:t>
      </w:r>
      <w:r>
        <w:rPr>
          <w:spacing w:val="-4"/>
        </w:rPr>
        <w:t> </w:t>
      </w:r>
      <w:r>
        <w:rPr/>
        <w:t>be</w:t>
      </w:r>
      <w:r>
        <w:rPr>
          <w:spacing w:val="-3"/>
        </w:rPr>
        <w:t> </w:t>
      </w:r>
      <w:r>
        <w:rPr/>
        <w:t>surveyed</w:t>
      </w:r>
      <w:r>
        <w:rPr>
          <w:spacing w:val="1"/>
        </w:rPr>
        <w:t> </w:t>
      </w:r>
      <w:r>
        <w:rPr/>
        <w:t>(with</w:t>
      </w:r>
      <w:r>
        <w:rPr>
          <w:spacing w:val="-2"/>
        </w:rPr>
        <w:t> </w:t>
      </w:r>
      <w:r>
        <w:rPr/>
        <w:t>a</w:t>
      </w:r>
      <w:r>
        <w:rPr>
          <w:spacing w:val="-2"/>
        </w:rPr>
        <w:t> </w:t>
      </w:r>
      <w:r>
        <w:rPr/>
        <w:t>target</w:t>
      </w:r>
      <w:r>
        <w:rPr>
          <w:spacing w:val="-2"/>
        </w:rPr>
        <w:t> </w:t>
      </w:r>
      <w:r>
        <w:rPr/>
        <w:t>of</w:t>
      </w:r>
      <w:r>
        <w:rPr>
          <w:spacing w:val="-3"/>
        </w:rPr>
        <w:t> </w:t>
      </w:r>
      <w:r>
        <w:rPr/>
        <w:t>2,000</w:t>
      </w:r>
      <w:r>
        <w:rPr>
          <w:spacing w:val="-3"/>
        </w:rPr>
        <w:t> </w:t>
      </w:r>
      <w:r>
        <w:rPr/>
        <w:t>responses),</w:t>
      </w:r>
      <w:r>
        <w:rPr>
          <w:spacing w:val="-6"/>
        </w:rPr>
        <w:t> </w:t>
      </w:r>
      <w:r>
        <w:rPr/>
        <w:t>drawn</w:t>
      </w:r>
      <w:r>
        <w:rPr>
          <w:spacing w:val="-2"/>
        </w:rPr>
        <w:t> </w:t>
      </w:r>
      <w:r>
        <w:rPr/>
        <w:t>from</w:t>
      </w:r>
      <w:r>
        <w:rPr>
          <w:spacing w:val="-3"/>
        </w:rPr>
        <w:t> </w:t>
      </w:r>
      <w:r>
        <w:rPr/>
        <w:t>practices</w:t>
      </w:r>
      <w:r>
        <w:rPr>
          <w:spacing w:val="-53"/>
        </w:rPr>
        <w:t> </w:t>
      </w:r>
      <w:r>
        <w:rPr/>
        <w:t>participating in HCH but excluding the NT Aboriginal Community Controlled Health Services</w:t>
      </w:r>
      <w:r>
        <w:rPr>
          <w:spacing w:val="1"/>
        </w:rPr>
        <w:t> </w:t>
      </w:r>
      <w:r>
        <w:rPr/>
        <w:t>(ACCHSs). The sample will include patients from all HCH Tiers drawn from an online database</w:t>
      </w:r>
      <w:r>
        <w:rPr>
          <w:spacing w:val="1"/>
        </w:rPr>
        <w:t> </w:t>
      </w:r>
      <w:r>
        <w:rPr/>
        <w:t>established for the evaluation: HCH practices enter enrolees’ demographic and contact</w:t>
      </w:r>
      <w:r>
        <w:rPr>
          <w:spacing w:val="1"/>
        </w:rPr>
        <w:t> </w:t>
      </w:r>
      <w:r>
        <w:rPr/>
        <w:t>details</w:t>
      </w:r>
      <w:r>
        <w:rPr>
          <w:spacing w:val="-2"/>
        </w:rPr>
        <w:t> </w:t>
      </w:r>
      <w:r>
        <w:rPr/>
        <w:t>into</w:t>
      </w:r>
      <w:r>
        <w:rPr>
          <w:spacing w:val="-1"/>
        </w:rPr>
        <w:t> </w:t>
      </w:r>
      <w:r>
        <w:rPr/>
        <w:t>the</w:t>
      </w:r>
      <w:r>
        <w:rPr>
          <w:spacing w:val="-1"/>
        </w:rPr>
        <w:t> </w:t>
      </w:r>
      <w:r>
        <w:rPr/>
        <w:t>database</w:t>
      </w:r>
      <w:r>
        <w:rPr>
          <w:spacing w:val="-4"/>
        </w:rPr>
        <w:t> </w:t>
      </w:r>
      <w:r>
        <w:rPr/>
        <w:t>upon enrolment.</w:t>
      </w:r>
    </w:p>
    <w:p>
      <w:pPr>
        <w:pStyle w:val="BodyText"/>
        <w:spacing w:line="276" w:lineRule="auto" w:before="198"/>
        <w:ind w:left="860" w:right="1207"/>
      </w:pPr>
      <w:r>
        <w:rPr/>
        <w:t>To ensure that there is an adequate sample of patients participating in the community</w:t>
      </w:r>
      <w:r>
        <w:rPr>
          <w:spacing w:val="1"/>
        </w:rPr>
        <w:t> </w:t>
      </w:r>
      <w:r>
        <w:rPr/>
        <w:t>pharmacy component, in rounds 4 and 5 (i.e. following the implementation of the</w:t>
      </w:r>
      <w:r>
        <w:rPr>
          <w:spacing w:val="1"/>
        </w:rPr>
        <w:t> </w:t>
      </w:r>
      <w:r>
        <w:rPr/>
        <w:t>community</w:t>
      </w:r>
      <w:r>
        <w:rPr>
          <w:spacing w:val="-5"/>
        </w:rPr>
        <w:t> </w:t>
      </w:r>
      <w:r>
        <w:rPr/>
        <w:t>pharmacy</w:t>
      </w:r>
      <w:r>
        <w:rPr>
          <w:spacing w:val="-5"/>
        </w:rPr>
        <w:t> </w:t>
      </w:r>
      <w:r>
        <w:rPr/>
        <w:t>component</w:t>
      </w:r>
      <w:r>
        <w:rPr>
          <w:spacing w:val="-3"/>
        </w:rPr>
        <w:t> </w:t>
      </w:r>
      <w:r>
        <w:rPr/>
        <w:t>in</w:t>
      </w:r>
      <w:r>
        <w:rPr>
          <w:spacing w:val="-1"/>
        </w:rPr>
        <w:t> </w:t>
      </w:r>
      <w:r>
        <w:rPr/>
        <w:t>August</w:t>
      </w:r>
      <w:r>
        <w:rPr>
          <w:spacing w:val="-2"/>
        </w:rPr>
        <w:t> </w:t>
      </w:r>
      <w:r>
        <w:rPr/>
        <w:t>2018),</w:t>
      </w:r>
      <w:r>
        <w:rPr>
          <w:spacing w:val="-6"/>
        </w:rPr>
        <w:t> </w:t>
      </w:r>
      <w:r>
        <w:rPr/>
        <w:t>the</w:t>
      </w:r>
      <w:r>
        <w:rPr>
          <w:spacing w:val="-4"/>
        </w:rPr>
        <w:t> </w:t>
      </w:r>
      <w:r>
        <w:rPr/>
        <w:t>target</w:t>
      </w:r>
      <w:r>
        <w:rPr>
          <w:spacing w:val="-1"/>
        </w:rPr>
        <w:t> </w:t>
      </w:r>
      <w:r>
        <w:rPr/>
        <w:t>responses</w:t>
      </w:r>
      <w:r>
        <w:rPr>
          <w:spacing w:val="-2"/>
        </w:rPr>
        <w:t> </w:t>
      </w:r>
      <w:r>
        <w:rPr/>
        <w:t>will</w:t>
      </w:r>
      <w:r>
        <w:rPr>
          <w:spacing w:val="-3"/>
        </w:rPr>
        <w:t> </w:t>
      </w:r>
      <w:r>
        <w:rPr/>
        <w:t>be</w:t>
      </w:r>
      <w:r>
        <w:rPr>
          <w:spacing w:val="-4"/>
        </w:rPr>
        <w:t> </w:t>
      </w:r>
      <w:r>
        <w:rPr/>
        <w:t>expanded</w:t>
      </w:r>
      <w:r>
        <w:rPr>
          <w:spacing w:val="-3"/>
        </w:rPr>
        <w:t> </w:t>
      </w:r>
      <w:r>
        <w:rPr/>
        <w:t>to</w:t>
      </w:r>
      <w:r>
        <w:rPr>
          <w:spacing w:val="-53"/>
        </w:rPr>
        <w:t> </w:t>
      </w:r>
      <w:r>
        <w:rPr/>
        <w:t>2,500,</w:t>
      </w:r>
      <w:r>
        <w:rPr>
          <w:spacing w:val="-4"/>
        </w:rPr>
        <w:t> </w:t>
      </w:r>
      <w:r>
        <w:rPr/>
        <w:t>with</w:t>
      </w:r>
      <w:r>
        <w:rPr>
          <w:spacing w:val="-3"/>
        </w:rPr>
        <w:t> </w:t>
      </w:r>
      <w:r>
        <w:rPr/>
        <w:t>the</w:t>
      </w:r>
      <w:r>
        <w:rPr>
          <w:spacing w:val="-2"/>
        </w:rPr>
        <w:t> </w:t>
      </w:r>
      <w:r>
        <w:rPr/>
        <w:t>additional</w:t>
      </w:r>
      <w:r>
        <w:rPr>
          <w:spacing w:val="-3"/>
        </w:rPr>
        <w:t> </w:t>
      </w:r>
      <w:r>
        <w:rPr/>
        <w:t>500</w:t>
      </w:r>
      <w:r>
        <w:rPr>
          <w:spacing w:val="-2"/>
        </w:rPr>
        <w:t> </w:t>
      </w:r>
      <w:r>
        <w:rPr/>
        <w:t>drawn from</w:t>
      </w:r>
      <w:r>
        <w:rPr>
          <w:spacing w:val="-2"/>
        </w:rPr>
        <w:t> </w:t>
      </w:r>
      <w:r>
        <w:rPr/>
        <w:t>those</w:t>
      </w:r>
      <w:r>
        <w:rPr>
          <w:spacing w:val="-2"/>
        </w:rPr>
        <w:t> </w:t>
      </w:r>
      <w:r>
        <w:rPr/>
        <w:t>referred</w:t>
      </w:r>
      <w:r>
        <w:rPr>
          <w:spacing w:val="-1"/>
        </w:rPr>
        <w:t> </w:t>
      </w:r>
      <w:r>
        <w:rPr/>
        <w:t>to</w:t>
      </w:r>
      <w:r>
        <w:rPr>
          <w:spacing w:val="-2"/>
        </w:rPr>
        <w:t> </w:t>
      </w:r>
      <w:r>
        <w:rPr/>
        <w:t>community</w:t>
      </w:r>
      <w:r>
        <w:rPr>
          <w:spacing w:val="-2"/>
        </w:rPr>
        <w:t> </w:t>
      </w:r>
      <w:r>
        <w:rPr/>
        <w:t>pharmacists.</w:t>
      </w:r>
    </w:p>
    <w:p>
      <w:pPr>
        <w:pStyle w:val="BodyText"/>
        <w:spacing w:line="276" w:lineRule="auto" w:before="202"/>
        <w:ind w:left="860" w:right="1800"/>
      </w:pPr>
      <w:r>
        <w:rPr/>
        <w:t>The instrument to be used for the patient surveys is at Appendix F. It uses items from the</w:t>
      </w:r>
      <w:r>
        <w:rPr>
          <w:spacing w:val="-53"/>
        </w:rPr>
        <w:t> </w:t>
      </w:r>
      <w:r>
        <w:rPr/>
        <w:t>following</w:t>
      </w:r>
      <w:r>
        <w:rPr>
          <w:spacing w:val="-2"/>
        </w:rPr>
        <w:t> </w:t>
      </w:r>
      <w:r>
        <w:rPr/>
        <w:t>sources:</w:t>
      </w:r>
    </w:p>
    <w:p>
      <w:pPr>
        <w:spacing w:after="0" w:line="276" w:lineRule="auto"/>
        <w:sectPr>
          <w:pgSz w:w="11910" w:h="16840"/>
          <w:pgMar w:header="0" w:footer="675" w:top="1340" w:bottom="860" w:left="580" w:right="280"/>
        </w:sectPr>
      </w:pPr>
    </w:p>
    <w:p>
      <w:pPr>
        <w:pStyle w:val="ListParagraph"/>
        <w:numPr>
          <w:ilvl w:val="0"/>
          <w:numId w:val="17"/>
        </w:numPr>
        <w:tabs>
          <w:tab w:pos="1573" w:val="left" w:leader="none"/>
          <w:tab w:pos="1574" w:val="left" w:leader="none"/>
        </w:tabs>
        <w:spacing w:line="276" w:lineRule="auto" w:before="82" w:after="0"/>
        <w:ind w:left="1573" w:right="1474" w:hanging="356"/>
        <w:jc w:val="left"/>
        <w:rPr>
          <w:sz w:val="20"/>
        </w:rPr>
      </w:pPr>
      <w:r>
        <w:rPr>
          <w:sz w:val="20"/>
        </w:rPr>
        <w:t>Patient Assessment of Chronic Illness Care (13-item version) (</w:t>
      </w:r>
      <w:hyperlink w:history="true" w:anchor="_bookmark114">
        <w:r>
          <w:rPr>
            <w:sz w:val="20"/>
          </w:rPr>
          <w:t>Gibbons, Small, Rick et</w:t>
        </w:r>
      </w:hyperlink>
      <w:r>
        <w:rPr>
          <w:spacing w:val="-53"/>
          <w:sz w:val="20"/>
        </w:rPr>
        <w:t> </w:t>
      </w:r>
      <w:r>
        <w:rPr>
          <w:sz w:val="20"/>
        </w:rPr>
        <w:t>al.,</w:t>
      </w:r>
      <w:r>
        <w:rPr>
          <w:spacing w:val="-4"/>
          <w:sz w:val="20"/>
        </w:rPr>
        <w:t> </w:t>
      </w:r>
      <w:r>
        <w:rPr>
          <w:sz w:val="20"/>
        </w:rPr>
        <w:t>2017)</w:t>
      </w:r>
    </w:p>
    <w:p>
      <w:pPr>
        <w:pStyle w:val="ListParagraph"/>
        <w:numPr>
          <w:ilvl w:val="0"/>
          <w:numId w:val="17"/>
        </w:numPr>
        <w:tabs>
          <w:tab w:pos="1573" w:val="left" w:leader="none"/>
          <w:tab w:pos="1574" w:val="left" w:leader="none"/>
        </w:tabs>
        <w:spacing w:line="276" w:lineRule="auto" w:before="0" w:after="0"/>
        <w:ind w:left="1573" w:right="1370" w:hanging="356"/>
        <w:jc w:val="left"/>
        <w:rPr>
          <w:sz w:val="20"/>
        </w:rPr>
      </w:pPr>
      <w:r>
        <w:rPr>
          <w:sz w:val="20"/>
        </w:rPr>
        <w:t>Patient Activation Measure (PAM) (13-item version) (</w:t>
      </w:r>
      <w:hyperlink w:history="true" w:anchor="_bookmark117">
        <w:r>
          <w:rPr>
            <w:sz w:val="20"/>
          </w:rPr>
          <w:t>Hibbard, Mahoney, Stockard et</w:t>
        </w:r>
      </w:hyperlink>
      <w:r>
        <w:rPr>
          <w:spacing w:val="-54"/>
          <w:sz w:val="20"/>
        </w:rPr>
        <w:t> </w:t>
      </w:r>
      <w:r>
        <w:rPr>
          <w:sz w:val="20"/>
        </w:rPr>
        <w:t>al.,</w:t>
      </w:r>
      <w:r>
        <w:rPr>
          <w:spacing w:val="-4"/>
          <w:sz w:val="20"/>
        </w:rPr>
        <w:t> </w:t>
      </w:r>
      <w:r>
        <w:rPr>
          <w:sz w:val="20"/>
        </w:rPr>
        <w:t>2005)</w:t>
      </w:r>
    </w:p>
    <w:p>
      <w:pPr>
        <w:pStyle w:val="ListParagraph"/>
        <w:numPr>
          <w:ilvl w:val="0"/>
          <w:numId w:val="17"/>
        </w:numPr>
        <w:tabs>
          <w:tab w:pos="1573" w:val="left" w:leader="none"/>
          <w:tab w:pos="1574" w:val="left" w:leader="none"/>
        </w:tabs>
        <w:spacing w:line="240" w:lineRule="auto" w:before="0" w:after="0"/>
        <w:ind w:left="1573" w:right="0" w:hanging="356"/>
        <w:jc w:val="left"/>
        <w:rPr>
          <w:sz w:val="20"/>
        </w:rPr>
      </w:pPr>
      <w:r>
        <w:rPr>
          <w:sz w:val="20"/>
        </w:rPr>
        <w:t>EQ-5D-5L</w:t>
      </w:r>
      <w:r>
        <w:rPr>
          <w:spacing w:val="-5"/>
          <w:sz w:val="20"/>
        </w:rPr>
        <w:t> </w:t>
      </w:r>
      <w:r>
        <w:rPr>
          <w:sz w:val="20"/>
        </w:rPr>
        <w:t>health</w:t>
      </w:r>
      <w:r>
        <w:rPr>
          <w:spacing w:val="-2"/>
          <w:sz w:val="20"/>
        </w:rPr>
        <w:t> </w:t>
      </w:r>
      <w:r>
        <w:rPr>
          <w:sz w:val="20"/>
        </w:rPr>
        <w:t>status</w:t>
      </w:r>
      <w:r>
        <w:rPr>
          <w:spacing w:val="-3"/>
          <w:sz w:val="20"/>
        </w:rPr>
        <w:t> </w:t>
      </w:r>
      <w:r>
        <w:rPr>
          <w:sz w:val="20"/>
        </w:rPr>
        <w:t>measure (</w:t>
      </w:r>
      <w:hyperlink w:history="true" w:anchor="_bookmark116">
        <w:r>
          <w:rPr>
            <w:sz w:val="20"/>
          </w:rPr>
          <w:t>Herdman,</w:t>
        </w:r>
        <w:r>
          <w:rPr>
            <w:spacing w:val="-3"/>
            <w:sz w:val="20"/>
          </w:rPr>
          <w:t> </w:t>
        </w:r>
        <w:r>
          <w:rPr>
            <w:sz w:val="20"/>
          </w:rPr>
          <w:t>Gudex,</w:t>
        </w:r>
        <w:r>
          <w:rPr>
            <w:spacing w:val="-2"/>
            <w:sz w:val="20"/>
          </w:rPr>
          <w:t> </w:t>
        </w:r>
        <w:r>
          <w:rPr>
            <w:sz w:val="20"/>
          </w:rPr>
          <w:t>Lloyd</w:t>
        </w:r>
        <w:r>
          <w:rPr>
            <w:spacing w:val="-3"/>
            <w:sz w:val="20"/>
          </w:rPr>
          <w:t> </w:t>
        </w:r>
        <w:r>
          <w:rPr>
            <w:sz w:val="20"/>
          </w:rPr>
          <w:t>et</w:t>
        </w:r>
        <w:r>
          <w:rPr>
            <w:spacing w:val="-1"/>
            <w:sz w:val="20"/>
          </w:rPr>
          <w:t> </w:t>
        </w:r>
        <w:r>
          <w:rPr>
            <w:sz w:val="20"/>
          </w:rPr>
          <w:t>al.,</w:t>
        </w:r>
        <w:r>
          <w:rPr>
            <w:spacing w:val="-5"/>
            <w:sz w:val="20"/>
          </w:rPr>
          <w:t> </w:t>
        </w:r>
        <w:r>
          <w:rPr>
            <w:sz w:val="20"/>
          </w:rPr>
          <w:t>2011</w:t>
        </w:r>
      </w:hyperlink>
      <w:r>
        <w:rPr>
          <w:sz w:val="20"/>
        </w:rPr>
        <w:t>)</w:t>
      </w:r>
    </w:p>
    <w:p>
      <w:pPr>
        <w:pStyle w:val="ListParagraph"/>
        <w:numPr>
          <w:ilvl w:val="0"/>
          <w:numId w:val="17"/>
        </w:numPr>
        <w:tabs>
          <w:tab w:pos="1573" w:val="left" w:leader="none"/>
          <w:tab w:pos="1574" w:val="left" w:leader="none"/>
        </w:tabs>
        <w:spacing w:line="276" w:lineRule="auto" w:before="36" w:after="0"/>
        <w:ind w:left="1573" w:right="1214" w:hanging="356"/>
        <w:jc w:val="left"/>
        <w:rPr>
          <w:sz w:val="20"/>
        </w:rPr>
      </w:pPr>
      <w:r>
        <w:rPr>
          <w:sz w:val="20"/>
        </w:rPr>
        <w:t>Consumer Assessment of Healthcare Providers and Systems (CAHPS) Clinician and</w:t>
      </w:r>
      <w:r>
        <w:rPr>
          <w:spacing w:val="1"/>
          <w:sz w:val="20"/>
        </w:rPr>
        <w:t> </w:t>
      </w:r>
      <w:r>
        <w:rPr>
          <w:sz w:val="20"/>
        </w:rPr>
        <w:t>Group</w:t>
      </w:r>
      <w:r>
        <w:rPr>
          <w:spacing w:val="-3"/>
          <w:sz w:val="20"/>
        </w:rPr>
        <w:t> </w:t>
      </w:r>
      <w:r>
        <w:rPr>
          <w:sz w:val="20"/>
        </w:rPr>
        <w:t>adult survey</w:t>
      </w:r>
      <w:r>
        <w:rPr>
          <w:spacing w:val="-2"/>
          <w:sz w:val="20"/>
        </w:rPr>
        <w:t> </w:t>
      </w:r>
      <w:r>
        <w:rPr>
          <w:sz w:val="20"/>
        </w:rPr>
        <w:t>(CG-CAHPS)</w:t>
      </w:r>
      <w:r>
        <w:rPr>
          <w:spacing w:val="-3"/>
          <w:sz w:val="20"/>
        </w:rPr>
        <w:t> </w:t>
      </w:r>
      <w:r>
        <w:rPr>
          <w:sz w:val="20"/>
        </w:rPr>
        <w:t>(</w:t>
      </w:r>
      <w:hyperlink w:history="true" w:anchor="_bookmark98">
        <w:r>
          <w:rPr>
            <w:sz w:val="20"/>
          </w:rPr>
          <w:t>Agency</w:t>
        </w:r>
        <w:r>
          <w:rPr>
            <w:spacing w:val="-4"/>
            <w:sz w:val="20"/>
          </w:rPr>
          <w:t> </w:t>
        </w:r>
        <w:r>
          <w:rPr>
            <w:sz w:val="20"/>
          </w:rPr>
          <w:t>for</w:t>
        </w:r>
        <w:r>
          <w:rPr>
            <w:spacing w:val="-4"/>
            <w:sz w:val="20"/>
          </w:rPr>
          <w:t> </w:t>
        </w:r>
        <w:r>
          <w:rPr>
            <w:sz w:val="20"/>
          </w:rPr>
          <w:t>Healthcare</w:t>
        </w:r>
        <w:r>
          <w:rPr>
            <w:spacing w:val="-3"/>
            <w:sz w:val="20"/>
          </w:rPr>
          <w:t> </w:t>
        </w:r>
        <w:r>
          <w:rPr>
            <w:sz w:val="20"/>
          </w:rPr>
          <w:t>Research</w:t>
        </w:r>
        <w:r>
          <w:rPr>
            <w:spacing w:val="-3"/>
            <w:sz w:val="20"/>
          </w:rPr>
          <w:t> </w:t>
        </w:r>
        <w:r>
          <w:rPr>
            <w:sz w:val="20"/>
          </w:rPr>
          <w:t>and</w:t>
        </w:r>
        <w:r>
          <w:rPr>
            <w:spacing w:val="-3"/>
            <w:sz w:val="20"/>
          </w:rPr>
          <w:t> </w:t>
        </w:r>
        <w:r>
          <w:rPr>
            <w:sz w:val="20"/>
          </w:rPr>
          <w:t>Quality,</w:t>
        </w:r>
        <w:r>
          <w:rPr>
            <w:spacing w:val="-5"/>
            <w:sz w:val="20"/>
          </w:rPr>
          <w:t> </w:t>
        </w:r>
        <w:r>
          <w:rPr>
            <w:sz w:val="20"/>
          </w:rPr>
          <w:t>2015</w:t>
        </w:r>
      </w:hyperlink>
      <w:r>
        <w:rPr>
          <w:sz w:val="20"/>
        </w:rPr>
        <w:t>)</w:t>
      </w:r>
    </w:p>
    <w:p>
      <w:pPr>
        <w:pStyle w:val="ListParagraph"/>
        <w:numPr>
          <w:ilvl w:val="0"/>
          <w:numId w:val="17"/>
        </w:numPr>
        <w:tabs>
          <w:tab w:pos="1573" w:val="left" w:leader="none"/>
          <w:tab w:pos="1574" w:val="left" w:leader="none"/>
        </w:tabs>
        <w:spacing w:line="276" w:lineRule="auto" w:before="0" w:after="0"/>
        <w:ind w:left="1573" w:right="1944" w:hanging="356"/>
        <w:jc w:val="left"/>
        <w:rPr>
          <w:sz w:val="20"/>
        </w:rPr>
      </w:pPr>
      <w:r>
        <w:rPr>
          <w:sz w:val="20"/>
        </w:rPr>
        <w:t>Care Coordination Quality Measure for Primary Care (CCQM-PC) (</w:t>
      </w:r>
      <w:hyperlink w:history="true" w:anchor="_bookmark99">
        <w:r>
          <w:rPr>
            <w:sz w:val="20"/>
          </w:rPr>
          <w:t>Agency for</w:t>
        </w:r>
      </w:hyperlink>
      <w:r>
        <w:rPr>
          <w:spacing w:val="-53"/>
          <w:sz w:val="20"/>
        </w:rPr>
        <w:t> </w:t>
      </w:r>
      <w:r>
        <w:rPr>
          <w:sz w:val="20"/>
        </w:rPr>
        <w:t>Healthcare</w:t>
      </w:r>
      <w:r>
        <w:rPr>
          <w:spacing w:val="-2"/>
          <w:sz w:val="20"/>
        </w:rPr>
        <w:t> </w:t>
      </w:r>
      <w:r>
        <w:rPr>
          <w:sz w:val="20"/>
        </w:rPr>
        <w:t>Research and</w:t>
      </w:r>
      <w:r>
        <w:rPr>
          <w:spacing w:val="-1"/>
          <w:sz w:val="20"/>
        </w:rPr>
        <w:t> </w:t>
      </w:r>
      <w:r>
        <w:rPr>
          <w:sz w:val="20"/>
        </w:rPr>
        <w:t>Quality,</w:t>
      </w:r>
      <w:r>
        <w:rPr>
          <w:spacing w:val="-3"/>
          <w:sz w:val="20"/>
        </w:rPr>
        <w:t> </w:t>
      </w:r>
      <w:r>
        <w:rPr>
          <w:sz w:val="20"/>
        </w:rPr>
        <w:t>2016).</w:t>
      </w:r>
    </w:p>
    <w:p>
      <w:pPr>
        <w:pStyle w:val="BodyText"/>
        <w:spacing w:line="276" w:lineRule="auto" w:before="201"/>
        <w:ind w:left="860" w:right="1172"/>
      </w:pPr>
      <w:r>
        <w:rPr/>
        <w:t>The questions relating to the community pharmacy component were adapted from </w:t>
      </w:r>
      <w:hyperlink w:history="true" w:anchor="_bookmark114">
        <w:r>
          <w:rPr/>
          <w:t>Moon et</w:t>
        </w:r>
      </w:hyperlink>
      <w:r>
        <w:rPr>
          <w:spacing w:val="-53"/>
        </w:rPr>
        <w:t> </w:t>
      </w:r>
      <w:r>
        <w:rPr/>
        <w:t>al.</w:t>
      </w:r>
      <w:r>
        <w:rPr>
          <w:spacing w:val="-2"/>
        </w:rPr>
        <w:t> </w:t>
      </w:r>
      <w:r>
        <w:rPr/>
        <w:t>(2016).</w:t>
      </w:r>
    </w:p>
    <w:p>
      <w:pPr>
        <w:pStyle w:val="BodyText"/>
        <w:spacing w:line="482" w:lineRule="exact" w:before="16"/>
        <w:ind w:left="860" w:right="1908"/>
      </w:pPr>
      <w:r>
        <w:rPr/>
        <w:t>Surveys will be conducted via computer assisted telephone interviewing (CATI).</w:t>
      </w:r>
      <w:r>
        <w:rPr>
          <w:spacing w:val="1"/>
        </w:rPr>
        <w:t> </w:t>
      </w:r>
      <w:r>
        <w:rPr/>
        <w:t>Patient</w:t>
      </w:r>
      <w:r>
        <w:rPr>
          <w:spacing w:val="-1"/>
        </w:rPr>
        <w:t> </w:t>
      </w:r>
      <w:r>
        <w:rPr/>
        <w:t>interviews</w:t>
      </w:r>
      <w:r>
        <w:rPr>
          <w:spacing w:val="-3"/>
        </w:rPr>
        <w:t> </w:t>
      </w:r>
      <w:r>
        <w:rPr/>
        <w:t>and</w:t>
      </w:r>
      <w:r>
        <w:rPr>
          <w:spacing w:val="-2"/>
        </w:rPr>
        <w:t> </w:t>
      </w:r>
      <w:r>
        <w:rPr/>
        <w:t>focus</w:t>
      </w:r>
      <w:r>
        <w:rPr>
          <w:spacing w:val="-3"/>
        </w:rPr>
        <w:t> </w:t>
      </w:r>
      <w:r>
        <w:rPr/>
        <w:t>groups</w:t>
      </w:r>
      <w:r>
        <w:rPr>
          <w:spacing w:val="-3"/>
        </w:rPr>
        <w:t> </w:t>
      </w:r>
      <w:r>
        <w:rPr/>
        <w:t>will</w:t>
      </w:r>
      <w:r>
        <w:rPr>
          <w:spacing w:val="-2"/>
        </w:rPr>
        <w:t> </w:t>
      </w:r>
      <w:r>
        <w:rPr/>
        <w:t>be</w:t>
      </w:r>
      <w:r>
        <w:rPr>
          <w:spacing w:val="-3"/>
        </w:rPr>
        <w:t> </w:t>
      </w:r>
      <w:r>
        <w:rPr/>
        <w:t>used</w:t>
      </w:r>
      <w:r>
        <w:rPr>
          <w:spacing w:val="-3"/>
        </w:rPr>
        <w:t> </w:t>
      </w:r>
      <w:r>
        <w:rPr/>
        <w:t>to</w:t>
      </w:r>
      <w:r>
        <w:rPr>
          <w:spacing w:val="-3"/>
        </w:rPr>
        <w:t> </w:t>
      </w:r>
      <w:r>
        <w:rPr/>
        <w:t>gain</w:t>
      </w:r>
      <w:r>
        <w:rPr>
          <w:spacing w:val="-3"/>
        </w:rPr>
        <w:t> </w:t>
      </w:r>
      <w:r>
        <w:rPr/>
        <w:t>further</w:t>
      </w:r>
      <w:r>
        <w:rPr>
          <w:spacing w:val="-3"/>
        </w:rPr>
        <w:t> </w:t>
      </w:r>
      <w:r>
        <w:rPr/>
        <w:t>insight</w:t>
      </w:r>
      <w:r>
        <w:rPr>
          <w:spacing w:val="-1"/>
        </w:rPr>
        <w:t> </w:t>
      </w:r>
      <w:r>
        <w:rPr/>
        <w:t>into patients’</w:t>
      </w:r>
    </w:p>
    <w:p>
      <w:pPr>
        <w:pStyle w:val="BodyText"/>
        <w:spacing w:line="229" w:lineRule="exact"/>
        <w:ind w:left="860"/>
      </w:pPr>
      <w:r>
        <w:rPr/>
        <w:t>experience</w:t>
      </w:r>
      <w:r>
        <w:rPr>
          <w:spacing w:val="-3"/>
        </w:rPr>
        <w:t> </w:t>
      </w:r>
      <w:r>
        <w:rPr/>
        <w:t>of</w:t>
      </w:r>
      <w:r>
        <w:rPr>
          <w:spacing w:val="-3"/>
        </w:rPr>
        <w:t> </w:t>
      </w:r>
      <w:r>
        <w:rPr/>
        <w:t>care,</w:t>
      </w:r>
      <w:r>
        <w:rPr>
          <w:spacing w:val="-4"/>
        </w:rPr>
        <w:t> </w:t>
      </w:r>
      <w:r>
        <w:rPr/>
        <w:t>including</w:t>
      </w:r>
      <w:r>
        <w:rPr>
          <w:spacing w:val="-3"/>
        </w:rPr>
        <w:t> </w:t>
      </w:r>
      <w:r>
        <w:rPr/>
        <w:t>their</w:t>
      </w:r>
      <w:r>
        <w:rPr>
          <w:spacing w:val="-3"/>
        </w:rPr>
        <w:t> </w:t>
      </w:r>
      <w:r>
        <w:rPr/>
        <w:t>perceptions</w:t>
      </w:r>
      <w:r>
        <w:rPr>
          <w:spacing w:val="-3"/>
        </w:rPr>
        <w:t> </w:t>
      </w:r>
      <w:r>
        <w:rPr/>
        <w:t>of</w:t>
      </w:r>
      <w:r>
        <w:rPr>
          <w:spacing w:val="-3"/>
        </w:rPr>
        <w:t> </w:t>
      </w:r>
      <w:r>
        <w:rPr/>
        <w:t>their</w:t>
      </w:r>
      <w:r>
        <w:rPr>
          <w:spacing w:val="1"/>
        </w:rPr>
        <w:t> </w:t>
      </w:r>
      <w:r>
        <w:rPr/>
        <w:t>engagement</w:t>
      </w:r>
      <w:r>
        <w:rPr>
          <w:spacing w:val="-3"/>
        </w:rPr>
        <w:t> </w:t>
      </w:r>
      <w:r>
        <w:rPr/>
        <w:t>in</w:t>
      </w:r>
      <w:r>
        <w:rPr>
          <w:spacing w:val="-2"/>
        </w:rPr>
        <w:t> </w:t>
      </w:r>
      <w:r>
        <w:rPr/>
        <w:t>care. There</w:t>
      </w:r>
      <w:r>
        <w:rPr>
          <w:spacing w:val="-3"/>
        </w:rPr>
        <w:t> </w:t>
      </w:r>
      <w:r>
        <w:rPr/>
        <w:t>will</w:t>
      </w:r>
      <w:r>
        <w:rPr>
          <w:spacing w:val="-2"/>
        </w:rPr>
        <w:t> </w:t>
      </w:r>
      <w:r>
        <w:rPr/>
        <w:t>be</w:t>
      </w:r>
    </w:p>
    <w:p>
      <w:pPr>
        <w:pStyle w:val="BodyText"/>
        <w:spacing w:line="276" w:lineRule="auto" w:before="38"/>
        <w:ind w:left="860" w:right="1154"/>
      </w:pPr>
      <w:r>
        <w:rPr/>
        <w:t>three</w:t>
      </w:r>
      <w:r>
        <w:rPr>
          <w:spacing w:val="-4"/>
        </w:rPr>
        <w:t> </w:t>
      </w:r>
      <w:r>
        <w:rPr/>
        <w:t>points</w:t>
      </w:r>
      <w:r>
        <w:rPr>
          <w:spacing w:val="-3"/>
        </w:rPr>
        <w:t> </w:t>
      </w:r>
      <w:r>
        <w:rPr/>
        <w:t>for</w:t>
      </w:r>
      <w:r>
        <w:rPr>
          <w:spacing w:val="-3"/>
        </w:rPr>
        <w:t> </w:t>
      </w:r>
      <w:r>
        <w:rPr/>
        <w:t>interviews</w:t>
      </w:r>
      <w:r>
        <w:rPr>
          <w:spacing w:val="-3"/>
        </w:rPr>
        <w:t> </w:t>
      </w:r>
      <w:r>
        <w:rPr/>
        <w:t>and</w:t>
      </w:r>
      <w:r>
        <w:rPr>
          <w:spacing w:val="-3"/>
        </w:rPr>
        <w:t> </w:t>
      </w:r>
      <w:r>
        <w:rPr/>
        <w:t>focus</w:t>
      </w:r>
      <w:r>
        <w:rPr>
          <w:spacing w:val="-3"/>
        </w:rPr>
        <w:t> </w:t>
      </w:r>
      <w:r>
        <w:rPr/>
        <w:t>groups</w:t>
      </w:r>
      <w:r>
        <w:rPr>
          <w:spacing w:val="-1"/>
        </w:rPr>
        <w:t> </w:t>
      </w:r>
      <w:r>
        <w:rPr/>
        <w:t>(rounds</w:t>
      </w:r>
      <w:r>
        <w:rPr>
          <w:spacing w:val="-3"/>
        </w:rPr>
        <w:t> </w:t>
      </w:r>
      <w:r>
        <w:rPr/>
        <w:t>2,</w:t>
      </w:r>
      <w:r>
        <w:rPr>
          <w:spacing w:val="-5"/>
        </w:rPr>
        <w:t> </w:t>
      </w:r>
      <w:r>
        <w:rPr/>
        <w:t>4</w:t>
      </w:r>
      <w:r>
        <w:rPr>
          <w:spacing w:val="-3"/>
        </w:rPr>
        <w:t> </w:t>
      </w:r>
      <w:r>
        <w:rPr/>
        <w:t>and</w:t>
      </w:r>
      <w:r>
        <w:rPr>
          <w:spacing w:val="-3"/>
        </w:rPr>
        <w:t> </w:t>
      </w:r>
      <w:r>
        <w:rPr/>
        <w:t>5).</w:t>
      </w:r>
      <w:r>
        <w:rPr>
          <w:spacing w:val="-5"/>
        </w:rPr>
        <w:t> </w:t>
      </w:r>
      <w:r>
        <w:rPr/>
        <w:t>Patients</w:t>
      </w:r>
      <w:r>
        <w:rPr>
          <w:spacing w:val="-3"/>
        </w:rPr>
        <w:t> </w:t>
      </w:r>
      <w:r>
        <w:rPr/>
        <w:t>interviewed</w:t>
      </w:r>
      <w:r>
        <w:rPr>
          <w:spacing w:val="-3"/>
        </w:rPr>
        <w:t> </w:t>
      </w:r>
      <w:r>
        <w:rPr/>
        <w:t>in</w:t>
      </w:r>
      <w:r>
        <w:rPr>
          <w:spacing w:val="-2"/>
        </w:rPr>
        <w:t> </w:t>
      </w:r>
      <w:r>
        <w:rPr/>
        <w:t>Round</w:t>
      </w:r>
      <w:r>
        <w:rPr>
          <w:spacing w:val="-53"/>
        </w:rPr>
        <w:t> </w:t>
      </w:r>
      <w:r>
        <w:rPr/>
        <w:t>2</w:t>
      </w:r>
      <w:r>
        <w:rPr>
          <w:spacing w:val="-2"/>
        </w:rPr>
        <w:t> </w:t>
      </w:r>
      <w:r>
        <w:rPr/>
        <w:t>will</w:t>
      </w:r>
      <w:r>
        <w:rPr>
          <w:spacing w:val="-2"/>
        </w:rPr>
        <w:t> </w:t>
      </w:r>
      <w:r>
        <w:rPr/>
        <w:t>be</w:t>
      </w:r>
      <w:r>
        <w:rPr>
          <w:spacing w:val="-2"/>
        </w:rPr>
        <w:t> </w:t>
      </w:r>
      <w:r>
        <w:rPr/>
        <w:t>followed</w:t>
      </w:r>
      <w:r>
        <w:rPr>
          <w:spacing w:val="-1"/>
        </w:rPr>
        <w:t> </w:t>
      </w:r>
      <w:r>
        <w:rPr/>
        <w:t>up</w:t>
      </w:r>
      <w:r>
        <w:rPr>
          <w:spacing w:val="-1"/>
        </w:rPr>
        <w:t> </w:t>
      </w:r>
      <w:r>
        <w:rPr/>
        <w:t>in round</w:t>
      </w:r>
      <w:r>
        <w:rPr>
          <w:spacing w:val="-2"/>
        </w:rPr>
        <w:t> </w:t>
      </w:r>
      <w:r>
        <w:rPr/>
        <w:t>4</w:t>
      </w:r>
      <w:r>
        <w:rPr>
          <w:spacing w:val="-1"/>
        </w:rPr>
        <w:t> </w:t>
      </w:r>
      <w:r>
        <w:rPr/>
        <w:t>and</w:t>
      </w:r>
      <w:r>
        <w:rPr>
          <w:spacing w:val="-1"/>
        </w:rPr>
        <w:t> </w:t>
      </w:r>
      <w:r>
        <w:rPr/>
        <w:t>5</w:t>
      </w:r>
      <w:r>
        <w:rPr>
          <w:spacing w:val="-2"/>
        </w:rPr>
        <w:t> </w:t>
      </w:r>
      <w:r>
        <w:rPr/>
        <w:t>to</w:t>
      </w:r>
      <w:r>
        <w:rPr>
          <w:spacing w:val="1"/>
        </w:rPr>
        <w:t> </w:t>
      </w:r>
      <w:r>
        <w:rPr/>
        <w:t>obtain</w:t>
      </w:r>
      <w:r>
        <w:rPr>
          <w:spacing w:val="-1"/>
        </w:rPr>
        <w:t> </w:t>
      </w:r>
      <w:r>
        <w:rPr/>
        <w:t>repeated</w:t>
      </w:r>
      <w:r>
        <w:rPr>
          <w:spacing w:val="-1"/>
        </w:rPr>
        <w:t> </w:t>
      </w:r>
      <w:r>
        <w:rPr/>
        <w:t>measures.</w:t>
      </w:r>
    </w:p>
    <w:p>
      <w:pPr>
        <w:pStyle w:val="BodyText"/>
        <w:spacing w:line="276" w:lineRule="auto" w:before="199"/>
        <w:ind w:left="860" w:right="1386"/>
      </w:pPr>
      <w:r>
        <w:rPr/>
        <w:t>The topic guide for the patient interviews and focus groups is at Appendix G. Discussion will</w:t>
      </w:r>
      <w:r>
        <w:rPr>
          <w:spacing w:val="-53"/>
        </w:rPr>
        <w:t> </w:t>
      </w:r>
      <w:r>
        <w:rPr/>
        <w:t>include:</w:t>
      </w:r>
    </w:p>
    <w:p>
      <w:pPr>
        <w:pStyle w:val="ListParagraph"/>
        <w:numPr>
          <w:ilvl w:val="0"/>
          <w:numId w:val="17"/>
        </w:numPr>
        <w:tabs>
          <w:tab w:pos="1573" w:val="left" w:leader="none"/>
          <w:tab w:pos="1574" w:val="left" w:leader="none"/>
        </w:tabs>
        <w:spacing w:line="240" w:lineRule="auto" w:before="202" w:after="0"/>
        <w:ind w:left="1573" w:right="0" w:hanging="356"/>
        <w:jc w:val="left"/>
        <w:rPr>
          <w:sz w:val="20"/>
        </w:rPr>
      </w:pPr>
      <w:r>
        <w:rPr>
          <w:sz w:val="20"/>
        </w:rPr>
        <w:t>factors</w:t>
      </w:r>
      <w:r>
        <w:rPr>
          <w:spacing w:val="-4"/>
          <w:sz w:val="20"/>
        </w:rPr>
        <w:t> </w:t>
      </w:r>
      <w:r>
        <w:rPr>
          <w:sz w:val="20"/>
        </w:rPr>
        <w:t>leading</w:t>
      </w:r>
      <w:r>
        <w:rPr>
          <w:spacing w:val="-3"/>
          <w:sz w:val="20"/>
        </w:rPr>
        <w:t> </w:t>
      </w:r>
      <w:r>
        <w:rPr>
          <w:sz w:val="20"/>
        </w:rPr>
        <w:t>to</w:t>
      </w:r>
      <w:r>
        <w:rPr>
          <w:spacing w:val="-3"/>
          <w:sz w:val="20"/>
        </w:rPr>
        <w:t> </w:t>
      </w:r>
      <w:r>
        <w:rPr>
          <w:sz w:val="20"/>
        </w:rPr>
        <w:t>decision</w:t>
      </w:r>
      <w:r>
        <w:rPr>
          <w:spacing w:val="-4"/>
          <w:sz w:val="20"/>
        </w:rPr>
        <w:t> </w:t>
      </w:r>
      <w:r>
        <w:rPr>
          <w:sz w:val="20"/>
        </w:rPr>
        <w:t>to</w:t>
      </w:r>
      <w:r>
        <w:rPr>
          <w:spacing w:val="-3"/>
          <w:sz w:val="20"/>
        </w:rPr>
        <w:t> </w:t>
      </w:r>
      <w:r>
        <w:rPr>
          <w:sz w:val="20"/>
        </w:rPr>
        <w:t>enrol</w:t>
      </w:r>
      <w:r>
        <w:rPr>
          <w:spacing w:val="-2"/>
          <w:sz w:val="20"/>
        </w:rPr>
        <w:t> </w:t>
      </w:r>
      <w:r>
        <w:rPr>
          <w:sz w:val="20"/>
        </w:rPr>
        <w:t>in</w:t>
      </w:r>
      <w:r>
        <w:rPr>
          <w:spacing w:val="-2"/>
          <w:sz w:val="20"/>
        </w:rPr>
        <w:t> </w:t>
      </w:r>
      <w:r>
        <w:rPr>
          <w:sz w:val="20"/>
        </w:rPr>
        <w:t>HCH</w:t>
      </w:r>
    </w:p>
    <w:p>
      <w:pPr>
        <w:pStyle w:val="ListParagraph"/>
        <w:numPr>
          <w:ilvl w:val="0"/>
          <w:numId w:val="17"/>
        </w:numPr>
        <w:tabs>
          <w:tab w:pos="1573" w:val="left" w:leader="none"/>
          <w:tab w:pos="1574" w:val="left" w:leader="none"/>
        </w:tabs>
        <w:spacing w:line="240" w:lineRule="auto" w:before="35" w:after="0"/>
        <w:ind w:left="1573" w:right="0" w:hanging="356"/>
        <w:jc w:val="left"/>
        <w:rPr>
          <w:sz w:val="20"/>
        </w:rPr>
      </w:pPr>
      <w:r>
        <w:rPr>
          <w:sz w:val="20"/>
        </w:rPr>
        <w:t>expectations</w:t>
      </w:r>
      <w:r>
        <w:rPr>
          <w:spacing w:val="-4"/>
          <w:sz w:val="20"/>
        </w:rPr>
        <w:t> </w:t>
      </w:r>
      <w:r>
        <w:rPr>
          <w:sz w:val="20"/>
        </w:rPr>
        <w:t>of</w:t>
      </w:r>
      <w:r>
        <w:rPr>
          <w:spacing w:val="-4"/>
          <w:sz w:val="20"/>
        </w:rPr>
        <w:t> </w:t>
      </w:r>
      <w:r>
        <w:rPr>
          <w:sz w:val="20"/>
        </w:rPr>
        <w:t>HCH</w:t>
      </w:r>
      <w:r>
        <w:rPr>
          <w:spacing w:val="-3"/>
          <w:sz w:val="20"/>
        </w:rPr>
        <w:t> </w:t>
      </w:r>
      <w:r>
        <w:rPr>
          <w:sz w:val="20"/>
        </w:rPr>
        <w:t>and</w:t>
      </w:r>
      <w:r>
        <w:rPr>
          <w:spacing w:val="-3"/>
          <w:sz w:val="20"/>
        </w:rPr>
        <w:t> </w:t>
      </w:r>
      <w:r>
        <w:rPr>
          <w:sz w:val="20"/>
        </w:rPr>
        <w:t>whether</w:t>
      </w:r>
      <w:r>
        <w:rPr>
          <w:spacing w:val="-4"/>
          <w:sz w:val="20"/>
        </w:rPr>
        <w:t> </w:t>
      </w:r>
      <w:r>
        <w:rPr>
          <w:sz w:val="20"/>
        </w:rPr>
        <w:t>experience</w:t>
      </w:r>
      <w:r>
        <w:rPr>
          <w:spacing w:val="-4"/>
          <w:sz w:val="20"/>
        </w:rPr>
        <w:t> </w:t>
      </w:r>
      <w:r>
        <w:rPr>
          <w:sz w:val="20"/>
        </w:rPr>
        <w:t>aligns</w:t>
      </w:r>
      <w:r>
        <w:rPr>
          <w:spacing w:val="-3"/>
          <w:sz w:val="20"/>
        </w:rPr>
        <w:t> </w:t>
      </w:r>
      <w:r>
        <w:rPr>
          <w:sz w:val="20"/>
        </w:rPr>
        <w:t>with</w:t>
      </w:r>
      <w:r>
        <w:rPr>
          <w:spacing w:val="-3"/>
          <w:sz w:val="20"/>
        </w:rPr>
        <w:t> </w:t>
      </w:r>
      <w:r>
        <w:rPr>
          <w:sz w:val="20"/>
        </w:rPr>
        <w:t>these</w:t>
      </w:r>
    </w:p>
    <w:p>
      <w:pPr>
        <w:pStyle w:val="ListParagraph"/>
        <w:numPr>
          <w:ilvl w:val="0"/>
          <w:numId w:val="17"/>
        </w:numPr>
        <w:tabs>
          <w:tab w:pos="1573" w:val="left" w:leader="none"/>
          <w:tab w:pos="1574" w:val="left" w:leader="none"/>
        </w:tabs>
        <w:spacing w:line="240" w:lineRule="auto" w:before="38" w:after="0"/>
        <w:ind w:left="1573" w:right="0" w:hanging="356"/>
        <w:jc w:val="left"/>
        <w:rPr>
          <w:sz w:val="20"/>
        </w:rPr>
      </w:pPr>
      <w:r>
        <w:rPr>
          <w:sz w:val="20"/>
        </w:rPr>
        <w:t>care</w:t>
      </w:r>
      <w:r>
        <w:rPr>
          <w:spacing w:val="-4"/>
          <w:sz w:val="20"/>
        </w:rPr>
        <w:t> </w:t>
      </w:r>
      <w:r>
        <w:rPr>
          <w:sz w:val="20"/>
        </w:rPr>
        <w:t>processes</w:t>
      </w:r>
    </w:p>
    <w:p>
      <w:pPr>
        <w:pStyle w:val="ListParagraph"/>
        <w:numPr>
          <w:ilvl w:val="0"/>
          <w:numId w:val="17"/>
        </w:numPr>
        <w:tabs>
          <w:tab w:pos="1573" w:val="left" w:leader="none"/>
          <w:tab w:pos="1574" w:val="left" w:leader="none"/>
        </w:tabs>
        <w:spacing w:line="240" w:lineRule="auto" w:before="36" w:after="0"/>
        <w:ind w:left="1573" w:right="0" w:hanging="356"/>
        <w:jc w:val="left"/>
        <w:rPr>
          <w:sz w:val="20"/>
        </w:rPr>
      </w:pPr>
      <w:r>
        <w:rPr>
          <w:sz w:val="20"/>
        </w:rPr>
        <w:t>awareness</w:t>
      </w:r>
      <w:r>
        <w:rPr>
          <w:spacing w:val="-4"/>
          <w:sz w:val="20"/>
        </w:rPr>
        <w:t> </w:t>
      </w:r>
      <w:r>
        <w:rPr>
          <w:sz w:val="20"/>
        </w:rPr>
        <w:t>of</w:t>
      </w:r>
      <w:r>
        <w:rPr>
          <w:spacing w:val="-3"/>
          <w:sz w:val="20"/>
        </w:rPr>
        <w:t> </w:t>
      </w:r>
      <w:r>
        <w:rPr>
          <w:sz w:val="20"/>
        </w:rPr>
        <w:t>and</w:t>
      </w:r>
      <w:r>
        <w:rPr>
          <w:spacing w:val="-3"/>
          <w:sz w:val="20"/>
        </w:rPr>
        <w:t> </w:t>
      </w:r>
      <w:r>
        <w:rPr>
          <w:sz w:val="20"/>
        </w:rPr>
        <w:t>involvement</w:t>
      </w:r>
      <w:r>
        <w:rPr>
          <w:spacing w:val="-1"/>
          <w:sz w:val="20"/>
        </w:rPr>
        <w:t> </w:t>
      </w:r>
      <w:r>
        <w:rPr>
          <w:sz w:val="20"/>
        </w:rPr>
        <w:t>in</w:t>
      </w:r>
      <w:r>
        <w:rPr>
          <w:spacing w:val="-3"/>
          <w:sz w:val="20"/>
        </w:rPr>
        <w:t> </w:t>
      </w:r>
      <w:r>
        <w:rPr>
          <w:sz w:val="20"/>
        </w:rPr>
        <w:t>shared</w:t>
      </w:r>
      <w:r>
        <w:rPr>
          <w:spacing w:val="-3"/>
          <w:sz w:val="20"/>
        </w:rPr>
        <w:t> </w:t>
      </w:r>
      <w:r>
        <w:rPr>
          <w:sz w:val="20"/>
        </w:rPr>
        <w:t>care</w:t>
      </w:r>
      <w:r>
        <w:rPr>
          <w:spacing w:val="-3"/>
          <w:sz w:val="20"/>
        </w:rPr>
        <w:t> </w:t>
      </w:r>
      <w:r>
        <w:rPr>
          <w:sz w:val="20"/>
        </w:rPr>
        <w:t>plan</w:t>
      </w:r>
    </w:p>
    <w:p>
      <w:pPr>
        <w:pStyle w:val="ListParagraph"/>
        <w:numPr>
          <w:ilvl w:val="0"/>
          <w:numId w:val="17"/>
        </w:numPr>
        <w:tabs>
          <w:tab w:pos="1573" w:val="left" w:leader="none"/>
          <w:tab w:pos="1574" w:val="left" w:leader="none"/>
        </w:tabs>
        <w:spacing w:line="276" w:lineRule="auto" w:before="38" w:after="0"/>
        <w:ind w:left="1573" w:right="1441" w:hanging="356"/>
        <w:jc w:val="left"/>
        <w:rPr>
          <w:sz w:val="20"/>
        </w:rPr>
      </w:pPr>
      <w:r>
        <w:rPr>
          <w:sz w:val="20"/>
        </w:rPr>
        <w:t>experience with mediations, and for patients referred to a community pharmacists,</w:t>
      </w:r>
      <w:r>
        <w:rPr>
          <w:spacing w:val="-54"/>
          <w:sz w:val="20"/>
        </w:rPr>
        <w:t> </w:t>
      </w:r>
      <w:r>
        <w:rPr>
          <w:sz w:val="20"/>
        </w:rPr>
        <w:t>their</w:t>
      </w:r>
      <w:r>
        <w:rPr>
          <w:spacing w:val="-2"/>
          <w:sz w:val="20"/>
        </w:rPr>
        <w:t> </w:t>
      </w:r>
      <w:r>
        <w:rPr>
          <w:sz w:val="20"/>
        </w:rPr>
        <w:t>experiences</w:t>
      </w:r>
      <w:r>
        <w:rPr>
          <w:spacing w:val="-1"/>
          <w:sz w:val="20"/>
        </w:rPr>
        <w:t> </w:t>
      </w:r>
      <w:r>
        <w:rPr>
          <w:sz w:val="20"/>
        </w:rPr>
        <w:t>of</w:t>
      </w:r>
      <w:r>
        <w:rPr>
          <w:spacing w:val="-1"/>
          <w:sz w:val="20"/>
        </w:rPr>
        <w:t> </w:t>
      </w:r>
      <w:r>
        <w:rPr>
          <w:sz w:val="20"/>
        </w:rPr>
        <w:t>this</w:t>
      </w:r>
    </w:p>
    <w:p>
      <w:pPr>
        <w:pStyle w:val="ListParagraph"/>
        <w:numPr>
          <w:ilvl w:val="0"/>
          <w:numId w:val="17"/>
        </w:numPr>
        <w:tabs>
          <w:tab w:pos="1573" w:val="left" w:leader="none"/>
          <w:tab w:pos="1574" w:val="left" w:leader="none"/>
        </w:tabs>
        <w:spacing w:line="240" w:lineRule="auto" w:before="0" w:after="0"/>
        <w:ind w:left="1573" w:right="0" w:hanging="356"/>
        <w:jc w:val="left"/>
        <w:rPr>
          <w:sz w:val="20"/>
        </w:rPr>
      </w:pPr>
      <w:r>
        <w:rPr>
          <w:sz w:val="20"/>
        </w:rPr>
        <w:t>what</w:t>
      </w:r>
      <w:r>
        <w:rPr>
          <w:spacing w:val="-1"/>
          <w:sz w:val="20"/>
        </w:rPr>
        <w:t> </w:t>
      </w:r>
      <w:r>
        <w:rPr>
          <w:sz w:val="20"/>
        </w:rPr>
        <w:t>works,</w:t>
      </w:r>
      <w:r>
        <w:rPr>
          <w:spacing w:val="-6"/>
          <w:sz w:val="20"/>
        </w:rPr>
        <w:t> </w:t>
      </w:r>
      <w:r>
        <w:rPr>
          <w:sz w:val="20"/>
        </w:rPr>
        <w:t>and</w:t>
      </w:r>
      <w:r>
        <w:rPr>
          <w:spacing w:val="-3"/>
          <w:sz w:val="20"/>
        </w:rPr>
        <w:t> </w:t>
      </w:r>
      <w:r>
        <w:rPr>
          <w:sz w:val="20"/>
        </w:rPr>
        <w:t>what</w:t>
      </w:r>
      <w:r>
        <w:rPr>
          <w:spacing w:val="-1"/>
          <w:sz w:val="20"/>
        </w:rPr>
        <w:t> </w:t>
      </w:r>
      <w:r>
        <w:rPr>
          <w:sz w:val="20"/>
        </w:rPr>
        <w:t>doesn’t.</w:t>
      </w:r>
    </w:p>
    <w:p>
      <w:pPr>
        <w:spacing w:after="0" w:line="240" w:lineRule="auto"/>
        <w:jc w:val="left"/>
        <w:rPr>
          <w:sz w:val="20"/>
        </w:rPr>
        <w:sectPr>
          <w:pgSz w:w="11910" w:h="16840"/>
          <w:pgMar w:header="0" w:footer="675" w:top="1340" w:bottom="860" w:left="580" w:right="280"/>
        </w:sectPr>
      </w:pPr>
    </w:p>
    <w:p>
      <w:pPr>
        <w:pStyle w:val="BodyText"/>
      </w:pPr>
      <w:r>
        <w:rPr/>
        <w:pict>
          <v:group style="position:absolute;margin-left:20.164064pt;margin-top:1.599983pt;width:575.050pt;height:114.5pt;mso-position-horizontal-relative:page;mso-position-vertical-relative:page;z-index:-27545088" id="docshapegroup93" coordorigin="403,32" coordsize="11501,2290">
            <v:shape style="position:absolute;left:403;top:32;width:11501;height:1614" type="#_x0000_t75" id="docshape94" stroked="false">
              <v:imagedata r:id="rId32" o:title=""/>
            </v:shape>
            <v:shape style="position:absolute;left:10095;top:1142;width:1200;height:1155" id="docshape95" coordorigin="10095,1142" coordsize="1200,1155" path="m10695,1142l10620,1146,10547,1160,10478,1181,10413,1210,10352,1245,10297,1288,10246,1336,10202,1390,10165,1448,10135,1511,10113,1577,10100,1647,10095,1719,10100,1792,10113,1862,10135,1928,10165,1991,10202,2049,10246,2103,10297,2151,10352,2194,10413,2229,10478,2258,10547,2279,10620,2292,10695,2297,10770,2292,10843,2279,10912,2258,10977,2229,11038,2194,11093,2151,11144,2103,11188,2049,11225,1991,11255,1928,11277,1862,11290,1792,11295,1719,11290,1647,11277,1577,11255,1511,11225,1448,11188,1390,11144,1336,11093,1288,11038,1245,10977,1210,10912,1181,10843,1160,10770,1146,10695,1142xe" filled="true" fillcolor="#003c79" stroked="false">
              <v:path arrowok="t"/>
              <v:fill type="solid"/>
            </v:shape>
            <v:shape style="position:absolute;left:10095;top:1142;width:1200;height:1155" id="docshape96" coordorigin="10095,1142" coordsize="1200,1155" path="m10095,1719l10100,1647,10113,1577,10135,1511,10165,1448,10202,1390,10246,1336,10297,1288,10352,1245,10413,1210,10478,1181,10547,1160,10620,1146,10695,1142,10770,1146,10843,1160,10912,1181,10977,1210,11038,1245,11093,1288,11144,1336,11188,1390,11225,1448,11255,1511,11277,1577,11290,1647,11295,1719,11290,1792,11277,1862,11255,1928,11225,1991,11188,2049,11144,2103,11093,2151,11038,2194,10977,2229,10912,2258,10843,2279,10770,2292,10695,2297,10620,2292,10547,2279,10478,2258,10413,2229,10352,2194,10297,2151,10246,2103,10202,2049,10165,1991,10135,1928,10113,1862,10100,1792,10095,1719xe" filled="false" stroked="true" strokeweight="2.5pt" strokecolor="#003c79">
              <v:path arrowok="t"/>
              <v:stroke dashstyle="solid"/>
            </v:shape>
            <w10:wrap type="none"/>
          </v:group>
        </w:pict>
      </w:r>
    </w:p>
    <w:p>
      <w:pPr>
        <w:pStyle w:val="BodyText"/>
      </w:pPr>
    </w:p>
    <w:p>
      <w:pPr>
        <w:pStyle w:val="BodyText"/>
      </w:pPr>
    </w:p>
    <w:p>
      <w:pPr>
        <w:pStyle w:val="BodyText"/>
      </w:pPr>
    </w:p>
    <w:p>
      <w:pPr>
        <w:pStyle w:val="BodyText"/>
        <w:spacing w:before="2"/>
        <w:rPr>
          <w:sz w:val="26"/>
        </w:rPr>
      </w:pPr>
    </w:p>
    <w:p>
      <w:pPr>
        <w:tabs>
          <w:tab w:pos="10239" w:val="right" w:leader="none"/>
        </w:tabs>
        <w:spacing w:before="101"/>
        <w:ind w:left="860" w:right="0" w:firstLine="0"/>
        <w:jc w:val="left"/>
        <w:rPr>
          <w:b/>
          <w:sz w:val="72"/>
        </w:rPr>
      </w:pPr>
      <w:bookmarkStart w:name="_bookmark40" w:id="41"/>
      <w:bookmarkEnd w:id="41"/>
      <w:r>
        <w:rPr/>
      </w:r>
      <w:r>
        <w:rPr>
          <w:color w:val="003C79"/>
          <w:sz w:val="72"/>
        </w:rPr>
        <w:t>Secondary</w:t>
      </w:r>
      <w:r>
        <w:rPr>
          <w:color w:val="003C79"/>
          <w:spacing w:val="-2"/>
          <w:sz w:val="72"/>
        </w:rPr>
        <w:t> </w:t>
      </w:r>
      <w:r>
        <w:rPr>
          <w:color w:val="003C79"/>
          <w:sz w:val="72"/>
        </w:rPr>
        <w:t>data</w:t>
        <w:tab/>
      </w:r>
      <w:r>
        <w:rPr>
          <w:b/>
          <w:color w:val="FFFFFF"/>
          <w:sz w:val="72"/>
          <w:vertAlign w:val="superscript"/>
        </w:rPr>
        <w:t>6</w:t>
      </w:r>
    </w:p>
    <w:p>
      <w:pPr>
        <w:spacing w:before="0"/>
        <w:ind w:left="860" w:right="0" w:firstLine="0"/>
        <w:jc w:val="left"/>
        <w:rPr>
          <w:sz w:val="72"/>
        </w:rPr>
      </w:pPr>
      <w:r>
        <w:rPr>
          <w:color w:val="003C79"/>
          <w:sz w:val="72"/>
        </w:rPr>
        <w:t>sources</w:t>
      </w:r>
    </w:p>
    <w:p>
      <w:pPr>
        <w:pStyle w:val="BodyText"/>
        <w:spacing w:before="200"/>
        <w:ind w:left="860"/>
      </w:pPr>
      <w:r>
        <w:rPr/>
        <w:t>Secondary</w:t>
      </w:r>
      <w:r>
        <w:rPr>
          <w:spacing w:val="-4"/>
        </w:rPr>
        <w:t> </w:t>
      </w:r>
      <w:r>
        <w:rPr/>
        <w:t>sources</w:t>
      </w:r>
      <w:r>
        <w:rPr>
          <w:spacing w:val="-1"/>
        </w:rPr>
        <w:t> </w:t>
      </w:r>
      <w:r>
        <w:rPr/>
        <w:t>of</w:t>
      </w:r>
      <w:r>
        <w:rPr>
          <w:spacing w:val="-2"/>
        </w:rPr>
        <w:t> </w:t>
      </w:r>
      <w:r>
        <w:rPr/>
        <w:t>data</w:t>
      </w:r>
      <w:r>
        <w:rPr>
          <w:spacing w:val="-3"/>
        </w:rPr>
        <w:t> </w:t>
      </w:r>
      <w:r>
        <w:rPr/>
        <w:t>that</w:t>
      </w:r>
      <w:r>
        <w:rPr>
          <w:spacing w:val="-1"/>
        </w:rPr>
        <w:t> </w:t>
      </w:r>
      <w:r>
        <w:rPr/>
        <w:t>will</w:t>
      </w:r>
      <w:r>
        <w:rPr>
          <w:spacing w:val="-2"/>
        </w:rPr>
        <w:t> </w:t>
      </w:r>
      <w:r>
        <w:rPr/>
        <w:t>be</w:t>
      </w:r>
      <w:r>
        <w:rPr>
          <w:spacing w:val="-3"/>
        </w:rPr>
        <w:t> </w:t>
      </w:r>
      <w:r>
        <w:rPr/>
        <w:t>used</w:t>
      </w:r>
      <w:r>
        <w:rPr>
          <w:spacing w:val="-3"/>
        </w:rPr>
        <w:t> </w:t>
      </w:r>
      <w:r>
        <w:rPr/>
        <w:t>for</w:t>
      </w:r>
      <w:r>
        <w:rPr>
          <w:spacing w:val="-3"/>
        </w:rPr>
        <w:t> </w:t>
      </w:r>
      <w:r>
        <w:rPr/>
        <w:t>the</w:t>
      </w:r>
      <w:r>
        <w:rPr>
          <w:spacing w:val="-1"/>
        </w:rPr>
        <w:t> </w:t>
      </w:r>
      <w:r>
        <w:rPr/>
        <w:t>evaluation</w:t>
      </w:r>
      <w:r>
        <w:rPr>
          <w:spacing w:val="-1"/>
        </w:rPr>
        <w:t> </w:t>
      </w:r>
      <w:r>
        <w:rPr/>
        <w:t>are</w:t>
      </w:r>
      <w:r>
        <w:rPr>
          <w:spacing w:val="-2"/>
        </w:rPr>
        <w:t> </w:t>
      </w:r>
      <w:r>
        <w:rPr/>
        <w:t>as</w:t>
      </w:r>
      <w:r>
        <w:rPr>
          <w:spacing w:val="-3"/>
        </w:rPr>
        <w:t> </w:t>
      </w:r>
      <w:r>
        <w:rPr/>
        <w:t>follows:</w:t>
      </w:r>
    </w:p>
    <w:p>
      <w:pPr>
        <w:pStyle w:val="BodyText"/>
        <w:spacing w:before="4"/>
        <w:rPr>
          <w:sz w:val="19"/>
        </w:rPr>
      </w:pPr>
    </w:p>
    <w:p>
      <w:pPr>
        <w:pStyle w:val="ListParagraph"/>
        <w:numPr>
          <w:ilvl w:val="0"/>
          <w:numId w:val="17"/>
        </w:numPr>
        <w:tabs>
          <w:tab w:pos="1573" w:val="left" w:leader="none"/>
          <w:tab w:pos="1574" w:val="left" w:leader="none"/>
        </w:tabs>
        <w:spacing w:line="276" w:lineRule="auto" w:before="0" w:after="0"/>
        <w:ind w:left="1573" w:right="1367" w:hanging="356"/>
        <w:jc w:val="left"/>
        <w:rPr>
          <w:sz w:val="20"/>
        </w:rPr>
      </w:pPr>
      <w:r>
        <w:rPr>
          <w:sz w:val="20"/>
        </w:rPr>
        <w:t>HCH program data. Information on the HCH program will be sought from the</w:t>
      </w:r>
      <w:r>
        <w:rPr>
          <w:spacing w:val="1"/>
          <w:sz w:val="20"/>
        </w:rPr>
        <w:t> </w:t>
      </w:r>
      <w:r>
        <w:rPr>
          <w:sz w:val="20"/>
        </w:rPr>
        <w:t>Department of Health (e.g. program documents, applications of enrolled practices,</w:t>
      </w:r>
      <w:r>
        <w:rPr>
          <w:spacing w:val="-54"/>
          <w:sz w:val="20"/>
        </w:rPr>
        <w:t> </w:t>
      </w:r>
      <w:r>
        <w:rPr>
          <w:sz w:val="20"/>
        </w:rPr>
        <w:t>Commonwealth expenditure on the Program) and the Department of Human</w:t>
      </w:r>
      <w:r>
        <w:rPr>
          <w:spacing w:val="1"/>
          <w:sz w:val="20"/>
        </w:rPr>
        <w:t> </w:t>
      </w:r>
      <w:r>
        <w:rPr>
          <w:sz w:val="20"/>
        </w:rPr>
        <w:t>Services.</w:t>
      </w:r>
    </w:p>
    <w:p>
      <w:pPr>
        <w:pStyle w:val="ListParagraph"/>
        <w:numPr>
          <w:ilvl w:val="0"/>
          <w:numId w:val="17"/>
        </w:numPr>
        <w:tabs>
          <w:tab w:pos="1573" w:val="left" w:leader="none"/>
          <w:tab w:pos="1574" w:val="left" w:leader="none"/>
        </w:tabs>
        <w:spacing w:line="276" w:lineRule="auto" w:before="200" w:after="0"/>
        <w:ind w:left="1573" w:right="1832" w:hanging="356"/>
        <w:jc w:val="left"/>
        <w:rPr>
          <w:sz w:val="20"/>
        </w:rPr>
      </w:pPr>
      <w:r>
        <w:rPr>
          <w:sz w:val="20"/>
        </w:rPr>
        <w:t>Risk stratification data. This is the data output from the risk stratification tool that</w:t>
      </w:r>
      <w:r>
        <w:rPr>
          <w:spacing w:val="-53"/>
          <w:sz w:val="20"/>
        </w:rPr>
        <w:t> </w:t>
      </w:r>
      <w:r>
        <w:rPr>
          <w:sz w:val="20"/>
        </w:rPr>
        <w:t>practices</w:t>
      </w:r>
      <w:r>
        <w:rPr>
          <w:spacing w:val="-2"/>
          <w:sz w:val="20"/>
        </w:rPr>
        <w:t> </w:t>
      </w:r>
      <w:r>
        <w:rPr>
          <w:sz w:val="20"/>
        </w:rPr>
        <w:t>apply</w:t>
      </w:r>
      <w:r>
        <w:rPr>
          <w:spacing w:val="-3"/>
          <w:sz w:val="20"/>
        </w:rPr>
        <w:t> </w:t>
      </w:r>
      <w:r>
        <w:rPr>
          <w:sz w:val="20"/>
        </w:rPr>
        <w:t>to</w:t>
      </w:r>
      <w:r>
        <w:rPr>
          <w:spacing w:val="-1"/>
          <w:sz w:val="20"/>
        </w:rPr>
        <w:t> </w:t>
      </w:r>
      <w:r>
        <w:rPr>
          <w:sz w:val="20"/>
        </w:rPr>
        <w:t>select</w:t>
      </w:r>
      <w:r>
        <w:rPr>
          <w:spacing w:val="-2"/>
          <w:sz w:val="20"/>
        </w:rPr>
        <w:t> </w:t>
      </w:r>
      <w:r>
        <w:rPr>
          <w:sz w:val="20"/>
        </w:rPr>
        <w:t>patients</w:t>
      </w:r>
      <w:r>
        <w:rPr>
          <w:spacing w:val="-1"/>
          <w:sz w:val="20"/>
        </w:rPr>
        <w:t> </w:t>
      </w:r>
      <w:r>
        <w:rPr>
          <w:sz w:val="20"/>
        </w:rPr>
        <w:t>to</w:t>
      </w:r>
      <w:r>
        <w:rPr>
          <w:spacing w:val="-2"/>
          <w:sz w:val="20"/>
        </w:rPr>
        <w:t> </w:t>
      </w:r>
      <w:r>
        <w:rPr>
          <w:sz w:val="20"/>
        </w:rPr>
        <w:t>approach to</w:t>
      </w:r>
      <w:r>
        <w:rPr>
          <w:spacing w:val="-5"/>
          <w:sz w:val="20"/>
        </w:rPr>
        <w:t> </w:t>
      </w:r>
      <w:r>
        <w:rPr>
          <w:sz w:val="20"/>
        </w:rPr>
        <w:t>enrol in</w:t>
      </w:r>
      <w:r>
        <w:rPr>
          <w:spacing w:val="-1"/>
          <w:sz w:val="20"/>
        </w:rPr>
        <w:t> </w:t>
      </w:r>
      <w:r>
        <w:rPr>
          <w:sz w:val="20"/>
        </w:rPr>
        <w:t>HCH.</w:t>
      </w:r>
    </w:p>
    <w:p>
      <w:pPr>
        <w:pStyle w:val="ListParagraph"/>
        <w:numPr>
          <w:ilvl w:val="0"/>
          <w:numId w:val="17"/>
        </w:numPr>
        <w:tabs>
          <w:tab w:pos="1573" w:val="left" w:leader="none"/>
          <w:tab w:pos="1574" w:val="left" w:leader="none"/>
        </w:tabs>
        <w:spacing w:line="240" w:lineRule="auto" w:before="199" w:after="0"/>
        <w:ind w:left="1573" w:right="0" w:hanging="356"/>
        <w:jc w:val="left"/>
        <w:rPr>
          <w:sz w:val="20"/>
        </w:rPr>
      </w:pPr>
      <w:r>
        <w:rPr>
          <w:sz w:val="20"/>
        </w:rPr>
        <w:t>Practice</w:t>
      </w:r>
      <w:r>
        <w:rPr>
          <w:spacing w:val="-4"/>
          <w:sz w:val="20"/>
        </w:rPr>
        <w:t> </w:t>
      </w:r>
      <w:r>
        <w:rPr>
          <w:sz w:val="20"/>
        </w:rPr>
        <w:t>clinical</w:t>
      </w:r>
      <w:r>
        <w:rPr>
          <w:spacing w:val="-4"/>
          <w:sz w:val="20"/>
        </w:rPr>
        <w:t> </w:t>
      </w:r>
      <w:r>
        <w:rPr>
          <w:sz w:val="20"/>
        </w:rPr>
        <w:t>management</w:t>
      </w:r>
      <w:r>
        <w:rPr>
          <w:spacing w:val="-3"/>
          <w:sz w:val="20"/>
        </w:rPr>
        <w:t> </w:t>
      </w:r>
      <w:r>
        <w:rPr>
          <w:sz w:val="20"/>
        </w:rPr>
        <w:t>system extracts.</w:t>
      </w:r>
    </w:p>
    <w:p>
      <w:pPr>
        <w:pStyle w:val="BodyText"/>
        <w:spacing w:before="4"/>
        <w:rPr>
          <w:sz w:val="19"/>
        </w:rPr>
      </w:pPr>
    </w:p>
    <w:p>
      <w:pPr>
        <w:pStyle w:val="ListParagraph"/>
        <w:numPr>
          <w:ilvl w:val="0"/>
          <w:numId w:val="17"/>
        </w:numPr>
        <w:tabs>
          <w:tab w:pos="1573" w:val="left" w:leader="none"/>
          <w:tab w:pos="1574" w:val="left" w:leader="none"/>
        </w:tabs>
        <w:spacing w:line="276" w:lineRule="auto" w:before="0" w:after="0"/>
        <w:ind w:left="1573" w:right="1196" w:hanging="356"/>
        <w:jc w:val="left"/>
        <w:rPr>
          <w:sz w:val="20"/>
        </w:rPr>
      </w:pPr>
      <w:r>
        <w:rPr>
          <w:sz w:val="20"/>
        </w:rPr>
        <w:t>Linked MBS, PBS, National death index, National hospital morbidity database (NHMD),</w:t>
      </w:r>
      <w:r>
        <w:rPr>
          <w:spacing w:val="-53"/>
          <w:sz w:val="20"/>
        </w:rPr>
        <w:t> </w:t>
      </w:r>
      <w:r>
        <w:rPr>
          <w:sz w:val="20"/>
        </w:rPr>
        <w:t>National non-admitted patient emergency department care database (NAPEDCD)</w:t>
      </w:r>
      <w:r>
        <w:rPr>
          <w:spacing w:val="1"/>
          <w:sz w:val="20"/>
        </w:rPr>
        <w:t> </w:t>
      </w:r>
      <w:r>
        <w:rPr>
          <w:sz w:val="20"/>
        </w:rPr>
        <w:t>data, and the National Aged Care Data Clearinghouse (NACDC) for HCH practices</w:t>
      </w:r>
      <w:r>
        <w:rPr>
          <w:spacing w:val="1"/>
          <w:sz w:val="20"/>
        </w:rPr>
        <w:t> </w:t>
      </w:r>
      <w:r>
        <w:rPr>
          <w:sz w:val="20"/>
        </w:rPr>
        <w:t>and</w:t>
      </w:r>
      <w:r>
        <w:rPr>
          <w:spacing w:val="-2"/>
          <w:sz w:val="20"/>
        </w:rPr>
        <w:t> </w:t>
      </w:r>
      <w:r>
        <w:rPr>
          <w:sz w:val="20"/>
        </w:rPr>
        <w:t>comparator</w:t>
      </w:r>
      <w:r>
        <w:rPr>
          <w:spacing w:val="-2"/>
          <w:sz w:val="20"/>
        </w:rPr>
        <w:t> </w:t>
      </w:r>
      <w:r>
        <w:rPr>
          <w:sz w:val="20"/>
        </w:rPr>
        <w:t>group/s,</w:t>
      </w:r>
      <w:r>
        <w:rPr>
          <w:spacing w:val="-4"/>
          <w:sz w:val="20"/>
        </w:rPr>
        <w:t> </w:t>
      </w:r>
      <w:r>
        <w:rPr>
          <w:sz w:val="20"/>
        </w:rPr>
        <w:t>referred</w:t>
      </w:r>
      <w:r>
        <w:rPr>
          <w:spacing w:val="-1"/>
          <w:sz w:val="20"/>
        </w:rPr>
        <w:t> </w:t>
      </w:r>
      <w:r>
        <w:rPr>
          <w:sz w:val="20"/>
        </w:rPr>
        <w:t>to</w:t>
      </w:r>
      <w:r>
        <w:rPr>
          <w:spacing w:val="-2"/>
          <w:sz w:val="20"/>
        </w:rPr>
        <w:t> </w:t>
      </w:r>
      <w:r>
        <w:rPr>
          <w:sz w:val="20"/>
        </w:rPr>
        <w:t>as ‘National</w:t>
      </w:r>
      <w:r>
        <w:rPr>
          <w:spacing w:val="-1"/>
          <w:sz w:val="20"/>
        </w:rPr>
        <w:t> </w:t>
      </w:r>
      <w:r>
        <w:rPr>
          <w:sz w:val="20"/>
        </w:rPr>
        <w:t>linked</w:t>
      </w:r>
      <w:r>
        <w:rPr>
          <w:spacing w:val="-1"/>
          <w:sz w:val="20"/>
        </w:rPr>
        <w:t> </w:t>
      </w:r>
      <w:r>
        <w:rPr>
          <w:sz w:val="20"/>
        </w:rPr>
        <w:t>data</w:t>
      </w:r>
      <w:r>
        <w:rPr>
          <w:spacing w:val="-1"/>
          <w:sz w:val="20"/>
        </w:rPr>
        <w:t> </w:t>
      </w:r>
      <w:r>
        <w:rPr>
          <w:sz w:val="20"/>
        </w:rPr>
        <w:t>extract’.</w:t>
      </w:r>
    </w:p>
    <w:p>
      <w:pPr>
        <w:pStyle w:val="BodyText"/>
        <w:spacing w:before="202"/>
        <w:ind w:left="860"/>
      </w:pPr>
      <w:r>
        <w:rPr/>
        <w:t>The</w:t>
      </w:r>
      <w:r>
        <w:rPr>
          <w:spacing w:val="-3"/>
        </w:rPr>
        <w:t> </w:t>
      </w:r>
      <w:r>
        <w:rPr/>
        <w:t>last</w:t>
      </w:r>
      <w:r>
        <w:rPr>
          <w:spacing w:val="-2"/>
        </w:rPr>
        <w:t> </w:t>
      </w:r>
      <w:r>
        <w:rPr/>
        <w:t>three</w:t>
      </w:r>
      <w:r>
        <w:rPr>
          <w:spacing w:val="-4"/>
        </w:rPr>
        <w:t> </w:t>
      </w:r>
      <w:r>
        <w:rPr/>
        <w:t>sources are</w:t>
      </w:r>
      <w:r>
        <w:rPr>
          <w:spacing w:val="-1"/>
        </w:rPr>
        <w:t> </w:t>
      </w:r>
      <w:r>
        <w:rPr/>
        <w:t>described</w:t>
      </w:r>
      <w:r>
        <w:rPr>
          <w:spacing w:val="-4"/>
        </w:rPr>
        <w:t> </w:t>
      </w:r>
      <w:r>
        <w:rPr/>
        <w:t>below.</w:t>
      </w:r>
    </w:p>
    <w:p>
      <w:pPr>
        <w:pStyle w:val="BodyText"/>
        <w:spacing w:before="1"/>
        <w:rPr>
          <w:sz w:val="19"/>
        </w:rPr>
      </w:pPr>
    </w:p>
    <w:p>
      <w:pPr>
        <w:pStyle w:val="Heading2"/>
      </w:pPr>
      <w:bookmarkStart w:name="_bookmark41" w:id="42"/>
      <w:bookmarkEnd w:id="42"/>
      <w:r>
        <w:rPr/>
      </w:r>
      <w:r>
        <w:rPr>
          <w:color w:val="003C79"/>
        </w:rPr>
        <w:t>Practice</w:t>
      </w:r>
      <w:r>
        <w:rPr>
          <w:color w:val="003C79"/>
          <w:spacing w:val="-10"/>
        </w:rPr>
        <w:t> </w:t>
      </w:r>
      <w:r>
        <w:rPr>
          <w:color w:val="003C79"/>
        </w:rPr>
        <w:t>extracts</w:t>
      </w:r>
    </w:p>
    <w:p>
      <w:pPr>
        <w:pStyle w:val="BodyText"/>
        <w:spacing w:before="261"/>
        <w:ind w:left="860"/>
      </w:pPr>
      <w:r>
        <w:rPr/>
        <w:t>Extracts</w:t>
      </w:r>
      <w:r>
        <w:rPr>
          <w:spacing w:val="-4"/>
        </w:rPr>
        <w:t> </w:t>
      </w:r>
      <w:r>
        <w:rPr/>
        <w:t>from</w:t>
      </w:r>
      <w:r>
        <w:rPr>
          <w:spacing w:val="-4"/>
        </w:rPr>
        <w:t> </w:t>
      </w:r>
      <w:r>
        <w:rPr/>
        <w:t>practices</w:t>
      </w:r>
      <w:r>
        <w:rPr>
          <w:spacing w:val="-3"/>
        </w:rPr>
        <w:t> </w:t>
      </w:r>
      <w:r>
        <w:rPr/>
        <w:t>clinical</w:t>
      </w:r>
      <w:r>
        <w:rPr>
          <w:spacing w:val="-3"/>
        </w:rPr>
        <w:t> </w:t>
      </w:r>
      <w:r>
        <w:rPr/>
        <w:t>management</w:t>
      </w:r>
      <w:r>
        <w:rPr>
          <w:spacing w:val="-2"/>
        </w:rPr>
        <w:t> </w:t>
      </w:r>
      <w:r>
        <w:rPr/>
        <w:t>systems</w:t>
      </w:r>
      <w:r>
        <w:rPr>
          <w:spacing w:val="-1"/>
        </w:rPr>
        <w:t> </w:t>
      </w:r>
      <w:r>
        <w:rPr/>
        <w:t>will</w:t>
      </w:r>
      <w:r>
        <w:rPr>
          <w:spacing w:val="-2"/>
        </w:rPr>
        <w:t> </w:t>
      </w:r>
      <w:r>
        <w:rPr/>
        <w:t>be</w:t>
      </w:r>
      <w:r>
        <w:rPr>
          <w:spacing w:val="-4"/>
        </w:rPr>
        <w:t> </w:t>
      </w:r>
      <w:r>
        <w:rPr/>
        <w:t>used</w:t>
      </w:r>
      <w:r>
        <w:rPr>
          <w:spacing w:val="-4"/>
        </w:rPr>
        <w:t> </w:t>
      </w:r>
      <w:r>
        <w:rPr/>
        <w:t>to:</w:t>
      </w:r>
    </w:p>
    <w:p>
      <w:pPr>
        <w:pStyle w:val="BodyText"/>
        <w:spacing w:before="4"/>
        <w:rPr>
          <w:sz w:val="19"/>
        </w:rPr>
      </w:pPr>
    </w:p>
    <w:p>
      <w:pPr>
        <w:pStyle w:val="ListParagraph"/>
        <w:numPr>
          <w:ilvl w:val="0"/>
          <w:numId w:val="17"/>
        </w:numPr>
        <w:tabs>
          <w:tab w:pos="1573" w:val="left" w:leader="none"/>
          <w:tab w:pos="1574" w:val="left" w:leader="none"/>
        </w:tabs>
        <w:spacing w:line="276" w:lineRule="auto" w:before="1" w:after="0"/>
        <w:ind w:left="1573" w:right="1480" w:hanging="356"/>
        <w:jc w:val="left"/>
        <w:rPr>
          <w:sz w:val="20"/>
        </w:rPr>
      </w:pPr>
      <w:r>
        <w:rPr>
          <w:sz w:val="20"/>
        </w:rPr>
        <w:t>Evaluate the risk stratification process (completeness of predictive risk model items,</w:t>
      </w:r>
      <w:r>
        <w:rPr>
          <w:spacing w:val="-54"/>
          <w:sz w:val="20"/>
        </w:rPr>
        <w:t> </w:t>
      </w:r>
      <w:r>
        <w:rPr>
          <w:sz w:val="20"/>
        </w:rPr>
        <w:t>proportion</w:t>
      </w:r>
      <w:r>
        <w:rPr>
          <w:spacing w:val="-1"/>
          <w:sz w:val="20"/>
        </w:rPr>
        <w:t> </w:t>
      </w:r>
      <w:r>
        <w:rPr>
          <w:sz w:val="20"/>
        </w:rPr>
        <w:t>of</w:t>
      </w:r>
      <w:r>
        <w:rPr>
          <w:spacing w:val="-1"/>
          <w:sz w:val="20"/>
        </w:rPr>
        <w:t> </w:t>
      </w:r>
      <w:r>
        <w:rPr>
          <w:sz w:val="20"/>
        </w:rPr>
        <w:t>high-risk</w:t>
      </w:r>
      <w:r>
        <w:rPr>
          <w:spacing w:val="-1"/>
          <w:sz w:val="20"/>
        </w:rPr>
        <w:t> </w:t>
      </w:r>
      <w:r>
        <w:rPr>
          <w:sz w:val="20"/>
        </w:rPr>
        <w:t>patients</w:t>
      </w:r>
      <w:r>
        <w:rPr>
          <w:spacing w:val="-2"/>
          <w:sz w:val="20"/>
        </w:rPr>
        <w:t> </w:t>
      </w:r>
      <w:r>
        <w:rPr>
          <w:sz w:val="20"/>
        </w:rPr>
        <w:t>enrolling</w:t>
      </w:r>
      <w:r>
        <w:rPr>
          <w:spacing w:val="-1"/>
          <w:sz w:val="20"/>
        </w:rPr>
        <w:t> </w:t>
      </w:r>
      <w:r>
        <w:rPr>
          <w:sz w:val="20"/>
        </w:rPr>
        <w:t>in HCH).</w:t>
      </w:r>
    </w:p>
    <w:p>
      <w:pPr>
        <w:pStyle w:val="ListParagraph"/>
        <w:numPr>
          <w:ilvl w:val="0"/>
          <w:numId w:val="17"/>
        </w:numPr>
        <w:tabs>
          <w:tab w:pos="1573" w:val="left" w:leader="none"/>
          <w:tab w:pos="1574" w:val="left" w:leader="none"/>
        </w:tabs>
        <w:spacing w:line="276" w:lineRule="auto" w:before="0" w:after="0"/>
        <w:ind w:left="1573" w:right="1565" w:hanging="356"/>
        <w:jc w:val="left"/>
        <w:rPr>
          <w:sz w:val="20"/>
        </w:rPr>
      </w:pPr>
      <w:r>
        <w:rPr>
          <w:sz w:val="20"/>
        </w:rPr>
        <w:t>Compare HCH patients with comparator patients, including demographic</w:t>
      </w:r>
      <w:r>
        <w:rPr>
          <w:spacing w:val="1"/>
          <w:sz w:val="20"/>
        </w:rPr>
        <w:t> </w:t>
      </w:r>
      <w:r>
        <w:rPr>
          <w:sz w:val="20"/>
        </w:rPr>
        <w:t>composition,</w:t>
      </w:r>
      <w:r>
        <w:rPr>
          <w:spacing w:val="-7"/>
          <w:sz w:val="20"/>
        </w:rPr>
        <w:t> </w:t>
      </w:r>
      <w:r>
        <w:rPr>
          <w:sz w:val="20"/>
        </w:rPr>
        <w:t>health</w:t>
      </w:r>
      <w:r>
        <w:rPr>
          <w:spacing w:val="-3"/>
          <w:sz w:val="20"/>
        </w:rPr>
        <w:t> </w:t>
      </w:r>
      <w:r>
        <w:rPr>
          <w:sz w:val="20"/>
        </w:rPr>
        <w:t>status,</w:t>
      </w:r>
      <w:r>
        <w:rPr>
          <w:spacing w:val="-4"/>
          <w:sz w:val="20"/>
        </w:rPr>
        <w:t> </w:t>
      </w:r>
      <w:r>
        <w:rPr>
          <w:sz w:val="20"/>
        </w:rPr>
        <w:t>risk</w:t>
      </w:r>
      <w:r>
        <w:rPr>
          <w:spacing w:val="-4"/>
          <w:sz w:val="20"/>
        </w:rPr>
        <w:t> </w:t>
      </w:r>
      <w:r>
        <w:rPr>
          <w:sz w:val="20"/>
        </w:rPr>
        <w:t>factors,</w:t>
      </w:r>
      <w:r>
        <w:rPr>
          <w:spacing w:val="-6"/>
          <w:sz w:val="20"/>
        </w:rPr>
        <w:t> </w:t>
      </w:r>
      <w:r>
        <w:rPr>
          <w:sz w:val="20"/>
        </w:rPr>
        <w:t>service</w:t>
      </w:r>
      <w:r>
        <w:rPr>
          <w:spacing w:val="-4"/>
          <w:sz w:val="20"/>
        </w:rPr>
        <w:t> </w:t>
      </w:r>
      <w:r>
        <w:rPr>
          <w:sz w:val="20"/>
        </w:rPr>
        <w:t>use,</w:t>
      </w:r>
      <w:r>
        <w:rPr>
          <w:spacing w:val="-5"/>
          <w:sz w:val="20"/>
        </w:rPr>
        <w:t> </w:t>
      </w:r>
      <w:r>
        <w:rPr>
          <w:sz w:val="20"/>
        </w:rPr>
        <w:t>prescription</w:t>
      </w:r>
      <w:r>
        <w:rPr>
          <w:spacing w:val="-3"/>
          <w:sz w:val="20"/>
        </w:rPr>
        <w:t> </w:t>
      </w:r>
      <w:r>
        <w:rPr>
          <w:sz w:val="20"/>
        </w:rPr>
        <w:t>medicine</w:t>
      </w:r>
      <w:r>
        <w:rPr>
          <w:spacing w:val="-4"/>
          <w:sz w:val="20"/>
        </w:rPr>
        <w:t> </w:t>
      </w:r>
      <w:r>
        <w:rPr>
          <w:sz w:val="20"/>
        </w:rPr>
        <w:t>use,</w:t>
      </w:r>
      <w:r>
        <w:rPr>
          <w:spacing w:val="-7"/>
          <w:sz w:val="20"/>
        </w:rPr>
        <w:t> </w:t>
      </w:r>
      <w:r>
        <w:rPr>
          <w:sz w:val="20"/>
        </w:rPr>
        <w:t>and</w:t>
      </w:r>
      <w:r>
        <w:rPr>
          <w:spacing w:val="-53"/>
          <w:sz w:val="20"/>
        </w:rPr>
        <w:t> </w:t>
      </w:r>
      <w:r>
        <w:rPr>
          <w:sz w:val="20"/>
        </w:rPr>
        <w:t>pathology</w:t>
      </w:r>
      <w:r>
        <w:rPr>
          <w:spacing w:val="-2"/>
          <w:sz w:val="20"/>
        </w:rPr>
        <w:t> </w:t>
      </w:r>
      <w:r>
        <w:rPr>
          <w:sz w:val="20"/>
        </w:rPr>
        <w:t>tests.</w:t>
      </w:r>
    </w:p>
    <w:p>
      <w:pPr>
        <w:pStyle w:val="ListParagraph"/>
        <w:numPr>
          <w:ilvl w:val="0"/>
          <w:numId w:val="17"/>
        </w:numPr>
        <w:tabs>
          <w:tab w:pos="1573" w:val="left" w:leader="none"/>
          <w:tab w:pos="1574" w:val="left" w:leader="none"/>
        </w:tabs>
        <w:spacing w:line="244" w:lineRule="exact" w:before="0" w:after="0"/>
        <w:ind w:left="1573" w:right="0" w:hanging="356"/>
        <w:jc w:val="left"/>
        <w:rPr>
          <w:sz w:val="20"/>
        </w:rPr>
      </w:pPr>
      <w:r>
        <w:rPr>
          <w:sz w:val="20"/>
        </w:rPr>
        <w:t>Compare</w:t>
      </w:r>
      <w:r>
        <w:rPr>
          <w:spacing w:val="-4"/>
          <w:sz w:val="20"/>
        </w:rPr>
        <w:t> </w:t>
      </w:r>
      <w:r>
        <w:rPr>
          <w:sz w:val="20"/>
        </w:rPr>
        <w:t>the</w:t>
      </w:r>
      <w:r>
        <w:rPr>
          <w:spacing w:val="-4"/>
          <w:sz w:val="20"/>
        </w:rPr>
        <w:t> </w:t>
      </w:r>
      <w:r>
        <w:rPr>
          <w:sz w:val="20"/>
        </w:rPr>
        <w:t>management</w:t>
      </w:r>
      <w:r>
        <w:rPr>
          <w:spacing w:val="-2"/>
          <w:sz w:val="20"/>
        </w:rPr>
        <w:t> </w:t>
      </w:r>
      <w:r>
        <w:rPr>
          <w:sz w:val="20"/>
        </w:rPr>
        <w:t>of</w:t>
      </w:r>
      <w:r>
        <w:rPr>
          <w:spacing w:val="-4"/>
          <w:sz w:val="20"/>
        </w:rPr>
        <w:t> </w:t>
      </w:r>
      <w:r>
        <w:rPr>
          <w:sz w:val="20"/>
        </w:rPr>
        <w:t>HCH</w:t>
      </w:r>
      <w:r>
        <w:rPr>
          <w:spacing w:val="-2"/>
          <w:sz w:val="20"/>
        </w:rPr>
        <w:t> </w:t>
      </w:r>
      <w:r>
        <w:rPr>
          <w:sz w:val="20"/>
        </w:rPr>
        <w:t>patients to</w:t>
      </w:r>
      <w:r>
        <w:rPr>
          <w:spacing w:val="-3"/>
          <w:sz w:val="20"/>
        </w:rPr>
        <w:t> </w:t>
      </w:r>
      <w:r>
        <w:rPr>
          <w:sz w:val="20"/>
        </w:rPr>
        <w:t>comparator</w:t>
      </w:r>
      <w:r>
        <w:rPr>
          <w:spacing w:val="-4"/>
          <w:sz w:val="20"/>
        </w:rPr>
        <w:t> </w:t>
      </w:r>
      <w:r>
        <w:rPr>
          <w:sz w:val="20"/>
        </w:rPr>
        <w:t>patients.</w:t>
      </w:r>
    </w:p>
    <w:p>
      <w:pPr>
        <w:pStyle w:val="ListParagraph"/>
        <w:numPr>
          <w:ilvl w:val="0"/>
          <w:numId w:val="17"/>
        </w:numPr>
        <w:tabs>
          <w:tab w:pos="1573" w:val="left" w:leader="none"/>
          <w:tab w:pos="1574" w:val="left" w:leader="none"/>
        </w:tabs>
        <w:spacing w:line="276" w:lineRule="auto" w:before="38" w:after="0"/>
        <w:ind w:left="1573" w:right="1370" w:hanging="356"/>
        <w:jc w:val="left"/>
        <w:rPr>
          <w:sz w:val="20"/>
        </w:rPr>
      </w:pPr>
      <w:r>
        <w:rPr>
          <w:sz w:val="20"/>
        </w:rPr>
        <w:t>Describe changes in management of HCH patients following the implementation of</w:t>
      </w:r>
      <w:r>
        <w:rPr>
          <w:spacing w:val="-53"/>
          <w:sz w:val="20"/>
        </w:rPr>
        <w:t> </w:t>
      </w:r>
      <w:r>
        <w:rPr>
          <w:sz w:val="20"/>
        </w:rPr>
        <w:t>HCH.</w:t>
      </w:r>
    </w:p>
    <w:p>
      <w:pPr>
        <w:pStyle w:val="BodyText"/>
        <w:spacing w:line="276" w:lineRule="auto" w:before="199"/>
        <w:ind w:left="860" w:right="1455"/>
      </w:pPr>
      <w:r>
        <w:rPr/>
        <w:t>Practice</w:t>
      </w:r>
      <w:r>
        <w:rPr>
          <w:spacing w:val="-4"/>
        </w:rPr>
        <w:t> </w:t>
      </w:r>
      <w:r>
        <w:rPr/>
        <w:t>extracts</w:t>
      </w:r>
      <w:r>
        <w:rPr>
          <w:spacing w:val="-3"/>
        </w:rPr>
        <w:t> </w:t>
      </w:r>
      <w:r>
        <w:rPr/>
        <w:t>will</w:t>
      </w:r>
      <w:r>
        <w:rPr>
          <w:spacing w:val="-2"/>
        </w:rPr>
        <w:t> </w:t>
      </w:r>
      <w:r>
        <w:rPr/>
        <w:t>be</w:t>
      </w:r>
      <w:r>
        <w:rPr>
          <w:spacing w:val="-5"/>
        </w:rPr>
        <w:t> </w:t>
      </w:r>
      <w:r>
        <w:rPr/>
        <w:t>obtained</w:t>
      </w:r>
      <w:r>
        <w:rPr>
          <w:spacing w:val="-4"/>
        </w:rPr>
        <w:t> </w:t>
      </w:r>
      <w:r>
        <w:rPr/>
        <w:t>directly</w:t>
      </w:r>
      <w:r>
        <w:rPr>
          <w:spacing w:val="-4"/>
        </w:rPr>
        <w:t> </w:t>
      </w:r>
      <w:r>
        <w:rPr/>
        <w:t>from</w:t>
      </w:r>
      <w:r>
        <w:rPr>
          <w:spacing w:val="-3"/>
        </w:rPr>
        <w:t> </w:t>
      </w:r>
      <w:r>
        <w:rPr/>
        <w:t>practices,</w:t>
      </w:r>
      <w:r>
        <w:rPr>
          <w:spacing w:val="-5"/>
        </w:rPr>
        <w:t> </w:t>
      </w:r>
      <w:r>
        <w:rPr/>
        <w:t>using</w:t>
      </w:r>
      <w:r>
        <w:rPr>
          <w:spacing w:val="-4"/>
        </w:rPr>
        <w:t> </w:t>
      </w:r>
      <w:r>
        <w:rPr/>
        <w:t>software</w:t>
      </w:r>
      <w:r>
        <w:rPr>
          <w:spacing w:val="-3"/>
        </w:rPr>
        <w:t> </w:t>
      </w:r>
      <w:r>
        <w:rPr/>
        <w:t>designed</w:t>
      </w:r>
      <w:r>
        <w:rPr>
          <w:spacing w:val="-3"/>
        </w:rPr>
        <w:t> </w:t>
      </w:r>
      <w:r>
        <w:rPr/>
        <w:t>for</w:t>
      </w:r>
      <w:r>
        <w:rPr>
          <w:spacing w:val="-3"/>
        </w:rPr>
        <w:t> </w:t>
      </w:r>
      <w:r>
        <w:rPr/>
        <w:t>this</w:t>
      </w:r>
      <w:r>
        <w:rPr>
          <w:spacing w:val="-53"/>
        </w:rPr>
        <w:t> </w:t>
      </w:r>
      <w:r>
        <w:rPr/>
        <w:t>purpose.</w:t>
      </w:r>
    </w:p>
    <w:p>
      <w:pPr>
        <w:pStyle w:val="Heading2"/>
        <w:spacing w:before="199"/>
      </w:pPr>
      <w:bookmarkStart w:name="_bookmark42" w:id="43"/>
      <w:bookmarkEnd w:id="43"/>
      <w:r>
        <w:rPr/>
      </w:r>
      <w:r>
        <w:rPr>
          <w:color w:val="003C79"/>
        </w:rPr>
        <w:t>Linked</w:t>
      </w:r>
      <w:r>
        <w:rPr>
          <w:color w:val="003C79"/>
          <w:spacing w:val="-5"/>
        </w:rPr>
        <w:t> </w:t>
      </w:r>
      <w:r>
        <w:rPr>
          <w:color w:val="003C79"/>
        </w:rPr>
        <w:t>data</w:t>
      </w:r>
      <w:r>
        <w:rPr>
          <w:color w:val="003C79"/>
          <w:spacing w:val="-5"/>
        </w:rPr>
        <w:t> </w:t>
      </w:r>
      <w:r>
        <w:rPr>
          <w:color w:val="003C79"/>
        </w:rPr>
        <w:t>and</w:t>
      </w:r>
      <w:r>
        <w:rPr>
          <w:color w:val="003C79"/>
          <w:spacing w:val="-5"/>
        </w:rPr>
        <w:t> </w:t>
      </w:r>
      <w:r>
        <w:rPr>
          <w:color w:val="003C79"/>
        </w:rPr>
        <w:t>components</w:t>
      </w:r>
    </w:p>
    <w:p>
      <w:pPr>
        <w:pStyle w:val="BodyText"/>
        <w:spacing w:line="276" w:lineRule="auto" w:before="261"/>
        <w:ind w:left="860" w:right="1341"/>
      </w:pPr>
      <w:r>
        <w:rPr/>
        <w:t>To enable the evaluation to respond to questions relating to outcomes of patients following</w:t>
      </w:r>
      <w:r>
        <w:rPr>
          <w:spacing w:val="-53"/>
        </w:rPr>
        <w:t> </w:t>
      </w:r>
      <w:r>
        <w:rPr/>
        <w:t>the implementation of HCH, data from various national sources needs to be linked. These</w:t>
      </w:r>
      <w:r>
        <w:rPr>
          <w:spacing w:val="1"/>
        </w:rPr>
        <w:t> </w:t>
      </w:r>
      <w:r>
        <w:rPr/>
        <w:t>sources</w:t>
      </w:r>
      <w:r>
        <w:rPr>
          <w:spacing w:val="-2"/>
        </w:rPr>
        <w:t> </w:t>
      </w:r>
      <w:r>
        <w:rPr/>
        <w:t>include:</w:t>
      </w:r>
    </w:p>
    <w:p>
      <w:pPr>
        <w:pStyle w:val="ListParagraph"/>
        <w:numPr>
          <w:ilvl w:val="0"/>
          <w:numId w:val="17"/>
        </w:numPr>
        <w:tabs>
          <w:tab w:pos="1573" w:val="left" w:leader="none"/>
          <w:tab w:pos="1574" w:val="left" w:leader="none"/>
        </w:tabs>
        <w:spacing w:line="240" w:lineRule="auto" w:before="198" w:after="0"/>
        <w:ind w:left="1573" w:right="0" w:hanging="356"/>
        <w:jc w:val="left"/>
        <w:rPr>
          <w:sz w:val="20"/>
        </w:rPr>
      </w:pPr>
      <w:r>
        <w:rPr>
          <w:sz w:val="20"/>
        </w:rPr>
        <w:t>MBS</w:t>
      </w:r>
    </w:p>
    <w:p>
      <w:pPr>
        <w:pStyle w:val="ListParagraph"/>
        <w:numPr>
          <w:ilvl w:val="0"/>
          <w:numId w:val="17"/>
        </w:numPr>
        <w:tabs>
          <w:tab w:pos="1573" w:val="left" w:leader="none"/>
          <w:tab w:pos="1574" w:val="left" w:leader="none"/>
        </w:tabs>
        <w:spacing w:line="240" w:lineRule="auto" w:before="38" w:after="0"/>
        <w:ind w:left="1573" w:right="0" w:hanging="356"/>
        <w:jc w:val="left"/>
        <w:rPr>
          <w:sz w:val="20"/>
        </w:rPr>
      </w:pPr>
      <w:r>
        <w:rPr>
          <w:sz w:val="20"/>
        </w:rPr>
        <w:t>PBS</w:t>
      </w:r>
    </w:p>
    <w:p>
      <w:pPr>
        <w:pStyle w:val="ListParagraph"/>
        <w:numPr>
          <w:ilvl w:val="0"/>
          <w:numId w:val="17"/>
        </w:numPr>
        <w:tabs>
          <w:tab w:pos="1573" w:val="left" w:leader="none"/>
          <w:tab w:pos="1574" w:val="left" w:leader="none"/>
        </w:tabs>
        <w:spacing w:line="240" w:lineRule="auto" w:before="36" w:after="0"/>
        <w:ind w:left="1573" w:right="0" w:hanging="356"/>
        <w:jc w:val="left"/>
        <w:rPr>
          <w:sz w:val="20"/>
        </w:rPr>
      </w:pPr>
      <w:r>
        <w:rPr>
          <w:sz w:val="20"/>
        </w:rPr>
        <w:t>Fact</w:t>
      </w:r>
      <w:r>
        <w:rPr>
          <w:spacing w:val="-2"/>
          <w:sz w:val="20"/>
        </w:rPr>
        <w:t> </w:t>
      </w:r>
      <w:r>
        <w:rPr>
          <w:sz w:val="20"/>
        </w:rPr>
        <w:t>of</w:t>
      </w:r>
      <w:r>
        <w:rPr>
          <w:spacing w:val="-3"/>
          <w:sz w:val="20"/>
        </w:rPr>
        <w:t> </w:t>
      </w:r>
      <w:r>
        <w:rPr>
          <w:sz w:val="20"/>
        </w:rPr>
        <w:t>death</w:t>
      </w:r>
    </w:p>
    <w:p>
      <w:pPr>
        <w:spacing w:after="0" w:line="240" w:lineRule="auto"/>
        <w:jc w:val="left"/>
        <w:rPr>
          <w:sz w:val="20"/>
        </w:rPr>
        <w:sectPr>
          <w:pgSz w:w="11910" w:h="16840"/>
          <w:pgMar w:header="0" w:footer="675" w:top="20" w:bottom="860" w:left="580" w:right="280"/>
        </w:sectPr>
      </w:pPr>
    </w:p>
    <w:p>
      <w:pPr>
        <w:pStyle w:val="ListParagraph"/>
        <w:numPr>
          <w:ilvl w:val="0"/>
          <w:numId w:val="17"/>
        </w:numPr>
        <w:tabs>
          <w:tab w:pos="1573" w:val="left" w:leader="none"/>
          <w:tab w:pos="1574" w:val="left" w:leader="none"/>
        </w:tabs>
        <w:spacing w:line="240" w:lineRule="auto" w:before="82" w:after="0"/>
        <w:ind w:left="1573" w:right="0" w:hanging="356"/>
        <w:jc w:val="left"/>
        <w:rPr>
          <w:sz w:val="20"/>
        </w:rPr>
      </w:pPr>
      <w:r>
        <w:rPr>
          <w:sz w:val="20"/>
        </w:rPr>
        <w:t>National</w:t>
      </w:r>
      <w:r>
        <w:rPr>
          <w:spacing w:val="-5"/>
          <w:sz w:val="20"/>
        </w:rPr>
        <w:t> </w:t>
      </w:r>
      <w:r>
        <w:rPr>
          <w:sz w:val="20"/>
        </w:rPr>
        <w:t>death</w:t>
      </w:r>
      <w:r>
        <w:rPr>
          <w:spacing w:val="-5"/>
          <w:sz w:val="20"/>
        </w:rPr>
        <w:t> </w:t>
      </w:r>
      <w:r>
        <w:rPr>
          <w:sz w:val="20"/>
        </w:rPr>
        <w:t>index</w:t>
      </w:r>
    </w:p>
    <w:p>
      <w:pPr>
        <w:pStyle w:val="ListParagraph"/>
        <w:numPr>
          <w:ilvl w:val="0"/>
          <w:numId w:val="17"/>
        </w:numPr>
        <w:tabs>
          <w:tab w:pos="1573" w:val="left" w:leader="none"/>
          <w:tab w:pos="1574" w:val="left" w:leader="none"/>
        </w:tabs>
        <w:spacing w:line="240" w:lineRule="auto" w:before="36" w:after="0"/>
        <w:ind w:left="1573" w:right="0" w:hanging="356"/>
        <w:jc w:val="left"/>
        <w:rPr>
          <w:sz w:val="20"/>
        </w:rPr>
      </w:pPr>
      <w:r>
        <w:rPr>
          <w:sz w:val="20"/>
        </w:rPr>
        <w:t>National</w:t>
      </w:r>
      <w:r>
        <w:rPr>
          <w:spacing w:val="-5"/>
          <w:sz w:val="20"/>
        </w:rPr>
        <w:t> </w:t>
      </w:r>
      <w:r>
        <w:rPr>
          <w:sz w:val="20"/>
        </w:rPr>
        <w:t>hospital</w:t>
      </w:r>
      <w:r>
        <w:rPr>
          <w:spacing w:val="-5"/>
          <w:sz w:val="20"/>
        </w:rPr>
        <w:t> </w:t>
      </w:r>
      <w:r>
        <w:rPr>
          <w:sz w:val="20"/>
        </w:rPr>
        <w:t>morbidity</w:t>
      </w:r>
      <w:r>
        <w:rPr>
          <w:spacing w:val="-6"/>
          <w:sz w:val="20"/>
        </w:rPr>
        <w:t> </w:t>
      </w:r>
      <w:r>
        <w:rPr>
          <w:sz w:val="20"/>
        </w:rPr>
        <w:t>database</w:t>
      </w:r>
      <w:r>
        <w:rPr>
          <w:spacing w:val="-6"/>
          <w:sz w:val="20"/>
        </w:rPr>
        <w:t> </w:t>
      </w:r>
      <w:r>
        <w:rPr>
          <w:sz w:val="20"/>
        </w:rPr>
        <w:t>(NHMD)</w:t>
      </w:r>
    </w:p>
    <w:p>
      <w:pPr>
        <w:pStyle w:val="ListParagraph"/>
        <w:numPr>
          <w:ilvl w:val="0"/>
          <w:numId w:val="17"/>
        </w:numPr>
        <w:tabs>
          <w:tab w:pos="1573" w:val="left" w:leader="none"/>
          <w:tab w:pos="1574" w:val="left" w:leader="none"/>
        </w:tabs>
        <w:spacing w:line="240" w:lineRule="auto" w:before="38" w:after="0"/>
        <w:ind w:left="1573" w:right="0" w:hanging="356"/>
        <w:jc w:val="left"/>
        <w:rPr>
          <w:sz w:val="20"/>
        </w:rPr>
      </w:pPr>
      <w:r>
        <w:rPr>
          <w:sz w:val="20"/>
        </w:rPr>
        <w:t>National</w:t>
      </w:r>
      <w:r>
        <w:rPr>
          <w:spacing w:val="-4"/>
          <w:sz w:val="20"/>
        </w:rPr>
        <w:t> </w:t>
      </w:r>
      <w:r>
        <w:rPr>
          <w:sz w:val="20"/>
        </w:rPr>
        <w:t>non-admitted</w:t>
      </w:r>
      <w:r>
        <w:rPr>
          <w:spacing w:val="-6"/>
          <w:sz w:val="20"/>
        </w:rPr>
        <w:t> </w:t>
      </w:r>
      <w:r>
        <w:rPr>
          <w:sz w:val="20"/>
        </w:rPr>
        <w:t>patient</w:t>
      </w:r>
      <w:r>
        <w:rPr>
          <w:spacing w:val="-3"/>
          <w:sz w:val="20"/>
        </w:rPr>
        <w:t> </w:t>
      </w:r>
      <w:r>
        <w:rPr>
          <w:sz w:val="20"/>
        </w:rPr>
        <w:t>emergency</w:t>
      </w:r>
      <w:r>
        <w:rPr>
          <w:spacing w:val="-6"/>
          <w:sz w:val="20"/>
        </w:rPr>
        <w:t> </w:t>
      </w:r>
      <w:r>
        <w:rPr>
          <w:sz w:val="20"/>
        </w:rPr>
        <w:t>department</w:t>
      </w:r>
      <w:r>
        <w:rPr>
          <w:spacing w:val="-4"/>
          <w:sz w:val="20"/>
        </w:rPr>
        <w:t> </w:t>
      </w:r>
      <w:r>
        <w:rPr>
          <w:sz w:val="20"/>
        </w:rPr>
        <w:t>care</w:t>
      </w:r>
      <w:r>
        <w:rPr>
          <w:spacing w:val="-5"/>
          <w:sz w:val="20"/>
        </w:rPr>
        <w:t> </w:t>
      </w:r>
      <w:r>
        <w:rPr>
          <w:sz w:val="20"/>
        </w:rPr>
        <w:t>database</w:t>
      </w:r>
      <w:r>
        <w:rPr>
          <w:spacing w:val="-6"/>
          <w:sz w:val="20"/>
        </w:rPr>
        <w:t> </w:t>
      </w:r>
      <w:r>
        <w:rPr>
          <w:sz w:val="20"/>
        </w:rPr>
        <w:t>(NAPEDCD)</w:t>
      </w:r>
    </w:p>
    <w:p>
      <w:pPr>
        <w:pStyle w:val="ListParagraph"/>
        <w:numPr>
          <w:ilvl w:val="0"/>
          <w:numId w:val="17"/>
        </w:numPr>
        <w:tabs>
          <w:tab w:pos="1573" w:val="left" w:leader="none"/>
          <w:tab w:pos="1574" w:val="left" w:leader="none"/>
        </w:tabs>
        <w:spacing w:line="240" w:lineRule="auto" w:before="35" w:after="0"/>
        <w:ind w:left="1573" w:right="0" w:hanging="356"/>
        <w:jc w:val="left"/>
        <w:rPr>
          <w:sz w:val="20"/>
        </w:rPr>
      </w:pPr>
      <w:r>
        <w:rPr>
          <w:sz w:val="20"/>
        </w:rPr>
        <w:t>Aged</w:t>
      </w:r>
      <w:r>
        <w:rPr>
          <w:spacing w:val="-2"/>
          <w:sz w:val="20"/>
        </w:rPr>
        <w:t> </w:t>
      </w:r>
      <w:r>
        <w:rPr>
          <w:sz w:val="20"/>
        </w:rPr>
        <w:t>care.</w:t>
      </w:r>
    </w:p>
    <w:p>
      <w:pPr>
        <w:pStyle w:val="BodyText"/>
        <w:spacing w:before="5"/>
        <w:rPr>
          <w:sz w:val="19"/>
        </w:rPr>
      </w:pPr>
    </w:p>
    <w:p>
      <w:pPr>
        <w:pStyle w:val="Heading5"/>
        <w:spacing w:line="276" w:lineRule="auto" w:before="0"/>
        <w:ind w:right="1270"/>
      </w:pPr>
      <w:r>
        <w:rPr>
          <w:color w:val="003C79"/>
        </w:rPr>
        <w:t>Medical Benefits Schedule (MBS) and Pharmaceutical Benefits Scheme (PBS)</w:t>
      </w:r>
      <w:r>
        <w:rPr>
          <w:color w:val="003C79"/>
          <w:spacing w:val="-64"/>
        </w:rPr>
        <w:t> </w:t>
      </w:r>
      <w:r>
        <w:rPr>
          <w:color w:val="003C79"/>
        </w:rPr>
        <w:t>claims</w:t>
      </w:r>
      <w:r>
        <w:rPr>
          <w:color w:val="003C79"/>
          <w:spacing w:val="-2"/>
        </w:rPr>
        <w:t> </w:t>
      </w:r>
      <w:r>
        <w:rPr>
          <w:color w:val="003C79"/>
        </w:rPr>
        <w:t>data</w:t>
      </w:r>
    </w:p>
    <w:p>
      <w:pPr>
        <w:pStyle w:val="BodyText"/>
        <w:spacing w:line="276" w:lineRule="auto"/>
        <w:ind w:left="860" w:right="1224"/>
      </w:pPr>
      <w:r>
        <w:rPr/>
        <w:t>MBS claims are for subsidised medical and diagnostic services provided by registered</w:t>
      </w:r>
      <w:r>
        <w:rPr>
          <w:spacing w:val="1"/>
        </w:rPr>
        <w:t> </w:t>
      </w:r>
      <w:r>
        <w:rPr/>
        <w:t>medical</w:t>
      </w:r>
      <w:r>
        <w:rPr>
          <w:spacing w:val="-3"/>
        </w:rPr>
        <w:t> </w:t>
      </w:r>
      <w:r>
        <w:rPr/>
        <w:t>and</w:t>
      </w:r>
      <w:r>
        <w:rPr>
          <w:spacing w:val="-4"/>
        </w:rPr>
        <w:t> </w:t>
      </w:r>
      <w:r>
        <w:rPr/>
        <w:t>other</w:t>
      </w:r>
      <w:r>
        <w:rPr>
          <w:spacing w:val="-4"/>
        </w:rPr>
        <w:t> </w:t>
      </w:r>
      <w:r>
        <w:rPr/>
        <w:t>practitioners.</w:t>
      </w:r>
      <w:r>
        <w:rPr>
          <w:spacing w:val="-4"/>
        </w:rPr>
        <w:t> </w:t>
      </w:r>
      <w:r>
        <w:rPr/>
        <w:t>Specific</w:t>
      </w:r>
      <w:r>
        <w:rPr>
          <w:spacing w:val="-3"/>
        </w:rPr>
        <w:t> </w:t>
      </w:r>
      <w:r>
        <w:rPr/>
        <w:t>services</w:t>
      </w:r>
      <w:r>
        <w:rPr>
          <w:spacing w:val="-2"/>
        </w:rPr>
        <w:t> </w:t>
      </w:r>
      <w:r>
        <w:rPr/>
        <w:t>are</w:t>
      </w:r>
      <w:r>
        <w:rPr>
          <w:spacing w:val="-4"/>
        </w:rPr>
        <w:t> </w:t>
      </w:r>
      <w:r>
        <w:rPr/>
        <w:t>coded</w:t>
      </w:r>
      <w:r>
        <w:rPr>
          <w:spacing w:val="-1"/>
        </w:rPr>
        <w:t> </w:t>
      </w:r>
      <w:r>
        <w:rPr/>
        <w:t>using</w:t>
      </w:r>
      <w:r>
        <w:rPr>
          <w:spacing w:val="-4"/>
        </w:rPr>
        <w:t> </w:t>
      </w:r>
      <w:r>
        <w:rPr/>
        <w:t>a</w:t>
      </w:r>
      <w:r>
        <w:rPr>
          <w:spacing w:val="-2"/>
        </w:rPr>
        <w:t> </w:t>
      </w:r>
      <w:r>
        <w:rPr/>
        <w:t>system</w:t>
      </w:r>
      <w:r>
        <w:rPr>
          <w:spacing w:val="-4"/>
        </w:rPr>
        <w:t> </w:t>
      </w:r>
      <w:r>
        <w:rPr/>
        <w:t>of</w:t>
      </w:r>
      <w:r>
        <w:rPr>
          <w:spacing w:val="-4"/>
        </w:rPr>
        <w:t> </w:t>
      </w:r>
      <w:r>
        <w:rPr/>
        <w:t>Item</w:t>
      </w:r>
      <w:r>
        <w:rPr>
          <w:spacing w:val="-4"/>
        </w:rPr>
        <w:t> </w:t>
      </w:r>
      <w:r>
        <w:rPr/>
        <w:t>Numbers</w:t>
      </w:r>
      <w:r>
        <w:rPr>
          <w:spacing w:val="-52"/>
        </w:rPr>
        <w:t> </w:t>
      </w:r>
      <w:r>
        <w:rPr/>
        <w:t>listed in the MBS. For each claim, MBS data include the date of the service, the Item</w:t>
      </w:r>
      <w:r>
        <w:rPr>
          <w:spacing w:val="1"/>
        </w:rPr>
        <w:t> </w:t>
      </w:r>
      <w:r>
        <w:rPr/>
        <w:t>Number(s), patient age, gender and postcode, provider business code, the amount</w:t>
      </w:r>
      <w:r>
        <w:rPr>
          <w:spacing w:val="1"/>
        </w:rPr>
        <w:t> </w:t>
      </w:r>
      <w:r>
        <w:rPr/>
        <w:t>charged by the provider, the Medicare benefit for the service, the method of payment and</w:t>
      </w:r>
      <w:r>
        <w:rPr>
          <w:spacing w:val="1"/>
        </w:rPr>
        <w:t> </w:t>
      </w:r>
      <w:r>
        <w:rPr/>
        <w:t>information relating to the provider. Individual providers who practice in more than one</w:t>
      </w:r>
      <w:r>
        <w:rPr>
          <w:spacing w:val="1"/>
        </w:rPr>
        <w:t> </w:t>
      </w:r>
      <w:r>
        <w:rPr/>
        <w:t>location</w:t>
      </w:r>
      <w:r>
        <w:rPr>
          <w:spacing w:val="-1"/>
        </w:rPr>
        <w:t> </w:t>
      </w:r>
      <w:r>
        <w:rPr/>
        <w:t>have</w:t>
      </w:r>
      <w:r>
        <w:rPr>
          <w:spacing w:val="-1"/>
        </w:rPr>
        <w:t> </w:t>
      </w:r>
      <w:r>
        <w:rPr/>
        <w:t>multiple</w:t>
      </w:r>
      <w:r>
        <w:rPr>
          <w:spacing w:val="-3"/>
        </w:rPr>
        <w:t> </w:t>
      </w:r>
      <w:r>
        <w:rPr/>
        <w:t>Medicare</w:t>
      </w:r>
      <w:r>
        <w:rPr>
          <w:spacing w:val="-1"/>
        </w:rPr>
        <w:t> </w:t>
      </w:r>
      <w:r>
        <w:rPr/>
        <w:t>provider</w:t>
      </w:r>
      <w:r>
        <w:rPr>
          <w:spacing w:val="-2"/>
        </w:rPr>
        <w:t> </w:t>
      </w:r>
      <w:r>
        <w:rPr/>
        <w:t>numbers.</w:t>
      </w:r>
    </w:p>
    <w:p>
      <w:pPr>
        <w:pStyle w:val="BodyText"/>
        <w:spacing w:line="276" w:lineRule="auto" w:before="201"/>
        <w:ind w:left="860" w:right="1188"/>
      </w:pPr>
      <w:r>
        <w:rPr/>
        <w:t>PBS claims are for prescribed medicines dispensed in the community setting (i.e. excluding</w:t>
      </w:r>
      <w:r>
        <w:rPr>
          <w:spacing w:val="1"/>
        </w:rPr>
        <w:t> </w:t>
      </w:r>
      <w:r>
        <w:rPr/>
        <w:t>medicine prescribed to patients while admitted to a public hospital). PBS data include PBS</w:t>
      </w:r>
      <w:r>
        <w:rPr>
          <w:spacing w:val="1"/>
        </w:rPr>
        <w:t> </w:t>
      </w:r>
      <w:r>
        <w:rPr/>
        <w:t>Item Number, date, type of prescription, PBS payment category, speciality of provider and</w:t>
      </w:r>
      <w:r>
        <w:rPr>
          <w:spacing w:val="1"/>
        </w:rPr>
        <w:t> </w:t>
      </w:r>
      <w:r>
        <w:rPr/>
        <w:t>pharmacist’s business postcode. Various measure of pharmacy use, including polypharmacy</w:t>
      </w:r>
      <w:r>
        <w:rPr>
          <w:spacing w:val="-53"/>
        </w:rPr>
        <w:t> </w:t>
      </w:r>
      <w:r>
        <w:rPr/>
        <w:t>and hyperpolypharmacy and appropriateness of use of medicines will be explored using this</w:t>
      </w:r>
      <w:r>
        <w:rPr>
          <w:spacing w:val="-53"/>
        </w:rPr>
        <w:t> </w:t>
      </w:r>
      <w:r>
        <w:rPr/>
        <w:t>data.</w:t>
      </w:r>
    </w:p>
    <w:p>
      <w:pPr>
        <w:pStyle w:val="Heading5"/>
      </w:pPr>
      <w:r>
        <w:rPr>
          <w:color w:val="003C79"/>
        </w:rPr>
        <w:t>National</w:t>
      </w:r>
      <w:r>
        <w:rPr>
          <w:color w:val="003C79"/>
          <w:spacing w:val="-1"/>
        </w:rPr>
        <w:t> </w:t>
      </w:r>
      <w:r>
        <w:rPr>
          <w:color w:val="003C79"/>
        </w:rPr>
        <w:t>death</w:t>
      </w:r>
      <w:r>
        <w:rPr>
          <w:color w:val="003C79"/>
          <w:spacing w:val="-3"/>
        </w:rPr>
        <w:t> </w:t>
      </w:r>
      <w:r>
        <w:rPr>
          <w:color w:val="003C79"/>
        </w:rPr>
        <w:t>index</w:t>
      </w:r>
    </w:p>
    <w:p>
      <w:pPr>
        <w:pStyle w:val="BodyText"/>
        <w:spacing w:line="276" w:lineRule="auto" w:before="44"/>
        <w:ind w:left="860" w:right="1242"/>
      </w:pPr>
      <w:r>
        <w:rPr/>
        <w:t>The National death index is compiled by the AIHW and contains records of all deaths</w:t>
      </w:r>
      <w:r>
        <w:rPr>
          <w:spacing w:val="1"/>
        </w:rPr>
        <w:t> </w:t>
      </w:r>
      <w:r>
        <w:rPr/>
        <w:t>registered in Australia. Data come from Registrars of Births, Deaths and Marriages in each</w:t>
      </w:r>
      <w:r>
        <w:rPr>
          <w:spacing w:val="1"/>
        </w:rPr>
        <w:t> </w:t>
      </w:r>
      <w:r>
        <w:rPr/>
        <w:t>jurisdiction, the National Coronial Information System and the Australian Bureau of Statistics.</w:t>
      </w:r>
      <w:r>
        <w:rPr>
          <w:spacing w:val="1"/>
        </w:rPr>
        <w:t> </w:t>
      </w:r>
      <w:r>
        <w:rPr/>
        <w:t>Data items include date of death, and underlying and contributing causes of death, coded</w:t>
      </w:r>
      <w:r>
        <w:rPr>
          <w:spacing w:val="-53"/>
        </w:rPr>
        <w:t> </w:t>
      </w:r>
      <w:r>
        <w:rPr/>
        <w:t>according to the International Statistical Classification of Diseases and Related Problems</w:t>
      </w:r>
      <w:r>
        <w:rPr>
          <w:spacing w:val="1"/>
        </w:rPr>
        <w:t> </w:t>
      </w:r>
      <w:r>
        <w:rPr/>
        <w:t>(ICD-10). There is a lag in the supply of cause of death data (e.g. as at September 2016, the</w:t>
      </w:r>
      <w:r>
        <w:rPr>
          <w:spacing w:val="1"/>
        </w:rPr>
        <w:t> </w:t>
      </w:r>
      <w:r>
        <w:rPr/>
        <w:t>AIHW had access to cause of death data for deaths registered up to and including the 2014</w:t>
      </w:r>
      <w:r>
        <w:rPr>
          <w:spacing w:val="-53"/>
        </w:rPr>
        <w:t> </w:t>
      </w:r>
      <w:r>
        <w:rPr/>
        <w:t>calendar year). Therefore, cause of death data for HCH participants may not be available</w:t>
      </w:r>
      <w:r>
        <w:rPr>
          <w:spacing w:val="1"/>
        </w:rPr>
        <w:t> </w:t>
      </w:r>
      <w:r>
        <w:rPr/>
        <w:t>during the timeframe for evaluation. Nonetheless, approvals for linkage of National death</w:t>
      </w:r>
      <w:r>
        <w:rPr>
          <w:spacing w:val="1"/>
        </w:rPr>
        <w:t> </w:t>
      </w:r>
      <w:r>
        <w:rPr/>
        <w:t>index</w:t>
      </w:r>
      <w:r>
        <w:rPr>
          <w:spacing w:val="-1"/>
        </w:rPr>
        <w:t> </w:t>
      </w:r>
      <w:r>
        <w:rPr/>
        <w:t>data</w:t>
      </w:r>
      <w:r>
        <w:rPr>
          <w:spacing w:val="-3"/>
        </w:rPr>
        <w:t> </w:t>
      </w:r>
      <w:r>
        <w:rPr/>
        <w:t>will</w:t>
      </w:r>
      <w:r>
        <w:rPr>
          <w:spacing w:val="-1"/>
        </w:rPr>
        <w:t> </w:t>
      </w:r>
      <w:r>
        <w:rPr/>
        <w:t>be</w:t>
      </w:r>
      <w:r>
        <w:rPr>
          <w:spacing w:val="-2"/>
        </w:rPr>
        <w:t> </w:t>
      </w:r>
      <w:r>
        <w:rPr/>
        <w:t>sought to</w:t>
      </w:r>
      <w:r>
        <w:rPr>
          <w:spacing w:val="-1"/>
        </w:rPr>
        <w:t> </w:t>
      </w:r>
      <w:r>
        <w:rPr/>
        <w:t>facilitate</w:t>
      </w:r>
      <w:r>
        <w:rPr>
          <w:spacing w:val="-2"/>
        </w:rPr>
        <w:t> </w:t>
      </w:r>
      <w:r>
        <w:rPr/>
        <w:t>ongoing</w:t>
      </w:r>
      <w:r>
        <w:rPr>
          <w:spacing w:val="-2"/>
        </w:rPr>
        <w:t> </w:t>
      </w:r>
      <w:r>
        <w:rPr/>
        <w:t>evaluation</w:t>
      </w:r>
      <w:r>
        <w:rPr>
          <w:spacing w:val="-1"/>
        </w:rPr>
        <w:t> </w:t>
      </w:r>
      <w:r>
        <w:rPr/>
        <w:t>of</w:t>
      </w:r>
      <w:r>
        <w:rPr>
          <w:spacing w:val="-2"/>
        </w:rPr>
        <w:t> </w:t>
      </w:r>
      <w:r>
        <w:rPr/>
        <w:t>the</w:t>
      </w:r>
      <w:r>
        <w:rPr>
          <w:spacing w:val="-1"/>
        </w:rPr>
        <w:t> </w:t>
      </w:r>
      <w:r>
        <w:rPr/>
        <w:t>HCH</w:t>
      </w:r>
      <w:r>
        <w:rPr>
          <w:spacing w:val="-1"/>
        </w:rPr>
        <w:t> </w:t>
      </w:r>
      <w:r>
        <w:rPr/>
        <w:t>rollout.</w:t>
      </w:r>
    </w:p>
    <w:p>
      <w:pPr>
        <w:pStyle w:val="Heading5"/>
        <w:spacing w:before="202"/>
      </w:pPr>
      <w:r>
        <w:rPr>
          <w:color w:val="003C79"/>
        </w:rPr>
        <w:t>National</w:t>
      </w:r>
      <w:r>
        <w:rPr>
          <w:color w:val="003C79"/>
          <w:spacing w:val="-1"/>
        </w:rPr>
        <w:t> </w:t>
      </w:r>
      <w:r>
        <w:rPr>
          <w:color w:val="003C79"/>
        </w:rPr>
        <w:t>hospital</w:t>
      </w:r>
      <w:r>
        <w:rPr>
          <w:color w:val="003C79"/>
          <w:spacing w:val="-2"/>
        </w:rPr>
        <w:t> </w:t>
      </w:r>
      <w:r>
        <w:rPr>
          <w:color w:val="003C79"/>
        </w:rPr>
        <w:t>morbidity</w:t>
      </w:r>
      <w:r>
        <w:rPr>
          <w:color w:val="003C79"/>
          <w:spacing w:val="-6"/>
        </w:rPr>
        <w:t> </w:t>
      </w:r>
      <w:r>
        <w:rPr>
          <w:color w:val="003C79"/>
        </w:rPr>
        <w:t>database</w:t>
      </w:r>
      <w:r>
        <w:rPr>
          <w:color w:val="003C79"/>
          <w:spacing w:val="-2"/>
        </w:rPr>
        <w:t> </w:t>
      </w:r>
      <w:r>
        <w:rPr>
          <w:color w:val="003C79"/>
        </w:rPr>
        <w:t>(NHMD)</w:t>
      </w:r>
    </w:p>
    <w:p>
      <w:pPr>
        <w:pStyle w:val="BodyText"/>
        <w:spacing w:line="276" w:lineRule="auto" w:before="44"/>
        <w:ind w:left="860" w:right="1207"/>
      </w:pPr>
      <w:r>
        <w:rPr/>
        <w:t>The NHMD is compiled by the AIHW from data supplied by the state and territory health</w:t>
      </w:r>
      <w:r>
        <w:rPr>
          <w:spacing w:val="1"/>
        </w:rPr>
        <w:t> </w:t>
      </w:r>
      <w:r>
        <w:rPr/>
        <w:t>authorities. It is a collection of electronic summary records for separations (discharges,</w:t>
      </w:r>
      <w:r>
        <w:rPr>
          <w:spacing w:val="1"/>
        </w:rPr>
        <w:t> </w:t>
      </w:r>
      <w:r>
        <w:rPr/>
        <w:t>transfers and deaths) from public and private hospitals in Australia. Almost all hospitals in</w:t>
      </w:r>
      <w:r>
        <w:rPr>
          <w:spacing w:val="1"/>
        </w:rPr>
        <w:t> </w:t>
      </w:r>
      <w:r>
        <w:rPr/>
        <w:t>Australia</w:t>
      </w:r>
      <w:r>
        <w:rPr>
          <w:spacing w:val="-4"/>
        </w:rPr>
        <w:t> </w:t>
      </w:r>
      <w:r>
        <w:rPr/>
        <w:t>are</w:t>
      </w:r>
      <w:r>
        <w:rPr>
          <w:spacing w:val="-5"/>
        </w:rPr>
        <w:t> </w:t>
      </w:r>
      <w:r>
        <w:rPr/>
        <w:t>included</w:t>
      </w:r>
      <w:r>
        <w:rPr>
          <w:spacing w:val="-3"/>
        </w:rPr>
        <w:t> </w:t>
      </w:r>
      <w:r>
        <w:rPr/>
        <w:t>in</w:t>
      </w:r>
      <w:r>
        <w:rPr>
          <w:spacing w:val="-4"/>
        </w:rPr>
        <w:t> </w:t>
      </w:r>
      <w:r>
        <w:rPr/>
        <w:t>the</w:t>
      </w:r>
      <w:r>
        <w:rPr>
          <w:spacing w:val="-5"/>
        </w:rPr>
        <w:t> </w:t>
      </w:r>
      <w:r>
        <w:rPr/>
        <w:t>database:</w:t>
      </w:r>
      <w:r>
        <w:rPr>
          <w:spacing w:val="-7"/>
        </w:rPr>
        <w:t> </w:t>
      </w:r>
      <w:r>
        <w:rPr/>
        <w:t>public</w:t>
      </w:r>
      <w:r>
        <w:rPr>
          <w:spacing w:val="-4"/>
        </w:rPr>
        <w:t> </w:t>
      </w:r>
      <w:r>
        <w:rPr/>
        <w:t>acute</w:t>
      </w:r>
      <w:r>
        <w:rPr>
          <w:spacing w:val="-4"/>
        </w:rPr>
        <w:t> </w:t>
      </w:r>
      <w:r>
        <w:rPr/>
        <w:t>and</w:t>
      </w:r>
      <w:r>
        <w:rPr>
          <w:spacing w:val="-5"/>
        </w:rPr>
        <w:t> </w:t>
      </w:r>
      <w:r>
        <w:rPr/>
        <w:t>public</w:t>
      </w:r>
      <w:r>
        <w:rPr>
          <w:spacing w:val="-4"/>
        </w:rPr>
        <w:t> </w:t>
      </w:r>
      <w:r>
        <w:rPr/>
        <w:t>psychiatric</w:t>
      </w:r>
      <w:r>
        <w:rPr>
          <w:spacing w:val="-3"/>
        </w:rPr>
        <w:t> </w:t>
      </w:r>
      <w:r>
        <w:rPr/>
        <w:t>hospitals,</w:t>
      </w:r>
      <w:r>
        <w:rPr>
          <w:spacing w:val="-8"/>
        </w:rPr>
        <w:t> </w:t>
      </w:r>
      <w:r>
        <w:rPr/>
        <w:t>private</w:t>
      </w:r>
      <w:r>
        <w:rPr>
          <w:spacing w:val="-52"/>
        </w:rPr>
        <w:t> </w:t>
      </w:r>
      <w:r>
        <w:rPr/>
        <w:t>acute and psychiatric hospitals, and private free-standing day hospital facilities. The</w:t>
      </w:r>
      <w:r>
        <w:rPr>
          <w:spacing w:val="1"/>
        </w:rPr>
        <w:t> </w:t>
      </w:r>
      <w:r>
        <w:rPr/>
        <w:t>information</w:t>
      </w:r>
      <w:r>
        <w:rPr>
          <w:spacing w:val="-1"/>
        </w:rPr>
        <w:t> </w:t>
      </w:r>
      <w:r>
        <w:rPr/>
        <w:t>reported</w:t>
      </w:r>
      <w:r>
        <w:rPr>
          <w:spacing w:val="-1"/>
        </w:rPr>
        <w:t> </w:t>
      </w:r>
      <w:r>
        <w:rPr/>
        <w:t>includes:</w:t>
      </w:r>
    </w:p>
    <w:p>
      <w:pPr>
        <w:pStyle w:val="ListParagraph"/>
        <w:numPr>
          <w:ilvl w:val="0"/>
          <w:numId w:val="17"/>
        </w:numPr>
        <w:tabs>
          <w:tab w:pos="1573" w:val="left" w:leader="none"/>
          <w:tab w:pos="1574" w:val="left" w:leader="none"/>
        </w:tabs>
        <w:spacing w:line="240" w:lineRule="auto" w:before="200" w:after="0"/>
        <w:ind w:left="1573" w:right="0" w:hanging="356"/>
        <w:jc w:val="left"/>
        <w:rPr>
          <w:sz w:val="20"/>
        </w:rPr>
      </w:pPr>
      <w:r>
        <w:rPr>
          <w:sz w:val="20"/>
        </w:rPr>
        <w:t>patient</w:t>
      </w:r>
      <w:r>
        <w:rPr>
          <w:spacing w:val="-5"/>
          <w:sz w:val="20"/>
        </w:rPr>
        <w:t> </w:t>
      </w:r>
      <w:r>
        <w:rPr>
          <w:sz w:val="20"/>
        </w:rPr>
        <w:t>demographics</w:t>
      </w:r>
    </w:p>
    <w:p>
      <w:pPr>
        <w:pStyle w:val="ListParagraph"/>
        <w:numPr>
          <w:ilvl w:val="0"/>
          <w:numId w:val="17"/>
        </w:numPr>
        <w:tabs>
          <w:tab w:pos="1573" w:val="left" w:leader="none"/>
          <w:tab w:pos="1574" w:val="left" w:leader="none"/>
        </w:tabs>
        <w:spacing w:line="240" w:lineRule="auto" w:before="38" w:after="0"/>
        <w:ind w:left="1573" w:right="0" w:hanging="356"/>
        <w:jc w:val="left"/>
        <w:rPr>
          <w:sz w:val="20"/>
        </w:rPr>
      </w:pPr>
      <w:r>
        <w:rPr>
          <w:sz w:val="20"/>
        </w:rPr>
        <w:t>source</w:t>
      </w:r>
      <w:r>
        <w:rPr>
          <w:spacing w:val="-2"/>
          <w:sz w:val="20"/>
        </w:rPr>
        <w:t> </w:t>
      </w:r>
      <w:r>
        <w:rPr>
          <w:sz w:val="20"/>
        </w:rPr>
        <w:t>of</w:t>
      </w:r>
      <w:r>
        <w:rPr>
          <w:spacing w:val="-2"/>
          <w:sz w:val="20"/>
        </w:rPr>
        <w:t> </w:t>
      </w:r>
      <w:r>
        <w:rPr>
          <w:sz w:val="20"/>
        </w:rPr>
        <w:t>referral</w:t>
      </w:r>
      <w:r>
        <w:rPr>
          <w:spacing w:val="-1"/>
          <w:sz w:val="20"/>
        </w:rPr>
        <w:t> </w:t>
      </w:r>
      <w:r>
        <w:rPr>
          <w:sz w:val="20"/>
        </w:rPr>
        <w:t>to</w:t>
      </w:r>
      <w:r>
        <w:rPr>
          <w:spacing w:val="-2"/>
          <w:sz w:val="20"/>
        </w:rPr>
        <w:t> </w:t>
      </w:r>
      <w:r>
        <w:rPr>
          <w:sz w:val="20"/>
        </w:rPr>
        <w:t>the</w:t>
      </w:r>
      <w:r>
        <w:rPr>
          <w:spacing w:val="-2"/>
          <w:sz w:val="20"/>
        </w:rPr>
        <w:t> </w:t>
      </w:r>
      <w:r>
        <w:rPr>
          <w:sz w:val="20"/>
        </w:rPr>
        <w:t>service</w:t>
      </w:r>
    </w:p>
    <w:p>
      <w:pPr>
        <w:pStyle w:val="ListParagraph"/>
        <w:numPr>
          <w:ilvl w:val="0"/>
          <w:numId w:val="17"/>
        </w:numPr>
        <w:tabs>
          <w:tab w:pos="1573" w:val="left" w:leader="none"/>
          <w:tab w:pos="1574" w:val="left" w:leader="none"/>
        </w:tabs>
        <w:spacing w:line="240" w:lineRule="auto" w:before="35" w:after="0"/>
        <w:ind w:left="1573" w:right="0" w:hanging="356"/>
        <w:jc w:val="left"/>
        <w:rPr>
          <w:sz w:val="20"/>
        </w:rPr>
      </w:pPr>
      <w:r>
        <w:rPr>
          <w:sz w:val="20"/>
        </w:rPr>
        <w:t>service</w:t>
      </w:r>
      <w:r>
        <w:rPr>
          <w:spacing w:val="-4"/>
          <w:sz w:val="20"/>
        </w:rPr>
        <w:t> </w:t>
      </w:r>
      <w:r>
        <w:rPr>
          <w:sz w:val="20"/>
        </w:rPr>
        <w:t>referred</w:t>
      </w:r>
      <w:r>
        <w:rPr>
          <w:spacing w:val="-3"/>
          <w:sz w:val="20"/>
        </w:rPr>
        <w:t> </w:t>
      </w:r>
      <w:r>
        <w:rPr>
          <w:sz w:val="20"/>
        </w:rPr>
        <w:t>to</w:t>
      </w:r>
      <w:r>
        <w:rPr>
          <w:spacing w:val="-4"/>
          <w:sz w:val="20"/>
        </w:rPr>
        <w:t> </w:t>
      </w:r>
      <w:r>
        <w:rPr>
          <w:sz w:val="20"/>
        </w:rPr>
        <w:t>on</w:t>
      </w:r>
      <w:r>
        <w:rPr>
          <w:spacing w:val="-2"/>
          <w:sz w:val="20"/>
        </w:rPr>
        <w:t> </w:t>
      </w:r>
      <w:r>
        <w:rPr>
          <w:sz w:val="20"/>
        </w:rPr>
        <w:t>separation</w:t>
      </w:r>
    </w:p>
    <w:p>
      <w:pPr>
        <w:pStyle w:val="ListParagraph"/>
        <w:numPr>
          <w:ilvl w:val="0"/>
          <w:numId w:val="17"/>
        </w:numPr>
        <w:tabs>
          <w:tab w:pos="1573" w:val="left" w:leader="none"/>
          <w:tab w:pos="1574" w:val="left" w:leader="none"/>
        </w:tabs>
        <w:spacing w:line="240" w:lineRule="auto" w:before="38" w:after="0"/>
        <w:ind w:left="1573" w:right="0" w:hanging="356"/>
        <w:jc w:val="left"/>
        <w:rPr>
          <w:sz w:val="20"/>
        </w:rPr>
      </w:pPr>
      <w:r>
        <w:rPr>
          <w:sz w:val="20"/>
        </w:rPr>
        <w:t>length</w:t>
      </w:r>
      <w:r>
        <w:rPr>
          <w:spacing w:val="-2"/>
          <w:sz w:val="20"/>
        </w:rPr>
        <w:t> </w:t>
      </w:r>
      <w:r>
        <w:rPr>
          <w:sz w:val="20"/>
        </w:rPr>
        <w:t>of</w:t>
      </w:r>
      <w:r>
        <w:rPr>
          <w:spacing w:val="-2"/>
          <w:sz w:val="20"/>
        </w:rPr>
        <w:t> </w:t>
      </w:r>
      <w:r>
        <w:rPr>
          <w:sz w:val="20"/>
        </w:rPr>
        <w:t>stay</w:t>
      </w:r>
    </w:p>
    <w:p>
      <w:pPr>
        <w:pStyle w:val="ListParagraph"/>
        <w:numPr>
          <w:ilvl w:val="0"/>
          <w:numId w:val="17"/>
        </w:numPr>
        <w:tabs>
          <w:tab w:pos="1573" w:val="left" w:leader="none"/>
          <w:tab w:pos="1574" w:val="left" w:leader="none"/>
        </w:tabs>
        <w:spacing w:line="276" w:lineRule="auto" w:before="36" w:after="0"/>
        <w:ind w:left="1573" w:right="1244" w:hanging="356"/>
        <w:jc w:val="left"/>
        <w:rPr>
          <w:sz w:val="20"/>
        </w:rPr>
      </w:pPr>
      <w:r>
        <w:rPr>
          <w:sz w:val="20"/>
        </w:rPr>
        <w:t>diagnoses, procedures, and external causes of injury, coded according to the</w:t>
      </w:r>
      <w:r>
        <w:rPr>
          <w:spacing w:val="1"/>
          <w:sz w:val="20"/>
        </w:rPr>
        <w:t> </w:t>
      </w:r>
      <w:r>
        <w:rPr>
          <w:sz w:val="20"/>
        </w:rPr>
        <w:t>International</w:t>
      </w:r>
      <w:r>
        <w:rPr>
          <w:spacing w:val="-5"/>
          <w:sz w:val="20"/>
        </w:rPr>
        <w:t> </w:t>
      </w:r>
      <w:r>
        <w:rPr>
          <w:sz w:val="20"/>
        </w:rPr>
        <w:t>Statistical</w:t>
      </w:r>
      <w:r>
        <w:rPr>
          <w:spacing w:val="-4"/>
          <w:sz w:val="20"/>
        </w:rPr>
        <w:t> </w:t>
      </w:r>
      <w:r>
        <w:rPr>
          <w:sz w:val="20"/>
        </w:rPr>
        <w:t>Classification</w:t>
      </w:r>
      <w:r>
        <w:rPr>
          <w:spacing w:val="-5"/>
          <w:sz w:val="20"/>
        </w:rPr>
        <w:t> </w:t>
      </w:r>
      <w:r>
        <w:rPr>
          <w:sz w:val="20"/>
        </w:rPr>
        <w:t>of</w:t>
      </w:r>
      <w:r>
        <w:rPr>
          <w:spacing w:val="-5"/>
          <w:sz w:val="20"/>
        </w:rPr>
        <w:t> </w:t>
      </w:r>
      <w:r>
        <w:rPr>
          <w:sz w:val="20"/>
        </w:rPr>
        <w:t>Diseases</w:t>
      </w:r>
      <w:r>
        <w:rPr>
          <w:spacing w:val="-5"/>
          <w:sz w:val="20"/>
        </w:rPr>
        <w:t> </w:t>
      </w:r>
      <w:r>
        <w:rPr>
          <w:sz w:val="20"/>
        </w:rPr>
        <w:t>and</w:t>
      </w:r>
      <w:r>
        <w:rPr>
          <w:spacing w:val="-6"/>
          <w:sz w:val="20"/>
        </w:rPr>
        <w:t> </w:t>
      </w:r>
      <w:r>
        <w:rPr>
          <w:sz w:val="20"/>
        </w:rPr>
        <w:t>Related</w:t>
      </w:r>
      <w:r>
        <w:rPr>
          <w:spacing w:val="-5"/>
          <w:sz w:val="20"/>
        </w:rPr>
        <w:t> </w:t>
      </w:r>
      <w:r>
        <w:rPr>
          <w:sz w:val="20"/>
        </w:rPr>
        <w:t>Problems,</w:t>
      </w:r>
      <w:r>
        <w:rPr>
          <w:spacing w:val="-7"/>
          <w:sz w:val="20"/>
        </w:rPr>
        <w:t> </w:t>
      </w:r>
      <w:r>
        <w:rPr>
          <w:sz w:val="20"/>
        </w:rPr>
        <w:t>10th</w:t>
      </w:r>
      <w:r>
        <w:rPr>
          <w:spacing w:val="-5"/>
          <w:sz w:val="20"/>
        </w:rPr>
        <w:t> </w:t>
      </w:r>
      <w:r>
        <w:rPr>
          <w:sz w:val="20"/>
        </w:rPr>
        <w:t>Revision,</w:t>
      </w:r>
      <w:r>
        <w:rPr>
          <w:spacing w:val="-52"/>
          <w:sz w:val="20"/>
        </w:rPr>
        <w:t> </w:t>
      </w:r>
      <w:r>
        <w:rPr>
          <w:sz w:val="20"/>
        </w:rPr>
        <w:t>Australian</w:t>
      </w:r>
      <w:r>
        <w:rPr>
          <w:spacing w:val="-1"/>
          <w:sz w:val="20"/>
        </w:rPr>
        <w:t> </w:t>
      </w:r>
      <w:r>
        <w:rPr>
          <w:sz w:val="20"/>
        </w:rPr>
        <w:t>Modification</w:t>
      </w:r>
      <w:r>
        <w:rPr>
          <w:spacing w:val="2"/>
          <w:sz w:val="20"/>
        </w:rPr>
        <w:t> </w:t>
      </w:r>
      <w:r>
        <w:rPr>
          <w:sz w:val="20"/>
        </w:rPr>
        <w:t>(ICD-10-AM)</w:t>
      </w:r>
    </w:p>
    <w:p>
      <w:pPr>
        <w:spacing w:after="0" w:line="276" w:lineRule="auto"/>
        <w:jc w:val="left"/>
        <w:rPr>
          <w:sz w:val="20"/>
        </w:rPr>
        <w:sectPr>
          <w:pgSz w:w="11910" w:h="16840"/>
          <w:pgMar w:header="0" w:footer="675" w:top="1340" w:bottom="860" w:left="580" w:right="280"/>
        </w:sectPr>
      </w:pPr>
    </w:p>
    <w:p>
      <w:pPr>
        <w:pStyle w:val="ListParagraph"/>
        <w:numPr>
          <w:ilvl w:val="0"/>
          <w:numId w:val="17"/>
        </w:numPr>
        <w:tabs>
          <w:tab w:pos="1573" w:val="left" w:leader="none"/>
          <w:tab w:pos="1574" w:val="left" w:leader="none"/>
        </w:tabs>
        <w:spacing w:line="276" w:lineRule="auto" w:before="82" w:after="0"/>
        <w:ind w:left="1573" w:right="1387" w:hanging="356"/>
        <w:jc w:val="left"/>
        <w:rPr>
          <w:sz w:val="20"/>
        </w:rPr>
      </w:pPr>
      <w:r>
        <w:rPr>
          <w:sz w:val="20"/>
        </w:rPr>
        <w:t>Australian Refined Diagnosis Related Groups (AR-DRGs), which group patients into</w:t>
      </w:r>
      <w:r>
        <w:rPr>
          <w:spacing w:val="1"/>
          <w:sz w:val="20"/>
        </w:rPr>
        <w:t> </w:t>
      </w:r>
      <w:r>
        <w:rPr>
          <w:sz w:val="20"/>
        </w:rPr>
        <w:t>resource homogenous classes using diagnoses and/ or procedures and other</w:t>
      </w:r>
      <w:r>
        <w:rPr>
          <w:spacing w:val="1"/>
          <w:sz w:val="20"/>
        </w:rPr>
        <w:t> </w:t>
      </w:r>
      <w:r>
        <w:rPr>
          <w:sz w:val="20"/>
        </w:rPr>
        <w:t>characteristics of the hospital stay (e.g. same day versus longer stay), and allow the</w:t>
      </w:r>
      <w:r>
        <w:rPr>
          <w:spacing w:val="-53"/>
          <w:sz w:val="20"/>
        </w:rPr>
        <w:t> </w:t>
      </w:r>
      <w:r>
        <w:rPr>
          <w:sz w:val="20"/>
        </w:rPr>
        <w:t>calculation of a National Weighted Activity Unit (NWAU), which in turn is associated</w:t>
      </w:r>
      <w:r>
        <w:rPr>
          <w:spacing w:val="-53"/>
          <w:sz w:val="20"/>
        </w:rPr>
        <w:t> </w:t>
      </w:r>
      <w:r>
        <w:rPr>
          <w:sz w:val="20"/>
        </w:rPr>
        <w:t>with</w:t>
      </w:r>
      <w:r>
        <w:rPr>
          <w:spacing w:val="-1"/>
          <w:sz w:val="20"/>
        </w:rPr>
        <w:t> </w:t>
      </w:r>
      <w:r>
        <w:rPr>
          <w:sz w:val="20"/>
        </w:rPr>
        <w:t>a</w:t>
      </w:r>
      <w:r>
        <w:rPr>
          <w:spacing w:val="-1"/>
          <w:sz w:val="20"/>
        </w:rPr>
        <w:t> </w:t>
      </w:r>
      <w:r>
        <w:rPr>
          <w:sz w:val="20"/>
        </w:rPr>
        <w:t>measure</w:t>
      </w:r>
      <w:r>
        <w:rPr>
          <w:spacing w:val="-2"/>
          <w:sz w:val="20"/>
        </w:rPr>
        <w:t> </w:t>
      </w:r>
      <w:r>
        <w:rPr>
          <w:sz w:val="20"/>
        </w:rPr>
        <w:t>if</w:t>
      </w:r>
      <w:r>
        <w:rPr>
          <w:spacing w:val="-2"/>
          <w:sz w:val="20"/>
        </w:rPr>
        <w:t> </w:t>
      </w:r>
      <w:r>
        <w:rPr>
          <w:sz w:val="20"/>
        </w:rPr>
        <w:t>resource</w:t>
      </w:r>
      <w:r>
        <w:rPr>
          <w:spacing w:val="-2"/>
          <w:sz w:val="20"/>
        </w:rPr>
        <w:t> </w:t>
      </w:r>
      <w:r>
        <w:rPr>
          <w:sz w:val="20"/>
        </w:rPr>
        <w:t>use</w:t>
      </w:r>
      <w:r>
        <w:rPr>
          <w:spacing w:val="-2"/>
          <w:sz w:val="20"/>
        </w:rPr>
        <w:t> </w:t>
      </w:r>
      <w:r>
        <w:rPr>
          <w:sz w:val="20"/>
        </w:rPr>
        <w:t>when</w:t>
      </w:r>
      <w:r>
        <w:rPr>
          <w:spacing w:val="-1"/>
          <w:sz w:val="20"/>
        </w:rPr>
        <w:t> </w:t>
      </w:r>
      <w:r>
        <w:rPr>
          <w:sz w:val="20"/>
        </w:rPr>
        <w:t>the</w:t>
      </w:r>
      <w:r>
        <w:rPr>
          <w:spacing w:val="-2"/>
          <w:sz w:val="20"/>
        </w:rPr>
        <w:t> </w:t>
      </w:r>
      <w:r>
        <w:rPr>
          <w:sz w:val="20"/>
        </w:rPr>
        <w:t>National</w:t>
      </w:r>
      <w:r>
        <w:rPr>
          <w:spacing w:val="-1"/>
          <w:sz w:val="20"/>
        </w:rPr>
        <w:t> </w:t>
      </w:r>
      <w:r>
        <w:rPr>
          <w:sz w:val="20"/>
        </w:rPr>
        <w:t>Efficient Price</w:t>
      </w:r>
      <w:r>
        <w:rPr>
          <w:spacing w:val="-2"/>
          <w:sz w:val="20"/>
        </w:rPr>
        <w:t> </w:t>
      </w:r>
      <w:r>
        <w:rPr>
          <w:sz w:val="20"/>
        </w:rPr>
        <w:t>is</w:t>
      </w:r>
      <w:r>
        <w:rPr>
          <w:spacing w:val="-2"/>
          <w:sz w:val="20"/>
        </w:rPr>
        <w:t> </w:t>
      </w:r>
      <w:r>
        <w:rPr>
          <w:sz w:val="20"/>
        </w:rPr>
        <w:t>applied.</w:t>
      </w:r>
    </w:p>
    <w:p>
      <w:pPr>
        <w:pStyle w:val="BodyText"/>
        <w:spacing w:line="276" w:lineRule="auto" w:before="201"/>
        <w:ind w:left="860" w:right="1236"/>
      </w:pPr>
      <w:r>
        <w:rPr/>
        <w:t>There is a lag in the availability of NHMD data of at least one year. Therefore, unless the</w:t>
      </w:r>
      <w:r>
        <w:rPr>
          <w:spacing w:val="1"/>
        </w:rPr>
        <w:t> </w:t>
      </w:r>
      <w:r>
        <w:rPr/>
        <w:t>timeliness of the data improves, post-enrolment NHMD data for HCH participants will be</w:t>
      </w:r>
      <w:r>
        <w:rPr>
          <w:spacing w:val="1"/>
        </w:rPr>
        <w:t> </w:t>
      </w:r>
      <w:r>
        <w:rPr/>
        <w:t>limited. Nevertheless, the availability of these data is important for evaluating subsequent</w:t>
      </w:r>
      <w:r>
        <w:rPr>
          <w:spacing w:val="1"/>
        </w:rPr>
        <w:t> </w:t>
      </w:r>
      <w:r>
        <w:rPr/>
        <w:t>rollouts</w:t>
      </w:r>
      <w:r>
        <w:rPr>
          <w:spacing w:val="-3"/>
        </w:rPr>
        <w:t> </w:t>
      </w:r>
      <w:r>
        <w:rPr/>
        <w:t>of</w:t>
      </w:r>
      <w:r>
        <w:rPr>
          <w:spacing w:val="-3"/>
        </w:rPr>
        <w:t> </w:t>
      </w:r>
      <w:r>
        <w:rPr/>
        <w:t>the</w:t>
      </w:r>
      <w:r>
        <w:rPr>
          <w:spacing w:val="-3"/>
        </w:rPr>
        <w:t> </w:t>
      </w:r>
      <w:r>
        <w:rPr/>
        <w:t>Program,</w:t>
      </w:r>
      <w:r>
        <w:rPr>
          <w:spacing w:val="-4"/>
        </w:rPr>
        <w:t> </w:t>
      </w:r>
      <w:r>
        <w:rPr/>
        <w:t>and</w:t>
      </w:r>
      <w:r>
        <w:rPr>
          <w:spacing w:val="-3"/>
        </w:rPr>
        <w:t> </w:t>
      </w:r>
      <w:r>
        <w:rPr/>
        <w:t>thus</w:t>
      </w:r>
      <w:r>
        <w:rPr>
          <w:spacing w:val="-1"/>
        </w:rPr>
        <w:t> </w:t>
      </w:r>
      <w:r>
        <w:rPr/>
        <w:t>the</w:t>
      </w:r>
      <w:r>
        <w:rPr>
          <w:spacing w:val="-3"/>
        </w:rPr>
        <w:t> </w:t>
      </w:r>
      <w:r>
        <w:rPr/>
        <w:t>infrastructure</w:t>
      </w:r>
      <w:r>
        <w:rPr>
          <w:spacing w:val="-2"/>
        </w:rPr>
        <w:t> </w:t>
      </w:r>
      <w:r>
        <w:rPr/>
        <w:t>for</w:t>
      </w:r>
      <w:r>
        <w:rPr>
          <w:spacing w:val="-3"/>
        </w:rPr>
        <w:t> </w:t>
      </w:r>
      <w:r>
        <w:rPr/>
        <w:t>accessing</w:t>
      </w:r>
      <w:r>
        <w:rPr>
          <w:spacing w:val="-3"/>
        </w:rPr>
        <w:t> </w:t>
      </w:r>
      <w:r>
        <w:rPr/>
        <w:t>it</w:t>
      </w:r>
      <w:r>
        <w:rPr>
          <w:spacing w:val="2"/>
        </w:rPr>
        <w:t> </w:t>
      </w:r>
      <w:r>
        <w:rPr/>
        <w:t>needs</w:t>
      </w:r>
      <w:r>
        <w:rPr>
          <w:spacing w:val="-2"/>
        </w:rPr>
        <w:t> </w:t>
      </w:r>
      <w:r>
        <w:rPr/>
        <w:t>to</w:t>
      </w:r>
      <w:r>
        <w:rPr>
          <w:spacing w:val="-3"/>
        </w:rPr>
        <w:t> </w:t>
      </w:r>
      <w:r>
        <w:rPr/>
        <w:t>be</w:t>
      </w:r>
      <w:r>
        <w:rPr>
          <w:spacing w:val="-3"/>
        </w:rPr>
        <w:t> </w:t>
      </w:r>
      <w:r>
        <w:rPr/>
        <w:t>established.</w:t>
      </w:r>
    </w:p>
    <w:p>
      <w:pPr>
        <w:pStyle w:val="Heading5"/>
        <w:spacing w:line="276" w:lineRule="auto"/>
        <w:ind w:right="1455"/>
      </w:pPr>
      <w:r>
        <w:rPr>
          <w:color w:val="003C79"/>
        </w:rPr>
        <w:t>National non-admitted</w:t>
      </w:r>
      <w:r>
        <w:rPr>
          <w:color w:val="003C79"/>
          <w:spacing w:val="-3"/>
        </w:rPr>
        <w:t> </w:t>
      </w:r>
      <w:r>
        <w:rPr>
          <w:color w:val="003C79"/>
        </w:rPr>
        <w:t>patient</w:t>
      </w:r>
      <w:r>
        <w:rPr>
          <w:color w:val="003C79"/>
          <w:spacing w:val="-8"/>
        </w:rPr>
        <w:t> </w:t>
      </w:r>
      <w:r>
        <w:rPr>
          <w:color w:val="003C79"/>
        </w:rPr>
        <w:t>emergency</w:t>
      </w:r>
      <w:r>
        <w:rPr>
          <w:color w:val="003C79"/>
          <w:spacing w:val="-5"/>
        </w:rPr>
        <w:t> </w:t>
      </w:r>
      <w:r>
        <w:rPr>
          <w:color w:val="003C79"/>
        </w:rPr>
        <w:t>department</w:t>
      </w:r>
      <w:r>
        <w:rPr>
          <w:color w:val="003C79"/>
          <w:spacing w:val="-8"/>
        </w:rPr>
        <w:t> </w:t>
      </w:r>
      <w:r>
        <w:rPr>
          <w:color w:val="003C79"/>
        </w:rPr>
        <w:t>care</w:t>
      </w:r>
      <w:r>
        <w:rPr>
          <w:color w:val="003C79"/>
          <w:spacing w:val="-4"/>
        </w:rPr>
        <w:t> </w:t>
      </w:r>
      <w:r>
        <w:rPr>
          <w:color w:val="003C79"/>
        </w:rPr>
        <w:t>database</w:t>
      </w:r>
      <w:r>
        <w:rPr>
          <w:color w:val="003C79"/>
          <w:spacing w:val="-63"/>
        </w:rPr>
        <w:t> </w:t>
      </w:r>
      <w:r>
        <w:rPr>
          <w:color w:val="003C79"/>
        </w:rPr>
        <w:t>(NAPEDCD)</w:t>
      </w:r>
    </w:p>
    <w:p>
      <w:pPr>
        <w:pStyle w:val="BodyText"/>
        <w:spacing w:line="276" w:lineRule="auto"/>
        <w:ind w:left="860" w:right="1188"/>
      </w:pPr>
      <w:r>
        <w:rPr/>
        <w:t>The NAPEDCD is compiled by the AIHW from data supplied by the state and territory health</w:t>
      </w:r>
      <w:r>
        <w:rPr>
          <w:spacing w:val="1"/>
        </w:rPr>
        <w:t> </w:t>
      </w:r>
      <w:r>
        <w:rPr/>
        <w:t>authorities. It is a collection of electronic summary records for presentations to public hospital</w:t>
      </w:r>
      <w:r>
        <w:rPr>
          <w:spacing w:val="-53"/>
        </w:rPr>
        <w:t> </w:t>
      </w:r>
      <w:r>
        <w:rPr/>
        <w:t>emergency departments. The data include records for non-admitted patients registered for</w:t>
      </w:r>
      <w:r>
        <w:rPr>
          <w:spacing w:val="1"/>
        </w:rPr>
        <w:t> </w:t>
      </w:r>
      <w:r>
        <w:rPr/>
        <w:t>care in emergency departments in selected public hospitals that are classified as either peer</w:t>
      </w:r>
      <w:r>
        <w:rPr>
          <w:spacing w:val="-53"/>
        </w:rPr>
        <w:t> </w:t>
      </w:r>
      <w:r>
        <w:rPr/>
        <w:t>group A or B (Principal referral and specialist women's and children's hospitals or Large</w:t>
      </w:r>
      <w:r>
        <w:rPr>
          <w:spacing w:val="1"/>
        </w:rPr>
        <w:t> </w:t>
      </w:r>
      <w:r>
        <w:rPr/>
        <w:t>hospitals) from all Australian jurisdictions, as well as data for smaller hospitals from some</w:t>
      </w:r>
      <w:r>
        <w:rPr>
          <w:spacing w:val="1"/>
        </w:rPr>
        <w:t> </w:t>
      </w:r>
      <w:r>
        <w:rPr/>
        <w:t>jurisdictions. The proportion of public hospital emergency departments covered by the</w:t>
      </w:r>
      <w:r>
        <w:rPr>
          <w:spacing w:val="1"/>
        </w:rPr>
        <w:t> </w:t>
      </w:r>
      <w:r>
        <w:rPr/>
        <w:t>NAPEDCD</w:t>
      </w:r>
      <w:r>
        <w:rPr>
          <w:spacing w:val="-1"/>
        </w:rPr>
        <w:t> </w:t>
      </w:r>
      <w:r>
        <w:rPr/>
        <w:t>is</w:t>
      </w:r>
      <w:r>
        <w:rPr>
          <w:spacing w:val="-2"/>
        </w:rPr>
        <w:t> </w:t>
      </w:r>
      <w:r>
        <w:rPr/>
        <w:t>estimated</w:t>
      </w:r>
      <w:r>
        <w:rPr>
          <w:spacing w:val="-1"/>
        </w:rPr>
        <w:t> </w:t>
      </w:r>
      <w:r>
        <w:rPr/>
        <w:t>to</w:t>
      </w:r>
      <w:r>
        <w:rPr>
          <w:spacing w:val="-5"/>
        </w:rPr>
        <w:t> </w:t>
      </w:r>
      <w:r>
        <w:rPr/>
        <w:t>be</w:t>
      </w:r>
      <w:r>
        <w:rPr>
          <w:spacing w:val="1"/>
        </w:rPr>
        <w:t> </w:t>
      </w:r>
      <w:r>
        <w:rPr/>
        <w:t>about</w:t>
      </w:r>
      <w:r>
        <w:rPr>
          <w:spacing w:val="1"/>
        </w:rPr>
        <w:t> </w:t>
      </w:r>
      <w:r>
        <w:rPr/>
        <w:t>85%.</w:t>
      </w:r>
      <w:r>
        <w:rPr>
          <w:spacing w:val="-2"/>
        </w:rPr>
        <w:t> </w:t>
      </w:r>
      <w:r>
        <w:rPr/>
        <w:t>The</w:t>
      </w:r>
      <w:r>
        <w:rPr>
          <w:spacing w:val="-1"/>
        </w:rPr>
        <w:t> </w:t>
      </w:r>
      <w:r>
        <w:rPr/>
        <w:t>information</w:t>
      </w:r>
      <w:r>
        <w:rPr>
          <w:spacing w:val="-1"/>
        </w:rPr>
        <w:t> </w:t>
      </w:r>
      <w:r>
        <w:rPr/>
        <w:t>reported</w:t>
      </w:r>
      <w:r>
        <w:rPr>
          <w:spacing w:val="-2"/>
        </w:rPr>
        <w:t> </w:t>
      </w:r>
      <w:r>
        <w:rPr/>
        <w:t>includes:</w:t>
      </w:r>
    </w:p>
    <w:p>
      <w:pPr>
        <w:pStyle w:val="ListParagraph"/>
        <w:numPr>
          <w:ilvl w:val="0"/>
          <w:numId w:val="17"/>
        </w:numPr>
        <w:tabs>
          <w:tab w:pos="1573" w:val="left" w:leader="none"/>
          <w:tab w:pos="1574" w:val="left" w:leader="none"/>
        </w:tabs>
        <w:spacing w:line="240" w:lineRule="auto" w:before="200" w:after="0"/>
        <w:ind w:left="1573" w:right="0" w:hanging="356"/>
        <w:jc w:val="left"/>
        <w:rPr>
          <w:sz w:val="20"/>
        </w:rPr>
      </w:pPr>
      <w:r>
        <w:rPr>
          <w:sz w:val="20"/>
        </w:rPr>
        <w:t>patient</w:t>
      </w:r>
      <w:r>
        <w:rPr>
          <w:spacing w:val="-5"/>
          <w:sz w:val="20"/>
        </w:rPr>
        <w:t> </w:t>
      </w:r>
      <w:r>
        <w:rPr>
          <w:sz w:val="20"/>
        </w:rPr>
        <w:t>demographics</w:t>
      </w:r>
    </w:p>
    <w:p>
      <w:pPr>
        <w:pStyle w:val="ListParagraph"/>
        <w:numPr>
          <w:ilvl w:val="0"/>
          <w:numId w:val="17"/>
        </w:numPr>
        <w:tabs>
          <w:tab w:pos="1573" w:val="left" w:leader="none"/>
          <w:tab w:pos="1574" w:val="left" w:leader="none"/>
        </w:tabs>
        <w:spacing w:line="240" w:lineRule="auto" w:before="38" w:after="0"/>
        <w:ind w:left="1573" w:right="0" w:hanging="356"/>
        <w:jc w:val="left"/>
        <w:rPr>
          <w:sz w:val="20"/>
        </w:rPr>
      </w:pPr>
      <w:r>
        <w:rPr>
          <w:sz w:val="20"/>
        </w:rPr>
        <w:t>mode</w:t>
      </w:r>
      <w:r>
        <w:rPr>
          <w:spacing w:val="-1"/>
          <w:sz w:val="20"/>
        </w:rPr>
        <w:t> </w:t>
      </w:r>
      <w:r>
        <w:rPr>
          <w:sz w:val="20"/>
        </w:rPr>
        <w:t>of</w:t>
      </w:r>
      <w:r>
        <w:rPr>
          <w:spacing w:val="-3"/>
          <w:sz w:val="20"/>
        </w:rPr>
        <w:t> </w:t>
      </w:r>
      <w:r>
        <w:rPr>
          <w:sz w:val="20"/>
        </w:rPr>
        <w:t>arrival</w:t>
      </w:r>
    </w:p>
    <w:p>
      <w:pPr>
        <w:pStyle w:val="ListParagraph"/>
        <w:numPr>
          <w:ilvl w:val="0"/>
          <w:numId w:val="17"/>
        </w:numPr>
        <w:tabs>
          <w:tab w:pos="1573" w:val="left" w:leader="none"/>
          <w:tab w:pos="1574" w:val="left" w:leader="none"/>
        </w:tabs>
        <w:spacing w:line="240" w:lineRule="auto" w:before="36" w:after="0"/>
        <w:ind w:left="1573" w:right="0" w:hanging="356"/>
        <w:jc w:val="left"/>
        <w:rPr>
          <w:sz w:val="20"/>
        </w:rPr>
      </w:pPr>
      <w:r>
        <w:rPr>
          <w:sz w:val="20"/>
        </w:rPr>
        <w:t>urgency</w:t>
      </w:r>
      <w:r>
        <w:rPr>
          <w:spacing w:val="-4"/>
          <w:sz w:val="20"/>
        </w:rPr>
        <w:t> </w:t>
      </w:r>
      <w:r>
        <w:rPr>
          <w:sz w:val="20"/>
        </w:rPr>
        <w:t>(triage)</w:t>
      </w:r>
      <w:r>
        <w:rPr>
          <w:spacing w:val="-4"/>
          <w:sz w:val="20"/>
        </w:rPr>
        <w:t> </w:t>
      </w:r>
      <w:r>
        <w:rPr>
          <w:sz w:val="20"/>
        </w:rPr>
        <w:t>category</w:t>
      </w:r>
    </w:p>
    <w:p>
      <w:pPr>
        <w:pStyle w:val="ListParagraph"/>
        <w:numPr>
          <w:ilvl w:val="0"/>
          <w:numId w:val="17"/>
        </w:numPr>
        <w:tabs>
          <w:tab w:pos="1573" w:val="left" w:leader="none"/>
          <w:tab w:pos="1574" w:val="left" w:leader="none"/>
        </w:tabs>
        <w:spacing w:line="240" w:lineRule="auto" w:before="38" w:after="0"/>
        <w:ind w:left="1573" w:right="0" w:hanging="356"/>
        <w:jc w:val="left"/>
        <w:rPr>
          <w:sz w:val="20"/>
        </w:rPr>
      </w:pPr>
      <w:r>
        <w:rPr>
          <w:sz w:val="20"/>
        </w:rPr>
        <w:t>episode</w:t>
      </w:r>
      <w:r>
        <w:rPr>
          <w:spacing w:val="-4"/>
          <w:sz w:val="20"/>
        </w:rPr>
        <w:t> </w:t>
      </w:r>
      <w:r>
        <w:rPr>
          <w:sz w:val="20"/>
        </w:rPr>
        <w:t>end</w:t>
      </w:r>
      <w:r>
        <w:rPr>
          <w:spacing w:val="-4"/>
          <w:sz w:val="20"/>
        </w:rPr>
        <w:t> </w:t>
      </w:r>
      <w:r>
        <w:rPr>
          <w:sz w:val="20"/>
        </w:rPr>
        <w:t>status</w:t>
      </w:r>
      <w:r>
        <w:rPr>
          <w:spacing w:val="-2"/>
          <w:sz w:val="20"/>
        </w:rPr>
        <w:t> </w:t>
      </w:r>
      <w:r>
        <w:rPr>
          <w:sz w:val="20"/>
        </w:rPr>
        <w:t>(i.e.</w:t>
      </w:r>
      <w:r>
        <w:rPr>
          <w:spacing w:val="-5"/>
          <w:sz w:val="20"/>
        </w:rPr>
        <w:t> </w:t>
      </w:r>
      <w:r>
        <w:rPr>
          <w:sz w:val="20"/>
        </w:rPr>
        <w:t>admitted</w:t>
      </w:r>
      <w:r>
        <w:rPr>
          <w:spacing w:val="-4"/>
          <w:sz w:val="20"/>
        </w:rPr>
        <w:t> </w:t>
      </w:r>
      <w:r>
        <w:rPr>
          <w:sz w:val="20"/>
        </w:rPr>
        <w:t>to</w:t>
      </w:r>
      <w:r>
        <w:rPr>
          <w:spacing w:val="-4"/>
          <w:sz w:val="20"/>
        </w:rPr>
        <w:t> </w:t>
      </w:r>
      <w:r>
        <w:rPr>
          <w:sz w:val="20"/>
        </w:rPr>
        <w:t>hospital</w:t>
      </w:r>
      <w:r>
        <w:rPr>
          <w:spacing w:val="-2"/>
          <w:sz w:val="20"/>
        </w:rPr>
        <w:t> </w:t>
      </w:r>
      <w:r>
        <w:rPr>
          <w:sz w:val="20"/>
        </w:rPr>
        <w:t>or</w:t>
      </w:r>
      <w:r>
        <w:rPr>
          <w:spacing w:val="-4"/>
          <w:sz w:val="20"/>
        </w:rPr>
        <w:t> </w:t>
      </w:r>
      <w:r>
        <w:rPr>
          <w:sz w:val="20"/>
        </w:rPr>
        <w:t>discharged</w:t>
      </w:r>
      <w:r>
        <w:rPr>
          <w:spacing w:val="-3"/>
          <w:sz w:val="20"/>
        </w:rPr>
        <w:t> </w:t>
      </w:r>
      <w:r>
        <w:rPr>
          <w:sz w:val="20"/>
        </w:rPr>
        <w:t>home)</w:t>
      </w:r>
    </w:p>
    <w:p>
      <w:pPr>
        <w:pStyle w:val="ListParagraph"/>
        <w:numPr>
          <w:ilvl w:val="0"/>
          <w:numId w:val="17"/>
        </w:numPr>
        <w:tabs>
          <w:tab w:pos="1573" w:val="left" w:leader="none"/>
          <w:tab w:pos="1574" w:val="left" w:leader="none"/>
        </w:tabs>
        <w:spacing w:line="276" w:lineRule="auto" w:before="35" w:after="0"/>
        <w:ind w:left="1573" w:right="2191" w:hanging="356"/>
        <w:jc w:val="left"/>
        <w:rPr>
          <w:sz w:val="20"/>
        </w:rPr>
      </w:pPr>
      <w:r>
        <w:rPr>
          <w:sz w:val="20"/>
        </w:rPr>
        <w:t>diagnosis (which may be coded using ICD-10-AM or earlier revisions, or the</w:t>
      </w:r>
      <w:r>
        <w:rPr>
          <w:spacing w:val="1"/>
          <w:sz w:val="20"/>
        </w:rPr>
        <w:t> </w:t>
      </w:r>
      <w:r>
        <w:rPr>
          <w:sz w:val="20"/>
        </w:rPr>
        <w:t>Systematized Nomenclature of Medicine - Clinical Terms - Australian version</w:t>
      </w:r>
      <w:r>
        <w:rPr>
          <w:spacing w:val="-53"/>
          <w:sz w:val="20"/>
        </w:rPr>
        <w:t> </w:t>
      </w:r>
      <w:r>
        <w:rPr>
          <w:sz w:val="20"/>
        </w:rPr>
        <w:t>[SNOMED-CT-AU])</w:t>
      </w:r>
    </w:p>
    <w:p>
      <w:pPr>
        <w:pStyle w:val="ListParagraph"/>
        <w:numPr>
          <w:ilvl w:val="0"/>
          <w:numId w:val="17"/>
        </w:numPr>
        <w:tabs>
          <w:tab w:pos="1573" w:val="left" w:leader="none"/>
          <w:tab w:pos="1574" w:val="left" w:leader="none"/>
        </w:tabs>
        <w:spacing w:line="276" w:lineRule="auto" w:before="1" w:after="0"/>
        <w:ind w:left="1573" w:right="1289" w:hanging="356"/>
        <w:jc w:val="left"/>
        <w:rPr>
          <w:sz w:val="20"/>
        </w:rPr>
      </w:pPr>
      <w:r>
        <w:rPr>
          <w:sz w:val="20"/>
        </w:rPr>
        <w:t>Urgency Related Groups, which group patients into resource homogenous classes</w:t>
      </w:r>
      <w:r>
        <w:rPr>
          <w:spacing w:val="1"/>
          <w:sz w:val="20"/>
        </w:rPr>
        <w:t> </w:t>
      </w:r>
      <w:r>
        <w:rPr>
          <w:sz w:val="20"/>
        </w:rPr>
        <w:t>using diagnosis, urgency and episode end status, and also allow the calculation of a</w:t>
      </w:r>
      <w:r>
        <w:rPr>
          <w:spacing w:val="-53"/>
          <w:sz w:val="20"/>
        </w:rPr>
        <w:t> </w:t>
      </w:r>
      <w:r>
        <w:rPr>
          <w:sz w:val="20"/>
        </w:rPr>
        <w:t>NWAU and</w:t>
      </w:r>
      <w:r>
        <w:rPr>
          <w:spacing w:val="-1"/>
          <w:sz w:val="20"/>
        </w:rPr>
        <w:t> </w:t>
      </w:r>
      <w:r>
        <w:rPr>
          <w:sz w:val="20"/>
        </w:rPr>
        <w:t>application</w:t>
      </w:r>
      <w:r>
        <w:rPr>
          <w:spacing w:val="-1"/>
          <w:sz w:val="20"/>
        </w:rPr>
        <w:t> </w:t>
      </w:r>
      <w:r>
        <w:rPr>
          <w:sz w:val="20"/>
        </w:rPr>
        <w:t>of</w:t>
      </w:r>
      <w:r>
        <w:rPr>
          <w:spacing w:val="-1"/>
          <w:sz w:val="20"/>
        </w:rPr>
        <w:t> </w:t>
      </w:r>
      <w:r>
        <w:rPr>
          <w:sz w:val="20"/>
        </w:rPr>
        <w:t>the</w:t>
      </w:r>
      <w:r>
        <w:rPr>
          <w:spacing w:val="-1"/>
          <w:sz w:val="20"/>
        </w:rPr>
        <w:t> </w:t>
      </w:r>
      <w:r>
        <w:rPr>
          <w:sz w:val="20"/>
        </w:rPr>
        <w:t>National</w:t>
      </w:r>
      <w:r>
        <w:rPr>
          <w:spacing w:val="-1"/>
          <w:sz w:val="20"/>
        </w:rPr>
        <w:t> </w:t>
      </w:r>
      <w:r>
        <w:rPr>
          <w:sz w:val="20"/>
        </w:rPr>
        <w:t>Efficient</w:t>
      </w:r>
      <w:r>
        <w:rPr>
          <w:spacing w:val="1"/>
          <w:sz w:val="20"/>
        </w:rPr>
        <w:t> </w:t>
      </w:r>
      <w:r>
        <w:rPr>
          <w:sz w:val="20"/>
        </w:rPr>
        <w:t>Price.</w:t>
      </w:r>
    </w:p>
    <w:p>
      <w:pPr>
        <w:pStyle w:val="BodyText"/>
        <w:spacing w:line="276" w:lineRule="auto" w:before="201"/>
        <w:ind w:left="860" w:right="1451"/>
      </w:pPr>
      <w:r>
        <w:rPr/>
        <w:t>Emergency department diagnoses will not be investigated, as the multiple coding systems</w:t>
      </w:r>
      <w:r>
        <w:rPr>
          <w:spacing w:val="-53"/>
        </w:rPr>
        <w:t> </w:t>
      </w:r>
      <w:r>
        <w:rPr/>
        <w:t>used by departments/ states make this an insurmountable task within the scope of this</w:t>
      </w:r>
      <w:r>
        <w:rPr>
          <w:spacing w:val="1"/>
        </w:rPr>
        <w:t> </w:t>
      </w:r>
      <w:r>
        <w:rPr/>
        <w:t>project.</w:t>
      </w:r>
    </w:p>
    <w:p>
      <w:pPr>
        <w:pStyle w:val="BodyText"/>
        <w:spacing w:line="276" w:lineRule="auto" w:before="201"/>
        <w:ind w:left="860" w:right="1428"/>
      </w:pPr>
      <w:r>
        <w:rPr/>
        <w:t>There is a lag in the availability of NAPEDCD data of about four months. As with the NHMD,</w:t>
      </w:r>
      <w:r>
        <w:rPr>
          <w:spacing w:val="-53"/>
        </w:rPr>
        <w:t> </w:t>
      </w:r>
      <w:r>
        <w:rPr/>
        <w:t>unless the timeliness of the data improves, post-enrolment NAPEDCD data for HCH</w:t>
      </w:r>
      <w:r>
        <w:rPr>
          <w:spacing w:val="1"/>
        </w:rPr>
        <w:t> </w:t>
      </w:r>
      <w:r>
        <w:rPr/>
        <w:t>participants</w:t>
      </w:r>
      <w:r>
        <w:rPr>
          <w:spacing w:val="-1"/>
        </w:rPr>
        <w:t> </w:t>
      </w:r>
      <w:r>
        <w:rPr/>
        <w:t>will be</w:t>
      </w:r>
      <w:r>
        <w:rPr>
          <w:spacing w:val="-1"/>
        </w:rPr>
        <w:t> </w:t>
      </w:r>
      <w:r>
        <w:rPr/>
        <w:t>limited.</w:t>
      </w:r>
    </w:p>
    <w:p>
      <w:pPr>
        <w:pStyle w:val="Heading5"/>
        <w:spacing w:before="198"/>
      </w:pPr>
      <w:r>
        <w:rPr>
          <w:color w:val="003C79"/>
        </w:rPr>
        <w:t>National Aged</w:t>
      </w:r>
      <w:r>
        <w:rPr>
          <w:color w:val="003C79"/>
          <w:spacing w:val="-2"/>
        </w:rPr>
        <w:t> </w:t>
      </w:r>
      <w:r>
        <w:rPr>
          <w:color w:val="003C79"/>
        </w:rPr>
        <w:t>Care</w:t>
      </w:r>
      <w:r>
        <w:rPr>
          <w:color w:val="003C79"/>
          <w:spacing w:val="-3"/>
        </w:rPr>
        <w:t> </w:t>
      </w:r>
      <w:r>
        <w:rPr>
          <w:color w:val="003C79"/>
        </w:rPr>
        <w:t>Data</w:t>
      </w:r>
      <w:r>
        <w:rPr>
          <w:color w:val="003C79"/>
          <w:spacing w:val="-4"/>
        </w:rPr>
        <w:t> </w:t>
      </w:r>
      <w:r>
        <w:rPr>
          <w:color w:val="003C79"/>
        </w:rPr>
        <w:t>Clearinghouse</w:t>
      </w:r>
      <w:r>
        <w:rPr>
          <w:color w:val="003C79"/>
          <w:spacing w:val="-5"/>
        </w:rPr>
        <w:t> </w:t>
      </w:r>
      <w:r>
        <w:rPr>
          <w:color w:val="003C79"/>
        </w:rPr>
        <w:t>(NACDC)</w:t>
      </w:r>
    </w:p>
    <w:p>
      <w:pPr>
        <w:pStyle w:val="BodyText"/>
        <w:spacing w:line="276" w:lineRule="auto" w:before="44"/>
        <w:ind w:left="860" w:right="1236"/>
      </w:pPr>
      <w:r>
        <w:rPr/>
        <w:t>The</w:t>
      </w:r>
      <w:r>
        <w:rPr>
          <w:spacing w:val="-5"/>
        </w:rPr>
        <w:t> </w:t>
      </w:r>
      <w:r>
        <w:rPr/>
        <w:t>National</w:t>
      </w:r>
      <w:r>
        <w:rPr>
          <w:spacing w:val="-2"/>
        </w:rPr>
        <w:t> </w:t>
      </w:r>
      <w:r>
        <w:rPr/>
        <w:t>Aged</w:t>
      </w:r>
      <w:r>
        <w:rPr>
          <w:spacing w:val="-2"/>
        </w:rPr>
        <w:t> </w:t>
      </w:r>
      <w:r>
        <w:rPr/>
        <w:t>Care</w:t>
      </w:r>
      <w:r>
        <w:rPr>
          <w:spacing w:val="-2"/>
        </w:rPr>
        <w:t> </w:t>
      </w:r>
      <w:r>
        <w:rPr/>
        <w:t>Data</w:t>
      </w:r>
      <w:r>
        <w:rPr>
          <w:spacing w:val="-4"/>
        </w:rPr>
        <w:t> </w:t>
      </w:r>
      <w:r>
        <w:rPr/>
        <w:t>Clearinghouse</w:t>
      </w:r>
      <w:r>
        <w:rPr>
          <w:spacing w:val="-3"/>
        </w:rPr>
        <w:t> </w:t>
      </w:r>
      <w:r>
        <w:rPr/>
        <w:t>(NACDC)</w:t>
      </w:r>
      <w:r>
        <w:rPr>
          <w:spacing w:val="-6"/>
        </w:rPr>
        <w:t> </w:t>
      </w:r>
      <w:r>
        <w:rPr/>
        <w:t>is</w:t>
      </w:r>
      <w:r>
        <w:rPr>
          <w:spacing w:val="-5"/>
        </w:rPr>
        <w:t> </w:t>
      </w:r>
      <w:r>
        <w:rPr/>
        <w:t>a</w:t>
      </w:r>
      <w:r>
        <w:rPr>
          <w:spacing w:val="-5"/>
        </w:rPr>
        <w:t> </w:t>
      </w:r>
      <w:r>
        <w:rPr/>
        <w:t>central,</w:t>
      </w:r>
      <w:r>
        <w:rPr>
          <w:spacing w:val="-6"/>
        </w:rPr>
        <w:t> </w:t>
      </w:r>
      <w:r>
        <w:rPr/>
        <w:t>independent</w:t>
      </w:r>
      <w:r>
        <w:rPr>
          <w:spacing w:val="-3"/>
        </w:rPr>
        <w:t> </w:t>
      </w:r>
      <w:r>
        <w:rPr/>
        <w:t>repository</w:t>
      </w:r>
      <w:r>
        <w:rPr>
          <w:spacing w:val="-53"/>
        </w:rPr>
        <w:t> </w:t>
      </w:r>
      <w:r>
        <w:rPr/>
        <w:t>of national aged care data, managed by the AIHW. It coordinates data collection from</w:t>
      </w:r>
      <w:r>
        <w:rPr>
          <w:spacing w:val="1"/>
        </w:rPr>
        <w:t> </w:t>
      </w:r>
      <w:r>
        <w:rPr/>
        <w:t>various agencies and departments and creates data sets from the information that is</w:t>
      </w:r>
      <w:r>
        <w:rPr>
          <w:spacing w:val="1"/>
        </w:rPr>
        <w:t> </w:t>
      </w:r>
      <w:r>
        <w:rPr/>
        <w:t>collected.</w:t>
      </w:r>
      <w:r>
        <w:rPr>
          <w:spacing w:val="-3"/>
        </w:rPr>
        <w:t> </w:t>
      </w:r>
      <w:r>
        <w:rPr/>
        <w:t>The</w:t>
      </w:r>
      <w:r>
        <w:rPr>
          <w:spacing w:val="-1"/>
        </w:rPr>
        <w:t> </w:t>
      </w:r>
      <w:r>
        <w:rPr/>
        <w:t>type</w:t>
      </w:r>
      <w:r>
        <w:rPr>
          <w:spacing w:val="2"/>
        </w:rPr>
        <w:t> </w:t>
      </w:r>
      <w:r>
        <w:rPr/>
        <w:t>of</w:t>
      </w:r>
      <w:r>
        <w:rPr>
          <w:spacing w:val="-2"/>
        </w:rPr>
        <w:t> </w:t>
      </w:r>
      <w:r>
        <w:rPr/>
        <w:t>information captured</w:t>
      </w:r>
      <w:r>
        <w:rPr>
          <w:spacing w:val="-1"/>
        </w:rPr>
        <w:t> </w:t>
      </w:r>
      <w:r>
        <w:rPr/>
        <w:t>includes:</w:t>
      </w:r>
    </w:p>
    <w:p>
      <w:pPr>
        <w:pStyle w:val="ListParagraph"/>
        <w:numPr>
          <w:ilvl w:val="0"/>
          <w:numId w:val="17"/>
        </w:numPr>
        <w:tabs>
          <w:tab w:pos="1573" w:val="left" w:leader="none"/>
          <w:tab w:pos="1574" w:val="left" w:leader="none"/>
        </w:tabs>
        <w:spacing w:line="276" w:lineRule="auto" w:before="202" w:after="0"/>
        <w:ind w:left="1573" w:right="1205" w:hanging="356"/>
        <w:jc w:val="left"/>
        <w:rPr>
          <w:sz w:val="20"/>
        </w:rPr>
      </w:pPr>
      <w:r>
        <w:rPr>
          <w:sz w:val="20"/>
        </w:rPr>
        <w:t>people in aged care (as obtained from assessment records), such as by age, sex and</w:t>
      </w:r>
      <w:r>
        <w:rPr>
          <w:spacing w:val="-53"/>
          <w:sz w:val="20"/>
        </w:rPr>
        <w:t> </w:t>
      </w:r>
      <w:r>
        <w:rPr>
          <w:sz w:val="20"/>
        </w:rPr>
        <w:t>marital</w:t>
      </w:r>
      <w:r>
        <w:rPr>
          <w:spacing w:val="-1"/>
          <w:sz w:val="20"/>
        </w:rPr>
        <w:t> </w:t>
      </w:r>
      <w:r>
        <w:rPr>
          <w:sz w:val="20"/>
        </w:rPr>
        <w:t>status</w:t>
      </w:r>
    </w:p>
    <w:p>
      <w:pPr>
        <w:pStyle w:val="ListParagraph"/>
        <w:numPr>
          <w:ilvl w:val="0"/>
          <w:numId w:val="17"/>
        </w:numPr>
        <w:tabs>
          <w:tab w:pos="1573" w:val="left" w:leader="none"/>
          <w:tab w:pos="1574" w:val="left" w:leader="none"/>
        </w:tabs>
        <w:spacing w:line="276" w:lineRule="auto" w:before="0" w:after="0"/>
        <w:ind w:left="1573" w:right="1243" w:hanging="356"/>
        <w:jc w:val="left"/>
        <w:rPr>
          <w:sz w:val="20"/>
        </w:rPr>
      </w:pPr>
      <w:r>
        <w:rPr>
          <w:sz w:val="20"/>
        </w:rPr>
        <w:t>type of aged care service received, and care needs and conditions that affect care</w:t>
      </w:r>
      <w:r>
        <w:rPr>
          <w:spacing w:val="-54"/>
          <w:sz w:val="20"/>
        </w:rPr>
        <w:t> </w:t>
      </w:r>
      <w:r>
        <w:rPr>
          <w:sz w:val="20"/>
        </w:rPr>
        <w:t>needs</w:t>
      </w:r>
      <w:r>
        <w:rPr>
          <w:spacing w:val="1"/>
          <w:sz w:val="20"/>
        </w:rPr>
        <w:t> </w:t>
      </w:r>
      <w:r>
        <w:rPr>
          <w:sz w:val="20"/>
        </w:rPr>
        <w:t>(such</w:t>
      </w:r>
      <w:r>
        <w:rPr>
          <w:spacing w:val="-1"/>
          <w:sz w:val="20"/>
        </w:rPr>
        <w:t> </w:t>
      </w:r>
      <w:r>
        <w:rPr>
          <w:sz w:val="20"/>
        </w:rPr>
        <w:t>as</w:t>
      </w:r>
      <w:r>
        <w:rPr>
          <w:spacing w:val="-1"/>
          <w:sz w:val="20"/>
        </w:rPr>
        <w:t> </w:t>
      </w:r>
      <w:r>
        <w:rPr>
          <w:sz w:val="20"/>
        </w:rPr>
        <w:t>those</w:t>
      </w:r>
      <w:r>
        <w:rPr>
          <w:spacing w:val="-2"/>
          <w:sz w:val="20"/>
        </w:rPr>
        <w:t> </w:t>
      </w:r>
      <w:r>
        <w:rPr>
          <w:sz w:val="20"/>
        </w:rPr>
        <w:t>recorded in</w:t>
      </w:r>
      <w:r>
        <w:rPr>
          <w:spacing w:val="-1"/>
          <w:sz w:val="20"/>
        </w:rPr>
        <w:t> </w:t>
      </w:r>
      <w:r>
        <w:rPr>
          <w:sz w:val="20"/>
        </w:rPr>
        <w:t>the</w:t>
      </w:r>
      <w:r>
        <w:rPr>
          <w:spacing w:val="2"/>
          <w:sz w:val="20"/>
        </w:rPr>
        <w:t> </w:t>
      </w:r>
      <w:r>
        <w:rPr>
          <w:sz w:val="20"/>
        </w:rPr>
        <w:t>ACFI),</w:t>
      </w:r>
      <w:r>
        <w:rPr>
          <w:spacing w:val="-2"/>
          <w:sz w:val="20"/>
        </w:rPr>
        <w:t> </w:t>
      </w:r>
      <w:r>
        <w:rPr>
          <w:sz w:val="20"/>
        </w:rPr>
        <w:t>where</w:t>
      </w:r>
      <w:r>
        <w:rPr>
          <w:spacing w:val="-1"/>
          <w:sz w:val="20"/>
        </w:rPr>
        <w:t> </w:t>
      </w:r>
      <w:r>
        <w:rPr>
          <w:sz w:val="20"/>
        </w:rPr>
        <w:t>applicable</w:t>
      </w:r>
    </w:p>
    <w:p>
      <w:pPr>
        <w:spacing w:after="0" w:line="276" w:lineRule="auto"/>
        <w:jc w:val="left"/>
        <w:rPr>
          <w:sz w:val="20"/>
        </w:rPr>
        <w:sectPr>
          <w:pgSz w:w="11910" w:h="16840"/>
          <w:pgMar w:header="0" w:footer="675" w:top="1340" w:bottom="860" w:left="580" w:right="280"/>
        </w:sectPr>
      </w:pPr>
    </w:p>
    <w:p>
      <w:pPr>
        <w:pStyle w:val="ListParagraph"/>
        <w:numPr>
          <w:ilvl w:val="0"/>
          <w:numId w:val="17"/>
        </w:numPr>
        <w:tabs>
          <w:tab w:pos="1573" w:val="left" w:leader="none"/>
          <w:tab w:pos="1574" w:val="left" w:leader="none"/>
        </w:tabs>
        <w:spacing w:line="240" w:lineRule="auto" w:before="82" w:after="0"/>
        <w:ind w:left="1573" w:right="0" w:hanging="356"/>
        <w:jc w:val="left"/>
        <w:rPr>
          <w:sz w:val="20"/>
        </w:rPr>
      </w:pPr>
      <w:r>
        <w:rPr>
          <w:sz w:val="20"/>
        </w:rPr>
        <w:t>admissions</w:t>
      </w:r>
      <w:r>
        <w:rPr>
          <w:spacing w:val="-4"/>
          <w:sz w:val="20"/>
        </w:rPr>
        <w:t> </w:t>
      </w:r>
      <w:r>
        <w:rPr>
          <w:sz w:val="20"/>
        </w:rPr>
        <w:t>and</w:t>
      </w:r>
      <w:r>
        <w:rPr>
          <w:spacing w:val="-3"/>
          <w:sz w:val="20"/>
        </w:rPr>
        <w:t> </w:t>
      </w:r>
      <w:r>
        <w:rPr>
          <w:sz w:val="20"/>
        </w:rPr>
        <w:t>separations,</w:t>
      </w:r>
      <w:r>
        <w:rPr>
          <w:spacing w:val="-5"/>
          <w:sz w:val="20"/>
        </w:rPr>
        <w:t> </w:t>
      </w:r>
      <w:r>
        <w:rPr>
          <w:sz w:val="20"/>
        </w:rPr>
        <w:t>by</w:t>
      </w:r>
      <w:r>
        <w:rPr>
          <w:spacing w:val="-5"/>
          <w:sz w:val="20"/>
        </w:rPr>
        <w:t> </w:t>
      </w:r>
      <w:r>
        <w:rPr>
          <w:sz w:val="20"/>
        </w:rPr>
        <w:t>aged</w:t>
      </w:r>
      <w:r>
        <w:rPr>
          <w:spacing w:val="-4"/>
          <w:sz w:val="20"/>
        </w:rPr>
        <w:t> </w:t>
      </w:r>
      <w:r>
        <w:rPr>
          <w:sz w:val="20"/>
        </w:rPr>
        <w:t>care</w:t>
      </w:r>
      <w:r>
        <w:rPr>
          <w:spacing w:val="-1"/>
          <w:sz w:val="20"/>
        </w:rPr>
        <w:t> </w:t>
      </w:r>
      <w:r>
        <w:rPr>
          <w:sz w:val="20"/>
        </w:rPr>
        <w:t>service</w:t>
      </w:r>
      <w:r>
        <w:rPr>
          <w:spacing w:val="-1"/>
          <w:sz w:val="20"/>
        </w:rPr>
        <w:t> </w:t>
      </w:r>
      <w:r>
        <w:rPr>
          <w:sz w:val="20"/>
        </w:rPr>
        <w:t>type.</w:t>
      </w:r>
    </w:p>
    <w:p>
      <w:pPr>
        <w:pStyle w:val="BodyText"/>
        <w:spacing w:before="4"/>
        <w:rPr>
          <w:sz w:val="19"/>
        </w:rPr>
      </w:pPr>
    </w:p>
    <w:p>
      <w:pPr>
        <w:pStyle w:val="BodyText"/>
        <w:ind w:left="860"/>
      </w:pPr>
      <w:r>
        <w:rPr/>
        <w:t>For</w:t>
      </w:r>
      <w:r>
        <w:rPr>
          <w:spacing w:val="-4"/>
        </w:rPr>
        <w:t> </w:t>
      </w:r>
      <w:r>
        <w:rPr/>
        <w:t>the</w:t>
      </w:r>
      <w:r>
        <w:rPr>
          <w:spacing w:val="-3"/>
        </w:rPr>
        <w:t> </w:t>
      </w:r>
      <w:r>
        <w:rPr/>
        <w:t>evaluation</w:t>
      </w:r>
      <w:r>
        <w:rPr>
          <w:spacing w:val="-2"/>
        </w:rPr>
        <w:t> </w:t>
      </w:r>
      <w:r>
        <w:rPr/>
        <w:t>of</w:t>
      </w:r>
      <w:r>
        <w:rPr>
          <w:spacing w:val="-3"/>
        </w:rPr>
        <w:t> </w:t>
      </w:r>
      <w:r>
        <w:rPr/>
        <w:t>the</w:t>
      </w:r>
      <w:r>
        <w:rPr>
          <w:spacing w:val="-3"/>
        </w:rPr>
        <w:t> </w:t>
      </w:r>
      <w:r>
        <w:rPr/>
        <w:t>HCH</w:t>
      </w:r>
      <w:r>
        <w:rPr>
          <w:spacing w:val="-2"/>
        </w:rPr>
        <w:t> </w:t>
      </w:r>
      <w:r>
        <w:rPr/>
        <w:t>program,</w:t>
      </w:r>
      <w:r>
        <w:rPr>
          <w:spacing w:val="-3"/>
        </w:rPr>
        <w:t> </w:t>
      </w:r>
      <w:r>
        <w:rPr/>
        <w:t>data</w:t>
      </w:r>
      <w:r>
        <w:rPr>
          <w:spacing w:val="-2"/>
        </w:rPr>
        <w:t> </w:t>
      </w:r>
      <w:r>
        <w:rPr/>
        <w:t>from the</w:t>
      </w:r>
      <w:r>
        <w:rPr>
          <w:spacing w:val="1"/>
        </w:rPr>
        <w:t> </w:t>
      </w:r>
      <w:r>
        <w:rPr/>
        <w:t>NACDC</w:t>
      </w:r>
      <w:r>
        <w:rPr>
          <w:spacing w:val="-3"/>
        </w:rPr>
        <w:t> </w:t>
      </w:r>
      <w:r>
        <w:rPr/>
        <w:t>will</w:t>
      </w:r>
      <w:r>
        <w:rPr>
          <w:spacing w:val="-2"/>
        </w:rPr>
        <w:t> </w:t>
      </w:r>
      <w:r>
        <w:rPr/>
        <w:t>be</w:t>
      </w:r>
      <w:r>
        <w:rPr>
          <w:spacing w:val="-3"/>
        </w:rPr>
        <w:t> </w:t>
      </w:r>
      <w:r>
        <w:rPr/>
        <w:t>used</w:t>
      </w:r>
      <w:r>
        <w:rPr>
          <w:spacing w:val="-1"/>
        </w:rPr>
        <w:t> </w:t>
      </w:r>
      <w:r>
        <w:rPr/>
        <w:t>to:</w:t>
      </w:r>
    </w:p>
    <w:p>
      <w:pPr>
        <w:pStyle w:val="BodyText"/>
        <w:spacing w:before="4"/>
        <w:rPr>
          <w:sz w:val="19"/>
        </w:rPr>
      </w:pPr>
    </w:p>
    <w:p>
      <w:pPr>
        <w:pStyle w:val="ListParagraph"/>
        <w:numPr>
          <w:ilvl w:val="0"/>
          <w:numId w:val="17"/>
        </w:numPr>
        <w:tabs>
          <w:tab w:pos="1573" w:val="left" w:leader="none"/>
          <w:tab w:pos="1574" w:val="left" w:leader="none"/>
        </w:tabs>
        <w:spacing w:line="276" w:lineRule="auto" w:before="1" w:after="0"/>
        <w:ind w:left="1573" w:right="1803" w:hanging="356"/>
        <w:jc w:val="left"/>
        <w:rPr>
          <w:sz w:val="20"/>
        </w:rPr>
      </w:pPr>
      <w:r>
        <w:rPr>
          <w:sz w:val="20"/>
        </w:rPr>
        <w:t>Populate measures relating to time to entry to residential care for HCH patients,</w:t>
      </w:r>
      <w:r>
        <w:rPr>
          <w:spacing w:val="-53"/>
          <w:sz w:val="20"/>
        </w:rPr>
        <w:t> </w:t>
      </w:r>
      <w:r>
        <w:rPr>
          <w:sz w:val="20"/>
        </w:rPr>
        <w:t>compared</w:t>
      </w:r>
      <w:r>
        <w:rPr>
          <w:spacing w:val="-2"/>
          <w:sz w:val="20"/>
        </w:rPr>
        <w:t> </w:t>
      </w:r>
      <w:r>
        <w:rPr>
          <w:sz w:val="20"/>
        </w:rPr>
        <w:t>with matched</w:t>
      </w:r>
      <w:r>
        <w:rPr>
          <w:spacing w:val="-1"/>
          <w:sz w:val="20"/>
        </w:rPr>
        <w:t> </w:t>
      </w:r>
      <w:r>
        <w:rPr>
          <w:sz w:val="20"/>
        </w:rPr>
        <w:t>patients.</w:t>
      </w:r>
    </w:p>
    <w:p>
      <w:pPr>
        <w:pStyle w:val="ListParagraph"/>
        <w:numPr>
          <w:ilvl w:val="0"/>
          <w:numId w:val="17"/>
        </w:numPr>
        <w:tabs>
          <w:tab w:pos="1573" w:val="left" w:leader="none"/>
          <w:tab w:pos="1574" w:val="left" w:leader="none"/>
        </w:tabs>
        <w:spacing w:line="276" w:lineRule="auto" w:before="0" w:after="0"/>
        <w:ind w:left="1573" w:right="1372" w:hanging="356"/>
        <w:jc w:val="left"/>
        <w:rPr>
          <w:sz w:val="20"/>
        </w:rPr>
      </w:pPr>
      <w:r>
        <w:rPr>
          <w:sz w:val="20"/>
        </w:rPr>
        <w:t>Understand other related services that HCH patients are receiving, for example,</w:t>
      </w:r>
      <w:r>
        <w:rPr>
          <w:spacing w:val="1"/>
          <w:sz w:val="20"/>
        </w:rPr>
        <w:t> </w:t>
      </w:r>
      <w:r>
        <w:rPr>
          <w:sz w:val="20"/>
        </w:rPr>
        <w:t>home care packages. This will provide contextual information for interpretation of</w:t>
      </w:r>
      <w:r>
        <w:rPr>
          <w:spacing w:val="1"/>
          <w:sz w:val="20"/>
        </w:rPr>
        <w:t> </w:t>
      </w:r>
      <w:r>
        <w:rPr>
          <w:sz w:val="20"/>
        </w:rPr>
        <w:t>measures,</w:t>
      </w:r>
      <w:r>
        <w:rPr>
          <w:spacing w:val="-5"/>
          <w:sz w:val="20"/>
        </w:rPr>
        <w:t> </w:t>
      </w:r>
      <w:r>
        <w:rPr>
          <w:sz w:val="20"/>
        </w:rPr>
        <w:t>and</w:t>
      </w:r>
      <w:r>
        <w:rPr>
          <w:spacing w:val="-3"/>
          <w:sz w:val="20"/>
        </w:rPr>
        <w:t> </w:t>
      </w:r>
      <w:r>
        <w:rPr>
          <w:sz w:val="20"/>
        </w:rPr>
        <w:t>the</w:t>
      </w:r>
      <w:r>
        <w:rPr>
          <w:spacing w:val="-3"/>
          <w:sz w:val="20"/>
        </w:rPr>
        <w:t> </w:t>
      </w:r>
      <w:r>
        <w:rPr>
          <w:sz w:val="20"/>
        </w:rPr>
        <w:t>capacity</w:t>
      </w:r>
      <w:r>
        <w:rPr>
          <w:spacing w:val="-4"/>
          <w:sz w:val="20"/>
        </w:rPr>
        <w:t> </w:t>
      </w:r>
      <w:r>
        <w:rPr>
          <w:sz w:val="20"/>
        </w:rPr>
        <w:t>to</w:t>
      </w:r>
      <w:r>
        <w:rPr>
          <w:spacing w:val="-3"/>
          <w:sz w:val="20"/>
        </w:rPr>
        <w:t> </w:t>
      </w:r>
      <w:r>
        <w:rPr>
          <w:sz w:val="20"/>
        </w:rPr>
        <w:t>control</w:t>
      </w:r>
      <w:r>
        <w:rPr>
          <w:spacing w:val="-2"/>
          <w:sz w:val="20"/>
        </w:rPr>
        <w:t> </w:t>
      </w:r>
      <w:r>
        <w:rPr>
          <w:sz w:val="20"/>
        </w:rPr>
        <w:t>for</w:t>
      </w:r>
      <w:r>
        <w:rPr>
          <w:spacing w:val="-3"/>
          <w:sz w:val="20"/>
        </w:rPr>
        <w:t> </w:t>
      </w:r>
      <w:r>
        <w:rPr>
          <w:sz w:val="20"/>
        </w:rPr>
        <w:t>these</w:t>
      </w:r>
      <w:r>
        <w:rPr>
          <w:spacing w:val="-3"/>
          <w:sz w:val="20"/>
        </w:rPr>
        <w:t> </w:t>
      </w:r>
      <w:r>
        <w:rPr>
          <w:sz w:val="20"/>
        </w:rPr>
        <w:t>factors</w:t>
      </w:r>
      <w:r>
        <w:rPr>
          <w:spacing w:val="-2"/>
          <w:sz w:val="20"/>
        </w:rPr>
        <w:t> </w:t>
      </w:r>
      <w:r>
        <w:rPr>
          <w:sz w:val="20"/>
        </w:rPr>
        <w:t>when</w:t>
      </w:r>
      <w:r>
        <w:rPr>
          <w:spacing w:val="-2"/>
          <w:sz w:val="20"/>
        </w:rPr>
        <w:t> </w:t>
      </w:r>
      <w:r>
        <w:rPr>
          <w:sz w:val="20"/>
        </w:rPr>
        <w:t>comparing</w:t>
      </w:r>
      <w:r>
        <w:rPr>
          <w:spacing w:val="-5"/>
          <w:sz w:val="20"/>
        </w:rPr>
        <w:t> </w:t>
      </w:r>
      <w:r>
        <w:rPr>
          <w:sz w:val="20"/>
        </w:rPr>
        <w:t>measures.</w:t>
      </w:r>
    </w:p>
    <w:p>
      <w:pPr>
        <w:pStyle w:val="BodyText"/>
        <w:spacing w:line="276" w:lineRule="auto" w:before="198"/>
        <w:ind w:left="860" w:right="1175"/>
      </w:pPr>
      <w:r>
        <w:rPr/>
        <w:t>The data are refreshed annually to include the previous financial year ending in June (the</w:t>
      </w:r>
      <w:r>
        <w:rPr>
          <w:spacing w:val="1"/>
        </w:rPr>
        <w:t> </w:t>
      </w:r>
      <w:r>
        <w:rPr/>
        <w:t>refresh fully replaces historical data, where applicable). There is also a time lag of this data of</w:t>
      </w:r>
      <w:r>
        <w:rPr>
          <w:spacing w:val="-53"/>
        </w:rPr>
        <w:t> </w:t>
      </w:r>
      <w:r>
        <w:rPr/>
        <w:t>up</w:t>
      </w:r>
      <w:r>
        <w:rPr>
          <w:spacing w:val="-1"/>
        </w:rPr>
        <w:t> </w:t>
      </w:r>
      <w:r>
        <w:rPr/>
        <w:t>to</w:t>
      </w:r>
      <w:r>
        <w:rPr>
          <w:spacing w:val="-1"/>
        </w:rPr>
        <w:t> </w:t>
      </w:r>
      <w:r>
        <w:rPr/>
        <w:t>a year.</w:t>
      </w:r>
    </w:p>
    <w:p>
      <w:pPr>
        <w:spacing w:after="0" w:line="276" w:lineRule="auto"/>
        <w:sectPr>
          <w:pgSz w:w="11910" w:h="16840"/>
          <w:pgMar w:header="0" w:footer="675" w:top="1340" w:bottom="860" w:left="580" w:right="280"/>
        </w:sectPr>
      </w:pPr>
    </w:p>
    <w:p>
      <w:pPr>
        <w:pStyle w:val="BodyText"/>
      </w:pPr>
      <w:r>
        <w:rPr/>
        <w:pict>
          <v:group style="position:absolute;margin-left:20.164064pt;margin-top:1.599983pt;width:575.050pt;height:114.6pt;mso-position-horizontal-relative:page;mso-position-vertical-relative:page;z-index:-27544576" id="docshapegroup97" coordorigin="403,32" coordsize="11501,2292">
            <v:shape style="position:absolute;left:403;top:32;width:11501;height:1614" type="#_x0000_t75" id="docshape98" stroked="false">
              <v:imagedata r:id="rId32" o:title=""/>
            </v:shape>
            <v:shape style="position:absolute;left:10095;top:1142;width:1200;height:1155" id="docshape99" coordorigin="10095,1142" coordsize="1200,1155" path="m10695,1142l10620,1146,10547,1160,10478,1181,10413,1210,10352,1245,10297,1288,10246,1336,10202,1390,10165,1448,10135,1511,10113,1577,10100,1647,10095,1719,10100,1792,10113,1862,10135,1928,10165,1991,10202,2049,10246,2103,10297,2151,10352,2194,10413,2229,10478,2258,10547,2279,10620,2292,10695,2297,10770,2292,10843,2279,10912,2258,10977,2229,11038,2194,11093,2151,11144,2103,11188,2049,11225,1991,11255,1928,11277,1862,11290,1792,11295,1719,11290,1647,11277,1577,11255,1511,11225,1448,11188,1390,11144,1336,11093,1288,11038,1245,10977,1210,10912,1181,10843,1160,10770,1146,10695,1142xe" filled="true" fillcolor="#003c79" stroked="false">
              <v:path arrowok="t"/>
              <v:fill type="solid"/>
            </v:shape>
            <v:shape style="position:absolute;left:10095;top:1142;width:1200;height:1155" id="docshape100" coordorigin="10095,1142" coordsize="1200,1155" path="m10095,1719l10100,1647,10113,1577,10135,1511,10165,1448,10202,1390,10246,1336,10297,1288,10352,1245,10413,1210,10478,1181,10547,1160,10620,1146,10695,1142,10770,1146,10843,1160,10912,1181,10977,1210,11038,1245,11093,1288,11144,1336,11188,1390,11225,1448,11255,1511,11277,1577,11290,1647,11295,1719,11290,1792,11277,1862,11255,1928,11225,1991,11188,2049,11144,2103,11093,2151,11038,2194,10977,2229,10912,2258,10843,2279,10770,2292,10695,2297,10620,2292,10547,2279,10478,2258,10413,2229,10352,2194,10297,2151,10246,2103,10202,2049,10165,1991,10135,1928,10113,1862,10100,1792,10095,1719xe" filled="false" stroked="true" strokeweight="2.5pt" strokecolor="#003c79">
              <v:path arrowok="t"/>
              <v:stroke dashstyle="solid"/>
            </v:shape>
            <v:shape style="position:absolute;left:1440;top:1440;width:6396;height:883" type="#_x0000_t202" id="docshape101" filled="false" stroked="false">
              <v:textbox inset="0,0,0,0">
                <w:txbxContent>
                  <w:p>
                    <w:pPr>
                      <w:spacing w:before="0"/>
                      <w:ind w:left="0" w:right="0" w:firstLine="0"/>
                      <w:jc w:val="left"/>
                      <w:rPr>
                        <w:sz w:val="72"/>
                      </w:rPr>
                    </w:pPr>
                    <w:r>
                      <w:rPr>
                        <w:color w:val="003C79"/>
                        <w:sz w:val="72"/>
                      </w:rPr>
                      <w:t>Economic</w:t>
                    </w:r>
                    <w:r>
                      <w:rPr>
                        <w:color w:val="003C79"/>
                        <w:spacing w:val="-11"/>
                        <w:sz w:val="72"/>
                      </w:rPr>
                      <w:t> </w:t>
                    </w:r>
                    <w:r>
                      <w:rPr>
                        <w:color w:val="003C79"/>
                        <w:sz w:val="72"/>
                      </w:rPr>
                      <w:t>analysis</w:t>
                    </w:r>
                  </w:p>
                </w:txbxContent>
              </v:textbox>
              <w10:wrap type="none"/>
            </v:shape>
            <v:shape style="position:absolute;left:10574;top:1452;width:266;height:539" type="#_x0000_t202" id="docshape102" filled="false" stroked="false">
              <v:textbox inset="0,0,0,0">
                <w:txbxContent>
                  <w:p>
                    <w:pPr>
                      <w:spacing w:line="538" w:lineRule="exact" w:before="0"/>
                      <w:ind w:left="0" w:right="0" w:firstLine="0"/>
                      <w:jc w:val="left"/>
                      <w:rPr>
                        <w:b/>
                        <w:sz w:val="44"/>
                      </w:rPr>
                    </w:pPr>
                    <w:r>
                      <w:rPr>
                        <w:b/>
                        <w:color w:val="FFFFFF"/>
                        <w:w w:val="99"/>
                        <w:sz w:val="44"/>
                      </w:rPr>
                      <w:t>7</w:t>
                    </w:r>
                  </w:p>
                </w:txbxContent>
              </v:textbox>
              <w10:wrap type="none"/>
            </v:shape>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2"/>
        </w:rPr>
      </w:pPr>
    </w:p>
    <w:p>
      <w:pPr>
        <w:pStyle w:val="BodyText"/>
        <w:spacing w:line="276" w:lineRule="auto"/>
        <w:ind w:left="860" w:right="1426"/>
        <w:jc w:val="both"/>
      </w:pPr>
      <w:bookmarkStart w:name="_bookmark43" w:id="44"/>
      <w:bookmarkEnd w:id="44"/>
      <w:r>
        <w:rPr/>
      </w:r>
      <w:r>
        <w:rPr/>
        <w:t>The economic analysis will seek to answer key question 4: What are the financial effects of</w:t>
      </w:r>
      <w:r>
        <w:rPr>
          <w:spacing w:val="1"/>
        </w:rPr>
        <w:t> </w:t>
      </w:r>
      <w:r>
        <w:rPr/>
        <w:t>the HCH program on governments, providers and individuals? Specific questions that have</w:t>
      </w:r>
      <w:r>
        <w:rPr>
          <w:spacing w:val="-53"/>
        </w:rPr>
        <w:t> </w:t>
      </w:r>
      <w:r>
        <w:rPr/>
        <w:t>been</w:t>
      </w:r>
      <w:r>
        <w:rPr>
          <w:spacing w:val="-1"/>
        </w:rPr>
        <w:t> </w:t>
      </w:r>
      <w:r>
        <w:rPr/>
        <w:t>articulated</w:t>
      </w:r>
      <w:r>
        <w:rPr>
          <w:spacing w:val="-1"/>
        </w:rPr>
        <w:t> </w:t>
      </w:r>
      <w:r>
        <w:rPr/>
        <w:t>in relation</w:t>
      </w:r>
      <w:r>
        <w:rPr>
          <w:spacing w:val="-1"/>
        </w:rPr>
        <w:t> </w:t>
      </w:r>
      <w:r>
        <w:rPr/>
        <w:t>to</w:t>
      </w:r>
      <w:r>
        <w:rPr>
          <w:spacing w:val="-1"/>
        </w:rPr>
        <w:t> </w:t>
      </w:r>
      <w:r>
        <w:rPr/>
        <w:t>this</w:t>
      </w:r>
      <w:r>
        <w:rPr>
          <w:spacing w:val="-1"/>
        </w:rPr>
        <w:t> </w:t>
      </w:r>
      <w:r>
        <w:rPr/>
        <w:t>key</w:t>
      </w:r>
      <w:r>
        <w:rPr>
          <w:spacing w:val="-2"/>
        </w:rPr>
        <w:t> </w:t>
      </w:r>
      <w:r>
        <w:rPr/>
        <w:t>question are</w:t>
      </w:r>
      <w:r>
        <w:rPr>
          <w:spacing w:val="-1"/>
        </w:rPr>
        <w:t> </w:t>
      </w:r>
      <w:r>
        <w:rPr/>
        <w:t>as</w:t>
      </w:r>
      <w:r>
        <w:rPr>
          <w:spacing w:val="-2"/>
        </w:rPr>
        <w:t> </w:t>
      </w:r>
      <w:r>
        <w:rPr/>
        <w:t>follows:</w:t>
      </w:r>
    </w:p>
    <w:p>
      <w:pPr>
        <w:pStyle w:val="ListParagraph"/>
        <w:numPr>
          <w:ilvl w:val="0"/>
          <w:numId w:val="17"/>
        </w:numPr>
        <w:tabs>
          <w:tab w:pos="1573" w:val="left" w:leader="none"/>
          <w:tab w:pos="1574" w:val="left" w:leader="none"/>
        </w:tabs>
        <w:spacing w:line="240" w:lineRule="auto" w:before="200" w:after="0"/>
        <w:ind w:left="1573" w:right="0" w:hanging="356"/>
        <w:jc w:val="left"/>
        <w:rPr>
          <w:sz w:val="20"/>
        </w:rPr>
      </w:pPr>
      <w:r>
        <w:rPr>
          <w:sz w:val="20"/>
        </w:rPr>
        <w:t>What</w:t>
      </w:r>
      <w:r>
        <w:rPr>
          <w:spacing w:val="-1"/>
          <w:sz w:val="20"/>
        </w:rPr>
        <w:t> </w:t>
      </w:r>
      <w:r>
        <w:rPr>
          <w:sz w:val="20"/>
        </w:rPr>
        <w:t>is</w:t>
      </w:r>
      <w:r>
        <w:rPr>
          <w:spacing w:val="-6"/>
          <w:sz w:val="20"/>
        </w:rPr>
        <w:t> </w:t>
      </w:r>
      <w:r>
        <w:rPr>
          <w:sz w:val="20"/>
        </w:rPr>
        <w:t>the</w:t>
      </w:r>
      <w:r>
        <w:rPr>
          <w:spacing w:val="-3"/>
          <w:sz w:val="20"/>
        </w:rPr>
        <w:t> </w:t>
      </w:r>
      <w:r>
        <w:rPr>
          <w:sz w:val="20"/>
        </w:rPr>
        <w:t>cost</w:t>
      </w:r>
      <w:r>
        <w:rPr>
          <w:spacing w:val="-1"/>
          <w:sz w:val="20"/>
        </w:rPr>
        <w:t> </w:t>
      </w:r>
      <w:r>
        <w:rPr>
          <w:sz w:val="20"/>
        </w:rPr>
        <w:t>to</w:t>
      </w:r>
      <w:r>
        <w:rPr>
          <w:spacing w:val="-3"/>
          <w:sz w:val="20"/>
        </w:rPr>
        <w:t> </w:t>
      </w:r>
      <w:r>
        <w:rPr>
          <w:sz w:val="20"/>
        </w:rPr>
        <w:t>governments</w:t>
      </w:r>
      <w:r>
        <w:rPr>
          <w:spacing w:val="-2"/>
          <w:sz w:val="20"/>
        </w:rPr>
        <w:t> </w:t>
      </w:r>
      <w:r>
        <w:rPr>
          <w:sz w:val="20"/>
        </w:rPr>
        <w:t>of</w:t>
      </w:r>
      <w:r>
        <w:rPr>
          <w:spacing w:val="-3"/>
          <w:sz w:val="20"/>
        </w:rPr>
        <w:t> </w:t>
      </w:r>
      <w:r>
        <w:rPr>
          <w:sz w:val="20"/>
        </w:rPr>
        <w:t>care</w:t>
      </w:r>
      <w:r>
        <w:rPr>
          <w:spacing w:val="-3"/>
          <w:sz w:val="20"/>
        </w:rPr>
        <w:t> </w:t>
      </w:r>
      <w:r>
        <w:rPr>
          <w:sz w:val="20"/>
        </w:rPr>
        <w:t>for</w:t>
      </w:r>
      <w:r>
        <w:rPr>
          <w:spacing w:val="-3"/>
          <w:sz w:val="20"/>
        </w:rPr>
        <w:t> </w:t>
      </w:r>
      <w:r>
        <w:rPr>
          <w:sz w:val="20"/>
        </w:rPr>
        <w:t>HCH</w:t>
      </w:r>
      <w:r>
        <w:rPr>
          <w:spacing w:val="-2"/>
          <w:sz w:val="20"/>
        </w:rPr>
        <w:t> </w:t>
      </w:r>
      <w:r>
        <w:rPr>
          <w:sz w:val="20"/>
        </w:rPr>
        <w:t>enrolled</w:t>
      </w:r>
      <w:r>
        <w:rPr>
          <w:spacing w:val="3"/>
          <w:sz w:val="20"/>
        </w:rPr>
        <w:t> </w:t>
      </w:r>
      <w:r>
        <w:rPr>
          <w:sz w:val="20"/>
        </w:rPr>
        <w:t>patients?</w:t>
      </w:r>
    </w:p>
    <w:p>
      <w:pPr>
        <w:pStyle w:val="ListParagraph"/>
        <w:numPr>
          <w:ilvl w:val="0"/>
          <w:numId w:val="17"/>
        </w:numPr>
        <w:tabs>
          <w:tab w:pos="1573" w:val="left" w:leader="none"/>
          <w:tab w:pos="1574" w:val="left" w:leader="none"/>
        </w:tabs>
        <w:spacing w:line="240" w:lineRule="auto" w:before="36" w:after="0"/>
        <w:ind w:left="1573" w:right="0" w:hanging="356"/>
        <w:jc w:val="left"/>
        <w:rPr>
          <w:sz w:val="20"/>
        </w:rPr>
      </w:pPr>
      <w:r>
        <w:rPr>
          <w:sz w:val="20"/>
        </w:rPr>
        <w:t>What</w:t>
      </w:r>
      <w:r>
        <w:rPr>
          <w:spacing w:val="-2"/>
          <w:sz w:val="20"/>
        </w:rPr>
        <w:t> </w:t>
      </w:r>
      <w:r>
        <w:rPr>
          <w:sz w:val="20"/>
        </w:rPr>
        <w:t>is</w:t>
      </w:r>
      <w:r>
        <w:rPr>
          <w:spacing w:val="-6"/>
          <w:sz w:val="20"/>
        </w:rPr>
        <w:t> </w:t>
      </w:r>
      <w:r>
        <w:rPr>
          <w:sz w:val="20"/>
        </w:rPr>
        <w:t>the</w:t>
      </w:r>
      <w:r>
        <w:rPr>
          <w:spacing w:val="-4"/>
          <w:sz w:val="20"/>
        </w:rPr>
        <w:t> </w:t>
      </w:r>
      <w:r>
        <w:rPr>
          <w:sz w:val="20"/>
        </w:rPr>
        <w:t>impact</w:t>
      </w:r>
      <w:r>
        <w:rPr>
          <w:spacing w:val="-2"/>
          <w:sz w:val="20"/>
        </w:rPr>
        <w:t> </w:t>
      </w:r>
      <w:r>
        <w:rPr>
          <w:sz w:val="20"/>
        </w:rPr>
        <w:t>of HCH</w:t>
      </w:r>
      <w:r>
        <w:rPr>
          <w:spacing w:val="-3"/>
          <w:sz w:val="20"/>
        </w:rPr>
        <w:t> </w:t>
      </w:r>
      <w:r>
        <w:rPr>
          <w:sz w:val="20"/>
        </w:rPr>
        <w:t>enrolment</w:t>
      </w:r>
      <w:r>
        <w:rPr>
          <w:spacing w:val="-1"/>
          <w:sz w:val="20"/>
        </w:rPr>
        <w:t> </w:t>
      </w:r>
      <w:r>
        <w:rPr>
          <w:sz w:val="20"/>
        </w:rPr>
        <w:t>on</w:t>
      </w:r>
      <w:r>
        <w:rPr>
          <w:spacing w:val="-3"/>
          <w:sz w:val="20"/>
        </w:rPr>
        <w:t> </w:t>
      </w:r>
      <w:r>
        <w:rPr>
          <w:sz w:val="20"/>
        </w:rPr>
        <w:t>patient</w:t>
      </w:r>
      <w:r>
        <w:rPr>
          <w:spacing w:val="-2"/>
          <w:sz w:val="20"/>
        </w:rPr>
        <w:t> </w:t>
      </w:r>
      <w:r>
        <w:rPr>
          <w:sz w:val="20"/>
        </w:rPr>
        <w:t>out-of-pocket</w:t>
      </w:r>
      <w:r>
        <w:rPr>
          <w:spacing w:val="-1"/>
          <w:sz w:val="20"/>
        </w:rPr>
        <w:t> </w:t>
      </w:r>
      <w:r>
        <w:rPr>
          <w:sz w:val="20"/>
        </w:rPr>
        <w:t>costs?</w:t>
      </w:r>
    </w:p>
    <w:p>
      <w:pPr>
        <w:pStyle w:val="ListParagraph"/>
        <w:numPr>
          <w:ilvl w:val="0"/>
          <w:numId w:val="17"/>
        </w:numPr>
        <w:tabs>
          <w:tab w:pos="1573" w:val="left" w:leader="none"/>
          <w:tab w:pos="1574" w:val="left" w:leader="none"/>
        </w:tabs>
        <w:spacing w:line="276" w:lineRule="auto" w:before="38" w:after="0"/>
        <w:ind w:left="1573" w:right="1250" w:hanging="356"/>
        <w:jc w:val="left"/>
        <w:rPr>
          <w:sz w:val="20"/>
        </w:rPr>
      </w:pPr>
      <w:r>
        <w:rPr>
          <w:sz w:val="20"/>
        </w:rPr>
        <w:t>What</w:t>
      </w:r>
      <w:r>
        <w:rPr>
          <w:spacing w:val="-1"/>
          <w:sz w:val="20"/>
        </w:rPr>
        <w:t> </w:t>
      </w:r>
      <w:r>
        <w:rPr>
          <w:sz w:val="20"/>
        </w:rPr>
        <w:t>is</w:t>
      </w:r>
      <w:r>
        <w:rPr>
          <w:spacing w:val="-6"/>
          <w:sz w:val="20"/>
        </w:rPr>
        <w:t> </w:t>
      </w:r>
      <w:r>
        <w:rPr>
          <w:sz w:val="20"/>
        </w:rPr>
        <w:t>the</w:t>
      </w:r>
      <w:r>
        <w:rPr>
          <w:spacing w:val="-3"/>
          <w:sz w:val="20"/>
        </w:rPr>
        <w:t> </w:t>
      </w:r>
      <w:r>
        <w:rPr>
          <w:sz w:val="20"/>
        </w:rPr>
        <w:t>cost</w:t>
      </w:r>
      <w:r>
        <w:rPr>
          <w:spacing w:val="-1"/>
          <w:sz w:val="20"/>
        </w:rPr>
        <w:t> </w:t>
      </w:r>
      <w:r>
        <w:rPr>
          <w:sz w:val="20"/>
        </w:rPr>
        <w:t>to</w:t>
      </w:r>
      <w:r>
        <w:rPr>
          <w:spacing w:val="-3"/>
          <w:sz w:val="20"/>
        </w:rPr>
        <w:t> </w:t>
      </w:r>
      <w:r>
        <w:rPr>
          <w:sz w:val="20"/>
        </w:rPr>
        <w:t>governments</w:t>
      </w:r>
      <w:r>
        <w:rPr>
          <w:spacing w:val="-3"/>
          <w:sz w:val="20"/>
        </w:rPr>
        <w:t> </w:t>
      </w:r>
      <w:r>
        <w:rPr>
          <w:sz w:val="20"/>
        </w:rPr>
        <w:t>of</w:t>
      </w:r>
      <w:r>
        <w:rPr>
          <w:spacing w:val="-3"/>
          <w:sz w:val="20"/>
        </w:rPr>
        <w:t> </w:t>
      </w:r>
      <w:r>
        <w:rPr>
          <w:sz w:val="20"/>
        </w:rPr>
        <w:t>care</w:t>
      </w:r>
      <w:r>
        <w:rPr>
          <w:spacing w:val="-3"/>
          <w:sz w:val="20"/>
        </w:rPr>
        <w:t> </w:t>
      </w:r>
      <w:r>
        <w:rPr>
          <w:sz w:val="20"/>
        </w:rPr>
        <w:t>for</w:t>
      </w:r>
      <w:r>
        <w:rPr>
          <w:spacing w:val="-2"/>
          <w:sz w:val="20"/>
        </w:rPr>
        <w:t> </w:t>
      </w:r>
      <w:r>
        <w:rPr>
          <w:sz w:val="20"/>
        </w:rPr>
        <w:t>HCH</w:t>
      </w:r>
      <w:r>
        <w:rPr>
          <w:spacing w:val="-2"/>
          <w:sz w:val="20"/>
        </w:rPr>
        <w:t> </w:t>
      </w:r>
      <w:r>
        <w:rPr>
          <w:sz w:val="20"/>
        </w:rPr>
        <w:t>enrolled</w:t>
      </w:r>
      <w:r>
        <w:rPr>
          <w:spacing w:val="-3"/>
          <w:sz w:val="20"/>
        </w:rPr>
        <w:t> </w:t>
      </w:r>
      <w:r>
        <w:rPr>
          <w:sz w:val="20"/>
        </w:rPr>
        <w:t>patients,</w:t>
      </w:r>
      <w:r>
        <w:rPr>
          <w:spacing w:val="-6"/>
          <w:sz w:val="20"/>
        </w:rPr>
        <w:t> </w:t>
      </w:r>
      <w:r>
        <w:rPr>
          <w:sz w:val="20"/>
        </w:rPr>
        <w:t>net</w:t>
      </w:r>
      <w:r>
        <w:rPr>
          <w:spacing w:val="-1"/>
          <w:sz w:val="20"/>
        </w:rPr>
        <w:t> </w:t>
      </w:r>
      <w:r>
        <w:rPr>
          <w:sz w:val="20"/>
        </w:rPr>
        <w:t>of</w:t>
      </w:r>
      <w:r>
        <w:rPr>
          <w:spacing w:val="-3"/>
          <w:sz w:val="20"/>
        </w:rPr>
        <w:t> </w:t>
      </w:r>
      <w:r>
        <w:rPr>
          <w:sz w:val="20"/>
        </w:rPr>
        <w:t>savings</w:t>
      </w:r>
      <w:r>
        <w:rPr>
          <w:spacing w:val="-3"/>
          <w:sz w:val="20"/>
        </w:rPr>
        <w:t> </w:t>
      </w:r>
      <w:r>
        <w:rPr>
          <w:sz w:val="20"/>
        </w:rPr>
        <w:t>due</w:t>
      </w:r>
      <w:r>
        <w:rPr>
          <w:spacing w:val="-52"/>
          <w:sz w:val="20"/>
        </w:rPr>
        <w:t> </w:t>
      </w:r>
      <w:r>
        <w:rPr>
          <w:sz w:val="20"/>
        </w:rPr>
        <w:t>to</w:t>
      </w:r>
      <w:r>
        <w:rPr>
          <w:spacing w:val="-2"/>
          <w:sz w:val="20"/>
        </w:rPr>
        <w:t> </w:t>
      </w:r>
      <w:r>
        <w:rPr>
          <w:sz w:val="20"/>
        </w:rPr>
        <w:t>reduced hospitalisation</w:t>
      </w:r>
      <w:r>
        <w:rPr>
          <w:spacing w:val="-1"/>
          <w:sz w:val="20"/>
        </w:rPr>
        <w:t> </w:t>
      </w:r>
      <w:r>
        <w:rPr>
          <w:sz w:val="20"/>
        </w:rPr>
        <w:t>and</w:t>
      </w:r>
      <w:r>
        <w:rPr>
          <w:spacing w:val="-1"/>
          <w:sz w:val="20"/>
        </w:rPr>
        <w:t> </w:t>
      </w:r>
      <w:r>
        <w:rPr>
          <w:sz w:val="20"/>
        </w:rPr>
        <w:t>other</w:t>
      </w:r>
      <w:r>
        <w:rPr>
          <w:spacing w:val="-1"/>
          <w:sz w:val="20"/>
        </w:rPr>
        <w:t> </w:t>
      </w:r>
      <w:r>
        <w:rPr>
          <w:sz w:val="20"/>
        </w:rPr>
        <w:t>health</w:t>
      </w:r>
      <w:r>
        <w:rPr>
          <w:spacing w:val="-2"/>
          <w:sz w:val="20"/>
        </w:rPr>
        <w:t> </w:t>
      </w:r>
      <w:r>
        <w:rPr>
          <w:sz w:val="20"/>
        </w:rPr>
        <w:t>services?</w:t>
      </w:r>
    </w:p>
    <w:p>
      <w:pPr>
        <w:pStyle w:val="ListParagraph"/>
        <w:numPr>
          <w:ilvl w:val="0"/>
          <w:numId w:val="17"/>
        </w:numPr>
        <w:tabs>
          <w:tab w:pos="1573" w:val="left" w:leader="none"/>
          <w:tab w:pos="1574" w:val="left" w:leader="none"/>
        </w:tabs>
        <w:spacing w:line="240" w:lineRule="auto" w:before="0" w:after="0"/>
        <w:ind w:left="1573" w:right="0" w:hanging="356"/>
        <w:jc w:val="left"/>
        <w:rPr>
          <w:sz w:val="20"/>
        </w:rPr>
      </w:pPr>
      <w:r>
        <w:rPr>
          <w:sz w:val="20"/>
        </w:rPr>
        <w:t>Does</w:t>
      </w:r>
      <w:r>
        <w:rPr>
          <w:spacing w:val="-4"/>
          <w:sz w:val="20"/>
        </w:rPr>
        <w:t> </w:t>
      </w:r>
      <w:r>
        <w:rPr>
          <w:sz w:val="20"/>
        </w:rPr>
        <w:t>the</w:t>
      </w:r>
      <w:r>
        <w:rPr>
          <w:spacing w:val="-3"/>
          <w:sz w:val="20"/>
        </w:rPr>
        <w:t> </w:t>
      </w:r>
      <w:r>
        <w:rPr>
          <w:sz w:val="20"/>
        </w:rPr>
        <w:t>HCH</w:t>
      </w:r>
      <w:r>
        <w:rPr>
          <w:spacing w:val="-3"/>
          <w:sz w:val="20"/>
        </w:rPr>
        <w:t> </w:t>
      </w:r>
      <w:r>
        <w:rPr>
          <w:sz w:val="20"/>
        </w:rPr>
        <w:t>program</w:t>
      </w:r>
      <w:r>
        <w:rPr>
          <w:spacing w:val="-3"/>
          <w:sz w:val="20"/>
        </w:rPr>
        <w:t> </w:t>
      </w:r>
      <w:r>
        <w:rPr>
          <w:sz w:val="20"/>
        </w:rPr>
        <w:t>deliver</w:t>
      </w:r>
      <w:r>
        <w:rPr>
          <w:spacing w:val="-4"/>
          <w:sz w:val="20"/>
        </w:rPr>
        <w:t> </w:t>
      </w:r>
      <w:r>
        <w:rPr>
          <w:sz w:val="20"/>
        </w:rPr>
        <w:t>value</w:t>
      </w:r>
      <w:r>
        <w:rPr>
          <w:spacing w:val="-3"/>
          <w:sz w:val="20"/>
        </w:rPr>
        <w:t> </w:t>
      </w:r>
      <w:r>
        <w:rPr>
          <w:sz w:val="20"/>
        </w:rPr>
        <w:t>for money?</w:t>
      </w:r>
    </w:p>
    <w:p>
      <w:pPr>
        <w:pStyle w:val="ListParagraph"/>
        <w:numPr>
          <w:ilvl w:val="0"/>
          <w:numId w:val="17"/>
        </w:numPr>
        <w:tabs>
          <w:tab w:pos="1573" w:val="left" w:leader="none"/>
          <w:tab w:pos="1574" w:val="left" w:leader="none"/>
        </w:tabs>
        <w:spacing w:line="240" w:lineRule="auto" w:before="36" w:after="0"/>
        <w:ind w:left="1573" w:right="0" w:hanging="356"/>
        <w:jc w:val="left"/>
        <w:rPr>
          <w:sz w:val="20"/>
        </w:rPr>
      </w:pPr>
      <w:r>
        <w:rPr>
          <w:sz w:val="20"/>
        </w:rPr>
        <w:t>What</w:t>
      </w:r>
      <w:r>
        <w:rPr>
          <w:spacing w:val="-3"/>
          <w:sz w:val="20"/>
        </w:rPr>
        <w:t> </w:t>
      </w:r>
      <w:r>
        <w:rPr>
          <w:sz w:val="20"/>
        </w:rPr>
        <w:t>are</w:t>
      </w:r>
      <w:r>
        <w:rPr>
          <w:spacing w:val="-4"/>
          <w:sz w:val="20"/>
        </w:rPr>
        <w:t> </w:t>
      </w:r>
      <w:r>
        <w:rPr>
          <w:sz w:val="20"/>
        </w:rPr>
        <w:t>the</w:t>
      </w:r>
      <w:r>
        <w:rPr>
          <w:spacing w:val="-4"/>
          <w:sz w:val="20"/>
        </w:rPr>
        <w:t> </w:t>
      </w:r>
      <w:r>
        <w:rPr>
          <w:sz w:val="20"/>
        </w:rPr>
        <w:t>costs</w:t>
      </w:r>
      <w:r>
        <w:rPr>
          <w:spacing w:val="-5"/>
          <w:sz w:val="20"/>
        </w:rPr>
        <w:t> </w:t>
      </w:r>
      <w:r>
        <w:rPr>
          <w:sz w:val="20"/>
        </w:rPr>
        <w:t>to</w:t>
      </w:r>
      <w:r>
        <w:rPr>
          <w:spacing w:val="-4"/>
          <w:sz w:val="20"/>
        </w:rPr>
        <w:t> </w:t>
      </w:r>
      <w:r>
        <w:rPr>
          <w:sz w:val="20"/>
        </w:rPr>
        <w:t>providers</w:t>
      </w:r>
      <w:r>
        <w:rPr>
          <w:spacing w:val="-4"/>
          <w:sz w:val="20"/>
        </w:rPr>
        <w:t> </w:t>
      </w:r>
      <w:r>
        <w:rPr>
          <w:sz w:val="20"/>
        </w:rPr>
        <w:t>of</w:t>
      </w:r>
      <w:r>
        <w:rPr>
          <w:spacing w:val="-2"/>
          <w:sz w:val="20"/>
        </w:rPr>
        <w:t> </w:t>
      </w:r>
      <w:r>
        <w:rPr>
          <w:sz w:val="20"/>
        </w:rPr>
        <w:t>delivering</w:t>
      </w:r>
      <w:r>
        <w:rPr>
          <w:spacing w:val="-5"/>
          <w:sz w:val="20"/>
        </w:rPr>
        <w:t> </w:t>
      </w:r>
      <w:r>
        <w:rPr>
          <w:sz w:val="20"/>
        </w:rPr>
        <w:t>HCH</w:t>
      </w:r>
      <w:r>
        <w:rPr>
          <w:spacing w:val="-1"/>
          <w:sz w:val="20"/>
        </w:rPr>
        <w:t> </w:t>
      </w:r>
      <w:r>
        <w:rPr>
          <w:sz w:val="20"/>
        </w:rPr>
        <w:t>programs?</w:t>
      </w:r>
    </w:p>
    <w:p>
      <w:pPr>
        <w:pStyle w:val="ListParagraph"/>
        <w:numPr>
          <w:ilvl w:val="0"/>
          <w:numId w:val="17"/>
        </w:numPr>
        <w:tabs>
          <w:tab w:pos="1573" w:val="left" w:leader="none"/>
          <w:tab w:pos="1574" w:val="left" w:leader="none"/>
        </w:tabs>
        <w:spacing w:line="240" w:lineRule="auto" w:before="38" w:after="0"/>
        <w:ind w:left="1573" w:right="0" w:hanging="356"/>
        <w:jc w:val="left"/>
        <w:rPr>
          <w:sz w:val="20"/>
        </w:rPr>
      </w:pPr>
      <w:r>
        <w:rPr>
          <w:sz w:val="20"/>
        </w:rPr>
        <w:t>Is</w:t>
      </w:r>
      <w:r>
        <w:rPr>
          <w:spacing w:val="-5"/>
          <w:sz w:val="20"/>
        </w:rPr>
        <w:t> </w:t>
      </w:r>
      <w:r>
        <w:rPr>
          <w:sz w:val="20"/>
        </w:rPr>
        <w:t>the</w:t>
      </w:r>
      <w:r>
        <w:rPr>
          <w:spacing w:val="-5"/>
          <w:sz w:val="20"/>
        </w:rPr>
        <w:t> </w:t>
      </w:r>
      <w:r>
        <w:rPr>
          <w:sz w:val="20"/>
        </w:rPr>
        <w:t>current</w:t>
      </w:r>
      <w:r>
        <w:rPr>
          <w:spacing w:val="-3"/>
          <w:sz w:val="20"/>
        </w:rPr>
        <w:t> </w:t>
      </w:r>
      <w:r>
        <w:rPr>
          <w:sz w:val="20"/>
        </w:rPr>
        <w:t>financial</w:t>
      </w:r>
      <w:r>
        <w:rPr>
          <w:spacing w:val="-4"/>
          <w:sz w:val="20"/>
        </w:rPr>
        <w:t> </w:t>
      </w:r>
      <w:r>
        <w:rPr>
          <w:sz w:val="20"/>
        </w:rPr>
        <w:t>model</w:t>
      </w:r>
      <w:r>
        <w:rPr>
          <w:spacing w:val="-3"/>
          <w:sz w:val="20"/>
        </w:rPr>
        <w:t> </w:t>
      </w:r>
      <w:r>
        <w:rPr>
          <w:sz w:val="20"/>
        </w:rPr>
        <w:t>sustainable?</w:t>
      </w:r>
    </w:p>
    <w:p>
      <w:pPr>
        <w:pStyle w:val="BodyText"/>
        <w:spacing w:before="4"/>
        <w:rPr>
          <w:sz w:val="19"/>
        </w:rPr>
      </w:pPr>
    </w:p>
    <w:p>
      <w:pPr>
        <w:pStyle w:val="BodyText"/>
        <w:ind w:left="860"/>
        <w:jc w:val="both"/>
      </w:pPr>
      <w:r>
        <w:rPr/>
        <w:t>The</w:t>
      </w:r>
      <w:r>
        <w:rPr>
          <w:spacing w:val="-4"/>
        </w:rPr>
        <w:t> </w:t>
      </w:r>
      <w:r>
        <w:rPr/>
        <w:t>approaches</w:t>
      </w:r>
      <w:r>
        <w:rPr>
          <w:spacing w:val="-3"/>
        </w:rPr>
        <w:t> </w:t>
      </w:r>
      <w:r>
        <w:rPr/>
        <w:t>to</w:t>
      </w:r>
      <w:r>
        <w:rPr>
          <w:spacing w:val="-4"/>
        </w:rPr>
        <w:t> </w:t>
      </w:r>
      <w:r>
        <w:rPr/>
        <w:t>answering</w:t>
      </w:r>
      <w:r>
        <w:rPr>
          <w:spacing w:val="-3"/>
        </w:rPr>
        <w:t> </w:t>
      </w:r>
      <w:r>
        <w:rPr/>
        <w:t>these</w:t>
      </w:r>
      <w:r>
        <w:rPr>
          <w:spacing w:val="-4"/>
        </w:rPr>
        <w:t> </w:t>
      </w:r>
      <w:r>
        <w:rPr/>
        <w:t>are</w:t>
      </w:r>
      <w:r>
        <w:rPr>
          <w:spacing w:val="-2"/>
        </w:rPr>
        <w:t> </w:t>
      </w:r>
      <w:r>
        <w:rPr/>
        <w:t>outlined</w:t>
      </w:r>
      <w:r>
        <w:rPr>
          <w:spacing w:val="-4"/>
        </w:rPr>
        <w:t> </w:t>
      </w:r>
      <w:r>
        <w:rPr/>
        <w:t>below.</w:t>
      </w:r>
    </w:p>
    <w:p>
      <w:pPr>
        <w:pStyle w:val="BodyText"/>
        <w:spacing w:before="4"/>
        <w:rPr>
          <w:sz w:val="19"/>
        </w:rPr>
      </w:pPr>
    </w:p>
    <w:p>
      <w:pPr>
        <w:pStyle w:val="Heading2"/>
        <w:jc w:val="both"/>
      </w:pPr>
      <w:bookmarkStart w:name="_bookmark44" w:id="45"/>
      <w:bookmarkEnd w:id="45"/>
      <w:r>
        <w:rPr/>
      </w:r>
      <w:r>
        <w:rPr>
          <w:color w:val="003C79"/>
        </w:rPr>
        <w:t>Cost</w:t>
      </w:r>
      <w:r>
        <w:rPr>
          <w:color w:val="003C79"/>
          <w:spacing w:val="-3"/>
        </w:rPr>
        <w:t> </w:t>
      </w:r>
      <w:r>
        <w:rPr>
          <w:color w:val="003C79"/>
        </w:rPr>
        <w:t>to governments</w:t>
      </w:r>
      <w:r>
        <w:rPr>
          <w:color w:val="003C79"/>
          <w:spacing w:val="-2"/>
        </w:rPr>
        <w:t> </w:t>
      </w:r>
      <w:r>
        <w:rPr>
          <w:color w:val="003C79"/>
        </w:rPr>
        <w:t>of</w:t>
      </w:r>
      <w:r>
        <w:rPr>
          <w:color w:val="003C79"/>
          <w:spacing w:val="-3"/>
        </w:rPr>
        <w:t> </w:t>
      </w:r>
      <w:r>
        <w:rPr>
          <w:color w:val="003C79"/>
        </w:rPr>
        <w:t>care</w:t>
      </w:r>
      <w:r>
        <w:rPr>
          <w:color w:val="003C79"/>
          <w:spacing w:val="-4"/>
        </w:rPr>
        <w:t> </w:t>
      </w:r>
      <w:r>
        <w:rPr>
          <w:color w:val="003C79"/>
        </w:rPr>
        <w:t>for</w:t>
      </w:r>
      <w:r>
        <w:rPr>
          <w:color w:val="003C79"/>
          <w:spacing w:val="-4"/>
        </w:rPr>
        <w:t> </w:t>
      </w:r>
      <w:r>
        <w:rPr>
          <w:color w:val="003C79"/>
        </w:rPr>
        <w:t>enrolled</w:t>
      </w:r>
      <w:r>
        <w:rPr>
          <w:color w:val="003C79"/>
          <w:spacing w:val="-3"/>
        </w:rPr>
        <w:t> </w:t>
      </w:r>
      <w:r>
        <w:rPr>
          <w:color w:val="003C79"/>
        </w:rPr>
        <w:t>patients</w:t>
      </w:r>
    </w:p>
    <w:p>
      <w:pPr>
        <w:pStyle w:val="BodyText"/>
        <w:spacing w:line="276" w:lineRule="auto" w:before="259"/>
        <w:ind w:left="860" w:right="1173"/>
      </w:pPr>
      <w:r>
        <w:rPr/>
        <w:t>The cost of care for enrolled patients includes the HCH capitation payment, additional MBS</w:t>
      </w:r>
      <w:r>
        <w:rPr>
          <w:spacing w:val="1"/>
        </w:rPr>
        <w:t> </w:t>
      </w:r>
      <w:r>
        <w:rPr/>
        <w:t>Items claimed, PBS items claimed, the costs of any hospitalisations, emergency department</w:t>
      </w:r>
      <w:r>
        <w:rPr>
          <w:spacing w:val="1"/>
        </w:rPr>
        <w:t> </w:t>
      </w:r>
      <w:r>
        <w:rPr/>
        <w:t>presentations, outpatient visits, and community health services. Under the Australian</w:t>
      </w:r>
      <w:r>
        <w:rPr>
          <w:spacing w:val="1"/>
        </w:rPr>
        <w:t> </w:t>
      </w:r>
      <w:r>
        <w:rPr/>
        <w:t>healthcare system, services are paid for by a range of sources, including state and federal</w:t>
      </w:r>
      <w:r>
        <w:rPr>
          <w:spacing w:val="1"/>
        </w:rPr>
        <w:t> </w:t>
      </w:r>
      <w:r>
        <w:rPr/>
        <w:t>governments payments, direct payments made by patients, and private health insurance.</w:t>
      </w:r>
      <w:r>
        <w:rPr>
          <w:spacing w:val="1"/>
        </w:rPr>
        <w:t> </w:t>
      </w:r>
      <w:r>
        <w:rPr/>
        <w:t>The evaluation will examine costs from a range of perspectives. A sub-group analysis will then</w:t>
      </w:r>
      <w:r>
        <w:rPr>
          <w:spacing w:val="-53"/>
        </w:rPr>
        <w:t> </w:t>
      </w:r>
      <w:r>
        <w:rPr/>
        <w:t>determine the cost implications for both federal and state governments. This type of analysis</w:t>
      </w:r>
      <w:r>
        <w:rPr>
          <w:spacing w:val="1"/>
        </w:rPr>
        <w:t> </w:t>
      </w:r>
      <w:r>
        <w:rPr/>
        <w:t>is essential to understand the sustainability and ultimately the scalability of the initiative. In</w:t>
      </w:r>
      <w:r>
        <w:rPr>
          <w:spacing w:val="1"/>
        </w:rPr>
        <w:t> </w:t>
      </w:r>
      <w:r>
        <w:rPr/>
        <w:t>particular, it will be able to identify the potential financial winners and losers of the initiative.</w:t>
      </w:r>
      <w:r>
        <w:rPr>
          <w:spacing w:val="1"/>
        </w:rPr>
        <w:t> </w:t>
      </w:r>
      <w:r>
        <w:rPr/>
        <w:t>Data for this part of the analysis will be extracted from administrative claims data, where</w:t>
      </w:r>
      <w:r>
        <w:rPr>
          <w:spacing w:val="1"/>
        </w:rPr>
        <w:t> </w:t>
      </w:r>
      <w:r>
        <w:rPr/>
        <w:t>available (i.e. data on state government costs will be limited to hospitalisations and</w:t>
      </w:r>
      <w:r>
        <w:rPr>
          <w:spacing w:val="1"/>
        </w:rPr>
        <w:t> </w:t>
      </w:r>
      <w:r>
        <w:rPr/>
        <w:t>emergency department presentations, and will not include outpatient or community health</w:t>
      </w:r>
      <w:r>
        <w:rPr>
          <w:spacing w:val="1"/>
        </w:rPr>
        <w:t> </w:t>
      </w:r>
      <w:r>
        <w:rPr/>
        <w:t>services).</w:t>
      </w:r>
    </w:p>
    <w:p>
      <w:pPr>
        <w:pStyle w:val="Heading2"/>
        <w:spacing w:before="200"/>
      </w:pPr>
      <w:bookmarkStart w:name="_bookmark45" w:id="46"/>
      <w:bookmarkEnd w:id="46"/>
      <w:r>
        <w:rPr/>
      </w:r>
      <w:r>
        <w:rPr>
          <w:color w:val="003C79"/>
        </w:rPr>
        <w:t>Impact</w:t>
      </w:r>
      <w:r>
        <w:rPr>
          <w:color w:val="003C79"/>
          <w:spacing w:val="-6"/>
        </w:rPr>
        <w:t> </w:t>
      </w:r>
      <w:r>
        <w:rPr>
          <w:color w:val="003C79"/>
        </w:rPr>
        <w:t>of</w:t>
      </w:r>
      <w:r>
        <w:rPr>
          <w:color w:val="003C79"/>
          <w:spacing w:val="-1"/>
        </w:rPr>
        <w:t> </w:t>
      </w:r>
      <w:r>
        <w:rPr>
          <w:color w:val="003C79"/>
        </w:rPr>
        <w:t>HCH enrolment</w:t>
      </w:r>
      <w:r>
        <w:rPr>
          <w:color w:val="003C79"/>
          <w:spacing w:val="-3"/>
        </w:rPr>
        <w:t> </w:t>
      </w:r>
      <w:r>
        <w:rPr>
          <w:color w:val="003C79"/>
        </w:rPr>
        <w:t>on</w:t>
      </w:r>
      <w:r>
        <w:rPr>
          <w:color w:val="003C79"/>
          <w:spacing w:val="-4"/>
        </w:rPr>
        <w:t> </w:t>
      </w:r>
      <w:r>
        <w:rPr>
          <w:color w:val="003C79"/>
        </w:rPr>
        <w:t>patient</w:t>
      </w:r>
      <w:r>
        <w:rPr>
          <w:color w:val="003C79"/>
          <w:spacing w:val="-5"/>
        </w:rPr>
        <w:t> </w:t>
      </w:r>
      <w:r>
        <w:rPr>
          <w:color w:val="003C79"/>
        </w:rPr>
        <w:t>out-of-pocket</w:t>
      </w:r>
      <w:r>
        <w:rPr>
          <w:color w:val="003C79"/>
          <w:spacing w:val="-5"/>
        </w:rPr>
        <w:t> </w:t>
      </w:r>
      <w:r>
        <w:rPr>
          <w:color w:val="003C79"/>
        </w:rPr>
        <w:t>costs</w:t>
      </w:r>
    </w:p>
    <w:p>
      <w:pPr>
        <w:pStyle w:val="BodyText"/>
        <w:spacing w:line="276" w:lineRule="auto" w:before="259"/>
        <w:ind w:left="860" w:right="1161"/>
      </w:pPr>
      <w:r>
        <w:rPr/>
        <w:t>Providers can charge co-payments for services provided under HCH. Therefore, this</w:t>
      </w:r>
      <w:r>
        <w:rPr>
          <w:spacing w:val="1"/>
        </w:rPr>
        <w:t> </w:t>
      </w:r>
      <w:r>
        <w:rPr/>
        <w:t>component of the economic analysis is to confirm whether HCH practices changed the way</w:t>
      </w:r>
      <w:r>
        <w:rPr>
          <w:spacing w:val="1"/>
        </w:rPr>
        <w:t> </w:t>
      </w:r>
      <w:r>
        <w:rPr/>
        <w:t>they charge patients for HCH care plans and other services. It should be noted that co-</w:t>
      </w:r>
      <w:r>
        <w:rPr>
          <w:spacing w:val="1"/>
        </w:rPr>
        <w:t> </w:t>
      </w:r>
      <w:r>
        <w:rPr/>
        <w:t>payments</w:t>
      </w:r>
      <w:r>
        <w:rPr>
          <w:spacing w:val="1"/>
        </w:rPr>
        <w:t> </w:t>
      </w:r>
      <w:r>
        <w:rPr/>
        <w:t>for</w:t>
      </w:r>
      <w:r>
        <w:rPr>
          <w:spacing w:val="1"/>
        </w:rPr>
        <w:t> </w:t>
      </w:r>
      <w:r>
        <w:rPr/>
        <w:t>HCH</w:t>
      </w:r>
      <w:r>
        <w:rPr>
          <w:spacing w:val="3"/>
        </w:rPr>
        <w:t> </w:t>
      </w:r>
      <w:r>
        <w:rPr/>
        <w:t>plans</w:t>
      </w:r>
      <w:r>
        <w:rPr>
          <w:spacing w:val="3"/>
        </w:rPr>
        <w:t> </w:t>
      </w:r>
      <w:r>
        <w:rPr/>
        <w:t>could</w:t>
      </w:r>
      <w:r>
        <w:rPr>
          <w:spacing w:val="2"/>
        </w:rPr>
        <w:t> </w:t>
      </w:r>
      <w:r>
        <w:rPr/>
        <w:t>replace</w:t>
      </w:r>
      <w:r>
        <w:rPr>
          <w:spacing w:val="1"/>
        </w:rPr>
        <w:t> </w:t>
      </w:r>
      <w:r>
        <w:rPr/>
        <w:t>co-payments</w:t>
      </w:r>
      <w:r>
        <w:rPr>
          <w:spacing w:val="2"/>
        </w:rPr>
        <w:t> </w:t>
      </w:r>
      <w:r>
        <w:rPr/>
        <w:t>on</w:t>
      </w:r>
      <w:r>
        <w:rPr>
          <w:spacing w:val="2"/>
        </w:rPr>
        <w:t> </w:t>
      </w:r>
      <w:r>
        <w:rPr/>
        <w:t>other</w:t>
      </w:r>
      <w:r>
        <w:rPr>
          <w:spacing w:val="2"/>
        </w:rPr>
        <w:t> </w:t>
      </w:r>
      <w:r>
        <w:rPr/>
        <w:t>service</w:t>
      </w:r>
      <w:r>
        <w:rPr>
          <w:spacing w:val="1"/>
        </w:rPr>
        <w:t> </w:t>
      </w:r>
      <w:r>
        <w:rPr/>
        <w:t>use</w:t>
      </w:r>
      <w:r>
        <w:rPr>
          <w:spacing w:val="4"/>
        </w:rPr>
        <w:t> </w:t>
      </w:r>
      <w:r>
        <w:rPr/>
        <w:t>and</w:t>
      </w:r>
      <w:r>
        <w:rPr>
          <w:spacing w:val="1"/>
        </w:rPr>
        <w:t> </w:t>
      </w:r>
      <w:r>
        <w:rPr/>
        <w:t>therefore</w:t>
      </w:r>
      <w:r>
        <w:rPr>
          <w:spacing w:val="1"/>
        </w:rPr>
        <w:t> </w:t>
      </w:r>
      <w:r>
        <w:rPr/>
        <w:t>have no net effect on patient costs. There may also be an impact on health insurance claims</w:t>
      </w:r>
      <w:r>
        <w:rPr>
          <w:spacing w:val="-53"/>
        </w:rPr>
        <w:t> </w:t>
      </w:r>
      <w:r>
        <w:rPr/>
        <w:t>if some allied health services (e.g. physiotherapy, dietary advice) are substituted by services</w:t>
      </w:r>
      <w:r>
        <w:rPr>
          <w:spacing w:val="1"/>
        </w:rPr>
        <w:t> </w:t>
      </w:r>
      <w:r>
        <w:rPr/>
        <w:t>funded by Medicare. Therefore, it is important to understand the change in charging and</w:t>
      </w:r>
      <w:r>
        <w:rPr>
          <w:spacing w:val="1"/>
        </w:rPr>
        <w:t> </w:t>
      </w:r>
      <w:r>
        <w:rPr/>
        <w:t>referral practices. This information will be obtained from practice interviews, patient surveys</w:t>
      </w:r>
      <w:r>
        <w:rPr>
          <w:spacing w:val="1"/>
        </w:rPr>
        <w:t> </w:t>
      </w:r>
      <w:r>
        <w:rPr/>
        <w:t>and</w:t>
      </w:r>
      <w:r>
        <w:rPr>
          <w:spacing w:val="-2"/>
        </w:rPr>
        <w:t> </w:t>
      </w:r>
      <w:r>
        <w:rPr/>
        <w:t>administrative</w:t>
      </w:r>
      <w:r>
        <w:rPr>
          <w:spacing w:val="-1"/>
        </w:rPr>
        <w:t> </w:t>
      </w:r>
      <w:r>
        <w:rPr/>
        <w:t>data.</w:t>
      </w:r>
    </w:p>
    <w:p>
      <w:pPr>
        <w:spacing w:after="0" w:line="276" w:lineRule="auto"/>
        <w:sectPr>
          <w:pgSz w:w="11910" w:h="16840"/>
          <w:pgMar w:header="0" w:footer="675" w:top="20" w:bottom="860" w:left="580" w:right="280"/>
        </w:sectPr>
      </w:pPr>
    </w:p>
    <w:p>
      <w:pPr>
        <w:pStyle w:val="Heading2"/>
        <w:spacing w:before="81"/>
      </w:pPr>
      <w:bookmarkStart w:name="_bookmark46" w:id="47"/>
      <w:bookmarkEnd w:id="47"/>
      <w:r>
        <w:rPr/>
      </w:r>
      <w:r>
        <w:rPr>
          <w:color w:val="003C79"/>
        </w:rPr>
        <w:t>Net</w:t>
      </w:r>
      <w:r>
        <w:rPr>
          <w:color w:val="003C79"/>
          <w:spacing w:val="-6"/>
        </w:rPr>
        <w:t> </w:t>
      </w:r>
      <w:r>
        <w:rPr>
          <w:color w:val="003C79"/>
        </w:rPr>
        <w:t>cost</w:t>
      </w:r>
      <w:r>
        <w:rPr>
          <w:color w:val="003C79"/>
          <w:spacing w:val="-4"/>
        </w:rPr>
        <w:t> </w:t>
      </w:r>
      <w:r>
        <w:rPr>
          <w:color w:val="003C79"/>
        </w:rPr>
        <w:t>to</w:t>
      </w:r>
      <w:r>
        <w:rPr>
          <w:color w:val="003C79"/>
          <w:spacing w:val="-2"/>
        </w:rPr>
        <w:t> </w:t>
      </w:r>
      <w:r>
        <w:rPr>
          <w:color w:val="003C79"/>
        </w:rPr>
        <w:t>governments</w:t>
      </w:r>
    </w:p>
    <w:p>
      <w:pPr>
        <w:pStyle w:val="BodyText"/>
        <w:spacing w:line="276" w:lineRule="auto" w:before="259"/>
        <w:ind w:left="860" w:right="1189"/>
      </w:pPr>
      <w:r>
        <w:rPr/>
        <w:t>The net costs to governments requires quantification of the difference in costs and cost</w:t>
      </w:r>
      <w:r>
        <w:rPr>
          <w:spacing w:val="1"/>
        </w:rPr>
        <w:t> </w:t>
      </w:r>
      <w:r>
        <w:rPr/>
        <w:t>savings of healthcare use for patients enrolled in HCH from what they would have cost under</w:t>
      </w:r>
      <w:r>
        <w:rPr>
          <w:spacing w:val="-53"/>
        </w:rPr>
        <w:t> </w:t>
      </w:r>
      <w:r>
        <w:rPr/>
        <w:t>the conventional payment model. A critical aspect of this component of the economic</w:t>
      </w:r>
      <w:r>
        <w:rPr>
          <w:spacing w:val="1"/>
        </w:rPr>
        <w:t> </w:t>
      </w:r>
      <w:r>
        <w:rPr/>
        <w:t>analysis</w:t>
      </w:r>
      <w:r>
        <w:rPr>
          <w:spacing w:val="-4"/>
        </w:rPr>
        <w:t> </w:t>
      </w:r>
      <w:r>
        <w:rPr/>
        <w:t>is</w:t>
      </w:r>
      <w:r>
        <w:rPr>
          <w:spacing w:val="-4"/>
        </w:rPr>
        <w:t> </w:t>
      </w:r>
      <w:r>
        <w:rPr/>
        <w:t>the</w:t>
      </w:r>
      <w:r>
        <w:rPr>
          <w:spacing w:val="-3"/>
        </w:rPr>
        <w:t> </w:t>
      </w:r>
      <w:r>
        <w:rPr/>
        <w:t>identification</w:t>
      </w:r>
      <w:r>
        <w:rPr>
          <w:spacing w:val="-3"/>
        </w:rPr>
        <w:t> </w:t>
      </w:r>
      <w:r>
        <w:rPr/>
        <w:t>of</w:t>
      </w:r>
      <w:r>
        <w:rPr>
          <w:spacing w:val="-3"/>
        </w:rPr>
        <w:t> </w:t>
      </w:r>
      <w:r>
        <w:rPr/>
        <w:t>an</w:t>
      </w:r>
      <w:r>
        <w:rPr>
          <w:spacing w:val="-3"/>
        </w:rPr>
        <w:t> </w:t>
      </w:r>
      <w:r>
        <w:rPr/>
        <w:t>appropriate</w:t>
      </w:r>
      <w:r>
        <w:rPr>
          <w:spacing w:val="-4"/>
        </w:rPr>
        <w:t> </w:t>
      </w:r>
      <w:r>
        <w:rPr/>
        <w:t>comparison</w:t>
      </w:r>
      <w:r>
        <w:rPr>
          <w:spacing w:val="-2"/>
        </w:rPr>
        <w:t> </w:t>
      </w:r>
      <w:r>
        <w:rPr/>
        <w:t>group</w:t>
      </w:r>
      <w:r>
        <w:rPr>
          <w:spacing w:val="-3"/>
        </w:rPr>
        <w:t> </w:t>
      </w:r>
      <w:r>
        <w:rPr/>
        <w:t>for</w:t>
      </w:r>
      <w:r>
        <w:rPr>
          <w:spacing w:val="-4"/>
        </w:rPr>
        <w:t> </w:t>
      </w:r>
      <w:r>
        <w:rPr/>
        <w:t>enrolled</w:t>
      </w:r>
      <w:r>
        <w:rPr>
          <w:spacing w:val="-3"/>
        </w:rPr>
        <w:t> </w:t>
      </w:r>
      <w:r>
        <w:rPr/>
        <w:t>HCH</w:t>
      </w:r>
      <w:r>
        <w:rPr>
          <w:spacing w:val="-3"/>
        </w:rPr>
        <w:t> </w:t>
      </w:r>
      <w:r>
        <w:rPr/>
        <w:t>patients.</w:t>
      </w:r>
    </w:p>
    <w:p>
      <w:pPr>
        <w:pStyle w:val="BodyText"/>
        <w:ind w:left="860"/>
      </w:pPr>
      <w:r>
        <w:rPr/>
        <w:t>This</w:t>
      </w:r>
      <w:r>
        <w:rPr>
          <w:spacing w:val="-4"/>
        </w:rPr>
        <w:t> </w:t>
      </w:r>
      <w:r>
        <w:rPr/>
        <w:t>will</w:t>
      </w:r>
      <w:r>
        <w:rPr>
          <w:spacing w:val="-3"/>
        </w:rPr>
        <w:t> </w:t>
      </w:r>
      <w:r>
        <w:rPr/>
        <w:t>draw</w:t>
      </w:r>
      <w:r>
        <w:rPr>
          <w:spacing w:val="-2"/>
        </w:rPr>
        <w:t> </w:t>
      </w:r>
      <w:r>
        <w:rPr/>
        <w:t>on</w:t>
      </w:r>
      <w:r>
        <w:rPr>
          <w:spacing w:val="-2"/>
        </w:rPr>
        <w:t> </w:t>
      </w:r>
      <w:r>
        <w:rPr/>
        <w:t>the</w:t>
      </w:r>
      <w:r>
        <w:rPr>
          <w:spacing w:val="-4"/>
        </w:rPr>
        <w:t> </w:t>
      </w:r>
      <w:r>
        <w:rPr/>
        <w:t>analysis</w:t>
      </w:r>
      <w:r>
        <w:rPr>
          <w:spacing w:val="-2"/>
        </w:rPr>
        <w:t> </w:t>
      </w:r>
      <w:r>
        <w:rPr/>
        <w:t>of</w:t>
      </w:r>
      <w:r>
        <w:rPr>
          <w:spacing w:val="-3"/>
        </w:rPr>
        <w:t> </w:t>
      </w:r>
      <w:r>
        <w:rPr/>
        <w:t>comparative</w:t>
      </w:r>
      <w:r>
        <w:rPr>
          <w:spacing w:val="-4"/>
        </w:rPr>
        <w:t> </w:t>
      </w:r>
      <w:r>
        <w:rPr/>
        <w:t>effectiveness.</w:t>
      </w:r>
    </w:p>
    <w:p>
      <w:pPr>
        <w:pStyle w:val="BodyText"/>
        <w:spacing w:before="4"/>
        <w:rPr>
          <w:sz w:val="19"/>
        </w:rPr>
      </w:pPr>
    </w:p>
    <w:p>
      <w:pPr>
        <w:pStyle w:val="BodyText"/>
        <w:spacing w:line="276" w:lineRule="auto"/>
        <w:ind w:left="860" w:right="1217"/>
      </w:pPr>
      <w:r>
        <w:rPr/>
        <w:t>Differences in the use of primary care and hospital resources associated with HCH enrolment</w:t>
      </w:r>
      <w:r>
        <w:rPr>
          <w:spacing w:val="-53"/>
        </w:rPr>
        <w:t> </w:t>
      </w:r>
      <w:r>
        <w:rPr/>
        <w:t>will</w:t>
      </w:r>
      <w:r>
        <w:rPr>
          <w:spacing w:val="-2"/>
        </w:rPr>
        <w:t> </w:t>
      </w:r>
      <w:r>
        <w:rPr/>
        <w:t>be</w:t>
      </w:r>
      <w:r>
        <w:rPr>
          <w:spacing w:val="-3"/>
        </w:rPr>
        <w:t> </w:t>
      </w:r>
      <w:r>
        <w:rPr/>
        <w:t>assessed</w:t>
      </w:r>
      <w:r>
        <w:rPr>
          <w:spacing w:val="-3"/>
        </w:rPr>
        <w:t> </w:t>
      </w:r>
      <w:r>
        <w:rPr/>
        <w:t>by</w:t>
      </w:r>
      <w:r>
        <w:rPr>
          <w:spacing w:val="-4"/>
        </w:rPr>
        <w:t> </w:t>
      </w:r>
      <w:r>
        <w:rPr/>
        <w:t>obtaining</w:t>
      </w:r>
      <w:r>
        <w:rPr>
          <w:spacing w:val="-3"/>
        </w:rPr>
        <w:t> </w:t>
      </w:r>
      <w:r>
        <w:rPr/>
        <w:t>administrative</w:t>
      </w:r>
      <w:r>
        <w:rPr>
          <w:spacing w:val="-3"/>
        </w:rPr>
        <w:t> </w:t>
      </w:r>
      <w:r>
        <w:rPr/>
        <w:t>data</w:t>
      </w:r>
      <w:r>
        <w:rPr>
          <w:spacing w:val="-4"/>
        </w:rPr>
        <w:t> </w:t>
      </w:r>
      <w:r>
        <w:rPr/>
        <w:t>on</w:t>
      </w:r>
      <w:r>
        <w:rPr>
          <w:spacing w:val="-2"/>
        </w:rPr>
        <w:t> </w:t>
      </w:r>
      <w:r>
        <w:rPr/>
        <w:t>the</w:t>
      </w:r>
      <w:r>
        <w:rPr>
          <w:spacing w:val="-3"/>
        </w:rPr>
        <w:t> </w:t>
      </w:r>
      <w:r>
        <w:rPr/>
        <w:t>identified</w:t>
      </w:r>
      <w:r>
        <w:rPr>
          <w:spacing w:val="-3"/>
        </w:rPr>
        <w:t> </w:t>
      </w:r>
      <w:r>
        <w:rPr/>
        <w:t>comparison</w:t>
      </w:r>
      <w:r>
        <w:rPr>
          <w:spacing w:val="-2"/>
        </w:rPr>
        <w:t> </w:t>
      </w:r>
      <w:r>
        <w:rPr/>
        <w:t>group(s).</w:t>
      </w:r>
    </w:p>
    <w:p>
      <w:pPr>
        <w:pStyle w:val="BodyText"/>
        <w:spacing w:line="276" w:lineRule="auto"/>
        <w:ind w:left="860" w:right="1197"/>
      </w:pPr>
      <w:r>
        <w:rPr/>
        <w:t>Even with the establishment of an appropriate comparison group, adjusting for risk</w:t>
      </w:r>
      <w:r>
        <w:rPr>
          <w:spacing w:val="1"/>
        </w:rPr>
        <w:t> </w:t>
      </w:r>
      <w:r>
        <w:rPr/>
        <w:t>categories and other demographic factors will mean that advanced quantitative methods</w:t>
      </w:r>
      <w:r>
        <w:rPr>
          <w:spacing w:val="1"/>
        </w:rPr>
        <w:t> </w:t>
      </w:r>
      <w:r>
        <w:rPr/>
        <w:t>will need to be employed in the assessment of the impact of HCH on the use of resources</w:t>
      </w:r>
      <w:r>
        <w:rPr>
          <w:spacing w:val="1"/>
        </w:rPr>
        <w:t> </w:t>
      </w:r>
      <w:r>
        <w:rPr/>
        <w:t>and the cost of care of enrolled patients. Quantitative methods will need to be used in this</w:t>
      </w:r>
      <w:r>
        <w:rPr>
          <w:spacing w:val="1"/>
        </w:rPr>
        <w:t> </w:t>
      </w:r>
      <w:r>
        <w:rPr/>
        <w:t>component of the economic analysis to control for measurement issues related to the</w:t>
      </w:r>
      <w:r>
        <w:rPr>
          <w:spacing w:val="1"/>
        </w:rPr>
        <w:t> </w:t>
      </w:r>
      <w:r>
        <w:rPr/>
        <w:t>simultaneous determination of the cost of care and morbidity-based risk indicators. Examples</w:t>
      </w:r>
      <w:r>
        <w:rPr>
          <w:spacing w:val="-53"/>
        </w:rPr>
        <w:t> </w:t>
      </w:r>
      <w:r>
        <w:rPr/>
        <w:t>of the methodologies that will be used to disentangle these complexities include treatment-</w:t>
      </w:r>
      <w:r>
        <w:rPr>
          <w:spacing w:val="1"/>
        </w:rPr>
        <w:t> </w:t>
      </w:r>
      <w:r>
        <w:rPr/>
        <w:t>effects estimation for observational data, panel data techniques, difference-in-difference</w:t>
      </w:r>
      <w:r>
        <w:rPr>
          <w:spacing w:val="1"/>
        </w:rPr>
        <w:t> </w:t>
      </w:r>
      <w:r>
        <w:rPr/>
        <w:t>models, nearest-neighbour matching methods, sample-selection models and endogenous</w:t>
      </w:r>
      <w:r>
        <w:rPr>
          <w:spacing w:val="1"/>
        </w:rPr>
        <w:t> </w:t>
      </w:r>
      <w:r>
        <w:rPr/>
        <w:t>switching</w:t>
      </w:r>
      <w:r>
        <w:rPr>
          <w:spacing w:val="-2"/>
        </w:rPr>
        <w:t> </w:t>
      </w:r>
      <w:r>
        <w:rPr/>
        <w:t>regression models.</w:t>
      </w:r>
    </w:p>
    <w:p>
      <w:pPr>
        <w:pStyle w:val="BodyText"/>
        <w:spacing w:line="276" w:lineRule="auto" w:before="200"/>
        <w:ind w:left="860" w:right="1250"/>
      </w:pPr>
      <w:r>
        <w:rPr/>
        <w:t>Note that while the economic evaluation will assess whether increased primary care use has</w:t>
      </w:r>
      <w:r>
        <w:rPr>
          <w:spacing w:val="-53"/>
        </w:rPr>
        <w:t> </w:t>
      </w:r>
      <w:r>
        <w:rPr/>
        <w:t>been offset by fewer hospital admissions, it is believed that such an offset will be limited due</w:t>
      </w:r>
      <w:r>
        <w:rPr>
          <w:spacing w:val="1"/>
        </w:rPr>
        <w:t> </w:t>
      </w:r>
      <w:r>
        <w:rPr/>
        <w:t>to the short period that HCH will have been implemented. This is consistent with previous</w:t>
      </w:r>
      <w:r>
        <w:rPr>
          <w:spacing w:val="1"/>
        </w:rPr>
        <w:t> </w:t>
      </w:r>
      <w:r>
        <w:rPr/>
        <w:t>assessments of coordinated care programs. Controlling for the risk profile of patients may</w:t>
      </w:r>
      <w:r>
        <w:rPr>
          <w:spacing w:val="1"/>
        </w:rPr>
        <w:t> </w:t>
      </w:r>
      <w:r>
        <w:rPr/>
        <w:t>show differences in resource use at early stages of HCH. Nevertheless, advanced</w:t>
      </w:r>
      <w:r>
        <w:rPr>
          <w:spacing w:val="1"/>
        </w:rPr>
        <w:t> </w:t>
      </w:r>
      <w:r>
        <w:rPr/>
        <w:t>quantitative methods will be used to explore the complexities involved in the use of</w:t>
      </w:r>
      <w:r>
        <w:rPr>
          <w:spacing w:val="1"/>
        </w:rPr>
        <w:t> </w:t>
      </w:r>
      <w:r>
        <w:rPr/>
        <w:t>healthcare resources and to extrapolate potential effects beyond the early stages of</w:t>
      </w:r>
      <w:r>
        <w:rPr>
          <w:spacing w:val="1"/>
        </w:rPr>
        <w:t> </w:t>
      </w:r>
      <w:r>
        <w:rPr/>
        <w:t>implementation of</w:t>
      </w:r>
      <w:r>
        <w:rPr>
          <w:spacing w:val="-1"/>
        </w:rPr>
        <w:t> </w:t>
      </w:r>
      <w:r>
        <w:rPr/>
        <w:t>HCH.</w:t>
      </w:r>
    </w:p>
    <w:p>
      <w:pPr>
        <w:spacing w:before="202"/>
        <w:ind w:left="860" w:right="0" w:firstLine="0"/>
        <w:jc w:val="left"/>
        <w:rPr>
          <w:sz w:val="32"/>
        </w:rPr>
      </w:pPr>
      <w:r>
        <w:rPr>
          <w:color w:val="003C79"/>
          <w:sz w:val="32"/>
        </w:rPr>
        <w:t>Value</w:t>
      </w:r>
      <w:r>
        <w:rPr>
          <w:color w:val="003C79"/>
          <w:spacing w:val="-3"/>
          <w:sz w:val="32"/>
        </w:rPr>
        <w:t> </w:t>
      </w:r>
      <w:r>
        <w:rPr>
          <w:color w:val="003C79"/>
          <w:sz w:val="32"/>
        </w:rPr>
        <w:t>for</w:t>
      </w:r>
      <w:r>
        <w:rPr>
          <w:color w:val="003C79"/>
          <w:spacing w:val="-2"/>
          <w:sz w:val="32"/>
        </w:rPr>
        <w:t> </w:t>
      </w:r>
      <w:r>
        <w:rPr>
          <w:color w:val="003C79"/>
          <w:sz w:val="32"/>
        </w:rPr>
        <w:t>money</w:t>
      </w:r>
    </w:p>
    <w:p>
      <w:pPr>
        <w:pStyle w:val="BodyText"/>
        <w:spacing w:line="276" w:lineRule="auto" w:before="258"/>
        <w:ind w:left="860" w:right="1303"/>
      </w:pPr>
      <w:r>
        <w:rPr/>
        <w:t>An economic evaluation involves the comparison of costs and benefits with and without an</w:t>
      </w:r>
      <w:r>
        <w:rPr>
          <w:spacing w:val="-53"/>
        </w:rPr>
        <w:t> </w:t>
      </w:r>
      <w:r>
        <w:rPr/>
        <w:t>intervention. In healthcare evaluation, there are numerous options available and the final</w:t>
      </w:r>
      <w:r>
        <w:rPr>
          <w:spacing w:val="1"/>
        </w:rPr>
        <w:t> </w:t>
      </w:r>
      <w:r>
        <w:rPr/>
        <w:t>choice in analytical technique depends on the data available for the intervention and</w:t>
      </w:r>
      <w:r>
        <w:rPr>
          <w:spacing w:val="1"/>
        </w:rPr>
        <w:t> </w:t>
      </w:r>
      <w:r>
        <w:rPr/>
        <w:t>comparison groups as well as the anticipated impacts of the intervention on health</w:t>
      </w:r>
      <w:r>
        <w:rPr>
          <w:spacing w:val="1"/>
        </w:rPr>
        <w:t> </w:t>
      </w:r>
      <w:r>
        <w:rPr/>
        <w:t>outcomes. For this project, a cost minimisation analysis and a series of cost consequence</w:t>
      </w:r>
      <w:r>
        <w:rPr>
          <w:spacing w:val="1"/>
        </w:rPr>
        <w:t> </w:t>
      </w:r>
      <w:r>
        <w:rPr/>
        <w:t>analyses</w:t>
      </w:r>
      <w:r>
        <w:rPr>
          <w:spacing w:val="-3"/>
        </w:rPr>
        <w:t> </w:t>
      </w:r>
      <w:r>
        <w:rPr/>
        <w:t>are</w:t>
      </w:r>
      <w:r>
        <w:rPr>
          <w:spacing w:val="-1"/>
        </w:rPr>
        <w:t> </w:t>
      </w:r>
      <w:r>
        <w:rPr/>
        <w:t>deemed to</w:t>
      </w:r>
      <w:r>
        <w:rPr>
          <w:spacing w:val="1"/>
        </w:rPr>
        <w:t> </w:t>
      </w:r>
      <w:r>
        <w:rPr/>
        <w:t>be</w:t>
      </w:r>
      <w:r>
        <w:rPr>
          <w:spacing w:val="-2"/>
        </w:rPr>
        <w:t> </w:t>
      </w:r>
      <w:r>
        <w:rPr/>
        <w:t>the</w:t>
      </w:r>
      <w:r>
        <w:rPr>
          <w:spacing w:val="2"/>
        </w:rPr>
        <w:t> </w:t>
      </w:r>
      <w:r>
        <w:rPr/>
        <w:t>most</w:t>
      </w:r>
      <w:r>
        <w:rPr>
          <w:spacing w:val="1"/>
        </w:rPr>
        <w:t> </w:t>
      </w:r>
      <w:r>
        <w:rPr/>
        <w:t>appropriate.</w:t>
      </w:r>
    </w:p>
    <w:p>
      <w:pPr>
        <w:pStyle w:val="BodyText"/>
        <w:spacing w:line="276" w:lineRule="auto" w:before="200"/>
        <w:ind w:left="860" w:right="1195"/>
      </w:pPr>
      <w:r>
        <w:rPr/>
        <w:t>Cost minimisation compares the net costs of a new intervention with conventional care,</w:t>
      </w:r>
      <w:r>
        <w:rPr>
          <w:spacing w:val="1"/>
        </w:rPr>
        <w:t> </w:t>
      </w:r>
      <w:r>
        <w:rPr/>
        <w:t>assuming that the benefits of the new intervention are at least equal to those of the</w:t>
      </w:r>
      <w:r>
        <w:rPr>
          <w:spacing w:val="1"/>
        </w:rPr>
        <w:t> </w:t>
      </w:r>
      <w:r>
        <w:rPr/>
        <w:t>alternative. This is likely to be the case, and will be confirmed by the comparative</w:t>
      </w:r>
      <w:r>
        <w:rPr>
          <w:spacing w:val="1"/>
        </w:rPr>
        <w:t> </w:t>
      </w:r>
      <w:r>
        <w:rPr/>
        <w:t>effectiveness component of the evaluation. Further, any major cost savings realised are likely</w:t>
      </w:r>
      <w:r>
        <w:rPr>
          <w:spacing w:val="-53"/>
        </w:rPr>
        <w:t> </w:t>
      </w:r>
      <w:r>
        <w:rPr/>
        <w:t>to</w:t>
      </w:r>
      <w:r>
        <w:rPr>
          <w:spacing w:val="-5"/>
        </w:rPr>
        <w:t> </w:t>
      </w:r>
      <w:r>
        <w:rPr/>
        <w:t>be</w:t>
      </w:r>
      <w:r>
        <w:rPr>
          <w:spacing w:val="-4"/>
        </w:rPr>
        <w:t> </w:t>
      </w:r>
      <w:r>
        <w:rPr/>
        <w:t>due</w:t>
      </w:r>
      <w:r>
        <w:rPr>
          <w:spacing w:val="-5"/>
        </w:rPr>
        <w:t> </w:t>
      </w:r>
      <w:r>
        <w:rPr/>
        <w:t>to</w:t>
      </w:r>
      <w:r>
        <w:rPr>
          <w:spacing w:val="-4"/>
        </w:rPr>
        <w:t> </w:t>
      </w:r>
      <w:r>
        <w:rPr/>
        <w:t>reduced</w:t>
      </w:r>
      <w:r>
        <w:rPr>
          <w:spacing w:val="-5"/>
        </w:rPr>
        <w:t> </w:t>
      </w:r>
      <w:r>
        <w:rPr/>
        <w:t>hospitalisation.</w:t>
      </w:r>
      <w:r>
        <w:rPr>
          <w:spacing w:val="-6"/>
        </w:rPr>
        <w:t> </w:t>
      </w:r>
      <w:r>
        <w:rPr/>
        <w:t>Reduced</w:t>
      </w:r>
      <w:r>
        <w:rPr>
          <w:spacing w:val="-5"/>
        </w:rPr>
        <w:t> </w:t>
      </w:r>
      <w:r>
        <w:rPr/>
        <w:t>hospitalisation</w:t>
      </w:r>
      <w:r>
        <w:rPr>
          <w:spacing w:val="-3"/>
        </w:rPr>
        <w:t> </w:t>
      </w:r>
      <w:r>
        <w:rPr/>
        <w:t>also</w:t>
      </w:r>
      <w:r>
        <w:rPr>
          <w:spacing w:val="-6"/>
        </w:rPr>
        <w:t> </w:t>
      </w:r>
      <w:r>
        <w:rPr/>
        <w:t>captures</w:t>
      </w:r>
      <w:r>
        <w:rPr>
          <w:spacing w:val="-4"/>
        </w:rPr>
        <w:t> </w:t>
      </w:r>
      <w:r>
        <w:rPr/>
        <w:t>improvements</w:t>
      </w:r>
      <w:r>
        <w:rPr>
          <w:spacing w:val="-5"/>
        </w:rPr>
        <w:t> </w:t>
      </w:r>
      <w:r>
        <w:rPr/>
        <w:t>in</w:t>
      </w:r>
      <w:r>
        <w:rPr>
          <w:spacing w:val="-52"/>
        </w:rPr>
        <w:t> </w:t>
      </w:r>
      <w:r>
        <w:rPr/>
        <w:t>health</w:t>
      </w:r>
      <w:r>
        <w:rPr>
          <w:spacing w:val="-1"/>
        </w:rPr>
        <w:t> </w:t>
      </w:r>
      <w:r>
        <w:rPr/>
        <w:t>status.</w:t>
      </w:r>
    </w:p>
    <w:p>
      <w:pPr>
        <w:pStyle w:val="BodyText"/>
        <w:spacing w:line="276" w:lineRule="auto" w:before="202"/>
        <w:ind w:left="860" w:right="1236"/>
      </w:pPr>
      <w:r>
        <w:rPr/>
        <w:t>There are likely to be a range of benefits which result from HCH for patients which may be</w:t>
      </w:r>
      <w:r>
        <w:rPr>
          <w:spacing w:val="1"/>
        </w:rPr>
        <w:t> </w:t>
      </w:r>
      <w:r>
        <w:rPr/>
        <w:t>demonstrated in improvements in care coordination, care quality and satisfaction. For this</w:t>
      </w:r>
      <w:r>
        <w:rPr>
          <w:spacing w:val="1"/>
        </w:rPr>
        <w:t> </w:t>
      </w:r>
      <w:r>
        <w:rPr/>
        <w:t>reason,</w:t>
      </w:r>
      <w:r>
        <w:rPr>
          <w:spacing w:val="-6"/>
        </w:rPr>
        <w:t> </w:t>
      </w:r>
      <w:r>
        <w:rPr/>
        <w:t>the</w:t>
      </w:r>
      <w:r>
        <w:rPr>
          <w:spacing w:val="-5"/>
        </w:rPr>
        <w:t> </w:t>
      </w:r>
      <w:r>
        <w:rPr/>
        <w:t>cost-minimisation</w:t>
      </w:r>
      <w:r>
        <w:rPr>
          <w:spacing w:val="-3"/>
        </w:rPr>
        <w:t> </w:t>
      </w:r>
      <w:r>
        <w:rPr/>
        <w:t>analysis</w:t>
      </w:r>
      <w:r>
        <w:rPr>
          <w:spacing w:val="-4"/>
        </w:rPr>
        <w:t> </w:t>
      </w:r>
      <w:r>
        <w:rPr/>
        <w:t>will</w:t>
      </w:r>
      <w:r>
        <w:rPr>
          <w:spacing w:val="-3"/>
        </w:rPr>
        <w:t> </w:t>
      </w:r>
      <w:r>
        <w:rPr/>
        <w:t>be</w:t>
      </w:r>
      <w:r>
        <w:rPr>
          <w:spacing w:val="-4"/>
        </w:rPr>
        <w:t> </w:t>
      </w:r>
      <w:r>
        <w:rPr/>
        <w:t>supplemented</w:t>
      </w:r>
      <w:r>
        <w:rPr>
          <w:spacing w:val="-4"/>
        </w:rPr>
        <w:t> </w:t>
      </w:r>
      <w:r>
        <w:rPr/>
        <w:t>by</w:t>
      </w:r>
      <w:r>
        <w:rPr>
          <w:spacing w:val="-5"/>
        </w:rPr>
        <w:t> </w:t>
      </w:r>
      <w:r>
        <w:rPr/>
        <w:t>a</w:t>
      </w:r>
      <w:r>
        <w:rPr>
          <w:spacing w:val="-3"/>
        </w:rPr>
        <w:t> </w:t>
      </w:r>
      <w:r>
        <w:rPr/>
        <w:t>series</w:t>
      </w:r>
      <w:r>
        <w:rPr>
          <w:spacing w:val="-2"/>
        </w:rPr>
        <w:t> </w:t>
      </w:r>
      <w:r>
        <w:rPr/>
        <w:t>of</w:t>
      </w:r>
      <w:r>
        <w:rPr>
          <w:spacing w:val="-5"/>
        </w:rPr>
        <w:t> </w:t>
      </w:r>
      <w:r>
        <w:rPr/>
        <w:t>cost</w:t>
      </w:r>
      <w:r>
        <w:rPr>
          <w:spacing w:val="-2"/>
        </w:rPr>
        <w:t> </w:t>
      </w:r>
      <w:r>
        <w:rPr/>
        <w:t>consequence</w:t>
      </w:r>
    </w:p>
    <w:p>
      <w:pPr>
        <w:spacing w:after="0" w:line="276" w:lineRule="auto"/>
        <w:sectPr>
          <w:pgSz w:w="11910" w:h="16840"/>
          <w:pgMar w:header="0" w:footer="675" w:top="1340" w:bottom="860" w:left="580" w:right="280"/>
        </w:sectPr>
      </w:pPr>
    </w:p>
    <w:p>
      <w:pPr>
        <w:pStyle w:val="BodyText"/>
        <w:spacing w:line="276" w:lineRule="auto" w:before="82"/>
        <w:ind w:left="860" w:right="1267"/>
      </w:pPr>
      <w:r>
        <w:rPr/>
        <w:t>analyses which will present the incremental costs of HCH (if positive) against a series of other</w:t>
      </w:r>
      <w:r>
        <w:rPr>
          <w:spacing w:val="-53"/>
        </w:rPr>
        <w:t> </w:t>
      </w:r>
      <w:r>
        <w:rPr/>
        <w:t>measures.</w:t>
      </w:r>
    </w:p>
    <w:p>
      <w:pPr>
        <w:pStyle w:val="Heading2"/>
        <w:spacing w:before="199"/>
      </w:pPr>
      <w:bookmarkStart w:name="_bookmark47" w:id="48"/>
      <w:bookmarkEnd w:id="48"/>
      <w:r>
        <w:rPr/>
      </w:r>
      <w:r>
        <w:rPr>
          <w:color w:val="003C79"/>
        </w:rPr>
        <w:t>Costs</w:t>
      </w:r>
      <w:r>
        <w:rPr>
          <w:color w:val="003C79"/>
          <w:spacing w:val="-2"/>
        </w:rPr>
        <w:t> </w:t>
      </w:r>
      <w:r>
        <w:rPr>
          <w:color w:val="003C79"/>
        </w:rPr>
        <w:t>to</w:t>
      </w:r>
      <w:r>
        <w:rPr>
          <w:color w:val="003C79"/>
          <w:spacing w:val="-4"/>
        </w:rPr>
        <w:t> </w:t>
      </w:r>
      <w:r>
        <w:rPr>
          <w:color w:val="003C79"/>
        </w:rPr>
        <w:t>providers</w:t>
      </w:r>
      <w:r>
        <w:rPr>
          <w:color w:val="003C79"/>
          <w:spacing w:val="-4"/>
        </w:rPr>
        <w:t> </w:t>
      </w:r>
      <w:r>
        <w:rPr>
          <w:color w:val="003C79"/>
        </w:rPr>
        <w:t>of</w:t>
      </w:r>
      <w:r>
        <w:rPr>
          <w:color w:val="003C79"/>
          <w:spacing w:val="-5"/>
        </w:rPr>
        <w:t> </w:t>
      </w:r>
      <w:r>
        <w:rPr>
          <w:color w:val="003C79"/>
        </w:rPr>
        <w:t>delivering</w:t>
      </w:r>
      <w:r>
        <w:rPr>
          <w:color w:val="003C79"/>
          <w:spacing w:val="-5"/>
        </w:rPr>
        <w:t> </w:t>
      </w:r>
      <w:r>
        <w:rPr>
          <w:color w:val="003C79"/>
        </w:rPr>
        <w:t>HCH</w:t>
      </w:r>
    </w:p>
    <w:p>
      <w:pPr>
        <w:pStyle w:val="BodyText"/>
        <w:spacing w:line="276" w:lineRule="auto" w:before="261"/>
        <w:ind w:left="860" w:right="1145"/>
      </w:pPr>
      <w:r>
        <w:rPr/>
        <w:t>The practices delivering HCH will also face costs. There will be costs of establishing the new</w:t>
      </w:r>
      <w:r>
        <w:rPr>
          <w:spacing w:val="1"/>
        </w:rPr>
        <w:t> </w:t>
      </w:r>
      <w:r>
        <w:rPr/>
        <w:t>program, including the costs of participating in education and training, and setting up IT for</w:t>
      </w:r>
      <w:r>
        <w:rPr>
          <w:spacing w:val="1"/>
        </w:rPr>
        <w:t> </w:t>
      </w:r>
      <w:r>
        <w:rPr/>
        <w:t>patient identification and management. There will be ongoing costs of service provision such</w:t>
      </w:r>
      <w:r>
        <w:rPr>
          <w:spacing w:val="-53"/>
        </w:rPr>
        <w:t> </w:t>
      </w:r>
      <w:r>
        <w:rPr/>
        <w:t>as the employment of additional practice nurses or care coordinators. These will be identified</w:t>
      </w:r>
      <w:r>
        <w:rPr>
          <w:spacing w:val="-53"/>
        </w:rPr>
        <w:t> </w:t>
      </w:r>
      <w:r>
        <w:rPr/>
        <w:t>and</w:t>
      </w:r>
      <w:r>
        <w:rPr>
          <w:spacing w:val="-2"/>
        </w:rPr>
        <w:t> </w:t>
      </w:r>
      <w:r>
        <w:rPr/>
        <w:t>quantified</w:t>
      </w:r>
      <w:r>
        <w:rPr>
          <w:spacing w:val="-1"/>
        </w:rPr>
        <w:t> </w:t>
      </w:r>
      <w:r>
        <w:rPr/>
        <w:t>based</w:t>
      </w:r>
      <w:r>
        <w:rPr>
          <w:spacing w:val="-2"/>
        </w:rPr>
        <w:t> </w:t>
      </w:r>
      <w:r>
        <w:rPr/>
        <w:t>on information obtained</w:t>
      </w:r>
      <w:r>
        <w:rPr>
          <w:spacing w:val="-2"/>
        </w:rPr>
        <w:t> </w:t>
      </w:r>
      <w:r>
        <w:rPr/>
        <w:t>from</w:t>
      </w:r>
      <w:r>
        <w:rPr>
          <w:spacing w:val="-1"/>
        </w:rPr>
        <w:t> </w:t>
      </w:r>
      <w:r>
        <w:rPr/>
        <w:t>practices.</w:t>
      </w:r>
    </w:p>
    <w:p>
      <w:pPr>
        <w:pStyle w:val="BodyText"/>
        <w:spacing w:line="276" w:lineRule="auto" w:before="198"/>
        <w:ind w:left="860" w:right="1235"/>
      </w:pPr>
      <w:r>
        <w:rPr/>
        <w:t>This component of the analysis will also address the issue of sustainability from the general</w:t>
      </w:r>
      <w:r>
        <w:rPr>
          <w:spacing w:val="1"/>
        </w:rPr>
        <w:t> </w:t>
      </w:r>
      <w:r>
        <w:rPr/>
        <w:t>practice perspective by considering the impact on the total operating costs and revenue of</w:t>
      </w:r>
      <w:r>
        <w:rPr>
          <w:spacing w:val="-53"/>
        </w:rPr>
        <w:t> </w:t>
      </w:r>
      <w:r>
        <w:rPr/>
        <w:t>the practice. The economic evaluation will assess the changes in revenue and costs that</w:t>
      </w:r>
      <w:r>
        <w:rPr>
          <w:spacing w:val="1"/>
        </w:rPr>
        <w:t> </w:t>
      </w:r>
      <w:r>
        <w:rPr/>
        <w:t>occur to ensure that the funding model is appropriate and can be sustained. This is an</w:t>
      </w:r>
      <w:r>
        <w:rPr>
          <w:spacing w:val="1"/>
        </w:rPr>
        <w:t> </w:t>
      </w:r>
      <w:r>
        <w:rPr/>
        <w:t>essential part of the economic analysis, as it will provide policy guidance on likely success of</w:t>
      </w:r>
      <w:r>
        <w:rPr>
          <w:spacing w:val="-53"/>
        </w:rPr>
        <w:t> </w:t>
      </w:r>
      <w:r>
        <w:rPr/>
        <w:t>HCH</w:t>
      </w:r>
      <w:r>
        <w:rPr>
          <w:spacing w:val="-1"/>
        </w:rPr>
        <w:t> </w:t>
      </w:r>
      <w:r>
        <w:rPr/>
        <w:t>from</w:t>
      </w:r>
      <w:r>
        <w:rPr>
          <w:spacing w:val="-1"/>
        </w:rPr>
        <w:t> </w:t>
      </w:r>
      <w:r>
        <w:rPr/>
        <w:t>a business</w:t>
      </w:r>
      <w:r>
        <w:rPr>
          <w:spacing w:val="-1"/>
        </w:rPr>
        <w:t> </w:t>
      </w:r>
      <w:r>
        <w:rPr/>
        <w:t>model</w:t>
      </w:r>
      <w:r>
        <w:rPr>
          <w:spacing w:val="1"/>
        </w:rPr>
        <w:t> </w:t>
      </w:r>
      <w:r>
        <w:rPr/>
        <w:t>perspective.</w:t>
      </w:r>
    </w:p>
    <w:p>
      <w:pPr>
        <w:pStyle w:val="Heading2"/>
        <w:spacing w:before="201"/>
      </w:pPr>
      <w:bookmarkStart w:name="_bookmark48" w:id="49"/>
      <w:bookmarkEnd w:id="49"/>
      <w:r>
        <w:rPr/>
      </w:r>
      <w:r>
        <w:rPr>
          <w:color w:val="003C79"/>
        </w:rPr>
        <w:t>Sustainability</w:t>
      </w:r>
      <w:r>
        <w:rPr>
          <w:color w:val="003C79"/>
          <w:spacing w:val="-3"/>
        </w:rPr>
        <w:t> </w:t>
      </w:r>
      <w:r>
        <w:rPr>
          <w:color w:val="003C79"/>
        </w:rPr>
        <w:t>of</w:t>
      </w:r>
      <w:r>
        <w:rPr>
          <w:color w:val="003C79"/>
          <w:spacing w:val="-6"/>
        </w:rPr>
        <w:t> </w:t>
      </w:r>
      <w:r>
        <w:rPr>
          <w:color w:val="003C79"/>
        </w:rPr>
        <w:t>the</w:t>
      </w:r>
      <w:r>
        <w:rPr>
          <w:color w:val="003C79"/>
          <w:spacing w:val="-4"/>
        </w:rPr>
        <w:t> </w:t>
      </w:r>
      <w:r>
        <w:rPr>
          <w:color w:val="003C79"/>
        </w:rPr>
        <w:t>funding</w:t>
      </w:r>
      <w:r>
        <w:rPr>
          <w:color w:val="003C79"/>
          <w:spacing w:val="-5"/>
        </w:rPr>
        <w:t> </w:t>
      </w:r>
      <w:r>
        <w:rPr>
          <w:color w:val="003C79"/>
        </w:rPr>
        <w:t>models</w:t>
      </w:r>
    </w:p>
    <w:p>
      <w:pPr>
        <w:pStyle w:val="BodyText"/>
        <w:spacing w:line="276" w:lineRule="auto" w:before="259"/>
        <w:ind w:left="860" w:right="1206"/>
      </w:pPr>
      <w:r>
        <w:rPr/>
        <w:t>The economic analysis will conclude with an assessment of how the funding arrangements</w:t>
      </w:r>
      <w:r>
        <w:rPr>
          <w:spacing w:val="1"/>
        </w:rPr>
        <w:t> </w:t>
      </w:r>
      <w:r>
        <w:rPr/>
        <w:t>align the financial incentives with the intended program outcomes. This analysis will test the</w:t>
      </w:r>
      <w:r>
        <w:rPr>
          <w:spacing w:val="1"/>
        </w:rPr>
        <w:t> </w:t>
      </w:r>
      <w:r>
        <w:rPr/>
        <w:t>robustness of the funding model to further stages of implementation, including changes to</w:t>
      </w:r>
      <w:r>
        <w:rPr>
          <w:spacing w:val="1"/>
        </w:rPr>
        <w:t> </w:t>
      </w:r>
      <w:r>
        <w:rPr/>
        <w:t>financial risks that are borne by governments, practices and patients under HCH. The first</w:t>
      </w:r>
      <w:r>
        <w:rPr>
          <w:spacing w:val="1"/>
        </w:rPr>
        <w:t> </w:t>
      </w:r>
      <w:r>
        <w:rPr/>
        <w:t>stage implementation is limited to selected practices within 10 specified PHNs. It should be</w:t>
      </w:r>
      <w:r>
        <w:rPr>
          <w:spacing w:val="1"/>
        </w:rPr>
        <w:t> </w:t>
      </w:r>
      <w:r>
        <w:rPr/>
        <w:t>expected that there will be a strong volunteer effect and that broader rollout may induce</w:t>
      </w:r>
      <w:r>
        <w:rPr>
          <w:spacing w:val="1"/>
        </w:rPr>
        <w:t> </w:t>
      </w:r>
      <w:r>
        <w:rPr/>
        <w:t>gaming or other strategies which lead to undesirable consequences. Options to be explored</w:t>
      </w:r>
      <w:r>
        <w:rPr>
          <w:spacing w:val="-53"/>
        </w:rPr>
        <w:t> </w:t>
      </w:r>
      <w:r>
        <w:rPr/>
        <w:t>include:</w:t>
      </w:r>
    </w:p>
    <w:p>
      <w:pPr>
        <w:pStyle w:val="ListParagraph"/>
        <w:numPr>
          <w:ilvl w:val="0"/>
          <w:numId w:val="17"/>
        </w:numPr>
        <w:tabs>
          <w:tab w:pos="1573" w:val="left" w:leader="none"/>
          <w:tab w:pos="1574" w:val="left" w:leader="none"/>
        </w:tabs>
        <w:spacing w:line="276" w:lineRule="auto" w:before="200" w:after="0"/>
        <w:ind w:left="1573" w:right="1621" w:hanging="356"/>
        <w:jc w:val="left"/>
        <w:rPr>
          <w:sz w:val="20"/>
        </w:rPr>
      </w:pPr>
      <w:r>
        <w:rPr>
          <w:sz w:val="20"/>
        </w:rPr>
        <w:t>Modelling alternative patient risk profiles and identifying their potential impact on</w:t>
      </w:r>
      <w:r>
        <w:rPr>
          <w:spacing w:val="-53"/>
          <w:sz w:val="20"/>
        </w:rPr>
        <w:t> </w:t>
      </w:r>
      <w:r>
        <w:rPr>
          <w:sz w:val="20"/>
        </w:rPr>
        <w:t>costs,</w:t>
      </w:r>
      <w:r>
        <w:rPr>
          <w:spacing w:val="-4"/>
          <w:sz w:val="20"/>
        </w:rPr>
        <w:t> </w:t>
      </w:r>
      <w:r>
        <w:rPr>
          <w:sz w:val="20"/>
        </w:rPr>
        <w:t>outcomes</w:t>
      </w:r>
      <w:r>
        <w:rPr>
          <w:spacing w:val="-1"/>
          <w:sz w:val="20"/>
        </w:rPr>
        <w:t> </w:t>
      </w:r>
      <w:r>
        <w:rPr>
          <w:sz w:val="20"/>
        </w:rPr>
        <w:t>and</w:t>
      </w:r>
      <w:r>
        <w:rPr>
          <w:spacing w:val="-1"/>
          <w:sz w:val="20"/>
        </w:rPr>
        <w:t> </w:t>
      </w:r>
      <w:r>
        <w:rPr>
          <w:sz w:val="20"/>
        </w:rPr>
        <w:t>patient</w:t>
      </w:r>
      <w:r>
        <w:rPr>
          <w:spacing w:val="1"/>
          <w:sz w:val="20"/>
        </w:rPr>
        <w:t> </w:t>
      </w:r>
      <w:r>
        <w:rPr>
          <w:sz w:val="20"/>
        </w:rPr>
        <w:t>selection.</w:t>
      </w:r>
    </w:p>
    <w:p>
      <w:pPr>
        <w:pStyle w:val="ListParagraph"/>
        <w:numPr>
          <w:ilvl w:val="0"/>
          <w:numId w:val="17"/>
        </w:numPr>
        <w:tabs>
          <w:tab w:pos="1573" w:val="left" w:leader="none"/>
          <w:tab w:pos="1574" w:val="left" w:leader="none"/>
        </w:tabs>
        <w:spacing w:line="276" w:lineRule="auto" w:before="201" w:after="0"/>
        <w:ind w:left="1573" w:right="1790" w:hanging="356"/>
        <w:jc w:val="left"/>
        <w:rPr>
          <w:sz w:val="20"/>
        </w:rPr>
      </w:pPr>
      <w:r>
        <w:rPr>
          <w:sz w:val="20"/>
        </w:rPr>
        <w:t>Modelling</w:t>
      </w:r>
      <w:r>
        <w:rPr>
          <w:spacing w:val="-5"/>
          <w:sz w:val="20"/>
        </w:rPr>
        <w:t> </w:t>
      </w:r>
      <w:r>
        <w:rPr>
          <w:sz w:val="20"/>
        </w:rPr>
        <w:t>alternative</w:t>
      </w:r>
      <w:r>
        <w:rPr>
          <w:spacing w:val="-4"/>
          <w:sz w:val="20"/>
        </w:rPr>
        <w:t> </w:t>
      </w:r>
      <w:r>
        <w:rPr>
          <w:sz w:val="20"/>
        </w:rPr>
        <w:t>payment</w:t>
      </w:r>
      <w:r>
        <w:rPr>
          <w:spacing w:val="-2"/>
          <w:sz w:val="20"/>
        </w:rPr>
        <w:t> </w:t>
      </w:r>
      <w:r>
        <w:rPr>
          <w:sz w:val="20"/>
        </w:rPr>
        <w:t>levels</w:t>
      </w:r>
      <w:r>
        <w:rPr>
          <w:spacing w:val="-4"/>
          <w:sz w:val="20"/>
        </w:rPr>
        <w:t> </w:t>
      </w:r>
      <w:r>
        <w:rPr>
          <w:sz w:val="20"/>
        </w:rPr>
        <w:t>and</w:t>
      </w:r>
      <w:r>
        <w:rPr>
          <w:spacing w:val="-4"/>
          <w:sz w:val="20"/>
        </w:rPr>
        <w:t> </w:t>
      </w:r>
      <w:r>
        <w:rPr>
          <w:sz w:val="20"/>
        </w:rPr>
        <w:t>their</w:t>
      </w:r>
      <w:r>
        <w:rPr>
          <w:spacing w:val="-4"/>
          <w:sz w:val="20"/>
        </w:rPr>
        <w:t> </w:t>
      </w:r>
      <w:r>
        <w:rPr>
          <w:sz w:val="20"/>
        </w:rPr>
        <w:t>likely</w:t>
      </w:r>
      <w:r>
        <w:rPr>
          <w:spacing w:val="-5"/>
          <w:sz w:val="20"/>
        </w:rPr>
        <w:t> </w:t>
      </w:r>
      <w:r>
        <w:rPr>
          <w:sz w:val="20"/>
        </w:rPr>
        <w:t>impact</w:t>
      </w:r>
      <w:r>
        <w:rPr>
          <w:spacing w:val="-2"/>
          <w:sz w:val="20"/>
        </w:rPr>
        <w:t> </w:t>
      </w:r>
      <w:r>
        <w:rPr>
          <w:sz w:val="20"/>
        </w:rPr>
        <w:t>on</w:t>
      </w:r>
      <w:r>
        <w:rPr>
          <w:spacing w:val="-4"/>
          <w:sz w:val="20"/>
        </w:rPr>
        <w:t> </w:t>
      </w:r>
      <w:r>
        <w:rPr>
          <w:sz w:val="20"/>
        </w:rPr>
        <w:t>cost,</w:t>
      </w:r>
      <w:r>
        <w:rPr>
          <w:spacing w:val="-4"/>
          <w:sz w:val="20"/>
        </w:rPr>
        <w:t> </w:t>
      </w:r>
      <w:r>
        <w:rPr>
          <w:sz w:val="20"/>
        </w:rPr>
        <w:t>outcomes,</w:t>
      </w:r>
      <w:r>
        <w:rPr>
          <w:spacing w:val="-52"/>
          <w:sz w:val="20"/>
        </w:rPr>
        <w:t> </w:t>
      </w:r>
      <w:r>
        <w:rPr>
          <w:sz w:val="20"/>
        </w:rPr>
        <w:t>patient practice</w:t>
      </w:r>
      <w:r>
        <w:rPr>
          <w:spacing w:val="-1"/>
          <w:sz w:val="20"/>
        </w:rPr>
        <w:t> </w:t>
      </w:r>
      <w:r>
        <w:rPr>
          <w:sz w:val="20"/>
        </w:rPr>
        <w:t>selection.</w:t>
      </w:r>
    </w:p>
    <w:p>
      <w:pPr>
        <w:pStyle w:val="ListParagraph"/>
        <w:numPr>
          <w:ilvl w:val="0"/>
          <w:numId w:val="17"/>
        </w:numPr>
        <w:tabs>
          <w:tab w:pos="1573" w:val="left" w:leader="none"/>
          <w:tab w:pos="1574" w:val="left" w:leader="none"/>
        </w:tabs>
        <w:spacing w:line="278" w:lineRule="auto" w:before="200" w:after="0"/>
        <w:ind w:left="1573" w:right="1406" w:hanging="356"/>
        <w:jc w:val="left"/>
        <w:rPr>
          <w:sz w:val="20"/>
        </w:rPr>
      </w:pPr>
      <w:r>
        <w:rPr>
          <w:sz w:val="20"/>
        </w:rPr>
        <w:t>Modelling alternative HCH specifications that may include changing the number of</w:t>
      </w:r>
      <w:r>
        <w:rPr>
          <w:spacing w:val="-54"/>
          <w:sz w:val="20"/>
        </w:rPr>
        <w:t> </w:t>
      </w:r>
      <w:r>
        <w:rPr>
          <w:sz w:val="20"/>
        </w:rPr>
        <w:t>services</w:t>
      </w:r>
      <w:r>
        <w:rPr>
          <w:spacing w:val="-2"/>
          <w:sz w:val="20"/>
        </w:rPr>
        <w:t> </w:t>
      </w:r>
      <w:r>
        <w:rPr>
          <w:sz w:val="20"/>
        </w:rPr>
        <w:t>that</w:t>
      </w:r>
      <w:r>
        <w:rPr>
          <w:spacing w:val="1"/>
          <w:sz w:val="20"/>
        </w:rPr>
        <w:t> </w:t>
      </w:r>
      <w:r>
        <w:rPr>
          <w:sz w:val="20"/>
        </w:rPr>
        <w:t>are</w:t>
      </w:r>
      <w:r>
        <w:rPr>
          <w:spacing w:val="-1"/>
          <w:sz w:val="20"/>
        </w:rPr>
        <w:t> </w:t>
      </w:r>
      <w:r>
        <w:rPr>
          <w:sz w:val="20"/>
        </w:rPr>
        <w:t>included</w:t>
      </w:r>
      <w:r>
        <w:rPr>
          <w:spacing w:val="-1"/>
          <w:sz w:val="20"/>
        </w:rPr>
        <w:t> </w:t>
      </w:r>
      <w:r>
        <w:rPr>
          <w:sz w:val="20"/>
        </w:rPr>
        <w:t>in the</w:t>
      </w:r>
      <w:r>
        <w:rPr>
          <w:spacing w:val="-1"/>
          <w:sz w:val="20"/>
        </w:rPr>
        <w:t> </w:t>
      </w:r>
      <w:r>
        <w:rPr>
          <w:sz w:val="20"/>
        </w:rPr>
        <w:t>payment.</w:t>
      </w:r>
    </w:p>
    <w:p>
      <w:pPr>
        <w:pStyle w:val="ListParagraph"/>
        <w:numPr>
          <w:ilvl w:val="0"/>
          <w:numId w:val="17"/>
        </w:numPr>
        <w:tabs>
          <w:tab w:pos="1573" w:val="left" w:leader="none"/>
          <w:tab w:pos="1574" w:val="left" w:leader="none"/>
        </w:tabs>
        <w:spacing w:line="240" w:lineRule="auto" w:before="194" w:after="0"/>
        <w:ind w:left="1573" w:right="0" w:hanging="356"/>
        <w:jc w:val="left"/>
        <w:rPr>
          <w:sz w:val="20"/>
        </w:rPr>
      </w:pPr>
      <w:r>
        <w:rPr>
          <w:sz w:val="20"/>
        </w:rPr>
        <w:t>Analysing</w:t>
      </w:r>
      <w:r>
        <w:rPr>
          <w:spacing w:val="-5"/>
          <w:sz w:val="20"/>
        </w:rPr>
        <w:t> </w:t>
      </w:r>
      <w:r>
        <w:rPr>
          <w:sz w:val="20"/>
        </w:rPr>
        <w:t>the</w:t>
      </w:r>
      <w:r>
        <w:rPr>
          <w:spacing w:val="-5"/>
          <w:sz w:val="20"/>
        </w:rPr>
        <w:t> </w:t>
      </w:r>
      <w:r>
        <w:rPr>
          <w:sz w:val="20"/>
        </w:rPr>
        <w:t>effects</w:t>
      </w:r>
      <w:r>
        <w:rPr>
          <w:spacing w:val="-4"/>
          <w:sz w:val="20"/>
        </w:rPr>
        <w:t> </w:t>
      </w:r>
      <w:r>
        <w:rPr>
          <w:sz w:val="20"/>
        </w:rPr>
        <w:t>of</w:t>
      </w:r>
      <w:r>
        <w:rPr>
          <w:spacing w:val="-3"/>
          <w:sz w:val="20"/>
        </w:rPr>
        <w:t> </w:t>
      </w:r>
      <w:r>
        <w:rPr>
          <w:sz w:val="20"/>
        </w:rPr>
        <w:t>alternative</w:t>
      </w:r>
      <w:r>
        <w:rPr>
          <w:spacing w:val="-4"/>
          <w:sz w:val="20"/>
        </w:rPr>
        <w:t> </w:t>
      </w:r>
      <w:r>
        <w:rPr>
          <w:sz w:val="20"/>
        </w:rPr>
        <w:t>practice</w:t>
      </w:r>
      <w:r>
        <w:rPr>
          <w:spacing w:val="-5"/>
          <w:sz w:val="20"/>
        </w:rPr>
        <w:t> </w:t>
      </w:r>
      <w:r>
        <w:rPr>
          <w:sz w:val="20"/>
        </w:rPr>
        <w:t>business</w:t>
      </w:r>
      <w:r>
        <w:rPr>
          <w:spacing w:val="-4"/>
          <w:sz w:val="20"/>
        </w:rPr>
        <w:t> </w:t>
      </w:r>
      <w:r>
        <w:rPr>
          <w:sz w:val="20"/>
        </w:rPr>
        <w:t>models.</w:t>
      </w:r>
    </w:p>
    <w:p>
      <w:pPr>
        <w:spacing w:after="0" w:line="240" w:lineRule="auto"/>
        <w:jc w:val="left"/>
        <w:rPr>
          <w:sz w:val="20"/>
        </w:rPr>
        <w:sectPr>
          <w:pgSz w:w="11910" w:h="16840"/>
          <w:pgMar w:header="0" w:footer="675" w:top="1340" w:bottom="860" w:left="580" w:right="280"/>
        </w:sectPr>
      </w:pPr>
    </w:p>
    <w:p>
      <w:pPr>
        <w:pStyle w:val="BodyText"/>
      </w:pPr>
      <w:r>
        <w:rPr/>
        <w:pict>
          <v:group style="position:absolute;margin-left:20.164064pt;margin-top:0pt;width:575.050pt;height:116.2pt;mso-position-horizontal-relative:page;mso-position-vertical-relative:page;z-index:-27544064" id="docshapegroup103" coordorigin="403,0" coordsize="11501,2324">
            <v:shape style="position:absolute;left:403;top:0;width:11501;height:1563" type="#_x0000_t75" id="docshape104" stroked="false">
              <v:imagedata r:id="rId33" o:title=""/>
            </v:shape>
            <v:shape style="position:absolute;left:10035;top:1037;width:1200;height:1155" id="docshape105" coordorigin="10035,1037" coordsize="1200,1155" path="m10635,1037l10560,1041,10487,1055,10418,1076,10353,1105,10292,1140,10237,1183,10186,1231,10142,1285,10105,1343,10075,1406,10053,1472,10040,1542,10035,1614,10040,1687,10053,1757,10075,1823,10105,1886,10142,1944,10186,1998,10237,2046,10292,2089,10353,2124,10418,2153,10487,2174,10560,2187,10635,2192,10710,2187,10783,2174,10852,2153,10917,2124,10978,2089,11033,2046,11084,1998,11128,1944,11165,1886,11195,1823,11217,1757,11230,1687,11235,1614,11230,1542,11217,1472,11195,1406,11165,1343,11128,1285,11084,1231,11033,1183,10978,1140,10917,1105,10852,1076,10783,1055,10710,1041,10635,1037xe" filled="true" fillcolor="#003c79" stroked="false">
              <v:path arrowok="t"/>
              <v:fill type="solid"/>
            </v:shape>
            <v:shape style="position:absolute;left:10035;top:1037;width:1200;height:1155" id="docshape106" coordorigin="10035,1037" coordsize="1200,1155" path="m10035,1614l10040,1542,10053,1472,10075,1406,10105,1343,10142,1285,10186,1231,10237,1183,10292,1140,10353,1105,10418,1076,10487,1055,10560,1041,10635,1037,10710,1041,10783,1055,10852,1076,10917,1105,10978,1140,11033,1183,11084,1231,11128,1285,11165,1343,11195,1406,11217,1472,11230,1542,11235,1614,11230,1687,11217,1757,11195,1823,11165,1886,11128,1944,11084,1998,11033,2046,10978,2089,10917,2124,10852,2153,10783,2174,10710,2187,10635,2192,10560,2187,10487,2174,10418,2153,10353,2124,10292,2089,10237,2046,10186,1998,10142,1944,10105,1886,10075,1823,10053,1757,10040,1687,10035,1614xe" filled="false" stroked="true" strokeweight="2.5pt" strokecolor="#003c79">
              <v:path arrowok="t"/>
              <v:stroke dashstyle="solid"/>
            </v:shape>
            <v:shape style="position:absolute;left:1440;top:1440;width:4484;height:883" type="#_x0000_t202" id="docshape107" filled="false" stroked="false">
              <v:textbox inset="0,0,0,0">
                <w:txbxContent>
                  <w:p>
                    <w:pPr>
                      <w:spacing w:before="0"/>
                      <w:ind w:left="0" w:right="0" w:firstLine="0"/>
                      <w:jc w:val="left"/>
                      <w:rPr>
                        <w:sz w:val="72"/>
                      </w:rPr>
                    </w:pPr>
                    <w:r>
                      <w:rPr>
                        <w:color w:val="003C79"/>
                        <w:sz w:val="72"/>
                      </w:rPr>
                      <w:t>Analysis</w:t>
                    </w:r>
                    <w:r>
                      <w:rPr>
                        <w:color w:val="003C79"/>
                        <w:spacing w:val="-4"/>
                        <w:sz w:val="72"/>
                      </w:rPr>
                      <w:t> </w:t>
                    </w:r>
                    <w:r>
                      <w:rPr>
                        <w:color w:val="003C79"/>
                        <w:sz w:val="72"/>
                      </w:rPr>
                      <w:t>plan</w:t>
                    </w:r>
                  </w:p>
                </w:txbxContent>
              </v:textbox>
              <w10:wrap type="none"/>
            </v:shape>
            <v:shape style="position:absolute;left:10514;top:1346;width:266;height:539" type="#_x0000_t202" id="docshape108" filled="false" stroked="false">
              <v:textbox inset="0,0,0,0">
                <w:txbxContent>
                  <w:p>
                    <w:pPr>
                      <w:spacing w:line="538" w:lineRule="exact" w:before="0"/>
                      <w:ind w:left="0" w:right="0" w:firstLine="0"/>
                      <w:jc w:val="left"/>
                      <w:rPr>
                        <w:b/>
                        <w:sz w:val="44"/>
                      </w:rPr>
                    </w:pPr>
                    <w:r>
                      <w:rPr>
                        <w:b/>
                        <w:color w:val="FFFFFF"/>
                        <w:w w:val="99"/>
                        <w:sz w:val="44"/>
                      </w:rPr>
                      <w:t>8</w:t>
                    </w:r>
                  </w:p>
                </w:txbxContent>
              </v:textbox>
              <w10:wrap type="none"/>
            </v:shape>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6"/>
        </w:rPr>
      </w:pPr>
    </w:p>
    <w:p>
      <w:pPr>
        <w:pStyle w:val="Heading2"/>
        <w:spacing w:before="100"/>
      </w:pPr>
      <w:bookmarkStart w:name="_bookmark49" w:id="50"/>
      <w:bookmarkEnd w:id="50"/>
      <w:r>
        <w:rPr/>
      </w:r>
      <w:bookmarkStart w:name="_bookmark50" w:id="51"/>
      <w:bookmarkEnd w:id="51"/>
      <w:r>
        <w:rPr/>
      </w:r>
      <w:r>
        <w:rPr>
          <w:color w:val="003C79"/>
        </w:rPr>
        <w:t>Quantitative</w:t>
      </w:r>
      <w:r>
        <w:rPr>
          <w:color w:val="003C79"/>
          <w:spacing w:val="-7"/>
        </w:rPr>
        <w:t> </w:t>
      </w:r>
      <w:r>
        <w:rPr>
          <w:color w:val="003C79"/>
        </w:rPr>
        <w:t>data</w:t>
      </w:r>
      <w:r>
        <w:rPr>
          <w:color w:val="003C79"/>
          <w:spacing w:val="-6"/>
        </w:rPr>
        <w:t> </w:t>
      </w:r>
      <w:r>
        <w:rPr>
          <w:color w:val="003C79"/>
        </w:rPr>
        <w:t>analysis</w:t>
      </w:r>
    </w:p>
    <w:p>
      <w:pPr>
        <w:pStyle w:val="BodyText"/>
        <w:spacing w:line="276" w:lineRule="auto" w:before="258"/>
        <w:ind w:left="860" w:right="1159"/>
      </w:pPr>
      <w:r>
        <w:rPr/>
        <w:t>Quantitative data analysis will use several statistical software packages, including SAS, MLWin</w:t>
      </w:r>
      <w:r>
        <w:rPr>
          <w:spacing w:val="-53"/>
        </w:rPr>
        <w:t> </w:t>
      </w:r>
      <w:r>
        <w:rPr/>
        <w:t>and</w:t>
      </w:r>
      <w:r>
        <w:rPr>
          <w:spacing w:val="-1"/>
        </w:rPr>
        <w:t> </w:t>
      </w:r>
      <w:r>
        <w:rPr/>
        <w:t>R.</w:t>
      </w:r>
    </w:p>
    <w:p>
      <w:pPr>
        <w:pStyle w:val="BodyText"/>
        <w:spacing w:line="276" w:lineRule="auto" w:before="202"/>
        <w:ind w:left="860" w:right="1155"/>
      </w:pPr>
      <w:r>
        <w:rPr/>
        <w:t>As an initial step, a set of programs will be developed to manage data flows from the various</w:t>
      </w:r>
      <w:r>
        <w:rPr>
          <w:spacing w:val="-53"/>
        </w:rPr>
        <w:t> </w:t>
      </w:r>
      <w:r>
        <w:rPr/>
        <w:t>sources. The programs will include data quality checks, descriptive analysis, and data</w:t>
      </w:r>
      <w:r>
        <w:rPr>
          <w:spacing w:val="1"/>
        </w:rPr>
        <w:t> </w:t>
      </w:r>
      <w:r>
        <w:rPr/>
        <w:t>manipulation to organise the data in a structure that is appropriate for modelling. Programs</w:t>
      </w:r>
      <w:r>
        <w:rPr>
          <w:spacing w:val="1"/>
        </w:rPr>
        <w:t> </w:t>
      </w:r>
      <w:r>
        <w:rPr/>
        <w:t>will be established to produce descriptive statistics which can be available in several formats</w:t>
      </w:r>
      <w:r>
        <w:rPr>
          <w:spacing w:val="1"/>
        </w:rPr>
        <w:t> </w:t>
      </w:r>
      <w:r>
        <w:rPr/>
        <w:t>(html, pdf). These descriptive statistics will be interactive, allowing users to investigate a range</w:t>
      </w:r>
      <w:r>
        <w:rPr>
          <w:spacing w:val="-53"/>
        </w:rPr>
        <w:t> </w:t>
      </w:r>
      <w:r>
        <w:rPr/>
        <w:t>of</w:t>
      </w:r>
      <w:r>
        <w:rPr>
          <w:spacing w:val="-2"/>
        </w:rPr>
        <w:t> </w:t>
      </w:r>
      <w:r>
        <w:rPr/>
        <w:t>issues.</w:t>
      </w:r>
    </w:p>
    <w:p>
      <w:pPr>
        <w:pStyle w:val="Heading2"/>
        <w:spacing w:before="199"/>
      </w:pPr>
      <w:bookmarkStart w:name="_bookmark51" w:id="52"/>
      <w:bookmarkEnd w:id="52"/>
      <w:r>
        <w:rPr/>
      </w:r>
      <w:r>
        <w:rPr>
          <w:color w:val="003C79"/>
        </w:rPr>
        <w:t>Comparative</w:t>
      </w:r>
      <w:r>
        <w:rPr>
          <w:color w:val="003C79"/>
          <w:spacing w:val="-8"/>
        </w:rPr>
        <w:t> </w:t>
      </w:r>
      <w:r>
        <w:rPr>
          <w:color w:val="003C79"/>
        </w:rPr>
        <w:t>analysis</w:t>
      </w:r>
    </w:p>
    <w:p>
      <w:pPr>
        <w:pStyle w:val="BodyText"/>
        <w:spacing w:line="276" w:lineRule="auto" w:before="259"/>
        <w:ind w:left="860" w:right="1173"/>
      </w:pPr>
      <w:r>
        <w:rPr/>
        <w:t>The statistical modelling approaches will generally be conducted within a multilevel (random</w:t>
      </w:r>
      <w:r>
        <w:rPr>
          <w:spacing w:val="-53"/>
        </w:rPr>
        <w:t> </w:t>
      </w:r>
      <w:r>
        <w:rPr/>
        <w:t>effects) model framework to account for the repeated measurements on individuals and the</w:t>
      </w:r>
      <w:r>
        <w:rPr>
          <w:spacing w:val="-53"/>
        </w:rPr>
        <w:t> </w:t>
      </w:r>
      <w:r>
        <w:rPr/>
        <w:t>clustering of individuals within general practices. All models will adjust for potentially</w:t>
      </w:r>
      <w:r>
        <w:rPr>
          <w:spacing w:val="1"/>
        </w:rPr>
        <w:t> </w:t>
      </w:r>
      <w:r>
        <w:rPr/>
        <w:t>confounding variables at the patient level which have not been adequately addressed</w:t>
      </w:r>
      <w:r>
        <w:rPr>
          <w:spacing w:val="1"/>
        </w:rPr>
        <w:t> </w:t>
      </w:r>
      <w:r>
        <w:rPr/>
        <w:t>through the matching of HCH and comparator patients. These confounding variables may</w:t>
      </w:r>
      <w:r>
        <w:rPr>
          <w:spacing w:val="1"/>
        </w:rPr>
        <w:t> </w:t>
      </w:r>
      <w:r>
        <w:rPr/>
        <w:t>include: demographic and socioeconomic factors (age, sex, country of birth, Indigenous</w:t>
      </w:r>
      <w:r>
        <w:rPr>
          <w:spacing w:val="1"/>
        </w:rPr>
        <w:t> </w:t>
      </w:r>
      <w:r>
        <w:rPr/>
        <w:t>status, remoteness of patient residence, private health insurance and health care card</w:t>
      </w:r>
      <w:r>
        <w:rPr>
          <w:spacing w:val="1"/>
        </w:rPr>
        <w:t> </w:t>
      </w:r>
      <w:r>
        <w:rPr/>
        <w:t>holder status) and measures of baseline patient characteristics reflecting levels of risk, based</w:t>
      </w:r>
      <w:r>
        <w:rPr>
          <w:spacing w:val="1"/>
        </w:rPr>
        <w:t> </w:t>
      </w:r>
      <w:r>
        <w:rPr/>
        <w:t>on analysis of available data (which include: health service use, pharmacy use, diagnoses in</w:t>
      </w:r>
      <w:r>
        <w:rPr>
          <w:spacing w:val="-53"/>
        </w:rPr>
        <w:t> </w:t>
      </w:r>
      <w:r>
        <w:rPr/>
        <w:t>the</w:t>
      </w:r>
      <w:r>
        <w:rPr>
          <w:spacing w:val="-2"/>
        </w:rPr>
        <w:t> </w:t>
      </w:r>
      <w:r>
        <w:rPr/>
        <w:t>two-year</w:t>
      </w:r>
      <w:r>
        <w:rPr>
          <w:spacing w:val="-1"/>
        </w:rPr>
        <w:t> </w:t>
      </w:r>
      <w:r>
        <w:rPr/>
        <w:t>period</w:t>
      </w:r>
      <w:r>
        <w:rPr>
          <w:spacing w:val="-1"/>
        </w:rPr>
        <w:t> </w:t>
      </w:r>
      <w:r>
        <w:rPr/>
        <w:t>prior</w:t>
      </w:r>
      <w:r>
        <w:rPr>
          <w:spacing w:val="2"/>
        </w:rPr>
        <w:t> </w:t>
      </w:r>
      <w:r>
        <w:rPr/>
        <w:t>to</w:t>
      </w:r>
      <w:r>
        <w:rPr>
          <w:spacing w:val="-1"/>
        </w:rPr>
        <w:t> </w:t>
      </w:r>
      <w:r>
        <w:rPr/>
        <w:t>baseline).</w:t>
      </w:r>
    </w:p>
    <w:p>
      <w:pPr>
        <w:pStyle w:val="BodyText"/>
        <w:spacing w:line="276" w:lineRule="auto" w:before="202"/>
        <w:ind w:left="860" w:right="1236"/>
      </w:pPr>
      <w:r>
        <w:rPr/>
        <w:t>Underlying statistical models will reflect the nature of the measures, for example logistic</w:t>
      </w:r>
      <w:r>
        <w:rPr>
          <w:spacing w:val="1"/>
        </w:rPr>
        <w:t> </w:t>
      </w:r>
      <w:r>
        <w:rPr/>
        <w:t>(proportions),</w:t>
      </w:r>
      <w:r>
        <w:rPr>
          <w:spacing w:val="-6"/>
        </w:rPr>
        <w:t> </w:t>
      </w:r>
      <w:r>
        <w:rPr/>
        <w:t>Poisson</w:t>
      </w:r>
      <w:r>
        <w:rPr>
          <w:spacing w:val="-1"/>
        </w:rPr>
        <w:t> </w:t>
      </w:r>
      <w:r>
        <w:rPr/>
        <w:t>or</w:t>
      </w:r>
      <w:r>
        <w:rPr>
          <w:spacing w:val="-2"/>
        </w:rPr>
        <w:t> </w:t>
      </w:r>
      <w:r>
        <w:rPr/>
        <w:t>negative</w:t>
      </w:r>
      <w:r>
        <w:rPr>
          <w:spacing w:val="-5"/>
        </w:rPr>
        <w:t> </w:t>
      </w:r>
      <w:r>
        <w:rPr/>
        <w:t>binomial</w:t>
      </w:r>
      <w:r>
        <w:rPr>
          <w:spacing w:val="-5"/>
        </w:rPr>
        <w:t> </w:t>
      </w:r>
      <w:r>
        <w:rPr/>
        <w:t>(for</w:t>
      </w:r>
      <w:r>
        <w:rPr>
          <w:spacing w:val="-2"/>
        </w:rPr>
        <w:t> </w:t>
      </w:r>
      <w:r>
        <w:rPr/>
        <w:t>measures</w:t>
      </w:r>
      <w:r>
        <w:rPr>
          <w:spacing w:val="-5"/>
        </w:rPr>
        <w:t> </w:t>
      </w:r>
      <w:r>
        <w:rPr/>
        <w:t>reflecting</w:t>
      </w:r>
      <w:r>
        <w:rPr>
          <w:spacing w:val="-5"/>
        </w:rPr>
        <w:t> </w:t>
      </w:r>
      <w:r>
        <w:rPr/>
        <w:t>counts/rates)</w:t>
      </w:r>
      <w:r>
        <w:rPr>
          <w:spacing w:val="-4"/>
        </w:rPr>
        <w:t> </w:t>
      </w:r>
      <w:r>
        <w:rPr/>
        <w:t>or</w:t>
      </w:r>
      <w:r>
        <w:rPr>
          <w:spacing w:val="-6"/>
        </w:rPr>
        <w:t> </w:t>
      </w:r>
      <w:r>
        <w:rPr/>
        <w:t>gamma</w:t>
      </w:r>
      <w:r>
        <w:rPr>
          <w:spacing w:val="-52"/>
        </w:rPr>
        <w:t> </w:t>
      </w:r>
      <w:r>
        <w:rPr/>
        <w:t>(for</w:t>
      </w:r>
      <w:r>
        <w:rPr>
          <w:spacing w:val="-2"/>
        </w:rPr>
        <w:t> </w:t>
      </w:r>
      <w:r>
        <w:rPr/>
        <w:t>measures</w:t>
      </w:r>
      <w:r>
        <w:rPr>
          <w:spacing w:val="1"/>
        </w:rPr>
        <w:t> </w:t>
      </w:r>
      <w:r>
        <w:rPr/>
        <w:t>of</w:t>
      </w:r>
      <w:r>
        <w:rPr>
          <w:spacing w:val="-1"/>
        </w:rPr>
        <w:t> </w:t>
      </w:r>
      <w:r>
        <w:rPr/>
        <w:t>costs).</w:t>
      </w:r>
    </w:p>
    <w:p>
      <w:pPr>
        <w:pStyle w:val="BodyText"/>
        <w:spacing w:line="276" w:lineRule="auto" w:before="200"/>
        <w:ind w:left="860" w:right="1198"/>
        <w:jc w:val="both"/>
      </w:pPr>
      <w:r>
        <w:rPr/>
        <w:t>In many of the analyses the objective will be to identify differences in trends for HCH patients</w:t>
      </w:r>
      <w:r>
        <w:rPr>
          <w:spacing w:val="-53"/>
        </w:rPr>
        <w:t> </w:t>
      </w:r>
      <w:r>
        <w:rPr/>
        <w:t>compared with comparator patients. Measures will be assessed at six-monthly intervals within</w:t>
      </w:r>
      <w:r>
        <w:rPr>
          <w:spacing w:val="-53"/>
        </w:rPr>
        <w:t> </w:t>
      </w:r>
      <w:r>
        <w:rPr/>
        <w:t>the</w:t>
      </w:r>
      <w:r>
        <w:rPr>
          <w:spacing w:val="-2"/>
        </w:rPr>
        <w:t> </w:t>
      </w:r>
      <w:r>
        <w:rPr/>
        <w:t>two</w:t>
      </w:r>
      <w:r>
        <w:rPr>
          <w:spacing w:val="-2"/>
        </w:rPr>
        <w:t> </w:t>
      </w:r>
      <w:r>
        <w:rPr/>
        <w:t>years</w:t>
      </w:r>
      <w:r>
        <w:rPr>
          <w:spacing w:val="-2"/>
        </w:rPr>
        <w:t> </w:t>
      </w:r>
      <w:r>
        <w:rPr/>
        <w:t>prior</w:t>
      </w:r>
      <w:r>
        <w:rPr>
          <w:spacing w:val="-2"/>
        </w:rPr>
        <w:t> </w:t>
      </w:r>
      <w:r>
        <w:rPr/>
        <w:t>to</w:t>
      </w:r>
      <w:r>
        <w:rPr>
          <w:spacing w:val="-2"/>
        </w:rPr>
        <w:t> </w:t>
      </w:r>
      <w:r>
        <w:rPr/>
        <w:t>HCH</w:t>
      </w:r>
      <w:r>
        <w:rPr>
          <w:spacing w:val="-1"/>
        </w:rPr>
        <w:t> </w:t>
      </w:r>
      <w:r>
        <w:rPr/>
        <w:t>enrolment,</w:t>
      </w:r>
      <w:r>
        <w:rPr>
          <w:spacing w:val="-4"/>
        </w:rPr>
        <w:t> </w:t>
      </w:r>
      <w:r>
        <w:rPr/>
        <w:t>and</w:t>
      </w:r>
      <w:r>
        <w:rPr>
          <w:spacing w:val="-2"/>
        </w:rPr>
        <w:t> </w:t>
      </w:r>
      <w:r>
        <w:rPr/>
        <w:t>at each</w:t>
      </w:r>
      <w:r>
        <w:rPr>
          <w:spacing w:val="-1"/>
        </w:rPr>
        <w:t> </w:t>
      </w:r>
      <w:r>
        <w:rPr/>
        <w:t>six-month interval following</w:t>
      </w:r>
      <w:r>
        <w:rPr>
          <w:spacing w:val="-2"/>
        </w:rPr>
        <w:t> </w:t>
      </w:r>
      <w:r>
        <w:rPr/>
        <w:t>enrolment.</w:t>
      </w:r>
    </w:p>
    <w:p>
      <w:pPr>
        <w:pStyle w:val="BodyText"/>
        <w:spacing w:line="276" w:lineRule="auto"/>
        <w:ind w:left="860" w:right="1292"/>
      </w:pPr>
      <w:hyperlink w:history="true" w:anchor="_bookmark52">
        <w:r>
          <w:rPr/>
          <w:t>Figure 3 </w:t>
        </w:r>
      </w:hyperlink>
      <w:r>
        <w:rPr/>
        <w:t>illustrates the analysis approach for a hypothetical measure. In this instance, there is</w:t>
      </w:r>
      <w:r>
        <w:rPr>
          <w:spacing w:val="-53"/>
        </w:rPr>
        <w:t> </w:t>
      </w:r>
      <w:r>
        <w:rPr/>
        <w:t>a long term downward trend for both HCH and comparator patients for this measure. The</w:t>
      </w:r>
      <w:r>
        <w:rPr>
          <w:spacing w:val="1"/>
        </w:rPr>
        <w:t> </w:t>
      </w:r>
      <w:r>
        <w:rPr/>
        <w:t>aim of analysis is to detect a change in this trend for HCH patient following the HCH</w:t>
      </w:r>
      <w:r>
        <w:rPr>
          <w:spacing w:val="1"/>
        </w:rPr>
        <w:t> </w:t>
      </w:r>
      <w:r>
        <w:rPr/>
        <w:t>implementation. This change may be reflected in a once-off change to the level observed</w:t>
      </w:r>
      <w:r>
        <w:rPr>
          <w:spacing w:val="1"/>
        </w:rPr>
        <w:t> </w:t>
      </w:r>
      <w:r>
        <w:rPr/>
        <w:t>for</w:t>
      </w:r>
      <w:r>
        <w:rPr>
          <w:spacing w:val="-2"/>
        </w:rPr>
        <w:t> </w:t>
      </w:r>
      <w:r>
        <w:rPr/>
        <w:t>HCH patients</w:t>
      </w:r>
      <w:r>
        <w:rPr>
          <w:spacing w:val="-2"/>
        </w:rPr>
        <w:t> </w:t>
      </w:r>
      <w:r>
        <w:rPr/>
        <w:t>and/or</w:t>
      </w:r>
      <w:r>
        <w:rPr>
          <w:spacing w:val="2"/>
        </w:rPr>
        <w:t> </w:t>
      </w:r>
      <w:r>
        <w:rPr/>
        <w:t>a</w:t>
      </w:r>
      <w:r>
        <w:rPr>
          <w:spacing w:val="-1"/>
        </w:rPr>
        <w:t> </w:t>
      </w:r>
      <w:r>
        <w:rPr/>
        <w:t>change</w:t>
      </w:r>
      <w:r>
        <w:rPr>
          <w:spacing w:val="-1"/>
        </w:rPr>
        <w:t> </w:t>
      </w:r>
      <w:r>
        <w:rPr/>
        <w:t>in</w:t>
      </w:r>
      <w:r>
        <w:rPr>
          <w:spacing w:val="-1"/>
        </w:rPr>
        <w:t> </w:t>
      </w:r>
      <w:r>
        <w:rPr/>
        <w:t>the slope of the</w:t>
      </w:r>
      <w:r>
        <w:rPr>
          <w:spacing w:val="-1"/>
        </w:rPr>
        <w:t> </w:t>
      </w:r>
      <w:r>
        <w:rPr/>
        <w:t>trend.</w:t>
      </w:r>
    </w:p>
    <w:p>
      <w:pPr>
        <w:spacing w:after="0" w:line="276" w:lineRule="auto"/>
        <w:sectPr>
          <w:pgSz w:w="11910" w:h="16840"/>
          <w:pgMar w:header="0" w:footer="675" w:top="0" w:bottom="860" w:left="580" w:right="280"/>
        </w:sectPr>
      </w:pPr>
    </w:p>
    <w:p>
      <w:pPr>
        <w:spacing w:before="80"/>
        <w:ind w:left="1225" w:right="1523" w:firstLine="0"/>
        <w:jc w:val="center"/>
        <w:rPr>
          <w:b/>
          <w:sz w:val="18"/>
        </w:rPr>
      </w:pPr>
      <w:bookmarkStart w:name="_bookmark52" w:id="53"/>
      <w:bookmarkEnd w:id="53"/>
      <w:r>
        <w:rPr/>
      </w:r>
      <w:r>
        <w:rPr>
          <w:b/>
          <w:sz w:val="18"/>
        </w:rPr>
        <w:t>Figure</w:t>
      </w:r>
      <w:r>
        <w:rPr>
          <w:b/>
          <w:spacing w:val="-2"/>
          <w:sz w:val="18"/>
        </w:rPr>
        <w:t> </w:t>
      </w:r>
      <w:r>
        <w:rPr>
          <w:b/>
          <w:sz w:val="18"/>
        </w:rPr>
        <w:t>3</w:t>
      </w:r>
      <w:r>
        <w:rPr>
          <w:b/>
          <w:spacing w:val="-2"/>
          <w:sz w:val="18"/>
        </w:rPr>
        <w:t> </w:t>
      </w:r>
      <w:r>
        <w:rPr>
          <w:b/>
          <w:sz w:val="18"/>
        </w:rPr>
        <w:t>–</w:t>
      </w:r>
      <w:r>
        <w:rPr>
          <w:b/>
          <w:spacing w:val="-2"/>
          <w:sz w:val="18"/>
        </w:rPr>
        <w:t> </w:t>
      </w:r>
      <w:r>
        <w:rPr>
          <w:b/>
          <w:sz w:val="18"/>
        </w:rPr>
        <w:t>Illustration</w:t>
      </w:r>
      <w:r>
        <w:rPr>
          <w:b/>
          <w:spacing w:val="-2"/>
          <w:sz w:val="18"/>
        </w:rPr>
        <w:t> </w:t>
      </w:r>
      <w:r>
        <w:rPr>
          <w:b/>
          <w:sz w:val="18"/>
        </w:rPr>
        <w:t>of</w:t>
      </w:r>
      <w:r>
        <w:rPr>
          <w:b/>
          <w:spacing w:val="-2"/>
          <w:sz w:val="18"/>
        </w:rPr>
        <w:t> </w:t>
      </w:r>
      <w:r>
        <w:rPr>
          <w:b/>
          <w:sz w:val="18"/>
        </w:rPr>
        <w:t>comparative</w:t>
      </w:r>
      <w:r>
        <w:rPr>
          <w:b/>
          <w:spacing w:val="-2"/>
          <w:sz w:val="18"/>
        </w:rPr>
        <w:t> </w:t>
      </w:r>
      <w:r>
        <w:rPr>
          <w:b/>
          <w:sz w:val="18"/>
        </w:rPr>
        <w:t>analysis</w:t>
      </w:r>
      <w:r>
        <w:rPr>
          <w:b/>
          <w:spacing w:val="-2"/>
          <w:sz w:val="18"/>
        </w:rPr>
        <w:t> </w:t>
      </w:r>
      <w:r>
        <w:rPr>
          <w:b/>
          <w:sz w:val="18"/>
        </w:rPr>
        <w:t>strategy</w:t>
      </w:r>
    </w:p>
    <w:p>
      <w:pPr>
        <w:pStyle w:val="BodyText"/>
        <w:spacing w:before="8"/>
        <w:rPr>
          <w:b/>
          <w:sz w:val="6"/>
        </w:rPr>
      </w:pPr>
      <w:r>
        <w:rPr/>
        <w:drawing>
          <wp:anchor distT="0" distB="0" distL="0" distR="0" allowOverlap="1" layoutInCell="1" locked="0" behindDoc="0" simplePos="0" relativeHeight="24">
            <wp:simplePos x="0" y="0"/>
            <wp:positionH relativeFrom="page">
              <wp:posOffset>1656271</wp:posOffset>
            </wp:positionH>
            <wp:positionV relativeFrom="paragraph">
              <wp:posOffset>67375</wp:posOffset>
            </wp:positionV>
            <wp:extent cx="4362471" cy="2971800"/>
            <wp:effectExtent l="0" t="0" r="0" b="0"/>
            <wp:wrapTopAndBottom/>
            <wp:docPr id="11" name="image10.png" descr="Shows an example of the analysis that will be carried out using comparator groups. Two trendlines are depicted: one demonstrating the measurements of the comparator group and the other the intervention group with the divergence  between the lines attributed to the effect of the HCH program."/>
            <wp:cNvGraphicFramePr>
              <a:graphicFrameLocks noChangeAspect="1"/>
            </wp:cNvGraphicFramePr>
            <a:graphic>
              <a:graphicData uri="http://schemas.openxmlformats.org/drawingml/2006/picture">
                <pic:pic>
                  <pic:nvPicPr>
                    <pic:cNvPr id="12" name="image10.png"/>
                    <pic:cNvPicPr/>
                  </pic:nvPicPr>
                  <pic:blipFill>
                    <a:blip r:embed="rId34" cstate="print"/>
                    <a:stretch>
                      <a:fillRect/>
                    </a:stretch>
                  </pic:blipFill>
                  <pic:spPr>
                    <a:xfrm>
                      <a:off x="0" y="0"/>
                      <a:ext cx="4362471" cy="2971800"/>
                    </a:xfrm>
                    <a:prstGeom prst="rect">
                      <a:avLst/>
                    </a:prstGeom>
                  </pic:spPr>
                </pic:pic>
              </a:graphicData>
            </a:graphic>
          </wp:anchor>
        </w:drawing>
      </w:r>
    </w:p>
    <w:p>
      <w:pPr>
        <w:pStyle w:val="BodyText"/>
        <w:rPr>
          <w:b/>
          <w:sz w:val="22"/>
        </w:rPr>
      </w:pPr>
    </w:p>
    <w:p>
      <w:pPr>
        <w:pStyle w:val="BodyText"/>
        <w:spacing w:before="1"/>
        <w:rPr>
          <w:b/>
          <w:sz w:val="19"/>
        </w:rPr>
      </w:pPr>
    </w:p>
    <w:p>
      <w:pPr>
        <w:pStyle w:val="BodyText"/>
        <w:spacing w:line="276" w:lineRule="auto"/>
        <w:ind w:left="860" w:right="1260"/>
      </w:pPr>
      <w:r>
        <w:rPr/>
        <w:t>Comparison cohorts will be established to address several of detailed questions specified for</w:t>
      </w:r>
      <w:r>
        <w:rPr>
          <w:spacing w:val="-53"/>
        </w:rPr>
        <w:t> </w:t>
      </w:r>
      <w:r>
        <w:rPr/>
        <w:t>key questions 2 and 3. Two comparison cohorts will be created, one based on data from</w:t>
      </w:r>
      <w:r>
        <w:rPr>
          <w:spacing w:val="1"/>
        </w:rPr>
        <w:t> </w:t>
      </w:r>
      <w:r>
        <w:rPr/>
        <w:t>national sources (MBS, PBS, hospital data), and the second based on data from practice</w:t>
      </w:r>
      <w:r>
        <w:rPr>
          <w:spacing w:val="1"/>
        </w:rPr>
        <w:t> </w:t>
      </w:r>
      <w:r>
        <w:rPr/>
        <w:t>extracts.</w:t>
      </w:r>
    </w:p>
    <w:p>
      <w:pPr>
        <w:pStyle w:val="BodyText"/>
        <w:spacing w:line="276" w:lineRule="auto" w:before="200"/>
        <w:ind w:left="860" w:right="1176"/>
      </w:pPr>
      <w:r>
        <w:rPr/>
        <w:t>Survival analysis will be used for measures related to time-to-event, including comparisons of</w:t>
      </w:r>
      <w:r>
        <w:rPr>
          <w:spacing w:val="1"/>
        </w:rPr>
        <w:t> </w:t>
      </w:r>
      <w:r>
        <w:rPr/>
        <w:t>median time-to-event for each of the comparison groups. Time-to-event data, such as time-</w:t>
      </w:r>
      <w:r>
        <w:rPr>
          <w:spacing w:val="1"/>
        </w:rPr>
        <w:t> </w:t>
      </w:r>
      <w:r>
        <w:rPr/>
        <w:t>to-death or time-to-first hospital admission, will be analysed using Cox Proportional Hazard</w:t>
      </w:r>
      <w:r>
        <w:rPr>
          <w:spacing w:val="1"/>
        </w:rPr>
        <w:t> </w:t>
      </w:r>
      <w:r>
        <w:rPr/>
        <w:t>models fitted within</w:t>
      </w:r>
      <w:r>
        <w:rPr>
          <w:spacing w:val="2"/>
        </w:rPr>
        <w:t> </w:t>
      </w:r>
      <w:r>
        <w:rPr/>
        <w:t>a</w:t>
      </w:r>
      <w:r>
        <w:rPr>
          <w:spacing w:val="1"/>
        </w:rPr>
        <w:t> </w:t>
      </w:r>
      <w:r>
        <w:rPr/>
        <w:t>multilevel</w:t>
      </w:r>
      <w:r>
        <w:rPr>
          <w:spacing w:val="1"/>
        </w:rPr>
        <w:t> </w:t>
      </w:r>
      <w:r>
        <w:rPr/>
        <w:t>modelling</w:t>
      </w:r>
      <w:r>
        <w:rPr>
          <w:spacing w:val="1"/>
        </w:rPr>
        <w:t> </w:t>
      </w:r>
      <w:r>
        <w:rPr/>
        <w:t>framework</w:t>
      </w:r>
      <w:r>
        <w:rPr>
          <w:spacing w:val="3"/>
        </w:rPr>
        <w:t> </w:t>
      </w:r>
      <w:r>
        <w:rPr/>
        <w:t>(i.e.</w:t>
      </w:r>
      <w:r>
        <w:rPr>
          <w:spacing w:val="-1"/>
        </w:rPr>
        <w:t> </w:t>
      </w:r>
      <w:r>
        <w:rPr/>
        <w:t>with</w:t>
      </w:r>
      <w:r>
        <w:rPr>
          <w:spacing w:val="1"/>
        </w:rPr>
        <w:t> </w:t>
      </w:r>
      <w:r>
        <w:rPr/>
        <w:t>a</w:t>
      </w:r>
      <w:r>
        <w:rPr>
          <w:spacing w:val="1"/>
        </w:rPr>
        <w:t> </w:t>
      </w:r>
      <w:r>
        <w:rPr/>
        <w:t>frailty term).</w:t>
      </w:r>
      <w:r>
        <w:rPr>
          <w:spacing w:val="-2"/>
        </w:rPr>
        <w:t> </w:t>
      </w:r>
      <w:r>
        <w:rPr/>
        <w:t>For</w:t>
      </w:r>
      <w:r>
        <w:rPr>
          <w:spacing w:val="1"/>
        </w:rPr>
        <w:t> </w:t>
      </w:r>
      <w:r>
        <w:rPr/>
        <w:t>mortality,</w:t>
      </w:r>
      <w:r>
        <w:rPr>
          <w:spacing w:val="1"/>
        </w:rPr>
        <w:t> </w:t>
      </w:r>
      <w:r>
        <w:rPr/>
        <w:t>the outcome will be whether the patient died and the time variable will be calculated as the</w:t>
      </w:r>
      <w:r>
        <w:rPr>
          <w:spacing w:val="-53"/>
        </w:rPr>
        <w:t> </w:t>
      </w:r>
      <w:r>
        <w:rPr/>
        <w:t>number of days from the start of the intervention to the date of death for those who died, or</w:t>
      </w:r>
      <w:r>
        <w:rPr>
          <w:spacing w:val="1"/>
        </w:rPr>
        <w:t> </w:t>
      </w:r>
      <w:r>
        <w:rPr/>
        <w:t>from the start of the intervention to the end of the follow-up period for those who are still</w:t>
      </w:r>
      <w:r>
        <w:rPr>
          <w:spacing w:val="1"/>
        </w:rPr>
        <w:t> </w:t>
      </w:r>
      <w:r>
        <w:rPr/>
        <w:t>alive. For non-fatal outcomes, the time variable will be calculated as the number of days</w:t>
      </w:r>
      <w:r>
        <w:rPr>
          <w:spacing w:val="1"/>
        </w:rPr>
        <w:t> </w:t>
      </w:r>
      <w:r>
        <w:rPr/>
        <w:t>from the start of the intervention to the date of the outcome of interest for those who had an</w:t>
      </w:r>
      <w:r>
        <w:rPr>
          <w:spacing w:val="-53"/>
        </w:rPr>
        <w:t> </w:t>
      </w:r>
      <w:r>
        <w:rPr/>
        <w:t>event, or from the start of the intervention to the end of the follow-up period or date of</w:t>
      </w:r>
      <w:r>
        <w:rPr>
          <w:spacing w:val="1"/>
        </w:rPr>
        <w:t> </w:t>
      </w:r>
      <w:r>
        <w:rPr/>
        <w:t>death, whichever comes first, for patients who did not have an event of interest. For the</w:t>
      </w:r>
      <w:r>
        <w:rPr>
          <w:spacing w:val="1"/>
        </w:rPr>
        <w:t> </w:t>
      </w:r>
      <w:r>
        <w:rPr/>
        <w:t>comparator cohort, the start date will be the start of the intervention from the matched</w:t>
      </w:r>
      <w:r>
        <w:rPr>
          <w:spacing w:val="1"/>
        </w:rPr>
        <w:t> </w:t>
      </w:r>
      <w:r>
        <w:rPr/>
        <w:t>intervention</w:t>
      </w:r>
      <w:r>
        <w:rPr>
          <w:spacing w:val="-1"/>
        </w:rPr>
        <w:t> </w:t>
      </w:r>
      <w:r>
        <w:rPr/>
        <w:t>patient.</w:t>
      </w:r>
    </w:p>
    <w:p>
      <w:pPr>
        <w:pStyle w:val="Heading2"/>
        <w:spacing w:before="200"/>
      </w:pPr>
      <w:bookmarkStart w:name="_bookmark53" w:id="54"/>
      <w:bookmarkEnd w:id="54"/>
      <w:r>
        <w:rPr/>
      </w:r>
      <w:r>
        <w:rPr>
          <w:color w:val="003C79"/>
        </w:rPr>
        <w:t>Before-and-after</w:t>
      </w:r>
      <w:r>
        <w:rPr>
          <w:color w:val="003C79"/>
          <w:spacing w:val="-10"/>
        </w:rPr>
        <w:t> </w:t>
      </w:r>
      <w:r>
        <w:rPr>
          <w:color w:val="003C79"/>
        </w:rPr>
        <w:t>analysis</w:t>
      </w:r>
    </w:p>
    <w:p>
      <w:pPr>
        <w:pStyle w:val="BodyText"/>
        <w:spacing w:line="276" w:lineRule="auto" w:before="259"/>
        <w:ind w:left="860" w:right="1154"/>
      </w:pPr>
      <w:r>
        <w:rPr/>
        <w:t>For measures in which data will be available only for HCH patients or practices, analysis</w:t>
      </w:r>
      <w:r>
        <w:rPr>
          <w:spacing w:val="1"/>
        </w:rPr>
        <w:t> </w:t>
      </w:r>
      <w:r>
        <w:rPr/>
        <w:t>approaches</w:t>
      </w:r>
      <w:r>
        <w:rPr>
          <w:spacing w:val="-4"/>
        </w:rPr>
        <w:t> </w:t>
      </w:r>
      <w:r>
        <w:rPr/>
        <w:t>will</w:t>
      </w:r>
      <w:r>
        <w:rPr>
          <w:spacing w:val="-3"/>
        </w:rPr>
        <w:t> </w:t>
      </w:r>
      <w:r>
        <w:rPr/>
        <w:t>compare</w:t>
      </w:r>
      <w:r>
        <w:rPr>
          <w:spacing w:val="-4"/>
        </w:rPr>
        <w:t> </w:t>
      </w:r>
      <w:r>
        <w:rPr/>
        <w:t>trends</w:t>
      </w:r>
      <w:r>
        <w:rPr>
          <w:spacing w:val="-1"/>
        </w:rPr>
        <w:t> </w:t>
      </w:r>
      <w:r>
        <w:rPr/>
        <w:t>or</w:t>
      </w:r>
      <w:r>
        <w:rPr>
          <w:spacing w:val="-4"/>
        </w:rPr>
        <w:t> </w:t>
      </w:r>
      <w:r>
        <w:rPr/>
        <w:t>point</w:t>
      </w:r>
      <w:r>
        <w:rPr>
          <w:spacing w:val="-2"/>
        </w:rPr>
        <w:t> </w:t>
      </w:r>
      <w:r>
        <w:rPr/>
        <w:t>in</w:t>
      </w:r>
      <w:r>
        <w:rPr>
          <w:spacing w:val="-3"/>
        </w:rPr>
        <w:t> </w:t>
      </w:r>
      <w:r>
        <w:rPr/>
        <w:t>time</w:t>
      </w:r>
      <w:r>
        <w:rPr>
          <w:spacing w:val="-5"/>
        </w:rPr>
        <w:t> </w:t>
      </w:r>
      <w:r>
        <w:rPr/>
        <w:t>prior</w:t>
      </w:r>
      <w:r>
        <w:rPr>
          <w:spacing w:val="-4"/>
        </w:rPr>
        <w:t> </w:t>
      </w:r>
      <w:r>
        <w:rPr/>
        <w:t>to</w:t>
      </w:r>
      <w:r>
        <w:rPr>
          <w:spacing w:val="-4"/>
        </w:rPr>
        <w:t> </w:t>
      </w:r>
      <w:r>
        <w:rPr/>
        <w:t>and</w:t>
      </w:r>
      <w:r>
        <w:rPr>
          <w:spacing w:val="-4"/>
        </w:rPr>
        <w:t> </w:t>
      </w:r>
      <w:r>
        <w:rPr/>
        <w:t>after</w:t>
      </w:r>
      <w:r>
        <w:rPr>
          <w:spacing w:val="-4"/>
        </w:rPr>
        <w:t> </w:t>
      </w:r>
      <w:r>
        <w:rPr/>
        <w:t>implementation/enrolment</w:t>
      </w:r>
      <w:r>
        <w:rPr>
          <w:spacing w:val="-52"/>
        </w:rPr>
        <w:t> </w:t>
      </w:r>
      <w:r>
        <w:rPr/>
        <w:t>in the HCH program. For example, patient surveys will collect data on patients’ experience.</w:t>
      </w:r>
      <w:r>
        <w:rPr>
          <w:spacing w:val="1"/>
        </w:rPr>
        <w:t> </w:t>
      </w:r>
      <w:r>
        <w:rPr/>
        <w:t>The survey data will be collected at two time points. The baseline survey will be conducted</w:t>
      </w:r>
      <w:r>
        <w:rPr>
          <w:spacing w:val="1"/>
        </w:rPr>
        <w:t> </w:t>
      </w:r>
      <w:r>
        <w:rPr/>
        <w:t>shortly after the patient is enrolled in HCH, and the follow-up surveys will be conducted close</w:t>
      </w:r>
      <w:r>
        <w:rPr>
          <w:spacing w:val="1"/>
        </w:rPr>
        <w:t> </w:t>
      </w:r>
      <w:r>
        <w:rPr/>
        <w:t>to</w:t>
      </w:r>
      <w:r>
        <w:rPr>
          <w:spacing w:val="-1"/>
        </w:rPr>
        <w:t> </w:t>
      </w:r>
      <w:r>
        <w:rPr/>
        <w:t>the</w:t>
      </w:r>
      <w:r>
        <w:rPr>
          <w:spacing w:val="-2"/>
        </w:rPr>
        <w:t> </w:t>
      </w:r>
      <w:r>
        <w:rPr/>
        <w:t>end</w:t>
      </w:r>
      <w:r>
        <w:rPr>
          <w:spacing w:val="-1"/>
        </w:rPr>
        <w:t> </w:t>
      </w:r>
      <w:r>
        <w:rPr/>
        <w:t>of</w:t>
      </w:r>
      <w:r>
        <w:rPr>
          <w:spacing w:val="-1"/>
        </w:rPr>
        <w:t> </w:t>
      </w:r>
      <w:r>
        <w:rPr/>
        <w:t>the</w:t>
      </w:r>
      <w:r>
        <w:rPr>
          <w:spacing w:val="-1"/>
        </w:rPr>
        <w:t> </w:t>
      </w:r>
      <w:r>
        <w:rPr/>
        <w:t>trial.</w:t>
      </w:r>
    </w:p>
    <w:p>
      <w:pPr>
        <w:pStyle w:val="BodyText"/>
        <w:spacing w:line="276" w:lineRule="auto" w:before="202"/>
        <w:ind w:left="860" w:right="1190"/>
      </w:pPr>
      <w:r>
        <w:rPr/>
        <w:t>The analysis of these outcomes will use all the data that are available at the time, and will be</w:t>
      </w:r>
      <w:r>
        <w:rPr>
          <w:spacing w:val="-53"/>
        </w:rPr>
        <w:t> </w:t>
      </w:r>
      <w:r>
        <w:rPr/>
        <w:t>conducted</w:t>
      </w:r>
      <w:r>
        <w:rPr>
          <w:spacing w:val="-3"/>
        </w:rPr>
        <w:t> </w:t>
      </w:r>
      <w:r>
        <w:rPr/>
        <w:t>using</w:t>
      </w:r>
      <w:r>
        <w:rPr>
          <w:spacing w:val="-3"/>
        </w:rPr>
        <w:t> </w:t>
      </w:r>
      <w:r>
        <w:rPr/>
        <w:t>an</w:t>
      </w:r>
      <w:r>
        <w:rPr>
          <w:spacing w:val="-2"/>
        </w:rPr>
        <w:t> </w:t>
      </w:r>
      <w:r>
        <w:rPr/>
        <w:t>appropriate</w:t>
      </w:r>
      <w:r>
        <w:rPr>
          <w:spacing w:val="-1"/>
        </w:rPr>
        <w:t> </w:t>
      </w:r>
      <w:r>
        <w:rPr/>
        <w:t>regression</w:t>
      </w:r>
      <w:r>
        <w:rPr>
          <w:spacing w:val="-2"/>
        </w:rPr>
        <w:t> </w:t>
      </w:r>
      <w:r>
        <w:rPr/>
        <w:t>model</w:t>
      </w:r>
      <w:r>
        <w:rPr>
          <w:spacing w:val="2"/>
        </w:rPr>
        <w:t> </w:t>
      </w:r>
      <w:r>
        <w:rPr/>
        <w:t>(linear,</w:t>
      </w:r>
      <w:r>
        <w:rPr>
          <w:spacing w:val="-5"/>
        </w:rPr>
        <w:t> </w:t>
      </w:r>
      <w:r>
        <w:rPr/>
        <w:t>logistic,</w:t>
      </w:r>
      <w:r>
        <w:rPr>
          <w:spacing w:val="-2"/>
        </w:rPr>
        <w:t> </w:t>
      </w:r>
      <w:r>
        <w:rPr/>
        <w:t>Poisson or</w:t>
      </w:r>
      <w:r>
        <w:rPr>
          <w:spacing w:val="-3"/>
        </w:rPr>
        <w:t> </w:t>
      </w:r>
      <w:r>
        <w:rPr/>
        <w:t>negative</w:t>
      </w:r>
    </w:p>
    <w:p>
      <w:pPr>
        <w:spacing w:after="0" w:line="276" w:lineRule="auto"/>
        <w:sectPr>
          <w:pgSz w:w="11910" w:h="16840"/>
          <w:pgMar w:header="0" w:footer="675" w:top="1340" w:bottom="860" w:left="580" w:right="280"/>
        </w:sectPr>
      </w:pPr>
    </w:p>
    <w:p>
      <w:pPr>
        <w:pStyle w:val="BodyText"/>
        <w:spacing w:line="276" w:lineRule="auto" w:before="82"/>
        <w:ind w:left="860" w:right="1455"/>
      </w:pPr>
      <w:r>
        <w:rPr/>
        <w:t>binomial,</w:t>
      </w:r>
      <w:r>
        <w:rPr>
          <w:spacing w:val="-6"/>
        </w:rPr>
        <w:t> </w:t>
      </w:r>
      <w:r>
        <w:rPr/>
        <w:t>gamma)</w:t>
      </w:r>
      <w:r>
        <w:rPr>
          <w:spacing w:val="-4"/>
        </w:rPr>
        <w:t> </w:t>
      </w:r>
      <w:r>
        <w:rPr/>
        <w:t>fitted</w:t>
      </w:r>
      <w:r>
        <w:rPr>
          <w:spacing w:val="-6"/>
        </w:rPr>
        <w:t> </w:t>
      </w:r>
      <w:r>
        <w:rPr/>
        <w:t>within</w:t>
      </w:r>
      <w:r>
        <w:rPr>
          <w:spacing w:val="-3"/>
        </w:rPr>
        <w:t> </w:t>
      </w:r>
      <w:r>
        <w:rPr/>
        <w:t>a</w:t>
      </w:r>
      <w:r>
        <w:rPr>
          <w:spacing w:val="-3"/>
        </w:rPr>
        <w:t> </w:t>
      </w:r>
      <w:r>
        <w:rPr/>
        <w:t>multilevel</w:t>
      </w:r>
      <w:r>
        <w:rPr>
          <w:spacing w:val="-3"/>
        </w:rPr>
        <w:t> </w:t>
      </w:r>
      <w:r>
        <w:rPr/>
        <w:t>modelling</w:t>
      </w:r>
      <w:r>
        <w:rPr>
          <w:spacing w:val="-3"/>
        </w:rPr>
        <w:t> </w:t>
      </w:r>
      <w:r>
        <w:rPr/>
        <w:t>framework.</w:t>
      </w:r>
      <w:r>
        <w:rPr>
          <w:spacing w:val="-4"/>
        </w:rPr>
        <w:t> </w:t>
      </w:r>
      <w:r>
        <w:rPr/>
        <w:t>The</w:t>
      </w:r>
      <w:r>
        <w:rPr>
          <w:spacing w:val="-4"/>
        </w:rPr>
        <w:t> </w:t>
      </w:r>
      <w:r>
        <w:rPr/>
        <w:t>model</w:t>
      </w:r>
      <w:r>
        <w:rPr>
          <w:spacing w:val="-3"/>
        </w:rPr>
        <w:t> </w:t>
      </w:r>
      <w:r>
        <w:rPr/>
        <w:t>will</w:t>
      </w:r>
      <w:r>
        <w:rPr>
          <w:spacing w:val="-3"/>
        </w:rPr>
        <w:t> </w:t>
      </w:r>
      <w:r>
        <w:rPr/>
        <w:t>include</w:t>
      </w:r>
      <w:r>
        <w:rPr>
          <w:spacing w:val="-52"/>
        </w:rPr>
        <w:t> </w:t>
      </w:r>
      <w:r>
        <w:rPr/>
        <w:t>random</w:t>
      </w:r>
      <w:r>
        <w:rPr>
          <w:spacing w:val="-2"/>
        </w:rPr>
        <w:t> </w:t>
      </w:r>
      <w:r>
        <w:rPr/>
        <w:t>effects</w:t>
      </w:r>
      <w:r>
        <w:rPr>
          <w:spacing w:val="-2"/>
        </w:rPr>
        <w:t> </w:t>
      </w:r>
      <w:r>
        <w:rPr/>
        <w:t>for</w:t>
      </w:r>
      <w:r>
        <w:rPr>
          <w:spacing w:val="-2"/>
        </w:rPr>
        <w:t> </w:t>
      </w:r>
      <w:r>
        <w:rPr/>
        <w:t>patients</w:t>
      </w:r>
      <w:r>
        <w:rPr>
          <w:spacing w:val="-1"/>
        </w:rPr>
        <w:t> </w:t>
      </w:r>
      <w:r>
        <w:rPr/>
        <w:t>and</w:t>
      </w:r>
      <w:r>
        <w:rPr>
          <w:spacing w:val="-2"/>
        </w:rPr>
        <w:t> </w:t>
      </w:r>
      <w:r>
        <w:rPr/>
        <w:t>practices,</w:t>
      </w:r>
      <w:r>
        <w:rPr>
          <w:spacing w:val="-4"/>
        </w:rPr>
        <w:t> </w:t>
      </w:r>
      <w:r>
        <w:rPr/>
        <w:t>with</w:t>
      </w:r>
      <w:r>
        <w:rPr>
          <w:spacing w:val="-1"/>
        </w:rPr>
        <w:t> </w:t>
      </w:r>
      <w:r>
        <w:rPr/>
        <w:t>patients</w:t>
      </w:r>
      <w:r>
        <w:rPr>
          <w:spacing w:val="-1"/>
        </w:rPr>
        <w:t> </w:t>
      </w:r>
      <w:r>
        <w:rPr/>
        <w:t>nested</w:t>
      </w:r>
      <w:r>
        <w:rPr>
          <w:spacing w:val="-2"/>
        </w:rPr>
        <w:t> </w:t>
      </w:r>
      <w:r>
        <w:rPr/>
        <w:t>within</w:t>
      </w:r>
      <w:r>
        <w:rPr>
          <w:spacing w:val="-1"/>
        </w:rPr>
        <w:t> </w:t>
      </w:r>
      <w:r>
        <w:rPr/>
        <w:t>practices.</w:t>
      </w:r>
    </w:p>
    <w:p>
      <w:pPr>
        <w:pStyle w:val="Heading2"/>
        <w:spacing w:before="199"/>
      </w:pPr>
      <w:bookmarkStart w:name="_bookmark54" w:id="55"/>
      <w:bookmarkEnd w:id="55"/>
      <w:r>
        <w:rPr/>
      </w:r>
      <w:r>
        <w:rPr>
          <w:color w:val="003C79"/>
        </w:rPr>
        <w:t>Other</w:t>
      </w:r>
      <w:r>
        <w:rPr>
          <w:color w:val="003C79"/>
          <w:spacing w:val="-9"/>
        </w:rPr>
        <w:t> </w:t>
      </w:r>
      <w:r>
        <w:rPr>
          <w:color w:val="003C79"/>
        </w:rPr>
        <w:t>analyses</w:t>
      </w:r>
    </w:p>
    <w:p>
      <w:pPr>
        <w:pStyle w:val="Heading5"/>
        <w:spacing w:before="261"/>
      </w:pPr>
      <w:r>
        <w:rPr>
          <w:color w:val="003C79"/>
        </w:rPr>
        <w:t>Mediation</w:t>
      </w:r>
      <w:r>
        <w:rPr>
          <w:color w:val="003C79"/>
          <w:spacing w:val="-6"/>
        </w:rPr>
        <w:t> </w:t>
      </w:r>
      <w:r>
        <w:rPr>
          <w:color w:val="003C79"/>
        </w:rPr>
        <w:t>analysis</w:t>
      </w:r>
    </w:p>
    <w:p>
      <w:pPr>
        <w:pStyle w:val="BodyText"/>
        <w:spacing w:line="276" w:lineRule="auto" w:before="44"/>
        <w:ind w:left="860" w:right="1271"/>
      </w:pPr>
      <w:r>
        <w:rPr/>
        <w:t>Using data derived from the surveys of staff and patients at the practices, scores will be</w:t>
      </w:r>
      <w:r>
        <w:rPr>
          <w:spacing w:val="1"/>
        </w:rPr>
        <w:t> </w:t>
      </w:r>
      <w:r>
        <w:rPr/>
        <w:t>derived that reflect the extent to which a patient’s care has been changed in accordance</w:t>
      </w:r>
      <w:r>
        <w:rPr>
          <w:spacing w:val="1"/>
        </w:rPr>
        <w:t> </w:t>
      </w:r>
      <w:r>
        <w:rPr/>
        <w:t>with the HCH intervention. Using these scores, a mediation analysis will be undertaken to</w:t>
      </w:r>
      <w:r>
        <w:rPr>
          <w:spacing w:val="1"/>
        </w:rPr>
        <w:t> </w:t>
      </w:r>
      <w:r>
        <w:rPr/>
        <w:t>determine if patients with higher scores are the ones who tend to have the most</w:t>
      </w:r>
      <w:r>
        <w:rPr>
          <w:spacing w:val="1"/>
        </w:rPr>
        <w:t> </w:t>
      </w:r>
      <w:r>
        <w:rPr/>
        <w:t>improvement in the outcomes. Similarly, a separate mediation analysis will be undertaken at</w:t>
      </w:r>
      <w:r>
        <w:rPr>
          <w:spacing w:val="-53"/>
        </w:rPr>
        <w:t> </w:t>
      </w:r>
      <w:r>
        <w:rPr/>
        <w:t>the level of the practice to determine if the patients at the practices that score higher on</w:t>
      </w:r>
      <w:r>
        <w:rPr>
          <w:spacing w:val="1"/>
        </w:rPr>
        <w:t> </w:t>
      </w:r>
      <w:r>
        <w:rPr/>
        <w:t>implementation have better outcomes than practices that score lower after adjusting for</w:t>
      </w:r>
      <w:r>
        <w:rPr>
          <w:spacing w:val="1"/>
        </w:rPr>
        <w:t> </w:t>
      </w:r>
      <w:r>
        <w:rPr/>
        <w:t>pre-intervention</w:t>
      </w:r>
      <w:r>
        <w:rPr>
          <w:spacing w:val="-1"/>
        </w:rPr>
        <w:t> </w:t>
      </w:r>
      <w:r>
        <w:rPr/>
        <w:t>levels.</w:t>
      </w:r>
    </w:p>
    <w:p>
      <w:pPr>
        <w:pStyle w:val="Heading5"/>
        <w:spacing w:before="200"/>
      </w:pPr>
      <w:r>
        <w:rPr>
          <w:color w:val="003C79"/>
        </w:rPr>
        <w:t>Benchmarking</w:t>
      </w:r>
      <w:r>
        <w:rPr>
          <w:color w:val="003C79"/>
          <w:spacing w:val="-4"/>
        </w:rPr>
        <w:t> </w:t>
      </w:r>
      <w:r>
        <w:rPr>
          <w:color w:val="003C79"/>
        </w:rPr>
        <w:t>reports</w:t>
      </w:r>
    </w:p>
    <w:p>
      <w:pPr>
        <w:pStyle w:val="BodyText"/>
        <w:spacing w:line="276" w:lineRule="auto" w:before="44"/>
        <w:ind w:left="860" w:right="1197"/>
      </w:pPr>
      <w:r>
        <w:rPr/>
        <w:t>Benchmarking reports for HCH practices will be made available to individual practices via a</w:t>
      </w:r>
      <w:r>
        <w:rPr>
          <w:spacing w:val="1"/>
        </w:rPr>
        <w:t> </w:t>
      </w:r>
      <w:r>
        <w:rPr/>
        <w:t>secure web portal. PHNs will receive aggregated benchmark reports for the practices in their</w:t>
      </w:r>
      <w:r>
        <w:rPr>
          <w:spacing w:val="-53"/>
        </w:rPr>
        <w:t> </w:t>
      </w:r>
      <w:r>
        <w:rPr/>
        <w:t>region. The reports will include a selection of the evaluation measures with the results for</w:t>
      </w:r>
      <w:r>
        <w:rPr>
          <w:spacing w:val="1"/>
        </w:rPr>
        <w:t> </w:t>
      </w:r>
      <w:r>
        <w:rPr/>
        <w:t>each practice compared with those of similar practices and all practices. These reports will</w:t>
      </w:r>
      <w:r>
        <w:rPr>
          <w:spacing w:val="1"/>
        </w:rPr>
        <w:t> </w:t>
      </w:r>
      <w:r>
        <w:rPr/>
        <w:t>be</w:t>
      </w:r>
      <w:r>
        <w:rPr>
          <w:spacing w:val="-2"/>
        </w:rPr>
        <w:t> </w:t>
      </w:r>
      <w:r>
        <w:rPr/>
        <w:t>provided about once</w:t>
      </w:r>
      <w:r>
        <w:rPr>
          <w:spacing w:val="3"/>
        </w:rPr>
        <w:t> </w:t>
      </w:r>
      <w:r>
        <w:rPr/>
        <w:t>every six months</w:t>
      </w:r>
      <w:r>
        <w:rPr>
          <w:spacing w:val="-1"/>
        </w:rPr>
        <w:t> </w:t>
      </w:r>
      <w:r>
        <w:rPr/>
        <w:t>once</w:t>
      </w:r>
      <w:r>
        <w:rPr>
          <w:spacing w:val="-2"/>
        </w:rPr>
        <w:t> </w:t>
      </w:r>
      <w:r>
        <w:rPr/>
        <w:t>access</w:t>
      </w:r>
      <w:r>
        <w:rPr>
          <w:spacing w:val="-2"/>
        </w:rPr>
        <w:t> </w:t>
      </w:r>
      <w:r>
        <w:rPr/>
        <w:t>to</w:t>
      </w:r>
      <w:r>
        <w:rPr>
          <w:spacing w:val="-2"/>
        </w:rPr>
        <w:t> </w:t>
      </w:r>
      <w:r>
        <w:rPr/>
        <w:t>data is</w:t>
      </w:r>
      <w:r>
        <w:rPr>
          <w:spacing w:val="-2"/>
        </w:rPr>
        <w:t> </w:t>
      </w:r>
      <w:r>
        <w:rPr/>
        <w:t>obtained.</w:t>
      </w:r>
    </w:p>
    <w:p>
      <w:pPr>
        <w:pStyle w:val="Heading5"/>
        <w:spacing w:before="201"/>
      </w:pPr>
      <w:r>
        <w:rPr>
          <w:color w:val="003C79"/>
        </w:rPr>
        <w:t>Validation</w:t>
      </w:r>
      <w:r>
        <w:rPr>
          <w:color w:val="003C79"/>
          <w:spacing w:val="-5"/>
        </w:rPr>
        <w:t> </w:t>
      </w:r>
      <w:r>
        <w:rPr>
          <w:color w:val="003C79"/>
        </w:rPr>
        <w:t>of</w:t>
      </w:r>
      <w:r>
        <w:rPr>
          <w:color w:val="003C79"/>
          <w:spacing w:val="-3"/>
        </w:rPr>
        <w:t> </w:t>
      </w:r>
      <w:r>
        <w:rPr>
          <w:color w:val="003C79"/>
        </w:rPr>
        <w:t>the</w:t>
      </w:r>
      <w:r>
        <w:rPr>
          <w:color w:val="003C79"/>
          <w:spacing w:val="-5"/>
        </w:rPr>
        <w:t> </w:t>
      </w:r>
      <w:r>
        <w:rPr>
          <w:color w:val="003C79"/>
        </w:rPr>
        <w:t>risk</w:t>
      </w:r>
      <w:r>
        <w:rPr>
          <w:color w:val="003C79"/>
          <w:spacing w:val="-4"/>
        </w:rPr>
        <w:t> </w:t>
      </w:r>
      <w:r>
        <w:rPr>
          <w:color w:val="003C79"/>
        </w:rPr>
        <w:t>stratification</w:t>
      </w:r>
      <w:r>
        <w:rPr>
          <w:color w:val="003C79"/>
          <w:spacing w:val="-2"/>
        </w:rPr>
        <w:t> </w:t>
      </w:r>
      <w:r>
        <w:rPr>
          <w:color w:val="003C79"/>
        </w:rPr>
        <w:t>tool</w:t>
      </w:r>
    </w:p>
    <w:p>
      <w:pPr>
        <w:pStyle w:val="BodyText"/>
        <w:spacing w:line="276" w:lineRule="auto" w:before="43"/>
        <w:ind w:left="860" w:right="1374"/>
      </w:pPr>
      <w:r>
        <w:rPr/>
        <w:t>The risk stratification tool will be validated by analysing the risk scores allocated to patients</w:t>
      </w:r>
      <w:r>
        <w:rPr>
          <w:spacing w:val="1"/>
        </w:rPr>
        <w:t> </w:t>
      </w:r>
      <w:r>
        <w:rPr/>
        <w:t>(and the risk strata) at the point of entry to the program and the outcome on which the</w:t>
      </w:r>
      <w:r>
        <w:rPr>
          <w:spacing w:val="1"/>
        </w:rPr>
        <w:t> </w:t>
      </w:r>
      <w:r>
        <w:rPr/>
        <w:t>models were initially developed, that is, hospitalisation in the next 12 months. The validation</w:t>
      </w:r>
      <w:r>
        <w:rPr>
          <w:spacing w:val="-53"/>
        </w:rPr>
        <w:t> </w:t>
      </w:r>
      <w:r>
        <w:rPr/>
        <w:t>will focus</w:t>
      </w:r>
      <w:r>
        <w:rPr>
          <w:spacing w:val="1"/>
        </w:rPr>
        <w:t> </w:t>
      </w:r>
      <w:r>
        <w:rPr/>
        <w:t>on two</w:t>
      </w:r>
      <w:r>
        <w:rPr>
          <w:spacing w:val="-1"/>
        </w:rPr>
        <w:t> </w:t>
      </w:r>
      <w:r>
        <w:rPr/>
        <w:t>aspects:</w:t>
      </w:r>
    </w:p>
    <w:p>
      <w:pPr>
        <w:pStyle w:val="ListParagraph"/>
        <w:numPr>
          <w:ilvl w:val="0"/>
          <w:numId w:val="17"/>
        </w:numPr>
        <w:tabs>
          <w:tab w:pos="1573" w:val="left" w:leader="none"/>
          <w:tab w:pos="1574" w:val="left" w:leader="none"/>
        </w:tabs>
        <w:spacing w:line="276" w:lineRule="auto" w:before="200" w:after="0"/>
        <w:ind w:left="1573" w:right="1323" w:hanging="356"/>
        <w:jc w:val="left"/>
        <w:rPr>
          <w:sz w:val="20"/>
        </w:rPr>
      </w:pPr>
      <w:r>
        <w:rPr>
          <w:sz w:val="20"/>
        </w:rPr>
        <w:t>How well the risk stratification models/process identifies patients who were</w:t>
      </w:r>
      <w:r>
        <w:rPr>
          <w:spacing w:val="1"/>
          <w:sz w:val="20"/>
        </w:rPr>
        <w:t> </w:t>
      </w:r>
      <w:r>
        <w:rPr>
          <w:sz w:val="20"/>
        </w:rPr>
        <w:t>subsequently hospitalised, through analysis of Area Under the Curve (AUC) and</w:t>
      </w:r>
      <w:r>
        <w:rPr>
          <w:spacing w:val="1"/>
          <w:sz w:val="20"/>
        </w:rPr>
        <w:t> </w:t>
      </w:r>
      <w:r>
        <w:rPr>
          <w:sz w:val="20"/>
        </w:rPr>
        <w:t>associated c-statistic. (Supplementary analysis will group patients into 10 groups of</w:t>
      </w:r>
      <w:r>
        <w:rPr>
          <w:spacing w:val="1"/>
          <w:sz w:val="20"/>
        </w:rPr>
        <w:t> </w:t>
      </w:r>
      <w:r>
        <w:rPr>
          <w:sz w:val="20"/>
        </w:rPr>
        <w:t>equal</w:t>
      </w:r>
      <w:r>
        <w:rPr>
          <w:spacing w:val="-3"/>
          <w:sz w:val="20"/>
        </w:rPr>
        <w:t> </w:t>
      </w:r>
      <w:r>
        <w:rPr>
          <w:sz w:val="20"/>
        </w:rPr>
        <w:t>size</w:t>
      </w:r>
      <w:r>
        <w:rPr>
          <w:spacing w:val="-2"/>
          <w:sz w:val="20"/>
        </w:rPr>
        <w:t> </w:t>
      </w:r>
      <w:r>
        <w:rPr>
          <w:sz w:val="20"/>
        </w:rPr>
        <w:t>using</w:t>
      </w:r>
      <w:r>
        <w:rPr>
          <w:spacing w:val="-3"/>
          <w:sz w:val="20"/>
        </w:rPr>
        <w:t> </w:t>
      </w:r>
      <w:r>
        <w:rPr>
          <w:sz w:val="20"/>
        </w:rPr>
        <w:t>the</w:t>
      </w:r>
      <w:r>
        <w:rPr>
          <w:spacing w:val="-4"/>
          <w:sz w:val="20"/>
        </w:rPr>
        <w:t> </w:t>
      </w:r>
      <w:r>
        <w:rPr>
          <w:sz w:val="20"/>
        </w:rPr>
        <w:t>risk</w:t>
      </w:r>
      <w:r>
        <w:rPr>
          <w:spacing w:val="-4"/>
          <w:sz w:val="20"/>
        </w:rPr>
        <w:t> </w:t>
      </w:r>
      <w:r>
        <w:rPr>
          <w:sz w:val="20"/>
        </w:rPr>
        <w:t>score</w:t>
      </w:r>
      <w:r>
        <w:rPr>
          <w:spacing w:val="-3"/>
          <w:sz w:val="20"/>
        </w:rPr>
        <w:t> </w:t>
      </w:r>
      <w:r>
        <w:rPr>
          <w:sz w:val="20"/>
        </w:rPr>
        <w:t>and</w:t>
      </w:r>
      <w:r>
        <w:rPr>
          <w:spacing w:val="-4"/>
          <w:sz w:val="20"/>
        </w:rPr>
        <w:t> </w:t>
      </w:r>
      <w:r>
        <w:rPr>
          <w:sz w:val="20"/>
        </w:rPr>
        <w:t>testing</w:t>
      </w:r>
      <w:r>
        <w:rPr>
          <w:spacing w:val="-3"/>
          <w:sz w:val="20"/>
        </w:rPr>
        <w:t> </w:t>
      </w:r>
      <w:r>
        <w:rPr>
          <w:sz w:val="20"/>
        </w:rPr>
        <w:t>the</w:t>
      </w:r>
      <w:r>
        <w:rPr>
          <w:spacing w:val="-4"/>
          <w:sz w:val="20"/>
        </w:rPr>
        <w:t> </w:t>
      </w:r>
      <w:r>
        <w:rPr>
          <w:sz w:val="20"/>
        </w:rPr>
        <w:t>relationship</w:t>
      </w:r>
      <w:r>
        <w:rPr>
          <w:spacing w:val="-3"/>
          <w:sz w:val="20"/>
        </w:rPr>
        <w:t> </w:t>
      </w:r>
      <w:r>
        <w:rPr>
          <w:sz w:val="20"/>
        </w:rPr>
        <w:t>between</w:t>
      </w:r>
      <w:r>
        <w:rPr>
          <w:spacing w:val="-4"/>
          <w:sz w:val="20"/>
        </w:rPr>
        <w:t> </w:t>
      </w:r>
      <w:r>
        <w:rPr>
          <w:sz w:val="20"/>
        </w:rPr>
        <w:t>the</w:t>
      </w:r>
      <w:r>
        <w:rPr>
          <w:spacing w:val="-4"/>
          <w:sz w:val="20"/>
        </w:rPr>
        <w:t> </w:t>
      </w:r>
      <w:r>
        <w:rPr>
          <w:sz w:val="20"/>
        </w:rPr>
        <w:t>risk</w:t>
      </w:r>
      <w:r>
        <w:rPr>
          <w:spacing w:val="-5"/>
          <w:sz w:val="20"/>
        </w:rPr>
        <w:t> </w:t>
      </w:r>
      <w:r>
        <w:rPr>
          <w:sz w:val="20"/>
        </w:rPr>
        <w:t>score</w:t>
      </w:r>
      <w:r>
        <w:rPr>
          <w:spacing w:val="-4"/>
          <w:sz w:val="20"/>
        </w:rPr>
        <w:t> </w:t>
      </w:r>
      <w:r>
        <w:rPr>
          <w:sz w:val="20"/>
        </w:rPr>
        <w:t>and</w:t>
      </w:r>
      <w:r>
        <w:rPr>
          <w:spacing w:val="-52"/>
          <w:sz w:val="20"/>
        </w:rPr>
        <w:t> </w:t>
      </w:r>
      <w:r>
        <w:rPr>
          <w:sz w:val="20"/>
        </w:rPr>
        <w:t>the</w:t>
      </w:r>
      <w:r>
        <w:rPr>
          <w:spacing w:val="-3"/>
          <w:sz w:val="20"/>
        </w:rPr>
        <w:t> </w:t>
      </w:r>
      <w:r>
        <w:rPr>
          <w:sz w:val="20"/>
        </w:rPr>
        <w:t>proportion</w:t>
      </w:r>
      <w:r>
        <w:rPr>
          <w:spacing w:val="-1"/>
          <w:sz w:val="20"/>
        </w:rPr>
        <w:t> </w:t>
      </w:r>
      <w:r>
        <w:rPr>
          <w:sz w:val="20"/>
        </w:rPr>
        <w:t>of</w:t>
      </w:r>
      <w:r>
        <w:rPr>
          <w:spacing w:val="-2"/>
          <w:sz w:val="20"/>
        </w:rPr>
        <w:t> </w:t>
      </w:r>
      <w:r>
        <w:rPr>
          <w:sz w:val="20"/>
        </w:rPr>
        <w:t>patients</w:t>
      </w:r>
      <w:r>
        <w:rPr>
          <w:spacing w:val="-1"/>
          <w:sz w:val="20"/>
        </w:rPr>
        <w:t> </w:t>
      </w:r>
      <w:r>
        <w:rPr>
          <w:sz w:val="20"/>
        </w:rPr>
        <w:t>hospitalised (using</w:t>
      </w:r>
      <w:r>
        <w:rPr>
          <w:spacing w:val="-2"/>
          <w:sz w:val="20"/>
        </w:rPr>
        <w:t> </w:t>
      </w:r>
      <w:r>
        <w:rPr>
          <w:sz w:val="20"/>
        </w:rPr>
        <w:t>the</w:t>
      </w:r>
      <w:r>
        <w:rPr>
          <w:spacing w:val="-2"/>
          <w:sz w:val="20"/>
        </w:rPr>
        <w:t> </w:t>
      </w:r>
      <w:r>
        <w:rPr>
          <w:sz w:val="20"/>
        </w:rPr>
        <w:t>Hosmer-Lemeshow test).)</w:t>
      </w:r>
    </w:p>
    <w:p>
      <w:pPr>
        <w:pStyle w:val="ListParagraph"/>
        <w:numPr>
          <w:ilvl w:val="0"/>
          <w:numId w:val="17"/>
        </w:numPr>
        <w:tabs>
          <w:tab w:pos="1573" w:val="left" w:leader="none"/>
          <w:tab w:pos="1574" w:val="left" w:leader="none"/>
        </w:tabs>
        <w:spacing w:line="276" w:lineRule="auto" w:before="200" w:after="0"/>
        <w:ind w:left="1573" w:right="1185" w:hanging="356"/>
        <w:jc w:val="left"/>
        <w:rPr>
          <w:sz w:val="20"/>
        </w:rPr>
      </w:pPr>
      <w:r>
        <w:rPr>
          <w:sz w:val="20"/>
        </w:rPr>
        <w:t>The</w:t>
      </w:r>
      <w:r>
        <w:rPr>
          <w:spacing w:val="-4"/>
          <w:sz w:val="20"/>
        </w:rPr>
        <w:t> </w:t>
      </w:r>
      <w:r>
        <w:rPr>
          <w:sz w:val="20"/>
        </w:rPr>
        <w:t>extent</w:t>
      </w:r>
      <w:r>
        <w:rPr>
          <w:spacing w:val="-4"/>
          <w:sz w:val="20"/>
        </w:rPr>
        <w:t> </w:t>
      </w:r>
      <w:r>
        <w:rPr>
          <w:sz w:val="20"/>
        </w:rPr>
        <w:t>to</w:t>
      </w:r>
      <w:r>
        <w:rPr>
          <w:spacing w:val="-3"/>
          <w:sz w:val="20"/>
        </w:rPr>
        <w:t> </w:t>
      </w:r>
      <w:r>
        <w:rPr>
          <w:sz w:val="20"/>
        </w:rPr>
        <w:t>which</w:t>
      </w:r>
      <w:r>
        <w:rPr>
          <w:spacing w:val="-5"/>
          <w:sz w:val="20"/>
        </w:rPr>
        <w:t> </w:t>
      </w:r>
      <w:r>
        <w:rPr>
          <w:sz w:val="20"/>
        </w:rPr>
        <w:t>the</w:t>
      </w:r>
      <w:r>
        <w:rPr>
          <w:spacing w:val="-3"/>
          <w:sz w:val="20"/>
        </w:rPr>
        <w:t> </w:t>
      </w:r>
      <w:r>
        <w:rPr>
          <w:sz w:val="20"/>
        </w:rPr>
        <w:t>level</w:t>
      </w:r>
      <w:r>
        <w:rPr>
          <w:spacing w:val="-3"/>
          <w:sz w:val="20"/>
        </w:rPr>
        <w:t> </w:t>
      </w:r>
      <w:r>
        <w:rPr>
          <w:sz w:val="20"/>
        </w:rPr>
        <w:t>of</w:t>
      </w:r>
      <w:r>
        <w:rPr>
          <w:spacing w:val="-3"/>
          <w:sz w:val="20"/>
        </w:rPr>
        <w:t> </w:t>
      </w:r>
      <w:r>
        <w:rPr>
          <w:sz w:val="20"/>
        </w:rPr>
        <w:t>information</w:t>
      </w:r>
      <w:r>
        <w:rPr>
          <w:spacing w:val="-3"/>
          <w:sz w:val="20"/>
        </w:rPr>
        <w:t> </w:t>
      </w:r>
      <w:r>
        <w:rPr>
          <w:sz w:val="20"/>
        </w:rPr>
        <w:t>available</w:t>
      </w:r>
      <w:r>
        <w:rPr>
          <w:spacing w:val="-4"/>
          <w:sz w:val="20"/>
        </w:rPr>
        <w:t> </w:t>
      </w:r>
      <w:r>
        <w:rPr>
          <w:sz w:val="20"/>
        </w:rPr>
        <w:t>for</w:t>
      </w:r>
      <w:r>
        <w:rPr>
          <w:spacing w:val="-3"/>
          <w:sz w:val="20"/>
        </w:rPr>
        <w:t> </w:t>
      </w:r>
      <w:r>
        <w:rPr>
          <w:sz w:val="20"/>
        </w:rPr>
        <w:t>risk</w:t>
      </w:r>
      <w:r>
        <w:rPr>
          <w:spacing w:val="-4"/>
          <w:sz w:val="20"/>
        </w:rPr>
        <w:t> </w:t>
      </w:r>
      <w:r>
        <w:rPr>
          <w:sz w:val="20"/>
        </w:rPr>
        <w:t>stratification</w:t>
      </w:r>
      <w:r>
        <w:rPr>
          <w:spacing w:val="-2"/>
          <w:sz w:val="20"/>
        </w:rPr>
        <w:t> </w:t>
      </w:r>
      <w:r>
        <w:rPr>
          <w:sz w:val="20"/>
        </w:rPr>
        <w:t>(largely</w:t>
      </w:r>
      <w:r>
        <w:rPr>
          <w:spacing w:val="-5"/>
          <w:sz w:val="20"/>
        </w:rPr>
        <w:t> </w:t>
      </w:r>
      <w:r>
        <w:rPr>
          <w:sz w:val="20"/>
        </w:rPr>
        <w:t>from</w:t>
      </w:r>
      <w:r>
        <w:rPr>
          <w:spacing w:val="-52"/>
          <w:sz w:val="20"/>
        </w:rPr>
        <w:t> </w:t>
      </w:r>
      <w:r>
        <w:rPr>
          <w:sz w:val="20"/>
        </w:rPr>
        <w:t>practice data extracts) impacted the predictive performance of the risk stratification</w:t>
      </w:r>
      <w:r>
        <w:rPr>
          <w:spacing w:val="1"/>
          <w:sz w:val="20"/>
        </w:rPr>
        <w:t> </w:t>
      </w:r>
      <w:r>
        <w:rPr>
          <w:sz w:val="20"/>
        </w:rPr>
        <w:t>tools. To achieve this, the impact of adding information that subsequently becomes</w:t>
      </w:r>
      <w:r>
        <w:rPr>
          <w:spacing w:val="1"/>
          <w:sz w:val="20"/>
        </w:rPr>
        <w:t> </w:t>
      </w:r>
      <w:r>
        <w:rPr>
          <w:sz w:val="20"/>
        </w:rPr>
        <w:t>available to the evaluation (from PBS data and hospitalisation data) on predictive</w:t>
      </w:r>
      <w:r>
        <w:rPr>
          <w:spacing w:val="1"/>
          <w:sz w:val="20"/>
        </w:rPr>
        <w:t> </w:t>
      </w:r>
      <w:r>
        <w:rPr>
          <w:sz w:val="20"/>
        </w:rPr>
        <w:t>performance (measured</w:t>
      </w:r>
      <w:r>
        <w:rPr>
          <w:spacing w:val="1"/>
          <w:sz w:val="20"/>
        </w:rPr>
        <w:t> </w:t>
      </w:r>
      <w:r>
        <w:rPr>
          <w:sz w:val="20"/>
        </w:rPr>
        <w:t>in</w:t>
      </w:r>
      <w:r>
        <w:rPr>
          <w:spacing w:val="-1"/>
          <w:sz w:val="20"/>
        </w:rPr>
        <w:t> </w:t>
      </w:r>
      <w:r>
        <w:rPr>
          <w:sz w:val="20"/>
        </w:rPr>
        <w:t>terms</w:t>
      </w:r>
      <w:r>
        <w:rPr>
          <w:spacing w:val="-2"/>
          <w:sz w:val="20"/>
        </w:rPr>
        <w:t> </w:t>
      </w:r>
      <w:r>
        <w:rPr>
          <w:sz w:val="20"/>
        </w:rPr>
        <w:t>of</w:t>
      </w:r>
      <w:r>
        <w:rPr>
          <w:spacing w:val="-2"/>
          <w:sz w:val="20"/>
        </w:rPr>
        <w:t> </w:t>
      </w:r>
      <w:r>
        <w:rPr>
          <w:sz w:val="20"/>
        </w:rPr>
        <w:t>the</w:t>
      </w:r>
      <w:r>
        <w:rPr>
          <w:spacing w:val="1"/>
          <w:sz w:val="20"/>
        </w:rPr>
        <w:t> </w:t>
      </w:r>
      <w:r>
        <w:rPr>
          <w:sz w:val="20"/>
        </w:rPr>
        <w:t>AUC</w:t>
      </w:r>
      <w:r>
        <w:rPr>
          <w:spacing w:val="-3"/>
          <w:sz w:val="20"/>
        </w:rPr>
        <w:t> </w:t>
      </w:r>
      <w:r>
        <w:rPr>
          <w:sz w:val="20"/>
        </w:rPr>
        <w:t>and</w:t>
      </w:r>
      <w:r>
        <w:rPr>
          <w:spacing w:val="1"/>
          <w:sz w:val="20"/>
        </w:rPr>
        <w:t> </w:t>
      </w:r>
      <w:r>
        <w:rPr>
          <w:sz w:val="20"/>
        </w:rPr>
        <w:t>c-statistic)</w:t>
      </w:r>
      <w:r>
        <w:rPr>
          <w:spacing w:val="-3"/>
          <w:sz w:val="20"/>
        </w:rPr>
        <w:t> </w:t>
      </w:r>
      <w:r>
        <w:rPr>
          <w:sz w:val="20"/>
        </w:rPr>
        <w:t>will</w:t>
      </w:r>
      <w:r>
        <w:rPr>
          <w:spacing w:val="-2"/>
          <w:sz w:val="20"/>
        </w:rPr>
        <w:t> </w:t>
      </w:r>
      <w:r>
        <w:rPr>
          <w:sz w:val="20"/>
        </w:rPr>
        <w:t>be</w:t>
      </w:r>
      <w:r>
        <w:rPr>
          <w:spacing w:val="-2"/>
          <w:sz w:val="20"/>
        </w:rPr>
        <w:t> </w:t>
      </w:r>
      <w:r>
        <w:rPr>
          <w:sz w:val="20"/>
        </w:rPr>
        <w:t>analysed.</w:t>
      </w:r>
    </w:p>
    <w:p>
      <w:pPr>
        <w:pStyle w:val="BodyText"/>
        <w:spacing w:line="276" w:lineRule="auto" w:before="201"/>
        <w:ind w:left="860" w:right="1236"/>
      </w:pPr>
      <w:r>
        <w:rPr/>
        <w:t>Additional analyses will examine the predictive performance of risk stratification score/risk</w:t>
      </w:r>
      <w:r>
        <w:rPr>
          <w:spacing w:val="1"/>
        </w:rPr>
        <w:t> </w:t>
      </w:r>
      <w:r>
        <w:rPr/>
        <w:t>strata for alternative outcome measures including primary health care costs/use, secondary</w:t>
      </w:r>
      <w:r>
        <w:rPr>
          <w:spacing w:val="-53"/>
        </w:rPr>
        <w:t> </w:t>
      </w:r>
      <w:r>
        <w:rPr/>
        <w:t>care costs/ use and total hospitalisation costs/ use. The predictive performance of models</w:t>
      </w:r>
      <w:r>
        <w:rPr>
          <w:spacing w:val="1"/>
        </w:rPr>
        <w:t> </w:t>
      </w:r>
      <w:r>
        <w:rPr/>
        <w:t>extended</w:t>
      </w:r>
      <w:r>
        <w:rPr>
          <w:spacing w:val="-3"/>
        </w:rPr>
        <w:t> </w:t>
      </w:r>
      <w:r>
        <w:rPr/>
        <w:t>to</w:t>
      </w:r>
      <w:r>
        <w:rPr>
          <w:spacing w:val="-4"/>
        </w:rPr>
        <w:t> </w:t>
      </w:r>
      <w:r>
        <w:rPr/>
        <w:t>include</w:t>
      </w:r>
      <w:r>
        <w:rPr>
          <w:spacing w:val="-3"/>
        </w:rPr>
        <w:t> </w:t>
      </w:r>
      <w:r>
        <w:rPr/>
        <w:t>additional</w:t>
      </w:r>
      <w:r>
        <w:rPr>
          <w:spacing w:val="-5"/>
        </w:rPr>
        <w:t> </w:t>
      </w:r>
      <w:r>
        <w:rPr/>
        <w:t>information</w:t>
      </w:r>
      <w:r>
        <w:rPr>
          <w:spacing w:val="-3"/>
        </w:rPr>
        <w:t> </w:t>
      </w:r>
      <w:r>
        <w:rPr/>
        <w:t>from</w:t>
      </w:r>
      <w:r>
        <w:rPr>
          <w:spacing w:val="-3"/>
        </w:rPr>
        <w:t> </w:t>
      </w:r>
      <w:r>
        <w:rPr/>
        <w:t>other</w:t>
      </w:r>
      <w:r>
        <w:rPr>
          <w:spacing w:val="-4"/>
        </w:rPr>
        <w:t> </w:t>
      </w:r>
      <w:r>
        <w:rPr/>
        <w:t>sources</w:t>
      </w:r>
      <w:r>
        <w:rPr>
          <w:spacing w:val="-2"/>
        </w:rPr>
        <w:t> </w:t>
      </w:r>
      <w:r>
        <w:rPr/>
        <w:t>will</w:t>
      </w:r>
      <w:r>
        <w:rPr>
          <w:spacing w:val="-3"/>
        </w:rPr>
        <w:t> </w:t>
      </w:r>
      <w:r>
        <w:rPr/>
        <w:t>also</w:t>
      </w:r>
      <w:r>
        <w:rPr>
          <w:spacing w:val="-4"/>
        </w:rPr>
        <w:t> </w:t>
      </w:r>
      <w:r>
        <w:rPr/>
        <w:t>be</w:t>
      </w:r>
      <w:r>
        <w:rPr>
          <w:spacing w:val="-4"/>
        </w:rPr>
        <w:t> </w:t>
      </w:r>
      <w:r>
        <w:rPr/>
        <w:t>tested</w:t>
      </w:r>
      <w:r>
        <w:rPr>
          <w:spacing w:val="-3"/>
        </w:rPr>
        <w:t> </w:t>
      </w:r>
      <w:r>
        <w:rPr/>
        <w:t>using</w:t>
      </w:r>
      <w:r>
        <w:rPr>
          <w:spacing w:val="-4"/>
        </w:rPr>
        <w:t> </w:t>
      </w:r>
      <w:r>
        <w:rPr/>
        <w:t>these</w:t>
      </w:r>
      <w:r>
        <w:rPr>
          <w:spacing w:val="-52"/>
        </w:rPr>
        <w:t> </w:t>
      </w:r>
      <w:r>
        <w:rPr/>
        <w:t>alternative</w:t>
      </w:r>
      <w:r>
        <w:rPr>
          <w:spacing w:val="-2"/>
        </w:rPr>
        <w:t> </w:t>
      </w:r>
      <w:r>
        <w:rPr/>
        <w:t>outcomes.</w:t>
      </w:r>
    </w:p>
    <w:p>
      <w:pPr>
        <w:pStyle w:val="Heading5"/>
        <w:spacing w:before="201"/>
      </w:pPr>
      <w:r>
        <w:rPr>
          <w:color w:val="003C79"/>
        </w:rPr>
        <w:t>Imputation</w:t>
      </w:r>
      <w:r>
        <w:rPr>
          <w:color w:val="003C79"/>
          <w:spacing w:val="-3"/>
        </w:rPr>
        <w:t> </w:t>
      </w:r>
      <w:r>
        <w:rPr>
          <w:color w:val="003C79"/>
        </w:rPr>
        <w:t>of</w:t>
      </w:r>
      <w:r>
        <w:rPr>
          <w:color w:val="003C79"/>
          <w:spacing w:val="-4"/>
        </w:rPr>
        <w:t> </w:t>
      </w:r>
      <w:r>
        <w:rPr>
          <w:color w:val="003C79"/>
        </w:rPr>
        <w:t>missing</w:t>
      </w:r>
      <w:r>
        <w:rPr>
          <w:color w:val="003C79"/>
          <w:spacing w:val="-6"/>
        </w:rPr>
        <w:t> </w:t>
      </w:r>
      <w:r>
        <w:rPr>
          <w:color w:val="003C79"/>
        </w:rPr>
        <w:t>data</w:t>
      </w:r>
    </w:p>
    <w:p>
      <w:pPr>
        <w:pStyle w:val="BodyText"/>
        <w:spacing w:line="276" w:lineRule="auto" w:before="44"/>
        <w:ind w:left="860" w:right="1317"/>
        <w:jc w:val="both"/>
      </w:pPr>
      <w:r>
        <w:rPr/>
        <w:t>It is almost certain that data extracted from practice systems will not be complete, and the</w:t>
      </w:r>
      <w:r>
        <w:rPr>
          <w:spacing w:val="1"/>
        </w:rPr>
        <w:t> </w:t>
      </w:r>
      <w:r>
        <w:rPr/>
        <w:t>missing data may impact analyses. Therefore, all the analyses outlined above which involve</w:t>
      </w:r>
      <w:r>
        <w:rPr>
          <w:spacing w:val="-53"/>
        </w:rPr>
        <w:t> </w:t>
      </w:r>
      <w:r>
        <w:rPr/>
        <w:t>the</w:t>
      </w:r>
      <w:r>
        <w:rPr>
          <w:spacing w:val="-3"/>
        </w:rPr>
        <w:t> </w:t>
      </w:r>
      <w:r>
        <w:rPr/>
        <w:t>use</w:t>
      </w:r>
      <w:r>
        <w:rPr>
          <w:spacing w:val="-3"/>
        </w:rPr>
        <w:t> </w:t>
      </w:r>
      <w:r>
        <w:rPr/>
        <w:t>of</w:t>
      </w:r>
      <w:r>
        <w:rPr>
          <w:spacing w:val="-3"/>
        </w:rPr>
        <w:t> </w:t>
      </w:r>
      <w:r>
        <w:rPr/>
        <w:t>practice</w:t>
      </w:r>
      <w:r>
        <w:rPr>
          <w:spacing w:val="-3"/>
        </w:rPr>
        <w:t> </w:t>
      </w:r>
      <w:r>
        <w:rPr/>
        <w:t>data</w:t>
      </w:r>
      <w:r>
        <w:rPr>
          <w:spacing w:val="-4"/>
        </w:rPr>
        <w:t> </w:t>
      </w:r>
      <w:r>
        <w:rPr/>
        <w:t>will</w:t>
      </w:r>
      <w:r>
        <w:rPr>
          <w:spacing w:val="-2"/>
        </w:rPr>
        <w:t> </w:t>
      </w:r>
      <w:r>
        <w:rPr/>
        <w:t>initially</w:t>
      </w:r>
      <w:r>
        <w:rPr>
          <w:spacing w:val="-4"/>
        </w:rPr>
        <w:t> </w:t>
      </w:r>
      <w:r>
        <w:rPr/>
        <w:t>be</w:t>
      </w:r>
      <w:r>
        <w:rPr>
          <w:spacing w:val="-3"/>
        </w:rPr>
        <w:t> </w:t>
      </w:r>
      <w:r>
        <w:rPr/>
        <w:t>undertaken</w:t>
      </w:r>
      <w:r>
        <w:rPr>
          <w:spacing w:val="-2"/>
        </w:rPr>
        <w:t> </w:t>
      </w:r>
      <w:r>
        <w:rPr/>
        <w:t>using</w:t>
      </w:r>
      <w:r>
        <w:rPr>
          <w:spacing w:val="-3"/>
        </w:rPr>
        <w:t> </w:t>
      </w:r>
      <w:r>
        <w:rPr/>
        <w:t>all</w:t>
      </w:r>
      <w:r>
        <w:rPr>
          <w:spacing w:val="-2"/>
        </w:rPr>
        <w:t> </w:t>
      </w:r>
      <w:r>
        <w:rPr/>
        <w:t>the</w:t>
      </w:r>
      <w:r>
        <w:rPr>
          <w:spacing w:val="-3"/>
        </w:rPr>
        <w:t> </w:t>
      </w:r>
      <w:r>
        <w:rPr/>
        <w:t>available</w:t>
      </w:r>
      <w:r>
        <w:rPr>
          <w:spacing w:val="-5"/>
        </w:rPr>
        <w:t> </w:t>
      </w:r>
      <w:r>
        <w:rPr/>
        <w:t>data.</w:t>
      </w:r>
      <w:r>
        <w:rPr>
          <w:spacing w:val="-5"/>
        </w:rPr>
        <w:t> </w:t>
      </w:r>
      <w:r>
        <w:rPr/>
        <w:t>However,</w:t>
      </w:r>
    </w:p>
    <w:p>
      <w:pPr>
        <w:spacing w:after="0" w:line="276" w:lineRule="auto"/>
        <w:jc w:val="both"/>
        <w:sectPr>
          <w:pgSz w:w="11910" w:h="16840"/>
          <w:pgMar w:header="0" w:footer="675" w:top="1340" w:bottom="860" w:left="580" w:right="280"/>
        </w:sectPr>
      </w:pPr>
    </w:p>
    <w:p>
      <w:pPr>
        <w:pStyle w:val="BodyText"/>
        <w:spacing w:line="276" w:lineRule="auto" w:before="82"/>
        <w:ind w:left="860" w:right="1349"/>
      </w:pPr>
      <w:bookmarkStart w:name="_bookmark56" w:id="56"/>
      <w:bookmarkEnd w:id="56"/>
      <w:r>
        <w:rPr/>
      </w:r>
      <w:r>
        <w:rPr/>
        <w:t>sensitivity analyses will be conducted by completing the data using the multiple imputation</w:t>
      </w:r>
      <w:r>
        <w:rPr>
          <w:spacing w:val="-53"/>
        </w:rPr>
        <w:t> </w:t>
      </w:r>
      <w:r>
        <w:rPr/>
        <w:t>by chained equations (MICE) approach. MICE is an imputation process that can handle</w:t>
      </w:r>
      <w:r>
        <w:rPr>
          <w:spacing w:val="1"/>
        </w:rPr>
        <w:t> </w:t>
      </w:r>
      <w:r>
        <w:rPr/>
        <w:t>different types of variables, and is implemented by fitting a series of regressions to the data,</w:t>
      </w:r>
      <w:r>
        <w:rPr>
          <w:spacing w:val="-53"/>
        </w:rPr>
        <w:t> </w:t>
      </w:r>
      <w:r>
        <w:rPr/>
        <w:t>where each variable is regressed on all the other variables being considered. This process is</w:t>
      </w:r>
      <w:r>
        <w:rPr>
          <w:spacing w:val="-53"/>
        </w:rPr>
        <w:t> </w:t>
      </w:r>
      <w:r>
        <w:rPr/>
        <w:t>done</w:t>
      </w:r>
      <w:r>
        <w:rPr>
          <w:spacing w:val="-2"/>
        </w:rPr>
        <w:t> </w:t>
      </w:r>
      <w:r>
        <w:rPr/>
        <w:t>iteratively</w:t>
      </w:r>
      <w:r>
        <w:rPr>
          <w:spacing w:val="-2"/>
        </w:rPr>
        <w:t> </w:t>
      </w:r>
      <w:r>
        <w:rPr/>
        <w:t>until</w:t>
      </w:r>
      <w:r>
        <w:rPr>
          <w:spacing w:val="-2"/>
        </w:rPr>
        <w:t> </w:t>
      </w:r>
      <w:r>
        <w:rPr/>
        <w:t>it</w:t>
      </w:r>
      <w:r>
        <w:rPr>
          <w:spacing w:val="1"/>
        </w:rPr>
        <w:t> </w:t>
      </w:r>
      <w:r>
        <w:rPr/>
        <w:t>converges.</w:t>
      </w:r>
    </w:p>
    <w:p>
      <w:pPr>
        <w:pStyle w:val="Heading5"/>
        <w:spacing w:before="201"/>
      </w:pPr>
      <w:r>
        <w:rPr>
          <w:color w:val="003C79"/>
        </w:rPr>
        <w:t>Modelling</w:t>
      </w:r>
      <w:r>
        <w:rPr>
          <w:color w:val="003C79"/>
          <w:spacing w:val="-5"/>
        </w:rPr>
        <w:t> </w:t>
      </w:r>
      <w:r>
        <w:rPr>
          <w:color w:val="003C79"/>
        </w:rPr>
        <w:t>economic</w:t>
      </w:r>
      <w:r>
        <w:rPr>
          <w:color w:val="003C79"/>
          <w:spacing w:val="-2"/>
        </w:rPr>
        <w:t> </w:t>
      </w:r>
      <w:r>
        <w:rPr>
          <w:color w:val="003C79"/>
        </w:rPr>
        <w:t>aspects</w:t>
      </w:r>
      <w:r>
        <w:rPr>
          <w:color w:val="003C79"/>
          <w:spacing w:val="-3"/>
        </w:rPr>
        <w:t> </w:t>
      </w:r>
      <w:r>
        <w:rPr>
          <w:color w:val="003C79"/>
        </w:rPr>
        <w:t>of</w:t>
      </w:r>
      <w:r>
        <w:rPr>
          <w:color w:val="003C79"/>
          <w:spacing w:val="-4"/>
        </w:rPr>
        <w:t> </w:t>
      </w:r>
      <w:r>
        <w:rPr>
          <w:color w:val="003C79"/>
        </w:rPr>
        <w:t>HCH</w:t>
      </w:r>
    </w:p>
    <w:p>
      <w:pPr>
        <w:pStyle w:val="BodyText"/>
        <w:spacing w:line="276" w:lineRule="auto" w:before="44"/>
        <w:ind w:left="860" w:right="1333"/>
      </w:pPr>
      <w:r>
        <w:rPr/>
        <w:t>In addition to the analyses described above, several models will be developed to allow</w:t>
      </w:r>
      <w:r>
        <w:rPr>
          <w:spacing w:val="1"/>
        </w:rPr>
        <w:t> </w:t>
      </w:r>
      <w:r>
        <w:rPr/>
        <w:t>analyses of aspects to the HCH program, including the implications of extending</w:t>
      </w:r>
      <w:r>
        <w:rPr>
          <w:spacing w:val="1"/>
        </w:rPr>
        <w:t> </w:t>
      </w:r>
      <w:r>
        <w:rPr/>
        <w:t>implementation more broadly across primary care in Australia. Parameters for these models</w:t>
      </w:r>
      <w:r>
        <w:rPr>
          <w:spacing w:val="-53"/>
        </w:rPr>
        <w:t> </w:t>
      </w:r>
      <w:r>
        <w:rPr/>
        <w:t>will</w:t>
      </w:r>
      <w:r>
        <w:rPr>
          <w:spacing w:val="-1"/>
        </w:rPr>
        <w:t> </w:t>
      </w:r>
      <w:r>
        <w:rPr/>
        <w:t>address</w:t>
      </w:r>
      <w:r>
        <w:rPr>
          <w:spacing w:val="-1"/>
        </w:rPr>
        <w:t> </w:t>
      </w:r>
      <w:r>
        <w:rPr/>
        <w:t>issues</w:t>
      </w:r>
      <w:r>
        <w:rPr>
          <w:spacing w:val="-1"/>
        </w:rPr>
        <w:t> </w:t>
      </w:r>
      <w:r>
        <w:rPr/>
        <w:t>such as:</w:t>
      </w:r>
    </w:p>
    <w:p>
      <w:pPr>
        <w:pStyle w:val="ListParagraph"/>
        <w:numPr>
          <w:ilvl w:val="0"/>
          <w:numId w:val="17"/>
        </w:numPr>
        <w:tabs>
          <w:tab w:pos="1573" w:val="left" w:leader="none"/>
          <w:tab w:pos="1574" w:val="left" w:leader="none"/>
        </w:tabs>
        <w:spacing w:line="240" w:lineRule="auto" w:before="199" w:after="0"/>
        <w:ind w:left="1573" w:right="0" w:hanging="356"/>
        <w:jc w:val="left"/>
        <w:rPr>
          <w:sz w:val="20"/>
        </w:rPr>
      </w:pPr>
      <w:r>
        <w:rPr>
          <w:sz w:val="20"/>
        </w:rPr>
        <w:t>Changes</w:t>
      </w:r>
      <w:r>
        <w:rPr>
          <w:spacing w:val="-3"/>
          <w:sz w:val="20"/>
        </w:rPr>
        <w:t> </w:t>
      </w:r>
      <w:r>
        <w:rPr>
          <w:sz w:val="20"/>
        </w:rPr>
        <w:t>to</w:t>
      </w:r>
      <w:r>
        <w:rPr>
          <w:spacing w:val="-2"/>
          <w:sz w:val="20"/>
        </w:rPr>
        <w:t> </w:t>
      </w:r>
      <w:r>
        <w:rPr>
          <w:sz w:val="20"/>
        </w:rPr>
        <w:t>eligibility</w:t>
      </w:r>
      <w:r>
        <w:rPr>
          <w:spacing w:val="-4"/>
          <w:sz w:val="20"/>
        </w:rPr>
        <w:t> </w:t>
      </w:r>
      <w:r>
        <w:rPr>
          <w:sz w:val="20"/>
        </w:rPr>
        <w:t>criteria</w:t>
      </w:r>
      <w:r>
        <w:rPr>
          <w:spacing w:val="-1"/>
          <w:sz w:val="20"/>
        </w:rPr>
        <w:t> </w:t>
      </w:r>
      <w:r>
        <w:rPr>
          <w:sz w:val="20"/>
        </w:rPr>
        <w:t>for</w:t>
      </w:r>
      <w:r>
        <w:rPr>
          <w:spacing w:val="-2"/>
          <w:sz w:val="20"/>
        </w:rPr>
        <w:t> </w:t>
      </w:r>
      <w:r>
        <w:rPr>
          <w:sz w:val="20"/>
        </w:rPr>
        <w:t>enrolment.</w:t>
      </w:r>
    </w:p>
    <w:p>
      <w:pPr>
        <w:pStyle w:val="ListParagraph"/>
        <w:numPr>
          <w:ilvl w:val="0"/>
          <w:numId w:val="17"/>
        </w:numPr>
        <w:tabs>
          <w:tab w:pos="1573" w:val="left" w:leader="none"/>
          <w:tab w:pos="1574" w:val="left" w:leader="none"/>
        </w:tabs>
        <w:spacing w:line="240" w:lineRule="auto" w:before="38" w:after="0"/>
        <w:ind w:left="1573" w:right="0" w:hanging="356"/>
        <w:jc w:val="left"/>
        <w:rPr>
          <w:sz w:val="20"/>
        </w:rPr>
      </w:pPr>
      <w:r>
        <w:rPr>
          <w:sz w:val="20"/>
        </w:rPr>
        <w:t>Changes</w:t>
      </w:r>
      <w:r>
        <w:rPr>
          <w:spacing w:val="-3"/>
          <w:sz w:val="20"/>
        </w:rPr>
        <w:t> </w:t>
      </w:r>
      <w:r>
        <w:rPr>
          <w:sz w:val="20"/>
        </w:rPr>
        <w:t>to</w:t>
      </w:r>
      <w:r>
        <w:rPr>
          <w:spacing w:val="-3"/>
          <w:sz w:val="20"/>
        </w:rPr>
        <w:t> </w:t>
      </w:r>
      <w:r>
        <w:rPr>
          <w:sz w:val="20"/>
        </w:rPr>
        <w:t>payment</w:t>
      </w:r>
      <w:r>
        <w:rPr>
          <w:spacing w:val="-1"/>
          <w:sz w:val="20"/>
        </w:rPr>
        <w:t> </w:t>
      </w:r>
      <w:r>
        <w:rPr>
          <w:sz w:val="20"/>
        </w:rPr>
        <w:t>levels</w:t>
      </w:r>
      <w:r>
        <w:rPr>
          <w:spacing w:val="-3"/>
          <w:sz w:val="20"/>
        </w:rPr>
        <w:t> </w:t>
      </w:r>
      <w:r>
        <w:rPr>
          <w:sz w:val="20"/>
        </w:rPr>
        <w:t>and</w:t>
      </w:r>
      <w:r>
        <w:rPr>
          <w:spacing w:val="-3"/>
          <w:sz w:val="20"/>
        </w:rPr>
        <w:t> </w:t>
      </w:r>
      <w:r>
        <w:rPr>
          <w:sz w:val="20"/>
        </w:rPr>
        <w:t>associate</w:t>
      </w:r>
      <w:r>
        <w:rPr>
          <w:spacing w:val="-2"/>
          <w:sz w:val="20"/>
        </w:rPr>
        <w:t> </w:t>
      </w:r>
      <w:r>
        <w:rPr>
          <w:sz w:val="20"/>
        </w:rPr>
        <w:t>risk</w:t>
      </w:r>
      <w:r>
        <w:rPr>
          <w:spacing w:val="-3"/>
          <w:sz w:val="20"/>
        </w:rPr>
        <w:t> </w:t>
      </w:r>
      <w:r>
        <w:rPr>
          <w:sz w:val="20"/>
        </w:rPr>
        <w:t>strata.</w:t>
      </w:r>
    </w:p>
    <w:p>
      <w:pPr>
        <w:pStyle w:val="ListParagraph"/>
        <w:numPr>
          <w:ilvl w:val="0"/>
          <w:numId w:val="17"/>
        </w:numPr>
        <w:tabs>
          <w:tab w:pos="1573" w:val="left" w:leader="none"/>
          <w:tab w:pos="1574" w:val="left" w:leader="none"/>
        </w:tabs>
        <w:spacing w:line="240" w:lineRule="auto" w:before="36" w:after="0"/>
        <w:ind w:left="1573" w:right="0" w:hanging="356"/>
        <w:jc w:val="left"/>
        <w:rPr>
          <w:sz w:val="20"/>
        </w:rPr>
      </w:pPr>
      <w:r>
        <w:rPr>
          <w:sz w:val="20"/>
        </w:rPr>
        <w:t>Number</w:t>
      </w:r>
      <w:r>
        <w:rPr>
          <w:spacing w:val="-3"/>
          <w:sz w:val="20"/>
        </w:rPr>
        <w:t> </w:t>
      </w:r>
      <w:r>
        <w:rPr>
          <w:sz w:val="20"/>
        </w:rPr>
        <w:t>of</w:t>
      </w:r>
      <w:r>
        <w:rPr>
          <w:spacing w:val="-2"/>
          <w:sz w:val="20"/>
        </w:rPr>
        <w:t> </w:t>
      </w:r>
      <w:r>
        <w:rPr>
          <w:sz w:val="20"/>
        </w:rPr>
        <w:t>practices</w:t>
      </w:r>
      <w:r>
        <w:rPr>
          <w:spacing w:val="-2"/>
          <w:sz w:val="20"/>
        </w:rPr>
        <w:t> </w:t>
      </w:r>
      <w:r>
        <w:rPr>
          <w:sz w:val="20"/>
        </w:rPr>
        <w:t>recruited</w:t>
      </w:r>
      <w:r>
        <w:rPr>
          <w:spacing w:val="-2"/>
          <w:sz w:val="20"/>
        </w:rPr>
        <w:t> </w:t>
      </w:r>
      <w:r>
        <w:rPr>
          <w:sz w:val="20"/>
        </w:rPr>
        <w:t>to</w:t>
      </w:r>
      <w:r>
        <w:rPr>
          <w:spacing w:val="-2"/>
          <w:sz w:val="20"/>
        </w:rPr>
        <w:t> </w:t>
      </w:r>
      <w:r>
        <w:rPr>
          <w:sz w:val="20"/>
        </w:rPr>
        <w:t>the</w:t>
      </w:r>
      <w:r>
        <w:rPr>
          <w:spacing w:val="-2"/>
          <w:sz w:val="20"/>
        </w:rPr>
        <w:t> </w:t>
      </w:r>
      <w:r>
        <w:rPr>
          <w:sz w:val="20"/>
        </w:rPr>
        <w:t>HCH</w:t>
      </w:r>
      <w:r>
        <w:rPr>
          <w:spacing w:val="-1"/>
          <w:sz w:val="20"/>
        </w:rPr>
        <w:t> </w:t>
      </w:r>
      <w:r>
        <w:rPr>
          <w:sz w:val="20"/>
        </w:rPr>
        <w:t>program</w:t>
      </w:r>
      <w:r>
        <w:rPr>
          <w:spacing w:val="-2"/>
          <w:sz w:val="20"/>
        </w:rPr>
        <w:t> </w:t>
      </w:r>
      <w:r>
        <w:rPr>
          <w:sz w:val="20"/>
        </w:rPr>
        <w:t>by</w:t>
      </w:r>
      <w:r>
        <w:rPr>
          <w:spacing w:val="-3"/>
          <w:sz w:val="20"/>
        </w:rPr>
        <w:t> </w:t>
      </w:r>
      <w:r>
        <w:rPr>
          <w:sz w:val="20"/>
        </w:rPr>
        <w:t>type</w:t>
      </w:r>
      <w:r>
        <w:rPr>
          <w:spacing w:val="-2"/>
          <w:sz w:val="20"/>
        </w:rPr>
        <w:t> </w:t>
      </w:r>
      <w:r>
        <w:rPr>
          <w:sz w:val="20"/>
        </w:rPr>
        <w:t>of</w:t>
      </w:r>
      <w:r>
        <w:rPr>
          <w:spacing w:val="-2"/>
          <w:sz w:val="20"/>
        </w:rPr>
        <w:t> </w:t>
      </w:r>
      <w:r>
        <w:rPr>
          <w:sz w:val="20"/>
        </w:rPr>
        <w:t>practice.</w:t>
      </w:r>
    </w:p>
    <w:p>
      <w:pPr>
        <w:pStyle w:val="BodyText"/>
        <w:spacing w:before="4"/>
        <w:rPr>
          <w:sz w:val="19"/>
        </w:rPr>
      </w:pPr>
    </w:p>
    <w:p>
      <w:pPr>
        <w:pStyle w:val="BodyText"/>
        <w:ind w:left="860"/>
      </w:pPr>
      <w:r>
        <w:rPr/>
        <w:t>The</w:t>
      </w:r>
      <w:r>
        <w:rPr>
          <w:spacing w:val="-3"/>
        </w:rPr>
        <w:t> </w:t>
      </w:r>
      <w:r>
        <w:rPr/>
        <w:t>model</w:t>
      </w:r>
      <w:r>
        <w:rPr>
          <w:spacing w:val="-1"/>
        </w:rPr>
        <w:t> </w:t>
      </w:r>
      <w:r>
        <w:rPr/>
        <w:t>will</w:t>
      </w:r>
      <w:r>
        <w:rPr>
          <w:spacing w:val="-1"/>
        </w:rPr>
        <w:t> </w:t>
      </w:r>
      <w:r>
        <w:rPr/>
        <w:t>be</w:t>
      </w:r>
      <w:r>
        <w:rPr>
          <w:spacing w:val="-2"/>
        </w:rPr>
        <w:t> </w:t>
      </w:r>
      <w:r>
        <w:rPr/>
        <w:t>used</w:t>
      </w:r>
      <w:r>
        <w:rPr>
          <w:spacing w:val="-2"/>
        </w:rPr>
        <w:t> </w:t>
      </w:r>
      <w:r>
        <w:rPr/>
        <w:t>to</w:t>
      </w:r>
      <w:r>
        <w:rPr>
          <w:spacing w:val="-4"/>
        </w:rPr>
        <w:t> </w:t>
      </w:r>
      <w:r>
        <w:rPr/>
        <w:t>estimate</w:t>
      </w:r>
      <w:r>
        <w:rPr>
          <w:spacing w:val="1"/>
        </w:rPr>
        <w:t> </w:t>
      </w:r>
      <w:r>
        <w:rPr/>
        <w:t>the</w:t>
      </w:r>
      <w:r>
        <w:rPr>
          <w:spacing w:val="-2"/>
        </w:rPr>
        <w:t> </w:t>
      </w:r>
      <w:r>
        <w:rPr/>
        <w:t>impact of</w:t>
      </w:r>
      <w:r>
        <w:rPr>
          <w:spacing w:val="-2"/>
        </w:rPr>
        <w:t> </w:t>
      </w:r>
      <w:r>
        <w:rPr/>
        <w:t>these</w:t>
      </w:r>
      <w:r>
        <w:rPr>
          <w:spacing w:val="-3"/>
        </w:rPr>
        <w:t> </w:t>
      </w:r>
      <w:r>
        <w:rPr/>
        <w:t>changes</w:t>
      </w:r>
      <w:r>
        <w:rPr>
          <w:spacing w:val="-2"/>
        </w:rPr>
        <w:t> </w:t>
      </w:r>
      <w:r>
        <w:rPr/>
        <w:t>on:</w:t>
      </w:r>
    </w:p>
    <w:p>
      <w:pPr>
        <w:pStyle w:val="BodyText"/>
        <w:spacing w:before="4"/>
        <w:rPr>
          <w:sz w:val="19"/>
        </w:rPr>
      </w:pPr>
    </w:p>
    <w:p>
      <w:pPr>
        <w:pStyle w:val="ListParagraph"/>
        <w:numPr>
          <w:ilvl w:val="0"/>
          <w:numId w:val="17"/>
        </w:numPr>
        <w:tabs>
          <w:tab w:pos="1573" w:val="left" w:leader="none"/>
          <w:tab w:pos="1574" w:val="left" w:leader="none"/>
        </w:tabs>
        <w:spacing w:line="240" w:lineRule="auto" w:before="1" w:after="0"/>
        <w:ind w:left="1573" w:right="0" w:hanging="356"/>
        <w:jc w:val="left"/>
        <w:rPr>
          <w:sz w:val="20"/>
        </w:rPr>
      </w:pPr>
      <w:r>
        <w:rPr>
          <w:sz w:val="20"/>
        </w:rPr>
        <w:t>Numbers</w:t>
      </w:r>
      <w:r>
        <w:rPr>
          <w:spacing w:val="-3"/>
          <w:sz w:val="20"/>
        </w:rPr>
        <w:t> </w:t>
      </w:r>
      <w:r>
        <w:rPr>
          <w:sz w:val="20"/>
        </w:rPr>
        <w:t>of</w:t>
      </w:r>
      <w:r>
        <w:rPr>
          <w:spacing w:val="-4"/>
          <w:sz w:val="20"/>
        </w:rPr>
        <w:t> </w:t>
      </w:r>
      <w:r>
        <w:rPr>
          <w:sz w:val="20"/>
        </w:rPr>
        <w:t>patients</w:t>
      </w:r>
      <w:r>
        <w:rPr>
          <w:spacing w:val="-4"/>
          <w:sz w:val="20"/>
        </w:rPr>
        <w:t> </w:t>
      </w:r>
      <w:r>
        <w:rPr>
          <w:sz w:val="20"/>
        </w:rPr>
        <w:t>enrolled.</w:t>
      </w:r>
    </w:p>
    <w:p>
      <w:pPr>
        <w:pStyle w:val="ListParagraph"/>
        <w:numPr>
          <w:ilvl w:val="0"/>
          <w:numId w:val="17"/>
        </w:numPr>
        <w:tabs>
          <w:tab w:pos="1573" w:val="left" w:leader="none"/>
          <w:tab w:pos="1574" w:val="left" w:leader="none"/>
        </w:tabs>
        <w:spacing w:line="276" w:lineRule="auto" w:before="35" w:after="0"/>
        <w:ind w:left="1573" w:right="1347" w:hanging="356"/>
        <w:jc w:val="left"/>
        <w:rPr>
          <w:sz w:val="20"/>
        </w:rPr>
      </w:pPr>
      <w:r>
        <w:rPr>
          <w:sz w:val="20"/>
        </w:rPr>
        <w:t>Costs to government (including Commonwealth and hospital related expenditures),</w:t>
      </w:r>
      <w:r>
        <w:rPr>
          <w:spacing w:val="-53"/>
          <w:sz w:val="20"/>
        </w:rPr>
        <w:t> </w:t>
      </w:r>
      <w:r>
        <w:rPr>
          <w:sz w:val="20"/>
        </w:rPr>
        <w:t>practices</w:t>
      </w:r>
      <w:r>
        <w:rPr>
          <w:spacing w:val="-2"/>
          <w:sz w:val="20"/>
        </w:rPr>
        <w:t> </w:t>
      </w:r>
      <w:r>
        <w:rPr>
          <w:sz w:val="20"/>
        </w:rPr>
        <w:t>and</w:t>
      </w:r>
      <w:r>
        <w:rPr>
          <w:spacing w:val="-1"/>
          <w:sz w:val="20"/>
        </w:rPr>
        <w:t> </w:t>
      </w:r>
      <w:r>
        <w:rPr>
          <w:sz w:val="20"/>
        </w:rPr>
        <w:t>patients.</w:t>
      </w:r>
    </w:p>
    <w:p>
      <w:pPr>
        <w:pStyle w:val="ListParagraph"/>
        <w:numPr>
          <w:ilvl w:val="0"/>
          <w:numId w:val="17"/>
        </w:numPr>
        <w:tabs>
          <w:tab w:pos="1573" w:val="left" w:leader="none"/>
          <w:tab w:pos="1574" w:val="left" w:leader="none"/>
        </w:tabs>
        <w:spacing w:line="240" w:lineRule="auto" w:before="0" w:after="0"/>
        <w:ind w:left="1573" w:right="0" w:hanging="356"/>
        <w:jc w:val="left"/>
        <w:rPr>
          <w:sz w:val="20"/>
        </w:rPr>
      </w:pPr>
      <w:r>
        <w:rPr>
          <w:sz w:val="20"/>
        </w:rPr>
        <w:t>Selected</w:t>
      </w:r>
      <w:r>
        <w:rPr>
          <w:spacing w:val="-6"/>
          <w:sz w:val="20"/>
        </w:rPr>
        <w:t> </w:t>
      </w:r>
      <w:r>
        <w:rPr>
          <w:sz w:val="20"/>
        </w:rPr>
        <w:t>benefits</w:t>
      </w:r>
      <w:r>
        <w:rPr>
          <w:spacing w:val="-5"/>
          <w:sz w:val="20"/>
        </w:rPr>
        <w:t> </w:t>
      </w:r>
      <w:r>
        <w:rPr>
          <w:sz w:val="20"/>
        </w:rPr>
        <w:t>for</w:t>
      </w:r>
      <w:r>
        <w:rPr>
          <w:spacing w:val="-5"/>
          <w:sz w:val="20"/>
        </w:rPr>
        <w:t> </w:t>
      </w:r>
      <w:r>
        <w:rPr>
          <w:sz w:val="20"/>
        </w:rPr>
        <w:t>patients.</w:t>
      </w:r>
    </w:p>
    <w:p>
      <w:pPr>
        <w:pStyle w:val="BodyText"/>
        <w:spacing w:before="3"/>
        <w:rPr>
          <w:sz w:val="19"/>
        </w:rPr>
      </w:pPr>
    </w:p>
    <w:p>
      <w:pPr>
        <w:pStyle w:val="Heading2"/>
        <w:spacing w:before="1"/>
      </w:pPr>
      <w:bookmarkStart w:name="_bookmark55" w:id="57"/>
      <w:bookmarkEnd w:id="57"/>
      <w:r>
        <w:rPr/>
      </w:r>
      <w:r>
        <w:rPr>
          <w:color w:val="003C79"/>
        </w:rPr>
        <w:t>Qualitative</w:t>
      </w:r>
      <w:r>
        <w:rPr>
          <w:color w:val="003C79"/>
          <w:spacing w:val="-10"/>
        </w:rPr>
        <w:t> </w:t>
      </w:r>
      <w:r>
        <w:rPr>
          <w:color w:val="003C79"/>
        </w:rPr>
        <w:t>data</w:t>
      </w:r>
      <w:r>
        <w:rPr>
          <w:color w:val="003C79"/>
          <w:spacing w:val="-8"/>
        </w:rPr>
        <w:t> </w:t>
      </w:r>
      <w:r>
        <w:rPr>
          <w:color w:val="003C79"/>
        </w:rPr>
        <w:t>analysis</w:t>
      </w:r>
    </w:p>
    <w:p>
      <w:pPr>
        <w:pStyle w:val="BodyText"/>
        <w:spacing w:line="276" w:lineRule="auto" w:before="259"/>
        <w:ind w:left="860" w:right="1236"/>
      </w:pPr>
      <w:r>
        <w:rPr/>
        <w:t>Qualitative</w:t>
      </w:r>
      <w:r>
        <w:rPr>
          <w:spacing w:val="-5"/>
        </w:rPr>
        <w:t> </w:t>
      </w:r>
      <w:r>
        <w:rPr/>
        <w:t>data</w:t>
      </w:r>
      <w:r>
        <w:rPr>
          <w:spacing w:val="-3"/>
        </w:rPr>
        <w:t> </w:t>
      </w:r>
      <w:r>
        <w:rPr/>
        <w:t>will</w:t>
      </w:r>
      <w:r>
        <w:rPr>
          <w:spacing w:val="-4"/>
        </w:rPr>
        <w:t> </w:t>
      </w:r>
      <w:r>
        <w:rPr/>
        <w:t>be</w:t>
      </w:r>
      <w:r>
        <w:rPr>
          <w:spacing w:val="-4"/>
        </w:rPr>
        <w:t> </w:t>
      </w:r>
      <w:r>
        <w:rPr/>
        <w:t>collected</w:t>
      </w:r>
      <w:r>
        <w:rPr>
          <w:spacing w:val="-5"/>
        </w:rPr>
        <w:t> </w:t>
      </w:r>
      <w:r>
        <w:rPr/>
        <w:t>through</w:t>
      </w:r>
      <w:r>
        <w:rPr>
          <w:spacing w:val="-3"/>
        </w:rPr>
        <w:t> </w:t>
      </w:r>
      <w:r>
        <w:rPr/>
        <w:t>interviews,</w:t>
      </w:r>
      <w:r>
        <w:rPr>
          <w:spacing w:val="-8"/>
        </w:rPr>
        <w:t> </w:t>
      </w:r>
      <w:r>
        <w:rPr/>
        <w:t>focus</w:t>
      </w:r>
      <w:r>
        <w:rPr>
          <w:spacing w:val="-2"/>
        </w:rPr>
        <w:t> </w:t>
      </w:r>
      <w:r>
        <w:rPr/>
        <w:t>groups</w:t>
      </w:r>
      <w:r>
        <w:rPr>
          <w:spacing w:val="-5"/>
        </w:rPr>
        <w:t> </w:t>
      </w:r>
      <w:r>
        <w:rPr/>
        <w:t>and</w:t>
      </w:r>
      <w:r>
        <w:rPr>
          <w:spacing w:val="-4"/>
        </w:rPr>
        <w:t> </w:t>
      </w:r>
      <w:r>
        <w:rPr/>
        <w:t>qualitative</w:t>
      </w:r>
      <w:r>
        <w:rPr>
          <w:spacing w:val="-5"/>
        </w:rPr>
        <w:t> </w:t>
      </w:r>
      <w:r>
        <w:rPr/>
        <w:t>responses</w:t>
      </w:r>
      <w:r>
        <w:rPr>
          <w:spacing w:val="-52"/>
        </w:rPr>
        <w:t> </w:t>
      </w:r>
      <w:r>
        <w:rPr/>
        <w:t>to</w:t>
      </w:r>
      <w:r>
        <w:rPr>
          <w:spacing w:val="-2"/>
        </w:rPr>
        <w:t> </w:t>
      </w:r>
      <w:r>
        <w:rPr/>
        <w:t>surveys. Program</w:t>
      </w:r>
      <w:r>
        <w:rPr>
          <w:spacing w:val="-2"/>
        </w:rPr>
        <w:t> </w:t>
      </w:r>
      <w:r>
        <w:rPr/>
        <w:t>documents</w:t>
      </w:r>
      <w:r>
        <w:rPr>
          <w:spacing w:val="-1"/>
        </w:rPr>
        <w:t> </w:t>
      </w:r>
      <w:r>
        <w:rPr/>
        <w:t>will</w:t>
      </w:r>
      <w:r>
        <w:rPr>
          <w:spacing w:val="-1"/>
        </w:rPr>
        <w:t> </w:t>
      </w:r>
      <w:r>
        <w:rPr/>
        <w:t>also</w:t>
      </w:r>
      <w:r>
        <w:rPr>
          <w:spacing w:val="1"/>
        </w:rPr>
        <w:t> </w:t>
      </w:r>
      <w:r>
        <w:rPr/>
        <w:t>contain</w:t>
      </w:r>
      <w:r>
        <w:rPr>
          <w:spacing w:val="-1"/>
        </w:rPr>
        <w:t> </w:t>
      </w:r>
      <w:r>
        <w:rPr/>
        <w:t>qualitative</w:t>
      </w:r>
      <w:r>
        <w:rPr>
          <w:spacing w:val="-1"/>
        </w:rPr>
        <w:t> </w:t>
      </w:r>
      <w:r>
        <w:rPr/>
        <w:t>data.</w:t>
      </w:r>
    </w:p>
    <w:p>
      <w:pPr>
        <w:pStyle w:val="BodyText"/>
        <w:spacing w:line="276" w:lineRule="auto" w:before="201"/>
        <w:ind w:left="860" w:right="1154"/>
      </w:pPr>
      <w:r>
        <w:rPr/>
        <w:t>Interviews</w:t>
      </w:r>
      <w:r>
        <w:rPr>
          <w:spacing w:val="-5"/>
        </w:rPr>
        <w:t> </w:t>
      </w:r>
      <w:r>
        <w:rPr/>
        <w:t>and</w:t>
      </w:r>
      <w:r>
        <w:rPr>
          <w:spacing w:val="-4"/>
        </w:rPr>
        <w:t> </w:t>
      </w:r>
      <w:r>
        <w:rPr/>
        <w:t>focus</w:t>
      </w:r>
      <w:r>
        <w:rPr>
          <w:spacing w:val="-2"/>
        </w:rPr>
        <w:t> </w:t>
      </w:r>
      <w:r>
        <w:rPr/>
        <w:t>groups</w:t>
      </w:r>
      <w:r>
        <w:rPr>
          <w:spacing w:val="-4"/>
        </w:rPr>
        <w:t> </w:t>
      </w:r>
      <w:r>
        <w:rPr/>
        <w:t>will</w:t>
      </w:r>
      <w:r>
        <w:rPr>
          <w:spacing w:val="-4"/>
        </w:rPr>
        <w:t> </w:t>
      </w:r>
      <w:r>
        <w:rPr/>
        <w:t>be</w:t>
      </w:r>
      <w:r>
        <w:rPr>
          <w:spacing w:val="-4"/>
        </w:rPr>
        <w:t> </w:t>
      </w:r>
      <w:r>
        <w:rPr/>
        <w:t>audio</w:t>
      </w:r>
      <w:r>
        <w:rPr>
          <w:spacing w:val="-4"/>
        </w:rPr>
        <w:t> </w:t>
      </w:r>
      <w:r>
        <w:rPr/>
        <w:t>recorded</w:t>
      </w:r>
      <w:r>
        <w:rPr>
          <w:spacing w:val="-2"/>
        </w:rPr>
        <w:t> </w:t>
      </w:r>
      <w:r>
        <w:rPr/>
        <w:t>(with</w:t>
      </w:r>
      <w:r>
        <w:rPr>
          <w:spacing w:val="-5"/>
        </w:rPr>
        <w:t> </w:t>
      </w:r>
      <w:r>
        <w:rPr/>
        <w:t>the</w:t>
      </w:r>
      <w:r>
        <w:rPr>
          <w:spacing w:val="-4"/>
        </w:rPr>
        <w:t> </w:t>
      </w:r>
      <w:r>
        <w:rPr/>
        <w:t>permission</w:t>
      </w:r>
      <w:r>
        <w:rPr>
          <w:spacing w:val="-3"/>
        </w:rPr>
        <w:t> </w:t>
      </w:r>
      <w:r>
        <w:rPr/>
        <w:t>of</w:t>
      </w:r>
      <w:r>
        <w:rPr>
          <w:spacing w:val="-3"/>
        </w:rPr>
        <w:t> </w:t>
      </w:r>
      <w:r>
        <w:rPr/>
        <w:t>each</w:t>
      </w:r>
      <w:r>
        <w:rPr>
          <w:spacing w:val="-3"/>
        </w:rPr>
        <w:t> </w:t>
      </w:r>
      <w:r>
        <w:rPr/>
        <w:t>participant),</w:t>
      </w:r>
      <w:r>
        <w:rPr>
          <w:spacing w:val="-52"/>
        </w:rPr>
        <w:t> </w:t>
      </w:r>
      <w:r>
        <w:rPr/>
        <w:t>and subsequently transcribed. Each transcription will form a document that is imported into</w:t>
      </w:r>
      <w:r>
        <w:rPr>
          <w:spacing w:val="1"/>
        </w:rPr>
        <w:t> </w:t>
      </w:r>
      <w:r>
        <w:rPr/>
        <w:t>qualitative analysis software (MaxQDA). Each document will be categorised to reflect the</w:t>
      </w:r>
      <w:r>
        <w:rPr>
          <w:spacing w:val="1"/>
        </w:rPr>
        <w:t> </w:t>
      </w:r>
      <w:r>
        <w:rPr/>
        <w:t>type of participant, the period at which the interview occurred (e.g. baseline), and the</w:t>
      </w:r>
      <w:r>
        <w:rPr>
          <w:spacing w:val="1"/>
        </w:rPr>
        <w:t> </w:t>
      </w:r>
      <w:r>
        <w:rPr/>
        <w:t>practice/location to which the interview relates. These categorical descriptors will be used in</w:t>
      </w:r>
      <w:r>
        <w:rPr>
          <w:spacing w:val="-53"/>
        </w:rPr>
        <w:t> </w:t>
      </w:r>
      <w:r>
        <w:rPr/>
        <w:t>the analysis of responses. Qualitative responses to practice and PHN surveys, and program</w:t>
      </w:r>
      <w:r>
        <w:rPr>
          <w:spacing w:val="1"/>
        </w:rPr>
        <w:t> </w:t>
      </w:r>
      <w:r>
        <w:rPr/>
        <w:t>documents, will also be imported into the software. These data will include a range of</w:t>
      </w:r>
      <w:r>
        <w:rPr>
          <w:spacing w:val="1"/>
        </w:rPr>
        <w:t> </w:t>
      </w:r>
      <w:r>
        <w:rPr/>
        <w:t>attributes</w:t>
      </w:r>
      <w:r>
        <w:rPr>
          <w:spacing w:val="-2"/>
        </w:rPr>
        <w:t> </w:t>
      </w:r>
      <w:r>
        <w:rPr/>
        <w:t>of</w:t>
      </w:r>
      <w:r>
        <w:rPr>
          <w:spacing w:val="-1"/>
        </w:rPr>
        <w:t> </w:t>
      </w:r>
      <w:r>
        <w:rPr/>
        <w:t>each practice/PHN.</w:t>
      </w:r>
    </w:p>
    <w:p>
      <w:pPr>
        <w:pStyle w:val="BodyText"/>
        <w:spacing w:line="276" w:lineRule="auto" w:before="200"/>
        <w:ind w:left="860" w:right="1169"/>
      </w:pPr>
      <w:r>
        <w:rPr/>
        <w:t>Interviews, transcripts, qualitative survey responses, and documents, will be coded to flag key</w:t>
      </w:r>
      <w:r>
        <w:rPr>
          <w:spacing w:val="-53"/>
        </w:rPr>
        <w:t> </w:t>
      </w:r>
      <w:r>
        <w:rPr/>
        <w:t>themes. The coding scheme is expected to evolve as the analysis progresses. These can be</w:t>
      </w:r>
      <w:r>
        <w:rPr>
          <w:spacing w:val="1"/>
        </w:rPr>
        <w:t> </w:t>
      </w:r>
      <w:r>
        <w:rPr/>
        <w:t>cross-tabulated against the characteristics of the participants (e.g. general practitioner,</w:t>
      </w:r>
      <w:r>
        <w:rPr>
          <w:spacing w:val="1"/>
        </w:rPr>
        <w:t> </w:t>
      </w:r>
      <w:r>
        <w:rPr/>
        <w:t>nurse). The thematic analysis will be written up by members of the evaluation team, and</w:t>
      </w:r>
      <w:r>
        <w:rPr>
          <w:spacing w:val="1"/>
        </w:rPr>
        <w:t> </w:t>
      </w:r>
      <w:r>
        <w:rPr/>
        <w:t>shared</w:t>
      </w:r>
      <w:r>
        <w:rPr>
          <w:spacing w:val="-2"/>
        </w:rPr>
        <w:t> </w:t>
      </w:r>
      <w:r>
        <w:rPr/>
        <w:t>between members</w:t>
      </w:r>
      <w:r>
        <w:rPr>
          <w:spacing w:val="-1"/>
        </w:rPr>
        <w:t> </w:t>
      </w:r>
      <w:r>
        <w:rPr/>
        <w:t>and</w:t>
      </w:r>
      <w:r>
        <w:rPr>
          <w:spacing w:val="-2"/>
        </w:rPr>
        <w:t> </w:t>
      </w:r>
      <w:r>
        <w:rPr/>
        <w:t>enhanced</w:t>
      </w:r>
      <w:r>
        <w:rPr>
          <w:spacing w:val="-1"/>
        </w:rPr>
        <w:t> </w:t>
      </w:r>
      <w:r>
        <w:rPr/>
        <w:t>through discussion.</w:t>
      </w:r>
    </w:p>
    <w:p>
      <w:pPr>
        <w:pStyle w:val="BodyText"/>
        <w:spacing w:line="276" w:lineRule="auto" w:before="201"/>
        <w:ind w:left="860" w:right="1236"/>
      </w:pPr>
      <w:r>
        <w:rPr/>
        <w:t>The</w:t>
      </w:r>
      <w:r>
        <w:rPr>
          <w:spacing w:val="-4"/>
        </w:rPr>
        <w:t> </w:t>
      </w:r>
      <w:r>
        <w:rPr/>
        <w:t>analysis</w:t>
      </w:r>
      <w:r>
        <w:rPr>
          <w:spacing w:val="-3"/>
        </w:rPr>
        <w:t> </w:t>
      </w:r>
      <w:r>
        <w:rPr/>
        <w:t>will</w:t>
      </w:r>
      <w:r>
        <w:rPr>
          <w:spacing w:val="-2"/>
        </w:rPr>
        <w:t> </w:t>
      </w:r>
      <w:r>
        <w:rPr/>
        <w:t>seek</w:t>
      </w:r>
      <w:r>
        <w:rPr>
          <w:spacing w:val="-3"/>
        </w:rPr>
        <w:t> </w:t>
      </w:r>
      <w:r>
        <w:rPr/>
        <w:t>to</w:t>
      </w:r>
      <w:r>
        <w:rPr>
          <w:spacing w:val="-3"/>
        </w:rPr>
        <w:t> </w:t>
      </w:r>
      <w:r>
        <w:rPr/>
        <w:t>identify</w:t>
      </w:r>
      <w:r>
        <w:rPr>
          <w:spacing w:val="-4"/>
        </w:rPr>
        <w:t> </w:t>
      </w:r>
      <w:r>
        <w:rPr/>
        <w:t>the</w:t>
      </w:r>
      <w:r>
        <w:rPr>
          <w:spacing w:val="-3"/>
        </w:rPr>
        <w:t> </w:t>
      </w:r>
      <w:r>
        <w:rPr/>
        <w:t>key</w:t>
      </w:r>
      <w:r>
        <w:rPr>
          <w:spacing w:val="-4"/>
        </w:rPr>
        <w:t> </w:t>
      </w:r>
      <w:r>
        <w:rPr/>
        <w:t>issues</w:t>
      </w:r>
      <w:r>
        <w:rPr>
          <w:spacing w:val="-2"/>
        </w:rPr>
        <w:t> </w:t>
      </w:r>
      <w:r>
        <w:rPr/>
        <w:t>related</w:t>
      </w:r>
      <w:r>
        <w:rPr>
          <w:spacing w:val="-3"/>
        </w:rPr>
        <w:t> </w:t>
      </w:r>
      <w:r>
        <w:rPr/>
        <w:t>to</w:t>
      </w:r>
      <w:r>
        <w:rPr>
          <w:spacing w:val="-3"/>
        </w:rPr>
        <w:t> </w:t>
      </w:r>
      <w:r>
        <w:rPr/>
        <w:t>implementing</w:t>
      </w:r>
      <w:r>
        <w:rPr>
          <w:spacing w:val="-5"/>
        </w:rPr>
        <w:t> </w:t>
      </w:r>
      <w:r>
        <w:rPr/>
        <w:t>the</w:t>
      </w:r>
      <w:r>
        <w:rPr>
          <w:spacing w:val="-5"/>
        </w:rPr>
        <w:t> </w:t>
      </w:r>
      <w:r>
        <w:rPr/>
        <w:t>model,</w:t>
      </w:r>
      <w:r>
        <w:rPr>
          <w:spacing w:val="-5"/>
        </w:rPr>
        <w:t> </w:t>
      </w:r>
      <w:r>
        <w:rPr/>
        <w:t>classifying</w:t>
      </w:r>
      <w:r>
        <w:rPr>
          <w:spacing w:val="-52"/>
        </w:rPr>
        <w:t> </w:t>
      </w:r>
      <w:r>
        <w:rPr/>
        <w:t>these against the attributes of interviewees (and the point in time at which interviews are</w:t>
      </w:r>
      <w:r>
        <w:rPr>
          <w:spacing w:val="1"/>
        </w:rPr>
        <w:t> </w:t>
      </w:r>
      <w:r>
        <w:rPr/>
        <w:t>conducted)</w:t>
      </w:r>
      <w:r>
        <w:rPr>
          <w:spacing w:val="-3"/>
        </w:rPr>
        <w:t> </w:t>
      </w:r>
      <w:r>
        <w:rPr/>
        <w:t>and</w:t>
      </w:r>
      <w:r>
        <w:rPr>
          <w:spacing w:val="2"/>
        </w:rPr>
        <w:t> </w:t>
      </w:r>
      <w:r>
        <w:rPr/>
        <w:t>sources</w:t>
      </w:r>
      <w:r>
        <w:rPr>
          <w:spacing w:val="1"/>
        </w:rPr>
        <w:t> </w:t>
      </w:r>
      <w:r>
        <w:rPr/>
        <w:t>of</w:t>
      </w:r>
      <w:r>
        <w:rPr>
          <w:spacing w:val="-1"/>
        </w:rPr>
        <w:t> </w:t>
      </w:r>
      <w:r>
        <w:rPr/>
        <w:t>the</w:t>
      </w:r>
      <w:r>
        <w:rPr>
          <w:spacing w:val="-2"/>
        </w:rPr>
        <w:t> </w:t>
      </w:r>
      <w:r>
        <w:rPr/>
        <w:t>qualitative</w:t>
      </w:r>
      <w:r>
        <w:rPr>
          <w:spacing w:val="-1"/>
        </w:rPr>
        <w:t> </w:t>
      </w:r>
      <w:r>
        <w:rPr/>
        <w:t>data.</w:t>
      </w:r>
    </w:p>
    <w:p>
      <w:pPr>
        <w:spacing w:after="0" w:line="276" w:lineRule="auto"/>
        <w:sectPr>
          <w:pgSz w:w="11910" w:h="16840"/>
          <w:pgMar w:header="0" w:footer="675" w:top="1340" w:bottom="860" w:left="580" w:right="280"/>
        </w:sectPr>
      </w:pPr>
    </w:p>
    <w:p>
      <w:pPr>
        <w:pStyle w:val="BodyText"/>
      </w:pPr>
      <w:r>
        <w:rPr/>
        <w:pict>
          <v:group style="position:absolute;margin-left:20.164064pt;margin-top:0pt;width:575.050pt;height:116.2pt;mso-position-horizontal-relative:page;mso-position-vertical-relative:page;z-index:-27543040" id="docshapegroup109" coordorigin="403,0" coordsize="11501,2324">
            <v:shape style="position:absolute;left:403;top:0;width:11501;height:1563" type="#_x0000_t75" id="docshape110" stroked="false">
              <v:imagedata r:id="rId33" o:title=""/>
            </v:shape>
            <v:shape style="position:absolute;left:10035;top:1037;width:1200;height:1155" id="docshape111" coordorigin="10035,1037" coordsize="1200,1155" path="m10635,1037l10560,1041,10487,1055,10418,1076,10353,1105,10292,1140,10237,1183,10186,1231,10142,1285,10105,1343,10075,1406,10053,1472,10040,1542,10035,1614,10040,1687,10053,1757,10075,1823,10105,1886,10142,1944,10186,1998,10237,2046,10292,2089,10353,2124,10418,2153,10487,2174,10560,2187,10635,2192,10710,2187,10783,2174,10852,2153,10917,2124,10978,2089,11033,2046,11084,1998,11128,1944,11165,1886,11195,1823,11217,1757,11230,1687,11235,1614,11230,1542,11217,1472,11195,1406,11165,1343,11128,1285,11084,1231,11033,1183,10978,1140,10917,1105,10852,1076,10783,1055,10710,1041,10635,1037xe" filled="true" fillcolor="#003c79" stroked="false">
              <v:path arrowok="t"/>
              <v:fill type="solid"/>
            </v:shape>
            <v:shape style="position:absolute;left:10035;top:1037;width:1200;height:1155" id="docshape112" coordorigin="10035,1037" coordsize="1200,1155" path="m10035,1614l10040,1542,10053,1472,10075,1406,10105,1343,10142,1285,10186,1231,10237,1183,10292,1140,10353,1105,10418,1076,10487,1055,10560,1041,10635,1037,10710,1041,10783,1055,10852,1076,10917,1105,10978,1140,11033,1183,11084,1231,11128,1285,11165,1343,11195,1406,11217,1472,11230,1542,11235,1614,11230,1687,11217,1757,11195,1823,11165,1886,11128,1944,11084,1998,11033,2046,10978,2089,10917,2124,10852,2153,10783,2174,10710,2187,10635,2192,10560,2187,10487,2174,10418,2153,10353,2124,10292,2089,10237,2046,10186,1998,10142,1944,10105,1886,10075,1823,10053,1757,10040,1687,10035,1614xe" filled="false" stroked="true" strokeweight="2.5pt" strokecolor="#003c79">
              <v:path arrowok="t"/>
              <v:stroke dashstyle="solid"/>
            </v:shape>
            <v:shape style="position:absolute;left:1440;top:1440;width:6972;height:883" type="#_x0000_t202" id="docshape113" filled="false" stroked="false">
              <v:textbox inset="0,0,0,0">
                <w:txbxContent>
                  <w:p>
                    <w:pPr>
                      <w:spacing w:before="0"/>
                      <w:ind w:left="0" w:right="0" w:firstLine="0"/>
                      <w:jc w:val="left"/>
                      <w:rPr>
                        <w:sz w:val="72"/>
                      </w:rPr>
                    </w:pPr>
                    <w:r>
                      <w:rPr>
                        <w:color w:val="003C79"/>
                        <w:sz w:val="72"/>
                      </w:rPr>
                      <w:t>Data</w:t>
                    </w:r>
                    <w:r>
                      <w:rPr>
                        <w:color w:val="003C79"/>
                        <w:spacing w:val="-6"/>
                        <w:sz w:val="72"/>
                      </w:rPr>
                      <w:t> </w:t>
                    </w:r>
                    <w:r>
                      <w:rPr>
                        <w:color w:val="003C79"/>
                        <w:sz w:val="72"/>
                      </w:rPr>
                      <w:t>quality</w:t>
                    </w:r>
                    <w:r>
                      <w:rPr>
                        <w:color w:val="003C79"/>
                        <w:spacing w:val="-5"/>
                        <w:sz w:val="72"/>
                      </w:rPr>
                      <w:t> </w:t>
                    </w:r>
                    <w:r>
                      <w:rPr>
                        <w:color w:val="003C79"/>
                        <w:sz w:val="72"/>
                      </w:rPr>
                      <w:t>control</w:t>
                    </w:r>
                  </w:p>
                </w:txbxContent>
              </v:textbox>
              <w10:wrap type="none"/>
            </v:shape>
            <v:shape style="position:absolute;left:10514;top:1346;width:266;height:539" type="#_x0000_t202" id="docshape114" filled="false" stroked="false">
              <v:textbox inset="0,0,0,0">
                <w:txbxContent>
                  <w:p>
                    <w:pPr>
                      <w:spacing w:line="538" w:lineRule="exact" w:before="0"/>
                      <w:ind w:left="0" w:right="0" w:firstLine="0"/>
                      <w:jc w:val="left"/>
                      <w:rPr>
                        <w:b/>
                        <w:sz w:val="44"/>
                      </w:rPr>
                    </w:pPr>
                    <w:r>
                      <w:rPr>
                        <w:b/>
                        <w:color w:val="FFFFFF"/>
                        <w:w w:val="99"/>
                        <w:sz w:val="44"/>
                      </w:rPr>
                      <w:t>9</w:t>
                    </w:r>
                  </w:p>
                </w:txbxContent>
              </v:textbox>
              <w10:wrap type="none"/>
            </v:shape>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6"/>
        </w:rPr>
      </w:pPr>
    </w:p>
    <w:p>
      <w:pPr>
        <w:pStyle w:val="BodyText"/>
        <w:spacing w:line="276" w:lineRule="auto" w:before="99"/>
        <w:ind w:left="860" w:right="1183"/>
      </w:pPr>
      <w:bookmarkStart w:name="_bookmark57" w:id="58"/>
      <w:bookmarkEnd w:id="58"/>
      <w:r>
        <w:rPr/>
      </w:r>
      <w:r>
        <w:rPr/>
        <w:t>This Chapter describes procedures for managing data quality control of primary and</w:t>
      </w:r>
      <w:r>
        <w:rPr>
          <w:spacing w:val="1"/>
        </w:rPr>
        <w:t> </w:t>
      </w:r>
      <w:r>
        <w:rPr/>
        <w:t>secondary sources used for the evaluation and the resulting analyses undertaken using these</w:t>
      </w:r>
      <w:r>
        <w:rPr>
          <w:spacing w:val="-53"/>
        </w:rPr>
        <w:t> </w:t>
      </w:r>
      <w:r>
        <w:rPr/>
        <w:t>data.</w:t>
      </w:r>
    </w:p>
    <w:p>
      <w:pPr>
        <w:pStyle w:val="Heading2"/>
        <w:spacing w:before="200"/>
      </w:pPr>
      <w:bookmarkStart w:name="_bookmark58" w:id="59"/>
      <w:bookmarkEnd w:id="59"/>
      <w:r>
        <w:rPr/>
      </w:r>
      <w:r>
        <w:rPr>
          <w:color w:val="003C79"/>
        </w:rPr>
        <w:t>Primary</w:t>
      </w:r>
      <w:r>
        <w:rPr>
          <w:color w:val="003C79"/>
          <w:spacing w:val="-3"/>
        </w:rPr>
        <w:t> </w:t>
      </w:r>
      <w:r>
        <w:rPr>
          <w:color w:val="003C79"/>
        </w:rPr>
        <w:t>data</w:t>
      </w:r>
      <w:r>
        <w:rPr>
          <w:color w:val="003C79"/>
          <w:spacing w:val="-3"/>
        </w:rPr>
        <w:t> </w:t>
      </w:r>
      <w:r>
        <w:rPr>
          <w:color w:val="003C79"/>
        </w:rPr>
        <w:t>–</w:t>
      </w:r>
      <w:r>
        <w:rPr>
          <w:color w:val="003C79"/>
          <w:spacing w:val="-2"/>
        </w:rPr>
        <w:t> </w:t>
      </w:r>
      <w:r>
        <w:rPr>
          <w:color w:val="003C79"/>
        </w:rPr>
        <w:t>surveys</w:t>
      </w:r>
    </w:p>
    <w:p>
      <w:pPr>
        <w:pStyle w:val="BodyText"/>
        <w:spacing w:line="276" w:lineRule="auto" w:before="259"/>
        <w:ind w:left="860" w:right="1148"/>
      </w:pPr>
      <w:hyperlink w:history="true" w:anchor="_bookmark59">
        <w:r>
          <w:rPr/>
          <w:t>Table 14 </w:t>
        </w:r>
      </w:hyperlink>
      <w:r>
        <w:rPr/>
        <w:t>describes the processes that have been established for managing data quality for</w:t>
      </w:r>
      <w:r>
        <w:rPr>
          <w:spacing w:val="1"/>
        </w:rPr>
        <w:t> </w:t>
      </w:r>
      <w:r>
        <w:rPr/>
        <w:t>surveys conducted for the evaluation. </w:t>
      </w:r>
      <w:hyperlink w:history="true" w:anchor="_bookmark60">
        <w:r>
          <w:rPr/>
          <w:t>Figure 4 </w:t>
        </w:r>
      </w:hyperlink>
      <w:r>
        <w:rPr/>
        <w:t>provides an outline of the process flows for the</w:t>
      </w:r>
      <w:r>
        <w:rPr>
          <w:spacing w:val="-53"/>
        </w:rPr>
        <w:t> </w:t>
      </w:r>
      <w:r>
        <w:rPr/>
        <w:t>surveys</w:t>
      </w:r>
      <w:r>
        <w:rPr>
          <w:spacing w:val="-1"/>
        </w:rPr>
        <w:t> </w:t>
      </w:r>
      <w:r>
        <w:rPr/>
        <w:t>and</w:t>
      </w:r>
      <w:r>
        <w:rPr>
          <w:spacing w:val="-3"/>
        </w:rPr>
        <w:t> </w:t>
      </w:r>
      <w:r>
        <w:rPr/>
        <w:t>specific</w:t>
      </w:r>
      <w:r>
        <w:rPr>
          <w:spacing w:val="-2"/>
        </w:rPr>
        <w:t> </w:t>
      </w:r>
      <w:r>
        <w:rPr/>
        <w:t>steps</w:t>
      </w:r>
      <w:r>
        <w:rPr>
          <w:spacing w:val="-3"/>
        </w:rPr>
        <w:t> </w:t>
      </w:r>
      <w:r>
        <w:rPr/>
        <w:t>and</w:t>
      </w:r>
      <w:r>
        <w:rPr>
          <w:spacing w:val="-2"/>
        </w:rPr>
        <w:t> </w:t>
      </w:r>
      <w:r>
        <w:rPr/>
        <w:t>roles</w:t>
      </w:r>
      <w:r>
        <w:rPr>
          <w:spacing w:val="-3"/>
        </w:rPr>
        <w:t> </w:t>
      </w:r>
      <w:r>
        <w:rPr/>
        <w:t>for</w:t>
      </w:r>
      <w:r>
        <w:rPr>
          <w:spacing w:val="-3"/>
        </w:rPr>
        <w:t> </w:t>
      </w:r>
      <w:r>
        <w:rPr/>
        <w:t>managing issues</w:t>
      </w:r>
      <w:r>
        <w:rPr>
          <w:spacing w:val="-2"/>
        </w:rPr>
        <w:t> </w:t>
      </w:r>
      <w:r>
        <w:rPr/>
        <w:t>data</w:t>
      </w:r>
      <w:r>
        <w:rPr>
          <w:spacing w:val="-2"/>
        </w:rPr>
        <w:t> </w:t>
      </w:r>
      <w:r>
        <w:rPr/>
        <w:t>integrity</w:t>
      </w:r>
      <w:r>
        <w:rPr>
          <w:spacing w:val="-4"/>
        </w:rPr>
        <w:t> </w:t>
      </w:r>
      <w:r>
        <w:rPr/>
        <w:t>and</w:t>
      </w:r>
      <w:r>
        <w:rPr>
          <w:spacing w:val="-3"/>
        </w:rPr>
        <w:t> </w:t>
      </w:r>
      <w:r>
        <w:rPr/>
        <w:t>quality</w:t>
      </w:r>
      <w:r>
        <w:rPr>
          <w:spacing w:val="-3"/>
        </w:rPr>
        <w:t> </w:t>
      </w:r>
      <w:r>
        <w:rPr/>
        <w:t>issues.</w:t>
      </w:r>
    </w:p>
    <w:p>
      <w:pPr>
        <w:spacing w:before="199" w:after="3"/>
        <w:ind w:left="1225" w:right="1524" w:firstLine="0"/>
        <w:jc w:val="center"/>
        <w:rPr>
          <w:i/>
          <w:sz w:val="16"/>
        </w:rPr>
      </w:pPr>
      <w:bookmarkStart w:name="_bookmark59" w:id="60"/>
      <w:bookmarkEnd w:id="60"/>
      <w:r>
        <w:rPr/>
      </w:r>
      <w:r>
        <w:rPr>
          <w:b/>
          <w:sz w:val="18"/>
        </w:rPr>
        <w:t>Table 14 – Description of processes used to manage data quality issues of primary data sources</w:t>
      </w:r>
      <w:r>
        <w:rPr>
          <w:b/>
          <w:spacing w:val="-48"/>
          <w:sz w:val="18"/>
        </w:rPr>
        <w:t> </w:t>
      </w:r>
      <w:r>
        <w:rPr>
          <w:i/>
          <w:sz w:val="16"/>
        </w:rPr>
        <w:t>CATI=Computer assisted telephone interview, HPA=Health Policy Analysis, SRC=The Social Research Centre,</w:t>
      </w:r>
      <w:r>
        <w:rPr>
          <w:i/>
          <w:spacing w:val="-42"/>
          <w:sz w:val="16"/>
        </w:rPr>
        <w:t> </w:t>
      </w:r>
      <w:r>
        <w:rPr>
          <w:i/>
          <w:sz w:val="16"/>
        </w:rPr>
        <w:t>CBDRH=Centre</w:t>
      </w:r>
      <w:r>
        <w:rPr>
          <w:i/>
          <w:spacing w:val="-2"/>
          <w:sz w:val="16"/>
        </w:rPr>
        <w:t> </w:t>
      </w:r>
      <w:r>
        <w:rPr>
          <w:i/>
          <w:sz w:val="16"/>
        </w:rPr>
        <w:t>for</w:t>
      </w:r>
      <w:r>
        <w:rPr>
          <w:i/>
          <w:spacing w:val="1"/>
          <w:sz w:val="16"/>
        </w:rPr>
        <w:t> </w:t>
      </w:r>
      <w:r>
        <w:rPr>
          <w:i/>
          <w:sz w:val="16"/>
        </w:rPr>
        <w:t>Big</w:t>
      </w:r>
      <w:r>
        <w:rPr>
          <w:i/>
          <w:spacing w:val="-3"/>
          <w:sz w:val="16"/>
        </w:rPr>
        <w:t> </w:t>
      </w:r>
      <w:r>
        <w:rPr>
          <w:i/>
          <w:sz w:val="16"/>
        </w:rPr>
        <w:t>Data</w:t>
      </w:r>
      <w:r>
        <w:rPr>
          <w:i/>
          <w:spacing w:val="-1"/>
          <w:sz w:val="16"/>
        </w:rPr>
        <w:t> </w:t>
      </w:r>
      <w:r>
        <w:rPr>
          <w:i/>
          <w:sz w:val="16"/>
        </w:rPr>
        <w:t>in</w:t>
      </w:r>
      <w:r>
        <w:rPr>
          <w:i/>
          <w:spacing w:val="-4"/>
          <w:sz w:val="16"/>
        </w:rPr>
        <w:t> </w:t>
      </w:r>
      <w:r>
        <w:rPr>
          <w:i/>
          <w:sz w:val="16"/>
        </w:rPr>
        <w:t>Health</w:t>
      </w:r>
      <w:r>
        <w:rPr>
          <w:i/>
          <w:spacing w:val="-2"/>
          <w:sz w:val="16"/>
        </w:rPr>
        <w:t> </w:t>
      </w:r>
      <w:r>
        <w:rPr>
          <w:i/>
          <w:sz w:val="16"/>
        </w:rPr>
        <w:t>research,</w:t>
      </w:r>
      <w:r>
        <w:rPr>
          <w:i/>
          <w:spacing w:val="2"/>
          <w:sz w:val="16"/>
        </w:rPr>
        <w:t> </w:t>
      </w:r>
      <w:r>
        <w:rPr>
          <w:i/>
          <w:sz w:val="16"/>
        </w:rPr>
        <w:t>PHN=Primary</w:t>
      </w:r>
      <w:r>
        <w:rPr>
          <w:i/>
          <w:spacing w:val="-5"/>
          <w:sz w:val="16"/>
        </w:rPr>
        <w:t> </w:t>
      </w:r>
      <w:r>
        <w:rPr>
          <w:i/>
          <w:sz w:val="16"/>
        </w:rPr>
        <w:t>Health</w:t>
      </w:r>
      <w:r>
        <w:rPr>
          <w:i/>
          <w:spacing w:val="3"/>
          <w:sz w:val="16"/>
        </w:rPr>
        <w:t> </w:t>
      </w:r>
      <w:r>
        <w:rPr>
          <w:i/>
          <w:sz w:val="16"/>
        </w:rPr>
        <w:t>Network.</w:t>
      </w:r>
    </w:p>
    <w:tbl>
      <w:tblPr>
        <w:tblW w:w="0" w:type="auto"/>
        <w:jc w:val="left"/>
        <w:tblInd w:w="8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691"/>
        <w:gridCol w:w="6327"/>
      </w:tblGrid>
      <w:tr>
        <w:trPr>
          <w:trHeight w:val="280" w:hRule="atLeast"/>
        </w:trPr>
        <w:tc>
          <w:tcPr>
            <w:tcW w:w="2691" w:type="dxa"/>
            <w:shd w:val="clear" w:color="auto" w:fill="003C79"/>
          </w:tcPr>
          <w:p>
            <w:pPr>
              <w:pStyle w:val="TableParagraph"/>
              <w:spacing w:line="219" w:lineRule="exact"/>
              <w:ind w:left="575"/>
              <w:rPr>
                <w:b/>
                <w:sz w:val="18"/>
              </w:rPr>
            </w:pPr>
            <w:r>
              <w:rPr>
                <w:b/>
                <w:color w:val="FFFFFF"/>
                <w:sz w:val="18"/>
              </w:rPr>
              <w:t>Data quality issue</w:t>
            </w:r>
          </w:p>
        </w:tc>
        <w:tc>
          <w:tcPr>
            <w:tcW w:w="6327" w:type="dxa"/>
            <w:shd w:val="clear" w:color="auto" w:fill="003C79"/>
          </w:tcPr>
          <w:p>
            <w:pPr>
              <w:pStyle w:val="TableParagraph"/>
              <w:spacing w:line="219" w:lineRule="exact"/>
              <w:ind w:left="1984"/>
              <w:rPr>
                <w:b/>
                <w:sz w:val="18"/>
              </w:rPr>
            </w:pPr>
            <w:r>
              <w:rPr>
                <w:b/>
                <w:color w:val="FFFFFF"/>
                <w:sz w:val="18"/>
              </w:rPr>
              <w:t>Processes</w:t>
            </w:r>
            <w:r>
              <w:rPr>
                <w:b/>
                <w:color w:val="FFFFFF"/>
                <w:spacing w:val="-2"/>
                <w:sz w:val="18"/>
              </w:rPr>
              <w:t> </w:t>
            </w:r>
            <w:r>
              <w:rPr>
                <w:b/>
                <w:color w:val="FFFFFF"/>
                <w:sz w:val="18"/>
              </w:rPr>
              <w:t>to</w:t>
            </w:r>
            <w:r>
              <w:rPr>
                <w:b/>
                <w:color w:val="FFFFFF"/>
                <w:spacing w:val="-3"/>
                <w:sz w:val="18"/>
              </w:rPr>
              <w:t> </w:t>
            </w:r>
            <w:r>
              <w:rPr>
                <w:b/>
                <w:color w:val="FFFFFF"/>
                <w:sz w:val="18"/>
              </w:rPr>
              <w:t>manage</w:t>
            </w:r>
            <w:r>
              <w:rPr>
                <w:b/>
                <w:color w:val="FFFFFF"/>
                <w:spacing w:val="-2"/>
                <w:sz w:val="18"/>
              </w:rPr>
              <w:t> </w:t>
            </w:r>
            <w:r>
              <w:rPr>
                <w:b/>
                <w:color w:val="FFFFFF"/>
                <w:sz w:val="18"/>
              </w:rPr>
              <w:t>issue</w:t>
            </w:r>
          </w:p>
        </w:tc>
      </w:tr>
      <w:tr>
        <w:trPr>
          <w:trHeight w:val="722" w:hRule="atLeast"/>
        </w:trPr>
        <w:tc>
          <w:tcPr>
            <w:tcW w:w="2691" w:type="dxa"/>
          </w:tcPr>
          <w:p>
            <w:pPr>
              <w:pStyle w:val="TableParagraph"/>
              <w:ind w:left="107" w:right="173"/>
              <w:rPr>
                <w:sz w:val="18"/>
              </w:rPr>
            </w:pPr>
            <w:r>
              <w:rPr>
                <w:sz w:val="18"/>
              </w:rPr>
              <w:t>Compliance of practices in</w:t>
            </w:r>
            <w:r>
              <w:rPr>
                <w:spacing w:val="-48"/>
                <w:sz w:val="18"/>
              </w:rPr>
              <w:t> </w:t>
            </w:r>
            <w:r>
              <w:rPr>
                <w:sz w:val="18"/>
              </w:rPr>
              <w:t>providing patient contact</w:t>
            </w:r>
            <w:r>
              <w:rPr>
                <w:spacing w:val="1"/>
                <w:sz w:val="18"/>
              </w:rPr>
              <w:t> </w:t>
            </w:r>
            <w:r>
              <w:rPr>
                <w:sz w:val="18"/>
              </w:rPr>
              <w:t>details</w:t>
            </w:r>
            <w:r>
              <w:rPr>
                <w:spacing w:val="-3"/>
                <w:sz w:val="18"/>
              </w:rPr>
              <w:t> </w:t>
            </w:r>
            <w:r>
              <w:rPr>
                <w:sz w:val="18"/>
              </w:rPr>
              <w:t>for</w:t>
            </w:r>
            <w:r>
              <w:rPr>
                <w:spacing w:val="-1"/>
                <w:sz w:val="18"/>
              </w:rPr>
              <w:t> </w:t>
            </w:r>
            <w:r>
              <w:rPr>
                <w:sz w:val="18"/>
              </w:rPr>
              <w:t>CATI</w:t>
            </w:r>
            <w:r>
              <w:rPr>
                <w:spacing w:val="2"/>
                <w:sz w:val="18"/>
              </w:rPr>
              <w:t> </w:t>
            </w:r>
            <w:r>
              <w:rPr>
                <w:sz w:val="18"/>
              </w:rPr>
              <w:t>surveys</w:t>
            </w:r>
          </w:p>
        </w:tc>
        <w:tc>
          <w:tcPr>
            <w:tcW w:w="6327" w:type="dxa"/>
            <w:vMerge w:val="restart"/>
          </w:tcPr>
          <w:p>
            <w:pPr>
              <w:pStyle w:val="TableParagraph"/>
              <w:numPr>
                <w:ilvl w:val="0"/>
                <w:numId w:val="18"/>
              </w:numPr>
              <w:tabs>
                <w:tab w:pos="465" w:val="left" w:leader="none"/>
                <w:tab w:pos="466" w:val="left" w:leader="none"/>
              </w:tabs>
              <w:spacing w:line="240" w:lineRule="auto" w:before="0" w:after="0"/>
              <w:ind w:left="465" w:right="109" w:hanging="360"/>
              <w:jc w:val="left"/>
              <w:rPr>
                <w:sz w:val="18"/>
              </w:rPr>
            </w:pPr>
            <w:r>
              <w:rPr>
                <w:sz w:val="18"/>
              </w:rPr>
              <w:t>Prepare guides for practices for the evaluation, including ‘quick</w:t>
            </w:r>
            <w:r>
              <w:rPr>
                <w:spacing w:val="1"/>
                <w:sz w:val="18"/>
              </w:rPr>
              <w:t> </w:t>
            </w:r>
            <w:r>
              <w:rPr>
                <w:sz w:val="18"/>
              </w:rPr>
              <w:t>guides’ and webinars, available on the HCH evaluation website.</w:t>
            </w:r>
            <w:r>
              <w:rPr>
                <w:spacing w:val="1"/>
                <w:sz w:val="18"/>
              </w:rPr>
              <w:t> </w:t>
            </w:r>
            <w:r>
              <w:rPr>
                <w:sz w:val="18"/>
              </w:rPr>
              <w:t>PHN</w:t>
            </w:r>
            <w:r>
              <w:rPr>
                <w:spacing w:val="-5"/>
                <w:sz w:val="18"/>
              </w:rPr>
              <w:t> </w:t>
            </w:r>
            <w:r>
              <w:rPr>
                <w:sz w:val="18"/>
              </w:rPr>
              <w:t>practice</w:t>
            </w:r>
            <w:r>
              <w:rPr>
                <w:spacing w:val="-4"/>
                <w:sz w:val="18"/>
              </w:rPr>
              <w:t> </w:t>
            </w:r>
            <w:r>
              <w:rPr>
                <w:sz w:val="18"/>
              </w:rPr>
              <w:t>facilitators</w:t>
            </w:r>
            <w:r>
              <w:rPr>
                <w:spacing w:val="-1"/>
                <w:sz w:val="18"/>
              </w:rPr>
              <w:t> </w:t>
            </w:r>
            <w:r>
              <w:rPr>
                <w:sz w:val="18"/>
              </w:rPr>
              <w:t>can</w:t>
            </w:r>
            <w:r>
              <w:rPr>
                <w:spacing w:val="-2"/>
                <w:sz w:val="18"/>
              </w:rPr>
              <w:t> </w:t>
            </w:r>
            <w:r>
              <w:rPr>
                <w:sz w:val="18"/>
              </w:rPr>
              <w:t>use</w:t>
            </w:r>
            <w:r>
              <w:rPr>
                <w:spacing w:val="-3"/>
                <w:sz w:val="18"/>
              </w:rPr>
              <w:t> </w:t>
            </w:r>
            <w:r>
              <w:rPr>
                <w:sz w:val="18"/>
              </w:rPr>
              <w:t>these</w:t>
            </w:r>
            <w:r>
              <w:rPr>
                <w:spacing w:val="-5"/>
                <w:sz w:val="18"/>
              </w:rPr>
              <w:t> </w:t>
            </w:r>
            <w:r>
              <w:rPr>
                <w:sz w:val="18"/>
              </w:rPr>
              <w:t>in</w:t>
            </w:r>
            <w:r>
              <w:rPr>
                <w:spacing w:val="-3"/>
                <w:sz w:val="18"/>
              </w:rPr>
              <w:t> </w:t>
            </w:r>
            <w:r>
              <w:rPr>
                <w:sz w:val="18"/>
              </w:rPr>
              <w:t>education</w:t>
            </w:r>
            <w:r>
              <w:rPr>
                <w:spacing w:val="-5"/>
                <w:sz w:val="18"/>
              </w:rPr>
              <w:t> </w:t>
            </w:r>
            <w:r>
              <w:rPr>
                <w:sz w:val="18"/>
              </w:rPr>
              <w:t>activities</w:t>
            </w:r>
            <w:r>
              <w:rPr>
                <w:spacing w:val="-4"/>
                <w:sz w:val="18"/>
              </w:rPr>
              <w:t> </w:t>
            </w:r>
            <w:r>
              <w:rPr>
                <w:sz w:val="18"/>
              </w:rPr>
              <w:t>with</w:t>
            </w:r>
            <w:r>
              <w:rPr>
                <w:spacing w:val="-47"/>
                <w:sz w:val="18"/>
              </w:rPr>
              <w:t> </w:t>
            </w:r>
            <w:r>
              <w:rPr>
                <w:sz w:val="18"/>
              </w:rPr>
              <w:t>practices.</w:t>
            </w:r>
          </w:p>
          <w:p>
            <w:pPr>
              <w:pStyle w:val="TableParagraph"/>
              <w:numPr>
                <w:ilvl w:val="0"/>
                <w:numId w:val="18"/>
              </w:numPr>
              <w:tabs>
                <w:tab w:pos="465" w:val="left" w:leader="none"/>
                <w:tab w:pos="466" w:val="left" w:leader="none"/>
              </w:tabs>
              <w:spacing w:line="240" w:lineRule="auto" w:before="59" w:after="0"/>
              <w:ind w:left="465" w:right="189" w:hanging="360"/>
              <w:jc w:val="left"/>
              <w:rPr>
                <w:sz w:val="18"/>
              </w:rPr>
            </w:pPr>
            <w:r>
              <w:rPr>
                <w:sz w:val="18"/>
              </w:rPr>
              <w:t>Send letters to all participating practices from the evaluation</w:t>
            </w:r>
            <w:r>
              <w:rPr>
                <w:spacing w:val="1"/>
                <w:sz w:val="18"/>
              </w:rPr>
              <w:t> </w:t>
            </w:r>
            <w:r>
              <w:rPr>
                <w:sz w:val="18"/>
              </w:rPr>
              <w:t>Director</w:t>
            </w:r>
            <w:r>
              <w:rPr>
                <w:spacing w:val="-4"/>
                <w:sz w:val="18"/>
              </w:rPr>
              <w:t> </w:t>
            </w:r>
            <w:r>
              <w:rPr>
                <w:sz w:val="18"/>
              </w:rPr>
              <w:t>to</w:t>
            </w:r>
            <w:r>
              <w:rPr>
                <w:spacing w:val="-4"/>
                <w:sz w:val="18"/>
              </w:rPr>
              <w:t> </w:t>
            </w:r>
            <w:r>
              <w:rPr>
                <w:sz w:val="18"/>
              </w:rPr>
              <w:t>each</w:t>
            </w:r>
            <w:r>
              <w:rPr>
                <w:spacing w:val="-3"/>
                <w:sz w:val="18"/>
              </w:rPr>
              <w:t> </w:t>
            </w:r>
            <w:r>
              <w:rPr>
                <w:sz w:val="18"/>
              </w:rPr>
              <w:t>practice</w:t>
            </w:r>
            <w:r>
              <w:rPr>
                <w:spacing w:val="-5"/>
                <w:sz w:val="18"/>
              </w:rPr>
              <w:t> </w:t>
            </w:r>
            <w:r>
              <w:rPr>
                <w:sz w:val="18"/>
              </w:rPr>
              <w:t>contact</w:t>
            </w:r>
            <w:r>
              <w:rPr>
                <w:spacing w:val="-6"/>
                <w:sz w:val="18"/>
              </w:rPr>
              <w:t> </w:t>
            </w:r>
            <w:r>
              <w:rPr>
                <w:sz w:val="18"/>
              </w:rPr>
              <w:t>describing</w:t>
            </w:r>
            <w:r>
              <w:rPr>
                <w:spacing w:val="-5"/>
                <w:sz w:val="18"/>
              </w:rPr>
              <w:t> </w:t>
            </w:r>
            <w:r>
              <w:rPr>
                <w:sz w:val="18"/>
              </w:rPr>
              <w:t>the</w:t>
            </w:r>
            <w:r>
              <w:rPr>
                <w:spacing w:val="-3"/>
                <w:sz w:val="18"/>
              </w:rPr>
              <w:t> </w:t>
            </w:r>
            <w:r>
              <w:rPr>
                <w:sz w:val="18"/>
              </w:rPr>
              <w:t>components</w:t>
            </w:r>
            <w:r>
              <w:rPr>
                <w:spacing w:val="-4"/>
                <w:sz w:val="18"/>
              </w:rPr>
              <w:t> </w:t>
            </w:r>
            <w:r>
              <w:rPr>
                <w:sz w:val="18"/>
              </w:rPr>
              <w:t>of</w:t>
            </w:r>
            <w:r>
              <w:rPr>
                <w:spacing w:val="-47"/>
                <w:sz w:val="18"/>
              </w:rPr>
              <w:t> </w:t>
            </w:r>
            <w:r>
              <w:rPr>
                <w:sz w:val="18"/>
              </w:rPr>
              <w:t>the</w:t>
            </w:r>
            <w:r>
              <w:rPr>
                <w:spacing w:val="-2"/>
                <w:sz w:val="18"/>
              </w:rPr>
              <w:t> </w:t>
            </w:r>
            <w:r>
              <w:rPr>
                <w:sz w:val="18"/>
              </w:rPr>
              <w:t>evaluation,</w:t>
            </w:r>
            <w:r>
              <w:rPr>
                <w:spacing w:val="-4"/>
                <w:sz w:val="18"/>
              </w:rPr>
              <w:t> </w:t>
            </w:r>
            <w:r>
              <w:rPr>
                <w:sz w:val="18"/>
              </w:rPr>
              <w:t>their</w:t>
            </w:r>
            <w:r>
              <w:rPr>
                <w:spacing w:val="-2"/>
                <w:sz w:val="18"/>
              </w:rPr>
              <w:t> </w:t>
            </w:r>
            <w:r>
              <w:rPr>
                <w:sz w:val="18"/>
              </w:rPr>
              <w:t>purpose</w:t>
            </w:r>
            <w:r>
              <w:rPr>
                <w:spacing w:val="-2"/>
                <w:sz w:val="18"/>
              </w:rPr>
              <w:t> </w:t>
            </w:r>
            <w:r>
              <w:rPr>
                <w:sz w:val="18"/>
              </w:rPr>
              <w:t>and</w:t>
            </w:r>
            <w:r>
              <w:rPr>
                <w:spacing w:val="-3"/>
                <w:sz w:val="18"/>
              </w:rPr>
              <w:t> </w:t>
            </w:r>
            <w:r>
              <w:rPr>
                <w:sz w:val="18"/>
              </w:rPr>
              <w:t>how</w:t>
            </w:r>
            <w:r>
              <w:rPr>
                <w:spacing w:val="-4"/>
                <w:sz w:val="18"/>
              </w:rPr>
              <w:t> </w:t>
            </w:r>
            <w:r>
              <w:rPr>
                <w:sz w:val="18"/>
              </w:rPr>
              <w:t>to</w:t>
            </w:r>
            <w:r>
              <w:rPr>
                <w:spacing w:val="-3"/>
                <w:sz w:val="18"/>
              </w:rPr>
              <w:t> </w:t>
            </w:r>
            <w:r>
              <w:rPr>
                <w:sz w:val="18"/>
              </w:rPr>
              <w:t>find</w:t>
            </w:r>
            <w:r>
              <w:rPr>
                <w:spacing w:val="-3"/>
                <w:sz w:val="18"/>
              </w:rPr>
              <w:t> </w:t>
            </w:r>
            <w:r>
              <w:rPr>
                <w:sz w:val="18"/>
              </w:rPr>
              <w:t>further</w:t>
            </w:r>
            <w:r>
              <w:rPr>
                <w:spacing w:val="-6"/>
                <w:sz w:val="18"/>
              </w:rPr>
              <w:t> </w:t>
            </w:r>
            <w:r>
              <w:rPr>
                <w:sz w:val="18"/>
              </w:rPr>
              <w:t>information.</w:t>
            </w:r>
          </w:p>
          <w:p>
            <w:pPr>
              <w:pStyle w:val="TableParagraph"/>
              <w:numPr>
                <w:ilvl w:val="0"/>
                <w:numId w:val="18"/>
              </w:numPr>
              <w:tabs>
                <w:tab w:pos="465" w:val="left" w:leader="none"/>
                <w:tab w:pos="466" w:val="left" w:leader="none"/>
              </w:tabs>
              <w:spacing w:line="240" w:lineRule="auto" w:before="60" w:after="0"/>
              <w:ind w:left="465" w:right="115" w:hanging="360"/>
              <w:jc w:val="left"/>
              <w:rPr>
                <w:sz w:val="18"/>
              </w:rPr>
            </w:pPr>
            <w:r>
              <w:rPr>
                <w:sz w:val="18"/>
              </w:rPr>
              <w:t>At the release of each online practice/practice staff survey,</w:t>
            </w:r>
            <w:r>
              <w:rPr>
                <w:spacing w:val="1"/>
                <w:sz w:val="18"/>
              </w:rPr>
              <w:t> </w:t>
            </w:r>
            <w:r>
              <w:rPr>
                <w:sz w:val="18"/>
              </w:rPr>
              <w:t>upload link onto the evaluation app together with the due date.</w:t>
            </w:r>
            <w:r>
              <w:rPr>
                <w:spacing w:val="1"/>
                <w:sz w:val="18"/>
              </w:rPr>
              <w:t> </w:t>
            </w:r>
            <w:r>
              <w:rPr>
                <w:sz w:val="18"/>
              </w:rPr>
              <w:t>Notify PHNs of the release and the due date through the</w:t>
            </w:r>
            <w:r>
              <w:rPr>
                <w:spacing w:val="1"/>
                <w:sz w:val="18"/>
              </w:rPr>
              <w:t> </w:t>
            </w:r>
            <w:r>
              <w:rPr>
                <w:sz w:val="18"/>
              </w:rPr>
              <w:t>Department of Health (meetings and regular correspondence).</w:t>
            </w:r>
            <w:r>
              <w:rPr>
                <w:spacing w:val="1"/>
                <w:sz w:val="18"/>
              </w:rPr>
              <w:t> </w:t>
            </w:r>
            <w:r>
              <w:rPr>
                <w:sz w:val="18"/>
              </w:rPr>
              <w:t>PHNs</w:t>
            </w:r>
            <w:r>
              <w:rPr>
                <w:spacing w:val="-3"/>
                <w:sz w:val="18"/>
              </w:rPr>
              <w:t> </w:t>
            </w:r>
            <w:r>
              <w:rPr>
                <w:sz w:val="18"/>
              </w:rPr>
              <w:t>instructed</w:t>
            </w:r>
            <w:r>
              <w:rPr>
                <w:spacing w:val="-3"/>
                <w:sz w:val="18"/>
              </w:rPr>
              <w:t> </w:t>
            </w:r>
            <w:r>
              <w:rPr>
                <w:sz w:val="18"/>
              </w:rPr>
              <w:t>to</w:t>
            </w:r>
            <w:r>
              <w:rPr>
                <w:spacing w:val="-1"/>
                <w:sz w:val="18"/>
              </w:rPr>
              <w:t> </w:t>
            </w:r>
            <w:r>
              <w:rPr>
                <w:sz w:val="18"/>
              </w:rPr>
              <w:t>contact</w:t>
            </w:r>
            <w:r>
              <w:rPr>
                <w:spacing w:val="-5"/>
                <w:sz w:val="18"/>
              </w:rPr>
              <w:t> </w:t>
            </w:r>
            <w:r>
              <w:rPr>
                <w:sz w:val="18"/>
              </w:rPr>
              <w:t>practices</w:t>
            </w:r>
            <w:r>
              <w:rPr>
                <w:spacing w:val="-4"/>
                <w:sz w:val="18"/>
              </w:rPr>
              <w:t> </w:t>
            </w:r>
            <w:r>
              <w:rPr>
                <w:sz w:val="18"/>
              </w:rPr>
              <w:t>to</w:t>
            </w:r>
            <w:r>
              <w:rPr>
                <w:spacing w:val="-2"/>
                <w:sz w:val="18"/>
              </w:rPr>
              <w:t> </w:t>
            </w:r>
            <w:r>
              <w:rPr>
                <w:sz w:val="18"/>
              </w:rPr>
              <w:t>notify</w:t>
            </w:r>
            <w:r>
              <w:rPr>
                <w:spacing w:val="-3"/>
                <w:sz w:val="18"/>
              </w:rPr>
              <w:t> </w:t>
            </w:r>
            <w:r>
              <w:rPr>
                <w:sz w:val="18"/>
              </w:rPr>
              <w:t>them</w:t>
            </w:r>
            <w:r>
              <w:rPr>
                <w:spacing w:val="-2"/>
                <w:sz w:val="18"/>
              </w:rPr>
              <w:t> </w:t>
            </w:r>
            <w:r>
              <w:rPr>
                <w:sz w:val="18"/>
              </w:rPr>
              <w:t>of</w:t>
            </w:r>
            <w:r>
              <w:rPr>
                <w:spacing w:val="-2"/>
                <w:sz w:val="18"/>
              </w:rPr>
              <w:t> </w:t>
            </w:r>
            <w:r>
              <w:rPr>
                <w:sz w:val="18"/>
              </w:rPr>
              <w:t>the</w:t>
            </w:r>
            <w:r>
              <w:rPr>
                <w:spacing w:val="-2"/>
                <w:sz w:val="18"/>
              </w:rPr>
              <w:t> </w:t>
            </w:r>
            <w:r>
              <w:rPr>
                <w:sz w:val="18"/>
              </w:rPr>
              <w:t>surveys.</w:t>
            </w:r>
          </w:p>
          <w:p>
            <w:pPr>
              <w:pStyle w:val="TableParagraph"/>
              <w:numPr>
                <w:ilvl w:val="0"/>
                <w:numId w:val="18"/>
              </w:numPr>
              <w:tabs>
                <w:tab w:pos="465" w:val="left" w:leader="none"/>
                <w:tab w:pos="466" w:val="left" w:leader="none"/>
              </w:tabs>
              <w:spacing w:line="240" w:lineRule="auto" w:before="59" w:after="0"/>
              <w:ind w:left="465" w:right="144" w:hanging="360"/>
              <w:jc w:val="left"/>
              <w:rPr>
                <w:sz w:val="18"/>
              </w:rPr>
            </w:pPr>
            <w:r>
              <w:rPr>
                <w:sz w:val="18"/>
              </w:rPr>
              <w:t>Monitor practice compliance with surveys through fortnightly</w:t>
            </w:r>
            <w:r>
              <w:rPr>
                <w:spacing w:val="1"/>
                <w:sz w:val="18"/>
              </w:rPr>
              <w:t> </w:t>
            </w:r>
            <w:r>
              <w:rPr>
                <w:sz w:val="18"/>
              </w:rPr>
              <w:t>practice-level summary reports, forwarded to each PHN (for their</w:t>
            </w:r>
            <w:r>
              <w:rPr>
                <w:spacing w:val="1"/>
                <w:sz w:val="18"/>
              </w:rPr>
              <w:t> </w:t>
            </w:r>
            <w:r>
              <w:rPr>
                <w:sz w:val="18"/>
              </w:rPr>
              <w:t>practices only) through the Department of Health. Reports to</w:t>
            </w:r>
            <w:r>
              <w:rPr>
                <w:spacing w:val="1"/>
                <w:sz w:val="18"/>
              </w:rPr>
              <w:t> </w:t>
            </w:r>
            <w:r>
              <w:rPr>
                <w:sz w:val="18"/>
              </w:rPr>
              <w:t>show: alignment between the patient details recorded in the</w:t>
            </w:r>
            <w:r>
              <w:rPr>
                <w:spacing w:val="1"/>
                <w:sz w:val="18"/>
              </w:rPr>
              <w:t> </w:t>
            </w:r>
            <w:r>
              <w:rPr>
                <w:sz w:val="18"/>
              </w:rPr>
              <w:t>evaluation app and the Department’s records of the number of</w:t>
            </w:r>
            <w:r>
              <w:rPr>
                <w:spacing w:val="1"/>
                <w:sz w:val="18"/>
              </w:rPr>
              <w:t> </w:t>
            </w:r>
            <w:r>
              <w:rPr>
                <w:sz w:val="18"/>
              </w:rPr>
              <w:t>enrolled patients, receipt of practice extract data, HCH patients</w:t>
            </w:r>
            <w:r>
              <w:rPr>
                <w:spacing w:val="1"/>
                <w:sz w:val="18"/>
              </w:rPr>
              <w:t> </w:t>
            </w:r>
            <w:r>
              <w:rPr>
                <w:sz w:val="18"/>
              </w:rPr>
              <w:t>flagged</w:t>
            </w:r>
            <w:r>
              <w:rPr>
                <w:spacing w:val="-4"/>
                <w:sz w:val="18"/>
              </w:rPr>
              <w:t> </w:t>
            </w:r>
            <w:r>
              <w:rPr>
                <w:sz w:val="18"/>
              </w:rPr>
              <w:t>in</w:t>
            </w:r>
            <w:r>
              <w:rPr>
                <w:spacing w:val="-2"/>
                <w:sz w:val="18"/>
              </w:rPr>
              <w:t> </w:t>
            </w:r>
            <w:r>
              <w:rPr>
                <w:sz w:val="18"/>
              </w:rPr>
              <w:t>the</w:t>
            </w:r>
            <w:r>
              <w:rPr>
                <w:spacing w:val="-3"/>
                <w:sz w:val="18"/>
              </w:rPr>
              <w:t> </w:t>
            </w:r>
            <w:r>
              <w:rPr>
                <w:sz w:val="18"/>
              </w:rPr>
              <w:t>extract</w:t>
            </w:r>
            <w:r>
              <w:rPr>
                <w:spacing w:val="-4"/>
                <w:sz w:val="18"/>
              </w:rPr>
              <w:t> </w:t>
            </w:r>
            <w:r>
              <w:rPr>
                <w:sz w:val="18"/>
              </w:rPr>
              <w:t>data,</w:t>
            </w:r>
            <w:r>
              <w:rPr>
                <w:spacing w:val="-2"/>
                <w:sz w:val="18"/>
              </w:rPr>
              <w:t> </w:t>
            </w:r>
            <w:r>
              <w:rPr>
                <w:sz w:val="18"/>
              </w:rPr>
              <w:t>responses</w:t>
            </w:r>
            <w:r>
              <w:rPr>
                <w:spacing w:val="-4"/>
                <w:sz w:val="18"/>
              </w:rPr>
              <w:t> </w:t>
            </w:r>
            <w:r>
              <w:rPr>
                <w:sz w:val="18"/>
              </w:rPr>
              <w:t>received</w:t>
            </w:r>
            <w:r>
              <w:rPr>
                <w:spacing w:val="-3"/>
                <w:sz w:val="18"/>
              </w:rPr>
              <w:t> </w:t>
            </w:r>
            <w:r>
              <w:rPr>
                <w:sz w:val="18"/>
              </w:rPr>
              <w:t>to</w:t>
            </w:r>
            <w:r>
              <w:rPr>
                <w:spacing w:val="-4"/>
                <w:sz w:val="18"/>
              </w:rPr>
              <w:t> </w:t>
            </w:r>
            <w:r>
              <w:rPr>
                <w:sz w:val="18"/>
              </w:rPr>
              <w:t>the</w:t>
            </w:r>
            <w:r>
              <w:rPr>
                <w:spacing w:val="-4"/>
                <w:sz w:val="18"/>
              </w:rPr>
              <w:t> </w:t>
            </w:r>
            <w:r>
              <w:rPr>
                <w:sz w:val="18"/>
              </w:rPr>
              <w:t>evaluation</w:t>
            </w:r>
            <w:r>
              <w:rPr>
                <w:spacing w:val="-47"/>
                <w:sz w:val="18"/>
              </w:rPr>
              <w:t> </w:t>
            </w:r>
            <w:r>
              <w:rPr>
                <w:sz w:val="18"/>
              </w:rPr>
              <w:t>surveys. The Department to regularly ask PHNs to follow up issues</w:t>
            </w:r>
            <w:r>
              <w:rPr>
                <w:spacing w:val="1"/>
                <w:sz w:val="18"/>
              </w:rPr>
              <w:t> </w:t>
            </w:r>
            <w:r>
              <w:rPr>
                <w:sz w:val="18"/>
              </w:rPr>
              <w:t>identified in these reports with practices. In some circumstances</w:t>
            </w:r>
            <w:r>
              <w:rPr>
                <w:spacing w:val="1"/>
                <w:sz w:val="18"/>
              </w:rPr>
              <w:t> </w:t>
            </w:r>
            <w:r>
              <w:rPr>
                <w:sz w:val="18"/>
              </w:rPr>
              <w:t>the Department, on advice from HPA, to follow up issues directly</w:t>
            </w:r>
            <w:r>
              <w:rPr>
                <w:spacing w:val="1"/>
                <w:sz w:val="18"/>
              </w:rPr>
              <w:t> </w:t>
            </w:r>
            <w:r>
              <w:rPr>
                <w:sz w:val="18"/>
              </w:rPr>
              <w:t>with</w:t>
            </w:r>
            <w:r>
              <w:rPr>
                <w:spacing w:val="-1"/>
                <w:sz w:val="18"/>
              </w:rPr>
              <w:t> </w:t>
            </w:r>
            <w:r>
              <w:rPr>
                <w:sz w:val="18"/>
              </w:rPr>
              <w:t>a PHN</w:t>
            </w:r>
            <w:r>
              <w:rPr>
                <w:spacing w:val="-3"/>
                <w:sz w:val="18"/>
              </w:rPr>
              <w:t> </w:t>
            </w:r>
            <w:r>
              <w:rPr>
                <w:sz w:val="18"/>
              </w:rPr>
              <w:t>where this</w:t>
            </w:r>
            <w:r>
              <w:rPr>
                <w:spacing w:val="-3"/>
                <w:sz w:val="18"/>
              </w:rPr>
              <w:t> </w:t>
            </w:r>
            <w:r>
              <w:rPr>
                <w:sz w:val="18"/>
              </w:rPr>
              <w:t>is</w:t>
            </w:r>
            <w:r>
              <w:rPr>
                <w:spacing w:val="-2"/>
                <w:sz w:val="18"/>
              </w:rPr>
              <w:t> </w:t>
            </w:r>
            <w:r>
              <w:rPr>
                <w:sz w:val="18"/>
              </w:rPr>
              <w:t>considered</w:t>
            </w:r>
            <w:r>
              <w:rPr>
                <w:spacing w:val="-3"/>
                <w:sz w:val="18"/>
              </w:rPr>
              <w:t> </w:t>
            </w:r>
            <w:r>
              <w:rPr>
                <w:sz w:val="18"/>
              </w:rPr>
              <w:t>necessary.</w:t>
            </w:r>
          </w:p>
        </w:tc>
      </w:tr>
      <w:tr>
        <w:trPr>
          <w:trHeight w:val="1864" w:hRule="atLeast"/>
        </w:trPr>
        <w:tc>
          <w:tcPr>
            <w:tcW w:w="2691" w:type="dxa"/>
          </w:tcPr>
          <w:p>
            <w:pPr>
              <w:pStyle w:val="TableParagraph"/>
              <w:ind w:left="107" w:right="369"/>
              <w:rPr>
                <w:sz w:val="18"/>
              </w:rPr>
            </w:pPr>
            <w:r>
              <w:rPr>
                <w:sz w:val="18"/>
              </w:rPr>
              <w:t>Compliance of practices</w:t>
            </w:r>
            <w:r>
              <w:rPr>
                <w:spacing w:val="-47"/>
                <w:sz w:val="18"/>
              </w:rPr>
              <w:t> </w:t>
            </w:r>
            <w:r>
              <w:rPr>
                <w:sz w:val="18"/>
              </w:rPr>
              <w:t>and individual staff in</w:t>
            </w:r>
            <w:r>
              <w:rPr>
                <w:spacing w:val="1"/>
                <w:sz w:val="18"/>
              </w:rPr>
              <w:t> </w:t>
            </w:r>
            <w:r>
              <w:rPr>
                <w:sz w:val="18"/>
              </w:rPr>
              <w:t>responding</w:t>
            </w:r>
            <w:r>
              <w:rPr>
                <w:spacing w:val="-3"/>
                <w:sz w:val="18"/>
              </w:rPr>
              <w:t> </w:t>
            </w:r>
            <w:r>
              <w:rPr>
                <w:sz w:val="18"/>
              </w:rPr>
              <w:t>to</w:t>
            </w:r>
            <w:r>
              <w:rPr>
                <w:spacing w:val="-2"/>
                <w:sz w:val="18"/>
              </w:rPr>
              <w:t> </w:t>
            </w:r>
            <w:r>
              <w:rPr>
                <w:sz w:val="18"/>
              </w:rPr>
              <w:t>surveys</w:t>
            </w:r>
          </w:p>
        </w:tc>
        <w:tc>
          <w:tcPr>
            <w:tcW w:w="6327" w:type="dxa"/>
            <w:vMerge/>
            <w:tcBorders>
              <w:top w:val="nil"/>
            </w:tcBorders>
          </w:tcPr>
          <w:p>
            <w:pPr>
              <w:rPr>
                <w:sz w:val="2"/>
                <w:szCs w:val="2"/>
              </w:rPr>
            </w:pPr>
          </w:p>
        </w:tc>
      </w:tr>
      <w:tr>
        <w:trPr>
          <w:trHeight w:val="2709" w:hRule="atLeast"/>
        </w:trPr>
        <w:tc>
          <w:tcPr>
            <w:tcW w:w="2691" w:type="dxa"/>
          </w:tcPr>
          <w:p>
            <w:pPr>
              <w:pStyle w:val="TableParagraph"/>
              <w:ind w:left="107" w:right="173"/>
              <w:rPr>
                <w:sz w:val="18"/>
              </w:rPr>
            </w:pPr>
            <w:r>
              <w:rPr>
                <w:sz w:val="18"/>
              </w:rPr>
              <w:t>Compliance of practices in</w:t>
            </w:r>
            <w:r>
              <w:rPr>
                <w:spacing w:val="-48"/>
                <w:sz w:val="18"/>
              </w:rPr>
              <w:t> </w:t>
            </w:r>
            <w:r>
              <w:rPr>
                <w:sz w:val="18"/>
              </w:rPr>
              <w:t>supplying extracts from</w:t>
            </w:r>
            <w:r>
              <w:rPr>
                <w:spacing w:val="1"/>
                <w:sz w:val="18"/>
              </w:rPr>
              <w:t> </w:t>
            </w:r>
            <w:r>
              <w:rPr>
                <w:sz w:val="18"/>
              </w:rPr>
              <w:t>clinical management</w:t>
            </w:r>
            <w:r>
              <w:rPr>
                <w:spacing w:val="1"/>
                <w:sz w:val="18"/>
              </w:rPr>
              <w:t> </w:t>
            </w:r>
            <w:r>
              <w:rPr>
                <w:sz w:val="18"/>
              </w:rPr>
              <w:t>systems and flagging HCH</w:t>
            </w:r>
            <w:r>
              <w:rPr>
                <w:spacing w:val="1"/>
                <w:sz w:val="18"/>
              </w:rPr>
              <w:t> </w:t>
            </w:r>
            <w:r>
              <w:rPr>
                <w:sz w:val="18"/>
              </w:rPr>
              <w:t>patients</w:t>
            </w:r>
            <w:r>
              <w:rPr>
                <w:spacing w:val="-3"/>
                <w:sz w:val="18"/>
              </w:rPr>
              <w:t> </w:t>
            </w:r>
            <w:r>
              <w:rPr>
                <w:sz w:val="18"/>
              </w:rPr>
              <w:t>in these</w:t>
            </w:r>
            <w:r>
              <w:rPr>
                <w:spacing w:val="-3"/>
                <w:sz w:val="18"/>
              </w:rPr>
              <w:t> </w:t>
            </w:r>
            <w:r>
              <w:rPr>
                <w:sz w:val="18"/>
              </w:rPr>
              <w:t>extracts</w:t>
            </w:r>
          </w:p>
        </w:tc>
        <w:tc>
          <w:tcPr>
            <w:tcW w:w="6327" w:type="dxa"/>
            <w:vMerge/>
            <w:tcBorders>
              <w:top w:val="nil"/>
            </w:tcBorders>
          </w:tcPr>
          <w:p>
            <w:pPr>
              <w:rPr>
                <w:sz w:val="2"/>
                <w:szCs w:val="2"/>
              </w:rPr>
            </w:pPr>
          </w:p>
        </w:tc>
      </w:tr>
      <w:tr>
        <w:trPr>
          <w:trHeight w:val="1444" w:hRule="atLeast"/>
        </w:trPr>
        <w:tc>
          <w:tcPr>
            <w:tcW w:w="2691" w:type="dxa"/>
          </w:tcPr>
          <w:p>
            <w:pPr>
              <w:pStyle w:val="TableParagraph"/>
              <w:ind w:left="107" w:right="557"/>
              <w:rPr>
                <w:sz w:val="18"/>
              </w:rPr>
            </w:pPr>
            <w:r>
              <w:rPr>
                <w:sz w:val="18"/>
              </w:rPr>
              <w:t>Compliance of PHNs in</w:t>
            </w:r>
            <w:r>
              <w:rPr>
                <w:spacing w:val="-47"/>
                <w:sz w:val="18"/>
              </w:rPr>
              <w:t> </w:t>
            </w:r>
            <w:r>
              <w:rPr>
                <w:sz w:val="18"/>
              </w:rPr>
              <w:t>responding</w:t>
            </w:r>
            <w:r>
              <w:rPr>
                <w:spacing w:val="-4"/>
                <w:sz w:val="18"/>
              </w:rPr>
              <w:t> </w:t>
            </w:r>
            <w:r>
              <w:rPr>
                <w:sz w:val="18"/>
              </w:rPr>
              <w:t>to</w:t>
            </w:r>
            <w:r>
              <w:rPr>
                <w:spacing w:val="-3"/>
                <w:sz w:val="18"/>
              </w:rPr>
              <w:t> </w:t>
            </w:r>
            <w:r>
              <w:rPr>
                <w:sz w:val="18"/>
              </w:rPr>
              <w:t>surveys</w:t>
            </w:r>
          </w:p>
        </w:tc>
        <w:tc>
          <w:tcPr>
            <w:tcW w:w="6327" w:type="dxa"/>
          </w:tcPr>
          <w:p>
            <w:pPr>
              <w:pStyle w:val="TableParagraph"/>
              <w:numPr>
                <w:ilvl w:val="0"/>
                <w:numId w:val="19"/>
              </w:numPr>
              <w:tabs>
                <w:tab w:pos="466" w:val="left" w:leader="none"/>
              </w:tabs>
              <w:spacing w:line="240" w:lineRule="auto" w:before="0" w:after="0"/>
              <w:ind w:left="465" w:right="247" w:hanging="360"/>
              <w:jc w:val="both"/>
              <w:rPr>
                <w:sz w:val="18"/>
              </w:rPr>
            </w:pPr>
            <w:r>
              <w:rPr>
                <w:sz w:val="18"/>
              </w:rPr>
              <w:t>Inform</w:t>
            </w:r>
            <w:r>
              <w:rPr>
                <w:spacing w:val="-5"/>
                <w:sz w:val="18"/>
              </w:rPr>
              <w:t> </w:t>
            </w:r>
            <w:r>
              <w:rPr>
                <w:sz w:val="18"/>
              </w:rPr>
              <w:t>PHNs</w:t>
            </w:r>
            <w:r>
              <w:rPr>
                <w:spacing w:val="-3"/>
                <w:sz w:val="18"/>
              </w:rPr>
              <w:t> </w:t>
            </w:r>
            <w:r>
              <w:rPr>
                <w:sz w:val="18"/>
              </w:rPr>
              <w:t>at</w:t>
            </w:r>
            <w:r>
              <w:rPr>
                <w:spacing w:val="-4"/>
                <w:sz w:val="18"/>
              </w:rPr>
              <w:t> </w:t>
            </w:r>
            <w:r>
              <w:rPr>
                <w:sz w:val="18"/>
              </w:rPr>
              <w:t>the</w:t>
            </w:r>
            <w:r>
              <w:rPr>
                <w:spacing w:val="-2"/>
                <w:sz w:val="18"/>
              </w:rPr>
              <w:t> </w:t>
            </w:r>
            <w:r>
              <w:rPr>
                <w:sz w:val="18"/>
              </w:rPr>
              <w:t>commencement</w:t>
            </w:r>
            <w:r>
              <w:rPr>
                <w:spacing w:val="-4"/>
                <w:sz w:val="18"/>
              </w:rPr>
              <w:t> </w:t>
            </w:r>
            <w:r>
              <w:rPr>
                <w:sz w:val="18"/>
              </w:rPr>
              <w:t>of</w:t>
            </w:r>
            <w:r>
              <w:rPr>
                <w:spacing w:val="-1"/>
                <w:sz w:val="18"/>
              </w:rPr>
              <w:t> </w:t>
            </w:r>
            <w:r>
              <w:rPr>
                <w:sz w:val="18"/>
              </w:rPr>
              <w:t>the</w:t>
            </w:r>
            <w:r>
              <w:rPr>
                <w:spacing w:val="-2"/>
                <w:sz w:val="18"/>
              </w:rPr>
              <w:t> </w:t>
            </w:r>
            <w:r>
              <w:rPr>
                <w:sz w:val="18"/>
              </w:rPr>
              <w:t>evaluation</w:t>
            </w:r>
            <w:r>
              <w:rPr>
                <w:spacing w:val="-2"/>
                <w:sz w:val="18"/>
              </w:rPr>
              <w:t> </w:t>
            </w:r>
            <w:r>
              <w:rPr>
                <w:sz w:val="18"/>
              </w:rPr>
              <w:t>about</w:t>
            </w:r>
            <w:r>
              <w:rPr>
                <w:spacing w:val="-4"/>
                <w:sz w:val="18"/>
              </w:rPr>
              <w:t> </w:t>
            </w:r>
            <w:r>
              <w:rPr>
                <w:sz w:val="18"/>
              </w:rPr>
              <w:t>the</w:t>
            </w:r>
            <w:r>
              <w:rPr>
                <w:spacing w:val="-48"/>
                <w:sz w:val="18"/>
              </w:rPr>
              <w:t> </w:t>
            </w:r>
            <w:r>
              <w:rPr>
                <w:sz w:val="18"/>
              </w:rPr>
              <w:t>survey</w:t>
            </w:r>
            <w:r>
              <w:rPr>
                <w:spacing w:val="-2"/>
                <w:sz w:val="18"/>
              </w:rPr>
              <w:t> </w:t>
            </w:r>
            <w:r>
              <w:rPr>
                <w:sz w:val="18"/>
              </w:rPr>
              <w:t>requirements and</w:t>
            </w:r>
            <w:r>
              <w:rPr>
                <w:spacing w:val="-1"/>
                <w:sz w:val="18"/>
              </w:rPr>
              <w:t> </w:t>
            </w:r>
            <w:r>
              <w:rPr>
                <w:sz w:val="18"/>
              </w:rPr>
              <w:t>timing</w:t>
            </w:r>
            <w:r>
              <w:rPr>
                <w:spacing w:val="-4"/>
                <w:sz w:val="18"/>
              </w:rPr>
              <w:t> </w:t>
            </w:r>
            <w:r>
              <w:rPr>
                <w:sz w:val="18"/>
              </w:rPr>
              <w:t>in</w:t>
            </w:r>
            <w:r>
              <w:rPr>
                <w:spacing w:val="-2"/>
                <w:sz w:val="18"/>
              </w:rPr>
              <w:t> </w:t>
            </w:r>
            <w:r>
              <w:rPr>
                <w:sz w:val="18"/>
              </w:rPr>
              <w:t>each</w:t>
            </w:r>
            <w:r>
              <w:rPr>
                <w:spacing w:val="-2"/>
                <w:sz w:val="18"/>
              </w:rPr>
              <w:t> </w:t>
            </w:r>
            <w:r>
              <w:rPr>
                <w:sz w:val="18"/>
              </w:rPr>
              <w:t>round.</w:t>
            </w:r>
          </w:p>
          <w:p>
            <w:pPr>
              <w:pStyle w:val="TableParagraph"/>
              <w:numPr>
                <w:ilvl w:val="0"/>
                <w:numId w:val="19"/>
              </w:numPr>
              <w:tabs>
                <w:tab w:pos="466" w:val="left" w:leader="none"/>
              </w:tabs>
              <w:spacing w:line="240" w:lineRule="auto" w:before="59" w:after="0"/>
              <w:ind w:left="465" w:right="130" w:hanging="360"/>
              <w:jc w:val="both"/>
              <w:rPr>
                <w:sz w:val="18"/>
              </w:rPr>
            </w:pPr>
            <w:r>
              <w:rPr>
                <w:sz w:val="18"/>
              </w:rPr>
              <w:t>Notify PHNs when an online survey has been released and its due</w:t>
            </w:r>
            <w:r>
              <w:rPr>
                <w:spacing w:val="-47"/>
                <w:sz w:val="18"/>
              </w:rPr>
              <w:t> </w:t>
            </w:r>
            <w:r>
              <w:rPr>
                <w:sz w:val="18"/>
              </w:rPr>
              <w:t>date</w:t>
            </w:r>
            <w:r>
              <w:rPr>
                <w:rFonts w:ascii="Symbol" w:hAnsi="Symbol"/>
                <w:sz w:val="18"/>
              </w:rPr>
              <w:t></w:t>
            </w:r>
            <w:r>
              <w:rPr>
                <w:sz w:val="18"/>
              </w:rPr>
              <w:t>through the Department of Health. PHNs to contact HPA if</w:t>
            </w:r>
            <w:r>
              <w:rPr>
                <w:spacing w:val="1"/>
                <w:sz w:val="18"/>
              </w:rPr>
              <w:t> </w:t>
            </w:r>
            <w:r>
              <w:rPr>
                <w:sz w:val="18"/>
              </w:rPr>
              <w:t>they expect a delay. HPA to monitor responses and contact PHNs</w:t>
            </w:r>
            <w:r>
              <w:rPr>
                <w:spacing w:val="-48"/>
                <w:sz w:val="18"/>
              </w:rPr>
              <w:t> </w:t>
            </w:r>
            <w:r>
              <w:rPr>
                <w:sz w:val="18"/>
              </w:rPr>
              <w:t>that</w:t>
            </w:r>
            <w:r>
              <w:rPr>
                <w:spacing w:val="-3"/>
                <w:sz w:val="18"/>
              </w:rPr>
              <w:t> </w:t>
            </w:r>
            <w:r>
              <w:rPr>
                <w:sz w:val="18"/>
              </w:rPr>
              <w:t>have</w:t>
            </w:r>
            <w:r>
              <w:rPr>
                <w:spacing w:val="-1"/>
                <w:sz w:val="18"/>
              </w:rPr>
              <w:t> </w:t>
            </w:r>
            <w:r>
              <w:rPr>
                <w:sz w:val="18"/>
              </w:rPr>
              <w:t>not</w:t>
            </w:r>
            <w:r>
              <w:rPr>
                <w:spacing w:val="-2"/>
                <w:sz w:val="18"/>
              </w:rPr>
              <w:t> </w:t>
            </w:r>
            <w:r>
              <w:rPr>
                <w:sz w:val="18"/>
              </w:rPr>
              <w:t>responded</w:t>
            </w:r>
            <w:r>
              <w:rPr>
                <w:spacing w:val="-2"/>
                <w:sz w:val="18"/>
              </w:rPr>
              <w:t> </w:t>
            </w:r>
            <w:r>
              <w:rPr>
                <w:sz w:val="18"/>
              </w:rPr>
              <w:t>to surveys</w:t>
            </w:r>
            <w:r>
              <w:rPr>
                <w:spacing w:val="-1"/>
                <w:sz w:val="18"/>
              </w:rPr>
              <w:t> </w:t>
            </w:r>
            <w:r>
              <w:rPr>
                <w:sz w:val="18"/>
              </w:rPr>
              <w:t>on</w:t>
            </w:r>
            <w:r>
              <w:rPr>
                <w:spacing w:val="-1"/>
                <w:sz w:val="18"/>
              </w:rPr>
              <w:t> </w:t>
            </w:r>
            <w:r>
              <w:rPr>
                <w:sz w:val="18"/>
              </w:rPr>
              <w:t>the agreed</w:t>
            </w:r>
            <w:r>
              <w:rPr>
                <w:spacing w:val="-2"/>
                <w:sz w:val="18"/>
              </w:rPr>
              <w:t> </w:t>
            </w:r>
            <w:r>
              <w:rPr>
                <w:sz w:val="18"/>
              </w:rPr>
              <w:t>dates.</w:t>
            </w:r>
          </w:p>
        </w:tc>
      </w:tr>
      <w:tr>
        <w:trPr>
          <w:trHeight w:val="1384" w:hRule="atLeast"/>
        </w:trPr>
        <w:tc>
          <w:tcPr>
            <w:tcW w:w="2691" w:type="dxa"/>
          </w:tcPr>
          <w:p>
            <w:pPr>
              <w:pStyle w:val="TableParagraph"/>
              <w:ind w:left="107" w:right="226"/>
              <w:rPr>
                <w:sz w:val="18"/>
              </w:rPr>
            </w:pPr>
            <w:r>
              <w:rPr>
                <w:sz w:val="18"/>
              </w:rPr>
              <w:t>Response rates by patients</w:t>
            </w:r>
            <w:r>
              <w:rPr>
                <w:spacing w:val="-47"/>
                <w:sz w:val="18"/>
              </w:rPr>
              <w:t> </w:t>
            </w:r>
            <w:r>
              <w:rPr>
                <w:sz w:val="18"/>
              </w:rPr>
              <w:t>to</w:t>
            </w:r>
            <w:r>
              <w:rPr>
                <w:spacing w:val="-1"/>
                <w:sz w:val="18"/>
              </w:rPr>
              <w:t> </w:t>
            </w:r>
            <w:r>
              <w:rPr>
                <w:sz w:val="18"/>
              </w:rPr>
              <w:t>the</w:t>
            </w:r>
            <w:r>
              <w:rPr>
                <w:spacing w:val="-1"/>
                <w:sz w:val="18"/>
              </w:rPr>
              <w:t> </w:t>
            </w:r>
            <w:r>
              <w:rPr>
                <w:sz w:val="18"/>
              </w:rPr>
              <w:t>CATI</w:t>
            </w:r>
            <w:r>
              <w:rPr>
                <w:spacing w:val="5"/>
                <w:sz w:val="18"/>
              </w:rPr>
              <w:t> </w:t>
            </w:r>
            <w:r>
              <w:rPr>
                <w:sz w:val="18"/>
              </w:rPr>
              <w:t>survey</w:t>
            </w:r>
          </w:p>
        </w:tc>
        <w:tc>
          <w:tcPr>
            <w:tcW w:w="6327" w:type="dxa"/>
          </w:tcPr>
          <w:p>
            <w:pPr>
              <w:pStyle w:val="TableParagraph"/>
              <w:numPr>
                <w:ilvl w:val="0"/>
                <w:numId w:val="20"/>
              </w:numPr>
              <w:tabs>
                <w:tab w:pos="465" w:val="left" w:leader="none"/>
                <w:tab w:pos="466" w:val="left" w:leader="none"/>
              </w:tabs>
              <w:spacing w:line="240" w:lineRule="auto" w:before="0" w:after="0"/>
              <w:ind w:left="465" w:right="201" w:hanging="360"/>
              <w:jc w:val="left"/>
              <w:rPr>
                <w:sz w:val="18"/>
              </w:rPr>
            </w:pPr>
            <w:r>
              <w:rPr>
                <w:sz w:val="18"/>
              </w:rPr>
              <w:t>HPA and SRC to adopt evidence-based approaches for</w:t>
            </w:r>
            <w:r>
              <w:rPr>
                <w:spacing w:val="1"/>
                <w:sz w:val="18"/>
              </w:rPr>
              <w:t> </w:t>
            </w:r>
            <w:r>
              <w:rPr>
                <w:sz w:val="18"/>
              </w:rPr>
              <w:t>maximizing responses to these surveys (</w:t>
            </w:r>
            <w:hyperlink w:history="true" w:anchor="_bookmark109">
              <w:r>
                <w:rPr>
                  <w:sz w:val="18"/>
                </w:rPr>
                <w:t>Dillman, Smyth and</w:t>
              </w:r>
            </w:hyperlink>
            <w:r>
              <w:rPr>
                <w:spacing w:val="1"/>
                <w:sz w:val="18"/>
              </w:rPr>
              <w:t> </w:t>
            </w:r>
            <w:r>
              <w:rPr>
                <w:sz w:val="18"/>
              </w:rPr>
              <w:t>Christian, 2014): a personal letter, a non-contingent incentive,</w:t>
            </w:r>
            <w:r>
              <w:rPr>
                <w:spacing w:val="1"/>
                <w:sz w:val="18"/>
              </w:rPr>
              <w:t> </w:t>
            </w:r>
            <w:r>
              <w:rPr>
                <w:sz w:val="18"/>
              </w:rPr>
              <w:t>methods for patients to schedule interviews, at least three follow-</w:t>
            </w:r>
            <w:r>
              <w:rPr>
                <w:spacing w:val="-47"/>
                <w:sz w:val="18"/>
              </w:rPr>
              <w:t> </w:t>
            </w:r>
            <w:r>
              <w:rPr>
                <w:sz w:val="18"/>
              </w:rPr>
              <w:t>up calls. For hearing impaired patients, use an alternative</w:t>
            </w:r>
            <w:r>
              <w:rPr>
                <w:spacing w:val="1"/>
                <w:sz w:val="18"/>
              </w:rPr>
              <w:t> </w:t>
            </w:r>
            <w:r>
              <w:rPr>
                <w:sz w:val="18"/>
              </w:rPr>
              <w:t>administration</w:t>
            </w:r>
            <w:r>
              <w:rPr>
                <w:spacing w:val="-1"/>
                <w:sz w:val="18"/>
              </w:rPr>
              <w:t> </w:t>
            </w:r>
            <w:r>
              <w:rPr>
                <w:sz w:val="18"/>
              </w:rPr>
              <w:t>method</w:t>
            </w:r>
            <w:r>
              <w:rPr>
                <w:spacing w:val="1"/>
                <w:sz w:val="18"/>
              </w:rPr>
              <w:t> </w:t>
            </w:r>
            <w:r>
              <w:rPr>
                <w:sz w:val="18"/>
              </w:rPr>
              <w:t>(online</w:t>
            </w:r>
            <w:r>
              <w:rPr>
                <w:spacing w:val="-1"/>
                <w:sz w:val="18"/>
              </w:rPr>
              <w:t> </w:t>
            </w:r>
            <w:r>
              <w:rPr>
                <w:sz w:val="18"/>
              </w:rPr>
              <w:t>survey).</w:t>
            </w:r>
          </w:p>
        </w:tc>
      </w:tr>
      <w:tr>
        <w:trPr>
          <w:trHeight w:val="883" w:hRule="atLeast"/>
        </w:trPr>
        <w:tc>
          <w:tcPr>
            <w:tcW w:w="2691" w:type="dxa"/>
          </w:tcPr>
          <w:p>
            <w:pPr>
              <w:pStyle w:val="TableParagraph"/>
              <w:ind w:left="107" w:right="378"/>
              <w:rPr>
                <w:sz w:val="18"/>
              </w:rPr>
            </w:pPr>
            <w:r>
              <w:rPr>
                <w:sz w:val="18"/>
              </w:rPr>
              <w:t>Responses to CATI survey</w:t>
            </w:r>
            <w:r>
              <w:rPr>
                <w:spacing w:val="-47"/>
                <w:sz w:val="18"/>
              </w:rPr>
              <w:t> </w:t>
            </w:r>
            <w:r>
              <w:rPr>
                <w:sz w:val="18"/>
              </w:rPr>
              <w:t>are</w:t>
            </w:r>
            <w:r>
              <w:rPr>
                <w:spacing w:val="-1"/>
                <w:sz w:val="18"/>
              </w:rPr>
              <w:t> </w:t>
            </w:r>
            <w:r>
              <w:rPr>
                <w:sz w:val="18"/>
              </w:rPr>
              <w:t>valid</w:t>
            </w:r>
          </w:p>
        </w:tc>
        <w:tc>
          <w:tcPr>
            <w:tcW w:w="6327" w:type="dxa"/>
          </w:tcPr>
          <w:p>
            <w:pPr>
              <w:pStyle w:val="TableParagraph"/>
              <w:numPr>
                <w:ilvl w:val="0"/>
                <w:numId w:val="21"/>
              </w:numPr>
              <w:tabs>
                <w:tab w:pos="465" w:val="left" w:leader="none"/>
                <w:tab w:pos="466" w:val="left" w:leader="none"/>
              </w:tabs>
              <w:spacing w:line="240" w:lineRule="auto" w:before="0" w:after="0"/>
              <w:ind w:left="465" w:right="138" w:hanging="360"/>
              <w:jc w:val="left"/>
              <w:rPr>
                <w:sz w:val="18"/>
              </w:rPr>
            </w:pPr>
            <w:r>
              <w:rPr>
                <w:sz w:val="18"/>
              </w:rPr>
              <w:t>SRC to use software that ensures responses recorded by</w:t>
            </w:r>
            <w:r>
              <w:rPr>
                <w:spacing w:val="1"/>
                <w:sz w:val="18"/>
              </w:rPr>
              <w:t> </w:t>
            </w:r>
            <w:r>
              <w:rPr>
                <w:sz w:val="18"/>
              </w:rPr>
              <w:t>interviewers</w:t>
            </w:r>
            <w:r>
              <w:rPr>
                <w:spacing w:val="-3"/>
                <w:sz w:val="18"/>
              </w:rPr>
              <w:t> </w:t>
            </w:r>
            <w:r>
              <w:rPr>
                <w:sz w:val="18"/>
              </w:rPr>
              <w:t>are</w:t>
            </w:r>
            <w:r>
              <w:rPr>
                <w:spacing w:val="-2"/>
                <w:sz w:val="18"/>
              </w:rPr>
              <w:t> </w:t>
            </w:r>
            <w:r>
              <w:rPr>
                <w:sz w:val="18"/>
              </w:rPr>
              <w:t>valid.</w:t>
            </w:r>
            <w:r>
              <w:rPr>
                <w:spacing w:val="-1"/>
                <w:sz w:val="18"/>
              </w:rPr>
              <w:t> </w:t>
            </w:r>
            <w:r>
              <w:rPr>
                <w:sz w:val="18"/>
              </w:rPr>
              <w:t>Conduct</w:t>
            </w:r>
            <w:r>
              <w:rPr>
                <w:spacing w:val="-4"/>
                <w:sz w:val="18"/>
              </w:rPr>
              <w:t> </w:t>
            </w:r>
            <w:r>
              <w:rPr>
                <w:sz w:val="18"/>
              </w:rPr>
              <w:t>a</w:t>
            </w:r>
            <w:r>
              <w:rPr>
                <w:spacing w:val="-1"/>
                <w:sz w:val="18"/>
              </w:rPr>
              <w:t> </w:t>
            </w:r>
            <w:r>
              <w:rPr>
                <w:sz w:val="18"/>
              </w:rPr>
              <w:t>pilot</w:t>
            </w:r>
            <w:r>
              <w:rPr>
                <w:spacing w:val="-3"/>
                <w:sz w:val="18"/>
              </w:rPr>
              <w:t> </w:t>
            </w:r>
            <w:r>
              <w:rPr>
                <w:sz w:val="18"/>
              </w:rPr>
              <w:t>survey</w:t>
            </w:r>
            <w:r>
              <w:rPr>
                <w:spacing w:val="-3"/>
                <w:sz w:val="18"/>
              </w:rPr>
              <w:t> </w:t>
            </w:r>
            <w:r>
              <w:rPr>
                <w:sz w:val="18"/>
              </w:rPr>
              <w:t>to</w:t>
            </w:r>
            <w:r>
              <w:rPr>
                <w:spacing w:val="-2"/>
                <w:sz w:val="18"/>
              </w:rPr>
              <w:t> </w:t>
            </w:r>
            <w:r>
              <w:rPr>
                <w:sz w:val="18"/>
              </w:rPr>
              <w:t>test</w:t>
            </w:r>
            <w:r>
              <w:rPr>
                <w:spacing w:val="-3"/>
                <w:sz w:val="18"/>
              </w:rPr>
              <w:t> </w:t>
            </w:r>
            <w:r>
              <w:rPr>
                <w:sz w:val="18"/>
              </w:rPr>
              <w:t>time</w:t>
            </w:r>
            <w:r>
              <w:rPr>
                <w:spacing w:val="-2"/>
                <w:sz w:val="18"/>
              </w:rPr>
              <w:t> </w:t>
            </w:r>
            <w:r>
              <w:rPr>
                <w:sz w:val="18"/>
              </w:rPr>
              <w:t>taken</w:t>
            </w:r>
            <w:r>
              <w:rPr>
                <w:spacing w:val="-1"/>
                <w:sz w:val="18"/>
              </w:rPr>
              <w:t> </w:t>
            </w:r>
            <w:r>
              <w:rPr>
                <w:sz w:val="18"/>
              </w:rPr>
              <w:t>to</w:t>
            </w:r>
          </w:p>
          <w:p>
            <w:pPr>
              <w:pStyle w:val="TableParagraph"/>
              <w:spacing w:line="220" w:lineRule="atLeast"/>
              <w:ind w:left="465" w:right="85"/>
              <w:rPr>
                <w:sz w:val="18"/>
              </w:rPr>
            </w:pPr>
            <w:r>
              <w:rPr>
                <w:sz w:val="18"/>
              </w:rPr>
              <w:t>complete the survey and whether ambiguities in any</w:t>
            </w:r>
            <w:r>
              <w:rPr>
                <w:spacing w:val="1"/>
                <w:sz w:val="18"/>
              </w:rPr>
              <w:t> </w:t>
            </w:r>
            <w:r>
              <w:rPr>
                <w:sz w:val="18"/>
              </w:rPr>
              <w:t>questions/combinations</w:t>
            </w:r>
            <w:r>
              <w:rPr>
                <w:spacing w:val="-4"/>
                <w:sz w:val="18"/>
              </w:rPr>
              <w:t> </w:t>
            </w:r>
            <w:r>
              <w:rPr>
                <w:sz w:val="18"/>
              </w:rPr>
              <w:t>of</w:t>
            </w:r>
            <w:r>
              <w:rPr>
                <w:spacing w:val="-6"/>
                <w:sz w:val="18"/>
              </w:rPr>
              <w:t> </w:t>
            </w:r>
            <w:r>
              <w:rPr>
                <w:sz w:val="18"/>
              </w:rPr>
              <w:t>responses</w:t>
            </w:r>
            <w:r>
              <w:rPr>
                <w:spacing w:val="-5"/>
                <w:sz w:val="18"/>
              </w:rPr>
              <w:t> </w:t>
            </w:r>
            <w:r>
              <w:rPr>
                <w:sz w:val="18"/>
              </w:rPr>
              <w:t>not</w:t>
            </w:r>
            <w:r>
              <w:rPr>
                <w:spacing w:val="-6"/>
                <w:sz w:val="18"/>
              </w:rPr>
              <w:t> </w:t>
            </w:r>
            <w:r>
              <w:rPr>
                <w:sz w:val="18"/>
              </w:rPr>
              <w:t>immediately</w:t>
            </w:r>
            <w:r>
              <w:rPr>
                <w:spacing w:val="-5"/>
                <w:sz w:val="18"/>
              </w:rPr>
              <w:t> </w:t>
            </w:r>
            <w:r>
              <w:rPr>
                <w:sz w:val="18"/>
              </w:rPr>
              <w:t>apparent.</w:t>
            </w:r>
          </w:p>
        </w:tc>
      </w:tr>
    </w:tbl>
    <w:p>
      <w:pPr>
        <w:spacing w:after="0" w:line="220" w:lineRule="atLeast"/>
        <w:rPr>
          <w:sz w:val="18"/>
        </w:rPr>
        <w:sectPr>
          <w:pgSz w:w="11910" w:h="16840"/>
          <w:pgMar w:header="0" w:footer="675" w:top="0" w:bottom="1471" w:left="580" w:right="280"/>
        </w:sectPr>
      </w:pPr>
    </w:p>
    <w:tbl>
      <w:tblPr>
        <w:tblW w:w="0" w:type="auto"/>
        <w:jc w:val="left"/>
        <w:tblInd w:w="8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691"/>
        <w:gridCol w:w="6327"/>
      </w:tblGrid>
      <w:tr>
        <w:trPr>
          <w:trHeight w:val="280" w:hRule="atLeast"/>
        </w:trPr>
        <w:tc>
          <w:tcPr>
            <w:tcW w:w="2691" w:type="dxa"/>
            <w:shd w:val="clear" w:color="auto" w:fill="003C79"/>
          </w:tcPr>
          <w:p>
            <w:pPr>
              <w:pStyle w:val="TableParagraph"/>
              <w:spacing w:line="219" w:lineRule="exact"/>
              <w:ind w:left="575"/>
              <w:rPr>
                <w:b/>
                <w:sz w:val="18"/>
              </w:rPr>
            </w:pPr>
            <w:r>
              <w:rPr>
                <w:b/>
                <w:color w:val="FFFFFF"/>
                <w:sz w:val="18"/>
              </w:rPr>
              <w:t>Data quality issue</w:t>
            </w:r>
          </w:p>
        </w:tc>
        <w:tc>
          <w:tcPr>
            <w:tcW w:w="6327" w:type="dxa"/>
            <w:shd w:val="clear" w:color="auto" w:fill="003C79"/>
          </w:tcPr>
          <w:p>
            <w:pPr>
              <w:pStyle w:val="TableParagraph"/>
              <w:spacing w:line="219" w:lineRule="exact"/>
              <w:ind w:left="1984"/>
              <w:rPr>
                <w:b/>
                <w:sz w:val="18"/>
              </w:rPr>
            </w:pPr>
            <w:r>
              <w:rPr>
                <w:b/>
                <w:color w:val="FFFFFF"/>
                <w:sz w:val="18"/>
              </w:rPr>
              <w:t>Processes</w:t>
            </w:r>
            <w:r>
              <w:rPr>
                <w:b/>
                <w:color w:val="FFFFFF"/>
                <w:spacing w:val="-2"/>
                <w:sz w:val="18"/>
              </w:rPr>
              <w:t> </w:t>
            </w:r>
            <w:r>
              <w:rPr>
                <w:b/>
                <w:color w:val="FFFFFF"/>
                <w:sz w:val="18"/>
              </w:rPr>
              <w:t>to</w:t>
            </w:r>
            <w:r>
              <w:rPr>
                <w:b/>
                <w:color w:val="FFFFFF"/>
                <w:spacing w:val="-3"/>
                <w:sz w:val="18"/>
              </w:rPr>
              <w:t> </w:t>
            </w:r>
            <w:r>
              <w:rPr>
                <w:b/>
                <w:color w:val="FFFFFF"/>
                <w:sz w:val="18"/>
              </w:rPr>
              <w:t>manage</w:t>
            </w:r>
            <w:r>
              <w:rPr>
                <w:b/>
                <w:color w:val="FFFFFF"/>
                <w:spacing w:val="-2"/>
                <w:sz w:val="18"/>
              </w:rPr>
              <w:t> </w:t>
            </w:r>
            <w:r>
              <w:rPr>
                <w:b/>
                <w:color w:val="FFFFFF"/>
                <w:sz w:val="18"/>
              </w:rPr>
              <w:t>issue</w:t>
            </w:r>
          </w:p>
        </w:tc>
      </w:tr>
      <w:tr>
        <w:trPr>
          <w:trHeight w:val="2709" w:hRule="atLeast"/>
        </w:trPr>
        <w:tc>
          <w:tcPr>
            <w:tcW w:w="2691" w:type="dxa"/>
          </w:tcPr>
          <w:p>
            <w:pPr>
              <w:pStyle w:val="TableParagraph"/>
              <w:rPr>
                <w:rFonts w:ascii="Times New Roman"/>
                <w:sz w:val="18"/>
              </w:rPr>
            </w:pPr>
          </w:p>
        </w:tc>
        <w:tc>
          <w:tcPr>
            <w:tcW w:w="6327" w:type="dxa"/>
          </w:tcPr>
          <w:p>
            <w:pPr>
              <w:pStyle w:val="TableParagraph"/>
              <w:ind w:left="465" w:right="114"/>
              <w:rPr>
                <w:sz w:val="18"/>
              </w:rPr>
            </w:pPr>
            <w:r>
              <w:rPr>
                <w:sz w:val="18"/>
              </w:rPr>
              <w:t>Modify the survey following the pilot. Questions in the CATI survey</w:t>
            </w:r>
            <w:r>
              <w:rPr>
                <w:spacing w:val="1"/>
                <w:sz w:val="18"/>
              </w:rPr>
              <w:t> </w:t>
            </w:r>
            <w:r>
              <w:rPr>
                <w:sz w:val="18"/>
              </w:rPr>
              <w:t>to</w:t>
            </w:r>
            <w:r>
              <w:rPr>
                <w:spacing w:val="3"/>
                <w:sz w:val="18"/>
              </w:rPr>
              <w:t> </w:t>
            </w:r>
            <w:r>
              <w:rPr>
                <w:sz w:val="18"/>
              </w:rPr>
              <w:t>be</w:t>
            </w:r>
            <w:r>
              <w:rPr>
                <w:spacing w:val="5"/>
                <w:sz w:val="18"/>
              </w:rPr>
              <w:t> </w:t>
            </w:r>
            <w:r>
              <w:rPr>
                <w:sz w:val="18"/>
              </w:rPr>
              <w:t>based</w:t>
            </w:r>
            <w:r>
              <w:rPr>
                <w:spacing w:val="3"/>
                <w:sz w:val="18"/>
              </w:rPr>
              <w:t> </w:t>
            </w:r>
            <w:r>
              <w:rPr>
                <w:sz w:val="18"/>
              </w:rPr>
              <w:t>on</w:t>
            </w:r>
            <w:r>
              <w:rPr>
                <w:spacing w:val="3"/>
                <w:sz w:val="18"/>
              </w:rPr>
              <w:t> </w:t>
            </w:r>
            <w:r>
              <w:rPr>
                <w:sz w:val="18"/>
              </w:rPr>
              <w:t>validated</w:t>
            </w:r>
            <w:r>
              <w:rPr>
                <w:spacing w:val="3"/>
                <w:sz w:val="18"/>
              </w:rPr>
              <w:t> </w:t>
            </w:r>
            <w:r>
              <w:rPr>
                <w:sz w:val="18"/>
              </w:rPr>
              <w:t>instruments</w:t>
            </w:r>
            <w:r>
              <w:rPr>
                <w:spacing w:val="3"/>
                <w:sz w:val="18"/>
              </w:rPr>
              <w:t> </w:t>
            </w:r>
            <w:r>
              <w:rPr>
                <w:sz w:val="18"/>
              </w:rPr>
              <w:t>that</w:t>
            </w:r>
            <w:r>
              <w:rPr>
                <w:spacing w:val="2"/>
                <w:sz w:val="18"/>
              </w:rPr>
              <w:t> </w:t>
            </w:r>
            <w:r>
              <w:rPr>
                <w:sz w:val="18"/>
              </w:rPr>
              <w:t>have</w:t>
            </w:r>
            <w:r>
              <w:rPr>
                <w:spacing w:val="3"/>
                <w:sz w:val="18"/>
              </w:rPr>
              <w:t> </w:t>
            </w:r>
            <w:r>
              <w:rPr>
                <w:sz w:val="18"/>
              </w:rPr>
              <w:t>been</w:t>
            </w:r>
            <w:r>
              <w:rPr>
                <w:spacing w:val="4"/>
                <w:sz w:val="18"/>
              </w:rPr>
              <w:t> </w:t>
            </w:r>
            <w:r>
              <w:rPr>
                <w:sz w:val="18"/>
              </w:rPr>
              <w:t>widely</w:t>
            </w:r>
            <w:r>
              <w:rPr>
                <w:spacing w:val="1"/>
                <w:sz w:val="18"/>
              </w:rPr>
              <w:t> </w:t>
            </w:r>
            <w:r>
              <w:rPr>
                <w:sz w:val="18"/>
              </w:rPr>
              <w:t>used for evaluation – the Patient Assessment of Chronic Illness</w:t>
            </w:r>
            <w:r>
              <w:rPr>
                <w:spacing w:val="1"/>
                <w:sz w:val="18"/>
              </w:rPr>
              <w:t> </w:t>
            </w:r>
            <w:r>
              <w:rPr>
                <w:sz w:val="18"/>
              </w:rPr>
              <w:t>Care (13-item version) (</w:t>
            </w:r>
            <w:hyperlink w:history="true" w:anchor="_bookmark114">
              <w:r>
                <w:rPr>
                  <w:sz w:val="18"/>
                </w:rPr>
                <w:t>Gibbons et al., 2017</w:t>
              </w:r>
            </w:hyperlink>
            <w:r>
              <w:rPr>
                <w:sz w:val="18"/>
              </w:rPr>
              <w:t>), the Patient</w:t>
            </w:r>
            <w:r>
              <w:rPr>
                <w:spacing w:val="1"/>
                <w:sz w:val="18"/>
              </w:rPr>
              <w:t> </w:t>
            </w:r>
            <w:r>
              <w:rPr>
                <w:sz w:val="18"/>
              </w:rPr>
              <w:t>Activation Measure (PAM) (13-item version) (</w:t>
            </w:r>
            <w:hyperlink w:history="true" w:anchor="_bookmark117">
              <w:r>
                <w:rPr>
                  <w:sz w:val="18"/>
                </w:rPr>
                <w:t>Hibbard et al., 2005</w:t>
              </w:r>
            </w:hyperlink>
            <w:r>
              <w:rPr>
                <w:sz w:val="18"/>
              </w:rPr>
              <w:t>)</w:t>
            </w:r>
            <w:r>
              <w:rPr>
                <w:spacing w:val="1"/>
                <w:sz w:val="18"/>
              </w:rPr>
              <w:t> </w:t>
            </w:r>
            <w:r>
              <w:rPr>
                <w:sz w:val="18"/>
              </w:rPr>
              <w:t>and the EQ-5D-5L health status measure (</w:t>
            </w:r>
            <w:hyperlink w:history="true" w:anchor="_bookmark116">
              <w:r>
                <w:rPr>
                  <w:sz w:val="18"/>
                </w:rPr>
                <w:t>Herdman et al., 2011</w:t>
              </w:r>
            </w:hyperlink>
            <w:r>
              <w:rPr>
                <w:sz w:val="18"/>
              </w:rPr>
              <w:t>).</w:t>
            </w:r>
            <w:r>
              <w:rPr>
                <w:spacing w:val="1"/>
                <w:sz w:val="18"/>
              </w:rPr>
              <w:t> </w:t>
            </w:r>
            <w:r>
              <w:rPr>
                <w:sz w:val="18"/>
              </w:rPr>
              <w:t>Other items proposed have also been validated or tested,</w:t>
            </w:r>
            <w:r>
              <w:rPr>
                <w:spacing w:val="1"/>
                <w:sz w:val="18"/>
              </w:rPr>
              <w:t> </w:t>
            </w:r>
            <w:r>
              <w:rPr>
                <w:sz w:val="18"/>
              </w:rPr>
              <w:t>including items from the Consumer Assessment of Healthcare</w:t>
            </w:r>
            <w:r>
              <w:rPr>
                <w:spacing w:val="1"/>
                <w:sz w:val="18"/>
              </w:rPr>
              <w:t> </w:t>
            </w:r>
            <w:r>
              <w:rPr>
                <w:sz w:val="18"/>
              </w:rPr>
              <w:t>Providers and Systems (CAHPS) Clinician and Group adult survey</w:t>
            </w:r>
            <w:r>
              <w:rPr>
                <w:spacing w:val="1"/>
                <w:sz w:val="18"/>
              </w:rPr>
              <w:t> </w:t>
            </w:r>
            <w:r>
              <w:rPr>
                <w:sz w:val="18"/>
              </w:rPr>
              <w:t>(CG-CAHPS) (</w:t>
            </w:r>
            <w:hyperlink w:history="true" w:anchor="_bookmark98">
              <w:r>
                <w:rPr>
                  <w:sz w:val="18"/>
                </w:rPr>
                <w:t>Agency for Healthcare Research and Quality, 2015</w:t>
              </w:r>
            </w:hyperlink>
            <w:r>
              <w:rPr>
                <w:sz w:val="18"/>
              </w:rPr>
              <w:t>)</w:t>
            </w:r>
            <w:r>
              <w:rPr>
                <w:spacing w:val="-47"/>
                <w:sz w:val="18"/>
              </w:rPr>
              <w:t> </w:t>
            </w:r>
            <w:r>
              <w:rPr>
                <w:sz w:val="18"/>
              </w:rPr>
              <w:t>and the Care Coordination Quality Measure for Primary Care</w:t>
            </w:r>
            <w:r>
              <w:rPr>
                <w:spacing w:val="1"/>
                <w:sz w:val="18"/>
              </w:rPr>
              <w:t> </w:t>
            </w:r>
            <w:r>
              <w:rPr>
                <w:sz w:val="18"/>
              </w:rPr>
              <w:t>(CCQM-PC)</w:t>
            </w:r>
            <w:r>
              <w:rPr>
                <w:spacing w:val="-3"/>
                <w:sz w:val="18"/>
              </w:rPr>
              <w:t> </w:t>
            </w:r>
            <w:r>
              <w:rPr>
                <w:sz w:val="18"/>
              </w:rPr>
              <w:t>(</w:t>
            </w:r>
            <w:hyperlink w:history="true" w:anchor="_bookmark99">
              <w:r>
                <w:rPr>
                  <w:sz w:val="18"/>
                </w:rPr>
                <w:t>Agency</w:t>
              </w:r>
              <w:r>
                <w:rPr>
                  <w:spacing w:val="-4"/>
                  <w:sz w:val="18"/>
                </w:rPr>
                <w:t> </w:t>
              </w:r>
              <w:r>
                <w:rPr>
                  <w:sz w:val="18"/>
                </w:rPr>
                <w:t>for</w:t>
              </w:r>
              <w:r>
                <w:rPr>
                  <w:spacing w:val="-3"/>
                  <w:sz w:val="18"/>
                </w:rPr>
                <w:t> </w:t>
              </w:r>
              <w:r>
                <w:rPr>
                  <w:sz w:val="18"/>
                </w:rPr>
                <w:t>Healthcare</w:t>
              </w:r>
              <w:r>
                <w:rPr>
                  <w:spacing w:val="-3"/>
                  <w:sz w:val="18"/>
                </w:rPr>
                <w:t> </w:t>
              </w:r>
              <w:r>
                <w:rPr>
                  <w:sz w:val="18"/>
                </w:rPr>
                <w:t>Research</w:t>
              </w:r>
              <w:r>
                <w:rPr>
                  <w:spacing w:val="-3"/>
                  <w:sz w:val="18"/>
                </w:rPr>
                <w:t> </w:t>
              </w:r>
              <w:r>
                <w:rPr>
                  <w:sz w:val="18"/>
                </w:rPr>
                <w:t>and</w:t>
              </w:r>
              <w:r>
                <w:rPr>
                  <w:spacing w:val="-4"/>
                  <w:sz w:val="18"/>
                </w:rPr>
                <w:t> </w:t>
              </w:r>
              <w:r>
                <w:rPr>
                  <w:sz w:val="18"/>
                </w:rPr>
                <w:t>Quality,</w:t>
              </w:r>
              <w:r>
                <w:rPr>
                  <w:spacing w:val="-6"/>
                  <w:sz w:val="18"/>
                </w:rPr>
                <w:t> </w:t>
              </w:r>
              <w:r>
                <w:rPr>
                  <w:sz w:val="18"/>
                </w:rPr>
                <w:t>2016</w:t>
              </w:r>
            </w:hyperlink>
            <w:r>
              <w:rPr>
                <w:sz w:val="18"/>
              </w:rPr>
              <w:t>).</w:t>
            </w:r>
          </w:p>
        </w:tc>
      </w:tr>
      <w:tr>
        <w:trPr>
          <w:trHeight w:val="1385" w:hRule="atLeast"/>
        </w:trPr>
        <w:tc>
          <w:tcPr>
            <w:tcW w:w="2691" w:type="dxa"/>
          </w:tcPr>
          <w:p>
            <w:pPr>
              <w:pStyle w:val="TableParagraph"/>
              <w:ind w:left="107" w:right="179"/>
              <w:rPr>
                <w:sz w:val="18"/>
              </w:rPr>
            </w:pPr>
            <w:r>
              <w:rPr>
                <w:sz w:val="18"/>
              </w:rPr>
              <w:t>Responses to online surveys</w:t>
            </w:r>
            <w:r>
              <w:rPr>
                <w:spacing w:val="-47"/>
                <w:sz w:val="18"/>
              </w:rPr>
              <w:t> </w:t>
            </w:r>
            <w:r>
              <w:rPr>
                <w:sz w:val="18"/>
              </w:rPr>
              <w:t>are</w:t>
            </w:r>
            <w:r>
              <w:rPr>
                <w:spacing w:val="-1"/>
                <w:sz w:val="18"/>
              </w:rPr>
              <w:t> </w:t>
            </w:r>
            <w:r>
              <w:rPr>
                <w:sz w:val="18"/>
              </w:rPr>
              <w:t>valid</w:t>
            </w:r>
          </w:p>
        </w:tc>
        <w:tc>
          <w:tcPr>
            <w:tcW w:w="6327" w:type="dxa"/>
          </w:tcPr>
          <w:p>
            <w:pPr>
              <w:pStyle w:val="TableParagraph"/>
              <w:numPr>
                <w:ilvl w:val="0"/>
                <w:numId w:val="22"/>
              </w:numPr>
              <w:tabs>
                <w:tab w:pos="465" w:val="left" w:leader="none"/>
                <w:tab w:pos="466" w:val="left" w:leader="none"/>
              </w:tabs>
              <w:spacing w:line="240" w:lineRule="auto" w:before="0" w:after="0"/>
              <w:ind w:left="465" w:right="172" w:hanging="360"/>
              <w:jc w:val="left"/>
              <w:rPr>
                <w:sz w:val="18"/>
              </w:rPr>
            </w:pPr>
            <w:r>
              <w:rPr>
                <w:sz w:val="18"/>
              </w:rPr>
              <w:t>Application used for the conduct of online surveys (Qualtrics) to</w:t>
            </w:r>
            <w:r>
              <w:rPr>
                <w:spacing w:val="1"/>
                <w:sz w:val="18"/>
              </w:rPr>
              <w:t> </w:t>
            </w:r>
            <w:r>
              <w:rPr>
                <w:sz w:val="18"/>
              </w:rPr>
              <w:t>ensure that responses to all closed questions are valid. Responses</w:t>
            </w:r>
            <w:r>
              <w:rPr>
                <w:spacing w:val="-47"/>
                <w:sz w:val="18"/>
              </w:rPr>
              <w:t> </w:t>
            </w:r>
            <w:r>
              <w:rPr>
                <w:sz w:val="18"/>
              </w:rPr>
              <w:t>to open questions in the surveys to be coded into categories</w:t>
            </w:r>
            <w:r>
              <w:rPr>
                <w:spacing w:val="1"/>
                <w:sz w:val="18"/>
              </w:rPr>
              <w:t> </w:t>
            </w:r>
            <w:r>
              <w:rPr>
                <w:sz w:val="18"/>
              </w:rPr>
              <w:t>agreed</w:t>
            </w:r>
            <w:r>
              <w:rPr>
                <w:spacing w:val="-4"/>
                <w:sz w:val="18"/>
              </w:rPr>
              <w:t> </w:t>
            </w:r>
            <w:r>
              <w:rPr>
                <w:sz w:val="18"/>
              </w:rPr>
              <w:t>by</w:t>
            </w:r>
            <w:r>
              <w:rPr>
                <w:spacing w:val="-3"/>
                <w:sz w:val="18"/>
              </w:rPr>
              <w:t> </w:t>
            </w:r>
            <w:r>
              <w:rPr>
                <w:sz w:val="18"/>
              </w:rPr>
              <w:t>HPA</w:t>
            </w:r>
            <w:r>
              <w:rPr>
                <w:spacing w:val="-8"/>
                <w:sz w:val="18"/>
              </w:rPr>
              <w:t> </w:t>
            </w:r>
            <w:r>
              <w:rPr>
                <w:sz w:val="18"/>
              </w:rPr>
              <w:t>staff</w:t>
            </w:r>
            <w:r>
              <w:rPr>
                <w:spacing w:val="-2"/>
                <w:sz w:val="18"/>
              </w:rPr>
              <w:t> </w:t>
            </w:r>
            <w:r>
              <w:rPr>
                <w:sz w:val="18"/>
              </w:rPr>
              <w:t>responsible</w:t>
            </w:r>
            <w:r>
              <w:rPr>
                <w:spacing w:val="-4"/>
                <w:sz w:val="18"/>
              </w:rPr>
              <w:t> </w:t>
            </w:r>
            <w:r>
              <w:rPr>
                <w:sz w:val="18"/>
              </w:rPr>
              <w:t>for</w:t>
            </w:r>
            <w:r>
              <w:rPr>
                <w:spacing w:val="-2"/>
                <w:sz w:val="18"/>
              </w:rPr>
              <w:t> </w:t>
            </w:r>
            <w:r>
              <w:rPr>
                <w:sz w:val="18"/>
              </w:rPr>
              <w:t>qualitative</w:t>
            </w:r>
            <w:r>
              <w:rPr>
                <w:spacing w:val="-2"/>
                <w:sz w:val="18"/>
              </w:rPr>
              <w:t> </w:t>
            </w:r>
            <w:r>
              <w:rPr>
                <w:sz w:val="18"/>
              </w:rPr>
              <w:t>analysis.</w:t>
            </w:r>
            <w:r>
              <w:rPr>
                <w:spacing w:val="-6"/>
                <w:sz w:val="18"/>
              </w:rPr>
              <w:t> </w:t>
            </w:r>
            <w:r>
              <w:rPr>
                <w:sz w:val="18"/>
              </w:rPr>
              <w:t>A</w:t>
            </w:r>
            <w:r>
              <w:rPr>
                <w:spacing w:val="-6"/>
                <w:sz w:val="18"/>
              </w:rPr>
              <w:t> </w:t>
            </w:r>
            <w:r>
              <w:rPr>
                <w:sz w:val="18"/>
              </w:rPr>
              <w:t>second</w:t>
            </w:r>
            <w:r>
              <w:rPr>
                <w:spacing w:val="-47"/>
                <w:sz w:val="18"/>
              </w:rPr>
              <w:t> </w:t>
            </w:r>
            <w:r>
              <w:rPr>
                <w:sz w:val="18"/>
              </w:rPr>
              <w:t>analyst to check responses coded by a primary analyst. Source</w:t>
            </w:r>
            <w:r>
              <w:rPr>
                <w:spacing w:val="1"/>
                <w:sz w:val="18"/>
              </w:rPr>
              <w:t> </w:t>
            </w:r>
            <w:r>
              <w:rPr>
                <w:sz w:val="18"/>
              </w:rPr>
              <w:t>data</w:t>
            </w:r>
            <w:r>
              <w:rPr>
                <w:spacing w:val="-2"/>
                <w:sz w:val="18"/>
              </w:rPr>
              <w:t> </w:t>
            </w:r>
            <w:r>
              <w:rPr>
                <w:sz w:val="18"/>
              </w:rPr>
              <w:t>retained</w:t>
            </w:r>
            <w:r>
              <w:rPr>
                <w:spacing w:val="-1"/>
                <w:sz w:val="18"/>
              </w:rPr>
              <w:t> </w:t>
            </w:r>
            <w:r>
              <w:rPr>
                <w:sz w:val="18"/>
              </w:rPr>
              <w:t>to</w:t>
            </w:r>
            <w:r>
              <w:rPr>
                <w:spacing w:val="-2"/>
                <w:sz w:val="18"/>
              </w:rPr>
              <w:t> </w:t>
            </w:r>
            <w:r>
              <w:rPr>
                <w:sz w:val="18"/>
              </w:rPr>
              <w:t>allow</w:t>
            </w:r>
            <w:r>
              <w:rPr>
                <w:spacing w:val="-2"/>
                <w:sz w:val="18"/>
              </w:rPr>
              <w:t> </w:t>
            </w:r>
            <w:r>
              <w:rPr>
                <w:sz w:val="18"/>
              </w:rPr>
              <w:t>checking</w:t>
            </w:r>
            <w:r>
              <w:rPr>
                <w:spacing w:val="-3"/>
                <w:sz w:val="18"/>
              </w:rPr>
              <w:t> </w:t>
            </w:r>
            <w:r>
              <w:rPr>
                <w:sz w:val="18"/>
              </w:rPr>
              <w:t>of</w:t>
            </w:r>
            <w:r>
              <w:rPr>
                <w:spacing w:val="-1"/>
                <w:sz w:val="18"/>
              </w:rPr>
              <w:t> </w:t>
            </w:r>
            <w:r>
              <w:rPr>
                <w:sz w:val="18"/>
              </w:rPr>
              <w:t>codes</w:t>
            </w:r>
            <w:r>
              <w:rPr>
                <w:spacing w:val="-2"/>
                <w:sz w:val="18"/>
              </w:rPr>
              <w:t> </w:t>
            </w:r>
            <w:r>
              <w:rPr>
                <w:sz w:val="18"/>
              </w:rPr>
              <w:t>assigned.</w:t>
            </w:r>
          </w:p>
        </w:tc>
      </w:tr>
      <w:tr>
        <w:trPr>
          <w:trHeight w:val="1163" w:hRule="atLeast"/>
        </w:trPr>
        <w:tc>
          <w:tcPr>
            <w:tcW w:w="2691" w:type="dxa"/>
          </w:tcPr>
          <w:p>
            <w:pPr>
              <w:pStyle w:val="TableParagraph"/>
              <w:ind w:left="107" w:right="186"/>
              <w:rPr>
                <w:sz w:val="18"/>
              </w:rPr>
            </w:pPr>
            <w:r>
              <w:rPr>
                <w:sz w:val="18"/>
              </w:rPr>
              <w:t>Management of data from</w:t>
            </w:r>
            <w:r>
              <w:rPr>
                <w:spacing w:val="-48"/>
                <w:sz w:val="18"/>
              </w:rPr>
              <w:t> </w:t>
            </w:r>
            <w:r>
              <w:rPr>
                <w:sz w:val="18"/>
              </w:rPr>
              <w:t>surveys</w:t>
            </w:r>
          </w:p>
        </w:tc>
        <w:tc>
          <w:tcPr>
            <w:tcW w:w="6327" w:type="dxa"/>
          </w:tcPr>
          <w:p>
            <w:pPr>
              <w:pStyle w:val="TableParagraph"/>
              <w:numPr>
                <w:ilvl w:val="0"/>
                <w:numId w:val="23"/>
              </w:numPr>
              <w:tabs>
                <w:tab w:pos="465" w:val="left" w:leader="none"/>
                <w:tab w:pos="466" w:val="left" w:leader="none"/>
              </w:tabs>
              <w:spacing w:line="240" w:lineRule="auto" w:before="0" w:after="0"/>
              <w:ind w:left="465" w:right="254" w:hanging="360"/>
              <w:jc w:val="left"/>
              <w:rPr>
                <w:sz w:val="18"/>
              </w:rPr>
            </w:pPr>
            <w:r>
              <w:rPr>
                <w:sz w:val="18"/>
              </w:rPr>
              <w:t>Data to be retained in the source systems. When downloaded,</w:t>
            </w:r>
            <w:r>
              <w:rPr>
                <w:spacing w:val="1"/>
                <w:sz w:val="18"/>
              </w:rPr>
              <w:t> </w:t>
            </w:r>
            <w:r>
              <w:rPr>
                <w:sz w:val="18"/>
              </w:rPr>
              <w:t>data to be saved into a designated secure area of the HPA</w:t>
            </w:r>
            <w:r>
              <w:rPr>
                <w:spacing w:val="1"/>
                <w:sz w:val="18"/>
              </w:rPr>
              <w:t> </w:t>
            </w:r>
            <w:r>
              <w:rPr>
                <w:sz w:val="18"/>
              </w:rPr>
              <w:t>network.</w:t>
            </w:r>
            <w:r>
              <w:rPr>
                <w:spacing w:val="-3"/>
                <w:sz w:val="18"/>
              </w:rPr>
              <w:t> </w:t>
            </w:r>
            <w:r>
              <w:rPr>
                <w:sz w:val="18"/>
              </w:rPr>
              <w:t>Original</w:t>
            </w:r>
            <w:r>
              <w:rPr>
                <w:spacing w:val="-2"/>
                <w:sz w:val="18"/>
              </w:rPr>
              <w:t> </w:t>
            </w:r>
            <w:r>
              <w:rPr>
                <w:sz w:val="18"/>
              </w:rPr>
              <w:t>data</w:t>
            </w:r>
            <w:r>
              <w:rPr>
                <w:spacing w:val="-1"/>
                <w:sz w:val="18"/>
              </w:rPr>
              <w:t> </w:t>
            </w:r>
            <w:r>
              <w:rPr>
                <w:sz w:val="18"/>
              </w:rPr>
              <w:t>to</w:t>
            </w:r>
            <w:r>
              <w:rPr>
                <w:spacing w:val="-2"/>
                <w:sz w:val="18"/>
              </w:rPr>
              <w:t> </w:t>
            </w:r>
            <w:r>
              <w:rPr>
                <w:sz w:val="18"/>
              </w:rPr>
              <w:t>be</w:t>
            </w:r>
            <w:r>
              <w:rPr>
                <w:spacing w:val="-1"/>
                <w:sz w:val="18"/>
              </w:rPr>
              <w:t> </w:t>
            </w:r>
            <w:r>
              <w:rPr>
                <w:sz w:val="18"/>
              </w:rPr>
              <w:t>saved</w:t>
            </w:r>
            <w:r>
              <w:rPr>
                <w:spacing w:val="-3"/>
                <w:sz w:val="18"/>
              </w:rPr>
              <w:t> </w:t>
            </w:r>
            <w:r>
              <w:rPr>
                <w:sz w:val="18"/>
              </w:rPr>
              <w:t>with the</w:t>
            </w:r>
            <w:r>
              <w:rPr>
                <w:spacing w:val="-1"/>
                <w:sz w:val="18"/>
              </w:rPr>
              <w:t> </w:t>
            </w:r>
            <w:r>
              <w:rPr>
                <w:sz w:val="18"/>
              </w:rPr>
              <w:t>date</w:t>
            </w:r>
            <w:r>
              <w:rPr>
                <w:spacing w:val="-2"/>
                <w:sz w:val="18"/>
              </w:rPr>
              <w:t> </w:t>
            </w:r>
            <w:r>
              <w:rPr>
                <w:sz w:val="18"/>
              </w:rPr>
              <w:t>in</w:t>
            </w:r>
            <w:r>
              <w:rPr>
                <w:spacing w:val="-4"/>
                <w:sz w:val="18"/>
              </w:rPr>
              <w:t> </w:t>
            </w:r>
            <w:r>
              <w:rPr>
                <w:sz w:val="18"/>
              </w:rPr>
              <w:t>the</w:t>
            </w:r>
            <w:r>
              <w:rPr>
                <w:spacing w:val="-4"/>
                <w:sz w:val="18"/>
              </w:rPr>
              <w:t> </w:t>
            </w:r>
            <w:r>
              <w:rPr>
                <w:sz w:val="18"/>
              </w:rPr>
              <w:t>name</w:t>
            </w:r>
            <w:r>
              <w:rPr>
                <w:spacing w:val="-2"/>
                <w:sz w:val="18"/>
              </w:rPr>
              <w:t> </w:t>
            </w:r>
            <w:r>
              <w:rPr>
                <w:sz w:val="18"/>
              </w:rPr>
              <w:t>of</w:t>
            </w:r>
            <w:r>
              <w:rPr>
                <w:spacing w:val="-46"/>
                <w:sz w:val="18"/>
              </w:rPr>
              <w:t> </w:t>
            </w:r>
            <w:r>
              <w:rPr>
                <w:sz w:val="18"/>
              </w:rPr>
              <w:t>the file. Later versions also saved with the date that is current at</w:t>
            </w:r>
            <w:r>
              <w:rPr>
                <w:spacing w:val="1"/>
                <w:sz w:val="18"/>
              </w:rPr>
              <w:t> </w:t>
            </w:r>
            <w:r>
              <w:rPr>
                <w:sz w:val="18"/>
              </w:rPr>
              <w:t>the</w:t>
            </w:r>
            <w:r>
              <w:rPr>
                <w:spacing w:val="-1"/>
                <w:sz w:val="18"/>
              </w:rPr>
              <w:t> </w:t>
            </w:r>
            <w:r>
              <w:rPr>
                <w:sz w:val="18"/>
              </w:rPr>
              <w:t>time of</w:t>
            </w:r>
            <w:r>
              <w:rPr>
                <w:spacing w:val="1"/>
                <w:sz w:val="18"/>
              </w:rPr>
              <w:t> </w:t>
            </w:r>
            <w:r>
              <w:rPr>
                <w:sz w:val="18"/>
              </w:rPr>
              <w:t>saving.</w:t>
            </w:r>
          </w:p>
        </w:tc>
      </w:tr>
      <w:tr>
        <w:trPr>
          <w:trHeight w:val="1504" w:hRule="atLeast"/>
        </w:trPr>
        <w:tc>
          <w:tcPr>
            <w:tcW w:w="2691" w:type="dxa"/>
          </w:tcPr>
          <w:p>
            <w:pPr>
              <w:pStyle w:val="TableParagraph"/>
              <w:spacing w:line="219" w:lineRule="exact"/>
              <w:ind w:left="107"/>
              <w:rPr>
                <w:sz w:val="18"/>
              </w:rPr>
            </w:pPr>
            <w:r>
              <w:rPr>
                <w:sz w:val="18"/>
              </w:rPr>
              <w:t>Reproducibility</w:t>
            </w:r>
            <w:r>
              <w:rPr>
                <w:spacing w:val="-5"/>
                <w:sz w:val="18"/>
              </w:rPr>
              <w:t> </w:t>
            </w:r>
            <w:r>
              <w:rPr>
                <w:sz w:val="18"/>
              </w:rPr>
              <w:t>of</w:t>
            </w:r>
            <w:r>
              <w:rPr>
                <w:spacing w:val="-5"/>
                <w:sz w:val="18"/>
              </w:rPr>
              <w:t> </w:t>
            </w:r>
            <w:r>
              <w:rPr>
                <w:sz w:val="18"/>
              </w:rPr>
              <w:t>analysis</w:t>
            </w:r>
          </w:p>
        </w:tc>
        <w:tc>
          <w:tcPr>
            <w:tcW w:w="6327" w:type="dxa"/>
          </w:tcPr>
          <w:p>
            <w:pPr>
              <w:pStyle w:val="TableParagraph"/>
              <w:numPr>
                <w:ilvl w:val="0"/>
                <w:numId w:val="24"/>
              </w:numPr>
              <w:tabs>
                <w:tab w:pos="465" w:val="left" w:leader="none"/>
                <w:tab w:pos="466" w:val="left" w:leader="none"/>
              </w:tabs>
              <w:spacing w:line="219" w:lineRule="exact" w:before="0" w:after="0"/>
              <w:ind w:left="465" w:right="0" w:hanging="361"/>
              <w:jc w:val="left"/>
              <w:rPr>
                <w:sz w:val="18"/>
              </w:rPr>
            </w:pPr>
            <w:r>
              <w:rPr>
                <w:sz w:val="18"/>
              </w:rPr>
              <w:t>Analysis</w:t>
            </w:r>
            <w:r>
              <w:rPr>
                <w:spacing w:val="-3"/>
                <w:sz w:val="18"/>
              </w:rPr>
              <w:t> </w:t>
            </w:r>
            <w:r>
              <w:rPr>
                <w:sz w:val="18"/>
              </w:rPr>
              <w:t>to</w:t>
            </w:r>
            <w:r>
              <w:rPr>
                <w:spacing w:val="-2"/>
                <w:sz w:val="18"/>
              </w:rPr>
              <w:t> </w:t>
            </w:r>
            <w:r>
              <w:rPr>
                <w:sz w:val="18"/>
              </w:rPr>
              <w:t>be</w:t>
            </w:r>
            <w:r>
              <w:rPr>
                <w:spacing w:val="-2"/>
                <w:sz w:val="18"/>
              </w:rPr>
              <w:t> </w:t>
            </w:r>
            <w:r>
              <w:rPr>
                <w:sz w:val="18"/>
              </w:rPr>
              <w:t>conducted</w:t>
            </w:r>
            <w:r>
              <w:rPr>
                <w:spacing w:val="-5"/>
                <w:sz w:val="18"/>
              </w:rPr>
              <w:t> </w:t>
            </w:r>
            <w:r>
              <w:rPr>
                <w:sz w:val="18"/>
              </w:rPr>
              <w:t>in</w:t>
            </w:r>
            <w:r>
              <w:rPr>
                <w:spacing w:val="-4"/>
                <w:sz w:val="18"/>
              </w:rPr>
              <w:t> </w:t>
            </w:r>
            <w:r>
              <w:rPr>
                <w:sz w:val="18"/>
              </w:rPr>
              <w:t>R</w:t>
            </w:r>
            <w:r>
              <w:rPr>
                <w:spacing w:val="-2"/>
                <w:sz w:val="18"/>
              </w:rPr>
              <w:t> </w:t>
            </w:r>
            <w:r>
              <w:rPr>
                <w:sz w:val="18"/>
              </w:rPr>
              <w:t>and</w:t>
            </w:r>
            <w:r>
              <w:rPr>
                <w:spacing w:val="-3"/>
                <w:sz w:val="18"/>
              </w:rPr>
              <w:t> </w:t>
            </w:r>
            <w:r>
              <w:rPr>
                <w:sz w:val="18"/>
              </w:rPr>
              <w:t>associated</w:t>
            </w:r>
            <w:r>
              <w:rPr>
                <w:spacing w:val="-4"/>
                <w:sz w:val="18"/>
              </w:rPr>
              <w:t> </w:t>
            </w:r>
            <w:r>
              <w:rPr>
                <w:sz w:val="18"/>
              </w:rPr>
              <w:t>packages.</w:t>
            </w:r>
          </w:p>
          <w:p>
            <w:pPr>
              <w:pStyle w:val="TableParagraph"/>
              <w:numPr>
                <w:ilvl w:val="0"/>
                <w:numId w:val="24"/>
              </w:numPr>
              <w:tabs>
                <w:tab w:pos="465" w:val="left" w:leader="none"/>
                <w:tab w:pos="466" w:val="left" w:leader="none"/>
              </w:tabs>
              <w:spacing w:line="240" w:lineRule="auto" w:before="60" w:after="0"/>
              <w:ind w:left="465" w:right="540" w:hanging="360"/>
              <w:jc w:val="left"/>
              <w:rPr>
                <w:sz w:val="18"/>
              </w:rPr>
            </w:pPr>
            <w:r>
              <w:rPr>
                <w:sz w:val="18"/>
              </w:rPr>
              <w:t>A</w:t>
            </w:r>
            <w:r>
              <w:rPr>
                <w:spacing w:val="-6"/>
                <w:sz w:val="18"/>
              </w:rPr>
              <w:t> </w:t>
            </w:r>
            <w:r>
              <w:rPr>
                <w:sz w:val="18"/>
              </w:rPr>
              <w:t>system</w:t>
            </w:r>
            <w:r>
              <w:rPr>
                <w:spacing w:val="-5"/>
                <w:sz w:val="18"/>
              </w:rPr>
              <w:t> </w:t>
            </w:r>
            <w:r>
              <w:rPr>
                <w:sz w:val="18"/>
              </w:rPr>
              <w:t>for</w:t>
            </w:r>
            <w:r>
              <w:rPr>
                <w:spacing w:val="-2"/>
                <w:sz w:val="18"/>
              </w:rPr>
              <w:t> </w:t>
            </w:r>
            <w:r>
              <w:rPr>
                <w:sz w:val="18"/>
              </w:rPr>
              <w:t>version</w:t>
            </w:r>
            <w:r>
              <w:rPr>
                <w:spacing w:val="-3"/>
                <w:sz w:val="18"/>
              </w:rPr>
              <w:t> </w:t>
            </w:r>
            <w:r>
              <w:rPr>
                <w:sz w:val="18"/>
              </w:rPr>
              <w:t>control</w:t>
            </w:r>
            <w:r>
              <w:rPr>
                <w:spacing w:val="-5"/>
                <w:sz w:val="18"/>
              </w:rPr>
              <w:t> </w:t>
            </w:r>
            <w:r>
              <w:rPr>
                <w:sz w:val="18"/>
              </w:rPr>
              <w:t>(a private</w:t>
            </w:r>
            <w:r>
              <w:rPr>
                <w:spacing w:val="-2"/>
                <w:sz w:val="18"/>
              </w:rPr>
              <w:t> </w:t>
            </w:r>
            <w:r>
              <w:rPr>
                <w:sz w:val="18"/>
              </w:rPr>
              <w:t>GitHub</w:t>
            </w:r>
            <w:r>
              <w:rPr>
                <w:spacing w:val="-2"/>
                <w:sz w:val="18"/>
              </w:rPr>
              <w:t> </w:t>
            </w:r>
            <w:r>
              <w:rPr>
                <w:sz w:val="18"/>
              </w:rPr>
              <w:t>account)</w:t>
            </w:r>
            <w:r>
              <w:rPr>
                <w:spacing w:val="-6"/>
                <w:sz w:val="18"/>
              </w:rPr>
              <w:t> </w:t>
            </w:r>
            <w:r>
              <w:rPr>
                <w:sz w:val="18"/>
              </w:rPr>
              <w:t>to</w:t>
            </w:r>
            <w:r>
              <w:rPr>
                <w:spacing w:val="-1"/>
                <w:sz w:val="18"/>
              </w:rPr>
              <w:t> </w:t>
            </w:r>
            <w:r>
              <w:rPr>
                <w:sz w:val="18"/>
              </w:rPr>
              <w:t>be</w:t>
            </w:r>
            <w:r>
              <w:rPr>
                <w:spacing w:val="-47"/>
                <w:sz w:val="18"/>
              </w:rPr>
              <w:t> </w:t>
            </w:r>
            <w:r>
              <w:rPr>
                <w:sz w:val="18"/>
              </w:rPr>
              <w:t>applied</w:t>
            </w:r>
            <w:r>
              <w:rPr>
                <w:spacing w:val="-3"/>
                <w:sz w:val="18"/>
              </w:rPr>
              <w:t> </w:t>
            </w:r>
            <w:r>
              <w:rPr>
                <w:sz w:val="18"/>
              </w:rPr>
              <w:t>to</w:t>
            </w:r>
            <w:r>
              <w:rPr>
                <w:spacing w:val="-2"/>
                <w:sz w:val="18"/>
              </w:rPr>
              <w:t> </w:t>
            </w:r>
            <w:r>
              <w:rPr>
                <w:sz w:val="18"/>
              </w:rPr>
              <w:t>the</w:t>
            </w:r>
            <w:r>
              <w:rPr>
                <w:spacing w:val="-1"/>
                <w:sz w:val="18"/>
              </w:rPr>
              <w:t> </w:t>
            </w:r>
            <w:r>
              <w:rPr>
                <w:sz w:val="18"/>
              </w:rPr>
              <w:t>scripts</w:t>
            </w:r>
            <w:r>
              <w:rPr>
                <w:spacing w:val="-2"/>
                <w:sz w:val="18"/>
              </w:rPr>
              <w:t> </w:t>
            </w:r>
            <w:r>
              <w:rPr>
                <w:sz w:val="18"/>
              </w:rPr>
              <w:t>used</w:t>
            </w:r>
            <w:r>
              <w:rPr>
                <w:spacing w:val="-3"/>
                <w:sz w:val="18"/>
              </w:rPr>
              <w:t> </w:t>
            </w:r>
            <w:r>
              <w:rPr>
                <w:sz w:val="18"/>
              </w:rPr>
              <w:t>to</w:t>
            </w:r>
            <w:r>
              <w:rPr>
                <w:spacing w:val="-1"/>
                <w:sz w:val="18"/>
              </w:rPr>
              <w:t> </w:t>
            </w:r>
            <w:r>
              <w:rPr>
                <w:sz w:val="18"/>
              </w:rPr>
              <w:t>process</w:t>
            </w:r>
            <w:r>
              <w:rPr>
                <w:spacing w:val="-2"/>
                <w:sz w:val="18"/>
              </w:rPr>
              <w:t> </w:t>
            </w:r>
            <w:r>
              <w:rPr>
                <w:sz w:val="18"/>
              </w:rPr>
              <w:t>and</w:t>
            </w:r>
            <w:r>
              <w:rPr>
                <w:spacing w:val="-2"/>
                <w:sz w:val="18"/>
              </w:rPr>
              <w:t> </w:t>
            </w:r>
            <w:r>
              <w:rPr>
                <w:sz w:val="18"/>
              </w:rPr>
              <w:t>analyse</w:t>
            </w:r>
            <w:r>
              <w:rPr>
                <w:spacing w:val="-2"/>
                <w:sz w:val="18"/>
              </w:rPr>
              <w:t> </w:t>
            </w:r>
            <w:r>
              <w:rPr>
                <w:sz w:val="18"/>
              </w:rPr>
              <w:t>data.</w:t>
            </w:r>
          </w:p>
          <w:p>
            <w:pPr>
              <w:pStyle w:val="TableParagraph"/>
              <w:numPr>
                <w:ilvl w:val="0"/>
                <w:numId w:val="24"/>
              </w:numPr>
              <w:tabs>
                <w:tab w:pos="465" w:val="left" w:leader="none"/>
                <w:tab w:pos="466" w:val="left" w:leader="none"/>
              </w:tabs>
              <w:spacing w:line="240" w:lineRule="auto" w:before="60" w:after="0"/>
              <w:ind w:left="465" w:right="216" w:hanging="360"/>
              <w:jc w:val="left"/>
              <w:rPr>
                <w:sz w:val="18"/>
              </w:rPr>
            </w:pPr>
            <w:r>
              <w:rPr>
                <w:sz w:val="18"/>
              </w:rPr>
              <w:t>The scripts to involve a workflow from the source data through to</w:t>
            </w:r>
            <w:r>
              <w:rPr>
                <w:spacing w:val="-48"/>
                <w:sz w:val="18"/>
              </w:rPr>
              <w:t> </w:t>
            </w:r>
            <w:r>
              <w:rPr>
                <w:sz w:val="18"/>
              </w:rPr>
              <w:t>the final outputs of analysis. This will allow for analyses to be</w:t>
            </w:r>
            <w:r>
              <w:rPr>
                <w:spacing w:val="1"/>
                <w:sz w:val="18"/>
              </w:rPr>
              <w:t> </w:t>
            </w:r>
            <w:r>
              <w:rPr>
                <w:sz w:val="18"/>
              </w:rPr>
              <w:t>reproduced.</w:t>
            </w:r>
          </w:p>
        </w:tc>
      </w:tr>
      <w:tr>
        <w:trPr>
          <w:trHeight w:val="4432" w:hRule="atLeast"/>
        </w:trPr>
        <w:tc>
          <w:tcPr>
            <w:tcW w:w="2691" w:type="dxa"/>
          </w:tcPr>
          <w:p>
            <w:pPr>
              <w:pStyle w:val="TableParagraph"/>
              <w:spacing w:line="219" w:lineRule="exact"/>
              <w:ind w:left="107"/>
              <w:rPr>
                <w:sz w:val="18"/>
              </w:rPr>
            </w:pPr>
            <w:r>
              <w:rPr>
                <w:sz w:val="18"/>
              </w:rPr>
              <w:t>Validity</w:t>
            </w:r>
            <w:r>
              <w:rPr>
                <w:spacing w:val="-3"/>
                <w:sz w:val="18"/>
              </w:rPr>
              <w:t> </w:t>
            </w:r>
            <w:r>
              <w:rPr>
                <w:sz w:val="18"/>
              </w:rPr>
              <w:t>of</w:t>
            </w:r>
            <w:r>
              <w:rPr>
                <w:spacing w:val="-2"/>
                <w:sz w:val="18"/>
              </w:rPr>
              <w:t> </w:t>
            </w:r>
            <w:r>
              <w:rPr>
                <w:sz w:val="18"/>
              </w:rPr>
              <w:t>analysis</w:t>
            </w:r>
          </w:p>
        </w:tc>
        <w:tc>
          <w:tcPr>
            <w:tcW w:w="6327" w:type="dxa"/>
          </w:tcPr>
          <w:p>
            <w:pPr>
              <w:pStyle w:val="TableParagraph"/>
              <w:numPr>
                <w:ilvl w:val="0"/>
                <w:numId w:val="25"/>
              </w:numPr>
              <w:tabs>
                <w:tab w:pos="465" w:val="left" w:leader="none"/>
                <w:tab w:pos="466" w:val="left" w:leader="none"/>
              </w:tabs>
              <w:spacing w:line="240" w:lineRule="auto" w:before="0" w:after="0"/>
              <w:ind w:left="465" w:right="182" w:hanging="360"/>
              <w:jc w:val="left"/>
              <w:rPr>
                <w:sz w:val="18"/>
              </w:rPr>
            </w:pPr>
            <w:r>
              <w:rPr>
                <w:sz w:val="18"/>
              </w:rPr>
              <w:t>Analysis scripts to be developed by one analyst and reviewed by</w:t>
            </w:r>
            <w:r>
              <w:rPr>
                <w:spacing w:val="-48"/>
                <w:sz w:val="18"/>
              </w:rPr>
              <w:t> </w:t>
            </w:r>
            <w:r>
              <w:rPr>
                <w:sz w:val="18"/>
              </w:rPr>
              <w:t>another.</w:t>
            </w:r>
          </w:p>
          <w:p>
            <w:pPr>
              <w:pStyle w:val="TableParagraph"/>
              <w:numPr>
                <w:ilvl w:val="0"/>
                <w:numId w:val="25"/>
              </w:numPr>
              <w:tabs>
                <w:tab w:pos="465" w:val="left" w:leader="none"/>
                <w:tab w:pos="466" w:val="left" w:leader="none"/>
              </w:tabs>
              <w:spacing w:line="240" w:lineRule="auto" w:before="59" w:after="0"/>
              <w:ind w:left="465" w:right="328" w:hanging="360"/>
              <w:jc w:val="left"/>
              <w:rPr>
                <w:sz w:val="18"/>
              </w:rPr>
            </w:pPr>
            <w:r>
              <w:rPr>
                <w:sz w:val="18"/>
              </w:rPr>
              <w:t>Analysis to commence with exploratory methods including:</w:t>
            </w:r>
            <w:r>
              <w:rPr>
                <w:spacing w:val="1"/>
                <w:sz w:val="18"/>
              </w:rPr>
              <w:t> </w:t>
            </w:r>
            <w:r>
              <w:rPr>
                <w:sz w:val="18"/>
              </w:rPr>
              <w:t>frequencies of responses and cross tabulations and correlations</w:t>
            </w:r>
            <w:r>
              <w:rPr>
                <w:spacing w:val="-47"/>
                <w:sz w:val="18"/>
              </w:rPr>
              <w:t> </w:t>
            </w:r>
            <w:r>
              <w:rPr>
                <w:sz w:val="18"/>
              </w:rPr>
              <w:t>between variables. Evaluation measures and covariates to be</w:t>
            </w:r>
            <w:r>
              <w:rPr>
                <w:spacing w:val="1"/>
                <w:sz w:val="18"/>
              </w:rPr>
              <w:t> </w:t>
            </w:r>
            <w:r>
              <w:rPr>
                <w:sz w:val="18"/>
              </w:rPr>
              <w:t>calculated where required. Measures also summarized at the</w:t>
            </w:r>
            <w:r>
              <w:rPr>
                <w:spacing w:val="1"/>
                <w:sz w:val="18"/>
              </w:rPr>
              <w:t> </w:t>
            </w:r>
            <w:r>
              <w:rPr>
                <w:sz w:val="18"/>
              </w:rPr>
              <w:t>practice level. A set of practice characteristics to be derived</w:t>
            </w:r>
            <w:r>
              <w:rPr>
                <w:spacing w:val="1"/>
                <w:sz w:val="18"/>
              </w:rPr>
              <w:t> </w:t>
            </w:r>
            <w:r>
              <w:rPr>
                <w:sz w:val="18"/>
              </w:rPr>
              <w:t>from</w:t>
            </w:r>
            <w:r>
              <w:rPr>
                <w:spacing w:val="-5"/>
                <w:sz w:val="18"/>
              </w:rPr>
              <w:t> </w:t>
            </w:r>
            <w:r>
              <w:rPr>
                <w:sz w:val="18"/>
              </w:rPr>
              <w:t>these data.</w:t>
            </w:r>
          </w:p>
          <w:p>
            <w:pPr>
              <w:pStyle w:val="TableParagraph"/>
              <w:numPr>
                <w:ilvl w:val="0"/>
                <w:numId w:val="25"/>
              </w:numPr>
              <w:tabs>
                <w:tab w:pos="465" w:val="left" w:leader="none"/>
                <w:tab w:pos="466" w:val="left" w:leader="none"/>
              </w:tabs>
              <w:spacing w:line="240" w:lineRule="auto" w:before="58" w:after="0"/>
              <w:ind w:left="465" w:right="360" w:hanging="360"/>
              <w:jc w:val="left"/>
              <w:rPr>
                <w:sz w:val="18"/>
              </w:rPr>
            </w:pPr>
            <w:r>
              <w:rPr>
                <w:sz w:val="18"/>
              </w:rPr>
              <w:t>Once an exploratory analysis stage has been completed, the</w:t>
            </w:r>
            <w:r>
              <w:rPr>
                <w:spacing w:val="1"/>
                <w:sz w:val="18"/>
              </w:rPr>
              <w:t> </w:t>
            </w:r>
            <w:r>
              <w:rPr>
                <w:sz w:val="18"/>
              </w:rPr>
              <w:t>analyst to move to relevant statistical analyses, including</w:t>
            </w:r>
            <w:r>
              <w:rPr>
                <w:spacing w:val="1"/>
                <w:sz w:val="18"/>
              </w:rPr>
              <w:t> </w:t>
            </w:r>
            <w:r>
              <w:rPr>
                <w:sz w:val="18"/>
              </w:rPr>
              <w:t>estimating models of the relationships between variables of</w:t>
            </w:r>
            <w:r>
              <w:rPr>
                <w:spacing w:val="1"/>
                <w:sz w:val="18"/>
              </w:rPr>
              <w:t> </w:t>
            </w:r>
            <w:r>
              <w:rPr>
                <w:sz w:val="18"/>
              </w:rPr>
              <w:t>interest (including outcome measures) and relevant predictors.</w:t>
            </w:r>
            <w:r>
              <w:rPr>
                <w:spacing w:val="-48"/>
                <w:sz w:val="18"/>
              </w:rPr>
              <w:t> </w:t>
            </w:r>
            <w:r>
              <w:rPr>
                <w:sz w:val="18"/>
              </w:rPr>
              <w:t>Data from these sources to be analysed according to the</w:t>
            </w:r>
            <w:r>
              <w:rPr>
                <w:spacing w:val="1"/>
                <w:sz w:val="18"/>
              </w:rPr>
              <w:t> </w:t>
            </w:r>
            <w:r>
              <w:rPr>
                <w:sz w:val="18"/>
              </w:rPr>
              <w:t>evaluation</w:t>
            </w:r>
            <w:r>
              <w:rPr>
                <w:spacing w:val="-1"/>
                <w:sz w:val="18"/>
              </w:rPr>
              <w:t> </w:t>
            </w:r>
            <w:r>
              <w:rPr>
                <w:sz w:val="18"/>
              </w:rPr>
              <w:t>plan.</w:t>
            </w:r>
          </w:p>
          <w:p>
            <w:pPr>
              <w:pStyle w:val="TableParagraph"/>
              <w:numPr>
                <w:ilvl w:val="0"/>
                <w:numId w:val="25"/>
              </w:numPr>
              <w:tabs>
                <w:tab w:pos="465" w:val="left" w:leader="none"/>
                <w:tab w:pos="466" w:val="left" w:leader="none"/>
              </w:tabs>
              <w:spacing w:line="240" w:lineRule="auto" w:before="61" w:after="0"/>
              <w:ind w:left="465" w:right="241" w:hanging="360"/>
              <w:jc w:val="left"/>
              <w:rPr>
                <w:sz w:val="18"/>
              </w:rPr>
            </w:pPr>
            <w:r>
              <w:rPr>
                <w:sz w:val="18"/>
              </w:rPr>
              <w:t>Resulting tables and charts to be incorporated into reports.</w:t>
            </w:r>
            <w:r>
              <w:rPr>
                <w:spacing w:val="1"/>
                <w:sz w:val="18"/>
              </w:rPr>
              <w:t> </w:t>
            </w:r>
            <w:r>
              <w:rPr>
                <w:sz w:val="18"/>
              </w:rPr>
              <w:t>Reports drafted and proof-read by several members of HPA and</w:t>
            </w:r>
            <w:r>
              <w:rPr>
                <w:spacing w:val="-48"/>
                <w:sz w:val="18"/>
              </w:rPr>
              <w:t> </w:t>
            </w:r>
            <w:r>
              <w:rPr>
                <w:sz w:val="18"/>
              </w:rPr>
              <w:t>circulated to members of the broader evaluation consortium</w:t>
            </w:r>
            <w:r>
              <w:rPr>
                <w:spacing w:val="1"/>
                <w:sz w:val="18"/>
              </w:rPr>
              <w:t> </w:t>
            </w:r>
            <w:r>
              <w:rPr>
                <w:sz w:val="18"/>
              </w:rPr>
              <w:t>before submission in draft form to the Department of Health,</w:t>
            </w:r>
            <w:r>
              <w:rPr>
                <w:spacing w:val="1"/>
                <w:sz w:val="18"/>
              </w:rPr>
              <w:t> </w:t>
            </w:r>
            <w:r>
              <w:rPr>
                <w:sz w:val="18"/>
              </w:rPr>
              <w:t>where</w:t>
            </w:r>
            <w:r>
              <w:rPr>
                <w:spacing w:val="-1"/>
                <w:sz w:val="18"/>
              </w:rPr>
              <w:t> </w:t>
            </w:r>
            <w:r>
              <w:rPr>
                <w:sz w:val="18"/>
              </w:rPr>
              <w:t>they</w:t>
            </w:r>
            <w:r>
              <w:rPr>
                <w:spacing w:val="1"/>
                <w:sz w:val="18"/>
              </w:rPr>
              <w:t> </w:t>
            </w:r>
            <w:r>
              <w:rPr>
                <w:sz w:val="18"/>
              </w:rPr>
              <w:t>will</w:t>
            </w:r>
            <w:r>
              <w:rPr>
                <w:spacing w:val="-1"/>
                <w:sz w:val="18"/>
              </w:rPr>
              <w:t> </w:t>
            </w:r>
            <w:r>
              <w:rPr>
                <w:sz w:val="18"/>
              </w:rPr>
              <w:t>be</w:t>
            </w:r>
            <w:r>
              <w:rPr>
                <w:spacing w:val="-1"/>
                <w:sz w:val="18"/>
              </w:rPr>
              <w:t> </w:t>
            </w:r>
            <w:r>
              <w:rPr>
                <w:sz w:val="18"/>
              </w:rPr>
              <w:t>further</w:t>
            </w:r>
            <w:r>
              <w:rPr>
                <w:spacing w:val="-2"/>
                <w:sz w:val="18"/>
              </w:rPr>
              <w:t> </w:t>
            </w:r>
            <w:r>
              <w:rPr>
                <w:sz w:val="18"/>
              </w:rPr>
              <w:t>reviewed.</w:t>
            </w:r>
          </w:p>
        </w:tc>
      </w:tr>
      <w:tr>
        <w:trPr>
          <w:trHeight w:val="1665" w:hRule="atLeast"/>
        </w:trPr>
        <w:tc>
          <w:tcPr>
            <w:tcW w:w="2691" w:type="dxa"/>
          </w:tcPr>
          <w:p>
            <w:pPr>
              <w:pStyle w:val="TableParagraph"/>
              <w:spacing w:line="219" w:lineRule="exact"/>
              <w:ind w:left="107"/>
              <w:rPr>
                <w:sz w:val="18"/>
              </w:rPr>
            </w:pPr>
            <w:r>
              <w:rPr>
                <w:sz w:val="18"/>
              </w:rPr>
              <w:t>Meta-data</w:t>
            </w:r>
          </w:p>
        </w:tc>
        <w:tc>
          <w:tcPr>
            <w:tcW w:w="6327" w:type="dxa"/>
          </w:tcPr>
          <w:p>
            <w:pPr>
              <w:pStyle w:val="TableParagraph"/>
              <w:numPr>
                <w:ilvl w:val="0"/>
                <w:numId w:val="26"/>
              </w:numPr>
              <w:tabs>
                <w:tab w:pos="465" w:val="left" w:leader="none"/>
                <w:tab w:pos="466" w:val="left" w:leader="none"/>
              </w:tabs>
              <w:spacing w:line="240" w:lineRule="auto" w:before="0" w:after="0"/>
              <w:ind w:left="465" w:right="154" w:hanging="360"/>
              <w:jc w:val="left"/>
              <w:rPr>
                <w:sz w:val="18"/>
              </w:rPr>
            </w:pPr>
            <w:r>
              <w:rPr>
                <w:sz w:val="18"/>
              </w:rPr>
              <w:t>A</w:t>
            </w:r>
            <w:r>
              <w:rPr>
                <w:spacing w:val="-7"/>
                <w:sz w:val="18"/>
              </w:rPr>
              <w:t> </w:t>
            </w:r>
            <w:r>
              <w:rPr>
                <w:sz w:val="18"/>
              </w:rPr>
              <w:t>spreadsheet</w:t>
            </w:r>
            <w:r>
              <w:rPr>
                <w:spacing w:val="-4"/>
                <w:sz w:val="18"/>
              </w:rPr>
              <w:t> </w:t>
            </w:r>
            <w:r>
              <w:rPr>
                <w:sz w:val="18"/>
              </w:rPr>
              <w:t>describing</w:t>
            </w:r>
            <w:r>
              <w:rPr>
                <w:spacing w:val="-4"/>
                <w:sz w:val="18"/>
              </w:rPr>
              <w:t> </w:t>
            </w:r>
            <w:r>
              <w:rPr>
                <w:sz w:val="18"/>
              </w:rPr>
              <w:t>all</w:t>
            </w:r>
            <w:r>
              <w:rPr>
                <w:spacing w:val="-2"/>
                <w:sz w:val="18"/>
              </w:rPr>
              <w:t> </w:t>
            </w:r>
            <w:r>
              <w:rPr>
                <w:sz w:val="18"/>
              </w:rPr>
              <w:t>source</w:t>
            </w:r>
            <w:r>
              <w:rPr>
                <w:spacing w:val="-3"/>
                <w:sz w:val="18"/>
              </w:rPr>
              <w:t> </w:t>
            </w:r>
            <w:r>
              <w:rPr>
                <w:sz w:val="18"/>
              </w:rPr>
              <w:t>data</w:t>
            </w:r>
            <w:r>
              <w:rPr>
                <w:spacing w:val="-3"/>
                <w:sz w:val="18"/>
              </w:rPr>
              <w:t> </w:t>
            </w:r>
            <w:r>
              <w:rPr>
                <w:sz w:val="18"/>
              </w:rPr>
              <w:t>files</w:t>
            </w:r>
            <w:r>
              <w:rPr>
                <w:spacing w:val="-6"/>
                <w:sz w:val="18"/>
              </w:rPr>
              <w:t> </w:t>
            </w:r>
            <w:r>
              <w:rPr>
                <w:sz w:val="18"/>
              </w:rPr>
              <w:t>arising</w:t>
            </w:r>
            <w:r>
              <w:rPr>
                <w:spacing w:val="-4"/>
                <w:sz w:val="18"/>
              </w:rPr>
              <w:t> </w:t>
            </w:r>
            <w:r>
              <w:rPr>
                <w:sz w:val="18"/>
              </w:rPr>
              <w:t>from</w:t>
            </w:r>
            <w:r>
              <w:rPr>
                <w:spacing w:val="-7"/>
                <w:sz w:val="18"/>
              </w:rPr>
              <w:t> </w:t>
            </w:r>
            <w:r>
              <w:rPr>
                <w:sz w:val="18"/>
              </w:rPr>
              <w:t>primary</w:t>
            </w:r>
            <w:r>
              <w:rPr>
                <w:spacing w:val="-46"/>
                <w:sz w:val="18"/>
              </w:rPr>
              <w:t> </w:t>
            </w:r>
            <w:r>
              <w:rPr>
                <w:sz w:val="18"/>
              </w:rPr>
              <w:t>data collection processes to be developed and updated as the</w:t>
            </w:r>
            <w:r>
              <w:rPr>
                <w:spacing w:val="1"/>
                <w:sz w:val="18"/>
              </w:rPr>
              <w:t> </w:t>
            </w:r>
            <w:r>
              <w:rPr>
                <w:sz w:val="18"/>
              </w:rPr>
              <w:t>evaluation progresses. The spreadsheet to provide variable</w:t>
            </w:r>
            <w:r>
              <w:rPr>
                <w:spacing w:val="1"/>
                <w:sz w:val="18"/>
              </w:rPr>
              <w:t> </w:t>
            </w:r>
            <w:r>
              <w:rPr>
                <w:sz w:val="18"/>
              </w:rPr>
              <w:t>names, descriptions of the variable, valid values and labels for</w:t>
            </w:r>
            <w:r>
              <w:rPr>
                <w:spacing w:val="1"/>
                <w:sz w:val="18"/>
              </w:rPr>
              <w:t> </w:t>
            </w:r>
            <w:r>
              <w:rPr>
                <w:sz w:val="18"/>
              </w:rPr>
              <w:t>valid</w:t>
            </w:r>
            <w:r>
              <w:rPr>
                <w:spacing w:val="-2"/>
                <w:sz w:val="18"/>
              </w:rPr>
              <w:t> </w:t>
            </w:r>
            <w:r>
              <w:rPr>
                <w:sz w:val="18"/>
              </w:rPr>
              <w:t>values.</w:t>
            </w:r>
          </w:p>
          <w:p>
            <w:pPr>
              <w:pStyle w:val="TableParagraph"/>
              <w:numPr>
                <w:ilvl w:val="0"/>
                <w:numId w:val="26"/>
              </w:numPr>
              <w:tabs>
                <w:tab w:pos="465" w:val="left" w:leader="none"/>
                <w:tab w:pos="466" w:val="left" w:leader="none"/>
              </w:tabs>
              <w:spacing w:line="240" w:lineRule="auto" w:before="59" w:after="0"/>
              <w:ind w:left="465" w:right="395" w:hanging="360"/>
              <w:jc w:val="left"/>
              <w:rPr>
                <w:sz w:val="18"/>
              </w:rPr>
            </w:pPr>
            <w:r>
              <w:rPr>
                <w:sz w:val="18"/>
              </w:rPr>
              <w:t>An additional spreadsheet also been developed that specifies</w:t>
            </w:r>
            <w:r>
              <w:rPr>
                <w:spacing w:val="-47"/>
                <w:sz w:val="18"/>
              </w:rPr>
              <w:t> </w:t>
            </w:r>
            <w:r>
              <w:rPr>
                <w:sz w:val="18"/>
              </w:rPr>
              <w:t>how</w:t>
            </w:r>
            <w:r>
              <w:rPr>
                <w:spacing w:val="-3"/>
                <w:sz w:val="18"/>
              </w:rPr>
              <w:t> </w:t>
            </w:r>
            <w:r>
              <w:rPr>
                <w:sz w:val="18"/>
              </w:rPr>
              <w:t>key</w:t>
            </w:r>
            <w:r>
              <w:rPr>
                <w:spacing w:val="-2"/>
                <w:sz w:val="18"/>
              </w:rPr>
              <w:t> </w:t>
            </w:r>
            <w:r>
              <w:rPr>
                <w:sz w:val="18"/>
              </w:rPr>
              <w:t>evaluation</w:t>
            </w:r>
            <w:r>
              <w:rPr>
                <w:spacing w:val="2"/>
                <w:sz w:val="18"/>
              </w:rPr>
              <w:t> </w:t>
            </w:r>
            <w:r>
              <w:rPr>
                <w:sz w:val="18"/>
              </w:rPr>
              <w:t>measures are</w:t>
            </w:r>
            <w:r>
              <w:rPr>
                <w:spacing w:val="-2"/>
                <w:sz w:val="18"/>
              </w:rPr>
              <w:t> </w:t>
            </w:r>
            <w:r>
              <w:rPr>
                <w:sz w:val="18"/>
              </w:rPr>
              <w:t>calculated.</w:t>
            </w:r>
          </w:p>
        </w:tc>
      </w:tr>
    </w:tbl>
    <w:p>
      <w:pPr>
        <w:spacing w:after="0" w:line="240" w:lineRule="auto"/>
        <w:jc w:val="left"/>
        <w:rPr>
          <w:sz w:val="18"/>
        </w:rPr>
        <w:sectPr>
          <w:type w:val="continuous"/>
          <w:pgSz w:w="11910" w:h="16840"/>
          <w:pgMar w:header="0" w:footer="675" w:top="1420" w:bottom="860" w:left="580" w:right="280"/>
        </w:sectPr>
      </w:pPr>
    </w:p>
    <w:p>
      <w:pPr>
        <w:spacing w:before="80"/>
        <w:ind w:left="1223" w:right="1524" w:firstLine="0"/>
        <w:jc w:val="center"/>
        <w:rPr>
          <w:b/>
          <w:sz w:val="18"/>
        </w:rPr>
      </w:pPr>
      <w:bookmarkStart w:name="_bookmark60" w:id="61"/>
      <w:bookmarkEnd w:id="61"/>
      <w:r>
        <w:rPr/>
      </w:r>
      <w:r>
        <w:rPr>
          <w:b/>
          <w:sz w:val="18"/>
        </w:rPr>
        <w:t>Figure</w:t>
      </w:r>
      <w:r>
        <w:rPr>
          <w:b/>
          <w:spacing w:val="-2"/>
          <w:sz w:val="18"/>
        </w:rPr>
        <w:t> </w:t>
      </w:r>
      <w:r>
        <w:rPr>
          <w:b/>
          <w:sz w:val="18"/>
        </w:rPr>
        <w:t>4</w:t>
      </w:r>
      <w:r>
        <w:rPr>
          <w:b/>
          <w:spacing w:val="-1"/>
          <w:sz w:val="18"/>
        </w:rPr>
        <w:t> </w:t>
      </w:r>
      <w:r>
        <w:rPr>
          <w:b/>
          <w:sz w:val="18"/>
        </w:rPr>
        <w:t>– Processes</w:t>
      </w:r>
      <w:r>
        <w:rPr>
          <w:b/>
          <w:spacing w:val="-2"/>
          <w:sz w:val="18"/>
        </w:rPr>
        <w:t> </w:t>
      </w:r>
      <w:r>
        <w:rPr>
          <w:b/>
          <w:sz w:val="18"/>
        </w:rPr>
        <w:t>for</w:t>
      </w:r>
      <w:r>
        <w:rPr>
          <w:b/>
          <w:spacing w:val="-4"/>
          <w:sz w:val="18"/>
        </w:rPr>
        <w:t> </w:t>
      </w:r>
      <w:r>
        <w:rPr>
          <w:b/>
          <w:sz w:val="18"/>
        </w:rPr>
        <w:t>managing integrity</w:t>
      </w:r>
      <w:r>
        <w:rPr>
          <w:b/>
          <w:spacing w:val="-3"/>
          <w:sz w:val="18"/>
        </w:rPr>
        <w:t> </w:t>
      </w:r>
      <w:r>
        <w:rPr>
          <w:b/>
          <w:sz w:val="18"/>
        </w:rPr>
        <w:t>and</w:t>
      </w:r>
      <w:r>
        <w:rPr>
          <w:b/>
          <w:spacing w:val="-3"/>
          <w:sz w:val="18"/>
        </w:rPr>
        <w:t> </w:t>
      </w:r>
      <w:r>
        <w:rPr>
          <w:b/>
          <w:sz w:val="18"/>
        </w:rPr>
        <w:t>quality</w:t>
      </w:r>
      <w:r>
        <w:rPr>
          <w:b/>
          <w:spacing w:val="-4"/>
          <w:sz w:val="18"/>
        </w:rPr>
        <w:t> </w:t>
      </w:r>
      <w:r>
        <w:rPr>
          <w:b/>
          <w:sz w:val="18"/>
        </w:rPr>
        <w:t>if</w:t>
      </w:r>
      <w:r>
        <w:rPr>
          <w:b/>
          <w:spacing w:val="-4"/>
          <w:sz w:val="18"/>
        </w:rPr>
        <w:t> </w:t>
      </w:r>
      <w:r>
        <w:rPr>
          <w:b/>
          <w:sz w:val="18"/>
        </w:rPr>
        <w:t>primary</w:t>
      </w:r>
      <w:r>
        <w:rPr>
          <w:b/>
          <w:spacing w:val="-3"/>
          <w:sz w:val="18"/>
        </w:rPr>
        <w:t> </w:t>
      </w:r>
      <w:r>
        <w:rPr>
          <w:b/>
          <w:sz w:val="18"/>
        </w:rPr>
        <w:t>data sources:</w:t>
      </w:r>
      <w:r>
        <w:rPr>
          <w:b/>
          <w:spacing w:val="-1"/>
          <w:sz w:val="18"/>
        </w:rPr>
        <w:t> </w:t>
      </w:r>
      <w:r>
        <w:rPr>
          <w:b/>
          <w:sz w:val="18"/>
        </w:rPr>
        <w:t>surveys</w:t>
      </w:r>
    </w:p>
    <w:p>
      <w:pPr>
        <w:pStyle w:val="BodyText"/>
        <w:spacing w:before="4"/>
        <w:rPr>
          <w:b/>
          <w:sz w:val="6"/>
        </w:rPr>
      </w:pPr>
      <w:r>
        <w:rPr/>
        <w:drawing>
          <wp:anchor distT="0" distB="0" distL="0" distR="0" allowOverlap="1" layoutInCell="1" locked="0" behindDoc="0" simplePos="0" relativeHeight="26">
            <wp:simplePos x="0" y="0"/>
            <wp:positionH relativeFrom="page">
              <wp:posOffset>785640</wp:posOffset>
            </wp:positionH>
            <wp:positionV relativeFrom="paragraph">
              <wp:posOffset>64900</wp:posOffset>
            </wp:positionV>
            <wp:extent cx="5688505" cy="5566219"/>
            <wp:effectExtent l="0" t="0" r="0" b="0"/>
            <wp:wrapTopAndBottom/>
            <wp:docPr id="13" name="image11.jpeg"/>
            <wp:cNvGraphicFramePr>
              <a:graphicFrameLocks noChangeAspect="1"/>
            </wp:cNvGraphicFramePr>
            <a:graphic>
              <a:graphicData uri="http://schemas.openxmlformats.org/drawingml/2006/picture">
                <pic:pic>
                  <pic:nvPicPr>
                    <pic:cNvPr id="14" name="image11.jpeg"/>
                    <pic:cNvPicPr/>
                  </pic:nvPicPr>
                  <pic:blipFill>
                    <a:blip r:embed="rId35" cstate="print"/>
                    <a:stretch>
                      <a:fillRect/>
                    </a:stretch>
                  </pic:blipFill>
                  <pic:spPr>
                    <a:xfrm>
                      <a:off x="0" y="0"/>
                      <a:ext cx="5688505" cy="5566219"/>
                    </a:xfrm>
                    <a:prstGeom prst="rect">
                      <a:avLst/>
                    </a:prstGeom>
                  </pic:spPr>
                </pic:pic>
              </a:graphicData>
            </a:graphic>
          </wp:anchor>
        </w:drawing>
      </w:r>
    </w:p>
    <w:p>
      <w:pPr>
        <w:pStyle w:val="BodyText"/>
        <w:spacing w:before="11"/>
        <w:rPr>
          <w:b/>
          <w:sz w:val="22"/>
        </w:rPr>
      </w:pPr>
    </w:p>
    <w:p>
      <w:pPr>
        <w:pStyle w:val="Heading2"/>
      </w:pPr>
      <w:bookmarkStart w:name="_bookmark61" w:id="62"/>
      <w:bookmarkEnd w:id="62"/>
      <w:r>
        <w:rPr/>
      </w:r>
      <w:r>
        <w:rPr>
          <w:color w:val="003C79"/>
        </w:rPr>
        <w:t>Primary</w:t>
      </w:r>
      <w:r>
        <w:rPr>
          <w:color w:val="003C79"/>
          <w:spacing w:val="-5"/>
        </w:rPr>
        <w:t> </w:t>
      </w:r>
      <w:r>
        <w:rPr>
          <w:color w:val="003C79"/>
        </w:rPr>
        <w:t>data</w:t>
      </w:r>
      <w:r>
        <w:rPr>
          <w:color w:val="003C79"/>
          <w:spacing w:val="-5"/>
        </w:rPr>
        <w:t> </w:t>
      </w:r>
      <w:r>
        <w:rPr>
          <w:color w:val="003C79"/>
        </w:rPr>
        <w:t>–</w:t>
      </w:r>
      <w:r>
        <w:rPr>
          <w:color w:val="003C79"/>
          <w:spacing w:val="-5"/>
        </w:rPr>
        <w:t> </w:t>
      </w:r>
      <w:r>
        <w:rPr>
          <w:color w:val="003C79"/>
        </w:rPr>
        <w:t>interviews</w:t>
      </w:r>
    </w:p>
    <w:p>
      <w:pPr>
        <w:pStyle w:val="BodyText"/>
        <w:spacing w:line="276" w:lineRule="auto" w:before="260"/>
        <w:ind w:left="860" w:right="1203"/>
      </w:pPr>
      <w:r>
        <w:rPr/>
        <w:t>For the evaluations, particularly the case study component, interviews will be conducted for</w:t>
      </w:r>
      <w:r>
        <w:rPr>
          <w:spacing w:val="1"/>
        </w:rPr>
        <w:t> </w:t>
      </w:r>
      <w:r>
        <w:rPr/>
        <w:t>patients, practice staff, PHN staff and other informants. With the permission of the</w:t>
      </w:r>
      <w:r>
        <w:rPr>
          <w:spacing w:val="1"/>
        </w:rPr>
        <w:t> </w:t>
      </w:r>
      <w:r>
        <w:rPr/>
        <w:t>interviewees, each interview will be recorded using a mobile device. The recording will be</w:t>
      </w:r>
      <w:r>
        <w:rPr>
          <w:spacing w:val="1"/>
        </w:rPr>
        <w:t> </w:t>
      </w:r>
      <w:r>
        <w:rPr/>
        <w:t>saved to a secure online site and then deleted from the mobile device. Interviews will be</w:t>
      </w:r>
      <w:r>
        <w:rPr>
          <w:spacing w:val="1"/>
        </w:rPr>
        <w:t> </w:t>
      </w:r>
      <w:r>
        <w:rPr/>
        <w:t>transcribed by a transcription service. The original transcript will be saved to a secure area of</w:t>
      </w:r>
      <w:r>
        <w:rPr>
          <w:spacing w:val="-53"/>
        </w:rPr>
        <w:t> </w:t>
      </w:r>
      <w:r>
        <w:rPr/>
        <w:t>the HPA network. The transcript will then then edited by a HPA staff member to remove any</w:t>
      </w:r>
      <w:r>
        <w:rPr>
          <w:spacing w:val="1"/>
        </w:rPr>
        <w:t> </w:t>
      </w:r>
      <w:r>
        <w:rPr/>
        <w:t>identifying information. The edited transcripts will then imported into the qualitative data</w:t>
      </w:r>
      <w:r>
        <w:rPr>
          <w:spacing w:val="1"/>
        </w:rPr>
        <w:t> </w:t>
      </w:r>
      <w:r>
        <w:rPr/>
        <w:t>analysis software package MaxQDA. HPA analysts will then code and analyses the</w:t>
      </w:r>
      <w:r>
        <w:rPr>
          <w:spacing w:val="1"/>
        </w:rPr>
        <w:t> </w:t>
      </w:r>
      <w:r>
        <w:rPr/>
        <w:t>transcripts. In these processes it will be possible to trace back to the original recording if this is</w:t>
      </w:r>
      <w:r>
        <w:rPr>
          <w:spacing w:val="-53"/>
        </w:rPr>
        <w:t> </w:t>
      </w:r>
      <w:r>
        <w:rPr/>
        <w:t>necessary.</w:t>
      </w:r>
    </w:p>
    <w:p>
      <w:pPr>
        <w:spacing w:after="0" w:line="276" w:lineRule="auto"/>
        <w:sectPr>
          <w:pgSz w:w="11910" w:h="16840"/>
          <w:pgMar w:header="0" w:footer="675" w:top="1340" w:bottom="860" w:left="580" w:right="280"/>
        </w:sectPr>
      </w:pPr>
    </w:p>
    <w:p>
      <w:pPr>
        <w:pStyle w:val="Heading2"/>
        <w:spacing w:before="81"/>
      </w:pPr>
      <w:bookmarkStart w:name="_bookmark62" w:id="63"/>
      <w:bookmarkEnd w:id="63"/>
      <w:r>
        <w:rPr/>
      </w:r>
      <w:r>
        <w:rPr>
          <w:color w:val="003C79"/>
        </w:rPr>
        <w:t>Secondary</w:t>
      </w:r>
      <w:r>
        <w:rPr>
          <w:color w:val="003C79"/>
          <w:spacing w:val="-6"/>
        </w:rPr>
        <w:t> </w:t>
      </w:r>
      <w:r>
        <w:rPr>
          <w:color w:val="003C79"/>
        </w:rPr>
        <w:t>data</w:t>
      </w:r>
    </w:p>
    <w:p>
      <w:pPr>
        <w:pStyle w:val="BodyText"/>
        <w:spacing w:line="276" w:lineRule="auto" w:before="259"/>
        <w:ind w:left="860" w:right="1154"/>
      </w:pPr>
      <w:r>
        <w:rPr/>
        <w:t>Secondary</w:t>
      </w:r>
      <w:r>
        <w:rPr>
          <w:spacing w:val="-5"/>
        </w:rPr>
        <w:t> </w:t>
      </w:r>
      <w:r>
        <w:rPr/>
        <w:t>data</w:t>
      </w:r>
      <w:r>
        <w:rPr>
          <w:spacing w:val="-2"/>
        </w:rPr>
        <w:t> </w:t>
      </w:r>
      <w:r>
        <w:rPr/>
        <w:t>for</w:t>
      </w:r>
      <w:r>
        <w:rPr>
          <w:spacing w:val="-4"/>
        </w:rPr>
        <w:t> </w:t>
      </w:r>
      <w:r>
        <w:rPr/>
        <w:t>the</w:t>
      </w:r>
      <w:r>
        <w:rPr>
          <w:spacing w:val="-3"/>
        </w:rPr>
        <w:t> </w:t>
      </w:r>
      <w:r>
        <w:rPr/>
        <w:t>evaluation</w:t>
      </w:r>
      <w:r>
        <w:rPr>
          <w:spacing w:val="-3"/>
        </w:rPr>
        <w:t> </w:t>
      </w:r>
      <w:r>
        <w:rPr/>
        <w:t>involve</w:t>
      </w:r>
      <w:r>
        <w:rPr>
          <w:spacing w:val="-3"/>
        </w:rPr>
        <w:t> </w:t>
      </w:r>
      <w:r>
        <w:rPr/>
        <w:t>a</w:t>
      </w:r>
      <w:r>
        <w:rPr>
          <w:spacing w:val="-3"/>
        </w:rPr>
        <w:t> </w:t>
      </w:r>
      <w:r>
        <w:rPr/>
        <w:t>range</w:t>
      </w:r>
      <w:r>
        <w:rPr>
          <w:spacing w:val="-3"/>
        </w:rPr>
        <w:t> </w:t>
      </w:r>
      <w:r>
        <w:rPr/>
        <w:t>of</w:t>
      </w:r>
      <w:r>
        <w:rPr>
          <w:spacing w:val="-3"/>
        </w:rPr>
        <w:t> </w:t>
      </w:r>
      <w:r>
        <w:rPr/>
        <w:t>data</w:t>
      </w:r>
      <w:r>
        <w:rPr>
          <w:spacing w:val="-3"/>
        </w:rPr>
        <w:t> </w:t>
      </w:r>
      <w:r>
        <w:rPr/>
        <w:t>sources,</w:t>
      </w:r>
      <w:r>
        <w:rPr>
          <w:spacing w:val="-3"/>
        </w:rPr>
        <w:t> </w:t>
      </w:r>
      <w:r>
        <w:rPr/>
        <w:t>namely</w:t>
      </w:r>
      <w:r>
        <w:rPr>
          <w:spacing w:val="-5"/>
        </w:rPr>
        <w:t> </w:t>
      </w:r>
      <w:r>
        <w:rPr/>
        <w:t>extracts</w:t>
      </w:r>
      <w:r>
        <w:rPr>
          <w:spacing w:val="-3"/>
        </w:rPr>
        <w:t> </w:t>
      </w:r>
      <w:r>
        <w:rPr/>
        <w:t>from</w:t>
      </w:r>
      <w:r>
        <w:rPr>
          <w:spacing w:val="-3"/>
        </w:rPr>
        <w:t> </w:t>
      </w:r>
      <w:r>
        <w:rPr/>
        <w:t>the</w:t>
      </w:r>
      <w:r>
        <w:rPr>
          <w:spacing w:val="-53"/>
        </w:rPr>
        <w:t> </w:t>
      </w:r>
      <w:r>
        <w:rPr/>
        <w:t>practice clinical information systems, extracts from the Department of Human Services’ HCH</w:t>
      </w:r>
      <w:r>
        <w:rPr>
          <w:spacing w:val="1"/>
        </w:rPr>
        <w:t> </w:t>
      </w:r>
      <w:r>
        <w:rPr/>
        <w:t>enrolment database (HPOS), and MBS, PBS records linked to hospital admissions. Secondary</w:t>
      </w:r>
      <w:r>
        <w:rPr>
          <w:spacing w:val="1"/>
        </w:rPr>
        <w:t> </w:t>
      </w:r>
      <w:r>
        <w:rPr/>
        <w:t>data will be delivered into the SURE facility via the curated gateway. Personnel authorised to</w:t>
      </w:r>
      <w:r>
        <w:rPr>
          <w:spacing w:val="1"/>
        </w:rPr>
        <w:t> </w:t>
      </w:r>
      <w:r>
        <w:rPr/>
        <w:t>access each data source will be responsible for the upload of the data while the delegated</w:t>
      </w:r>
      <w:r>
        <w:rPr>
          <w:spacing w:val="1"/>
        </w:rPr>
        <w:t> </w:t>
      </w:r>
      <w:r>
        <w:rPr/>
        <w:t>curators (based at HPA and CBDRH) will be responsible for reviewing and approving the</w:t>
      </w:r>
      <w:r>
        <w:rPr>
          <w:spacing w:val="1"/>
        </w:rPr>
        <w:t> </w:t>
      </w:r>
      <w:r>
        <w:rPr/>
        <w:t>uploaded files. These procedures below address three quality control areas, following the</w:t>
      </w:r>
      <w:r>
        <w:rPr>
          <w:spacing w:val="1"/>
        </w:rPr>
        <w:t> </w:t>
      </w:r>
      <w:r>
        <w:rPr/>
        <w:t>delivery</w:t>
      </w:r>
      <w:r>
        <w:rPr>
          <w:spacing w:val="-3"/>
        </w:rPr>
        <w:t> </w:t>
      </w:r>
      <w:r>
        <w:rPr/>
        <w:t>of</w:t>
      </w:r>
      <w:r>
        <w:rPr>
          <w:spacing w:val="-1"/>
        </w:rPr>
        <w:t> </w:t>
      </w:r>
      <w:r>
        <w:rPr/>
        <w:t>data into</w:t>
      </w:r>
      <w:r>
        <w:rPr>
          <w:spacing w:val="-1"/>
        </w:rPr>
        <w:t> </w:t>
      </w:r>
      <w:r>
        <w:rPr/>
        <w:t>the SURE facility.</w:t>
      </w:r>
    </w:p>
    <w:p>
      <w:pPr>
        <w:pStyle w:val="Heading5"/>
        <w:spacing w:before="202"/>
      </w:pPr>
      <w:r>
        <w:rPr>
          <w:color w:val="003C79"/>
        </w:rPr>
        <w:t>Data</w:t>
      </w:r>
      <w:r>
        <w:rPr>
          <w:color w:val="003C79"/>
          <w:spacing w:val="-5"/>
        </w:rPr>
        <w:t> </w:t>
      </w:r>
      <w:r>
        <w:rPr>
          <w:color w:val="003C79"/>
        </w:rPr>
        <w:t>storage</w:t>
      </w:r>
      <w:r>
        <w:rPr>
          <w:color w:val="003C79"/>
          <w:spacing w:val="-4"/>
        </w:rPr>
        <w:t> </w:t>
      </w:r>
      <w:r>
        <w:rPr>
          <w:color w:val="003C79"/>
        </w:rPr>
        <w:t>and</w:t>
      </w:r>
      <w:r>
        <w:rPr>
          <w:color w:val="003C79"/>
          <w:spacing w:val="-4"/>
        </w:rPr>
        <w:t> </w:t>
      </w:r>
      <w:r>
        <w:rPr>
          <w:color w:val="003C79"/>
        </w:rPr>
        <w:t>standardisation</w:t>
      </w:r>
    </w:p>
    <w:p>
      <w:pPr>
        <w:pStyle w:val="BodyText"/>
        <w:spacing w:line="276" w:lineRule="auto" w:before="45"/>
        <w:ind w:left="860" w:right="1186"/>
      </w:pPr>
      <w:r>
        <w:rPr/>
        <w:t>Within</w:t>
      </w:r>
      <w:r>
        <w:rPr>
          <w:spacing w:val="2"/>
        </w:rPr>
        <w:t> </w:t>
      </w:r>
      <w:r>
        <w:rPr/>
        <w:t>the</w:t>
      </w:r>
      <w:r>
        <w:rPr>
          <w:spacing w:val="3"/>
        </w:rPr>
        <w:t> </w:t>
      </w:r>
      <w:r>
        <w:rPr/>
        <w:t>SURE</w:t>
      </w:r>
      <w:r>
        <w:rPr>
          <w:spacing w:val="2"/>
        </w:rPr>
        <w:t> </w:t>
      </w:r>
      <w:r>
        <w:rPr/>
        <w:t>facility, the</w:t>
      </w:r>
      <w:r>
        <w:rPr>
          <w:spacing w:val="1"/>
        </w:rPr>
        <w:t> </w:t>
      </w:r>
      <w:r>
        <w:rPr/>
        <w:t>approved</w:t>
      </w:r>
      <w:r>
        <w:rPr>
          <w:spacing w:val="2"/>
        </w:rPr>
        <w:t> </w:t>
      </w:r>
      <w:r>
        <w:rPr/>
        <w:t>files</w:t>
      </w:r>
      <w:r>
        <w:rPr>
          <w:spacing w:val="2"/>
        </w:rPr>
        <w:t> </w:t>
      </w:r>
      <w:r>
        <w:rPr/>
        <w:t>will</w:t>
      </w:r>
      <w:r>
        <w:rPr>
          <w:spacing w:val="2"/>
        </w:rPr>
        <w:t> </w:t>
      </w:r>
      <w:r>
        <w:rPr/>
        <w:t>be</w:t>
      </w:r>
      <w:r>
        <w:rPr>
          <w:spacing w:val="2"/>
        </w:rPr>
        <w:t> </w:t>
      </w:r>
      <w:r>
        <w:rPr/>
        <w:t>saved</w:t>
      </w:r>
      <w:r>
        <w:rPr>
          <w:spacing w:val="2"/>
        </w:rPr>
        <w:t> </w:t>
      </w:r>
      <w:r>
        <w:rPr/>
        <w:t>in</w:t>
      </w:r>
      <w:r>
        <w:rPr>
          <w:spacing w:val="3"/>
        </w:rPr>
        <w:t> </w:t>
      </w:r>
      <w:r>
        <w:rPr/>
        <w:t>designated</w:t>
      </w:r>
      <w:r>
        <w:rPr>
          <w:spacing w:val="2"/>
        </w:rPr>
        <w:t> </w:t>
      </w:r>
      <w:r>
        <w:rPr/>
        <w:t>folders</w:t>
      </w:r>
      <w:r>
        <w:rPr>
          <w:spacing w:val="1"/>
        </w:rPr>
        <w:t> </w:t>
      </w:r>
      <w:r>
        <w:rPr/>
        <w:t>which</w:t>
      </w:r>
      <w:r>
        <w:rPr>
          <w:spacing w:val="3"/>
        </w:rPr>
        <w:t> </w:t>
      </w:r>
      <w:r>
        <w:rPr/>
        <w:t>are</w:t>
      </w:r>
      <w:r>
        <w:rPr>
          <w:spacing w:val="1"/>
        </w:rPr>
        <w:t> </w:t>
      </w:r>
      <w:r>
        <w:rPr/>
        <w:t>set</w:t>
      </w:r>
      <w:r>
        <w:rPr>
          <w:spacing w:val="1"/>
        </w:rPr>
        <w:t> </w:t>
      </w:r>
      <w:r>
        <w:rPr/>
        <w:t>as read-only to prevent accidental deletion or overwrite of the original contents. Data will be</w:t>
      </w:r>
      <w:r>
        <w:rPr>
          <w:spacing w:val="-53"/>
        </w:rPr>
        <w:t> </w:t>
      </w:r>
      <w:r>
        <w:rPr/>
        <w:t>delivered in different forms (e.g. CVS, text, SAS files) at different times. To standardise data for</w:t>
      </w:r>
      <w:r>
        <w:rPr>
          <w:spacing w:val="-53"/>
        </w:rPr>
        <w:t> </w:t>
      </w:r>
      <w:r>
        <w:rPr/>
        <w:t>analysis, all the data files will be converted to SAS datasets. When it is necessary, information</w:t>
      </w:r>
      <w:r>
        <w:rPr>
          <w:spacing w:val="1"/>
        </w:rPr>
        <w:t> </w:t>
      </w:r>
      <w:r>
        <w:rPr/>
        <w:t>from different tables will be merged together and data fields will be transposed (e.g.</w:t>
      </w:r>
      <w:r>
        <w:rPr>
          <w:spacing w:val="1"/>
        </w:rPr>
        <w:t> </w:t>
      </w:r>
      <w:r>
        <w:rPr/>
        <w:t>information in the rows to be presented in the columns). Documentation of data delivered</w:t>
      </w:r>
      <w:r>
        <w:rPr>
          <w:spacing w:val="1"/>
        </w:rPr>
        <w:t> </w:t>
      </w:r>
      <w:r>
        <w:rPr/>
        <w:t>(e.g. dates of delivery, number of files delivered) and data preparation (e.g. SAS codes for</w:t>
      </w:r>
      <w:r>
        <w:rPr>
          <w:spacing w:val="1"/>
        </w:rPr>
        <w:t> </w:t>
      </w:r>
      <w:r>
        <w:rPr/>
        <w:t>format conversion,</w:t>
      </w:r>
      <w:r>
        <w:rPr>
          <w:spacing w:val="-2"/>
        </w:rPr>
        <w:t> </w:t>
      </w:r>
      <w:r>
        <w:rPr/>
        <w:t>variable</w:t>
      </w:r>
      <w:r>
        <w:rPr>
          <w:spacing w:val="-2"/>
        </w:rPr>
        <w:t> </w:t>
      </w:r>
      <w:r>
        <w:rPr/>
        <w:t>transpose,</w:t>
      </w:r>
      <w:r>
        <w:rPr>
          <w:spacing w:val="-4"/>
        </w:rPr>
        <w:t> </w:t>
      </w:r>
      <w:r>
        <w:rPr/>
        <w:t>number</w:t>
      </w:r>
      <w:r>
        <w:rPr>
          <w:spacing w:val="1"/>
        </w:rPr>
        <w:t> </w:t>
      </w:r>
      <w:r>
        <w:rPr/>
        <w:t>of files</w:t>
      </w:r>
      <w:r>
        <w:rPr>
          <w:spacing w:val="-1"/>
        </w:rPr>
        <w:t> </w:t>
      </w:r>
      <w:r>
        <w:rPr/>
        <w:t>created)</w:t>
      </w:r>
      <w:r>
        <w:rPr>
          <w:spacing w:val="-3"/>
        </w:rPr>
        <w:t> </w:t>
      </w:r>
      <w:r>
        <w:rPr/>
        <w:t>will</w:t>
      </w:r>
      <w:r>
        <w:rPr>
          <w:spacing w:val="-1"/>
        </w:rPr>
        <w:t> </w:t>
      </w:r>
      <w:r>
        <w:rPr/>
        <w:t>be</w:t>
      </w:r>
      <w:r>
        <w:rPr>
          <w:spacing w:val="-2"/>
        </w:rPr>
        <w:t> </w:t>
      </w:r>
      <w:r>
        <w:rPr/>
        <w:t>maintained.</w:t>
      </w:r>
    </w:p>
    <w:p>
      <w:pPr>
        <w:pStyle w:val="Heading5"/>
      </w:pPr>
      <w:r>
        <w:rPr>
          <w:color w:val="003C79"/>
        </w:rPr>
        <w:t>Data</w:t>
      </w:r>
      <w:r>
        <w:rPr>
          <w:color w:val="003C79"/>
          <w:spacing w:val="-4"/>
        </w:rPr>
        <w:t> </w:t>
      </w:r>
      <w:r>
        <w:rPr>
          <w:color w:val="003C79"/>
        </w:rPr>
        <w:t>review,</w:t>
      </w:r>
      <w:r>
        <w:rPr>
          <w:color w:val="003C79"/>
          <w:spacing w:val="-5"/>
        </w:rPr>
        <w:t> </w:t>
      </w:r>
      <w:r>
        <w:rPr>
          <w:color w:val="003C79"/>
        </w:rPr>
        <w:t>logical</w:t>
      </w:r>
      <w:r>
        <w:rPr>
          <w:color w:val="003C79"/>
          <w:spacing w:val="-3"/>
        </w:rPr>
        <w:t> </w:t>
      </w:r>
      <w:r>
        <w:rPr>
          <w:color w:val="003C79"/>
        </w:rPr>
        <w:t>checks</w:t>
      </w:r>
      <w:r>
        <w:rPr>
          <w:color w:val="003C79"/>
          <w:spacing w:val="-3"/>
        </w:rPr>
        <w:t> </w:t>
      </w:r>
      <w:r>
        <w:rPr>
          <w:color w:val="003C79"/>
        </w:rPr>
        <w:t>and</w:t>
      </w:r>
      <w:r>
        <w:rPr>
          <w:color w:val="003C79"/>
          <w:spacing w:val="-3"/>
        </w:rPr>
        <w:t> </w:t>
      </w:r>
      <w:r>
        <w:rPr>
          <w:color w:val="003C79"/>
        </w:rPr>
        <w:t>verification</w:t>
      </w:r>
    </w:p>
    <w:p>
      <w:pPr>
        <w:pStyle w:val="BodyText"/>
        <w:spacing w:line="276" w:lineRule="auto" w:before="44"/>
        <w:ind w:left="860" w:right="1455"/>
      </w:pPr>
      <w:r>
        <w:rPr/>
        <w:t>This procedure is comprised of a series of activities to ensure that data to be used for the</w:t>
      </w:r>
      <w:r>
        <w:rPr>
          <w:spacing w:val="1"/>
        </w:rPr>
        <w:t> </w:t>
      </w:r>
      <w:r>
        <w:rPr/>
        <w:t>evaluation are of highest quality. The data exploratory analysis enables a comprehensive</w:t>
      </w:r>
      <w:r>
        <w:rPr>
          <w:spacing w:val="-53"/>
        </w:rPr>
        <w:t> </w:t>
      </w:r>
      <w:r>
        <w:rPr/>
        <w:t>understanding</w:t>
      </w:r>
      <w:r>
        <w:rPr>
          <w:spacing w:val="-4"/>
        </w:rPr>
        <w:t> </w:t>
      </w:r>
      <w:r>
        <w:rPr/>
        <w:t>of</w:t>
      </w:r>
      <w:r>
        <w:rPr>
          <w:spacing w:val="-3"/>
        </w:rPr>
        <w:t> </w:t>
      </w:r>
      <w:r>
        <w:rPr/>
        <w:t>the</w:t>
      </w:r>
      <w:r>
        <w:rPr>
          <w:spacing w:val="-4"/>
        </w:rPr>
        <w:t> </w:t>
      </w:r>
      <w:r>
        <w:rPr/>
        <w:t>data and</w:t>
      </w:r>
      <w:r>
        <w:rPr>
          <w:spacing w:val="-4"/>
        </w:rPr>
        <w:t> </w:t>
      </w:r>
      <w:r>
        <w:rPr/>
        <w:t>their</w:t>
      </w:r>
      <w:r>
        <w:rPr>
          <w:spacing w:val="-3"/>
        </w:rPr>
        <w:t> </w:t>
      </w:r>
      <w:r>
        <w:rPr/>
        <w:t>quality</w:t>
      </w:r>
      <w:r>
        <w:rPr>
          <w:spacing w:val="-4"/>
        </w:rPr>
        <w:t> </w:t>
      </w:r>
      <w:r>
        <w:rPr/>
        <w:t>in</w:t>
      </w:r>
      <w:r>
        <w:rPr>
          <w:spacing w:val="-3"/>
        </w:rPr>
        <w:t> </w:t>
      </w:r>
      <w:r>
        <w:rPr/>
        <w:t>order</w:t>
      </w:r>
      <w:r>
        <w:rPr>
          <w:spacing w:val="-3"/>
        </w:rPr>
        <w:t> </w:t>
      </w:r>
      <w:r>
        <w:rPr/>
        <w:t>to</w:t>
      </w:r>
      <w:r>
        <w:rPr>
          <w:spacing w:val="-4"/>
        </w:rPr>
        <w:t> </w:t>
      </w:r>
      <w:r>
        <w:rPr/>
        <w:t>inform</w:t>
      </w:r>
      <w:r>
        <w:rPr>
          <w:spacing w:val="-3"/>
        </w:rPr>
        <w:t> </w:t>
      </w:r>
      <w:r>
        <w:rPr/>
        <w:t>the</w:t>
      </w:r>
      <w:r>
        <w:rPr>
          <w:spacing w:val="-3"/>
        </w:rPr>
        <w:t> </w:t>
      </w:r>
      <w:r>
        <w:rPr/>
        <w:t>main</w:t>
      </w:r>
      <w:r>
        <w:rPr>
          <w:spacing w:val="-3"/>
        </w:rPr>
        <w:t> </w:t>
      </w:r>
      <w:r>
        <w:rPr/>
        <w:t>data</w:t>
      </w:r>
      <w:r>
        <w:rPr>
          <w:spacing w:val="-3"/>
        </w:rPr>
        <w:t> </w:t>
      </w:r>
      <w:r>
        <w:rPr/>
        <w:t>analyses</w:t>
      </w:r>
      <w:r>
        <w:rPr>
          <w:spacing w:val="-5"/>
        </w:rPr>
        <w:t> </w:t>
      </w:r>
      <w:r>
        <w:rPr/>
        <w:t>and</w:t>
      </w:r>
      <w:r>
        <w:rPr>
          <w:spacing w:val="-52"/>
        </w:rPr>
        <w:t> </w:t>
      </w:r>
      <w:r>
        <w:rPr/>
        <w:t>interpretation of results. All the data files will be reviewed to make sure that all requested</w:t>
      </w:r>
      <w:r>
        <w:rPr>
          <w:spacing w:val="1"/>
        </w:rPr>
        <w:t> </w:t>
      </w:r>
      <w:r>
        <w:rPr/>
        <w:t>information was delivered, including data dictionaries. Any missing information will be</w:t>
      </w:r>
      <w:r>
        <w:rPr>
          <w:spacing w:val="1"/>
        </w:rPr>
        <w:t> </w:t>
      </w:r>
      <w:r>
        <w:rPr/>
        <w:t>discussed</w:t>
      </w:r>
      <w:r>
        <w:rPr>
          <w:spacing w:val="-1"/>
        </w:rPr>
        <w:t> </w:t>
      </w:r>
      <w:r>
        <w:rPr/>
        <w:t>with</w:t>
      </w:r>
      <w:r>
        <w:rPr>
          <w:spacing w:val="-1"/>
        </w:rPr>
        <w:t> </w:t>
      </w:r>
      <w:r>
        <w:rPr/>
        <w:t>data</w:t>
      </w:r>
      <w:r>
        <w:rPr>
          <w:spacing w:val="-1"/>
        </w:rPr>
        <w:t> </w:t>
      </w:r>
      <w:r>
        <w:rPr/>
        <w:t>custodians</w:t>
      </w:r>
      <w:r>
        <w:rPr>
          <w:spacing w:val="-2"/>
        </w:rPr>
        <w:t> </w:t>
      </w:r>
      <w:r>
        <w:rPr/>
        <w:t>or</w:t>
      </w:r>
      <w:r>
        <w:rPr>
          <w:spacing w:val="-2"/>
        </w:rPr>
        <w:t> </w:t>
      </w:r>
      <w:r>
        <w:rPr/>
        <w:t>data</w:t>
      </w:r>
      <w:r>
        <w:rPr>
          <w:spacing w:val="-1"/>
        </w:rPr>
        <w:t> </w:t>
      </w:r>
      <w:r>
        <w:rPr/>
        <w:t>providers</w:t>
      </w:r>
      <w:r>
        <w:rPr>
          <w:spacing w:val="1"/>
        </w:rPr>
        <w:t> </w:t>
      </w:r>
      <w:r>
        <w:rPr/>
        <w:t>for</w:t>
      </w:r>
      <w:r>
        <w:rPr>
          <w:spacing w:val="-2"/>
        </w:rPr>
        <w:t> </w:t>
      </w:r>
      <w:r>
        <w:rPr/>
        <w:t>supplementation.</w:t>
      </w:r>
    </w:p>
    <w:p>
      <w:pPr>
        <w:pStyle w:val="BodyText"/>
        <w:spacing w:line="276" w:lineRule="auto" w:before="200"/>
        <w:ind w:left="860" w:right="1195"/>
      </w:pPr>
      <w:r>
        <w:rPr/>
        <w:t>For practice extracts, confirmation will be sought from data custodians about how to identify</w:t>
      </w:r>
      <w:r>
        <w:rPr>
          <w:spacing w:val="-53"/>
        </w:rPr>
        <w:t> </w:t>
      </w:r>
      <w:r>
        <w:rPr/>
        <w:t>patients who are enrolled in the HCH program. Subsequently, the distribution of key</w:t>
      </w:r>
      <w:r>
        <w:rPr>
          <w:spacing w:val="1"/>
        </w:rPr>
        <w:t> </w:t>
      </w:r>
      <w:r>
        <w:rPr/>
        <w:t>information such as the number of practices, number of patients, availability of data type</w:t>
      </w:r>
      <w:r>
        <w:rPr>
          <w:spacing w:val="1"/>
        </w:rPr>
        <w:t> </w:t>
      </w:r>
      <w:r>
        <w:rPr/>
        <w:t>(demographic, observations, medications, encounter, pathology, etc), socio-demographic</w:t>
      </w:r>
      <w:r>
        <w:rPr>
          <w:spacing w:val="1"/>
        </w:rPr>
        <w:t> </w:t>
      </w:r>
      <w:r>
        <w:rPr/>
        <w:t>characteristics and patient morbidity measures will be examined, using frequency, cross-</w:t>
      </w:r>
      <w:r>
        <w:rPr>
          <w:spacing w:val="1"/>
        </w:rPr>
        <w:t> </w:t>
      </w:r>
      <w:r>
        <w:rPr/>
        <w:t>tabulation, and visualisation. Unusual patterns of the data, for example, absence of data for</w:t>
      </w:r>
      <w:r>
        <w:rPr>
          <w:spacing w:val="1"/>
        </w:rPr>
        <w:t> </w:t>
      </w:r>
      <w:r>
        <w:rPr/>
        <w:t>a time period, absence of data from a practice, and a sudden change in trend will be</w:t>
      </w:r>
      <w:r>
        <w:rPr>
          <w:spacing w:val="1"/>
        </w:rPr>
        <w:t> </w:t>
      </w:r>
      <w:r>
        <w:rPr/>
        <w:t>discussed with the relevant data custodian for verification and advice for appropriate</w:t>
      </w:r>
      <w:r>
        <w:rPr>
          <w:spacing w:val="1"/>
        </w:rPr>
        <w:t> </w:t>
      </w:r>
      <w:r>
        <w:rPr/>
        <w:t>solutions. For linked MBS, PBS and hospital admission records, consistency of person-level</w:t>
      </w:r>
      <w:r>
        <w:rPr>
          <w:spacing w:val="1"/>
        </w:rPr>
        <w:t> </w:t>
      </w:r>
      <w:r>
        <w:rPr/>
        <w:t>content data (e.g. age, sex, dates of service utilisation vs date of death) will be examined to</w:t>
      </w:r>
      <w:r>
        <w:rPr>
          <w:spacing w:val="-53"/>
        </w:rPr>
        <w:t> </w:t>
      </w:r>
      <w:r>
        <w:rPr/>
        <w:t>identify potential data errors. Biologically implausible errors might suggest false links and will</w:t>
      </w:r>
      <w:r>
        <w:rPr>
          <w:spacing w:val="1"/>
        </w:rPr>
        <w:t> </w:t>
      </w:r>
      <w:r>
        <w:rPr/>
        <w:t>be</w:t>
      </w:r>
      <w:r>
        <w:rPr>
          <w:spacing w:val="-2"/>
        </w:rPr>
        <w:t> </w:t>
      </w:r>
      <w:r>
        <w:rPr/>
        <w:t>excluded from</w:t>
      </w:r>
      <w:r>
        <w:rPr>
          <w:spacing w:val="-1"/>
        </w:rPr>
        <w:t> </w:t>
      </w:r>
      <w:r>
        <w:rPr/>
        <w:t>data analyses.</w:t>
      </w:r>
    </w:p>
    <w:p>
      <w:pPr>
        <w:pStyle w:val="BodyText"/>
        <w:spacing w:line="276" w:lineRule="auto" w:before="202"/>
        <w:ind w:left="860" w:right="1198"/>
      </w:pPr>
      <w:r>
        <w:rPr/>
        <w:t>In addition, meetings and consultations with data custodians will be arranged to gain in-</w:t>
      </w:r>
      <w:r>
        <w:rPr>
          <w:spacing w:val="1"/>
        </w:rPr>
        <w:t> </w:t>
      </w:r>
      <w:r>
        <w:rPr/>
        <w:t>depth</w:t>
      </w:r>
      <w:r>
        <w:rPr>
          <w:spacing w:val="-3"/>
        </w:rPr>
        <w:t> </w:t>
      </w:r>
      <w:r>
        <w:rPr/>
        <w:t>understanding</w:t>
      </w:r>
      <w:r>
        <w:rPr>
          <w:spacing w:val="-3"/>
        </w:rPr>
        <w:t> </w:t>
      </w:r>
      <w:r>
        <w:rPr/>
        <w:t>about</w:t>
      </w:r>
      <w:r>
        <w:rPr>
          <w:spacing w:val="-2"/>
        </w:rPr>
        <w:t> </w:t>
      </w:r>
      <w:r>
        <w:rPr/>
        <w:t>the</w:t>
      </w:r>
      <w:r>
        <w:rPr>
          <w:spacing w:val="-4"/>
        </w:rPr>
        <w:t> </w:t>
      </w:r>
      <w:r>
        <w:rPr/>
        <w:t>context of</w:t>
      </w:r>
      <w:r>
        <w:rPr>
          <w:spacing w:val="-4"/>
        </w:rPr>
        <w:t> </w:t>
      </w:r>
      <w:r>
        <w:rPr/>
        <w:t>the</w:t>
      </w:r>
      <w:r>
        <w:rPr>
          <w:spacing w:val="-3"/>
        </w:rPr>
        <w:t> </w:t>
      </w:r>
      <w:r>
        <w:rPr/>
        <w:t>data</w:t>
      </w:r>
      <w:r>
        <w:rPr>
          <w:spacing w:val="-3"/>
        </w:rPr>
        <w:t> </w:t>
      </w:r>
      <w:r>
        <w:rPr/>
        <w:t>(e.g.</w:t>
      </w:r>
      <w:r>
        <w:rPr>
          <w:spacing w:val="-5"/>
        </w:rPr>
        <w:t> </w:t>
      </w:r>
      <w:r>
        <w:rPr/>
        <w:t>how</w:t>
      </w:r>
      <w:r>
        <w:rPr>
          <w:spacing w:val="-2"/>
        </w:rPr>
        <w:t> </w:t>
      </w:r>
      <w:r>
        <w:rPr/>
        <w:t>data</w:t>
      </w:r>
      <w:r>
        <w:rPr>
          <w:spacing w:val="-2"/>
        </w:rPr>
        <w:t> </w:t>
      </w:r>
      <w:r>
        <w:rPr/>
        <w:t>are</w:t>
      </w:r>
      <w:r>
        <w:rPr>
          <w:spacing w:val="-4"/>
        </w:rPr>
        <w:t> </w:t>
      </w:r>
      <w:r>
        <w:rPr/>
        <w:t>generated</w:t>
      </w:r>
      <w:r>
        <w:rPr>
          <w:spacing w:val="-3"/>
        </w:rPr>
        <w:t> </w:t>
      </w:r>
      <w:r>
        <w:rPr/>
        <w:t>in</w:t>
      </w:r>
      <w:r>
        <w:rPr>
          <w:spacing w:val="-4"/>
        </w:rPr>
        <w:t> </w:t>
      </w:r>
      <w:r>
        <w:rPr/>
        <w:t>the</w:t>
      </w:r>
      <w:r>
        <w:rPr>
          <w:spacing w:val="-4"/>
        </w:rPr>
        <w:t> </w:t>
      </w:r>
      <w:r>
        <w:rPr/>
        <w:t>first</w:t>
      </w:r>
      <w:r>
        <w:rPr>
          <w:spacing w:val="-52"/>
        </w:rPr>
        <w:t> </w:t>
      </w:r>
      <w:r>
        <w:rPr/>
        <w:t>place,</w:t>
      </w:r>
      <w:r>
        <w:rPr>
          <w:spacing w:val="-2"/>
        </w:rPr>
        <w:t> </w:t>
      </w:r>
      <w:r>
        <w:rPr/>
        <w:t>how</w:t>
      </w:r>
      <w:r>
        <w:rPr>
          <w:spacing w:val="3"/>
        </w:rPr>
        <w:t> </w:t>
      </w:r>
      <w:r>
        <w:rPr/>
        <w:t>they</w:t>
      </w:r>
      <w:r>
        <w:rPr>
          <w:spacing w:val="-1"/>
        </w:rPr>
        <w:t> </w:t>
      </w:r>
      <w:r>
        <w:rPr/>
        <w:t>are</w:t>
      </w:r>
      <w:r>
        <w:rPr>
          <w:spacing w:val="1"/>
        </w:rPr>
        <w:t> </w:t>
      </w:r>
      <w:r>
        <w:rPr/>
        <w:t>extracted and</w:t>
      </w:r>
      <w:r>
        <w:rPr>
          <w:spacing w:val="1"/>
        </w:rPr>
        <w:t> </w:t>
      </w:r>
      <w:r>
        <w:rPr/>
        <w:t>processed prior</w:t>
      </w:r>
      <w:r>
        <w:rPr>
          <w:spacing w:val="1"/>
        </w:rPr>
        <w:t> </w:t>
      </w:r>
      <w:r>
        <w:rPr/>
        <w:t>to</w:t>
      </w:r>
      <w:r>
        <w:rPr>
          <w:spacing w:val="1"/>
        </w:rPr>
        <w:t> </w:t>
      </w:r>
      <w:r>
        <w:rPr/>
        <w:t>delivery,</w:t>
      </w:r>
      <w:r>
        <w:rPr>
          <w:spacing w:val="-2"/>
        </w:rPr>
        <w:t> </w:t>
      </w:r>
      <w:r>
        <w:rPr/>
        <w:t>lessons</w:t>
      </w:r>
      <w:r>
        <w:rPr>
          <w:spacing w:val="1"/>
        </w:rPr>
        <w:t> </w:t>
      </w:r>
      <w:r>
        <w:rPr/>
        <w:t>learnt</w:t>
      </w:r>
      <w:r>
        <w:rPr>
          <w:spacing w:val="2"/>
        </w:rPr>
        <w:t> </w:t>
      </w:r>
      <w:r>
        <w:rPr/>
        <w:t>from</w:t>
      </w:r>
      <w:r>
        <w:rPr>
          <w:spacing w:val="1"/>
        </w:rPr>
        <w:t> </w:t>
      </w:r>
      <w:r>
        <w:rPr/>
        <w:t>prior</w:t>
      </w:r>
      <w:r>
        <w:rPr>
          <w:spacing w:val="1"/>
        </w:rPr>
        <w:t> </w:t>
      </w:r>
      <w:r>
        <w:rPr/>
        <w:t>work). When necessary, advice will be sought from data custodians and colleagues with</w:t>
      </w:r>
      <w:r>
        <w:rPr>
          <w:spacing w:val="1"/>
        </w:rPr>
        <w:t> </w:t>
      </w:r>
      <w:r>
        <w:rPr/>
        <w:t>expertise about whether the intended use of the information reflects what it means and how</w:t>
      </w:r>
      <w:r>
        <w:rPr>
          <w:spacing w:val="-53"/>
        </w:rPr>
        <w:t> </w:t>
      </w:r>
      <w:r>
        <w:rPr/>
        <w:t>it is collected. The processes and results of data checking and consultations will be</w:t>
      </w:r>
      <w:r>
        <w:rPr>
          <w:spacing w:val="1"/>
        </w:rPr>
        <w:t> </w:t>
      </w:r>
      <w:r>
        <w:rPr/>
        <w:t>documented.</w:t>
      </w:r>
    </w:p>
    <w:p>
      <w:pPr>
        <w:spacing w:after="0" w:line="276" w:lineRule="auto"/>
        <w:sectPr>
          <w:pgSz w:w="11910" w:h="16840"/>
          <w:pgMar w:header="0" w:footer="675" w:top="1340" w:bottom="860" w:left="580" w:right="280"/>
        </w:sectPr>
      </w:pPr>
    </w:p>
    <w:p>
      <w:pPr>
        <w:pStyle w:val="Heading5"/>
        <w:spacing w:before="83"/>
      </w:pPr>
      <w:r>
        <w:rPr>
          <w:color w:val="003C79"/>
        </w:rPr>
        <w:t>Analysing,</w:t>
      </w:r>
      <w:r>
        <w:rPr>
          <w:color w:val="003C79"/>
          <w:spacing w:val="-6"/>
        </w:rPr>
        <w:t> </w:t>
      </w:r>
      <w:r>
        <w:rPr>
          <w:color w:val="003C79"/>
        </w:rPr>
        <w:t>presentation</w:t>
      </w:r>
      <w:r>
        <w:rPr>
          <w:color w:val="003C79"/>
          <w:spacing w:val="-4"/>
        </w:rPr>
        <w:t> </w:t>
      </w:r>
      <w:r>
        <w:rPr>
          <w:color w:val="003C79"/>
        </w:rPr>
        <w:t>and</w:t>
      </w:r>
      <w:r>
        <w:rPr>
          <w:color w:val="003C79"/>
          <w:spacing w:val="-4"/>
        </w:rPr>
        <w:t> </w:t>
      </w:r>
      <w:r>
        <w:rPr>
          <w:color w:val="003C79"/>
        </w:rPr>
        <w:t>interpretation</w:t>
      </w:r>
      <w:r>
        <w:rPr>
          <w:color w:val="003C79"/>
          <w:spacing w:val="-3"/>
        </w:rPr>
        <w:t> </w:t>
      </w:r>
      <w:r>
        <w:rPr>
          <w:color w:val="003C79"/>
        </w:rPr>
        <w:t>of</w:t>
      </w:r>
      <w:r>
        <w:rPr>
          <w:color w:val="003C79"/>
          <w:spacing w:val="-6"/>
        </w:rPr>
        <w:t> </w:t>
      </w:r>
      <w:r>
        <w:rPr>
          <w:color w:val="003C79"/>
        </w:rPr>
        <w:t>results</w:t>
      </w:r>
    </w:p>
    <w:p>
      <w:pPr>
        <w:pStyle w:val="BodyText"/>
        <w:spacing w:line="276" w:lineRule="auto" w:before="43"/>
        <w:ind w:left="860" w:right="1234"/>
      </w:pPr>
      <w:r>
        <w:rPr/>
        <w:t>Data will be analysed in accordance with the framework of research questions set out in the</w:t>
      </w:r>
      <w:r>
        <w:rPr>
          <w:spacing w:val="-53"/>
        </w:rPr>
        <w:t> </w:t>
      </w:r>
      <w:r>
        <w:rPr/>
        <w:t>evaluation plan. The methods that are scientifically appropriate for the research questions</w:t>
      </w:r>
      <w:r>
        <w:rPr>
          <w:spacing w:val="1"/>
        </w:rPr>
        <w:t> </w:t>
      </w:r>
      <w:r>
        <w:rPr/>
        <w:t>being addressed will be thoroughly developed and valid statistical analytic techniques will</w:t>
      </w:r>
      <w:r>
        <w:rPr>
          <w:spacing w:val="1"/>
        </w:rPr>
        <w:t> </w:t>
      </w:r>
      <w:r>
        <w:rPr/>
        <w:t>be adopted. Reliability and validity of the derived measures of evaluation outcomes will be</w:t>
      </w:r>
      <w:r>
        <w:rPr>
          <w:spacing w:val="1"/>
        </w:rPr>
        <w:t> </w:t>
      </w:r>
      <w:r>
        <w:rPr/>
        <w:t>critically appraised against the strengths and limitations of data source (acquired through</w:t>
      </w:r>
      <w:r>
        <w:rPr>
          <w:spacing w:val="1"/>
        </w:rPr>
        <w:t> </w:t>
      </w:r>
      <w:r>
        <w:rPr/>
        <w:t>the previous data checking and exploration work). Templates of the reports or structures of</w:t>
      </w:r>
      <w:r>
        <w:rPr>
          <w:spacing w:val="1"/>
        </w:rPr>
        <w:t> </w:t>
      </w:r>
      <w:r>
        <w:rPr/>
        <w:t>result presentation will be developed and sought for comments from the Department of</w:t>
      </w:r>
      <w:r>
        <w:rPr>
          <w:spacing w:val="1"/>
        </w:rPr>
        <w:t> </w:t>
      </w:r>
      <w:r>
        <w:rPr/>
        <w:t>Health and relevant organisations (e.g. data custodians, PHNs). Preliminary results and</w:t>
      </w:r>
      <w:r>
        <w:rPr>
          <w:spacing w:val="1"/>
        </w:rPr>
        <w:t> </w:t>
      </w:r>
      <w:r>
        <w:rPr/>
        <w:t>interpretations of the results will be presented to key stakeholders to gain further insights</w:t>
      </w:r>
      <w:r>
        <w:rPr>
          <w:spacing w:val="1"/>
        </w:rPr>
        <w:t> </w:t>
      </w:r>
      <w:r>
        <w:rPr/>
        <w:t>about accuracy,</w:t>
      </w:r>
      <w:r>
        <w:rPr>
          <w:spacing w:val="-3"/>
        </w:rPr>
        <w:t> </w:t>
      </w:r>
      <w:r>
        <w:rPr/>
        <w:t>clarity and</w:t>
      </w:r>
      <w:r>
        <w:rPr>
          <w:spacing w:val="-1"/>
        </w:rPr>
        <w:t> </w:t>
      </w:r>
      <w:r>
        <w:rPr/>
        <w:t>implications.</w:t>
      </w:r>
    </w:p>
    <w:p>
      <w:pPr>
        <w:spacing w:after="0" w:line="276" w:lineRule="auto"/>
        <w:sectPr>
          <w:pgSz w:w="11910" w:h="16840"/>
          <w:pgMar w:header="0" w:footer="675" w:top="1340" w:bottom="860" w:left="580" w:right="280"/>
        </w:sectPr>
      </w:pPr>
    </w:p>
    <w:p>
      <w:pPr>
        <w:pStyle w:val="BodyText"/>
      </w:pPr>
      <w:r>
        <w:rPr/>
        <w:pict>
          <v:group style="position:absolute;margin-left:20.164064pt;margin-top:0pt;width:575.050pt;height:110.85pt;mso-position-horizontal-relative:page;mso-position-vertical-relative:page;z-index:-27542016" id="docshapegroup115" coordorigin="403,0" coordsize="11501,2217">
            <v:shape style="position:absolute;left:403;top:0;width:11501;height:1563" type="#_x0000_t75" id="docshape116" stroked="false">
              <v:imagedata r:id="rId33" o:title=""/>
            </v:shape>
            <v:shape style="position:absolute;left:10035;top:1037;width:1200;height:1155" id="docshape117" coordorigin="10035,1037" coordsize="1200,1155" path="m10635,1037l10560,1041,10487,1055,10418,1076,10353,1105,10292,1140,10237,1183,10186,1231,10142,1285,10105,1343,10075,1406,10053,1472,10040,1542,10035,1614,10040,1687,10053,1757,10075,1823,10105,1886,10142,1944,10186,1998,10237,2046,10292,2089,10353,2124,10418,2153,10487,2174,10560,2187,10635,2192,10710,2187,10783,2174,10852,2153,10917,2124,10978,2089,11033,2046,11084,1998,11128,1944,11165,1886,11195,1823,11217,1757,11230,1687,11235,1614,11230,1542,11217,1472,11195,1406,11165,1343,11128,1285,11084,1231,11033,1183,10978,1140,10917,1105,10852,1076,10783,1055,10710,1041,10635,1037xe" filled="true" fillcolor="#003c79" stroked="false">
              <v:path arrowok="t"/>
              <v:fill type="solid"/>
            </v:shape>
            <v:shape style="position:absolute;left:10035;top:1037;width:1200;height:1155" id="docshape118" coordorigin="10035,1037" coordsize="1200,1155" path="m10035,1614l10040,1542,10053,1472,10075,1406,10105,1343,10142,1285,10186,1231,10237,1183,10292,1140,10353,1105,10418,1076,10487,1055,10560,1041,10635,1037,10710,1041,10783,1055,10852,1076,10917,1105,10978,1140,11033,1183,11084,1231,11128,1285,11165,1343,11195,1406,11217,1472,11230,1542,11235,1614,11230,1687,11217,1757,11195,1823,11165,1886,11128,1944,11084,1998,11033,2046,10978,2089,10917,2124,10852,2153,10783,2174,10710,2187,10635,2192,10560,2187,10487,2174,10418,2153,10353,2124,10292,2089,10237,2046,10186,1998,10142,1944,10105,1886,10075,1823,10053,1757,10040,1687,10035,1614xe" filled="false" stroked="true" strokeweight="2.5pt" strokecolor="#003c79">
              <v:path arrowok="t"/>
              <v:stroke dashstyle="solid"/>
            </v:shape>
            <w10:wrap type="none"/>
          </v:group>
        </w:pict>
      </w:r>
    </w:p>
    <w:p>
      <w:pPr>
        <w:pStyle w:val="BodyText"/>
      </w:pPr>
    </w:p>
    <w:p>
      <w:pPr>
        <w:pStyle w:val="BodyText"/>
      </w:pPr>
    </w:p>
    <w:p>
      <w:pPr>
        <w:pStyle w:val="BodyText"/>
      </w:pPr>
    </w:p>
    <w:p>
      <w:pPr>
        <w:pStyle w:val="BodyText"/>
        <w:spacing w:before="2"/>
      </w:pPr>
    </w:p>
    <w:p>
      <w:pPr>
        <w:tabs>
          <w:tab w:pos="10301" w:val="right" w:leader="none"/>
        </w:tabs>
        <w:spacing w:before="194"/>
        <w:ind w:left="860" w:right="0" w:firstLine="0"/>
        <w:jc w:val="left"/>
        <w:rPr>
          <w:b/>
          <w:sz w:val="72"/>
        </w:rPr>
      </w:pPr>
      <w:bookmarkStart w:name="_bookmark63" w:id="64"/>
      <w:bookmarkEnd w:id="64"/>
      <w:r>
        <w:rPr/>
      </w:r>
      <w:r>
        <w:rPr>
          <w:color w:val="003C79"/>
          <w:sz w:val="72"/>
        </w:rPr>
        <w:t>Constraints</w:t>
      </w:r>
      <w:r>
        <w:rPr>
          <w:color w:val="003C79"/>
          <w:spacing w:val="-3"/>
          <w:sz w:val="72"/>
        </w:rPr>
        <w:t> </w:t>
      </w:r>
      <w:r>
        <w:rPr>
          <w:color w:val="003C79"/>
          <w:sz w:val="72"/>
        </w:rPr>
        <w:t>and</w:t>
        <w:tab/>
      </w:r>
      <w:r>
        <w:rPr>
          <w:b/>
          <w:color w:val="FFFFFF"/>
          <w:sz w:val="72"/>
          <w:vertAlign w:val="superscript"/>
        </w:rPr>
        <w:t>10</w:t>
      </w:r>
    </w:p>
    <w:p>
      <w:pPr>
        <w:spacing w:before="1"/>
        <w:ind w:left="860" w:right="0" w:firstLine="0"/>
        <w:jc w:val="left"/>
        <w:rPr>
          <w:sz w:val="72"/>
        </w:rPr>
      </w:pPr>
      <w:r>
        <w:rPr>
          <w:color w:val="003C79"/>
          <w:sz w:val="72"/>
        </w:rPr>
        <w:t>limitations</w:t>
      </w:r>
    </w:p>
    <w:p>
      <w:pPr>
        <w:pStyle w:val="BodyText"/>
        <w:spacing w:line="276" w:lineRule="auto" w:before="199"/>
        <w:ind w:left="860" w:right="1510"/>
      </w:pPr>
      <w:r>
        <w:rPr/>
        <w:t>This Chapter describes the constraints and limitations to the evaluation and discusses their</w:t>
      </w:r>
      <w:r>
        <w:rPr>
          <w:spacing w:val="-53"/>
        </w:rPr>
        <w:t> </w:t>
      </w:r>
      <w:r>
        <w:rPr/>
        <w:t>potential</w:t>
      </w:r>
      <w:r>
        <w:rPr>
          <w:spacing w:val="-1"/>
        </w:rPr>
        <w:t> </w:t>
      </w:r>
      <w:r>
        <w:rPr/>
        <w:t>impact.</w:t>
      </w:r>
    </w:p>
    <w:p>
      <w:pPr>
        <w:pStyle w:val="Heading2"/>
        <w:spacing w:before="199"/>
      </w:pPr>
      <w:bookmarkStart w:name="_bookmark64" w:id="65"/>
      <w:bookmarkEnd w:id="65"/>
      <w:r>
        <w:rPr/>
      </w:r>
      <w:r>
        <w:rPr>
          <w:color w:val="003C79"/>
        </w:rPr>
        <w:t>Complexity</w:t>
      </w:r>
      <w:r>
        <w:rPr>
          <w:color w:val="003C79"/>
          <w:spacing w:val="-5"/>
        </w:rPr>
        <w:t> </w:t>
      </w:r>
      <w:r>
        <w:rPr>
          <w:color w:val="003C79"/>
        </w:rPr>
        <w:t>of</w:t>
      </w:r>
      <w:r>
        <w:rPr>
          <w:color w:val="003C79"/>
          <w:spacing w:val="-6"/>
        </w:rPr>
        <w:t> </w:t>
      </w:r>
      <w:r>
        <w:rPr>
          <w:color w:val="003C79"/>
        </w:rPr>
        <w:t>intervention</w:t>
      </w:r>
    </w:p>
    <w:p>
      <w:pPr>
        <w:pStyle w:val="BodyText"/>
        <w:spacing w:before="261"/>
        <w:ind w:left="860"/>
      </w:pPr>
      <w:r>
        <w:rPr/>
        <w:t>The</w:t>
      </w:r>
      <w:r>
        <w:rPr>
          <w:spacing w:val="-3"/>
        </w:rPr>
        <w:t> </w:t>
      </w:r>
      <w:r>
        <w:rPr/>
        <w:t>HCH</w:t>
      </w:r>
      <w:r>
        <w:rPr>
          <w:spacing w:val="-2"/>
        </w:rPr>
        <w:t> </w:t>
      </w:r>
      <w:r>
        <w:rPr/>
        <w:t>program</w:t>
      </w:r>
      <w:r>
        <w:rPr>
          <w:spacing w:val="-3"/>
        </w:rPr>
        <w:t> </w:t>
      </w:r>
      <w:r>
        <w:rPr/>
        <w:t>is</w:t>
      </w:r>
      <w:r>
        <w:rPr>
          <w:spacing w:val="-3"/>
        </w:rPr>
        <w:t> </w:t>
      </w:r>
      <w:r>
        <w:rPr/>
        <w:t>a</w:t>
      </w:r>
      <w:r>
        <w:rPr>
          <w:spacing w:val="-3"/>
        </w:rPr>
        <w:t> </w:t>
      </w:r>
      <w:r>
        <w:rPr/>
        <w:t>complex</w:t>
      </w:r>
      <w:r>
        <w:rPr>
          <w:spacing w:val="-3"/>
        </w:rPr>
        <w:t> </w:t>
      </w:r>
      <w:r>
        <w:rPr/>
        <w:t>intervention</w:t>
      </w:r>
      <w:r>
        <w:rPr>
          <w:spacing w:val="-2"/>
        </w:rPr>
        <w:t> </w:t>
      </w:r>
      <w:r>
        <w:rPr/>
        <w:t>in</w:t>
      </w:r>
      <w:r>
        <w:rPr>
          <w:spacing w:val="-4"/>
        </w:rPr>
        <w:t> </w:t>
      </w:r>
      <w:r>
        <w:rPr/>
        <w:t>that</w:t>
      </w:r>
      <w:r>
        <w:rPr>
          <w:spacing w:val="-3"/>
        </w:rPr>
        <w:t> </w:t>
      </w:r>
      <w:r>
        <w:rPr/>
        <w:t>it</w:t>
      </w:r>
      <w:r>
        <w:rPr>
          <w:spacing w:val="-1"/>
        </w:rPr>
        <w:t> </w:t>
      </w:r>
      <w:r>
        <w:rPr/>
        <w:t>involves:</w:t>
      </w:r>
    </w:p>
    <w:p>
      <w:pPr>
        <w:pStyle w:val="BodyText"/>
        <w:spacing w:before="6"/>
        <w:rPr>
          <w:sz w:val="22"/>
        </w:rPr>
      </w:pPr>
    </w:p>
    <w:p>
      <w:pPr>
        <w:pStyle w:val="ListParagraph"/>
        <w:numPr>
          <w:ilvl w:val="0"/>
          <w:numId w:val="17"/>
        </w:numPr>
        <w:tabs>
          <w:tab w:pos="1581" w:val="left" w:leader="none"/>
        </w:tabs>
        <w:spacing w:line="276" w:lineRule="auto" w:before="0" w:after="0"/>
        <w:ind w:left="1580" w:right="1703" w:hanging="360"/>
        <w:jc w:val="both"/>
        <w:rPr>
          <w:sz w:val="20"/>
        </w:rPr>
      </w:pPr>
      <w:r>
        <w:rPr>
          <w:sz w:val="20"/>
        </w:rPr>
        <w:t>Several different components (e.g. practice population risk stratification, patient</w:t>
      </w:r>
      <w:r>
        <w:rPr>
          <w:spacing w:val="-53"/>
          <w:sz w:val="20"/>
        </w:rPr>
        <w:t> </w:t>
      </w:r>
      <w:r>
        <w:rPr>
          <w:sz w:val="20"/>
        </w:rPr>
        <w:t>enrolment, care planning, bundled payment, and theorised changes in the way</w:t>
      </w:r>
      <w:r>
        <w:rPr>
          <w:spacing w:val="-54"/>
          <w:sz w:val="20"/>
        </w:rPr>
        <w:t> </w:t>
      </w:r>
      <w:r>
        <w:rPr>
          <w:sz w:val="20"/>
        </w:rPr>
        <w:t>primary</w:t>
      </w:r>
      <w:r>
        <w:rPr>
          <w:spacing w:val="-3"/>
          <w:sz w:val="20"/>
        </w:rPr>
        <w:t> </w:t>
      </w:r>
      <w:r>
        <w:rPr>
          <w:sz w:val="20"/>
        </w:rPr>
        <w:t>care</w:t>
      </w:r>
      <w:r>
        <w:rPr>
          <w:spacing w:val="-1"/>
          <w:sz w:val="20"/>
        </w:rPr>
        <w:t> </w:t>
      </w:r>
      <w:r>
        <w:rPr>
          <w:sz w:val="20"/>
        </w:rPr>
        <w:t>is</w:t>
      </w:r>
      <w:r>
        <w:rPr>
          <w:spacing w:val="-2"/>
          <w:sz w:val="20"/>
        </w:rPr>
        <w:t> </w:t>
      </w:r>
      <w:r>
        <w:rPr>
          <w:sz w:val="20"/>
        </w:rPr>
        <w:t>delivered</w:t>
      </w:r>
      <w:r>
        <w:rPr>
          <w:spacing w:val="2"/>
          <w:sz w:val="20"/>
        </w:rPr>
        <w:t> </w:t>
      </w:r>
      <w:r>
        <w:rPr>
          <w:sz w:val="20"/>
        </w:rPr>
        <w:t>and</w:t>
      </w:r>
      <w:r>
        <w:rPr>
          <w:spacing w:val="-1"/>
          <w:sz w:val="20"/>
        </w:rPr>
        <w:t> </w:t>
      </w:r>
      <w:r>
        <w:rPr>
          <w:sz w:val="20"/>
        </w:rPr>
        <w:t>patient activation).</w:t>
      </w:r>
    </w:p>
    <w:p>
      <w:pPr>
        <w:pStyle w:val="ListParagraph"/>
        <w:numPr>
          <w:ilvl w:val="0"/>
          <w:numId w:val="17"/>
        </w:numPr>
        <w:tabs>
          <w:tab w:pos="1580" w:val="left" w:leader="none"/>
          <w:tab w:pos="1581" w:val="left" w:leader="none"/>
        </w:tabs>
        <w:spacing w:line="276" w:lineRule="auto" w:before="1" w:after="0"/>
        <w:ind w:left="1580" w:right="1388" w:hanging="360"/>
        <w:jc w:val="left"/>
        <w:rPr>
          <w:sz w:val="20"/>
        </w:rPr>
      </w:pPr>
      <w:r>
        <w:rPr>
          <w:sz w:val="20"/>
        </w:rPr>
        <w:t>Steps/processes for implementation at the macro (policy design and</w:t>
      </w:r>
      <w:r>
        <w:rPr>
          <w:spacing w:val="1"/>
          <w:sz w:val="20"/>
        </w:rPr>
        <w:t> </w:t>
      </w:r>
      <w:r>
        <w:rPr>
          <w:sz w:val="20"/>
        </w:rPr>
        <w:t>implementation),</w:t>
      </w:r>
      <w:r>
        <w:rPr>
          <w:spacing w:val="-7"/>
          <w:sz w:val="20"/>
        </w:rPr>
        <w:t> </w:t>
      </w:r>
      <w:r>
        <w:rPr>
          <w:sz w:val="20"/>
        </w:rPr>
        <w:t>meso</w:t>
      </w:r>
      <w:r>
        <w:rPr>
          <w:spacing w:val="-4"/>
          <w:sz w:val="20"/>
        </w:rPr>
        <w:t> </w:t>
      </w:r>
      <w:r>
        <w:rPr>
          <w:sz w:val="20"/>
        </w:rPr>
        <w:t>(PHN</w:t>
      </w:r>
      <w:r>
        <w:rPr>
          <w:spacing w:val="-4"/>
          <w:sz w:val="20"/>
        </w:rPr>
        <w:t> </w:t>
      </w:r>
      <w:r>
        <w:rPr>
          <w:sz w:val="20"/>
        </w:rPr>
        <w:t>facilitation</w:t>
      </w:r>
      <w:r>
        <w:rPr>
          <w:spacing w:val="-4"/>
          <w:sz w:val="20"/>
        </w:rPr>
        <w:t> </w:t>
      </w:r>
      <w:r>
        <w:rPr>
          <w:sz w:val="20"/>
        </w:rPr>
        <w:t>and</w:t>
      </w:r>
      <w:r>
        <w:rPr>
          <w:spacing w:val="-5"/>
          <w:sz w:val="20"/>
        </w:rPr>
        <w:t> </w:t>
      </w:r>
      <w:r>
        <w:rPr>
          <w:sz w:val="20"/>
        </w:rPr>
        <w:t>support)</w:t>
      </w:r>
      <w:r>
        <w:rPr>
          <w:spacing w:val="-5"/>
          <w:sz w:val="20"/>
        </w:rPr>
        <w:t> </w:t>
      </w:r>
      <w:r>
        <w:rPr>
          <w:sz w:val="20"/>
        </w:rPr>
        <w:t>and</w:t>
      </w:r>
      <w:r>
        <w:rPr>
          <w:spacing w:val="-5"/>
          <w:sz w:val="20"/>
        </w:rPr>
        <w:t> </w:t>
      </w:r>
      <w:r>
        <w:rPr>
          <w:sz w:val="20"/>
        </w:rPr>
        <w:t>micro</w:t>
      </w:r>
      <w:r>
        <w:rPr>
          <w:spacing w:val="-2"/>
          <w:sz w:val="20"/>
        </w:rPr>
        <w:t> </w:t>
      </w:r>
      <w:r>
        <w:rPr>
          <w:sz w:val="20"/>
        </w:rPr>
        <w:t>(practice</w:t>
      </w:r>
      <w:r>
        <w:rPr>
          <w:spacing w:val="-5"/>
          <w:sz w:val="20"/>
        </w:rPr>
        <w:t> </w:t>
      </w:r>
      <w:r>
        <w:rPr>
          <w:sz w:val="20"/>
        </w:rPr>
        <w:t>changes</w:t>
      </w:r>
      <w:r>
        <w:rPr>
          <w:spacing w:val="-52"/>
          <w:sz w:val="20"/>
        </w:rPr>
        <w:t> </w:t>
      </w:r>
      <w:r>
        <w:rPr>
          <w:sz w:val="20"/>
        </w:rPr>
        <w:t>and</w:t>
      </w:r>
      <w:r>
        <w:rPr>
          <w:spacing w:val="-2"/>
          <w:sz w:val="20"/>
        </w:rPr>
        <w:t> </w:t>
      </w:r>
      <w:r>
        <w:rPr>
          <w:sz w:val="20"/>
        </w:rPr>
        <w:t>patient</w:t>
      </w:r>
      <w:r>
        <w:rPr>
          <w:spacing w:val="1"/>
          <w:sz w:val="20"/>
        </w:rPr>
        <w:t> </w:t>
      </w:r>
      <w:r>
        <w:rPr>
          <w:sz w:val="20"/>
        </w:rPr>
        <w:t>changes).</w:t>
      </w:r>
    </w:p>
    <w:p>
      <w:pPr>
        <w:pStyle w:val="ListParagraph"/>
        <w:numPr>
          <w:ilvl w:val="0"/>
          <w:numId w:val="17"/>
        </w:numPr>
        <w:tabs>
          <w:tab w:pos="1580" w:val="left" w:leader="none"/>
          <w:tab w:pos="1581" w:val="left" w:leader="none"/>
        </w:tabs>
        <w:spacing w:line="244" w:lineRule="exact" w:before="0" w:after="0"/>
        <w:ind w:left="1580" w:right="0" w:hanging="361"/>
        <w:jc w:val="left"/>
        <w:rPr>
          <w:sz w:val="20"/>
        </w:rPr>
      </w:pPr>
      <w:r>
        <w:rPr>
          <w:sz w:val="20"/>
        </w:rPr>
        <w:t>Multiple</w:t>
      </w:r>
      <w:r>
        <w:rPr>
          <w:spacing w:val="-6"/>
          <w:sz w:val="20"/>
        </w:rPr>
        <w:t> </w:t>
      </w:r>
      <w:r>
        <w:rPr>
          <w:sz w:val="20"/>
        </w:rPr>
        <w:t>outcomes.</w:t>
      </w:r>
    </w:p>
    <w:p>
      <w:pPr>
        <w:pStyle w:val="BodyText"/>
        <w:spacing w:before="8"/>
        <w:rPr>
          <w:sz w:val="22"/>
        </w:rPr>
      </w:pPr>
    </w:p>
    <w:p>
      <w:pPr>
        <w:pStyle w:val="BodyText"/>
        <w:spacing w:line="276" w:lineRule="auto" w:before="1"/>
        <w:ind w:left="860" w:right="1236"/>
      </w:pPr>
      <w:r>
        <w:rPr/>
        <w:t>Evaluation of complex interventions entail many challenges. It is possible that not all the</w:t>
      </w:r>
      <w:r>
        <w:rPr>
          <w:spacing w:val="1"/>
        </w:rPr>
        <w:t> </w:t>
      </w:r>
      <w:r>
        <w:rPr/>
        <w:t>questions specified for the evaluation can be fully addressed due to this complexity and the</w:t>
      </w:r>
      <w:r>
        <w:rPr>
          <w:spacing w:val="-53"/>
        </w:rPr>
        <w:t> </w:t>
      </w:r>
      <w:r>
        <w:rPr/>
        <w:t>interaction</w:t>
      </w:r>
      <w:r>
        <w:rPr>
          <w:spacing w:val="-4"/>
        </w:rPr>
        <w:t> </w:t>
      </w:r>
      <w:r>
        <w:rPr/>
        <w:t>of</w:t>
      </w:r>
      <w:r>
        <w:rPr>
          <w:spacing w:val="-4"/>
        </w:rPr>
        <w:t> </w:t>
      </w:r>
      <w:r>
        <w:rPr/>
        <w:t>the</w:t>
      </w:r>
      <w:r>
        <w:rPr>
          <w:spacing w:val="-3"/>
        </w:rPr>
        <w:t> </w:t>
      </w:r>
      <w:r>
        <w:rPr/>
        <w:t>various</w:t>
      </w:r>
      <w:r>
        <w:rPr>
          <w:spacing w:val="-3"/>
        </w:rPr>
        <w:t> </w:t>
      </w:r>
      <w:r>
        <w:rPr/>
        <w:t>elements.</w:t>
      </w:r>
      <w:r>
        <w:rPr>
          <w:spacing w:val="-6"/>
        </w:rPr>
        <w:t> </w:t>
      </w:r>
      <w:r>
        <w:rPr/>
        <w:t>The</w:t>
      </w:r>
      <w:r>
        <w:rPr>
          <w:spacing w:val="-2"/>
        </w:rPr>
        <w:t> </w:t>
      </w:r>
      <w:r>
        <w:rPr/>
        <w:t>evaluation</w:t>
      </w:r>
      <w:r>
        <w:rPr>
          <w:spacing w:val="-3"/>
        </w:rPr>
        <w:t> </w:t>
      </w:r>
      <w:r>
        <w:rPr/>
        <w:t>has</w:t>
      </w:r>
      <w:r>
        <w:rPr>
          <w:spacing w:val="-4"/>
        </w:rPr>
        <w:t> </w:t>
      </w:r>
      <w:r>
        <w:rPr/>
        <w:t>been</w:t>
      </w:r>
      <w:r>
        <w:rPr>
          <w:spacing w:val="-3"/>
        </w:rPr>
        <w:t> </w:t>
      </w:r>
      <w:r>
        <w:rPr/>
        <w:t>designed</w:t>
      </w:r>
      <w:r>
        <w:rPr>
          <w:spacing w:val="-4"/>
        </w:rPr>
        <w:t> </w:t>
      </w:r>
      <w:r>
        <w:rPr/>
        <w:t>to</w:t>
      </w:r>
      <w:r>
        <w:rPr>
          <w:spacing w:val="-2"/>
        </w:rPr>
        <w:t> </w:t>
      </w:r>
      <w:r>
        <w:rPr/>
        <w:t>address</w:t>
      </w:r>
      <w:r>
        <w:rPr>
          <w:spacing w:val="-4"/>
        </w:rPr>
        <w:t> </w:t>
      </w:r>
      <w:r>
        <w:rPr/>
        <w:t>aspects</w:t>
      </w:r>
      <w:r>
        <w:rPr>
          <w:spacing w:val="-2"/>
        </w:rPr>
        <w:t> </w:t>
      </w:r>
      <w:r>
        <w:rPr/>
        <w:t>of</w:t>
      </w:r>
      <w:r>
        <w:rPr>
          <w:spacing w:val="-52"/>
        </w:rPr>
        <w:t> </w:t>
      </w:r>
      <w:r>
        <w:rPr/>
        <w:t>this complexity, following guidance developed for evaluations complex interventions</w:t>
      </w:r>
      <w:r>
        <w:rPr>
          <w:spacing w:val="1"/>
        </w:rPr>
        <w:t> </w:t>
      </w:r>
      <w:r>
        <w:rPr/>
        <w:t>(</w:t>
      </w:r>
      <w:hyperlink w:history="true" w:anchor="_bookmark125">
        <w:r>
          <w:rPr/>
          <w:t>Medical</w:t>
        </w:r>
        <w:r>
          <w:rPr>
            <w:spacing w:val="-1"/>
          </w:rPr>
          <w:t> </w:t>
        </w:r>
        <w:r>
          <w:rPr/>
          <w:t>Research</w:t>
        </w:r>
        <w:r>
          <w:rPr>
            <w:spacing w:val="1"/>
          </w:rPr>
          <w:t> </w:t>
        </w:r>
        <w:r>
          <w:rPr/>
          <w:t>Council,</w:t>
        </w:r>
        <w:r>
          <w:rPr>
            <w:spacing w:val="-3"/>
          </w:rPr>
          <w:t> </w:t>
        </w:r>
        <w:r>
          <w:rPr/>
          <w:t>2006</w:t>
        </w:r>
      </w:hyperlink>
      <w:r>
        <w:rPr/>
        <w:t>).</w:t>
      </w:r>
      <w:r>
        <w:rPr>
          <w:spacing w:val="-2"/>
        </w:rPr>
        <w:t> </w:t>
      </w:r>
      <w:r>
        <w:rPr/>
        <w:t>Specific</w:t>
      </w:r>
      <w:r>
        <w:rPr>
          <w:spacing w:val="-1"/>
        </w:rPr>
        <w:t> </w:t>
      </w:r>
      <w:r>
        <w:rPr/>
        <w:t>steps</w:t>
      </w:r>
      <w:r>
        <w:rPr>
          <w:spacing w:val="-1"/>
        </w:rPr>
        <w:t> </w:t>
      </w:r>
      <w:r>
        <w:rPr/>
        <w:t>taken</w:t>
      </w:r>
      <w:r>
        <w:rPr>
          <w:spacing w:val="-1"/>
        </w:rPr>
        <w:t> </w:t>
      </w:r>
      <w:r>
        <w:rPr/>
        <w:t>have</w:t>
      </w:r>
      <w:r>
        <w:rPr>
          <w:spacing w:val="-1"/>
        </w:rPr>
        <w:t> </w:t>
      </w:r>
      <w:r>
        <w:rPr/>
        <w:t>included:</w:t>
      </w:r>
    </w:p>
    <w:p>
      <w:pPr>
        <w:pStyle w:val="ListParagraph"/>
        <w:numPr>
          <w:ilvl w:val="0"/>
          <w:numId w:val="17"/>
        </w:numPr>
        <w:tabs>
          <w:tab w:pos="1580" w:val="left" w:leader="none"/>
          <w:tab w:pos="1581" w:val="left" w:leader="none"/>
        </w:tabs>
        <w:spacing w:line="276" w:lineRule="auto" w:before="198" w:after="0"/>
        <w:ind w:left="1580" w:right="1855" w:hanging="360"/>
        <w:jc w:val="left"/>
        <w:rPr>
          <w:sz w:val="20"/>
        </w:rPr>
      </w:pPr>
      <w:r>
        <w:rPr>
          <w:sz w:val="20"/>
        </w:rPr>
        <w:t>Developing a theory of change that describes how the program is intended to</w:t>
      </w:r>
      <w:r>
        <w:rPr>
          <w:spacing w:val="-53"/>
          <w:sz w:val="20"/>
        </w:rPr>
        <w:t> </w:t>
      </w:r>
      <w:r>
        <w:rPr>
          <w:sz w:val="20"/>
        </w:rPr>
        <w:t>impact on outcomes</w:t>
      </w:r>
      <w:r>
        <w:rPr>
          <w:spacing w:val="2"/>
          <w:sz w:val="20"/>
        </w:rPr>
        <w:t> </w:t>
      </w:r>
      <w:r>
        <w:rPr>
          <w:sz w:val="20"/>
        </w:rPr>
        <w:t>(</w:t>
      </w:r>
      <w:hyperlink w:history="true" w:anchor="_bookmark13">
        <w:r>
          <w:rPr>
            <w:sz w:val="20"/>
          </w:rPr>
          <w:t>Figure 1</w:t>
        </w:r>
      </w:hyperlink>
      <w:r>
        <w:rPr>
          <w:sz w:val="20"/>
        </w:rPr>
        <w:t>).</w:t>
      </w:r>
    </w:p>
    <w:p>
      <w:pPr>
        <w:pStyle w:val="ListParagraph"/>
        <w:numPr>
          <w:ilvl w:val="0"/>
          <w:numId w:val="17"/>
        </w:numPr>
        <w:tabs>
          <w:tab w:pos="1580" w:val="left" w:leader="none"/>
          <w:tab w:pos="1581" w:val="left" w:leader="none"/>
        </w:tabs>
        <w:spacing w:line="240" w:lineRule="auto" w:before="0" w:after="0"/>
        <w:ind w:left="1580" w:right="0" w:hanging="361"/>
        <w:jc w:val="left"/>
        <w:rPr>
          <w:sz w:val="20"/>
        </w:rPr>
      </w:pPr>
      <w:r>
        <w:rPr>
          <w:sz w:val="20"/>
        </w:rPr>
        <w:t>Evaluation</w:t>
      </w:r>
      <w:r>
        <w:rPr>
          <w:spacing w:val="-3"/>
          <w:sz w:val="20"/>
        </w:rPr>
        <w:t> </w:t>
      </w:r>
      <w:r>
        <w:rPr>
          <w:sz w:val="20"/>
        </w:rPr>
        <w:t>of</w:t>
      </w:r>
      <w:r>
        <w:rPr>
          <w:spacing w:val="-3"/>
          <w:sz w:val="20"/>
        </w:rPr>
        <w:t> </w:t>
      </w:r>
      <w:r>
        <w:rPr>
          <w:sz w:val="20"/>
        </w:rPr>
        <w:t>structure</w:t>
      </w:r>
      <w:r>
        <w:rPr>
          <w:spacing w:val="-3"/>
          <w:sz w:val="20"/>
        </w:rPr>
        <w:t> </w:t>
      </w:r>
      <w:r>
        <w:rPr>
          <w:sz w:val="20"/>
        </w:rPr>
        <w:t>and</w:t>
      </w:r>
      <w:r>
        <w:rPr>
          <w:spacing w:val="-3"/>
          <w:sz w:val="20"/>
        </w:rPr>
        <w:t> </w:t>
      </w:r>
      <w:r>
        <w:rPr>
          <w:sz w:val="20"/>
        </w:rPr>
        <w:t>processes</w:t>
      </w:r>
      <w:r>
        <w:rPr>
          <w:spacing w:val="-3"/>
          <w:sz w:val="20"/>
        </w:rPr>
        <w:t> </w:t>
      </w:r>
      <w:r>
        <w:rPr>
          <w:sz w:val="20"/>
        </w:rPr>
        <w:t>as</w:t>
      </w:r>
      <w:r>
        <w:rPr>
          <w:spacing w:val="-3"/>
          <w:sz w:val="20"/>
        </w:rPr>
        <w:t> </w:t>
      </w:r>
      <w:r>
        <w:rPr>
          <w:sz w:val="20"/>
        </w:rPr>
        <w:t>well</w:t>
      </w:r>
      <w:r>
        <w:rPr>
          <w:spacing w:val="-3"/>
          <w:sz w:val="20"/>
        </w:rPr>
        <w:t> </w:t>
      </w:r>
      <w:r>
        <w:rPr>
          <w:sz w:val="20"/>
        </w:rPr>
        <w:t>as</w:t>
      </w:r>
      <w:r>
        <w:rPr>
          <w:spacing w:val="-3"/>
          <w:sz w:val="20"/>
        </w:rPr>
        <w:t> </w:t>
      </w:r>
      <w:r>
        <w:rPr>
          <w:sz w:val="20"/>
        </w:rPr>
        <w:t>outcomes.</w:t>
      </w:r>
    </w:p>
    <w:p>
      <w:pPr>
        <w:pStyle w:val="ListParagraph"/>
        <w:numPr>
          <w:ilvl w:val="0"/>
          <w:numId w:val="17"/>
        </w:numPr>
        <w:tabs>
          <w:tab w:pos="1580" w:val="left" w:leader="none"/>
          <w:tab w:pos="1581" w:val="left" w:leader="none"/>
        </w:tabs>
        <w:spacing w:line="276" w:lineRule="auto" w:before="38" w:after="0"/>
        <w:ind w:left="1580" w:right="1980" w:hanging="360"/>
        <w:jc w:val="left"/>
        <w:rPr>
          <w:sz w:val="20"/>
        </w:rPr>
      </w:pPr>
      <w:r>
        <w:rPr>
          <w:sz w:val="20"/>
        </w:rPr>
        <w:t>Inclusion</w:t>
      </w:r>
      <w:r>
        <w:rPr>
          <w:spacing w:val="-5"/>
          <w:sz w:val="20"/>
        </w:rPr>
        <w:t> </w:t>
      </w:r>
      <w:r>
        <w:rPr>
          <w:sz w:val="20"/>
        </w:rPr>
        <w:t>of</w:t>
      </w:r>
      <w:r>
        <w:rPr>
          <w:spacing w:val="-4"/>
          <w:sz w:val="20"/>
        </w:rPr>
        <w:t> </w:t>
      </w:r>
      <w:r>
        <w:rPr>
          <w:sz w:val="20"/>
        </w:rPr>
        <w:t>data</w:t>
      </w:r>
      <w:r>
        <w:rPr>
          <w:spacing w:val="-4"/>
          <w:sz w:val="20"/>
        </w:rPr>
        <w:t> </w:t>
      </w:r>
      <w:r>
        <w:rPr>
          <w:sz w:val="20"/>
        </w:rPr>
        <w:t>sources</w:t>
      </w:r>
      <w:r>
        <w:rPr>
          <w:spacing w:val="-2"/>
          <w:sz w:val="20"/>
        </w:rPr>
        <w:t> </w:t>
      </w:r>
      <w:r>
        <w:rPr>
          <w:sz w:val="20"/>
        </w:rPr>
        <w:t>and</w:t>
      </w:r>
      <w:r>
        <w:rPr>
          <w:spacing w:val="-5"/>
          <w:sz w:val="20"/>
        </w:rPr>
        <w:t> </w:t>
      </w:r>
      <w:r>
        <w:rPr>
          <w:sz w:val="20"/>
        </w:rPr>
        <w:t>measures</w:t>
      </w:r>
      <w:r>
        <w:rPr>
          <w:spacing w:val="-4"/>
          <w:sz w:val="20"/>
        </w:rPr>
        <w:t> </w:t>
      </w:r>
      <w:r>
        <w:rPr>
          <w:sz w:val="20"/>
        </w:rPr>
        <w:t>that</w:t>
      </w:r>
      <w:r>
        <w:rPr>
          <w:spacing w:val="-3"/>
          <w:sz w:val="20"/>
        </w:rPr>
        <w:t> </w:t>
      </w:r>
      <w:r>
        <w:rPr>
          <w:sz w:val="20"/>
        </w:rPr>
        <w:t>address</w:t>
      </w:r>
      <w:r>
        <w:rPr>
          <w:spacing w:val="-4"/>
          <w:sz w:val="20"/>
        </w:rPr>
        <w:t> </w:t>
      </w:r>
      <w:r>
        <w:rPr>
          <w:sz w:val="20"/>
        </w:rPr>
        <w:t>varies</w:t>
      </w:r>
      <w:r>
        <w:rPr>
          <w:spacing w:val="-2"/>
          <w:sz w:val="20"/>
        </w:rPr>
        <w:t> </w:t>
      </w:r>
      <w:r>
        <w:rPr>
          <w:sz w:val="20"/>
        </w:rPr>
        <w:t>steps</w:t>
      </w:r>
      <w:r>
        <w:rPr>
          <w:spacing w:val="-5"/>
          <w:sz w:val="20"/>
        </w:rPr>
        <w:t> </w:t>
      </w:r>
      <w:r>
        <w:rPr>
          <w:sz w:val="20"/>
        </w:rPr>
        <w:t>involved</w:t>
      </w:r>
      <w:r>
        <w:rPr>
          <w:spacing w:val="-4"/>
          <w:sz w:val="20"/>
        </w:rPr>
        <w:t> </w:t>
      </w:r>
      <w:r>
        <w:rPr>
          <w:sz w:val="20"/>
        </w:rPr>
        <w:t>the</w:t>
      </w:r>
      <w:r>
        <w:rPr>
          <w:spacing w:val="-53"/>
          <w:sz w:val="20"/>
        </w:rPr>
        <w:t> </w:t>
      </w:r>
      <w:r>
        <w:rPr>
          <w:sz w:val="20"/>
        </w:rPr>
        <w:t>implementation.</w:t>
      </w:r>
    </w:p>
    <w:p>
      <w:pPr>
        <w:pStyle w:val="ListParagraph"/>
        <w:numPr>
          <w:ilvl w:val="0"/>
          <w:numId w:val="17"/>
        </w:numPr>
        <w:tabs>
          <w:tab w:pos="1580" w:val="left" w:leader="none"/>
          <w:tab w:pos="1581" w:val="left" w:leader="none"/>
        </w:tabs>
        <w:spacing w:line="276" w:lineRule="auto" w:before="0" w:after="0"/>
        <w:ind w:left="1580" w:right="1357" w:hanging="360"/>
        <w:jc w:val="left"/>
        <w:rPr>
          <w:sz w:val="20"/>
        </w:rPr>
      </w:pPr>
      <w:r>
        <w:rPr>
          <w:sz w:val="20"/>
        </w:rPr>
        <w:t>Developing</w:t>
      </w:r>
      <w:r>
        <w:rPr>
          <w:spacing w:val="-6"/>
          <w:sz w:val="20"/>
        </w:rPr>
        <w:t> </w:t>
      </w:r>
      <w:r>
        <w:rPr>
          <w:sz w:val="20"/>
        </w:rPr>
        <w:t>a</w:t>
      </w:r>
      <w:r>
        <w:rPr>
          <w:spacing w:val="-4"/>
          <w:sz w:val="20"/>
        </w:rPr>
        <w:t> </w:t>
      </w:r>
      <w:r>
        <w:rPr>
          <w:sz w:val="20"/>
        </w:rPr>
        <w:t>comprehensive</w:t>
      </w:r>
      <w:r>
        <w:rPr>
          <w:spacing w:val="-5"/>
          <w:sz w:val="20"/>
        </w:rPr>
        <w:t> </w:t>
      </w:r>
      <w:r>
        <w:rPr>
          <w:sz w:val="20"/>
        </w:rPr>
        <w:t>description</w:t>
      </w:r>
      <w:r>
        <w:rPr>
          <w:spacing w:val="-4"/>
          <w:sz w:val="20"/>
        </w:rPr>
        <w:t> </w:t>
      </w:r>
      <w:r>
        <w:rPr>
          <w:sz w:val="20"/>
        </w:rPr>
        <w:t>of</w:t>
      </w:r>
      <w:r>
        <w:rPr>
          <w:spacing w:val="-6"/>
          <w:sz w:val="20"/>
        </w:rPr>
        <w:t> </w:t>
      </w:r>
      <w:r>
        <w:rPr>
          <w:sz w:val="20"/>
        </w:rPr>
        <w:t>the</w:t>
      </w:r>
      <w:r>
        <w:rPr>
          <w:spacing w:val="-5"/>
          <w:sz w:val="20"/>
        </w:rPr>
        <w:t> </w:t>
      </w:r>
      <w:r>
        <w:rPr>
          <w:sz w:val="20"/>
        </w:rPr>
        <w:t>intervention</w:t>
      </w:r>
      <w:r>
        <w:rPr>
          <w:spacing w:val="-4"/>
          <w:sz w:val="20"/>
        </w:rPr>
        <w:t> </w:t>
      </w:r>
      <w:r>
        <w:rPr>
          <w:sz w:val="20"/>
        </w:rPr>
        <w:t>and</w:t>
      </w:r>
      <w:r>
        <w:rPr>
          <w:spacing w:val="-6"/>
          <w:sz w:val="20"/>
        </w:rPr>
        <w:t> </w:t>
      </w:r>
      <w:r>
        <w:rPr>
          <w:sz w:val="20"/>
        </w:rPr>
        <w:t>its</w:t>
      </w:r>
      <w:r>
        <w:rPr>
          <w:spacing w:val="-5"/>
          <w:sz w:val="20"/>
        </w:rPr>
        <w:t> </w:t>
      </w:r>
      <w:r>
        <w:rPr>
          <w:sz w:val="20"/>
        </w:rPr>
        <w:t>implementation</w:t>
      </w:r>
      <w:r>
        <w:rPr>
          <w:spacing w:val="-52"/>
          <w:sz w:val="20"/>
        </w:rPr>
        <w:t> </w:t>
      </w:r>
      <w:r>
        <w:rPr>
          <w:sz w:val="20"/>
        </w:rPr>
        <w:t>and</w:t>
      </w:r>
      <w:r>
        <w:rPr>
          <w:spacing w:val="-3"/>
          <w:sz w:val="20"/>
        </w:rPr>
        <w:t> </w:t>
      </w:r>
      <w:r>
        <w:rPr>
          <w:sz w:val="20"/>
        </w:rPr>
        <w:t>ensuring</w:t>
      </w:r>
      <w:r>
        <w:rPr>
          <w:spacing w:val="-3"/>
          <w:sz w:val="20"/>
        </w:rPr>
        <w:t> </w:t>
      </w:r>
      <w:r>
        <w:rPr>
          <w:sz w:val="20"/>
        </w:rPr>
        <w:t>that</w:t>
      </w:r>
      <w:r>
        <w:rPr>
          <w:spacing w:val="-1"/>
          <w:sz w:val="20"/>
        </w:rPr>
        <w:t> </w:t>
      </w:r>
      <w:r>
        <w:rPr>
          <w:sz w:val="20"/>
        </w:rPr>
        <w:t>data</w:t>
      </w:r>
      <w:r>
        <w:rPr>
          <w:spacing w:val="-1"/>
          <w:sz w:val="20"/>
        </w:rPr>
        <w:t> </w:t>
      </w:r>
      <w:r>
        <w:rPr>
          <w:sz w:val="20"/>
        </w:rPr>
        <w:t>are</w:t>
      </w:r>
      <w:r>
        <w:rPr>
          <w:spacing w:val="-3"/>
          <w:sz w:val="20"/>
        </w:rPr>
        <w:t> </w:t>
      </w:r>
      <w:r>
        <w:rPr>
          <w:sz w:val="20"/>
        </w:rPr>
        <w:t>collected</w:t>
      </w:r>
      <w:r>
        <w:rPr>
          <w:spacing w:val="-3"/>
          <w:sz w:val="20"/>
        </w:rPr>
        <w:t> </w:t>
      </w:r>
      <w:r>
        <w:rPr>
          <w:sz w:val="20"/>
        </w:rPr>
        <w:t>that describe</w:t>
      </w:r>
      <w:r>
        <w:rPr>
          <w:spacing w:val="-3"/>
          <w:sz w:val="20"/>
        </w:rPr>
        <w:t> </w:t>
      </w:r>
      <w:r>
        <w:rPr>
          <w:sz w:val="20"/>
        </w:rPr>
        <w:t>the</w:t>
      </w:r>
      <w:r>
        <w:rPr>
          <w:spacing w:val="-3"/>
          <w:sz w:val="20"/>
        </w:rPr>
        <w:t> </w:t>
      </w:r>
      <w:r>
        <w:rPr>
          <w:sz w:val="20"/>
        </w:rPr>
        <w:t>implementation</w:t>
      </w:r>
      <w:r>
        <w:rPr>
          <w:spacing w:val="-1"/>
          <w:sz w:val="20"/>
        </w:rPr>
        <w:t> </w:t>
      </w:r>
      <w:r>
        <w:rPr>
          <w:sz w:val="20"/>
        </w:rPr>
        <w:t>process.</w:t>
      </w:r>
    </w:p>
    <w:p>
      <w:pPr>
        <w:pStyle w:val="ListParagraph"/>
        <w:numPr>
          <w:ilvl w:val="0"/>
          <w:numId w:val="17"/>
        </w:numPr>
        <w:tabs>
          <w:tab w:pos="1580" w:val="left" w:leader="none"/>
          <w:tab w:pos="1581" w:val="left" w:leader="none"/>
        </w:tabs>
        <w:spacing w:line="240" w:lineRule="auto" w:before="0" w:after="0"/>
        <w:ind w:left="1580" w:right="0" w:hanging="361"/>
        <w:jc w:val="left"/>
        <w:rPr>
          <w:sz w:val="20"/>
        </w:rPr>
      </w:pPr>
      <w:r>
        <w:rPr>
          <w:sz w:val="20"/>
        </w:rPr>
        <w:t>Mixed</w:t>
      </w:r>
      <w:r>
        <w:rPr>
          <w:spacing w:val="-3"/>
          <w:sz w:val="20"/>
        </w:rPr>
        <w:t> </w:t>
      </w:r>
      <w:r>
        <w:rPr>
          <w:sz w:val="20"/>
        </w:rPr>
        <w:t>methods</w:t>
      </w:r>
      <w:r>
        <w:rPr>
          <w:spacing w:val="-3"/>
          <w:sz w:val="20"/>
        </w:rPr>
        <w:t> </w:t>
      </w:r>
      <w:r>
        <w:rPr>
          <w:sz w:val="20"/>
        </w:rPr>
        <w:t>that</w:t>
      </w:r>
      <w:r>
        <w:rPr>
          <w:spacing w:val="-2"/>
          <w:sz w:val="20"/>
        </w:rPr>
        <w:t> </w:t>
      </w:r>
      <w:r>
        <w:rPr>
          <w:sz w:val="20"/>
        </w:rPr>
        <w:t>capture</w:t>
      </w:r>
      <w:r>
        <w:rPr>
          <w:spacing w:val="-3"/>
          <w:sz w:val="20"/>
        </w:rPr>
        <w:t> </w:t>
      </w:r>
      <w:r>
        <w:rPr>
          <w:sz w:val="20"/>
        </w:rPr>
        <w:t>qualitative</w:t>
      </w:r>
      <w:r>
        <w:rPr>
          <w:spacing w:val="-3"/>
          <w:sz w:val="20"/>
        </w:rPr>
        <w:t> </w:t>
      </w:r>
      <w:r>
        <w:rPr>
          <w:sz w:val="20"/>
        </w:rPr>
        <w:t>as</w:t>
      </w:r>
      <w:r>
        <w:rPr>
          <w:spacing w:val="-3"/>
          <w:sz w:val="20"/>
        </w:rPr>
        <w:t> </w:t>
      </w:r>
      <w:r>
        <w:rPr>
          <w:sz w:val="20"/>
        </w:rPr>
        <w:t>well</w:t>
      </w:r>
      <w:r>
        <w:rPr>
          <w:spacing w:val="-3"/>
          <w:sz w:val="20"/>
        </w:rPr>
        <w:t> </w:t>
      </w:r>
      <w:r>
        <w:rPr>
          <w:sz w:val="20"/>
        </w:rPr>
        <w:t>as</w:t>
      </w:r>
      <w:r>
        <w:rPr>
          <w:spacing w:val="-6"/>
          <w:sz w:val="20"/>
        </w:rPr>
        <w:t> </w:t>
      </w:r>
      <w:r>
        <w:rPr>
          <w:sz w:val="20"/>
        </w:rPr>
        <w:t>quantitative</w:t>
      </w:r>
      <w:r>
        <w:rPr>
          <w:spacing w:val="-3"/>
          <w:sz w:val="20"/>
        </w:rPr>
        <w:t> </w:t>
      </w:r>
      <w:r>
        <w:rPr>
          <w:sz w:val="20"/>
        </w:rPr>
        <w:t>data.</w:t>
      </w:r>
    </w:p>
    <w:p>
      <w:pPr>
        <w:pStyle w:val="ListParagraph"/>
        <w:numPr>
          <w:ilvl w:val="0"/>
          <w:numId w:val="17"/>
        </w:numPr>
        <w:tabs>
          <w:tab w:pos="1580" w:val="left" w:leader="none"/>
          <w:tab w:pos="1581" w:val="left" w:leader="none"/>
        </w:tabs>
        <w:spacing w:line="240" w:lineRule="auto" w:before="36" w:after="0"/>
        <w:ind w:left="1580" w:right="0" w:hanging="361"/>
        <w:jc w:val="left"/>
        <w:rPr>
          <w:sz w:val="20"/>
        </w:rPr>
      </w:pPr>
      <w:r>
        <w:rPr>
          <w:sz w:val="20"/>
        </w:rPr>
        <w:t>Economic</w:t>
      </w:r>
      <w:r>
        <w:rPr>
          <w:spacing w:val="-4"/>
          <w:sz w:val="20"/>
        </w:rPr>
        <w:t> </w:t>
      </w:r>
      <w:r>
        <w:rPr>
          <w:sz w:val="20"/>
        </w:rPr>
        <w:t>evaluation.</w:t>
      </w:r>
    </w:p>
    <w:p>
      <w:pPr>
        <w:pStyle w:val="ListParagraph"/>
        <w:numPr>
          <w:ilvl w:val="0"/>
          <w:numId w:val="17"/>
        </w:numPr>
        <w:tabs>
          <w:tab w:pos="1580" w:val="left" w:leader="none"/>
          <w:tab w:pos="1581" w:val="left" w:leader="none"/>
        </w:tabs>
        <w:spacing w:line="240" w:lineRule="auto" w:before="38" w:after="0"/>
        <w:ind w:left="1580" w:right="0" w:hanging="361"/>
        <w:jc w:val="left"/>
        <w:rPr>
          <w:sz w:val="20"/>
        </w:rPr>
      </w:pPr>
      <w:r>
        <w:rPr>
          <w:sz w:val="20"/>
        </w:rPr>
        <w:t>Processes</w:t>
      </w:r>
      <w:r>
        <w:rPr>
          <w:spacing w:val="-6"/>
          <w:sz w:val="20"/>
        </w:rPr>
        <w:t> </w:t>
      </w:r>
      <w:r>
        <w:rPr>
          <w:sz w:val="20"/>
        </w:rPr>
        <w:t>to</w:t>
      </w:r>
      <w:r>
        <w:rPr>
          <w:spacing w:val="-4"/>
          <w:sz w:val="20"/>
        </w:rPr>
        <w:t> </w:t>
      </w:r>
      <w:r>
        <w:rPr>
          <w:sz w:val="20"/>
        </w:rPr>
        <w:t>allow</w:t>
      </w:r>
      <w:r>
        <w:rPr>
          <w:spacing w:val="-2"/>
          <w:sz w:val="20"/>
        </w:rPr>
        <w:t> </w:t>
      </w:r>
      <w:r>
        <w:rPr>
          <w:sz w:val="20"/>
        </w:rPr>
        <w:t>stakeholders</w:t>
      </w:r>
      <w:r>
        <w:rPr>
          <w:spacing w:val="-5"/>
          <w:sz w:val="20"/>
        </w:rPr>
        <w:t> </w:t>
      </w:r>
      <w:r>
        <w:rPr>
          <w:sz w:val="20"/>
        </w:rPr>
        <w:t>to</w:t>
      </w:r>
      <w:r>
        <w:rPr>
          <w:spacing w:val="-4"/>
          <w:sz w:val="20"/>
        </w:rPr>
        <w:t> </w:t>
      </w:r>
      <w:r>
        <w:rPr>
          <w:sz w:val="20"/>
        </w:rPr>
        <w:t>provide</w:t>
      </w:r>
      <w:r>
        <w:rPr>
          <w:spacing w:val="-4"/>
          <w:sz w:val="20"/>
        </w:rPr>
        <w:t> </w:t>
      </w:r>
      <w:r>
        <w:rPr>
          <w:sz w:val="20"/>
        </w:rPr>
        <w:t>feedback</w:t>
      </w:r>
      <w:r>
        <w:rPr>
          <w:spacing w:val="-3"/>
          <w:sz w:val="20"/>
        </w:rPr>
        <w:t> </w:t>
      </w:r>
      <w:r>
        <w:rPr>
          <w:sz w:val="20"/>
        </w:rPr>
        <w:t>on</w:t>
      </w:r>
      <w:r>
        <w:rPr>
          <w:spacing w:val="-4"/>
          <w:sz w:val="20"/>
        </w:rPr>
        <w:t> </w:t>
      </w:r>
      <w:r>
        <w:rPr>
          <w:sz w:val="20"/>
        </w:rPr>
        <w:t>evaluation</w:t>
      </w:r>
      <w:r>
        <w:rPr>
          <w:spacing w:val="-3"/>
          <w:sz w:val="20"/>
        </w:rPr>
        <w:t> </w:t>
      </w:r>
      <w:r>
        <w:rPr>
          <w:sz w:val="20"/>
        </w:rPr>
        <w:t>findings.</w:t>
      </w:r>
    </w:p>
    <w:p>
      <w:pPr>
        <w:pStyle w:val="BodyText"/>
        <w:spacing w:before="4"/>
        <w:rPr>
          <w:sz w:val="19"/>
        </w:rPr>
      </w:pPr>
    </w:p>
    <w:p>
      <w:pPr>
        <w:pStyle w:val="Heading2"/>
      </w:pPr>
      <w:bookmarkStart w:name="_bookmark65" w:id="66"/>
      <w:bookmarkEnd w:id="66"/>
      <w:r>
        <w:rPr/>
      </w:r>
      <w:r>
        <w:rPr>
          <w:color w:val="003C79"/>
        </w:rPr>
        <w:t>Observational</w:t>
      </w:r>
      <w:r>
        <w:rPr>
          <w:color w:val="003C79"/>
          <w:spacing w:val="-2"/>
        </w:rPr>
        <w:t> </w:t>
      </w:r>
      <w:r>
        <w:rPr>
          <w:color w:val="003C79"/>
        </w:rPr>
        <w:t>(quasi</w:t>
      </w:r>
      <w:r>
        <w:rPr>
          <w:color w:val="003C79"/>
          <w:spacing w:val="-7"/>
        </w:rPr>
        <w:t> </w:t>
      </w:r>
      <w:r>
        <w:rPr>
          <w:color w:val="003C79"/>
        </w:rPr>
        <w:t>experimental)</w:t>
      </w:r>
      <w:r>
        <w:rPr>
          <w:color w:val="003C79"/>
          <w:spacing w:val="-10"/>
        </w:rPr>
        <w:t> </w:t>
      </w:r>
      <w:r>
        <w:rPr>
          <w:color w:val="003C79"/>
        </w:rPr>
        <w:t>design</w:t>
      </w:r>
    </w:p>
    <w:p>
      <w:pPr>
        <w:pStyle w:val="BodyText"/>
        <w:rPr>
          <w:sz w:val="13"/>
        </w:rPr>
      </w:pPr>
    </w:p>
    <w:p>
      <w:pPr>
        <w:pStyle w:val="BodyText"/>
        <w:spacing w:line="276" w:lineRule="auto" w:before="99"/>
        <w:ind w:left="860" w:right="1154"/>
      </w:pPr>
      <w:r>
        <w:rPr/>
        <w:t>HCH is a practice-level intervention. Also, many of the measures for the evaluation are to be</w:t>
      </w:r>
      <w:r>
        <w:rPr>
          <w:spacing w:val="1"/>
        </w:rPr>
        <w:t> </w:t>
      </w:r>
      <w:r>
        <w:rPr/>
        <w:t>derived from patients within practices. The evaluation design is observational and does not</w:t>
      </w:r>
      <w:r>
        <w:rPr>
          <w:spacing w:val="1"/>
        </w:rPr>
        <w:t> </w:t>
      </w:r>
      <w:r>
        <w:rPr/>
        <w:t>involve random assignment of practices to an intervention (HCH) arm and a control arm. This</w:t>
      </w:r>
      <w:r>
        <w:rPr>
          <w:spacing w:val="-53"/>
        </w:rPr>
        <w:t> </w:t>
      </w:r>
      <w:r>
        <w:rPr/>
        <w:t>feature reflects the approach to implementation of the program itself: practice nominated</w:t>
      </w:r>
      <w:r>
        <w:rPr>
          <w:spacing w:val="1"/>
        </w:rPr>
        <w:t> </w:t>
      </w:r>
      <w:r>
        <w:rPr/>
        <w:t>themselves to participate in the program, and selection criteria were applied by the</w:t>
      </w:r>
      <w:r>
        <w:rPr>
          <w:spacing w:val="1"/>
        </w:rPr>
        <w:t> </w:t>
      </w:r>
      <w:r>
        <w:rPr/>
        <w:t>Department to decide which practices were invited to participate. Also, the Department of</w:t>
      </w:r>
      <w:r>
        <w:rPr>
          <w:spacing w:val="1"/>
        </w:rPr>
        <w:t> </w:t>
      </w:r>
      <w:r>
        <w:rPr/>
        <w:t>Health’s request for quotation for the evaluation specified that ‘control’ practices would not</w:t>
      </w:r>
      <w:r>
        <w:rPr>
          <w:spacing w:val="1"/>
        </w:rPr>
        <w:t> </w:t>
      </w:r>
      <w:r>
        <w:rPr/>
        <w:t>be</w:t>
      </w:r>
      <w:r>
        <w:rPr>
          <w:spacing w:val="-4"/>
        </w:rPr>
        <w:t> </w:t>
      </w:r>
      <w:r>
        <w:rPr/>
        <w:t>recruited</w:t>
      </w:r>
      <w:r>
        <w:rPr>
          <w:spacing w:val="-2"/>
        </w:rPr>
        <w:t> </w:t>
      </w:r>
      <w:r>
        <w:rPr/>
        <w:t>for</w:t>
      </w:r>
      <w:r>
        <w:rPr>
          <w:spacing w:val="-3"/>
        </w:rPr>
        <w:t> </w:t>
      </w:r>
      <w:r>
        <w:rPr/>
        <w:t>the</w:t>
      </w:r>
      <w:r>
        <w:rPr>
          <w:spacing w:val="-4"/>
        </w:rPr>
        <w:t> </w:t>
      </w:r>
      <w:r>
        <w:rPr/>
        <w:t>evaluation. As</w:t>
      </w:r>
      <w:r>
        <w:rPr>
          <w:spacing w:val="-3"/>
        </w:rPr>
        <w:t> </w:t>
      </w:r>
      <w:r>
        <w:rPr/>
        <w:t>a</w:t>
      </w:r>
      <w:r>
        <w:rPr>
          <w:spacing w:val="-4"/>
        </w:rPr>
        <w:t> </w:t>
      </w:r>
      <w:r>
        <w:rPr/>
        <w:t>result,</w:t>
      </w:r>
      <w:r>
        <w:rPr>
          <w:spacing w:val="-5"/>
        </w:rPr>
        <w:t> </w:t>
      </w:r>
      <w:r>
        <w:rPr/>
        <w:t>the</w:t>
      </w:r>
      <w:r>
        <w:rPr>
          <w:spacing w:val="-3"/>
        </w:rPr>
        <w:t> </w:t>
      </w:r>
      <w:r>
        <w:rPr/>
        <w:t>comparative</w:t>
      </w:r>
      <w:r>
        <w:rPr>
          <w:spacing w:val="-4"/>
        </w:rPr>
        <w:t> </w:t>
      </w:r>
      <w:r>
        <w:rPr/>
        <w:t>aspects</w:t>
      </w:r>
      <w:r>
        <w:rPr>
          <w:spacing w:val="-3"/>
        </w:rPr>
        <w:t> </w:t>
      </w:r>
      <w:r>
        <w:rPr/>
        <w:t>of</w:t>
      </w:r>
      <w:r>
        <w:rPr>
          <w:spacing w:val="-3"/>
        </w:rPr>
        <w:t> </w:t>
      </w:r>
      <w:r>
        <w:rPr/>
        <w:t>the</w:t>
      </w:r>
      <w:r>
        <w:rPr>
          <w:spacing w:val="-5"/>
        </w:rPr>
        <w:t> </w:t>
      </w:r>
      <w:r>
        <w:rPr/>
        <w:t>evaluation</w:t>
      </w:r>
      <w:r>
        <w:rPr>
          <w:spacing w:val="-3"/>
        </w:rPr>
        <w:t> </w:t>
      </w:r>
      <w:r>
        <w:rPr/>
        <w:t>will</w:t>
      </w:r>
      <w:r>
        <w:rPr>
          <w:spacing w:val="-2"/>
        </w:rPr>
        <w:t> </w:t>
      </w:r>
      <w:r>
        <w:rPr/>
        <w:t>be</w:t>
      </w:r>
      <w:r>
        <w:rPr>
          <w:spacing w:val="-52"/>
        </w:rPr>
        <w:t> </w:t>
      </w:r>
      <w:r>
        <w:rPr/>
        <w:t>based</w:t>
      </w:r>
      <w:r>
        <w:rPr>
          <w:spacing w:val="-3"/>
        </w:rPr>
        <w:t> </w:t>
      </w:r>
      <w:r>
        <w:rPr/>
        <w:t>on</w:t>
      </w:r>
      <w:r>
        <w:rPr>
          <w:spacing w:val="-2"/>
        </w:rPr>
        <w:t> </w:t>
      </w:r>
      <w:r>
        <w:rPr/>
        <w:t>observational data.</w:t>
      </w:r>
      <w:r>
        <w:rPr>
          <w:spacing w:val="-5"/>
        </w:rPr>
        <w:t> </w:t>
      </w:r>
      <w:r>
        <w:rPr/>
        <w:t>Implementing</w:t>
      </w:r>
      <w:r>
        <w:rPr>
          <w:spacing w:val="-2"/>
        </w:rPr>
        <w:t> </w:t>
      </w:r>
      <w:r>
        <w:rPr/>
        <w:t>an</w:t>
      </w:r>
      <w:r>
        <w:rPr>
          <w:spacing w:val="-2"/>
        </w:rPr>
        <w:t> </w:t>
      </w:r>
      <w:r>
        <w:rPr/>
        <w:t>evaluation</w:t>
      </w:r>
      <w:r>
        <w:rPr>
          <w:spacing w:val="-2"/>
        </w:rPr>
        <w:t> </w:t>
      </w:r>
      <w:r>
        <w:rPr/>
        <w:t>design</w:t>
      </w:r>
      <w:r>
        <w:rPr>
          <w:spacing w:val="-2"/>
        </w:rPr>
        <w:t> </w:t>
      </w:r>
      <w:r>
        <w:rPr/>
        <w:t>involving</w:t>
      </w:r>
      <w:r>
        <w:rPr>
          <w:spacing w:val="-3"/>
        </w:rPr>
        <w:t> </w:t>
      </w:r>
      <w:r>
        <w:rPr/>
        <w:t>random</w:t>
      </w:r>
    </w:p>
    <w:p>
      <w:pPr>
        <w:spacing w:after="0" w:line="276" w:lineRule="auto"/>
        <w:sectPr>
          <w:pgSz w:w="11910" w:h="16840"/>
          <w:pgMar w:header="0" w:footer="675" w:top="0" w:bottom="860" w:left="580" w:right="280"/>
        </w:sectPr>
      </w:pPr>
    </w:p>
    <w:p>
      <w:pPr>
        <w:pStyle w:val="BodyText"/>
        <w:spacing w:line="276" w:lineRule="auto" w:before="82"/>
        <w:ind w:left="860" w:right="1198"/>
      </w:pPr>
      <w:r>
        <w:rPr/>
        <w:t>assignment</w:t>
      </w:r>
      <w:r>
        <w:rPr>
          <w:spacing w:val="-3"/>
        </w:rPr>
        <w:t> </w:t>
      </w:r>
      <w:r>
        <w:rPr/>
        <w:t>of</w:t>
      </w:r>
      <w:r>
        <w:rPr>
          <w:spacing w:val="-3"/>
        </w:rPr>
        <w:t> </w:t>
      </w:r>
      <w:r>
        <w:rPr/>
        <w:t>practices</w:t>
      </w:r>
      <w:r>
        <w:rPr>
          <w:spacing w:val="-4"/>
        </w:rPr>
        <w:t> </w:t>
      </w:r>
      <w:r>
        <w:rPr/>
        <w:t>would</w:t>
      </w:r>
      <w:r>
        <w:rPr>
          <w:spacing w:val="-4"/>
        </w:rPr>
        <w:t> </w:t>
      </w:r>
      <w:r>
        <w:rPr/>
        <w:t>be</w:t>
      </w:r>
      <w:r>
        <w:rPr>
          <w:spacing w:val="-4"/>
        </w:rPr>
        <w:t> </w:t>
      </w:r>
      <w:r>
        <w:rPr/>
        <w:t>challenging.</w:t>
      </w:r>
      <w:r>
        <w:rPr>
          <w:spacing w:val="-3"/>
        </w:rPr>
        <w:t> </w:t>
      </w:r>
      <w:r>
        <w:rPr/>
        <w:t>A</w:t>
      </w:r>
      <w:r>
        <w:rPr>
          <w:spacing w:val="-5"/>
        </w:rPr>
        <w:t> </w:t>
      </w:r>
      <w:r>
        <w:rPr/>
        <w:t>parallel</w:t>
      </w:r>
      <w:r>
        <w:rPr>
          <w:spacing w:val="-3"/>
        </w:rPr>
        <w:t> </w:t>
      </w:r>
      <w:r>
        <w:rPr/>
        <w:t>group</w:t>
      </w:r>
      <w:r>
        <w:rPr>
          <w:spacing w:val="-3"/>
        </w:rPr>
        <w:t> </w:t>
      </w:r>
      <w:r>
        <w:rPr/>
        <w:t>design</w:t>
      </w:r>
      <w:r>
        <w:rPr>
          <w:spacing w:val="-3"/>
        </w:rPr>
        <w:t> </w:t>
      </w:r>
      <w:r>
        <w:rPr/>
        <w:t>in</w:t>
      </w:r>
      <w:r>
        <w:rPr>
          <w:spacing w:val="-3"/>
        </w:rPr>
        <w:t> </w:t>
      </w:r>
      <w:r>
        <w:rPr/>
        <w:t>which</w:t>
      </w:r>
      <w:r>
        <w:rPr>
          <w:spacing w:val="-3"/>
        </w:rPr>
        <w:t> </w:t>
      </w:r>
      <w:r>
        <w:rPr/>
        <w:t>measures</w:t>
      </w:r>
      <w:r>
        <w:rPr>
          <w:spacing w:val="-4"/>
        </w:rPr>
        <w:t> </w:t>
      </w:r>
      <w:r>
        <w:rPr/>
        <w:t>for</w:t>
      </w:r>
      <w:r>
        <w:rPr>
          <w:spacing w:val="-53"/>
        </w:rPr>
        <w:t> </w:t>
      </w:r>
      <w:r>
        <w:rPr/>
        <w:t>intervention and control practices were assessed simultaneously would be challenging as</w:t>
      </w:r>
      <w:r>
        <w:rPr>
          <w:spacing w:val="1"/>
        </w:rPr>
        <w:t> </w:t>
      </w:r>
      <w:r>
        <w:rPr/>
        <w:t>control practices would have limited motivation to participate in the trial over its duration,</w:t>
      </w:r>
      <w:r>
        <w:rPr>
          <w:spacing w:val="1"/>
        </w:rPr>
        <w:t> </w:t>
      </w:r>
      <w:r>
        <w:rPr/>
        <w:t>even if costs for evaluation tasks were reimbursed. A stepped wedge design </w:t>
      </w:r>
      <w:hyperlink w:history="true" w:anchor="_bookmark115">
        <w:r>
          <w:rPr/>
          <w:t>Hemming,</w:t>
        </w:r>
      </w:hyperlink>
      <w:r>
        <w:rPr>
          <w:spacing w:val="1"/>
        </w:rPr>
        <w:t> </w:t>
      </w:r>
      <w:r>
        <w:rPr/>
        <w:t>Haines, Chilton et al., 2015 in which practices were randomly assigned to early and late</w:t>
      </w:r>
      <w:r>
        <w:rPr>
          <w:spacing w:val="1"/>
        </w:rPr>
        <w:t> </w:t>
      </w:r>
      <w:r>
        <w:rPr/>
        <w:t>commencement of implementation could have been feasible. In this approach, the crucial</w:t>
      </w:r>
      <w:r>
        <w:rPr>
          <w:spacing w:val="1"/>
        </w:rPr>
        <w:t> </w:t>
      </w:r>
      <w:r>
        <w:rPr/>
        <w:t>issue is that assignment to early and late commencement is randomised. There would need</w:t>
      </w:r>
      <w:r>
        <w:rPr>
          <w:spacing w:val="1"/>
        </w:rPr>
        <w:t> </w:t>
      </w:r>
      <w:r>
        <w:rPr/>
        <w:t>to be a delay of around 12 months between early and late commencement given the</w:t>
      </w:r>
      <w:r>
        <w:rPr>
          <w:spacing w:val="1"/>
        </w:rPr>
        <w:t> </w:t>
      </w:r>
      <w:r>
        <w:rPr/>
        <w:t>period of time in which initial effects are likely to be observable. An additional problem for</w:t>
      </w:r>
      <w:r>
        <w:rPr>
          <w:spacing w:val="1"/>
        </w:rPr>
        <w:t> </w:t>
      </w:r>
      <w:r>
        <w:rPr/>
        <w:t>both parallel groups and stepped wedge designs is that practices within intervention and</w:t>
      </w:r>
      <w:r>
        <w:rPr>
          <w:spacing w:val="1"/>
        </w:rPr>
        <w:t> </w:t>
      </w:r>
      <w:r>
        <w:rPr/>
        <w:t>control groups will not be blinded to the allocation. There is also likely to be ‘contamination’</w:t>
      </w:r>
      <w:r>
        <w:rPr>
          <w:spacing w:val="1"/>
        </w:rPr>
        <w:t> </w:t>
      </w:r>
      <w:r>
        <w:rPr/>
        <w:t>between the arms of the trial, for example, intervention and control practices being both</w:t>
      </w:r>
      <w:r>
        <w:rPr>
          <w:spacing w:val="1"/>
        </w:rPr>
        <w:t> </w:t>
      </w:r>
      <w:r>
        <w:rPr/>
        <w:t>exposed to information and training delivered as part of the implementation, or intervention</w:t>
      </w:r>
      <w:r>
        <w:rPr>
          <w:spacing w:val="1"/>
        </w:rPr>
        <w:t> </w:t>
      </w:r>
      <w:r>
        <w:rPr/>
        <w:t>practices sharing information about implementation with control practices. The evaluators</w:t>
      </w:r>
      <w:r>
        <w:rPr>
          <w:spacing w:val="1"/>
        </w:rPr>
        <w:t> </w:t>
      </w:r>
      <w:r>
        <w:rPr/>
        <w:t>will employ scientifically valid techniques to ensure adjustments are made for observed</w:t>
      </w:r>
      <w:r>
        <w:rPr>
          <w:spacing w:val="1"/>
        </w:rPr>
        <w:t> </w:t>
      </w:r>
      <w:r>
        <w:rPr/>
        <w:t>confounders</w:t>
      </w:r>
      <w:r>
        <w:rPr>
          <w:spacing w:val="-3"/>
        </w:rPr>
        <w:t> </w:t>
      </w:r>
      <w:r>
        <w:rPr/>
        <w:t>when</w:t>
      </w:r>
      <w:r>
        <w:rPr>
          <w:spacing w:val="-2"/>
        </w:rPr>
        <w:t> </w:t>
      </w:r>
      <w:r>
        <w:rPr/>
        <w:t>comparing</w:t>
      </w:r>
      <w:r>
        <w:rPr>
          <w:spacing w:val="-3"/>
        </w:rPr>
        <w:t> </w:t>
      </w:r>
      <w:r>
        <w:rPr/>
        <w:t>patients</w:t>
      </w:r>
      <w:r>
        <w:rPr>
          <w:spacing w:val="-2"/>
        </w:rPr>
        <w:t> </w:t>
      </w:r>
      <w:r>
        <w:rPr/>
        <w:t>from</w:t>
      </w:r>
      <w:r>
        <w:rPr>
          <w:spacing w:val="-3"/>
        </w:rPr>
        <w:t> </w:t>
      </w:r>
      <w:r>
        <w:rPr/>
        <w:t>HCH practices</w:t>
      </w:r>
      <w:r>
        <w:rPr>
          <w:spacing w:val="-2"/>
        </w:rPr>
        <w:t> </w:t>
      </w:r>
      <w:r>
        <w:rPr/>
        <w:t>with</w:t>
      </w:r>
      <w:r>
        <w:rPr>
          <w:spacing w:val="-2"/>
        </w:rPr>
        <w:t> </w:t>
      </w:r>
      <w:r>
        <w:rPr/>
        <w:t>comparator</w:t>
      </w:r>
      <w:r>
        <w:rPr>
          <w:spacing w:val="-3"/>
        </w:rPr>
        <w:t> </w:t>
      </w:r>
      <w:r>
        <w:rPr/>
        <w:t>patients.</w:t>
      </w:r>
    </w:p>
    <w:p>
      <w:pPr>
        <w:pStyle w:val="BodyText"/>
        <w:spacing w:line="276" w:lineRule="auto" w:before="1"/>
        <w:ind w:left="860" w:right="1836"/>
      </w:pPr>
      <w:r>
        <w:rPr/>
        <w:t>However, it is almost certain there will be unobserved confounders that will impact the</w:t>
      </w:r>
      <w:r>
        <w:rPr>
          <w:spacing w:val="-53"/>
        </w:rPr>
        <w:t> </w:t>
      </w:r>
      <w:r>
        <w:rPr/>
        <w:t>estimates</w:t>
      </w:r>
      <w:r>
        <w:rPr>
          <w:spacing w:val="-2"/>
        </w:rPr>
        <w:t> </w:t>
      </w:r>
      <w:r>
        <w:rPr/>
        <w:t>of</w:t>
      </w:r>
      <w:r>
        <w:rPr>
          <w:spacing w:val="-1"/>
        </w:rPr>
        <w:t> </w:t>
      </w:r>
      <w:r>
        <w:rPr/>
        <w:t>effects</w:t>
      </w:r>
      <w:r>
        <w:rPr>
          <w:spacing w:val="-1"/>
        </w:rPr>
        <w:t> </w:t>
      </w:r>
      <w:r>
        <w:rPr/>
        <w:t>of HCH as</w:t>
      </w:r>
      <w:r>
        <w:rPr>
          <w:spacing w:val="-1"/>
        </w:rPr>
        <w:t> </w:t>
      </w:r>
      <w:r>
        <w:rPr/>
        <w:t>an</w:t>
      </w:r>
      <w:r>
        <w:rPr>
          <w:spacing w:val="-1"/>
        </w:rPr>
        <w:t> </w:t>
      </w:r>
      <w:r>
        <w:rPr/>
        <w:t>intervention.</w:t>
      </w:r>
    </w:p>
    <w:p>
      <w:pPr>
        <w:pStyle w:val="BodyText"/>
        <w:spacing w:before="6"/>
        <w:rPr>
          <w:sz w:val="19"/>
        </w:rPr>
      </w:pPr>
    </w:p>
    <w:p>
      <w:pPr>
        <w:pStyle w:val="Heading2"/>
      </w:pPr>
      <w:bookmarkStart w:name="_bookmark66" w:id="67"/>
      <w:bookmarkEnd w:id="67"/>
      <w:r>
        <w:rPr/>
      </w:r>
      <w:r>
        <w:rPr>
          <w:color w:val="003C79"/>
        </w:rPr>
        <w:t>Selection</w:t>
      </w:r>
      <w:r>
        <w:rPr>
          <w:color w:val="003C79"/>
          <w:spacing w:val="-6"/>
        </w:rPr>
        <w:t> </w:t>
      </w:r>
      <w:r>
        <w:rPr>
          <w:color w:val="003C79"/>
        </w:rPr>
        <w:t>of</w:t>
      </w:r>
      <w:r>
        <w:rPr>
          <w:color w:val="003C79"/>
          <w:spacing w:val="-6"/>
        </w:rPr>
        <w:t> </w:t>
      </w:r>
      <w:r>
        <w:rPr>
          <w:color w:val="003C79"/>
        </w:rPr>
        <w:t>patients</w:t>
      </w:r>
    </w:p>
    <w:p>
      <w:pPr>
        <w:pStyle w:val="BodyText"/>
        <w:spacing w:line="276" w:lineRule="auto" w:before="259"/>
        <w:ind w:left="860" w:right="1236"/>
      </w:pPr>
      <w:r>
        <w:rPr/>
        <w:t>The program involves a risk stratification tool (RST) to be used by all HCH practices. However,</w:t>
      </w:r>
      <w:r>
        <w:rPr>
          <w:spacing w:val="-53"/>
        </w:rPr>
        <w:t> </w:t>
      </w:r>
      <w:r>
        <w:rPr/>
        <w:t>GPs will have discretion over which patients will be invited to participate in the program. The</w:t>
      </w:r>
      <w:r>
        <w:rPr>
          <w:spacing w:val="-53"/>
        </w:rPr>
        <w:t> </w:t>
      </w:r>
      <w:r>
        <w:rPr/>
        <w:t>factors</w:t>
      </w:r>
      <w:r>
        <w:rPr>
          <w:spacing w:val="-5"/>
        </w:rPr>
        <w:t> </w:t>
      </w:r>
      <w:r>
        <w:rPr/>
        <w:t>influencing</w:t>
      </w:r>
      <w:r>
        <w:rPr>
          <w:spacing w:val="-4"/>
        </w:rPr>
        <w:t> </w:t>
      </w:r>
      <w:r>
        <w:rPr/>
        <w:t>selection</w:t>
      </w:r>
      <w:r>
        <w:rPr>
          <w:spacing w:val="-4"/>
        </w:rPr>
        <w:t> </w:t>
      </w:r>
      <w:r>
        <w:rPr/>
        <w:t>are</w:t>
      </w:r>
      <w:r>
        <w:rPr>
          <w:spacing w:val="-4"/>
        </w:rPr>
        <w:t> </w:t>
      </w:r>
      <w:r>
        <w:rPr/>
        <w:t>unlikely</w:t>
      </w:r>
      <w:r>
        <w:rPr>
          <w:spacing w:val="-5"/>
        </w:rPr>
        <w:t> </w:t>
      </w:r>
      <w:r>
        <w:rPr/>
        <w:t>to</w:t>
      </w:r>
      <w:r>
        <w:rPr>
          <w:spacing w:val="-4"/>
        </w:rPr>
        <w:t> </w:t>
      </w:r>
      <w:r>
        <w:rPr/>
        <w:t>be</w:t>
      </w:r>
      <w:r>
        <w:rPr>
          <w:spacing w:val="-5"/>
        </w:rPr>
        <w:t> </w:t>
      </w:r>
      <w:r>
        <w:rPr/>
        <w:t>fully</w:t>
      </w:r>
      <w:r>
        <w:rPr>
          <w:spacing w:val="-3"/>
        </w:rPr>
        <w:t> </w:t>
      </w:r>
      <w:r>
        <w:rPr/>
        <w:t>observed.</w:t>
      </w:r>
      <w:r>
        <w:rPr>
          <w:spacing w:val="-5"/>
        </w:rPr>
        <w:t> </w:t>
      </w:r>
      <w:r>
        <w:rPr/>
        <w:t>In</w:t>
      </w:r>
      <w:r>
        <w:rPr>
          <w:spacing w:val="-3"/>
        </w:rPr>
        <w:t> </w:t>
      </w:r>
      <w:r>
        <w:rPr/>
        <w:t>addition,</w:t>
      </w:r>
      <w:r>
        <w:rPr>
          <w:spacing w:val="-6"/>
        </w:rPr>
        <w:t> </w:t>
      </w:r>
      <w:r>
        <w:rPr/>
        <w:t>patients</w:t>
      </w:r>
      <w:r>
        <w:rPr>
          <w:spacing w:val="-4"/>
        </w:rPr>
        <w:t> </w:t>
      </w:r>
      <w:r>
        <w:rPr/>
        <w:t>will</w:t>
      </w:r>
      <w:r>
        <w:rPr>
          <w:spacing w:val="-4"/>
        </w:rPr>
        <w:t> </w:t>
      </w:r>
      <w:r>
        <w:rPr/>
        <w:t>decide</w:t>
      </w:r>
      <w:r>
        <w:rPr>
          <w:spacing w:val="1"/>
        </w:rPr>
        <w:t> </w:t>
      </w:r>
      <w:r>
        <w:rPr/>
        <w:t>whether they wish to enrol in the program and there are likely to be unobserved factors that</w:t>
      </w:r>
      <w:r>
        <w:rPr>
          <w:spacing w:val="-53"/>
        </w:rPr>
        <w:t> </w:t>
      </w:r>
      <w:r>
        <w:rPr/>
        <w:t>impact these decisions. Both these issues (GP and patient selection decisions) are likely to</w:t>
      </w:r>
      <w:r>
        <w:rPr>
          <w:spacing w:val="1"/>
        </w:rPr>
        <w:t> </w:t>
      </w:r>
      <w:r>
        <w:rPr/>
        <w:t>contribute</w:t>
      </w:r>
      <w:r>
        <w:rPr>
          <w:spacing w:val="-3"/>
        </w:rPr>
        <w:t> </w:t>
      </w:r>
      <w:r>
        <w:rPr/>
        <w:t>to</w:t>
      </w:r>
      <w:r>
        <w:rPr>
          <w:spacing w:val="-2"/>
        </w:rPr>
        <w:t> </w:t>
      </w:r>
      <w:r>
        <w:rPr/>
        <w:t>selection</w:t>
      </w:r>
      <w:r>
        <w:rPr>
          <w:spacing w:val="-2"/>
        </w:rPr>
        <w:t> </w:t>
      </w:r>
      <w:r>
        <w:rPr/>
        <w:t>biases</w:t>
      </w:r>
      <w:r>
        <w:rPr>
          <w:spacing w:val="-3"/>
        </w:rPr>
        <w:t> </w:t>
      </w:r>
      <w:r>
        <w:rPr/>
        <w:t>in</w:t>
      </w:r>
      <w:r>
        <w:rPr>
          <w:spacing w:val="-2"/>
        </w:rPr>
        <w:t> </w:t>
      </w:r>
      <w:r>
        <w:rPr/>
        <w:t>the</w:t>
      </w:r>
      <w:r>
        <w:rPr>
          <w:spacing w:val="-2"/>
        </w:rPr>
        <w:t> </w:t>
      </w:r>
      <w:r>
        <w:rPr/>
        <w:t>comparisons of</w:t>
      </w:r>
      <w:r>
        <w:rPr>
          <w:spacing w:val="-3"/>
        </w:rPr>
        <w:t> </w:t>
      </w:r>
      <w:r>
        <w:rPr/>
        <w:t>HCH</w:t>
      </w:r>
      <w:r>
        <w:rPr>
          <w:spacing w:val="-1"/>
        </w:rPr>
        <w:t> </w:t>
      </w:r>
      <w:r>
        <w:rPr/>
        <w:t>patients</w:t>
      </w:r>
      <w:r>
        <w:rPr>
          <w:spacing w:val="-3"/>
        </w:rPr>
        <w:t> </w:t>
      </w:r>
      <w:r>
        <w:rPr/>
        <w:t>and</w:t>
      </w:r>
      <w:r>
        <w:rPr>
          <w:spacing w:val="-2"/>
        </w:rPr>
        <w:t> </w:t>
      </w:r>
      <w:r>
        <w:rPr/>
        <w:t>comparators.</w:t>
      </w:r>
    </w:p>
    <w:p>
      <w:pPr>
        <w:pStyle w:val="BodyText"/>
        <w:spacing w:line="276" w:lineRule="auto"/>
        <w:ind w:left="860" w:right="1169"/>
      </w:pPr>
      <w:r>
        <w:rPr/>
        <w:t>Comparisons of enrolled and other patients will be performed using extracts from practice</w:t>
      </w:r>
      <w:r>
        <w:rPr>
          <w:spacing w:val="1"/>
        </w:rPr>
        <w:t> </w:t>
      </w:r>
      <w:r>
        <w:rPr/>
        <w:t>clinical</w:t>
      </w:r>
      <w:r>
        <w:rPr>
          <w:spacing w:val="-4"/>
        </w:rPr>
        <w:t> </w:t>
      </w:r>
      <w:r>
        <w:rPr/>
        <w:t>information</w:t>
      </w:r>
      <w:r>
        <w:rPr>
          <w:spacing w:val="-3"/>
        </w:rPr>
        <w:t> </w:t>
      </w:r>
      <w:r>
        <w:rPr/>
        <w:t>systems</w:t>
      </w:r>
      <w:r>
        <w:rPr>
          <w:spacing w:val="-1"/>
        </w:rPr>
        <w:t> </w:t>
      </w:r>
      <w:r>
        <w:rPr/>
        <w:t>and</w:t>
      </w:r>
      <w:r>
        <w:rPr>
          <w:spacing w:val="-4"/>
        </w:rPr>
        <w:t> </w:t>
      </w:r>
      <w:r>
        <w:rPr/>
        <w:t>linked</w:t>
      </w:r>
      <w:r>
        <w:rPr>
          <w:spacing w:val="-4"/>
        </w:rPr>
        <w:t> </w:t>
      </w:r>
      <w:r>
        <w:rPr/>
        <w:t>MBS/PBS/hospitalisation</w:t>
      </w:r>
      <w:r>
        <w:rPr>
          <w:spacing w:val="-3"/>
        </w:rPr>
        <w:t> </w:t>
      </w:r>
      <w:r>
        <w:rPr/>
        <w:t>data,</w:t>
      </w:r>
      <w:r>
        <w:rPr>
          <w:spacing w:val="-6"/>
        </w:rPr>
        <w:t> </w:t>
      </w:r>
      <w:r>
        <w:rPr/>
        <w:t>but</w:t>
      </w:r>
      <w:r>
        <w:rPr>
          <w:spacing w:val="-2"/>
        </w:rPr>
        <w:t> </w:t>
      </w:r>
      <w:r>
        <w:rPr/>
        <w:t>there</w:t>
      </w:r>
      <w:r>
        <w:rPr>
          <w:spacing w:val="-4"/>
        </w:rPr>
        <w:t> </w:t>
      </w:r>
      <w:r>
        <w:rPr/>
        <w:t>are</w:t>
      </w:r>
      <w:r>
        <w:rPr>
          <w:spacing w:val="-4"/>
        </w:rPr>
        <w:t> </w:t>
      </w:r>
      <w:r>
        <w:rPr/>
        <w:t>likely</w:t>
      </w:r>
      <w:r>
        <w:rPr>
          <w:spacing w:val="-5"/>
        </w:rPr>
        <w:t> </w:t>
      </w:r>
      <w:r>
        <w:rPr/>
        <w:t>to</w:t>
      </w:r>
      <w:r>
        <w:rPr>
          <w:spacing w:val="-4"/>
        </w:rPr>
        <w:t> </w:t>
      </w:r>
      <w:r>
        <w:rPr/>
        <w:t>be</w:t>
      </w:r>
      <w:r>
        <w:rPr>
          <w:spacing w:val="-53"/>
        </w:rPr>
        <w:t> </w:t>
      </w:r>
      <w:r>
        <w:rPr/>
        <w:t>other characteristics beyond those captured in these data sources that contribute to</w:t>
      </w:r>
      <w:r>
        <w:rPr>
          <w:spacing w:val="1"/>
        </w:rPr>
        <w:t> </w:t>
      </w:r>
      <w:r>
        <w:rPr/>
        <w:t>selection biases. The selection biases may impact the estimate of effects. Reasons that</w:t>
      </w:r>
      <w:r>
        <w:rPr>
          <w:spacing w:val="1"/>
        </w:rPr>
        <w:t> </w:t>
      </w:r>
      <w:r>
        <w:rPr/>
        <w:t>patients were not selected will be explored in interviews with GPs and practice nurses as part</w:t>
      </w:r>
      <w:r>
        <w:rPr>
          <w:spacing w:val="-53"/>
        </w:rPr>
        <w:t> </w:t>
      </w:r>
      <w:r>
        <w:rPr/>
        <w:t>of the case studies and through the practice surveys. While these selection effects may</w:t>
      </w:r>
      <w:r>
        <w:rPr>
          <w:spacing w:val="1"/>
        </w:rPr>
        <w:t> </w:t>
      </w:r>
      <w:r>
        <w:rPr/>
        <w:t>impact the estimates of effects, they have a pragmatic value in that they will assist the</w:t>
      </w:r>
      <w:r>
        <w:rPr>
          <w:spacing w:val="1"/>
        </w:rPr>
        <w:t> </w:t>
      </w:r>
      <w:r>
        <w:rPr/>
        <w:t>evaluation to identify implementation issues for the program when wider roll-out is</w:t>
      </w:r>
      <w:r>
        <w:rPr>
          <w:spacing w:val="1"/>
        </w:rPr>
        <w:t> </w:t>
      </w:r>
      <w:r>
        <w:rPr/>
        <w:t>considered.</w:t>
      </w:r>
    </w:p>
    <w:p>
      <w:pPr>
        <w:pStyle w:val="BodyText"/>
        <w:spacing w:before="8"/>
        <w:rPr>
          <w:sz w:val="19"/>
        </w:rPr>
      </w:pPr>
    </w:p>
    <w:p>
      <w:pPr>
        <w:pStyle w:val="Heading2"/>
      </w:pPr>
      <w:bookmarkStart w:name="_bookmark67" w:id="68"/>
      <w:bookmarkEnd w:id="68"/>
      <w:r>
        <w:rPr/>
      </w:r>
      <w:r>
        <w:rPr>
          <w:color w:val="003C79"/>
        </w:rPr>
        <w:t>Length</w:t>
      </w:r>
      <w:r>
        <w:rPr>
          <w:color w:val="003C79"/>
          <w:spacing w:val="-3"/>
        </w:rPr>
        <w:t> </w:t>
      </w:r>
      <w:r>
        <w:rPr>
          <w:color w:val="003C79"/>
        </w:rPr>
        <w:t>of</w:t>
      </w:r>
      <w:r>
        <w:rPr>
          <w:color w:val="003C79"/>
          <w:spacing w:val="1"/>
        </w:rPr>
        <w:t> </w:t>
      </w:r>
      <w:r>
        <w:rPr>
          <w:color w:val="003C79"/>
        </w:rPr>
        <w:t>time</w:t>
      </w:r>
      <w:r>
        <w:rPr>
          <w:color w:val="003C79"/>
          <w:spacing w:val="-3"/>
        </w:rPr>
        <w:t> </w:t>
      </w:r>
      <w:r>
        <w:rPr>
          <w:color w:val="003C79"/>
        </w:rPr>
        <w:t>for</w:t>
      </w:r>
      <w:r>
        <w:rPr>
          <w:color w:val="003C79"/>
          <w:spacing w:val="-2"/>
        </w:rPr>
        <w:t> </w:t>
      </w:r>
      <w:r>
        <w:rPr>
          <w:color w:val="003C79"/>
        </w:rPr>
        <w:t>changes</w:t>
      </w:r>
      <w:r>
        <w:rPr>
          <w:color w:val="003C79"/>
          <w:spacing w:val="-2"/>
        </w:rPr>
        <w:t> </w:t>
      </w:r>
      <w:r>
        <w:rPr>
          <w:color w:val="003C79"/>
        </w:rPr>
        <w:t>in</w:t>
      </w:r>
      <w:r>
        <w:rPr>
          <w:color w:val="003C79"/>
          <w:spacing w:val="-3"/>
        </w:rPr>
        <w:t> </w:t>
      </w:r>
      <w:r>
        <w:rPr>
          <w:color w:val="003C79"/>
        </w:rPr>
        <w:t>outcomes</w:t>
      </w:r>
      <w:r>
        <w:rPr>
          <w:color w:val="003C79"/>
          <w:spacing w:val="-2"/>
        </w:rPr>
        <w:t> </w:t>
      </w:r>
      <w:r>
        <w:rPr>
          <w:color w:val="003C79"/>
        </w:rPr>
        <w:t>to</w:t>
      </w:r>
      <w:r>
        <w:rPr>
          <w:color w:val="003C79"/>
          <w:spacing w:val="-2"/>
        </w:rPr>
        <w:t> </w:t>
      </w:r>
      <w:r>
        <w:rPr>
          <w:color w:val="003C79"/>
        </w:rPr>
        <w:t>be</w:t>
      </w:r>
      <w:r>
        <w:rPr>
          <w:color w:val="003C79"/>
          <w:spacing w:val="-1"/>
        </w:rPr>
        <w:t> </w:t>
      </w:r>
      <w:r>
        <w:rPr>
          <w:color w:val="003C79"/>
        </w:rPr>
        <w:t>observed</w:t>
      </w:r>
    </w:p>
    <w:p>
      <w:pPr>
        <w:pStyle w:val="BodyText"/>
        <w:spacing w:line="276" w:lineRule="auto" w:before="259"/>
        <w:ind w:left="860" w:right="1274"/>
      </w:pPr>
      <w:r>
        <w:rPr/>
        <w:t>Stakeholders are ultimately interested in the impact of the HCH program on clinical</w:t>
      </w:r>
      <w:r>
        <w:rPr>
          <w:spacing w:val="1"/>
        </w:rPr>
        <w:t> </w:t>
      </w:r>
      <w:r>
        <w:rPr/>
        <w:t>outcomes and the use of hospital services. However, many stakeholders also believe that it</w:t>
      </w:r>
      <w:r>
        <w:rPr>
          <w:spacing w:val="1"/>
        </w:rPr>
        <w:t> </w:t>
      </w:r>
      <w:r>
        <w:rPr/>
        <w:t>will take several years before these will be observed. First, changes in primary care practices</w:t>
      </w:r>
      <w:r>
        <w:rPr>
          <w:spacing w:val="-53"/>
        </w:rPr>
        <w:t> </w:t>
      </w:r>
      <w:r>
        <w:rPr/>
        <w:t>intended to occur as a result of the program will take some time to be fully embedded into</w:t>
      </w:r>
      <w:r>
        <w:rPr>
          <w:spacing w:val="1"/>
        </w:rPr>
        <w:t> </w:t>
      </w:r>
      <w:r>
        <w:rPr/>
        <w:t>the routines of care delivery, and as a result it is unlikely that changes in clinical outcomes</w:t>
      </w:r>
      <w:r>
        <w:rPr>
          <w:spacing w:val="1"/>
        </w:rPr>
        <w:t> </w:t>
      </w:r>
      <w:r>
        <w:rPr/>
        <w:t>and measures that reflect the clinical status of patients, such as hospitalisation rates will be</w:t>
      </w:r>
      <w:r>
        <w:rPr>
          <w:spacing w:val="1"/>
        </w:rPr>
        <w:t> </w:t>
      </w:r>
      <w:r>
        <w:rPr/>
        <w:t>observed for several years. Evaluations of programs similar to HCH have often described</w:t>
      </w:r>
      <w:r>
        <w:rPr>
          <w:spacing w:val="1"/>
        </w:rPr>
        <w:t> </w:t>
      </w:r>
      <w:r>
        <w:rPr/>
        <w:t>similar challenges. These issues may be exacerbated by delays in commencement of</w:t>
      </w:r>
      <w:r>
        <w:rPr>
          <w:spacing w:val="1"/>
        </w:rPr>
        <w:t> </w:t>
      </w:r>
      <w:r>
        <w:rPr/>
        <w:t>implementation of HCH in practices. Evaluation of changes in hospitalisation rates may be</w:t>
      </w:r>
      <w:r>
        <w:rPr>
          <w:spacing w:val="1"/>
        </w:rPr>
        <w:t> </w:t>
      </w:r>
      <w:r>
        <w:rPr/>
        <w:t>further</w:t>
      </w:r>
      <w:r>
        <w:rPr>
          <w:spacing w:val="-3"/>
        </w:rPr>
        <w:t> </w:t>
      </w:r>
      <w:r>
        <w:rPr/>
        <w:t>exacerbated</w:t>
      </w:r>
      <w:r>
        <w:rPr>
          <w:spacing w:val="-3"/>
        </w:rPr>
        <w:t> </w:t>
      </w:r>
      <w:r>
        <w:rPr/>
        <w:t>by</w:t>
      </w:r>
      <w:r>
        <w:rPr>
          <w:spacing w:val="-3"/>
        </w:rPr>
        <w:t> </w:t>
      </w:r>
      <w:r>
        <w:rPr/>
        <w:t>delays</w:t>
      </w:r>
      <w:r>
        <w:rPr>
          <w:spacing w:val="-1"/>
        </w:rPr>
        <w:t> </w:t>
      </w:r>
      <w:r>
        <w:rPr/>
        <w:t>in</w:t>
      </w:r>
      <w:r>
        <w:rPr>
          <w:spacing w:val="-1"/>
        </w:rPr>
        <w:t> </w:t>
      </w:r>
      <w:r>
        <w:rPr/>
        <w:t>the</w:t>
      </w:r>
      <w:r>
        <w:rPr>
          <w:spacing w:val="-3"/>
        </w:rPr>
        <w:t> </w:t>
      </w:r>
      <w:r>
        <w:rPr/>
        <w:t>receipt</w:t>
      </w:r>
      <w:r>
        <w:rPr>
          <w:spacing w:val="-1"/>
        </w:rPr>
        <w:t> </w:t>
      </w:r>
      <w:r>
        <w:rPr/>
        <w:t>of</w:t>
      </w:r>
      <w:r>
        <w:rPr>
          <w:spacing w:val="-2"/>
        </w:rPr>
        <w:t> </w:t>
      </w:r>
      <w:r>
        <w:rPr/>
        <w:t>linked</w:t>
      </w:r>
      <w:r>
        <w:rPr>
          <w:spacing w:val="-3"/>
        </w:rPr>
        <w:t> </w:t>
      </w:r>
      <w:r>
        <w:rPr/>
        <w:t>hospital</w:t>
      </w:r>
      <w:r>
        <w:rPr>
          <w:spacing w:val="-1"/>
        </w:rPr>
        <w:t> </w:t>
      </w:r>
      <w:r>
        <w:rPr/>
        <w:t>and</w:t>
      </w:r>
      <w:r>
        <w:rPr>
          <w:spacing w:val="-3"/>
        </w:rPr>
        <w:t> </w:t>
      </w:r>
      <w:r>
        <w:rPr/>
        <w:t>MBS/PBS</w:t>
      </w:r>
      <w:r>
        <w:rPr>
          <w:spacing w:val="-2"/>
        </w:rPr>
        <w:t> </w:t>
      </w:r>
      <w:r>
        <w:rPr/>
        <w:t>data</w:t>
      </w:r>
      <w:r>
        <w:rPr>
          <w:spacing w:val="-2"/>
        </w:rPr>
        <w:t> </w:t>
      </w:r>
      <w:r>
        <w:rPr/>
        <w:t>sets. To</w:t>
      </w:r>
    </w:p>
    <w:p>
      <w:pPr>
        <w:spacing w:after="0" w:line="276" w:lineRule="auto"/>
        <w:sectPr>
          <w:pgSz w:w="11910" w:h="16840"/>
          <w:pgMar w:header="0" w:footer="675" w:top="1340" w:bottom="860" w:left="580" w:right="280"/>
        </w:sectPr>
      </w:pPr>
    </w:p>
    <w:p>
      <w:pPr>
        <w:pStyle w:val="BodyText"/>
        <w:spacing w:line="276" w:lineRule="auto" w:before="82"/>
        <w:ind w:left="860" w:right="1154"/>
      </w:pPr>
      <w:r>
        <w:rPr/>
        <w:t>address</w:t>
      </w:r>
      <w:r>
        <w:rPr>
          <w:spacing w:val="-4"/>
        </w:rPr>
        <w:t> </w:t>
      </w:r>
      <w:r>
        <w:rPr/>
        <w:t>these</w:t>
      </w:r>
      <w:r>
        <w:rPr>
          <w:spacing w:val="-4"/>
        </w:rPr>
        <w:t> </w:t>
      </w:r>
      <w:r>
        <w:rPr/>
        <w:t>concerns</w:t>
      </w:r>
      <w:r>
        <w:rPr>
          <w:spacing w:val="-1"/>
        </w:rPr>
        <w:t> </w:t>
      </w:r>
      <w:r>
        <w:rPr/>
        <w:t>many</w:t>
      </w:r>
      <w:r>
        <w:rPr>
          <w:spacing w:val="-5"/>
        </w:rPr>
        <w:t> </w:t>
      </w:r>
      <w:r>
        <w:rPr/>
        <w:t>of</w:t>
      </w:r>
      <w:r>
        <w:rPr>
          <w:spacing w:val="-3"/>
        </w:rPr>
        <w:t> </w:t>
      </w:r>
      <w:r>
        <w:rPr/>
        <w:t>the</w:t>
      </w:r>
      <w:r>
        <w:rPr>
          <w:spacing w:val="-4"/>
        </w:rPr>
        <w:t> </w:t>
      </w:r>
      <w:r>
        <w:rPr/>
        <w:t>measures</w:t>
      </w:r>
      <w:r>
        <w:rPr>
          <w:spacing w:val="-3"/>
        </w:rPr>
        <w:t> </w:t>
      </w:r>
      <w:r>
        <w:rPr/>
        <w:t>identified</w:t>
      </w:r>
      <w:r>
        <w:rPr>
          <w:spacing w:val="-4"/>
        </w:rPr>
        <w:t> </w:t>
      </w:r>
      <w:r>
        <w:rPr/>
        <w:t>for</w:t>
      </w:r>
      <w:r>
        <w:rPr>
          <w:spacing w:val="-3"/>
        </w:rPr>
        <w:t> </w:t>
      </w:r>
      <w:r>
        <w:rPr/>
        <w:t>the</w:t>
      </w:r>
      <w:r>
        <w:rPr>
          <w:spacing w:val="-4"/>
        </w:rPr>
        <w:t> </w:t>
      </w:r>
      <w:r>
        <w:rPr/>
        <w:t>evaluation</w:t>
      </w:r>
      <w:r>
        <w:rPr>
          <w:spacing w:val="-2"/>
        </w:rPr>
        <w:t> </w:t>
      </w:r>
      <w:r>
        <w:rPr/>
        <w:t>include</w:t>
      </w:r>
      <w:r>
        <w:rPr>
          <w:spacing w:val="-4"/>
        </w:rPr>
        <w:t> </w:t>
      </w:r>
      <w:r>
        <w:rPr/>
        <w:t>measures</w:t>
      </w:r>
      <w:r>
        <w:rPr>
          <w:spacing w:val="-52"/>
        </w:rPr>
        <w:t> </w:t>
      </w:r>
      <w:r>
        <w:rPr/>
        <w:t>that are theorised to be antecedents of the intended outcomes, for example, changes in</w:t>
      </w:r>
      <w:r>
        <w:rPr>
          <w:spacing w:val="1"/>
        </w:rPr>
        <w:t> </w:t>
      </w:r>
      <w:r>
        <w:rPr/>
        <w:t>clinical processes related to chronic disease care and patient assessments of primary care</w:t>
      </w:r>
      <w:r>
        <w:rPr>
          <w:spacing w:val="1"/>
        </w:rPr>
        <w:t> </w:t>
      </w:r>
      <w:r>
        <w:rPr/>
        <w:t>and self-efficacy. Also, infrastructure has been established that will enable the longer-term</w:t>
      </w:r>
      <w:r>
        <w:rPr>
          <w:spacing w:val="1"/>
        </w:rPr>
        <w:t> </w:t>
      </w:r>
      <w:r>
        <w:rPr/>
        <w:t>outcomes</w:t>
      </w:r>
      <w:r>
        <w:rPr>
          <w:spacing w:val="-2"/>
        </w:rPr>
        <w:t> </w:t>
      </w:r>
      <w:r>
        <w:rPr/>
        <w:t>to</w:t>
      </w:r>
      <w:r>
        <w:rPr>
          <w:spacing w:val="-1"/>
        </w:rPr>
        <w:t> </w:t>
      </w:r>
      <w:r>
        <w:rPr/>
        <w:t>be</w:t>
      </w:r>
      <w:r>
        <w:rPr>
          <w:spacing w:val="-2"/>
        </w:rPr>
        <w:t> </w:t>
      </w:r>
      <w:r>
        <w:rPr/>
        <w:t>assessed</w:t>
      </w:r>
      <w:r>
        <w:rPr>
          <w:spacing w:val="2"/>
        </w:rPr>
        <w:t> </w:t>
      </w:r>
      <w:r>
        <w:rPr/>
        <w:t>should</w:t>
      </w:r>
      <w:r>
        <w:rPr>
          <w:spacing w:val="-2"/>
        </w:rPr>
        <w:t> </w:t>
      </w:r>
      <w:r>
        <w:rPr/>
        <w:t>the</w:t>
      </w:r>
      <w:r>
        <w:rPr>
          <w:spacing w:val="3"/>
        </w:rPr>
        <w:t> </w:t>
      </w:r>
      <w:r>
        <w:rPr/>
        <w:t>program be</w:t>
      </w:r>
      <w:r>
        <w:rPr>
          <w:spacing w:val="3"/>
        </w:rPr>
        <w:t> </w:t>
      </w:r>
      <w:r>
        <w:rPr/>
        <w:t>extended.</w:t>
      </w:r>
    </w:p>
    <w:p>
      <w:pPr>
        <w:pStyle w:val="BodyText"/>
        <w:spacing w:before="5"/>
        <w:rPr>
          <w:sz w:val="19"/>
        </w:rPr>
      </w:pPr>
    </w:p>
    <w:p>
      <w:pPr>
        <w:pStyle w:val="Heading2"/>
        <w:spacing w:line="276" w:lineRule="auto"/>
        <w:ind w:right="2286"/>
      </w:pPr>
      <w:bookmarkStart w:name="_bookmark68" w:id="69"/>
      <w:bookmarkEnd w:id="69"/>
      <w:r>
        <w:rPr/>
      </w:r>
      <w:r>
        <w:rPr>
          <w:color w:val="003C79"/>
        </w:rPr>
        <w:t>Heterogeneity in the implementation of HCH within</w:t>
      </w:r>
      <w:r>
        <w:rPr>
          <w:color w:val="003C79"/>
          <w:spacing w:val="-86"/>
        </w:rPr>
        <w:t> </w:t>
      </w:r>
      <w:r>
        <w:rPr>
          <w:color w:val="003C79"/>
        </w:rPr>
        <w:t>practices</w:t>
      </w:r>
    </w:p>
    <w:p>
      <w:pPr>
        <w:pStyle w:val="BodyText"/>
        <w:spacing w:line="276" w:lineRule="auto" w:before="203"/>
        <w:ind w:left="860" w:right="1206"/>
      </w:pPr>
      <w:r>
        <w:rPr/>
        <w:t>The HCH program involves a range of processes (such as risk stratification, patient enrolment,</w:t>
      </w:r>
      <w:r>
        <w:rPr>
          <w:spacing w:val="-53"/>
        </w:rPr>
        <w:t> </w:t>
      </w:r>
      <w:r>
        <w:rPr/>
        <w:t>shared care planning, bundled patient, practice facilitation and education). However, how</w:t>
      </w:r>
      <w:r>
        <w:rPr>
          <w:spacing w:val="1"/>
        </w:rPr>
        <w:t> </w:t>
      </w:r>
      <w:r>
        <w:rPr/>
        <w:t>a practice responds to these changes has not prescribed</w:t>
      </w:r>
      <w:r>
        <w:rPr>
          <w:rFonts w:ascii="Symbol" w:hAnsi="Symbol"/>
        </w:rPr>
        <w:t></w:t>
      </w:r>
      <w:r>
        <w:rPr/>
        <w:t>there is no HCH `model of care’.</w:t>
      </w:r>
      <w:r>
        <w:rPr>
          <w:spacing w:val="1"/>
        </w:rPr>
        <w:t> </w:t>
      </w:r>
      <w:r>
        <w:rPr/>
        <w:t>Further,</w:t>
      </w:r>
      <w:r>
        <w:rPr>
          <w:spacing w:val="-6"/>
        </w:rPr>
        <w:t> </w:t>
      </w:r>
      <w:r>
        <w:rPr/>
        <w:t>there</w:t>
      </w:r>
      <w:r>
        <w:rPr>
          <w:spacing w:val="-3"/>
        </w:rPr>
        <w:t> </w:t>
      </w:r>
      <w:r>
        <w:rPr/>
        <w:t>are</w:t>
      </w:r>
      <w:r>
        <w:rPr>
          <w:spacing w:val="-3"/>
        </w:rPr>
        <w:t> </w:t>
      </w:r>
      <w:r>
        <w:rPr/>
        <w:t>differences</w:t>
      </w:r>
      <w:r>
        <w:rPr>
          <w:spacing w:val="-3"/>
        </w:rPr>
        <w:t> </w:t>
      </w:r>
      <w:r>
        <w:rPr/>
        <w:t>between</w:t>
      </w:r>
      <w:r>
        <w:rPr>
          <w:spacing w:val="-3"/>
        </w:rPr>
        <w:t> </w:t>
      </w:r>
      <w:r>
        <w:rPr/>
        <w:t>practices,</w:t>
      </w:r>
      <w:r>
        <w:rPr>
          <w:spacing w:val="-5"/>
        </w:rPr>
        <w:t> </w:t>
      </w:r>
      <w:r>
        <w:rPr/>
        <w:t>beyond</w:t>
      </w:r>
      <w:r>
        <w:rPr>
          <w:spacing w:val="-3"/>
        </w:rPr>
        <w:t> </w:t>
      </w:r>
      <w:r>
        <w:rPr/>
        <w:t>the</w:t>
      </w:r>
      <w:r>
        <w:rPr>
          <w:spacing w:val="-3"/>
        </w:rPr>
        <w:t> </w:t>
      </w:r>
      <w:r>
        <w:rPr/>
        <w:t>strata</w:t>
      </w:r>
      <w:r>
        <w:rPr>
          <w:spacing w:val="-3"/>
        </w:rPr>
        <w:t> </w:t>
      </w:r>
      <w:r>
        <w:rPr/>
        <w:t>identified</w:t>
      </w:r>
      <w:r>
        <w:rPr>
          <w:spacing w:val="-3"/>
        </w:rPr>
        <w:t> </w:t>
      </w:r>
      <w:r>
        <w:rPr/>
        <w:t>for</w:t>
      </w:r>
      <w:r>
        <w:rPr>
          <w:spacing w:val="-3"/>
        </w:rPr>
        <w:t> </w:t>
      </w:r>
      <w:r>
        <w:rPr/>
        <w:t>the</w:t>
      </w:r>
      <w:r>
        <w:rPr>
          <w:spacing w:val="-4"/>
        </w:rPr>
        <w:t> </w:t>
      </w:r>
      <w:r>
        <w:rPr/>
        <w:t>study</w:t>
      </w:r>
      <w:r>
        <w:rPr>
          <w:spacing w:val="-3"/>
        </w:rPr>
        <w:t> </w:t>
      </w:r>
      <w:r>
        <w:rPr/>
        <w:t>in</w:t>
      </w:r>
      <w:r>
        <w:rPr>
          <w:spacing w:val="-52"/>
        </w:rPr>
        <w:t> </w:t>
      </w:r>
      <w:r>
        <w:rPr/>
        <w:t>how implementation occurs. For example, in some practices all GPs are participating in the</w:t>
      </w:r>
      <w:r>
        <w:rPr>
          <w:spacing w:val="1"/>
        </w:rPr>
        <w:t> </w:t>
      </w:r>
      <w:r>
        <w:rPr/>
        <w:t>program and enrolling patients. In others, only some GPs are participating. Some practices</w:t>
      </w:r>
      <w:r>
        <w:rPr>
          <w:spacing w:val="1"/>
        </w:rPr>
        <w:t> </w:t>
      </w:r>
      <w:r>
        <w:rPr/>
        <w:t>are focussing on patients with specific chronic conditions. Others have enrolled a diverse</w:t>
      </w:r>
      <w:r>
        <w:rPr>
          <w:spacing w:val="1"/>
        </w:rPr>
        <w:t> </w:t>
      </w:r>
      <w:r>
        <w:rPr/>
        <w:t>range of patients. Some have many patients enrolled and others only a few. The variety of</w:t>
      </w:r>
      <w:r>
        <w:rPr>
          <w:spacing w:val="1"/>
        </w:rPr>
        <w:t> </w:t>
      </w:r>
      <w:r>
        <w:rPr/>
        <w:t>responses to the program by practices will be one focus of the evaluation. However, the</w:t>
      </w:r>
      <w:r>
        <w:rPr>
          <w:spacing w:val="1"/>
        </w:rPr>
        <w:t> </w:t>
      </w:r>
      <w:r>
        <w:rPr/>
        <w:t>heterogeneity may impact the change in other outcomes assessed. To address these issues,</w:t>
      </w:r>
      <w:r>
        <w:rPr>
          <w:spacing w:val="1"/>
        </w:rPr>
        <w:t> </w:t>
      </w:r>
      <w:r>
        <w:rPr/>
        <w:t>the evaluators will attempt to categorise/quantify difference between practices and control</w:t>
      </w:r>
      <w:r>
        <w:rPr>
          <w:spacing w:val="-53"/>
        </w:rPr>
        <w:t> </w:t>
      </w:r>
      <w:r>
        <w:rPr/>
        <w:t>for</w:t>
      </w:r>
      <w:r>
        <w:rPr>
          <w:spacing w:val="-2"/>
        </w:rPr>
        <w:t> </w:t>
      </w:r>
      <w:r>
        <w:rPr/>
        <w:t>these</w:t>
      </w:r>
      <w:r>
        <w:rPr>
          <w:spacing w:val="-1"/>
        </w:rPr>
        <w:t> </w:t>
      </w:r>
      <w:r>
        <w:rPr/>
        <w:t>in the</w:t>
      </w:r>
      <w:r>
        <w:rPr>
          <w:spacing w:val="-1"/>
        </w:rPr>
        <w:t> </w:t>
      </w:r>
      <w:r>
        <w:rPr/>
        <w:t>analysis.</w:t>
      </w:r>
    </w:p>
    <w:p>
      <w:pPr>
        <w:pStyle w:val="BodyText"/>
        <w:spacing w:before="6"/>
        <w:rPr>
          <w:sz w:val="19"/>
        </w:rPr>
      </w:pPr>
    </w:p>
    <w:p>
      <w:pPr>
        <w:pStyle w:val="Heading2"/>
        <w:spacing w:before="1"/>
      </w:pPr>
      <w:bookmarkStart w:name="_bookmark69" w:id="70"/>
      <w:bookmarkEnd w:id="70"/>
      <w:r>
        <w:rPr/>
      </w:r>
      <w:r>
        <w:rPr>
          <w:color w:val="003C79"/>
        </w:rPr>
        <w:t>Quality</w:t>
      </w:r>
      <w:r>
        <w:rPr>
          <w:color w:val="003C79"/>
          <w:spacing w:val="-3"/>
        </w:rPr>
        <w:t> </w:t>
      </w:r>
      <w:r>
        <w:rPr>
          <w:color w:val="003C79"/>
        </w:rPr>
        <w:t>and</w:t>
      </w:r>
      <w:r>
        <w:rPr>
          <w:color w:val="003C79"/>
          <w:spacing w:val="-5"/>
        </w:rPr>
        <w:t> </w:t>
      </w:r>
      <w:r>
        <w:rPr>
          <w:color w:val="003C79"/>
        </w:rPr>
        <w:t>consistency</w:t>
      </w:r>
      <w:r>
        <w:rPr>
          <w:color w:val="003C79"/>
          <w:spacing w:val="-4"/>
        </w:rPr>
        <w:t> </w:t>
      </w:r>
      <w:r>
        <w:rPr>
          <w:color w:val="003C79"/>
        </w:rPr>
        <w:t>of</w:t>
      </w:r>
      <w:r>
        <w:rPr>
          <w:color w:val="003C79"/>
          <w:spacing w:val="-3"/>
        </w:rPr>
        <w:t> </w:t>
      </w:r>
      <w:r>
        <w:rPr>
          <w:color w:val="003C79"/>
        </w:rPr>
        <w:t>practice</w:t>
      </w:r>
      <w:r>
        <w:rPr>
          <w:color w:val="003C79"/>
          <w:spacing w:val="-6"/>
        </w:rPr>
        <w:t> </w:t>
      </w:r>
      <w:r>
        <w:rPr>
          <w:color w:val="003C79"/>
        </w:rPr>
        <w:t>data</w:t>
      </w:r>
      <w:r>
        <w:rPr>
          <w:color w:val="003C79"/>
          <w:spacing w:val="-4"/>
        </w:rPr>
        <w:t> </w:t>
      </w:r>
      <w:r>
        <w:rPr>
          <w:color w:val="003C79"/>
        </w:rPr>
        <w:t>extracts</w:t>
      </w:r>
    </w:p>
    <w:p>
      <w:pPr>
        <w:pStyle w:val="BodyText"/>
        <w:spacing w:line="276" w:lineRule="auto" w:before="259"/>
        <w:ind w:left="860" w:right="1166"/>
      </w:pPr>
      <w:r>
        <w:rPr/>
        <w:t>The evaluation will rely on extracts of data from practice clinical management systems. There</w:t>
      </w:r>
      <w:r>
        <w:rPr>
          <w:spacing w:val="-53"/>
        </w:rPr>
        <w:t> </w:t>
      </w:r>
      <w:r>
        <w:rPr/>
        <w:t>are several practice management systems implemented across the HCH practices. In</w:t>
      </w:r>
      <w:r>
        <w:rPr>
          <w:spacing w:val="1"/>
        </w:rPr>
        <w:t> </w:t>
      </w:r>
      <w:r>
        <w:rPr/>
        <w:t>addition, the extracts will be provided through several extraction mechanisms. It is likely that</w:t>
      </w:r>
      <w:r>
        <w:rPr>
          <w:spacing w:val="1"/>
        </w:rPr>
        <w:t> </w:t>
      </w:r>
      <w:r>
        <w:rPr/>
        <w:t>extracted</w:t>
      </w:r>
      <w:r>
        <w:rPr>
          <w:spacing w:val="3"/>
        </w:rPr>
        <w:t> </w:t>
      </w:r>
      <w:r>
        <w:rPr/>
        <w:t>data</w:t>
      </w:r>
      <w:r>
        <w:rPr>
          <w:spacing w:val="2"/>
        </w:rPr>
        <w:t> </w:t>
      </w:r>
      <w:r>
        <w:rPr/>
        <w:t>will</w:t>
      </w:r>
      <w:r>
        <w:rPr>
          <w:spacing w:val="4"/>
        </w:rPr>
        <w:t> </w:t>
      </w:r>
      <w:r>
        <w:rPr/>
        <w:t>vary</w:t>
      </w:r>
      <w:r>
        <w:rPr>
          <w:spacing w:val="2"/>
        </w:rPr>
        <w:t> </w:t>
      </w:r>
      <w:r>
        <w:rPr/>
        <w:t>in</w:t>
      </w:r>
      <w:r>
        <w:rPr>
          <w:spacing w:val="4"/>
        </w:rPr>
        <w:t> </w:t>
      </w:r>
      <w:r>
        <w:rPr/>
        <w:t>quality,</w:t>
      </w:r>
      <w:r>
        <w:rPr>
          <w:spacing w:val="1"/>
        </w:rPr>
        <w:t> </w:t>
      </w:r>
      <w:r>
        <w:rPr/>
        <w:t>partly</w:t>
      </w:r>
      <w:r>
        <w:rPr>
          <w:spacing w:val="3"/>
        </w:rPr>
        <w:t> </w:t>
      </w:r>
      <w:r>
        <w:rPr/>
        <w:t>reflecting</w:t>
      </w:r>
      <w:r>
        <w:rPr>
          <w:spacing w:val="3"/>
        </w:rPr>
        <w:t> </w:t>
      </w:r>
      <w:r>
        <w:rPr/>
        <w:t>the</w:t>
      </w:r>
      <w:r>
        <w:rPr>
          <w:spacing w:val="3"/>
        </w:rPr>
        <w:t> </w:t>
      </w:r>
      <w:r>
        <w:rPr/>
        <w:t>quality</w:t>
      </w:r>
      <w:r>
        <w:rPr>
          <w:spacing w:val="2"/>
        </w:rPr>
        <w:t> </w:t>
      </w:r>
      <w:r>
        <w:rPr/>
        <w:t>of</w:t>
      </w:r>
      <w:r>
        <w:rPr>
          <w:spacing w:val="3"/>
        </w:rPr>
        <w:t> </w:t>
      </w:r>
      <w:r>
        <w:rPr/>
        <w:t>the</w:t>
      </w:r>
      <w:r>
        <w:rPr>
          <w:spacing w:val="3"/>
        </w:rPr>
        <w:t> </w:t>
      </w:r>
      <w:r>
        <w:rPr/>
        <w:t>underlying</w:t>
      </w:r>
      <w:r>
        <w:rPr>
          <w:spacing w:val="3"/>
        </w:rPr>
        <w:t> </w:t>
      </w:r>
      <w:r>
        <w:rPr/>
        <w:t>data</w:t>
      </w:r>
      <w:r>
        <w:rPr>
          <w:spacing w:val="5"/>
        </w:rPr>
        <w:t> </w:t>
      </w:r>
      <w:r>
        <w:rPr/>
        <w:t>but</w:t>
      </w:r>
      <w:r>
        <w:rPr>
          <w:spacing w:val="1"/>
        </w:rPr>
        <w:t> </w:t>
      </w:r>
      <w:r>
        <w:rPr/>
        <w:t>also, potentially, variations between practice clinical management systems and extraction</w:t>
      </w:r>
      <w:r>
        <w:rPr>
          <w:spacing w:val="1"/>
        </w:rPr>
        <w:t> </w:t>
      </w:r>
      <w:r>
        <w:rPr/>
        <w:t>mechanisms. As several of the measures identified for the study rely on these extracts, this</w:t>
      </w:r>
      <w:r>
        <w:rPr>
          <w:spacing w:val="1"/>
        </w:rPr>
        <w:t> </w:t>
      </w:r>
      <w:r>
        <w:rPr/>
        <w:t>may</w:t>
      </w:r>
      <w:r>
        <w:rPr>
          <w:spacing w:val="-5"/>
        </w:rPr>
        <w:t> </w:t>
      </w:r>
      <w:r>
        <w:rPr/>
        <w:t>impact</w:t>
      </w:r>
      <w:r>
        <w:rPr>
          <w:spacing w:val="-1"/>
        </w:rPr>
        <w:t> </w:t>
      </w:r>
      <w:r>
        <w:rPr/>
        <w:t>on</w:t>
      </w:r>
      <w:r>
        <w:rPr>
          <w:spacing w:val="-2"/>
        </w:rPr>
        <w:t> </w:t>
      </w:r>
      <w:r>
        <w:rPr/>
        <w:t>the</w:t>
      </w:r>
      <w:r>
        <w:rPr>
          <w:spacing w:val="-3"/>
        </w:rPr>
        <w:t> </w:t>
      </w:r>
      <w:r>
        <w:rPr/>
        <w:t>capacity</w:t>
      </w:r>
      <w:r>
        <w:rPr>
          <w:spacing w:val="-4"/>
        </w:rPr>
        <w:t> </w:t>
      </w:r>
      <w:r>
        <w:rPr/>
        <w:t>of</w:t>
      </w:r>
      <w:r>
        <w:rPr>
          <w:spacing w:val="-3"/>
        </w:rPr>
        <w:t> </w:t>
      </w:r>
      <w:r>
        <w:rPr/>
        <w:t>the</w:t>
      </w:r>
      <w:r>
        <w:rPr>
          <w:spacing w:val="-3"/>
        </w:rPr>
        <w:t> </w:t>
      </w:r>
      <w:r>
        <w:rPr/>
        <w:t>evaluation</w:t>
      </w:r>
      <w:r>
        <w:rPr>
          <w:spacing w:val="-2"/>
        </w:rPr>
        <w:t> </w:t>
      </w:r>
      <w:r>
        <w:rPr/>
        <w:t>to</w:t>
      </w:r>
      <w:r>
        <w:rPr>
          <w:spacing w:val="-6"/>
        </w:rPr>
        <w:t> </w:t>
      </w:r>
      <w:r>
        <w:rPr/>
        <w:t>draw</w:t>
      </w:r>
      <w:r>
        <w:rPr>
          <w:spacing w:val="-1"/>
        </w:rPr>
        <w:t> </w:t>
      </w:r>
      <w:r>
        <w:rPr/>
        <w:t>conclusions</w:t>
      </w:r>
      <w:r>
        <w:rPr>
          <w:spacing w:val="-3"/>
        </w:rPr>
        <w:t> </w:t>
      </w:r>
      <w:r>
        <w:rPr/>
        <w:t>about</w:t>
      </w:r>
      <w:r>
        <w:rPr>
          <w:spacing w:val="-1"/>
        </w:rPr>
        <w:t> </w:t>
      </w:r>
      <w:r>
        <w:rPr/>
        <w:t>these</w:t>
      </w:r>
      <w:r>
        <w:rPr>
          <w:spacing w:val="-3"/>
        </w:rPr>
        <w:t> </w:t>
      </w:r>
      <w:r>
        <w:rPr/>
        <w:t>measures.</w:t>
      </w:r>
    </w:p>
    <w:p>
      <w:pPr>
        <w:pStyle w:val="BodyText"/>
        <w:spacing w:line="276" w:lineRule="auto" w:before="1"/>
        <w:ind w:left="860" w:right="1176"/>
      </w:pPr>
      <w:r>
        <w:rPr/>
        <w:t>The approach taken to gathering these measures reflects from pragmatic decisions to utilise</w:t>
      </w:r>
      <w:r>
        <w:rPr>
          <w:spacing w:val="1"/>
        </w:rPr>
        <w:t> </w:t>
      </w:r>
      <w:r>
        <w:rPr/>
        <w:t>extraction processes already in place with the PHNs and the preferences of the group-based</w:t>
      </w:r>
      <w:r>
        <w:rPr>
          <w:spacing w:val="-53"/>
        </w:rPr>
        <w:t> </w:t>
      </w:r>
      <w:r>
        <w:rPr/>
        <w:t>practices (e.g. Aboriginal Community Controlled Health Services, corporate-based</w:t>
      </w:r>
      <w:r>
        <w:rPr>
          <w:spacing w:val="1"/>
        </w:rPr>
        <w:t> </w:t>
      </w:r>
      <w:r>
        <w:rPr/>
        <w:t>practices). There were other pragmatic conditions in using these data source. The key</w:t>
      </w:r>
      <w:r>
        <w:rPr>
          <w:spacing w:val="1"/>
        </w:rPr>
        <w:t> </w:t>
      </w:r>
      <w:r>
        <w:rPr/>
        <w:t>evaluation measures derived from these data reflect the National Key Performance</w:t>
      </w:r>
      <w:r>
        <w:rPr>
          <w:spacing w:val="1"/>
        </w:rPr>
        <w:t> </w:t>
      </w:r>
      <w:r>
        <w:rPr/>
        <w:t>Indicators (nKPIs) which are currently reported by Aboriginal Community Controlled Health</w:t>
      </w:r>
      <w:r>
        <w:rPr>
          <w:spacing w:val="1"/>
        </w:rPr>
        <w:t> </w:t>
      </w:r>
      <w:r>
        <w:rPr/>
        <w:t>Services and which may play a significant role in the Practice Incentive Program for general</w:t>
      </w:r>
      <w:r>
        <w:rPr>
          <w:spacing w:val="1"/>
        </w:rPr>
        <w:t> </w:t>
      </w:r>
      <w:r>
        <w:rPr/>
        <w:t>practice. Hence, amongst many services, there is a focus on ensuring the data underpinning</w:t>
      </w:r>
      <w:r>
        <w:rPr>
          <w:spacing w:val="-53"/>
        </w:rPr>
        <w:t> </w:t>
      </w:r>
      <w:r>
        <w:rPr/>
        <w:t>these</w:t>
      </w:r>
      <w:r>
        <w:rPr>
          <w:spacing w:val="-2"/>
        </w:rPr>
        <w:t> </w:t>
      </w:r>
      <w:r>
        <w:rPr/>
        <w:t>measures are</w:t>
      </w:r>
      <w:r>
        <w:rPr>
          <w:spacing w:val="2"/>
        </w:rPr>
        <w:t> </w:t>
      </w:r>
      <w:r>
        <w:rPr/>
        <w:t>of</w:t>
      </w:r>
      <w:r>
        <w:rPr>
          <w:spacing w:val="-1"/>
        </w:rPr>
        <w:t> </w:t>
      </w:r>
      <w:r>
        <w:rPr/>
        <w:t>reasonable</w:t>
      </w:r>
      <w:r>
        <w:rPr>
          <w:spacing w:val="-2"/>
        </w:rPr>
        <w:t> </w:t>
      </w:r>
      <w:r>
        <w:rPr/>
        <w:t>quality.</w:t>
      </w:r>
    </w:p>
    <w:p>
      <w:pPr>
        <w:spacing w:after="0" w:line="276" w:lineRule="auto"/>
        <w:sectPr>
          <w:pgSz w:w="11910" w:h="16840"/>
          <w:pgMar w:header="0" w:footer="675" w:top="1340" w:bottom="860" w:left="580" w:right="280"/>
        </w:sectPr>
      </w:pPr>
    </w:p>
    <w:p>
      <w:pPr>
        <w:pStyle w:val="Heading2"/>
        <w:spacing w:before="81"/>
      </w:pPr>
      <w:bookmarkStart w:name="_bookmark70" w:id="71"/>
      <w:bookmarkEnd w:id="71"/>
      <w:r>
        <w:rPr/>
      </w:r>
      <w:r>
        <w:rPr>
          <w:color w:val="003C79"/>
        </w:rPr>
        <w:t>Delays</w:t>
      </w:r>
      <w:r>
        <w:rPr>
          <w:color w:val="003C79"/>
          <w:spacing w:val="-5"/>
        </w:rPr>
        <w:t> </w:t>
      </w:r>
      <w:r>
        <w:rPr>
          <w:color w:val="003C79"/>
        </w:rPr>
        <w:t>in</w:t>
      </w:r>
      <w:r>
        <w:rPr>
          <w:color w:val="003C79"/>
          <w:spacing w:val="-6"/>
        </w:rPr>
        <w:t> </w:t>
      </w:r>
      <w:r>
        <w:rPr>
          <w:color w:val="003C79"/>
        </w:rPr>
        <w:t>obtaining</w:t>
      </w:r>
      <w:r>
        <w:rPr>
          <w:color w:val="003C79"/>
          <w:spacing w:val="-4"/>
        </w:rPr>
        <w:t> </w:t>
      </w:r>
      <w:r>
        <w:rPr>
          <w:color w:val="003C79"/>
        </w:rPr>
        <w:t>secondary</w:t>
      </w:r>
      <w:r>
        <w:rPr>
          <w:color w:val="003C79"/>
          <w:spacing w:val="-3"/>
        </w:rPr>
        <w:t> </w:t>
      </w:r>
      <w:r>
        <w:rPr>
          <w:color w:val="003C79"/>
        </w:rPr>
        <w:t>data</w:t>
      </w:r>
    </w:p>
    <w:p>
      <w:pPr>
        <w:pStyle w:val="BodyText"/>
        <w:spacing w:line="276" w:lineRule="auto" w:before="259"/>
        <w:ind w:left="860" w:right="1403"/>
      </w:pPr>
      <w:r>
        <w:rPr/>
        <w:t>For secondary data, the evaluators will rely on a range of agencies to supply data. Most of</w:t>
      </w:r>
      <w:r>
        <w:rPr>
          <w:spacing w:val="-54"/>
        </w:rPr>
        <w:t> </w:t>
      </w:r>
      <w:r>
        <w:rPr/>
        <w:t>these agencies (e.g. the Department of Human Services, Department of Health and</w:t>
      </w:r>
      <w:r>
        <w:rPr>
          <w:spacing w:val="1"/>
        </w:rPr>
        <w:t> </w:t>
      </w:r>
      <w:r>
        <w:rPr/>
        <w:t>Australian Institute of Health and Welfare) are experienced with similar processes and in</w:t>
      </w:r>
      <w:r>
        <w:rPr>
          <w:spacing w:val="1"/>
        </w:rPr>
        <w:t> </w:t>
      </w:r>
      <w:r>
        <w:rPr/>
        <w:t>general, delays are not expected. However, some aspects of the data, specifically the</w:t>
      </w:r>
      <w:r>
        <w:rPr>
          <w:spacing w:val="1"/>
        </w:rPr>
        <w:t> </w:t>
      </w:r>
      <w:r>
        <w:rPr/>
        <w:t>linkage of MBS, PBS and hospital data may be delayed. Other sources (practice extracts,</w:t>
      </w:r>
      <w:r>
        <w:rPr>
          <w:spacing w:val="1"/>
        </w:rPr>
        <w:t> </w:t>
      </w:r>
      <w:r>
        <w:rPr/>
        <w:t>practice surveys) depend on the cooperation of a wide range of individuals and</w:t>
      </w:r>
      <w:r>
        <w:rPr>
          <w:spacing w:val="1"/>
        </w:rPr>
        <w:t> </w:t>
      </w:r>
      <w:r>
        <w:rPr/>
        <w:t>organisations. Delays in receipt of data may push out the time fame within which the</w:t>
      </w:r>
      <w:r>
        <w:rPr>
          <w:spacing w:val="1"/>
        </w:rPr>
        <w:t> </w:t>
      </w:r>
      <w:r>
        <w:rPr/>
        <w:t>evaluation reports</w:t>
      </w:r>
      <w:r>
        <w:rPr>
          <w:spacing w:val="-1"/>
        </w:rPr>
        <w:t> </w:t>
      </w:r>
      <w:r>
        <w:rPr/>
        <w:t>are</w:t>
      </w:r>
      <w:r>
        <w:rPr>
          <w:spacing w:val="-1"/>
        </w:rPr>
        <w:t> </w:t>
      </w:r>
      <w:r>
        <w:rPr/>
        <w:t>delivered.</w:t>
      </w:r>
    </w:p>
    <w:p>
      <w:pPr>
        <w:pStyle w:val="BodyText"/>
        <w:spacing w:before="7"/>
        <w:rPr>
          <w:sz w:val="19"/>
        </w:rPr>
      </w:pPr>
    </w:p>
    <w:p>
      <w:pPr>
        <w:pStyle w:val="Heading2"/>
      </w:pPr>
      <w:bookmarkStart w:name="_bookmark71" w:id="72"/>
      <w:bookmarkEnd w:id="72"/>
      <w:r>
        <w:rPr/>
      </w:r>
      <w:r>
        <w:rPr>
          <w:color w:val="003C79"/>
        </w:rPr>
        <w:t>Non-responses</w:t>
      </w:r>
      <w:r>
        <w:rPr>
          <w:color w:val="003C79"/>
          <w:spacing w:val="-3"/>
        </w:rPr>
        <w:t> </w:t>
      </w:r>
      <w:r>
        <w:rPr>
          <w:color w:val="003C79"/>
        </w:rPr>
        <w:t>to</w:t>
      </w:r>
      <w:r>
        <w:rPr>
          <w:color w:val="003C79"/>
          <w:spacing w:val="-5"/>
        </w:rPr>
        <w:t> </w:t>
      </w:r>
      <w:r>
        <w:rPr>
          <w:color w:val="003C79"/>
        </w:rPr>
        <w:t>surveys</w:t>
      </w:r>
    </w:p>
    <w:p>
      <w:pPr>
        <w:pStyle w:val="BodyText"/>
        <w:spacing w:line="276" w:lineRule="auto" w:before="261"/>
        <w:ind w:left="860" w:right="1313"/>
      </w:pPr>
      <w:r>
        <w:rPr/>
        <w:t>Practices</w:t>
      </w:r>
      <w:r>
        <w:rPr>
          <w:spacing w:val="-4"/>
        </w:rPr>
        <w:t> </w:t>
      </w:r>
      <w:r>
        <w:rPr/>
        <w:t>and</w:t>
      </w:r>
      <w:r>
        <w:rPr>
          <w:spacing w:val="-3"/>
        </w:rPr>
        <w:t> </w:t>
      </w:r>
      <w:r>
        <w:rPr/>
        <w:t>practice</w:t>
      </w:r>
      <w:r>
        <w:rPr>
          <w:spacing w:val="-3"/>
        </w:rPr>
        <w:t> </w:t>
      </w:r>
      <w:r>
        <w:rPr/>
        <w:t>staff</w:t>
      </w:r>
      <w:r>
        <w:rPr>
          <w:spacing w:val="-3"/>
        </w:rPr>
        <w:t> </w:t>
      </w:r>
      <w:r>
        <w:rPr/>
        <w:t>may</w:t>
      </w:r>
      <w:r>
        <w:rPr>
          <w:spacing w:val="-4"/>
        </w:rPr>
        <w:t> </w:t>
      </w:r>
      <w:r>
        <w:rPr/>
        <w:t>not</w:t>
      </w:r>
      <w:r>
        <w:rPr>
          <w:spacing w:val="-1"/>
        </w:rPr>
        <w:t> </w:t>
      </w:r>
      <w:r>
        <w:rPr/>
        <w:t>respond</w:t>
      </w:r>
      <w:r>
        <w:rPr>
          <w:spacing w:val="-3"/>
        </w:rPr>
        <w:t> </w:t>
      </w:r>
      <w:r>
        <w:rPr/>
        <w:t>to</w:t>
      </w:r>
      <w:r>
        <w:rPr>
          <w:spacing w:val="-3"/>
        </w:rPr>
        <w:t> </w:t>
      </w:r>
      <w:r>
        <w:rPr/>
        <w:t>evaluation</w:t>
      </w:r>
      <w:r>
        <w:rPr>
          <w:spacing w:val="-3"/>
        </w:rPr>
        <w:t> </w:t>
      </w:r>
      <w:r>
        <w:rPr/>
        <w:t>surveys.</w:t>
      </w:r>
      <w:r>
        <w:rPr>
          <w:spacing w:val="-5"/>
        </w:rPr>
        <w:t> </w:t>
      </w:r>
      <w:r>
        <w:rPr/>
        <w:t>In</w:t>
      </w:r>
      <w:r>
        <w:rPr>
          <w:spacing w:val="-2"/>
        </w:rPr>
        <w:t> </w:t>
      </w:r>
      <w:r>
        <w:rPr/>
        <w:t>addition,</w:t>
      </w:r>
      <w:r>
        <w:rPr>
          <w:spacing w:val="-5"/>
        </w:rPr>
        <w:t> </w:t>
      </w:r>
      <w:r>
        <w:rPr/>
        <w:t>there</w:t>
      </w:r>
      <w:r>
        <w:rPr>
          <w:spacing w:val="-3"/>
        </w:rPr>
        <w:t> </w:t>
      </w:r>
      <w:r>
        <w:rPr/>
        <w:t>may</w:t>
      </w:r>
      <w:r>
        <w:rPr>
          <w:spacing w:val="-52"/>
        </w:rPr>
        <w:t> </w:t>
      </w:r>
      <w:r>
        <w:rPr/>
        <w:t>be missing responses to some question. The processes to address late responses to surveys</w:t>
      </w:r>
      <w:r>
        <w:rPr>
          <w:spacing w:val="1"/>
        </w:rPr>
        <w:t> </w:t>
      </w:r>
      <w:r>
        <w:rPr/>
        <w:t>are discussed in the Data quality control Chapter (page </w:t>
      </w:r>
      <w:hyperlink w:history="true" w:anchor="_bookmark56">
        <w:r>
          <w:rPr/>
          <w:t>64</w:t>
        </w:r>
      </w:hyperlink>
      <w:r>
        <w:rPr/>
        <w:t>). However, ultimately some</w:t>
      </w:r>
      <w:r>
        <w:rPr>
          <w:spacing w:val="1"/>
        </w:rPr>
        <w:t> </w:t>
      </w:r>
      <w:r>
        <w:rPr/>
        <w:t>practices may not respond to one or more of the surveys. In this case, the evaluators will</w:t>
      </w:r>
      <w:r>
        <w:rPr>
          <w:spacing w:val="1"/>
        </w:rPr>
        <w:t> </w:t>
      </w:r>
      <w:r>
        <w:rPr/>
        <w:t>consider</w:t>
      </w:r>
      <w:r>
        <w:rPr>
          <w:spacing w:val="-2"/>
        </w:rPr>
        <w:t> </w:t>
      </w:r>
      <w:r>
        <w:rPr/>
        <w:t>methods</w:t>
      </w:r>
      <w:r>
        <w:rPr>
          <w:spacing w:val="-1"/>
        </w:rPr>
        <w:t> </w:t>
      </w:r>
      <w:r>
        <w:rPr/>
        <w:t>for</w:t>
      </w:r>
      <w:r>
        <w:rPr>
          <w:spacing w:val="-2"/>
        </w:rPr>
        <w:t> </w:t>
      </w:r>
      <w:r>
        <w:rPr/>
        <w:t>imputing</w:t>
      </w:r>
      <w:r>
        <w:rPr>
          <w:spacing w:val="-1"/>
        </w:rPr>
        <w:t> </w:t>
      </w:r>
      <w:r>
        <w:rPr/>
        <w:t>values</w:t>
      </w:r>
      <w:r>
        <w:rPr>
          <w:spacing w:val="-2"/>
        </w:rPr>
        <w:t> </w:t>
      </w:r>
      <w:r>
        <w:rPr/>
        <w:t>for</w:t>
      </w:r>
      <w:r>
        <w:rPr>
          <w:spacing w:val="-1"/>
        </w:rPr>
        <w:t> </w:t>
      </w:r>
      <w:r>
        <w:rPr/>
        <w:t>relevant covariates.</w:t>
      </w:r>
    </w:p>
    <w:p>
      <w:pPr>
        <w:spacing w:after="0" w:line="276" w:lineRule="auto"/>
        <w:sectPr>
          <w:pgSz w:w="11910" w:h="16840"/>
          <w:pgMar w:header="0" w:footer="675" w:top="1340" w:bottom="860" w:left="580" w:right="280"/>
        </w:sectPr>
      </w:pPr>
    </w:p>
    <w:p>
      <w:pPr>
        <w:pStyle w:val="BodyText"/>
      </w:pPr>
      <w:r>
        <w:rPr/>
        <w:pict>
          <v:group style="position:absolute;margin-left:20.164064pt;margin-top:0pt;width:575.050pt;height:116.2pt;mso-position-horizontal-relative:page;mso-position-vertical-relative:page;z-index:-27541504" id="docshapegroup119" coordorigin="403,0" coordsize="11501,2324">
            <v:shape style="position:absolute;left:403;top:0;width:11501;height:1563" type="#_x0000_t75" id="docshape120" stroked="false">
              <v:imagedata r:id="rId33" o:title=""/>
            </v:shape>
            <v:shape style="position:absolute;left:10170;top:1052;width:1200;height:1155" id="docshape121" coordorigin="10170,1052" coordsize="1200,1155" path="m10770,1052l10695,1056,10622,1070,10553,1091,10488,1120,10427,1155,10372,1198,10321,1246,10277,1300,10240,1358,10210,1421,10188,1487,10175,1557,10170,1629,10175,1702,10188,1772,10210,1838,10240,1901,10277,1959,10321,2013,10372,2061,10427,2104,10488,2139,10553,2168,10622,2189,10695,2202,10770,2207,10845,2202,10918,2189,10987,2168,11052,2139,11113,2104,11168,2061,11219,2013,11263,1959,11300,1901,11330,1838,11352,1772,11365,1702,11370,1629,11365,1557,11352,1487,11330,1421,11300,1358,11263,1300,11219,1246,11168,1198,11113,1155,11052,1120,10987,1091,10918,1070,10845,1056,10770,1052xe" filled="true" fillcolor="#003c79" stroked="false">
              <v:path arrowok="t"/>
              <v:fill type="solid"/>
            </v:shape>
            <v:shape style="position:absolute;left:10170;top:1052;width:1200;height:1155" id="docshape122" coordorigin="10170,1052" coordsize="1200,1155" path="m10170,1629l10175,1557,10188,1487,10210,1421,10240,1358,10277,1300,10321,1246,10372,1198,10427,1155,10488,1120,10553,1091,10622,1070,10695,1056,10770,1052,10845,1056,10918,1070,10987,1091,11052,1120,11113,1155,11168,1198,11219,1246,11263,1300,11300,1358,11330,1421,11352,1487,11365,1557,11370,1629,11365,1702,11352,1772,11330,1838,11300,1901,11263,1959,11219,2013,11168,2061,11113,2104,11052,2139,10987,2168,10918,2189,10845,2202,10770,2207,10695,2202,10622,2189,10553,2168,10488,2139,10427,2104,10372,2061,10321,2013,10277,1959,10240,1901,10210,1838,10188,1772,10175,1702,10170,1629xe" filled="false" stroked="true" strokeweight="2.5pt" strokecolor="#003c79">
              <v:path arrowok="t"/>
              <v:stroke dashstyle="solid"/>
            </v:shape>
            <v:shape style="position:absolute;left:1440;top:1440;width:7582;height:883" type="#_x0000_t202" id="docshape123" filled="false" stroked="false">
              <v:textbox inset="0,0,0,0">
                <w:txbxContent>
                  <w:p>
                    <w:pPr>
                      <w:spacing w:before="0"/>
                      <w:ind w:left="0" w:right="0" w:firstLine="0"/>
                      <w:jc w:val="left"/>
                      <w:rPr>
                        <w:sz w:val="72"/>
                      </w:rPr>
                    </w:pPr>
                    <w:r>
                      <w:rPr>
                        <w:color w:val="003C79"/>
                        <w:sz w:val="72"/>
                      </w:rPr>
                      <w:t>Ethical</w:t>
                    </w:r>
                    <w:r>
                      <w:rPr>
                        <w:color w:val="003C79"/>
                        <w:spacing w:val="-8"/>
                        <w:sz w:val="72"/>
                      </w:rPr>
                      <w:t> </w:t>
                    </w:r>
                    <w:r>
                      <w:rPr>
                        <w:color w:val="003C79"/>
                        <w:sz w:val="72"/>
                      </w:rPr>
                      <w:t>considerations</w:t>
                    </w:r>
                  </w:p>
                </w:txbxContent>
              </v:textbox>
              <w10:wrap type="none"/>
            </v:shape>
            <v:shape style="position:absolute;left:10526;top:1363;width:510;height:539" type="#_x0000_t202" id="docshape124" filled="false" stroked="false">
              <v:textbox inset="0,0,0,0">
                <w:txbxContent>
                  <w:p>
                    <w:pPr>
                      <w:spacing w:line="538" w:lineRule="exact" w:before="0"/>
                      <w:ind w:left="0" w:right="0" w:firstLine="0"/>
                      <w:jc w:val="left"/>
                      <w:rPr>
                        <w:b/>
                        <w:sz w:val="44"/>
                      </w:rPr>
                    </w:pPr>
                    <w:r>
                      <w:rPr>
                        <w:b/>
                        <w:color w:val="FFFFFF"/>
                        <w:sz w:val="44"/>
                      </w:rPr>
                      <w:t>11</w:t>
                    </w:r>
                  </w:p>
                </w:txbxContent>
              </v:textbox>
              <w10:wrap type="none"/>
            </v:shape>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6"/>
        </w:rPr>
      </w:pPr>
    </w:p>
    <w:p>
      <w:pPr>
        <w:pStyle w:val="BodyText"/>
        <w:spacing w:line="276" w:lineRule="auto" w:before="99"/>
        <w:ind w:left="860" w:right="1236"/>
      </w:pPr>
      <w:bookmarkStart w:name="_bookmark72" w:id="73"/>
      <w:bookmarkEnd w:id="73"/>
      <w:r>
        <w:rPr/>
      </w:r>
      <w:r>
        <w:rPr/>
        <w:t>The evaluation of HCH raises ethical concerns given the use of patient and practice data</w:t>
      </w:r>
      <w:r>
        <w:rPr>
          <w:spacing w:val="1"/>
        </w:rPr>
        <w:t> </w:t>
      </w:r>
      <w:r>
        <w:rPr/>
        <w:t>collected for purposes other than the evaluation, and collecting information from patients</w:t>
      </w:r>
      <w:r>
        <w:rPr>
          <w:spacing w:val="1"/>
        </w:rPr>
        <w:t> </w:t>
      </w:r>
      <w:r>
        <w:rPr/>
        <w:t>and</w:t>
      </w:r>
      <w:r>
        <w:rPr>
          <w:spacing w:val="-4"/>
        </w:rPr>
        <w:t> </w:t>
      </w:r>
      <w:r>
        <w:rPr/>
        <w:t>practice</w:t>
      </w:r>
      <w:r>
        <w:rPr>
          <w:spacing w:val="-4"/>
        </w:rPr>
        <w:t> </w:t>
      </w:r>
      <w:r>
        <w:rPr/>
        <w:t>staff</w:t>
      </w:r>
      <w:r>
        <w:rPr>
          <w:spacing w:val="-4"/>
        </w:rPr>
        <w:t> </w:t>
      </w:r>
      <w:r>
        <w:rPr/>
        <w:t>through</w:t>
      </w:r>
      <w:r>
        <w:rPr>
          <w:spacing w:val="-2"/>
        </w:rPr>
        <w:t> </w:t>
      </w:r>
      <w:r>
        <w:rPr/>
        <w:t>surveys,</w:t>
      </w:r>
      <w:r>
        <w:rPr>
          <w:spacing w:val="-4"/>
        </w:rPr>
        <w:t> </w:t>
      </w:r>
      <w:r>
        <w:rPr/>
        <w:t>interviews</w:t>
      </w:r>
      <w:r>
        <w:rPr>
          <w:spacing w:val="-4"/>
        </w:rPr>
        <w:t> </w:t>
      </w:r>
      <w:r>
        <w:rPr/>
        <w:t>and</w:t>
      </w:r>
      <w:r>
        <w:rPr>
          <w:spacing w:val="-5"/>
        </w:rPr>
        <w:t> </w:t>
      </w:r>
      <w:r>
        <w:rPr/>
        <w:t>focus</w:t>
      </w:r>
      <w:r>
        <w:rPr>
          <w:spacing w:val="-4"/>
        </w:rPr>
        <w:t> </w:t>
      </w:r>
      <w:r>
        <w:rPr/>
        <w:t>groups.</w:t>
      </w:r>
      <w:r>
        <w:rPr>
          <w:spacing w:val="-4"/>
        </w:rPr>
        <w:t> </w:t>
      </w:r>
      <w:r>
        <w:rPr/>
        <w:t>The</w:t>
      </w:r>
      <w:r>
        <w:rPr>
          <w:spacing w:val="-4"/>
        </w:rPr>
        <w:t> </w:t>
      </w:r>
      <w:r>
        <w:rPr/>
        <w:t>key</w:t>
      </w:r>
      <w:r>
        <w:rPr>
          <w:spacing w:val="-4"/>
        </w:rPr>
        <w:t> </w:t>
      </w:r>
      <w:r>
        <w:rPr/>
        <w:t>considerations</w:t>
      </w:r>
      <w:r>
        <w:rPr>
          <w:spacing w:val="-4"/>
        </w:rPr>
        <w:t> </w:t>
      </w:r>
      <w:r>
        <w:rPr/>
        <w:t>and</w:t>
      </w:r>
      <w:r>
        <w:rPr>
          <w:spacing w:val="-52"/>
        </w:rPr>
        <w:t> </w:t>
      </w:r>
      <w:r>
        <w:rPr/>
        <w:t>the</w:t>
      </w:r>
      <w:r>
        <w:rPr>
          <w:spacing w:val="-2"/>
        </w:rPr>
        <w:t> </w:t>
      </w:r>
      <w:r>
        <w:rPr/>
        <w:t>way</w:t>
      </w:r>
      <w:r>
        <w:rPr>
          <w:spacing w:val="-2"/>
        </w:rPr>
        <w:t> </w:t>
      </w:r>
      <w:r>
        <w:rPr/>
        <w:t>that</w:t>
      </w:r>
      <w:r>
        <w:rPr>
          <w:spacing w:val="1"/>
        </w:rPr>
        <w:t> </w:t>
      </w:r>
      <w:r>
        <w:rPr/>
        <w:t>they</w:t>
      </w:r>
      <w:r>
        <w:rPr>
          <w:spacing w:val="-3"/>
        </w:rPr>
        <w:t> </w:t>
      </w:r>
      <w:r>
        <w:rPr/>
        <w:t>will be</w:t>
      </w:r>
      <w:r>
        <w:rPr>
          <w:spacing w:val="-3"/>
        </w:rPr>
        <w:t> </w:t>
      </w:r>
      <w:r>
        <w:rPr/>
        <w:t>addressed</w:t>
      </w:r>
      <w:r>
        <w:rPr>
          <w:spacing w:val="-1"/>
        </w:rPr>
        <w:t> </w:t>
      </w:r>
      <w:r>
        <w:rPr/>
        <w:t>are</w:t>
      </w:r>
      <w:r>
        <w:rPr>
          <w:spacing w:val="-2"/>
        </w:rPr>
        <w:t> </w:t>
      </w:r>
      <w:r>
        <w:rPr/>
        <w:t>outlined</w:t>
      </w:r>
      <w:r>
        <w:rPr>
          <w:spacing w:val="-1"/>
        </w:rPr>
        <w:t> </w:t>
      </w:r>
      <w:r>
        <w:rPr/>
        <w:t>below.</w:t>
      </w:r>
    </w:p>
    <w:p>
      <w:pPr>
        <w:pStyle w:val="Heading2"/>
        <w:spacing w:before="199"/>
      </w:pPr>
      <w:bookmarkStart w:name="_bookmark73" w:id="74"/>
      <w:bookmarkEnd w:id="74"/>
      <w:r>
        <w:rPr/>
      </w:r>
      <w:r>
        <w:rPr>
          <w:color w:val="003C79"/>
        </w:rPr>
        <w:t>Patients</w:t>
      </w:r>
      <w:r>
        <w:rPr>
          <w:color w:val="003C79"/>
          <w:spacing w:val="-5"/>
        </w:rPr>
        <w:t> </w:t>
      </w:r>
      <w:r>
        <w:rPr>
          <w:color w:val="003C79"/>
        </w:rPr>
        <w:t>enrolled</w:t>
      </w:r>
      <w:r>
        <w:rPr>
          <w:color w:val="003C79"/>
          <w:spacing w:val="-6"/>
        </w:rPr>
        <w:t> </w:t>
      </w:r>
      <w:r>
        <w:rPr>
          <w:color w:val="003C79"/>
        </w:rPr>
        <w:t>in</w:t>
      </w:r>
      <w:r>
        <w:rPr>
          <w:color w:val="003C79"/>
          <w:spacing w:val="-5"/>
        </w:rPr>
        <w:t> </w:t>
      </w:r>
      <w:r>
        <w:rPr>
          <w:color w:val="003C79"/>
        </w:rPr>
        <w:t>HCH</w:t>
      </w:r>
    </w:p>
    <w:p>
      <w:pPr>
        <w:pStyle w:val="BodyText"/>
        <w:spacing w:line="276" w:lineRule="auto" w:before="261"/>
        <w:ind w:left="860" w:right="1306"/>
      </w:pPr>
      <w:r>
        <w:rPr/>
        <w:t>The use of data on patients carries concerns about how these data will be used, and how</w:t>
      </w:r>
      <w:r>
        <w:rPr>
          <w:spacing w:val="1"/>
        </w:rPr>
        <w:t> </w:t>
      </w:r>
      <w:r>
        <w:rPr/>
        <w:t>patients’ privacy will be protected. Entry into the HCH program will entail obtaining explicit</w:t>
      </w:r>
      <w:r>
        <w:rPr>
          <w:spacing w:val="1"/>
        </w:rPr>
        <w:t> </w:t>
      </w:r>
      <w:r>
        <w:rPr/>
        <w:t>consent to participate in the evaluation. Informed consent will be obtained to gather and</w:t>
      </w:r>
      <w:r>
        <w:rPr>
          <w:spacing w:val="1"/>
        </w:rPr>
        <w:t> </w:t>
      </w:r>
      <w:r>
        <w:rPr/>
        <w:t>use survey, interview and focus group data obtained from patients on their experience with</w:t>
      </w:r>
      <w:r>
        <w:rPr>
          <w:spacing w:val="-53"/>
        </w:rPr>
        <w:t> </w:t>
      </w:r>
      <w:r>
        <w:rPr/>
        <w:t>the HCH program. Patients will also be informed that the HCH evaluation will also access</w:t>
      </w:r>
      <w:r>
        <w:rPr>
          <w:spacing w:val="1"/>
        </w:rPr>
        <w:t> </w:t>
      </w:r>
      <w:r>
        <w:rPr/>
        <w:t>other health information, including information used by their doctor to manage their health,</w:t>
      </w:r>
      <w:r>
        <w:rPr>
          <w:spacing w:val="-53"/>
        </w:rPr>
        <w:t> </w:t>
      </w:r>
      <w:r>
        <w:rPr/>
        <w:t>and data generated through their interactions with the wider health system, such as</w:t>
      </w:r>
      <w:r>
        <w:rPr>
          <w:spacing w:val="1"/>
        </w:rPr>
        <w:t> </w:t>
      </w:r>
      <w:r>
        <w:rPr/>
        <w:t>medicines dispensed at pharmacies, claims for visits to other doctors and for imaging and</w:t>
      </w:r>
      <w:r>
        <w:rPr>
          <w:spacing w:val="1"/>
        </w:rPr>
        <w:t> </w:t>
      </w:r>
      <w:r>
        <w:rPr/>
        <w:t>pathology,</w:t>
      </w:r>
      <w:r>
        <w:rPr>
          <w:spacing w:val="-2"/>
        </w:rPr>
        <w:t> </w:t>
      </w:r>
      <w:r>
        <w:rPr/>
        <w:t>and</w:t>
      </w:r>
      <w:r>
        <w:rPr>
          <w:spacing w:val="-1"/>
        </w:rPr>
        <w:t> </w:t>
      </w:r>
      <w:r>
        <w:rPr/>
        <w:t>visits</w:t>
      </w:r>
      <w:r>
        <w:rPr>
          <w:spacing w:val="-1"/>
        </w:rPr>
        <w:t> </w:t>
      </w:r>
      <w:r>
        <w:rPr/>
        <w:t>to</w:t>
      </w:r>
      <w:r>
        <w:rPr>
          <w:spacing w:val="-1"/>
        </w:rPr>
        <w:t> </w:t>
      </w:r>
      <w:r>
        <w:rPr/>
        <w:t>hospital.</w:t>
      </w:r>
    </w:p>
    <w:p>
      <w:pPr>
        <w:pStyle w:val="BodyText"/>
        <w:spacing w:line="276" w:lineRule="auto" w:before="201"/>
        <w:ind w:left="860" w:right="1233"/>
      </w:pPr>
      <w:r>
        <w:rPr/>
        <w:t>A waiver of consent will be sought to access secondary data for patients enrolled in HCH, as</w:t>
      </w:r>
      <w:r>
        <w:rPr>
          <w:spacing w:val="-53"/>
        </w:rPr>
        <w:t> </w:t>
      </w:r>
      <w:r>
        <w:rPr/>
        <w:t>seeking consent will create greater risks to breech of personal information (i.e. by patients’</w:t>
      </w:r>
      <w:r>
        <w:rPr>
          <w:spacing w:val="1"/>
        </w:rPr>
        <w:t> </w:t>
      </w:r>
      <w:r>
        <w:rPr/>
        <w:t>personal information being passed on to and stored by the evaluation team). It also has the</w:t>
      </w:r>
      <w:r>
        <w:rPr>
          <w:spacing w:val="1"/>
        </w:rPr>
        <w:t> </w:t>
      </w:r>
      <w:r>
        <w:rPr/>
        <w:t>potential to introduce bias into the research. That is, the requirement for consent from each</w:t>
      </w:r>
      <w:r>
        <w:rPr>
          <w:spacing w:val="1"/>
        </w:rPr>
        <w:t> </w:t>
      </w:r>
      <w:r>
        <w:rPr/>
        <w:t>individual may compromise the necessary level of participation. This will affect the</w:t>
      </w:r>
      <w:r>
        <w:rPr>
          <w:spacing w:val="1"/>
        </w:rPr>
        <w:t> </w:t>
      </w:r>
      <w:r>
        <w:rPr/>
        <w:t>generalisability</w:t>
      </w:r>
      <w:r>
        <w:rPr>
          <w:spacing w:val="-3"/>
        </w:rPr>
        <w:t> </w:t>
      </w:r>
      <w:r>
        <w:rPr/>
        <w:t>and</w:t>
      </w:r>
      <w:r>
        <w:rPr>
          <w:spacing w:val="-1"/>
        </w:rPr>
        <w:t> </w:t>
      </w:r>
      <w:r>
        <w:rPr/>
        <w:t>validity</w:t>
      </w:r>
      <w:r>
        <w:rPr>
          <w:spacing w:val="-2"/>
        </w:rPr>
        <w:t> </w:t>
      </w:r>
      <w:r>
        <w:rPr/>
        <w:t>of</w:t>
      </w:r>
      <w:r>
        <w:rPr>
          <w:spacing w:val="-1"/>
        </w:rPr>
        <w:t> </w:t>
      </w:r>
      <w:r>
        <w:rPr/>
        <w:t>the</w:t>
      </w:r>
      <w:r>
        <w:rPr>
          <w:spacing w:val="-1"/>
        </w:rPr>
        <w:t> </w:t>
      </w:r>
      <w:r>
        <w:rPr/>
        <w:t>results.</w:t>
      </w:r>
    </w:p>
    <w:p>
      <w:pPr>
        <w:pStyle w:val="Heading5"/>
        <w:spacing w:before="200"/>
      </w:pPr>
      <w:r>
        <w:rPr>
          <w:color w:val="003C79"/>
        </w:rPr>
        <w:t>Comparator</w:t>
      </w:r>
      <w:r>
        <w:rPr>
          <w:color w:val="003C79"/>
          <w:spacing w:val="-7"/>
        </w:rPr>
        <w:t> </w:t>
      </w:r>
      <w:r>
        <w:rPr>
          <w:color w:val="003C79"/>
        </w:rPr>
        <w:t>patients</w:t>
      </w:r>
    </w:p>
    <w:p>
      <w:pPr>
        <w:pStyle w:val="BodyText"/>
        <w:spacing w:line="276" w:lineRule="auto" w:before="44"/>
        <w:ind w:left="860" w:right="1190"/>
      </w:pPr>
      <w:r>
        <w:rPr/>
        <w:t>Data for matched (i.e. on age, location) patients to those enrolled in HCH will be drawn from</w:t>
      </w:r>
      <w:r>
        <w:rPr>
          <w:spacing w:val="-53"/>
        </w:rPr>
        <w:t> </w:t>
      </w:r>
      <w:r>
        <w:rPr/>
        <w:t>secondary data sources, including practice data and national data sources (specifically,</w:t>
      </w:r>
      <w:r>
        <w:rPr>
          <w:spacing w:val="1"/>
        </w:rPr>
        <w:t> </w:t>
      </w:r>
      <w:r>
        <w:rPr/>
        <w:t>MBS, PBS, Fact of death, hospitalisation and emergency department attendance data). A</w:t>
      </w:r>
      <w:r>
        <w:rPr>
          <w:spacing w:val="1"/>
        </w:rPr>
        <w:t> </w:t>
      </w:r>
      <w:r>
        <w:rPr/>
        <w:t>waiver of consent will be sought for access to data for comparator patients on the basis that</w:t>
      </w:r>
      <w:r>
        <w:rPr>
          <w:spacing w:val="-53"/>
        </w:rPr>
        <w:t> </w:t>
      </w:r>
      <w:r>
        <w:rPr/>
        <w:t>there is no ‘entry point’ for these patients into the evaluation (and thus no direct contact</w:t>
      </w:r>
      <w:r>
        <w:rPr>
          <w:spacing w:val="1"/>
        </w:rPr>
        <w:t> </w:t>
      </w:r>
      <w:r>
        <w:rPr/>
        <w:t>between the evaluation team and this patient group), and it is impracticable to gain</w:t>
      </w:r>
      <w:r>
        <w:rPr>
          <w:spacing w:val="1"/>
        </w:rPr>
        <w:t> </w:t>
      </w:r>
      <w:r>
        <w:rPr/>
        <w:t>consent</w:t>
      </w:r>
      <w:r>
        <w:rPr>
          <w:spacing w:val="-1"/>
        </w:rPr>
        <w:t> </w:t>
      </w:r>
      <w:r>
        <w:rPr/>
        <w:t>of</w:t>
      </w:r>
      <w:r>
        <w:rPr>
          <w:spacing w:val="-3"/>
        </w:rPr>
        <w:t> </w:t>
      </w:r>
      <w:r>
        <w:rPr/>
        <w:t>individuals</w:t>
      </w:r>
      <w:r>
        <w:rPr>
          <w:spacing w:val="-3"/>
        </w:rPr>
        <w:t> </w:t>
      </w:r>
      <w:r>
        <w:rPr/>
        <w:t>due</w:t>
      </w:r>
      <w:r>
        <w:rPr>
          <w:spacing w:val="-3"/>
        </w:rPr>
        <w:t> </w:t>
      </w:r>
      <w:r>
        <w:rPr/>
        <w:t>to</w:t>
      </w:r>
      <w:r>
        <w:rPr>
          <w:spacing w:val="-3"/>
        </w:rPr>
        <w:t> </w:t>
      </w:r>
      <w:r>
        <w:rPr/>
        <w:t>the</w:t>
      </w:r>
      <w:r>
        <w:rPr>
          <w:spacing w:val="-4"/>
        </w:rPr>
        <w:t> </w:t>
      </w:r>
      <w:r>
        <w:rPr/>
        <w:t>size</w:t>
      </w:r>
      <w:r>
        <w:rPr>
          <w:spacing w:val="-3"/>
        </w:rPr>
        <w:t> </w:t>
      </w:r>
      <w:r>
        <w:rPr/>
        <w:t>of</w:t>
      </w:r>
      <w:r>
        <w:rPr>
          <w:spacing w:val="-3"/>
        </w:rPr>
        <w:t> </w:t>
      </w:r>
      <w:r>
        <w:rPr/>
        <w:t>the</w:t>
      </w:r>
      <w:r>
        <w:rPr>
          <w:spacing w:val="-3"/>
        </w:rPr>
        <w:t> </w:t>
      </w:r>
      <w:r>
        <w:rPr/>
        <w:t>population</w:t>
      </w:r>
      <w:r>
        <w:rPr>
          <w:spacing w:val="-2"/>
        </w:rPr>
        <w:t> </w:t>
      </w:r>
      <w:r>
        <w:rPr/>
        <w:t>(potentially</w:t>
      </w:r>
      <w:r>
        <w:rPr>
          <w:spacing w:val="-5"/>
        </w:rPr>
        <w:t> </w:t>
      </w:r>
      <w:r>
        <w:rPr/>
        <w:t>over</w:t>
      </w:r>
      <w:r>
        <w:rPr>
          <w:spacing w:val="-3"/>
        </w:rPr>
        <w:t> </w:t>
      </w:r>
      <w:r>
        <w:rPr/>
        <w:t>100,000</w:t>
      </w:r>
      <w:r>
        <w:rPr>
          <w:spacing w:val="-3"/>
        </w:rPr>
        <w:t> </w:t>
      </w:r>
      <w:r>
        <w:rPr/>
        <w:t>patients).</w:t>
      </w:r>
    </w:p>
    <w:p>
      <w:pPr>
        <w:pStyle w:val="Heading5"/>
        <w:spacing w:before="201"/>
      </w:pPr>
      <w:r>
        <w:rPr>
          <w:color w:val="003C79"/>
        </w:rPr>
        <w:t>Aboriginal</w:t>
      </w:r>
      <w:r>
        <w:rPr>
          <w:color w:val="003C79"/>
          <w:spacing w:val="1"/>
        </w:rPr>
        <w:t> </w:t>
      </w:r>
      <w:r>
        <w:rPr>
          <w:color w:val="003C79"/>
        </w:rPr>
        <w:t>and</w:t>
      </w:r>
      <w:r>
        <w:rPr>
          <w:color w:val="003C79"/>
          <w:spacing w:val="-3"/>
        </w:rPr>
        <w:t> </w:t>
      </w:r>
      <w:r>
        <w:rPr>
          <w:color w:val="003C79"/>
        </w:rPr>
        <w:t>Torres</w:t>
      </w:r>
      <w:r>
        <w:rPr>
          <w:color w:val="003C79"/>
          <w:spacing w:val="-2"/>
        </w:rPr>
        <w:t> </w:t>
      </w:r>
      <w:r>
        <w:rPr>
          <w:color w:val="003C79"/>
        </w:rPr>
        <w:t>Strait</w:t>
      </w:r>
      <w:r>
        <w:rPr>
          <w:color w:val="003C79"/>
          <w:spacing w:val="-8"/>
        </w:rPr>
        <w:t> </w:t>
      </w:r>
      <w:r>
        <w:rPr>
          <w:color w:val="003C79"/>
        </w:rPr>
        <w:t>Islander</w:t>
      </w:r>
      <w:r>
        <w:rPr>
          <w:color w:val="003C79"/>
          <w:spacing w:val="-5"/>
        </w:rPr>
        <w:t> </w:t>
      </w:r>
      <w:r>
        <w:rPr>
          <w:color w:val="003C79"/>
        </w:rPr>
        <w:t>patients</w:t>
      </w:r>
    </w:p>
    <w:p>
      <w:pPr>
        <w:pStyle w:val="BodyText"/>
        <w:spacing w:line="276" w:lineRule="auto" w:before="44"/>
        <w:ind w:left="860" w:right="1455"/>
      </w:pPr>
      <w:r>
        <w:rPr/>
        <w:t>Given that HCH is targeting people with chronic disease, and that chronic disease is more</w:t>
      </w:r>
      <w:r>
        <w:rPr>
          <w:spacing w:val="-53"/>
        </w:rPr>
        <w:t> </w:t>
      </w:r>
      <w:r>
        <w:rPr/>
        <w:t>prevalent amongst Aboriginal and Torres Strait Islander people compared with other</w:t>
      </w:r>
      <w:r>
        <w:rPr>
          <w:spacing w:val="1"/>
        </w:rPr>
        <w:t> </w:t>
      </w:r>
      <w:r>
        <w:rPr/>
        <w:t>Australians,</w:t>
      </w:r>
      <w:r>
        <w:rPr>
          <w:spacing w:val="-5"/>
        </w:rPr>
        <w:t> </w:t>
      </w:r>
      <w:r>
        <w:rPr/>
        <w:t>there</w:t>
      </w:r>
      <w:r>
        <w:rPr>
          <w:spacing w:val="-4"/>
        </w:rPr>
        <w:t> </w:t>
      </w:r>
      <w:r>
        <w:rPr/>
        <w:t>is</w:t>
      </w:r>
      <w:r>
        <w:rPr>
          <w:spacing w:val="-4"/>
        </w:rPr>
        <w:t> </w:t>
      </w:r>
      <w:r>
        <w:rPr/>
        <w:t>expected</w:t>
      </w:r>
      <w:r>
        <w:rPr>
          <w:spacing w:val="-4"/>
        </w:rPr>
        <w:t> </w:t>
      </w:r>
      <w:r>
        <w:rPr/>
        <w:t>to</w:t>
      </w:r>
      <w:r>
        <w:rPr>
          <w:spacing w:val="-5"/>
        </w:rPr>
        <w:t> </w:t>
      </w:r>
      <w:r>
        <w:rPr/>
        <w:t>be</w:t>
      </w:r>
      <w:r>
        <w:rPr>
          <w:spacing w:val="-4"/>
        </w:rPr>
        <w:t> </w:t>
      </w:r>
      <w:r>
        <w:rPr/>
        <w:t>a</w:t>
      </w:r>
      <w:r>
        <w:rPr>
          <w:spacing w:val="-3"/>
        </w:rPr>
        <w:t> </w:t>
      </w:r>
      <w:r>
        <w:rPr/>
        <w:t>concentration</w:t>
      </w:r>
      <w:r>
        <w:rPr>
          <w:spacing w:val="-3"/>
        </w:rPr>
        <w:t> </w:t>
      </w:r>
      <w:r>
        <w:rPr/>
        <w:t>of Aboriginal</w:t>
      </w:r>
      <w:r>
        <w:rPr>
          <w:spacing w:val="-3"/>
        </w:rPr>
        <w:t> </w:t>
      </w:r>
      <w:r>
        <w:rPr/>
        <w:t>and</w:t>
      </w:r>
      <w:r>
        <w:rPr>
          <w:spacing w:val="-4"/>
        </w:rPr>
        <w:t> </w:t>
      </w:r>
      <w:r>
        <w:rPr/>
        <w:t>Torres</w:t>
      </w:r>
      <w:r>
        <w:rPr>
          <w:spacing w:val="-4"/>
        </w:rPr>
        <w:t> </w:t>
      </w:r>
      <w:r>
        <w:rPr/>
        <w:t>Strait</w:t>
      </w:r>
      <w:r>
        <w:rPr>
          <w:spacing w:val="-5"/>
        </w:rPr>
        <w:t> </w:t>
      </w:r>
      <w:r>
        <w:rPr/>
        <w:t>Islander</w:t>
      </w:r>
      <w:r>
        <w:rPr>
          <w:spacing w:val="-52"/>
        </w:rPr>
        <w:t> </w:t>
      </w:r>
      <w:r>
        <w:rPr/>
        <w:t>patients</w:t>
      </w:r>
      <w:r>
        <w:rPr>
          <w:spacing w:val="-2"/>
        </w:rPr>
        <w:t> </w:t>
      </w:r>
      <w:r>
        <w:rPr/>
        <w:t>in</w:t>
      </w:r>
      <w:r>
        <w:rPr>
          <w:spacing w:val="-2"/>
        </w:rPr>
        <w:t> </w:t>
      </w:r>
      <w:r>
        <w:rPr/>
        <w:t>the</w:t>
      </w:r>
      <w:r>
        <w:rPr>
          <w:spacing w:val="-1"/>
        </w:rPr>
        <w:t> </w:t>
      </w:r>
      <w:r>
        <w:rPr/>
        <w:t>study.</w:t>
      </w:r>
    </w:p>
    <w:p>
      <w:pPr>
        <w:pStyle w:val="BodyText"/>
        <w:spacing w:line="276" w:lineRule="auto" w:before="199"/>
        <w:ind w:left="860" w:right="1741"/>
      </w:pPr>
      <w:r>
        <w:rPr/>
        <w:t>The evaluation will adhere to the Aboriginal Health and Medical Research Council</w:t>
      </w:r>
      <w:r>
        <w:rPr>
          <w:spacing w:val="1"/>
        </w:rPr>
        <w:t> </w:t>
      </w:r>
      <w:r>
        <w:rPr/>
        <w:t>(AH&amp;MRC) and National Health and Medical Research Council (NHMRC) guidelines for</w:t>
      </w:r>
      <w:r>
        <w:rPr>
          <w:spacing w:val="-53"/>
        </w:rPr>
        <w:t> </w:t>
      </w:r>
      <w:r>
        <w:rPr/>
        <w:t>undertaking</w:t>
      </w:r>
      <w:r>
        <w:rPr>
          <w:spacing w:val="1"/>
        </w:rPr>
        <w:t> </w:t>
      </w:r>
      <w:r>
        <w:rPr/>
        <w:t>Aboriginal health</w:t>
      </w:r>
      <w:r>
        <w:rPr>
          <w:spacing w:val="-1"/>
        </w:rPr>
        <w:t> </w:t>
      </w:r>
      <w:r>
        <w:rPr/>
        <w:t>research,</w:t>
      </w:r>
      <w:r>
        <w:rPr>
          <w:spacing w:val="-3"/>
        </w:rPr>
        <w:t> </w:t>
      </w:r>
      <w:r>
        <w:rPr/>
        <w:t>including:</w:t>
      </w:r>
    </w:p>
    <w:p>
      <w:pPr>
        <w:pStyle w:val="ListParagraph"/>
        <w:numPr>
          <w:ilvl w:val="0"/>
          <w:numId w:val="17"/>
        </w:numPr>
        <w:tabs>
          <w:tab w:pos="1573" w:val="left" w:leader="none"/>
          <w:tab w:pos="1574" w:val="left" w:leader="none"/>
        </w:tabs>
        <w:spacing w:line="240" w:lineRule="auto" w:before="201" w:after="0"/>
        <w:ind w:left="1573" w:right="0" w:hanging="356"/>
        <w:jc w:val="left"/>
        <w:rPr>
          <w:sz w:val="20"/>
        </w:rPr>
      </w:pPr>
      <w:r>
        <w:rPr>
          <w:sz w:val="20"/>
        </w:rPr>
        <w:t>Strong</w:t>
      </w:r>
      <w:r>
        <w:rPr>
          <w:spacing w:val="-5"/>
          <w:sz w:val="20"/>
        </w:rPr>
        <w:t> </w:t>
      </w:r>
      <w:r>
        <w:rPr>
          <w:sz w:val="20"/>
        </w:rPr>
        <w:t>engagement</w:t>
      </w:r>
      <w:r>
        <w:rPr>
          <w:spacing w:val="-3"/>
          <w:sz w:val="20"/>
        </w:rPr>
        <w:t> </w:t>
      </w:r>
      <w:r>
        <w:rPr>
          <w:sz w:val="20"/>
        </w:rPr>
        <w:t>with</w:t>
      </w:r>
      <w:r>
        <w:rPr>
          <w:spacing w:val="-4"/>
          <w:sz w:val="20"/>
        </w:rPr>
        <w:t> </w:t>
      </w:r>
      <w:r>
        <w:rPr>
          <w:sz w:val="20"/>
        </w:rPr>
        <w:t>Aboriginal</w:t>
      </w:r>
      <w:r>
        <w:rPr>
          <w:spacing w:val="-3"/>
          <w:sz w:val="20"/>
        </w:rPr>
        <w:t> </w:t>
      </w:r>
      <w:r>
        <w:rPr>
          <w:sz w:val="20"/>
        </w:rPr>
        <w:t>communities</w:t>
      </w:r>
      <w:r>
        <w:rPr>
          <w:spacing w:val="-5"/>
          <w:sz w:val="20"/>
        </w:rPr>
        <w:t> </w:t>
      </w:r>
      <w:r>
        <w:rPr>
          <w:sz w:val="20"/>
        </w:rPr>
        <w:t>and</w:t>
      </w:r>
      <w:r>
        <w:rPr>
          <w:spacing w:val="-4"/>
          <w:sz w:val="20"/>
        </w:rPr>
        <w:t> </w:t>
      </w:r>
      <w:r>
        <w:rPr>
          <w:sz w:val="20"/>
        </w:rPr>
        <w:t>researchers.</w:t>
      </w:r>
    </w:p>
    <w:p>
      <w:pPr>
        <w:pStyle w:val="ListParagraph"/>
        <w:numPr>
          <w:ilvl w:val="0"/>
          <w:numId w:val="17"/>
        </w:numPr>
        <w:tabs>
          <w:tab w:pos="1573" w:val="left" w:leader="none"/>
          <w:tab w:pos="1574" w:val="left" w:leader="none"/>
        </w:tabs>
        <w:spacing w:line="240" w:lineRule="auto" w:before="36" w:after="0"/>
        <w:ind w:left="1573" w:right="0" w:hanging="356"/>
        <w:jc w:val="left"/>
        <w:rPr>
          <w:sz w:val="20"/>
        </w:rPr>
      </w:pPr>
      <w:r>
        <w:rPr>
          <w:sz w:val="20"/>
        </w:rPr>
        <w:t>Use</w:t>
      </w:r>
      <w:r>
        <w:rPr>
          <w:spacing w:val="-3"/>
          <w:sz w:val="20"/>
        </w:rPr>
        <w:t> </w:t>
      </w:r>
      <w:r>
        <w:rPr>
          <w:sz w:val="20"/>
        </w:rPr>
        <w:t>of</w:t>
      </w:r>
      <w:r>
        <w:rPr>
          <w:spacing w:val="-4"/>
          <w:sz w:val="20"/>
        </w:rPr>
        <w:t> </w:t>
      </w:r>
      <w:r>
        <w:rPr>
          <w:sz w:val="20"/>
        </w:rPr>
        <w:t>skilled</w:t>
      </w:r>
      <w:r>
        <w:rPr>
          <w:spacing w:val="-5"/>
          <w:sz w:val="20"/>
        </w:rPr>
        <w:t> </w:t>
      </w:r>
      <w:r>
        <w:rPr>
          <w:sz w:val="20"/>
        </w:rPr>
        <w:t>experienced</w:t>
      </w:r>
      <w:r>
        <w:rPr>
          <w:spacing w:val="-4"/>
          <w:sz w:val="20"/>
        </w:rPr>
        <w:t> </w:t>
      </w:r>
      <w:r>
        <w:rPr>
          <w:sz w:val="20"/>
        </w:rPr>
        <w:t>qualitative</w:t>
      </w:r>
      <w:r>
        <w:rPr>
          <w:spacing w:val="-4"/>
          <w:sz w:val="20"/>
        </w:rPr>
        <w:t> </w:t>
      </w:r>
      <w:r>
        <w:rPr>
          <w:sz w:val="20"/>
        </w:rPr>
        <w:t>researchers</w:t>
      </w:r>
      <w:r>
        <w:rPr>
          <w:spacing w:val="-3"/>
          <w:sz w:val="20"/>
        </w:rPr>
        <w:t> </w:t>
      </w:r>
      <w:r>
        <w:rPr>
          <w:sz w:val="20"/>
        </w:rPr>
        <w:t>for</w:t>
      </w:r>
      <w:r>
        <w:rPr>
          <w:spacing w:val="-4"/>
          <w:sz w:val="20"/>
        </w:rPr>
        <w:t> </w:t>
      </w:r>
      <w:r>
        <w:rPr>
          <w:sz w:val="20"/>
        </w:rPr>
        <w:t>data</w:t>
      </w:r>
      <w:r>
        <w:rPr>
          <w:spacing w:val="-3"/>
          <w:sz w:val="20"/>
        </w:rPr>
        <w:t> </w:t>
      </w:r>
      <w:r>
        <w:rPr>
          <w:sz w:val="20"/>
        </w:rPr>
        <w:t>collection</w:t>
      </w:r>
      <w:r>
        <w:rPr>
          <w:spacing w:val="-4"/>
          <w:sz w:val="20"/>
        </w:rPr>
        <w:t> </w:t>
      </w:r>
      <w:r>
        <w:rPr>
          <w:sz w:val="20"/>
        </w:rPr>
        <w:t>and</w:t>
      </w:r>
      <w:r>
        <w:rPr>
          <w:spacing w:val="-4"/>
          <w:sz w:val="20"/>
        </w:rPr>
        <w:t> </w:t>
      </w:r>
      <w:r>
        <w:rPr>
          <w:sz w:val="20"/>
        </w:rPr>
        <w:t>analysis.</w:t>
      </w:r>
    </w:p>
    <w:p>
      <w:pPr>
        <w:spacing w:after="0" w:line="240" w:lineRule="auto"/>
        <w:jc w:val="left"/>
        <w:rPr>
          <w:sz w:val="20"/>
        </w:rPr>
        <w:sectPr>
          <w:pgSz w:w="11910" w:h="16840"/>
          <w:pgMar w:header="0" w:footer="675" w:top="0" w:bottom="860" w:left="580" w:right="280"/>
        </w:sectPr>
      </w:pPr>
    </w:p>
    <w:p>
      <w:pPr>
        <w:pStyle w:val="ListParagraph"/>
        <w:numPr>
          <w:ilvl w:val="0"/>
          <w:numId w:val="17"/>
        </w:numPr>
        <w:tabs>
          <w:tab w:pos="1573" w:val="left" w:leader="none"/>
          <w:tab w:pos="1574" w:val="left" w:leader="none"/>
        </w:tabs>
        <w:spacing w:line="276" w:lineRule="auto" w:before="82" w:after="0"/>
        <w:ind w:left="1573" w:right="2693" w:hanging="356"/>
        <w:jc w:val="left"/>
        <w:rPr>
          <w:sz w:val="20"/>
        </w:rPr>
      </w:pPr>
      <w:r>
        <w:rPr>
          <w:sz w:val="20"/>
        </w:rPr>
        <w:t>Intensive</w:t>
      </w:r>
      <w:r>
        <w:rPr>
          <w:spacing w:val="-4"/>
          <w:sz w:val="20"/>
        </w:rPr>
        <w:t> </w:t>
      </w:r>
      <w:r>
        <w:rPr>
          <w:sz w:val="20"/>
        </w:rPr>
        <w:t>team-based</w:t>
      </w:r>
      <w:r>
        <w:rPr>
          <w:spacing w:val="-5"/>
          <w:sz w:val="20"/>
        </w:rPr>
        <w:t> </w:t>
      </w:r>
      <w:r>
        <w:rPr>
          <w:sz w:val="20"/>
        </w:rPr>
        <w:t>data</w:t>
      </w:r>
      <w:r>
        <w:rPr>
          <w:spacing w:val="-4"/>
          <w:sz w:val="20"/>
        </w:rPr>
        <w:t> </w:t>
      </w:r>
      <w:r>
        <w:rPr>
          <w:sz w:val="20"/>
        </w:rPr>
        <w:t>collection,</w:t>
      </w:r>
      <w:r>
        <w:rPr>
          <w:spacing w:val="-7"/>
          <w:sz w:val="20"/>
        </w:rPr>
        <w:t> </w:t>
      </w:r>
      <w:r>
        <w:rPr>
          <w:sz w:val="20"/>
        </w:rPr>
        <w:t>analysis</w:t>
      </w:r>
      <w:r>
        <w:rPr>
          <w:spacing w:val="-5"/>
          <w:sz w:val="20"/>
        </w:rPr>
        <w:t> </w:t>
      </w:r>
      <w:r>
        <w:rPr>
          <w:sz w:val="20"/>
        </w:rPr>
        <w:t>and</w:t>
      </w:r>
      <w:r>
        <w:rPr>
          <w:spacing w:val="-5"/>
          <w:sz w:val="20"/>
        </w:rPr>
        <w:t> </w:t>
      </w:r>
      <w:r>
        <w:rPr>
          <w:sz w:val="20"/>
        </w:rPr>
        <w:t>synthesis</w:t>
      </w:r>
      <w:r>
        <w:rPr>
          <w:spacing w:val="-5"/>
          <w:sz w:val="20"/>
        </w:rPr>
        <w:t> </w:t>
      </w:r>
      <w:r>
        <w:rPr>
          <w:sz w:val="20"/>
        </w:rPr>
        <w:t>to</w:t>
      </w:r>
      <w:r>
        <w:rPr>
          <w:spacing w:val="-5"/>
          <w:sz w:val="20"/>
        </w:rPr>
        <w:t> </w:t>
      </w:r>
      <w:r>
        <w:rPr>
          <w:sz w:val="20"/>
        </w:rPr>
        <w:t>ensure</w:t>
      </w:r>
      <w:r>
        <w:rPr>
          <w:spacing w:val="-52"/>
          <w:sz w:val="20"/>
        </w:rPr>
        <w:t> </w:t>
      </w:r>
      <w:r>
        <w:rPr>
          <w:sz w:val="20"/>
        </w:rPr>
        <w:t>comprehensive</w:t>
      </w:r>
      <w:r>
        <w:rPr>
          <w:spacing w:val="1"/>
          <w:sz w:val="20"/>
        </w:rPr>
        <w:t> </w:t>
      </w:r>
      <w:r>
        <w:rPr>
          <w:sz w:val="20"/>
        </w:rPr>
        <w:t>understanding</w:t>
      </w:r>
      <w:r>
        <w:rPr>
          <w:spacing w:val="-1"/>
          <w:sz w:val="20"/>
        </w:rPr>
        <w:t> </w:t>
      </w:r>
      <w:r>
        <w:rPr>
          <w:sz w:val="20"/>
        </w:rPr>
        <w:t>of</w:t>
      </w:r>
      <w:r>
        <w:rPr>
          <w:spacing w:val="-2"/>
          <w:sz w:val="20"/>
        </w:rPr>
        <w:t> </w:t>
      </w:r>
      <w:r>
        <w:rPr>
          <w:sz w:val="20"/>
        </w:rPr>
        <w:t>findings.</w:t>
      </w:r>
    </w:p>
    <w:p>
      <w:pPr>
        <w:pStyle w:val="BodyText"/>
        <w:spacing w:line="276" w:lineRule="auto" w:before="199"/>
        <w:ind w:left="860" w:right="1236"/>
      </w:pPr>
      <w:r>
        <w:rPr/>
        <w:t>This</w:t>
      </w:r>
      <w:r>
        <w:rPr>
          <w:spacing w:val="-4"/>
        </w:rPr>
        <w:t> </w:t>
      </w:r>
      <w:r>
        <w:rPr/>
        <w:t>will</w:t>
      </w:r>
      <w:r>
        <w:rPr>
          <w:spacing w:val="-3"/>
        </w:rPr>
        <w:t> </w:t>
      </w:r>
      <w:r>
        <w:rPr/>
        <w:t>ensure</w:t>
      </w:r>
      <w:r>
        <w:rPr>
          <w:spacing w:val="-4"/>
        </w:rPr>
        <w:t> </w:t>
      </w:r>
      <w:r>
        <w:rPr/>
        <w:t>that</w:t>
      </w:r>
      <w:r>
        <w:rPr>
          <w:spacing w:val="-2"/>
        </w:rPr>
        <w:t> </w:t>
      </w:r>
      <w:r>
        <w:rPr/>
        <w:t>the</w:t>
      </w:r>
      <w:r>
        <w:rPr>
          <w:spacing w:val="-2"/>
        </w:rPr>
        <w:t> </w:t>
      </w:r>
      <w:r>
        <w:rPr/>
        <w:t>evaluation</w:t>
      </w:r>
      <w:r>
        <w:rPr>
          <w:spacing w:val="-3"/>
        </w:rPr>
        <w:t> </w:t>
      </w:r>
      <w:r>
        <w:rPr/>
        <w:t>is</w:t>
      </w:r>
      <w:r>
        <w:rPr>
          <w:spacing w:val="-4"/>
        </w:rPr>
        <w:t> </w:t>
      </w:r>
      <w:r>
        <w:rPr/>
        <w:t>conducted</w:t>
      </w:r>
      <w:r>
        <w:rPr>
          <w:spacing w:val="-3"/>
        </w:rPr>
        <w:t> </w:t>
      </w:r>
      <w:r>
        <w:rPr/>
        <w:t>in</w:t>
      </w:r>
      <w:r>
        <w:rPr>
          <w:spacing w:val="-3"/>
        </w:rPr>
        <w:t> </w:t>
      </w:r>
      <w:r>
        <w:rPr/>
        <w:t>a</w:t>
      </w:r>
      <w:r>
        <w:rPr>
          <w:spacing w:val="-3"/>
        </w:rPr>
        <w:t> </w:t>
      </w:r>
      <w:r>
        <w:rPr/>
        <w:t>culturally</w:t>
      </w:r>
      <w:r>
        <w:rPr>
          <w:spacing w:val="-5"/>
        </w:rPr>
        <w:t> </w:t>
      </w:r>
      <w:r>
        <w:rPr/>
        <w:t>appropriate</w:t>
      </w:r>
      <w:r>
        <w:rPr>
          <w:spacing w:val="-3"/>
        </w:rPr>
        <w:t> </w:t>
      </w:r>
      <w:r>
        <w:rPr/>
        <w:t>manner,</w:t>
      </w:r>
      <w:r>
        <w:rPr>
          <w:spacing w:val="-6"/>
        </w:rPr>
        <w:t> </w:t>
      </w:r>
      <w:r>
        <w:rPr/>
        <w:t>and</w:t>
      </w:r>
      <w:r>
        <w:rPr>
          <w:spacing w:val="-4"/>
        </w:rPr>
        <w:t> </w:t>
      </w:r>
      <w:r>
        <w:rPr/>
        <w:t>that</w:t>
      </w:r>
      <w:r>
        <w:rPr>
          <w:spacing w:val="-52"/>
        </w:rPr>
        <w:t> </w:t>
      </w:r>
      <w:r>
        <w:rPr/>
        <w:t>any</w:t>
      </w:r>
      <w:r>
        <w:rPr>
          <w:spacing w:val="-3"/>
        </w:rPr>
        <w:t> </w:t>
      </w:r>
      <w:r>
        <w:rPr/>
        <w:t>risks</w:t>
      </w:r>
      <w:r>
        <w:rPr>
          <w:spacing w:val="-1"/>
        </w:rPr>
        <w:t> </w:t>
      </w:r>
      <w:r>
        <w:rPr/>
        <w:t>of</w:t>
      </w:r>
      <w:r>
        <w:rPr>
          <w:spacing w:val="-2"/>
        </w:rPr>
        <w:t> </w:t>
      </w:r>
      <w:r>
        <w:rPr/>
        <w:t>harm</w:t>
      </w:r>
      <w:r>
        <w:rPr>
          <w:spacing w:val="-1"/>
        </w:rPr>
        <w:t> </w:t>
      </w:r>
      <w:r>
        <w:rPr/>
        <w:t>to</w:t>
      </w:r>
      <w:r>
        <w:rPr>
          <w:spacing w:val="-1"/>
        </w:rPr>
        <w:t> </w:t>
      </w:r>
      <w:r>
        <w:rPr/>
        <w:t>these</w:t>
      </w:r>
      <w:r>
        <w:rPr>
          <w:spacing w:val="-2"/>
        </w:rPr>
        <w:t> </w:t>
      </w:r>
      <w:r>
        <w:rPr/>
        <w:t>populations</w:t>
      </w:r>
      <w:r>
        <w:rPr>
          <w:spacing w:val="-1"/>
        </w:rPr>
        <w:t> </w:t>
      </w:r>
      <w:r>
        <w:rPr/>
        <w:t>are</w:t>
      </w:r>
      <w:r>
        <w:rPr>
          <w:spacing w:val="-2"/>
        </w:rPr>
        <w:t> </w:t>
      </w:r>
      <w:r>
        <w:rPr/>
        <w:t>identified</w:t>
      </w:r>
      <w:r>
        <w:rPr>
          <w:spacing w:val="-1"/>
        </w:rPr>
        <w:t> </w:t>
      </w:r>
      <w:r>
        <w:rPr/>
        <w:t>and</w:t>
      </w:r>
      <w:r>
        <w:rPr>
          <w:spacing w:val="-1"/>
        </w:rPr>
        <w:t> </w:t>
      </w:r>
      <w:r>
        <w:rPr/>
        <w:t>managed.</w:t>
      </w:r>
    </w:p>
    <w:p>
      <w:pPr>
        <w:pStyle w:val="Heading5"/>
        <w:spacing w:before="203"/>
      </w:pPr>
      <w:r>
        <w:rPr>
          <w:color w:val="003C79"/>
        </w:rPr>
        <w:t>Practice</w:t>
      </w:r>
      <w:r>
        <w:rPr>
          <w:color w:val="003C79"/>
          <w:spacing w:val="-3"/>
        </w:rPr>
        <w:t> </w:t>
      </w:r>
      <w:r>
        <w:rPr>
          <w:color w:val="003C79"/>
        </w:rPr>
        <w:t>and</w:t>
      </w:r>
      <w:r>
        <w:rPr>
          <w:color w:val="003C79"/>
          <w:spacing w:val="-1"/>
        </w:rPr>
        <w:t> </w:t>
      </w:r>
      <w:r>
        <w:rPr>
          <w:color w:val="003C79"/>
        </w:rPr>
        <w:t>PHN</w:t>
      </w:r>
      <w:r>
        <w:rPr>
          <w:color w:val="003C79"/>
          <w:spacing w:val="-3"/>
        </w:rPr>
        <w:t> </w:t>
      </w:r>
      <w:r>
        <w:rPr>
          <w:color w:val="003C79"/>
        </w:rPr>
        <w:t>staff</w:t>
      </w:r>
    </w:p>
    <w:p>
      <w:pPr>
        <w:pStyle w:val="BodyText"/>
        <w:spacing w:line="276" w:lineRule="auto" w:before="43"/>
        <w:ind w:left="860" w:right="1154"/>
      </w:pPr>
      <w:r>
        <w:rPr/>
        <w:t>The experience of health staff involved in the HCH program will be collected by survey, and</w:t>
      </w:r>
      <w:r>
        <w:rPr>
          <w:spacing w:val="1"/>
        </w:rPr>
        <w:t> </w:t>
      </w:r>
      <w:r>
        <w:rPr/>
        <w:t>through interviews with practice and PHN staff. The letter of agreement signed by the</w:t>
      </w:r>
      <w:r>
        <w:rPr>
          <w:spacing w:val="1"/>
        </w:rPr>
        <w:t> </w:t>
      </w:r>
      <w:r>
        <w:rPr/>
        <w:t>practices participating in the trial will contain information about the evaluation, specifically</w:t>
      </w:r>
      <w:r>
        <w:rPr>
          <w:spacing w:val="1"/>
        </w:rPr>
        <w:t> </w:t>
      </w:r>
      <w:r>
        <w:rPr/>
        <w:t>that practice members will be approached to provide information (through a survey or</w:t>
      </w:r>
      <w:r>
        <w:rPr>
          <w:spacing w:val="1"/>
        </w:rPr>
        <w:t> </w:t>
      </w:r>
      <w:r>
        <w:rPr/>
        <w:t>interview, or both) about their experiences of the HCH program. Informed consent will then</w:t>
      </w:r>
      <w:r>
        <w:rPr>
          <w:spacing w:val="1"/>
        </w:rPr>
        <w:t> </w:t>
      </w:r>
      <w:r>
        <w:rPr/>
        <w:t>be obtained at the time of the survey/ interview. PHNs with one or more practices</w:t>
      </w:r>
      <w:r>
        <w:rPr>
          <w:spacing w:val="1"/>
        </w:rPr>
        <w:t> </w:t>
      </w:r>
      <w:r>
        <w:rPr/>
        <w:t>participating</w:t>
      </w:r>
      <w:r>
        <w:rPr>
          <w:spacing w:val="-4"/>
        </w:rPr>
        <w:t> </w:t>
      </w:r>
      <w:r>
        <w:rPr/>
        <w:t>in</w:t>
      </w:r>
      <w:r>
        <w:rPr>
          <w:spacing w:val="-2"/>
        </w:rPr>
        <w:t> </w:t>
      </w:r>
      <w:r>
        <w:rPr/>
        <w:t>HCH</w:t>
      </w:r>
      <w:r>
        <w:rPr>
          <w:spacing w:val="-2"/>
        </w:rPr>
        <w:t> </w:t>
      </w:r>
      <w:r>
        <w:rPr/>
        <w:t>will</w:t>
      </w:r>
      <w:r>
        <w:rPr>
          <w:spacing w:val="-4"/>
        </w:rPr>
        <w:t> </w:t>
      </w:r>
      <w:r>
        <w:rPr/>
        <w:t>be</w:t>
      </w:r>
      <w:r>
        <w:rPr>
          <w:spacing w:val="-3"/>
        </w:rPr>
        <w:t> </w:t>
      </w:r>
      <w:r>
        <w:rPr/>
        <w:t>notified</w:t>
      </w:r>
      <w:r>
        <w:rPr>
          <w:spacing w:val="-3"/>
        </w:rPr>
        <w:t> </w:t>
      </w:r>
      <w:r>
        <w:rPr/>
        <w:t>of</w:t>
      </w:r>
      <w:r>
        <w:rPr>
          <w:spacing w:val="-4"/>
        </w:rPr>
        <w:t> </w:t>
      </w:r>
      <w:r>
        <w:rPr/>
        <w:t>the</w:t>
      </w:r>
      <w:r>
        <w:rPr>
          <w:spacing w:val="-3"/>
        </w:rPr>
        <w:t> </w:t>
      </w:r>
      <w:r>
        <w:rPr/>
        <w:t>intent</w:t>
      </w:r>
      <w:r>
        <w:rPr>
          <w:spacing w:val="-3"/>
        </w:rPr>
        <w:t> </w:t>
      </w:r>
      <w:r>
        <w:rPr/>
        <w:t>of</w:t>
      </w:r>
      <w:r>
        <w:rPr>
          <w:spacing w:val="-3"/>
        </w:rPr>
        <w:t> </w:t>
      </w:r>
      <w:r>
        <w:rPr/>
        <w:t>the</w:t>
      </w:r>
      <w:r>
        <w:rPr>
          <w:spacing w:val="-3"/>
        </w:rPr>
        <w:t> </w:t>
      </w:r>
      <w:r>
        <w:rPr/>
        <w:t>evaluation</w:t>
      </w:r>
      <w:r>
        <w:rPr>
          <w:spacing w:val="-2"/>
        </w:rPr>
        <w:t> </w:t>
      </w:r>
      <w:r>
        <w:rPr/>
        <w:t>to</w:t>
      </w:r>
      <w:r>
        <w:rPr>
          <w:spacing w:val="-4"/>
        </w:rPr>
        <w:t> </w:t>
      </w:r>
      <w:r>
        <w:rPr/>
        <w:t>gather</w:t>
      </w:r>
      <w:r>
        <w:rPr>
          <w:spacing w:val="-3"/>
        </w:rPr>
        <w:t> </w:t>
      </w:r>
      <w:r>
        <w:rPr/>
        <w:t>their</w:t>
      </w:r>
      <w:r>
        <w:rPr>
          <w:spacing w:val="-3"/>
        </w:rPr>
        <w:t> </w:t>
      </w:r>
      <w:r>
        <w:rPr/>
        <w:t>views</w:t>
      </w:r>
      <w:r>
        <w:rPr>
          <w:spacing w:val="-3"/>
        </w:rPr>
        <w:t> </w:t>
      </w:r>
      <w:r>
        <w:rPr/>
        <w:t>about</w:t>
      </w:r>
      <w:r>
        <w:rPr>
          <w:spacing w:val="-52"/>
        </w:rPr>
        <w:t> </w:t>
      </w:r>
      <w:r>
        <w:rPr/>
        <w:t>the implementation amongst their practices. Informed consent will then be obtained from</w:t>
      </w:r>
      <w:r>
        <w:rPr>
          <w:spacing w:val="1"/>
        </w:rPr>
        <w:t> </w:t>
      </w:r>
      <w:r>
        <w:rPr/>
        <w:t>individuals</w:t>
      </w:r>
      <w:r>
        <w:rPr>
          <w:spacing w:val="-2"/>
        </w:rPr>
        <w:t> </w:t>
      </w:r>
      <w:r>
        <w:rPr/>
        <w:t>at</w:t>
      </w:r>
      <w:r>
        <w:rPr>
          <w:spacing w:val="-1"/>
        </w:rPr>
        <w:t> </w:t>
      </w:r>
      <w:r>
        <w:rPr/>
        <w:t>the</w:t>
      </w:r>
      <w:r>
        <w:rPr>
          <w:spacing w:val="-1"/>
        </w:rPr>
        <w:t> </w:t>
      </w:r>
      <w:r>
        <w:rPr/>
        <w:t>time</w:t>
      </w:r>
      <w:r>
        <w:rPr>
          <w:spacing w:val="-1"/>
        </w:rPr>
        <w:t> </w:t>
      </w:r>
      <w:r>
        <w:rPr/>
        <w:t>of</w:t>
      </w:r>
      <w:r>
        <w:rPr>
          <w:spacing w:val="1"/>
        </w:rPr>
        <w:t> </w:t>
      </w:r>
      <w:r>
        <w:rPr/>
        <w:t>the</w:t>
      </w:r>
      <w:r>
        <w:rPr>
          <w:spacing w:val="-2"/>
        </w:rPr>
        <w:t> </w:t>
      </w:r>
      <w:r>
        <w:rPr/>
        <w:t>survey/</w:t>
      </w:r>
      <w:r>
        <w:rPr>
          <w:spacing w:val="-1"/>
        </w:rPr>
        <w:t> </w:t>
      </w:r>
      <w:r>
        <w:rPr/>
        <w:t>interview.</w:t>
      </w:r>
    </w:p>
    <w:p>
      <w:pPr>
        <w:pStyle w:val="Heading5"/>
      </w:pPr>
      <w:r>
        <w:rPr>
          <w:color w:val="003C79"/>
        </w:rPr>
        <w:t>Provision</w:t>
      </w:r>
      <w:r>
        <w:rPr>
          <w:color w:val="003C79"/>
          <w:spacing w:val="-3"/>
        </w:rPr>
        <w:t> </w:t>
      </w:r>
      <w:r>
        <w:rPr>
          <w:color w:val="003C79"/>
        </w:rPr>
        <w:t>for</w:t>
      </w:r>
      <w:r>
        <w:rPr>
          <w:color w:val="003C79"/>
          <w:spacing w:val="-3"/>
        </w:rPr>
        <w:t> </w:t>
      </w:r>
      <w:r>
        <w:rPr>
          <w:color w:val="003C79"/>
        </w:rPr>
        <w:t>secondary</w:t>
      </w:r>
      <w:r>
        <w:rPr>
          <w:color w:val="003C79"/>
          <w:spacing w:val="-4"/>
        </w:rPr>
        <w:t> </w:t>
      </w:r>
      <w:r>
        <w:rPr>
          <w:color w:val="003C79"/>
        </w:rPr>
        <w:t>uses</w:t>
      </w:r>
      <w:r>
        <w:rPr>
          <w:color w:val="003C79"/>
          <w:spacing w:val="-3"/>
        </w:rPr>
        <w:t> </w:t>
      </w:r>
      <w:r>
        <w:rPr>
          <w:color w:val="003C79"/>
        </w:rPr>
        <w:t>of</w:t>
      </w:r>
      <w:r>
        <w:rPr>
          <w:color w:val="003C79"/>
          <w:spacing w:val="-1"/>
        </w:rPr>
        <w:t> </w:t>
      </w:r>
      <w:r>
        <w:rPr>
          <w:color w:val="003C79"/>
        </w:rPr>
        <w:t>the</w:t>
      </w:r>
      <w:r>
        <w:rPr>
          <w:color w:val="003C79"/>
          <w:spacing w:val="-3"/>
        </w:rPr>
        <w:t> </w:t>
      </w:r>
      <w:r>
        <w:rPr>
          <w:color w:val="003C79"/>
        </w:rPr>
        <w:t>evaluation</w:t>
      </w:r>
      <w:r>
        <w:rPr>
          <w:color w:val="003C79"/>
          <w:spacing w:val="-2"/>
        </w:rPr>
        <w:t> </w:t>
      </w:r>
      <w:r>
        <w:rPr>
          <w:color w:val="003C79"/>
        </w:rPr>
        <w:t>data</w:t>
      </w:r>
    </w:p>
    <w:p>
      <w:pPr>
        <w:pStyle w:val="BodyText"/>
        <w:spacing w:line="276" w:lineRule="auto" w:before="44"/>
        <w:ind w:left="860" w:right="1245"/>
      </w:pPr>
      <w:r>
        <w:rPr/>
        <w:t>The data compiled for the evaluation is likely to have other applications beyond the</w:t>
      </w:r>
      <w:r>
        <w:rPr>
          <w:spacing w:val="1"/>
        </w:rPr>
        <w:t> </w:t>
      </w:r>
      <w:r>
        <w:rPr/>
        <w:t>immediate ones identified for evaluation. Therefore, it is intended to make the data set</w:t>
      </w:r>
      <w:r>
        <w:rPr>
          <w:spacing w:val="1"/>
        </w:rPr>
        <w:t> </w:t>
      </w:r>
      <w:r>
        <w:rPr/>
        <w:t>available for secondary uses. This will be requested in the ethics applications for the project.</w:t>
      </w:r>
      <w:r>
        <w:rPr>
          <w:spacing w:val="1"/>
        </w:rPr>
        <w:t> </w:t>
      </w:r>
      <w:r>
        <w:rPr/>
        <w:t>Any secondary uses will be subject to separate approvals from the relevant human research</w:t>
      </w:r>
      <w:r>
        <w:rPr>
          <w:spacing w:val="-53"/>
        </w:rPr>
        <w:t> </w:t>
      </w:r>
      <w:r>
        <w:rPr/>
        <w:t>ethics committees. Data available for secondary use will not identify any individual under</w:t>
      </w:r>
      <w:r>
        <w:rPr>
          <w:spacing w:val="1"/>
        </w:rPr>
        <w:t> </w:t>
      </w:r>
      <w:r>
        <w:rPr/>
        <w:t>any circumstances. However, where they identify or potentially identify organisations or</w:t>
      </w:r>
      <w:r>
        <w:rPr>
          <w:spacing w:val="1"/>
        </w:rPr>
        <w:t> </w:t>
      </w:r>
      <w:r>
        <w:rPr/>
        <w:t>communities, researchers will need to also seek consent for the use of the data from the</w:t>
      </w:r>
      <w:r>
        <w:rPr>
          <w:spacing w:val="1"/>
        </w:rPr>
        <w:t> </w:t>
      </w:r>
      <w:r>
        <w:rPr/>
        <w:t>relevant organisations</w:t>
      </w:r>
      <w:r>
        <w:rPr>
          <w:spacing w:val="-1"/>
        </w:rPr>
        <w:t> </w:t>
      </w:r>
      <w:r>
        <w:rPr/>
        <w:t>or</w:t>
      </w:r>
      <w:r>
        <w:rPr>
          <w:spacing w:val="-1"/>
        </w:rPr>
        <w:t> </w:t>
      </w:r>
      <w:r>
        <w:rPr/>
        <w:t>communities.</w:t>
      </w:r>
    </w:p>
    <w:p>
      <w:pPr>
        <w:spacing w:after="0" w:line="276" w:lineRule="auto"/>
        <w:sectPr>
          <w:pgSz w:w="11910" w:h="16840"/>
          <w:pgMar w:header="0" w:footer="675" w:top="1340" w:bottom="860" w:left="580" w:right="280"/>
        </w:sectPr>
      </w:pPr>
    </w:p>
    <w:p>
      <w:pPr>
        <w:pStyle w:val="BodyText"/>
      </w:pPr>
      <w:r>
        <w:rPr/>
        <w:pict>
          <v:group style="position:absolute;margin-left:18.349787pt;margin-top:.149983pt;width:574.6pt;height:116.05pt;mso-position-horizontal-relative:page;mso-position-vertical-relative:page;z-index:-27540992" id="docshapegroup125" coordorigin="367,3" coordsize="11492,2321">
            <v:shape style="position:absolute;left:367;top:3;width:11492;height:1614" type="#_x0000_t75" id="docshape126" stroked="false">
              <v:imagedata r:id="rId32" o:title=""/>
            </v:shape>
            <v:shape style="position:absolute;left:10215;top:1068;width:1200;height:1155" id="docshape127" coordorigin="10215,1068" coordsize="1200,1155" path="m10815,1068l10740,1072,10667,1086,10598,1107,10533,1136,10472,1171,10417,1214,10366,1262,10322,1316,10285,1374,10255,1437,10233,1503,10220,1573,10215,1645,10220,1718,10233,1788,10255,1854,10285,1917,10322,1975,10366,2029,10417,2077,10472,2120,10533,2155,10598,2184,10667,2205,10740,2218,10815,2223,10890,2218,10963,2205,11032,2184,11097,2155,11158,2120,11213,2077,11264,2029,11308,1975,11345,1917,11375,1854,11397,1788,11410,1718,11415,1645,11410,1573,11397,1503,11375,1437,11345,1374,11308,1316,11264,1262,11213,1214,11158,1171,11097,1136,11032,1107,10963,1086,10890,1072,10815,1068xe" filled="true" fillcolor="#003c79" stroked="false">
              <v:path arrowok="t"/>
              <v:fill type="solid"/>
            </v:shape>
            <v:shape style="position:absolute;left:10215;top:1068;width:1200;height:1155" id="docshape128" coordorigin="10215,1068" coordsize="1200,1155" path="m10215,1645l10220,1573,10233,1503,10255,1437,10285,1374,10322,1316,10366,1262,10417,1214,10472,1171,10533,1136,10598,1107,10667,1086,10740,1072,10815,1068,10890,1072,10963,1086,11032,1107,11097,1136,11158,1171,11213,1214,11264,1262,11308,1316,11345,1374,11375,1437,11397,1503,11410,1573,11415,1645,11410,1718,11397,1788,11375,1854,11345,1917,11308,1975,11264,2029,11213,2077,11158,2120,11097,2155,11032,2184,10963,2205,10890,2218,10815,2223,10740,2218,10667,2205,10598,2184,10533,2155,10472,2120,10417,2077,10366,2029,10322,1975,10285,1917,10255,1854,10233,1788,10220,1718,10215,1645xe" filled="false" stroked="true" strokeweight="2.5pt" strokecolor="#003c79">
              <v:path arrowok="t"/>
              <v:stroke dashstyle="solid"/>
            </v:shape>
            <v:shape style="position:absolute;left:1440;top:1440;width:7791;height:883" type="#_x0000_t202" id="docshape129" filled="false" stroked="false">
              <v:textbox inset="0,0,0,0">
                <w:txbxContent>
                  <w:p>
                    <w:pPr>
                      <w:spacing w:before="0"/>
                      <w:ind w:left="0" w:right="0" w:firstLine="0"/>
                      <w:jc w:val="left"/>
                      <w:rPr>
                        <w:sz w:val="72"/>
                      </w:rPr>
                    </w:pPr>
                    <w:r>
                      <w:rPr>
                        <w:color w:val="003C79"/>
                        <w:sz w:val="72"/>
                      </w:rPr>
                      <w:t>Dissemination</w:t>
                    </w:r>
                    <w:r>
                      <w:rPr>
                        <w:color w:val="003C79"/>
                        <w:spacing w:val="-8"/>
                        <w:sz w:val="72"/>
                      </w:rPr>
                      <w:t> </w:t>
                    </w:r>
                    <w:r>
                      <w:rPr>
                        <w:color w:val="003C79"/>
                        <w:sz w:val="72"/>
                      </w:rPr>
                      <w:t>strategy</w:t>
                    </w:r>
                  </w:p>
                </w:txbxContent>
              </v:textbox>
              <w10:wrap type="none"/>
            </v:shape>
            <v:shape style="position:absolute;left:10571;top:1377;width:510;height:539" type="#_x0000_t202" id="docshape130" filled="false" stroked="false">
              <v:textbox inset="0,0,0,0">
                <w:txbxContent>
                  <w:p>
                    <w:pPr>
                      <w:spacing w:line="538" w:lineRule="exact" w:before="0"/>
                      <w:ind w:left="0" w:right="0" w:firstLine="0"/>
                      <w:jc w:val="left"/>
                      <w:rPr>
                        <w:b/>
                        <w:sz w:val="44"/>
                      </w:rPr>
                    </w:pPr>
                    <w:r>
                      <w:rPr>
                        <w:b/>
                        <w:color w:val="FFFFFF"/>
                        <w:sz w:val="44"/>
                      </w:rPr>
                      <w:t>12</w:t>
                    </w:r>
                  </w:p>
                </w:txbxContent>
              </v:textbox>
              <w10:wrap type="none"/>
            </v:shape>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6"/>
        </w:rPr>
      </w:pPr>
    </w:p>
    <w:p>
      <w:pPr>
        <w:pStyle w:val="BodyText"/>
        <w:spacing w:line="276" w:lineRule="auto" w:before="99"/>
        <w:ind w:left="860" w:right="1432"/>
      </w:pPr>
      <w:bookmarkStart w:name="_bookmark74" w:id="75"/>
      <w:bookmarkEnd w:id="75"/>
      <w:r>
        <w:rPr/>
      </w:r>
      <w:r>
        <w:rPr/>
        <w:t>Dissemination is an important component of evaluation. It ensures the use of findings from</w:t>
      </w:r>
      <w:r>
        <w:rPr>
          <w:spacing w:val="1"/>
        </w:rPr>
        <w:t> </w:t>
      </w:r>
      <w:r>
        <w:rPr/>
        <w:t>the evaluation and the sharing of lessons learned. It also helps to tailor materials produced</w:t>
      </w:r>
      <w:r>
        <w:rPr>
          <w:spacing w:val="-54"/>
        </w:rPr>
        <w:t> </w:t>
      </w:r>
      <w:r>
        <w:rPr/>
        <w:t>from the evaluation to the needs of key stakeholders reflecting the interest of each group.</w:t>
      </w:r>
      <w:r>
        <w:rPr>
          <w:spacing w:val="-53"/>
        </w:rPr>
        <w:t> </w:t>
      </w:r>
      <w:r>
        <w:rPr/>
        <w:t>Articulating an evaluation dissemination strategy in the early stages of the project assists in</w:t>
      </w:r>
      <w:r>
        <w:rPr>
          <w:spacing w:val="-53"/>
        </w:rPr>
        <w:t> </w:t>
      </w:r>
      <w:r>
        <w:rPr/>
        <w:t>ensuring</w:t>
      </w:r>
      <w:r>
        <w:rPr>
          <w:spacing w:val="-2"/>
        </w:rPr>
        <w:t> </w:t>
      </w:r>
      <w:r>
        <w:rPr/>
        <w:t>that</w:t>
      </w:r>
      <w:r>
        <w:rPr>
          <w:spacing w:val="-2"/>
        </w:rPr>
        <w:t> </w:t>
      </w:r>
      <w:r>
        <w:rPr/>
        <w:t>the</w:t>
      </w:r>
      <w:r>
        <w:rPr>
          <w:spacing w:val="-1"/>
        </w:rPr>
        <w:t> </w:t>
      </w:r>
      <w:r>
        <w:rPr/>
        <w:t>project</w:t>
      </w:r>
      <w:r>
        <w:rPr>
          <w:spacing w:val="-2"/>
        </w:rPr>
        <w:t> </w:t>
      </w:r>
      <w:r>
        <w:rPr/>
        <w:t>is</w:t>
      </w:r>
      <w:r>
        <w:rPr>
          <w:spacing w:val="-1"/>
        </w:rPr>
        <w:t> </w:t>
      </w:r>
      <w:r>
        <w:rPr/>
        <w:t>conducted</w:t>
      </w:r>
      <w:r>
        <w:rPr>
          <w:spacing w:val="-2"/>
        </w:rPr>
        <w:t> </w:t>
      </w:r>
      <w:r>
        <w:rPr/>
        <w:t>with</w:t>
      </w:r>
      <w:r>
        <w:rPr>
          <w:spacing w:val="-2"/>
        </w:rPr>
        <w:t> </w:t>
      </w:r>
      <w:r>
        <w:rPr/>
        <w:t>these</w:t>
      </w:r>
      <w:r>
        <w:rPr>
          <w:spacing w:val="1"/>
        </w:rPr>
        <w:t> </w:t>
      </w:r>
      <w:r>
        <w:rPr/>
        <w:t>objectives</w:t>
      </w:r>
      <w:r>
        <w:rPr>
          <w:spacing w:val="-1"/>
        </w:rPr>
        <w:t> </w:t>
      </w:r>
      <w:r>
        <w:rPr/>
        <w:t>in</w:t>
      </w:r>
      <w:r>
        <w:rPr>
          <w:spacing w:val="-1"/>
        </w:rPr>
        <w:t> </w:t>
      </w:r>
      <w:r>
        <w:rPr/>
        <w:t>mind.</w:t>
      </w:r>
    </w:p>
    <w:p>
      <w:pPr>
        <w:pStyle w:val="Heading2"/>
        <w:spacing w:before="200"/>
      </w:pPr>
      <w:bookmarkStart w:name="_bookmark75" w:id="76"/>
      <w:bookmarkEnd w:id="76"/>
      <w:r>
        <w:rPr/>
      </w:r>
      <w:r>
        <w:rPr>
          <w:color w:val="003C79"/>
        </w:rPr>
        <w:t>Dissemination</w:t>
      </w:r>
      <w:r>
        <w:rPr>
          <w:color w:val="003C79"/>
          <w:spacing w:val="-13"/>
        </w:rPr>
        <w:t> </w:t>
      </w:r>
      <w:r>
        <w:rPr>
          <w:color w:val="003C79"/>
        </w:rPr>
        <w:t>products</w:t>
      </w:r>
    </w:p>
    <w:p>
      <w:pPr>
        <w:pStyle w:val="BodyText"/>
        <w:spacing w:before="259"/>
        <w:ind w:left="860"/>
      </w:pPr>
      <w:r>
        <w:rPr/>
        <w:t>The</w:t>
      </w:r>
      <w:r>
        <w:rPr>
          <w:spacing w:val="-4"/>
        </w:rPr>
        <w:t> </w:t>
      </w:r>
      <w:r>
        <w:rPr/>
        <w:t>major</w:t>
      </w:r>
      <w:r>
        <w:rPr>
          <w:spacing w:val="-4"/>
        </w:rPr>
        <w:t> </w:t>
      </w:r>
      <w:r>
        <w:rPr/>
        <w:t>products</w:t>
      </w:r>
      <w:r>
        <w:rPr>
          <w:spacing w:val="-3"/>
        </w:rPr>
        <w:t> </w:t>
      </w:r>
      <w:r>
        <w:rPr/>
        <w:t>that</w:t>
      </w:r>
      <w:r>
        <w:rPr>
          <w:spacing w:val="-4"/>
        </w:rPr>
        <w:t> </w:t>
      </w:r>
      <w:r>
        <w:rPr/>
        <w:t>are</w:t>
      </w:r>
      <w:r>
        <w:rPr>
          <w:spacing w:val="-3"/>
        </w:rPr>
        <w:t> </w:t>
      </w:r>
      <w:r>
        <w:rPr/>
        <w:t>intended</w:t>
      </w:r>
      <w:r>
        <w:rPr>
          <w:spacing w:val="-3"/>
        </w:rPr>
        <w:t> </w:t>
      </w:r>
      <w:r>
        <w:rPr/>
        <w:t>from</w:t>
      </w:r>
      <w:r>
        <w:rPr>
          <w:spacing w:val="-3"/>
        </w:rPr>
        <w:t> </w:t>
      </w:r>
      <w:r>
        <w:rPr/>
        <w:t>the</w:t>
      </w:r>
      <w:r>
        <w:rPr>
          <w:spacing w:val="-4"/>
        </w:rPr>
        <w:t> </w:t>
      </w:r>
      <w:r>
        <w:rPr/>
        <w:t>evaluation</w:t>
      </w:r>
      <w:r>
        <w:rPr>
          <w:spacing w:val="-3"/>
        </w:rPr>
        <w:t> </w:t>
      </w:r>
      <w:r>
        <w:rPr/>
        <w:t>are:</w:t>
      </w:r>
    </w:p>
    <w:p>
      <w:pPr>
        <w:pStyle w:val="BodyText"/>
        <w:spacing w:before="5"/>
        <w:rPr>
          <w:sz w:val="19"/>
        </w:rPr>
      </w:pPr>
    </w:p>
    <w:p>
      <w:pPr>
        <w:pStyle w:val="ListParagraph"/>
        <w:numPr>
          <w:ilvl w:val="0"/>
          <w:numId w:val="17"/>
        </w:numPr>
        <w:tabs>
          <w:tab w:pos="1573" w:val="left" w:leader="none"/>
          <w:tab w:pos="1574" w:val="left" w:leader="none"/>
        </w:tabs>
        <w:spacing w:line="276" w:lineRule="auto" w:before="0" w:after="0"/>
        <w:ind w:left="1573" w:right="1970" w:hanging="356"/>
        <w:jc w:val="left"/>
        <w:rPr>
          <w:sz w:val="20"/>
        </w:rPr>
      </w:pPr>
      <w:r>
        <w:rPr>
          <w:b/>
          <w:sz w:val="20"/>
        </w:rPr>
        <w:t>Ministerial/ governmental briefings</w:t>
      </w:r>
      <w:r>
        <w:rPr>
          <w:sz w:val="20"/>
        </w:rPr>
        <w:t>. A set of papers intended to inform various</w:t>
      </w:r>
      <w:r>
        <w:rPr>
          <w:spacing w:val="-53"/>
          <w:sz w:val="20"/>
        </w:rPr>
        <w:t> </w:t>
      </w:r>
      <w:r>
        <w:rPr>
          <w:sz w:val="20"/>
        </w:rPr>
        <w:t>governments</w:t>
      </w:r>
      <w:r>
        <w:rPr>
          <w:spacing w:val="-3"/>
          <w:sz w:val="20"/>
        </w:rPr>
        <w:t> </w:t>
      </w:r>
      <w:r>
        <w:rPr>
          <w:sz w:val="20"/>
        </w:rPr>
        <w:t>on</w:t>
      </w:r>
      <w:r>
        <w:rPr>
          <w:spacing w:val="-2"/>
          <w:sz w:val="20"/>
        </w:rPr>
        <w:t> </w:t>
      </w:r>
      <w:r>
        <w:rPr>
          <w:sz w:val="20"/>
        </w:rPr>
        <w:t>the</w:t>
      </w:r>
      <w:r>
        <w:rPr>
          <w:spacing w:val="-3"/>
          <w:sz w:val="20"/>
        </w:rPr>
        <w:t> </w:t>
      </w:r>
      <w:r>
        <w:rPr>
          <w:sz w:val="20"/>
        </w:rPr>
        <w:t>progress</w:t>
      </w:r>
      <w:r>
        <w:rPr>
          <w:spacing w:val="-1"/>
          <w:sz w:val="20"/>
        </w:rPr>
        <w:t> </w:t>
      </w:r>
      <w:r>
        <w:rPr>
          <w:sz w:val="20"/>
        </w:rPr>
        <w:t>of</w:t>
      </w:r>
      <w:r>
        <w:rPr>
          <w:spacing w:val="-2"/>
          <w:sz w:val="20"/>
        </w:rPr>
        <w:t> </w:t>
      </w:r>
      <w:r>
        <w:rPr>
          <w:sz w:val="20"/>
        </w:rPr>
        <w:t>the</w:t>
      </w:r>
      <w:r>
        <w:rPr>
          <w:spacing w:val="-3"/>
          <w:sz w:val="20"/>
        </w:rPr>
        <w:t> </w:t>
      </w:r>
      <w:r>
        <w:rPr>
          <w:sz w:val="20"/>
        </w:rPr>
        <w:t>evaluation,</w:t>
      </w:r>
      <w:r>
        <w:rPr>
          <w:spacing w:val="-5"/>
          <w:sz w:val="20"/>
        </w:rPr>
        <w:t> </w:t>
      </w:r>
      <w:r>
        <w:rPr>
          <w:sz w:val="20"/>
        </w:rPr>
        <w:t>emerging</w:t>
      </w:r>
      <w:r>
        <w:rPr>
          <w:spacing w:val="-3"/>
          <w:sz w:val="20"/>
        </w:rPr>
        <w:t> </w:t>
      </w:r>
      <w:r>
        <w:rPr>
          <w:sz w:val="20"/>
        </w:rPr>
        <w:t>and</w:t>
      </w:r>
      <w:r>
        <w:rPr>
          <w:spacing w:val="-2"/>
          <w:sz w:val="20"/>
        </w:rPr>
        <w:t> </w:t>
      </w:r>
      <w:r>
        <w:rPr>
          <w:sz w:val="20"/>
        </w:rPr>
        <w:t>final</w:t>
      </w:r>
      <w:r>
        <w:rPr>
          <w:spacing w:val="-2"/>
          <w:sz w:val="20"/>
        </w:rPr>
        <w:t> </w:t>
      </w:r>
      <w:r>
        <w:rPr>
          <w:sz w:val="20"/>
        </w:rPr>
        <w:t>findings.</w:t>
      </w:r>
    </w:p>
    <w:p>
      <w:pPr>
        <w:pStyle w:val="ListParagraph"/>
        <w:numPr>
          <w:ilvl w:val="0"/>
          <w:numId w:val="17"/>
        </w:numPr>
        <w:tabs>
          <w:tab w:pos="1573" w:val="left" w:leader="none"/>
          <w:tab w:pos="1574" w:val="left" w:leader="none"/>
        </w:tabs>
        <w:spacing w:line="276" w:lineRule="auto" w:before="199" w:after="0"/>
        <w:ind w:left="1573" w:right="1510" w:hanging="356"/>
        <w:jc w:val="left"/>
        <w:rPr>
          <w:sz w:val="20"/>
        </w:rPr>
      </w:pPr>
      <w:r>
        <w:rPr>
          <w:b/>
          <w:sz w:val="20"/>
        </w:rPr>
        <w:t>Evaluation protocol paper</w:t>
      </w:r>
      <w:r>
        <w:rPr>
          <w:sz w:val="20"/>
        </w:rPr>
        <w:t>. The evaluation team intends to develop a paper for</w:t>
      </w:r>
      <w:r>
        <w:rPr>
          <w:spacing w:val="1"/>
          <w:sz w:val="20"/>
        </w:rPr>
        <w:t> </w:t>
      </w:r>
      <w:r>
        <w:rPr>
          <w:sz w:val="20"/>
        </w:rPr>
        <w:t>publication in a peer reviewed journal outlining the evaluation methodology. The</w:t>
      </w:r>
      <w:r>
        <w:rPr>
          <w:spacing w:val="1"/>
          <w:sz w:val="20"/>
        </w:rPr>
        <w:t> </w:t>
      </w:r>
      <w:r>
        <w:rPr>
          <w:sz w:val="20"/>
        </w:rPr>
        <w:t>purpose of the paper will be to share the methodology with researchers and other</w:t>
      </w:r>
      <w:r>
        <w:rPr>
          <w:spacing w:val="-53"/>
          <w:sz w:val="20"/>
        </w:rPr>
        <w:t> </w:t>
      </w:r>
      <w:r>
        <w:rPr>
          <w:sz w:val="20"/>
        </w:rPr>
        <w:t>stakeholders.</w:t>
      </w:r>
    </w:p>
    <w:p>
      <w:pPr>
        <w:pStyle w:val="ListParagraph"/>
        <w:numPr>
          <w:ilvl w:val="0"/>
          <w:numId w:val="17"/>
        </w:numPr>
        <w:tabs>
          <w:tab w:pos="1573" w:val="left" w:leader="none"/>
          <w:tab w:pos="1574" w:val="left" w:leader="none"/>
        </w:tabs>
        <w:spacing w:line="276" w:lineRule="auto" w:before="202" w:after="0"/>
        <w:ind w:left="1573" w:right="1306" w:hanging="356"/>
        <w:jc w:val="left"/>
        <w:rPr>
          <w:sz w:val="20"/>
        </w:rPr>
      </w:pPr>
      <w:r>
        <w:rPr>
          <w:b/>
          <w:sz w:val="20"/>
        </w:rPr>
        <w:t>Other publications in peer reviewed literature and conference presentations</w:t>
      </w:r>
      <w:r>
        <w:rPr>
          <w:sz w:val="20"/>
        </w:rPr>
        <w:t>.</w:t>
      </w:r>
      <w:r>
        <w:rPr>
          <w:spacing w:val="1"/>
          <w:sz w:val="20"/>
        </w:rPr>
        <w:t> </w:t>
      </w:r>
      <w:r>
        <w:rPr>
          <w:sz w:val="20"/>
        </w:rPr>
        <w:t>Manuscripts on other aspects of the evaluation, including processes for conducting</w:t>
      </w:r>
      <w:r>
        <w:rPr>
          <w:spacing w:val="1"/>
          <w:sz w:val="20"/>
        </w:rPr>
        <w:t> </w:t>
      </w:r>
      <w:r>
        <w:rPr>
          <w:sz w:val="20"/>
        </w:rPr>
        <w:t>the</w:t>
      </w:r>
      <w:r>
        <w:rPr>
          <w:spacing w:val="-5"/>
          <w:sz w:val="20"/>
        </w:rPr>
        <w:t> </w:t>
      </w:r>
      <w:r>
        <w:rPr>
          <w:sz w:val="20"/>
        </w:rPr>
        <w:t>evaluation,</w:t>
      </w:r>
      <w:r>
        <w:rPr>
          <w:spacing w:val="-6"/>
          <w:sz w:val="20"/>
        </w:rPr>
        <w:t> </w:t>
      </w:r>
      <w:r>
        <w:rPr>
          <w:sz w:val="20"/>
        </w:rPr>
        <w:t>challenges</w:t>
      </w:r>
      <w:r>
        <w:rPr>
          <w:spacing w:val="-5"/>
          <w:sz w:val="20"/>
        </w:rPr>
        <w:t> </w:t>
      </w:r>
      <w:r>
        <w:rPr>
          <w:sz w:val="20"/>
        </w:rPr>
        <w:t>encountered,</w:t>
      </w:r>
      <w:r>
        <w:rPr>
          <w:spacing w:val="-6"/>
          <w:sz w:val="20"/>
        </w:rPr>
        <w:t> </w:t>
      </w:r>
      <w:r>
        <w:rPr>
          <w:sz w:val="20"/>
        </w:rPr>
        <w:t>and</w:t>
      </w:r>
      <w:r>
        <w:rPr>
          <w:spacing w:val="-2"/>
          <w:sz w:val="20"/>
        </w:rPr>
        <w:t> </w:t>
      </w:r>
      <w:r>
        <w:rPr>
          <w:sz w:val="20"/>
        </w:rPr>
        <w:t>findings,</w:t>
      </w:r>
      <w:r>
        <w:rPr>
          <w:spacing w:val="-6"/>
          <w:sz w:val="20"/>
        </w:rPr>
        <w:t> </w:t>
      </w:r>
      <w:r>
        <w:rPr>
          <w:sz w:val="20"/>
        </w:rPr>
        <w:t>are</w:t>
      </w:r>
      <w:r>
        <w:rPr>
          <w:spacing w:val="2"/>
          <w:sz w:val="20"/>
        </w:rPr>
        <w:t> </w:t>
      </w:r>
      <w:r>
        <w:rPr>
          <w:sz w:val="20"/>
        </w:rPr>
        <w:t>intended</w:t>
      </w:r>
      <w:r>
        <w:rPr>
          <w:spacing w:val="-4"/>
          <w:sz w:val="20"/>
        </w:rPr>
        <w:t> </w:t>
      </w:r>
      <w:r>
        <w:rPr>
          <w:sz w:val="20"/>
        </w:rPr>
        <w:t>to</w:t>
      </w:r>
      <w:r>
        <w:rPr>
          <w:spacing w:val="-5"/>
          <w:sz w:val="20"/>
        </w:rPr>
        <w:t> </w:t>
      </w:r>
      <w:r>
        <w:rPr>
          <w:sz w:val="20"/>
        </w:rPr>
        <w:t>be</w:t>
      </w:r>
      <w:r>
        <w:rPr>
          <w:spacing w:val="-4"/>
          <w:sz w:val="20"/>
        </w:rPr>
        <w:t> </w:t>
      </w:r>
      <w:r>
        <w:rPr>
          <w:sz w:val="20"/>
        </w:rPr>
        <w:t>published</w:t>
      </w:r>
      <w:r>
        <w:rPr>
          <w:spacing w:val="-52"/>
          <w:sz w:val="20"/>
        </w:rPr>
        <w:t> </w:t>
      </w:r>
      <w:r>
        <w:rPr>
          <w:sz w:val="20"/>
        </w:rPr>
        <w:t>in relevant peer reviewed journals. Opportunities to present at conferences will also</w:t>
      </w:r>
      <w:r>
        <w:rPr>
          <w:spacing w:val="1"/>
          <w:sz w:val="20"/>
        </w:rPr>
        <w:t> </w:t>
      </w:r>
      <w:r>
        <w:rPr>
          <w:sz w:val="20"/>
        </w:rPr>
        <w:t>be</w:t>
      </w:r>
      <w:r>
        <w:rPr>
          <w:spacing w:val="-2"/>
          <w:sz w:val="20"/>
        </w:rPr>
        <w:t> </w:t>
      </w:r>
      <w:r>
        <w:rPr>
          <w:sz w:val="20"/>
        </w:rPr>
        <w:t>sought.</w:t>
      </w:r>
    </w:p>
    <w:p>
      <w:pPr>
        <w:pStyle w:val="ListParagraph"/>
        <w:numPr>
          <w:ilvl w:val="0"/>
          <w:numId w:val="17"/>
        </w:numPr>
        <w:tabs>
          <w:tab w:pos="1573" w:val="left" w:leader="none"/>
          <w:tab w:pos="1574" w:val="left" w:leader="none"/>
        </w:tabs>
        <w:spacing w:line="276" w:lineRule="auto" w:before="200" w:after="0"/>
        <w:ind w:left="1573" w:right="1187" w:hanging="356"/>
        <w:jc w:val="left"/>
        <w:rPr>
          <w:sz w:val="20"/>
        </w:rPr>
      </w:pPr>
      <w:r>
        <w:rPr>
          <w:b/>
          <w:sz w:val="20"/>
        </w:rPr>
        <w:t>Presentations/</w:t>
      </w:r>
      <w:r>
        <w:rPr>
          <w:b/>
          <w:spacing w:val="-4"/>
          <w:sz w:val="20"/>
        </w:rPr>
        <w:t> </w:t>
      </w:r>
      <w:r>
        <w:rPr>
          <w:b/>
          <w:sz w:val="20"/>
        </w:rPr>
        <w:t>forums</w:t>
      </w:r>
      <w:r>
        <w:rPr>
          <w:b/>
          <w:spacing w:val="-3"/>
          <w:sz w:val="20"/>
        </w:rPr>
        <w:t> </w:t>
      </w:r>
      <w:r>
        <w:rPr>
          <w:b/>
          <w:sz w:val="20"/>
        </w:rPr>
        <w:t>for</w:t>
      </w:r>
      <w:r>
        <w:rPr>
          <w:b/>
          <w:spacing w:val="-3"/>
          <w:sz w:val="20"/>
        </w:rPr>
        <w:t> </w:t>
      </w:r>
      <w:r>
        <w:rPr>
          <w:b/>
          <w:sz w:val="20"/>
        </w:rPr>
        <w:t>discussion</w:t>
      </w:r>
      <w:r>
        <w:rPr>
          <w:sz w:val="20"/>
        </w:rPr>
        <w:t>.</w:t>
      </w:r>
      <w:r>
        <w:rPr>
          <w:spacing w:val="-7"/>
          <w:sz w:val="20"/>
        </w:rPr>
        <w:t> </w:t>
      </w:r>
      <w:r>
        <w:rPr>
          <w:sz w:val="20"/>
        </w:rPr>
        <w:t>Opportunities</w:t>
      </w:r>
      <w:r>
        <w:rPr>
          <w:spacing w:val="-7"/>
          <w:sz w:val="20"/>
        </w:rPr>
        <w:t> </w:t>
      </w:r>
      <w:r>
        <w:rPr>
          <w:sz w:val="20"/>
        </w:rPr>
        <w:t>for</w:t>
      </w:r>
      <w:r>
        <w:rPr>
          <w:spacing w:val="-5"/>
          <w:sz w:val="20"/>
        </w:rPr>
        <w:t> </w:t>
      </w:r>
      <w:r>
        <w:rPr>
          <w:sz w:val="20"/>
        </w:rPr>
        <w:t>input</w:t>
      </w:r>
      <w:r>
        <w:rPr>
          <w:spacing w:val="-3"/>
          <w:sz w:val="20"/>
        </w:rPr>
        <w:t> </w:t>
      </w:r>
      <w:r>
        <w:rPr>
          <w:sz w:val="20"/>
        </w:rPr>
        <w:t>by</w:t>
      </w:r>
      <w:r>
        <w:rPr>
          <w:spacing w:val="-6"/>
          <w:sz w:val="20"/>
        </w:rPr>
        <w:t> </w:t>
      </w:r>
      <w:r>
        <w:rPr>
          <w:sz w:val="20"/>
        </w:rPr>
        <w:t>stakeholders</w:t>
      </w:r>
      <w:r>
        <w:rPr>
          <w:spacing w:val="-3"/>
          <w:sz w:val="20"/>
        </w:rPr>
        <w:t> </w:t>
      </w:r>
      <w:r>
        <w:rPr>
          <w:sz w:val="20"/>
        </w:rPr>
        <w:t>on</w:t>
      </w:r>
      <w:r>
        <w:rPr>
          <w:spacing w:val="-4"/>
          <w:sz w:val="20"/>
        </w:rPr>
        <w:t> </w:t>
      </w:r>
      <w:r>
        <w:rPr>
          <w:sz w:val="20"/>
        </w:rPr>
        <w:t>various</w:t>
      </w:r>
      <w:r>
        <w:rPr>
          <w:spacing w:val="-52"/>
          <w:sz w:val="20"/>
        </w:rPr>
        <w:t> </w:t>
      </w:r>
      <w:r>
        <w:rPr>
          <w:sz w:val="20"/>
        </w:rPr>
        <w:t>aspects</w:t>
      </w:r>
      <w:r>
        <w:rPr>
          <w:spacing w:val="-4"/>
          <w:sz w:val="20"/>
        </w:rPr>
        <w:t> </w:t>
      </w:r>
      <w:r>
        <w:rPr>
          <w:sz w:val="20"/>
        </w:rPr>
        <w:t>of</w:t>
      </w:r>
      <w:r>
        <w:rPr>
          <w:spacing w:val="-3"/>
          <w:sz w:val="20"/>
        </w:rPr>
        <w:t> </w:t>
      </w:r>
      <w:r>
        <w:rPr>
          <w:sz w:val="20"/>
        </w:rPr>
        <w:t>the</w:t>
      </w:r>
      <w:r>
        <w:rPr>
          <w:spacing w:val="-4"/>
          <w:sz w:val="20"/>
        </w:rPr>
        <w:t> </w:t>
      </w:r>
      <w:r>
        <w:rPr>
          <w:sz w:val="20"/>
        </w:rPr>
        <w:t>evaluation,</w:t>
      </w:r>
      <w:r>
        <w:rPr>
          <w:spacing w:val="-5"/>
          <w:sz w:val="20"/>
        </w:rPr>
        <w:t> </w:t>
      </w:r>
      <w:r>
        <w:rPr>
          <w:sz w:val="20"/>
        </w:rPr>
        <w:t>including</w:t>
      </w:r>
      <w:r>
        <w:rPr>
          <w:spacing w:val="-3"/>
          <w:sz w:val="20"/>
        </w:rPr>
        <w:t> </w:t>
      </w:r>
      <w:r>
        <w:rPr>
          <w:sz w:val="20"/>
        </w:rPr>
        <w:t>the</w:t>
      </w:r>
      <w:r>
        <w:rPr>
          <w:spacing w:val="-3"/>
          <w:sz w:val="20"/>
        </w:rPr>
        <w:t> </w:t>
      </w:r>
      <w:r>
        <w:rPr>
          <w:sz w:val="20"/>
        </w:rPr>
        <w:t>design,</w:t>
      </w:r>
      <w:r>
        <w:rPr>
          <w:spacing w:val="-6"/>
          <w:sz w:val="20"/>
        </w:rPr>
        <w:t> </w:t>
      </w:r>
      <w:r>
        <w:rPr>
          <w:sz w:val="20"/>
        </w:rPr>
        <w:t>process,</w:t>
      </w:r>
      <w:r>
        <w:rPr>
          <w:spacing w:val="-3"/>
          <w:sz w:val="20"/>
        </w:rPr>
        <w:t> </w:t>
      </w:r>
      <w:r>
        <w:rPr>
          <w:sz w:val="20"/>
        </w:rPr>
        <w:t>and</w:t>
      </w:r>
      <w:r>
        <w:rPr>
          <w:spacing w:val="-3"/>
          <w:sz w:val="20"/>
        </w:rPr>
        <w:t> </w:t>
      </w:r>
      <w:r>
        <w:rPr>
          <w:sz w:val="20"/>
        </w:rPr>
        <w:t>interpretation</w:t>
      </w:r>
      <w:r>
        <w:rPr>
          <w:spacing w:val="-3"/>
          <w:sz w:val="20"/>
        </w:rPr>
        <w:t> </w:t>
      </w:r>
      <w:r>
        <w:rPr>
          <w:sz w:val="20"/>
        </w:rPr>
        <w:t>of</w:t>
      </w:r>
      <w:r>
        <w:rPr>
          <w:spacing w:val="-3"/>
          <w:sz w:val="20"/>
        </w:rPr>
        <w:t> </w:t>
      </w:r>
      <w:r>
        <w:rPr>
          <w:sz w:val="20"/>
        </w:rPr>
        <w:t>results.</w:t>
      </w:r>
    </w:p>
    <w:p>
      <w:pPr>
        <w:pStyle w:val="ListParagraph"/>
        <w:numPr>
          <w:ilvl w:val="0"/>
          <w:numId w:val="17"/>
        </w:numPr>
        <w:tabs>
          <w:tab w:pos="1573" w:val="left" w:leader="none"/>
          <w:tab w:pos="1574" w:val="left" w:leader="none"/>
        </w:tabs>
        <w:spacing w:line="276" w:lineRule="auto" w:before="200" w:after="0"/>
        <w:ind w:left="1573" w:right="2026" w:hanging="356"/>
        <w:jc w:val="left"/>
        <w:rPr>
          <w:sz w:val="20"/>
        </w:rPr>
      </w:pPr>
      <w:r>
        <w:rPr>
          <w:b/>
          <w:sz w:val="20"/>
        </w:rPr>
        <w:t>Evaluation</w:t>
      </w:r>
      <w:r>
        <w:rPr>
          <w:b/>
          <w:spacing w:val="-1"/>
          <w:sz w:val="20"/>
        </w:rPr>
        <w:t> </w:t>
      </w:r>
      <w:r>
        <w:rPr>
          <w:b/>
          <w:sz w:val="20"/>
        </w:rPr>
        <w:t>tools</w:t>
      </w:r>
      <w:r>
        <w:rPr>
          <w:sz w:val="20"/>
        </w:rPr>
        <w:t>.</w:t>
      </w:r>
      <w:r>
        <w:rPr>
          <w:spacing w:val="-3"/>
          <w:sz w:val="20"/>
        </w:rPr>
        <w:t> </w:t>
      </w:r>
      <w:r>
        <w:rPr>
          <w:sz w:val="20"/>
        </w:rPr>
        <w:t>Surveys</w:t>
      </w:r>
      <w:r>
        <w:rPr>
          <w:spacing w:val="-2"/>
          <w:sz w:val="20"/>
        </w:rPr>
        <w:t> </w:t>
      </w:r>
      <w:r>
        <w:rPr>
          <w:sz w:val="20"/>
        </w:rPr>
        <w:t>and</w:t>
      </w:r>
      <w:r>
        <w:rPr>
          <w:spacing w:val="-3"/>
          <w:sz w:val="20"/>
        </w:rPr>
        <w:t> </w:t>
      </w:r>
      <w:r>
        <w:rPr>
          <w:sz w:val="20"/>
        </w:rPr>
        <w:t>other</w:t>
      </w:r>
      <w:r>
        <w:rPr>
          <w:spacing w:val="-4"/>
          <w:sz w:val="20"/>
        </w:rPr>
        <w:t> </w:t>
      </w:r>
      <w:r>
        <w:rPr>
          <w:sz w:val="20"/>
        </w:rPr>
        <w:t>tools</w:t>
      </w:r>
      <w:r>
        <w:rPr>
          <w:spacing w:val="-3"/>
          <w:sz w:val="20"/>
        </w:rPr>
        <w:t> </w:t>
      </w:r>
      <w:r>
        <w:rPr>
          <w:sz w:val="20"/>
        </w:rPr>
        <w:t>that</w:t>
      </w:r>
      <w:r>
        <w:rPr>
          <w:spacing w:val="-1"/>
          <w:sz w:val="20"/>
        </w:rPr>
        <w:t> </w:t>
      </w:r>
      <w:r>
        <w:rPr>
          <w:sz w:val="20"/>
        </w:rPr>
        <w:t>are</w:t>
      </w:r>
      <w:r>
        <w:rPr>
          <w:spacing w:val="-6"/>
          <w:sz w:val="20"/>
        </w:rPr>
        <w:t> </w:t>
      </w:r>
      <w:r>
        <w:rPr>
          <w:sz w:val="20"/>
        </w:rPr>
        <w:t>not</w:t>
      </w:r>
      <w:r>
        <w:rPr>
          <w:spacing w:val="-1"/>
          <w:sz w:val="20"/>
        </w:rPr>
        <w:t> </w:t>
      </w:r>
      <w:r>
        <w:rPr>
          <w:sz w:val="20"/>
        </w:rPr>
        <w:t>protected</w:t>
      </w:r>
      <w:r>
        <w:rPr>
          <w:spacing w:val="-3"/>
          <w:sz w:val="20"/>
        </w:rPr>
        <w:t> </w:t>
      </w:r>
      <w:r>
        <w:rPr>
          <w:sz w:val="20"/>
        </w:rPr>
        <w:t>for</w:t>
      </w:r>
      <w:r>
        <w:rPr>
          <w:spacing w:val="-4"/>
          <w:sz w:val="20"/>
        </w:rPr>
        <w:t> </w:t>
      </w:r>
      <w:r>
        <w:rPr>
          <w:sz w:val="20"/>
        </w:rPr>
        <w:t>reasons</w:t>
      </w:r>
      <w:r>
        <w:rPr>
          <w:spacing w:val="-3"/>
          <w:sz w:val="20"/>
        </w:rPr>
        <w:t> </w:t>
      </w:r>
      <w:r>
        <w:rPr>
          <w:sz w:val="20"/>
        </w:rPr>
        <w:t>of</w:t>
      </w:r>
      <w:r>
        <w:rPr>
          <w:spacing w:val="-52"/>
          <w:sz w:val="20"/>
        </w:rPr>
        <w:t> </w:t>
      </w:r>
      <w:r>
        <w:rPr>
          <w:sz w:val="20"/>
        </w:rPr>
        <w:t>copyright</w:t>
      </w:r>
      <w:r>
        <w:rPr>
          <w:spacing w:val="-1"/>
          <w:sz w:val="20"/>
        </w:rPr>
        <w:t> </w:t>
      </w:r>
      <w:r>
        <w:rPr>
          <w:sz w:val="20"/>
        </w:rPr>
        <w:t>will</w:t>
      </w:r>
      <w:r>
        <w:rPr>
          <w:spacing w:val="-2"/>
          <w:sz w:val="20"/>
        </w:rPr>
        <w:t> </w:t>
      </w:r>
      <w:r>
        <w:rPr>
          <w:sz w:val="20"/>
        </w:rPr>
        <w:t>be</w:t>
      </w:r>
      <w:r>
        <w:rPr>
          <w:spacing w:val="-3"/>
          <w:sz w:val="20"/>
        </w:rPr>
        <w:t> </w:t>
      </w:r>
      <w:r>
        <w:rPr>
          <w:sz w:val="20"/>
        </w:rPr>
        <w:t>available</w:t>
      </w:r>
      <w:r>
        <w:rPr>
          <w:spacing w:val="-2"/>
          <w:sz w:val="20"/>
        </w:rPr>
        <w:t> </w:t>
      </w:r>
      <w:r>
        <w:rPr>
          <w:sz w:val="20"/>
        </w:rPr>
        <w:t>to</w:t>
      </w:r>
      <w:r>
        <w:rPr>
          <w:spacing w:val="-3"/>
          <w:sz w:val="20"/>
        </w:rPr>
        <w:t> </w:t>
      </w:r>
      <w:r>
        <w:rPr>
          <w:sz w:val="20"/>
        </w:rPr>
        <w:t>interested</w:t>
      </w:r>
      <w:r>
        <w:rPr>
          <w:spacing w:val="-3"/>
          <w:sz w:val="20"/>
        </w:rPr>
        <w:t> </w:t>
      </w:r>
      <w:r>
        <w:rPr>
          <w:sz w:val="20"/>
        </w:rPr>
        <w:t>audiences</w:t>
      </w:r>
      <w:r>
        <w:rPr>
          <w:spacing w:val="-3"/>
          <w:sz w:val="20"/>
        </w:rPr>
        <w:t> </w:t>
      </w:r>
      <w:r>
        <w:rPr>
          <w:sz w:val="20"/>
        </w:rPr>
        <w:t>to</w:t>
      </w:r>
      <w:r>
        <w:rPr>
          <w:spacing w:val="-2"/>
          <w:sz w:val="20"/>
        </w:rPr>
        <w:t> </w:t>
      </w:r>
      <w:r>
        <w:rPr>
          <w:sz w:val="20"/>
        </w:rPr>
        <w:t>use</w:t>
      </w:r>
      <w:r>
        <w:rPr>
          <w:spacing w:val="-1"/>
          <w:sz w:val="20"/>
        </w:rPr>
        <w:t> </w:t>
      </w:r>
      <w:r>
        <w:rPr>
          <w:sz w:val="20"/>
        </w:rPr>
        <w:t>beyond</w:t>
      </w:r>
      <w:r>
        <w:rPr>
          <w:spacing w:val="-3"/>
          <w:sz w:val="20"/>
        </w:rPr>
        <w:t> </w:t>
      </w:r>
      <w:r>
        <w:rPr>
          <w:sz w:val="20"/>
        </w:rPr>
        <w:t>the</w:t>
      </w:r>
      <w:r>
        <w:rPr>
          <w:spacing w:val="5"/>
          <w:sz w:val="20"/>
        </w:rPr>
        <w:t> </w:t>
      </w:r>
      <w:r>
        <w:rPr>
          <w:sz w:val="20"/>
        </w:rPr>
        <w:t>trial.</w:t>
      </w:r>
    </w:p>
    <w:p>
      <w:pPr>
        <w:pStyle w:val="ListParagraph"/>
        <w:numPr>
          <w:ilvl w:val="0"/>
          <w:numId w:val="17"/>
        </w:numPr>
        <w:tabs>
          <w:tab w:pos="1573" w:val="left" w:leader="none"/>
          <w:tab w:pos="1574" w:val="left" w:leader="none"/>
        </w:tabs>
        <w:spacing w:line="240" w:lineRule="auto" w:before="199" w:after="0"/>
        <w:ind w:left="1573" w:right="0" w:hanging="356"/>
        <w:jc w:val="left"/>
        <w:rPr>
          <w:sz w:val="20"/>
        </w:rPr>
      </w:pPr>
      <w:r>
        <w:rPr>
          <w:b/>
          <w:sz w:val="20"/>
        </w:rPr>
        <w:t>Interim</w:t>
      </w:r>
      <w:r>
        <w:rPr>
          <w:b/>
          <w:spacing w:val="-4"/>
          <w:sz w:val="20"/>
        </w:rPr>
        <w:t> </w:t>
      </w:r>
      <w:r>
        <w:rPr>
          <w:b/>
          <w:sz w:val="20"/>
        </w:rPr>
        <w:t>reports</w:t>
      </w:r>
      <w:r>
        <w:rPr>
          <w:sz w:val="20"/>
        </w:rPr>
        <w:t>.</w:t>
      </w:r>
      <w:r>
        <w:rPr>
          <w:spacing w:val="-5"/>
          <w:sz w:val="20"/>
        </w:rPr>
        <w:t> </w:t>
      </w:r>
      <w:r>
        <w:rPr>
          <w:sz w:val="20"/>
        </w:rPr>
        <w:t>Reports</w:t>
      </w:r>
      <w:r>
        <w:rPr>
          <w:spacing w:val="-3"/>
          <w:sz w:val="20"/>
        </w:rPr>
        <w:t> </w:t>
      </w:r>
      <w:r>
        <w:rPr>
          <w:sz w:val="20"/>
        </w:rPr>
        <w:t>on</w:t>
      </w:r>
      <w:r>
        <w:rPr>
          <w:spacing w:val="-2"/>
          <w:sz w:val="20"/>
        </w:rPr>
        <w:t> </w:t>
      </w:r>
      <w:r>
        <w:rPr>
          <w:sz w:val="20"/>
        </w:rPr>
        <w:t>the</w:t>
      </w:r>
      <w:r>
        <w:rPr>
          <w:spacing w:val="-3"/>
          <w:sz w:val="20"/>
        </w:rPr>
        <w:t> </w:t>
      </w:r>
      <w:r>
        <w:rPr>
          <w:sz w:val="20"/>
        </w:rPr>
        <w:t>baseline</w:t>
      </w:r>
      <w:r>
        <w:rPr>
          <w:spacing w:val="-3"/>
          <w:sz w:val="20"/>
        </w:rPr>
        <w:t> </w:t>
      </w:r>
      <w:r>
        <w:rPr>
          <w:sz w:val="20"/>
        </w:rPr>
        <w:t>and</w:t>
      </w:r>
      <w:r>
        <w:rPr>
          <w:spacing w:val="-3"/>
          <w:sz w:val="20"/>
        </w:rPr>
        <w:t> </w:t>
      </w:r>
      <w:r>
        <w:rPr>
          <w:sz w:val="20"/>
        </w:rPr>
        <w:t>interim</w:t>
      </w:r>
      <w:r>
        <w:rPr>
          <w:spacing w:val="-3"/>
          <w:sz w:val="20"/>
        </w:rPr>
        <w:t> </w:t>
      </w:r>
      <w:r>
        <w:rPr>
          <w:sz w:val="20"/>
        </w:rPr>
        <w:t>findings</w:t>
      </w:r>
      <w:r>
        <w:rPr>
          <w:spacing w:val="-3"/>
          <w:sz w:val="20"/>
        </w:rPr>
        <w:t> </w:t>
      </w:r>
      <w:r>
        <w:rPr>
          <w:sz w:val="20"/>
        </w:rPr>
        <w:t>of</w:t>
      </w:r>
      <w:r>
        <w:rPr>
          <w:spacing w:val="-3"/>
          <w:sz w:val="20"/>
        </w:rPr>
        <w:t> </w:t>
      </w:r>
      <w:r>
        <w:rPr>
          <w:sz w:val="20"/>
        </w:rPr>
        <w:t>the</w:t>
      </w:r>
      <w:r>
        <w:rPr>
          <w:spacing w:val="-3"/>
          <w:sz w:val="20"/>
        </w:rPr>
        <w:t> </w:t>
      </w:r>
      <w:r>
        <w:rPr>
          <w:sz w:val="20"/>
        </w:rPr>
        <w:t>evaluation.</w:t>
      </w:r>
    </w:p>
    <w:p>
      <w:pPr>
        <w:pStyle w:val="BodyText"/>
        <w:spacing w:before="4"/>
        <w:rPr>
          <w:sz w:val="19"/>
        </w:rPr>
      </w:pPr>
    </w:p>
    <w:p>
      <w:pPr>
        <w:pStyle w:val="ListParagraph"/>
        <w:numPr>
          <w:ilvl w:val="0"/>
          <w:numId w:val="17"/>
        </w:numPr>
        <w:tabs>
          <w:tab w:pos="1573" w:val="left" w:leader="none"/>
          <w:tab w:pos="1574" w:val="left" w:leader="none"/>
        </w:tabs>
        <w:spacing w:line="278" w:lineRule="auto" w:before="0" w:after="0"/>
        <w:ind w:left="1573" w:right="2239" w:hanging="356"/>
        <w:jc w:val="left"/>
        <w:rPr>
          <w:sz w:val="20"/>
        </w:rPr>
      </w:pPr>
      <w:r>
        <w:rPr>
          <w:b/>
          <w:sz w:val="20"/>
        </w:rPr>
        <w:t>Final report</w:t>
      </w:r>
      <w:r>
        <w:rPr>
          <w:sz w:val="20"/>
        </w:rPr>
        <w:t>. A comprehensive report on the findings of the evaluation, and</w:t>
      </w:r>
      <w:r>
        <w:rPr>
          <w:spacing w:val="-53"/>
          <w:sz w:val="20"/>
        </w:rPr>
        <w:t> </w:t>
      </w:r>
      <w:r>
        <w:rPr>
          <w:sz w:val="20"/>
        </w:rPr>
        <w:t>implications</w:t>
      </w:r>
      <w:r>
        <w:rPr>
          <w:spacing w:val="-2"/>
          <w:sz w:val="20"/>
        </w:rPr>
        <w:t> </w:t>
      </w:r>
      <w:r>
        <w:rPr>
          <w:sz w:val="20"/>
        </w:rPr>
        <w:t>for</w:t>
      </w:r>
      <w:r>
        <w:rPr>
          <w:spacing w:val="-1"/>
          <w:sz w:val="20"/>
        </w:rPr>
        <w:t> </w:t>
      </w:r>
      <w:r>
        <w:rPr>
          <w:sz w:val="20"/>
        </w:rPr>
        <w:t>future</w:t>
      </w:r>
      <w:r>
        <w:rPr>
          <w:spacing w:val="2"/>
          <w:sz w:val="20"/>
        </w:rPr>
        <w:t> </w:t>
      </w:r>
      <w:r>
        <w:rPr>
          <w:sz w:val="20"/>
        </w:rPr>
        <w:t>rollouts</w:t>
      </w:r>
      <w:r>
        <w:rPr>
          <w:spacing w:val="-1"/>
          <w:sz w:val="20"/>
        </w:rPr>
        <w:t> </w:t>
      </w:r>
      <w:r>
        <w:rPr>
          <w:sz w:val="20"/>
        </w:rPr>
        <w:t>of</w:t>
      </w:r>
      <w:r>
        <w:rPr>
          <w:spacing w:val="-2"/>
          <w:sz w:val="20"/>
        </w:rPr>
        <w:t> </w:t>
      </w:r>
      <w:r>
        <w:rPr>
          <w:sz w:val="20"/>
        </w:rPr>
        <w:t>HCH.</w:t>
      </w:r>
    </w:p>
    <w:p>
      <w:pPr>
        <w:pStyle w:val="ListParagraph"/>
        <w:numPr>
          <w:ilvl w:val="0"/>
          <w:numId w:val="17"/>
        </w:numPr>
        <w:tabs>
          <w:tab w:pos="1573" w:val="left" w:leader="none"/>
          <w:tab w:pos="1574" w:val="left" w:leader="none"/>
        </w:tabs>
        <w:spacing w:line="276" w:lineRule="auto" w:before="195" w:after="0"/>
        <w:ind w:left="1573" w:right="1328" w:hanging="356"/>
        <w:jc w:val="left"/>
        <w:rPr>
          <w:sz w:val="20"/>
        </w:rPr>
      </w:pPr>
      <w:r>
        <w:rPr>
          <w:b/>
          <w:sz w:val="20"/>
        </w:rPr>
        <w:t>Brief Plain-English final report</w:t>
      </w:r>
      <w:r>
        <w:rPr>
          <w:sz w:val="20"/>
        </w:rPr>
        <w:t>. A summary report of the final report developed for the</w:t>
      </w:r>
      <w:r>
        <w:rPr>
          <w:spacing w:val="-53"/>
          <w:sz w:val="20"/>
        </w:rPr>
        <w:t> </w:t>
      </w:r>
      <w:r>
        <w:rPr>
          <w:sz w:val="20"/>
        </w:rPr>
        <w:t>wider</w:t>
      </w:r>
      <w:r>
        <w:rPr>
          <w:spacing w:val="-2"/>
          <w:sz w:val="20"/>
        </w:rPr>
        <w:t> </w:t>
      </w:r>
      <w:r>
        <w:rPr>
          <w:sz w:val="20"/>
        </w:rPr>
        <w:t>community.</w:t>
      </w:r>
    </w:p>
    <w:p>
      <w:pPr>
        <w:pStyle w:val="ListParagraph"/>
        <w:numPr>
          <w:ilvl w:val="0"/>
          <w:numId w:val="17"/>
        </w:numPr>
        <w:tabs>
          <w:tab w:pos="1573" w:val="left" w:leader="none"/>
          <w:tab w:pos="1574" w:val="left" w:leader="none"/>
        </w:tabs>
        <w:spacing w:line="276" w:lineRule="auto" w:before="202" w:after="0"/>
        <w:ind w:left="1573" w:right="1370" w:hanging="356"/>
        <w:jc w:val="left"/>
        <w:rPr>
          <w:sz w:val="20"/>
        </w:rPr>
      </w:pPr>
      <w:r>
        <w:rPr>
          <w:b/>
          <w:sz w:val="20"/>
        </w:rPr>
        <w:t>Media</w:t>
      </w:r>
      <w:r>
        <w:rPr>
          <w:b/>
          <w:spacing w:val="-4"/>
          <w:sz w:val="20"/>
        </w:rPr>
        <w:t> </w:t>
      </w:r>
      <w:r>
        <w:rPr>
          <w:b/>
          <w:sz w:val="20"/>
        </w:rPr>
        <w:t>releases.</w:t>
      </w:r>
      <w:r>
        <w:rPr>
          <w:b/>
          <w:spacing w:val="-5"/>
          <w:sz w:val="20"/>
        </w:rPr>
        <w:t> </w:t>
      </w:r>
      <w:r>
        <w:rPr>
          <w:sz w:val="20"/>
        </w:rPr>
        <w:t>Public</w:t>
      </w:r>
      <w:r>
        <w:rPr>
          <w:spacing w:val="-4"/>
          <w:sz w:val="20"/>
        </w:rPr>
        <w:t> </w:t>
      </w:r>
      <w:r>
        <w:rPr>
          <w:sz w:val="20"/>
        </w:rPr>
        <w:t>announcements</w:t>
      </w:r>
      <w:r>
        <w:rPr>
          <w:spacing w:val="-4"/>
          <w:sz w:val="20"/>
        </w:rPr>
        <w:t> </w:t>
      </w:r>
      <w:r>
        <w:rPr>
          <w:sz w:val="20"/>
        </w:rPr>
        <w:t>on</w:t>
      </w:r>
      <w:r>
        <w:rPr>
          <w:spacing w:val="-4"/>
          <w:sz w:val="20"/>
        </w:rPr>
        <w:t> </w:t>
      </w:r>
      <w:r>
        <w:rPr>
          <w:sz w:val="20"/>
        </w:rPr>
        <w:t>key</w:t>
      </w:r>
      <w:r>
        <w:rPr>
          <w:spacing w:val="-5"/>
          <w:sz w:val="20"/>
        </w:rPr>
        <w:t> </w:t>
      </w:r>
      <w:r>
        <w:rPr>
          <w:sz w:val="20"/>
        </w:rPr>
        <w:t>steps,</w:t>
      </w:r>
      <w:r>
        <w:rPr>
          <w:spacing w:val="-5"/>
          <w:sz w:val="20"/>
        </w:rPr>
        <w:t> </w:t>
      </w:r>
      <w:r>
        <w:rPr>
          <w:sz w:val="20"/>
        </w:rPr>
        <w:t>progress</w:t>
      </w:r>
      <w:r>
        <w:rPr>
          <w:spacing w:val="-5"/>
          <w:sz w:val="20"/>
        </w:rPr>
        <w:t> </w:t>
      </w:r>
      <w:r>
        <w:rPr>
          <w:sz w:val="20"/>
        </w:rPr>
        <w:t>and</w:t>
      </w:r>
      <w:r>
        <w:rPr>
          <w:spacing w:val="-5"/>
          <w:sz w:val="20"/>
        </w:rPr>
        <w:t> </w:t>
      </w:r>
      <w:r>
        <w:rPr>
          <w:sz w:val="20"/>
        </w:rPr>
        <w:t>findings</w:t>
      </w:r>
      <w:r>
        <w:rPr>
          <w:spacing w:val="-5"/>
          <w:sz w:val="20"/>
        </w:rPr>
        <w:t> </w:t>
      </w:r>
      <w:r>
        <w:rPr>
          <w:sz w:val="20"/>
        </w:rPr>
        <w:t>from</w:t>
      </w:r>
      <w:r>
        <w:rPr>
          <w:spacing w:val="-4"/>
          <w:sz w:val="20"/>
        </w:rPr>
        <w:t> </w:t>
      </w:r>
      <w:r>
        <w:rPr>
          <w:sz w:val="20"/>
        </w:rPr>
        <w:t>the</w:t>
      </w:r>
      <w:r>
        <w:rPr>
          <w:spacing w:val="-53"/>
          <w:sz w:val="20"/>
        </w:rPr>
        <w:t> </w:t>
      </w:r>
      <w:r>
        <w:rPr>
          <w:sz w:val="20"/>
        </w:rPr>
        <w:t>evaluation.</w:t>
      </w:r>
    </w:p>
    <w:p>
      <w:pPr>
        <w:pStyle w:val="ListParagraph"/>
        <w:numPr>
          <w:ilvl w:val="0"/>
          <w:numId w:val="17"/>
        </w:numPr>
        <w:tabs>
          <w:tab w:pos="1573" w:val="left" w:leader="none"/>
          <w:tab w:pos="1574" w:val="left" w:leader="none"/>
        </w:tabs>
        <w:spacing w:line="276" w:lineRule="auto" w:before="199" w:after="0"/>
        <w:ind w:left="1573" w:right="1381" w:hanging="356"/>
        <w:jc w:val="left"/>
        <w:rPr>
          <w:sz w:val="20"/>
        </w:rPr>
      </w:pPr>
      <w:r>
        <w:rPr>
          <w:b/>
          <w:sz w:val="20"/>
        </w:rPr>
        <w:t>Evaluation</w:t>
      </w:r>
      <w:r>
        <w:rPr>
          <w:b/>
          <w:spacing w:val="-1"/>
          <w:sz w:val="20"/>
        </w:rPr>
        <w:t> </w:t>
      </w:r>
      <w:r>
        <w:rPr>
          <w:b/>
          <w:sz w:val="20"/>
        </w:rPr>
        <w:t>data</w:t>
      </w:r>
      <w:r>
        <w:rPr>
          <w:b/>
          <w:spacing w:val="-4"/>
          <w:sz w:val="20"/>
        </w:rPr>
        <w:t> </w:t>
      </w:r>
      <w:r>
        <w:rPr>
          <w:b/>
          <w:sz w:val="20"/>
        </w:rPr>
        <w:t>set.</w:t>
      </w:r>
      <w:r>
        <w:rPr>
          <w:b/>
          <w:spacing w:val="-2"/>
          <w:sz w:val="20"/>
        </w:rPr>
        <w:t> </w:t>
      </w:r>
      <w:r>
        <w:rPr>
          <w:sz w:val="20"/>
        </w:rPr>
        <w:t>It</w:t>
      </w:r>
      <w:r>
        <w:rPr>
          <w:spacing w:val="-2"/>
          <w:sz w:val="20"/>
        </w:rPr>
        <w:t> </w:t>
      </w:r>
      <w:r>
        <w:rPr>
          <w:sz w:val="20"/>
        </w:rPr>
        <w:t>is</w:t>
      </w:r>
      <w:r>
        <w:rPr>
          <w:spacing w:val="-4"/>
          <w:sz w:val="20"/>
        </w:rPr>
        <w:t> </w:t>
      </w:r>
      <w:r>
        <w:rPr>
          <w:sz w:val="20"/>
        </w:rPr>
        <w:t>intended</w:t>
      </w:r>
      <w:r>
        <w:rPr>
          <w:spacing w:val="-2"/>
          <w:sz w:val="20"/>
        </w:rPr>
        <w:t> </w:t>
      </w:r>
      <w:r>
        <w:rPr>
          <w:sz w:val="20"/>
        </w:rPr>
        <w:t>to</w:t>
      </w:r>
      <w:r>
        <w:rPr>
          <w:spacing w:val="-4"/>
          <w:sz w:val="20"/>
        </w:rPr>
        <w:t> </w:t>
      </w:r>
      <w:r>
        <w:rPr>
          <w:sz w:val="20"/>
        </w:rPr>
        <w:t>make</w:t>
      </w:r>
      <w:r>
        <w:rPr>
          <w:spacing w:val="-3"/>
          <w:sz w:val="20"/>
        </w:rPr>
        <w:t> </w:t>
      </w:r>
      <w:r>
        <w:rPr>
          <w:sz w:val="20"/>
        </w:rPr>
        <w:t>a</w:t>
      </w:r>
      <w:r>
        <w:rPr>
          <w:spacing w:val="-3"/>
          <w:sz w:val="20"/>
        </w:rPr>
        <w:t> </w:t>
      </w:r>
      <w:r>
        <w:rPr>
          <w:sz w:val="20"/>
        </w:rPr>
        <w:t>data</w:t>
      </w:r>
      <w:r>
        <w:rPr>
          <w:spacing w:val="-4"/>
          <w:sz w:val="20"/>
        </w:rPr>
        <w:t> </w:t>
      </w:r>
      <w:r>
        <w:rPr>
          <w:sz w:val="20"/>
        </w:rPr>
        <w:t>set</w:t>
      </w:r>
      <w:r>
        <w:rPr>
          <w:spacing w:val="-2"/>
          <w:sz w:val="20"/>
        </w:rPr>
        <w:t> </w:t>
      </w:r>
      <w:r>
        <w:rPr>
          <w:sz w:val="20"/>
        </w:rPr>
        <w:t>of</w:t>
      </w:r>
      <w:r>
        <w:rPr>
          <w:spacing w:val="-4"/>
          <w:sz w:val="20"/>
        </w:rPr>
        <w:t> </w:t>
      </w:r>
      <w:r>
        <w:rPr>
          <w:sz w:val="20"/>
        </w:rPr>
        <w:t>the</w:t>
      </w:r>
      <w:r>
        <w:rPr>
          <w:spacing w:val="-3"/>
          <w:sz w:val="20"/>
        </w:rPr>
        <w:t> </w:t>
      </w:r>
      <w:r>
        <w:rPr>
          <w:sz w:val="20"/>
        </w:rPr>
        <w:t>evaluation</w:t>
      </w:r>
      <w:r>
        <w:rPr>
          <w:spacing w:val="-3"/>
          <w:sz w:val="20"/>
        </w:rPr>
        <w:t> </w:t>
      </w:r>
      <w:r>
        <w:rPr>
          <w:sz w:val="20"/>
        </w:rPr>
        <w:t>available</w:t>
      </w:r>
      <w:r>
        <w:rPr>
          <w:spacing w:val="-3"/>
          <w:sz w:val="20"/>
        </w:rPr>
        <w:t> </w:t>
      </w:r>
      <w:r>
        <w:rPr>
          <w:sz w:val="20"/>
        </w:rPr>
        <w:t>for</w:t>
      </w:r>
      <w:r>
        <w:rPr>
          <w:spacing w:val="-53"/>
          <w:sz w:val="20"/>
        </w:rPr>
        <w:t> </w:t>
      </w:r>
      <w:r>
        <w:rPr>
          <w:sz w:val="20"/>
        </w:rPr>
        <w:t>secondary use. This will be requested in the ethics application for the project. Any</w:t>
      </w:r>
      <w:r>
        <w:rPr>
          <w:spacing w:val="1"/>
          <w:sz w:val="20"/>
        </w:rPr>
        <w:t> </w:t>
      </w:r>
      <w:r>
        <w:rPr>
          <w:sz w:val="20"/>
        </w:rPr>
        <w:t>secondary</w:t>
      </w:r>
      <w:r>
        <w:rPr>
          <w:spacing w:val="-3"/>
          <w:sz w:val="20"/>
        </w:rPr>
        <w:t> </w:t>
      </w:r>
      <w:r>
        <w:rPr>
          <w:sz w:val="20"/>
        </w:rPr>
        <w:t>uses</w:t>
      </w:r>
      <w:r>
        <w:rPr>
          <w:spacing w:val="-2"/>
          <w:sz w:val="20"/>
        </w:rPr>
        <w:t> </w:t>
      </w:r>
      <w:r>
        <w:rPr>
          <w:sz w:val="20"/>
        </w:rPr>
        <w:t>will</w:t>
      </w:r>
      <w:r>
        <w:rPr>
          <w:spacing w:val="-1"/>
          <w:sz w:val="20"/>
        </w:rPr>
        <w:t> </w:t>
      </w:r>
      <w:r>
        <w:rPr>
          <w:sz w:val="20"/>
        </w:rPr>
        <w:t>also</w:t>
      </w:r>
      <w:r>
        <w:rPr>
          <w:spacing w:val="-2"/>
          <w:sz w:val="20"/>
        </w:rPr>
        <w:t> </w:t>
      </w:r>
      <w:r>
        <w:rPr>
          <w:sz w:val="20"/>
        </w:rPr>
        <w:t>be</w:t>
      </w:r>
      <w:r>
        <w:rPr>
          <w:spacing w:val="-2"/>
          <w:sz w:val="20"/>
        </w:rPr>
        <w:t> </w:t>
      </w:r>
      <w:r>
        <w:rPr>
          <w:sz w:val="20"/>
        </w:rPr>
        <w:t>subject</w:t>
      </w:r>
      <w:r>
        <w:rPr>
          <w:spacing w:val="1"/>
          <w:sz w:val="20"/>
        </w:rPr>
        <w:t> </w:t>
      </w:r>
      <w:r>
        <w:rPr>
          <w:sz w:val="20"/>
        </w:rPr>
        <w:t>to</w:t>
      </w:r>
      <w:r>
        <w:rPr>
          <w:spacing w:val="-2"/>
          <w:sz w:val="20"/>
        </w:rPr>
        <w:t> </w:t>
      </w:r>
      <w:r>
        <w:rPr>
          <w:sz w:val="20"/>
        </w:rPr>
        <w:t>ethics</w:t>
      </w:r>
      <w:r>
        <w:rPr>
          <w:spacing w:val="-1"/>
          <w:sz w:val="20"/>
        </w:rPr>
        <w:t> </w:t>
      </w:r>
      <w:r>
        <w:rPr>
          <w:sz w:val="20"/>
        </w:rPr>
        <w:t>approval.</w:t>
      </w:r>
    </w:p>
    <w:p>
      <w:pPr>
        <w:spacing w:after="0" w:line="276" w:lineRule="auto"/>
        <w:jc w:val="left"/>
        <w:rPr>
          <w:sz w:val="20"/>
        </w:rPr>
        <w:sectPr>
          <w:pgSz w:w="11910" w:h="16840"/>
          <w:pgMar w:header="0" w:footer="675" w:top="0" w:bottom="860" w:left="580" w:right="280"/>
        </w:sectPr>
      </w:pPr>
    </w:p>
    <w:p>
      <w:pPr>
        <w:pStyle w:val="Heading2"/>
        <w:spacing w:before="81"/>
      </w:pPr>
      <w:bookmarkStart w:name="_bookmark76" w:id="77"/>
      <w:bookmarkEnd w:id="77"/>
      <w:r>
        <w:rPr/>
      </w:r>
      <w:r>
        <w:rPr>
          <w:color w:val="003C79"/>
        </w:rPr>
        <w:t>Intended</w:t>
      </w:r>
      <w:r>
        <w:rPr>
          <w:color w:val="003C79"/>
          <w:spacing w:val="-7"/>
        </w:rPr>
        <w:t> </w:t>
      </w:r>
      <w:r>
        <w:rPr>
          <w:color w:val="003C79"/>
        </w:rPr>
        <w:t>audiences</w:t>
      </w:r>
      <w:r>
        <w:rPr>
          <w:color w:val="003C79"/>
          <w:spacing w:val="-6"/>
        </w:rPr>
        <w:t> </w:t>
      </w:r>
      <w:r>
        <w:rPr>
          <w:color w:val="003C79"/>
        </w:rPr>
        <w:t>for</w:t>
      </w:r>
      <w:r>
        <w:rPr>
          <w:color w:val="003C79"/>
          <w:spacing w:val="-5"/>
        </w:rPr>
        <w:t> </w:t>
      </w:r>
      <w:r>
        <w:rPr>
          <w:color w:val="003C79"/>
        </w:rPr>
        <w:t>the</w:t>
      </w:r>
      <w:r>
        <w:rPr>
          <w:color w:val="003C79"/>
          <w:spacing w:val="-6"/>
        </w:rPr>
        <w:t> </w:t>
      </w:r>
      <w:r>
        <w:rPr>
          <w:color w:val="003C79"/>
        </w:rPr>
        <w:t>dissemination</w:t>
      </w:r>
    </w:p>
    <w:p>
      <w:pPr>
        <w:pStyle w:val="BodyText"/>
        <w:spacing w:line="276" w:lineRule="auto" w:before="259"/>
        <w:ind w:left="860" w:right="1205"/>
      </w:pPr>
      <w:r>
        <w:rPr/>
        <w:t>The intended audiences for the products of the evaluation and their interest in the findings</w:t>
      </w:r>
      <w:r>
        <w:rPr>
          <w:spacing w:val="1"/>
        </w:rPr>
        <w:t> </w:t>
      </w:r>
      <w:r>
        <w:rPr/>
        <w:t>and lessons learned from the project are outlined in the Table below. This Table also identifies</w:t>
      </w:r>
      <w:r>
        <w:rPr>
          <w:spacing w:val="-53"/>
        </w:rPr>
        <w:t> </w:t>
      </w:r>
      <w:r>
        <w:rPr/>
        <w:t>the anticipated dissemination strategy for each of the key audience groups. At this stage,</w:t>
      </w:r>
      <w:r>
        <w:rPr>
          <w:spacing w:val="1"/>
        </w:rPr>
        <w:t> </w:t>
      </w:r>
      <w:r>
        <w:rPr/>
        <w:t>the dissemination strategy is a broad strategy and is likely to evolve throughout the life of the</w:t>
      </w:r>
      <w:r>
        <w:rPr>
          <w:spacing w:val="-53"/>
        </w:rPr>
        <w:t> </w:t>
      </w:r>
      <w:r>
        <w:rPr/>
        <w:t>project.</w:t>
      </w:r>
    </w:p>
    <w:p>
      <w:pPr>
        <w:spacing w:before="199" w:after="35"/>
        <w:ind w:left="1225" w:right="1524" w:firstLine="0"/>
        <w:jc w:val="center"/>
        <w:rPr>
          <w:b/>
          <w:sz w:val="18"/>
        </w:rPr>
      </w:pPr>
      <w:r>
        <w:rPr>
          <w:b/>
          <w:sz w:val="18"/>
        </w:rPr>
        <w:t>Table</w:t>
      </w:r>
      <w:r>
        <w:rPr>
          <w:b/>
          <w:spacing w:val="-3"/>
          <w:sz w:val="18"/>
        </w:rPr>
        <w:t> </w:t>
      </w:r>
      <w:r>
        <w:rPr>
          <w:b/>
          <w:sz w:val="18"/>
        </w:rPr>
        <w:t>15</w:t>
      </w:r>
      <w:r>
        <w:rPr>
          <w:b/>
          <w:spacing w:val="-6"/>
          <w:sz w:val="18"/>
        </w:rPr>
        <w:t> </w:t>
      </w:r>
      <w:r>
        <w:rPr>
          <w:b/>
          <w:sz w:val="18"/>
        </w:rPr>
        <w:t>–</w:t>
      </w:r>
      <w:r>
        <w:rPr>
          <w:b/>
          <w:spacing w:val="-2"/>
          <w:sz w:val="18"/>
        </w:rPr>
        <w:t> </w:t>
      </w:r>
      <w:r>
        <w:rPr>
          <w:b/>
          <w:sz w:val="18"/>
        </w:rPr>
        <w:t>Project</w:t>
      </w:r>
      <w:r>
        <w:rPr>
          <w:b/>
          <w:spacing w:val="-4"/>
          <w:sz w:val="18"/>
        </w:rPr>
        <w:t> </w:t>
      </w:r>
      <w:r>
        <w:rPr>
          <w:b/>
          <w:sz w:val="18"/>
        </w:rPr>
        <w:t>stakeholders</w:t>
      </w:r>
    </w:p>
    <w:tbl>
      <w:tblPr>
        <w:tblW w:w="0" w:type="auto"/>
        <w:jc w:val="left"/>
        <w:tblInd w:w="8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122"/>
        <w:gridCol w:w="4396"/>
        <w:gridCol w:w="2502"/>
      </w:tblGrid>
      <w:tr>
        <w:trPr>
          <w:trHeight w:val="508" w:hRule="atLeast"/>
        </w:trPr>
        <w:tc>
          <w:tcPr>
            <w:tcW w:w="2122" w:type="dxa"/>
            <w:shd w:val="clear" w:color="auto" w:fill="003C79"/>
          </w:tcPr>
          <w:p>
            <w:pPr>
              <w:pStyle w:val="TableParagraph"/>
              <w:spacing w:line="219" w:lineRule="exact"/>
              <w:ind w:left="316"/>
              <w:rPr>
                <w:b/>
                <w:sz w:val="18"/>
              </w:rPr>
            </w:pPr>
            <w:r>
              <w:rPr>
                <w:b/>
                <w:color w:val="FFFFFF"/>
                <w:sz w:val="18"/>
              </w:rPr>
              <w:t>Stakeholder</w:t>
            </w:r>
            <w:r>
              <w:rPr>
                <w:b/>
                <w:color w:val="FFFFFF"/>
                <w:spacing w:val="-3"/>
                <w:sz w:val="18"/>
              </w:rPr>
              <w:t> </w:t>
            </w:r>
            <w:r>
              <w:rPr>
                <w:b/>
                <w:color w:val="FFFFFF"/>
                <w:sz w:val="18"/>
              </w:rPr>
              <w:t>type</w:t>
            </w:r>
          </w:p>
        </w:tc>
        <w:tc>
          <w:tcPr>
            <w:tcW w:w="4396" w:type="dxa"/>
            <w:shd w:val="clear" w:color="auto" w:fill="003C79"/>
          </w:tcPr>
          <w:p>
            <w:pPr>
              <w:pStyle w:val="TableParagraph"/>
              <w:spacing w:line="219" w:lineRule="exact"/>
              <w:ind w:left="803"/>
              <w:rPr>
                <w:b/>
                <w:sz w:val="18"/>
              </w:rPr>
            </w:pPr>
            <w:r>
              <w:rPr>
                <w:b/>
                <w:color w:val="FFFFFF"/>
                <w:sz w:val="18"/>
              </w:rPr>
              <w:t>Interest</w:t>
            </w:r>
            <w:r>
              <w:rPr>
                <w:b/>
                <w:color w:val="FFFFFF"/>
                <w:spacing w:val="-4"/>
                <w:sz w:val="18"/>
              </w:rPr>
              <w:t> </w:t>
            </w:r>
            <w:r>
              <w:rPr>
                <w:b/>
                <w:color w:val="FFFFFF"/>
                <w:sz w:val="18"/>
              </w:rPr>
              <w:t>in</w:t>
            </w:r>
            <w:r>
              <w:rPr>
                <w:b/>
                <w:color w:val="FFFFFF"/>
                <w:spacing w:val="-2"/>
                <w:sz w:val="18"/>
              </w:rPr>
              <w:t> </w:t>
            </w:r>
            <w:r>
              <w:rPr>
                <w:b/>
                <w:color w:val="FFFFFF"/>
                <w:sz w:val="18"/>
              </w:rPr>
              <w:t>the</w:t>
            </w:r>
            <w:r>
              <w:rPr>
                <w:b/>
                <w:color w:val="FFFFFF"/>
                <w:spacing w:val="-2"/>
                <w:sz w:val="18"/>
              </w:rPr>
              <w:t> </w:t>
            </w:r>
            <w:r>
              <w:rPr>
                <w:b/>
                <w:color w:val="FFFFFF"/>
                <w:sz w:val="18"/>
              </w:rPr>
              <w:t>products/ findings</w:t>
            </w:r>
          </w:p>
        </w:tc>
        <w:tc>
          <w:tcPr>
            <w:tcW w:w="2502" w:type="dxa"/>
            <w:shd w:val="clear" w:color="auto" w:fill="003C79"/>
          </w:tcPr>
          <w:p>
            <w:pPr>
              <w:pStyle w:val="TableParagraph"/>
              <w:spacing w:line="219" w:lineRule="exact"/>
              <w:ind w:left="220" w:right="214"/>
              <w:jc w:val="center"/>
              <w:rPr>
                <w:b/>
                <w:sz w:val="18"/>
              </w:rPr>
            </w:pPr>
            <w:r>
              <w:rPr>
                <w:b/>
                <w:color w:val="FFFFFF"/>
                <w:sz w:val="18"/>
              </w:rPr>
              <w:t>Dissemination</w:t>
            </w:r>
            <w:r>
              <w:rPr>
                <w:b/>
                <w:color w:val="FFFFFF"/>
                <w:spacing w:val="-2"/>
                <w:sz w:val="18"/>
              </w:rPr>
              <w:t> </w:t>
            </w:r>
            <w:r>
              <w:rPr>
                <w:b/>
                <w:color w:val="FFFFFF"/>
                <w:sz w:val="18"/>
              </w:rPr>
              <w:t>products</w:t>
            </w:r>
          </w:p>
          <w:p>
            <w:pPr>
              <w:pStyle w:val="TableParagraph"/>
              <w:spacing w:before="33"/>
              <w:ind w:left="220" w:right="214"/>
              <w:jc w:val="center"/>
              <w:rPr>
                <w:b/>
                <w:sz w:val="18"/>
              </w:rPr>
            </w:pPr>
            <w:r>
              <w:rPr>
                <w:b/>
                <w:color w:val="FFFFFF"/>
                <w:sz w:val="18"/>
              </w:rPr>
              <w:t>and</w:t>
            </w:r>
            <w:r>
              <w:rPr>
                <w:b/>
                <w:color w:val="FFFFFF"/>
                <w:spacing w:val="-1"/>
                <w:sz w:val="18"/>
              </w:rPr>
              <w:t> </w:t>
            </w:r>
            <w:r>
              <w:rPr>
                <w:b/>
                <w:color w:val="FFFFFF"/>
                <w:sz w:val="18"/>
              </w:rPr>
              <w:t>strategy</w:t>
            </w:r>
          </w:p>
        </w:tc>
      </w:tr>
      <w:tr>
        <w:trPr>
          <w:trHeight w:val="1135" w:hRule="atLeast"/>
        </w:trPr>
        <w:tc>
          <w:tcPr>
            <w:tcW w:w="2122" w:type="dxa"/>
          </w:tcPr>
          <w:p>
            <w:pPr>
              <w:pStyle w:val="TableParagraph"/>
              <w:spacing w:line="276" w:lineRule="auto"/>
              <w:ind w:left="107" w:right="386"/>
              <w:rPr>
                <w:b/>
                <w:sz w:val="18"/>
              </w:rPr>
            </w:pPr>
            <w:r>
              <w:rPr>
                <w:b/>
                <w:sz w:val="18"/>
              </w:rPr>
              <w:t>Minister for Health,</w:t>
            </w:r>
            <w:r>
              <w:rPr>
                <w:b/>
                <w:spacing w:val="-49"/>
                <w:sz w:val="18"/>
              </w:rPr>
              <w:t> </w:t>
            </w:r>
            <w:r>
              <w:rPr>
                <w:b/>
                <w:sz w:val="18"/>
              </w:rPr>
              <w:t>Assistant Ministers</w:t>
            </w:r>
            <w:r>
              <w:rPr>
                <w:b/>
                <w:spacing w:val="1"/>
                <w:sz w:val="18"/>
              </w:rPr>
              <w:t> </w:t>
            </w:r>
            <w:r>
              <w:rPr>
                <w:b/>
                <w:sz w:val="18"/>
              </w:rPr>
              <w:t>and the Australian</w:t>
            </w:r>
            <w:r>
              <w:rPr>
                <w:b/>
                <w:spacing w:val="-48"/>
                <w:sz w:val="18"/>
              </w:rPr>
              <w:t> </w:t>
            </w:r>
            <w:r>
              <w:rPr>
                <w:b/>
                <w:sz w:val="18"/>
              </w:rPr>
              <w:t>Government</w:t>
            </w:r>
          </w:p>
        </w:tc>
        <w:tc>
          <w:tcPr>
            <w:tcW w:w="4396" w:type="dxa"/>
          </w:tcPr>
          <w:p>
            <w:pPr>
              <w:pStyle w:val="TableParagraph"/>
              <w:spacing w:line="273" w:lineRule="auto"/>
              <w:ind w:left="107" w:right="164"/>
              <w:rPr>
                <w:sz w:val="18"/>
              </w:rPr>
            </w:pPr>
            <w:r>
              <w:rPr>
                <w:sz w:val="18"/>
              </w:rPr>
              <w:t>Implications</w:t>
            </w:r>
            <w:r>
              <w:rPr>
                <w:spacing w:val="-5"/>
                <w:sz w:val="18"/>
              </w:rPr>
              <w:t> </w:t>
            </w:r>
            <w:r>
              <w:rPr>
                <w:sz w:val="18"/>
              </w:rPr>
              <w:t>for</w:t>
            </w:r>
            <w:r>
              <w:rPr>
                <w:spacing w:val="-4"/>
                <w:sz w:val="18"/>
              </w:rPr>
              <w:t> </w:t>
            </w:r>
            <w:r>
              <w:rPr>
                <w:sz w:val="18"/>
              </w:rPr>
              <w:t>policy</w:t>
            </w:r>
            <w:r>
              <w:rPr>
                <w:spacing w:val="-3"/>
                <w:sz w:val="18"/>
              </w:rPr>
              <w:t> </w:t>
            </w:r>
            <w:r>
              <w:rPr>
                <w:sz w:val="18"/>
              </w:rPr>
              <w:t>and</w:t>
            </w:r>
            <w:r>
              <w:rPr>
                <w:spacing w:val="-4"/>
                <w:sz w:val="18"/>
              </w:rPr>
              <w:t> </w:t>
            </w:r>
            <w:r>
              <w:rPr>
                <w:sz w:val="18"/>
              </w:rPr>
              <w:t>planning</w:t>
            </w:r>
            <w:r>
              <w:rPr>
                <w:spacing w:val="-5"/>
                <w:sz w:val="18"/>
              </w:rPr>
              <w:t> </w:t>
            </w:r>
            <w:r>
              <w:rPr>
                <w:sz w:val="18"/>
              </w:rPr>
              <w:t>in</w:t>
            </w:r>
            <w:r>
              <w:rPr>
                <w:spacing w:val="-4"/>
                <w:sz w:val="18"/>
              </w:rPr>
              <w:t> </w:t>
            </w:r>
            <w:r>
              <w:rPr>
                <w:sz w:val="18"/>
              </w:rPr>
              <w:t>relation</w:t>
            </w:r>
            <w:r>
              <w:rPr>
                <w:spacing w:val="-46"/>
                <w:sz w:val="18"/>
              </w:rPr>
              <w:t> </w:t>
            </w:r>
            <w:r>
              <w:rPr>
                <w:sz w:val="18"/>
              </w:rPr>
              <w:t>to</w:t>
            </w:r>
            <w:r>
              <w:rPr>
                <w:spacing w:val="-1"/>
                <w:sz w:val="18"/>
              </w:rPr>
              <w:t> </w:t>
            </w:r>
            <w:r>
              <w:rPr>
                <w:sz w:val="18"/>
              </w:rPr>
              <w:t>primary</w:t>
            </w:r>
            <w:r>
              <w:rPr>
                <w:spacing w:val="-1"/>
                <w:sz w:val="18"/>
              </w:rPr>
              <w:t> </w:t>
            </w:r>
            <w:r>
              <w:rPr>
                <w:sz w:val="18"/>
              </w:rPr>
              <w:t>health care.</w:t>
            </w:r>
          </w:p>
        </w:tc>
        <w:tc>
          <w:tcPr>
            <w:tcW w:w="2502" w:type="dxa"/>
          </w:tcPr>
          <w:p>
            <w:pPr>
              <w:pStyle w:val="TableParagraph"/>
              <w:numPr>
                <w:ilvl w:val="0"/>
                <w:numId w:val="27"/>
              </w:numPr>
              <w:tabs>
                <w:tab w:pos="282" w:val="left" w:leader="none"/>
              </w:tabs>
              <w:spacing w:line="273" w:lineRule="auto" w:before="0" w:after="0"/>
              <w:ind w:left="281" w:right="151" w:hanging="142"/>
              <w:jc w:val="left"/>
              <w:rPr>
                <w:sz w:val="18"/>
              </w:rPr>
            </w:pPr>
            <w:r>
              <w:rPr>
                <w:sz w:val="18"/>
              </w:rPr>
              <w:t>Ministerial/</w:t>
            </w:r>
            <w:r>
              <w:rPr>
                <w:spacing w:val="1"/>
                <w:sz w:val="18"/>
              </w:rPr>
              <w:t> </w:t>
            </w:r>
            <w:r>
              <w:rPr>
                <w:sz w:val="18"/>
              </w:rPr>
              <w:t>governmental</w:t>
            </w:r>
            <w:r>
              <w:rPr>
                <w:spacing w:val="-12"/>
                <w:sz w:val="18"/>
              </w:rPr>
              <w:t> </w:t>
            </w:r>
            <w:r>
              <w:rPr>
                <w:sz w:val="18"/>
              </w:rPr>
              <w:t>briefings.</w:t>
            </w:r>
          </w:p>
          <w:p>
            <w:pPr>
              <w:pStyle w:val="TableParagraph"/>
              <w:numPr>
                <w:ilvl w:val="0"/>
                <w:numId w:val="27"/>
              </w:numPr>
              <w:tabs>
                <w:tab w:pos="282" w:val="left" w:leader="none"/>
              </w:tabs>
              <w:spacing w:line="276" w:lineRule="auto" w:before="2" w:after="0"/>
              <w:ind w:left="281" w:right="329" w:hanging="142"/>
              <w:jc w:val="left"/>
              <w:rPr>
                <w:sz w:val="18"/>
              </w:rPr>
            </w:pPr>
            <w:r>
              <w:rPr>
                <w:sz w:val="18"/>
              </w:rPr>
              <w:t>Brief Plain-English final</w:t>
            </w:r>
            <w:r>
              <w:rPr>
                <w:spacing w:val="-47"/>
                <w:sz w:val="18"/>
              </w:rPr>
              <w:t> </w:t>
            </w:r>
            <w:r>
              <w:rPr>
                <w:sz w:val="18"/>
              </w:rPr>
              <w:t>report.</w:t>
            </w:r>
          </w:p>
        </w:tc>
      </w:tr>
      <w:tr>
        <w:trPr>
          <w:trHeight w:val="1761" w:hRule="atLeast"/>
        </w:trPr>
        <w:tc>
          <w:tcPr>
            <w:tcW w:w="2122" w:type="dxa"/>
          </w:tcPr>
          <w:p>
            <w:pPr>
              <w:pStyle w:val="TableParagraph"/>
              <w:spacing w:line="276" w:lineRule="auto"/>
              <w:ind w:left="107" w:right="194"/>
              <w:rPr>
                <w:b/>
                <w:sz w:val="18"/>
              </w:rPr>
            </w:pPr>
            <w:r>
              <w:rPr>
                <w:b/>
                <w:sz w:val="18"/>
              </w:rPr>
              <w:t>Council</w:t>
            </w:r>
            <w:r>
              <w:rPr>
                <w:b/>
                <w:spacing w:val="-7"/>
                <w:sz w:val="18"/>
              </w:rPr>
              <w:t> </w:t>
            </w:r>
            <w:r>
              <w:rPr>
                <w:b/>
                <w:sz w:val="18"/>
              </w:rPr>
              <w:t>of</w:t>
            </w:r>
            <w:r>
              <w:rPr>
                <w:b/>
                <w:spacing w:val="-6"/>
                <w:sz w:val="18"/>
              </w:rPr>
              <w:t> </w:t>
            </w:r>
            <w:r>
              <w:rPr>
                <w:b/>
                <w:sz w:val="18"/>
              </w:rPr>
              <w:t>Australian</w:t>
            </w:r>
            <w:r>
              <w:rPr>
                <w:b/>
                <w:spacing w:val="-47"/>
                <w:sz w:val="18"/>
              </w:rPr>
              <w:t> </w:t>
            </w:r>
            <w:r>
              <w:rPr>
                <w:b/>
                <w:sz w:val="18"/>
              </w:rPr>
              <w:t>Governments</w:t>
            </w:r>
            <w:r>
              <w:rPr>
                <w:b/>
                <w:spacing w:val="1"/>
                <w:sz w:val="18"/>
              </w:rPr>
              <w:t> </w:t>
            </w:r>
            <w:r>
              <w:rPr>
                <w:b/>
                <w:sz w:val="18"/>
              </w:rPr>
              <w:t>(COAG)</w:t>
            </w:r>
          </w:p>
          <w:p>
            <w:pPr>
              <w:pStyle w:val="TableParagraph"/>
              <w:spacing w:line="276" w:lineRule="auto" w:before="118"/>
              <w:ind w:left="107" w:right="440"/>
              <w:rPr>
                <w:b/>
                <w:sz w:val="18"/>
              </w:rPr>
            </w:pPr>
            <w:r>
              <w:rPr>
                <w:b/>
                <w:sz w:val="18"/>
              </w:rPr>
              <w:t>Australian Health</w:t>
            </w:r>
            <w:r>
              <w:rPr>
                <w:b/>
                <w:spacing w:val="1"/>
                <w:sz w:val="18"/>
              </w:rPr>
              <w:t> </w:t>
            </w:r>
            <w:r>
              <w:rPr>
                <w:b/>
                <w:sz w:val="18"/>
              </w:rPr>
              <w:t>Ministers Advisory</w:t>
            </w:r>
            <w:r>
              <w:rPr>
                <w:b/>
                <w:spacing w:val="-48"/>
                <w:sz w:val="18"/>
              </w:rPr>
              <w:t> </w:t>
            </w:r>
            <w:r>
              <w:rPr>
                <w:b/>
                <w:sz w:val="18"/>
              </w:rPr>
              <w:t>Council</w:t>
            </w:r>
            <w:r>
              <w:rPr>
                <w:b/>
                <w:spacing w:val="-11"/>
                <w:sz w:val="18"/>
              </w:rPr>
              <w:t> </w:t>
            </w:r>
            <w:r>
              <w:rPr>
                <w:b/>
                <w:sz w:val="18"/>
              </w:rPr>
              <w:t>(AHMAC)</w:t>
            </w:r>
          </w:p>
        </w:tc>
        <w:tc>
          <w:tcPr>
            <w:tcW w:w="4396" w:type="dxa"/>
          </w:tcPr>
          <w:p>
            <w:pPr>
              <w:pStyle w:val="TableParagraph"/>
              <w:spacing w:line="276" w:lineRule="auto"/>
              <w:ind w:left="107" w:right="164"/>
              <w:rPr>
                <w:sz w:val="18"/>
              </w:rPr>
            </w:pPr>
            <w:r>
              <w:rPr>
                <w:sz w:val="18"/>
              </w:rPr>
              <w:t>Implications</w:t>
            </w:r>
            <w:r>
              <w:rPr>
                <w:spacing w:val="-5"/>
                <w:sz w:val="18"/>
              </w:rPr>
              <w:t> </w:t>
            </w:r>
            <w:r>
              <w:rPr>
                <w:sz w:val="18"/>
              </w:rPr>
              <w:t>for</w:t>
            </w:r>
            <w:r>
              <w:rPr>
                <w:spacing w:val="-4"/>
                <w:sz w:val="18"/>
              </w:rPr>
              <w:t> </w:t>
            </w:r>
            <w:r>
              <w:rPr>
                <w:sz w:val="18"/>
              </w:rPr>
              <w:t>policy</w:t>
            </w:r>
            <w:r>
              <w:rPr>
                <w:spacing w:val="-3"/>
                <w:sz w:val="18"/>
              </w:rPr>
              <w:t> </w:t>
            </w:r>
            <w:r>
              <w:rPr>
                <w:sz w:val="18"/>
              </w:rPr>
              <w:t>and</w:t>
            </w:r>
            <w:r>
              <w:rPr>
                <w:spacing w:val="-4"/>
                <w:sz w:val="18"/>
              </w:rPr>
              <w:t> </w:t>
            </w:r>
            <w:r>
              <w:rPr>
                <w:sz w:val="18"/>
              </w:rPr>
              <w:t>planning</w:t>
            </w:r>
            <w:r>
              <w:rPr>
                <w:spacing w:val="-5"/>
                <w:sz w:val="18"/>
              </w:rPr>
              <w:t> </w:t>
            </w:r>
            <w:r>
              <w:rPr>
                <w:sz w:val="18"/>
              </w:rPr>
              <w:t>in</w:t>
            </w:r>
            <w:r>
              <w:rPr>
                <w:spacing w:val="-4"/>
                <w:sz w:val="18"/>
              </w:rPr>
              <w:t> </w:t>
            </w:r>
            <w:r>
              <w:rPr>
                <w:sz w:val="18"/>
              </w:rPr>
              <w:t>relation</w:t>
            </w:r>
            <w:r>
              <w:rPr>
                <w:spacing w:val="-46"/>
                <w:sz w:val="18"/>
              </w:rPr>
              <w:t> </w:t>
            </w:r>
            <w:r>
              <w:rPr>
                <w:sz w:val="18"/>
              </w:rPr>
              <w:t>to primary health care and state-federal</w:t>
            </w:r>
            <w:r>
              <w:rPr>
                <w:spacing w:val="1"/>
                <w:sz w:val="18"/>
              </w:rPr>
              <w:t> </w:t>
            </w:r>
            <w:r>
              <w:rPr>
                <w:sz w:val="18"/>
              </w:rPr>
              <w:t>funding</w:t>
            </w:r>
            <w:r>
              <w:rPr>
                <w:spacing w:val="-3"/>
                <w:sz w:val="18"/>
              </w:rPr>
              <w:t> </w:t>
            </w:r>
            <w:r>
              <w:rPr>
                <w:sz w:val="18"/>
              </w:rPr>
              <w:t>arrangements.</w:t>
            </w:r>
          </w:p>
        </w:tc>
        <w:tc>
          <w:tcPr>
            <w:tcW w:w="2502" w:type="dxa"/>
          </w:tcPr>
          <w:p>
            <w:pPr>
              <w:pStyle w:val="TableParagraph"/>
              <w:numPr>
                <w:ilvl w:val="0"/>
                <w:numId w:val="28"/>
              </w:numPr>
              <w:tabs>
                <w:tab w:pos="282" w:val="left" w:leader="none"/>
              </w:tabs>
              <w:spacing w:line="276" w:lineRule="auto" w:before="0" w:after="0"/>
              <w:ind w:left="281" w:right="151" w:hanging="142"/>
              <w:jc w:val="left"/>
              <w:rPr>
                <w:sz w:val="18"/>
              </w:rPr>
            </w:pPr>
            <w:r>
              <w:rPr>
                <w:sz w:val="18"/>
              </w:rPr>
              <w:t>Ministerial/</w:t>
            </w:r>
            <w:r>
              <w:rPr>
                <w:spacing w:val="1"/>
                <w:sz w:val="18"/>
              </w:rPr>
              <w:t> </w:t>
            </w:r>
            <w:r>
              <w:rPr>
                <w:sz w:val="18"/>
              </w:rPr>
              <w:t>governmental</w:t>
            </w:r>
            <w:r>
              <w:rPr>
                <w:spacing w:val="-12"/>
                <w:sz w:val="18"/>
              </w:rPr>
              <w:t> </w:t>
            </w:r>
            <w:r>
              <w:rPr>
                <w:sz w:val="18"/>
              </w:rPr>
              <w:t>briefings.</w:t>
            </w:r>
          </w:p>
          <w:p>
            <w:pPr>
              <w:pStyle w:val="TableParagraph"/>
              <w:numPr>
                <w:ilvl w:val="0"/>
                <w:numId w:val="28"/>
              </w:numPr>
              <w:tabs>
                <w:tab w:pos="282" w:val="left" w:leader="none"/>
              </w:tabs>
              <w:spacing w:line="276" w:lineRule="auto" w:before="0" w:after="0"/>
              <w:ind w:left="281" w:right="184" w:hanging="142"/>
              <w:jc w:val="left"/>
              <w:rPr>
                <w:sz w:val="18"/>
              </w:rPr>
            </w:pPr>
            <w:r>
              <w:rPr>
                <w:sz w:val="18"/>
              </w:rPr>
              <w:t>Will</w:t>
            </w:r>
            <w:r>
              <w:rPr>
                <w:spacing w:val="-4"/>
                <w:sz w:val="18"/>
              </w:rPr>
              <w:t> </w:t>
            </w:r>
            <w:r>
              <w:rPr>
                <w:sz w:val="18"/>
              </w:rPr>
              <w:t>receive</w:t>
            </w:r>
            <w:r>
              <w:rPr>
                <w:spacing w:val="-2"/>
                <w:sz w:val="18"/>
              </w:rPr>
              <w:t> </w:t>
            </w:r>
            <w:r>
              <w:rPr>
                <w:sz w:val="18"/>
              </w:rPr>
              <w:t>interim</w:t>
            </w:r>
            <w:r>
              <w:rPr>
                <w:spacing w:val="-7"/>
                <w:sz w:val="18"/>
              </w:rPr>
              <w:t> </w:t>
            </w:r>
            <w:r>
              <w:rPr>
                <w:sz w:val="18"/>
              </w:rPr>
              <w:t>and</w:t>
            </w:r>
            <w:r>
              <w:rPr>
                <w:spacing w:val="-47"/>
                <w:sz w:val="18"/>
              </w:rPr>
              <w:t> </w:t>
            </w:r>
            <w:r>
              <w:rPr>
                <w:sz w:val="18"/>
              </w:rPr>
              <w:t>final reports of the</w:t>
            </w:r>
            <w:r>
              <w:rPr>
                <w:spacing w:val="1"/>
                <w:sz w:val="18"/>
              </w:rPr>
              <w:t> </w:t>
            </w:r>
            <w:r>
              <w:rPr>
                <w:sz w:val="18"/>
              </w:rPr>
              <w:t>evaluation.</w:t>
            </w:r>
          </w:p>
        </w:tc>
      </w:tr>
      <w:tr>
        <w:trPr>
          <w:trHeight w:val="1898" w:hRule="atLeast"/>
        </w:trPr>
        <w:tc>
          <w:tcPr>
            <w:tcW w:w="2122" w:type="dxa"/>
          </w:tcPr>
          <w:p>
            <w:pPr>
              <w:pStyle w:val="TableParagraph"/>
              <w:spacing w:line="276" w:lineRule="auto" w:before="1"/>
              <w:ind w:left="107" w:right="128"/>
              <w:rPr>
                <w:b/>
                <w:sz w:val="18"/>
              </w:rPr>
            </w:pPr>
            <w:r>
              <w:rPr>
                <w:b/>
                <w:sz w:val="18"/>
              </w:rPr>
              <w:t>Australian</w:t>
            </w:r>
            <w:r>
              <w:rPr>
                <w:b/>
                <w:spacing w:val="1"/>
                <w:sz w:val="18"/>
              </w:rPr>
              <w:t> </w:t>
            </w:r>
            <w:r>
              <w:rPr>
                <w:b/>
                <w:sz w:val="18"/>
              </w:rPr>
              <w:t>Government</w:t>
            </w:r>
            <w:r>
              <w:rPr>
                <w:b/>
                <w:spacing w:val="1"/>
                <w:sz w:val="18"/>
              </w:rPr>
              <w:t> </w:t>
            </w:r>
            <w:r>
              <w:rPr>
                <w:b/>
                <w:sz w:val="18"/>
              </w:rPr>
              <w:t>Department</w:t>
            </w:r>
            <w:r>
              <w:rPr>
                <w:b/>
                <w:spacing w:val="-5"/>
                <w:sz w:val="18"/>
              </w:rPr>
              <w:t> </w:t>
            </w:r>
            <w:r>
              <w:rPr>
                <w:b/>
                <w:sz w:val="18"/>
              </w:rPr>
              <w:t>of</w:t>
            </w:r>
            <w:r>
              <w:rPr>
                <w:b/>
                <w:spacing w:val="-3"/>
                <w:sz w:val="18"/>
              </w:rPr>
              <w:t> </w:t>
            </w:r>
            <w:r>
              <w:rPr>
                <w:b/>
                <w:sz w:val="18"/>
              </w:rPr>
              <w:t>Health</w:t>
            </w:r>
          </w:p>
        </w:tc>
        <w:tc>
          <w:tcPr>
            <w:tcW w:w="4396" w:type="dxa"/>
          </w:tcPr>
          <w:p>
            <w:pPr>
              <w:pStyle w:val="TableParagraph"/>
              <w:spacing w:line="276" w:lineRule="auto" w:before="1"/>
              <w:ind w:left="107" w:right="164"/>
              <w:rPr>
                <w:sz w:val="18"/>
              </w:rPr>
            </w:pPr>
            <w:r>
              <w:rPr>
                <w:sz w:val="18"/>
              </w:rPr>
              <w:t>Implications for policy and planning in relation</w:t>
            </w:r>
            <w:r>
              <w:rPr>
                <w:spacing w:val="1"/>
                <w:sz w:val="18"/>
              </w:rPr>
              <w:t> </w:t>
            </w:r>
            <w:r>
              <w:rPr>
                <w:sz w:val="18"/>
              </w:rPr>
              <w:t>to primary health care. The findings will provide</w:t>
            </w:r>
            <w:r>
              <w:rPr>
                <w:spacing w:val="-47"/>
                <w:sz w:val="18"/>
              </w:rPr>
              <w:t> </w:t>
            </w:r>
            <w:r>
              <w:rPr>
                <w:sz w:val="18"/>
              </w:rPr>
              <w:t>the Department of Health with an</w:t>
            </w:r>
            <w:r>
              <w:rPr>
                <w:spacing w:val="1"/>
                <w:sz w:val="18"/>
              </w:rPr>
              <w:t> </w:t>
            </w:r>
            <w:r>
              <w:rPr>
                <w:sz w:val="18"/>
              </w:rPr>
              <w:t>understanding of the aspects of HCH that are</w:t>
            </w:r>
            <w:r>
              <w:rPr>
                <w:spacing w:val="1"/>
                <w:sz w:val="18"/>
              </w:rPr>
              <w:t> </w:t>
            </w:r>
            <w:r>
              <w:rPr>
                <w:sz w:val="18"/>
              </w:rPr>
              <w:t>working well, and barriers and facilitating</w:t>
            </w:r>
            <w:r>
              <w:rPr>
                <w:spacing w:val="1"/>
                <w:sz w:val="18"/>
              </w:rPr>
              <w:t> </w:t>
            </w:r>
            <w:r>
              <w:rPr>
                <w:sz w:val="18"/>
              </w:rPr>
              <w:t>factors that influence the implementation of</w:t>
            </w:r>
            <w:r>
              <w:rPr>
                <w:spacing w:val="1"/>
                <w:sz w:val="18"/>
              </w:rPr>
              <w:t> </w:t>
            </w:r>
            <w:r>
              <w:rPr>
                <w:sz w:val="18"/>
              </w:rPr>
              <w:t>HCH.</w:t>
            </w:r>
            <w:r>
              <w:rPr>
                <w:spacing w:val="-4"/>
                <w:sz w:val="18"/>
              </w:rPr>
              <w:t> </w:t>
            </w:r>
            <w:r>
              <w:rPr>
                <w:sz w:val="18"/>
              </w:rPr>
              <w:t>It</w:t>
            </w:r>
            <w:r>
              <w:rPr>
                <w:spacing w:val="-2"/>
                <w:sz w:val="18"/>
              </w:rPr>
              <w:t> </w:t>
            </w:r>
            <w:r>
              <w:rPr>
                <w:sz w:val="18"/>
              </w:rPr>
              <w:t>will</w:t>
            </w:r>
            <w:r>
              <w:rPr>
                <w:spacing w:val="-2"/>
                <w:sz w:val="18"/>
              </w:rPr>
              <w:t> </w:t>
            </w:r>
            <w:r>
              <w:rPr>
                <w:sz w:val="18"/>
              </w:rPr>
              <w:t>also</w:t>
            </w:r>
            <w:r>
              <w:rPr>
                <w:spacing w:val="-1"/>
                <w:sz w:val="18"/>
              </w:rPr>
              <w:t> </w:t>
            </w:r>
            <w:r>
              <w:rPr>
                <w:sz w:val="18"/>
              </w:rPr>
              <w:t>inform</w:t>
            </w:r>
            <w:r>
              <w:rPr>
                <w:spacing w:val="-5"/>
                <w:sz w:val="18"/>
              </w:rPr>
              <w:t> </w:t>
            </w:r>
            <w:r>
              <w:rPr>
                <w:sz w:val="18"/>
              </w:rPr>
              <w:t>further rollouts.</w:t>
            </w:r>
          </w:p>
        </w:tc>
        <w:tc>
          <w:tcPr>
            <w:tcW w:w="2502" w:type="dxa"/>
          </w:tcPr>
          <w:p>
            <w:pPr>
              <w:pStyle w:val="TableParagraph"/>
              <w:numPr>
                <w:ilvl w:val="0"/>
                <w:numId w:val="29"/>
              </w:numPr>
              <w:tabs>
                <w:tab w:pos="282" w:val="left" w:leader="none"/>
              </w:tabs>
              <w:spacing w:line="276" w:lineRule="auto" w:before="1" w:after="0"/>
              <w:ind w:left="281" w:right="288" w:hanging="142"/>
              <w:jc w:val="left"/>
              <w:rPr>
                <w:sz w:val="18"/>
              </w:rPr>
            </w:pPr>
            <w:r>
              <w:rPr>
                <w:sz w:val="18"/>
              </w:rPr>
              <w:t>Access</w:t>
            </w:r>
            <w:r>
              <w:rPr>
                <w:spacing w:val="-5"/>
                <w:sz w:val="18"/>
              </w:rPr>
              <w:t> </w:t>
            </w:r>
            <w:r>
              <w:rPr>
                <w:sz w:val="18"/>
              </w:rPr>
              <w:t>to</w:t>
            </w:r>
            <w:r>
              <w:rPr>
                <w:spacing w:val="-3"/>
                <w:sz w:val="18"/>
              </w:rPr>
              <w:t> </w:t>
            </w:r>
            <w:r>
              <w:rPr>
                <w:sz w:val="18"/>
              </w:rPr>
              <w:t>all</w:t>
            </w:r>
            <w:r>
              <w:rPr>
                <w:spacing w:val="-4"/>
                <w:sz w:val="18"/>
              </w:rPr>
              <w:t> </w:t>
            </w:r>
            <w:r>
              <w:rPr>
                <w:sz w:val="18"/>
              </w:rPr>
              <w:t>products</w:t>
            </w:r>
            <w:r>
              <w:rPr>
                <w:spacing w:val="-46"/>
                <w:sz w:val="18"/>
              </w:rPr>
              <w:t> </w:t>
            </w:r>
            <w:r>
              <w:rPr>
                <w:sz w:val="18"/>
              </w:rPr>
              <w:t>of the evaluation, in</w:t>
            </w:r>
            <w:r>
              <w:rPr>
                <w:spacing w:val="1"/>
                <w:sz w:val="18"/>
              </w:rPr>
              <w:t> </w:t>
            </w:r>
            <w:r>
              <w:rPr>
                <w:sz w:val="18"/>
              </w:rPr>
              <w:t>draft</w:t>
            </w:r>
            <w:r>
              <w:rPr>
                <w:spacing w:val="-4"/>
                <w:sz w:val="18"/>
              </w:rPr>
              <w:t> </w:t>
            </w:r>
            <w:r>
              <w:rPr>
                <w:sz w:val="18"/>
              </w:rPr>
              <w:t>and</w:t>
            </w:r>
            <w:r>
              <w:rPr>
                <w:spacing w:val="-3"/>
                <w:sz w:val="18"/>
              </w:rPr>
              <w:t> </w:t>
            </w:r>
            <w:r>
              <w:rPr>
                <w:sz w:val="18"/>
              </w:rPr>
              <w:t>final</w:t>
            </w:r>
            <w:r>
              <w:rPr>
                <w:spacing w:val="-2"/>
                <w:sz w:val="18"/>
              </w:rPr>
              <w:t> </w:t>
            </w:r>
            <w:r>
              <w:rPr>
                <w:sz w:val="18"/>
              </w:rPr>
              <w:t>forms.</w:t>
            </w:r>
          </w:p>
        </w:tc>
      </w:tr>
      <w:tr>
        <w:trPr>
          <w:trHeight w:val="1389" w:hRule="atLeast"/>
        </w:trPr>
        <w:tc>
          <w:tcPr>
            <w:tcW w:w="2122" w:type="dxa"/>
          </w:tcPr>
          <w:p>
            <w:pPr>
              <w:pStyle w:val="TableParagraph"/>
              <w:spacing w:line="276" w:lineRule="auto"/>
              <w:ind w:left="107" w:right="95"/>
              <w:rPr>
                <w:b/>
                <w:sz w:val="18"/>
              </w:rPr>
            </w:pPr>
            <w:r>
              <w:rPr>
                <w:b/>
                <w:sz w:val="18"/>
              </w:rPr>
              <w:t>Implementation</w:t>
            </w:r>
            <w:r>
              <w:rPr>
                <w:b/>
                <w:spacing w:val="1"/>
                <w:sz w:val="18"/>
              </w:rPr>
              <w:t> </w:t>
            </w:r>
            <w:r>
              <w:rPr>
                <w:b/>
                <w:sz w:val="18"/>
              </w:rPr>
              <w:t>Advisory</w:t>
            </w:r>
            <w:r>
              <w:rPr>
                <w:b/>
                <w:spacing w:val="2"/>
                <w:sz w:val="18"/>
              </w:rPr>
              <w:t> </w:t>
            </w:r>
            <w:r>
              <w:rPr>
                <w:b/>
                <w:sz w:val="18"/>
              </w:rPr>
              <w:t>Group</w:t>
            </w:r>
            <w:r>
              <w:rPr>
                <w:b/>
                <w:spacing w:val="1"/>
                <w:sz w:val="18"/>
              </w:rPr>
              <w:t> </w:t>
            </w:r>
            <w:r>
              <w:rPr>
                <w:b/>
                <w:sz w:val="18"/>
              </w:rPr>
              <w:t>(IAG)/ Evaluation</w:t>
            </w:r>
            <w:r>
              <w:rPr>
                <w:b/>
                <w:spacing w:val="1"/>
                <w:sz w:val="18"/>
              </w:rPr>
              <w:t> </w:t>
            </w:r>
            <w:r>
              <w:rPr>
                <w:b/>
                <w:sz w:val="18"/>
              </w:rPr>
              <w:t>Working</w:t>
            </w:r>
            <w:r>
              <w:rPr>
                <w:b/>
                <w:spacing w:val="-8"/>
                <w:sz w:val="18"/>
              </w:rPr>
              <w:t> </w:t>
            </w:r>
            <w:r>
              <w:rPr>
                <w:b/>
                <w:sz w:val="18"/>
              </w:rPr>
              <w:t>Group</w:t>
            </w:r>
            <w:r>
              <w:rPr>
                <w:b/>
                <w:spacing w:val="-4"/>
                <w:sz w:val="18"/>
              </w:rPr>
              <w:t> </w:t>
            </w:r>
            <w:r>
              <w:rPr>
                <w:b/>
                <w:sz w:val="18"/>
              </w:rPr>
              <w:t>(EWG)</w:t>
            </w:r>
          </w:p>
        </w:tc>
        <w:tc>
          <w:tcPr>
            <w:tcW w:w="4396" w:type="dxa"/>
          </w:tcPr>
          <w:p>
            <w:pPr>
              <w:pStyle w:val="TableParagraph"/>
              <w:spacing w:line="276" w:lineRule="auto"/>
              <w:ind w:left="107" w:right="158"/>
              <w:rPr>
                <w:sz w:val="18"/>
              </w:rPr>
            </w:pPr>
            <w:r>
              <w:rPr>
                <w:sz w:val="18"/>
              </w:rPr>
              <w:t>The evaluation products will provide</w:t>
            </w:r>
            <w:r>
              <w:rPr>
                <w:spacing w:val="1"/>
                <w:sz w:val="18"/>
              </w:rPr>
              <w:t> </w:t>
            </w:r>
            <w:r>
              <w:rPr>
                <w:sz w:val="18"/>
              </w:rPr>
              <w:t>accountability</w:t>
            </w:r>
            <w:r>
              <w:rPr>
                <w:spacing w:val="-6"/>
                <w:sz w:val="18"/>
              </w:rPr>
              <w:t> </w:t>
            </w:r>
            <w:r>
              <w:rPr>
                <w:sz w:val="18"/>
              </w:rPr>
              <w:t>for</w:t>
            </w:r>
            <w:r>
              <w:rPr>
                <w:spacing w:val="-4"/>
                <w:sz w:val="18"/>
              </w:rPr>
              <w:t> </w:t>
            </w:r>
            <w:r>
              <w:rPr>
                <w:sz w:val="18"/>
              </w:rPr>
              <w:t>the</w:t>
            </w:r>
            <w:r>
              <w:rPr>
                <w:spacing w:val="-5"/>
                <w:sz w:val="18"/>
              </w:rPr>
              <w:t> </w:t>
            </w:r>
            <w:r>
              <w:rPr>
                <w:sz w:val="18"/>
              </w:rPr>
              <w:t>processes</w:t>
            </w:r>
            <w:r>
              <w:rPr>
                <w:spacing w:val="-5"/>
                <w:sz w:val="18"/>
              </w:rPr>
              <w:t> </w:t>
            </w:r>
            <w:r>
              <w:rPr>
                <w:sz w:val="18"/>
              </w:rPr>
              <w:t>undertaken</w:t>
            </w:r>
            <w:r>
              <w:rPr>
                <w:spacing w:val="-5"/>
                <w:sz w:val="18"/>
              </w:rPr>
              <w:t> </w:t>
            </w:r>
            <w:r>
              <w:rPr>
                <w:sz w:val="18"/>
              </w:rPr>
              <w:t>by</w:t>
            </w:r>
            <w:r>
              <w:rPr>
                <w:spacing w:val="-47"/>
                <w:sz w:val="18"/>
              </w:rPr>
              <w:t> </w:t>
            </w:r>
            <w:r>
              <w:rPr>
                <w:sz w:val="18"/>
              </w:rPr>
              <w:t>this group and key learning and inputs to</w:t>
            </w:r>
            <w:r>
              <w:rPr>
                <w:spacing w:val="1"/>
                <w:sz w:val="18"/>
              </w:rPr>
              <w:t> </w:t>
            </w:r>
            <w:r>
              <w:rPr>
                <w:sz w:val="18"/>
              </w:rPr>
              <w:t>improve future processes, and the results of the</w:t>
            </w:r>
            <w:r>
              <w:rPr>
                <w:spacing w:val="-47"/>
                <w:sz w:val="18"/>
              </w:rPr>
              <w:t> </w:t>
            </w:r>
            <w:r>
              <w:rPr>
                <w:sz w:val="18"/>
              </w:rPr>
              <w:t>evaluation</w:t>
            </w:r>
            <w:r>
              <w:rPr>
                <w:spacing w:val="-1"/>
                <w:sz w:val="18"/>
              </w:rPr>
              <w:t> </w:t>
            </w:r>
            <w:r>
              <w:rPr>
                <w:sz w:val="18"/>
              </w:rPr>
              <w:t>to</w:t>
            </w:r>
            <w:r>
              <w:rPr>
                <w:spacing w:val="-1"/>
                <w:sz w:val="18"/>
              </w:rPr>
              <w:t> </w:t>
            </w:r>
            <w:r>
              <w:rPr>
                <w:sz w:val="18"/>
              </w:rPr>
              <w:t>inform</w:t>
            </w:r>
            <w:r>
              <w:rPr>
                <w:spacing w:val="-5"/>
                <w:sz w:val="18"/>
              </w:rPr>
              <w:t> </w:t>
            </w:r>
            <w:r>
              <w:rPr>
                <w:sz w:val="18"/>
              </w:rPr>
              <w:t>policy</w:t>
            </w:r>
            <w:r>
              <w:rPr>
                <w:spacing w:val="-4"/>
                <w:sz w:val="18"/>
              </w:rPr>
              <w:t> </w:t>
            </w:r>
            <w:r>
              <w:rPr>
                <w:sz w:val="18"/>
              </w:rPr>
              <w:t>and</w:t>
            </w:r>
            <w:r>
              <w:rPr>
                <w:spacing w:val="-2"/>
                <w:sz w:val="18"/>
              </w:rPr>
              <w:t> </w:t>
            </w:r>
            <w:r>
              <w:rPr>
                <w:sz w:val="18"/>
              </w:rPr>
              <w:t>planning.</w:t>
            </w:r>
          </w:p>
        </w:tc>
        <w:tc>
          <w:tcPr>
            <w:tcW w:w="2502" w:type="dxa"/>
          </w:tcPr>
          <w:p>
            <w:pPr>
              <w:pStyle w:val="TableParagraph"/>
              <w:numPr>
                <w:ilvl w:val="0"/>
                <w:numId w:val="30"/>
              </w:numPr>
              <w:tabs>
                <w:tab w:pos="282" w:val="left" w:leader="none"/>
              </w:tabs>
              <w:spacing w:line="276" w:lineRule="auto" w:before="0" w:after="0"/>
              <w:ind w:left="281" w:right="351" w:hanging="142"/>
              <w:jc w:val="left"/>
              <w:rPr>
                <w:sz w:val="18"/>
              </w:rPr>
            </w:pPr>
            <w:r>
              <w:rPr>
                <w:sz w:val="18"/>
              </w:rPr>
              <w:t>Presentations/ forums</w:t>
            </w:r>
            <w:r>
              <w:rPr>
                <w:spacing w:val="-48"/>
                <w:sz w:val="18"/>
              </w:rPr>
              <w:t> </w:t>
            </w:r>
            <w:r>
              <w:rPr>
                <w:sz w:val="18"/>
              </w:rPr>
              <w:t>for</w:t>
            </w:r>
            <w:r>
              <w:rPr>
                <w:spacing w:val="-1"/>
                <w:sz w:val="18"/>
              </w:rPr>
              <w:t> </w:t>
            </w:r>
            <w:r>
              <w:rPr>
                <w:sz w:val="18"/>
              </w:rPr>
              <w:t>discussion.</w:t>
            </w:r>
          </w:p>
          <w:p>
            <w:pPr>
              <w:pStyle w:val="TableParagraph"/>
              <w:numPr>
                <w:ilvl w:val="0"/>
                <w:numId w:val="30"/>
              </w:numPr>
              <w:tabs>
                <w:tab w:pos="282" w:val="left" w:leader="none"/>
              </w:tabs>
              <w:spacing w:line="276" w:lineRule="auto" w:before="0" w:after="0"/>
              <w:ind w:left="281" w:right="184" w:hanging="142"/>
              <w:jc w:val="left"/>
              <w:rPr>
                <w:sz w:val="18"/>
              </w:rPr>
            </w:pPr>
            <w:r>
              <w:rPr>
                <w:sz w:val="18"/>
              </w:rPr>
              <w:t>Will</w:t>
            </w:r>
            <w:r>
              <w:rPr>
                <w:spacing w:val="-4"/>
                <w:sz w:val="18"/>
              </w:rPr>
              <w:t> </w:t>
            </w:r>
            <w:r>
              <w:rPr>
                <w:sz w:val="18"/>
              </w:rPr>
              <w:t>receive</w:t>
            </w:r>
            <w:r>
              <w:rPr>
                <w:spacing w:val="-2"/>
                <w:sz w:val="18"/>
              </w:rPr>
              <w:t> </w:t>
            </w:r>
            <w:r>
              <w:rPr>
                <w:sz w:val="18"/>
              </w:rPr>
              <w:t>interim</w:t>
            </w:r>
            <w:r>
              <w:rPr>
                <w:spacing w:val="-7"/>
                <w:sz w:val="18"/>
              </w:rPr>
              <w:t> </w:t>
            </w:r>
            <w:r>
              <w:rPr>
                <w:sz w:val="18"/>
              </w:rPr>
              <w:t>and</w:t>
            </w:r>
            <w:r>
              <w:rPr>
                <w:spacing w:val="-47"/>
                <w:sz w:val="18"/>
              </w:rPr>
              <w:t> </w:t>
            </w:r>
            <w:r>
              <w:rPr>
                <w:sz w:val="18"/>
              </w:rPr>
              <w:t>final reports of the</w:t>
            </w:r>
            <w:r>
              <w:rPr>
                <w:spacing w:val="1"/>
                <w:sz w:val="18"/>
              </w:rPr>
              <w:t> </w:t>
            </w:r>
            <w:r>
              <w:rPr>
                <w:sz w:val="18"/>
              </w:rPr>
              <w:t>evaluation.</w:t>
            </w:r>
          </w:p>
        </w:tc>
      </w:tr>
      <w:tr>
        <w:trPr>
          <w:trHeight w:val="2405" w:hRule="atLeast"/>
        </w:trPr>
        <w:tc>
          <w:tcPr>
            <w:tcW w:w="2122" w:type="dxa"/>
          </w:tcPr>
          <w:p>
            <w:pPr>
              <w:pStyle w:val="TableParagraph"/>
              <w:spacing w:line="276" w:lineRule="auto"/>
              <w:ind w:left="107" w:right="403"/>
              <w:rPr>
                <w:b/>
                <w:sz w:val="18"/>
              </w:rPr>
            </w:pPr>
            <w:r>
              <w:rPr>
                <w:b/>
                <w:sz w:val="18"/>
              </w:rPr>
              <w:t>Other government</w:t>
            </w:r>
            <w:r>
              <w:rPr>
                <w:b/>
                <w:spacing w:val="-48"/>
                <w:sz w:val="18"/>
              </w:rPr>
              <w:t> </w:t>
            </w:r>
            <w:r>
              <w:rPr>
                <w:b/>
                <w:sz w:val="18"/>
              </w:rPr>
              <w:t>departments/</w:t>
            </w:r>
            <w:r>
              <w:rPr>
                <w:b/>
                <w:spacing w:val="1"/>
                <w:sz w:val="18"/>
              </w:rPr>
              <w:t> </w:t>
            </w:r>
            <w:r>
              <w:rPr>
                <w:b/>
                <w:sz w:val="18"/>
              </w:rPr>
              <w:t>decision-makers</w:t>
            </w:r>
          </w:p>
        </w:tc>
        <w:tc>
          <w:tcPr>
            <w:tcW w:w="4396" w:type="dxa"/>
          </w:tcPr>
          <w:p>
            <w:pPr>
              <w:pStyle w:val="TableParagraph"/>
              <w:spacing w:line="276" w:lineRule="auto"/>
              <w:ind w:left="107" w:right="134"/>
              <w:rPr>
                <w:sz w:val="18"/>
              </w:rPr>
            </w:pPr>
            <w:r>
              <w:rPr>
                <w:sz w:val="18"/>
              </w:rPr>
              <w:t>There are likely to be several other government</w:t>
            </w:r>
            <w:r>
              <w:rPr>
                <w:spacing w:val="-47"/>
                <w:sz w:val="18"/>
              </w:rPr>
              <w:t> </w:t>
            </w:r>
            <w:r>
              <w:rPr>
                <w:sz w:val="18"/>
              </w:rPr>
              <w:t>departments interested in information on results</w:t>
            </w:r>
            <w:r>
              <w:rPr>
                <w:spacing w:val="-48"/>
                <w:sz w:val="18"/>
              </w:rPr>
              <w:t> </w:t>
            </w:r>
            <w:r>
              <w:rPr>
                <w:sz w:val="18"/>
              </w:rPr>
              <w:t>from trial. The focus of their interest may be on</w:t>
            </w:r>
            <w:r>
              <w:rPr>
                <w:spacing w:val="1"/>
                <w:sz w:val="18"/>
              </w:rPr>
              <w:t> </w:t>
            </w:r>
            <w:r>
              <w:rPr>
                <w:sz w:val="18"/>
              </w:rPr>
              <w:t>the evaluation process and lessons learned</w:t>
            </w:r>
            <w:r>
              <w:rPr>
                <w:spacing w:val="1"/>
                <w:sz w:val="18"/>
              </w:rPr>
              <w:t> </w:t>
            </w:r>
            <w:r>
              <w:rPr>
                <w:sz w:val="18"/>
              </w:rPr>
              <w:t>about conducting the evaluation. Their interest</w:t>
            </w:r>
            <w:r>
              <w:rPr>
                <w:spacing w:val="-47"/>
                <w:sz w:val="18"/>
              </w:rPr>
              <w:t> </w:t>
            </w:r>
            <w:r>
              <w:rPr>
                <w:sz w:val="18"/>
              </w:rPr>
              <w:t>may also be in the products or tools that are</w:t>
            </w:r>
            <w:r>
              <w:rPr>
                <w:spacing w:val="1"/>
                <w:sz w:val="18"/>
              </w:rPr>
              <w:t> </w:t>
            </w:r>
            <w:r>
              <w:rPr>
                <w:sz w:val="18"/>
              </w:rPr>
              <w:t>developed as part of the evaluation, and how</w:t>
            </w:r>
            <w:r>
              <w:rPr>
                <w:spacing w:val="1"/>
                <w:sz w:val="18"/>
              </w:rPr>
              <w:t> </w:t>
            </w:r>
            <w:r>
              <w:rPr>
                <w:sz w:val="18"/>
              </w:rPr>
              <w:t>the findings can be used to inform policy and</w:t>
            </w:r>
            <w:r>
              <w:rPr>
                <w:spacing w:val="1"/>
                <w:sz w:val="18"/>
              </w:rPr>
              <w:t> </w:t>
            </w:r>
            <w:r>
              <w:rPr>
                <w:sz w:val="18"/>
              </w:rPr>
              <w:t>practice.</w:t>
            </w:r>
          </w:p>
        </w:tc>
        <w:tc>
          <w:tcPr>
            <w:tcW w:w="2502" w:type="dxa"/>
          </w:tcPr>
          <w:p>
            <w:pPr>
              <w:pStyle w:val="TableParagraph"/>
              <w:numPr>
                <w:ilvl w:val="0"/>
                <w:numId w:val="31"/>
              </w:numPr>
              <w:tabs>
                <w:tab w:pos="285" w:val="left" w:leader="none"/>
              </w:tabs>
              <w:spacing w:line="276" w:lineRule="auto" w:before="0" w:after="0"/>
              <w:ind w:left="284" w:right="326" w:hanging="144"/>
              <w:jc w:val="left"/>
              <w:rPr>
                <w:sz w:val="18"/>
              </w:rPr>
            </w:pPr>
            <w:r>
              <w:rPr>
                <w:sz w:val="18"/>
              </w:rPr>
              <w:t>Brief Plain-English final</w:t>
            </w:r>
            <w:r>
              <w:rPr>
                <w:spacing w:val="-47"/>
                <w:sz w:val="18"/>
              </w:rPr>
              <w:t> </w:t>
            </w:r>
            <w:r>
              <w:rPr>
                <w:sz w:val="18"/>
              </w:rPr>
              <w:t>report.</w:t>
            </w:r>
          </w:p>
        </w:tc>
      </w:tr>
      <w:tr>
        <w:trPr>
          <w:trHeight w:val="1641" w:hRule="atLeast"/>
        </w:trPr>
        <w:tc>
          <w:tcPr>
            <w:tcW w:w="2122" w:type="dxa"/>
          </w:tcPr>
          <w:p>
            <w:pPr>
              <w:pStyle w:val="TableParagraph"/>
              <w:spacing w:line="219" w:lineRule="exact"/>
              <w:ind w:left="107"/>
              <w:rPr>
                <w:b/>
                <w:sz w:val="18"/>
              </w:rPr>
            </w:pPr>
            <w:r>
              <w:rPr>
                <w:b/>
                <w:sz w:val="18"/>
              </w:rPr>
              <w:t>PHNs,</w:t>
            </w:r>
            <w:r>
              <w:rPr>
                <w:b/>
                <w:spacing w:val="-2"/>
                <w:sz w:val="18"/>
              </w:rPr>
              <w:t> </w:t>
            </w:r>
            <w:r>
              <w:rPr>
                <w:b/>
                <w:sz w:val="18"/>
              </w:rPr>
              <w:t>peak bodies</w:t>
            </w:r>
          </w:p>
        </w:tc>
        <w:tc>
          <w:tcPr>
            <w:tcW w:w="4396" w:type="dxa"/>
          </w:tcPr>
          <w:p>
            <w:pPr>
              <w:pStyle w:val="TableParagraph"/>
              <w:spacing w:line="276" w:lineRule="auto"/>
              <w:ind w:left="107" w:right="164"/>
              <w:rPr>
                <w:sz w:val="18"/>
              </w:rPr>
            </w:pPr>
            <w:r>
              <w:rPr>
                <w:sz w:val="18"/>
              </w:rPr>
              <w:t>These groups are likely to be interested in</w:t>
            </w:r>
            <w:r>
              <w:rPr>
                <w:spacing w:val="1"/>
                <w:sz w:val="18"/>
              </w:rPr>
              <w:t> </w:t>
            </w:r>
            <w:r>
              <w:rPr>
                <w:sz w:val="18"/>
              </w:rPr>
              <w:t>receiving</w:t>
            </w:r>
            <w:r>
              <w:rPr>
                <w:spacing w:val="-6"/>
                <w:sz w:val="18"/>
              </w:rPr>
              <w:t> </w:t>
            </w:r>
            <w:r>
              <w:rPr>
                <w:sz w:val="18"/>
              </w:rPr>
              <w:t>feedback</w:t>
            </w:r>
            <w:r>
              <w:rPr>
                <w:spacing w:val="-3"/>
                <w:sz w:val="18"/>
              </w:rPr>
              <w:t> </w:t>
            </w:r>
            <w:r>
              <w:rPr>
                <w:sz w:val="18"/>
              </w:rPr>
              <w:t>on</w:t>
            </w:r>
            <w:r>
              <w:rPr>
                <w:spacing w:val="-3"/>
                <w:sz w:val="18"/>
              </w:rPr>
              <w:t> </w:t>
            </w:r>
            <w:r>
              <w:rPr>
                <w:sz w:val="18"/>
              </w:rPr>
              <w:t>the</w:t>
            </w:r>
            <w:r>
              <w:rPr>
                <w:spacing w:val="-6"/>
                <w:sz w:val="18"/>
              </w:rPr>
              <w:t> </w:t>
            </w:r>
            <w:r>
              <w:rPr>
                <w:sz w:val="18"/>
              </w:rPr>
              <w:t>implementation</w:t>
            </w:r>
            <w:r>
              <w:rPr>
                <w:spacing w:val="-3"/>
                <w:sz w:val="18"/>
              </w:rPr>
              <w:t> </w:t>
            </w:r>
            <w:r>
              <w:rPr>
                <w:sz w:val="18"/>
              </w:rPr>
              <w:t>of</w:t>
            </w:r>
            <w:r>
              <w:rPr>
                <w:spacing w:val="-47"/>
                <w:sz w:val="18"/>
              </w:rPr>
              <w:t> </w:t>
            </w:r>
            <w:r>
              <w:rPr>
                <w:sz w:val="18"/>
              </w:rPr>
              <w:t>the project, and the findings and their</w:t>
            </w:r>
            <w:r>
              <w:rPr>
                <w:spacing w:val="1"/>
                <w:sz w:val="18"/>
              </w:rPr>
              <w:t> </w:t>
            </w:r>
            <w:r>
              <w:rPr>
                <w:sz w:val="18"/>
              </w:rPr>
              <w:t>implications</w:t>
            </w:r>
            <w:r>
              <w:rPr>
                <w:spacing w:val="-3"/>
                <w:sz w:val="18"/>
              </w:rPr>
              <w:t> </w:t>
            </w:r>
            <w:r>
              <w:rPr>
                <w:sz w:val="18"/>
              </w:rPr>
              <w:t>for</w:t>
            </w:r>
            <w:r>
              <w:rPr>
                <w:spacing w:val="-3"/>
                <w:sz w:val="18"/>
              </w:rPr>
              <w:t> </w:t>
            </w:r>
            <w:r>
              <w:rPr>
                <w:sz w:val="18"/>
              </w:rPr>
              <w:t>policy</w:t>
            </w:r>
            <w:r>
              <w:rPr>
                <w:spacing w:val="-2"/>
                <w:sz w:val="18"/>
              </w:rPr>
              <w:t> </w:t>
            </w:r>
            <w:r>
              <w:rPr>
                <w:sz w:val="18"/>
              </w:rPr>
              <w:t>and</w:t>
            </w:r>
            <w:r>
              <w:rPr>
                <w:spacing w:val="-3"/>
                <w:sz w:val="18"/>
              </w:rPr>
              <w:t> </w:t>
            </w:r>
            <w:r>
              <w:rPr>
                <w:sz w:val="18"/>
              </w:rPr>
              <w:t>practice.</w:t>
            </w:r>
          </w:p>
        </w:tc>
        <w:tc>
          <w:tcPr>
            <w:tcW w:w="2502" w:type="dxa"/>
          </w:tcPr>
          <w:p>
            <w:pPr>
              <w:pStyle w:val="TableParagraph"/>
              <w:numPr>
                <w:ilvl w:val="0"/>
                <w:numId w:val="32"/>
              </w:numPr>
              <w:tabs>
                <w:tab w:pos="282" w:val="left" w:leader="none"/>
              </w:tabs>
              <w:spacing w:line="276" w:lineRule="auto" w:before="0" w:after="0"/>
              <w:ind w:left="281" w:right="351" w:hanging="142"/>
              <w:jc w:val="left"/>
              <w:rPr>
                <w:sz w:val="18"/>
              </w:rPr>
            </w:pPr>
            <w:r>
              <w:rPr>
                <w:sz w:val="18"/>
              </w:rPr>
              <w:t>Presentations/ forums</w:t>
            </w:r>
            <w:r>
              <w:rPr>
                <w:spacing w:val="-48"/>
                <w:sz w:val="18"/>
              </w:rPr>
              <w:t> </w:t>
            </w:r>
            <w:r>
              <w:rPr>
                <w:sz w:val="18"/>
              </w:rPr>
              <w:t>for</w:t>
            </w:r>
            <w:r>
              <w:rPr>
                <w:spacing w:val="-1"/>
                <w:sz w:val="18"/>
              </w:rPr>
              <w:t> </w:t>
            </w:r>
            <w:r>
              <w:rPr>
                <w:sz w:val="18"/>
              </w:rPr>
              <w:t>discussion.</w:t>
            </w:r>
          </w:p>
          <w:p>
            <w:pPr>
              <w:pStyle w:val="TableParagraph"/>
              <w:numPr>
                <w:ilvl w:val="0"/>
                <w:numId w:val="32"/>
              </w:numPr>
              <w:tabs>
                <w:tab w:pos="282" w:val="left" w:leader="none"/>
              </w:tabs>
              <w:spacing w:line="276" w:lineRule="auto" w:before="0" w:after="0"/>
              <w:ind w:left="281" w:right="676" w:hanging="142"/>
              <w:jc w:val="left"/>
              <w:rPr>
                <w:sz w:val="18"/>
              </w:rPr>
            </w:pPr>
            <w:r>
              <w:rPr>
                <w:sz w:val="18"/>
              </w:rPr>
              <w:t>Final report of the</w:t>
            </w:r>
            <w:r>
              <w:rPr>
                <w:spacing w:val="-47"/>
                <w:sz w:val="18"/>
              </w:rPr>
              <w:t> </w:t>
            </w:r>
            <w:r>
              <w:rPr>
                <w:sz w:val="18"/>
              </w:rPr>
              <w:t>evaluation.</w:t>
            </w:r>
          </w:p>
          <w:p>
            <w:pPr>
              <w:pStyle w:val="TableParagraph"/>
              <w:numPr>
                <w:ilvl w:val="0"/>
                <w:numId w:val="32"/>
              </w:numPr>
              <w:tabs>
                <w:tab w:pos="285" w:val="left" w:leader="none"/>
              </w:tabs>
              <w:spacing w:line="276" w:lineRule="auto" w:before="0" w:after="0"/>
              <w:ind w:left="284" w:right="326" w:hanging="144"/>
              <w:jc w:val="left"/>
              <w:rPr>
                <w:sz w:val="18"/>
              </w:rPr>
            </w:pPr>
            <w:r>
              <w:rPr>
                <w:sz w:val="18"/>
              </w:rPr>
              <w:t>Brief Plain-English final</w:t>
            </w:r>
            <w:r>
              <w:rPr>
                <w:spacing w:val="-47"/>
                <w:sz w:val="18"/>
              </w:rPr>
              <w:t> </w:t>
            </w:r>
            <w:r>
              <w:rPr>
                <w:sz w:val="18"/>
              </w:rPr>
              <w:t>report.</w:t>
            </w:r>
          </w:p>
        </w:tc>
      </w:tr>
    </w:tbl>
    <w:p>
      <w:pPr>
        <w:spacing w:after="0" w:line="276" w:lineRule="auto"/>
        <w:jc w:val="left"/>
        <w:rPr>
          <w:sz w:val="18"/>
        </w:rPr>
        <w:sectPr>
          <w:pgSz w:w="11910" w:h="16840"/>
          <w:pgMar w:header="0" w:footer="675" w:top="1340" w:bottom="1831" w:left="580" w:right="280"/>
        </w:sectPr>
      </w:pPr>
    </w:p>
    <w:tbl>
      <w:tblPr>
        <w:tblW w:w="0" w:type="auto"/>
        <w:jc w:val="left"/>
        <w:tblInd w:w="8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122"/>
        <w:gridCol w:w="4396"/>
        <w:gridCol w:w="2502"/>
      </w:tblGrid>
      <w:tr>
        <w:trPr>
          <w:trHeight w:val="508" w:hRule="atLeast"/>
        </w:trPr>
        <w:tc>
          <w:tcPr>
            <w:tcW w:w="2122" w:type="dxa"/>
            <w:shd w:val="clear" w:color="auto" w:fill="003C79"/>
          </w:tcPr>
          <w:p>
            <w:pPr>
              <w:pStyle w:val="TableParagraph"/>
              <w:spacing w:line="219" w:lineRule="exact"/>
              <w:ind w:left="316"/>
              <w:rPr>
                <w:b/>
                <w:sz w:val="18"/>
              </w:rPr>
            </w:pPr>
            <w:r>
              <w:rPr>
                <w:b/>
                <w:color w:val="FFFFFF"/>
                <w:sz w:val="18"/>
              </w:rPr>
              <w:t>Stakeholder</w:t>
            </w:r>
            <w:r>
              <w:rPr>
                <w:b/>
                <w:color w:val="FFFFFF"/>
                <w:spacing w:val="-3"/>
                <w:sz w:val="18"/>
              </w:rPr>
              <w:t> </w:t>
            </w:r>
            <w:r>
              <w:rPr>
                <w:b/>
                <w:color w:val="FFFFFF"/>
                <w:sz w:val="18"/>
              </w:rPr>
              <w:t>type</w:t>
            </w:r>
          </w:p>
        </w:tc>
        <w:tc>
          <w:tcPr>
            <w:tcW w:w="4396" w:type="dxa"/>
            <w:shd w:val="clear" w:color="auto" w:fill="003C79"/>
          </w:tcPr>
          <w:p>
            <w:pPr>
              <w:pStyle w:val="TableParagraph"/>
              <w:spacing w:line="219" w:lineRule="exact"/>
              <w:ind w:left="803"/>
              <w:rPr>
                <w:b/>
                <w:sz w:val="18"/>
              </w:rPr>
            </w:pPr>
            <w:r>
              <w:rPr>
                <w:b/>
                <w:color w:val="FFFFFF"/>
                <w:sz w:val="18"/>
              </w:rPr>
              <w:t>Interest</w:t>
            </w:r>
            <w:r>
              <w:rPr>
                <w:b/>
                <w:color w:val="FFFFFF"/>
                <w:spacing w:val="-4"/>
                <w:sz w:val="18"/>
              </w:rPr>
              <w:t> </w:t>
            </w:r>
            <w:r>
              <w:rPr>
                <w:b/>
                <w:color w:val="FFFFFF"/>
                <w:sz w:val="18"/>
              </w:rPr>
              <w:t>in</w:t>
            </w:r>
            <w:r>
              <w:rPr>
                <w:b/>
                <w:color w:val="FFFFFF"/>
                <w:spacing w:val="-2"/>
                <w:sz w:val="18"/>
              </w:rPr>
              <w:t> </w:t>
            </w:r>
            <w:r>
              <w:rPr>
                <w:b/>
                <w:color w:val="FFFFFF"/>
                <w:sz w:val="18"/>
              </w:rPr>
              <w:t>the</w:t>
            </w:r>
            <w:r>
              <w:rPr>
                <w:b/>
                <w:color w:val="FFFFFF"/>
                <w:spacing w:val="-2"/>
                <w:sz w:val="18"/>
              </w:rPr>
              <w:t> </w:t>
            </w:r>
            <w:r>
              <w:rPr>
                <w:b/>
                <w:color w:val="FFFFFF"/>
                <w:sz w:val="18"/>
              </w:rPr>
              <w:t>products/ findings</w:t>
            </w:r>
          </w:p>
        </w:tc>
        <w:tc>
          <w:tcPr>
            <w:tcW w:w="2502" w:type="dxa"/>
            <w:shd w:val="clear" w:color="auto" w:fill="003C79"/>
          </w:tcPr>
          <w:p>
            <w:pPr>
              <w:pStyle w:val="TableParagraph"/>
              <w:spacing w:line="219" w:lineRule="exact"/>
              <w:ind w:left="220" w:right="214"/>
              <w:jc w:val="center"/>
              <w:rPr>
                <w:b/>
                <w:sz w:val="18"/>
              </w:rPr>
            </w:pPr>
            <w:r>
              <w:rPr>
                <w:b/>
                <w:color w:val="FFFFFF"/>
                <w:sz w:val="18"/>
              </w:rPr>
              <w:t>Dissemination</w:t>
            </w:r>
            <w:r>
              <w:rPr>
                <w:b/>
                <w:color w:val="FFFFFF"/>
                <w:spacing w:val="-2"/>
                <w:sz w:val="18"/>
              </w:rPr>
              <w:t> </w:t>
            </w:r>
            <w:r>
              <w:rPr>
                <w:b/>
                <w:color w:val="FFFFFF"/>
                <w:sz w:val="18"/>
              </w:rPr>
              <w:t>products</w:t>
            </w:r>
          </w:p>
          <w:p>
            <w:pPr>
              <w:pStyle w:val="TableParagraph"/>
              <w:spacing w:before="34"/>
              <w:ind w:left="220" w:right="214"/>
              <w:jc w:val="center"/>
              <w:rPr>
                <w:b/>
                <w:sz w:val="18"/>
              </w:rPr>
            </w:pPr>
            <w:r>
              <w:rPr>
                <w:b/>
                <w:color w:val="FFFFFF"/>
                <w:sz w:val="18"/>
              </w:rPr>
              <w:t>and</w:t>
            </w:r>
            <w:r>
              <w:rPr>
                <w:b/>
                <w:color w:val="FFFFFF"/>
                <w:spacing w:val="-1"/>
                <w:sz w:val="18"/>
              </w:rPr>
              <w:t> </w:t>
            </w:r>
            <w:r>
              <w:rPr>
                <w:b/>
                <w:color w:val="FFFFFF"/>
                <w:sz w:val="18"/>
              </w:rPr>
              <w:t>strategy</w:t>
            </w:r>
          </w:p>
        </w:tc>
      </w:tr>
      <w:tr>
        <w:trPr>
          <w:trHeight w:val="1134" w:hRule="atLeast"/>
        </w:trPr>
        <w:tc>
          <w:tcPr>
            <w:tcW w:w="2122" w:type="dxa"/>
          </w:tcPr>
          <w:p>
            <w:pPr>
              <w:pStyle w:val="TableParagraph"/>
              <w:spacing w:line="276" w:lineRule="auto"/>
              <w:ind w:left="107" w:right="145"/>
              <w:rPr>
                <w:b/>
                <w:sz w:val="18"/>
              </w:rPr>
            </w:pPr>
            <w:r>
              <w:rPr>
                <w:b/>
                <w:sz w:val="18"/>
              </w:rPr>
              <w:t>GPs, practice owners</w:t>
            </w:r>
            <w:r>
              <w:rPr>
                <w:b/>
                <w:spacing w:val="-48"/>
                <w:sz w:val="18"/>
              </w:rPr>
              <w:t> </w:t>
            </w:r>
            <w:r>
              <w:rPr>
                <w:b/>
                <w:sz w:val="18"/>
              </w:rPr>
              <w:t>and</w:t>
            </w:r>
            <w:r>
              <w:rPr>
                <w:b/>
                <w:spacing w:val="-2"/>
                <w:sz w:val="18"/>
              </w:rPr>
              <w:t> </w:t>
            </w:r>
            <w:r>
              <w:rPr>
                <w:b/>
                <w:sz w:val="18"/>
              </w:rPr>
              <w:t>other</w:t>
            </w:r>
            <w:r>
              <w:rPr>
                <w:b/>
                <w:spacing w:val="-3"/>
                <w:sz w:val="18"/>
              </w:rPr>
              <w:t> </w:t>
            </w:r>
            <w:r>
              <w:rPr>
                <w:b/>
                <w:sz w:val="18"/>
              </w:rPr>
              <w:t>health</w:t>
            </w:r>
            <w:r>
              <w:rPr>
                <w:b/>
                <w:spacing w:val="-3"/>
                <w:sz w:val="18"/>
              </w:rPr>
              <w:t> </w:t>
            </w:r>
            <w:r>
              <w:rPr>
                <w:b/>
                <w:sz w:val="18"/>
              </w:rPr>
              <w:t>staff</w:t>
            </w:r>
          </w:p>
        </w:tc>
        <w:tc>
          <w:tcPr>
            <w:tcW w:w="4396" w:type="dxa"/>
          </w:tcPr>
          <w:p>
            <w:pPr>
              <w:pStyle w:val="TableParagraph"/>
              <w:spacing w:line="276" w:lineRule="auto"/>
              <w:ind w:left="107" w:right="210"/>
              <w:rPr>
                <w:sz w:val="18"/>
              </w:rPr>
            </w:pPr>
            <w:r>
              <w:rPr>
                <w:sz w:val="18"/>
              </w:rPr>
              <w:t>These groups are likely to be interested in</w:t>
            </w:r>
            <w:r>
              <w:rPr>
                <w:spacing w:val="1"/>
                <w:sz w:val="18"/>
              </w:rPr>
              <w:t> </w:t>
            </w:r>
            <w:r>
              <w:rPr>
                <w:sz w:val="18"/>
              </w:rPr>
              <w:t>receiving feedback on implementation of the</w:t>
            </w:r>
            <w:r>
              <w:rPr>
                <w:spacing w:val="1"/>
                <w:sz w:val="18"/>
              </w:rPr>
              <w:t> </w:t>
            </w:r>
            <w:r>
              <w:rPr>
                <w:sz w:val="18"/>
              </w:rPr>
              <w:t>project, and the findings and their implications</w:t>
            </w:r>
            <w:r>
              <w:rPr>
                <w:spacing w:val="-47"/>
                <w:sz w:val="18"/>
              </w:rPr>
              <w:t> </w:t>
            </w:r>
            <w:r>
              <w:rPr>
                <w:sz w:val="18"/>
              </w:rPr>
              <w:t>for</w:t>
            </w:r>
            <w:r>
              <w:rPr>
                <w:spacing w:val="-1"/>
                <w:sz w:val="18"/>
              </w:rPr>
              <w:t> </w:t>
            </w:r>
            <w:r>
              <w:rPr>
                <w:sz w:val="18"/>
              </w:rPr>
              <w:t>policy</w:t>
            </w:r>
            <w:r>
              <w:rPr>
                <w:spacing w:val="-1"/>
                <w:sz w:val="18"/>
              </w:rPr>
              <w:t> </w:t>
            </w:r>
            <w:r>
              <w:rPr>
                <w:sz w:val="18"/>
              </w:rPr>
              <w:t>and</w:t>
            </w:r>
            <w:r>
              <w:rPr>
                <w:spacing w:val="-1"/>
                <w:sz w:val="18"/>
              </w:rPr>
              <w:t> </w:t>
            </w:r>
            <w:r>
              <w:rPr>
                <w:sz w:val="18"/>
              </w:rPr>
              <w:t>practice</w:t>
            </w:r>
          </w:p>
        </w:tc>
        <w:tc>
          <w:tcPr>
            <w:tcW w:w="2502" w:type="dxa"/>
          </w:tcPr>
          <w:p>
            <w:pPr>
              <w:pStyle w:val="TableParagraph"/>
              <w:numPr>
                <w:ilvl w:val="0"/>
                <w:numId w:val="33"/>
              </w:numPr>
              <w:tabs>
                <w:tab w:pos="282" w:val="left" w:leader="none"/>
              </w:tabs>
              <w:spacing w:line="276" w:lineRule="auto" w:before="0" w:after="0"/>
              <w:ind w:left="281" w:right="676" w:hanging="142"/>
              <w:jc w:val="left"/>
              <w:rPr>
                <w:sz w:val="18"/>
              </w:rPr>
            </w:pPr>
            <w:r>
              <w:rPr>
                <w:sz w:val="18"/>
              </w:rPr>
              <w:t>Final report of the</w:t>
            </w:r>
            <w:r>
              <w:rPr>
                <w:spacing w:val="-47"/>
                <w:sz w:val="18"/>
              </w:rPr>
              <w:t> </w:t>
            </w:r>
            <w:r>
              <w:rPr>
                <w:sz w:val="18"/>
              </w:rPr>
              <w:t>evaluation.</w:t>
            </w:r>
          </w:p>
          <w:p>
            <w:pPr>
              <w:pStyle w:val="TableParagraph"/>
              <w:numPr>
                <w:ilvl w:val="0"/>
                <w:numId w:val="33"/>
              </w:numPr>
              <w:tabs>
                <w:tab w:pos="282" w:val="left" w:leader="none"/>
              </w:tabs>
              <w:spacing w:line="276" w:lineRule="auto" w:before="0" w:after="0"/>
              <w:ind w:left="281" w:right="329" w:hanging="142"/>
              <w:jc w:val="left"/>
              <w:rPr>
                <w:sz w:val="18"/>
              </w:rPr>
            </w:pPr>
            <w:r>
              <w:rPr>
                <w:sz w:val="18"/>
              </w:rPr>
              <w:t>Brief Plain-English final</w:t>
            </w:r>
            <w:r>
              <w:rPr>
                <w:spacing w:val="-47"/>
                <w:sz w:val="18"/>
              </w:rPr>
              <w:t> </w:t>
            </w:r>
            <w:r>
              <w:rPr>
                <w:sz w:val="18"/>
              </w:rPr>
              <w:t>report.</w:t>
            </w:r>
          </w:p>
        </w:tc>
      </w:tr>
      <w:tr>
        <w:trPr>
          <w:trHeight w:val="2537" w:hRule="atLeast"/>
        </w:trPr>
        <w:tc>
          <w:tcPr>
            <w:tcW w:w="2122" w:type="dxa"/>
          </w:tcPr>
          <w:p>
            <w:pPr>
              <w:pStyle w:val="TableParagraph"/>
              <w:spacing w:line="276" w:lineRule="auto"/>
              <w:ind w:left="107" w:right="147"/>
              <w:rPr>
                <w:b/>
                <w:sz w:val="18"/>
              </w:rPr>
            </w:pPr>
            <w:r>
              <w:rPr>
                <w:b/>
                <w:sz w:val="18"/>
              </w:rPr>
              <w:t>Research</w:t>
            </w:r>
            <w:r>
              <w:rPr>
                <w:b/>
                <w:spacing w:val="1"/>
                <w:sz w:val="18"/>
              </w:rPr>
              <w:t> </w:t>
            </w:r>
            <w:r>
              <w:rPr>
                <w:b/>
                <w:sz w:val="18"/>
              </w:rPr>
              <w:t>community/</w:t>
            </w:r>
            <w:r>
              <w:rPr>
                <w:b/>
                <w:spacing w:val="1"/>
                <w:sz w:val="18"/>
              </w:rPr>
              <w:t> </w:t>
            </w:r>
            <w:r>
              <w:rPr>
                <w:b/>
                <w:spacing w:val="-1"/>
                <w:sz w:val="18"/>
              </w:rPr>
              <w:t>academic</w:t>
            </w:r>
            <w:r>
              <w:rPr>
                <w:b/>
                <w:spacing w:val="-8"/>
                <w:sz w:val="18"/>
              </w:rPr>
              <w:t> </w:t>
            </w:r>
            <w:r>
              <w:rPr>
                <w:b/>
                <w:sz w:val="18"/>
              </w:rPr>
              <w:t>institutions</w:t>
            </w:r>
          </w:p>
        </w:tc>
        <w:tc>
          <w:tcPr>
            <w:tcW w:w="4396" w:type="dxa"/>
          </w:tcPr>
          <w:p>
            <w:pPr>
              <w:pStyle w:val="TableParagraph"/>
              <w:spacing w:line="276" w:lineRule="auto"/>
              <w:ind w:left="107" w:right="105"/>
              <w:rPr>
                <w:sz w:val="18"/>
              </w:rPr>
            </w:pPr>
            <w:r>
              <w:rPr>
                <w:sz w:val="18"/>
              </w:rPr>
              <w:t>These institutions are usually interested to</w:t>
            </w:r>
            <w:r>
              <w:rPr>
                <w:spacing w:val="1"/>
                <w:sz w:val="18"/>
              </w:rPr>
              <w:t> </w:t>
            </w:r>
            <w:r>
              <w:rPr>
                <w:sz w:val="18"/>
              </w:rPr>
              <w:t>receive</w:t>
            </w:r>
            <w:r>
              <w:rPr>
                <w:spacing w:val="-5"/>
                <w:sz w:val="18"/>
              </w:rPr>
              <w:t> </w:t>
            </w:r>
            <w:r>
              <w:rPr>
                <w:sz w:val="18"/>
              </w:rPr>
              <w:t>research</w:t>
            </w:r>
            <w:r>
              <w:rPr>
                <w:spacing w:val="-3"/>
                <w:sz w:val="18"/>
              </w:rPr>
              <w:t> </w:t>
            </w:r>
            <w:r>
              <w:rPr>
                <w:sz w:val="18"/>
              </w:rPr>
              <w:t>and</w:t>
            </w:r>
            <w:r>
              <w:rPr>
                <w:spacing w:val="-4"/>
                <w:sz w:val="18"/>
              </w:rPr>
              <w:t> </w:t>
            </w:r>
            <w:r>
              <w:rPr>
                <w:sz w:val="18"/>
              </w:rPr>
              <w:t>studies</w:t>
            </w:r>
            <w:r>
              <w:rPr>
                <w:spacing w:val="-4"/>
                <w:sz w:val="18"/>
              </w:rPr>
              <w:t> </w:t>
            </w:r>
            <w:r>
              <w:rPr>
                <w:sz w:val="18"/>
              </w:rPr>
              <w:t>that</w:t>
            </w:r>
            <w:r>
              <w:rPr>
                <w:spacing w:val="-5"/>
                <w:sz w:val="18"/>
              </w:rPr>
              <w:t> </w:t>
            </w:r>
            <w:r>
              <w:rPr>
                <w:sz w:val="18"/>
              </w:rPr>
              <w:t>can</w:t>
            </w:r>
            <w:r>
              <w:rPr>
                <w:spacing w:val="-3"/>
                <w:sz w:val="18"/>
              </w:rPr>
              <w:t> </w:t>
            </w:r>
            <w:r>
              <w:rPr>
                <w:sz w:val="18"/>
              </w:rPr>
              <w:t>enhance</w:t>
            </w:r>
            <w:r>
              <w:rPr>
                <w:spacing w:val="-47"/>
                <w:sz w:val="18"/>
              </w:rPr>
              <w:t> </w:t>
            </w:r>
            <w:r>
              <w:rPr>
                <w:sz w:val="18"/>
              </w:rPr>
              <w:t>their ongoing research and evaluation of</w:t>
            </w:r>
            <w:r>
              <w:rPr>
                <w:spacing w:val="1"/>
                <w:sz w:val="18"/>
              </w:rPr>
              <w:t> </w:t>
            </w:r>
            <w:r>
              <w:rPr>
                <w:sz w:val="18"/>
              </w:rPr>
              <w:t>models of health care, and other major policy</w:t>
            </w:r>
            <w:r>
              <w:rPr>
                <w:spacing w:val="1"/>
                <w:sz w:val="18"/>
              </w:rPr>
              <w:t> </w:t>
            </w:r>
            <w:r>
              <w:rPr>
                <w:sz w:val="18"/>
              </w:rPr>
              <w:t>reforms</w:t>
            </w:r>
            <w:r>
              <w:rPr>
                <w:spacing w:val="-2"/>
                <w:sz w:val="18"/>
              </w:rPr>
              <w:t> </w:t>
            </w:r>
            <w:r>
              <w:rPr>
                <w:sz w:val="18"/>
              </w:rPr>
              <w:t>and</w:t>
            </w:r>
            <w:r>
              <w:rPr>
                <w:spacing w:val="-1"/>
                <w:sz w:val="18"/>
              </w:rPr>
              <w:t> </w:t>
            </w:r>
            <w:r>
              <w:rPr>
                <w:sz w:val="18"/>
              </w:rPr>
              <w:t>initiatives.</w:t>
            </w:r>
          </w:p>
        </w:tc>
        <w:tc>
          <w:tcPr>
            <w:tcW w:w="2502" w:type="dxa"/>
          </w:tcPr>
          <w:p>
            <w:pPr>
              <w:pStyle w:val="TableParagraph"/>
              <w:numPr>
                <w:ilvl w:val="0"/>
                <w:numId w:val="34"/>
              </w:numPr>
              <w:tabs>
                <w:tab w:pos="282" w:val="left" w:leader="none"/>
              </w:tabs>
              <w:spacing w:line="276" w:lineRule="auto" w:before="0" w:after="0"/>
              <w:ind w:left="281" w:right="115" w:hanging="142"/>
              <w:jc w:val="left"/>
              <w:rPr>
                <w:sz w:val="18"/>
              </w:rPr>
            </w:pPr>
            <w:r>
              <w:rPr>
                <w:sz w:val="18"/>
              </w:rPr>
              <w:t>Other publications in</w:t>
            </w:r>
            <w:r>
              <w:rPr>
                <w:spacing w:val="1"/>
                <w:sz w:val="18"/>
              </w:rPr>
              <w:t> </w:t>
            </w:r>
            <w:r>
              <w:rPr>
                <w:sz w:val="18"/>
              </w:rPr>
              <w:t>peer reviewed literature</w:t>
            </w:r>
            <w:r>
              <w:rPr>
                <w:spacing w:val="-48"/>
                <w:sz w:val="18"/>
              </w:rPr>
              <w:t> </w:t>
            </w:r>
            <w:r>
              <w:rPr>
                <w:sz w:val="18"/>
              </w:rPr>
              <w:t>and conference</w:t>
            </w:r>
            <w:r>
              <w:rPr>
                <w:spacing w:val="1"/>
                <w:sz w:val="18"/>
              </w:rPr>
              <w:t> </w:t>
            </w:r>
            <w:r>
              <w:rPr>
                <w:sz w:val="18"/>
              </w:rPr>
              <w:t>presentations.</w:t>
            </w:r>
          </w:p>
          <w:p>
            <w:pPr>
              <w:pStyle w:val="TableParagraph"/>
              <w:numPr>
                <w:ilvl w:val="0"/>
                <w:numId w:val="34"/>
              </w:numPr>
              <w:tabs>
                <w:tab w:pos="282" w:val="left" w:leader="none"/>
              </w:tabs>
              <w:spacing w:line="276" w:lineRule="auto" w:before="0" w:after="0"/>
              <w:ind w:left="281" w:right="268" w:hanging="142"/>
              <w:jc w:val="left"/>
              <w:rPr>
                <w:sz w:val="18"/>
              </w:rPr>
            </w:pPr>
            <w:r>
              <w:rPr>
                <w:sz w:val="18"/>
              </w:rPr>
              <w:t>Access, through</w:t>
            </w:r>
            <w:r>
              <w:rPr>
                <w:spacing w:val="1"/>
                <w:sz w:val="18"/>
              </w:rPr>
              <w:t> </w:t>
            </w:r>
            <w:r>
              <w:rPr>
                <w:sz w:val="18"/>
              </w:rPr>
              <w:t>appropriate channels</w:t>
            </w:r>
            <w:r>
              <w:rPr>
                <w:spacing w:val="-47"/>
                <w:sz w:val="18"/>
              </w:rPr>
              <w:t> </w:t>
            </w:r>
            <w:r>
              <w:rPr>
                <w:sz w:val="18"/>
              </w:rPr>
              <w:t>(including ethics</w:t>
            </w:r>
            <w:r>
              <w:rPr>
                <w:spacing w:val="1"/>
                <w:sz w:val="18"/>
              </w:rPr>
              <w:t> </w:t>
            </w:r>
            <w:r>
              <w:rPr>
                <w:sz w:val="18"/>
              </w:rPr>
              <w:t>approval)</w:t>
            </w:r>
            <w:r>
              <w:rPr>
                <w:spacing w:val="-5"/>
                <w:sz w:val="18"/>
              </w:rPr>
              <w:t> </w:t>
            </w:r>
            <w:r>
              <w:rPr>
                <w:sz w:val="18"/>
              </w:rPr>
              <w:t>to</w:t>
            </w:r>
            <w:r>
              <w:rPr>
                <w:spacing w:val="-3"/>
                <w:sz w:val="18"/>
              </w:rPr>
              <w:t> </w:t>
            </w:r>
            <w:r>
              <w:rPr>
                <w:sz w:val="18"/>
              </w:rPr>
              <w:t>data</w:t>
            </w:r>
            <w:r>
              <w:rPr>
                <w:spacing w:val="-3"/>
                <w:sz w:val="18"/>
              </w:rPr>
              <w:t> </w:t>
            </w:r>
            <w:r>
              <w:rPr>
                <w:sz w:val="18"/>
              </w:rPr>
              <w:t>sets</w:t>
            </w:r>
            <w:r>
              <w:rPr>
                <w:spacing w:val="-47"/>
                <w:sz w:val="18"/>
              </w:rPr>
              <w:t> </w:t>
            </w:r>
            <w:r>
              <w:rPr>
                <w:sz w:val="18"/>
              </w:rPr>
              <w:t>arising</w:t>
            </w:r>
            <w:r>
              <w:rPr>
                <w:spacing w:val="-3"/>
                <w:sz w:val="18"/>
              </w:rPr>
              <w:t> </w:t>
            </w:r>
            <w:r>
              <w:rPr>
                <w:sz w:val="18"/>
              </w:rPr>
              <w:t>from</w:t>
            </w:r>
            <w:r>
              <w:rPr>
                <w:spacing w:val="-4"/>
                <w:sz w:val="18"/>
              </w:rPr>
              <w:t> </w:t>
            </w:r>
            <w:r>
              <w:rPr>
                <w:sz w:val="18"/>
              </w:rPr>
              <w:t>the</w:t>
            </w:r>
          </w:p>
          <w:p>
            <w:pPr>
              <w:pStyle w:val="TableParagraph"/>
              <w:ind w:left="281"/>
              <w:rPr>
                <w:sz w:val="18"/>
              </w:rPr>
            </w:pPr>
            <w:r>
              <w:rPr>
                <w:sz w:val="18"/>
              </w:rPr>
              <w:t>evaluation.</w:t>
            </w:r>
          </w:p>
        </w:tc>
      </w:tr>
      <w:tr>
        <w:trPr>
          <w:trHeight w:val="1897" w:hRule="atLeast"/>
        </w:trPr>
        <w:tc>
          <w:tcPr>
            <w:tcW w:w="2122" w:type="dxa"/>
          </w:tcPr>
          <w:p>
            <w:pPr>
              <w:pStyle w:val="TableParagraph"/>
              <w:spacing w:line="273" w:lineRule="auto" w:before="1"/>
              <w:ind w:left="107" w:right="566"/>
              <w:rPr>
                <w:b/>
                <w:sz w:val="18"/>
              </w:rPr>
            </w:pPr>
            <w:r>
              <w:rPr>
                <w:b/>
                <w:sz w:val="18"/>
              </w:rPr>
              <w:t>The community/</w:t>
            </w:r>
            <w:r>
              <w:rPr>
                <w:b/>
                <w:spacing w:val="-48"/>
                <w:sz w:val="18"/>
              </w:rPr>
              <w:t> </w:t>
            </w:r>
            <w:r>
              <w:rPr>
                <w:b/>
                <w:sz w:val="18"/>
              </w:rPr>
              <w:t>consumers</w:t>
            </w:r>
          </w:p>
        </w:tc>
        <w:tc>
          <w:tcPr>
            <w:tcW w:w="4396" w:type="dxa"/>
          </w:tcPr>
          <w:p>
            <w:pPr>
              <w:pStyle w:val="TableParagraph"/>
              <w:spacing w:line="276" w:lineRule="auto" w:before="1"/>
              <w:ind w:left="107" w:right="138"/>
              <w:rPr>
                <w:sz w:val="18"/>
              </w:rPr>
            </w:pPr>
            <w:r>
              <w:rPr>
                <w:sz w:val="18"/>
              </w:rPr>
              <w:t>In general, members of the broader</w:t>
            </w:r>
            <w:r>
              <w:rPr>
                <w:spacing w:val="1"/>
                <w:sz w:val="18"/>
              </w:rPr>
              <w:t> </w:t>
            </w:r>
            <w:r>
              <w:rPr>
                <w:sz w:val="18"/>
              </w:rPr>
              <w:t>community, including consumers of primary</w:t>
            </w:r>
            <w:r>
              <w:rPr>
                <w:spacing w:val="1"/>
                <w:sz w:val="18"/>
              </w:rPr>
              <w:t> </w:t>
            </w:r>
            <w:r>
              <w:rPr>
                <w:sz w:val="18"/>
              </w:rPr>
              <w:t>health care services, expect that evaluations</w:t>
            </w:r>
            <w:r>
              <w:rPr>
                <w:spacing w:val="1"/>
                <w:sz w:val="18"/>
              </w:rPr>
              <w:t> </w:t>
            </w:r>
            <w:r>
              <w:rPr>
                <w:sz w:val="18"/>
              </w:rPr>
              <w:t>contribute</w:t>
            </w:r>
            <w:r>
              <w:rPr>
                <w:spacing w:val="-4"/>
                <w:sz w:val="18"/>
              </w:rPr>
              <w:t> </w:t>
            </w:r>
            <w:r>
              <w:rPr>
                <w:sz w:val="18"/>
              </w:rPr>
              <w:t>to</w:t>
            </w:r>
            <w:r>
              <w:rPr>
                <w:spacing w:val="-5"/>
                <w:sz w:val="18"/>
              </w:rPr>
              <w:t> </w:t>
            </w:r>
            <w:r>
              <w:rPr>
                <w:sz w:val="18"/>
              </w:rPr>
              <w:t>transparency</w:t>
            </w:r>
            <w:r>
              <w:rPr>
                <w:spacing w:val="-6"/>
                <w:sz w:val="18"/>
              </w:rPr>
              <w:t> </w:t>
            </w:r>
            <w:r>
              <w:rPr>
                <w:sz w:val="18"/>
              </w:rPr>
              <w:t>in</w:t>
            </w:r>
            <w:r>
              <w:rPr>
                <w:spacing w:val="-4"/>
                <w:sz w:val="18"/>
              </w:rPr>
              <w:t> </w:t>
            </w:r>
            <w:r>
              <w:rPr>
                <w:sz w:val="18"/>
              </w:rPr>
              <w:t>the</w:t>
            </w:r>
            <w:r>
              <w:rPr>
                <w:spacing w:val="-4"/>
                <w:sz w:val="18"/>
              </w:rPr>
              <w:t> </w:t>
            </w:r>
            <w:r>
              <w:rPr>
                <w:sz w:val="18"/>
              </w:rPr>
              <w:t>management</w:t>
            </w:r>
            <w:r>
              <w:rPr>
                <w:spacing w:val="-47"/>
                <w:sz w:val="18"/>
              </w:rPr>
              <w:t> </w:t>
            </w:r>
            <w:r>
              <w:rPr>
                <w:sz w:val="18"/>
              </w:rPr>
              <w:t>of public resources and want information</w:t>
            </w:r>
            <w:r>
              <w:rPr>
                <w:spacing w:val="1"/>
                <w:sz w:val="18"/>
              </w:rPr>
              <w:t> </w:t>
            </w:r>
            <w:r>
              <w:rPr>
                <w:sz w:val="18"/>
              </w:rPr>
              <w:t>regarding the achieved results and the main</w:t>
            </w:r>
            <w:r>
              <w:rPr>
                <w:spacing w:val="1"/>
                <w:sz w:val="18"/>
              </w:rPr>
              <w:t> </w:t>
            </w:r>
            <w:r>
              <w:rPr>
                <w:sz w:val="18"/>
              </w:rPr>
              <w:t>activities</w:t>
            </w:r>
            <w:r>
              <w:rPr>
                <w:spacing w:val="-4"/>
                <w:sz w:val="18"/>
              </w:rPr>
              <w:t> </w:t>
            </w:r>
            <w:r>
              <w:rPr>
                <w:sz w:val="18"/>
              </w:rPr>
              <w:t>carried</w:t>
            </w:r>
            <w:r>
              <w:rPr>
                <w:spacing w:val="-2"/>
                <w:sz w:val="18"/>
              </w:rPr>
              <w:t> </w:t>
            </w:r>
            <w:r>
              <w:rPr>
                <w:sz w:val="18"/>
              </w:rPr>
              <w:t>out</w:t>
            </w:r>
            <w:r>
              <w:rPr>
                <w:spacing w:val="-3"/>
                <w:sz w:val="18"/>
              </w:rPr>
              <w:t> </w:t>
            </w:r>
            <w:r>
              <w:rPr>
                <w:sz w:val="18"/>
              </w:rPr>
              <w:t>during</w:t>
            </w:r>
            <w:r>
              <w:rPr>
                <w:spacing w:val="-4"/>
                <w:sz w:val="18"/>
              </w:rPr>
              <w:t> </w:t>
            </w:r>
            <w:r>
              <w:rPr>
                <w:sz w:val="18"/>
              </w:rPr>
              <w:t>an</w:t>
            </w:r>
            <w:r>
              <w:rPr>
                <w:spacing w:val="-1"/>
                <w:sz w:val="18"/>
              </w:rPr>
              <w:t> </w:t>
            </w:r>
            <w:r>
              <w:rPr>
                <w:sz w:val="18"/>
              </w:rPr>
              <w:t>intervention.</w:t>
            </w:r>
          </w:p>
        </w:tc>
        <w:tc>
          <w:tcPr>
            <w:tcW w:w="2502" w:type="dxa"/>
          </w:tcPr>
          <w:p>
            <w:pPr>
              <w:pStyle w:val="TableParagraph"/>
              <w:numPr>
                <w:ilvl w:val="0"/>
                <w:numId w:val="35"/>
              </w:numPr>
              <w:tabs>
                <w:tab w:pos="282" w:val="left" w:leader="none"/>
              </w:tabs>
              <w:spacing w:line="240" w:lineRule="auto" w:before="1" w:after="0"/>
              <w:ind w:left="281" w:right="0" w:hanging="142"/>
              <w:jc w:val="left"/>
              <w:rPr>
                <w:sz w:val="18"/>
              </w:rPr>
            </w:pPr>
            <w:r>
              <w:rPr>
                <w:sz w:val="18"/>
              </w:rPr>
              <w:t>Media</w:t>
            </w:r>
            <w:r>
              <w:rPr>
                <w:spacing w:val="-4"/>
                <w:sz w:val="18"/>
              </w:rPr>
              <w:t> </w:t>
            </w:r>
            <w:r>
              <w:rPr>
                <w:sz w:val="18"/>
              </w:rPr>
              <w:t>releases.</w:t>
            </w:r>
          </w:p>
          <w:p>
            <w:pPr>
              <w:pStyle w:val="TableParagraph"/>
              <w:numPr>
                <w:ilvl w:val="0"/>
                <w:numId w:val="35"/>
              </w:numPr>
              <w:tabs>
                <w:tab w:pos="282" w:val="left" w:leader="none"/>
              </w:tabs>
              <w:spacing w:line="276" w:lineRule="auto" w:before="31" w:after="0"/>
              <w:ind w:left="281" w:right="329" w:hanging="142"/>
              <w:jc w:val="left"/>
              <w:rPr>
                <w:sz w:val="18"/>
              </w:rPr>
            </w:pPr>
            <w:r>
              <w:rPr>
                <w:sz w:val="18"/>
              </w:rPr>
              <w:t>Brief Plain-English final</w:t>
            </w:r>
            <w:r>
              <w:rPr>
                <w:spacing w:val="-47"/>
                <w:sz w:val="18"/>
              </w:rPr>
              <w:t> </w:t>
            </w:r>
            <w:r>
              <w:rPr>
                <w:sz w:val="18"/>
              </w:rPr>
              <w:t>report.</w:t>
            </w:r>
          </w:p>
        </w:tc>
      </w:tr>
    </w:tbl>
    <w:p>
      <w:pPr>
        <w:pStyle w:val="BodyText"/>
        <w:spacing w:before="2"/>
        <w:rPr>
          <w:b/>
          <w:sz w:val="15"/>
        </w:rPr>
      </w:pPr>
    </w:p>
    <w:p>
      <w:pPr>
        <w:pStyle w:val="Heading2"/>
        <w:spacing w:line="276" w:lineRule="auto" w:before="99"/>
        <w:ind w:right="1455"/>
      </w:pPr>
      <w:bookmarkStart w:name="_bookmark77" w:id="78"/>
      <w:bookmarkEnd w:id="78"/>
      <w:r>
        <w:rPr/>
      </w:r>
      <w:r>
        <w:rPr>
          <w:color w:val="003C79"/>
        </w:rPr>
        <w:t>Strategies</w:t>
      </w:r>
      <w:r>
        <w:rPr>
          <w:color w:val="003C79"/>
          <w:spacing w:val="-5"/>
        </w:rPr>
        <w:t> </w:t>
      </w:r>
      <w:r>
        <w:rPr>
          <w:color w:val="003C79"/>
        </w:rPr>
        <w:t>and</w:t>
      </w:r>
      <w:r>
        <w:rPr>
          <w:color w:val="003C79"/>
          <w:spacing w:val="-2"/>
        </w:rPr>
        <w:t> </w:t>
      </w:r>
      <w:r>
        <w:rPr>
          <w:color w:val="003C79"/>
        </w:rPr>
        <w:t>timeframe</w:t>
      </w:r>
      <w:r>
        <w:rPr>
          <w:color w:val="003C79"/>
          <w:spacing w:val="-6"/>
        </w:rPr>
        <w:t> </w:t>
      </w:r>
      <w:r>
        <w:rPr>
          <w:color w:val="003C79"/>
        </w:rPr>
        <w:t>for</w:t>
      </w:r>
      <w:r>
        <w:rPr>
          <w:color w:val="003C79"/>
          <w:spacing w:val="-1"/>
        </w:rPr>
        <w:t> </w:t>
      </w:r>
      <w:r>
        <w:rPr>
          <w:color w:val="003C79"/>
        </w:rPr>
        <w:t>dissemination</w:t>
      </w:r>
      <w:r>
        <w:rPr>
          <w:color w:val="003C79"/>
          <w:spacing w:val="-5"/>
        </w:rPr>
        <w:t> </w:t>
      </w:r>
      <w:r>
        <w:rPr>
          <w:color w:val="003C79"/>
        </w:rPr>
        <w:t>of</w:t>
      </w:r>
      <w:r>
        <w:rPr>
          <w:color w:val="003C79"/>
          <w:spacing w:val="-2"/>
        </w:rPr>
        <w:t> </w:t>
      </w:r>
      <w:r>
        <w:rPr>
          <w:color w:val="003C79"/>
        </w:rPr>
        <w:t>key</w:t>
      </w:r>
      <w:r>
        <w:rPr>
          <w:color w:val="003C79"/>
          <w:spacing w:val="-86"/>
        </w:rPr>
        <w:t> </w:t>
      </w:r>
      <w:r>
        <w:rPr>
          <w:color w:val="003C79"/>
        </w:rPr>
        <w:t>products</w:t>
      </w:r>
    </w:p>
    <w:p>
      <w:pPr>
        <w:pStyle w:val="BodyText"/>
        <w:spacing w:before="200"/>
        <w:ind w:left="860"/>
      </w:pPr>
      <w:r>
        <w:rPr/>
        <w:t>The</w:t>
      </w:r>
      <w:r>
        <w:rPr>
          <w:spacing w:val="-5"/>
        </w:rPr>
        <w:t> </w:t>
      </w:r>
      <w:r>
        <w:rPr/>
        <w:t>Table</w:t>
      </w:r>
      <w:r>
        <w:rPr>
          <w:spacing w:val="-4"/>
        </w:rPr>
        <w:t> </w:t>
      </w:r>
      <w:r>
        <w:rPr/>
        <w:t>below</w:t>
      </w:r>
      <w:r>
        <w:rPr>
          <w:spacing w:val="-3"/>
        </w:rPr>
        <w:t> </w:t>
      </w:r>
      <w:r>
        <w:rPr/>
        <w:t>identifies</w:t>
      </w:r>
      <w:r>
        <w:rPr>
          <w:spacing w:val="-5"/>
        </w:rPr>
        <w:t> </w:t>
      </w:r>
      <w:r>
        <w:rPr/>
        <w:t>the</w:t>
      </w:r>
      <w:r>
        <w:rPr>
          <w:spacing w:val="-4"/>
        </w:rPr>
        <w:t> </w:t>
      </w:r>
      <w:r>
        <w:rPr/>
        <w:t>dissemination</w:t>
      </w:r>
      <w:r>
        <w:rPr>
          <w:spacing w:val="-4"/>
        </w:rPr>
        <w:t> </w:t>
      </w:r>
      <w:r>
        <w:rPr/>
        <w:t>strategies</w:t>
      </w:r>
      <w:r>
        <w:rPr>
          <w:spacing w:val="-4"/>
        </w:rPr>
        <w:t> </w:t>
      </w:r>
      <w:r>
        <w:rPr/>
        <w:t>for</w:t>
      </w:r>
      <w:r>
        <w:rPr>
          <w:spacing w:val="-5"/>
        </w:rPr>
        <w:t> </w:t>
      </w:r>
      <w:r>
        <w:rPr/>
        <w:t>the</w:t>
      </w:r>
      <w:r>
        <w:rPr>
          <w:spacing w:val="-4"/>
        </w:rPr>
        <w:t> </w:t>
      </w:r>
      <w:r>
        <w:rPr/>
        <w:t>key</w:t>
      </w:r>
      <w:r>
        <w:rPr>
          <w:spacing w:val="-6"/>
        </w:rPr>
        <w:t> </w:t>
      </w:r>
      <w:r>
        <w:rPr/>
        <w:t>evaluation</w:t>
      </w:r>
      <w:r>
        <w:rPr>
          <w:spacing w:val="-3"/>
        </w:rPr>
        <w:t> </w:t>
      </w:r>
      <w:r>
        <w:rPr/>
        <w:t>products.</w:t>
      </w:r>
    </w:p>
    <w:p>
      <w:pPr>
        <w:pStyle w:val="BodyText"/>
        <w:spacing w:before="3"/>
        <w:rPr>
          <w:sz w:val="19"/>
        </w:rPr>
      </w:pPr>
    </w:p>
    <w:p>
      <w:pPr>
        <w:spacing w:before="0" w:after="33"/>
        <w:ind w:left="1225" w:right="1524" w:firstLine="0"/>
        <w:jc w:val="center"/>
        <w:rPr>
          <w:b/>
          <w:sz w:val="18"/>
        </w:rPr>
      </w:pPr>
      <w:r>
        <w:rPr>
          <w:b/>
          <w:sz w:val="18"/>
        </w:rPr>
        <w:t>Table</w:t>
      </w:r>
      <w:r>
        <w:rPr>
          <w:b/>
          <w:spacing w:val="-2"/>
          <w:sz w:val="18"/>
        </w:rPr>
        <w:t> </w:t>
      </w:r>
      <w:r>
        <w:rPr>
          <w:b/>
          <w:sz w:val="18"/>
        </w:rPr>
        <w:t>16</w:t>
      </w:r>
      <w:r>
        <w:rPr>
          <w:b/>
          <w:spacing w:val="-4"/>
          <w:sz w:val="18"/>
        </w:rPr>
        <w:t> </w:t>
      </w:r>
      <w:r>
        <w:rPr>
          <w:b/>
          <w:sz w:val="18"/>
        </w:rPr>
        <w:t>– Dissemination</w:t>
      </w:r>
      <w:r>
        <w:rPr>
          <w:b/>
          <w:spacing w:val="-2"/>
          <w:sz w:val="18"/>
        </w:rPr>
        <w:t> </w:t>
      </w:r>
      <w:r>
        <w:rPr>
          <w:b/>
          <w:sz w:val="18"/>
        </w:rPr>
        <w:t>strategies</w:t>
      </w:r>
      <w:r>
        <w:rPr>
          <w:b/>
          <w:spacing w:val="-2"/>
          <w:sz w:val="18"/>
        </w:rPr>
        <w:t> </w:t>
      </w:r>
      <w:r>
        <w:rPr>
          <w:b/>
          <w:sz w:val="18"/>
        </w:rPr>
        <w:t>for</w:t>
      </w:r>
      <w:r>
        <w:rPr>
          <w:b/>
          <w:spacing w:val="-1"/>
          <w:sz w:val="18"/>
        </w:rPr>
        <w:t> </w:t>
      </w:r>
      <w:r>
        <w:rPr>
          <w:b/>
          <w:sz w:val="18"/>
        </w:rPr>
        <w:t>key</w:t>
      </w:r>
      <w:r>
        <w:rPr>
          <w:b/>
          <w:spacing w:val="-1"/>
          <w:sz w:val="18"/>
        </w:rPr>
        <w:t> </w:t>
      </w:r>
      <w:r>
        <w:rPr>
          <w:b/>
          <w:sz w:val="18"/>
        </w:rPr>
        <w:t>evaluation</w:t>
      </w:r>
      <w:r>
        <w:rPr>
          <w:b/>
          <w:spacing w:val="-2"/>
          <w:sz w:val="18"/>
        </w:rPr>
        <w:t> </w:t>
      </w:r>
      <w:r>
        <w:rPr>
          <w:b/>
          <w:sz w:val="18"/>
        </w:rPr>
        <w:t>products</w:t>
      </w:r>
    </w:p>
    <w:tbl>
      <w:tblPr>
        <w:tblW w:w="0" w:type="auto"/>
        <w:jc w:val="left"/>
        <w:tblInd w:w="87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838"/>
        <w:gridCol w:w="5103"/>
        <w:gridCol w:w="2076"/>
      </w:tblGrid>
      <w:tr>
        <w:trPr>
          <w:trHeight w:val="222" w:hRule="atLeast"/>
        </w:trPr>
        <w:tc>
          <w:tcPr>
            <w:tcW w:w="1838" w:type="dxa"/>
            <w:shd w:val="clear" w:color="auto" w:fill="003C79"/>
          </w:tcPr>
          <w:p>
            <w:pPr>
              <w:pStyle w:val="TableParagraph"/>
              <w:spacing w:line="202" w:lineRule="exact" w:before="1"/>
              <w:ind w:left="582"/>
              <w:rPr>
                <w:b/>
                <w:sz w:val="18"/>
              </w:rPr>
            </w:pPr>
            <w:r>
              <w:rPr>
                <w:b/>
                <w:color w:val="FFFFFF"/>
                <w:sz w:val="18"/>
              </w:rPr>
              <w:t>Product</w:t>
            </w:r>
          </w:p>
        </w:tc>
        <w:tc>
          <w:tcPr>
            <w:tcW w:w="5103" w:type="dxa"/>
            <w:shd w:val="clear" w:color="auto" w:fill="003C79"/>
          </w:tcPr>
          <w:p>
            <w:pPr>
              <w:pStyle w:val="TableParagraph"/>
              <w:spacing w:line="202" w:lineRule="exact" w:before="1"/>
              <w:ind w:left="1375"/>
              <w:rPr>
                <w:b/>
                <w:sz w:val="18"/>
              </w:rPr>
            </w:pPr>
            <w:r>
              <w:rPr>
                <w:b/>
                <w:color w:val="FFFFFF"/>
                <w:sz w:val="18"/>
              </w:rPr>
              <w:t>How</w:t>
            </w:r>
            <w:r>
              <w:rPr>
                <w:b/>
                <w:color w:val="FFFFFF"/>
                <w:spacing w:val="-2"/>
                <w:sz w:val="18"/>
              </w:rPr>
              <w:t> </w:t>
            </w:r>
            <w:r>
              <w:rPr>
                <w:b/>
                <w:color w:val="FFFFFF"/>
                <w:sz w:val="18"/>
              </w:rPr>
              <w:t>it</w:t>
            </w:r>
            <w:r>
              <w:rPr>
                <w:b/>
                <w:color w:val="FFFFFF"/>
                <w:spacing w:val="-3"/>
                <w:sz w:val="18"/>
              </w:rPr>
              <w:t> </w:t>
            </w:r>
            <w:r>
              <w:rPr>
                <w:b/>
                <w:color w:val="FFFFFF"/>
                <w:sz w:val="18"/>
              </w:rPr>
              <w:t>will</w:t>
            </w:r>
            <w:r>
              <w:rPr>
                <w:b/>
                <w:color w:val="FFFFFF"/>
                <w:spacing w:val="-1"/>
                <w:sz w:val="18"/>
              </w:rPr>
              <w:t> </w:t>
            </w:r>
            <w:r>
              <w:rPr>
                <w:b/>
                <w:color w:val="FFFFFF"/>
                <w:sz w:val="18"/>
              </w:rPr>
              <w:t>be</w:t>
            </w:r>
            <w:r>
              <w:rPr>
                <w:b/>
                <w:color w:val="FFFFFF"/>
                <w:spacing w:val="-2"/>
                <w:sz w:val="18"/>
              </w:rPr>
              <w:t> </w:t>
            </w:r>
            <w:r>
              <w:rPr>
                <w:b/>
                <w:color w:val="FFFFFF"/>
                <w:sz w:val="18"/>
              </w:rPr>
              <w:t>disseminated</w:t>
            </w:r>
          </w:p>
        </w:tc>
        <w:tc>
          <w:tcPr>
            <w:tcW w:w="2076" w:type="dxa"/>
            <w:shd w:val="clear" w:color="auto" w:fill="003C79"/>
          </w:tcPr>
          <w:p>
            <w:pPr>
              <w:pStyle w:val="TableParagraph"/>
              <w:spacing w:line="202" w:lineRule="exact" w:before="1"/>
              <w:ind w:left="739" w:right="729"/>
              <w:jc w:val="center"/>
              <w:rPr>
                <w:b/>
                <w:sz w:val="18"/>
              </w:rPr>
            </w:pPr>
            <w:r>
              <w:rPr>
                <w:b/>
                <w:color w:val="FFFFFF"/>
                <w:sz w:val="18"/>
              </w:rPr>
              <w:t>Timing</w:t>
            </w:r>
          </w:p>
        </w:tc>
      </w:tr>
      <w:tr>
        <w:trPr>
          <w:trHeight w:val="681" w:hRule="atLeast"/>
        </w:trPr>
        <w:tc>
          <w:tcPr>
            <w:tcW w:w="1838" w:type="dxa"/>
          </w:tcPr>
          <w:p>
            <w:pPr>
              <w:pStyle w:val="TableParagraph"/>
              <w:spacing w:line="219" w:lineRule="exact"/>
              <w:ind w:left="107"/>
              <w:rPr>
                <w:b/>
                <w:sz w:val="18"/>
              </w:rPr>
            </w:pPr>
            <w:r>
              <w:rPr>
                <w:b/>
                <w:sz w:val="18"/>
              </w:rPr>
              <w:t>Interim</w:t>
            </w:r>
            <w:r>
              <w:rPr>
                <w:b/>
                <w:spacing w:val="-3"/>
                <w:sz w:val="18"/>
              </w:rPr>
              <w:t> </w:t>
            </w:r>
            <w:r>
              <w:rPr>
                <w:b/>
                <w:sz w:val="18"/>
              </w:rPr>
              <w:t>reports</w:t>
            </w:r>
          </w:p>
        </w:tc>
        <w:tc>
          <w:tcPr>
            <w:tcW w:w="5103" w:type="dxa"/>
          </w:tcPr>
          <w:p>
            <w:pPr>
              <w:pStyle w:val="TableParagraph"/>
              <w:numPr>
                <w:ilvl w:val="0"/>
                <w:numId w:val="36"/>
              </w:numPr>
              <w:tabs>
                <w:tab w:pos="281" w:val="left" w:leader="none"/>
              </w:tabs>
              <w:spacing w:line="240" w:lineRule="auto" w:before="0" w:after="0"/>
              <w:ind w:left="280" w:right="610" w:hanging="173"/>
              <w:jc w:val="left"/>
              <w:rPr>
                <w:sz w:val="18"/>
              </w:rPr>
            </w:pPr>
            <w:r>
              <w:rPr>
                <w:sz w:val="18"/>
              </w:rPr>
              <w:t>Progress of the evaluation presented to the</w:t>
            </w:r>
            <w:r>
              <w:rPr>
                <w:spacing w:val="1"/>
                <w:sz w:val="18"/>
              </w:rPr>
              <w:t> </w:t>
            </w:r>
            <w:r>
              <w:rPr>
                <w:sz w:val="18"/>
              </w:rPr>
              <w:t>Department</w:t>
            </w:r>
            <w:r>
              <w:rPr>
                <w:spacing w:val="-6"/>
                <w:sz w:val="18"/>
              </w:rPr>
              <w:t> </w:t>
            </w:r>
            <w:r>
              <w:rPr>
                <w:sz w:val="18"/>
              </w:rPr>
              <w:t>of</w:t>
            </w:r>
            <w:r>
              <w:rPr>
                <w:spacing w:val="-3"/>
                <w:sz w:val="18"/>
              </w:rPr>
              <w:t> </w:t>
            </w:r>
            <w:r>
              <w:rPr>
                <w:sz w:val="18"/>
              </w:rPr>
              <w:t>Health</w:t>
            </w:r>
            <w:r>
              <w:rPr>
                <w:spacing w:val="-1"/>
                <w:sz w:val="18"/>
              </w:rPr>
              <w:t> </w:t>
            </w:r>
            <w:r>
              <w:rPr>
                <w:sz w:val="18"/>
              </w:rPr>
              <w:t>(including</w:t>
            </w:r>
            <w:r>
              <w:rPr>
                <w:spacing w:val="-5"/>
                <w:sz w:val="18"/>
              </w:rPr>
              <w:t> </w:t>
            </w:r>
            <w:r>
              <w:rPr>
                <w:sz w:val="18"/>
              </w:rPr>
              <w:t>EWG</w:t>
            </w:r>
            <w:r>
              <w:rPr>
                <w:spacing w:val="-5"/>
                <w:sz w:val="18"/>
              </w:rPr>
              <w:t> </w:t>
            </w:r>
            <w:r>
              <w:rPr>
                <w:sz w:val="18"/>
              </w:rPr>
              <w:t>and</w:t>
            </w:r>
            <w:r>
              <w:rPr>
                <w:spacing w:val="-5"/>
                <w:sz w:val="18"/>
              </w:rPr>
              <w:t> </w:t>
            </w:r>
            <w:r>
              <w:rPr>
                <w:sz w:val="18"/>
              </w:rPr>
              <w:t>IAG).</w:t>
            </w:r>
          </w:p>
        </w:tc>
        <w:tc>
          <w:tcPr>
            <w:tcW w:w="2076" w:type="dxa"/>
          </w:tcPr>
          <w:p>
            <w:pPr>
              <w:pStyle w:val="TableParagraph"/>
              <w:spacing w:line="219" w:lineRule="exact"/>
              <w:ind w:left="108"/>
              <w:rPr>
                <w:sz w:val="18"/>
              </w:rPr>
            </w:pPr>
            <w:r>
              <w:rPr>
                <w:sz w:val="18"/>
              </w:rPr>
              <w:t>December</w:t>
            </w:r>
            <w:r>
              <w:rPr>
                <w:spacing w:val="-7"/>
                <w:sz w:val="18"/>
              </w:rPr>
              <w:t> </w:t>
            </w:r>
            <w:r>
              <w:rPr>
                <w:sz w:val="18"/>
              </w:rPr>
              <w:t>2019</w:t>
            </w:r>
          </w:p>
          <w:p>
            <w:pPr>
              <w:pStyle w:val="TableParagraph"/>
              <w:spacing w:before="120"/>
              <w:ind w:left="108"/>
              <w:rPr>
                <w:sz w:val="18"/>
              </w:rPr>
            </w:pPr>
            <w:r>
              <w:rPr>
                <w:sz w:val="18"/>
              </w:rPr>
              <w:t>December</w:t>
            </w:r>
            <w:r>
              <w:rPr>
                <w:spacing w:val="-7"/>
                <w:sz w:val="18"/>
              </w:rPr>
              <w:t> </w:t>
            </w:r>
            <w:r>
              <w:rPr>
                <w:sz w:val="18"/>
              </w:rPr>
              <w:t>2020</w:t>
            </w:r>
          </w:p>
        </w:tc>
      </w:tr>
      <w:tr>
        <w:trPr>
          <w:trHeight w:val="1022" w:hRule="atLeast"/>
        </w:trPr>
        <w:tc>
          <w:tcPr>
            <w:tcW w:w="1838" w:type="dxa"/>
            <w:vMerge w:val="restart"/>
          </w:tcPr>
          <w:p>
            <w:pPr>
              <w:pStyle w:val="TableParagraph"/>
              <w:spacing w:line="219" w:lineRule="exact"/>
              <w:ind w:left="107"/>
              <w:rPr>
                <w:b/>
                <w:sz w:val="18"/>
              </w:rPr>
            </w:pPr>
            <w:r>
              <w:rPr>
                <w:b/>
                <w:sz w:val="18"/>
              </w:rPr>
              <w:t>Final</w:t>
            </w:r>
            <w:r>
              <w:rPr>
                <w:b/>
                <w:spacing w:val="-1"/>
                <w:sz w:val="18"/>
              </w:rPr>
              <w:t> </w:t>
            </w:r>
            <w:r>
              <w:rPr>
                <w:b/>
                <w:sz w:val="18"/>
              </w:rPr>
              <w:t>report</w:t>
            </w:r>
          </w:p>
        </w:tc>
        <w:tc>
          <w:tcPr>
            <w:tcW w:w="5103" w:type="dxa"/>
          </w:tcPr>
          <w:p>
            <w:pPr>
              <w:pStyle w:val="TableParagraph"/>
              <w:numPr>
                <w:ilvl w:val="0"/>
                <w:numId w:val="37"/>
              </w:numPr>
              <w:tabs>
                <w:tab w:pos="281" w:val="left" w:leader="none"/>
              </w:tabs>
              <w:spacing w:line="240" w:lineRule="auto" w:before="0" w:after="0"/>
              <w:ind w:left="280" w:right="376" w:hanging="173"/>
              <w:jc w:val="left"/>
              <w:rPr>
                <w:sz w:val="18"/>
              </w:rPr>
            </w:pPr>
            <w:r>
              <w:rPr>
                <w:sz w:val="18"/>
              </w:rPr>
              <w:t>Final</w:t>
            </w:r>
            <w:r>
              <w:rPr>
                <w:spacing w:val="-3"/>
                <w:sz w:val="18"/>
              </w:rPr>
              <w:t> </w:t>
            </w:r>
            <w:r>
              <w:rPr>
                <w:sz w:val="18"/>
              </w:rPr>
              <w:t>report</w:t>
            </w:r>
            <w:r>
              <w:rPr>
                <w:spacing w:val="-5"/>
                <w:sz w:val="18"/>
              </w:rPr>
              <w:t> </w:t>
            </w:r>
            <w:r>
              <w:rPr>
                <w:sz w:val="18"/>
              </w:rPr>
              <w:t>presented</w:t>
            </w:r>
            <w:r>
              <w:rPr>
                <w:spacing w:val="-4"/>
                <w:sz w:val="18"/>
              </w:rPr>
              <w:t> </w:t>
            </w:r>
            <w:r>
              <w:rPr>
                <w:sz w:val="18"/>
              </w:rPr>
              <w:t>to</w:t>
            </w:r>
            <w:r>
              <w:rPr>
                <w:spacing w:val="-4"/>
                <w:sz w:val="18"/>
              </w:rPr>
              <w:t> </w:t>
            </w:r>
            <w:r>
              <w:rPr>
                <w:sz w:val="18"/>
              </w:rPr>
              <w:t>the</w:t>
            </w:r>
            <w:r>
              <w:rPr>
                <w:spacing w:val="-3"/>
                <w:sz w:val="18"/>
              </w:rPr>
              <w:t> </w:t>
            </w:r>
            <w:r>
              <w:rPr>
                <w:sz w:val="18"/>
              </w:rPr>
              <w:t>Department</w:t>
            </w:r>
            <w:r>
              <w:rPr>
                <w:spacing w:val="-6"/>
                <w:sz w:val="18"/>
              </w:rPr>
              <w:t> </w:t>
            </w:r>
            <w:r>
              <w:rPr>
                <w:sz w:val="18"/>
              </w:rPr>
              <w:t>of</w:t>
            </w:r>
            <w:r>
              <w:rPr>
                <w:spacing w:val="-2"/>
                <w:sz w:val="18"/>
              </w:rPr>
              <w:t> </w:t>
            </w:r>
            <w:r>
              <w:rPr>
                <w:sz w:val="18"/>
              </w:rPr>
              <w:t>Health</w:t>
            </w:r>
            <w:r>
              <w:rPr>
                <w:spacing w:val="-47"/>
                <w:sz w:val="18"/>
              </w:rPr>
              <w:t> </w:t>
            </w:r>
            <w:r>
              <w:rPr>
                <w:sz w:val="18"/>
              </w:rPr>
              <w:t>(including</w:t>
            </w:r>
            <w:r>
              <w:rPr>
                <w:spacing w:val="-3"/>
                <w:sz w:val="18"/>
              </w:rPr>
              <w:t> </w:t>
            </w:r>
            <w:r>
              <w:rPr>
                <w:sz w:val="18"/>
              </w:rPr>
              <w:t>EWG</w:t>
            </w:r>
            <w:r>
              <w:rPr>
                <w:spacing w:val="-1"/>
                <w:sz w:val="18"/>
              </w:rPr>
              <w:t> </w:t>
            </w:r>
            <w:r>
              <w:rPr>
                <w:sz w:val="18"/>
              </w:rPr>
              <w:t>and</w:t>
            </w:r>
            <w:r>
              <w:rPr>
                <w:spacing w:val="-3"/>
                <w:sz w:val="18"/>
              </w:rPr>
              <w:t> </w:t>
            </w:r>
            <w:r>
              <w:rPr>
                <w:sz w:val="18"/>
              </w:rPr>
              <w:t>IAG).</w:t>
            </w:r>
          </w:p>
        </w:tc>
        <w:tc>
          <w:tcPr>
            <w:tcW w:w="2076" w:type="dxa"/>
          </w:tcPr>
          <w:p>
            <w:pPr>
              <w:pStyle w:val="TableParagraph"/>
              <w:spacing w:line="219" w:lineRule="exact"/>
              <w:ind w:left="108"/>
              <w:rPr>
                <w:sz w:val="18"/>
              </w:rPr>
            </w:pPr>
            <w:r>
              <w:rPr>
                <w:sz w:val="18"/>
              </w:rPr>
              <w:t>December</w:t>
            </w:r>
            <w:r>
              <w:rPr>
                <w:spacing w:val="-3"/>
                <w:sz w:val="18"/>
              </w:rPr>
              <w:t> </w:t>
            </w:r>
            <w:r>
              <w:rPr>
                <w:sz w:val="18"/>
              </w:rPr>
              <w:t>2021</w:t>
            </w:r>
          </w:p>
        </w:tc>
      </w:tr>
      <w:tr>
        <w:trPr>
          <w:trHeight w:val="561" w:hRule="atLeast"/>
        </w:trPr>
        <w:tc>
          <w:tcPr>
            <w:tcW w:w="1838" w:type="dxa"/>
            <w:vMerge/>
            <w:tcBorders>
              <w:top w:val="nil"/>
            </w:tcBorders>
          </w:tcPr>
          <w:p>
            <w:pPr>
              <w:rPr>
                <w:sz w:val="2"/>
                <w:szCs w:val="2"/>
              </w:rPr>
            </w:pPr>
          </w:p>
        </w:tc>
        <w:tc>
          <w:tcPr>
            <w:tcW w:w="5103" w:type="dxa"/>
          </w:tcPr>
          <w:p>
            <w:pPr>
              <w:pStyle w:val="TableParagraph"/>
              <w:numPr>
                <w:ilvl w:val="0"/>
                <w:numId w:val="38"/>
              </w:numPr>
              <w:tabs>
                <w:tab w:pos="281" w:val="left" w:leader="none"/>
              </w:tabs>
              <w:spacing w:line="240" w:lineRule="auto" w:before="0" w:after="0"/>
              <w:ind w:left="280" w:right="1059" w:hanging="173"/>
              <w:jc w:val="left"/>
              <w:rPr>
                <w:sz w:val="18"/>
              </w:rPr>
            </w:pPr>
            <w:r>
              <w:rPr>
                <w:sz w:val="18"/>
              </w:rPr>
              <w:t>Key</w:t>
            </w:r>
            <w:r>
              <w:rPr>
                <w:spacing w:val="-3"/>
                <w:sz w:val="18"/>
              </w:rPr>
              <w:t> </w:t>
            </w:r>
            <w:r>
              <w:rPr>
                <w:sz w:val="18"/>
              </w:rPr>
              <w:t>findings</w:t>
            </w:r>
            <w:r>
              <w:rPr>
                <w:spacing w:val="-3"/>
                <w:sz w:val="18"/>
              </w:rPr>
              <w:t> </w:t>
            </w:r>
            <w:r>
              <w:rPr>
                <w:sz w:val="18"/>
              </w:rPr>
              <w:t>of</w:t>
            </w:r>
            <w:r>
              <w:rPr>
                <w:spacing w:val="-3"/>
                <w:sz w:val="18"/>
              </w:rPr>
              <w:t> </w:t>
            </w:r>
            <w:r>
              <w:rPr>
                <w:sz w:val="18"/>
              </w:rPr>
              <w:t>the</w:t>
            </w:r>
            <w:r>
              <w:rPr>
                <w:spacing w:val="-4"/>
                <w:sz w:val="18"/>
              </w:rPr>
              <w:t> </w:t>
            </w:r>
            <w:r>
              <w:rPr>
                <w:sz w:val="18"/>
              </w:rPr>
              <w:t>final</w:t>
            </w:r>
            <w:r>
              <w:rPr>
                <w:spacing w:val="-2"/>
                <w:sz w:val="18"/>
              </w:rPr>
              <w:t> </w:t>
            </w:r>
            <w:r>
              <w:rPr>
                <w:sz w:val="18"/>
              </w:rPr>
              <w:t>report</w:t>
            </w:r>
            <w:r>
              <w:rPr>
                <w:spacing w:val="-4"/>
                <w:sz w:val="18"/>
              </w:rPr>
              <w:t> </w:t>
            </w:r>
            <w:r>
              <w:rPr>
                <w:sz w:val="18"/>
              </w:rPr>
              <w:t>presented</w:t>
            </w:r>
            <w:r>
              <w:rPr>
                <w:spacing w:val="-3"/>
                <w:sz w:val="18"/>
              </w:rPr>
              <w:t> </w:t>
            </w:r>
            <w:r>
              <w:rPr>
                <w:sz w:val="18"/>
              </w:rPr>
              <w:t>to</w:t>
            </w:r>
            <w:r>
              <w:rPr>
                <w:spacing w:val="-46"/>
                <w:sz w:val="18"/>
              </w:rPr>
              <w:t> </w:t>
            </w:r>
            <w:r>
              <w:rPr>
                <w:sz w:val="18"/>
              </w:rPr>
              <w:t>Ministers/COAG.</w:t>
            </w:r>
          </w:p>
        </w:tc>
        <w:tc>
          <w:tcPr>
            <w:tcW w:w="2076" w:type="dxa"/>
          </w:tcPr>
          <w:p>
            <w:pPr>
              <w:pStyle w:val="TableParagraph"/>
              <w:spacing w:line="219" w:lineRule="exact"/>
              <w:ind w:left="108"/>
              <w:rPr>
                <w:sz w:val="18"/>
              </w:rPr>
            </w:pPr>
            <w:r>
              <w:rPr>
                <w:sz w:val="18"/>
              </w:rPr>
              <w:t>Latter</w:t>
            </w:r>
            <w:r>
              <w:rPr>
                <w:spacing w:val="-2"/>
                <w:sz w:val="18"/>
              </w:rPr>
              <w:t> </w:t>
            </w:r>
            <w:r>
              <w:rPr>
                <w:sz w:val="18"/>
              </w:rPr>
              <w:t>half</w:t>
            </w:r>
            <w:r>
              <w:rPr>
                <w:spacing w:val="-2"/>
                <w:sz w:val="18"/>
              </w:rPr>
              <w:t> </w:t>
            </w:r>
            <w:r>
              <w:rPr>
                <w:sz w:val="18"/>
              </w:rPr>
              <w:t>of</w:t>
            </w:r>
            <w:r>
              <w:rPr>
                <w:spacing w:val="-2"/>
                <w:sz w:val="18"/>
              </w:rPr>
              <w:t> </w:t>
            </w:r>
            <w:r>
              <w:rPr>
                <w:sz w:val="18"/>
              </w:rPr>
              <w:t>2021</w:t>
            </w:r>
          </w:p>
        </w:tc>
      </w:tr>
      <w:tr>
        <w:trPr>
          <w:trHeight w:val="561" w:hRule="atLeast"/>
        </w:trPr>
        <w:tc>
          <w:tcPr>
            <w:tcW w:w="1838" w:type="dxa"/>
            <w:vMerge/>
            <w:tcBorders>
              <w:top w:val="nil"/>
            </w:tcBorders>
          </w:tcPr>
          <w:p>
            <w:pPr>
              <w:rPr>
                <w:sz w:val="2"/>
                <w:szCs w:val="2"/>
              </w:rPr>
            </w:pPr>
          </w:p>
        </w:tc>
        <w:tc>
          <w:tcPr>
            <w:tcW w:w="5103" w:type="dxa"/>
          </w:tcPr>
          <w:p>
            <w:pPr>
              <w:pStyle w:val="TableParagraph"/>
              <w:numPr>
                <w:ilvl w:val="0"/>
                <w:numId w:val="39"/>
              </w:numPr>
              <w:tabs>
                <w:tab w:pos="281" w:val="left" w:leader="none"/>
              </w:tabs>
              <w:spacing w:line="240" w:lineRule="auto" w:before="0" w:after="0"/>
              <w:ind w:left="280" w:right="107" w:hanging="173"/>
              <w:jc w:val="left"/>
              <w:rPr>
                <w:sz w:val="18"/>
              </w:rPr>
            </w:pPr>
            <w:r>
              <w:rPr>
                <w:sz w:val="18"/>
              </w:rPr>
              <w:t>Final report (in full, as well as brief Plain-English version)</w:t>
            </w:r>
            <w:r>
              <w:rPr>
                <w:spacing w:val="-47"/>
                <w:sz w:val="18"/>
              </w:rPr>
              <w:t> </w:t>
            </w:r>
            <w:r>
              <w:rPr>
                <w:sz w:val="18"/>
              </w:rPr>
              <w:t>released</w:t>
            </w:r>
            <w:r>
              <w:rPr>
                <w:spacing w:val="-2"/>
                <w:sz w:val="18"/>
              </w:rPr>
              <w:t> </w:t>
            </w:r>
            <w:r>
              <w:rPr>
                <w:sz w:val="18"/>
              </w:rPr>
              <w:t>publicly</w:t>
            </w:r>
            <w:r>
              <w:rPr>
                <w:spacing w:val="-3"/>
                <w:sz w:val="18"/>
              </w:rPr>
              <w:t> </w:t>
            </w:r>
            <w:r>
              <w:rPr>
                <w:sz w:val="18"/>
              </w:rPr>
              <w:t>on</w:t>
            </w:r>
            <w:r>
              <w:rPr>
                <w:spacing w:val="-4"/>
                <w:sz w:val="18"/>
              </w:rPr>
              <w:t> </w:t>
            </w:r>
            <w:r>
              <w:rPr>
                <w:sz w:val="18"/>
              </w:rPr>
              <w:t>Department</w:t>
            </w:r>
            <w:r>
              <w:rPr>
                <w:spacing w:val="-4"/>
                <w:sz w:val="18"/>
              </w:rPr>
              <w:t> </w:t>
            </w:r>
            <w:r>
              <w:rPr>
                <w:sz w:val="18"/>
              </w:rPr>
              <w:t>of</w:t>
            </w:r>
            <w:r>
              <w:rPr>
                <w:spacing w:val="-2"/>
                <w:sz w:val="18"/>
              </w:rPr>
              <w:t> </w:t>
            </w:r>
            <w:r>
              <w:rPr>
                <w:sz w:val="18"/>
              </w:rPr>
              <w:t>Health</w:t>
            </w:r>
            <w:r>
              <w:rPr>
                <w:spacing w:val="-2"/>
                <w:sz w:val="18"/>
              </w:rPr>
              <w:t> </w:t>
            </w:r>
            <w:r>
              <w:rPr>
                <w:sz w:val="18"/>
              </w:rPr>
              <w:t>website.</w:t>
            </w:r>
          </w:p>
        </w:tc>
        <w:tc>
          <w:tcPr>
            <w:tcW w:w="2076" w:type="dxa"/>
          </w:tcPr>
          <w:p>
            <w:pPr>
              <w:pStyle w:val="TableParagraph"/>
              <w:spacing w:line="219" w:lineRule="exact"/>
              <w:ind w:left="108"/>
              <w:rPr>
                <w:sz w:val="18"/>
              </w:rPr>
            </w:pPr>
            <w:r>
              <w:rPr>
                <w:sz w:val="18"/>
              </w:rPr>
              <w:t>First</w:t>
            </w:r>
            <w:r>
              <w:rPr>
                <w:spacing w:val="-4"/>
                <w:sz w:val="18"/>
              </w:rPr>
              <w:t> </w:t>
            </w:r>
            <w:r>
              <w:rPr>
                <w:sz w:val="18"/>
              </w:rPr>
              <w:t>half</w:t>
            </w:r>
            <w:r>
              <w:rPr>
                <w:spacing w:val="-2"/>
                <w:sz w:val="18"/>
              </w:rPr>
              <w:t> </w:t>
            </w:r>
            <w:r>
              <w:rPr>
                <w:sz w:val="18"/>
              </w:rPr>
              <w:t>of</w:t>
            </w:r>
            <w:r>
              <w:rPr>
                <w:spacing w:val="-2"/>
                <w:sz w:val="18"/>
              </w:rPr>
              <w:t> </w:t>
            </w:r>
            <w:r>
              <w:rPr>
                <w:sz w:val="18"/>
              </w:rPr>
              <w:t>2022</w:t>
            </w:r>
          </w:p>
        </w:tc>
      </w:tr>
      <w:tr>
        <w:trPr>
          <w:trHeight w:val="781" w:hRule="atLeast"/>
        </w:trPr>
        <w:tc>
          <w:tcPr>
            <w:tcW w:w="1838" w:type="dxa"/>
          </w:tcPr>
          <w:p>
            <w:pPr>
              <w:pStyle w:val="TableParagraph"/>
              <w:spacing w:line="219" w:lineRule="exact"/>
              <w:ind w:left="107"/>
              <w:rPr>
                <w:b/>
                <w:sz w:val="18"/>
              </w:rPr>
            </w:pPr>
            <w:r>
              <w:rPr>
                <w:b/>
                <w:sz w:val="18"/>
              </w:rPr>
              <w:t>Other</w:t>
            </w:r>
            <w:r>
              <w:rPr>
                <w:b/>
                <w:spacing w:val="-2"/>
                <w:sz w:val="18"/>
              </w:rPr>
              <w:t> </w:t>
            </w:r>
            <w:r>
              <w:rPr>
                <w:b/>
                <w:sz w:val="18"/>
              </w:rPr>
              <w:t>publications</w:t>
            </w:r>
          </w:p>
        </w:tc>
        <w:tc>
          <w:tcPr>
            <w:tcW w:w="5103" w:type="dxa"/>
          </w:tcPr>
          <w:p>
            <w:pPr>
              <w:pStyle w:val="TableParagraph"/>
              <w:numPr>
                <w:ilvl w:val="0"/>
                <w:numId w:val="40"/>
              </w:numPr>
              <w:tabs>
                <w:tab w:pos="281" w:val="left" w:leader="none"/>
              </w:tabs>
              <w:spacing w:line="219" w:lineRule="exact" w:before="0" w:after="0"/>
              <w:ind w:left="280" w:right="0" w:hanging="173"/>
              <w:jc w:val="left"/>
              <w:rPr>
                <w:sz w:val="18"/>
              </w:rPr>
            </w:pPr>
            <w:r>
              <w:rPr>
                <w:sz w:val="18"/>
              </w:rPr>
              <w:t>Scholarly</w:t>
            </w:r>
            <w:r>
              <w:rPr>
                <w:spacing w:val="-5"/>
                <w:sz w:val="18"/>
              </w:rPr>
              <w:t> </w:t>
            </w:r>
            <w:r>
              <w:rPr>
                <w:sz w:val="18"/>
              </w:rPr>
              <w:t>articles</w:t>
            </w:r>
            <w:r>
              <w:rPr>
                <w:spacing w:val="-4"/>
                <w:sz w:val="18"/>
              </w:rPr>
              <w:t> </w:t>
            </w:r>
            <w:r>
              <w:rPr>
                <w:sz w:val="18"/>
              </w:rPr>
              <w:t>submitted</w:t>
            </w:r>
            <w:r>
              <w:rPr>
                <w:spacing w:val="-4"/>
                <w:sz w:val="18"/>
              </w:rPr>
              <w:t> </w:t>
            </w:r>
            <w:r>
              <w:rPr>
                <w:sz w:val="18"/>
              </w:rPr>
              <w:t>to</w:t>
            </w:r>
            <w:r>
              <w:rPr>
                <w:spacing w:val="-5"/>
                <w:sz w:val="18"/>
              </w:rPr>
              <w:t> </w:t>
            </w:r>
            <w:r>
              <w:rPr>
                <w:sz w:val="18"/>
              </w:rPr>
              <w:t>peer</w:t>
            </w:r>
            <w:r>
              <w:rPr>
                <w:spacing w:val="-3"/>
                <w:sz w:val="18"/>
              </w:rPr>
              <w:t> </w:t>
            </w:r>
            <w:r>
              <w:rPr>
                <w:sz w:val="18"/>
              </w:rPr>
              <w:t>reviewed</w:t>
            </w:r>
            <w:r>
              <w:rPr>
                <w:spacing w:val="-6"/>
                <w:sz w:val="18"/>
              </w:rPr>
              <w:t> </w:t>
            </w:r>
            <w:r>
              <w:rPr>
                <w:sz w:val="18"/>
              </w:rPr>
              <w:t>journals.</w:t>
            </w:r>
          </w:p>
          <w:p>
            <w:pPr>
              <w:pStyle w:val="TableParagraph"/>
              <w:numPr>
                <w:ilvl w:val="0"/>
                <w:numId w:val="40"/>
              </w:numPr>
              <w:tabs>
                <w:tab w:pos="281" w:val="left" w:leader="none"/>
              </w:tabs>
              <w:spacing w:line="240" w:lineRule="auto" w:before="120" w:after="0"/>
              <w:ind w:left="280" w:right="0" w:hanging="173"/>
              <w:jc w:val="left"/>
              <w:rPr>
                <w:sz w:val="18"/>
              </w:rPr>
            </w:pPr>
            <w:r>
              <w:rPr>
                <w:sz w:val="18"/>
              </w:rPr>
              <w:t>Conference</w:t>
            </w:r>
            <w:r>
              <w:rPr>
                <w:spacing w:val="-5"/>
                <w:sz w:val="18"/>
              </w:rPr>
              <w:t> </w:t>
            </w:r>
            <w:r>
              <w:rPr>
                <w:sz w:val="18"/>
              </w:rPr>
              <w:t>presentations.</w:t>
            </w:r>
          </w:p>
        </w:tc>
        <w:tc>
          <w:tcPr>
            <w:tcW w:w="2076" w:type="dxa"/>
          </w:tcPr>
          <w:p>
            <w:pPr>
              <w:pStyle w:val="TableParagraph"/>
              <w:ind w:left="108" w:right="144"/>
              <w:rPr>
                <w:sz w:val="18"/>
              </w:rPr>
            </w:pPr>
            <w:r>
              <w:rPr>
                <w:sz w:val="18"/>
              </w:rPr>
              <w:t>Ongoing throughout</w:t>
            </w:r>
            <w:r>
              <w:rPr>
                <w:spacing w:val="-47"/>
                <w:sz w:val="18"/>
              </w:rPr>
              <w:t> </w:t>
            </w:r>
            <w:r>
              <w:rPr>
                <w:sz w:val="18"/>
              </w:rPr>
              <w:t>the evaluation and</w:t>
            </w:r>
            <w:r>
              <w:rPr>
                <w:spacing w:val="1"/>
                <w:sz w:val="18"/>
              </w:rPr>
              <w:t> </w:t>
            </w:r>
            <w:r>
              <w:rPr>
                <w:sz w:val="18"/>
              </w:rPr>
              <w:t>following</w:t>
            </w:r>
          </w:p>
        </w:tc>
      </w:tr>
    </w:tbl>
    <w:p>
      <w:pPr>
        <w:spacing w:after="0"/>
        <w:rPr>
          <w:sz w:val="18"/>
        </w:rPr>
        <w:sectPr>
          <w:type w:val="continuous"/>
          <w:pgSz w:w="11910" w:h="16840"/>
          <w:pgMar w:header="0" w:footer="675" w:top="1420" w:bottom="860" w:left="580" w:right="280"/>
        </w:sectPr>
      </w:pPr>
    </w:p>
    <w:p>
      <w:pPr>
        <w:pStyle w:val="BodyText"/>
        <w:rPr>
          <w:b/>
        </w:rPr>
      </w:pPr>
      <w:r>
        <w:rPr/>
        <w:drawing>
          <wp:anchor distT="0" distB="0" distL="0" distR="0" allowOverlap="1" layoutInCell="1" locked="0" behindDoc="1" simplePos="0" relativeHeight="475776000">
            <wp:simplePos x="0" y="0"/>
            <wp:positionH relativeFrom="page">
              <wp:posOffset>256083</wp:posOffset>
            </wp:positionH>
            <wp:positionV relativeFrom="page">
              <wp:posOffset>0</wp:posOffset>
            </wp:positionV>
            <wp:extent cx="7302956" cy="1024402"/>
            <wp:effectExtent l="0" t="0" r="0" b="0"/>
            <wp:wrapNone/>
            <wp:docPr id="15" name="image8.jpeg"/>
            <wp:cNvGraphicFramePr>
              <a:graphicFrameLocks noChangeAspect="1"/>
            </wp:cNvGraphicFramePr>
            <a:graphic>
              <a:graphicData uri="http://schemas.openxmlformats.org/drawingml/2006/picture">
                <pic:pic>
                  <pic:nvPicPr>
                    <pic:cNvPr id="16" name="image8.jpeg"/>
                    <pic:cNvPicPr/>
                  </pic:nvPicPr>
                  <pic:blipFill>
                    <a:blip r:embed="rId32" cstate="print"/>
                    <a:stretch>
                      <a:fillRect/>
                    </a:stretch>
                  </pic:blipFill>
                  <pic:spPr>
                    <a:xfrm>
                      <a:off x="0" y="0"/>
                      <a:ext cx="7302956" cy="1024402"/>
                    </a:xfrm>
                    <a:prstGeom prst="rect">
                      <a:avLst/>
                    </a:prstGeom>
                  </pic:spPr>
                </pic:pic>
              </a:graphicData>
            </a:graphic>
          </wp:anchor>
        </w:drawing>
      </w:r>
    </w:p>
    <w:p>
      <w:pPr>
        <w:pStyle w:val="BodyText"/>
        <w:rPr>
          <w:b/>
        </w:rPr>
      </w:pPr>
    </w:p>
    <w:p>
      <w:pPr>
        <w:pStyle w:val="BodyText"/>
        <w:rPr>
          <w:b/>
        </w:rPr>
      </w:pPr>
    </w:p>
    <w:p>
      <w:pPr>
        <w:pStyle w:val="BodyText"/>
        <w:rPr>
          <w:b/>
        </w:rPr>
      </w:pPr>
    </w:p>
    <w:p>
      <w:pPr>
        <w:pStyle w:val="BodyText"/>
        <w:spacing w:before="10"/>
        <w:rPr>
          <w:b/>
          <w:sz w:val="27"/>
        </w:rPr>
      </w:pPr>
    </w:p>
    <w:p>
      <w:pPr>
        <w:pStyle w:val="Heading1"/>
        <w:ind w:right="1776"/>
      </w:pPr>
      <w:bookmarkStart w:name="_bookmark78" w:id="79"/>
      <w:bookmarkEnd w:id="79"/>
      <w:r>
        <w:rPr/>
      </w:r>
      <w:r>
        <w:rPr>
          <w:color w:val="003C79"/>
        </w:rPr>
        <w:t>Appendix A – Sampling</w:t>
      </w:r>
      <w:r>
        <w:rPr>
          <w:color w:val="003C79"/>
          <w:spacing w:val="1"/>
        </w:rPr>
        <w:t> </w:t>
      </w:r>
      <w:r>
        <w:rPr>
          <w:color w:val="003C79"/>
        </w:rPr>
        <w:t>frame for practices</w:t>
      </w:r>
      <w:r>
        <w:rPr>
          <w:color w:val="003C79"/>
          <w:spacing w:val="1"/>
        </w:rPr>
        <w:t> </w:t>
      </w:r>
      <w:r>
        <w:rPr>
          <w:color w:val="003C79"/>
        </w:rPr>
        <w:t>participating in the HCH</w:t>
      </w:r>
      <w:r>
        <w:rPr>
          <w:color w:val="003C79"/>
          <w:spacing w:val="-197"/>
        </w:rPr>
        <w:t> </w:t>
      </w:r>
      <w:r>
        <w:rPr>
          <w:color w:val="003C79"/>
        </w:rPr>
        <w:t>trial</w:t>
      </w:r>
    </w:p>
    <w:p>
      <w:pPr>
        <w:pStyle w:val="BodyText"/>
        <w:spacing w:line="276" w:lineRule="auto" w:before="202"/>
        <w:ind w:left="860" w:right="1154"/>
      </w:pPr>
      <w:r>
        <w:rPr/>
        <w:t>Practices participating in HCH trial will be selected from practices that have submitted a</w:t>
      </w:r>
      <w:r>
        <w:rPr>
          <w:spacing w:val="1"/>
        </w:rPr>
        <w:t> </w:t>
      </w:r>
      <w:r>
        <w:rPr/>
        <w:t>proposal in response to a competitive grant process undertaken by the Department of</w:t>
      </w:r>
      <w:r>
        <w:rPr>
          <w:spacing w:val="1"/>
        </w:rPr>
        <w:t> </w:t>
      </w:r>
      <w:r>
        <w:rPr/>
        <w:t>Health.</w:t>
      </w:r>
      <w:r>
        <w:rPr>
          <w:spacing w:val="-5"/>
        </w:rPr>
        <w:t> </w:t>
      </w:r>
      <w:r>
        <w:rPr/>
        <w:t>The</w:t>
      </w:r>
      <w:r>
        <w:rPr>
          <w:spacing w:val="-3"/>
        </w:rPr>
        <w:t> </w:t>
      </w:r>
      <w:r>
        <w:rPr/>
        <w:t>Department</w:t>
      </w:r>
      <w:r>
        <w:rPr>
          <w:spacing w:val="-4"/>
        </w:rPr>
        <w:t> </w:t>
      </w:r>
      <w:r>
        <w:rPr/>
        <w:t>of</w:t>
      </w:r>
      <w:r>
        <w:rPr>
          <w:spacing w:val="-3"/>
        </w:rPr>
        <w:t> </w:t>
      </w:r>
      <w:r>
        <w:rPr/>
        <w:t>Health</w:t>
      </w:r>
      <w:r>
        <w:rPr>
          <w:spacing w:val="-3"/>
        </w:rPr>
        <w:t> </w:t>
      </w:r>
      <w:r>
        <w:rPr/>
        <w:t>has</w:t>
      </w:r>
      <w:r>
        <w:rPr>
          <w:spacing w:val="-3"/>
        </w:rPr>
        <w:t> </w:t>
      </w:r>
      <w:r>
        <w:rPr/>
        <w:t>applied</w:t>
      </w:r>
      <w:r>
        <w:rPr>
          <w:spacing w:val="-3"/>
        </w:rPr>
        <w:t> </w:t>
      </w:r>
      <w:r>
        <w:rPr/>
        <w:t>several</w:t>
      </w:r>
      <w:r>
        <w:rPr>
          <w:spacing w:val="-3"/>
        </w:rPr>
        <w:t> </w:t>
      </w:r>
      <w:r>
        <w:rPr/>
        <w:t>criteria</w:t>
      </w:r>
      <w:r>
        <w:rPr>
          <w:spacing w:val="-4"/>
        </w:rPr>
        <w:t> </w:t>
      </w:r>
      <w:r>
        <w:rPr/>
        <w:t>that</w:t>
      </w:r>
      <w:r>
        <w:rPr>
          <w:spacing w:val="-2"/>
        </w:rPr>
        <w:t> </w:t>
      </w:r>
      <w:r>
        <w:rPr/>
        <w:t>practices</w:t>
      </w:r>
      <w:r>
        <w:rPr>
          <w:spacing w:val="-3"/>
        </w:rPr>
        <w:t> </w:t>
      </w:r>
      <w:r>
        <w:rPr/>
        <w:t>must</w:t>
      </w:r>
      <w:r>
        <w:rPr>
          <w:spacing w:val="-2"/>
        </w:rPr>
        <w:t> </w:t>
      </w:r>
      <w:r>
        <w:rPr/>
        <w:t>meet</w:t>
      </w:r>
      <w:r>
        <w:rPr>
          <w:spacing w:val="-1"/>
        </w:rPr>
        <w:t> </w:t>
      </w:r>
      <w:r>
        <w:rPr/>
        <w:t>to</w:t>
      </w:r>
      <w:r>
        <w:rPr>
          <w:spacing w:val="-3"/>
        </w:rPr>
        <w:t> </w:t>
      </w:r>
      <w:r>
        <w:rPr/>
        <w:t>be</w:t>
      </w:r>
      <w:r>
        <w:rPr>
          <w:spacing w:val="-53"/>
        </w:rPr>
        <w:t> </w:t>
      </w:r>
      <w:r>
        <w:rPr/>
        <w:t>considered for participation. Amongst these is a requirement that the practice has achieved</w:t>
      </w:r>
      <w:r>
        <w:rPr>
          <w:spacing w:val="-53"/>
        </w:rPr>
        <w:t> </w:t>
      </w:r>
      <w:r>
        <w:rPr/>
        <w:t>accreditation with the Royal Australian College of General Practitioners Standards, and</w:t>
      </w:r>
      <w:r>
        <w:rPr>
          <w:spacing w:val="1"/>
        </w:rPr>
        <w:t> </w:t>
      </w:r>
      <w:r>
        <w:rPr/>
        <w:t>maintains its accreditation, or be registered for accreditation, and that the practice</w:t>
      </w:r>
      <w:r>
        <w:rPr>
          <w:spacing w:val="1"/>
        </w:rPr>
        <w:t> </w:t>
      </w:r>
      <w:r>
        <w:rPr/>
        <w:t>participates in, or is prepared to participate in, the Practice Incentives Program eHealth</w:t>
      </w:r>
      <w:r>
        <w:rPr>
          <w:spacing w:val="1"/>
        </w:rPr>
        <w:t> </w:t>
      </w:r>
      <w:r>
        <w:rPr/>
        <w:t>Incentive.</w:t>
      </w:r>
    </w:p>
    <w:p>
      <w:pPr>
        <w:pStyle w:val="BodyText"/>
        <w:spacing w:before="199"/>
        <w:ind w:left="860"/>
      </w:pPr>
      <w:r>
        <w:rPr/>
        <w:t>There</w:t>
      </w:r>
      <w:r>
        <w:rPr>
          <w:spacing w:val="-3"/>
        </w:rPr>
        <w:t> </w:t>
      </w:r>
      <w:r>
        <w:rPr/>
        <w:t>are</w:t>
      </w:r>
      <w:r>
        <w:rPr>
          <w:spacing w:val="-3"/>
        </w:rPr>
        <w:t> </w:t>
      </w:r>
      <w:r>
        <w:rPr/>
        <w:t>two</w:t>
      </w:r>
      <w:r>
        <w:rPr>
          <w:spacing w:val="-2"/>
        </w:rPr>
        <w:t> </w:t>
      </w:r>
      <w:r>
        <w:rPr/>
        <w:t>criteria</w:t>
      </w:r>
      <w:r>
        <w:rPr>
          <w:spacing w:val="-2"/>
        </w:rPr>
        <w:t> </w:t>
      </w:r>
      <w:r>
        <w:rPr/>
        <w:t>for</w:t>
      </w:r>
      <w:r>
        <w:rPr>
          <w:spacing w:val="-3"/>
        </w:rPr>
        <w:t> </w:t>
      </w:r>
      <w:r>
        <w:rPr/>
        <w:t>assessing</w:t>
      </w:r>
      <w:r>
        <w:rPr>
          <w:spacing w:val="-2"/>
        </w:rPr>
        <w:t> </w:t>
      </w:r>
      <w:r>
        <w:rPr/>
        <w:t>practices</w:t>
      </w:r>
      <w:r>
        <w:rPr>
          <w:spacing w:val="-3"/>
        </w:rPr>
        <w:t> </w:t>
      </w:r>
      <w:r>
        <w:rPr/>
        <w:t>for</w:t>
      </w:r>
      <w:r>
        <w:rPr>
          <w:spacing w:val="-2"/>
        </w:rPr>
        <w:t> </w:t>
      </w:r>
      <w:r>
        <w:rPr/>
        <w:t>participation:</w:t>
      </w:r>
    </w:p>
    <w:p>
      <w:pPr>
        <w:pStyle w:val="BodyText"/>
        <w:spacing w:before="4"/>
        <w:rPr>
          <w:sz w:val="19"/>
        </w:rPr>
      </w:pPr>
    </w:p>
    <w:p>
      <w:pPr>
        <w:pStyle w:val="ListParagraph"/>
        <w:numPr>
          <w:ilvl w:val="0"/>
          <w:numId w:val="17"/>
        </w:numPr>
        <w:tabs>
          <w:tab w:pos="1573" w:val="left" w:leader="none"/>
          <w:tab w:pos="1574" w:val="left" w:leader="none"/>
        </w:tabs>
        <w:spacing w:line="276" w:lineRule="auto" w:before="1" w:after="0"/>
        <w:ind w:left="1573" w:right="1360" w:hanging="356"/>
        <w:jc w:val="left"/>
        <w:rPr>
          <w:sz w:val="20"/>
        </w:rPr>
      </w:pPr>
      <w:r>
        <w:rPr>
          <w:sz w:val="20"/>
        </w:rPr>
        <w:t>Criterion</w:t>
      </w:r>
      <w:r>
        <w:rPr>
          <w:spacing w:val="-3"/>
          <w:sz w:val="20"/>
        </w:rPr>
        <w:t> </w:t>
      </w:r>
      <w:r>
        <w:rPr>
          <w:sz w:val="20"/>
        </w:rPr>
        <w:t>1:</w:t>
      </w:r>
      <w:r>
        <w:rPr>
          <w:spacing w:val="-5"/>
          <w:sz w:val="20"/>
        </w:rPr>
        <w:t> </w:t>
      </w:r>
      <w:r>
        <w:rPr>
          <w:sz w:val="20"/>
        </w:rPr>
        <w:t>Demonstrated</w:t>
      </w:r>
      <w:r>
        <w:rPr>
          <w:spacing w:val="-4"/>
          <w:sz w:val="20"/>
        </w:rPr>
        <w:t> </w:t>
      </w:r>
      <w:r>
        <w:rPr>
          <w:sz w:val="20"/>
        </w:rPr>
        <w:t>capacity</w:t>
      </w:r>
      <w:r>
        <w:rPr>
          <w:spacing w:val="-4"/>
          <w:sz w:val="20"/>
        </w:rPr>
        <w:t> </w:t>
      </w:r>
      <w:r>
        <w:rPr>
          <w:sz w:val="20"/>
        </w:rPr>
        <w:t>to</w:t>
      </w:r>
      <w:r>
        <w:rPr>
          <w:spacing w:val="-4"/>
          <w:sz w:val="20"/>
        </w:rPr>
        <w:t> </w:t>
      </w:r>
      <w:r>
        <w:rPr>
          <w:sz w:val="20"/>
        </w:rPr>
        <w:t>implement</w:t>
      </w:r>
      <w:r>
        <w:rPr>
          <w:spacing w:val="-3"/>
          <w:sz w:val="20"/>
        </w:rPr>
        <w:t> </w:t>
      </w:r>
      <w:r>
        <w:rPr>
          <w:sz w:val="20"/>
        </w:rPr>
        <w:t>the</w:t>
      </w:r>
      <w:r>
        <w:rPr>
          <w:spacing w:val="-4"/>
          <w:sz w:val="20"/>
        </w:rPr>
        <w:t> </w:t>
      </w:r>
      <w:r>
        <w:rPr>
          <w:sz w:val="20"/>
        </w:rPr>
        <w:t>objectives</w:t>
      </w:r>
      <w:r>
        <w:rPr>
          <w:spacing w:val="-3"/>
          <w:sz w:val="20"/>
        </w:rPr>
        <w:t> </w:t>
      </w:r>
      <w:r>
        <w:rPr>
          <w:sz w:val="20"/>
        </w:rPr>
        <w:t>of</w:t>
      </w:r>
      <w:r>
        <w:rPr>
          <w:spacing w:val="-4"/>
          <w:sz w:val="20"/>
        </w:rPr>
        <w:t> </w:t>
      </w:r>
      <w:r>
        <w:rPr>
          <w:sz w:val="20"/>
        </w:rPr>
        <w:t>HCH,</w:t>
      </w:r>
      <w:r>
        <w:rPr>
          <w:spacing w:val="-5"/>
          <w:sz w:val="20"/>
        </w:rPr>
        <w:t> </w:t>
      </w:r>
      <w:r>
        <w:rPr>
          <w:sz w:val="20"/>
        </w:rPr>
        <w:t>which</w:t>
      </w:r>
      <w:r>
        <w:rPr>
          <w:spacing w:val="-3"/>
          <w:sz w:val="20"/>
        </w:rPr>
        <w:t> </w:t>
      </w:r>
      <w:r>
        <w:rPr>
          <w:sz w:val="20"/>
        </w:rPr>
        <w:t>may</w:t>
      </w:r>
      <w:r>
        <w:rPr>
          <w:spacing w:val="-52"/>
          <w:sz w:val="20"/>
        </w:rPr>
        <w:t> </w:t>
      </w:r>
      <w:r>
        <w:rPr>
          <w:sz w:val="20"/>
        </w:rPr>
        <w:t>include having implemented a similar program, or the proven capacity to develop</w:t>
      </w:r>
      <w:r>
        <w:rPr>
          <w:spacing w:val="1"/>
          <w:sz w:val="20"/>
        </w:rPr>
        <w:t> </w:t>
      </w:r>
      <w:r>
        <w:rPr>
          <w:sz w:val="20"/>
        </w:rPr>
        <w:t>this</w:t>
      </w:r>
      <w:r>
        <w:rPr>
          <w:spacing w:val="-2"/>
          <w:sz w:val="20"/>
        </w:rPr>
        <w:t> </w:t>
      </w:r>
      <w:r>
        <w:rPr>
          <w:sz w:val="20"/>
        </w:rPr>
        <w:t>capability</w:t>
      </w:r>
      <w:r>
        <w:rPr>
          <w:spacing w:val="-2"/>
          <w:sz w:val="20"/>
        </w:rPr>
        <w:t> </w:t>
      </w:r>
      <w:r>
        <w:rPr>
          <w:sz w:val="20"/>
        </w:rPr>
        <w:t>within the required</w:t>
      </w:r>
      <w:r>
        <w:rPr>
          <w:spacing w:val="-1"/>
          <w:sz w:val="20"/>
        </w:rPr>
        <w:t> </w:t>
      </w:r>
      <w:r>
        <w:rPr>
          <w:sz w:val="20"/>
        </w:rPr>
        <w:t>timeframe.</w:t>
      </w:r>
    </w:p>
    <w:p>
      <w:pPr>
        <w:pStyle w:val="ListParagraph"/>
        <w:numPr>
          <w:ilvl w:val="0"/>
          <w:numId w:val="17"/>
        </w:numPr>
        <w:tabs>
          <w:tab w:pos="1573" w:val="left" w:leader="none"/>
          <w:tab w:pos="1574" w:val="left" w:leader="none"/>
        </w:tabs>
        <w:spacing w:line="240" w:lineRule="auto" w:before="200" w:after="0"/>
        <w:ind w:left="1573" w:right="0" w:hanging="356"/>
        <w:jc w:val="left"/>
        <w:rPr>
          <w:sz w:val="20"/>
        </w:rPr>
      </w:pPr>
      <w:r>
        <w:rPr>
          <w:sz w:val="20"/>
        </w:rPr>
        <w:t>Criterion</w:t>
      </w:r>
      <w:r>
        <w:rPr>
          <w:spacing w:val="-3"/>
          <w:sz w:val="20"/>
        </w:rPr>
        <w:t> </w:t>
      </w:r>
      <w:r>
        <w:rPr>
          <w:sz w:val="20"/>
        </w:rPr>
        <w:t>2:</w:t>
      </w:r>
      <w:r>
        <w:rPr>
          <w:spacing w:val="-5"/>
          <w:sz w:val="20"/>
        </w:rPr>
        <w:t> </w:t>
      </w:r>
      <w:r>
        <w:rPr>
          <w:sz w:val="20"/>
        </w:rPr>
        <w:t>Demonstrated</w:t>
      </w:r>
      <w:r>
        <w:rPr>
          <w:spacing w:val="-3"/>
          <w:sz w:val="20"/>
        </w:rPr>
        <w:t> </w:t>
      </w:r>
      <w:r>
        <w:rPr>
          <w:sz w:val="20"/>
        </w:rPr>
        <w:t>capability</w:t>
      </w:r>
      <w:r>
        <w:rPr>
          <w:spacing w:val="-5"/>
          <w:sz w:val="20"/>
        </w:rPr>
        <w:t> </w:t>
      </w:r>
      <w:r>
        <w:rPr>
          <w:sz w:val="20"/>
        </w:rPr>
        <w:t>to</w:t>
      </w:r>
      <w:r>
        <w:rPr>
          <w:spacing w:val="1"/>
          <w:sz w:val="20"/>
        </w:rPr>
        <w:t> </w:t>
      </w:r>
      <w:r>
        <w:rPr>
          <w:sz w:val="20"/>
        </w:rPr>
        <w:t>identify</w:t>
      </w:r>
      <w:r>
        <w:rPr>
          <w:spacing w:val="-4"/>
          <w:sz w:val="20"/>
        </w:rPr>
        <w:t> </w:t>
      </w:r>
      <w:r>
        <w:rPr>
          <w:sz w:val="20"/>
        </w:rPr>
        <w:t>eligible</w:t>
      </w:r>
      <w:r>
        <w:rPr>
          <w:spacing w:val="-4"/>
          <w:sz w:val="20"/>
        </w:rPr>
        <w:t> </w:t>
      </w:r>
      <w:r>
        <w:rPr>
          <w:sz w:val="20"/>
        </w:rPr>
        <w:t>patients</w:t>
      </w:r>
      <w:r>
        <w:rPr>
          <w:spacing w:val="-3"/>
          <w:sz w:val="20"/>
        </w:rPr>
        <w:t> </w:t>
      </w:r>
      <w:r>
        <w:rPr>
          <w:sz w:val="20"/>
        </w:rPr>
        <w:t>to</w:t>
      </w:r>
      <w:r>
        <w:rPr>
          <w:spacing w:val="-3"/>
          <w:sz w:val="20"/>
        </w:rPr>
        <w:t> </w:t>
      </w:r>
      <w:r>
        <w:rPr>
          <w:sz w:val="20"/>
        </w:rPr>
        <w:t>be</w:t>
      </w:r>
      <w:r>
        <w:rPr>
          <w:spacing w:val="-4"/>
          <w:sz w:val="20"/>
        </w:rPr>
        <w:t> </w:t>
      </w:r>
      <w:r>
        <w:rPr>
          <w:sz w:val="20"/>
        </w:rPr>
        <w:t>enrolled.</w:t>
      </w:r>
    </w:p>
    <w:p>
      <w:pPr>
        <w:pStyle w:val="BodyText"/>
        <w:spacing w:before="2"/>
        <w:rPr>
          <w:sz w:val="19"/>
        </w:rPr>
      </w:pPr>
    </w:p>
    <w:p>
      <w:pPr>
        <w:pStyle w:val="BodyText"/>
        <w:spacing w:line="276" w:lineRule="auto"/>
        <w:ind w:left="860" w:right="1154"/>
      </w:pPr>
      <w:r>
        <w:rPr/>
        <w:t>Subject to a practice meeting the eligibility criteria and the two assessment criteria, the</w:t>
      </w:r>
      <w:r>
        <w:rPr>
          <w:spacing w:val="1"/>
        </w:rPr>
        <w:t> </w:t>
      </w:r>
      <w:r>
        <w:rPr/>
        <w:t>Department</w:t>
      </w:r>
      <w:r>
        <w:rPr>
          <w:spacing w:val="-2"/>
        </w:rPr>
        <w:t> </w:t>
      </w:r>
      <w:r>
        <w:rPr/>
        <w:t>of</w:t>
      </w:r>
      <w:r>
        <w:rPr>
          <w:spacing w:val="-4"/>
        </w:rPr>
        <w:t> </w:t>
      </w:r>
      <w:r>
        <w:rPr/>
        <w:t>Health</w:t>
      </w:r>
      <w:r>
        <w:rPr>
          <w:spacing w:val="-3"/>
        </w:rPr>
        <w:t> </w:t>
      </w:r>
      <w:r>
        <w:rPr/>
        <w:t>will</w:t>
      </w:r>
      <w:r>
        <w:rPr>
          <w:spacing w:val="-3"/>
        </w:rPr>
        <w:t> </w:t>
      </w:r>
      <w:r>
        <w:rPr/>
        <w:t>select</w:t>
      </w:r>
      <w:r>
        <w:rPr>
          <w:spacing w:val="-1"/>
        </w:rPr>
        <w:t> </w:t>
      </w:r>
      <w:r>
        <w:rPr/>
        <w:t>up</w:t>
      </w:r>
      <w:r>
        <w:rPr>
          <w:spacing w:val="-3"/>
        </w:rPr>
        <w:t> </w:t>
      </w:r>
      <w:r>
        <w:rPr/>
        <w:t>to</w:t>
      </w:r>
      <w:r>
        <w:rPr>
          <w:spacing w:val="-4"/>
        </w:rPr>
        <w:t> </w:t>
      </w:r>
      <w:r>
        <w:rPr/>
        <w:t>200</w:t>
      </w:r>
      <w:r>
        <w:rPr>
          <w:spacing w:val="-4"/>
        </w:rPr>
        <w:t> </w:t>
      </w:r>
      <w:r>
        <w:rPr/>
        <w:t>practices/</w:t>
      </w:r>
      <w:r>
        <w:rPr>
          <w:spacing w:val="-4"/>
        </w:rPr>
        <w:t> </w:t>
      </w:r>
      <w:r>
        <w:rPr/>
        <w:t>health</w:t>
      </w:r>
      <w:r>
        <w:rPr>
          <w:spacing w:val="-3"/>
        </w:rPr>
        <w:t> </w:t>
      </w:r>
      <w:r>
        <w:rPr/>
        <w:t>services.</w:t>
      </w:r>
      <w:r>
        <w:rPr>
          <w:spacing w:val="-6"/>
        </w:rPr>
        <w:t> </w:t>
      </w:r>
      <w:r>
        <w:rPr/>
        <w:t>In</w:t>
      </w:r>
      <w:r>
        <w:rPr>
          <w:spacing w:val="-3"/>
        </w:rPr>
        <w:t> </w:t>
      </w:r>
      <w:r>
        <w:rPr/>
        <w:t>selecting</w:t>
      </w:r>
      <w:r>
        <w:rPr>
          <w:spacing w:val="-3"/>
        </w:rPr>
        <w:t> </w:t>
      </w:r>
      <w:r>
        <w:rPr/>
        <w:t>practices,</w:t>
      </w:r>
      <w:r>
        <w:rPr>
          <w:spacing w:val="-6"/>
        </w:rPr>
        <w:t> </w:t>
      </w:r>
      <w:r>
        <w:rPr/>
        <w:t>a</w:t>
      </w:r>
      <w:r>
        <w:rPr>
          <w:spacing w:val="-52"/>
        </w:rPr>
        <w:t> </w:t>
      </w:r>
      <w:r>
        <w:rPr/>
        <w:t>sampling frame has been developed, to ensure there is an appropriate mix of practices</w:t>
      </w:r>
      <w:r>
        <w:rPr>
          <w:spacing w:val="1"/>
        </w:rPr>
        <w:t> </w:t>
      </w:r>
      <w:r>
        <w:rPr/>
        <w:t>across Australia. The sampling frame includes the dimensions and categories shown in </w:t>
      </w:r>
      <w:hyperlink w:history="true" w:anchor="_bookmark79">
        <w:r>
          <w:rPr/>
          <w:t>Table</w:t>
        </w:r>
      </w:hyperlink>
      <w:r>
        <w:rPr>
          <w:spacing w:val="1"/>
        </w:rPr>
        <w:t> </w:t>
      </w:r>
      <w:hyperlink w:history="true" w:anchor="_bookmark79">
        <w:r>
          <w:rPr/>
          <w:t>17 </w:t>
        </w:r>
      </w:hyperlink>
      <w:r>
        <w:rPr/>
        <w:t>below. The frame contains four dimensions: practice ownership, practice size (in terms of</w:t>
      </w:r>
      <w:r>
        <w:rPr>
          <w:spacing w:val="1"/>
        </w:rPr>
        <w:t> </w:t>
      </w:r>
      <w:r>
        <w:rPr/>
        <w:t>number</w:t>
      </w:r>
      <w:r>
        <w:rPr>
          <w:spacing w:val="-2"/>
        </w:rPr>
        <w:t> </w:t>
      </w:r>
      <w:r>
        <w:rPr/>
        <w:t>of</w:t>
      </w:r>
      <w:r>
        <w:rPr>
          <w:spacing w:val="-2"/>
        </w:rPr>
        <w:t> </w:t>
      </w:r>
      <w:r>
        <w:rPr/>
        <w:t>GPs),</w:t>
      </w:r>
      <w:r>
        <w:rPr>
          <w:spacing w:val="-3"/>
        </w:rPr>
        <w:t> </w:t>
      </w:r>
      <w:r>
        <w:rPr/>
        <w:t>practice</w:t>
      </w:r>
      <w:r>
        <w:rPr>
          <w:spacing w:val="-2"/>
        </w:rPr>
        <w:t> </w:t>
      </w:r>
      <w:r>
        <w:rPr/>
        <w:t>staffing</w:t>
      </w:r>
      <w:r>
        <w:rPr>
          <w:spacing w:val="-2"/>
        </w:rPr>
        <w:t> </w:t>
      </w:r>
      <w:r>
        <w:rPr/>
        <w:t>(in addition</w:t>
      </w:r>
      <w:r>
        <w:rPr>
          <w:spacing w:val="-1"/>
        </w:rPr>
        <w:t> </w:t>
      </w:r>
      <w:r>
        <w:rPr/>
        <w:t>to</w:t>
      </w:r>
      <w:r>
        <w:rPr>
          <w:spacing w:val="-1"/>
        </w:rPr>
        <w:t> </w:t>
      </w:r>
      <w:r>
        <w:rPr/>
        <w:t>GPs)</w:t>
      </w:r>
      <w:r>
        <w:rPr>
          <w:spacing w:val="-1"/>
        </w:rPr>
        <w:t> </w:t>
      </w:r>
      <w:r>
        <w:rPr/>
        <w:t>and</w:t>
      </w:r>
      <w:r>
        <w:rPr>
          <w:spacing w:val="-2"/>
        </w:rPr>
        <w:t> </w:t>
      </w:r>
      <w:r>
        <w:rPr/>
        <w:t>geographic location.</w:t>
      </w:r>
    </w:p>
    <w:p>
      <w:pPr>
        <w:spacing w:after="0" w:line="276" w:lineRule="auto"/>
        <w:sectPr>
          <w:pgSz w:w="11910" w:h="16840"/>
          <w:pgMar w:header="0" w:footer="675" w:top="0" w:bottom="860" w:left="580" w:right="280"/>
        </w:sectPr>
      </w:pPr>
    </w:p>
    <w:p>
      <w:pPr>
        <w:spacing w:before="80"/>
        <w:ind w:left="1225" w:right="1521" w:firstLine="0"/>
        <w:jc w:val="center"/>
        <w:rPr>
          <w:b/>
          <w:sz w:val="18"/>
        </w:rPr>
      </w:pPr>
      <w:bookmarkStart w:name="_bookmark79" w:id="80"/>
      <w:bookmarkEnd w:id="80"/>
      <w:r>
        <w:rPr/>
      </w:r>
      <w:r>
        <w:rPr>
          <w:b/>
          <w:sz w:val="18"/>
        </w:rPr>
        <w:t>Table</w:t>
      </w:r>
      <w:r>
        <w:rPr>
          <w:b/>
          <w:spacing w:val="-1"/>
          <w:sz w:val="18"/>
        </w:rPr>
        <w:t> </w:t>
      </w:r>
      <w:r>
        <w:rPr>
          <w:b/>
          <w:sz w:val="18"/>
        </w:rPr>
        <w:t>17</w:t>
      </w:r>
      <w:r>
        <w:rPr>
          <w:b/>
          <w:spacing w:val="-3"/>
          <w:sz w:val="18"/>
        </w:rPr>
        <w:t> </w:t>
      </w:r>
      <w:r>
        <w:rPr>
          <w:b/>
          <w:sz w:val="18"/>
        </w:rPr>
        <w:t>– Sampling</w:t>
      </w:r>
      <w:r>
        <w:rPr>
          <w:b/>
          <w:spacing w:val="1"/>
          <w:sz w:val="18"/>
        </w:rPr>
        <w:t> </w:t>
      </w:r>
      <w:r>
        <w:rPr>
          <w:b/>
          <w:sz w:val="18"/>
        </w:rPr>
        <w:t>frame</w:t>
      </w:r>
    </w:p>
    <w:p>
      <w:pPr>
        <w:pStyle w:val="BodyText"/>
        <w:spacing w:before="5"/>
        <w:rPr>
          <w:b/>
          <w:sz w:val="7"/>
        </w:rPr>
      </w:pPr>
    </w:p>
    <w:tbl>
      <w:tblPr>
        <w:tblW w:w="0" w:type="auto"/>
        <w:jc w:val="left"/>
        <w:tblInd w:w="774"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1692"/>
        <w:gridCol w:w="1839"/>
        <w:gridCol w:w="5679"/>
      </w:tblGrid>
      <w:tr>
        <w:trPr>
          <w:trHeight w:val="340" w:hRule="atLeast"/>
        </w:trPr>
        <w:tc>
          <w:tcPr>
            <w:tcW w:w="1692" w:type="dxa"/>
            <w:shd w:val="clear" w:color="auto" w:fill="003C79"/>
          </w:tcPr>
          <w:p>
            <w:pPr>
              <w:pStyle w:val="TableParagraph"/>
              <w:spacing w:line="219" w:lineRule="exact"/>
              <w:ind w:left="391"/>
              <w:rPr>
                <w:b/>
                <w:sz w:val="18"/>
              </w:rPr>
            </w:pPr>
            <w:r>
              <w:rPr>
                <w:b/>
                <w:color w:val="FFFFFF"/>
                <w:sz w:val="18"/>
              </w:rPr>
              <w:t>Dimension</w:t>
            </w:r>
          </w:p>
        </w:tc>
        <w:tc>
          <w:tcPr>
            <w:tcW w:w="1839" w:type="dxa"/>
            <w:shd w:val="clear" w:color="auto" w:fill="003C79"/>
          </w:tcPr>
          <w:p>
            <w:pPr>
              <w:pStyle w:val="TableParagraph"/>
              <w:spacing w:line="219" w:lineRule="exact"/>
              <w:ind w:left="349" w:right="342"/>
              <w:jc w:val="center"/>
              <w:rPr>
                <w:b/>
                <w:sz w:val="18"/>
              </w:rPr>
            </w:pPr>
            <w:r>
              <w:rPr>
                <w:b/>
                <w:color w:val="FFFFFF"/>
                <w:sz w:val="18"/>
              </w:rPr>
              <w:t>Category</w:t>
            </w:r>
          </w:p>
        </w:tc>
        <w:tc>
          <w:tcPr>
            <w:tcW w:w="5679" w:type="dxa"/>
            <w:shd w:val="clear" w:color="auto" w:fill="003C79"/>
          </w:tcPr>
          <w:p>
            <w:pPr>
              <w:pStyle w:val="TableParagraph"/>
              <w:spacing w:line="219" w:lineRule="exact"/>
              <w:ind w:left="2329" w:right="2323"/>
              <w:jc w:val="center"/>
              <w:rPr>
                <w:b/>
                <w:sz w:val="18"/>
              </w:rPr>
            </w:pPr>
            <w:r>
              <w:rPr>
                <w:b/>
                <w:color w:val="FFFFFF"/>
                <w:sz w:val="18"/>
              </w:rPr>
              <w:t>Description</w:t>
            </w:r>
          </w:p>
        </w:tc>
      </w:tr>
      <w:tr>
        <w:trPr>
          <w:trHeight w:val="441" w:hRule="atLeast"/>
        </w:trPr>
        <w:tc>
          <w:tcPr>
            <w:tcW w:w="1692" w:type="dxa"/>
            <w:vMerge w:val="restart"/>
          </w:tcPr>
          <w:p>
            <w:pPr>
              <w:pStyle w:val="TableParagraph"/>
              <w:ind w:left="107" w:right="668"/>
              <w:rPr>
                <w:sz w:val="18"/>
              </w:rPr>
            </w:pPr>
            <w:r>
              <w:rPr>
                <w:color w:val="444444"/>
                <w:sz w:val="18"/>
              </w:rPr>
              <w:t>Practice</w:t>
            </w:r>
            <w:r>
              <w:rPr>
                <w:color w:val="444444"/>
                <w:spacing w:val="1"/>
                <w:sz w:val="18"/>
              </w:rPr>
              <w:t> </w:t>
            </w:r>
            <w:r>
              <w:rPr>
                <w:color w:val="444444"/>
                <w:sz w:val="18"/>
              </w:rPr>
              <w:t>ownership</w:t>
            </w:r>
          </w:p>
        </w:tc>
        <w:tc>
          <w:tcPr>
            <w:tcW w:w="1839" w:type="dxa"/>
          </w:tcPr>
          <w:p>
            <w:pPr>
              <w:pStyle w:val="TableParagraph"/>
              <w:spacing w:before="1"/>
              <w:ind w:left="8"/>
              <w:jc w:val="center"/>
              <w:rPr>
                <w:sz w:val="18"/>
              </w:rPr>
            </w:pPr>
            <w:r>
              <w:rPr>
                <w:color w:val="444444"/>
                <w:sz w:val="18"/>
              </w:rPr>
              <w:t>1</w:t>
            </w:r>
          </w:p>
        </w:tc>
        <w:tc>
          <w:tcPr>
            <w:tcW w:w="5679" w:type="dxa"/>
          </w:tcPr>
          <w:p>
            <w:pPr>
              <w:pStyle w:val="TableParagraph"/>
              <w:spacing w:before="1"/>
              <w:ind w:left="107"/>
              <w:rPr>
                <w:sz w:val="18"/>
              </w:rPr>
            </w:pPr>
            <w:r>
              <w:rPr>
                <w:sz w:val="18"/>
              </w:rPr>
              <w:t>GP</w:t>
            </w:r>
            <w:r>
              <w:rPr>
                <w:spacing w:val="-2"/>
                <w:sz w:val="18"/>
              </w:rPr>
              <w:t> </w:t>
            </w:r>
            <w:r>
              <w:rPr>
                <w:sz w:val="18"/>
              </w:rPr>
              <w:t>owned</w:t>
            </w:r>
          </w:p>
        </w:tc>
      </w:tr>
      <w:tr>
        <w:trPr>
          <w:trHeight w:val="350" w:hRule="atLeast"/>
        </w:trPr>
        <w:tc>
          <w:tcPr>
            <w:tcW w:w="1692" w:type="dxa"/>
            <w:vMerge/>
            <w:tcBorders>
              <w:top w:val="nil"/>
            </w:tcBorders>
          </w:tcPr>
          <w:p>
            <w:pPr>
              <w:rPr>
                <w:sz w:val="2"/>
                <w:szCs w:val="2"/>
              </w:rPr>
            </w:pPr>
          </w:p>
        </w:tc>
        <w:tc>
          <w:tcPr>
            <w:tcW w:w="1839" w:type="dxa"/>
          </w:tcPr>
          <w:p>
            <w:pPr>
              <w:pStyle w:val="TableParagraph"/>
              <w:spacing w:before="1"/>
              <w:ind w:left="8"/>
              <w:jc w:val="center"/>
              <w:rPr>
                <w:sz w:val="18"/>
              </w:rPr>
            </w:pPr>
            <w:r>
              <w:rPr>
                <w:color w:val="444444"/>
                <w:sz w:val="18"/>
              </w:rPr>
              <w:t>2</w:t>
            </w:r>
          </w:p>
        </w:tc>
        <w:tc>
          <w:tcPr>
            <w:tcW w:w="5679" w:type="dxa"/>
          </w:tcPr>
          <w:p>
            <w:pPr>
              <w:pStyle w:val="TableParagraph"/>
              <w:spacing w:before="1"/>
              <w:ind w:left="107"/>
              <w:rPr>
                <w:sz w:val="18"/>
              </w:rPr>
            </w:pPr>
            <w:r>
              <w:rPr>
                <w:sz w:val="18"/>
              </w:rPr>
              <w:t>Corporate</w:t>
            </w:r>
            <w:r>
              <w:rPr>
                <w:spacing w:val="-4"/>
                <w:sz w:val="18"/>
              </w:rPr>
              <w:t> </w:t>
            </w:r>
            <w:r>
              <w:rPr>
                <w:sz w:val="18"/>
              </w:rPr>
              <w:t>ownership</w:t>
            </w:r>
          </w:p>
        </w:tc>
      </w:tr>
      <w:tr>
        <w:trPr>
          <w:trHeight w:val="280" w:hRule="atLeast"/>
        </w:trPr>
        <w:tc>
          <w:tcPr>
            <w:tcW w:w="1692" w:type="dxa"/>
            <w:vMerge/>
            <w:tcBorders>
              <w:top w:val="nil"/>
            </w:tcBorders>
          </w:tcPr>
          <w:p>
            <w:pPr>
              <w:rPr>
                <w:sz w:val="2"/>
                <w:szCs w:val="2"/>
              </w:rPr>
            </w:pPr>
          </w:p>
        </w:tc>
        <w:tc>
          <w:tcPr>
            <w:tcW w:w="1839" w:type="dxa"/>
          </w:tcPr>
          <w:p>
            <w:pPr>
              <w:pStyle w:val="TableParagraph"/>
              <w:spacing w:line="219" w:lineRule="exact"/>
              <w:ind w:left="8"/>
              <w:jc w:val="center"/>
              <w:rPr>
                <w:sz w:val="18"/>
              </w:rPr>
            </w:pPr>
            <w:r>
              <w:rPr>
                <w:color w:val="444444"/>
                <w:sz w:val="18"/>
              </w:rPr>
              <w:t>3</w:t>
            </w:r>
          </w:p>
        </w:tc>
        <w:tc>
          <w:tcPr>
            <w:tcW w:w="5679" w:type="dxa"/>
          </w:tcPr>
          <w:p>
            <w:pPr>
              <w:pStyle w:val="TableParagraph"/>
              <w:spacing w:line="219" w:lineRule="exact"/>
              <w:ind w:left="107"/>
              <w:rPr>
                <w:sz w:val="18"/>
              </w:rPr>
            </w:pPr>
            <w:r>
              <w:rPr>
                <w:sz w:val="18"/>
              </w:rPr>
              <w:t>Aboriginal</w:t>
            </w:r>
            <w:r>
              <w:rPr>
                <w:spacing w:val="-4"/>
                <w:sz w:val="18"/>
              </w:rPr>
              <w:t> </w:t>
            </w:r>
            <w:r>
              <w:rPr>
                <w:sz w:val="18"/>
              </w:rPr>
              <w:t>Community</w:t>
            </w:r>
            <w:r>
              <w:rPr>
                <w:spacing w:val="-5"/>
                <w:sz w:val="18"/>
              </w:rPr>
              <w:t> </w:t>
            </w:r>
            <w:r>
              <w:rPr>
                <w:sz w:val="18"/>
              </w:rPr>
              <w:t>Controlled</w:t>
            </w:r>
            <w:r>
              <w:rPr>
                <w:spacing w:val="-4"/>
                <w:sz w:val="18"/>
              </w:rPr>
              <w:t> </w:t>
            </w:r>
            <w:r>
              <w:rPr>
                <w:sz w:val="18"/>
              </w:rPr>
              <w:t>Health</w:t>
            </w:r>
            <w:r>
              <w:rPr>
                <w:spacing w:val="-4"/>
                <w:sz w:val="18"/>
              </w:rPr>
              <w:t> </w:t>
            </w:r>
            <w:r>
              <w:rPr>
                <w:sz w:val="18"/>
              </w:rPr>
              <w:t>Services</w:t>
            </w:r>
            <w:r>
              <w:rPr>
                <w:spacing w:val="-2"/>
                <w:sz w:val="18"/>
              </w:rPr>
              <w:t> </w:t>
            </w:r>
            <w:r>
              <w:rPr>
                <w:sz w:val="18"/>
              </w:rPr>
              <w:t>(ACCHSs)</w:t>
            </w:r>
          </w:p>
        </w:tc>
      </w:tr>
      <w:tr>
        <w:trPr>
          <w:trHeight w:val="280" w:hRule="atLeast"/>
        </w:trPr>
        <w:tc>
          <w:tcPr>
            <w:tcW w:w="1692" w:type="dxa"/>
            <w:vMerge/>
            <w:tcBorders>
              <w:top w:val="nil"/>
            </w:tcBorders>
          </w:tcPr>
          <w:p>
            <w:pPr>
              <w:rPr>
                <w:sz w:val="2"/>
                <w:szCs w:val="2"/>
              </w:rPr>
            </w:pPr>
          </w:p>
        </w:tc>
        <w:tc>
          <w:tcPr>
            <w:tcW w:w="1839" w:type="dxa"/>
          </w:tcPr>
          <w:p>
            <w:pPr>
              <w:pStyle w:val="TableParagraph"/>
              <w:spacing w:line="219" w:lineRule="exact"/>
              <w:ind w:left="8"/>
              <w:jc w:val="center"/>
              <w:rPr>
                <w:sz w:val="18"/>
              </w:rPr>
            </w:pPr>
            <w:r>
              <w:rPr>
                <w:color w:val="444444"/>
                <w:sz w:val="18"/>
              </w:rPr>
              <w:t>4</w:t>
            </w:r>
          </w:p>
        </w:tc>
        <w:tc>
          <w:tcPr>
            <w:tcW w:w="5679" w:type="dxa"/>
          </w:tcPr>
          <w:p>
            <w:pPr>
              <w:pStyle w:val="TableParagraph"/>
              <w:spacing w:line="219" w:lineRule="exact"/>
              <w:ind w:left="107"/>
              <w:rPr>
                <w:sz w:val="18"/>
              </w:rPr>
            </w:pPr>
            <w:r>
              <w:rPr>
                <w:sz w:val="18"/>
              </w:rPr>
              <w:t>Other</w:t>
            </w:r>
          </w:p>
        </w:tc>
      </w:tr>
      <w:tr>
        <w:trPr>
          <w:trHeight w:val="323" w:hRule="atLeast"/>
        </w:trPr>
        <w:tc>
          <w:tcPr>
            <w:tcW w:w="1692" w:type="dxa"/>
            <w:vMerge w:val="restart"/>
          </w:tcPr>
          <w:p>
            <w:pPr>
              <w:pStyle w:val="TableParagraph"/>
              <w:spacing w:line="219" w:lineRule="exact"/>
              <w:ind w:left="107"/>
              <w:rPr>
                <w:sz w:val="18"/>
              </w:rPr>
            </w:pPr>
            <w:r>
              <w:rPr>
                <w:color w:val="444444"/>
                <w:sz w:val="18"/>
              </w:rPr>
              <w:t>Practice</w:t>
            </w:r>
            <w:r>
              <w:rPr>
                <w:color w:val="444444"/>
                <w:spacing w:val="-3"/>
                <w:sz w:val="18"/>
              </w:rPr>
              <w:t> </w:t>
            </w:r>
            <w:r>
              <w:rPr>
                <w:color w:val="444444"/>
                <w:sz w:val="18"/>
              </w:rPr>
              <w:t>size</w:t>
            </w:r>
          </w:p>
        </w:tc>
        <w:tc>
          <w:tcPr>
            <w:tcW w:w="1839" w:type="dxa"/>
          </w:tcPr>
          <w:p>
            <w:pPr>
              <w:pStyle w:val="TableParagraph"/>
              <w:spacing w:line="219" w:lineRule="exact"/>
              <w:ind w:left="8"/>
              <w:jc w:val="center"/>
              <w:rPr>
                <w:sz w:val="18"/>
              </w:rPr>
            </w:pPr>
            <w:r>
              <w:rPr>
                <w:color w:val="444444"/>
                <w:sz w:val="18"/>
              </w:rPr>
              <w:t>1</w:t>
            </w:r>
          </w:p>
        </w:tc>
        <w:tc>
          <w:tcPr>
            <w:tcW w:w="5679" w:type="dxa"/>
          </w:tcPr>
          <w:p>
            <w:pPr>
              <w:pStyle w:val="TableParagraph"/>
              <w:ind w:left="107"/>
              <w:rPr>
                <w:sz w:val="20"/>
              </w:rPr>
            </w:pPr>
            <w:r>
              <w:rPr>
                <w:sz w:val="20"/>
              </w:rPr>
              <w:t>Sole</w:t>
            </w:r>
            <w:r>
              <w:rPr>
                <w:spacing w:val="-4"/>
                <w:sz w:val="20"/>
              </w:rPr>
              <w:t> </w:t>
            </w:r>
            <w:r>
              <w:rPr>
                <w:sz w:val="20"/>
              </w:rPr>
              <w:t>practitioner/1</w:t>
            </w:r>
            <w:r>
              <w:rPr>
                <w:spacing w:val="-4"/>
                <w:sz w:val="20"/>
              </w:rPr>
              <w:t> </w:t>
            </w:r>
            <w:r>
              <w:rPr>
                <w:sz w:val="20"/>
              </w:rPr>
              <w:t>GP</w:t>
            </w:r>
          </w:p>
        </w:tc>
      </w:tr>
      <w:tr>
        <w:trPr>
          <w:trHeight w:val="304" w:hRule="atLeast"/>
        </w:trPr>
        <w:tc>
          <w:tcPr>
            <w:tcW w:w="1692" w:type="dxa"/>
            <w:vMerge/>
            <w:tcBorders>
              <w:top w:val="nil"/>
            </w:tcBorders>
          </w:tcPr>
          <w:p>
            <w:pPr>
              <w:rPr>
                <w:sz w:val="2"/>
                <w:szCs w:val="2"/>
              </w:rPr>
            </w:pPr>
          </w:p>
        </w:tc>
        <w:tc>
          <w:tcPr>
            <w:tcW w:w="1839" w:type="dxa"/>
          </w:tcPr>
          <w:p>
            <w:pPr>
              <w:pStyle w:val="TableParagraph"/>
              <w:spacing w:line="219" w:lineRule="exact"/>
              <w:ind w:left="8"/>
              <w:jc w:val="center"/>
              <w:rPr>
                <w:sz w:val="18"/>
              </w:rPr>
            </w:pPr>
            <w:r>
              <w:rPr>
                <w:color w:val="444444"/>
                <w:sz w:val="18"/>
              </w:rPr>
              <w:t>2</w:t>
            </w:r>
          </w:p>
        </w:tc>
        <w:tc>
          <w:tcPr>
            <w:tcW w:w="5679" w:type="dxa"/>
          </w:tcPr>
          <w:p>
            <w:pPr>
              <w:pStyle w:val="TableParagraph"/>
              <w:ind w:left="107"/>
              <w:rPr>
                <w:sz w:val="20"/>
              </w:rPr>
            </w:pPr>
            <w:r>
              <w:rPr>
                <w:sz w:val="20"/>
              </w:rPr>
              <w:t>2-5</w:t>
            </w:r>
            <w:r>
              <w:rPr>
                <w:spacing w:val="-3"/>
                <w:sz w:val="20"/>
              </w:rPr>
              <w:t> </w:t>
            </w:r>
            <w:r>
              <w:rPr>
                <w:sz w:val="20"/>
              </w:rPr>
              <w:t>GPs</w:t>
            </w:r>
          </w:p>
        </w:tc>
      </w:tr>
      <w:tr>
        <w:trPr>
          <w:trHeight w:val="304" w:hRule="atLeast"/>
        </w:trPr>
        <w:tc>
          <w:tcPr>
            <w:tcW w:w="1692" w:type="dxa"/>
            <w:vMerge/>
            <w:tcBorders>
              <w:top w:val="nil"/>
            </w:tcBorders>
          </w:tcPr>
          <w:p>
            <w:pPr>
              <w:rPr>
                <w:sz w:val="2"/>
                <w:szCs w:val="2"/>
              </w:rPr>
            </w:pPr>
          </w:p>
        </w:tc>
        <w:tc>
          <w:tcPr>
            <w:tcW w:w="1839" w:type="dxa"/>
          </w:tcPr>
          <w:p>
            <w:pPr>
              <w:pStyle w:val="TableParagraph"/>
              <w:spacing w:line="219" w:lineRule="exact"/>
              <w:ind w:left="8"/>
              <w:jc w:val="center"/>
              <w:rPr>
                <w:sz w:val="18"/>
              </w:rPr>
            </w:pPr>
            <w:r>
              <w:rPr>
                <w:color w:val="444444"/>
                <w:sz w:val="18"/>
              </w:rPr>
              <w:t>3</w:t>
            </w:r>
          </w:p>
        </w:tc>
        <w:tc>
          <w:tcPr>
            <w:tcW w:w="5679" w:type="dxa"/>
          </w:tcPr>
          <w:p>
            <w:pPr>
              <w:pStyle w:val="TableParagraph"/>
              <w:ind w:left="107"/>
              <w:rPr>
                <w:sz w:val="20"/>
              </w:rPr>
            </w:pPr>
            <w:r>
              <w:rPr>
                <w:sz w:val="20"/>
              </w:rPr>
              <w:t>6+ GPs</w:t>
            </w:r>
          </w:p>
        </w:tc>
      </w:tr>
      <w:tr>
        <w:trPr>
          <w:trHeight w:val="280" w:hRule="atLeast"/>
        </w:trPr>
        <w:tc>
          <w:tcPr>
            <w:tcW w:w="1692" w:type="dxa"/>
            <w:vMerge w:val="restart"/>
          </w:tcPr>
          <w:p>
            <w:pPr>
              <w:pStyle w:val="TableParagraph"/>
              <w:ind w:left="107" w:right="105"/>
              <w:jc w:val="both"/>
              <w:rPr>
                <w:sz w:val="18"/>
              </w:rPr>
            </w:pPr>
            <w:r>
              <w:rPr>
                <w:sz w:val="18"/>
              </w:rPr>
              <w:t>Range of clinical</w:t>
            </w:r>
            <w:r>
              <w:rPr>
                <w:spacing w:val="-47"/>
                <w:sz w:val="18"/>
              </w:rPr>
              <w:t> </w:t>
            </w:r>
            <w:r>
              <w:rPr>
                <w:sz w:val="18"/>
              </w:rPr>
              <w:t>staff available at</w:t>
            </w:r>
            <w:r>
              <w:rPr>
                <w:spacing w:val="-47"/>
                <w:sz w:val="18"/>
              </w:rPr>
              <w:t> </w:t>
            </w:r>
            <w:r>
              <w:rPr>
                <w:sz w:val="18"/>
              </w:rPr>
              <w:t>the practice</w:t>
            </w:r>
          </w:p>
        </w:tc>
        <w:tc>
          <w:tcPr>
            <w:tcW w:w="1839" w:type="dxa"/>
          </w:tcPr>
          <w:p>
            <w:pPr>
              <w:pStyle w:val="TableParagraph"/>
              <w:spacing w:line="219" w:lineRule="exact"/>
              <w:ind w:left="8"/>
              <w:jc w:val="center"/>
              <w:rPr>
                <w:sz w:val="18"/>
              </w:rPr>
            </w:pPr>
            <w:r>
              <w:rPr>
                <w:sz w:val="18"/>
              </w:rPr>
              <w:t>1</w:t>
            </w:r>
          </w:p>
        </w:tc>
        <w:tc>
          <w:tcPr>
            <w:tcW w:w="5679" w:type="dxa"/>
          </w:tcPr>
          <w:p>
            <w:pPr>
              <w:pStyle w:val="TableParagraph"/>
              <w:spacing w:line="219" w:lineRule="exact"/>
              <w:ind w:left="107"/>
              <w:rPr>
                <w:sz w:val="18"/>
              </w:rPr>
            </w:pPr>
            <w:r>
              <w:rPr>
                <w:color w:val="444444"/>
                <w:sz w:val="18"/>
              </w:rPr>
              <w:t>GP</w:t>
            </w:r>
            <w:r>
              <w:rPr>
                <w:color w:val="444444"/>
                <w:spacing w:val="-3"/>
                <w:sz w:val="18"/>
              </w:rPr>
              <w:t> </w:t>
            </w:r>
            <w:r>
              <w:rPr>
                <w:color w:val="444444"/>
                <w:sz w:val="18"/>
              </w:rPr>
              <w:t>only</w:t>
            </w:r>
          </w:p>
        </w:tc>
      </w:tr>
      <w:tr>
        <w:trPr>
          <w:trHeight w:val="283" w:hRule="atLeast"/>
        </w:trPr>
        <w:tc>
          <w:tcPr>
            <w:tcW w:w="1692" w:type="dxa"/>
            <w:vMerge/>
            <w:tcBorders>
              <w:top w:val="nil"/>
            </w:tcBorders>
          </w:tcPr>
          <w:p>
            <w:pPr>
              <w:rPr>
                <w:sz w:val="2"/>
                <w:szCs w:val="2"/>
              </w:rPr>
            </w:pPr>
          </w:p>
        </w:tc>
        <w:tc>
          <w:tcPr>
            <w:tcW w:w="1839" w:type="dxa"/>
          </w:tcPr>
          <w:p>
            <w:pPr>
              <w:pStyle w:val="TableParagraph"/>
              <w:spacing w:before="1"/>
              <w:ind w:left="8"/>
              <w:jc w:val="center"/>
              <w:rPr>
                <w:sz w:val="18"/>
              </w:rPr>
            </w:pPr>
            <w:r>
              <w:rPr>
                <w:sz w:val="18"/>
              </w:rPr>
              <w:t>2</w:t>
            </w:r>
          </w:p>
        </w:tc>
        <w:tc>
          <w:tcPr>
            <w:tcW w:w="5679" w:type="dxa"/>
          </w:tcPr>
          <w:p>
            <w:pPr>
              <w:pStyle w:val="TableParagraph"/>
              <w:spacing w:before="1"/>
              <w:ind w:left="107"/>
              <w:rPr>
                <w:sz w:val="18"/>
              </w:rPr>
            </w:pPr>
            <w:r>
              <w:rPr>
                <w:color w:val="444444"/>
                <w:sz w:val="18"/>
              </w:rPr>
              <w:t>GP</w:t>
            </w:r>
            <w:r>
              <w:rPr>
                <w:color w:val="444444"/>
                <w:spacing w:val="-4"/>
                <w:sz w:val="18"/>
              </w:rPr>
              <w:t> </w:t>
            </w:r>
            <w:r>
              <w:rPr>
                <w:color w:val="444444"/>
                <w:sz w:val="18"/>
              </w:rPr>
              <w:t>plus</w:t>
            </w:r>
            <w:r>
              <w:rPr>
                <w:color w:val="444444"/>
                <w:spacing w:val="-4"/>
                <w:sz w:val="18"/>
              </w:rPr>
              <w:t> </w:t>
            </w:r>
            <w:r>
              <w:rPr>
                <w:color w:val="444444"/>
                <w:sz w:val="18"/>
              </w:rPr>
              <w:t>practice</w:t>
            </w:r>
            <w:r>
              <w:rPr>
                <w:color w:val="444444"/>
                <w:spacing w:val="-2"/>
                <w:sz w:val="18"/>
              </w:rPr>
              <w:t> </w:t>
            </w:r>
            <w:r>
              <w:rPr>
                <w:color w:val="444444"/>
                <w:sz w:val="18"/>
              </w:rPr>
              <w:t>nurse</w:t>
            </w:r>
          </w:p>
        </w:tc>
      </w:tr>
      <w:tr>
        <w:trPr>
          <w:trHeight w:val="280" w:hRule="atLeast"/>
        </w:trPr>
        <w:tc>
          <w:tcPr>
            <w:tcW w:w="1692" w:type="dxa"/>
            <w:vMerge/>
            <w:tcBorders>
              <w:top w:val="nil"/>
            </w:tcBorders>
          </w:tcPr>
          <w:p>
            <w:pPr>
              <w:rPr>
                <w:sz w:val="2"/>
                <w:szCs w:val="2"/>
              </w:rPr>
            </w:pPr>
          </w:p>
        </w:tc>
        <w:tc>
          <w:tcPr>
            <w:tcW w:w="1839" w:type="dxa"/>
          </w:tcPr>
          <w:p>
            <w:pPr>
              <w:pStyle w:val="TableParagraph"/>
              <w:spacing w:line="219" w:lineRule="exact"/>
              <w:ind w:left="8"/>
              <w:jc w:val="center"/>
              <w:rPr>
                <w:sz w:val="18"/>
              </w:rPr>
            </w:pPr>
            <w:r>
              <w:rPr>
                <w:sz w:val="18"/>
              </w:rPr>
              <w:t>3</w:t>
            </w:r>
          </w:p>
        </w:tc>
        <w:tc>
          <w:tcPr>
            <w:tcW w:w="5679" w:type="dxa"/>
          </w:tcPr>
          <w:p>
            <w:pPr>
              <w:pStyle w:val="TableParagraph"/>
              <w:spacing w:line="219" w:lineRule="exact"/>
              <w:ind w:left="107"/>
              <w:rPr>
                <w:sz w:val="18"/>
              </w:rPr>
            </w:pPr>
            <w:r>
              <w:rPr>
                <w:color w:val="444444"/>
                <w:sz w:val="18"/>
              </w:rPr>
              <w:t>GP</w:t>
            </w:r>
            <w:r>
              <w:rPr>
                <w:color w:val="444444"/>
                <w:spacing w:val="-4"/>
                <w:sz w:val="18"/>
              </w:rPr>
              <w:t> </w:t>
            </w:r>
            <w:r>
              <w:rPr>
                <w:color w:val="444444"/>
                <w:sz w:val="18"/>
              </w:rPr>
              <w:t>plus</w:t>
            </w:r>
            <w:r>
              <w:rPr>
                <w:color w:val="444444"/>
                <w:spacing w:val="-4"/>
                <w:sz w:val="18"/>
              </w:rPr>
              <w:t> </w:t>
            </w:r>
            <w:r>
              <w:rPr>
                <w:color w:val="444444"/>
                <w:sz w:val="18"/>
              </w:rPr>
              <w:t>other</w:t>
            </w:r>
            <w:r>
              <w:rPr>
                <w:color w:val="444444"/>
                <w:spacing w:val="-3"/>
                <w:sz w:val="18"/>
              </w:rPr>
              <w:t> </w:t>
            </w:r>
            <w:r>
              <w:rPr>
                <w:color w:val="444444"/>
                <w:sz w:val="18"/>
              </w:rPr>
              <w:t>clinical</w:t>
            </w:r>
            <w:r>
              <w:rPr>
                <w:color w:val="444444"/>
                <w:spacing w:val="-3"/>
                <w:sz w:val="18"/>
              </w:rPr>
              <w:t> </w:t>
            </w:r>
            <w:r>
              <w:rPr>
                <w:color w:val="444444"/>
                <w:sz w:val="18"/>
              </w:rPr>
              <w:t>staff (e.g.</w:t>
            </w:r>
            <w:r>
              <w:rPr>
                <w:color w:val="444444"/>
                <w:spacing w:val="-4"/>
                <w:sz w:val="18"/>
              </w:rPr>
              <w:t> </w:t>
            </w:r>
            <w:r>
              <w:rPr>
                <w:color w:val="444444"/>
                <w:sz w:val="18"/>
              </w:rPr>
              <w:t>allied</w:t>
            </w:r>
            <w:r>
              <w:rPr>
                <w:color w:val="444444"/>
                <w:spacing w:val="-4"/>
                <w:sz w:val="18"/>
              </w:rPr>
              <w:t> </w:t>
            </w:r>
            <w:r>
              <w:rPr>
                <w:color w:val="444444"/>
                <w:sz w:val="18"/>
              </w:rPr>
              <w:t>health)</w:t>
            </w:r>
          </w:p>
        </w:tc>
      </w:tr>
      <w:tr>
        <w:trPr>
          <w:trHeight w:val="280" w:hRule="atLeast"/>
        </w:trPr>
        <w:tc>
          <w:tcPr>
            <w:tcW w:w="1692" w:type="dxa"/>
            <w:vMerge w:val="restart"/>
          </w:tcPr>
          <w:p>
            <w:pPr>
              <w:pStyle w:val="TableParagraph"/>
              <w:ind w:left="107" w:right="137"/>
              <w:rPr>
                <w:sz w:val="18"/>
              </w:rPr>
            </w:pPr>
            <w:r>
              <w:rPr>
                <w:sz w:val="18"/>
              </w:rPr>
              <w:t>Location</w:t>
            </w:r>
            <w:r>
              <w:rPr>
                <w:spacing w:val="-9"/>
                <w:sz w:val="18"/>
              </w:rPr>
              <w:t> </w:t>
            </w:r>
            <w:r>
              <w:rPr>
                <w:sz w:val="18"/>
              </w:rPr>
              <w:t>(based</w:t>
            </w:r>
            <w:r>
              <w:rPr>
                <w:spacing w:val="-47"/>
                <w:sz w:val="18"/>
              </w:rPr>
              <w:t> </w:t>
            </w:r>
            <w:r>
              <w:rPr>
                <w:sz w:val="18"/>
              </w:rPr>
              <w:t>on Modified</w:t>
            </w:r>
            <w:r>
              <w:rPr>
                <w:spacing w:val="1"/>
                <w:sz w:val="18"/>
              </w:rPr>
              <w:t> </w:t>
            </w:r>
            <w:r>
              <w:rPr>
                <w:sz w:val="18"/>
              </w:rPr>
              <w:t>Monash</w:t>
            </w:r>
            <w:r>
              <w:rPr>
                <w:spacing w:val="2"/>
                <w:sz w:val="18"/>
              </w:rPr>
              <w:t> </w:t>
            </w:r>
            <w:r>
              <w:rPr>
                <w:sz w:val="18"/>
              </w:rPr>
              <w:t>(MM)</w:t>
            </w:r>
            <w:r>
              <w:rPr>
                <w:spacing w:val="1"/>
                <w:sz w:val="18"/>
              </w:rPr>
              <w:t> </w:t>
            </w:r>
            <w:r>
              <w:rPr>
                <w:sz w:val="18"/>
              </w:rPr>
              <w:t>Model</w:t>
            </w:r>
            <w:r>
              <w:rPr>
                <w:spacing w:val="1"/>
                <w:sz w:val="18"/>
              </w:rPr>
              <w:t> </w:t>
            </w:r>
            <w:r>
              <w:rPr>
                <w:sz w:val="18"/>
              </w:rPr>
              <w:t>category)</w:t>
            </w:r>
          </w:p>
        </w:tc>
        <w:tc>
          <w:tcPr>
            <w:tcW w:w="1839" w:type="dxa"/>
          </w:tcPr>
          <w:p>
            <w:pPr>
              <w:pStyle w:val="TableParagraph"/>
              <w:spacing w:line="219" w:lineRule="exact"/>
              <w:ind w:left="349" w:right="339"/>
              <w:jc w:val="center"/>
              <w:rPr>
                <w:sz w:val="18"/>
              </w:rPr>
            </w:pPr>
            <w:r>
              <w:rPr>
                <w:sz w:val="18"/>
              </w:rPr>
              <w:t>MM 1</w:t>
            </w:r>
          </w:p>
        </w:tc>
        <w:tc>
          <w:tcPr>
            <w:tcW w:w="5679" w:type="dxa"/>
          </w:tcPr>
          <w:p>
            <w:pPr>
              <w:pStyle w:val="TableParagraph"/>
              <w:spacing w:line="219" w:lineRule="exact"/>
              <w:ind w:left="107"/>
              <w:rPr>
                <w:sz w:val="18"/>
              </w:rPr>
            </w:pPr>
            <w:r>
              <w:rPr>
                <w:color w:val="444444"/>
                <w:sz w:val="18"/>
              </w:rPr>
              <w:t>All</w:t>
            </w:r>
            <w:r>
              <w:rPr>
                <w:color w:val="444444"/>
                <w:spacing w:val="-3"/>
                <w:sz w:val="18"/>
              </w:rPr>
              <w:t> </w:t>
            </w:r>
            <w:r>
              <w:rPr>
                <w:color w:val="444444"/>
                <w:sz w:val="18"/>
              </w:rPr>
              <w:t>areas</w:t>
            </w:r>
            <w:r>
              <w:rPr>
                <w:color w:val="444444"/>
                <w:spacing w:val="-6"/>
                <w:sz w:val="18"/>
              </w:rPr>
              <w:t> </w:t>
            </w:r>
            <w:r>
              <w:rPr>
                <w:color w:val="444444"/>
                <w:sz w:val="18"/>
              </w:rPr>
              <w:t>categorised</w:t>
            </w:r>
            <w:r>
              <w:rPr>
                <w:color w:val="444444"/>
                <w:spacing w:val="-1"/>
                <w:sz w:val="18"/>
              </w:rPr>
              <w:t> </w:t>
            </w:r>
            <w:r>
              <w:rPr>
                <w:color w:val="444444"/>
                <w:sz w:val="18"/>
              </w:rPr>
              <w:t>ASGS-RA1.</w:t>
            </w:r>
          </w:p>
        </w:tc>
      </w:tr>
      <w:tr>
        <w:trPr>
          <w:trHeight w:val="501" w:hRule="atLeast"/>
        </w:trPr>
        <w:tc>
          <w:tcPr>
            <w:tcW w:w="1692" w:type="dxa"/>
            <w:vMerge/>
            <w:tcBorders>
              <w:top w:val="nil"/>
            </w:tcBorders>
          </w:tcPr>
          <w:p>
            <w:pPr>
              <w:rPr>
                <w:sz w:val="2"/>
                <w:szCs w:val="2"/>
              </w:rPr>
            </w:pPr>
          </w:p>
        </w:tc>
        <w:tc>
          <w:tcPr>
            <w:tcW w:w="1839" w:type="dxa"/>
          </w:tcPr>
          <w:p>
            <w:pPr>
              <w:pStyle w:val="TableParagraph"/>
              <w:spacing w:line="219" w:lineRule="exact"/>
              <w:ind w:left="349" w:right="339"/>
              <w:jc w:val="center"/>
              <w:rPr>
                <w:sz w:val="18"/>
              </w:rPr>
            </w:pPr>
            <w:r>
              <w:rPr>
                <w:sz w:val="18"/>
              </w:rPr>
              <w:t>MM 2</w:t>
            </w:r>
          </w:p>
        </w:tc>
        <w:tc>
          <w:tcPr>
            <w:tcW w:w="5679" w:type="dxa"/>
          </w:tcPr>
          <w:p>
            <w:pPr>
              <w:pStyle w:val="TableParagraph"/>
              <w:ind w:left="107"/>
              <w:rPr>
                <w:sz w:val="18"/>
              </w:rPr>
            </w:pPr>
            <w:r>
              <w:rPr>
                <w:color w:val="444444"/>
                <w:sz w:val="18"/>
              </w:rPr>
              <w:t>Areas categorised ASGS-RA 2 and ASGS-RA 3 that are in, or</w:t>
            </w:r>
            <w:r>
              <w:rPr>
                <w:color w:val="444444"/>
                <w:spacing w:val="1"/>
                <w:sz w:val="18"/>
              </w:rPr>
              <w:t> </w:t>
            </w:r>
            <w:r>
              <w:rPr>
                <w:color w:val="444444"/>
                <w:sz w:val="18"/>
              </w:rPr>
              <w:t>within</w:t>
            </w:r>
            <w:r>
              <w:rPr>
                <w:color w:val="444444"/>
                <w:spacing w:val="-2"/>
                <w:sz w:val="18"/>
              </w:rPr>
              <w:t> </w:t>
            </w:r>
            <w:r>
              <w:rPr>
                <w:color w:val="444444"/>
                <w:sz w:val="18"/>
              </w:rPr>
              <w:t>20</w:t>
            </w:r>
            <w:r>
              <w:rPr>
                <w:color w:val="444444"/>
                <w:spacing w:val="-1"/>
                <w:sz w:val="18"/>
              </w:rPr>
              <w:t> </w:t>
            </w:r>
            <w:r>
              <w:rPr>
                <w:color w:val="444444"/>
                <w:sz w:val="18"/>
              </w:rPr>
              <w:t>km</w:t>
            </w:r>
            <w:r>
              <w:rPr>
                <w:color w:val="444444"/>
                <w:spacing w:val="-5"/>
                <w:sz w:val="18"/>
              </w:rPr>
              <w:t> </w:t>
            </w:r>
            <w:r>
              <w:rPr>
                <w:color w:val="444444"/>
                <w:sz w:val="18"/>
              </w:rPr>
              <w:t>road</w:t>
            </w:r>
            <w:r>
              <w:rPr>
                <w:color w:val="444444"/>
                <w:spacing w:val="-3"/>
                <w:sz w:val="18"/>
              </w:rPr>
              <w:t> </w:t>
            </w:r>
            <w:r>
              <w:rPr>
                <w:color w:val="444444"/>
                <w:sz w:val="18"/>
              </w:rPr>
              <w:t>distance,</w:t>
            </w:r>
            <w:r>
              <w:rPr>
                <w:color w:val="444444"/>
                <w:spacing w:val="-6"/>
                <w:sz w:val="18"/>
              </w:rPr>
              <w:t> </w:t>
            </w:r>
            <w:r>
              <w:rPr>
                <w:color w:val="444444"/>
                <w:sz w:val="18"/>
              </w:rPr>
              <w:t>of</w:t>
            </w:r>
            <w:r>
              <w:rPr>
                <w:color w:val="444444"/>
                <w:spacing w:val="-2"/>
                <w:sz w:val="18"/>
              </w:rPr>
              <w:t> </w:t>
            </w:r>
            <w:r>
              <w:rPr>
                <w:color w:val="444444"/>
                <w:sz w:val="18"/>
              </w:rPr>
              <w:t>a</w:t>
            </w:r>
            <w:r>
              <w:rPr>
                <w:color w:val="444444"/>
                <w:spacing w:val="-2"/>
                <w:sz w:val="18"/>
              </w:rPr>
              <w:t> </w:t>
            </w:r>
            <w:r>
              <w:rPr>
                <w:color w:val="444444"/>
                <w:sz w:val="18"/>
              </w:rPr>
              <w:t>town</w:t>
            </w:r>
            <w:r>
              <w:rPr>
                <w:color w:val="444444"/>
                <w:spacing w:val="-2"/>
                <w:sz w:val="18"/>
              </w:rPr>
              <w:t> </w:t>
            </w:r>
            <w:r>
              <w:rPr>
                <w:color w:val="444444"/>
                <w:sz w:val="18"/>
              </w:rPr>
              <w:t>with</w:t>
            </w:r>
            <w:r>
              <w:rPr>
                <w:color w:val="444444"/>
                <w:spacing w:val="-2"/>
                <w:sz w:val="18"/>
              </w:rPr>
              <w:t> </w:t>
            </w:r>
            <w:r>
              <w:rPr>
                <w:color w:val="444444"/>
                <w:sz w:val="18"/>
              </w:rPr>
              <w:t>population</w:t>
            </w:r>
            <w:r>
              <w:rPr>
                <w:color w:val="444444"/>
                <w:spacing w:val="-5"/>
                <w:sz w:val="18"/>
              </w:rPr>
              <w:t> </w:t>
            </w:r>
            <w:r>
              <w:rPr>
                <w:color w:val="444444"/>
                <w:sz w:val="18"/>
              </w:rPr>
              <w:t>&gt;50,000.</w:t>
            </w:r>
          </w:p>
        </w:tc>
      </w:tr>
      <w:tr>
        <w:trPr>
          <w:trHeight w:val="721" w:hRule="atLeast"/>
        </w:trPr>
        <w:tc>
          <w:tcPr>
            <w:tcW w:w="1692" w:type="dxa"/>
            <w:vMerge/>
            <w:tcBorders>
              <w:top w:val="nil"/>
            </w:tcBorders>
          </w:tcPr>
          <w:p>
            <w:pPr>
              <w:rPr>
                <w:sz w:val="2"/>
                <w:szCs w:val="2"/>
              </w:rPr>
            </w:pPr>
          </w:p>
        </w:tc>
        <w:tc>
          <w:tcPr>
            <w:tcW w:w="1839" w:type="dxa"/>
          </w:tcPr>
          <w:p>
            <w:pPr>
              <w:pStyle w:val="TableParagraph"/>
              <w:spacing w:line="219" w:lineRule="exact"/>
              <w:ind w:left="349" w:right="339"/>
              <w:jc w:val="center"/>
              <w:rPr>
                <w:sz w:val="18"/>
              </w:rPr>
            </w:pPr>
            <w:r>
              <w:rPr>
                <w:color w:val="444444"/>
                <w:sz w:val="18"/>
              </w:rPr>
              <w:t>MM 3</w:t>
            </w:r>
          </w:p>
        </w:tc>
        <w:tc>
          <w:tcPr>
            <w:tcW w:w="5679" w:type="dxa"/>
          </w:tcPr>
          <w:p>
            <w:pPr>
              <w:pStyle w:val="TableParagraph"/>
              <w:ind w:left="107" w:right="118"/>
              <w:rPr>
                <w:sz w:val="18"/>
              </w:rPr>
            </w:pPr>
            <w:r>
              <w:rPr>
                <w:color w:val="444444"/>
                <w:sz w:val="18"/>
              </w:rPr>
              <w:t>Areas categorised ASGS-RA 2 and ASGS-RA 3 that are not in</w:t>
            </w:r>
            <w:r>
              <w:rPr>
                <w:color w:val="444444"/>
                <w:spacing w:val="1"/>
                <w:sz w:val="18"/>
              </w:rPr>
              <w:t> </w:t>
            </w:r>
            <w:r>
              <w:rPr>
                <w:color w:val="444444"/>
                <w:sz w:val="18"/>
              </w:rPr>
              <w:t>MM 2 and are in, or within 15 km road distance, of a town with</w:t>
            </w:r>
            <w:r>
              <w:rPr>
                <w:color w:val="444444"/>
                <w:spacing w:val="-47"/>
                <w:sz w:val="18"/>
              </w:rPr>
              <w:t> </w:t>
            </w:r>
            <w:r>
              <w:rPr>
                <w:color w:val="444444"/>
                <w:sz w:val="18"/>
              </w:rPr>
              <w:t>population</w:t>
            </w:r>
            <w:r>
              <w:rPr>
                <w:color w:val="444444"/>
                <w:spacing w:val="-1"/>
                <w:sz w:val="18"/>
              </w:rPr>
              <w:t> </w:t>
            </w:r>
            <w:r>
              <w:rPr>
                <w:color w:val="444444"/>
                <w:sz w:val="18"/>
              </w:rPr>
              <w:t>between 15,000</w:t>
            </w:r>
            <w:r>
              <w:rPr>
                <w:color w:val="444444"/>
                <w:spacing w:val="-4"/>
                <w:sz w:val="18"/>
              </w:rPr>
              <w:t> </w:t>
            </w:r>
            <w:r>
              <w:rPr>
                <w:color w:val="444444"/>
                <w:sz w:val="18"/>
              </w:rPr>
              <w:t>and</w:t>
            </w:r>
            <w:r>
              <w:rPr>
                <w:color w:val="444444"/>
                <w:spacing w:val="-2"/>
                <w:sz w:val="18"/>
              </w:rPr>
              <w:t> </w:t>
            </w:r>
            <w:r>
              <w:rPr>
                <w:color w:val="444444"/>
                <w:sz w:val="18"/>
              </w:rPr>
              <w:t>50,000.</w:t>
            </w:r>
          </w:p>
        </w:tc>
      </w:tr>
      <w:tr>
        <w:trPr>
          <w:trHeight w:val="280" w:hRule="atLeast"/>
        </w:trPr>
        <w:tc>
          <w:tcPr>
            <w:tcW w:w="1692" w:type="dxa"/>
            <w:vMerge/>
            <w:tcBorders>
              <w:top w:val="nil"/>
            </w:tcBorders>
          </w:tcPr>
          <w:p>
            <w:pPr>
              <w:rPr>
                <w:sz w:val="2"/>
                <w:szCs w:val="2"/>
              </w:rPr>
            </w:pPr>
          </w:p>
        </w:tc>
        <w:tc>
          <w:tcPr>
            <w:tcW w:w="1839" w:type="dxa"/>
          </w:tcPr>
          <w:p>
            <w:pPr>
              <w:pStyle w:val="TableParagraph"/>
              <w:spacing w:line="219" w:lineRule="exact"/>
              <w:ind w:left="349" w:right="342"/>
              <w:jc w:val="center"/>
              <w:rPr>
                <w:sz w:val="18"/>
              </w:rPr>
            </w:pPr>
            <w:r>
              <w:rPr>
                <w:sz w:val="18"/>
              </w:rPr>
              <w:t>MM4 &amp;</w:t>
            </w:r>
            <w:r>
              <w:rPr>
                <w:spacing w:val="-1"/>
                <w:sz w:val="18"/>
              </w:rPr>
              <w:t> </w:t>
            </w:r>
            <w:r>
              <w:rPr>
                <w:sz w:val="18"/>
              </w:rPr>
              <w:t>MM5</w:t>
            </w:r>
          </w:p>
        </w:tc>
        <w:tc>
          <w:tcPr>
            <w:tcW w:w="5679" w:type="dxa"/>
          </w:tcPr>
          <w:p>
            <w:pPr>
              <w:pStyle w:val="TableParagraph"/>
              <w:spacing w:line="219" w:lineRule="exact"/>
              <w:ind w:left="107"/>
              <w:rPr>
                <w:sz w:val="18"/>
              </w:rPr>
            </w:pPr>
            <w:r>
              <w:rPr>
                <w:color w:val="444444"/>
                <w:sz w:val="18"/>
              </w:rPr>
              <w:t>All</w:t>
            </w:r>
            <w:r>
              <w:rPr>
                <w:color w:val="444444"/>
                <w:spacing w:val="-1"/>
                <w:sz w:val="18"/>
              </w:rPr>
              <w:t> </w:t>
            </w:r>
            <w:r>
              <w:rPr>
                <w:color w:val="444444"/>
                <w:sz w:val="18"/>
              </w:rPr>
              <w:t>other</w:t>
            </w:r>
            <w:r>
              <w:rPr>
                <w:color w:val="444444"/>
                <w:spacing w:val="-1"/>
                <w:sz w:val="18"/>
              </w:rPr>
              <w:t> </w:t>
            </w:r>
            <w:r>
              <w:rPr>
                <w:color w:val="444444"/>
                <w:sz w:val="18"/>
              </w:rPr>
              <w:t>areas</w:t>
            </w:r>
            <w:r>
              <w:rPr>
                <w:color w:val="444444"/>
                <w:spacing w:val="-4"/>
                <w:sz w:val="18"/>
              </w:rPr>
              <w:t> </w:t>
            </w:r>
            <w:r>
              <w:rPr>
                <w:color w:val="444444"/>
                <w:sz w:val="18"/>
              </w:rPr>
              <w:t>in</w:t>
            </w:r>
            <w:r>
              <w:rPr>
                <w:color w:val="444444"/>
                <w:spacing w:val="3"/>
                <w:sz w:val="18"/>
              </w:rPr>
              <w:t> </w:t>
            </w:r>
            <w:r>
              <w:rPr>
                <w:color w:val="444444"/>
                <w:sz w:val="18"/>
              </w:rPr>
              <w:t>ASGS-RA</w:t>
            </w:r>
            <w:r>
              <w:rPr>
                <w:color w:val="444444"/>
                <w:spacing w:val="-7"/>
                <w:sz w:val="18"/>
              </w:rPr>
              <w:t> </w:t>
            </w:r>
            <w:r>
              <w:rPr>
                <w:color w:val="444444"/>
                <w:sz w:val="18"/>
              </w:rPr>
              <w:t>2</w:t>
            </w:r>
            <w:r>
              <w:rPr>
                <w:color w:val="444444"/>
                <w:spacing w:val="2"/>
                <w:sz w:val="18"/>
              </w:rPr>
              <w:t> </w:t>
            </w:r>
            <w:r>
              <w:rPr>
                <w:color w:val="444444"/>
                <w:sz w:val="18"/>
              </w:rPr>
              <w:t>and</w:t>
            </w:r>
            <w:r>
              <w:rPr>
                <w:color w:val="444444"/>
                <w:spacing w:val="-2"/>
                <w:sz w:val="18"/>
              </w:rPr>
              <w:t> </w:t>
            </w:r>
            <w:r>
              <w:rPr>
                <w:color w:val="444444"/>
                <w:sz w:val="18"/>
              </w:rPr>
              <w:t>3.</w:t>
            </w:r>
          </w:p>
        </w:tc>
      </w:tr>
      <w:tr>
        <w:trPr>
          <w:trHeight w:val="1701" w:hRule="atLeast"/>
        </w:trPr>
        <w:tc>
          <w:tcPr>
            <w:tcW w:w="1692" w:type="dxa"/>
            <w:vMerge/>
            <w:tcBorders>
              <w:top w:val="nil"/>
            </w:tcBorders>
          </w:tcPr>
          <w:p>
            <w:pPr>
              <w:rPr>
                <w:sz w:val="2"/>
                <w:szCs w:val="2"/>
              </w:rPr>
            </w:pPr>
          </w:p>
        </w:tc>
        <w:tc>
          <w:tcPr>
            <w:tcW w:w="1839" w:type="dxa"/>
          </w:tcPr>
          <w:p>
            <w:pPr>
              <w:pStyle w:val="TableParagraph"/>
              <w:spacing w:line="219" w:lineRule="exact"/>
              <w:ind w:left="349" w:right="342"/>
              <w:jc w:val="center"/>
              <w:rPr>
                <w:sz w:val="18"/>
              </w:rPr>
            </w:pPr>
            <w:r>
              <w:rPr>
                <w:sz w:val="18"/>
              </w:rPr>
              <w:t>MM6 &amp;</w:t>
            </w:r>
            <w:r>
              <w:rPr>
                <w:spacing w:val="-1"/>
                <w:sz w:val="18"/>
              </w:rPr>
              <w:t> </w:t>
            </w:r>
            <w:r>
              <w:rPr>
                <w:sz w:val="18"/>
              </w:rPr>
              <w:t>MM7</w:t>
            </w:r>
          </w:p>
        </w:tc>
        <w:tc>
          <w:tcPr>
            <w:tcW w:w="5679" w:type="dxa"/>
          </w:tcPr>
          <w:p>
            <w:pPr>
              <w:pStyle w:val="TableParagraph"/>
              <w:ind w:left="107" w:right="118"/>
              <w:rPr>
                <w:sz w:val="18"/>
              </w:rPr>
            </w:pPr>
            <w:r>
              <w:rPr>
                <w:color w:val="444444"/>
                <w:sz w:val="18"/>
              </w:rPr>
              <w:t>MM6 includes all areas categorised ASGS-RA 4 (remote) that</w:t>
            </w:r>
            <w:r>
              <w:rPr>
                <w:color w:val="444444"/>
                <w:spacing w:val="1"/>
                <w:sz w:val="18"/>
              </w:rPr>
              <w:t> </w:t>
            </w:r>
            <w:r>
              <w:rPr>
                <w:color w:val="444444"/>
                <w:sz w:val="18"/>
              </w:rPr>
              <w:t>are not on a populated island that is separated from the</w:t>
            </w:r>
            <w:r>
              <w:rPr>
                <w:color w:val="444444"/>
                <w:spacing w:val="1"/>
                <w:sz w:val="18"/>
              </w:rPr>
              <w:t> </w:t>
            </w:r>
            <w:r>
              <w:rPr>
                <w:color w:val="444444"/>
                <w:sz w:val="18"/>
              </w:rPr>
              <w:t>mainland in the ABS geography and is more than 5 km</w:t>
            </w:r>
            <w:r>
              <w:rPr>
                <w:color w:val="444444"/>
                <w:spacing w:val="1"/>
                <w:sz w:val="18"/>
              </w:rPr>
              <w:t> </w:t>
            </w:r>
            <w:r>
              <w:rPr>
                <w:color w:val="444444"/>
                <w:sz w:val="18"/>
              </w:rPr>
              <w:t>offshore.</w:t>
            </w:r>
            <w:r>
              <w:rPr>
                <w:color w:val="444444"/>
                <w:spacing w:val="-5"/>
                <w:sz w:val="18"/>
              </w:rPr>
              <w:t> </w:t>
            </w:r>
            <w:r>
              <w:rPr>
                <w:color w:val="444444"/>
                <w:sz w:val="18"/>
              </w:rPr>
              <w:t>MM7</w:t>
            </w:r>
            <w:r>
              <w:rPr>
                <w:color w:val="444444"/>
                <w:spacing w:val="-3"/>
                <w:sz w:val="18"/>
              </w:rPr>
              <w:t> </w:t>
            </w:r>
            <w:r>
              <w:rPr>
                <w:color w:val="444444"/>
                <w:sz w:val="18"/>
              </w:rPr>
              <w:t>includes</w:t>
            </w:r>
            <w:r>
              <w:rPr>
                <w:color w:val="444444"/>
                <w:spacing w:val="-3"/>
                <w:sz w:val="18"/>
              </w:rPr>
              <w:t> </w:t>
            </w:r>
            <w:r>
              <w:rPr>
                <w:color w:val="444444"/>
                <w:sz w:val="18"/>
              </w:rPr>
              <w:t>all</w:t>
            </w:r>
            <w:r>
              <w:rPr>
                <w:color w:val="444444"/>
                <w:spacing w:val="-3"/>
                <w:sz w:val="18"/>
              </w:rPr>
              <w:t> </w:t>
            </w:r>
            <w:r>
              <w:rPr>
                <w:color w:val="444444"/>
                <w:sz w:val="18"/>
              </w:rPr>
              <w:t>other</w:t>
            </w:r>
            <w:r>
              <w:rPr>
                <w:color w:val="444444"/>
                <w:spacing w:val="-2"/>
                <w:sz w:val="18"/>
              </w:rPr>
              <w:t> </w:t>
            </w:r>
            <w:r>
              <w:rPr>
                <w:color w:val="444444"/>
                <w:sz w:val="18"/>
              </w:rPr>
              <w:t>areas</w:t>
            </w:r>
            <w:r>
              <w:rPr>
                <w:color w:val="444444"/>
                <w:spacing w:val="-1"/>
                <w:sz w:val="18"/>
              </w:rPr>
              <w:t> </w:t>
            </w:r>
            <w:r>
              <w:rPr>
                <w:color w:val="444444"/>
                <w:sz w:val="18"/>
              </w:rPr>
              <w:t>–</w:t>
            </w:r>
            <w:r>
              <w:rPr>
                <w:color w:val="444444"/>
                <w:spacing w:val="-2"/>
                <w:sz w:val="18"/>
              </w:rPr>
              <w:t> </w:t>
            </w:r>
            <w:r>
              <w:rPr>
                <w:color w:val="444444"/>
                <w:sz w:val="18"/>
              </w:rPr>
              <w:t>that</w:t>
            </w:r>
            <w:r>
              <w:rPr>
                <w:color w:val="444444"/>
                <w:spacing w:val="-4"/>
                <w:sz w:val="18"/>
              </w:rPr>
              <w:t> </w:t>
            </w:r>
            <w:r>
              <w:rPr>
                <w:color w:val="444444"/>
                <w:sz w:val="18"/>
              </w:rPr>
              <w:t>being</w:t>
            </w:r>
            <w:r>
              <w:rPr>
                <w:color w:val="444444"/>
                <w:spacing w:val="2"/>
                <w:sz w:val="18"/>
              </w:rPr>
              <w:t> </w:t>
            </w:r>
            <w:r>
              <w:rPr>
                <w:color w:val="444444"/>
                <w:sz w:val="18"/>
              </w:rPr>
              <w:t>ASGS-RA</w:t>
            </w:r>
            <w:r>
              <w:rPr>
                <w:color w:val="444444"/>
                <w:spacing w:val="-11"/>
                <w:sz w:val="18"/>
              </w:rPr>
              <w:t> </w:t>
            </w:r>
            <w:r>
              <w:rPr>
                <w:color w:val="444444"/>
                <w:sz w:val="18"/>
              </w:rPr>
              <w:t>5</w:t>
            </w:r>
            <w:r>
              <w:rPr>
                <w:color w:val="444444"/>
                <w:spacing w:val="-47"/>
                <w:sz w:val="18"/>
              </w:rPr>
              <w:t> </w:t>
            </w:r>
            <w:r>
              <w:rPr>
                <w:color w:val="444444"/>
                <w:sz w:val="18"/>
              </w:rPr>
              <w:t>(very remote) and areas on a populated island that is</w:t>
            </w:r>
            <w:r>
              <w:rPr>
                <w:color w:val="444444"/>
                <w:spacing w:val="1"/>
                <w:sz w:val="18"/>
              </w:rPr>
              <w:t> </w:t>
            </w:r>
            <w:r>
              <w:rPr>
                <w:color w:val="444444"/>
                <w:sz w:val="18"/>
              </w:rPr>
              <w:t>separated from the mainland in the ABS geography and is</w:t>
            </w:r>
            <w:r>
              <w:rPr>
                <w:color w:val="444444"/>
                <w:spacing w:val="1"/>
                <w:sz w:val="18"/>
              </w:rPr>
              <w:t> </w:t>
            </w:r>
            <w:r>
              <w:rPr>
                <w:color w:val="444444"/>
                <w:sz w:val="18"/>
              </w:rPr>
              <w:t>more</w:t>
            </w:r>
            <w:r>
              <w:rPr>
                <w:color w:val="444444"/>
                <w:spacing w:val="-1"/>
                <w:sz w:val="18"/>
              </w:rPr>
              <w:t> </w:t>
            </w:r>
            <w:r>
              <w:rPr>
                <w:color w:val="444444"/>
                <w:sz w:val="18"/>
              </w:rPr>
              <w:t>than 5 km</w:t>
            </w:r>
            <w:r>
              <w:rPr>
                <w:color w:val="444444"/>
                <w:spacing w:val="-4"/>
                <w:sz w:val="18"/>
              </w:rPr>
              <w:t> </w:t>
            </w:r>
            <w:r>
              <w:rPr>
                <w:color w:val="444444"/>
                <w:sz w:val="18"/>
              </w:rPr>
              <w:t>offshore.</w:t>
            </w:r>
          </w:p>
        </w:tc>
      </w:tr>
    </w:tbl>
    <w:p>
      <w:pPr>
        <w:pStyle w:val="BodyText"/>
        <w:spacing w:before="1"/>
        <w:rPr>
          <w:b/>
        </w:rPr>
      </w:pPr>
    </w:p>
    <w:p>
      <w:pPr>
        <w:pStyle w:val="BodyText"/>
        <w:spacing w:line="276" w:lineRule="auto"/>
        <w:ind w:left="860" w:right="1160"/>
      </w:pPr>
      <w:r>
        <w:rPr/>
        <w:t>Categories for the geographic location dimension are to be based on the Modified Monash</w:t>
      </w:r>
      <w:r>
        <w:rPr>
          <w:spacing w:val="1"/>
        </w:rPr>
        <w:t> </w:t>
      </w:r>
      <w:r>
        <w:rPr/>
        <w:t>(MM) Model. The MM Model uses information related to the size of particular population</w:t>
      </w:r>
      <w:r>
        <w:rPr>
          <w:spacing w:val="1"/>
        </w:rPr>
        <w:t> </w:t>
      </w:r>
      <w:r>
        <w:rPr/>
        <w:t>settlements within the broader categories of the Australian Statistical Geography Standard —</w:t>
      </w:r>
      <w:r>
        <w:rPr>
          <w:spacing w:val="-53"/>
        </w:rPr>
        <w:t> </w:t>
      </w:r>
      <w:r>
        <w:rPr/>
        <w:t>Remoteness Areas (ASGS-RA) classification. for the sampling frame for HCH, the MM4 and</w:t>
      </w:r>
      <w:r>
        <w:rPr>
          <w:spacing w:val="1"/>
        </w:rPr>
        <w:t> </w:t>
      </w:r>
      <w:r>
        <w:rPr/>
        <w:t>MM5 categories will be combined into a single category, and the same with the MM6 and</w:t>
      </w:r>
      <w:r>
        <w:rPr>
          <w:spacing w:val="1"/>
        </w:rPr>
        <w:t> </w:t>
      </w:r>
      <w:r>
        <w:rPr/>
        <w:t>MM7</w:t>
      </w:r>
      <w:r>
        <w:rPr>
          <w:spacing w:val="-2"/>
        </w:rPr>
        <w:t> </w:t>
      </w:r>
      <w:r>
        <w:rPr/>
        <w:t>categories.</w:t>
      </w:r>
    </w:p>
    <w:p>
      <w:pPr>
        <w:pStyle w:val="BodyText"/>
        <w:spacing w:line="276" w:lineRule="auto" w:before="199"/>
        <w:ind w:left="860" w:right="1455"/>
      </w:pPr>
      <w:r>
        <w:rPr/>
        <w:t>The purpose of applying the sampling frame is to ensure that the trial generates sufficient</w:t>
      </w:r>
      <w:r>
        <w:rPr>
          <w:spacing w:val="-53"/>
        </w:rPr>
        <w:t> </w:t>
      </w:r>
      <w:r>
        <w:rPr/>
        <w:t>evidence to determine that HCH will be effective for practices in each of the strata, that</w:t>
      </w:r>
      <w:r>
        <w:rPr>
          <w:spacing w:val="1"/>
        </w:rPr>
        <w:t> </w:t>
      </w:r>
      <w:r>
        <w:rPr/>
        <w:t>differences in effectiveness can be estimated, and that issues associated with</w:t>
      </w:r>
      <w:r>
        <w:rPr>
          <w:spacing w:val="1"/>
        </w:rPr>
        <w:t> </w:t>
      </w:r>
      <w:r>
        <w:rPr/>
        <w:t>implementation for practices within this range of characteristics can be identified. To</w:t>
      </w:r>
      <w:r>
        <w:rPr>
          <w:spacing w:val="1"/>
        </w:rPr>
        <w:t> </w:t>
      </w:r>
      <w:r>
        <w:rPr/>
        <w:t>achieve these aims, the Department of Health is proposing a minimum of 10 practices</w:t>
      </w:r>
      <w:r>
        <w:rPr>
          <w:spacing w:val="1"/>
        </w:rPr>
        <w:t> </w:t>
      </w:r>
      <w:r>
        <w:rPr/>
        <w:t>represented</w:t>
      </w:r>
      <w:r>
        <w:rPr>
          <w:spacing w:val="-3"/>
        </w:rPr>
        <w:t> </w:t>
      </w:r>
      <w:r>
        <w:rPr/>
        <w:t>in</w:t>
      </w:r>
      <w:r>
        <w:rPr>
          <w:spacing w:val="-1"/>
        </w:rPr>
        <w:t> </w:t>
      </w:r>
      <w:r>
        <w:rPr/>
        <w:t>each</w:t>
      </w:r>
      <w:r>
        <w:rPr>
          <w:spacing w:val="-1"/>
        </w:rPr>
        <w:t> </w:t>
      </w:r>
      <w:r>
        <w:rPr/>
        <w:t>of</w:t>
      </w:r>
      <w:r>
        <w:rPr>
          <w:spacing w:val="-2"/>
        </w:rPr>
        <w:t> </w:t>
      </w:r>
      <w:r>
        <w:rPr/>
        <w:t>the</w:t>
      </w:r>
      <w:r>
        <w:rPr>
          <w:spacing w:val="-2"/>
        </w:rPr>
        <w:t> </w:t>
      </w:r>
      <w:r>
        <w:rPr/>
        <w:t>strata,</w:t>
      </w:r>
      <w:r>
        <w:rPr>
          <w:spacing w:val="-1"/>
        </w:rPr>
        <w:t> </w:t>
      </w:r>
      <w:r>
        <w:rPr/>
        <w:t>except for</w:t>
      </w:r>
      <w:r>
        <w:rPr>
          <w:spacing w:val="-1"/>
        </w:rPr>
        <w:t> </w:t>
      </w:r>
      <w:r>
        <w:rPr/>
        <w:t>the</w:t>
      </w:r>
      <w:r>
        <w:rPr>
          <w:spacing w:val="-2"/>
        </w:rPr>
        <w:t> </w:t>
      </w:r>
      <w:r>
        <w:rPr/>
        <w:t>‘Other’</w:t>
      </w:r>
      <w:r>
        <w:rPr>
          <w:spacing w:val="-2"/>
        </w:rPr>
        <w:t> </w:t>
      </w:r>
      <w:r>
        <w:rPr/>
        <w:t>category</w:t>
      </w:r>
      <w:r>
        <w:rPr>
          <w:spacing w:val="-3"/>
        </w:rPr>
        <w:t> </w:t>
      </w:r>
      <w:r>
        <w:rPr/>
        <w:t>for</w:t>
      </w:r>
      <w:r>
        <w:rPr>
          <w:spacing w:val="-2"/>
        </w:rPr>
        <w:t> </w:t>
      </w:r>
      <w:r>
        <w:rPr/>
        <w:t>practice</w:t>
      </w:r>
      <w:r>
        <w:rPr>
          <w:spacing w:val="-2"/>
        </w:rPr>
        <w:t> </w:t>
      </w:r>
      <w:r>
        <w:rPr/>
        <w:t>ownership</w:t>
      </w:r>
    </w:p>
    <w:p>
      <w:pPr>
        <w:spacing w:after="0" w:line="276" w:lineRule="auto"/>
        <w:sectPr>
          <w:pgSz w:w="11910" w:h="16840"/>
          <w:pgMar w:header="0" w:footer="675" w:top="1340" w:bottom="860" w:left="580" w:right="280"/>
        </w:sectPr>
      </w:pPr>
    </w:p>
    <w:p>
      <w:pPr>
        <w:pStyle w:val="BodyText"/>
      </w:pPr>
      <w:r>
        <w:rPr/>
        <w:drawing>
          <wp:anchor distT="0" distB="0" distL="0" distR="0" allowOverlap="1" layoutInCell="1" locked="0" behindDoc="1" simplePos="0" relativeHeight="475776512">
            <wp:simplePos x="0" y="0"/>
            <wp:positionH relativeFrom="page">
              <wp:posOffset>256083</wp:posOffset>
            </wp:positionH>
            <wp:positionV relativeFrom="page">
              <wp:posOffset>0</wp:posOffset>
            </wp:positionV>
            <wp:extent cx="7302956" cy="1024402"/>
            <wp:effectExtent l="0" t="0" r="0" b="0"/>
            <wp:wrapNone/>
            <wp:docPr id="17" name="image8.jpeg"/>
            <wp:cNvGraphicFramePr>
              <a:graphicFrameLocks noChangeAspect="1"/>
            </wp:cNvGraphicFramePr>
            <a:graphic>
              <a:graphicData uri="http://schemas.openxmlformats.org/drawingml/2006/picture">
                <pic:pic>
                  <pic:nvPicPr>
                    <pic:cNvPr id="18" name="image8.jpeg"/>
                    <pic:cNvPicPr/>
                  </pic:nvPicPr>
                  <pic:blipFill>
                    <a:blip r:embed="rId32" cstate="print"/>
                    <a:stretch>
                      <a:fillRect/>
                    </a:stretch>
                  </pic:blipFill>
                  <pic:spPr>
                    <a:xfrm>
                      <a:off x="0" y="0"/>
                      <a:ext cx="7302956" cy="1024402"/>
                    </a:xfrm>
                    <a:prstGeom prst="rect">
                      <a:avLst/>
                    </a:prstGeom>
                  </pic:spPr>
                </pic:pic>
              </a:graphicData>
            </a:graphic>
          </wp:anchor>
        </w:drawing>
      </w:r>
    </w:p>
    <w:p>
      <w:pPr>
        <w:pStyle w:val="BodyText"/>
      </w:pPr>
    </w:p>
    <w:p>
      <w:pPr>
        <w:pStyle w:val="BodyText"/>
      </w:pPr>
    </w:p>
    <w:p>
      <w:pPr>
        <w:pStyle w:val="BodyText"/>
      </w:pPr>
    </w:p>
    <w:p>
      <w:pPr>
        <w:pStyle w:val="BodyText"/>
        <w:spacing w:before="10"/>
        <w:rPr>
          <w:sz w:val="27"/>
        </w:rPr>
      </w:pPr>
    </w:p>
    <w:p>
      <w:pPr>
        <w:pStyle w:val="Heading1"/>
        <w:ind w:right="2141"/>
      </w:pPr>
      <w:bookmarkStart w:name="_bookmark80" w:id="81"/>
      <w:bookmarkEnd w:id="81"/>
      <w:r>
        <w:rPr/>
      </w:r>
      <w:r>
        <w:rPr>
          <w:color w:val="003C79"/>
        </w:rPr>
        <w:t>Appendix B – Statistical</w:t>
      </w:r>
      <w:r>
        <w:rPr>
          <w:color w:val="003C79"/>
          <w:spacing w:val="-197"/>
        </w:rPr>
        <w:t> </w:t>
      </w:r>
      <w:r>
        <w:rPr>
          <w:color w:val="003C79"/>
        </w:rPr>
        <w:t>power</w:t>
      </w:r>
      <w:r>
        <w:rPr>
          <w:color w:val="003C79"/>
          <w:spacing w:val="-2"/>
        </w:rPr>
        <w:t> </w:t>
      </w:r>
      <w:r>
        <w:rPr>
          <w:color w:val="003C79"/>
        </w:rPr>
        <w:t>estimates</w:t>
      </w:r>
    </w:p>
    <w:p>
      <w:pPr>
        <w:pStyle w:val="BodyText"/>
        <w:spacing w:line="276" w:lineRule="auto" w:before="200"/>
        <w:ind w:left="860" w:right="1224"/>
      </w:pPr>
      <w:r>
        <w:rPr/>
        <w:t>Initial estimates of the statistical power of the evaluation design are being prepared. For the</w:t>
      </w:r>
      <w:r>
        <w:rPr>
          <w:spacing w:val="1"/>
        </w:rPr>
        <w:t> </w:t>
      </w:r>
      <w:r>
        <w:rPr/>
        <w:t>many comparative elements of the evaluation it is planned to include all patients enrolled in</w:t>
      </w:r>
      <w:r>
        <w:rPr>
          <w:spacing w:val="-53"/>
        </w:rPr>
        <w:t> </w:t>
      </w:r>
      <w:r>
        <w:rPr/>
        <w:t>the program in the analysis. In this circumstance the sample size will be determined by other</w:t>
      </w:r>
      <w:r>
        <w:rPr>
          <w:spacing w:val="1"/>
        </w:rPr>
        <w:t> </w:t>
      </w:r>
      <w:r>
        <w:rPr/>
        <w:t>program related factors, and the analysis of statistical power provides a basis for</w:t>
      </w:r>
      <w:r>
        <w:rPr>
          <w:spacing w:val="1"/>
        </w:rPr>
        <w:t> </w:t>
      </w:r>
      <w:r>
        <w:rPr/>
        <w:t>understanding whether the evaluation will be able to detect effects if these exist. In other</w:t>
      </w:r>
      <w:r>
        <w:rPr>
          <w:spacing w:val="1"/>
        </w:rPr>
        <w:t> </w:t>
      </w:r>
      <w:r>
        <w:rPr/>
        <w:t>aspects of the study, decisions may be required on the size of the sample of patients invited</w:t>
      </w:r>
      <w:r>
        <w:rPr>
          <w:spacing w:val="1"/>
        </w:rPr>
        <w:t> </w:t>
      </w:r>
      <w:r>
        <w:rPr/>
        <w:t>to complete a survey. For this purpose, the analysis of statistical power provides a basis for</w:t>
      </w:r>
      <w:r>
        <w:rPr>
          <w:spacing w:val="1"/>
        </w:rPr>
        <w:t> </w:t>
      </w:r>
      <w:r>
        <w:rPr/>
        <w:t>determining</w:t>
      </w:r>
      <w:r>
        <w:rPr>
          <w:spacing w:val="-4"/>
        </w:rPr>
        <w:t> </w:t>
      </w:r>
      <w:r>
        <w:rPr/>
        <w:t>an</w:t>
      </w:r>
      <w:r>
        <w:rPr>
          <w:spacing w:val="-2"/>
        </w:rPr>
        <w:t> </w:t>
      </w:r>
      <w:r>
        <w:rPr/>
        <w:t>appropriate</w:t>
      </w:r>
      <w:r>
        <w:rPr>
          <w:spacing w:val="-3"/>
        </w:rPr>
        <w:t> </w:t>
      </w:r>
      <w:r>
        <w:rPr/>
        <w:t>sample</w:t>
      </w:r>
      <w:r>
        <w:rPr>
          <w:spacing w:val="-4"/>
        </w:rPr>
        <w:t> </w:t>
      </w:r>
      <w:r>
        <w:rPr/>
        <w:t>size,</w:t>
      </w:r>
      <w:r>
        <w:rPr>
          <w:spacing w:val="-5"/>
        </w:rPr>
        <w:t> </w:t>
      </w:r>
      <w:r>
        <w:rPr/>
        <w:t>to detect</w:t>
      </w:r>
      <w:r>
        <w:rPr>
          <w:spacing w:val="-1"/>
        </w:rPr>
        <w:t> </w:t>
      </w:r>
      <w:r>
        <w:rPr/>
        <w:t>relevant</w:t>
      </w:r>
      <w:r>
        <w:rPr>
          <w:spacing w:val="-2"/>
        </w:rPr>
        <w:t> </w:t>
      </w:r>
      <w:r>
        <w:rPr/>
        <w:t>effects/</w:t>
      </w:r>
      <w:r>
        <w:rPr>
          <w:spacing w:val="-4"/>
        </w:rPr>
        <w:t> </w:t>
      </w:r>
      <w:r>
        <w:rPr/>
        <w:t>differences</w:t>
      </w:r>
      <w:r>
        <w:rPr>
          <w:spacing w:val="-3"/>
        </w:rPr>
        <w:t> </w:t>
      </w:r>
      <w:r>
        <w:rPr/>
        <w:t>if</w:t>
      </w:r>
      <w:r>
        <w:rPr>
          <w:spacing w:val="-3"/>
        </w:rPr>
        <w:t> </w:t>
      </w:r>
      <w:r>
        <w:rPr/>
        <w:t>these</w:t>
      </w:r>
      <w:r>
        <w:rPr>
          <w:spacing w:val="-4"/>
        </w:rPr>
        <w:t> </w:t>
      </w:r>
      <w:r>
        <w:rPr/>
        <w:t>exist.</w:t>
      </w:r>
    </w:p>
    <w:p>
      <w:pPr>
        <w:pStyle w:val="BodyText"/>
        <w:spacing w:line="276" w:lineRule="auto" w:before="200"/>
        <w:ind w:left="860" w:right="1236"/>
      </w:pPr>
      <w:r>
        <w:rPr/>
        <w:t>All</w:t>
      </w:r>
      <w:r>
        <w:rPr>
          <w:spacing w:val="-3"/>
        </w:rPr>
        <w:t> </w:t>
      </w:r>
      <w:r>
        <w:rPr/>
        <w:t>sample</w:t>
      </w:r>
      <w:r>
        <w:rPr>
          <w:spacing w:val="-4"/>
        </w:rPr>
        <w:t> </w:t>
      </w:r>
      <w:r>
        <w:rPr/>
        <w:t>size</w:t>
      </w:r>
      <w:r>
        <w:rPr>
          <w:spacing w:val="-4"/>
        </w:rPr>
        <w:t> </w:t>
      </w:r>
      <w:r>
        <w:rPr/>
        <w:t>calculations</w:t>
      </w:r>
      <w:r>
        <w:rPr>
          <w:spacing w:val="-4"/>
        </w:rPr>
        <w:t> </w:t>
      </w:r>
      <w:r>
        <w:rPr/>
        <w:t>will</w:t>
      </w:r>
      <w:r>
        <w:rPr>
          <w:spacing w:val="-4"/>
        </w:rPr>
        <w:t> </w:t>
      </w:r>
      <w:r>
        <w:rPr/>
        <w:t>be</w:t>
      </w:r>
      <w:r>
        <w:rPr>
          <w:spacing w:val="-4"/>
        </w:rPr>
        <w:t> </w:t>
      </w:r>
      <w:r>
        <w:rPr/>
        <w:t>conducted</w:t>
      </w:r>
      <w:r>
        <w:rPr>
          <w:spacing w:val="-4"/>
        </w:rPr>
        <w:t> </w:t>
      </w:r>
      <w:r>
        <w:rPr/>
        <w:t>using</w:t>
      </w:r>
      <w:r>
        <w:rPr>
          <w:spacing w:val="-3"/>
        </w:rPr>
        <w:t> </w:t>
      </w:r>
      <w:r>
        <w:rPr/>
        <w:t>a</w:t>
      </w:r>
      <w:r>
        <w:rPr>
          <w:spacing w:val="-3"/>
        </w:rPr>
        <w:t> </w:t>
      </w:r>
      <w:r>
        <w:rPr/>
        <w:t>1%</w:t>
      </w:r>
      <w:r>
        <w:rPr>
          <w:spacing w:val="-5"/>
        </w:rPr>
        <w:t> </w:t>
      </w:r>
      <w:r>
        <w:rPr/>
        <w:t>significance</w:t>
      </w:r>
      <w:r>
        <w:rPr>
          <w:spacing w:val="-4"/>
        </w:rPr>
        <w:t> </w:t>
      </w:r>
      <w:r>
        <w:rPr/>
        <w:t>level</w:t>
      </w:r>
      <w:r>
        <w:rPr>
          <w:spacing w:val="-3"/>
        </w:rPr>
        <w:t> </w:t>
      </w:r>
      <w:r>
        <w:rPr/>
        <w:t>and</w:t>
      </w:r>
      <w:r>
        <w:rPr>
          <w:spacing w:val="-3"/>
        </w:rPr>
        <w:t> </w:t>
      </w:r>
      <w:r>
        <w:rPr/>
        <w:t>80%</w:t>
      </w:r>
      <w:r>
        <w:rPr>
          <w:spacing w:val="-4"/>
        </w:rPr>
        <w:t> </w:t>
      </w:r>
      <w:r>
        <w:rPr/>
        <w:t>power.</w:t>
      </w:r>
      <w:r>
        <w:rPr>
          <w:spacing w:val="-52"/>
        </w:rPr>
        <w:t> </w:t>
      </w:r>
      <w:r>
        <w:rPr/>
        <w:t>Adjustment for the clustering of patients within practices is achieved by using the equation</w:t>
      </w:r>
      <w:r>
        <w:rPr>
          <w:spacing w:val="1"/>
        </w:rPr>
        <w:t> </w:t>
      </w:r>
      <w:r>
        <w:rPr>
          <w:position w:val="1"/>
        </w:rPr>
        <w:t>below, where n is the number of patients required per cluster in the final analysis, n</w:t>
      </w:r>
      <w:r>
        <w:rPr>
          <w:sz w:val="13"/>
        </w:rPr>
        <w:t>0 </w:t>
      </w:r>
      <w:r>
        <w:rPr>
          <w:position w:val="1"/>
        </w:rPr>
        <w:t>is the</w:t>
      </w:r>
      <w:r>
        <w:rPr>
          <w:spacing w:val="1"/>
          <w:position w:val="1"/>
        </w:rPr>
        <w:t> </w:t>
      </w:r>
      <w:r>
        <w:rPr/>
        <w:t>number of patients required per cluster under the assumption that patients included in the</w:t>
      </w:r>
      <w:r>
        <w:rPr>
          <w:spacing w:val="1"/>
        </w:rPr>
        <w:t> </w:t>
      </w:r>
      <w:r>
        <w:rPr/>
        <w:t>analysis are independent (i.e. there is no clustering within the practice), and the ICC is the</w:t>
      </w:r>
      <w:r>
        <w:rPr>
          <w:spacing w:val="1"/>
        </w:rPr>
        <w:t> </w:t>
      </w:r>
      <w:r>
        <w:rPr/>
        <w:t>intracluster</w:t>
      </w:r>
      <w:r>
        <w:rPr>
          <w:spacing w:val="-2"/>
        </w:rPr>
        <w:t> </w:t>
      </w:r>
      <w:r>
        <w:rPr/>
        <w:t>correlation coefficient:</w:t>
      </w:r>
    </w:p>
    <w:p>
      <w:pPr>
        <w:pStyle w:val="BodyText"/>
        <w:spacing w:line="180" w:lineRule="auto" w:before="189"/>
        <w:ind w:left="1225" w:right="1519"/>
        <w:jc w:val="center"/>
        <w:rPr>
          <w:rFonts w:ascii="Cambria Math" w:hAnsi="Cambria Math" w:eastAsia="Cambria Math"/>
        </w:rPr>
      </w:pPr>
      <w:r>
        <w:rPr>
          <w:rFonts w:ascii="Cambria Math" w:hAnsi="Cambria Math" w:eastAsia="Cambria Math"/>
          <w:position w:val="-14"/>
        </w:rPr>
        <w:t>𝑛</w:t>
      </w:r>
      <w:r>
        <w:rPr>
          <w:rFonts w:ascii="Cambria Math" w:hAnsi="Cambria Math" w:eastAsia="Cambria Math"/>
          <w:spacing w:val="18"/>
          <w:position w:val="-14"/>
        </w:rPr>
        <w:t> </w:t>
      </w:r>
      <w:r>
        <w:rPr>
          <w:rFonts w:ascii="Cambria Math" w:hAnsi="Cambria Math" w:eastAsia="Cambria Math"/>
          <w:position w:val="-14"/>
        </w:rPr>
        <w:t>=</w:t>
      </w:r>
      <w:r>
        <w:rPr>
          <w:rFonts w:ascii="Cambria Math" w:hAnsi="Cambria Math" w:eastAsia="Cambria Math"/>
          <w:spacing w:val="14"/>
          <w:position w:val="-14"/>
        </w:rPr>
        <w:t> </w:t>
      </w:r>
      <w:r>
        <w:rPr>
          <w:rFonts w:ascii="Cambria Math" w:hAnsi="Cambria Math" w:eastAsia="Cambria Math"/>
          <w:u w:val="single"/>
        </w:rPr>
        <w:t>𝑛</w:t>
      </w:r>
      <w:r>
        <w:rPr>
          <w:rFonts w:ascii="Cambria Math" w:hAnsi="Cambria Math" w:eastAsia="Cambria Math"/>
          <w:u w:val="single"/>
          <w:vertAlign w:val="subscript"/>
        </w:rPr>
        <w:t>0</w:t>
      </w:r>
      <w:r>
        <w:rPr>
          <w:rFonts w:ascii="Cambria Math" w:hAnsi="Cambria Math" w:eastAsia="Cambria Math"/>
          <w:position w:val="1"/>
          <w:u w:val="single"/>
          <w:vertAlign w:val="baseline"/>
        </w:rPr>
        <w:t>(</w:t>
      </w:r>
      <w:r>
        <w:rPr>
          <w:rFonts w:ascii="Cambria Math" w:hAnsi="Cambria Math" w:eastAsia="Cambria Math"/>
          <w:u w:val="single"/>
          <w:vertAlign w:val="baseline"/>
        </w:rPr>
        <w:t>1</w:t>
      </w:r>
      <w:r>
        <w:rPr>
          <w:rFonts w:ascii="Cambria Math" w:hAnsi="Cambria Math" w:eastAsia="Cambria Math"/>
          <w:spacing w:val="8"/>
          <w:u w:val="single"/>
          <w:vertAlign w:val="baseline"/>
        </w:rPr>
        <w:t> </w:t>
      </w:r>
      <w:r>
        <w:rPr>
          <w:rFonts w:ascii="Cambria Math" w:hAnsi="Cambria Math" w:eastAsia="Cambria Math"/>
          <w:u w:val="single"/>
          <w:vertAlign w:val="baseline"/>
        </w:rPr>
        <w:t>−</w:t>
      </w:r>
      <w:r>
        <w:rPr>
          <w:rFonts w:ascii="Cambria Math" w:hAnsi="Cambria Math" w:eastAsia="Cambria Math"/>
          <w:spacing w:val="2"/>
          <w:u w:val="single"/>
          <w:vertAlign w:val="baseline"/>
        </w:rPr>
        <w:t> </w:t>
      </w:r>
      <w:r>
        <w:rPr>
          <w:rFonts w:ascii="Cambria Math" w:hAnsi="Cambria Math" w:eastAsia="Cambria Math"/>
          <w:u w:val="single"/>
          <w:vertAlign w:val="baseline"/>
        </w:rPr>
        <w:t>𝐼𝐶𝐶</w:t>
      </w:r>
      <w:r>
        <w:rPr>
          <w:rFonts w:ascii="Cambria Math" w:hAnsi="Cambria Math" w:eastAsia="Cambria Math"/>
          <w:position w:val="1"/>
          <w:u w:val="single"/>
          <w:vertAlign w:val="baseline"/>
        </w:rPr>
        <w:t>)</w:t>
      </w:r>
    </w:p>
    <w:p>
      <w:pPr>
        <w:pStyle w:val="BodyText"/>
        <w:spacing w:line="187" w:lineRule="exact"/>
        <w:ind w:left="1225" w:right="1158"/>
        <w:jc w:val="center"/>
        <w:rPr>
          <w:rFonts w:ascii="Cambria Math" w:hAnsi="Cambria Math" w:eastAsia="Cambria Math"/>
        </w:rPr>
      </w:pPr>
      <w:r>
        <w:rPr>
          <w:rFonts w:ascii="Cambria Math" w:hAnsi="Cambria Math" w:eastAsia="Cambria Math"/>
        </w:rPr>
        <w:t>1</w:t>
      </w:r>
      <w:r>
        <w:rPr>
          <w:rFonts w:ascii="Cambria Math" w:hAnsi="Cambria Math" w:eastAsia="Cambria Math"/>
          <w:spacing w:val="7"/>
        </w:rPr>
        <w:t> </w:t>
      </w:r>
      <w:r>
        <w:rPr>
          <w:rFonts w:ascii="Cambria Math" w:hAnsi="Cambria Math" w:eastAsia="Cambria Math"/>
        </w:rPr>
        <w:t>−</w:t>
      </w:r>
      <w:r>
        <w:rPr>
          <w:rFonts w:ascii="Cambria Math" w:hAnsi="Cambria Math" w:eastAsia="Cambria Math"/>
          <w:spacing w:val="2"/>
        </w:rPr>
        <w:t> </w:t>
      </w:r>
      <w:r>
        <w:rPr>
          <w:rFonts w:ascii="Cambria Math" w:hAnsi="Cambria Math" w:eastAsia="Cambria Math"/>
        </w:rPr>
        <w:t>𝑛</w:t>
      </w:r>
      <w:r>
        <w:rPr>
          <w:rFonts w:ascii="Cambria Math" w:hAnsi="Cambria Math" w:eastAsia="Cambria Math"/>
          <w:vertAlign w:val="subscript"/>
        </w:rPr>
        <w:t>0</w:t>
      </w:r>
      <w:r>
        <w:rPr>
          <w:rFonts w:ascii="Cambria Math" w:hAnsi="Cambria Math" w:eastAsia="Cambria Math"/>
          <w:vertAlign w:val="baseline"/>
        </w:rPr>
        <w:t>𝐼𝐶𝐶</w:t>
      </w:r>
    </w:p>
    <w:p>
      <w:pPr>
        <w:pStyle w:val="BodyText"/>
        <w:spacing w:line="276" w:lineRule="auto" w:before="232"/>
        <w:ind w:left="860" w:right="1236"/>
      </w:pPr>
      <w:r>
        <w:rPr/>
        <w:t>This</w:t>
      </w:r>
      <w:r>
        <w:rPr>
          <w:spacing w:val="-4"/>
        </w:rPr>
        <w:t> </w:t>
      </w:r>
      <w:r>
        <w:rPr/>
        <w:t>equation</w:t>
      </w:r>
      <w:r>
        <w:rPr>
          <w:spacing w:val="-2"/>
        </w:rPr>
        <w:t> </w:t>
      </w:r>
      <w:r>
        <w:rPr/>
        <w:t>is</w:t>
      </w:r>
      <w:r>
        <w:rPr>
          <w:spacing w:val="-4"/>
        </w:rPr>
        <w:t> </w:t>
      </w:r>
      <w:r>
        <w:rPr/>
        <w:t>slightly</w:t>
      </w:r>
      <w:r>
        <w:rPr>
          <w:spacing w:val="-4"/>
        </w:rPr>
        <w:t> </w:t>
      </w:r>
      <w:r>
        <w:rPr/>
        <w:t>different</w:t>
      </w:r>
      <w:r>
        <w:rPr>
          <w:spacing w:val="-2"/>
        </w:rPr>
        <w:t> </w:t>
      </w:r>
      <w:r>
        <w:rPr/>
        <w:t>from</w:t>
      </w:r>
      <w:r>
        <w:rPr>
          <w:spacing w:val="-3"/>
        </w:rPr>
        <w:t> </w:t>
      </w:r>
      <w:r>
        <w:rPr/>
        <w:t>the</w:t>
      </w:r>
      <w:r>
        <w:rPr>
          <w:spacing w:val="-4"/>
        </w:rPr>
        <w:t> </w:t>
      </w:r>
      <w:r>
        <w:rPr/>
        <w:t>more</w:t>
      </w:r>
      <w:r>
        <w:rPr>
          <w:spacing w:val="-3"/>
        </w:rPr>
        <w:t> </w:t>
      </w:r>
      <w:r>
        <w:rPr/>
        <w:t>commonly</w:t>
      </w:r>
      <w:r>
        <w:rPr>
          <w:spacing w:val="-3"/>
        </w:rPr>
        <w:t> </w:t>
      </w:r>
      <w:r>
        <w:rPr/>
        <w:t>used</w:t>
      </w:r>
      <w:r>
        <w:rPr>
          <w:spacing w:val="-1"/>
        </w:rPr>
        <w:t> </w:t>
      </w:r>
      <w:r>
        <w:rPr/>
        <w:t>approach,</w:t>
      </w:r>
      <w:r>
        <w:rPr>
          <w:spacing w:val="-4"/>
        </w:rPr>
        <w:t> </w:t>
      </w:r>
      <w:r>
        <w:rPr/>
        <w:t>which</w:t>
      </w:r>
      <w:r>
        <w:rPr>
          <w:spacing w:val="-4"/>
        </w:rPr>
        <w:t> </w:t>
      </w:r>
      <w:r>
        <w:rPr/>
        <w:t>is</w:t>
      </w:r>
      <w:r>
        <w:rPr>
          <w:spacing w:val="-4"/>
        </w:rPr>
        <w:t> </w:t>
      </w:r>
      <w:r>
        <w:rPr/>
        <w:t>based</w:t>
      </w:r>
      <w:r>
        <w:rPr>
          <w:spacing w:val="-3"/>
        </w:rPr>
        <w:t> </w:t>
      </w:r>
      <w:r>
        <w:rPr/>
        <w:t>on</w:t>
      </w:r>
      <w:r>
        <w:rPr>
          <w:spacing w:val="-52"/>
        </w:rPr>
        <w:t> </w:t>
      </w:r>
      <w:r>
        <w:rPr/>
        <w:t>the</w:t>
      </w:r>
      <w:r>
        <w:rPr>
          <w:spacing w:val="-2"/>
        </w:rPr>
        <w:t> </w:t>
      </w:r>
      <w:r>
        <w:rPr/>
        <w:t>design</w:t>
      </w:r>
      <w:r>
        <w:rPr>
          <w:spacing w:val="-1"/>
        </w:rPr>
        <w:t> </w:t>
      </w:r>
      <w:r>
        <w:rPr/>
        <w:t>effect (DE)</w:t>
      </w:r>
      <w:r>
        <w:rPr>
          <w:spacing w:val="-1"/>
        </w:rPr>
        <w:t> </w:t>
      </w:r>
      <w:r>
        <w:rPr/>
        <w:t>(where</w:t>
      </w:r>
      <w:r>
        <w:rPr>
          <w:spacing w:val="-2"/>
        </w:rPr>
        <w:t> </w:t>
      </w:r>
      <w:r>
        <w:rPr/>
        <w:t>m is</w:t>
      </w:r>
      <w:r>
        <w:rPr>
          <w:spacing w:val="-2"/>
        </w:rPr>
        <w:t> </w:t>
      </w:r>
      <w:r>
        <w:rPr/>
        <w:t>the</w:t>
      </w:r>
      <w:r>
        <w:rPr>
          <w:spacing w:val="-2"/>
        </w:rPr>
        <w:t> </w:t>
      </w:r>
      <w:r>
        <w:rPr/>
        <w:t>mean</w:t>
      </w:r>
      <w:r>
        <w:rPr>
          <w:spacing w:val="-1"/>
        </w:rPr>
        <w:t> </w:t>
      </w:r>
      <w:r>
        <w:rPr/>
        <w:t>number</w:t>
      </w:r>
      <w:r>
        <w:rPr>
          <w:spacing w:val="-2"/>
        </w:rPr>
        <w:t> </w:t>
      </w:r>
      <w:r>
        <w:rPr/>
        <w:t>of</w:t>
      </w:r>
      <w:r>
        <w:rPr>
          <w:spacing w:val="-2"/>
        </w:rPr>
        <w:t> </w:t>
      </w:r>
      <w:r>
        <w:rPr/>
        <w:t>subjects</w:t>
      </w:r>
      <w:r>
        <w:rPr>
          <w:spacing w:val="-1"/>
        </w:rPr>
        <w:t> </w:t>
      </w:r>
      <w:r>
        <w:rPr/>
        <w:t>per</w:t>
      </w:r>
      <w:r>
        <w:rPr>
          <w:spacing w:val="-2"/>
        </w:rPr>
        <w:t> </w:t>
      </w:r>
      <w:r>
        <w:rPr/>
        <w:t>cluster):</w:t>
      </w:r>
    </w:p>
    <w:p>
      <w:pPr>
        <w:pStyle w:val="BodyText"/>
        <w:spacing w:before="198"/>
        <w:ind w:left="1222" w:right="1524"/>
        <w:jc w:val="center"/>
        <w:rPr>
          <w:rFonts w:ascii="Cambria Math" w:hAnsi="Cambria Math" w:eastAsia="Cambria Math"/>
        </w:rPr>
      </w:pPr>
      <w:r>
        <w:rPr>
          <w:rFonts w:ascii="Cambria Math" w:hAnsi="Cambria Math" w:eastAsia="Cambria Math"/>
        </w:rPr>
        <w:t>𝐷𝐸</w:t>
      </w:r>
      <w:r>
        <w:rPr>
          <w:rFonts w:ascii="Cambria Math" w:hAnsi="Cambria Math" w:eastAsia="Cambria Math"/>
          <w:spacing w:val="19"/>
        </w:rPr>
        <w:t> </w:t>
      </w:r>
      <w:r>
        <w:rPr>
          <w:rFonts w:ascii="Cambria Math" w:hAnsi="Cambria Math" w:eastAsia="Cambria Math"/>
        </w:rPr>
        <w:t>=</w:t>
      </w:r>
      <w:r>
        <w:rPr>
          <w:rFonts w:ascii="Cambria Math" w:hAnsi="Cambria Math" w:eastAsia="Cambria Math"/>
          <w:spacing w:val="9"/>
        </w:rPr>
        <w:t> </w:t>
      </w:r>
      <w:r>
        <w:rPr>
          <w:rFonts w:ascii="Cambria Math" w:hAnsi="Cambria Math" w:eastAsia="Cambria Math"/>
        </w:rPr>
        <w:t>1 + (𝑚</w:t>
      </w:r>
      <w:r>
        <w:rPr>
          <w:rFonts w:ascii="Cambria Math" w:hAnsi="Cambria Math" w:eastAsia="Cambria Math"/>
          <w:spacing w:val="2"/>
        </w:rPr>
        <w:t> </w:t>
      </w:r>
      <w:r>
        <w:rPr>
          <w:rFonts w:ascii="Cambria Math" w:hAnsi="Cambria Math" w:eastAsia="Cambria Math"/>
        </w:rPr>
        <w:t>− 1)𝐼𝐶𝐶</w:t>
      </w:r>
    </w:p>
    <w:p>
      <w:pPr>
        <w:pStyle w:val="BodyText"/>
        <w:spacing w:before="2"/>
        <w:rPr>
          <w:rFonts w:ascii="Cambria Math"/>
        </w:rPr>
      </w:pPr>
    </w:p>
    <w:p>
      <w:pPr>
        <w:pStyle w:val="BodyText"/>
        <w:spacing w:line="276" w:lineRule="auto" w:before="1"/>
        <w:ind w:left="860" w:right="1209"/>
      </w:pPr>
      <w:r>
        <w:rPr/>
        <w:t>The previous equation is more appropriate when the number of clusters is fixed, as it will be in</w:t>
      </w:r>
      <w:r>
        <w:rPr>
          <w:spacing w:val="-54"/>
        </w:rPr>
        <w:t> </w:t>
      </w:r>
      <w:r>
        <w:rPr/>
        <w:t>the evaluation of HCH. Otherwise, the design effect approach will need to be applied</w:t>
      </w:r>
      <w:r>
        <w:rPr>
          <w:spacing w:val="1"/>
        </w:rPr>
        <w:t> </w:t>
      </w:r>
      <w:r>
        <w:rPr/>
        <w:t>recursively</w:t>
      </w:r>
      <w:r>
        <w:rPr>
          <w:spacing w:val="-1"/>
        </w:rPr>
        <w:t> </w:t>
      </w:r>
      <w:r>
        <w:rPr/>
        <w:t>(</w:t>
      </w:r>
      <w:hyperlink w:history="true" w:anchor="_bookmark105">
        <w:r>
          <w:rPr/>
          <w:t>Campbell,</w:t>
        </w:r>
        <w:r>
          <w:rPr>
            <w:spacing w:val="-3"/>
          </w:rPr>
          <w:t> </w:t>
        </w:r>
        <w:r>
          <w:rPr/>
          <w:t>2000</w:t>
        </w:r>
      </w:hyperlink>
      <w:r>
        <w:rPr/>
        <w:t>).</w:t>
      </w:r>
    </w:p>
    <w:p>
      <w:pPr>
        <w:pStyle w:val="Heading2"/>
        <w:spacing w:before="197"/>
      </w:pPr>
      <w:bookmarkStart w:name="_bookmark81" w:id="82"/>
      <w:bookmarkEnd w:id="82"/>
      <w:r>
        <w:rPr/>
      </w:r>
      <w:r>
        <w:rPr>
          <w:color w:val="003C79"/>
        </w:rPr>
        <w:t>Patient</w:t>
      </w:r>
      <w:r>
        <w:rPr>
          <w:color w:val="003C79"/>
          <w:spacing w:val="-4"/>
        </w:rPr>
        <w:t> </w:t>
      </w:r>
      <w:r>
        <w:rPr>
          <w:color w:val="003C79"/>
        </w:rPr>
        <w:t>surveys</w:t>
      </w:r>
    </w:p>
    <w:p>
      <w:pPr>
        <w:pStyle w:val="BodyText"/>
        <w:spacing w:line="276" w:lineRule="auto" w:before="262"/>
        <w:ind w:left="860" w:right="1452"/>
      </w:pPr>
      <w:r>
        <w:rPr/>
        <w:t>Key question 3 relates to estimating changes in the experience of chronic disease care for</w:t>
      </w:r>
      <w:r>
        <w:rPr>
          <w:spacing w:val="-53"/>
        </w:rPr>
        <w:t> </w:t>
      </w:r>
      <w:r>
        <w:rPr/>
        <w:t>patients enrolled in the HCH program. One of the sources of information for this question is</w:t>
      </w:r>
      <w:r>
        <w:rPr>
          <w:spacing w:val="-53"/>
        </w:rPr>
        <w:t> </w:t>
      </w:r>
      <w:r>
        <w:rPr/>
        <w:t>the survey of patients measuring patient experience. Items on the questionnaire will be</w:t>
      </w:r>
      <w:r>
        <w:rPr>
          <w:spacing w:val="1"/>
        </w:rPr>
        <w:t> </w:t>
      </w:r>
      <w:r>
        <w:rPr/>
        <w:t>summarised across relevant domains, and the analysis will be largely undertaken using</w:t>
      </w:r>
      <w:r>
        <w:rPr>
          <w:spacing w:val="1"/>
        </w:rPr>
        <w:t> </w:t>
      </w:r>
      <w:r>
        <w:rPr/>
        <w:t>domain</w:t>
      </w:r>
      <w:r>
        <w:rPr>
          <w:spacing w:val="-1"/>
        </w:rPr>
        <w:t> </w:t>
      </w:r>
      <w:r>
        <w:rPr/>
        <w:t>scores.</w:t>
      </w:r>
    </w:p>
    <w:p>
      <w:pPr>
        <w:pStyle w:val="BodyText"/>
        <w:spacing w:line="276" w:lineRule="auto" w:before="200"/>
        <w:ind w:left="860" w:right="1328"/>
      </w:pPr>
      <w:r>
        <w:rPr/>
        <w:t>It</w:t>
      </w:r>
      <w:r>
        <w:rPr>
          <w:spacing w:val="-1"/>
        </w:rPr>
        <w:t> </w:t>
      </w:r>
      <w:r>
        <w:rPr/>
        <w:t>is</w:t>
      </w:r>
      <w:r>
        <w:rPr>
          <w:spacing w:val="-3"/>
        </w:rPr>
        <w:t> </w:t>
      </w:r>
      <w:r>
        <w:rPr/>
        <w:t>unknown</w:t>
      </w:r>
      <w:r>
        <w:rPr>
          <w:spacing w:val="-5"/>
        </w:rPr>
        <w:t> </w:t>
      </w:r>
      <w:r>
        <w:rPr/>
        <w:t>what</w:t>
      </w:r>
      <w:r>
        <w:rPr>
          <w:spacing w:val="-1"/>
        </w:rPr>
        <w:t> </w:t>
      </w:r>
      <w:r>
        <w:rPr/>
        <w:t>proportion</w:t>
      </w:r>
      <w:r>
        <w:rPr>
          <w:spacing w:val="-2"/>
        </w:rPr>
        <w:t> </w:t>
      </w:r>
      <w:r>
        <w:rPr/>
        <w:t>of</w:t>
      </w:r>
      <w:r>
        <w:rPr>
          <w:spacing w:val="-4"/>
        </w:rPr>
        <w:t> </w:t>
      </w:r>
      <w:r>
        <w:rPr/>
        <w:t>patients</w:t>
      </w:r>
      <w:r>
        <w:rPr>
          <w:spacing w:val="-3"/>
        </w:rPr>
        <w:t> </w:t>
      </w:r>
      <w:r>
        <w:rPr/>
        <w:t>invited</w:t>
      </w:r>
      <w:r>
        <w:rPr>
          <w:spacing w:val="-3"/>
        </w:rPr>
        <w:t> </w:t>
      </w:r>
      <w:r>
        <w:rPr/>
        <w:t>to</w:t>
      </w:r>
      <w:r>
        <w:rPr>
          <w:spacing w:val="-4"/>
        </w:rPr>
        <w:t> </w:t>
      </w:r>
      <w:r>
        <w:rPr/>
        <w:t>participate</w:t>
      </w:r>
      <w:r>
        <w:rPr>
          <w:spacing w:val="-3"/>
        </w:rPr>
        <w:t> </w:t>
      </w:r>
      <w:r>
        <w:rPr/>
        <w:t>in</w:t>
      </w:r>
      <w:r>
        <w:rPr>
          <w:spacing w:val="-4"/>
        </w:rPr>
        <w:t> </w:t>
      </w:r>
      <w:r>
        <w:rPr/>
        <w:t>the</w:t>
      </w:r>
      <w:r>
        <w:rPr>
          <w:spacing w:val="-4"/>
        </w:rPr>
        <w:t> </w:t>
      </w:r>
      <w:r>
        <w:rPr/>
        <w:t>surveys</w:t>
      </w:r>
      <w:r>
        <w:rPr>
          <w:spacing w:val="-3"/>
        </w:rPr>
        <w:t> </w:t>
      </w:r>
      <w:r>
        <w:rPr/>
        <w:t>will</w:t>
      </w:r>
      <w:r>
        <w:rPr>
          <w:spacing w:val="-2"/>
        </w:rPr>
        <w:t> </w:t>
      </w:r>
      <w:r>
        <w:rPr/>
        <w:t>accept</w:t>
      </w:r>
      <w:r>
        <w:rPr>
          <w:spacing w:val="-4"/>
        </w:rPr>
        <w:t> </w:t>
      </w:r>
      <w:r>
        <w:rPr/>
        <w:t>the</w:t>
      </w:r>
      <w:r>
        <w:rPr>
          <w:spacing w:val="-52"/>
        </w:rPr>
        <w:t> </w:t>
      </w:r>
      <w:r>
        <w:rPr/>
        <w:t>invitation. Evidence from similar studies is relevant to estimating the required number of</w:t>
      </w:r>
      <w:r>
        <w:rPr>
          <w:spacing w:val="1"/>
        </w:rPr>
        <w:t> </w:t>
      </w:r>
      <w:r>
        <w:rPr/>
        <w:t>subjects to achieve the required level of statistical power. </w:t>
      </w:r>
      <w:hyperlink w:history="true" w:anchor="_bookmark119">
        <w:r>
          <w:rPr/>
          <w:t>Hurst, Ruta and Kind (1998)</w:t>
        </w:r>
      </w:hyperlink>
      <w:r>
        <w:rPr>
          <w:spacing w:val="1"/>
        </w:rPr>
        <w:t> </w:t>
      </w:r>
      <w:r>
        <w:rPr/>
        <w:t>compared the performance of the SF12 and SF36 in measuring change over a three-month</w:t>
      </w:r>
      <w:r>
        <w:rPr>
          <w:spacing w:val="-53"/>
        </w:rPr>
        <w:t> </w:t>
      </w:r>
      <w:r>
        <w:rPr/>
        <w:t>period and reported the correlation of the repeated measurements of the mental health</w:t>
      </w:r>
      <w:r>
        <w:rPr>
          <w:spacing w:val="1"/>
        </w:rPr>
        <w:t> </w:t>
      </w:r>
      <w:r>
        <w:rPr/>
        <w:t>component scores and the physical health component scores on the SF12 were 0.71 and</w:t>
      </w:r>
      <w:r>
        <w:rPr>
          <w:spacing w:val="1"/>
        </w:rPr>
        <w:t> </w:t>
      </w:r>
      <w:r>
        <w:rPr/>
        <w:t>0.75, respectively. Other authors have reported a similar high level of correlation for these</w:t>
      </w:r>
      <w:r>
        <w:rPr>
          <w:spacing w:val="1"/>
        </w:rPr>
        <w:t> </w:t>
      </w:r>
      <w:r>
        <w:rPr/>
        <w:t>and</w:t>
      </w:r>
      <w:r>
        <w:rPr>
          <w:spacing w:val="-2"/>
        </w:rPr>
        <w:t> </w:t>
      </w:r>
      <w:r>
        <w:rPr/>
        <w:t>other</w:t>
      </w:r>
      <w:r>
        <w:rPr>
          <w:spacing w:val="-2"/>
        </w:rPr>
        <w:t> </w:t>
      </w:r>
      <w:r>
        <w:rPr/>
        <w:t>measures</w:t>
      </w:r>
      <w:r>
        <w:rPr>
          <w:spacing w:val="-1"/>
        </w:rPr>
        <w:t> </w:t>
      </w:r>
      <w:r>
        <w:rPr/>
        <w:t>of</w:t>
      </w:r>
      <w:r>
        <w:rPr>
          <w:spacing w:val="-2"/>
        </w:rPr>
        <w:t> </w:t>
      </w:r>
      <w:r>
        <w:rPr/>
        <w:t>quality of</w:t>
      </w:r>
      <w:r>
        <w:rPr>
          <w:spacing w:val="-1"/>
        </w:rPr>
        <w:t> </w:t>
      </w:r>
      <w:r>
        <w:rPr/>
        <w:t>life</w:t>
      </w:r>
      <w:r>
        <w:rPr>
          <w:spacing w:val="-2"/>
        </w:rPr>
        <w:t> </w:t>
      </w:r>
      <w:r>
        <w:rPr/>
        <w:t>over</w:t>
      </w:r>
      <w:r>
        <w:rPr>
          <w:spacing w:val="-1"/>
        </w:rPr>
        <w:t> </w:t>
      </w:r>
      <w:r>
        <w:rPr/>
        <w:t>a</w:t>
      </w:r>
      <w:r>
        <w:rPr>
          <w:spacing w:val="-1"/>
        </w:rPr>
        <w:t> </w:t>
      </w:r>
      <w:r>
        <w:rPr/>
        <w:t>12-month</w:t>
      </w:r>
      <w:r>
        <w:rPr>
          <w:spacing w:val="-1"/>
        </w:rPr>
        <w:t> </w:t>
      </w:r>
      <w:r>
        <w:rPr/>
        <w:t>period</w:t>
      </w:r>
      <w:r>
        <w:rPr>
          <w:spacing w:val="-1"/>
        </w:rPr>
        <w:t> </w:t>
      </w:r>
      <w:r>
        <w:rPr/>
        <w:t>(</w:t>
      </w:r>
      <w:hyperlink w:history="true" w:anchor="_bookmark141">
        <w:r>
          <w:rPr/>
          <w:t>Vickers,</w:t>
        </w:r>
        <w:r>
          <w:rPr>
            <w:spacing w:val="-4"/>
          </w:rPr>
          <w:t> </w:t>
        </w:r>
        <w:r>
          <w:rPr/>
          <w:t>2003</w:t>
        </w:r>
      </w:hyperlink>
      <w:r>
        <w:rPr/>
        <w:t>).</w:t>
      </w:r>
    </w:p>
    <w:p>
      <w:pPr>
        <w:spacing w:after="0" w:line="276" w:lineRule="auto"/>
        <w:sectPr>
          <w:pgSz w:w="11910" w:h="16840"/>
          <w:pgMar w:header="0" w:footer="675" w:top="0" w:bottom="860" w:left="580" w:right="280"/>
        </w:sectPr>
      </w:pPr>
    </w:p>
    <w:p>
      <w:pPr>
        <w:pStyle w:val="BodyText"/>
        <w:spacing w:line="276" w:lineRule="auto" w:before="82"/>
        <w:ind w:left="860" w:right="1295"/>
      </w:pPr>
      <w:r>
        <w:rPr/>
        <w:t>Patient surveys for the HCH will be repeated twice, with a maximum difference in time</w:t>
      </w:r>
      <w:r>
        <w:rPr>
          <w:spacing w:val="1"/>
        </w:rPr>
        <w:t> </w:t>
      </w:r>
      <w:r>
        <w:rPr/>
        <w:t>between surveys of 24 months. Hence, the preliminary sample size calculation assumes a</w:t>
      </w:r>
      <w:r>
        <w:rPr>
          <w:spacing w:val="1"/>
        </w:rPr>
        <w:t> </w:t>
      </w:r>
      <w:r>
        <w:rPr/>
        <w:t>correlation of 0.5 between measurements. Assuming an intracluster correlation coefficient</w:t>
      </w:r>
      <w:r>
        <w:rPr>
          <w:spacing w:val="1"/>
        </w:rPr>
        <w:t> </w:t>
      </w:r>
      <w:r>
        <w:rPr/>
        <w:t>(ICC) of 0.05, the study would require </w:t>
      </w:r>
      <w:r>
        <w:rPr>
          <w:i/>
        </w:rPr>
        <w:t>nine subjects per cluster </w:t>
      </w:r>
      <w:r>
        <w:rPr/>
        <w:t>to have 80% power to detect</w:t>
      </w:r>
      <w:r>
        <w:rPr>
          <w:spacing w:val="-53"/>
        </w:rPr>
        <w:t> </w:t>
      </w:r>
      <w:r>
        <w:rPr/>
        <w:t>a 0.1 standard deviation difference between baseline and follow-up. This equates to 1-unit</w:t>
      </w:r>
      <w:r>
        <w:rPr>
          <w:spacing w:val="1"/>
        </w:rPr>
        <w:t> </w:t>
      </w:r>
      <w:r>
        <w:rPr/>
        <w:t>change on a standardised SF12 or SF36 measure. The 0.1 standard deviation change will</w:t>
      </w:r>
      <w:r>
        <w:rPr>
          <w:spacing w:val="1"/>
        </w:rPr>
        <w:t> </w:t>
      </w:r>
      <w:r>
        <w:rPr/>
        <w:t>apply to any questionnaire with similar level of correlation between the baseline and follow-</w:t>
      </w:r>
      <w:r>
        <w:rPr>
          <w:spacing w:val="-53"/>
        </w:rPr>
        <w:t> </w:t>
      </w:r>
      <w:r>
        <w:rPr/>
        <w:t>up</w:t>
      </w:r>
      <w:r>
        <w:rPr>
          <w:spacing w:val="-1"/>
        </w:rPr>
        <w:t> </w:t>
      </w:r>
      <w:r>
        <w:rPr/>
        <w:t>measures.</w:t>
      </w:r>
    </w:p>
    <w:p>
      <w:pPr>
        <w:pStyle w:val="BodyText"/>
        <w:spacing w:line="276" w:lineRule="auto" w:before="199"/>
        <w:ind w:left="860" w:right="1455"/>
      </w:pPr>
      <w:r>
        <w:rPr/>
        <w:t>It should be noted while there are potentially 200 clusters (practices), the analysis for the</w:t>
      </w:r>
      <w:r>
        <w:rPr>
          <w:spacing w:val="1"/>
        </w:rPr>
        <w:t> </w:t>
      </w:r>
      <w:r>
        <w:rPr/>
        <w:t>evaluation</w:t>
      </w:r>
      <w:r>
        <w:rPr>
          <w:spacing w:val="-3"/>
        </w:rPr>
        <w:t> </w:t>
      </w:r>
      <w:r>
        <w:rPr/>
        <w:t>mainly</w:t>
      </w:r>
      <w:r>
        <w:rPr>
          <w:spacing w:val="-5"/>
        </w:rPr>
        <w:t> </w:t>
      </w:r>
      <w:r>
        <w:rPr/>
        <w:t>aims</w:t>
      </w:r>
      <w:r>
        <w:rPr>
          <w:spacing w:val="-3"/>
        </w:rPr>
        <w:t> </w:t>
      </w:r>
      <w:r>
        <w:rPr/>
        <w:t>to</w:t>
      </w:r>
      <w:r>
        <w:rPr>
          <w:spacing w:val="-5"/>
        </w:rPr>
        <w:t> </w:t>
      </w:r>
      <w:r>
        <w:rPr/>
        <w:t>group</w:t>
      </w:r>
      <w:r>
        <w:rPr>
          <w:spacing w:val="-3"/>
        </w:rPr>
        <w:t> </w:t>
      </w:r>
      <w:r>
        <w:rPr/>
        <w:t>these</w:t>
      </w:r>
      <w:r>
        <w:rPr>
          <w:spacing w:val="-3"/>
        </w:rPr>
        <w:t> </w:t>
      </w:r>
      <w:r>
        <w:rPr/>
        <w:t>clusters</w:t>
      </w:r>
      <w:r>
        <w:rPr>
          <w:spacing w:val="-4"/>
        </w:rPr>
        <w:t> </w:t>
      </w:r>
      <w:r>
        <w:rPr/>
        <w:t>into</w:t>
      </w:r>
      <w:r>
        <w:rPr>
          <w:spacing w:val="-4"/>
        </w:rPr>
        <w:t> </w:t>
      </w:r>
      <w:r>
        <w:rPr/>
        <w:t>subgroups.</w:t>
      </w:r>
      <w:r>
        <w:rPr>
          <w:spacing w:val="-3"/>
        </w:rPr>
        <w:t> </w:t>
      </w:r>
      <w:r>
        <w:rPr/>
        <w:t>The</w:t>
      </w:r>
      <w:r>
        <w:rPr>
          <w:spacing w:val="-4"/>
        </w:rPr>
        <w:t> </w:t>
      </w:r>
      <w:r>
        <w:rPr/>
        <w:t>power</w:t>
      </w:r>
      <w:r>
        <w:rPr>
          <w:spacing w:val="-1"/>
        </w:rPr>
        <w:t> </w:t>
      </w:r>
      <w:r>
        <w:rPr/>
        <w:t>of</w:t>
      </w:r>
      <w:r>
        <w:rPr>
          <w:spacing w:val="-3"/>
        </w:rPr>
        <w:t> </w:t>
      </w:r>
      <w:r>
        <w:rPr/>
        <w:t>the</w:t>
      </w:r>
      <w:r>
        <w:rPr>
          <w:spacing w:val="-4"/>
        </w:rPr>
        <w:t> </w:t>
      </w:r>
      <w:r>
        <w:rPr/>
        <w:t>subgroup</w:t>
      </w:r>
      <w:r>
        <w:rPr>
          <w:spacing w:val="-52"/>
        </w:rPr>
        <w:t> </w:t>
      </w:r>
      <w:r>
        <w:rPr/>
        <w:t>analysis</w:t>
      </w:r>
      <w:r>
        <w:rPr>
          <w:spacing w:val="-2"/>
        </w:rPr>
        <w:t> </w:t>
      </w:r>
      <w:r>
        <w:rPr/>
        <w:t>will</w:t>
      </w:r>
      <w:r>
        <w:rPr>
          <w:spacing w:val="1"/>
        </w:rPr>
        <w:t> </w:t>
      </w:r>
      <w:r>
        <w:rPr/>
        <w:t>be</w:t>
      </w:r>
      <w:r>
        <w:rPr>
          <w:spacing w:val="-1"/>
        </w:rPr>
        <w:t> </w:t>
      </w:r>
      <w:r>
        <w:rPr/>
        <w:t>very</w:t>
      </w:r>
      <w:r>
        <w:rPr>
          <w:spacing w:val="-3"/>
        </w:rPr>
        <w:t> </w:t>
      </w:r>
      <w:r>
        <w:rPr/>
        <w:t>sensitive</w:t>
      </w:r>
      <w:r>
        <w:rPr>
          <w:spacing w:val="-2"/>
        </w:rPr>
        <w:t> </w:t>
      </w:r>
      <w:r>
        <w:rPr/>
        <w:t>to</w:t>
      </w:r>
      <w:r>
        <w:rPr>
          <w:spacing w:val="-1"/>
        </w:rPr>
        <w:t> </w:t>
      </w:r>
      <w:r>
        <w:rPr/>
        <w:t>any</w:t>
      </w:r>
      <w:r>
        <w:rPr>
          <w:spacing w:val="-3"/>
        </w:rPr>
        <w:t> </w:t>
      </w:r>
      <w:r>
        <w:rPr/>
        <w:t>increase</w:t>
      </w:r>
      <w:r>
        <w:rPr>
          <w:spacing w:val="-1"/>
        </w:rPr>
        <w:t> </w:t>
      </w:r>
      <w:r>
        <w:rPr/>
        <w:t>in</w:t>
      </w:r>
      <w:r>
        <w:rPr>
          <w:spacing w:val="-1"/>
        </w:rPr>
        <w:t> </w:t>
      </w:r>
      <w:r>
        <w:rPr/>
        <w:t>the</w:t>
      </w:r>
      <w:r>
        <w:rPr>
          <w:spacing w:val="-4"/>
        </w:rPr>
        <w:t> </w:t>
      </w:r>
      <w:r>
        <w:rPr/>
        <w:t>value</w:t>
      </w:r>
      <w:r>
        <w:rPr>
          <w:spacing w:val="-1"/>
        </w:rPr>
        <w:t> </w:t>
      </w:r>
      <w:r>
        <w:rPr/>
        <w:t>of</w:t>
      </w:r>
      <w:r>
        <w:rPr>
          <w:spacing w:val="-2"/>
        </w:rPr>
        <w:t> </w:t>
      </w:r>
      <w:r>
        <w:rPr/>
        <w:t>the</w:t>
      </w:r>
      <w:r>
        <w:rPr>
          <w:spacing w:val="-2"/>
        </w:rPr>
        <w:t> </w:t>
      </w:r>
      <w:r>
        <w:rPr/>
        <w:t>ICC.</w:t>
      </w:r>
    </w:p>
    <w:p>
      <w:pPr>
        <w:pStyle w:val="Heading5"/>
        <w:spacing w:before="202"/>
      </w:pPr>
      <w:r>
        <w:rPr>
          <w:color w:val="003C79"/>
        </w:rPr>
        <w:t>Comparative</w:t>
      </w:r>
      <w:r>
        <w:rPr>
          <w:color w:val="003C79"/>
          <w:spacing w:val="-4"/>
        </w:rPr>
        <w:t> </w:t>
      </w:r>
      <w:r>
        <w:rPr>
          <w:color w:val="003C79"/>
        </w:rPr>
        <w:t>analysis</w:t>
      </w:r>
      <w:r>
        <w:rPr>
          <w:color w:val="003C79"/>
          <w:spacing w:val="-4"/>
        </w:rPr>
        <w:t> </w:t>
      </w:r>
      <w:r>
        <w:rPr>
          <w:color w:val="003C79"/>
        </w:rPr>
        <w:t>using</w:t>
      </w:r>
      <w:r>
        <w:rPr>
          <w:color w:val="003C79"/>
          <w:spacing w:val="-5"/>
        </w:rPr>
        <w:t> </w:t>
      </w:r>
      <w:r>
        <w:rPr>
          <w:color w:val="003C79"/>
        </w:rPr>
        <w:t>secondary</w:t>
      </w:r>
      <w:r>
        <w:rPr>
          <w:color w:val="003C79"/>
          <w:spacing w:val="-6"/>
        </w:rPr>
        <w:t> </w:t>
      </w:r>
      <w:r>
        <w:rPr>
          <w:color w:val="003C79"/>
        </w:rPr>
        <w:t>data</w:t>
      </w:r>
    </w:p>
    <w:p>
      <w:pPr>
        <w:pStyle w:val="BodyText"/>
        <w:spacing w:line="276" w:lineRule="auto" w:before="44"/>
        <w:ind w:left="860" w:right="1218"/>
      </w:pPr>
      <w:r>
        <w:rPr/>
        <w:t>Key question 2 relates to estimating changes in the quality of care for HCH patients. This</w:t>
      </w:r>
      <w:r>
        <w:rPr>
          <w:spacing w:val="1"/>
        </w:rPr>
        <w:t> </w:t>
      </w:r>
      <w:r>
        <w:rPr/>
        <w:t>question will be answered by testing for a difference in change between the intervention</w:t>
      </w:r>
      <w:r>
        <w:rPr>
          <w:spacing w:val="1"/>
        </w:rPr>
        <w:t> </w:t>
      </w:r>
      <w:r>
        <w:rPr/>
        <w:t>and comparison cohorts. Several different measures will be tested to examine this question,</w:t>
      </w:r>
      <w:r>
        <w:rPr>
          <w:spacing w:val="1"/>
        </w:rPr>
        <w:t> </w:t>
      </w:r>
      <w:r>
        <w:rPr/>
        <w:t>so the sample size calculation will be presented in generic terms. Similar assumptions have</w:t>
      </w:r>
      <w:r>
        <w:rPr>
          <w:spacing w:val="1"/>
        </w:rPr>
        <w:t> </w:t>
      </w:r>
      <w:r>
        <w:rPr/>
        <w:t>been used in these calculations as were made for the sample size calculation for the patient</w:t>
      </w:r>
      <w:r>
        <w:rPr>
          <w:spacing w:val="-53"/>
        </w:rPr>
        <w:t> </w:t>
      </w:r>
      <w:r>
        <w:rPr/>
        <w:t>surveys.</w:t>
      </w:r>
    </w:p>
    <w:p>
      <w:pPr>
        <w:pStyle w:val="BodyText"/>
        <w:spacing w:line="276" w:lineRule="auto" w:before="199"/>
        <w:ind w:left="860" w:right="1192"/>
      </w:pPr>
      <w:r>
        <w:rPr/>
        <w:t>Assuming the correlation between repeated measurements on an individual is 0.5, which is</w:t>
      </w:r>
      <w:r>
        <w:rPr>
          <w:spacing w:val="1"/>
        </w:rPr>
        <w:t> </w:t>
      </w:r>
      <w:r>
        <w:rPr/>
        <w:t>probably conservative for biophysical measures or clinical markers, the standard deviation of</w:t>
      </w:r>
      <w:r>
        <w:rPr>
          <w:spacing w:val="-53"/>
        </w:rPr>
        <w:t> </w:t>
      </w:r>
      <w:r>
        <w:rPr/>
        <w:t>the within person change will equal the standard deviation of the measurements at baseline</w:t>
      </w:r>
      <w:r>
        <w:rPr>
          <w:spacing w:val="-53"/>
        </w:rPr>
        <w:t> </w:t>
      </w:r>
      <w:r>
        <w:rPr/>
        <w:t>and follow-up</w:t>
      </w:r>
      <w:r>
        <w:rPr>
          <w:spacing w:val="4"/>
        </w:rPr>
        <w:t> </w:t>
      </w:r>
      <w:r>
        <w:rPr/>
        <w:t>(assuming</w:t>
      </w:r>
      <w:r>
        <w:rPr>
          <w:spacing w:val="6"/>
        </w:rPr>
        <w:t> </w:t>
      </w:r>
      <w:r>
        <w:rPr/>
        <w:t>the</w:t>
      </w:r>
      <w:r>
        <w:rPr>
          <w:spacing w:val="1"/>
        </w:rPr>
        <w:t> </w:t>
      </w:r>
      <w:r>
        <w:rPr/>
        <w:t>standard</w:t>
      </w:r>
      <w:r>
        <w:rPr>
          <w:spacing w:val="1"/>
        </w:rPr>
        <w:t> </w:t>
      </w:r>
      <w:r>
        <w:rPr/>
        <w:t>deviation</w:t>
      </w:r>
      <w:r>
        <w:rPr>
          <w:spacing w:val="2"/>
        </w:rPr>
        <w:t> </w:t>
      </w:r>
      <w:r>
        <w:rPr/>
        <w:t>of</w:t>
      </w:r>
      <w:r>
        <w:rPr>
          <w:spacing w:val="1"/>
        </w:rPr>
        <w:t> </w:t>
      </w:r>
      <w:r>
        <w:rPr/>
        <w:t>baseline</w:t>
      </w:r>
      <w:r>
        <w:rPr>
          <w:spacing w:val="1"/>
        </w:rPr>
        <w:t> </w:t>
      </w:r>
      <w:r>
        <w:rPr/>
        <w:t>and</w:t>
      </w:r>
      <w:r>
        <w:rPr>
          <w:spacing w:val="1"/>
        </w:rPr>
        <w:t> </w:t>
      </w:r>
      <w:r>
        <w:rPr/>
        <w:t>follow-up</w:t>
      </w:r>
      <w:r>
        <w:rPr>
          <w:spacing w:val="2"/>
        </w:rPr>
        <w:t> </w:t>
      </w:r>
      <w:r>
        <w:rPr/>
        <w:t>measurements</w:t>
      </w:r>
      <w:r>
        <w:rPr>
          <w:spacing w:val="1"/>
        </w:rPr>
        <w:t> </w:t>
      </w:r>
      <w:r>
        <w:rPr/>
        <w:t>are the same). Further assuming an ICC of 0.05 for the within person estimate of change, the</w:t>
      </w:r>
      <w:r>
        <w:rPr>
          <w:spacing w:val="1"/>
        </w:rPr>
        <w:t> </w:t>
      </w:r>
      <w:r>
        <w:rPr/>
        <w:t>study will have more than 80% power to detect a difference of 0.1 standard deviations in</w:t>
      </w:r>
      <w:r>
        <w:rPr>
          <w:spacing w:val="1"/>
        </w:rPr>
        <w:t> </w:t>
      </w:r>
      <w:r>
        <w:rPr/>
        <w:t>change between the intervention and comparison cohort if at least 29 subjects per cluster</w:t>
      </w:r>
      <w:r>
        <w:rPr>
          <w:spacing w:val="1"/>
        </w:rPr>
        <w:t> </w:t>
      </w:r>
      <w:r>
        <w:rPr/>
        <w:t>are</w:t>
      </w:r>
      <w:r>
        <w:rPr>
          <w:spacing w:val="-4"/>
        </w:rPr>
        <w:t> </w:t>
      </w:r>
      <w:r>
        <w:rPr/>
        <w:t>included</w:t>
      </w:r>
      <w:r>
        <w:rPr>
          <w:spacing w:val="-2"/>
        </w:rPr>
        <w:t> </w:t>
      </w:r>
      <w:r>
        <w:rPr/>
        <w:t>in</w:t>
      </w:r>
      <w:r>
        <w:rPr>
          <w:spacing w:val="-3"/>
        </w:rPr>
        <w:t> </w:t>
      </w:r>
      <w:r>
        <w:rPr/>
        <w:t>the</w:t>
      </w:r>
      <w:r>
        <w:rPr>
          <w:spacing w:val="-3"/>
        </w:rPr>
        <w:t> </w:t>
      </w:r>
      <w:r>
        <w:rPr/>
        <w:t>analysis.</w:t>
      </w:r>
      <w:r>
        <w:rPr>
          <w:spacing w:val="-3"/>
        </w:rPr>
        <w:t> </w:t>
      </w:r>
      <w:r>
        <w:rPr/>
        <w:t>For</w:t>
      </w:r>
      <w:r>
        <w:rPr>
          <w:spacing w:val="-4"/>
        </w:rPr>
        <w:t> </w:t>
      </w:r>
      <w:r>
        <w:rPr/>
        <w:t>example,</w:t>
      </w:r>
      <w:r>
        <w:rPr>
          <w:spacing w:val="-5"/>
        </w:rPr>
        <w:t> </w:t>
      </w:r>
      <w:r>
        <w:rPr/>
        <w:t>this</w:t>
      </w:r>
      <w:r>
        <w:rPr>
          <w:spacing w:val="-3"/>
        </w:rPr>
        <w:t> </w:t>
      </w:r>
      <w:r>
        <w:rPr/>
        <w:t>would</w:t>
      </w:r>
      <w:r>
        <w:rPr>
          <w:spacing w:val="-4"/>
        </w:rPr>
        <w:t> </w:t>
      </w:r>
      <w:r>
        <w:rPr/>
        <w:t>equate</w:t>
      </w:r>
      <w:r>
        <w:rPr>
          <w:spacing w:val="-3"/>
        </w:rPr>
        <w:t> </w:t>
      </w:r>
      <w:r>
        <w:rPr/>
        <w:t>to</w:t>
      </w:r>
      <w:r>
        <w:rPr>
          <w:spacing w:val="-3"/>
        </w:rPr>
        <w:t> </w:t>
      </w:r>
      <w:r>
        <w:rPr/>
        <w:t>a</w:t>
      </w:r>
      <w:r>
        <w:rPr>
          <w:spacing w:val="-3"/>
        </w:rPr>
        <w:t> </w:t>
      </w:r>
      <w:r>
        <w:rPr/>
        <w:t>difference of</w:t>
      </w:r>
      <w:r>
        <w:rPr>
          <w:spacing w:val="-3"/>
        </w:rPr>
        <w:t> </w:t>
      </w:r>
      <w:r>
        <w:rPr/>
        <w:t>approximately</w:t>
      </w:r>
      <w:r>
        <w:rPr>
          <w:spacing w:val="-53"/>
        </w:rPr>
        <w:t> </w:t>
      </w:r>
      <w:r>
        <w:rPr/>
        <w:t>0.1%</w:t>
      </w:r>
      <w:r>
        <w:rPr>
          <w:spacing w:val="-2"/>
        </w:rPr>
        <w:t> </w:t>
      </w:r>
      <w:r>
        <w:rPr/>
        <w:t>in the</w:t>
      </w:r>
      <w:r>
        <w:rPr>
          <w:spacing w:val="-2"/>
        </w:rPr>
        <w:t> </w:t>
      </w:r>
      <w:r>
        <w:rPr/>
        <w:t>measurement</w:t>
      </w:r>
      <w:r>
        <w:rPr>
          <w:spacing w:val="1"/>
        </w:rPr>
        <w:t> </w:t>
      </w:r>
      <w:r>
        <w:rPr/>
        <w:t>of</w:t>
      </w:r>
      <w:r>
        <w:rPr>
          <w:spacing w:val="-1"/>
        </w:rPr>
        <w:t> </w:t>
      </w:r>
      <w:r>
        <w:rPr/>
        <w:t>HbA1c</w:t>
      </w:r>
      <w:r>
        <w:rPr>
          <w:spacing w:val="-1"/>
        </w:rPr>
        <w:t> </w:t>
      </w:r>
      <w:r>
        <w:rPr/>
        <w:t>among</w:t>
      </w:r>
      <w:r>
        <w:rPr>
          <w:spacing w:val="4"/>
        </w:rPr>
        <w:t> </w:t>
      </w:r>
      <w:r>
        <w:rPr/>
        <w:t>patients</w:t>
      </w:r>
      <w:r>
        <w:rPr>
          <w:spacing w:val="-2"/>
        </w:rPr>
        <w:t> </w:t>
      </w:r>
      <w:r>
        <w:rPr/>
        <w:t>with diabetes.</w:t>
      </w:r>
    </w:p>
    <w:p>
      <w:pPr>
        <w:pStyle w:val="BodyText"/>
        <w:spacing w:line="276" w:lineRule="auto" w:before="201"/>
        <w:ind w:left="860" w:right="1332"/>
      </w:pPr>
      <w:r>
        <w:rPr/>
        <w:t>For dichotomous outcomes, it is assumed the percentage of patients with the outcome of</w:t>
      </w:r>
      <w:r>
        <w:rPr>
          <w:spacing w:val="1"/>
        </w:rPr>
        <w:t> </w:t>
      </w:r>
      <w:r>
        <w:rPr/>
        <w:t>interest in the comparison group at follow-up is 50% because it is the worse-case scenario in</w:t>
      </w:r>
      <w:r>
        <w:rPr>
          <w:spacing w:val="-53"/>
        </w:rPr>
        <w:t> </w:t>
      </w:r>
      <w:r>
        <w:rPr/>
        <w:t>terms</w:t>
      </w:r>
      <w:r>
        <w:rPr>
          <w:spacing w:val="-3"/>
        </w:rPr>
        <w:t> </w:t>
      </w:r>
      <w:r>
        <w:rPr/>
        <w:t>of</w:t>
      </w:r>
      <w:r>
        <w:rPr>
          <w:spacing w:val="-3"/>
        </w:rPr>
        <w:t> </w:t>
      </w:r>
      <w:r>
        <w:rPr/>
        <w:t>a</w:t>
      </w:r>
      <w:r>
        <w:rPr>
          <w:spacing w:val="-2"/>
        </w:rPr>
        <w:t> </w:t>
      </w:r>
      <w:r>
        <w:rPr/>
        <w:t>sample</w:t>
      </w:r>
      <w:r>
        <w:rPr>
          <w:spacing w:val="-3"/>
        </w:rPr>
        <w:t> </w:t>
      </w:r>
      <w:r>
        <w:rPr/>
        <w:t>size</w:t>
      </w:r>
      <w:r>
        <w:rPr>
          <w:spacing w:val="-3"/>
        </w:rPr>
        <w:t> </w:t>
      </w:r>
      <w:r>
        <w:rPr/>
        <w:t>calculation,</w:t>
      </w:r>
      <w:r>
        <w:rPr>
          <w:spacing w:val="-1"/>
        </w:rPr>
        <w:t> </w:t>
      </w:r>
      <w:r>
        <w:rPr/>
        <w:t>and</w:t>
      </w:r>
      <w:r>
        <w:rPr>
          <w:spacing w:val="-3"/>
        </w:rPr>
        <w:t> </w:t>
      </w:r>
      <w:r>
        <w:rPr/>
        <w:t>therefore</w:t>
      </w:r>
      <w:r>
        <w:rPr>
          <w:spacing w:val="-1"/>
        </w:rPr>
        <w:t> </w:t>
      </w:r>
      <w:r>
        <w:rPr/>
        <w:t>it</w:t>
      </w:r>
      <w:r>
        <w:rPr>
          <w:spacing w:val="-1"/>
        </w:rPr>
        <w:t> </w:t>
      </w:r>
      <w:r>
        <w:rPr/>
        <w:t>will</w:t>
      </w:r>
      <w:r>
        <w:rPr>
          <w:spacing w:val="-2"/>
        </w:rPr>
        <w:t> </w:t>
      </w:r>
      <w:r>
        <w:rPr/>
        <w:t>maximise</w:t>
      </w:r>
      <w:r>
        <w:rPr>
          <w:spacing w:val="-1"/>
        </w:rPr>
        <w:t> </w:t>
      </w:r>
      <w:r>
        <w:rPr/>
        <w:t>the</w:t>
      </w:r>
      <w:r>
        <w:rPr>
          <w:spacing w:val="-3"/>
        </w:rPr>
        <w:t> </w:t>
      </w:r>
      <w:r>
        <w:rPr/>
        <w:t>sample</w:t>
      </w:r>
      <w:r>
        <w:rPr>
          <w:spacing w:val="-4"/>
        </w:rPr>
        <w:t> </w:t>
      </w:r>
      <w:r>
        <w:rPr/>
        <w:t>size</w:t>
      </w:r>
      <w:r>
        <w:rPr>
          <w:spacing w:val="-3"/>
        </w:rPr>
        <w:t> </w:t>
      </w:r>
      <w:r>
        <w:rPr/>
        <w:t>required.</w:t>
      </w:r>
    </w:p>
    <w:p>
      <w:pPr>
        <w:pStyle w:val="BodyText"/>
        <w:spacing w:line="276" w:lineRule="auto" w:before="1"/>
        <w:ind w:left="860" w:right="1455"/>
      </w:pPr>
      <w:r>
        <w:rPr/>
        <w:t>Using the same number of subjects as estimated for the sample size for the continuous</w:t>
      </w:r>
      <w:r>
        <w:rPr>
          <w:spacing w:val="1"/>
        </w:rPr>
        <w:t> </w:t>
      </w:r>
      <w:r>
        <w:rPr/>
        <w:t>outcomes above, the study will be able to detect a difference in change of 5% in the</w:t>
      </w:r>
      <w:r>
        <w:rPr>
          <w:spacing w:val="1"/>
        </w:rPr>
        <w:t> </w:t>
      </w:r>
      <w:r>
        <w:rPr/>
        <w:t>percentage of individuals with the outcome, which is about 0.1 of a standard deviation</w:t>
      </w:r>
      <w:r>
        <w:rPr>
          <w:spacing w:val="1"/>
        </w:rPr>
        <w:t> </w:t>
      </w:r>
      <w:r>
        <w:rPr/>
        <w:t>based</w:t>
      </w:r>
      <w:r>
        <w:rPr>
          <w:spacing w:val="-3"/>
        </w:rPr>
        <w:t> </w:t>
      </w:r>
      <w:r>
        <w:rPr/>
        <w:t>on</w:t>
      </w:r>
      <w:r>
        <w:rPr>
          <w:spacing w:val="-2"/>
        </w:rPr>
        <w:t> </w:t>
      </w:r>
      <w:r>
        <w:rPr/>
        <w:t>the</w:t>
      </w:r>
      <w:r>
        <w:rPr>
          <w:spacing w:val="-3"/>
        </w:rPr>
        <w:t> </w:t>
      </w:r>
      <w:r>
        <w:rPr/>
        <w:t>normal</w:t>
      </w:r>
      <w:r>
        <w:rPr>
          <w:spacing w:val="-2"/>
        </w:rPr>
        <w:t> </w:t>
      </w:r>
      <w:r>
        <w:rPr/>
        <w:t>approximation</w:t>
      </w:r>
      <w:r>
        <w:rPr>
          <w:spacing w:val="-2"/>
        </w:rPr>
        <w:t> </w:t>
      </w:r>
      <w:r>
        <w:rPr/>
        <w:t>to</w:t>
      </w:r>
      <w:r>
        <w:rPr>
          <w:spacing w:val="-3"/>
        </w:rPr>
        <w:t> </w:t>
      </w:r>
      <w:r>
        <w:rPr/>
        <w:t>binomial</w:t>
      </w:r>
      <w:r>
        <w:rPr>
          <w:spacing w:val="-4"/>
        </w:rPr>
        <w:t> </w:t>
      </w:r>
      <w:r>
        <w:rPr/>
        <w:t>when</w:t>
      </w:r>
      <w:r>
        <w:rPr>
          <w:spacing w:val="-4"/>
        </w:rPr>
        <w:t> </w:t>
      </w:r>
      <w:r>
        <w:rPr/>
        <w:t>the</w:t>
      </w:r>
      <w:r>
        <w:rPr>
          <w:spacing w:val="-2"/>
        </w:rPr>
        <w:t> </w:t>
      </w:r>
      <w:r>
        <w:rPr/>
        <w:t>proportion</w:t>
      </w:r>
      <w:r>
        <w:rPr>
          <w:spacing w:val="-2"/>
        </w:rPr>
        <w:t> </w:t>
      </w:r>
      <w:r>
        <w:rPr/>
        <w:t>with</w:t>
      </w:r>
      <w:r>
        <w:rPr>
          <w:spacing w:val="-4"/>
        </w:rPr>
        <w:t> </w:t>
      </w:r>
      <w:r>
        <w:rPr/>
        <w:t>the</w:t>
      </w:r>
      <w:r>
        <w:rPr>
          <w:spacing w:val="-3"/>
        </w:rPr>
        <w:t> </w:t>
      </w:r>
      <w:r>
        <w:rPr/>
        <w:t>outcome</w:t>
      </w:r>
      <w:r>
        <w:rPr>
          <w:spacing w:val="-3"/>
        </w:rPr>
        <w:t> </w:t>
      </w:r>
      <w:r>
        <w:rPr/>
        <w:t>is</w:t>
      </w:r>
      <w:r>
        <w:rPr>
          <w:spacing w:val="-52"/>
        </w:rPr>
        <w:t> </w:t>
      </w:r>
      <w:r>
        <w:rPr/>
        <w:t>0.5.</w:t>
      </w:r>
    </w:p>
    <w:p>
      <w:pPr>
        <w:pStyle w:val="BodyText"/>
        <w:spacing w:line="276" w:lineRule="auto" w:before="201"/>
        <w:ind w:left="860" w:right="1163"/>
      </w:pPr>
      <w:hyperlink w:history="true" w:anchor="_bookmark82">
        <w:r>
          <w:rPr/>
          <w:t>Figure 5 </w:t>
        </w:r>
      </w:hyperlink>
      <w:r>
        <w:rPr/>
        <w:t>below shows the number of subjects required per cluster to achieve a given level of</w:t>
      </w:r>
      <w:r>
        <w:rPr>
          <w:spacing w:val="1"/>
        </w:rPr>
        <w:t> </w:t>
      </w:r>
      <w:r>
        <w:rPr/>
        <w:t>power to find a difference of 0.1 standard deviation for a range of values of the ICC. Of</w:t>
      </w:r>
      <w:r>
        <w:rPr>
          <w:spacing w:val="1"/>
        </w:rPr>
        <w:t> </w:t>
      </w:r>
      <w:r>
        <w:rPr/>
        <w:t>interest is the substantial increase in the penalty as the ICC increases, for example to achieve</w:t>
      </w:r>
      <w:r>
        <w:rPr>
          <w:spacing w:val="-53"/>
        </w:rPr>
        <w:t> </w:t>
      </w:r>
      <w:r>
        <w:rPr/>
        <w:t>just over 80% power, the study requires 16 subjects per cluster when the ICC = 0.02 and 276</w:t>
      </w:r>
      <w:r>
        <w:rPr>
          <w:spacing w:val="1"/>
        </w:rPr>
        <w:t> </w:t>
      </w:r>
      <w:r>
        <w:rPr/>
        <w:t>subjects per cluster when the ICC = 0.08. There are no circles above 80% power for some</w:t>
      </w:r>
      <w:r>
        <w:rPr>
          <w:spacing w:val="1"/>
        </w:rPr>
        <w:t> </w:t>
      </w:r>
      <w:r>
        <w:rPr/>
        <w:t>ICCs, indicating that it is not achievable under this scenario regardless of how many people</w:t>
      </w:r>
      <w:r>
        <w:rPr>
          <w:spacing w:val="1"/>
        </w:rPr>
        <w:t> </w:t>
      </w:r>
      <w:r>
        <w:rPr/>
        <w:t>are sampled from each cluster. For example, if the ICC is 0.10 the study would not achieve</w:t>
      </w:r>
      <w:r>
        <w:rPr>
          <w:spacing w:val="1"/>
        </w:rPr>
        <w:t> </w:t>
      </w:r>
      <w:r>
        <w:rPr/>
        <w:t>80% power to detect a 0.1 standard deviation difference regardless of how many patients</w:t>
      </w:r>
      <w:r>
        <w:rPr>
          <w:spacing w:val="1"/>
        </w:rPr>
        <w:t> </w:t>
      </w:r>
      <w:r>
        <w:rPr/>
        <w:t>were</w:t>
      </w:r>
      <w:r>
        <w:rPr>
          <w:spacing w:val="-2"/>
        </w:rPr>
        <w:t> </w:t>
      </w:r>
      <w:r>
        <w:rPr/>
        <w:t>sampled</w:t>
      </w:r>
      <w:r>
        <w:rPr>
          <w:spacing w:val="-1"/>
        </w:rPr>
        <w:t> </w:t>
      </w:r>
      <w:r>
        <w:rPr/>
        <w:t>from</w:t>
      </w:r>
      <w:r>
        <w:rPr>
          <w:spacing w:val="-1"/>
        </w:rPr>
        <w:t> </w:t>
      </w:r>
      <w:r>
        <w:rPr/>
        <w:t>each practice.</w:t>
      </w:r>
    </w:p>
    <w:p>
      <w:pPr>
        <w:spacing w:after="0" w:line="276" w:lineRule="auto"/>
        <w:sectPr>
          <w:pgSz w:w="11910" w:h="16840"/>
          <w:pgMar w:header="0" w:footer="675" w:top="1340" w:bottom="860" w:left="580" w:right="280"/>
        </w:sectPr>
      </w:pPr>
    </w:p>
    <w:p>
      <w:pPr>
        <w:spacing w:before="80"/>
        <w:ind w:left="1225" w:right="1518" w:firstLine="0"/>
        <w:jc w:val="center"/>
        <w:rPr>
          <w:b/>
          <w:sz w:val="18"/>
        </w:rPr>
      </w:pPr>
      <w:bookmarkStart w:name="_bookmark82" w:id="83"/>
      <w:bookmarkEnd w:id="83"/>
      <w:r>
        <w:rPr/>
      </w:r>
      <w:r>
        <w:rPr>
          <w:b/>
          <w:sz w:val="18"/>
        </w:rPr>
        <w:t>Figure</w:t>
      </w:r>
      <w:r>
        <w:rPr>
          <w:b/>
          <w:spacing w:val="-2"/>
          <w:sz w:val="18"/>
        </w:rPr>
        <w:t> </w:t>
      </w:r>
      <w:r>
        <w:rPr>
          <w:b/>
          <w:sz w:val="18"/>
        </w:rPr>
        <w:t>5</w:t>
      </w:r>
      <w:r>
        <w:rPr>
          <w:b/>
          <w:spacing w:val="-2"/>
          <w:sz w:val="18"/>
        </w:rPr>
        <w:t> </w:t>
      </w:r>
      <w:r>
        <w:rPr>
          <w:b/>
          <w:sz w:val="18"/>
        </w:rPr>
        <w:t>-</w:t>
      </w:r>
      <w:r>
        <w:rPr>
          <w:b/>
          <w:spacing w:val="-1"/>
          <w:sz w:val="18"/>
        </w:rPr>
        <w:t> </w:t>
      </w:r>
      <w:r>
        <w:rPr>
          <w:b/>
          <w:sz w:val="18"/>
        </w:rPr>
        <w:t>Number</w:t>
      </w:r>
      <w:r>
        <w:rPr>
          <w:b/>
          <w:spacing w:val="-2"/>
          <w:sz w:val="18"/>
        </w:rPr>
        <w:t> </w:t>
      </w:r>
      <w:r>
        <w:rPr>
          <w:b/>
          <w:sz w:val="18"/>
        </w:rPr>
        <w:t>of</w:t>
      </w:r>
      <w:r>
        <w:rPr>
          <w:b/>
          <w:spacing w:val="-3"/>
          <w:sz w:val="18"/>
        </w:rPr>
        <w:t> </w:t>
      </w:r>
      <w:r>
        <w:rPr>
          <w:b/>
          <w:sz w:val="18"/>
        </w:rPr>
        <w:t>subjects</w:t>
      </w:r>
      <w:r>
        <w:rPr>
          <w:b/>
          <w:spacing w:val="-2"/>
          <w:sz w:val="18"/>
        </w:rPr>
        <w:t> </w:t>
      </w:r>
      <w:r>
        <w:rPr>
          <w:b/>
          <w:sz w:val="18"/>
        </w:rPr>
        <w:t>per</w:t>
      </w:r>
      <w:r>
        <w:rPr>
          <w:b/>
          <w:spacing w:val="-3"/>
          <w:sz w:val="18"/>
        </w:rPr>
        <w:t> </w:t>
      </w:r>
      <w:r>
        <w:rPr>
          <w:b/>
          <w:sz w:val="18"/>
        </w:rPr>
        <w:t>cluster</w:t>
      </w:r>
      <w:r>
        <w:rPr>
          <w:b/>
          <w:spacing w:val="-2"/>
          <w:sz w:val="18"/>
        </w:rPr>
        <w:t> </w:t>
      </w:r>
      <w:r>
        <w:rPr>
          <w:b/>
          <w:sz w:val="18"/>
        </w:rPr>
        <w:t>required</w:t>
      </w:r>
      <w:r>
        <w:rPr>
          <w:b/>
          <w:spacing w:val="-1"/>
          <w:sz w:val="18"/>
        </w:rPr>
        <w:t> </w:t>
      </w:r>
      <w:r>
        <w:rPr>
          <w:b/>
          <w:sz w:val="18"/>
        </w:rPr>
        <w:t>for</w:t>
      </w:r>
      <w:r>
        <w:rPr>
          <w:b/>
          <w:spacing w:val="-2"/>
          <w:sz w:val="18"/>
        </w:rPr>
        <w:t> </w:t>
      </w:r>
      <w:r>
        <w:rPr>
          <w:b/>
          <w:sz w:val="18"/>
        </w:rPr>
        <w:t>a</w:t>
      </w:r>
      <w:r>
        <w:rPr>
          <w:b/>
          <w:spacing w:val="-3"/>
          <w:sz w:val="18"/>
        </w:rPr>
        <w:t> </w:t>
      </w:r>
      <w:r>
        <w:rPr>
          <w:b/>
          <w:sz w:val="18"/>
        </w:rPr>
        <w:t>given</w:t>
      </w:r>
      <w:r>
        <w:rPr>
          <w:b/>
          <w:spacing w:val="-2"/>
          <w:sz w:val="18"/>
        </w:rPr>
        <w:t> </w:t>
      </w:r>
      <w:r>
        <w:rPr>
          <w:b/>
          <w:sz w:val="18"/>
        </w:rPr>
        <w:t>level</w:t>
      </w:r>
      <w:r>
        <w:rPr>
          <w:b/>
          <w:spacing w:val="-2"/>
          <w:sz w:val="18"/>
        </w:rPr>
        <w:t> </w:t>
      </w:r>
      <w:r>
        <w:rPr>
          <w:b/>
          <w:sz w:val="18"/>
        </w:rPr>
        <w:t>of</w:t>
      </w:r>
      <w:r>
        <w:rPr>
          <w:b/>
          <w:spacing w:val="-2"/>
          <w:sz w:val="18"/>
        </w:rPr>
        <w:t> </w:t>
      </w:r>
      <w:r>
        <w:rPr>
          <w:b/>
          <w:sz w:val="18"/>
        </w:rPr>
        <w:t>power</w:t>
      </w:r>
    </w:p>
    <w:p>
      <w:pPr>
        <w:pStyle w:val="BodyText"/>
        <w:spacing w:before="4"/>
        <w:rPr>
          <w:b/>
          <w:sz w:val="10"/>
        </w:rPr>
      </w:pPr>
      <w:r>
        <w:rPr/>
        <w:drawing>
          <wp:anchor distT="0" distB="0" distL="0" distR="0" allowOverlap="1" layoutInCell="1" locked="0" behindDoc="0" simplePos="0" relativeHeight="32">
            <wp:simplePos x="0" y="0"/>
            <wp:positionH relativeFrom="page">
              <wp:posOffset>994727</wp:posOffset>
            </wp:positionH>
            <wp:positionV relativeFrom="paragraph">
              <wp:posOffset>95946</wp:posOffset>
            </wp:positionV>
            <wp:extent cx="5562875" cy="3838575"/>
            <wp:effectExtent l="0" t="0" r="0" b="0"/>
            <wp:wrapTopAndBottom/>
            <wp:docPr id="19" name="image12.png" descr="Shows the number of subjects required per cluster to achieve a given level of power to find a difference of 0.1 standard deviation for a range of values of the ICC. Of interest is the substantial increase in the penalty as the ICC increases, for example to achieve just over 80% power, the study requires 16 subjects per cluster when the ICC = 0.02 and 276 subjects per cluster when the ICC = 0.08. There are no circles above 80% power for some ICCs, indicating that it is not achievable under this scenario regardless of how many people are sampled from each cluster. For example, if the ICC is 0.10 the study would not achieve 80% power to detect a 0.1 standard deviation difference regardless of how many patients were sampled from each practice."/>
            <wp:cNvGraphicFramePr>
              <a:graphicFrameLocks noChangeAspect="1"/>
            </wp:cNvGraphicFramePr>
            <a:graphic>
              <a:graphicData uri="http://schemas.openxmlformats.org/drawingml/2006/picture">
                <pic:pic>
                  <pic:nvPicPr>
                    <pic:cNvPr id="20" name="image12.png"/>
                    <pic:cNvPicPr/>
                  </pic:nvPicPr>
                  <pic:blipFill>
                    <a:blip r:embed="rId36" cstate="print"/>
                    <a:stretch>
                      <a:fillRect/>
                    </a:stretch>
                  </pic:blipFill>
                  <pic:spPr>
                    <a:xfrm>
                      <a:off x="0" y="0"/>
                      <a:ext cx="5562875" cy="3838575"/>
                    </a:xfrm>
                    <a:prstGeom prst="rect">
                      <a:avLst/>
                    </a:prstGeom>
                  </pic:spPr>
                </pic:pic>
              </a:graphicData>
            </a:graphic>
          </wp:anchor>
        </w:drawing>
      </w:r>
    </w:p>
    <w:p>
      <w:pPr>
        <w:spacing w:before="22"/>
        <w:ind w:left="860" w:right="0" w:firstLine="0"/>
        <w:jc w:val="left"/>
        <w:rPr>
          <w:i/>
          <w:sz w:val="16"/>
        </w:rPr>
      </w:pPr>
      <w:r>
        <w:rPr>
          <w:i/>
          <w:sz w:val="16"/>
        </w:rPr>
        <w:t>Note:</w:t>
      </w:r>
      <w:r>
        <w:rPr>
          <w:i/>
          <w:spacing w:val="-5"/>
          <w:sz w:val="16"/>
        </w:rPr>
        <w:t> </w:t>
      </w:r>
      <w:r>
        <w:rPr>
          <w:i/>
          <w:sz w:val="16"/>
        </w:rPr>
        <w:t>Continuous</w:t>
      </w:r>
      <w:r>
        <w:rPr>
          <w:i/>
          <w:spacing w:val="-3"/>
          <w:sz w:val="16"/>
        </w:rPr>
        <w:t> </w:t>
      </w:r>
      <w:r>
        <w:rPr>
          <w:i/>
          <w:sz w:val="16"/>
        </w:rPr>
        <w:t>outcome</w:t>
      </w:r>
      <w:r>
        <w:rPr>
          <w:i/>
          <w:spacing w:val="-3"/>
          <w:sz w:val="16"/>
        </w:rPr>
        <w:t> </w:t>
      </w:r>
      <w:r>
        <w:rPr>
          <w:i/>
          <w:sz w:val="16"/>
        </w:rPr>
        <w:t>and a</w:t>
      </w:r>
      <w:r>
        <w:rPr>
          <w:i/>
          <w:spacing w:val="-3"/>
          <w:sz w:val="16"/>
        </w:rPr>
        <w:t> </w:t>
      </w:r>
      <w:r>
        <w:rPr>
          <w:i/>
          <w:sz w:val="16"/>
        </w:rPr>
        <w:t>range</w:t>
      </w:r>
      <w:r>
        <w:rPr>
          <w:i/>
          <w:spacing w:val="-2"/>
          <w:sz w:val="16"/>
        </w:rPr>
        <w:t> </w:t>
      </w:r>
      <w:r>
        <w:rPr>
          <w:i/>
          <w:sz w:val="16"/>
        </w:rPr>
        <w:t>of</w:t>
      </w:r>
      <w:r>
        <w:rPr>
          <w:i/>
          <w:spacing w:val="-3"/>
          <w:sz w:val="16"/>
        </w:rPr>
        <w:t> </w:t>
      </w:r>
      <w:r>
        <w:rPr>
          <w:i/>
          <w:sz w:val="16"/>
        </w:rPr>
        <w:t>ICC</w:t>
      </w:r>
      <w:r>
        <w:rPr>
          <w:i/>
          <w:spacing w:val="-1"/>
          <w:sz w:val="16"/>
        </w:rPr>
        <w:t> </w:t>
      </w:r>
      <w:r>
        <w:rPr>
          <w:i/>
          <w:sz w:val="16"/>
        </w:rPr>
        <w:t>values.</w:t>
      </w:r>
    </w:p>
    <w:p>
      <w:pPr>
        <w:pStyle w:val="BodyText"/>
        <w:spacing w:before="11"/>
        <w:rPr>
          <w:i/>
          <w:sz w:val="18"/>
        </w:rPr>
      </w:pPr>
    </w:p>
    <w:p>
      <w:pPr>
        <w:pStyle w:val="BodyText"/>
        <w:spacing w:line="276" w:lineRule="auto"/>
        <w:ind w:left="860" w:right="1176"/>
      </w:pPr>
      <w:r>
        <w:rPr/>
        <w:t>Key question 4 relates to estimating differences in service use, including hospitalisation. This</w:t>
      </w:r>
      <w:r>
        <w:rPr>
          <w:spacing w:val="1"/>
        </w:rPr>
        <w:t> </w:t>
      </w:r>
      <w:r>
        <w:rPr/>
        <w:t>question will also be examined by testing for a difference in change between the</w:t>
      </w:r>
      <w:r>
        <w:rPr>
          <w:spacing w:val="1"/>
        </w:rPr>
        <w:t> </w:t>
      </w:r>
      <w:r>
        <w:rPr/>
        <w:t>intervention and comparison cohorts and consequently the power calculations outlined for</w:t>
      </w:r>
      <w:r>
        <w:rPr>
          <w:spacing w:val="1"/>
        </w:rPr>
        <w:t> </w:t>
      </w:r>
      <w:r>
        <w:rPr/>
        <w:t>key question 2 also apply to key question 4. Key question 4 will also examine the impact on</w:t>
      </w:r>
      <w:r>
        <w:rPr>
          <w:spacing w:val="1"/>
        </w:rPr>
        <w:t> </w:t>
      </w:r>
      <w:r>
        <w:rPr/>
        <w:t>the</w:t>
      </w:r>
      <w:r>
        <w:rPr>
          <w:spacing w:val="2"/>
        </w:rPr>
        <w:t> </w:t>
      </w:r>
      <w:r>
        <w:rPr/>
        <w:t>number</w:t>
      </w:r>
      <w:r>
        <w:rPr>
          <w:spacing w:val="3"/>
        </w:rPr>
        <w:t> </w:t>
      </w:r>
      <w:r>
        <w:rPr/>
        <w:t>of</w:t>
      </w:r>
      <w:r>
        <w:rPr>
          <w:spacing w:val="3"/>
        </w:rPr>
        <w:t> </w:t>
      </w:r>
      <w:r>
        <w:rPr/>
        <w:t>hospital</w:t>
      </w:r>
      <w:r>
        <w:rPr>
          <w:spacing w:val="3"/>
        </w:rPr>
        <w:t> </w:t>
      </w:r>
      <w:r>
        <w:rPr/>
        <w:t>admissions,</w:t>
      </w:r>
      <w:r>
        <w:rPr>
          <w:spacing w:val="1"/>
        </w:rPr>
        <w:t> </w:t>
      </w:r>
      <w:r>
        <w:rPr/>
        <w:t>the</w:t>
      </w:r>
      <w:r>
        <w:rPr>
          <w:spacing w:val="3"/>
        </w:rPr>
        <w:t> </w:t>
      </w:r>
      <w:r>
        <w:rPr/>
        <w:t>number</w:t>
      </w:r>
      <w:r>
        <w:rPr>
          <w:spacing w:val="5"/>
        </w:rPr>
        <w:t> </w:t>
      </w:r>
      <w:r>
        <w:rPr/>
        <w:t>of</w:t>
      </w:r>
      <w:r>
        <w:rPr>
          <w:spacing w:val="5"/>
        </w:rPr>
        <w:t> </w:t>
      </w:r>
      <w:r>
        <w:rPr/>
        <w:t>emergency</w:t>
      </w:r>
      <w:r>
        <w:rPr>
          <w:spacing w:val="2"/>
        </w:rPr>
        <w:t> </w:t>
      </w:r>
      <w:r>
        <w:rPr/>
        <w:t>department</w:t>
      </w:r>
      <w:r>
        <w:rPr>
          <w:spacing w:val="2"/>
        </w:rPr>
        <w:t> </w:t>
      </w:r>
      <w:r>
        <w:rPr/>
        <w:t>presentations,</w:t>
      </w:r>
      <w:r>
        <w:rPr>
          <w:spacing w:val="1"/>
        </w:rPr>
        <w:t> </w:t>
      </w:r>
      <w:r>
        <w:rPr/>
        <w:t>and a range of MBS and PBS outcomes that will be recorded as counts. The calculation</w:t>
      </w:r>
      <w:r>
        <w:rPr>
          <w:spacing w:val="1"/>
        </w:rPr>
        <w:t> </w:t>
      </w:r>
      <w:r>
        <w:rPr/>
        <w:t>presented here is for the outcome of hospital admissions. Of all the outcomes, hospital</w:t>
      </w:r>
      <w:r>
        <w:rPr>
          <w:spacing w:val="1"/>
        </w:rPr>
        <w:t> </w:t>
      </w:r>
      <w:r>
        <w:rPr/>
        <w:t>admissions are likely to have the lowest counts and therefore require the largest sample size</w:t>
      </w:r>
      <w:r>
        <w:rPr>
          <w:spacing w:val="1"/>
        </w:rPr>
        <w:t> </w:t>
      </w:r>
      <w:r>
        <w:rPr/>
        <w:t>to detect a real effect. It is assumed that the mean number of hospital admissions over a 12-</w:t>
      </w:r>
      <w:r>
        <w:rPr>
          <w:spacing w:val="1"/>
        </w:rPr>
        <w:t> </w:t>
      </w:r>
      <w:r>
        <w:rPr/>
        <w:t>month period for patients enrolled in</w:t>
      </w:r>
      <w:r>
        <w:rPr>
          <w:spacing w:val="1"/>
        </w:rPr>
        <w:t> </w:t>
      </w:r>
      <w:r>
        <w:rPr/>
        <w:t>HCH</w:t>
      </w:r>
      <w:r>
        <w:rPr>
          <w:spacing w:val="1"/>
        </w:rPr>
        <w:t> </w:t>
      </w:r>
      <w:r>
        <w:rPr/>
        <w:t>will</w:t>
      </w:r>
      <w:r>
        <w:rPr>
          <w:spacing w:val="1"/>
        </w:rPr>
        <w:t> </w:t>
      </w:r>
      <w:r>
        <w:rPr/>
        <w:t>be two and that</w:t>
      </w:r>
      <w:r>
        <w:rPr>
          <w:spacing w:val="2"/>
        </w:rPr>
        <w:t> </w:t>
      </w:r>
      <w:r>
        <w:rPr/>
        <w:t>attaining a</w:t>
      </w:r>
      <w:r>
        <w:rPr>
          <w:spacing w:val="1"/>
        </w:rPr>
        <w:t> </w:t>
      </w:r>
      <w:r>
        <w:rPr/>
        <w:t>10% reduction</w:t>
      </w:r>
      <w:r>
        <w:rPr>
          <w:spacing w:val="2"/>
        </w:rPr>
        <w:t> </w:t>
      </w:r>
      <w:r>
        <w:rPr/>
        <w:t>(to</w:t>
      </w:r>
      <w:r>
        <w:rPr>
          <w:spacing w:val="1"/>
        </w:rPr>
        <w:t> </w:t>
      </w:r>
      <w:r>
        <w:rPr/>
        <w:t>a mean of 1.8) in admissions would be considered a meaningful difference. We have also</w:t>
      </w:r>
      <w:r>
        <w:rPr>
          <w:spacing w:val="1"/>
        </w:rPr>
        <w:t> </w:t>
      </w:r>
      <w:r>
        <w:rPr/>
        <w:t>assumed</w:t>
      </w:r>
      <w:r>
        <w:rPr>
          <w:spacing w:val="-4"/>
        </w:rPr>
        <w:t> </w:t>
      </w:r>
      <w:r>
        <w:rPr/>
        <w:t>an</w:t>
      </w:r>
      <w:r>
        <w:rPr>
          <w:spacing w:val="-2"/>
        </w:rPr>
        <w:t> </w:t>
      </w:r>
      <w:r>
        <w:rPr/>
        <w:t>over</w:t>
      </w:r>
      <w:r>
        <w:rPr>
          <w:spacing w:val="-3"/>
        </w:rPr>
        <w:t> </w:t>
      </w:r>
      <w:r>
        <w:rPr/>
        <w:t>dispersion</w:t>
      </w:r>
      <w:r>
        <w:rPr>
          <w:spacing w:val="-2"/>
        </w:rPr>
        <w:t> </w:t>
      </w:r>
      <w:r>
        <w:rPr/>
        <w:t>parameter</w:t>
      </w:r>
      <w:r>
        <w:rPr>
          <w:spacing w:val="-4"/>
        </w:rPr>
        <w:t> </w:t>
      </w:r>
      <w:r>
        <w:rPr/>
        <w:t>of</w:t>
      </w:r>
      <w:r>
        <w:rPr>
          <w:spacing w:val="-3"/>
        </w:rPr>
        <w:t> </w:t>
      </w:r>
      <w:r>
        <w:rPr/>
        <w:t>0.4</w:t>
      </w:r>
      <w:r>
        <w:rPr>
          <w:spacing w:val="-3"/>
        </w:rPr>
        <w:t> </w:t>
      </w:r>
      <w:r>
        <w:rPr/>
        <w:t>and an</w:t>
      </w:r>
      <w:r>
        <w:rPr>
          <w:spacing w:val="-2"/>
        </w:rPr>
        <w:t> </w:t>
      </w:r>
      <w:r>
        <w:rPr/>
        <w:t>ICC</w:t>
      </w:r>
      <w:r>
        <w:rPr>
          <w:spacing w:val="-5"/>
        </w:rPr>
        <w:t> </w:t>
      </w:r>
      <w:r>
        <w:rPr/>
        <w:t>of</w:t>
      </w:r>
      <w:r>
        <w:rPr>
          <w:spacing w:val="-3"/>
        </w:rPr>
        <w:t> </w:t>
      </w:r>
      <w:r>
        <w:rPr/>
        <w:t>0.05.</w:t>
      </w:r>
      <w:r>
        <w:rPr>
          <w:spacing w:val="-5"/>
        </w:rPr>
        <w:t> </w:t>
      </w:r>
      <w:r>
        <w:rPr/>
        <w:t>With</w:t>
      </w:r>
      <w:r>
        <w:rPr>
          <w:spacing w:val="-2"/>
        </w:rPr>
        <w:t> </w:t>
      </w:r>
      <w:r>
        <w:rPr/>
        <w:t>these</w:t>
      </w:r>
      <w:r>
        <w:rPr>
          <w:spacing w:val="-3"/>
        </w:rPr>
        <w:t> </w:t>
      </w:r>
      <w:r>
        <w:rPr/>
        <w:t>assumptions,</w:t>
      </w:r>
      <w:r>
        <w:rPr>
          <w:spacing w:val="-6"/>
        </w:rPr>
        <w:t> </w:t>
      </w:r>
      <w:r>
        <w:rPr/>
        <w:t>the</w:t>
      </w:r>
      <w:r>
        <w:rPr>
          <w:spacing w:val="-53"/>
        </w:rPr>
        <w:t> </w:t>
      </w:r>
      <w:r>
        <w:rPr/>
        <w:t>study will have 80% power to detect a 10% difference in hospital admission with 19 patients</w:t>
      </w:r>
      <w:r>
        <w:rPr>
          <w:spacing w:val="1"/>
        </w:rPr>
        <w:t> </w:t>
      </w:r>
      <w:r>
        <w:rPr/>
        <w:t>per practice. This calculation is close to the boundary of unachievable outcomes for the</w:t>
      </w:r>
      <w:r>
        <w:rPr>
          <w:spacing w:val="1"/>
        </w:rPr>
        <w:t> </w:t>
      </w:r>
      <w:r>
        <w:rPr/>
        <w:t>specified inputs and therefore is sensitive to the value of the ICC. If the ICC was 0.10 rather</w:t>
      </w:r>
      <w:r>
        <w:rPr>
          <w:spacing w:val="1"/>
        </w:rPr>
        <w:t> </w:t>
      </w:r>
      <w:r>
        <w:rPr/>
        <w:t>than</w:t>
      </w:r>
      <w:r>
        <w:rPr>
          <w:spacing w:val="3"/>
        </w:rPr>
        <w:t> </w:t>
      </w:r>
      <w:r>
        <w:rPr/>
        <w:t>0.05</w:t>
      </w:r>
      <w:r>
        <w:rPr>
          <w:spacing w:val="2"/>
        </w:rPr>
        <w:t> </w:t>
      </w:r>
      <w:r>
        <w:rPr/>
        <w:t>then</w:t>
      </w:r>
      <w:r>
        <w:rPr>
          <w:spacing w:val="4"/>
        </w:rPr>
        <w:t> </w:t>
      </w:r>
      <w:r>
        <w:rPr/>
        <w:t>374</w:t>
      </w:r>
      <w:r>
        <w:rPr>
          <w:spacing w:val="2"/>
        </w:rPr>
        <w:t> </w:t>
      </w:r>
      <w:r>
        <w:rPr/>
        <w:t>patients</w:t>
      </w:r>
      <w:r>
        <w:rPr>
          <w:spacing w:val="2"/>
        </w:rPr>
        <w:t> </w:t>
      </w:r>
      <w:r>
        <w:rPr/>
        <w:t>per</w:t>
      </w:r>
      <w:r>
        <w:rPr>
          <w:spacing w:val="3"/>
        </w:rPr>
        <w:t> </w:t>
      </w:r>
      <w:r>
        <w:rPr/>
        <w:t>practice</w:t>
      </w:r>
      <w:r>
        <w:rPr>
          <w:spacing w:val="2"/>
        </w:rPr>
        <w:t> </w:t>
      </w:r>
      <w:r>
        <w:rPr/>
        <w:t>would</w:t>
      </w:r>
      <w:r>
        <w:rPr>
          <w:spacing w:val="2"/>
        </w:rPr>
        <w:t> </w:t>
      </w:r>
      <w:r>
        <w:rPr/>
        <w:t>be</w:t>
      </w:r>
      <w:r>
        <w:rPr>
          <w:spacing w:val="3"/>
        </w:rPr>
        <w:t> </w:t>
      </w:r>
      <w:r>
        <w:rPr/>
        <w:t>required.</w:t>
      </w:r>
      <w:r>
        <w:rPr>
          <w:spacing w:val="2"/>
        </w:rPr>
        <w:t> </w:t>
      </w:r>
      <w:r>
        <w:rPr/>
        <w:t>For</w:t>
      </w:r>
      <w:r>
        <w:rPr>
          <w:spacing w:val="3"/>
        </w:rPr>
        <w:t> </w:t>
      </w:r>
      <w:r>
        <w:rPr/>
        <w:t>the</w:t>
      </w:r>
      <w:r>
        <w:rPr>
          <w:spacing w:val="2"/>
        </w:rPr>
        <w:t> </w:t>
      </w:r>
      <w:r>
        <w:rPr/>
        <w:t>same</w:t>
      </w:r>
      <w:r>
        <w:rPr>
          <w:spacing w:val="5"/>
        </w:rPr>
        <w:t> </w:t>
      </w:r>
      <w:r>
        <w:rPr/>
        <w:t>number</w:t>
      </w:r>
      <w:r>
        <w:rPr>
          <w:spacing w:val="3"/>
        </w:rPr>
        <w:t> </w:t>
      </w:r>
      <w:r>
        <w:rPr/>
        <w:t>of</w:t>
      </w:r>
      <w:r>
        <w:rPr>
          <w:spacing w:val="1"/>
        </w:rPr>
        <w:t> </w:t>
      </w:r>
      <w:r>
        <w:rPr/>
        <w:t>patients,</w:t>
      </w:r>
      <w:r>
        <w:rPr>
          <w:spacing w:val="-1"/>
        </w:rPr>
        <w:t> </w:t>
      </w:r>
      <w:r>
        <w:rPr/>
        <w:t>the</w:t>
      </w:r>
      <w:r>
        <w:rPr>
          <w:spacing w:val="2"/>
        </w:rPr>
        <w:t> </w:t>
      </w:r>
      <w:r>
        <w:rPr/>
        <w:t>study</w:t>
      </w:r>
      <w:r>
        <w:rPr>
          <w:spacing w:val="2"/>
        </w:rPr>
        <w:t> </w:t>
      </w:r>
      <w:r>
        <w:rPr/>
        <w:t>will</w:t>
      </w:r>
      <w:r>
        <w:rPr>
          <w:spacing w:val="3"/>
        </w:rPr>
        <w:t> </w:t>
      </w:r>
      <w:r>
        <w:rPr/>
        <w:t>have</w:t>
      </w:r>
      <w:r>
        <w:rPr>
          <w:spacing w:val="2"/>
        </w:rPr>
        <w:t> </w:t>
      </w:r>
      <w:r>
        <w:rPr/>
        <w:t>more</w:t>
      </w:r>
      <w:r>
        <w:rPr>
          <w:spacing w:val="2"/>
        </w:rPr>
        <w:t> </w:t>
      </w:r>
      <w:r>
        <w:rPr/>
        <w:t>than</w:t>
      </w:r>
      <w:r>
        <w:rPr>
          <w:spacing w:val="3"/>
        </w:rPr>
        <w:t> </w:t>
      </w:r>
      <w:r>
        <w:rPr/>
        <w:t>80%</w:t>
      </w:r>
      <w:r>
        <w:rPr>
          <w:spacing w:val="3"/>
        </w:rPr>
        <w:t> </w:t>
      </w:r>
      <w:r>
        <w:rPr/>
        <w:t>power</w:t>
      </w:r>
      <w:r>
        <w:rPr>
          <w:spacing w:val="2"/>
        </w:rPr>
        <w:t> </w:t>
      </w:r>
      <w:r>
        <w:rPr/>
        <w:t>to</w:t>
      </w:r>
      <w:r>
        <w:rPr>
          <w:spacing w:val="2"/>
        </w:rPr>
        <w:t> </w:t>
      </w:r>
      <w:r>
        <w:rPr/>
        <w:t>find</w:t>
      </w:r>
      <w:r>
        <w:rPr>
          <w:spacing w:val="2"/>
        </w:rPr>
        <w:t> </w:t>
      </w:r>
      <w:r>
        <w:rPr/>
        <w:t>a</w:t>
      </w:r>
      <w:r>
        <w:rPr>
          <w:spacing w:val="3"/>
        </w:rPr>
        <w:t> </w:t>
      </w:r>
      <w:r>
        <w:rPr/>
        <w:t>10%</w:t>
      </w:r>
      <w:r>
        <w:rPr>
          <w:spacing w:val="2"/>
        </w:rPr>
        <w:t> </w:t>
      </w:r>
      <w:r>
        <w:rPr/>
        <w:t>difference</w:t>
      </w:r>
      <w:r>
        <w:rPr>
          <w:spacing w:val="2"/>
        </w:rPr>
        <w:t> </w:t>
      </w:r>
      <w:r>
        <w:rPr/>
        <w:t>in</w:t>
      </w:r>
      <w:r>
        <w:rPr>
          <w:spacing w:val="3"/>
        </w:rPr>
        <w:t> </w:t>
      </w:r>
      <w:r>
        <w:rPr/>
        <w:t>change</w:t>
      </w:r>
      <w:r>
        <w:rPr>
          <w:spacing w:val="3"/>
        </w:rPr>
        <w:t> </w:t>
      </w:r>
      <w:r>
        <w:rPr/>
        <w:t>in</w:t>
      </w:r>
      <w:r>
        <w:rPr>
          <w:spacing w:val="1"/>
        </w:rPr>
        <w:t> </w:t>
      </w:r>
      <w:r>
        <w:rPr/>
        <w:t>other</w:t>
      </w:r>
      <w:r>
        <w:rPr>
          <w:spacing w:val="-2"/>
        </w:rPr>
        <w:t> </w:t>
      </w:r>
      <w:r>
        <w:rPr/>
        <w:t>outcomes</w:t>
      </w:r>
      <w:r>
        <w:rPr>
          <w:spacing w:val="-2"/>
        </w:rPr>
        <w:t> </w:t>
      </w:r>
      <w:r>
        <w:rPr/>
        <w:t>where</w:t>
      </w:r>
      <w:r>
        <w:rPr>
          <w:spacing w:val="-1"/>
        </w:rPr>
        <w:t> </w:t>
      </w:r>
      <w:r>
        <w:rPr/>
        <w:t>the</w:t>
      </w:r>
      <w:r>
        <w:rPr>
          <w:spacing w:val="-2"/>
        </w:rPr>
        <w:t> </w:t>
      </w:r>
      <w:r>
        <w:rPr/>
        <w:t>mean</w:t>
      </w:r>
      <w:r>
        <w:rPr>
          <w:spacing w:val="-1"/>
        </w:rPr>
        <w:t> </w:t>
      </w:r>
      <w:r>
        <w:rPr/>
        <w:t>number</w:t>
      </w:r>
      <w:r>
        <w:rPr>
          <w:spacing w:val="2"/>
        </w:rPr>
        <w:t> </w:t>
      </w:r>
      <w:r>
        <w:rPr/>
        <w:t>of</w:t>
      </w:r>
      <w:r>
        <w:rPr>
          <w:spacing w:val="-2"/>
        </w:rPr>
        <w:t> </w:t>
      </w:r>
      <w:r>
        <w:rPr/>
        <w:t>events</w:t>
      </w:r>
      <w:r>
        <w:rPr>
          <w:spacing w:val="-1"/>
        </w:rPr>
        <w:t> </w:t>
      </w:r>
      <w:r>
        <w:rPr/>
        <w:t>per</w:t>
      </w:r>
      <w:r>
        <w:rPr>
          <w:spacing w:val="-2"/>
        </w:rPr>
        <w:t> </w:t>
      </w:r>
      <w:r>
        <w:rPr/>
        <w:t>year</w:t>
      </w:r>
      <w:r>
        <w:rPr>
          <w:spacing w:val="-2"/>
        </w:rPr>
        <w:t> </w:t>
      </w:r>
      <w:r>
        <w:rPr/>
        <w:t>is</w:t>
      </w:r>
      <w:r>
        <w:rPr>
          <w:spacing w:val="-1"/>
        </w:rPr>
        <w:t> </w:t>
      </w:r>
      <w:r>
        <w:rPr/>
        <w:t>greater</w:t>
      </w:r>
      <w:r>
        <w:rPr>
          <w:spacing w:val="-2"/>
        </w:rPr>
        <w:t> </w:t>
      </w:r>
      <w:r>
        <w:rPr/>
        <w:t>than</w:t>
      </w:r>
      <w:r>
        <w:rPr>
          <w:spacing w:val="-2"/>
        </w:rPr>
        <w:t> </w:t>
      </w:r>
      <w:r>
        <w:rPr/>
        <w:t>two.</w:t>
      </w:r>
    </w:p>
    <w:p>
      <w:pPr>
        <w:spacing w:after="0" w:line="276" w:lineRule="auto"/>
        <w:sectPr>
          <w:pgSz w:w="11910" w:h="16840"/>
          <w:pgMar w:header="0" w:footer="675" w:top="1340" w:bottom="860" w:left="580" w:right="280"/>
        </w:sectPr>
      </w:pPr>
    </w:p>
    <w:p>
      <w:pPr>
        <w:pStyle w:val="Heading2"/>
        <w:spacing w:before="81"/>
      </w:pPr>
      <w:bookmarkStart w:name="_bookmark83" w:id="84"/>
      <w:bookmarkEnd w:id="84"/>
      <w:r>
        <w:rPr/>
      </w:r>
      <w:r>
        <w:rPr>
          <w:color w:val="003C79"/>
        </w:rPr>
        <w:t>Validity</w:t>
      </w:r>
      <w:r>
        <w:rPr>
          <w:color w:val="003C79"/>
          <w:spacing w:val="-14"/>
        </w:rPr>
        <w:t> </w:t>
      </w:r>
      <w:r>
        <w:rPr>
          <w:color w:val="003C79"/>
        </w:rPr>
        <w:t>considerations</w:t>
      </w:r>
    </w:p>
    <w:p>
      <w:pPr>
        <w:pStyle w:val="BodyText"/>
        <w:spacing w:line="276" w:lineRule="auto" w:before="259"/>
        <w:ind w:left="860" w:right="2258"/>
      </w:pPr>
      <w:r>
        <w:rPr/>
        <w:t>Possible threats to the external and internal validity of the study design have been</w:t>
      </w:r>
      <w:r>
        <w:rPr>
          <w:spacing w:val="-53"/>
        </w:rPr>
        <w:t> </w:t>
      </w:r>
      <w:r>
        <w:rPr/>
        <w:t>considered</w:t>
      </w:r>
      <w:r>
        <w:rPr>
          <w:spacing w:val="-1"/>
        </w:rPr>
        <w:t> </w:t>
      </w:r>
      <w:r>
        <w:rPr/>
        <w:t>and</w:t>
      </w:r>
      <w:r>
        <w:rPr>
          <w:spacing w:val="-1"/>
        </w:rPr>
        <w:t> </w:t>
      </w:r>
      <w:r>
        <w:rPr/>
        <w:t>are</w:t>
      </w:r>
      <w:r>
        <w:rPr>
          <w:spacing w:val="2"/>
        </w:rPr>
        <w:t> </w:t>
      </w:r>
      <w:r>
        <w:rPr/>
        <w:t>outlined</w:t>
      </w:r>
      <w:r>
        <w:rPr>
          <w:spacing w:val="-1"/>
        </w:rPr>
        <w:t> </w:t>
      </w:r>
      <w:r>
        <w:rPr/>
        <w:t>below.</w:t>
      </w:r>
    </w:p>
    <w:p>
      <w:pPr>
        <w:pStyle w:val="BodyText"/>
        <w:spacing w:line="276" w:lineRule="auto" w:before="202"/>
        <w:ind w:left="860" w:right="1165"/>
      </w:pPr>
      <w:r>
        <w:rPr/>
        <w:t>There will be </w:t>
      </w:r>
      <w:r>
        <w:rPr>
          <w:b/>
        </w:rPr>
        <w:t>non-random allocation </w:t>
      </w:r>
      <w:r>
        <w:rPr/>
        <w:t>between the intervention and comparison groups. This</w:t>
      </w:r>
      <w:r>
        <w:rPr>
          <w:spacing w:val="1"/>
        </w:rPr>
        <w:t> </w:t>
      </w:r>
      <w:r>
        <w:rPr/>
        <w:t>will</w:t>
      </w:r>
      <w:r>
        <w:rPr>
          <w:spacing w:val="4"/>
        </w:rPr>
        <w:t> </w:t>
      </w:r>
      <w:r>
        <w:rPr/>
        <w:t>mean</w:t>
      </w:r>
      <w:r>
        <w:rPr>
          <w:spacing w:val="5"/>
        </w:rPr>
        <w:t> </w:t>
      </w:r>
      <w:r>
        <w:rPr/>
        <w:t>that</w:t>
      </w:r>
      <w:r>
        <w:rPr>
          <w:spacing w:val="4"/>
        </w:rPr>
        <w:t> </w:t>
      </w:r>
      <w:r>
        <w:rPr/>
        <w:t>there</w:t>
      </w:r>
      <w:r>
        <w:rPr>
          <w:spacing w:val="4"/>
        </w:rPr>
        <w:t> </w:t>
      </w:r>
      <w:r>
        <w:rPr/>
        <w:t>is</w:t>
      </w:r>
      <w:r>
        <w:rPr>
          <w:spacing w:val="4"/>
        </w:rPr>
        <w:t> </w:t>
      </w:r>
      <w:r>
        <w:rPr/>
        <w:t>the</w:t>
      </w:r>
      <w:r>
        <w:rPr>
          <w:spacing w:val="4"/>
        </w:rPr>
        <w:t> </w:t>
      </w:r>
      <w:r>
        <w:rPr/>
        <w:t>potential</w:t>
      </w:r>
      <w:r>
        <w:rPr>
          <w:spacing w:val="5"/>
        </w:rPr>
        <w:t> </w:t>
      </w:r>
      <w:r>
        <w:rPr/>
        <w:t>for</w:t>
      </w:r>
      <w:r>
        <w:rPr>
          <w:spacing w:val="4"/>
        </w:rPr>
        <w:t> </w:t>
      </w:r>
      <w:r>
        <w:rPr/>
        <w:t>unobserved</w:t>
      </w:r>
      <w:r>
        <w:rPr>
          <w:spacing w:val="4"/>
        </w:rPr>
        <w:t> </w:t>
      </w:r>
      <w:r>
        <w:rPr/>
        <w:t>differences</w:t>
      </w:r>
      <w:r>
        <w:rPr>
          <w:spacing w:val="4"/>
        </w:rPr>
        <w:t> </w:t>
      </w:r>
      <w:r>
        <w:rPr/>
        <w:t>between</w:t>
      </w:r>
      <w:r>
        <w:rPr>
          <w:spacing w:val="4"/>
        </w:rPr>
        <w:t> </w:t>
      </w:r>
      <w:r>
        <w:rPr/>
        <w:t>the</w:t>
      </w:r>
      <w:r>
        <w:rPr>
          <w:spacing w:val="5"/>
        </w:rPr>
        <w:t> </w:t>
      </w:r>
      <w:r>
        <w:rPr/>
        <w:t>intervention</w:t>
      </w:r>
      <w:r>
        <w:rPr>
          <w:spacing w:val="1"/>
        </w:rPr>
        <w:t> </w:t>
      </w:r>
      <w:r>
        <w:rPr/>
        <w:t>and comparison groups to impact the estimation of effects. Randomisation would ideally</w:t>
      </w:r>
      <w:r>
        <w:rPr>
          <w:spacing w:val="1"/>
        </w:rPr>
        <w:t> </w:t>
      </w:r>
      <w:r>
        <w:rPr/>
        <w:t>have</w:t>
      </w:r>
      <w:r>
        <w:rPr>
          <w:spacing w:val="-4"/>
        </w:rPr>
        <w:t> </w:t>
      </w:r>
      <w:r>
        <w:rPr/>
        <w:t>occurred</w:t>
      </w:r>
      <w:r>
        <w:rPr>
          <w:spacing w:val="-4"/>
        </w:rPr>
        <w:t> </w:t>
      </w:r>
      <w:r>
        <w:rPr/>
        <w:t>at</w:t>
      </w:r>
      <w:r>
        <w:rPr>
          <w:spacing w:val="-2"/>
        </w:rPr>
        <w:t> </w:t>
      </w:r>
      <w:r>
        <w:rPr/>
        <w:t>the</w:t>
      </w:r>
      <w:r>
        <w:rPr>
          <w:spacing w:val="-4"/>
        </w:rPr>
        <w:t> </w:t>
      </w:r>
      <w:r>
        <w:rPr/>
        <w:t>level</w:t>
      </w:r>
      <w:r>
        <w:rPr>
          <w:spacing w:val="-3"/>
        </w:rPr>
        <w:t> </w:t>
      </w:r>
      <w:r>
        <w:rPr/>
        <w:t>of</w:t>
      </w:r>
      <w:r>
        <w:rPr>
          <w:spacing w:val="-3"/>
        </w:rPr>
        <w:t> </w:t>
      </w:r>
      <w:r>
        <w:rPr/>
        <w:t>the</w:t>
      </w:r>
      <w:r>
        <w:rPr>
          <w:spacing w:val="-4"/>
        </w:rPr>
        <w:t> </w:t>
      </w:r>
      <w:r>
        <w:rPr/>
        <w:t>practice</w:t>
      </w:r>
      <w:r>
        <w:rPr>
          <w:spacing w:val="-4"/>
        </w:rPr>
        <w:t> </w:t>
      </w:r>
      <w:r>
        <w:rPr/>
        <w:t>(a</w:t>
      </w:r>
      <w:r>
        <w:rPr>
          <w:spacing w:val="-3"/>
        </w:rPr>
        <w:t> </w:t>
      </w:r>
      <w:r>
        <w:rPr/>
        <w:t>cluster</w:t>
      </w:r>
      <w:r>
        <w:rPr>
          <w:spacing w:val="-4"/>
        </w:rPr>
        <w:t> </w:t>
      </w:r>
      <w:r>
        <w:rPr/>
        <w:t>randomisation</w:t>
      </w:r>
      <w:r>
        <w:rPr>
          <w:spacing w:val="-3"/>
        </w:rPr>
        <w:t> </w:t>
      </w:r>
      <w:r>
        <w:rPr/>
        <w:t>design).</w:t>
      </w:r>
      <w:r>
        <w:rPr>
          <w:spacing w:val="-5"/>
        </w:rPr>
        <w:t> </w:t>
      </w:r>
      <w:r>
        <w:rPr/>
        <w:t>However,</w:t>
      </w:r>
      <w:r>
        <w:rPr>
          <w:spacing w:val="-6"/>
        </w:rPr>
        <w:t> </w:t>
      </w:r>
      <w:r>
        <w:rPr/>
        <w:t>neither</w:t>
      </w:r>
      <w:r>
        <w:rPr>
          <w:spacing w:val="-52"/>
        </w:rPr>
        <w:t> </w:t>
      </w:r>
      <w:r>
        <w:rPr/>
        <w:t>of the options was available for pragmatic reasons related to the nature of the rollout of the</w:t>
      </w:r>
      <w:r>
        <w:rPr>
          <w:spacing w:val="1"/>
        </w:rPr>
        <w:t> </w:t>
      </w:r>
      <w:r>
        <w:rPr/>
        <w:t>intervention. An important consideration here is that there is no capacity to explicitly engage</w:t>
      </w:r>
      <w:r>
        <w:rPr>
          <w:spacing w:val="-53"/>
        </w:rPr>
        <w:t> </w:t>
      </w:r>
      <w:r>
        <w:rPr/>
        <w:t>comparison practices for the evaluation. A step wedge design is an alternative design,</w:t>
      </w:r>
      <w:r>
        <w:rPr>
          <w:spacing w:val="1"/>
        </w:rPr>
        <w:t> </w:t>
      </w:r>
      <w:r>
        <w:rPr/>
        <w:t>whereby practices enrolled in HCH are randomly allocated to early commencement and</w:t>
      </w:r>
      <w:r>
        <w:rPr>
          <w:spacing w:val="1"/>
        </w:rPr>
        <w:t> </w:t>
      </w:r>
      <w:r>
        <w:rPr/>
        <w:t>late commencement group(s). This design was not feasible for the trial, but could be used to</w:t>
      </w:r>
      <w:r>
        <w:rPr>
          <w:spacing w:val="1"/>
        </w:rPr>
        <w:t> </w:t>
      </w:r>
      <w:r>
        <w:rPr/>
        <w:t>compare the trial practices with those commencing in subsequent rollouts, although this will</w:t>
      </w:r>
      <w:r>
        <w:rPr>
          <w:spacing w:val="1"/>
        </w:rPr>
        <w:t> </w:t>
      </w:r>
      <w:r>
        <w:rPr/>
        <w:t>still</w:t>
      </w:r>
      <w:r>
        <w:rPr>
          <w:spacing w:val="-3"/>
        </w:rPr>
        <w:t> </w:t>
      </w:r>
      <w:r>
        <w:rPr/>
        <w:t>involve</w:t>
      </w:r>
      <w:r>
        <w:rPr>
          <w:spacing w:val="-1"/>
        </w:rPr>
        <w:t> </w:t>
      </w:r>
      <w:r>
        <w:rPr/>
        <w:t>non-random</w:t>
      </w:r>
      <w:r>
        <w:rPr>
          <w:spacing w:val="1"/>
        </w:rPr>
        <w:t> </w:t>
      </w:r>
      <w:r>
        <w:rPr/>
        <w:t>allocation.</w:t>
      </w:r>
    </w:p>
    <w:p>
      <w:pPr>
        <w:pStyle w:val="BodyText"/>
        <w:spacing w:line="276" w:lineRule="auto" w:before="198"/>
        <w:ind w:left="860" w:right="1154"/>
      </w:pPr>
      <w:r>
        <w:rPr/>
        <w:t>The</w:t>
      </w:r>
      <w:r>
        <w:rPr>
          <w:spacing w:val="-5"/>
        </w:rPr>
        <w:t> </w:t>
      </w:r>
      <w:r>
        <w:rPr/>
        <w:t>absence</w:t>
      </w:r>
      <w:r>
        <w:rPr>
          <w:spacing w:val="-4"/>
        </w:rPr>
        <w:t> </w:t>
      </w:r>
      <w:r>
        <w:rPr/>
        <w:t>of</w:t>
      </w:r>
      <w:r>
        <w:rPr>
          <w:spacing w:val="-4"/>
        </w:rPr>
        <w:t> </w:t>
      </w:r>
      <w:r>
        <w:rPr/>
        <w:t>randomised</w:t>
      </w:r>
      <w:r>
        <w:rPr>
          <w:spacing w:val="-4"/>
        </w:rPr>
        <w:t> </w:t>
      </w:r>
      <w:r>
        <w:rPr/>
        <w:t>allocation</w:t>
      </w:r>
      <w:r>
        <w:rPr>
          <w:spacing w:val="-4"/>
        </w:rPr>
        <w:t> </w:t>
      </w:r>
      <w:r>
        <w:rPr/>
        <w:t>between</w:t>
      </w:r>
      <w:r>
        <w:rPr>
          <w:spacing w:val="-3"/>
        </w:rPr>
        <w:t> </w:t>
      </w:r>
      <w:r>
        <w:rPr/>
        <w:t>intervention</w:t>
      </w:r>
      <w:r>
        <w:rPr>
          <w:spacing w:val="-3"/>
        </w:rPr>
        <w:t> </w:t>
      </w:r>
      <w:r>
        <w:rPr/>
        <w:t>and</w:t>
      </w:r>
      <w:r>
        <w:rPr>
          <w:spacing w:val="-5"/>
        </w:rPr>
        <w:t> </w:t>
      </w:r>
      <w:r>
        <w:rPr/>
        <w:t>comparison</w:t>
      </w:r>
      <w:r>
        <w:rPr>
          <w:spacing w:val="-3"/>
        </w:rPr>
        <w:t> </w:t>
      </w:r>
      <w:r>
        <w:rPr/>
        <w:t>groups</w:t>
      </w:r>
      <w:r>
        <w:rPr>
          <w:spacing w:val="-4"/>
        </w:rPr>
        <w:t> </w:t>
      </w:r>
      <w:r>
        <w:rPr/>
        <w:t>can</w:t>
      </w:r>
      <w:r>
        <w:rPr>
          <w:spacing w:val="-3"/>
        </w:rPr>
        <w:t> </w:t>
      </w:r>
      <w:r>
        <w:rPr/>
        <w:t>be</w:t>
      </w:r>
      <w:r>
        <w:rPr>
          <w:spacing w:val="-53"/>
        </w:rPr>
        <w:t> </w:t>
      </w:r>
      <w:r>
        <w:rPr/>
        <w:t>ameliorated by collecting and including measures to assess and adjust for the comparability</w:t>
      </w:r>
      <w:r>
        <w:rPr>
          <w:spacing w:val="1"/>
        </w:rPr>
        <w:t> </w:t>
      </w:r>
      <w:r>
        <w:rPr/>
        <w:t>of</w:t>
      </w:r>
      <w:r>
        <w:rPr>
          <w:spacing w:val="-2"/>
        </w:rPr>
        <w:t> </w:t>
      </w:r>
      <w:r>
        <w:rPr/>
        <w:t>intervention practices</w:t>
      </w:r>
      <w:r>
        <w:rPr>
          <w:spacing w:val="-2"/>
        </w:rPr>
        <w:t> </w:t>
      </w:r>
      <w:r>
        <w:rPr/>
        <w:t>and</w:t>
      </w:r>
      <w:r>
        <w:rPr>
          <w:spacing w:val="-1"/>
        </w:rPr>
        <w:t> </w:t>
      </w:r>
      <w:r>
        <w:rPr/>
        <w:t>patients</w:t>
      </w:r>
      <w:r>
        <w:rPr>
          <w:spacing w:val="-1"/>
        </w:rPr>
        <w:t> </w:t>
      </w:r>
      <w:r>
        <w:rPr/>
        <w:t>with</w:t>
      </w:r>
      <w:r>
        <w:rPr>
          <w:spacing w:val="-1"/>
        </w:rPr>
        <w:t> </w:t>
      </w:r>
      <w:r>
        <w:rPr/>
        <w:t>the comparators.</w:t>
      </w:r>
    </w:p>
    <w:p>
      <w:pPr>
        <w:pStyle w:val="BodyText"/>
        <w:spacing w:line="276" w:lineRule="auto" w:before="201"/>
        <w:ind w:left="860" w:right="1299"/>
      </w:pPr>
      <w:r>
        <w:rPr/>
        <w:t>Related validity concerns include </w:t>
      </w:r>
      <w:r>
        <w:rPr>
          <w:b/>
        </w:rPr>
        <w:t>selection bias </w:t>
      </w:r>
      <w:r>
        <w:rPr/>
        <w:t>that may be observed at the practice level</w:t>
      </w:r>
      <w:r>
        <w:rPr>
          <w:spacing w:val="-53"/>
        </w:rPr>
        <w:t> </w:t>
      </w:r>
      <w:r>
        <w:rPr/>
        <w:t>and the patient level. Various aspects of the potential biases and steps to estimate or</w:t>
      </w:r>
      <w:r>
        <w:rPr>
          <w:spacing w:val="1"/>
        </w:rPr>
        <w:t> </w:t>
      </w:r>
      <w:r>
        <w:rPr/>
        <w:t>address</w:t>
      </w:r>
      <w:r>
        <w:rPr>
          <w:spacing w:val="-2"/>
        </w:rPr>
        <w:t> </w:t>
      </w:r>
      <w:r>
        <w:rPr/>
        <w:t>these</w:t>
      </w:r>
      <w:r>
        <w:rPr>
          <w:spacing w:val="-1"/>
        </w:rPr>
        <w:t> </w:t>
      </w:r>
      <w:r>
        <w:rPr/>
        <w:t>are described</w:t>
      </w:r>
      <w:r>
        <w:rPr>
          <w:spacing w:val="-1"/>
        </w:rPr>
        <w:t> </w:t>
      </w:r>
      <w:r>
        <w:rPr/>
        <w:t>below:</w:t>
      </w:r>
    </w:p>
    <w:p>
      <w:pPr>
        <w:pStyle w:val="ListParagraph"/>
        <w:numPr>
          <w:ilvl w:val="0"/>
          <w:numId w:val="17"/>
        </w:numPr>
        <w:tabs>
          <w:tab w:pos="1573" w:val="left" w:leader="none"/>
          <w:tab w:pos="1574" w:val="left" w:leader="none"/>
        </w:tabs>
        <w:spacing w:line="276" w:lineRule="auto" w:before="201" w:after="0"/>
        <w:ind w:left="1573" w:right="1239" w:hanging="356"/>
        <w:jc w:val="left"/>
        <w:rPr>
          <w:sz w:val="20"/>
        </w:rPr>
      </w:pPr>
      <w:r>
        <w:rPr>
          <w:b/>
          <w:i/>
          <w:sz w:val="20"/>
        </w:rPr>
        <w:t>Intervention practices: </w:t>
      </w:r>
      <w:r>
        <w:rPr>
          <w:sz w:val="20"/>
        </w:rPr>
        <w:t>Practices participating in the HCH trial are likely to be different</w:t>
      </w:r>
      <w:r>
        <w:rPr>
          <w:spacing w:val="-54"/>
          <w:sz w:val="20"/>
        </w:rPr>
        <w:t> </w:t>
      </w:r>
      <w:r>
        <w:rPr>
          <w:sz w:val="20"/>
        </w:rPr>
        <w:t>to those that did not apply. As discussed above, practices must meet particular</w:t>
      </w:r>
      <w:r>
        <w:rPr>
          <w:spacing w:val="1"/>
          <w:sz w:val="20"/>
        </w:rPr>
        <w:t> </w:t>
      </w:r>
      <w:r>
        <w:rPr>
          <w:sz w:val="20"/>
        </w:rPr>
        <w:t>selection criteria (e.g. accreditation), be capable of implementing the various</w:t>
      </w:r>
      <w:r>
        <w:rPr>
          <w:spacing w:val="1"/>
          <w:sz w:val="20"/>
        </w:rPr>
        <w:t> </w:t>
      </w:r>
      <w:r>
        <w:rPr>
          <w:sz w:val="20"/>
        </w:rPr>
        <w:t>aspects of HCH and be motivated to be involved in this undertaking. Motivations for</w:t>
      </w:r>
      <w:r>
        <w:rPr>
          <w:spacing w:val="1"/>
          <w:sz w:val="20"/>
        </w:rPr>
        <w:t> </w:t>
      </w:r>
      <w:r>
        <w:rPr>
          <w:sz w:val="20"/>
        </w:rPr>
        <w:t>volunteering for participation are not known at this stage but will be explored in</w:t>
      </w:r>
      <w:r>
        <w:rPr>
          <w:spacing w:val="1"/>
          <w:sz w:val="20"/>
        </w:rPr>
        <w:t> </w:t>
      </w:r>
      <w:r>
        <w:rPr>
          <w:sz w:val="20"/>
        </w:rPr>
        <w:t>interviews with practice staff. If participating practices are not representative of</w:t>
      </w:r>
      <w:r>
        <w:rPr>
          <w:spacing w:val="1"/>
          <w:sz w:val="20"/>
        </w:rPr>
        <w:t> </w:t>
      </w:r>
      <w:r>
        <w:rPr>
          <w:sz w:val="20"/>
        </w:rPr>
        <w:t>practices more generally, this is more a challenge to the </w:t>
      </w:r>
      <w:r>
        <w:rPr>
          <w:b/>
          <w:sz w:val="20"/>
        </w:rPr>
        <w:t>external validity </w:t>
      </w:r>
      <w:r>
        <w:rPr>
          <w:sz w:val="20"/>
        </w:rPr>
        <w:t>of the</w:t>
      </w:r>
      <w:r>
        <w:rPr>
          <w:spacing w:val="1"/>
          <w:sz w:val="20"/>
        </w:rPr>
        <w:t> </w:t>
      </w:r>
      <w:r>
        <w:rPr>
          <w:sz w:val="20"/>
        </w:rPr>
        <w:t>evaluation rather than to the internal validity. External validity will be improved by</w:t>
      </w:r>
      <w:r>
        <w:rPr>
          <w:spacing w:val="1"/>
          <w:sz w:val="20"/>
        </w:rPr>
        <w:t> </w:t>
      </w:r>
      <w:r>
        <w:rPr>
          <w:sz w:val="20"/>
        </w:rPr>
        <w:t>applying the sampling frame described previously, so that the evaluation is able to</w:t>
      </w:r>
      <w:r>
        <w:rPr>
          <w:spacing w:val="1"/>
          <w:sz w:val="20"/>
        </w:rPr>
        <w:t> </w:t>
      </w:r>
      <w:r>
        <w:rPr>
          <w:sz w:val="20"/>
        </w:rPr>
        <w:t>estimate the effects of the model for different types of practices in different settings,</w:t>
      </w:r>
      <w:r>
        <w:rPr>
          <w:spacing w:val="1"/>
          <w:sz w:val="20"/>
        </w:rPr>
        <w:t> </w:t>
      </w:r>
      <w:r>
        <w:rPr>
          <w:sz w:val="20"/>
        </w:rPr>
        <w:t>and</w:t>
      </w:r>
      <w:r>
        <w:rPr>
          <w:spacing w:val="-3"/>
          <w:sz w:val="20"/>
        </w:rPr>
        <w:t> </w:t>
      </w:r>
      <w:r>
        <w:rPr>
          <w:sz w:val="20"/>
        </w:rPr>
        <w:t>to</w:t>
      </w:r>
      <w:r>
        <w:rPr>
          <w:spacing w:val="-2"/>
          <w:sz w:val="20"/>
        </w:rPr>
        <w:t> </w:t>
      </w:r>
      <w:r>
        <w:rPr>
          <w:sz w:val="20"/>
        </w:rPr>
        <w:t>explore</w:t>
      </w:r>
      <w:r>
        <w:rPr>
          <w:spacing w:val="-2"/>
          <w:sz w:val="20"/>
        </w:rPr>
        <w:t> </w:t>
      </w:r>
      <w:r>
        <w:rPr>
          <w:sz w:val="20"/>
        </w:rPr>
        <w:t>the</w:t>
      </w:r>
      <w:r>
        <w:rPr>
          <w:spacing w:val="-2"/>
          <w:sz w:val="20"/>
        </w:rPr>
        <w:t> </w:t>
      </w:r>
      <w:r>
        <w:rPr>
          <w:sz w:val="20"/>
        </w:rPr>
        <w:t>factors</w:t>
      </w:r>
      <w:r>
        <w:rPr>
          <w:spacing w:val="-2"/>
          <w:sz w:val="20"/>
        </w:rPr>
        <w:t> </w:t>
      </w:r>
      <w:r>
        <w:rPr>
          <w:sz w:val="20"/>
        </w:rPr>
        <w:t>that</w:t>
      </w:r>
      <w:r>
        <w:rPr>
          <w:spacing w:val="-2"/>
          <w:sz w:val="20"/>
        </w:rPr>
        <w:t> </w:t>
      </w:r>
      <w:r>
        <w:rPr>
          <w:sz w:val="20"/>
        </w:rPr>
        <w:t>impacted</w:t>
      </w:r>
      <w:r>
        <w:rPr>
          <w:spacing w:val="-2"/>
          <w:sz w:val="20"/>
        </w:rPr>
        <w:t> </w:t>
      </w:r>
      <w:r>
        <w:rPr>
          <w:sz w:val="20"/>
        </w:rPr>
        <w:t>effectiveness</w:t>
      </w:r>
      <w:r>
        <w:rPr>
          <w:spacing w:val="-2"/>
          <w:sz w:val="20"/>
        </w:rPr>
        <w:t> </w:t>
      </w:r>
      <w:r>
        <w:rPr>
          <w:sz w:val="20"/>
        </w:rPr>
        <w:t>across</w:t>
      </w:r>
      <w:r>
        <w:rPr>
          <w:spacing w:val="-3"/>
          <w:sz w:val="20"/>
        </w:rPr>
        <w:t> </w:t>
      </w:r>
      <w:r>
        <w:rPr>
          <w:sz w:val="20"/>
        </w:rPr>
        <w:t>these</w:t>
      </w:r>
      <w:r>
        <w:rPr>
          <w:spacing w:val="-2"/>
          <w:sz w:val="20"/>
        </w:rPr>
        <w:t> </w:t>
      </w:r>
      <w:r>
        <w:rPr>
          <w:sz w:val="20"/>
        </w:rPr>
        <w:t>dimensions.</w:t>
      </w:r>
    </w:p>
    <w:p>
      <w:pPr>
        <w:pStyle w:val="ListParagraph"/>
        <w:numPr>
          <w:ilvl w:val="0"/>
          <w:numId w:val="17"/>
        </w:numPr>
        <w:tabs>
          <w:tab w:pos="1573" w:val="left" w:leader="none"/>
          <w:tab w:pos="1574" w:val="left" w:leader="none"/>
        </w:tabs>
        <w:spacing w:line="276" w:lineRule="auto" w:before="201" w:after="0"/>
        <w:ind w:left="1573" w:right="1202" w:hanging="356"/>
        <w:jc w:val="left"/>
        <w:rPr>
          <w:sz w:val="20"/>
        </w:rPr>
      </w:pPr>
      <w:r>
        <w:rPr>
          <w:b/>
          <w:i/>
          <w:sz w:val="20"/>
        </w:rPr>
        <w:t>Comparator practices: </w:t>
      </w:r>
      <w:r>
        <w:rPr>
          <w:sz w:val="20"/>
        </w:rPr>
        <w:t>While there will be no formal comparator practices, practice</w:t>
      </w:r>
      <w:r>
        <w:rPr>
          <w:spacing w:val="1"/>
          <w:sz w:val="20"/>
        </w:rPr>
        <w:t> </w:t>
      </w:r>
      <w:r>
        <w:rPr>
          <w:sz w:val="20"/>
        </w:rPr>
        <w:t>data extracts will be sought from a national quality improvement/ benchmarking</w:t>
      </w:r>
      <w:r>
        <w:rPr>
          <w:spacing w:val="1"/>
          <w:sz w:val="20"/>
        </w:rPr>
        <w:t> </w:t>
      </w:r>
      <w:r>
        <w:rPr>
          <w:sz w:val="20"/>
        </w:rPr>
        <w:t>initiative. Practices that participate in this initiative may not be representative of</w:t>
      </w:r>
      <w:r>
        <w:rPr>
          <w:spacing w:val="1"/>
          <w:sz w:val="20"/>
        </w:rPr>
        <w:t> </w:t>
      </w:r>
      <w:r>
        <w:rPr>
          <w:sz w:val="20"/>
        </w:rPr>
        <w:t>practices generally. Characteristics of these practices may not be known. National</w:t>
      </w:r>
      <w:r>
        <w:rPr>
          <w:spacing w:val="1"/>
          <w:sz w:val="20"/>
        </w:rPr>
        <w:t> </w:t>
      </w:r>
      <w:r>
        <w:rPr>
          <w:sz w:val="20"/>
        </w:rPr>
        <w:t>data sources (MBS, PBS, hospital and emergency department data) do not include</w:t>
      </w:r>
      <w:r>
        <w:rPr>
          <w:spacing w:val="1"/>
          <w:sz w:val="20"/>
        </w:rPr>
        <w:t> </w:t>
      </w:r>
      <w:r>
        <w:rPr>
          <w:sz w:val="20"/>
        </w:rPr>
        <w:t>comprehensive information on the general practices or services to which patients</w:t>
      </w:r>
      <w:r>
        <w:rPr>
          <w:spacing w:val="1"/>
          <w:sz w:val="20"/>
        </w:rPr>
        <w:t> </w:t>
      </w:r>
      <w:r>
        <w:rPr>
          <w:sz w:val="20"/>
        </w:rPr>
        <w:t>relate, as there is no formal mechanism for patient enrolment in general practices in</w:t>
      </w:r>
      <w:r>
        <w:rPr>
          <w:spacing w:val="1"/>
          <w:sz w:val="20"/>
        </w:rPr>
        <w:t> </w:t>
      </w:r>
      <w:r>
        <w:rPr>
          <w:sz w:val="20"/>
        </w:rPr>
        <w:t>Australia.</w:t>
      </w:r>
      <w:r>
        <w:rPr>
          <w:spacing w:val="-4"/>
          <w:sz w:val="20"/>
        </w:rPr>
        <w:t> </w:t>
      </w:r>
      <w:r>
        <w:rPr>
          <w:sz w:val="20"/>
        </w:rPr>
        <w:t>For</w:t>
      </w:r>
      <w:r>
        <w:rPr>
          <w:spacing w:val="-3"/>
          <w:sz w:val="20"/>
        </w:rPr>
        <w:t> </w:t>
      </w:r>
      <w:r>
        <w:rPr>
          <w:sz w:val="20"/>
        </w:rPr>
        <w:t>MBS</w:t>
      </w:r>
      <w:r>
        <w:rPr>
          <w:spacing w:val="1"/>
          <w:sz w:val="20"/>
        </w:rPr>
        <w:t> </w:t>
      </w:r>
      <w:r>
        <w:rPr>
          <w:sz w:val="20"/>
        </w:rPr>
        <w:t>data,</w:t>
      </w:r>
      <w:r>
        <w:rPr>
          <w:spacing w:val="-4"/>
          <w:sz w:val="20"/>
        </w:rPr>
        <w:t> </w:t>
      </w:r>
      <w:r>
        <w:rPr>
          <w:sz w:val="20"/>
        </w:rPr>
        <w:t>there</w:t>
      </w:r>
      <w:r>
        <w:rPr>
          <w:spacing w:val="-3"/>
          <w:sz w:val="20"/>
        </w:rPr>
        <w:t> </w:t>
      </w:r>
      <w:r>
        <w:rPr>
          <w:sz w:val="20"/>
        </w:rPr>
        <w:t>is</w:t>
      </w:r>
      <w:r>
        <w:rPr>
          <w:spacing w:val="-3"/>
          <w:sz w:val="20"/>
        </w:rPr>
        <w:t> </w:t>
      </w:r>
      <w:r>
        <w:rPr>
          <w:sz w:val="20"/>
        </w:rPr>
        <w:t>information</w:t>
      </w:r>
      <w:r>
        <w:rPr>
          <w:spacing w:val="-2"/>
          <w:sz w:val="20"/>
        </w:rPr>
        <w:t> </w:t>
      </w:r>
      <w:r>
        <w:rPr>
          <w:sz w:val="20"/>
        </w:rPr>
        <w:t>related</w:t>
      </w:r>
      <w:r>
        <w:rPr>
          <w:spacing w:val="-3"/>
          <w:sz w:val="20"/>
        </w:rPr>
        <w:t> </w:t>
      </w:r>
      <w:r>
        <w:rPr>
          <w:sz w:val="20"/>
        </w:rPr>
        <w:t>to</w:t>
      </w:r>
      <w:r>
        <w:rPr>
          <w:spacing w:val="-3"/>
          <w:sz w:val="20"/>
        </w:rPr>
        <w:t> </w:t>
      </w:r>
      <w:r>
        <w:rPr>
          <w:sz w:val="20"/>
        </w:rPr>
        <w:t>the</w:t>
      </w:r>
      <w:r>
        <w:rPr>
          <w:spacing w:val="-4"/>
          <w:sz w:val="20"/>
        </w:rPr>
        <w:t> </w:t>
      </w:r>
      <w:r>
        <w:rPr>
          <w:sz w:val="20"/>
        </w:rPr>
        <w:t>provider</w:t>
      </w:r>
      <w:r>
        <w:rPr>
          <w:spacing w:val="-3"/>
          <w:sz w:val="20"/>
        </w:rPr>
        <w:t> </w:t>
      </w:r>
      <w:r>
        <w:rPr>
          <w:sz w:val="20"/>
        </w:rPr>
        <w:t>of</w:t>
      </w:r>
      <w:r>
        <w:rPr>
          <w:spacing w:val="-3"/>
          <w:sz w:val="20"/>
        </w:rPr>
        <w:t> </w:t>
      </w:r>
      <w:r>
        <w:rPr>
          <w:sz w:val="20"/>
        </w:rPr>
        <w:t>the</w:t>
      </w:r>
      <w:r>
        <w:rPr>
          <w:spacing w:val="-3"/>
          <w:sz w:val="20"/>
        </w:rPr>
        <w:t> </w:t>
      </w:r>
      <w:r>
        <w:rPr>
          <w:sz w:val="20"/>
        </w:rPr>
        <w:t>service,</w:t>
      </w:r>
      <w:r>
        <w:rPr>
          <w:spacing w:val="-5"/>
          <w:sz w:val="20"/>
        </w:rPr>
        <w:t> </w:t>
      </w:r>
      <w:r>
        <w:rPr>
          <w:sz w:val="20"/>
        </w:rPr>
        <w:t>and</w:t>
      </w:r>
      <w:r>
        <w:rPr>
          <w:spacing w:val="-52"/>
          <w:sz w:val="20"/>
        </w:rPr>
        <w:t> </w:t>
      </w:r>
      <w:r>
        <w:rPr>
          <w:sz w:val="20"/>
        </w:rPr>
        <w:t>it may be possible to determine whether a provider belongs to a practice that</w:t>
      </w:r>
      <w:r>
        <w:rPr>
          <w:spacing w:val="1"/>
          <w:sz w:val="20"/>
        </w:rPr>
        <w:t> </w:t>
      </w:r>
      <w:r>
        <w:rPr>
          <w:sz w:val="20"/>
        </w:rPr>
        <w:t>participates in the Practice Incentives Program. Patients may be able to be assigned</w:t>
      </w:r>
      <w:r>
        <w:rPr>
          <w:spacing w:val="1"/>
          <w:sz w:val="20"/>
        </w:rPr>
        <w:t> </w:t>
      </w:r>
      <w:r>
        <w:rPr>
          <w:sz w:val="20"/>
        </w:rPr>
        <w:t>to ‘virtual’ practices using the national data, for which a range of characteristics</w:t>
      </w:r>
      <w:r>
        <w:rPr>
          <w:spacing w:val="1"/>
          <w:sz w:val="20"/>
        </w:rPr>
        <w:t> </w:t>
      </w:r>
      <w:r>
        <w:rPr>
          <w:sz w:val="20"/>
        </w:rPr>
        <w:t>could be derived or estimated. The resulting virtual practices could be used in the</w:t>
      </w:r>
      <w:r>
        <w:rPr>
          <w:spacing w:val="1"/>
          <w:sz w:val="20"/>
        </w:rPr>
        <w:t> </w:t>
      </w:r>
      <w:r>
        <w:rPr>
          <w:sz w:val="20"/>
        </w:rPr>
        <w:t>selection</w:t>
      </w:r>
      <w:r>
        <w:rPr>
          <w:spacing w:val="-1"/>
          <w:sz w:val="20"/>
        </w:rPr>
        <w:t> </w:t>
      </w:r>
      <w:r>
        <w:rPr>
          <w:sz w:val="20"/>
        </w:rPr>
        <w:t>of</w:t>
      </w:r>
      <w:r>
        <w:rPr>
          <w:spacing w:val="-1"/>
          <w:sz w:val="20"/>
        </w:rPr>
        <w:t> </w:t>
      </w:r>
      <w:r>
        <w:rPr>
          <w:sz w:val="20"/>
        </w:rPr>
        <w:t>patient comparators</w:t>
      </w:r>
      <w:r>
        <w:rPr>
          <w:spacing w:val="-1"/>
          <w:sz w:val="20"/>
        </w:rPr>
        <w:t> </w:t>
      </w:r>
      <w:r>
        <w:rPr>
          <w:sz w:val="20"/>
        </w:rPr>
        <w:t>from</w:t>
      </w:r>
      <w:r>
        <w:rPr>
          <w:spacing w:val="-2"/>
          <w:sz w:val="20"/>
        </w:rPr>
        <w:t> </w:t>
      </w:r>
      <w:r>
        <w:rPr>
          <w:sz w:val="20"/>
        </w:rPr>
        <w:t>the</w:t>
      </w:r>
      <w:r>
        <w:rPr>
          <w:spacing w:val="-1"/>
          <w:sz w:val="20"/>
        </w:rPr>
        <w:t> </w:t>
      </w:r>
      <w:r>
        <w:rPr>
          <w:sz w:val="20"/>
        </w:rPr>
        <w:t>national</w:t>
      </w:r>
      <w:r>
        <w:rPr>
          <w:spacing w:val="-1"/>
          <w:sz w:val="20"/>
        </w:rPr>
        <w:t> </w:t>
      </w:r>
      <w:r>
        <w:rPr>
          <w:sz w:val="20"/>
        </w:rPr>
        <w:t>data.</w:t>
      </w:r>
    </w:p>
    <w:p>
      <w:pPr>
        <w:spacing w:after="0" w:line="276" w:lineRule="auto"/>
        <w:jc w:val="left"/>
        <w:rPr>
          <w:sz w:val="20"/>
        </w:rPr>
        <w:sectPr>
          <w:pgSz w:w="11910" w:h="16840"/>
          <w:pgMar w:header="0" w:footer="675" w:top="1340" w:bottom="860" w:left="580" w:right="280"/>
        </w:sectPr>
      </w:pPr>
    </w:p>
    <w:p>
      <w:pPr>
        <w:pStyle w:val="ListParagraph"/>
        <w:numPr>
          <w:ilvl w:val="0"/>
          <w:numId w:val="17"/>
        </w:numPr>
        <w:tabs>
          <w:tab w:pos="1573" w:val="left" w:leader="none"/>
          <w:tab w:pos="1574" w:val="left" w:leader="none"/>
        </w:tabs>
        <w:spacing w:line="276" w:lineRule="auto" w:before="82" w:after="0"/>
        <w:ind w:left="1573" w:right="1173" w:hanging="356"/>
        <w:jc w:val="left"/>
        <w:rPr>
          <w:sz w:val="20"/>
        </w:rPr>
      </w:pPr>
      <w:r>
        <w:rPr>
          <w:b/>
          <w:i/>
          <w:sz w:val="20"/>
        </w:rPr>
        <w:t>Intervention patients: </w:t>
      </w:r>
      <w:r>
        <w:rPr>
          <w:sz w:val="20"/>
        </w:rPr>
        <w:t>Intervention patients will be identified by practices using</w:t>
      </w:r>
      <w:r>
        <w:rPr>
          <w:spacing w:val="1"/>
          <w:sz w:val="20"/>
        </w:rPr>
        <w:t> </w:t>
      </w:r>
      <w:r>
        <w:rPr>
          <w:sz w:val="20"/>
        </w:rPr>
        <w:t>information from risk stratification as well as clinician judgment. Patients will be invited</w:t>
      </w:r>
      <w:r>
        <w:rPr>
          <w:spacing w:val="1"/>
          <w:sz w:val="20"/>
        </w:rPr>
        <w:t> </w:t>
      </w:r>
      <w:r>
        <w:rPr>
          <w:sz w:val="20"/>
        </w:rPr>
        <w:t>to participate in HCH and may refuse. Patients may agree to participate in the HCH</w:t>
      </w:r>
      <w:r>
        <w:rPr>
          <w:spacing w:val="1"/>
          <w:sz w:val="20"/>
        </w:rPr>
        <w:t> </w:t>
      </w:r>
      <w:r>
        <w:rPr>
          <w:sz w:val="20"/>
        </w:rPr>
        <w:t>program, but not consent to participate in the evaluation. Impacts of these factors</w:t>
      </w:r>
      <w:r>
        <w:rPr>
          <w:spacing w:val="1"/>
          <w:sz w:val="20"/>
        </w:rPr>
        <w:t> </w:t>
      </w:r>
      <w:r>
        <w:rPr>
          <w:sz w:val="20"/>
        </w:rPr>
        <w:t>may be investigated by comparing the profiles of patients identified as being high-risk</w:t>
      </w:r>
      <w:r>
        <w:rPr>
          <w:spacing w:val="-53"/>
          <w:sz w:val="20"/>
        </w:rPr>
        <w:t> </w:t>
      </w:r>
      <w:r>
        <w:rPr>
          <w:sz w:val="20"/>
        </w:rPr>
        <w:t>in the first stage of the risk stratification process with the profiles of patients who agree</w:t>
      </w:r>
      <w:r>
        <w:rPr>
          <w:spacing w:val="-53"/>
          <w:sz w:val="20"/>
        </w:rPr>
        <w:t> </w:t>
      </w:r>
      <w:r>
        <w:rPr>
          <w:sz w:val="20"/>
        </w:rPr>
        <w:t>to participate in the evaluation. Interviews with practice staff can be used to identify</w:t>
      </w:r>
      <w:r>
        <w:rPr>
          <w:spacing w:val="1"/>
          <w:sz w:val="20"/>
        </w:rPr>
        <w:t> </w:t>
      </w:r>
      <w:r>
        <w:rPr>
          <w:sz w:val="20"/>
        </w:rPr>
        <w:t>factors that GPs considered in determining the appropriateness of HCH for patients,</w:t>
      </w:r>
      <w:r>
        <w:rPr>
          <w:spacing w:val="1"/>
          <w:sz w:val="20"/>
        </w:rPr>
        <w:t> </w:t>
      </w:r>
      <w:r>
        <w:rPr>
          <w:sz w:val="20"/>
        </w:rPr>
        <w:t>and</w:t>
      </w:r>
      <w:r>
        <w:rPr>
          <w:spacing w:val="1"/>
          <w:sz w:val="20"/>
        </w:rPr>
        <w:t> </w:t>
      </w:r>
      <w:r>
        <w:rPr>
          <w:sz w:val="20"/>
        </w:rPr>
        <w:t>the</w:t>
      </w:r>
      <w:r>
        <w:rPr>
          <w:spacing w:val="2"/>
          <w:sz w:val="20"/>
        </w:rPr>
        <w:t> </w:t>
      </w:r>
      <w:r>
        <w:rPr>
          <w:sz w:val="20"/>
        </w:rPr>
        <w:t>reasons</w:t>
      </w:r>
      <w:r>
        <w:rPr>
          <w:spacing w:val="1"/>
          <w:sz w:val="20"/>
        </w:rPr>
        <w:t> </w:t>
      </w:r>
      <w:r>
        <w:rPr>
          <w:sz w:val="20"/>
        </w:rPr>
        <w:t>patients</w:t>
      </w:r>
      <w:r>
        <w:rPr>
          <w:spacing w:val="1"/>
          <w:sz w:val="20"/>
        </w:rPr>
        <w:t> </w:t>
      </w:r>
      <w:r>
        <w:rPr>
          <w:sz w:val="20"/>
        </w:rPr>
        <w:t>gave</w:t>
      </w:r>
      <w:r>
        <w:rPr>
          <w:spacing w:val="1"/>
          <w:sz w:val="20"/>
        </w:rPr>
        <w:t> </w:t>
      </w:r>
      <w:r>
        <w:rPr>
          <w:sz w:val="20"/>
        </w:rPr>
        <w:t>for</w:t>
      </w:r>
      <w:r>
        <w:rPr>
          <w:spacing w:val="1"/>
          <w:sz w:val="20"/>
        </w:rPr>
        <w:t> </w:t>
      </w:r>
      <w:r>
        <w:rPr>
          <w:sz w:val="20"/>
        </w:rPr>
        <w:t>not</w:t>
      </w:r>
      <w:r>
        <w:rPr>
          <w:spacing w:val="2"/>
          <w:sz w:val="20"/>
        </w:rPr>
        <w:t> </w:t>
      </w:r>
      <w:r>
        <w:rPr>
          <w:sz w:val="20"/>
        </w:rPr>
        <w:t>participating</w:t>
      </w:r>
      <w:r>
        <w:rPr>
          <w:spacing w:val="1"/>
          <w:sz w:val="20"/>
        </w:rPr>
        <w:t> </w:t>
      </w:r>
      <w:r>
        <w:rPr>
          <w:sz w:val="20"/>
        </w:rPr>
        <w:t>in</w:t>
      </w:r>
      <w:r>
        <w:rPr>
          <w:spacing w:val="2"/>
          <w:sz w:val="20"/>
        </w:rPr>
        <w:t> </w:t>
      </w:r>
      <w:r>
        <w:rPr>
          <w:sz w:val="20"/>
        </w:rPr>
        <w:t>the</w:t>
      </w:r>
      <w:r>
        <w:rPr>
          <w:spacing w:val="1"/>
          <w:sz w:val="20"/>
        </w:rPr>
        <w:t> </w:t>
      </w:r>
      <w:r>
        <w:rPr>
          <w:sz w:val="20"/>
        </w:rPr>
        <w:t>HCH</w:t>
      </w:r>
      <w:r>
        <w:rPr>
          <w:spacing w:val="2"/>
          <w:sz w:val="20"/>
        </w:rPr>
        <w:t> </w:t>
      </w:r>
      <w:r>
        <w:rPr>
          <w:sz w:val="20"/>
        </w:rPr>
        <w:t>and/</w:t>
      </w:r>
      <w:r>
        <w:rPr>
          <w:spacing w:val="1"/>
          <w:sz w:val="20"/>
        </w:rPr>
        <w:t> </w:t>
      </w:r>
      <w:r>
        <w:rPr>
          <w:sz w:val="20"/>
        </w:rPr>
        <w:t>or</w:t>
      </w:r>
      <w:r>
        <w:rPr>
          <w:spacing w:val="1"/>
          <w:sz w:val="20"/>
        </w:rPr>
        <w:t> </w:t>
      </w:r>
      <w:r>
        <w:rPr>
          <w:sz w:val="20"/>
        </w:rPr>
        <w:t>the</w:t>
      </w:r>
      <w:r>
        <w:rPr>
          <w:spacing w:val="1"/>
          <w:sz w:val="20"/>
        </w:rPr>
        <w:t> </w:t>
      </w:r>
      <w:r>
        <w:rPr>
          <w:sz w:val="20"/>
        </w:rPr>
        <w:t>evaluation.</w:t>
      </w:r>
    </w:p>
    <w:p>
      <w:pPr>
        <w:pStyle w:val="ListParagraph"/>
        <w:numPr>
          <w:ilvl w:val="0"/>
          <w:numId w:val="17"/>
        </w:numPr>
        <w:tabs>
          <w:tab w:pos="1573" w:val="left" w:leader="none"/>
          <w:tab w:pos="1574" w:val="left" w:leader="none"/>
        </w:tabs>
        <w:spacing w:line="276" w:lineRule="auto" w:before="199" w:after="0"/>
        <w:ind w:left="1573" w:right="1315" w:hanging="356"/>
        <w:jc w:val="left"/>
        <w:rPr>
          <w:sz w:val="20"/>
        </w:rPr>
      </w:pPr>
      <w:r>
        <w:rPr>
          <w:b/>
          <w:i/>
          <w:sz w:val="20"/>
        </w:rPr>
        <w:t>Comparator</w:t>
      </w:r>
      <w:r>
        <w:rPr>
          <w:b/>
          <w:i/>
          <w:spacing w:val="-4"/>
          <w:sz w:val="20"/>
        </w:rPr>
        <w:t> </w:t>
      </w:r>
      <w:r>
        <w:rPr>
          <w:b/>
          <w:i/>
          <w:sz w:val="20"/>
        </w:rPr>
        <w:t>patients:</w:t>
      </w:r>
      <w:r>
        <w:rPr>
          <w:b/>
          <w:i/>
          <w:spacing w:val="-2"/>
          <w:sz w:val="20"/>
        </w:rPr>
        <w:t> </w:t>
      </w:r>
      <w:r>
        <w:rPr>
          <w:sz w:val="20"/>
        </w:rPr>
        <w:t>Comparator</w:t>
      </w:r>
      <w:r>
        <w:rPr>
          <w:spacing w:val="-5"/>
          <w:sz w:val="20"/>
        </w:rPr>
        <w:t> </w:t>
      </w:r>
      <w:r>
        <w:rPr>
          <w:sz w:val="20"/>
        </w:rPr>
        <w:t>patients</w:t>
      </w:r>
      <w:r>
        <w:rPr>
          <w:spacing w:val="-5"/>
          <w:sz w:val="20"/>
        </w:rPr>
        <w:t> </w:t>
      </w:r>
      <w:r>
        <w:rPr>
          <w:sz w:val="20"/>
        </w:rPr>
        <w:t>will</w:t>
      </w:r>
      <w:r>
        <w:rPr>
          <w:spacing w:val="-5"/>
          <w:sz w:val="20"/>
        </w:rPr>
        <w:t> </w:t>
      </w:r>
      <w:r>
        <w:rPr>
          <w:sz w:val="20"/>
        </w:rPr>
        <w:t>not</w:t>
      </w:r>
      <w:r>
        <w:rPr>
          <w:spacing w:val="-3"/>
          <w:sz w:val="20"/>
        </w:rPr>
        <w:t> </w:t>
      </w:r>
      <w:r>
        <w:rPr>
          <w:sz w:val="20"/>
        </w:rPr>
        <w:t>have</w:t>
      </w:r>
      <w:r>
        <w:rPr>
          <w:spacing w:val="-5"/>
          <w:sz w:val="20"/>
        </w:rPr>
        <w:t> </w:t>
      </w:r>
      <w:r>
        <w:rPr>
          <w:sz w:val="20"/>
        </w:rPr>
        <w:t>been</w:t>
      </w:r>
      <w:r>
        <w:rPr>
          <w:spacing w:val="-3"/>
          <w:sz w:val="20"/>
        </w:rPr>
        <w:t> </w:t>
      </w:r>
      <w:r>
        <w:rPr>
          <w:sz w:val="20"/>
        </w:rPr>
        <w:t>identified</w:t>
      </w:r>
      <w:r>
        <w:rPr>
          <w:spacing w:val="-5"/>
          <w:sz w:val="20"/>
        </w:rPr>
        <w:t> </w:t>
      </w:r>
      <w:r>
        <w:rPr>
          <w:sz w:val="20"/>
        </w:rPr>
        <w:t>through</w:t>
      </w:r>
      <w:r>
        <w:rPr>
          <w:spacing w:val="-4"/>
          <w:sz w:val="20"/>
        </w:rPr>
        <w:t> </w:t>
      </w:r>
      <w:r>
        <w:rPr>
          <w:sz w:val="20"/>
        </w:rPr>
        <w:t>the</w:t>
      </w:r>
      <w:r>
        <w:rPr>
          <w:spacing w:val="-52"/>
          <w:sz w:val="20"/>
        </w:rPr>
        <w:t> </w:t>
      </w:r>
      <w:r>
        <w:rPr>
          <w:sz w:val="20"/>
        </w:rPr>
        <w:t>same process described above. Therefore, there may be important unobserved</w:t>
      </w:r>
      <w:r>
        <w:rPr>
          <w:spacing w:val="1"/>
          <w:sz w:val="20"/>
        </w:rPr>
        <w:t> </w:t>
      </w:r>
      <w:r>
        <w:rPr>
          <w:sz w:val="20"/>
        </w:rPr>
        <w:t>differences between the comparator and intervention groups. One strategy to</w:t>
      </w:r>
      <w:r>
        <w:rPr>
          <w:spacing w:val="1"/>
          <w:sz w:val="20"/>
        </w:rPr>
        <w:t> </w:t>
      </w:r>
      <w:r>
        <w:rPr>
          <w:sz w:val="20"/>
        </w:rPr>
        <w:t>achieve comparability between groups is to apply the same risk stratification system</w:t>
      </w:r>
      <w:r>
        <w:rPr>
          <w:spacing w:val="-53"/>
          <w:sz w:val="20"/>
        </w:rPr>
        <w:t> </w:t>
      </w:r>
      <w:r>
        <w:rPr>
          <w:sz w:val="20"/>
        </w:rPr>
        <w:t>to</w:t>
      </w:r>
      <w:r>
        <w:rPr>
          <w:spacing w:val="-2"/>
          <w:sz w:val="20"/>
        </w:rPr>
        <w:t> </w:t>
      </w:r>
      <w:r>
        <w:rPr>
          <w:sz w:val="20"/>
        </w:rPr>
        <w:t>both</w:t>
      </w:r>
      <w:r>
        <w:rPr>
          <w:spacing w:val="-1"/>
          <w:sz w:val="20"/>
        </w:rPr>
        <w:t> </w:t>
      </w:r>
      <w:r>
        <w:rPr>
          <w:sz w:val="20"/>
        </w:rPr>
        <w:t>groups,</w:t>
      </w:r>
      <w:r>
        <w:rPr>
          <w:spacing w:val="-2"/>
          <w:sz w:val="20"/>
        </w:rPr>
        <w:t> </w:t>
      </w:r>
      <w:r>
        <w:rPr>
          <w:sz w:val="20"/>
        </w:rPr>
        <w:t>using</w:t>
      </w:r>
      <w:r>
        <w:rPr>
          <w:spacing w:val="-1"/>
          <w:sz w:val="20"/>
        </w:rPr>
        <w:t> </w:t>
      </w:r>
      <w:r>
        <w:rPr>
          <w:sz w:val="20"/>
        </w:rPr>
        <w:t>as broad</w:t>
      </w:r>
      <w:r>
        <w:rPr>
          <w:spacing w:val="-2"/>
          <w:sz w:val="20"/>
        </w:rPr>
        <w:t> </w:t>
      </w:r>
      <w:r>
        <w:rPr>
          <w:sz w:val="20"/>
        </w:rPr>
        <w:t>a</w:t>
      </w:r>
      <w:r>
        <w:rPr>
          <w:spacing w:val="-1"/>
          <w:sz w:val="20"/>
        </w:rPr>
        <w:t> </w:t>
      </w:r>
      <w:r>
        <w:rPr>
          <w:sz w:val="20"/>
        </w:rPr>
        <w:t>range</w:t>
      </w:r>
      <w:r>
        <w:rPr>
          <w:spacing w:val="-1"/>
          <w:sz w:val="20"/>
        </w:rPr>
        <w:t> </w:t>
      </w:r>
      <w:r>
        <w:rPr>
          <w:sz w:val="20"/>
        </w:rPr>
        <w:t>of information</w:t>
      </w:r>
      <w:r>
        <w:rPr>
          <w:spacing w:val="-1"/>
          <w:sz w:val="20"/>
        </w:rPr>
        <w:t> </w:t>
      </w:r>
      <w:r>
        <w:rPr>
          <w:sz w:val="20"/>
        </w:rPr>
        <w:t>as</w:t>
      </w:r>
      <w:r>
        <w:rPr>
          <w:spacing w:val="-1"/>
          <w:sz w:val="20"/>
        </w:rPr>
        <w:t> </w:t>
      </w:r>
      <w:r>
        <w:rPr>
          <w:sz w:val="20"/>
        </w:rPr>
        <w:t>is</w:t>
      </w:r>
      <w:r>
        <w:rPr>
          <w:spacing w:val="-2"/>
          <w:sz w:val="20"/>
        </w:rPr>
        <w:t> </w:t>
      </w:r>
      <w:r>
        <w:rPr>
          <w:sz w:val="20"/>
        </w:rPr>
        <w:t>available.</w:t>
      </w:r>
    </w:p>
    <w:p>
      <w:pPr>
        <w:pStyle w:val="BodyText"/>
        <w:spacing w:line="276" w:lineRule="auto" w:before="201"/>
        <w:ind w:left="860" w:right="1154"/>
      </w:pPr>
      <w:r>
        <w:rPr/>
        <w:t>It is not feasible to have a design that blinds researchers to practices that are part of the HCH</w:t>
      </w:r>
      <w:r>
        <w:rPr>
          <w:spacing w:val="-53"/>
        </w:rPr>
        <w:t> </w:t>
      </w:r>
      <w:r>
        <w:rPr/>
        <w:t>trial,</w:t>
      </w:r>
      <w:r>
        <w:rPr>
          <w:spacing w:val="-4"/>
        </w:rPr>
        <w:t> </w:t>
      </w:r>
      <w:r>
        <w:rPr/>
        <w:t>and</w:t>
      </w:r>
      <w:r>
        <w:rPr>
          <w:spacing w:val="-1"/>
        </w:rPr>
        <w:t> </w:t>
      </w:r>
      <w:r>
        <w:rPr/>
        <w:t>to</w:t>
      </w:r>
      <w:r>
        <w:rPr>
          <w:spacing w:val="-1"/>
        </w:rPr>
        <w:t> </w:t>
      </w:r>
      <w:r>
        <w:rPr/>
        <w:t>the</w:t>
      </w:r>
      <w:r>
        <w:rPr>
          <w:spacing w:val="-1"/>
        </w:rPr>
        <w:t> </w:t>
      </w:r>
      <w:r>
        <w:rPr/>
        <w:t>patients</w:t>
      </w:r>
      <w:r>
        <w:rPr>
          <w:spacing w:val="-4"/>
        </w:rPr>
        <w:t> </w:t>
      </w:r>
      <w:r>
        <w:rPr/>
        <w:t>that have</w:t>
      </w:r>
      <w:r>
        <w:rPr>
          <w:spacing w:val="-1"/>
        </w:rPr>
        <w:t> </w:t>
      </w:r>
      <w:r>
        <w:rPr/>
        <w:t>been enrolled</w:t>
      </w:r>
      <w:r>
        <w:rPr>
          <w:spacing w:val="-1"/>
        </w:rPr>
        <w:t> </w:t>
      </w:r>
      <w:r>
        <w:rPr/>
        <w:t>in HCH.</w:t>
      </w:r>
    </w:p>
    <w:p>
      <w:pPr>
        <w:pStyle w:val="BodyText"/>
        <w:spacing w:line="276" w:lineRule="auto" w:before="200"/>
        <w:ind w:left="860" w:right="1222"/>
      </w:pPr>
      <w:r>
        <w:rPr/>
        <w:t>For the before-and-after aspects of the evaluation, patients (or a sample of patients)</w:t>
      </w:r>
      <w:r>
        <w:rPr>
          <w:spacing w:val="1"/>
        </w:rPr>
        <w:t> </w:t>
      </w:r>
      <w:r>
        <w:rPr/>
        <w:t>enrolled</w:t>
      </w:r>
      <w:r>
        <w:rPr>
          <w:spacing w:val="-4"/>
        </w:rPr>
        <w:t> </w:t>
      </w:r>
      <w:r>
        <w:rPr/>
        <w:t>with</w:t>
      </w:r>
      <w:r>
        <w:rPr>
          <w:spacing w:val="-2"/>
        </w:rPr>
        <w:t> </w:t>
      </w:r>
      <w:r>
        <w:rPr/>
        <w:t>HCH</w:t>
      </w:r>
      <w:r>
        <w:rPr>
          <w:spacing w:val="-3"/>
        </w:rPr>
        <w:t> </w:t>
      </w:r>
      <w:r>
        <w:rPr/>
        <w:t>will</w:t>
      </w:r>
      <w:r>
        <w:rPr>
          <w:spacing w:val="-2"/>
        </w:rPr>
        <w:t> </w:t>
      </w:r>
      <w:r>
        <w:rPr/>
        <w:t>be</w:t>
      </w:r>
      <w:r>
        <w:rPr>
          <w:spacing w:val="-4"/>
        </w:rPr>
        <w:t> </w:t>
      </w:r>
      <w:r>
        <w:rPr/>
        <w:t>invited</w:t>
      </w:r>
      <w:r>
        <w:rPr>
          <w:spacing w:val="-5"/>
        </w:rPr>
        <w:t> </w:t>
      </w:r>
      <w:r>
        <w:rPr/>
        <w:t>to</w:t>
      </w:r>
      <w:r>
        <w:rPr>
          <w:spacing w:val="-4"/>
        </w:rPr>
        <w:t> </w:t>
      </w:r>
      <w:r>
        <w:rPr/>
        <w:t>participate</w:t>
      </w:r>
      <w:r>
        <w:rPr>
          <w:spacing w:val="-4"/>
        </w:rPr>
        <w:t> </w:t>
      </w:r>
      <w:r>
        <w:rPr/>
        <w:t>in</w:t>
      </w:r>
      <w:r>
        <w:rPr>
          <w:spacing w:val="-2"/>
        </w:rPr>
        <w:t> </w:t>
      </w:r>
      <w:r>
        <w:rPr/>
        <w:t>patient</w:t>
      </w:r>
      <w:r>
        <w:rPr>
          <w:spacing w:val="-2"/>
        </w:rPr>
        <w:t> </w:t>
      </w:r>
      <w:r>
        <w:rPr/>
        <w:t>surveys.</w:t>
      </w:r>
      <w:r>
        <w:rPr>
          <w:spacing w:val="-6"/>
        </w:rPr>
        <w:t> </w:t>
      </w:r>
      <w:r>
        <w:rPr/>
        <w:t>The</w:t>
      </w:r>
      <w:r>
        <w:rPr>
          <w:spacing w:val="-3"/>
        </w:rPr>
        <w:t> </w:t>
      </w:r>
      <w:r>
        <w:rPr/>
        <w:t>mechanisms</w:t>
      </w:r>
      <w:r>
        <w:rPr>
          <w:spacing w:val="-4"/>
        </w:rPr>
        <w:t> </w:t>
      </w:r>
      <w:r>
        <w:rPr/>
        <w:t>for</w:t>
      </w:r>
      <w:r>
        <w:rPr>
          <w:spacing w:val="-4"/>
        </w:rPr>
        <w:t> </w:t>
      </w:r>
      <w:r>
        <w:rPr/>
        <w:t>inviting</w:t>
      </w:r>
      <w:r>
        <w:rPr>
          <w:spacing w:val="-52"/>
        </w:rPr>
        <w:t> </w:t>
      </w:r>
      <w:r>
        <w:rPr/>
        <w:t>patients to participate in the surveys need to be designed to avoid a biased sample of</w:t>
      </w:r>
      <w:r>
        <w:rPr>
          <w:spacing w:val="1"/>
        </w:rPr>
        <w:t> </w:t>
      </w:r>
      <w:r>
        <w:rPr/>
        <w:t>patients invited. For example, if patients are invited by a practice following an appointment,</w:t>
      </w:r>
      <w:r>
        <w:rPr>
          <w:spacing w:val="-53"/>
        </w:rPr>
        <w:t> </w:t>
      </w:r>
      <w:r>
        <w:rPr/>
        <w:t>only those patients that have an appointment during the time frame in which the survey is</w:t>
      </w:r>
      <w:r>
        <w:rPr>
          <w:spacing w:val="1"/>
        </w:rPr>
        <w:t> </w:t>
      </w:r>
      <w:r>
        <w:rPr/>
        <w:t>required to be distributed will be invited. Also, practices may only approach patients that</w:t>
      </w:r>
      <w:r>
        <w:rPr>
          <w:spacing w:val="1"/>
        </w:rPr>
        <w:t> </w:t>
      </w:r>
      <w:r>
        <w:rPr/>
        <w:t>they</w:t>
      </w:r>
      <w:r>
        <w:rPr>
          <w:spacing w:val="-3"/>
        </w:rPr>
        <w:t> </w:t>
      </w:r>
      <w:r>
        <w:rPr/>
        <w:t>asses</w:t>
      </w:r>
      <w:r>
        <w:rPr>
          <w:spacing w:val="-1"/>
        </w:rPr>
        <w:t> </w:t>
      </w:r>
      <w:r>
        <w:rPr/>
        <w:t>to</w:t>
      </w:r>
      <w:r>
        <w:rPr>
          <w:spacing w:val="-1"/>
        </w:rPr>
        <w:t> </w:t>
      </w:r>
      <w:r>
        <w:rPr/>
        <w:t>be</w:t>
      </w:r>
      <w:r>
        <w:rPr>
          <w:spacing w:val="-1"/>
        </w:rPr>
        <w:t> </w:t>
      </w:r>
      <w:r>
        <w:rPr/>
        <w:t>able</w:t>
      </w:r>
      <w:r>
        <w:rPr>
          <w:spacing w:val="-1"/>
        </w:rPr>
        <w:t> </w:t>
      </w:r>
      <w:r>
        <w:rPr/>
        <w:t>to</w:t>
      </w:r>
      <w:r>
        <w:rPr>
          <w:spacing w:val="1"/>
        </w:rPr>
        <w:t> </w:t>
      </w:r>
      <w:r>
        <w:rPr/>
        <w:t>complete</w:t>
      </w:r>
      <w:r>
        <w:rPr>
          <w:spacing w:val="-1"/>
        </w:rPr>
        <w:t> </w:t>
      </w:r>
      <w:r>
        <w:rPr/>
        <w:t>the</w:t>
      </w:r>
      <w:r>
        <w:rPr>
          <w:spacing w:val="-2"/>
        </w:rPr>
        <w:t> </w:t>
      </w:r>
      <w:r>
        <w:rPr/>
        <w:t>survey.</w:t>
      </w:r>
    </w:p>
    <w:p>
      <w:pPr>
        <w:pStyle w:val="BodyText"/>
        <w:spacing w:line="276" w:lineRule="auto" w:before="200"/>
        <w:ind w:left="860" w:right="1416"/>
      </w:pPr>
      <w:r>
        <w:rPr/>
        <w:t>An</w:t>
      </w:r>
      <w:r>
        <w:rPr>
          <w:spacing w:val="-1"/>
        </w:rPr>
        <w:t> </w:t>
      </w:r>
      <w:r>
        <w:rPr/>
        <w:t>important</w:t>
      </w:r>
      <w:r>
        <w:rPr>
          <w:spacing w:val="-2"/>
        </w:rPr>
        <w:t> </w:t>
      </w:r>
      <w:r>
        <w:rPr/>
        <w:t>issue</w:t>
      </w:r>
      <w:r>
        <w:rPr>
          <w:spacing w:val="-5"/>
        </w:rPr>
        <w:t> </w:t>
      </w:r>
      <w:r>
        <w:rPr/>
        <w:t>is</w:t>
      </w:r>
      <w:r>
        <w:rPr>
          <w:spacing w:val="-4"/>
        </w:rPr>
        <w:t> </w:t>
      </w:r>
      <w:r>
        <w:rPr/>
        <w:t>the</w:t>
      </w:r>
      <w:r>
        <w:rPr>
          <w:spacing w:val="-4"/>
        </w:rPr>
        <w:t> </w:t>
      </w:r>
      <w:r>
        <w:rPr/>
        <w:t>appropriateness</w:t>
      </w:r>
      <w:r>
        <w:rPr>
          <w:spacing w:val="-4"/>
        </w:rPr>
        <w:t> </w:t>
      </w:r>
      <w:r>
        <w:rPr/>
        <w:t>and</w:t>
      </w:r>
      <w:r>
        <w:rPr>
          <w:spacing w:val="-5"/>
        </w:rPr>
        <w:t> </w:t>
      </w:r>
      <w:r>
        <w:rPr/>
        <w:t>validity</w:t>
      </w:r>
      <w:r>
        <w:rPr>
          <w:spacing w:val="-5"/>
        </w:rPr>
        <w:t> </w:t>
      </w:r>
      <w:r>
        <w:rPr/>
        <w:t>of</w:t>
      </w:r>
      <w:r>
        <w:rPr>
          <w:spacing w:val="-4"/>
        </w:rPr>
        <w:t> </w:t>
      </w:r>
      <w:r>
        <w:rPr/>
        <w:t>measurement</w:t>
      </w:r>
      <w:r>
        <w:rPr>
          <w:spacing w:val="-3"/>
        </w:rPr>
        <w:t> </w:t>
      </w:r>
      <w:r>
        <w:rPr/>
        <w:t>instruments</w:t>
      </w:r>
      <w:r>
        <w:rPr>
          <w:spacing w:val="-4"/>
        </w:rPr>
        <w:t> </w:t>
      </w:r>
      <w:r>
        <w:rPr/>
        <w:t>used</w:t>
      </w:r>
      <w:r>
        <w:rPr>
          <w:spacing w:val="-4"/>
        </w:rPr>
        <w:t> </w:t>
      </w:r>
      <w:r>
        <w:rPr/>
        <w:t>for</w:t>
      </w:r>
      <w:r>
        <w:rPr>
          <w:spacing w:val="-53"/>
        </w:rPr>
        <w:t> </w:t>
      </w:r>
      <w:r>
        <w:rPr/>
        <w:t>this evaluation for Aboriginal and Torres Strait Islander people and other people from</w:t>
      </w:r>
      <w:r>
        <w:rPr>
          <w:spacing w:val="1"/>
        </w:rPr>
        <w:t> </w:t>
      </w:r>
      <w:r>
        <w:rPr/>
        <w:t>culturally and linguistically diverse backgrounds. The assessment of these issues is outlined</w:t>
      </w:r>
      <w:r>
        <w:rPr>
          <w:spacing w:val="1"/>
        </w:rPr>
        <w:t> </w:t>
      </w:r>
      <w:r>
        <w:rPr/>
        <w:t>further in the discussion of each of the instruments discussed below. Strategies that will be</w:t>
      </w:r>
      <w:r>
        <w:rPr>
          <w:spacing w:val="1"/>
        </w:rPr>
        <w:t> </w:t>
      </w:r>
      <w:r>
        <w:rPr/>
        <w:t>required to address these issues may include: piloting instruments, use of alternative means</w:t>
      </w:r>
      <w:r>
        <w:rPr>
          <w:spacing w:val="-53"/>
        </w:rPr>
        <w:t> </w:t>
      </w:r>
      <w:r>
        <w:rPr/>
        <w:t>for</w:t>
      </w:r>
      <w:r>
        <w:rPr>
          <w:spacing w:val="-2"/>
        </w:rPr>
        <w:t> </w:t>
      </w:r>
      <w:r>
        <w:rPr/>
        <w:t>administering</w:t>
      </w:r>
      <w:r>
        <w:rPr>
          <w:spacing w:val="-1"/>
        </w:rPr>
        <w:t> </w:t>
      </w:r>
      <w:r>
        <w:rPr/>
        <w:t>instruments</w:t>
      </w:r>
      <w:r>
        <w:rPr>
          <w:spacing w:val="-1"/>
        </w:rPr>
        <w:t> </w:t>
      </w:r>
      <w:r>
        <w:rPr/>
        <w:t>and</w:t>
      </w:r>
      <w:r>
        <w:rPr>
          <w:spacing w:val="-2"/>
        </w:rPr>
        <w:t> </w:t>
      </w:r>
      <w:r>
        <w:rPr/>
        <w:t>others</w:t>
      </w:r>
      <w:r>
        <w:rPr>
          <w:spacing w:val="1"/>
        </w:rPr>
        <w:t> </w:t>
      </w:r>
      <w:r>
        <w:rPr/>
        <w:t>(to</w:t>
      </w:r>
      <w:r>
        <w:rPr>
          <w:spacing w:val="-1"/>
        </w:rPr>
        <w:t> </w:t>
      </w:r>
      <w:r>
        <w:rPr/>
        <w:t>be</w:t>
      </w:r>
      <w:r>
        <w:rPr>
          <w:spacing w:val="-2"/>
        </w:rPr>
        <w:t> </w:t>
      </w:r>
      <w:r>
        <w:rPr/>
        <w:t>developed).</w:t>
      </w:r>
    </w:p>
    <w:p>
      <w:pPr>
        <w:pStyle w:val="BodyText"/>
        <w:spacing w:line="276" w:lineRule="auto" w:before="202"/>
        <w:ind w:left="860" w:right="1417"/>
      </w:pPr>
      <w:r>
        <w:rPr/>
        <w:t>Twenty HCH practices (a 10 per cent sample) will be selected to participate in qualitative</w:t>
      </w:r>
      <w:r>
        <w:rPr>
          <w:spacing w:val="1"/>
        </w:rPr>
        <w:t> </w:t>
      </w:r>
      <w:r>
        <w:rPr/>
        <w:t>data collection (interviews/ focus groups). These practices should be selected on the basis</w:t>
      </w:r>
      <w:r>
        <w:rPr>
          <w:spacing w:val="-53"/>
        </w:rPr>
        <w:t> </w:t>
      </w:r>
      <w:r>
        <w:rPr/>
        <w:t>that</w:t>
      </w:r>
      <w:r>
        <w:rPr>
          <w:spacing w:val="-1"/>
        </w:rPr>
        <w:t> </w:t>
      </w:r>
      <w:r>
        <w:rPr/>
        <w:t>they</w:t>
      </w:r>
      <w:r>
        <w:rPr>
          <w:spacing w:val="-4"/>
        </w:rPr>
        <w:t> </w:t>
      </w:r>
      <w:r>
        <w:rPr/>
        <w:t>can</w:t>
      </w:r>
      <w:r>
        <w:rPr>
          <w:spacing w:val="-1"/>
        </w:rPr>
        <w:t> </w:t>
      </w:r>
      <w:r>
        <w:rPr/>
        <w:t>provide</w:t>
      </w:r>
      <w:r>
        <w:rPr>
          <w:spacing w:val="-3"/>
        </w:rPr>
        <w:t> </w:t>
      </w:r>
      <w:r>
        <w:rPr/>
        <w:t>adequate</w:t>
      </w:r>
      <w:r>
        <w:rPr>
          <w:spacing w:val="-2"/>
        </w:rPr>
        <w:t> </w:t>
      </w:r>
      <w:r>
        <w:rPr/>
        <w:t>representation</w:t>
      </w:r>
      <w:r>
        <w:rPr>
          <w:spacing w:val="-2"/>
        </w:rPr>
        <w:t> </w:t>
      </w:r>
      <w:r>
        <w:rPr/>
        <w:t>across</w:t>
      </w:r>
      <w:r>
        <w:rPr>
          <w:spacing w:val="-3"/>
        </w:rPr>
        <w:t> </w:t>
      </w:r>
      <w:r>
        <w:rPr/>
        <w:t>the</w:t>
      </w:r>
      <w:r>
        <w:rPr>
          <w:spacing w:val="-3"/>
        </w:rPr>
        <w:t> </w:t>
      </w:r>
      <w:r>
        <w:rPr/>
        <w:t>strata</w:t>
      </w:r>
      <w:r>
        <w:rPr>
          <w:spacing w:val="-2"/>
        </w:rPr>
        <w:t> </w:t>
      </w:r>
      <w:r>
        <w:rPr/>
        <w:t>discussed</w:t>
      </w:r>
      <w:r>
        <w:rPr>
          <w:spacing w:val="1"/>
        </w:rPr>
        <w:t> </w:t>
      </w:r>
      <w:r>
        <w:rPr/>
        <w:t>above.</w:t>
      </w:r>
    </w:p>
    <w:p>
      <w:pPr>
        <w:pStyle w:val="BodyText"/>
        <w:spacing w:line="276" w:lineRule="auto" w:before="199"/>
        <w:ind w:left="860" w:right="1207"/>
      </w:pPr>
      <w:r>
        <w:rPr>
          <w:b/>
        </w:rPr>
        <w:t>Missing</w:t>
      </w:r>
      <w:r>
        <w:rPr>
          <w:b/>
          <w:spacing w:val="-3"/>
        </w:rPr>
        <w:t> </w:t>
      </w:r>
      <w:r>
        <w:rPr>
          <w:b/>
        </w:rPr>
        <w:t>data</w:t>
      </w:r>
      <w:r>
        <w:rPr>
          <w:b/>
          <w:spacing w:val="-2"/>
        </w:rPr>
        <w:t> </w:t>
      </w:r>
      <w:r>
        <w:rPr/>
        <w:t>may</w:t>
      </w:r>
      <w:r>
        <w:rPr>
          <w:spacing w:val="-4"/>
        </w:rPr>
        <w:t> </w:t>
      </w:r>
      <w:r>
        <w:rPr/>
        <w:t>be</w:t>
      </w:r>
      <w:r>
        <w:rPr>
          <w:spacing w:val="-3"/>
        </w:rPr>
        <w:t> </w:t>
      </w:r>
      <w:r>
        <w:rPr/>
        <w:t>an</w:t>
      </w:r>
      <w:r>
        <w:rPr>
          <w:spacing w:val="-2"/>
        </w:rPr>
        <w:t> </w:t>
      </w:r>
      <w:r>
        <w:rPr/>
        <w:t>issue</w:t>
      </w:r>
      <w:r>
        <w:rPr>
          <w:spacing w:val="-3"/>
        </w:rPr>
        <w:t> </w:t>
      </w:r>
      <w:r>
        <w:rPr/>
        <w:t>for</w:t>
      </w:r>
      <w:r>
        <w:rPr>
          <w:spacing w:val="-3"/>
        </w:rPr>
        <w:t> </w:t>
      </w:r>
      <w:r>
        <w:rPr/>
        <w:t>aspects</w:t>
      </w:r>
      <w:r>
        <w:rPr>
          <w:spacing w:val="-3"/>
        </w:rPr>
        <w:t> </w:t>
      </w:r>
      <w:r>
        <w:rPr/>
        <w:t>of</w:t>
      </w:r>
      <w:r>
        <w:rPr>
          <w:spacing w:val="-3"/>
        </w:rPr>
        <w:t> </w:t>
      </w:r>
      <w:r>
        <w:rPr/>
        <w:t>the</w:t>
      </w:r>
      <w:r>
        <w:rPr>
          <w:spacing w:val="-3"/>
        </w:rPr>
        <w:t> </w:t>
      </w:r>
      <w:r>
        <w:rPr/>
        <w:t>evaluation.</w:t>
      </w:r>
      <w:r>
        <w:rPr>
          <w:spacing w:val="-4"/>
        </w:rPr>
        <w:t> </w:t>
      </w:r>
      <w:r>
        <w:rPr/>
        <w:t>Four</w:t>
      </w:r>
      <w:r>
        <w:rPr>
          <w:spacing w:val="-3"/>
        </w:rPr>
        <w:t> </w:t>
      </w:r>
      <w:r>
        <w:rPr/>
        <w:t>areas</w:t>
      </w:r>
      <w:r>
        <w:rPr>
          <w:spacing w:val="-1"/>
        </w:rPr>
        <w:t> </w:t>
      </w:r>
      <w:r>
        <w:rPr/>
        <w:t>of</w:t>
      </w:r>
      <w:r>
        <w:rPr>
          <w:spacing w:val="-3"/>
        </w:rPr>
        <w:t> </w:t>
      </w:r>
      <w:r>
        <w:rPr/>
        <w:t>missing</w:t>
      </w:r>
      <w:r>
        <w:rPr>
          <w:spacing w:val="-3"/>
        </w:rPr>
        <w:t> </w:t>
      </w:r>
      <w:r>
        <w:rPr/>
        <w:t>data</w:t>
      </w:r>
      <w:r>
        <w:rPr>
          <w:spacing w:val="-2"/>
        </w:rPr>
        <w:t> </w:t>
      </w:r>
      <w:r>
        <w:rPr/>
        <w:t>are</w:t>
      </w:r>
      <w:r>
        <w:rPr>
          <w:spacing w:val="-3"/>
        </w:rPr>
        <w:t> </w:t>
      </w:r>
      <w:r>
        <w:rPr/>
        <w:t>as</w:t>
      </w:r>
      <w:r>
        <w:rPr>
          <w:spacing w:val="-52"/>
        </w:rPr>
        <w:t> </w:t>
      </w:r>
      <w:r>
        <w:rPr/>
        <w:t>follows:</w:t>
      </w:r>
    </w:p>
    <w:p>
      <w:pPr>
        <w:pStyle w:val="ListParagraph"/>
        <w:numPr>
          <w:ilvl w:val="0"/>
          <w:numId w:val="17"/>
        </w:numPr>
        <w:tabs>
          <w:tab w:pos="1573" w:val="left" w:leader="none"/>
          <w:tab w:pos="1574" w:val="left" w:leader="none"/>
        </w:tabs>
        <w:spacing w:line="276" w:lineRule="auto" w:before="201" w:after="0"/>
        <w:ind w:left="1573" w:right="1209" w:hanging="356"/>
        <w:jc w:val="left"/>
        <w:rPr>
          <w:sz w:val="20"/>
        </w:rPr>
      </w:pPr>
      <w:r>
        <w:rPr>
          <w:sz w:val="20"/>
        </w:rPr>
        <w:t>Use of general practices by patients enrolled in HCH. Once a patient is enrolled in</w:t>
      </w:r>
      <w:r>
        <w:rPr>
          <w:spacing w:val="1"/>
          <w:sz w:val="20"/>
        </w:rPr>
        <w:t> </w:t>
      </w:r>
      <w:r>
        <w:rPr>
          <w:sz w:val="20"/>
        </w:rPr>
        <w:t>HCH, the practice will not claim MBS Items for the provision of services related to the</w:t>
      </w:r>
      <w:r>
        <w:rPr>
          <w:spacing w:val="1"/>
          <w:sz w:val="20"/>
        </w:rPr>
        <w:t> </w:t>
      </w:r>
      <w:r>
        <w:rPr>
          <w:sz w:val="20"/>
        </w:rPr>
        <w:t>chronic conditions of the enrolled patient. Estimates of use of services delivered in this</w:t>
      </w:r>
      <w:r>
        <w:rPr>
          <w:spacing w:val="-53"/>
          <w:sz w:val="20"/>
        </w:rPr>
        <w:t> </w:t>
      </w:r>
      <w:r>
        <w:rPr>
          <w:sz w:val="20"/>
        </w:rPr>
        <w:t>context will rely on extracts from the practice systems or a survey of the practices</w:t>
      </w:r>
      <w:r>
        <w:rPr>
          <w:spacing w:val="1"/>
          <w:sz w:val="20"/>
        </w:rPr>
        <w:t> </w:t>
      </w:r>
      <w:r>
        <w:rPr>
          <w:sz w:val="20"/>
        </w:rPr>
        <w:t>whereby they collect this information for a sample of patients (this is yet to be</w:t>
      </w:r>
      <w:r>
        <w:rPr>
          <w:spacing w:val="1"/>
          <w:sz w:val="20"/>
        </w:rPr>
        <w:t> </w:t>
      </w:r>
      <w:r>
        <w:rPr>
          <w:sz w:val="20"/>
        </w:rPr>
        <w:t>determined). The completeness and quality of these data is unknown. There is a risk</w:t>
      </w:r>
      <w:r>
        <w:rPr>
          <w:spacing w:val="1"/>
          <w:sz w:val="20"/>
        </w:rPr>
        <w:t> </w:t>
      </w:r>
      <w:r>
        <w:rPr>
          <w:sz w:val="20"/>
        </w:rPr>
        <w:t>that the</w:t>
      </w:r>
      <w:r>
        <w:rPr>
          <w:spacing w:val="-1"/>
          <w:sz w:val="20"/>
        </w:rPr>
        <w:t> </w:t>
      </w:r>
      <w:r>
        <w:rPr>
          <w:sz w:val="20"/>
        </w:rPr>
        <w:t>level of</w:t>
      </w:r>
      <w:r>
        <w:rPr>
          <w:spacing w:val="-2"/>
          <w:sz w:val="20"/>
        </w:rPr>
        <w:t> </w:t>
      </w:r>
      <w:r>
        <w:rPr>
          <w:sz w:val="20"/>
        </w:rPr>
        <w:t>use</w:t>
      </w:r>
      <w:r>
        <w:rPr>
          <w:spacing w:val="-2"/>
          <w:sz w:val="20"/>
        </w:rPr>
        <w:t> </w:t>
      </w:r>
      <w:r>
        <w:rPr>
          <w:sz w:val="20"/>
        </w:rPr>
        <w:t>of</w:t>
      </w:r>
      <w:r>
        <w:rPr>
          <w:spacing w:val="-1"/>
          <w:sz w:val="20"/>
        </w:rPr>
        <w:t> </w:t>
      </w:r>
      <w:r>
        <w:rPr>
          <w:sz w:val="20"/>
        </w:rPr>
        <w:t>these</w:t>
      </w:r>
      <w:r>
        <w:rPr>
          <w:spacing w:val="-2"/>
          <w:sz w:val="20"/>
        </w:rPr>
        <w:t> </w:t>
      </w:r>
      <w:r>
        <w:rPr>
          <w:sz w:val="20"/>
        </w:rPr>
        <w:t>services</w:t>
      </w:r>
      <w:r>
        <w:rPr>
          <w:spacing w:val="-1"/>
          <w:sz w:val="20"/>
        </w:rPr>
        <w:t> </w:t>
      </w:r>
      <w:r>
        <w:rPr>
          <w:sz w:val="20"/>
        </w:rPr>
        <w:t>will</w:t>
      </w:r>
      <w:r>
        <w:rPr>
          <w:spacing w:val="-1"/>
          <w:sz w:val="20"/>
        </w:rPr>
        <w:t> </w:t>
      </w:r>
      <w:r>
        <w:rPr>
          <w:sz w:val="20"/>
        </w:rPr>
        <w:t>be</w:t>
      </w:r>
      <w:r>
        <w:rPr>
          <w:spacing w:val="-2"/>
          <w:sz w:val="20"/>
        </w:rPr>
        <w:t> </w:t>
      </w:r>
      <w:r>
        <w:rPr>
          <w:sz w:val="20"/>
        </w:rPr>
        <w:t>unknown or</w:t>
      </w:r>
      <w:r>
        <w:rPr>
          <w:spacing w:val="-2"/>
          <w:sz w:val="20"/>
        </w:rPr>
        <w:t> </w:t>
      </w:r>
      <w:r>
        <w:rPr>
          <w:sz w:val="20"/>
        </w:rPr>
        <w:t>poorly</w:t>
      </w:r>
      <w:r>
        <w:rPr>
          <w:spacing w:val="-2"/>
          <w:sz w:val="20"/>
        </w:rPr>
        <w:t> </w:t>
      </w:r>
      <w:r>
        <w:rPr>
          <w:sz w:val="20"/>
        </w:rPr>
        <w:t>recorded.</w:t>
      </w:r>
    </w:p>
    <w:p>
      <w:pPr>
        <w:spacing w:after="0" w:line="276" w:lineRule="auto"/>
        <w:jc w:val="left"/>
        <w:rPr>
          <w:sz w:val="20"/>
        </w:rPr>
        <w:sectPr>
          <w:pgSz w:w="11910" w:h="16840"/>
          <w:pgMar w:header="0" w:footer="675" w:top="1340" w:bottom="860" w:left="580" w:right="280"/>
        </w:sectPr>
      </w:pPr>
    </w:p>
    <w:p>
      <w:pPr>
        <w:pStyle w:val="ListParagraph"/>
        <w:numPr>
          <w:ilvl w:val="0"/>
          <w:numId w:val="17"/>
        </w:numPr>
        <w:tabs>
          <w:tab w:pos="1573" w:val="left" w:leader="none"/>
          <w:tab w:pos="1574" w:val="left" w:leader="none"/>
        </w:tabs>
        <w:spacing w:line="276" w:lineRule="auto" w:before="82" w:after="0"/>
        <w:ind w:left="1573" w:right="1685" w:hanging="356"/>
        <w:jc w:val="left"/>
        <w:rPr>
          <w:sz w:val="20"/>
        </w:rPr>
      </w:pPr>
      <w:r>
        <w:rPr>
          <w:sz w:val="20"/>
        </w:rPr>
        <w:t>The national data sets identified for the evaluation are mostly complete</w:t>
      </w:r>
      <w:r>
        <w:rPr>
          <w:spacing w:val="1"/>
          <w:sz w:val="20"/>
        </w:rPr>
        <w:t> </w:t>
      </w:r>
      <w:r>
        <w:rPr>
          <w:sz w:val="20"/>
        </w:rPr>
        <w:t>representations</w:t>
      </w:r>
      <w:r>
        <w:rPr>
          <w:spacing w:val="-4"/>
          <w:sz w:val="20"/>
        </w:rPr>
        <w:t> </w:t>
      </w:r>
      <w:r>
        <w:rPr>
          <w:sz w:val="20"/>
        </w:rPr>
        <w:t>of</w:t>
      </w:r>
      <w:r>
        <w:rPr>
          <w:spacing w:val="-3"/>
          <w:sz w:val="20"/>
        </w:rPr>
        <w:t> </w:t>
      </w:r>
      <w:r>
        <w:rPr>
          <w:sz w:val="20"/>
        </w:rPr>
        <w:t>the</w:t>
      </w:r>
      <w:r>
        <w:rPr>
          <w:spacing w:val="-4"/>
          <w:sz w:val="20"/>
        </w:rPr>
        <w:t> </w:t>
      </w:r>
      <w:r>
        <w:rPr>
          <w:sz w:val="20"/>
        </w:rPr>
        <w:t>services</w:t>
      </w:r>
      <w:r>
        <w:rPr>
          <w:spacing w:val="-3"/>
          <w:sz w:val="20"/>
        </w:rPr>
        <w:t> </w:t>
      </w:r>
      <w:r>
        <w:rPr>
          <w:sz w:val="20"/>
        </w:rPr>
        <w:t>claims/</w:t>
      </w:r>
      <w:r>
        <w:rPr>
          <w:spacing w:val="-3"/>
          <w:sz w:val="20"/>
        </w:rPr>
        <w:t> </w:t>
      </w:r>
      <w:r>
        <w:rPr>
          <w:sz w:val="20"/>
        </w:rPr>
        <w:t>accessed</w:t>
      </w:r>
      <w:r>
        <w:rPr>
          <w:spacing w:val="-1"/>
          <w:sz w:val="20"/>
        </w:rPr>
        <w:t> </w:t>
      </w:r>
      <w:r>
        <w:rPr>
          <w:sz w:val="20"/>
        </w:rPr>
        <w:t>by</w:t>
      </w:r>
      <w:r>
        <w:rPr>
          <w:spacing w:val="-4"/>
          <w:sz w:val="20"/>
        </w:rPr>
        <w:t> </w:t>
      </w:r>
      <w:r>
        <w:rPr>
          <w:sz w:val="20"/>
        </w:rPr>
        <w:t>patients.</w:t>
      </w:r>
      <w:r>
        <w:rPr>
          <w:spacing w:val="-6"/>
          <w:sz w:val="20"/>
        </w:rPr>
        <w:t> </w:t>
      </w:r>
      <w:r>
        <w:rPr>
          <w:sz w:val="20"/>
        </w:rPr>
        <w:t>However,</w:t>
      </w:r>
      <w:r>
        <w:rPr>
          <w:spacing w:val="-5"/>
          <w:sz w:val="20"/>
        </w:rPr>
        <w:t> </w:t>
      </w:r>
      <w:r>
        <w:rPr>
          <w:sz w:val="20"/>
        </w:rPr>
        <w:t>there</w:t>
      </w:r>
      <w:r>
        <w:rPr>
          <w:spacing w:val="-4"/>
          <w:sz w:val="20"/>
        </w:rPr>
        <w:t> </w:t>
      </w:r>
      <w:r>
        <w:rPr>
          <w:sz w:val="20"/>
        </w:rPr>
        <w:t>are</w:t>
      </w:r>
      <w:r>
        <w:rPr>
          <w:spacing w:val="-52"/>
          <w:sz w:val="20"/>
        </w:rPr>
        <w:t> </w:t>
      </w:r>
      <w:r>
        <w:rPr>
          <w:sz w:val="20"/>
        </w:rPr>
        <w:t>some gaps in measures of use that will require specific attention in analysis and</w:t>
      </w:r>
      <w:r>
        <w:rPr>
          <w:spacing w:val="1"/>
          <w:sz w:val="20"/>
        </w:rPr>
        <w:t> </w:t>
      </w:r>
      <w:r>
        <w:rPr>
          <w:sz w:val="20"/>
        </w:rPr>
        <w:t>exploration</w:t>
      </w:r>
      <w:r>
        <w:rPr>
          <w:spacing w:val="-1"/>
          <w:sz w:val="20"/>
        </w:rPr>
        <w:t> </w:t>
      </w:r>
      <w:r>
        <w:rPr>
          <w:sz w:val="20"/>
        </w:rPr>
        <w:t>in qualitative</w:t>
      </w:r>
      <w:r>
        <w:rPr>
          <w:spacing w:val="-2"/>
          <w:sz w:val="20"/>
        </w:rPr>
        <w:t> </w:t>
      </w:r>
      <w:r>
        <w:rPr>
          <w:sz w:val="20"/>
        </w:rPr>
        <w:t>analysis.</w:t>
      </w:r>
      <w:r>
        <w:rPr>
          <w:spacing w:val="-3"/>
          <w:sz w:val="20"/>
        </w:rPr>
        <w:t> </w:t>
      </w:r>
      <w:r>
        <w:rPr>
          <w:sz w:val="20"/>
        </w:rPr>
        <w:t>These</w:t>
      </w:r>
      <w:r>
        <w:rPr>
          <w:spacing w:val="-2"/>
          <w:sz w:val="20"/>
        </w:rPr>
        <w:t> </w:t>
      </w:r>
      <w:r>
        <w:rPr>
          <w:sz w:val="20"/>
        </w:rPr>
        <w:t>include:</w:t>
      </w:r>
    </w:p>
    <w:p>
      <w:pPr>
        <w:pStyle w:val="ListParagraph"/>
        <w:numPr>
          <w:ilvl w:val="1"/>
          <w:numId w:val="17"/>
        </w:numPr>
        <w:tabs>
          <w:tab w:pos="2294" w:val="left" w:leader="none"/>
        </w:tabs>
        <w:spacing w:line="273" w:lineRule="auto" w:before="199" w:after="0"/>
        <w:ind w:left="2293" w:right="1240" w:hanging="356"/>
        <w:jc w:val="left"/>
        <w:rPr>
          <w:sz w:val="20"/>
        </w:rPr>
      </w:pPr>
      <w:r>
        <w:rPr>
          <w:sz w:val="20"/>
        </w:rPr>
        <w:t>Not all emergency department presentations are captured in the Non-</w:t>
      </w:r>
      <w:r>
        <w:rPr>
          <w:spacing w:val="1"/>
          <w:sz w:val="20"/>
        </w:rPr>
        <w:t> </w:t>
      </w:r>
      <w:r>
        <w:rPr>
          <w:sz w:val="20"/>
        </w:rPr>
        <w:t>Admitted Patient Emergency Department (NAPED) data collection.</w:t>
      </w:r>
      <w:r>
        <w:rPr>
          <w:spacing w:val="1"/>
          <w:sz w:val="20"/>
        </w:rPr>
        <w:t> </w:t>
      </w:r>
      <w:r>
        <w:rPr>
          <w:sz w:val="20"/>
        </w:rPr>
        <w:t>Specifically, many small rural hospitals do not contribute patient level data to</w:t>
      </w:r>
      <w:r>
        <w:rPr>
          <w:spacing w:val="-53"/>
          <w:sz w:val="20"/>
        </w:rPr>
        <w:t> </w:t>
      </w:r>
      <w:r>
        <w:rPr>
          <w:sz w:val="20"/>
        </w:rPr>
        <w:t>this</w:t>
      </w:r>
      <w:r>
        <w:rPr>
          <w:spacing w:val="-4"/>
          <w:sz w:val="20"/>
        </w:rPr>
        <w:t> </w:t>
      </w:r>
      <w:r>
        <w:rPr>
          <w:sz w:val="20"/>
        </w:rPr>
        <w:t>collection.</w:t>
      </w:r>
      <w:r>
        <w:rPr>
          <w:spacing w:val="-6"/>
          <w:sz w:val="20"/>
        </w:rPr>
        <w:t> </w:t>
      </w:r>
      <w:r>
        <w:rPr>
          <w:sz w:val="20"/>
        </w:rPr>
        <w:t>For</w:t>
      </w:r>
      <w:r>
        <w:rPr>
          <w:spacing w:val="-4"/>
          <w:sz w:val="20"/>
        </w:rPr>
        <w:t> </w:t>
      </w:r>
      <w:r>
        <w:rPr>
          <w:sz w:val="20"/>
        </w:rPr>
        <w:t>the</w:t>
      </w:r>
      <w:r>
        <w:rPr>
          <w:spacing w:val="-4"/>
          <w:sz w:val="20"/>
        </w:rPr>
        <w:t> </w:t>
      </w:r>
      <w:r>
        <w:rPr>
          <w:sz w:val="20"/>
        </w:rPr>
        <w:t>evaluation,</w:t>
      </w:r>
      <w:r>
        <w:rPr>
          <w:spacing w:val="-6"/>
          <w:sz w:val="20"/>
        </w:rPr>
        <w:t> </w:t>
      </w:r>
      <w:r>
        <w:rPr>
          <w:sz w:val="20"/>
        </w:rPr>
        <w:t>information</w:t>
      </w:r>
      <w:r>
        <w:rPr>
          <w:spacing w:val="-2"/>
          <w:sz w:val="20"/>
        </w:rPr>
        <w:t> </w:t>
      </w:r>
      <w:r>
        <w:rPr>
          <w:sz w:val="20"/>
        </w:rPr>
        <w:t>on</w:t>
      </w:r>
      <w:r>
        <w:rPr>
          <w:spacing w:val="-3"/>
          <w:sz w:val="20"/>
        </w:rPr>
        <w:t> </w:t>
      </w:r>
      <w:r>
        <w:rPr>
          <w:sz w:val="20"/>
        </w:rPr>
        <w:t>the</w:t>
      </w:r>
      <w:r>
        <w:rPr>
          <w:spacing w:val="-4"/>
          <w:sz w:val="20"/>
        </w:rPr>
        <w:t> </w:t>
      </w:r>
      <w:r>
        <w:rPr>
          <w:sz w:val="20"/>
        </w:rPr>
        <w:t>extent</w:t>
      </w:r>
      <w:r>
        <w:rPr>
          <w:spacing w:val="-2"/>
          <w:sz w:val="20"/>
        </w:rPr>
        <w:t> </w:t>
      </w:r>
      <w:r>
        <w:rPr>
          <w:sz w:val="20"/>
        </w:rPr>
        <w:t>of</w:t>
      </w:r>
      <w:r>
        <w:rPr>
          <w:spacing w:val="-4"/>
          <w:sz w:val="20"/>
        </w:rPr>
        <w:t> </w:t>
      </w:r>
      <w:r>
        <w:rPr>
          <w:sz w:val="20"/>
        </w:rPr>
        <w:t>participation</w:t>
      </w:r>
      <w:r>
        <w:rPr>
          <w:spacing w:val="-3"/>
          <w:sz w:val="20"/>
        </w:rPr>
        <w:t> </w:t>
      </w:r>
      <w:r>
        <w:rPr>
          <w:sz w:val="20"/>
        </w:rPr>
        <w:t>in</w:t>
      </w:r>
      <w:r>
        <w:rPr>
          <w:spacing w:val="-52"/>
          <w:sz w:val="20"/>
        </w:rPr>
        <w:t> </w:t>
      </w:r>
      <w:r>
        <w:rPr>
          <w:sz w:val="20"/>
        </w:rPr>
        <w:t>the NAPED will need to be obtained for localities in which participating</w:t>
      </w:r>
      <w:r>
        <w:rPr>
          <w:spacing w:val="1"/>
          <w:sz w:val="20"/>
        </w:rPr>
        <w:t> </w:t>
      </w:r>
      <w:r>
        <w:rPr>
          <w:sz w:val="20"/>
        </w:rPr>
        <w:t>practices</w:t>
      </w:r>
      <w:r>
        <w:rPr>
          <w:spacing w:val="-2"/>
          <w:sz w:val="20"/>
        </w:rPr>
        <w:t> </w:t>
      </w:r>
      <w:r>
        <w:rPr>
          <w:sz w:val="20"/>
        </w:rPr>
        <w:t>operate.</w:t>
      </w:r>
    </w:p>
    <w:p>
      <w:pPr>
        <w:pStyle w:val="ListParagraph"/>
        <w:numPr>
          <w:ilvl w:val="1"/>
          <w:numId w:val="17"/>
        </w:numPr>
        <w:tabs>
          <w:tab w:pos="2294" w:val="left" w:leader="none"/>
        </w:tabs>
        <w:spacing w:line="273" w:lineRule="auto" w:before="201" w:after="0"/>
        <w:ind w:left="2293" w:right="1244" w:hanging="356"/>
        <w:jc w:val="left"/>
        <w:rPr>
          <w:sz w:val="20"/>
        </w:rPr>
      </w:pPr>
      <w:r>
        <w:rPr>
          <w:sz w:val="20"/>
        </w:rPr>
        <w:t>Not all primary care services delivered by ACCHSs claim MBS. Therefore, data</w:t>
      </w:r>
      <w:r>
        <w:rPr>
          <w:spacing w:val="-53"/>
          <w:sz w:val="20"/>
        </w:rPr>
        <w:t> </w:t>
      </w:r>
      <w:r>
        <w:rPr>
          <w:sz w:val="20"/>
        </w:rPr>
        <w:t>on use of these services will rely on practice extracts. Data related to use of</w:t>
      </w:r>
      <w:r>
        <w:rPr>
          <w:spacing w:val="1"/>
          <w:sz w:val="20"/>
        </w:rPr>
        <w:t> </w:t>
      </w:r>
      <w:r>
        <w:rPr>
          <w:sz w:val="20"/>
        </w:rPr>
        <w:t>services by patients enrolled in one ACCHS, who seek care from another</w:t>
      </w:r>
      <w:r>
        <w:rPr>
          <w:spacing w:val="1"/>
          <w:sz w:val="20"/>
        </w:rPr>
        <w:t> </w:t>
      </w:r>
      <w:r>
        <w:rPr>
          <w:sz w:val="20"/>
        </w:rPr>
        <w:t>ACCHS,</w:t>
      </w:r>
      <w:r>
        <w:rPr>
          <w:spacing w:val="-5"/>
          <w:sz w:val="20"/>
        </w:rPr>
        <w:t> </w:t>
      </w:r>
      <w:r>
        <w:rPr>
          <w:sz w:val="20"/>
        </w:rPr>
        <w:t>where</w:t>
      </w:r>
      <w:r>
        <w:rPr>
          <w:spacing w:val="-3"/>
          <w:sz w:val="20"/>
        </w:rPr>
        <w:t> </w:t>
      </w:r>
      <w:r>
        <w:rPr>
          <w:sz w:val="20"/>
        </w:rPr>
        <w:t>this</w:t>
      </w:r>
      <w:r>
        <w:rPr>
          <w:spacing w:val="-3"/>
          <w:sz w:val="20"/>
        </w:rPr>
        <w:t> </w:t>
      </w:r>
      <w:r>
        <w:rPr>
          <w:sz w:val="20"/>
        </w:rPr>
        <w:t>is</w:t>
      </w:r>
      <w:r>
        <w:rPr>
          <w:spacing w:val="-2"/>
          <w:sz w:val="20"/>
        </w:rPr>
        <w:t> </w:t>
      </w:r>
      <w:r>
        <w:rPr>
          <w:sz w:val="20"/>
        </w:rPr>
        <w:t>not</w:t>
      </w:r>
      <w:r>
        <w:rPr>
          <w:spacing w:val="-3"/>
          <w:sz w:val="20"/>
        </w:rPr>
        <w:t> </w:t>
      </w:r>
      <w:r>
        <w:rPr>
          <w:sz w:val="20"/>
        </w:rPr>
        <w:t>billed</w:t>
      </w:r>
      <w:r>
        <w:rPr>
          <w:spacing w:val="-5"/>
          <w:sz w:val="20"/>
        </w:rPr>
        <w:t> </w:t>
      </w:r>
      <w:r>
        <w:rPr>
          <w:sz w:val="20"/>
        </w:rPr>
        <w:t>to</w:t>
      </w:r>
      <w:r>
        <w:rPr>
          <w:spacing w:val="-3"/>
          <w:sz w:val="20"/>
        </w:rPr>
        <w:t> </w:t>
      </w:r>
      <w:r>
        <w:rPr>
          <w:sz w:val="20"/>
        </w:rPr>
        <w:t>MBS,</w:t>
      </w:r>
      <w:r>
        <w:rPr>
          <w:spacing w:val="-4"/>
          <w:sz w:val="20"/>
        </w:rPr>
        <w:t> </w:t>
      </w:r>
      <w:r>
        <w:rPr>
          <w:sz w:val="20"/>
        </w:rPr>
        <w:t>will</w:t>
      </w:r>
      <w:r>
        <w:rPr>
          <w:spacing w:val="-2"/>
          <w:sz w:val="20"/>
        </w:rPr>
        <w:t> </w:t>
      </w:r>
      <w:r>
        <w:rPr>
          <w:sz w:val="20"/>
        </w:rPr>
        <w:t>not</w:t>
      </w:r>
      <w:r>
        <w:rPr>
          <w:spacing w:val="-1"/>
          <w:sz w:val="20"/>
        </w:rPr>
        <w:t> </w:t>
      </w:r>
      <w:r>
        <w:rPr>
          <w:sz w:val="20"/>
        </w:rPr>
        <w:t>be</w:t>
      </w:r>
      <w:r>
        <w:rPr>
          <w:spacing w:val="-5"/>
          <w:sz w:val="20"/>
        </w:rPr>
        <w:t> </w:t>
      </w:r>
      <w:r>
        <w:rPr>
          <w:sz w:val="20"/>
        </w:rPr>
        <w:t>available</w:t>
      </w:r>
      <w:r>
        <w:rPr>
          <w:spacing w:val="-3"/>
          <w:sz w:val="20"/>
        </w:rPr>
        <w:t> </w:t>
      </w:r>
      <w:r>
        <w:rPr>
          <w:sz w:val="20"/>
        </w:rPr>
        <w:t>for</w:t>
      </w:r>
      <w:r>
        <w:rPr>
          <w:spacing w:val="-2"/>
          <w:sz w:val="20"/>
        </w:rPr>
        <w:t> </w:t>
      </w:r>
      <w:r>
        <w:rPr>
          <w:sz w:val="20"/>
        </w:rPr>
        <w:t>the</w:t>
      </w:r>
      <w:r>
        <w:rPr>
          <w:spacing w:val="-3"/>
          <w:sz w:val="20"/>
        </w:rPr>
        <w:t> </w:t>
      </w:r>
      <w:r>
        <w:rPr>
          <w:sz w:val="20"/>
        </w:rPr>
        <w:t>evaluation.</w:t>
      </w:r>
      <w:r>
        <w:rPr>
          <w:spacing w:val="-52"/>
          <w:sz w:val="20"/>
        </w:rPr>
        <w:t> </w:t>
      </w:r>
      <w:r>
        <w:rPr>
          <w:sz w:val="20"/>
        </w:rPr>
        <w:t>Qualitative interviews with patients will be used to explore the extent to which</w:t>
      </w:r>
      <w:r>
        <w:rPr>
          <w:spacing w:val="-53"/>
          <w:sz w:val="20"/>
        </w:rPr>
        <w:t> </w:t>
      </w:r>
      <w:r>
        <w:rPr>
          <w:sz w:val="20"/>
        </w:rPr>
        <w:t>this</w:t>
      </w:r>
      <w:r>
        <w:rPr>
          <w:spacing w:val="-2"/>
          <w:sz w:val="20"/>
        </w:rPr>
        <w:t> </w:t>
      </w:r>
      <w:r>
        <w:rPr>
          <w:sz w:val="20"/>
        </w:rPr>
        <w:t>occurs.</w:t>
      </w:r>
    </w:p>
    <w:p>
      <w:pPr>
        <w:pStyle w:val="ListParagraph"/>
        <w:numPr>
          <w:ilvl w:val="1"/>
          <w:numId w:val="17"/>
        </w:numPr>
        <w:tabs>
          <w:tab w:pos="2294" w:val="left" w:leader="none"/>
        </w:tabs>
        <w:spacing w:line="240" w:lineRule="auto" w:before="198" w:after="0"/>
        <w:ind w:left="2293" w:right="0" w:hanging="356"/>
        <w:jc w:val="left"/>
        <w:rPr>
          <w:sz w:val="20"/>
        </w:rPr>
      </w:pPr>
      <w:r>
        <w:rPr>
          <w:sz w:val="20"/>
        </w:rPr>
        <w:t>Data</w:t>
      </w:r>
      <w:r>
        <w:rPr>
          <w:spacing w:val="-3"/>
          <w:sz w:val="20"/>
        </w:rPr>
        <w:t> </w:t>
      </w:r>
      <w:r>
        <w:rPr>
          <w:sz w:val="20"/>
        </w:rPr>
        <w:t>on</w:t>
      </w:r>
      <w:r>
        <w:rPr>
          <w:spacing w:val="-2"/>
          <w:sz w:val="20"/>
        </w:rPr>
        <w:t> </w:t>
      </w:r>
      <w:r>
        <w:rPr>
          <w:sz w:val="20"/>
        </w:rPr>
        <w:t>use</w:t>
      </w:r>
      <w:r>
        <w:rPr>
          <w:spacing w:val="-2"/>
          <w:sz w:val="20"/>
        </w:rPr>
        <w:t> </w:t>
      </w:r>
      <w:r>
        <w:rPr>
          <w:sz w:val="20"/>
        </w:rPr>
        <w:t>of</w:t>
      </w:r>
      <w:r>
        <w:rPr>
          <w:spacing w:val="-4"/>
          <w:sz w:val="20"/>
        </w:rPr>
        <w:t> </w:t>
      </w:r>
      <w:r>
        <w:rPr>
          <w:sz w:val="20"/>
        </w:rPr>
        <w:t>non-PBS</w:t>
      </w:r>
      <w:r>
        <w:rPr>
          <w:spacing w:val="-3"/>
          <w:sz w:val="20"/>
        </w:rPr>
        <w:t> </w:t>
      </w:r>
      <w:r>
        <w:rPr>
          <w:sz w:val="20"/>
        </w:rPr>
        <w:t>pharmaceuticals</w:t>
      </w:r>
      <w:r>
        <w:rPr>
          <w:spacing w:val="-4"/>
          <w:sz w:val="20"/>
        </w:rPr>
        <w:t> </w:t>
      </w:r>
      <w:r>
        <w:rPr>
          <w:sz w:val="20"/>
        </w:rPr>
        <w:t>will</w:t>
      </w:r>
      <w:r>
        <w:rPr>
          <w:spacing w:val="-2"/>
          <w:sz w:val="20"/>
        </w:rPr>
        <w:t> </w:t>
      </w:r>
      <w:r>
        <w:rPr>
          <w:sz w:val="20"/>
        </w:rPr>
        <w:t>not</w:t>
      </w:r>
      <w:r>
        <w:rPr>
          <w:spacing w:val="-4"/>
          <w:sz w:val="20"/>
        </w:rPr>
        <w:t> </w:t>
      </w:r>
      <w:r>
        <w:rPr>
          <w:sz w:val="20"/>
        </w:rPr>
        <w:t>be</w:t>
      </w:r>
      <w:r>
        <w:rPr>
          <w:spacing w:val="-3"/>
          <w:sz w:val="20"/>
        </w:rPr>
        <w:t> </w:t>
      </w:r>
      <w:r>
        <w:rPr>
          <w:sz w:val="20"/>
        </w:rPr>
        <w:t>directly</w:t>
      </w:r>
      <w:r>
        <w:rPr>
          <w:spacing w:val="-4"/>
          <w:sz w:val="20"/>
        </w:rPr>
        <w:t> </w:t>
      </w:r>
      <w:r>
        <w:rPr>
          <w:sz w:val="20"/>
        </w:rPr>
        <w:t>available.</w:t>
      </w:r>
    </w:p>
    <w:p>
      <w:pPr>
        <w:pStyle w:val="ListParagraph"/>
        <w:numPr>
          <w:ilvl w:val="1"/>
          <w:numId w:val="17"/>
        </w:numPr>
        <w:tabs>
          <w:tab w:pos="2294" w:val="left" w:leader="none"/>
        </w:tabs>
        <w:spacing w:line="273" w:lineRule="auto" w:before="221" w:after="0"/>
        <w:ind w:left="2293" w:right="1190" w:hanging="356"/>
        <w:jc w:val="left"/>
        <w:rPr>
          <w:sz w:val="20"/>
        </w:rPr>
      </w:pPr>
      <w:r>
        <w:rPr>
          <w:sz w:val="20"/>
        </w:rPr>
        <w:t>There may be gaps in data on use of allied health services. These will be</w:t>
      </w:r>
      <w:r>
        <w:rPr>
          <w:spacing w:val="1"/>
          <w:sz w:val="20"/>
        </w:rPr>
        <w:t> </w:t>
      </w:r>
      <w:r>
        <w:rPr>
          <w:sz w:val="20"/>
        </w:rPr>
        <w:t>captured if the service is billed to MBS. Services delivered by private allied</w:t>
      </w:r>
      <w:r>
        <w:rPr>
          <w:spacing w:val="1"/>
          <w:sz w:val="20"/>
        </w:rPr>
        <w:t> </w:t>
      </w:r>
      <w:r>
        <w:rPr>
          <w:sz w:val="20"/>
        </w:rPr>
        <w:t>health service providers, paid for by private health insurance or out-of-pocket</w:t>
      </w:r>
      <w:r>
        <w:rPr>
          <w:spacing w:val="1"/>
          <w:sz w:val="20"/>
        </w:rPr>
        <w:t> </w:t>
      </w:r>
      <w:r>
        <w:rPr>
          <w:sz w:val="20"/>
        </w:rPr>
        <w:t>payments, and services delivered by government community health or</w:t>
      </w:r>
      <w:r>
        <w:rPr>
          <w:spacing w:val="1"/>
          <w:sz w:val="20"/>
        </w:rPr>
        <w:t> </w:t>
      </w:r>
      <w:r>
        <w:rPr>
          <w:sz w:val="20"/>
        </w:rPr>
        <w:t>hospital services are unlikely to be directly captured. Data from practice</w:t>
      </w:r>
      <w:r>
        <w:rPr>
          <w:spacing w:val="1"/>
          <w:sz w:val="20"/>
        </w:rPr>
        <w:t> </w:t>
      </w:r>
      <w:r>
        <w:rPr>
          <w:sz w:val="20"/>
        </w:rPr>
        <w:t>extracts may provide an insight into referral for use of these services. Patient</w:t>
      </w:r>
      <w:r>
        <w:rPr>
          <w:spacing w:val="1"/>
          <w:sz w:val="20"/>
        </w:rPr>
        <w:t> </w:t>
      </w:r>
      <w:r>
        <w:rPr>
          <w:sz w:val="20"/>
        </w:rPr>
        <w:t>surveys will also include some questions about the use of allied health services.</w:t>
      </w:r>
      <w:r>
        <w:rPr>
          <w:spacing w:val="-53"/>
          <w:sz w:val="20"/>
        </w:rPr>
        <w:t> </w:t>
      </w:r>
      <w:r>
        <w:rPr>
          <w:sz w:val="20"/>
        </w:rPr>
        <w:t>However, a full picture of the use of allied health services is likely to be</w:t>
      </w:r>
      <w:r>
        <w:rPr>
          <w:spacing w:val="1"/>
          <w:sz w:val="20"/>
        </w:rPr>
        <w:t> </w:t>
      </w:r>
      <w:r>
        <w:rPr>
          <w:sz w:val="20"/>
        </w:rPr>
        <w:t>challenging.</w:t>
      </w:r>
    </w:p>
    <w:p>
      <w:pPr>
        <w:pStyle w:val="ListParagraph"/>
        <w:numPr>
          <w:ilvl w:val="0"/>
          <w:numId w:val="17"/>
        </w:numPr>
        <w:tabs>
          <w:tab w:pos="1580" w:val="left" w:leader="none"/>
          <w:tab w:pos="1581" w:val="left" w:leader="none"/>
        </w:tabs>
        <w:spacing w:line="276" w:lineRule="auto" w:before="207" w:after="0"/>
        <w:ind w:left="1580" w:right="1180" w:hanging="360"/>
        <w:jc w:val="left"/>
        <w:rPr>
          <w:sz w:val="20"/>
        </w:rPr>
      </w:pPr>
      <w:r>
        <w:rPr>
          <w:sz w:val="20"/>
        </w:rPr>
        <w:t>Practices, practice staff and patients may not respond to all questions included in the</w:t>
      </w:r>
      <w:r>
        <w:rPr>
          <w:spacing w:val="-53"/>
          <w:sz w:val="20"/>
        </w:rPr>
        <w:t> </w:t>
      </w:r>
      <w:r>
        <w:rPr>
          <w:sz w:val="20"/>
        </w:rPr>
        <w:t>surveys. Missing items from practice surveys can be followed up through enquiries to</w:t>
      </w:r>
      <w:r>
        <w:rPr>
          <w:spacing w:val="1"/>
          <w:sz w:val="20"/>
        </w:rPr>
        <w:t> </w:t>
      </w:r>
      <w:r>
        <w:rPr>
          <w:sz w:val="20"/>
        </w:rPr>
        <w:t>practices. Otherwise these items can be addressed through statistical techniques for</w:t>
      </w:r>
      <w:r>
        <w:rPr>
          <w:spacing w:val="1"/>
          <w:sz w:val="20"/>
        </w:rPr>
        <w:t> </w:t>
      </w:r>
      <w:r>
        <w:rPr>
          <w:sz w:val="20"/>
        </w:rPr>
        <w:t>dealing</w:t>
      </w:r>
      <w:r>
        <w:rPr>
          <w:spacing w:val="-2"/>
          <w:sz w:val="20"/>
        </w:rPr>
        <w:t> </w:t>
      </w:r>
      <w:r>
        <w:rPr>
          <w:sz w:val="20"/>
        </w:rPr>
        <w:t>with missing</w:t>
      </w:r>
      <w:r>
        <w:rPr>
          <w:spacing w:val="-1"/>
          <w:sz w:val="20"/>
        </w:rPr>
        <w:t> </w:t>
      </w:r>
      <w:r>
        <w:rPr>
          <w:sz w:val="20"/>
        </w:rPr>
        <w:t>data.</w:t>
      </w:r>
    </w:p>
    <w:p>
      <w:pPr>
        <w:spacing w:after="0" w:line="276" w:lineRule="auto"/>
        <w:jc w:val="left"/>
        <w:rPr>
          <w:sz w:val="20"/>
        </w:rPr>
        <w:sectPr>
          <w:pgSz w:w="11910" w:h="16840"/>
          <w:pgMar w:header="0" w:footer="675" w:top="1340" w:bottom="860" w:left="580" w:right="280"/>
        </w:sectPr>
      </w:pPr>
    </w:p>
    <w:p>
      <w:pPr>
        <w:pStyle w:val="BodyText"/>
      </w:pPr>
      <w:r>
        <w:rPr/>
        <w:drawing>
          <wp:anchor distT="0" distB="0" distL="0" distR="0" allowOverlap="1" layoutInCell="1" locked="0" behindDoc="1" simplePos="0" relativeHeight="475777536">
            <wp:simplePos x="0" y="0"/>
            <wp:positionH relativeFrom="page">
              <wp:posOffset>256083</wp:posOffset>
            </wp:positionH>
            <wp:positionV relativeFrom="page">
              <wp:posOffset>0</wp:posOffset>
            </wp:positionV>
            <wp:extent cx="7302956" cy="1024402"/>
            <wp:effectExtent l="0" t="0" r="0" b="0"/>
            <wp:wrapNone/>
            <wp:docPr id="21" name="image8.jpeg"/>
            <wp:cNvGraphicFramePr>
              <a:graphicFrameLocks noChangeAspect="1"/>
            </wp:cNvGraphicFramePr>
            <a:graphic>
              <a:graphicData uri="http://schemas.openxmlformats.org/drawingml/2006/picture">
                <pic:pic>
                  <pic:nvPicPr>
                    <pic:cNvPr id="22" name="image8.jpeg"/>
                    <pic:cNvPicPr/>
                  </pic:nvPicPr>
                  <pic:blipFill>
                    <a:blip r:embed="rId32" cstate="print"/>
                    <a:stretch>
                      <a:fillRect/>
                    </a:stretch>
                  </pic:blipFill>
                  <pic:spPr>
                    <a:xfrm>
                      <a:off x="0" y="0"/>
                      <a:ext cx="7302956" cy="1024402"/>
                    </a:xfrm>
                    <a:prstGeom prst="rect">
                      <a:avLst/>
                    </a:prstGeom>
                  </pic:spPr>
                </pic:pic>
              </a:graphicData>
            </a:graphic>
          </wp:anchor>
        </w:drawing>
      </w:r>
    </w:p>
    <w:p>
      <w:pPr>
        <w:pStyle w:val="BodyText"/>
      </w:pPr>
    </w:p>
    <w:p>
      <w:pPr>
        <w:pStyle w:val="BodyText"/>
      </w:pPr>
    </w:p>
    <w:p>
      <w:pPr>
        <w:pStyle w:val="BodyText"/>
      </w:pPr>
    </w:p>
    <w:p>
      <w:pPr>
        <w:pStyle w:val="BodyText"/>
        <w:spacing w:before="10"/>
        <w:rPr>
          <w:sz w:val="27"/>
        </w:rPr>
      </w:pPr>
    </w:p>
    <w:p>
      <w:pPr>
        <w:pStyle w:val="Heading1"/>
        <w:ind w:right="2299"/>
      </w:pPr>
      <w:bookmarkStart w:name="_bookmark84" w:id="85"/>
      <w:bookmarkEnd w:id="85"/>
      <w:r>
        <w:rPr/>
      </w:r>
      <w:r>
        <w:rPr>
          <w:color w:val="003C79"/>
        </w:rPr>
        <w:t>Appendix C – Practice</w:t>
      </w:r>
      <w:r>
        <w:rPr>
          <w:color w:val="003C79"/>
          <w:spacing w:val="-197"/>
        </w:rPr>
        <w:t> </w:t>
      </w:r>
      <w:r>
        <w:rPr>
          <w:color w:val="003C79"/>
        </w:rPr>
        <w:t>survey</w:t>
      </w:r>
    </w:p>
    <w:p>
      <w:pPr>
        <w:spacing w:after="0"/>
        <w:sectPr>
          <w:pgSz w:w="11910" w:h="16840"/>
          <w:pgMar w:header="0" w:footer="675" w:top="0" w:bottom="860" w:left="580" w:right="280"/>
        </w:sectPr>
      </w:pPr>
    </w:p>
    <w:p>
      <w:pPr>
        <w:pStyle w:val="Heading4"/>
        <w:ind w:left="682"/>
      </w:pPr>
      <w:r>
        <w:rPr>
          <w:color w:val="808080"/>
        </w:rPr>
        <w:t>Health</w:t>
      </w:r>
      <w:r>
        <w:rPr>
          <w:color w:val="808080"/>
          <w:spacing w:val="-1"/>
        </w:rPr>
        <w:t> </w:t>
      </w:r>
      <w:r>
        <w:rPr>
          <w:color w:val="808080"/>
        </w:rPr>
        <w:t>Care Homes program practice survey</w:t>
      </w:r>
      <w:r>
        <w:rPr>
          <w:color w:val="808080"/>
          <w:spacing w:val="-1"/>
        </w:rPr>
        <w:t> </w:t>
      </w:r>
      <w:r>
        <w:rPr>
          <w:color w:val="808080"/>
        </w:rPr>
        <w:t>-</w:t>
      </w:r>
      <w:r>
        <w:rPr>
          <w:color w:val="808080"/>
          <w:spacing w:val="-3"/>
        </w:rPr>
        <w:t> </w:t>
      </w:r>
      <w:r>
        <w:rPr>
          <w:color w:val="808080"/>
        </w:rPr>
        <w:t>Round 1 Part A</w:t>
      </w:r>
    </w:p>
    <w:p>
      <w:pPr>
        <w:pStyle w:val="BodyText"/>
        <w:spacing w:before="5"/>
        <w:rPr>
          <w:rFonts w:ascii="Arial Black"/>
          <w:sz w:val="19"/>
        </w:rPr>
      </w:pPr>
    </w:p>
    <w:p>
      <w:pPr>
        <w:spacing w:line="276" w:lineRule="auto" w:before="100"/>
        <w:ind w:left="288" w:right="625" w:firstLine="0"/>
        <w:jc w:val="left"/>
        <w:rPr>
          <w:sz w:val="18"/>
        </w:rPr>
      </w:pPr>
      <w:r>
        <w:rPr/>
        <w:pict>
          <v:rect style="position:absolute;margin-left:36pt;margin-top:1.16273pt;width:523.85pt;height:316.2pt;mso-position-horizontal-relative:page;mso-position-vertical-relative:paragraph;z-index:-27537408" id="docshape133" filled="true" fillcolor="#f1f1f1" stroked="false">
            <v:fill type="solid"/>
            <w10:wrap type="none"/>
          </v:rect>
        </w:pict>
      </w:r>
      <w:r>
        <w:rPr>
          <w:sz w:val="18"/>
        </w:rPr>
        <w:t>This survey asks questions about the implementation of the Health Care Homes (HCH) program in your primary care</w:t>
      </w:r>
      <w:r>
        <w:rPr>
          <w:spacing w:val="1"/>
          <w:sz w:val="18"/>
        </w:rPr>
        <w:t> </w:t>
      </w:r>
      <w:r>
        <w:rPr>
          <w:sz w:val="18"/>
        </w:rPr>
        <w:t>practice/ service. Part A of the survey for Round 1 focuses on characteristics of your practice. It also aims to capture</w:t>
      </w:r>
      <w:r>
        <w:rPr>
          <w:spacing w:val="1"/>
          <w:sz w:val="18"/>
        </w:rPr>
        <w:t> </w:t>
      </w:r>
      <w:r>
        <w:rPr>
          <w:sz w:val="18"/>
        </w:rPr>
        <w:t>information about quality initiatives that the practice has been participating in prior to the commencement of the</w:t>
      </w:r>
      <w:r>
        <w:rPr>
          <w:spacing w:val="1"/>
          <w:sz w:val="18"/>
        </w:rPr>
        <w:t> </w:t>
      </w:r>
      <w:r>
        <w:rPr>
          <w:sz w:val="18"/>
        </w:rPr>
        <w:t>HCH program.</w:t>
      </w:r>
      <w:r>
        <w:rPr>
          <w:spacing w:val="1"/>
          <w:sz w:val="18"/>
        </w:rPr>
        <w:t> </w:t>
      </w:r>
      <w:r>
        <w:rPr>
          <w:sz w:val="18"/>
        </w:rPr>
        <w:t>Part B of the survey relates to the applying the HCH-A tool.</w:t>
      </w:r>
      <w:r>
        <w:rPr>
          <w:spacing w:val="49"/>
          <w:sz w:val="18"/>
        </w:rPr>
        <w:t> </w:t>
      </w:r>
      <w:r>
        <w:rPr>
          <w:sz w:val="18"/>
        </w:rPr>
        <w:t>The Part B component will be reported in</w:t>
      </w:r>
      <w:r>
        <w:rPr>
          <w:spacing w:val="1"/>
          <w:sz w:val="18"/>
        </w:rPr>
        <w:t> </w:t>
      </w:r>
      <w:r>
        <w:rPr>
          <w:sz w:val="18"/>
        </w:rPr>
        <w:t>a</w:t>
      </w:r>
      <w:r>
        <w:rPr>
          <w:spacing w:val="-2"/>
          <w:sz w:val="18"/>
        </w:rPr>
        <w:t> </w:t>
      </w:r>
      <w:r>
        <w:rPr>
          <w:sz w:val="18"/>
        </w:rPr>
        <w:t>separate survey.</w:t>
      </w:r>
    </w:p>
    <w:p>
      <w:pPr>
        <w:spacing w:line="276" w:lineRule="auto" w:before="119"/>
        <w:ind w:left="288" w:right="625" w:firstLine="0"/>
        <w:jc w:val="left"/>
        <w:rPr>
          <w:sz w:val="18"/>
        </w:rPr>
      </w:pPr>
      <w:r>
        <w:rPr>
          <w:sz w:val="18"/>
        </w:rPr>
        <w:t>Responses</w:t>
      </w:r>
      <w:r>
        <w:rPr>
          <w:spacing w:val="-3"/>
          <w:sz w:val="18"/>
        </w:rPr>
        <w:t> </w:t>
      </w:r>
      <w:r>
        <w:rPr>
          <w:sz w:val="18"/>
        </w:rPr>
        <w:t>to</w:t>
      </w:r>
      <w:r>
        <w:rPr>
          <w:spacing w:val="-2"/>
          <w:sz w:val="18"/>
        </w:rPr>
        <w:t> </w:t>
      </w:r>
      <w:r>
        <w:rPr>
          <w:sz w:val="18"/>
        </w:rPr>
        <w:t>Part</w:t>
      </w:r>
      <w:r>
        <w:rPr>
          <w:spacing w:val="1"/>
          <w:sz w:val="18"/>
        </w:rPr>
        <w:t> </w:t>
      </w:r>
      <w:r>
        <w:rPr>
          <w:sz w:val="18"/>
        </w:rPr>
        <w:t>A</w:t>
      </w:r>
      <w:r>
        <w:rPr>
          <w:spacing w:val="-10"/>
          <w:sz w:val="18"/>
        </w:rPr>
        <w:t> </w:t>
      </w:r>
      <w:r>
        <w:rPr>
          <w:sz w:val="18"/>
        </w:rPr>
        <w:t>of</w:t>
      </w:r>
      <w:r>
        <w:rPr>
          <w:spacing w:val="-1"/>
          <w:sz w:val="18"/>
        </w:rPr>
        <w:t> </w:t>
      </w:r>
      <w:r>
        <w:rPr>
          <w:sz w:val="18"/>
        </w:rPr>
        <w:t>the</w:t>
      </w:r>
      <w:r>
        <w:rPr>
          <w:spacing w:val="-2"/>
          <w:sz w:val="18"/>
        </w:rPr>
        <w:t> </w:t>
      </w:r>
      <w:r>
        <w:rPr>
          <w:sz w:val="18"/>
        </w:rPr>
        <w:t>survey</w:t>
      </w:r>
      <w:r>
        <w:rPr>
          <w:spacing w:val="-3"/>
          <w:sz w:val="18"/>
        </w:rPr>
        <w:t> </w:t>
      </w:r>
      <w:r>
        <w:rPr>
          <w:sz w:val="18"/>
        </w:rPr>
        <w:t>should</w:t>
      </w:r>
      <w:r>
        <w:rPr>
          <w:spacing w:val="-3"/>
          <w:sz w:val="18"/>
        </w:rPr>
        <w:t> </w:t>
      </w:r>
      <w:r>
        <w:rPr>
          <w:sz w:val="18"/>
        </w:rPr>
        <w:t>be</w:t>
      </w:r>
      <w:r>
        <w:rPr>
          <w:spacing w:val="-4"/>
          <w:sz w:val="18"/>
        </w:rPr>
        <w:t> </w:t>
      </w:r>
      <w:r>
        <w:rPr>
          <w:sz w:val="18"/>
        </w:rPr>
        <w:t>coordinated</w:t>
      </w:r>
      <w:r>
        <w:rPr>
          <w:spacing w:val="-3"/>
          <w:sz w:val="18"/>
        </w:rPr>
        <w:t> </w:t>
      </w:r>
      <w:r>
        <w:rPr>
          <w:sz w:val="18"/>
        </w:rPr>
        <w:t>by</w:t>
      </w:r>
      <w:r>
        <w:rPr>
          <w:spacing w:val="-3"/>
          <w:sz w:val="18"/>
        </w:rPr>
        <w:t> </w:t>
      </w:r>
      <w:r>
        <w:rPr>
          <w:sz w:val="18"/>
        </w:rPr>
        <w:t>a</w:t>
      </w:r>
      <w:r>
        <w:rPr>
          <w:spacing w:val="-3"/>
          <w:sz w:val="18"/>
        </w:rPr>
        <w:t> </w:t>
      </w:r>
      <w:r>
        <w:rPr>
          <w:sz w:val="18"/>
        </w:rPr>
        <w:t>designated</w:t>
      </w:r>
      <w:r>
        <w:rPr>
          <w:spacing w:val="-3"/>
          <w:sz w:val="18"/>
        </w:rPr>
        <w:t> </w:t>
      </w:r>
      <w:r>
        <w:rPr>
          <w:sz w:val="18"/>
        </w:rPr>
        <w:t>person</w:t>
      </w:r>
      <w:r>
        <w:rPr>
          <w:spacing w:val="-2"/>
          <w:sz w:val="18"/>
        </w:rPr>
        <w:t> </w:t>
      </w:r>
      <w:r>
        <w:rPr>
          <w:sz w:val="18"/>
        </w:rPr>
        <w:t>in</w:t>
      </w:r>
      <w:r>
        <w:rPr>
          <w:spacing w:val="-4"/>
          <w:sz w:val="18"/>
        </w:rPr>
        <w:t> </w:t>
      </w:r>
      <w:r>
        <w:rPr>
          <w:sz w:val="18"/>
        </w:rPr>
        <w:t>the</w:t>
      </w:r>
      <w:r>
        <w:rPr>
          <w:spacing w:val="-2"/>
          <w:sz w:val="18"/>
        </w:rPr>
        <w:t> </w:t>
      </w:r>
      <w:r>
        <w:rPr>
          <w:sz w:val="18"/>
        </w:rPr>
        <w:t>practice,</w:t>
      </w:r>
      <w:r>
        <w:rPr>
          <w:spacing w:val="-4"/>
          <w:sz w:val="18"/>
        </w:rPr>
        <w:t> </w:t>
      </w:r>
      <w:r>
        <w:rPr>
          <w:sz w:val="18"/>
        </w:rPr>
        <w:t>for</w:t>
      </w:r>
      <w:r>
        <w:rPr>
          <w:spacing w:val="-2"/>
          <w:sz w:val="18"/>
        </w:rPr>
        <w:t> </w:t>
      </w:r>
      <w:r>
        <w:rPr>
          <w:sz w:val="18"/>
        </w:rPr>
        <w:t>example</w:t>
      </w:r>
      <w:r>
        <w:rPr>
          <w:spacing w:val="-2"/>
          <w:sz w:val="18"/>
        </w:rPr>
        <w:t> </w:t>
      </w:r>
      <w:r>
        <w:rPr>
          <w:sz w:val="18"/>
        </w:rPr>
        <w:t>a</w:t>
      </w:r>
      <w:r>
        <w:rPr>
          <w:spacing w:val="1"/>
          <w:sz w:val="18"/>
        </w:rPr>
        <w:t> </w:t>
      </w:r>
      <w:r>
        <w:rPr>
          <w:sz w:val="18"/>
        </w:rPr>
        <w:t>practice</w:t>
      </w:r>
      <w:r>
        <w:rPr>
          <w:spacing w:val="-1"/>
          <w:sz w:val="18"/>
        </w:rPr>
        <w:t> </w:t>
      </w:r>
      <w:r>
        <w:rPr>
          <w:sz w:val="18"/>
        </w:rPr>
        <w:t>manager.</w:t>
      </w:r>
      <w:r>
        <w:rPr>
          <w:spacing w:val="47"/>
          <w:sz w:val="18"/>
        </w:rPr>
        <w:t> </w:t>
      </w:r>
      <w:r>
        <w:rPr>
          <w:sz w:val="18"/>
        </w:rPr>
        <w:t>Some responses</w:t>
      </w:r>
      <w:r>
        <w:rPr>
          <w:spacing w:val="-2"/>
          <w:sz w:val="18"/>
        </w:rPr>
        <w:t> </w:t>
      </w:r>
      <w:r>
        <w:rPr>
          <w:sz w:val="18"/>
        </w:rPr>
        <w:t>may</w:t>
      </w:r>
      <w:r>
        <w:rPr>
          <w:spacing w:val="-2"/>
          <w:sz w:val="18"/>
        </w:rPr>
        <w:t> </w:t>
      </w:r>
      <w:r>
        <w:rPr>
          <w:sz w:val="18"/>
        </w:rPr>
        <w:t>require</w:t>
      </w:r>
      <w:r>
        <w:rPr>
          <w:spacing w:val="-2"/>
          <w:sz w:val="18"/>
        </w:rPr>
        <w:t> </w:t>
      </w:r>
      <w:r>
        <w:rPr>
          <w:sz w:val="18"/>
        </w:rPr>
        <w:t>consultation</w:t>
      </w:r>
      <w:r>
        <w:rPr>
          <w:spacing w:val="-1"/>
          <w:sz w:val="18"/>
        </w:rPr>
        <w:t> </w:t>
      </w:r>
      <w:r>
        <w:rPr>
          <w:sz w:val="18"/>
        </w:rPr>
        <w:t>with</w:t>
      </w:r>
      <w:r>
        <w:rPr>
          <w:spacing w:val="-1"/>
          <w:sz w:val="18"/>
        </w:rPr>
        <w:t> </w:t>
      </w:r>
      <w:r>
        <w:rPr>
          <w:sz w:val="18"/>
        </w:rPr>
        <w:t>other staff</w:t>
      </w:r>
      <w:r>
        <w:rPr>
          <w:spacing w:val="-2"/>
          <w:sz w:val="18"/>
        </w:rPr>
        <w:t> </w:t>
      </w:r>
      <w:r>
        <w:rPr>
          <w:sz w:val="18"/>
        </w:rPr>
        <w:t>in</w:t>
      </w:r>
      <w:r>
        <w:rPr>
          <w:spacing w:val="-1"/>
          <w:sz w:val="18"/>
        </w:rPr>
        <w:t> </w:t>
      </w:r>
      <w:r>
        <w:rPr>
          <w:sz w:val="18"/>
        </w:rPr>
        <w:t>the practice.</w:t>
      </w:r>
    </w:p>
    <w:p>
      <w:pPr>
        <w:spacing w:line="276" w:lineRule="auto" w:before="121"/>
        <w:ind w:left="288" w:right="1236" w:firstLine="0"/>
        <w:jc w:val="left"/>
        <w:rPr>
          <w:sz w:val="18"/>
        </w:rPr>
      </w:pPr>
      <w:r>
        <w:rPr>
          <w:sz w:val="18"/>
        </w:rPr>
        <w:t>A</w:t>
      </w:r>
      <w:r>
        <w:rPr>
          <w:spacing w:val="-6"/>
          <w:sz w:val="18"/>
        </w:rPr>
        <w:t> </w:t>
      </w:r>
      <w:r>
        <w:rPr>
          <w:sz w:val="18"/>
        </w:rPr>
        <w:t>link</w:t>
      </w:r>
      <w:r>
        <w:rPr>
          <w:spacing w:val="-2"/>
          <w:sz w:val="18"/>
        </w:rPr>
        <w:t> </w:t>
      </w:r>
      <w:r>
        <w:rPr>
          <w:sz w:val="18"/>
        </w:rPr>
        <w:t>has</w:t>
      </w:r>
      <w:r>
        <w:rPr>
          <w:spacing w:val="-3"/>
          <w:sz w:val="18"/>
        </w:rPr>
        <w:t> </w:t>
      </w:r>
      <w:r>
        <w:rPr>
          <w:sz w:val="18"/>
        </w:rPr>
        <w:t>been</w:t>
      </w:r>
      <w:r>
        <w:rPr>
          <w:spacing w:val="-4"/>
          <w:sz w:val="18"/>
        </w:rPr>
        <w:t> </w:t>
      </w:r>
      <w:r>
        <w:rPr>
          <w:sz w:val="18"/>
        </w:rPr>
        <w:t>provided</w:t>
      </w:r>
      <w:r>
        <w:rPr>
          <w:spacing w:val="-3"/>
          <w:sz w:val="18"/>
        </w:rPr>
        <w:t> </w:t>
      </w:r>
      <w:r>
        <w:rPr>
          <w:sz w:val="18"/>
        </w:rPr>
        <w:t>to</w:t>
      </w:r>
      <w:r>
        <w:rPr>
          <w:spacing w:val="-5"/>
          <w:sz w:val="18"/>
        </w:rPr>
        <w:t> </w:t>
      </w:r>
      <w:r>
        <w:rPr>
          <w:sz w:val="18"/>
        </w:rPr>
        <w:t>the</w:t>
      </w:r>
      <w:r>
        <w:rPr>
          <w:spacing w:val="-2"/>
          <w:sz w:val="18"/>
        </w:rPr>
        <w:t> </w:t>
      </w:r>
      <w:r>
        <w:rPr>
          <w:sz w:val="18"/>
        </w:rPr>
        <w:t>survey.</w:t>
      </w:r>
      <w:r>
        <w:rPr>
          <w:spacing w:val="44"/>
          <w:sz w:val="18"/>
        </w:rPr>
        <w:t> </w:t>
      </w:r>
      <w:r>
        <w:rPr>
          <w:sz w:val="18"/>
        </w:rPr>
        <w:t>You</w:t>
      </w:r>
      <w:r>
        <w:rPr>
          <w:spacing w:val="1"/>
          <w:sz w:val="18"/>
        </w:rPr>
        <w:t> </w:t>
      </w:r>
      <w:r>
        <w:rPr>
          <w:sz w:val="18"/>
        </w:rPr>
        <w:t>may</w:t>
      </w:r>
      <w:r>
        <w:rPr>
          <w:spacing w:val="-3"/>
          <w:sz w:val="18"/>
        </w:rPr>
        <w:t> </w:t>
      </w:r>
      <w:r>
        <w:rPr>
          <w:sz w:val="18"/>
        </w:rPr>
        <w:t>return</w:t>
      </w:r>
      <w:r>
        <w:rPr>
          <w:spacing w:val="-2"/>
          <w:sz w:val="18"/>
        </w:rPr>
        <w:t> </w:t>
      </w:r>
      <w:r>
        <w:rPr>
          <w:sz w:val="18"/>
        </w:rPr>
        <w:t>to</w:t>
      </w:r>
      <w:r>
        <w:rPr>
          <w:spacing w:val="-3"/>
          <w:sz w:val="18"/>
        </w:rPr>
        <w:t> </w:t>
      </w:r>
      <w:r>
        <w:rPr>
          <w:sz w:val="18"/>
        </w:rPr>
        <w:t>this</w:t>
      </w:r>
      <w:r>
        <w:rPr>
          <w:spacing w:val="-3"/>
          <w:sz w:val="18"/>
        </w:rPr>
        <w:t> </w:t>
      </w:r>
      <w:r>
        <w:rPr>
          <w:sz w:val="18"/>
        </w:rPr>
        <w:t>link</w:t>
      </w:r>
      <w:r>
        <w:rPr>
          <w:spacing w:val="-2"/>
          <w:sz w:val="18"/>
        </w:rPr>
        <w:t> </w:t>
      </w:r>
      <w:r>
        <w:rPr>
          <w:sz w:val="18"/>
        </w:rPr>
        <w:t>on</w:t>
      </w:r>
      <w:r>
        <w:rPr>
          <w:spacing w:val="-2"/>
          <w:sz w:val="18"/>
        </w:rPr>
        <w:t> </w:t>
      </w:r>
      <w:r>
        <w:rPr>
          <w:sz w:val="18"/>
        </w:rPr>
        <w:t>several</w:t>
      </w:r>
      <w:r>
        <w:rPr>
          <w:spacing w:val="-2"/>
          <w:sz w:val="18"/>
        </w:rPr>
        <w:t> </w:t>
      </w:r>
      <w:r>
        <w:rPr>
          <w:sz w:val="18"/>
        </w:rPr>
        <w:t>occasions.</w:t>
      </w:r>
      <w:r>
        <w:rPr>
          <w:spacing w:val="45"/>
          <w:sz w:val="18"/>
        </w:rPr>
        <w:t> </w:t>
      </w:r>
      <w:r>
        <w:rPr>
          <w:sz w:val="18"/>
        </w:rPr>
        <w:t>The</w:t>
      </w:r>
      <w:r>
        <w:rPr>
          <w:spacing w:val="-2"/>
          <w:sz w:val="18"/>
        </w:rPr>
        <w:t> </w:t>
      </w:r>
      <w:r>
        <w:rPr>
          <w:sz w:val="18"/>
        </w:rPr>
        <w:t>survey</w:t>
      </w:r>
      <w:r>
        <w:rPr>
          <w:spacing w:val="-3"/>
          <w:sz w:val="18"/>
        </w:rPr>
        <w:t> </w:t>
      </w:r>
      <w:r>
        <w:rPr>
          <w:sz w:val="18"/>
        </w:rPr>
        <w:t>should</w:t>
      </w:r>
      <w:r>
        <w:rPr>
          <w:spacing w:val="-3"/>
          <w:sz w:val="18"/>
        </w:rPr>
        <w:t> </w:t>
      </w:r>
      <w:r>
        <w:rPr>
          <w:sz w:val="18"/>
        </w:rPr>
        <w:t>be</w:t>
      </w:r>
      <w:r>
        <w:rPr>
          <w:spacing w:val="1"/>
          <w:sz w:val="18"/>
        </w:rPr>
        <w:t> </w:t>
      </w:r>
      <w:r>
        <w:rPr>
          <w:sz w:val="18"/>
        </w:rPr>
        <w:t>completed</w:t>
      </w:r>
      <w:r>
        <w:rPr>
          <w:spacing w:val="-2"/>
          <w:sz w:val="18"/>
        </w:rPr>
        <w:t> </w:t>
      </w:r>
      <w:r>
        <w:rPr>
          <w:sz w:val="18"/>
        </w:rPr>
        <w:t>by</w:t>
      </w:r>
      <w:r>
        <w:rPr>
          <w:spacing w:val="1"/>
          <w:sz w:val="18"/>
        </w:rPr>
        <w:t> </w:t>
      </w:r>
      <w:r>
        <w:rPr>
          <w:sz w:val="18"/>
        </w:rPr>
        <w:t>16 March</w:t>
      </w:r>
      <w:r>
        <w:rPr>
          <w:spacing w:val="1"/>
          <w:sz w:val="18"/>
        </w:rPr>
        <w:t> </w:t>
      </w:r>
      <w:r>
        <w:rPr>
          <w:sz w:val="18"/>
        </w:rPr>
        <w:t>2018.</w:t>
      </w:r>
    </w:p>
    <w:p>
      <w:pPr>
        <w:spacing w:line="276" w:lineRule="auto" w:before="119"/>
        <w:ind w:left="288" w:right="625" w:firstLine="0"/>
        <w:jc w:val="left"/>
        <w:rPr>
          <w:sz w:val="18"/>
        </w:rPr>
      </w:pPr>
      <w:r>
        <w:rPr>
          <w:sz w:val="18"/>
        </w:rPr>
        <w:t>The information that you provide will be kept strictly confidential, and will not be used for any other purpose other</w:t>
      </w:r>
      <w:r>
        <w:rPr>
          <w:spacing w:val="1"/>
          <w:sz w:val="18"/>
        </w:rPr>
        <w:t> </w:t>
      </w:r>
      <w:r>
        <w:rPr>
          <w:sz w:val="18"/>
        </w:rPr>
        <w:t>than</w:t>
      </w:r>
      <w:r>
        <w:rPr>
          <w:spacing w:val="-4"/>
          <w:sz w:val="18"/>
        </w:rPr>
        <w:t> </w:t>
      </w:r>
      <w:r>
        <w:rPr>
          <w:sz w:val="18"/>
        </w:rPr>
        <w:t>the</w:t>
      </w:r>
      <w:r>
        <w:rPr>
          <w:spacing w:val="-3"/>
          <w:sz w:val="18"/>
        </w:rPr>
        <w:t> </w:t>
      </w:r>
      <w:r>
        <w:rPr>
          <w:sz w:val="18"/>
        </w:rPr>
        <w:t>evaluation</w:t>
      </w:r>
      <w:r>
        <w:rPr>
          <w:spacing w:val="-3"/>
          <w:sz w:val="18"/>
        </w:rPr>
        <w:t> </w:t>
      </w:r>
      <w:r>
        <w:rPr>
          <w:sz w:val="18"/>
        </w:rPr>
        <w:t>of</w:t>
      </w:r>
      <w:r>
        <w:rPr>
          <w:spacing w:val="-5"/>
          <w:sz w:val="18"/>
        </w:rPr>
        <w:t> </w:t>
      </w:r>
      <w:r>
        <w:rPr>
          <w:sz w:val="18"/>
        </w:rPr>
        <w:t>the</w:t>
      </w:r>
      <w:r>
        <w:rPr>
          <w:spacing w:val="-4"/>
          <w:sz w:val="18"/>
        </w:rPr>
        <w:t> </w:t>
      </w:r>
      <w:r>
        <w:rPr>
          <w:sz w:val="18"/>
        </w:rPr>
        <w:t>HCH</w:t>
      </w:r>
      <w:r>
        <w:rPr>
          <w:spacing w:val="-4"/>
          <w:sz w:val="18"/>
        </w:rPr>
        <w:t> </w:t>
      </w:r>
      <w:r>
        <w:rPr>
          <w:sz w:val="18"/>
        </w:rPr>
        <w:t>program.</w:t>
      </w:r>
      <w:r>
        <w:rPr>
          <w:spacing w:val="2"/>
          <w:sz w:val="18"/>
        </w:rPr>
        <w:t> </w:t>
      </w:r>
      <w:r>
        <w:rPr>
          <w:sz w:val="18"/>
        </w:rPr>
        <w:t>All</w:t>
      </w:r>
      <w:r>
        <w:rPr>
          <w:spacing w:val="-3"/>
          <w:sz w:val="18"/>
        </w:rPr>
        <w:t> </w:t>
      </w:r>
      <w:r>
        <w:rPr>
          <w:sz w:val="18"/>
        </w:rPr>
        <w:t>reports</w:t>
      </w:r>
      <w:r>
        <w:rPr>
          <w:spacing w:val="-4"/>
          <w:sz w:val="18"/>
        </w:rPr>
        <w:t> </w:t>
      </w:r>
      <w:r>
        <w:rPr>
          <w:sz w:val="18"/>
        </w:rPr>
        <w:t>of</w:t>
      </w:r>
      <w:r>
        <w:rPr>
          <w:spacing w:val="-4"/>
          <w:sz w:val="18"/>
        </w:rPr>
        <w:t> </w:t>
      </w:r>
      <w:r>
        <w:rPr>
          <w:sz w:val="18"/>
        </w:rPr>
        <w:t>the</w:t>
      </w:r>
      <w:r>
        <w:rPr>
          <w:spacing w:val="-3"/>
          <w:sz w:val="18"/>
        </w:rPr>
        <w:t> </w:t>
      </w:r>
      <w:r>
        <w:rPr>
          <w:sz w:val="18"/>
        </w:rPr>
        <w:t>evaluation</w:t>
      </w:r>
      <w:r>
        <w:rPr>
          <w:spacing w:val="-3"/>
          <w:sz w:val="18"/>
        </w:rPr>
        <w:t> </w:t>
      </w:r>
      <w:r>
        <w:rPr>
          <w:sz w:val="18"/>
        </w:rPr>
        <w:t>will</w:t>
      </w:r>
      <w:r>
        <w:rPr>
          <w:spacing w:val="-4"/>
          <w:sz w:val="18"/>
        </w:rPr>
        <w:t> </w:t>
      </w:r>
      <w:r>
        <w:rPr>
          <w:sz w:val="18"/>
        </w:rPr>
        <w:t>only</w:t>
      </w:r>
      <w:r>
        <w:rPr>
          <w:spacing w:val="-4"/>
          <w:sz w:val="18"/>
        </w:rPr>
        <w:t> </w:t>
      </w:r>
      <w:r>
        <w:rPr>
          <w:sz w:val="18"/>
        </w:rPr>
        <w:t>contain</w:t>
      </w:r>
      <w:r>
        <w:rPr>
          <w:spacing w:val="-3"/>
          <w:sz w:val="18"/>
        </w:rPr>
        <w:t> </w:t>
      </w:r>
      <w:r>
        <w:rPr>
          <w:sz w:val="18"/>
        </w:rPr>
        <w:t>descriptive</w:t>
      </w:r>
      <w:r>
        <w:rPr>
          <w:spacing w:val="-5"/>
          <w:sz w:val="18"/>
        </w:rPr>
        <w:t> </w:t>
      </w:r>
      <w:r>
        <w:rPr>
          <w:sz w:val="18"/>
        </w:rPr>
        <w:t>information</w:t>
      </w:r>
      <w:r>
        <w:rPr>
          <w:spacing w:val="-5"/>
          <w:sz w:val="18"/>
        </w:rPr>
        <w:t> </w:t>
      </w:r>
      <w:r>
        <w:rPr>
          <w:sz w:val="18"/>
        </w:rPr>
        <w:t>about</w:t>
      </w:r>
      <w:r>
        <w:rPr>
          <w:spacing w:val="1"/>
          <w:sz w:val="18"/>
        </w:rPr>
        <w:t> </w:t>
      </w:r>
      <w:r>
        <w:rPr>
          <w:sz w:val="18"/>
        </w:rPr>
        <w:t>individual practices/ services (e.g. geographic location in summary categories such as rural, remote, very remote).</w:t>
      </w:r>
      <w:r>
        <w:rPr>
          <w:spacing w:val="1"/>
          <w:sz w:val="18"/>
        </w:rPr>
        <w:t> </w:t>
      </w:r>
      <w:r>
        <w:rPr>
          <w:sz w:val="18"/>
        </w:rPr>
        <w:t>No</w:t>
      </w:r>
      <w:r>
        <w:rPr>
          <w:spacing w:val="-1"/>
          <w:sz w:val="18"/>
        </w:rPr>
        <w:t> </w:t>
      </w:r>
      <w:r>
        <w:rPr>
          <w:sz w:val="18"/>
        </w:rPr>
        <w:t>ratings</w:t>
      </w:r>
      <w:r>
        <w:rPr>
          <w:spacing w:val="-1"/>
          <w:sz w:val="18"/>
        </w:rPr>
        <w:t> </w:t>
      </w:r>
      <w:r>
        <w:rPr>
          <w:sz w:val="18"/>
        </w:rPr>
        <w:t>or views</w:t>
      </w:r>
      <w:r>
        <w:rPr>
          <w:spacing w:val="-2"/>
          <w:sz w:val="18"/>
        </w:rPr>
        <w:t> </w:t>
      </w:r>
      <w:r>
        <w:rPr>
          <w:sz w:val="18"/>
        </w:rPr>
        <w:t>will</w:t>
      </w:r>
      <w:r>
        <w:rPr>
          <w:spacing w:val="-1"/>
          <w:sz w:val="18"/>
        </w:rPr>
        <w:t> </w:t>
      </w:r>
      <w:r>
        <w:rPr>
          <w:sz w:val="18"/>
        </w:rPr>
        <w:t>be</w:t>
      </w:r>
      <w:r>
        <w:rPr>
          <w:spacing w:val="-2"/>
          <w:sz w:val="18"/>
        </w:rPr>
        <w:t> </w:t>
      </w:r>
      <w:r>
        <w:rPr>
          <w:sz w:val="18"/>
        </w:rPr>
        <w:t>attributed</w:t>
      </w:r>
      <w:r>
        <w:rPr>
          <w:spacing w:val="-2"/>
          <w:sz w:val="18"/>
        </w:rPr>
        <w:t> </w:t>
      </w:r>
      <w:r>
        <w:rPr>
          <w:sz w:val="18"/>
        </w:rPr>
        <w:t>to</w:t>
      </w:r>
      <w:r>
        <w:rPr>
          <w:spacing w:val="-1"/>
          <w:sz w:val="18"/>
        </w:rPr>
        <w:t> </w:t>
      </w:r>
      <w:r>
        <w:rPr>
          <w:sz w:val="18"/>
        </w:rPr>
        <w:t>any</w:t>
      </w:r>
      <w:r>
        <w:rPr>
          <w:spacing w:val="-3"/>
          <w:sz w:val="18"/>
        </w:rPr>
        <w:t> </w:t>
      </w:r>
      <w:r>
        <w:rPr>
          <w:sz w:val="18"/>
        </w:rPr>
        <w:t>individual</w:t>
      </w:r>
      <w:r>
        <w:rPr>
          <w:spacing w:val="-1"/>
          <w:sz w:val="18"/>
        </w:rPr>
        <w:t> </w:t>
      </w:r>
      <w:r>
        <w:rPr>
          <w:sz w:val="18"/>
        </w:rPr>
        <w:t>practice/ service.</w:t>
      </w:r>
    </w:p>
    <w:p>
      <w:pPr>
        <w:spacing w:line="276" w:lineRule="auto" w:before="120"/>
        <w:ind w:left="288" w:right="625" w:firstLine="0"/>
        <w:jc w:val="left"/>
        <w:rPr>
          <w:sz w:val="18"/>
        </w:rPr>
      </w:pPr>
      <w:r>
        <w:rPr>
          <w:sz w:val="18"/>
        </w:rPr>
        <w:t>The evaluation is being conducted by Health Policy Analysis, on behalf of the Commonwealth Department of</w:t>
      </w:r>
      <w:r>
        <w:rPr>
          <w:spacing w:val="1"/>
          <w:sz w:val="18"/>
        </w:rPr>
        <w:t> </w:t>
      </w:r>
      <w:r>
        <w:rPr>
          <w:sz w:val="18"/>
        </w:rPr>
        <w:t>Health.</w:t>
      </w:r>
      <w:r>
        <w:rPr>
          <w:spacing w:val="-5"/>
          <w:sz w:val="18"/>
        </w:rPr>
        <w:t> </w:t>
      </w:r>
      <w:r>
        <w:rPr>
          <w:sz w:val="18"/>
        </w:rPr>
        <w:t>If</w:t>
      </w:r>
      <w:r>
        <w:rPr>
          <w:spacing w:val="-2"/>
          <w:sz w:val="18"/>
        </w:rPr>
        <w:t> </w:t>
      </w:r>
      <w:r>
        <w:rPr>
          <w:sz w:val="18"/>
        </w:rPr>
        <w:t>you</w:t>
      </w:r>
      <w:r>
        <w:rPr>
          <w:spacing w:val="-2"/>
          <w:sz w:val="18"/>
        </w:rPr>
        <w:t> </w:t>
      </w:r>
      <w:r>
        <w:rPr>
          <w:sz w:val="18"/>
        </w:rPr>
        <w:t>would</w:t>
      </w:r>
      <w:r>
        <w:rPr>
          <w:spacing w:val="-4"/>
          <w:sz w:val="18"/>
        </w:rPr>
        <w:t> </w:t>
      </w:r>
      <w:r>
        <w:rPr>
          <w:sz w:val="18"/>
        </w:rPr>
        <w:t>like</w:t>
      </w:r>
      <w:r>
        <w:rPr>
          <w:spacing w:val="-4"/>
          <w:sz w:val="18"/>
        </w:rPr>
        <w:t> </w:t>
      </w:r>
      <w:r>
        <w:rPr>
          <w:sz w:val="18"/>
        </w:rPr>
        <w:t>any</w:t>
      </w:r>
      <w:r>
        <w:rPr>
          <w:spacing w:val="-5"/>
          <w:sz w:val="18"/>
        </w:rPr>
        <w:t> </w:t>
      </w:r>
      <w:r>
        <w:rPr>
          <w:sz w:val="18"/>
        </w:rPr>
        <w:t>further</w:t>
      </w:r>
      <w:r>
        <w:rPr>
          <w:spacing w:val="-3"/>
          <w:sz w:val="18"/>
        </w:rPr>
        <w:t> </w:t>
      </w:r>
      <w:r>
        <w:rPr>
          <w:sz w:val="18"/>
        </w:rPr>
        <w:t>information</w:t>
      </w:r>
      <w:r>
        <w:rPr>
          <w:spacing w:val="-2"/>
          <w:sz w:val="18"/>
        </w:rPr>
        <w:t> </w:t>
      </w:r>
      <w:r>
        <w:rPr>
          <w:sz w:val="18"/>
        </w:rPr>
        <w:t>about</w:t>
      </w:r>
      <w:r>
        <w:rPr>
          <w:spacing w:val="-5"/>
          <w:sz w:val="18"/>
        </w:rPr>
        <w:t> </w:t>
      </w:r>
      <w:r>
        <w:rPr>
          <w:sz w:val="18"/>
        </w:rPr>
        <w:t>this</w:t>
      </w:r>
      <w:r>
        <w:rPr>
          <w:spacing w:val="-3"/>
          <w:sz w:val="18"/>
        </w:rPr>
        <w:t> </w:t>
      </w:r>
      <w:r>
        <w:rPr>
          <w:sz w:val="18"/>
        </w:rPr>
        <w:t>survey</w:t>
      </w:r>
      <w:r>
        <w:rPr>
          <w:spacing w:val="-3"/>
          <w:sz w:val="18"/>
        </w:rPr>
        <w:t> </w:t>
      </w:r>
      <w:r>
        <w:rPr>
          <w:sz w:val="18"/>
        </w:rPr>
        <w:t>or</w:t>
      </w:r>
      <w:r>
        <w:rPr>
          <w:spacing w:val="-3"/>
          <w:sz w:val="18"/>
        </w:rPr>
        <w:t> </w:t>
      </w:r>
      <w:r>
        <w:rPr>
          <w:sz w:val="18"/>
        </w:rPr>
        <w:t>the</w:t>
      </w:r>
      <w:r>
        <w:rPr>
          <w:spacing w:val="-4"/>
          <w:sz w:val="18"/>
        </w:rPr>
        <w:t> </w:t>
      </w:r>
      <w:r>
        <w:rPr>
          <w:sz w:val="18"/>
        </w:rPr>
        <w:t>evaluation,</w:t>
      </w:r>
      <w:r>
        <w:rPr>
          <w:spacing w:val="-4"/>
          <w:sz w:val="18"/>
        </w:rPr>
        <w:t> </w:t>
      </w:r>
      <w:r>
        <w:rPr>
          <w:sz w:val="18"/>
        </w:rPr>
        <w:t>please</w:t>
      </w:r>
      <w:r>
        <w:rPr>
          <w:spacing w:val="-2"/>
          <w:sz w:val="18"/>
        </w:rPr>
        <w:t> </w:t>
      </w:r>
      <w:r>
        <w:rPr>
          <w:sz w:val="18"/>
        </w:rPr>
        <w:t>contact</w:t>
      </w:r>
      <w:r>
        <w:rPr>
          <w:spacing w:val="-4"/>
          <w:sz w:val="18"/>
        </w:rPr>
        <w:t> </w:t>
      </w:r>
      <w:r>
        <w:rPr>
          <w:sz w:val="18"/>
        </w:rPr>
        <w:t>Health</w:t>
      </w:r>
      <w:r>
        <w:rPr>
          <w:spacing w:val="-3"/>
          <w:sz w:val="18"/>
        </w:rPr>
        <w:t> </w:t>
      </w:r>
      <w:r>
        <w:rPr>
          <w:sz w:val="18"/>
        </w:rPr>
        <w:t>Policy</w:t>
      </w:r>
      <w:r>
        <w:rPr>
          <w:spacing w:val="1"/>
          <w:sz w:val="18"/>
        </w:rPr>
        <w:t> </w:t>
      </w:r>
      <w:r>
        <w:rPr>
          <w:sz w:val="18"/>
        </w:rPr>
        <w:t>Analysis</w:t>
      </w:r>
      <w:r>
        <w:rPr>
          <w:spacing w:val="-2"/>
          <w:sz w:val="18"/>
        </w:rPr>
        <w:t> </w:t>
      </w:r>
      <w:r>
        <w:rPr>
          <w:sz w:val="18"/>
        </w:rPr>
        <w:t>on</w:t>
      </w:r>
      <w:r>
        <w:rPr>
          <w:spacing w:val="3"/>
          <w:sz w:val="18"/>
        </w:rPr>
        <w:t> </w:t>
      </w:r>
      <w:r>
        <w:rPr>
          <w:sz w:val="18"/>
        </w:rPr>
        <w:t>(02)</w:t>
      </w:r>
      <w:r>
        <w:rPr>
          <w:spacing w:val="-2"/>
          <w:sz w:val="18"/>
        </w:rPr>
        <w:t> </w:t>
      </w:r>
      <w:r>
        <w:rPr>
          <w:sz w:val="18"/>
        </w:rPr>
        <w:t>8065</w:t>
      </w:r>
      <w:r>
        <w:rPr>
          <w:spacing w:val="-2"/>
          <w:sz w:val="18"/>
        </w:rPr>
        <w:t> </w:t>
      </w:r>
      <w:r>
        <w:rPr>
          <w:sz w:val="18"/>
        </w:rPr>
        <w:t>6491 or</w:t>
      </w:r>
      <w:r>
        <w:rPr>
          <w:spacing w:val="-2"/>
          <w:sz w:val="18"/>
        </w:rPr>
        <w:t> </w:t>
      </w:r>
      <w:hyperlink r:id="rId38">
        <w:r>
          <w:rPr>
            <w:sz w:val="18"/>
          </w:rPr>
          <w:t>info@healthpolicy.com.au.</w:t>
        </w:r>
      </w:hyperlink>
    </w:p>
    <w:p>
      <w:pPr>
        <w:spacing w:line="276" w:lineRule="auto" w:before="122"/>
        <w:ind w:left="288" w:right="785" w:firstLine="0"/>
        <w:jc w:val="both"/>
        <w:rPr>
          <w:sz w:val="18"/>
        </w:rPr>
      </w:pPr>
      <w:r>
        <w:rPr>
          <w:sz w:val="18"/>
        </w:rPr>
        <w:t>The HCH evaluation has been approved by the Department of Health Human Research Ethics Committee Project</w:t>
      </w:r>
      <w:r>
        <w:rPr>
          <w:spacing w:val="1"/>
          <w:sz w:val="18"/>
        </w:rPr>
        <w:t> </w:t>
      </w:r>
      <w:r>
        <w:rPr>
          <w:sz w:val="18"/>
        </w:rPr>
        <w:t>04-2017 – Health Care Homes Program, Part A: National Evaluation. If you have any concerns or complaints on the</w:t>
      </w:r>
      <w:r>
        <w:rPr>
          <w:spacing w:val="-47"/>
          <w:sz w:val="18"/>
        </w:rPr>
        <w:t> </w:t>
      </w:r>
      <w:r>
        <w:rPr>
          <w:sz w:val="18"/>
        </w:rPr>
        <w:t>ethical conduct of this research, please contact the Committee Secretariat by email at </w:t>
      </w:r>
      <w:hyperlink r:id="rId39">
        <w:r>
          <w:rPr>
            <w:sz w:val="18"/>
          </w:rPr>
          <w:t>ethics@health.gov.au. </w:t>
        </w:r>
      </w:hyperlink>
      <w:r>
        <w:rPr>
          <w:sz w:val="18"/>
        </w:rPr>
        <w:t>The</w:t>
      </w:r>
      <w:r>
        <w:rPr>
          <w:spacing w:val="-47"/>
          <w:sz w:val="18"/>
        </w:rPr>
        <w:t> </w:t>
      </w:r>
      <w:r>
        <w:rPr>
          <w:sz w:val="18"/>
        </w:rPr>
        <w:t>issue</w:t>
      </w:r>
      <w:r>
        <w:rPr>
          <w:spacing w:val="-3"/>
          <w:sz w:val="18"/>
        </w:rPr>
        <w:t> </w:t>
      </w:r>
      <w:r>
        <w:rPr>
          <w:sz w:val="18"/>
        </w:rPr>
        <w:t>will</w:t>
      </w:r>
      <w:r>
        <w:rPr>
          <w:spacing w:val="-1"/>
          <w:sz w:val="18"/>
        </w:rPr>
        <w:t> </w:t>
      </w:r>
      <w:r>
        <w:rPr>
          <w:sz w:val="18"/>
        </w:rPr>
        <w:t>then be</w:t>
      </w:r>
      <w:r>
        <w:rPr>
          <w:spacing w:val="-2"/>
          <w:sz w:val="18"/>
        </w:rPr>
        <w:t> </w:t>
      </w:r>
      <w:r>
        <w:rPr>
          <w:sz w:val="18"/>
        </w:rPr>
        <w:t>referred</w:t>
      </w:r>
      <w:r>
        <w:rPr>
          <w:spacing w:val="-1"/>
          <w:sz w:val="18"/>
        </w:rPr>
        <w:t> </w:t>
      </w:r>
      <w:r>
        <w:rPr>
          <w:sz w:val="18"/>
        </w:rPr>
        <w:t>to</w:t>
      </w:r>
      <w:r>
        <w:rPr>
          <w:spacing w:val="-2"/>
          <w:sz w:val="18"/>
        </w:rPr>
        <w:t> </w:t>
      </w:r>
      <w:r>
        <w:rPr>
          <w:sz w:val="18"/>
        </w:rPr>
        <w:t>the Chair of the Committee.</w:t>
      </w:r>
    </w:p>
    <w:p>
      <w:pPr>
        <w:spacing w:before="120"/>
        <w:ind w:left="288" w:right="0" w:firstLine="0"/>
        <w:jc w:val="both"/>
        <w:rPr>
          <w:sz w:val="18"/>
        </w:rPr>
      </w:pPr>
      <w:r>
        <w:rPr>
          <w:sz w:val="18"/>
        </w:rPr>
        <w:t>If</w:t>
      </w:r>
      <w:r>
        <w:rPr>
          <w:spacing w:val="-6"/>
          <w:sz w:val="18"/>
        </w:rPr>
        <w:t> </w:t>
      </w:r>
      <w:r>
        <w:rPr>
          <w:sz w:val="18"/>
        </w:rPr>
        <w:t>you</w:t>
      </w:r>
      <w:r>
        <w:rPr>
          <w:spacing w:val="-4"/>
          <w:sz w:val="18"/>
        </w:rPr>
        <w:t> </w:t>
      </w:r>
      <w:r>
        <w:rPr>
          <w:sz w:val="18"/>
        </w:rPr>
        <w:t>have</w:t>
      </w:r>
      <w:r>
        <w:rPr>
          <w:spacing w:val="-4"/>
          <w:sz w:val="18"/>
        </w:rPr>
        <w:t> </w:t>
      </w:r>
      <w:r>
        <w:rPr>
          <w:sz w:val="18"/>
        </w:rPr>
        <w:t>any</w:t>
      </w:r>
      <w:r>
        <w:rPr>
          <w:spacing w:val="-5"/>
          <w:sz w:val="18"/>
        </w:rPr>
        <w:t> </w:t>
      </w:r>
      <w:r>
        <w:rPr>
          <w:sz w:val="18"/>
        </w:rPr>
        <w:t>questions</w:t>
      </w:r>
      <w:r>
        <w:rPr>
          <w:spacing w:val="-5"/>
          <w:sz w:val="18"/>
        </w:rPr>
        <w:t> </w:t>
      </w:r>
      <w:r>
        <w:rPr>
          <w:sz w:val="18"/>
        </w:rPr>
        <w:t>regarding</w:t>
      </w:r>
      <w:r>
        <w:rPr>
          <w:spacing w:val="-6"/>
          <w:sz w:val="18"/>
        </w:rPr>
        <w:t> </w:t>
      </w:r>
      <w:r>
        <w:rPr>
          <w:sz w:val="18"/>
        </w:rPr>
        <w:t>the</w:t>
      </w:r>
      <w:r>
        <w:rPr>
          <w:spacing w:val="-4"/>
          <w:sz w:val="18"/>
        </w:rPr>
        <w:t> </w:t>
      </w:r>
      <w:r>
        <w:rPr>
          <w:sz w:val="18"/>
        </w:rPr>
        <w:t>HCH</w:t>
      </w:r>
      <w:r>
        <w:rPr>
          <w:spacing w:val="-5"/>
          <w:sz w:val="18"/>
        </w:rPr>
        <w:t> </w:t>
      </w:r>
      <w:r>
        <w:rPr>
          <w:sz w:val="18"/>
        </w:rPr>
        <w:t>program,</w:t>
      </w:r>
      <w:r>
        <w:rPr>
          <w:spacing w:val="-3"/>
          <w:sz w:val="18"/>
        </w:rPr>
        <w:t> </w:t>
      </w:r>
      <w:r>
        <w:rPr>
          <w:sz w:val="18"/>
        </w:rPr>
        <w:t>please</w:t>
      </w:r>
      <w:r>
        <w:rPr>
          <w:spacing w:val="-4"/>
          <w:sz w:val="18"/>
        </w:rPr>
        <w:t> </w:t>
      </w:r>
      <w:r>
        <w:rPr>
          <w:sz w:val="18"/>
        </w:rPr>
        <w:t>contact</w:t>
      </w:r>
      <w:r>
        <w:rPr>
          <w:spacing w:val="-6"/>
          <w:sz w:val="18"/>
        </w:rPr>
        <w:t> </w:t>
      </w:r>
      <w:hyperlink r:id="rId40">
        <w:r>
          <w:rPr>
            <w:sz w:val="18"/>
          </w:rPr>
          <w:t>healthcarehomes@health.gov.au.</w:t>
        </w:r>
      </w:hyperlink>
    </w:p>
    <w:p>
      <w:pPr>
        <w:pStyle w:val="BodyText"/>
      </w:pPr>
    </w:p>
    <w:p>
      <w:pPr>
        <w:pStyle w:val="BodyText"/>
        <w:spacing w:before="4"/>
        <w:rPr>
          <w:sz w:val="21"/>
        </w:rPr>
      </w:pPr>
    </w:p>
    <w:p>
      <w:pPr>
        <w:pStyle w:val="ListParagraph"/>
        <w:numPr>
          <w:ilvl w:val="0"/>
          <w:numId w:val="41"/>
        </w:numPr>
        <w:tabs>
          <w:tab w:pos="567" w:val="left" w:leader="none"/>
          <w:tab w:pos="568" w:val="left" w:leader="none"/>
        </w:tabs>
        <w:spacing w:line="240" w:lineRule="auto" w:before="0" w:after="0"/>
        <w:ind w:left="567" w:right="0" w:hanging="428"/>
        <w:jc w:val="left"/>
        <w:rPr>
          <w:sz w:val="18"/>
        </w:rPr>
      </w:pPr>
      <w:r>
        <w:rPr>
          <w:sz w:val="18"/>
        </w:rPr>
        <w:t>Practice</w:t>
      </w:r>
      <w:r>
        <w:rPr>
          <w:spacing w:val="-4"/>
          <w:sz w:val="18"/>
        </w:rPr>
        <w:t> </w:t>
      </w:r>
      <w:r>
        <w:rPr>
          <w:sz w:val="18"/>
        </w:rPr>
        <w:t>/</w:t>
      </w:r>
      <w:r>
        <w:rPr>
          <w:spacing w:val="-4"/>
          <w:sz w:val="18"/>
        </w:rPr>
        <w:t> </w:t>
      </w:r>
      <w:r>
        <w:rPr>
          <w:sz w:val="18"/>
        </w:rPr>
        <w:t>service</w:t>
      </w:r>
      <w:r>
        <w:rPr>
          <w:spacing w:val="-3"/>
          <w:sz w:val="18"/>
        </w:rPr>
        <w:t> </w:t>
      </w:r>
      <w:r>
        <w:rPr>
          <w:sz w:val="18"/>
        </w:rPr>
        <w:t>name</w:t>
      </w:r>
    </w:p>
    <w:p>
      <w:pPr>
        <w:pStyle w:val="BodyText"/>
        <w:spacing w:before="7"/>
        <w:rPr>
          <w:sz w:val="19"/>
        </w:rPr>
      </w:pPr>
    </w:p>
    <w:p>
      <w:pPr>
        <w:pStyle w:val="ListParagraph"/>
        <w:numPr>
          <w:ilvl w:val="0"/>
          <w:numId w:val="41"/>
        </w:numPr>
        <w:tabs>
          <w:tab w:pos="567" w:val="left" w:leader="none"/>
          <w:tab w:pos="568" w:val="left" w:leader="none"/>
        </w:tabs>
        <w:spacing w:line="240" w:lineRule="auto" w:before="0" w:after="0"/>
        <w:ind w:left="567" w:right="0" w:hanging="428"/>
        <w:jc w:val="left"/>
        <w:rPr>
          <w:sz w:val="18"/>
        </w:rPr>
      </w:pPr>
      <w:r>
        <w:rPr>
          <w:sz w:val="18"/>
        </w:rPr>
        <w:t>Who</w:t>
      </w:r>
      <w:r>
        <w:rPr>
          <w:spacing w:val="-2"/>
          <w:sz w:val="18"/>
        </w:rPr>
        <w:t> </w:t>
      </w:r>
      <w:r>
        <w:rPr>
          <w:sz w:val="18"/>
        </w:rPr>
        <w:t>should</w:t>
      </w:r>
      <w:r>
        <w:rPr>
          <w:spacing w:val="-3"/>
          <w:sz w:val="18"/>
        </w:rPr>
        <w:t> </w:t>
      </w:r>
      <w:r>
        <w:rPr>
          <w:sz w:val="18"/>
        </w:rPr>
        <w:t>be</w:t>
      </w:r>
      <w:r>
        <w:rPr>
          <w:spacing w:val="-2"/>
          <w:sz w:val="18"/>
        </w:rPr>
        <w:t> </w:t>
      </w:r>
      <w:r>
        <w:rPr>
          <w:sz w:val="18"/>
        </w:rPr>
        <w:t>contacted</w:t>
      </w:r>
      <w:r>
        <w:rPr>
          <w:spacing w:val="-3"/>
          <w:sz w:val="18"/>
        </w:rPr>
        <w:t> </w:t>
      </w:r>
      <w:r>
        <w:rPr>
          <w:sz w:val="18"/>
        </w:rPr>
        <w:t>if</w:t>
      </w:r>
      <w:r>
        <w:rPr>
          <w:spacing w:val="-4"/>
          <w:sz w:val="18"/>
        </w:rPr>
        <w:t> </w:t>
      </w:r>
      <w:r>
        <w:rPr>
          <w:sz w:val="18"/>
        </w:rPr>
        <w:t>we</w:t>
      </w:r>
      <w:r>
        <w:rPr>
          <w:spacing w:val="-2"/>
          <w:sz w:val="18"/>
        </w:rPr>
        <w:t> </w:t>
      </w:r>
      <w:r>
        <w:rPr>
          <w:sz w:val="18"/>
        </w:rPr>
        <w:t>have</w:t>
      </w:r>
      <w:r>
        <w:rPr>
          <w:spacing w:val="-1"/>
          <w:sz w:val="18"/>
        </w:rPr>
        <w:t> </w:t>
      </w:r>
      <w:r>
        <w:rPr>
          <w:sz w:val="18"/>
        </w:rPr>
        <w:t>any</w:t>
      </w:r>
      <w:r>
        <w:rPr>
          <w:spacing w:val="-3"/>
          <w:sz w:val="18"/>
        </w:rPr>
        <w:t> </w:t>
      </w:r>
      <w:r>
        <w:rPr>
          <w:sz w:val="18"/>
        </w:rPr>
        <w:t>questions</w:t>
      </w:r>
      <w:r>
        <w:rPr>
          <w:spacing w:val="-5"/>
          <w:sz w:val="18"/>
        </w:rPr>
        <w:t> </w:t>
      </w:r>
      <w:r>
        <w:rPr>
          <w:sz w:val="18"/>
        </w:rPr>
        <w:t>about</w:t>
      </w:r>
      <w:r>
        <w:rPr>
          <w:spacing w:val="-4"/>
          <w:sz w:val="18"/>
        </w:rPr>
        <w:t> </w:t>
      </w:r>
      <w:r>
        <w:rPr>
          <w:sz w:val="18"/>
        </w:rPr>
        <w:t>your</w:t>
      </w:r>
      <w:r>
        <w:rPr>
          <w:spacing w:val="-2"/>
          <w:sz w:val="18"/>
        </w:rPr>
        <w:t> </w:t>
      </w:r>
      <w:r>
        <w:rPr>
          <w:sz w:val="18"/>
        </w:rPr>
        <w:t>responses</w:t>
      </w:r>
      <w:r>
        <w:rPr>
          <w:spacing w:val="-3"/>
          <w:sz w:val="18"/>
        </w:rPr>
        <w:t> </w:t>
      </w:r>
      <w:r>
        <w:rPr>
          <w:sz w:val="18"/>
        </w:rPr>
        <w:t>to</w:t>
      </w:r>
      <w:r>
        <w:rPr>
          <w:spacing w:val="-1"/>
          <w:sz w:val="18"/>
        </w:rPr>
        <w:t> </w:t>
      </w:r>
      <w:r>
        <w:rPr>
          <w:sz w:val="18"/>
        </w:rPr>
        <w:t>this</w:t>
      </w:r>
      <w:r>
        <w:rPr>
          <w:spacing w:val="-3"/>
          <w:sz w:val="18"/>
        </w:rPr>
        <w:t> </w:t>
      </w:r>
      <w:r>
        <w:rPr>
          <w:sz w:val="18"/>
        </w:rPr>
        <w:t>survey?</w:t>
      </w:r>
    </w:p>
    <w:p>
      <w:pPr>
        <w:pStyle w:val="BodyText"/>
        <w:spacing w:before="1"/>
        <w:rPr>
          <w:sz w:val="23"/>
        </w:rPr>
      </w:pPr>
    </w:p>
    <w:p>
      <w:pPr>
        <w:pStyle w:val="BodyText"/>
        <w:tabs>
          <w:tab w:pos="2300" w:val="left" w:leader="none"/>
          <w:tab w:pos="6444" w:val="left" w:leader="none"/>
        </w:tabs>
        <w:ind w:left="860"/>
      </w:pPr>
      <w:r>
        <w:rPr/>
        <w:t>Name</w:t>
      </w:r>
      <w:r>
        <w:rPr>
          <w:spacing w:val="54"/>
        </w:rPr>
        <w:t> </w:t>
      </w:r>
      <w:r>
        <w:rPr/>
        <w:t>(1)</w:t>
        <w:tab/>
      </w:r>
      <w:r>
        <w:rPr>
          <w:w w:val="99"/>
          <w:u w:val="single" w:color="BDBDBD"/>
        </w:rPr>
        <w:t> </w:t>
      </w:r>
      <w:r>
        <w:rPr>
          <w:u w:val="single" w:color="BDBDBD"/>
        </w:rPr>
        <w:tab/>
      </w:r>
    </w:p>
    <w:p>
      <w:pPr>
        <w:pStyle w:val="BodyText"/>
        <w:spacing w:before="1"/>
        <w:rPr>
          <w:sz w:val="11"/>
        </w:rPr>
      </w:pPr>
    </w:p>
    <w:p>
      <w:pPr>
        <w:tabs>
          <w:tab w:pos="2300" w:val="left" w:leader="none"/>
          <w:tab w:pos="6486" w:val="left" w:leader="none"/>
        </w:tabs>
        <w:spacing w:before="100"/>
        <w:ind w:left="860" w:right="0" w:firstLine="0"/>
        <w:jc w:val="left"/>
        <w:rPr>
          <w:sz w:val="18"/>
        </w:rPr>
      </w:pPr>
      <w:r>
        <w:rPr>
          <w:sz w:val="18"/>
        </w:rPr>
        <w:t>Phone</w:t>
      </w:r>
      <w:r>
        <w:rPr>
          <w:spacing w:val="45"/>
          <w:sz w:val="18"/>
        </w:rPr>
        <w:t> </w:t>
      </w:r>
      <w:r>
        <w:rPr>
          <w:sz w:val="18"/>
        </w:rPr>
        <w:t>(2)</w:t>
        <w:tab/>
      </w:r>
      <w:r>
        <w:rPr>
          <w:sz w:val="18"/>
          <w:u w:val="single" w:color="BDBDBD"/>
        </w:rPr>
        <w:t> </w:t>
        <w:tab/>
      </w:r>
    </w:p>
    <w:p>
      <w:pPr>
        <w:pStyle w:val="BodyText"/>
        <w:spacing w:before="10"/>
        <w:rPr>
          <w:sz w:val="10"/>
        </w:rPr>
      </w:pPr>
    </w:p>
    <w:p>
      <w:pPr>
        <w:tabs>
          <w:tab w:pos="2300" w:val="left" w:leader="none"/>
          <w:tab w:pos="6484" w:val="left" w:leader="none"/>
        </w:tabs>
        <w:spacing w:before="100"/>
        <w:ind w:left="860" w:right="0" w:firstLine="0"/>
        <w:jc w:val="left"/>
        <w:rPr>
          <w:sz w:val="18"/>
        </w:rPr>
      </w:pPr>
      <w:r>
        <w:rPr>
          <w:sz w:val="18"/>
        </w:rPr>
        <w:t>Email</w:t>
      </w:r>
      <w:r>
        <w:rPr>
          <w:spacing w:val="43"/>
          <w:sz w:val="18"/>
        </w:rPr>
        <w:t> </w:t>
      </w:r>
      <w:r>
        <w:rPr>
          <w:sz w:val="18"/>
        </w:rPr>
        <w:t>(3)</w:t>
        <w:tab/>
      </w:r>
      <w:r>
        <w:rPr>
          <w:sz w:val="18"/>
          <w:u w:val="single" w:color="BDBDBD"/>
        </w:rPr>
        <w:t> </w:t>
        <w:tab/>
      </w:r>
    </w:p>
    <w:p>
      <w:pPr>
        <w:pStyle w:val="BodyText"/>
        <w:spacing w:before="2"/>
        <w:rPr>
          <w:sz w:val="14"/>
        </w:rPr>
      </w:pPr>
    </w:p>
    <w:p>
      <w:pPr>
        <w:pStyle w:val="ListParagraph"/>
        <w:numPr>
          <w:ilvl w:val="0"/>
          <w:numId w:val="41"/>
        </w:numPr>
        <w:tabs>
          <w:tab w:pos="567" w:val="left" w:leader="none"/>
          <w:tab w:pos="568" w:val="left" w:leader="none"/>
        </w:tabs>
        <w:spacing w:line="240" w:lineRule="auto" w:before="100" w:after="0"/>
        <w:ind w:left="567" w:right="0" w:hanging="428"/>
        <w:jc w:val="left"/>
        <w:rPr>
          <w:sz w:val="18"/>
        </w:rPr>
      </w:pPr>
      <w:r>
        <w:rPr>
          <w:sz w:val="18"/>
        </w:rPr>
        <w:t>Locations</w:t>
      </w:r>
      <w:r>
        <w:rPr>
          <w:spacing w:val="-3"/>
          <w:sz w:val="18"/>
        </w:rPr>
        <w:t> </w:t>
      </w:r>
      <w:r>
        <w:rPr>
          <w:sz w:val="18"/>
        </w:rPr>
        <w:t>at</w:t>
      </w:r>
      <w:r>
        <w:rPr>
          <w:spacing w:val="-4"/>
          <w:sz w:val="18"/>
        </w:rPr>
        <w:t> </w:t>
      </w:r>
      <w:r>
        <w:rPr>
          <w:sz w:val="18"/>
        </w:rPr>
        <w:t>which</w:t>
      </w:r>
      <w:r>
        <w:rPr>
          <w:spacing w:val="-2"/>
          <w:sz w:val="18"/>
        </w:rPr>
        <w:t> </w:t>
      </w:r>
      <w:r>
        <w:rPr>
          <w:sz w:val="18"/>
        </w:rPr>
        <w:t>the</w:t>
      </w:r>
      <w:r>
        <w:rPr>
          <w:spacing w:val="-2"/>
          <w:sz w:val="18"/>
        </w:rPr>
        <w:t> </w:t>
      </w:r>
      <w:r>
        <w:rPr>
          <w:sz w:val="18"/>
        </w:rPr>
        <w:t>practice/</w:t>
      </w:r>
      <w:r>
        <w:rPr>
          <w:spacing w:val="-3"/>
          <w:sz w:val="18"/>
        </w:rPr>
        <w:t> </w:t>
      </w:r>
      <w:r>
        <w:rPr>
          <w:sz w:val="18"/>
        </w:rPr>
        <w:t>service</w:t>
      </w:r>
      <w:r>
        <w:rPr>
          <w:spacing w:val="-4"/>
          <w:sz w:val="18"/>
        </w:rPr>
        <w:t> </w:t>
      </w:r>
      <w:r>
        <w:rPr>
          <w:sz w:val="18"/>
        </w:rPr>
        <w:t>operates</w:t>
      </w:r>
    </w:p>
    <w:p>
      <w:pPr>
        <w:pStyle w:val="BodyText"/>
        <w:spacing w:before="10"/>
        <w:rPr>
          <w:sz w:val="22"/>
        </w:rPr>
      </w:pPr>
    </w:p>
    <w:tbl>
      <w:tblPr>
        <w:tblW w:w="0" w:type="auto"/>
        <w:jc w:val="left"/>
        <w:tblInd w:w="59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916"/>
        <w:gridCol w:w="1916"/>
        <w:gridCol w:w="1916"/>
        <w:gridCol w:w="1916"/>
        <w:gridCol w:w="1917"/>
      </w:tblGrid>
      <w:tr>
        <w:trPr>
          <w:trHeight w:val="441" w:hRule="atLeast"/>
        </w:trPr>
        <w:tc>
          <w:tcPr>
            <w:tcW w:w="1916" w:type="dxa"/>
            <w:shd w:val="clear" w:color="auto" w:fill="F1F1F1"/>
          </w:tcPr>
          <w:p>
            <w:pPr>
              <w:pStyle w:val="TableParagraph"/>
              <w:rPr>
                <w:rFonts w:ascii="Times New Roman"/>
                <w:sz w:val="18"/>
              </w:rPr>
            </w:pPr>
          </w:p>
        </w:tc>
        <w:tc>
          <w:tcPr>
            <w:tcW w:w="1916" w:type="dxa"/>
            <w:shd w:val="clear" w:color="auto" w:fill="F1F1F1"/>
          </w:tcPr>
          <w:p>
            <w:pPr>
              <w:pStyle w:val="TableParagraph"/>
              <w:spacing w:line="222" w:lineRule="exact"/>
              <w:ind w:left="556" w:right="120" w:hanging="418"/>
              <w:rPr>
                <w:sz w:val="18"/>
              </w:rPr>
            </w:pPr>
            <w:r>
              <w:rPr>
                <w:sz w:val="18"/>
              </w:rPr>
              <w:t>Street</w:t>
            </w:r>
            <w:r>
              <w:rPr>
                <w:spacing w:val="-7"/>
                <w:sz w:val="18"/>
              </w:rPr>
              <w:t> </w:t>
            </w:r>
            <w:r>
              <w:rPr>
                <w:sz w:val="18"/>
              </w:rPr>
              <w:t>number</w:t>
            </w:r>
            <w:r>
              <w:rPr>
                <w:spacing w:val="-3"/>
                <w:sz w:val="18"/>
              </w:rPr>
              <w:t> </w:t>
            </w:r>
            <w:r>
              <w:rPr>
                <w:sz w:val="18"/>
              </w:rPr>
              <w:t>and</w:t>
            </w:r>
            <w:r>
              <w:rPr>
                <w:spacing w:val="-47"/>
                <w:sz w:val="18"/>
              </w:rPr>
              <w:t> </w:t>
            </w:r>
            <w:r>
              <w:rPr>
                <w:sz w:val="18"/>
              </w:rPr>
              <w:t>name</w:t>
            </w:r>
            <w:r>
              <w:rPr>
                <w:spacing w:val="3"/>
                <w:sz w:val="18"/>
              </w:rPr>
              <w:t> </w:t>
            </w:r>
            <w:r>
              <w:rPr>
                <w:sz w:val="18"/>
              </w:rPr>
              <w:t>(1)</w:t>
            </w:r>
          </w:p>
        </w:tc>
        <w:tc>
          <w:tcPr>
            <w:tcW w:w="1916" w:type="dxa"/>
            <w:shd w:val="clear" w:color="auto" w:fill="F1F1F1"/>
          </w:tcPr>
          <w:p>
            <w:pPr>
              <w:pStyle w:val="TableParagraph"/>
              <w:spacing w:before="109"/>
              <w:ind w:left="243"/>
              <w:rPr>
                <w:sz w:val="18"/>
              </w:rPr>
            </w:pPr>
            <w:r>
              <w:rPr>
                <w:sz w:val="18"/>
              </w:rPr>
              <w:t>Suburb/Town</w:t>
            </w:r>
            <w:r>
              <w:rPr>
                <w:spacing w:val="-4"/>
                <w:sz w:val="18"/>
              </w:rPr>
              <w:t> </w:t>
            </w:r>
            <w:r>
              <w:rPr>
                <w:sz w:val="18"/>
              </w:rPr>
              <w:t>(2)</w:t>
            </w:r>
          </w:p>
        </w:tc>
        <w:tc>
          <w:tcPr>
            <w:tcW w:w="1916" w:type="dxa"/>
            <w:shd w:val="clear" w:color="auto" w:fill="F1F1F1"/>
          </w:tcPr>
          <w:p>
            <w:pPr>
              <w:pStyle w:val="TableParagraph"/>
              <w:spacing w:before="109"/>
              <w:ind w:left="589"/>
              <w:rPr>
                <w:sz w:val="18"/>
              </w:rPr>
            </w:pPr>
            <w:r>
              <w:rPr>
                <w:sz w:val="18"/>
              </w:rPr>
              <w:t>State (3)</w:t>
            </w:r>
          </w:p>
        </w:tc>
        <w:tc>
          <w:tcPr>
            <w:tcW w:w="1917" w:type="dxa"/>
            <w:shd w:val="clear" w:color="auto" w:fill="F1F1F1"/>
          </w:tcPr>
          <w:p>
            <w:pPr>
              <w:pStyle w:val="TableParagraph"/>
              <w:spacing w:before="109"/>
              <w:ind w:left="396"/>
              <w:rPr>
                <w:sz w:val="18"/>
              </w:rPr>
            </w:pPr>
            <w:r>
              <w:rPr>
                <w:sz w:val="18"/>
              </w:rPr>
              <w:t>Postcode</w:t>
            </w:r>
            <w:r>
              <w:rPr>
                <w:spacing w:val="-1"/>
                <w:sz w:val="18"/>
              </w:rPr>
              <w:t> </w:t>
            </w:r>
            <w:r>
              <w:rPr>
                <w:sz w:val="18"/>
              </w:rPr>
              <w:t>(4)</w:t>
            </w:r>
          </w:p>
        </w:tc>
      </w:tr>
      <w:tr>
        <w:trPr>
          <w:trHeight w:val="218" w:hRule="atLeast"/>
        </w:trPr>
        <w:tc>
          <w:tcPr>
            <w:tcW w:w="1916" w:type="dxa"/>
          </w:tcPr>
          <w:p>
            <w:pPr>
              <w:pStyle w:val="TableParagraph"/>
              <w:spacing w:line="198" w:lineRule="exact"/>
              <w:ind w:left="768"/>
              <w:rPr>
                <w:sz w:val="18"/>
              </w:rPr>
            </w:pPr>
            <w:r>
              <w:rPr>
                <w:sz w:val="18"/>
              </w:rPr>
              <w:t>1</w:t>
            </w:r>
            <w:r>
              <w:rPr>
                <w:spacing w:val="-1"/>
                <w:sz w:val="18"/>
              </w:rPr>
              <w:t> </w:t>
            </w:r>
            <w:r>
              <w:rPr>
                <w:sz w:val="18"/>
              </w:rPr>
              <w:t>(1)</w:t>
            </w:r>
          </w:p>
        </w:tc>
        <w:tc>
          <w:tcPr>
            <w:tcW w:w="1916" w:type="dxa"/>
          </w:tcPr>
          <w:p>
            <w:pPr>
              <w:pStyle w:val="TableParagraph"/>
              <w:rPr>
                <w:rFonts w:ascii="Times New Roman"/>
                <w:sz w:val="14"/>
              </w:rPr>
            </w:pPr>
          </w:p>
        </w:tc>
        <w:tc>
          <w:tcPr>
            <w:tcW w:w="1916" w:type="dxa"/>
          </w:tcPr>
          <w:p>
            <w:pPr>
              <w:pStyle w:val="TableParagraph"/>
              <w:rPr>
                <w:rFonts w:ascii="Times New Roman"/>
                <w:sz w:val="14"/>
              </w:rPr>
            </w:pPr>
          </w:p>
        </w:tc>
        <w:tc>
          <w:tcPr>
            <w:tcW w:w="1916" w:type="dxa"/>
          </w:tcPr>
          <w:p>
            <w:pPr>
              <w:pStyle w:val="TableParagraph"/>
              <w:rPr>
                <w:rFonts w:ascii="Times New Roman"/>
                <w:sz w:val="14"/>
              </w:rPr>
            </w:pPr>
          </w:p>
        </w:tc>
        <w:tc>
          <w:tcPr>
            <w:tcW w:w="1917" w:type="dxa"/>
          </w:tcPr>
          <w:p>
            <w:pPr>
              <w:pStyle w:val="TableParagraph"/>
              <w:rPr>
                <w:rFonts w:ascii="Times New Roman"/>
                <w:sz w:val="14"/>
              </w:rPr>
            </w:pPr>
          </w:p>
        </w:tc>
      </w:tr>
      <w:tr>
        <w:trPr>
          <w:trHeight w:val="220" w:hRule="atLeast"/>
        </w:trPr>
        <w:tc>
          <w:tcPr>
            <w:tcW w:w="1916" w:type="dxa"/>
          </w:tcPr>
          <w:p>
            <w:pPr>
              <w:pStyle w:val="TableParagraph"/>
              <w:spacing w:line="200" w:lineRule="exact"/>
              <w:ind w:left="768"/>
              <w:rPr>
                <w:sz w:val="18"/>
              </w:rPr>
            </w:pPr>
            <w:r>
              <w:rPr>
                <w:sz w:val="18"/>
              </w:rPr>
              <w:t>2</w:t>
            </w:r>
            <w:r>
              <w:rPr>
                <w:spacing w:val="-1"/>
                <w:sz w:val="18"/>
              </w:rPr>
              <w:t> </w:t>
            </w:r>
            <w:r>
              <w:rPr>
                <w:sz w:val="18"/>
              </w:rPr>
              <w:t>(2)</w:t>
            </w:r>
          </w:p>
        </w:tc>
        <w:tc>
          <w:tcPr>
            <w:tcW w:w="1916" w:type="dxa"/>
          </w:tcPr>
          <w:p>
            <w:pPr>
              <w:pStyle w:val="TableParagraph"/>
              <w:rPr>
                <w:rFonts w:ascii="Times New Roman"/>
                <w:sz w:val="14"/>
              </w:rPr>
            </w:pPr>
          </w:p>
        </w:tc>
        <w:tc>
          <w:tcPr>
            <w:tcW w:w="1916" w:type="dxa"/>
          </w:tcPr>
          <w:p>
            <w:pPr>
              <w:pStyle w:val="TableParagraph"/>
              <w:rPr>
                <w:rFonts w:ascii="Times New Roman"/>
                <w:sz w:val="14"/>
              </w:rPr>
            </w:pPr>
          </w:p>
        </w:tc>
        <w:tc>
          <w:tcPr>
            <w:tcW w:w="1916" w:type="dxa"/>
          </w:tcPr>
          <w:p>
            <w:pPr>
              <w:pStyle w:val="TableParagraph"/>
              <w:rPr>
                <w:rFonts w:ascii="Times New Roman"/>
                <w:sz w:val="14"/>
              </w:rPr>
            </w:pPr>
          </w:p>
        </w:tc>
        <w:tc>
          <w:tcPr>
            <w:tcW w:w="1917" w:type="dxa"/>
          </w:tcPr>
          <w:p>
            <w:pPr>
              <w:pStyle w:val="TableParagraph"/>
              <w:rPr>
                <w:rFonts w:ascii="Times New Roman"/>
                <w:sz w:val="14"/>
              </w:rPr>
            </w:pPr>
          </w:p>
        </w:tc>
      </w:tr>
      <w:tr>
        <w:trPr>
          <w:trHeight w:val="220" w:hRule="atLeast"/>
        </w:trPr>
        <w:tc>
          <w:tcPr>
            <w:tcW w:w="1916" w:type="dxa"/>
          </w:tcPr>
          <w:p>
            <w:pPr>
              <w:pStyle w:val="TableParagraph"/>
              <w:spacing w:line="200" w:lineRule="exact"/>
              <w:ind w:left="768"/>
              <w:rPr>
                <w:sz w:val="18"/>
              </w:rPr>
            </w:pPr>
            <w:r>
              <w:rPr>
                <w:sz w:val="18"/>
              </w:rPr>
              <w:t>3</w:t>
            </w:r>
            <w:r>
              <w:rPr>
                <w:spacing w:val="-1"/>
                <w:sz w:val="18"/>
              </w:rPr>
              <w:t> </w:t>
            </w:r>
            <w:r>
              <w:rPr>
                <w:sz w:val="18"/>
              </w:rPr>
              <w:t>(3)</w:t>
            </w:r>
          </w:p>
        </w:tc>
        <w:tc>
          <w:tcPr>
            <w:tcW w:w="1916" w:type="dxa"/>
          </w:tcPr>
          <w:p>
            <w:pPr>
              <w:pStyle w:val="TableParagraph"/>
              <w:rPr>
                <w:rFonts w:ascii="Times New Roman"/>
                <w:sz w:val="14"/>
              </w:rPr>
            </w:pPr>
          </w:p>
        </w:tc>
        <w:tc>
          <w:tcPr>
            <w:tcW w:w="1916" w:type="dxa"/>
          </w:tcPr>
          <w:p>
            <w:pPr>
              <w:pStyle w:val="TableParagraph"/>
              <w:rPr>
                <w:rFonts w:ascii="Times New Roman"/>
                <w:sz w:val="14"/>
              </w:rPr>
            </w:pPr>
          </w:p>
        </w:tc>
        <w:tc>
          <w:tcPr>
            <w:tcW w:w="1916" w:type="dxa"/>
          </w:tcPr>
          <w:p>
            <w:pPr>
              <w:pStyle w:val="TableParagraph"/>
              <w:rPr>
                <w:rFonts w:ascii="Times New Roman"/>
                <w:sz w:val="14"/>
              </w:rPr>
            </w:pPr>
          </w:p>
        </w:tc>
        <w:tc>
          <w:tcPr>
            <w:tcW w:w="1917" w:type="dxa"/>
          </w:tcPr>
          <w:p>
            <w:pPr>
              <w:pStyle w:val="TableParagraph"/>
              <w:rPr>
                <w:rFonts w:ascii="Times New Roman"/>
                <w:sz w:val="14"/>
              </w:rPr>
            </w:pPr>
          </w:p>
        </w:tc>
      </w:tr>
      <w:tr>
        <w:trPr>
          <w:trHeight w:val="222" w:hRule="atLeast"/>
        </w:trPr>
        <w:tc>
          <w:tcPr>
            <w:tcW w:w="1916" w:type="dxa"/>
          </w:tcPr>
          <w:p>
            <w:pPr>
              <w:pStyle w:val="TableParagraph"/>
              <w:spacing w:line="202" w:lineRule="exact" w:before="1"/>
              <w:ind w:left="768"/>
              <w:rPr>
                <w:sz w:val="18"/>
              </w:rPr>
            </w:pPr>
            <w:r>
              <w:rPr>
                <w:sz w:val="18"/>
              </w:rPr>
              <w:t>4</w:t>
            </w:r>
            <w:r>
              <w:rPr>
                <w:spacing w:val="-1"/>
                <w:sz w:val="18"/>
              </w:rPr>
              <w:t> </w:t>
            </w:r>
            <w:r>
              <w:rPr>
                <w:sz w:val="18"/>
              </w:rPr>
              <w:t>(4)</w:t>
            </w:r>
          </w:p>
        </w:tc>
        <w:tc>
          <w:tcPr>
            <w:tcW w:w="1916" w:type="dxa"/>
          </w:tcPr>
          <w:p>
            <w:pPr>
              <w:pStyle w:val="TableParagraph"/>
              <w:rPr>
                <w:rFonts w:ascii="Times New Roman"/>
                <w:sz w:val="14"/>
              </w:rPr>
            </w:pPr>
          </w:p>
        </w:tc>
        <w:tc>
          <w:tcPr>
            <w:tcW w:w="1916" w:type="dxa"/>
          </w:tcPr>
          <w:p>
            <w:pPr>
              <w:pStyle w:val="TableParagraph"/>
              <w:rPr>
                <w:rFonts w:ascii="Times New Roman"/>
                <w:sz w:val="14"/>
              </w:rPr>
            </w:pPr>
          </w:p>
        </w:tc>
        <w:tc>
          <w:tcPr>
            <w:tcW w:w="1916" w:type="dxa"/>
          </w:tcPr>
          <w:p>
            <w:pPr>
              <w:pStyle w:val="TableParagraph"/>
              <w:rPr>
                <w:rFonts w:ascii="Times New Roman"/>
                <w:sz w:val="14"/>
              </w:rPr>
            </w:pPr>
          </w:p>
        </w:tc>
        <w:tc>
          <w:tcPr>
            <w:tcW w:w="1917" w:type="dxa"/>
          </w:tcPr>
          <w:p>
            <w:pPr>
              <w:pStyle w:val="TableParagraph"/>
              <w:rPr>
                <w:rFonts w:ascii="Times New Roman"/>
                <w:sz w:val="14"/>
              </w:rPr>
            </w:pPr>
          </w:p>
        </w:tc>
      </w:tr>
      <w:tr>
        <w:trPr>
          <w:trHeight w:val="220" w:hRule="atLeast"/>
        </w:trPr>
        <w:tc>
          <w:tcPr>
            <w:tcW w:w="1916" w:type="dxa"/>
          </w:tcPr>
          <w:p>
            <w:pPr>
              <w:pStyle w:val="TableParagraph"/>
              <w:spacing w:line="200" w:lineRule="exact"/>
              <w:ind w:left="768"/>
              <w:rPr>
                <w:sz w:val="18"/>
              </w:rPr>
            </w:pPr>
            <w:r>
              <w:rPr>
                <w:sz w:val="18"/>
              </w:rPr>
              <w:t>5</w:t>
            </w:r>
            <w:r>
              <w:rPr>
                <w:spacing w:val="-1"/>
                <w:sz w:val="18"/>
              </w:rPr>
              <w:t> </w:t>
            </w:r>
            <w:r>
              <w:rPr>
                <w:sz w:val="18"/>
              </w:rPr>
              <w:t>(5)</w:t>
            </w:r>
          </w:p>
        </w:tc>
        <w:tc>
          <w:tcPr>
            <w:tcW w:w="1916" w:type="dxa"/>
          </w:tcPr>
          <w:p>
            <w:pPr>
              <w:pStyle w:val="TableParagraph"/>
              <w:rPr>
                <w:rFonts w:ascii="Times New Roman"/>
                <w:sz w:val="14"/>
              </w:rPr>
            </w:pPr>
          </w:p>
        </w:tc>
        <w:tc>
          <w:tcPr>
            <w:tcW w:w="1916" w:type="dxa"/>
          </w:tcPr>
          <w:p>
            <w:pPr>
              <w:pStyle w:val="TableParagraph"/>
              <w:rPr>
                <w:rFonts w:ascii="Times New Roman"/>
                <w:sz w:val="14"/>
              </w:rPr>
            </w:pPr>
          </w:p>
        </w:tc>
        <w:tc>
          <w:tcPr>
            <w:tcW w:w="1916" w:type="dxa"/>
          </w:tcPr>
          <w:p>
            <w:pPr>
              <w:pStyle w:val="TableParagraph"/>
              <w:rPr>
                <w:rFonts w:ascii="Times New Roman"/>
                <w:sz w:val="14"/>
              </w:rPr>
            </w:pPr>
          </w:p>
        </w:tc>
        <w:tc>
          <w:tcPr>
            <w:tcW w:w="1917" w:type="dxa"/>
          </w:tcPr>
          <w:p>
            <w:pPr>
              <w:pStyle w:val="TableParagraph"/>
              <w:rPr>
                <w:rFonts w:ascii="Times New Roman"/>
                <w:sz w:val="14"/>
              </w:rPr>
            </w:pPr>
          </w:p>
        </w:tc>
      </w:tr>
    </w:tbl>
    <w:p>
      <w:pPr>
        <w:pStyle w:val="BodyText"/>
        <w:spacing w:before="8"/>
        <w:rPr>
          <w:sz w:val="19"/>
        </w:rPr>
      </w:pPr>
    </w:p>
    <w:p>
      <w:pPr>
        <w:pStyle w:val="ListParagraph"/>
        <w:numPr>
          <w:ilvl w:val="0"/>
          <w:numId w:val="41"/>
        </w:numPr>
        <w:tabs>
          <w:tab w:pos="567" w:val="left" w:leader="none"/>
          <w:tab w:pos="568" w:val="left" w:leader="none"/>
        </w:tabs>
        <w:spacing w:line="240" w:lineRule="auto" w:before="0" w:after="0"/>
        <w:ind w:left="567" w:right="0" w:hanging="428"/>
        <w:jc w:val="left"/>
        <w:rPr>
          <w:sz w:val="18"/>
        </w:rPr>
      </w:pPr>
      <w:r>
        <w:rPr>
          <w:sz w:val="18"/>
        </w:rPr>
        <w:t>Is</w:t>
      </w:r>
      <w:r>
        <w:rPr>
          <w:spacing w:val="-4"/>
          <w:sz w:val="18"/>
        </w:rPr>
        <w:t> </w:t>
      </w:r>
      <w:r>
        <w:rPr>
          <w:sz w:val="18"/>
        </w:rPr>
        <w:t>the</w:t>
      </w:r>
      <w:r>
        <w:rPr>
          <w:spacing w:val="-2"/>
          <w:sz w:val="18"/>
        </w:rPr>
        <w:t> </w:t>
      </w:r>
      <w:r>
        <w:rPr>
          <w:sz w:val="18"/>
        </w:rPr>
        <w:t>practice/</w:t>
      </w:r>
      <w:r>
        <w:rPr>
          <w:spacing w:val="-3"/>
          <w:sz w:val="18"/>
        </w:rPr>
        <w:t> </w:t>
      </w:r>
      <w:r>
        <w:rPr>
          <w:sz w:val="18"/>
        </w:rPr>
        <w:t>service</w:t>
      </w:r>
      <w:r>
        <w:rPr>
          <w:spacing w:val="-4"/>
          <w:sz w:val="18"/>
        </w:rPr>
        <w:t> </w:t>
      </w:r>
      <w:r>
        <w:rPr>
          <w:sz w:val="18"/>
        </w:rPr>
        <w:t>part</w:t>
      </w:r>
      <w:r>
        <w:rPr>
          <w:spacing w:val="-5"/>
          <w:sz w:val="18"/>
        </w:rPr>
        <w:t> </w:t>
      </w:r>
      <w:r>
        <w:rPr>
          <w:sz w:val="18"/>
        </w:rPr>
        <w:t>of</w:t>
      </w:r>
      <w:r>
        <w:rPr>
          <w:spacing w:val="-3"/>
          <w:sz w:val="18"/>
        </w:rPr>
        <w:t> </w:t>
      </w:r>
      <w:r>
        <w:rPr>
          <w:sz w:val="18"/>
        </w:rPr>
        <w:t>a</w:t>
      </w:r>
      <w:r>
        <w:rPr>
          <w:spacing w:val="-2"/>
          <w:sz w:val="18"/>
        </w:rPr>
        <w:t> </w:t>
      </w:r>
      <w:r>
        <w:rPr>
          <w:sz w:val="18"/>
        </w:rPr>
        <w:t>larger</w:t>
      </w:r>
      <w:r>
        <w:rPr>
          <w:spacing w:val="-3"/>
          <w:sz w:val="18"/>
        </w:rPr>
        <w:t> </w:t>
      </w:r>
      <w:r>
        <w:rPr>
          <w:sz w:val="18"/>
        </w:rPr>
        <w:t>group/</w:t>
      </w:r>
      <w:r>
        <w:rPr>
          <w:spacing w:val="-2"/>
          <w:sz w:val="18"/>
        </w:rPr>
        <w:t> </w:t>
      </w:r>
      <w:r>
        <w:rPr>
          <w:sz w:val="18"/>
        </w:rPr>
        <w:t>organisation?</w:t>
      </w:r>
      <w:r>
        <w:rPr>
          <w:spacing w:val="-5"/>
          <w:sz w:val="18"/>
        </w:rPr>
        <w:t> </w:t>
      </w:r>
      <w:r>
        <w:rPr>
          <w:sz w:val="18"/>
        </w:rPr>
        <w:t>If</w:t>
      </w:r>
      <w:r>
        <w:rPr>
          <w:spacing w:val="-5"/>
          <w:sz w:val="18"/>
        </w:rPr>
        <w:t> </w:t>
      </w:r>
      <w:r>
        <w:rPr>
          <w:sz w:val="18"/>
        </w:rPr>
        <w:t>yes,</w:t>
      </w:r>
      <w:r>
        <w:rPr>
          <w:spacing w:val="-5"/>
          <w:sz w:val="18"/>
        </w:rPr>
        <w:t> </w:t>
      </w:r>
      <w:r>
        <w:rPr>
          <w:sz w:val="18"/>
        </w:rPr>
        <w:t>please</w:t>
      </w:r>
      <w:r>
        <w:rPr>
          <w:spacing w:val="-2"/>
          <w:sz w:val="18"/>
        </w:rPr>
        <w:t> </w:t>
      </w:r>
      <w:r>
        <w:rPr>
          <w:sz w:val="18"/>
        </w:rPr>
        <w:t>provide</w:t>
      </w:r>
      <w:r>
        <w:rPr>
          <w:spacing w:val="-3"/>
          <w:sz w:val="18"/>
        </w:rPr>
        <w:t> </w:t>
      </w:r>
      <w:r>
        <w:rPr>
          <w:sz w:val="18"/>
        </w:rPr>
        <w:t>the</w:t>
      </w:r>
      <w:r>
        <w:rPr>
          <w:spacing w:val="-2"/>
          <w:sz w:val="18"/>
        </w:rPr>
        <w:t> </w:t>
      </w:r>
      <w:r>
        <w:rPr>
          <w:sz w:val="18"/>
        </w:rPr>
        <w:t>name</w:t>
      </w:r>
      <w:r>
        <w:rPr>
          <w:spacing w:val="-3"/>
          <w:sz w:val="18"/>
        </w:rPr>
        <w:t> </w:t>
      </w:r>
      <w:r>
        <w:rPr>
          <w:sz w:val="18"/>
        </w:rPr>
        <w:t>of</w:t>
      </w:r>
      <w:r>
        <w:rPr>
          <w:spacing w:val="-1"/>
          <w:sz w:val="18"/>
        </w:rPr>
        <w:t> </w:t>
      </w:r>
      <w:r>
        <w:rPr>
          <w:sz w:val="18"/>
        </w:rPr>
        <w:t>the</w:t>
      </w:r>
      <w:r>
        <w:rPr>
          <w:spacing w:val="-3"/>
          <w:sz w:val="18"/>
        </w:rPr>
        <w:t> </w:t>
      </w:r>
      <w:r>
        <w:rPr>
          <w:sz w:val="18"/>
        </w:rPr>
        <w:t>organisation.</w:t>
      </w:r>
    </w:p>
    <w:p>
      <w:pPr>
        <w:pStyle w:val="BodyText"/>
        <w:spacing w:before="7"/>
        <w:rPr>
          <w:sz w:val="14"/>
        </w:rPr>
      </w:pPr>
    </w:p>
    <w:p>
      <w:pPr>
        <w:spacing w:before="100"/>
        <w:ind w:left="1491" w:right="0" w:firstLine="0"/>
        <w:jc w:val="left"/>
        <w:rPr>
          <w:sz w:val="18"/>
        </w:rPr>
      </w:pPr>
      <w:r>
        <w:rPr/>
        <w:drawing>
          <wp:anchor distT="0" distB="0" distL="0" distR="0" allowOverlap="1" layoutInCell="1" locked="0" behindDoc="0" simplePos="0" relativeHeight="15746048">
            <wp:simplePos x="0" y="0"/>
            <wp:positionH relativeFrom="page">
              <wp:posOffset>1102145</wp:posOffset>
            </wp:positionH>
            <wp:positionV relativeFrom="paragraph">
              <wp:posOffset>107333</wp:posOffset>
            </wp:positionV>
            <wp:extent cx="58380" cy="72151"/>
            <wp:effectExtent l="0" t="0" r="0" b="0"/>
            <wp:wrapNone/>
            <wp:docPr id="23" name="image13.png"/>
            <wp:cNvGraphicFramePr>
              <a:graphicFrameLocks noChangeAspect="1"/>
            </wp:cNvGraphicFramePr>
            <a:graphic>
              <a:graphicData uri="http://schemas.openxmlformats.org/drawingml/2006/picture">
                <pic:pic>
                  <pic:nvPicPr>
                    <pic:cNvPr id="2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Yes</w:t>
      </w:r>
      <w:r>
        <w:rPr>
          <w:spacing w:val="49"/>
          <w:sz w:val="18"/>
        </w:rPr>
        <w:t> </w:t>
      </w:r>
      <w:r>
        <w:rPr>
          <w:sz w:val="18"/>
        </w:rPr>
        <w:t>(2)</w:t>
      </w:r>
    </w:p>
    <w:p>
      <w:pPr>
        <w:spacing w:before="0"/>
        <w:ind w:left="1491" w:right="0" w:firstLine="0"/>
        <w:jc w:val="left"/>
        <w:rPr>
          <w:sz w:val="18"/>
        </w:rPr>
      </w:pPr>
      <w:r>
        <w:rPr/>
        <w:drawing>
          <wp:anchor distT="0" distB="0" distL="0" distR="0" allowOverlap="1" layoutInCell="1" locked="0" behindDoc="0" simplePos="0" relativeHeight="15746560">
            <wp:simplePos x="0" y="0"/>
            <wp:positionH relativeFrom="page">
              <wp:posOffset>1102145</wp:posOffset>
            </wp:positionH>
            <wp:positionV relativeFrom="paragraph">
              <wp:posOffset>43833</wp:posOffset>
            </wp:positionV>
            <wp:extent cx="58380" cy="72151"/>
            <wp:effectExtent l="0" t="0" r="0" b="0"/>
            <wp:wrapNone/>
            <wp:docPr id="25" name="image13.png"/>
            <wp:cNvGraphicFramePr>
              <a:graphicFrameLocks noChangeAspect="1"/>
            </wp:cNvGraphicFramePr>
            <a:graphic>
              <a:graphicData uri="http://schemas.openxmlformats.org/drawingml/2006/picture">
                <pic:pic>
                  <pic:nvPicPr>
                    <pic:cNvPr id="2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w:t>
      </w:r>
      <w:r>
        <w:rPr>
          <w:spacing w:val="49"/>
          <w:sz w:val="18"/>
        </w:rPr>
        <w:t> </w:t>
      </w:r>
      <w:r>
        <w:rPr>
          <w:sz w:val="18"/>
        </w:rPr>
        <w:t>(1)</w:t>
      </w:r>
    </w:p>
    <w:p>
      <w:pPr>
        <w:spacing w:after="0"/>
        <w:jc w:val="left"/>
        <w:rPr>
          <w:sz w:val="18"/>
        </w:rPr>
        <w:sectPr>
          <w:footerReference w:type="default" r:id="rId37"/>
          <w:pgSz w:w="11910" w:h="16840"/>
          <w:pgMar w:footer="948" w:header="0" w:top="860" w:bottom="1140" w:left="580" w:right="280"/>
        </w:sectPr>
      </w:pPr>
    </w:p>
    <w:p>
      <w:pPr>
        <w:pStyle w:val="ListParagraph"/>
        <w:numPr>
          <w:ilvl w:val="0"/>
          <w:numId w:val="41"/>
        </w:numPr>
        <w:tabs>
          <w:tab w:pos="567" w:val="left" w:leader="none"/>
          <w:tab w:pos="568" w:val="left" w:leader="none"/>
        </w:tabs>
        <w:spacing w:line="240" w:lineRule="auto" w:before="75" w:after="0"/>
        <w:ind w:left="567" w:right="584" w:hanging="428"/>
        <w:jc w:val="left"/>
        <w:rPr>
          <w:sz w:val="18"/>
        </w:rPr>
      </w:pPr>
      <w:r>
        <w:rPr>
          <w:sz w:val="18"/>
        </w:rPr>
        <w:t>What</w:t>
      </w:r>
      <w:r>
        <w:rPr>
          <w:spacing w:val="-2"/>
          <w:sz w:val="18"/>
        </w:rPr>
        <w:t> </w:t>
      </w:r>
      <w:r>
        <w:rPr>
          <w:sz w:val="18"/>
        </w:rPr>
        <w:t>type</w:t>
      </w:r>
      <w:r>
        <w:rPr>
          <w:spacing w:val="-3"/>
          <w:sz w:val="18"/>
        </w:rPr>
        <w:t> </w:t>
      </w:r>
      <w:r>
        <w:rPr>
          <w:sz w:val="18"/>
        </w:rPr>
        <w:t>of</w:t>
      </w:r>
      <w:r>
        <w:rPr>
          <w:spacing w:val="-1"/>
          <w:sz w:val="18"/>
        </w:rPr>
        <w:t> </w:t>
      </w:r>
      <w:r>
        <w:rPr>
          <w:sz w:val="18"/>
        </w:rPr>
        <w:t>organisation</w:t>
      </w:r>
      <w:r>
        <w:rPr>
          <w:spacing w:val="-6"/>
          <w:sz w:val="18"/>
        </w:rPr>
        <w:t> </w:t>
      </w:r>
      <w:r>
        <w:rPr>
          <w:sz w:val="18"/>
        </w:rPr>
        <w:t>is</w:t>
      </w:r>
      <w:r>
        <w:rPr>
          <w:spacing w:val="-4"/>
          <w:sz w:val="18"/>
        </w:rPr>
        <w:t> </w:t>
      </w:r>
      <w:r>
        <w:rPr>
          <w:sz w:val="18"/>
        </w:rPr>
        <w:t>the</w:t>
      </w:r>
      <w:r>
        <w:rPr>
          <w:spacing w:val="-2"/>
          <w:sz w:val="18"/>
        </w:rPr>
        <w:t> </w:t>
      </w:r>
      <w:r>
        <w:rPr>
          <w:sz w:val="18"/>
        </w:rPr>
        <w:t>practice/</w:t>
      </w:r>
      <w:r>
        <w:rPr>
          <w:spacing w:val="-3"/>
          <w:sz w:val="18"/>
        </w:rPr>
        <w:t> </w:t>
      </w:r>
      <w:r>
        <w:rPr>
          <w:sz w:val="18"/>
        </w:rPr>
        <w:t>service (or</w:t>
      </w:r>
      <w:r>
        <w:rPr>
          <w:spacing w:val="-2"/>
          <w:sz w:val="18"/>
        </w:rPr>
        <w:t> </w:t>
      </w:r>
      <w:r>
        <w:rPr>
          <w:sz w:val="18"/>
        </w:rPr>
        <w:t>group/</w:t>
      </w:r>
      <w:r>
        <w:rPr>
          <w:spacing w:val="-3"/>
          <w:sz w:val="18"/>
        </w:rPr>
        <w:t> </w:t>
      </w:r>
      <w:r>
        <w:rPr>
          <w:sz w:val="18"/>
        </w:rPr>
        <w:t>organisation</w:t>
      </w:r>
      <w:r>
        <w:rPr>
          <w:spacing w:val="-4"/>
          <w:sz w:val="18"/>
        </w:rPr>
        <w:t> </w:t>
      </w:r>
      <w:r>
        <w:rPr>
          <w:sz w:val="18"/>
        </w:rPr>
        <w:t>if</w:t>
      </w:r>
      <w:r>
        <w:rPr>
          <w:spacing w:val="-4"/>
          <w:sz w:val="18"/>
        </w:rPr>
        <w:t> </w:t>
      </w:r>
      <w:r>
        <w:rPr>
          <w:sz w:val="18"/>
        </w:rPr>
        <w:t>the</w:t>
      </w:r>
      <w:r>
        <w:rPr>
          <w:spacing w:val="-3"/>
          <w:sz w:val="18"/>
        </w:rPr>
        <w:t> </w:t>
      </w:r>
      <w:r>
        <w:rPr>
          <w:sz w:val="18"/>
        </w:rPr>
        <w:t>practice/</w:t>
      </w:r>
      <w:r>
        <w:rPr>
          <w:spacing w:val="-2"/>
          <w:sz w:val="18"/>
        </w:rPr>
        <w:t> </w:t>
      </w:r>
      <w:r>
        <w:rPr>
          <w:sz w:val="18"/>
        </w:rPr>
        <w:t>service</w:t>
      </w:r>
      <w:r>
        <w:rPr>
          <w:spacing w:val="-5"/>
          <w:sz w:val="18"/>
        </w:rPr>
        <w:t> </w:t>
      </w:r>
      <w:r>
        <w:rPr>
          <w:sz w:val="18"/>
        </w:rPr>
        <w:t>is</w:t>
      </w:r>
      <w:r>
        <w:rPr>
          <w:spacing w:val="-3"/>
          <w:sz w:val="18"/>
        </w:rPr>
        <w:t> </w:t>
      </w:r>
      <w:r>
        <w:rPr>
          <w:sz w:val="18"/>
        </w:rPr>
        <w:t>part</w:t>
      </w:r>
      <w:r>
        <w:rPr>
          <w:spacing w:val="-5"/>
          <w:sz w:val="18"/>
        </w:rPr>
        <w:t> </w:t>
      </w:r>
      <w:r>
        <w:rPr>
          <w:sz w:val="18"/>
        </w:rPr>
        <w:t>of</w:t>
      </w:r>
      <w:r>
        <w:rPr>
          <w:spacing w:val="-4"/>
          <w:sz w:val="18"/>
        </w:rPr>
        <w:t> </w:t>
      </w:r>
      <w:r>
        <w:rPr>
          <w:sz w:val="18"/>
        </w:rPr>
        <w:t>a</w:t>
      </w:r>
      <w:r>
        <w:rPr>
          <w:spacing w:val="-3"/>
          <w:sz w:val="18"/>
        </w:rPr>
        <w:t> </w:t>
      </w:r>
      <w:r>
        <w:rPr>
          <w:sz w:val="18"/>
        </w:rPr>
        <w:t>larger</w:t>
      </w:r>
      <w:r>
        <w:rPr>
          <w:spacing w:val="1"/>
          <w:sz w:val="18"/>
        </w:rPr>
        <w:t> </w:t>
      </w:r>
      <w:r>
        <w:rPr>
          <w:sz w:val="18"/>
        </w:rPr>
        <w:t>group/</w:t>
      </w:r>
      <w:r>
        <w:rPr>
          <w:spacing w:val="-1"/>
          <w:sz w:val="18"/>
        </w:rPr>
        <w:t> </w:t>
      </w:r>
      <w:r>
        <w:rPr>
          <w:sz w:val="18"/>
        </w:rPr>
        <w:t>organisation)?</w:t>
      </w:r>
    </w:p>
    <w:p>
      <w:pPr>
        <w:pStyle w:val="BodyText"/>
        <w:spacing w:before="8"/>
        <w:rPr>
          <w:sz w:val="14"/>
        </w:rPr>
      </w:pPr>
    </w:p>
    <w:p>
      <w:pPr>
        <w:spacing w:before="100"/>
        <w:ind w:left="1491" w:right="625" w:firstLine="0"/>
        <w:jc w:val="left"/>
        <w:rPr>
          <w:sz w:val="18"/>
        </w:rPr>
      </w:pPr>
      <w:r>
        <w:rPr/>
        <w:drawing>
          <wp:anchor distT="0" distB="0" distL="0" distR="0" allowOverlap="1" layoutInCell="1" locked="0" behindDoc="0" simplePos="0" relativeHeight="15747584">
            <wp:simplePos x="0" y="0"/>
            <wp:positionH relativeFrom="page">
              <wp:posOffset>1102145</wp:posOffset>
            </wp:positionH>
            <wp:positionV relativeFrom="paragraph">
              <wp:posOffset>108350</wp:posOffset>
            </wp:positionV>
            <wp:extent cx="58380" cy="72151"/>
            <wp:effectExtent l="0" t="0" r="0" b="0"/>
            <wp:wrapNone/>
            <wp:docPr id="27" name="image13.png"/>
            <wp:cNvGraphicFramePr>
              <a:graphicFrameLocks noChangeAspect="1"/>
            </wp:cNvGraphicFramePr>
            <a:graphic>
              <a:graphicData uri="http://schemas.openxmlformats.org/drawingml/2006/picture">
                <pic:pic>
                  <pic:nvPicPr>
                    <pic:cNvPr id="2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Aboriginal</w:t>
      </w:r>
      <w:r>
        <w:rPr>
          <w:spacing w:val="-4"/>
          <w:sz w:val="18"/>
        </w:rPr>
        <w:t> </w:t>
      </w:r>
      <w:r>
        <w:rPr>
          <w:sz w:val="18"/>
        </w:rPr>
        <w:t>corporation</w:t>
      </w:r>
      <w:r>
        <w:rPr>
          <w:spacing w:val="-6"/>
          <w:sz w:val="18"/>
        </w:rPr>
        <w:t> </w:t>
      </w:r>
      <w:r>
        <w:rPr>
          <w:sz w:val="18"/>
        </w:rPr>
        <w:t>incorporated</w:t>
      </w:r>
      <w:r>
        <w:rPr>
          <w:spacing w:val="-5"/>
          <w:sz w:val="18"/>
        </w:rPr>
        <w:t> </w:t>
      </w:r>
      <w:r>
        <w:rPr>
          <w:sz w:val="18"/>
        </w:rPr>
        <w:t>under</w:t>
      </w:r>
      <w:r>
        <w:rPr>
          <w:spacing w:val="-3"/>
          <w:sz w:val="18"/>
        </w:rPr>
        <w:t> </w:t>
      </w:r>
      <w:r>
        <w:rPr>
          <w:sz w:val="18"/>
        </w:rPr>
        <w:t>the</w:t>
      </w:r>
      <w:r>
        <w:rPr>
          <w:spacing w:val="-4"/>
          <w:sz w:val="18"/>
        </w:rPr>
        <w:t> </w:t>
      </w:r>
      <w:r>
        <w:rPr>
          <w:sz w:val="18"/>
        </w:rPr>
        <w:t>Corporations</w:t>
      </w:r>
      <w:r>
        <w:rPr>
          <w:spacing w:val="-2"/>
          <w:sz w:val="18"/>
        </w:rPr>
        <w:t> </w:t>
      </w:r>
      <w:r>
        <w:rPr>
          <w:sz w:val="18"/>
        </w:rPr>
        <w:t>(Aboriginal</w:t>
      </w:r>
      <w:r>
        <w:rPr>
          <w:spacing w:val="-4"/>
          <w:sz w:val="18"/>
        </w:rPr>
        <w:t> </w:t>
      </w:r>
      <w:r>
        <w:rPr>
          <w:sz w:val="18"/>
        </w:rPr>
        <w:t>and</w:t>
      </w:r>
      <w:r>
        <w:rPr>
          <w:spacing w:val="-5"/>
          <w:sz w:val="18"/>
        </w:rPr>
        <w:t> </w:t>
      </w:r>
      <w:r>
        <w:rPr>
          <w:sz w:val="18"/>
        </w:rPr>
        <w:t>Torres</w:t>
      </w:r>
      <w:r>
        <w:rPr>
          <w:spacing w:val="-6"/>
          <w:sz w:val="18"/>
        </w:rPr>
        <w:t> </w:t>
      </w:r>
      <w:r>
        <w:rPr>
          <w:sz w:val="18"/>
        </w:rPr>
        <w:t>Strait</w:t>
      </w:r>
      <w:r>
        <w:rPr>
          <w:spacing w:val="-7"/>
          <w:sz w:val="18"/>
        </w:rPr>
        <w:t> </w:t>
      </w:r>
      <w:r>
        <w:rPr>
          <w:sz w:val="18"/>
        </w:rPr>
        <w:t>Islander)</w:t>
      </w:r>
      <w:r>
        <w:rPr>
          <w:spacing w:val="-3"/>
          <w:sz w:val="18"/>
        </w:rPr>
        <w:t> </w:t>
      </w:r>
      <w:r>
        <w:rPr>
          <w:sz w:val="18"/>
        </w:rPr>
        <w:t>Act</w:t>
      </w:r>
      <w:r>
        <w:rPr>
          <w:spacing w:val="-47"/>
          <w:sz w:val="18"/>
        </w:rPr>
        <w:t> </w:t>
      </w:r>
      <w:r>
        <w:rPr>
          <w:sz w:val="18"/>
        </w:rPr>
        <w:t>2006)</w:t>
      </w:r>
      <w:r>
        <w:rPr>
          <w:spacing w:val="1"/>
          <w:sz w:val="18"/>
        </w:rPr>
        <w:t> </w:t>
      </w:r>
      <w:r>
        <w:rPr>
          <w:sz w:val="18"/>
        </w:rPr>
        <w:t>(1)</w:t>
      </w:r>
    </w:p>
    <w:p>
      <w:pPr>
        <w:spacing w:before="0"/>
        <w:ind w:left="1491" w:right="1455" w:firstLine="0"/>
        <w:jc w:val="left"/>
        <w:rPr>
          <w:sz w:val="18"/>
        </w:rPr>
      </w:pPr>
      <w:r>
        <w:rPr/>
        <w:drawing>
          <wp:anchor distT="0" distB="0" distL="0" distR="0" allowOverlap="1" layoutInCell="1" locked="0" behindDoc="0" simplePos="0" relativeHeight="15748096">
            <wp:simplePos x="0" y="0"/>
            <wp:positionH relativeFrom="page">
              <wp:posOffset>1102145</wp:posOffset>
            </wp:positionH>
            <wp:positionV relativeFrom="paragraph">
              <wp:posOffset>44851</wp:posOffset>
            </wp:positionV>
            <wp:extent cx="58380" cy="72150"/>
            <wp:effectExtent l="0" t="0" r="0" b="0"/>
            <wp:wrapNone/>
            <wp:docPr id="29" name="image13.png"/>
            <wp:cNvGraphicFramePr>
              <a:graphicFrameLocks noChangeAspect="1"/>
            </wp:cNvGraphicFramePr>
            <a:graphic>
              <a:graphicData uri="http://schemas.openxmlformats.org/drawingml/2006/picture">
                <pic:pic>
                  <pic:nvPicPr>
                    <pic:cNvPr id="30" name="image13.png"/>
                    <pic:cNvPicPr/>
                  </pic:nvPicPr>
                  <pic:blipFill>
                    <a:blip r:embed="rId41" cstate="print"/>
                    <a:stretch>
                      <a:fillRect/>
                    </a:stretch>
                  </pic:blipFill>
                  <pic:spPr>
                    <a:xfrm>
                      <a:off x="0" y="0"/>
                      <a:ext cx="58380" cy="72150"/>
                    </a:xfrm>
                    <a:prstGeom prst="rect">
                      <a:avLst/>
                    </a:prstGeom>
                  </pic:spPr>
                </pic:pic>
              </a:graphicData>
            </a:graphic>
          </wp:anchor>
        </w:drawing>
      </w:r>
      <w:r>
        <w:rPr/>
        <w:drawing>
          <wp:anchor distT="0" distB="0" distL="0" distR="0" allowOverlap="1" layoutInCell="1" locked="0" behindDoc="0" simplePos="0" relativeHeight="15748608">
            <wp:simplePos x="0" y="0"/>
            <wp:positionH relativeFrom="page">
              <wp:posOffset>1102145</wp:posOffset>
            </wp:positionH>
            <wp:positionV relativeFrom="paragraph">
              <wp:posOffset>185057</wp:posOffset>
            </wp:positionV>
            <wp:extent cx="58380" cy="72151"/>
            <wp:effectExtent l="0" t="0" r="0" b="0"/>
            <wp:wrapNone/>
            <wp:docPr id="31" name="image13.png"/>
            <wp:cNvGraphicFramePr>
              <a:graphicFrameLocks noChangeAspect="1"/>
            </wp:cNvGraphicFramePr>
            <a:graphic>
              <a:graphicData uri="http://schemas.openxmlformats.org/drawingml/2006/picture">
                <pic:pic>
                  <pic:nvPicPr>
                    <pic:cNvPr id="32"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749120">
            <wp:simplePos x="0" y="0"/>
            <wp:positionH relativeFrom="page">
              <wp:posOffset>1102145</wp:posOffset>
            </wp:positionH>
            <wp:positionV relativeFrom="paragraph">
              <wp:posOffset>325265</wp:posOffset>
            </wp:positionV>
            <wp:extent cx="58380" cy="72151"/>
            <wp:effectExtent l="0" t="0" r="0" b="0"/>
            <wp:wrapNone/>
            <wp:docPr id="33" name="image13.png"/>
            <wp:cNvGraphicFramePr>
              <a:graphicFrameLocks noChangeAspect="1"/>
            </wp:cNvGraphicFramePr>
            <a:graphic>
              <a:graphicData uri="http://schemas.openxmlformats.org/drawingml/2006/picture">
                <pic:pic>
                  <pic:nvPicPr>
                    <pic:cNvPr id="34"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749632">
            <wp:simplePos x="0" y="0"/>
            <wp:positionH relativeFrom="page">
              <wp:posOffset>1102145</wp:posOffset>
            </wp:positionH>
            <wp:positionV relativeFrom="paragraph">
              <wp:posOffset>465475</wp:posOffset>
            </wp:positionV>
            <wp:extent cx="58380" cy="72150"/>
            <wp:effectExtent l="0" t="0" r="0" b="0"/>
            <wp:wrapNone/>
            <wp:docPr id="35" name="image13.png"/>
            <wp:cNvGraphicFramePr>
              <a:graphicFrameLocks noChangeAspect="1"/>
            </wp:cNvGraphicFramePr>
            <a:graphic>
              <a:graphicData uri="http://schemas.openxmlformats.org/drawingml/2006/picture">
                <pic:pic>
                  <pic:nvPicPr>
                    <pic:cNvPr id="36" name="image13.png"/>
                    <pic:cNvPicPr/>
                  </pic:nvPicPr>
                  <pic:blipFill>
                    <a:blip r:embed="rId41" cstate="print"/>
                    <a:stretch>
                      <a:fillRect/>
                    </a:stretch>
                  </pic:blipFill>
                  <pic:spPr>
                    <a:xfrm>
                      <a:off x="0" y="0"/>
                      <a:ext cx="58380" cy="72150"/>
                    </a:xfrm>
                    <a:prstGeom prst="rect">
                      <a:avLst/>
                    </a:prstGeom>
                  </pic:spPr>
                </pic:pic>
              </a:graphicData>
            </a:graphic>
          </wp:anchor>
        </w:drawing>
      </w:r>
      <w:r>
        <w:rPr/>
        <w:drawing>
          <wp:anchor distT="0" distB="0" distL="0" distR="0" allowOverlap="1" layoutInCell="1" locked="0" behindDoc="0" simplePos="0" relativeHeight="15750144">
            <wp:simplePos x="0" y="0"/>
            <wp:positionH relativeFrom="page">
              <wp:posOffset>1102145</wp:posOffset>
            </wp:positionH>
            <wp:positionV relativeFrom="paragraph">
              <wp:posOffset>605681</wp:posOffset>
            </wp:positionV>
            <wp:extent cx="58380" cy="72151"/>
            <wp:effectExtent l="0" t="0" r="0" b="0"/>
            <wp:wrapNone/>
            <wp:docPr id="37" name="image13.png"/>
            <wp:cNvGraphicFramePr>
              <a:graphicFrameLocks noChangeAspect="1"/>
            </wp:cNvGraphicFramePr>
            <a:graphic>
              <a:graphicData uri="http://schemas.openxmlformats.org/drawingml/2006/picture">
                <pic:pic>
                  <pic:nvPicPr>
                    <pic:cNvPr id="3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Company incorporated under Corporations Act 2001 (Commonwealth of Australia)</w:t>
      </w:r>
      <w:r>
        <w:rPr>
          <w:spacing w:val="1"/>
          <w:sz w:val="18"/>
        </w:rPr>
        <w:t> </w:t>
      </w:r>
      <w:r>
        <w:rPr>
          <w:sz w:val="18"/>
        </w:rPr>
        <w:t>(2)</w:t>
      </w:r>
      <w:r>
        <w:rPr>
          <w:spacing w:val="1"/>
          <w:sz w:val="18"/>
        </w:rPr>
        <w:t> </w:t>
      </w:r>
      <w:r>
        <w:rPr>
          <w:sz w:val="18"/>
        </w:rPr>
        <w:t>Incorporated association incorporated under Australian state/territory legislation</w:t>
      </w:r>
      <w:r>
        <w:rPr>
          <w:spacing w:val="1"/>
          <w:sz w:val="18"/>
        </w:rPr>
        <w:t> </w:t>
      </w:r>
      <w:r>
        <w:rPr>
          <w:sz w:val="18"/>
        </w:rPr>
        <w:t>(3)</w:t>
      </w:r>
      <w:r>
        <w:rPr>
          <w:spacing w:val="1"/>
          <w:sz w:val="18"/>
        </w:rPr>
        <w:t> </w:t>
      </w:r>
      <w:r>
        <w:rPr>
          <w:sz w:val="18"/>
        </w:rPr>
        <w:t>Incorporated cooperative incorporated under Australian state/territory legislation</w:t>
      </w:r>
      <w:r>
        <w:rPr>
          <w:spacing w:val="1"/>
          <w:sz w:val="18"/>
        </w:rPr>
        <w:t> </w:t>
      </w:r>
      <w:r>
        <w:rPr>
          <w:sz w:val="18"/>
        </w:rPr>
        <w:t>(4)</w:t>
      </w:r>
      <w:r>
        <w:rPr>
          <w:spacing w:val="1"/>
          <w:sz w:val="18"/>
        </w:rPr>
        <w:t> </w:t>
      </w:r>
      <w:r>
        <w:rPr>
          <w:sz w:val="18"/>
        </w:rPr>
        <w:t>Organisation</w:t>
      </w:r>
      <w:r>
        <w:rPr>
          <w:spacing w:val="-7"/>
          <w:sz w:val="18"/>
        </w:rPr>
        <w:t> </w:t>
      </w:r>
      <w:r>
        <w:rPr>
          <w:sz w:val="18"/>
        </w:rPr>
        <w:t>established</w:t>
      </w:r>
      <w:r>
        <w:rPr>
          <w:spacing w:val="-6"/>
          <w:sz w:val="18"/>
        </w:rPr>
        <w:t> </w:t>
      </w:r>
      <w:r>
        <w:rPr>
          <w:sz w:val="18"/>
        </w:rPr>
        <w:t>through</w:t>
      </w:r>
      <w:r>
        <w:rPr>
          <w:spacing w:val="-5"/>
          <w:sz w:val="18"/>
        </w:rPr>
        <w:t> </w:t>
      </w:r>
      <w:r>
        <w:rPr>
          <w:sz w:val="18"/>
        </w:rPr>
        <w:t>specific</w:t>
      </w:r>
      <w:r>
        <w:rPr>
          <w:spacing w:val="-5"/>
          <w:sz w:val="18"/>
        </w:rPr>
        <w:t> </w:t>
      </w:r>
      <w:r>
        <w:rPr>
          <w:sz w:val="18"/>
        </w:rPr>
        <w:t>Commonwealth</w:t>
      </w:r>
      <w:r>
        <w:rPr>
          <w:spacing w:val="-5"/>
          <w:sz w:val="18"/>
        </w:rPr>
        <w:t> </w:t>
      </w:r>
      <w:r>
        <w:rPr>
          <w:sz w:val="18"/>
        </w:rPr>
        <w:t>or</w:t>
      </w:r>
      <w:r>
        <w:rPr>
          <w:spacing w:val="-4"/>
          <w:sz w:val="18"/>
        </w:rPr>
        <w:t> </w:t>
      </w:r>
      <w:r>
        <w:rPr>
          <w:sz w:val="18"/>
        </w:rPr>
        <w:t>state/territory</w:t>
      </w:r>
      <w:r>
        <w:rPr>
          <w:spacing w:val="-5"/>
          <w:sz w:val="18"/>
        </w:rPr>
        <w:t> </w:t>
      </w:r>
      <w:r>
        <w:rPr>
          <w:sz w:val="18"/>
        </w:rPr>
        <w:t>legislation</w:t>
      </w:r>
      <w:r>
        <w:rPr>
          <w:spacing w:val="42"/>
          <w:sz w:val="18"/>
        </w:rPr>
        <w:t> </w:t>
      </w:r>
      <w:r>
        <w:rPr>
          <w:sz w:val="18"/>
        </w:rPr>
        <w:t>(5)</w:t>
      </w:r>
      <w:r>
        <w:rPr>
          <w:spacing w:val="-47"/>
          <w:sz w:val="18"/>
        </w:rPr>
        <w:t> </w:t>
      </w:r>
      <w:r>
        <w:rPr>
          <w:sz w:val="18"/>
        </w:rPr>
        <w:t>Partnership</w:t>
      </w:r>
      <w:r>
        <w:rPr>
          <w:spacing w:val="49"/>
          <w:sz w:val="18"/>
        </w:rPr>
        <w:t> </w:t>
      </w:r>
      <w:r>
        <w:rPr>
          <w:sz w:val="18"/>
        </w:rPr>
        <w:t>(6)</w:t>
      </w:r>
    </w:p>
    <w:p>
      <w:pPr>
        <w:spacing w:before="1"/>
        <w:ind w:left="1491" w:right="6392" w:firstLine="0"/>
        <w:jc w:val="left"/>
        <w:rPr>
          <w:sz w:val="18"/>
        </w:rPr>
      </w:pPr>
      <w:r>
        <w:rPr/>
        <w:drawing>
          <wp:anchor distT="0" distB="0" distL="0" distR="0" allowOverlap="1" layoutInCell="1" locked="0" behindDoc="0" simplePos="0" relativeHeight="15750656">
            <wp:simplePos x="0" y="0"/>
            <wp:positionH relativeFrom="page">
              <wp:posOffset>1102145</wp:posOffset>
            </wp:positionH>
            <wp:positionV relativeFrom="paragraph">
              <wp:posOffset>45484</wp:posOffset>
            </wp:positionV>
            <wp:extent cx="58380" cy="72151"/>
            <wp:effectExtent l="0" t="0" r="0" b="0"/>
            <wp:wrapNone/>
            <wp:docPr id="39" name="image13.png"/>
            <wp:cNvGraphicFramePr>
              <a:graphicFrameLocks noChangeAspect="1"/>
            </wp:cNvGraphicFramePr>
            <a:graphic>
              <a:graphicData uri="http://schemas.openxmlformats.org/drawingml/2006/picture">
                <pic:pic>
                  <pic:nvPicPr>
                    <pic:cNvPr id="40"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751168">
            <wp:simplePos x="0" y="0"/>
            <wp:positionH relativeFrom="page">
              <wp:posOffset>1102145</wp:posOffset>
            </wp:positionH>
            <wp:positionV relativeFrom="paragraph">
              <wp:posOffset>185693</wp:posOffset>
            </wp:positionV>
            <wp:extent cx="58380" cy="72150"/>
            <wp:effectExtent l="0" t="0" r="0" b="0"/>
            <wp:wrapNone/>
            <wp:docPr id="41" name="image13.png"/>
            <wp:cNvGraphicFramePr>
              <a:graphicFrameLocks noChangeAspect="1"/>
            </wp:cNvGraphicFramePr>
            <a:graphic>
              <a:graphicData uri="http://schemas.openxmlformats.org/drawingml/2006/picture">
                <pic:pic>
                  <pic:nvPicPr>
                    <pic:cNvPr id="42" name="image13.png"/>
                    <pic:cNvPicPr/>
                  </pic:nvPicPr>
                  <pic:blipFill>
                    <a:blip r:embed="rId41" cstate="print"/>
                    <a:stretch>
                      <a:fillRect/>
                    </a:stretch>
                  </pic:blipFill>
                  <pic:spPr>
                    <a:xfrm>
                      <a:off x="0" y="0"/>
                      <a:ext cx="58380" cy="72150"/>
                    </a:xfrm>
                    <a:prstGeom prst="rect">
                      <a:avLst/>
                    </a:prstGeom>
                  </pic:spPr>
                </pic:pic>
              </a:graphicData>
            </a:graphic>
          </wp:anchor>
        </w:drawing>
      </w:r>
      <w:r>
        <w:rPr>
          <w:sz w:val="18"/>
        </w:rPr>
        <w:t>Trust on behalf of a trust</w:t>
      </w:r>
      <w:r>
        <w:rPr>
          <w:spacing w:val="1"/>
          <w:sz w:val="18"/>
        </w:rPr>
        <w:t> </w:t>
      </w:r>
      <w:r>
        <w:rPr>
          <w:sz w:val="18"/>
        </w:rPr>
        <w:t>(7)</w:t>
      </w:r>
      <w:r>
        <w:rPr>
          <w:spacing w:val="-48"/>
          <w:sz w:val="18"/>
        </w:rPr>
        <w:t> </w:t>
      </w:r>
      <w:r>
        <w:rPr>
          <w:sz w:val="18"/>
        </w:rPr>
        <w:t>Individual</w:t>
      </w:r>
      <w:r>
        <w:rPr>
          <w:spacing w:val="49"/>
          <w:sz w:val="18"/>
        </w:rPr>
        <w:t> </w:t>
      </w:r>
      <w:r>
        <w:rPr>
          <w:sz w:val="18"/>
        </w:rPr>
        <w:t>(8)</w:t>
      </w:r>
    </w:p>
    <w:p>
      <w:pPr>
        <w:tabs>
          <w:tab w:pos="8087" w:val="left" w:leader="none"/>
        </w:tabs>
        <w:spacing w:before="0"/>
        <w:ind w:left="1491" w:right="0" w:firstLine="0"/>
        <w:jc w:val="left"/>
        <w:rPr>
          <w:sz w:val="18"/>
        </w:rPr>
      </w:pPr>
      <w:r>
        <w:rPr/>
        <w:drawing>
          <wp:anchor distT="0" distB="0" distL="0" distR="0" allowOverlap="1" layoutInCell="1" locked="0" behindDoc="0" simplePos="0" relativeHeight="15751680">
            <wp:simplePos x="0" y="0"/>
            <wp:positionH relativeFrom="page">
              <wp:posOffset>1102145</wp:posOffset>
            </wp:positionH>
            <wp:positionV relativeFrom="paragraph">
              <wp:posOffset>44850</wp:posOffset>
            </wp:positionV>
            <wp:extent cx="58380" cy="72151"/>
            <wp:effectExtent l="0" t="0" r="0" b="0"/>
            <wp:wrapNone/>
            <wp:docPr id="43" name="image13.png"/>
            <wp:cNvGraphicFramePr>
              <a:graphicFrameLocks noChangeAspect="1"/>
            </wp:cNvGraphicFramePr>
            <a:graphic>
              <a:graphicData uri="http://schemas.openxmlformats.org/drawingml/2006/picture">
                <pic:pic>
                  <pic:nvPicPr>
                    <pic:cNvPr id="4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Other,</w:t>
      </w:r>
      <w:r>
        <w:rPr>
          <w:spacing w:val="-6"/>
          <w:sz w:val="18"/>
        </w:rPr>
        <w:t> </w:t>
      </w:r>
      <w:r>
        <w:rPr>
          <w:sz w:val="18"/>
        </w:rPr>
        <w:t>please</w:t>
      </w:r>
      <w:r>
        <w:rPr>
          <w:spacing w:val="-3"/>
          <w:sz w:val="18"/>
        </w:rPr>
        <w:t> </w:t>
      </w:r>
      <w:r>
        <w:rPr>
          <w:sz w:val="18"/>
        </w:rPr>
        <w:t>specify</w:t>
      </w:r>
      <w:r>
        <w:rPr>
          <w:spacing w:val="45"/>
          <w:sz w:val="18"/>
        </w:rPr>
        <w:t> </w:t>
      </w:r>
      <w:r>
        <w:rPr>
          <w:sz w:val="18"/>
        </w:rPr>
        <w:t>(9)</w:t>
      </w:r>
      <w:r>
        <w:rPr>
          <w:spacing w:val="1"/>
          <w:sz w:val="18"/>
        </w:rPr>
        <w:t> </w:t>
      </w:r>
      <w:r>
        <w:rPr>
          <w:sz w:val="18"/>
          <w:u w:val="single" w:color="BDBDBD"/>
        </w:rPr>
        <w:t> </w:t>
        <w:tab/>
      </w:r>
    </w:p>
    <w:p>
      <w:pPr>
        <w:pStyle w:val="BodyText"/>
        <w:spacing w:before="6"/>
        <w:rPr>
          <w:sz w:val="14"/>
        </w:rPr>
      </w:pPr>
    </w:p>
    <w:p>
      <w:pPr>
        <w:pStyle w:val="ListParagraph"/>
        <w:numPr>
          <w:ilvl w:val="0"/>
          <w:numId w:val="41"/>
        </w:numPr>
        <w:tabs>
          <w:tab w:pos="567" w:val="left" w:leader="none"/>
          <w:tab w:pos="568" w:val="left" w:leader="none"/>
        </w:tabs>
        <w:spacing w:line="240" w:lineRule="auto" w:before="101" w:after="0"/>
        <w:ind w:left="567" w:right="448" w:hanging="428"/>
        <w:jc w:val="left"/>
        <w:rPr>
          <w:sz w:val="18"/>
        </w:rPr>
      </w:pPr>
      <w:r>
        <w:rPr>
          <w:sz w:val="18"/>
        </w:rPr>
        <w:t>Is the group/ organisation registered as a charity or non-for-profit organisation with the Australian Charities and Not-</w:t>
      </w:r>
      <w:r>
        <w:rPr>
          <w:spacing w:val="-47"/>
          <w:sz w:val="18"/>
        </w:rPr>
        <w:t> </w:t>
      </w:r>
      <w:r>
        <w:rPr>
          <w:sz w:val="18"/>
        </w:rPr>
        <w:t>for-profits</w:t>
      </w:r>
      <w:r>
        <w:rPr>
          <w:spacing w:val="-2"/>
          <w:sz w:val="18"/>
        </w:rPr>
        <w:t> </w:t>
      </w:r>
      <w:r>
        <w:rPr>
          <w:sz w:val="18"/>
        </w:rPr>
        <w:t>Commission?</w:t>
      </w:r>
    </w:p>
    <w:p>
      <w:pPr>
        <w:pStyle w:val="BodyText"/>
        <w:spacing w:before="9"/>
        <w:rPr>
          <w:sz w:val="14"/>
        </w:rPr>
      </w:pPr>
    </w:p>
    <w:p>
      <w:pPr>
        <w:spacing w:before="101"/>
        <w:ind w:left="1491" w:right="0" w:firstLine="0"/>
        <w:jc w:val="left"/>
        <w:rPr>
          <w:sz w:val="18"/>
        </w:rPr>
      </w:pPr>
      <w:r>
        <w:rPr/>
        <w:drawing>
          <wp:anchor distT="0" distB="0" distL="0" distR="0" allowOverlap="1" layoutInCell="1" locked="0" behindDoc="0" simplePos="0" relativeHeight="15752192">
            <wp:simplePos x="0" y="0"/>
            <wp:positionH relativeFrom="page">
              <wp:posOffset>1102145</wp:posOffset>
            </wp:positionH>
            <wp:positionV relativeFrom="paragraph">
              <wp:posOffset>108603</wp:posOffset>
            </wp:positionV>
            <wp:extent cx="58380" cy="72151"/>
            <wp:effectExtent l="0" t="0" r="0" b="0"/>
            <wp:wrapNone/>
            <wp:docPr id="45" name="image13.png"/>
            <wp:cNvGraphicFramePr>
              <a:graphicFrameLocks noChangeAspect="1"/>
            </wp:cNvGraphicFramePr>
            <a:graphic>
              <a:graphicData uri="http://schemas.openxmlformats.org/drawingml/2006/picture">
                <pic:pic>
                  <pic:nvPicPr>
                    <pic:cNvPr id="4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Yes</w:t>
      </w:r>
      <w:r>
        <w:rPr>
          <w:spacing w:val="49"/>
          <w:sz w:val="18"/>
        </w:rPr>
        <w:t> </w:t>
      </w:r>
      <w:r>
        <w:rPr>
          <w:sz w:val="18"/>
        </w:rPr>
        <w:t>(1)</w:t>
      </w:r>
    </w:p>
    <w:p>
      <w:pPr>
        <w:spacing w:before="0"/>
        <w:ind w:left="1491" w:right="0" w:firstLine="0"/>
        <w:jc w:val="left"/>
        <w:rPr>
          <w:sz w:val="18"/>
        </w:rPr>
      </w:pPr>
      <w:r>
        <w:rPr/>
        <w:drawing>
          <wp:anchor distT="0" distB="0" distL="0" distR="0" allowOverlap="1" layoutInCell="1" locked="0" behindDoc="0" simplePos="0" relativeHeight="15752704">
            <wp:simplePos x="0" y="0"/>
            <wp:positionH relativeFrom="page">
              <wp:posOffset>1102145</wp:posOffset>
            </wp:positionH>
            <wp:positionV relativeFrom="paragraph">
              <wp:posOffset>44468</wp:posOffset>
            </wp:positionV>
            <wp:extent cx="58380" cy="72151"/>
            <wp:effectExtent l="0" t="0" r="0" b="0"/>
            <wp:wrapNone/>
            <wp:docPr id="47" name="image13.png"/>
            <wp:cNvGraphicFramePr>
              <a:graphicFrameLocks noChangeAspect="1"/>
            </wp:cNvGraphicFramePr>
            <a:graphic>
              <a:graphicData uri="http://schemas.openxmlformats.org/drawingml/2006/picture">
                <pic:pic>
                  <pic:nvPicPr>
                    <pic:cNvPr id="4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w:t>
      </w:r>
      <w:r>
        <w:rPr>
          <w:spacing w:val="49"/>
          <w:sz w:val="18"/>
        </w:rPr>
        <w:t> </w:t>
      </w:r>
      <w:r>
        <w:rPr>
          <w:sz w:val="18"/>
        </w:rPr>
        <w:t>(2)</w:t>
      </w:r>
    </w:p>
    <w:p>
      <w:pPr>
        <w:pStyle w:val="BodyText"/>
        <w:spacing w:before="9"/>
        <w:rPr>
          <w:sz w:val="14"/>
        </w:rPr>
      </w:pPr>
    </w:p>
    <w:p>
      <w:pPr>
        <w:pStyle w:val="ListParagraph"/>
        <w:numPr>
          <w:ilvl w:val="0"/>
          <w:numId w:val="41"/>
        </w:numPr>
        <w:tabs>
          <w:tab w:pos="567" w:val="left" w:leader="none"/>
          <w:tab w:pos="568" w:val="left" w:leader="none"/>
        </w:tabs>
        <w:spacing w:line="240" w:lineRule="auto" w:before="100" w:after="0"/>
        <w:ind w:left="567" w:right="0" w:hanging="428"/>
        <w:jc w:val="left"/>
        <w:rPr>
          <w:sz w:val="18"/>
        </w:rPr>
      </w:pPr>
      <w:r>
        <w:rPr>
          <w:sz w:val="18"/>
        </w:rPr>
        <w:t>Is</w:t>
      </w:r>
      <w:r>
        <w:rPr>
          <w:spacing w:val="-4"/>
          <w:sz w:val="18"/>
        </w:rPr>
        <w:t> </w:t>
      </w:r>
      <w:r>
        <w:rPr>
          <w:sz w:val="18"/>
        </w:rPr>
        <w:t>the</w:t>
      </w:r>
      <w:r>
        <w:rPr>
          <w:spacing w:val="-3"/>
          <w:sz w:val="18"/>
        </w:rPr>
        <w:t> </w:t>
      </w:r>
      <w:r>
        <w:rPr>
          <w:sz w:val="18"/>
        </w:rPr>
        <w:t>group/</w:t>
      </w:r>
      <w:r>
        <w:rPr>
          <w:spacing w:val="-3"/>
          <w:sz w:val="18"/>
        </w:rPr>
        <w:t> </w:t>
      </w:r>
      <w:r>
        <w:rPr>
          <w:sz w:val="18"/>
        </w:rPr>
        <w:t>organisation</w:t>
      </w:r>
      <w:r>
        <w:rPr>
          <w:spacing w:val="-3"/>
          <w:sz w:val="18"/>
        </w:rPr>
        <w:t> </w:t>
      </w:r>
      <w:r>
        <w:rPr>
          <w:sz w:val="18"/>
        </w:rPr>
        <w:t>an</w:t>
      </w:r>
      <w:r>
        <w:rPr>
          <w:spacing w:val="2"/>
          <w:sz w:val="18"/>
        </w:rPr>
        <w:t> </w:t>
      </w:r>
      <w:r>
        <w:rPr>
          <w:sz w:val="18"/>
        </w:rPr>
        <w:t>Aboriginal</w:t>
      </w:r>
      <w:r>
        <w:rPr>
          <w:spacing w:val="-3"/>
          <w:sz w:val="18"/>
        </w:rPr>
        <w:t> </w:t>
      </w:r>
      <w:r>
        <w:rPr>
          <w:sz w:val="18"/>
        </w:rPr>
        <w:t>Health</w:t>
      </w:r>
      <w:r>
        <w:rPr>
          <w:spacing w:val="-3"/>
          <w:sz w:val="18"/>
        </w:rPr>
        <w:t> </w:t>
      </w:r>
      <w:r>
        <w:rPr>
          <w:sz w:val="18"/>
        </w:rPr>
        <w:t>Service?</w:t>
      </w:r>
    </w:p>
    <w:p>
      <w:pPr>
        <w:pStyle w:val="BodyText"/>
        <w:spacing w:before="7"/>
        <w:rPr>
          <w:sz w:val="14"/>
        </w:rPr>
      </w:pPr>
    </w:p>
    <w:p>
      <w:pPr>
        <w:spacing w:before="100"/>
        <w:ind w:left="1491" w:right="4517" w:firstLine="0"/>
        <w:jc w:val="left"/>
        <w:rPr>
          <w:sz w:val="18"/>
        </w:rPr>
      </w:pPr>
      <w:r>
        <w:rPr/>
        <w:drawing>
          <wp:anchor distT="0" distB="0" distL="0" distR="0" allowOverlap="1" layoutInCell="1" locked="0" behindDoc="0" simplePos="0" relativeHeight="15753216">
            <wp:simplePos x="0" y="0"/>
            <wp:positionH relativeFrom="page">
              <wp:posOffset>1102145</wp:posOffset>
            </wp:positionH>
            <wp:positionV relativeFrom="paragraph">
              <wp:posOffset>107969</wp:posOffset>
            </wp:positionV>
            <wp:extent cx="58380" cy="72151"/>
            <wp:effectExtent l="0" t="0" r="0" b="0"/>
            <wp:wrapNone/>
            <wp:docPr id="49" name="image13.png"/>
            <wp:cNvGraphicFramePr>
              <a:graphicFrameLocks noChangeAspect="1"/>
            </wp:cNvGraphicFramePr>
            <a:graphic>
              <a:graphicData uri="http://schemas.openxmlformats.org/drawingml/2006/picture">
                <pic:pic>
                  <pic:nvPicPr>
                    <pic:cNvPr id="50"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753728">
            <wp:simplePos x="0" y="0"/>
            <wp:positionH relativeFrom="page">
              <wp:posOffset>1102145</wp:posOffset>
            </wp:positionH>
            <wp:positionV relativeFrom="paragraph">
              <wp:posOffset>248178</wp:posOffset>
            </wp:positionV>
            <wp:extent cx="58380" cy="72150"/>
            <wp:effectExtent l="0" t="0" r="0" b="0"/>
            <wp:wrapNone/>
            <wp:docPr id="51" name="image13.png"/>
            <wp:cNvGraphicFramePr>
              <a:graphicFrameLocks noChangeAspect="1"/>
            </wp:cNvGraphicFramePr>
            <a:graphic>
              <a:graphicData uri="http://schemas.openxmlformats.org/drawingml/2006/picture">
                <pic:pic>
                  <pic:nvPicPr>
                    <pic:cNvPr id="52" name="image13.png"/>
                    <pic:cNvPicPr/>
                  </pic:nvPicPr>
                  <pic:blipFill>
                    <a:blip r:embed="rId41" cstate="print"/>
                    <a:stretch>
                      <a:fillRect/>
                    </a:stretch>
                  </pic:blipFill>
                  <pic:spPr>
                    <a:xfrm>
                      <a:off x="0" y="0"/>
                      <a:ext cx="58380" cy="72150"/>
                    </a:xfrm>
                    <a:prstGeom prst="rect">
                      <a:avLst/>
                    </a:prstGeom>
                  </pic:spPr>
                </pic:pic>
              </a:graphicData>
            </a:graphic>
          </wp:anchor>
        </w:drawing>
      </w:r>
      <w:r>
        <w:rPr>
          <w:sz w:val="18"/>
        </w:rPr>
        <w:t>Yes, Aboriginal Community Controlled Health Service</w:t>
      </w:r>
      <w:r>
        <w:rPr>
          <w:spacing w:val="1"/>
          <w:sz w:val="18"/>
        </w:rPr>
        <w:t> </w:t>
      </w:r>
      <w:r>
        <w:rPr>
          <w:sz w:val="18"/>
        </w:rPr>
        <w:t>(1)</w:t>
      </w:r>
      <w:r>
        <w:rPr>
          <w:spacing w:val="-47"/>
          <w:sz w:val="18"/>
        </w:rPr>
        <w:t> </w:t>
      </w:r>
      <w:r>
        <w:rPr>
          <w:sz w:val="18"/>
        </w:rPr>
        <w:t>Yes,</w:t>
      </w:r>
      <w:r>
        <w:rPr>
          <w:spacing w:val="-3"/>
          <w:sz w:val="18"/>
        </w:rPr>
        <w:t> </w:t>
      </w:r>
      <w:r>
        <w:rPr>
          <w:sz w:val="18"/>
        </w:rPr>
        <w:t>Other</w:t>
      </w:r>
      <w:r>
        <w:rPr>
          <w:spacing w:val="5"/>
          <w:sz w:val="18"/>
        </w:rPr>
        <w:t> </w:t>
      </w:r>
      <w:r>
        <w:rPr>
          <w:sz w:val="18"/>
        </w:rPr>
        <w:t>Aboriginal</w:t>
      </w:r>
      <w:r>
        <w:rPr>
          <w:spacing w:val="-1"/>
          <w:sz w:val="18"/>
        </w:rPr>
        <w:t> </w:t>
      </w:r>
      <w:r>
        <w:rPr>
          <w:sz w:val="18"/>
        </w:rPr>
        <w:t>Health</w:t>
      </w:r>
      <w:r>
        <w:rPr>
          <w:spacing w:val="-2"/>
          <w:sz w:val="18"/>
        </w:rPr>
        <w:t> </w:t>
      </w:r>
      <w:r>
        <w:rPr>
          <w:sz w:val="18"/>
        </w:rPr>
        <w:t>Service</w:t>
      </w:r>
      <w:r>
        <w:rPr>
          <w:spacing w:val="2"/>
          <w:sz w:val="18"/>
        </w:rPr>
        <w:t> </w:t>
      </w:r>
      <w:r>
        <w:rPr>
          <w:sz w:val="18"/>
        </w:rPr>
        <w:t>(2)</w:t>
      </w:r>
    </w:p>
    <w:p>
      <w:pPr>
        <w:spacing w:before="0"/>
        <w:ind w:left="1491" w:right="0" w:firstLine="0"/>
        <w:jc w:val="left"/>
        <w:rPr>
          <w:sz w:val="18"/>
        </w:rPr>
      </w:pPr>
      <w:r>
        <w:rPr/>
        <w:drawing>
          <wp:anchor distT="0" distB="0" distL="0" distR="0" allowOverlap="1" layoutInCell="1" locked="0" behindDoc="0" simplePos="0" relativeHeight="15754240">
            <wp:simplePos x="0" y="0"/>
            <wp:positionH relativeFrom="page">
              <wp:posOffset>1102145</wp:posOffset>
            </wp:positionH>
            <wp:positionV relativeFrom="paragraph">
              <wp:posOffset>44468</wp:posOffset>
            </wp:positionV>
            <wp:extent cx="58380" cy="72151"/>
            <wp:effectExtent l="0" t="0" r="0" b="0"/>
            <wp:wrapNone/>
            <wp:docPr id="53" name="image13.png"/>
            <wp:cNvGraphicFramePr>
              <a:graphicFrameLocks noChangeAspect="1"/>
            </wp:cNvGraphicFramePr>
            <a:graphic>
              <a:graphicData uri="http://schemas.openxmlformats.org/drawingml/2006/picture">
                <pic:pic>
                  <pic:nvPicPr>
                    <pic:cNvPr id="5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w:t>
      </w:r>
      <w:r>
        <w:rPr>
          <w:spacing w:val="49"/>
          <w:sz w:val="18"/>
        </w:rPr>
        <w:t> </w:t>
      </w:r>
      <w:r>
        <w:rPr>
          <w:sz w:val="18"/>
        </w:rPr>
        <w:t>(3)</w:t>
      </w:r>
    </w:p>
    <w:p>
      <w:pPr>
        <w:pStyle w:val="BodyText"/>
        <w:spacing w:before="9"/>
        <w:rPr>
          <w:sz w:val="14"/>
        </w:rPr>
      </w:pPr>
    </w:p>
    <w:p>
      <w:pPr>
        <w:pStyle w:val="ListParagraph"/>
        <w:numPr>
          <w:ilvl w:val="0"/>
          <w:numId w:val="41"/>
        </w:numPr>
        <w:tabs>
          <w:tab w:pos="567" w:val="left" w:leader="none"/>
          <w:tab w:pos="568" w:val="left" w:leader="none"/>
        </w:tabs>
        <w:spacing w:line="240" w:lineRule="auto" w:before="100" w:after="0"/>
        <w:ind w:left="567" w:right="503" w:hanging="428"/>
        <w:jc w:val="left"/>
        <w:rPr>
          <w:sz w:val="18"/>
        </w:rPr>
      </w:pPr>
      <w:r>
        <w:rPr>
          <w:sz w:val="18"/>
        </w:rPr>
        <w:t>As at the commencement of the HCH program (1 October or 1 December 2017), how many staff are/were</w:t>
      </w:r>
      <w:r>
        <w:rPr>
          <w:spacing w:val="1"/>
          <w:sz w:val="18"/>
        </w:rPr>
        <w:t> </w:t>
      </w:r>
      <w:r>
        <w:rPr>
          <w:sz w:val="18"/>
        </w:rPr>
        <w:t>employed in the practice/ service, by the type of staff? Please provide the head count (number of actual people)</w:t>
      </w:r>
      <w:r>
        <w:rPr>
          <w:spacing w:val="-47"/>
          <w:sz w:val="18"/>
        </w:rPr>
        <w:t> </w:t>
      </w:r>
      <w:r>
        <w:rPr>
          <w:sz w:val="18"/>
        </w:rPr>
        <w:t>and</w:t>
      </w:r>
      <w:r>
        <w:rPr>
          <w:spacing w:val="-2"/>
          <w:sz w:val="18"/>
        </w:rPr>
        <w:t> </w:t>
      </w:r>
      <w:r>
        <w:rPr>
          <w:sz w:val="18"/>
        </w:rPr>
        <w:t>full</w:t>
      </w:r>
      <w:r>
        <w:rPr>
          <w:spacing w:val="-2"/>
          <w:sz w:val="18"/>
        </w:rPr>
        <w:t> </w:t>
      </w:r>
      <w:r>
        <w:rPr>
          <w:sz w:val="18"/>
        </w:rPr>
        <w:t>time</w:t>
      </w:r>
      <w:r>
        <w:rPr>
          <w:spacing w:val="-1"/>
          <w:sz w:val="18"/>
        </w:rPr>
        <w:t> </w:t>
      </w:r>
      <w:r>
        <w:rPr>
          <w:sz w:val="18"/>
        </w:rPr>
        <w:t>equivalent (FTE)</w:t>
      </w:r>
      <w:r>
        <w:rPr>
          <w:spacing w:val="-3"/>
          <w:sz w:val="18"/>
        </w:rPr>
        <w:t> </w:t>
      </w:r>
      <w:r>
        <w:rPr>
          <w:sz w:val="18"/>
        </w:rPr>
        <w:t>for</w:t>
      </w:r>
      <w:r>
        <w:rPr>
          <w:spacing w:val="-1"/>
          <w:sz w:val="18"/>
        </w:rPr>
        <w:t> </w:t>
      </w:r>
      <w:r>
        <w:rPr>
          <w:sz w:val="18"/>
        </w:rPr>
        <w:t>each</w:t>
      </w:r>
      <w:r>
        <w:rPr>
          <w:spacing w:val="-3"/>
          <w:sz w:val="18"/>
        </w:rPr>
        <w:t> </w:t>
      </w:r>
      <w:r>
        <w:rPr>
          <w:sz w:val="18"/>
        </w:rPr>
        <w:t>staff</w:t>
      </w:r>
      <w:r>
        <w:rPr>
          <w:spacing w:val="-1"/>
          <w:sz w:val="18"/>
        </w:rPr>
        <w:t> </w:t>
      </w:r>
      <w:r>
        <w:rPr>
          <w:sz w:val="18"/>
        </w:rPr>
        <w:t>type.</w:t>
      </w:r>
      <w:r>
        <w:rPr>
          <w:spacing w:val="-3"/>
          <w:sz w:val="18"/>
        </w:rPr>
        <w:t> </w:t>
      </w:r>
      <w:r>
        <w:rPr>
          <w:sz w:val="18"/>
        </w:rPr>
        <w:t>How many</w:t>
      </w:r>
      <w:r>
        <w:rPr>
          <w:spacing w:val="-1"/>
          <w:sz w:val="18"/>
        </w:rPr>
        <w:t> </w:t>
      </w:r>
      <w:r>
        <w:rPr>
          <w:sz w:val="18"/>
        </w:rPr>
        <w:t>FTE</w:t>
      </w:r>
      <w:r>
        <w:rPr>
          <w:spacing w:val="1"/>
          <w:sz w:val="18"/>
        </w:rPr>
        <w:t> </w:t>
      </w:r>
      <w:r>
        <w:rPr>
          <w:sz w:val="18"/>
        </w:rPr>
        <w:t>vacancies</w:t>
      </w:r>
      <w:r>
        <w:rPr>
          <w:spacing w:val="-2"/>
          <w:sz w:val="18"/>
        </w:rPr>
        <w:t> </w:t>
      </w:r>
      <w:r>
        <w:rPr>
          <w:sz w:val="18"/>
        </w:rPr>
        <w:t>were</w:t>
      </w:r>
      <w:r>
        <w:rPr>
          <w:spacing w:val="-1"/>
          <w:sz w:val="18"/>
        </w:rPr>
        <w:t> </w:t>
      </w:r>
      <w:r>
        <w:rPr>
          <w:sz w:val="18"/>
        </w:rPr>
        <w:t>there</w:t>
      </w:r>
      <w:r>
        <w:rPr>
          <w:spacing w:val="-1"/>
          <w:sz w:val="18"/>
        </w:rPr>
        <w:t> </w:t>
      </w:r>
      <w:r>
        <w:rPr>
          <w:sz w:val="18"/>
        </w:rPr>
        <w:t>at</w:t>
      </w:r>
      <w:r>
        <w:rPr>
          <w:spacing w:val="-3"/>
          <w:sz w:val="18"/>
        </w:rPr>
        <w:t> </w:t>
      </w:r>
      <w:r>
        <w:rPr>
          <w:sz w:val="18"/>
        </w:rPr>
        <w:t>that</w:t>
      </w:r>
      <w:r>
        <w:rPr>
          <w:spacing w:val="-3"/>
          <w:sz w:val="18"/>
        </w:rPr>
        <w:t> </w:t>
      </w:r>
      <w:r>
        <w:rPr>
          <w:sz w:val="18"/>
        </w:rPr>
        <w:t>date?</w:t>
      </w:r>
    </w:p>
    <w:p>
      <w:pPr>
        <w:pStyle w:val="BodyText"/>
        <w:spacing w:before="10"/>
        <w:rPr>
          <w:sz w:val="22"/>
        </w:rPr>
      </w:pPr>
    </w:p>
    <w:tbl>
      <w:tblPr>
        <w:tblW w:w="0" w:type="auto"/>
        <w:jc w:val="left"/>
        <w:tblInd w:w="34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4674"/>
        <w:gridCol w:w="1839"/>
        <w:gridCol w:w="1707"/>
        <w:gridCol w:w="1843"/>
      </w:tblGrid>
      <w:tr>
        <w:trPr>
          <w:trHeight w:val="662" w:hRule="atLeast"/>
        </w:trPr>
        <w:tc>
          <w:tcPr>
            <w:tcW w:w="4674" w:type="dxa"/>
            <w:shd w:val="clear" w:color="auto" w:fill="F1F1F1"/>
          </w:tcPr>
          <w:p>
            <w:pPr>
              <w:pStyle w:val="TableParagraph"/>
              <w:rPr>
                <w:rFonts w:ascii="Times New Roman"/>
                <w:sz w:val="18"/>
              </w:rPr>
            </w:pPr>
          </w:p>
        </w:tc>
        <w:tc>
          <w:tcPr>
            <w:tcW w:w="1839" w:type="dxa"/>
            <w:shd w:val="clear" w:color="auto" w:fill="F1F1F1"/>
          </w:tcPr>
          <w:p>
            <w:pPr>
              <w:pStyle w:val="TableParagraph"/>
              <w:spacing w:before="11"/>
              <w:rPr>
                <w:sz w:val="17"/>
              </w:rPr>
            </w:pPr>
          </w:p>
          <w:p>
            <w:pPr>
              <w:pStyle w:val="TableParagraph"/>
              <w:ind w:left="251"/>
              <w:rPr>
                <w:sz w:val="18"/>
              </w:rPr>
            </w:pPr>
            <w:r>
              <w:rPr>
                <w:sz w:val="18"/>
              </w:rPr>
              <w:t>Head</w:t>
            </w:r>
            <w:r>
              <w:rPr>
                <w:spacing w:val="-4"/>
                <w:sz w:val="18"/>
              </w:rPr>
              <w:t> </w:t>
            </w:r>
            <w:r>
              <w:rPr>
                <w:sz w:val="18"/>
              </w:rPr>
              <w:t>count</w:t>
            </w:r>
            <w:r>
              <w:rPr>
                <w:spacing w:val="-1"/>
                <w:sz w:val="18"/>
              </w:rPr>
              <w:t> </w:t>
            </w:r>
            <w:r>
              <w:rPr>
                <w:sz w:val="18"/>
              </w:rPr>
              <w:t>(1)</w:t>
            </w:r>
          </w:p>
        </w:tc>
        <w:tc>
          <w:tcPr>
            <w:tcW w:w="1707" w:type="dxa"/>
            <w:shd w:val="clear" w:color="auto" w:fill="F1F1F1"/>
          </w:tcPr>
          <w:p>
            <w:pPr>
              <w:pStyle w:val="TableParagraph"/>
              <w:spacing w:line="220" w:lineRule="exact"/>
              <w:ind w:left="165" w:right="157" w:hanging="1"/>
              <w:jc w:val="center"/>
              <w:rPr>
                <w:sz w:val="18"/>
              </w:rPr>
            </w:pPr>
            <w:r>
              <w:rPr>
                <w:sz w:val="18"/>
              </w:rPr>
              <w:t>Full-time</w:t>
            </w:r>
            <w:r>
              <w:rPr>
                <w:spacing w:val="1"/>
                <w:sz w:val="18"/>
              </w:rPr>
              <w:t> </w:t>
            </w:r>
            <w:r>
              <w:rPr>
                <w:sz w:val="18"/>
              </w:rPr>
              <w:t>equivalent</w:t>
            </w:r>
            <w:r>
              <w:rPr>
                <w:spacing w:val="-9"/>
                <w:sz w:val="18"/>
              </w:rPr>
              <w:t> </w:t>
            </w:r>
            <w:r>
              <w:rPr>
                <w:sz w:val="18"/>
              </w:rPr>
              <w:t>(FTE)</w:t>
            </w:r>
            <w:r>
              <w:rPr>
                <w:spacing w:val="-46"/>
                <w:sz w:val="18"/>
              </w:rPr>
              <w:t> </w:t>
            </w:r>
            <w:r>
              <w:rPr>
                <w:sz w:val="18"/>
              </w:rPr>
              <w:t>(2)</w:t>
            </w:r>
          </w:p>
        </w:tc>
        <w:tc>
          <w:tcPr>
            <w:tcW w:w="1843" w:type="dxa"/>
            <w:shd w:val="clear" w:color="auto" w:fill="F1F1F1"/>
          </w:tcPr>
          <w:p>
            <w:pPr>
              <w:pStyle w:val="TableParagraph"/>
              <w:spacing w:before="109"/>
              <w:ind w:left="801" w:right="212" w:hanging="572"/>
              <w:rPr>
                <w:sz w:val="18"/>
              </w:rPr>
            </w:pPr>
            <w:r>
              <w:rPr>
                <w:sz w:val="18"/>
              </w:rPr>
              <w:t>Vacancies</w:t>
            </w:r>
            <w:r>
              <w:rPr>
                <w:spacing w:val="-10"/>
                <w:sz w:val="18"/>
              </w:rPr>
              <w:t> </w:t>
            </w:r>
            <w:r>
              <w:rPr>
                <w:sz w:val="18"/>
              </w:rPr>
              <w:t>(FTE)</w:t>
            </w:r>
            <w:r>
              <w:rPr>
                <w:spacing w:val="-46"/>
                <w:sz w:val="18"/>
              </w:rPr>
              <w:t> </w:t>
            </w:r>
            <w:r>
              <w:rPr>
                <w:sz w:val="18"/>
              </w:rPr>
              <w:t>(3)</w:t>
            </w:r>
          </w:p>
        </w:tc>
      </w:tr>
      <w:tr>
        <w:trPr>
          <w:trHeight w:val="441" w:hRule="atLeast"/>
        </w:trPr>
        <w:tc>
          <w:tcPr>
            <w:tcW w:w="4674" w:type="dxa"/>
          </w:tcPr>
          <w:p>
            <w:pPr>
              <w:pStyle w:val="TableParagraph"/>
              <w:spacing w:line="220" w:lineRule="exact"/>
              <w:ind w:left="114"/>
              <w:rPr>
                <w:sz w:val="18"/>
              </w:rPr>
            </w:pPr>
            <w:r>
              <w:rPr>
                <w:sz w:val="18"/>
              </w:rPr>
              <w:t>General</w:t>
            </w:r>
            <w:r>
              <w:rPr>
                <w:spacing w:val="-5"/>
                <w:sz w:val="18"/>
              </w:rPr>
              <w:t> </w:t>
            </w:r>
            <w:r>
              <w:rPr>
                <w:sz w:val="18"/>
              </w:rPr>
              <w:t>medical</w:t>
            </w:r>
            <w:r>
              <w:rPr>
                <w:spacing w:val="-5"/>
                <w:sz w:val="18"/>
              </w:rPr>
              <w:t> </w:t>
            </w:r>
            <w:r>
              <w:rPr>
                <w:sz w:val="18"/>
              </w:rPr>
              <w:t>practitioners,</w:t>
            </w:r>
            <w:r>
              <w:rPr>
                <w:spacing w:val="-8"/>
                <w:sz w:val="18"/>
              </w:rPr>
              <w:t> </w:t>
            </w:r>
            <w:r>
              <w:rPr>
                <w:sz w:val="18"/>
              </w:rPr>
              <w:t>please</w:t>
            </w:r>
            <w:r>
              <w:rPr>
                <w:spacing w:val="-5"/>
                <w:sz w:val="18"/>
              </w:rPr>
              <w:t> </w:t>
            </w:r>
            <w:r>
              <w:rPr>
                <w:sz w:val="18"/>
              </w:rPr>
              <w:t>provide</w:t>
            </w:r>
            <w:r>
              <w:rPr>
                <w:spacing w:val="-47"/>
                <w:sz w:val="18"/>
              </w:rPr>
              <w:t> </w:t>
            </w:r>
            <w:r>
              <w:rPr>
                <w:sz w:val="18"/>
              </w:rPr>
              <w:t>additional</w:t>
            </w:r>
            <w:r>
              <w:rPr>
                <w:spacing w:val="-2"/>
                <w:sz w:val="18"/>
              </w:rPr>
              <w:t> </w:t>
            </w:r>
            <w:r>
              <w:rPr>
                <w:sz w:val="18"/>
              </w:rPr>
              <w:t>details</w:t>
            </w:r>
            <w:r>
              <w:rPr>
                <w:spacing w:val="-4"/>
                <w:sz w:val="18"/>
              </w:rPr>
              <w:t> </w:t>
            </w:r>
            <w:r>
              <w:rPr>
                <w:sz w:val="18"/>
              </w:rPr>
              <w:t>in</w:t>
            </w:r>
            <w:r>
              <w:rPr>
                <w:spacing w:val="-1"/>
                <w:sz w:val="18"/>
              </w:rPr>
              <w:t> </w:t>
            </w:r>
            <w:r>
              <w:rPr>
                <w:sz w:val="18"/>
              </w:rPr>
              <w:t>Question</w:t>
            </w:r>
            <w:r>
              <w:rPr>
                <w:spacing w:val="-1"/>
                <w:sz w:val="18"/>
              </w:rPr>
              <w:t> </w:t>
            </w:r>
            <w:r>
              <w:rPr>
                <w:sz w:val="18"/>
              </w:rPr>
              <w:t>9 below</w:t>
            </w:r>
            <w:r>
              <w:rPr>
                <w:spacing w:val="-1"/>
                <w:sz w:val="18"/>
              </w:rPr>
              <w:t> </w:t>
            </w:r>
            <w:r>
              <w:rPr>
                <w:sz w:val="18"/>
              </w:rPr>
              <w:t>(1)</w:t>
            </w:r>
          </w:p>
        </w:tc>
        <w:tc>
          <w:tcPr>
            <w:tcW w:w="1839" w:type="dxa"/>
          </w:tcPr>
          <w:p>
            <w:pPr>
              <w:pStyle w:val="TableParagraph"/>
              <w:rPr>
                <w:rFonts w:ascii="Times New Roman"/>
                <w:sz w:val="18"/>
              </w:rPr>
            </w:pPr>
          </w:p>
        </w:tc>
        <w:tc>
          <w:tcPr>
            <w:tcW w:w="1707" w:type="dxa"/>
          </w:tcPr>
          <w:p>
            <w:pPr>
              <w:pStyle w:val="TableParagraph"/>
              <w:rPr>
                <w:rFonts w:ascii="Times New Roman"/>
                <w:sz w:val="18"/>
              </w:rPr>
            </w:pPr>
          </w:p>
        </w:tc>
        <w:tc>
          <w:tcPr>
            <w:tcW w:w="1843" w:type="dxa"/>
          </w:tcPr>
          <w:p>
            <w:pPr>
              <w:pStyle w:val="TableParagraph"/>
              <w:rPr>
                <w:rFonts w:ascii="Times New Roman"/>
                <w:sz w:val="18"/>
              </w:rPr>
            </w:pPr>
          </w:p>
        </w:tc>
      </w:tr>
      <w:tr>
        <w:trPr>
          <w:trHeight w:val="246" w:hRule="atLeast"/>
        </w:trPr>
        <w:tc>
          <w:tcPr>
            <w:tcW w:w="4674" w:type="dxa"/>
          </w:tcPr>
          <w:p>
            <w:pPr>
              <w:pStyle w:val="TableParagraph"/>
              <w:spacing w:line="214" w:lineRule="exact" w:before="13"/>
              <w:ind w:left="114"/>
              <w:rPr>
                <w:sz w:val="18"/>
              </w:rPr>
            </w:pPr>
            <w:r>
              <w:rPr>
                <w:sz w:val="18"/>
              </w:rPr>
              <w:t>General</w:t>
            </w:r>
            <w:r>
              <w:rPr>
                <w:spacing w:val="-5"/>
                <w:sz w:val="18"/>
              </w:rPr>
              <w:t> </w:t>
            </w:r>
            <w:r>
              <w:rPr>
                <w:sz w:val="18"/>
              </w:rPr>
              <w:t>practice</w:t>
            </w:r>
            <w:r>
              <w:rPr>
                <w:spacing w:val="-4"/>
                <w:sz w:val="18"/>
              </w:rPr>
              <w:t> </w:t>
            </w:r>
            <w:r>
              <w:rPr>
                <w:sz w:val="18"/>
              </w:rPr>
              <w:t>registrar/advanced</w:t>
            </w:r>
            <w:r>
              <w:rPr>
                <w:spacing w:val="-5"/>
                <w:sz w:val="18"/>
              </w:rPr>
              <w:t> </w:t>
            </w:r>
            <w:r>
              <w:rPr>
                <w:sz w:val="18"/>
              </w:rPr>
              <w:t>trainee</w:t>
            </w:r>
            <w:r>
              <w:rPr>
                <w:spacing w:val="-4"/>
                <w:sz w:val="18"/>
              </w:rPr>
              <w:t> </w:t>
            </w:r>
            <w:r>
              <w:rPr>
                <w:sz w:val="18"/>
              </w:rPr>
              <w:t>(4)</w:t>
            </w:r>
          </w:p>
        </w:tc>
        <w:tc>
          <w:tcPr>
            <w:tcW w:w="1839" w:type="dxa"/>
          </w:tcPr>
          <w:p>
            <w:pPr>
              <w:pStyle w:val="TableParagraph"/>
              <w:rPr>
                <w:rFonts w:ascii="Times New Roman"/>
                <w:sz w:val="16"/>
              </w:rPr>
            </w:pPr>
          </w:p>
        </w:tc>
        <w:tc>
          <w:tcPr>
            <w:tcW w:w="1707" w:type="dxa"/>
          </w:tcPr>
          <w:p>
            <w:pPr>
              <w:pStyle w:val="TableParagraph"/>
              <w:rPr>
                <w:rFonts w:ascii="Times New Roman"/>
                <w:sz w:val="16"/>
              </w:rPr>
            </w:pPr>
          </w:p>
        </w:tc>
        <w:tc>
          <w:tcPr>
            <w:tcW w:w="1843" w:type="dxa"/>
          </w:tcPr>
          <w:p>
            <w:pPr>
              <w:pStyle w:val="TableParagraph"/>
              <w:rPr>
                <w:rFonts w:ascii="Times New Roman"/>
                <w:sz w:val="16"/>
              </w:rPr>
            </w:pPr>
          </w:p>
        </w:tc>
      </w:tr>
      <w:tr>
        <w:trPr>
          <w:trHeight w:val="244" w:hRule="atLeast"/>
        </w:trPr>
        <w:tc>
          <w:tcPr>
            <w:tcW w:w="4674" w:type="dxa"/>
          </w:tcPr>
          <w:p>
            <w:pPr>
              <w:pStyle w:val="TableParagraph"/>
              <w:spacing w:line="214" w:lineRule="exact" w:before="10"/>
              <w:ind w:left="114"/>
              <w:rPr>
                <w:sz w:val="18"/>
              </w:rPr>
            </w:pPr>
            <w:r>
              <w:rPr>
                <w:sz w:val="18"/>
              </w:rPr>
              <w:t>Other</w:t>
            </w:r>
            <w:r>
              <w:rPr>
                <w:spacing w:val="-5"/>
                <w:sz w:val="18"/>
              </w:rPr>
              <w:t> </w:t>
            </w:r>
            <w:r>
              <w:rPr>
                <w:sz w:val="18"/>
              </w:rPr>
              <w:t>medical</w:t>
            </w:r>
            <w:r>
              <w:rPr>
                <w:spacing w:val="-4"/>
                <w:sz w:val="18"/>
              </w:rPr>
              <w:t> </w:t>
            </w:r>
            <w:r>
              <w:rPr>
                <w:sz w:val="18"/>
              </w:rPr>
              <w:t>practitioner,</w:t>
            </w:r>
            <w:r>
              <w:rPr>
                <w:spacing w:val="-6"/>
                <w:sz w:val="18"/>
              </w:rPr>
              <w:t> </w:t>
            </w:r>
            <w:r>
              <w:rPr>
                <w:sz w:val="18"/>
              </w:rPr>
              <w:t>please</w:t>
            </w:r>
            <w:r>
              <w:rPr>
                <w:spacing w:val="-4"/>
                <w:sz w:val="18"/>
              </w:rPr>
              <w:t> </w:t>
            </w:r>
            <w:r>
              <w:rPr>
                <w:sz w:val="18"/>
              </w:rPr>
              <w:t>specify</w:t>
            </w:r>
            <w:r>
              <w:rPr>
                <w:spacing w:val="-2"/>
                <w:sz w:val="18"/>
              </w:rPr>
              <w:t> </w:t>
            </w:r>
            <w:r>
              <w:rPr>
                <w:sz w:val="18"/>
              </w:rPr>
              <w:t>(6)</w:t>
            </w:r>
          </w:p>
        </w:tc>
        <w:tc>
          <w:tcPr>
            <w:tcW w:w="1839" w:type="dxa"/>
          </w:tcPr>
          <w:p>
            <w:pPr>
              <w:pStyle w:val="TableParagraph"/>
              <w:rPr>
                <w:rFonts w:ascii="Times New Roman"/>
                <w:sz w:val="16"/>
              </w:rPr>
            </w:pPr>
          </w:p>
        </w:tc>
        <w:tc>
          <w:tcPr>
            <w:tcW w:w="1707" w:type="dxa"/>
          </w:tcPr>
          <w:p>
            <w:pPr>
              <w:pStyle w:val="TableParagraph"/>
              <w:rPr>
                <w:rFonts w:ascii="Times New Roman"/>
                <w:sz w:val="16"/>
              </w:rPr>
            </w:pPr>
          </w:p>
        </w:tc>
        <w:tc>
          <w:tcPr>
            <w:tcW w:w="1843" w:type="dxa"/>
          </w:tcPr>
          <w:p>
            <w:pPr>
              <w:pStyle w:val="TableParagraph"/>
              <w:rPr>
                <w:rFonts w:ascii="Times New Roman"/>
                <w:sz w:val="16"/>
              </w:rPr>
            </w:pPr>
          </w:p>
        </w:tc>
      </w:tr>
      <w:tr>
        <w:trPr>
          <w:trHeight w:val="244" w:hRule="atLeast"/>
        </w:trPr>
        <w:tc>
          <w:tcPr>
            <w:tcW w:w="4674" w:type="dxa"/>
          </w:tcPr>
          <w:p>
            <w:pPr>
              <w:pStyle w:val="TableParagraph"/>
              <w:spacing w:line="214" w:lineRule="exact" w:before="10"/>
              <w:ind w:left="114"/>
              <w:rPr>
                <w:sz w:val="18"/>
              </w:rPr>
            </w:pPr>
            <w:r>
              <w:rPr>
                <w:sz w:val="18"/>
              </w:rPr>
              <w:t>Nurse</w:t>
            </w:r>
            <w:r>
              <w:rPr>
                <w:spacing w:val="-6"/>
                <w:sz w:val="18"/>
              </w:rPr>
              <w:t> </w:t>
            </w:r>
            <w:r>
              <w:rPr>
                <w:sz w:val="18"/>
              </w:rPr>
              <w:t>practitioner</w:t>
            </w:r>
            <w:r>
              <w:rPr>
                <w:spacing w:val="-5"/>
                <w:sz w:val="18"/>
              </w:rPr>
              <w:t> </w:t>
            </w:r>
            <w:r>
              <w:rPr>
                <w:sz w:val="18"/>
              </w:rPr>
              <w:t>(Registered</w:t>
            </w:r>
            <w:r>
              <w:rPr>
                <w:spacing w:val="-7"/>
                <w:sz w:val="18"/>
              </w:rPr>
              <w:t> </w:t>
            </w:r>
            <w:r>
              <w:rPr>
                <w:sz w:val="18"/>
              </w:rPr>
              <w:t>nurse)</w:t>
            </w:r>
            <w:r>
              <w:rPr>
                <w:spacing w:val="-4"/>
                <w:sz w:val="18"/>
              </w:rPr>
              <w:t> </w:t>
            </w:r>
            <w:r>
              <w:rPr>
                <w:sz w:val="18"/>
              </w:rPr>
              <w:t>(7)</w:t>
            </w:r>
          </w:p>
        </w:tc>
        <w:tc>
          <w:tcPr>
            <w:tcW w:w="1839" w:type="dxa"/>
          </w:tcPr>
          <w:p>
            <w:pPr>
              <w:pStyle w:val="TableParagraph"/>
              <w:rPr>
                <w:rFonts w:ascii="Times New Roman"/>
                <w:sz w:val="16"/>
              </w:rPr>
            </w:pPr>
          </w:p>
        </w:tc>
        <w:tc>
          <w:tcPr>
            <w:tcW w:w="1707" w:type="dxa"/>
          </w:tcPr>
          <w:p>
            <w:pPr>
              <w:pStyle w:val="TableParagraph"/>
              <w:rPr>
                <w:rFonts w:ascii="Times New Roman"/>
                <w:sz w:val="16"/>
              </w:rPr>
            </w:pPr>
          </w:p>
        </w:tc>
        <w:tc>
          <w:tcPr>
            <w:tcW w:w="1843" w:type="dxa"/>
          </w:tcPr>
          <w:p>
            <w:pPr>
              <w:pStyle w:val="TableParagraph"/>
              <w:rPr>
                <w:rFonts w:ascii="Times New Roman"/>
                <w:sz w:val="16"/>
              </w:rPr>
            </w:pPr>
          </w:p>
        </w:tc>
      </w:tr>
      <w:tr>
        <w:trPr>
          <w:trHeight w:val="246" w:hRule="atLeast"/>
        </w:trPr>
        <w:tc>
          <w:tcPr>
            <w:tcW w:w="4674" w:type="dxa"/>
          </w:tcPr>
          <w:p>
            <w:pPr>
              <w:pStyle w:val="TableParagraph"/>
              <w:spacing w:line="214" w:lineRule="exact" w:before="13"/>
              <w:ind w:left="114"/>
              <w:rPr>
                <w:sz w:val="18"/>
              </w:rPr>
            </w:pPr>
            <w:r>
              <w:rPr>
                <w:sz w:val="18"/>
              </w:rPr>
              <w:t>Remote</w:t>
            </w:r>
            <w:r>
              <w:rPr>
                <w:spacing w:val="-5"/>
                <w:sz w:val="18"/>
              </w:rPr>
              <w:t> </w:t>
            </w:r>
            <w:r>
              <w:rPr>
                <w:sz w:val="18"/>
              </w:rPr>
              <w:t>area</w:t>
            </w:r>
            <w:r>
              <w:rPr>
                <w:spacing w:val="-5"/>
                <w:sz w:val="18"/>
              </w:rPr>
              <w:t> </w:t>
            </w:r>
            <w:r>
              <w:rPr>
                <w:sz w:val="18"/>
              </w:rPr>
              <w:t>nurse</w:t>
            </w:r>
            <w:r>
              <w:rPr>
                <w:spacing w:val="-4"/>
                <w:sz w:val="18"/>
              </w:rPr>
              <w:t> </w:t>
            </w:r>
            <w:r>
              <w:rPr>
                <w:sz w:val="18"/>
              </w:rPr>
              <w:t>(Registered</w:t>
            </w:r>
            <w:r>
              <w:rPr>
                <w:spacing w:val="-5"/>
                <w:sz w:val="18"/>
              </w:rPr>
              <w:t> </w:t>
            </w:r>
            <w:r>
              <w:rPr>
                <w:sz w:val="18"/>
              </w:rPr>
              <w:t>nurse)</w:t>
            </w:r>
            <w:r>
              <w:rPr>
                <w:spacing w:val="-3"/>
                <w:sz w:val="18"/>
              </w:rPr>
              <w:t> </w:t>
            </w:r>
            <w:r>
              <w:rPr>
                <w:sz w:val="18"/>
              </w:rPr>
              <w:t>(8)</w:t>
            </w:r>
          </w:p>
        </w:tc>
        <w:tc>
          <w:tcPr>
            <w:tcW w:w="1839" w:type="dxa"/>
          </w:tcPr>
          <w:p>
            <w:pPr>
              <w:pStyle w:val="TableParagraph"/>
              <w:rPr>
                <w:rFonts w:ascii="Times New Roman"/>
                <w:sz w:val="16"/>
              </w:rPr>
            </w:pPr>
          </w:p>
        </w:tc>
        <w:tc>
          <w:tcPr>
            <w:tcW w:w="1707" w:type="dxa"/>
          </w:tcPr>
          <w:p>
            <w:pPr>
              <w:pStyle w:val="TableParagraph"/>
              <w:rPr>
                <w:rFonts w:ascii="Times New Roman"/>
                <w:sz w:val="16"/>
              </w:rPr>
            </w:pPr>
          </w:p>
        </w:tc>
        <w:tc>
          <w:tcPr>
            <w:tcW w:w="1843" w:type="dxa"/>
          </w:tcPr>
          <w:p>
            <w:pPr>
              <w:pStyle w:val="TableParagraph"/>
              <w:rPr>
                <w:rFonts w:ascii="Times New Roman"/>
                <w:sz w:val="16"/>
              </w:rPr>
            </w:pPr>
          </w:p>
        </w:tc>
      </w:tr>
      <w:tr>
        <w:trPr>
          <w:trHeight w:val="244" w:hRule="atLeast"/>
        </w:trPr>
        <w:tc>
          <w:tcPr>
            <w:tcW w:w="4674" w:type="dxa"/>
          </w:tcPr>
          <w:p>
            <w:pPr>
              <w:pStyle w:val="TableParagraph"/>
              <w:spacing w:line="214" w:lineRule="exact" w:before="10"/>
              <w:ind w:left="114"/>
              <w:rPr>
                <w:sz w:val="18"/>
              </w:rPr>
            </w:pPr>
            <w:r>
              <w:rPr>
                <w:sz w:val="18"/>
              </w:rPr>
              <w:t>Practice</w:t>
            </w:r>
            <w:r>
              <w:rPr>
                <w:spacing w:val="-5"/>
                <w:sz w:val="18"/>
              </w:rPr>
              <w:t> </w:t>
            </w:r>
            <w:r>
              <w:rPr>
                <w:sz w:val="18"/>
              </w:rPr>
              <w:t>nurse</w:t>
            </w:r>
            <w:r>
              <w:rPr>
                <w:spacing w:val="-5"/>
                <w:sz w:val="18"/>
              </w:rPr>
              <w:t> </w:t>
            </w:r>
            <w:r>
              <w:rPr>
                <w:sz w:val="18"/>
              </w:rPr>
              <w:t>(Registered</w:t>
            </w:r>
            <w:r>
              <w:rPr>
                <w:spacing w:val="-6"/>
                <w:sz w:val="18"/>
              </w:rPr>
              <w:t> </w:t>
            </w:r>
            <w:r>
              <w:rPr>
                <w:sz w:val="18"/>
              </w:rPr>
              <w:t>nurse)</w:t>
            </w:r>
            <w:r>
              <w:rPr>
                <w:spacing w:val="-4"/>
                <w:sz w:val="18"/>
              </w:rPr>
              <w:t> </w:t>
            </w:r>
            <w:r>
              <w:rPr>
                <w:sz w:val="18"/>
              </w:rPr>
              <w:t>(9)</w:t>
            </w:r>
          </w:p>
        </w:tc>
        <w:tc>
          <w:tcPr>
            <w:tcW w:w="1839" w:type="dxa"/>
          </w:tcPr>
          <w:p>
            <w:pPr>
              <w:pStyle w:val="TableParagraph"/>
              <w:rPr>
                <w:rFonts w:ascii="Times New Roman"/>
                <w:sz w:val="16"/>
              </w:rPr>
            </w:pPr>
          </w:p>
        </w:tc>
        <w:tc>
          <w:tcPr>
            <w:tcW w:w="1707" w:type="dxa"/>
          </w:tcPr>
          <w:p>
            <w:pPr>
              <w:pStyle w:val="TableParagraph"/>
              <w:rPr>
                <w:rFonts w:ascii="Times New Roman"/>
                <w:sz w:val="16"/>
              </w:rPr>
            </w:pPr>
          </w:p>
        </w:tc>
        <w:tc>
          <w:tcPr>
            <w:tcW w:w="1843" w:type="dxa"/>
          </w:tcPr>
          <w:p>
            <w:pPr>
              <w:pStyle w:val="TableParagraph"/>
              <w:rPr>
                <w:rFonts w:ascii="Times New Roman"/>
                <w:sz w:val="16"/>
              </w:rPr>
            </w:pPr>
          </w:p>
        </w:tc>
      </w:tr>
      <w:tr>
        <w:trPr>
          <w:trHeight w:val="244" w:hRule="atLeast"/>
        </w:trPr>
        <w:tc>
          <w:tcPr>
            <w:tcW w:w="4674" w:type="dxa"/>
          </w:tcPr>
          <w:p>
            <w:pPr>
              <w:pStyle w:val="TableParagraph"/>
              <w:spacing w:line="214" w:lineRule="exact" w:before="10"/>
              <w:ind w:left="114"/>
              <w:rPr>
                <w:sz w:val="18"/>
              </w:rPr>
            </w:pPr>
            <w:r>
              <w:rPr>
                <w:sz w:val="18"/>
              </w:rPr>
              <w:t>Practice</w:t>
            </w:r>
            <w:r>
              <w:rPr>
                <w:spacing w:val="-4"/>
                <w:sz w:val="18"/>
              </w:rPr>
              <w:t> </w:t>
            </w:r>
            <w:r>
              <w:rPr>
                <w:sz w:val="18"/>
              </w:rPr>
              <w:t>nurse</w:t>
            </w:r>
            <w:r>
              <w:rPr>
                <w:spacing w:val="-4"/>
                <w:sz w:val="18"/>
              </w:rPr>
              <w:t> </w:t>
            </w:r>
            <w:r>
              <w:rPr>
                <w:sz w:val="18"/>
              </w:rPr>
              <w:t>(Enrolled</w:t>
            </w:r>
            <w:r>
              <w:rPr>
                <w:spacing w:val="-5"/>
                <w:sz w:val="18"/>
              </w:rPr>
              <w:t> </w:t>
            </w:r>
            <w:r>
              <w:rPr>
                <w:sz w:val="18"/>
              </w:rPr>
              <w:t>nurse)</w:t>
            </w:r>
            <w:r>
              <w:rPr>
                <w:spacing w:val="-3"/>
                <w:sz w:val="18"/>
              </w:rPr>
              <w:t> </w:t>
            </w:r>
            <w:r>
              <w:rPr>
                <w:sz w:val="18"/>
              </w:rPr>
              <w:t>(10)</w:t>
            </w:r>
          </w:p>
        </w:tc>
        <w:tc>
          <w:tcPr>
            <w:tcW w:w="1839" w:type="dxa"/>
          </w:tcPr>
          <w:p>
            <w:pPr>
              <w:pStyle w:val="TableParagraph"/>
              <w:rPr>
                <w:rFonts w:ascii="Times New Roman"/>
                <w:sz w:val="16"/>
              </w:rPr>
            </w:pPr>
          </w:p>
        </w:tc>
        <w:tc>
          <w:tcPr>
            <w:tcW w:w="1707" w:type="dxa"/>
          </w:tcPr>
          <w:p>
            <w:pPr>
              <w:pStyle w:val="TableParagraph"/>
              <w:rPr>
                <w:rFonts w:ascii="Times New Roman"/>
                <w:sz w:val="16"/>
              </w:rPr>
            </w:pPr>
          </w:p>
        </w:tc>
        <w:tc>
          <w:tcPr>
            <w:tcW w:w="1843" w:type="dxa"/>
          </w:tcPr>
          <w:p>
            <w:pPr>
              <w:pStyle w:val="TableParagraph"/>
              <w:rPr>
                <w:rFonts w:ascii="Times New Roman"/>
                <w:sz w:val="16"/>
              </w:rPr>
            </w:pPr>
          </w:p>
        </w:tc>
      </w:tr>
      <w:tr>
        <w:trPr>
          <w:trHeight w:val="246" w:hRule="atLeast"/>
        </w:trPr>
        <w:tc>
          <w:tcPr>
            <w:tcW w:w="4674" w:type="dxa"/>
          </w:tcPr>
          <w:p>
            <w:pPr>
              <w:pStyle w:val="TableParagraph"/>
              <w:spacing w:line="214" w:lineRule="exact" w:before="13"/>
              <w:ind w:left="114"/>
              <w:rPr>
                <w:sz w:val="18"/>
              </w:rPr>
            </w:pPr>
            <w:r>
              <w:rPr>
                <w:sz w:val="18"/>
              </w:rPr>
              <w:t>Nursing</w:t>
            </w:r>
            <w:r>
              <w:rPr>
                <w:spacing w:val="-8"/>
                <w:sz w:val="18"/>
              </w:rPr>
              <w:t> </w:t>
            </w:r>
            <w:r>
              <w:rPr>
                <w:sz w:val="18"/>
              </w:rPr>
              <w:t>assistant/Assistant</w:t>
            </w:r>
            <w:r>
              <w:rPr>
                <w:spacing w:val="-7"/>
                <w:sz w:val="18"/>
              </w:rPr>
              <w:t> </w:t>
            </w:r>
            <w:r>
              <w:rPr>
                <w:sz w:val="18"/>
              </w:rPr>
              <w:t>in</w:t>
            </w:r>
            <w:r>
              <w:rPr>
                <w:spacing w:val="-7"/>
                <w:sz w:val="18"/>
              </w:rPr>
              <w:t> </w:t>
            </w:r>
            <w:r>
              <w:rPr>
                <w:sz w:val="18"/>
              </w:rPr>
              <w:t>Nursing</w:t>
            </w:r>
            <w:r>
              <w:rPr>
                <w:spacing w:val="-4"/>
                <w:sz w:val="18"/>
              </w:rPr>
              <w:t> </w:t>
            </w:r>
            <w:r>
              <w:rPr>
                <w:sz w:val="18"/>
              </w:rPr>
              <w:t>(11)</w:t>
            </w:r>
          </w:p>
        </w:tc>
        <w:tc>
          <w:tcPr>
            <w:tcW w:w="1839" w:type="dxa"/>
          </w:tcPr>
          <w:p>
            <w:pPr>
              <w:pStyle w:val="TableParagraph"/>
              <w:rPr>
                <w:rFonts w:ascii="Times New Roman"/>
                <w:sz w:val="16"/>
              </w:rPr>
            </w:pPr>
          </w:p>
        </w:tc>
        <w:tc>
          <w:tcPr>
            <w:tcW w:w="1707" w:type="dxa"/>
          </w:tcPr>
          <w:p>
            <w:pPr>
              <w:pStyle w:val="TableParagraph"/>
              <w:rPr>
                <w:rFonts w:ascii="Times New Roman"/>
                <w:sz w:val="16"/>
              </w:rPr>
            </w:pPr>
          </w:p>
        </w:tc>
        <w:tc>
          <w:tcPr>
            <w:tcW w:w="1843" w:type="dxa"/>
          </w:tcPr>
          <w:p>
            <w:pPr>
              <w:pStyle w:val="TableParagraph"/>
              <w:rPr>
                <w:rFonts w:ascii="Times New Roman"/>
                <w:sz w:val="16"/>
              </w:rPr>
            </w:pPr>
          </w:p>
        </w:tc>
      </w:tr>
      <w:tr>
        <w:trPr>
          <w:trHeight w:val="244" w:hRule="atLeast"/>
        </w:trPr>
        <w:tc>
          <w:tcPr>
            <w:tcW w:w="4674" w:type="dxa"/>
          </w:tcPr>
          <w:p>
            <w:pPr>
              <w:pStyle w:val="TableParagraph"/>
              <w:spacing w:line="214" w:lineRule="exact" w:before="10"/>
              <w:ind w:left="114"/>
              <w:rPr>
                <w:sz w:val="18"/>
              </w:rPr>
            </w:pPr>
            <w:r>
              <w:rPr>
                <w:sz w:val="18"/>
              </w:rPr>
              <w:t>Aboriginal</w:t>
            </w:r>
            <w:r>
              <w:rPr>
                <w:spacing w:val="-5"/>
                <w:sz w:val="18"/>
              </w:rPr>
              <w:t> </w:t>
            </w:r>
            <w:r>
              <w:rPr>
                <w:sz w:val="18"/>
              </w:rPr>
              <w:t>Health</w:t>
            </w:r>
            <w:r>
              <w:rPr>
                <w:spacing w:val="-2"/>
                <w:sz w:val="18"/>
              </w:rPr>
              <w:t> </w:t>
            </w:r>
            <w:r>
              <w:rPr>
                <w:sz w:val="18"/>
              </w:rPr>
              <w:t>Worker</w:t>
            </w:r>
            <w:r>
              <w:rPr>
                <w:spacing w:val="-3"/>
                <w:sz w:val="18"/>
              </w:rPr>
              <w:t> </w:t>
            </w:r>
            <w:r>
              <w:rPr>
                <w:sz w:val="18"/>
              </w:rPr>
              <w:t>(12)</w:t>
            </w:r>
          </w:p>
        </w:tc>
        <w:tc>
          <w:tcPr>
            <w:tcW w:w="1839" w:type="dxa"/>
          </w:tcPr>
          <w:p>
            <w:pPr>
              <w:pStyle w:val="TableParagraph"/>
              <w:rPr>
                <w:rFonts w:ascii="Times New Roman"/>
                <w:sz w:val="16"/>
              </w:rPr>
            </w:pPr>
          </w:p>
        </w:tc>
        <w:tc>
          <w:tcPr>
            <w:tcW w:w="1707" w:type="dxa"/>
          </w:tcPr>
          <w:p>
            <w:pPr>
              <w:pStyle w:val="TableParagraph"/>
              <w:rPr>
                <w:rFonts w:ascii="Times New Roman"/>
                <w:sz w:val="16"/>
              </w:rPr>
            </w:pPr>
          </w:p>
        </w:tc>
        <w:tc>
          <w:tcPr>
            <w:tcW w:w="1843" w:type="dxa"/>
          </w:tcPr>
          <w:p>
            <w:pPr>
              <w:pStyle w:val="TableParagraph"/>
              <w:rPr>
                <w:rFonts w:ascii="Times New Roman"/>
                <w:sz w:val="16"/>
              </w:rPr>
            </w:pPr>
          </w:p>
        </w:tc>
      </w:tr>
      <w:tr>
        <w:trPr>
          <w:trHeight w:val="244" w:hRule="atLeast"/>
        </w:trPr>
        <w:tc>
          <w:tcPr>
            <w:tcW w:w="4674" w:type="dxa"/>
          </w:tcPr>
          <w:p>
            <w:pPr>
              <w:pStyle w:val="TableParagraph"/>
              <w:spacing w:line="214" w:lineRule="exact" w:before="10"/>
              <w:ind w:left="114"/>
              <w:rPr>
                <w:sz w:val="18"/>
              </w:rPr>
            </w:pPr>
            <w:r>
              <w:rPr>
                <w:sz w:val="18"/>
              </w:rPr>
              <w:t>Medical</w:t>
            </w:r>
            <w:r>
              <w:rPr>
                <w:spacing w:val="-5"/>
                <w:sz w:val="18"/>
              </w:rPr>
              <w:t> </w:t>
            </w:r>
            <w:r>
              <w:rPr>
                <w:sz w:val="18"/>
              </w:rPr>
              <w:t>practice</w:t>
            </w:r>
            <w:r>
              <w:rPr>
                <w:spacing w:val="-4"/>
                <w:sz w:val="18"/>
              </w:rPr>
              <w:t> </w:t>
            </w:r>
            <w:r>
              <w:rPr>
                <w:sz w:val="18"/>
              </w:rPr>
              <w:t>assistant</w:t>
            </w:r>
            <w:r>
              <w:rPr>
                <w:spacing w:val="-3"/>
                <w:sz w:val="18"/>
              </w:rPr>
              <w:t> </w:t>
            </w:r>
            <w:r>
              <w:rPr>
                <w:sz w:val="18"/>
              </w:rPr>
              <w:t>(13)</w:t>
            </w:r>
          </w:p>
        </w:tc>
        <w:tc>
          <w:tcPr>
            <w:tcW w:w="1839" w:type="dxa"/>
          </w:tcPr>
          <w:p>
            <w:pPr>
              <w:pStyle w:val="TableParagraph"/>
              <w:rPr>
                <w:rFonts w:ascii="Times New Roman"/>
                <w:sz w:val="16"/>
              </w:rPr>
            </w:pPr>
          </w:p>
        </w:tc>
        <w:tc>
          <w:tcPr>
            <w:tcW w:w="1707" w:type="dxa"/>
          </w:tcPr>
          <w:p>
            <w:pPr>
              <w:pStyle w:val="TableParagraph"/>
              <w:rPr>
                <w:rFonts w:ascii="Times New Roman"/>
                <w:sz w:val="16"/>
              </w:rPr>
            </w:pPr>
          </w:p>
        </w:tc>
        <w:tc>
          <w:tcPr>
            <w:tcW w:w="1843" w:type="dxa"/>
          </w:tcPr>
          <w:p>
            <w:pPr>
              <w:pStyle w:val="TableParagraph"/>
              <w:rPr>
                <w:rFonts w:ascii="Times New Roman"/>
                <w:sz w:val="16"/>
              </w:rPr>
            </w:pPr>
          </w:p>
        </w:tc>
      </w:tr>
      <w:tr>
        <w:trPr>
          <w:trHeight w:val="441" w:hRule="atLeast"/>
        </w:trPr>
        <w:tc>
          <w:tcPr>
            <w:tcW w:w="4674" w:type="dxa"/>
          </w:tcPr>
          <w:p>
            <w:pPr>
              <w:pStyle w:val="TableParagraph"/>
              <w:spacing w:line="218" w:lineRule="exact"/>
              <w:ind w:left="114" w:right="816"/>
              <w:rPr>
                <w:sz w:val="18"/>
              </w:rPr>
            </w:pPr>
            <w:r>
              <w:rPr>
                <w:sz w:val="18"/>
              </w:rPr>
              <w:t>Allied health. Please provide details in next</w:t>
            </w:r>
            <w:r>
              <w:rPr>
                <w:spacing w:val="-48"/>
                <w:sz w:val="18"/>
              </w:rPr>
              <w:t> </w:t>
            </w:r>
            <w:r>
              <w:rPr>
                <w:sz w:val="18"/>
              </w:rPr>
              <w:t>question</w:t>
            </w:r>
            <w:r>
              <w:rPr>
                <w:spacing w:val="-3"/>
                <w:sz w:val="18"/>
              </w:rPr>
              <w:t> </w:t>
            </w:r>
            <w:r>
              <w:rPr>
                <w:sz w:val="18"/>
              </w:rPr>
              <w:t>10 below (23)</w:t>
            </w:r>
          </w:p>
        </w:tc>
        <w:tc>
          <w:tcPr>
            <w:tcW w:w="1839" w:type="dxa"/>
          </w:tcPr>
          <w:p>
            <w:pPr>
              <w:pStyle w:val="TableParagraph"/>
              <w:rPr>
                <w:rFonts w:ascii="Times New Roman"/>
                <w:sz w:val="18"/>
              </w:rPr>
            </w:pPr>
          </w:p>
        </w:tc>
        <w:tc>
          <w:tcPr>
            <w:tcW w:w="1707" w:type="dxa"/>
          </w:tcPr>
          <w:p>
            <w:pPr>
              <w:pStyle w:val="TableParagraph"/>
              <w:rPr>
                <w:rFonts w:ascii="Times New Roman"/>
                <w:sz w:val="18"/>
              </w:rPr>
            </w:pPr>
          </w:p>
        </w:tc>
        <w:tc>
          <w:tcPr>
            <w:tcW w:w="1843" w:type="dxa"/>
          </w:tcPr>
          <w:p>
            <w:pPr>
              <w:pStyle w:val="TableParagraph"/>
              <w:rPr>
                <w:rFonts w:ascii="Times New Roman"/>
                <w:sz w:val="18"/>
              </w:rPr>
            </w:pPr>
          </w:p>
        </w:tc>
      </w:tr>
      <w:tr>
        <w:trPr>
          <w:trHeight w:val="246" w:hRule="atLeast"/>
        </w:trPr>
        <w:tc>
          <w:tcPr>
            <w:tcW w:w="4674" w:type="dxa"/>
          </w:tcPr>
          <w:p>
            <w:pPr>
              <w:pStyle w:val="TableParagraph"/>
              <w:spacing w:line="214" w:lineRule="exact" w:before="13"/>
              <w:ind w:left="114"/>
              <w:rPr>
                <w:sz w:val="18"/>
              </w:rPr>
            </w:pPr>
            <w:r>
              <w:rPr>
                <w:sz w:val="18"/>
              </w:rPr>
              <w:t>Allied</w:t>
            </w:r>
            <w:r>
              <w:rPr>
                <w:spacing w:val="-5"/>
                <w:sz w:val="18"/>
              </w:rPr>
              <w:t> </w:t>
            </w:r>
            <w:r>
              <w:rPr>
                <w:sz w:val="18"/>
              </w:rPr>
              <w:t>health</w:t>
            </w:r>
            <w:r>
              <w:rPr>
                <w:spacing w:val="-4"/>
                <w:sz w:val="18"/>
              </w:rPr>
              <w:t> </w:t>
            </w:r>
            <w:r>
              <w:rPr>
                <w:sz w:val="18"/>
              </w:rPr>
              <w:t>assistant</w:t>
            </w:r>
            <w:r>
              <w:rPr>
                <w:spacing w:val="-4"/>
                <w:sz w:val="18"/>
              </w:rPr>
              <w:t> </w:t>
            </w:r>
            <w:r>
              <w:rPr>
                <w:sz w:val="18"/>
              </w:rPr>
              <w:t>(24)</w:t>
            </w:r>
          </w:p>
        </w:tc>
        <w:tc>
          <w:tcPr>
            <w:tcW w:w="1839" w:type="dxa"/>
          </w:tcPr>
          <w:p>
            <w:pPr>
              <w:pStyle w:val="TableParagraph"/>
              <w:rPr>
                <w:rFonts w:ascii="Times New Roman"/>
                <w:sz w:val="16"/>
              </w:rPr>
            </w:pPr>
          </w:p>
        </w:tc>
        <w:tc>
          <w:tcPr>
            <w:tcW w:w="1707" w:type="dxa"/>
          </w:tcPr>
          <w:p>
            <w:pPr>
              <w:pStyle w:val="TableParagraph"/>
              <w:rPr>
                <w:rFonts w:ascii="Times New Roman"/>
                <w:sz w:val="16"/>
              </w:rPr>
            </w:pPr>
          </w:p>
        </w:tc>
        <w:tc>
          <w:tcPr>
            <w:tcW w:w="1843" w:type="dxa"/>
          </w:tcPr>
          <w:p>
            <w:pPr>
              <w:pStyle w:val="TableParagraph"/>
              <w:rPr>
                <w:rFonts w:ascii="Times New Roman"/>
                <w:sz w:val="16"/>
              </w:rPr>
            </w:pPr>
          </w:p>
        </w:tc>
      </w:tr>
      <w:tr>
        <w:trPr>
          <w:trHeight w:val="244" w:hRule="atLeast"/>
        </w:trPr>
        <w:tc>
          <w:tcPr>
            <w:tcW w:w="4674" w:type="dxa"/>
          </w:tcPr>
          <w:p>
            <w:pPr>
              <w:pStyle w:val="TableParagraph"/>
              <w:spacing w:line="214" w:lineRule="exact" w:before="10"/>
              <w:ind w:left="114"/>
              <w:rPr>
                <w:sz w:val="18"/>
              </w:rPr>
            </w:pPr>
            <w:r>
              <w:rPr>
                <w:sz w:val="18"/>
              </w:rPr>
              <w:t>Practice</w:t>
            </w:r>
            <w:r>
              <w:rPr>
                <w:spacing w:val="-5"/>
                <w:sz w:val="18"/>
              </w:rPr>
              <w:t> </w:t>
            </w:r>
            <w:r>
              <w:rPr>
                <w:sz w:val="18"/>
              </w:rPr>
              <w:t>manager</w:t>
            </w:r>
            <w:r>
              <w:rPr>
                <w:spacing w:val="-2"/>
                <w:sz w:val="18"/>
              </w:rPr>
              <w:t> </w:t>
            </w:r>
            <w:r>
              <w:rPr>
                <w:sz w:val="18"/>
              </w:rPr>
              <w:t>(25)</w:t>
            </w:r>
          </w:p>
        </w:tc>
        <w:tc>
          <w:tcPr>
            <w:tcW w:w="1839" w:type="dxa"/>
          </w:tcPr>
          <w:p>
            <w:pPr>
              <w:pStyle w:val="TableParagraph"/>
              <w:rPr>
                <w:rFonts w:ascii="Times New Roman"/>
                <w:sz w:val="16"/>
              </w:rPr>
            </w:pPr>
          </w:p>
        </w:tc>
        <w:tc>
          <w:tcPr>
            <w:tcW w:w="1707" w:type="dxa"/>
          </w:tcPr>
          <w:p>
            <w:pPr>
              <w:pStyle w:val="TableParagraph"/>
              <w:rPr>
                <w:rFonts w:ascii="Times New Roman"/>
                <w:sz w:val="16"/>
              </w:rPr>
            </w:pPr>
          </w:p>
        </w:tc>
        <w:tc>
          <w:tcPr>
            <w:tcW w:w="1843" w:type="dxa"/>
          </w:tcPr>
          <w:p>
            <w:pPr>
              <w:pStyle w:val="TableParagraph"/>
              <w:rPr>
                <w:rFonts w:ascii="Times New Roman"/>
                <w:sz w:val="16"/>
              </w:rPr>
            </w:pPr>
          </w:p>
        </w:tc>
      </w:tr>
      <w:tr>
        <w:trPr>
          <w:trHeight w:val="244" w:hRule="atLeast"/>
        </w:trPr>
        <w:tc>
          <w:tcPr>
            <w:tcW w:w="4674" w:type="dxa"/>
          </w:tcPr>
          <w:p>
            <w:pPr>
              <w:pStyle w:val="TableParagraph"/>
              <w:spacing w:line="214" w:lineRule="exact" w:before="10"/>
              <w:ind w:left="114"/>
              <w:rPr>
                <w:sz w:val="18"/>
              </w:rPr>
            </w:pPr>
            <w:r>
              <w:rPr>
                <w:sz w:val="18"/>
              </w:rPr>
              <w:t>Receptionist/</w:t>
            </w:r>
            <w:r>
              <w:rPr>
                <w:spacing w:val="-3"/>
                <w:sz w:val="18"/>
              </w:rPr>
              <w:t> </w:t>
            </w:r>
            <w:r>
              <w:rPr>
                <w:sz w:val="18"/>
              </w:rPr>
              <w:t>Administrative</w:t>
            </w:r>
            <w:r>
              <w:rPr>
                <w:spacing w:val="-9"/>
                <w:sz w:val="18"/>
              </w:rPr>
              <w:t> </w:t>
            </w:r>
            <w:r>
              <w:rPr>
                <w:sz w:val="18"/>
              </w:rPr>
              <w:t>staff</w:t>
            </w:r>
            <w:r>
              <w:rPr>
                <w:spacing w:val="-5"/>
                <w:sz w:val="18"/>
              </w:rPr>
              <w:t> </w:t>
            </w:r>
            <w:r>
              <w:rPr>
                <w:sz w:val="18"/>
              </w:rPr>
              <w:t>(26)</w:t>
            </w:r>
          </w:p>
        </w:tc>
        <w:tc>
          <w:tcPr>
            <w:tcW w:w="1839" w:type="dxa"/>
          </w:tcPr>
          <w:p>
            <w:pPr>
              <w:pStyle w:val="TableParagraph"/>
              <w:rPr>
                <w:rFonts w:ascii="Times New Roman"/>
                <w:sz w:val="16"/>
              </w:rPr>
            </w:pPr>
          </w:p>
        </w:tc>
        <w:tc>
          <w:tcPr>
            <w:tcW w:w="1707" w:type="dxa"/>
          </w:tcPr>
          <w:p>
            <w:pPr>
              <w:pStyle w:val="TableParagraph"/>
              <w:rPr>
                <w:rFonts w:ascii="Times New Roman"/>
                <w:sz w:val="16"/>
              </w:rPr>
            </w:pPr>
          </w:p>
        </w:tc>
        <w:tc>
          <w:tcPr>
            <w:tcW w:w="1843" w:type="dxa"/>
          </w:tcPr>
          <w:p>
            <w:pPr>
              <w:pStyle w:val="TableParagraph"/>
              <w:rPr>
                <w:rFonts w:ascii="Times New Roman"/>
                <w:sz w:val="16"/>
              </w:rPr>
            </w:pPr>
          </w:p>
        </w:tc>
      </w:tr>
      <w:tr>
        <w:trPr>
          <w:trHeight w:val="246" w:hRule="atLeast"/>
        </w:trPr>
        <w:tc>
          <w:tcPr>
            <w:tcW w:w="4674" w:type="dxa"/>
          </w:tcPr>
          <w:p>
            <w:pPr>
              <w:pStyle w:val="TableParagraph"/>
              <w:spacing w:line="214" w:lineRule="exact" w:before="13"/>
              <w:ind w:left="114"/>
              <w:rPr>
                <w:sz w:val="18"/>
              </w:rPr>
            </w:pPr>
            <w:r>
              <w:rPr>
                <w:sz w:val="18"/>
              </w:rPr>
              <w:t>Other.</w:t>
            </w:r>
            <w:r>
              <w:rPr>
                <w:spacing w:val="-5"/>
                <w:sz w:val="18"/>
              </w:rPr>
              <w:t> </w:t>
            </w:r>
            <w:r>
              <w:rPr>
                <w:sz w:val="18"/>
              </w:rPr>
              <w:t>Please</w:t>
            </w:r>
            <w:r>
              <w:rPr>
                <w:spacing w:val="-3"/>
                <w:sz w:val="18"/>
              </w:rPr>
              <w:t> </w:t>
            </w:r>
            <w:r>
              <w:rPr>
                <w:sz w:val="18"/>
              </w:rPr>
              <w:t>specify:</w:t>
            </w:r>
            <w:r>
              <w:rPr>
                <w:spacing w:val="-3"/>
                <w:sz w:val="18"/>
              </w:rPr>
              <w:t> </w:t>
            </w:r>
            <w:r>
              <w:rPr>
                <w:sz w:val="18"/>
              </w:rPr>
              <w:t>(27)</w:t>
            </w:r>
          </w:p>
        </w:tc>
        <w:tc>
          <w:tcPr>
            <w:tcW w:w="1839" w:type="dxa"/>
          </w:tcPr>
          <w:p>
            <w:pPr>
              <w:pStyle w:val="TableParagraph"/>
              <w:rPr>
                <w:rFonts w:ascii="Times New Roman"/>
                <w:sz w:val="16"/>
              </w:rPr>
            </w:pPr>
          </w:p>
        </w:tc>
        <w:tc>
          <w:tcPr>
            <w:tcW w:w="1707" w:type="dxa"/>
          </w:tcPr>
          <w:p>
            <w:pPr>
              <w:pStyle w:val="TableParagraph"/>
              <w:rPr>
                <w:rFonts w:ascii="Times New Roman"/>
                <w:sz w:val="16"/>
              </w:rPr>
            </w:pPr>
          </w:p>
        </w:tc>
        <w:tc>
          <w:tcPr>
            <w:tcW w:w="1843" w:type="dxa"/>
          </w:tcPr>
          <w:p>
            <w:pPr>
              <w:pStyle w:val="TableParagraph"/>
              <w:rPr>
                <w:rFonts w:ascii="Times New Roman"/>
                <w:sz w:val="16"/>
              </w:rPr>
            </w:pPr>
          </w:p>
        </w:tc>
      </w:tr>
    </w:tbl>
    <w:p>
      <w:pPr>
        <w:spacing w:after="0"/>
        <w:rPr>
          <w:rFonts w:ascii="Times New Roman"/>
          <w:sz w:val="16"/>
        </w:rPr>
        <w:sectPr>
          <w:footerReference w:type="default" r:id="rId42"/>
          <w:pgSz w:w="11910" w:h="16840"/>
          <w:pgMar w:footer="906" w:header="0" w:top="860" w:bottom="1100" w:left="580" w:right="280"/>
          <w:pgNumType w:start="88"/>
        </w:sectPr>
      </w:pPr>
    </w:p>
    <w:p>
      <w:pPr>
        <w:pStyle w:val="ListParagraph"/>
        <w:numPr>
          <w:ilvl w:val="0"/>
          <w:numId w:val="41"/>
        </w:numPr>
        <w:tabs>
          <w:tab w:pos="567" w:val="left" w:leader="none"/>
          <w:tab w:pos="568" w:val="left" w:leader="none"/>
        </w:tabs>
        <w:spacing w:line="240" w:lineRule="auto" w:before="87" w:after="0"/>
        <w:ind w:left="567" w:right="477" w:hanging="428"/>
        <w:jc w:val="left"/>
        <w:rPr>
          <w:sz w:val="18"/>
        </w:rPr>
      </w:pPr>
      <w:r>
        <w:rPr>
          <w:sz w:val="18"/>
        </w:rPr>
        <w:t>Please provide additional details of the GPs who work in the practice.</w:t>
      </w:r>
      <w:r>
        <w:rPr>
          <w:spacing w:val="1"/>
          <w:sz w:val="18"/>
        </w:rPr>
        <w:t> </w:t>
      </w:r>
      <w:r>
        <w:rPr>
          <w:sz w:val="18"/>
        </w:rPr>
        <w:t>Please also indicate how many of these GPs</w:t>
      </w:r>
      <w:r>
        <w:rPr>
          <w:spacing w:val="-48"/>
          <w:sz w:val="18"/>
        </w:rPr>
        <w:t> </w:t>
      </w:r>
      <w:r>
        <w:rPr>
          <w:sz w:val="18"/>
        </w:rPr>
        <w:t>are</w:t>
      </w:r>
      <w:r>
        <w:rPr>
          <w:spacing w:val="-1"/>
          <w:sz w:val="18"/>
        </w:rPr>
        <w:t> </w:t>
      </w:r>
      <w:r>
        <w:rPr>
          <w:sz w:val="18"/>
        </w:rPr>
        <w:t>participating</w:t>
      </w:r>
      <w:r>
        <w:rPr>
          <w:spacing w:val="-2"/>
          <w:sz w:val="18"/>
        </w:rPr>
        <w:t> </w:t>
      </w:r>
      <w:r>
        <w:rPr>
          <w:sz w:val="18"/>
        </w:rPr>
        <w:t>the HCH</w:t>
      </w:r>
      <w:r>
        <w:rPr>
          <w:spacing w:val="-1"/>
          <w:sz w:val="18"/>
        </w:rPr>
        <w:t> </w:t>
      </w:r>
      <w:r>
        <w:rPr>
          <w:sz w:val="18"/>
        </w:rPr>
        <w:t>program.</w:t>
      </w:r>
    </w:p>
    <w:p>
      <w:pPr>
        <w:pStyle w:val="BodyText"/>
        <w:spacing w:before="1"/>
        <w:rPr>
          <w:sz w:val="23"/>
        </w:rPr>
      </w:pPr>
    </w:p>
    <w:tbl>
      <w:tblPr>
        <w:tblW w:w="0" w:type="auto"/>
        <w:jc w:val="left"/>
        <w:tblInd w:w="774"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143"/>
        <w:gridCol w:w="1020"/>
        <w:gridCol w:w="1161"/>
        <w:gridCol w:w="1766"/>
        <w:gridCol w:w="3117"/>
      </w:tblGrid>
      <w:tr>
        <w:trPr>
          <w:trHeight w:val="662" w:hRule="atLeast"/>
        </w:trPr>
        <w:tc>
          <w:tcPr>
            <w:tcW w:w="2143" w:type="dxa"/>
            <w:vMerge w:val="restart"/>
            <w:shd w:val="clear" w:color="auto" w:fill="F1F1F1"/>
          </w:tcPr>
          <w:p>
            <w:pPr>
              <w:pStyle w:val="TableParagraph"/>
              <w:rPr>
                <w:rFonts w:ascii="Times New Roman"/>
                <w:sz w:val="18"/>
              </w:rPr>
            </w:pPr>
          </w:p>
        </w:tc>
        <w:tc>
          <w:tcPr>
            <w:tcW w:w="2181" w:type="dxa"/>
            <w:gridSpan w:val="2"/>
            <w:shd w:val="clear" w:color="auto" w:fill="F1F1F1"/>
          </w:tcPr>
          <w:p>
            <w:pPr>
              <w:pStyle w:val="TableParagraph"/>
              <w:spacing w:before="11"/>
              <w:rPr>
                <w:sz w:val="17"/>
              </w:rPr>
            </w:pPr>
          </w:p>
          <w:p>
            <w:pPr>
              <w:pStyle w:val="TableParagraph"/>
              <w:ind w:left="902" w:right="894"/>
              <w:jc w:val="center"/>
              <w:rPr>
                <w:sz w:val="18"/>
              </w:rPr>
            </w:pPr>
            <w:r>
              <w:rPr>
                <w:sz w:val="18"/>
              </w:rPr>
              <w:t>GPs</w:t>
            </w:r>
          </w:p>
        </w:tc>
        <w:tc>
          <w:tcPr>
            <w:tcW w:w="1766" w:type="dxa"/>
            <w:shd w:val="clear" w:color="auto" w:fill="F1F1F1"/>
          </w:tcPr>
          <w:p>
            <w:pPr>
              <w:pStyle w:val="TableParagraph"/>
              <w:spacing w:line="220" w:lineRule="exact"/>
              <w:ind w:left="130" w:right="116"/>
              <w:jc w:val="center"/>
              <w:rPr>
                <w:sz w:val="18"/>
              </w:rPr>
            </w:pPr>
            <w:r>
              <w:rPr>
                <w:sz w:val="18"/>
              </w:rPr>
              <w:t>GPs participating</w:t>
            </w:r>
            <w:r>
              <w:rPr>
                <w:spacing w:val="-47"/>
                <w:sz w:val="18"/>
              </w:rPr>
              <w:t> </w:t>
            </w:r>
            <w:r>
              <w:rPr>
                <w:sz w:val="18"/>
              </w:rPr>
              <w:t>in the HCH</w:t>
            </w:r>
            <w:r>
              <w:rPr>
                <w:spacing w:val="1"/>
                <w:sz w:val="18"/>
              </w:rPr>
              <w:t> </w:t>
            </w:r>
            <w:r>
              <w:rPr>
                <w:sz w:val="18"/>
              </w:rPr>
              <w:t>program</w:t>
            </w:r>
          </w:p>
        </w:tc>
        <w:tc>
          <w:tcPr>
            <w:tcW w:w="3117" w:type="dxa"/>
            <w:vMerge w:val="restart"/>
            <w:shd w:val="clear" w:color="auto" w:fill="F1F1F1"/>
          </w:tcPr>
          <w:p>
            <w:pPr>
              <w:pStyle w:val="TableParagraph"/>
              <w:rPr>
                <w:sz w:val="22"/>
              </w:rPr>
            </w:pPr>
          </w:p>
          <w:p>
            <w:pPr>
              <w:pStyle w:val="TableParagraph"/>
              <w:spacing w:before="3"/>
              <w:rPr>
                <w:sz w:val="23"/>
              </w:rPr>
            </w:pPr>
          </w:p>
          <w:p>
            <w:pPr>
              <w:pStyle w:val="TableParagraph"/>
              <w:spacing w:before="1"/>
              <w:ind w:left="585"/>
              <w:rPr>
                <w:sz w:val="18"/>
              </w:rPr>
            </w:pPr>
            <w:r>
              <w:rPr>
                <w:sz w:val="18"/>
              </w:rPr>
              <w:t>Comment</w:t>
            </w:r>
            <w:r>
              <w:rPr>
                <w:spacing w:val="-3"/>
                <w:sz w:val="18"/>
              </w:rPr>
              <w:t> </w:t>
            </w:r>
            <w:r>
              <w:rPr>
                <w:sz w:val="18"/>
              </w:rPr>
              <w:t>(if</w:t>
            </w:r>
            <w:r>
              <w:rPr>
                <w:spacing w:val="-3"/>
                <w:sz w:val="18"/>
              </w:rPr>
              <w:t> </w:t>
            </w:r>
            <w:r>
              <w:rPr>
                <w:sz w:val="18"/>
              </w:rPr>
              <w:t>required)</w:t>
            </w:r>
          </w:p>
        </w:tc>
      </w:tr>
      <w:tr>
        <w:trPr>
          <w:trHeight w:val="661" w:hRule="atLeast"/>
        </w:trPr>
        <w:tc>
          <w:tcPr>
            <w:tcW w:w="2143" w:type="dxa"/>
            <w:vMerge/>
            <w:tcBorders>
              <w:top w:val="nil"/>
            </w:tcBorders>
            <w:shd w:val="clear" w:color="auto" w:fill="F1F1F1"/>
          </w:tcPr>
          <w:p>
            <w:pPr>
              <w:rPr>
                <w:sz w:val="2"/>
                <w:szCs w:val="2"/>
              </w:rPr>
            </w:pPr>
          </w:p>
        </w:tc>
        <w:tc>
          <w:tcPr>
            <w:tcW w:w="1020" w:type="dxa"/>
            <w:shd w:val="clear" w:color="auto" w:fill="F1F1F1"/>
          </w:tcPr>
          <w:p>
            <w:pPr>
              <w:pStyle w:val="TableParagraph"/>
              <w:spacing w:line="220" w:lineRule="exact"/>
              <w:ind w:left="251" w:right="239" w:hanging="3"/>
              <w:jc w:val="center"/>
              <w:rPr>
                <w:sz w:val="18"/>
              </w:rPr>
            </w:pPr>
            <w:r>
              <w:rPr>
                <w:sz w:val="18"/>
              </w:rPr>
              <w:t>Head</w:t>
            </w:r>
            <w:r>
              <w:rPr>
                <w:spacing w:val="-47"/>
                <w:sz w:val="18"/>
              </w:rPr>
              <w:t> </w:t>
            </w:r>
            <w:r>
              <w:rPr>
                <w:sz w:val="18"/>
              </w:rPr>
              <w:t>count</w:t>
            </w:r>
            <w:r>
              <w:rPr>
                <w:spacing w:val="-47"/>
                <w:sz w:val="18"/>
              </w:rPr>
              <w:t> </w:t>
            </w:r>
            <w:r>
              <w:rPr>
                <w:sz w:val="18"/>
              </w:rPr>
              <w:t>(1)</w:t>
            </w:r>
          </w:p>
        </w:tc>
        <w:tc>
          <w:tcPr>
            <w:tcW w:w="1161" w:type="dxa"/>
            <w:shd w:val="clear" w:color="auto" w:fill="F1F1F1"/>
          </w:tcPr>
          <w:p>
            <w:pPr>
              <w:pStyle w:val="TableParagraph"/>
              <w:spacing w:line="220" w:lineRule="exact"/>
              <w:ind w:left="115" w:right="99" w:hanging="4"/>
              <w:jc w:val="center"/>
              <w:rPr>
                <w:sz w:val="18"/>
              </w:rPr>
            </w:pPr>
            <w:r>
              <w:rPr>
                <w:sz w:val="18"/>
              </w:rPr>
              <w:t>Full-time</w:t>
            </w:r>
            <w:r>
              <w:rPr>
                <w:spacing w:val="1"/>
                <w:sz w:val="18"/>
              </w:rPr>
              <w:t> </w:t>
            </w:r>
            <w:r>
              <w:rPr>
                <w:sz w:val="18"/>
              </w:rPr>
              <w:t>equivalent</w:t>
            </w:r>
            <w:r>
              <w:rPr>
                <w:spacing w:val="-47"/>
                <w:sz w:val="18"/>
              </w:rPr>
              <w:t> </w:t>
            </w:r>
            <w:r>
              <w:rPr>
                <w:sz w:val="18"/>
              </w:rPr>
              <w:t>(FTE) (2)</w:t>
            </w:r>
          </w:p>
        </w:tc>
        <w:tc>
          <w:tcPr>
            <w:tcW w:w="1766" w:type="dxa"/>
            <w:shd w:val="clear" w:color="auto" w:fill="F1F1F1"/>
          </w:tcPr>
          <w:p>
            <w:pPr>
              <w:pStyle w:val="TableParagraph"/>
              <w:spacing w:before="11"/>
              <w:rPr>
                <w:sz w:val="17"/>
              </w:rPr>
            </w:pPr>
          </w:p>
          <w:p>
            <w:pPr>
              <w:pStyle w:val="TableParagraph"/>
              <w:ind w:left="217"/>
              <w:rPr>
                <w:sz w:val="18"/>
              </w:rPr>
            </w:pPr>
            <w:r>
              <w:rPr>
                <w:sz w:val="18"/>
              </w:rPr>
              <w:t>Head</w:t>
            </w:r>
            <w:r>
              <w:rPr>
                <w:spacing w:val="-4"/>
                <w:sz w:val="18"/>
              </w:rPr>
              <w:t> </w:t>
            </w:r>
            <w:r>
              <w:rPr>
                <w:sz w:val="18"/>
              </w:rPr>
              <w:t>count</w:t>
            </w:r>
            <w:r>
              <w:rPr>
                <w:spacing w:val="-1"/>
                <w:sz w:val="18"/>
              </w:rPr>
              <w:t> </w:t>
            </w:r>
            <w:r>
              <w:rPr>
                <w:sz w:val="18"/>
              </w:rPr>
              <w:t>(3)</w:t>
            </w:r>
          </w:p>
        </w:tc>
        <w:tc>
          <w:tcPr>
            <w:tcW w:w="3117" w:type="dxa"/>
            <w:vMerge/>
            <w:tcBorders>
              <w:top w:val="nil"/>
            </w:tcBorders>
            <w:shd w:val="clear" w:color="auto" w:fill="F1F1F1"/>
          </w:tcPr>
          <w:p>
            <w:pPr>
              <w:rPr>
                <w:sz w:val="2"/>
                <w:szCs w:val="2"/>
              </w:rPr>
            </w:pPr>
          </w:p>
        </w:tc>
      </w:tr>
      <w:tr>
        <w:trPr>
          <w:trHeight w:val="244" w:hRule="atLeast"/>
        </w:trPr>
        <w:tc>
          <w:tcPr>
            <w:tcW w:w="2143" w:type="dxa"/>
          </w:tcPr>
          <w:p>
            <w:pPr>
              <w:pStyle w:val="TableParagraph"/>
              <w:spacing w:line="214" w:lineRule="exact" w:before="10"/>
              <w:ind w:left="115"/>
              <w:rPr>
                <w:sz w:val="18"/>
              </w:rPr>
            </w:pPr>
            <w:r>
              <w:rPr>
                <w:sz w:val="18"/>
              </w:rPr>
              <w:t>Owner/</w:t>
            </w:r>
            <w:r>
              <w:rPr>
                <w:spacing w:val="-3"/>
                <w:sz w:val="18"/>
              </w:rPr>
              <w:t> </w:t>
            </w:r>
            <w:r>
              <w:rPr>
                <w:sz w:val="18"/>
              </w:rPr>
              <w:t>partner</w:t>
            </w:r>
          </w:p>
        </w:tc>
        <w:tc>
          <w:tcPr>
            <w:tcW w:w="1020" w:type="dxa"/>
          </w:tcPr>
          <w:p>
            <w:pPr>
              <w:pStyle w:val="TableParagraph"/>
              <w:rPr>
                <w:rFonts w:ascii="Times New Roman"/>
                <w:sz w:val="16"/>
              </w:rPr>
            </w:pPr>
          </w:p>
        </w:tc>
        <w:tc>
          <w:tcPr>
            <w:tcW w:w="1161" w:type="dxa"/>
          </w:tcPr>
          <w:p>
            <w:pPr>
              <w:pStyle w:val="TableParagraph"/>
              <w:rPr>
                <w:rFonts w:ascii="Times New Roman"/>
                <w:sz w:val="16"/>
              </w:rPr>
            </w:pPr>
          </w:p>
        </w:tc>
        <w:tc>
          <w:tcPr>
            <w:tcW w:w="1766" w:type="dxa"/>
          </w:tcPr>
          <w:p>
            <w:pPr>
              <w:pStyle w:val="TableParagraph"/>
              <w:rPr>
                <w:rFonts w:ascii="Times New Roman"/>
                <w:sz w:val="16"/>
              </w:rPr>
            </w:pPr>
          </w:p>
        </w:tc>
        <w:tc>
          <w:tcPr>
            <w:tcW w:w="3117" w:type="dxa"/>
          </w:tcPr>
          <w:p>
            <w:pPr>
              <w:pStyle w:val="TableParagraph"/>
              <w:rPr>
                <w:rFonts w:ascii="Times New Roman"/>
                <w:sz w:val="16"/>
              </w:rPr>
            </w:pPr>
          </w:p>
        </w:tc>
      </w:tr>
      <w:tr>
        <w:trPr>
          <w:trHeight w:val="246" w:hRule="atLeast"/>
        </w:trPr>
        <w:tc>
          <w:tcPr>
            <w:tcW w:w="2143" w:type="dxa"/>
          </w:tcPr>
          <w:p>
            <w:pPr>
              <w:pStyle w:val="TableParagraph"/>
              <w:spacing w:line="214" w:lineRule="exact" w:before="13"/>
              <w:ind w:left="115"/>
              <w:rPr>
                <w:sz w:val="18"/>
              </w:rPr>
            </w:pPr>
            <w:r>
              <w:rPr>
                <w:sz w:val="18"/>
              </w:rPr>
              <w:t>Salaried</w:t>
            </w:r>
          </w:p>
        </w:tc>
        <w:tc>
          <w:tcPr>
            <w:tcW w:w="1020" w:type="dxa"/>
          </w:tcPr>
          <w:p>
            <w:pPr>
              <w:pStyle w:val="TableParagraph"/>
              <w:rPr>
                <w:rFonts w:ascii="Times New Roman"/>
                <w:sz w:val="16"/>
              </w:rPr>
            </w:pPr>
          </w:p>
        </w:tc>
        <w:tc>
          <w:tcPr>
            <w:tcW w:w="1161" w:type="dxa"/>
          </w:tcPr>
          <w:p>
            <w:pPr>
              <w:pStyle w:val="TableParagraph"/>
              <w:rPr>
                <w:rFonts w:ascii="Times New Roman"/>
                <w:sz w:val="16"/>
              </w:rPr>
            </w:pPr>
          </w:p>
        </w:tc>
        <w:tc>
          <w:tcPr>
            <w:tcW w:w="1766" w:type="dxa"/>
          </w:tcPr>
          <w:p>
            <w:pPr>
              <w:pStyle w:val="TableParagraph"/>
              <w:rPr>
                <w:rFonts w:ascii="Times New Roman"/>
                <w:sz w:val="16"/>
              </w:rPr>
            </w:pPr>
          </w:p>
        </w:tc>
        <w:tc>
          <w:tcPr>
            <w:tcW w:w="3117" w:type="dxa"/>
          </w:tcPr>
          <w:p>
            <w:pPr>
              <w:pStyle w:val="TableParagraph"/>
              <w:rPr>
                <w:rFonts w:ascii="Times New Roman"/>
                <w:sz w:val="16"/>
              </w:rPr>
            </w:pPr>
          </w:p>
        </w:tc>
      </w:tr>
      <w:tr>
        <w:trPr>
          <w:trHeight w:val="244" w:hRule="atLeast"/>
        </w:trPr>
        <w:tc>
          <w:tcPr>
            <w:tcW w:w="2143" w:type="dxa"/>
          </w:tcPr>
          <w:p>
            <w:pPr>
              <w:pStyle w:val="TableParagraph"/>
              <w:spacing w:line="214" w:lineRule="exact" w:before="10"/>
              <w:ind w:left="115"/>
              <w:rPr>
                <w:sz w:val="18"/>
              </w:rPr>
            </w:pPr>
            <w:r>
              <w:rPr>
                <w:sz w:val="18"/>
              </w:rPr>
              <w:t>Contract</w:t>
            </w:r>
          </w:p>
        </w:tc>
        <w:tc>
          <w:tcPr>
            <w:tcW w:w="1020" w:type="dxa"/>
          </w:tcPr>
          <w:p>
            <w:pPr>
              <w:pStyle w:val="TableParagraph"/>
              <w:rPr>
                <w:rFonts w:ascii="Times New Roman"/>
                <w:sz w:val="16"/>
              </w:rPr>
            </w:pPr>
          </w:p>
        </w:tc>
        <w:tc>
          <w:tcPr>
            <w:tcW w:w="1161" w:type="dxa"/>
          </w:tcPr>
          <w:p>
            <w:pPr>
              <w:pStyle w:val="TableParagraph"/>
              <w:rPr>
                <w:rFonts w:ascii="Times New Roman"/>
                <w:sz w:val="16"/>
              </w:rPr>
            </w:pPr>
          </w:p>
        </w:tc>
        <w:tc>
          <w:tcPr>
            <w:tcW w:w="1766" w:type="dxa"/>
          </w:tcPr>
          <w:p>
            <w:pPr>
              <w:pStyle w:val="TableParagraph"/>
              <w:rPr>
                <w:rFonts w:ascii="Times New Roman"/>
                <w:sz w:val="16"/>
              </w:rPr>
            </w:pPr>
          </w:p>
        </w:tc>
        <w:tc>
          <w:tcPr>
            <w:tcW w:w="3117" w:type="dxa"/>
          </w:tcPr>
          <w:p>
            <w:pPr>
              <w:pStyle w:val="TableParagraph"/>
              <w:rPr>
                <w:rFonts w:ascii="Times New Roman"/>
                <w:sz w:val="16"/>
              </w:rPr>
            </w:pPr>
          </w:p>
        </w:tc>
      </w:tr>
      <w:tr>
        <w:trPr>
          <w:trHeight w:val="246" w:hRule="atLeast"/>
        </w:trPr>
        <w:tc>
          <w:tcPr>
            <w:tcW w:w="2143" w:type="dxa"/>
          </w:tcPr>
          <w:p>
            <w:pPr>
              <w:pStyle w:val="TableParagraph"/>
              <w:spacing w:line="216" w:lineRule="exact" w:before="10"/>
              <w:ind w:left="115"/>
              <w:rPr>
                <w:sz w:val="18"/>
              </w:rPr>
            </w:pPr>
            <w:r>
              <w:rPr>
                <w:sz w:val="18"/>
              </w:rPr>
              <w:t>Other</w:t>
            </w:r>
          </w:p>
        </w:tc>
        <w:tc>
          <w:tcPr>
            <w:tcW w:w="1020" w:type="dxa"/>
          </w:tcPr>
          <w:p>
            <w:pPr>
              <w:pStyle w:val="TableParagraph"/>
              <w:rPr>
                <w:rFonts w:ascii="Times New Roman"/>
                <w:sz w:val="16"/>
              </w:rPr>
            </w:pPr>
          </w:p>
        </w:tc>
        <w:tc>
          <w:tcPr>
            <w:tcW w:w="1161" w:type="dxa"/>
          </w:tcPr>
          <w:p>
            <w:pPr>
              <w:pStyle w:val="TableParagraph"/>
              <w:rPr>
                <w:rFonts w:ascii="Times New Roman"/>
                <w:sz w:val="16"/>
              </w:rPr>
            </w:pPr>
          </w:p>
        </w:tc>
        <w:tc>
          <w:tcPr>
            <w:tcW w:w="1766" w:type="dxa"/>
          </w:tcPr>
          <w:p>
            <w:pPr>
              <w:pStyle w:val="TableParagraph"/>
              <w:rPr>
                <w:rFonts w:ascii="Times New Roman"/>
                <w:sz w:val="16"/>
              </w:rPr>
            </w:pPr>
          </w:p>
        </w:tc>
        <w:tc>
          <w:tcPr>
            <w:tcW w:w="3117" w:type="dxa"/>
          </w:tcPr>
          <w:p>
            <w:pPr>
              <w:pStyle w:val="TableParagraph"/>
              <w:rPr>
                <w:rFonts w:ascii="Times New Roman"/>
                <w:sz w:val="16"/>
              </w:rPr>
            </w:pPr>
          </w:p>
        </w:tc>
      </w:tr>
    </w:tbl>
    <w:p>
      <w:pPr>
        <w:pStyle w:val="BodyText"/>
        <w:spacing w:before="7"/>
        <w:rPr>
          <w:sz w:val="19"/>
        </w:rPr>
      </w:pPr>
    </w:p>
    <w:p>
      <w:pPr>
        <w:pStyle w:val="ListParagraph"/>
        <w:numPr>
          <w:ilvl w:val="0"/>
          <w:numId w:val="41"/>
        </w:numPr>
        <w:tabs>
          <w:tab w:pos="568" w:val="left" w:leader="none"/>
        </w:tabs>
        <w:spacing w:line="240" w:lineRule="auto" w:before="0" w:after="0"/>
        <w:ind w:left="567" w:right="541" w:hanging="428"/>
        <w:jc w:val="left"/>
        <w:rPr>
          <w:sz w:val="18"/>
        </w:rPr>
      </w:pPr>
      <w:r>
        <w:rPr>
          <w:sz w:val="18"/>
        </w:rPr>
        <w:t>If allied health staff or allied health assistants are/were employed at the commencement of the HCH program,</w:t>
      </w:r>
      <w:r>
        <w:rPr>
          <w:spacing w:val="1"/>
          <w:sz w:val="18"/>
        </w:rPr>
        <w:t> </w:t>
      </w:r>
      <w:r>
        <w:rPr>
          <w:sz w:val="18"/>
        </w:rPr>
        <w:t>please provide details of how many are/were employed in the practice/ service, by discipline. Please provide the</w:t>
      </w:r>
      <w:r>
        <w:rPr>
          <w:spacing w:val="-47"/>
          <w:sz w:val="18"/>
        </w:rPr>
        <w:t> </w:t>
      </w:r>
      <w:r>
        <w:rPr>
          <w:sz w:val="18"/>
        </w:rPr>
        <w:t>head</w:t>
      </w:r>
      <w:r>
        <w:rPr>
          <w:spacing w:val="-4"/>
          <w:sz w:val="18"/>
        </w:rPr>
        <w:t> </w:t>
      </w:r>
      <w:r>
        <w:rPr>
          <w:sz w:val="18"/>
        </w:rPr>
        <w:t>count</w:t>
      </w:r>
      <w:r>
        <w:rPr>
          <w:spacing w:val="-3"/>
          <w:sz w:val="18"/>
        </w:rPr>
        <w:t> </w:t>
      </w:r>
      <w:r>
        <w:rPr>
          <w:sz w:val="18"/>
        </w:rPr>
        <w:t>(number</w:t>
      </w:r>
      <w:r>
        <w:rPr>
          <w:spacing w:val="-2"/>
          <w:sz w:val="18"/>
        </w:rPr>
        <w:t> </w:t>
      </w:r>
      <w:r>
        <w:rPr>
          <w:sz w:val="18"/>
        </w:rPr>
        <w:t>of</w:t>
      </w:r>
      <w:r>
        <w:rPr>
          <w:spacing w:val="-2"/>
          <w:sz w:val="18"/>
        </w:rPr>
        <w:t> </w:t>
      </w:r>
      <w:r>
        <w:rPr>
          <w:sz w:val="18"/>
        </w:rPr>
        <w:t>actual</w:t>
      </w:r>
      <w:r>
        <w:rPr>
          <w:spacing w:val="-3"/>
          <w:sz w:val="18"/>
        </w:rPr>
        <w:t> </w:t>
      </w:r>
      <w:r>
        <w:rPr>
          <w:sz w:val="18"/>
        </w:rPr>
        <w:t>people)</w:t>
      </w:r>
      <w:r>
        <w:rPr>
          <w:spacing w:val="-5"/>
          <w:sz w:val="18"/>
        </w:rPr>
        <w:t> </w:t>
      </w:r>
      <w:r>
        <w:rPr>
          <w:sz w:val="18"/>
        </w:rPr>
        <w:t>and</w:t>
      </w:r>
      <w:r>
        <w:rPr>
          <w:spacing w:val="-4"/>
          <w:sz w:val="18"/>
        </w:rPr>
        <w:t> </w:t>
      </w:r>
      <w:r>
        <w:rPr>
          <w:sz w:val="18"/>
        </w:rPr>
        <w:t>full</w:t>
      </w:r>
      <w:r>
        <w:rPr>
          <w:spacing w:val="-4"/>
          <w:sz w:val="18"/>
        </w:rPr>
        <w:t> </w:t>
      </w:r>
      <w:r>
        <w:rPr>
          <w:sz w:val="18"/>
        </w:rPr>
        <w:t>time</w:t>
      </w:r>
      <w:r>
        <w:rPr>
          <w:spacing w:val="-3"/>
          <w:sz w:val="18"/>
        </w:rPr>
        <w:t> </w:t>
      </w:r>
      <w:r>
        <w:rPr>
          <w:sz w:val="18"/>
        </w:rPr>
        <w:t>equivalent</w:t>
      </w:r>
      <w:r>
        <w:rPr>
          <w:spacing w:val="-2"/>
          <w:sz w:val="18"/>
        </w:rPr>
        <w:t> </w:t>
      </w:r>
      <w:r>
        <w:rPr>
          <w:sz w:val="18"/>
        </w:rPr>
        <w:t>(FTE)</w:t>
      </w:r>
      <w:r>
        <w:rPr>
          <w:spacing w:val="-5"/>
          <w:sz w:val="18"/>
        </w:rPr>
        <w:t> </w:t>
      </w:r>
      <w:r>
        <w:rPr>
          <w:sz w:val="18"/>
        </w:rPr>
        <w:t>for</w:t>
      </w:r>
      <w:r>
        <w:rPr>
          <w:spacing w:val="-3"/>
          <w:sz w:val="18"/>
        </w:rPr>
        <w:t> </w:t>
      </w:r>
      <w:r>
        <w:rPr>
          <w:sz w:val="18"/>
        </w:rPr>
        <w:t>each</w:t>
      </w:r>
      <w:r>
        <w:rPr>
          <w:spacing w:val="-3"/>
          <w:sz w:val="18"/>
        </w:rPr>
        <w:t> </w:t>
      </w:r>
      <w:r>
        <w:rPr>
          <w:sz w:val="18"/>
        </w:rPr>
        <w:t>staff</w:t>
      </w:r>
      <w:r>
        <w:rPr>
          <w:spacing w:val="-7"/>
          <w:sz w:val="18"/>
        </w:rPr>
        <w:t> </w:t>
      </w:r>
      <w:r>
        <w:rPr>
          <w:sz w:val="18"/>
        </w:rPr>
        <w:t>type.</w:t>
      </w:r>
      <w:r>
        <w:rPr>
          <w:spacing w:val="-5"/>
          <w:sz w:val="18"/>
        </w:rPr>
        <w:t> </w:t>
      </w:r>
      <w:r>
        <w:rPr>
          <w:sz w:val="18"/>
        </w:rPr>
        <w:t>How</w:t>
      </w:r>
      <w:r>
        <w:rPr>
          <w:spacing w:val="-1"/>
          <w:sz w:val="18"/>
        </w:rPr>
        <w:t> </w:t>
      </w:r>
      <w:r>
        <w:rPr>
          <w:sz w:val="18"/>
        </w:rPr>
        <w:t>many</w:t>
      </w:r>
      <w:r>
        <w:rPr>
          <w:spacing w:val="-4"/>
          <w:sz w:val="18"/>
        </w:rPr>
        <w:t> </w:t>
      </w:r>
      <w:r>
        <w:rPr>
          <w:sz w:val="18"/>
        </w:rPr>
        <w:t>FTE</w:t>
      </w:r>
      <w:r>
        <w:rPr>
          <w:spacing w:val="-1"/>
          <w:sz w:val="18"/>
        </w:rPr>
        <w:t> </w:t>
      </w:r>
      <w:r>
        <w:rPr>
          <w:sz w:val="18"/>
        </w:rPr>
        <w:t>vacancies</w:t>
      </w:r>
      <w:r>
        <w:rPr>
          <w:spacing w:val="1"/>
          <w:sz w:val="18"/>
        </w:rPr>
        <w:t> </w:t>
      </w:r>
      <w:r>
        <w:rPr>
          <w:sz w:val="18"/>
        </w:rPr>
        <w:t>were</w:t>
      </w:r>
      <w:r>
        <w:rPr>
          <w:spacing w:val="-1"/>
          <w:sz w:val="18"/>
        </w:rPr>
        <w:t> </w:t>
      </w:r>
      <w:r>
        <w:rPr>
          <w:sz w:val="18"/>
        </w:rPr>
        <w:t>there at</w:t>
      </w:r>
      <w:r>
        <w:rPr>
          <w:spacing w:val="-2"/>
          <w:sz w:val="18"/>
        </w:rPr>
        <w:t> </w:t>
      </w:r>
      <w:r>
        <w:rPr>
          <w:sz w:val="18"/>
        </w:rPr>
        <w:t>that</w:t>
      </w:r>
      <w:r>
        <w:rPr>
          <w:spacing w:val="-2"/>
          <w:sz w:val="18"/>
        </w:rPr>
        <w:t> </w:t>
      </w:r>
      <w:r>
        <w:rPr>
          <w:sz w:val="18"/>
        </w:rPr>
        <w:t>date?</w:t>
      </w:r>
    </w:p>
    <w:p>
      <w:pPr>
        <w:pStyle w:val="BodyText"/>
        <w:rPr>
          <w:sz w:val="23"/>
        </w:rPr>
      </w:pPr>
    </w:p>
    <w:tbl>
      <w:tblPr>
        <w:tblW w:w="0" w:type="auto"/>
        <w:jc w:val="left"/>
        <w:tblInd w:w="1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683"/>
        <w:gridCol w:w="2269"/>
        <w:gridCol w:w="2269"/>
        <w:gridCol w:w="2268"/>
      </w:tblGrid>
      <w:tr>
        <w:trPr>
          <w:trHeight w:val="993" w:hRule="atLeast"/>
        </w:trPr>
        <w:tc>
          <w:tcPr>
            <w:tcW w:w="3683" w:type="dxa"/>
            <w:shd w:val="clear" w:color="auto" w:fill="F1F1F1"/>
          </w:tcPr>
          <w:p>
            <w:pPr>
              <w:pStyle w:val="TableParagraph"/>
              <w:rPr>
                <w:rFonts w:ascii="Times New Roman"/>
                <w:sz w:val="18"/>
              </w:rPr>
            </w:pPr>
          </w:p>
        </w:tc>
        <w:tc>
          <w:tcPr>
            <w:tcW w:w="2269" w:type="dxa"/>
            <w:shd w:val="clear" w:color="auto" w:fill="F1F1F1"/>
          </w:tcPr>
          <w:p>
            <w:pPr>
              <w:pStyle w:val="TableParagraph"/>
              <w:spacing w:line="219" w:lineRule="exact"/>
              <w:ind w:left="186" w:right="184"/>
              <w:jc w:val="center"/>
              <w:rPr>
                <w:sz w:val="18"/>
              </w:rPr>
            </w:pPr>
            <w:r>
              <w:rPr>
                <w:sz w:val="18"/>
              </w:rPr>
              <w:t>Allied</w:t>
            </w:r>
            <w:r>
              <w:rPr>
                <w:spacing w:val="-5"/>
                <w:sz w:val="18"/>
              </w:rPr>
              <w:t> </w:t>
            </w:r>
            <w:r>
              <w:rPr>
                <w:sz w:val="18"/>
              </w:rPr>
              <w:t>health</w:t>
            </w:r>
            <w:r>
              <w:rPr>
                <w:spacing w:val="-3"/>
                <w:sz w:val="18"/>
              </w:rPr>
              <w:t> </w:t>
            </w:r>
            <w:r>
              <w:rPr>
                <w:sz w:val="18"/>
              </w:rPr>
              <w:t>staff/</w:t>
            </w:r>
          </w:p>
          <w:p>
            <w:pPr>
              <w:pStyle w:val="TableParagraph"/>
              <w:spacing w:line="330" w:lineRule="atLeast" w:before="1"/>
              <w:ind w:left="191" w:right="184"/>
              <w:jc w:val="center"/>
              <w:rPr>
                <w:sz w:val="18"/>
              </w:rPr>
            </w:pPr>
            <w:r>
              <w:rPr>
                <w:sz w:val="18"/>
              </w:rPr>
              <w:t>assistants head count</w:t>
            </w:r>
            <w:r>
              <w:rPr>
                <w:spacing w:val="-47"/>
                <w:sz w:val="18"/>
              </w:rPr>
              <w:t> </w:t>
            </w:r>
            <w:r>
              <w:rPr>
                <w:sz w:val="18"/>
              </w:rPr>
              <w:t>(1)</w:t>
            </w:r>
          </w:p>
        </w:tc>
        <w:tc>
          <w:tcPr>
            <w:tcW w:w="2269" w:type="dxa"/>
            <w:shd w:val="clear" w:color="auto" w:fill="F1F1F1"/>
          </w:tcPr>
          <w:p>
            <w:pPr>
              <w:pStyle w:val="TableParagraph"/>
              <w:spacing w:line="219" w:lineRule="exact"/>
              <w:ind w:left="370" w:hanging="32"/>
              <w:rPr>
                <w:sz w:val="18"/>
              </w:rPr>
            </w:pPr>
            <w:r>
              <w:rPr>
                <w:sz w:val="18"/>
              </w:rPr>
              <w:t>Allied</w:t>
            </w:r>
            <w:r>
              <w:rPr>
                <w:spacing w:val="-5"/>
                <w:sz w:val="18"/>
              </w:rPr>
              <w:t> </w:t>
            </w:r>
            <w:r>
              <w:rPr>
                <w:sz w:val="18"/>
              </w:rPr>
              <w:t>health</w:t>
            </w:r>
            <w:r>
              <w:rPr>
                <w:spacing w:val="-3"/>
                <w:sz w:val="18"/>
              </w:rPr>
              <w:t> </w:t>
            </w:r>
            <w:r>
              <w:rPr>
                <w:sz w:val="18"/>
              </w:rPr>
              <w:t>staff/</w:t>
            </w:r>
          </w:p>
          <w:p>
            <w:pPr>
              <w:pStyle w:val="TableParagraph"/>
              <w:spacing w:line="330" w:lineRule="atLeast" w:before="1"/>
              <w:ind w:left="303" w:right="287" w:firstLine="67"/>
              <w:rPr>
                <w:sz w:val="18"/>
              </w:rPr>
            </w:pPr>
            <w:r>
              <w:rPr>
                <w:sz w:val="18"/>
              </w:rPr>
              <w:t>assistants full-time</w:t>
            </w:r>
            <w:r>
              <w:rPr>
                <w:spacing w:val="1"/>
                <w:sz w:val="18"/>
              </w:rPr>
              <w:t> </w:t>
            </w:r>
            <w:r>
              <w:rPr>
                <w:sz w:val="18"/>
              </w:rPr>
              <w:t>equivalent</w:t>
            </w:r>
            <w:r>
              <w:rPr>
                <w:spacing w:val="-5"/>
                <w:sz w:val="18"/>
              </w:rPr>
              <w:t> </w:t>
            </w:r>
            <w:r>
              <w:rPr>
                <w:sz w:val="18"/>
              </w:rPr>
              <w:t>(FTE)</w:t>
            </w:r>
            <w:r>
              <w:rPr>
                <w:spacing w:val="-4"/>
                <w:sz w:val="18"/>
              </w:rPr>
              <w:t> </w:t>
            </w:r>
            <w:r>
              <w:rPr>
                <w:sz w:val="18"/>
              </w:rPr>
              <w:t>(2)</w:t>
            </w:r>
          </w:p>
        </w:tc>
        <w:tc>
          <w:tcPr>
            <w:tcW w:w="2268" w:type="dxa"/>
            <w:shd w:val="clear" w:color="auto" w:fill="F1F1F1"/>
          </w:tcPr>
          <w:p>
            <w:pPr>
              <w:pStyle w:val="TableParagraph"/>
              <w:spacing w:line="219" w:lineRule="exact"/>
              <w:ind w:left="288" w:firstLine="50"/>
              <w:rPr>
                <w:sz w:val="18"/>
              </w:rPr>
            </w:pPr>
            <w:r>
              <w:rPr>
                <w:sz w:val="18"/>
              </w:rPr>
              <w:t>Allied</w:t>
            </w:r>
            <w:r>
              <w:rPr>
                <w:spacing w:val="-5"/>
                <w:sz w:val="18"/>
              </w:rPr>
              <w:t> </w:t>
            </w:r>
            <w:r>
              <w:rPr>
                <w:sz w:val="18"/>
              </w:rPr>
              <w:t>health</w:t>
            </w:r>
            <w:r>
              <w:rPr>
                <w:spacing w:val="-3"/>
                <w:sz w:val="18"/>
              </w:rPr>
              <w:t> </w:t>
            </w:r>
            <w:r>
              <w:rPr>
                <w:sz w:val="18"/>
              </w:rPr>
              <w:t>staff/</w:t>
            </w:r>
          </w:p>
          <w:p>
            <w:pPr>
              <w:pStyle w:val="TableParagraph"/>
              <w:spacing w:line="330" w:lineRule="atLeast" w:before="1"/>
              <w:ind w:left="792" w:right="265" w:hanging="504"/>
              <w:rPr>
                <w:sz w:val="18"/>
              </w:rPr>
            </w:pPr>
            <w:r>
              <w:rPr>
                <w:sz w:val="18"/>
              </w:rPr>
              <w:t>assistant vacancies</w:t>
            </w:r>
            <w:r>
              <w:rPr>
                <w:spacing w:val="-47"/>
                <w:sz w:val="18"/>
              </w:rPr>
              <w:t> </w:t>
            </w:r>
            <w:r>
              <w:rPr>
                <w:sz w:val="18"/>
              </w:rPr>
              <w:t>(FTE) (3)</w:t>
            </w:r>
          </w:p>
        </w:tc>
      </w:tr>
      <w:tr>
        <w:trPr>
          <w:trHeight w:val="330" w:hRule="atLeast"/>
        </w:trPr>
        <w:tc>
          <w:tcPr>
            <w:tcW w:w="3683" w:type="dxa"/>
          </w:tcPr>
          <w:p>
            <w:pPr>
              <w:pStyle w:val="TableParagraph"/>
              <w:spacing w:line="219" w:lineRule="exact"/>
              <w:ind w:left="115"/>
              <w:rPr>
                <w:sz w:val="18"/>
              </w:rPr>
            </w:pPr>
            <w:r>
              <w:rPr>
                <w:sz w:val="18"/>
              </w:rPr>
              <w:t>Physiotherapist</w:t>
            </w:r>
            <w:r>
              <w:rPr>
                <w:spacing w:val="-5"/>
                <w:sz w:val="18"/>
              </w:rPr>
              <w:t> </w:t>
            </w:r>
            <w:r>
              <w:rPr>
                <w:sz w:val="18"/>
              </w:rPr>
              <w:t>(25)</w:t>
            </w:r>
          </w:p>
        </w:tc>
        <w:tc>
          <w:tcPr>
            <w:tcW w:w="2269" w:type="dxa"/>
          </w:tcPr>
          <w:p>
            <w:pPr>
              <w:pStyle w:val="TableParagraph"/>
              <w:rPr>
                <w:rFonts w:ascii="Times New Roman"/>
                <w:sz w:val="18"/>
              </w:rPr>
            </w:pPr>
          </w:p>
        </w:tc>
        <w:tc>
          <w:tcPr>
            <w:tcW w:w="2269" w:type="dxa"/>
          </w:tcPr>
          <w:p>
            <w:pPr>
              <w:pStyle w:val="TableParagraph"/>
              <w:rPr>
                <w:rFonts w:ascii="Times New Roman"/>
                <w:sz w:val="18"/>
              </w:rPr>
            </w:pPr>
          </w:p>
        </w:tc>
        <w:tc>
          <w:tcPr>
            <w:tcW w:w="2268" w:type="dxa"/>
          </w:tcPr>
          <w:p>
            <w:pPr>
              <w:pStyle w:val="TableParagraph"/>
              <w:rPr>
                <w:rFonts w:ascii="Times New Roman"/>
                <w:sz w:val="18"/>
              </w:rPr>
            </w:pPr>
          </w:p>
        </w:tc>
      </w:tr>
      <w:tr>
        <w:trPr>
          <w:trHeight w:val="330" w:hRule="atLeast"/>
        </w:trPr>
        <w:tc>
          <w:tcPr>
            <w:tcW w:w="3683" w:type="dxa"/>
          </w:tcPr>
          <w:p>
            <w:pPr>
              <w:pStyle w:val="TableParagraph"/>
              <w:spacing w:line="219" w:lineRule="exact"/>
              <w:ind w:left="115"/>
              <w:rPr>
                <w:sz w:val="18"/>
              </w:rPr>
            </w:pPr>
            <w:r>
              <w:rPr>
                <w:sz w:val="18"/>
              </w:rPr>
              <w:t>Dietitian</w:t>
            </w:r>
            <w:r>
              <w:rPr>
                <w:spacing w:val="-3"/>
                <w:sz w:val="18"/>
              </w:rPr>
              <w:t> </w:t>
            </w:r>
            <w:r>
              <w:rPr>
                <w:sz w:val="18"/>
              </w:rPr>
              <w:t>(15)</w:t>
            </w:r>
          </w:p>
        </w:tc>
        <w:tc>
          <w:tcPr>
            <w:tcW w:w="2269" w:type="dxa"/>
          </w:tcPr>
          <w:p>
            <w:pPr>
              <w:pStyle w:val="TableParagraph"/>
              <w:rPr>
                <w:rFonts w:ascii="Times New Roman"/>
                <w:sz w:val="18"/>
              </w:rPr>
            </w:pPr>
          </w:p>
        </w:tc>
        <w:tc>
          <w:tcPr>
            <w:tcW w:w="2269" w:type="dxa"/>
          </w:tcPr>
          <w:p>
            <w:pPr>
              <w:pStyle w:val="TableParagraph"/>
              <w:rPr>
                <w:rFonts w:ascii="Times New Roman"/>
                <w:sz w:val="18"/>
              </w:rPr>
            </w:pPr>
          </w:p>
        </w:tc>
        <w:tc>
          <w:tcPr>
            <w:tcW w:w="2268" w:type="dxa"/>
          </w:tcPr>
          <w:p>
            <w:pPr>
              <w:pStyle w:val="TableParagraph"/>
              <w:rPr>
                <w:rFonts w:ascii="Times New Roman"/>
                <w:sz w:val="18"/>
              </w:rPr>
            </w:pPr>
          </w:p>
        </w:tc>
      </w:tr>
      <w:tr>
        <w:trPr>
          <w:trHeight w:val="330" w:hRule="atLeast"/>
        </w:trPr>
        <w:tc>
          <w:tcPr>
            <w:tcW w:w="3683" w:type="dxa"/>
          </w:tcPr>
          <w:p>
            <w:pPr>
              <w:pStyle w:val="TableParagraph"/>
              <w:spacing w:line="219" w:lineRule="exact"/>
              <w:ind w:left="115"/>
              <w:rPr>
                <w:sz w:val="18"/>
              </w:rPr>
            </w:pPr>
            <w:r>
              <w:rPr>
                <w:sz w:val="18"/>
              </w:rPr>
              <w:t>Exercise</w:t>
            </w:r>
            <w:r>
              <w:rPr>
                <w:spacing w:val="-6"/>
                <w:sz w:val="18"/>
              </w:rPr>
              <w:t> </w:t>
            </w:r>
            <w:r>
              <w:rPr>
                <w:sz w:val="18"/>
              </w:rPr>
              <w:t>Physiologist</w:t>
            </w:r>
            <w:r>
              <w:rPr>
                <w:spacing w:val="-4"/>
                <w:sz w:val="18"/>
              </w:rPr>
              <w:t> </w:t>
            </w:r>
            <w:r>
              <w:rPr>
                <w:sz w:val="18"/>
              </w:rPr>
              <w:t>(16)</w:t>
            </w:r>
          </w:p>
        </w:tc>
        <w:tc>
          <w:tcPr>
            <w:tcW w:w="2269" w:type="dxa"/>
          </w:tcPr>
          <w:p>
            <w:pPr>
              <w:pStyle w:val="TableParagraph"/>
              <w:rPr>
                <w:rFonts w:ascii="Times New Roman"/>
                <w:sz w:val="18"/>
              </w:rPr>
            </w:pPr>
          </w:p>
        </w:tc>
        <w:tc>
          <w:tcPr>
            <w:tcW w:w="2269" w:type="dxa"/>
          </w:tcPr>
          <w:p>
            <w:pPr>
              <w:pStyle w:val="TableParagraph"/>
              <w:rPr>
                <w:rFonts w:ascii="Times New Roman"/>
                <w:sz w:val="18"/>
              </w:rPr>
            </w:pPr>
          </w:p>
        </w:tc>
        <w:tc>
          <w:tcPr>
            <w:tcW w:w="2268" w:type="dxa"/>
          </w:tcPr>
          <w:p>
            <w:pPr>
              <w:pStyle w:val="TableParagraph"/>
              <w:rPr>
                <w:rFonts w:ascii="Times New Roman"/>
                <w:sz w:val="18"/>
              </w:rPr>
            </w:pPr>
          </w:p>
        </w:tc>
      </w:tr>
      <w:tr>
        <w:trPr>
          <w:trHeight w:val="331" w:hRule="atLeast"/>
        </w:trPr>
        <w:tc>
          <w:tcPr>
            <w:tcW w:w="3683" w:type="dxa"/>
          </w:tcPr>
          <w:p>
            <w:pPr>
              <w:pStyle w:val="TableParagraph"/>
              <w:spacing w:line="219" w:lineRule="exact"/>
              <w:ind w:left="115"/>
              <w:rPr>
                <w:sz w:val="18"/>
              </w:rPr>
            </w:pPr>
            <w:r>
              <w:rPr>
                <w:sz w:val="18"/>
              </w:rPr>
              <w:t>Psychologist</w:t>
            </w:r>
            <w:r>
              <w:rPr>
                <w:spacing w:val="-4"/>
                <w:sz w:val="18"/>
              </w:rPr>
              <w:t> </w:t>
            </w:r>
            <w:r>
              <w:rPr>
                <w:sz w:val="18"/>
              </w:rPr>
              <w:t>(17)</w:t>
            </w:r>
          </w:p>
        </w:tc>
        <w:tc>
          <w:tcPr>
            <w:tcW w:w="2269" w:type="dxa"/>
          </w:tcPr>
          <w:p>
            <w:pPr>
              <w:pStyle w:val="TableParagraph"/>
              <w:rPr>
                <w:rFonts w:ascii="Times New Roman"/>
                <w:sz w:val="18"/>
              </w:rPr>
            </w:pPr>
          </w:p>
        </w:tc>
        <w:tc>
          <w:tcPr>
            <w:tcW w:w="2269" w:type="dxa"/>
          </w:tcPr>
          <w:p>
            <w:pPr>
              <w:pStyle w:val="TableParagraph"/>
              <w:rPr>
                <w:rFonts w:ascii="Times New Roman"/>
                <w:sz w:val="18"/>
              </w:rPr>
            </w:pPr>
          </w:p>
        </w:tc>
        <w:tc>
          <w:tcPr>
            <w:tcW w:w="2268" w:type="dxa"/>
          </w:tcPr>
          <w:p>
            <w:pPr>
              <w:pStyle w:val="TableParagraph"/>
              <w:rPr>
                <w:rFonts w:ascii="Times New Roman"/>
                <w:sz w:val="18"/>
              </w:rPr>
            </w:pPr>
          </w:p>
        </w:tc>
      </w:tr>
      <w:tr>
        <w:trPr>
          <w:trHeight w:val="330" w:hRule="atLeast"/>
        </w:trPr>
        <w:tc>
          <w:tcPr>
            <w:tcW w:w="3683" w:type="dxa"/>
          </w:tcPr>
          <w:p>
            <w:pPr>
              <w:pStyle w:val="TableParagraph"/>
              <w:spacing w:before="1"/>
              <w:ind w:left="115"/>
              <w:rPr>
                <w:sz w:val="18"/>
              </w:rPr>
            </w:pPr>
            <w:r>
              <w:rPr>
                <w:sz w:val="18"/>
              </w:rPr>
              <w:t>Social</w:t>
            </w:r>
            <w:r>
              <w:rPr>
                <w:spacing w:val="-3"/>
                <w:sz w:val="18"/>
              </w:rPr>
              <w:t> </w:t>
            </w:r>
            <w:r>
              <w:rPr>
                <w:sz w:val="18"/>
              </w:rPr>
              <w:t>Worker</w:t>
            </w:r>
            <w:r>
              <w:rPr>
                <w:spacing w:val="-2"/>
                <w:sz w:val="18"/>
              </w:rPr>
              <w:t> </w:t>
            </w:r>
            <w:r>
              <w:rPr>
                <w:sz w:val="18"/>
              </w:rPr>
              <w:t>(18)</w:t>
            </w:r>
          </w:p>
        </w:tc>
        <w:tc>
          <w:tcPr>
            <w:tcW w:w="2269" w:type="dxa"/>
          </w:tcPr>
          <w:p>
            <w:pPr>
              <w:pStyle w:val="TableParagraph"/>
              <w:rPr>
                <w:rFonts w:ascii="Times New Roman"/>
                <w:sz w:val="18"/>
              </w:rPr>
            </w:pPr>
          </w:p>
        </w:tc>
        <w:tc>
          <w:tcPr>
            <w:tcW w:w="2269" w:type="dxa"/>
          </w:tcPr>
          <w:p>
            <w:pPr>
              <w:pStyle w:val="TableParagraph"/>
              <w:rPr>
                <w:rFonts w:ascii="Times New Roman"/>
                <w:sz w:val="18"/>
              </w:rPr>
            </w:pPr>
          </w:p>
        </w:tc>
        <w:tc>
          <w:tcPr>
            <w:tcW w:w="2268" w:type="dxa"/>
          </w:tcPr>
          <w:p>
            <w:pPr>
              <w:pStyle w:val="TableParagraph"/>
              <w:rPr>
                <w:rFonts w:ascii="Times New Roman"/>
                <w:sz w:val="18"/>
              </w:rPr>
            </w:pPr>
          </w:p>
        </w:tc>
      </w:tr>
      <w:tr>
        <w:trPr>
          <w:trHeight w:val="333" w:hRule="atLeast"/>
        </w:trPr>
        <w:tc>
          <w:tcPr>
            <w:tcW w:w="3683" w:type="dxa"/>
          </w:tcPr>
          <w:p>
            <w:pPr>
              <w:pStyle w:val="TableParagraph"/>
              <w:spacing w:before="1"/>
              <w:ind w:left="115"/>
              <w:rPr>
                <w:sz w:val="18"/>
              </w:rPr>
            </w:pPr>
            <w:r>
              <w:rPr>
                <w:sz w:val="18"/>
              </w:rPr>
              <w:t>Audiologist</w:t>
            </w:r>
            <w:r>
              <w:rPr>
                <w:spacing w:val="-3"/>
                <w:sz w:val="18"/>
              </w:rPr>
              <w:t> </w:t>
            </w:r>
            <w:r>
              <w:rPr>
                <w:sz w:val="18"/>
              </w:rPr>
              <w:t>(19)</w:t>
            </w:r>
          </w:p>
        </w:tc>
        <w:tc>
          <w:tcPr>
            <w:tcW w:w="2269" w:type="dxa"/>
          </w:tcPr>
          <w:p>
            <w:pPr>
              <w:pStyle w:val="TableParagraph"/>
              <w:rPr>
                <w:rFonts w:ascii="Times New Roman"/>
                <w:sz w:val="18"/>
              </w:rPr>
            </w:pPr>
          </w:p>
        </w:tc>
        <w:tc>
          <w:tcPr>
            <w:tcW w:w="2269" w:type="dxa"/>
          </w:tcPr>
          <w:p>
            <w:pPr>
              <w:pStyle w:val="TableParagraph"/>
              <w:rPr>
                <w:rFonts w:ascii="Times New Roman"/>
                <w:sz w:val="18"/>
              </w:rPr>
            </w:pPr>
          </w:p>
        </w:tc>
        <w:tc>
          <w:tcPr>
            <w:tcW w:w="2268" w:type="dxa"/>
          </w:tcPr>
          <w:p>
            <w:pPr>
              <w:pStyle w:val="TableParagraph"/>
              <w:rPr>
                <w:rFonts w:ascii="Times New Roman"/>
                <w:sz w:val="18"/>
              </w:rPr>
            </w:pPr>
          </w:p>
        </w:tc>
      </w:tr>
      <w:tr>
        <w:trPr>
          <w:trHeight w:val="330" w:hRule="atLeast"/>
        </w:trPr>
        <w:tc>
          <w:tcPr>
            <w:tcW w:w="3683" w:type="dxa"/>
          </w:tcPr>
          <w:p>
            <w:pPr>
              <w:pStyle w:val="TableParagraph"/>
              <w:spacing w:line="219" w:lineRule="exact"/>
              <w:ind w:left="115"/>
              <w:rPr>
                <w:sz w:val="18"/>
              </w:rPr>
            </w:pPr>
            <w:r>
              <w:rPr>
                <w:sz w:val="18"/>
              </w:rPr>
              <w:t>Optometrist</w:t>
            </w:r>
            <w:r>
              <w:rPr>
                <w:spacing w:val="-5"/>
                <w:sz w:val="18"/>
              </w:rPr>
              <w:t> </w:t>
            </w:r>
            <w:r>
              <w:rPr>
                <w:sz w:val="18"/>
              </w:rPr>
              <w:t>(20)</w:t>
            </w:r>
          </w:p>
        </w:tc>
        <w:tc>
          <w:tcPr>
            <w:tcW w:w="2269" w:type="dxa"/>
          </w:tcPr>
          <w:p>
            <w:pPr>
              <w:pStyle w:val="TableParagraph"/>
              <w:rPr>
                <w:rFonts w:ascii="Times New Roman"/>
                <w:sz w:val="18"/>
              </w:rPr>
            </w:pPr>
          </w:p>
        </w:tc>
        <w:tc>
          <w:tcPr>
            <w:tcW w:w="2269" w:type="dxa"/>
          </w:tcPr>
          <w:p>
            <w:pPr>
              <w:pStyle w:val="TableParagraph"/>
              <w:rPr>
                <w:rFonts w:ascii="Times New Roman"/>
                <w:sz w:val="18"/>
              </w:rPr>
            </w:pPr>
          </w:p>
        </w:tc>
        <w:tc>
          <w:tcPr>
            <w:tcW w:w="2268" w:type="dxa"/>
          </w:tcPr>
          <w:p>
            <w:pPr>
              <w:pStyle w:val="TableParagraph"/>
              <w:rPr>
                <w:rFonts w:ascii="Times New Roman"/>
                <w:sz w:val="18"/>
              </w:rPr>
            </w:pPr>
          </w:p>
        </w:tc>
      </w:tr>
      <w:tr>
        <w:trPr>
          <w:trHeight w:val="330" w:hRule="atLeast"/>
        </w:trPr>
        <w:tc>
          <w:tcPr>
            <w:tcW w:w="3683" w:type="dxa"/>
          </w:tcPr>
          <w:p>
            <w:pPr>
              <w:pStyle w:val="TableParagraph"/>
              <w:spacing w:line="219" w:lineRule="exact"/>
              <w:ind w:left="115"/>
              <w:rPr>
                <w:sz w:val="18"/>
              </w:rPr>
            </w:pPr>
            <w:r>
              <w:rPr>
                <w:sz w:val="18"/>
              </w:rPr>
              <w:t>Pharmacist</w:t>
            </w:r>
            <w:r>
              <w:rPr>
                <w:spacing w:val="-4"/>
                <w:sz w:val="18"/>
              </w:rPr>
              <w:t> </w:t>
            </w:r>
            <w:r>
              <w:rPr>
                <w:sz w:val="18"/>
              </w:rPr>
              <w:t>(21)</w:t>
            </w:r>
          </w:p>
        </w:tc>
        <w:tc>
          <w:tcPr>
            <w:tcW w:w="2269" w:type="dxa"/>
          </w:tcPr>
          <w:p>
            <w:pPr>
              <w:pStyle w:val="TableParagraph"/>
              <w:rPr>
                <w:rFonts w:ascii="Times New Roman"/>
                <w:sz w:val="18"/>
              </w:rPr>
            </w:pPr>
          </w:p>
        </w:tc>
        <w:tc>
          <w:tcPr>
            <w:tcW w:w="2269" w:type="dxa"/>
          </w:tcPr>
          <w:p>
            <w:pPr>
              <w:pStyle w:val="TableParagraph"/>
              <w:rPr>
                <w:rFonts w:ascii="Times New Roman"/>
                <w:sz w:val="18"/>
              </w:rPr>
            </w:pPr>
          </w:p>
        </w:tc>
        <w:tc>
          <w:tcPr>
            <w:tcW w:w="2268" w:type="dxa"/>
          </w:tcPr>
          <w:p>
            <w:pPr>
              <w:pStyle w:val="TableParagraph"/>
              <w:rPr>
                <w:rFonts w:ascii="Times New Roman"/>
                <w:sz w:val="18"/>
              </w:rPr>
            </w:pPr>
          </w:p>
        </w:tc>
      </w:tr>
      <w:tr>
        <w:trPr>
          <w:trHeight w:val="330" w:hRule="atLeast"/>
        </w:trPr>
        <w:tc>
          <w:tcPr>
            <w:tcW w:w="3683" w:type="dxa"/>
          </w:tcPr>
          <w:p>
            <w:pPr>
              <w:pStyle w:val="TableParagraph"/>
              <w:spacing w:line="219" w:lineRule="exact"/>
              <w:ind w:left="115"/>
              <w:rPr>
                <w:sz w:val="18"/>
              </w:rPr>
            </w:pPr>
            <w:r>
              <w:rPr>
                <w:sz w:val="18"/>
              </w:rPr>
              <w:t>Dentist</w:t>
            </w:r>
            <w:r>
              <w:rPr>
                <w:spacing w:val="-4"/>
                <w:sz w:val="18"/>
              </w:rPr>
              <w:t> </w:t>
            </w:r>
            <w:r>
              <w:rPr>
                <w:sz w:val="18"/>
              </w:rPr>
              <w:t>(22)</w:t>
            </w:r>
          </w:p>
        </w:tc>
        <w:tc>
          <w:tcPr>
            <w:tcW w:w="2269" w:type="dxa"/>
          </w:tcPr>
          <w:p>
            <w:pPr>
              <w:pStyle w:val="TableParagraph"/>
              <w:rPr>
                <w:rFonts w:ascii="Times New Roman"/>
                <w:sz w:val="18"/>
              </w:rPr>
            </w:pPr>
          </w:p>
        </w:tc>
        <w:tc>
          <w:tcPr>
            <w:tcW w:w="2269" w:type="dxa"/>
          </w:tcPr>
          <w:p>
            <w:pPr>
              <w:pStyle w:val="TableParagraph"/>
              <w:rPr>
                <w:rFonts w:ascii="Times New Roman"/>
                <w:sz w:val="18"/>
              </w:rPr>
            </w:pPr>
          </w:p>
        </w:tc>
        <w:tc>
          <w:tcPr>
            <w:tcW w:w="2268" w:type="dxa"/>
          </w:tcPr>
          <w:p>
            <w:pPr>
              <w:pStyle w:val="TableParagraph"/>
              <w:rPr>
                <w:rFonts w:ascii="Times New Roman"/>
                <w:sz w:val="18"/>
              </w:rPr>
            </w:pPr>
          </w:p>
        </w:tc>
      </w:tr>
      <w:tr>
        <w:trPr>
          <w:trHeight w:val="330" w:hRule="atLeast"/>
        </w:trPr>
        <w:tc>
          <w:tcPr>
            <w:tcW w:w="3683" w:type="dxa"/>
          </w:tcPr>
          <w:p>
            <w:pPr>
              <w:pStyle w:val="TableParagraph"/>
              <w:spacing w:line="219" w:lineRule="exact"/>
              <w:ind w:left="115"/>
              <w:rPr>
                <w:sz w:val="18"/>
              </w:rPr>
            </w:pPr>
            <w:r>
              <w:rPr>
                <w:sz w:val="18"/>
              </w:rPr>
              <w:t>Other</w:t>
            </w:r>
            <w:r>
              <w:rPr>
                <w:spacing w:val="1"/>
                <w:sz w:val="18"/>
              </w:rPr>
              <w:t> </w:t>
            </w:r>
            <w:r>
              <w:rPr>
                <w:sz w:val="18"/>
              </w:rPr>
              <w:t>Allied</w:t>
            </w:r>
            <w:r>
              <w:rPr>
                <w:spacing w:val="-6"/>
                <w:sz w:val="18"/>
              </w:rPr>
              <w:t> </w:t>
            </w:r>
            <w:r>
              <w:rPr>
                <w:sz w:val="18"/>
              </w:rPr>
              <w:t>health.</w:t>
            </w:r>
            <w:r>
              <w:rPr>
                <w:spacing w:val="-6"/>
                <w:sz w:val="18"/>
              </w:rPr>
              <w:t> </w:t>
            </w:r>
            <w:r>
              <w:rPr>
                <w:sz w:val="18"/>
              </w:rPr>
              <w:t>Please</w:t>
            </w:r>
            <w:r>
              <w:rPr>
                <w:spacing w:val="-4"/>
                <w:sz w:val="18"/>
              </w:rPr>
              <w:t> </w:t>
            </w:r>
            <w:r>
              <w:rPr>
                <w:sz w:val="18"/>
              </w:rPr>
              <w:t>specify:</w:t>
            </w:r>
            <w:r>
              <w:rPr>
                <w:spacing w:val="-4"/>
                <w:sz w:val="18"/>
              </w:rPr>
              <w:t> </w:t>
            </w:r>
            <w:r>
              <w:rPr>
                <w:sz w:val="18"/>
              </w:rPr>
              <w:t>(23)</w:t>
            </w:r>
          </w:p>
        </w:tc>
        <w:tc>
          <w:tcPr>
            <w:tcW w:w="2269" w:type="dxa"/>
          </w:tcPr>
          <w:p>
            <w:pPr>
              <w:pStyle w:val="TableParagraph"/>
              <w:rPr>
                <w:rFonts w:ascii="Times New Roman"/>
                <w:sz w:val="18"/>
              </w:rPr>
            </w:pPr>
          </w:p>
        </w:tc>
        <w:tc>
          <w:tcPr>
            <w:tcW w:w="2269" w:type="dxa"/>
          </w:tcPr>
          <w:p>
            <w:pPr>
              <w:pStyle w:val="TableParagraph"/>
              <w:rPr>
                <w:rFonts w:ascii="Times New Roman"/>
                <w:sz w:val="18"/>
              </w:rPr>
            </w:pPr>
          </w:p>
        </w:tc>
        <w:tc>
          <w:tcPr>
            <w:tcW w:w="2268" w:type="dxa"/>
          </w:tcPr>
          <w:p>
            <w:pPr>
              <w:pStyle w:val="TableParagraph"/>
              <w:rPr>
                <w:rFonts w:ascii="Times New Roman"/>
                <w:sz w:val="18"/>
              </w:rPr>
            </w:pPr>
          </w:p>
        </w:tc>
      </w:tr>
      <w:tr>
        <w:trPr>
          <w:trHeight w:val="330" w:hRule="atLeast"/>
        </w:trPr>
        <w:tc>
          <w:tcPr>
            <w:tcW w:w="3683" w:type="dxa"/>
          </w:tcPr>
          <w:p>
            <w:pPr>
              <w:pStyle w:val="TableParagraph"/>
              <w:spacing w:line="219" w:lineRule="exact"/>
              <w:ind w:left="115"/>
              <w:rPr>
                <w:sz w:val="18"/>
              </w:rPr>
            </w:pPr>
            <w:r>
              <w:rPr>
                <w:sz w:val="18"/>
              </w:rPr>
              <w:t>Other</w:t>
            </w:r>
            <w:r>
              <w:rPr>
                <w:spacing w:val="1"/>
                <w:sz w:val="18"/>
              </w:rPr>
              <w:t> </w:t>
            </w:r>
            <w:r>
              <w:rPr>
                <w:sz w:val="18"/>
              </w:rPr>
              <w:t>Allied</w:t>
            </w:r>
            <w:r>
              <w:rPr>
                <w:spacing w:val="-6"/>
                <w:sz w:val="18"/>
              </w:rPr>
              <w:t> </w:t>
            </w:r>
            <w:r>
              <w:rPr>
                <w:sz w:val="18"/>
              </w:rPr>
              <w:t>health.</w:t>
            </w:r>
            <w:r>
              <w:rPr>
                <w:spacing w:val="-6"/>
                <w:sz w:val="18"/>
              </w:rPr>
              <w:t> </w:t>
            </w:r>
            <w:r>
              <w:rPr>
                <w:sz w:val="18"/>
              </w:rPr>
              <w:t>Please</w:t>
            </w:r>
            <w:r>
              <w:rPr>
                <w:spacing w:val="-4"/>
                <w:sz w:val="18"/>
              </w:rPr>
              <w:t> </w:t>
            </w:r>
            <w:r>
              <w:rPr>
                <w:sz w:val="18"/>
              </w:rPr>
              <w:t>specify:</w:t>
            </w:r>
            <w:r>
              <w:rPr>
                <w:spacing w:val="-4"/>
                <w:sz w:val="18"/>
              </w:rPr>
              <w:t> </w:t>
            </w:r>
            <w:r>
              <w:rPr>
                <w:sz w:val="18"/>
              </w:rPr>
              <w:t>(24)</w:t>
            </w:r>
          </w:p>
        </w:tc>
        <w:tc>
          <w:tcPr>
            <w:tcW w:w="2269" w:type="dxa"/>
          </w:tcPr>
          <w:p>
            <w:pPr>
              <w:pStyle w:val="TableParagraph"/>
              <w:rPr>
                <w:rFonts w:ascii="Times New Roman"/>
                <w:sz w:val="18"/>
              </w:rPr>
            </w:pPr>
          </w:p>
        </w:tc>
        <w:tc>
          <w:tcPr>
            <w:tcW w:w="2269" w:type="dxa"/>
          </w:tcPr>
          <w:p>
            <w:pPr>
              <w:pStyle w:val="TableParagraph"/>
              <w:rPr>
                <w:rFonts w:ascii="Times New Roman"/>
                <w:sz w:val="18"/>
              </w:rPr>
            </w:pPr>
          </w:p>
        </w:tc>
        <w:tc>
          <w:tcPr>
            <w:tcW w:w="2268" w:type="dxa"/>
          </w:tcPr>
          <w:p>
            <w:pPr>
              <w:pStyle w:val="TableParagraph"/>
              <w:rPr>
                <w:rFonts w:ascii="Times New Roman"/>
                <w:sz w:val="18"/>
              </w:rPr>
            </w:pPr>
          </w:p>
        </w:tc>
      </w:tr>
      <w:tr>
        <w:trPr>
          <w:trHeight w:val="662" w:hRule="atLeast"/>
        </w:trPr>
        <w:tc>
          <w:tcPr>
            <w:tcW w:w="3683" w:type="dxa"/>
          </w:tcPr>
          <w:p>
            <w:pPr>
              <w:pStyle w:val="TableParagraph"/>
              <w:spacing w:line="219" w:lineRule="exact"/>
              <w:ind w:left="115"/>
              <w:rPr>
                <w:sz w:val="18"/>
              </w:rPr>
            </w:pPr>
            <w:r>
              <w:rPr>
                <w:sz w:val="18"/>
              </w:rPr>
              <w:t>Other Allied</w:t>
            </w:r>
            <w:r>
              <w:rPr>
                <w:spacing w:val="-5"/>
                <w:sz w:val="18"/>
              </w:rPr>
              <w:t> </w:t>
            </w:r>
            <w:r>
              <w:rPr>
                <w:sz w:val="18"/>
              </w:rPr>
              <w:t>health</w:t>
            </w:r>
            <w:r>
              <w:rPr>
                <w:spacing w:val="-5"/>
                <w:sz w:val="18"/>
              </w:rPr>
              <w:t> </w:t>
            </w:r>
            <w:r>
              <w:rPr>
                <w:sz w:val="18"/>
              </w:rPr>
              <w:t>assistant.</w:t>
            </w:r>
            <w:r>
              <w:rPr>
                <w:spacing w:val="-7"/>
                <w:sz w:val="18"/>
              </w:rPr>
              <w:t> </w:t>
            </w:r>
            <w:r>
              <w:rPr>
                <w:sz w:val="18"/>
              </w:rPr>
              <w:t>Please</w:t>
            </w:r>
          </w:p>
          <w:p>
            <w:pPr>
              <w:pStyle w:val="TableParagraph"/>
              <w:spacing w:before="110"/>
              <w:ind w:left="115"/>
              <w:rPr>
                <w:sz w:val="18"/>
              </w:rPr>
            </w:pPr>
            <w:r>
              <w:rPr>
                <w:sz w:val="18"/>
              </w:rPr>
              <w:t>specify:</w:t>
            </w:r>
            <w:r>
              <w:rPr>
                <w:spacing w:val="-5"/>
                <w:sz w:val="18"/>
              </w:rPr>
              <w:t> </w:t>
            </w:r>
            <w:r>
              <w:rPr>
                <w:sz w:val="18"/>
              </w:rPr>
              <w:t>(27)</w:t>
            </w:r>
          </w:p>
        </w:tc>
        <w:tc>
          <w:tcPr>
            <w:tcW w:w="2269" w:type="dxa"/>
          </w:tcPr>
          <w:p>
            <w:pPr>
              <w:pStyle w:val="TableParagraph"/>
              <w:rPr>
                <w:rFonts w:ascii="Times New Roman"/>
                <w:sz w:val="18"/>
              </w:rPr>
            </w:pPr>
          </w:p>
        </w:tc>
        <w:tc>
          <w:tcPr>
            <w:tcW w:w="2269" w:type="dxa"/>
          </w:tcPr>
          <w:p>
            <w:pPr>
              <w:pStyle w:val="TableParagraph"/>
              <w:rPr>
                <w:rFonts w:ascii="Times New Roman"/>
                <w:sz w:val="18"/>
              </w:rPr>
            </w:pPr>
          </w:p>
        </w:tc>
        <w:tc>
          <w:tcPr>
            <w:tcW w:w="2268" w:type="dxa"/>
          </w:tcPr>
          <w:p>
            <w:pPr>
              <w:pStyle w:val="TableParagraph"/>
              <w:rPr>
                <w:rFonts w:ascii="Times New Roman"/>
                <w:sz w:val="18"/>
              </w:rPr>
            </w:pPr>
          </w:p>
        </w:tc>
      </w:tr>
      <w:tr>
        <w:trPr>
          <w:trHeight w:val="662" w:hRule="atLeast"/>
        </w:trPr>
        <w:tc>
          <w:tcPr>
            <w:tcW w:w="3683" w:type="dxa"/>
          </w:tcPr>
          <w:p>
            <w:pPr>
              <w:pStyle w:val="TableParagraph"/>
              <w:spacing w:line="220" w:lineRule="exact"/>
              <w:ind w:left="115"/>
              <w:rPr>
                <w:sz w:val="18"/>
              </w:rPr>
            </w:pPr>
            <w:r>
              <w:rPr>
                <w:sz w:val="18"/>
              </w:rPr>
              <w:t>Other Allied</w:t>
            </w:r>
            <w:r>
              <w:rPr>
                <w:spacing w:val="-5"/>
                <w:sz w:val="18"/>
              </w:rPr>
              <w:t> </w:t>
            </w:r>
            <w:r>
              <w:rPr>
                <w:sz w:val="18"/>
              </w:rPr>
              <w:t>health</w:t>
            </w:r>
            <w:r>
              <w:rPr>
                <w:spacing w:val="-5"/>
                <w:sz w:val="18"/>
              </w:rPr>
              <w:t> </w:t>
            </w:r>
            <w:r>
              <w:rPr>
                <w:sz w:val="18"/>
              </w:rPr>
              <w:t>assistant.</w:t>
            </w:r>
            <w:r>
              <w:rPr>
                <w:spacing w:val="-7"/>
                <w:sz w:val="18"/>
              </w:rPr>
              <w:t> </w:t>
            </w:r>
            <w:r>
              <w:rPr>
                <w:sz w:val="18"/>
              </w:rPr>
              <w:t>Please</w:t>
            </w:r>
          </w:p>
          <w:p>
            <w:pPr>
              <w:pStyle w:val="TableParagraph"/>
              <w:spacing w:before="110"/>
              <w:ind w:left="115"/>
              <w:rPr>
                <w:sz w:val="18"/>
              </w:rPr>
            </w:pPr>
            <w:r>
              <w:rPr>
                <w:sz w:val="18"/>
              </w:rPr>
              <w:t>specify:</w:t>
            </w:r>
            <w:r>
              <w:rPr>
                <w:spacing w:val="-5"/>
                <w:sz w:val="18"/>
              </w:rPr>
              <w:t> </w:t>
            </w:r>
            <w:r>
              <w:rPr>
                <w:sz w:val="18"/>
              </w:rPr>
              <w:t>(28)</w:t>
            </w:r>
          </w:p>
        </w:tc>
        <w:tc>
          <w:tcPr>
            <w:tcW w:w="2269" w:type="dxa"/>
          </w:tcPr>
          <w:p>
            <w:pPr>
              <w:pStyle w:val="TableParagraph"/>
              <w:rPr>
                <w:rFonts w:ascii="Times New Roman"/>
                <w:sz w:val="18"/>
              </w:rPr>
            </w:pPr>
          </w:p>
        </w:tc>
        <w:tc>
          <w:tcPr>
            <w:tcW w:w="2269" w:type="dxa"/>
          </w:tcPr>
          <w:p>
            <w:pPr>
              <w:pStyle w:val="TableParagraph"/>
              <w:rPr>
                <w:rFonts w:ascii="Times New Roman"/>
                <w:sz w:val="18"/>
              </w:rPr>
            </w:pPr>
          </w:p>
        </w:tc>
        <w:tc>
          <w:tcPr>
            <w:tcW w:w="2268" w:type="dxa"/>
          </w:tcPr>
          <w:p>
            <w:pPr>
              <w:pStyle w:val="TableParagraph"/>
              <w:rPr>
                <w:rFonts w:ascii="Times New Roman"/>
                <w:sz w:val="18"/>
              </w:rPr>
            </w:pPr>
          </w:p>
        </w:tc>
      </w:tr>
    </w:tbl>
    <w:p>
      <w:pPr>
        <w:pStyle w:val="BodyText"/>
        <w:spacing w:before="1"/>
      </w:pPr>
    </w:p>
    <w:p>
      <w:pPr>
        <w:pStyle w:val="ListParagraph"/>
        <w:numPr>
          <w:ilvl w:val="0"/>
          <w:numId w:val="41"/>
        </w:numPr>
        <w:tabs>
          <w:tab w:pos="568" w:val="left" w:leader="none"/>
        </w:tabs>
        <w:spacing w:line="240" w:lineRule="auto" w:before="0" w:after="0"/>
        <w:ind w:left="567" w:right="0" w:hanging="428"/>
        <w:jc w:val="left"/>
        <w:rPr>
          <w:sz w:val="18"/>
        </w:rPr>
      </w:pPr>
      <w:r>
        <w:rPr>
          <w:sz w:val="18"/>
        </w:rPr>
        <w:t>Please</w:t>
      </w:r>
      <w:r>
        <w:rPr>
          <w:spacing w:val="-3"/>
          <w:sz w:val="18"/>
        </w:rPr>
        <w:t> </w:t>
      </w:r>
      <w:r>
        <w:rPr>
          <w:sz w:val="18"/>
        </w:rPr>
        <w:t>provide</w:t>
      </w:r>
      <w:r>
        <w:rPr>
          <w:spacing w:val="-2"/>
          <w:sz w:val="18"/>
        </w:rPr>
        <w:t> </w:t>
      </w:r>
      <w:r>
        <w:rPr>
          <w:sz w:val="18"/>
        </w:rPr>
        <w:t>any</w:t>
      </w:r>
      <w:r>
        <w:rPr>
          <w:spacing w:val="-4"/>
          <w:sz w:val="18"/>
        </w:rPr>
        <w:t> </w:t>
      </w:r>
      <w:r>
        <w:rPr>
          <w:sz w:val="18"/>
        </w:rPr>
        <w:t>other</w:t>
      </w:r>
      <w:r>
        <w:rPr>
          <w:spacing w:val="-3"/>
          <w:sz w:val="18"/>
        </w:rPr>
        <w:t> </w:t>
      </w:r>
      <w:r>
        <w:rPr>
          <w:sz w:val="18"/>
        </w:rPr>
        <w:t>information</w:t>
      </w:r>
      <w:r>
        <w:rPr>
          <w:spacing w:val="-2"/>
          <w:sz w:val="18"/>
        </w:rPr>
        <w:t> </w:t>
      </w:r>
      <w:r>
        <w:rPr>
          <w:sz w:val="18"/>
        </w:rPr>
        <w:t>that</w:t>
      </w:r>
      <w:r>
        <w:rPr>
          <w:spacing w:val="-5"/>
          <w:sz w:val="18"/>
        </w:rPr>
        <w:t> </w:t>
      </w:r>
      <w:r>
        <w:rPr>
          <w:sz w:val="18"/>
        </w:rPr>
        <w:t>will</w:t>
      </w:r>
      <w:r>
        <w:rPr>
          <w:spacing w:val="-3"/>
          <w:sz w:val="18"/>
        </w:rPr>
        <w:t> </w:t>
      </w:r>
      <w:r>
        <w:rPr>
          <w:sz w:val="18"/>
        </w:rPr>
        <w:t>assist</w:t>
      </w:r>
      <w:r>
        <w:rPr>
          <w:spacing w:val="-6"/>
          <w:sz w:val="18"/>
        </w:rPr>
        <w:t> </w:t>
      </w:r>
      <w:r>
        <w:rPr>
          <w:sz w:val="18"/>
        </w:rPr>
        <w:t>us</w:t>
      </w:r>
      <w:r>
        <w:rPr>
          <w:spacing w:val="-3"/>
          <w:sz w:val="18"/>
        </w:rPr>
        <w:t> </w:t>
      </w:r>
      <w:r>
        <w:rPr>
          <w:sz w:val="18"/>
        </w:rPr>
        <w:t>to</w:t>
      </w:r>
      <w:r>
        <w:rPr>
          <w:spacing w:val="-3"/>
          <w:sz w:val="18"/>
        </w:rPr>
        <w:t> </w:t>
      </w:r>
      <w:r>
        <w:rPr>
          <w:sz w:val="18"/>
        </w:rPr>
        <w:t>understand</w:t>
      </w:r>
      <w:r>
        <w:rPr>
          <w:spacing w:val="-3"/>
          <w:sz w:val="18"/>
        </w:rPr>
        <w:t> </w:t>
      </w:r>
      <w:r>
        <w:rPr>
          <w:sz w:val="18"/>
        </w:rPr>
        <w:t>the</w:t>
      </w:r>
      <w:r>
        <w:rPr>
          <w:spacing w:val="-2"/>
          <w:sz w:val="18"/>
        </w:rPr>
        <w:t> </w:t>
      </w:r>
      <w:r>
        <w:rPr>
          <w:sz w:val="18"/>
        </w:rPr>
        <w:t>staffing</w:t>
      </w:r>
      <w:r>
        <w:rPr>
          <w:spacing w:val="-5"/>
          <w:sz w:val="18"/>
        </w:rPr>
        <w:t> </w:t>
      </w:r>
      <w:r>
        <w:rPr>
          <w:sz w:val="18"/>
        </w:rPr>
        <w:t>for</w:t>
      </w:r>
      <w:r>
        <w:rPr>
          <w:spacing w:val="-3"/>
          <w:sz w:val="18"/>
        </w:rPr>
        <w:t> </w:t>
      </w:r>
      <w:r>
        <w:rPr>
          <w:sz w:val="18"/>
        </w:rPr>
        <w:t>the</w:t>
      </w:r>
      <w:r>
        <w:rPr>
          <w:spacing w:val="-2"/>
          <w:sz w:val="18"/>
        </w:rPr>
        <w:t> </w:t>
      </w:r>
      <w:r>
        <w:rPr>
          <w:sz w:val="18"/>
        </w:rPr>
        <w:t>practice/</w:t>
      </w:r>
      <w:r>
        <w:rPr>
          <w:spacing w:val="-5"/>
          <w:sz w:val="18"/>
        </w:rPr>
        <w:t> </w:t>
      </w:r>
      <w:r>
        <w:rPr>
          <w:sz w:val="18"/>
        </w:rPr>
        <w:t>service.</w:t>
      </w:r>
    </w:p>
    <w:p>
      <w:pPr>
        <w:pStyle w:val="BodyText"/>
        <w:spacing w:before="8"/>
        <w:rPr>
          <w:sz w:val="22"/>
        </w:rPr>
      </w:pPr>
      <w:r>
        <w:rPr/>
        <w:pict>
          <v:rect style="position:absolute;margin-left:34.560001pt;margin-top:15.09462pt;width:526.3pt;height:.47998pt;mso-position-horizontal-relative:page;mso-position-vertical-relative:paragraph;z-index:-15702528;mso-wrap-distance-left:0;mso-wrap-distance-right:0" id="docshape136" filled="true" fillcolor="#bebebe" stroked="false">
            <v:fill type="solid"/>
            <w10:wrap type="topAndBottom"/>
          </v:rect>
        </w:pict>
      </w:r>
      <w:r>
        <w:rPr/>
        <w:pict>
          <v:rect style="position:absolute;margin-left:34.560001pt;margin-top:30.33456pt;width:526.3pt;height:.48004pt;mso-position-horizontal-relative:page;mso-position-vertical-relative:paragraph;z-index:-15702016;mso-wrap-distance-left:0;mso-wrap-distance-right:0" id="docshape137" filled="true" fillcolor="#bebebe" stroked="false">
            <v:fill type="solid"/>
            <w10:wrap type="topAndBottom"/>
          </v:rect>
        </w:pict>
      </w:r>
    </w:p>
    <w:p>
      <w:pPr>
        <w:pStyle w:val="BodyText"/>
        <w:spacing w:before="1"/>
        <w:rPr>
          <w:sz w:val="22"/>
        </w:rPr>
      </w:pPr>
    </w:p>
    <w:p>
      <w:pPr>
        <w:pStyle w:val="BodyText"/>
        <w:spacing w:before="4"/>
        <w:rPr>
          <w:sz w:val="11"/>
        </w:rPr>
      </w:pPr>
    </w:p>
    <w:p>
      <w:pPr>
        <w:pStyle w:val="ListParagraph"/>
        <w:numPr>
          <w:ilvl w:val="0"/>
          <w:numId w:val="41"/>
        </w:numPr>
        <w:tabs>
          <w:tab w:pos="568" w:val="left" w:leader="none"/>
        </w:tabs>
        <w:spacing w:line="240" w:lineRule="auto" w:before="100" w:after="0"/>
        <w:ind w:left="567" w:right="926" w:hanging="428"/>
        <w:jc w:val="left"/>
        <w:rPr>
          <w:sz w:val="18"/>
        </w:rPr>
      </w:pPr>
      <w:r>
        <w:rPr>
          <w:sz w:val="18"/>
        </w:rPr>
        <w:t>Do any GPs within the practice/ service have formal arrangements for working with/ in local hospitals (e.g. GP</w:t>
      </w:r>
      <w:r>
        <w:rPr>
          <w:spacing w:val="-47"/>
          <w:sz w:val="18"/>
        </w:rPr>
        <w:t> </w:t>
      </w:r>
      <w:r>
        <w:rPr>
          <w:sz w:val="18"/>
        </w:rPr>
        <w:t>Visiting</w:t>
      </w:r>
      <w:r>
        <w:rPr>
          <w:spacing w:val="-3"/>
          <w:sz w:val="18"/>
        </w:rPr>
        <w:t> </w:t>
      </w:r>
      <w:r>
        <w:rPr>
          <w:sz w:val="18"/>
        </w:rPr>
        <w:t>Medical Officer)?</w:t>
      </w:r>
    </w:p>
    <w:p>
      <w:pPr>
        <w:pStyle w:val="BodyText"/>
        <w:spacing w:before="9"/>
        <w:rPr>
          <w:sz w:val="14"/>
        </w:rPr>
      </w:pPr>
    </w:p>
    <w:p>
      <w:pPr>
        <w:spacing w:before="100"/>
        <w:ind w:left="1491" w:right="0" w:firstLine="0"/>
        <w:jc w:val="left"/>
        <w:rPr>
          <w:sz w:val="18"/>
        </w:rPr>
      </w:pPr>
      <w:r>
        <w:rPr/>
        <w:drawing>
          <wp:anchor distT="0" distB="0" distL="0" distR="0" allowOverlap="1" layoutInCell="1" locked="0" behindDoc="0" simplePos="0" relativeHeight="15755776">
            <wp:simplePos x="0" y="0"/>
            <wp:positionH relativeFrom="page">
              <wp:posOffset>1102145</wp:posOffset>
            </wp:positionH>
            <wp:positionV relativeFrom="paragraph">
              <wp:posOffset>107333</wp:posOffset>
            </wp:positionV>
            <wp:extent cx="58380" cy="72151"/>
            <wp:effectExtent l="0" t="0" r="0" b="0"/>
            <wp:wrapNone/>
            <wp:docPr id="55" name="image13.png"/>
            <wp:cNvGraphicFramePr>
              <a:graphicFrameLocks noChangeAspect="1"/>
            </wp:cNvGraphicFramePr>
            <a:graphic>
              <a:graphicData uri="http://schemas.openxmlformats.org/drawingml/2006/picture">
                <pic:pic>
                  <pic:nvPicPr>
                    <pic:cNvPr id="5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Yes</w:t>
      </w:r>
      <w:r>
        <w:rPr>
          <w:spacing w:val="49"/>
          <w:sz w:val="18"/>
        </w:rPr>
        <w:t> </w:t>
      </w:r>
      <w:r>
        <w:rPr>
          <w:sz w:val="18"/>
        </w:rPr>
        <w:t>(1)</w:t>
      </w:r>
    </w:p>
    <w:p>
      <w:pPr>
        <w:spacing w:before="0"/>
        <w:ind w:left="1491" w:right="0" w:firstLine="0"/>
        <w:jc w:val="left"/>
        <w:rPr>
          <w:sz w:val="18"/>
        </w:rPr>
      </w:pPr>
      <w:r>
        <w:rPr/>
        <w:drawing>
          <wp:anchor distT="0" distB="0" distL="0" distR="0" allowOverlap="1" layoutInCell="1" locked="0" behindDoc="0" simplePos="0" relativeHeight="15756288">
            <wp:simplePos x="0" y="0"/>
            <wp:positionH relativeFrom="page">
              <wp:posOffset>1102145</wp:posOffset>
            </wp:positionH>
            <wp:positionV relativeFrom="paragraph">
              <wp:posOffset>43833</wp:posOffset>
            </wp:positionV>
            <wp:extent cx="58380" cy="72151"/>
            <wp:effectExtent l="0" t="0" r="0" b="0"/>
            <wp:wrapNone/>
            <wp:docPr id="57" name="image13.png"/>
            <wp:cNvGraphicFramePr>
              <a:graphicFrameLocks noChangeAspect="1"/>
            </wp:cNvGraphicFramePr>
            <a:graphic>
              <a:graphicData uri="http://schemas.openxmlformats.org/drawingml/2006/picture">
                <pic:pic>
                  <pic:nvPicPr>
                    <pic:cNvPr id="5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w:t>
      </w:r>
      <w:r>
        <w:rPr>
          <w:spacing w:val="49"/>
          <w:sz w:val="18"/>
        </w:rPr>
        <w:t> </w:t>
      </w:r>
      <w:r>
        <w:rPr>
          <w:sz w:val="18"/>
        </w:rPr>
        <w:t>(2)</w:t>
      </w:r>
    </w:p>
    <w:p>
      <w:pPr>
        <w:spacing w:after="0"/>
        <w:jc w:val="left"/>
        <w:rPr>
          <w:sz w:val="18"/>
        </w:rPr>
        <w:sectPr>
          <w:pgSz w:w="11910" w:h="16840"/>
          <w:pgMar w:header="0" w:footer="906" w:top="1340" w:bottom="1140" w:left="580" w:right="280"/>
        </w:sectPr>
      </w:pPr>
    </w:p>
    <w:p>
      <w:pPr>
        <w:pStyle w:val="ListParagraph"/>
        <w:numPr>
          <w:ilvl w:val="0"/>
          <w:numId w:val="41"/>
        </w:numPr>
        <w:tabs>
          <w:tab w:pos="568" w:val="left" w:leader="none"/>
        </w:tabs>
        <w:spacing w:line="240" w:lineRule="auto" w:before="75" w:after="0"/>
        <w:ind w:left="567" w:right="561" w:hanging="428"/>
        <w:jc w:val="left"/>
        <w:rPr>
          <w:sz w:val="18"/>
        </w:rPr>
      </w:pPr>
      <w:r>
        <w:rPr>
          <w:sz w:val="18"/>
        </w:rPr>
        <w:t>How do you rate the access to the listed health services within your local community?</w:t>
      </w:r>
      <w:r>
        <w:rPr>
          <w:spacing w:val="1"/>
          <w:sz w:val="18"/>
        </w:rPr>
        <w:t> </w:t>
      </w:r>
      <w:r>
        <w:rPr>
          <w:sz w:val="18"/>
        </w:rPr>
        <w:t>These may be delivered by</w:t>
      </w:r>
      <w:r>
        <w:rPr>
          <w:spacing w:val="-47"/>
          <w:sz w:val="18"/>
        </w:rPr>
        <w:t> </w:t>
      </w:r>
      <w:r>
        <w:rPr>
          <w:sz w:val="18"/>
        </w:rPr>
        <w:t>health</w:t>
      </w:r>
      <w:r>
        <w:rPr>
          <w:spacing w:val="-1"/>
          <w:sz w:val="18"/>
        </w:rPr>
        <w:t> </w:t>
      </w:r>
      <w:r>
        <w:rPr>
          <w:sz w:val="18"/>
        </w:rPr>
        <w:t>professionals</w:t>
      </w:r>
      <w:r>
        <w:rPr>
          <w:spacing w:val="-1"/>
          <w:sz w:val="18"/>
        </w:rPr>
        <w:t> </w:t>
      </w:r>
      <w:r>
        <w:rPr>
          <w:sz w:val="18"/>
        </w:rPr>
        <w:t>working</w:t>
      </w:r>
      <w:r>
        <w:rPr>
          <w:spacing w:val="-3"/>
          <w:sz w:val="18"/>
        </w:rPr>
        <w:t> </w:t>
      </w:r>
      <w:r>
        <w:rPr>
          <w:sz w:val="18"/>
        </w:rPr>
        <w:t>in</w:t>
      </w:r>
      <w:r>
        <w:rPr>
          <w:spacing w:val="-2"/>
          <w:sz w:val="18"/>
        </w:rPr>
        <w:t> </w:t>
      </w:r>
      <w:r>
        <w:rPr>
          <w:sz w:val="18"/>
        </w:rPr>
        <w:t>other</w:t>
      </w:r>
      <w:r>
        <w:rPr>
          <w:spacing w:val="-1"/>
          <w:sz w:val="18"/>
        </w:rPr>
        <w:t> </w:t>
      </w:r>
      <w:r>
        <w:rPr>
          <w:sz w:val="18"/>
        </w:rPr>
        <w:t>organisations/practices</w:t>
      </w:r>
      <w:r>
        <w:rPr>
          <w:spacing w:val="-2"/>
          <w:sz w:val="18"/>
        </w:rPr>
        <w:t> </w:t>
      </w:r>
      <w:r>
        <w:rPr>
          <w:sz w:val="18"/>
        </w:rPr>
        <w:t>or within</w:t>
      </w:r>
      <w:r>
        <w:rPr>
          <w:spacing w:val="-1"/>
          <w:sz w:val="18"/>
        </w:rPr>
        <w:t> </w:t>
      </w:r>
      <w:r>
        <w:rPr>
          <w:sz w:val="18"/>
        </w:rPr>
        <w:t>your</w:t>
      </w:r>
      <w:r>
        <w:rPr>
          <w:spacing w:val="-3"/>
          <w:sz w:val="18"/>
        </w:rPr>
        <w:t> </w:t>
      </w:r>
      <w:r>
        <w:rPr>
          <w:sz w:val="18"/>
        </w:rPr>
        <w:t>practice/service.</w:t>
      </w:r>
    </w:p>
    <w:p>
      <w:pPr>
        <w:pStyle w:val="BodyText"/>
        <w:spacing w:before="11"/>
        <w:rPr>
          <w:sz w:val="22"/>
        </w:rPr>
      </w:pPr>
    </w:p>
    <w:tbl>
      <w:tblPr>
        <w:tblW w:w="0" w:type="auto"/>
        <w:jc w:val="left"/>
        <w:tblInd w:w="59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396"/>
        <w:gridCol w:w="2394"/>
        <w:gridCol w:w="2396"/>
        <w:gridCol w:w="2394"/>
      </w:tblGrid>
      <w:tr>
        <w:trPr>
          <w:trHeight w:val="1103" w:hRule="atLeast"/>
        </w:trPr>
        <w:tc>
          <w:tcPr>
            <w:tcW w:w="2396" w:type="dxa"/>
            <w:shd w:val="clear" w:color="auto" w:fill="F1F1F1"/>
          </w:tcPr>
          <w:p>
            <w:pPr>
              <w:pStyle w:val="TableParagraph"/>
              <w:rPr>
                <w:rFonts w:ascii="Times New Roman"/>
                <w:sz w:val="18"/>
              </w:rPr>
            </w:pPr>
          </w:p>
        </w:tc>
        <w:tc>
          <w:tcPr>
            <w:tcW w:w="2394" w:type="dxa"/>
            <w:shd w:val="clear" w:color="auto" w:fill="F1F1F1"/>
          </w:tcPr>
          <w:p>
            <w:pPr>
              <w:pStyle w:val="TableParagraph"/>
              <w:spacing w:before="11"/>
              <w:rPr>
                <w:sz w:val="26"/>
              </w:rPr>
            </w:pPr>
          </w:p>
          <w:p>
            <w:pPr>
              <w:pStyle w:val="TableParagraph"/>
              <w:ind w:left="112" w:right="103" w:firstLine="16"/>
              <w:rPr>
                <w:sz w:val="18"/>
              </w:rPr>
            </w:pPr>
            <w:r>
              <w:rPr>
                <w:sz w:val="18"/>
              </w:rPr>
              <w:t>Usually available in local</w:t>
            </w:r>
            <w:r>
              <w:rPr>
                <w:spacing w:val="-47"/>
                <w:sz w:val="18"/>
              </w:rPr>
              <w:t> </w:t>
            </w:r>
            <w:r>
              <w:rPr>
                <w:sz w:val="18"/>
              </w:rPr>
              <w:t>community</w:t>
            </w:r>
            <w:r>
              <w:rPr>
                <w:spacing w:val="-6"/>
                <w:sz w:val="18"/>
              </w:rPr>
              <w:t> </w:t>
            </w:r>
            <w:r>
              <w:rPr>
                <w:sz w:val="18"/>
              </w:rPr>
              <w:t>or</w:t>
            </w:r>
            <w:r>
              <w:rPr>
                <w:spacing w:val="-4"/>
                <w:sz w:val="18"/>
              </w:rPr>
              <w:t> </w:t>
            </w:r>
            <w:r>
              <w:rPr>
                <w:sz w:val="18"/>
              </w:rPr>
              <w:t>nearby</w:t>
            </w:r>
            <w:r>
              <w:rPr>
                <w:spacing w:val="-4"/>
                <w:sz w:val="18"/>
              </w:rPr>
              <w:t> </w:t>
            </w:r>
            <w:r>
              <w:rPr>
                <w:sz w:val="18"/>
              </w:rPr>
              <w:t>(1)</w:t>
            </w:r>
          </w:p>
        </w:tc>
        <w:tc>
          <w:tcPr>
            <w:tcW w:w="2396" w:type="dxa"/>
            <w:shd w:val="clear" w:color="auto" w:fill="F1F1F1"/>
          </w:tcPr>
          <w:p>
            <w:pPr>
              <w:pStyle w:val="TableParagraph"/>
              <w:spacing w:before="11"/>
              <w:rPr>
                <w:sz w:val="26"/>
              </w:rPr>
            </w:pPr>
          </w:p>
          <w:p>
            <w:pPr>
              <w:pStyle w:val="TableParagraph"/>
              <w:ind w:left="145" w:right="135" w:firstLine="144"/>
              <w:rPr>
                <w:sz w:val="18"/>
              </w:rPr>
            </w:pPr>
            <w:r>
              <w:rPr>
                <w:sz w:val="18"/>
              </w:rPr>
              <w:t>Sometimes available</w:t>
            </w:r>
            <w:r>
              <w:rPr>
                <w:spacing w:val="1"/>
                <w:sz w:val="18"/>
              </w:rPr>
              <w:t> </w:t>
            </w:r>
            <w:r>
              <w:rPr>
                <w:sz w:val="18"/>
              </w:rPr>
              <w:t>(e.g.</w:t>
            </w:r>
            <w:r>
              <w:rPr>
                <w:spacing w:val="-5"/>
                <w:sz w:val="18"/>
              </w:rPr>
              <w:t> </w:t>
            </w:r>
            <w:r>
              <w:rPr>
                <w:sz w:val="18"/>
              </w:rPr>
              <w:t>visiting</w:t>
            </w:r>
            <w:r>
              <w:rPr>
                <w:spacing w:val="-7"/>
                <w:sz w:val="18"/>
              </w:rPr>
              <w:t> </w:t>
            </w:r>
            <w:r>
              <w:rPr>
                <w:sz w:val="18"/>
              </w:rPr>
              <w:t>services)</w:t>
            </w:r>
            <w:r>
              <w:rPr>
                <w:spacing w:val="-5"/>
                <w:sz w:val="18"/>
              </w:rPr>
              <w:t> </w:t>
            </w:r>
            <w:r>
              <w:rPr>
                <w:sz w:val="18"/>
              </w:rPr>
              <w:t>(2)</w:t>
            </w:r>
          </w:p>
        </w:tc>
        <w:tc>
          <w:tcPr>
            <w:tcW w:w="2394" w:type="dxa"/>
            <w:shd w:val="clear" w:color="auto" w:fill="F1F1F1"/>
          </w:tcPr>
          <w:p>
            <w:pPr>
              <w:pStyle w:val="TableParagraph"/>
              <w:spacing w:line="220" w:lineRule="exact"/>
              <w:ind w:left="118" w:right="114" w:hanging="3"/>
              <w:jc w:val="center"/>
              <w:rPr>
                <w:sz w:val="18"/>
              </w:rPr>
            </w:pPr>
            <w:r>
              <w:rPr>
                <w:sz w:val="18"/>
              </w:rPr>
              <w:t>Not usually available</w:t>
            </w:r>
            <w:r>
              <w:rPr>
                <w:spacing w:val="1"/>
                <w:sz w:val="18"/>
              </w:rPr>
              <w:t> </w:t>
            </w:r>
            <w:r>
              <w:rPr>
                <w:sz w:val="18"/>
              </w:rPr>
              <w:t>(patients have to travel</w:t>
            </w:r>
            <w:r>
              <w:rPr>
                <w:spacing w:val="1"/>
                <w:sz w:val="18"/>
              </w:rPr>
              <w:t> </w:t>
            </w:r>
            <w:r>
              <w:rPr>
                <w:sz w:val="18"/>
              </w:rPr>
              <w:t>to another town, or a</w:t>
            </w:r>
            <w:r>
              <w:rPr>
                <w:spacing w:val="1"/>
                <w:sz w:val="18"/>
              </w:rPr>
              <w:t> </w:t>
            </w:r>
            <w:r>
              <w:rPr>
                <w:sz w:val="18"/>
              </w:rPr>
              <w:t>large distance to access</w:t>
            </w:r>
            <w:r>
              <w:rPr>
                <w:spacing w:val="-47"/>
                <w:sz w:val="18"/>
              </w:rPr>
              <w:t> </w:t>
            </w:r>
            <w:r>
              <w:rPr>
                <w:sz w:val="18"/>
              </w:rPr>
              <w:t>these</w:t>
            </w:r>
            <w:r>
              <w:rPr>
                <w:spacing w:val="-2"/>
                <w:sz w:val="18"/>
              </w:rPr>
              <w:t> </w:t>
            </w:r>
            <w:r>
              <w:rPr>
                <w:sz w:val="18"/>
              </w:rPr>
              <w:t>services)</w:t>
            </w:r>
            <w:r>
              <w:rPr>
                <w:spacing w:val="-1"/>
                <w:sz w:val="18"/>
              </w:rPr>
              <w:t> </w:t>
            </w:r>
            <w:r>
              <w:rPr>
                <w:sz w:val="18"/>
              </w:rPr>
              <w:t>(3)</w:t>
            </w:r>
          </w:p>
        </w:tc>
      </w:tr>
      <w:tr>
        <w:trPr>
          <w:trHeight w:val="220" w:hRule="atLeast"/>
        </w:trPr>
        <w:tc>
          <w:tcPr>
            <w:tcW w:w="2396" w:type="dxa"/>
          </w:tcPr>
          <w:p>
            <w:pPr>
              <w:pStyle w:val="TableParagraph"/>
              <w:spacing w:line="200" w:lineRule="exact"/>
              <w:ind w:left="533"/>
              <w:rPr>
                <w:sz w:val="18"/>
              </w:rPr>
            </w:pPr>
            <w:r>
              <w:rPr>
                <w:sz w:val="18"/>
              </w:rPr>
              <w:t>1</w:t>
            </w:r>
            <w:r>
              <w:rPr>
                <w:spacing w:val="-3"/>
                <w:sz w:val="18"/>
              </w:rPr>
              <w:t> </w:t>
            </w:r>
            <w:r>
              <w:rPr>
                <w:sz w:val="18"/>
              </w:rPr>
              <w:t>Pharmacy</w:t>
            </w:r>
            <w:r>
              <w:rPr>
                <w:spacing w:val="-1"/>
                <w:sz w:val="18"/>
              </w:rPr>
              <w:t> </w:t>
            </w:r>
            <w:r>
              <w:rPr>
                <w:sz w:val="18"/>
              </w:rPr>
              <w:t>(1)</w:t>
            </w:r>
          </w:p>
        </w:tc>
        <w:tc>
          <w:tcPr>
            <w:tcW w:w="2394" w:type="dxa"/>
          </w:tcPr>
          <w:p>
            <w:pPr>
              <w:pStyle w:val="TableParagraph"/>
              <w:spacing w:before="8"/>
              <w:rPr>
                <w:sz w:val="5"/>
              </w:rPr>
            </w:pPr>
          </w:p>
          <w:p>
            <w:pPr>
              <w:pStyle w:val="TableParagraph"/>
              <w:spacing w:line="112" w:lineRule="exact"/>
              <w:ind w:left="1038"/>
              <w:rPr>
                <w:sz w:val="11"/>
              </w:rPr>
            </w:pPr>
            <w:r>
              <w:rPr>
                <w:position w:val="-1"/>
                <w:sz w:val="11"/>
              </w:rPr>
              <w:drawing>
                <wp:inline distT="0" distB="0" distL="0" distR="0">
                  <wp:extent cx="57802" cy="71437"/>
                  <wp:effectExtent l="0" t="0" r="0" b="0"/>
                  <wp:docPr id="59" name="image13.png"/>
                  <wp:cNvGraphicFramePr>
                    <a:graphicFrameLocks noChangeAspect="1"/>
                  </wp:cNvGraphicFramePr>
                  <a:graphic>
                    <a:graphicData uri="http://schemas.openxmlformats.org/drawingml/2006/picture">
                      <pic:pic>
                        <pic:nvPicPr>
                          <pic:cNvPr id="60"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2396" w:type="dxa"/>
          </w:tcPr>
          <w:p>
            <w:pPr>
              <w:pStyle w:val="TableParagraph"/>
              <w:spacing w:before="8"/>
              <w:rPr>
                <w:sz w:val="5"/>
              </w:rPr>
            </w:pPr>
          </w:p>
          <w:p>
            <w:pPr>
              <w:pStyle w:val="TableParagraph"/>
              <w:spacing w:line="112" w:lineRule="exact"/>
              <w:ind w:left="1039"/>
              <w:rPr>
                <w:sz w:val="11"/>
              </w:rPr>
            </w:pPr>
            <w:r>
              <w:rPr>
                <w:position w:val="-1"/>
                <w:sz w:val="11"/>
              </w:rPr>
              <w:drawing>
                <wp:inline distT="0" distB="0" distL="0" distR="0">
                  <wp:extent cx="57802" cy="71437"/>
                  <wp:effectExtent l="0" t="0" r="0" b="0"/>
                  <wp:docPr id="61" name="image13.png"/>
                  <wp:cNvGraphicFramePr>
                    <a:graphicFrameLocks noChangeAspect="1"/>
                  </wp:cNvGraphicFramePr>
                  <a:graphic>
                    <a:graphicData uri="http://schemas.openxmlformats.org/drawingml/2006/picture">
                      <pic:pic>
                        <pic:nvPicPr>
                          <pic:cNvPr id="62"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2394" w:type="dxa"/>
          </w:tcPr>
          <w:p>
            <w:pPr>
              <w:pStyle w:val="TableParagraph"/>
              <w:spacing w:before="8"/>
              <w:rPr>
                <w:sz w:val="5"/>
              </w:rPr>
            </w:pPr>
          </w:p>
          <w:p>
            <w:pPr>
              <w:pStyle w:val="TableParagraph"/>
              <w:spacing w:line="112" w:lineRule="exact"/>
              <w:ind w:left="1036"/>
              <w:rPr>
                <w:sz w:val="11"/>
              </w:rPr>
            </w:pPr>
            <w:r>
              <w:rPr>
                <w:position w:val="-1"/>
                <w:sz w:val="11"/>
              </w:rPr>
              <w:drawing>
                <wp:inline distT="0" distB="0" distL="0" distR="0">
                  <wp:extent cx="57802" cy="71437"/>
                  <wp:effectExtent l="0" t="0" r="0" b="0"/>
                  <wp:docPr id="63" name="image13.png"/>
                  <wp:cNvGraphicFramePr>
                    <a:graphicFrameLocks noChangeAspect="1"/>
                  </wp:cNvGraphicFramePr>
                  <a:graphic>
                    <a:graphicData uri="http://schemas.openxmlformats.org/drawingml/2006/picture">
                      <pic:pic>
                        <pic:nvPicPr>
                          <pic:cNvPr id="64"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r>
      <w:tr>
        <w:trPr>
          <w:trHeight w:val="220" w:hRule="atLeast"/>
        </w:trPr>
        <w:tc>
          <w:tcPr>
            <w:tcW w:w="2396" w:type="dxa"/>
          </w:tcPr>
          <w:p>
            <w:pPr>
              <w:pStyle w:val="TableParagraph"/>
              <w:spacing w:line="200" w:lineRule="exact"/>
              <w:ind w:right="326"/>
              <w:jc w:val="right"/>
              <w:rPr>
                <w:sz w:val="18"/>
              </w:rPr>
            </w:pPr>
            <w:r>
              <w:rPr>
                <w:sz w:val="18"/>
              </w:rPr>
              <w:t>2</w:t>
            </w:r>
            <w:r>
              <w:rPr>
                <w:spacing w:val="-4"/>
                <w:sz w:val="18"/>
              </w:rPr>
              <w:t> </w:t>
            </w:r>
            <w:r>
              <w:rPr>
                <w:sz w:val="18"/>
              </w:rPr>
              <w:t>Physiotherapist</w:t>
            </w:r>
            <w:r>
              <w:rPr>
                <w:spacing w:val="-3"/>
                <w:sz w:val="18"/>
              </w:rPr>
              <w:t> </w:t>
            </w:r>
            <w:r>
              <w:rPr>
                <w:sz w:val="18"/>
              </w:rPr>
              <w:t>(2)</w:t>
            </w:r>
          </w:p>
        </w:tc>
        <w:tc>
          <w:tcPr>
            <w:tcW w:w="2394" w:type="dxa"/>
          </w:tcPr>
          <w:p>
            <w:pPr>
              <w:pStyle w:val="TableParagraph"/>
              <w:spacing w:before="8"/>
              <w:rPr>
                <w:sz w:val="5"/>
              </w:rPr>
            </w:pPr>
          </w:p>
          <w:p>
            <w:pPr>
              <w:pStyle w:val="TableParagraph"/>
              <w:spacing w:line="112" w:lineRule="exact"/>
              <w:ind w:left="1038"/>
              <w:rPr>
                <w:sz w:val="11"/>
              </w:rPr>
            </w:pPr>
            <w:r>
              <w:rPr>
                <w:position w:val="-1"/>
                <w:sz w:val="11"/>
              </w:rPr>
              <w:drawing>
                <wp:inline distT="0" distB="0" distL="0" distR="0">
                  <wp:extent cx="57802" cy="71437"/>
                  <wp:effectExtent l="0" t="0" r="0" b="0"/>
                  <wp:docPr id="65" name="image13.png"/>
                  <wp:cNvGraphicFramePr>
                    <a:graphicFrameLocks noChangeAspect="1"/>
                  </wp:cNvGraphicFramePr>
                  <a:graphic>
                    <a:graphicData uri="http://schemas.openxmlformats.org/drawingml/2006/picture">
                      <pic:pic>
                        <pic:nvPicPr>
                          <pic:cNvPr id="66"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2396" w:type="dxa"/>
          </w:tcPr>
          <w:p>
            <w:pPr>
              <w:pStyle w:val="TableParagraph"/>
              <w:spacing w:before="8"/>
              <w:rPr>
                <w:sz w:val="5"/>
              </w:rPr>
            </w:pPr>
          </w:p>
          <w:p>
            <w:pPr>
              <w:pStyle w:val="TableParagraph"/>
              <w:spacing w:line="112" w:lineRule="exact"/>
              <w:ind w:left="1039"/>
              <w:rPr>
                <w:sz w:val="11"/>
              </w:rPr>
            </w:pPr>
            <w:r>
              <w:rPr>
                <w:position w:val="-1"/>
                <w:sz w:val="11"/>
              </w:rPr>
              <w:drawing>
                <wp:inline distT="0" distB="0" distL="0" distR="0">
                  <wp:extent cx="57802" cy="71437"/>
                  <wp:effectExtent l="0" t="0" r="0" b="0"/>
                  <wp:docPr id="67" name="image13.png"/>
                  <wp:cNvGraphicFramePr>
                    <a:graphicFrameLocks noChangeAspect="1"/>
                  </wp:cNvGraphicFramePr>
                  <a:graphic>
                    <a:graphicData uri="http://schemas.openxmlformats.org/drawingml/2006/picture">
                      <pic:pic>
                        <pic:nvPicPr>
                          <pic:cNvPr id="68"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2394" w:type="dxa"/>
          </w:tcPr>
          <w:p>
            <w:pPr>
              <w:pStyle w:val="TableParagraph"/>
              <w:spacing w:before="8"/>
              <w:rPr>
                <w:sz w:val="5"/>
              </w:rPr>
            </w:pPr>
          </w:p>
          <w:p>
            <w:pPr>
              <w:pStyle w:val="TableParagraph"/>
              <w:spacing w:line="112" w:lineRule="exact"/>
              <w:ind w:left="1036"/>
              <w:rPr>
                <w:sz w:val="11"/>
              </w:rPr>
            </w:pPr>
            <w:r>
              <w:rPr>
                <w:position w:val="-1"/>
                <w:sz w:val="11"/>
              </w:rPr>
              <w:drawing>
                <wp:inline distT="0" distB="0" distL="0" distR="0">
                  <wp:extent cx="57802" cy="71437"/>
                  <wp:effectExtent l="0" t="0" r="0" b="0"/>
                  <wp:docPr id="69" name="image13.png"/>
                  <wp:cNvGraphicFramePr>
                    <a:graphicFrameLocks noChangeAspect="1"/>
                  </wp:cNvGraphicFramePr>
                  <a:graphic>
                    <a:graphicData uri="http://schemas.openxmlformats.org/drawingml/2006/picture">
                      <pic:pic>
                        <pic:nvPicPr>
                          <pic:cNvPr id="70"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r>
      <w:tr>
        <w:trPr>
          <w:trHeight w:val="220" w:hRule="atLeast"/>
        </w:trPr>
        <w:tc>
          <w:tcPr>
            <w:tcW w:w="2396" w:type="dxa"/>
          </w:tcPr>
          <w:p>
            <w:pPr>
              <w:pStyle w:val="TableParagraph"/>
              <w:spacing w:line="200" w:lineRule="exact"/>
              <w:ind w:left="624"/>
              <w:rPr>
                <w:sz w:val="18"/>
              </w:rPr>
            </w:pPr>
            <w:r>
              <w:rPr>
                <w:sz w:val="18"/>
              </w:rPr>
              <w:t>3</w:t>
            </w:r>
            <w:r>
              <w:rPr>
                <w:spacing w:val="-3"/>
                <w:sz w:val="18"/>
              </w:rPr>
              <w:t> </w:t>
            </w:r>
            <w:r>
              <w:rPr>
                <w:sz w:val="18"/>
              </w:rPr>
              <w:t>Dietitian</w:t>
            </w:r>
            <w:r>
              <w:rPr>
                <w:spacing w:val="-3"/>
                <w:sz w:val="18"/>
              </w:rPr>
              <w:t> </w:t>
            </w:r>
            <w:r>
              <w:rPr>
                <w:sz w:val="18"/>
              </w:rPr>
              <w:t>(3)</w:t>
            </w:r>
          </w:p>
        </w:tc>
        <w:tc>
          <w:tcPr>
            <w:tcW w:w="2394" w:type="dxa"/>
          </w:tcPr>
          <w:p>
            <w:pPr>
              <w:pStyle w:val="TableParagraph"/>
              <w:spacing w:before="8"/>
              <w:rPr>
                <w:sz w:val="5"/>
              </w:rPr>
            </w:pPr>
          </w:p>
          <w:p>
            <w:pPr>
              <w:pStyle w:val="TableParagraph"/>
              <w:spacing w:line="112" w:lineRule="exact"/>
              <w:ind w:left="1038"/>
              <w:rPr>
                <w:sz w:val="11"/>
              </w:rPr>
            </w:pPr>
            <w:r>
              <w:rPr>
                <w:position w:val="-1"/>
                <w:sz w:val="11"/>
              </w:rPr>
              <w:drawing>
                <wp:inline distT="0" distB="0" distL="0" distR="0">
                  <wp:extent cx="57803" cy="71437"/>
                  <wp:effectExtent l="0" t="0" r="0" b="0"/>
                  <wp:docPr id="71" name="image13.png"/>
                  <wp:cNvGraphicFramePr>
                    <a:graphicFrameLocks noChangeAspect="1"/>
                  </wp:cNvGraphicFramePr>
                  <a:graphic>
                    <a:graphicData uri="http://schemas.openxmlformats.org/drawingml/2006/picture">
                      <pic:pic>
                        <pic:nvPicPr>
                          <pic:cNvPr id="72" name="image13.png"/>
                          <pic:cNvPicPr/>
                        </pic:nvPicPr>
                        <pic:blipFill>
                          <a:blip r:embed="rId41" cstate="print"/>
                          <a:stretch>
                            <a:fillRect/>
                          </a:stretch>
                        </pic:blipFill>
                        <pic:spPr>
                          <a:xfrm>
                            <a:off x="0" y="0"/>
                            <a:ext cx="57803" cy="71437"/>
                          </a:xfrm>
                          <a:prstGeom prst="rect">
                            <a:avLst/>
                          </a:prstGeom>
                        </pic:spPr>
                      </pic:pic>
                    </a:graphicData>
                  </a:graphic>
                </wp:inline>
              </w:drawing>
            </w:r>
            <w:r>
              <w:rPr>
                <w:position w:val="-1"/>
                <w:sz w:val="11"/>
              </w:rPr>
            </w:r>
          </w:p>
        </w:tc>
        <w:tc>
          <w:tcPr>
            <w:tcW w:w="2396" w:type="dxa"/>
          </w:tcPr>
          <w:p>
            <w:pPr>
              <w:pStyle w:val="TableParagraph"/>
              <w:spacing w:before="8"/>
              <w:rPr>
                <w:sz w:val="5"/>
              </w:rPr>
            </w:pPr>
          </w:p>
          <w:p>
            <w:pPr>
              <w:pStyle w:val="TableParagraph"/>
              <w:spacing w:line="112" w:lineRule="exact"/>
              <w:ind w:left="1039"/>
              <w:rPr>
                <w:sz w:val="11"/>
              </w:rPr>
            </w:pPr>
            <w:r>
              <w:rPr>
                <w:position w:val="-1"/>
                <w:sz w:val="11"/>
              </w:rPr>
              <w:drawing>
                <wp:inline distT="0" distB="0" distL="0" distR="0">
                  <wp:extent cx="57803" cy="71437"/>
                  <wp:effectExtent l="0" t="0" r="0" b="0"/>
                  <wp:docPr id="73" name="image13.png"/>
                  <wp:cNvGraphicFramePr>
                    <a:graphicFrameLocks noChangeAspect="1"/>
                  </wp:cNvGraphicFramePr>
                  <a:graphic>
                    <a:graphicData uri="http://schemas.openxmlformats.org/drawingml/2006/picture">
                      <pic:pic>
                        <pic:nvPicPr>
                          <pic:cNvPr id="74" name="image13.png"/>
                          <pic:cNvPicPr/>
                        </pic:nvPicPr>
                        <pic:blipFill>
                          <a:blip r:embed="rId41" cstate="print"/>
                          <a:stretch>
                            <a:fillRect/>
                          </a:stretch>
                        </pic:blipFill>
                        <pic:spPr>
                          <a:xfrm>
                            <a:off x="0" y="0"/>
                            <a:ext cx="57803" cy="71437"/>
                          </a:xfrm>
                          <a:prstGeom prst="rect">
                            <a:avLst/>
                          </a:prstGeom>
                        </pic:spPr>
                      </pic:pic>
                    </a:graphicData>
                  </a:graphic>
                </wp:inline>
              </w:drawing>
            </w:r>
            <w:r>
              <w:rPr>
                <w:position w:val="-1"/>
                <w:sz w:val="11"/>
              </w:rPr>
            </w:r>
          </w:p>
        </w:tc>
        <w:tc>
          <w:tcPr>
            <w:tcW w:w="2394" w:type="dxa"/>
          </w:tcPr>
          <w:p>
            <w:pPr>
              <w:pStyle w:val="TableParagraph"/>
              <w:spacing w:before="8"/>
              <w:rPr>
                <w:sz w:val="5"/>
              </w:rPr>
            </w:pPr>
          </w:p>
          <w:p>
            <w:pPr>
              <w:pStyle w:val="TableParagraph"/>
              <w:spacing w:line="112" w:lineRule="exact"/>
              <w:ind w:left="1036"/>
              <w:rPr>
                <w:sz w:val="11"/>
              </w:rPr>
            </w:pPr>
            <w:r>
              <w:rPr>
                <w:position w:val="-1"/>
                <w:sz w:val="11"/>
              </w:rPr>
              <w:drawing>
                <wp:inline distT="0" distB="0" distL="0" distR="0">
                  <wp:extent cx="57803" cy="71437"/>
                  <wp:effectExtent l="0" t="0" r="0" b="0"/>
                  <wp:docPr id="75" name="image13.png"/>
                  <wp:cNvGraphicFramePr>
                    <a:graphicFrameLocks noChangeAspect="1"/>
                  </wp:cNvGraphicFramePr>
                  <a:graphic>
                    <a:graphicData uri="http://schemas.openxmlformats.org/drawingml/2006/picture">
                      <pic:pic>
                        <pic:nvPicPr>
                          <pic:cNvPr id="76" name="image13.png"/>
                          <pic:cNvPicPr/>
                        </pic:nvPicPr>
                        <pic:blipFill>
                          <a:blip r:embed="rId41" cstate="print"/>
                          <a:stretch>
                            <a:fillRect/>
                          </a:stretch>
                        </pic:blipFill>
                        <pic:spPr>
                          <a:xfrm>
                            <a:off x="0" y="0"/>
                            <a:ext cx="57803" cy="71437"/>
                          </a:xfrm>
                          <a:prstGeom prst="rect">
                            <a:avLst/>
                          </a:prstGeom>
                        </pic:spPr>
                      </pic:pic>
                    </a:graphicData>
                  </a:graphic>
                </wp:inline>
              </w:drawing>
            </w:r>
            <w:r>
              <w:rPr>
                <w:position w:val="-1"/>
                <w:sz w:val="11"/>
              </w:rPr>
            </w:r>
          </w:p>
        </w:tc>
      </w:tr>
      <w:tr>
        <w:trPr>
          <w:trHeight w:val="222" w:hRule="atLeast"/>
        </w:trPr>
        <w:tc>
          <w:tcPr>
            <w:tcW w:w="2396" w:type="dxa"/>
          </w:tcPr>
          <w:p>
            <w:pPr>
              <w:pStyle w:val="TableParagraph"/>
              <w:spacing w:line="202" w:lineRule="exact" w:before="1"/>
              <w:ind w:left="451"/>
              <w:rPr>
                <w:sz w:val="18"/>
              </w:rPr>
            </w:pPr>
            <w:r>
              <w:rPr>
                <w:sz w:val="18"/>
              </w:rPr>
              <w:t>4</w:t>
            </w:r>
            <w:r>
              <w:rPr>
                <w:spacing w:val="-4"/>
                <w:sz w:val="18"/>
              </w:rPr>
              <w:t> </w:t>
            </w:r>
            <w:r>
              <w:rPr>
                <w:sz w:val="18"/>
              </w:rPr>
              <w:t>Psychologist</w:t>
            </w:r>
            <w:r>
              <w:rPr>
                <w:spacing w:val="-2"/>
                <w:sz w:val="18"/>
              </w:rPr>
              <w:t> </w:t>
            </w:r>
            <w:r>
              <w:rPr>
                <w:sz w:val="18"/>
              </w:rPr>
              <w:t>(4)</w:t>
            </w:r>
          </w:p>
        </w:tc>
        <w:tc>
          <w:tcPr>
            <w:tcW w:w="2394" w:type="dxa"/>
          </w:tcPr>
          <w:p>
            <w:pPr>
              <w:pStyle w:val="TableParagraph"/>
              <w:spacing w:before="10"/>
              <w:rPr>
                <w:sz w:val="5"/>
              </w:rPr>
            </w:pPr>
          </w:p>
          <w:p>
            <w:pPr>
              <w:pStyle w:val="TableParagraph"/>
              <w:spacing w:line="112" w:lineRule="exact"/>
              <w:ind w:left="1038"/>
              <w:rPr>
                <w:sz w:val="11"/>
              </w:rPr>
            </w:pPr>
            <w:r>
              <w:rPr>
                <w:position w:val="-1"/>
                <w:sz w:val="11"/>
              </w:rPr>
              <w:drawing>
                <wp:inline distT="0" distB="0" distL="0" distR="0">
                  <wp:extent cx="57802" cy="71437"/>
                  <wp:effectExtent l="0" t="0" r="0" b="0"/>
                  <wp:docPr id="77" name="image13.png"/>
                  <wp:cNvGraphicFramePr>
                    <a:graphicFrameLocks noChangeAspect="1"/>
                  </wp:cNvGraphicFramePr>
                  <a:graphic>
                    <a:graphicData uri="http://schemas.openxmlformats.org/drawingml/2006/picture">
                      <pic:pic>
                        <pic:nvPicPr>
                          <pic:cNvPr id="78"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2396" w:type="dxa"/>
          </w:tcPr>
          <w:p>
            <w:pPr>
              <w:pStyle w:val="TableParagraph"/>
              <w:spacing w:before="10"/>
              <w:rPr>
                <w:sz w:val="5"/>
              </w:rPr>
            </w:pPr>
          </w:p>
          <w:p>
            <w:pPr>
              <w:pStyle w:val="TableParagraph"/>
              <w:spacing w:line="112" w:lineRule="exact"/>
              <w:ind w:left="1039"/>
              <w:rPr>
                <w:sz w:val="11"/>
              </w:rPr>
            </w:pPr>
            <w:r>
              <w:rPr>
                <w:position w:val="-1"/>
                <w:sz w:val="11"/>
              </w:rPr>
              <w:drawing>
                <wp:inline distT="0" distB="0" distL="0" distR="0">
                  <wp:extent cx="57802" cy="71437"/>
                  <wp:effectExtent l="0" t="0" r="0" b="0"/>
                  <wp:docPr id="79" name="image13.png"/>
                  <wp:cNvGraphicFramePr>
                    <a:graphicFrameLocks noChangeAspect="1"/>
                  </wp:cNvGraphicFramePr>
                  <a:graphic>
                    <a:graphicData uri="http://schemas.openxmlformats.org/drawingml/2006/picture">
                      <pic:pic>
                        <pic:nvPicPr>
                          <pic:cNvPr id="80"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2394" w:type="dxa"/>
          </w:tcPr>
          <w:p>
            <w:pPr>
              <w:pStyle w:val="TableParagraph"/>
              <w:spacing w:before="10"/>
              <w:rPr>
                <w:sz w:val="5"/>
              </w:rPr>
            </w:pPr>
          </w:p>
          <w:p>
            <w:pPr>
              <w:pStyle w:val="TableParagraph"/>
              <w:spacing w:line="112" w:lineRule="exact"/>
              <w:ind w:left="1036"/>
              <w:rPr>
                <w:sz w:val="11"/>
              </w:rPr>
            </w:pPr>
            <w:r>
              <w:rPr>
                <w:position w:val="-1"/>
                <w:sz w:val="11"/>
              </w:rPr>
              <w:drawing>
                <wp:inline distT="0" distB="0" distL="0" distR="0">
                  <wp:extent cx="57802" cy="71437"/>
                  <wp:effectExtent l="0" t="0" r="0" b="0"/>
                  <wp:docPr id="81" name="image13.png"/>
                  <wp:cNvGraphicFramePr>
                    <a:graphicFrameLocks noChangeAspect="1"/>
                  </wp:cNvGraphicFramePr>
                  <a:graphic>
                    <a:graphicData uri="http://schemas.openxmlformats.org/drawingml/2006/picture">
                      <pic:pic>
                        <pic:nvPicPr>
                          <pic:cNvPr id="82"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r>
      <w:tr>
        <w:trPr>
          <w:trHeight w:val="220" w:hRule="atLeast"/>
        </w:trPr>
        <w:tc>
          <w:tcPr>
            <w:tcW w:w="2396" w:type="dxa"/>
          </w:tcPr>
          <w:p>
            <w:pPr>
              <w:pStyle w:val="TableParagraph"/>
              <w:spacing w:line="200" w:lineRule="exact"/>
              <w:ind w:right="384"/>
              <w:jc w:val="right"/>
              <w:rPr>
                <w:sz w:val="18"/>
              </w:rPr>
            </w:pPr>
            <w:r>
              <w:rPr>
                <w:sz w:val="18"/>
              </w:rPr>
              <w:t>5</w:t>
            </w:r>
            <w:r>
              <w:rPr>
                <w:spacing w:val="-4"/>
                <w:sz w:val="18"/>
              </w:rPr>
              <w:t> </w:t>
            </w:r>
            <w:r>
              <w:rPr>
                <w:sz w:val="18"/>
              </w:rPr>
              <w:t>Social</w:t>
            </w:r>
            <w:r>
              <w:rPr>
                <w:spacing w:val="-1"/>
                <w:sz w:val="18"/>
              </w:rPr>
              <w:t> </w:t>
            </w:r>
            <w:r>
              <w:rPr>
                <w:sz w:val="18"/>
              </w:rPr>
              <w:t>Worker</w:t>
            </w:r>
            <w:r>
              <w:rPr>
                <w:spacing w:val="-1"/>
                <w:sz w:val="18"/>
              </w:rPr>
              <w:t> </w:t>
            </w:r>
            <w:r>
              <w:rPr>
                <w:sz w:val="18"/>
              </w:rPr>
              <w:t>(5)</w:t>
            </w:r>
          </w:p>
        </w:tc>
        <w:tc>
          <w:tcPr>
            <w:tcW w:w="2394" w:type="dxa"/>
          </w:tcPr>
          <w:p>
            <w:pPr>
              <w:pStyle w:val="TableParagraph"/>
              <w:spacing w:before="7"/>
              <w:rPr>
                <w:sz w:val="5"/>
              </w:rPr>
            </w:pPr>
          </w:p>
          <w:p>
            <w:pPr>
              <w:pStyle w:val="TableParagraph"/>
              <w:spacing w:line="115" w:lineRule="exact"/>
              <w:ind w:left="1038"/>
              <w:rPr>
                <w:sz w:val="11"/>
              </w:rPr>
            </w:pPr>
            <w:r>
              <w:rPr>
                <w:position w:val="-1"/>
                <w:sz w:val="11"/>
              </w:rPr>
              <w:drawing>
                <wp:inline distT="0" distB="0" distL="0" distR="0">
                  <wp:extent cx="57814" cy="73151"/>
                  <wp:effectExtent l="0" t="0" r="0" b="0"/>
                  <wp:docPr id="83" name="image14.png"/>
                  <wp:cNvGraphicFramePr>
                    <a:graphicFrameLocks noChangeAspect="1"/>
                  </wp:cNvGraphicFramePr>
                  <a:graphic>
                    <a:graphicData uri="http://schemas.openxmlformats.org/drawingml/2006/picture">
                      <pic:pic>
                        <pic:nvPicPr>
                          <pic:cNvPr id="84" name="image14.png"/>
                          <pic:cNvPicPr/>
                        </pic:nvPicPr>
                        <pic:blipFill>
                          <a:blip r:embed="rId43" cstate="print"/>
                          <a:stretch>
                            <a:fillRect/>
                          </a:stretch>
                        </pic:blipFill>
                        <pic:spPr>
                          <a:xfrm>
                            <a:off x="0" y="0"/>
                            <a:ext cx="57814" cy="73151"/>
                          </a:xfrm>
                          <a:prstGeom prst="rect">
                            <a:avLst/>
                          </a:prstGeom>
                        </pic:spPr>
                      </pic:pic>
                    </a:graphicData>
                  </a:graphic>
                </wp:inline>
              </w:drawing>
            </w:r>
            <w:r>
              <w:rPr>
                <w:position w:val="-1"/>
                <w:sz w:val="11"/>
              </w:rPr>
            </w:r>
          </w:p>
        </w:tc>
        <w:tc>
          <w:tcPr>
            <w:tcW w:w="2396" w:type="dxa"/>
          </w:tcPr>
          <w:p>
            <w:pPr>
              <w:pStyle w:val="TableParagraph"/>
              <w:spacing w:before="7"/>
              <w:rPr>
                <w:sz w:val="5"/>
              </w:rPr>
            </w:pPr>
          </w:p>
          <w:p>
            <w:pPr>
              <w:pStyle w:val="TableParagraph"/>
              <w:spacing w:line="115" w:lineRule="exact"/>
              <w:ind w:left="1039"/>
              <w:rPr>
                <w:sz w:val="11"/>
              </w:rPr>
            </w:pPr>
            <w:r>
              <w:rPr>
                <w:position w:val="-1"/>
                <w:sz w:val="11"/>
              </w:rPr>
              <w:drawing>
                <wp:inline distT="0" distB="0" distL="0" distR="0">
                  <wp:extent cx="57814" cy="73151"/>
                  <wp:effectExtent l="0" t="0" r="0" b="0"/>
                  <wp:docPr id="85" name="image14.png"/>
                  <wp:cNvGraphicFramePr>
                    <a:graphicFrameLocks noChangeAspect="1"/>
                  </wp:cNvGraphicFramePr>
                  <a:graphic>
                    <a:graphicData uri="http://schemas.openxmlformats.org/drawingml/2006/picture">
                      <pic:pic>
                        <pic:nvPicPr>
                          <pic:cNvPr id="86" name="image14.png"/>
                          <pic:cNvPicPr/>
                        </pic:nvPicPr>
                        <pic:blipFill>
                          <a:blip r:embed="rId43" cstate="print"/>
                          <a:stretch>
                            <a:fillRect/>
                          </a:stretch>
                        </pic:blipFill>
                        <pic:spPr>
                          <a:xfrm>
                            <a:off x="0" y="0"/>
                            <a:ext cx="57814" cy="73151"/>
                          </a:xfrm>
                          <a:prstGeom prst="rect">
                            <a:avLst/>
                          </a:prstGeom>
                        </pic:spPr>
                      </pic:pic>
                    </a:graphicData>
                  </a:graphic>
                </wp:inline>
              </w:drawing>
            </w:r>
            <w:r>
              <w:rPr>
                <w:position w:val="-1"/>
                <w:sz w:val="11"/>
              </w:rPr>
            </w:r>
          </w:p>
        </w:tc>
        <w:tc>
          <w:tcPr>
            <w:tcW w:w="2394" w:type="dxa"/>
          </w:tcPr>
          <w:p>
            <w:pPr>
              <w:pStyle w:val="TableParagraph"/>
              <w:spacing w:before="8"/>
              <w:rPr>
                <w:sz w:val="5"/>
              </w:rPr>
            </w:pPr>
          </w:p>
          <w:p>
            <w:pPr>
              <w:pStyle w:val="TableParagraph"/>
              <w:spacing w:line="112" w:lineRule="exact"/>
              <w:ind w:left="1036"/>
              <w:rPr>
                <w:sz w:val="11"/>
              </w:rPr>
            </w:pPr>
            <w:r>
              <w:rPr>
                <w:position w:val="-1"/>
                <w:sz w:val="11"/>
              </w:rPr>
              <w:drawing>
                <wp:inline distT="0" distB="0" distL="0" distR="0">
                  <wp:extent cx="57802" cy="71437"/>
                  <wp:effectExtent l="0" t="0" r="0" b="0"/>
                  <wp:docPr id="87" name="image13.png"/>
                  <wp:cNvGraphicFramePr>
                    <a:graphicFrameLocks noChangeAspect="1"/>
                  </wp:cNvGraphicFramePr>
                  <a:graphic>
                    <a:graphicData uri="http://schemas.openxmlformats.org/drawingml/2006/picture">
                      <pic:pic>
                        <pic:nvPicPr>
                          <pic:cNvPr id="88"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r>
      <w:tr>
        <w:trPr>
          <w:trHeight w:val="220" w:hRule="atLeast"/>
        </w:trPr>
        <w:tc>
          <w:tcPr>
            <w:tcW w:w="2396" w:type="dxa"/>
          </w:tcPr>
          <w:p>
            <w:pPr>
              <w:pStyle w:val="TableParagraph"/>
              <w:spacing w:line="200" w:lineRule="exact"/>
              <w:ind w:left="686"/>
              <w:rPr>
                <w:sz w:val="18"/>
              </w:rPr>
            </w:pPr>
            <w:r>
              <w:rPr>
                <w:sz w:val="18"/>
              </w:rPr>
              <w:t>6</w:t>
            </w:r>
            <w:r>
              <w:rPr>
                <w:spacing w:val="-4"/>
                <w:sz w:val="18"/>
              </w:rPr>
              <w:t> </w:t>
            </w:r>
            <w:r>
              <w:rPr>
                <w:sz w:val="18"/>
              </w:rPr>
              <w:t>Dentist</w:t>
            </w:r>
            <w:r>
              <w:rPr>
                <w:spacing w:val="-2"/>
                <w:sz w:val="18"/>
              </w:rPr>
              <w:t> </w:t>
            </w:r>
            <w:r>
              <w:rPr>
                <w:sz w:val="18"/>
              </w:rPr>
              <w:t>(6)</w:t>
            </w:r>
          </w:p>
        </w:tc>
        <w:tc>
          <w:tcPr>
            <w:tcW w:w="2394" w:type="dxa"/>
          </w:tcPr>
          <w:p>
            <w:pPr>
              <w:pStyle w:val="TableParagraph"/>
              <w:spacing w:before="7"/>
              <w:rPr>
                <w:sz w:val="5"/>
              </w:rPr>
            </w:pPr>
          </w:p>
          <w:p>
            <w:pPr>
              <w:pStyle w:val="TableParagraph"/>
              <w:spacing w:line="115" w:lineRule="exact"/>
              <w:ind w:left="1038"/>
              <w:rPr>
                <w:sz w:val="11"/>
              </w:rPr>
            </w:pPr>
            <w:r>
              <w:rPr>
                <w:position w:val="-1"/>
                <w:sz w:val="11"/>
              </w:rPr>
              <w:drawing>
                <wp:inline distT="0" distB="0" distL="0" distR="0">
                  <wp:extent cx="57814" cy="73151"/>
                  <wp:effectExtent l="0" t="0" r="0" b="0"/>
                  <wp:docPr id="89" name="image14.png"/>
                  <wp:cNvGraphicFramePr>
                    <a:graphicFrameLocks noChangeAspect="1"/>
                  </wp:cNvGraphicFramePr>
                  <a:graphic>
                    <a:graphicData uri="http://schemas.openxmlformats.org/drawingml/2006/picture">
                      <pic:pic>
                        <pic:nvPicPr>
                          <pic:cNvPr id="90" name="image14.png"/>
                          <pic:cNvPicPr/>
                        </pic:nvPicPr>
                        <pic:blipFill>
                          <a:blip r:embed="rId43" cstate="print"/>
                          <a:stretch>
                            <a:fillRect/>
                          </a:stretch>
                        </pic:blipFill>
                        <pic:spPr>
                          <a:xfrm>
                            <a:off x="0" y="0"/>
                            <a:ext cx="57814" cy="73151"/>
                          </a:xfrm>
                          <a:prstGeom prst="rect">
                            <a:avLst/>
                          </a:prstGeom>
                        </pic:spPr>
                      </pic:pic>
                    </a:graphicData>
                  </a:graphic>
                </wp:inline>
              </w:drawing>
            </w:r>
            <w:r>
              <w:rPr>
                <w:position w:val="-1"/>
                <w:sz w:val="11"/>
              </w:rPr>
            </w:r>
          </w:p>
        </w:tc>
        <w:tc>
          <w:tcPr>
            <w:tcW w:w="2396" w:type="dxa"/>
          </w:tcPr>
          <w:p>
            <w:pPr>
              <w:pStyle w:val="TableParagraph"/>
              <w:spacing w:before="7"/>
              <w:rPr>
                <w:sz w:val="5"/>
              </w:rPr>
            </w:pPr>
          </w:p>
          <w:p>
            <w:pPr>
              <w:pStyle w:val="TableParagraph"/>
              <w:spacing w:line="115" w:lineRule="exact"/>
              <w:ind w:left="1039"/>
              <w:rPr>
                <w:sz w:val="11"/>
              </w:rPr>
            </w:pPr>
            <w:r>
              <w:rPr>
                <w:position w:val="-1"/>
                <w:sz w:val="11"/>
              </w:rPr>
              <w:drawing>
                <wp:inline distT="0" distB="0" distL="0" distR="0">
                  <wp:extent cx="57814" cy="73151"/>
                  <wp:effectExtent l="0" t="0" r="0" b="0"/>
                  <wp:docPr id="91" name="image14.png"/>
                  <wp:cNvGraphicFramePr>
                    <a:graphicFrameLocks noChangeAspect="1"/>
                  </wp:cNvGraphicFramePr>
                  <a:graphic>
                    <a:graphicData uri="http://schemas.openxmlformats.org/drawingml/2006/picture">
                      <pic:pic>
                        <pic:nvPicPr>
                          <pic:cNvPr id="92" name="image14.png"/>
                          <pic:cNvPicPr/>
                        </pic:nvPicPr>
                        <pic:blipFill>
                          <a:blip r:embed="rId43" cstate="print"/>
                          <a:stretch>
                            <a:fillRect/>
                          </a:stretch>
                        </pic:blipFill>
                        <pic:spPr>
                          <a:xfrm>
                            <a:off x="0" y="0"/>
                            <a:ext cx="57814" cy="73151"/>
                          </a:xfrm>
                          <a:prstGeom prst="rect">
                            <a:avLst/>
                          </a:prstGeom>
                        </pic:spPr>
                      </pic:pic>
                    </a:graphicData>
                  </a:graphic>
                </wp:inline>
              </w:drawing>
            </w:r>
            <w:r>
              <w:rPr>
                <w:position w:val="-1"/>
                <w:sz w:val="11"/>
              </w:rPr>
            </w:r>
          </w:p>
        </w:tc>
        <w:tc>
          <w:tcPr>
            <w:tcW w:w="2394" w:type="dxa"/>
          </w:tcPr>
          <w:p>
            <w:pPr>
              <w:pStyle w:val="TableParagraph"/>
              <w:spacing w:before="8"/>
              <w:rPr>
                <w:sz w:val="5"/>
              </w:rPr>
            </w:pPr>
          </w:p>
          <w:p>
            <w:pPr>
              <w:pStyle w:val="TableParagraph"/>
              <w:spacing w:line="112" w:lineRule="exact"/>
              <w:ind w:left="1036"/>
              <w:rPr>
                <w:sz w:val="11"/>
              </w:rPr>
            </w:pPr>
            <w:r>
              <w:rPr>
                <w:position w:val="-1"/>
                <w:sz w:val="11"/>
              </w:rPr>
              <w:drawing>
                <wp:inline distT="0" distB="0" distL="0" distR="0">
                  <wp:extent cx="57802" cy="71437"/>
                  <wp:effectExtent l="0" t="0" r="0" b="0"/>
                  <wp:docPr id="93" name="image13.png"/>
                  <wp:cNvGraphicFramePr>
                    <a:graphicFrameLocks noChangeAspect="1"/>
                  </wp:cNvGraphicFramePr>
                  <a:graphic>
                    <a:graphicData uri="http://schemas.openxmlformats.org/drawingml/2006/picture">
                      <pic:pic>
                        <pic:nvPicPr>
                          <pic:cNvPr id="94"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r>
      <w:tr>
        <w:trPr>
          <w:trHeight w:val="220" w:hRule="atLeast"/>
        </w:trPr>
        <w:tc>
          <w:tcPr>
            <w:tcW w:w="2396" w:type="dxa"/>
          </w:tcPr>
          <w:p>
            <w:pPr>
              <w:pStyle w:val="TableParagraph"/>
              <w:spacing w:line="200" w:lineRule="exact"/>
              <w:ind w:left="468"/>
              <w:rPr>
                <w:sz w:val="18"/>
              </w:rPr>
            </w:pPr>
            <w:r>
              <w:rPr>
                <w:sz w:val="18"/>
              </w:rPr>
              <w:t>7</w:t>
            </w:r>
            <w:r>
              <w:rPr>
                <w:spacing w:val="-4"/>
                <w:sz w:val="18"/>
              </w:rPr>
              <w:t> </w:t>
            </w:r>
            <w:r>
              <w:rPr>
                <w:sz w:val="18"/>
              </w:rPr>
              <w:t>Optometrist</w:t>
            </w:r>
            <w:r>
              <w:rPr>
                <w:spacing w:val="-2"/>
                <w:sz w:val="18"/>
              </w:rPr>
              <w:t> </w:t>
            </w:r>
            <w:r>
              <w:rPr>
                <w:sz w:val="18"/>
              </w:rPr>
              <w:t>(7)</w:t>
            </w:r>
          </w:p>
        </w:tc>
        <w:tc>
          <w:tcPr>
            <w:tcW w:w="2394" w:type="dxa"/>
          </w:tcPr>
          <w:p>
            <w:pPr>
              <w:pStyle w:val="TableParagraph"/>
              <w:spacing w:before="7"/>
              <w:rPr>
                <w:sz w:val="5"/>
              </w:rPr>
            </w:pPr>
          </w:p>
          <w:p>
            <w:pPr>
              <w:pStyle w:val="TableParagraph"/>
              <w:spacing w:line="115" w:lineRule="exact"/>
              <w:ind w:left="1038"/>
              <w:rPr>
                <w:sz w:val="11"/>
              </w:rPr>
            </w:pPr>
            <w:r>
              <w:rPr>
                <w:position w:val="-1"/>
                <w:sz w:val="11"/>
              </w:rPr>
              <w:drawing>
                <wp:inline distT="0" distB="0" distL="0" distR="0">
                  <wp:extent cx="57814" cy="73151"/>
                  <wp:effectExtent l="0" t="0" r="0" b="0"/>
                  <wp:docPr id="95" name="image14.png"/>
                  <wp:cNvGraphicFramePr>
                    <a:graphicFrameLocks noChangeAspect="1"/>
                  </wp:cNvGraphicFramePr>
                  <a:graphic>
                    <a:graphicData uri="http://schemas.openxmlformats.org/drawingml/2006/picture">
                      <pic:pic>
                        <pic:nvPicPr>
                          <pic:cNvPr id="96" name="image14.png"/>
                          <pic:cNvPicPr/>
                        </pic:nvPicPr>
                        <pic:blipFill>
                          <a:blip r:embed="rId43" cstate="print"/>
                          <a:stretch>
                            <a:fillRect/>
                          </a:stretch>
                        </pic:blipFill>
                        <pic:spPr>
                          <a:xfrm>
                            <a:off x="0" y="0"/>
                            <a:ext cx="57814" cy="73151"/>
                          </a:xfrm>
                          <a:prstGeom prst="rect">
                            <a:avLst/>
                          </a:prstGeom>
                        </pic:spPr>
                      </pic:pic>
                    </a:graphicData>
                  </a:graphic>
                </wp:inline>
              </w:drawing>
            </w:r>
            <w:r>
              <w:rPr>
                <w:position w:val="-1"/>
                <w:sz w:val="11"/>
              </w:rPr>
            </w:r>
          </w:p>
        </w:tc>
        <w:tc>
          <w:tcPr>
            <w:tcW w:w="2396" w:type="dxa"/>
          </w:tcPr>
          <w:p>
            <w:pPr>
              <w:pStyle w:val="TableParagraph"/>
              <w:spacing w:before="7"/>
              <w:rPr>
                <w:sz w:val="5"/>
              </w:rPr>
            </w:pPr>
          </w:p>
          <w:p>
            <w:pPr>
              <w:pStyle w:val="TableParagraph"/>
              <w:spacing w:line="115" w:lineRule="exact"/>
              <w:ind w:left="1039"/>
              <w:rPr>
                <w:sz w:val="11"/>
              </w:rPr>
            </w:pPr>
            <w:r>
              <w:rPr>
                <w:position w:val="-1"/>
                <w:sz w:val="11"/>
              </w:rPr>
              <w:drawing>
                <wp:inline distT="0" distB="0" distL="0" distR="0">
                  <wp:extent cx="57814" cy="73151"/>
                  <wp:effectExtent l="0" t="0" r="0" b="0"/>
                  <wp:docPr id="97" name="image14.png"/>
                  <wp:cNvGraphicFramePr>
                    <a:graphicFrameLocks noChangeAspect="1"/>
                  </wp:cNvGraphicFramePr>
                  <a:graphic>
                    <a:graphicData uri="http://schemas.openxmlformats.org/drawingml/2006/picture">
                      <pic:pic>
                        <pic:nvPicPr>
                          <pic:cNvPr id="98" name="image14.png"/>
                          <pic:cNvPicPr/>
                        </pic:nvPicPr>
                        <pic:blipFill>
                          <a:blip r:embed="rId43" cstate="print"/>
                          <a:stretch>
                            <a:fillRect/>
                          </a:stretch>
                        </pic:blipFill>
                        <pic:spPr>
                          <a:xfrm>
                            <a:off x="0" y="0"/>
                            <a:ext cx="57814" cy="73151"/>
                          </a:xfrm>
                          <a:prstGeom prst="rect">
                            <a:avLst/>
                          </a:prstGeom>
                        </pic:spPr>
                      </pic:pic>
                    </a:graphicData>
                  </a:graphic>
                </wp:inline>
              </w:drawing>
            </w:r>
            <w:r>
              <w:rPr>
                <w:position w:val="-1"/>
                <w:sz w:val="11"/>
              </w:rPr>
            </w:r>
          </w:p>
        </w:tc>
        <w:tc>
          <w:tcPr>
            <w:tcW w:w="2394" w:type="dxa"/>
          </w:tcPr>
          <w:p>
            <w:pPr>
              <w:pStyle w:val="TableParagraph"/>
              <w:spacing w:before="8"/>
              <w:rPr>
                <w:sz w:val="5"/>
              </w:rPr>
            </w:pPr>
          </w:p>
          <w:p>
            <w:pPr>
              <w:pStyle w:val="TableParagraph"/>
              <w:spacing w:line="112" w:lineRule="exact"/>
              <w:ind w:left="1036"/>
              <w:rPr>
                <w:sz w:val="11"/>
              </w:rPr>
            </w:pPr>
            <w:r>
              <w:rPr>
                <w:position w:val="-1"/>
                <w:sz w:val="11"/>
              </w:rPr>
              <w:drawing>
                <wp:inline distT="0" distB="0" distL="0" distR="0">
                  <wp:extent cx="57802" cy="71437"/>
                  <wp:effectExtent l="0" t="0" r="0" b="0"/>
                  <wp:docPr id="99" name="image13.png"/>
                  <wp:cNvGraphicFramePr>
                    <a:graphicFrameLocks noChangeAspect="1"/>
                  </wp:cNvGraphicFramePr>
                  <a:graphic>
                    <a:graphicData uri="http://schemas.openxmlformats.org/drawingml/2006/picture">
                      <pic:pic>
                        <pic:nvPicPr>
                          <pic:cNvPr id="100"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r>
    </w:tbl>
    <w:p>
      <w:pPr>
        <w:pStyle w:val="BodyText"/>
        <w:spacing w:before="9"/>
        <w:rPr>
          <w:sz w:val="19"/>
        </w:rPr>
      </w:pPr>
    </w:p>
    <w:p>
      <w:pPr>
        <w:pStyle w:val="ListParagraph"/>
        <w:numPr>
          <w:ilvl w:val="0"/>
          <w:numId w:val="41"/>
        </w:numPr>
        <w:tabs>
          <w:tab w:pos="568" w:val="left" w:leader="none"/>
        </w:tabs>
        <w:spacing w:line="240" w:lineRule="auto" w:before="0" w:after="0"/>
        <w:ind w:left="567" w:right="510" w:hanging="428"/>
        <w:jc w:val="left"/>
        <w:rPr>
          <w:sz w:val="18"/>
        </w:rPr>
      </w:pPr>
      <w:r>
        <w:rPr>
          <w:sz w:val="18"/>
        </w:rPr>
        <w:t>Please provide any other information that will assist us to understand the level of access to allied health services for</w:t>
      </w:r>
      <w:r>
        <w:rPr>
          <w:spacing w:val="-47"/>
          <w:sz w:val="18"/>
        </w:rPr>
        <w:t> </w:t>
      </w:r>
      <w:r>
        <w:rPr>
          <w:sz w:val="18"/>
        </w:rPr>
        <w:t>people</w:t>
      </w:r>
      <w:r>
        <w:rPr>
          <w:spacing w:val="-1"/>
          <w:sz w:val="18"/>
        </w:rPr>
        <w:t> </w:t>
      </w:r>
      <w:r>
        <w:rPr>
          <w:sz w:val="18"/>
        </w:rPr>
        <w:t>living</w:t>
      </w:r>
      <w:r>
        <w:rPr>
          <w:spacing w:val="-3"/>
          <w:sz w:val="18"/>
        </w:rPr>
        <w:t> </w:t>
      </w:r>
      <w:r>
        <w:rPr>
          <w:sz w:val="18"/>
        </w:rPr>
        <w:t>in your local</w:t>
      </w:r>
      <w:r>
        <w:rPr>
          <w:spacing w:val="-2"/>
          <w:sz w:val="18"/>
        </w:rPr>
        <w:t> </w:t>
      </w:r>
      <w:r>
        <w:rPr>
          <w:sz w:val="18"/>
        </w:rPr>
        <w:t>community.</w:t>
      </w:r>
    </w:p>
    <w:p>
      <w:pPr>
        <w:pStyle w:val="BodyText"/>
        <w:spacing w:before="8"/>
        <w:rPr>
          <w:sz w:val="19"/>
        </w:rPr>
      </w:pPr>
    </w:p>
    <w:p>
      <w:pPr>
        <w:pStyle w:val="ListParagraph"/>
        <w:numPr>
          <w:ilvl w:val="0"/>
          <w:numId w:val="41"/>
        </w:numPr>
        <w:tabs>
          <w:tab w:pos="568" w:val="left" w:leader="none"/>
        </w:tabs>
        <w:spacing w:line="240" w:lineRule="auto" w:before="0" w:after="0"/>
        <w:ind w:left="567" w:right="1026" w:hanging="428"/>
        <w:jc w:val="left"/>
        <w:rPr>
          <w:sz w:val="18"/>
        </w:rPr>
      </w:pPr>
      <w:r>
        <w:rPr>
          <w:sz w:val="18"/>
        </w:rPr>
        <w:t>Does</w:t>
      </w:r>
      <w:r>
        <w:rPr>
          <w:spacing w:val="-5"/>
          <w:sz w:val="18"/>
        </w:rPr>
        <w:t> </w:t>
      </w:r>
      <w:r>
        <w:rPr>
          <w:sz w:val="18"/>
        </w:rPr>
        <w:t>the</w:t>
      </w:r>
      <w:r>
        <w:rPr>
          <w:spacing w:val="-4"/>
          <w:sz w:val="18"/>
        </w:rPr>
        <w:t> </w:t>
      </w:r>
      <w:r>
        <w:rPr>
          <w:sz w:val="18"/>
        </w:rPr>
        <w:t>practice/service</w:t>
      </w:r>
      <w:r>
        <w:rPr>
          <w:spacing w:val="-3"/>
          <w:sz w:val="18"/>
        </w:rPr>
        <w:t> </w:t>
      </w:r>
      <w:r>
        <w:rPr>
          <w:sz w:val="18"/>
        </w:rPr>
        <w:t>participate</w:t>
      </w:r>
      <w:r>
        <w:rPr>
          <w:spacing w:val="-6"/>
          <w:sz w:val="18"/>
        </w:rPr>
        <w:t> </w:t>
      </w:r>
      <w:r>
        <w:rPr>
          <w:sz w:val="18"/>
        </w:rPr>
        <w:t>in</w:t>
      </w:r>
      <w:r>
        <w:rPr>
          <w:spacing w:val="-4"/>
          <w:sz w:val="18"/>
        </w:rPr>
        <w:t> </w:t>
      </w:r>
      <w:r>
        <w:rPr>
          <w:sz w:val="18"/>
        </w:rPr>
        <w:t>any</w:t>
      </w:r>
      <w:r>
        <w:rPr>
          <w:spacing w:val="-4"/>
          <w:sz w:val="18"/>
        </w:rPr>
        <w:t> </w:t>
      </w:r>
      <w:r>
        <w:rPr>
          <w:sz w:val="18"/>
        </w:rPr>
        <w:t>arrangements</w:t>
      </w:r>
      <w:r>
        <w:rPr>
          <w:spacing w:val="-5"/>
          <w:sz w:val="18"/>
        </w:rPr>
        <w:t> </w:t>
      </w:r>
      <w:r>
        <w:rPr>
          <w:sz w:val="18"/>
        </w:rPr>
        <w:t>through</w:t>
      </w:r>
      <w:r>
        <w:rPr>
          <w:spacing w:val="-3"/>
          <w:sz w:val="18"/>
        </w:rPr>
        <w:t> </w:t>
      </w:r>
      <w:r>
        <w:rPr>
          <w:sz w:val="18"/>
        </w:rPr>
        <w:t>which</w:t>
      </w:r>
      <w:r>
        <w:rPr>
          <w:spacing w:val="-6"/>
          <w:sz w:val="18"/>
        </w:rPr>
        <w:t> </w:t>
      </w:r>
      <w:r>
        <w:rPr>
          <w:sz w:val="18"/>
        </w:rPr>
        <w:t>visiting</w:t>
      </w:r>
      <w:r>
        <w:rPr>
          <w:spacing w:val="-6"/>
          <w:sz w:val="18"/>
        </w:rPr>
        <w:t> </w:t>
      </w:r>
      <w:r>
        <w:rPr>
          <w:sz w:val="18"/>
        </w:rPr>
        <w:t>medical</w:t>
      </w:r>
      <w:r>
        <w:rPr>
          <w:spacing w:val="-4"/>
          <w:sz w:val="18"/>
        </w:rPr>
        <w:t> </w:t>
      </w:r>
      <w:r>
        <w:rPr>
          <w:sz w:val="18"/>
        </w:rPr>
        <w:t>specialists</w:t>
      </w:r>
      <w:r>
        <w:rPr>
          <w:spacing w:val="-5"/>
          <w:sz w:val="18"/>
        </w:rPr>
        <w:t> </w:t>
      </w:r>
      <w:r>
        <w:rPr>
          <w:sz w:val="18"/>
        </w:rPr>
        <w:t>provide</w:t>
      </w:r>
      <w:r>
        <w:rPr>
          <w:spacing w:val="1"/>
          <w:sz w:val="18"/>
        </w:rPr>
        <w:t> </w:t>
      </w:r>
      <w:r>
        <w:rPr>
          <w:sz w:val="18"/>
        </w:rPr>
        <w:t>outreach</w:t>
      </w:r>
      <w:r>
        <w:rPr>
          <w:spacing w:val="-1"/>
          <w:sz w:val="18"/>
        </w:rPr>
        <w:t> </w:t>
      </w:r>
      <w:r>
        <w:rPr>
          <w:sz w:val="18"/>
        </w:rPr>
        <w:t>services</w:t>
      </w:r>
      <w:r>
        <w:rPr>
          <w:spacing w:val="-1"/>
          <w:sz w:val="18"/>
        </w:rPr>
        <w:t> </w:t>
      </w:r>
      <w:r>
        <w:rPr>
          <w:sz w:val="18"/>
        </w:rPr>
        <w:t>at</w:t>
      </w:r>
      <w:r>
        <w:rPr>
          <w:spacing w:val="-2"/>
          <w:sz w:val="18"/>
        </w:rPr>
        <w:t> </w:t>
      </w:r>
      <w:r>
        <w:rPr>
          <w:sz w:val="18"/>
        </w:rPr>
        <w:t>the practice/service?</w:t>
      </w:r>
    </w:p>
    <w:p>
      <w:pPr>
        <w:pStyle w:val="BodyText"/>
        <w:spacing w:before="9"/>
        <w:rPr>
          <w:sz w:val="14"/>
        </w:rPr>
      </w:pPr>
    </w:p>
    <w:p>
      <w:pPr>
        <w:spacing w:before="100"/>
        <w:ind w:left="1491" w:right="4854" w:firstLine="0"/>
        <w:jc w:val="left"/>
        <w:rPr>
          <w:sz w:val="18"/>
        </w:rPr>
      </w:pPr>
      <w:r>
        <w:rPr/>
        <w:drawing>
          <wp:anchor distT="0" distB="0" distL="0" distR="0" allowOverlap="1" layoutInCell="1" locked="0" behindDoc="0" simplePos="0" relativeHeight="15756800">
            <wp:simplePos x="0" y="0"/>
            <wp:positionH relativeFrom="page">
              <wp:posOffset>1102145</wp:posOffset>
            </wp:positionH>
            <wp:positionV relativeFrom="paragraph">
              <wp:posOffset>107967</wp:posOffset>
            </wp:positionV>
            <wp:extent cx="58380" cy="72153"/>
            <wp:effectExtent l="0" t="0" r="0" b="0"/>
            <wp:wrapNone/>
            <wp:docPr id="101" name="image13.png"/>
            <wp:cNvGraphicFramePr>
              <a:graphicFrameLocks noChangeAspect="1"/>
            </wp:cNvGraphicFramePr>
            <a:graphic>
              <a:graphicData uri="http://schemas.openxmlformats.org/drawingml/2006/picture">
                <pic:pic>
                  <pic:nvPicPr>
                    <pic:cNvPr id="102" name="image13.png"/>
                    <pic:cNvPicPr/>
                  </pic:nvPicPr>
                  <pic:blipFill>
                    <a:blip r:embed="rId41" cstate="print"/>
                    <a:stretch>
                      <a:fillRect/>
                    </a:stretch>
                  </pic:blipFill>
                  <pic:spPr>
                    <a:xfrm>
                      <a:off x="0" y="0"/>
                      <a:ext cx="58380" cy="72153"/>
                    </a:xfrm>
                    <a:prstGeom prst="rect">
                      <a:avLst/>
                    </a:prstGeom>
                  </pic:spPr>
                </pic:pic>
              </a:graphicData>
            </a:graphic>
          </wp:anchor>
        </w:drawing>
      </w:r>
      <w:r>
        <w:rPr/>
        <w:drawing>
          <wp:anchor distT="0" distB="0" distL="0" distR="0" allowOverlap="1" layoutInCell="1" locked="0" behindDoc="0" simplePos="0" relativeHeight="15757312">
            <wp:simplePos x="0" y="0"/>
            <wp:positionH relativeFrom="page">
              <wp:posOffset>1102145</wp:posOffset>
            </wp:positionH>
            <wp:positionV relativeFrom="paragraph">
              <wp:posOffset>248176</wp:posOffset>
            </wp:positionV>
            <wp:extent cx="58380" cy="72151"/>
            <wp:effectExtent l="0" t="0" r="0" b="0"/>
            <wp:wrapNone/>
            <wp:docPr id="103" name="image13.png"/>
            <wp:cNvGraphicFramePr>
              <a:graphicFrameLocks noChangeAspect="1"/>
            </wp:cNvGraphicFramePr>
            <a:graphic>
              <a:graphicData uri="http://schemas.openxmlformats.org/drawingml/2006/picture">
                <pic:pic>
                  <pic:nvPicPr>
                    <pic:cNvPr id="10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Yes</w:t>
      </w:r>
      <w:r>
        <w:rPr>
          <w:spacing w:val="1"/>
          <w:sz w:val="18"/>
        </w:rPr>
        <w:t> </w:t>
      </w:r>
      <w:r>
        <w:rPr>
          <w:sz w:val="18"/>
        </w:rPr>
        <w:t>(1). Please briefly describe these arrangements.</w:t>
      </w:r>
      <w:r>
        <w:rPr>
          <w:spacing w:val="-47"/>
          <w:sz w:val="18"/>
        </w:rPr>
        <w:t> </w:t>
      </w:r>
      <w:r>
        <w:rPr>
          <w:sz w:val="18"/>
        </w:rPr>
        <w:t>No</w:t>
      </w:r>
      <w:r>
        <w:rPr>
          <w:spacing w:val="3"/>
          <w:sz w:val="18"/>
        </w:rPr>
        <w:t> </w:t>
      </w:r>
      <w:r>
        <w:rPr>
          <w:sz w:val="18"/>
        </w:rPr>
        <w:t>(2)</w:t>
      </w:r>
    </w:p>
    <w:p>
      <w:pPr>
        <w:pStyle w:val="BodyText"/>
        <w:spacing w:before="7"/>
        <w:rPr>
          <w:sz w:val="14"/>
        </w:rPr>
      </w:pPr>
    </w:p>
    <w:p>
      <w:pPr>
        <w:pStyle w:val="ListParagraph"/>
        <w:numPr>
          <w:ilvl w:val="0"/>
          <w:numId w:val="41"/>
        </w:numPr>
        <w:tabs>
          <w:tab w:pos="568" w:val="left" w:leader="none"/>
        </w:tabs>
        <w:spacing w:line="240" w:lineRule="auto" w:before="100" w:after="0"/>
        <w:ind w:left="567" w:right="0" w:hanging="428"/>
        <w:jc w:val="left"/>
        <w:rPr>
          <w:sz w:val="18"/>
        </w:rPr>
      </w:pPr>
      <w:r>
        <w:rPr>
          <w:sz w:val="18"/>
        </w:rPr>
        <w:t>What</w:t>
      </w:r>
      <w:r>
        <w:rPr>
          <w:spacing w:val="-6"/>
          <w:sz w:val="18"/>
        </w:rPr>
        <w:t> </w:t>
      </w:r>
      <w:r>
        <w:rPr>
          <w:sz w:val="18"/>
        </w:rPr>
        <w:t>components</w:t>
      </w:r>
      <w:r>
        <w:rPr>
          <w:spacing w:val="-4"/>
          <w:sz w:val="18"/>
        </w:rPr>
        <w:t> </w:t>
      </w:r>
      <w:r>
        <w:rPr>
          <w:sz w:val="18"/>
        </w:rPr>
        <w:t>of</w:t>
      </w:r>
      <w:r>
        <w:rPr>
          <w:spacing w:val="-4"/>
          <w:sz w:val="18"/>
        </w:rPr>
        <w:t> </w:t>
      </w:r>
      <w:r>
        <w:rPr>
          <w:sz w:val="18"/>
        </w:rPr>
        <w:t>the</w:t>
      </w:r>
      <w:r>
        <w:rPr>
          <w:spacing w:val="-3"/>
          <w:sz w:val="18"/>
        </w:rPr>
        <w:t> </w:t>
      </w:r>
      <w:r>
        <w:rPr>
          <w:sz w:val="18"/>
        </w:rPr>
        <w:t>Practice</w:t>
      </w:r>
      <w:r>
        <w:rPr>
          <w:spacing w:val="-5"/>
          <w:sz w:val="18"/>
        </w:rPr>
        <w:t> </w:t>
      </w:r>
      <w:r>
        <w:rPr>
          <w:sz w:val="18"/>
        </w:rPr>
        <w:t>Incentive</w:t>
      </w:r>
      <w:r>
        <w:rPr>
          <w:spacing w:val="-4"/>
          <w:sz w:val="18"/>
        </w:rPr>
        <w:t> </w:t>
      </w:r>
      <w:r>
        <w:rPr>
          <w:sz w:val="18"/>
        </w:rPr>
        <w:t>Program</w:t>
      </w:r>
      <w:r>
        <w:rPr>
          <w:spacing w:val="-1"/>
          <w:sz w:val="18"/>
        </w:rPr>
        <w:t> </w:t>
      </w:r>
      <w:r>
        <w:rPr>
          <w:sz w:val="18"/>
        </w:rPr>
        <w:t>(PIP)</w:t>
      </w:r>
      <w:r>
        <w:rPr>
          <w:spacing w:val="-6"/>
          <w:sz w:val="18"/>
        </w:rPr>
        <w:t> </w:t>
      </w:r>
      <w:r>
        <w:rPr>
          <w:sz w:val="18"/>
        </w:rPr>
        <w:t>does</w:t>
      </w:r>
      <w:r>
        <w:rPr>
          <w:spacing w:val="-4"/>
          <w:sz w:val="18"/>
        </w:rPr>
        <w:t> </w:t>
      </w:r>
      <w:r>
        <w:rPr>
          <w:sz w:val="18"/>
        </w:rPr>
        <w:t>the</w:t>
      </w:r>
      <w:r>
        <w:rPr>
          <w:spacing w:val="-3"/>
          <w:sz w:val="18"/>
        </w:rPr>
        <w:t> </w:t>
      </w:r>
      <w:r>
        <w:rPr>
          <w:sz w:val="18"/>
        </w:rPr>
        <w:t>practice</w:t>
      </w:r>
      <w:r>
        <w:rPr>
          <w:spacing w:val="-4"/>
          <w:sz w:val="18"/>
        </w:rPr>
        <w:t> </w:t>
      </w:r>
      <w:r>
        <w:rPr>
          <w:sz w:val="18"/>
        </w:rPr>
        <w:t>participate</w:t>
      </w:r>
      <w:r>
        <w:rPr>
          <w:spacing w:val="-3"/>
          <w:sz w:val="18"/>
        </w:rPr>
        <w:t> </w:t>
      </w:r>
      <w:r>
        <w:rPr>
          <w:sz w:val="18"/>
        </w:rPr>
        <w:t>in?</w:t>
      </w:r>
      <w:r>
        <w:rPr>
          <w:spacing w:val="7"/>
          <w:sz w:val="18"/>
        </w:rPr>
        <w:t> </w:t>
      </w:r>
      <w:r>
        <w:rPr>
          <w:sz w:val="18"/>
        </w:rPr>
        <w:t>(select</w:t>
      </w:r>
      <w:r>
        <w:rPr>
          <w:spacing w:val="-6"/>
          <w:sz w:val="18"/>
        </w:rPr>
        <w:t> </w:t>
      </w:r>
      <w:r>
        <w:rPr>
          <w:sz w:val="18"/>
        </w:rPr>
        <w:t>all</w:t>
      </w:r>
      <w:r>
        <w:rPr>
          <w:spacing w:val="-3"/>
          <w:sz w:val="18"/>
        </w:rPr>
        <w:t> </w:t>
      </w:r>
      <w:r>
        <w:rPr>
          <w:sz w:val="18"/>
        </w:rPr>
        <w:t>that</w:t>
      </w:r>
      <w:r>
        <w:rPr>
          <w:spacing w:val="-5"/>
          <w:sz w:val="18"/>
        </w:rPr>
        <w:t> </w:t>
      </w:r>
      <w:r>
        <w:rPr>
          <w:sz w:val="18"/>
        </w:rPr>
        <w:t>apply)</w:t>
      </w:r>
    </w:p>
    <w:p>
      <w:pPr>
        <w:pStyle w:val="BodyText"/>
        <w:spacing w:before="9"/>
        <w:rPr>
          <w:sz w:val="14"/>
        </w:rPr>
      </w:pPr>
    </w:p>
    <w:p>
      <w:pPr>
        <w:spacing w:before="101"/>
        <w:ind w:left="1491" w:right="0" w:firstLine="0"/>
        <w:jc w:val="left"/>
        <w:rPr>
          <w:sz w:val="18"/>
        </w:rPr>
      </w:pPr>
      <w:r>
        <w:rPr/>
        <w:drawing>
          <wp:anchor distT="0" distB="0" distL="0" distR="0" allowOverlap="1" layoutInCell="1" locked="0" behindDoc="0" simplePos="0" relativeHeight="15757824">
            <wp:simplePos x="0" y="0"/>
            <wp:positionH relativeFrom="page">
              <wp:posOffset>1102145</wp:posOffset>
            </wp:positionH>
            <wp:positionV relativeFrom="paragraph">
              <wp:posOffset>108603</wp:posOffset>
            </wp:positionV>
            <wp:extent cx="58380" cy="72151"/>
            <wp:effectExtent l="0" t="0" r="0" b="0"/>
            <wp:wrapNone/>
            <wp:docPr id="105" name="image13.png"/>
            <wp:cNvGraphicFramePr>
              <a:graphicFrameLocks noChangeAspect="1"/>
            </wp:cNvGraphicFramePr>
            <a:graphic>
              <a:graphicData uri="http://schemas.openxmlformats.org/drawingml/2006/picture">
                <pic:pic>
                  <pic:nvPicPr>
                    <pic:cNvPr id="10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Asthma</w:t>
      </w:r>
      <w:r>
        <w:rPr>
          <w:spacing w:val="-5"/>
          <w:sz w:val="18"/>
        </w:rPr>
        <w:t> </w:t>
      </w:r>
      <w:r>
        <w:rPr>
          <w:sz w:val="18"/>
        </w:rPr>
        <w:t>incentive</w:t>
      </w:r>
      <w:r>
        <w:rPr>
          <w:spacing w:val="46"/>
          <w:sz w:val="18"/>
        </w:rPr>
        <w:t> </w:t>
      </w:r>
      <w:r>
        <w:rPr>
          <w:sz w:val="18"/>
        </w:rPr>
        <w:t>(1)</w:t>
      </w:r>
    </w:p>
    <w:p>
      <w:pPr>
        <w:spacing w:before="0"/>
        <w:ind w:left="1491" w:right="4517" w:firstLine="0"/>
        <w:jc w:val="left"/>
        <w:rPr>
          <w:sz w:val="18"/>
        </w:rPr>
      </w:pPr>
      <w:r>
        <w:rPr/>
        <w:drawing>
          <wp:anchor distT="0" distB="0" distL="0" distR="0" allowOverlap="1" layoutInCell="1" locked="0" behindDoc="0" simplePos="0" relativeHeight="15758336">
            <wp:simplePos x="0" y="0"/>
            <wp:positionH relativeFrom="page">
              <wp:posOffset>1102145</wp:posOffset>
            </wp:positionH>
            <wp:positionV relativeFrom="paragraph">
              <wp:posOffset>44468</wp:posOffset>
            </wp:positionV>
            <wp:extent cx="58380" cy="72151"/>
            <wp:effectExtent l="0" t="0" r="0" b="0"/>
            <wp:wrapNone/>
            <wp:docPr id="107" name="image13.png"/>
            <wp:cNvGraphicFramePr>
              <a:graphicFrameLocks noChangeAspect="1"/>
            </wp:cNvGraphicFramePr>
            <a:graphic>
              <a:graphicData uri="http://schemas.openxmlformats.org/drawingml/2006/picture">
                <pic:pic>
                  <pic:nvPicPr>
                    <pic:cNvPr id="108"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758848">
            <wp:simplePos x="0" y="0"/>
            <wp:positionH relativeFrom="page">
              <wp:posOffset>1102145</wp:posOffset>
            </wp:positionH>
            <wp:positionV relativeFrom="paragraph">
              <wp:posOffset>184483</wp:posOffset>
            </wp:positionV>
            <wp:extent cx="58380" cy="73869"/>
            <wp:effectExtent l="0" t="0" r="0" b="0"/>
            <wp:wrapNone/>
            <wp:docPr id="109" name="image14.png"/>
            <wp:cNvGraphicFramePr>
              <a:graphicFrameLocks noChangeAspect="1"/>
            </wp:cNvGraphicFramePr>
            <a:graphic>
              <a:graphicData uri="http://schemas.openxmlformats.org/drawingml/2006/picture">
                <pic:pic>
                  <pic:nvPicPr>
                    <pic:cNvPr id="110"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Practice Incentive Program After Hours Initiative</w:t>
      </w:r>
      <w:r>
        <w:rPr>
          <w:spacing w:val="1"/>
          <w:sz w:val="18"/>
        </w:rPr>
        <w:t> </w:t>
      </w:r>
      <w:r>
        <w:rPr>
          <w:sz w:val="18"/>
        </w:rPr>
        <w:t>(2)</w:t>
      </w:r>
      <w:r>
        <w:rPr>
          <w:spacing w:val="-48"/>
          <w:sz w:val="18"/>
        </w:rPr>
        <w:t> </w:t>
      </w:r>
      <w:r>
        <w:rPr>
          <w:sz w:val="18"/>
        </w:rPr>
        <w:t>Cervical</w:t>
      </w:r>
      <w:r>
        <w:rPr>
          <w:spacing w:val="-1"/>
          <w:sz w:val="18"/>
        </w:rPr>
        <w:t> </w:t>
      </w:r>
      <w:r>
        <w:rPr>
          <w:sz w:val="18"/>
        </w:rPr>
        <w:t>Screening</w:t>
      </w:r>
      <w:r>
        <w:rPr>
          <w:spacing w:val="-3"/>
          <w:sz w:val="18"/>
        </w:rPr>
        <w:t> </w:t>
      </w:r>
      <w:r>
        <w:rPr>
          <w:sz w:val="18"/>
        </w:rPr>
        <w:t>Incentive</w:t>
      </w:r>
      <w:r>
        <w:rPr>
          <w:spacing w:val="3"/>
          <w:sz w:val="18"/>
        </w:rPr>
        <w:t> </w:t>
      </w:r>
      <w:r>
        <w:rPr>
          <w:sz w:val="18"/>
        </w:rPr>
        <w:t>(3)</w:t>
      </w:r>
    </w:p>
    <w:p>
      <w:pPr>
        <w:spacing w:before="0"/>
        <w:ind w:left="1491" w:right="0" w:firstLine="0"/>
        <w:jc w:val="left"/>
        <w:rPr>
          <w:sz w:val="18"/>
        </w:rPr>
      </w:pPr>
      <w:r>
        <w:rPr/>
        <w:drawing>
          <wp:anchor distT="0" distB="0" distL="0" distR="0" allowOverlap="1" layoutInCell="1" locked="0" behindDoc="0" simplePos="0" relativeHeight="15759360">
            <wp:simplePos x="0" y="0"/>
            <wp:positionH relativeFrom="page">
              <wp:posOffset>1102145</wp:posOffset>
            </wp:positionH>
            <wp:positionV relativeFrom="paragraph">
              <wp:posOffset>44468</wp:posOffset>
            </wp:positionV>
            <wp:extent cx="58380" cy="72151"/>
            <wp:effectExtent l="0" t="0" r="0" b="0"/>
            <wp:wrapNone/>
            <wp:docPr id="111" name="image13.png"/>
            <wp:cNvGraphicFramePr>
              <a:graphicFrameLocks noChangeAspect="1"/>
            </wp:cNvGraphicFramePr>
            <a:graphic>
              <a:graphicData uri="http://schemas.openxmlformats.org/drawingml/2006/picture">
                <pic:pic>
                  <pic:nvPicPr>
                    <pic:cNvPr id="11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Diabetes</w:t>
      </w:r>
      <w:r>
        <w:rPr>
          <w:spacing w:val="-7"/>
          <w:sz w:val="18"/>
        </w:rPr>
        <w:t> </w:t>
      </w:r>
      <w:r>
        <w:rPr>
          <w:sz w:val="18"/>
        </w:rPr>
        <w:t>Incentive</w:t>
      </w:r>
      <w:r>
        <w:rPr>
          <w:spacing w:val="46"/>
          <w:sz w:val="18"/>
        </w:rPr>
        <w:t> </w:t>
      </w:r>
      <w:r>
        <w:rPr>
          <w:sz w:val="18"/>
        </w:rPr>
        <w:t>(4)</w:t>
      </w:r>
    </w:p>
    <w:p>
      <w:pPr>
        <w:spacing w:before="0"/>
        <w:ind w:left="1491" w:right="0" w:firstLine="0"/>
        <w:jc w:val="left"/>
        <w:rPr>
          <w:sz w:val="18"/>
        </w:rPr>
      </w:pPr>
      <w:r>
        <w:rPr/>
        <w:drawing>
          <wp:anchor distT="0" distB="0" distL="0" distR="0" allowOverlap="1" layoutInCell="1" locked="0" behindDoc="0" simplePos="0" relativeHeight="15759872">
            <wp:simplePos x="0" y="0"/>
            <wp:positionH relativeFrom="page">
              <wp:posOffset>1102145</wp:posOffset>
            </wp:positionH>
            <wp:positionV relativeFrom="paragraph">
              <wp:posOffset>44214</wp:posOffset>
            </wp:positionV>
            <wp:extent cx="58380" cy="72151"/>
            <wp:effectExtent l="0" t="0" r="0" b="0"/>
            <wp:wrapNone/>
            <wp:docPr id="113" name="image13.png"/>
            <wp:cNvGraphicFramePr>
              <a:graphicFrameLocks noChangeAspect="1"/>
            </wp:cNvGraphicFramePr>
            <a:graphic>
              <a:graphicData uri="http://schemas.openxmlformats.org/drawingml/2006/picture">
                <pic:pic>
                  <pic:nvPicPr>
                    <pic:cNvPr id="11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eHealth</w:t>
      </w:r>
      <w:r>
        <w:rPr>
          <w:spacing w:val="-6"/>
          <w:sz w:val="18"/>
        </w:rPr>
        <w:t> </w:t>
      </w:r>
      <w:r>
        <w:rPr>
          <w:sz w:val="18"/>
        </w:rPr>
        <w:t>Incentive</w:t>
      </w:r>
      <w:r>
        <w:rPr>
          <w:spacing w:val="46"/>
          <w:sz w:val="18"/>
        </w:rPr>
        <w:t> </w:t>
      </w:r>
      <w:r>
        <w:rPr>
          <w:sz w:val="18"/>
        </w:rPr>
        <w:t>(5)</w:t>
      </w:r>
    </w:p>
    <w:p>
      <w:pPr>
        <w:spacing w:before="0"/>
        <w:ind w:left="1491" w:right="4517" w:firstLine="0"/>
        <w:jc w:val="left"/>
        <w:rPr>
          <w:sz w:val="18"/>
        </w:rPr>
      </w:pPr>
      <w:r>
        <w:rPr/>
        <w:drawing>
          <wp:anchor distT="0" distB="0" distL="0" distR="0" allowOverlap="1" layoutInCell="1" locked="0" behindDoc="0" simplePos="0" relativeHeight="15760384">
            <wp:simplePos x="0" y="0"/>
            <wp:positionH relativeFrom="page">
              <wp:posOffset>1102145</wp:posOffset>
            </wp:positionH>
            <wp:positionV relativeFrom="paragraph">
              <wp:posOffset>44021</wp:posOffset>
            </wp:positionV>
            <wp:extent cx="58380" cy="73869"/>
            <wp:effectExtent l="0" t="0" r="0" b="0"/>
            <wp:wrapNone/>
            <wp:docPr id="115" name="image14.png"/>
            <wp:cNvGraphicFramePr>
              <a:graphicFrameLocks noChangeAspect="1"/>
            </wp:cNvGraphicFramePr>
            <a:graphic>
              <a:graphicData uri="http://schemas.openxmlformats.org/drawingml/2006/picture">
                <pic:pic>
                  <pic:nvPicPr>
                    <pic:cNvPr id="116" name="image14.png"/>
                    <pic:cNvPicPr/>
                  </pic:nvPicPr>
                  <pic:blipFill>
                    <a:blip r:embed="rId43" cstate="print"/>
                    <a:stretch>
                      <a:fillRect/>
                    </a:stretch>
                  </pic:blipFill>
                  <pic:spPr>
                    <a:xfrm>
                      <a:off x="0" y="0"/>
                      <a:ext cx="58380" cy="73869"/>
                    </a:xfrm>
                    <a:prstGeom prst="rect">
                      <a:avLst/>
                    </a:prstGeom>
                  </pic:spPr>
                </pic:pic>
              </a:graphicData>
            </a:graphic>
          </wp:anchor>
        </w:drawing>
      </w:r>
      <w:r>
        <w:rPr/>
        <w:drawing>
          <wp:anchor distT="0" distB="0" distL="0" distR="0" allowOverlap="1" layoutInCell="1" locked="0" behindDoc="0" simplePos="0" relativeHeight="15760896">
            <wp:simplePos x="0" y="0"/>
            <wp:positionH relativeFrom="page">
              <wp:posOffset>1102145</wp:posOffset>
            </wp:positionH>
            <wp:positionV relativeFrom="paragraph">
              <wp:posOffset>184422</wp:posOffset>
            </wp:positionV>
            <wp:extent cx="58380" cy="72151"/>
            <wp:effectExtent l="0" t="0" r="0" b="0"/>
            <wp:wrapNone/>
            <wp:docPr id="117" name="image13.png"/>
            <wp:cNvGraphicFramePr>
              <a:graphicFrameLocks noChangeAspect="1"/>
            </wp:cNvGraphicFramePr>
            <a:graphic>
              <a:graphicData uri="http://schemas.openxmlformats.org/drawingml/2006/picture">
                <pic:pic>
                  <pic:nvPicPr>
                    <pic:cNvPr id="11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General Practitioner Aged Care Access Incentive</w:t>
      </w:r>
      <w:r>
        <w:rPr>
          <w:spacing w:val="1"/>
          <w:sz w:val="18"/>
        </w:rPr>
        <w:t> </w:t>
      </w:r>
      <w:r>
        <w:rPr>
          <w:sz w:val="18"/>
        </w:rPr>
        <w:t>(6)</w:t>
      </w:r>
      <w:r>
        <w:rPr>
          <w:spacing w:val="-48"/>
          <w:sz w:val="18"/>
        </w:rPr>
        <w:t> </w:t>
      </w:r>
      <w:r>
        <w:rPr>
          <w:sz w:val="18"/>
        </w:rPr>
        <w:t>Indigenous</w:t>
      </w:r>
      <w:r>
        <w:rPr>
          <w:spacing w:val="-2"/>
          <w:sz w:val="18"/>
        </w:rPr>
        <w:t> </w:t>
      </w:r>
      <w:r>
        <w:rPr>
          <w:sz w:val="18"/>
        </w:rPr>
        <w:t>Health</w:t>
      </w:r>
      <w:r>
        <w:rPr>
          <w:spacing w:val="-2"/>
          <w:sz w:val="18"/>
        </w:rPr>
        <w:t> </w:t>
      </w:r>
      <w:r>
        <w:rPr>
          <w:sz w:val="18"/>
        </w:rPr>
        <w:t>Incentive</w:t>
      </w:r>
      <w:r>
        <w:rPr>
          <w:spacing w:val="1"/>
          <w:sz w:val="18"/>
        </w:rPr>
        <w:t> </w:t>
      </w:r>
      <w:r>
        <w:rPr>
          <w:sz w:val="18"/>
        </w:rPr>
        <w:t>(7)</w:t>
      </w:r>
    </w:p>
    <w:p>
      <w:pPr>
        <w:spacing w:line="240" w:lineRule="auto" w:before="0"/>
        <w:ind w:left="1491" w:right="5080" w:firstLine="0"/>
        <w:jc w:val="left"/>
        <w:rPr>
          <w:sz w:val="18"/>
        </w:rPr>
      </w:pPr>
      <w:r>
        <w:rPr/>
        <w:drawing>
          <wp:anchor distT="0" distB="0" distL="0" distR="0" allowOverlap="1" layoutInCell="1" locked="0" behindDoc="0" simplePos="0" relativeHeight="15761408">
            <wp:simplePos x="0" y="0"/>
            <wp:positionH relativeFrom="page">
              <wp:posOffset>1102145</wp:posOffset>
            </wp:positionH>
            <wp:positionV relativeFrom="paragraph">
              <wp:posOffset>44021</wp:posOffset>
            </wp:positionV>
            <wp:extent cx="58380" cy="73869"/>
            <wp:effectExtent l="0" t="0" r="0" b="0"/>
            <wp:wrapNone/>
            <wp:docPr id="119" name="image14.png"/>
            <wp:cNvGraphicFramePr>
              <a:graphicFrameLocks noChangeAspect="1"/>
            </wp:cNvGraphicFramePr>
            <a:graphic>
              <a:graphicData uri="http://schemas.openxmlformats.org/drawingml/2006/picture">
                <pic:pic>
                  <pic:nvPicPr>
                    <pic:cNvPr id="120" name="image14.png"/>
                    <pic:cNvPicPr/>
                  </pic:nvPicPr>
                  <pic:blipFill>
                    <a:blip r:embed="rId43" cstate="print"/>
                    <a:stretch>
                      <a:fillRect/>
                    </a:stretch>
                  </pic:blipFill>
                  <pic:spPr>
                    <a:xfrm>
                      <a:off x="0" y="0"/>
                      <a:ext cx="58380" cy="73869"/>
                    </a:xfrm>
                    <a:prstGeom prst="rect">
                      <a:avLst/>
                    </a:prstGeom>
                  </pic:spPr>
                </pic:pic>
              </a:graphicData>
            </a:graphic>
          </wp:anchor>
        </w:drawing>
      </w:r>
      <w:r>
        <w:rPr/>
        <w:drawing>
          <wp:anchor distT="0" distB="0" distL="0" distR="0" allowOverlap="1" layoutInCell="1" locked="0" behindDoc="0" simplePos="0" relativeHeight="15761920">
            <wp:simplePos x="0" y="0"/>
            <wp:positionH relativeFrom="page">
              <wp:posOffset>1102145</wp:posOffset>
            </wp:positionH>
            <wp:positionV relativeFrom="paragraph">
              <wp:posOffset>184422</wp:posOffset>
            </wp:positionV>
            <wp:extent cx="58380" cy="72151"/>
            <wp:effectExtent l="0" t="0" r="0" b="0"/>
            <wp:wrapNone/>
            <wp:docPr id="121" name="image13.png"/>
            <wp:cNvGraphicFramePr>
              <a:graphicFrameLocks noChangeAspect="1"/>
            </wp:cNvGraphicFramePr>
            <a:graphic>
              <a:graphicData uri="http://schemas.openxmlformats.org/drawingml/2006/picture">
                <pic:pic>
                  <pic:nvPicPr>
                    <pic:cNvPr id="12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Procedural General Practitioner Payment</w:t>
      </w:r>
      <w:r>
        <w:rPr>
          <w:spacing w:val="1"/>
          <w:sz w:val="18"/>
        </w:rPr>
        <w:t> </w:t>
      </w:r>
      <w:r>
        <w:rPr>
          <w:sz w:val="18"/>
        </w:rPr>
        <w:t>(8)</w:t>
      </w:r>
      <w:r>
        <w:rPr>
          <w:spacing w:val="-47"/>
          <w:sz w:val="18"/>
        </w:rPr>
        <w:t> </w:t>
      </w:r>
      <w:r>
        <w:rPr>
          <w:sz w:val="18"/>
        </w:rPr>
        <w:t>Quality</w:t>
      </w:r>
      <w:r>
        <w:rPr>
          <w:spacing w:val="-3"/>
          <w:sz w:val="18"/>
        </w:rPr>
        <w:t> </w:t>
      </w:r>
      <w:r>
        <w:rPr>
          <w:sz w:val="18"/>
        </w:rPr>
        <w:t>Prescribing</w:t>
      </w:r>
      <w:r>
        <w:rPr>
          <w:spacing w:val="-4"/>
          <w:sz w:val="18"/>
        </w:rPr>
        <w:t> </w:t>
      </w:r>
      <w:r>
        <w:rPr>
          <w:sz w:val="18"/>
        </w:rPr>
        <w:t>Incentive</w:t>
      </w:r>
      <w:r>
        <w:rPr>
          <w:spacing w:val="2"/>
          <w:sz w:val="18"/>
        </w:rPr>
        <w:t> </w:t>
      </w:r>
      <w:r>
        <w:rPr>
          <w:sz w:val="18"/>
        </w:rPr>
        <w:t>(QPI)</w:t>
      </w:r>
      <w:r>
        <w:rPr>
          <w:spacing w:val="48"/>
          <w:sz w:val="18"/>
        </w:rPr>
        <w:t> </w:t>
      </w:r>
      <w:r>
        <w:rPr>
          <w:sz w:val="18"/>
        </w:rPr>
        <w:t>(9)</w:t>
      </w:r>
    </w:p>
    <w:p>
      <w:pPr>
        <w:spacing w:before="0"/>
        <w:ind w:left="1491" w:right="6392" w:firstLine="0"/>
        <w:jc w:val="left"/>
        <w:rPr>
          <w:sz w:val="18"/>
        </w:rPr>
      </w:pPr>
      <w:r>
        <w:rPr/>
        <w:drawing>
          <wp:anchor distT="0" distB="0" distL="0" distR="0" allowOverlap="1" layoutInCell="1" locked="0" behindDoc="0" simplePos="0" relativeHeight="15762432">
            <wp:simplePos x="0" y="0"/>
            <wp:positionH relativeFrom="page">
              <wp:posOffset>1102145</wp:posOffset>
            </wp:positionH>
            <wp:positionV relativeFrom="paragraph">
              <wp:posOffset>44214</wp:posOffset>
            </wp:positionV>
            <wp:extent cx="58380" cy="72151"/>
            <wp:effectExtent l="0" t="0" r="0" b="0"/>
            <wp:wrapNone/>
            <wp:docPr id="123" name="image13.png"/>
            <wp:cNvGraphicFramePr>
              <a:graphicFrameLocks noChangeAspect="1"/>
            </wp:cNvGraphicFramePr>
            <a:graphic>
              <a:graphicData uri="http://schemas.openxmlformats.org/drawingml/2006/picture">
                <pic:pic>
                  <pic:nvPicPr>
                    <pic:cNvPr id="124"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762944">
            <wp:simplePos x="0" y="0"/>
            <wp:positionH relativeFrom="page">
              <wp:posOffset>1102145</wp:posOffset>
            </wp:positionH>
            <wp:positionV relativeFrom="paragraph">
              <wp:posOffset>184229</wp:posOffset>
            </wp:positionV>
            <wp:extent cx="58380" cy="73869"/>
            <wp:effectExtent l="0" t="0" r="0" b="0"/>
            <wp:wrapNone/>
            <wp:docPr id="125" name="image14.png"/>
            <wp:cNvGraphicFramePr>
              <a:graphicFrameLocks noChangeAspect="1"/>
            </wp:cNvGraphicFramePr>
            <a:graphic>
              <a:graphicData uri="http://schemas.openxmlformats.org/drawingml/2006/picture">
                <pic:pic>
                  <pic:nvPicPr>
                    <pic:cNvPr id="126"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Rural Loading Incentive</w:t>
      </w:r>
      <w:r>
        <w:rPr>
          <w:spacing w:val="1"/>
          <w:sz w:val="18"/>
        </w:rPr>
        <w:t> </w:t>
      </w:r>
      <w:r>
        <w:rPr>
          <w:sz w:val="18"/>
        </w:rPr>
        <w:t>(10)</w:t>
      </w:r>
      <w:r>
        <w:rPr>
          <w:spacing w:val="-47"/>
          <w:sz w:val="18"/>
        </w:rPr>
        <w:t> </w:t>
      </w:r>
      <w:r>
        <w:rPr>
          <w:sz w:val="18"/>
        </w:rPr>
        <w:t>Teaching</w:t>
      </w:r>
      <w:r>
        <w:rPr>
          <w:spacing w:val="-4"/>
          <w:sz w:val="18"/>
        </w:rPr>
        <w:t> </w:t>
      </w:r>
      <w:r>
        <w:rPr>
          <w:sz w:val="18"/>
        </w:rPr>
        <w:t>Payment</w:t>
      </w:r>
      <w:r>
        <w:rPr>
          <w:spacing w:val="3"/>
          <w:sz w:val="18"/>
        </w:rPr>
        <w:t> </w:t>
      </w:r>
      <w:r>
        <w:rPr>
          <w:sz w:val="18"/>
        </w:rPr>
        <w:t>(11)</w:t>
      </w:r>
    </w:p>
    <w:p>
      <w:pPr>
        <w:pStyle w:val="BodyText"/>
        <w:spacing w:before="8"/>
        <w:rPr>
          <w:sz w:val="14"/>
        </w:rPr>
      </w:pPr>
    </w:p>
    <w:p>
      <w:pPr>
        <w:pStyle w:val="ListParagraph"/>
        <w:numPr>
          <w:ilvl w:val="0"/>
          <w:numId w:val="41"/>
        </w:numPr>
        <w:tabs>
          <w:tab w:pos="568" w:val="left" w:leader="none"/>
        </w:tabs>
        <w:spacing w:line="240" w:lineRule="auto" w:before="100" w:after="0"/>
        <w:ind w:left="567" w:right="834" w:hanging="428"/>
        <w:jc w:val="left"/>
        <w:rPr>
          <w:sz w:val="18"/>
        </w:rPr>
      </w:pPr>
      <w:r>
        <w:rPr>
          <w:sz w:val="18"/>
        </w:rPr>
        <w:t>What</w:t>
      </w:r>
      <w:r>
        <w:rPr>
          <w:spacing w:val="-6"/>
          <w:sz w:val="18"/>
        </w:rPr>
        <w:t> </w:t>
      </w:r>
      <w:r>
        <w:rPr>
          <w:sz w:val="18"/>
        </w:rPr>
        <w:t>other</w:t>
      </w:r>
      <w:r>
        <w:rPr>
          <w:spacing w:val="-4"/>
          <w:sz w:val="18"/>
        </w:rPr>
        <w:t> </w:t>
      </w:r>
      <w:r>
        <w:rPr>
          <w:sz w:val="18"/>
        </w:rPr>
        <w:t>quality</w:t>
      </w:r>
      <w:r>
        <w:rPr>
          <w:spacing w:val="-7"/>
          <w:sz w:val="18"/>
        </w:rPr>
        <w:t> </w:t>
      </w:r>
      <w:r>
        <w:rPr>
          <w:sz w:val="18"/>
        </w:rPr>
        <w:t>improvement,</w:t>
      </w:r>
      <w:r>
        <w:rPr>
          <w:spacing w:val="-5"/>
          <w:sz w:val="18"/>
        </w:rPr>
        <w:t> </w:t>
      </w:r>
      <w:r>
        <w:rPr>
          <w:sz w:val="18"/>
        </w:rPr>
        <w:t>collaborative,</w:t>
      </w:r>
      <w:r>
        <w:rPr>
          <w:spacing w:val="-6"/>
          <w:sz w:val="18"/>
        </w:rPr>
        <w:t> </w:t>
      </w:r>
      <w:r>
        <w:rPr>
          <w:sz w:val="18"/>
        </w:rPr>
        <w:t>benchmarking,</w:t>
      </w:r>
      <w:r>
        <w:rPr>
          <w:spacing w:val="-6"/>
          <w:sz w:val="18"/>
        </w:rPr>
        <w:t> </w:t>
      </w:r>
      <w:r>
        <w:rPr>
          <w:sz w:val="18"/>
        </w:rPr>
        <w:t>or</w:t>
      </w:r>
      <w:r>
        <w:rPr>
          <w:spacing w:val="-3"/>
          <w:sz w:val="18"/>
        </w:rPr>
        <w:t> </w:t>
      </w:r>
      <w:r>
        <w:rPr>
          <w:sz w:val="18"/>
        </w:rPr>
        <w:t>chronic</w:t>
      </w:r>
      <w:r>
        <w:rPr>
          <w:spacing w:val="-4"/>
          <w:sz w:val="18"/>
        </w:rPr>
        <w:t> </w:t>
      </w:r>
      <w:r>
        <w:rPr>
          <w:sz w:val="18"/>
        </w:rPr>
        <w:t>and</w:t>
      </w:r>
      <w:r>
        <w:rPr>
          <w:spacing w:val="-4"/>
          <w:sz w:val="18"/>
        </w:rPr>
        <w:t> </w:t>
      </w:r>
      <w:r>
        <w:rPr>
          <w:sz w:val="18"/>
        </w:rPr>
        <w:t>complex</w:t>
      </w:r>
      <w:r>
        <w:rPr>
          <w:spacing w:val="-4"/>
          <w:sz w:val="18"/>
        </w:rPr>
        <w:t> </w:t>
      </w:r>
      <w:r>
        <w:rPr>
          <w:sz w:val="18"/>
        </w:rPr>
        <w:t>disease</w:t>
      </w:r>
      <w:r>
        <w:rPr>
          <w:spacing w:val="-4"/>
          <w:sz w:val="18"/>
        </w:rPr>
        <w:t> </w:t>
      </w:r>
      <w:r>
        <w:rPr>
          <w:sz w:val="18"/>
        </w:rPr>
        <w:t>management</w:t>
      </w:r>
      <w:r>
        <w:rPr>
          <w:spacing w:val="1"/>
          <w:sz w:val="18"/>
        </w:rPr>
        <w:t> </w:t>
      </w:r>
      <w:r>
        <w:rPr>
          <w:sz w:val="18"/>
        </w:rPr>
        <w:t>initiatives</w:t>
      </w:r>
      <w:r>
        <w:rPr>
          <w:spacing w:val="-4"/>
          <w:sz w:val="18"/>
        </w:rPr>
        <w:t> </w:t>
      </w:r>
      <w:r>
        <w:rPr>
          <w:sz w:val="18"/>
        </w:rPr>
        <w:t>is</w:t>
      </w:r>
      <w:r>
        <w:rPr>
          <w:spacing w:val="-2"/>
          <w:sz w:val="18"/>
        </w:rPr>
        <w:t> </w:t>
      </w:r>
      <w:r>
        <w:rPr>
          <w:sz w:val="18"/>
        </w:rPr>
        <w:t>the</w:t>
      </w:r>
      <w:r>
        <w:rPr>
          <w:spacing w:val="-1"/>
          <w:sz w:val="18"/>
        </w:rPr>
        <w:t> </w:t>
      </w:r>
      <w:r>
        <w:rPr>
          <w:sz w:val="18"/>
        </w:rPr>
        <w:t>practice</w:t>
      </w:r>
      <w:r>
        <w:rPr>
          <w:spacing w:val="-2"/>
          <w:sz w:val="18"/>
        </w:rPr>
        <w:t> </w:t>
      </w:r>
      <w:r>
        <w:rPr>
          <w:sz w:val="18"/>
        </w:rPr>
        <w:t>currently</w:t>
      </w:r>
      <w:r>
        <w:rPr>
          <w:spacing w:val="3"/>
          <w:sz w:val="18"/>
        </w:rPr>
        <w:t> </w:t>
      </w:r>
      <w:r>
        <w:rPr>
          <w:sz w:val="18"/>
        </w:rPr>
        <w:t>participating</w:t>
      </w:r>
      <w:r>
        <w:rPr>
          <w:spacing w:val="-4"/>
          <w:sz w:val="18"/>
        </w:rPr>
        <w:t> </w:t>
      </w:r>
      <w:r>
        <w:rPr>
          <w:sz w:val="18"/>
        </w:rPr>
        <w:t>in</w:t>
      </w:r>
      <w:r>
        <w:rPr>
          <w:spacing w:val="-1"/>
          <w:sz w:val="18"/>
        </w:rPr>
        <w:t> </w:t>
      </w:r>
      <w:r>
        <w:rPr>
          <w:sz w:val="18"/>
        </w:rPr>
        <w:t>or has</w:t>
      </w:r>
      <w:r>
        <w:rPr>
          <w:spacing w:val="-4"/>
          <w:sz w:val="18"/>
        </w:rPr>
        <w:t> </w:t>
      </w:r>
      <w:r>
        <w:rPr>
          <w:sz w:val="18"/>
        </w:rPr>
        <w:t>participated</w:t>
      </w:r>
      <w:r>
        <w:rPr>
          <w:spacing w:val="-4"/>
          <w:sz w:val="18"/>
        </w:rPr>
        <w:t> </w:t>
      </w:r>
      <w:r>
        <w:rPr>
          <w:sz w:val="18"/>
        </w:rPr>
        <w:t>in</w:t>
      </w:r>
      <w:r>
        <w:rPr>
          <w:spacing w:val="-3"/>
          <w:sz w:val="18"/>
        </w:rPr>
        <w:t> </w:t>
      </w:r>
      <w:r>
        <w:rPr>
          <w:sz w:val="18"/>
        </w:rPr>
        <w:t>in</w:t>
      </w:r>
      <w:r>
        <w:rPr>
          <w:spacing w:val="-2"/>
          <w:sz w:val="18"/>
        </w:rPr>
        <w:t> </w:t>
      </w:r>
      <w:r>
        <w:rPr>
          <w:sz w:val="18"/>
        </w:rPr>
        <w:t>the</w:t>
      </w:r>
      <w:r>
        <w:rPr>
          <w:spacing w:val="-1"/>
          <w:sz w:val="18"/>
        </w:rPr>
        <w:t> </w:t>
      </w:r>
      <w:r>
        <w:rPr>
          <w:sz w:val="18"/>
        </w:rPr>
        <w:t>last</w:t>
      </w:r>
      <w:r>
        <w:rPr>
          <w:spacing w:val="-3"/>
          <w:sz w:val="18"/>
        </w:rPr>
        <w:t> </w:t>
      </w:r>
      <w:r>
        <w:rPr>
          <w:sz w:val="18"/>
        </w:rPr>
        <w:t>two years?</w:t>
      </w:r>
    </w:p>
    <w:p>
      <w:pPr>
        <w:pStyle w:val="BodyText"/>
        <w:spacing w:before="11"/>
        <w:rPr>
          <w:sz w:val="22"/>
        </w:rPr>
      </w:pPr>
    </w:p>
    <w:p>
      <w:pPr>
        <w:pStyle w:val="ListParagraph"/>
        <w:numPr>
          <w:ilvl w:val="1"/>
          <w:numId w:val="41"/>
        </w:numPr>
        <w:tabs>
          <w:tab w:pos="993" w:val="left" w:leader="none"/>
          <w:tab w:pos="6695" w:val="left" w:leader="none"/>
        </w:tabs>
        <w:spacing w:line="220" w:lineRule="exact" w:before="0" w:after="0"/>
        <w:ind w:left="992" w:right="0" w:hanging="287"/>
        <w:jc w:val="left"/>
        <w:rPr>
          <w:sz w:val="18"/>
        </w:rPr>
      </w:pPr>
      <w:r>
        <w:rPr>
          <w:sz w:val="18"/>
        </w:rPr>
        <w:t>Initiative</w:t>
      </w:r>
      <w:r>
        <w:rPr>
          <w:spacing w:val="-4"/>
          <w:sz w:val="18"/>
        </w:rPr>
        <w:t> </w:t>
      </w:r>
      <w:r>
        <w:rPr>
          <w:sz w:val="18"/>
        </w:rPr>
        <w:t>name</w:t>
      </w:r>
      <w:r>
        <w:rPr>
          <w:spacing w:val="2"/>
          <w:sz w:val="18"/>
        </w:rPr>
        <w:t> </w:t>
      </w:r>
      <w:r>
        <w:rPr>
          <w:sz w:val="18"/>
          <w:u w:val="single" w:color="BDBDBD"/>
        </w:rPr>
        <w:t> </w:t>
        <w:tab/>
      </w:r>
    </w:p>
    <w:p>
      <w:pPr>
        <w:pStyle w:val="ListParagraph"/>
        <w:numPr>
          <w:ilvl w:val="1"/>
          <w:numId w:val="41"/>
        </w:numPr>
        <w:tabs>
          <w:tab w:pos="993" w:val="left" w:leader="none"/>
          <w:tab w:pos="8999" w:val="left" w:leader="none"/>
        </w:tabs>
        <w:spacing w:line="220" w:lineRule="exact" w:before="0" w:after="0"/>
        <w:ind w:left="992" w:right="0" w:hanging="287"/>
        <w:jc w:val="left"/>
        <w:rPr>
          <w:sz w:val="18"/>
        </w:rPr>
      </w:pPr>
      <w:r>
        <w:rPr>
          <w:sz w:val="18"/>
        </w:rPr>
        <w:t>Brief</w:t>
      </w:r>
      <w:r>
        <w:rPr>
          <w:spacing w:val="-4"/>
          <w:sz w:val="18"/>
        </w:rPr>
        <w:t> </w:t>
      </w:r>
      <w:r>
        <w:rPr>
          <w:sz w:val="18"/>
        </w:rPr>
        <w:t>description</w:t>
      </w:r>
      <w:r>
        <w:rPr>
          <w:spacing w:val="-6"/>
          <w:sz w:val="18"/>
        </w:rPr>
        <w:t> </w:t>
      </w:r>
      <w:r>
        <w:rPr>
          <w:sz w:val="18"/>
        </w:rPr>
        <w:t>of</w:t>
      </w:r>
      <w:r>
        <w:rPr>
          <w:spacing w:val="-5"/>
          <w:sz w:val="18"/>
        </w:rPr>
        <w:t> </w:t>
      </w:r>
      <w:r>
        <w:rPr>
          <w:sz w:val="18"/>
        </w:rPr>
        <w:t>improvement</w:t>
      </w:r>
      <w:r>
        <w:rPr>
          <w:spacing w:val="-5"/>
          <w:sz w:val="18"/>
        </w:rPr>
        <w:t> </w:t>
      </w:r>
      <w:r>
        <w:rPr>
          <w:sz w:val="18"/>
        </w:rPr>
        <w:t>initiative</w:t>
      </w:r>
      <w:r>
        <w:rPr>
          <w:spacing w:val="3"/>
          <w:sz w:val="18"/>
        </w:rPr>
        <w:t> </w:t>
      </w:r>
      <w:r>
        <w:rPr>
          <w:sz w:val="18"/>
          <w:u w:val="single" w:color="BDBDBD"/>
        </w:rPr>
        <w:t> </w:t>
        <w:tab/>
      </w:r>
    </w:p>
    <w:p>
      <w:pPr>
        <w:pStyle w:val="ListParagraph"/>
        <w:numPr>
          <w:ilvl w:val="1"/>
          <w:numId w:val="41"/>
        </w:numPr>
        <w:tabs>
          <w:tab w:pos="993" w:val="left" w:leader="none"/>
        </w:tabs>
        <w:spacing w:line="240" w:lineRule="auto" w:before="0" w:after="0"/>
        <w:ind w:left="992" w:right="0" w:hanging="287"/>
        <w:jc w:val="left"/>
        <w:rPr>
          <w:sz w:val="18"/>
        </w:rPr>
      </w:pPr>
      <w:r>
        <w:rPr>
          <w:sz w:val="18"/>
        </w:rPr>
        <w:t>Does</w:t>
      </w:r>
      <w:r>
        <w:rPr>
          <w:spacing w:val="-4"/>
          <w:sz w:val="18"/>
        </w:rPr>
        <w:t> </w:t>
      </w:r>
      <w:r>
        <w:rPr>
          <w:sz w:val="18"/>
        </w:rPr>
        <w:t>this</w:t>
      </w:r>
      <w:r>
        <w:rPr>
          <w:spacing w:val="-6"/>
          <w:sz w:val="18"/>
        </w:rPr>
        <w:t> </w:t>
      </w:r>
      <w:r>
        <w:rPr>
          <w:sz w:val="18"/>
        </w:rPr>
        <w:t>initiative</w:t>
      </w:r>
      <w:r>
        <w:rPr>
          <w:spacing w:val="-2"/>
          <w:sz w:val="18"/>
        </w:rPr>
        <w:t> </w:t>
      </w:r>
      <w:r>
        <w:rPr>
          <w:sz w:val="18"/>
        </w:rPr>
        <w:t>involve:</w:t>
      </w:r>
    </w:p>
    <w:p>
      <w:pPr>
        <w:pStyle w:val="BodyText"/>
        <w:spacing w:before="1"/>
        <w:rPr>
          <w:sz w:val="23"/>
        </w:rPr>
      </w:pPr>
    </w:p>
    <w:tbl>
      <w:tblPr>
        <w:tblW w:w="0" w:type="auto"/>
        <w:jc w:val="left"/>
        <w:tblInd w:w="774"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4532"/>
        <w:gridCol w:w="1561"/>
        <w:gridCol w:w="1559"/>
        <w:gridCol w:w="1561"/>
      </w:tblGrid>
      <w:tr>
        <w:trPr>
          <w:trHeight w:val="378" w:hRule="atLeast"/>
        </w:trPr>
        <w:tc>
          <w:tcPr>
            <w:tcW w:w="4532" w:type="dxa"/>
            <w:shd w:val="clear" w:color="auto" w:fill="F1F1F1"/>
          </w:tcPr>
          <w:p>
            <w:pPr>
              <w:pStyle w:val="TableParagraph"/>
              <w:rPr>
                <w:rFonts w:ascii="Times New Roman"/>
                <w:sz w:val="18"/>
              </w:rPr>
            </w:pPr>
          </w:p>
        </w:tc>
        <w:tc>
          <w:tcPr>
            <w:tcW w:w="1561" w:type="dxa"/>
            <w:shd w:val="clear" w:color="auto" w:fill="F1F1F1"/>
          </w:tcPr>
          <w:p>
            <w:pPr>
              <w:pStyle w:val="TableParagraph"/>
              <w:spacing w:before="42"/>
              <w:ind w:left="491"/>
              <w:rPr>
                <w:sz w:val="18"/>
              </w:rPr>
            </w:pPr>
            <w:r>
              <w:rPr>
                <w:sz w:val="18"/>
              </w:rPr>
              <w:t>Yes</w:t>
            </w:r>
            <w:r>
              <w:rPr>
                <w:spacing w:val="1"/>
                <w:sz w:val="18"/>
              </w:rPr>
              <w:t> </w:t>
            </w:r>
            <w:r>
              <w:rPr>
                <w:sz w:val="18"/>
              </w:rPr>
              <w:t>(1)</w:t>
            </w:r>
          </w:p>
        </w:tc>
        <w:tc>
          <w:tcPr>
            <w:tcW w:w="1559" w:type="dxa"/>
            <w:shd w:val="clear" w:color="auto" w:fill="F1F1F1"/>
          </w:tcPr>
          <w:p>
            <w:pPr>
              <w:pStyle w:val="TableParagraph"/>
              <w:spacing w:before="42"/>
              <w:ind w:left="510"/>
              <w:rPr>
                <w:sz w:val="18"/>
              </w:rPr>
            </w:pPr>
            <w:r>
              <w:rPr>
                <w:sz w:val="18"/>
              </w:rPr>
              <w:t>No</w:t>
            </w:r>
            <w:r>
              <w:rPr>
                <w:spacing w:val="-1"/>
                <w:sz w:val="18"/>
              </w:rPr>
              <w:t> </w:t>
            </w:r>
            <w:r>
              <w:rPr>
                <w:sz w:val="18"/>
              </w:rPr>
              <w:t>(2)</w:t>
            </w:r>
          </w:p>
        </w:tc>
        <w:tc>
          <w:tcPr>
            <w:tcW w:w="1561" w:type="dxa"/>
            <w:shd w:val="clear" w:color="auto" w:fill="F1F1F1"/>
          </w:tcPr>
          <w:p>
            <w:pPr>
              <w:pStyle w:val="TableParagraph"/>
              <w:spacing w:before="42"/>
              <w:ind w:left="149"/>
              <w:rPr>
                <w:sz w:val="18"/>
              </w:rPr>
            </w:pPr>
            <w:r>
              <w:rPr>
                <w:sz w:val="18"/>
              </w:rPr>
              <w:t>Don't</w:t>
            </w:r>
            <w:r>
              <w:rPr>
                <w:spacing w:val="-4"/>
                <w:sz w:val="18"/>
              </w:rPr>
              <w:t> </w:t>
            </w:r>
            <w:r>
              <w:rPr>
                <w:sz w:val="18"/>
              </w:rPr>
              <w:t>know</w:t>
            </w:r>
            <w:r>
              <w:rPr>
                <w:spacing w:val="-1"/>
                <w:sz w:val="18"/>
              </w:rPr>
              <w:t> </w:t>
            </w:r>
            <w:r>
              <w:rPr>
                <w:sz w:val="18"/>
              </w:rPr>
              <w:t>(3)</w:t>
            </w:r>
          </w:p>
        </w:tc>
      </w:tr>
      <w:tr>
        <w:trPr>
          <w:trHeight w:val="378" w:hRule="atLeast"/>
        </w:trPr>
        <w:tc>
          <w:tcPr>
            <w:tcW w:w="4532" w:type="dxa"/>
          </w:tcPr>
          <w:p>
            <w:pPr>
              <w:pStyle w:val="TableParagraph"/>
              <w:spacing w:before="42"/>
              <w:ind w:left="1473"/>
              <w:rPr>
                <w:sz w:val="18"/>
              </w:rPr>
            </w:pPr>
            <w:r>
              <w:rPr>
                <w:sz w:val="18"/>
              </w:rPr>
              <w:t>The</w:t>
            </w:r>
            <w:r>
              <w:rPr>
                <w:spacing w:val="-3"/>
                <w:sz w:val="18"/>
              </w:rPr>
              <w:t> </w:t>
            </w:r>
            <w:r>
              <w:rPr>
                <w:sz w:val="18"/>
              </w:rPr>
              <w:t>local</w:t>
            </w:r>
            <w:r>
              <w:rPr>
                <w:spacing w:val="-3"/>
                <w:sz w:val="18"/>
              </w:rPr>
              <w:t> </w:t>
            </w:r>
            <w:r>
              <w:rPr>
                <w:sz w:val="18"/>
              </w:rPr>
              <w:t>PHN?</w:t>
            </w:r>
            <w:r>
              <w:rPr>
                <w:spacing w:val="1"/>
                <w:sz w:val="18"/>
              </w:rPr>
              <w:t> </w:t>
            </w:r>
            <w:r>
              <w:rPr>
                <w:sz w:val="18"/>
              </w:rPr>
              <w:t>(1)</w:t>
            </w:r>
          </w:p>
        </w:tc>
        <w:tc>
          <w:tcPr>
            <w:tcW w:w="1561" w:type="dxa"/>
          </w:tcPr>
          <w:p>
            <w:pPr>
              <w:pStyle w:val="TableParagraph"/>
              <w:rPr>
                <w:rFonts w:ascii="Times New Roman"/>
                <w:sz w:val="18"/>
              </w:rPr>
            </w:pPr>
          </w:p>
        </w:tc>
        <w:tc>
          <w:tcPr>
            <w:tcW w:w="1559" w:type="dxa"/>
          </w:tcPr>
          <w:p>
            <w:pPr>
              <w:pStyle w:val="TableParagraph"/>
              <w:rPr>
                <w:rFonts w:ascii="Times New Roman"/>
                <w:sz w:val="18"/>
              </w:rPr>
            </w:pPr>
          </w:p>
        </w:tc>
        <w:tc>
          <w:tcPr>
            <w:tcW w:w="1561" w:type="dxa"/>
          </w:tcPr>
          <w:p>
            <w:pPr>
              <w:pStyle w:val="TableParagraph"/>
              <w:rPr>
                <w:rFonts w:ascii="Times New Roman"/>
                <w:sz w:val="18"/>
              </w:rPr>
            </w:pPr>
          </w:p>
        </w:tc>
      </w:tr>
      <w:tr>
        <w:trPr>
          <w:trHeight w:val="599" w:hRule="atLeast"/>
        </w:trPr>
        <w:tc>
          <w:tcPr>
            <w:tcW w:w="4532" w:type="dxa"/>
          </w:tcPr>
          <w:p>
            <w:pPr>
              <w:pStyle w:val="TableParagraph"/>
              <w:spacing w:before="42"/>
              <w:ind w:left="400" w:hanging="108"/>
              <w:rPr>
                <w:sz w:val="18"/>
              </w:rPr>
            </w:pPr>
            <w:r>
              <w:rPr>
                <w:sz w:val="18"/>
              </w:rPr>
              <w:t>A</w:t>
            </w:r>
            <w:r>
              <w:rPr>
                <w:spacing w:val="-8"/>
                <w:sz w:val="18"/>
              </w:rPr>
              <w:t> </w:t>
            </w:r>
            <w:r>
              <w:rPr>
                <w:sz w:val="18"/>
              </w:rPr>
              <w:t>local</w:t>
            </w:r>
            <w:r>
              <w:rPr>
                <w:spacing w:val="-3"/>
                <w:sz w:val="18"/>
              </w:rPr>
              <w:t> </w:t>
            </w:r>
            <w:r>
              <w:rPr>
                <w:sz w:val="18"/>
              </w:rPr>
              <w:t>hospital,</w:t>
            </w:r>
            <w:r>
              <w:rPr>
                <w:spacing w:val="-6"/>
                <w:sz w:val="18"/>
              </w:rPr>
              <w:t> </w:t>
            </w:r>
            <w:r>
              <w:rPr>
                <w:sz w:val="18"/>
              </w:rPr>
              <w:t>Local</w:t>
            </w:r>
            <w:r>
              <w:rPr>
                <w:spacing w:val="-3"/>
                <w:sz w:val="18"/>
              </w:rPr>
              <w:t> </w:t>
            </w:r>
            <w:r>
              <w:rPr>
                <w:sz w:val="18"/>
              </w:rPr>
              <w:t>Hospital</w:t>
            </w:r>
            <w:r>
              <w:rPr>
                <w:spacing w:val="-4"/>
                <w:sz w:val="18"/>
              </w:rPr>
              <w:t> </w:t>
            </w:r>
            <w:r>
              <w:rPr>
                <w:sz w:val="18"/>
              </w:rPr>
              <w:t>Network</w:t>
            </w:r>
            <w:r>
              <w:rPr>
                <w:spacing w:val="-1"/>
                <w:sz w:val="18"/>
              </w:rPr>
              <w:t> </w:t>
            </w:r>
            <w:r>
              <w:rPr>
                <w:sz w:val="18"/>
              </w:rPr>
              <w:t>(LHN)</w:t>
            </w:r>
            <w:r>
              <w:rPr>
                <w:spacing w:val="-47"/>
                <w:sz w:val="18"/>
              </w:rPr>
              <w:t> </w:t>
            </w:r>
            <w:r>
              <w:rPr>
                <w:sz w:val="18"/>
              </w:rPr>
              <w:t>and/</w:t>
            </w:r>
            <w:r>
              <w:rPr>
                <w:spacing w:val="-4"/>
                <w:sz w:val="18"/>
              </w:rPr>
              <w:t> </w:t>
            </w:r>
            <w:r>
              <w:rPr>
                <w:sz w:val="18"/>
              </w:rPr>
              <w:t>or</w:t>
            </w:r>
            <w:r>
              <w:rPr>
                <w:spacing w:val="-3"/>
                <w:sz w:val="18"/>
              </w:rPr>
              <w:t> </w:t>
            </w:r>
            <w:r>
              <w:rPr>
                <w:sz w:val="18"/>
              </w:rPr>
              <w:t>state/</w:t>
            </w:r>
            <w:r>
              <w:rPr>
                <w:spacing w:val="-3"/>
                <w:sz w:val="18"/>
              </w:rPr>
              <w:t> </w:t>
            </w:r>
            <w:r>
              <w:rPr>
                <w:sz w:val="18"/>
              </w:rPr>
              <w:t>territory</w:t>
            </w:r>
            <w:r>
              <w:rPr>
                <w:spacing w:val="-4"/>
                <w:sz w:val="18"/>
              </w:rPr>
              <w:t> </w:t>
            </w:r>
            <w:r>
              <w:rPr>
                <w:sz w:val="18"/>
              </w:rPr>
              <w:t>health</w:t>
            </w:r>
            <w:r>
              <w:rPr>
                <w:spacing w:val="-3"/>
                <w:sz w:val="18"/>
              </w:rPr>
              <w:t> </w:t>
            </w:r>
            <w:r>
              <w:rPr>
                <w:sz w:val="18"/>
              </w:rPr>
              <w:t>authority?</w:t>
            </w:r>
            <w:r>
              <w:rPr>
                <w:spacing w:val="-2"/>
                <w:sz w:val="18"/>
              </w:rPr>
              <w:t> </w:t>
            </w:r>
            <w:r>
              <w:rPr>
                <w:sz w:val="18"/>
              </w:rPr>
              <w:t>(2)</w:t>
            </w:r>
          </w:p>
        </w:tc>
        <w:tc>
          <w:tcPr>
            <w:tcW w:w="1561" w:type="dxa"/>
          </w:tcPr>
          <w:p>
            <w:pPr>
              <w:pStyle w:val="TableParagraph"/>
              <w:rPr>
                <w:rFonts w:ascii="Times New Roman"/>
                <w:sz w:val="18"/>
              </w:rPr>
            </w:pPr>
          </w:p>
        </w:tc>
        <w:tc>
          <w:tcPr>
            <w:tcW w:w="1559" w:type="dxa"/>
          </w:tcPr>
          <w:p>
            <w:pPr>
              <w:pStyle w:val="TableParagraph"/>
              <w:rPr>
                <w:rFonts w:ascii="Times New Roman"/>
                <w:sz w:val="18"/>
              </w:rPr>
            </w:pPr>
          </w:p>
        </w:tc>
        <w:tc>
          <w:tcPr>
            <w:tcW w:w="1561" w:type="dxa"/>
          </w:tcPr>
          <w:p>
            <w:pPr>
              <w:pStyle w:val="TableParagraph"/>
              <w:rPr>
                <w:rFonts w:ascii="Times New Roman"/>
                <w:sz w:val="18"/>
              </w:rPr>
            </w:pPr>
          </w:p>
        </w:tc>
      </w:tr>
    </w:tbl>
    <w:p>
      <w:pPr>
        <w:spacing w:after="0"/>
        <w:rPr>
          <w:rFonts w:ascii="Times New Roman"/>
          <w:sz w:val="18"/>
        </w:rPr>
        <w:sectPr>
          <w:pgSz w:w="11910" w:h="16840"/>
          <w:pgMar w:header="0" w:footer="906" w:top="860" w:bottom="1140" w:left="580" w:right="280"/>
        </w:sectPr>
      </w:pPr>
    </w:p>
    <w:p>
      <w:pPr>
        <w:pStyle w:val="ListParagraph"/>
        <w:numPr>
          <w:ilvl w:val="0"/>
          <w:numId w:val="41"/>
        </w:numPr>
        <w:tabs>
          <w:tab w:pos="568" w:val="left" w:leader="none"/>
        </w:tabs>
        <w:spacing w:line="240" w:lineRule="auto" w:before="75" w:after="0"/>
        <w:ind w:left="567" w:right="444" w:hanging="428"/>
        <w:jc w:val="left"/>
        <w:rPr>
          <w:sz w:val="18"/>
        </w:rPr>
      </w:pPr>
      <w:r>
        <w:rPr>
          <w:sz w:val="18"/>
        </w:rPr>
        <w:t>Is there another quality improvement, collaborative, benchmarking, or chronic and complex disease management</w:t>
      </w:r>
      <w:r>
        <w:rPr>
          <w:spacing w:val="-48"/>
          <w:sz w:val="18"/>
        </w:rPr>
        <w:t> </w:t>
      </w:r>
      <w:r>
        <w:rPr>
          <w:sz w:val="18"/>
        </w:rPr>
        <w:t>initiatives</w:t>
      </w:r>
      <w:r>
        <w:rPr>
          <w:spacing w:val="-2"/>
          <w:sz w:val="18"/>
        </w:rPr>
        <w:t> </w:t>
      </w:r>
      <w:r>
        <w:rPr>
          <w:sz w:val="18"/>
        </w:rPr>
        <w:t>that</w:t>
      </w:r>
      <w:r>
        <w:rPr>
          <w:spacing w:val="-3"/>
          <w:sz w:val="18"/>
        </w:rPr>
        <w:t> </w:t>
      </w:r>
      <w:r>
        <w:rPr>
          <w:sz w:val="18"/>
        </w:rPr>
        <w:t>the</w:t>
      </w:r>
      <w:r>
        <w:rPr>
          <w:spacing w:val="-1"/>
          <w:sz w:val="18"/>
        </w:rPr>
        <w:t> </w:t>
      </w:r>
      <w:r>
        <w:rPr>
          <w:sz w:val="18"/>
        </w:rPr>
        <w:t>practice</w:t>
      </w:r>
      <w:r>
        <w:rPr>
          <w:spacing w:val="-4"/>
          <w:sz w:val="18"/>
        </w:rPr>
        <w:t> </w:t>
      </w:r>
      <w:r>
        <w:rPr>
          <w:sz w:val="18"/>
        </w:rPr>
        <w:t>currently</w:t>
      </w:r>
      <w:r>
        <w:rPr>
          <w:spacing w:val="-2"/>
          <w:sz w:val="18"/>
        </w:rPr>
        <w:t> </w:t>
      </w:r>
      <w:r>
        <w:rPr>
          <w:sz w:val="18"/>
        </w:rPr>
        <w:t>participating</w:t>
      </w:r>
      <w:r>
        <w:rPr>
          <w:spacing w:val="-4"/>
          <w:sz w:val="18"/>
        </w:rPr>
        <w:t> </w:t>
      </w:r>
      <w:r>
        <w:rPr>
          <w:sz w:val="18"/>
        </w:rPr>
        <w:t>in</w:t>
      </w:r>
      <w:r>
        <w:rPr>
          <w:spacing w:val="-2"/>
          <w:sz w:val="18"/>
        </w:rPr>
        <w:t> </w:t>
      </w:r>
      <w:r>
        <w:rPr>
          <w:sz w:val="18"/>
        </w:rPr>
        <w:t>or</w:t>
      </w:r>
      <w:r>
        <w:rPr>
          <w:spacing w:val="-2"/>
          <w:sz w:val="18"/>
        </w:rPr>
        <w:t> </w:t>
      </w:r>
      <w:r>
        <w:rPr>
          <w:sz w:val="18"/>
        </w:rPr>
        <w:t>has</w:t>
      </w:r>
      <w:r>
        <w:rPr>
          <w:spacing w:val="-2"/>
          <w:sz w:val="18"/>
        </w:rPr>
        <w:t> </w:t>
      </w:r>
      <w:r>
        <w:rPr>
          <w:sz w:val="18"/>
        </w:rPr>
        <w:t>participated</w:t>
      </w:r>
      <w:r>
        <w:rPr>
          <w:spacing w:val="-2"/>
          <w:sz w:val="18"/>
        </w:rPr>
        <w:t> </w:t>
      </w:r>
      <w:r>
        <w:rPr>
          <w:sz w:val="18"/>
        </w:rPr>
        <w:t>in</w:t>
      </w:r>
      <w:r>
        <w:rPr>
          <w:spacing w:val="-2"/>
          <w:sz w:val="18"/>
        </w:rPr>
        <w:t> </w:t>
      </w:r>
      <w:r>
        <w:rPr>
          <w:sz w:val="18"/>
        </w:rPr>
        <w:t>in</w:t>
      </w:r>
      <w:r>
        <w:rPr>
          <w:spacing w:val="-1"/>
          <w:sz w:val="18"/>
        </w:rPr>
        <w:t> </w:t>
      </w:r>
      <w:r>
        <w:rPr>
          <w:sz w:val="18"/>
        </w:rPr>
        <w:t>the</w:t>
      </w:r>
      <w:r>
        <w:rPr>
          <w:spacing w:val="-1"/>
          <w:sz w:val="18"/>
        </w:rPr>
        <w:t> </w:t>
      </w:r>
      <w:r>
        <w:rPr>
          <w:sz w:val="18"/>
        </w:rPr>
        <w:t>last</w:t>
      </w:r>
      <w:r>
        <w:rPr>
          <w:spacing w:val="-2"/>
          <w:sz w:val="18"/>
        </w:rPr>
        <w:t> </w:t>
      </w:r>
      <w:r>
        <w:rPr>
          <w:sz w:val="18"/>
        </w:rPr>
        <w:t>two</w:t>
      </w:r>
      <w:r>
        <w:rPr>
          <w:spacing w:val="-1"/>
          <w:sz w:val="18"/>
        </w:rPr>
        <w:t> </w:t>
      </w:r>
      <w:r>
        <w:rPr>
          <w:sz w:val="18"/>
        </w:rPr>
        <w:t>years?</w:t>
      </w:r>
    </w:p>
    <w:p>
      <w:pPr>
        <w:pStyle w:val="BodyText"/>
        <w:spacing w:before="8"/>
        <w:rPr>
          <w:sz w:val="14"/>
        </w:rPr>
      </w:pPr>
    </w:p>
    <w:p>
      <w:pPr>
        <w:spacing w:before="100"/>
        <w:ind w:left="1491" w:right="0" w:firstLine="0"/>
        <w:jc w:val="left"/>
        <w:rPr>
          <w:sz w:val="18"/>
        </w:rPr>
      </w:pPr>
      <w:r>
        <w:rPr/>
        <w:drawing>
          <wp:anchor distT="0" distB="0" distL="0" distR="0" allowOverlap="1" layoutInCell="1" locked="0" behindDoc="0" simplePos="0" relativeHeight="15763456">
            <wp:simplePos x="0" y="0"/>
            <wp:positionH relativeFrom="page">
              <wp:posOffset>1102145</wp:posOffset>
            </wp:positionH>
            <wp:positionV relativeFrom="paragraph">
              <wp:posOffset>108350</wp:posOffset>
            </wp:positionV>
            <wp:extent cx="58380" cy="72151"/>
            <wp:effectExtent l="0" t="0" r="0" b="0"/>
            <wp:wrapNone/>
            <wp:docPr id="127" name="image13.png"/>
            <wp:cNvGraphicFramePr>
              <a:graphicFrameLocks noChangeAspect="1"/>
            </wp:cNvGraphicFramePr>
            <a:graphic>
              <a:graphicData uri="http://schemas.openxmlformats.org/drawingml/2006/picture">
                <pic:pic>
                  <pic:nvPicPr>
                    <pic:cNvPr id="12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Yes</w:t>
      </w:r>
      <w:r>
        <w:rPr>
          <w:spacing w:val="49"/>
          <w:sz w:val="18"/>
        </w:rPr>
        <w:t> </w:t>
      </w:r>
      <w:r>
        <w:rPr>
          <w:sz w:val="18"/>
        </w:rPr>
        <w:t>(1)</w:t>
      </w:r>
    </w:p>
    <w:p>
      <w:pPr>
        <w:spacing w:before="0"/>
        <w:ind w:left="1491" w:right="0" w:firstLine="0"/>
        <w:jc w:val="left"/>
        <w:rPr>
          <w:sz w:val="18"/>
        </w:rPr>
      </w:pPr>
      <w:r>
        <w:rPr/>
        <w:drawing>
          <wp:anchor distT="0" distB="0" distL="0" distR="0" allowOverlap="1" layoutInCell="1" locked="0" behindDoc="0" simplePos="0" relativeHeight="15763968">
            <wp:simplePos x="0" y="0"/>
            <wp:positionH relativeFrom="page">
              <wp:posOffset>1102145</wp:posOffset>
            </wp:positionH>
            <wp:positionV relativeFrom="paragraph">
              <wp:posOffset>44656</wp:posOffset>
            </wp:positionV>
            <wp:extent cx="58380" cy="73869"/>
            <wp:effectExtent l="0" t="0" r="0" b="0"/>
            <wp:wrapNone/>
            <wp:docPr id="129" name="image14.png"/>
            <wp:cNvGraphicFramePr>
              <a:graphicFrameLocks noChangeAspect="1"/>
            </wp:cNvGraphicFramePr>
            <a:graphic>
              <a:graphicData uri="http://schemas.openxmlformats.org/drawingml/2006/picture">
                <pic:pic>
                  <pic:nvPicPr>
                    <pic:cNvPr id="130"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No</w:t>
      </w:r>
      <w:r>
        <w:rPr>
          <w:spacing w:val="49"/>
          <w:sz w:val="18"/>
        </w:rPr>
        <w:t> </w:t>
      </w:r>
      <w:r>
        <w:rPr>
          <w:sz w:val="18"/>
        </w:rPr>
        <w:t>(2)</w:t>
      </w:r>
    </w:p>
    <w:p>
      <w:pPr>
        <w:pStyle w:val="BodyText"/>
        <w:spacing w:before="9"/>
        <w:rPr>
          <w:sz w:val="14"/>
        </w:rPr>
      </w:pPr>
    </w:p>
    <w:p>
      <w:pPr>
        <w:pStyle w:val="ListParagraph"/>
        <w:numPr>
          <w:ilvl w:val="0"/>
          <w:numId w:val="41"/>
        </w:numPr>
        <w:tabs>
          <w:tab w:pos="568" w:val="left" w:leader="none"/>
        </w:tabs>
        <w:spacing w:line="240" w:lineRule="auto" w:before="100" w:after="0"/>
        <w:ind w:left="567" w:right="0" w:hanging="428"/>
        <w:jc w:val="left"/>
        <w:rPr>
          <w:sz w:val="18"/>
        </w:rPr>
      </w:pPr>
      <w:r>
        <w:rPr>
          <w:sz w:val="18"/>
        </w:rPr>
        <w:t>What</w:t>
      </w:r>
      <w:r>
        <w:rPr>
          <w:spacing w:val="-5"/>
          <w:sz w:val="18"/>
        </w:rPr>
        <w:t> </w:t>
      </w:r>
      <w:r>
        <w:rPr>
          <w:sz w:val="18"/>
        </w:rPr>
        <w:t>are</w:t>
      </w:r>
      <w:r>
        <w:rPr>
          <w:spacing w:val="-3"/>
          <w:sz w:val="18"/>
        </w:rPr>
        <w:t> </w:t>
      </w:r>
      <w:r>
        <w:rPr>
          <w:sz w:val="18"/>
        </w:rPr>
        <w:t>the</w:t>
      </w:r>
      <w:r>
        <w:rPr>
          <w:spacing w:val="-3"/>
          <w:sz w:val="18"/>
        </w:rPr>
        <w:t> </w:t>
      </w:r>
      <w:r>
        <w:rPr>
          <w:sz w:val="18"/>
        </w:rPr>
        <w:t>practice/</w:t>
      </w:r>
      <w:r>
        <w:rPr>
          <w:spacing w:val="-3"/>
          <w:sz w:val="18"/>
        </w:rPr>
        <w:t> </w:t>
      </w:r>
      <w:r>
        <w:rPr>
          <w:sz w:val="18"/>
        </w:rPr>
        <w:t>service</w:t>
      </w:r>
      <w:r>
        <w:rPr>
          <w:spacing w:val="-3"/>
          <w:sz w:val="18"/>
        </w:rPr>
        <w:t> </w:t>
      </w:r>
      <w:r>
        <w:rPr>
          <w:sz w:val="18"/>
        </w:rPr>
        <w:t>operating</w:t>
      </w:r>
      <w:r>
        <w:rPr>
          <w:spacing w:val="-5"/>
          <w:sz w:val="18"/>
        </w:rPr>
        <w:t> </w:t>
      </w:r>
      <w:r>
        <w:rPr>
          <w:sz w:val="18"/>
        </w:rPr>
        <w:t>hours?</w:t>
      </w:r>
    </w:p>
    <w:p>
      <w:pPr>
        <w:pStyle w:val="BodyText"/>
        <w:spacing w:before="10"/>
        <w:rPr>
          <w:sz w:val="22"/>
        </w:rPr>
      </w:pPr>
    </w:p>
    <w:tbl>
      <w:tblPr>
        <w:tblW w:w="0" w:type="auto"/>
        <w:jc w:val="left"/>
        <w:tblInd w:w="15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2614"/>
        <w:gridCol w:w="2614"/>
        <w:gridCol w:w="2616"/>
        <w:gridCol w:w="2614"/>
      </w:tblGrid>
      <w:tr>
        <w:trPr>
          <w:trHeight w:val="441" w:hRule="atLeast"/>
        </w:trPr>
        <w:tc>
          <w:tcPr>
            <w:tcW w:w="2614" w:type="dxa"/>
            <w:shd w:val="clear" w:color="auto" w:fill="F1F1F1"/>
          </w:tcPr>
          <w:p>
            <w:pPr>
              <w:pStyle w:val="TableParagraph"/>
              <w:rPr>
                <w:rFonts w:ascii="Times New Roman"/>
                <w:sz w:val="18"/>
              </w:rPr>
            </w:pPr>
          </w:p>
        </w:tc>
        <w:tc>
          <w:tcPr>
            <w:tcW w:w="2614" w:type="dxa"/>
            <w:shd w:val="clear" w:color="auto" w:fill="F1F1F1"/>
          </w:tcPr>
          <w:p>
            <w:pPr>
              <w:pStyle w:val="TableParagraph"/>
              <w:spacing w:line="220" w:lineRule="exact"/>
              <w:ind w:left="499" w:right="309" w:hanging="181"/>
              <w:rPr>
                <w:sz w:val="18"/>
              </w:rPr>
            </w:pPr>
            <w:r>
              <w:rPr>
                <w:sz w:val="18"/>
              </w:rPr>
              <w:t>Opening</w:t>
            </w:r>
            <w:r>
              <w:rPr>
                <w:spacing w:val="-10"/>
                <w:sz w:val="18"/>
              </w:rPr>
              <w:t> </w:t>
            </w:r>
            <w:r>
              <w:rPr>
                <w:sz w:val="18"/>
              </w:rPr>
              <w:t>time</w:t>
            </w:r>
            <w:r>
              <w:rPr>
                <w:spacing w:val="-6"/>
                <w:sz w:val="18"/>
              </w:rPr>
              <w:t> </w:t>
            </w:r>
            <w:r>
              <w:rPr>
                <w:sz w:val="18"/>
              </w:rPr>
              <w:t>(24-hour</w:t>
            </w:r>
            <w:r>
              <w:rPr>
                <w:spacing w:val="-47"/>
                <w:sz w:val="18"/>
              </w:rPr>
              <w:t> </w:t>
            </w:r>
            <w:r>
              <w:rPr>
                <w:sz w:val="18"/>
              </w:rPr>
              <w:t>clock</w:t>
            </w:r>
            <w:r>
              <w:rPr>
                <w:spacing w:val="-4"/>
                <w:sz w:val="18"/>
              </w:rPr>
              <w:t> </w:t>
            </w:r>
            <w:r>
              <w:rPr>
                <w:sz w:val="18"/>
              </w:rPr>
              <w:t>e.g.</w:t>
            </w:r>
            <w:r>
              <w:rPr>
                <w:spacing w:val="-4"/>
                <w:sz w:val="18"/>
              </w:rPr>
              <w:t> </w:t>
            </w:r>
            <w:r>
              <w:rPr>
                <w:sz w:val="18"/>
              </w:rPr>
              <w:t>7:00)</w:t>
            </w:r>
            <w:r>
              <w:rPr>
                <w:spacing w:val="2"/>
                <w:sz w:val="18"/>
              </w:rPr>
              <w:t> </w:t>
            </w:r>
            <w:r>
              <w:rPr>
                <w:sz w:val="18"/>
              </w:rPr>
              <w:t>(1)</w:t>
            </w:r>
          </w:p>
        </w:tc>
        <w:tc>
          <w:tcPr>
            <w:tcW w:w="2616" w:type="dxa"/>
            <w:shd w:val="clear" w:color="auto" w:fill="F1F1F1"/>
          </w:tcPr>
          <w:p>
            <w:pPr>
              <w:pStyle w:val="TableParagraph"/>
              <w:spacing w:line="220" w:lineRule="exact"/>
              <w:ind w:left="713" w:right="100" w:hanging="591"/>
              <w:rPr>
                <w:sz w:val="18"/>
              </w:rPr>
            </w:pPr>
            <w:r>
              <w:rPr>
                <w:sz w:val="18"/>
              </w:rPr>
              <w:t>Closing time (24-hour clock</w:t>
            </w:r>
            <w:r>
              <w:rPr>
                <w:spacing w:val="-47"/>
                <w:sz w:val="18"/>
              </w:rPr>
              <w:t> </w:t>
            </w:r>
            <w:r>
              <w:rPr>
                <w:sz w:val="18"/>
              </w:rPr>
              <w:t>e.g.</w:t>
            </w:r>
            <w:r>
              <w:rPr>
                <w:spacing w:val="-3"/>
                <w:sz w:val="18"/>
              </w:rPr>
              <w:t> </w:t>
            </w:r>
            <w:r>
              <w:rPr>
                <w:sz w:val="18"/>
              </w:rPr>
              <w:t>19:00)</w:t>
            </w:r>
            <w:r>
              <w:rPr>
                <w:spacing w:val="1"/>
                <w:sz w:val="18"/>
              </w:rPr>
              <w:t> </w:t>
            </w:r>
            <w:r>
              <w:rPr>
                <w:sz w:val="18"/>
              </w:rPr>
              <w:t>(2)</w:t>
            </w:r>
          </w:p>
        </w:tc>
        <w:tc>
          <w:tcPr>
            <w:tcW w:w="2614" w:type="dxa"/>
            <w:shd w:val="clear" w:color="auto" w:fill="F1F1F1"/>
          </w:tcPr>
          <w:p>
            <w:pPr>
              <w:pStyle w:val="TableParagraph"/>
              <w:spacing w:before="109"/>
              <w:ind w:left="113"/>
              <w:rPr>
                <w:sz w:val="18"/>
              </w:rPr>
            </w:pPr>
            <w:r>
              <w:rPr>
                <w:sz w:val="18"/>
              </w:rPr>
              <w:t>Closed</w:t>
            </w:r>
            <w:r>
              <w:rPr>
                <w:spacing w:val="-3"/>
                <w:sz w:val="18"/>
              </w:rPr>
              <w:t> </w:t>
            </w:r>
            <w:r>
              <w:rPr>
                <w:sz w:val="18"/>
              </w:rPr>
              <w:t>on</w:t>
            </w:r>
            <w:r>
              <w:rPr>
                <w:spacing w:val="-2"/>
                <w:sz w:val="18"/>
              </w:rPr>
              <w:t> </w:t>
            </w:r>
            <w:r>
              <w:rPr>
                <w:sz w:val="18"/>
              </w:rPr>
              <w:t>this</w:t>
            </w:r>
            <w:r>
              <w:rPr>
                <w:spacing w:val="-3"/>
                <w:sz w:val="18"/>
              </w:rPr>
              <w:t> </w:t>
            </w:r>
            <w:r>
              <w:rPr>
                <w:sz w:val="18"/>
              </w:rPr>
              <w:t>day (Y/N)</w:t>
            </w:r>
            <w:r>
              <w:rPr>
                <w:spacing w:val="1"/>
                <w:sz w:val="18"/>
              </w:rPr>
              <w:t> </w:t>
            </w:r>
            <w:r>
              <w:rPr>
                <w:sz w:val="18"/>
              </w:rPr>
              <w:t>(3)</w:t>
            </w:r>
          </w:p>
        </w:tc>
      </w:tr>
      <w:tr>
        <w:trPr>
          <w:trHeight w:val="222" w:hRule="atLeast"/>
        </w:trPr>
        <w:tc>
          <w:tcPr>
            <w:tcW w:w="2614" w:type="dxa"/>
          </w:tcPr>
          <w:p>
            <w:pPr>
              <w:pStyle w:val="TableParagraph"/>
              <w:spacing w:line="202" w:lineRule="exact" w:before="1"/>
              <w:ind w:left="107"/>
              <w:rPr>
                <w:sz w:val="18"/>
              </w:rPr>
            </w:pPr>
            <w:r>
              <w:rPr>
                <w:sz w:val="18"/>
              </w:rPr>
              <w:t>Monday</w:t>
            </w:r>
            <w:r>
              <w:rPr>
                <w:spacing w:val="-1"/>
                <w:sz w:val="18"/>
              </w:rPr>
              <w:t> </w:t>
            </w:r>
            <w:r>
              <w:rPr>
                <w:sz w:val="18"/>
              </w:rPr>
              <w:t>(1)</w:t>
            </w:r>
          </w:p>
        </w:tc>
        <w:tc>
          <w:tcPr>
            <w:tcW w:w="2614" w:type="dxa"/>
          </w:tcPr>
          <w:p>
            <w:pPr>
              <w:pStyle w:val="TableParagraph"/>
              <w:rPr>
                <w:rFonts w:ascii="Times New Roman"/>
                <w:sz w:val="14"/>
              </w:rPr>
            </w:pPr>
          </w:p>
        </w:tc>
        <w:tc>
          <w:tcPr>
            <w:tcW w:w="2616" w:type="dxa"/>
          </w:tcPr>
          <w:p>
            <w:pPr>
              <w:pStyle w:val="TableParagraph"/>
              <w:rPr>
                <w:rFonts w:ascii="Times New Roman"/>
                <w:sz w:val="14"/>
              </w:rPr>
            </w:pPr>
          </w:p>
        </w:tc>
        <w:tc>
          <w:tcPr>
            <w:tcW w:w="2614" w:type="dxa"/>
          </w:tcPr>
          <w:p>
            <w:pPr>
              <w:pStyle w:val="TableParagraph"/>
              <w:rPr>
                <w:rFonts w:ascii="Times New Roman"/>
                <w:sz w:val="14"/>
              </w:rPr>
            </w:pPr>
          </w:p>
        </w:tc>
      </w:tr>
      <w:tr>
        <w:trPr>
          <w:trHeight w:val="220" w:hRule="atLeast"/>
        </w:trPr>
        <w:tc>
          <w:tcPr>
            <w:tcW w:w="2614" w:type="dxa"/>
          </w:tcPr>
          <w:p>
            <w:pPr>
              <w:pStyle w:val="TableParagraph"/>
              <w:spacing w:line="200" w:lineRule="exact"/>
              <w:ind w:left="107"/>
              <w:rPr>
                <w:sz w:val="18"/>
              </w:rPr>
            </w:pPr>
            <w:r>
              <w:rPr>
                <w:sz w:val="18"/>
              </w:rPr>
              <w:t>Tuesday</w:t>
            </w:r>
            <w:r>
              <w:rPr>
                <w:spacing w:val="-2"/>
                <w:sz w:val="18"/>
              </w:rPr>
              <w:t> </w:t>
            </w:r>
            <w:r>
              <w:rPr>
                <w:sz w:val="18"/>
              </w:rPr>
              <w:t>(2)</w:t>
            </w:r>
          </w:p>
        </w:tc>
        <w:tc>
          <w:tcPr>
            <w:tcW w:w="2614" w:type="dxa"/>
          </w:tcPr>
          <w:p>
            <w:pPr>
              <w:pStyle w:val="TableParagraph"/>
              <w:rPr>
                <w:rFonts w:ascii="Times New Roman"/>
                <w:sz w:val="14"/>
              </w:rPr>
            </w:pPr>
          </w:p>
        </w:tc>
        <w:tc>
          <w:tcPr>
            <w:tcW w:w="2616" w:type="dxa"/>
          </w:tcPr>
          <w:p>
            <w:pPr>
              <w:pStyle w:val="TableParagraph"/>
              <w:rPr>
                <w:rFonts w:ascii="Times New Roman"/>
                <w:sz w:val="14"/>
              </w:rPr>
            </w:pPr>
          </w:p>
        </w:tc>
        <w:tc>
          <w:tcPr>
            <w:tcW w:w="2614" w:type="dxa"/>
          </w:tcPr>
          <w:p>
            <w:pPr>
              <w:pStyle w:val="TableParagraph"/>
              <w:rPr>
                <w:rFonts w:ascii="Times New Roman"/>
                <w:sz w:val="14"/>
              </w:rPr>
            </w:pPr>
          </w:p>
        </w:tc>
      </w:tr>
      <w:tr>
        <w:trPr>
          <w:trHeight w:val="220" w:hRule="atLeast"/>
        </w:trPr>
        <w:tc>
          <w:tcPr>
            <w:tcW w:w="2614" w:type="dxa"/>
          </w:tcPr>
          <w:p>
            <w:pPr>
              <w:pStyle w:val="TableParagraph"/>
              <w:spacing w:line="200" w:lineRule="exact"/>
              <w:ind w:left="107"/>
              <w:rPr>
                <w:sz w:val="18"/>
              </w:rPr>
            </w:pPr>
            <w:r>
              <w:rPr>
                <w:sz w:val="18"/>
              </w:rPr>
              <w:t>Wednesday</w:t>
            </w:r>
            <w:r>
              <w:rPr>
                <w:spacing w:val="-3"/>
                <w:sz w:val="18"/>
              </w:rPr>
              <w:t> </w:t>
            </w:r>
            <w:r>
              <w:rPr>
                <w:sz w:val="18"/>
              </w:rPr>
              <w:t>(3)</w:t>
            </w:r>
          </w:p>
        </w:tc>
        <w:tc>
          <w:tcPr>
            <w:tcW w:w="2614" w:type="dxa"/>
          </w:tcPr>
          <w:p>
            <w:pPr>
              <w:pStyle w:val="TableParagraph"/>
              <w:rPr>
                <w:rFonts w:ascii="Times New Roman"/>
                <w:sz w:val="14"/>
              </w:rPr>
            </w:pPr>
          </w:p>
        </w:tc>
        <w:tc>
          <w:tcPr>
            <w:tcW w:w="2616" w:type="dxa"/>
          </w:tcPr>
          <w:p>
            <w:pPr>
              <w:pStyle w:val="TableParagraph"/>
              <w:rPr>
                <w:rFonts w:ascii="Times New Roman"/>
                <w:sz w:val="14"/>
              </w:rPr>
            </w:pPr>
          </w:p>
        </w:tc>
        <w:tc>
          <w:tcPr>
            <w:tcW w:w="2614" w:type="dxa"/>
          </w:tcPr>
          <w:p>
            <w:pPr>
              <w:pStyle w:val="TableParagraph"/>
              <w:rPr>
                <w:rFonts w:ascii="Times New Roman"/>
                <w:sz w:val="14"/>
              </w:rPr>
            </w:pPr>
          </w:p>
        </w:tc>
      </w:tr>
      <w:tr>
        <w:trPr>
          <w:trHeight w:val="220" w:hRule="atLeast"/>
        </w:trPr>
        <w:tc>
          <w:tcPr>
            <w:tcW w:w="2614" w:type="dxa"/>
          </w:tcPr>
          <w:p>
            <w:pPr>
              <w:pStyle w:val="TableParagraph"/>
              <w:spacing w:line="200" w:lineRule="exact"/>
              <w:ind w:left="107"/>
              <w:rPr>
                <w:sz w:val="18"/>
              </w:rPr>
            </w:pPr>
            <w:r>
              <w:rPr>
                <w:sz w:val="18"/>
              </w:rPr>
              <w:t>Thursday</w:t>
            </w:r>
            <w:r>
              <w:rPr>
                <w:spacing w:val="-4"/>
                <w:sz w:val="18"/>
              </w:rPr>
              <w:t> </w:t>
            </w:r>
            <w:r>
              <w:rPr>
                <w:sz w:val="18"/>
              </w:rPr>
              <w:t>(4)</w:t>
            </w:r>
          </w:p>
        </w:tc>
        <w:tc>
          <w:tcPr>
            <w:tcW w:w="2614" w:type="dxa"/>
          </w:tcPr>
          <w:p>
            <w:pPr>
              <w:pStyle w:val="TableParagraph"/>
              <w:rPr>
                <w:rFonts w:ascii="Times New Roman"/>
                <w:sz w:val="14"/>
              </w:rPr>
            </w:pPr>
          </w:p>
        </w:tc>
        <w:tc>
          <w:tcPr>
            <w:tcW w:w="2616" w:type="dxa"/>
          </w:tcPr>
          <w:p>
            <w:pPr>
              <w:pStyle w:val="TableParagraph"/>
              <w:rPr>
                <w:rFonts w:ascii="Times New Roman"/>
                <w:sz w:val="14"/>
              </w:rPr>
            </w:pPr>
          </w:p>
        </w:tc>
        <w:tc>
          <w:tcPr>
            <w:tcW w:w="2614" w:type="dxa"/>
          </w:tcPr>
          <w:p>
            <w:pPr>
              <w:pStyle w:val="TableParagraph"/>
              <w:rPr>
                <w:rFonts w:ascii="Times New Roman"/>
                <w:sz w:val="14"/>
              </w:rPr>
            </w:pPr>
          </w:p>
        </w:tc>
      </w:tr>
      <w:tr>
        <w:trPr>
          <w:trHeight w:val="220" w:hRule="atLeast"/>
        </w:trPr>
        <w:tc>
          <w:tcPr>
            <w:tcW w:w="2614" w:type="dxa"/>
          </w:tcPr>
          <w:p>
            <w:pPr>
              <w:pStyle w:val="TableParagraph"/>
              <w:spacing w:line="200" w:lineRule="exact"/>
              <w:ind w:left="107"/>
              <w:rPr>
                <w:sz w:val="18"/>
              </w:rPr>
            </w:pPr>
            <w:r>
              <w:rPr>
                <w:sz w:val="18"/>
              </w:rPr>
              <w:t>Friday</w:t>
            </w:r>
            <w:r>
              <w:rPr>
                <w:spacing w:val="-2"/>
                <w:sz w:val="18"/>
              </w:rPr>
              <w:t> </w:t>
            </w:r>
            <w:r>
              <w:rPr>
                <w:sz w:val="18"/>
              </w:rPr>
              <w:t>(5)</w:t>
            </w:r>
          </w:p>
        </w:tc>
        <w:tc>
          <w:tcPr>
            <w:tcW w:w="2614" w:type="dxa"/>
          </w:tcPr>
          <w:p>
            <w:pPr>
              <w:pStyle w:val="TableParagraph"/>
              <w:rPr>
                <w:rFonts w:ascii="Times New Roman"/>
                <w:sz w:val="14"/>
              </w:rPr>
            </w:pPr>
          </w:p>
        </w:tc>
        <w:tc>
          <w:tcPr>
            <w:tcW w:w="2616" w:type="dxa"/>
          </w:tcPr>
          <w:p>
            <w:pPr>
              <w:pStyle w:val="TableParagraph"/>
              <w:rPr>
                <w:rFonts w:ascii="Times New Roman"/>
                <w:sz w:val="14"/>
              </w:rPr>
            </w:pPr>
          </w:p>
        </w:tc>
        <w:tc>
          <w:tcPr>
            <w:tcW w:w="2614" w:type="dxa"/>
          </w:tcPr>
          <w:p>
            <w:pPr>
              <w:pStyle w:val="TableParagraph"/>
              <w:rPr>
                <w:rFonts w:ascii="Times New Roman"/>
                <w:sz w:val="14"/>
              </w:rPr>
            </w:pPr>
          </w:p>
        </w:tc>
      </w:tr>
      <w:tr>
        <w:trPr>
          <w:trHeight w:val="220" w:hRule="atLeast"/>
        </w:trPr>
        <w:tc>
          <w:tcPr>
            <w:tcW w:w="2614" w:type="dxa"/>
          </w:tcPr>
          <w:p>
            <w:pPr>
              <w:pStyle w:val="TableParagraph"/>
              <w:spacing w:line="200" w:lineRule="exact"/>
              <w:ind w:left="107"/>
              <w:rPr>
                <w:sz w:val="18"/>
              </w:rPr>
            </w:pPr>
            <w:r>
              <w:rPr>
                <w:sz w:val="18"/>
              </w:rPr>
              <w:t>Saturday</w:t>
            </w:r>
            <w:r>
              <w:rPr>
                <w:spacing w:val="-2"/>
                <w:sz w:val="18"/>
              </w:rPr>
              <w:t> </w:t>
            </w:r>
            <w:r>
              <w:rPr>
                <w:sz w:val="18"/>
              </w:rPr>
              <w:t>(6)</w:t>
            </w:r>
          </w:p>
        </w:tc>
        <w:tc>
          <w:tcPr>
            <w:tcW w:w="2614" w:type="dxa"/>
          </w:tcPr>
          <w:p>
            <w:pPr>
              <w:pStyle w:val="TableParagraph"/>
              <w:rPr>
                <w:rFonts w:ascii="Times New Roman"/>
                <w:sz w:val="14"/>
              </w:rPr>
            </w:pPr>
          </w:p>
        </w:tc>
        <w:tc>
          <w:tcPr>
            <w:tcW w:w="2616" w:type="dxa"/>
          </w:tcPr>
          <w:p>
            <w:pPr>
              <w:pStyle w:val="TableParagraph"/>
              <w:rPr>
                <w:rFonts w:ascii="Times New Roman"/>
                <w:sz w:val="14"/>
              </w:rPr>
            </w:pPr>
          </w:p>
        </w:tc>
        <w:tc>
          <w:tcPr>
            <w:tcW w:w="2614" w:type="dxa"/>
          </w:tcPr>
          <w:p>
            <w:pPr>
              <w:pStyle w:val="TableParagraph"/>
              <w:rPr>
                <w:rFonts w:ascii="Times New Roman"/>
                <w:sz w:val="14"/>
              </w:rPr>
            </w:pPr>
          </w:p>
        </w:tc>
      </w:tr>
      <w:tr>
        <w:trPr>
          <w:trHeight w:val="220" w:hRule="atLeast"/>
        </w:trPr>
        <w:tc>
          <w:tcPr>
            <w:tcW w:w="2614" w:type="dxa"/>
          </w:tcPr>
          <w:p>
            <w:pPr>
              <w:pStyle w:val="TableParagraph"/>
              <w:spacing w:line="201" w:lineRule="exact"/>
              <w:ind w:left="107"/>
              <w:rPr>
                <w:sz w:val="18"/>
              </w:rPr>
            </w:pPr>
            <w:r>
              <w:rPr>
                <w:sz w:val="18"/>
              </w:rPr>
              <w:t>Sunday</w:t>
            </w:r>
            <w:r>
              <w:rPr>
                <w:spacing w:val="-2"/>
                <w:sz w:val="18"/>
              </w:rPr>
              <w:t> </w:t>
            </w:r>
            <w:r>
              <w:rPr>
                <w:sz w:val="18"/>
              </w:rPr>
              <w:t>(7)</w:t>
            </w:r>
          </w:p>
        </w:tc>
        <w:tc>
          <w:tcPr>
            <w:tcW w:w="2614" w:type="dxa"/>
          </w:tcPr>
          <w:p>
            <w:pPr>
              <w:pStyle w:val="TableParagraph"/>
              <w:rPr>
                <w:rFonts w:ascii="Times New Roman"/>
                <w:sz w:val="14"/>
              </w:rPr>
            </w:pPr>
          </w:p>
        </w:tc>
        <w:tc>
          <w:tcPr>
            <w:tcW w:w="2616" w:type="dxa"/>
          </w:tcPr>
          <w:p>
            <w:pPr>
              <w:pStyle w:val="TableParagraph"/>
              <w:rPr>
                <w:rFonts w:ascii="Times New Roman"/>
                <w:sz w:val="14"/>
              </w:rPr>
            </w:pPr>
          </w:p>
        </w:tc>
        <w:tc>
          <w:tcPr>
            <w:tcW w:w="2614" w:type="dxa"/>
          </w:tcPr>
          <w:p>
            <w:pPr>
              <w:pStyle w:val="TableParagraph"/>
              <w:rPr>
                <w:rFonts w:ascii="Times New Roman"/>
                <w:sz w:val="14"/>
              </w:rPr>
            </w:pPr>
          </w:p>
        </w:tc>
      </w:tr>
      <w:tr>
        <w:trPr>
          <w:trHeight w:val="222" w:hRule="atLeast"/>
        </w:trPr>
        <w:tc>
          <w:tcPr>
            <w:tcW w:w="2614" w:type="dxa"/>
          </w:tcPr>
          <w:p>
            <w:pPr>
              <w:pStyle w:val="TableParagraph"/>
              <w:spacing w:line="203" w:lineRule="exact"/>
              <w:ind w:left="107"/>
              <w:rPr>
                <w:sz w:val="18"/>
              </w:rPr>
            </w:pPr>
            <w:r>
              <w:rPr>
                <w:sz w:val="18"/>
              </w:rPr>
              <w:t>Public</w:t>
            </w:r>
            <w:r>
              <w:rPr>
                <w:spacing w:val="-6"/>
                <w:sz w:val="18"/>
              </w:rPr>
              <w:t> </w:t>
            </w:r>
            <w:r>
              <w:rPr>
                <w:sz w:val="18"/>
              </w:rPr>
              <w:t>holidays</w:t>
            </w:r>
            <w:r>
              <w:rPr>
                <w:spacing w:val="-2"/>
                <w:sz w:val="18"/>
              </w:rPr>
              <w:t> </w:t>
            </w:r>
            <w:r>
              <w:rPr>
                <w:sz w:val="18"/>
              </w:rPr>
              <w:t>(8)</w:t>
            </w:r>
          </w:p>
        </w:tc>
        <w:tc>
          <w:tcPr>
            <w:tcW w:w="2614" w:type="dxa"/>
          </w:tcPr>
          <w:p>
            <w:pPr>
              <w:pStyle w:val="TableParagraph"/>
              <w:rPr>
                <w:rFonts w:ascii="Times New Roman"/>
                <w:sz w:val="14"/>
              </w:rPr>
            </w:pPr>
          </w:p>
        </w:tc>
        <w:tc>
          <w:tcPr>
            <w:tcW w:w="2616" w:type="dxa"/>
          </w:tcPr>
          <w:p>
            <w:pPr>
              <w:pStyle w:val="TableParagraph"/>
              <w:rPr>
                <w:rFonts w:ascii="Times New Roman"/>
                <w:sz w:val="14"/>
              </w:rPr>
            </w:pPr>
          </w:p>
        </w:tc>
        <w:tc>
          <w:tcPr>
            <w:tcW w:w="2614" w:type="dxa"/>
          </w:tcPr>
          <w:p>
            <w:pPr>
              <w:pStyle w:val="TableParagraph"/>
              <w:rPr>
                <w:rFonts w:ascii="Times New Roman"/>
                <w:sz w:val="14"/>
              </w:rPr>
            </w:pPr>
          </w:p>
        </w:tc>
      </w:tr>
    </w:tbl>
    <w:p>
      <w:pPr>
        <w:pStyle w:val="BodyText"/>
        <w:spacing w:before="10"/>
        <w:rPr>
          <w:sz w:val="19"/>
        </w:rPr>
      </w:pPr>
    </w:p>
    <w:p>
      <w:pPr>
        <w:pStyle w:val="ListParagraph"/>
        <w:numPr>
          <w:ilvl w:val="0"/>
          <w:numId w:val="41"/>
        </w:numPr>
        <w:tabs>
          <w:tab w:pos="568" w:val="left" w:leader="none"/>
        </w:tabs>
        <w:spacing w:line="240" w:lineRule="auto" w:before="0" w:after="0"/>
        <w:ind w:left="567" w:right="0" w:hanging="428"/>
        <w:jc w:val="left"/>
        <w:rPr>
          <w:sz w:val="18"/>
        </w:rPr>
      </w:pPr>
      <w:r>
        <w:rPr>
          <w:sz w:val="18"/>
        </w:rPr>
        <w:t>If</w:t>
      </w:r>
      <w:r>
        <w:rPr>
          <w:spacing w:val="-6"/>
          <w:sz w:val="18"/>
        </w:rPr>
        <w:t> </w:t>
      </w:r>
      <w:r>
        <w:rPr>
          <w:sz w:val="18"/>
        </w:rPr>
        <w:t>there</w:t>
      </w:r>
      <w:r>
        <w:rPr>
          <w:spacing w:val="-3"/>
          <w:sz w:val="18"/>
        </w:rPr>
        <w:t> </w:t>
      </w:r>
      <w:r>
        <w:rPr>
          <w:sz w:val="18"/>
        </w:rPr>
        <w:t>are</w:t>
      </w:r>
      <w:r>
        <w:rPr>
          <w:spacing w:val="-3"/>
          <w:sz w:val="18"/>
        </w:rPr>
        <w:t> </w:t>
      </w:r>
      <w:r>
        <w:rPr>
          <w:sz w:val="18"/>
        </w:rPr>
        <w:t>any</w:t>
      </w:r>
      <w:r>
        <w:rPr>
          <w:spacing w:val="-5"/>
          <w:sz w:val="18"/>
        </w:rPr>
        <w:t> </w:t>
      </w:r>
      <w:r>
        <w:rPr>
          <w:sz w:val="18"/>
        </w:rPr>
        <w:t>other</w:t>
      </w:r>
      <w:r>
        <w:rPr>
          <w:spacing w:val="-3"/>
          <w:sz w:val="18"/>
        </w:rPr>
        <w:t> </w:t>
      </w:r>
      <w:r>
        <w:rPr>
          <w:sz w:val="18"/>
        </w:rPr>
        <w:t>arrangements</w:t>
      </w:r>
      <w:r>
        <w:rPr>
          <w:spacing w:val="-1"/>
          <w:sz w:val="18"/>
        </w:rPr>
        <w:t> </w:t>
      </w:r>
      <w:r>
        <w:rPr>
          <w:sz w:val="18"/>
        </w:rPr>
        <w:t>regarding</w:t>
      </w:r>
      <w:r>
        <w:rPr>
          <w:spacing w:val="-5"/>
          <w:sz w:val="18"/>
        </w:rPr>
        <w:t> </w:t>
      </w:r>
      <w:r>
        <w:rPr>
          <w:sz w:val="18"/>
        </w:rPr>
        <w:t>the</w:t>
      </w:r>
      <w:r>
        <w:rPr>
          <w:spacing w:val="-3"/>
          <w:sz w:val="18"/>
        </w:rPr>
        <w:t> </w:t>
      </w:r>
      <w:r>
        <w:rPr>
          <w:sz w:val="18"/>
        </w:rPr>
        <w:t>practice/</w:t>
      </w:r>
      <w:r>
        <w:rPr>
          <w:spacing w:val="-4"/>
          <w:sz w:val="18"/>
        </w:rPr>
        <w:t> </w:t>
      </w:r>
      <w:r>
        <w:rPr>
          <w:sz w:val="18"/>
        </w:rPr>
        <w:t>service</w:t>
      </w:r>
      <w:r>
        <w:rPr>
          <w:spacing w:val="-3"/>
          <w:sz w:val="18"/>
        </w:rPr>
        <w:t> </w:t>
      </w:r>
      <w:r>
        <w:rPr>
          <w:sz w:val="18"/>
        </w:rPr>
        <w:t>operating</w:t>
      </w:r>
      <w:r>
        <w:rPr>
          <w:spacing w:val="-5"/>
          <w:sz w:val="18"/>
        </w:rPr>
        <w:t> </w:t>
      </w:r>
      <w:r>
        <w:rPr>
          <w:sz w:val="18"/>
        </w:rPr>
        <w:t>hours,</w:t>
      </w:r>
      <w:r>
        <w:rPr>
          <w:spacing w:val="-6"/>
          <w:sz w:val="18"/>
        </w:rPr>
        <w:t> </w:t>
      </w:r>
      <w:r>
        <w:rPr>
          <w:sz w:val="18"/>
        </w:rPr>
        <w:t>please</w:t>
      </w:r>
      <w:r>
        <w:rPr>
          <w:spacing w:val="-4"/>
          <w:sz w:val="18"/>
        </w:rPr>
        <w:t> </w:t>
      </w:r>
      <w:r>
        <w:rPr>
          <w:sz w:val="18"/>
        </w:rPr>
        <w:t>provide</w:t>
      </w:r>
      <w:r>
        <w:rPr>
          <w:spacing w:val="-3"/>
          <w:sz w:val="18"/>
        </w:rPr>
        <w:t> </w:t>
      </w:r>
      <w:r>
        <w:rPr>
          <w:sz w:val="18"/>
        </w:rPr>
        <w:t>these</w:t>
      </w:r>
      <w:r>
        <w:rPr>
          <w:spacing w:val="-5"/>
          <w:sz w:val="18"/>
        </w:rPr>
        <w:t> </w:t>
      </w:r>
      <w:r>
        <w:rPr>
          <w:sz w:val="18"/>
        </w:rPr>
        <w:t>below.</w:t>
      </w:r>
    </w:p>
    <w:p>
      <w:pPr>
        <w:pStyle w:val="BodyText"/>
        <w:spacing w:before="9"/>
        <w:rPr>
          <w:sz w:val="19"/>
        </w:rPr>
      </w:pPr>
    </w:p>
    <w:p>
      <w:pPr>
        <w:pStyle w:val="ListParagraph"/>
        <w:numPr>
          <w:ilvl w:val="0"/>
          <w:numId w:val="41"/>
        </w:numPr>
        <w:tabs>
          <w:tab w:pos="568" w:val="left" w:leader="none"/>
        </w:tabs>
        <w:spacing w:line="237" w:lineRule="auto" w:before="0" w:after="0"/>
        <w:ind w:left="567" w:right="1163" w:hanging="428"/>
        <w:jc w:val="left"/>
        <w:rPr>
          <w:sz w:val="18"/>
        </w:rPr>
      </w:pPr>
      <w:r>
        <w:rPr>
          <w:sz w:val="18"/>
        </w:rPr>
        <w:t>What are the arrangements for patient attending your clinic/service to access after-hours general practice</w:t>
      </w:r>
      <w:r>
        <w:rPr>
          <w:spacing w:val="-47"/>
          <w:sz w:val="18"/>
        </w:rPr>
        <w:t> </w:t>
      </w:r>
      <w:r>
        <w:rPr>
          <w:sz w:val="18"/>
        </w:rPr>
        <w:t>services?</w:t>
      </w:r>
    </w:p>
    <w:p>
      <w:pPr>
        <w:pStyle w:val="BodyText"/>
        <w:spacing w:before="7"/>
        <w:rPr>
          <w:sz w:val="19"/>
        </w:rPr>
      </w:pPr>
    </w:p>
    <w:p>
      <w:pPr>
        <w:pStyle w:val="ListParagraph"/>
        <w:numPr>
          <w:ilvl w:val="0"/>
          <w:numId w:val="41"/>
        </w:numPr>
        <w:tabs>
          <w:tab w:pos="568" w:val="left" w:leader="none"/>
        </w:tabs>
        <w:spacing w:line="240" w:lineRule="auto" w:before="1" w:after="0"/>
        <w:ind w:left="567" w:right="474" w:hanging="428"/>
        <w:jc w:val="left"/>
        <w:rPr>
          <w:sz w:val="18"/>
        </w:rPr>
      </w:pPr>
      <w:r>
        <w:rPr>
          <w:sz w:val="18"/>
        </w:rPr>
        <w:t>In general, when a patient contacts your service, how long (in days) does the patient have to wait before seeing a</w:t>
      </w:r>
      <w:r>
        <w:rPr>
          <w:spacing w:val="-47"/>
          <w:sz w:val="18"/>
        </w:rPr>
        <w:t> </w:t>
      </w:r>
      <w:r>
        <w:rPr>
          <w:sz w:val="18"/>
        </w:rPr>
        <w:t>GP?</w:t>
      </w:r>
    </w:p>
    <w:p>
      <w:pPr>
        <w:pStyle w:val="BodyText"/>
        <w:spacing w:before="12"/>
        <w:rPr>
          <w:sz w:val="22"/>
        </w:rPr>
      </w:pPr>
    </w:p>
    <w:tbl>
      <w:tblPr>
        <w:tblW w:w="0" w:type="auto"/>
        <w:jc w:val="left"/>
        <w:tblInd w:w="1554"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2405"/>
        <w:gridCol w:w="2554"/>
        <w:gridCol w:w="2693"/>
      </w:tblGrid>
      <w:tr>
        <w:trPr>
          <w:trHeight w:val="477" w:hRule="atLeast"/>
        </w:trPr>
        <w:tc>
          <w:tcPr>
            <w:tcW w:w="2405" w:type="dxa"/>
            <w:shd w:val="clear" w:color="auto" w:fill="F1F1F1"/>
          </w:tcPr>
          <w:p>
            <w:pPr>
              <w:pStyle w:val="TableParagraph"/>
              <w:rPr>
                <w:rFonts w:ascii="Times New Roman"/>
                <w:sz w:val="18"/>
              </w:rPr>
            </w:pPr>
          </w:p>
        </w:tc>
        <w:tc>
          <w:tcPr>
            <w:tcW w:w="2554" w:type="dxa"/>
            <w:shd w:val="clear" w:color="auto" w:fill="F1F1F1"/>
          </w:tcPr>
          <w:p>
            <w:pPr>
              <w:pStyle w:val="TableParagraph"/>
              <w:spacing w:before="128"/>
              <w:ind w:left="221"/>
              <w:rPr>
                <w:sz w:val="18"/>
              </w:rPr>
            </w:pPr>
            <w:r>
              <w:rPr>
                <w:sz w:val="18"/>
              </w:rPr>
              <w:t>In</w:t>
            </w:r>
            <w:r>
              <w:rPr>
                <w:spacing w:val="-5"/>
                <w:sz w:val="18"/>
              </w:rPr>
              <w:t> </w:t>
            </w:r>
            <w:r>
              <w:rPr>
                <w:sz w:val="18"/>
              </w:rPr>
              <w:t>an</w:t>
            </w:r>
            <w:r>
              <w:rPr>
                <w:spacing w:val="-2"/>
                <w:sz w:val="18"/>
              </w:rPr>
              <w:t> </w:t>
            </w:r>
            <w:r>
              <w:rPr>
                <w:sz w:val="18"/>
              </w:rPr>
              <w:t>urgent</w:t>
            </w:r>
            <w:r>
              <w:rPr>
                <w:spacing w:val="-5"/>
                <w:sz w:val="18"/>
              </w:rPr>
              <w:t> </w:t>
            </w:r>
            <w:r>
              <w:rPr>
                <w:sz w:val="18"/>
              </w:rPr>
              <w:t>situation</w:t>
            </w:r>
            <w:r>
              <w:rPr>
                <w:spacing w:val="1"/>
                <w:sz w:val="18"/>
              </w:rPr>
              <w:t> </w:t>
            </w:r>
            <w:r>
              <w:rPr>
                <w:sz w:val="18"/>
              </w:rPr>
              <w:t>(1)</w:t>
            </w:r>
          </w:p>
        </w:tc>
        <w:tc>
          <w:tcPr>
            <w:tcW w:w="2693" w:type="dxa"/>
            <w:shd w:val="clear" w:color="auto" w:fill="F1F1F1"/>
          </w:tcPr>
          <w:p>
            <w:pPr>
              <w:pStyle w:val="TableParagraph"/>
              <w:spacing w:before="128"/>
              <w:ind w:left="144"/>
              <w:rPr>
                <w:sz w:val="18"/>
              </w:rPr>
            </w:pPr>
            <w:r>
              <w:rPr>
                <w:sz w:val="18"/>
              </w:rPr>
              <w:t>In</w:t>
            </w:r>
            <w:r>
              <w:rPr>
                <w:spacing w:val="-4"/>
                <w:sz w:val="18"/>
              </w:rPr>
              <w:t> </w:t>
            </w:r>
            <w:r>
              <w:rPr>
                <w:sz w:val="18"/>
              </w:rPr>
              <w:t>a</w:t>
            </w:r>
            <w:r>
              <w:rPr>
                <w:spacing w:val="-2"/>
                <w:sz w:val="18"/>
              </w:rPr>
              <w:t> </w:t>
            </w:r>
            <w:r>
              <w:rPr>
                <w:sz w:val="18"/>
              </w:rPr>
              <w:t>non-urgent</w:t>
            </w:r>
            <w:r>
              <w:rPr>
                <w:spacing w:val="-4"/>
                <w:sz w:val="18"/>
              </w:rPr>
              <w:t> </w:t>
            </w:r>
            <w:r>
              <w:rPr>
                <w:sz w:val="18"/>
              </w:rPr>
              <w:t>situation</w:t>
            </w:r>
            <w:r>
              <w:rPr>
                <w:spacing w:val="-2"/>
                <w:sz w:val="18"/>
              </w:rPr>
              <w:t> </w:t>
            </w:r>
            <w:r>
              <w:rPr>
                <w:sz w:val="18"/>
              </w:rPr>
              <w:t>(2)</w:t>
            </w:r>
          </w:p>
        </w:tc>
      </w:tr>
      <w:tr>
        <w:trPr>
          <w:trHeight w:val="477" w:hRule="atLeast"/>
        </w:trPr>
        <w:tc>
          <w:tcPr>
            <w:tcW w:w="2405" w:type="dxa"/>
          </w:tcPr>
          <w:p>
            <w:pPr>
              <w:pStyle w:val="TableParagraph"/>
              <w:spacing w:before="126"/>
              <w:ind w:left="1117" w:right="1004"/>
              <w:jc w:val="center"/>
              <w:rPr>
                <w:sz w:val="18"/>
              </w:rPr>
            </w:pPr>
            <w:r>
              <w:rPr>
                <w:sz w:val="18"/>
              </w:rPr>
              <w:t>(1)</w:t>
            </w:r>
          </w:p>
        </w:tc>
        <w:tc>
          <w:tcPr>
            <w:tcW w:w="2554" w:type="dxa"/>
          </w:tcPr>
          <w:p>
            <w:pPr>
              <w:pStyle w:val="TableParagraph"/>
              <w:rPr>
                <w:rFonts w:ascii="Times New Roman"/>
                <w:sz w:val="18"/>
              </w:rPr>
            </w:pPr>
          </w:p>
        </w:tc>
        <w:tc>
          <w:tcPr>
            <w:tcW w:w="2693" w:type="dxa"/>
          </w:tcPr>
          <w:p>
            <w:pPr>
              <w:pStyle w:val="TableParagraph"/>
              <w:rPr>
                <w:rFonts w:ascii="Times New Roman"/>
                <w:sz w:val="18"/>
              </w:rPr>
            </w:pPr>
          </w:p>
        </w:tc>
      </w:tr>
    </w:tbl>
    <w:p>
      <w:pPr>
        <w:pStyle w:val="BodyText"/>
        <w:spacing w:before="6"/>
        <w:rPr>
          <w:sz w:val="19"/>
        </w:rPr>
      </w:pPr>
    </w:p>
    <w:p>
      <w:pPr>
        <w:pStyle w:val="ListParagraph"/>
        <w:numPr>
          <w:ilvl w:val="0"/>
          <w:numId w:val="41"/>
        </w:numPr>
        <w:tabs>
          <w:tab w:pos="568" w:val="left" w:leader="none"/>
        </w:tabs>
        <w:spacing w:line="240" w:lineRule="auto" w:before="0" w:after="0"/>
        <w:ind w:left="567" w:right="0" w:hanging="428"/>
        <w:jc w:val="left"/>
        <w:rPr>
          <w:sz w:val="18"/>
        </w:rPr>
      </w:pPr>
      <w:r>
        <w:rPr>
          <w:sz w:val="18"/>
        </w:rPr>
        <w:t>Does</w:t>
      </w:r>
      <w:r>
        <w:rPr>
          <w:spacing w:val="-5"/>
          <w:sz w:val="18"/>
        </w:rPr>
        <w:t> </w:t>
      </w:r>
      <w:r>
        <w:rPr>
          <w:sz w:val="18"/>
        </w:rPr>
        <w:t>your</w:t>
      </w:r>
      <w:r>
        <w:rPr>
          <w:spacing w:val="-2"/>
          <w:sz w:val="18"/>
        </w:rPr>
        <w:t> </w:t>
      </w:r>
      <w:r>
        <w:rPr>
          <w:sz w:val="18"/>
        </w:rPr>
        <w:t>practice/</w:t>
      </w:r>
      <w:r>
        <w:rPr>
          <w:spacing w:val="-3"/>
          <w:sz w:val="18"/>
        </w:rPr>
        <w:t> </w:t>
      </w:r>
      <w:r>
        <w:rPr>
          <w:sz w:val="18"/>
        </w:rPr>
        <w:t>service</w:t>
      </w:r>
      <w:r>
        <w:rPr>
          <w:spacing w:val="-5"/>
          <w:sz w:val="18"/>
        </w:rPr>
        <w:t> </w:t>
      </w:r>
      <w:r>
        <w:rPr>
          <w:sz w:val="18"/>
        </w:rPr>
        <w:t>offer</w:t>
      </w:r>
      <w:r>
        <w:rPr>
          <w:spacing w:val="-5"/>
          <w:sz w:val="18"/>
        </w:rPr>
        <w:t> </w:t>
      </w:r>
      <w:r>
        <w:rPr>
          <w:sz w:val="18"/>
        </w:rPr>
        <w:t>patients</w:t>
      </w:r>
      <w:r>
        <w:rPr>
          <w:spacing w:val="-4"/>
          <w:sz w:val="18"/>
        </w:rPr>
        <w:t> </w:t>
      </w:r>
      <w:r>
        <w:rPr>
          <w:sz w:val="18"/>
        </w:rPr>
        <w:t>the</w:t>
      </w:r>
      <w:r>
        <w:rPr>
          <w:spacing w:val="-3"/>
          <w:sz w:val="18"/>
        </w:rPr>
        <w:t> </w:t>
      </w:r>
      <w:r>
        <w:rPr>
          <w:sz w:val="18"/>
        </w:rPr>
        <w:t>option</w:t>
      </w:r>
      <w:r>
        <w:rPr>
          <w:spacing w:val="-3"/>
          <w:sz w:val="18"/>
        </w:rPr>
        <w:t> </w:t>
      </w:r>
      <w:r>
        <w:rPr>
          <w:sz w:val="18"/>
        </w:rPr>
        <w:t>to...</w:t>
      </w:r>
      <w:r>
        <w:rPr>
          <w:spacing w:val="-3"/>
          <w:sz w:val="18"/>
        </w:rPr>
        <w:t> </w:t>
      </w:r>
      <w:r>
        <w:rPr>
          <w:sz w:val="18"/>
        </w:rPr>
        <w:t>(select</w:t>
      </w:r>
      <w:r>
        <w:rPr>
          <w:spacing w:val="-5"/>
          <w:sz w:val="18"/>
        </w:rPr>
        <w:t> </w:t>
      </w:r>
      <w:r>
        <w:rPr>
          <w:sz w:val="18"/>
        </w:rPr>
        <w:t>all</w:t>
      </w:r>
      <w:r>
        <w:rPr>
          <w:spacing w:val="-3"/>
          <w:sz w:val="18"/>
        </w:rPr>
        <w:t> </w:t>
      </w:r>
      <w:r>
        <w:rPr>
          <w:sz w:val="18"/>
        </w:rPr>
        <w:t>that</w:t>
      </w:r>
      <w:r>
        <w:rPr>
          <w:spacing w:val="-5"/>
          <w:sz w:val="18"/>
        </w:rPr>
        <w:t> </w:t>
      </w:r>
      <w:r>
        <w:rPr>
          <w:sz w:val="18"/>
        </w:rPr>
        <w:t>apply)</w:t>
      </w:r>
    </w:p>
    <w:p>
      <w:pPr>
        <w:pStyle w:val="BodyText"/>
        <w:spacing w:before="9"/>
        <w:rPr>
          <w:sz w:val="14"/>
        </w:rPr>
      </w:pPr>
    </w:p>
    <w:p>
      <w:pPr>
        <w:spacing w:before="100"/>
        <w:ind w:left="1491" w:right="0" w:firstLine="0"/>
        <w:jc w:val="left"/>
        <w:rPr>
          <w:sz w:val="18"/>
        </w:rPr>
      </w:pPr>
      <w:r>
        <w:rPr/>
        <w:drawing>
          <wp:anchor distT="0" distB="0" distL="0" distR="0" allowOverlap="1" layoutInCell="1" locked="0" behindDoc="0" simplePos="0" relativeHeight="15764480">
            <wp:simplePos x="0" y="0"/>
            <wp:positionH relativeFrom="page">
              <wp:posOffset>1102145</wp:posOffset>
            </wp:positionH>
            <wp:positionV relativeFrom="paragraph">
              <wp:posOffset>107715</wp:posOffset>
            </wp:positionV>
            <wp:extent cx="58380" cy="72151"/>
            <wp:effectExtent l="0" t="0" r="0" b="0"/>
            <wp:wrapNone/>
            <wp:docPr id="131" name="image13.png"/>
            <wp:cNvGraphicFramePr>
              <a:graphicFrameLocks noChangeAspect="1"/>
            </wp:cNvGraphicFramePr>
            <a:graphic>
              <a:graphicData uri="http://schemas.openxmlformats.org/drawingml/2006/picture">
                <pic:pic>
                  <pic:nvPicPr>
                    <pic:cNvPr id="13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Request</w:t>
      </w:r>
      <w:r>
        <w:rPr>
          <w:spacing w:val="-5"/>
          <w:sz w:val="18"/>
        </w:rPr>
        <w:t> </w:t>
      </w:r>
      <w:r>
        <w:rPr>
          <w:sz w:val="18"/>
        </w:rPr>
        <w:t>appointments</w:t>
      </w:r>
      <w:r>
        <w:rPr>
          <w:spacing w:val="-4"/>
          <w:sz w:val="18"/>
        </w:rPr>
        <w:t> </w:t>
      </w:r>
      <w:r>
        <w:rPr>
          <w:sz w:val="18"/>
        </w:rPr>
        <w:t>online?</w:t>
      </w:r>
      <w:r>
        <w:rPr>
          <w:spacing w:val="45"/>
          <w:sz w:val="18"/>
        </w:rPr>
        <w:t> </w:t>
      </w:r>
      <w:r>
        <w:rPr>
          <w:sz w:val="18"/>
        </w:rPr>
        <w:t>(1)</w:t>
      </w:r>
    </w:p>
    <w:p>
      <w:pPr>
        <w:spacing w:before="0"/>
        <w:ind w:left="1491" w:right="1236" w:firstLine="0"/>
        <w:jc w:val="left"/>
        <w:rPr>
          <w:sz w:val="18"/>
        </w:rPr>
      </w:pPr>
      <w:r>
        <w:rPr/>
        <w:drawing>
          <wp:anchor distT="0" distB="0" distL="0" distR="0" allowOverlap="1" layoutInCell="1" locked="0" behindDoc="0" simplePos="0" relativeHeight="15764992">
            <wp:simplePos x="0" y="0"/>
            <wp:positionH relativeFrom="page">
              <wp:posOffset>1102145</wp:posOffset>
            </wp:positionH>
            <wp:positionV relativeFrom="paragraph">
              <wp:posOffset>44021</wp:posOffset>
            </wp:positionV>
            <wp:extent cx="58380" cy="73869"/>
            <wp:effectExtent l="0" t="0" r="0" b="0"/>
            <wp:wrapNone/>
            <wp:docPr id="133" name="image14.png"/>
            <wp:cNvGraphicFramePr>
              <a:graphicFrameLocks noChangeAspect="1"/>
            </wp:cNvGraphicFramePr>
            <a:graphic>
              <a:graphicData uri="http://schemas.openxmlformats.org/drawingml/2006/picture">
                <pic:pic>
                  <pic:nvPicPr>
                    <pic:cNvPr id="134" name="image14.png"/>
                    <pic:cNvPicPr/>
                  </pic:nvPicPr>
                  <pic:blipFill>
                    <a:blip r:embed="rId43" cstate="print"/>
                    <a:stretch>
                      <a:fillRect/>
                    </a:stretch>
                  </pic:blipFill>
                  <pic:spPr>
                    <a:xfrm>
                      <a:off x="0" y="0"/>
                      <a:ext cx="58380" cy="73869"/>
                    </a:xfrm>
                    <a:prstGeom prst="rect">
                      <a:avLst/>
                    </a:prstGeom>
                  </pic:spPr>
                </pic:pic>
              </a:graphicData>
            </a:graphic>
          </wp:anchor>
        </w:drawing>
      </w:r>
      <w:r>
        <w:rPr/>
        <w:drawing>
          <wp:anchor distT="0" distB="0" distL="0" distR="0" allowOverlap="1" layoutInCell="1" locked="0" behindDoc="0" simplePos="0" relativeHeight="15765504">
            <wp:simplePos x="0" y="0"/>
            <wp:positionH relativeFrom="page">
              <wp:posOffset>1102145</wp:posOffset>
            </wp:positionH>
            <wp:positionV relativeFrom="paragraph">
              <wp:posOffset>184422</wp:posOffset>
            </wp:positionV>
            <wp:extent cx="58380" cy="72151"/>
            <wp:effectExtent l="0" t="0" r="0" b="0"/>
            <wp:wrapNone/>
            <wp:docPr id="135" name="image13.png"/>
            <wp:cNvGraphicFramePr>
              <a:graphicFrameLocks noChangeAspect="1"/>
            </wp:cNvGraphicFramePr>
            <a:graphic>
              <a:graphicData uri="http://schemas.openxmlformats.org/drawingml/2006/picture">
                <pic:pic>
                  <pic:nvPicPr>
                    <pic:cNvPr id="13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Contact</w:t>
      </w:r>
      <w:r>
        <w:rPr>
          <w:spacing w:val="-5"/>
          <w:sz w:val="18"/>
        </w:rPr>
        <w:t> </w:t>
      </w:r>
      <w:r>
        <w:rPr>
          <w:sz w:val="18"/>
        </w:rPr>
        <w:t>a</w:t>
      </w:r>
      <w:r>
        <w:rPr>
          <w:spacing w:val="-4"/>
          <w:sz w:val="18"/>
        </w:rPr>
        <w:t> </w:t>
      </w:r>
      <w:r>
        <w:rPr>
          <w:sz w:val="18"/>
        </w:rPr>
        <w:t>doctor</w:t>
      </w:r>
      <w:r>
        <w:rPr>
          <w:spacing w:val="-3"/>
          <w:sz w:val="18"/>
        </w:rPr>
        <w:t> </w:t>
      </w:r>
      <w:r>
        <w:rPr>
          <w:sz w:val="18"/>
        </w:rPr>
        <w:t>or</w:t>
      </w:r>
      <w:r>
        <w:rPr>
          <w:spacing w:val="-2"/>
          <w:sz w:val="18"/>
        </w:rPr>
        <w:t> </w:t>
      </w:r>
      <w:r>
        <w:rPr>
          <w:sz w:val="18"/>
        </w:rPr>
        <w:t>nurse</w:t>
      </w:r>
      <w:r>
        <w:rPr>
          <w:spacing w:val="-3"/>
          <w:sz w:val="18"/>
        </w:rPr>
        <w:t> </w:t>
      </w:r>
      <w:r>
        <w:rPr>
          <w:sz w:val="18"/>
        </w:rPr>
        <w:t>by</w:t>
      </w:r>
      <w:r>
        <w:rPr>
          <w:spacing w:val="-4"/>
          <w:sz w:val="18"/>
        </w:rPr>
        <w:t> </w:t>
      </w:r>
      <w:r>
        <w:rPr>
          <w:sz w:val="18"/>
        </w:rPr>
        <w:t>telephone</w:t>
      </w:r>
      <w:r>
        <w:rPr>
          <w:spacing w:val="-3"/>
          <w:sz w:val="18"/>
        </w:rPr>
        <w:t> </w:t>
      </w:r>
      <w:r>
        <w:rPr>
          <w:sz w:val="18"/>
        </w:rPr>
        <w:t>during</w:t>
      </w:r>
      <w:r>
        <w:rPr>
          <w:spacing w:val="-5"/>
          <w:sz w:val="18"/>
        </w:rPr>
        <w:t> </w:t>
      </w:r>
      <w:r>
        <w:rPr>
          <w:sz w:val="18"/>
        </w:rPr>
        <w:t>the</w:t>
      </w:r>
      <w:r>
        <w:rPr>
          <w:spacing w:val="-3"/>
          <w:sz w:val="18"/>
        </w:rPr>
        <w:t> </w:t>
      </w:r>
      <w:r>
        <w:rPr>
          <w:sz w:val="18"/>
        </w:rPr>
        <w:t>practice/</w:t>
      </w:r>
      <w:r>
        <w:rPr>
          <w:spacing w:val="-4"/>
          <w:sz w:val="18"/>
        </w:rPr>
        <w:t> </w:t>
      </w:r>
      <w:r>
        <w:rPr>
          <w:sz w:val="18"/>
        </w:rPr>
        <w:t>service's</w:t>
      </w:r>
      <w:r>
        <w:rPr>
          <w:spacing w:val="-3"/>
          <w:sz w:val="18"/>
        </w:rPr>
        <w:t> </w:t>
      </w:r>
      <w:r>
        <w:rPr>
          <w:sz w:val="18"/>
        </w:rPr>
        <w:t>hours</w:t>
      </w:r>
      <w:r>
        <w:rPr>
          <w:spacing w:val="-4"/>
          <w:sz w:val="18"/>
        </w:rPr>
        <w:t> </w:t>
      </w:r>
      <w:r>
        <w:rPr>
          <w:sz w:val="18"/>
        </w:rPr>
        <w:t>of</w:t>
      </w:r>
      <w:r>
        <w:rPr>
          <w:spacing w:val="-3"/>
          <w:sz w:val="18"/>
        </w:rPr>
        <w:t> </w:t>
      </w:r>
      <w:r>
        <w:rPr>
          <w:sz w:val="18"/>
        </w:rPr>
        <w:t>operation?</w:t>
      </w:r>
      <w:r>
        <w:rPr>
          <w:spacing w:val="46"/>
          <w:sz w:val="18"/>
        </w:rPr>
        <w:t> </w:t>
      </w:r>
      <w:r>
        <w:rPr>
          <w:sz w:val="18"/>
        </w:rPr>
        <w:t>(7)</w:t>
      </w:r>
      <w:r>
        <w:rPr>
          <w:spacing w:val="-46"/>
          <w:sz w:val="18"/>
        </w:rPr>
        <w:t> </w:t>
      </w:r>
      <w:r>
        <w:rPr>
          <w:sz w:val="18"/>
        </w:rPr>
        <w:t>Describe</w:t>
      </w:r>
      <w:r>
        <w:rPr>
          <w:spacing w:val="-4"/>
          <w:sz w:val="18"/>
        </w:rPr>
        <w:t> </w:t>
      </w:r>
      <w:r>
        <w:rPr>
          <w:sz w:val="18"/>
        </w:rPr>
        <w:t>the</w:t>
      </w:r>
      <w:r>
        <w:rPr>
          <w:spacing w:val="-2"/>
          <w:sz w:val="18"/>
        </w:rPr>
        <w:t> </w:t>
      </w:r>
      <w:r>
        <w:rPr>
          <w:sz w:val="18"/>
        </w:rPr>
        <w:t>problems</w:t>
      </w:r>
      <w:r>
        <w:rPr>
          <w:spacing w:val="-2"/>
          <w:sz w:val="18"/>
        </w:rPr>
        <w:t> </w:t>
      </w:r>
      <w:r>
        <w:rPr>
          <w:sz w:val="18"/>
        </w:rPr>
        <w:t>they</w:t>
      </w:r>
      <w:r>
        <w:rPr>
          <w:spacing w:val="-2"/>
          <w:sz w:val="18"/>
        </w:rPr>
        <w:t> </w:t>
      </w:r>
      <w:r>
        <w:rPr>
          <w:sz w:val="18"/>
        </w:rPr>
        <w:t>wish</w:t>
      </w:r>
      <w:r>
        <w:rPr>
          <w:spacing w:val="-1"/>
          <w:sz w:val="18"/>
        </w:rPr>
        <w:t> </w:t>
      </w:r>
      <w:r>
        <w:rPr>
          <w:sz w:val="18"/>
        </w:rPr>
        <w:t>to</w:t>
      </w:r>
      <w:r>
        <w:rPr>
          <w:spacing w:val="-1"/>
          <w:sz w:val="18"/>
        </w:rPr>
        <w:t> </w:t>
      </w:r>
      <w:r>
        <w:rPr>
          <w:sz w:val="18"/>
        </w:rPr>
        <w:t>discuss</w:t>
      </w:r>
      <w:r>
        <w:rPr>
          <w:spacing w:val="-2"/>
          <w:sz w:val="18"/>
        </w:rPr>
        <w:t> </w:t>
      </w:r>
      <w:r>
        <w:rPr>
          <w:sz w:val="18"/>
        </w:rPr>
        <w:t>with</w:t>
      </w:r>
      <w:r>
        <w:rPr>
          <w:spacing w:val="-1"/>
          <w:sz w:val="18"/>
        </w:rPr>
        <w:t> </w:t>
      </w:r>
      <w:r>
        <w:rPr>
          <w:sz w:val="18"/>
        </w:rPr>
        <w:t>the</w:t>
      </w:r>
      <w:r>
        <w:rPr>
          <w:spacing w:val="-1"/>
          <w:sz w:val="18"/>
        </w:rPr>
        <w:t> </w:t>
      </w:r>
      <w:r>
        <w:rPr>
          <w:sz w:val="18"/>
        </w:rPr>
        <w:t>GP</w:t>
      </w:r>
      <w:r>
        <w:rPr>
          <w:spacing w:val="-5"/>
          <w:sz w:val="18"/>
        </w:rPr>
        <w:t> </w:t>
      </w:r>
      <w:r>
        <w:rPr>
          <w:sz w:val="18"/>
        </w:rPr>
        <w:t>prior</w:t>
      </w:r>
      <w:r>
        <w:rPr>
          <w:spacing w:val="-1"/>
          <w:sz w:val="18"/>
        </w:rPr>
        <w:t> </w:t>
      </w:r>
      <w:r>
        <w:rPr>
          <w:sz w:val="18"/>
        </w:rPr>
        <w:t>to</w:t>
      </w:r>
      <w:r>
        <w:rPr>
          <w:spacing w:val="-2"/>
          <w:sz w:val="18"/>
        </w:rPr>
        <w:t> </w:t>
      </w:r>
      <w:r>
        <w:rPr>
          <w:sz w:val="18"/>
        </w:rPr>
        <w:t>the</w:t>
      </w:r>
      <w:r>
        <w:rPr>
          <w:spacing w:val="-1"/>
          <w:sz w:val="18"/>
        </w:rPr>
        <w:t> </w:t>
      </w:r>
      <w:r>
        <w:rPr>
          <w:sz w:val="18"/>
        </w:rPr>
        <w:t>appointment?  (2)</w:t>
      </w:r>
    </w:p>
    <w:p>
      <w:pPr>
        <w:spacing w:line="240" w:lineRule="auto" w:before="0"/>
        <w:ind w:left="1491" w:right="2933" w:firstLine="0"/>
        <w:jc w:val="left"/>
        <w:rPr>
          <w:sz w:val="18"/>
        </w:rPr>
      </w:pPr>
      <w:r>
        <w:rPr/>
        <w:drawing>
          <wp:anchor distT="0" distB="0" distL="0" distR="0" allowOverlap="1" layoutInCell="1" locked="0" behindDoc="0" simplePos="0" relativeHeight="15766016">
            <wp:simplePos x="0" y="0"/>
            <wp:positionH relativeFrom="page">
              <wp:posOffset>1102145</wp:posOffset>
            </wp:positionH>
            <wp:positionV relativeFrom="paragraph">
              <wp:posOffset>44215</wp:posOffset>
            </wp:positionV>
            <wp:extent cx="58380" cy="72151"/>
            <wp:effectExtent l="0" t="0" r="0" b="0"/>
            <wp:wrapNone/>
            <wp:docPr id="137" name="image13.png"/>
            <wp:cNvGraphicFramePr>
              <a:graphicFrameLocks noChangeAspect="1"/>
            </wp:cNvGraphicFramePr>
            <a:graphic>
              <a:graphicData uri="http://schemas.openxmlformats.org/drawingml/2006/picture">
                <pic:pic>
                  <pic:nvPicPr>
                    <pic:cNvPr id="138"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766528">
            <wp:simplePos x="0" y="0"/>
            <wp:positionH relativeFrom="page">
              <wp:posOffset>1102145</wp:posOffset>
            </wp:positionH>
            <wp:positionV relativeFrom="paragraph">
              <wp:posOffset>184423</wp:posOffset>
            </wp:positionV>
            <wp:extent cx="58380" cy="72151"/>
            <wp:effectExtent l="0" t="0" r="0" b="0"/>
            <wp:wrapNone/>
            <wp:docPr id="139" name="image13.png"/>
            <wp:cNvGraphicFramePr>
              <a:graphicFrameLocks noChangeAspect="1"/>
            </wp:cNvGraphicFramePr>
            <a:graphic>
              <a:graphicData uri="http://schemas.openxmlformats.org/drawingml/2006/picture">
                <pic:pic>
                  <pic:nvPicPr>
                    <pic:cNvPr id="140"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767040">
            <wp:simplePos x="0" y="0"/>
            <wp:positionH relativeFrom="page">
              <wp:posOffset>1102145</wp:posOffset>
            </wp:positionH>
            <wp:positionV relativeFrom="paragraph">
              <wp:posOffset>324631</wp:posOffset>
            </wp:positionV>
            <wp:extent cx="58380" cy="72151"/>
            <wp:effectExtent l="0" t="0" r="0" b="0"/>
            <wp:wrapNone/>
            <wp:docPr id="141" name="image13.png"/>
            <wp:cNvGraphicFramePr>
              <a:graphicFrameLocks noChangeAspect="1"/>
            </wp:cNvGraphicFramePr>
            <a:graphic>
              <a:graphicData uri="http://schemas.openxmlformats.org/drawingml/2006/picture">
                <pic:pic>
                  <pic:nvPicPr>
                    <pic:cNvPr id="14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Leave a voice message and get a return call from a doctor or nurse</w:t>
      </w:r>
      <w:r>
        <w:rPr>
          <w:spacing w:val="1"/>
          <w:sz w:val="18"/>
        </w:rPr>
        <w:t> </w:t>
      </w:r>
      <w:r>
        <w:rPr>
          <w:sz w:val="18"/>
        </w:rPr>
        <w:t>(8)</w:t>
      </w:r>
      <w:r>
        <w:rPr>
          <w:spacing w:val="1"/>
          <w:sz w:val="18"/>
        </w:rPr>
        <w:t> </w:t>
      </w:r>
      <w:r>
        <w:rPr>
          <w:sz w:val="18"/>
        </w:rPr>
        <w:t>Send</w:t>
      </w:r>
      <w:r>
        <w:rPr>
          <w:spacing w:val="-4"/>
          <w:sz w:val="18"/>
        </w:rPr>
        <w:t> </w:t>
      </w:r>
      <w:r>
        <w:rPr>
          <w:sz w:val="18"/>
        </w:rPr>
        <w:t>a</w:t>
      </w:r>
      <w:r>
        <w:rPr>
          <w:spacing w:val="-3"/>
          <w:sz w:val="18"/>
        </w:rPr>
        <w:t> </w:t>
      </w:r>
      <w:r>
        <w:rPr>
          <w:sz w:val="18"/>
        </w:rPr>
        <w:t>medical</w:t>
      </w:r>
      <w:r>
        <w:rPr>
          <w:spacing w:val="-2"/>
          <w:sz w:val="18"/>
        </w:rPr>
        <w:t> </w:t>
      </w:r>
      <w:r>
        <w:rPr>
          <w:sz w:val="18"/>
        </w:rPr>
        <w:t>question</w:t>
      </w:r>
      <w:r>
        <w:rPr>
          <w:spacing w:val="-3"/>
          <w:sz w:val="18"/>
        </w:rPr>
        <w:t> </w:t>
      </w:r>
      <w:r>
        <w:rPr>
          <w:sz w:val="18"/>
        </w:rPr>
        <w:t>or</w:t>
      </w:r>
      <w:r>
        <w:rPr>
          <w:spacing w:val="-3"/>
          <w:sz w:val="18"/>
        </w:rPr>
        <w:t> </w:t>
      </w:r>
      <w:r>
        <w:rPr>
          <w:sz w:val="18"/>
        </w:rPr>
        <w:t>concern</w:t>
      </w:r>
      <w:r>
        <w:rPr>
          <w:spacing w:val="-3"/>
          <w:sz w:val="18"/>
        </w:rPr>
        <w:t> </w:t>
      </w:r>
      <w:r>
        <w:rPr>
          <w:sz w:val="18"/>
        </w:rPr>
        <w:t>via</w:t>
      </w:r>
      <w:r>
        <w:rPr>
          <w:spacing w:val="-4"/>
          <w:sz w:val="18"/>
        </w:rPr>
        <w:t> </w:t>
      </w:r>
      <w:r>
        <w:rPr>
          <w:sz w:val="18"/>
        </w:rPr>
        <w:t>email</w:t>
      </w:r>
      <w:r>
        <w:rPr>
          <w:spacing w:val="-2"/>
          <w:sz w:val="18"/>
        </w:rPr>
        <w:t> </w:t>
      </w:r>
      <w:r>
        <w:rPr>
          <w:sz w:val="18"/>
        </w:rPr>
        <w:t>or</w:t>
      </w:r>
      <w:r>
        <w:rPr>
          <w:spacing w:val="-3"/>
          <w:sz w:val="18"/>
        </w:rPr>
        <w:t> </w:t>
      </w:r>
      <w:r>
        <w:rPr>
          <w:sz w:val="18"/>
        </w:rPr>
        <w:t>electronic</w:t>
      </w:r>
      <w:r>
        <w:rPr>
          <w:spacing w:val="-1"/>
          <w:sz w:val="18"/>
        </w:rPr>
        <w:t> </w:t>
      </w:r>
      <w:r>
        <w:rPr>
          <w:sz w:val="18"/>
        </w:rPr>
        <w:t>message?</w:t>
      </w:r>
      <w:r>
        <w:rPr>
          <w:spacing w:val="46"/>
          <w:sz w:val="18"/>
        </w:rPr>
        <w:t> </w:t>
      </w:r>
      <w:r>
        <w:rPr>
          <w:sz w:val="18"/>
        </w:rPr>
        <w:t>(3)</w:t>
      </w:r>
      <w:r>
        <w:rPr>
          <w:spacing w:val="-47"/>
          <w:sz w:val="18"/>
        </w:rPr>
        <w:t> </w:t>
      </w:r>
      <w:r>
        <w:rPr>
          <w:sz w:val="18"/>
        </w:rPr>
        <w:t>Request</w:t>
      </w:r>
      <w:r>
        <w:rPr>
          <w:spacing w:val="-3"/>
          <w:sz w:val="18"/>
        </w:rPr>
        <w:t> </w:t>
      </w:r>
      <w:r>
        <w:rPr>
          <w:sz w:val="18"/>
        </w:rPr>
        <w:t>refills</w:t>
      </w:r>
      <w:r>
        <w:rPr>
          <w:spacing w:val="-3"/>
          <w:sz w:val="18"/>
        </w:rPr>
        <w:t> </w:t>
      </w:r>
      <w:r>
        <w:rPr>
          <w:sz w:val="18"/>
        </w:rPr>
        <w:t>for</w:t>
      </w:r>
      <w:r>
        <w:rPr>
          <w:spacing w:val="-1"/>
          <w:sz w:val="18"/>
        </w:rPr>
        <w:t> </w:t>
      </w:r>
      <w:r>
        <w:rPr>
          <w:sz w:val="18"/>
        </w:rPr>
        <w:t>prescriptions</w:t>
      </w:r>
      <w:r>
        <w:rPr>
          <w:spacing w:val="-1"/>
          <w:sz w:val="18"/>
        </w:rPr>
        <w:t> </w:t>
      </w:r>
      <w:r>
        <w:rPr>
          <w:sz w:val="18"/>
        </w:rPr>
        <w:t>online?</w:t>
      </w:r>
      <w:r>
        <w:rPr>
          <w:spacing w:val="2"/>
          <w:sz w:val="18"/>
        </w:rPr>
        <w:t> </w:t>
      </w:r>
      <w:r>
        <w:rPr>
          <w:sz w:val="18"/>
        </w:rPr>
        <w:t>(4)</w:t>
      </w:r>
    </w:p>
    <w:p>
      <w:pPr>
        <w:spacing w:before="0"/>
        <w:ind w:left="1491" w:right="0" w:firstLine="0"/>
        <w:jc w:val="left"/>
        <w:rPr>
          <w:sz w:val="18"/>
        </w:rPr>
      </w:pPr>
      <w:r>
        <w:rPr/>
        <w:drawing>
          <wp:anchor distT="0" distB="0" distL="0" distR="0" allowOverlap="1" layoutInCell="1" locked="0" behindDoc="0" simplePos="0" relativeHeight="15767552">
            <wp:simplePos x="0" y="0"/>
            <wp:positionH relativeFrom="page">
              <wp:posOffset>1102145</wp:posOffset>
            </wp:positionH>
            <wp:positionV relativeFrom="paragraph">
              <wp:posOffset>44214</wp:posOffset>
            </wp:positionV>
            <wp:extent cx="58380" cy="72151"/>
            <wp:effectExtent l="0" t="0" r="0" b="0"/>
            <wp:wrapNone/>
            <wp:docPr id="143" name="image13.png"/>
            <wp:cNvGraphicFramePr>
              <a:graphicFrameLocks noChangeAspect="1"/>
            </wp:cNvGraphicFramePr>
            <a:graphic>
              <a:graphicData uri="http://schemas.openxmlformats.org/drawingml/2006/picture">
                <pic:pic>
                  <pic:nvPicPr>
                    <pic:cNvPr id="14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View</w:t>
      </w:r>
      <w:r>
        <w:rPr>
          <w:spacing w:val="-4"/>
          <w:sz w:val="18"/>
        </w:rPr>
        <w:t> </w:t>
      </w:r>
      <w:r>
        <w:rPr>
          <w:sz w:val="18"/>
        </w:rPr>
        <w:t>test</w:t>
      </w:r>
      <w:r>
        <w:rPr>
          <w:spacing w:val="-4"/>
          <w:sz w:val="18"/>
        </w:rPr>
        <w:t> </w:t>
      </w:r>
      <w:r>
        <w:rPr>
          <w:sz w:val="18"/>
        </w:rPr>
        <w:t>results</w:t>
      </w:r>
      <w:r>
        <w:rPr>
          <w:spacing w:val="-3"/>
          <w:sz w:val="18"/>
        </w:rPr>
        <w:t> </w:t>
      </w:r>
      <w:r>
        <w:rPr>
          <w:sz w:val="18"/>
        </w:rPr>
        <w:t>on</w:t>
      </w:r>
      <w:r>
        <w:rPr>
          <w:spacing w:val="-2"/>
          <w:sz w:val="18"/>
        </w:rPr>
        <w:t> </w:t>
      </w:r>
      <w:r>
        <w:rPr>
          <w:sz w:val="18"/>
        </w:rPr>
        <w:t>a</w:t>
      </w:r>
      <w:r>
        <w:rPr>
          <w:spacing w:val="-2"/>
          <w:sz w:val="18"/>
        </w:rPr>
        <w:t> </w:t>
      </w:r>
      <w:r>
        <w:rPr>
          <w:sz w:val="18"/>
        </w:rPr>
        <w:t>patient</w:t>
      </w:r>
      <w:r>
        <w:rPr>
          <w:spacing w:val="-4"/>
          <w:sz w:val="18"/>
        </w:rPr>
        <w:t> </w:t>
      </w:r>
      <w:r>
        <w:rPr>
          <w:sz w:val="18"/>
        </w:rPr>
        <w:t>portal?</w:t>
      </w:r>
      <w:r>
        <w:rPr>
          <w:spacing w:val="48"/>
          <w:sz w:val="18"/>
        </w:rPr>
        <w:t> </w:t>
      </w:r>
      <w:r>
        <w:rPr>
          <w:sz w:val="18"/>
        </w:rPr>
        <w:t>(5)</w:t>
      </w:r>
    </w:p>
    <w:p>
      <w:pPr>
        <w:spacing w:before="0"/>
        <w:ind w:left="1491" w:right="0" w:firstLine="0"/>
        <w:jc w:val="left"/>
        <w:rPr>
          <w:sz w:val="18"/>
        </w:rPr>
      </w:pPr>
      <w:r>
        <w:rPr/>
        <w:drawing>
          <wp:anchor distT="0" distB="0" distL="0" distR="0" allowOverlap="1" layoutInCell="1" locked="0" behindDoc="0" simplePos="0" relativeHeight="15768064">
            <wp:simplePos x="0" y="0"/>
            <wp:positionH relativeFrom="page">
              <wp:posOffset>1102145</wp:posOffset>
            </wp:positionH>
            <wp:positionV relativeFrom="paragraph">
              <wp:posOffset>44214</wp:posOffset>
            </wp:positionV>
            <wp:extent cx="58380" cy="72151"/>
            <wp:effectExtent l="0" t="0" r="0" b="0"/>
            <wp:wrapNone/>
            <wp:docPr id="145" name="image13.png"/>
            <wp:cNvGraphicFramePr>
              <a:graphicFrameLocks noChangeAspect="1"/>
            </wp:cNvGraphicFramePr>
            <a:graphic>
              <a:graphicData uri="http://schemas.openxmlformats.org/drawingml/2006/picture">
                <pic:pic>
                  <pic:nvPicPr>
                    <pic:cNvPr id="14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Review</w:t>
      </w:r>
      <w:r>
        <w:rPr>
          <w:spacing w:val="-4"/>
          <w:sz w:val="18"/>
        </w:rPr>
        <w:t> </w:t>
      </w:r>
      <w:r>
        <w:rPr>
          <w:sz w:val="18"/>
        </w:rPr>
        <w:t>letters</w:t>
      </w:r>
      <w:r>
        <w:rPr>
          <w:spacing w:val="-4"/>
          <w:sz w:val="18"/>
        </w:rPr>
        <w:t> </w:t>
      </w:r>
      <w:r>
        <w:rPr>
          <w:sz w:val="18"/>
        </w:rPr>
        <w:t>from</w:t>
      </w:r>
      <w:r>
        <w:rPr>
          <w:spacing w:val="-7"/>
          <w:sz w:val="18"/>
        </w:rPr>
        <w:t> </w:t>
      </w:r>
      <w:r>
        <w:rPr>
          <w:sz w:val="18"/>
        </w:rPr>
        <w:t>specialists/</w:t>
      </w:r>
      <w:r>
        <w:rPr>
          <w:spacing w:val="-3"/>
          <w:sz w:val="18"/>
        </w:rPr>
        <w:t> </w:t>
      </w:r>
      <w:r>
        <w:rPr>
          <w:sz w:val="18"/>
        </w:rPr>
        <w:t>hospital</w:t>
      </w:r>
      <w:r>
        <w:rPr>
          <w:spacing w:val="-3"/>
          <w:sz w:val="18"/>
        </w:rPr>
        <w:t> </w:t>
      </w:r>
      <w:r>
        <w:rPr>
          <w:sz w:val="18"/>
        </w:rPr>
        <w:t>discharge</w:t>
      </w:r>
      <w:r>
        <w:rPr>
          <w:spacing w:val="-3"/>
          <w:sz w:val="18"/>
        </w:rPr>
        <w:t> </w:t>
      </w:r>
      <w:r>
        <w:rPr>
          <w:sz w:val="18"/>
        </w:rPr>
        <w:t>summarised</w:t>
      </w:r>
      <w:r>
        <w:rPr>
          <w:spacing w:val="-4"/>
          <w:sz w:val="18"/>
        </w:rPr>
        <w:t> </w:t>
      </w:r>
      <w:r>
        <w:rPr>
          <w:sz w:val="18"/>
        </w:rPr>
        <w:t>at</w:t>
      </w:r>
      <w:r>
        <w:rPr>
          <w:spacing w:val="-4"/>
          <w:sz w:val="18"/>
        </w:rPr>
        <w:t> </w:t>
      </w:r>
      <w:r>
        <w:rPr>
          <w:sz w:val="18"/>
        </w:rPr>
        <w:t>a</w:t>
      </w:r>
      <w:r>
        <w:rPr>
          <w:spacing w:val="-3"/>
          <w:sz w:val="18"/>
        </w:rPr>
        <w:t> </w:t>
      </w:r>
      <w:r>
        <w:rPr>
          <w:sz w:val="18"/>
        </w:rPr>
        <w:t>patient</w:t>
      </w:r>
      <w:r>
        <w:rPr>
          <w:spacing w:val="-5"/>
          <w:sz w:val="18"/>
        </w:rPr>
        <w:t> </w:t>
      </w:r>
      <w:r>
        <w:rPr>
          <w:sz w:val="18"/>
        </w:rPr>
        <w:t>portal?</w:t>
      </w:r>
      <w:r>
        <w:rPr>
          <w:spacing w:val="46"/>
          <w:sz w:val="18"/>
        </w:rPr>
        <w:t> </w:t>
      </w:r>
      <w:r>
        <w:rPr>
          <w:sz w:val="18"/>
        </w:rPr>
        <w:t>(6)</w:t>
      </w:r>
    </w:p>
    <w:p>
      <w:pPr>
        <w:pStyle w:val="BodyText"/>
        <w:spacing w:before="8"/>
        <w:rPr>
          <w:sz w:val="14"/>
        </w:rPr>
      </w:pPr>
    </w:p>
    <w:p>
      <w:pPr>
        <w:pStyle w:val="ListParagraph"/>
        <w:numPr>
          <w:ilvl w:val="0"/>
          <w:numId w:val="41"/>
        </w:numPr>
        <w:tabs>
          <w:tab w:pos="568" w:val="left" w:leader="none"/>
        </w:tabs>
        <w:spacing w:line="240" w:lineRule="auto" w:before="100" w:after="0"/>
        <w:ind w:left="567" w:right="0" w:hanging="428"/>
        <w:jc w:val="left"/>
        <w:rPr>
          <w:sz w:val="18"/>
        </w:rPr>
      </w:pPr>
      <w:r>
        <w:rPr>
          <w:sz w:val="18"/>
        </w:rPr>
        <w:t>Is</w:t>
      </w:r>
      <w:r>
        <w:rPr>
          <w:spacing w:val="-3"/>
          <w:sz w:val="18"/>
        </w:rPr>
        <w:t> </w:t>
      </w:r>
      <w:r>
        <w:rPr>
          <w:sz w:val="18"/>
        </w:rPr>
        <w:t>there</w:t>
      </w:r>
      <w:r>
        <w:rPr>
          <w:spacing w:val="-1"/>
          <w:sz w:val="18"/>
        </w:rPr>
        <w:t> </w:t>
      </w:r>
      <w:r>
        <w:rPr>
          <w:sz w:val="18"/>
        </w:rPr>
        <w:t>at</w:t>
      </w:r>
      <w:r>
        <w:rPr>
          <w:spacing w:val="-4"/>
          <w:sz w:val="18"/>
        </w:rPr>
        <w:t> </w:t>
      </w:r>
      <w:r>
        <w:rPr>
          <w:sz w:val="18"/>
        </w:rPr>
        <w:t>least</w:t>
      </w:r>
      <w:r>
        <w:rPr>
          <w:spacing w:val="-3"/>
          <w:sz w:val="18"/>
        </w:rPr>
        <w:t> </w:t>
      </w:r>
      <w:r>
        <w:rPr>
          <w:sz w:val="18"/>
        </w:rPr>
        <w:t>one</w:t>
      </w:r>
      <w:r>
        <w:rPr>
          <w:spacing w:val="-1"/>
          <w:sz w:val="18"/>
        </w:rPr>
        <w:t> </w:t>
      </w:r>
      <w:r>
        <w:rPr>
          <w:sz w:val="18"/>
        </w:rPr>
        <w:t>GP</w:t>
      </w:r>
      <w:r>
        <w:rPr>
          <w:spacing w:val="-6"/>
          <w:sz w:val="18"/>
        </w:rPr>
        <w:t> </w:t>
      </w:r>
      <w:r>
        <w:rPr>
          <w:sz w:val="18"/>
        </w:rPr>
        <w:t>in</w:t>
      </w:r>
      <w:r>
        <w:rPr>
          <w:spacing w:val="-1"/>
          <w:sz w:val="18"/>
        </w:rPr>
        <w:t> </w:t>
      </w:r>
      <w:r>
        <w:rPr>
          <w:sz w:val="18"/>
        </w:rPr>
        <w:t>the</w:t>
      </w:r>
      <w:r>
        <w:rPr>
          <w:spacing w:val="-1"/>
          <w:sz w:val="18"/>
        </w:rPr>
        <w:t> </w:t>
      </w:r>
      <w:r>
        <w:rPr>
          <w:sz w:val="18"/>
        </w:rPr>
        <w:t>practice</w:t>
      </w:r>
      <w:r>
        <w:rPr>
          <w:spacing w:val="-4"/>
          <w:sz w:val="18"/>
        </w:rPr>
        <w:t> </w:t>
      </w:r>
      <w:r>
        <w:rPr>
          <w:sz w:val="18"/>
        </w:rPr>
        <w:t>who</w:t>
      </w:r>
      <w:r>
        <w:rPr>
          <w:spacing w:val="-1"/>
          <w:sz w:val="18"/>
        </w:rPr>
        <w:t> </w:t>
      </w:r>
      <w:r>
        <w:rPr>
          <w:sz w:val="18"/>
        </w:rPr>
        <w:t>makes</w:t>
      </w:r>
      <w:r>
        <w:rPr>
          <w:spacing w:val="-2"/>
          <w:sz w:val="18"/>
        </w:rPr>
        <w:t> </w:t>
      </w:r>
      <w:r>
        <w:rPr>
          <w:sz w:val="18"/>
        </w:rPr>
        <w:t>home</w:t>
      </w:r>
      <w:r>
        <w:rPr>
          <w:spacing w:val="-2"/>
          <w:sz w:val="18"/>
        </w:rPr>
        <w:t> </w:t>
      </w:r>
      <w:r>
        <w:rPr>
          <w:sz w:val="18"/>
        </w:rPr>
        <w:t>visits?</w:t>
      </w:r>
    </w:p>
    <w:p>
      <w:pPr>
        <w:pStyle w:val="BodyText"/>
        <w:spacing w:before="10"/>
        <w:rPr>
          <w:sz w:val="14"/>
        </w:rPr>
      </w:pPr>
    </w:p>
    <w:p>
      <w:pPr>
        <w:spacing w:before="100"/>
        <w:ind w:left="1491" w:right="0" w:firstLine="0"/>
        <w:jc w:val="left"/>
        <w:rPr>
          <w:sz w:val="18"/>
        </w:rPr>
      </w:pPr>
      <w:r>
        <w:rPr/>
        <w:drawing>
          <wp:anchor distT="0" distB="0" distL="0" distR="0" allowOverlap="1" layoutInCell="1" locked="0" behindDoc="0" simplePos="0" relativeHeight="15768576">
            <wp:simplePos x="0" y="0"/>
            <wp:positionH relativeFrom="page">
              <wp:posOffset>1102145</wp:posOffset>
            </wp:positionH>
            <wp:positionV relativeFrom="paragraph">
              <wp:posOffset>107333</wp:posOffset>
            </wp:positionV>
            <wp:extent cx="58380" cy="72151"/>
            <wp:effectExtent l="0" t="0" r="0" b="0"/>
            <wp:wrapNone/>
            <wp:docPr id="147" name="image13.png"/>
            <wp:cNvGraphicFramePr>
              <a:graphicFrameLocks noChangeAspect="1"/>
            </wp:cNvGraphicFramePr>
            <a:graphic>
              <a:graphicData uri="http://schemas.openxmlformats.org/drawingml/2006/picture">
                <pic:pic>
                  <pic:nvPicPr>
                    <pic:cNvPr id="14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Yes</w:t>
      </w:r>
      <w:r>
        <w:rPr>
          <w:spacing w:val="49"/>
          <w:sz w:val="18"/>
        </w:rPr>
        <w:t> </w:t>
      </w:r>
      <w:r>
        <w:rPr>
          <w:sz w:val="18"/>
        </w:rPr>
        <w:t>(1)</w:t>
      </w:r>
    </w:p>
    <w:p>
      <w:pPr>
        <w:spacing w:before="0"/>
        <w:ind w:left="1491" w:right="0" w:firstLine="0"/>
        <w:jc w:val="left"/>
        <w:rPr>
          <w:sz w:val="18"/>
        </w:rPr>
      </w:pPr>
      <w:r>
        <w:rPr/>
        <w:drawing>
          <wp:anchor distT="0" distB="0" distL="0" distR="0" allowOverlap="1" layoutInCell="1" locked="0" behindDoc="0" simplePos="0" relativeHeight="15769088">
            <wp:simplePos x="0" y="0"/>
            <wp:positionH relativeFrom="page">
              <wp:posOffset>1102145</wp:posOffset>
            </wp:positionH>
            <wp:positionV relativeFrom="paragraph">
              <wp:posOffset>43833</wp:posOffset>
            </wp:positionV>
            <wp:extent cx="58380" cy="72151"/>
            <wp:effectExtent l="0" t="0" r="0" b="0"/>
            <wp:wrapNone/>
            <wp:docPr id="149" name="image13.png"/>
            <wp:cNvGraphicFramePr>
              <a:graphicFrameLocks noChangeAspect="1"/>
            </wp:cNvGraphicFramePr>
            <a:graphic>
              <a:graphicData uri="http://schemas.openxmlformats.org/drawingml/2006/picture">
                <pic:pic>
                  <pic:nvPicPr>
                    <pic:cNvPr id="15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w:t>
      </w:r>
      <w:r>
        <w:rPr>
          <w:spacing w:val="49"/>
          <w:sz w:val="18"/>
        </w:rPr>
        <w:t> </w:t>
      </w:r>
      <w:r>
        <w:rPr>
          <w:sz w:val="18"/>
        </w:rPr>
        <w:t>(2)</w:t>
      </w:r>
    </w:p>
    <w:p>
      <w:pPr>
        <w:pStyle w:val="BodyText"/>
        <w:spacing w:before="7"/>
        <w:rPr>
          <w:sz w:val="14"/>
        </w:rPr>
      </w:pPr>
    </w:p>
    <w:p>
      <w:pPr>
        <w:spacing w:before="100"/>
        <w:ind w:left="140" w:right="0" w:firstLine="0"/>
        <w:jc w:val="left"/>
        <w:rPr>
          <w:sz w:val="18"/>
        </w:rPr>
      </w:pPr>
      <w:r>
        <w:rPr>
          <w:sz w:val="18"/>
        </w:rPr>
        <w:t>The</w:t>
      </w:r>
      <w:r>
        <w:rPr>
          <w:spacing w:val="-2"/>
          <w:sz w:val="18"/>
        </w:rPr>
        <w:t> </w:t>
      </w:r>
      <w:r>
        <w:rPr>
          <w:sz w:val="18"/>
        </w:rPr>
        <w:t>following</w:t>
      </w:r>
      <w:r>
        <w:rPr>
          <w:spacing w:val="-4"/>
          <w:sz w:val="18"/>
        </w:rPr>
        <w:t> </w:t>
      </w:r>
      <w:r>
        <w:rPr>
          <w:sz w:val="18"/>
        </w:rPr>
        <w:t>questions</w:t>
      </w:r>
      <w:r>
        <w:rPr>
          <w:spacing w:val="-2"/>
          <w:sz w:val="18"/>
        </w:rPr>
        <w:t> </w:t>
      </w:r>
      <w:r>
        <w:rPr>
          <w:sz w:val="18"/>
        </w:rPr>
        <w:t>relate</w:t>
      </w:r>
      <w:r>
        <w:rPr>
          <w:spacing w:val="-2"/>
          <w:sz w:val="18"/>
        </w:rPr>
        <w:t> </w:t>
      </w:r>
      <w:r>
        <w:rPr>
          <w:sz w:val="18"/>
        </w:rPr>
        <w:t>to</w:t>
      </w:r>
      <w:r>
        <w:rPr>
          <w:spacing w:val="-3"/>
          <w:sz w:val="18"/>
        </w:rPr>
        <w:t> </w:t>
      </w:r>
      <w:r>
        <w:rPr>
          <w:sz w:val="18"/>
        </w:rPr>
        <w:t>the</w:t>
      </w:r>
      <w:r>
        <w:rPr>
          <w:spacing w:val="2"/>
          <w:sz w:val="18"/>
        </w:rPr>
        <w:t> </w:t>
      </w:r>
      <w:r>
        <w:rPr>
          <w:i/>
          <w:sz w:val="18"/>
        </w:rPr>
        <w:t>use</w:t>
      </w:r>
      <w:r>
        <w:rPr>
          <w:i/>
          <w:spacing w:val="-2"/>
          <w:sz w:val="18"/>
        </w:rPr>
        <w:t> </w:t>
      </w:r>
      <w:r>
        <w:rPr>
          <w:i/>
          <w:sz w:val="18"/>
        </w:rPr>
        <w:t>of</w:t>
      </w:r>
      <w:r>
        <w:rPr>
          <w:i/>
          <w:spacing w:val="-2"/>
          <w:sz w:val="18"/>
        </w:rPr>
        <w:t> </w:t>
      </w:r>
      <w:r>
        <w:rPr>
          <w:i/>
          <w:sz w:val="18"/>
        </w:rPr>
        <w:t>information</w:t>
      </w:r>
      <w:r>
        <w:rPr>
          <w:i/>
          <w:spacing w:val="-4"/>
          <w:sz w:val="18"/>
        </w:rPr>
        <w:t> </w:t>
      </w:r>
      <w:r>
        <w:rPr>
          <w:i/>
          <w:sz w:val="18"/>
        </w:rPr>
        <w:t>within</w:t>
      </w:r>
      <w:r>
        <w:rPr>
          <w:i/>
          <w:spacing w:val="-4"/>
          <w:sz w:val="18"/>
        </w:rPr>
        <w:t> </w:t>
      </w:r>
      <w:r>
        <w:rPr>
          <w:i/>
          <w:sz w:val="18"/>
        </w:rPr>
        <w:t>the</w:t>
      </w:r>
      <w:r>
        <w:rPr>
          <w:i/>
          <w:spacing w:val="-2"/>
          <w:sz w:val="18"/>
        </w:rPr>
        <w:t> </w:t>
      </w:r>
      <w:r>
        <w:rPr>
          <w:i/>
          <w:sz w:val="18"/>
        </w:rPr>
        <w:t>practice</w:t>
      </w:r>
      <w:r>
        <w:rPr>
          <w:sz w:val="18"/>
        </w:rPr>
        <w:t>.</w:t>
      </w:r>
    </w:p>
    <w:p>
      <w:pPr>
        <w:pStyle w:val="BodyText"/>
        <w:spacing w:before="4"/>
        <w:rPr>
          <w:sz w:val="22"/>
        </w:rPr>
      </w:pPr>
    </w:p>
    <w:p>
      <w:pPr>
        <w:pStyle w:val="ListParagraph"/>
        <w:numPr>
          <w:ilvl w:val="0"/>
          <w:numId w:val="41"/>
        </w:numPr>
        <w:tabs>
          <w:tab w:pos="568" w:val="left" w:leader="none"/>
        </w:tabs>
        <w:spacing w:line="240" w:lineRule="auto" w:before="0" w:after="0"/>
        <w:ind w:left="567" w:right="0" w:hanging="428"/>
        <w:jc w:val="left"/>
        <w:rPr>
          <w:sz w:val="18"/>
        </w:rPr>
      </w:pPr>
      <w:r>
        <w:rPr>
          <w:sz w:val="18"/>
        </w:rPr>
        <w:t>What</w:t>
      </w:r>
      <w:r>
        <w:rPr>
          <w:spacing w:val="-5"/>
          <w:sz w:val="18"/>
        </w:rPr>
        <w:t> </w:t>
      </w:r>
      <w:r>
        <w:rPr>
          <w:sz w:val="18"/>
        </w:rPr>
        <w:t>is</w:t>
      </w:r>
      <w:r>
        <w:rPr>
          <w:spacing w:val="-3"/>
          <w:sz w:val="18"/>
        </w:rPr>
        <w:t> </w:t>
      </w:r>
      <w:r>
        <w:rPr>
          <w:sz w:val="18"/>
        </w:rPr>
        <w:t>the</w:t>
      </w:r>
      <w:r>
        <w:rPr>
          <w:spacing w:val="-2"/>
          <w:sz w:val="18"/>
        </w:rPr>
        <w:t> </w:t>
      </w:r>
      <w:r>
        <w:rPr>
          <w:sz w:val="18"/>
        </w:rPr>
        <w:t>practice</w:t>
      </w:r>
      <w:r>
        <w:rPr>
          <w:spacing w:val="-2"/>
          <w:sz w:val="18"/>
        </w:rPr>
        <w:t> </w:t>
      </w:r>
      <w:r>
        <w:rPr>
          <w:sz w:val="18"/>
        </w:rPr>
        <w:t>management</w:t>
      </w:r>
      <w:r>
        <w:rPr>
          <w:spacing w:val="-4"/>
          <w:sz w:val="18"/>
        </w:rPr>
        <w:t> </w:t>
      </w:r>
      <w:r>
        <w:rPr>
          <w:sz w:val="18"/>
        </w:rPr>
        <w:t>system</w:t>
      </w:r>
      <w:r>
        <w:rPr>
          <w:spacing w:val="-6"/>
          <w:sz w:val="18"/>
        </w:rPr>
        <w:t> </w:t>
      </w:r>
      <w:r>
        <w:rPr>
          <w:sz w:val="18"/>
        </w:rPr>
        <w:t>used</w:t>
      </w:r>
      <w:r>
        <w:rPr>
          <w:spacing w:val="-3"/>
          <w:sz w:val="18"/>
        </w:rPr>
        <w:t> </w:t>
      </w:r>
      <w:r>
        <w:rPr>
          <w:sz w:val="18"/>
        </w:rPr>
        <w:t>in</w:t>
      </w:r>
      <w:r>
        <w:rPr>
          <w:spacing w:val="-2"/>
          <w:sz w:val="18"/>
        </w:rPr>
        <w:t> </w:t>
      </w:r>
      <w:r>
        <w:rPr>
          <w:sz w:val="18"/>
        </w:rPr>
        <w:t>the</w:t>
      </w:r>
      <w:r>
        <w:rPr>
          <w:spacing w:val="-4"/>
          <w:sz w:val="18"/>
        </w:rPr>
        <w:t> </w:t>
      </w:r>
      <w:r>
        <w:rPr>
          <w:sz w:val="18"/>
        </w:rPr>
        <w:t>practice?</w:t>
      </w:r>
    </w:p>
    <w:p>
      <w:pPr>
        <w:pStyle w:val="BodyText"/>
        <w:spacing w:before="6"/>
        <w:rPr>
          <w:sz w:val="14"/>
        </w:rPr>
      </w:pPr>
    </w:p>
    <w:p>
      <w:pPr>
        <w:spacing w:before="101"/>
        <w:ind w:left="1491" w:right="0" w:firstLine="0"/>
        <w:jc w:val="left"/>
        <w:rPr>
          <w:sz w:val="18"/>
        </w:rPr>
      </w:pPr>
      <w:r>
        <w:rPr/>
        <w:drawing>
          <wp:anchor distT="0" distB="0" distL="0" distR="0" allowOverlap="1" layoutInCell="1" locked="0" behindDoc="0" simplePos="0" relativeHeight="15769600">
            <wp:simplePos x="0" y="0"/>
            <wp:positionH relativeFrom="page">
              <wp:posOffset>1102145</wp:posOffset>
            </wp:positionH>
            <wp:positionV relativeFrom="paragraph">
              <wp:posOffset>107968</wp:posOffset>
            </wp:positionV>
            <wp:extent cx="58380" cy="72151"/>
            <wp:effectExtent l="0" t="0" r="0" b="0"/>
            <wp:wrapNone/>
            <wp:docPr id="151" name="image13.png"/>
            <wp:cNvGraphicFramePr>
              <a:graphicFrameLocks noChangeAspect="1"/>
            </wp:cNvGraphicFramePr>
            <a:graphic>
              <a:graphicData uri="http://schemas.openxmlformats.org/drawingml/2006/picture">
                <pic:pic>
                  <pic:nvPicPr>
                    <pic:cNvPr id="15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Medical</w:t>
      </w:r>
      <w:r>
        <w:rPr>
          <w:spacing w:val="-5"/>
          <w:sz w:val="18"/>
        </w:rPr>
        <w:t> </w:t>
      </w:r>
      <w:r>
        <w:rPr>
          <w:sz w:val="18"/>
        </w:rPr>
        <w:t>Director</w:t>
      </w:r>
      <w:r>
        <w:rPr>
          <w:spacing w:val="47"/>
          <w:sz w:val="18"/>
        </w:rPr>
        <w:t> </w:t>
      </w:r>
      <w:r>
        <w:rPr>
          <w:sz w:val="18"/>
        </w:rPr>
        <w:t>(1)</w:t>
      </w:r>
    </w:p>
    <w:p>
      <w:pPr>
        <w:spacing w:before="0"/>
        <w:ind w:left="1491" w:right="0" w:firstLine="0"/>
        <w:jc w:val="left"/>
        <w:rPr>
          <w:sz w:val="18"/>
        </w:rPr>
      </w:pPr>
      <w:r>
        <w:rPr/>
        <w:drawing>
          <wp:anchor distT="0" distB="0" distL="0" distR="0" allowOverlap="1" layoutInCell="1" locked="0" behindDoc="0" simplePos="0" relativeHeight="15770112">
            <wp:simplePos x="0" y="0"/>
            <wp:positionH relativeFrom="page">
              <wp:posOffset>1102145</wp:posOffset>
            </wp:positionH>
            <wp:positionV relativeFrom="paragraph">
              <wp:posOffset>43833</wp:posOffset>
            </wp:positionV>
            <wp:extent cx="58380" cy="72151"/>
            <wp:effectExtent l="0" t="0" r="0" b="0"/>
            <wp:wrapNone/>
            <wp:docPr id="153" name="image13.png"/>
            <wp:cNvGraphicFramePr>
              <a:graphicFrameLocks noChangeAspect="1"/>
            </wp:cNvGraphicFramePr>
            <a:graphic>
              <a:graphicData uri="http://schemas.openxmlformats.org/drawingml/2006/picture">
                <pic:pic>
                  <pic:nvPicPr>
                    <pic:cNvPr id="15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Best</w:t>
      </w:r>
      <w:r>
        <w:rPr>
          <w:spacing w:val="-4"/>
          <w:sz w:val="18"/>
        </w:rPr>
        <w:t> </w:t>
      </w:r>
      <w:r>
        <w:rPr>
          <w:sz w:val="18"/>
        </w:rPr>
        <w:t>Practice</w:t>
      </w:r>
      <w:r>
        <w:rPr>
          <w:spacing w:val="45"/>
          <w:sz w:val="18"/>
        </w:rPr>
        <w:t> </w:t>
      </w:r>
      <w:r>
        <w:rPr>
          <w:sz w:val="18"/>
        </w:rPr>
        <w:t>(2)</w:t>
      </w:r>
    </w:p>
    <w:p>
      <w:pPr>
        <w:spacing w:before="0"/>
        <w:ind w:left="1491" w:right="0" w:firstLine="0"/>
        <w:jc w:val="left"/>
        <w:rPr>
          <w:sz w:val="18"/>
        </w:rPr>
      </w:pPr>
      <w:r>
        <w:rPr/>
        <w:drawing>
          <wp:anchor distT="0" distB="0" distL="0" distR="0" allowOverlap="1" layoutInCell="1" locked="0" behindDoc="0" simplePos="0" relativeHeight="15770624">
            <wp:simplePos x="0" y="0"/>
            <wp:positionH relativeFrom="page">
              <wp:posOffset>1102145</wp:posOffset>
            </wp:positionH>
            <wp:positionV relativeFrom="paragraph">
              <wp:posOffset>43833</wp:posOffset>
            </wp:positionV>
            <wp:extent cx="58380" cy="72151"/>
            <wp:effectExtent l="0" t="0" r="0" b="0"/>
            <wp:wrapNone/>
            <wp:docPr id="155" name="image13.png"/>
            <wp:cNvGraphicFramePr>
              <a:graphicFrameLocks noChangeAspect="1"/>
            </wp:cNvGraphicFramePr>
            <a:graphic>
              <a:graphicData uri="http://schemas.openxmlformats.org/drawingml/2006/picture">
                <pic:pic>
                  <pic:nvPicPr>
                    <pic:cNvPr id="15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Communicare</w:t>
      </w:r>
      <w:r>
        <w:rPr>
          <w:spacing w:val="45"/>
          <w:sz w:val="18"/>
        </w:rPr>
        <w:t> </w:t>
      </w:r>
      <w:r>
        <w:rPr>
          <w:sz w:val="18"/>
        </w:rPr>
        <w:t>(3)</w:t>
      </w:r>
    </w:p>
    <w:p>
      <w:pPr>
        <w:spacing w:before="0"/>
        <w:ind w:left="1491" w:right="0" w:firstLine="0"/>
        <w:jc w:val="left"/>
        <w:rPr>
          <w:sz w:val="18"/>
        </w:rPr>
      </w:pPr>
      <w:r>
        <w:rPr/>
        <w:drawing>
          <wp:anchor distT="0" distB="0" distL="0" distR="0" allowOverlap="1" layoutInCell="1" locked="0" behindDoc="0" simplePos="0" relativeHeight="15771136">
            <wp:simplePos x="0" y="0"/>
            <wp:positionH relativeFrom="page">
              <wp:posOffset>1102145</wp:posOffset>
            </wp:positionH>
            <wp:positionV relativeFrom="paragraph">
              <wp:posOffset>43833</wp:posOffset>
            </wp:positionV>
            <wp:extent cx="58380" cy="72151"/>
            <wp:effectExtent l="0" t="0" r="0" b="0"/>
            <wp:wrapNone/>
            <wp:docPr id="157" name="image13.png"/>
            <wp:cNvGraphicFramePr>
              <a:graphicFrameLocks noChangeAspect="1"/>
            </wp:cNvGraphicFramePr>
            <a:graphic>
              <a:graphicData uri="http://schemas.openxmlformats.org/drawingml/2006/picture">
                <pic:pic>
                  <pic:nvPicPr>
                    <pic:cNvPr id="15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ZedMed</w:t>
      </w:r>
      <w:r>
        <w:rPr>
          <w:spacing w:val="48"/>
          <w:sz w:val="18"/>
        </w:rPr>
        <w:t> </w:t>
      </w:r>
      <w:r>
        <w:rPr>
          <w:sz w:val="18"/>
        </w:rPr>
        <w:t>(4)</w:t>
      </w:r>
    </w:p>
    <w:p>
      <w:pPr>
        <w:spacing w:before="0"/>
        <w:ind w:left="1491" w:right="0" w:firstLine="0"/>
        <w:jc w:val="left"/>
        <w:rPr>
          <w:sz w:val="18"/>
        </w:rPr>
      </w:pPr>
      <w:r>
        <w:rPr/>
        <w:drawing>
          <wp:anchor distT="0" distB="0" distL="0" distR="0" allowOverlap="1" layoutInCell="1" locked="0" behindDoc="0" simplePos="0" relativeHeight="15771648">
            <wp:simplePos x="0" y="0"/>
            <wp:positionH relativeFrom="page">
              <wp:posOffset>1102145</wp:posOffset>
            </wp:positionH>
            <wp:positionV relativeFrom="paragraph">
              <wp:posOffset>43833</wp:posOffset>
            </wp:positionV>
            <wp:extent cx="58380" cy="72151"/>
            <wp:effectExtent l="0" t="0" r="0" b="0"/>
            <wp:wrapNone/>
            <wp:docPr id="159" name="image13.png"/>
            <wp:cNvGraphicFramePr>
              <a:graphicFrameLocks noChangeAspect="1"/>
            </wp:cNvGraphicFramePr>
            <a:graphic>
              <a:graphicData uri="http://schemas.openxmlformats.org/drawingml/2006/picture">
                <pic:pic>
                  <pic:nvPicPr>
                    <pic:cNvPr id="16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Medtech</w:t>
      </w:r>
      <w:r>
        <w:rPr>
          <w:spacing w:val="-3"/>
          <w:sz w:val="18"/>
        </w:rPr>
        <w:t> </w:t>
      </w:r>
      <w:r>
        <w:rPr>
          <w:sz w:val="18"/>
        </w:rPr>
        <w:t>32</w:t>
      </w:r>
      <w:r>
        <w:rPr>
          <w:spacing w:val="48"/>
          <w:sz w:val="18"/>
        </w:rPr>
        <w:t> </w:t>
      </w:r>
      <w:r>
        <w:rPr>
          <w:sz w:val="18"/>
        </w:rPr>
        <w:t>(5)</w:t>
      </w:r>
    </w:p>
    <w:p>
      <w:pPr>
        <w:spacing w:before="0"/>
        <w:ind w:left="1491" w:right="0" w:firstLine="0"/>
        <w:jc w:val="left"/>
        <w:rPr>
          <w:sz w:val="18"/>
        </w:rPr>
      </w:pPr>
      <w:r>
        <w:rPr/>
        <w:drawing>
          <wp:anchor distT="0" distB="0" distL="0" distR="0" allowOverlap="1" layoutInCell="1" locked="0" behindDoc="0" simplePos="0" relativeHeight="15772160">
            <wp:simplePos x="0" y="0"/>
            <wp:positionH relativeFrom="page">
              <wp:posOffset>1102145</wp:posOffset>
            </wp:positionH>
            <wp:positionV relativeFrom="paragraph">
              <wp:posOffset>43833</wp:posOffset>
            </wp:positionV>
            <wp:extent cx="58380" cy="72151"/>
            <wp:effectExtent l="0" t="0" r="0" b="0"/>
            <wp:wrapNone/>
            <wp:docPr id="161" name="image13.png"/>
            <wp:cNvGraphicFramePr>
              <a:graphicFrameLocks noChangeAspect="1"/>
            </wp:cNvGraphicFramePr>
            <a:graphic>
              <a:graphicData uri="http://schemas.openxmlformats.org/drawingml/2006/picture">
                <pic:pic>
                  <pic:nvPicPr>
                    <pic:cNvPr id="16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MMEx</w:t>
      </w:r>
      <w:r>
        <w:rPr>
          <w:spacing w:val="1"/>
          <w:sz w:val="18"/>
        </w:rPr>
        <w:t> </w:t>
      </w:r>
      <w:r>
        <w:rPr>
          <w:sz w:val="18"/>
        </w:rPr>
        <w:t>(6)</w:t>
      </w:r>
    </w:p>
    <w:p>
      <w:pPr>
        <w:tabs>
          <w:tab w:pos="6733" w:val="left" w:leader="none"/>
        </w:tabs>
        <w:spacing w:before="1"/>
        <w:ind w:left="1491" w:right="0" w:firstLine="0"/>
        <w:jc w:val="left"/>
        <w:rPr>
          <w:sz w:val="18"/>
        </w:rPr>
      </w:pPr>
      <w:r>
        <w:rPr/>
        <w:drawing>
          <wp:anchor distT="0" distB="0" distL="0" distR="0" allowOverlap="1" layoutInCell="1" locked="0" behindDoc="0" simplePos="0" relativeHeight="15772672">
            <wp:simplePos x="0" y="0"/>
            <wp:positionH relativeFrom="page">
              <wp:posOffset>1102145</wp:posOffset>
            </wp:positionH>
            <wp:positionV relativeFrom="paragraph">
              <wp:posOffset>44214</wp:posOffset>
            </wp:positionV>
            <wp:extent cx="58380" cy="72151"/>
            <wp:effectExtent l="0" t="0" r="0" b="0"/>
            <wp:wrapNone/>
            <wp:docPr id="163" name="image13.png"/>
            <wp:cNvGraphicFramePr>
              <a:graphicFrameLocks noChangeAspect="1"/>
            </wp:cNvGraphicFramePr>
            <a:graphic>
              <a:graphicData uri="http://schemas.openxmlformats.org/drawingml/2006/picture">
                <pic:pic>
                  <pic:nvPicPr>
                    <pic:cNvPr id="16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Other</w:t>
      </w:r>
      <w:r>
        <w:rPr>
          <w:spacing w:val="47"/>
          <w:sz w:val="18"/>
        </w:rPr>
        <w:t> </w:t>
      </w:r>
      <w:r>
        <w:rPr>
          <w:sz w:val="18"/>
        </w:rPr>
        <w:t>(7) </w:t>
      </w:r>
      <w:r>
        <w:rPr>
          <w:sz w:val="18"/>
          <w:u w:val="single" w:color="BDBDBD"/>
        </w:rPr>
        <w:t> </w:t>
        <w:tab/>
      </w:r>
    </w:p>
    <w:p>
      <w:pPr>
        <w:spacing w:after="0"/>
        <w:jc w:val="left"/>
        <w:rPr>
          <w:sz w:val="18"/>
        </w:rPr>
        <w:sectPr>
          <w:pgSz w:w="11910" w:h="16840"/>
          <w:pgMar w:header="0" w:footer="906" w:top="860" w:bottom="1140" w:left="580" w:right="280"/>
        </w:sectPr>
      </w:pPr>
    </w:p>
    <w:p>
      <w:pPr>
        <w:pStyle w:val="ListParagraph"/>
        <w:numPr>
          <w:ilvl w:val="0"/>
          <w:numId w:val="41"/>
        </w:numPr>
        <w:tabs>
          <w:tab w:pos="568" w:val="left" w:leader="none"/>
        </w:tabs>
        <w:spacing w:line="240" w:lineRule="auto" w:before="75" w:after="0"/>
        <w:ind w:left="567" w:right="543" w:hanging="428"/>
        <w:jc w:val="left"/>
        <w:rPr>
          <w:sz w:val="18"/>
        </w:rPr>
      </w:pPr>
      <w:r>
        <w:rPr>
          <w:sz w:val="18"/>
        </w:rPr>
        <w:t>Prior to the commencement of the HCH program, had the practice/service implemented a software application</w:t>
      </w:r>
      <w:r>
        <w:rPr>
          <w:spacing w:val="1"/>
          <w:sz w:val="18"/>
        </w:rPr>
        <w:t> </w:t>
      </w:r>
      <w:r>
        <w:rPr>
          <w:sz w:val="18"/>
        </w:rPr>
        <w:t>or participated in a system to assist clinical data auditing/review, benchmarking with other services?</w:t>
      </w:r>
      <w:r>
        <w:rPr>
          <w:spacing w:val="1"/>
          <w:sz w:val="18"/>
        </w:rPr>
        <w:t> </w:t>
      </w:r>
      <w:r>
        <w:rPr>
          <w:sz w:val="18"/>
        </w:rPr>
        <w:t>(Select more</w:t>
      </w:r>
      <w:r>
        <w:rPr>
          <w:spacing w:val="-47"/>
          <w:sz w:val="18"/>
        </w:rPr>
        <w:t> </w:t>
      </w:r>
      <w:r>
        <w:rPr>
          <w:sz w:val="18"/>
        </w:rPr>
        <w:t>than</w:t>
      </w:r>
      <w:r>
        <w:rPr>
          <w:spacing w:val="-1"/>
          <w:sz w:val="18"/>
        </w:rPr>
        <w:t> </w:t>
      </w:r>
      <w:r>
        <w:rPr>
          <w:sz w:val="18"/>
        </w:rPr>
        <w:t>one</w:t>
      </w:r>
      <w:r>
        <w:rPr>
          <w:spacing w:val="-2"/>
          <w:sz w:val="18"/>
        </w:rPr>
        <w:t> </w:t>
      </w:r>
      <w:r>
        <w:rPr>
          <w:sz w:val="18"/>
        </w:rPr>
        <w:t>if this</w:t>
      </w:r>
      <w:r>
        <w:rPr>
          <w:spacing w:val="-1"/>
          <w:sz w:val="18"/>
        </w:rPr>
        <w:t> </w:t>
      </w:r>
      <w:r>
        <w:rPr>
          <w:sz w:val="18"/>
        </w:rPr>
        <w:t>applies)</w:t>
      </w:r>
    </w:p>
    <w:p>
      <w:pPr>
        <w:pStyle w:val="BodyText"/>
        <w:spacing w:before="8"/>
        <w:rPr>
          <w:sz w:val="14"/>
        </w:rPr>
      </w:pPr>
    </w:p>
    <w:p>
      <w:pPr>
        <w:spacing w:before="100"/>
        <w:ind w:left="1491" w:right="0" w:firstLine="0"/>
        <w:jc w:val="left"/>
        <w:rPr>
          <w:sz w:val="18"/>
        </w:rPr>
      </w:pPr>
      <w:r>
        <w:rPr/>
        <w:drawing>
          <wp:anchor distT="0" distB="0" distL="0" distR="0" allowOverlap="1" layoutInCell="1" locked="0" behindDoc="0" simplePos="0" relativeHeight="15773696">
            <wp:simplePos x="0" y="0"/>
            <wp:positionH relativeFrom="page">
              <wp:posOffset>1102145</wp:posOffset>
            </wp:positionH>
            <wp:positionV relativeFrom="paragraph">
              <wp:posOffset>108156</wp:posOffset>
            </wp:positionV>
            <wp:extent cx="58380" cy="73869"/>
            <wp:effectExtent l="0" t="0" r="0" b="0"/>
            <wp:wrapNone/>
            <wp:docPr id="165" name="image14.png"/>
            <wp:cNvGraphicFramePr>
              <a:graphicFrameLocks noChangeAspect="1"/>
            </wp:cNvGraphicFramePr>
            <a:graphic>
              <a:graphicData uri="http://schemas.openxmlformats.org/drawingml/2006/picture">
                <pic:pic>
                  <pic:nvPicPr>
                    <pic:cNvPr id="166"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PenCAT/</w:t>
      </w:r>
      <w:r>
        <w:rPr>
          <w:spacing w:val="-1"/>
          <w:sz w:val="18"/>
        </w:rPr>
        <w:t> </w:t>
      </w:r>
      <w:r>
        <w:rPr>
          <w:sz w:val="18"/>
        </w:rPr>
        <w:t>TopBar</w:t>
      </w:r>
      <w:r>
        <w:rPr>
          <w:spacing w:val="46"/>
          <w:sz w:val="18"/>
        </w:rPr>
        <w:t> </w:t>
      </w:r>
      <w:r>
        <w:rPr>
          <w:sz w:val="18"/>
        </w:rPr>
        <w:t>(1)</w:t>
      </w:r>
    </w:p>
    <w:p>
      <w:pPr>
        <w:spacing w:before="0"/>
        <w:ind w:left="1491" w:right="0" w:firstLine="0"/>
        <w:jc w:val="left"/>
        <w:rPr>
          <w:sz w:val="18"/>
        </w:rPr>
      </w:pPr>
      <w:r>
        <w:rPr/>
        <w:drawing>
          <wp:anchor distT="0" distB="0" distL="0" distR="0" allowOverlap="1" layoutInCell="1" locked="0" behindDoc="0" simplePos="0" relativeHeight="15774208">
            <wp:simplePos x="0" y="0"/>
            <wp:positionH relativeFrom="page">
              <wp:posOffset>1102145</wp:posOffset>
            </wp:positionH>
            <wp:positionV relativeFrom="paragraph">
              <wp:posOffset>44851</wp:posOffset>
            </wp:positionV>
            <wp:extent cx="58380" cy="72150"/>
            <wp:effectExtent l="0" t="0" r="0" b="0"/>
            <wp:wrapNone/>
            <wp:docPr id="167" name="image13.png"/>
            <wp:cNvGraphicFramePr>
              <a:graphicFrameLocks noChangeAspect="1"/>
            </wp:cNvGraphicFramePr>
            <a:graphic>
              <a:graphicData uri="http://schemas.openxmlformats.org/drawingml/2006/picture">
                <pic:pic>
                  <pic:nvPicPr>
                    <pic:cNvPr id="168" name="image13.png"/>
                    <pic:cNvPicPr/>
                  </pic:nvPicPr>
                  <pic:blipFill>
                    <a:blip r:embed="rId41" cstate="print"/>
                    <a:stretch>
                      <a:fillRect/>
                    </a:stretch>
                  </pic:blipFill>
                  <pic:spPr>
                    <a:xfrm>
                      <a:off x="0" y="0"/>
                      <a:ext cx="58380" cy="72150"/>
                    </a:xfrm>
                    <a:prstGeom prst="rect">
                      <a:avLst/>
                    </a:prstGeom>
                  </pic:spPr>
                </pic:pic>
              </a:graphicData>
            </a:graphic>
          </wp:anchor>
        </w:drawing>
      </w:r>
      <w:r>
        <w:rPr>
          <w:sz w:val="18"/>
        </w:rPr>
        <w:t>Polar</w:t>
      </w:r>
      <w:r>
        <w:rPr>
          <w:spacing w:val="-2"/>
          <w:sz w:val="18"/>
        </w:rPr>
        <w:t> </w:t>
      </w:r>
      <w:r>
        <w:rPr>
          <w:sz w:val="18"/>
        </w:rPr>
        <w:t>GP</w:t>
      </w:r>
      <w:r>
        <w:rPr>
          <w:spacing w:val="47"/>
          <w:sz w:val="18"/>
        </w:rPr>
        <w:t> </w:t>
      </w:r>
      <w:r>
        <w:rPr>
          <w:sz w:val="18"/>
        </w:rPr>
        <w:t>(2)</w:t>
      </w:r>
    </w:p>
    <w:p>
      <w:pPr>
        <w:spacing w:before="0"/>
        <w:ind w:left="1491" w:right="0" w:firstLine="0"/>
        <w:jc w:val="left"/>
        <w:rPr>
          <w:sz w:val="18"/>
        </w:rPr>
      </w:pPr>
      <w:r>
        <w:rPr/>
        <w:drawing>
          <wp:anchor distT="0" distB="0" distL="0" distR="0" allowOverlap="1" layoutInCell="1" locked="0" behindDoc="0" simplePos="0" relativeHeight="15774720">
            <wp:simplePos x="0" y="0"/>
            <wp:positionH relativeFrom="page">
              <wp:posOffset>1102145</wp:posOffset>
            </wp:positionH>
            <wp:positionV relativeFrom="paragraph">
              <wp:posOffset>44850</wp:posOffset>
            </wp:positionV>
            <wp:extent cx="58380" cy="72151"/>
            <wp:effectExtent l="0" t="0" r="0" b="0"/>
            <wp:wrapNone/>
            <wp:docPr id="169" name="image13.png"/>
            <wp:cNvGraphicFramePr>
              <a:graphicFrameLocks noChangeAspect="1"/>
            </wp:cNvGraphicFramePr>
            <a:graphic>
              <a:graphicData uri="http://schemas.openxmlformats.org/drawingml/2006/picture">
                <pic:pic>
                  <pic:nvPicPr>
                    <pic:cNvPr id="17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NPS</w:t>
      </w:r>
      <w:r>
        <w:rPr>
          <w:spacing w:val="-5"/>
          <w:sz w:val="18"/>
        </w:rPr>
        <w:t> </w:t>
      </w:r>
      <w:r>
        <w:rPr>
          <w:sz w:val="18"/>
        </w:rPr>
        <w:t>MedicineWise</w:t>
      </w:r>
      <w:r>
        <w:rPr>
          <w:spacing w:val="46"/>
          <w:sz w:val="18"/>
        </w:rPr>
        <w:t> </w:t>
      </w:r>
      <w:r>
        <w:rPr>
          <w:sz w:val="18"/>
        </w:rPr>
        <w:t>(3)</w:t>
      </w:r>
    </w:p>
    <w:p>
      <w:pPr>
        <w:tabs>
          <w:tab w:pos="8091" w:val="left" w:leader="none"/>
        </w:tabs>
        <w:spacing w:before="0"/>
        <w:ind w:left="1491" w:right="0" w:firstLine="0"/>
        <w:jc w:val="left"/>
        <w:rPr>
          <w:sz w:val="18"/>
        </w:rPr>
      </w:pPr>
      <w:r>
        <w:rPr/>
        <w:drawing>
          <wp:anchor distT="0" distB="0" distL="0" distR="0" allowOverlap="1" layoutInCell="1" locked="0" behindDoc="0" simplePos="0" relativeHeight="15775232">
            <wp:simplePos x="0" y="0"/>
            <wp:positionH relativeFrom="page">
              <wp:posOffset>1102145</wp:posOffset>
            </wp:positionH>
            <wp:positionV relativeFrom="paragraph">
              <wp:posOffset>44849</wp:posOffset>
            </wp:positionV>
            <wp:extent cx="58380" cy="72151"/>
            <wp:effectExtent l="0" t="0" r="0" b="0"/>
            <wp:wrapNone/>
            <wp:docPr id="171" name="image13.png"/>
            <wp:cNvGraphicFramePr>
              <a:graphicFrameLocks noChangeAspect="1"/>
            </wp:cNvGraphicFramePr>
            <a:graphic>
              <a:graphicData uri="http://schemas.openxmlformats.org/drawingml/2006/picture">
                <pic:pic>
                  <pic:nvPicPr>
                    <pic:cNvPr id="17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Other,</w:t>
      </w:r>
      <w:r>
        <w:rPr>
          <w:spacing w:val="-6"/>
          <w:sz w:val="18"/>
        </w:rPr>
        <w:t> </w:t>
      </w:r>
      <w:r>
        <w:rPr>
          <w:sz w:val="18"/>
        </w:rPr>
        <w:t>please</w:t>
      </w:r>
      <w:r>
        <w:rPr>
          <w:spacing w:val="-3"/>
          <w:sz w:val="18"/>
        </w:rPr>
        <w:t> </w:t>
      </w:r>
      <w:r>
        <w:rPr>
          <w:sz w:val="18"/>
        </w:rPr>
        <w:t>specify</w:t>
      </w:r>
      <w:r>
        <w:rPr>
          <w:spacing w:val="45"/>
          <w:sz w:val="18"/>
        </w:rPr>
        <w:t> </w:t>
      </w:r>
      <w:r>
        <w:rPr>
          <w:sz w:val="18"/>
        </w:rPr>
        <w:t>(6)</w:t>
      </w:r>
      <w:r>
        <w:rPr>
          <w:spacing w:val="1"/>
          <w:sz w:val="18"/>
        </w:rPr>
        <w:t> </w:t>
      </w:r>
      <w:r>
        <w:rPr>
          <w:sz w:val="18"/>
          <w:u w:val="single" w:color="BDBDBD"/>
        </w:rPr>
        <w:t> </w:t>
        <w:tab/>
      </w:r>
    </w:p>
    <w:p>
      <w:pPr>
        <w:pStyle w:val="BodyText"/>
        <w:spacing w:before="9"/>
        <w:rPr>
          <w:sz w:val="14"/>
        </w:rPr>
      </w:pPr>
    </w:p>
    <w:p>
      <w:pPr>
        <w:pStyle w:val="ListParagraph"/>
        <w:numPr>
          <w:ilvl w:val="0"/>
          <w:numId w:val="41"/>
        </w:numPr>
        <w:tabs>
          <w:tab w:pos="568" w:val="left" w:leader="none"/>
        </w:tabs>
        <w:spacing w:line="240" w:lineRule="auto" w:before="100" w:after="0"/>
        <w:ind w:left="567" w:right="0" w:hanging="428"/>
        <w:jc w:val="left"/>
        <w:rPr>
          <w:sz w:val="18"/>
        </w:rPr>
      </w:pPr>
      <w:r>
        <w:rPr>
          <w:sz w:val="18"/>
        </w:rPr>
        <w:t>Shared</w:t>
      </w:r>
      <w:r>
        <w:rPr>
          <w:spacing w:val="-5"/>
          <w:sz w:val="18"/>
        </w:rPr>
        <w:t> </w:t>
      </w:r>
      <w:r>
        <w:rPr>
          <w:sz w:val="18"/>
        </w:rPr>
        <w:t>care</w:t>
      </w:r>
      <w:r>
        <w:rPr>
          <w:spacing w:val="-3"/>
          <w:sz w:val="18"/>
        </w:rPr>
        <w:t> </w:t>
      </w:r>
      <w:r>
        <w:rPr>
          <w:sz w:val="18"/>
        </w:rPr>
        <w:t>plan</w:t>
      </w:r>
      <w:r>
        <w:rPr>
          <w:spacing w:val="-3"/>
          <w:sz w:val="18"/>
        </w:rPr>
        <w:t> </w:t>
      </w:r>
      <w:r>
        <w:rPr>
          <w:sz w:val="18"/>
        </w:rPr>
        <w:t>software:</w:t>
      </w:r>
    </w:p>
    <w:p>
      <w:pPr>
        <w:pStyle w:val="BodyText"/>
        <w:spacing w:before="7"/>
        <w:rPr>
          <w:sz w:val="19"/>
        </w:rPr>
      </w:pPr>
    </w:p>
    <w:p>
      <w:pPr>
        <w:pStyle w:val="ListParagraph"/>
        <w:numPr>
          <w:ilvl w:val="1"/>
          <w:numId w:val="41"/>
        </w:numPr>
        <w:tabs>
          <w:tab w:pos="1135" w:val="left" w:leader="none"/>
        </w:tabs>
        <w:spacing w:line="240" w:lineRule="auto" w:before="1" w:after="0"/>
        <w:ind w:left="1134" w:right="1150" w:hanging="286"/>
        <w:jc w:val="left"/>
        <w:rPr>
          <w:sz w:val="18"/>
        </w:rPr>
      </w:pPr>
      <w:r>
        <w:rPr>
          <w:sz w:val="18"/>
        </w:rPr>
        <w:t>Prior</w:t>
      </w:r>
      <w:r>
        <w:rPr>
          <w:spacing w:val="-5"/>
          <w:sz w:val="18"/>
        </w:rPr>
        <w:t> </w:t>
      </w:r>
      <w:r>
        <w:rPr>
          <w:sz w:val="18"/>
        </w:rPr>
        <w:t>to</w:t>
      </w:r>
      <w:r>
        <w:rPr>
          <w:spacing w:val="-3"/>
          <w:sz w:val="18"/>
        </w:rPr>
        <w:t> </w:t>
      </w:r>
      <w:r>
        <w:rPr>
          <w:sz w:val="18"/>
        </w:rPr>
        <w:t>the</w:t>
      </w:r>
      <w:r>
        <w:rPr>
          <w:spacing w:val="-3"/>
          <w:sz w:val="18"/>
        </w:rPr>
        <w:t> </w:t>
      </w:r>
      <w:r>
        <w:rPr>
          <w:sz w:val="18"/>
        </w:rPr>
        <w:t>commencement</w:t>
      </w:r>
      <w:r>
        <w:rPr>
          <w:spacing w:val="-4"/>
          <w:sz w:val="18"/>
        </w:rPr>
        <w:t> </w:t>
      </w:r>
      <w:r>
        <w:rPr>
          <w:sz w:val="18"/>
        </w:rPr>
        <w:t>of</w:t>
      </w:r>
      <w:r>
        <w:rPr>
          <w:spacing w:val="-1"/>
          <w:sz w:val="18"/>
        </w:rPr>
        <w:t> </w:t>
      </w:r>
      <w:r>
        <w:rPr>
          <w:sz w:val="18"/>
        </w:rPr>
        <w:t>the</w:t>
      </w:r>
      <w:r>
        <w:rPr>
          <w:spacing w:val="-3"/>
          <w:sz w:val="18"/>
        </w:rPr>
        <w:t> </w:t>
      </w:r>
      <w:r>
        <w:rPr>
          <w:sz w:val="18"/>
        </w:rPr>
        <w:t>HCH</w:t>
      </w:r>
      <w:r>
        <w:rPr>
          <w:spacing w:val="-3"/>
          <w:sz w:val="18"/>
        </w:rPr>
        <w:t> </w:t>
      </w:r>
      <w:r>
        <w:rPr>
          <w:sz w:val="18"/>
        </w:rPr>
        <w:t>program,</w:t>
      </w:r>
      <w:r>
        <w:rPr>
          <w:spacing w:val="-4"/>
          <w:sz w:val="18"/>
        </w:rPr>
        <w:t> </w:t>
      </w:r>
      <w:r>
        <w:rPr>
          <w:sz w:val="18"/>
        </w:rPr>
        <w:t>had</w:t>
      </w:r>
      <w:r>
        <w:rPr>
          <w:spacing w:val="-4"/>
          <w:sz w:val="18"/>
        </w:rPr>
        <w:t> </w:t>
      </w:r>
      <w:r>
        <w:rPr>
          <w:sz w:val="18"/>
        </w:rPr>
        <w:t>the</w:t>
      </w:r>
      <w:r>
        <w:rPr>
          <w:spacing w:val="-2"/>
          <w:sz w:val="18"/>
        </w:rPr>
        <w:t> </w:t>
      </w:r>
      <w:r>
        <w:rPr>
          <w:sz w:val="18"/>
        </w:rPr>
        <w:t>practice/service</w:t>
      </w:r>
      <w:r>
        <w:rPr>
          <w:spacing w:val="-7"/>
          <w:sz w:val="18"/>
        </w:rPr>
        <w:t> </w:t>
      </w:r>
      <w:r>
        <w:rPr>
          <w:sz w:val="18"/>
        </w:rPr>
        <w:t>implemented</w:t>
      </w:r>
      <w:r>
        <w:rPr>
          <w:spacing w:val="-3"/>
          <w:sz w:val="18"/>
        </w:rPr>
        <w:t> </w:t>
      </w:r>
      <w:r>
        <w:rPr>
          <w:sz w:val="18"/>
        </w:rPr>
        <w:t>a</w:t>
      </w:r>
      <w:r>
        <w:rPr>
          <w:spacing w:val="-2"/>
          <w:sz w:val="18"/>
        </w:rPr>
        <w:t> </w:t>
      </w:r>
      <w:r>
        <w:rPr>
          <w:sz w:val="18"/>
        </w:rPr>
        <w:t>software</w:t>
      </w:r>
      <w:r>
        <w:rPr>
          <w:spacing w:val="-47"/>
          <w:sz w:val="18"/>
        </w:rPr>
        <w:t> </w:t>
      </w:r>
      <w:r>
        <w:rPr>
          <w:sz w:val="18"/>
        </w:rPr>
        <w:t>application</w:t>
      </w:r>
      <w:r>
        <w:rPr>
          <w:spacing w:val="-4"/>
          <w:sz w:val="18"/>
        </w:rPr>
        <w:t> </w:t>
      </w:r>
      <w:r>
        <w:rPr>
          <w:sz w:val="18"/>
        </w:rPr>
        <w:t>to</w:t>
      </w:r>
      <w:r>
        <w:rPr>
          <w:spacing w:val="-1"/>
          <w:sz w:val="18"/>
        </w:rPr>
        <w:t> </w:t>
      </w:r>
      <w:r>
        <w:rPr>
          <w:sz w:val="18"/>
        </w:rPr>
        <w:t>assist</w:t>
      </w:r>
      <w:r>
        <w:rPr>
          <w:spacing w:val="-2"/>
          <w:sz w:val="18"/>
        </w:rPr>
        <w:t> </w:t>
      </w:r>
      <w:r>
        <w:rPr>
          <w:sz w:val="18"/>
        </w:rPr>
        <w:t>with</w:t>
      </w:r>
      <w:r>
        <w:rPr>
          <w:spacing w:val="-1"/>
          <w:sz w:val="18"/>
        </w:rPr>
        <w:t> </w:t>
      </w:r>
      <w:r>
        <w:rPr>
          <w:sz w:val="18"/>
        </w:rPr>
        <w:t>preparing</w:t>
      </w:r>
      <w:r>
        <w:rPr>
          <w:spacing w:val="-2"/>
          <w:sz w:val="18"/>
        </w:rPr>
        <w:t> </w:t>
      </w:r>
      <w:r>
        <w:rPr>
          <w:sz w:val="18"/>
        </w:rPr>
        <w:t>shared</w:t>
      </w:r>
      <w:r>
        <w:rPr>
          <w:spacing w:val="-1"/>
          <w:sz w:val="18"/>
        </w:rPr>
        <w:t> </w:t>
      </w:r>
      <w:r>
        <w:rPr>
          <w:sz w:val="18"/>
        </w:rPr>
        <w:t>care plans?</w:t>
      </w:r>
    </w:p>
    <w:p>
      <w:pPr>
        <w:pStyle w:val="BodyText"/>
        <w:spacing w:before="6"/>
        <w:rPr>
          <w:sz w:val="14"/>
        </w:rPr>
      </w:pPr>
    </w:p>
    <w:p>
      <w:pPr>
        <w:tabs>
          <w:tab w:pos="9432" w:val="left" w:leader="none"/>
        </w:tabs>
        <w:spacing w:before="101"/>
        <w:ind w:left="1558" w:right="1612" w:firstLine="0"/>
        <w:jc w:val="left"/>
        <w:rPr>
          <w:sz w:val="18"/>
        </w:rPr>
      </w:pPr>
      <w:r>
        <w:rPr/>
        <w:drawing>
          <wp:anchor distT="0" distB="0" distL="0" distR="0" allowOverlap="1" layoutInCell="1" locked="0" behindDoc="0" simplePos="0" relativeHeight="15775744">
            <wp:simplePos x="0" y="0"/>
            <wp:positionH relativeFrom="page">
              <wp:posOffset>1103669</wp:posOffset>
            </wp:positionH>
            <wp:positionV relativeFrom="paragraph">
              <wp:posOffset>108791</wp:posOffset>
            </wp:positionV>
            <wp:extent cx="58380" cy="73869"/>
            <wp:effectExtent l="0" t="0" r="0" b="0"/>
            <wp:wrapNone/>
            <wp:docPr id="173" name="image14.png"/>
            <wp:cNvGraphicFramePr>
              <a:graphicFrameLocks noChangeAspect="1"/>
            </wp:cNvGraphicFramePr>
            <a:graphic>
              <a:graphicData uri="http://schemas.openxmlformats.org/drawingml/2006/picture">
                <pic:pic>
                  <pic:nvPicPr>
                    <pic:cNvPr id="174" name="image14.png"/>
                    <pic:cNvPicPr/>
                  </pic:nvPicPr>
                  <pic:blipFill>
                    <a:blip r:embed="rId43" cstate="print"/>
                    <a:stretch>
                      <a:fillRect/>
                    </a:stretch>
                  </pic:blipFill>
                  <pic:spPr>
                    <a:xfrm>
                      <a:off x="0" y="0"/>
                      <a:ext cx="58380" cy="73869"/>
                    </a:xfrm>
                    <a:prstGeom prst="rect">
                      <a:avLst/>
                    </a:prstGeom>
                  </pic:spPr>
                </pic:pic>
              </a:graphicData>
            </a:graphic>
          </wp:anchor>
        </w:drawing>
      </w:r>
      <w:r>
        <w:rPr/>
        <w:drawing>
          <wp:anchor distT="0" distB="0" distL="0" distR="0" allowOverlap="1" layoutInCell="1" locked="0" behindDoc="0" simplePos="0" relativeHeight="15776256">
            <wp:simplePos x="0" y="0"/>
            <wp:positionH relativeFrom="page">
              <wp:posOffset>1103669</wp:posOffset>
            </wp:positionH>
            <wp:positionV relativeFrom="paragraph">
              <wp:posOffset>249193</wp:posOffset>
            </wp:positionV>
            <wp:extent cx="58380" cy="72150"/>
            <wp:effectExtent l="0" t="0" r="0" b="0"/>
            <wp:wrapNone/>
            <wp:docPr id="175" name="image13.png"/>
            <wp:cNvGraphicFramePr>
              <a:graphicFrameLocks noChangeAspect="1"/>
            </wp:cNvGraphicFramePr>
            <a:graphic>
              <a:graphicData uri="http://schemas.openxmlformats.org/drawingml/2006/picture">
                <pic:pic>
                  <pic:nvPicPr>
                    <pic:cNvPr id="176" name="image13.png"/>
                    <pic:cNvPicPr/>
                  </pic:nvPicPr>
                  <pic:blipFill>
                    <a:blip r:embed="rId41" cstate="print"/>
                    <a:stretch>
                      <a:fillRect/>
                    </a:stretch>
                  </pic:blipFill>
                  <pic:spPr>
                    <a:xfrm>
                      <a:off x="0" y="0"/>
                      <a:ext cx="58380" cy="72150"/>
                    </a:xfrm>
                    <a:prstGeom prst="rect">
                      <a:avLst/>
                    </a:prstGeom>
                  </pic:spPr>
                </pic:pic>
              </a:graphicData>
            </a:graphic>
          </wp:anchor>
        </w:drawing>
      </w:r>
      <w:r>
        <w:rPr>
          <w:sz w:val="18"/>
        </w:rPr>
        <w:t>Yes,</w:t>
      </w:r>
      <w:r>
        <w:rPr>
          <w:spacing w:val="-5"/>
          <w:sz w:val="18"/>
        </w:rPr>
        <w:t> </w:t>
      </w:r>
      <w:r>
        <w:rPr>
          <w:sz w:val="18"/>
        </w:rPr>
        <w:t>please</w:t>
      </w:r>
      <w:r>
        <w:rPr>
          <w:spacing w:val="-3"/>
          <w:sz w:val="18"/>
        </w:rPr>
        <w:t> </w:t>
      </w:r>
      <w:r>
        <w:rPr>
          <w:sz w:val="18"/>
        </w:rPr>
        <w:t>provide</w:t>
      </w:r>
      <w:r>
        <w:rPr>
          <w:spacing w:val="-2"/>
          <w:sz w:val="18"/>
        </w:rPr>
        <w:t> </w:t>
      </w:r>
      <w:r>
        <w:rPr>
          <w:sz w:val="18"/>
        </w:rPr>
        <w:t>name</w:t>
      </w:r>
      <w:r>
        <w:rPr>
          <w:spacing w:val="-3"/>
          <w:sz w:val="18"/>
        </w:rPr>
        <w:t> </w:t>
      </w:r>
      <w:r>
        <w:rPr>
          <w:sz w:val="18"/>
        </w:rPr>
        <w:t>of</w:t>
      </w:r>
      <w:r>
        <w:rPr>
          <w:spacing w:val="-2"/>
          <w:sz w:val="18"/>
        </w:rPr>
        <w:t> </w:t>
      </w:r>
      <w:r>
        <w:rPr>
          <w:sz w:val="18"/>
        </w:rPr>
        <w:t>system</w:t>
      </w:r>
      <w:r>
        <w:rPr>
          <w:spacing w:val="44"/>
          <w:sz w:val="18"/>
        </w:rPr>
        <w:t> </w:t>
      </w:r>
      <w:r>
        <w:rPr>
          <w:sz w:val="18"/>
        </w:rPr>
        <w:t>(2)</w:t>
      </w:r>
      <w:r>
        <w:rPr>
          <w:spacing w:val="2"/>
          <w:sz w:val="18"/>
        </w:rPr>
        <w:t> </w:t>
      </w:r>
      <w:r>
        <w:rPr>
          <w:sz w:val="18"/>
          <w:u w:val="single" w:color="BDBDBD"/>
        </w:rPr>
        <w:t> </w:t>
        <w:tab/>
      </w:r>
      <w:r>
        <w:rPr>
          <w:sz w:val="18"/>
        </w:rPr>
        <w:t> No</w:t>
      </w:r>
      <w:r>
        <w:rPr>
          <w:spacing w:val="3"/>
          <w:sz w:val="18"/>
        </w:rPr>
        <w:t> </w:t>
      </w:r>
      <w:r>
        <w:rPr>
          <w:sz w:val="18"/>
        </w:rPr>
        <w:t>(1)</w:t>
      </w:r>
    </w:p>
    <w:p>
      <w:pPr>
        <w:pStyle w:val="BodyText"/>
        <w:spacing w:before="9"/>
        <w:rPr>
          <w:sz w:val="14"/>
        </w:rPr>
      </w:pPr>
    </w:p>
    <w:p>
      <w:pPr>
        <w:pStyle w:val="ListParagraph"/>
        <w:numPr>
          <w:ilvl w:val="1"/>
          <w:numId w:val="41"/>
        </w:numPr>
        <w:tabs>
          <w:tab w:pos="1135" w:val="left" w:leader="none"/>
        </w:tabs>
        <w:spacing w:line="240" w:lineRule="auto" w:before="101" w:after="0"/>
        <w:ind w:left="1134" w:right="0" w:hanging="287"/>
        <w:jc w:val="left"/>
        <w:rPr>
          <w:sz w:val="18"/>
        </w:rPr>
      </w:pPr>
      <w:r>
        <w:rPr>
          <w:sz w:val="18"/>
        </w:rPr>
        <w:t>What</w:t>
      </w:r>
      <w:r>
        <w:rPr>
          <w:spacing w:val="-5"/>
          <w:sz w:val="18"/>
        </w:rPr>
        <w:t> </w:t>
      </w:r>
      <w:r>
        <w:rPr>
          <w:sz w:val="18"/>
        </w:rPr>
        <w:t>software</w:t>
      </w:r>
      <w:r>
        <w:rPr>
          <w:spacing w:val="-3"/>
          <w:sz w:val="18"/>
        </w:rPr>
        <w:t> </w:t>
      </w:r>
      <w:r>
        <w:rPr>
          <w:sz w:val="18"/>
        </w:rPr>
        <w:t>will</w:t>
      </w:r>
      <w:r>
        <w:rPr>
          <w:spacing w:val="-3"/>
          <w:sz w:val="18"/>
        </w:rPr>
        <w:t> </w:t>
      </w:r>
      <w:r>
        <w:rPr>
          <w:sz w:val="18"/>
        </w:rPr>
        <w:t>the</w:t>
      </w:r>
      <w:r>
        <w:rPr>
          <w:spacing w:val="-3"/>
          <w:sz w:val="18"/>
        </w:rPr>
        <w:t> </w:t>
      </w:r>
      <w:r>
        <w:rPr>
          <w:sz w:val="18"/>
        </w:rPr>
        <w:t>practice/</w:t>
      </w:r>
      <w:r>
        <w:rPr>
          <w:spacing w:val="-2"/>
          <w:sz w:val="18"/>
        </w:rPr>
        <w:t> </w:t>
      </w:r>
      <w:r>
        <w:rPr>
          <w:sz w:val="18"/>
        </w:rPr>
        <w:t>service</w:t>
      </w:r>
      <w:r>
        <w:rPr>
          <w:spacing w:val="-5"/>
          <w:sz w:val="18"/>
        </w:rPr>
        <w:t> </w:t>
      </w:r>
      <w:r>
        <w:rPr>
          <w:sz w:val="18"/>
        </w:rPr>
        <w:t>use</w:t>
      </w:r>
      <w:r>
        <w:rPr>
          <w:spacing w:val="-3"/>
          <w:sz w:val="18"/>
        </w:rPr>
        <w:t> </w:t>
      </w:r>
      <w:r>
        <w:rPr>
          <w:sz w:val="18"/>
        </w:rPr>
        <w:t>for</w:t>
      </w:r>
      <w:r>
        <w:rPr>
          <w:spacing w:val="-2"/>
          <w:sz w:val="18"/>
        </w:rPr>
        <w:t> </w:t>
      </w:r>
      <w:r>
        <w:rPr>
          <w:sz w:val="18"/>
        </w:rPr>
        <w:t>the</w:t>
      </w:r>
      <w:r>
        <w:rPr>
          <w:spacing w:val="-3"/>
          <w:sz w:val="18"/>
        </w:rPr>
        <w:t> </w:t>
      </w:r>
      <w:r>
        <w:rPr>
          <w:sz w:val="18"/>
        </w:rPr>
        <w:t>HCH</w:t>
      </w:r>
      <w:r>
        <w:rPr>
          <w:spacing w:val="-5"/>
          <w:sz w:val="18"/>
        </w:rPr>
        <w:t> </w:t>
      </w:r>
      <w:r>
        <w:rPr>
          <w:sz w:val="18"/>
        </w:rPr>
        <w:t>program?</w:t>
      </w:r>
    </w:p>
    <w:p>
      <w:pPr>
        <w:pStyle w:val="BodyText"/>
      </w:pPr>
    </w:p>
    <w:p>
      <w:pPr>
        <w:pStyle w:val="BodyText"/>
        <w:spacing w:before="12"/>
        <w:rPr>
          <w:sz w:val="16"/>
        </w:rPr>
      </w:pPr>
      <w:r>
        <w:rPr/>
        <w:pict>
          <v:shape style="position:absolute;margin-left:71.424004pt;margin-top:11.610791pt;width:216pt;height:.1pt;mso-position-horizontal-relative:page;mso-position-vertical-relative:paragraph;z-index:-15684096;mso-wrap-distance-left:0;mso-wrap-distance-right:0" id="docshape138" coordorigin="1428,232" coordsize="4320,0" path="m1428,232l5748,232e" filled="false" stroked="true" strokeweight=".45pt" strokecolor="#bdbdbd">
            <v:path arrowok="t"/>
            <v:stroke dashstyle="solid"/>
            <w10:wrap type="topAndBottom"/>
          </v:shape>
        </w:pict>
      </w:r>
    </w:p>
    <w:p>
      <w:pPr>
        <w:pStyle w:val="BodyText"/>
        <w:spacing w:before="6"/>
        <w:rPr>
          <w:sz w:val="15"/>
        </w:rPr>
      </w:pPr>
    </w:p>
    <w:p>
      <w:pPr>
        <w:pStyle w:val="ListParagraph"/>
        <w:numPr>
          <w:ilvl w:val="0"/>
          <w:numId w:val="41"/>
        </w:numPr>
        <w:tabs>
          <w:tab w:pos="568" w:val="left" w:leader="none"/>
        </w:tabs>
        <w:spacing w:line="240" w:lineRule="auto" w:before="101" w:after="0"/>
        <w:ind w:left="567" w:right="632" w:hanging="428"/>
        <w:jc w:val="left"/>
        <w:rPr>
          <w:sz w:val="18"/>
        </w:rPr>
      </w:pPr>
      <w:r>
        <w:rPr>
          <w:sz w:val="18"/>
        </w:rPr>
        <w:t>How easy is it to generate the following information about your patients using your practice management system</w:t>
      </w:r>
      <w:r>
        <w:rPr>
          <w:spacing w:val="-47"/>
          <w:sz w:val="18"/>
        </w:rPr>
        <w:t> </w:t>
      </w:r>
      <w:r>
        <w:rPr>
          <w:sz w:val="18"/>
        </w:rPr>
        <w:t>(clinical</w:t>
      </w:r>
      <w:r>
        <w:rPr>
          <w:spacing w:val="-1"/>
          <w:sz w:val="18"/>
        </w:rPr>
        <w:t> </w:t>
      </w:r>
      <w:r>
        <w:rPr>
          <w:sz w:val="18"/>
        </w:rPr>
        <w:t>management</w:t>
      </w:r>
      <w:r>
        <w:rPr>
          <w:spacing w:val="-2"/>
          <w:sz w:val="18"/>
        </w:rPr>
        <w:t> </w:t>
      </w:r>
      <w:r>
        <w:rPr>
          <w:sz w:val="18"/>
        </w:rPr>
        <w:t>system)</w:t>
      </w:r>
      <w:r>
        <w:rPr>
          <w:spacing w:val="2"/>
          <w:sz w:val="18"/>
        </w:rPr>
        <w:t> </w:t>
      </w:r>
      <w:r>
        <w:rPr>
          <w:sz w:val="18"/>
        </w:rPr>
        <w:t>and/or</w:t>
      </w:r>
      <w:r>
        <w:rPr>
          <w:spacing w:val="1"/>
          <w:sz w:val="18"/>
        </w:rPr>
        <w:t> </w:t>
      </w:r>
      <w:r>
        <w:rPr>
          <w:sz w:val="18"/>
        </w:rPr>
        <w:t>other</w:t>
      </w:r>
      <w:r>
        <w:rPr>
          <w:spacing w:val="-1"/>
          <w:sz w:val="18"/>
        </w:rPr>
        <w:t> </w:t>
      </w:r>
      <w:r>
        <w:rPr>
          <w:sz w:val="18"/>
        </w:rPr>
        <w:t>software?</w:t>
      </w:r>
    </w:p>
    <w:p>
      <w:pPr>
        <w:pStyle w:val="BodyText"/>
        <w:rPr>
          <w:sz w:val="23"/>
        </w:rPr>
      </w:pPr>
    </w:p>
    <w:tbl>
      <w:tblPr>
        <w:tblW w:w="0" w:type="auto"/>
        <w:jc w:val="left"/>
        <w:tblInd w:w="15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5015"/>
        <w:gridCol w:w="1333"/>
        <w:gridCol w:w="1333"/>
        <w:gridCol w:w="1334"/>
        <w:gridCol w:w="1336"/>
      </w:tblGrid>
      <w:tr>
        <w:trPr>
          <w:trHeight w:val="599" w:hRule="atLeast"/>
        </w:trPr>
        <w:tc>
          <w:tcPr>
            <w:tcW w:w="5015" w:type="dxa"/>
            <w:shd w:val="clear" w:color="auto" w:fill="F1F1F1"/>
          </w:tcPr>
          <w:p>
            <w:pPr>
              <w:pStyle w:val="TableParagraph"/>
              <w:rPr>
                <w:rFonts w:ascii="Times New Roman"/>
                <w:sz w:val="18"/>
              </w:rPr>
            </w:pPr>
          </w:p>
        </w:tc>
        <w:tc>
          <w:tcPr>
            <w:tcW w:w="1333" w:type="dxa"/>
            <w:shd w:val="clear" w:color="auto" w:fill="F1F1F1"/>
          </w:tcPr>
          <w:p>
            <w:pPr>
              <w:pStyle w:val="TableParagraph"/>
              <w:spacing w:before="152"/>
              <w:ind w:left="330"/>
              <w:rPr>
                <w:sz w:val="18"/>
              </w:rPr>
            </w:pPr>
            <w:r>
              <w:rPr>
                <w:sz w:val="18"/>
              </w:rPr>
              <w:t>Easy</w:t>
            </w:r>
            <w:r>
              <w:rPr>
                <w:spacing w:val="-3"/>
                <w:sz w:val="18"/>
              </w:rPr>
              <w:t> </w:t>
            </w:r>
            <w:r>
              <w:rPr>
                <w:sz w:val="18"/>
              </w:rPr>
              <w:t>(1)</w:t>
            </w:r>
          </w:p>
        </w:tc>
        <w:tc>
          <w:tcPr>
            <w:tcW w:w="1333" w:type="dxa"/>
            <w:shd w:val="clear" w:color="auto" w:fill="F1F1F1"/>
          </w:tcPr>
          <w:p>
            <w:pPr>
              <w:pStyle w:val="TableParagraph"/>
              <w:spacing w:before="42"/>
              <w:ind w:left="207" w:right="177" w:hanging="10"/>
              <w:rPr>
                <w:sz w:val="18"/>
              </w:rPr>
            </w:pPr>
            <w:r>
              <w:rPr>
                <w:spacing w:val="-1"/>
                <w:sz w:val="18"/>
              </w:rPr>
              <w:t>Somewhat</w:t>
            </w:r>
            <w:r>
              <w:rPr>
                <w:spacing w:val="-47"/>
                <w:sz w:val="18"/>
              </w:rPr>
              <w:t> </w:t>
            </w:r>
            <w:r>
              <w:rPr>
                <w:sz w:val="18"/>
              </w:rPr>
              <w:t>difficult</w:t>
            </w:r>
            <w:r>
              <w:rPr>
                <w:spacing w:val="-6"/>
                <w:sz w:val="18"/>
              </w:rPr>
              <w:t> </w:t>
            </w:r>
            <w:r>
              <w:rPr>
                <w:sz w:val="18"/>
              </w:rPr>
              <w:t>(2)</w:t>
            </w:r>
          </w:p>
        </w:tc>
        <w:tc>
          <w:tcPr>
            <w:tcW w:w="1334" w:type="dxa"/>
            <w:shd w:val="clear" w:color="auto" w:fill="F1F1F1"/>
          </w:tcPr>
          <w:p>
            <w:pPr>
              <w:pStyle w:val="TableParagraph"/>
              <w:spacing w:before="152"/>
              <w:ind w:left="201"/>
              <w:rPr>
                <w:sz w:val="18"/>
              </w:rPr>
            </w:pPr>
            <w:r>
              <w:rPr>
                <w:sz w:val="18"/>
              </w:rPr>
              <w:t>Difficult</w:t>
            </w:r>
            <w:r>
              <w:rPr>
                <w:spacing w:val="-5"/>
                <w:sz w:val="18"/>
              </w:rPr>
              <w:t> </w:t>
            </w:r>
            <w:r>
              <w:rPr>
                <w:sz w:val="18"/>
              </w:rPr>
              <w:t>(3)</w:t>
            </w:r>
          </w:p>
        </w:tc>
        <w:tc>
          <w:tcPr>
            <w:tcW w:w="1336" w:type="dxa"/>
            <w:shd w:val="clear" w:color="auto" w:fill="F1F1F1"/>
          </w:tcPr>
          <w:p>
            <w:pPr>
              <w:pStyle w:val="TableParagraph"/>
              <w:spacing w:before="42"/>
              <w:ind w:left="546" w:right="126" w:hanging="404"/>
              <w:rPr>
                <w:sz w:val="18"/>
              </w:rPr>
            </w:pPr>
            <w:r>
              <w:rPr>
                <w:sz w:val="18"/>
              </w:rPr>
              <w:t>Not Possible</w:t>
            </w:r>
            <w:r>
              <w:rPr>
                <w:spacing w:val="-47"/>
                <w:sz w:val="18"/>
              </w:rPr>
              <w:t> </w:t>
            </w:r>
            <w:r>
              <w:rPr>
                <w:sz w:val="18"/>
              </w:rPr>
              <w:t>(4)</w:t>
            </w:r>
          </w:p>
        </w:tc>
      </w:tr>
      <w:tr>
        <w:trPr>
          <w:trHeight w:val="597" w:hRule="atLeast"/>
        </w:trPr>
        <w:tc>
          <w:tcPr>
            <w:tcW w:w="5015" w:type="dxa"/>
          </w:tcPr>
          <w:p>
            <w:pPr>
              <w:pStyle w:val="TableParagraph"/>
              <w:spacing w:before="42"/>
              <w:ind w:left="115" w:right="106"/>
              <w:rPr>
                <w:sz w:val="18"/>
              </w:rPr>
            </w:pPr>
            <w:r>
              <w:rPr>
                <w:sz w:val="18"/>
              </w:rPr>
              <w:t>List</w:t>
            </w:r>
            <w:r>
              <w:rPr>
                <w:spacing w:val="-5"/>
                <w:sz w:val="18"/>
              </w:rPr>
              <w:t> </w:t>
            </w:r>
            <w:r>
              <w:rPr>
                <w:sz w:val="18"/>
              </w:rPr>
              <w:t>of</w:t>
            </w:r>
            <w:r>
              <w:rPr>
                <w:spacing w:val="-4"/>
                <w:sz w:val="18"/>
              </w:rPr>
              <w:t> </w:t>
            </w:r>
            <w:r>
              <w:rPr>
                <w:sz w:val="18"/>
              </w:rPr>
              <w:t>patients</w:t>
            </w:r>
            <w:r>
              <w:rPr>
                <w:spacing w:val="-4"/>
                <w:sz w:val="18"/>
              </w:rPr>
              <w:t> </w:t>
            </w:r>
            <w:r>
              <w:rPr>
                <w:sz w:val="18"/>
              </w:rPr>
              <w:t>by</w:t>
            </w:r>
            <w:r>
              <w:rPr>
                <w:spacing w:val="-3"/>
                <w:sz w:val="18"/>
              </w:rPr>
              <w:t> </w:t>
            </w:r>
            <w:r>
              <w:rPr>
                <w:sz w:val="18"/>
              </w:rPr>
              <w:t>diagnosis</w:t>
            </w:r>
            <w:r>
              <w:rPr>
                <w:spacing w:val="-6"/>
                <w:sz w:val="18"/>
              </w:rPr>
              <w:t> </w:t>
            </w:r>
            <w:r>
              <w:rPr>
                <w:sz w:val="18"/>
              </w:rPr>
              <w:t>or</w:t>
            </w:r>
            <w:r>
              <w:rPr>
                <w:spacing w:val="-2"/>
                <w:sz w:val="18"/>
              </w:rPr>
              <w:t> </w:t>
            </w:r>
            <w:r>
              <w:rPr>
                <w:sz w:val="18"/>
              </w:rPr>
              <w:t>health</w:t>
            </w:r>
            <w:r>
              <w:rPr>
                <w:spacing w:val="-3"/>
                <w:sz w:val="18"/>
              </w:rPr>
              <w:t> </w:t>
            </w:r>
            <w:r>
              <w:rPr>
                <w:sz w:val="18"/>
              </w:rPr>
              <w:t>problems (e.g.</w:t>
            </w:r>
            <w:r>
              <w:rPr>
                <w:spacing w:val="-47"/>
                <w:sz w:val="18"/>
              </w:rPr>
              <w:t> </w:t>
            </w:r>
            <w:r>
              <w:rPr>
                <w:sz w:val="18"/>
              </w:rPr>
              <w:t>diabetes,</w:t>
            </w:r>
            <w:r>
              <w:rPr>
                <w:spacing w:val="-4"/>
                <w:sz w:val="18"/>
              </w:rPr>
              <w:t> </w:t>
            </w:r>
            <w:r>
              <w:rPr>
                <w:sz w:val="18"/>
              </w:rPr>
              <w:t>cancer)</w:t>
            </w:r>
            <w:r>
              <w:rPr>
                <w:spacing w:val="1"/>
                <w:sz w:val="18"/>
              </w:rPr>
              <w:t> </w:t>
            </w:r>
            <w:r>
              <w:rPr>
                <w:sz w:val="18"/>
              </w:rPr>
              <w:t>(1)</w:t>
            </w:r>
          </w:p>
        </w:tc>
        <w:tc>
          <w:tcPr>
            <w:tcW w:w="1333" w:type="dxa"/>
          </w:tcPr>
          <w:p>
            <w:pPr>
              <w:pStyle w:val="TableParagraph"/>
              <w:spacing w:before="1"/>
              <w:rPr>
                <w:sz w:val="18"/>
              </w:rPr>
            </w:pPr>
          </w:p>
          <w:p>
            <w:pPr>
              <w:pStyle w:val="TableParagraph"/>
              <w:spacing w:line="112" w:lineRule="exact"/>
              <w:ind w:left="510"/>
              <w:rPr>
                <w:sz w:val="11"/>
              </w:rPr>
            </w:pPr>
            <w:r>
              <w:rPr>
                <w:position w:val="-1"/>
                <w:sz w:val="11"/>
              </w:rPr>
              <w:drawing>
                <wp:inline distT="0" distB="0" distL="0" distR="0">
                  <wp:extent cx="57802" cy="71437"/>
                  <wp:effectExtent l="0" t="0" r="0" b="0"/>
                  <wp:docPr id="177" name="image13.png"/>
                  <wp:cNvGraphicFramePr>
                    <a:graphicFrameLocks noChangeAspect="1"/>
                  </wp:cNvGraphicFramePr>
                  <a:graphic>
                    <a:graphicData uri="http://schemas.openxmlformats.org/drawingml/2006/picture">
                      <pic:pic>
                        <pic:nvPicPr>
                          <pic:cNvPr id="178"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333" w:type="dxa"/>
          </w:tcPr>
          <w:p>
            <w:pPr>
              <w:pStyle w:val="TableParagraph"/>
              <w:spacing w:before="1"/>
              <w:rPr>
                <w:sz w:val="18"/>
              </w:rPr>
            </w:pPr>
          </w:p>
          <w:p>
            <w:pPr>
              <w:pStyle w:val="TableParagraph"/>
              <w:spacing w:line="112" w:lineRule="exact"/>
              <w:ind w:left="509"/>
              <w:rPr>
                <w:sz w:val="11"/>
              </w:rPr>
            </w:pPr>
            <w:r>
              <w:rPr>
                <w:position w:val="-1"/>
                <w:sz w:val="11"/>
              </w:rPr>
              <w:drawing>
                <wp:inline distT="0" distB="0" distL="0" distR="0">
                  <wp:extent cx="57802" cy="71437"/>
                  <wp:effectExtent l="0" t="0" r="0" b="0"/>
                  <wp:docPr id="179" name="image13.png"/>
                  <wp:cNvGraphicFramePr>
                    <a:graphicFrameLocks noChangeAspect="1"/>
                  </wp:cNvGraphicFramePr>
                  <a:graphic>
                    <a:graphicData uri="http://schemas.openxmlformats.org/drawingml/2006/picture">
                      <pic:pic>
                        <pic:nvPicPr>
                          <pic:cNvPr id="180"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334" w:type="dxa"/>
          </w:tcPr>
          <w:p>
            <w:pPr>
              <w:pStyle w:val="TableParagraph"/>
              <w:spacing w:before="1"/>
              <w:rPr>
                <w:sz w:val="18"/>
              </w:rPr>
            </w:pPr>
          </w:p>
          <w:p>
            <w:pPr>
              <w:pStyle w:val="TableParagraph"/>
              <w:spacing w:line="112" w:lineRule="exact"/>
              <w:ind w:left="508"/>
              <w:rPr>
                <w:sz w:val="11"/>
              </w:rPr>
            </w:pPr>
            <w:r>
              <w:rPr>
                <w:position w:val="-1"/>
                <w:sz w:val="11"/>
              </w:rPr>
              <w:drawing>
                <wp:inline distT="0" distB="0" distL="0" distR="0">
                  <wp:extent cx="57802" cy="71437"/>
                  <wp:effectExtent l="0" t="0" r="0" b="0"/>
                  <wp:docPr id="181" name="image13.png"/>
                  <wp:cNvGraphicFramePr>
                    <a:graphicFrameLocks noChangeAspect="1"/>
                  </wp:cNvGraphicFramePr>
                  <a:graphic>
                    <a:graphicData uri="http://schemas.openxmlformats.org/drawingml/2006/picture">
                      <pic:pic>
                        <pic:nvPicPr>
                          <pic:cNvPr id="182"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336" w:type="dxa"/>
          </w:tcPr>
          <w:p>
            <w:pPr>
              <w:pStyle w:val="TableParagraph"/>
              <w:spacing w:before="1"/>
              <w:rPr>
                <w:sz w:val="18"/>
              </w:rPr>
            </w:pPr>
          </w:p>
          <w:p>
            <w:pPr>
              <w:pStyle w:val="TableParagraph"/>
              <w:spacing w:line="112" w:lineRule="exact"/>
              <w:ind w:left="506"/>
              <w:rPr>
                <w:sz w:val="11"/>
              </w:rPr>
            </w:pPr>
            <w:r>
              <w:rPr>
                <w:position w:val="-1"/>
                <w:sz w:val="11"/>
              </w:rPr>
              <w:drawing>
                <wp:inline distT="0" distB="0" distL="0" distR="0">
                  <wp:extent cx="57802" cy="71437"/>
                  <wp:effectExtent l="0" t="0" r="0" b="0"/>
                  <wp:docPr id="183" name="image13.png"/>
                  <wp:cNvGraphicFramePr>
                    <a:graphicFrameLocks noChangeAspect="1"/>
                  </wp:cNvGraphicFramePr>
                  <a:graphic>
                    <a:graphicData uri="http://schemas.openxmlformats.org/drawingml/2006/picture">
                      <pic:pic>
                        <pic:nvPicPr>
                          <pic:cNvPr id="184"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r>
      <w:tr>
        <w:trPr>
          <w:trHeight w:val="600" w:hRule="atLeast"/>
        </w:trPr>
        <w:tc>
          <w:tcPr>
            <w:tcW w:w="5015" w:type="dxa"/>
          </w:tcPr>
          <w:p>
            <w:pPr>
              <w:pStyle w:val="TableParagraph"/>
              <w:spacing w:before="44"/>
              <w:ind w:left="115" w:right="106"/>
              <w:rPr>
                <w:sz w:val="18"/>
              </w:rPr>
            </w:pPr>
            <w:r>
              <w:rPr>
                <w:sz w:val="18"/>
              </w:rPr>
              <w:t>List</w:t>
            </w:r>
            <w:r>
              <w:rPr>
                <w:spacing w:val="-5"/>
                <w:sz w:val="18"/>
              </w:rPr>
              <w:t> </w:t>
            </w:r>
            <w:r>
              <w:rPr>
                <w:sz w:val="18"/>
              </w:rPr>
              <w:t>of</w:t>
            </w:r>
            <w:r>
              <w:rPr>
                <w:spacing w:val="-4"/>
                <w:sz w:val="18"/>
              </w:rPr>
              <w:t> </w:t>
            </w:r>
            <w:r>
              <w:rPr>
                <w:sz w:val="18"/>
              </w:rPr>
              <w:t>patients</w:t>
            </w:r>
            <w:r>
              <w:rPr>
                <w:spacing w:val="-3"/>
                <w:sz w:val="18"/>
              </w:rPr>
              <w:t> </w:t>
            </w:r>
            <w:r>
              <w:rPr>
                <w:sz w:val="18"/>
              </w:rPr>
              <w:t>by</w:t>
            </w:r>
            <w:r>
              <w:rPr>
                <w:spacing w:val="-3"/>
                <w:sz w:val="18"/>
              </w:rPr>
              <w:t> </w:t>
            </w:r>
            <w:r>
              <w:rPr>
                <w:sz w:val="18"/>
              </w:rPr>
              <w:t>laboratory</w:t>
            </w:r>
            <w:r>
              <w:rPr>
                <w:spacing w:val="-3"/>
                <w:sz w:val="18"/>
              </w:rPr>
              <w:t> </w:t>
            </w:r>
            <w:r>
              <w:rPr>
                <w:sz w:val="18"/>
              </w:rPr>
              <w:t>result</w:t>
            </w:r>
            <w:r>
              <w:rPr>
                <w:spacing w:val="-2"/>
                <w:sz w:val="18"/>
              </w:rPr>
              <w:t> </w:t>
            </w:r>
            <w:r>
              <w:rPr>
                <w:sz w:val="18"/>
              </w:rPr>
              <w:t>(e.g.</w:t>
            </w:r>
            <w:r>
              <w:rPr>
                <w:spacing w:val="-4"/>
                <w:sz w:val="18"/>
              </w:rPr>
              <w:t> </w:t>
            </w:r>
            <w:r>
              <w:rPr>
                <w:sz w:val="18"/>
              </w:rPr>
              <w:t>HbA1C</w:t>
            </w:r>
            <w:r>
              <w:rPr>
                <w:spacing w:val="-2"/>
                <w:sz w:val="18"/>
              </w:rPr>
              <w:t> </w:t>
            </w:r>
            <w:r>
              <w:rPr>
                <w:sz w:val="18"/>
              </w:rPr>
              <w:t>&gt;</w:t>
            </w:r>
            <w:r>
              <w:rPr>
                <w:spacing w:val="-4"/>
                <w:sz w:val="18"/>
              </w:rPr>
              <w:t> </w:t>
            </w:r>
            <w:r>
              <w:rPr>
                <w:sz w:val="18"/>
              </w:rPr>
              <w:t>9.0)</w:t>
            </w:r>
            <w:r>
              <w:rPr>
                <w:spacing w:val="-47"/>
                <w:sz w:val="18"/>
              </w:rPr>
              <w:t> </w:t>
            </w:r>
            <w:r>
              <w:rPr>
                <w:sz w:val="18"/>
              </w:rPr>
              <w:t>(2)</w:t>
            </w:r>
          </w:p>
        </w:tc>
        <w:tc>
          <w:tcPr>
            <w:tcW w:w="1333" w:type="dxa"/>
          </w:tcPr>
          <w:p>
            <w:pPr>
              <w:pStyle w:val="TableParagraph"/>
              <w:spacing w:before="4"/>
              <w:rPr>
                <w:sz w:val="18"/>
              </w:rPr>
            </w:pPr>
          </w:p>
          <w:p>
            <w:pPr>
              <w:pStyle w:val="TableParagraph"/>
              <w:spacing w:line="112" w:lineRule="exact"/>
              <w:ind w:left="510"/>
              <w:rPr>
                <w:sz w:val="11"/>
              </w:rPr>
            </w:pPr>
            <w:r>
              <w:rPr>
                <w:position w:val="-1"/>
                <w:sz w:val="11"/>
              </w:rPr>
              <w:drawing>
                <wp:inline distT="0" distB="0" distL="0" distR="0">
                  <wp:extent cx="57802" cy="71437"/>
                  <wp:effectExtent l="0" t="0" r="0" b="0"/>
                  <wp:docPr id="185" name="image13.png"/>
                  <wp:cNvGraphicFramePr>
                    <a:graphicFrameLocks noChangeAspect="1"/>
                  </wp:cNvGraphicFramePr>
                  <a:graphic>
                    <a:graphicData uri="http://schemas.openxmlformats.org/drawingml/2006/picture">
                      <pic:pic>
                        <pic:nvPicPr>
                          <pic:cNvPr id="186"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333" w:type="dxa"/>
          </w:tcPr>
          <w:p>
            <w:pPr>
              <w:pStyle w:val="TableParagraph"/>
              <w:spacing w:before="4"/>
              <w:rPr>
                <w:sz w:val="18"/>
              </w:rPr>
            </w:pPr>
          </w:p>
          <w:p>
            <w:pPr>
              <w:pStyle w:val="TableParagraph"/>
              <w:spacing w:line="112" w:lineRule="exact"/>
              <w:ind w:left="509"/>
              <w:rPr>
                <w:sz w:val="11"/>
              </w:rPr>
            </w:pPr>
            <w:r>
              <w:rPr>
                <w:position w:val="-1"/>
                <w:sz w:val="11"/>
              </w:rPr>
              <w:drawing>
                <wp:inline distT="0" distB="0" distL="0" distR="0">
                  <wp:extent cx="57802" cy="71437"/>
                  <wp:effectExtent l="0" t="0" r="0" b="0"/>
                  <wp:docPr id="187" name="image13.png"/>
                  <wp:cNvGraphicFramePr>
                    <a:graphicFrameLocks noChangeAspect="1"/>
                  </wp:cNvGraphicFramePr>
                  <a:graphic>
                    <a:graphicData uri="http://schemas.openxmlformats.org/drawingml/2006/picture">
                      <pic:pic>
                        <pic:nvPicPr>
                          <pic:cNvPr id="188"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334" w:type="dxa"/>
          </w:tcPr>
          <w:p>
            <w:pPr>
              <w:pStyle w:val="TableParagraph"/>
              <w:spacing w:before="4"/>
              <w:rPr>
                <w:sz w:val="18"/>
              </w:rPr>
            </w:pPr>
          </w:p>
          <w:p>
            <w:pPr>
              <w:pStyle w:val="TableParagraph"/>
              <w:spacing w:line="112" w:lineRule="exact"/>
              <w:ind w:left="508"/>
              <w:rPr>
                <w:sz w:val="11"/>
              </w:rPr>
            </w:pPr>
            <w:r>
              <w:rPr>
                <w:position w:val="-1"/>
                <w:sz w:val="11"/>
              </w:rPr>
              <w:drawing>
                <wp:inline distT="0" distB="0" distL="0" distR="0">
                  <wp:extent cx="57802" cy="71437"/>
                  <wp:effectExtent l="0" t="0" r="0" b="0"/>
                  <wp:docPr id="189" name="image13.png"/>
                  <wp:cNvGraphicFramePr>
                    <a:graphicFrameLocks noChangeAspect="1"/>
                  </wp:cNvGraphicFramePr>
                  <a:graphic>
                    <a:graphicData uri="http://schemas.openxmlformats.org/drawingml/2006/picture">
                      <pic:pic>
                        <pic:nvPicPr>
                          <pic:cNvPr id="190"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336" w:type="dxa"/>
          </w:tcPr>
          <w:p>
            <w:pPr>
              <w:pStyle w:val="TableParagraph"/>
              <w:spacing w:before="4"/>
              <w:rPr>
                <w:sz w:val="18"/>
              </w:rPr>
            </w:pPr>
          </w:p>
          <w:p>
            <w:pPr>
              <w:pStyle w:val="TableParagraph"/>
              <w:spacing w:line="112" w:lineRule="exact"/>
              <w:ind w:left="506"/>
              <w:rPr>
                <w:sz w:val="11"/>
              </w:rPr>
            </w:pPr>
            <w:r>
              <w:rPr>
                <w:position w:val="-1"/>
                <w:sz w:val="11"/>
              </w:rPr>
              <w:drawing>
                <wp:inline distT="0" distB="0" distL="0" distR="0">
                  <wp:extent cx="57802" cy="71437"/>
                  <wp:effectExtent l="0" t="0" r="0" b="0"/>
                  <wp:docPr id="191" name="image13.png"/>
                  <wp:cNvGraphicFramePr>
                    <a:graphicFrameLocks noChangeAspect="1"/>
                  </wp:cNvGraphicFramePr>
                  <a:graphic>
                    <a:graphicData uri="http://schemas.openxmlformats.org/drawingml/2006/picture">
                      <pic:pic>
                        <pic:nvPicPr>
                          <pic:cNvPr id="192"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r>
      <w:tr>
        <w:trPr>
          <w:trHeight w:val="599" w:hRule="atLeast"/>
        </w:trPr>
        <w:tc>
          <w:tcPr>
            <w:tcW w:w="5015" w:type="dxa"/>
          </w:tcPr>
          <w:p>
            <w:pPr>
              <w:pStyle w:val="TableParagraph"/>
              <w:spacing w:before="42"/>
              <w:ind w:left="115" w:right="106"/>
              <w:rPr>
                <w:sz w:val="18"/>
              </w:rPr>
            </w:pPr>
            <w:r>
              <w:rPr>
                <w:sz w:val="18"/>
              </w:rPr>
              <w:t>List</w:t>
            </w:r>
            <w:r>
              <w:rPr>
                <w:spacing w:val="-4"/>
                <w:sz w:val="18"/>
              </w:rPr>
              <w:t> </w:t>
            </w:r>
            <w:r>
              <w:rPr>
                <w:sz w:val="18"/>
              </w:rPr>
              <w:t>of</w:t>
            </w:r>
            <w:r>
              <w:rPr>
                <w:spacing w:val="-3"/>
                <w:sz w:val="18"/>
              </w:rPr>
              <w:t> </w:t>
            </w:r>
            <w:r>
              <w:rPr>
                <w:sz w:val="18"/>
              </w:rPr>
              <w:t>patients</w:t>
            </w:r>
            <w:r>
              <w:rPr>
                <w:spacing w:val="-2"/>
                <w:sz w:val="18"/>
              </w:rPr>
              <w:t> </w:t>
            </w:r>
            <w:r>
              <w:rPr>
                <w:sz w:val="18"/>
              </w:rPr>
              <w:t>who</w:t>
            </w:r>
            <w:r>
              <w:rPr>
                <w:spacing w:val="-1"/>
                <w:sz w:val="18"/>
              </w:rPr>
              <w:t> </w:t>
            </w:r>
            <w:r>
              <w:rPr>
                <w:sz w:val="18"/>
              </w:rPr>
              <w:t>are</w:t>
            </w:r>
            <w:r>
              <w:rPr>
                <w:spacing w:val="-3"/>
                <w:sz w:val="18"/>
              </w:rPr>
              <w:t> </w:t>
            </w:r>
            <w:r>
              <w:rPr>
                <w:sz w:val="18"/>
              </w:rPr>
              <w:t>due</w:t>
            </w:r>
            <w:r>
              <w:rPr>
                <w:spacing w:val="-3"/>
                <w:sz w:val="18"/>
              </w:rPr>
              <w:t> </w:t>
            </w:r>
            <w:r>
              <w:rPr>
                <w:sz w:val="18"/>
              </w:rPr>
              <w:t>or</w:t>
            </w:r>
            <w:r>
              <w:rPr>
                <w:spacing w:val="-1"/>
                <w:sz w:val="18"/>
              </w:rPr>
              <w:t> </w:t>
            </w:r>
            <w:r>
              <w:rPr>
                <w:sz w:val="18"/>
              </w:rPr>
              <w:t>overdue</w:t>
            </w:r>
            <w:r>
              <w:rPr>
                <w:spacing w:val="-4"/>
                <w:sz w:val="18"/>
              </w:rPr>
              <w:t> </w:t>
            </w:r>
            <w:r>
              <w:rPr>
                <w:sz w:val="18"/>
              </w:rPr>
              <w:t>for</w:t>
            </w:r>
            <w:r>
              <w:rPr>
                <w:spacing w:val="-1"/>
                <w:sz w:val="18"/>
              </w:rPr>
              <w:t> </w:t>
            </w:r>
            <w:r>
              <w:rPr>
                <w:sz w:val="18"/>
              </w:rPr>
              <w:t>tests</w:t>
            </w:r>
            <w:r>
              <w:rPr>
                <w:spacing w:val="-2"/>
                <w:sz w:val="18"/>
              </w:rPr>
              <w:t> </w:t>
            </w:r>
            <w:r>
              <w:rPr>
                <w:sz w:val="18"/>
              </w:rPr>
              <w:t>or</w:t>
            </w:r>
            <w:r>
              <w:rPr>
                <w:spacing w:val="-47"/>
                <w:sz w:val="18"/>
              </w:rPr>
              <w:t> </w:t>
            </w:r>
            <w:r>
              <w:rPr>
                <w:sz w:val="18"/>
              </w:rPr>
              <w:t>preventive</w:t>
            </w:r>
            <w:r>
              <w:rPr>
                <w:spacing w:val="-1"/>
                <w:sz w:val="18"/>
              </w:rPr>
              <w:t> </w:t>
            </w:r>
            <w:r>
              <w:rPr>
                <w:sz w:val="18"/>
              </w:rPr>
              <w:t>care</w:t>
            </w:r>
            <w:r>
              <w:rPr>
                <w:spacing w:val="2"/>
                <w:sz w:val="18"/>
              </w:rPr>
              <w:t> </w:t>
            </w:r>
            <w:r>
              <w:rPr>
                <w:sz w:val="18"/>
              </w:rPr>
              <w:t>(e.g.</w:t>
            </w:r>
            <w:r>
              <w:rPr>
                <w:spacing w:val="-3"/>
                <w:sz w:val="18"/>
              </w:rPr>
              <w:t> </w:t>
            </w:r>
            <w:r>
              <w:rPr>
                <w:sz w:val="18"/>
              </w:rPr>
              <w:t>flu</w:t>
            </w:r>
            <w:r>
              <w:rPr>
                <w:spacing w:val="-1"/>
                <w:sz w:val="18"/>
              </w:rPr>
              <w:t> </w:t>
            </w:r>
            <w:r>
              <w:rPr>
                <w:sz w:val="18"/>
              </w:rPr>
              <w:t>vaccine)</w:t>
            </w:r>
            <w:r>
              <w:rPr>
                <w:spacing w:val="1"/>
                <w:sz w:val="18"/>
              </w:rPr>
              <w:t> </w:t>
            </w:r>
            <w:r>
              <w:rPr>
                <w:sz w:val="18"/>
              </w:rPr>
              <w:t>(3)</w:t>
            </w:r>
          </w:p>
        </w:tc>
        <w:tc>
          <w:tcPr>
            <w:tcW w:w="1333" w:type="dxa"/>
          </w:tcPr>
          <w:p>
            <w:pPr>
              <w:pStyle w:val="TableParagraph"/>
              <w:spacing w:before="1"/>
              <w:rPr>
                <w:sz w:val="18"/>
              </w:rPr>
            </w:pPr>
          </w:p>
          <w:p>
            <w:pPr>
              <w:pStyle w:val="TableParagraph"/>
              <w:spacing w:line="112" w:lineRule="exact"/>
              <w:ind w:left="510"/>
              <w:rPr>
                <w:sz w:val="11"/>
              </w:rPr>
            </w:pPr>
            <w:r>
              <w:rPr>
                <w:position w:val="-1"/>
                <w:sz w:val="11"/>
              </w:rPr>
              <w:drawing>
                <wp:inline distT="0" distB="0" distL="0" distR="0">
                  <wp:extent cx="57802" cy="71437"/>
                  <wp:effectExtent l="0" t="0" r="0" b="0"/>
                  <wp:docPr id="193" name="image13.png"/>
                  <wp:cNvGraphicFramePr>
                    <a:graphicFrameLocks noChangeAspect="1"/>
                  </wp:cNvGraphicFramePr>
                  <a:graphic>
                    <a:graphicData uri="http://schemas.openxmlformats.org/drawingml/2006/picture">
                      <pic:pic>
                        <pic:nvPicPr>
                          <pic:cNvPr id="194"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333" w:type="dxa"/>
          </w:tcPr>
          <w:p>
            <w:pPr>
              <w:pStyle w:val="TableParagraph"/>
              <w:spacing w:before="1"/>
              <w:rPr>
                <w:sz w:val="18"/>
              </w:rPr>
            </w:pPr>
          </w:p>
          <w:p>
            <w:pPr>
              <w:pStyle w:val="TableParagraph"/>
              <w:spacing w:line="112" w:lineRule="exact"/>
              <w:ind w:left="509"/>
              <w:rPr>
                <w:sz w:val="11"/>
              </w:rPr>
            </w:pPr>
            <w:r>
              <w:rPr>
                <w:position w:val="-1"/>
                <w:sz w:val="11"/>
              </w:rPr>
              <w:drawing>
                <wp:inline distT="0" distB="0" distL="0" distR="0">
                  <wp:extent cx="57802" cy="71437"/>
                  <wp:effectExtent l="0" t="0" r="0" b="0"/>
                  <wp:docPr id="195" name="image13.png"/>
                  <wp:cNvGraphicFramePr>
                    <a:graphicFrameLocks noChangeAspect="1"/>
                  </wp:cNvGraphicFramePr>
                  <a:graphic>
                    <a:graphicData uri="http://schemas.openxmlformats.org/drawingml/2006/picture">
                      <pic:pic>
                        <pic:nvPicPr>
                          <pic:cNvPr id="196"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334" w:type="dxa"/>
          </w:tcPr>
          <w:p>
            <w:pPr>
              <w:pStyle w:val="TableParagraph"/>
              <w:spacing w:before="1"/>
              <w:rPr>
                <w:sz w:val="18"/>
              </w:rPr>
            </w:pPr>
          </w:p>
          <w:p>
            <w:pPr>
              <w:pStyle w:val="TableParagraph"/>
              <w:spacing w:line="112" w:lineRule="exact"/>
              <w:ind w:left="508"/>
              <w:rPr>
                <w:sz w:val="11"/>
              </w:rPr>
            </w:pPr>
            <w:r>
              <w:rPr>
                <w:position w:val="-1"/>
                <w:sz w:val="11"/>
              </w:rPr>
              <w:drawing>
                <wp:inline distT="0" distB="0" distL="0" distR="0">
                  <wp:extent cx="57802" cy="71437"/>
                  <wp:effectExtent l="0" t="0" r="0" b="0"/>
                  <wp:docPr id="197" name="image13.png"/>
                  <wp:cNvGraphicFramePr>
                    <a:graphicFrameLocks noChangeAspect="1"/>
                  </wp:cNvGraphicFramePr>
                  <a:graphic>
                    <a:graphicData uri="http://schemas.openxmlformats.org/drawingml/2006/picture">
                      <pic:pic>
                        <pic:nvPicPr>
                          <pic:cNvPr id="198"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336" w:type="dxa"/>
          </w:tcPr>
          <w:p>
            <w:pPr>
              <w:pStyle w:val="TableParagraph"/>
              <w:spacing w:before="1"/>
              <w:rPr>
                <w:sz w:val="18"/>
              </w:rPr>
            </w:pPr>
          </w:p>
          <w:p>
            <w:pPr>
              <w:pStyle w:val="TableParagraph"/>
              <w:spacing w:line="112" w:lineRule="exact"/>
              <w:ind w:left="506"/>
              <w:rPr>
                <w:sz w:val="11"/>
              </w:rPr>
            </w:pPr>
            <w:r>
              <w:rPr>
                <w:position w:val="-1"/>
                <w:sz w:val="11"/>
              </w:rPr>
              <w:drawing>
                <wp:inline distT="0" distB="0" distL="0" distR="0">
                  <wp:extent cx="57802" cy="71437"/>
                  <wp:effectExtent l="0" t="0" r="0" b="0"/>
                  <wp:docPr id="199" name="image13.png"/>
                  <wp:cNvGraphicFramePr>
                    <a:graphicFrameLocks noChangeAspect="1"/>
                  </wp:cNvGraphicFramePr>
                  <a:graphic>
                    <a:graphicData uri="http://schemas.openxmlformats.org/drawingml/2006/picture">
                      <pic:pic>
                        <pic:nvPicPr>
                          <pic:cNvPr id="200"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r>
      <w:tr>
        <w:trPr>
          <w:trHeight w:val="820" w:hRule="atLeast"/>
        </w:trPr>
        <w:tc>
          <w:tcPr>
            <w:tcW w:w="5015" w:type="dxa"/>
          </w:tcPr>
          <w:p>
            <w:pPr>
              <w:pStyle w:val="TableParagraph"/>
              <w:spacing w:before="42"/>
              <w:ind w:left="115" w:right="376"/>
              <w:jc w:val="both"/>
              <w:rPr>
                <w:sz w:val="18"/>
              </w:rPr>
            </w:pPr>
            <w:r>
              <w:rPr>
                <w:sz w:val="18"/>
              </w:rPr>
              <w:t>List of all medications taken by an individual patient</w:t>
            </w:r>
            <w:r>
              <w:rPr>
                <w:spacing w:val="-48"/>
                <w:sz w:val="18"/>
              </w:rPr>
              <w:t> </w:t>
            </w:r>
            <w:r>
              <w:rPr>
                <w:sz w:val="18"/>
              </w:rPr>
              <w:t>(including those that may have been prescribed by</w:t>
            </w:r>
            <w:r>
              <w:rPr>
                <w:spacing w:val="-47"/>
                <w:sz w:val="18"/>
              </w:rPr>
              <w:t> </w:t>
            </w:r>
            <w:r>
              <w:rPr>
                <w:sz w:val="18"/>
              </w:rPr>
              <w:t>other</w:t>
            </w:r>
            <w:r>
              <w:rPr>
                <w:spacing w:val="-1"/>
                <w:sz w:val="18"/>
              </w:rPr>
              <w:t> </w:t>
            </w:r>
            <w:r>
              <w:rPr>
                <w:sz w:val="18"/>
              </w:rPr>
              <w:t>doctors) (4)</w:t>
            </w:r>
          </w:p>
        </w:tc>
        <w:tc>
          <w:tcPr>
            <w:tcW w:w="1333" w:type="dxa"/>
          </w:tcPr>
          <w:p>
            <w:pPr>
              <w:pStyle w:val="TableParagraph"/>
              <w:spacing w:before="1"/>
              <w:rPr>
                <w:sz w:val="27"/>
              </w:rPr>
            </w:pPr>
          </w:p>
          <w:p>
            <w:pPr>
              <w:pStyle w:val="TableParagraph"/>
              <w:spacing w:line="112" w:lineRule="exact"/>
              <w:ind w:left="510"/>
              <w:rPr>
                <w:sz w:val="11"/>
              </w:rPr>
            </w:pPr>
            <w:r>
              <w:rPr>
                <w:position w:val="-1"/>
                <w:sz w:val="11"/>
              </w:rPr>
              <w:drawing>
                <wp:inline distT="0" distB="0" distL="0" distR="0">
                  <wp:extent cx="57802" cy="71437"/>
                  <wp:effectExtent l="0" t="0" r="0" b="0"/>
                  <wp:docPr id="201" name="image13.png"/>
                  <wp:cNvGraphicFramePr>
                    <a:graphicFrameLocks noChangeAspect="1"/>
                  </wp:cNvGraphicFramePr>
                  <a:graphic>
                    <a:graphicData uri="http://schemas.openxmlformats.org/drawingml/2006/picture">
                      <pic:pic>
                        <pic:nvPicPr>
                          <pic:cNvPr id="202"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333" w:type="dxa"/>
          </w:tcPr>
          <w:p>
            <w:pPr>
              <w:pStyle w:val="TableParagraph"/>
              <w:spacing w:before="1"/>
              <w:rPr>
                <w:sz w:val="27"/>
              </w:rPr>
            </w:pPr>
          </w:p>
          <w:p>
            <w:pPr>
              <w:pStyle w:val="TableParagraph"/>
              <w:spacing w:line="112" w:lineRule="exact"/>
              <w:ind w:left="509"/>
              <w:rPr>
                <w:sz w:val="11"/>
              </w:rPr>
            </w:pPr>
            <w:r>
              <w:rPr>
                <w:position w:val="-1"/>
                <w:sz w:val="11"/>
              </w:rPr>
              <w:drawing>
                <wp:inline distT="0" distB="0" distL="0" distR="0">
                  <wp:extent cx="57802" cy="71437"/>
                  <wp:effectExtent l="0" t="0" r="0" b="0"/>
                  <wp:docPr id="203" name="image13.png"/>
                  <wp:cNvGraphicFramePr>
                    <a:graphicFrameLocks noChangeAspect="1"/>
                  </wp:cNvGraphicFramePr>
                  <a:graphic>
                    <a:graphicData uri="http://schemas.openxmlformats.org/drawingml/2006/picture">
                      <pic:pic>
                        <pic:nvPicPr>
                          <pic:cNvPr id="204"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334" w:type="dxa"/>
          </w:tcPr>
          <w:p>
            <w:pPr>
              <w:pStyle w:val="TableParagraph"/>
              <w:spacing w:before="1"/>
              <w:rPr>
                <w:sz w:val="27"/>
              </w:rPr>
            </w:pPr>
          </w:p>
          <w:p>
            <w:pPr>
              <w:pStyle w:val="TableParagraph"/>
              <w:spacing w:line="112" w:lineRule="exact"/>
              <w:ind w:left="508"/>
              <w:rPr>
                <w:sz w:val="11"/>
              </w:rPr>
            </w:pPr>
            <w:r>
              <w:rPr>
                <w:position w:val="-1"/>
                <w:sz w:val="11"/>
              </w:rPr>
              <w:drawing>
                <wp:inline distT="0" distB="0" distL="0" distR="0">
                  <wp:extent cx="57802" cy="71437"/>
                  <wp:effectExtent l="0" t="0" r="0" b="0"/>
                  <wp:docPr id="205" name="image13.png"/>
                  <wp:cNvGraphicFramePr>
                    <a:graphicFrameLocks noChangeAspect="1"/>
                  </wp:cNvGraphicFramePr>
                  <a:graphic>
                    <a:graphicData uri="http://schemas.openxmlformats.org/drawingml/2006/picture">
                      <pic:pic>
                        <pic:nvPicPr>
                          <pic:cNvPr id="206"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336" w:type="dxa"/>
          </w:tcPr>
          <w:p>
            <w:pPr>
              <w:pStyle w:val="TableParagraph"/>
              <w:spacing w:before="1"/>
              <w:rPr>
                <w:sz w:val="27"/>
              </w:rPr>
            </w:pPr>
          </w:p>
          <w:p>
            <w:pPr>
              <w:pStyle w:val="TableParagraph"/>
              <w:spacing w:line="112" w:lineRule="exact"/>
              <w:ind w:left="506"/>
              <w:rPr>
                <w:sz w:val="11"/>
              </w:rPr>
            </w:pPr>
            <w:r>
              <w:rPr>
                <w:position w:val="-1"/>
                <w:sz w:val="11"/>
              </w:rPr>
              <w:drawing>
                <wp:inline distT="0" distB="0" distL="0" distR="0">
                  <wp:extent cx="57802" cy="71437"/>
                  <wp:effectExtent l="0" t="0" r="0" b="0"/>
                  <wp:docPr id="207" name="image13.png"/>
                  <wp:cNvGraphicFramePr>
                    <a:graphicFrameLocks noChangeAspect="1"/>
                  </wp:cNvGraphicFramePr>
                  <a:graphic>
                    <a:graphicData uri="http://schemas.openxmlformats.org/drawingml/2006/picture">
                      <pic:pic>
                        <pic:nvPicPr>
                          <pic:cNvPr id="208"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r>
      <w:tr>
        <w:trPr>
          <w:trHeight w:val="378" w:hRule="atLeast"/>
        </w:trPr>
        <w:tc>
          <w:tcPr>
            <w:tcW w:w="5015" w:type="dxa"/>
          </w:tcPr>
          <w:p>
            <w:pPr>
              <w:pStyle w:val="TableParagraph"/>
              <w:spacing w:before="42"/>
              <w:ind w:left="115"/>
              <w:rPr>
                <w:sz w:val="18"/>
              </w:rPr>
            </w:pPr>
            <w:r>
              <w:rPr>
                <w:sz w:val="18"/>
              </w:rPr>
              <w:t>List</w:t>
            </w:r>
            <w:r>
              <w:rPr>
                <w:spacing w:val="-5"/>
                <w:sz w:val="18"/>
              </w:rPr>
              <w:t> </w:t>
            </w:r>
            <w:r>
              <w:rPr>
                <w:sz w:val="18"/>
              </w:rPr>
              <w:t>of</w:t>
            </w:r>
            <w:r>
              <w:rPr>
                <w:spacing w:val="-5"/>
                <w:sz w:val="18"/>
              </w:rPr>
              <w:t> </w:t>
            </w:r>
            <w:r>
              <w:rPr>
                <w:sz w:val="18"/>
              </w:rPr>
              <w:t>all</w:t>
            </w:r>
            <w:r>
              <w:rPr>
                <w:spacing w:val="-3"/>
                <w:sz w:val="18"/>
              </w:rPr>
              <w:t> </w:t>
            </w:r>
            <w:r>
              <w:rPr>
                <w:sz w:val="18"/>
              </w:rPr>
              <w:t>patients</w:t>
            </w:r>
            <w:r>
              <w:rPr>
                <w:spacing w:val="-4"/>
                <w:sz w:val="18"/>
              </w:rPr>
              <w:t> </w:t>
            </w:r>
            <w:r>
              <w:rPr>
                <w:sz w:val="18"/>
              </w:rPr>
              <w:t>taking</w:t>
            </w:r>
            <w:r>
              <w:rPr>
                <w:spacing w:val="-4"/>
                <w:sz w:val="18"/>
              </w:rPr>
              <w:t> </w:t>
            </w:r>
            <w:r>
              <w:rPr>
                <w:sz w:val="18"/>
              </w:rPr>
              <w:t>a</w:t>
            </w:r>
            <w:r>
              <w:rPr>
                <w:spacing w:val="-3"/>
                <w:sz w:val="18"/>
              </w:rPr>
              <w:t> </w:t>
            </w:r>
            <w:r>
              <w:rPr>
                <w:sz w:val="18"/>
              </w:rPr>
              <w:t>particular</w:t>
            </w:r>
            <w:r>
              <w:rPr>
                <w:spacing w:val="-3"/>
                <w:sz w:val="18"/>
              </w:rPr>
              <w:t> </w:t>
            </w:r>
            <w:r>
              <w:rPr>
                <w:sz w:val="18"/>
              </w:rPr>
              <w:t>medication (5)</w:t>
            </w:r>
          </w:p>
        </w:tc>
        <w:tc>
          <w:tcPr>
            <w:tcW w:w="1333" w:type="dxa"/>
          </w:tcPr>
          <w:p>
            <w:pPr>
              <w:pStyle w:val="TableParagraph"/>
              <w:spacing w:before="1"/>
              <w:rPr>
                <w:sz w:val="9"/>
              </w:rPr>
            </w:pPr>
          </w:p>
          <w:p>
            <w:pPr>
              <w:pStyle w:val="TableParagraph"/>
              <w:spacing w:line="112" w:lineRule="exact"/>
              <w:ind w:left="510"/>
              <w:rPr>
                <w:sz w:val="11"/>
              </w:rPr>
            </w:pPr>
            <w:r>
              <w:rPr>
                <w:position w:val="-1"/>
                <w:sz w:val="11"/>
              </w:rPr>
              <w:drawing>
                <wp:inline distT="0" distB="0" distL="0" distR="0">
                  <wp:extent cx="57802" cy="71437"/>
                  <wp:effectExtent l="0" t="0" r="0" b="0"/>
                  <wp:docPr id="209" name="image13.png"/>
                  <wp:cNvGraphicFramePr>
                    <a:graphicFrameLocks noChangeAspect="1"/>
                  </wp:cNvGraphicFramePr>
                  <a:graphic>
                    <a:graphicData uri="http://schemas.openxmlformats.org/drawingml/2006/picture">
                      <pic:pic>
                        <pic:nvPicPr>
                          <pic:cNvPr id="210"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333" w:type="dxa"/>
          </w:tcPr>
          <w:p>
            <w:pPr>
              <w:pStyle w:val="TableParagraph"/>
              <w:spacing w:before="1"/>
              <w:rPr>
                <w:sz w:val="9"/>
              </w:rPr>
            </w:pPr>
          </w:p>
          <w:p>
            <w:pPr>
              <w:pStyle w:val="TableParagraph"/>
              <w:spacing w:line="112" w:lineRule="exact"/>
              <w:ind w:left="509"/>
              <w:rPr>
                <w:sz w:val="11"/>
              </w:rPr>
            </w:pPr>
            <w:r>
              <w:rPr>
                <w:position w:val="-1"/>
                <w:sz w:val="11"/>
              </w:rPr>
              <w:drawing>
                <wp:inline distT="0" distB="0" distL="0" distR="0">
                  <wp:extent cx="57802" cy="71437"/>
                  <wp:effectExtent l="0" t="0" r="0" b="0"/>
                  <wp:docPr id="211" name="image13.png"/>
                  <wp:cNvGraphicFramePr>
                    <a:graphicFrameLocks noChangeAspect="1"/>
                  </wp:cNvGraphicFramePr>
                  <a:graphic>
                    <a:graphicData uri="http://schemas.openxmlformats.org/drawingml/2006/picture">
                      <pic:pic>
                        <pic:nvPicPr>
                          <pic:cNvPr id="212"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334" w:type="dxa"/>
          </w:tcPr>
          <w:p>
            <w:pPr>
              <w:pStyle w:val="TableParagraph"/>
              <w:spacing w:before="1"/>
              <w:rPr>
                <w:sz w:val="9"/>
              </w:rPr>
            </w:pPr>
          </w:p>
          <w:p>
            <w:pPr>
              <w:pStyle w:val="TableParagraph"/>
              <w:spacing w:line="112" w:lineRule="exact"/>
              <w:ind w:left="508"/>
              <w:rPr>
                <w:sz w:val="11"/>
              </w:rPr>
            </w:pPr>
            <w:r>
              <w:rPr>
                <w:position w:val="-1"/>
                <w:sz w:val="11"/>
              </w:rPr>
              <w:drawing>
                <wp:inline distT="0" distB="0" distL="0" distR="0">
                  <wp:extent cx="57802" cy="71437"/>
                  <wp:effectExtent l="0" t="0" r="0" b="0"/>
                  <wp:docPr id="213" name="image13.png"/>
                  <wp:cNvGraphicFramePr>
                    <a:graphicFrameLocks noChangeAspect="1"/>
                  </wp:cNvGraphicFramePr>
                  <a:graphic>
                    <a:graphicData uri="http://schemas.openxmlformats.org/drawingml/2006/picture">
                      <pic:pic>
                        <pic:nvPicPr>
                          <pic:cNvPr id="214"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336" w:type="dxa"/>
          </w:tcPr>
          <w:p>
            <w:pPr>
              <w:pStyle w:val="TableParagraph"/>
              <w:spacing w:before="1"/>
              <w:rPr>
                <w:sz w:val="9"/>
              </w:rPr>
            </w:pPr>
          </w:p>
          <w:p>
            <w:pPr>
              <w:pStyle w:val="TableParagraph"/>
              <w:spacing w:line="112" w:lineRule="exact"/>
              <w:ind w:left="506"/>
              <w:rPr>
                <w:sz w:val="11"/>
              </w:rPr>
            </w:pPr>
            <w:r>
              <w:rPr>
                <w:position w:val="-1"/>
                <w:sz w:val="11"/>
              </w:rPr>
              <w:drawing>
                <wp:inline distT="0" distB="0" distL="0" distR="0">
                  <wp:extent cx="57802" cy="71437"/>
                  <wp:effectExtent l="0" t="0" r="0" b="0"/>
                  <wp:docPr id="215" name="image13.png"/>
                  <wp:cNvGraphicFramePr>
                    <a:graphicFrameLocks noChangeAspect="1"/>
                  </wp:cNvGraphicFramePr>
                  <a:graphic>
                    <a:graphicData uri="http://schemas.openxmlformats.org/drawingml/2006/picture">
                      <pic:pic>
                        <pic:nvPicPr>
                          <pic:cNvPr id="216"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r>
      <w:tr>
        <w:trPr>
          <w:trHeight w:val="599" w:hRule="atLeast"/>
        </w:trPr>
        <w:tc>
          <w:tcPr>
            <w:tcW w:w="5015" w:type="dxa"/>
          </w:tcPr>
          <w:p>
            <w:pPr>
              <w:pStyle w:val="TableParagraph"/>
              <w:spacing w:before="42"/>
              <w:ind w:left="115" w:right="106"/>
              <w:rPr>
                <w:sz w:val="18"/>
              </w:rPr>
            </w:pPr>
            <w:r>
              <w:rPr>
                <w:sz w:val="18"/>
              </w:rPr>
              <w:t>List</w:t>
            </w:r>
            <w:r>
              <w:rPr>
                <w:spacing w:val="-5"/>
                <w:sz w:val="18"/>
              </w:rPr>
              <w:t> </w:t>
            </w:r>
            <w:r>
              <w:rPr>
                <w:sz w:val="18"/>
              </w:rPr>
              <w:t>of</w:t>
            </w:r>
            <w:r>
              <w:rPr>
                <w:spacing w:val="-4"/>
                <w:sz w:val="18"/>
              </w:rPr>
              <w:t> </w:t>
            </w:r>
            <w:r>
              <w:rPr>
                <w:sz w:val="18"/>
              </w:rPr>
              <w:t>all</w:t>
            </w:r>
            <w:r>
              <w:rPr>
                <w:spacing w:val="-3"/>
                <w:sz w:val="18"/>
              </w:rPr>
              <w:t> </w:t>
            </w:r>
            <w:r>
              <w:rPr>
                <w:sz w:val="18"/>
              </w:rPr>
              <w:t>laboratory</w:t>
            </w:r>
            <w:r>
              <w:rPr>
                <w:spacing w:val="-3"/>
                <w:sz w:val="18"/>
              </w:rPr>
              <w:t> </w:t>
            </w:r>
            <w:r>
              <w:rPr>
                <w:sz w:val="18"/>
              </w:rPr>
              <w:t>results</w:t>
            </w:r>
            <w:r>
              <w:rPr>
                <w:spacing w:val="-4"/>
                <w:sz w:val="18"/>
              </w:rPr>
              <w:t> </w:t>
            </w:r>
            <w:r>
              <w:rPr>
                <w:sz w:val="18"/>
              </w:rPr>
              <w:t>for</w:t>
            </w:r>
            <w:r>
              <w:rPr>
                <w:spacing w:val="-2"/>
                <w:sz w:val="18"/>
              </w:rPr>
              <w:t> </w:t>
            </w:r>
            <w:r>
              <w:rPr>
                <w:sz w:val="18"/>
              </w:rPr>
              <w:t>an</w:t>
            </w:r>
            <w:r>
              <w:rPr>
                <w:spacing w:val="-5"/>
                <w:sz w:val="18"/>
              </w:rPr>
              <w:t> </w:t>
            </w:r>
            <w:r>
              <w:rPr>
                <w:sz w:val="18"/>
              </w:rPr>
              <w:t>individual</w:t>
            </w:r>
            <w:r>
              <w:rPr>
                <w:spacing w:val="-2"/>
                <w:sz w:val="18"/>
              </w:rPr>
              <w:t> </w:t>
            </w:r>
            <w:r>
              <w:rPr>
                <w:sz w:val="18"/>
              </w:rPr>
              <w:t>patient</w:t>
            </w:r>
            <w:r>
              <w:rPr>
                <w:spacing w:val="-47"/>
                <w:sz w:val="18"/>
              </w:rPr>
              <w:t> </w:t>
            </w:r>
            <w:r>
              <w:rPr>
                <w:sz w:val="18"/>
              </w:rPr>
              <w:t>(including</w:t>
            </w:r>
            <w:r>
              <w:rPr>
                <w:spacing w:val="-4"/>
                <w:sz w:val="18"/>
              </w:rPr>
              <w:t> </w:t>
            </w:r>
            <w:r>
              <w:rPr>
                <w:sz w:val="18"/>
              </w:rPr>
              <w:t>those</w:t>
            </w:r>
            <w:r>
              <w:rPr>
                <w:spacing w:val="-1"/>
                <w:sz w:val="18"/>
              </w:rPr>
              <w:t> </w:t>
            </w:r>
            <w:r>
              <w:rPr>
                <w:sz w:val="18"/>
              </w:rPr>
              <w:t>ordered</w:t>
            </w:r>
            <w:r>
              <w:rPr>
                <w:spacing w:val="-2"/>
                <w:sz w:val="18"/>
              </w:rPr>
              <w:t> </w:t>
            </w:r>
            <w:r>
              <w:rPr>
                <w:sz w:val="18"/>
              </w:rPr>
              <w:t>by</w:t>
            </w:r>
            <w:r>
              <w:rPr>
                <w:spacing w:val="-4"/>
                <w:sz w:val="18"/>
              </w:rPr>
              <w:t> </w:t>
            </w:r>
            <w:r>
              <w:rPr>
                <w:sz w:val="18"/>
              </w:rPr>
              <w:t>other</w:t>
            </w:r>
            <w:r>
              <w:rPr>
                <w:spacing w:val="-1"/>
                <w:sz w:val="18"/>
              </w:rPr>
              <w:t> </w:t>
            </w:r>
            <w:r>
              <w:rPr>
                <w:sz w:val="18"/>
              </w:rPr>
              <w:t>doctors).</w:t>
            </w:r>
            <w:r>
              <w:rPr>
                <w:spacing w:val="-1"/>
                <w:sz w:val="18"/>
              </w:rPr>
              <w:t> </w:t>
            </w:r>
            <w:r>
              <w:rPr>
                <w:sz w:val="18"/>
              </w:rPr>
              <w:t>(6)</w:t>
            </w:r>
          </w:p>
        </w:tc>
        <w:tc>
          <w:tcPr>
            <w:tcW w:w="1333" w:type="dxa"/>
          </w:tcPr>
          <w:p>
            <w:pPr>
              <w:pStyle w:val="TableParagraph"/>
              <w:spacing w:before="1"/>
              <w:rPr>
                <w:sz w:val="18"/>
              </w:rPr>
            </w:pPr>
          </w:p>
          <w:p>
            <w:pPr>
              <w:pStyle w:val="TableParagraph"/>
              <w:spacing w:line="112" w:lineRule="exact"/>
              <w:ind w:left="510"/>
              <w:rPr>
                <w:sz w:val="11"/>
              </w:rPr>
            </w:pPr>
            <w:r>
              <w:rPr>
                <w:position w:val="-1"/>
                <w:sz w:val="11"/>
              </w:rPr>
              <w:drawing>
                <wp:inline distT="0" distB="0" distL="0" distR="0">
                  <wp:extent cx="57802" cy="71437"/>
                  <wp:effectExtent l="0" t="0" r="0" b="0"/>
                  <wp:docPr id="217" name="image13.png"/>
                  <wp:cNvGraphicFramePr>
                    <a:graphicFrameLocks noChangeAspect="1"/>
                  </wp:cNvGraphicFramePr>
                  <a:graphic>
                    <a:graphicData uri="http://schemas.openxmlformats.org/drawingml/2006/picture">
                      <pic:pic>
                        <pic:nvPicPr>
                          <pic:cNvPr id="218"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333" w:type="dxa"/>
          </w:tcPr>
          <w:p>
            <w:pPr>
              <w:pStyle w:val="TableParagraph"/>
              <w:spacing w:before="1"/>
              <w:rPr>
                <w:sz w:val="18"/>
              </w:rPr>
            </w:pPr>
          </w:p>
          <w:p>
            <w:pPr>
              <w:pStyle w:val="TableParagraph"/>
              <w:spacing w:line="112" w:lineRule="exact"/>
              <w:ind w:left="509"/>
              <w:rPr>
                <w:sz w:val="11"/>
              </w:rPr>
            </w:pPr>
            <w:r>
              <w:rPr>
                <w:position w:val="-1"/>
                <w:sz w:val="11"/>
              </w:rPr>
              <w:drawing>
                <wp:inline distT="0" distB="0" distL="0" distR="0">
                  <wp:extent cx="57802" cy="71437"/>
                  <wp:effectExtent l="0" t="0" r="0" b="0"/>
                  <wp:docPr id="219" name="image13.png"/>
                  <wp:cNvGraphicFramePr>
                    <a:graphicFrameLocks noChangeAspect="1"/>
                  </wp:cNvGraphicFramePr>
                  <a:graphic>
                    <a:graphicData uri="http://schemas.openxmlformats.org/drawingml/2006/picture">
                      <pic:pic>
                        <pic:nvPicPr>
                          <pic:cNvPr id="220"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334" w:type="dxa"/>
          </w:tcPr>
          <w:p>
            <w:pPr>
              <w:pStyle w:val="TableParagraph"/>
              <w:spacing w:before="1"/>
              <w:rPr>
                <w:sz w:val="18"/>
              </w:rPr>
            </w:pPr>
          </w:p>
          <w:p>
            <w:pPr>
              <w:pStyle w:val="TableParagraph"/>
              <w:spacing w:line="112" w:lineRule="exact"/>
              <w:ind w:left="508"/>
              <w:rPr>
                <w:sz w:val="11"/>
              </w:rPr>
            </w:pPr>
            <w:r>
              <w:rPr>
                <w:position w:val="-1"/>
                <w:sz w:val="11"/>
              </w:rPr>
              <w:drawing>
                <wp:inline distT="0" distB="0" distL="0" distR="0">
                  <wp:extent cx="57802" cy="71437"/>
                  <wp:effectExtent l="0" t="0" r="0" b="0"/>
                  <wp:docPr id="221" name="image13.png"/>
                  <wp:cNvGraphicFramePr>
                    <a:graphicFrameLocks noChangeAspect="1"/>
                  </wp:cNvGraphicFramePr>
                  <a:graphic>
                    <a:graphicData uri="http://schemas.openxmlformats.org/drawingml/2006/picture">
                      <pic:pic>
                        <pic:nvPicPr>
                          <pic:cNvPr id="222"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336" w:type="dxa"/>
          </w:tcPr>
          <w:p>
            <w:pPr>
              <w:pStyle w:val="TableParagraph"/>
              <w:spacing w:before="1"/>
              <w:rPr>
                <w:sz w:val="18"/>
              </w:rPr>
            </w:pPr>
          </w:p>
          <w:p>
            <w:pPr>
              <w:pStyle w:val="TableParagraph"/>
              <w:spacing w:line="112" w:lineRule="exact"/>
              <w:ind w:left="506"/>
              <w:rPr>
                <w:sz w:val="11"/>
              </w:rPr>
            </w:pPr>
            <w:r>
              <w:rPr>
                <w:position w:val="-1"/>
                <w:sz w:val="11"/>
              </w:rPr>
              <w:drawing>
                <wp:inline distT="0" distB="0" distL="0" distR="0">
                  <wp:extent cx="57802" cy="71437"/>
                  <wp:effectExtent l="0" t="0" r="0" b="0"/>
                  <wp:docPr id="223" name="image13.png"/>
                  <wp:cNvGraphicFramePr>
                    <a:graphicFrameLocks noChangeAspect="1"/>
                  </wp:cNvGraphicFramePr>
                  <a:graphic>
                    <a:graphicData uri="http://schemas.openxmlformats.org/drawingml/2006/picture">
                      <pic:pic>
                        <pic:nvPicPr>
                          <pic:cNvPr id="224"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r>
      <w:tr>
        <w:trPr>
          <w:trHeight w:val="378" w:hRule="atLeast"/>
        </w:trPr>
        <w:tc>
          <w:tcPr>
            <w:tcW w:w="5015" w:type="dxa"/>
          </w:tcPr>
          <w:p>
            <w:pPr>
              <w:pStyle w:val="TableParagraph"/>
              <w:spacing w:before="42"/>
              <w:ind w:left="115"/>
              <w:rPr>
                <w:sz w:val="18"/>
              </w:rPr>
            </w:pPr>
            <w:r>
              <w:rPr>
                <w:sz w:val="18"/>
              </w:rPr>
              <w:t>Clinical</w:t>
            </w:r>
            <w:r>
              <w:rPr>
                <w:spacing w:val="-4"/>
                <w:sz w:val="18"/>
              </w:rPr>
              <w:t> </w:t>
            </w:r>
            <w:r>
              <w:rPr>
                <w:sz w:val="18"/>
              </w:rPr>
              <w:t>summaries</w:t>
            </w:r>
            <w:r>
              <w:rPr>
                <w:spacing w:val="-4"/>
                <w:sz w:val="18"/>
              </w:rPr>
              <w:t> </w:t>
            </w:r>
            <w:r>
              <w:rPr>
                <w:sz w:val="18"/>
              </w:rPr>
              <w:t>to</w:t>
            </w:r>
            <w:r>
              <w:rPr>
                <w:spacing w:val="-3"/>
                <w:sz w:val="18"/>
              </w:rPr>
              <w:t> </w:t>
            </w:r>
            <w:r>
              <w:rPr>
                <w:sz w:val="18"/>
              </w:rPr>
              <w:t>give</w:t>
            </w:r>
            <w:r>
              <w:rPr>
                <w:spacing w:val="-3"/>
                <w:sz w:val="18"/>
              </w:rPr>
              <w:t> </w:t>
            </w:r>
            <w:r>
              <w:rPr>
                <w:sz w:val="18"/>
              </w:rPr>
              <w:t>patients</w:t>
            </w:r>
            <w:r>
              <w:rPr>
                <w:spacing w:val="-4"/>
                <w:sz w:val="18"/>
              </w:rPr>
              <w:t> </w:t>
            </w:r>
            <w:r>
              <w:rPr>
                <w:sz w:val="18"/>
              </w:rPr>
              <w:t>after</w:t>
            </w:r>
            <w:r>
              <w:rPr>
                <w:spacing w:val="-4"/>
                <w:sz w:val="18"/>
              </w:rPr>
              <w:t> </w:t>
            </w:r>
            <w:r>
              <w:rPr>
                <w:sz w:val="18"/>
              </w:rPr>
              <w:t>each</w:t>
            </w:r>
            <w:r>
              <w:rPr>
                <w:spacing w:val="-3"/>
                <w:sz w:val="18"/>
              </w:rPr>
              <w:t> </w:t>
            </w:r>
            <w:r>
              <w:rPr>
                <w:sz w:val="18"/>
              </w:rPr>
              <w:t>visit.</w:t>
            </w:r>
            <w:r>
              <w:rPr>
                <w:spacing w:val="-3"/>
                <w:sz w:val="18"/>
              </w:rPr>
              <w:t> </w:t>
            </w:r>
            <w:r>
              <w:rPr>
                <w:sz w:val="18"/>
              </w:rPr>
              <w:t>(7)</w:t>
            </w:r>
          </w:p>
        </w:tc>
        <w:tc>
          <w:tcPr>
            <w:tcW w:w="1333" w:type="dxa"/>
          </w:tcPr>
          <w:p>
            <w:pPr>
              <w:pStyle w:val="TableParagraph"/>
              <w:spacing w:before="1"/>
              <w:rPr>
                <w:sz w:val="9"/>
              </w:rPr>
            </w:pPr>
          </w:p>
          <w:p>
            <w:pPr>
              <w:pStyle w:val="TableParagraph"/>
              <w:spacing w:line="112" w:lineRule="exact"/>
              <w:ind w:left="510"/>
              <w:rPr>
                <w:sz w:val="11"/>
              </w:rPr>
            </w:pPr>
            <w:r>
              <w:rPr>
                <w:position w:val="-1"/>
                <w:sz w:val="11"/>
              </w:rPr>
              <w:drawing>
                <wp:inline distT="0" distB="0" distL="0" distR="0">
                  <wp:extent cx="57802" cy="71437"/>
                  <wp:effectExtent l="0" t="0" r="0" b="0"/>
                  <wp:docPr id="225" name="image13.png"/>
                  <wp:cNvGraphicFramePr>
                    <a:graphicFrameLocks noChangeAspect="1"/>
                  </wp:cNvGraphicFramePr>
                  <a:graphic>
                    <a:graphicData uri="http://schemas.openxmlformats.org/drawingml/2006/picture">
                      <pic:pic>
                        <pic:nvPicPr>
                          <pic:cNvPr id="226"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333" w:type="dxa"/>
          </w:tcPr>
          <w:p>
            <w:pPr>
              <w:pStyle w:val="TableParagraph"/>
              <w:spacing w:before="1"/>
              <w:rPr>
                <w:sz w:val="9"/>
              </w:rPr>
            </w:pPr>
          </w:p>
          <w:p>
            <w:pPr>
              <w:pStyle w:val="TableParagraph"/>
              <w:spacing w:line="112" w:lineRule="exact"/>
              <w:ind w:left="509"/>
              <w:rPr>
                <w:sz w:val="11"/>
              </w:rPr>
            </w:pPr>
            <w:r>
              <w:rPr>
                <w:position w:val="-1"/>
                <w:sz w:val="11"/>
              </w:rPr>
              <w:drawing>
                <wp:inline distT="0" distB="0" distL="0" distR="0">
                  <wp:extent cx="57802" cy="71437"/>
                  <wp:effectExtent l="0" t="0" r="0" b="0"/>
                  <wp:docPr id="227" name="image13.png"/>
                  <wp:cNvGraphicFramePr>
                    <a:graphicFrameLocks noChangeAspect="1"/>
                  </wp:cNvGraphicFramePr>
                  <a:graphic>
                    <a:graphicData uri="http://schemas.openxmlformats.org/drawingml/2006/picture">
                      <pic:pic>
                        <pic:nvPicPr>
                          <pic:cNvPr id="228"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334" w:type="dxa"/>
          </w:tcPr>
          <w:p>
            <w:pPr>
              <w:pStyle w:val="TableParagraph"/>
              <w:spacing w:before="1"/>
              <w:rPr>
                <w:sz w:val="9"/>
              </w:rPr>
            </w:pPr>
          </w:p>
          <w:p>
            <w:pPr>
              <w:pStyle w:val="TableParagraph"/>
              <w:spacing w:line="112" w:lineRule="exact"/>
              <w:ind w:left="508"/>
              <w:rPr>
                <w:sz w:val="11"/>
              </w:rPr>
            </w:pPr>
            <w:r>
              <w:rPr>
                <w:position w:val="-1"/>
                <w:sz w:val="11"/>
              </w:rPr>
              <w:drawing>
                <wp:inline distT="0" distB="0" distL="0" distR="0">
                  <wp:extent cx="57802" cy="71437"/>
                  <wp:effectExtent l="0" t="0" r="0" b="0"/>
                  <wp:docPr id="229" name="image13.png"/>
                  <wp:cNvGraphicFramePr>
                    <a:graphicFrameLocks noChangeAspect="1"/>
                  </wp:cNvGraphicFramePr>
                  <a:graphic>
                    <a:graphicData uri="http://schemas.openxmlformats.org/drawingml/2006/picture">
                      <pic:pic>
                        <pic:nvPicPr>
                          <pic:cNvPr id="230"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336" w:type="dxa"/>
          </w:tcPr>
          <w:p>
            <w:pPr>
              <w:pStyle w:val="TableParagraph"/>
              <w:spacing w:before="1"/>
              <w:rPr>
                <w:sz w:val="9"/>
              </w:rPr>
            </w:pPr>
          </w:p>
          <w:p>
            <w:pPr>
              <w:pStyle w:val="TableParagraph"/>
              <w:spacing w:line="112" w:lineRule="exact"/>
              <w:ind w:left="506"/>
              <w:rPr>
                <w:sz w:val="11"/>
              </w:rPr>
            </w:pPr>
            <w:r>
              <w:rPr>
                <w:position w:val="-1"/>
                <w:sz w:val="11"/>
              </w:rPr>
              <w:drawing>
                <wp:inline distT="0" distB="0" distL="0" distR="0">
                  <wp:extent cx="57802" cy="71437"/>
                  <wp:effectExtent l="0" t="0" r="0" b="0"/>
                  <wp:docPr id="231" name="image13.png"/>
                  <wp:cNvGraphicFramePr>
                    <a:graphicFrameLocks noChangeAspect="1"/>
                  </wp:cNvGraphicFramePr>
                  <a:graphic>
                    <a:graphicData uri="http://schemas.openxmlformats.org/drawingml/2006/picture">
                      <pic:pic>
                        <pic:nvPicPr>
                          <pic:cNvPr id="232"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r>
    </w:tbl>
    <w:p>
      <w:pPr>
        <w:pStyle w:val="BodyText"/>
        <w:spacing w:before="10"/>
        <w:rPr>
          <w:sz w:val="19"/>
        </w:rPr>
      </w:pPr>
    </w:p>
    <w:p>
      <w:pPr>
        <w:pStyle w:val="ListParagraph"/>
        <w:numPr>
          <w:ilvl w:val="0"/>
          <w:numId w:val="41"/>
        </w:numPr>
        <w:tabs>
          <w:tab w:pos="568" w:val="left" w:leader="none"/>
        </w:tabs>
        <w:spacing w:line="240" w:lineRule="auto" w:before="0" w:after="0"/>
        <w:ind w:left="567" w:right="990" w:hanging="428"/>
        <w:jc w:val="left"/>
        <w:rPr>
          <w:sz w:val="18"/>
        </w:rPr>
      </w:pPr>
      <w:r>
        <w:rPr>
          <w:sz w:val="18"/>
        </w:rPr>
        <w:t>In your practice/ service, do GP's routinely receive and review data on the following aspects of their patients'</w:t>
      </w:r>
      <w:r>
        <w:rPr>
          <w:spacing w:val="-48"/>
          <w:sz w:val="18"/>
        </w:rPr>
        <w:t> </w:t>
      </w:r>
      <w:r>
        <w:rPr>
          <w:sz w:val="18"/>
        </w:rPr>
        <w:t>care?</w:t>
      </w:r>
    </w:p>
    <w:p>
      <w:pPr>
        <w:pStyle w:val="BodyText"/>
        <w:rPr>
          <w:sz w:val="23"/>
        </w:rPr>
      </w:pPr>
    </w:p>
    <w:tbl>
      <w:tblPr>
        <w:tblW w:w="0" w:type="auto"/>
        <w:jc w:val="left"/>
        <w:tblInd w:w="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7227"/>
        <w:gridCol w:w="1061"/>
        <w:gridCol w:w="1065"/>
      </w:tblGrid>
      <w:tr>
        <w:trPr>
          <w:trHeight w:val="378" w:hRule="atLeast"/>
        </w:trPr>
        <w:tc>
          <w:tcPr>
            <w:tcW w:w="7227" w:type="dxa"/>
            <w:shd w:val="clear" w:color="auto" w:fill="F1F1F1"/>
          </w:tcPr>
          <w:p>
            <w:pPr>
              <w:pStyle w:val="TableParagraph"/>
              <w:rPr>
                <w:rFonts w:ascii="Times New Roman"/>
                <w:sz w:val="18"/>
              </w:rPr>
            </w:pPr>
          </w:p>
        </w:tc>
        <w:tc>
          <w:tcPr>
            <w:tcW w:w="1061" w:type="dxa"/>
            <w:shd w:val="clear" w:color="auto" w:fill="F1F1F1"/>
          </w:tcPr>
          <w:p>
            <w:pPr>
              <w:pStyle w:val="TableParagraph"/>
              <w:spacing w:before="42"/>
              <w:ind w:left="242"/>
              <w:rPr>
                <w:sz w:val="18"/>
              </w:rPr>
            </w:pPr>
            <w:r>
              <w:rPr>
                <w:sz w:val="18"/>
              </w:rPr>
              <w:t>Yes (1)</w:t>
            </w:r>
          </w:p>
        </w:tc>
        <w:tc>
          <w:tcPr>
            <w:tcW w:w="1065" w:type="dxa"/>
            <w:shd w:val="clear" w:color="auto" w:fill="F1F1F1"/>
          </w:tcPr>
          <w:p>
            <w:pPr>
              <w:pStyle w:val="TableParagraph"/>
              <w:spacing w:before="42"/>
              <w:ind w:left="266"/>
              <w:rPr>
                <w:sz w:val="18"/>
              </w:rPr>
            </w:pPr>
            <w:r>
              <w:rPr>
                <w:sz w:val="18"/>
              </w:rPr>
              <w:t>No</w:t>
            </w:r>
            <w:r>
              <w:rPr>
                <w:spacing w:val="-1"/>
                <w:sz w:val="18"/>
              </w:rPr>
              <w:t> </w:t>
            </w:r>
            <w:r>
              <w:rPr>
                <w:sz w:val="18"/>
              </w:rPr>
              <w:t>(2)</w:t>
            </w:r>
          </w:p>
        </w:tc>
      </w:tr>
      <w:tr>
        <w:trPr>
          <w:trHeight w:val="599" w:hRule="atLeast"/>
        </w:trPr>
        <w:tc>
          <w:tcPr>
            <w:tcW w:w="7227" w:type="dxa"/>
          </w:tcPr>
          <w:p>
            <w:pPr>
              <w:pStyle w:val="TableParagraph"/>
              <w:spacing w:before="42"/>
              <w:ind w:left="114" w:right="161"/>
              <w:rPr>
                <w:sz w:val="18"/>
              </w:rPr>
            </w:pPr>
            <w:r>
              <w:rPr>
                <w:sz w:val="18"/>
              </w:rPr>
              <w:t>Clinical</w:t>
            </w:r>
            <w:r>
              <w:rPr>
                <w:spacing w:val="-4"/>
                <w:sz w:val="18"/>
              </w:rPr>
              <w:t> </w:t>
            </w:r>
            <w:r>
              <w:rPr>
                <w:sz w:val="18"/>
              </w:rPr>
              <w:t>outcomes</w:t>
            </w:r>
            <w:r>
              <w:rPr>
                <w:spacing w:val="-2"/>
                <w:sz w:val="18"/>
              </w:rPr>
              <w:t> </w:t>
            </w:r>
            <w:r>
              <w:rPr>
                <w:sz w:val="18"/>
              </w:rPr>
              <w:t>(e.g.</w:t>
            </w:r>
            <w:r>
              <w:rPr>
                <w:spacing w:val="-5"/>
                <w:sz w:val="18"/>
              </w:rPr>
              <w:t> </w:t>
            </w:r>
            <w:r>
              <w:rPr>
                <w:sz w:val="18"/>
              </w:rPr>
              <w:t>percentage</w:t>
            </w:r>
            <w:r>
              <w:rPr>
                <w:spacing w:val="-4"/>
                <w:sz w:val="18"/>
              </w:rPr>
              <w:t> </w:t>
            </w:r>
            <w:r>
              <w:rPr>
                <w:sz w:val="18"/>
              </w:rPr>
              <w:t>of</w:t>
            </w:r>
            <w:r>
              <w:rPr>
                <w:spacing w:val="-2"/>
                <w:sz w:val="18"/>
              </w:rPr>
              <w:t> </w:t>
            </w:r>
            <w:r>
              <w:rPr>
                <w:sz w:val="18"/>
              </w:rPr>
              <w:t>patients</w:t>
            </w:r>
            <w:r>
              <w:rPr>
                <w:spacing w:val="-5"/>
                <w:sz w:val="18"/>
              </w:rPr>
              <w:t> </w:t>
            </w:r>
            <w:r>
              <w:rPr>
                <w:sz w:val="18"/>
              </w:rPr>
              <w:t>with</w:t>
            </w:r>
            <w:r>
              <w:rPr>
                <w:spacing w:val="-3"/>
                <w:sz w:val="18"/>
              </w:rPr>
              <w:t> </w:t>
            </w:r>
            <w:r>
              <w:rPr>
                <w:sz w:val="18"/>
              </w:rPr>
              <w:t>diabetes</w:t>
            </w:r>
            <w:r>
              <w:rPr>
                <w:spacing w:val="-5"/>
                <w:sz w:val="18"/>
              </w:rPr>
              <w:t> </w:t>
            </w:r>
            <w:r>
              <w:rPr>
                <w:sz w:val="18"/>
              </w:rPr>
              <w:t>or</w:t>
            </w:r>
            <w:r>
              <w:rPr>
                <w:spacing w:val="-3"/>
                <w:sz w:val="18"/>
              </w:rPr>
              <w:t> </w:t>
            </w:r>
            <w:r>
              <w:rPr>
                <w:sz w:val="18"/>
              </w:rPr>
              <w:t>asthma</w:t>
            </w:r>
            <w:r>
              <w:rPr>
                <w:spacing w:val="-5"/>
                <w:sz w:val="18"/>
              </w:rPr>
              <w:t> </w:t>
            </w:r>
            <w:r>
              <w:rPr>
                <w:sz w:val="18"/>
              </w:rPr>
              <w:t>with</w:t>
            </w:r>
            <w:r>
              <w:rPr>
                <w:spacing w:val="-47"/>
                <w:sz w:val="18"/>
              </w:rPr>
              <w:t> </w:t>
            </w:r>
            <w:r>
              <w:rPr>
                <w:sz w:val="18"/>
              </w:rPr>
              <w:t>good</w:t>
            </w:r>
            <w:r>
              <w:rPr>
                <w:spacing w:val="-2"/>
                <w:sz w:val="18"/>
              </w:rPr>
              <w:t> </w:t>
            </w:r>
            <w:r>
              <w:rPr>
                <w:sz w:val="18"/>
              </w:rPr>
              <w:t>control) (1)</w:t>
            </w:r>
          </w:p>
        </w:tc>
        <w:tc>
          <w:tcPr>
            <w:tcW w:w="1061" w:type="dxa"/>
          </w:tcPr>
          <w:p>
            <w:pPr>
              <w:pStyle w:val="TableParagraph"/>
              <w:rPr>
                <w:sz w:val="18"/>
              </w:rPr>
            </w:pPr>
          </w:p>
          <w:p>
            <w:pPr>
              <w:pStyle w:val="TableParagraph"/>
              <w:spacing w:line="114" w:lineRule="exact"/>
              <w:ind w:left="375"/>
              <w:rPr>
                <w:sz w:val="11"/>
              </w:rPr>
            </w:pPr>
            <w:r>
              <w:rPr>
                <w:position w:val="-1"/>
                <w:sz w:val="11"/>
              </w:rPr>
              <w:drawing>
                <wp:inline distT="0" distB="0" distL="0" distR="0">
                  <wp:extent cx="58958" cy="72866"/>
                  <wp:effectExtent l="0" t="0" r="0" b="0"/>
                  <wp:docPr id="233" name="image13.png"/>
                  <wp:cNvGraphicFramePr>
                    <a:graphicFrameLocks noChangeAspect="1"/>
                  </wp:cNvGraphicFramePr>
                  <a:graphic>
                    <a:graphicData uri="http://schemas.openxmlformats.org/drawingml/2006/picture">
                      <pic:pic>
                        <pic:nvPicPr>
                          <pic:cNvPr id="234"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065" w:type="dxa"/>
          </w:tcPr>
          <w:p>
            <w:pPr>
              <w:pStyle w:val="TableParagraph"/>
              <w:rPr>
                <w:sz w:val="18"/>
              </w:rPr>
            </w:pPr>
          </w:p>
          <w:p>
            <w:pPr>
              <w:pStyle w:val="TableParagraph"/>
              <w:spacing w:line="114" w:lineRule="exact"/>
              <w:ind w:left="378"/>
              <w:rPr>
                <w:sz w:val="11"/>
              </w:rPr>
            </w:pPr>
            <w:r>
              <w:rPr>
                <w:position w:val="-1"/>
                <w:sz w:val="11"/>
              </w:rPr>
              <w:drawing>
                <wp:inline distT="0" distB="0" distL="0" distR="0">
                  <wp:extent cx="58958" cy="72866"/>
                  <wp:effectExtent l="0" t="0" r="0" b="0"/>
                  <wp:docPr id="235" name="image13.png"/>
                  <wp:cNvGraphicFramePr>
                    <a:graphicFrameLocks noChangeAspect="1"/>
                  </wp:cNvGraphicFramePr>
                  <a:graphic>
                    <a:graphicData uri="http://schemas.openxmlformats.org/drawingml/2006/picture">
                      <pic:pic>
                        <pic:nvPicPr>
                          <pic:cNvPr id="236"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r>
      <w:tr>
        <w:trPr>
          <w:trHeight w:val="378" w:hRule="atLeast"/>
        </w:trPr>
        <w:tc>
          <w:tcPr>
            <w:tcW w:w="7227" w:type="dxa"/>
          </w:tcPr>
          <w:p>
            <w:pPr>
              <w:pStyle w:val="TableParagraph"/>
              <w:spacing w:before="42"/>
              <w:ind w:left="114"/>
              <w:rPr>
                <w:sz w:val="18"/>
              </w:rPr>
            </w:pPr>
            <w:r>
              <w:rPr>
                <w:sz w:val="18"/>
              </w:rPr>
              <w:t>Surveys</w:t>
            </w:r>
            <w:r>
              <w:rPr>
                <w:spacing w:val="-5"/>
                <w:sz w:val="18"/>
              </w:rPr>
              <w:t> </w:t>
            </w:r>
            <w:r>
              <w:rPr>
                <w:sz w:val="18"/>
              </w:rPr>
              <w:t>of</w:t>
            </w:r>
            <w:r>
              <w:rPr>
                <w:spacing w:val="-2"/>
                <w:sz w:val="18"/>
              </w:rPr>
              <w:t> </w:t>
            </w:r>
            <w:r>
              <w:rPr>
                <w:sz w:val="18"/>
              </w:rPr>
              <w:t>patient</w:t>
            </w:r>
            <w:r>
              <w:rPr>
                <w:spacing w:val="-5"/>
                <w:sz w:val="18"/>
              </w:rPr>
              <w:t> </w:t>
            </w:r>
            <w:r>
              <w:rPr>
                <w:sz w:val="18"/>
              </w:rPr>
              <w:t>satisfaction</w:t>
            </w:r>
            <w:r>
              <w:rPr>
                <w:spacing w:val="-3"/>
                <w:sz w:val="18"/>
              </w:rPr>
              <w:t> </w:t>
            </w:r>
            <w:r>
              <w:rPr>
                <w:sz w:val="18"/>
              </w:rPr>
              <w:t>and</w:t>
            </w:r>
            <w:r>
              <w:rPr>
                <w:spacing w:val="-5"/>
                <w:sz w:val="18"/>
              </w:rPr>
              <w:t> </w:t>
            </w:r>
            <w:r>
              <w:rPr>
                <w:sz w:val="18"/>
              </w:rPr>
              <w:t>experiences</w:t>
            </w:r>
            <w:r>
              <w:rPr>
                <w:spacing w:val="-4"/>
                <w:sz w:val="18"/>
              </w:rPr>
              <w:t> </w:t>
            </w:r>
            <w:r>
              <w:rPr>
                <w:sz w:val="18"/>
              </w:rPr>
              <w:t>with</w:t>
            </w:r>
            <w:r>
              <w:rPr>
                <w:spacing w:val="-5"/>
                <w:sz w:val="18"/>
              </w:rPr>
              <w:t> </w:t>
            </w:r>
            <w:r>
              <w:rPr>
                <w:sz w:val="18"/>
              </w:rPr>
              <w:t>care</w:t>
            </w:r>
            <w:r>
              <w:rPr>
                <w:spacing w:val="-1"/>
                <w:sz w:val="18"/>
              </w:rPr>
              <w:t> </w:t>
            </w:r>
            <w:r>
              <w:rPr>
                <w:sz w:val="18"/>
              </w:rPr>
              <w:t>(2)</w:t>
            </w:r>
          </w:p>
        </w:tc>
        <w:tc>
          <w:tcPr>
            <w:tcW w:w="1061" w:type="dxa"/>
          </w:tcPr>
          <w:p>
            <w:pPr>
              <w:pStyle w:val="TableParagraph"/>
              <w:rPr>
                <w:sz w:val="9"/>
              </w:rPr>
            </w:pPr>
          </w:p>
          <w:p>
            <w:pPr>
              <w:pStyle w:val="TableParagraph"/>
              <w:spacing w:line="114" w:lineRule="exact"/>
              <w:ind w:left="375"/>
              <w:rPr>
                <w:sz w:val="11"/>
              </w:rPr>
            </w:pPr>
            <w:r>
              <w:rPr>
                <w:position w:val="-1"/>
                <w:sz w:val="11"/>
              </w:rPr>
              <w:drawing>
                <wp:inline distT="0" distB="0" distL="0" distR="0">
                  <wp:extent cx="58958" cy="72866"/>
                  <wp:effectExtent l="0" t="0" r="0" b="0"/>
                  <wp:docPr id="237" name="image13.png"/>
                  <wp:cNvGraphicFramePr>
                    <a:graphicFrameLocks noChangeAspect="1"/>
                  </wp:cNvGraphicFramePr>
                  <a:graphic>
                    <a:graphicData uri="http://schemas.openxmlformats.org/drawingml/2006/picture">
                      <pic:pic>
                        <pic:nvPicPr>
                          <pic:cNvPr id="238"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065" w:type="dxa"/>
          </w:tcPr>
          <w:p>
            <w:pPr>
              <w:pStyle w:val="TableParagraph"/>
              <w:rPr>
                <w:sz w:val="9"/>
              </w:rPr>
            </w:pPr>
          </w:p>
          <w:p>
            <w:pPr>
              <w:pStyle w:val="TableParagraph"/>
              <w:spacing w:line="114" w:lineRule="exact"/>
              <w:ind w:left="378"/>
              <w:rPr>
                <w:sz w:val="11"/>
              </w:rPr>
            </w:pPr>
            <w:r>
              <w:rPr>
                <w:position w:val="-1"/>
                <w:sz w:val="11"/>
              </w:rPr>
              <w:drawing>
                <wp:inline distT="0" distB="0" distL="0" distR="0">
                  <wp:extent cx="58958" cy="72866"/>
                  <wp:effectExtent l="0" t="0" r="0" b="0"/>
                  <wp:docPr id="239" name="image13.png"/>
                  <wp:cNvGraphicFramePr>
                    <a:graphicFrameLocks noChangeAspect="1"/>
                  </wp:cNvGraphicFramePr>
                  <a:graphic>
                    <a:graphicData uri="http://schemas.openxmlformats.org/drawingml/2006/picture">
                      <pic:pic>
                        <pic:nvPicPr>
                          <pic:cNvPr id="240"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r>
      <w:tr>
        <w:trPr>
          <w:trHeight w:val="378" w:hRule="atLeast"/>
        </w:trPr>
        <w:tc>
          <w:tcPr>
            <w:tcW w:w="7227" w:type="dxa"/>
          </w:tcPr>
          <w:p>
            <w:pPr>
              <w:pStyle w:val="TableParagraph"/>
              <w:spacing w:before="42"/>
              <w:ind w:left="114"/>
              <w:rPr>
                <w:sz w:val="18"/>
              </w:rPr>
            </w:pPr>
            <w:r>
              <w:rPr>
                <w:sz w:val="18"/>
              </w:rPr>
              <w:t>Patients'</w:t>
            </w:r>
            <w:r>
              <w:rPr>
                <w:spacing w:val="-5"/>
                <w:sz w:val="18"/>
              </w:rPr>
              <w:t> </w:t>
            </w:r>
            <w:r>
              <w:rPr>
                <w:sz w:val="18"/>
              </w:rPr>
              <w:t>hospital</w:t>
            </w:r>
            <w:r>
              <w:rPr>
                <w:spacing w:val="-4"/>
                <w:sz w:val="18"/>
              </w:rPr>
              <w:t> </w:t>
            </w:r>
            <w:r>
              <w:rPr>
                <w:sz w:val="18"/>
              </w:rPr>
              <w:t>admissions</w:t>
            </w:r>
            <w:r>
              <w:rPr>
                <w:spacing w:val="-8"/>
                <w:sz w:val="18"/>
              </w:rPr>
              <w:t> </w:t>
            </w:r>
            <w:r>
              <w:rPr>
                <w:sz w:val="18"/>
              </w:rPr>
              <w:t>or</w:t>
            </w:r>
            <w:r>
              <w:rPr>
                <w:spacing w:val="-3"/>
                <w:sz w:val="18"/>
              </w:rPr>
              <w:t> </w:t>
            </w:r>
            <w:r>
              <w:rPr>
                <w:sz w:val="18"/>
              </w:rPr>
              <w:t>emergency</w:t>
            </w:r>
            <w:r>
              <w:rPr>
                <w:spacing w:val="-6"/>
                <w:sz w:val="18"/>
              </w:rPr>
              <w:t> </w:t>
            </w:r>
            <w:r>
              <w:rPr>
                <w:sz w:val="18"/>
              </w:rPr>
              <w:t>department</w:t>
            </w:r>
            <w:r>
              <w:rPr>
                <w:spacing w:val="-3"/>
                <w:sz w:val="18"/>
              </w:rPr>
              <w:t> </w:t>
            </w:r>
            <w:r>
              <w:rPr>
                <w:sz w:val="18"/>
              </w:rPr>
              <w:t>use</w:t>
            </w:r>
            <w:r>
              <w:rPr>
                <w:spacing w:val="-2"/>
                <w:sz w:val="18"/>
              </w:rPr>
              <w:t> </w:t>
            </w:r>
            <w:r>
              <w:rPr>
                <w:sz w:val="18"/>
              </w:rPr>
              <w:t>(3)</w:t>
            </w:r>
          </w:p>
        </w:tc>
        <w:tc>
          <w:tcPr>
            <w:tcW w:w="1061" w:type="dxa"/>
          </w:tcPr>
          <w:p>
            <w:pPr>
              <w:pStyle w:val="TableParagraph"/>
              <w:rPr>
                <w:sz w:val="9"/>
              </w:rPr>
            </w:pPr>
          </w:p>
          <w:p>
            <w:pPr>
              <w:pStyle w:val="TableParagraph"/>
              <w:spacing w:line="114" w:lineRule="exact"/>
              <w:ind w:left="375"/>
              <w:rPr>
                <w:sz w:val="11"/>
              </w:rPr>
            </w:pPr>
            <w:r>
              <w:rPr>
                <w:position w:val="-1"/>
                <w:sz w:val="11"/>
              </w:rPr>
              <w:drawing>
                <wp:inline distT="0" distB="0" distL="0" distR="0">
                  <wp:extent cx="58958" cy="72866"/>
                  <wp:effectExtent l="0" t="0" r="0" b="0"/>
                  <wp:docPr id="241" name="image13.png"/>
                  <wp:cNvGraphicFramePr>
                    <a:graphicFrameLocks noChangeAspect="1"/>
                  </wp:cNvGraphicFramePr>
                  <a:graphic>
                    <a:graphicData uri="http://schemas.openxmlformats.org/drawingml/2006/picture">
                      <pic:pic>
                        <pic:nvPicPr>
                          <pic:cNvPr id="242"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065" w:type="dxa"/>
          </w:tcPr>
          <w:p>
            <w:pPr>
              <w:pStyle w:val="TableParagraph"/>
              <w:rPr>
                <w:sz w:val="9"/>
              </w:rPr>
            </w:pPr>
          </w:p>
          <w:p>
            <w:pPr>
              <w:pStyle w:val="TableParagraph"/>
              <w:spacing w:line="114" w:lineRule="exact"/>
              <w:ind w:left="378"/>
              <w:rPr>
                <w:sz w:val="11"/>
              </w:rPr>
            </w:pPr>
            <w:r>
              <w:rPr>
                <w:position w:val="-1"/>
                <w:sz w:val="11"/>
              </w:rPr>
              <w:drawing>
                <wp:inline distT="0" distB="0" distL="0" distR="0">
                  <wp:extent cx="58958" cy="72866"/>
                  <wp:effectExtent l="0" t="0" r="0" b="0"/>
                  <wp:docPr id="243" name="image13.png"/>
                  <wp:cNvGraphicFramePr>
                    <a:graphicFrameLocks noChangeAspect="1"/>
                  </wp:cNvGraphicFramePr>
                  <a:graphic>
                    <a:graphicData uri="http://schemas.openxmlformats.org/drawingml/2006/picture">
                      <pic:pic>
                        <pic:nvPicPr>
                          <pic:cNvPr id="244"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r>
      <w:tr>
        <w:trPr>
          <w:trHeight w:val="376" w:hRule="atLeast"/>
        </w:trPr>
        <w:tc>
          <w:tcPr>
            <w:tcW w:w="7227" w:type="dxa"/>
          </w:tcPr>
          <w:p>
            <w:pPr>
              <w:pStyle w:val="TableParagraph"/>
              <w:spacing w:before="42"/>
              <w:ind w:left="114"/>
              <w:rPr>
                <w:sz w:val="18"/>
              </w:rPr>
            </w:pPr>
            <w:r>
              <w:rPr>
                <w:sz w:val="18"/>
              </w:rPr>
              <w:t>Frequency</w:t>
            </w:r>
            <w:r>
              <w:rPr>
                <w:spacing w:val="-5"/>
                <w:sz w:val="18"/>
              </w:rPr>
              <w:t> </w:t>
            </w:r>
            <w:r>
              <w:rPr>
                <w:sz w:val="18"/>
              </w:rPr>
              <w:t>of</w:t>
            </w:r>
            <w:r>
              <w:rPr>
                <w:spacing w:val="-3"/>
                <w:sz w:val="18"/>
              </w:rPr>
              <w:t> </w:t>
            </w:r>
            <w:r>
              <w:rPr>
                <w:sz w:val="18"/>
              </w:rPr>
              <w:t>ordering</w:t>
            </w:r>
            <w:r>
              <w:rPr>
                <w:spacing w:val="-5"/>
                <w:sz w:val="18"/>
              </w:rPr>
              <w:t> </w:t>
            </w:r>
            <w:r>
              <w:rPr>
                <w:sz w:val="18"/>
              </w:rPr>
              <w:t>diagnostic</w:t>
            </w:r>
            <w:r>
              <w:rPr>
                <w:spacing w:val="-4"/>
                <w:sz w:val="18"/>
              </w:rPr>
              <w:t> </w:t>
            </w:r>
            <w:r>
              <w:rPr>
                <w:sz w:val="18"/>
              </w:rPr>
              <w:t>tests</w:t>
            </w:r>
            <w:r>
              <w:rPr>
                <w:spacing w:val="-1"/>
                <w:sz w:val="18"/>
              </w:rPr>
              <w:t> </w:t>
            </w:r>
            <w:r>
              <w:rPr>
                <w:sz w:val="18"/>
              </w:rPr>
              <w:t>(4)</w:t>
            </w:r>
          </w:p>
        </w:tc>
        <w:tc>
          <w:tcPr>
            <w:tcW w:w="1061" w:type="dxa"/>
          </w:tcPr>
          <w:p>
            <w:pPr>
              <w:pStyle w:val="TableParagraph"/>
              <w:rPr>
                <w:sz w:val="9"/>
              </w:rPr>
            </w:pPr>
          </w:p>
          <w:p>
            <w:pPr>
              <w:pStyle w:val="TableParagraph"/>
              <w:spacing w:line="114" w:lineRule="exact"/>
              <w:ind w:left="375"/>
              <w:rPr>
                <w:sz w:val="11"/>
              </w:rPr>
            </w:pPr>
            <w:r>
              <w:rPr>
                <w:position w:val="-1"/>
                <w:sz w:val="11"/>
              </w:rPr>
              <w:drawing>
                <wp:inline distT="0" distB="0" distL="0" distR="0">
                  <wp:extent cx="58958" cy="72866"/>
                  <wp:effectExtent l="0" t="0" r="0" b="0"/>
                  <wp:docPr id="245" name="image13.png"/>
                  <wp:cNvGraphicFramePr>
                    <a:graphicFrameLocks noChangeAspect="1"/>
                  </wp:cNvGraphicFramePr>
                  <a:graphic>
                    <a:graphicData uri="http://schemas.openxmlformats.org/drawingml/2006/picture">
                      <pic:pic>
                        <pic:nvPicPr>
                          <pic:cNvPr id="246"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065" w:type="dxa"/>
          </w:tcPr>
          <w:p>
            <w:pPr>
              <w:pStyle w:val="TableParagraph"/>
              <w:rPr>
                <w:sz w:val="9"/>
              </w:rPr>
            </w:pPr>
          </w:p>
          <w:p>
            <w:pPr>
              <w:pStyle w:val="TableParagraph"/>
              <w:spacing w:line="114" w:lineRule="exact"/>
              <w:ind w:left="378"/>
              <w:rPr>
                <w:sz w:val="11"/>
              </w:rPr>
            </w:pPr>
            <w:r>
              <w:rPr>
                <w:position w:val="-1"/>
                <w:sz w:val="11"/>
              </w:rPr>
              <w:drawing>
                <wp:inline distT="0" distB="0" distL="0" distR="0">
                  <wp:extent cx="58958" cy="72866"/>
                  <wp:effectExtent l="0" t="0" r="0" b="0"/>
                  <wp:docPr id="247" name="image13.png"/>
                  <wp:cNvGraphicFramePr>
                    <a:graphicFrameLocks noChangeAspect="1"/>
                  </wp:cNvGraphicFramePr>
                  <a:graphic>
                    <a:graphicData uri="http://schemas.openxmlformats.org/drawingml/2006/picture">
                      <pic:pic>
                        <pic:nvPicPr>
                          <pic:cNvPr id="248"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r>
      <w:tr>
        <w:trPr>
          <w:trHeight w:val="381" w:hRule="atLeast"/>
        </w:trPr>
        <w:tc>
          <w:tcPr>
            <w:tcW w:w="7227" w:type="dxa"/>
          </w:tcPr>
          <w:p>
            <w:pPr>
              <w:pStyle w:val="TableParagraph"/>
              <w:spacing w:before="44"/>
              <w:ind w:left="114"/>
              <w:rPr>
                <w:sz w:val="18"/>
              </w:rPr>
            </w:pPr>
            <w:r>
              <w:rPr>
                <w:sz w:val="18"/>
              </w:rPr>
              <w:t>Prescribing</w:t>
            </w:r>
            <w:r>
              <w:rPr>
                <w:spacing w:val="-7"/>
                <w:sz w:val="18"/>
              </w:rPr>
              <w:t> </w:t>
            </w:r>
            <w:r>
              <w:rPr>
                <w:sz w:val="18"/>
              </w:rPr>
              <w:t>practices</w:t>
            </w:r>
            <w:r>
              <w:rPr>
                <w:spacing w:val="-3"/>
                <w:sz w:val="18"/>
              </w:rPr>
              <w:t> </w:t>
            </w:r>
            <w:r>
              <w:rPr>
                <w:sz w:val="18"/>
              </w:rPr>
              <w:t>(5)</w:t>
            </w:r>
          </w:p>
        </w:tc>
        <w:tc>
          <w:tcPr>
            <w:tcW w:w="1061" w:type="dxa"/>
          </w:tcPr>
          <w:p>
            <w:pPr>
              <w:pStyle w:val="TableParagraph"/>
              <w:spacing w:before="3"/>
              <w:rPr>
                <w:sz w:val="9"/>
              </w:rPr>
            </w:pPr>
          </w:p>
          <w:p>
            <w:pPr>
              <w:pStyle w:val="TableParagraph"/>
              <w:spacing w:line="114" w:lineRule="exact"/>
              <w:ind w:left="375"/>
              <w:rPr>
                <w:sz w:val="11"/>
              </w:rPr>
            </w:pPr>
            <w:r>
              <w:rPr>
                <w:position w:val="-1"/>
                <w:sz w:val="11"/>
              </w:rPr>
              <w:drawing>
                <wp:inline distT="0" distB="0" distL="0" distR="0">
                  <wp:extent cx="58958" cy="72866"/>
                  <wp:effectExtent l="0" t="0" r="0" b="0"/>
                  <wp:docPr id="249" name="image13.png"/>
                  <wp:cNvGraphicFramePr>
                    <a:graphicFrameLocks noChangeAspect="1"/>
                  </wp:cNvGraphicFramePr>
                  <a:graphic>
                    <a:graphicData uri="http://schemas.openxmlformats.org/drawingml/2006/picture">
                      <pic:pic>
                        <pic:nvPicPr>
                          <pic:cNvPr id="250"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065" w:type="dxa"/>
          </w:tcPr>
          <w:p>
            <w:pPr>
              <w:pStyle w:val="TableParagraph"/>
              <w:spacing w:before="3"/>
              <w:rPr>
                <w:sz w:val="9"/>
              </w:rPr>
            </w:pPr>
          </w:p>
          <w:p>
            <w:pPr>
              <w:pStyle w:val="TableParagraph"/>
              <w:spacing w:line="114" w:lineRule="exact"/>
              <w:ind w:left="378"/>
              <w:rPr>
                <w:sz w:val="11"/>
              </w:rPr>
            </w:pPr>
            <w:r>
              <w:rPr>
                <w:position w:val="-1"/>
                <w:sz w:val="11"/>
              </w:rPr>
              <w:drawing>
                <wp:inline distT="0" distB="0" distL="0" distR="0">
                  <wp:extent cx="58958" cy="72866"/>
                  <wp:effectExtent l="0" t="0" r="0" b="0"/>
                  <wp:docPr id="251" name="image13.png"/>
                  <wp:cNvGraphicFramePr>
                    <a:graphicFrameLocks noChangeAspect="1"/>
                  </wp:cNvGraphicFramePr>
                  <a:graphic>
                    <a:graphicData uri="http://schemas.openxmlformats.org/drawingml/2006/picture">
                      <pic:pic>
                        <pic:nvPicPr>
                          <pic:cNvPr id="252"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r>
    </w:tbl>
    <w:p>
      <w:pPr>
        <w:spacing w:after="0" w:line="114" w:lineRule="exact"/>
        <w:rPr>
          <w:sz w:val="11"/>
        </w:rPr>
        <w:sectPr>
          <w:pgSz w:w="11910" w:h="16840"/>
          <w:pgMar w:header="0" w:footer="906" w:top="860" w:bottom="1140" w:left="580" w:right="280"/>
        </w:sectPr>
      </w:pPr>
    </w:p>
    <w:p>
      <w:pPr>
        <w:pStyle w:val="ListParagraph"/>
        <w:numPr>
          <w:ilvl w:val="0"/>
          <w:numId w:val="41"/>
        </w:numPr>
        <w:tabs>
          <w:tab w:pos="568" w:val="left" w:leader="none"/>
        </w:tabs>
        <w:spacing w:line="240" w:lineRule="auto" w:before="75" w:after="0"/>
        <w:ind w:left="567" w:right="0" w:hanging="428"/>
        <w:jc w:val="left"/>
        <w:rPr>
          <w:sz w:val="18"/>
        </w:rPr>
      </w:pPr>
      <w:r>
        <w:rPr>
          <w:sz w:val="18"/>
        </w:rPr>
        <w:t>Does</w:t>
      </w:r>
      <w:r>
        <w:rPr>
          <w:spacing w:val="-4"/>
          <w:sz w:val="18"/>
        </w:rPr>
        <w:t> </w:t>
      </w:r>
      <w:r>
        <w:rPr>
          <w:sz w:val="18"/>
        </w:rPr>
        <w:t>the</w:t>
      </w:r>
      <w:r>
        <w:rPr>
          <w:spacing w:val="-3"/>
          <w:sz w:val="18"/>
        </w:rPr>
        <w:t> </w:t>
      </w:r>
      <w:r>
        <w:rPr>
          <w:sz w:val="18"/>
        </w:rPr>
        <w:t>practice/</w:t>
      </w:r>
      <w:r>
        <w:rPr>
          <w:spacing w:val="-3"/>
          <w:sz w:val="18"/>
        </w:rPr>
        <w:t> </w:t>
      </w:r>
      <w:r>
        <w:rPr>
          <w:sz w:val="18"/>
        </w:rPr>
        <w:t>service</w:t>
      </w:r>
      <w:r>
        <w:rPr>
          <w:spacing w:val="-5"/>
          <w:sz w:val="18"/>
        </w:rPr>
        <w:t> </w:t>
      </w:r>
      <w:r>
        <w:rPr>
          <w:sz w:val="18"/>
        </w:rPr>
        <w:t>have</w:t>
      </w:r>
      <w:r>
        <w:rPr>
          <w:spacing w:val="-3"/>
          <w:sz w:val="18"/>
        </w:rPr>
        <w:t> </w:t>
      </w:r>
      <w:r>
        <w:rPr>
          <w:sz w:val="18"/>
        </w:rPr>
        <w:t>the</w:t>
      </w:r>
      <w:r>
        <w:rPr>
          <w:spacing w:val="-3"/>
          <w:sz w:val="18"/>
        </w:rPr>
        <w:t> </w:t>
      </w:r>
      <w:r>
        <w:rPr>
          <w:sz w:val="18"/>
        </w:rPr>
        <w:t>following</w:t>
      </w:r>
      <w:r>
        <w:rPr>
          <w:spacing w:val="-5"/>
          <w:sz w:val="18"/>
        </w:rPr>
        <w:t> </w:t>
      </w:r>
      <w:r>
        <w:rPr>
          <w:sz w:val="18"/>
        </w:rPr>
        <w:t>processes/</w:t>
      </w:r>
      <w:r>
        <w:rPr>
          <w:spacing w:val="-3"/>
          <w:sz w:val="18"/>
        </w:rPr>
        <w:t> </w:t>
      </w:r>
      <w:r>
        <w:rPr>
          <w:sz w:val="18"/>
        </w:rPr>
        <w:t>systems</w:t>
      </w:r>
      <w:r>
        <w:rPr>
          <w:spacing w:val="-4"/>
          <w:sz w:val="18"/>
        </w:rPr>
        <w:t> </w:t>
      </w:r>
      <w:r>
        <w:rPr>
          <w:sz w:val="18"/>
        </w:rPr>
        <w:t>in</w:t>
      </w:r>
      <w:r>
        <w:rPr>
          <w:spacing w:val="-3"/>
          <w:sz w:val="18"/>
        </w:rPr>
        <w:t> </w:t>
      </w:r>
      <w:r>
        <w:rPr>
          <w:sz w:val="18"/>
        </w:rPr>
        <w:t>place?</w:t>
      </w:r>
    </w:p>
    <w:p>
      <w:pPr>
        <w:pStyle w:val="BodyText"/>
        <w:spacing w:before="10"/>
        <w:rPr>
          <w:sz w:val="22"/>
        </w:rPr>
      </w:pPr>
    </w:p>
    <w:tbl>
      <w:tblPr>
        <w:tblW w:w="0" w:type="auto"/>
        <w:jc w:val="left"/>
        <w:tblInd w:w="774"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7227"/>
        <w:gridCol w:w="991"/>
        <w:gridCol w:w="990"/>
      </w:tblGrid>
      <w:tr>
        <w:trPr>
          <w:trHeight w:val="379" w:hRule="atLeast"/>
        </w:trPr>
        <w:tc>
          <w:tcPr>
            <w:tcW w:w="7227" w:type="dxa"/>
            <w:shd w:val="clear" w:color="auto" w:fill="F1F1F1"/>
          </w:tcPr>
          <w:p>
            <w:pPr>
              <w:pStyle w:val="TableParagraph"/>
              <w:rPr>
                <w:rFonts w:ascii="Times New Roman"/>
                <w:sz w:val="18"/>
              </w:rPr>
            </w:pPr>
          </w:p>
        </w:tc>
        <w:tc>
          <w:tcPr>
            <w:tcW w:w="991" w:type="dxa"/>
            <w:shd w:val="clear" w:color="auto" w:fill="F1F1F1"/>
          </w:tcPr>
          <w:p>
            <w:pPr>
              <w:pStyle w:val="TableParagraph"/>
              <w:spacing w:before="42"/>
              <w:ind w:left="206"/>
              <w:rPr>
                <w:sz w:val="18"/>
              </w:rPr>
            </w:pPr>
            <w:r>
              <w:rPr>
                <w:sz w:val="18"/>
              </w:rPr>
              <w:t>Yes (1)</w:t>
            </w:r>
          </w:p>
        </w:tc>
        <w:tc>
          <w:tcPr>
            <w:tcW w:w="990" w:type="dxa"/>
            <w:shd w:val="clear" w:color="auto" w:fill="F1F1F1"/>
          </w:tcPr>
          <w:p>
            <w:pPr>
              <w:pStyle w:val="TableParagraph"/>
              <w:spacing w:before="42"/>
              <w:ind w:left="231"/>
              <w:rPr>
                <w:sz w:val="18"/>
              </w:rPr>
            </w:pPr>
            <w:r>
              <w:rPr>
                <w:sz w:val="18"/>
              </w:rPr>
              <w:t>No</w:t>
            </w:r>
            <w:r>
              <w:rPr>
                <w:spacing w:val="-1"/>
                <w:sz w:val="18"/>
              </w:rPr>
              <w:t> </w:t>
            </w:r>
            <w:r>
              <w:rPr>
                <w:sz w:val="18"/>
              </w:rPr>
              <w:t>(2)</w:t>
            </w:r>
          </w:p>
        </w:tc>
      </w:tr>
      <w:tr>
        <w:trPr>
          <w:trHeight w:val="599" w:hRule="atLeast"/>
        </w:trPr>
        <w:tc>
          <w:tcPr>
            <w:tcW w:w="7227" w:type="dxa"/>
          </w:tcPr>
          <w:p>
            <w:pPr>
              <w:pStyle w:val="TableParagraph"/>
              <w:spacing w:before="42"/>
              <w:ind w:left="115" w:right="161"/>
              <w:rPr>
                <w:sz w:val="18"/>
              </w:rPr>
            </w:pPr>
            <w:r>
              <w:rPr>
                <w:sz w:val="18"/>
              </w:rPr>
              <w:t>A</w:t>
            </w:r>
            <w:r>
              <w:rPr>
                <w:spacing w:val="-7"/>
                <w:sz w:val="18"/>
              </w:rPr>
              <w:t> </w:t>
            </w:r>
            <w:r>
              <w:rPr>
                <w:sz w:val="18"/>
              </w:rPr>
              <w:t>reminder</w:t>
            </w:r>
            <w:r>
              <w:rPr>
                <w:spacing w:val="-2"/>
                <w:sz w:val="18"/>
              </w:rPr>
              <w:t> </w:t>
            </w:r>
            <w:r>
              <w:rPr>
                <w:sz w:val="18"/>
              </w:rPr>
              <w:t>system</w:t>
            </w:r>
            <w:r>
              <w:rPr>
                <w:spacing w:val="-6"/>
                <w:sz w:val="18"/>
              </w:rPr>
              <w:t> </w:t>
            </w:r>
            <w:r>
              <w:rPr>
                <w:sz w:val="18"/>
              </w:rPr>
              <w:t>to</w:t>
            </w:r>
            <w:r>
              <w:rPr>
                <w:spacing w:val="-3"/>
                <w:sz w:val="18"/>
              </w:rPr>
              <w:t> </w:t>
            </w:r>
            <w:r>
              <w:rPr>
                <w:sz w:val="18"/>
              </w:rPr>
              <w:t>invite</w:t>
            </w:r>
            <w:r>
              <w:rPr>
                <w:spacing w:val="-4"/>
                <w:sz w:val="18"/>
              </w:rPr>
              <w:t> </w:t>
            </w:r>
            <w:r>
              <w:rPr>
                <w:sz w:val="18"/>
              </w:rPr>
              <w:t>patients</w:t>
            </w:r>
            <w:r>
              <w:rPr>
                <w:spacing w:val="-4"/>
                <w:sz w:val="18"/>
              </w:rPr>
              <w:t> </w:t>
            </w:r>
            <w:r>
              <w:rPr>
                <w:sz w:val="18"/>
              </w:rPr>
              <w:t>to</w:t>
            </w:r>
            <w:r>
              <w:rPr>
                <w:spacing w:val="-2"/>
                <w:sz w:val="18"/>
              </w:rPr>
              <w:t> </w:t>
            </w:r>
            <w:r>
              <w:rPr>
                <w:sz w:val="18"/>
              </w:rPr>
              <w:t>recommend</w:t>
            </w:r>
            <w:r>
              <w:rPr>
                <w:spacing w:val="-3"/>
                <w:sz w:val="18"/>
              </w:rPr>
              <w:t> </w:t>
            </w:r>
            <w:r>
              <w:rPr>
                <w:sz w:val="18"/>
              </w:rPr>
              <w:t>screening</w:t>
            </w:r>
            <w:r>
              <w:rPr>
                <w:spacing w:val="-4"/>
                <w:sz w:val="18"/>
              </w:rPr>
              <w:t> </w:t>
            </w:r>
            <w:r>
              <w:rPr>
                <w:sz w:val="18"/>
              </w:rPr>
              <w:t>tests</w:t>
            </w:r>
            <w:r>
              <w:rPr>
                <w:spacing w:val="-1"/>
                <w:sz w:val="18"/>
              </w:rPr>
              <w:t> </w:t>
            </w:r>
            <w:r>
              <w:rPr>
                <w:sz w:val="18"/>
              </w:rPr>
              <w:t>(e.g.</w:t>
            </w:r>
            <w:r>
              <w:rPr>
                <w:spacing w:val="-4"/>
                <w:sz w:val="18"/>
              </w:rPr>
              <w:t> </w:t>
            </w:r>
            <w:r>
              <w:rPr>
                <w:sz w:val="18"/>
              </w:rPr>
              <w:t>Pap</w:t>
            </w:r>
            <w:r>
              <w:rPr>
                <w:spacing w:val="-47"/>
                <w:sz w:val="18"/>
              </w:rPr>
              <w:t> </w:t>
            </w:r>
            <w:r>
              <w:rPr>
                <w:sz w:val="18"/>
              </w:rPr>
              <w:t>test,</w:t>
            </w:r>
            <w:r>
              <w:rPr>
                <w:spacing w:val="-1"/>
                <w:sz w:val="18"/>
              </w:rPr>
              <w:t> </w:t>
            </w:r>
            <w:r>
              <w:rPr>
                <w:sz w:val="18"/>
              </w:rPr>
              <w:t>mammogram)?</w:t>
            </w:r>
            <w:r>
              <w:rPr>
                <w:spacing w:val="4"/>
                <w:sz w:val="18"/>
              </w:rPr>
              <w:t> </w:t>
            </w:r>
            <w:r>
              <w:rPr>
                <w:sz w:val="18"/>
              </w:rPr>
              <w:t>(1)</w:t>
            </w:r>
          </w:p>
        </w:tc>
        <w:tc>
          <w:tcPr>
            <w:tcW w:w="991" w:type="dxa"/>
          </w:tcPr>
          <w:p>
            <w:pPr>
              <w:pStyle w:val="TableParagraph"/>
              <w:spacing w:before="2"/>
              <w:rPr>
                <w:sz w:val="18"/>
              </w:rPr>
            </w:pPr>
          </w:p>
          <w:p>
            <w:pPr>
              <w:pStyle w:val="TableParagraph"/>
              <w:spacing w:line="112" w:lineRule="exact"/>
              <w:ind w:left="337"/>
              <w:rPr>
                <w:sz w:val="11"/>
              </w:rPr>
            </w:pPr>
            <w:r>
              <w:rPr>
                <w:position w:val="-1"/>
                <w:sz w:val="11"/>
              </w:rPr>
              <w:drawing>
                <wp:inline distT="0" distB="0" distL="0" distR="0">
                  <wp:extent cx="57802" cy="71437"/>
                  <wp:effectExtent l="0" t="0" r="0" b="0"/>
                  <wp:docPr id="253" name="image13.png"/>
                  <wp:cNvGraphicFramePr>
                    <a:graphicFrameLocks noChangeAspect="1"/>
                  </wp:cNvGraphicFramePr>
                  <a:graphic>
                    <a:graphicData uri="http://schemas.openxmlformats.org/drawingml/2006/picture">
                      <pic:pic>
                        <pic:nvPicPr>
                          <pic:cNvPr id="254"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990" w:type="dxa"/>
          </w:tcPr>
          <w:p>
            <w:pPr>
              <w:pStyle w:val="TableParagraph"/>
              <w:spacing w:before="2"/>
              <w:rPr>
                <w:sz w:val="18"/>
              </w:rPr>
            </w:pPr>
          </w:p>
          <w:p>
            <w:pPr>
              <w:pStyle w:val="TableParagraph"/>
              <w:spacing w:line="112" w:lineRule="exact"/>
              <w:ind w:left="340"/>
              <w:rPr>
                <w:sz w:val="11"/>
              </w:rPr>
            </w:pPr>
            <w:r>
              <w:rPr>
                <w:position w:val="-1"/>
                <w:sz w:val="11"/>
              </w:rPr>
              <w:drawing>
                <wp:inline distT="0" distB="0" distL="0" distR="0">
                  <wp:extent cx="57802" cy="71437"/>
                  <wp:effectExtent l="0" t="0" r="0" b="0"/>
                  <wp:docPr id="255" name="image13.png"/>
                  <wp:cNvGraphicFramePr>
                    <a:graphicFrameLocks noChangeAspect="1"/>
                  </wp:cNvGraphicFramePr>
                  <a:graphic>
                    <a:graphicData uri="http://schemas.openxmlformats.org/drawingml/2006/picture">
                      <pic:pic>
                        <pic:nvPicPr>
                          <pic:cNvPr id="256"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r>
      <w:tr>
        <w:trPr>
          <w:trHeight w:val="599" w:hRule="atLeast"/>
        </w:trPr>
        <w:tc>
          <w:tcPr>
            <w:tcW w:w="7227" w:type="dxa"/>
          </w:tcPr>
          <w:p>
            <w:pPr>
              <w:pStyle w:val="TableParagraph"/>
              <w:spacing w:before="42"/>
              <w:ind w:left="115" w:right="161"/>
              <w:rPr>
                <w:sz w:val="18"/>
              </w:rPr>
            </w:pPr>
            <w:r>
              <w:rPr>
                <w:sz w:val="18"/>
              </w:rPr>
              <w:t>A checklist for preventive clinical practices (counselling, screening,</w:t>
            </w:r>
            <w:r>
              <w:rPr>
                <w:spacing w:val="1"/>
                <w:sz w:val="18"/>
              </w:rPr>
              <w:t> </w:t>
            </w:r>
            <w:r>
              <w:rPr>
                <w:sz w:val="18"/>
              </w:rPr>
              <w:t>immunisation)</w:t>
            </w:r>
            <w:r>
              <w:rPr>
                <w:spacing w:val="-5"/>
                <w:sz w:val="18"/>
              </w:rPr>
              <w:t> </w:t>
            </w:r>
            <w:r>
              <w:rPr>
                <w:sz w:val="18"/>
              </w:rPr>
              <w:t>to</w:t>
            </w:r>
            <w:r>
              <w:rPr>
                <w:spacing w:val="-3"/>
                <w:sz w:val="18"/>
              </w:rPr>
              <w:t> </w:t>
            </w:r>
            <w:r>
              <w:rPr>
                <w:sz w:val="18"/>
              </w:rPr>
              <w:t>carry</w:t>
            </w:r>
            <w:r>
              <w:rPr>
                <w:spacing w:val="-4"/>
                <w:sz w:val="18"/>
              </w:rPr>
              <w:t> </w:t>
            </w:r>
            <w:r>
              <w:rPr>
                <w:sz w:val="18"/>
              </w:rPr>
              <w:t>out</w:t>
            </w:r>
            <w:r>
              <w:rPr>
                <w:spacing w:val="-5"/>
                <w:sz w:val="18"/>
              </w:rPr>
              <w:t> </w:t>
            </w:r>
            <w:r>
              <w:rPr>
                <w:sz w:val="18"/>
              </w:rPr>
              <w:t>with</w:t>
            </w:r>
            <w:r>
              <w:rPr>
                <w:spacing w:val="-3"/>
                <w:sz w:val="18"/>
              </w:rPr>
              <w:t> </w:t>
            </w:r>
            <w:r>
              <w:rPr>
                <w:sz w:val="18"/>
              </w:rPr>
              <w:t>patients,</w:t>
            </w:r>
            <w:r>
              <w:rPr>
                <w:spacing w:val="-5"/>
                <w:sz w:val="18"/>
              </w:rPr>
              <w:t> </w:t>
            </w:r>
            <w:r>
              <w:rPr>
                <w:sz w:val="18"/>
              </w:rPr>
              <w:t>according</w:t>
            </w:r>
            <w:r>
              <w:rPr>
                <w:spacing w:val="-5"/>
                <w:sz w:val="18"/>
              </w:rPr>
              <w:t> </w:t>
            </w:r>
            <w:r>
              <w:rPr>
                <w:sz w:val="18"/>
              </w:rPr>
              <w:t>to</w:t>
            </w:r>
            <w:r>
              <w:rPr>
                <w:spacing w:val="-5"/>
                <w:sz w:val="18"/>
              </w:rPr>
              <w:t> </w:t>
            </w:r>
            <w:r>
              <w:rPr>
                <w:sz w:val="18"/>
              </w:rPr>
              <w:t>guidelines?</w:t>
            </w:r>
            <w:r>
              <w:rPr>
                <w:spacing w:val="-2"/>
                <w:sz w:val="18"/>
              </w:rPr>
              <w:t> </w:t>
            </w:r>
            <w:r>
              <w:rPr>
                <w:sz w:val="18"/>
              </w:rPr>
              <w:t>(2)</w:t>
            </w:r>
          </w:p>
        </w:tc>
        <w:tc>
          <w:tcPr>
            <w:tcW w:w="991" w:type="dxa"/>
          </w:tcPr>
          <w:p>
            <w:pPr>
              <w:pStyle w:val="TableParagraph"/>
              <w:spacing w:before="2"/>
              <w:rPr>
                <w:sz w:val="18"/>
              </w:rPr>
            </w:pPr>
          </w:p>
          <w:p>
            <w:pPr>
              <w:pStyle w:val="TableParagraph"/>
              <w:spacing w:line="112" w:lineRule="exact"/>
              <w:ind w:left="337"/>
              <w:rPr>
                <w:sz w:val="11"/>
              </w:rPr>
            </w:pPr>
            <w:r>
              <w:rPr>
                <w:position w:val="-1"/>
                <w:sz w:val="11"/>
              </w:rPr>
              <w:drawing>
                <wp:inline distT="0" distB="0" distL="0" distR="0">
                  <wp:extent cx="57802" cy="71437"/>
                  <wp:effectExtent l="0" t="0" r="0" b="0"/>
                  <wp:docPr id="257" name="image13.png"/>
                  <wp:cNvGraphicFramePr>
                    <a:graphicFrameLocks noChangeAspect="1"/>
                  </wp:cNvGraphicFramePr>
                  <a:graphic>
                    <a:graphicData uri="http://schemas.openxmlformats.org/drawingml/2006/picture">
                      <pic:pic>
                        <pic:nvPicPr>
                          <pic:cNvPr id="258"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990" w:type="dxa"/>
          </w:tcPr>
          <w:p>
            <w:pPr>
              <w:pStyle w:val="TableParagraph"/>
              <w:spacing w:before="2"/>
              <w:rPr>
                <w:sz w:val="18"/>
              </w:rPr>
            </w:pPr>
          </w:p>
          <w:p>
            <w:pPr>
              <w:pStyle w:val="TableParagraph"/>
              <w:spacing w:line="112" w:lineRule="exact"/>
              <w:ind w:left="340"/>
              <w:rPr>
                <w:sz w:val="11"/>
              </w:rPr>
            </w:pPr>
            <w:r>
              <w:rPr>
                <w:position w:val="-1"/>
                <w:sz w:val="11"/>
              </w:rPr>
              <w:drawing>
                <wp:inline distT="0" distB="0" distL="0" distR="0">
                  <wp:extent cx="57802" cy="71437"/>
                  <wp:effectExtent l="0" t="0" r="0" b="0"/>
                  <wp:docPr id="259" name="image13.png"/>
                  <wp:cNvGraphicFramePr>
                    <a:graphicFrameLocks noChangeAspect="1"/>
                  </wp:cNvGraphicFramePr>
                  <a:graphic>
                    <a:graphicData uri="http://schemas.openxmlformats.org/drawingml/2006/picture">
                      <pic:pic>
                        <pic:nvPicPr>
                          <pic:cNvPr id="260"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r>
      <w:tr>
        <w:trPr>
          <w:trHeight w:val="599" w:hRule="atLeast"/>
        </w:trPr>
        <w:tc>
          <w:tcPr>
            <w:tcW w:w="7227" w:type="dxa"/>
          </w:tcPr>
          <w:p>
            <w:pPr>
              <w:pStyle w:val="TableParagraph"/>
              <w:spacing w:before="42"/>
              <w:ind w:left="115" w:right="161"/>
              <w:rPr>
                <w:sz w:val="18"/>
              </w:rPr>
            </w:pPr>
            <w:r>
              <w:rPr>
                <w:sz w:val="18"/>
              </w:rPr>
              <w:t>A</w:t>
            </w:r>
            <w:r>
              <w:rPr>
                <w:spacing w:val="-7"/>
                <w:sz w:val="18"/>
              </w:rPr>
              <w:t> </w:t>
            </w:r>
            <w:r>
              <w:rPr>
                <w:sz w:val="18"/>
              </w:rPr>
              <w:t>tool</w:t>
            </w:r>
            <w:r>
              <w:rPr>
                <w:spacing w:val="-2"/>
                <w:sz w:val="18"/>
              </w:rPr>
              <w:t> </w:t>
            </w:r>
            <w:r>
              <w:rPr>
                <w:sz w:val="18"/>
              </w:rPr>
              <w:t>to</w:t>
            </w:r>
            <w:r>
              <w:rPr>
                <w:spacing w:val="-2"/>
                <w:sz w:val="18"/>
              </w:rPr>
              <w:t> </w:t>
            </w:r>
            <w:r>
              <w:rPr>
                <w:sz w:val="18"/>
              </w:rPr>
              <w:t>assist</w:t>
            </w:r>
            <w:r>
              <w:rPr>
                <w:spacing w:val="-5"/>
                <w:sz w:val="18"/>
              </w:rPr>
              <w:t> </w:t>
            </w:r>
            <w:r>
              <w:rPr>
                <w:sz w:val="18"/>
              </w:rPr>
              <w:t>lifestyle</w:t>
            </w:r>
            <w:r>
              <w:rPr>
                <w:spacing w:val="-2"/>
                <w:sz w:val="18"/>
              </w:rPr>
              <w:t> </w:t>
            </w:r>
            <w:r>
              <w:rPr>
                <w:sz w:val="18"/>
              </w:rPr>
              <w:t>counselling</w:t>
            </w:r>
            <w:r>
              <w:rPr>
                <w:spacing w:val="-4"/>
                <w:sz w:val="18"/>
              </w:rPr>
              <w:t> </w:t>
            </w:r>
            <w:r>
              <w:rPr>
                <w:sz w:val="18"/>
              </w:rPr>
              <w:t>or</w:t>
            </w:r>
            <w:r>
              <w:rPr>
                <w:spacing w:val="-5"/>
                <w:sz w:val="18"/>
              </w:rPr>
              <w:t> </w:t>
            </w:r>
            <w:r>
              <w:rPr>
                <w:sz w:val="18"/>
              </w:rPr>
              <w:t>to</w:t>
            </w:r>
            <w:r>
              <w:rPr>
                <w:spacing w:val="-3"/>
                <w:sz w:val="18"/>
              </w:rPr>
              <w:t> </w:t>
            </w:r>
            <w:r>
              <w:rPr>
                <w:sz w:val="18"/>
              </w:rPr>
              <w:t>help</w:t>
            </w:r>
            <w:r>
              <w:rPr>
                <w:spacing w:val="-3"/>
                <w:sz w:val="18"/>
              </w:rPr>
              <w:t> </w:t>
            </w:r>
            <w:r>
              <w:rPr>
                <w:sz w:val="18"/>
              </w:rPr>
              <w:t>modify</w:t>
            </w:r>
            <w:r>
              <w:rPr>
                <w:spacing w:val="-4"/>
                <w:sz w:val="18"/>
              </w:rPr>
              <w:t> </w:t>
            </w:r>
            <w:r>
              <w:rPr>
                <w:sz w:val="18"/>
              </w:rPr>
              <w:t>behaviors (e.g.</w:t>
            </w:r>
            <w:r>
              <w:rPr>
                <w:spacing w:val="-5"/>
                <w:sz w:val="18"/>
              </w:rPr>
              <w:t> </w:t>
            </w:r>
            <w:r>
              <w:rPr>
                <w:sz w:val="18"/>
              </w:rPr>
              <w:t>smoking</w:t>
            </w:r>
            <w:r>
              <w:rPr>
                <w:spacing w:val="-46"/>
                <w:sz w:val="18"/>
              </w:rPr>
              <w:t> </w:t>
            </w:r>
            <w:r>
              <w:rPr>
                <w:sz w:val="18"/>
              </w:rPr>
              <w:t>cessation</w:t>
            </w:r>
            <w:r>
              <w:rPr>
                <w:spacing w:val="-1"/>
                <w:sz w:val="18"/>
              </w:rPr>
              <w:t> </w:t>
            </w:r>
            <w:r>
              <w:rPr>
                <w:sz w:val="18"/>
              </w:rPr>
              <w:t>program,</w:t>
            </w:r>
            <w:r>
              <w:rPr>
                <w:spacing w:val="-3"/>
                <w:sz w:val="18"/>
              </w:rPr>
              <w:t> </w:t>
            </w:r>
            <w:r>
              <w:rPr>
                <w:sz w:val="18"/>
              </w:rPr>
              <w:t>health education</w:t>
            </w:r>
            <w:r>
              <w:rPr>
                <w:spacing w:val="-1"/>
                <w:sz w:val="18"/>
              </w:rPr>
              <w:t> </w:t>
            </w:r>
            <w:r>
              <w:rPr>
                <w:sz w:val="18"/>
              </w:rPr>
              <w:t>program)?</w:t>
            </w:r>
            <w:r>
              <w:rPr>
                <w:spacing w:val="3"/>
                <w:sz w:val="18"/>
              </w:rPr>
              <w:t> </w:t>
            </w:r>
            <w:r>
              <w:rPr>
                <w:sz w:val="18"/>
              </w:rPr>
              <w:t>(3)</w:t>
            </w:r>
          </w:p>
        </w:tc>
        <w:tc>
          <w:tcPr>
            <w:tcW w:w="991" w:type="dxa"/>
          </w:tcPr>
          <w:p>
            <w:pPr>
              <w:pStyle w:val="TableParagraph"/>
              <w:spacing w:before="2"/>
              <w:rPr>
                <w:sz w:val="18"/>
              </w:rPr>
            </w:pPr>
          </w:p>
          <w:p>
            <w:pPr>
              <w:pStyle w:val="TableParagraph"/>
              <w:spacing w:line="114" w:lineRule="exact"/>
              <w:ind w:left="337"/>
              <w:rPr>
                <w:sz w:val="11"/>
              </w:rPr>
            </w:pPr>
            <w:r>
              <w:rPr>
                <w:position w:val="-1"/>
                <w:sz w:val="11"/>
              </w:rPr>
              <w:drawing>
                <wp:inline distT="0" distB="0" distL="0" distR="0">
                  <wp:extent cx="58957" cy="72866"/>
                  <wp:effectExtent l="0" t="0" r="0" b="0"/>
                  <wp:docPr id="261" name="image13.png"/>
                  <wp:cNvGraphicFramePr>
                    <a:graphicFrameLocks noChangeAspect="1"/>
                  </wp:cNvGraphicFramePr>
                  <a:graphic>
                    <a:graphicData uri="http://schemas.openxmlformats.org/drawingml/2006/picture">
                      <pic:pic>
                        <pic:nvPicPr>
                          <pic:cNvPr id="262" name="image13.png"/>
                          <pic:cNvPicPr/>
                        </pic:nvPicPr>
                        <pic:blipFill>
                          <a:blip r:embed="rId41" cstate="print"/>
                          <a:stretch>
                            <a:fillRect/>
                          </a:stretch>
                        </pic:blipFill>
                        <pic:spPr>
                          <a:xfrm>
                            <a:off x="0" y="0"/>
                            <a:ext cx="58957" cy="72866"/>
                          </a:xfrm>
                          <a:prstGeom prst="rect">
                            <a:avLst/>
                          </a:prstGeom>
                        </pic:spPr>
                      </pic:pic>
                    </a:graphicData>
                  </a:graphic>
                </wp:inline>
              </w:drawing>
            </w:r>
            <w:r>
              <w:rPr>
                <w:position w:val="-1"/>
                <w:sz w:val="11"/>
              </w:rPr>
            </w:r>
          </w:p>
        </w:tc>
        <w:tc>
          <w:tcPr>
            <w:tcW w:w="990" w:type="dxa"/>
          </w:tcPr>
          <w:p>
            <w:pPr>
              <w:pStyle w:val="TableParagraph"/>
              <w:spacing w:before="2"/>
              <w:rPr>
                <w:sz w:val="18"/>
              </w:rPr>
            </w:pPr>
          </w:p>
          <w:p>
            <w:pPr>
              <w:pStyle w:val="TableParagraph"/>
              <w:spacing w:line="114" w:lineRule="exact"/>
              <w:ind w:left="340"/>
              <w:rPr>
                <w:sz w:val="11"/>
              </w:rPr>
            </w:pPr>
            <w:r>
              <w:rPr>
                <w:position w:val="-1"/>
                <w:sz w:val="11"/>
              </w:rPr>
              <w:drawing>
                <wp:inline distT="0" distB="0" distL="0" distR="0">
                  <wp:extent cx="58957" cy="72866"/>
                  <wp:effectExtent l="0" t="0" r="0" b="0"/>
                  <wp:docPr id="263" name="image13.png"/>
                  <wp:cNvGraphicFramePr>
                    <a:graphicFrameLocks noChangeAspect="1"/>
                  </wp:cNvGraphicFramePr>
                  <a:graphic>
                    <a:graphicData uri="http://schemas.openxmlformats.org/drawingml/2006/picture">
                      <pic:pic>
                        <pic:nvPicPr>
                          <pic:cNvPr id="264" name="image13.png"/>
                          <pic:cNvPicPr/>
                        </pic:nvPicPr>
                        <pic:blipFill>
                          <a:blip r:embed="rId41" cstate="print"/>
                          <a:stretch>
                            <a:fillRect/>
                          </a:stretch>
                        </pic:blipFill>
                        <pic:spPr>
                          <a:xfrm>
                            <a:off x="0" y="0"/>
                            <a:ext cx="58957" cy="72866"/>
                          </a:xfrm>
                          <a:prstGeom prst="rect">
                            <a:avLst/>
                          </a:prstGeom>
                        </pic:spPr>
                      </pic:pic>
                    </a:graphicData>
                  </a:graphic>
                </wp:inline>
              </w:drawing>
            </w:r>
            <w:r>
              <w:rPr>
                <w:position w:val="-1"/>
                <w:sz w:val="11"/>
              </w:rPr>
            </w:r>
          </w:p>
        </w:tc>
      </w:tr>
      <w:tr>
        <w:trPr>
          <w:trHeight w:val="378" w:hRule="atLeast"/>
        </w:trPr>
        <w:tc>
          <w:tcPr>
            <w:tcW w:w="7227" w:type="dxa"/>
          </w:tcPr>
          <w:p>
            <w:pPr>
              <w:pStyle w:val="TableParagraph"/>
              <w:spacing w:before="42"/>
              <w:ind w:left="115"/>
              <w:rPr>
                <w:sz w:val="18"/>
              </w:rPr>
            </w:pPr>
            <w:r>
              <w:rPr>
                <w:sz w:val="18"/>
              </w:rPr>
              <w:t>A</w:t>
            </w:r>
            <w:r>
              <w:rPr>
                <w:spacing w:val="-7"/>
                <w:sz w:val="18"/>
              </w:rPr>
              <w:t> </w:t>
            </w:r>
            <w:r>
              <w:rPr>
                <w:sz w:val="18"/>
              </w:rPr>
              <w:t>system</w:t>
            </w:r>
            <w:r>
              <w:rPr>
                <w:spacing w:val="-7"/>
                <w:sz w:val="18"/>
              </w:rPr>
              <w:t> </w:t>
            </w:r>
            <w:r>
              <w:rPr>
                <w:sz w:val="18"/>
              </w:rPr>
              <w:t>to</w:t>
            </w:r>
            <w:r>
              <w:rPr>
                <w:spacing w:val="-3"/>
                <w:sz w:val="18"/>
              </w:rPr>
              <w:t> </w:t>
            </w:r>
            <w:r>
              <w:rPr>
                <w:sz w:val="18"/>
              </w:rPr>
              <w:t>track</w:t>
            </w:r>
            <w:r>
              <w:rPr>
                <w:spacing w:val="-2"/>
                <w:sz w:val="18"/>
              </w:rPr>
              <w:t> </w:t>
            </w:r>
            <w:r>
              <w:rPr>
                <w:sz w:val="18"/>
              </w:rPr>
              <w:t>laboratory</w:t>
            </w:r>
            <w:r>
              <w:rPr>
                <w:spacing w:val="-4"/>
                <w:sz w:val="18"/>
              </w:rPr>
              <w:t> </w:t>
            </w:r>
            <w:r>
              <w:rPr>
                <w:sz w:val="18"/>
              </w:rPr>
              <w:t>tests</w:t>
            </w:r>
            <w:r>
              <w:rPr>
                <w:spacing w:val="-4"/>
                <w:sz w:val="18"/>
              </w:rPr>
              <w:t> </w:t>
            </w:r>
            <w:r>
              <w:rPr>
                <w:sz w:val="18"/>
              </w:rPr>
              <w:t>ordered</w:t>
            </w:r>
            <w:r>
              <w:rPr>
                <w:spacing w:val="-4"/>
                <w:sz w:val="18"/>
              </w:rPr>
              <w:t> </w:t>
            </w:r>
            <w:r>
              <w:rPr>
                <w:sz w:val="18"/>
              </w:rPr>
              <w:t>until</w:t>
            </w:r>
            <w:r>
              <w:rPr>
                <w:spacing w:val="-3"/>
                <w:sz w:val="18"/>
              </w:rPr>
              <w:t> </w:t>
            </w:r>
            <w:r>
              <w:rPr>
                <w:sz w:val="18"/>
              </w:rPr>
              <w:t>results</w:t>
            </w:r>
            <w:r>
              <w:rPr>
                <w:spacing w:val="-3"/>
                <w:sz w:val="18"/>
              </w:rPr>
              <w:t> </w:t>
            </w:r>
            <w:r>
              <w:rPr>
                <w:sz w:val="18"/>
              </w:rPr>
              <w:t>reach</w:t>
            </w:r>
            <w:r>
              <w:rPr>
                <w:spacing w:val="-3"/>
                <w:sz w:val="18"/>
              </w:rPr>
              <w:t> </w:t>
            </w:r>
            <w:r>
              <w:rPr>
                <w:sz w:val="18"/>
              </w:rPr>
              <w:t>clinicians?</w:t>
            </w:r>
            <w:r>
              <w:rPr>
                <w:spacing w:val="-2"/>
                <w:sz w:val="18"/>
              </w:rPr>
              <w:t> </w:t>
            </w:r>
            <w:r>
              <w:rPr>
                <w:sz w:val="18"/>
              </w:rPr>
              <w:t>(4)</w:t>
            </w:r>
          </w:p>
        </w:tc>
        <w:tc>
          <w:tcPr>
            <w:tcW w:w="991" w:type="dxa"/>
          </w:tcPr>
          <w:p>
            <w:pPr>
              <w:pStyle w:val="TableParagraph"/>
              <w:spacing w:before="2"/>
              <w:rPr>
                <w:sz w:val="9"/>
              </w:rPr>
            </w:pPr>
          </w:p>
          <w:p>
            <w:pPr>
              <w:pStyle w:val="TableParagraph"/>
              <w:spacing w:line="112" w:lineRule="exact"/>
              <w:ind w:left="337"/>
              <w:rPr>
                <w:sz w:val="11"/>
              </w:rPr>
            </w:pPr>
            <w:r>
              <w:rPr>
                <w:position w:val="-1"/>
                <w:sz w:val="11"/>
              </w:rPr>
              <w:drawing>
                <wp:inline distT="0" distB="0" distL="0" distR="0">
                  <wp:extent cx="57802" cy="71437"/>
                  <wp:effectExtent l="0" t="0" r="0" b="0"/>
                  <wp:docPr id="265" name="image13.png"/>
                  <wp:cNvGraphicFramePr>
                    <a:graphicFrameLocks noChangeAspect="1"/>
                  </wp:cNvGraphicFramePr>
                  <a:graphic>
                    <a:graphicData uri="http://schemas.openxmlformats.org/drawingml/2006/picture">
                      <pic:pic>
                        <pic:nvPicPr>
                          <pic:cNvPr id="266"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990" w:type="dxa"/>
          </w:tcPr>
          <w:p>
            <w:pPr>
              <w:pStyle w:val="TableParagraph"/>
              <w:spacing w:before="2"/>
              <w:rPr>
                <w:sz w:val="9"/>
              </w:rPr>
            </w:pPr>
          </w:p>
          <w:p>
            <w:pPr>
              <w:pStyle w:val="TableParagraph"/>
              <w:spacing w:line="112" w:lineRule="exact"/>
              <w:ind w:left="340"/>
              <w:rPr>
                <w:sz w:val="11"/>
              </w:rPr>
            </w:pPr>
            <w:r>
              <w:rPr>
                <w:position w:val="-1"/>
                <w:sz w:val="11"/>
              </w:rPr>
              <w:drawing>
                <wp:inline distT="0" distB="0" distL="0" distR="0">
                  <wp:extent cx="57802" cy="71437"/>
                  <wp:effectExtent l="0" t="0" r="0" b="0"/>
                  <wp:docPr id="267" name="image13.png"/>
                  <wp:cNvGraphicFramePr>
                    <a:graphicFrameLocks noChangeAspect="1"/>
                  </wp:cNvGraphicFramePr>
                  <a:graphic>
                    <a:graphicData uri="http://schemas.openxmlformats.org/drawingml/2006/picture">
                      <pic:pic>
                        <pic:nvPicPr>
                          <pic:cNvPr id="268"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r>
    </w:tbl>
    <w:p>
      <w:pPr>
        <w:pStyle w:val="BodyText"/>
        <w:spacing w:before="8"/>
        <w:rPr>
          <w:sz w:val="19"/>
        </w:rPr>
      </w:pPr>
    </w:p>
    <w:p>
      <w:pPr>
        <w:pStyle w:val="ListParagraph"/>
        <w:numPr>
          <w:ilvl w:val="0"/>
          <w:numId w:val="41"/>
        </w:numPr>
        <w:tabs>
          <w:tab w:pos="568" w:val="left" w:leader="none"/>
        </w:tabs>
        <w:spacing w:line="240" w:lineRule="auto" w:before="0" w:after="0"/>
        <w:ind w:left="567" w:right="521" w:hanging="428"/>
        <w:jc w:val="left"/>
        <w:rPr>
          <w:sz w:val="18"/>
        </w:rPr>
      </w:pPr>
      <w:r>
        <w:rPr>
          <w:sz w:val="18"/>
        </w:rPr>
        <w:t>Prior</w:t>
      </w:r>
      <w:r>
        <w:rPr>
          <w:spacing w:val="-4"/>
          <w:sz w:val="18"/>
        </w:rPr>
        <w:t> </w:t>
      </w:r>
      <w:r>
        <w:rPr>
          <w:sz w:val="18"/>
        </w:rPr>
        <w:t>to</w:t>
      </w:r>
      <w:r>
        <w:rPr>
          <w:spacing w:val="-3"/>
          <w:sz w:val="18"/>
        </w:rPr>
        <w:t> </w:t>
      </w:r>
      <w:r>
        <w:rPr>
          <w:sz w:val="18"/>
        </w:rPr>
        <w:t>the</w:t>
      </w:r>
      <w:r>
        <w:rPr>
          <w:spacing w:val="-2"/>
          <w:sz w:val="18"/>
        </w:rPr>
        <w:t> </w:t>
      </w:r>
      <w:r>
        <w:rPr>
          <w:sz w:val="18"/>
        </w:rPr>
        <w:t>commencement</w:t>
      </w:r>
      <w:r>
        <w:rPr>
          <w:spacing w:val="-4"/>
          <w:sz w:val="18"/>
        </w:rPr>
        <w:t> </w:t>
      </w:r>
      <w:r>
        <w:rPr>
          <w:sz w:val="18"/>
        </w:rPr>
        <w:t>of</w:t>
      </w:r>
      <w:r>
        <w:rPr>
          <w:spacing w:val="-1"/>
          <w:sz w:val="18"/>
        </w:rPr>
        <w:t> </w:t>
      </w:r>
      <w:r>
        <w:rPr>
          <w:sz w:val="18"/>
        </w:rPr>
        <w:t>the</w:t>
      </w:r>
      <w:r>
        <w:rPr>
          <w:spacing w:val="-2"/>
          <w:sz w:val="18"/>
        </w:rPr>
        <w:t> </w:t>
      </w:r>
      <w:r>
        <w:rPr>
          <w:sz w:val="18"/>
        </w:rPr>
        <w:t>HCH</w:t>
      </w:r>
      <w:r>
        <w:rPr>
          <w:spacing w:val="-3"/>
          <w:sz w:val="18"/>
        </w:rPr>
        <w:t> </w:t>
      </w:r>
      <w:r>
        <w:rPr>
          <w:sz w:val="18"/>
        </w:rPr>
        <w:t>program,</w:t>
      </w:r>
      <w:r>
        <w:rPr>
          <w:spacing w:val="-4"/>
          <w:sz w:val="18"/>
        </w:rPr>
        <w:t> </w:t>
      </w:r>
      <w:r>
        <w:rPr>
          <w:sz w:val="18"/>
        </w:rPr>
        <w:t>did</w:t>
      </w:r>
      <w:r>
        <w:rPr>
          <w:spacing w:val="-2"/>
          <w:sz w:val="18"/>
        </w:rPr>
        <w:t> </w:t>
      </w:r>
      <w:r>
        <w:rPr>
          <w:sz w:val="18"/>
        </w:rPr>
        <w:t>clinical</w:t>
      </w:r>
      <w:r>
        <w:rPr>
          <w:spacing w:val="-2"/>
          <w:sz w:val="18"/>
        </w:rPr>
        <w:t> </w:t>
      </w:r>
      <w:r>
        <w:rPr>
          <w:sz w:val="18"/>
        </w:rPr>
        <w:t>staff</w:t>
      </w:r>
      <w:r>
        <w:rPr>
          <w:spacing w:val="-3"/>
          <w:sz w:val="18"/>
        </w:rPr>
        <w:t> </w:t>
      </w:r>
      <w:r>
        <w:rPr>
          <w:sz w:val="18"/>
        </w:rPr>
        <w:t>in</w:t>
      </w:r>
      <w:r>
        <w:rPr>
          <w:spacing w:val="-4"/>
          <w:sz w:val="18"/>
        </w:rPr>
        <w:t> </w:t>
      </w:r>
      <w:r>
        <w:rPr>
          <w:sz w:val="18"/>
        </w:rPr>
        <w:t>the</w:t>
      </w:r>
      <w:r>
        <w:rPr>
          <w:spacing w:val="-2"/>
          <w:sz w:val="18"/>
        </w:rPr>
        <w:t> </w:t>
      </w:r>
      <w:r>
        <w:rPr>
          <w:sz w:val="18"/>
        </w:rPr>
        <w:t>practice</w:t>
      </w:r>
      <w:r>
        <w:rPr>
          <w:spacing w:val="-2"/>
          <w:sz w:val="18"/>
        </w:rPr>
        <w:t> </w:t>
      </w:r>
      <w:r>
        <w:rPr>
          <w:sz w:val="18"/>
        </w:rPr>
        <w:t>use</w:t>
      </w:r>
      <w:r>
        <w:rPr>
          <w:spacing w:val="-2"/>
          <w:sz w:val="18"/>
        </w:rPr>
        <w:t> </w:t>
      </w:r>
      <w:r>
        <w:rPr>
          <w:sz w:val="18"/>
        </w:rPr>
        <w:t>a</w:t>
      </w:r>
      <w:r>
        <w:rPr>
          <w:spacing w:val="-3"/>
          <w:sz w:val="18"/>
        </w:rPr>
        <w:t> </w:t>
      </w:r>
      <w:r>
        <w:rPr>
          <w:sz w:val="18"/>
        </w:rPr>
        <w:t>standardised</w:t>
      </w:r>
      <w:r>
        <w:rPr>
          <w:spacing w:val="-3"/>
          <w:sz w:val="18"/>
        </w:rPr>
        <w:t> </w:t>
      </w:r>
      <w:r>
        <w:rPr>
          <w:sz w:val="18"/>
        </w:rPr>
        <w:t>tool</w:t>
      </w:r>
      <w:r>
        <w:rPr>
          <w:spacing w:val="-2"/>
          <w:sz w:val="18"/>
        </w:rPr>
        <w:t> </w:t>
      </w:r>
      <w:r>
        <w:rPr>
          <w:sz w:val="18"/>
        </w:rPr>
        <w:t>to</w:t>
      </w:r>
      <w:r>
        <w:rPr>
          <w:spacing w:val="-1"/>
          <w:sz w:val="18"/>
        </w:rPr>
        <w:t> </w:t>
      </w:r>
      <w:r>
        <w:rPr>
          <w:sz w:val="18"/>
        </w:rPr>
        <w:t>assess</w:t>
      </w:r>
      <w:r>
        <w:rPr>
          <w:spacing w:val="1"/>
          <w:sz w:val="18"/>
        </w:rPr>
        <w:t> </w:t>
      </w:r>
      <w:r>
        <w:rPr>
          <w:sz w:val="18"/>
        </w:rPr>
        <w:t>the</w:t>
      </w:r>
      <w:r>
        <w:rPr>
          <w:spacing w:val="-1"/>
          <w:sz w:val="18"/>
        </w:rPr>
        <w:t> </w:t>
      </w:r>
      <w:r>
        <w:rPr>
          <w:sz w:val="18"/>
        </w:rPr>
        <w:t>level of patient</w:t>
      </w:r>
      <w:r>
        <w:rPr>
          <w:spacing w:val="-2"/>
          <w:sz w:val="18"/>
        </w:rPr>
        <w:t> </w:t>
      </w:r>
      <w:r>
        <w:rPr>
          <w:sz w:val="18"/>
        </w:rPr>
        <w:t>engagement/</w:t>
      </w:r>
      <w:r>
        <w:rPr>
          <w:spacing w:val="5"/>
          <w:sz w:val="18"/>
        </w:rPr>
        <w:t> </w:t>
      </w:r>
      <w:r>
        <w:rPr>
          <w:sz w:val="18"/>
        </w:rPr>
        <w:t>activation?</w:t>
      </w:r>
    </w:p>
    <w:p>
      <w:pPr>
        <w:pStyle w:val="BodyText"/>
        <w:spacing w:before="10"/>
        <w:rPr>
          <w:sz w:val="14"/>
        </w:rPr>
      </w:pPr>
    </w:p>
    <w:p>
      <w:pPr>
        <w:tabs>
          <w:tab w:pos="9112" w:val="left" w:leader="none"/>
        </w:tabs>
        <w:spacing w:before="100"/>
        <w:ind w:left="1491" w:right="1931" w:firstLine="0"/>
        <w:jc w:val="left"/>
        <w:rPr>
          <w:sz w:val="18"/>
        </w:rPr>
      </w:pPr>
      <w:r>
        <w:rPr/>
        <w:drawing>
          <wp:anchor distT="0" distB="0" distL="0" distR="0" allowOverlap="1" layoutInCell="1" locked="0" behindDoc="0" simplePos="0" relativeHeight="15776768">
            <wp:simplePos x="0" y="0"/>
            <wp:positionH relativeFrom="page">
              <wp:posOffset>1102145</wp:posOffset>
            </wp:positionH>
            <wp:positionV relativeFrom="paragraph">
              <wp:posOffset>107967</wp:posOffset>
            </wp:positionV>
            <wp:extent cx="58380" cy="72153"/>
            <wp:effectExtent l="0" t="0" r="0" b="0"/>
            <wp:wrapNone/>
            <wp:docPr id="269" name="image13.png"/>
            <wp:cNvGraphicFramePr>
              <a:graphicFrameLocks noChangeAspect="1"/>
            </wp:cNvGraphicFramePr>
            <a:graphic>
              <a:graphicData uri="http://schemas.openxmlformats.org/drawingml/2006/picture">
                <pic:pic>
                  <pic:nvPicPr>
                    <pic:cNvPr id="270" name="image13.png"/>
                    <pic:cNvPicPr/>
                  </pic:nvPicPr>
                  <pic:blipFill>
                    <a:blip r:embed="rId41" cstate="print"/>
                    <a:stretch>
                      <a:fillRect/>
                    </a:stretch>
                  </pic:blipFill>
                  <pic:spPr>
                    <a:xfrm>
                      <a:off x="0" y="0"/>
                      <a:ext cx="58380" cy="72153"/>
                    </a:xfrm>
                    <a:prstGeom prst="rect">
                      <a:avLst/>
                    </a:prstGeom>
                  </pic:spPr>
                </pic:pic>
              </a:graphicData>
            </a:graphic>
          </wp:anchor>
        </w:drawing>
      </w:r>
      <w:r>
        <w:rPr/>
        <w:drawing>
          <wp:anchor distT="0" distB="0" distL="0" distR="0" allowOverlap="1" layoutInCell="1" locked="0" behindDoc="0" simplePos="0" relativeHeight="15777280">
            <wp:simplePos x="0" y="0"/>
            <wp:positionH relativeFrom="page">
              <wp:posOffset>1102145</wp:posOffset>
            </wp:positionH>
            <wp:positionV relativeFrom="paragraph">
              <wp:posOffset>248176</wp:posOffset>
            </wp:positionV>
            <wp:extent cx="58380" cy="72151"/>
            <wp:effectExtent l="0" t="0" r="0" b="0"/>
            <wp:wrapNone/>
            <wp:docPr id="271" name="image13.png"/>
            <wp:cNvGraphicFramePr>
              <a:graphicFrameLocks noChangeAspect="1"/>
            </wp:cNvGraphicFramePr>
            <a:graphic>
              <a:graphicData uri="http://schemas.openxmlformats.org/drawingml/2006/picture">
                <pic:pic>
                  <pic:nvPicPr>
                    <pic:cNvPr id="27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Yes,</w:t>
      </w:r>
      <w:r>
        <w:rPr>
          <w:spacing w:val="-5"/>
          <w:sz w:val="18"/>
        </w:rPr>
        <w:t> </w:t>
      </w:r>
      <w:r>
        <w:rPr>
          <w:sz w:val="18"/>
        </w:rPr>
        <w:t>please</w:t>
      </w:r>
      <w:r>
        <w:rPr>
          <w:spacing w:val="-3"/>
          <w:sz w:val="18"/>
        </w:rPr>
        <w:t> </w:t>
      </w:r>
      <w:r>
        <w:rPr>
          <w:sz w:val="18"/>
        </w:rPr>
        <w:t>provide</w:t>
      </w:r>
      <w:r>
        <w:rPr>
          <w:spacing w:val="-3"/>
          <w:sz w:val="18"/>
        </w:rPr>
        <w:t> </w:t>
      </w:r>
      <w:r>
        <w:rPr>
          <w:sz w:val="18"/>
        </w:rPr>
        <w:t>name</w:t>
      </w:r>
      <w:r>
        <w:rPr>
          <w:spacing w:val="-3"/>
          <w:sz w:val="18"/>
        </w:rPr>
        <w:t> </w:t>
      </w:r>
      <w:r>
        <w:rPr>
          <w:sz w:val="18"/>
        </w:rPr>
        <w:t>of</w:t>
      </w:r>
      <w:r>
        <w:rPr>
          <w:spacing w:val="-3"/>
          <w:sz w:val="18"/>
        </w:rPr>
        <w:t> </w:t>
      </w:r>
      <w:r>
        <w:rPr>
          <w:sz w:val="18"/>
        </w:rPr>
        <w:t>tool</w:t>
      </w:r>
      <w:r>
        <w:rPr>
          <w:spacing w:val="47"/>
          <w:sz w:val="18"/>
        </w:rPr>
        <w:t> </w:t>
      </w:r>
      <w:r>
        <w:rPr>
          <w:sz w:val="18"/>
        </w:rPr>
        <w:t>(4)</w:t>
      </w:r>
      <w:r>
        <w:rPr>
          <w:spacing w:val="2"/>
          <w:sz w:val="18"/>
        </w:rPr>
        <w:t> </w:t>
      </w:r>
      <w:r>
        <w:rPr>
          <w:sz w:val="18"/>
          <w:u w:val="single" w:color="BDBDBD"/>
        </w:rPr>
        <w:t> </w:t>
        <w:tab/>
      </w:r>
      <w:r>
        <w:rPr>
          <w:sz w:val="18"/>
        </w:rPr>
        <w:t> No</w:t>
      </w:r>
      <w:r>
        <w:rPr>
          <w:spacing w:val="3"/>
          <w:sz w:val="18"/>
        </w:rPr>
        <w:t> </w:t>
      </w:r>
      <w:r>
        <w:rPr>
          <w:sz w:val="18"/>
        </w:rPr>
        <w:t>(3)</w:t>
      </w:r>
    </w:p>
    <w:p>
      <w:pPr>
        <w:pStyle w:val="BodyText"/>
        <w:spacing w:before="7"/>
        <w:rPr>
          <w:sz w:val="14"/>
        </w:rPr>
      </w:pPr>
    </w:p>
    <w:p>
      <w:pPr>
        <w:pStyle w:val="ListParagraph"/>
        <w:numPr>
          <w:ilvl w:val="0"/>
          <w:numId w:val="41"/>
        </w:numPr>
        <w:tabs>
          <w:tab w:pos="568" w:val="left" w:leader="none"/>
        </w:tabs>
        <w:spacing w:line="240" w:lineRule="auto" w:before="100" w:after="0"/>
        <w:ind w:left="567" w:right="444" w:hanging="428"/>
        <w:jc w:val="left"/>
        <w:rPr>
          <w:sz w:val="18"/>
        </w:rPr>
      </w:pPr>
      <w:r>
        <w:rPr>
          <w:sz w:val="18"/>
        </w:rPr>
        <w:t>Does the practice use any of the following systems/guides and if so, are these used for any of the conditions listed?</w:t>
      </w:r>
      <w:r>
        <w:rPr>
          <w:spacing w:val="1"/>
          <w:sz w:val="18"/>
        </w:rPr>
        <w:t> </w:t>
      </w:r>
      <w:r>
        <w:rPr>
          <w:sz w:val="18"/>
        </w:rPr>
        <w:t>Please</w:t>
      </w:r>
      <w:r>
        <w:rPr>
          <w:spacing w:val="-3"/>
          <w:sz w:val="18"/>
        </w:rPr>
        <w:t> </w:t>
      </w:r>
      <w:r>
        <w:rPr>
          <w:sz w:val="18"/>
        </w:rPr>
        <w:t>list</w:t>
      </w:r>
      <w:r>
        <w:rPr>
          <w:spacing w:val="-4"/>
          <w:sz w:val="18"/>
        </w:rPr>
        <w:t> </w:t>
      </w:r>
      <w:r>
        <w:rPr>
          <w:sz w:val="18"/>
        </w:rPr>
        <w:t>any</w:t>
      </w:r>
      <w:r>
        <w:rPr>
          <w:spacing w:val="-3"/>
          <w:sz w:val="18"/>
        </w:rPr>
        <w:t> </w:t>
      </w:r>
      <w:r>
        <w:rPr>
          <w:sz w:val="18"/>
        </w:rPr>
        <w:t>other</w:t>
      </w:r>
      <w:r>
        <w:rPr>
          <w:spacing w:val="1"/>
          <w:sz w:val="18"/>
        </w:rPr>
        <w:t> </w:t>
      </w:r>
      <w:r>
        <w:rPr>
          <w:sz w:val="18"/>
        </w:rPr>
        <w:t>systems/guides</w:t>
      </w:r>
      <w:r>
        <w:rPr>
          <w:spacing w:val="-5"/>
          <w:sz w:val="18"/>
        </w:rPr>
        <w:t> </w:t>
      </w:r>
      <w:r>
        <w:rPr>
          <w:sz w:val="18"/>
        </w:rPr>
        <w:t>used</w:t>
      </w:r>
      <w:r>
        <w:rPr>
          <w:spacing w:val="-3"/>
          <w:sz w:val="18"/>
        </w:rPr>
        <w:t> </w:t>
      </w:r>
      <w:r>
        <w:rPr>
          <w:sz w:val="18"/>
        </w:rPr>
        <w:t>for</w:t>
      </w:r>
      <w:r>
        <w:rPr>
          <w:spacing w:val="-4"/>
          <w:sz w:val="18"/>
        </w:rPr>
        <w:t> </w:t>
      </w:r>
      <w:r>
        <w:rPr>
          <w:sz w:val="18"/>
        </w:rPr>
        <w:t>these</w:t>
      </w:r>
      <w:r>
        <w:rPr>
          <w:spacing w:val="-2"/>
          <w:sz w:val="18"/>
        </w:rPr>
        <w:t> </w:t>
      </w:r>
      <w:r>
        <w:rPr>
          <w:sz w:val="18"/>
        </w:rPr>
        <w:t>conditions</w:t>
      </w:r>
      <w:r>
        <w:rPr>
          <w:spacing w:val="-2"/>
          <w:sz w:val="18"/>
        </w:rPr>
        <w:t> </w:t>
      </w:r>
      <w:r>
        <w:rPr>
          <w:sz w:val="18"/>
        </w:rPr>
        <w:t>and</w:t>
      </w:r>
      <w:r>
        <w:rPr>
          <w:spacing w:val="-5"/>
          <w:sz w:val="18"/>
        </w:rPr>
        <w:t> </w:t>
      </w:r>
      <w:r>
        <w:rPr>
          <w:sz w:val="18"/>
        </w:rPr>
        <w:t>indicate</w:t>
      </w:r>
      <w:r>
        <w:rPr>
          <w:spacing w:val="-2"/>
          <w:sz w:val="18"/>
        </w:rPr>
        <w:t> </w:t>
      </w:r>
      <w:r>
        <w:rPr>
          <w:sz w:val="18"/>
        </w:rPr>
        <w:t>the</w:t>
      </w:r>
      <w:r>
        <w:rPr>
          <w:spacing w:val="-4"/>
          <w:sz w:val="18"/>
        </w:rPr>
        <w:t> </w:t>
      </w:r>
      <w:r>
        <w:rPr>
          <w:sz w:val="18"/>
        </w:rPr>
        <w:t>conditions</w:t>
      </w:r>
      <w:r>
        <w:rPr>
          <w:spacing w:val="-4"/>
          <w:sz w:val="18"/>
        </w:rPr>
        <w:t> </w:t>
      </w:r>
      <w:r>
        <w:rPr>
          <w:sz w:val="18"/>
        </w:rPr>
        <w:t>for</w:t>
      </w:r>
      <w:r>
        <w:rPr>
          <w:spacing w:val="-2"/>
          <w:sz w:val="18"/>
        </w:rPr>
        <w:t> </w:t>
      </w:r>
      <w:r>
        <w:rPr>
          <w:sz w:val="18"/>
        </w:rPr>
        <w:t>which</w:t>
      </w:r>
      <w:r>
        <w:rPr>
          <w:spacing w:val="-2"/>
          <w:sz w:val="18"/>
        </w:rPr>
        <w:t> </w:t>
      </w:r>
      <w:r>
        <w:rPr>
          <w:sz w:val="18"/>
        </w:rPr>
        <w:t>these</w:t>
      </w:r>
      <w:r>
        <w:rPr>
          <w:spacing w:val="-2"/>
          <w:sz w:val="18"/>
        </w:rPr>
        <w:t> </w:t>
      </w:r>
      <w:r>
        <w:rPr>
          <w:sz w:val="18"/>
        </w:rPr>
        <w:t>are</w:t>
      </w:r>
      <w:r>
        <w:rPr>
          <w:spacing w:val="-4"/>
          <w:sz w:val="18"/>
        </w:rPr>
        <w:t> </w:t>
      </w:r>
      <w:r>
        <w:rPr>
          <w:sz w:val="18"/>
        </w:rPr>
        <w:t>used.</w:t>
      </w:r>
    </w:p>
    <w:p>
      <w:pPr>
        <w:pStyle w:val="BodyText"/>
        <w:rPr>
          <w:sz w:val="23"/>
        </w:rPr>
      </w:pPr>
    </w:p>
    <w:tbl>
      <w:tblPr>
        <w:tblW w:w="0" w:type="auto"/>
        <w:jc w:val="left"/>
        <w:tblInd w:w="15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1400"/>
        <w:gridCol w:w="483"/>
        <w:gridCol w:w="524"/>
        <w:gridCol w:w="1137"/>
        <w:gridCol w:w="1134"/>
        <w:gridCol w:w="995"/>
        <w:gridCol w:w="851"/>
        <w:gridCol w:w="1278"/>
        <w:gridCol w:w="993"/>
        <w:gridCol w:w="992"/>
        <w:gridCol w:w="1000"/>
      </w:tblGrid>
      <w:tr>
        <w:trPr>
          <w:trHeight w:val="441" w:hRule="atLeast"/>
        </w:trPr>
        <w:tc>
          <w:tcPr>
            <w:tcW w:w="1400" w:type="dxa"/>
            <w:vMerge w:val="restart"/>
            <w:tcBorders>
              <w:bottom w:val="single" w:sz="4" w:space="0" w:color="BEBEBE"/>
            </w:tcBorders>
            <w:shd w:val="clear" w:color="auto" w:fill="F1F1F1"/>
          </w:tcPr>
          <w:p>
            <w:pPr>
              <w:pStyle w:val="TableParagraph"/>
              <w:rPr>
                <w:rFonts w:ascii="Times New Roman"/>
                <w:sz w:val="18"/>
              </w:rPr>
            </w:pPr>
          </w:p>
        </w:tc>
        <w:tc>
          <w:tcPr>
            <w:tcW w:w="1007" w:type="dxa"/>
            <w:gridSpan w:val="2"/>
            <w:shd w:val="clear" w:color="auto" w:fill="F1F1F1"/>
          </w:tcPr>
          <w:p>
            <w:pPr>
              <w:pStyle w:val="TableParagraph"/>
              <w:spacing w:line="220" w:lineRule="exact"/>
              <w:ind w:left="292" w:right="174" w:hanging="92"/>
              <w:rPr>
                <w:sz w:val="18"/>
              </w:rPr>
            </w:pPr>
            <w:r>
              <w:rPr>
                <w:sz w:val="18"/>
              </w:rPr>
              <w:t>System</w:t>
            </w:r>
            <w:r>
              <w:rPr>
                <w:spacing w:val="-48"/>
                <w:sz w:val="18"/>
              </w:rPr>
              <w:t> </w:t>
            </w:r>
            <w:r>
              <w:rPr>
                <w:sz w:val="18"/>
              </w:rPr>
              <w:t>used</w:t>
            </w:r>
          </w:p>
        </w:tc>
        <w:tc>
          <w:tcPr>
            <w:tcW w:w="8380" w:type="dxa"/>
            <w:gridSpan w:val="8"/>
            <w:shd w:val="clear" w:color="auto" w:fill="F1F1F1"/>
          </w:tcPr>
          <w:p>
            <w:pPr>
              <w:pStyle w:val="TableParagraph"/>
              <w:spacing w:before="109"/>
              <w:ind w:left="3705" w:right="3697"/>
              <w:jc w:val="center"/>
              <w:rPr>
                <w:sz w:val="18"/>
              </w:rPr>
            </w:pPr>
            <w:r>
              <w:rPr>
                <w:sz w:val="18"/>
              </w:rPr>
              <w:t>Conditions</w:t>
            </w:r>
          </w:p>
        </w:tc>
      </w:tr>
      <w:tr>
        <w:trPr>
          <w:trHeight w:val="882" w:hRule="atLeast"/>
        </w:trPr>
        <w:tc>
          <w:tcPr>
            <w:tcW w:w="1400" w:type="dxa"/>
            <w:vMerge/>
            <w:tcBorders>
              <w:top w:val="nil"/>
              <w:bottom w:val="single" w:sz="4" w:space="0" w:color="BEBEBE"/>
            </w:tcBorders>
            <w:shd w:val="clear" w:color="auto" w:fill="F1F1F1"/>
          </w:tcPr>
          <w:p>
            <w:pPr>
              <w:rPr>
                <w:sz w:val="2"/>
                <w:szCs w:val="2"/>
              </w:rPr>
            </w:pPr>
          </w:p>
        </w:tc>
        <w:tc>
          <w:tcPr>
            <w:tcW w:w="483" w:type="dxa"/>
            <w:tcBorders>
              <w:bottom w:val="single" w:sz="4" w:space="0" w:color="BEBEBE"/>
            </w:tcBorders>
            <w:shd w:val="clear" w:color="auto" w:fill="F1F1F1"/>
          </w:tcPr>
          <w:p>
            <w:pPr>
              <w:pStyle w:val="TableParagraph"/>
              <w:spacing w:before="11"/>
              <w:rPr>
                <w:sz w:val="17"/>
              </w:rPr>
            </w:pPr>
          </w:p>
          <w:p>
            <w:pPr>
              <w:pStyle w:val="TableParagraph"/>
              <w:ind w:left="124" w:right="87" w:hanging="10"/>
              <w:rPr>
                <w:sz w:val="18"/>
              </w:rPr>
            </w:pPr>
            <w:r>
              <w:rPr>
                <w:sz w:val="18"/>
              </w:rPr>
              <w:t>No (1)</w:t>
            </w:r>
          </w:p>
        </w:tc>
        <w:tc>
          <w:tcPr>
            <w:tcW w:w="524" w:type="dxa"/>
            <w:tcBorders>
              <w:bottom w:val="single" w:sz="4" w:space="0" w:color="BEBEBE"/>
            </w:tcBorders>
            <w:shd w:val="clear" w:color="auto" w:fill="F1F1F1"/>
          </w:tcPr>
          <w:p>
            <w:pPr>
              <w:pStyle w:val="TableParagraph"/>
              <w:spacing w:before="11"/>
              <w:rPr>
                <w:sz w:val="17"/>
              </w:rPr>
            </w:pPr>
          </w:p>
          <w:p>
            <w:pPr>
              <w:pStyle w:val="TableParagraph"/>
              <w:ind w:left="142" w:right="90" w:hanging="29"/>
              <w:rPr>
                <w:sz w:val="18"/>
              </w:rPr>
            </w:pPr>
            <w:r>
              <w:rPr>
                <w:spacing w:val="-1"/>
                <w:sz w:val="18"/>
              </w:rPr>
              <w:t>Yes</w:t>
            </w:r>
            <w:r>
              <w:rPr>
                <w:spacing w:val="-47"/>
                <w:sz w:val="18"/>
              </w:rPr>
              <w:t> </w:t>
            </w:r>
            <w:r>
              <w:rPr>
                <w:sz w:val="18"/>
              </w:rPr>
              <w:t>(2)</w:t>
            </w:r>
          </w:p>
        </w:tc>
        <w:tc>
          <w:tcPr>
            <w:tcW w:w="1137" w:type="dxa"/>
            <w:tcBorders>
              <w:bottom w:val="single" w:sz="4" w:space="0" w:color="BEBEBE"/>
            </w:tcBorders>
            <w:shd w:val="clear" w:color="auto" w:fill="F1F1F1"/>
          </w:tcPr>
          <w:p>
            <w:pPr>
              <w:pStyle w:val="TableParagraph"/>
              <w:spacing w:before="109"/>
              <w:ind w:left="180" w:right="174" w:hanging="5"/>
              <w:jc w:val="center"/>
              <w:rPr>
                <w:sz w:val="18"/>
              </w:rPr>
            </w:pPr>
            <w:r>
              <w:rPr>
                <w:sz w:val="18"/>
              </w:rPr>
              <w:t>Type 2</w:t>
            </w:r>
            <w:r>
              <w:rPr>
                <w:spacing w:val="1"/>
                <w:sz w:val="18"/>
              </w:rPr>
              <w:t> </w:t>
            </w:r>
            <w:r>
              <w:rPr>
                <w:sz w:val="18"/>
              </w:rPr>
              <w:t>diabetes</w:t>
            </w:r>
            <w:r>
              <w:rPr>
                <w:spacing w:val="-47"/>
                <w:sz w:val="18"/>
              </w:rPr>
              <w:t> </w:t>
            </w:r>
            <w:r>
              <w:rPr>
                <w:sz w:val="18"/>
              </w:rPr>
              <w:t>(1)</w:t>
            </w:r>
          </w:p>
        </w:tc>
        <w:tc>
          <w:tcPr>
            <w:tcW w:w="1134" w:type="dxa"/>
            <w:tcBorders>
              <w:bottom w:val="single" w:sz="4" w:space="0" w:color="BEBEBE"/>
            </w:tcBorders>
            <w:shd w:val="clear" w:color="auto" w:fill="F1F1F1"/>
          </w:tcPr>
          <w:p>
            <w:pPr>
              <w:pStyle w:val="TableParagraph"/>
              <w:spacing w:line="220" w:lineRule="exact"/>
              <w:ind w:left="152" w:right="148"/>
              <w:jc w:val="center"/>
              <w:rPr>
                <w:sz w:val="18"/>
              </w:rPr>
            </w:pPr>
            <w:r>
              <w:rPr>
                <w:sz w:val="18"/>
              </w:rPr>
              <w:t>Coronary</w:t>
            </w:r>
            <w:r>
              <w:rPr>
                <w:spacing w:val="-47"/>
                <w:sz w:val="18"/>
              </w:rPr>
              <w:t> </w:t>
            </w:r>
            <w:r>
              <w:rPr>
                <w:sz w:val="18"/>
              </w:rPr>
              <w:t>heart</w:t>
            </w:r>
            <w:r>
              <w:rPr>
                <w:spacing w:val="1"/>
                <w:sz w:val="18"/>
              </w:rPr>
              <w:t> </w:t>
            </w:r>
            <w:r>
              <w:rPr>
                <w:sz w:val="18"/>
              </w:rPr>
              <w:t>disease</w:t>
            </w:r>
            <w:r>
              <w:rPr>
                <w:spacing w:val="1"/>
                <w:sz w:val="18"/>
              </w:rPr>
              <w:t> </w:t>
            </w:r>
            <w:r>
              <w:rPr>
                <w:sz w:val="18"/>
              </w:rPr>
              <w:t>(2)</w:t>
            </w:r>
          </w:p>
        </w:tc>
        <w:tc>
          <w:tcPr>
            <w:tcW w:w="995" w:type="dxa"/>
            <w:tcBorders>
              <w:bottom w:val="single" w:sz="4" w:space="0" w:color="BEBEBE"/>
            </w:tcBorders>
            <w:shd w:val="clear" w:color="auto" w:fill="F1F1F1"/>
          </w:tcPr>
          <w:p>
            <w:pPr>
              <w:pStyle w:val="TableParagraph"/>
              <w:spacing w:before="109"/>
              <w:ind w:left="226" w:right="223" w:hanging="3"/>
              <w:jc w:val="center"/>
              <w:rPr>
                <w:sz w:val="18"/>
              </w:rPr>
            </w:pPr>
            <w:r>
              <w:rPr>
                <w:sz w:val="18"/>
              </w:rPr>
              <w:t>Heart</w:t>
            </w:r>
            <w:r>
              <w:rPr>
                <w:spacing w:val="1"/>
                <w:sz w:val="18"/>
              </w:rPr>
              <w:t> </w:t>
            </w:r>
            <w:r>
              <w:rPr>
                <w:sz w:val="18"/>
              </w:rPr>
              <w:t>failure</w:t>
            </w:r>
            <w:r>
              <w:rPr>
                <w:spacing w:val="-47"/>
                <w:sz w:val="18"/>
              </w:rPr>
              <w:t> </w:t>
            </w:r>
            <w:r>
              <w:rPr>
                <w:sz w:val="18"/>
              </w:rPr>
              <w:t>(3)</w:t>
            </w:r>
          </w:p>
        </w:tc>
        <w:tc>
          <w:tcPr>
            <w:tcW w:w="851" w:type="dxa"/>
            <w:tcBorders>
              <w:bottom w:val="single" w:sz="4" w:space="0" w:color="BEBEBE"/>
            </w:tcBorders>
            <w:shd w:val="clear" w:color="auto" w:fill="F1F1F1"/>
          </w:tcPr>
          <w:p>
            <w:pPr>
              <w:pStyle w:val="TableParagraph"/>
              <w:spacing w:before="11"/>
              <w:rPr>
                <w:sz w:val="17"/>
              </w:rPr>
            </w:pPr>
          </w:p>
          <w:p>
            <w:pPr>
              <w:pStyle w:val="TableParagraph"/>
              <w:ind w:left="301" w:right="132" w:hanging="156"/>
              <w:rPr>
                <w:sz w:val="18"/>
              </w:rPr>
            </w:pPr>
            <w:r>
              <w:rPr>
                <w:sz w:val="18"/>
              </w:rPr>
              <w:t>COPD (4)</w:t>
            </w:r>
          </w:p>
        </w:tc>
        <w:tc>
          <w:tcPr>
            <w:tcW w:w="1278" w:type="dxa"/>
            <w:tcBorders>
              <w:bottom w:val="single" w:sz="4" w:space="0" w:color="BEBEBE"/>
            </w:tcBorders>
            <w:shd w:val="clear" w:color="auto" w:fill="F1F1F1"/>
          </w:tcPr>
          <w:p>
            <w:pPr>
              <w:pStyle w:val="TableParagraph"/>
              <w:spacing w:before="11"/>
              <w:rPr>
                <w:sz w:val="17"/>
              </w:rPr>
            </w:pPr>
          </w:p>
          <w:p>
            <w:pPr>
              <w:pStyle w:val="TableParagraph"/>
              <w:ind w:left="187" w:right="189" w:firstLine="153"/>
              <w:rPr>
                <w:sz w:val="18"/>
              </w:rPr>
            </w:pPr>
            <w:r>
              <w:rPr>
                <w:sz w:val="18"/>
              </w:rPr>
              <w:t>Osteo-</w:t>
            </w:r>
            <w:r>
              <w:rPr>
                <w:spacing w:val="1"/>
                <w:sz w:val="18"/>
              </w:rPr>
              <w:t> </w:t>
            </w:r>
            <w:r>
              <w:rPr>
                <w:spacing w:val="-1"/>
                <w:sz w:val="18"/>
              </w:rPr>
              <w:t>arthritis</w:t>
            </w:r>
            <w:r>
              <w:rPr>
                <w:spacing w:val="-7"/>
                <w:sz w:val="18"/>
              </w:rPr>
              <w:t> </w:t>
            </w:r>
            <w:r>
              <w:rPr>
                <w:sz w:val="18"/>
              </w:rPr>
              <w:t>(5)</w:t>
            </w:r>
          </w:p>
        </w:tc>
        <w:tc>
          <w:tcPr>
            <w:tcW w:w="993" w:type="dxa"/>
            <w:tcBorders>
              <w:bottom w:val="single" w:sz="4" w:space="0" w:color="BEBEBE"/>
            </w:tcBorders>
            <w:shd w:val="clear" w:color="auto" w:fill="F1F1F1"/>
          </w:tcPr>
          <w:p>
            <w:pPr>
              <w:pStyle w:val="TableParagraph"/>
              <w:spacing w:before="11"/>
              <w:rPr>
                <w:sz w:val="17"/>
              </w:rPr>
            </w:pPr>
          </w:p>
          <w:p>
            <w:pPr>
              <w:pStyle w:val="TableParagraph"/>
              <w:ind w:left="145" w:right="145" w:firstLine="40"/>
              <w:rPr>
                <w:sz w:val="18"/>
              </w:rPr>
            </w:pPr>
            <w:r>
              <w:rPr>
                <w:sz w:val="18"/>
              </w:rPr>
              <w:t>Depre-</w:t>
            </w:r>
            <w:r>
              <w:rPr>
                <w:spacing w:val="-47"/>
                <w:sz w:val="18"/>
              </w:rPr>
              <w:t> </w:t>
            </w:r>
            <w:r>
              <w:rPr>
                <w:sz w:val="18"/>
              </w:rPr>
              <w:t>ssion</w:t>
            </w:r>
            <w:r>
              <w:rPr>
                <w:spacing w:val="-13"/>
                <w:sz w:val="18"/>
              </w:rPr>
              <w:t> </w:t>
            </w:r>
            <w:r>
              <w:rPr>
                <w:sz w:val="18"/>
              </w:rPr>
              <w:t>(6)</w:t>
            </w:r>
          </w:p>
        </w:tc>
        <w:tc>
          <w:tcPr>
            <w:tcW w:w="992" w:type="dxa"/>
            <w:tcBorders>
              <w:bottom w:val="single" w:sz="4" w:space="0" w:color="BEBEBE"/>
            </w:tcBorders>
            <w:shd w:val="clear" w:color="auto" w:fill="F1F1F1"/>
          </w:tcPr>
          <w:p>
            <w:pPr>
              <w:pStyle w:val="TableParagraph"/>
              <w:spacing w:before="11"/>
              <w:rPr>
                <w:sz w:val="17"/>
              </w:rPr>
            </w:pPr>
          </w:p>
          <w:p>
            <w:pPr>
              <w:pStyle w:val="TableParagraph"/>
              <w:ind w:left="370" w:right="161" w:hanging="202"/>
              <w:rPr>
                <w:sz w:val="18"/>
              </w:rPr>
            </w:pPr>
            <w:r>
              <w:rPr>
                <w:spacing w:val="-1"/>
                <w:sz w:val="18"/>
              </w:rPr>
              <w:t>Anxiety</w:t>
            </w:r>
            <w:r>
              <w:rPr>
                <w:spacing w:val="-47"/>
                <w:sz w:val="18"/>
              </w:rPr>
              <w:t> </w:t>
            </w:r>
            <w:r>
              <w:rPr>
                <w:sz w:val="18"/>
              </w:rPr>
              <w:t>(7)</w:t>
            </w:r>
          </w:p>
        </w:tc>
        <w:tc>
          <w:tcPr>
            <w:tcW w:w="1000" w:type="dxa"/>
            <w:tcBorders>
              <w:bottom w:val="single" w:sz="4" w:space="0" w:color="BEBEBE"/>
            </w:tcBorders>
            <w:shd w:val="clear" w:color="auto" w:fill="F1F1F1"/>
          </w:tcPr>
          <w:p>
            <w:pPr>
              <w:pStyle w:val="TableParagraph"/>
              <w:spacing w:before="109"/>
              <w:ind w:left="107" w:right="121" w:hanging="2"/>
              <w:jc w:val="center"/>
              <w:rPr>
                <w:sz w:val="18"/>
              </w:rPr>
            </w:pPr>
            <w:r>
              <w:rPr>
                <w:sz w:val="18"/>
              </w:rPr>
              <w:t>Alcohol/</w:t>
            </w:r>
            <w:r>
              <w:rPr>
                <w:spacing w:val="-47"/>
                <w:sz w:val="18"/>
              </w:rPr>
              <w:t> </w:t>
            </w:r>
            <w:r>
              <w:rPr>
                <w:sz w:val="18"/>
              </w:rPr>
              <w:t>other</w:t>
            </w:r>
            <w:r>
              <w:rPr>
                <w:spacing w:val="1"/>
                <w:sz w:val="18"/>
              </w:rPr>
              <w:t> </w:t>
            </w:r>
            <w:r>
              <w:rPr>
                <w:spacing w:val="-1"/>
                <w:sz w:val="18"/>
              </w:rPr>
              <w:t>drugs</w:t>
            </w:r>
            <w:r>
              <w:rPr>
                <w:spacing w:val="-10"/>
                <w:sz w:val="18"/>
              </w:rPr>
              <w:t> </w:t>
            </w:r>
            <w:r>
              <w:rPr>
                <w:sz w:val="18"/>
              </w:rPr>
              <w:t>(8)</w:t>
            </w:r>
          </w:p>
        </w:tc>
      </w:tr>
      <w:tr>
        <w:trPr>
          <w:trHeight w:val="662" w:hRule="atLeast"/>
        </w:trPr>
        <w:tc>
          <w:tcPr>
            <w:tcW w:w="1400" w:type="dxa"/>
            <w:tcBorders>
              <w:top w:val="single" w:sz="4" w:space="0" w:color="BEBEBE"/>
            </w:tcBorders>
          </w:tcPr>
          <w:p>
            <w:pPr>
              <w:pStyle w:val="TableParagraph"/>
              <w:spacing w:line="222" w:lineRule="exact"/>
              <w:ind w:left="172" w:right="366"/>
              <w:rPr>
                <w:sz w:val="18"/>
              </w:rPr>
            </w:pPr>
            <w:r>
              <w:rPr>
                <w:sz w:val="18"/>
              </w:rPr>
              <w:t>Health</w:t>
            </w:r>
            <w:r>
              <w:rPr>
                <w:spacing w:val="1"/>
                <w:sz w:val="18"/>
              </w:rPr>
              <w:t> </w:t>
            </w:r>
            <w:r>
              <w:rPr>
                <w:spacing w:val="-1"/>
                <w:sz w:val="18"/>
              </w:rPr>
              <w:t>Pathways</w:t>
            </w:r>
            <w:r>
              <w:rPr>
                <w:spacing w:val="-47"/>
                <w:sz w:val="18"/>
              </w:rPr>
              <w:t> </w:t>
            </w:r>
            <w:r>
              <w:rPr>
                <w:sz w:val="18"/>
              </w:rPr>
              <w:t>(1)</w:t>
            </w:r>
          </w:p>
        </w:tc>
        <w:tc>
          <w:tcPr>
            <w:tcW w:w="483" w:type="dxa"/>
            <w:tcBorders>
              <w:top w:val="single" w:sz="4" w:space="0" w:color="BEBEBE"/>
            </w:tcBorders>
          </w:tcPr>
          <w:p>
            <w:pPr>
              <w:pStyle w:val="TableParagraph"/>
              <w:spacing w:before="7"/>
              <w:rPr>
                <w:sz w:val="23"/>
              </w:rPr>
            </w:pPr>
          </w:p>
          <w:p>
            <w:pPr>
              <w:pStyle w:val="TableParagraph"/>
              <w:spacing w:line="112" w:lineRule="exact"/>
              <w:ind w:left="138"/>
              <w:rPr>
                <w:sz w:val="11"/>
              </w:rPr>
            </w:pPr>
            <w:r>
              <w:rPr>
                <w:position w:val="-1"/>
                <w:sz w:val="11"/>
              </w:rPr>
              <w:drawing>
                <wp:inline distT="0" distB="0" distL="0" distR="0">
                  <wp:extent cx="57802" cy="71437"/>
                  <wp:effectExtent l="0" t="0" r="0" b="0"/>
                  <wp:docPr id="273" name="image13.png"/>
                  <wp:cNvGraphicFramePr>
                    <a:graphicFrameLocks noChangeAspect="1"/>
                  </wp:cNvGraphicFramePr>
                  <a:graphic>
                    <a:graphicData uri="http://schemas.openxmlformats.org/drawingml/2006/picture">
                      <pic:pic>
                        <pic:nvPicPr>
                          <pic:cNvPr id="274"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524" w:type="dxa"/>
            <w:tcBorders>
              <w:top w:val="single" w:sz="4" w:space="0" w:color="BEBEBE"/>
            </w:tcBorders>
          </w:tcPr>
          <w:p>
            <w:pPr>
              <w:pStyle w:val="TableParagraph"/>
              <w:spacing w:before="7"/>
              <w:rPr>
                <w:sz w:val="23"/>
              </w:rPr>
            </w:pPr>
          </w:p>
          <w:p>
            <w:pPr>
              <w:pStyle w:val="TableParagraph"/>
              <w:spacing w:line="112" w:lineRule="exact"/>
              <w:ind w:left="138"/>
              <w:rPr>
                <w:sz w:val="11"/>
              </w:rPr>
            </w:pPr>
            <w:r>
              <w:rPr>
                <w:position w:val="-1"/>
                <w:sz w:val="11"/>
              </w:rPr>
              <w:drawing>
                <wp:inline distT="0" distB="0" distL="0" distR="0">
                  <wp:extent cx="57802" cy="71437"/>
                  <wp:effectExtent l="0" t="0" r="0" b="0"/>
                  <wp:docPr id="275" name="image13.png"/>
                  <wp:cNvGraphicFramePr>
                    <a:graphicFrameLocks noChangeAspect="1"/>
                  </wp:cNvGraphicFramePr>
                  <a:graphic>
                    <a:graphicData uri="http://schemas.openxmlformats.org/drawingml/2006/picture">
                      <pic:pic>
                        <pic:nvPicPr>
                          <pic:cNvPr id="276"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137" w:type="dxa"/>
            <w:tcBorders>
              <w:top w:val="single" w:sz="4" w:space="0" w:color="BEBEBE"/>
            </w:tcBorders>
          </w:tcPr>
          <w:p>
            <w:pPr>
              <w:pStyle w:val="TableParagraph"/>
              <w:spacing w:before="7"/>
              <w:rPr>
                <w:sz w:val="23"/>
              </w:rPr>
            </w:pPr>
          </w:p>
          <w:p>
            <w:pPr>
              <w:pStyle w:val="TableParagraph"/>
              <w:spacing w:line="112" w:lineRule="exact"/>
              <w:ind w:left="410"/>
              <w:rPr>
                <w:sz w:val="11"/>
              </w:rPr>
            </w:pPr>
            <w:r>
              <w:rPr>
                <w:position w:val="-1"/>
                <w:sz w:val="11"/>
              </w:rPr>
              <w:drawing>
                <wp:inline distT="0" distB="0" distL="0" distR="0">
                  <wp:extent cx="57802" cy="71437"/>
                  <wp:effectExtent l="0" t="0" r="0" b="0"/>
                  <wp:docPr id="277" name="image13.png"/>
                  <wp:cNvGraphicFramePr>
                    <a:graphicFrameLocks noChangeAspect="1"/>
                  </wp:cNvGraphicFramePr>
                  <a:graphic>
                    <a:graphicData uri="http://schemas.openxmlformats.org/drawingml/2006/picture">
                      <pic:pic>
                        <pic:nvPicPr>
                          <pic:cNvPr id="278"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134" w:type="dxa"/>
            <w:tcBorders>
              <w:top w:val="single" w:sz="4" w:space="0" w:color="BEBEBE"/>
            </w:tcBorders>
          </w:tcPr>
          <w:p>
            <w:pPr>
              <w:pStyle w:val="TableParagraph"/>
              <w:spacing w:before="7"/>
              <w:rPr>
                <w:sz w:val="23"/>
              </w:rPr>
            </w:pPr>
          </w:p>
          <w:p>
            <w:pPr>
              <w:pStyle w:val="TableParagraph"/>
              <w:spacing w:line="112" w:lineRule="exact"/>
              <w:ind w:left="409"/>
              <w:rPr>
                <w:sz w:val="11"/>
              </w:rPr>
            </w:pPr>
            <w:r>
              <w:rPr>
                <w:position w:val="-1"/>
                <w:sz w:val="11"/>
              </w:rPr>
              <w:drawing>
                <wp:inline distT="0" distB="0" distL="0" distR="0">
                  <wp:extent cx="57802" cy="71437"/>
                  <wp:effectExtent l="0" t="0" r="0" b="0"/>
                  <wp:docPr id="279" name="image13.png"/>
                  <wp:cNvGraphicFramePr>
                    <a:graphicFrameLocks noChangeAspect="1"/>
                  </wp:cNvGraphicFramePr>
                  <a:graphic>
                    <a:graphicData uri="http://schemas.openxmlformats.org/drawingml/2006/picture">
                      <pic:pic>
                        <pic:nvPicPr>
                          <pic:cNvPr id="280"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995" w:type="dxa"/>
            <w:tcBorders>
              <w:top w:val="single" w:sz="4" w:space="0" w:color="BEBEBE"/>
            </w:tcBorders>
          </w:tcPr>
          <w:p>
            <w:pPr>
              <w:pStyle w:val="TableParagraph"/>
              <w:spacing w:before="7"/>
              <w:rPr>
                <w:sz w:val="23"/>
              </w:rPr>
            </w:pPr>
          </w:p>
          <w:p>
            <w:pPr>
              <w:pStyle w:val="TableParagraph"/>
              <w:spacing w:line="112" w:lineRule="exact"/>
              <w:ind w:left="335"/>
              <w:rPr>
                <w:sz w:val="11"/>
              </w:rPr>
            </w:pPr>
            <w:r>
              <w:rPr>
                <w:position w:val="-1"/>
                <w:sz w:val="11"/>
              </w:rPr>
              <w:drawing>
                <wp:inline distT="0" distB="0" distL="0" distR="0">
                  <wp:extent cx="57802" cy="71437"/>
                  <wp:effectExtent l="0" t="0" r="0" b="0"/>
                  <wp:docPr id="281" name="image13.png"/>
                  <wp:cNvGraphicFramePr>
                    <a:graphicFrameLocks noChangeAspect="1"/>
                  </wp:cNvGraphicFramePr>
                  <a:graphic>
                    <a:graphicData uri="http://schemas.openxmlformats.org/drawingml/2006/picture">
                      <pic:pic>
                        <pic:nvPicPr>
                          <pic:cNvPr id="282"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851" w:type="dxa"/>
            <w:tcBorders>
              <w:top w:val="single" w:sz="4" w:space="0" w:color="BEBEBE"/>
            </w:tcBorders>
          </w:tcPr>
          <w:p>
            <w:pPr>
              <w:pStyle w:val="TableParagraph"/>
              <w:spacing w:before="7"/>
              <w:rPr>
                <w:sz w:val="23"/>
              </w:rPr>
            </w:pPr>
          </w:p>
          <w:p>
            <w:pPr>
              <w:pStyle w:val="TableParagraph"/>
              <w:spacing w:line="112" w:lineRule="exact"/>
              <w:ind w:left="262"/>
              <w:rPr>
                <w:sz w:val="11"/>
              </w:rPr>
            </w:pPr>
            <w:r>
              <w:rPr>
                <w:position w:val="-1"/>
                <w:sz w:val="11"/>
              </w:rPr>
              <w:drawing>
                <wp:inline distT="0" distB="0" distL="0" distR="0">
                  <wp:extent cx="57802" cy="71437"/>
                  <wp:effectExtent l="0" t="0" r="0" b="0"/>
                  <wp:docPr id="283" name="image13.png"/>
                  <wp:cNvGraphicFramePr>
                    <a:graphicFrameLocks noChangeAspect="1"/>
                  </wp:cNvGraphicFramePr>
                  <a:graphic>
                    <a:graphicData uri="http://schemas.openxmlformats.org/drawingml/2006/picture">
                      <pic:pic>
                        <pic:nvPicPr>
                          <pic:cNvPr id="284"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278" w:type="dxa"/>
            <w:tcBorders>
              <w:top w:val="single" w:sz="4" w:space="0" w:color="BEBEBE"/>
            </w:tcBorders>
          </w:tcPr>
          <w:p>
            <w:pPr>
              <w:pStyle w:val="TableParagraph"/>
              <w:spacing w:before="7"/>
              <w:rPr>
                <w:sz w:val="23"/>
              </w:rPr>
            </w:pPr>
          </w:p>
          <w:p>
            <w:pPr>
              <w:pStyle w:val="TableParagraph"/>
              <w:spacing w:line="112" w:lineRule="exact"/>
              <w:ind w:left="474"/>
              <w:rPr>
                <w:sz w:val="11"/>
              </w:rPr>
            </w:pPr>
            <w:r>
              <w:rPr>
                <w:position w:val="-1"/>
                <w:sz w:val="11"/>
              </w:rPr>
              <w:drawing>
                <wp:inline distT="0" distB="0" distL="0" distR="0">
                  <wp:extent cx="57802" cy="71437"/>
                  <wp:effectExtent l="0" t="0" r="0" b="0"/>
                  <wp:docPr id="285" name="image13.png"/>
                  <wp:cNvGraphicFramePr>
                    <a:graphicFrameLocks noChangeAspect="1"/>
                  </wp:cNvGraphicFramePr>
                  <a:graphic>
                    <a:graphicData uri="http://schemas.openxmlformats.org/drawingml/2006/picture">
                      <pic:pic>
                        <pic:nvPicPr>
                          <pic:cNvPr id="286"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993" w:type="dxa"/>
            <w:tcBorders>
              <w:top w:val="single" w:sz="4" w:space="0" w:color="BEBEBE"/>
            </w:tcBorders>
          </w:tcPr>
          <w:p>
            <w:pPr>
              <w:pStyle w:val="TableParagraph"/>
              <w:spacing w:before="7"/>
              <w:rPr>
                <w:sz w:val="23"/>
              </w:rPr>
            </w:pPr>
          </w:p>
          <w:p>
            <w:pPr>
              <w:pStyle w:val="TableParagraph"/>
              <w:spacing w:line="112" w:lineRule="exact"/>
              <w:ind w:left="331"/>
              <w:rPr>
                <w:sz w:val="11"/>
              </w:rPr>
            </w:pPr>
            <w:r>
              <w:rPr>
                <w:position w:val="-1"/>
                <w:sz w:val="11"/>
              </w:rPr>
              <w:drawing>
                <wp:inline distT="0" distB="0" distL="0" distR="0">
                  <wp:extent cx="57802" cy="71437"/>
                  <wp:effectExtent l="0" t="0" r="0" b="0"/>
                  <wp:docPr id="287" name="image13.png"/>
                  <wp:cNvGraphicFramePr>
                    <a:graphicFrameLocks noChangeAspect="1"/>
                  </wp:cNvGraphicFramePr>
                  <a:graphic>
                    <a:graphicData uri="http://schemas.openxmlformats.org/drawingml/2006/picture">
                      <pic:pic>
                        <pic:nvPicPr>
                          <pic:cNvPr id="288"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992" w:type="dxa"/>
            <w:tcBorders>
              <w:top w:val="single" w:sz="4" w:space="0" w:color="BEBEBE"/>
            </w:tcBorders>
          </w:tcPr>
          <w:p>
            <w:pPr>
              <w:pStyle w:val="TableParagraph"/>
              <w:spacing w:before="7"/>
              <w:rPr>
                <w:sz w:val="23"/>
              </w:rPr>
            </w:pPr>
          </w:p>
          <w:p>
            <w:pPr>
              <w:pStyle w:val="TableParagraph"/>
              <w:spacing w:line="112" w:lineRule="exact"/>
              <w:ind w:left="330"/>
              <w:rPr>
                <w:sz w:val="11"/>
              </w:rPr>
            </w:pPr>
            <w:r>
              <w:rPr>
                <w:position w:val="-1"/>
                <w:sz w:val="11"/>
              </w:rPr>
              <w:drawing>
                <wp:inline distT="0" distB="0" distL="0" distR="0">
                  <wp:extent cx="57802" cy="71437"/>
                  <wp:effectExtent l="0" t="0" r="0" b="0"/>
                  <wp:docPr id="289" name="image13.png"/>
                  <wp:cNvGraphicFramePr>
                    <a:graphicFrameLocks noChangeAspect="1"/>
                  </wp:cNvGraphicFramePr>
                  <a:graphic>
                    <a:graphicData uri="http://schemas.openxmlformats.org/drawingml/2006/picture">
                      <pic:pic>
                        <pic:nvPicPr>
                          <pic:cNvPr id="290"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000" w:type="dxa"/>
            <w:tcBorders>
              <w:top w:val="single" w:sz="4" w:space="0" w:color="BEBEBE"/>
            </w:tcBorders>
          </w:tcPr>
          <w:p>
            <w:pPr>
              <w:pStyle w:val="TableParagraph"/>
              <w:spacing w:before="7"/>
              <w:rPr>
                <w:sz w:val="23"/>
              </w:rPr>
            </w:pPr>
          </w:p>
          <w:p>
            <w:pPr>
              <w:pStyle w:val="TableParagraph"/>
              <w:spacing w:line="112" w:lineRule="exact"/>
              <w:ind w:left="331"/>
              <w:rPr>
                <w:sz w:val="11"/>
              </w:rPr>
            </w:pPr>
            <w:r>
              <w:rPr>
                <w:position w:val="-1"/>
                <w:sz w:val="11"/>
              </w:rPr>
              <w:drawing>
                <wp:inline distT="0" distB="0" distL="0" distR="0">
                  <wp:extent cx="57802" cy="71437"/>
                  <wp:effectExtent l="0" t="0" r="0" b="0"/>
                  <wp:docPr id="291" name="image13.png"/>
                  <wp:cNvGraphicFramePr>
                    <a:graphicFrameLocks noChangeAspect="1"/>
                  </wp:cNvGraphicFramePr>
                  <a:graphic>
                    <a:graphicData uri="http://schemas.openxmlformats.org/drawingml/2006/picture">
                      <pic:pic>
                        <pic:nvPicPr>
                          <pic:cNvPr id="292"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r>
      <w:tr>
        <w:trPr>
          <w:trHeight w:val="658" w:hRule="atLeast"/>
        </w:trPr>
        <w:tc>
          <w:tcPr>
            <w:tcW w:w="1400" w:type="dxa"/>
          </w:tcPr>
          <w:p>
            <w:pPr>
              <w:pStyle w:val="TableParagraph"/>
              <w:spacing w:line="216" w:lineRule="exact"/>
              <w:ind w:left="172"/>
              <w:rPr>
                <w:sz w:val="18"/>
              </w:rPr>
            </w:pPr>
            <w:r>
              <w:rPr>
                <w:sz w:val="18"/>
              </w:rPr>
              <w:t>Map</w:t>
            </w:r>
            <w:r>
              <w:rPr>
                <w:spacing w:val="-1"/>
                <w:sz w:val="18"/>
              </w:rPr>
              <w:t> </w:t>
            </w:r>
            <w:r>
              <w:rPr>
                <w:sz w:val="18"/>
              </w:rPr>
              <w:t>of</w:t>
            </w:r>
          </w:p>
          <w:p>
            <w:pPr>
              <w:pStyle w:val="TableParagraph"/>
              <w:spacing w:line="220" w:lineRule="atLeast"/>
              <w:ind w:left="172" w:right="377"/>
              <w:rPr>
                <w:sz w:val="18"/>
              </w:rPr>
            </w:pPr>
            <w:r>
              <w:rPr>
                <w:sz w:val="18"/>
              </w:rPr>
              <w:t>Medicine</w:t>
            </w:r>
            <w:r>
              <w:rPr>
                <w:spacing w:val="-47"/>
                <w:sz w:val="18"/>
              </w:rPr>
              <w:t> </w:t>
            </w:r>
            <w:r>
              <w:rPr>
                <w:sz w:val="18"/>
              </w:rPr>
              <w:t>(2)</w:t>
            </w:r>
          </w:p>
        </w:tc>
        <w:tc>
          <w:tcPr>
            <w:tcW w:w="483" w:type="dxa"/>
          </w:tcPr>
          <w:p>
            <w:pPr>
              <w:pStyle w:val="TableParagraph"/>
              <w:spacing w:before="3"/>
              <w:rPr>
                <w:sz w:val="23"/>
              </w:rPr>
            </w:pPr>
          </w:p>
          <w:p>
            <w:pPr>
              <w:pStyle w:val="TableParagraph"/>
              <w:spacing w:line="115" w:lineRule="exact"/>
              <w:ind w:left="138"/>
              <w:rPr>
                <w:sz w:val="11"/>
              </w:rPr>
            </w:pPr>
            <w:r>
              <w:rPr>
                <w:position w:val="-1"/>
                <w:sz w:val="11"/>
              </w:rPr>
              <w:drawing>
                <wp:inline distT="0" distB="0" distL="0" distR="0">
                  <wp:extent cx="57814" cy="73151"/>
                  <wp:effectExtent l="0" t="0" r="0" b="0"/>
                  <wp:docPr id="293" name="image14.png"/>
                  <wp:cNvGraphicFramePr>
                    <a:graphicFrameLocks noChangeAspect="1"/>
                  </wp:cNvGraphicFramePr>
                  <a:graphic>
                    <a:graphicData uri="http://schemas.openxmlformats.org/drawingml/2006/picture">
                      <pic:pic>
                        <pic:nvPicPr>
                          <pic:cNvPr id="294" name="image14.png"/>
                          <pic:cNvPicPr/>
                        </pic:nvPicPr>
                        <pic:blipFill>
                          <a:blip r:embed="rId43" cstate="print"/>
                          <a:stretch>
                            <a:fillRect/>
                          </a:stretch>
                        </pic:blipFill>
                        <pic:spPr>
                          <a:xfrm>
                            <a:off x="0" y="0"/>
                            <a:ext cx="57814" cy="73151"/>
                          </a:xfrm>
                          <a:prstGeom prst="rect">
                            <a:avLst/>
                          </a:prstGeom>
                        </pic:spPr>
                      </pic:pic>
                    </a:graphicData>
                  </a:graphic>
                </wp:inline>
              </w:drawing>
            </w:r>
            <w:r>
              <w:rPr>
                <w:position w:val="-1"/>
                <w:sz w:val="11"/>
              </w:rPr>
            </w:r>
          </w:p>
        </w:tc>
        <w:tc>
          <w:tcPr>
            <w:tcW w:w="524" w:type="dxa"/>
          </w:tcPr>
          <w:p>
            <w:pPr>
              <w:pStyle w:val="TableParagraph"/>
              <w:spacing w:before="3"/>
              <w:rPr>
                <w:sz w:val="23"/>
              </w:rPr>
            </w:pPr>
          </w:p>
          <w:p>
            <w:pPr>
              <w:pStyle w:val="TableParagraph"/>
              <w:spacing w:line="115" w:lineRule="exact"/>
              <w:ind w:left="138"/>
              <w:rPr>
                <w:sz w:val="11"/>
              </w:rPr>
            </w:pPr>
            <w:r>
              <w:rPr>
                <w:position w:val="-1"/>
                <w:sz w:val="11"/>
              </w:rPr>
              <w:drawing>
                <wp:inline distT="0" distB="0" distL="0" distR="0">
                  <wp:extent cx="57814" cy="73151"/>
                  <wp:effectExtent l="0" t="0" r="0" b="0"/>
                  <wp:docPr id="295" name="image14.png"/>
                  <wp:cNvGraphicFramePr>
                    <a:graphicFrameLocks noChangeAspect="1"/>
                  </wp:cNvGraphicFramePr>
                  <a:graphic>
                    <a:graphicData uri="http://schemas.openxmlformats.org/drawingml/2006/picture">
                      <pic:pic>
                        <pic:nvPicPr>
                          <pic:cNvPr id="296" name="image14.png"/>
                          <pic:cNvPicPr/>
                        </pic:nvPicPr>
                        <pic:blipFill>
                          <a:blip r:embed="rId43" cstate="print"/>
                          <a:stretch>
                            <a:fillRect/>
                          </a:stretch>
                        </pic:blipFill>
                        <pic:spPr>
                          <a:xfrm>
                            <a:off x="0" y="0"/>
                            <a:ext cx="57814" cy="73151"/>
                          </a:xfrm>
                          <a:prstGeom prst="rect">
                            <a:avLst/>
                          </a:prstGeom>
                        </pic:spPr>
                      </pic:pic>
                    </a:graphicData>
                  </a:graphic>
                </wp:inline>
              </w:drawing>
            </w:r>
            <w:r>
              <w:rPr>
                <w:position w:val="-1"/>
                <w:sz w:val="11"/>
              </w:rPr>
            </w:r>
          </w:p>
        </w:tc>
        <w:tc>
          <w:tcPr>
            <w:tcW w:w="1137" w:type="dxa"/>
          </w:tcPr>
          <w:p>
            <w:pPr>
              <w:pStyle w:val="TableParagraph"/>
              <w:spacing w:before="3"/>
              <w:rPr>
                <w:sz w:val="23"/>
              </w:rPr>
            </w:pPr>
          </w:p>
          <w:p>
            <w:pPr>
              <w:pStyle w:val="TableParagraph"/>
              <w:spacing w:line="115" w:lineRule="exact"/>
              <w:ind w:left="410"/>
              <w:rPr>
                <w:sz w:val="11"/>
              </w:rPr>
            </w:pPr>
            <w:r>
              <w:rPr>
                <w:position w:val="-1"/>
                <w:sz w:val="11"/>
              </w:rPr>
              <w:drawing>
                <wp:inline distT="0" distB="0" distL="0" distR="0">
                  <wp:extent cx="57814" cy="73151"/>
                  <wp:effectExtent l="0" t="0" r="0" b="0"/>
                  <wp:docPr id="297" name="image14.png"/>
                  <wp:cNvGraphicFramePr>
                    <a:graphicFrameLocks noChangeAspect="1"/>
                  </wp:cNvGraphicFramePr>
                  <a:graphic>
                    <a:graphicData uri="http://schemas.openxmlformats.org/drawingml/2006/picture">
                      <pic:pic>
                        <pic:nvPicPr>
                          <pic:cNvPr id="298" name="image14.png"/>
                          <pic:cNvPicPr/>
                        </pic:nvPicPr>
                        <pic:blipFill>
                          <a:blip r:embed="rId43" cstate="print"/>
                          <a:stretch>
                            <a:fillRect/>
                          </a:stretch>
                        </pic:blipFill>
                        <pic:spPr>
                          <a:xfrm>
                            <a:off x="0" y="0"/>
                            <a:ext cx="57814" cy="73151"/>
                          </a:xfrm>
                          <a:prstGeom prst="rect">
                            <a:avLst/>
                          </a:prstGeom>
                        </pic:spPr>
                      </pic:pic>
                    </a:graphicData>
                  </a:graphic>
                </wp:inline>
              </w:drawing>
            </w:r>
            <w:r>
              <w:rPr>
                <w:position w:val="-1"/>
                <w:sz w:val="11"/>
              </w:rPr>
            </w:r>
          </w:p>
        </w:tc>
        <w:tc>
          <w:tcPr>
            <w:tcW w:w="1134" w:type="dxa"/>
          </w:tcPr>
          <w:p>
            <w:pPr>
              <w:pStyle w:val="TableParagraph"/>
              <w:spacing w:before="3"/>
              <w:rPr>
                <w:sz w:val="23"/>
              </w:rPr>
            </w:pPr>
          </w:p>
          <w:p>
            <w:pPr>
              <w:pStyle w:val="TableParagraph"/>
              <w:spacing w:line="115" w:lineRule="exact"/>
              <w:ind w:left="409"/>
              <w:rPr>
                <w:sz w:val="11"/>
              </w:rPr>
            </w:pPr>
            <w:r>
              <w:rPr>
                <w:position w:val="-1"/>
                <w:sz w:val="11"/>
              </w:rPr>
              <w:drawing>
                <wp:inline distT="0" distB="0" distL="0" distR="0">
                  <wp:extent cx="57814" cy="73151"/>
                  <wp:effectExtent l="0" t="0" r="0" b="0"/>
                  <wp:docPr id="299" name="image14.png"/>
                  <wp:cNvGraphicFramePr>
                    <a:graphicFrameLocks noChangeAspect="1"/>
                  </wp:cNvGraphicFramePr>
                  <a:graphic>
                    <a:graphicData uri="http://schemas.openxmlformats.org/drawingml/2006/picture">
                      <pic:pic>
                        <pic:nvPicPr>
                          <pic:cNvPr id="300" name="image14.png"/>
                          <pic:cNvPicPr/>
                        </pic:nvPicPr>
                        <pic:blipFill>
                          <a:blip r:embed="rId43" cstate="print"/>
                          <a:stretch>
                            <a:fillRect/>
                          </a:stretch>
                        </pic:blipFill>
                        <pic:spPr>
                          <a:xfrm>
                            <a:off x="0" y="0"/>
                            <a:ext cx="57814" cy="73151"/>
                          </a:xfrm>
                          <a:prstGeom prst="rect">
                            <a:avLst/>
                          </a:prstGeom>
                        </pic:spPr>
                      </pic:pic>
                    </a:graphicData>
                  </a:graphic>
                </wp:inline>
              </w:drawing>
            </w:r>
            <w:r>
              <w:rPr>
                <w:position w:val="-1"/>
                <w:sz w:val="11"/>
              </w:rPr>
            </w:r>
          </w:p>
        </w:tc>
        <w:tc>
          <w:tcPr>
            <w:tcW w:w="995" w:type="dxa"/>
          </w:tcPr>
          <w:p>
            <w:pPr>
              <w:pStyle w:val="TableParagraph"/>
              <w:spacing w:before="3"/>
              <w:rPr>
                <w:sz w:val="23"/>
              </w:rPr>
            </w:pPr>
          </w:p>
          <w:p>
            <w:pPr>
              <w:pStyle w:val="TableParagraph"/>
              <w:spacing w:line="115" w:lineRule="exact"/>
              <w:ind w:left="335"/>
              <w:rPr>
                <w:sz w:val="11"/>
              </w:rPr>
            </w:pPr>
            <w:r>
              <w:rPr>
                <w:position w:val="-1"/>
                <w:sz w:val="11"/>
              </w:rPr>
              <w:drawing>
                <wp:inline distT="0" distB="0" distL="0" distR="0">
                  <wp:extent cx="57814" cy="73151"/>
                  <wp:effectExtent l="0" t="0" r="0" b="0"/>
                  <wp:docPr id="301" name="image14.png"/>
                  <wp:cNvGraphicFramePr>
                    <a:graphicFrameLocks noChangeAspect="1"/>
                  </wp:cNvGraphicFramePr>
                  <a:graphic>
                    <a:graphicData uri="http://schemas.openxmlformats.org/drawingml/2006/picture">
                      <pic:pic>
                        <pic:nvPicPr>
                          <pic:cNvPr id="302" name="image14.png"/>
                          <pic:cNvPicPr/>
                        </pic:nvPicPr>
                        <pic:blipFill>
                          <a:blip r:embed="rId43" cstate="print"/>
                          <a:stretch>
                            <a:fillRect/>
                          </a:stretch>
                        </pic:blipFill>
                        <pic:spPr>
                          <a:xfrm>
                            <a:off x="0" y="0"/>
                            <a:ext cx="57814" cy="73151"/>
                          </a:xfrm>
                          <a:prstGeom prst="rect">
                            <a:avLst/>
                          </a:prstGeom>
                        </pic:spPr>
                      </pic:pic>
                    </a:graphicData>
                  </a:graphic>
                </wp:inline>
              </w:drawing>
            </w:r>
            <w:r>
              <w:rPr>
                <w:position w:val="-1"/>
                <w:sz w:val="11"/>
              </w:rPr>
            </w:r>
          </w:p>
        </w:tc>
        <w:tc>
          <w:tcPr>
            <w:tcW w:w="851" w:type="dxa"/>
          </w:tcPr>
          <w:p>
            <w:pPr>
              <w:pStyle w:val="TableParagraph"/>
              <w:spacing w:before="3"/>
              <w:rPr>
                <w:sz w:val="23"/>
              </w:rPr>
            </w:pPr>
          </w:p>
          <w:p>
            <w:pPr>
              <w:pStyle w:val="TableParagraph"/>
              <w:spacing w:line="115" w:lineRule="exact"/>
              <w:ind w:left="262"/>
              <w:rPr>
                <w:sz w:val="11"/>
              </w:rPr>
            </w:pPr>
            <w:r>
              <w:rPr>
                <w:position w:val="-1"/>
                <w:sz w:val="11"/>
              </w:rPr>
              <w:drawing>
                <wp:inline distT="0" distB="0" distL="0" distR="0">
                  <wp:extent cx="57814" cy="73151"/>
                  <wp:effectExtent l="0" t="0" r="0" b="0"/>
                  <wp:docPr id="303" name="image14.png"/>
                  <wp:cNvGraphicFramePr>
                    <a:graphicFrameLocks noChangeAspect="1"/>
                  </wp:cNvGraphicFramePr>
                  <a:graphic>
                    <a:graphicData uri="http://schemas.openxmlformats.org/drawingml/2006/picture">
                      <pic:pic>
                        <pic:nvPicPr>
                          <pic:cNvPr id="304" name="image14.png"/>
                          <pic:cNvPicPr/>
                        </pic:nvPicPr>
                        <pic:blipFill>
                          <a:blip r:embed="rId43" cstate="print"/>
                          <a:stretch>
                            <a:fillRect/>
                          </a:stretch>
                        </pic:blipFill>
                        <pic:spPr>
                          <a:xfrm>
                            <a:off x="0" y="0"/>
                            <a:ext cx="57814" cy="73151"/>
                          </a:xfrm>
                          <a:prstGeom prst="rect">
                            <a:avLst/>
                          </a:prstGeom>
                        </pic:spPr>
                      </pic:pic>
                    </a:graphicData>
                  </a:graphic>
                </wp:inline>
              </w:drawing>
            </w:r>
            <w:r>
              <w:rPr>
                <w:position w:val="-1"/>
                <w:sz w:val="11"/>
              </w:rPr>
            </w:r>
          </w:p>
        </w:tc>
        <w:tc>
          <w:tcPr>
            <w:tcW w:w="1278" w:type="dxa"/>
          </w:tcPr>
          <w:p>
            <w:pPr>
              <w:pStyle w:val="TableParagraph"/>
              <w:spacing w:before="3"/>
              <w:rPr>
                <w:sz w:val="23"/>
              </w:rPr>
            </w:pPr>
          </w:p>
          <w:p>
            <w:pPr>
              <w:pStyle w:val="TableParagraph"/>
              <w:spacing w:line="112" w:lineRule="exact"/>
              <w:ind w:left="474"/>
              <w:rPr>
                <w:sz w:val="11"/>
              </w:rPr>
            </w:pPr>
            <w:r>
              <w:rPr>
                <w:position w:val="-1"/>
                <w:sz w:val="11"/>
              </w:rPr>
              <w:drawing>
                <wp:inline distT="0" distB="0" distL="0" distR="0">
                  <wp:extent cx="57802" cy="71437"/>
                  <wp:effectExtent l="0" t="0" r="0" b="0"/>
                  <wp:docPr id="305" name="image13.png"/>
                  <wp:cNvGraphicFramePr>
                    <a:graphicFrameLocks noChangeAspect="1"/>
                  </wp:cNvGraphicFramePr>
                  <a:graphic>
                    <a:graphicData uri="http://schemas.openxmlformats.org/drawingml/2006/picture">
                      <pic:pic>
                        <pic:nvPicPr>
                          <pic:cNvPr id="306"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993" w:type="dxa"/>
          </w:tcPr>
          <w:p>
            <w:pPr>
              <w:pStyle w:val="TableParagraph"/>
              <w:spacing w:before="3"/>
              <w:rPr>
                <w:sz w:val="23"/>
              </w:rPr>
            </w:pPr>
          </w:p>
          <w:p>
            <w:pPr>
              <w:pStyle w:val="TableParagraph"/>
              <w:spacing w:line="112" w:lineRule="exact"/>
              <w:ind w:left="331"/>
              <w:rPr>
                <w:sz w:val="11"/>
              </w:rPr>
            </w:pPr>
            <w:r>
              <w:rPr>
                <w:position w:val="-1"/>
                <w:sz w:val="11"/>
              </w:rPr>
              <w:drawing>
                <wp:inline distT="0" distB="0" distL="0" distR="0">
                  <wp:extent cx="57802" cy="71437"/>
                  <wp:effectExtent l="0" t="0" r="0" b="0"/>
                  <wp:docPr id="307" name="image13.png"/>
                  <wp:cNvGraphicFramePr>
                    <a:graphicFrameLocks noChangeAspect="1"/>
                  </wp:cNvGraphicFramePr>
                  <a:graphic>
                    <a:graphicData uri="http://schemas.openxmlformats.org/drawingml/2006/picture">
                      <pic:pic>
                        <pic:nvPicPr>
                          <pic:cNvPr id="308"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992" w:type="dxa"/>
          </w:tcPr>
          <w:p>
            <w:pPr>
              <w:pStyle w:val="TableParagraph"/>
              <w:spacing w:before="3"/>
              <w:rPr>
                <w:sz w:val="23"/>
              </w:rPr>
            </w:pPr>
          </w:p>
          <w:p>
            <w:pPr>
              <w:pStyle w:val="TableParagraph"/>
              <w:spacing w:line="112" w:lineRule="exact"/>
              <w:ind w:left="330"/>
              <w:rPr>
                <w:sz w:val="11"/>
              </w:rPr>
            </w:pPr>
            <w:r>
              <w:rPr>
                <w:position w:val="-1"/>
                <w:sz w:val="11"/>
              </w:rPr>
              <w:drawing>
                <wp:inline distT="0" distB="0" distL="0" distR="0">
                  <wp:extent cx="57802" cy="71437"/>
                  <wp:effectExtent l="0" t="0" r="0" b="0"/>
                  <wp:docPr id="309" name="image13.png"/>
                  <wp:cNvGraphicFramePr>
                    <a:graphicFrameLocks noChangeAspect="1"/>
                  </wp:cNvGraphicFramePr>
                  <a:graphic>
                    <a:graphicData uri="http://schemas.openxmlformats.org/drawingml/2006/picture">
                      <pic:pic>
                        <pic:nvPicPr>
                          <pic:cNvPr id="310"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000" w:type="dxa"/>
          </w:tcPr>
          <w:p>
            <w:pPr>
              <w:pStyle w:val="TableParagraph"/>
              <w:spacing w:before="3"/>
              <w:rPr>
                <w:sz w:val="23"/>
              </w:rPr>
            </w:pPr>
          </w:p>
          <w:p>
            <w:pPr>
              <w:pStyle w:val="TableParagraph"/>
              <w:spacing w:line="112" w:lineRule="exact"/>
              <w:ind w:left="331"/>
              <w:rPr>
                <w:sz w:val="11"/>
              </w:rPr>
            </w:pPr>
            <w:r>
              <w:rPr>
                <w:position w:val="-1"/>
                <w:sz w:val="11"/>
              </w:rPr>
              <w:drawing>
                <wp:inline distT="0" distB="0" distL="0" distR="0">
                  <wp:extent cx="57802" cy="71437"/>
                  <wp:effectExtent l="0" t="0" r="0" b="0"/>
                  <wp:docPr id="311" name="image13.png"/>
                  <wp:cNvGraphicFramePr>
                    <a:graphicFrameLocks noChangeAspect="1"/>
                  </wp:cNvGraphicFramePr>
                  <a:graphic>
                    <a:graphicData uri="http://schemas.openxmlformats.org/drawingml/2006/picture">
                      <pic:pic>
                        <pic:nvPicPr>
                          <pic:cNvPr id="312"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r>
      <w:tr>
        <w:trPr>
          <w:trHeight w:val="882" w:hRule="atLeast"/>
        </w:trPr>
        <w:tc>
          <w:tcPr>
            <w:tcW w:w="1400" w:type="dxa"/>
          </w:tcPr>
          <w:p>
            <w:pPr>
              <w:pStyle w:val="TableParagraph"/>
              <w:spacing w:line="219" w:lineRule="exact"/>
              <w:ind w:left="172"/>
              <w:rPr>
                <w:sz w:val="18"/>
              </w:rPr>
            </w:pPr>
            <w:r>
              <w:rPr>
                <w:sz w:val="18"/>
              </w:rPr>
              <w:t>CARPA</w:t>
            </w:r>
          </w:p>
          <w:p>
            <w:pPr>
              <w:pStyle w:val="TableParagraph"/>
              <w:spacing w:line="220" w:lineRule="atLeast"/>
              <w:ind w:left="172" w:right="263"/>
              <w:rPr>
                <w:sz w:val="18"/>
              </w:rPr>
            </w:pPr>
            <w:r>
              <w:rPr>
                <w:sz w:val="18"/>
              </w:rPr>
              <w:t>Standard</w:t>
            </w:r>
            <w:r>
              <w:rPr>
                <w:spacing w:val="1"/>
                <w:sz w:val="18"/>
              </w:rPr>
              <w:t> </w:t>
            </w:r>
            <w:r>
              <w:rPr>
                <w:sz w:val="18"/>
              </w:rPr>
              <w:t>Treatment</w:t>
            </w:r>
            <w:r>
              <w:rPr>
                <w:spacing w:val="1"/>
                <w:sz w:val="18"/>
              </w:rPr>
              <w:t> </w:t>
            </w:r>
            <w:r>
              <w:rPr>
                <w:spacing w:val="-1"/>
                <w:sz w:val="18"/>
              </w:rPr>
              <w:t>Manual</w:t>
            </w:r>
            <w:r>
              <w:rPr>
                <w:spacing w:val="-9"/>
                <w:sz w:val="18"/>
              </w:rPr>
              <w:t> </w:t>
            </w:r>
            <w:r>
              <w:rPr>
                <w:sz w:val="18"/>
              </w:rPr>
              <w:t>(3)</w:t>
            </w:r>
          </w:p>
        </w:tc>
        <w:tc>
          <w:tcPr>
            <w:tcW w:w="483" w:type="dxa"/>
          </w:tcPr>
          <w:p>
            <w:pPr>
              <w:pStyle w:val="TableParagraph"/>
              <w:rPr>
                <w:sz w:val="20"/>
              </w:rPr>
            </w:pPr>
          </w:p>
          <w:p>
            <w:pPr>
              <w:pStyle w:val="TableParagraph"/>
              <w:spacing w:before="7"/>
              <w:rPr>
                <w:sz w:val="12"/>
              </w:rPr>
            </w:pPr>
          </w:p>
          <w:p>
            <w:pPr>
              <w:pStyle w:val="TableParagraph"/>
              <w:spacing w:line="112" w:lineRule="exact"/>
              <w:ind w:left="138"/>
              <w:rPr>
                <w:sz w:val="11"/>
              </w:rPr>
            </w:pPr>
            <w:r>
              <w:rPr>
                <w:position w:val="-1"/>
                <w:sz w:val="11"/>
              </w:rPr>
              <w:drawing>
                <wp:inline distT="0" distB="0" distL="0" distR="0">
                  <wp:extent cx="57802" cy="71437"/>
                  <wp:effectExtent l="0" t="0" r="0" b="0"/>
                  <wp:docPr id="313" name="image13.png"/>
                  <wp:cNvGraphicFramePr>
                    <a:graphicFrameLocks noChangeAspect="1"/>
                  </wp:cNvGraphicFramePr>
                  <a:graphic>
                    <a:graphicData uri="http://schemas.openxmlformats.org/drawingml/2006/picture">
                      <pic:pic>
                        <pic:nvPicPr>
                          <pic:cNvPr id="314"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524" w:type="dxa"/>
          </w:tcPr>
          <w:p>
            <w:pPr>
              <w:pStyle w:val="TableParagraph"/>
              <w:rPr>
                <w:sz w:val="20"/>
              </w:rPr>
            </w:pPr>
          </w:p>
          <w:p>
            <w:pPr>
              <w:pStyle w:val="TableParagraph"/>
              <w:spacing w:before="7"/>
              <w:rPr>
                <w:sz w:val="12"/>
              </w:rPr>
            </w:pPr>
          </w:p>
          <w:p>
            <w:pPr>
              <w:pStyle w:val="TableParagraph"/>
              <w:spacing w:line="112" w:lineRule="exact"/>
              <w:ind w:left="138"/>
              <w:rPr>
                <w:sz w:val="11"/>
              </w:rPr>
            </w:pPr>
            <w:r>
              <w:rPr>
                <w:position w:val="-1"/>
                <w:sz w:val="11"/>
              </w:rPr>
              <w:drawing>
                <wp:inline distT="0" distB="0" distL="0" distR="0">
                  <wp:extent cx="57802" cy="71437"/>
                  <wp:effectExtent l="0" t="0" r="0" b="0"/>
                  <wp:docPr id="315" name="image13.png"/>
                  <wp:cNvGraphicFramePr>
                    <a:graphicFrameLocks noChangeAspect="1"/>
                  </wp:cNvGraphicFramePr>
                  <a:graphic>
                    <a:graphicData uri="http://schemas.openxmlformats.org/drawingml/2006/picture">
                      <pic:pic>
                        <pic:nvPicPr>
                          <pic:cNvPr id="316"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137" w:type="dxa"/>
          </w:tcPr>
          <w:p>
            <w:pPr>
              <w:pStyle w:val="TableParagraph"/>
              <w:rPr>
                <w:sz w:val="20"/>
              </w:rPr>
            </w:pPr>
          </w:p>
          <w:p>
            <w:pPr>
              <w:pStyle w:val="TableParagraph"/>
              <w:spacing w:before="7"/>
              <w:rPr>
                <w:sz w:val="12"/>
              </w:rPr>
            </w:pPr>
          </w:p>
          <w:p>
            <w:pPr>
              <w:pStyle w:val="TableParagraph"/>
              <w:spacing w:line="112" w:lineRule="exact"/>
              <w:ind w:left="410"/>
              <w:rPr>
                <w:sz w:val="11"/>
              </w:rPr>
            </w:pPr>
            <w:r>
              <w:rPr>
                <w:position w:val="-1"/>
                <w:sz w:val="11"/>
              </w:rPr>
              <w:drawing>
                <wp:inline distT="0" distB="0" distL="0" distR="0">
                  <wp:extent cx="57802" cy="71437"/>
                  <wp:effectExtent l="0" t="0" r="0" b="0"/>
                  <wp:docPr id="317" name="image13.png"/>
                  <wp:cNvGraphicFramePr>
                    <a:graphicFrameLocks noChangeAspect="1"/>
                  </wp:cNvGraphicFramePr>
                  <a:graphic>
                    <a:graphicData uri="http://schemas.openxmlformats.org/drawingml/2006/picture">
                      <pic:pic>
                        <pic:nvPicPr>
                          <pic:cNvPr id="318"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134" w:type="dxa"/>
          </w:tcPr>
          <w:p>
            <w:pPr>
              <w:pStyle w:val="TableParagraph"/>
              <w:rPr>
                <w:sz w:val="20"/>
              </w:rPr>
            </w:pPr>
          </w:p>
          <w:p>
            <w:pPr>
              <w:pStyle w:val="TableParagraph"/>
              <w:spacing w:before="7"/>
              <w:rPr>
                <w:sz w:val="12"/>
              </w:rPr>
            </w:pPr>
          </w:p>
          <w:p>
            <w:pPr>
              <w:pStyle w:val="TableParagraph"/>
              <w:spacing w:line="112" w:lineRule="exact"/>
              <w:ind w:left="409"/>
              <w:rPr>
                <w:sz w:val="11"/>
              </w:rPr>
            </w:pPr>
            <w:r>
              <w:rPr>
                <w:position w:val="-1"/>
                <w:sz w:val="11"/>
              </w:rPr>
              <w:drawing>
                <wp:inline distT="0" distB="0" distL="0" distR="0">
                  <wp:extent cx="57802" cy="71437"/>
                  <wp:effectExtent l="0" t="0" r="0" b="0"/>
                  <wp:docPr id="319" name="image13.png"/>
                  <wp:cNvGraphicFramePr>
                    <a:graphicFrameLocks noChangeAspect="1"/>
                  </wp:cNvGraphicFramePr>
                  <a:graphic>
                    <a:graphicData uri="http://schemas.openxmlformats.org/drawingml/2006/picture">
                      <pic:pic>
                        <pic:nvPicPr>
                          <pic:cNvPr id="320"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995" w:type="dxa"/>
          </w:tcPr>
          <w:p>
            <w:pPr>
              <w:pStyle w:val="TableParagraph"/>
              <w:rPr>
                <w:sz w:val="20"/>
              </w:rPr>
            </w:pPr>
          </w:p>
          <w:p>
            <w:pPr>
              <w:pStyle w:val="TableParagraph"/>
              <w:spacing w:before="7"/>
              <w:rPr>
                <w:sz w:val="12"/>
              </w:rPr>
            </w:pPr>
          </w:p>
          <w:p>
            <w:pPr>
              <w:pStyle w:val="TableParagraph"/>
              <w:spacing w:line="112" w:lineRule="exact"/>
              <w:ind w:left="335"/>
              <w:rPr>
                <w:sz w:val="11"/>
              </w:rPr>
            </w:pPr>
            <w:r>
              <w:rPr>
                <w:position w:val="-1"/>
                <w:sz w:val="11"/>
              </w:rPr>
              <w:drawing>
                <wp:inline distT="0" distB="0" distL="0" distR="0">
                  <wp:extent cx="57802" cy="71437"/>
                  <wp:effectExtent l="0" t="0" r="0" b="0"/>
                  <wp:docPr id="321" name="image13.png"/>
                  <wp:cNvGraphicFramePr>
                    <a:graphicFrameLocks noChangeAspect="1"/>
                  </wp:cNvGraphicFramePr>
                  <a:graphic>
                    <a:graphicData uri="http://schemas.openxmlformats.org/drawingml/2006/picture">
                      <pic:pic>
                        <pic:nvPicPr>
                          <pic:cNvPr id="322"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851" w:type="dxa"/>
          </w:tcPr>
          <w:p>
            <w:pPr>
              <w:pStyle w:val="TableParagraph"/>
              <w:rPr>
                <w:sz w:val="20"/>
              </w:rPr>
            </w:pPr>
          </w:p>
          <w:p>
            <w:pPr>
              <w:pStyle w:val="TableParagraph"/>
              <w:spacing w:before="7"/>
              <w:rPr>
                <w:sz w:val="12"/>
              </w:rPr>
            </w:pPr>
          </w:p>
          <w:p>
            <w:pPr>
              <w:pStyle w:val="TableParagraph"/>
              <w:spacing w:line="112" w:lineRule="exact"/>
              <w:ind w:left="262"/>
              <w:rPr>
                <w:sz w:val="11"/>
              </w:rPr>
            </w:pPr>
            <w:r>
              <w:rPr>
                <w:position w:val="-1"/>
                <w:sz w:val="11"/>
              </w:rPr>
              <w:drawing>
                <wp:inline distT="0" distB="0" distL="0" distR="0">
                  <wp:extent cx="57802" cy="71437"/>
                  <wp:effectExtent l="0" t="0" r="0" b="0"/>
                  <wp:docPr id="323" name="image13.png"/>
                  <wp:cNvGraphicFramePr>
                    <a:graphicFrameLocks noChangeAspect="1"/>
                  </wp:cNvGraphicFramePr>
                  <a:graphic>
                    <a:graphicData uri="http://schemas.openxmlformats.org/drawingml/2006/picture">
                      <pic:pic>
                        <pic:nvPicPr>
                          <pic:cNvPr id="324"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278" w:type="dxa"/>
          </w:tcPr>
          <w:p>
            <w:pPr>
              <w:pStyle w:val="TableParagraph"/>
              <w:rPr>
                <w:sz w:val="20"/>
              </w:rPr>
            </w:pPr>
          </w:p>
          <w:p>
            <w:pPr>
              <w:pStyle w:val="TableParagraph"/>
              <w:spacing w:before="7"/>
              <w:rPr>
                <w:sz w:val="12"/>
              </w:rPr>
            </w:pPr>
          </w:p>
          <w:p>
            <w:pPr>
              <w:pStyle w:val="TableParagraph"/>
              <w:spacing w:line="112" w:lineRule="exact"/>
              <w:ind w:left="474"/>
              <w:rPr>
                <w:sz w:val="11"/>
              </w:rPr>
            </w:pPr>
            <w:r>
              <w:rPr>
                <w:position w:val="-1"/>
                <w:sz w:val="11"/>
              </w:rPr>
              <w:drawing>
                <wp:inline distT="0" distB="0" distL="0" distR="0">
                  <wp:extent cx="57802" cy="71437"/>
                  <wp:effectExtent l="0" t="0" r="0" b="0"/>
                  <wp:docPr id="325" name="image13.png"/>
                  <wp:cNvGraphicFramePr>
                    <a:graphicFrameLocks noChangeAspect="1"/>
                  </wp:cNvGraphicFramePr>
                  <a:graphic>
                    <a:graphicData uri="http://schemas.openxmlformats.org/drawingml/2006/picture">
                      <pic:pic>
                        <pic:nvPicPr>
                          <pic:cNvPr id="326"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993" w:type="dxa"/>
          </w:tcPr>
          <w:p>
            <w:pPr>
              <w:pStyle w:val="TableParagraph"/>
              <w:rPr>
                <w:sz w:val="20"/>
              </w:rPr>
            </w:pPr>
          </w:p>
          <w:p>
            <w:pPr>
              <w:pStyle w:val="TableParagraph"/>
              <w:spacing w:before="7"/>
              <w:rPr>
                <w:sz w:val="12"/>
              </w:rPr>
            </w:pPr>
          </w:p>
          <w:p>
            <w:pPr>
              <w:pStyle w:val="TableParagraph"/>
              <w:spacing w:line="112" w:lineRule="exact"/>
              <w:ind w:left="331"/>
              <w:rPr>
                <w:sz w:val="11"/>
              </w:rPr>
            </w:pPr>
            <w:r>
              <w:rPr>
                <w:position w:val="-1"/>
                <w:sz w:val="11"/>
              </w:rPr>
              <w:drawing>
                <wp:inline distT="0" distB="0" distL="0" distR="0">
                  <wp:extent cx="57802" cy="71437"/>
                  <wp:effectExtent l="0" t="0" r="0" b="0"/>
                  <wp:docPr id="327" name="image13.png"/>
                  <wp:cNvGraphicFramePr>
                    <a:graphicFrameLocks noChangeAspect="1"/>
                  </wp:cNvGraphicFramePr>
                  <a:graphic>
                    <a:graphicData uri="http://schemas.openxmlformats.org/drawingml/2006/picture">
                      <pic:pic>
                        <pic:nvPicPr>
                          <pic:cNvPr id="328"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992" w:type="dxa"/>
          </w:tcPr>
          <w:p>
            <w:pPr>
              <w:pStyle w:val="TableParagraph"/>
              <w:rPr>
                <w:sz w:val="20"/>
              </w:rPr>
            </w:pPr>
          </w:p>
          <w:p>
            <w:pPr>
              <w:pStyle w:val="TableParagraph"/>
              <w:spacing w:before="7"/>
              <w:rPr>
                <w:sz w:val="12"/>
              </w:rPr>
            </w:pPr>
          </w:p>
          <w:p>
            <w:pPr>
              <w:pStyle w:val="TableParagraph"/>
              <w:spacing w:line="112" w:lineRule="exact"/>
              <w:ind w:left="330"/>
              <w:rPr>
                <w:sz w:val="11"/>
              </w:rPr>
            </w:pPr>
            <w:r>
              <w:rPr>
                <w:position w:val="-1"/>
                <w:sz w:val="11"/>
              </w:rPr>
              <w:drawing>
                <wp:inline distT="0" distB="0" distL="0" distR="0">
                  <wp:extent cx="57802" cy="71437"/>
                  <wp:effectExtent l="0" t="0" r="0" b="0"/>
                  <wp:docPr id="329" name="image13.png"/>
                  <wp:cNvGraphicFramePr>
                    <a:graphicFrameLocks noChangeAspect="1"/>
                  </wp:cNvGraphicFramePr>
                  <a:graphic>
                    <a:graphicData uri="http://schemas.openxmlformats.org/drawingml/2006/picture">
                      <pic:pic>
                        <pic:nvPicPr>
                          <pic:cNvPr id="330"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000" w:type="dxa"/>
          </w:tcPr>
          <w:p>
            <w:pPr>
              <w:pStyle w:val="TableParagraph"/>
              <w:rPr>
                <w:sz w:val="20"/>
              </w:rPr>
            </w:pPr>
          </w:p>
          <w:p>
            <w:pPr>
              <w:pStyle w:val="TableParagraph"/>
              <w:spacing w:before="7"/>
              <w:rPr>
                <w:sz w:val="12"/>
              </w:rPr>
            </w:pPr>
          </w:p>
          <w:p>
            <w:pPr>
              <w:pStyle w:val="TableParagraph"/>
              <w:spacing w:line="112" w:lineRule="exact"/>
              <w:ind w:left="331"/>
              <w:rPr>
                <w:sz w:val="11"/>
              </w:rPr>
            </w:pPr>
            <w:r>
              <w:rPr>
                <w:position w:val="-1"/>
                <w:sz w:val="11"/>
              </w:rPr>
              <w:drawing>
                <wp:inline distT="0" distB="0" distL="0" distR="0">
                  <wp:extent cx="57802" cy="71437"/>
                  <wp:effectExtent l="0" t="0" r="0" b="0"/>
                  <wp:docPr id="331" name="image13.png"/>
                  <wp:cNvGraphicFramePr>
                    <a:graphicFrameLocks noChangeAspect="1"/>
                  </wp:cNvGraphicFramePr>
                  <a:graphic>
                    <a:graphicData uri="http://schemas.openxmlformats.org/drawingml/2006/picture">
                      <pic:pic>
                        <pic:nvPicPr>
                          <pic:cNvPr id="332"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r>
      <w:tr>
        <w:trPr>
          <w:trHeight w:val="661" w:hRule="atLeast"/>
        </w:trPr>
        <w:tc>
          <w:tcPr>
            <w:tcW w:w="1400" w:type="dxa"/>
          </w:tcPr>
          <w:p>
            <w:pPr>
              <w:pStyle w:val="TableParagraph"/>
              <w:spacing w:line="220" w:lineRule="exact"/>
              <w:ind w:left="172" w:right="275"/>
              <w:rPr>
                <w:sz w:val="18"/>
              </w:rPr>
            </w:pPr>
            <w:r>
              <w:rPr>
                <w:sz w:val="18"/>
              </w:rPr>
              <w:t>Other</w:t>
            </w:r>
            <w:r>
              <w:rPr>
                <w:spacing w:val="1"/>
                <w:sz w:val="18"/>
              </w:rPr>
              <w:t> </w:t>
            </w:r>
            <w:r>
              <w:rPr>
                <w:sz w:val="18"/>
              </w:rPr>
              <w:t>system/</w:t>
            </w:r>
            <w:r>
              <w:rPr>
                <w:spacing w:val="1"/>
                <w:sz w:val="18"/>
              </w:rPr>
              <w:t> </w:t>
            </w:r>
            <w:r>
              <w:rPr>
                <w:sz w:val="18"/>
              </w:rPr>
              <w:t>guide</w:t>
            </w:r>
            <w:r>
              <w:rPr>
                <w:spacing w:val="-9"/>
                <w:sz w:val="18"/>
              </w:rPr>
              <w:t> </w:t>
            </w:r>
            <w:r>
              <w:rPr>
                <w:sz w:val="18"/>
              </w:rPr>
              <w:t>1</w:t>
            </w:r>
            <w:r>
              <w:rPr>
                <w:spacing w:val="-7"/>
                <w:sz w:val="18"/>
              </w:rPr>
              <w:t> </w:t>
            </w:r>
            <w:r>
              <w:rPr>
                <w:sz w:val="18"/>
              </w:rPr>
              <w:t>(4)</w:t>
            </w:r>
          </w:p>
        </w:tc>
        <w:tc>
          <w:tcPr>
            <w:tcW w:w="483" w:type="dxa"/>
          </w:tcPr>
          <w:p>
            <w:pPr>
              <w:pStyle w:val="TableParagraph"/>
              <w:spacing w:before="7"/>
              <w:rPr>
                <w:sz w:val="23"/>
              </w:rPr>
            </w:pPr>
          </w:p>
          <w:p>
            <w:pPr>
              <w:pStyle w:val="TableParagraph"/>
              <w:spacing w:line="112" w:lineRule="exact"/>
              <w:ind w:left="138"/>
              <w:rPr>
                <w:sz w:val="11"/>
              </w:rPr>
            </w:pPr>
            <w:r>
              <w:rPr>
                <w:position w:val="-1"/>
                <w:sz w:val="11"/>
              </w:rPr>
              <w:drawing>
                <wp:inline distT="0" distB="0" distL="0" distR="0">
                  <wp:extent cx="57802" cy="71437"/>
                  <wp:effectExtent l="0" t="0" r="0" b="0"/>
                  <wp:docPr id="333" name="image13.png"/>
                  <wp:cNvGraphicFramePr>
                    <a:graphicFrameLocks noChangeAspect="1"/>
                  </wp:cNvGraphicFramePr>
                  <a:graphic>
                    <a:graphicData uri="http://schemas.openxmlformats.org/drawingml/2006/picture">
                      <pic:pic>
                        <pic:nvPicPr>
                          <pic:cNvPr id="334"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524" w:type="dxa"/>
          </w:tcPr>
          <w:p>
            <w:pPr>
              <w:pStyle w:val="TableParagraph"/>
              <w:spacing w:before="7"/>
              <w:rPr>
                <w:sz w:val="23"/>
              </w:rPr>
            </w:pPr>
          </w:p>
          <w:p>
            <w:pPr>
              <w:pStyle w:val="TableParagraph"/>
              <w:spacing w:line="112" w:lineRule="exact"/>
              <w:ind w:left="138"/>
              <w:rPr>
                <w:sz w:val="11"/>
              </w:rPr>
            </w:pPr>
            <w:r>
              <w:rPr>
                <w:position w:val="-1"/>
                <w:sz w:val="11"/>
              </w:rPr>
              <w:drawing>
                <wp:inline distT="0" distB="0" distL="0" distR="0">
                  <wp:extent cx="57802" cy="71437"/>
                  <wp:effectExtent l="0" t="0" r="0" b="0"/>
                  <wp:docPr id="335" name="image13.png"/>
                  <wp:cNvGraphicFramePr>
                    <a:graphicFrameLocks noChangeAspect="1"/>
                  </wp:cNvGraphicFramePr>
                  <a:graphic>
                    <a:graphicData uri="http://schemas.openxmlformats.org/drawingml/2006/picture">
                      <pic:pic>
                        <pic:nvPicPr>
                          <pic:cNvPr id="336"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137" w:type="dxa"/>
          </w:tcPr>
          <w:p>
            <w:pPr>
              <w:pStyle w:val="TableParagraph"/>
              <w:spacing w:before="7"/>
              <w:rPr>
                <w:sz w:val="23"/>
              </w:rPr>
            </w:pPr>
          </w:p>
          <w:p>
            <w:pPr>
              <w:pStyle w:val="TableParagraph"/>
              <w:spacing w:line="112" w:lineRule="exact"/>
              <w:ind w:left="410"/>
              <w:rPr>
                <w:sz w:val="11"/>
              </w:rPr>
            </w:pPr>
            <w:r>
              <w:rPr>
                <w:position w:val="-1"/>
                <w:sz w:val="11"/>
              </w:rPr>
              <w:drawing>
                <wp:inline distT="0" distB="0" distL="0" distR="0">
                  <wp:extent cx="57802" cy="71437"/>
                  <wp:effectExtent l="0" t="0" r="0" b="0"/>
                  <wp:docPr id="337" name="image13.png"/>
                  <wp:cNvGraphicFramePr>
                    <a:graphicFrameLocks noChangeAspect="1"/>
                  </wp:cNvGraphicFramePr>
                  <a:graphic>
                    <a:graphicData uri="http://schemas.openxmlformats.org/drawingml/2006/picture">
                      <pic:pic>
                        <pic:nvPicPr>
                          <pic:cNvPr id="338"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134" w:type="dxa"/>
          </w:tcPr>
          <w:p>
            <w:pPr>
              <w:pStyle w:val="TableParagraph"/>
              <w:spacing w:before="7"/>
              <w:rPr>
                <w:sz w:val="23"/>
              </w:rPr>
            </w:pPr>
          </w:p>
          <w:p>
            <w:pPr>
              <w:pStyle w:val="TableParagraph"/>
              <w:spacing w:line="112" w:lineRule="exact"/>
              <w:ind w:left="409"/>
              <w:rPr>
                <w:sz w:val="11"/>
              </w:rPr>
            </w:pPr>
            <w:r>
              <w:rPr>
                <w:position w:val="-1"/>
                <w:sz w:val="11"/>
              </w:rPr>
              <w:drawing>
                <wp:inline distT="0" distB="0" distL="0" distR="0">
                  <wp:extent cx="57802" cy="71437"/>
                  <wp:effectExtent l="0" t="0" r="0" b="0"/>
                  <wp:docPr id="339" name="image13.png"/>
                  <wp:cNvGraphicFramePr>
                    <a:graphicFrameLocks noChangeAspect="1"/>
                  </wp:cNvGraphicFramePr>
                  <a:graphic>
                    <a:graphicData uri="http://schemas.openxmlformats.org/drawingml/2006/picture">
                      <pic:pic>
                        <pic:nvPicPr>
                          <pic:cNvPr id="340"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995" w:type="dxa"/>
          </w:tcPr>
          <w:p>
            <w:pPr>
              <w:pStyle w:val="TableParagraph"/>
              <w:spacing w:before="7"/>
              <w:rPr>
                <w:sz w:val="23"/>
              </w:rPr>
            </w:pPr>
          </w:p>
          <w:p>
            <w:pPr>
              <w:pStyle w:val="TableParagraph"/>
              <w:spacing w:line="112" w:lineRule="exact"/>
              <w:ind w:left="335"/>
              <w:rPr>
                <w:sz w:val="11"/>
              </w:rPr>
            </w:pPr>
            <w:r>
              <w:rPr>
                <w:position w:val="-1"/>
                <w:sz w:val="11"/>
              </w:rPr>
              <w:drawing>
                <wp:inline distT="0" distB="0" distL="0" distR="0">
                  <wp:extent cx="57802" cy="71437"/>
                  <wp:effectExtent l="0" t="0" r="0" b="0"/>
                  <wp:docPr id="341" name="image13.png"/>
                  <wp:cNvGraphicFramePr>
                    <a:graphicFrameLocks noChangeAspect="1"/>
                  </wp:cNvGraphicFramePr>
                  <a:graphic>
                    <a:graphicData uri="http://schemas.openxmlformats.org/drawingml/2006/picture">
                      <pic:pic>
                        <pic:nvPicPr>
                          <pic:cNvPr id="342"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851" w:type="dxa"/>
          </w:tcPr>
          <w:p>
            <w:pPr>
              <w:pStyle w:val="TableParagraph"/>
              <w:spacing w:before="7"/>
              <w:rPr>
                <w:sz w:val="23"/>
              </w:rPr>
            </w:pPr>
          </w:p>
          <w:p>
            <w:pPr>
              <w:pStyle w:val="TableParagraph"/>
              <w:spacing w:line="112" w:lineRule="exact"/>
              <w:ind w:left="262"/>
              <w:rPr>
                <w:sz w:val="11"/>
              </w:rPr>
            </w:pPr>
            <w:r>
              <w:rPr>
                <w:position w:val="-1"/>
                <w:sz w:val="11"/>
              </w:rPr>
              <w:drawing>
                <wp:inline distT="0" distB="0" distL="0" distR="0">
                  <wp:extent cx="57802" cy="71437"/>
                  <wp:effectExtent l="0" t="0" r="0" b="0"/>
                  <wp:docPr id="343" name="image13.png"/>
                  <wp:cNvGraphicFramePr>
                    <a:graphicFrameLocks noChangeAspect="1"/>
                  </wp:cNvGraphicFramePr>
                  <a:graphic>
                    <a:graphicData uri="http://schemas.openxmlformats.org/drawingml/2006/picture">
                      <pic:pic>
                        <pic:nvPicPr>
                          <pic:cNvPr id="344"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278" w:type="dxa"/>
          </w:tcPr>
          <w:p>
            <w:pPr>
              <w:pStyle w:val="TableParagraph"/>
              <w:spacing w:before="7"/>
              <w:rPr>
                <w:sz w:val="23"/>
              </w:rPr>
            </w:pPr>
          </w:p>
          <w:p>
            <w:pPr>
              <w:pStyle w:val="TableParagraph"/>
              <w:spacing w:line="112" w:lineRule="exact"/>
              <w:ind w:left="474"/>
              <w:rPr>
                <w:sz w:val="11"/>
              </w:rPr>
            </w:pPr>
            <w:r>
              <w:rPr>
                <w:position w:val="-1"/>
                <w:sz w:val="11"/>
              </w:rPr>
              <w:drawing>
                <wp:inline distT="0" distB="0" distL="0" distR="0">
                  <wp:extent cx="57802" cy="71437"/>
                  <wp:effectExtent l="0" t="0" r="0" b="0"/>
                  <wp:docPr id="345" name="image13.png"/>
                  <wp:cNvGraphicFramePr>
                    <a:graphicFrameLocks noChangeAspect="1"/>
                  </wp:cNvGraphicFramePr>
                  <a:graphic>
                    <a:graphicData uri="http://schemas.openxmlformats.org/drawingml/2006/picture">
                      <pic:pic>
                        <pic:nvPicPr>
                          <pic:cNvPr id="346"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993" w:type="dxa"/>
          </w:tcPr>
          <w:p>
            <w:pPr>
              <w:pStyle w:val="TableParagraph"/>
              <w:spacing w:before="7"/>
              <w:rPr>
                <w:sz w:val="23"/>
              </w:rPr>
            </w:pPr>
          </w:p>
          <w:p>
            <w:pPr>
              <w:pStyle w:val="TableParagraph"/>
              <w:spacing w:line="112" w:lineRule="exact"/>
              <w:ind w:left="331"/>
              <w:rPr>
                <w:sz w:val="11"/>
              </w:rPr>
            </w:pPr>
            <w:r>
              <w:rPr>
                <w:position w:val="-1"/>
                <w:sz w:val="11"/>
              </w:rPr>
              <w:drawing>
                <wp:inline distT="0" distB="0" distL="0" distR="0">
                  <wp:extent cx="57802" cy="71437"/>
                  <wp:effectExtent l="0" t="0" r="0" b="0"/>
                  <wp:docPr id="347" name="image13.png"/>
                  <wp:cNvGraphicFramePr>
                    <a:graphicFrameLocks noChangeAspect="1"/>
                  </wp:cNvGraphicFramePr>
                  <a:graphic>
                    <a:graphicData uri="http://schemas.openxmlformats.org/drawingml/2006/picture">
                      <pic:pic>
                        <pic:nvPicPr>
                          <pic:cNvPr id="348"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992" w:type="dxa"/>
          </w:tcPr>
          <w:p>
            <w:pPr>
              <w:pStyle w:val="TableParagraph"/>
              <w:spacing w:before="7"/>
              <w:rPr>
                <w:sz w:val="23"/>
              </w:rPr>
            </w:pPr>
          </w:p>
          <w:p>
            <w:pPr>
              <w:pStyle w:val="TableParagraph"/>
              <w:spacing w:line="112" w:lineRule="exact"/>
              <w:ind w:left="330"/>
              <w:rPr>
                <w:sz w:val="11"/>
              </w:rPr>
            </w:pPr>
            <w:r>
              <w:rPr>
                <w:position w:val="-1"/>
                <w:sz w:val="11"/>
              </w:rPr>
              <w:drawing>
                <wp:inline distT="0" distB="0" distL="0" distR="0">
                  <wp:extent cx="57802" cy="71437"/>
                  <wp:effectExtent l="0" t="0" r="0" b="0"/>
                  <wp:docPr id="349" name="image13.png"/>
                  <wp:cNvGraphicFramePr>
                    <a:graphicFrameLocks noChangeAspect="1"/>
                  </wp:cNvGraphicFramePr>
                  <a:graphic>
                    <a:graphicData uri="http://schemas.openxmlformats.org/drawingml/2006/picture">
                      <pic:pic>
                        <pic:nvPicPr>
                          <pic:cNvPr id="350"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000" w:type="dxa"/>
          </w:tcPr>
          <w:p>
            <w:pPr>
              <w:pStyle w:val="TableParagraph"/>
              <w:spacing w:before="7"/>
              <w:rPr>
                <w:sz w:val="23"/>
              </w:rPr>
            </w:pPr>
          </w:p>
          <w:p>
            <w:pPr>
              <w:pStyle w:val="TableParagraph"/>
              <w:spacing w:line="112" w:lineRule="exact"/>
              <w:ind w:left="331"/>
              <w:rPr>
                <w:sz w:val="11"/>
              </w:rPr>
            </w:pPr>
            <w:r>
              <w:rPr>
                <w:position w:val="-1"/>
                <w:sz w:val="11"/>
              </w:rPr>
              <w:drawing>
                <wp:inline distT="0" distB="0" distL="0" distR="0">
                  <wp:extent cx="57802" cy="71437"/>
                  <wp:effectExtent l="0" t="0" r="0" b="0"/>
                  <wp:docPr id="351" name="image13.png"/>
                  <wp:cNvGraphicFramePr>
                    <a:graphicFrameLocks noChangeAspect="1"/>
                  </wp:cNvGraphicFramePr>
                  <a:graphic>
                    <a:graphicData uri="http://schemas.openxmlformats.org/drawingml/2006/picture">
                      <pic:pic>
                        <pic:nvPicPr>
                          <pic:cNvPr id="352"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r>
      <w:tr>
        <w:trPr>
          <w:trHeight w:val="662" w:hRule="atLeast"/>
        </w:trPr>
        <w:tc>
          <w:tcPr>
            <w:tcW w:w="1400" w:type="dxa"/>
          </w:tcPr>
          <w:p>
            <w:pPr>
              <w:pStyle w:val="TableParagraph"/>
              <w:spacing w:line="220" w:lineRule="exact"/>
              <w:ind w:left="172" w:right="275"/>
              <w:rPr>
                <w:sz w:val="18"/>
              </w:rPr>
            </w:pPr>
            <w:r>
              <w:rPr>
                <w:sz w:val="18"/>
              </w:rPr>
              <w:t>Other</w:t>
            </w:r>
            <w:r>
              <w:rPr>
                <w:spacing w:val="1"/>
                <w:sz w:val="18"/>
              </w:rPr>
              <w:t> </w:t>
            </w:r>
            <w:r>
              <w:rPr>
                <w:sz w:val="18"/>
              </w:rPr>
              <w:t>system/</w:t>
            </w:r>
            <w:r>
              <w:rPr>
                <w:spacing w:val="1"/>
                <w:sz w:val="18"/>
              </w:rPr>
              <w:t> </w:t>
            </w:r>
            <w:r>
              <w:rPr>
                <w:sz w:val="18"/>
              </w:rPr>
              <w:t>guide</w:t>
            </w:r>
            <w:r>
              <w:rPr>
                <w:spacing w:val="-9"/>
                <w:sz w:val="18"/>
              </w:rPr>
              <w:t> </w:t>
            </w:r>
            <w:r>
              <w:rPr>
                <w:sz w:val="18"/>
              </w:rPr>
              <w:t>2</w:t>
            </w:r>
            <w:r>
              <w:rPr>
                <w:spacing w:val="-7"/>
                <w:sz w:val="18"/>
              </w:rPr>
              <w:t> </w:t>
            </w:r>
            <w:r>
              <w:rPr>
                <w:sz w:val="18"/>
              </w:rPr>
              <w:t>(5)</w:t>
            </w:r>
          </w:p>
        </w:tc>
        <w:tc>
          <w:tcPr>
            <w:tcW w:w="483" w:type="dxa"/>
          </w:tcPr>
          <w:p>
            <w:pPr>
              <w:pStyle w:val="TableParagraph"/>
              <w:spacing w:before="7"/>
              <w:rPr>
                <w:sz w:val="23"/>
              </w:rPr>
            </w:pPr>
          </w:p>
          <w:p>
            <w:pPr>
              <w:pStyle w:val="TableParagraph"/>
              <w:spacing w:line="112" w:lineRule="exact"/>
              <w:ind w:left="138"/>
              <w:rPr>
                <w:sz w:val="11"/>
              </w:rPr>
            </w:pPr>
            <w:r>
              <w:rPr>
                <w:position w:val="-1"/>
                <w:sz w:val="11"/>
              </w:rPr>
              <w:drawing>
                <wp:inline distT="0" distB="0" distL="0" distR="0">
                  <wp:extent cx="57802" cy="71437"/>
                  <wp:effectExtent l="0" t="0" r="0" b="0"/>
                  <wp:docPr id="353" name="image13.png"/>
                  <wp:cNvGraphicFramePr>
                    <a:graphicFrameLocks noChangeAspect="1"/>
                  </wp:cNvGraphicFramePr>
                  <a:graphic>
                    <a:graphicData uri="http://schemas.openxmlformats.org/drawingml/2006/picture">
                      <pic:pic>
                        <pic:nvPicPr>
                          <pic:cNvPr id="354"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524" w:type="dxa"/>
          </w:tcPr>
          <w:p>
            <w:pPr>
              <w:pStyle w:val="TableParagraph"/>
              <w:spacing w:before="7"/>
              <w:rPr>
                <w:sz w:val="23"/>
              </w:rPr>
            </w:pPr>
          </w:p>
          <w:p>
            <w:pPr>
              <w:pStyle w:val="TableParagraph"/>
              <w:spacing w:line="112" w:lineRule="exact"/>
              <w:ind w:left="138"/>
              <w:rPr>
                <w:sz w:val="11"/>
              </w:rPr>
            </w:pPr>
            <w:r>
              <w:rPr>
                <w:position w:val="-1"/>
                <w:sz w:val="11"/>
              </w:rPr>
              <w:drawing>
                <wp:inline distT="0" distB="0" distL="0" distR="0">
                  <wp:extent cx="57802" cy="71437"/>
                  <wp:effectExtent l="0" t="0" r="0" b="0"/>
                  <wp:docPr id="355" name="image13.png"/>
                  <wp:cNvGraphicFramePr>
                    <a:graphicFrameLocks noChangeAspect="1"/>
                  </wp:cNvGraphicFramePr>
                  <a:graphic>
                    <a:graphicData uri="http://schemas.openxmlformats.org/drawingml/2006/picture">
                      <pic:pic>
                        <pic:nvPicPr>
                          <pic:cNvPr id="356"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137" w:type="dxa"/>
          </w:tcPr>
          <w:p>
            <w:pPr>
              <w:pStyle w:val="TableParagraph"/>
              <w:spacing w:before="7"/>
              <w:rPr>
                <w:sz w:val="23"/>
              </w:rPr>
            </w:pPr>
          </w:p>
          <w:p>
            <w:pPr>
              <w:pStyle w:val="TableParagraph"/>
              <w:spacing w:line="112" w:lineRule="exact"/>
              <w:ind w:left="410"/>
              <w:rPr>
                <w:sz w:val="11"/>
              </w:rPr>
            </w:pPr>
            <w:r>
              <w:rPr>
                <w:position w:val="-1"/>
                <w:sz w:val="11"/>
              </w:rPr>
              <w:drawing>
                <wp:inline distT="0" distB="0" distL="0" distR="0">
                  <wp:extent cx="57802" cy="71437"/>
                  <wp:effectExtent l="0" t="0" r="0" b="0"/>
                  <wp:docPr id="357" name="image13.png"/>
                  <wp:cNvGraphicFramePr>
                    <a:graphicFrameLocks noChangeAspect="1"/>
                  </wp:cNvGraphicFramePr>
                  <a:graphic>
                    <a:graphicData uri="http://schemas.openxmlformats.org/drawingml/2006/picture">
                      <pic:pic>
                        <pic:nvPicPr>
                          <pic:cNvPr id="358"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134" w:type="dxa"/>
          </w:tcPr>
          <w:p>
            <w:pPr>
              <w:pStyle w:val="TableParagraph"/>
              <w:spacing w:before="7"/>
              <w:rPr>
                <w:sz w:val="23"/>
              </w:rPr>
            </w:pPr>
          </w:p>
          <w:p>
            <w:pPr>
              <w:pStyle w:val="TableParagraph"/>
              <w:spacing w:line="112" w:lineRule="exact"/>
              <w:ind w:left="409"/>
              <w:rPr>
                <w:sz w:val="11"/>
              </w:rPr>
            </w:pPr>
            <w:r>
              <w:rPr>
                <w:position w:val="-1"/>
                <w:sz w:val="11"/>
              </w:rPr>
              <w:drawing>
                <wp:inline distT="0" distB="0" distL="0" distR="0">
                  <wp:extent cx="57802" cy="71437"/>
                  <wp:effectExtent l="0" t="0" r="0" b="0"/>
                  <wp:docPr id="359" name="image13.png"/>
                  <wp:cNvGraphicFramePr>
                    <a:graphicFrameLocks noChangeAspect="1"/>
                  </wp:cNvGraphicFramePr>
                  <a:graphic>
                    <a:graphicData uri="http://schemas.openxmlformats.org/drawingml/2006/picture">
                      <pic:pic>
                        <pic:nvPicPr>
                          <pic:cNvPr id="360"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995" w:type="dxa"/>
          </w:tcPr>
          <w:p>
            <w:pPr>
              <w:pStyle w:val="TableParagraph"/>
              <w:spacing w:before="7"/>
              <w:rPr>
                <w:sz w:val="23"/>
              </w:rPr>
            </w:pPr>
          </w:p>
          <w:p>
            <w:pPr>
              <w:pStyle w:val="TableParagraph"/>
              <w:spacing w:line="112" w:lineRule="exact"/>
              <w:ind w:left="335"/>
              <w:rPr>
                <w:sz w:val="11"/>
              </w:rPr>
            </w:pPr>
            <w:r>
              <w:rPr>
                <w:position w:val="-1"/>
                <w:sz w:val="11"/>
              </w:rPr>
              <w:drawing>
                <wp:inline distT="0" distB="0" distL="0" distR="0">
                  <wp:extent cx="57802" cy="71437"/>
                  <wp:effectExtent l="0" t="0" r="0" b="0"/>
                  <wp:docPr id="361" name="image13.png"/>
                  <wp:cNvGraphicFramePr>
                    <a:graphicFrameLocks noChangeAspect="1"/>
                  </wp:cNvGraphicFramePr>
                  <a:graphic>
                    <a:graphicData uri="http://schemas.openxmlformats.org/drawingml/2006/picture">
                      <pic:pic>
                        <pic:nvPicPr>
                          <pic:cNvPr id="362"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851" w:type="dxa"/>
          </w:tcPr>
          <w:p>
            <w:pPr>
              <w:pStyle w:val="TableParagraph"/>
              <w:spacing w:before="7"/>
              <w:rPr>
                <w:sz w:val="23"/>
              </w:rPr>
            </w:pPr>
          </w:p>
          <w:p>
            <w:pPr>
              <w:pStyle w:val="TableParagraph"/>
              <w:spacing w:line="112" w:lineRule="exact"/>
              <w:ind w:left="262"/>
              <w:rPr>
                <w:sz w:val="11"/>
              </w:rPr>
            </w:pPr>
            <w:r>
              <w:rPr>
                <w:position w:val="-1"/>
                <w:sz w:val="11"/>
              </w:rPr>
              <w:drawing>
                <wp:inline distT="0" distB="0" distL="0" distR="0">
                  <wp:extent cx="57802" cy="71437"/>
                  <wp:effectExtent l="0" t="0" r="0" b="0"/>
                  <wp:docPr id="363" name="image13.png"/>
                  <wp:cNvGraphicFramePr>
                    <a:graphicFrameLocks noChangeAspect="1"/>
                  </wp:cNvGraphicFramePr>
                  <a:graphic>
                    <a:graphicData uri="http://schemas.openxmlformats.org/drawingml/2006/picture">
                      <pic:pic>
                        <pic:nvPicPr>
                          <pic:cNvPr id="364"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278" w:type="dxa"/>
          </w:tcPr>
          <w:p>
            <w:pPr>
              <w:pStyle w:val="TableParagraph"/>
              <w:spacing w:before="7"/>
              <w:rPr>
                <w:sz w:val="23"/>
              </w:rPr>
            </w:pPr>
          </w:p>
          <w:p>
            <w:pPr>
              <w:pStyle w:val="TableParagraph"/>
              <w:spacing w:line="112" w:lineRule="exact"/>
              <w:ind w:left="474"/>
              <w:rPr>
                <w:sz w:val="11"/>
              </w:rPr>
            </w:pPr>
            <w:r>
              <w:rPr>
                <w:position w:val="-1"/>
                <w:sz w:val="11"/>
              </w:rPr>
              <w:drawing>
                <wp:inline distT="0" distB="0" distL="0" distR="0">
                  <wp:extent cx="57802" cy="71437"/>
                  <wp:effectExtent l="0" t="0" r="0" b="0"/>
                  <wp:docPr id="365" name="image13.png"/>
                  <wp:cNvGraphicFramePr>
                    <a:graphicFrameLocks noChangeAspect="1"/>
                  </wp:cNvGraphicFramePr>
                  <a:graphic>
                    <a:graphicData uri="http://schemas.openxmlformats.org/drawingml/2006/picture">
                      <pic:pic>
                        <pic:nvPicPr>
                          <pic:cNvPr id="366"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993" w:type="dxa"/>
          </w:tcPr>
          <w:p>
            <w:pPr>
              <w:pStyle w:val="TableParagraph"/>
              <w:spacing w:before="7"/>
              <w:rPr>
                <w:sz w:val="23"/>
              </w:rPr>
            </w:pPr>
          </w:p>
          <w:p>
            <w:pPr>
              <w:pStyle w:val="TableParagraph"/>
              <w:spacing w:line="112" w:lineRule="exact"/>
              <w:ind w:left="331"/>
              <w:rPr>
                <w:sz w:val="11"/>
              </w:rPr>
            </w:pPr>
            <w:r>
              <w:rPr>
                <w:position w:val="-1"/>
                <w:sz w:val="11"/>
              </w:rPr>
              <w:drawing>
                <wp:inline distT="0" distB="0" distL="0" distR="0">
                  <wp:extent cx="57802" cy="71437"/>
                  <wp:effectExtent l="0" t="0" r="0" b="0"/>
                  <wp:docPr id="367" name="image13.png"/>
                  <wp:cNvGraphicFramePr>
                    <a:graphicFrameLocks noChangeAspect="1"/>
                  </wp:cNvGraphicFramePr>
                  <a:graphic>
                    <a:graphicData uri="http://schemas.openxmlformats.org/drawingml/2006/picture">
                      <pic:pic>
                        <pic:nvPicPr>
                          <pic:cNvPr id="368"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992" w:type="dxa"/>
          </w:tcPr>
          <w:p>
            <w:pPr>
              <w:pStyle w:val="TableParagraph"/>
              <w:spacing w:before="7"/>
              <w:rPr>
                <w:sz w:val="23"/>
              </w:rPr>
            </w:pPr>
          </w:p>
          <w:p>
            <w:pPr>
              <w:pStyle w:val="TableParagraph"/>
              <w:spacing w:line="112" w:lineRule="exact"/>
              <w:ind w:left="330"/>
              <w:rPr>
                <w:sz w:val="11"/>
              </w:rPr>
            </w:pPr>
            <w:r>
              <w:rPr>
                <w:position w:val="-1"/>
                <w:sz w:val="11"/>
              </w:rPr>
              <w:drawing>
                <wp:inline distT="0" distB="0" distL="0" distR="0">
                  <wp:extent cx="57802" cy="71437"/>
                  <wp:effectExtent l="0" t="0" r="0" b="0"/>
                  <wp:docPr id="369" name="image13.png"/>
                  <wp:cNvGraphicFramePr>
                    <a:graphicFrameLocks noChangeAspect="1"/>
                  </wp:cNvGraphicFramePr>
                  <a:graphic>
                    <a:graphicData uri="http://schemas.openxmlformats.org/drawingml/2006/picture">
                      <pic:pic>
                        <pic:nvPicPr>
                          <pic:cNvPr id="370"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000" w:type="dxa"/>
          </w:tcPr>
          <w:p>
            <w:pPr>
              <w:pStyle w:val="TableParagraph"/>
              <w:spacing w:before="7"/>
              <w:rPr>
                <w:sz w:val="23"/>
              </w:rPr>
            </w:pPr>
          </w:p>
          <w:p>
            <w:pPr>
              <w:pStyle w:val="TableParagraph"/>
              <w:spacing w:line="112" w:lineRule="exact"/>
              <w:ind w:left="331"/>
              <w:rPr>
                <w:sz w:val="11"/>
              </w:rPr>
            </w:pPr>
            <w:r>
              <w:rPr>
                <w:position w:val="-1"/>
                <w:sz w:val="11"/>
              </w:rPr>
              <w:drawing>
                <wp:inline distT="0" distB="0" distL="0" distR="0">
                  <wp:extent cx="57802" cy="71437"/>
                  <wp:effectExtent l="0" t="0" r="0" b="0"/>
                  <wp:docPr id="371" name="image13.png"/>
                  <wp:cNvGraphicFramePr>
                    <a:graphicFrameLocks noChangeAspect="1"/>
                  </wp:cNvGraphicFramePr>
                  <a:graphic>
                    <a:graphicData uri="http://schemas.openxmlformats.org/drawingml/2006/picture">
                      <pic:pic>
                        <pic:nvPicPr>
                          <pic:cNvPr id="372"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r>
      <w:tr>
        <w:trPr>
          <w:trHeight w:val="662" w:hRule="atLeast"/>
        </w:trPr>
        <w:tc>
          <w:tcPr>
            <w:tcW w:w="1400" w:type="dxa"/>
          </w:tcPr>
          <w:p>
            <w:pPr>
              <w:pStyle w:val="TableParagraph"/>
              <w:spacing w:line="220" w:lineRule="exact"/>
              <w:ind w:left="172" w:right="275"/>
              <w:rPr>
                <w:sz w:val="18"/>
              </w:rPr>
            </w:pPr>
            <w:r>
              <w:rPr>
                <w:sz w:val="18"/>
              </w:rPr>
              <w:t>Other</w:t>
            </w:r>
            <w:r>
              <w:rPr>
                <w:spacing w:val="1"/>
                <w:sz w:val="18"/>
              </w:rPr>
              <w:t> </w:t>
            </w:r>
            <w:r>
              <w:rPr>
                <w:sz w:val="18"/>
              </w:rPr>
              <w:t>system/</w:t>
            </w:r>
            <w:r>
              <w:rPr>
                <w:spacing w:val="1"/>
                <w:sz w:val="18"/>
              </w:rPr>
              <w:t> </w:t>
            </w:r>
            <w:r>
              <w:rPr>
                <w:sz w:val="18"/>
              </w:rPr>
              <w:t>guide</w:t>
            </w:r>
            <w:r>
              <w:rPr>
                <w:spacing w:val="-9"/>
                <w:sz w:val="18"/>
              </w:rPr>
              <w:t> </w:t>
            </w:r>
            <w:r>
              <w:rPr>
                <w:sz w:val="18"/>
              </w:rPr>
              <w:t>3</w:t>
            </w:r>
            <w:r>
              <w:rPr>
                <w:spacing w:val="-7"/>
                <w:sz w:val="18"/>
              </w:rPr>
              <w:t> </w:t>
            </w:r>
            <w:r>
              <w:rPr>
                <w:sz w:val="18"/>
              </w:rPr>
              <w:t>(6)</w:t>
            </w:r>
          </w:p>
        </w:tc>
        <w:tc>
          <w:tcPr>
            <w:tcW w:w="483" w:type="dxa"/>
          </w:tcPr>
          <w:p>
            <w:pPr>
              <w:pStyle w:val="TableParagraph"/>
              <w:spacing w:before="7"/>
              <w:rPr>
                <w:sz w:val="23"/>
              </w:rPr>
            </w:pPr>
          </w:p>
          <w:p>
            <w:pPr>
              <w:pStyle w:val="TableParagraph"/>
              <w:spacing w:line="112" w:lineRule="exact"/>
              <w:ind w:left="138"/>
              <w:rPr>
                <w:sz w:val="11"/>
              </w:rPr>
            </w:pPr>
            <w:r>
              <w:rPr>
                <w:position w:val="-1"/>
                <w:sz w:val="11"/>
              </w:rPr>
              <w:drawing>
                <wp:inline distT="0" distB="0" distL="0" distR="0">
                  <wp:extent cx="57802" cy="71437"/>
                  <wp:effectExtent l="0" t="0" r="0" b="0"/>
                  <wp:docPr id="373" name="image13.png"/>
                  <wp:cNvGraphicFramePr>
                    <a:graphicFrameLocks noChangeAspect="1"/>
                  </wp:cNvGraphicFramePr>
                  <a:graphic>
                    <a:graphicData uri="http://schemas.openxmlformats.org/drawingml/2006/picture">
                      <pic:pic>
                        <pic:nvPicPr>
                          <pic:cNvPr id="374"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524" w:type="dxa"/>
          </w:tcPr>
          <w:p>
            <w:pPr>
              <w:pStyle w:val="TableParagraph"/>
              <w:spacing w:before="7"/>
              <w:rPr>
                <w:sz w:val="23"/>
              </w:rPr>
            </w:pPr>
          </w:p>
          <w:p>
            <w:pPr>
              <w:pStyle w:val="TableParagraph"/>
              <w:spacing w:line="112" w:lineRule="exact"/>
              <w:ind w:left="138"/>
              <w:rPr>
                <w:sz w:val="11"/>
              </w:rPr>
            </w:pPr>
            <w:r>
              <w:rPr>
                <w:position w:val="-1"/>
                <w:sz w:val="11"/>
              </w:rPr>
              <w:drawing>
                <wp:inline distT="0" distB="0" distL="0" distR="0">
                  <wp:extent cx="57802" cy="71437"/>
                  <wp:effectExtent l="0" t="0" r="0" b="0"/>
                  <wp:docPr id="375" name="image13.png"/>
                  <wp:cNvGraphicFramePr>
                    <a:graphicFrameLocks noChangeAspect="1"/>
                  </wp:cNvGraphicFramePr>
                  <a:graphic>
                    <a:graphicData uri="http://schemas.openxmlformats.org/drawingml/2006/picture">
                      <pic:pic>
                        <pic:nvPicPr>
                          <pic:cNvPr id="376"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137" w:type="dxa"/>
          </w:tcPr>
          <w:p>
            <w:pPr>
              <w:pStyle w:val="TableParagraph"/>
              <w:spacing w:before="7"/>
              <w:rPr>
                <w:sz w:val="23"/>
              </w:rPr>
            </w:pPr>
          </w:p>
          <w:p>
            <w:pPr>
              <w:pStyle w:val="TableParagraph"/>
              <w:spacing w:line="112" w:lineRule="exact"/>
              <w:ind w:left="410"/>
              <w:rPr>
                <w:sz w:val="11"/>
              </w:rPr>
            </w:pPr>
            <w:r>
              <w:rPr>
                <w:position w:val="-1"/>
                <w:sz w:val="11"/>
              </w:rPr>
              <w:drawing>
                <wp:inline distT="0" distB="0" distL="0" distR="0">
                  <wp:extent cx="57802" cy="71437"/>
                  <wp:effectExtent l="0" t="0" r="0" b="0"/>
                  <wp:docPr id="377" name="image13.png"/>
                  <wp:cNvGraphicFramePr>
                    <a:graphicFrameLocks noChangeAspect="1"/>
                  </wp:cNvGraphicFramePr>
                  <a:graphic>
                    <a:graphicData uri="http://schemas.openxmlformats.org/drawingml/2006/picture">
                      <pic:pic>
                        <pic:nvPicPr>
                          <pic:cNvPr id="378"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134" w:type="dxa"/>
          </w:tcPr>
          <w:p>
            <w:pPr>
              <w:pStyle w:val="TableParagraph"/>
              <w:spacing w:before="7"/>
              <w:rPr>
                <w:sz w:val="23"/>
              </w:rPr>
            </w:pPr>
          </w:p>
          <w:p>
            <w:pPr>
              <w:pStyle w:val="TableParagraph"/>
              <w:spacing w:line="112" w:lineRule="exact"/>
              <w:ind w:left="409"/>
              <w:rPr>
                <w:sz w:val="11"/>
              </w:rPr>
            </w:pPr>
            <w:r>
              <w:rPr>
                <w:position w:val="-1"/>
                <w:sz w:val="11"/>
              </w:rPr>
              <w:drawing>
                <wp:inline distT="0" distB="0" distL="0" distR="0">
                  <wp:extent cx="57802" cy="71437"/>
                  <wp:effectExtent l="0" t="0" r="0" b="0"/>
                  <wp:docPr id="379" name="image13.png"/>
                  <wp:cNvGraphicFramePr>
                    <a:graphicFrameLocks noChangeAspect="1"/>
                  </wp:cNvGraphicFramePr>
                  <a:graphic>
                    <a:graphicData uri="http://schemas.openxmlformats.org/drawingml/2006/picture">
                      <pic:pic>
                        <pic:nvPicPr>
                          <pic:cNvPr id="380"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995" w:type="dxa"/>
          </w:tcPr>
          <w:p>
            <w:pPr>
              <w:pStyle w:val="TableParagraph"/>
              <w:spacing w:before="7"/>
              <w:rPr>
                <w:sz w:val="23"/>
              </w:rPr>
            </w:pPr>
          </w:p>
          <w:p>
            <w:pPr>
              <w:pStyle w:val="TableParagraph"/>
              <w:spacing w:line="112" w:lineRule="exact"/>
              <w:ind w:left="335"/>
              <w:rPr>
                <w:sz w:val="11"/>
              </w:rPr>
            </w:pPr>
            <w:r>
              <w:rPr>
                <w:position w:val="-1"/>
                <w:sz w:val="11"/>
              </w:rPr>
              <w:drawing>
                <wp:inline distT="0" distB="0" distL="0" distR="0">
                  <wp:extent cx="57802" cy="71437"/>
                  <wp:effectExtent l="0" t="0" r="0" b="0"/>
                  <wp:docPr id="381" name="image13.png"/>
                  <wp:cNvGraphicFramePr>
                    <a:graphicFrameLocks noChangeAspect="1"/>
                  </wp:cNvGraphicFramePr>
                  <a:graphic>
                    <a:graphicData uri="http://schemas.openxmlformats.org/drawingml/2006/picture">
                      <pic:pic>
                        <pic:nvPicPr>
                          <pic:cNvPr id="382"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851" w:type="dxa"/>
          </w:tcPr>
          <w:p>
            <w:pPr>
              <w:pStyle w:val="TableParagraph"/>
              <w:spacing w:before="7"/>
              <w:rPr>
                <w:sz w:val="23"/>
              </w:rPr>
            </w:pPr>
          </w:p>
          <w:p>
            <w:pPr>
              <w:pStyle w:val="TableParagraph"/>
              <w:spacing w:line="112" w:lineRule="exact"/>
              <w:ind w:left="262"/>
              <w:rPr>
                <w:sz w:val="11"/>
              </w:rPr>
            </w:pPr>
            <w:r>
              <w:rPr>
                <w:position w:val="-1"/>
                <w:sz w:val="11"/>
              </w:rPr>
              <w:drawing>
                <wp:inline distT="0" distB="0" distL="0" distR="0">
                  <wp:extent cx="57802" cy="71437"/>
                  <wp:effectExtent l="0" t="0" r="0" b="0"/>
                  <wp:docPr id="383" name="image13.png"/>
                  <wp:cNvGraphicFramePr>
                    <a:graphicFrameLocks noChangeAspect="1"/>
                  </wp:cNvGraphicFramePr>
                  <a:graphic>
                    <a:graphicData uri="http://schemas.openxmlformats.org/drawingml/2006/picture">
                      <pic:pic>
                        <pic:nvPicPr>
                          <pic:cNvPr id="384"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278" w:type="dxa"/>
          </w:tcPr>
          <w:p>
            <w:pPr>
              <w:pStyle w:val="TableParagraph"/>
              <w:spacing w:before="7"/>
              <w:rPr>
                <w:sz w:val="23"/>
              </w:rPr>
            </w:pPr>
          </w:p>
          <w:p>
            <w:pPr>
              <w:pStyle w:val="TableParagraph"/>
              <w:spacing w:line="112" w:lineRule="exact"/>
              <w:ind w:left="474"/>
              <w:rPr>
                <w:sz w:val="11"/>
              </w:rPr>
            </w:pPr>
            <w:r>
              <w:rPr>
                <w:position w:val="-1"/>
                <w:sz w:val="11"/>
              </w:rPr>
              <w:drawing>
                <wp:inline distT="0" distB="0" distL="0" distR="0">
                  <wp:extent cx="57802" cy="71437"/>
                  <wp:effectExtent l="0" t="0" r="0" b="0"/>
                  <wp:docPr id="385" name="image13.png"/>
                  <wp:cNvGraphicFramePr>
                    <a:graphicFrameLocks noChangeAspect="1"/>
                  </wp:cNvGraphicFramePr>
                  <a:graphic>
                    <a:graphicData uri="http://schemas.openxmlformats.org/drawingml/2006/picture">
                      <pic:pic>
                        <pic:nvPicPr>
                          <pic:cNvPr id="386"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993" w:type="dxa"/>
          </w:tcPr>
          <w:p>
            <w:pPr>
              <w:pStyle w:val="TableParagraph"/>
              <w:spacing w:before="7"/>
              <w:rPr>
                <w:sz w:val="23"/>
              </w:rPr>
            </w:pPr>
          </w:p>
          <w:p>
            <w:pPr>
              <w:pStyle w:val="TableParagraph"/>
              <w:spacing w:line="112" w:lineRule="exact"/>
              <w:ind w:left="331"/>
              <w:rPr>
                <w:sz w:val="11"/>
              </w:rPr>
            </w:pPr>
            <w:r>
              <w:rPr>
                <w:position w:val="-1"/>
                <w:sz w:val="11"/>
              </w:rPr>
              <w:drawing>
                <wp:inline distT="0" distB="0" distL="0" distR="0">
                  <wp:extent cx="57802" cy="71437"/>
                  <wp:effectExtent l="0" t="0" r="0" b="0"/>
                  <wp:docPr id="387" name="image13.png"/>
                  <wp:cNvGraphicFramePr>
                    <a:graphicFrameLocks noChangeAspect="1"/>
                  </wp:cNvGraphicFramePr>
                  <a:graphic>
                    <a:graphicData uri="http://schemas.openxmlformats.org/drawingml/2006/picture">
                      <pic:pic>
                        <pic:nvPicPr>
                          <pic:cNvPr id="388"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992" w:type="dxa"/>
          </w:tcPr>
          <w:p>
            <w:pPr>
              <w:pStyle w:val="TableParagraph"/>
              <w:spacing w:before="7"/>
              <w:rPr>
                <w:sz w:val="23"/>
              </w:rPr>
            </w:pPr>
          </w:p>
          <w:p>
            <w:pPr>
              <w:pStyle w:val="TableParagraph"/>
              <w:spacing w:line="112" w:lineRule="exact"/>
              <w:ind w:left="330"/>
              <w:rPr>
                <w:sz w:val="11"/>
              </w:rPr>
            </w:pPr>
            <w:r>
              <w:rPr>
                <w:position w:val="-1"/>
                <w:sz w:val="11"/>
              </w:rPr>
              <w:drawing>
                <wp:inline distT="0" distB="0" distL="0" distR="0">
                  <wp:extent cx="57802" cy="71437"/>
                  <wp:effectExtent l="0" t="0" r="0" b="0"/>
                  <wp:docPr id="389" name="image13.png"/>
                  <wp:cNvGraphicFramePr>
                    <a:graphicFrameLocks noChangeAspect="1"/>
                  </wp:cNvGraphicFramePr>
                  <a:graphic>
                    <a:graphicData uri="http://schemas.openxmlformats.org/drawingml/2006/picture">
                      <pic:pic>
                        <pic:nvPicPr>
                          <pic:cNvPr id="390"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000" w:type="dxa"/>
          </w:tcPr>
          <w:p>
            <w:pPr>
              <w:pStyle w:val="TableParagraph"/>
              <w:spacing w:before="7"/>
              <w:rPr>
                <w:sz w:val="23"/>
              </w:rPr>
            </w:pPr>
          </w:p>
          <w:p>
            <w:pPr>
              <w:pStyle w:val="TableParagraph"/>
              <w:spacing w:line="112" w:lineRule="exact"/>
              <w:ind w:left="331"/>
              <w:rPr>
                <w:sz w:val="11"/>
              </w:rPr>
            </w:pPr>
            <w:r>
              <w:rPr>
                <w:position w:val="-1"/>
                <w:sz w:val="11"/>
              </w:rPr>
              <w:drawing>
                <wp:inline distT="0" distB="0" distL="0" distR="0">
                  <wp:extent cx="57802" cy="71437"/>
                  <wp:effectExtent l="0" t="0" r="0" b="0"/>
                  <wp:docPr id="391" name="image13.png"/>
                  <wp:cNvGraphicFramePr>
                    <a:graphicFrameLocks noChangeAspect="1"/>
                  </wp:cNvGraphicFramePr>
                  <a:graphic>
                    <a:graphicData uri="http://schemas.openxmlformats.org/drawingml/2006/picture">
                      <pic:pic>
                        <pic:nvPicPr>
                          <pic:cNvPr id="392"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r>
      <w:tr>
        <w:trPr>
          <w:trHeight w:val="662" w:hRule="atLeast"/>
        </w:trPr>
        <w:tc>
          <w:tcPr>
            <w:tcW w:w="1400" w:type="dxa"/>
          </w:tcPr>
          <w:p>
            <w:pPr>
              <w:pStyle w:val="TableParagraph"/>
              <w:spacing w:line="220" w:lineRule="exact"/>
              <w:ind w:left="172" w:right="275"/>
              <w:rPr>
                <w:sz w:val="18"/>
              </w:rPr>
            </w:pPr>
            <w:r>
              <w:rPr>
                <w:sz w:val="18"/>
              </w:rPr>
              <w:t>Other</w:t>
            </w:r>
            <w:r>
              <w:rPr>
                <w:spacing w:val="1"/>
                <w:sz w:val="18"/>
              </w:rPr>
              <w:t> </w:t>
            </w:r>
            <w:r>
              <w:rPr>
                <w:sz w:val="18"/>
              </w:rPr>
              <w:t>system/</w:t>
            </w:r>
            <w:r>
              <w:rPr>
                <w:spacing w:val="1"/>
                <w:sz w:val="18"/>
              </w:rPr>
              <w:t> </w:t>
            </w:r>
            <w:r>
              <w:rPr>
                <w:sz w:val="18"/>
              </w:rPr>
              <w:t>guide</w:t>
            </w:r>
            <w:r>
              <w:rPr>
                <w:spacing w:val="-9"/>
                <w:sz w:val="18"/>
              </w:rPr>
              <w:t> </w:t>
            </w:r>
            <w:r>
              <w:rPr>
                <w:sz w:val="18"/>
              </w:rPr>
              <w:t>4</w:t>
            </w:r>
            <w:r>
              <w:rPr>
                <w:spacing w:val="-7"/>
                <w:sz w:val="18"/>
              </w:rPr>
              <w:t> </w:t>
            </w:r>
            <w:r>
              <w:rPr>
                <w:sz w:val="18"/>
              </w:rPr>
              <w:t>(7)</w:t>
            </w:r>
          </w:p>
        </w:tc>
        <w:tc>
          <w:tcPr>
            <w:tcW w:w="483" w:type="dxa"/>
          </w:tcPr>
          <w:p>
            <w:pPr>
              <w:pStyle w:val="TableParagraph"/>
              <w:spacing w:before="6"/>
              <w:rPr>
                <w:sz w:val="23"/>
              </w:rPr>
            </w:pPr>
          </w:p>
          <w:p>
            <w:pPr>
              <w:pStyle w:val="TableParagraph"/>
              <w:spacing w:line="114" w:lineRule="exact"/>
              <w:ind w:left="138"/>
              <w:rPr>
                <w:sz w:val="11"/>
              </w:rPr>
            </w:pPr>
            <w:r>
              <w:rPr>
                <w:position w:val="-1"/>
                <w:sz w:val="11"/>
              </w:rPr>
              <w:drawing>
                <wp:inline distT="0" distB="0" distL="0" distR="0">
                  <wp:extent cx="58958" cy="72866"/>
                  <wp:effectExtent l="0" t="0" r="0" b="0"/>
                  <wp:docPr id="393" name="image13.png"/>
                  <wp:cNvGraphicFramePr>
                    <a:graphicFrameLocks noChangeAspect="1"/>
                  </wp:cNvGraphicFramePr>
                  <a:graphic>
                    <a:graphicData uri="http://schemas.openxmlformats.org/drawingml/2006/picture">
                      <pic:pic>
                        <pic:nvPicPr>
                          <pic:cNvPr id="394"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524" w:type="dxa"/>
          </w:tcPr>
          <w:p>
            <w:pPr>
              <w:pStyle w:val="TableParagraph"/>
              <w:spacing w:before="6"/>
              <w:rPr>
                <w:sz w:val="23"/>
              </w:rPr>
            </w:pPr>
          </w:p>
          <w:p>
            <w:pPr>
              <w:pStyle w:val="TableParagraph"/>
              <w:spacing w:line="114" w:lineRule="exact"/>
              <w:ind w:left="138"/>
              <w:rPr>
                <w:sz w:val="11"/>
              </w:rPr>
            </w:pPr>
            <w:r>
              <w:rPr>
                <w:position w:val="-1"/>
                <w:sz w:val="11"/>
              </w:rPr>
              <w:drawing>
                <wp:inline distT="0" distB="0" distL="0" distR="0">
                  <wp:extent cx="58958" cy="72866"/>
                  <wp:effectExtent l="0" t="0" r="0" b="0"/>
                  <wp:docPr id="395" name="image13.png"/>
                  <wp:cNvGraphicFramePr>
                    <a:graphicFrameLocks noChangeAspect="1"/>
                  </wp:cNvGraphicFramePr>
                  <a:graphic>
                    <a:graphicData uri="http://schemas.openxmlformats.org/drawingml/2006/picture">
                      <pic:pic>
                        <pic:nvPicPr>
                          <pic:cNvPr id="396"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137" w:type="dxa"/>
          </w:tcPr>
          <w:p>
            <w:pPr>
              <w:pStyle w:val="TableParagraph"/>
              <w:spacing w:before="6"/>
              <w:rPr>
                <w:sz w:val="23"/>
              </w:rPr>
            </w:pPr>
          </w:p>
          <w:p>
            <w:pPr>
              <w:pStyle w:val="TableParagraph"/>
              <w:spacing w:line="114" w:lineRule="exact"/>
              <w:ind w:left="410"/>
              <w:rPr>
                <w:sz w:val="11"/>
              </w:rPr>
            </w:pPr>
            <w:r>
              <w:rPr>
                <w:position w:val="-1"/>
                <w:sz w:val="11"/>
              </w:rPr>
              <w:drawing>
                <wp:inline distT="0" distB="0" distL="0" distR="0">
                  <wp:extent cx="58958" cy="72866"/>
                  <wp:effectExtent l="0" t="0" r="0" b="0"/>
                  <wp:docPr id="397" name="image13.png"/>
                  <wp:cNvGraphicFramePr>
                    <a:graphicFrameLocks noChangeAspect="1"/>
                  </wp:cNvGraphicFramePr>
                  <a:graphic>
                    <a:graphicData uri="http://schemas.openxmlformats.org/drawingml/2006/picture">
                      <pic:pic>
                        <pic:nvPicPr>
                          <pic:cNvPr id="398"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134" w:type="dxa"/>
          </w:tcPr>
          <w:p>
            <w:pPr>
              <w:pStyle w:val="TableParagraph"/>
              <w:spacing w:before="6"/>
              <w:rPr>
                <w:sz w:val="23"/>
              </w:rPr>
            </w:pPr>
          </w:p>
          <w:p>
            <w:pPr>
              <w:pStyle w:val="TableParagraph"/>
              <w:spacing w:line="114" w:lineRule="exact"/>
              <w:ind w:left="409"/>
              <w:rPr>
                <w:sz w:val="11"/>
              </w:rPr>
            </w:pPr>
            <w:r>
              <w:rPr>
                <w:position w:val="-1"/>
                <w:sz w:val="11"/>
              </w:rPr>
              <w:drawing>
                <wp:inline distT="0" distB="0" distL="0" distR="0">
                  <wp:extent cx="58958" cy="72866"/>
                  <wp:effectExtent l="0" t="0" r="0" b="0"/>
                  <wp:docPr id="399" name="image13.png"/>
                  <wp:cNvGraphicFramePr>
                    <a:graphicFrameLocks noChangeAspect="1"/>
                  </wp:cNvGraphicFramePr>
                  <a:graphic>
                    <a:graphicData uri="http://schemas.openxmlformats.org/drawingml/2006/picture">
                      <pic:pic>
                        <pic:nvPicPr>
                          <pic:cNvPr id="400"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995" w:type="dxa"/>
          </w:tcPr>
          <w:p>
            <w:pPr>
              <w:pStyle w:val="TableParagraph"/>
              <w:spacing w:before="6"/>
              <w:rPr>
                <w:sz w:val="23"/>
              </w:rPr>
            </w:pPr>
          </w:p>
          <w:p>
            <w:pPr>
              <w:pStyle w:val="TableParagraph"/>
              <w:spacing w:line="114" w:lineRule="exact"/>
              <w:ind w:left="335"/>
              <w:rPr>
                <w:sz w:val="11"/>
              </w:rPr>
            </w:pPr>
            <w:r>
              <w:rPr>
                <w:position w:val="-1"/>
                <w:sz w:val="11"/>
              </w:rPr>
              <w:drawing>
                <wp:inline distT="0" distB="0" distL="0" distR="0">
                  <wp:extent cx="58958" cy="72866"/>
                  <wp:effectExtent l="0" t="0" r="0" b="0"/>
                  <wp:docPr id="401" name="image13.png"/>
                  <wp:cNvGraphicFramePr>
                    <a:graphicFrameLocks noChangeAspect="1"/>
                  </wp:cNvGraphicFramePr>
                  <a:graphic>
                    <a:graphicData uri="http://schemas.openxmlformats.org/drawingml/2006/picture">
                      <pic:pic>
                        <pic:nvPicPr>
                          <pic:cNvPr id="402"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851" w:type="dxa"/>
          </w:tcPr>
          <w:p>
            <w:pPr>
              <w:pStyle w:val="TableParagraph"/>
              <w:spacing w:before="6"/>
              <w:rPr>
                <w:sz w:val="23"/>
              </w:rPr>
            </w:pPr>
          </w:p>
          <w:p>
            <w:pPr>
              <w:pStyle w:val="TableParagraph"/>
              <w:spacing w:line="114" w:lineRule="exact"/>
              <w:ind w:left="262"/>
              <w:rPr>
                <w:sz w:val="11"/>
              </w:rPr>
            </w:pPr>
            <w:r>
              <w:rPr>
                <w:position w:val="-1"/>
                <w:sz w:val="11"/>
              </w:rPr>
              <w:drawing>
                <wp:inline distT="0" distB="0" distL="0" distR="0">
                  <wp:extent cx="58958" cy="72866"/>
                  <wp:effectExtent l="0" t="0" r="0" b="0"/>
                  <wp:docPr id="403" name="image13.png"/>
                  <wp:cNvGraphicFramePr>
                    <a:graphicFrameLocks noChangeAspect="1"/>
                  </wp:cNvGraphicFramePr>
                  <a:graphic>
                    <a:graphicData uri="http://schemas.openxmlformats.org/drawingml/2006/picture">
                      <pic:pic>
                        <pic:nvPicPr>
                          <pic:cNvPr id="404"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278" w:type="dxa"/>
          </w:tcPr>
          <w:p>
            <w:pPr>
              <w:pStyle w:val="TableParagraph"/>
              <w:spacing w:before="6"/>
              <w:rPr>
                <w:sz w:val="23"/>
              </w:rPr>
            </w:pPr>
          </w:p>
          <w:p>
            <w:pPr>
              <w:pStyle w:val="TableParagraph"/>
              <w:spacing w:line="114" w:lineRule="exact"/>
              <w:ind w:left="474"/>
              <w:rPr>
                <w:sz w:val="11"/>
              </w:rPr>
            </w:pPr>
            <w:r>
              <w:rPr>
                <w:position w:val="-1"/>
                <w:sz w:val="11"/>
              </w:rPr>
              <w:drawing>
                <wp:inline distT="0" distB="0" distL="0" distR="0">
                  <wp:extent cx="58958" cy="72866"/>
                  <wp:effectExtent l="0" t="0" r="0" b="0"/>
                  <wp:docPr id="405" name="image13.png"/>
                  <wp:cNvGraphicFramePr>
                    <a:graphicFrameLocks noChangeAspect="1"/>
                  </wp:cNvGraphicFramePr>
                  <a:graphic>
                    <a:graphicData uri="http://schemas.openxmlformats.org/drawingml/2006/picture">
                      <pic:pic>
                        <pic:nvPicPr>
                          <pic:cNvPr id="406"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993" w:type="dxa"/>
          </w:tcPr>
          <w:p>
            <w:pPr>
              <w:pStyle w:val="TableParagraph"/>
              <w:spacing w:before="6"/>
              <w:rPr>
                <w:sz w:val="23"/>
              </w:rPr>
            </w:pPr>
          </w:p>
          <w:p>
            <w:pPr>
              <w:pStyle w:val="TableParagraph"/>
              <w:spacing w:line="114" w:lineRule="exact"/>
              <w:ind w:left="331"/>
              <w:rPr>
                <w:sz w:val="11"/>
              </w:rPr>
            </w:pPr>
            <w:r>
              <w:rPr>
                <w:position w:val="-1"/>
                <w:sz w:val="11"/>
              </w:rPr>
              <w:drawing>
                <wp:inline distT="0" distB="0" distL="0" distR="0">
                  <wp:extent cx="58958" cy="72866"/>
                  <wp:effectExtent l="0" t="0" r="0" b="0"/>
                  <wp:docPr id="407" name="image13.png"/>
                  <wp:cNvGraphicFramePr>
                    <a:graphicFrameLocks noChangeAspect="1"/>
                  </wp:cNvGraphicFramePr>
                  <a:graphic>
                    <a:graphicData uri="http://schemas.openxmlformats.org/drawingml/2006/picture">
                      <pic:pic>
                        <pic:nvPicPr>
                          <pic:cNvPr id="408"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992" w:type="dxa"/>
          </w:tcPr>
          <w:p>
            <w:pPr>
              <w:pStyle w:val="TableParagraph"/>
              <w:spacing w:before="6"/>
              <w:rPr>
                <w:sz w:val="23"/>
              </w:rPr>
            </w:pPr>
          </w:p>
          <w:p>
            <w:pPr>
              <w:pStyle w:val="TableParagraph"/>
              <w:spacing w:line="114" w:lineRule="exact"/>
              <w:ind w:left="330"/>
              <w:rPr>
                <w:sz w:val="11"/>
              </w:rPr>
            </w:pPr>
            <w:r>
              <w:rPr>
                <w:position w:val="-1"/>
                <w:sz w:val="11"/>
              </w:rPr>
              <w:drawing>
                <wp:inline distT="0" distB="0" distL="0" distR="0">
                  <wp:extent cx="58958" cy="72866"/>
                  <wp:effectExtent l="0" t="0" r="0" b="0"/>
                  <wp:docPr id="409" name="image13.png"/>
                  <wp:cNvGraphicFramePr>
                    <a:graphicFrameLocks noChangeAspect="1"/>
                  </wp:cNvGraphicFramePr>
                  <a:graphic>
                    <a:graphicData uri="http://schemas.openxmlformats.org/drawingml/2006/picture">
                      <pic:pic>
                        <pic:nvPicPr>
                          <pic:cNvPr id="410"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000" w:type="dxa"/>
          </w:tcPr>
          <w:p>
            <w:pPr>
              <w:pStyle w:val="TableParagraph"/>
              <w:spacing w:before="6"/>
              <w:rPr>
                <w:sz w:val="23"/>
              </w:rPr>
            </w:pPr>
          </w:p>
          <w:p>
            <w:pPr>
              <w:pStyle w:val="TableParagraph"/>
              <w:spacing w:line="114" w:lineRule="exact"/>
              <w:ind w:left="331"/>
              <w:rPr>
                <w:sz w:val="11"/>
              </w:rPr>
            </w:pPr>
            <w:r>
              <w:rPr>
                <w:position w:val="-1"/>
                <w:sz w:val="11"/>
              </w:rPr>
              <w:drawing>
                <wp:inline distT="0" distB="0" distL="0" distR="0">
                  <wp:extent cx="58958" cy="72866"/>
                  <wp:effectExtent l="0" t="0" r="0" b="0"/>
                  <wp:docPr id="411" name="image13.png"/>
                  <wp:cNvGraphicFramePr>
                    <a:graphicFrameLocks noChangeAspect="1"/>
                  </wp:cNvGraphicFramePr>
                  <a:graphic>
                    <a:graphicData uri="http://schemas.openxmlformats.org/drawingml/2006/picture">
                      <pic:pic>
                        <pic:nvPicPr>
                          <pic:cNvPr id="412"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r>
      <w:tr>
        <w:trPr>
          <w:trHeight w:val="661" w:hRule="atLeast"/>
        </w:trPr>
        <w:tc>
          <w:tcPr>
            <w:tcW w:w="1400" w:type="dxa"/>
          </w:tcPr>
          <w:p>
            <w:pPr>
              <w:pStyle w:val="TableParagraph"/>
              <w:spacing w:line="220" w:lineRule="exact"/>
              <w:ind w:left="172" w:right="275"/>
              <w:rPr>
                <w:sz w:val="18"/>
              </w:rPr>
            </w:pPr>
            <w:r>
              <w:rPr>
                <w:sz w:val="18"/>
              </w:rPr>
              <w:t>Other</w:t>
            </w:r>
            <w:r>
              <w:rPr>
                <w:spacing w:val="1"/>
                <w:sz w:val="18"/>
              </w:rPr>
              <w:t> </w:t>
            </w:r>
            <w:r>
              <w:rPr>
                <w:sz w:val="18"/>
              </w:rPr>
              <w:t>system/</w:t>
            </w:r>
            <w:r>
              <w:rPr>
                <w:spacing w:val="1"/>
                <w:sz w:val="18"/>
              </w:rPr>
              <w:t> </w:t>
            </w:r>
            <w:r>
              <w:rPr>
                <w:sz w:val="18"/>
              </w:rPr>
              <w:t>guide</w:t>
            </w:r>
            <w:r>
              <w:rPr>
                <w:spacing w:val="-9"/>
                <w:sz w:val="18"/>
              </w:rPr>
              <w:t> </w:t>
            </w:r>
            <w:r>
              <w:rPr>
                <w:sz w:val="18"/>
              </w:rPr>
              <w:t>5</w:t>
            </w:r>
            <w:r>
              <w:rPr>
                <w:spacing w:val="-7"/>
                <w:sz w:val="18"/>
              </w:rPr>
              <w:t> </w:t>
            </w:r>
            <w:r>
              <w:rPr>
                <w:sz w:val="18"/>
              </w:rPr>
              <w:t>(8)</w:t>
            </w:r>
          </w:p>
        </w:tc>
        <w:tc>
          <w:tcPr>
            <w:tcW w:w="483" w:type="dxa"/>
          </w:tcPr>
          <w:p>
            <w:pPr>
              <w:pStyle w:val="TableParagraph"/>
              <w:spacing w:before="6"/>
              <w:rPr>
                <w:sz w:val="23"/>
              </w:rPr>
            </w:pPr>
          </w:p>
          <w:p>
            <w:pPr>
              <w:pStyle w:val="TableParagraph"/>
              <w:spacing w:line="114" w:lineRule="exact"/>
              <w:ind w:left="138"/>
              <w:rPr>
                <w:sz w:val="11"/>
              </w:rPr>
            </w:pPr>
            <w:r>
              <w:rPr>
                <w:position w:val="-1"/>
                <w:sz w:val="11"/>
              </w:rPr>
              <w:drawing>
                <wp:inline distT="0" distB="0" distL="0" distR="0">
                  <wp:extent cx="58958" cy="72866"/>
                  <wp:effectExtent l="0" t="0" r="0" b="0"/>
                  <wp:docPr id="413" name="image13.png"/>
                  <wp:cNvGraphicFramePr>
                    <a:graphicFrameLocks noChangeAspect="1"/>
                  </wp:cNvGraphicFramePr>
                  <a:graphic>
                    <a:graphicData uri="http://schemas.openxmlformats.org/drawingml/2006/picture">
                      <pic:pic>
                        <pic:nvPicPr>
                          <pic:cNvPr id="414"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524" w:type="dxa"/>
          </w:tcPr>
          <w:p>
            <w:pPr>
              <w:pStyle w:val="TableParagraph"/>
              <w:spacing w:before="6"/>
              <w:rPr>
                <w:sz w:val="23"/>
              </w:rPr>
            </w:pPr>
          </w:p>
          <w:p>
            <w:pPr>
              <w:pStyle w:val="TableParagraph"/>
              <w:spacing w:line="114" w:lineRule="exact"/>
              <w:ind w:left="138"/>
              <w:rPr>
                <w:sz w:val="11"/>
              </w:rPr>
            </w:pPr>
            <w:r>
              <w:rPr>
                <w:position w:val="-1"/>
                <w:sz w:val="11"/>
              </w:rPr>
              <w:drawing>
                <wp:inline distT="0" distB="0" distL="0" distR="0">
                  <wp:extent cx="58958" cy="72866"/>
                  <wp:effectExtent l="0" t="0" r="0" b="0"/>
                  <wp:docPr id="415" name="image13.png"/>
                  <wp:cNvGraphicFramePr>
                    <a:graphicFrameLocks noChangeAspect="1"/>
                  </wp:cNvGraphicFramePr>
                  <a:graphic>
                    <a:graphicData uri="http://schemas.openxmlformats.org/drawingml/2006/picture">
                      <pic:pic>
                        <pic:nvPicPr>
                          <pic:cNvPr id="416"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137" w:type="dxa"/>
          </w:tcPr>
          <w:p>
            <w:pPr>
              <w:pStyle w:val="TableParagraph"/>
              <w:spacing w:before="6"/>
              <w:rPr>
                <w:sz w:val="23"/>
              </w:rPr>
            </w:pPr>
          </w:p>
          <w:p>
            <w:pPr>
              <w:pStyle w:val="TableParagraph"/>
              <w:spacing w:line="114" w:lineRule="exact"/>
              <w:ind w:left="410"/>
              <w:rPr>
                <w:sz w:val="11"/>
              </w:rPr>
            </w:pPr>
            <w:r>
              <w:rPr>
                <w:position w:val="-1"/>
                <w:sz w:val="11"/>
              </w:rPr>
              <w:drawing>
                <wp:inline distT="0" distB="0" distL="0" distR="0">
                  <wp:extent cx="58958" cy="72866"/>
                  <wp:effectExtent l="0" t="0" r="0" b="0"/>
                  <wp:docPr id="417" name="image13.png"/>
                  <wp:cNvGraphicFramePr>
                    <a:graphicFrameLocks noChangeAspect="1"/>
                  </wp:cNvGraphicFramePr>
                  <a:graphic>
                    <a:graphicData uri="http://schemas.openxmlformats.org/drawingml/2006/picture">
                      <pic:pic>
                        <pic:nvPicPr>
                          <pic:cNvPr id="418"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134" w:type="dxa"/>
          </w:tcPr>
          <w:p>
            <w:pPr>
              <w:pStyle w:val="TableParagraph"/>
              <w:spacing w:before="6"/>
              <w:rPr>
                <w:sz w:val="23"/>
              </w:rPr>
            </w:pPr>
          </w:p>
          <w:p>
            <w:pPr>
              <w:pStyle w:val="TableParagraph"/>
              <w:spacing w:line="114" w:lineRule="exact"/>
              <w:ind w:left="409"/>
              <w:rPr>
                <w:sz w:val="11"/>
              </w:rPr>
            </w:pPr>
            <w:r>
              <w:rPr>
                <w:position w:val="-1"/>
                <w:sz w:val="11"/>
              </w:rPr>
              <w:drawing>
                <wp:inline distT="0" distB="0" distL="0" distR="0">
                  <wp:extent cx="58958" cy="72866"/>
                  <wp:effectExtent l="0" t="0" r="0" b="0"/>
                  <wp:docPr id="419" name="image13.png"/>
                  <wp:cNvGraphicFramePr>
                    <a:graphicFrameLocks noChangeAspect="1"/>
                  </wp:cNvGraphicFramePr>
                  <a:graphic>
                    <a:graphicData uri="http://schemas.openxmlformats.org/drawingml/2006/picture">
                      <pic:pic>
                        <pic:nvPicPr>
                          <pic:cNvPr id="420"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995" w:type="dxa"/>
          </w:tcPr>
          <w:p>
            <w:pPr>
              <w:pStyle w:val="TableParagraph"/>
              <w:spacing w:before="6"/>
              <w:rPr>
                <w:sz w:val="23"/>
              </w:rPr>
            </w:pPr>
          </w:p>
          <w:p>
            <w:pPr>
              <w:pStyle w:val="TableParagraph"/>
              <w:spacing w:line="114" w:lineRule="exact"/>
              <w:ind w:left="335"/>
              <w:rPr>
                <w:sz w:val="11"/>
              </w:rPr>
            </w:pPr>
            <w:r>
              <w:rPr>
                <w:position w:val="-1"/>
                <w:sz w:val="11"/>
              </w:rPr>
              <w:drawing>
                <wp:inline distT="0" distB="0" distL="0" distR="0">
                  <wp:extent cx="58958" cy="72866"/>
                  <wp:effectExtent l="0" t="0" r="0" b="0"/>
                  <wp:docPr id="421" name="image13.png"/>
                  <wp:cNvGraphicFramePr>
                    <a:graphicFrameLocks noChangeAspect="1"/>
                  </wp:cNvGraphicFramePr>
                  <a:graphic>
                    <a:graphicData uri="http://schemas.openxmlformats.org/drawingml/2006/picture">
                      <pic:pic>
                        <pic:nvPicPr>
                          <pic:cNvPr id="422"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851" w:type="dxa"/>
          </w:tcPr>
          <w:p>
            <w:pPr>
              <w:pStyle w:val="TableParagraph"/>
              <w:spacing w:before="6"/>
              <w:rPr>
                <w:sz w:val="23"/>
              </w:rPr>
            </w:pPr>
          </w:p>
          <w:p>
            <w:pPr>
              <w:pStyle w:val="TableParagraph"/>
              <w:spacing w:line="114" w:lineRule="exact"/>
              <w:ind w:left="262"/>
              <w:rPr>
                <w:sz w:val="11"/>
              </w:rPr>
            </w:pPr>
            <w:r>
              <w:rPr>
                <w:position w:val="-1"/>
                <w:sz w:val="11"/>
              </w:rPr>
              <w:drawing>
                <wp:inline distT="0" distB="0" distL="0" distR="0">
                  <wp:extent cx="58958" cy="72866"/>
                  <wp:effectExtent l="0" t="0" r="0" b="0"/>
                  <wp:docPr id="423" name="image13.png"/>
                  <wp:cNvGraphicFramePr>
                    <a:graphicFrameLocks noChangeAspect="1"/>
                  </wp:cNvGraphicFramePr>
                  <a:graphic>
                    <a:graphicData uri="http://schemas.openxmlformats.org/drawingml/2006/picture">
                      <pic:pic>
                        <pic:nvPicPr>
                          <pic:cNvPr id="424"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278" w:type="dxa"/>
          </w:tcPr>
          <w:p>
            <w:pPr>
              <w:pStyle w:val="TableParagraph"/>
              <w:spacing w:before="6"/>
              <w:rPr>
                <w:sz w:val="23"/>
              </w:rPr>
            </w:pPr>
          </w:p>
          <w:p>
            <w:pPr>
              <w:pStyle w:val="TableParagraph"/>
              <w:spacing w:line="114" w:lineRule="exact"/>
              <w:ind w:left="474"/>
              <w:rPr>
                <w:sz w:val="11"/>
              </w:rPr>
            </w:pPr>
            <w:r>
              <w:rPr>
                <w:position w:val="-1"/>
                <w:sz w:val="11"/>
              </w:rPr>
              <w:drawing>
                <wp:inline distT="0" distB="0" distL="0" distR="0">
                  <wp:extent cx="58958" cy="72866"/>
                  <wp:effectExtent l="0" t="0" r="0" b="0"/>
                  <wp:docPr id="425" name="image13.png"/>
                  <wp:cNvGraphicFramePr>
                    <a:graphicFrameLocks noChangeAspect="1"/>
                  </wp:cNvGraphicFramePr>
                  <a:graphic>
                    <a:graphicData uri="http://schemas.openxmlformats.org/drawingml/2006/picture">
                      <pic:pic>
                        <pic:nvPicPr>
                          <pic:cNvPr id="426"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993" w:type="dxa"/>
          </w:tcPr>
          <w:p>
            <w:pPr>
              <w:pStyle w:val="TableParagraph"/>
              <w:spacing w:before="6"/>
              <w:rPr>
                <w:sz w:val="23"/>
              </w:rPr>
            </w:pPr>
          </w:p>
          <w:p>
            <w:pPr>
              <w:pStyle w:val="TableParagraph"/>
              <w:spacing w:line="114" w:lineRule="exact"/>
              <w:ind w:left="331"/>
              <w:rPr>
                <w:sz w:val="11"/>
              </w:rPr>
            </w:pPr>
            <w:r>
              <w:rPr>
                <w:position w:val="-1"/>
                <w:sz w:val="11"/>
              </w:rPr>
              <w:drawing>
                <wp:inline distT="0" distB="0" distL="0" distR="0">
                  <wp:extent cx="58958" cy="72866"/>
                  <wp:effectExtent l="0" t="0" r="0" b="0"/>
                  <wp:docPr id="427" name="image13.png"/>
                  <wp:cNvGraphicFramePr>
                    <a:graphicFrameLocks noChangeAspect="1"/>
                  </wp:cNvGraphicFramePr>
                  <a:graphic>
                    <a:graphicData uri="http://schemas.openxmlformats.org/drawingml/2006/picture">
                      <pic:pic>
                        <pic:nvPicPr>
                          <pic:cNvPr id="428"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992" w:type="dxa"/>
          </w:tcPr>
          <w:p>
            <w:pPr>
              <w:pStyle w:val="TableParagraph"/>
              <w:spacing w:before="6"/>
              <w:rPr>
                <w:sz w:val="23"/>
              </w:rPr>
            </w:pPr>
          </w:p>
          <w:p>
            <w:pPr>
              <w:pStyle w:val="TableParagraph"/>
              <w:spacing w:line="114" w:lineRule="exact"/>
              <w:ind w:left="330"/>
              <w:rPr>
                <w:sz w:val="11"/>
              </w:rPr>
            </w:pPr>
            <w:r>
              <w:rPr>
                <w:position w:val="-1"/>
                <w:sz w:val="11"/>
              </w:rPr>
              <w:drawing>
                <wp:inline distT="0" distB="0" distL="0" distR="0">
                  <wp:extent cx="58958" cy="72866"/>
                  <wp:effectExtent l="0" t="0" r="0" b="0"/>
                  <wp:docPr id="429" name="image13.png"/>
                  <wp:cNvGraphicFramePr>
                    <a:graphicFrameLocks noChangeAspect="1"/>
                  </wp:cNvGraphicFramePr>
                  <a:graphic>
                    <a:graphicData uri="http://schemas.openxmlformats.org/drawingml/2006/picture">
                      <pic:pic>
                        <pic:nvPicPr>
                          <pic:cNvPr id="430"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000" w:type="dxa"/>
          </w:tcPr>
          <w:p>
            <w:pPr>
              <w:pStyle w:val="TableParagraph"/>
              <w:spacing w:before="6"/>
              <w:rPr>
                <w:sz w:val="23"/>
              </w:rPr>
            </w:pPr>
          </w:p>
          <w:p>
            <w:pPr>
              <w:pStyle w:val="TableParagraph"/>
              <w:spacing w:line="114" w:lineRule="exact"/>
              <w:ind w:left="331"/>
              <w:rPr>
                <w:sz w:val="11"/>
              </w:rPr>
            </w:pPr>
            <w:r>
              <w:rPr>
                <w:position w:val="-1"/>
                <w:sz w:val="11"/>
              </w:rPr>
              <w:drawing>
                <wp:inline distT="0" distB="0" distL="0" distR="0">
                  <wp:extent cx="58958" cy="72866"/>
                  <wp:effectExtent l="0" t="0" r="0" b="0"/>
                  <wp:docPr id="431" name="image13.png"/>
                  <wp:cNvGraphicFramePr>
                    <a:graphicFrameLocks noChangeAspect="1"/>
                  </wp:cNvGraphicFramePr>
                  <a:graphic>
                    <a:graphicData uri="http://schemas.openxmlformats.org/drawingml/2006/picture">
                      <pic:pic>
                        <pic:nvPicPr>
                          <pic:cNvPr id="432"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r>
      <w:tr>
        <w:trPr>
          <w:trHeight w:val="661" w:hRule="atLeast"/>
        </w:trPr>
        <w:tc>
          <w:tcPr>
            <w:tcW w:w="1400" w:type="dxa"/>
          </w:tcPr>
          <w:p>
            <w:pPr>
              <w:pStyle w:val="TableParagraph"/>
              <w:spacing w:line="220" w:lineRule="exact"/>
              <w:ind w:left="172" w:right="275"/>
              <w:rPr>
                <w:sz w:val="18"/>
              </w:rPr>
            </w:pPr>
            <w:r>
              <w:rPr>
                <w:sz w:val="18"/>
              </w:rPr>
              <w:t>Other</w:t>
            </w:r>
            <w:r>
              <w:rPr>
                <w:spacing w:val="1"/>
                <w:sz w:val="18"/>
              </w:rPr>
              <w:t> </w:t>
            </w:r>
            <w:r>
              <w:rPr>
                <w:sz w:val="18"/>
              </w:rPr>
              <w:t>system/</w:t>
            </w:r>
            <w:r>
              <w:rPr>
                <w:spacing w:val="1"/>
                <w:sz w:val="18"/>
              </w:rPr>
              <w:t> </w:t>
            </w:r>
            <w:r>
              <w:rPr>
                <w:sz w:val="18"/>
              </w:rPr>
              <w:t>guide</w:t>
            </w:r>
            <w:r>
              <w:rPr>
                <w:spacing w:val="-9"/>
                <w:sz w:val="18"/>
              </w:rPr>
              <w:t> </w:t>
            </w:r>
            <w:r>
              <w:rPr>
                <w:sz w:val="18"/>
              </w:rPr>
              <w:t>6</w:t>
            </w:r>
            <w:r>
              <w:rPr>
                <w:spacing w:val="-7"/>
                <w:sz w:val="18"/>
              </w:rPr>
              <w:t> </w:t>
            </w:r>
            <w:r>
              <w:rPr>
                <w:sz w:val="18"/>
              </w:rPr>
              <w:t>(9)</w:t>
            </w:r>
          </w:p>
        </w:tc>
        <w:tc>
          <w:tcPr>
            <w:tcW w:w="483" w:type="dxa"/>
          </w:tcPr>
          <w:p>
            <w:pPr>
              <w:pStyle w:val="TableParagraph"/>
              <w:spacing w:before="6"/>
              <w:rPr>
                <w:sz w:val="23"/>
              </w:rPr>
            </w:pPr>
          </w:p>
          <w:p>
            <w:pPr>
              <w:pStyle w:val="TableParagraph"/>
              <w:spacing w:line="114" w:lineRule="exact"/>
              <w:ind w:left="138"/>
              <w:rPr>
                <w:sz w:val="11"/>
              </w:rPr>
            </w:pPr>
            <w:r>
              <w:rPr>
                <w:position w:val="-1"/>
                <w:sz w:val="11"/>
              </w:rPr>
              <w:drawing>
                <wp:inline distT="0" distB="0" distL="0" distR="0">
                  <wp:extent cx="58958" cy="72866"/>
                  <wp:effectExtent l="0" t="0" r="0" b="0"/>
                  <wp:docPr id="433" name="image13.png"/>
                  <wp:cNvGraphicFramePr>
                    <a:graphicFrameLocks noChangeAspect="1"/>
                  </wp:cNvGraphicFramePr>
                  <a:graphic>
                    <a:graphicData uri="http://schemas.openxmlformats.org/drawingml/2006/picture">
                      <pic:pic>
                        <pic:nvPicPr>
                          <pic:cNvPr id="434"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524" w:type="dxa"/>
          </w:tcPr>
          <w:p>
            <w:pPr>
              <w:pStyle w:val="TableParagraph"/>
              <w:spacing w:before="6"/>
              <w:rPr>
                <w:sz w:val="23"/>
              </w:rPr>
            </w:pPr>
          </w:p>
          <w:p>
            <w:pPr>
              <w:pStyle w:val="TableParagraph"/>
              <w:spacing w:line="114" w:lineRule="exact"/>
              <w:ind w:left="138"/>
              <w:rPr>
                <w:sz w:val="11"/>
              </w:rPr>
            </w:pPr>
            <w:r>
              <w:rPr>
                <w:position w:val="-1"/>
                <w:sz w:val="11"/>
              </w:rPr>
              <w:drawing>
                <wp:inline distT="0" distB="0" distL="0" distR="0">
                  <wp:extent cx="58958" cy="72866"/>
                  <wp:effectExtent l="0" t="0" r="0" b="0"/>
                  <wp:docPr id="435" name="image13.png"/>
                  <wp:cNvGraphicFramePr>
                    <a:graphicFrameLocks noChangeAspect="1"/>
                  </wp:cNvGraphicFramePr>
                  <a:graphic>
                    <a:graphicData uri="http://schemas.openxmlformats.org/drawingml/2006/picture">
                      <pic:pic>
                        <pic:nvPicPr>
                          <pic:cNvPr id="436"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137" w:type="dxa"/>
          </w:tcPr>
          <w:p>
            <w:pPr>
              <w:pStyle w:val="TableParagraph"/>
              <w:spacing w:before="6"/>
              <w:rPr>
                <w:sz w:val="23"/>
              </w:rPr>
            </w:pPr>
          </w:p>
          <w:p>
            <w:pPr>
              <w:pStyle w:val="TableParagraph"/>
              <w:spacing w:line="114" w:lineRule="exact"/>
              <w:ind w:left="410"/>
              <w:rPr>
                <w:sz w:val="11"/>
              </w:rPr>
            </w:pPr>
            <w:r>
              <w:rPr>
                <w:position w:val="-1"/>
                <w:sz w:val="11"/>
              </w:rPr>
              <w:drawing>
                <wp:inline distT="0" distB="0" distL="0" distR="0">
                  <wp:extent cx="58958" cy="72866"/>
                  <wp:effectExtent l="0" t="0" r="0" b="0"/>
                  <wp:docPr id="437" name="image13.png"/>
                  <wp:cNvGraphicFramePr>
                    <a:graphicFrameLocks noChangeAspect="1"/>
                  </wp:cNvGraphicFramePr>
                  <a:graphic>
                    <a:graphicData uri="http://schemas.openxmlformats.org/drawingml/2006/picture">
                      <pic:pic>
                        <pic:nvPicPr>
                          <pic:cNvPr id="438"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134" w:type="dxa"/>
          </w:tcPr>
          <w:p>
            <w:pPr>
              <w:pStyle w:val="TableParagraph"/>
              <w:spacing w:before="6"/>
              <w:rPr>
                <w:sz w:val="23"/>
              </w:rPr>
            </w:pPr>
          </w:p>
          <w:p>
            <w:pPr>
              <w:pStyle w:val="TableParagraph"/>
              <w:spacing w:line="114" w:lineRule="exact"/>
              <w:ind w:left="409"/>
              <w:rPr>
                <w:sz w:val="11"/>
              </w:rPr>
            </w:pPr>
            <w:r>
              <w:rPr>
                <w:position w:val="-1"/>
                <w:sz w:val="11"/>
              </w:rPr>
              <w:drawing>
                <wp:inline distT="0" distB="0" distL="0" distR="0">
                  <wp:extent cx="58958" cy="72866"/>
                  <wp:effectExtent l="0" t="0" r="0" b="0"/>
                  <wp:docPr id="439" name="image13.png"/>
                  <wp:cNvGraphicFramePr>
                    <a:graphicFrameLocks noChangeAspect="1"/>
                  </wp:cNvGraphicFramePr>
                  <a:graphic>
                    <a:graphicData uri="http://schemas.openxmlformats.org/drawingml/2006/picture">
                      <pic:pic>
                        <pic:nvPicPr>
                          <pic:cNvPr id="440"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995" w:type="dxa"/>
          </w:tcPr>
          <w:p>
            <w:pPr>
              <w:pStyle w:val="TableParagraph"/>
              <w:spacing w:before="6"/>
              <w:rPr>
                <w:sz w:val="23"/>
              </w:rPr>
            </w:pPr>
          </w:p>
          <w:p>
            <w:pPr>
              <w:pStyle w:val="TableParagraph"/>
              <w:spacing w:line="114" w:lineRule="exact"/>
              <w:ind w:left="335"/>
              <w:rPr>
                <w:sz w:val="11"/>
              </w:rPr>
            </w:pPr>
            <w:r>
              <w:rPr>
                <w:position w:val="-1"/>
                <w:sz w:val="11"/>
              </w:rPr>
              <w:drawing>
                <wp:inline distT="0" distB="0" distL="0" distR="0">
                  <wp:extent cx="58958" cy="72866"/>
                  <wp:effectExtent l="0" t="0" r="0" b="0"/>
                  <wp:docPr id="441" name="image13.png"/>
                  <wp:cNvGraphicFramePr>
                    <a:graphicFrameLocks noChangeAspect="1"/>
                  </wp:cNvGraphicFramePr>
                  <a:graphic>
                    <a:graphicData uri="http://schemas.openxmlformats.org/drawingml/2006/picture">
                      <pic:pic>
                        <pic:nvPicPr>
                          <pic:cNvPr id="442"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851" w:type="dxa"/>
          </w:tcPr>
          <w:p>
            <w:pPr>
              <w:pStyle w:val="TableParagraph"/>
              <w:spacing w:before="6"/>
              <w:rPr>
                <w:sz w:val="23"/>
              </w:rPr>
            </w:pPr>
          </w:p>
          <w:p>
            <w:pPr>
              <w:pStyle w:val="TableParagraph"/>
              <w:spacing w:line="114" w:lineRule="exact"/>
              <w:ind w:left="262"/>
              <w:rPr>
                <w:sz w:val="11"/>
              </w:rPr>
            </w:pPr>
            <w:r>
              <w:rPr>
                <w:position w:val="-1"/>
                <w:sz w:val="11"/>
              </w:rPr>
              <w:drawing>
                <wp:inline distT="0" distB="0" distL="0" distR="0">
                  <wp:extent cx="58958" cy="72866"/>
                  <wp:effectExtent l="0" t="0" r="0" b="0"/>
                  <wp:docPr id="443" name="image13.png"/>
                  <wp:cNvGraphicFramePr>
                    <a:graphicFrameLocks noChangeAspect="1"/>
                  </wp:cNvGraphicFramePr>
                  <a:graphic>
                    <a:graphicData uri="http://schemas.openxmlformats.org/drawingml/2006/picture">
                      <pic:pic>
                        <pic:nvPicPr>
                          <pic:cNvPr id="444"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278" w:type="dxa"/>
          </w:tcPr>
          <w:p>
            <w:pPr>
              <w:pStyle w:val="TableParagraph"/>
              <w:spacing w:before="6"/>
              <w:rPr>
                <w:sz w:val="23"/>
              </w:rPr>
            </w:pPr>
          </w:p>
          <w:p>
            <w:pPr>
              <w:pStyle w:val="TableParagraph"/>
              <w:spacing w:line="114" w:lineRule="exact"/>
              <w:ind w:left="474"/>
              <w:rPr>
                <w:sz w:val="11"/>
              </w:rPr>
            </w:pPr>
            <w:r>
              <w:rPr>
                <w:position w:val="-1"/>
                <w:sz w:val="11"/>
              </w:rPr>
              <w:drawing>
                <wp:inline distT="0" distB="0" distL="0" distR="0">
                  <wp:extent cx="58958" cy="72866"/>
                  <wp:effectExtent l="0" t="0" r="0" b="0"/>
                  <wp:docPr id="445" name="image13.png"/>
                  <wp:cNvGraphicFramePr>
                    <a:graphicFrameLocks noChangeAspect="1"/>
                  </wp:cNvGraphicFramePr>
                  <a:graphic>
                    <a:graphicData uri="http://schemas.openxmlformats.org/drawingml/2006/picture">
                      <pic:pic>
                        <pic:nvPicPr>
                          <pic:cNvPr id="446"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993" w:type="dxa"/>
          </w:tcPr>
          <w:p>
            <w:pPr>
              <w:pStyle w:val="TableParagraph"/>
              <w:spacing w:before="6"/>
              <w:rPr>
                <w:sz w:val="23"/>
              </w:rPr>
            </w:pPr>
          </w:p>
          <w:p>
            <w:pPr>
              <w:pStyle w:val="TableParagraph"/>
              <w:spacing w:line="114" w:lineRule="exact"/>
              <w:ind w:left="331"/>
              <w:rPr>
                <w:sz w:val="11"/>
              </w:rPr>
            </w:pPr>
            <w:r>
              <w:rPr>
                <w:position w:val="-1"/>
                <w:sz w:val="11"/>
              </w:rPr>
              <w:drawing>
                <wp:inline distT="0" distB="0" distL="0" distR="0">
                  <wp:extent cx="58958" cy="72866"/>
                  <wp:effectExtent l="0" t="0" r="0" b="0"/>
                  <wp:docPr id="447" name="image13.png"/>
                  <wp:cNvGraphicFramePr>
                    <a:graphicFrameLocks noChangeAspect="1"/>
                  </wp:cNvGraphicFramePr>
                  <a:graphic>
                    <a:graphicData uri="http://schemas.openxmlformats.org/drawingml/2006/picture">
                      <pic:pic>
                        <pic:nvPicPr>
                          <pic:cNvPr id="448"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992" w:type="dxa"/>
          </w:tcPr>
          <w:p>
            <w:pPr>
              <w:pStyle w:val="TableParagraph"/>
              <w:spacing w:before="6"/>
              <w:rPr>
                <w:sz w:val="23"/>
              </w:rPr>
            </w:pPr>
          </w:p>
          <w:p>
            <w:pPr>
              <w:pStyle w:val="TableParagraph"/>
              <w:spacing w:line="114" w:lineRule="exact"/>
              <w:ind w:left="330"/>
              <w:rPr>
                <w:sz w:val="11"/>
              </w:rPr>
            </w:pPr>
            <w:r>
              <w:rPr>
                <w:position w:val="-1"/>
                <w:sz w:val="11"/>
              </w:rPr>
              <w:drawing>
                <wp:inline distT="0" distB="0" distL="0" distR="0">
                  <wp:extent cx="58958" cy="72866"/>
                  <wp:effectExtent l="0" t="0" r="0" b="0"/>
                  <wp:docPr id="449" name="image13.png"/>
                  <wp:cNvGraphicFramePr>
                    <a:graphicFrameLocks noChangeAspect="1"/>
                  </wp:cNvGraphicFramePr>
                  <a:graphic>
                    <a:graphicData uri="http://schemas.openxmlformats.org/drawingml/2006/picture">
                      <pic:pic>
                        <pic:nvPicPr>
                          <pic:cNvPr id="450"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000" w:type="dxa"/>
          </w:tcPr>
          <w:p>
            <w:pPr>
              <w:pStyle w:val="TableParagraph"/>
              <w:spacing w:before="6"/>
              <w:rPr>
                <w:sz w:val="23"/>
              </w:rPr>
            </w:pPr>
          </w:p>
          <w:p>
            <w:pPr>
              <w:pStyle w:val="TableParagraph"/>
              <w:spacing w:line="114" w:lineRule="exact"/>
              <w:ind w:left="331"/>
              <w:rPr>
                <w:sz w:val="11"/>
              </w:rPr>
            </w:pPr>
            <w:r>
              <w:rPr>
                <w:position w:val="-1"/>
                <w:sz w:val="11"/>
              </w:rPr>
              <w:drawing>
                <wp:inline distT="0" distB="0" distL="0" distR="0">
                  <wp:extent cx="58958" cy="72866"/>
                  <wp:effectExtent l="0" t="0" r="0" b="0"/>
                  <wp:docPr id="451" name="image13.png"/>
                  <wp:cNvGraphicFramePr>
                    <a:graphicFrameLocks noChangeAspect="1"/>
                  </wp:cNvGraphicFramePr>
                  <a:graphic>
                    <a:graphicData uri="http://schemas.openxmlformats.org/drawingml/2006/picture">
                      <pic:pic>
                        <pic:nvPicPr>
                          <pic:cNvPr id="452"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r>
      <w:tr>
        <w:trPr>
          <w:trHeight w:val="662" w:hRule="atLeast"/>
        </w:trPr>
        <w:tc>
          <w:tcPr>
            <w:tcW w:w="1400" w:type="dxa"/>
          </w:tcPr>
          <w:p>
            <w:pPr>
              <w:pStyle w:val="TableParagraph"/>
              <w:ind w:left="172" w:right="543"/>
              <w:rPr>
                <w:sz w:val="18"/>
              </w:rPr>
            </w:pPr>
            <w:r>
              <w:rPr>
                <w:sz w:val="18"/>
              </w:rPr>
              <w:t>Other</w:t>
            </w:r>
            <w:r>
              <w:rPr>
                <w:spacing w:val="1"/>
                <w:sz w:val="18"/>
              </w:rPr>
              <w:t> </w:t>
            </w:r>
            <w:r>
              <w:rPr>
                <w:spacing w:val="-1"/>
                <w:sz w:val="18"/>
              </w:rPr>
              <w:t>system/</w:t>
            </w:r>
          </w:p>
          <w:p>
            <w:pPr>
              <w:pStyle w:val="TableParagraph"/>
              <w:spacing w:line="202" w:lineRule="exact"/>
              <w:ind w:left="172"/>
              <w:rPr>
                <w:sz w:val="18"/>
              </w:rPr>
            </w:pPr>
            <w:r>
              <w:rPr>
                <w:sz w:val="18"/>
              </w:rPr>
              <w:t>guide</w:t>
            </w:r>
            <w:r>
              <w:rPr>
                <w:spacing w:val="-3"/>
                <w:sz w:val="18"/>
              </w:rPr>
              <w:t> </w:t>
            </w:r>
            <w:r>
              <w:rPr>
                <w:sz w:val="18"/>
              </w:rPr>
              <w:t>7</w:t>
            </w:r>
            <w:r>
              <w:rPr>
                <w:spacing w:val="-2"/>
                <w:sz w:val="18"/>
              </w:rPr>
              <w:t> </w:t>
            </w:r>
            <w:r>
              <w:rPr>
                <w:sz w:val="18"/>
              </w:rPr>
              <w:t>(10)</w:t>
            </w:r>
          </w:p>
        </w:tc>
        <w:tc>
          <w:tcPr>
            <w:tcW w:w="483" w:type="dxa"/>
          </w:tcPr>
          <w:p>
            <w:pPr>
              <w:pStyle w:val="TableParagraph"/>
              <w:spacing w:before="6"/>
              <w:rPr>
                <w:sz w:val="23"/>
              </w:rPr>
            </w:pPr>
          </w:p>
          <w:p>
            <w:pPr>
              <w:pStyle w:val="TableParagraph"/>
              <w:spacing w:line="114" w:lineRule="exact"/>
              <w:ind w:left="138"/>
              <w:rPr>
                <w:sz w:val="11"/>
              </w:rPr>
            </w:pPr>
            <w:r>
              <w:rPr>
                <w:position w:val="-1"/>
                <w:sz w:val="11"/>
              </w:rPr>
              <w:drawing>
                <wp:inline distT="0" distB="0" distL="0" distR="0">
                  <wp:extent cx="58958" cy="72866"/>
                  <wp:effectExtent l="0" t="0" r="0" b="0"/>
                  <wp:docPr id="453" name="image13.png"/>
                  <wp:cNvGraphicFramePr>
                    <a:graphicFrameLocks noChangeAspect="1"/>
                  </wp:cNvGraphicFramePr>
                  <a:graphic>
                    <a:graphicData uri="http://schemas.openxmlformats.org/drawingml/2006/picture">
                      <pic:pic>
                        <pic:nvPicPr>
                          <pic:cNvPr id="454"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524" w:type="dxa"/>
          </w:tcPr>
          <w:p>
            <w:pPr>
              <w:pStyle w:val="TableParagraph"/>
              <w:spacing w:before="6"/>
              <w:rPr>
                <w:sz w:val="23"/>
              </w:rPr>
            </w:pPr>
          </w:p>
          <w:p>
            <w:pPr>
              <w:pStyle w:val="TableParagraph"/>
              <w:spacing w:line="114" w:lineRule="exact"/>
              <w:ind w:left="138"/>
              <w:rPr>
                <w:sz w:val="11"/>
              </w:rPr>
            </w:pPr>
            <w:r>
              <w:rPr>
                <w:position w:val="-1"/>
                <w:sz w:val="11"/>
              </w:rPr>
              <w:drawing>
                <wp:inline distT="0" distB="0" distL="0" distR="0">
                  <wp:extent cx="58958" cy="72866"/>
                  <wp:effectExtent l="0" t="0" r="0" b="0"/>
                  <wp:docPr id="455" name="image13.png"/>
                  <wp:cNvGraphicFramePr>
                    <a:graphicFrameLocks noChangeAspect="1"/>
                  </wp:cNvGraphicFramePr>
                  <a:graphic>
                    <a:graphicData uri="http://schemas.openxmlformats.org/drawingml/2006/picture">
                      <pic:pic>
                        <pic:nvPicPr>
                          <pic:cNvPr id="456"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137" w:type="dxa"/>
          </w:tcPr>
          <w:p>
            <w:pPr>
              <w:pStyle w:val="TableParagraph"/>
              <w:spacing w:before="6"/>
              <w:rPr>
                <w:sz w:val="23"/>
              </w:rPr>
            </w:pPr>
          </w:p>
          <w:p>
            <w:pPr>
              <w:pStyle w:val="TableParagraph"/>
              <w:spacing w:line="114" w:lineRule="exact"/>
              <w:ind w:left="410"/>
              <w:rPr>
                <w:sz w:val="11"/>
              </w:rPr>
            </w:pPr>
            <w:r>
              <w:rPr>
                <w:position w:val="-1"/>
                <w:sz w:val="11"/>
              </w:rPr>
              <w:drawing>
                <wp:inline distT="0" distB="0" distL="0" distR="0">
                  <wp:extent cx="58958" cy="72866"/>
                  <wp:effectExtent l="0" t="0" r="0" b="0"/>
                  <wp:docPr id="457" name="image13.png"/>
                  <wp:cNvGraphicFramePr>
                    <a:graphicFrameLocks noChangeAspect="1"/>
                  </wp:cNvGraphicFramePr>
                  <a:graphic>
                    <a:graphicData uri="http://schemas.openxmlformats.org/drawingml/2006/picture">
                      <pic:pic>
                        <pic:nvPicPr>
                          <pic:cNvPr id="458"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134" w:type="dxa"/>
          </w:tcPr>
          <w:p>
            <w:pPr>
              <w:pStyle w:val="TableParagraph"/>
              <w:spacing w:before="6"/>
              <w:rPr>
                <w:sz w:val="23"/>
              </w:rPr>
            </w:pPr>
          </w:p>
          <w:p>
            <w:pPr>
              <w:pStyle w:val="TableParagraph"/>
              <w:spacing w:line="114" w:lineRule="exact"/>
              <w:ind w:left="409"/>
              <w:rPr>
                <w:sz w:val="11"/>
              </w:rPr>
            </w:pPr>
            <w:r>
              <w:rPr>
                <w:position w:val="-1"/>
                <w:sz w:val="11"/>
              </w:rPr>
              <w:drawing>
                <wp:inline distT="0" distB="0" distL="0" distR="0">
                  <wp:extent cx="58958" cy="72866"/>
                  <wp:effectExtent l="0" t="0" r="0" b="0"/>
                  <wp:docPr id="459" name="image13.png"/>
                  <wp:cNvGraphicFramePr>
                    <a:graphicFrameLocks noChangeAspect="1"/>
                  </wp:cNvGraphicFramePr>
                  <a:graphic>
                    <a:graphicData uri="http://schemas.openxmlformats.org/drawingml/2006/picture">
                      <pic:pic>
                        <pic:nvPicPr>
                          <pic:cNvPr id="460"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995" w:type="dxa"/>
          </w:tcPr>
          <w:p>
            <w:pPr>
              <w:pStyle w:val="TableParagraph"/>
              <w:spacing w:before="6"/>
              <w:rPr>
                <w:sz w:val="23"/>
              </w:rPr>
            </w:pPr>
          </w:p>
          <w:p>
            <w:pPr>
              <w:pStyle w:val="TableParagraph"/>
              <w:spacing w:line="114" w:lineRule="exact"/>
              <w:ind w:left="335"/>
              <w:rPr>
                <w:sz w:val="11"/>
              </w:rPr>
            </w:pPr>
            <w:r>
              <w:rPr>
                <w:position w:val="-1"/>
                <w:sz w:val="11"/>
              </w:rPr>
              <w:drawing>
                <wp:inline distT="0" distB="0" distL="0" distR="0">
                  <wp:extent cx="58958" cy="72866"/>
                  <wp:effectExtent l="0" t="0" r="0" b="0"/>
                  <wp:docPr id="461" name="image13.png"/>
                  <wp:cNvGraphicFramePr>
                    <a:graphicFrameLocks noChangeAspect="1"/>
                  </wp:cNvGraphicFramePr>
                  <a:graphic>
                    <a:graphicData uri="http://schemas.openxmlformats.org/drawingml/2006/picture">
                      <pic:pic>
                        <pic:nvPicPr>
                          <pic:cNvPr id="462"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851" w:type="dxa"/>
          </w:tcPr>
          <w:p>
            <w:pPr>
              <w:pStyle w:val="TableParagraph"/>
              <w:spacing w:before="6"/>
              <w:rPr>
                <w:sz w:val="23"/>
              </w:rPr>
            </w:pPr>
          </w:p>
          <w:p>
            <w:pPr>
              <w:pStyle w:val="TableParagraph"/>
              <w:spacing w:line="114" w:lineRule="exact"/>
              <w:ind w:left="262"/>
              <w:rPr>
                <w:sz w:val="11"/>
              </w:rPr>
            </w:pPr>
            <w:r>
              <w:rPr>
                <w:position w:val="-1"/>
                <w:sz w:val="11"/>
              </w:rPr>
              <w:drawing>
                <wp:inline distT="0" distB="0" distL="0" distR="0">
                  <wp:extent cx="58958" cy="72866"/>
                  <wp:effectExtent l="0" t="0" r="0" b="0"/>
                  <wp:docPr id="463" name="image13.png"/>
                  <wp:cNvGraphicFramePr>
                    <a:graphicFrameLocks noChangeAspect="1"/>
                  </wp:cNvGraphicFramePr>
                  <a:graphic>
                    <a:graphicData uri="http://schemas.openxmlformats.org/drawingml/2006/picture">
                      <pic:pic>
                        <pic:nvPicPr>
                          <pic:cNvPr id="464"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278" w:type="dxa"/>
          </w:tcPr>
          <w:p>
            <w:pPr>
              <w:pStyle w:val="TableParagraph"/>
              <w:spacing w:before="6"/>
              <w:rPr>
                <w:sz w:val="23"/>
              </w:rPr>
            </w:pPr>
          </w:p>
          <w:p>
            <w:pPr>
              <w:pStyle w:val="TableParagraph"/>
              <w:spacing w:line="114" w:lineRule="exact"/>
              <w:ind w:left="474"/>
              <w:rPr>
                <w:sz w:val="11"/>
              </w:rPr>
            </w:pPr>
            <w:r>
              <w:rPr>
                <w:position w:val="-1"/>
                <w:sz w:val="11"/>
              </w:rPr>
              <w:drawing>
                <wp:inline distT="0" distB="0" distL="0" distR="0">
                  <wp:extent cx="58958" cy="72866"/>
                  <wp:effectExtent l="0" t="0" r="0" b="0"/>
                  <wp:docPr id="465" name="image13.png"/>
                  <wp:cNvGraphicFramePr>
                    <a:graphicFrameLocks noChangeAspect="1"/>
                  </wp:cNvGraphicFramePr>
                  <a:graphic>
                    <a:graphicData uri="http://schemas.openxmlformats.org/drawingml/2006/picture">
                      <pic:pic>
                        <pic:nvPicPr>
                          <pic:cNvPr id="466"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993" w:type="dxa"/>
          </w:tcPr>
          <w:p>
            <w:pPr>
              <w:pStyle w:val="TableParagraph"/>
              <w:spacing w:before="6"/>
              <w:rPr>
                <w:sz w:val="23"/>
              </w:rPr>
            </w:pPr>
          </w:p>
          <w:p>
            <w:pPr>
              <w:pStyle w:val="TableParagraph"/>
              <w:spacing w:line="114" w:lineRule="exact"/>
              <w:ind w:left="331"/>
              <w:rPr>
                <w:sz w:val="11"/>
              </w:rPr>
            </w:pPr>
            <w:r>
              <w:rPr>
                <w:position w:val="-1"/>
                <w:sz w:val="11"/>
              </w:rPr>
              <w:drawing>
                <wp:inline distT="0" distB="0" distL="0" distR="0">
                  <wp:extent cx="58958" cy="72866"/>
                  <wp:effectExtent l="0" t="0" r="0" b="0"/>
                  <wp:docPr id="467" name="image13.png"/>
                  <wp:cNvGraphicFramePr>
                    <a:graphicFrameLocks noChangeAspect="1"/>
                  </wp:cNvGraphicFramePr>
                  <a:graphic>
                    <a:graphicData uri="http://schemas.openxmlformats.org/drawingml/2006/picture">
                      <pic:pic>
                        <pic:nvPicPr>
                          <pic:cNvPr id="468"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992" w:type="dxa"/>
          </w:tcPr>
          <w:p>
            <w:pPr>
              <w:pStyle w:val="TableParagraph"/>
              <w:spacing w:before="6"/>
              <w:rPr>
                <w:sz w:val="23"/>
              </w:rPr>
            </w:pPr>
          </w:p>
          <w:p>
            <w:pPr>
              <w:pStyle w:val="TableParagraph"/>
              <w:spacing w:line="114" w:lineRule="exact"/>
              <w:ind w:left="330"/>
              <w:rPr>
                <w:sz w:val="11"/>
              </w:rPr>
            </w:pPr>
            <w:r>
              <w:rPr>
                <w:position w:val="-1"/>
                <w:sz w:val="11"/>
              </w:rPr>
              <w:drawing>
                <wp:inline distT="0" distB="0" distL="0" distR="0">
                  <wp:extent cx="58958" cy="72866"/>
                  <wp:effectExtent l="0" t="0" r="0" b="0"/>
                  <wp:docPr id="469" name="image13.png"/>
                  <wp:cNvGraphicFramePr>
                    <a:graphicFrameLocks noChangeAspect="1"/>
                  </wp:cNvGraphicFramePr>
                  <a:graphic>
                    <a:graphicData uri="http://schemas.openxmlformats.org/drawingml/2006/picture">
                      <pic:pic>
                        <pic:nvPicPr>
                          <pic:cNvPr id="470"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000" w:type="dxa"/>
          </w:tcPr>
          <w:p>
            <w:pPr>
              <w:pStyle w:val="TableParagraph"/>
              <w:spacing w:before="6"/>
              <w:rPr>
                <w:sz w:val="23"/>
              </w:rPr>
            </w:pPr>
          </w:p>
          <w:p>
            <w:pPr>
              <w:pStyle w:val="TableParagraph"/>
              <w:spacing w:line="114" w:lineRule="exact"/>
              <w:ind w:left="331"/>
              <w:rPr>
                <w:sz w:val="11"/>
              </w:rPr>
            </w:pPr>
            <w:r>
              <w:rPr>
                <w:position w:val="-1"/>
                <w:sz w:val="11"/>
              </w:rPr>
              <w:drawing>
                <wp:inline distT="0" distB="0" distL="0" distR="0">
                  <wp:extent cx="58958" cy="72866"/>
                  <wp:effectExtent l="0" t="0" r="0" b="0"/>
                  <wp:docPr id="471" name="image13.png"/>
                  <wp:cNvGraphicFramePr>
                    <a:graphicFrameLocks noChangeAspect="1"/>
                  </wp:cNvGraphicFramePr>
                  <a:graphic>
                    <a:graphicData uri="http://schemas.openxmlformats.org/drawingml/2006/picture">
                      <pic:pic>
                        <pic:nvPicPr>
                          <pic:cNvPr id="472"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r>
    </w:tbl>
    <w:p>
      <w:pPr>
        <w:pStyle w:val="BodyText"/>
        <w:spacing w:before="11"/>
        <w:rPr>
          <w:sz w:val="19"/>
        </w:rPr>
      </w:pPr>
    </w:p>
    <w:p>
      <w:pPr>
        <w:pStyle w:val="ListParagraph"/>
        <w:numPr>
          <w:ilvl w:val="0"/>
          <w:numId w:val="41"/>
        </w:numPr>
        <w:tabs>
          <w:tab w:pos="568" w:val="left" w:leader="none"/>
        </w:tabs>
        <w:spacing w:line="240" w:lineRule="auto" w:before="0" w:after="0"/>
        <w:ind w:left="567" w:right="1189" w:hanging="428"/>
        <w:jc w:val="left"/>
        <w:rPr>
          <w:sz w:val="18"/>
        </w:rPr>
      </w:pPr>
      <w:r>
        <w:rPr>
          <w:sz w:val="18"/>
        </w:rPr>
        <w:t>Please provide any further comments that would allow us to better understand systems/guides used by the</w:t>
      </w:r>
      <w:r>
        <w:rPr>
          <w:spacing w:val="-47"/>
          <w:sz w:val="18"/>
        </w:rPr>
        <w:t> </w:t>
      </w:r>
      <w:r>
        <w:rPr>
          <w:sz w:val="18"/>
        </w:rPr>
        <w:t>practice/service</w:t>
      </w:r>
      <w:r>
        <w:rPr>
          <w:spacing w:val="-1"/>
          <w:sz w:val="18"/>
        </w:rPr>
        <w:t> </w:t>
      </w:r>
      <w:r>
        <w:rPr>
          <w:sz w:val="18"/>
        </w:rPr>
        <w:t>for the</w:t>
      </w:r>
      <w:r>
        <w:rPr>
          <w:spacing w:val="-2"/>
          <w:sz w:val="18"/>
        </w:rPr>
        <w:t> </w:t>
      </w:r>
      <w:r>
        <w:rPr>
          <w:sz w:val="18"/>
        </w:rPr>
        <w:t>conditions listed</w:t>
      </w:r>
      <w:r>
        <w:rPr>
          <w:spacing w:val="-1"/>
          <w:sz w:val="18"/>
        </w:rPr>
        <w:t> </w:t>
      </w:r>
      <w:r>
        <w:rPr>
          <w:sz w:val="18"/>
        </w:rPr>
        <w:t>above.</w:t>
      </w:r>
    </w:p>
    <w:p>
      <w:pPr>
        <w:spacing w:after="0" w:line="240" w:lineRule="auto"/>
        <w:jc w:val="left"/>
        <w:rPr>
          <w:sz w:val="18"/>
        </w:rPr>
        <w:sectPr>
          <w:pgSz w:w="11910" w:h="16840"/>
          <w:pgMar w:header="0" w:footer="906" w:top="860" w:bottom="1140" w:left="580" w:right="280"/>
        </w:sectPr>
      </w:pPr>
    </w:p>
    <w:p>
      <w:pPr>
        <w:pStyle w:val="ListParagraph"/>
        <w:numPr>
          <w:ilvl w:val="0"/>
          <w:numId w:val="41"/>
        </w:numPr>
        <w:tabs>
          <w:tab w:pos="568" w:val="left" w:leader="none"/>
        </w:tabs>
        <w:spacing w:line="240" w:lineRule="auto" w:before="75" w:after="0"/>
        <w:ind w:left="567" w:right="674" w:hanging="428"/>
        <w:jc w:val="left"/>
        <w:rPr>
          <w:sz w:val="18"/>
        </w:rPr>
      </w:pPr>
      <w:r>
        <w:rPr>
          <w:sz w:val="18"/>
        </w:rPr>
        <w:t>Please</w:t>
      </w:r>
      <w:r>
        <w:rPr>
          <w:spacing w:val="-3"/>
          <w:sz w:val="18"/>
        </w:rPr>
        <w:t> </w:t>
      </w:r>
      <w:r>
        <w:rPr>
          <w:sz w:val="18"/>
        </w:rPr>
        <w:t>describe</w:t>
      </w:r>
      <w:r>
        <w:rPr>
          <w:spacing w:val="-3"/>
          <w:sz w:val="18"/>
        </w:rPr>
        <w:t> </w:t>
      </w:r>
      <w:r>
        <w:rPr>
          <w:sz w:val="18"/>
        </w:rPr>
        <w:t>the</w:t>
      </w:r>
      <w:r>
        <w:rPr>
          <w:spacing w:val="-3"/>
          <w:sz w:val="18"/>
        </w:rPr>
        <w:t> </w:t>
      </w:r>
      <w:r>
        <w:rPr>
          <w:sz w:val="18"/>
        </w:rPr>
        <w:t>approach</w:t>
      </w:r>
      <w:r>
        <w:rPr>
          <w:spacing w:val="-2"/>
          <w:sz w:val="18"/>
        </w:rPr>
        <w:t> </w:t>
      </w:r>
      <w:r>
        <w:rPr>
          <w:sz w:val="18"/>
        </w:rPr>
        <w:t>the</w:t>
      </w:r>
      <w:r>
        <w:rPr>
          <w:spacing w:val="-3"/>
          <w:sz w:val="18"/>
        </w:rPr>
        <w:t> </w:t>
      </w:r>
      <w:r>
        <w:rPr>
          <w:sz w:val="18"/>
        </w:rPr>
        <w:t>practice</w:t>
      </w:r>
      <w:r>
        <w:rPr>
          <w:spacing w:val="-4"/>
          <w:sz w:val="18"/>
        </w:rPr>
        <w:t> </w:t>
      </w:r>
      <w:r>
        <w:rPr>
          <w:sz w:val="18"/>
        </w:rPr>
        <w:t>has</w:t>
      </w:r>
      <w:r>
        <w:rPr>
          <w:spacing w:val="-4"/>
          <w:sz w:val="18"/>
        </w:rPr>
        <w:t> </w:t>
      </w:r>
      <w:r>
        <w:rPr>
          <w:sz w:val="18"/>
        </w:rPr>
        <w:t>taken</w:t>
      </w:r>
      <w:r>
        <w:rPr>
          <w:spacing w:val="-3"/>
          <w:sz w:val="18"/>
        </w:rPr>
        <w:t> </w:t>
      </w:r>
      <w:r>
        <w:rPr>
          <w:sz w:val="18"/>
        </w:rPr>
        <w:t>for</w:t>
      </w:r>
      <w:r>
        <w:rPr>
          <w:spacing w:val="-2"/>
          <w:sz w:val="18"/>
        </w:rPr>
        <w:t> </w:t>
      </w:r>
      <w:r>
        <w:rPr>
          <w:sz w:val="18"/>
        </w:rPr>
        <w:t>billing</w:t>
      </w:r>
      <w:r>
        <w:rPr>
          <w:spacing w:val="-5"/>
          <w:sz w:val="18"/>
        </w:rPr>
        <w:t> </w:t>
      </w:r>
      <w:r>
        <w:rPr>
          <w:sz w:val="18"/>
        </w:rPr>
        <w:t>patients</w:t>
      </w:r>
      <w:r>
        <w:rPr>
          <w:spacing w:val="-4"/>
          <w:sz w:val="18"/>
        </w:rPr>
        <w:t> </w:t>
      </w:r>
      <w:r>
        <w:rPr>
          <w:sz w:val="18"/>
        </w:rPr>
        <w:t>prior</w:t>
      </w:r>
      <w:r>
        <w:rPr>
          <w:spacing w:val="-4"/>
          <w:sz w:val="18"/>
        </w:rPr>
        <w:t> </w:t>
      </w:r>
      <w:r>
        <w:rPr>
          <w:sz w:val="18"/>
        </w:rPr>
        <w:t>to</w:t>
      </w:r>
      <w:r>
        <w:rPr>
          <w:spacing w:val="-4"/>
          <w:sz w:val="18"/>
        </w:rPr>
        <w:t> </w:t>
      </w:r>
      <w:r>
        <w:rPr>
          <w:sz w:val="18"/>
        </w:rPr>
        <w:t>the</w:t>
      </w:r>
      <w:r>
        <w:rPr>
          <w:spacing w:val="-2"/>
          <w:sz w:val="18"/>
        </w:rPr>
        <w:t> </w:t>
      </w:r>
      <w:r>
        <w:rPr>
          <w:sz w:val="18"/>
        </w:rPr>
        <w:t>commencement</w:t>
      </w:r>
      <w:r>
        <w:rPr>
          <w:spacing w:val="-5"/>
          <w:sz w:val="18"/>
        </w:rPr>
        <w:t> </w:t>
      </w:r>
      <w:r>
        <w:rPr>
          <w:sz w:val="18"/>
        </w:rPr>
        <w:t>of</w:t>
      </w:r>
      <w:r>
        <w:rPr>
          <w:spacing w:val="-2"/>
          <w:sz w:val="18"/>
        </w:rPr>
        <w:t> </w:t>
      </w:r>
      <w:r>
        <w:rPr>
          <w:sz w:val="18"/>
        </w:rPr>
        <w:t>the</w:t>
      </w:r>
      <w:r>
        <w:rPr>
          <w:spacing w:val="-2"/>
          <w:sz w:val="18"/>
        </w:rPr>
        <w:t> </w:t>
      </w:r>
      <w:r>
        <w:rPr>
          <w:sz w:val="18"/>
        </w:rPr>
        <w:t>HCH</w:t>
      </w:r>
      <w:r>
        <w:rPr>
          <w:spacing w:val="1"/>
          <w:sz w:val="18"/>
        </w:rPr>
        <w:t> </w:t>
      </w:r>
      <w:r>
        <w:rPr>
          <w:sz w:val="18"/>
        </w:rPr>
        <w:t>program?</w:t>
      </w:r>
    </w:p>
    <w:p>
      <w:pPr>
        <w:pStyle w:val="BodyText"/>
        <w:spacing w:before="11"/>
        <w:rPr>
          <w:sz w:val="22"/>
        </w:rPr>
      </w:pPr>
    </w:p>
    <w:tbl>
      <w:tblPr>
        <w:tblW w:w="0" w:type="auto"/>
        <w:jc w:val="left"/>
        <w:tblInd w:w="15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3193"/>
        <w:gridCol w:w="3192"/>
        <w:gridCol w:w="3677"/>
      </w:tblGrid>
      <w:tr>
        <w:trPr>
          <w:trHeight w:val="378" w:hRule="atLeast"/>
        </w:trPr>
        <w:tc>
          <w:tcPr>
            <w:tcW w:w="3193" w:type="dxa"/>
            <w:shd w:val="clear" w:color="auto" w:fill="F1F1F1"/>
          </w:tcPr>
          <w:p>
            <w:pPr>
              <w:pStyle w:val="TableParagraph"/>
              <w:rPr>
                <w:rFonts w:ascii="Times New Roman"/>
                <w:sz w:val="18"/>
              </w:rPr>
            </w:pPr>
          </w:p>
        </w:tc>
        <w:tc>
          <w:tcPr>
            <w:tcW w:w="3192" w:type="dxa"/>
            <w:shd w:val="clear" w:color="auto" w:fill="F1F1F1"/>
          </w:tcPr>
          <w:p>
            <w:pPr>
              <w:pStyle w:val="TableParagraph"/>
              <w:spacing w:before="42"/>
              <w:ind w:left="350"/>
              <w:rPr>
                <w:sz w:val="18"/>
              </w:rPr>
            </w:pPr>
            <w:r>
              <w:rPr>
                <w:sz w:val="18"/>
              </w:rPr>
              <w:t>No</w:t>
            </w:r>
            <w:r>
              <w:rPr>
                <w:spacing w:val="-4"/>
                <w:sz w:val="18"/>
              </w:rPr>
              <w:t> </w:t>
            </w:r>
            <w:r>
              <w:rPr>
                <w:sz w:val="18"/>
              </w:rPr>
              <w:t>co-payment</w:t>
            </w:r>
            <w:r>
              <w:rPr>
                <w:spacing w:val="-5"/>
                <w:sz w:val="18"/>
              </w:rPr>
              <w:t> </w:t>
            </w:r>
            <w:r>
              <w:rPr>
                <w:sz w:val="18"/>
              </w:rPr>
              <w:t>charged</w:t>
            </w:r>
            <w:r>
              <w:rPr>
                <w:spacing w:val="-2"/>
                <w:sz w:val="18"/>
              </w:rPr>
              <w:t> </w:t>
            </w:r>
            <w:r>
              <w:rPr>
                <w:sz w:val="18"/>
              </w:rPr>
              <w:t>(1)</w:t>
            </w:r>
          </w:p>
        </w:tc>
        <w:tc>
          <w:tcPr>
            <w:tcW w:w="3677" w:type="dxa"/>
            <w:shd w:val="clear" w:color="auto" w:fill="F1F1F1"/>
          </w:tcPr>
          <w:p>
            <w:pPr>
              <w:pStyle w:val="TableParagraph"/>
              <w:spacing w:before="42"/>
              <w:ind w:left="727"/>
              <w:rPr>
                <w:sz w:val="18"/>
              </w:rPr>
            </w:pPr>
            <w:r>
              <w:rPr>
                <w:sz w:val="18"/>
              </w:rPr>
              <w:t>Co-payment</w:t>
            </w:r>
            <w:r>
              <w:rPr>
                <w:spacing w:val="-6"/>
                <w:sz w:val="18"/>
              </w:rPr>
              <w:t> </w:t>
            </w:r>
            <w:r>
              <w:rPr>
                <w:sz w:val="18"/>
              </w:rPr>
              <w:t>charged</w:t>
            </w:r>
            <w:r>
              <w:rPr>
                <w:spacing w:val="-3"/>
                <w:sz w:val="18"/>
              </w:rPr>
              <w:t> </w:t>
            </w:r>
            <w:r>
              <w:rPr>
                <w:sz w:val="18"/>
              </w:rPr>
              <w:t>(2)</w:t>
            </w:r>
          </w:p>
        </w:tc>
      </w:tr>
      <w:tr>
        <w:trPr>
          <w:trHeight w:val="378" w:hRule="atLeast"/>
        </w:trPr>
        <w:tc>
          <w:tcPr>
            <w:tcW w:w="3193" w:type="dxa"/>
          </w:tcPr>
          <w:p>
            <w:pPr>
              <w:pStyle w:val="TableParagraph"/>
              <w:spacing w:before="42"/>
              <w:ind w:left="115"/>
              <w:rPr>
                <w:sz w:val="18"/>
              </w:rPr>
            </w:pPr>
            <w:r>
              <w:rPr>
                <w:sz w:val="18"/>
              </w:rPr>
              <w:t>Health</w:t>
            </w:r>
            <w:r>
              <w:rPr>
                <w:spacing w:val="-4"/>
                <w:sz w:val="18"/>
              </w:rPr>
              <w:t> </w:t>
            </w:r>
            <w:r>
              <w:rPr>
                <w:sz w:val="18"/>
              </w:rPr>
              <w:t>Care</w:t>
            </w:r>
            <w:r>
              <w:rPr>
                <w:spacing w:val="-3"/>
                <w:sz w:val="18"/>
              </w:rPr>
              <w:t> </w:t>
            </w:r>
            <w:r>
              <w:rPr>
                <w:sz w:val="18"/>
              </w:rPr>
              <w:t>Card</w:t>
            </w:r>
            <w:r>
              <w:rPr>
                <w:spacing w:val="-4"/>
                <w:sz w:val="18"/>
              </w:rPr>
              <w:t> </w:t>
            </w:r>
            <w:r>
              <w:rPr>
                <w:sz w:val="18"/>
              </w:rPr>
              <w:t>Holders</w:t>
            </w:r>
            <w:r>
              <w:rPr>
                <w:spacing w:val="-1"/>
                <w:sz w:val="18"/>
              </w:rPr>
              <w:t> </w:t>
            </w:r>
            <w:r>
              <w:rPr>
                <w:sz w:val="18"/>
              </w:rPr>
              <w:t>(1)</w:t>
            </w:r>
          </w:p>
        </w:tc>
        <w:tc>
          <w:tcPr>
            <w:tcW w:w="3192" w:type="dxa"/>
          </w:tcPr>
          <w:p>
            <w:pPr>
              <w:pStyle w:val="TableParagraph"/>
              <w:spacing w:before="1" w:after="1"/>
              <w:rPr>
                <w:sz w:val="9"/>
              </w:rPr>
            </w:pPr>
          </w:p>
          <w:p>
            <w:pPr>
              <w:pStyle w:val="TableParagraph"/>
              <w:spacing w:line="115" w:lineRule="exact"/>
              <w:ind w:left="1439"/>
              <w:rPr>
                <w:sz w:val="11"/>
              </w:rPr>
            </w:pPr>
            <w:r>
              <w:rPr>
                <w:position w:val="-1"/>
                <w:sz w:val="11"/>
              </w:rPr>
              <w:drawing>
                <wp:inline distT="0" distB="0" distL="0" distR="0">
                  <wp:extent cx="57814" cy="73151"/>
                  <wp:effectExtent l="0" t="0" r="0" b="0"/>
                  <wp:docPr id="473" name="image14.png"/>
                  <wp:cNvGraphicFramePr>
                    <a:graphicFrameLocks noChangeAspect="1"/>
                  </wp:cNvGraphicFramePr>
                  <a:graphic>
                    <a:graphicData uri="http://schemas.openxmlformats.org/drawingml/2006/picture">
                      <pic:pic>
                        <pic:nvPicPr>
                          <pic:cNvPr id="474" name="image14.png"/>
                          <pic:cNvPicPr/>
                        </pic:nvPicPr>
                        <pic:blipFill>
                          <a:blip r:embed="rId43" cstate="print"/>
                          <a:stretch>
                            <a:fillRect/>
                          </a:stretch>
                        </pic:blipFill>
                        <pic:spPr>
                          <a:xfrm>
                            <a:off x="0" y="0"/>
                            <a:ext cx="57814" cy="73151"/>
                          </a:xfrm>
                          <a:prstGeom prst="rect">
                            <a:avLst/>
                          </a:prstGeom>
                        </pic:spPr>
                      </pic:pic>
                    </a:graphicData>
                  </a:graphic>
                </wp:inline>
              </w:drawing>
            </w:r>
            <w:r>
              <w:rPr>
                <w:position w:val="-1"/>
                <w:sz w:val="11"/>
              </w:rPr>
            </w:r>
          </w:p>
        </w:tc>
        <w:tc>
          <w:tcPr>
            <w:tcW w:w="3677" w:type="dxa"/>
          </w:tcPr>
          <w:p>
            <w:pPr>
              <w:pStyle w:val="TableParagraph"/>
              <w:spacing w:before="2"/>
              <w:rPr>
                <w:sz w:val="9"/>
              </w:rPr>
            </w:pPr>
          </w:p>
          <w:p>
            <w:pPr>
              <w:pStyle w:val="TableParagraph"/>
              <w:spacing w:line="112" w:lineRule="exact"/>
              <w:ind w:left="1681"/>
              <w:rPr>
                <w:sz w:val="11"/>
              </w:rPr>
            </w:pPr>
            <w:r>
              <w:rPr>
                <w:position w:val="-1"/>
                <w:sz w:val="11"/>
              </w:rPr>
              <w:drawing>
                <wp:inline distT="0" distB="0" distL="0" distR="0">
                  <wp:extent cx="57803" cy="71437"/>
                  <wp:effectExtent l="0" t="0" r="0" b="0"/>
                  <wp:docPr id="475" name="image13.png"/>
                  <wp:cNvGraphicFramePr>
                    <a:graphicFrameLocks noChangeAspect="1"/>
                  </wp:cNvGraphicFramePr>
                  <a:graphic>
                    <a:graphicData uri="http://schemas.openxmlformats.org/drawingml/2006/picture">
                      <pic:pic>
                        <pic:nvPicPr>
                          <pic:cNvPr id="476" name="image13.png"/>
                          <pic:cNvPicPr/>
                        </pic:nvPicPr>
                        <pic:blipFill>
                          <a:blip r:embed="rId41" cstate="print"/>
                          <a:stretch>
                            <a:fillRect/>
                          </a:stretch>
                        </pic:blipFill>
                        <pic:spPr>
                          <a:xfrm>
                            <a:off x="0" y="0"/>
                            <a:ext cx="57803" cy="71437"/>
                          </a:xfrm>
                          <a:prstGeom prst="rect">
                            <a:avLst/>
                          </a:prstGeom>
                        </pic:spPr>
                      </pic:pic>
                    </a:graphicData>
                  </a:graphic>
                </wp:inline>
              </w:drawing>
            </w:r>
            <w:r>
              <w:rPr>
                <w:position w:val="-1"/>
                <w:sz w:val="11"/>
              </w:rPr>
            </w:r>
          </w:p>
        </w:tc>
      </w:tr>
      <w:tr>
        <w:trPr>
          <w:trHeight w:val="378" w:hRule="atLeast"/>
        </w:trPr>
        <w:tc>
          <w:tcPr>
            <w:tcW w:w="3193" w:type="dxa"/>
          </w:tcPr>
          <w:p>
            <w:pPr>
              <w:pStyle w:val="TableParagraph"/>
              <w:spacing w:before="42"/>
              <w:ind w:left="115"/>
              <w:rPr>
                <w:sz w:val="18"/>
              </w:rPr>
            </w:pPr>
            <w:r>
              <w:rPr>
                <w:sz w:val="18"/>
              </w:rPr>
              <w:t>Other</w:t>
            </w:r>
            <w:r>
              <w:rPr>
                <w:spacing w:val="-5"/>
                <w:sz w:val="18"/>
              </w:rPr>
              <w:t> </w:t>
            </w:r>
            <w:r>
              <w:rPr>
                <w:sz w:val="18"/>
              </w:rPr>
              <w:t>patients</w:t>
            </w:r>
            <w:r>
              <w:rPr>
                <w:spacing w:val="-2"/>
                <w:sz w:val="18"/>
              </w:rPr>
              <w:t> </w:t>
            </w:r>
            <w:r>
              <w:rPr>
                <w:sz w:val="18"/>
              </w:rPr>
              <w:t>(2)</w:t>
            </w:r>
          </w:p>
        </w:tc>
        <w:tc>
          <w:tcPr>
            <w:tcW w:w="3192" w:type="dxa"/>
          </w:tcPr>
          <w:p>
            <w:pPr>
              <w:pStyle w:val="TableParagraph"/>
              <w:spacing w:before="2"/>
              <w:rPr>
                <w:sz w:val="9"/>
              </w:rPr>
            </w:pPr>
          </w:p>
          <w:p>
            <w:pPr>
              <w:pStyle w:val="TableParagraph"/>
              <w:spacing w:line="114" w:lineRule="exact"/>
              <w:ind w:left="1439"/>
              <w:rPr>
                <w:sz w:val="11"/>
              </w:rPr>
            </w:pPr>
            <w:r>
              <w:rPr>
                <w:position w:val="-1"/>
                <w:sz w:val="11"/>
              </w:rPr>
              <w:drawing>
                <wp:inline distT="0" distB="0" distL="0" distR="0">
                  <wp:extent cx="58957" cy="72866"/>
                  <wp:effectExtent l="0" t="0" r="0" b="0"/>
                  <wp:docPr id="477" name="image13.png"/>
                  <wp:cNvGraphicFramePr>
                    <a:graphicFrameLocks noChangeAspect="1"/>
                  </wp:cNvGraphicFramePr>
                  <a:graphic>
                    <a:graphicData uri="http://schemas.openxmlformats.org/drawingml/2006/picture">
                      <pic:pic>
                        <pic:nvPicPr>
                          <pic:cNvPr id="478" name="image13.png"/>
                          <pic:cNvPicPr/>
                        </pic:nvPicPr>
                        <pic:blipFill>
                          <a:blip r:embed="rId41" cstate="print"/>
                          <a:stretch>
                            <a:fillRect/>
                          </a:stretch>
                        </pic:blipFill>
                        <pic:spPr>
                          <a:xfrm>
                            <a:off x="0" y="0"/>
                            <a:ext cx="58957" cy="72866"/>
                          </a:xfrm>
                          <a:prstGeom prst="rect">
                            <a:avLst/>
                          </a:prstGeom>
                        </pic:spPr>
                      </pic:pic>
                    </a:graphicData>
                  </a:graphic>
                </wp:inline>
              </w:drawing>
            </w:r>
            <w:r>
              <w:rPr>
                <w:position w:val="-1"/>
                <w:sz w:val="11"/>
              </w:rPr>
            </w:r>
          </w:p>
        </w:tc>
        <w:tc>
          <w:tcPr>
            <w:tcW w:w="3677" w:type="dxa"/>
          </w:tcPr>
          <w:p>
            <w:pPr>
              <w:pStyle w:val="TableParagraph"/>
              <w:spacing w:before="2"/>
              <w:rPr>
                <w:sz w:val="9"/>
              </w:rPr>
            </w:pPr>
          </w:p>
          <w:p>
            <w:pPr>
              <w:pStyle w:val="TableParagraph"/>
              <w:spacing w:line="114" w:lineRule="exact"/>
              <w:ind w:left="1681"/>
              <w:rPr>
                <w:sz w:val="11"/>
              </w:rPr>
            </w:pPr>
            <w:r>
              <w:rPr>
                <w:position w:val="-1"/>
                <w:sz w:val="11"/>
              </w:rPr>
              <w:drawing>
                <wp:inline distT="0" distB="0" distL="0" distR="0">
                  <wp:extent cx="58957" cy="72866"/>
                  <wp:effectExtent l="0" t="0" r="0" b="0"/>
                  <wp:docPr id="479" name="image13.png"/>
                  <wp:cNvGraphicFramePr>
                    <a:graphicFrameLocks noChangeAspect="1"/>
                  </wp:cNvGraphicFramePr>
                  <a:graphic>
                    <a:graphicData uri="http://schemas.openxmlformats.org/drawingml/2006/picture">
                      <pic:pic>
                        <pic:nvPicPr>
                          <pic:cNvPr id="480" name="image13.png"/>
                          <pic:cNvPicPr/>
                        </pic:nvPicPr>
                        <pic:blipFill>
                          <a:blip r:embed="rId41" cstate="print"/>
                          <a:stretch>
                            <a:fillRect/>
                          </a:stretch>
                        </pic:blipFill>
                        <pic:spPr>
                          <a:xfrm>
                            <a:off x="0" y="0"/>
                            <a:ext cx="58957" cy="72866"/>
                          </a:xfrm>
                          <a:prstGeom prst="rect">
                            <a:avLst/>
                          </a:prstGeom>
                        </pic:spPr>
                      </pic:pic>
                    </a:graphicData>
                  </a:graphic>
                </wp:inline>
              </w:drawing>
            </w:r>
            <w:r>
              <w:rPr>
                <w:position w:val="-1"/>
                <w:sz w:val="11"/>
              </w:rPr>
            </w:r>
          </w:p>
        </w:tc>
      </w:tr>
    </w:tbl>
    <w:p>
      <w:pPr>
        <w:pStyle w:val="BodyText"/>
        <w:spacing w:before="8"/>
        <w:rPr>
          <w:sz w:val="19"/>
        </w:rPr>
      </w:pPr>
    </w:p>
    <w:p>
      <w:pPr>
        <w:pStyle w:val="ListParagraph"/>
        <w:numPr>
          <w:ilvl w:val="0"/>
          <w:numId w:val="41"/>
        </w:numPr>
        <w:tabs>
          <w:tab w:pos="568" w:val="left" w:leader="none"/>
        </w:tabs>
        <w:spacing w:line="240" w:lineRule="auto" w:before="0" w:after="0"/>
        <w:ind w:left="567" w:right="596" w:hanging="428"/>
        <w:jc w:val="left"/>
        <w:rPr>
          <w:sz w:val="18"/>
        </w:rPr>
      </w:pPr>
      <w:r>
        <w:rPr>
          <w:sz w:val="18"/>
        </w:rPr>
        <w:t>Please describe the approach to co-payments the practice/service is planning to take for patients enrolled in the</w:t>
      </w:r>
      <w:r>
        <w:rPr>
          <w:spacing w:val="-47"/>
          <w:sz w:val="18"/>
        </w:rPr>
        <w:t> </w:t>
      </w:r>
      <w:r>
        <w:rPr>
          <w:sz w:val="18"/>
        </w:rPr>
        <w:t>HCH</w:t>
      </w:r>
      <w:r>
        <w:rPr>
          <w:spacing w:val="-1"/>
          <w:sz w:val="18"/>
        </w:rPr>
        <w:t> </w:t>
      </w:r>
      <w:r>
        <w:rPr>
          <w:sz w:val="18"/>
        </w:rPr>
        <w:t>program?</w:t>
      </w:r>
    </w:p>
    <w:p>
      <w:pPr>
        <w:pStyle w:val="BodyText"/>
        <w:spacing w:before="7"/>
        <w:rPr>
          <w:sz w:val="19"/>
        </w:rPr>
      </w:pPr>
    </w:p>
    <w:p>
      <w:pPr>
        <w:pStyle w:val="ListParagraph"/>
        <w:numPr>
          <w:ilvl w:val="0"/>
          <w:numId w:val="41"/>
        </w:numPr>
        <w:tabs>
          <w:tab w:pos="568" w:val="left" w:leader="none"/>
        </w:tabs>
        <w:spacing w:line="240" w:lineRule="auto" w:before="0" w:after="0"/>
        <w:ind w:left="567" w:right="870" w:hanging="428"/>
        <w:jc w:val="left"/>
        <w:rPr>
          <w:sz w:val="18"/>
        </w:rPr>
      </w:pPr>
      <w:r>
        <w:rPr>
          <w:sz w:val="18"/>
        </w:rPr>
        <w:t>What</w:t>
      </w:r>
      <w:r>
        <w:rPr>
          <w:spacing w:val="-7"/>
          <w:sz w:val="18"/>
        </w:rPr>
        <w:t> </w:t>
      </w:r>
      <w:r>
        <w:rPr>
          <w:sz w:val="18"/>
        </w:rPr>
        <w:t>was</w:t>
      </w:r>
      <w:r>
        <w:rPr>
          <w:spacing w:val="-6"/>
          <w:sz w:val="18"/>
        </w:rPr>
        <w:t> </w:t>
      </w:r>
      <w:r>
        <w:rPr>
          <w:sz w:val="18"/>
        </w:rPr>
        <w:t>the</w:t>
      </w:r>
      <w:r>
        <w:rPr>
          <w:spacing w:val="-4"/>
          <w:sz w:val="18"/>
        </w:rPr>
        <w:t> </w:t>
      </w:r>
      <w:r>
        <w:rPr>
          <w:sz w:val="18"/>
        </w:rPr>
        <w:t>approximate</w:t>
      </w:r>
      <w:r>
        <w:rPr>
          <w:spacing w:val="-5"/>
          <w:sz w:val="18"/>
        </w:rPr>
        <w:t> </w:t>
      </w:r>
      <w:r>
        <w:rPr>
          <w:sz w:val="18"/>
        </w:rPr>
        <w:t>average</w:t>
      </w:r>
      <w:r>
        <w:rPr>
          <w:spacing w:val="-2"/>
          <w:sz w:val="18"/>
        </w:rPr>
        <w:t> </w:t>
      </w:r>
      <w:r>
        <w:rPr>
          <w:sz w:val="18"/>
        </w:rPr>
        <w:t>monthly</w:t>
      </w:r>
      <w:r>
        <w:rPr>
          <w:spacing w:val="-6"/>
          <w:sz w:val="18"/>
        </w:rPr>
        <w:t> </w:t>
      </w:r>
      <w:r>
        <w:rPr>
          <w:sz w:val="18"/>
        </w:rPr>
        <w:t>expenditure</w:t>
      </w:r>
      <w:r>
        <w:rPr>
          <w:spacing w:val="-4"/>
          <w:sz w:val="18"/>
        </w:rPr>
        <w:t> </w:t>
      </w:r>
      <w:r>
        <w:rPr>
          <w:sz w:val="18"/>
        </w:rPr>
        <w:t>of</w:t>
      </w:r>
      <w:r>
        <w:rPr>
          <w:spacing w:val="-4"/>
          <w:sz w:val="18"/>
        </w:rPr>
        <w:t> </w:t>
      </w:r>
      <w:r>
        <w:rPr>
          <w:sz w:val="18"/>
        </w:rPr>
        <w:t>the</w:t>
      </w:r>
      <w:r>
        <w:rPr>
          <w:spacing w:val="-5"/>
          <w:sz w:val="18"/>
        </w:rPr>
        <w:t> </w:t>
      </w:r>
      <w:r>
        <w:rPr>
          <w:sz w:val="18"/>
        </w:rPr>
        <w:t>practice/service</w:t>
      </w:r>
      <w:r>
        <w:rPr>
          <w:spacing w:val="-5"/>
          <w:sz w:val="18"/>
        </w:rPr>
        <w:t> </w:t>
      </w:r>
      <w:r>
        <w:rPr>
          <w:sz w:val="18"/>
        </w:rPr>
        <w:t>excluding</w:t>
      </w:r>
      <w:r>
        <w:rPr>
          <w:spacing w:val="-6"/>
          <w:sz w:val="18"/>
        </w:rPr>
        <w:t> </w:t>
      </w:r>
      <w:r>
        <w:rPr>
          <w:sz w:val="18"/>
        </w:rPr>
        <w:t>salaries/payments</w:t>
      </w:r>
      <w:r>
        <w:rPr>
          <w:spacing w:val="1"/>
          <w:sz w:val="18"/>
        </w:rPr>
        <w:t> </w:t>
      </w:r>
      <w:r>
        <w:rPr>
          <w:sz w:val="18"/>
        </w:rPr>
        <w:t>made</w:t>
      </w:r>
      <w:r>
        <w:rPr>
          <w:spacing w:val="-1"/>
          <w:sz w:val="18"/>
        </w:rPr>
        <w:t> </w:t>
      </w:r>
      <w:r>
        <w:rPr>
          <w:sz w:val="18"/>
        </w:rPr>
        <w:t>to</w:t>
      </w:r>
      <w:r>
        <w:rPr>
          <w:spacing w:val="-1"/>
          <w:sz w:val="18"/>
        </w:rPr>
        <w:t> </w:t>
      </w:r>
      <w:r>
        <w:rPr>
          <w:sz w:val="18"/>
        </w:rPr>
        <w:t>GPs?</w:t>
      </w:r>
    </w:p>
    <w:p>
      <w:pPr>
        <w:pStyle w:val="BodyText"/>
        <w:rPr>
          <w:sz w:val="23"/>
        </w:rPr>
      </w:pPr>
    </w:p>
    <w:tbl>
      <w:tblPr>
        <w:tblW w:w="0" w:type="auto"/>
        <w:jc w:val="left"/>
        <w:tblInd w:w="15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7228"/>
        <w:gridCol w:w="2835"/>
      </w:tblGrid>
      <w:tr>
        <w:trPr>
          <w:trHeight w:val="441" w:hRule="atLeast"/>
        </w:trPr>
        <w:tc>
          <w:tcPr>
            <w:tcW w:w="7228" w:type="dxa"/>
            <w:shd w:val="clear" w:color="auto" w:fill="F1F1F1"/>
          </w:tcPr>
          <w:p>
            <w:pPr>
              <w:pStyle w:val="TableParagraph"/>
              <w:spacing w:before="109"/>
              <w:ind w:left="2855" w:right="2848"/>
              <w:jc w:val="center"/>
              <w:rPr>
                <w:sz w:val="18"/>
              </w:rPr>
            </w:pPr>
            <w:r>
              <w:rPr>
                <w:sz w:val="18"/>
              </w:rPr>
              <w:t>Expenditure</w:t>
            </w:r>
            <w:r>
              <w:rPr>
                <w:spacing w:val="-6"/>
                <w:sz w:val="18"/>
              </w:rPr>
              <w:t> </w:t>
            </w:r>
            <w:r>
              <w:rPr>
                <w:sz w:val="18"/>
              </w:rPr>
              <w:t>type</w:t>
            </w:r>
          </w:p>
        </w:tc>
        <w:tc>
          <w:tcPr>
            <w:tcW w:w="2835" w:type="dxa"/>
            <w:shd w:val="clear" w:color="auto" w:fill="F1F1F1"/>
          </w:tcPr>
          <w:p>
            <w:pPr>
              <w:pStyle w:val="TableParagraph"/>
              <w:spacing w:line="222" w:lineRule="exact"/>
              <w:ind w:left="671" w:right="642" w:hanging="15"/>
              <w:rPr>
                <w:sz w:val="18"/>
              </w:rPr>
            </w:pPr>
            <w:r>
              <w:rPr>
                <w:sz w:val="18"/>
              </w:rPr>
              <w:t>Average</w:t>
            </w:r>
            <w:r>
              <w:rPr>
                <w:spacing w:val="-8"/>
                <w:sz w:val="18"/>
              </w:rPr>
              <w:t> </w:t>
            </w:r>
            <w:r>
              <w:rPr>
                <w:sz w:val="18"/>
              </w:rPr>
              <w:t>monthly</w:t>
            </w:r>
            <w:r>
              <w:rPr>
                <w:spacing w:val="-47"/>
                <w:sz w:val="18"/>
              </w:rPr>
              <w:t> </w:t>
            </w:r>
            <w:r>
              <w:rPr>
                <w:sz w:val="18"/>
              </w:rPr>
              <w:t>expenditure</w:t>
            </w:r>
            <w:r>
              <w:rPr>
                <w:spacing w:val="-6"/>
                <w:sz w:val="18"/>
              </w:rPr>
              <w:t> </w:t>
            </w:r>
            <w:r>
              <w:rPr>
                <w:sz w:val="18"/>
              </w:rPr>
              <w:t>$</w:t>
            </w:r>
            <w:r>
              <w:rPr>
                <w:spacing w:val="-2"/>
                <w:sz w:val="18"/>
              </w:rPr>
              <w:t> </w:t>
            </w:r>
            <w:r>
              <w:rPr>
                <w:sz w:val="18"/>
              </w:rPr>
              <w:t>(1)</w:t>
            </w:r>
          </w:p>
        </w:tc>
      </w:tr>
      <w:tr>
        <w:trPr>
          <w:trHeight w:val="499" w:hRule="atLeast"/>
        </w:trPr>
        <w:tc>
          <w:tcPr>
            <w:tcW w:w="7228" w:type="dxa"/>
          </w:tcPr>
          <w:p>
            <w:pPr>
              <w:pStyle w:val="TableParagraph"/>
              <w:spacing w:before="25"/>
              <w:ind w:left="115" w:right="57"/>
              <w:rPr>
                <w:sz w:val="18"/>
              </w:rPr>
            </w:pPr>
            <w:r>
              <w:rPr>
                <w:sz w:val="18"/>
              </w:rPr>
              <w:t>Employee</w:t>
            </w:r>
            <w:r>
              <w:rPr>
                <w:spacing w:val="-5"/>
                <w:sz w:val="18"/>
              </w:rPr>
              <w:t> </w:t>
            </w:r>
            <w:r>
              <w:rPr>
                <w:sz w:val="18"/>
              </w:rPr>
              <w:t>related</w:t>
            </w:r>
            <w:r>
              <w:rPr>
                <w:spacing w:val="-5"/>
                <w:sz w:val="18"/>
              </w:rPr>
              <w:t> </w:t>
            </w:r>
            <w:r>
              <w:rPr>
                <w:sz w:val="18"/>
              </w:rPr>
              <w:t>expenditures</w:t>
            </w:r>
            <w:r>
              <w:rPr>
                <w:spacing w:val="-7"/>
                <w:sz w:val="18"/>
              </w:rPr>
              <w:t> </w:t>
            </w:r>
            <w:r>
              <w:rPr>
                <w:sz w:val="18"/>
              </w:rPr>
              <w:t>for</w:t>
            </w:r>
            <w:r>
              <w:rPr>
                <w:spacing w:val="-5"/>
                <w:sz w:val="18"/>
              </w:rPr>
              <w:t> </w:t>
            </w:r>
            <w:r>
              <w:rPr>
                <w:sz w:val="18"/>
              </w:rPr>
              <w:t>personnel</w:t>
            </w:r>
            <w:r>
              <w:rPr>
                <w:spacing w:val="-7"/>
                <w:sz w:val="18"/>
              </w:rPr>
              <w:t> </w:t>
            </w:r>
            <w:r>
              <w:rPr>
                <w:sz w:val="18"/>
              </w:rPr>
              <w:t>EXCLUDING</w:t>
            </w:r>
            <w:r>
              <w:rPr>
                <w:spacing w:val="-5"/>
                <w:sz w:val="18"/>
              </w:rPr>
              <w:t> </w:t>
            </w:r>
            <w:r>
              <w:rPr>
                <w:sz w:val="18"/>
              </w:rPr>
              <w:t>GPs</w:t>
            </w:r>
            <w:r>
              <w:rPr>
                <w:spacing w:val="-1"/>
                <w:sz w:val="18"/>
              </w:rPr>
              <w:t> </w:t>
            </w:r>
            <w:r>
              <w:rPr>
                <w:sz w:val="18"/>
              </w:rPr>
              <w:t>(salaries,</w:t>
            </w:r>
            <w:r>
              <w:rPr>
                <w:spacing w:val="-1"/>
                <w:sz w:val="18"/>
              </w:rPr>
              <w:t> </w:t>
            </w:r>
            <w:r>
              <w:rPr>
                <w:sz w:val="18"/>
              </w:rPr>
              <w:t>on-costs</w:t>
            </w:r>
            <w:r>
              <w:rPr>
                <w:spacing w:val="-47"/>
                <w:sz w:val="18"/>
              </w:rPr>
              <w:t> </w:t>
            </w:r>
            <w:r>
              <w:rPr>
                <w:sz w:val="18"/>
              </w:rPr>
              <w:t>and</w:t>
            </w:r>
            <w:r>
              <w:rPr>
                <w:spacing w:val="-2"/>
                <w:sz w:val="18"/>
              </w:rPr>
              <w:t> </w:t>
            </w:r>
            <w:r>
              <w:rPr>
                <w:sz w:val="18"/>
              </w:rPr>
              <w:t>contractor payments</w:t>
            </w:r>
            <w:r>
              <w:rPr>
                <w:spacing w:val="-1"/>
                <w:sz w:val="18"/>
              </w:rPr>
              <w:t> </w:t>
            </w:r>
            <w:r>
              <w:rPr>
                <w:sz w:val="18"/>
              </w:rPr>
              <w:t>if</w:t>
            </w:r>
            <w:r>
              <w:rPr>
                <w:spacing w:val="-2"/>
                <w:sz w:val="18"/>
              </w:rPr>
              <w:t> </w:t>
            </w:r>
            <w:r>
              <w:rPr>
                <w:sz w:val="18"/>
              </w:rPr>
              <w:t>appropriate)</w:t>
            </w:r>
            <w:r>
              <w:rPr>
                <w:spacing w:val="1"/>
                <w:sz w:val="18"/>
              </w:rPr>
              <w:t> </w:t>
            </w:r>
            <w:r>
              <w:rPr>
                <w:sz w:val="18"/>
              </w:rPr>
              <w:t>(1)</w:t>
            </w:r>
          </w:p>
        </w:tc>
        <w:tc>
          <w:tcPr>
            <w:tcW w:w="2835" w:type="dxa"/>
          </w:tcPr>
          <w:p>
            <w:pPr>
              <w:pStyle w:val="TableParagraph"/>
              <w:spacing w:before="5"/>
              <w:rPr>
                <w:sz w:val="5"/>
              </w:rPr>
            </w:pPr>
          </w:p>
          <w:p>
            <w:pPr>
              <w:pStyle w:val="TableParagraph"/>
              <w:spacing w:line="112" w:lineRule="exact"/>
              <w:ind w:left="1753"/>
              <w:rPr>
                <w:sz w:val="11"/>
              </w:rPr>
            </w:pPr>
            <w:r>
              <w:rPr>
                <w:position w:val="-1"/>
                <w:sz w:val="11"/>
              </w:rPr>
              <w:drawing>
                <wp:inline distT="0" distB="0" distL="0" distR="0">
                  <wp:extent cx="57802" cy="71437"/>
                  <wp:effectExtent l="0" t="0" r="0" b="0"/>
                  <wp:docPr id="481" name="image13.png"/>
                  <wp:cNvGraphicFramePr>
                    <a:graphicFrameLocks noChangeAspect="1"/>
                  </wp:cNvGraphicFramePr>
                  <a:graphic>
                    <a:graphicData uri="http://schemas.openxmlformats.org/drawingml/2006/picture">
                      <pic:pic>
                        <pic:nvPicPr>
                          <pic:cNvPr id="482"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r>
      <w:tr>
        <w:trPr>
          <w:trHeight w:val="882" w:hRule="atLeast"/>
        </w:trPr>
        <w:tc>
          <w:tcPr>
            <w:tcW w:w="7228" w:type="dxa"/>
          </w:tcPr>
          <w:p>
            <w:pPr>
              <w:pStyle w:val="TableParagraph"/>
              <w:spacing w:line="220" w:lineRule="exact"/>
              <w:ind w:left="115" w:right="57"/>
              <w:rPr>
                <w:sz w:val="18"/>
              </w:rPr>
            </w:pPr>
            <w:r>
              <w:rPr>
                <w:sz w:val="18"/>
              </w:rPr>
              <w:t>Other operating costs including administrative costs (e.g. legal and audit,</w:t>
            </w:r>
            <w:r>
              <w:rPr>
                <w:spacing w:val="1"/>
                <w:sz w:val="18"/>
              </w:rPr>
              <w:t> </w:t>
            </w:r>
            <w:r>
              <w:rPr>
                <w:sz w:val="18"/>
              </w:rPr>
              <w:t>computer, meeting expenses, travel), utilities, clinical supplies and clinical</w:t>
            </w:r>
            <w:r>
              <w:rPr>
                <w:spacing w:val="1"/>
                <w:sz w:val="18"/>
              </w:rPr>
              <w:t> </w:t>
            </w:r>
            <w:r>
              <w:rPr>
                <w:sz w:val="18"/>
              </w:rPr>
              <w:t>services</w:t>
            </w:r>
            <w:r>
              <w:rPr>
                <w:spacing w:val="-2"/>
                <w:sz w:val="18"/>
              </w:rPr>
              <w:t> </w:t>
            </w:r>
            <w:r>
              <w:rPr>
                <w:sz w:val="18"/>
              </w:rPr>
              <w:t>(e.g.</w:t>
            </w:r>
            <w:r>
              <w:rPr>
                <w:spacing w:val="-6"/>
                <w:sz w:val="18"/>
              </w:rPr>
              <w:t> </w:t>
            </w:r>
            <w:r>
              <w:rPr>
                <w:sz w:val="18"/>
              </w:rPr>
              <w:t>sterilization,</w:t>
            </w:r>
            <w:r>
              <w:rPr>
                <w:spacing w:val="-5"/>
                <w:sz w:val="18"/>
              </w:rPr>
              <w:t> </w:t>
            </w:r>
            <w:r>
              <w:rPr>
                <w:sz w:val="18"/>
              </w:rPr>
              <w:t>diagnostic</w:t>
            </w:r>
            <w:r>
              <w:rPr>
                <w:spacing w:val="-4"/>
                <w:sz w:val="18"/>
              </w:rPr>
              <w:t> </w:t>
            </w:r>
            <w:r>
              <w:rPr>
                <w:sz w:val="18"/>
              </w:rPr>
              <w:t>tests,</w:t>
            </w:r>
            <w:r>
              <w:rPr>
                <w:spacing w:val="-7"/>
                <w:sz w:val="18"/>
              </w:rPr>
              <w:t> </w:t>
            </w:r>
            <w:r>
              <w:rPr>
                <w:sz w:val="18"/>
              </w:rPr>
              <w:t>examination</w:t>
            </w:r>
            <w:r>
              <w:rPr>
                <w:spacing w:val="-5"/>
                <w:sz w:val="18"/>
              </w:rPr>
              <w:t> </w:t>
            </w:r>
            <w:r>
              <w:rPr>
                <w:sz w:val="18"/>
              </w:rPr>
              <w:t>material,</w:t>
            </w:r>
            <w:r>
              <w:rPr>
                <w:spacing w:val="-6"/>
                <w:sz w:val="18"/>
              </w:rPr>
              <w:t> </w:t>
            </w:r>
            <w:r>
              <w:rPr>
                <w:sz w:val="18"/>
              </w:rPr>
              <w:t>medications),</w:t>
            </w:r>
            <w:r>
              <w:rPr>
                <w:spacing w:val="-47"/>
                <w:sz w:val="18"/>
              </w:rPr>
              <w:t> </w:t>
            </w:r>
            <w:r>
              <w:rPr>
                <w:sz w:val="18"/>
              </w:rPr>
              <w:t>corporate</w:t>
            </w:r>
            <w:r>
              <w:rPr>
                <w:spacing w:val="-2"/>
                <w:sz w:val="18"/>
              </w:rPr>
              <w:t> </w:t>
            </w:r>
            <w:r>
              <w:rPr>
                <w:sz w:val="18"/>
              </w:rPr>
              <w:t>services</w:t>
            </w:r>
            <w:r>
              <w:rPr>
                <w:spacing w:val="-2"/>
                <w:sz w:val="18"/>
              </w:rPr>
              <w:t> </w:t>
            </w:r>
            <w:r>
              <w:rPr>
                <w:sz w:val="18"/>
              </w:rPr>
              <w:t>charges,</w:t>
            </w:r>
            <w:r>
              <w:rPr>
                <w:spacing w:val="-1"/>
                <w:sz w:val="18"/>
              </w:rPr>
              <w:t> </w:t>
            </w:r>
            <w:r>
              <w:rPr>
                <w:sz w:val="18"/>
              </w:rPr>
              <w:t>building</w:t>
            </w:r>
            <w:r>
              <w:rPr>
                <w:spacing w:val="-4"/>
                <w:sz w:val="18"/>
              </w:rPr>
              <w:t> </w:t>
            </w:r>
            <w:r>
              <w:rPr>
                <w:sz w:val="18"/>
              </w:rPr>
              <w:t>and</w:t>
            </w:r>
            <w:r>
              <w:rPr>
                <w:spacing w:val="-2"/>
                <w:sz w:val="18"/>
              </w:rPr>
              <w:t> </w:t>
            </w:r>
            <w:r>
              <w:rPr>
                <w:sz w:val="18"/>
              </w:rPr>
              <w:t>maintenance</w:t>
            </w:r>
            <w:r>
              <w:rPr>
                <w:spacing w:val="-5"/>
                <w:sz w:val="18"/>
              </w:rPr>
              <w:t> </w:t>
            </w:r>
            <w:r>
              <w:rPr>
                <w:sz w:val="18"/>
              </w:rPr>
              <w:t>expenses</w:t>
            </w:r>
            <w:r>
              <w:rPr>
                <w:spacing w:val="1"/>
                <w:sz w:val="18"/>
              </w:rPr>
              <w:t> </w:t>
            </w:r>
            <w:r>
              <w:rPr>
                <w:sz w:val="18"/>
              </w:rPr>
              <w:t>(2)</w:t>
            </w:r>
          </w:p>
        </w:tc>
        <w:tc>
          <w:tcPr>
            <w:tcW w:w="2835" w:type="dxa"/>
          </w:tcPr>
          <w:p>
            <w:pPr>
              <w:pStyle w:val="TableParagraph"/>
              <w:spacing w:after="1"/>
              <w:rPr>
                <w:sz w:val="21"/>
              </w:rPr>
            </w:pPr>
          </w:p>
          <w:p>
            <w:pPr>
              <w:pStyle w:val="TableParagraph"/>
              <w:spacing w:line="112" w:lineRule="exact"/>
              <w:ind w:left="1753"/>
              <w:rPr>
                <w:sz w:val="11"/>
              </w:rPr>
            </w:pPr>
            <w:r>
              <w:rPr>
                <w:position w:val="-1"/>
                <w:sz w:val="11"/>
              </w:rPr>
              <w:drawing>
                <wp:inline distT="0" distB="0" distL="0" distR="0">
                  <wp:extent cx="57803" cy="71437"/>
                  <wp:effectExtent l="0" t="0" r="0" b="0"/>
                  <wp:docPr id="483" name="image13.png"/>
                  <wp:cNvGraphicFramePr>
                    <a:graphicFrameLocks noChangeAspect="1"/>
                  </wp:cNvGraphicFramePr>
                  <a:graphic>
                    <a:graphicData uri="http://schemas.openxmlformats.org/drawingml/2006/picture">
                      <pic:pic>
                        <pic:nvPicPr>
                          <pic:cNvPr id="484" name="image13.png"/>
                          <pic:cNvPicPr/>
                        </pic:nvPicPr>
                        <pic:blipFill>
                          <a:blip r:embed="rId41" cstate="print"/>
                          <a:stretch>
                            <a:fillRect/>
                          </a:stretch>
                        </pic:blipFill>
                        <pic:spPr>
                          <a:xfrm>
                            <a:off x="0" y="0"/>
                            <a:ext cx="57803" cy="71437"/>
                          </a:xfrm>
                          <a:prstGeom prst="rect">
                            <a:avLst/>
                          </a:prstGeom>
                        </pic:spPr>
                      </pic:pic>
                    </a:graphicData>
                  </a:graphic>
                </wp:inline>
              </w:drawing>
            </w:r>
            <w:r>
              <w:rPr>
                <w:position w:val="-1"/>
                <w:sz w:val="11"/>
              </w:rPr>
            </w:r>
          </w:p>
        </w:tc>
      </w:tr>
      <w:tr>
        <w:trPr>
          <w:trHeight w:val="498" w:hRule="atLeast"/>
        </w:trPr>
        <w:tc>
          <w:tcPr>
            <w:tcW w:w="7228" w:type="dxa"/>
          </w:tcPr>
          <w:p>
            <w:pPr>
              <w:pStyle w:val="TableParagraph"/>
              <w:spacing w:before="138"/>
              <w:ind w:left="115"/>
              <w:rPr>
                <w:sz w:val="18"/>
              </w:rPr>
            </w:pPr>
            <w:r>
              <w:rPr>
                <w:sz w:val="18"/>
              </w:rPr>
              <w:t>Depreciation</w:t>
            </w:r>
            <w:r>
              <w:rPr>
                <w:spacing w:val="-1"/>
                <w:sz w:val="18"/>
              </w:rPr>
              <w:t> </w:t>
            </w:r>
            <w:r>
              <w:rPr>
                <w:sz w:val="18"/>
              </w:rPr>
              <w:t>(estimate</w:t>
            </w:r>
            <w:r>
              <w:rPr>
                <w:spacing w:val="-4"/>
                <w:sz w:val="18"/>
              </w:rPr>
              <w:t> </w:t>
            </w:r>
            <w:r>
              <w:rPr>
                <w:sz w:val="18"/>
              </w:rPr>
              <w:t>based</w:t>
            </w:r>
            <w:r>
              <w:rPr>
                <w:spacing w:val="-4"/>
                <w:sz w:val="18"/>
              </w:rPr>
              <w:t> </w:t>
            </w:r>
            <w:r>
              <w:rPr>
                <w:sz w:val="18"/>
              </w:rPr>
              <w:t>on</w:t>
            </w:r>
            <w:r>
              <w:rPr>
                <w:spacing w:val="-4"/>
                <w:sz w:val="18"/>
              </w:rPr>
              <w:t> </w:t>
            </w:r>
            <w:r>
              <w:rPr>
                <w:sz w:val="18"/>
              </w:rPr>
              <w:t>last</w:t>
            </w:r>
            <w:r>
              <w:rPr>
                <w:spacing w:val="-6"/>
                <w:sz w:val="18"/>
              </w:rPr>
              <w:t> </w:t>
            </w:r>
            <w:r>
              <w:rPr>
                <w:sz w:val="18"/>
              </w:rPr>
              <w:t>financial</w:t>
            </w:r>
            <w:r>
              <w:rPr>
                <w:spacing w:val="-3"/>
                <w:sz w:val="18"/>
              </w:rPr>
              <w:t> </w:t>
            </w:r>
            <w:r>
              <w:rPr>
                <w:sz w:val="18"/>
              </w:rPr>
              <w:t>year)</w:t>
            </w:r>
          </w:p>
        </w:tc>
        <w:tc>
          <w:tcPr>
            <w:tcW w:w="2835" w:type="dxa"/>
          </w:tcPr>
          <w:p>
            <w:pPr>
              <w:pStyle w:val="TableParagraph"/>
              <w:spacing w:before="7"/>
              <w:rPr>
                <w:sz w:val="5"/>
              </w:rPr>
            </w:pPr>
          </w:p>
          <w:p>
            <w:pPr>
              <w:pStyle w:val="TableParagraph"/>
              <w:spacing w:line="114" w:lineRule="exact"/>
              <w:ind w:left="1753"/>
              <w:rPr>
                <w:sz w:val="11"/>
              </w:rPr>
            </w:pPr>
            <w:r>
              <w:rPr>
                <w:position w:val="-1"/>
                <w:sz w:val="11"/>
              </w:rPr>
              <w:drawing>
                <wp:inline distT="0" distB="0" distL="0" distR="0">
                  <wp:extent cx="58957" cy="72866"/>
                  <wp:effectExtent l="0" t="0" r="0" b="0"/>
                  <wp:docPr id="485" name="image13.png"/>
                  <wp:cNvGraphicFramePr>
                    <a:graphicFrameLocks noChangeAspect="1"/>
                  </wp:cNvGraphicFramePr>
                  <a:graphic>
                    <a:graphicData uri="http://schemas.openxmlformats.org/drawingml/2006/picture">
                      <pic:pic>
                        <pic:nvPicPr>
                          <pic:cNvPr id="486" name="image13.png"/>
                          <pic:cNvPicPr/>
                        </pic:nvPicPr>
                        <pic:blipFill>
                          <a:blip r:embed="rId41" cstate="print"/>
                          <a:stretch>
                            <a:fillRect/>
                          </a:stretch>
                        </pic:blipFill>
                        <pic:spPr>
                          <a:xfrm>
                            <a:off x="0" y="0"/>
                            <a:ext cx="58957" cy="72866"/>
                          </a:xfrm>
                          <a:prstGeom prst="rect">
                            <a:avLst/>
                          </a:prstGeom>
                        </pic:spPr>
                      </pic:pic>
                    </a:graphicData>
                  </a:graphic>
                </wp:inline>
              </w:drawing>
            </w:r>
            <w:r>
              <w:rPr>
                <w:position w:val="-1"/>
                <w:sz w:val="11"/>
              </w:rPr>
            </w:r>
          </w:p>
        </w:tc>
      </w:tr>
    </w:tbl>
    <w:p>
      <w:pPr>
        <w:pStyle w:val="BodyText"/>
        <w:spacing w:before="4"/>
        <w:rPr>
          <w:sz w:val="16"/>
        </w:rPr>
      </w:pPr>
    </w:p>
    <w:p>
      <w:pPr>
        <w:pStyle w:val="ListParagraph"/>
        <w:numPr>
          <w:ilvl w:val="0"/>
          <w:numId w:val="41"/>
        </w:numPr>
        <w:tabs>
          <w:tab w:pos="440" w:val="left" w:leader="none"/>
        </w:tabs>
        <w:spacing w:line="240" w:lineRule="auto" w:before="0" w:after="0"/>
        <w:ind w:left="440" w:right="0" w:hanging="300"/>
        <w:jc w:val="left"/>
        <w:rPr>
          <w:sz w:val="18"/>
        </w:rPr>
      </w:pPr>
      <w:r>
        <w:rPr>
          <w:sz w:val="18"/>
        </w:rPr>
        <w:t>Do</w:t>
      </w:r>
      <w:r>
        <w:rPr>
          <w:spacing w:val="-2"/>
          <w:sz w:val="18"/>
        </w:rPr>
        <w:t> </w:t>
      </w:r>
      <w:r>
        <w:rPr>
          <w:sz w:val="18"/>
        </w:rPr>
        <w:t>you</w:t>
      </w:r>
      <w:r>
        <w:rPr>
          <w:spacing w:val="-2"/>
          <w:sz w:val="18"/>
        </w:rPr>
        <w:t> </w:t>
      </w:r>
      <w:r>
        <w:rPr>
          <w:sz w:val="18"/>
        </w:rPr>
        <w:t>wish</w:t>
      </w:r>
      <w:r>
        <w:rPr>
          <w:spacing w:val="-2"/>
          <w:sz w:val="18"/>
        </w:rPr>
        <w:t> </w:t>
      </w:r>
      <w:r>
        <w:rPr>
          <w:sz w:val="18"/>
        </w:rPr>
        <w:t>to</w:t>
      </w:r>
      <w:r>
        <w:rPr>
          <w:spacing w:val="-2"/>
          <w:sz w:val="18"/>
        </w:rPr>
        <w:t> </w:t>
      </w:r>
      <w:r>
        <w:rPr>
          <w:sz w:val="18"/>
        </w:rPr>
        <w:t>submit</w:t>
      </w:r>
      <w:r>
        <w:rPr>
          <w:spacing w:val="-3"/>
          <w:sz w:val="18"/>
        </w:rPr>
        <w:t> </w:t>
      </w:r>
      <w:r>
        <w:rPr>
          <w:sz w:val="18"/>
        </w:rPr>
        <w:t>the</w:t>
      </w:r>
      <w:r>
        <w:rPr>
          <w:spacing w:val="-2"/>
          <w:sz w:val="18"/>
        </w:rPr>
        <w:t> </w:t>
      </w:r>
      <w:r>
        <w:rPr>
          <w:sz w:val="18"/>
        </w:rPr>
        <w:t>results</w:t>
      </w:r>
      <w:r>
        <w:rPr>
          <w:spacing w:val="-3"/>
          <w:sz w:val="18"/>
        </w:rPr>
        <w:t> </w:t>
      </w:r>
      <w:r>
        <w:rPr>
          <w:sz w:val="18"/>
        </w:rPr>
        <w:t>of</w:t>
      </w:r>
      <w:r>
        <w:rPr>
          <w:spacing w:val="-4"/>
          <w:sz w:val="18"/>
        </w:rPr>
        <w:t> </w:t>
      </w:r>
      <w:r>
        <w:rPr>
          <w:sz w:val="18"/>
        </w:rPr>
        <w:t>this</w:t>
      </w:r>
      <w:r>
        <w:rPr>
          <w:spacing w:val="-3"/>
          <w:sz w:val="18"/>
        </w:rPr>
        <w:t> </w:t>
      </w:r>
      <w:r>
        <w:rPr>
          <w:sz w:val="18"/>
        </w:rPr>
        <w:t>survey</w:t>
      </w:r>
      <w:r>
        <w:rPr>
          <w:spacing w:val="-2"/>
          <w:sz w:val="18"/>
        </w:rPr>
        <w:t> </w:t>
      </w:r>
      <w:r>
        <w:rPr>
          <w:sz w:val="18"/>
        </w:rPr>
        <w:t>now?</w:t>
      </w:r>
    </w:p>
    <w:p>
      <w:pPr>
        <w:pStyle w:val="BodyText"/>
        <w:spacing w:before="6"/>
        <w:rPr>
          <w:sz w:val="23"/>
        </w:rPr>
      </w:pPr>
    </w:p>
    <w:p>
      <w:pPr>
        <w:spacing w:line="276" w:lineRule="auto" w:before="0"/>
        <w:ind w:left="140" w:right="625" w:firstLine="0"/>
        <w:jc w:val="left"/>
        <w:rPr>
          <w:sz w:val="18"/>
        </w:rPr>
      </w:pPr>
      <w:r>
        <w:rPr>
          <w:sz w:val="18"/>
        </w:rPr>
        <w:t>If you wish to finalise and submit the survey data, select Yes below, then select the Next Arrow below.</w:t>
      </w:r>
      <w:r>
        <w:rPr>
          <w:spacing w:val="1"/>
          <w:sz w:val="18"/>
        </w:rPr>
        <w:t> </w:t>
      </w:r>
      <w:r>
        <w:rPr>
          <w:sz w:val="18"/>
        </w:rPr>
        <w:t>This will submit</w:t>
      </w:r>
      <w:r>
        <w:rPr>
          <w:spacing w:val="-47"/>
          <w:sz w:val="18"/>
        </w:rPr>
        <w:t> </w:t>
      </w:r>
      <w:r>
        <w:rPr>
          <w:sz w:val="18"/>
        </w:rPr>
        <w:t>your</w:t>
      </w:r>
      <w:r>
        <w:rPr>
          <w:spacing w:val="-1"/>
          <w:sz w:val="18"/>
        </w:rPr>
        <w:t> </w:t>
      </w:r>
      <w:r>
        <w:rPr>
          <w:sz w:val="18"/>
        </w:rPr>
        <w:t>data.</w:t>
      </w:r>
    </w:p>
    <w:p>
      <w:pPr>
        <w:pStyle w:val="BodyText"/>
        <w:spacing w:before="4"/>
        <w:rPr>
          <w:sz w:val="16"/>
        </w:rPr>
      </w:pPr>
    </w:p>
    <w:p>
      <w:pPr>
        <w:spacing w:line="276" w:lineRule="auto" w:before="1"/>
        <w:ind w:left="140" w:right="533" w:firstLine="0"/>
        <w:jc w:val="left"/>
        <w:rPr>
          <w:sz w:val="18"/>
        </w:rPr>
      </w:pPr>
      <w:r>
        <w:rPr>
          <w:sz w:val="18"/>
        </w:rPr>
        <w:t>If you wish to return to this survey later, </w:t>
      </w:r>
      <w:r>
        <w:rPr>
          <w:sz w:val="18"/>
          <w:u w:val="single"/>
        </w:rPr>
        <w:t>do not </w:t>
      </w:r>
      <w:r>
        <w:rPr>
          <w:sz w:val="18"/>
        </w:rPr>
        <w:t>select Yes.</w:t>
      </w:r>
      <w:r>
        <w:rPr>
          <w:spacing w:val="1"/>
          <w:sz w:val="18"/>
        </w:rPr>
        <w:t> </w:t>
      </w:r>
      <w:r>
        <w:rPr>
          <w:sz w:val="18"/>
        </w:rPr>
        <w:t>Just leave this page and return later using the URL link</w:t>
      </w:r>
      <w:r>
        <w:rPr>
          <w:spacing w:val="1"/>
          <w:sz w:val="18"/>
        </w:rPr>
        <w:t> </w:t>
      </w:r>
      <w:r>
        <w:rPr>
          <w:sz w:val="18"/>
        </w:rPr>
        <w:t>supplied.</w:t>
      </w:r>
      <w:r>
        <w:rPr>
          <w:spacing w:val="-5"/>
          <w:sz w:val="18"/>
        </w:rPr>
        <w:t> </w:t>
      </w:r>
      <w:r>
        <w:rPr>
          <w:sz w:val="18"/>
        </w:rPr>
        <w:t>The</w:t>
      </w:r>
      <w:r>
        <w:rPr>
          <w:spacing w:val="-3"/>
          <w:sz w:val="18"/>
        </w:rPr>
        <w:t> </w:t>
      </w:r>
      <w:r>
        <w:rPr>
          <w:sz w:val="18"/>
        </w:rPr>
        <w:t>details</w:t>
      </w:r>
      <w:r>
        <w:rPr>
          <w:spacing w:val="-3"/>
          <w:sz w:val="18"/>
        </w:rPr>
        <w:t> </w:t>
      </w:r>
      <w:r>
        <w:rPr>
          <w:sz w:val="18"/>
        </w:rPr>
        <w:t>you</w:t>
      </w:r>
      <w:r>
        <w:rPr>
          <w:spacing w:val="-3"/>
          <w:sz w:val="18"/>
        </w:rPr>
        <w:t> </w:t>
      </w:r>
      <w:r>
        <w:rPr>
          <w:sz w:val="18"/>
        </w:rPr>
        <w:t>have</w:t>
      </w:r>
      <w:r>
        <w:rPr>
          <w:spacing w:val="-2"/>
          <w:sz w:val="18"/>
        </w:rPr>
        <w:t> </w:t>
      </w:r>
      <w:r>
        <w:rPr>
          <w:sz w:val="18"/>
        </w:rPr>
        <w:t>entered</w:t>
      </w:r>
      <w:r>
        <w:rPr>
          <w:spacing w:val="-4"/>
          <w:sz w:val="18"/>
        </w:rPr>
        <w:t> </w:t>
      </w:r>
      <w:r>
        <w:rPr>
          <w:sz w:val="18"/>
        </w:rPr>
        <w:t>above</w:t>
      </w:r>
      <w:r>
        <w:rPr>
          <w:spacing w:val="-3"/>
          <w:sz w:val="18"/>
        </w:rPr>
        <w:t> </w:t>
      </w:r>
      <w:r>
        <w:rPr>
          <w:sz w:val="18"/>
        </w:rPr>
        <w:t>will</w:t>
      </w:r>
      <w:r>
        <w:rPr>
          <w:spacing w:val="-3"/>
          <w:sz w:val="18"/>
        </w:rPr>
        <w:t> </w:t>
      </w:r>
      <w:r>
        <w:rPr>
          <w:sz w:val="18"/>
        </w:rPr>
        <w:t>be</w:t>
      </w:r>
      <w:r>
        <w:rPr>
          <w:spacing w:val="-3"/>
          <w:sz w:val="18"/>
        </w:rPr>
        <w:t> </w:t>
      </w:r>
      <w:r>
        <w:rPr>
          <w:sz w:val="18"/>
        </w:rPr>
        <w:t>saved,</w:t>
      </w:r>
      <w:r>
        <w:rPr>
          <w:spacing w:val="-4"/>
          <w:sz w:val="18"/>
        </w:rPr>
        <w:t> </w:t>
      </w:r>
      <w:r>
        <w:rPr>
          <w:sz w:val="18"/>
        </w:rPr>
        <w:t>and</w:t>
      </w:r>
      <w:r>
        <w:rPr>
          <w:spacing w:val="-4"/>
          <w:sz w:val="18"/>
        </w:rPr>
        <w:t> </w:t>
      </w:r>
      <w:r>
        <w:rPr>
          <w:sz w:val="18"/>
        </w:rPr>
        <w:t>when</w:t>
      </w:r>
      <w:r>
        <w:rPr>
          <w:spacing w:val="-2"/>
          <w:sz w:val="18"/>
        </w:rPr>
        <w:t> </w:t>
      </w:r>
      <w:r>
        <w:rPr>
          <w:sz w:val="18"/>
        </w:rPr>
        <w:t>you</w:t>
      </w:r>
      <w:r>
        <w:rPr>
          <w:spacing w:val="-3"/>
          <w:sz w:val="18"/>
        </w:rPr>
        <w:t> </w:t>
      </w:r>
      <w:r>
        <w:rPr>
          <w:sz w:val="18"/>
        </w:rPr>
        <w:t>return,</w:t>
      </w:r>
      <w:r>
        <w:rPr>
          <w:spacing w:val="-4"/>
          <w:sz w:val="18"/>
        </w:rPr>
        <w:t> </w:t>
      </w:r>
      <w:r>
        <w:rPr>
          <w:sz w:val="18"/>
        </w:rPr>
        <w:t>you</w:t>
      </w:r>
      <w:r>
        <w:rPr>
          <w:spacing w:val="-3"/>
          <w:sz w:val="18"/>
        </w:rPr>
        <w:t> </w:t>
      </w:r>
      <w:r>
        <w:rPr>
          <w:sz w:val="18"/>
        </w:rPr>
        <w:t>can</w:t>
      </w:r>
      <w:r>
        <w:rPr>
          <w:spacing w:val="-5"/>
          <w:sz w:val="18"/>
        </w:rPr>
        <w:t> </w:t>
      </w:r>
      <w:r>
        <w:rPr>
          <w:sz w:val="18"/>
        </w:rPr>
        <w:t>complete</w:t>
      </w:r>
      <w:r>
        <w:rPr>
          <w:spacing w:val="-2"/>
          <w:sz w:val="18"/>
        </w:rPr>
        <w:t> </w:t>
      </w:r>
      <w:r>
        <w:rPr>
          <w:sz w:val="18"/>
        </w:rPr>
        <w:t>the</w:t>
      </w:r>
      <w:r>
        <w:rPr>
          <w:spacing w:val="-3"/>
          <w:sz w:val="18"/>
        </w:rPr>
        <w:t> </w:t>
      </w:r>
      <w:r>
        <w:rPr>
          <w:sz w:val="18"/>
        </w:rPr>
        <w:t>survey.</w:t>
      </w:r>
      <w:r>
        <w:rPr>
          <w:spacing w:val="-2"/>
          <w:sz w:val="18"/>
        </w:rPr>
        <w:t> </w:t>
      </w:r>
      <w:r>
        <w:rPr>
          <w:sz w:val="18"/>
        </w:rPr>
        <w:t>When</w:t>
      </w:r>
      <w:r>
        <w:rPr>
          <w:spacing w:val="1"/>
          <w:sz w:val="18"/>
        </w:rPr>
        <w:t> </w:t>
      </w:r>
      <w:r>
        <w:rPr>
          <w:sz w:val="18"/>
        </w:rPr>
        <w:t>you</w:t>
      </w:r>
      <w:r>
        <w:rPr>
          <w:spacing w:val="-1"/>
          <w:sz w:val="18"/>
        </w:rPr>
        <w:t> </w:t>
      </w:r>
      <w:r>
        <w:rPr>
          <w:sz w:val="18"/>
        </w:rPr>
        <w:t>return to</w:t>
      </w:r>
      <w:r>
        <w:rPr>
          <w:spacing w:val="-1"/>
          <w:sz w:val="18"/>
        </w:rPr>
        <w:t> </w:t>
      </w:r>
      <w:r>
        <w:rPr>
          <w:sz w:val="18"/>
        </w:rPr>
        <w:t>the survey</w:t>
      </w:r>
      <w:r>
        <w:rPr>
          <w:spacing w:val="-2"/>
          <w:sz w:val="18"/>
        </w:rPr>
        <w:t> </w:t>
      </w:r>
      <w:r>
        <w:rPr>
          <w:sz w:val="18"/>
        </w:rPr>
        <w:t>you will</w:t>
      </w:r>
      <w:r>
        <w:rPr>
          <w:spacing w:val="-1"/>
          <w:sz w:val="18"/>
        </w:rPr>
        <w:t> </w:t>
      </w:r>
      <w:r>
        <w:rPr>
          <w:sz w:val="18"/>
        </w:rPr>
        <w:t>be taken</w:t>
      </w:r>
      <w:r>
        <w:rPr>
          <w:spacing w:val="-1"/>
          <w:sz w:val="18"/>
        </w:rPr>
        <w:t> </w:t>
      </w:r>
      <w:r>
        <w:rPr>
          <w:sz w:val="18"/>
        </w:rPr>
        <w:t>to</w:t>
      </w:r>
      <w:r>
        <w:rPr>
          <w:spacing w:val="-1"/>
          <w:sz w:val="18"/>
        </w:rPr>
        <w:t> </w:t>
      </w:r>
      <w:r>
        <w:rPr>
          <w:sz w:val="18"/>
        </w:rPr>
        <w:t>the first</w:t>
      </w:r>
      <w:r>
        <w:rPr>
          <w:spacing w:val="-2"/>
          <w:sz w:val="18"/>
        </w:rPr>
        <w:t> </w:t>
      </w:r>
      <w:r>
        <w:rPr>
          <w:sz w:val="18"/>
        </w:rPr>
        <w:t>missing</w:t>
      </w:r>
      <w:r>
        <w:rPr>
          <w:spacing w:val="-3"/>
          <w:sz w:val="18"/>
        </w:rPr>
        <w:t> </w:t>
      </w:r>
      <w:r>
        <w:rPr>
          <w:sz w:val="18"/>
        </w:rPr>
        <w:t>response.</w:t>
      </w:r>
    </w:p>
    <w:p>
      <w:pPr>
        <w:pStyle w:val="BodyText"/>
        <w:spacing w:before="2"/>
        <w:rPr>
          <w:sz w:val="8"/>
        </w:rPr>
      </w:pPr>
    </w:p>
    <w:p>
      <w:pPr>
        <w:spacing w:before="101"/>
        <w:ind w:left="1491" w:right="0" w:firstLine="0"/>
        <w:jc w:val="left"/>
        <w:rPr>
          <w:sz w:val="18"/>
        </w:rPr>
      </w:pPr>
      <w:r>
        <w:rPr/>
        <w:drawing>
          <wp:anchor distT="0" distB="0" distL="0" distR="0" allowOverlap="1" layoutInCell="1" locked="0" behindDoc="0" simplePos="0" relativeHeight="15777792">
            <wp:simplePos x="0" y="0"/>
            <wp:positionH relativeFrom="page">
              <wp:posOffset>1102145</wp:posOffset>
            </wp:positionH>
            <wp:positionV relativeFrom="paragraph">
              <wp:posOffset>108156</wp:posOffset>
            </wp:positionV>
            <wp:extent cx="58380" cy="73869"/>
            <wp:effectExtent l="0" t="0" r="0" b="0"/>
            <wp:wrapNone/>
            <wp:docPr id="487" name="image14.png"/>
            <wp:cNvGraphicFramePr>
              <a:graphicFrameLocks noChangeAspect="1"/>
            </wp:cNvGraphicFramePr>
            <a:graphic>
              <a:graphicData uri="http://schemas.openxmlformats.org/drawingml/2006/picture">
                <pic:pic>
                  <pic:nvPicPr>
                    <pic:cNvPr id="488"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Yes</w:t>
      </w:r>
      <w:r>
        <w:rPr>
          <w:spacing w:val="49"/>
          <w:sz w:val="18"/>
        </w:rPr>
        <w:t> </w:t>
      </w:r>
      <w:r>
        <w:rPr>
          <w:sz w:val="18"/>
        </w:rPr>
        <w:t>(4)</w:t>
      </w:r>
    </w:p>
    <w:p>
      <w:pPr>
        <w:spacing w:after="0"/>
        <w:jc w:val="left"/>
        <w:rPr>
          <w:sz w:val="18"/>
        </w:rPr>
        <w:sectPr>
          <w:pgSz w:w="11910" w:h="16840"/>
          <w:pgMar w:header="0" w:footer="906" w:top="860" w:bottom="1140" w:left="580" w:right="280"/>
        </w:sectPr>
      </w:pPr>
    </w:p>
    <w:p>
      <w:pPr>
        <w:pStyle w:val="Heading4"/>
        <w:ind w:left="682"/>
      </w:pPr>
      <w:r>
        <w:rPr>
          <w:color w:val="808080"/>
        </w:rPr>
        <w:t>Health</w:t>
      </w:r>
      <w:r>
        <w:rPr>
          <w:color w:val="808080"/>
          <w:spacing w:val="-1"/>
        </w:rPr>
        <w:t> </w:t>
      </w:r>
      <w:r>
        <w:rPr>
          <w:color w:val="808080"/>
        </w:rPr>
        <w:t>Care Homes</w:t>
      </w:r>
      <w:r>
        <w:rPr>
          <w:color w:val="808080"/>
          <w:spacing w:val="-1"/>
        </w:rPr>
        <w:t> </w:t>
      </w:r>
      <w:r>
        <w:rPr>
          <w:color w:val="808080"/>
        </w:rPr>
        <w:t>program practice survey</w:t>
      </w:r>
      <w:r>
        <w:rPr>
          <w:color w:val="808080"/>
          <w:spacing w:val="-1"/>
        </w:rPr>
        <w:t> </w:t>
      </w:r>
      <w:r>
        <w:rPr>
          <w:color w:val="808080"/>
        </w:rPr>
        <w:t>-</w:t>
      </w:r>
      <w:r>
        <w:rPr>
          <w:color w:val="808080"/>
          <w:spacing w:val="-3"/>
        </w:rPr>
        <w:t> </w:t>
      </w:r>
      <w:r>
        <w:rPr>
          <w:color w:val="808080"/>
        </w:rPr>
        <w:t>Round 1 Part B</w:t>
      </w:r>
    </w:p>
    <w:p>
      <w:pPr>
        <w:pStyle w:val="BodyText"/>
        <w:spacing w:before="5"/>
        <w:rPr>
          <w:rFonts w:ascii="Arial Black"/>
          <w:sz w:val="19"/>
        </w:rPr>
      </w:pPr>
    </w:p>
    <w:p>
      <w:pPr>
        <w:spacing w:line="273" w:lineRule="auto" w:before="100"/>
        <w:ind w:left="288" w:right="625" w:firstLine="0"/>
        <w:jc w:val="left"/>
        <w:rPr>
          <w:sz w:val="18"/>
        </w:rPr>
      </w:pPr>
      <w:r>
        <w:rPr/>
        <w:pict>
          <v:rect style="position:absolute;margin-left:36pt;margin-top:1.16273pt;width:523.85pt;height:297.5pt;mso-position-horizontal-relative:page;mso-position-vertical-relative:paragraph;z-index:-27506176" id="docshape139" filled="true" fillcolor="#f1f1f1" stroked="false">
            <v:fill type="solid"/>
            <w10:wrap type="none"/>
          </v:rect>
        </w:pict>
      </w:r>
      <w:r>
        <w:rPr>
          <w:sz w:val="18"/>
        </w:rPr>
        <w:t>This</w:t>
      </w:r>
      <w:r>
        <w:rPr>
          <w:spacing w:val="-3"/>
          <w:sz w:val="18"/>
        </w:rPr>
        <w:t> </w:t>
      </w:r>
      <w:r>
        <w:rPr>
          <w:sz w:val="18"/>
        </w:rPr>
        <w:t>survey</w:t>
      </w:r>
      <w:r>
        <w:rPr>
          <w:spacing w:val="-4"/>
          <w:sz w:val="18"/>
        </w:rPr>
        <w:t> </w:t>
      </w:r>
      <w:r>
        <w:rPr>
          <w:sz w:val="18"/>
        </w:rPr>
        <w:t>is</w:t>
      </w:r>
      <w:r>
        <w:rPr>
          <w:spacing w:val="-3"/>
          <w:sz w:val="18"/>
        </w:rPr>
        <w:t> </w:t>
      </w:r>
      <w:r>
        <w:rPr>
          <w:sz w:val="18"/>
        </w:rPr>
        <w:t>Part</w:t>
      </w:r>
      <w:r>
        <w:rPr>
          <w:spacing w:val="-3"/>
          <w:sz w:val="18"/>
        </w:rPr>
        <w:t> </w:t>
      </w:r>
      <w:r>
        <w:rPr>
          <w:sz w:val="18"/>
        </w:rPr>
        <w:t>B</w:t>
      </w:r>
      <w:r>
        <w:rPr>
          <w:spacing w:val="-2"/>
          <w:sz w:val="18"/>
        </w:rPr>
        <w:t> </w:t>
      </w:r>
      <w:r>
        <w:rPr>
          <w:sz w:val="18"/>
        </w:rPr>
        <w:t>of</w:t>
      </w:r>
      <w:r>
        <w:rPr>
          <w:spacing w:val="-1"/>
          <w:sz w:val="18"/>
        </w:rPr>
        <w:t> </w:t>
      </w:r>
      <w:r>
        <w:rPr>
          <w:sz w:val="18"/>
        </w:rPr>
        <w:t>the</w:t>
      </w:r>
      <w:r>
        <w:rPr>
          <w:spacing w:val="-4"/>
          <w:sz w:val="18"/>
        </w:rPr>
        <w:t> </w:t>
      </w:r>
      <w:r>
        <w:rPr>
          <w:sz w:val="18"/>
        </w:rPr>
        <w:t>Practice</w:t>
      </w:r>
      <w:r>
        <w:rPr>
          <w:spacing w:val="-1"/>
          <w:sz w:val="18"/>
        </w:rPr>
        <w:t> </w:t>
      </w:r>
      <w:r>
        <w:rPr>
          <w:sz w:val="18"/>
        </w:rPr>
        <w:t>Survey</w:t>
      </w:r>
      <w:r>
        <w:rPr>
          <w:spacing w:val="-3"/>
          <w:sz w:val="18"/>
        </w:rPr>
        <w:t> </w:t>
      </w:r>
      <w:r>
        <w:rPr>
          <w:sz w:val="18"/>
        </w:rPr>
        <w:t>for</w:t>
      </w:r>
      <w:r>
        <w:rPr>
          <w:spacing w:val="-1"/>
          <w:sz w:val="18"/>
        </w:rPr>
        <w:t> </w:t>
      </w:r>
      <w:r>
        <w:rPr>
          <w:sz w:val="18"/>
        </w:rPr>
        <w:t>Round</w:t>
      </w:r>
      <w:r>
        <w:rPr>
          <w:spacing w:val="-3"/>
          <w:sz w:val="18"/>
        </w:rPr>
        <w:t> </w:t>
      </w:r>
      <w:r>
        <w:rPr>
          <w:sz w:val="18"/>
        </w:rPr>
        <w:t>1</w:t>
      </w:r>
      <w:r>
        <w:rPr>
          <w:spacing w:val="-2"/>
          <w:sz w:val="18"/>
        </w:rPr>
        <w:t> </w:t>
      </w:r>
      <w:r>
        <w:rPr>
          <w:sz w:val="18"/>
        </w:rPr>
        <w:t>of</w:t>
      </w:r>
      <w:r>
        <w:rPr>
          <w:spacing w:val="-1"/>
          <w:sz w:val="18"/>
        </w:rPr>
        <w:t> </w:t>
      </w:r>
      <w:r>
        <w:rPr>
          <w:sz w:val="18"/>
        </w:rPr>
        <w:t>the</w:t>
      </w:r>
      <w:r>
        <w:rPr>
          <w:spacing w:val="-1"/>
          <w:sz w:val="18"/>
        </w:rPr>
        <w:t> </w:t>
      </w:r>
      <w:r>
        <w:rPr>
          <w:sz w:val="18"/>
        </w:rPr>
        <w:t>Health</w:t>
      </w:r>
      <w:r>
        <w:rPr>
          <w:spacing w:val="-2"/>
          <w:sz w:val="18"/>
        </w:rPr>
        <w:t> </w:t>
      </w:r>
      <w:r>
        <w:rPr>
          <w:sz w:val="18"/>
        </w:rPr>
        <w:t>Care</w:t>
      </w:r>
      <w:r>
        <w:rPr>
          <w:spacing w:val="-3"/>
          <w:sz w:val="18"/>
        </w:rPr>
        <w:t> </w:t>
      </w:r>
      <w:r>
        <w:rPr>
          <w:sz w:val="18"/>
        </w:rPr>
        <w:t>Homes (HCH)</w:t>
      </w:r>
      <w:r>
        <w:rPr>
          <w:spacing w:val="-4"/>
          <w:sz w:val="18"/>
        </w:rPr>
        <w:t> </w:t>
      </w:r>
      <w:r>
        <w:rPr>
          <w:sz w:val="18"/>
        </w:rPr>
        <w:t>program</w:t>
      </w:r>
      <w:r>
        <w:rPr>
          <w:spacing w:val="-6"/>
          <w:sz w:val="18"/>
        </w:rPr>
        <w:t> </w:t>
      </w:r>
      <w:r>
        <w:rPr>
          <w:sz w:val="18"/>
        </w:rPr>
        <w:t>evaluation.</w:t>
      </w:r>
      <w:r>
        <w:rPr>
          <w:spacing w:val="-5"/>
          <w:sz w:val="18"/>
        </w:rPr>
        <w:t> </w:t>
      </w:r>
      <w:r>
        <w:rPr>
          <w:sz w:val="18"/>
        </w:rPr>
        <w:t>It</w:t>
      </w:r>
      <w:r>
        <w:rPr>
          <w:spacing w:val="-4"/>
          <w:sz w:val="18"/>
        </w:rPr>
        <w:t> </w:t>
      </w:r>
      <w:r>
        <w:rPr>
          <w:sz w:val="18"/>
        </w:rPr>
        <w:t>relates</w:t>
      </w:r>
      <w:r>
        <w:rPr>
          <w:spacing w:val="1"/>
          <w:sz w:val="18"/>
        </w:rPr>
        <w:t> </w:t>
      </w:r>
      <w:r>
        <w:rPr>
          <w:sz w:val="18"/>
        </w:rPr>
        <w:t>to</w:t>
      </w:r>
      <w:r>
        <w:rPr>
          <w:spacing w:val="-2"/>
          <w:sz w:val="18"/>
        </w:rPr>
        <w:t> </w:t>
      </w:r>
      <w:r>
        <w:rPr>
          <w:sz w:val="18"/>
        </w:rPr>
        <w:t>the</w:t>
      </w:r>
      <w:r>
        <w:rPr>
          <w:spacing w:val="-1"/>
          <w:sz w:val="18"/>
        </w:rPr>
        <w:t> </w:t>
      </w:r>
      <w:r>
        <w:rPr>
          <w:sz w:val="18"/>
        </w:rPr>
        <w:t>results</w:t>
      </w:r>
      <w:r>
        <w:rPr>
          <w:spacing w:val="-3"/>
          <w:sz w:val="18"/>
        </w:rPr>
        <w:t> </w:t>
      </w:r>
      <w:r>
        <w:rPr>
          <w:sz w:val="18"/>
        </w:rPr>
        <w:t>of</w:t>
      </w:r>
      <w:r>
        <w:rPr>
          <w:spacing w:val="-1"/>
          <w:sz w:val="18"/>
        </w:rPr>
        <w:t> </w:t>
      </w:r>
      <w:r>
        <w:rPr>
          <w:sz w:val="18"/>
        </w:rPr>
        <w:t>applying</w:t>
      </w:r>
      <w:r>
        <w:rPr>
          <w:spacing w:val="-4"/>
          <w:sz w:val="18"/>
        </w:rPr>
        <w:t> </w:t>
      </w:r>
      <w:r>
        <w:rPr>
          <w:sz w:val="18"/>
        </w:rPr>
        <w:t>the</w:t>
      </w:r>
      <w:r>
        <w:rPr>
          <w:spacing w:val="-1"/>
          <w:sz w:val="18"/>
        </w:rPr>
        <w:t> </w:t>
      </w:r>
      <w:r>
        <w:rPr>
          <w:sz w:val="18"/>
        </w:rPr>
        <w:t>HCH-A</w:t>
      </w:r>
      <w:r>
        <w:rPr>
          <w:spacing w:val="-7"/>
          <w:sz w:val="18"/>
        </w:rPr>
        <w:t> </w:t>
      </w:r>
      <w:r>
        <w:rPr>
          <w:sz w:val="18"/>
        </w:rPr>
        <w:t>tool.</w:t>
      </w:r>
      <w:r>
        <w:rPr>
          <w:spacing w:val="46"/>
          <w:sz w:val="18"/>
        </w:rPr>
        <w:t> </w:t>
      </w:r>
      <w:r>
        <w:rPr>
          <w:sz w:val="18"/>
        </w:rPr>
        <w:t>The</w:t>
      </w:r>
      <w:r>
        <w:rPr>
          <w:spacing w:val="-2"/>
          <w:sz w:val="18"/>
        </w:rPr>
        <w:t> </w:t>
      </w:r>
      <w:r>
        <w:rPr>
          <w:sz w:val="18"/>
        </w:rPr>
        <w:t>process</w:t>
      </w:r>
      <w:r>
        <w:rPr>
          <w:spacing w:val="-2"/>
          <w:sz w:val="18"/>
        </w:rPr>
        <w:t> </w:t>
      </w:r>
      <w:r>
        <w:rPr>
          <w:sz w:val="18"/>
        </w:rPr>
        <w:t>for</w:t>
      </w:r>
      <w:r>
        <w:rPr>
          <w:spacing w:val="-2"/>
          <w:sz w:val="18"/>
        </w:rPr>
        <w:t> </w:t>
      </w:r>
      <w:r>
        <w:rPr>
          <w:sz w:val="18"/>
        </w:rPr>
        <w:t>applying</w:t>
      </w:r>
      <w:r>
        <w:rPr>
          <w:spacing w:val="-3"/>
          <w:sz w:val="18"/>
        </w:rPr>
        <w:t> </w:t>
      </w:r>
      <w:r>
        <w:rPr>
          <w:sz w:val="18"/>
        </w:rPr>
        <w:t>the</w:t>
      </w:r>
      <w:r>
        <w:rPr>
          <w:spacing w:val="-2"/>
          <w:sz w:val="18"/>
        </w:rPr>
        <w:t> </w:t>
      </w:r>
      <w:r>
        <w:rPr>
          <w:sz w:val="18"/>
        </w:rPr>
        <w:t>HCH-A</w:t>
      </w:r>
      <w:r>
        <w:rPr>
          <w:spacing w:val="-9"/>
          <w:sz w:val="18"/>
        </w:rPr>
        <w:t> </w:t>
      </w:r>
      <w:r>
        <w:rPr>
          <w:sz w:val="18"/>
        </w:rPr>
        <w:t>tool</w:t>
      </w:r>
      <w:r>
        <w:rPr>
          <w:spacing w:val="1"/>
          <w:sz w:val="18"/>
        </w:rPr>
        <w:t> </w:t>
      </w:r>
      <w:r>
        <w:rPr>
          <w:sz w:val="18"/>
        </w:rPr>
        <w:t>has</w:t>
      </w:r>
      <w:r>
        <w:rPr>
          <w:spacing w:val="-3"/>
          <w:sz w:val="18"/>
        </w:rPr>
        <w:t> </w:t>
      </w:r>
      <w:r>
        <w:rPr>
          <w:sz w:val="18"/>
        </w:rPr>
        <w:t>been</w:t>
      </w:r>
      <w:r>
        <w:rPr>
          <w:spacing w:val="-1"/>
          <w:sz w:val="18"/>
        </w:rPr>
        <w:t> </w:t>
      </w:r>
      <w:r>
        <w:rPr>
          <w:sz w:val="18"/>
        </w:rPr>
        <w:t>described</w:t>
      </w:r>
      <w:r>
        <w:rPr>
          <w:spacing w:val="-2"/>
          <w:sz w:val="18"/>
        </w:rPr>
        <w:t> </w:t>
      </w:r>
      <w:r>
        <w:rPr>
          <w:sz w:val="18"/>
        </w:rPr>
        <w:t>elsewhere.</w:t>
      </w:r>
    </w:p>
    <w:p>
      <w:pPr>
        <w:spacing w:line="276" w:lineRule="auto" w:before="4"/>
        <w:ind w:left="288" w:right="823" w:firstLine="0"/>
        <w:jc w:val="left"/>
        <w:rPr>
          <w:sz w:val="18"/>
        </w:rPr>
      </w:pPr>
      <w:r>
        <w:rPr>
          <w:sz w:val="18"/>
        </w:rPr>
        <w:t>This involves several staff within a practice completing the HCH-A assessment separately, followed by discussion to</w:t>
      </w:r>
      <w:r>
        <w:rPr>
          <w:spacing w:val="-47"/>
          <w:sz w:val="18"/>
        </w:rPr>
        <w:t> </w:t>
      </w:r>
      <w:r>
        <w:rPr>
          <w:sz w:val="18"/>
        </w:rPr>
        <w:t>reach a consensus on scores for each item.</w:t>
      </w:r>
      <w:r>
        <w:rPr>
          <w:spacing w:val="1"/>
          <w:sz w:val="18"/>
        </w:rPr>
        <w:t> </w:t>
      </w:r>
      <w:r>
        <w:rPr>
          <w:sz w:val="18"/>
        </w:rPr>
        <w:t>The survey relates only to the final consensus score for the practice.</w:t>
      </w:r>
      <w:r>
        <w:rPr>
          <w:spacing w:val="1"/>
          <w:sz w:val="18"/>
        </w:rPr>
        <w:t> </w:t>
      </w:r>
      <w:r>
        <w:rPr>
          <w:sz w:val="18"/>
        </w:rPr>
        <w:t>There</w:t>
      </w:r>
      <w:r>
        <w:rPr>
          <w:spacing w:val="-1"/>
          <w:sz w:val="18"/>
        </w:rPr>
        <w:t> </w:t>
      </w:r>
      <w:r>
        <w:rPr>
          <w:sz w:val="18"/>
        </w:rPr>
        <w:t>are also</w:t>
      </w:r>
      <w:r>
        <w:rPr>
          <w:spacing w:val="-2"/>
          <w:sz w:val="18"/>
        </w:rPr>
        <w:t> </w:t>
      </w:r>
      <w:r>
        <w:rPr>
          <w:sz w:val="18"/>
        </w:rPr>
        <w:t>a few</w:t>
      </w:r>
      <w:r>
        <w:rPr>
          <w:spacing w:val="-2"/>
          <w:sz w:val="18"/>
        </w:rPr>
        <w:t> </w:t>
      </w:r>
      <w:r>
        <w:rPr>
          <w:sz w:val="18"/>
        </w:rPr>
        <w:t>questions</w:t>
      </w:r>
      <w:r>
        <w:rPr>
          <w:spacing w:val="-1"/>
          <w:sz w:val="18"/>
        </w:rPr>
        <w:t> </w:t>
      </w:r>
      <w:r>
        <w:rPr>
          <w:sz w:val="18"/>
        </w:rPr>
        <w:t>about</w:t>
      </w:r>
      <w:r>
        <w:rPr>
          <w:spacing w:val="-3"/>
          <w:sz w:val="18"/>
        </w:rPr>
        <w:t> </w:t>
      </w:r>
      <w:r>
        <w:rPr>
          <w:sz w:val="18"/>
        </w:rPr>
        <w:t>how</w:t>
      </w:r>
      <w:r>
        <w:rPr>
          <w:spacing w:val="-2"/>
          <w:sz w:val="18"/>
        </w:rPr>
        <w:t> </w:t>
      </w:r>
      <w:r>
        <w:rPr>
          <w:sz w:val="18"/>
        </w:rPr>
        <w:t>the HCH-A</w:t>
      </w:r>
      <w:r>
        <w:rPr>
          <w:spacing w:val="-7"/>
          <w:sz w:val="18"/>
        </w:rPr>
        <w:t> </w:t>
      </w:r>
      <w:r>
        <w:rPr>
          <w:sz w:val="18"/>
        </w:rPr>
        <w:t>tool was</w:t>
      </w:r>
      <w:r>
        <w:rPr>
          <w:spacing w:val="-2"/>
          <w:sz w:val="18"/>
        </w:rPr>
        <w:t> </w:t>
      </w:r>
      <w:r>
        <w:rPr>
          <w:sz w:val="18"/>
        </w:rPr>
        <w:t>applied</w:t>
      </w:r>
      <w:r>
        <w:rPr>
          <w:spacing w:val="-1"/>
          <w:sz w:val="18"/>
        </w:rPr>
        <w:t> </w:t>
      </w:r>
      <w:r>
        <w:rPr>
          <w:sz w:val="18"/>
        </w:rPr>
        <w:t>in</w:t>
      </w:r>
      <w:r>
        <w:rPr>
          <w:spacing w:val="-3"/>
          <w:sz w:val="18"/>
        </w:rPr>
        <w:t> </w:t>
      </w:r>
      <w:r>
        <w:rPr>
          <w:sz w:val="18"/>
        </w:rPr>
        <w:t>the practice/service</w:t>
      </w:r>
    </w:p>
    <w:p>
      <w:pPr>
        <w:spacing w:line="276" w:lineRule="auto" w:before="119"/>
        <w:ind w:left="288" w:right="695" w:firstLine="0"/>
        <w:jc w:val="left"/>
        <w:rPr>
          <w:sz w:val="18"/>
        </w:rPr>
      </w:pPr>
      <w:r>
        <w:rPr>
          <w:sz w:val="18"/>
        </w:rPr>
        <w:t>A link has been provided to the survey.</w:t>
      </w:r>
      <w:r>
        <w:rPr>
          <w:spacing w:val="1"/>
          <w:sz w:val="18"/>
        </w:rPr>
        <w:t> </w:t>
      </w:r>
      <w:r>
        <w:rPr>
          <w:sz w:val="18"/>
        </w:rPr>
        <w:t>You may return to this link on several occasions.</w:t>
      </w:r>
      <w:r>
        <w:rPr>
          <w:spacing w:val="1"/>
          <w:sz w:val="18"/>
        </w:rPr>
        <w:t> </w:t>
      </w:r>
      <w:r>
        <w:rPr>
          <w:sz w:val="18"/>
        </w:rPr>
        <w:t>The survey should be</w:t>
      </w:r>
      <w:r>
        <w:rPr>
          <w:spacing w:val="1"/>
          <w:sz w:val="18"/>
        </w:rPr>
        <w:t> </w:t>
      </w:r>
      <w:r>
        <w:rPr>
          <w:sz w:val="18"/>
        </w:rPr>
        <w:t>completed by 16 March 2018, although we encourage practices/services to apply the HCH-A tool prior to or shortly</w:t>
      </w:r>
      <w:r>
        <w:rPr>
          <w:spacing w:val="-47"/>
          <w:sz w:val="18"/>
        </w:rPr>
        <w:t> </w:t>
      </w:r>
      <w:r>
        <w:rPr>
          <w:sz w:val="18"/>
        </w:rPr>
        <w:t>after</w:t>
      </w:r>
      <w:r>
        <w:rPr>
          <w:spacing w:val="-1"/>
          <w:sz w:val="18"/>
        </w:rPr>
        <w:t> </w:t>
      </w:r>
      <w:r>
        <w:rPr>
          <w:sz w:val="18"/>
        </w:rPr>
        <w:t>the</w:t>
      </w:r>
      <w:r>
        <w:rPr>
          <w:spacing w:val="-2"/>
          <w:sz w:val="18"/>
        </w:rPr>
        <w:t> </w:t>
      </w:r>
      <w:r>
        <w:rPr>
          <w:sz w:val="18"/>
        </w:rPr>
        <w:t>commencement</w:t>
      </w:r>
      <w:r>
        <w:rPr>
          <w:spacing w:val="-2"/>
          <w:sz w:val="18"/>
        </w:rPr>
        <w:t> </w:t>
      </w:r>
      <w:r>
        <w:rPr>
          <w:sz w:val="18"/>
        </w:rPr>
        <w:t>of the HCH</w:t>
      </w:r>
      <w:r>
        <w:rPr>
          <w:spacing w:val="-1"/>
          <w:sz w:val="18"/>
        </w:rPr>
        <w:t> </w:t>
      </w:r>
      <w:r>
        <w:rPr>
          <w:sz w:val="18"/>
        </w:rPr>
        <w:t>program.</w:t>
      </w:r>
    </w:p>
    <w:p>
      <w:pPr>
        <w:spacing w:line="276" w:lineRule="auto" w:before="122"/>
        <w:ind w:left="288" w:right="625" w:firstLine="0"/>
        <w:jc w:val="left"/>
        <w:rPr>
          <w:sz w:val="18"/>
        </w:rPr>
      </w:pPr>
      <w:r>
        <w:rPr>
          <w:sz w:val="18"/>
        </w:rPr>
        <w:t>The information that you provide will be kept strictly confidential, and will not be used for any other purpose other</w:t>
      </w:r>
      <w:r>
        <w:rPr>
          <w:spacing w:val="1"/>
          <w:sz w:val="18"/>
        </w:rPr>
        <w:t> </w:t>
      </w:r>
      <w:r>
        <w:rPr>
          <w:sz w:val="18"/>
        </w:rPr>
        <w:t>than</w:t>
      </w:r>
      <w:r>
        <w:rPr>
          <w:spacing w:val="-4"/>
          <w:sz w:val="18"/>
        </w:rPr>
        <w:t> </w:t>
      </w:r>
      <w:r>
        <w:rPr>
          <w:sz w:val="18"/>
        </w:rPr>
        <w:t>the</w:t>
      </w:r>
      <w:r>
        <w:rPr>
          <w:spacing w:val="-3"/>
          <w:sz w:val="18"/>
        </w:rPr>
        <w:t> </w:t>
      </w:r>
      <w:r>
        <w:rPr>
          <w:sz w:val="18"/>
        </w:rPr>
        <w:t>evaluation</w:t>
      </w:r>
      <w:r>
        <w:rPr>
          <w:spacing w:val="-1"/>
          <w:sz w:val="18"/>
        </w:rPr>
        <w:t> </w:t>
      </w:r>
      <w:r>
        <w:rPr>
          <w:sz w:val="18"/>
        </w:rPr>
        <w:t>of</w:t>
      </w:r>
      <w:r>
        <w:rPr>
          <w:spacing w:val="-5"/>
          <w:sz w:val="18"/>
        </w:rPr>
        <w:t> </w:t>
      </w:r>
      <w:r>
        <w:rPr>
          <w:sz w:val="18"/>
        </w:rPr>
        <w:t>the</w:t>
      </w:r>
      <w:r>
        <w:rPr>
          <w:spacing w:val="-5"/>
          <w:sz w:val="18"/>
        </w:rPr>
        <w:t> </w:t>
      </w:r>
      <w:r>
        <w:rPr>
          <w:sz w:val="18"/>
        </w:rPr>
        <w:t>HCH</w:t>
      </w:r>
      <w:r>
        <w:rPr>
          <w:spacing w:val="-3"/>
          <w:sz w:val="18"/>
        </w:rPr>
        <w:t> </w:t>
      </w:r>
      <w:r>
        <w:rPr>
          <w:sz w:val="18"/>
        </w:rPr>
        <w:t>program.</w:t>
      </w:r>
      <w:r>
        <w:rPr>
          <w:spacing w:val="2"/>
          <w:sz w:val="18"/>
        </w:rPr>
        <w:t> </w:t>
      </w:r>
      <w:r>
        <w:rPr>
          <w:sz w:val="18"/>
        </w:rPr>
        <w:t>All</w:t>
      </w:r>
      <w:r>
        <w:rPr>
          <w:spacing w:val="-3"/>
          <w:sz w:val="18"/>
        </w:rPr>
        <w:t> </w:t>
      </w:r>
      <w:r>
        <w:rPr>
          <w:sz w:val="18"/>
        </w:rPr>
        <w:t>reports</w:t>
      </w:r>
      <w:r>
        <w:rPr>
          <w:spacing w:val="-4"/>
          <w:sz w:val="18"/>
        </w:rPr>
        <w:t> </w:t>
      </w:r>
      <w:r>
        <w:rPr>
          <w:sz w:val="18"/>
        </w:rPr>
        <w:t>of</w:t>
      </w:r>
      <w:r>
        <w:rPr>
          <w:spacing w:val="-4"/>
          <w:sz w:val="18"/>
        </w:rPr>
        <w:t> </w:t>
      </w:r>
      <w:r>
        <w:rPr>
          <w:sz w:val="18"/>
        </w:rPr>
        <w:t>the</w:t>
      </w:r>
      <w:r>
        <w:rPr>
          <w:spacing w:val="-3"/>
          <w:sz w:val="18"/>
        </w:rPr>
        <w:t> </w:t>
      </w:r>
      <w:r>
        <w:rPr>
          <w:sz w:val="18"/>
        </w:rPr>
        <w:t>evaluation</w:t>
      </w:r>
      <w:r>
        <w:rPr>
          <w:spacing w:val="-3"/>
          <w:sz w:val="18"/>
        </w:rPr>
        <w:t> </w:t>
      </w:r>
      <w:r>
        <w:rPr>
          <w:sz w:val="18"/>
        </w:rPr>
        <w:t>will</w:t>
      </w:r>
      <w:r>
        <w:rPr>
          <w:spacing w:val="-4"/>
          <w:sz w:val="18"/>
        </w:rPr>
        <w:t> </w:t>
      </w:r>
      <w:r>
        <w:rPr>
          <w:sz w:val="18"/>
        </w:rPr>
        <w:t>only</w:t>
      </w:r>
      <w:r>
        <w:rPr>
          <w:spacing w:val="-4"/>
          <w:sz w:val="18"/>
        </w:rPr>
        <w:t> </w:t>
      </w:r>
      <w:r>
        <w:rPr>
          <w:sz w:val="18"/>
        </w:rPr>
        <w:t>contain</w:t>
      </w:r>
      <w:r>
        <w:rPr>
          <w:spacing w:val="-3"/>
          <w:sz w:val="18"/>
        </w:rPr>
        <w:t> </w:t>
      </w:r>
      <w:r>
        <w:rPr>
          <w:sz w:val="18"/>
        </w:rPr>
        <w:t>descriptive</w:t>
      </w:r>
      <w:r>
        <w:rPr>
          <w:spacing w:val="-5"/>
          <w:sz w:val="18"/>
        </w:rPr>
        <w:t> </w:t>
      </w:r>
      <w:r>
        <w:rPr>
          <w:sz w:val="18"/>
        </w:rPr>
        <w:t>information</w:t>
      </w:r>
      <w:r>
        <w:rPr>
          <w:spacing w:val="-5"/>
          <w:sz w:val="18"/>
        </w:rPr>
        <w:t> </w:t>
      </w:r>
      <w:r>
        <w:rPr>
          <w:sz w:val="18"/>
        </w:rPr>
        <w:t>about</w:t>
      </w:r>
      <w:r>
        <w:rPr>
          <w:spacing w:val="1"/>
          <w:sz w:val="18"/>
        </w:rPr>
        <w:t> </w:t>
      </w:r>
      <w:r>
        <w:rPr>
          <w:sz w:val="18"/>
        </w:rPr>
        <w:t>individual practices/ services (e.g. geographic location in summary categories such as rural, remote, very remote).</w:t>
      </w:r>
      <w:r>
        <w:rPr>
          <w:spacing w:val="1"/>
          <w:sz w:val="18"/>
        </w:rPr>
        <w:t> </w:t>
      </w:r>
      <w:r>
        <w:rPr>
          <w:sz w:val="18"/>
        </w:rPr>
        <w:t>No</w:t>
      </w:r>
      <w:r>
        <w:rPr>
          <w:spacing w:val="-1"/>
          <w:sz w:val="18"/>
        </w:rPr>
        <w:t> </w:t>
      </w:r>
      <w:r>
        <w:rPr>
          <w:sz w:val="18"/>
        </w:rPr>
        <w:t>ratings</w:t>
      </w:r>
      <w:r>
        <w:rPr>
          <w:spacing w:val="-2"/>
          <w:sz w:val="18"/>
        </w:rPr>
        <w:t> </w:t>
      </w:r>
      <w:r>
        <w:rPr>
          <w:sz w:val="18"/>
        </w:rPr>
        <w:t>or</w:t>
      </w:r>
      <w:r>
        <w:rPr>
          <w:spacing w:val="-1"/>
          <w:sz w:val="18"/>
        </w:rPr>
        <w:t> </w:t>
      </w:r>
      <w:r>
        <w:rPr>
          <w:sz w:val="18"/>
        </w:rPr>
        <w:t>views</w:t>
      </w:r>
      <w:r>
        <w:rPr>
          <w:spacing w:val="-2"/>
          <w:sz w:val="18"/>
        </w:rPr>
        <w:t> </w:t>
      </w:r>
      <w:r>
        <w:rPr>
          <w:sz w:val="18"/>
        </w:rPr>
        <w:t>requested</w:t>
      </w:r>
      <w:r>
        <w:rPr>
          <w:spacing w:val="-2"/>
          <w:sz w:val="18"/>
        </w:rPr>
        <w:t> </w:t>
      </w:r>
      <w:r>
        <w:rPr>
          <w:sz w:val="18"/>
        </w:rPr>
        <w:t>through</w:t>
      </w:r>
      <w:r>
        <w:rPr>
          <w:spacing w:val="-1"/>
          <w:sz w:val="18"/>
        </w:rPr>
        <w:t> </w:t>
      </w:r>
      <w:r>
        <w:rPr>
          <w:sz w:val="18"/>
        </w:rPr>
        <w:t>this</w:t>
      </w:r>
      <w:r>
        <w:rPr>
          <w:spacing w:val="3"/>
          <w:sz w:val="18"/>
        </w:rPr>
        <w:t> </w:t>
      </w:r>
      <w:r>
        <w:rPr>
          <w:sz w:val="18"/>
        </w:rPr>
        <w:t>survey</w:t>
      </w:r>
      <w:r>
        <w:rPr>
          <w:spacing w:val="-2"/>
          <w:sz w:val="18"/>
        </w:rPr>
        <w:t> </w:t>
      </w:r>
      <w:r>
        <w:rPr>
          <w:sz w:val="18"/>
        </w:rPr>
        <w:t>will</w:t>
      </w:r>
      <w:r>
        <w:rPr>
          <w:spacing w:val="-4"/>
          <w:sz w:val="18"/>
        </w:rPr>
        <w:t> </w:t>
      </w:r>
      <w:r>
        <w:rPr>
          <w:sz w:val="18"/>
        </w:rPr>
        <w:t>be</w:t>
      </w:r>
      <w:r>
        <w:rPr>
          <w:spacing w:val="-3"/>
          <w:sz w:val="18"/>
        </w:rPr>
        <w:t> </w:t>
      </w:r>
      <w:r>
        <w:rPr>
          <w:sz w:val="18"/>
        </w:rPr>
        <w:t>attributed</w:t>
      </w:r>
      <w:r>
        <w:rPr>
          <w:spacing w:val="-2"/>
          <w:sz w:val="18"/>
        </w:rPr>
        <w:t> </w:t>
      </w:r>
      <w:r>
        <w:rPr>
          <w:sz w:val="18"/>
        </w:rPr>
        <w:t>to</w:t>
      </w:r>
      <w:r>
        <w:rPr>
          <w:spacing w:val="-2"/>
          <w:sz w:val="18"/>
        </w:rPr>
        <w:t> </w:t>
      </w:r>
      <w:r>
        <w:rPr>
          <w:sz w:val="18"/>
        </w:rPr>
        <w:t>any</w:t>
      </w:r>
      <w:r>
        <w:rPr>
          <w:spacing w:val="-1"/>
          <w:sz w:val="18"/>
        </w:rPr>
        <w:t> </w:t>
      </w:r>
      <w:r>
        <w:rPr>
          <w:sz w:val="18"/>
        </w:rPr>
        <w:t>individual</w:t>
      </w:r>
      <w:r>
        <w:rPr>
          <w:spacing w:val="-3"/>
          <w:sz w:val="18"/>
        </w:rPr>
        <w:t> </w:t>
      </w:r>
      <w:r>
        <w:rPr>
          <w:sz w:val="18"/>
        </w:rPr>
        <w:t>practice/</w:t>
      </w:r>
      <w:r>
        <w:rPr>
          <w:spacing w:val="-1"/>
          <w:sz w:val="18"/>
        </w:rPr>
        <w:t> </w:t>
      </w:r>
      <w:r>
        <w:rPr>
          <w:sz w:val="18"/>
        </w:rPr>
        <w:t>service.</w:t>
      </w:r>
    </w:p>
    <w:p>
      <w:pPr>
        <w:spacing w:line="276" w:lineRule="auto" w:before="121"/>
        <w:ind w:left="288" w:right="986" w:firstLine="0"/>
        <w:jc w:val="left"/>
        <w:rPr>
          <w:sz w:val="18"/>
        </w:rPr>
      </w:pPr>
      <w:r>
        <w:rPr>
          <w:sz w:val="18"/>
        </w:rPr>
        <w:t>The evaluation is being conducted by Health Policy Analysis, on behalf of the Commonwealth Department of</w:t>
      </w:r>
      <w:r>
        <w:rPr>
          <w:spacing w:val="1"/>
          <w:sz w:val="18"/>
        </w:rPr>
        <w:t> </w:t>
      </w:r>
      <w:r>
        <w:rPr>
          <w:sz w:val="18"/>
        </w:rPr>
        <w:t>Health. If you would like any further information about this survey or the evaluation, please contact Health Policy</w:t>
      </w:r>
      <w:r>
        <w:rPr>
          <w:spacing w:val="-47"/>
          <w:sz w:val="18"/>
        </w:rPr>
        <w:t> </w:t>
      </w:r>
      <w:r>
        <w:rPr>
          <w:sz w:val="18"/>
        </w:rPr>
        <w:t>Analysis</w:t>
      </w:r>
      <w:r>
        <w:rPr>
          <w:spacing w:val="-2"/>
          <w:sz w:val="18"/>
        </w:rPr>
        <w:t> </w:t>
      </w:r>
      <w:r>
        <w:rPr>
          <w:sz w:val="18"/>
        </w:rPr>
        <w:t>on</w:t>
      </w:r>
      <w:r>
        <w:rPr>
          <w:spacing w:val="3"/>
          <w:sz w:val="18"/>
        </w:rPr>
        <w:t> </w:t>
      </w:r>
      <w:r>
        <w:rPr>
          <w:sz w:val="18"/>
        </w:rPr>
        <w:t>(02)</w:t>
      </w:r>
      <w:r>
        <w:rPr>
          <w:spacing w:val="-2"/>
          <w:sz w:val="18"/>
        </w:rPr>
        <w:t> </w:t>
      </w:r>
      <w:r>
        <w:rPr>
          <w:sz w:val="18"/>
        </w:rPr>
        <w:t>8065</w:t>
      </w:r>
      <w:r>
        <w:rPr>
          <w:spacing w:val="-2"/>
          <w:sz w:val="18"/>
        </w:rPr>
        <w:t> </w:t>
      </w:r>
      <w:r>
        <w:rPr>
          <w:sz w:val="18"/>
        </w:rPr>
        <w:t>6491 or</w:t>
      </w:r>
      <w:r>
        <w:rPr>
          <w:spacing w:val="-2"/>
          <w:sz w:val="18"/>
        </w:rPr>
        <w:t> </w:t>
      </w:r>
      <w:hyperlink r:id="rId38">
        <w:r>
          <w:rPr>
            <w:sz w:val="18"/>
          </w:rPr>
          <w:t>info@healthpolicy.com.au.</w:t>
        </w:r>
      </w:hyperlink>
    </w:p>
    <w:p>
      <w:pPr>
        <w:spacing w:line="276" w:lineRule="auto" w:before="119"/>
        <w:ind w:left="288" w:right="795" w:firstLine="0"/>
        <w:jc w:val="left"/>
        <w:rPr>
          <w:sz w:val="18"/>
        </w:rPr>
      </w:pPr>
      <w:r>
        <w:rPr>
          <w:sz w:val="18"/>
        </w:rPr>
        <w:t>The HCH evaluation has been approved by the Department of Health Human Research Ethics Committee Project</w:t>
      </w:r>
      <w:r>
        <w:rPr>
          <w:spacing w:val="1"/>
          <w:sz w:val="18"/>
        </w:rPr>
        <w:t> </w:t>
      </w:r>
      <w:r>
        <w:rPr>
          <w:sz w:val="18"/>
        </w:rPr>
        <w:t>04-2017 – Health Care Homes Program, Part A: National Evaluation If you have any concerns or complaints on the</w:t>
      </w:r>
      <w:r>
        <w:rPr>
          <w:spacing w:val="1"/>
          <w:sz w:val="18"/>
        </w:rPr>
        <w:t> </w:t>
      </w:r>
      <w:r>
        <w:rPr>
          <w:sz w:val="18"/>
        </w:rPr>
        <w:t>ethical</w:t>
      </w:r>
      <w:r>
        <w:rPr>
          <w:spacing w:val="-4"/>
          <w:sz w:val="18"/>
        </w:rPr>
        <w:t> </w:t>
      </w:r>
      <w:r>
        <w:rPr>
          <w:sz w:val="18"/>
        </w:rPr>
        <w:t>conduct</w:t>
      </w:r>
      <w:r>
        <w:rPr>
          <w:spacing w:val="-5"/>
          <w:sz w:val="18"/>
        </w:rPr>
        <w:t> </w:t>
      </w:r>
      <w:r>
        <w:rPr>
          <w:sz w:val="18"/>
        </w:rPr>
        <w:t>of</w:t>
      </w:r>
      <w:r>
        <w:rPr>
          <w:spacing w:val="-3"/>
          <w:sz w:val="18"/>
        </w:rPr>
        <w:t> </w:t>
      </w:r>
      <w:r>
        <w:rPr>
          <w:sz w:val="18"/>
        </w:rPr>
        <w:t>this</w:t>
      </w:r>
      <w:r>
        <w:rPr>
          <w:spacing w:val="-4"/>
          <w:sz w:val="18"/>
        </w:rPr>
        <w:t> </w:t>
      </w:r>
      <w:r>
        <w:rPr>
          <w:sz w:val="18"/>
        </w:rPr>
        <w:t>research,</w:t>
      </w:r>
      <w:r>
        <w:rPr>
          <w:spacing w:val="-6"/>
          <w:sz w:val="18"/>
        </w:rPr>
        <w:t> </w:t>
      </w:r>
      <w:r>
        <w:rPr>
          <w:sz w:val="18"/>
        </w:rPr>
        <w:t>please</w:t>
      </w:r>
      <w:r>
        <w:rPr>
          <w:spacing w:val="-3"/>
          <w:sz w:val="18"/>
        </w:rPr>
        <w:t> </w:t>
      </w:r>
      <w:r>
        <w:rPr>
          <w:sz w:val="18"/>
        </w:rPr>
        <w:t>contact</w:t>
      </w:r>
      <w:r>
        <w:rPr>
          <w:spacing w:val="-5"/>
          <w:sz w:val="18"/>
        </w:rPr>
        <w:t> </w:t>
      </w:r>
      <w:r>
        <w:rPr>
          <w:sz w:val="18"/>
        </w:rPr>
        <w:t>the</w:t>
      </w:r>
      <w:r>
        <w:rPr>
          <w:spacing w:val="-4"/>
          <w:sz w:val="18"/>
        </w:rPr>
        <w:t> </w:t>
      </w:r>
      <w:r>
        <w:rPr>
          <w:sz w:val="18"/>
        </w:rPr>
        <w:t>Committee</w:t>
      </w:r>
      <w:r>
        <w:rPr>
          <w:spacing w:val="-3"/>
          <w:sz w:val="18"/>
        </w:rPr>
        <w:t> </w:t>
      </w:r>
      <w:r>
        <w:rPr>
          <w:sz w:val="18"/>
        </w:rPr>
        <w:t>Secretariat</w:t>
      </w:r>
      <w:r>
        <w:rPr>
          <w:spacing w:val="-6"/>
          <w:sz w:val="18"/>
        </w:rPr>
        <w:t> </w:t>
      </w:r>
      <w:r>
        <w:rPr>
          <w:sz w:val="18"/>
        </w:rPr>
        <w:t>by</w:t>
      </w:r>
      <w:r>
        <w:rPr>
          <w:spacing w:val="-4"/>
          <w:sz w:val="18"/>
        </w:rPr>
        <w:t> </w:t>
      </w:r>
      <w:r>
        <w:rPr>
          <w:sz w:val="18"/>
        </w:rPr>
        <w:t>email</w:t>
      </w:r>
      <w:r>
        <w:rPr>
          <w:spacing w:val="-3"/>
          <w:sz w:val="18"/>
        </w:rPr>
        <w:t> </w:t>
      </w:r>
      <w:r>
        <w:rPr>
          <w:sz w:val="18"/>
        </w:rPr>
        <w:t>at</w:t>
      </w:r>
      <w:r>
        <w:rPr>
          <w:spacing w:val="-6"/>
          <w:sz w:val="18"/>
        </w:rPr>
        <w:t> </w:t>
      </w:r>
      <w:hyperlink r:id="rId39">
        <w:r>
          <w:rPr>
            <w:sz w:val="18"/>
          </w:rPr>
          <w:t>ethics@health.gov.au.</w:t>
        </w:r>
        <w:r>
          <w:rPr>
            <w:spacing w:val="-3"/>
            <w:sz w:val="18"/>
          </w:rPr>
          <w:t> </w:t>
        </w:r>
      </w:hyperlink>
      <w:r>
        <w:rPr>
          <w:sz w:val="18"/>
        </w:rPr>
        <w:t>The</w:t>
      </w:r>
      <w:r>
        <w:rPr>
          <w:spacing w:val="1"/>
          <w:sz w:val="18"/>
        </w:rPr>
        <w:t> </w:t>
      </w:r>
      <w:r>
        <w:rPr>
          <w:sz w:val="18"/>
        </w:rPr>
        <w:t>issue</w:t>
      </w:r>
      <w:r>
        <w:rPr>
          <w:spacing w:val="-3"/>
          <w:sz w:val="18"/>
        </w:rPr>
        <w:t> </w:t>
      </w:r>
      <w:r>
        <w:rPr>
          <w:sz w:val="18"/>
        </w:rPr>
        <w:t>will</w:t>
      </w:r>
      <w:r>
        <w:rPr>
          <w:spacing w:val="-1"/>
          <w:sz w:val="18"/>
        </w:rPr>
        <w:t> </w:t>
      </w:r>
      <w:r>
        <w:rPr>
          <w:sz w:val="18"/>
        </w:rPr>
        <w:t>then be</w:t>
      </w:r>
      <w:r>
        <w:rPr>
          <w:spacing w:val="-2"/>
          <w:sz w:val="18"/>
        </w:rPr>
        <w:t> </w:t>
      </w:r>
      <w:r>
        <w:rPr>
          <w:sz w:val="18"/>
        </w:rPr>
        <w:t>referred</w:t>
      </w:r>
      <w:r>
        <w:rPr>
          <w:spacing w:val="-1"/>
          <w:sz w:val="18"/>
        </w:rPr>
        <w:t> </w:t>
      </w:r>
      <w:r>
        <w:rPr>
          <w:sz w:val="18"/>
        </w:rPr>
        <w:t>to</w:t>
      </w:r>
      <w:r>
        <w:rPr>
          <w:spacing w:val="-2"/>
          <w:sz w:val="18"/>
        </w:rPr>
        <w:t> </w:t>
      </w:r>
      <w:r>
        <w:rPr>
          <w:sz w:val="18"/>
        </w:rPr>
        <w:t>the Chair of the Committee.</w:t>
      </w:r>
    </w:p>
    <w:p>
      <w:pPr>
        <w:spacing w:before="120"/>
        <w:ind w:left="288" w:right="0" w:firstLine="0"/>
        <w:jc w:val="left"/>
        <w:rPr>
          <w:sz w:val="18"/>
        </w:rPr>
      </w:pPr>
      <w:r>
        <w:rPr>
          <w:sz w:val="18"/>
        </w:rPr>
        <w:t>If</w:t>
      </w:r>
      <w:r>
        <w:rPr>
          <w:spacing w:val="-5"/>
          <w:sz w:val="18"/>
        </w:rPr>
        <w:t> </w:t>
      </w:r>
      <w:r>
        <w:rPr>
          <w:sz w:val="18"/>
        </w:rPr>
        <w:t>you</w:t>
      </w:r>
      <w:r>
        <w:rPr>
          <w:spacing w:val="-4"/>
          <w:sz w:val="18"/>
        </w:rPr>
        <w:t> </w:t>
      </w:r>
      <w:r>
        <w:rPr>
          <w:sz w:val="18"/>
        </w:rPr>
        <w:t>have</w:t>
      </w:r>
      <w:r>
        <w:rPr>
          <w:spacing w:val="-3"/>
          <w:sz w:val="18"/>
        </w:rPr>
        <w:t> </w:t>
      </w:r>
      <w:r>
        <w:rPr>
          <w:sz w:val="18"/>
        </w:rPr>
        <w:t>any</w:t>
      </w:r>
      <w:r>
        <w:rPr>
          <w:spacing w:val="-4"/>
          <w:sz w:val="18"/>
        </w:rPr>
        <w:t> </w:t>
      </w:r>
      <w:r>
        <w:rPr>
          <w:sz w:val="18"/>
        </w:rPr>
        <w:t>questions</w:t>
      </w:r>
      <w:r>
        <w:rPr>
          <w:spacing w:val="-5"/>
          <w:sz w:val="18"/>
        </w:rPr>
        <w:t> </w:t>
      </w:r>
      <w:r>
        <w:rPr>
          <w:sz w:val="18"/>
        </w:rPr>
        <w:t>regarding</w:t>
      </w:r>
      <w:r>
        <w:rPr>
          <w:spacing w:val="-5"/>
          <w:sz w:val="18"/>
        </w:rPr>
        <w:t> </w:t>
      </w:r>
      <w:r>
        <w:rPr>
          <w:sz w:val="18"/>
        </w:rPr>
        <w:t>the</w:t>
      </w:r>
      <w:r>
        <w:rPr>
          <w:spacing w:val="-3"/>
          <w:sz w:val="18"/>
        </w:rPr>
        <w:t> </w:t>
      </w:r>
      <w:r>
        <w:rPr>
          <w:sz w:val="18"/>
        </w:rPr>
        <w:t>HCH</w:t>
      </w:r>
      <w:r>
        <w:rPr>
          <w:spacing w:val="-4"/>
          <w:sz w:val="18"/>
        </w:rPr>
        <w:t> </w:t>
      </w:r>
      <w:r>
        <w:rPr>
          <w:sz w:val="18"/>
        </w:rPr>
        <w:t>program,</w:t>
      </w:r>
      <w:r>
        <w:rPr>
          <w:spacing w:val="-3"/>
          <w:sz w:val="18"/>
        </w:rPr>
        <w:t> </w:t>
      </w:r>
      <w:r>
        <w:rPr>
          <w:sz w:val="18"/>
        </w:rPr>
        <w:t>please</w:t>
      </w:r>
      <w:r>
        <w:rPr>
          <w:spacing w:val="-3"/>
          <w:sz w:val="18"/>
        </w:rPr>
        <w:t> </w:t>
      </w:r>
      <w:r>
        <w:rPr>
          <w:sz w:val="18"/>
        </w:rPr>
        <w:t>contact</w:t>
      </w:r>
      <w:r>
        <w:rPr>
          <w:spacing w:val="-5"/>
          <w:sz w:val="18"/>
        </w:rPr>
        <w:t> </w:t>
      </w:r>
      <w:hyperlink r:id="rId40">
        <w:r>
          <w:rPr>
            <w:sz w:val="18"/>
          </w:rPr>
          <w:t>healthcarehomes@health.gov.au.</w:t>
        </w:r>
      </w:hyperlink>
    </w:p>
    <w:p>
      <w:pPr>
        <w:pStyle w:val="BodyText"/>
      </w:pPr>
    </w:p>
    <w:p>
      <w:pPr>
        <w:pStyle w:val="BodyText"/>
        <w:spacing w:before="6"/>
        <w:rPr>
          <w:sz w:val="21"/>
        </w:rPr>
      </w:pPr>
    </w:p>
    <w:p>
      <w:pPr>
        <w:pStyle w:val="ListParagraph"/>
        <w:numPr>
          <w:ilvl w:val="0"/>
          <w:numId w:val="42"/>
        </w:numPr>
        <w:tabs>
          <w:tab w:pos="339" w:val="left" w:leader="none"/>
        </w:tabs>
        <w:spacing w:line="273" w:lineRule="auto" w:before="0" w:after="0"/>
        <w:ind w:left="140" w:right="1840" w:firstLine="0"/>
        <w:jc w:val="left"/>
        <w:rPr>
          <w:sz w:val="18"/>
        </w:rPr>
      </w:pPr>
      <w:r>
        <w:rPr>
          <w:sz w:val="18"/>
        </w:rPr>
        <w:t>Please enter the final consensus score agreed for each item of the HCH-A tool, following discussion by</w:t>
      </w:r>
      <w:r>
        <w:rPr>
          <w:spacing w:val="-47"/>
          <w:sz w:val="18"/>
        </w:rPr>
        <w:t> </w:t>
      </w:r>
      <w:r>
        <w:rPr>
          <w:sz w:val="18"/>
        </w:rPr>
        <w:t>practice/service</w:t>
      </w:r>
      <w:r>
        <w:rPr>
          <w:spacing w:val="-1"/>
          <w:sz w:val="18"/>
        </w:rPr>
        <w:t> </w:t>
      </w:r>
      <w:r>
        <w:rPr>
          <w:sz w:val="18"/>
        </w:rPr>
        <w:t>staff.</w:t>
      </w:r>
    </w:p>
    <w:p>
      <w:pPr>
        <w:pStyle w:val="BodyText"/>
        <w:spacing w:before="8"/>
        <w:rPr>
          <w:sz w:val="16"/>
        </w:rPr>
      </w:pPr>
    </w:p>
    <w:tbl>
      <w:tblPr>
        <w:tblW w:w="0" w:type="auto"/>
        <w:jc w:val="left"/>
        <w:tblInd w:w="1554"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808"/>
        <w:gridCol w:w="1805"/>
        <w:gridCol w:w="353"/>
        <w:gridCol w:w="1561"/>
        <w:gridCol w:w="2128"/>
      </w:tblGrid>
      <w:tr>
        <w:trPr>
          <w:trHeight w:val="220" w:hRule="atLeast"/>
        </w:trPr>
        <w:tc>
          <w:tcPr>
            <w:tcW w:w="1808" w:type="dxa"/>
            <w:shd w:val="clear" w:color="auto" w:fill="F1F1F1"/>
          </w:tcPr>
          <w:p>
            <w:pPr>
              <w:pStyle w:val="TableParagraph"/>
              <w:spacing w:line="200" w:lineRule="exact"/>
              <w:ind w:left="107"/>
              <w:rPr>
                <w:sz w:val="18"/>
              </w:rPr>
            </w:pPr>
            <w:r>
              <w:rPr>
                <w:sz w:val="18"/>
              </w:rPr>
              <w:t>Question</w:t>
            </w:r>
          </w:p>
        </w:tc>
        <w:tc>
          <w:tcPr>
            <w:tcW w:w="1805" w:type="dxa"/>
            <w:shd w:val="clear" w:color="auto" w:fill="F1F1F1"/>
          </w:tcPr>
          <w:p>
            <w:pPr>
              <w:pStyle w:val="TableParagraph"/>
              <w:spacing w:line="200" w:lineRule="exact"/>
              <w:ind w:left="105"/>
              <w:rPr>
                <w:sz w:val="18"/>
              </w:rPr>
            </w:pPr>
            <w:r>
              <w:rPr>
                <w:sz w:val="18"/>
              </w:rPr>
              <w:t>Response</w:t>
            </w:r>
          </w:p>
        </w:tc>
        <w:tc>
          <w:tcPr>
            <w:tcW w:w="353" w:type="dxa"/>
            <w:vMerge w:val="restart"/>
            <w:tcBorders>
              <w:top w:val="nil"/>
              <w:bottom w:val="nil"/>
            </w:tcBorders>
          </w:tcPr>
          <w:p>
            <w:pPr>
              <w:pStyle w:val="TableParagraph"/>
              <w:rPr>
                <w:rFonts w:ascii="Times New Roman"/>
                <w:sz w:val="18"/>
              </w:rPr>
            </w:pPr>
          </w:p>
        </w:tc>
        <w:tc>
          <w:tcPr>
            <w:tcW w:w="1561" w:type="dxa"/>
            <w:shd w:val="clear" w:color="auto" w:fill="F1F1F1"/>
          </w:tcPr>
          <w:p>
            <w:pPr>
              <w:pStyle w:val="TableParagraph"/>
              <w:spacing w:line="200" w:lineRule="exact"/>
              <w:ind w:left="107"/>
              <w:rPr>
                <w:sz w:val="18"/>
              </w:rPr>
            </w:pPr>
            <w:r>
              <w:rPr>
                <w:sz w:val="18"/>
              </w:rPr>
              <w:t>Question</w:t>
            </w:r>
          </w:p>
        </w:tc>
        <w:tc>
          <w:tcPr>
            <w:tcW w:w="2128" w:type="dxa"/>
            <w:shd w:val="clear" w:color="auto" w:fill="F1F1F1"/>
          </w:tcPr>
          <w:p>
            <w:pPr>
              <w:pStyle w:val="TableParagraph"/>
              <w:spacing w:line="200" w:lineRule="exact"/>
              <w:ind w:left="106"/>
              <w:rPr>
                <w:sz w:val="18"/>
              </w:rPr>
            </w:pPr>
            <w:r>
              <w:rPr>
                <w:sz w:val="18"/>
              </w:rPr>
              <w:t>Response</w:t>
            </w:r>
          </w:p>
        </w:tc>
      </w:tr>
      <w:tr>
        <w:trPr>
          <w:trHeight w:val="220" w:hRule="atLeast"/>
        </w:trPr>
        <w:tc>
          <w:tcPr>
            <w:tcW w:w="1808" w:type="dxa"/>
          </w:tcPr>
          <w:p>
            <w:pPr>
              <w:pStyle w:val="TableParagraph"/>
              <w:spacing w:line="200" w:lineRule="exact"/>
              <w:ind w:left="107"/>
              <w:rPr>
                <w:sz w:val="18"/>
              </w:rPr>
            </w:pPr>
            <w:r>
              <w:rPr>
                <w:sz w:val="18"/>
              </w:rPr>
              <w:t>Q01</w:t>
            </w:r>
            <w:r>
              <w:rPr>
                <w:spacing w:val="-1"/>
                <w:sz w:val="18"/>
              </w:rPr>
              <w:t> </w:t>
            </w:r>
            <w:r>
              <w:rPr>
                <w:sz w:val="18"/>
              </w:rPr>
              <w:t>(1)</w:t>
            </w:r>
          </w:p>
        </w:tc>
        <w:tc>
          <w:tcPr>
            <w:tcW w:w="1805" w:type="dxa"/>
          </w:tcPr>
          <w:p>
            <w:pPr>
              <w:pStyle w:val="TableParagraph"/>
              <w:rPr>
                <w:rFonts w:ascii="Times New Roman"/>
                <w:sz w:val="14"/>
              </w:rPr>
            </w:pPr>
          </w:p>
        </w:tc>
        <w:tc>
          <w:tcPr>
            <w:tcW w:w="353" w:type="dxa"/>
            <w:vMerge/>
            <w:tcBorders>
              <w:top w:val="nil"/>
              <w:bottom w:val="nil"/>
            </w:tcBorders>
          </w:tcPr>
          <w:p>
            <w:pPr>
              <w:rPr>
                <w:sz w:val="2"/>
                <w:szCs w:val="2"/>
              </w:rPr>
            </w:pPr>
          </w:p>
        </w:tc>
        <w:tc>
          <w:tcPr>
            <w:tcW w:w="1561" w:type="dxa"/>
          </w:tcPr>
          <w:p>
            <w:pPr>
              <w:pStyle w:val="TableParagraph"/>
              <w:spacing w:line="200" w:lineRule="exact"/>
              <w:ind w:left="107"/>
              <w:rPr>
                <w:sz w:val="18"/>
              </w:rPr>
            </w:pPr>
            <w:r>
              <w:rPr>
                <w:sz w:val="18"/>
              </w:rPr>
              <w:t>Q19</w:t>
            </w:r>
            <w:r>
              <w:rPr>
                <w:spacing w:val="-1"/>
                <w:sz w:val="18"/>
              </w:rPr>
              <w:t> </w:t>
            </w:r>
            <w:r>
              <w:rPr>
                <w:sz w:val="18"/>
              </w:rPr>
              <w:t>(1)</w:t>
            </w:r>
          </w:p>
        </w:tc>
        <w:tc>
          <w:tcPr>
            <w:tcW w:w="2128" w:type="dxa"/>
          </w:tcPr>
          <w:p>
            <w:pPr>
              <w:pStyle w:val="TableParagraph"/>
              <w:rPr>
                <w:rFonts w:ascii="Times New Roman"/>
                <w:sz w:val="14"/>
              </w:rPr>
            </w:pPr>
          </w:p>
        </w:tc>
      </w:tr>
      <w:tr>
        <w:trPr>
          <w:trHeight w:val="220" w:hRule="atLeast"/>
        </w:trPr>
        <w:tc>
          <w:tcPr>
            <w:tcW w:w="1808" w:type="dxa"/>
          </w:tcPr>
          <w:p>
            <w:pPr>
              <w:pStyle w:val="TableParagraph"/>
              <w:spacing w:line="200" w:lineRule="exact"/>
              <w:ind w:left="107"/>
              <w:rPr>
                <w:sz w:val="18"/>
              </w:rPr>
            </w:pPr>
            <w:r>
              <w:rPr>
                <w:sz w:val="18"/>
              </w:rPr>
              <w:t>Q02</w:t>
            </w:r>
            <w:r>
              <w:rPr>
                <w:spacing w:val="-1"/>
                <w:sz w:val="18"/>
              </w:rPr>
              <w:t> </w:t>
            </w:r>
            <w:r>
              <w:rPr>
                <w:sz w:val="18"/>
              </w:rPr>
              <w:t>(2)</w:t>
            </w:r>
          </w:p>
        </w:tc>
        <w:tc>
          <w:tcPr>
            <w:tcW w:w="1805" w:type="dxa"/>
          </w:tcPr>
          <w:p>
            <w:pPr>
              <w:pStyle w:val="TableParagraph"/>
              <w:rPr>
                <w:rFonts w:ascii="Times New Roman"/>
                <w:sz w:val="14"/>
              </w:rPr>
            </w:pPr>
          </w:p>
        </w:tc>
        <w:tc>
          <w:tcPr>
            <w:tcW w:w="353" w:type="dxa"/>
            <w:vMerge/>
            <w:tcBorders>
              <w:top w:val="nil"/>
              <w:bottom w:val="nil"/>
            </w:tcBorders>
          </w:tcPr>
          <w:p>
            <w:pPr>
              <w:rPr>
                <w:sz w:val="2"/>
                <w:szCs w:val="2"/>
              </w:rPr>
            </w:pPr>
          </w:p>
        </w:tc>
        <w:tc>
          <w:tcPr>
            <w:tcW w:w="1561" w:type="dxa"/>
          </w:tcPr>
          <w:p>
            <w:pPr>
              <w:pStyle w:val="TableParagraph"/>
              <w:spacing w:line="200" w:lineRule="exact"/>
              <w:ind w:left="107"/>
              <w:rPr>
                <w:sz w:val="18"/>
              </w:rPr>
            </w:pPr>
            <w:r>
              <w:rPr>
                <w:sz w:val="18"/>
              </w:rPr>
              <w:t>Q20</w:t>
            </w:r>
            <w:r>
              <w:rPr>
                <w:spacing w:val="-1"/>
                <w:sz w:val="18"/>
              </w:rPr>
              <w:t> </w:t>
            </w:r>
            <w:r>
              <w:rPr>
                <w:sz w:val="18"/>
              </w:rPr>
              <w:t>(2)</w:t>
            </w:r>
          </w:p>
        </w:tc>
        <w:tc>
          <w:tcPr>
            <w:tcW w:w="2128" w:type="dxa"/>
          </w:tcPr>
          <w:p>
            <w:pPr>
              <w:pStyle w:val="TableParagraph"/>
              <w:rPr>
                <w:rFonts w:ascii="Times New Roman"/>
                <w:sz w:val="14"/>
              </w:rPr>
            </w:pPr>
          </w:p>
        </w:tc>
      </w:tr>
      <w:tr>
        <w:trPr>
          <w:trHeight w:val="222" w:hRule="atLeast"/>
        </w:trPr>
        <w:tc>
          <w:tcPr>
            <w:tcW w:w="1808" w:type="dxa"/>
          </w:tcPr>
          <w:p>
            <w:pPr>
              <w:pStyle w:val="TableParagraph"/>
              <w:spacing w:line="202" w:lineRule="exact" w:before="1"/>
              <w:ind w:left="107"/>
              <w:rPr>
                <w:sz w:val="18"/>
              </w:rPr>
            </w:pPr>
            <w:r>
              <w:rPr>
                <w:sz w:val="18"/>
              </w:rPr>
              <w:t>Q03</w:t>
            </w:r>
            <w:r>
              <w:rPr>
                <w:spacing w:val="-1"/>
                <w:sz w:val="18"/>
              </w:rPr>
              <w:t> </w:t>
            </w:r>
            <w:r>
              <w:rPr>
                <w:sz w:val="18"/>
              </w:rPr>
              <w:t>(4)</w:t>
            </w:r>
          </w:p>
        </w:tc>
        <w:tc>
          <w:tcPr>
            <w:tcW w:w="1805" w:type="dxa"/>
          </w:tcPr>
          <w:p>
            <w:pPr>
              <w:pStyle w:val="TableParagraph"/>
              <w:rPr>
                <w:rFonts w:ascii="Times New Roman"/>
                <w:sz w:val="14"/>
              </w:rPr>
            </w:pPr>
          </w:p>
        </w:tc>
        <w:tc>
          <w:tcPr>
            <w:tcW w:w="353" w:type="dxa"/>
            <w:vMerge/>
            <w:tcBorders>
              <w:top w:val="nil"/>
              <w:bottom w:val="nil"/>
            </w:tcBorders>
          </w:tcPr>
          <w:p>
            <w:pPr>
              <w:rPr>
                <w:sz w:val="2"/>
                <w:szCs w:val="2"/>
              </w:rPr>
            </w:pPr>
          </w:p>
        </w:tc>
        <w:tc>
          <w:tcPr>
            <w:tcW w:w="1561" w:type="dxa"/>
          </w:tcPr>
          <w:p>
            <w:pPr>
              <w:pStyle w:val="TableParagraph"/>
              <w:spacing w:line="202" w:lineRule="exact" w:before="1"/>
              <w:ind w:left="107"/>
              <w:rPr>
                <w:sz w:val="18"/>
              </w:rPr>
            </w:pPr>
            <w:r>
              <w:rPr>
                <w:sz w:val="18"/>
              </w:rPr>
              <w:t>Q21</w:t>
            </w:r>
            <w:r>
              <w:rPr>
                <w:spacing w:val="-1"/>
                <w:sz w:val="18"/>
              </w:rPr>
              <w:t> </w:t>
            </w:r>
            <w:r>
              <w:rPr>
                <w:sz w:val="18"/>
              </w:rPr>
              <w:t>(4)</w:t>
            </w:r>
          </w:p>
        </w:tc>
        <w:tc>
          <w:tcPr>
            <w:tcW w:w="2128" w:type="dxa"/>
          </w:tcPr>
          <w:p>
            <w:pPr>
              <w:pStyle w:val="TableParagraph"/>
              <w:rPr>
                <w:rFonts w:ascii="Times New Roman"/>
                <w:sz w:val="14"/>
              </w:rPr>
            </w:pPr>
          </w:p>
        </w:tc>
      </w:tr>
      <w:tr>
        <w:trPr>
          <w:trHeight w:val="220" w:hRule="atLeast"/>
        </w:trPr>
        <w:tc>
          <w:tcPr>
            <w:tcW w:w="1808" w:type="dxa"/>
          </w:tcPr>
          <w:p>
            <w:pPr>
              <w:pStyle w:val="TableParagraph"/>
              <w:spacing w:line="200" w:lineRule="exact"/>
              <w:ind w:left="107"/>
              <w:rPr>
                <w:sz w:val="18"/>
              </w:rPr>
            </w:pPr>
            <w:r>
              <w:rPr>
                <w:sz w:val="18"/>
              </w:rPr>
              <w:t>Q04</w:t>
            </w:r>
            <w:r>
              <w:rPr>
                <w:spacing w:val="-1"/>
                <w:sz w:val="18"/>
              </w:rPr>
              <w:t> </w:t>
            </w:r>
            <w:r>
              <w:rPr>
                <w:sz w:val="18"/>
              </w:rPr>
              <w:t>(7)</w:t>
            </w:r>
          </w:p>
        </w:tc>
        <w:tc>
          <w:tcPr>
            <w:tcW w:w="1805" w:type="dxa"/>
          </w:tcPr>
          <w:p>
            <w:pPr>
              <w:pStyle w:val="TableParagraph"/>
              <w:rPr>
                <w:rFonts w:ascii="Times New Roman"/>
                <w:sz w:val="14"/>
              </w:rPr>
            </w:pPr>
          </w:p>
        </w:tc>
        <w:tc>
          <w:tcPr>
            <w:tcW w:w="353" w:type="dxa"/>
            <w:vMerge/>
            <w:tcBorders>
              <w:top w:val="nil"/>
              <w:bottom w:val="nil"/>
            </w:tcBorders>
          </w:tcPr>
          <w:p>
            <w:pPr>
              <w:rPr>
                <w:sz w:val="2"/>
                <w:szCs w:val="2"/>
              </w:rPr>
            </w:pPr>
          </w:p>
        </w:tc>
        <w:tc>
          <w:tcPr>
            <w:tcW w:w="1561" w:type="dxa"/>
          </w:tcPr>
          <w:p>
            <w:pPr>
              <w:pStyle w:val="TableParagraph"/>
              <w:spacing w:line="200" w:lineRule="exact"/>
              <w:ind w:left="107"/>
              <w:rPr>
                <w:sz w:val="18"/>
              </w:rPr>
            </w:pPr>
            <w:r>
              <w:rPr>
                <w:sz w:val="18"/>
              </w:rPr>
              <w:t>Q22</w:t>
            </w:r>
            <w:r>
              <w:rPr>
                <w:spacing w:val="-1"/>
                <w:sz w:val="18"/>
              </w:rPr>
              <w:t> </w:t>
            </w:r>
            <w:r>
              <w:rPr>
                <w:sz w:val="18"/>
              </w:rPr>
              <w:t>(7)</w:t>
            </w:r>
          </w:p>
        </w:tc>
        <w:tc>
          <w:tcPr>
            <w:tcW w:w="2128" w:type="dxa"/>
          </w:tcPr>
          <w:p>
            <w:pPr>
              <w:pStyle w:val="TableParagraph"/>
              <w:rPr>
                <w:rFonts w:ascii="Times New Roman"/>
                <w:sz w:val="14"/>
              </w:rPr>
            </w:pPr>
          </w:p>
        </w:tc>
      </w:tr>
      <w:tr>
        <w:trPr>
          <w:trHeight w:val="220" w:hRule="atLeast"/>
        </w:trPr>
        <w:tc>
          <w:tcPr>
            <w:tcW w:w="1808" w:type="dxa"/>
          </w:tcPr>
          <w:p>
            <w:pPr>
              <w:pStyle w:val="TableParagraph"/>
              <w:spacing w:line="200" w:lineRule="exact"/>
              <w:ind w:left="107"/>
              <w:rPr>
                <w:sz w:val="18"/>
              </w:rPr>
            </w:pPr>
            <w:r>
              <w:rPr>
                <w:sz w:val="18"/>
              </w:rPr>
              <w:t>Q05</w:t>
            </w:r>
            <w:r>
              <w:rPr>
                <w:spacing w:val="-1"/>
                <w:sz w:val="18"/>
              </w:rPr>
              <w:t> </w:t>
            </w:r>
            <w:r>
              <w:rPr>
                <w:sz w:val="18"/>
              </w:rPr>
              <w:t>(3)</w:t>
            </w:r>
          </w:p>
        </w:tc>
        <w:tc>
          <w:tcPr>
            <w:tcW w:w="1805" w:type="dxa"/>
          </w:tcPr>
          <w:p>
            <w:pPr>
              <w:pStyle w:val="TableParagraph"/>
              <w:rPr>
                <w:rFonts w:ascii="Times New Roman"/>
                <w:sz w:val="14"/>
              </w:rPr>
            </w:pPr>
          </w:p>
        </w:tc>
        <w:tc>
          <w:tcPr>
            <w:tcW w:w="353" w:type="dxa"/>
            <w:vMerge/>
            <w:tcBorders>
              <w:top w:val="nil"/>
              <w:bottom w:val="nil"/>
            </w:tcBorders>
          </w:tcPr>
          <w:p>
            <w:pPr>
              <w:rPr>
                <w:sz w:val="2"/>
                <w:szCs w:val="2"/>
              </w:rPr>
            </w:pPr>
          </w:p>
        </w:tc>
        <w:tc>
          <w:tcPr>
            <w:tcW w:w="1561" w:type="dxa"/>
          </w:tcPr>
          <w:p>
            <w:pPr>
              <w:pStyle w:val="TableParagraph"/>
              <w:spacing w:line="200" w:lineRule="exact"/>
              <w:ind w:left="107"/>
              <w:rPr>
                <w:sz w:val="18"/>
              </w:rPr>
            </w:pPr>
            <w:r>
              <w:rPr>
                <w:sz w:val="18"/>
              </w:rPr>
              <w:t>Q23</w:t>
            </w:r>
            <w:r>
              <w:rPr>
                <w:spacing w:val="-1"/>
                <w:sz w:val="18"/>
              </w:rPr>
              <w:t> </w:t>
            </w:r>
            <w:r>
              <w:rPr>
                <w:sz w:val="18"/>
              </w:rPr>
              <w:t>(3)</w:t>
            </w:r>
          </w:p>
        </w:tc>
        <w:tc>
          <w:tcPr>
            <w:tcW w:w="2128" w:type="dxa"/>
          </w:tcPr>
          <w:p>
            <w:pPr>
              <w:pStyle w:val="TableParagraph"/>
              <w:rPr>
                <w:rFonts w:ascii="Times New Roman"/>
                <w:sz w:val="14"/>
              </w:rPr>
            </w:pPr>
          </w:p>
        </w:tc>
      </w:tr>
      <w:tr>
        <w:trPr>
          <w:trHeight w:val="220" w:hRule="atLeast"/>
        </w:trPr>
        <w:tc>
          <w:tcPr>
            <w:tcW w:w="1808" w:type="dxa"/>
          </w:tcPr>
          <w:p>
            <w:pPr>
              <w:pStyle w:val="TableParagraph"/>
              <w:spacing w:line="200" w:lineRule="exact"/>
              <w:ind w:left="107"/>
              <w:rPr>
                <w:sz w:val="18"/>
              </w:rPr>
            </w:pPr>
            <w:r>
              <w:rPr>
                <w:sz w:val="18"/>
              </w:rPr>
              <w:t>Q06</w:t>
            </w:r>
            <w:r>
              <w:rPr>
                <w:spacing w:val="-1"/>
                <w:sz w:val="18"/>
              </w:rPr>
              <w:t> </w:t>
            </w:r>
            <w:r>
              <w:rPr>
                <w:sz w:val="18"/>
              </w:rPr>
              <w:t>(5)</w:t>
            </w:r>
          </w:p>
        </w:tc>
        <w:tc>
          <w:tcPr>
            <w:tcW w:w="1805" w:type="dxa"/>
          </w:tcPr>
          <w:p>
            <w:pPr>
              <w:pStyle w:val="TableParagraph"/>
              <w:rPr>
                <w:rFonts w:ascii="Times New Roman"/>
                <w:sz w:val="14"/>
              </w:rPr>
            </w:pPr>
          </w:p>
        </w:tc>
        <w:tc>
          <w:tcPr>
            <w:tcW w:w="353" w:type="dxa"/>
            <w:vMerge/>
            <w:tcBorders>
              <w:top w:val="nil"/>
              <w:bottom w:val="nil"/>
            </w:tcBorders>
          </w:tcPr>
          <w:p>
            <w:pPr>
              <w:rPr>
                <w:sz w:val="2"/>
                <w:szCs w:val="2"/>
              </w:rPr>
            </w:pPr>
          </w:p>
        </w:tc>
        <w:tc>
          <w:tcPr>
            <w:tcW w:w="1561" w:type="dxa"/>
          </w:tcPr>
          <w:p>
            <w:pPr>
              <w:pStyle w:val="TableParagraph"/>
              <w:spacing w:line="200" w:lineRule="exact"/>
              <w:ind w:left="107"/>
              <w:rPr>
                <w:sz w:val="18"/>
              </w:rPr>
            </w:pPr>
            <w:r>
              <w:rPr>
                <w:sz w:val="18"/>
              </w:rPr>
              <w:t>Q24</w:t>
            </w:r>
            <w:r>
              <w:rPr>
                <w:spacing w:val="-1"/>
                <w:sz w:val="18"/>
              </w:rPr>
              <w:t> </w:t>
            </w:r>
            <w:r>
              <w:rPr>
                <w:sz w:val="18"/>
              </w:rPr>
              <w:t>(5)</w:t>
            </w:r>
          </w:p>
        </w:tc>
        <w:tc>
          <w:tcPr>
            <w:tcW w:w="2128" w:type="dxa"/>
          </w:tcPr>
          <w:p>
            <w:pPr>
              <w:pStyle w:val="TableParagraph"/>
              <w:rPr>
                <w:rFonts w:ascii="Times New Roman"/>
                <w:sz w:val="14"/>
              </w:rPr>
            </w:pPr>
          </w:p>
        </w:tc>
      </w:tr>
      <w:tr>
        <w:trPr>
          <w:trHeight w:val="220" w:hRule="atLeast"/>
        </w:trPr>
        <w:tc>
          <w:tcPr>
            <w:tcW w:w="1808" w:type="dxa"/>
          </w:tcPr>
          <w:p>
            <w:pPr>
              <w:pStyle w:val="TableParagraph"/>
              <w:spacing w:line="200" w:lineRule="exact"/>
              <w:ind w:left="107"/>
              <w:rPr>
                <w:sz w:val="18"/>
              </w:rPr>
            </w:pPr>
            <w:r>
              <w:rPr>
                <w:sz w:val="18"/>
              </w:rPr>
              <w:t>Q07</w:t>
            </w:r>
            <w:r>
              <w:rPr>
                <w:spacing w:val="-1"/>
                <w:sz w:val="18"/>
              </w:rPr>
              <w:t> </w:t>
            </w:r>
            <w:r>
              <w:rPr>
                <w:sz w:val="18"/>
              </w:rPr>
              <w:t>(6)</w:t>
            </w:r>
          </w:p>
        </w:tc>
        <w:tc>
          <w:tcPr>
            <w:tcW w:w="1805" w:type="dxa"/>
          </w:tcPr>
          <w:p>
            <w:pPr>
              <w:pStyle w:val="TableParagraph"/>
              <w:rPr>
                <w:rFonts w:ascii="Times New Roman"/>
                <w:sz w:val="14"/>
              </w:rPr>
            </w:pPr>
          </w:p>
        </w:tc>
        <w:tc>
          <w:tcPr>
            <w:tcW w:w="353" w:type="dxa"/>
            <w:vMerge/>
            <w:tcBorders>
              <w:top w:val="nil"/>
              <w:bottom w:val="nil"/>
            </w:tcBorders>
          </w:tcPr>
          <w:p>
            <w:pPr>
              <w:rPr>
                <w:sz w:val="2"/>
                <w:szCs w:val="2"/>
              </w:rPr>
            </w:pPr>
          </w:p>
        </w:tc>
        <w:tc>
          <w:tcPr>
            <w:tcW w:w="1561" w:type="dxa"/>
          </w:tcPr>
          <w:p>
            <w:pPr>
              <w:pStyle w:val="TableParagraph"/>
              <w:spacing w:line="200" w:lineRule="exact"/>
              <w:ind w:left="107"/>
              <w:rPr>
                <w:sz w:val="18"/>
              </w:rPr>
            </w:pPr>
            <w:r>
              <w:rPr>
                <w:sz w:val="18"/>
              </w:rPr>
              <w:t>Q25</w:t>
            </w:r>
            <w:r>
              <w:rPr>
                <w:spacing w:val="-1"/>
                <w:sz w:val="18"/>
              </w:rPr>
              <w:t> </w:t>
            </w:r>
            <w:r>
              <w:rPr>
                <w:sz w:val="18"/>
              </w:rPr>
              <w:t>(6)</w:t>
            </w:r>
          </w:p>
        </w:tc>
        <w:tc>
          <w:tcPr>
            <w:tcW w:w="2128" w:type="dxa"/>
          </w:tcPr>
          <w:p>
            <w:pPr>
              <w:pStyle w:val="TableParagraph"/>
              <w:rPr>
                <w:rFonts w:ascii="Times New Roman"/>
                <w:sz w:val="14"/>
              </w:rPr>
            </w:pPr>
          </w:p>
        </w:tc>
      </w:tr>
      <w:tr>
        <w:trPr>
          <w:trHeight w:val="220" w:hRule="atLeast"/>
        </w:trPr>
        <w:tc>
          <w:tcPr>
            <w:tcW w:w="1808" w:type="dxa"/>
          </w:tcPr>
          <w:p>
            <w:pPr>
              <w:pStyle w:val="TableParagraph"/>
              <w:spacing w:line="200" w:lineRule="exact"/>
              <w:ind w:left="107"/>
              <w:rPr>
                <w:sz w:val="18"/>
              </w:rPr>
            </w:pPr>
            <w:r>
              <w:rPr>
                <w:sz w:val="18"/>
              </w:rPr>
              <w:t>Q08</w:t>
            </w:r>
            <w:r>
              <w:rPr>
                <w:spacing w:val="-1"/>
                <w:sz w:val="18"/>
              </w:rPr>
              <w:t> </w:t>
            </w:r>
            <w:r>
              <w:rPr>
                <w:sz w:val="18"/>
              </w:rPr>
              <w:t>(11)</w:t>
            </w:r>
          </w:p>
        </w:tc>
        <w:tc>
          <w:tcPr>
            <w:tcW w:w="1805" w:type="dxa"/>
          </w:tcPr>
          <w:p>
            <w:pPr>
              <w:pStyle w:val="TableParagraph"/>
              <w:rPr>
                <w:rFonts w:ascii="Times New Roman"/>
                <w:sz w:val="14"/>
              </w:rPr>
            </w:pPr>
          </w:p>
        </w:tc>
        <w:tc>
          <w:tcPr>
            <w:tcW w:w="353" w:type="dxa"/>
            <w:vMerge/>
            <w:tcBorders>
              <w:top w:val="nil"/>
              <w:bottom w:val="nil"/>
            </w:tcBorders>
          </w:tcPr>
          <w:p>
            <w:pPr>
              <w:rPr>
                <w:sz w:val="2"/>
                <w:szCs w:val="2"/>
              </w:rPr>
            </w:pPr>
          </w:p>
        </w:tc>
        <w:tc>
          <w:tcPr>
            <w:tcW w:w="1561" w:type="dxa"/>
          </w:tcPr>
          <w:p>
            <w:pPr>
              <w:pStyle w:val="TableParagraph"/>
              <w:spacing w:line="200" w:lineRule="exact"/>
              <w:ind w:left="107"/>
              <w:rPr>
                <w:sz w:val="18"/>
              </w:rPr>
            </w:pPr>
            <w:r>
              <w:rPr>
                <w:sz w:val="18"/>
              </w:rPr>
              <w:t>Q26</w:t>
            </w:r>
            <w:r>
              <w:rPr>
                <w:spacing w:val="-1"/>
                <w:sz w:val="18"/>
              </w:rPr>
              <w:t> </w:t>
            </w:r>
            <w:r>
              <w:rPr>
                <w:sz w:val="18"/>
              </w:rPr>
              <w:t>(11)</w:t>
            </w:r>
          </w:p>
        </w:tc>
        <w:tc>
          <w:tcPr>
            <w:tcW w:w="2128" w:type="dxa"/>
          </w:tcPr>
          <w:p>
            <w:pPr>
              <w:pStyle w:val="TableParagraph"/>
              <w:rPr>
                <w:rFonts w:ascii="Times New Roman"/>
                <w:sz w:val="14"/>
              </w:rPr>
            </w:pPr>
          </w:p>
        </w:tc>
      </w:tr>
      <w:tr>
        <w:trPr>
          <w:trHeight w:val="220" w:hRule="atLeast"/>
        </w:trPr>
        <w:tc>
          <w:tcPr>
            <w:tcW w:w="1808" w:type="dxa"/>
          </w:tcPr>
          <w:p>
            <w:pPr>
              <w:pStyle w:val="TableParagraph"/>
              <w:spacing w:line="200" w:lineRule="exact"/>
              <w:ind w:left="107"/>
              <w:rPr>
                <w:sz w:val="18"/>
              </w:rPr>
            </w:pPr>
            <w:r>
              <w:rPr>
                <w:sz w:val="18"/>
              </w:rPr>
              <w:t>Q09</w:t>
            </w:r>
            <w:r>
              <w:rPr>
                <w:spacing w:val="-1"/>
                <w:sz w:val="18"/>
              </w:rPr>
              <w:t> </w:t>
            </w:r>
            <w:r>
              <w:rPr>
                <w:sz w:val="18"/>
              </w:rPr>
              <w:t>(12)</w:t>
            </w:r>
          </w:p>
        </w:tc>
        <w:tc>
          <w:tcPr>
            <w:tcW w:w="1805" w:type="dxa"/>
          </w:tcPr>
          <w:p>
            <w:pPr>
              <w:pStyle w:val="TableParagraph"/>
              <w:rPr>
                <w:rFonts w:ascii="Times New Roman"/>
                <w:sz w:val="14"/>
              </w:rPr>
            </w:pPr>
          </w:p>
        </w:tc>
        <w:tc>
          <w:tcPr>
            <w:tcW w:w="353" w:type="dxa"/>
            <w:vMerge/>
            <w:tcBorders>
              <w:top w:val="nil"/>
              <w:bottom w:val="nil"/>
            </w:tcBorders>
          </w:tcPr>
          <w:p>
            <w:pPr>
              <w:rPr>
                <w:sz w:val="2"/>
                <w:szCs w:val="2"/>
              </w:rPr>
            </w:pPr>
          </w:p>
        </w:tc>
        <w:tc>
          <w:tcPr>
            <w:tcW w:w="1561" w:type="dxa"/>
          </w:tcPr>
          <w:p>
            <w:pPr>
              <w:pStyle w:val="TableParagraph"/>
              <w:spacing w:line="200" w:lineRule="exact"/>
              <w:ind w:left="107"/>
              <w:rPr>
                <w:sz w:val="18"/>
              </w:rPr>
            </w:pPr>
            <w:r>
              <w:rPr>
                <w:sz w:val="18"/>
              </w:rPr>
              <w:t>Q27</w:t>
            </w:r>
            <w:r>
              <w:rPr>
                <w:spacing w:val="-1"/>
                <w:sz w:val="18"/>
              </w:rPr>
              <w:t> </w:t>
            </w:r>
            <w:r>
              <w:rPr>
                <w:sz w:val="18"/>
              </w:rPr>
              <w:t>(12)</w:t>
            </w:r>
          </w:p>
        </w:tc>
        <w:tc>
          <w:tcPr>
            <w:tcW w:w="2128" w:type="dxa"/>
          </w:tcPr>
          <w:p>
            <w:pPr>
              <w:pStyle w:val="TableParagraph"/>
              <w:rPr>
                <w:rFonts w:ascii="Times New Roman"/>
                <w:sz w:val="14"/>
              </w:rPr>
            </w:pPr>
          </w:p>
        </w:tc>
      </w:tr>
      <w:tr>
        <w:trPr>
          <w:trHeight w:val="220" w:hRule="atLeast"/>
        </w:trPr>
        <w:tc>
          <w:tcPr>
            <w:tcW w:w="1808" w:type="dxa"/>
          </w:tcPr>
          <w:p>
            <w:pPr>
              <w:pStyle w:val="TableParagraph"/>
              <w:spacing w:line="200" w:lineRule="exact"/>
              <w:ind w:left="107"/>
              <w:rPr>
                <w:sz w:val="18"/>
              </w:rPr>
            </w:pPr>
            <w:r>
              <w:rPr>
                <w:sz w:val="18"/>
              </w:rPr>
              <w:t>Q10</w:t>
            </w:r>
            <w:r>
              <w:rPr>
                <w:spacing w:val="-1"/>
                <w:sz w:val="18"/>
              </w:rPr>
              <w:t> </w:t>
            </w:r>
            <w:r>
              <w:rPr>
                <w:sz w:val="18"/>
              </w:rPr>
              <w:t>(13)</w:t>
            </w:r>
          </w:p>
        </w:tc>
        <w:tc>
          <w:tcPr>
            <w:tcW w:w="1805" w:type="dxa"/>
          </w:tcPr>
          <w:p>
            <w:pPr>
              <w:pStyle w:val="TableParagraph"/>
              <w:rPr>
                <w:rFonts w:ascii="Times New Roman"/>
                <w:sz w:val="14"/>
              </w:rPr>
            </w:pPr>
          </w:p>
        </w:tc>
        <w:tc>
          <w:tcPr>
            <w:tcW w:w="353" w:type="dxa"/>
            <w:vMerge/>
            <w:tcBorders>
              <w:top w:val="nil"/>
              <w:bottom w:val="nil"/>
            </w:tcBorders>
          </w:tcPr>
          <w:p>
            <w:pPr>
              <w:rPr>
                <w:sz w:val="2"/>
                <w:szCs w:val="2"/>
              </w:rPr>
            </w:pPr>
          </w:p>
        </w:tc>
        <w:tc>
          <w:tcPr>
            <w:tcW w:w="1561" w:type="dxa"/>
          </w:tcPr>
          <w:p>
            <w:pPr>
              <w:pStyle w:val="TableParagraph"/>
              <w:spacing w:line="200" w:lineRule="exact"/>
              <w:ind w:left="107"/>
              <w:rPr>
                <w:sz w:val="18"/>
              </w:rPr>
            </w:pPr>
            <w:r>
              <w:rPr>
                <w:sz w:val="18"/>
              </w:rPr>
              <w:t>Q28</w:t>
            </w:r>
            <w:r>
              <w:rPr>
                <w:spacing w:val="-1"/>
                <w:sz w:val="18"/>
              </w:rPr>
              <w:t> </w:t>
            </w:r>
            <w:r>
              <w:rPr>
                <w:sz w:val="18"/>
              </w:rPr>
              <w:t>(13)</w:t>
            </w:r>
          </w:p>
        </w:tc>
        <w:tc>
          <w:tcPr>
            <w:tcW w:w="2128" w:type="dxa"/>
          </w:tcPr>
          <w:p>
            <w:pPr>
              <w:pStyle w:val="TableParagraph"/>
              <w:rPr>
                <w:rFonts w:ascii="Times New Roman"/>
                <w:sz w:val="14"/>
              </w:rPr>
            </w:pPr>
          </w:p>
        </w:tc>
      </w:tr>
      <w:tr>
        <w:trPr>
          <w:trHeight w:val="222" w:hRule="atLeast"/>
        </w:trPr>
        <w:tc>
          <w:tcPr>
            <w:tcW w:w="1808" w:type="dxa"/>
          </w:tcPr>
          <w:p>
            <w:pPr>
              <w:pStyle w:val="TableParagraph"/>
              <w:spacing w:line="202" w:lineRule="exact" w:before="1"/>
              <w:ind w:left="107"/>
              <w:rPr>
                <w:sz w:val="18"/>
              </w:rPr>
            </w:pPr>
            <w:r>
              <w:rPr>
                <w:sz w:val="18"/>
              </w:rPr>
              <w:t>Q11</w:t>
            </w:r>
            <w:r>
              <w:rPr>
                <w:spacing w:val="-1"/>
                <w:sz w:val="18"/>
              </w:rPr>
              <w:t> </w:t>
            </w:r>
            <w:r>
              <w:rPr>
                <w:sz w:val="18"/>
              </w:rPr>
              <w:t>(14)</w:t>
            </w:r>
          </w:p>
        </w:tc>
        <w:tc>
          <w:tcPr>
            <w:tcW w:w="1805" w:type="dxa"/>
          </w:tcPr>
          <w:p>
            <w:pPr>
              <w:pStyle w:val="TableParagraph"/>
              <w:rPr>
                <w:rFonts w:ascii="Times New Roman"/>
                <w:sz w:val="14"/>
              </w:rPr>
            </w:pPr>
          </w:p>
        </w:tc>
        <w:tc>
          <w:tcPr>
            <w:tcW w:w="353" w:type="dxa"/>
            <w:vMerge/>
            <w:tcBorders>
              <w:top w:val="nil"/>
              <w:bottom w:val="nil"/>
            </w:tcBorders>
          </w:tcPr>
          <w:p>
            <w:pPr>
              <w:rPr>
                <w:sz w:val="2"/>
                <w:szCs w:val="2"/>
              </w:rPr>
            </w:pPr>
          </w:p>
        </w:tc>
        <w:tc>
          <w:tcPr>
            <w:tcW w:w="1561" w:type="dxa"/>
          </w:tcPr>
          <w:p>
            <w:pPr>
              <w:pStyle w:val="TableParagraph"/>
              <w:spacing w:line="202" w:lineRule="exact" w:before="1"/>
              <w:ind w:left="107"/>
              <w:rPr>
                <w:sz w:val="18"/>
              </w:rPr>
            </w:pPr>
            <w:r>
              <w:rPr>
                <w:sz w:val="18"/>
              </w:rPr>
              <w:t>Q29</w:t>
            </w:r>
            <w:r>
              <w:rPr>
                <w:spacing w:val="-1"/>
                <w:sz w:val="18"/>
              </w:rPr>
              <w:t> </w:t>
            </w:r>
            <w:r>
              <w:rPr>
                <w:sz w:val="18"/>
              </w:rPr>
              <w:t>(14)</w:t>
            </w:r>
          </w:p>
        </w:tc>
        <w:tc>
          <w:tcPr>
            <w:tcW w:w="2128" w:type="dxa"/>
          </w:tcPr>
          <w:p>
            <w:pPr>
              <w:pStyle w:val="TableParagraph"/>
              <w:rPr>
                <w:rFonts w:ascii="Times New Roman"/>
                <w:sz w:val="14"/>
              </w:rPr>
            </w:pPr>
          </w:p>
        </w:tc>
      </w:tr>
      <w:tr>
        <w:trPr>
          <w:trHeight w:val="220" w:hRule="atLeast"/>
        </w:trPr>
        <w:tc>
          <w:tcPr>
            <w:tcW w:w="1808" w:type="dxa"/>
          </w:tcPr>
          <w:p>
            <w:pPr>
              <w:pStyle w:val="TableParagraph"/>
              <w:spacing w:line="201" w:lineRule="exact"/>
              <w:ind w:left="107"/>
              <w:rPr>
                <w:sz w:val="18"/>
              </w:rPr>
            </w:pPr>
            <w:r>
              <w:rPr>
                <w:sz w:val="18"/>
              </w:rPr>
              <w:t>Q12</w:t>
            </w:r>
            <w:r>
              <w:rPr>
                <w:spacing w:val="-1"/>
                <w:sz w:val="18"/>
              </w:rPr>
              <w:t> </w:t>
            </w:r>
            <w:r>
              <w:rPr>
                <w:sz w:val="18"/>
              </w:rPr>
              <w:t>(15)</w:t>
            </w:r>
          </w:p>
        </w:tc>
        <w:tc>
          <w:tcPr>
            <w:tcW w:w="1805" w:type="dxa"/>
          </w:tcPr>
          <w:p>
            <w:pPr>
              <w:pStyle w:val="TableParagraph"/>
              <w:rPr>
                <w:rFonts w:ascii="Times New Roman"/>
                <w:sz w:val="14"/>
              </w:rPr>
            </w:pPr>
          </w:p>
        </w:tc>
        <w:tc>
          <w:tcPr>
            <w:tcW w:w="353" w:type="dxa"/>
            <w:vMerge/>
            <w:tcBorders>
              <w:top w:val="nil"/>
              <w:bottom w:val="nil"/>
            </w:tcBorders>
          </w:tcPr>
          <w:p>
            <w:pPr>
              <w:rPr>
                <w:sz w:val="2"/>
                <w:szCs w:val="2"/>
              </w:rPr>
            </w:pPr>
          </w:p>
        </w:tc>
        <w:tc>
          <w:tcPr>
            <w:tcW w:w="1561" w:type="dxa"/>
          </w:tcPr>
          <w:p>
            <w:pPr>
              <w:pStyle w:val="TableParagraph"/>
              <w:spacing w:line="201" w:lineRule="exact"/>
              <w:ind w:left="107"/>
              <w:rPr>
                <w:sz w:val="18"/>
              </w:rPr>
            </w:pPr>
            <w:r>
              <w:rPr>
                <w:sz w:val="18"/>
              </w:rPr>
              <w:t>Q30</w:t>
            </w:r>
            <w:r>
              <w:rPr>
                <w:spacing w:val="-1"/>
                <w:sz w:val="18"/>
              </w:rPr>
              <w:t> </w:t>
            </w:r>
            <w:r>
              <w:rPr>
                <w:sz w:val="18"/>
              </w:rPr>
              <w:t>(15)</w:t>
            </w:r>
          </w:p>
        </w:tc>
        <w:tc>
          <w:tcPr>
            <w:tcW w:w="2128" w:type="dxa"/>
          </w:tcPr>
          <w:p>
            <w:pPr>
              <w:pStyle w:val="TableParagraph"/>
              <w:rPr>
                <w:rFonts w:ascii="Times New Roman"/>
                <w:sz w:val="14"/>
              </w:rPr>
            </w:pPr>
          </w:p>
        </w:tc>
      </w:tr>
      <w:tr>
        <w:trPr>
          <w:trHeight w:val="220" w:hRule="atLeast"/>
        </w:trPr>
        <w:tc>
          <w:tcPr>
            <w:tcW w:w="1808" w:type="dxa"/>
          </w:tcPr>
          <w:p>
            <w:pPr>
              <w:pStyle w:val="TableParagraph"/>
              <w:spacing w:line="200" w:lineRule="exact"/>
              <w:ind w:left="107"/>
              <w:rPr>
                <w:sz w:val="18"/>
              </w:rPr>
            </w:pPr>
            <w:r>
              <w:rPr>
                <w:sz w:val="18"/>
              </w:rPr>
              <w:t>Q13</w:t>
            </w:r>
            <w:r>
              <w:rPr>
                <w:spacing w:val="-1"/>
                <w:sz w:val="18"/>
              </w:rPr>
              <w:t> </w:t>
            </w:r>
            <w:r>
              <w:rPr>
                <w:sz w:val="18"/>
              </w:rPr>
              <w:t>(16)</w:t>
            </w:r>
          </w:p>
        </w:tc>
        <w:tc>
          <w:tcPr>
            <w:tcW w:w="1805" w:type="dxa"/>
          </w:tcPr>
          <w:p>
            <w:pPr>
              <w:pStyle w:val="TableParagraph"/>
              <w:rPr>
                <w:rFonts w:ascii="Times New Roman"/>
                <w:sz w:val="14"/>
              </w:rPr>
            </w:pPr>
          </w:p>
        </w:tc>
        <w:tc>
          <w:tcPr>
            <w:tcW w:w="353" w:type="dxa"/>
            <w:vMerge/>
            <w:tcBorders>
              <w:top w:val="nil"/>
              <w:bottom w:val="nil"/>
            </w:tcBorders>
          </w:tcPr>
          <w:p>
            <w:pPr>
              <w:rPr>
                <w:sz w:val="2"/>
                <w:szCs w:val="2"/>
              </w:rPr>
            </w:pPr>
          </w:p>
        </w:tc>
        <w:tc>
          <w:tcPr>
            <w:tcW w:w="1561" w:type="dxa"/>
          </w:tcPr>
          <w:p>
            <w:pPr>
              <w:pStyle w:val="TableParagraph"/>
              <w:spacing w:line="200" w:lineRule="exact"/>
              <w:ind w:left="107"/>
              <w:rPr>
                <w:sz w:val="18"/>
              </w:rPr>
            </w:pPr>
            <w:r>
              <w:rPr>
                <w:sz w:val="18"/>
              </w:rPr>
              <w:t>Q31</w:t>
            </w:r>
            <w:r>
              <w:rPr>
                <w:spacing w:val="-1"/>
                <w:sz w:val="18"/>
              </w:rPr>
              <w:t> </w:t>
            </w:r>
            <w:r>
              <w:rPr>
                <w:sz w:val="18"/>
              </w:rPr>
              <w:t>(16)</w:t>
            </w:r>
          </w:p>
        </w:tc>
        <w:tc>
          <w:tcPr>
            <w:tcW w:w="2128" w:type="dxa"/>
          </w:tcPr>
          <w:p>
            <w:pPr>
              <w:pStyle w:val="TableParagraph"/>
              <w:rPr>
                <w:rFonts w:ascii="Times New Roman"/>
                <w:sz w:val="14"/>
              </w:rPr>
            </w:pPr>
          </w:p>
        </w:tc>
      </w:tr>
      <w:tr>
        <w:trPr>
          <w:trHeight w:val="220" w:hRule="atLeast"/>
        </w:trPr>
        <w:tc>
          <w:tcPr>
            <w:tcW w:w="1808" w:type="dxa"/>
          </w:tcPr>
          <w:p>
            <w:pPr>
              <w:pStyle w:val="TableParagraph"/>
              <w:spacing w:line="200" w:lineRule="exact"/>
              <w:ind w:left="107"/>
              <w:rPr>
                <w:sz w:val="18"/>
              </w:rPr>
            </w:pPr>
            <w:r>
              <w:rPr>
                <w:sz w:val="18"/>
              </w:rPr>
              <w:t>Q14</w:t>
            </w:r>
            <w:r>
              <w:rPr>
                <w:spacing w:val="-1"/>
                <w:sz w:val="18"/>
              </w:rPr>
              <w:t> </w:t>
            </w:r>
            <w:r>
              <w:rPr>
                <w:sz w:val="18"/>
              </w:rPr>
              <w:t>(17)</w:t>
            </w:r>
          </w:p>
        </w:tc>
        <w:tc>
          <w:tcPr>
            <w:tcW w:w="1805" w:type="dxa"/>
          </w:tcPr>
          <w:p>
            <w:pPr>
              <w:pStyle w:val="TableParagraph"/>
              <w:rPr>
                <w:rFonts w:ascii="Times New Roman"/>
                <w:sz w:val="14"/>
              </w:rPr>
            </w:pPr>
          </w:p>
        </w:tc>
        <w:tc>
          <w:tcPr>
            <w:tcW w:w="353" w:type="dxa"/>
            <w:vMerge/>
            <w:tcBorders>
              <w:top w:val="nil"/>
              <w:bottom w:val="nil"/>
            </w:tcBorders>
          </w:tcPr>
          <w:p>
            <w:pPr>
              <w:rPr>
                <w:sz w:val="2"/>
                <w:szCs w:val="2"/>
              </w:rPr>
            </w:pPr>
          </w:p>
        </w:tc>
        <w:tc>
          <w:tcPr>
            <w:tcW w:w="1561" w:type="dxa"/>
          </w:tcPr>
          <w:p>
            <w:pPr>
              <w:pStyle w:val="TableParagraph"/>
              <w:spacing w:line="200" w:lineRule="exact"/>
              <w:ind w:left="107"/>
              <w:rPr>
                <w:sz w:val="18"/>
              </w:rPr>
            </w:pPr>
            <w:r>
              <w:rPr>
                <w:sz w:val="18"/>
              </w:rPr>
              <w:t>Q32</w:t>
            </w:r>
            <w:r>
              <w:rPr>
                <w:spacing w:val="-1"/>
                <w:sz w:val="18"/>
              </w:rPr>
              <w:t> </w:t>
            </w:r>
            <w:r>
              <w:rPr>
                <w:sz w:val="18"/>
              </w:rPr>
              <w:t>(17)</w:t>
            </w:r>
          </w:p>
        </w:tc>
        <w:tc>
          <w:tcPr>
            <w:tcW w:w="2128" w:type="dxa"/>
          </w:tcPr>
          <w:p>
            <w:pPr>
              <w:pStyle w:val="TableParagraph"/>
              <w:rPr>
                <w:rFonts w:ascii="Times New Roman"/>
                <w:sz w:val="14"/>
              </w:rPr>
            </w:pPr>
          </w:p>
        </w:tc>
      </w:tr>
      <w:tr>
        <w:trPr>
          <w:trHeight w:val="220" w:hRule="atLeast"/>
        </w:trPr>
        <w:tc>
          <w:tcPr>
            <w:tcW w:w="1808" w:type="dxa"/>
          </w:tcPr>
          <w:p>
            <w:pPr>
              <w:pStyle w:val="TableParagraph"/>
              <w:spacing w:line="200" w:lineRule="exact"/>
              <w:ind w:left="107"/>
              <w:rPr>
                <w:sz w:val="18"/>
              </w:rPr>
            </w:pPr>
            <w:r>
              <w:rPr>
                <w:sz w:val="18"/>
              </w:rPr>
              <w:t>Q15</w:t>
            </w:r>
            <w:r>
              <w:rPr>
                <w:spacing w:val="-1"/>
                <w:sz w:val="18"/>
              </w:rPr>
              <w:t> </w:t>
            </w:r>
            <w:r>
              <w:rPr>
                <w:sz w:val="18"/>
              </w:rPr>
              <w:t>(18)</w:t>
            </w:r>
          </w:p>
        </w:tc>
        <w:tc>
          <w:tcPr>
            <w:tcW w:w="1805" w:type="dxa"/>
          </w:tcPr>
          <w:p>
            <w:pPr>
              <w:pStyle w:val="TableParagraph"/>
              <w:rPr>
                <w:rFonts w:ascii="Times New Roman"/>
                <w:sz w:val="14"/>
              </w:rPr>
            </w:pPr>
          </w:p>
        </w:tc>
        <w:tc>
          <w:tcPr>
            <w:tcW w:w="353" w:type="dxa"/>
            <w:vMerge/>
            <w:tcBorders>
              <w:top w:val="nil"/>
              <w:bottom w:val="nil"/>
            </w:tcBorders>
          </w:tcPr>
          <w:p>
            <w:pPr>
              <w:rPr>
                <w:sz w:val="2"/>
                <w:szCs w:val="2"/>
              </w:rPr>
            </w:pPr>
          </w:p>
        </w:tc>
        <w:tc>
          <w:tcPr>
            <w:tcW w:w="1561" w:type="dxa"/>
          </w:tcPr>
          <w:p>
            <w:pPr>
              <w:pStyle w:val="TableParagraph"/>
              <w:spacing w:line="200" w:lineRule="exact"/>
              <w:ind w:left="107"/>
              <w:rPr>
                <w:sz w:val="18"/>
              </w:rPr>
            </w:pPr>
            <w:r>
              <w:rPr>
                <w:sz w:val="18"/>
              </w:rPr>
              <w:t>Q33</w:t>
            </w:r>
            <w:r>
              <w:rPr>
                <w:spacing w:val="-1"/>
                <w:sz w:val="18"/>
              </w:rPr>
              <w:t> </w:t>
            </w:r>
            <w:r>
              <w:rPr>
                <w:sz w:val="18"/>
              </w:rPr>
              <w:t>(18)</w:t>
            </w:r>
          </w:p>
        </w:tc>
        <w:tc>
          <w:tcPr>
            <w:tcW w:w="2128" w:type="dxa"/>
          </w:tcPr>
          <w:p>
            <w:pPr>
              <w:pStyle w:val="TableParagraph"/>
              <w:rPr>
                <w:rFonts w:ascii="Times New Roman"/>
                <w:sz w:val="14"/>
              </w:rPr>
            </w:pPr>
          </w:p>
        </w:tc>
      </w:tr>
      <w:tr>
        <w:trPr>
          <w:trHeight w:val="220" w:hRule="atLeast"/>
        </w:trPr>
        <w:tc>
          <w:tcPr>
            <w:tcW w:w="1808" w:type="dxa"/>
          </w:tcPr>
          <w:p>
            <w:pPr>
              <w:pStyle w:val="TableParagraph"/>
              <w:spacing w:line="200" w:lineRule="exact"/>
              <w:ind w:left="107"/>
              <w:rPr>
                <w:sz w:val="18"/>
              </w:rPr>
            </w:pPr>
            <w:r>
              <w:rPr>
                <w:sz w:val="18"/>
              </w:rPr>
              <w:t>Q16</w:t>
            </w:r>
            <w:r>
              <w:rPr>
                <w:spacing w:val="-1"/>
                <w:sz w:val="18"/>
              </w:rPr>
              <w:t> </w:t>
            </w:r>
            <w:r>
              <w:rPr>
                <w:sz w:val="18"/>
              </w:rPr>
              <w:t>(19)</w:t>
            </w:r>
          </w:p>
        </w:tc>
        <w:tc>
          <w:tcPr>
            <w:tcW w:w="1805" w:type="dxa"/>
          </w:tcPr>
          <w:p>
            <w:pPr>
              <w:pStyle w:val="TableParagraph"/>
              <w:rPr>
                <w:rFonts w:ascii="Times New Roman"/>
                <w:sz w:val="14"/>
              </w:rPr>
            </w:pPr>
          </w:p>
        </w:tc>
        <w:tc>
          <w:tcPr>
            <w:tcW w:w="353" w:type="dxa"/>
            <w:vMerge/>
            <w:tcBorders>
              <w:top w:val="nil"/>
              <w:bottom w:val="nil"/>
            </w:tcBorders>
          </w:tcPr>
          <w:p>
            <w:pPr>
              <w:rPr>
                <w:sz w:val="2"/>
                <w:szCs w:val="2"/>
              </w:rPr>
            </w:pPr>
          </w:p>
        </w:tc>
        <w:tc>
          <w:tcPr>
            <w:tcW w:w="1561" w:type="dxa"/>
          </w:tcPr>
          <w:p>
            <w:pPr>
              <w:pStyle w:val="TableParagraph"/>
              <w:spacing w:line="200" w:lineRule="exact"/>
              <w:ind w:left="107"/>
              <w:rPr>
                <w:sz w:val="18"/>
              </w:rPr>
            </w:pPr>
            <w:r>
              <w:rPr>
                <w:sz w:val="18"/>
              </w:rPr>
              <w:t>Q34</w:t>
            </w:r>
            <w:r>
              <w:rPr>
                <w:spacing w:val="-1"/>
                <w:sz w:val="18"/>
              </w:rPr>
              <w:t> </w:t>
            </w:r>
            <w:r>
              <w:rPr>
                <w:sz w:val="18"/>
              </w:rPr>
              <w:t>(19)</w:t>
            </w:r>
          </w:p>
        </w:tc>
        <w:tc>
          <w:tcPr>
            <w:tcW w:w="2128" w:type="dxa"/>
          </w:tcPr>
          <w:p>
            <w:pPr>
              <w:pStyle w:val="TableParagraph"/>
              <w:rPr>
                <w:rFonts w:ascii="Times New Roman"/>
                <w:sz w:val="14"/>
              </w:rPr>
            </w:pPr>
          </w:p>
        </w:tc>
      </w:tr>
      <w:tr>
        <w:trPr>
          <w:trHeight w:val="220" w:hRule="atLeast"/>
        </w:trPr>
        <w:tc>
          <w:tcPr>
            <w:tcW w:w="1808" w:type="dxa"/>
          </w:tcPr>
          <w:p>
            <w:pPr>
              <w:pStyle w:val="TableParagraph"/>
              <w:spacing w:line="200" w:lineRule="exact"/>
              <w:ind w:left="107"/>
              <w:rPr>
                <w:sz w:val="18"/>
              </w:rPr>
            </w:pPr>
            <w:r>
              <w:rPr>
                <w:sz w:val="18"/>
              </w:rPr>
              <w:t>Q17</w:t>
            </w:r>
            <w:r>
              <w:rPr>
                <w:spacing w:val="-1"/>
                <w:sz w:val="18"/>
              </w:rPr>
              <w:t> </w:t>
            </w:r>
            <w:r>
              <w:rPr>
                <w:sz w:val="18"/>
              </w:rPr>
              <w:t>(20)</w:t>
            </w:r>
          </w:p>
        </w:tc>
        <w:tc>
          <w:tcPr>
            <w:tcW w:w="1805" w:type="dxa"/>
          </w:tcPr>
          <w:p>
            <w:pPr>
              <w:pStyle w:val="TableParagraph"/>
              <w:rPr>
                <w:rFonts w:ascii="Times New Roman"/>
                <w:sz w:val="14"/>
              </w:rPr>
            </w:pPr>
          </w:p>
        </w:tc>
        <w:tc>
          <w:tcPr>
            <w:tcW w:w="353" w:type="dxa"/>
            <w:vMerge/>
            <w:tcBorders>
              <w:top w:val="nil"/>
              <w:bottom w:val="nil"/>
            </w:tcBorders>
          </w:tcPr>
          <w:p>
            <w:pPr>
              <w:rPr>
                <w:sz w:val="2"/>
                <w:szCs w:val="2"/>
              </w:rPr>
            </w:pPr>
          </w:p>
        </w:tc>
        <w:tc>
          <w:tcPr>
            <w:tcW w:w="1561" w:type="dxa"/>
          </w:tcPr>
          <w:p>
            <w:pPr>
              <w:pStyle w:val="TableParagraph"/>
              <w:spacing w:line="200" w:lineRule="exact"/>
              <w:ind w:left="107"/>
              <w:rPr>
                <w:sz w:val="18"/>
              </w:rPr>
            </w:pPr>
            <w:r>
              <w:rPr>
                <w:sz w:val="18"/>
              </w:rPr>
              <w:t>Q35</w:t>
            </w:r>
            <w:r>
              <w:rPr>
                <w:spacing w:val="-1"/>
                <w:sz w:val="18"/>
              </w:rPr>
              <w:t> </w:t>
            </w:r>
            <w:r>
              <w:rPr>
                <w:sz w:val="18"/>
              </w:rPr>
              <w:t>(20)</w:t>
            </w:r>
          </w:p>
        </w:tc>
        <w:tc>
          <w:tcPr>
            <w:tcW w:w="2128" w:type="dxa"/>
          </w:tcPr>
          <w:p>
            <w:pPr>
              <w:pStyle w:val="TableParagraph"/>
              <w:rPr>
                <w:rFonts w:ascii="Times New Roman"/>
                <w:sz w:val="14"/>
              </w:rPr>
            </w:pPr>
          </w:p>
        </w:tc>
      </w:tr>
      <w:tr>
        <w:trPr>
          <w:trHeight w:val="222" w:hRule="atLeast"/>
        </w:trPr>
        <w:tc>
          <w:tcPr>
            <w:tcW w:w="1808" w:type="dxa"/>
          </w:tcPr>
          <w:p>
            <w:pPr>
              <w:pStyle w:val="TableParagraph"/>
              <w:spacing w:line="203" w:lineRule="exact"/>
              <w:ind w:left="107"/>
              <w:rPr>
                <w:sz w:val="18"/>
              </w:rPr>
            </w:pPr>
            <w:r>
              <w:rPr>
                <w:sz w:val="18"/>
              </w:rPr>
              <w:t>Q18</w:t>
            </w:r>
            <w:r>
              <w:rPr>
                <w:spacing w:val="-1"/>
                <w:sz w:val="18"/>
              </w:rPr>
              <w:t> </w:t>
            </w:r>
            <w:r>
              <w:rPr>
                <w:sz w:val="18"/>
              </w:rPr>
              <w:t>(21)</w:t>
            </w:r>
          </w:p>
        </w:tc>
        <w:tc>
          <w:tcPr>
            <w:tcW w:w="1805" w:type="dxa"/>
          </w:tcPr>
          <w:p>
            <w:pPr>
              <w:pStyle w:val="TableParagraph"/>
              <w:rPr>
                <w:rFonts w:ascii="Times New Roman"/>
                <w:sz w:val="14"/>
              </w:rPr>
            </w:pPr>
          </w:p>
        </w:tc>
        <w:tc>
          <w:tcPr>
            <w:tcW w:w="353" w:type="dxa"/>
            <w:vMerge/>
            <w:tcBorders>
              <w:top w:val="nil"/>
              <w:bottom w:val="nil"/>
            </w:tcBorders>
          </w:tcPr>
          <w:p>
            <w:pPr>
              <w:rPr>
                <w:sz w:val="2"/>
                <w:szCs w:val="2"/>
              </w:rPr>
            </w:pPr>
          </w:p>
        </w:tc>
        <w:tc>
          <w:tcPr>
            <w:tcW w:w="1561" w:type="dxa"/>
          </w:tcPr>
          <w:p>
            <w:pPr>
              <w:pStyle w:val="TableParagraph"/>
              <w:spacing w:line="203" w:lineRule="exact"/>
              <w:ind w:left="107"/>
              <w:rPr>
                <w:sz w:val="18"/>
              </w:rPr>
            </w:pPr>
            <w:r>
              <w:rPr>
                <w:sz w:val="18"/>
              </w:rPr>
              <w:t>Q36</w:t>
            </w:r>
            <w:r>
              <w:rPr>
                <w:spacing w:val="-1"/>
                <w:sz w:val="18"/>
              </w:rPr>
              <w:t> </w:t>
            </w:r>
            <w:r>
              <w:rPr>
                <w:sz w:val="18"/>
              </w:rPr>
              <w:t>(21)</w:t>
            </w:r>
          </w:p>
        </w:tc>
        <w:tc>
          <w:tcPr>
            <w:tcW w:w="2128" w:type="dxa"/>
          </w:tcPr>
          <w:p>
            <w:pPr>
              <w:pStyle w:val="TableParagraph"/>
              <w:rPr>
                <w:rFonts w:ascii="Times New Roman"/>
                <w:sz w:val="14"/>
              </w:rPr>
            </w:pPr>
          </w:p>
        </w:tc>
      </w:tr>
    </w:tbl>
    <w:p>
      <w:pPr>
        <w:pStyle w:val="BodyText"/>
        <w:spacing w:before="2"/>
        <w:rPr>
          <w:sz w:val="21"/>
        </w:rPr>
      </w:pPr>
    </w:p>
    <w:p>
      <w:pPr>
        <w:pStyle w:val="ListParagraph"/>
        <w:numPr>
          <w:ilvl w:val="0"/>
          <w:numId w:val="42"/>
        </w:numPr>
        <w:tabs>
          <w:tab w:pos="339" w:val="left" w:leader="none"/>
        </w:tabs>
        <w:spacing w:line="240" w:lineRule="auto" w:before="0" w:after="0"/>
        <w:ind w:left="338" w:right="0" w:hanging="199"/>
        <w:jc w:val="left"/>
        <w:rPr>
          <w:sz w:val="18"/>
        </w:rPr>
      </w:pPr>
      <w:r>
        <w:rPr>
          <w:sz w:val="18"/>
        </w:rPr>
        <w:t>How</w:t>
      </w:r>
      <w:r>
        <w:rPr>
          <w:spacing w:val="-2"/>
          <w:sz w:val="18"/>
        </w:rPr>
        <w:t> </w:t>
      </w:r>
      <w:r>
        <w:rPr>
          <w:sz w:val="18"/>
        </w:rPr>
        <w:t>many</w:t>
      </w:r>
      <w:r>
        <w:rPr>
          <w:spacing w:val="-3"/>
          <w:sz w:val="18"/>
        </w:rPr>
        <w:t> </w:t>
      </w:r>
      <w:r>
        <w:rPr>
          <w:sz w:val="18"/>
        </w:rPr>
        <w:t>people</w:t>
      </w:r>
      <w:r>
        <w:rPr>
          <w:spacing w:val="-2"/>
          <w:sz w:val="18"/>
        </w:rPr>
        <w:t> </w:t>
      </w:r>
      <w:r>
        <w:rPr>
          <w:sz w:val="18"/>
        </w:rPr>
        <w:t>participated</w:t>
      </w:r>
      <w:r>
        <w:rPr>
          <w:spacing w:val="-3"/>
          <w:sz w:val="18"/>
        </w:rPr>
        <w:t> </w:t>
      </w:r>
      <w:r>
        <w:rPr>
          <w:sz w:val="18"/>
        </w:rPr>
        <w:t>in</w:t>
      </w:r>
      <w:r>
        <w:rPr>
          <w:spacing w:val="-3"/>
          <w:sz w:val="18"/>
        </w:rPr>
        <w:t> </w:t>
      </w:r>
      <w:r>
        <w:rPr>
          <w:sz w:val="18"/>
        </w:rPr>
        <w:t>the</w:t>
      </w:r>
      <w:r>
        <w:rPr>
          <w:spacing w:val="-2"/>
          <w:sz w:val="18"/>
        </w:rPr>
        <w:t> </w:t>
      </w:r>
      <w:r>
        <w:rPr>
          <w:sz w:val="18"/>
        </w:rPr>
        <w:t>HCH-A</w:t>
      </w:r>
      <w:r>
        <w:rPr>
          <w:spacing w:val="-11"/>
          <w:sz w:val="18"/>
        </w:rPr>
        <w:t> </w:t>
      </w:r>
      <w:r>
        <w:rPr>
          <w:sz w:val="18"/>
        </w:rPr>
        <w:t>assessment?</w:t>
      </w:r>
    </w:p>
    <w:p>
      <w:pPr>
        <w:pStyle w:val="BodyText"/>
        <w:spacing w:before="1"/>
        <w:rPr>
          <w:sz w:val="19"/>
        </w:rPr>
      </w:pPr>
    </w:p>
    <w:tbl>
      <w:tblPr>
        <w:tblW w:w="0" w:type="auto"/>
        <w:jc w:val="left"/>
        <w:tblInd w:w="156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3965"/>
        <w:gridCol w:w="3670"/>
      </w:tblGrid>
      <w:tr>
        <w:trPr>
          <w:trHeight w:val="222" w:hRule="atLeast"/>
        </w:trPr>
        <w:tc>
          <w:tcPr>
            <w:tcW w:w="3965" w:type="dxa"/>
            <w:shd w:val="clear" w:color="auto" w:fill="F1F1F1"/>
          </w:tcPr>
          <w:p>
            <w:pPr>
              <w:pStyle w:val="TableParagraph"/>
              <w:rPr>
                <w:rFonts w:ascii="Times New Roman"/>
                <w:sz w:val="14"/>
              </w:rPr>
            </w:pPr>
          </w:p>
        </w:tc>
        <w:tc>
          <w:tcPr>
            <w:tcW w:w="3670" w:type="dxa"/>
            <w:shd w:val="clear" w:color="auto" w:fill="F1F1F1"/>
          </w:tcPr>
          <w:p>
            <w:pPr>
              <w:pStyle w:val="TableParagraph"/>
              <w:spacing w:line="202" w:lineRule="exact" w:before="1"/>
              <w:ind w:left="300"/>
              <w:rPr>
                <w:sz w:val="18"/>
              </w:rPr>
            </w:pPr>
            <w:r>
              <w:rPr>
                <w:sz w:val="18"/>
              </w:rPr>
              <w:t>Number</w:t>
            </w:r>
            <w:r>
              <w:rPr>
                <w:spacing w:val="-3"/>
                <w:sz w:val="18"/>
              </w:rPr>
              <w:t> </w:t>
            </w:r>
            <w:r>
              <w:rPr>
                <w:sz w:val="18"/>
              </w:rPr>
              <w:t>of</w:t>
            </w:r>
            <w:r>
              <w:rPr>
                <w:spacing w:val="-3"/>
                <w:sz w:val="18"/>
              </w:rPr>
              <w:t> </w:t>
            </w:r>
            <w:r>
              <w:rPr>
                <w:sz w:val="18"/>
              </w:rPr>
              <w:t>people</w:t>
            </w:r>
            <w:r>
              <w:rPr>
                <w:spacing w:val="-2"/>
                <w:sz w:val="18"/>
              </w:rPr>
              <w:t> </w:t>
            </w:r>
            <w:r>
              <w:rPr>
                <w:sz w:val="18"/>
              </w:rPr>
              <w:t>participating</w:t>
            </w:r>
            <w:r>
              <w:rPr>
                <w:spacing w:val="-3"/>
                <w:sz w:val="18"/>
              </w:rPr>
              <w:t> </w:t>
            </w:r>
            <w:r>
              <w:rPr>
                <w:sz w:val="18"/>
              </w:rPr>
              <w:t>(1)</w:t>
            </w:r>
          </w:p>
        </w:tc>
      </w:tr>
      <w:tr>
        <w:trPr>
          <w:trHeight w:val="220" w:hRule="atLeast"/>
        </w:trPr>
        <w:tc>
          <w:tcPr>
            <w:tcW w:w="3965" w:type="dxa"/>
          </w:tcPr>
          <w:p>
            <w:pPr>
              <w:pStyle w:val="TableParagraph"/>
              <w:spacing w:line="200" w:lineRule="exact"/>
              <w:ind w:left="115"/>
              <w:rPr>
                <w:sz w:val="18"/>
              </w:rPr>
            </w:pPr>
            <w:r>
              <w:rPr>
                <w:sz w:val="18"/>
              </w:rPr>
              <w:t>General</w:t>
            </w:r>
            <w:r>
              <w:rPr>
                <w:spacing w:val="-5"/>
                <w:sz w:val="18"/>
              </w:rPr>
              <w:t> </w:t>
            </w:r>
            <w:r>
              <w:rPr>
                <w:sz w:val="18"/>
              </w:rPr>
              <w:t>practitioner</w:t>
            </w:r>
            <w:r>
              <w:rPr>
                <w:spacing w:val="-5"/>
                <w:sz w:val="18"/>
              </w:rPr>
              <w:t> </w:t>
            </w:r>
            <w:r>
              <w:rPr>
                <w:sz w:val="18"/>
              </w:rPr>
              <w:t>(1)</w:t>
            </w:r>
          </w:p>
        </w:tc>
        <w:tc>
          <w:tcPr>
            <w:tcW w:w="3670" w:type="dxa"/>
          </w:tcPr>
          <w:p>
            <w:pPr>
              <w:pStyle w:val="TableParagraph"/>
              <w:rPr>
                <w:rFonts w:ascii="Times New Roman"/>
                <w:sz w:val="14"/>
              </w:rPr>
            </w:pPr>
          </w:p>
        </w:tc>
      </w:tr>
      <w:tr>
        <w:trPr>
          <w:trHeight w:val="220" w:hRule="atLeast"/>
        </w:trPr>
        <w:tc>
          <w:tcPr>
            <w:tcW w:w="3965" w:type="dxa"/>
          </w:tcPr>
          <w:p>
            <w:pPr>
              <w:pStyle w:val="TableParagraph"/>
              <w:spacing w:line="200" w:lineRule="exact"/>
              <w:ind w:left="115"/>
              <w:rPr>
                <w:sz w:val="18"/>
              </w:rPr>
            </w:pPr>
            <w:r>
              <w:rPr>
                <w:sz w:val="18"/>
              </w:rPr>
              <w:t>Nurse</w:t>
            </w:r>
            <w:r>
              <w:rPr>
                <w:spacing w:val="-6"/>
                <w:sz w:val="18"/>
              </w:rPr>
              <w:t> </w:t>
            </w:r>
            <w:r>
              <w:rPr>
                <w:sz w:val="18"/>
              </w:rPr>
              <w:t>practitioner/practice</w:t>
            </w:r>
            <w:r>
              <w:rPr>
                <w:spacing w:val="-8"/>
                <w:sz w:val="18"/>
              </w:rPr>
              <w:t> </w:t>
            </w:r>
            <w:r>
              <w:rPr>
                <w:sz w:val="18"/>
              </w:rPr>
              <w:t>nurse</w:t>
            </w:r>
            <w:r>
              <w:rPr>
                <w:spacing w:val="-6"/>
                <w:sz w:val="18"/>
              </w:rPr>
              <w:t> </w:t>
            </w:r>
            <w:r>
              <w:rPr>
                <w:sz w:val="18"/>
              </w:rPr>
              <w:t>(2)</w:t>
            </w:r>
          </w:p>
        </w:tc>
        <w:tc>
          <w:tcPr>
            <w:tcW w:w="3670" w:type="dxa"/>
          </w:tcPr>
          <w:p>
            <w:pPr>
              <w:pStyle w:val="TableParagraph"/>
              <w:rPr>
                <w:rFonts w:ascii="Times New Roman"/>
                <w:sz w:val="14"/>
              </w:rPr>
            </w:pPr>
          </w:p>
        </w:tc>
      </w:tr>
      <w:tr>
        <w:trPr>
          <w:trHeight w:val="220" w:hRule="atLeast"/>
        </w:trPr>
        <w:tc>
          <w:tcPr>
            <w:tcW w:w="3965" w:type="dxa"/>
          </w:tcPr>
          <w:p>
            <w:pPr>
              <w:pStyle w:val="TableParagraph"/>
              <w:spacing w:line="200" w:lineRule="exact"/>
              <w:ind w:left="115"/>
              <w:rPr>
                <w:sz w:val="18"/>
              </w:rPr>
            </w:pPr>
            <w:r>
              <w:rPr>
                <w:sz w:val="18"/>
              </w:rPr>
              <w:t>Practice</w:t>
            </w:r>
            <w:r>
              <w:rPr>
                <w:spacing w:val="-5"/>
                <w:sz w:val="18"/>
              </w:rPr>
              <w:t> </w:t>
            </w:r>
            <w:r>
              <w:rPr>
                <w:sz w:val="18"/>
              </w:rPr>
              <w:t>manager</w:t>
            </w:r>
            <w:r>
              <w:rPr>
                <w:spacing w:val="-2"/>
                <w:sz w:val="18"/>
              </w:rPr>
              <w:t> </w:t>
            </w:r>
            <w:r>
              <w:rPr>
                <w:sz w:val="18"/>
              </w:rPr>
              <w:t>(4)</w:t>
            </w:r>
          </w:p>
        </w:tc>
        <w:tc>
          <w:tcPr>
            <w:tcW w:w="3670" w:type="dxa"/>
          </w:tcPr>
          <w:p>
            <w:pPr>
              <w:pStyle w:val="TableParagraph"/>
              <w:rPr>
                <w:rFonts w:ascii="Times New Roman"/>
                <w:sz w:val="14"/>
              </w:rPr>
            </w:pPr>
          </w:p>
        </w:tc>
      </w:tr>
      <w:tr>
        <w:trPr>
          <w:trHeight w:val="220" w:hRule="atLeast"/>
        </w:trPr>
        <w:tc>
          <w:tcPr>
            <w:tcW w:w="3965" w:type="dxa"/>
          </w:tcPr>
          <w:p>
            <w:pPr>
              <w:pStyle w:val="TableParagraph"/>
              <w:spacing w:line="201" w:lineRule="exact"/>
              <w:ind w:left="115"/>
              <w:rPr>
                <w:sz w:val="18"/>
              </w:rPr>
            </w:pPr>
            <w:r>
              <w:rPr>
                <w:sz w:val="18"/>
              </w:rPr>
              <w:t>Aboriginal</w:t>
            </w:r>
            <w:r>
              <w:rPr>
                <w:spacing w:val="-7"/>
                <w:sz w:val="18"/>
              </w:rPr>
              <w:t> </w:t>
            </w:r>
            <w:r>
              <w:rPr>
                <w:sz w:val="18"/>
              </w:rPr>
              <w:t>health</w:t>
            </w:r>
            <w:r>
              <w:rPr>
                <w:spacing w:val="-6"/>
                <w:sz w:val="18"/>
              </w:rPr>
              <w:t> </w:t>
            </w:r>
            <w:r>
              <w:rPr>
                <w:sz w:val="18"/>
              </w:rPr>
              <w:t>practitioner/worker</w:t>
            </w:r>
            <w:r>
              <w:rPr>
                <w:spacing w:val="-3"/>
                <w:sz w:val="18"/>
              </w:rPr>
              <w:t> </w:t>
            </w:r>
            <w:r>
              <w:rPr>
                <w:sz w:val="18"/>
              </w:rPr>
              <w:t>(7)</w:t>
            </w:r>
          </w:p>
        </w:tc>
        <w:tc>
          <w:tcPr>
            <w:tcW w:w="3670" w:type="dxa"/>
          </w:tcPr>
          <w:p>
            <w:pPr>
              <w:pStyle w:val="TableParagraph"/>
              <w:rPr>
                <w:rFonts w:ascii="Times New Roman"/>
                <w:sz w:val="14"/>
              </w:rPr>
            </w:pPr>
          </w:p>
        </w:tc>
      </w:tr>
      <w:tr>
        <w:trPr>
          <w:trHeight w:val="220" w:hRule="atLeast"/>
        </w:trPr>
        <w:tc>
          <w:tcPr>
            <w:tcW w:w="3965" w:type="dxa"/>
          </w:tcPr>
          <w:p>
            <w:pPr>
              <w:pStyle w:val="TableParagraph"/>
              <w:spacing w:line="200" w:lineRule="exact"/>
              <w:ind w:left="115"/>
              <w:rPr>
                <w:sz w:val="18"/>
              </w:rPr>
            </w:pPr>
            <w:r>
              <w:rPr>
                <w:sz w:val="18"/>
              </w:rPr>
              <w:t>Allied</w:t>
            </w:r>
            <w:r>
              <w:rPr>
                <w:spacing w:val="-5"/>
                <w:sz w:val="18"/>
              </w:rPr>
              <w:t> </w:t>
            </w:r>
            <w:r>
              <w:rPr>
                <w:sz w:val="18"/>
              </w:rPr>
              <w:t>health (3)</w:t>
            </w:r>
          </w:p>
        </w:tc>
        <w:tc>
          <w:tcPr>
            <w:tcW w:w="3670" w:type="dxa"/>
          </w:tcPr>
          <w:p>
            <w:pPr>
              <w:pStyle w:val="TableParagraph"/>
              <w:rPr>
                <w:rFonts w:ascii="Times New Roman"/>
                <w:sz w:val="14"/>
              </w:rPr>
            </w:pPr>
          </w:p>
        </w:tc>
      </w:tr>
      <w:tr>
        <w:trPr>
          <w:trHeight w:val="220" w:hRule="atLeast"/>
        </w:trPr>
        <w:tc>
          <w:tcPr>
            <w:tcW w:w="3965" w:type="dxa"/>
          </w:tcPr>
          <w:p>
            <w:pPr>
              <w:pStyle w:val="TableParagraph"/>
              <w:spacing w:line="200" w:lineRule="exact"/>
              <w:ind w:left="115"/>
              <w:rPr>
                <w:sz w:val="18"/>
              </w:rPr>
            </w:pPr>
            <w:r>
              <w:rPr>
                <w:sz w:val="18"/>
              </w:rPr>
              <w:t>Receptionist/</w:t>
            </w:r>
            <w:r>
              <w:rPr>
                <w:spacing w:val="-7"/>
                <w:sz w:val="18"/>
              </w:rPr>
              <w:t> </w:t>
            </w:r>
            <w:r>
              <w:rPr>
                <w:sz w:val="18"/>
              </w:rPr>
              <w:t>administration</w:t>
            </w:r>
            <w:r>
              <w:rPr>
                <w:spacing w:val="-6"/>
                <w:sz w:val="18"/>
              </w:rPr>
              <w:t> </w:t>
            </w:r>
            <w:r>
              <w:rPr>
                <w:sz w:val="18"/>
              </w:rPr>
              <w:t>(5)</w:t>
            </w:r>
          </w:p>
        </w:tc>
        <w:tc>
          <w:tcPr>
            <w:tcW w:w="3670" w:type="dxa"/>
          </w:tcPr>
          <w:p>
            <w:pPr>
              <w:pStyle w:val="TableParagraph"/>
              <w:rPr>
                <w:rFonts w:ascii="Times New Roman"/>
                <w:sz w:val="14"/>
              </w:rPr>
            </w:pPr>
          </w:p>
        </w:tc>
      </w:tr>
      <w:tr>
        <w:trPr>
          <w:trHeight w:val="222" w:hRule="atLeast"/>
        </w:trPr>
        <w:tc>
          <w:tcPr>
            <w:tcW w:w="3965" w:type="dxa"/>
          </w:tcPr>
          <w:p>
            <w:pPr>
              <w:pStyle w:val="TableParagraph"/>
              <w:spacing w:line="203" w:lineRule="exact"/>
              <w:ind w:left="115"/>
              <w:rPr>
                <w:sz w:val="18"/>
              </w:rPr>
            </w:pPr>
            <w:r>
              <w:rPr>
                <w:sz w:val="18"/>
              </w:rPr>
              <w:t>Other</w:t>
            </w:r>
            <w:r>
              <w:rPr>
                <w:spacing w:val="-2"/>
                <w:sz w:val="18"/>
              </w:rPr>
              <w:t> </w:t>
            </w:r>
            <w:r>
              <w:rPr>
                <w:sz w:val="18"/>
              </w:rPr>
              <w:t>(6)</w:t>
            </w:r>
          </w:p>
        </w:tc>
        <w:tc>
          <w:tcPr>
            <w:tcW w:w="3670" w:type="dxa"/>
          </w:tcPr>
          <w:p>
            <w:pPr>
              <w:pStyle w:val="TableParagraph"/>
              <w:rPr>
                <w:rFonts w:ascii="Times New Roman"/>
                <w:sz w:val="14"/>
              </w:rPr>
            </w:pPr>
          </w:p>
        </w:tc>
      </w:tr>
    </w:tbl>
    <w:p>
      <w:pPr>
        <w:spacing w:after="0"/>
        <w:rPr>
          <w:rFonts w:ascii="Times New Roman"/>
          <w:sz w:val="14"/>
        </w:rPr>
        <w:sectPr>
          <w:pgSz w:w="11910" w:h="16840"/>
          <w:pgMar w:header="0" w:footer="906" w:top="860" w:bottom="1140" w:left="580" w:right="280"/>
        </w:sectPr>
      </w:pPr>
    </w:p>
    <w:p>
      <w:pPr>
        <w:pStyle w:val="ListParagraph"/>
        <w:numPr>
          <w:ilvl w:val="0"/>
          <w:numId w:val="42"/>
        </w:numPr>
        <w:tabs>
          <w:tab w:pos="339" w:val="left" w:leader="none"/>
        </w:tabs>
        <w:spacing w:line="276" w:lineRule="auto" w:before="87" w:after="0"/>
        <w:ind w:left="140" w:right="892" w:firstLine="0"/>
        <w:jc w:val="left"/>
        <w:rPr>
          <w:sz w:val="18"/>
        </w:rPr>
      </w:pPr>
      <w:r>
        <w:rPr>
          <w:sz w:val="18"/>
        </w:rPr>
        <w:t>Did a HCH practice facilitator from a Primary Health Network assist the practice in the reaching consensus on the</w:t>
      </w:r>
      <w:r>
        <w:rPr>
          <w:spacing w:val="-47"/>
          <w:sz w:val="18"/>
        </w:rPr>
        <w:t> </w:t>
      </w:r>
      <w:r>
        <w:rPr>
          <w:sz w:val="18"/>
        </w:rPr>
        <w:t>assessment?</w:t>
      </w:r>
    </w:p>
    <w:p>
      <w:pPr>
        <w:pStyle w:val="BodyText"/>
        <w:spacing w:before="3"/>
        <w:rPr>
          <w:sz w:val="8"/>
        </w:rPr>
      </w:pPr>
    </w:p>
    <w:p>
      <w:pPr>
        <w:spacing w:before="100"/>
        <w:ind w:left="1491" w:right="0" w:firstLine="0"/>
        <w:jc w:val="left"/>
        <w:rPr>
          <w:sz w:val="18"/>
        </w:rPr>
      </w:pPr>
      <w:r>
        <w:rPr/>
        <w:drawing>
          <wp:anchor distT="0" distB="0" distL="0" distR="0" allowOverlap="1" layoutInCell="1" locked="0" behindDoc="0" simplePos="0" relativeHeight="15778816">
            <wp:simplePos x="0" y="0"/>
            <wp:positionH relativeFrom="page">
              <wp:posOffset>1102145</wp:posOffset>
            </wp:positionH>
            <wp:positionV relativeFrom="paragraph">
              <wp:posOffset>108350</wp:posOffset>
            </wp:positionV>
            <wp:extent cx="58380" cy="72151"/>
            <wp:effectExtent l="0" t="0" r="0" b="0"/>
            <wp:wrapNone/>
            <wp:docPr id="489" name="image13.png"/>
            <wp:cNvGraphicFramePr>
              <a:graphicFrameLocks noChangeAspect="1"/>
            </wp:cNvGraphicFramePr>
            <a:graphic>
              <a:graphicData uri="http://schemas.openxmlformats.org/drawingml/2006/picture">
                <pic:pic>
                  <pic:nvPicPr>
                    <pic:cNvPr id="49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Yes</w:t>
      </w:r>
      <w:r>
        <w:rPr>
          <w:spacing w:val="49"/>
          <w:sz w:val="18"/>
        </w:rPr>
        <w:t> </w:t>
      </w:r>
      <w:r>
        <w:rPr>
          <w:sz w:val="18"/>
        </w:rPr>
        <w:t>(1)</w:t>
      </w:r>
    </w:p>
    <w:p>
      <w:pPr>
        <w:spacing w:before="0"/>
        <w:ind w:left="1491" w:right="0" w:firstLine="0"/>
        <w:jc w:val="left"/>
        <w:rPr>
          <w:sz w:val="18"/>
        </w:rPr>
      </w:pPr>
      <w:r>
        <w:rPr/>
        <w:drawing>
          <wp:anchor distT="0" distB="0" distL="0" distR="0" allowOverlap="1" layoutInCell="1" locked="0" behindDoc="0" simplePos="0" relativeHeight="15779328">
            <wp:simplePos x="0" y="0"/>
            <wp:positionH relativeFrom="page">
              <wp:posOffset>1102145</wp:posOffset>
            </wp:positionH>
            <wp:positionV relativeFrom="paragraph">
              <wp:posOffset>44849</wp:posOffset>
            </wp:positionV>
            <wp:extent cx="58380" cy="72151"/>
            <wp:effectExtent l="0" t="0" r="0" b="0"/>
            <wp:wrapNone/>
            <wp:docPr id="491" name="image13.png"/>
            <wp:cNvGraphicFramePr>
              <a:graphicFrameLocks noChangeAspect="1"/>
            </wp:cNvGraphicFramePr>
            <a:graphic>
              <a:graphicData uri="http://schemas.openxmlformats.org/drawingml/2006/picture">
                <pic:pic>
                  <pic:nvPicPr>
                    <pic:cNvPr id="49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w:t>
      </w:r>
      <w:r>
        <w:rPr>
          <w:spacing w:val="49"/>
          <w:sz w:val="18"/>
        </w:rPr>
        <w:t> </w:t>
      </w:r>
      <w:r>
        <w:rPr>
          <w:sz w:val="18"/>
        </w:rPr>
        <w:t>(2)</w:t>
      </w:r>
    </w:p>
    <w:p>
      <w:pPr>
        <w:pStyle w:val="BodyText"/>
        <w:spacing w:before="9"/>
        <w:rPr>
          <w:sz w:val="14"/>
        </w:rPr>
      </w:pPr>
    </w:p>
    <w:p>
      <w:pPr>
        <w:pStyle w:val="ListParagraph"/>
        <w:numPr>
          <w:ilvl w:val="0"/>
          <w:numId w:val="42"/>
        </w:numPr>
        <w:tabs>
          <w:tab w:pos="339" w:val="left" w:leader="none"/>
        </w:tabs>
        <w:spacing w:line="276" w:lineRule="auto" w:before="101" w:after="0"/>
        <w:ind w:left="140" w:right="469" w:firstLine="0"/>
        <w:jc w:val="left"/>
        <w:rPr>
          <w:sz w:val="18"/>
        </w:rPr>
      </w:pPr>
      <w:r>
        <w:rPr>
          <w:sz w:val="18"/>
        </w:rPr>
        <w:t>Do you wish to submit the results of this survey now?</w:t>
      </w:r>
      <w:r>
        <w:rPr>
          <w:spacing w:val="1"/>
          <w:sz w:val="18"/>
        </w:rPr>
        <w:t> </w:t>
      </w:r>
      <w:r>
        <w:rPr>
          <w:sz w:val="18"/>
        </w:rPr>
        <w:t>If you wish to finalise and submit the survey data, select Yes</w:t>
      </w:r>
      <w:r>
        <w:rPr>
          <w:spacing w:val="1"/>
          <w:sz w:val="18"/>
        </w:rPr>
        <w:t> </w:t>
      </w:r>
      <w:r>
        <w:rPr>
          <w:sz w:val="18"/>
        </w:rPr>
        <w:t>below, then select the Next Arrow below.</w:t>
      </w:r>
      <w:r>
        <w:rPr>
          <w:spacing w:val="1"/>
          <w:sz w:val="18"/>
        </w:rPr>
        <w:t> </w:t>
      </w:r>
      <w:r>
        <w:rPr>
          <w:sz w:val="18"/>
        </w:rPr>
        <w:t>This will submit your data, If you wish to return to this survey later, </w:t>
      </w:r>
      <w:r>
        <w:rPr>
          <w:sz w:val="18"/>
          <w:u w:val="single"/>
        </w:rPr>
        <w:t>do not </w:t>
      </w:r>
      <w:r>
        <w:rPr>
          <w:sz w:val="18"/>
        </w:rPr>
        <w:t>select</w:t>
      </w:r>
      <w:r>
        <w:rPr>
          <w:spacing w:val="-47"/>
          <w:sz w:val="18"/>
        </w:rPr>
        <w:t> </w:t>
      </w:r>
      <w:r>
        <w:rPr>
          <w:sz w:val="18"/>
        </w:rPr>
        <w:t>Yes.</w:t>
      </w:r>
      <w:r>
        <w:rPr>
          <w:spacing w:val="1"/>
          <w:sz w:val="18"/>
        </w:rPr>
        <w:t> </w:t>
      </w:r>
      <w:r>
        <w:rPr>
          <w:sz w:val="18"/>
        </w:rPr>
        <w:t>Just leave this page and return later using the URL link supplied. The details you have entered above will be saved,</w:t>
      </w:r>
      <w:r>
        <w:rPr>
          <w:spacing w:val="1"/>
          <w:sz w:val="18"/>
        </w:rPr>
        <w:t> </w:t>
      </w:r>
      <w:r>
        <w:rPr>
          <w:sz w:val="18"/>
        </w:rPr>
        <w:t>and</w:t>
      </w:r>
      <w:r>
        <w:rPr>
          <w:spacing w:val="-2"/>
          <w:sz w:val="18"/>
        </w:rPr>
        <w:t> </w:t>
      </w:r>
      <w:r>
        <w:rPr>
          <w:sz w:val="18"/>
        </w:rPr>
        <w:t>when you return,</w:t>
      </w:r>
      <w:r>
        <w:rPr>
          <w:spacing w:val="-2"/>
          <w:sz w:val="18"/>
        </w:rPr>
        <w:t> </w:t>
      </w:r>
      <w:r>
        <w:rPr>
          <w:sz w:val="18"/>
        </w:rPr>
        <w:t>you can complete</w:t>
      </w:r>
      <w:r>
        <w:rPr>
          <w:spacing w:val="-1"/>
          <w:sz w:val="18"/>
        </w:rPr>
        <w:t> </w:t>
      </w:r>
      <w:r>
        <w:rPr>
          <w:sz w:val="18"/>
        </w:rPr>
        <w:t>the survey.</w:t>
      </w:r>
    </w:p>
    <w:p>
      <w:pPr>
        <w:pStyle w:val="BodyText"/>
        <w:spacing w:before="2"/>
        <w:rPr>
          <w:sz w:val="16"/>
        </w:rPr>
      </w:pPr>
    </w:p>
    <w:p>
      <w:pPr>
        <w:spacing w:before="1"/>
        <w:ind w:left="1491" w:right="0" w:firstLine="0"/>
        <w:jc w:val="left"/>
        <w:rPr>
          <w:sz w:val="18"/>
        </w:rPr>
      </w:pPr>
      <w:r>
        <w:rPr/>
        <w:drawing>
          <wp:anchor distT="0" distB="0" distL="0" distR="0" allowOverlap="1" layoutInCell="1" locked="0" behindDoc="0" simplePos="0" relativeHeight="15779840">
            <wp:simplePos x="0" y="0"/>
            <wp:positionH relativeFrom="page">
              <wp:posOffset>1102145</wp:posOffset>
            </wp:positionH>
            <wp:positionV relativeFrom="paragraph">
              <wp:posOffset>45291</wp:posOffset>
            </wp:positionV>
            <wp:extent cx="58380" cy="73869"/>
            <wp:effectExtent l="0" t="0" r="0" b="0"/>
            <wp:wrapNone/>
            <wp:docPr id="493" name="image14.png"/>
            <wp:cNvGraphicFramePr>
              <a:graphicFrameLocks noChangeAspect="1"/>
            </wp:cNvGraphicFramePr>
            <a:graphic>
              <a:graphicData uri="http://schemas.openxmlformats.org/drawingml/2006/picture">
                <pic:pic>
                  <pic:nvPicPr>
                    <pic:cNvPr id="494"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Yes</w:t>
      </w:r>
      <w:r>
        <w:rPr>
          <w:spacing w:val="49"/>
          <w:sz w:val="18"/>
        </w:rPr>
        <w:t> </w:t>
      </w:r>
      <w:r>
        <w:rPr>
          <w:sz w:val="18"/>
        </w:rPr>
        <w:t>(4)</w:t>
      </w:r>
    </w:p>
    <w:p>
      <w:pPr>
        <w:spacing w:after="0"/>
        <w:jc w:val="left"/>
        <w:rPr>
          <w:sz w:val="18"/>
        </w:rPr>
        <w:sectPr>
          <w:pgSz w:w="11910" w:h="16840"/>
          <w:pgMar w:header="0" w:footer="906" w:top="1100" w:bottom="1140" w:left="580" w:right="280"/>
        </w:sectPr>
      </w:pPr>
    </w:p>
    <w:p>
      <w:pPr>
        <w:pStyle w:val="Heading4"/>
        <w:spacing w:before="76"/>
        <w:ind w:left="1179"/>
      </w:pPr>
      <w:r>
        <w:rPr/>
        <w:pict>
          <v:shape style="position:absolute;margin-left:36pt;margin-top:26.498192pt;width:523.85pt;height:246.75pt;mso-position-horizontal-relative:page;mso-position-vertical-relative:paragraph;z-index:-15676928;mso-wrap-distance-left:0;mso-wrap-distance-right:0" type="#_x0000_t202" id="docshape140" filled="true" fillcolor="#f1f1f1" stroked="false">
            <v:textbox inset="0,0,0,0">
              <w:txbxContent>
                <w:p>
                  <w:pPr>
                    <w:spacing w:line="273" w:lineRule="auto" w:before="76"/>
                    <w:ind w:left="148" w:right="192" w:firstLine="0"/>
                    <w:jc w:val="left"/>
                    <w:rPr>
                      <w:color w:val="000000"/>
                      <w:sz w:val="18"/>
                    </w:rPr>
                  </w:pPr>
                  <w:r>
                    <w:rPr>
                      <w:color w:val="000000"/>
                      <w:sz w:val="18"/>
                    </w:rPr>
                    <w:t>This</w:t>
                  </w:r>
                  <w:r>
                    <w:rPr>
                      <w:color w:val="000000"/>
                      <w:spacing w:val="-4"/>
                      <w:sz w:val="18"/>
                    </w:rPr>
                    <w:t> </w:t>
                  </w:r>
                  <w:r>
                    <w:rPr>
                      <w:color w:val="000000"/>
                      <w:sz w:val="18"/>
                    </w:rPr>
                    <w:t>survey</w:t>
                  </w:r>
                  <w:r>
                    <w:rPr>
                      <w:color w:val="000000"/>
                      <w:spacing w:val="-4"/>
                      <w:sz w:val="18"/>
                    </w:rPr>
                    <w:t> </w:t>
                  </w:r>
                  <w:r>
                    <w:rPr>
                      <w:color w:val="000000"/>
                      <w:sz w:val="18"/>
                    </w:rPr>
                    <w:t>asks</w:t>
                  </w:r>
                  <w:r>
                    <w:rPr>
                      <w:color w:val="000000"/>
                      <w:spacing w:val="-4"/>
                      <w:sz w:val="18"/>
                    </w:rPr>
                    <w:t> </w:t>
                  </w:r>
                  <w:r>
                    <w:rPr>
                      <w:color w:val="000000"/>
                      <w:sz w:val="18"/>
                    </w:rPr>
                    <w:t>questions</w:t>
                  </w:r>
                  <w:r>
                    <w:rPr>
                      <w:color w:val="000000"/>
                      <w:spacing w:val="-3"/>
                      <w:sz w:val="18"/>
                    </w:rPr>
                    <w:t> </w:t>
                  </w:r>
                  <w:r>
                    <w:rPr>
                      <w:color w:val="000000"/>
                      <w:sz w:val="18"/>
                    </w:rPr>
                    <w:t>about</w:t>
                  </w:r>
                  <w:r>
                    <w:rPr>
                      <w:color w:val="000000"/>
                      <w:spacing w:val="-5"/>
                      <w:sz w:val="18"/>
                    </w:rPr>
                    <w:t> </w:t>
                  </w:r>
                  <w:r>
                    <w:rPr>
                      <w:color w:val="000000"/>
                      <w:sz w:val="18"/>
                    </w:rPr>
                    <w:t>the</w:t>
                  </w:r>
                  <w:r>
                    <w:rPr>
                      <w:color w:val="000000"/>
                      <w:spacing w:val="-3"/>
                      <w:sz w:val="18"/>
                    </w:rPr>
                    <w:t> </w:t>
                  </w:r>
                  <w:r>
                    <w:rPr>
                      <w:color w:val="000000"/>
                      <w:sz w:val="18"/>
                    </w:rPr>
                    <w:t>implementation</w:t>
                  </w:r>
                  <w:r>
                    <w:rPr>
                      <w:color w:val="000000"/>
                      <w:spacing w:val="-3"/>
                      <w:sz w:val="18"/>
                    </w:rPr>
                    <w:t> </w:t>
                  </w:r>
                  <w:r>
                    <w:rPr>
                      <w:color w:val="000000"/>
                      <w:sz w:val="18"/>
                    </w:rPr>
                    <w:t>of</w:t>
                  </w:r>
                  <w:r>
                    <w:rPr>
                      <w:color w:val="000000"/>
                      <w:spacing w:val="-3"/>
                      <w:sz w:val="18"/>
                    </w:rPr>
                    <w:t> </w:t>
                  </w:r>
                  <w:r>
                    <w:rPr>
                      <w:color w:val="000000"/>
                      <w:sz w:val="18"/>
                    </w:rPr>
                    <w:t>the</w:t>
                  </w:r>
                  <w:r>
                    <w:rPr>
                      <w:color w:val="000000"/>
                      <w:spacing w:val="-3"/>
                      <w:sz w:val="18"/>
                    </w:rPr>
                    <w:t> </w:t>
                  </w:r>
                  <w:r>
                    <w:rPr>
                      <w:color w:val="000000"/>
                      <w:sz w:val="18"/>
                    </w:rPr>
                    <w:t>Health</w:t>
                  </w:r>
                  <w:r>
                    <w:rPr>
                      <w:color w:val="000000"/>
                      <w:spacing w:val="-3"/>
                      <w:sz w:val="18"/>
                    </w:rPr>
                    <w:t> </w:t>
                  </w:r>
                  <w:r>
                    <w:rPr>
                      <w:color w:val="000000"/>
                      <w:sz w:val="18"/>
                    </w:rPr>
                    <w:t>Care</w:t>
                  </w:r>
                  <w:r>
                    <w:rPr>
                      <w:color w:val="000000"/>
                      <w:spacing w:val="-3"/>
                      <w:sz w:val="18"/>
                    </w:rPr>
                    <w:t> </w:t>
                  </w:r>
                  <w:r>
                    <w:rPr>
                      <w:color w:val="000000"/>
                      <w:sz w:val="18"/>
                    </w:rPr>
                    <w:t>Homes</w:t>
                  </w:r>
                  <w:r>
                    <w:rPr>
                      <w:color w:val="000000"/>
                      <w:spacing w:val="-1"/>
                      <w:sz w:val="18"/>
                    </w:rPr>
                    <w:t> </w:t>
                  </w:r>
                  <w:r>
                    <w:rPr>
                      <w:color w:val="000000"/>
                      <w:sz w:val="18"/>
                    </w:rPr>
                    <w:t>(HCH)</w:t>
                  </w:r>
                  <w:r>
                    <w:rPr>
                      <w:color w:val="000000"/>
                      <w:spacing w:val="-4"/>
                      <w:sz w:val="18"/>
                    </w:rPr>
                    <w:t> </w:t>
                  </w:r>
                  <w:r>
                    <w:rPr>
                      <w:color w:val="000000"/>
                      <w:sz w:val="18"/>
                    </w:rPr>
                    <w:t>program</w:t>
                  </w:r>
                  <w:r>
                    <w:rPr>
                      <w:color w:val="000000"/>
                      <w:spacing w:val="-7"/>
                      <w:sz w:val="18"/>
                    </w:rPr>
                    <w:t> </w:t>
                  </w:r>
                  <w:r>
                    <w:rPr>
                      <w:color w:val="000000"/>
                      <w:sz w:val="18"/>
                    </w:rPr>
                    <w:t>in</w:t>
                  </w:r>
                  <w:r>
                    <w:rPr>
                      <w:color w:val="000000"/>
                      <w:spacing w:val="-3"/>
                      <w:sz w:val="18"/>
                    </w:rPr>
                    <w:t> </w:t>
                  </w:r>
                  <w:r>
                    <w:rPr>
                      <w:color w:val="000000"/>
                      <w:sz w:val="18"/>
                    </w:rPr>
                    <w:t>your</w:t>
                  </w:r>
                  <w:r>
                    <w:rPr>
                      <w:color w:val="000000"/>
                      <w:spacing w:val="-3"/>
                      <w:sz w:val="18"/>
                    </w:rPr>
                    <w:t> </w:t>
                  </w:r>
                  <w:r>
                    <w:rPr>
                      <w:color w:val="000000"/>
                      <w:sz w:val="18"/>
                    </w:rPr>
                    <w:t>primary</w:t>
                  </w:r>
                  <w:r>
                    <w:rPr>
                      <w:color w:val="000000"/>
                      <w:spacing w:val="-1"/>
                      <w:sz w:val="18"/>
                    </w:rPr>
                    <w:t> </w:t>
                  </w:r>
                  <w:r>
                    <w:rPr>
                      <w:color w:val="000000"/>
                      <w:sz w:val="18"/>
                    </w:rPr>
                    <w:t>care</w:t>
                  </w:r>
                  <w:r>
                    <w:rPr>
                      <w:color w:val="000000"/>
                      <w:spacing w:val="1"/>
                      <w:sz w:val="18"/>
                    </w:rPr>
                    <w:t> </w:t>
                  </w:r>
                  <w:r>
                    <w:rPr>
                      <w:color w:val="000000"/>
                      <w:sz w:val="18"/>
                    </w:rPr>
                    <w:t>practice/</w:t>
                  </w:r>
                  <w:r>
                    <w:rPr>
                      <w:color w:val="000000"/>
                      <w:spacing w:val="-1"/>
                      <w:sz w:val="18"/>
                    </w:rPr>
                    <w:t> </w:t>
                  </w:r>
                  <w:r>
                    <w:rPr>
                      <w:color w:val="000000"/>
                      <w:sz w:val="18"/>
                    </w:rPr>
                    <w:t>service.</w:t>
                  </w:r>
                </w:p>
                <w:p>
                  <w:pPr>
                    <w:spacing w:line="276" w:lineRule="auto" w:before="124"/>
                    <w:ind w:left="148" w:right="192" w:firstLine="0"/>
                    <w:jc w:val="left"/>
                    <w:rPr>
                      <w:color w:val="000000"/>
                      <w:sz w:val="18"/>
                    </w:rPr>
                  </w:pPr>
                  <w:r>
                    <w:rPr>
                      <w:color w:val="000000"/>
                      <w:sz w:val="18"/>
                    </w:rPr>
                    <w:t>A link has been provided to the survey. You may return to this link on several occasions. The survey should be</w:t>
                  </w:r>
                  <w:r>
                    <w:rPr>
                      <w:color w:val="000000"/>
                      <w:spacing w:val="-47"/>
                      <w:sz w:val="18"/>
                    </w:rPr>
                    <w:t> </w:t>
                  </w:r>
                  <w:r>
                    <w:rPr>
                      <w:color w:val="000000"/>
                      <w:sz w:val="18"/>
                    </w:rPr>
                    <w:t>completed</w:t>
                  </w:r>
                  <w:r>
                    <w:rPr>
                      <w:color w:val="000000"/>
                      <w:spacing w:val="-2"/>
                      <w:sz w:val="18"/>
                    </w:rPr>
                    <w:t> </w:t>
                  </w:r>
                  <w:r>
                    <w:rPr>
                      <w:color w:val="000000"/>
                      <w:sz w:val="18"/>
                    </w:rPr>
                    <w:t>by</w:t>
                  </w:r>
                  <w:r>
                    <w:rPr>
                      <w:color w:val="000000"/>
                      <w:spacing w:val="-1"/>
                      <w:sz w:val="18"/>
                    </w:rPr>
                    <w:t> </w:t>
                  </w:r>
                  <w:r>
                    <w:rPr>
                      <w:color w:val="000000"/>
                      <w:sz w:val="18"/>
                    </w:rPr>
                    <w:t>30 November</w:t>
                  </w:r>
                  <w:r>
                    <w:rPr>
                      <w:color w:val="000000"/>
                      <w:spacing w:val="1"/>
                      <w:sz w:val="18"/>
                    </w:rPr>
                    <w:t> </w:t>
                  </w:r>
                  <w:r>
                    <w:rPr>
                      <w:color w:val="000000"/>
                      <w:sz w:val="18"/>
                    </w:rPr>
                    <w:t>2018</w:t>
                  </w:r>
                  <w:r>
                    <w:rPr>
                      <w:color w:val="000000"/>
                      <w:spacing w:val="1"/>
                      <w:sz w:val="18"/>
                    </w:rPr>
                    <w:t> </w:t>
                  </w:r>
                  <w:r>
                    <w:rPr>
                      <w:color w:val="000000"/>
                      <w:sz w:val="18"/>
                    </w:rPr>
                    <w:t>(Round</w:t>
                  </w:r>
                  <w:r>
                    <w:rPr>
                      <w:color w:val="000000"/>
                      <w:spacing w:val="-1"/>
                      <w:sz w:val="18"/>
                    </w:rPr>
                    <w:t> </w:t>
                  </w:r>
                  <w:r>
                    <w:rPr>
                      <w:color w:val="000000"/>
                      <w:sz w:val="18"/>
                    </w:rPr>
                    <w:t>2).</w:t>
                  </w:r>
                </w:p>
                <w:p>
                  <w:pPr>
                    <w:spacing w:line="276" w:lineRule="auto" w:before="121"/>
                    <w:ind w:left="148" w:right="192" w:firstLine="0"/>
                    <w:jc w:val="left"/>
                    <w:rPr>
                      <w:color w:val="000000"/>
                      <w:sz w:val="18"/>
                    </w:rPr>
                  </w:pPr>
                  <w:r>
                    <w:rPr>
                      <w:color w:val="000000"/>
                      <w:sz w:val="18"/>
                    </w:rPr>
                    <w:t>The information that you provide will be kept strictly confidential and will not be used for any other purpose other</w:t>
                  </w:r>
                  <w:r>
                    <w:rPr>
                      <w:color w:val="000000"/>
                      <w:spacing w:val="1"/>
                      <w:sz w:val="18"/>
                    </w:rPr>
                    <w:t> </w:t>
                  </w:r>
                  <w:r>
                    <w:rPr>
                      <w:color w:val="000000"/>
                      <w:sz w:val="18"/>
                    </w:rPr>
                    <w:t>than</w:t>
                  </w:r>
                  <w:r>
                    <w:rPr>
                      <w:color w:val="000000"/>
                      <w:spacing w:val="-4"/>
                      <w:sz w:val="18"/>
                    </w:rPr>
                    <w:t> </w:t>
                  </w:r>
                  <w:r>
                    <w:rPr>
                      <w:color w:val="000000"/>
                      <w:sz w:val="18"/>
                    </w:rPr>
                    <w:t>the</w:t>
                  </w:r>
                  <w:r>
                    <w:rPr>
                      <w:color w:val="000000"/>
                      <w:spacing w:val="-3"/>
                      <w:sz w:val="18"/>
                    </w:rPr>
                    <w:t> </w:t>
                  </w:r>
                  <w:r>
                    <w:rPr>
                      <w:color w:val="000000"/>
                      <w:sz w:val="18"/>
                    </w:rPr>
                    <w:t>evaluation</w:t>
                  </w:r>
                  <w:r>
                    <w:rPr>
                      <w:color w:val="000000"/>
                      <w:spacing w:val="-3"/>
                      <w:sz w:val="18"/>
                    </w:rPr>
                    <w:t> </w:t>
                  </w:r>
                  <w:r>
                    <w:rPr>
                      <w:color w:val="000000"/>
                      <w:sz w:val="18"/>
                    </w:rPr>
                    <w:t>of</w:t>
                  </w:r>
                  <w:r>
                    <w:rPr>
                      <w:color w:val="000000"/>
                      <w:spacing w:val="-5"/>
                      <w:sz w:val="18"/>
                    </w:rPr>
                    <w:t> </w:t>
                  </w:r>
                  <w:r>
                    <w:rPr>
                      <w:color w:val="000000"/>
                      <w:sz w:val="18"/>
                    </w:rPr>
                    <w:t>the</w:t>
                  </w:r>
                  <w:r>
                    <w:rPr>
                      <w:color w:val="000000"/>
                      <w:spacing w:val="-5"/>
                      <w:sz w:val="18"/>
                    </w:rPr>
                    <w:t> </w:t>
                  </w:r>
                  <w:r>
                    <w:rPr>
                      <w:color w:val="000000"/>
                      <w:sz w:val="18"/>
                    </w:rPr>
                    <w:t>HCH</w:t>
                  </w:r>
                  <w:r>
                    <w:rPr>
                      <w:color w:val="000000"/>
                      <w:spacing w:val="-3"/>
                      <w:sz w:val="18"/>
                    </w:rPr>
                    <w:t> </w:t>
                  </w:r>
                  <w:r>
                    <w:rPr>
                      <w:color w:val="000000"/>
                      <w:sz w:val="18"/>
                    </w:rPr>
                    <w:t>program.</w:t>
                  </w:r>
                  <w:r>
                    <w:rPr>
                      <w:color w:val="000000"/>
                      <w:spacing w:val="2"/>
                      <w:sz w:val="18"/>
                    </w:rPr>
                    <w:t> </w:t>
                  </w:r>
                  <w:r>
                    <w:rPr>
                      <w:color w:val="000000"/>
                      <w:sz w:val="18"/>
                    </w:rPr>
                    <w:t>All</w:t>
                  </w:r>
                  <w:r>
                    <w:rPr>
                      <w:color w:val="000000"/>
                      <w:spacing w:val="-3"/>
                      <w:sz w:val="18"/>
                    </w:rPr>
                    <w:t> </w:t>
                  </w:r>
                  <w:r>
                    <w:rPr>
                      <w:color w:val="000000"/>
                      <w:sz w:val="18"/>
                    </w:rPr>
                    <w:t>reports</w:t>
                  </w:r>
                  <w:r>
                    <w:rPr>
                      <w:color w:val="000000"/>
                      <w:spacing w:val="-4"/>
                      <w:sz w:val="18"/>
                    </w:rPr>
                    <w:t> </w:t>
                  </w:r>
                  <w:r>
                    <w:rPr>
                      <w:color w:val="000000"/>
                      <w:sz w:val="18"/>
                    </w:rPr>
                    <w:t>of</w:t>
                  </w:r>
                  <w:r>
                    <w:rPr>
                      <w:color w:val="000000"/>
                      <w:spacing w:val="-4"/>
                      <w:sz w:val="18"/>
                    </w:rPr>
                    <w:t> </w:t>
                  </w:r>
                  <w:r>
                    <w:rPr>
                      <w:color w:val="000000"/>
                      <w:sz w:val="18"/>
                    </w:rPr>
                    <w:t>the</w:t>
                  </w:r>
                  <w:r>
                    <w:rPr>
                      <w:color w:val="000000"/>
                      <w:spacing w:val="-3"/>
                      <w:sz w:val="18"/>
                    </w:rPr>
                    <w:t> </w:t>
                  </w:r>
                  <w:r>
                    <w:rPr>
                      <w:color w:val="000000"/>
                      <w:sz w:val="18"/>
                    </w:rPr>
                    <w:t>evaluation</w:t>
                  </w:r>
                  <w:r>
                    <w:rPr>
                      <w:color w:val="000000"/>
                      <w:spacing w:val="-3"/>
                      <w:sz w:val="18"/>
                    </w:rPr>
                    <w:t> </w:t>
                  </w:r>
                  <w:r>
                    <w:rPr>
                      <w:color w:val="000000"/>
                      <w:sz w:val="18"/>
                    </w:rPr>
                    <w:t>will</w:t>
                  </w:r>
                  <w:r>
                    <w:rPr>
                      <w:color w:val="000000"/>
                      <w:spacing w:val="-4"/>
                      <w:sz w:val="18"/>
                    </w:rPr>
                    <w:t> </w:t>
                  </w:r>
                  <w:r>
                    <w:rPr>
                      <w:color w:val="000000"/>
                      <w:sz w:val="18"/>
                    </w:rPr>
                    <w:t>only</w:t>
                  </w:r>
                  <w:r>
                    <w:rPr>
                      <w:color w:val="000000"/>
                      <w:spacing w:val="-4"/>
                      <w:sz w:val="18"/>
                    </w:rPr>
                    <w:t> </w:t>
                  </w:r>
                  <w:r>
                    <w:rPr>
                      <w:color w:val="000000"/>
                      <w:sz w:val="18"/>
                    </w:rPr>
                    <w:t>contain</w:t>
                  </w:r>
                  <w:r>
                    <w:rPr>
                      <w:color w:val="000000"/>
                      <w:spacing w:val="-3"/>
                      <w:sz w:val="18"/>
                    </w:rPr>
                    <w:t> </w:t>
                  </w:r>
                  <w:r>
                    <w:rPr>
                      <w:color w:val="000000"/>
                      <w:sz w:val="18"/>
                    </w:rPr>
                    <w:t>descriptive</w:t>
                  </w:r>
                  <w:r>
                    <w:rPr>
                      <w:color w:val="000000"/>
                      <w:spacing w:val="-5"/>
                      <w:sz w:val="18"/>
                    </w:rPr>
                    <w:t> </w:t>
                  </w:r>
                  <w:r>
                    <w:rPr>
                      <w:color w:val="000000"/>
                      <w:sz w:val="18"/>
                    </w:rPr>
                    <w:t>information</w:t>
                  </w:r>
                  <w:r>
                    <w:rPr>
                      <w:color w:val="000000"/>
                      <w:spacing w:val="-5"/>
                      <w:sz w:val="18"/>
                    </w:rPr>
                    <w:t> </w:t>
                  </w:r>
                  <w:r>
                    <w:rPr>
                      <w:color w:val="000000"/>
                      <w:sz w:val="18"/>
                    </w:rPr>
                    <w:t>about</w:t>
                  </w:r>
                  <w:r>
                    <w:rPr>
                      <w:color w:val="000000"/>
                      <w:spacing w:val="1"/>
                      <w:sz w:val="18"/>
                    </w:rPr>
                    <w:t> </w:t>
                  </w:r>
                  <w:r>
                    <w:rPr>
                      <w:color w:val="000000"/>
                      <w:sz w:val="18"/>
                    </w:rPr>
                    <w:t>individual practices/ services (e.g. geographic location in summary categories such as rural, remote, very remote).</w:t>
                  </w:r>
                  <w:r>
                    <w:rPr>
                      <w:color w:val="000000"/>
                      <w:spacing w:val="1"/>
                      <w:sz w:val="18"/>
                    </w:rPr>
                    <w:t> </w:t>
                  </w:r>
                  <w:r>
                    <w:rPr>
                      <w:color w:val="000000"/>
                      <w:sz w:val="18"/>
                    </w:rPr>
                    <w:t>No</w:t>
                  </w:r>
                  <w:r>
                    <w:rPr>
                      <w:color w:val="000000"/>
                      <w:spacing w:val="-1"/>
                      <w:sz w:val="18"/>
                    </w:rPr>
                    <w:t> </w:t>
                  </w:r>
                  <w:r>
                    <w:rPr>
                      <w:color w:val="000000"/>
                      <w:sz w:val="18"/>
                    </w:rPr>
                    <w:t>ratings</w:t>
                  </w:r>
                  <w:r>
                    <w:rPr>
                      <w:color w:val="000000"/>
                      <w:spacing w:val="-1"/>
                      <w:sz w:val="18"/>
                    </w:rPr>
                    <w:t> </w:t>
                  </w:r>
                  <w:r>
                    <w:rPr>
                      <w:color w:val="000000"/>
                      <w:sz w:val="18"/>
                    </w:rPr>
                    <w:t>or views</w:t>
                  </w:r>
                  <w:r>
                    <w:rPr>
                      <w:color w:val="000000"/>
                      <w:spacing w:val="-2"/>
                      <w:sz w:val="18"/>
                    </w:rPr>
                    <w:t> </w:t>
                  </w:r>
                  <w:r>
                    <w:rPr>
                      <w:color w:val="000000"/>
                      <w:sz w:val="18"/>
                    </w:rPr>
                    <w:t>will</w:t>
                  </w:r>
                  <w:r>
                    <w:rPr>
                      <w:color w:val="000000"/>
                      <w:spacing w:val="-1"/>
                      <w:sz w:val="18"/>
                    </w:rPr>
                    <w:t> </w:t>
                  </w:r>
                  <w:r>
                    <w:rPr>
                      <w:color w:val="000000"/>
                      <w:sz w:val="18"/>
                    </w:rPr>
                    <w:t>be</w:t>
                  </w:r>
                  <w:r>
                    <w:rPr>
                      <w:color w:val="000000"/>
                      <w:spacing w:val="-2"/>
                      <w:sz w:val="18"/>
                    </w:rPr>
                    <w:t> </w:t>
                  </w:r>
                  <w:r>
                    <w:rPr>
                      <w:color w:val="000000"/>
                      <w:sz w:val="18"/>
                    </w:rPr>
                    <w:t>attributed</w:t>
                  </w:r>
                  <w:r>
                    <w:rPr>
                      <w:color w:val="000000"/>
                      <w:spacing w:val="-2"/>
                      <w:sz w:val="18"/>
                    </w:rPr>
                    <w:t> </w:t>
                  </w:r>
                  <w:r>
                    <w:rPr>
                      <w:color w:val="000000"/>
                      <w:sz w:val="18"/>
                    </w:rPr>
                    <w:t>to</w:t>
                  </w:r>
                  <w:r>
                    <w:rPr>
                      <w:color w:val="000000"/>
                      <w:spacing w:val="-1"/>
                      <w:sz w:val="18"/>
                    </w:rPr>
                    <w:t> </w:t>
                  </w:r>
                  <w:r>
                    <w:rPr>
                      <w:color w:val="000000"/>
                      <w:sz w:val="18"/>
                    </w:rPr>
                    <w:t>any</w:t>
                  </w:r>
                  <w:r>
                    <w:rPr>
                      <w:color w:val="000000"/>
                      <w:spacing w:val="-3"/>
                      <w:sz w:val="18"/>
                    </w:rPr>
                    <w:t> </w:t>
                  </w:r>
                  <w:r>
                    <w:rPr>
                      <w:color w:val="000000"/>
                      <w:sz w:val="18"/>
                    </w:rPr>
                    <w:t>individual</w:t>
                  </w:r>
                  <w:r>
                    <w:rPr>
                      <w:color w:val="000000"/>
                      <w:spacing w:val="-1"/>
                      <w:sz w:val="18"/>
                    </w:rPr>
                    <w:t> </w:t>
                  </w:r>
                  <w:r>
                    <w:rPr>
                      <w:color w:val="000000"/>
                      <w:sz w:val="18"/>
                    </w:rPr>
                    <w:t>practice/ service.</w:t>
                  </w:r>
                </w:p>
                <w:p>
                  <w:pPr>
                    <w:spacing w:line="276" w:lineRule="auto" w:before="120"/>
                    <w:ind w:left="148" w:right="553" w:firstLine="0"/>
                    <w:jc w:val="left"/>
                    <w:rPr>
                      <w:color w:val="000000"/>
                      <w:sz w:val="18"/>
                    </w:rPr>
                  </w:pPr>
                  <w:r>
                    <w:rPr>
                      <w:color w:val="000000"/>
                      <w:sz w:val="18"/>
                    </w:rPr>
                    <w:t>The evaluation is being conducted by Health Policy Analysis, on behalf of the Commonwealth Department of</w:t>
                  </w:r>
                  <w:r>
                    <w:rPr>
                      <w:color w:val="000000"/>
                      <w:spacing w:val="1"/>
                      <w:sz w:val="18"/>
                    </w:rPr>
                    <w:t> </w:t>
                  </w:r>
                  <w:r>
                    <w:rPr>
                      <w:color w:val="000000"/>
                      <w:sz w:val="18"/>
                    </w:rPr>
                    <w:t>Health. If you would like any further information about this survey or the evaluation, please contact Health Policy</w:t>
                  </w:r>
                  <w:r>
                    <w:rPr>
                      <w:color w:val="000000"/>
                      <w:spacing w:val="-47"/>
                      <w:sz w:val="18"/>
                    </w:rPr>
                    <w:t> </w:t>
                  </w:r>
                  <w:r>
                    <w:rPr>
                      <w:color w:val="000000"/>
                      <w:sz w:val="18"/>
                    </w:rPr>
                    <w:t>Analysis</w:t>
                  </w:r>
                  <w:r>
                    <w:rPr>
                      <w:color w:val="000000"/>
                      <w:spacing w:val="-2"/>
                      <w:sz w:val="18"/>
                    </w:rPr>
                    <w:t> </w:t>
                  </w:r>
                  <w:r>
                    <w:rPr>
                      <w:color w:val="000000"/>
                      <w:sz w:val="18"/>
                    </w:rPr>
                    <w:t>on</w:t>
                  </w:r>
                  <w:r>
                    <w:rPr>
                      <w:color w:val="000000"/>
                      <w:spacing w:val="3"/>
                      <w:sz w:val="18"/>
                    </w:rPr>
                    <w:t> </w:t>
                  </w:r>
                  <w:r>
                    <w:rPr>
                      <w:color w:val="000000"/>
                      <w:sz w:val="18"/>
                    </w:rPr>
                    <w:t>(02)</w:t>
                  </w:r>
                  <w:r>
                    <w:rPr>
                      <w:color w:val="000000"/>
                      <w:spacing w:val="-2"/>
                      <w:sz w:val="18"/>
                    </w:rPr>
                    <w:t> </w:t>
                  </w:r>
                  <w:r>
                    <w:rPr>
                      <w:color w:val="000000"/>
                      <w:sz w:val="18"/>
                    </w:rPr>
                    <w:t>8065</w:t>
                  </w:r>
                  <w:r>
                    <w:rPr>
                      <w:color w:val="000000"/>
                      <w:spacing w:val="-2"/>
                      <w:sz w:val="18"/>
                    </w:rPr>
                    <w:t> </w:t>
                  </w:r>
                  <w:r>
                    <w:rPr>
                      <w:color w:val="000000"/>
                      <w:sz w:val="18"/>
                    </w:rPr>
                    <w:t>6491 or</w:t>
                  </w:r>
                  <w:r>
                    <w:rPr>
                      <w:color w:val="000000"/>
                      <w:spacing w:val="-2"/>
                      <w:sz w:val="18"/>
                    </w:rPr>
                    <w:t> </w:t>
                  </w:r>
                  <w:hyperlink r:id="rId38">
                    <w:r>
                      <w:rPr>
                        <w:color w:val="000000"/>
                        <w:sz w:val="18"/>
                      </w:rPr>
                      <w:t>info@healthpolicy.com.au.</w:t>
                    </w:r>
                  </w:hyperlink>
                </w:p>
                <w:p>
                  <w:pPr>
                    <w:spacing w:line="276" w:lineRule="auto" w:before="120"/>
                    <w:ind w:left="148" w:right="365" w:firstLine="0"/>
                    <w:jc w:val="both"/>
                    <w:rPr>
                      <w:color w:val="000000"/>
                      <w:sz w:val="18"/>
                    </w:rPr>
                  </w:pPr>
                  <w:r>
                    <w:rPr>
                      <w:color w:val="000000"/>
                      <w:sz w:val="18"/>
                    </w:rPr>
                    <w:t>The HCH evaluation has been approved by the Department of Health Human Research Ethics Committee Project</w:t>
                  </w:r>
                  <w:r>
                    <w:rPr>
                      <w:color w:val="000000"/>
                      <w:spacing w:val="1"/>
                      <w:sz w:val="18"/>
                    </w:rPr>
                    <w:t> </w:t>
                  </w:r>
                  <w:r>
                    <w:rPr>
                      <w:color w:val="000000"/>
                      <w:sz w:val="18"/>
                    </w:rPr>
                    <w:t>04-2017 – Health Care Homes Program, Part A: National Evaluation. If you have any concerns or complaints on the</w:t>
                  </w:r>
                  <w:r>
                    <w:rPr>
                      <w:color w:val="000000"/>
                      <w:spacing w:val="-47"/>
                      <w:sz w:val="18"/>
                    </w:rPr>
                    <w:t> </w:t>
                  </w:r>
                  <w:r>
                    <w:rPr>
                      <w:color w:val="000000"/>
                      <w:sz w:val="18"/>
                    </w:rPr>
                    <w:t>ethical</w:t>
                  </w:r>
                  <w:r>
                    <w:rPr>
                      <w:color w:val="000000"/>
                      <w:spacing w:val="-4"/>
                      <w:sz w:val="18"/>
                    </w:rPr>
                    <w:t> </w:t>
                  </w:r>
                  <w:r>
                    <w:rPr>
                      <w:color w:val="000000"/>
                      <w:sz w:val="18"/>
                    </w:rPr>
                    <w:t>conduct</w:t>
                  </w:r>
                  <w:r>
                    <w:rPr>
                      <w:color w:val="000000"/>
                      <w:spacing w:val="-5"/>
                      <w:sz w:val="18"/>
                    </w:rPr>
                    <w:t> </w:t>
                  </w:r>
                  <w:r>
                    <w:rPr>
                      <w:color w:val="000000"/>
                      <w:sz w:val="18"/>
                    </w:rPr>
                    <w:t>of</w:t>
                  </w:r>
                  <w:r>
                    <w:rPr>
                      <w:color w:val="000000"/>
                      <w:spacing w:val="-3"/>
                      <w:sz w:val="18"/>
                    </w:rPr>
                    <w:t> </w:t>
                  </w:r>
                  <w:r>
                    <w:rPr>
                      <w:color w:val="000000"/>
                      <w:sz w:val="18"/>
                    </w:rPr>
                    <w:t>this</w:t>
                  </w:r>
                  <w:r>
                    <w:rPr>
                      <w:color w:val="000000"/>
                      <w:spacing w:val="-4"/>
                      <w:sz w:val="18"/>
                    </w:rPr>
                    <w:t> </w:t>
                  </w:r>
                  <w:r>
                    <w:rPr>
                      <w:color w:val="000000"/>
                      <w:sz w:val="18"/>
                    </w:rPr>
                    <w:t>research,</w:t>
                  </w:r>
                  <w:r>
                    <w:rPr>
                      <w:color w:val="000000"/>
                      <w:spacing w:val="-6"/>
                      <w:sz w:val="18"/>
                    </w:rPr>
                    <w:t> </w:t>
                  </w:r>
                  <w:r>
                    <w:rPr>
                      <w:color w:val="000000"/>
                      <w:sz w:val="18"/>
                    </w:rPr>
                    <w:t>please</w:t>
                  </w:r>
                  <w:r>
                    <w:rPr>
                      <w:color w:val="000000"/>
                      <w:spacing w:val="-3"/>
                      <w:sz w:val="18"/>
                    </w:rPr>
                    <w:t> </w:t>
                  </w:r>
                  <w:r>
                    <w:rPr>
                      <w:color w:val="000000"/>
                      <w:sz w:val="18"/>
                    </w:rPr>
                    <w:t>contact</w:t>
                  </w:r>
                  <w:r>
                    <w:rPr>
                      <w:color w:val="000000"/>
                      <w:spacing w:val="-5"/>
                      <w:sz w:val="18"/>
                    </w:rPr>
                    <w:t> </w:t>
                  </w:r>
                  <w:r>
                    <w:rPr>
                      <w:color w:val="000000"/>
                      <w:sz w:val="18"/>
                    </w:rPr>
                    <w:t>the</w:t>
                  </w:r>
                  <w:r>
                    <w:rPr>
                      <w:color w:val="000000"/>
                      <w:spacing w:val="-4"/>
                      <w:sz w:val="18"/>
                    </w:rPr>
                    <w:t> </w:t>
                  </w:r>
                  <w:r>
                    <w:rPr>
                      <w:color w:val="000000"/>
                      <w:sz w:val="18"/>
                    </w:rPr>
                    <w:t>Committee</w:t>
                  </w:r>
                  <w:r>
                    <w:rPr>
                      <w:color w:val="000000"/>
                      <w:spacing w:val="-3"/>
                      <w:sz w:val="18"/>
                    </w:rPr>
                    <w:t> </w:t>
                  </w:r>
                  <w:r>
                    <w:rPr>
                      <w:color w:val="000000"/>
                      <w:sz w:val="18"/>
                    </w:rPr>
                    <w:t>Secretariat</w:t>
                  </w:r>
                  <w:r>
                    <w:rPr>
                      <w:color w:val="000000"/>
                      <w:spacing w:val="-6"/>
                      <w:sz w:val="18"/>
                    </w:rPr>
                    <w:t> </w:t>
                  </w:r>
                  <w:r>
                    <w:rPr>
                      <w:color w:val="000000"/>
                      <w:sz w:val="18"/>
                    </w:rPr>
                    <w:t>by</w:t>
                  </w:r>
                  <w:r>
                    <w:rPr>
                      <w:color w:val="000000"/>
                      <w:spacing w:val="-4"/>
                      <w:sz w:val="18"/>
                    </w:rPr>
                    <w:t> </w:t>
                  </w:r>
                  <w:r>
                    <w:rPr>
                      <w:color w:val="000000"/>
                      <w:sz w:val="18"/>
                    </w:rPr>
                    <w:t>email</w:t>
                  </w:r>
                  <w:r>
                    <w:rPr>
                      <w:color w:val="000000"/>
                      <w:spacing w:val="-4"/>
                      <w:sz w:val="18"/>
                    </w:rPr>
                    <w:t> </w:t>
                  </w:r>
                  <w:r>
                    <w:rPr>
                      <w:color w:val="000000"/>
                      <w:sz w:val="18"/>
                    </w:rPr>
                    <w:t>at</w:t>
                  </w:r>
                  <w:r>
                    <w:rPr>
                      <w:color w:val="000000"/>
                      <w:spacing w:val="-5"/>
                      <w:sz w:val="18"/>
                    </w:rPr>
                    <w:t> </w:t>
                  </w:r>
                  <w:hyperlink r:id="rId39">
                    <w:r>
                      <w:rPr>
                        <w:color w:val="000000"/>
                        <w:sz w:val="18"/>
                      </w:rPr>
                      <w:t>ethics@health.gov.au.</w:t>
                    </w:r>
                    <w:r>
                      <w:rPr>
                        <w:color w:val="000000"/>
                        <w:spacing w:val="-3"/>
                        <w:sz w:val="18"/>
                      </w:rPr>
                      <w:t> </w:t>
                    </w:r>
                  </w:hyperlink>
                  <w:r>
                    <w:rPr>
                      <w:color w:val="000000"/>
                      <w:sz w:val="18"/>
                    </w:rPr>
                    <w:t>The</w:t>
                  </w:r>
                  <w:r>
                    <w:rPr>
                      <w:color w:val="000000"/>
                      <w:spacing w:val="1"/>
                      <w:sz w:val="18"/>
                    </w:rPr>
                    <w:t> </w:t>
                  </w:r>
                  <w:r>
                    <w:rPr>
                      <w:color w:val="000000"/>
                      <w:sz w:val="18"/>
                    </w:rPr>
                    <w:t>issue</w:t>
                  </w:r>
                  <w:r>
                    <w:rPr>
                      <w:color w:val="000000"/>
                      <w:spacing w:val="-3"/>
                      <w:sz w:val="18"/>
                    </w:rPr>
                    <w:t> </w:t>
                  </w:r>
                  <w:r>
                    <w:rPr>
                      <w:color w:val="000000"/>
                      <w:sz w:val="18"/>
                    </w:rPr>
                    <w:t>will</w:t>
                  </w:r>
                  <w:r>
                    <w:rPr>
                      <w:color w:val="000000"/>
                      <w:spacing w:val="-1"/>
                      <w:sz w:val="18"/>
                    </w:rPr>
                    <w:t> </w:t>
                  </w:r>
                  <w:r>
                    <w:rPr>
                      <w:color w:val="000000"/>
                      <w:sz w:val="18"/>
                    </w:rPr>
                    <w:t>then be</w:t>
                  </w:r>
                  <w:r>
                    <w:rPr>
                      <w:color w:val="000000"/>
                      <w:spacing w:val="-2"/>
                      <w:sz w:val="18"/>
                    </w:rPr>
                    <w:t> </w:t>
                  </w:r>
                  <w:r>
                    <w:rPr>
                      <w:color w:val="000000"/>
                      <w:sz w:val="18"/>
                    </w:rPr>
                    <w:t>referred</w:t>
                  </w:r>
                  <w:r>
                    <w:rPr>
                      <w:color w:val="000000"/>
                      <w:spacing w:val="-1"/>
                      <w:sz w:val="18"/>
                    </w:rPr>
                    <w:t> </w:t>
                  </w:r>
                  <w:r>
                    <w:rPr>
                      <w:color w:val="000000"/>
                      <w:sz w:val="18"/>
                    </w:rPr>
                    <w:t>to</w:t>
                  </w:r>
                  <w:r>
                    <w:rPr>
                      <w:color w:val="000000"/>
                      <w:spacing w:val="-2"/>
                      <w:sz w:val="18"/>
                    </w:rPr>
                    <w:t> </w:t>
                  </w:r>
                  <w:r>
                    <w:rPr>
                      <w:color w:val="000000"/>
                      <w:sz w:val="18"/>
                    </w:rPr>
                    <w:t>the Chair of the Committee.</w:t>
                  </w:r>
                </w:p>
                <w:p>
                  <w:pPr>
                    <w:spacing w:before="120"/>
                    <w:ind w:left="148" w:right="0" w:firstLine="0"/>
                    <w:jc w:val="both"/>
                    <w:rPr>
                      <w:color w:val="000000"/>
                      <w:sz w:val="18"/>
                    </w:rPr>
                  </w:pPr>
                  <w:r>
                    <w:rPr>
                      <w:color w:val="000000"/>
                      <w:sz w:val="18"/>
                    </w:rPr>
                    <w:t>If</w:t>
                  </w:r>
                  <w:r>
                    <w:rPr>
                      <w:color w:val="000000"/>
                      <w:spacing w:val="-6"/>
                      <w:sz w:val="18"/>
                    </w:rPr>
                    <w:t> </w:t>
                  </w:r>
                  <w:r>
                    <w:rPr>
                      <w:color w:val="000000"/>
                      <w:sz w:val="18"/>
                    </w:rPr>
                    <w:t>you</w:t>
                  </w:r>
                  <w:r>
                    <w:rPr>
                      <w:color w:val="000000"/>
                      <w:spacing w:val="-4"/>
                      <w:sz w:val="18"/>
                    </w:rPr>
                    <w:t> </w:t>
                  </w:r>
                  <w:r>
                    <w:rPr>
                      <w:color w:val="000000"/>
                      <w:sz w:val="18"/>
                    </w:rPr>
                    <w:t>have</w:t>
                  </w:r>
                  <w:r>
                    <w:rPr>
                      <w:color w:val="000000"/>
                      <w:spacing w:val="-3"/>
                      <w:sz w:val="18"/>
                    </w:rPr>
                    <w:t> </w:t>
                  </w:r>
                  <w:r>
                    <w:rPr>
                      <w:color w:val="000000"/>
                      <w:sz w:val="18"/>
                    </w:rPr>
                    <w:t>any</w:t>
                  </w:r>
                  <w:r>
                    <w:rPr>
                      <w:color w:val="000000"/>
                      <w:spacing w:val="-5"/>
                      <w:sz w:val="18"/>
                    </w:rPr>
                    <w:t> </w:t>
                  </w:r>
                  <w:r>
                    <w:rPr>
                      <w:color w:val="000000"/>
                      <w:sz w:val="18"/>
                    </w:rPr>
                    <w:t>questions</w:t>
                  </w:r>
                  <w:r>
                    <w:rPr>
                      <w:color w:val="000000"/>
                      <w:spacing w:val="-5"/>
                      <w:sz w:val="18"/>
                    </w:rPr>
                    <w:t> </w:t>
                  </w:r>
                  <w:r>
                    <w:rPr>
                      <w:color w:val="000000"/>
                      <w:sz w:val="18"/>
                    </w:rPr>
                    <w:t>regarding</w:t>
                  </w:r>
                  <w:r>
                    <w:rPr>
                      <w:color w:val="000000"/>
                      <w:spacing w:val="-6"/>
                      <w:sz w:val="18"/>
                    </w:rPr>
                    <w:t> </w:t>
                  </w:r>
                  <w:r>
                    <w:rPr>
                      <w:color w:val="000000"/>
                      <w:sz w:val="18"/>
                    </w:rPr>
                    <w:t>the</w:t>
                  </w:r>
                  <w:r>
                    <w:rPr>
                      <w:color w:val="000000"/>
                      <w:spacing w:val="-4"/>
                      <w:sz w:val="18"/>
                    </w:rPr>
                    <w:t> </w:t>
                  </w:r>
                  <w:r>
                    <w:rPr>
                      <w:color w:val="000000"/>
                      <w:sz w:val="18"/>
                    </w:rPr>
                    <w:t>HCH</w:t>
                  </w:r>
                  <w:r>
                    <w:rPr>
                      <w:color w:val="000000"/>
                      <w:spacing w:val="-4"/>
                      <w:sz w:val="18"/>
                    </w:rPr>
                    <w:t> </w:t>
                  </w:r>
                  <w:r>
                    <w:rPr>
                      <w:color w:val="000000"/>
                      <w:sz w:val="18"/>
                    </w:rPr>
                    <w:t>program,</w:t>
                  </w:r>
                  <w:r>
                    <w:rPr>
                      <w:color w:val="000000"/>
                      <w:spacing w:val="-4"/>
                      <w:sz w:val="18"/>
                    </w:rPr>
                    <w:t> </w:t>
                  </w:r>
                  <w:r>
                    <w:rPr>
                      <w:color w:val="000000"/>
                      <w:sz w:val="18"/>
                    </w:rPr>
                    <w:t>please</w:t>
                  </w:r>
                  <w:r>
                    <w:rPr>
                      <w:color w:val="000000"/>
                      <w:spacing w:val="-4"/>
                      <w:sz w:val="18"/>
                    </w:rPr>
                    <w:t> </w:t>
                  </w:r>
                  <w:r>
                    <w:rPr>
                      <w:color w:val="000000"/>
                      <w:sz w:val="18"/>
                    </w:rPr>
                    <w:t>contact</w:t>
                  </w:r>
                  <w:r>
                    <w:rPr>
                      <w:color w:val="000000"/>
                      <w:spacing w:val="-5"/>
                      <w:sz w:val="18"/>
                    </w:rPr>
                    <w:t> </w:t>
                  </w:r>
                  <w:hyperlink r:id="rId40">
                    <w:r>
                      <w:rPr>
                        <w:color w:val="000000"/>
                        <w:sz w:val="18"/>
                      </w:rPr>
                      <w:t>healthcarehomes@health.gov.au.</w:t>
                    </w:r>
                  </w:hyperlink>
                </w:p>
              </w:txbxContent>
            </v:textbox>
            <v:fill type="solid"/>
            <w10:wrap type="topAndBottom"/>
          </v:shape>
        </w:pict>
      </w:r>
      <w:r>
        <w:rPr>
          <w:color w:val="808080"/>
        </w:rPr>
        <w:t>Health Care Homes</w:t>
      </w:r>
      <w:r>
        <w:rPr>
          <w:color w:val="808080"/>
          <w:spacing w:val="-1"/>
        </w:rPr>
        <w:t> </w:t>
      </w:r>
      <w:r>
        <w:rPr>
          <w:color w:val="808080"/>
        </w:rPr>
        <w:t>program practice</w:t>
      </w:r>
      <w:r>
        <w:rPr>
          <w:color w:val="808080"/>
          <w:spacing w:val="1"/>
        </w:rPr>
        <w:t> </w:t>
      </w:r>
      <w:r>
        <w:rPr>
          <w:color w:val="808080"/>
        </w:rPr>
        <w:t>survey</w:t>
      </w:r>
      <w:r>
        <w:rPr>
          <w:color w:val="808080"/>
          <w:spacing w:val="-3"/>
        </w:rPr>
        <w:t> </w:t>
      </w:r>
      <w:r>
        <w:rPr>
          <w:color w:val="808080"/>
        </w:rPr>
        <w:t>–</w:t>
      </w:r>
      <w:r>
        <w:rPr>
          <w:color w:val="808080"/>
          <w:spacing w:val="-1"/>
        </w:rPr>
        <w:t> </w:t>
      </w:r>
      <w:r>
        <w:rPr>
          <w:color w:val="808080"/>
        </w:rPr>
        <w:t>Round</w:t>
      </w:r>
      <w:r>
        <w:rPr>
          <w:color w:val="808080"/>
          <w:spacing w:val="-1"/>
        </w:rPr>
        <w:t> </w:t>
      </w:r>
      <w:r>
        <w:rPr>
          <w:color w:val="808080"/>
        </w:rPr>
        <w:t>2</w:t>
      </w:r>
    </w:p>
    <w:p>
      <w:pPr>
        <w:spacing w:before="237"/>
        <w:ind w:left="140" w:right="0" w:firstLine="0"/>
        <w:jc w:val="left"/>
        <w:rPr>
          <w:sz w:val="18"/>
        </w:rPr>
      </w:pPr>
      <w:r>
        <w:rPr>
          <w:sz w:val="18"/>
        </w:rPr>
        <w:t>The</w:t>
      </w:r>
      <w:r>
        <w:rPr>
          <w:spacing w:val="-3"/>
          <w:sz w:val="18"/>
        </w:rPr>
        <w:t> </w:t>
      </w:r>
      <w:r>
        <w:rPr>
          <w:sz w:val="18"/>
        </w:rPr>
        <w:t>following</w:t>
      </w:r>
      <w:r>
        <w:rPr>
          <w:spacing w:val="-5"/>
          <w:sz w:val="18"/>
        </w:rPr>
        <w:t> </w:t>
      </w:r>
      <w:r>
        <w:rPr>
          <w:sz w:val="18"/>
        </w:rPr>
        <w:t>questions</w:t>
      </w:r>
      <w:r>
        <w:rPr>
          <w:spacing w:val="-3"/>
          <w:sz w:val="18"/>
        </w:rPr>
        <w:t> </w:t>
      </w:r>
      <w:r>
        <w:rPr>
          <w:sz w:val="18"/>
        </w:rPr>
        <w:t>are</w:t>
      </w:r>
      <w:r>
        <w:rPr>
          <w:spacing w:val="-6"/>
          <w:sz w:val="18"/>
        </w:rPr>
        <w:t> </w:t>
      </w:r>
      <w:r>
        <w:rPr>
          <w:sz w:val="18"/>
        </w:rPr>
        <w:t>about</w:t>
      </w:r>
      <w:r>
        <w:rPr>
          <w:spacing w:val="-5"/>
          <w:sz w:val="18"/>
        </w:rPr>
        <w:t> </w:t>
      </w:r>
      <w:r>
        <w:rPr>
          <w:sz w:val="18"/>
        </w:rPr>
        <w:t>the</w:t>
      </w:r>
      <w:r>
        <w:rPr>
          <w:spacing w:val="-3"/>
          <w:sz w:val="18"/>
        </w:rPr>
        <w:t> </w:t>
      </w:r>
      <w:r>
        <w:rPr>
          <w:sz w:val="18"/>
        </w:rPr>
        <w:t>risk</w:t>
      </w:r>
      <w:r>
        <w:rPr>
          <w:spacing w:val="-3"/>
          <w:sz w:val="18"/>
        </w:rPr>
        <w:t> </w:t>
      </w:r>
      <w:r>
        <w:rPr>
          <w:sz w:val="18"/>
        </w:rPr>
        <w:t>stratification</w:t>
      </w:r>
      <w:r>
        <w:rPr>
          <w:spacing w:val="-2"/>
          <w:sz w:val="18"/>
        </w:rPr>
        <w:t> </w:t>
      </w:r>
      <w:r>
        <w:rPr>
          <w:sz w:val="18"/>
        </w:rPr>
        <w:t>and</w:t>
      </w:r>
      <w:r>
        <w:rPr>
          <w:spacing w:val="-4"/>
          <w:sz w:val="18"/>
        </w:rPr>
        <w:t> </w:t>
      </w:r>
      <w:r>
        <w:rPr>
          <w:sz w:val="18"/>
        </w:rPr>
        <w:t>patient</w:t>
      </w:r>
      <w:r>
        <w:rPr>
          <w:spacing w:val="-5"/>
          <w:sz w:val="18"/>
        </w:rPr>
        <w:t> </w:t>
      </w:r>
      <w:r>
        <w:rPr>
          <w:sz w:val="18"/>
        </w:rPr>
        <w:t>enrolment</w:t>
      </w:r>
      <w:r>
        <w:rPr>
          <w:spacing w:val="-4"/>
          <w:sz w:val="18"/>
        </w:rPr>
        <w:t> </w:t>
      </w:r>
      <w:r>
        <w:rPr>
          <w:sz w:val="18"/>
        </w:rPr>
        <w:t>processes</w:t>
      </w:r>
      <w:r>
        <w:rPr>
          <w:spacing w:val="-4"/>
          <w:sz w:val="18"/>
        </w:rPr>
        <w:t> </w:t>
      </w:r>
      <w:r>
        <w:rPr>
          <w:sz w:val="18"/>
        </w:rPr>
        <w:t>for</w:t>
      </w:r>
      <w:r>
        <w:rPr>
          <w:spacing w:val="-3"/>
          <w:sz w:val="18"/>
        </w:rPr>
        <w:t> </w:t>
      </w:r>
      <w:r>
        <w:rPr>
          <w:sz w:val="18"/>
        </w:rPr>
        <w:t>the</w:t>
      </w:r>
      <w:r>
        <w:rPr>
          <w:spacing w:val="-3"/>
          <w:sz w:val="18"/>
        </w:rPr>
        <w:t> </w:t>
      </w:r>
      <w:r>
        <w:rPr>
          <w:sz w:val="18"/>
        </w:rPr>
        <w:t>HCH</w:t>
      </w:r>
      <w:r>
        <w:rPr>
          <w:spacing w:val="-3"/>
          <w:sz w:val="18"/>
        </w:rPr>
        <w:t> </w:t>
      </w:r>
      <w:r>
        <w:rPr>
          <w:sz w:val="18"/>
        </w:rPr>
        <w:t>program</w:t>
      </w:r>
    </w:p>
    <w:p>
      <w:pPr>
        <w:pStyle w:val="BodyText"/>
        <w:rPr>
          <w:sz w:val="19"/>
        </w:rPr>
      </w:pPr>
    </w:p>
    <w:p>
      <w:pPr>
        <w:pStyle w:val="ListParagraph"/>
        <w:numPr>
          <w:ilvl w:val="0"/>
          <w:numId w:val="43"/>
        </w:numPr>
        <w:tabs>
          <w:tab w:pos="424" w:val="left" w:leader="none"/>
        </w:tabs>
        <w:spacing w:line="240" w:lineRule="auto" w:before="0" w:after="0"/>
        <w:ind w:left="423" w:right="924" w:hanging="284"/>
        <w:jc w:val="left"/>
        <w:rPr>
          <w:sz w:val="18"/>
        </w:rPr>
      </w:pPr>
      <w:r>
        <w:rPr>
          <w:sz w:val="18"/>
        </w:rPr>
        <w:t>Did your practice/ service decide at the outset to only enroll patients in HCH with</w:t>
      </w:r>
      <w:r>
        <w:rPr>
          <w:spacing w:val="1"/>
          <w:sz w:val="18"/>
        </w:rPr>
        <w:t> </w:t>
      </w:r>
      <w:r>
        <w:rPr>
          <w:sz w:val="18"/>
        </w:rPr>
        <w:t>specific chronic illnesses (e.g.</w:t>
      </w:r>
      <w:r>
        <w:rPr>
          <w:spacing w:val="-47"/>
          <w:sz w:val="18"/>
        </w:rPr>
        <w:t> </w:t>
      </w:r>
      <w:r>
        <w:rPr>
          <w:sz w:val="18"/>
        </w:rPr>
        <w:t>diabetes</w:t>
      </w:r>
      <w:r>
        <w:rPr>
          <w:spacing w:val="-2"/>
          <w:sz w:val="18"/>
        </w:rPr>
        <w:t> </w:t>
      </w:r>
      <w:r>
        <w:rPr>
          <w:sz w:val="18"/>
        </w:rPr>
        <w:t>or chronic kidney</w:t>
      </w:r>
      <w:r>
        <w:rPr>
          <w:spacing w:val="-3"/>
          <w:sz w:val="18"/>
        </w:rPr>
        <w:t> </w:t>
      </w:r>
      <w:r>
        <w:rPr>
          <w:sz w:val="18"/>
        </w:rPr>
        <w:t>disease)?</w:t>
      </w:r>
    </w:p>
    <w:p>
      <w:pPr>
        <w:pStyle w:val="BodyText"/>
        <w:spacing w:before="7"/>
        <w:rPr>
          <w:sz w:val="14"/>
        </w:rPr>
      </w:pPr>
    </w:p>
    <w:p>
      <w:pPr>
        <w:pStyle w:val="ListParagraph"/>
        <w:numPr>
          <w:ilvl w:val="1"/>
          <w:numId w:val="43"/>
        </w:numPr>
        <w:tabs>
          <w:tab w:pos="1710" w:val="left" w:leader="none"/>
        </w:tabs>
        <w:spacing w:line="240" w:lineRule="auto" w:before="100" w:after="0"/>
        <w:ind w:left="1710" w:right="0" w:hanging="152"/>
        <w:jc w:val="left"/>
        <w:rPr>
          <w:sz w:val="18"/>
        </w:rPr>
      </w:pPr>
      <w:r>
        <w:rPr/>
        <w:drawing>
          <wp:anchor distT="0" distB="0" distL="0" distR="0" allowOverlap="1" layoutInCell="1" locked="0" behindDoc="0" simplePos="0" relativeHeight="15780864">
            <wp:simplePos x="0" y="0"/>
            <wp:positionH relativeFrom="page">
              <wp:posOffset>1103669</wp:posOffset>
            </wp:positionH>
            <wp:positionV relativeFrom="paragraph">
              <wp:posOffset>107968</wp:posOffset>
            </wp:positionV>
            <wp:extent cx="58380" cy="72151"/>
            <wp:effectExtent l="0" t="0" r="0" b="0"/>
            <wp:wrapNone/>
            <wp:docPr id="495" name="image13.png"/>
            <wp:cNvGraphicFramePr>
              <a:graphicFrameLocks noChangeAspect="1"/>
            </wp:cNvGraphicFramePr>
            <a:graphic>
              <a:graphicData uri="http://schemas.openxmlformats.org/drawingml/2006/picture">
                <pic:pic>
                  <pic:nvPicPr>
                    <pic:cNvPr id="49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w:t>
      </w:r>
    </w:p>
    <w:p>
      <w:pPr>
        <w:pStyle w:val="ListParagraph"/>
        <w:numPr>
          <w:ilvl w:val="1"/>
          <w:numId w:val="43"/>
        </w:numPr>
        <w:tabs>
          <w:tab w:pos="1710" w:val="left" w:leader="none"/>
        </w:tabs>
        <w:spacing w:line="240" w:lineRule="auto" w:before="0" w:after="0"/>
        <w:ind w:left="1710" w:right="0" w:hanging="152"/>
        <w:jc w:val="left"/>
        <w:rPr>
          <w:sz w:val="18"/>
        </w:rPr>
      </w:pPr>
      <w:r>
        <w:rPr/>
        <w:drawing>
          <wp:anchor distT="0" distB="0" distL="0" distR="0" allowOverlap="1" layoutInCell="1" locked="0" behindDoc="0" simplePos="0" relativeHeight="15781376">
            <wp:simplePos x="0" y="0"/>
            <wp:positionH relativeFrom="page">
              <wp:posOffset>1103669</wp:posOffset>
            </wp:positionH>
            <wp:positionV relativeFrom="paragraph">
              <wp:posOffset>44468</wp:posOffset>
            </wp:positionV>
            <wp:extent cx="58380" cy="72151"/>
            <wp:effectExtent l="0" t="0" r="0" b="0"/>
            <wp:wrapNone/>
            <wp:docPr id="497" name="image13.png"/>
            <wp:cNvGraphicFramePr>
              <a:graphicFrameLocks noChangeAspect="1"/>
            </wp:cNvGraphicFramePr>
            <a:graphic>
              <a:graphicData uri="http://schemas.openxmlformats.org/drawingml/2006/picture">
                <pic:pic>
                  <pic:nvPicPr>
                    <pic:cNvPr id="49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Yes.</w:t>
      </w:r>
      <w:r>
        <w:rPr>
          <w:spacing w:val="-1"/>
          <w:sz w:val="18"/>
        </w:rPr>
        <w:t> </w:t>
      </w:r>
      <w:r>
        <w:rPr>
          <w:sz w:val="18"/>
        </w:rPr>
        <w:t>Which</w:t>
      </w:r>
      <w:r>
        <w:rPr>
          <w:spacing w:val="-6"/>
          <w:sz w:val="18"/>
        </w:rPr>
        <w:t> </w:t>
      </w:r>
      <w:r>
        <w:rPr>
          <w:sz w:val="18"/>
        </w:rPr>
        <w:t>chronic</w:t>
      </w:r>
      <w:r>
        <w:rPr>
          <w:spacing w:val="-4"/>
          <w:sz w:val="18"/>
        </w:rPr>
        <w:t> </w:t>
      </w:r>
      <w:r>
        <w:rPr>
          <w:sz w:val="18"/>
        </w:rPr>
        <w:t>illnesses</w:t>
      </w:r>
      <w:r>
        <w:rPr>
          <w:spacing w:val="-5"/>
          <w:sz w:val="18"/>
        </w:rPr>
        <w:t> </w:t>
      </w:r>
      <w:r>
        <w:rPr>
          <w:sz w:val="18"/>
        </w:rPr>
        <w:t>did</w:t>
      </w:r>
      <w:r>
        <w:rPr>
          <w:spacing w:val="-4"/>
          <w:sz w:val="18"/>
        </w:rPr>
        <w:t> </w:t>
      </w:r>
      <w:r>
        <w:rPr>
          <w:sz w:val="18"/>
        </w:rPr>
        <w:t>the</w:t>
      </w:r>
      <w:r>
        <w:rPr>
          <w:spacing w:val="-3"/>
          <w:sz w:val="18"/>
        </w:rPr>
        <w:t> </w:t>
      </w:r>
      <w:r>
        <w:rPr>
          <w:sz w:val="18"/>
        </w:rPr>
        <w:t>practice/service</w:t>
      </w:r>
      <w:r>
        <w:rPr>
          <w:spacing w:val="-4"/>
          <w:sz w:val="18"/>
        </w:rPr>
        <w:t> </w:t>
      </w:r>
      <w:r>
        <w:rPr>
          <w:sz w:val="18"/>
        </w:rPr>
        <w:t>focus</w:t>
      </w:r>
      <w:r>
        <w:rPr>
          <w:spacing w:val="-4"/>
          <w:sz w:val="18"/>
        </w:rPr>
        <w:t> </w:t>
      </w:r>
      <w:r>
        <w:rPr>
          <w:sz w:val="18"/>
        </w:rPr>
        <w:t>on?</w:t>
      </w:r>
    </w:p>
    <w:p>
      <w:pPr>
        <w:pStyle w:val="BodyText"/>
        <w:spacing w:before="10"/>
        <w:rPr>
          <w:sz w:val="14"/>
        </w:rPr>
      </w:pPr>
    </w:p>
    <w:p>
      <w:pPr>
        <w:pStyle w:val="ListParagraph"/>
        <w:numPr>
          <w:ilvl w:val="0"/>
          <w:numId w:val="43"/>
        </w:numPr>
        <w:tabs>
          <w:tab w:pos="424" w:val="left" w:leader="none"/>
        </w:tabs>
        <w:spacing w:line="240" w:lineRule="auto" w:before="100" w:after="0"/>
        <w:ind w:left="423" w:right="0" w:hanging="284"/>
        <w:jc w:val="left"/>
        <w:rPr>
          <w:sz w:val="18"/>
        </w:rPr>
      </w:pPr>
      <w:r>
        <w:rPr>
          <w:sz w:val="18"/>
        </w:rPr>
        <w:t>How</w:t>
      </w:r>
      <w:r>
        <w:rPr>
          <w:spacing w:val="-5"/>
          <w:sz w:val="18"/>
        </w:rPr>
        <w:t> </w:t>
      </w:r>
      <w:r>
        <w:rPr>
          <w:sz w:val="18"/>
        </w:rPr>
        <w:t>do</w:t>
      </w:r>
      <w:r>
        <w:rPr>
          <w:spacing w:val="-3"/>
          <w:sz w:val="18"/>
        </w:rPr>
        <w:t> </w:t>
      </w:r>
      <w:r>
        <w:rPr>
          <w:sz w:val="18"/>
        </w:rPr>
        <w:t>you</w:t>
      </w:r>
      <w:r>
        <w:rPr>
          <w:spacing w:val="-2"/>
          <w:sz w:val="18"/>
        </w:rPr>
        <w:t> </w:t>
      </w:r>
      <w:r>
        <w:rPr>
          <w:sz w:val="18"/>
        </w:rPr>
        <w:t>rate</w:t>
      </w:r>
      <w:r>
        <w:rPr>
          <w:spacing w:val="-3"/>
          <w:sz w:val="18"/>
        </w:rPr>
        <w:t> </w:t>
      </w:r>
      <w:r>
        <w:rPr>
          <w:sz w:val="18"/>
        </w:rPr>
        <w:t>the</w:t>
      </w:r>
      <w:r>
        <w:rPr>
          <w:spacing w:val="-2"/>
          <w:sz w:val="18"/>
        </w:rPr>
        <w:t> </w:t>
      </w:r>
      <w:r>
        <w:rPr>
          <w:sz w:val="18"/>
        </w:rPr>
        <w:t>ease</w:t>
      </w:r>
      <w:r>
        <w:rPr>
          <w:spacing w:val="-3"/>
          <w:sz w:val="18"/>
        </w:rPr>
        <w:t> </w:t>
      </w:r>
      <w:r>
        <w:rPr>
          <w:sz w:val="18"/>
        </w:rPr>
        <w:t>of</w:t>
      </w:r>
      <w:r>
        <w:rPr>
          <w:spacing w:val="-2"/>
          <w:sz w:val="18"/>
        </w:rPr>
        <w:t> </w:t>
      </w:r>
      <w:r>
        <w:rPr>
          <w:sz w:val="18"/>
        </w:rPr>
        <w:t>use</w:t>
      </w:r>
      <w:r>
        <w:rPr>
          <w:spacing w:val="-2"/>
          <w:sz w:val="18"/>
        </w:rPr>
        <w:t> </w:t>
      </w:r>
      <w:r>
        <w:rPr>
          <w:sz w:val="18"/>
        </w:rPr>
        <w:t>of</w:t>
      </w:r>
      <w:r>
        <w:rPr>
          <w:spacing w:val="-3"/>
          <w:sz w:val="18"/>
        </w:rPr>
        <w:t> </w:t>
      </w:r>
      <w:r>
        <w:rPr>
          <w:sz w:val="18"/>
        </w:rPr>
        <w:t>the</w:t>
      </w:r>
      <w:r>
        <w:rPr>
          <w:spacing w:val="-4"/>
          <w:sz w:val="18"/>
        </w:rPr>
        <w:t> </w:t>
      </w:r>
      <w:r>
        <w:rPr>
          <w:sz w:val="18"/>
        </w:rPr>
        <w:t>risk</w:t>
      </w:r>
      <w:r>
        <w:rPr>
          <w:spacing w:val="-2"/>
          <w:sz w:val="18"/>
        </w:rPr>
        <w:t> </w:t>
      </w:r>
      <w:r>
        <w:rPr>
          <w:sz w:val="18"/>
        </w:rPr>
        <w:t>stratification</w:t>
      </w:r>
      <w:r>
        <w:rPr>
          <w:spacing w:val="-4"/>
          <w:sz w:val="18"/>
        </w:rPr>
        <w:t> </w:t>
      </w:r>
      <w:r>
        <w:rPr>
          <w:sz w:val="18"/>
        </w:rPr>
        <w:t>software</w:t>
      </w:r>
      <w:r>
        <w:rPr>
          <w:spacing w:val="-3"/>
          <w:sz w:val="18"/>
        </w:rPr>
        <w:t> </w:t>
      </w:r>
      <w:r>
        <w:rPr>
          <w:sz w:val="18"/>
        </w:rPr>
        <w:t>and</w:t>
      </w:r>
      <w:r>
        <w:rPr>
          <w:spacing w:val="-3"/>
          <w:sz w:val="18"/>
        </w:rPr>
        <w:t> </w:t>
      </w:r>
      <w:r>
        <w:rPr>
          <w:sz w:val="18"/>
        </w:rPr>
        <w:t>associated</w:t>
      </w:r>
      <w:r>
        <w:rPr>
          <w:spacing w:val="-3"/>
          <w:sz w:val="18"/>
        </w:rPr>
        <w:t> </w:t>
      </w:r>
      <w:r>
        <w:rPr>
          <w:sz w:val="18"/>
        </w:rPr>
        <w:t>processes?</w:t>
      </w:r>
    </w:p>
    <w:p>
      <w:pPr>
        <w:pStyle w:val="BodyText"/>
        <w:spacing w:before="9"/>
        <w:rPr>
          <w:sz w:val="14"/>
        </w:rPr>
      </w:pPr>
    </w:p>
    <w:p>
      <w:pPr>
        <w:pStyle w:val="ListParagraph"/>
        <w:numPr>
          <w:ilvl w:val="0"/>
          <w:numId w:val="44"/>
        </w:numPr>
        <w:tabs>
          <w:tab w:pos="1710" w:val="left" w:leader="none"/>
        </w:tabs>
        <w:spacing w:line="220" w:lineRule="exact" w:before="100" w:after="0"/>
        <w:ind w:left="1709" w:right="0" w:hanging="152"/>
        <w:jc w:val="left"/>
        <w:rPr>
          <w:sz w:val="18"/>
        </w:rPr>
      </w:pPr>
      <w:r>
        <w:rPr/>
        <w:drawing>
          <wp:anchor distT="0" distB="0" distL="0" distR="0" allowOverlap="1" layoutInCell="1" locked="0" behindDoc="0" simplePos="0" relativeHeight="15781888">
            <wp:simplePos x="0" y="0"/>
            <wp:positionH relativeFrom="page">
              <wp:posOffset>1103669</wp:posOffset>
            </wp:positionH>
            <wp:positionV relativeFrom="paragraph">
              <wp:posOffset>107714</wp:posOffset>
            </wp:positionV>
            <wp:extent cx="58380" cy="72151"/>
            <wp:effectExtent l="0" t="0" r="0" b="0"/>
            <wp:wrapNone/>
            <wp:docPr id="499" name="image13.png"/>
            <wp:cNvGraphicFramePr>
              <a:graphicFrameLocks noChangeAspect="1"/>
            </wp:cNvGraphicFramePr>
            <a:graphic>
              <a:graphicData uri="http://schemas.openxmlformats.org/drawingml/2006/picture">
                <pic:pic>
                  <pic:nvPicPr>
                    <pic:cNvPr id="50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The</w:t>
      </w:r>
      <w:r>
        <w:rPr>
          <w:spacing w:val="-4"/>
          <w:sz w:val="18"/>
        </w:rPr>
        <w:t> </w:t>
      </w:r>
      <w:r>
        <w:rPr>
          <w:sz w:val="18"/>
        </w:rPr>
        <w:t>process</w:t>
      </w:r>
      <w:r>
        <w:rPr>
          <w:spacing w:val="-4"/>
          <w:sz w:val="18"/>
        </w:rPr>
        <w:t> </w:t>
      </w:r>
      <w:r>
        <w:rPr>
          <w:sz w:val="18"/>
        </w:rPr>
        <w:t>operated</w:t>
      </w:r>
      <w:r>
        <w:rPr>
          <w:spacing w:val="-5"/>
          <w:sz w:val="18"/>
        </w:rPr>
        <w:t> </w:t>
      </w:r>
      <w:r>
        <w:rPr>
          <w:sz w:val="18"/>
        </w:rPr>
        <w:t>very</w:t>
      </w:r>
      <w:r>
        <w:rPr>
          <w:spacing w:val="-4"/>
          <w:sz w:val="18"/>
        </w:rPr>
        <w:t> </w:t>
      </w:r>
      <w:r>
        <w:rPr>
          <w:sz w:val="18"/>
        </w:rPr>
        <w:t>smoothly</w:t>
      </w:r>
    </w:p>
    <w:p>
      <w:pPr>
        <w:pStyle w:val="ListParagraph"/>
        <w:numPr>
          <w:ilvl w:val="0"/>
          <w:numId w:val="44"/>
        </w:numPr>
        <w:tabs>
          <w:tab w:pos="1713" w:val="left" w:leader="none"/>
        </w:tabs>
        <w:spacing w:line="240" w:lineRule="auto" w:before="0" w:after="0"/>
        <w:ind w:left="1556" w:right="4932" w:firstLine="2"/>
        <w:jc w:val="left"/>
        <w:rPr>
          <w:sz w:val="18"/>
        </w:rPr>
      </w:pPr>
      <w:r>
        <w:rPr/>
        <w:drawing>
          <wp:anchor distT="0" distB="0" distL="0" distR="0" allowOverlap="1" layoutInCell="1" locked="0" behindDoc="0" simplePos="0" relativeHeight="15782400">
            <wp:simplePos x="0" y="0"/>
            <wp:positionH relativeFrom="page">
              <wp:posOffset>1103669</wp:posOffset>
            </wp:positionH>
            <wp:positionV relativeFrom="paragraph">
              <wp:posOffset>44021</wp:posOffset>
            </wp:positionV>
            <wp:extent cx="58380" cy="73869"/>
            <wp:effectExtent l="0" t="0" r="0" b="0"/>
            <wp:wrapNone/>
            <wp:docPr id="501" name="image14.png"/>
            <wp:cNvGraphicFramePr>
              <a:graphicFrameLocks noChangeAspect="1"/>
            </wp:cNvGraphicFramePr>
            <a:graphic>
              <a:graphicData uri="http://schemas.openxmlformats.org/drawingml/2006/picture">
                <pic:pic>
                  <pic:nvPicPr>
                    <pic:cNvPr id="502" name="image14.png"/>
                    <pic:cNvPicPr/>
                  </pic:nvPicPr>
                  <pic:blipFill>
                    <a:blip r:embed="rId43" cstate="print"/>
                    <a:stretch>
                      <a:fillRect/>
                    </a:stretch>
                  </pic:blipFill>
                  <pic:spPr>
                    <a:xfrm>
                      <a:off x="0" y="0"/>
                      <a:ext cx="58380" cy="73869"/>
                    </a:xfrm>
                    <a:prstGeom prst="rect">
                      <a:avLst/>
                    </a:prstGeom>
                  </pic:spPr>
                </pic:pic>
              </a:graphicData>
            </a:graphic>
          </wp:anchor>
        </w:drawing>
      </w:r>
      <w:r>
        <w:rPr/>
        <w:drawing>
          <wp:anchor distT="0" distB="0" distL="0" distR="0" allowOverlap="1" layoutInCell="1" locked="0" behindDoc="0" simplePos="0" relativeHeight="15782912">
            <wp:simplePos x="0" y="0"/>
            <wp:positionH relativeFrom="page">
              <wp:posOffset>1102145</wp:posOffset>
            </wp:positionH>
            <wp:positionV relativeFrom="paragraph">
              <wp:posOffset>184422</wp:posOffset>
            </wp:positionV>
            <wp:extent cx="58380" cy="72151"/>
            <wp:effectExtent l="0" t="0" r="0" b="0"/>
            <wp:wrapNone/>
            <wp:docPr id="503" name="image13.png"/>
            <wp:cNvGraphicFramePr>
              <a:graphicFrameLocks noChangeAspect="1"/>
            </wp:cNvGraphicFramePr>
            <a:graphic>
              <a:graphicData uri="http://schemas.openxmlformats.org/drawingml/2006/picture">
                <pic:pic>
                  <pic:nvPicPr>
                    <pic:cNvPr id="50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We</w:t>
      </w:r>
      <w:r>
        <w:rPr>
          <w:spacing w:val="-4"/>
          <w:sz w:val="18"/>
        </w:rPr>
        <w:t> </w:t>
      </w:r>
      <w:r>
        <w:rPr>
          <w:sz w:val="18"/>
        </w:rPr>
        <w:t>had</w:t>
      </w:r>
      <w:r>
        <w:rPr>
          <w:spacing w:val="-3"/>
          <w:sz w:val="18"/>
        </w:rPr>
        <w:t> </w:t>
      </w:r>
      <w:r>
        <w:rPr>
          <w:sz w:val="18"/>
        </w:rPr>
        <w:t>some</w:t>
      </w:r>
      <w:r>
        <w:rPr>
          <w:spacing w:val="-3"/>
          <w:sz w:val="18"/>
        </w:rPr>
        <w:t> </w:t>
      </w:r>
      <w:r>
        <w:rPr>
          <w:sz w:val="18"/>
        </w:rPr>
        <w:t>challenges,</w:t>
      </w:r>
      <w:r>
        <w:rPr>
          <w:spacing w:val="-2"/>
          <w:sz w:val="18"/>
        </w:rPr>
        <w:t> </w:t>
      </w:r>
      <w:r>
        <w:rPr>
          <w:sz w:val="18"/>
        </w:rPr>
        <w:t>but</w:t>
      </w:r>
      <w:r>
        <w:rPr>
          <w:spacing w:val="-4"/>
          <w:sz w:val="18"/>
        </w:rPr>
        <w:t> </w:t>
      </w:r>
      <w:r>
        <w:rPr>
          <w:sz w:val="18"/>
        </w:rPr>
        <w:t>we</w:t>
      </w:r>
      <w:r>
        <w:rPr>
          <w:spacing w:val="-4"/>
          <w:sz w:val="18"/>
        </w:rPr>
        <w:t> </w:t>
      </w:r>
      <w:r>
        <w:rPr>
          <w:sz w:val="18"/>
        </w:rPr>
        <w:t>overcame</w:t>
      </w:r>
      <w:r>
        <w:rPr>
          <w:spacing w:val="-3"/>
          <w:sz w:val="18"/>
        </w:rPr>
        <w:t> </w:t>
      </w:r>
      <w:r>
        <w:rPr>
          <w:sz w:val="18"/>
        </w:rPr>
        <w:t>them</w:t>
      </w:r>
      <w:r>
        <w:rPr>
          <w:spacing w:val="-47"/>
          <w:sz w:val="18"/>
        </w:rPr>
        <w:t> </w:t>
      </w:r>
      <w:r>
        <w:rPr>
          <w:sz w:val="18"/>
        </w:rPr>
        <w:t>3</w:t>
      </w:r>
      <w:r>
        <w:rPr>
          <w:spacing w:val="3"/>
          <w:sz w:val="18"/>
        </w:rPr>
        <w:t> </w:t>
      </w:r>
      <w:r>
        <w:rPr>
          <w:sz w:val="18"/>
        </w:rPr>
        <w:t>We experienced ongoing</w:t>
      </w:r>
      <w:r>
        <w:rPr>
          <w:spacing w:val="-3"/>
          <w:sz w:val="18"/>
        </w:rPr>
        <w:t> </w:t>
      </w:r>
      <w:r>
        <w:rPr>
          <w:sz w:val="18"/>
        </w:rPr>
        <w:t>difficulties</w:t>
      </w:r>
    </w:p>
    <w:p>
      <w:pPr>
        <w:spacing w:before="119"/>
        <w:ind w:left="140" w:right="0" w:firstLine="0"/>
        <w:jc w:val="left"/>
        <w:rPr>
          <w:sz w:val="18"/>
        </w:rPr>
      </w:pPr>
      <w:r>
        <w:rPr>
          <w:sz w:val="18"/>
        </w:rPr>
        <w:t>The</w:t>
      </w:r>
      <w:r>
        <w:rPr>
          <w:spacing w:val="-3"/>
          <w:sz w:val="18"/>
        </w:rPr>
        <w:t> </w:t>
      </w:r>
      <w:r>
        <w:rPr>
          <w:sz w:val="18"/>
        </w:rPr>
        <w:t>risk</w:t>
      </w:r>
      <w:r>
        <w:rPr>
          <w:spacing w:val="-5"/>
          <w:sz w:val="18"/>
        </w:rPr>
        <w:t> </w:t>
      </w:r>
      <w:r>
        <w:rPr>
          <w:sz w:val="18"/>
        </w:rPr>
        <w:t>stratification</w:t>
      </w:r>
      <w:r>
        <w:rPr>
          <w:spacing w:val="-5"/>
          <w:sz w:val="18"/>
        </w:rPr>
        <w:t> </w:t>
      </w:r>
      <w:r>
        <w:rPr>
          <w:sz w:val="18"/>
        </w:rPr>
        <w:t>process</w:t>
      </w:r>
      <w:r>
        <w:rPr>
          <w:spacing w:val="-5"/>
          <w:sz w:val="18"/>
        </w:rPr>
        <w:t> </w:t>
      </w:r>
      <w:r>
        <w:rPr>
          <w:sz w:val="18"/>
        </w:rPr>
        <w:t>involves</w:t>
      </w:r>
      <w:r>
        <w:rPr>
          <w:spacing w:val="-4"/>
          <w:sz w:val="18"/>
        </w:rPr>
        <w:t> </w:t>
      </w:r>
      <w:r>
        <w:rPr>
          <w:sz w:val="18"/>
        </w:rPr>
        <w:t>two</w:t>
      </w:r>
      <w:r>
        <w:rPr>
          <w:spacing w:val="-2"/>
          <w:sz w:val="18"/>
        </w:rPr>
        <w:t> </w:t>
      </w:r>
      <w:r>
        <w:rPr>
          <w:sz w:val="18"/>
        </w:rPr>
        <w:t>stages:</w:t>
      </w:r>
    </w:p>
    <w:p>
      <w:pPr>
        <w:pStyle w:val="BodyText"/>
        <w:spacing w:before="2"/>
        <w:rPr>
          <w:sz w:val="19"/>
        </w:rPr>
      </w:pPr>
    </w:p>
    <w:p>
      <w:pPr>
        <w:pStyle w:val="ListParagraph"/>
        <w:numPr>
          <w:ilvl w:val="0"/>
          <w:numId w:val="45"/>
        </w:numPr>
        <w:tabs>
          <w:tab w:pos="1096" w:val="left" w:leader="none"/>
        </w:tabs>
        <w:spacing w:line="273" w:lineRule="auto" w:before="1" w:after="0"/>
        <w:ind w:left="860" w:right="545" w:firstLine="0"/>
        <w:jc w:val="left"/>
        <w:rPr>
          <w:sz w:val="18"/>
        </w:rPr>
      </w:pPr>
      <w:r>
        <w:rPr>
          <w:sz w:val="18"/>
        </w:rPr>
        <w:t>A predictive risk model (PRM) is run over the practice's/ service's data to identify patients that are potentially</w:t>
      </w:r>
      <w:r>
        <w:rPr>
          <w:spacing w:val="-47"/>
          <w:sz w:val="18"/>
        </w:rPr>
        <w:t> </w:t>
      </w:r>
      <w:r>
        <w:rPr>
          <w:sz w:val="18"/>
        </w:rPr>
        <w:t>eligible</w:t>
      </w:r>
      <w:r>
        <w:rPr>
          <w:spacing w:val="-1"/>
          <w:sz w:val="18"/>
        </w:rPr>
        <w:t> </w:t>
      </w:r>
      <w:r>
        <w:rPr>
          <w:sz w:val="18"/>
        </w:rPr>
        <w:t>for HCH.</w:t>
      </w:r>
    </w:p>
    <w:p>
      <w:pPr>
        <w:pStyle w:val="BodyText"/>
        <w:spacing w:before="6"/>
        <w:rPr>
          <w:sz w:val="16"/>
        </w:rPr>
      </w:pPr>
    </w:p>
    <w:p>
      <w:pPr>
        <w:pStyle w:val="ListParagraph"/>
        <w:numPr>
          <w:ilvl w:val="0"/>
          <w:numId w:val="45"/>
        </w:numPr>
        <w:tabs>
          <w:tab w:pos="1065" w:val="left" w:leader="none"/>
        </w:tabs>
        <w:spacing w:line="276" w:lineRule="auto" w:before="0" w:after="0"/>
        <w:ind w:left="860" w:right="562" w:firstLine="0"/>
        <w:jc w:val="left"/>
        <w:rPr>
          <w:sz w:val="18"/>
        </w:rPr>
      </w:pPr>
      <w:r>
        <w:rPr>
          <w:sz w:val="18"/>
        </w:rPr>
        <w:t>The</w:t>
      </w:r>
      <w:r>
        <w:rPr>
          <w:spacing w:val="-3"/>
          <w:sz w:val="18"/>
        </w:rPr>
        <w:t> </w:t>
      </w:r>
      <w:r>
        <w:rPr>
          <w:sz w:val="18"/>
        </w:rPr>
        <w:t>patient</w:t>
      </w:r>
      <w:r>
        <w:rPr>
          <w:spacing w:val="-5"/>
          <w:sz w:val="18"/>
        </w:rPr>
        <w:t> </w:t>
      </w:r>
      <w:r>
        <w:rPr>
          <w:sz w:val="18"/>
        </w:rPr>
        <w:t>is</w:t>
      </w:r>
      <w:r>
        <w:rPr>
          <w:spacing w:val="-4"/>
          <w:sz w:val="18"/>
        </w:rPr>
        <w:t> </w:t>
      </w:r>
      <w:r>
        <w:rPr>
          <w:sz w:val="18"/>
        </w:rPr>
        <w:t>assessed</w:t>
      </w:r>
      <w:r>
        <w:rPr>
          <w:spacing w:val="-3"/>
          <w:sz w:val="18"/>
        </w:rPr>
        <w:t> </w:t>
      </w:r>
      <w:r>
        <w:rPr>
          <w:sz w:val="18"/>
        </w:rPr>
        <w:t>using</w:t>
      </w:r>
      <w:r>
        <w:rPr>
          <w:spacing w:val="-5"/>
          <w:sz w:val="18"/>
        </w:rPr>
        <w:t> </w:t>
      </w:r>
      <w:r>
        <w:rPr>
          <w:sz w:val="18"/>
        </w:rPr>
        <w:t>the</w:t>
      </w:r>
      <w:r>
        <w:rPr>
          <w:spacing w:val="-2"/>
          <w:sz w:val="18"/>
        </w:rPr>
        <w:t> </w:t>
      </w:r>
      <w:r>
        <w:rPr>
          <w:sz w:val="18"/>
        </w:rPr>
        <w:t>HARP</w:t>
      </w:r>
      <w:r>
        <w:rPr>
          <w:spacing w:val="-4"/>
          <w:sz w:val="18"/>
        </w:rPr>
        <w:t> </w:t>
      </w:r>
      <w:r>
        <w:rPr>
          <w:sz w:val="18"/>
        </w:rPr>
        <w:t>tool.</w:t>
      </w:r>
      <w:r>
        <w:rPr>
          <w:spacing w:val="-2"/>
          <w:sz w:val="18"/>
        </w:rPr>
        <w:t> </w:t>
      </w:r>
      <w:r>
        <w:rPr>
          <w:sz w:val="18"/>
        </w:rPr>
        <w:t>The</w:t>
      </w:r>
      <w:r>
        <w:rPr>
          <w:spacing w:val="-3"/>
          <w:sz w:val="18"/>
        </w:rPr>
        <w:t> </w:t>
      </w:r>
      <w:r>
        <w:rPr>
          <w:sz w:val="18"/>
        </w:rPr>
        <w:t>assessment</w:t>
      </w:r>
      <w:r>
        <w:rPr>
          <w:spacing w:val="-4"/>
          <w:sz w:val="18"/>
        </w:rPr>
        <w:t> </w:t>
      </w:r>
      <w:r>
        <w:rPr>
          <w:sz w:val="18"/>
        </w:rPr>
        <w:t>determines</w:t>
      </w:r>
      <w:r>
        <w:rPr>
          <w:spacing w:val="-3"/>
          <w:sz w:val="18"/>
        </w:rPr>
        <w:t> </w:t>
      </w:r>
      <w:r>
        <w:rPr>
          <w:sz w:val="18"/>
        </w:rPr>
        <w:t>whether</w:t>
      </w:r>
      <w:r>
        <w:rPr>
          <w:spacing w:val="-3"/>
          <w:sz w:val="18"/>
        </w:rPr>
        <w:t> </w:t>
      </w:r>
      <w:r>
        <w:rPr>
          <w:sz w:val="18"/>
        </w:rPr>
        <w:t>the</w:t>
      </w:r>
      <w:r>
        <w:rPr>
          <w:spacing w:val="-2"/>
          <w:sz w:val="18"/>
        </w:rPr>
        <w:t> </w:t>
      </w:r>
      <w:r>
        <w:rPr>
          <w:sz w:val="18"/>
        </w:rPr>
        <w:t>patient</w:t>
      </w:r>
      <w:r>
        <w:rPr>
          <w:spacing w:val="-6"/>
          <w:sz w:val="18"/>
        </w:rPr>
        <w:t> </w:t>
      </w:r>
      <w:r>
        <w:rPr>
          <w:sz w:val="18"/>
        </w:rPr>
        <w:t>can</w:t>
      </w:r>
      <w:r>
        <w:rPr>
          <w:spacing w:val="-2"/>
          <w:sz w:val="18"/>
        </w:rPr>
        <w:t> </w:t>
      </w:r>
      <w:r>
        <w:rPr>
          <w:sz w:val="18"/>
        </w:rPr>
        <w:t>be</w:t>
      </w:r>
      <w:r>
        <w:rPr>
          <w:spacing w:val="-5"/>
          <w:sz w:val="18"/>
        </w:rPr>
        <w:t> </w:t>
      </w:r>
      <w:r>
        <w:rPr>
          <w:sz w:val="18"/>
        </w:rPr>
        <w:t>enrolled,</w:t>
      </w:r>
      <w:r>
        <w:rPr>
          <w:spacing w:val="1"/>
          <w:sz w:val="18"/>
        </w:rPr>
        <w:t> </w:t>
      </w:r>
      <w:r>
        <w:rPr>
          <w:sz w:val="18"/>
        </w:rPr>
        <w:t>and</w:t>
      </w:r>
      <w:r>
        <w:rPr>
          <w:spacing w:val="-2"/>
          <w:sz w:val="18"/>
        </w:rPr>
        <w:t> </w:t>
      </w:r>
      <w:r>
        <w:rPr>
          <w:sz w:val="18"/>
        </w:rPr>
        <w:t>if</w:t>
      </w:r>
      <w:r>
        <w:rPr>
          <w:spacing w:val="-2"/>
          <w:sz w:val="18"/>
        </w:rPr>
        <w:t> </w:t>
      </w:r>
      <w:r>
        <w:rPr>
          <w:sz w:val="18"/>
        </w:rPr>
        <w:t>so,</w:t>
      </w:r>
      <w:r>
        <w:rPr>
          <w:spacing w:val="-2"/>
          <w:sz w:val="18"/>
        </w:rPr>
        <w:t> </w:t>
      </w:r>
      <w:r>
        <w:rPr>
          <w:sz w:val="18"/>
        </w:rPr>
        <w:t>assigns</w:t>
      </w:r>
      <w:r>
        <w:rPr>
          <w:spacing w:val="-1"/>
          <w:sz w:val="18"/>
        </w:rPr>
        <w:t> </w:t>
      </w:r>
      <w:r>
        <w:rPr>
          <w:sz w:val="18"/>
        </w:rPr>
        <w:t>a</w:t>
      </w:r>
      <w:r>
        <w:rPr>
          <w:spacing w:val="-1"/>
          <w:sz w:val="18"/>
        </w:rPr>
        <w:t> </w:t>
      </w:r>
      <w:r>
        <w:rPr>
          <w:sz w:val="18"/>
        </w:rPr>
        <w:t>risk tier.</w:t>
      </w:r>
    </w:p>
    <w:p>
      <w:pPr>
        <w:pStyle w:val="BodyText"/>
        <w:spacing w:before="4"/>
        <w:rPr>
          <w:sz w:val="16"/>
        </w:rPr>
      </w:pPr>
    </w:p>
    <w:p>
      <w:pPr>
        <w:pStyle w:val="ListParagraph"/>
        <w:numPr>
          <w:ilvl w:val="0"/>
          <w:numId w:val="43"/>
        </w:numPr>
        <w:tabs>
          <w:tab w:pos="424" w:val="left" w:leader="none"/>
        </w:tabs>
        <w:spacing w:line="240" w:lineRule="auto" w:before="1" w:after="0"/>
        <w:ind w:left="423" w:right="758" w:hanging="284"/>
        <w:jc w:val="left"/>
        <w:rPr>
          <w:sz w:val="18"/>
        </w:rPr>
      </w:pPr>
      <w:r>
        <w:rPr>
          <w:sz w:val="18"/>
        </w:rPr>
        <w:t>In your practice/ service, how well did the risk stratification tool identify patients suitable for enrollment in HCH (i.e.</w:t>
      </w:r>
      <w:r>
        <w:rPr>
          <w:spacing w:val="-48"/>
          <w:sz w:val="18"/>
        </w:rPr>
        <w:t> </w:t>
      </w:r>
      <w:r>
        <w:rPr>
          <w:sz w:val="18"/>
        </w:rPr>
        <w:t>Stage</w:t>
      </w:r>
      <w:r>
        <w:rPr>
          <w:spacing w:val="4"/>
          <w:sz w:val="18"/>
        </w:rPr>
        <w:t> </w:t>
      </w:r>
      <w:r>
        <w:rPr>
          <w:sz w:val="18"/>
        </w:rPr>
        <w:t>A)?</w:t>
      </w:r>
    </w:p>
    <w:p>
      <w:pPr>
        <w:pStyle w:val="BodyText"/>
        <w:spacing w:before="9"/>
        <w:rPr>
          <w:sz w:val="14"/>
        </w:rPr>
      </w:pPr>
    </w:p>
    <w:p>
      <w:pPr>
        <w:pStyle w:val="ListParagraph"/>
        <w:numPr>
          <w:ilvl w:val="0"/>
          <w:numId w:val="46"/>
        </w:numPr>
        <w:tabs>
          <w:tab w:pos="1643" w:val="left" w:leader="none"/>
        </w:tabs>
        <w:spacing w:line="240" w:lineRule="auto" w:before="100" w:after="0"/>
        <w:ind w:left="1642" w:right="0" w:hanging="152"/>
        <w:jc w:val="left"/>
        <w:rPr>
          <w:sz w:val="18"/>
        </w:rPr>
      </w:pPr>
      <w:r>
        <w:rPr/>
        <w:drawing>
          <wp:anchor distT="0" distB="0" distL="0" distR="0" allowOverlap="1" layoutInCell="1" locked="0" behindDoc="0" simplePos="0" relativeHeight="15783424">
            <wp:simplePos x="0" y="0"/>
            <wp:positionH relativeFrom="page">
              <wp:posOffset>1102145</wp:posOffset>
            </wp:positionH>
            <wp:positionV relativeFrom="paragraph">
              <wp:posOffset>107333</wp:posOffset>
            </wp:positionV>
            <wp:extent cx="58380" cy="72151"/>
            <wp:effectExtent l="0" t="0" r="0" b="0"/>
            <wp:wrapNone/>
            <wp:docPr id="505" name="image13.png"/>
            <wp:cNvGraphicFramePr>
              <a:graphicFrameLocks noChangeAspect="1"/>
            </wp:cNvGraphicFramePr>
            <a:graphic>
              <a:graphicData uri="http://schemas.openxmlformats.org/drawingml/2006/picture">
                <pic:pic>
                  <pic:nvPicPr>
                    <pic:cNvPr id="50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Very</w:t>
      </w:r>
      <w:r>
        <w:rPr>
          <w:spacing w:val="-5"/>
          <w:sz w:val="18"/>
        </w:rPr>
        <w:t> </w:t>
      </w:r>
      <w:r>
        <w:rPr>
          <w:sz w:val="18"/>
        </w:rPr>
        <w:t>well</w:t>
      </w:r>
    </w:p>
    <w:p>
      <w:pPr>
        <w:pStyle w:val="ListParagraph"/>
        <w:numPr>
          <w:ilvl w:val="0"/>
          <w:numId w:val="46"/>
        </w:numPr>
        <w:tabs>
          <w:tab w:pos="1643" w:val="left" w:leader="none"/>
        </w:tabs>
        <w:spacing w:line="240" w:lineRule="auto" w:before="0" w:after="0"/>
        <w:ind w:left="1642" w:right="0" w:hanging="152"/>
        <w:jc w:val="left"/>
        <w:rPr>
          <w:sz w:val="18"/>
        </w:rPr>
      </w:pPr>
      <w:r>
        <w:rPr/>
        <w:drawing>
          <wp:anchor distT="0" distB="0" distL="0" distR="0" allowOverlap="1" layoutInCell="1" locked="0" behindDoc="0" simplePos="0" relativeHeight="15783936">
            <wp:simplePos x="0" y="0"/>
            <wp:positionH relativeFrom="page">
              <wp:posOffset>1102145</wp:posOffset>
            </wp:positionH>
            <wp:positionV relativeFrom="paragraph">
              <wp:posOffset>43833</wp:posOffset>
            </wp:positionV>
            <wp:extent cx="58380" cy="72151"/>
            <wp:effectExtent l="0" t="0" r="0" b="0"/>
            <wp:wrapNone/>
            <wp:docPr id="507" name="image13.png"/>
            <wp:cNvGraphicFramePr>
              <a:graphicFrameLocks noChangeAspect="1"/>
            </wp:cNvGraphicFramePr>
            <a:graphic>
              <a:graphicData uri="http://schemas.openxmlformats.org/drawingml/2006/picture">
                <pic:pic>
                  <pic:nvPicPr>
                    <pic:cNvPr id="50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Moderately</w:t>
      </w:r>
      <w:r>
        <w:rPr>
          <w:spacing w:val="-6"/>
          <w:sz w:val="18"/>
        </w:rPr>
        <w:t> </w:t>
      </w:r>
      <w:r>
        <w:rPr>
          <w:sz w:val="18"/>
        </w:rPr>
        <w:t>well</w:t>
      </w:r>
    </w:p>
    <w:p>
      <w:pPr>
        <w:pStyle w:val="ListParagraph"/>
        <w:numPr>
          <w:ilvl w:val="0"/>
          <w:numId w:val="46"/>
        </w:numPr>
        <w:tabs>
          <w:tab w:pos="1648" w:val="left" w:leader="none"/>
        </w:tabs>
        <w:spacing w:line="240" w:lineRule="auto" w:before="0" w:after="0"/>
        <w:ind w:left="1647" w:right="0" w:hanging="157"/>
        <w:jc w:val="left"/>
        <w:rPr>
          <w:sz w:val="18"/>
        </w:rPr>
      </w:pPr>
      <w:r>
        <w:rPr/>
        <w:drawing>
          <wp:anchor distT="0" distB="0" distL="0" distR="0" allowOverlap="1" layoutInCell="1" locked="0" behindDoc="0" simplePos="0" relativeHeight="15784448">
            <wp:simplePos x="0" y="0"/>
            <wp:positionH relativeFrom="page">
              <wp:posOffset>1102145</wp:posOffset>
            </wp:positionH>
            <wp:positionV relativeFrom="paragraph">
              <wp:posOffset>43833</wp:posOffset>
            </wp:positionV>
            <wp:extent cx="58380" cy="72151"/>
            <wp:effectExtent l="0" t="0" r="0" b="0"/>
            <wp:wrapNone/>
            <wp:docPr id="509" name="image13.png"/>
            <wp:cNvGraphicFramePr>
              <a:graphicFrameLocks noChangeAspect="1"/>
            </wp:cNvGraphicFramePr>
            <a:graphic>
              <a:graphicData uri="http://schemas.openxmlformats.org/drawingml/2006/picture">
                <pic:pic>
                  <pic:nvPicPr>
                    <pic:cNvPr id="51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Average</w:t>
      </w:r>
    </w:p>
    <w:p>
      <w:pPr>
        <w:pStyle w:val="ListParagraph"/>
        <w:numPr>
          <w:ilvl w:val="0"/>
          <w:numId w:val="46"/>
        </w:numPr>
        <w:tabs>
          <w:tab w:pos="1643" w:val="left" w:leader="none"/>
        </w:tabs>
        <w:spacing w:line="240" w:lineRule="auto" w:before="0" w:after="0"/>
        <w:ind w:left="1642" w:right="0" w:hanging="152"/>
        <w:jc w:val="left"/>
        <w:rPr>
          <w:sz w:val="18"/>
        </w:rPr>
      </w:pPr>
      <w:r>
        <w:rPr/>
        <w:drawing>
          <wp:anchor distT="0" distB="0" distL="0" distR="0" allowOverlap="1" layoutInCell="1" locked="0" behindDoc="0" simplePos="0" relativeHeight="15784960">
            <wp:simplePos x="0" y="0"/>
            <wp:positionH relativeFrom="page">
              <wp:posOffset>1102145</wp:posOffset>
            </wp:positionH>
            <wp:positionV relativeFrom="paragraph">
              <wp:posOffset>43833</wp:posOffset>
            </wp:positionV>
            <wp:extent cx="58380" cy="72151"/>
            <wp:effectExtent l="0" t="0" r="0" b="0"/>
            <wp:wrapNone/>
            <wp:docPr id="511" name="image13.png"/>
            <wp:cNvGraphicFramePr>
              <a:graphicFrameLocks noChangeAspect="1"/>
            </wp:cNvGraphicFramePr>
            <a:graphic>
              <a:graphicData uri="http://schemas.openxmlformats.org/drawingml/2006/picture">
                <pic:pic>
                  <pic:nvPicPr>
                    <pic:cNvPr id="51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Poor</w:t>
      </w:r>
    </w:p>
    <w:p>
      <w:pPr>
        <w:pStyle w:val="ListParagraph"/>
        <w:numPr>
          <w:ilvl w:val="0"/>
          <w:numId w:val="46"/>
        </w:numPr>
        <w:tabs>
          <w:tab w:pos="1643" w:val="left" w:leader="none"/>
        </w:tabs>
        <w:spacing w:line="240" w:lineRule="auto" w:before="0" w:after="0"/>
        <w:ind w:left="1642" w:right="0" w:hanging="152"/>
        <w:jc w:val="left"/>
        <w:rPr>
          <w:sz w:val="18"/>
        </w:rPr>
      </w:pPr>
      <w:r>
        <w:rPr/>
        <w:drawing>
          <wp:anchor distT="0" distB="0" distL="0" distR="0" allowOverlap="1" layoutInCell="1" locked="0" behindDoc="0" simplePos="0" relativeHeight="15785472">
            <wp:simplePos x="0" y="0"/>
            <wp:positionH relativeFrom="page">
              <wp:posOffset>1102145</wp:posOffset>
            </wp:positionH>
            <wp:positionV relativeFrom="paragraph">
              <wp:posOffset>43833</wp:posOffset>
            </wp:positionV>
            <wp:extent cx="58380" cy="72151"/>
            <wp:effectExtent l="0" t="0" r="0" b="0"/>
            <wp:wrapNone/>
            <wp:docPr id="513" name="image13.png"/>
            <wp:cNvGraphicFramePr>
              <a:graphicFrameLocks noChangeAspect="1"/>
            </wp:cNvGraphicFramePr>
            <a:graphic>
              <a:graphicData uri="http://schemas.openxmlformats.org/drawingml/2006/picture">
                <pic:pic>
                  <pic:nvPicPr>
                    <pic:cNvPr id="51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Can’t</w:t>
      </w:r>
      <w:r>
        <w:rPr>
          <w:spacing w:val="-4"/>
          <w:sz w:val="18"/>
        </w:rPr>
        <w:t> </w:t>
      </w:r>
      <w:r>
        <w:rPr>
          <w:sz w:val="18"/>
        </w:rPr>
        <w:t>say/don’t</w:t>
      </w:r>
      <w:r>
        <w:rPr>
          <w:spacing w:val="-4"/>
          <w:sz w:val="18"/>
        </w:rPr>
        <w:t> </w:t>
      </w:r>
      <w:r>
        <w:rPr>
          <w:sz w:val="18"/>
        </w:rPr>
        <w:t>know</w:t>
      </w:r>
    </w:p>
    <w:p>
      <w:pPr>
        <w:pStyle w:val="BodyText"/>
        <w:spacing w:before="7"/>
        <w:rPr>
          <w:sz w:val="14"/>
        </w:rPr>
      </w:pPr>
    </w:p>
    <w:p>
      <w:pPr>
        <w:pStyle w:val="ListParagraph"/>
        <w:numPr>
          <w:ilvl w:val="0"/>
          <w:numId w:val="43"/>
        </w:numPr>
        <w:tabs>
          <w:tab w:pos="424" w:val="left" w:leader="none"/>
        </w:tabs>
        <w:spacing w:line="240" w:lineRule="auto" w:before="100" w:after="0"/>
        <w:ind w:left="423" w:right="677" w:hanging="284"/>
        <w:jc w:val="both"/>
        <w:rPr>
          <w:sz w:val="18"/>
        </w:rPr>
      </w:pPr>
      <w:r>
        <w:rPr>
          <w:sz w:val="18"/>
        </w:rPr>
        <w:t>If the risk stratification process in Stage A fails to flag a patient that the GP feels should have been flagged, there is</w:t>
      </w:r>
      <w:r>
        <w:rPr>
          <w:spacing w:val="-47"/>
          <w:sz w:val="18"/>
        </w:rPr>
        <w:t> </w:t>
      </w:r>
      <w:r>
        <w:rPr>
          <w:sz w:val="18"/>
        </w:rPr>
        <w:t>an</w:t>
      </w:r>
      <w:r>
        <w:rPr>
          <w:spacing w:val="-3"/>
          <w:sz w:val="18"/>
        </w:rPr>
        <w:t> </w:t>
      </w:r>
      <w:r>
        <w:rPr>
          <w:sz w:val="18"/>
        </w:rPr>
        <w:t>override</w:t>
      </w:r>
      <w:r>
        <w:rPr>
          <w:spacing w:val="-2"/>
          <w:sz w:val="18"/>
        </w:rPr>
        <w:t> </w:t>
      </w:r>
      <w:r>
        <w:rPr>
          <w:sz w:val="18"/>
        </w:rPr>
        <w:t>function</w:t>
      </w:r>
      <w:r>
        <w:rPr>
          <w:spacing w:val="-3"/>
          <w:sz w:val="18"/>
        </w:rPr>
        <w:t> </w:t>
      </w:r>
      <w:r>
        <w:rPr>
          <w:sz w:val="18"/>
        </w:rPr>
        <w:t>allowing</w:t>
      </w:r>
      <w:r>
        <w:rPr>
          <w:spacing w:val="-4"/>
          <w:sz w:val="18"/>
        </w:rPr>
        <w:t> </w:t>
      </w:r>
      <w:r>
        <w:rPr>
          <w:sz w:val="18"/>
        </w:rPr>
        <w:t>that</w:t>
      </w:r>
      <w:r>
        <w:rPr>
          <w:spacing w:val="-4"/>
          <w:sz w:val="18"/>
        </w:rPr>
        <w:t> </w:t>
      </w:r>
      <w:r>
        <w:rPr>
          <w:sz w:val="18"/>
        </w:rPr>
        <w:t>patient</w:t>
      </w:r>
      <w:r>
        <w:rPr>
          <w:spacing w:val="-4"/>
          <w:sz w:val="18"/>
        </w:rPr>
        <w:t> </w:t>
      </w:r>
      <w:r>
        <w:rPr>
          <w:sz w:val="18"/>
        </w:rPr>
        <w:t>to</w:t>
      </w:r>
      <w:r>
        <w:rPr>
          <w:spacing w:val="-4"/>
          <w:sz w:val="18"/>
        </w:rPr>
        <w:t> </w:t>
      </w:r>
      <w:r>
        <w:rPr>
          <w:sz w:val="18"/>
        </w:rPr>
        <w:t>be</w:t>
      </w:r>
      <w:r>
        <w:rPr>
          <w:spacing w:val="-2"/>
          <w:sz w:val="18"/>
        </w:rPr>
        <w:t> </w:t>
      </w:r>
      <w:r>
        <w:rPr>
          <w:sz w:val="18"/>
        </w:rPr>
        <w:t>selected</w:t>
      </w:r>
      <w:r>
        <w:rPr>
          <w:spacing w:val="-3"/>
          <w:sz w:val="18"/>
        </w:rPr>
        <w:t> </w:t>
      </w:r>
      <w:r>
        <w:rPr>
          <w:sz w:val="18"/>
        </w:rPr>
        <w:t>and</w:t>
      </w:r>
      <w:r>
        <w:rPr>
          <w:spacing w:val="-4"/>
          <w:sz w:val="18"/>
        </w:rPr>
        <w:t> </w:t>
      </w:r>
      <w:r>
        <w:rPr>
          <w:sz w:val="18"/>
        </w:rPr>
        <w:t>tested</w:t>
      </w:r>
      <w:r>
        <w:rPr>
          <w:spacing w:val="-3"/>
          <w:sz w:val="18"/>
        </w:rPr>
        <w:t> </w:t>
      </w:r>
      <w:r>
        <w:rPr>
          <w:sz w:val="18"/>
        </w:rPr>
        <w:t>for</w:t>
      </w:r>
      <w:r>
        <w:rPr>
          <w:spacing w:val="-2"/>
          <w:sz w:val="18"/>
        </w:rPr>
        <w:t> </w:t>
      </w:r>
      <w:r>
        <w:rPr>
          <w:sz w:val="18"/>
        </w:rPr>
        <w:t>eligibility.</w:t>
      </w:r>
      <w:r>
        <w:rPr>
          <w:spacing w:val="-6"/>
          <w:sz w:val="18"/>
        </w:rPr>
        <w:t> </w:t>
      </w:r>
      <w:r>
        <w:rPr>
          <w:sz w:val="18"/>
        </w:rPr>
        <w:t>Did</w:t>
      </w:r>
      <w:r>
        <w:rPr>
          <w:spacing w:val="-3"/>
          <w:sz w:val="18"/>
        </w:rPr>
        <w:t> </w:t>
      </w:r>
      <w:r>
        <w:rPr>
          <w:sz w:val="18"/>
        </w:rPr>
        <w:t>you</w:t>
      </w:r>
      <w:r>
        <w:rPr>
          <w:spacing w:val="-2"/>
          <w:sz w:val="18"/>
        </w:rPr>
        <w:t> </w:t>
      </w:r>
      <w:r>
        <w:rPr>
          <w:sz w:val="18"/>
        </w:rPr>
        <w:t>practice/service</w:t>
      </w:r>
      <w:r>
        <w:rPr>
          <w:spacing w:val="-4"/>
          <w:sz w:val="18"/>
        </w:rPr>
        <w:t> </w:t>
      </w:r>
      <w:r>
        <w:rPr>
          <w:sz w:val="18"/>
        </w:rPr>
        <w:t>use</w:t>
      </w:r>
      <w:r>
        <w:rPr>
          <w:spacing w:val="-5"/>
          <w:sz w:val="18"/>
        </w:rPr>
        <w:t> </w:t>
      </w:r>
      <w:r>
        <w:rPr>
          <w:sz w:val="18"/>
        </w:rPr>
        <w:t>this</w:t>
      </w:r>
      <w:r>
        <w:rPr>
          <w:spacing w:val="1"/>
          <w:sz w:val="18"/>
        </w:rPr>
        <w:t> </w:t>
      </w:r>
      <w:r>
        <w:rPr>
          <w:sz w:val="18"/>
        </w:rPr>
        <w:t>function?</w:t>
      </w:r>
    </w:p>
    <w:p>
      <w:pPr>
        <w:pStyle w:val="BodyText"/>
        <w:spacing w:before="10"/>
        <w:rPr>
          <w:sz w:val="14"/>
        </w:rPr>
      </w:pPr>
    </w:p>
    <w:p>
      <w:pPr>
        <w:pStyle w:val="ListParagraph"/>
        <w:numPr>
          <w:ilvl w:val="0"/>
          <w:numId w:val="47"/>
        </w:numPr>
        <w:tabs>
          <w:tab w:pos="1643" w:val="left" w:leader="none"/>
        </w:tabs>
        <w:spacing w:line="240" w:lineRule="auto" w:before="100" w:after="0"/>
        <w:ind w:left="1642" w:right="0" w:hanging="152"/>
        <w:jc w:val="left"/>
        <w:rPr>
          <w:sz w:val="18"/>
        </w:rPr>
      </w:pPr>
      <w:r>
        <w:rPr/>
        <w:drawing>
          <wp:anchor distT="0" distB="0" distL="0" distR="0" allowOverlap="1" layoutInCell="1" locked="0" behindDoc="0" simplePos="0" relativeHeight="15785984">
            <wp:simplePos x="0" y="0"/>
            <wp:positionH relativeFrom="page">
              <wp:posOffset>1102145</wp:posOffset>
            </wp:positionH>
            <wp:positionV relativeFrom="paragraph">
              <wp:posOffset>107079</wp:posOffset>
            </wp:positionV>
            <wp:extent cx="58380" cy="72151"/>
            <wp:effectExtent l="0" t="0" r="0" b="0"/>
            <wp:wrapNone/>
            <wp:docPr id="515" name="image13.png"/>
            <wp:cNvGraphicFramePr>
              <a:graphicFrameLocks noChangeAspect="1"/>
            </wp:cNvGraphicFramePr>
            <a:graphic>
              <a:graphicData uri="http://schemas.openxmlformats.org/drawingml/2006/picture">
                <pic:pic>
                  <pic:nvPicPr>
                    <pic:cNvPr id="51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w:t>
      </w:r>
    </w:p>
    <w:p>
      <w:pPr>
        <w:pStyle w:val="ListParagraph"/>
        <w:numPr>
          <w:ilvl w:val="0"/>
          <w:numId w:val="47"/>
        </w:numPr>
        <w:tabs>
          <w:tab w:pos="1643" w:val="left" w:leader="none"/>
        </w:tabs>
        <w:spacing w:line="240" w:lineRule="auto" w:before="0" w:after="0"/>
        <w:ind w:left="1491" w:right="733" w:firstLine="0"/>
        <w:jc w:val="left"/>
        <w:rPr>
          <w:sz w:val="18"/>
        </w:rPr>
      </w:pPr>
      <w:r>
        <w:rPr/>
        <w:drawing>
          <wp:anchor distT="0" distB="0" distL="0" distR="0" allowOverlap="1" layoutInCell="1" locked="0" behindDoc="0" simplePos="0" relativeHeight="15786496">
            <wp:simplePos x="0" y="0"/>
            <wp:positionH relativeFrom="page">
              <wp:posOffset>1102145</wp:posOffset>
            </wp:positionH>
            <wp:positionV relativeFrom="paragraph">
              <wp:posOffset>43386</wp:posOffset>
            </wp:positionV>
            <wp:extent cx="58380" cy="73869"/>
            <wp:effectExtent l="0" t="0" r="0" b="0"/>
            <wp:wrapNone/>
            <wp:docPr id="517" name="image14.png"/>
            <wp:cNvGraphicFramePr>
              <a:graphicFrameLocks noChangeAspect="1"/>
            </wp:cNvGraphicFramePr>
            <a:graphic>
              <a:graphicData uri="http://schemas.openxmlformats.org/drawingml/2006/picture">
                <pic:pic>
                  <pic:nvPicPr>
                    <pic:cNvPr id="518"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Yes. What were the main clinical or psycho-social characteristics or other risk factors of patients that</w:t>
      </w:r>
      <w:r>
        <w:rPr>
          <w:spacing w:val="-47"/>
          <w:sz w:val="18"/>
        </w:rPr>
        <w:t> </w:t>
      </w:r>
      <w:r>
        <w:rPr>
          <w:sz w:val="18"/>
        </w:rPr>
        <w:t>prompted</w:t>
      </w:r>
      <w:r>
        <w:rPr>
          <w:spacing w:val="-2"/>
          <w:sz w:val="18"/>
        </w:rPr>
        <w:t> </w:t>
      </w:r>
      <w:r>
        <w:rPr>
          <w:sz w:val="18"/>
        </w:rPr>
        <w:t>you to</w:t>
      </w:r>
      <w:r>
        <w:rPr>
          <w:spacing w:val="-1"/>
          <w:sz w:val="18"/>
        </w:rPr>
        <w:t> </w:t>
      </w:r>
      <w:r>
        <w:rPr>
          <w:sz w:val="18"/>
        </w:rPr>
        <w:t>use this</w:t>
      </w:r>
      <w:r>
        <w:rPr>
          <w:spacing w:val="-3"/>
          <w:sz w:val="18"/>
        </w:rPr>
        <w:t> </w:t>
      </w:r>
      <w:r>
        <w:rPr>
          <w:sz w:val="18"/>
        </w:rPr>
        <w:t>function?</w:t>
      </w:r>
    </w:p>
    <w:p>
      <w:pPr>
        <w:spacing w:after="0" w:line="240" w:lineRule="auto"/>
        <w:jc w:val="left"/>
        <w:rPr>
          <w:sz w:val="18"/>
        </w:rPr>
        <w:sectPr>
          <w:pgSz w:w="11910" w:h="16840"/>
          <w:pgMar w:header="0" w:footer="906" w:top="860" w:bottom="1140" w:left="580" w:right="280"/>
        </w:sectPr>
      </w:pPr>
    </w:p>
    <w:p>
      <w:pPr>
        <w:pStyle w:val="ListParagraph"/>
        <w:numPr>
          <w:ilvl w:val="0"/>
          <w:numId w:val="43"/>
        </w:numPr>
        <w:tabs>
          <w:tab w:pos="424" w:val="left" w:leader="none"/>
        </w:tabs>
        <w:spacing w:line="240" w:lineRule="auto" w:before="76" w:after="0"/>
        <w:ind w:left="423" w:right="507" w:hanging="284"/>
        <w:jc w:val="left"/>
        <w:rPr>
          <w:sz w:val="18"/>
        </w:rPr>
      </w:pPr>
      <w:r>
        <w:rPr>
          <w:sz w:val="18"/>
        </w:rPr>
        <w:t>What</w:t>
      </w:r>
      <w:r>
        <w:rPr>
          <w:spacing w:val="-5"/>
          <w:sz w:val="18"/>
        </w:rPr>
        <w:t> </w:t>
      </w:r>
      <w:r>
        <w:rPr>
          <w:sz w:val="18"/>
        </w:rPr>
        <w:t>were</w:t>
      </w:r>
      <w:r>
        <w:rPr>
          <w:spacing w:val="-2"/>
          <w:sz w:val="18"/>
        </w:rPr>
        <w:t> </w:t>
      </w:r>
      <w:r>
        <w:rPr>
          <w:sz w:val="18"/>
        </w:rPr>
        <w:t>the</w:t>
      </w:r>
      <w:r>
        <w:rPr>
          <w:spacing w:val="-2"/>
          <w:sz w:val="18"/>
        </w:rPr>
        <w:t> </w:t>
      </w:r>
      <w:r>
        <w:rPr>
          <w:sz w:val="18"/>
        </w:rPr>
        <w:t>main</w:t>
      </w:r>
      <w:r>
        <w:rPr>
          <w:spacing w:val="-3"/>
          <w:sz w:val="18"/>
        </w:rPr>
        <w:t> </w:t>
      </w:r>
      <w:r>
        <w:rPr>
          <w:sz w:val="18"/>
        </w:rPr>
        <w:t>factors</w:t>
      </w:r>
      <w:r>
        <w:rPr>
          <w:spacing w:val="-3"/>
          <w:sz w:val="18"/>
        </w:rPr>
        <w:t> </w:t>
      </w:r>
      <w:r>
        <w:rPr>
          <w:sz w:val="18"/>
        </w:rPr>
        <w:t>that</w:t>
      </w:r>
      <w:r>
        <w:rPr>
          <w:spacing w:val="-4"/>
          <w:sz w:val="18"/>
        </w:rPr>
        <w:t> </w:t>
      </w:r>
      <w:r>
        <w:rPr>
          <w:sz w:val="18"/>
        </w:rPr>
        <w:t>led</w:t>
      </w:r>
      <w:r>
        <w:rPr>
          <w:spacing w:val="-4"/>
          <w:sz w:val="18"/>
        </w:rPr>
        <w:t> </w:t>
      </w:r>
      <w:r>
        <w:rPr>
          <w:sz w:val="18"/>
        </w:rPr>
        <w:t>your</w:t>
      </w:r>
      <w:r>
        <w:rPr>
          <w:spacing w:val="-2"/>
          <w:sz w:val="18"/>
        </w:rPr>
        <w:t> </w:t>
      </w:r>
      <w:r>
        <w:rPr>
          <w:sz w:val="18"/>
        </w:rPr>
        <w:t>practice/</w:t>
      </w:r>
      <w:r>
        <w:rPr>
          <w:spacing w:val="-2"/>
          <w:sz w:val="18"/>
        </w:rPr>
        <w:t> </w:t>
      </w:r>
      <w:r>
        <w:rPr>
          <w:sz w:val="18"/>
        </w:rPr>
        <w:t>service</w:t>
      </w:r>
      <w:r>
        <w:rPr>
          <w:spacing w:val="-3"/>
          <w:sz w:val="18"/>
        </w:rPr>
        <w:t> </w:t>
      </w:r>
      <w:r>
        <w:rPr>
          <w:sz w:val="18"/>
        </w:rPr>
        <w:t>to</w:t>
      </w:r>
      <w:r>
        <w:rPr>
          <w:spacing w:val="-3"/>
          <w:sz w:val="18"/>
        </w:rPr>
        <w:t> </w:t>
      </w:r>
      <w:r>
        <w:rPr>
          <w:sz w:val="18"/>
        </w:rPr>
        <w:t>decide</w:t>
      </w:r>
      <w:r>
        <w:rPr>
          <w:spacing w:val="-3"/>
          <w:sz w:val="18"/>
        </w:rPr>
        <w:t> </w:t>
      </w:r>
      <w:r>
        <w:rPr>
          <w:sz w:val="18"/>
        </w:rPr>
        <w:t>not</w:t>
      </w:r>
      <w:r>
        <w:rPr>
          <w:spacing w:val="-4"/>
          <w:sz w:val="18"/>
        </w:rPr>
        <w:t> </w:t>
      </w:r>
      <w:r>
        <w:rPr>
          <w:sz w:val="18"/>
        </w:rPr>
        <w:t>to</w:t>
      </w:r>
      <w:r>
        <w:rPr>
          <w:spacing w:val="-3"/>
          <w:sz w:val="18"/>
        </w:rPr>
        <w:t> </w:t>
      </w:r>
      <w:r>
        <w:rPr>
          <w:sz w:val="18"/>
        </w:rPr>
        <w:t>approach</w:t>
      </w:r>
      <w:r>
        <w:rPr>
          <w:spacing w:val="-2"/>
          <w:sz w:val="18"/>
        </w:rPr>
        <w:t> </w:t>
      </w:r>
      <w:r>
        <w:rPr>
          <w:sz w:val="18"/>
        </w:rPr>
        <w:t>some</w:t>
      </w:r>
      <w:r>
        <w:rPr>
          <w:spacing w:val="-3"/>
          <w:sz w:val="18"/>
        </w:rPr>
        <w:t> </w:t>
      </w:r>
      <w:r>
        <w:rPr>
          <w:sz w:val="18"/>
        </w:rPr>
        <w:t>of</w:t>
      </w:r>
      <w:r>
        <w:rPr>
          <w:spacing w:val="-1"/>
          <w:sz w:val="18"/>
        </w:rPr>
        <w:t> </w:t>
      </w:r>
      <w:r>
        <w:rPr>
          <w:sz w:val="18"/>
        </w:rPr>
        <w:t>the</w:t>
      </w:r>
      <w:r>
        <w:rPr>
          <w:spacing w:val="-3"/>
          <w:sz w:val="18"/>
        </w:rPr>
        <w:t> </w:t>
      </w:r>
      <w:r>
        <w:rPr>
          <w:sz w:val="18"/>
        </w:rPr>
        <w:t>patients</w:t>
      </w:r>
      <w:r>
        <w:rPr>
          <w:spacing w:val="-3"/>
          <w:sz w:val="18"/>
        </w:rPr>
        <w:t> </w:t>
      </w:r>
      <w:r>
        <w:rPr>
          <w:sz w:val="18"/>
        </w:rPr>
        <w:t>flagged</w:t>
      </w:r>
      <w:r>
        <w:rPr>
          <w:spacing w:val="1"/>
          <w:sz w:val="18"/>
        </w:rPr>
        <w:t> </w:t>
      </w:r>
      <w:r>
        <w:rPr>
          <w:sz w:val="18"/>
        </w:rPr>
        <w:t>as</w:t>
      </w:r>
      <w:r>
        <w:rPr>
          <w:spacing w:val="-2"/>
          <w:sz w:val="18"/>
        </w:rPr>
        <w:t> </w:t>
      </w:r>
      <w:r>
        <w:rPr>
          <w:sz w:val="18"/>
        </w:rPr>
        <w:t>potentially</w:t>
      </w:r>
      <w:r>
        <w:rPr>
          <w:spacing w:val="-2"/>
          <w:sz w:val="18"/>
        </w:rPr>
        <w:t> </w:t>
      </w:r>
      <w:r>
        <w:rPr>
          <w:sz w:val="18"/>
        </w:rPr>
        <w:t>eligible</w:t>
      </w:r>
      <w:r>
        <w:rPr>
          <w:spacing w:val="-2"/>
          <w:sz w:val="18"/>
        </w:rPr>
        <w:t> </w:t>
      </w:r>
      <w:r>
        <w:rPr>
          <w:sz w:val="18"/>
        </w:rPr>
        <w:t>for</w:t>
      </w:r>
      <w:r>
        <w:rPr>
          <w:spacing w:val="-1"/>
          <w:sz w:val="18"/>
        </w:rPr>
        <w:t> </w:t>
      </w:r>
      <w:r>
        <w:rPr>
          <w:sz w:val="18"/>
        </w:rPr>
        <w:t>HCH</w:t>
      </w:r>
      <w:r>
        <w:rPr>
          <w:spacing w:val="-1"/>
          <w:sz w:val="18"/>
        </w:rPr>
        <w:t> </w:t>
      </w:r>
      <w:r>
        <w:rPr>
          <w:sz w:val="18"/>
        </w:rPr>
        <w:t>at</w:t>
      </w:r>
      <w:r>
        <w:rPr>
          <w:spacing w:val="-3"/>
          <w:sz w:val="18"/>
        </w:rPr>
        <w:t> </w:t>
      </w:r>
      <w:r>
        <w:rPr>
          <w:sz w:val="18"/>
        </w:rPr>
        <w:t>Stage</w:t>
      </w:r>
      <w:r>
        <w:rPr>
          <w:spacing w:val="5"/>
          <w:sz w:val="18"/>
        </w:rPr>
        <w:t> </w:t>
      </w:r>
      <w:r>
        <w:rPr>
          <w:sz w:val="18"/>
        </w:rPr>
        <w:t>A</w:t>
      </w:r>
      <w:r>
        <w:rPr>
          <w:spacing w:val="-7"/>
          <w:sz w:val="18"/>
        </w:rPr>
        <w:t> </w:t>
      </w:r>
      <w:r>
        <w:rPr>
          <w:sz w:val="18"/>
        </w:rPr>
        <w:t>of the</w:t>
      </w:r>
      <w:r>
        <w:rPr>
          <w:spacing w:val="-1"/>
          <w:sz w:val="18"/>
        </w:rPr>
        <w:t> </w:t>
      </w:r>
      <w:r>
        <w:rPr>
          <w:sz w:val="18"/>
        </w:rPr>
        <w:t>risk stratification</w:t>
      </w:r>
      <w:r>
        <w:rPr>
          <w:spacing w:val="-4"/>
          <w:sz w:val="18"/>
        </w:rPr>
        <w:t> </w:t>
      </w:r>
      <w:r>
        <w:rPr>
          <w:sz w:val="18"/>
        </w:rPr>
        <w:t>process</w:t>
      </w:r>
      <w:r>
        <w:rPr>
          <w:spacing w:val="-1"/>
          <w:sz w:val="18"/>
        </w:rPr>
        <w:t> </w:t>
      </w:r>
      <w:r>
        <w:rPr>
          <w:sz w:val="18"/>
        </w:rPr>
        <w:t>described</w:t>
      </w:r>
      <w:r>
        <w:rPr>
          <w:spacing w:val="-4"/>
          <w:sz w:val="18"/>
        </w:rPr>
        <w:t> </w:t>
      </w:r>
      <w:r>
        <w:rPr>
          <w:sz w:val="18"/>
        </w:rPr>
        <w:t>above?</w:t>
      </w:r>
    </w:p>
    <w:p>
      <w:pPr>
        <w:pStyle w:val="BodyText"/>
      </w:pPr>
    </w:p>
    <w:p>
      <w:pPr>
        <w:pStyle w:val="BodyText"/>
        <w:spacing w:before="4"/>
        <w:rPr>
          <w:sz w:val="25"/>
        </w:rPr>
      </w:pPr>
      <w:r>
        <w:rPr/>
        <w:pict>
          <v:rect style="position:absolute;margin-left:34.560001pt;margin-top:16.769922pt;width:526.3pt;height:.48pt;mso-position-horizontal-relative:page;mso-position-vertical-relative:paragraph;z-index:-15670272;mso-wrap-distance-left:0;mso-wrap-distance-right:0" id="docshape141" filled="true" fillcolor="#d9d9d9" stroked="false">
            <v:fill type="solid"/>
            <w10:wrap type="topAndBottom"/>
          </v:rect>
        </w:pict>
      </w:r>
    </w:p>
    <w:p>
      <w:pPr>
        <w:pStyle w:val="BodyText"/>
        <w:spacing w:before="2"/>
        <w:rPr>
          <w:sz w:val="8"/>
        </w:rPr>
      </w:pPr>
    </w:p>
    <w:p>
      <w:pPr>
        <w:pStyle w:val="ListParagraph"/>
        <w:numPr>
          <w:ilvl w:val="0"/>
          <w:numId w:val="43"/>
        </w:numPr>
        <w:tabs>
          <w:tab w:pos="424" w:val="left" w:leader="none"/>
        </w:tabs>
        <w:spacing w:line="240" w:lineRule="auto" w:before="100" w:after="0"/>
        <w:ind w:left="423" w:right="0" w:hanging="284"/>
        <w:jc w:val="left"/>
        <w:rPr>
          <w:sz w:val="18"/>
        </w:rPr>
      </w:pPr>
      <w:r>
        <w:rPr>
          <w:sz w:val="18"/>
        </w:rPr>
        <w:t>In</w:t>
      </w:r>
      <w:r>
        <w:rPr>
          <w:spacing w:val="-5"/>
          <w:sz w:val="18"/>
        </w:rPr>
        <w:t> </w:t>
      </w:r>
      <w:r>
        <w:rPr>
          <w:sz w:val="18"/>
        </w:rPr>
        <w:t>your</w:t>
      </w:r>
      <w:r>
        <w:rPr>
          <w:spacing w:val="-3"/>
          <w:sz w:val="18"/>
        </w:rPr>
        <w:t> </w:t>
      </w:r>
      <w:r>
        <w:rPr>
          <w:sz w:val="18"/>
        </w:rPr>
        <w:t>practice,</w:t>
      </w:r>
      <w:r>
        <w:rPr>
          <w:spacing w:val="-3"/>
          <w:sz w:val="18"/>
        </w:rPr>
        <w:t> </w:t>
      </w:r>
      <w:r>
        <w:rPr>
          <w:sz w:val="18"/>
        </w:rPr>
        <w:t>who</w:t>
      </w:r>
      <w:r>
        <w:rPr>
          <w:spacing w:val="-4"/>
          <w:sz w:val="18"/>
        </w:rPr>
        <w:t> </w:t>
      </w:r>
      <w:r>
        <w:rPr>
          <w:sz w:val="18"/>
        </w:rPr>
        <w:t>mainly</w:t>
      </w:r>
      <w:r>
        <w:rPr>
          <w:spacing w:val="-3"/>
          <w:sz w:val="18"/>
        </w:rPr>
        <w:t> </w:t>
      </w:r>
      <w:r>
        <w:rPr>
          <w:sz w:val="18"/>
        </w:rPr>
        <w:t>did</w:t>
      </w:r>
      <w:r>
        <w:rPr>
          <w:spacing w:val="-4"/>
          <w:sz w:val="18"/>
        </w:rPr>
        <w:t> </w:t>
      </w:r>
      <w:r>
        <w:rPr>
          <w:sz w:val="18"/>
        </w:rPr>
        <w:t>the</w:t>
      </w:r>
      <w:r>
        <w:rPr>
          <w:spacing w:val="-4"/>
          <w:sz w:val="18"/>
        </w:rPr>
        <w:t> </w:t>
      </w:r>
      <w:r>
        <w:rPr>
          <w:sz w:val="18"/>
        </w:rPr>
        <w:t>HARP</w:t>
      </w:r>
      <w:r>
        <w:rPr>
          <w:spacing w:val="-3"/>
          <w:sz w:val="18"/>
        </w:rPr>
        <w:t> </w:t>
      </w:r>
      <w:r>
        <w:rPr>
          <w:sz w:val="18"/>
        </w:rPr>
        <w:t>assessments</w:t>
      </w:r>
      <w:r>
        <w:rPr>
          <w:spacing w:val="-2"/>
          <w:sz w:val="18"/>
        </w:rPr>
        <w:t> </w:t>
      </w:r>
      <w:r>
        <w:rPr>
          <w:sz w:val="18"/>
        </w:rPr>
        <w:t>(Stage</w:t>
      </w:r>
      <w:r>
        <w:rPr>
          <w:spacing w:val="-3"/>
          <w:sz w:val="18"/>
        </w:rPr>
        <w:t> </w:t>
      </w:r>
      <w:r>
        <w:rPr>
          <w:sz w:val="18"/>
        </w:rPr>
        <w:t>B</w:t>
      </w:r>
      <w:r>
        <w:rPr>
          <w:spacing w:val="-3"/>
          <w:sz w:val="18"/>
        </w:rPr>
        <w:t> </w:t>
      </w:r>
      <w:r>
        <w:rPr>
          <w:sz w:val="18"/>
        </w:rPr>
        <w:t>of</w:t>
      </w:r>
      <w:r>
        <w:rPr>
          <w:spacing w:val="-3"/>
          <w:sz w:val="18"/>
        </w:rPr>
        <w:t> </w:t>
      </w:r>
      <w:r>
        <w:rPr>
          <w:sz w:val="18"/>
        </w:rPr>
        <w:t>the</w:t>
      </w:r>
      <w:r>
        <w:rPr>
          <w:spacing w:val="-3"/>
          <w:sz w:val="18"/>
        </w:rPr>
        <w:t> </w:t>
      </w:r>
      <w:r>
        <w:rPr>
          <w:sz w:val="18"/>
        </w:rPr>
        <w:t>risk</w:t>
      </w:r>
      <w:r>
        <w:rPr>
          <w:spacing w:val="-3"/>
          <w:sz w:val="18"/>
        </w:rPr>
        <w:t> </w:t>
      </w:r>
      <w:r>
        <w:rPr>
          <w:sz w:val="18"/>
        </w:rPr>
        <w:t>stratification</w:t>
      </w:r>
      <w:r>
        <w:rPr>
          <w:spacing w:val="-3"/>
          <w:sz w:val="18"/>
        </w:rPr>
        <w:t> </w:t>
      </w:r>
      <w:r>
        <w:rPr>
          <w:sz w:val="18"/>
        </w:rPr>
        <w:t>process</w:t>
      </w:r>
      <w:r>
        <w:rPr>
          <w:spacing w:val="-4"/>
          <w:sz w:val="18"/>
        </w:rPr>
        <w:t> </w:t>
      </w:r>
      <w:r>
        <w:rPr>
          <w:sz w:val="18"/>
        </w:rPr>
        <w:t>described</w:t>
      </w:r>
      <w:r>
        <w:rPr>
          <w:spacing w:val="-4"/>
          <w:sz w:val="18"/>
        </w:rPr>
        <w:t> </w:t>
      </w:r>
      <w:r>
        <w:rPr>
          <w:sz w:val="18"/>
        </w:rPr>
        <w:t>above)?</w:t>
      </w:r>
    </w:p>
    <w:p>
      <w:pPr>
        <w:pStyle w:val="BodyText"/>
        <w:spacing w:before="9"/>
        <w:rPr>
          <w:sz w:val="14"/>
        </w:rPr>
      </w:pPr>
    </w:p>
    <w:p>
      <w:pPr>
        <w:pStyle w:val="ListParagraph"/>
        <w:numPr>
          <w:ilvl w:val="0"/>
          <w:numId w:val="48"/>
        </w:numPr>
        <w:tabs>
          <w:tab w:pos="932" w:val="left" w:leader="none"/>
        </w:tabs>
        <w:spacing w:line="240" w:lineRule="auto" w:before="100" w:after="0"/>
        <w:ind w:left="931" w:right="0" w:hanging="151"/>
        <w:jc w:val="left"/>
        <w:rPr>
          <w:sz w:val="18"/>
        </w:rPr>
      </w:pPr>
      <w:r>
        <w:rPr/>
        <w:drawing>
          <wp:anchor distT="0" distB="0" distL="0" distR="0" allowOverlap="1" layoutInCell="1" locked="0" behindDoc="0" simplePos="0" relativeHeight="15790080">
            <wp:simplePos x="0" y="0"/>
            <wp:positionH relativeFrom="page">
              <wp:posOffset>652565</wp:posOffset>
            </wp:positionH>
            <wp:positionV relativeFrom="paragraph">
              <wp:posOffset>108350</wp:posOffset>
            </wp:positionV>
            <wp:extent cx="58380" cy="72151"/>
            <wp:effectExtent l="0" t="0" r="0" b="0"/>
            <wp:wrapNone/>
            <wp:docPr id="519" name="image13.png"/>
            <wp:cNvGraphicFramePr>
              <a:graphicFrameLocks noChangeAspect="1"/>
            </wp:cNvGraphicFramePr>
            <a:graphic>
              <a:graphicData uri="http://schemas.openxmlformats.org/drawingml/2006/picture">
                <pic:pic>
                  <pic:nvPicPr>
                    <pic:cNvPr id="52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GP</w:t>
      </w:r>
    </w:p>
    <w:p>
      <w:pPr>
        <w:pStyle w:val="ListParagraph"/>
        <w:numPr>
          <w:ilvl w:val="0"/>
          <w:numId w:val="48"/>
        </w:numPr>
        <w:tabs>
          <w:tab w:pos="932" w:val="left" w:leader="none"/>
        </w:tabs>
        <w:spacing w:line="240" w:lineRule="auto" w:before="1" w:after="0"/>
        <w:ind w:left="781" w:right="6880" w:firstLine="0"/>
        <w:jc w:val="left"/>
        <w:rPr>
          <w:sz w:val="18"/>
        </w:rPr>
      </w:pPr>
      <w:r>
        <w:rPr/>
        <w:drawing>
          <wp:anchor distT="0" distB="0" distL="0" distR="0" allowOverlap="1" layoutInCell="1" locked="0" behindDoc="0" simplePos="0" relativeHeight="15790592">
            <wp:simplePos x="0" y="0"/>
            <wp:positionH relativeFrom="page">
              <wp:posOffset>652565</wp:posOffset>
            </wp:positionH>
            <wp:positionV relativeFrom="paragraph">
              <wp:posOffset>45484</wp:posOffset>
            </wp:positionV>
            <wp:extent cx="58380" cy="72151"/>
            <wp:effectExtent l="0" t="0" r="0" b="0"/>
            <wp:wrapNone/>
            <wp:docPr id="521" name="image13.png"/>
            <wp:cNvGraphicFramePr>
              <a:graphicFrameLocks noChangeAspect="1"/>
            </wp:cNvGraphicFramePr>
            <a:graphic>
              <a:graphicData uri="http://schemas.openxmlformats.org/drawingml/2006/picture">
                <pic:pic>
                  <pic:nvPicPr>
                    <pic:cNvPr id="522"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791104">
            <wp:simplePos x="0" y="0"/>
            <wp:positionH relativeFrom="page">
              <wp:posOffset>652565</wp:posOffset>
            </wp:positionH>
            <wp:positionV relativeFrom="paragraph">
              <wp:posOffset>185691</wp:posOffset>
            </wp:positionV>
            <wp:extent cx="58380" cy="72153"/>
            <wp:effectExtent l="0" t="0" r="0" b="0"/>
            <wp:wrapNone/>
            <wp:docPr id="523" name="image13.png"/>
            <wp:cNvGraphicFramePr>
              <a:graphicFrameLocks noChangeAspect="1"/>
            </wp:cNvGraphicFramePr>
            <a:graphic>
              <a:graphicData uri="http://schemas.openxmlformats.org/drawingml/2006/picture">
                <pic:pic>
                  <pic:nvPicPr>
                    <pic:cNvPr id="524" name="image13.png"/>
                    <pic:cNvPicPr/>
                  </pic:nvPicPr>
                  <pic:blipFill>
                    <a:blip r:embed="rId41" cstate="print"/>
                    <a:stretch>
                      <a:fillRect/>
                    </a:stretch>
                  </pic:blipFill>
                  <pic:spPr>
                    <a:xfrm>
                      <a:off x="0" y="0"/>
                      <a:ext cx="58380" cy="72153"/>
                    </a:xfrm>
                    <a:prstGeom prst="rect">
                      <a:avLst/>
                    </a:prstGeom>
                  </pic:spPr>
                </pic:pic>
              </a:graphicData>
            </a:graphic>
          </wp:anchor>
        </w:drawing>
      </w:r>
      <w:r>
        <w:rPr>
          <w:sz w:val="18"/>
        </w:rPr>
        <w:t>Nurse practitioner/remote area nurse</w:t>
      </w:r>
      <w:r>
        <w:rPr>
          <w:spacing w:val="-47"/>
          <w:sz w:val="18"/>
        </w:rPr>
        <w:t> </w:t>
      </w:r>
      <w:r>
        <w:rPr>
          <w:sz w:val="18"/>
        </w:rPr>
        <w:t>3</w:t>
      </w:r>
      <w:r>
        <w:rPr>
          <w:spacing w:val="-1"/>
          <w:sz w:val="18"/>
        </w:rPr>
        <w:t> </w:t>
      </w:r>
      <w:r>
        <w:rPr>
          <w:sz w:val="18"/>
        </w:rPr>
        <w:t>Practice</w:t>
      </w:r>
      <w:r>
        <w:rPr>
          <w:spacing w:val="-2"/>
          <w:sz w:val="18"/>
        </w:rPr>
        <w:t> </w:t>
      </w:r>
      <w:r>
        <w:rPr>
          <w:sz w:val="18"/>
        </w:rPr>
        <w:t>nurse</w:t>
      </w:r>
    </w:p>
    <w:p>
      <w:pPr>
        <w:pStyle w:val="ListParagraph"/>
        <w:numPr>
          <w:ilvl w:val="0"/>
          <w:numId w:val="49"/>
        </w:numPr>
        <w:tabs>
          <w:tab w:pos="932" w:val="left" w:leader="none"/>
        </w:tabs>
        <w:spacing w:line="240" w:lineRule="auto" w:before="0" w:after="0"/>
        <w:ind w:left="931" w:right="0" w:hanging="151"/>
        <w:jc w:val="left"/>
        <w:rPr>
          <w:sz w:val="18"/>
        </w:rPr>
      </w:pPr>
      <w:r>
        <w:rPr/>
        <w:drawing>
          <wp:anchor distT="0" distB="0" distL="0" distR="0" allowOverlap="1" layoutInCell="1" locked="0" behindDoc="0" simplePos="0" relativeHeight="15791616">
            <wp:simplePos x="0" y="0"/>
            <wp:positionH relativeFrom="page">
              <wp:posOffset>652565</wp:posOffset>
            </wp:positionH>
            <wp:positionV relativeFrom="paragraph">
              <wp:posOffset>44656</wp:posOffset>
            </wp:positionV>
            <wp:extent cx="58380" cy="73869"/>
            <wp:effectExtent l="0" t="0" r="0" b="0"/>
            <wp:wrapNone/>
            <wp:docPr id="525" name="image14.png"/>
            <wp:cNvGraphicFramePr>
              <a:graphicFrameLocks noChangeAspect="1"/>
            </wp:cNvGraphicFramePr>
            <a:graphic>
              <a:graphicData uri="http://schemas.openxmlformats.org/drawingml/2006/picture">
                <pic:pic>
                  <pic:nvPicPr>
                    <pic:cNvPr id="526"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Other</w:t>
      </w:r>
    </w:p>
    <w:p>
      <w:pPr>
        <w:pStyle w:val="ListParagraph"/>
        <w:numPr>
          <w:ilvl w:val="0"/>
          <w:numId w:val="49"/>
        </w:numPr>
        <w:tabs>
          <w:tab w:pos="932" w:val="left" w:leader="none"/>
        </w:tabs>
        <w:spacing w:line="240" w:lineRule="auto" w:before="0" w:after="0"/>
        <w:ind w:left="931" w:right="0" w:hanging="151"/>
        <w:jc w:val="left"/>
        <w:rPr>
          <w:sz w:val="18"/>
        </w:rPr>
      </w:pPr>
      <w:r>
        <w:rPr/>
        <w:drawing>
          <wp:anchor distT="0" distB="0" distL="0" distR="0" allowOverlap="1" layoutInCell="1" locked="0" behindDoc="0" simplePos="0" relativeHeight="15792128">
            <wp:simplePos x="0" y="0"/>
            <wp:positionH relativeFrom="page">
              <wp:posOffset>652565</wp:posOffset>
            </wp:positionH>
            <wp:positionV relativeFrom="paragraph">
              <wp:posOffset>44849</wp:posOffset>
            </wp:positionV>
            <wp:extent cx="58380" cy="72151"/>
            <wp:effectExtent l="0" t="0" r="0" b="0"/>
            <wp:wrapNone/>
            <wp:docPr id="527" name="image13.png"/>
            <wp:cNvGraphicFramePr>
              <a:graphicFrameLocks noChangeAspect="1"/>
            </wp:cNvGraphicFramePr>
            <a:graphic>
              <a:graphicData uri="http://schemas.openxmlformats.org/drawingml/2006/picture">
                <pic:pic>
                  <pic:nvPicPr>
                    <pic:cNvPr id="52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Combination</w:t>
      </w:r>
    </w:p>
    <w:p>
      <w:pPr>
        <w:pStyle w:val="BodyText"/>
        <w:spacing w:before="9"/>
        <w:rPr>
          <w:sz w:val="14"/>
        </w:rPr>
      </w:pPr>
    </w:p>
    <w:p>
      <w:pPr>
        <w:pStyle w:val="ListParagraph"/>
        <w:numPr>
          <w:ilvl w:val="0"/>
          <w:numId w:val="43"/>
        </w:numPr>
        <w:tabs>
          <w:tab w:pos="424" w:val="left" w:leader="none"/>
        </w:tabs>
        <w:spacing w:line="240" w:lineRule="auto" w:before="100" w:after="0"/>
        <w:ind w:left="423" w:right="0" w:hanging="284"/>
        <w:jc w:val="left"/>
        <w:rPr>
          <w:sz w:val="18"/>
        </w:rPr>
      </w:pPr>
      <w:r>
        <w:rPr>
          <w:sz w:val="18"/>
        </w:rPr>
        <w:t>In</w:t>
      </w:r>
      <w:r>
        <w:rPr>
          <w:spacing w:val="-4"/>
          <w:sz w:val="18"/>
        </w:rPr>
        <w:t> </w:t>
      </w:r>
      <w:r>
        <w:rPr>
          <w:sz w:val="18"/>
        </w:rPr>
        <w:t>your</w:t>
      </w:r>
      <w:r>
        <w:rPr>
          <w:spacing w:val="-2"/>
          <w:sz w:val="18"/>
        </w:rPr>
        <w:t> </w:t>
      </w:r>
      <w:r>
        <w:rPr>
          <w:sz w:val="18"/>
        </w:rPr>
        <w:t>assessment,</w:t>
      </w:r>
      <w:r>
        <w:rPr>
          <w:spacing w:val="-3"/>
          <w:sz w:val="18"/>
        </w:rPr>
        <w:t> </w:t>
      </w:r>
      <w:r>
        <w:rPr>
          <w:sz w:val="18"/>
        </w:rPr>
        <w:t>did</w:t>
      </w:r>
      <w:r>
        <w:rPr>
          <w:spacing w:val="-3"/>
          <w:sz w:val="18"/>
        </w:rPr>
        <w:t> </w:t>
      </w:r>
      <w:r>
        <w:rPr>
          <w:sz w:val="18"/>
        </w:rPr>
        <w:t>patients</w:t>
      </w:r>
      <w:r>
        <w:rPr>
          <w:spacing w:val="-2"/>
          <w:sz w:val="18"/>
        </w:rPr>
        <w:t> </w:t>
      </w:r>
      <w:r>
        <w:rPr>
          <w:sz w:val="18"/>
        </w:rPr>
        <w:t>mostly</w:t>
      </w:r>
      <w:r>
        <w:rPr>
          <w:spacing w:val="-3"/>
          <w:sz w:val="18"/>
        </w:rPr>
        <w:t> </w:t>
      </w:r>
      <w:r>
        <w:rPr>
          <w:sz w:val="18"/>
        </w:rPr>
        <w:t>end</w:t>
      </w:r>
      <w:r>
        <w:rPr>
          <w:spacing w:val="-2"/>
          <w:sz w:val="18"/>
        </w:rPr>
        <w:t> </w:t>
      </w:r>
      <w:r>
        <w:rPr>
          <w:sz w:val="18"/>
        </w:rPr>
        <w:t>up</w:t>
      </w:r>
      <w:r>
        <w:rPr>
          <w:spacing w:val="-3"/>
          <w:sz w:val="18"/>
        </w:rPr>
        <w:t> </w:t>
      </w:r>
      <w:r>
        <w:rPr>
          <w:sz w:val="18"/>
        </w:rPr>
        <w:t>in</w:t>
      </w:r>
      <w:r>
        <w:rPr>
          <w:spacing w:val="-3"/>
          <w:sz w:val="18"/>
        </w:rPr>
        <w:t> </w:t>
      </w:r>
      <w:r>
        <w:rPr>
          <w:sz w:val="18"/>
        </w:rPr>
        <w:t>the</w:t>
      </w:r>
      <w:r>
        <w:rPr>
          <w:spacing w:val="-2"/>
          <w:sz w:val="18"/>
        </w:rPr>
        <w:t> </w:t>
      </w:r>
      <w:r>
        <w:rPr>
          <w:sz w:val="18"/>
        </w:rPr>
        <w:t>right</w:t>
      </w:r>
      <w:r>
        <w:rPr>
          <w:spacing w:val="-3"/>
          <w:sz w:val="18"/>
        </w:rPr>
        <w:t> </w:t>
      </w:r>
      <w:r>
        <w:rPr>
          <w:sz w:val="18"/>
        </w:rPr>
        <w:t>HCH</w:t>
      </w:r>
      <w:r>
        <w:rPr>
          <w:spacing w:val="-3"/>
          <w:sz w:val="18"/>
        </w:rPr>
        <w:t> </w:t>
      </w:r>
      <w:r>
        <w:rPr>
          <w:sz w:val="18"/>
        </w:rPr>
        <w:t>Tier?</w:t>
      </w:r>
    </w:p>
    <w:p>
      <w:pPr>
        <w:pStyle w:val="BodyText"/>
        <w:spacing w:before="7"/>
        <w:rPr>
          <w:sz w:val="14"/>
        </w:rPr>
      </w:pPr>
    </w:p>
    <w:p>
      <w:pPr>
        <w:pStyle w:val="ListParagraph"/>
        <w:numPr>
          <w:ilvl w:val="0"/>
          <w:numId w:val="50"/>
        </w:numPr>
        <w:tabs>
          <w:tab w:pos="933" w:val="left" w:leader="none"/>
        </w:tabs>
        <w:spacing w:line="240" w:lineRule="auto" w:before="101" w:after="0"/>
        <w:ind w:left="932" w:right="0" w:hanging="152"/>
        <w:jc w:val="left"/>
        <w:rPr>
          <w:sz w:val="18"/>
        </w:rPr>
      </w:pPr>
      <w:r>
        <w:rPr/>
        <w:drawing>
          <wp:anchor distT="0" distB="0" distL="0" distR="0" allowOverlap="1" layoutInCell="1" locked="0" behindDoc="0" simplePos="0" relativeHeight="15792640">
            <wp:simplePos x="0" y="0"/>
            <wp:positionH relativeFrom="page">
              <wp:posOffset>652565</wp:posOffset>
            </wp:positionH>
            <wp:positionV relativeFrom="paragraph">
              <wp:posOffset>108603</wp:posOffset>
            </wp:positionV>
            <wp:extent cx="58380" cy="72151"/>
            <wp:effectExtent l="0" t="0" r="0" b="0"/>
            <wp:wrapNone/>
            <wp:docPr id="529" name="image13.png"/>
            <wp:cNvGraphicFramePr>
              <a:graphicFrameLocks noChangeAspect="1"/>
            </wp:cNvGraphicFramePr>
            <a:graphic>
              <a:graphicData uri="http://schemas.openxmlformats.org/drawingml/2006/picture">
                <pic:pic>
                  <pic:nvPicPr>
                    <pic:cNvPr id="53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Yes</w:t>
      </w:r>
    </w:p>
    <w:p>
      <w:pPr>
        <w:pStyle w:val="ListParagraph"/>
        <w:numPr>
          <w:ilvl w:val="0"/>
          <w:numId w:val="50"/>
        </w:numPr>
        <w:tabs>
          <w:tab w:pos="932" w:val="left" w:leader="none"/>
        </w:tabs>
        <w:spacing w:line="240" w:lineRule="auto" w:before="0" w:after="0"/>
        <w:ind w:left="931" w:right="0" w:hanging="151"/>
        <w:jc w:val="left"/>
        <w:rPr>
          <w:sz w:val="18"/>
        </w:rPr>
      </w:pPr>
      <w:r>
        <w:rPr/>
        <w:drawing>
          <wp:anchor distT="0" distB="0" distL="0" distR="0" allowOverlap="1" layoutInCell="1" locked="0" behindDoc="0" simplePos="0" relativeHeight="15793152">
            <wp:simplePos x="0" y="0"/>
            <wp:positionH relativeFrom="page">
              <wp:posOffset>652565</wp:posOffset>
            </wp:positionH>
            <wp:positionV relativeFrom="paragraph">
              <wp:posOffset>44468</wp:posOffset>
            </wp:positionV>
            <wp:extent cx="58380" cy="72151"/>
            <wp:effectExtent l="0" t="0" r="0" b="0"/>
            <wp:wrapNone/>
            <wp:docPr id="531" name="image13.png"/>
            <wp:cNvGraphicFramePr>
              <a:graphicFrameLocks noChangeAspect="1"/>
            </wp:cNvGraphicFramePr>
            <a:graphic>
              <a:graphicData uri="http://schemas.openxmlformats.org/drawingml/2006/picture">
                <pic:pic>
                  <pic:nvPicPr>
                    <pic:cNvPr id="53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w:t>
      </w:r>
      <w:r>
        <w:rPr>
          <w:spacing w:val="-4"/>
          <w:sz w:val="18"/>
        </w:rPr>
        <w:t> </w:t>
      </w:r>
      <w:r>
        <w:rPr>
          <w:sz w:val="18"/>
        </w:rPr>
        <w:t>Can</w:t>
      </w:r>
      <w:r>
        <w:rPr>
          <w:spacing w:val="-2"/>
          <w:sz w:val="18"/>
        </w:rPr>
        <w:t> </w:t>
      </w:r>
      <w:r>
        <w:rPr>
          <w:sz w:val="18"/>
        </w:rPr>
        <w:t>you</w:t>
      </w:r>
      <w:r>
        <w:rPr>
          <w:spacing w:val="-1"/>
          <w:sz w:val="18"/>
        </w:rPr>
        <w:t> </w:t>
      </w:r>
      <w:r>
        <w:rPr>
          <w:sz w:val="18"/>
        </w:rPr>
        <w:t>describe</w:t>
      </w:r>
      <w:r>
        <w:rPr>
          <w:spacing w:val="-2"/>
          <w:sz w:val="18"/>
        </w:rPr>
        <w:t> </w:t>
      </w:r>
      <w:r>
        <w:rPr>
          <w:sz w:val="18"/>
        </w:rPr>
        <w:t>why</w:t>
      </w:r>
      <w:r>
        <w:rPr>
          <w:spacing w:val="-2"/>
          <w:sz w:val="18"/>
        </w:rPr>
        <w:t> </w:t>
      </w:r>
      <w:r>
        <w:rPr>
          <w:sz w:val="18"/>
        </w:rPr>
        <w:t>you</w:t>
      </w:r>
      <w:r>
        <w:rPr>
          <w:spacing w:val="-2"/>
          <w:sz w:val="18"/>
        </w:rPr>
        <w:t> </w:t>
      </w:r>
      <w:r>
        <w:rPr>
          <w:sz w:val="18"/>
        </w:rPr>
        <w:t>believe</w:t>
      </w:r>
      <w:r>
        <w:rPr>
          <w:spacing w:val="-2"/>
          <w:sz w:val="18"/>
        </w:rPr>
        <w:t> </w:t>
      </w:r>
      <w:r>
        <w:rPr>
          <w:sz w:val="18"/>
        </w:rPr>
        <w:t>patients</w:t>
      </w:r>
      <w:r>
        <w:rPr>
          <w:spacing w:val="-2"/>
          <w:sz w:val="18"/>
        </w:rPr>
        <w:t> </w:t>
      </w:r>
      <w:r>
        <w:rPr>
          <w:sz w:val="18"/>
        </w:rPr>
        <w:t>didn't</w:t>
      </w:r>
      <w:r>
        <w:rPr>
          <w:spacing w:val="-3"/>
          <w:sz w:val="18"/>
        </w:rPr>
        <w:t> </w:t>
      </w:r>
      <w:r>
        <w:rPr>
          <w:sz w:val="18"/>
        </w:rPr>
        <w:t>end</w:t>
      </w:r>
      <w:r>
        <w:rPr>
          <w:spacing w:val="-2"/>
          <w:sz w:val="18"/>
        </w:rPr>
        <w:t> </w:t>
      </w:r>
      <w:r>
        <w:rPr>
          <w:sz w:val="18"/>
        </w:rPr>
        <w:t>up</w:t>
      </w:r>
      <w:r>
        <w:rPr>
          <w:spacing w:val="-5"/>
          <w:sz w:val="18"/>
        </w:rPr>
        <w:t> </w:t>
      </w:r>
      <w:r>
        <w:rPr>
          <w:sz w:val="18"/>
        </w:rPr>
        <w:t>in</w:t>
      </w:r>
      <w:r>
        <w:rPr>
          <w:spacing w:val="-3"/>
          <w:sz w:val="18"/>
        </w:rPr>
        <w:t> </w:t>
      </w:r>
      <w:r>
        <w:rPr>
          <w:sz w:val="18"/>
        </w:rPr>
        <w:t>the</w:t>
      </w:r>
      <w:r>
        <w:rPr>
          <w:spacing w:val="-2"/>
          <w:sz w:val="18"/>
        </w:rPr>
        <w:t> </w:t>
      </w:r>
      <w:r>
        <w:rPr>
          <w:sz w:val="18"/>
        </w:rPr>
        <w:t>right</w:t>
      </w:r>
      <w:r>
        <w:rPr>
          <w:spacing w:val="-4"/>
          <w:sz w:val="18"/>
        </w:rPr>
        <w:t> </w:t>
      </w:r>
      <w:r>
        <w:rPr>
          <w:sz w:val="18"/>
        </w:rPr>
        <w:t>Tier?</w:t>
      </w:r>
    </w:p>
    <w:p>
      <w:pPr>
        <w:pStyle w:val="BodyText"/>
      </w:pPr>
    </w:p>
    <w:p>
      <w:pPr>
        <w:pStyle w:val="BodyText"/>
        <w:spacing w:before="6"/>
        <w:rPr>
          <w:sz w:val="25"/>
        </w:rPr>
      </w:pPr>
      <w:r>
        <w:rPr/>
        <w:pict>
          <v:rect style="position:absolute;margin-left:34.560001pt;margin-top:16.835411pt;width:526.3pt;height:.47998pt;mso-position-horizontal-relative:page;mso-position-vertical-relative:paragraph;z-index:-15669760;mso-wrap-distance-left:0;mso-wrap-distance-right:0" id="docshape142" filled="true" fillcolor="#d9d9d9" stroked="false">
            <v:fill type="solid"/>
            <w10:wrap type="topAndBottom"/>
          </v:rect>
        </w:pict>
      </w:r>
    </w:p>
    <w:p>
      <w:pPr>
        <w:pStyle w:val="BodyText"/>
        <w:spacing w:before="2"/>
        <w:rPr>
          <w:sz w:val="8"/>
        </w:rPr>
      </w:pPr>
    </w:p>
    <w:p>
      <w:pPr>
        <w:pStyle w:val="ListParagraph"/>
        <w:numPr>
          <w:ilvl w:val="0"/>
          <w:numId w:val="43"/>
        </w:numPr>
        <w:tabs>
          <w:tab w:pos="424" w:val="left" w:leader="none"/>
        </w:tabs>
        <w:spacing w:line="240" w:lineRule="auto" w:before="100" w:after="0"/>
        <w:ind w:left="423" w:right="0" w:hanging="284"/>
        <w:jc w:val="left"/>
        <w:rPr>
          <w:sz w:val="18"/>
        </w:rPr>
      </w:pPr>
      <w:r>
        <w:rPr>
          <w:sz w:val="18"/>
        </w:rPr>
        <w:t>Other</w:t>
      </w:r>
      <w:r>
        <w:rPr>
          <w:spacing w:val="-2"/>
          <w:sz w:val="18"/>
        </w:rPr>
        <w:t> </w:t>
      </w:r>
      <w:r>
        <w:rPr>
          <w:sz w:val="18"/>
        </w:rPr>
        <w:t>than</w:t>
      </w:r>
      <w:r>
        <w:rPr>
          <w:spacing w:val="-2"/>
          <w:sz w:val="18"/>
        </w:rPr>
        <w:t> </w:t>
      </w:r>
      <w:r>
        <w:rPr>
          <w:sz w:val="18"/>
        </w:rPr>
        <w:t>assigning</w:t>
      </w:r>
      <w:r>
        <w:rPr>
          <w:spacing w:val="-4"/>
          <w:sz w:val="18"/>
        </w:rPr>
        <w:t> </w:t>
      </w:r>
      <w:r>
        <w:rPr>
          <w:sz w:val="18"/>
        </w:rPr>
        <w:t>patients</w:t>
      </w:r>
      <w:r>
        <w:rPr>
          <w:spacing w:val="-2"/>
          <w:sz w:val="18"/>
        </w:rPr>
        <w:t> </w:t>
      </w:r>
      <w:r>
        <w:rPr>
          <w:sz w:val="18"/>
        </w:rPr>
        <w:t>to</w:t>
      </w:r>
      <w:r>
        <w:rPr>
          <w:spacing w:val="-2"/>
          <w:sz w:val="18"/>
        </w:rPr>
        <w:t> </w:t>
      </w:r>
      <w:r>
        <w:rPr>
          <w:sz w:val="18"/>
        </w:rPr>
        <w:t>a</w:t>
      </w:r>
      <w:r>
        <w:rPr>
          <w:spacing w:val="-3"/>
          <w:sz w:val="18"/>
        </w:rPr>
        <w:t> </w:t>
      </w:r>
      <w:r>
        <w:rPr>
          <w:sz w:val="18"/>
        </w:rPr>
        <w:t>HCH</w:t>
      </w:r>
      <w:r>
        <w:rPr>
          <w:spacing w:val="-1"/>
          <w:sz w:val="18"/>
        </w:rPr>
        <w:t> </w:t>
      </w:r>
      <w:r>
        <w:rPr>
          <w:sz w:val="18"/>
        </w:rPr>
        <w:t>Tier,</w:t>
      </w:r>
      <w:r>
        <w:rPr>
          <w:spacing w:val="-3"/>
          <w:sz w:val="18"/>
        </w:rPr>
        <w:t> </w:t>
      </w:r>
      <w:r>
        <w:rPr>
          <w:sz w:val="18"/>
        </w:rPr>
        <w:t>how</w:t>
      </w:r>
      <w:r>
        <w:rPr>
          <w:spacing w:val="-4"/>
          <w:sz w:val="18"/>
        </w:rPr>
        <w:t> </w:t>
      </w:r>
      <w:r>
        <w:rPr>
          <w:sz w:val="18"/>
        </w:rPr>
        <w:t>useful</w:t>
      </w:r>
      <w:r>
        <w:rPr>
          <w:spacing w:val="-4"/>
          <w:sz w:val="18"/>
        </w:rPr>
        <w:t> </w:t>
      </w:r>
      <w:r>
        <w:rPr>
          <w:sz w:val="18"/>
        </w:rPr>
        <w:t>was</w:t>
      </w:r>
      <w:r>
        <w:rPr>
          <w:spacing w:val="-3"/>
          <w:sz w:val="18"/>
        </w:rPr>
        <w:t> </w:t>
      </w:r>
      <w:r>
        <w:rPr>
          <w:sz w:val="18"/>
        </w:rPr>
        <w:t>the</w:t>
      </w:r>
      <w:r>
        <w:rPr>
          <w:spacing w:val="-1"/>
          <w:sz w:val="18"/>
        </w:rPr>
        <w:t> </w:t>
      </w:r>
      <w:r>
        <w:rPr>
          <w:sz w:val="18"/>
        </w:rPr>
        <w:t>HARP</w:t>
      </w:r>
      <w:r>
        <w:rPr>
          <w:spacing w:val="-3"/>
          <w:sz w:val="18"/>
        </w:rPr>
        <w:t> </w:t>
      </w:r>
      <w:r>
        <w:rPr>
          <w:sz w:val="18"/>
        </w:rPr>
        <w:t>tool</w:t>
      </w:r>
      <w:r>
        <w:rPr>
          <w:spacing w:val="-2"/>
          <w:sz w:val="18"/>
        </w:rPr>
        <w:t> </w:t>
      </w:r>
      <w:r>
        <w:rPr>
          <w:sz w:val="18"/>
        </w:rPr>
        <w:t>for</w:t>
      </w:r>
      <w:r>
        <w:rPr>
          <w:spacing w:val="-2"/>
          <w:sz w:val="18"/>
        </w:rPr>
        <w:t> </w:t>
      </w:r>
      <w:r>
        <w:rPr>
          <w:sz w:val="18"/>
        </w:rPr>
        <w:t>assessing</w:t>
      </w:r>
      <w:r>
        <w:rPr>
          <w:spacing w:val="-3"/>
          <w:sz w:val="18"/>
        </w:rPr>
        <w:t> </w:t>
      </w:r>
      <w:r>
        <w:rPr>
          <w:sz w:val="18"/>
        </w:rPr>
        <w:t>the</w:t>
      </w:r>
      <w:r>
        <w:rPr>
          <w:spacing w:val="-1"/>
          <w:sz w:val="18"/>
        </w:rPr>
        <w:t> </w:t>
      </w:r>
      <w:r>
        <w:rPr>
          <w:sz w:val="18"/>
        </w:rPr>
        <w:t>care</w:t>
      </w:r>
      <w:r>
        <w:rPr>
          <w:spacing w:val="-3"/>
          <w:sz w:val="18"/>
        </w:rPr>
        <w:t> </w:t>
      </w:r>
      <w:r>
        <w:rPr>
          <w:sz w:val="18"/>
        </w:rPr>
        <w:t>needs</w:t>
      </w:r>
      <w:r>
        <w:rPr>
          <w:spacing w:val="-3"/>
          <w:sz w:val="18"/>
        </w:rPr>
        <w:t> </w:t>
      </w:r>
      <w:r>
        <w:rPr>
          <w:sz w:val="18"/>
        </w:rPr>
        <w:t>of</w:t>
      </w:r>
      <w:r>
        <w:rPr>
          <w:spacing w:val="-3"/>
          <w:sz w:val="18"/>
        </w:rPr>
        <w:t> </w:t>
      </w:r>
      <w:r>
        <w:rPr>
          <w:sz w:val="18"/>
        </w:rPr>
        <w:t>patients?</w:t>
      </w:r>
    </w:p>
    <w:p>
      <w:pPr>
        <w:pStyle w:val="BodyText"/>
        <w:spacing w:before="9"/>
        <w:rPr>
          <w:sz w:val="14"/>
        </w:rPr>
      </w:pPr>
    </w:p>
    <w:p>
      <w:pPr>
        <w:pStyle w:val="ListParagraph"/>
        <w:numPr>
          <w:ilvl w:val="0"/>
          <w:numId w:val="51"/>
        </w:numPr>
        <w:tabs>
          <w:tab w:pos="932" w:val="left" w:leader="none"/>
        </w:tabs>
        <w:spacing w:line="240" w:lineRule="auto" w:before="100" w:after="0"/>
        <w:ind w:left="931" w:right="0" w:hanging="151"/>
        <w:jc w:val="left"/>
        <w:rPr>
          <w:sz w:val="18"/>
        </w:rPr>
      </w:pPr>
      <w:r>
        <w:rPr/>
        <w:drawing>
          <wp:anchor distT="0" distB="0" distL="0" distR="0" allowOverlap="1" layoutInCell="1" locked="0" behindDoc="0" simplePos="0" relativeHeight="15793664">
            <wp:simplePos x="0" y="0"/>
            <wp:positionH relativeFrom="page">
              <wp:posOffset>652565</wp:posOffset>
            </wp:positionH>
            <wp:positionV relativeFrom="paragraph">
              <wp:posOffset>107968</wp:posOffset>
            </wp:positionV>
            <wp:extent cx="58380" cy="72151"/>
            <wp:effectExtent l="0" t="0" r="0" b="0"/>
            <wp:wrapNone/>
            <wp:docPr id="533" name="image13.png"/>
            <wp:cNvGraphicFramePr>
              <a:graphicFrameLocks noChangeAspect="1"/>
            </wp:cNvGraphicFramePr>
            <a:graphic>
              <a:graphicData uri="http://schemas.openxmlformats.org/drawingml/2006/picture">
                <pic:pic>
                  <pic:nvPicPr>
                    <pic:cNvPr id="53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Very</w:t>
      </w:r>
      <w:r>
        <w:rPr>
          <w:spacing w:val="-4"/>
          <w:sz w:val="18"/>
        </w:rPr>
        <w:t> </w:t>
      </w:r>
      <w:r>
        <w:rPr>
          <w:sz w:val="18"/>
        </w:rPr>
        <w:t>useful</w:t>
      </w:r>
    </w:p>
    <w:p>
      <w:pPr>
        <w:pStyle w:val="ListParagraph"/>
        <w:numPr>
          <w:ilvl w:val="0"/>
          <w:numId w:val="51"/>
        </w:numPr>
        <w:tabs>
          <w:tab w:pos="933" w:val="left" w:leader="none"/>
        </w:tabs>
        <w:spacing w:line="240" w:lineRule="auto" w:before="1" w:after="0"/>
        <w:ind w:left="932" w:right="0" w:hanging="152"/>
        <w:jc w:val="left"/>
        <w:rPr>
          <w:sz w:val="18"/>
        </w:rPr>
      </w:pPr>
      <w:r>
        <w:rPr/>
        <w:drawing>
          <wp:anchor distT="0" distB="0" distL="0" distR="0" allowOverlap="1" layoutInCell="1" locked="0" behindDoc="0" simplePos="0" relativeHeight="15794176">
            <wp:simplePos x="0" y="0"/>
            <wp:positionH relativeFrom="page">
              <wp:posOffset>652565</wp:posOffset>
            </wp:positionH>
            <wp:positionV relativeFrom="paragraph">
              <wp:posOffset>45103</wp:posOffset>
            </wp:positionV>
            <wp:extent cx="58380" cy="72151"/>
            <wp:effectExtent l="0" t="0" r="0" b="0"/>
            <wp:wrapNone/>
            <wp:docPr id="535" name="image13.png"/>
            <wp:cNvGraphicFramePr>
              <a:graphicFrameLocks noChangeAspect="1"/>
            </wp:cNvGraphicFramePr>
            <a:graphic>
              <a:graphicData uri="http://schemas.openxmlformats.org/drawingml/2006/picture">
                <pic:pic>
                  <pic:nvPicPr>
                    <pic:cNvPr id="53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Moderately</w:t>
      </w:r>
      <w:r>
        <w:rPr>
          <w:spacing w:val="-6"/>
          <w:sz w:val="18"/>
        </w:rPr>
        <w:t> </w:t>
      </w:r>
      <w:r>
        <w:rPr>
          <w:sz w:val="18"/>
        </w:rPr>
        <w:t>useful</w:t>
      </w:r>
    </w:p>
    <w:p>
      <w:pPr>
        <w:pStyle w:val="ListParagraph"/>
        <w:numPr>
          <w:ilvl w:val="0"/>
          <w:numId w:val="51"/>
        </w:numPr>
        <w:tabs>
          <w:tab w:pos="932" w:val="left" w:leader="none"/>
        </w:tabs>
        <w:spacing w:line="220" w:lineRule="exact" w:before="0" w:after="0"/>
        <w:ind w:left="931" w:right="0" w:hanging="151"/>
        <w:jc w:val="left"/>
        <w:rPr>
          <w:sz w:val="18"/>
        </w:rPr>
      </w:pPr>
      <w:r>
        <w:rPr/>
        <w:drawing>
          <wp:anchor distT="0" distB="0" distL="0" distR="0" allowOverlap="1" layoutInCell="1" locked="0" behindDoc="0" simplePos="0" relativeHeight="15794688">
            <wp:simplePos x="0" y="0"/>
            <wp:positionH relativeFrom="page">
              <wp:posOffset>652565</wp:posOffset>
            </wp:positionH>
            <wp:positionV relativeFrom="paragraph">
              <wp:posOffset>44469</wp:posOffset>
            </wp:positionV>
            <wp:extent cx="58380" cy="72151"/>
            <wp:effectExtent l="0" t="0" r="0" b="0"/>
            <wp:wrapNone/>
            <wp:docPr id="537" name="image13.png"/>
            <wp:cNvGraphicFramePr>
              <a:graphicFrameLocks noChangeAspect="1"/>
            </wp:cNvGraphicFramePr>
            <a:graphic>
              <a:graphicData uri="http://schemas.openxmlformats.org/drawingml/2006/picture">
                <pic:pic>
                  <pic:nvPicPr>
                    <pic:cNvPr id="53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Limited</w:t>
      </w:r>
    </w:p>
    <w:p>
      <w:pPr>
        <w:pStyle w:val="ListParagraph"/>
        <w:numPr>
          <w:ilvl w:val="0"/>
          <w:numId w:val="51"/>
        </w:numPr>
        <w:tabs>
          <w:tab w:pos="932" w:val="left" w:leader="none"/>
        </w:tabs>
        <w:spacing w:line="220" w:lineRule="exact" w:before="0" w:after="0"/>
        <w:ind w:left="931" w:right="0" w:hanging="151"/>
        <w:jc w:val="left"/>
        <w:rPr>
          <w:sz w:val="18"/>
        </w:rPr>
      </w:pPr>
      <w:r>
        <w:rPr/>
        <w:drawing>
          <wp:anchor distT="0" distB="0" distL="0" distR="0" allowOverlap="1" layoutInCell="1" locked="0" behindDoc="0" simplePos="0" relativeHeight="15795200">
            <wp:simplePos x="0" y="0"/>
            <wp:positionH relativeFrom="page">
              <wp:posOffset>652565</wp:posOffset>
            </wp:positionH>
            <wp:positionV relativeFrom="paragraph">
              <wp:posOffset>43740</wp:posOffset>
            </wp:positionV>
            <wp:extent cx="58380" cy="72151"/>
            <wp:effectExtent l="0" t="0" r="0" b="0"/>
            <wp:wrapNone/>
            <wp:docPr id="539" name="image13.png"/>
            <wp:cNvGraphicFramePr>
              <a:graphicFrameLocks noChangeAspect="1"/>
            </wp:cNvGraphicFramePr>
            <a:graphic>
              <a:graphicData uri="http://schemas.openxmlformats.org/drawingml/2006/picture">
                <pic:pic>
                  <pic:nvPicPr>
                    <pic:cNvPr id="54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Not</w:t>
      </w:r>
      <w:r>
        <w:rPr>
          <w:spacing w:val="-3"/>
          <w:sz w:val="18"/>
        </w:rPr>
        <w:t> </w:t>
      </w:r>
      <w:r>
        <w:rPr>
          <w:sz w:val="18"/>
        </w:rPr>
        <w:t>useful</w:t>
      </w:r>
    </w:p>
    <w:p>
      <w:pPr>
        <w:pStyle w:val="ListParagraph"/>
        <w:numPr>
          <w:ilvl w:val="0"/>
          <w:numId w:val="51"/>
        </w:numPr>
        <w:tabs>
          <w:tab w:pos="932" w:val="left" w:leader="none"/>
        </w:tabs>
        <w:spacing w:line="240" w:lineRule="auto" w:before="0" w:after="0"/>
        <w:ind w:left="931" w:right="0" w:hanging="151"/>
        <w:jc w:val="left"/>
        <w:rPr>
          <w:sz w:val="18"/>
        </w:rPr>
      </w:pPr>
      <w:r>
        <w:rPr/>
        <w:drawing>
          <wp:anchor distT="0" distB="0" distL="0" distR="0" allowOverlap="1" layoutInCell="1" locked="0" behindDoc="0" simplePos="0" relativeHeight="15795712">
            <wp:simplePos x="0" y="0"/>
            <wp:positionH relativeFrom="page">
              <wp:posOffset>652565</wp:posOffset>
            </wp:positionH>
            <wp:positionV relativeFrom="paragraph">
              <wp:posOffset>44468</wp:posOffset>
            </wp:positionV>
            <wp:extent cx="58380" cy="72151"/>
            <wp:effectExtent l="0" t="0" r="0" b="0"/>
            <wp:wrapNone/>
            <wp:docPr id="541" name="image13.png"/>
            <wp:cNvGraphicFramePr>
              <a:graphicFrameLocks noChangeAspect="1"/>
            </wp:cNvGraphicFramePr>
            <a:graphic>
              <a:graphicData uri="http://schemas.openxmlformats.org/drawingml/2006/picture">
                <pic:pic>
                  <pic:nvPicPr>
                    <pic:cNvPr id="54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Can’t</w:t>
      </w:r>
      <w:r>
        <w:rPr>
          <w:spacing w:val="-4"/>
          <w:sz w:val="18"/>
        </w:rPr>
        <w:t> </w:t>
      </w:r>
      <w:r>
        <w:rPr>
          <w:sz w:val="18"/>
        </w:rPr>
        <w:t>say/don’t</w:t>
      </w:r>
      <w:r>
        <w:rPr>
          <w:spacing w:val="-4"/>
          <w:sz w:val="18"/>
        </w:rPr>
        <w:t> </w:t>
      </w:r>
      <w:r>
        <w:rPr>
          <w:sz w:val="18"/>
        </w:rPr>
        <w:t>know</w:t>
      </w:r>
    </w:p>
    <w:p>
      <w:pPr>
        <w:pStyle w:val="BodyText"/>
        <w:spacing w:before="9"/>
        <w:rPr>
          <w:sz w:val="14"/>
        </w:rPr>
      </w:pPr>
    </w:p>
    <w:p>
      <w:pPr>
        <w:pStyle w:val="ListParagraph"/>
        <w:numPr>
          <w:ilvl w:val="0"/>
          <w:numId w:val="43"/>
        </w:numPr>
        <w:tabs>
          <w:tab w:pos="424" w:val="left" w:leader="none"/>
        </w:tabs>
        <w:spacing w:line="240" w:lineRule="auto" w:before="100" w:after="0"/>
        <w:ind w:left="423" w:right="806" w:hanging="284"/>
        <w:jc w:val="left"/>
        <w:rPr>
          <w:sz w:val="18"/>
        </w:rPr>
      </w:pPr>
      <w:r>
        <w:rPr>
          <w:sz w:val="18"/>
        </w:rPr>
        <w:t>Please</w:t>
      </w:r>
      <w:r>
        <w:rPr>
          <w:spacing w:val="-3"/>
          <w:sz w:val="18"/>
        </w:rPr>
        <w:t> </w:t>
      </w:r>
      <w:r>
        <w:rPr>
          <w:sz w:val="18"/>
        </w:rPr>
        <w:t>describe</w:t>
      </w:r>
      <w:r>
        <w:rPr>
          <w:spacing w:val="-2"/>
          <w:sz w:val="18"/>
        </w:rPr>
        <w:t> </w:t>
      </w:r>
      <w:r>
        <w:rPr>
          <w:sz w:val="18"/>
        </w:rPr>
        <w:t>how</w:t>
      </w:r>
      <w:r>
        <w:rPr>
          <w:spacing w:val="-4"/>
          <w:sz w:val="18"/>
        </w:rPr>
        <w:t> </w:t>
      </w:r>
      <w:r>
        <w:rPr>
          <w:sz w:val="18"/>
        </w:rPr>
        <w:t>the</w:t>
      </w:r>
      <w:r>
        <w:rPr>
          <w:spacing w:val="-2"/>
          <w:sz w:val="18"/>
        </w:rPr>
        <w:t> </w:t>
      </w:r>
      <w:r>
        <w:rPr>
          <w:sz w:val="18"/>
        </w:rPr>
        <w:t>assignment</w:t>
      </w:r>
      <w:r>
        <w:rPr>
          <w:spacing w:val="-5"/>
          <w:sz w:val="18"/>
        </w:rPr>
        <w:t> </w:t>
      </w:r>
      <w:r>
        <w:rPr>
          <w:sz w:val="18"/>
        </w:rPr>
        <w:t>to</w:t>
      </w:r>
      <w:r>
        <w:rPr>
          <w:spacing w:val="-3"/>
          <w:sz w:val="18"/>
        </w:rPr>
        <w:t> </w:t>
      </w:r>
      <w:r>
        <w:rPr>
          <w:sz w:val="18"/>
        </w:rPr>
        <w:t>Tiers</w:t>
      </w:r>
      <w:r>
        <w:rPr>
          <w:spacing w:val="-3"/>
          <w:sz w:val="18"/>
        </w:rPr>
        <w:t> </w:t>
      </w:r>
      <w:r>
        <w:rPr>
          <w:sz w:val="18"/>
        </w:rPr>
        <w:t>could</w:t>
      </w:r>
      <w:r>
        <w:rPr>
          <w:spacing w:val="-3"/>
          <w:sz w:val="18"/>
        </w:rPr>
        <w:t> </w:t>
      </w:r>
      <w:r>
        <w:rPr>
          <w:sz w:val="18"/>
        </w:rPr>
        <w:t>be</w:t>
      </w:r>
      <w:r>
        <w:rPr>
          <w:spacing w:val="-4"/>
          <w:sz w:val="18"/>
        </w:rPr>
        <w:t> </w:t>
      </w:r>
      <w:r>
        <w:rPr>
          <w:sz w:val="18"/>
        </w:rPr>
        <w:t>improved.</w:t>
      </w:r>
      <w:r>
        <w:rPr>
          <w:spacing w:val="-5"/>
          <w:sz w:val="18"/>
        </w:rPr>
        <w:t> </w:t>
      </w:r>
      <w:r>
        <w:rPr>
          <w:sz w:val="18"/>
        </w:rPr>
        <w:t>For</w:t>
      </w:r>
      <w:r>
        <w:rPr>
          <w:spacing w:val="-2"/>
          <w:sz w:val="18"/>
        </w:rPr>
        <w:t> </w:t>
      </w:r>
      <w:r>
        <w:rPr>
          <w:sz w:val="18"/>
        </w:rPr>
        <w:t>example,</w:t>
      </w:r>
      <w:r>
        <w:rPr>
          <w:spacing w:val="-4"/>
          <w:sz w:val="18"/>
        </w:rPr>
        <w:t> </w:t>
      </w:r>
      <w:r>
        <w:rPr>
          <w:sz w:val="18"/>
        </w:rPr>
        <w:t>are</w:t>
      </w:r>
      <w:r>
        <w:rPr>
          <w:spacing w:val="-2"/>
          <w:sz w:val="18"/>
        </w:rPr>
        <w:t> </w:t>
      </w:r>
      <w:r>
        <w:rPr>
          <w:sz w:val="18"/>
        </w:rPr>
        <w:t>there</w:t>
      </w:r>
      <w:r>
        <w:rPr>
          <w:spacing w:val="-2"/>
          <w:sz w:val="18"/>
        </w:rPr>
        <w:t> </w:t>
      </w:r>
      <w:r>
        <w:rPr>
          <w:sz w:val="18"/>
        </w:rPr>
        <w:t>any</w:t>
      </w:r>
      <w:r>
        <w:rPr>
          <w:spacing w:val="-4"/>
          <w:sz w:val="18"/>
        </w:rPr>
        <w:t> </w:t>
      </w:r>
      <w:r>
        <w:rPr>
          <w:sz w:val="18"/>
        </w:rPr>
        <w:t>additional</w:t>
      </w:r>
      <w:r>
        <w:rPr>
          <w:spacing w:val="-2"/>
          <w:sz w:val="18"/>
        </w:rPr>
        <w:t> </w:t>
      </w:r>
      <w:r>
        <w:rPr>
          <w:sz w:val="18"/>
        </w:rPr>
        <w:t>clinical</w:t>
      </w:r>
      <w:r>
        <w:rPr>
          <w:spacing w:val="-2"/>
          <w:sz w:val="18"/>
        </w:rPr>
        <w:t> </w:t>
      </w:r>
      <w:r>
        <w:rPr>
          <w:sz w:val="18"/>
        </w:rPr>
        <w:t>or</w:t>
      </w:r>
      <w:r>
        <w:rPr>
          <w:spacing w:val="1"/>
          <w:sz w:val="18"/>
        </w:rPr>
        <w:t> </w:t>
      </w:r>
      <w:r>
        <w:rPr>
          <w:sz w:val="18"/>
        </w:rPr>
        <w:t>psycho-social characteristics of patients or other risk factors that should be considered in the HARP tool? Should</w:t>
      </w:r>
      <w:r>
        <w:rPr>
          <w:spacing w:val="1"/>
          <w:sz w:val="18"/>
        </w:rPr>
        <w:t> </w:t>
      </w:r>
      <w:r>
        <w:rPr>
          <w:sz w:val="18"/>
        </w:rPr>
        <w:t>some</w:t>
      </w:r>
      <w:r>
        <w:rPr>
          <w:spacing w:val="-1"/>
          <w:sz w:val="18"/>
        </w:rPr>
        <w:t> </w:t>
      </w:r>
      <w:r>
        <w:rPr>
          <w:sz w:val="18"/>
        </w:rPr>
        <w:t>factors</w:t>
      </w:r>
      <w:r>
        <w:rPr>
          <w:spacing w:val="-1"/>
          <w:sz w:val="18"/>
        </w:rPr>
        <w:t> </w:t>
      </w:r>
      <w:r>
        <w:rPr>
          <w:sz w:val="18"/>
        </w:rPr>
        <w:t>that</w:t>
      </w:r>
      <w:r>
        <w:rPr>
          <w:spacing w:val="-2"/>
          <w:sz w:val="18"/>
        </w:rPr>
        <w:t> </w:t>
      </w:r>
      <w:r>
        <w:rPr>
          <w:sz w:val="18"/>
        </w:rPr>
        <w:t>the</w:t>
      </w:r>
      <w:r>
        <w:rPr>
          <w:spacing w:val="-1"/>
          <w:sz w:val="18"/>
        </w:rPr>
        <w:t> </w:t>
      </w:r>
      <w:r>
        <w:rPr>
          <w:sz w:val="18"/>
        </w:rPr>
        <w:t>HARP</w:t>
      </w:r>
      <w:r>
        <w:rPr>
          <w:spacing w:val="1"/>
          <w:sz w:val="18"/>
        </w:rPr>
        <w:t> </w:t>
      </w:r>
      <w:r>
        <w:rPr>
          <w:sz w:val="18"/>
        </w:rPr>
        <w:t>tool includes</w:t>
      </w:r>
      <w:r>
        <w:rPr>
          <w:spacing w:val="-1"/>
          <w:sz w:val="18"/>
        </w:rPr>
        <w:t> </w:t>
      </w:r>
      <w:r>
        <w:rPr>
          <w:sz w:val="18"/>
        </w:rPr>
        <w:t>be</w:t>
      </w:r>
      <w:r>
        <w:rPr>
          <w:spacing w:val="-1"/>
          <w:sz w:val="18"/>
        </w:rPr>
        <w:t> </w:t>
      </w:r>
      <w:r>
        <w:rPr>
          <w:sz w:val="18"/>
        </w:rPr>
        <w:t>downplayed?</w:t>
      </w:r>
    </w:p>
    <w:p>
      <w:pPr>
        <w:pStyle w:val="BodyText"/>
      </w:pPr>
    </w:p>
    <w:p>
      <w:pPr>
        <w:pStyle w:val="BodyText"/>
        <w:spacing w:before="1"/>
        <w:rPr>
          <w:sz w:val="19"/>
        </w:rPr>
      </w:pPr>
      <w:r>
        <w:rPr/>
        <w:pict>
          <v:rect style="position:absolute;margin-left:34.560001pt;margin-top:12.922555pt;width:526.3pt;height:.48001pt;mso-position-horizontal-relative:page;mso-position-vertical-relative:paragraph;z-index:-15669248;mso-wrap-distance-left:0;mso-wrap-distance-right:0" id="docshape143" filled="true" fillcolor="#d9d9d9" stroked="false">
            <v:fill type="solid"/>
            <w10:wrap type="topAndBottom"/>
          </v:rect>
        </w:pict>
      </w:r>
    </w:p>
    <w:p>
      <w:pPr>
        <w:pStyle w:val="BodyText"/>
        <w:spacing w:before="2"/>
        <w:rPr>
          <w:sz w:val="8"/>
        </w:rPr>
      </w:pPr>
    </w:p>
    <w:p>
      <w:pPr>
        <w:pStyle w:val="ListParagraph"/>
        <w:numPr>
          <w:ilvl w:val="0"/>
          <w:numId w:val="43"/>
        </w:numPr>
        <w:tabs>
          <w:tab w:pos="424" w:val="left" w:leader="none"/>
        </w:tabs>
        <w:spacing w:line="240" w:lineRule="auto" w:before="100" w:after="0"/>
        <w:ind w:left="423" w:right="0" w:hanging="284"/>
        <w:jc w:val="left"/>
        <w:rPr>
          <w:sz w:val="18"/>
        </w:rPr>
      </w:pPr>
      <w:r>
        <w:rPr>
          <w:sz w:val="18"/>
        </w:rPr>
        <w:t>Are</w:t>
      </w:r>
      <w:r>
        <w:rPr>
          <w:spacing w:val="-3"/>
          <w:sz w:val="18"/>
        </w:rPr>
        <w:t> </w:t>
      </w:r>
      <w:r>
        <w:rPr>
          <w:sz w:val="18"/>
        </w:rPr>
        <w:t>there</w:t>
      </w:r>
      <w:r>
        <w:rPr>
          <w:spacing w:val="-3"/>
          <w:sz w:val="18"/>
        </w:rPr>
        <w:t> </w:t>
      </w:r>
      <w:r>
        <w:rPr>
          <w:sz w:val="18"/>
        </w:rPr>
        <w:t>any</w:t>
      </w:r>
      <w:r>
        <w:rPr>
          <w:spacing w:val="-4"/>
          <w:sz w:val="18"/>
        </w:rPr>
        <w:t> </w:t>
      </w:r>
      <w:r>
        <w:rPr>
          <w:sz w:val="18"/>
        </w:rPr>
        <w:t>other</w:t>
      </w:r>
      <w:r>
        <w:rPr>
          <w:spacing w:val="-3"/>
          <w:sz w:val="18"/>
        </w:rPr>
        <w:t> </w:t>
      </w:r>
      <w:r>
        <w:rPr>
          <w:sz w:val="18"/>
        </w:rPr>
        <w:t>ways</w:t>
      </w:r>
      <w:r>
        <w:rPr>
          <w:spacing w:val="-4"/>
          <w:sz w:val="18"/>
        </w:rPr>
        <w:t> </w:t>
      </w:r>
      <w:r>
        <w:rPr>
          <w:sz w:val="18"/>
        </w:rPr>
        <w:t>in</w:t>
      </w:r>
      <w:r>
        <w:rPr>
          <w:spacing w:val="-4"/>
          <w:sz w:val="18"/>
        </w:rPr>
        <w:t> </w:t>
      </w:r>
      <w:r>
        <w:rPr>
          <w:sz w:val="18"/>
        </w:rPr>
        <w:t>which</w:t>
      </w:r>
      <w:r>
        <w:rPr>
          <w:spacing w:val="-3"/>
          <w:sz w:val="18"/>
        </w:rPr>
        <w:t> </w:t>
      </w:r>
      <w:r>
        <w:rPr>
          <w:sz w:val="18"/>
        </w:rPr>
        <w:t>the</w:t>
      </w:r>
      <w:r>
        <w:rPr>
          <w:spacing w:val="-5"/>
          <w:sz w:val="18"/>
        </w:rPr>
        <w:t> </w:t>
      </w:r>
      <w:r>
        <w:rPr>
          <w:sz w:val="18"/>
        </w:rPr>
        <w:t>risk</w:t>
      </w:r>
      <w:r>
        <w:rPr>
          <w:spacing w:val="-3"/>
          <w:sz w:val="18"/>
        </w:rPr>
        <w:t> </w:t>
      </w:r>
      <w:r>
        <w:rPr>
          <w:sz w:val="18"/>
        </w:rPr>
        <w:t>stratification</w:t>
      </w:r>
      <w:r>
        <w:rPr>
          <w:spacing w:val="-2"/>
          <w:sz w:val="18"/>
        </w:rPr>
        <w:t> </w:t>
      </w:r>
      <w:r>
        <w:rPr>
          <w:sz w:val="18"/>
        </w:rPr>
        <w:t>software</w:t>
      </w:r>
      <w:r>
        <w:rPr>
          <w:spacing w:val="-3"/>
          <w:sz w:val="18"/>
        </w:rPr>
        <w:t> </w:t>
      </w:r>
      <w:r>
        <w:rPr>
          <w:sz w:val="18"/>
        </w:rPr>
        <w:t>and</w:t>
      </w:r>
      <w:r>
        <w:rPr>
          <w:spacing w:val="-4"/>
          <w:sz w:val="18"/>
        </w:rPr>
        <w:t> </w:t>
      </w:r>
      <w:r>
        <w:rPr>
          <w:sz w:val="18"/>
        </w:rPr>
        <w:t>associated</w:t>
      </w:r>
      <w:r>
        <w:rPr>
          <w:spacing w:val="-4"/>
          <w:sz w:val="18"/>
        </w:rPr>
        <w:t> </w:t>
      </w:r>
      <w:r>
        <w:rPr>
          <w:sz w:val="18"/>
        </w:rPr>
        <w:t>processes</w:t>
      </w:r>
      <w:r>
        <w:rPr>
          <w:spacing w:val="-4"/>
          <w:sz w:val="18"/>
        </w:rPr>
        <w:t> </w:t>
      </w:r>
      <w:r>
        <w:rPr>
          <w:sz w:val="18"/>
        </w:rPr>
        <w:t>could</w:t>
      </w:r>
      <w:r>
        <w:rPr>
          <w:spacing w:val="-3"/>
          <w:sz w:val="18"/>
        </w:rPr>
        <w:t> </w:t>
      </w:r>
      <w:r>
        <w:rPr>
          <w:sz w:val="18"/>
        </w:rPr>
        <w:t>be</w:t>
      </w:r>
      <w:r>
        <w:rPr>
          <w:spacing w:val="-5"/>
          <w:sz w:val="18"/>
        </w:rPr>
        <w:t> </w:t>
      </w:r>
      <w:r>
        <w:rPr>
          <w:sz w:val="18"/>
        </w:rPr>
        <w:t>improved?</w:t>
      </w:r>
    </w:p>
    <w:p>
      <w:pPr>
        <w:pStyle w:val="BodyText"/>
      </w:pPr>
    </w:p>
    <w:p>
      <w:pPr>
        <w:pStyle w:val="BodyText"/>
        <w:spacing w:before="10"/>
        <w:rPr>
          <w:sz w:val="18"/>
        </w:rPr>
      </w:pPr>
      <w:r>
        <w:rPr/>
        <w:pict>
          <v:rect style="position:absolute;margin-left:34.560001pt;margin-top:12.780283pt;width:526.3pt;height:.48001pt;mso-position-horizontal-relative:page;mso-position-vertical-relative:paragraph;z-index:-15668736;mso-wrap-distance-left:0;mso-wrap-distance-right:0" id="docshape144" filled="true" fillcolor="#d9d9d9" stroked="false">
            <v:fill type="solid"/>
            <w10:wrap type="topAndBottom"/>
          </v:rect>
        </w:pict>
      </w:r>
    </w:p>
    <w:p>
      <w:pPr>
        <w:pStyle w:val="BodyText"/>
        <w:spacing w:before="2"/>
        <w:rPr>
          <w:sz w:val="8"/>
        </w:rPr>
      </w:pPr>
    </w:p>
    <w:p>
      <w:pPr>
        <w:pStyle w:val="ListParagraph"/>
        <w:numPr>
          <w:ilvl w:val="0"/>
          <w:numId w:val="43"/>
        </w:numPr>
        <w:tabs>
          <w:tab w:pos="424" w:val="left" w:leader="none"/>
        </w:tabs>
        <w:spacing w:line="240" w:lineRule="auto" w:before="100" w:after="0"/>
        <w:ind w:left="423" w:right="1053" w:hanging="284"/>
        <w:jc w:val="left"/>
        <w:rPr>
          <w:sz w:val="18"/>
        </w:rPr>
      </w:pPr>
      <w:r>
        <w:rPr>
          <w:sz w:val="18"/>
        </w:rPr>
        <w:t>Of the patients you approached to join HCH, what percentage would you estimate actually enrolled? Enter a</w:t>
      </w:r>
      <w:r>
        <w:rPr>
          <w:spacing w:val="-47"/>
          <w:sz w:val="18"/>
        </w:rPr>
        <w:t> </w:t>
      </w:r>
      <w:r>
        <w:rPr>
          <w:sz w:val="18"/>
        </w:rPr>
        <w:t>number between 0</w:t>
      </w:r>
      <w:r>
        <w:rPr>
          <w:spacing w:val="1"/>
          <w:sz w:val="18"/>
        </w:rPr>
        <w:t> </w:t>
      </w:r>
      <w:r>
        <w:rPr>
          <w:sz w:val="18"/>
        </w:rPr>
        <w:t>and</w:t>
      </w:r>
      <w:r>
        <w:rPr>
          <w:spacing w:val="-1"/>
          <w:sz w:val="18"/>
        </w:rPr>
        <w:t> </w:t>
      </w:r>
      <w:r>
        <w:rPr>
          <w:sz w:val="18"/>
        </w:rPr>
        <w:t>100:</w:t>
      </w:r>
    </w:p>
    <w:p>
      <w:pPr>
        <w:pStyle w:val="BodyText"/>
      </w:pPr>
    </w:p>
    <w:p>
      <w:pPr>
        <w:pStyle w:val="BodyText"/>
        <w:spacing w:before="1"/>
        <w:rPr>
          <w:sz w:val="19"/>
        </w:rPr>
      </w:pPr>
      <w:r>
        <w:rPr/>
        <w:pict>
          <v:rect style="position:absolute;margin-left:34.560001pt;margin-top:12.905645pt;width:526.3pt;height:.47998pt;mso-position-horizontal-relative:page;mso-position-vertical-relative:paragraph;z-index:-15668224;mso-wrap-distance-left:0;mso-wrap-distance-right:0" id="docshape145" filled="true" fillcolor="#d9d9d9" stroked="false">
            <v:fill type="solid"/>
            <w10:wrap type="topAndBottom"/>
          </v:rect>
        </w:pict>
      </w:r>
    </w:p>
    <w:p>
      <w:pPr>
        <w:pStyle w:val="BodyText"/>
        <w:spacing w:before="3"/>
        <w:rPr>
          <w:sz w:val="8"/>
        </w:rPr>
      </w:pPr>
    </w:p>
    <w:p>
      <w:pPr>
        <w:pStyle w:val="ListParagraph"/>
        <w:numPr>
          <w:ilvl w:val="0"/>
          <w:numId w:val="43"/>
        </w:numPr>
        <w:tabs>
          <w:tab w:pos="424" w:val="left" w:leader="none"/>
        </w:tabs>
        <w:spacing w:line="240" w:lineRule="auto" w:before="100" w:after="0"/>
        <w:ind w:left="423" w:right="0" w:hanging="284"/>
        <w:jc w:val="left"/>
        <w:rPr>
          <w:sz w:val="18"/>
        </w:rPr>
      </w:pPr>
      <w:r>
        <w:rPr>
          <w:sz w:val="18"/>
        </w:rPr>
        <w:t>What</w:t>
      </w:r>
      <w:r>
        <w:rPr>
          <w:spacing w:val="-4"/>
          <w:sz w:val="18"/>
        </w:rPr>
        <w:t> </w:t>
      </w:r>
      <w:r>
        <w:rPr>
          <w:sz w:val="18"/>
        </w:rPr>
        <w:t>were</w:t>
      </w:r>
      <w:r>
        <w:rPr>
          <w:spacing w:val="-2"/>
          <w:sz w:val="18"/>
        </w:rPr>
        <w:t> </w:t>
      </w:r>
      <w:r>
        <w:rPr>
          <w:sz w:val="18"/>
        </w:rPr>
        <w:t>the</w:t>
      </w:r>
      <w:r>
        <w:rPr>
          <w:spacing w:val="-2"/>
          <w:sz w:val="18"/>
        </w:rPr>
        <w:t> </w:t>
      </w:r>
      <w:r>
        <w:rPr>
          <w:sz w:val="18"/>
        </w:rPr>
        <w:t>main</w:t>
      </w:r>
      <w:r>
        <w:rPr>
          <w:spacing w:val="2"/>
          <w:sz w:val="18"/>
        </w:rPr>
        <w:t> </w:t>
      </w:r>
      <w:r>
        <w:rPr>
          <w:sz w:val="18"/>
        </w:rPr>
        <w:t>(up</w:t>
      </w:r>
      <w:r>
        <w:rPr>
          <w:spacing w:val="-3"/>
          <w:sz w:val="18"/>
        </w:rPr>
        <w:t> </w:t>
      </w:r>
      <w:r>
        <w:rPr>
          <w:sz w:val="18"/>
        </w:rPr>
        <w:t>to three)</w:t>
      </w:r>
      <w:r>
        <w:rPr>
          <w:spacing w:val="-4"/>
          <w:sz w:val="18"/>
        </w:rPr>
        <w:t> </w:t>
      </w:r>
      <w:r>
        <w:rPr>
          <w:sz w:val="18"/>
        </w:rPr>
        <w:t>reasons</w:t>
      </w:r>
      <w:r>
        <w:rPr>
          <w:spacing w:val="-2"/>
          <w:sz w:val="18"/>
        </w:rPr>
        <w:t> </w:t>
      </w:r>
      <w:r>
        <w:rPr>
          <w:sz w:val="18"/>
        </w:rPr>
        <w:t>why</w:t>
      </w:r>
      <w:r>
        <w:rPr>
          <w:spacing w:val="-2"/>
          <w:sz w:val="18"/>
        </w:rPr>
        <w:t> </w:t>
      </w:r>
      <w:r>
        <w:rPr>
          <w:sz w:val="18"/>
        </w:rPr>
        <w:t>patients</w:t>
      </w:r>
      <w:r>
        <w:rPr>
          <w:spacing w:val="-3"/>
          <w:sz w:val="18"/>
        </w:rPr>
        <w:t> </w:t>
      </w:r>
      <w:r>
        <w:rPr>
          <w:sz w:val="18"/>
        </w:rPr>
        <w:t>you</w:t>
      </w:r>
      <w:r>
        <w:rPr>
          <w:spacing w:val="-1"/>
          <w:sz w:val="18"/>
        </w:rPr>
        <w:t> </w:t>
      </w:r>
      <w:r>
        <w:rPr>
          <w:sz w:val="18"/>
        </w:rPr>
        <w:t>approached</w:t>
      </w:r>
      <w:r>
        <w:rPr>
          <w:spacing w:val="-3"/>
          <w:sz w:val="18"/>
        </w:rPr>
        <w:t> </w:t>
      </w:r>
      <w:r>
        <w:rPr>
          <w:sz w:val="18"/>
        </w:rPr>
        <w:t>to</w:t>
      </w:r>
      <w:r>
        <w:rPr>
          <w:spacing w:val="-3"/>
          <w:sz w:val="18"/>
        </w:rPr>
        <w:t> </w:t>
      </w:r>
      <w:r>
        <w:rPr>
          <w:sz w:val="18"/>
        </w:rPr>
        <w:t>enroll</w:t>
      </w:r>
      <w:r>
        <w:rPr>
          <w:spacing w:val="-4"/>
          <w:sz w:val="18"/>
        </w:rPr>
        <w:t> </w:t>
      </w:r>
      <w:r>
        <w:rPr>
          <w:sz w:val="18"/>
        </w:rPr>
        <w:t>in</w:t>
      </w:r>
      <w:r>
        <w:rPr>
          <w:spacing w:val="-4"/>
          <w:sz w:val="18"/>
        </w:rPr>
        <w:t> </w:t>
      </w:r>
      <w:r>
        <w:rPr>
          <w:sz w:val="18"/>
        </w:rPr>
        <w:t>the</w:t>
      </w:r>
      <w:r>
        <w:rPr>
          <w:spacing w:val="-2"/>
          <w:sz w:val="18"/>
        </w:rPr>
        <w:t> </w:t>
      </w:r>
      <w:r>
        <w:rPr>
          <w:sz w:val="18"/>
        </w:rPr>
        <w:t>HCH</w:t>
      </w:r>
      <w:r>
        <w:rPr>
          <w:spacing w:val="-2"/>
          <w:sz w:val="18"/>
        </w:rPr>
        <w:t> </w:t>
      </w:r>
      <w:r>
        <w:rPr>
          <w:sz w:val="18"/>
        </w:rPr>
        <w:t>program</w:t>
      </w:r>
      <w:r>
        <w:rPr>
          <w:spacing w:val="-6"/>
          <w:sz w:val="18"/>
        </w:rPr>
        <w:t> </w:t>
      </w:r>
      <w:r>
        <w:rPr>
          <w:sz w:val="18"/>
        </w:rPr>
        <w:t>opted</w:t>
      </w:r>
      <w:r>
        <w:rPr>
          <w:spacing w:val="-3"/>
          <w:sz w:val="18"/>
        </w:rPr>
        <w:t> </w:t>
      </w:r>
      <w:r>
        <w:rPr>
          <w:sz w:val="18"/>
        </w:rPr>
        <w:t>not</w:t>
      </w:r>
      <w:r>
        <w:rPr>
          <w:spacing w:val="-3"/>
          <w:sz w:val="18"/>
        </w:rPr>
        <w:t> </w:t>
      </w:r>
      <w:r>
        <w:rPr>
          <w:sz w:val="18"/>
        </w:rPr>
        <w:t>to?</w:t>
      </w:r>
    </w:p>
    <w:p>
      <w:pPr>
        <w:pStyle w:val="BodyText"/>
        <w:rPr>
          <w:sz w:val="23"/>
        </w:rPr>
      </w:pPr>
    </w:p>
    <w:tbl>
      <w:tblPr>
        <w:tblW w:w="0" w:type="auto"/>
        <w:jc w:val="left"/>
        <w:tblInd w:w="75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9974"/>
      </w:tblGrid>
      <w:tr>
        <w:trPr>
          <w:trHeight w:val="491" w:hRule="atLeast"/>
        </w:trPr>
        <w:tc>
          <w:tcPr>
            <w:tcW w:w="9974" w:type="dxa"/>
          </w:tcPr>
          <w:p>
            <w:pPr>
              <w:pStyle w:val="TableParagraph"/>
              <w:spacing w:before="18"/>
              <w:ind w:left="112"/>
              <w:rPr>
                <w:sz w:val="18"/>
              </w:rPr>
            </w:pPr>
            <w:r>
              <w:rPr>
                <w:sz w:val="18"/>
              </w:rPr>
              <w:t>1.</w:t>
            </w:r>
          </w:p>
        </w:tc>
      </w:tr>
      <w:tr>
        <w:trPr>
          <w:trHeight w:val="494" w:hRule="atLeast"/>
        </w:trPr>
        <w:tc>
          <w:tcPr>
            <w:tcW w:w="9974" w:type="dxa"/>
          </w:tcPr>
          <w:p>
            <w:pPr>
              <w:pStyle w:val="TableParagraph"/>
              <w:spacing w:before="20"/>
              <w:ind w:left="112"/>
              <w:rPr>
                <w:sz w:val="18"/>
              </w:rPr>
            </w:pPr>
            <w:r>
              <w:rPr>
                <w:sz w:val="18"/>
              </w:rPr>
              <w:t>2.</w:t>
            </w:r>
          </w:p>
        </w:tc>
      </w:tr>
      <w:tr>
        <w:trPr>
          <w:trHeight w:val="484" w:hRule="atLeast"/>
        </w:trPr>
        <w:tc>
          <w:tcPr>
            <w:tcW w:w="9974" w:type="dxa"/>
          </w:tcPr>
          <w:p>
            <w:pPr>
              <w:pStyle w:val="TableParagraph"/>
              <w:spacing w:before="20"/>
              <w:ind w:left="112"/>
              <w:rPr>
                <w:sz w:val="18"/>
              </w:rPr>
            </w:pPr>
            <w:r>
              <w:rPr>
                <w:sz w:val="18"/>
              </w:rPr>
              <w:t>3.</w:t>
            </w:r>
          </w:p>
        </w:tc>
      </w:tr>
    </w:tbl>
    <w:p>
      <w:pPr>
        <w:pStyle w:val="BodyText"/>
        <w:spacing w:before="2"/>
        <w:rPr>
          <w:sz w:val="16"/>
        </w:rPr>
      </w:pPr>
    </w:p>
    <w:p>
      <w:pPr>
        <w:pStyle w:val="ListParagraph"/>
        <w:numPr>
          <w:ilvl w:val="0"/>
          <w:numId w:val="43"/>
        </w:numPr>
        <w:tabs>
          <w:tab w:pos="424" w:val="left" w:leader="none"/>
        </w:tabs>
        <w:spacing w:line="240" w:lineRule="auto" w:before="0" w:after="0"/>
        <w:ind w:left="423" w:right="0" w:hanging="284"/>
        <w:jc w:val="left"/>
        <w:rPr>
          <w:sz w:val="18"/>
        </w:rPr>
      </w:pPr>
      <w:r>
        <w:rPr>
          <w:sz w:val="18"/>
        </w:rPr>
        <w:t>How</w:t>
      </w:r>
      <w:r>
        <w:rPr>
          <w:spacing w:val="-5"/>
          <w:sz w:val="18"/>
        </w:rPr>
        <w:t> </w:t>
      </w:r>
      <w:r>
        <w:rPr>
          <w:sz w:val="18"/>
        </w:rPr>
        <w:t>would</w:t>
      </w:r>
      <w:r>
        <w:rPr>
          <w:spacing w:val="-3"/>
          <w:sz w:val="18"/>
        </w:rPr>
        <w:t> </w:t>
      </w:r>
      <w:r>
        <w:rPr>
          <w:sz w:val="18"/>
        </w:rPr>
        <w:t>you</w:t>
      </w:r>
      <w:r>
        <w:rPr>
          <w:spacing w:val="-3"/>
          <w:sz w:val="18"/>
        </w:rPr>
        <w:t> </w:t>
      </w:r>
      <w:r>
        <w:rPr>
          <w:sz w:val="18"/>
        </w:rPr>
        <w:t>rate</w:t>
      </w:r>
      <w:r>
        <w:rPr>
          <w:spacing w:val="-3"/>
          <w:sz w:val="18"/>
        </w:rPr>
        <w:t> </w:t>
      </w:r>
      <w:r>
        <w:rPr>
          <w:sz w:val="18"/>
        </w:rPr>
        <w:t>the administrative</w:t>
      </w:r>
      <w:r>
        <w:rPr>
          <w:spacing w:val="-3"/>
          <w:sz w:val="18"/>
        </w:rPr>
        <w:t> </w:t>
      </w:r>
      <w:r>
        <w:rPr>
          <w:sz w:val="18"/>
        </w:rPr>
        <w:t>processes</w:t>
      </w:r>
      <w:r>
        <w:rPr>
          <w:spacing w:val="-5"/>
          <w:sz w:val="18"/>
        </w:rPr>
        <w:t> </w:t>
      </w:r>
      <w:r>
        <w:rPr>
          <w:sz w:val="18"/>
        </w:rPr>
        <w:t>for</w:t>
      </w:r>
      <w:r>
        <w:rPr>
          <w:spacing w:val="-3"/>
          <w:sz w:val="18"/>
        </w:rPr>
        <w:t> </w:t>
      </w:r>
      <w:r>
        <w:rPr>
          <w:sz w:val="18"/>
        </w:rPr>
        <w:t>enrolling</w:t>
      </w:r>
      <w:r>
        <w:rPr>
          <w:spacing w:val="-3"/>
          <w:sz w:val="18"/>
        </w:rPr>
        <w:t> </w:t>
      </w:r>
      <w:r>
        <w:rPr>
          <w:sz w:val="18"/>
        </w:rPr>
        <w:t>patients</w:t>
      </w:r>
      <w:r>
        <w:rPr>
          <w:spacing w:val="-6"/>
          <w:sz w:val="18"/>
        </w:rPr>
        <w:t> </w:t>
      </w:r>
      <w:r>
        <w:rPr>
          <w:sz w:val="18"/>
        </w:rPr>
        <w:t>into</w:t>
      </w:r>
      <w:r>
        <w:rPr>
          <w:spacing w:val="-2"/>
          <w:sz w:val="18"/>
        </w:rPr>
        <w:t> </w:t>
      </w:r>
      <w:r>
        <w:rPr>
          <w:sz w:val="18"/>
        </w:rPr>
        <w:t>the</w:t>
      </w:r>
      <w:r>
        <w:rPr>
          <w:spacing w:val="-3"/>
          <w:sz w:val="18"/>
        </w:rPr>
        <w:t> </w:t>
      </w:r>
      <w:r>
        <w:rPr>
          <w:sz w:val="18"/>
        </w:rPr>
        <w:t>HCH</w:t>
      </w:r>
      <w:r>
        <w:rPr>
          <w:spacing w:val="-5"/>
          <w:sz w:val="18"/>
        </w:rPr>
        <w:t> </w:t>
      </w:r>
      <w:r>
        <w:rPr>
          <w:sz w:val="18"/>
        </w:rPr>
        <w:t>program?</w:t>
      </w:r>
    </w:p>
    <w:p>
      <w:pPr>
        <w:pStyle w:val="BodyText"/>
        <w:spacing w:before="7"/>
        <w:rPr>
          <w:sz w:val="14"/>
        </w:rPr>
      </w:pPr>
    </w:p>
    <w:p>
      <w:pPr>
        <w:pStyle w:val="ListParagraph"/>
        <w:numPr>
          <w:ilvl w:val="0"/>
          <w:numId w:val="52"/>
        </w:numPr>
        <w:tabs>
          <w:tab w:pos="932" w:val="left" w:leader="none"/>
        </w:tabs>
        <w:spacing w:line="240" w:lineRule="auto" w:before="100" w:after="0"/>
        <w:ind w:left="931" w:right="0" w:hanging="151"/>
        <w:jc w:val="left"/>
        <w:rPr>
          <w:sz w:val="18"/>
        </w:rPr>
      </w:pPr>
      <w:r>
        <w:rPr/>
        <w:drawing>
          <wp:anchor distT="0" distB="0" distL="0" distR="0" allowOverlap="1" layoutInCell="1" locked="0" behindDoc="0" simplePos="0" relativeHeight="15796224">
            <wp:simplePos x="0" y="0"/>
            <wp:positionH relativeFrom="page">
              <wp:posOffset>652565</wp:posOffset>
            </wp:positionH>
            <wp:positionV relativeFrom="paragraph">
              <wp:posOffset>107333</wp:posOffset>
            </wp:positionV>
            <wp:extent cx="58380" cy="72151"/>
            <wp:effectExtent l="0" t="0" r="0" b="0"/>
            <wp:wrapNone/>
            <wp:docPr id="543" name="image13.png"/>
            <wp:cNvGraphicFramePr>
              <a:graphicFrameLocks noChangeAspect="1"/>
            </wp:cNvGraphicFramePr>
            <a:graphic>
              <a:graphicData uri="http://schemas.openxmlformats.org/drawingml/2006/picture">
                <pic:pic>
                  <pic:nvPicPr>
                    <pic:cNvPr id="54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The</w:t>
      </w:r>
      <w:r>
        <w:rPr>
          <w:spacing w:val="-2"/>
          <w:sz w:val="18"/>
        </w:rPr>
        <w:t> </w:t>
      </w:r>
      <w:r>
        <w:rPr>
          <w:sz w:val="18"/>
        </w:rPr>
        <w:t>processes</w:t>
      </w:r>
      <w:r>
        <w:rPr>
          <w:spacing w:val="-5"/>
          <w:sz w:val="18"/>
        </w:rPr>
        <w:t> </w:t>
      </w:r>
      <w:r>
        <w:rPr>
          <w:sz w:val="18"/>
        </w:rPr>
        <w:t>were</w:t>
      </w:r>
      <w:r>
        <w:rPr>
          <w:spacing w:val="-2"/>
          <w:sz w:val="18"/>
        </w:rPr>
        <w:t> </w:t>
      </w:r>
      <w:r>
        <w:rPr>
          <w:sz w:val="18"/>
        </w:rPr>
        <w:t>very</w:t>
      </w:r>
      <w:r>
        <w:rPr>
          <w:spacing w:val="-3"/>
          <w:sz w:val="18"/>
        </w:rPr>
        <w:t> </w:t>
      </w:r>
      <w:r>
        <w:rPr>
          <w:sz w:val="18"/>
        </w:rPr>
        <w:t>smooth</w:t>
      </w:r>
    </w:p>
    <w:p>
      <w:pPr>
        <w:pStyle w:val="ListParagraph"/>
        <w:numPr>
          <w:ilvl w:val="0"/>
          <w:numId w:val="52"/>
        </w:numPr>
        <w:tabs>
          <w:tab w:pos="935" w:val="left" w:leader="none"/>
        </w:tabs>
        <w:spacing w:line="240" w:lineRule="auto" w:before="0" w:after="0"/>
        <w:ind w:left="781" w:right="5713" w:firstLine="0"/>
        <w:jc w:val="left"/>
        <w:rPr>
          <w:sz w:val="18"/>
        </w:rPr>
      </w:pPr>
      <w:r>
        <w:rPr/>
        <w:drawing>
          <wp:anchor distT="0" distB="0" distL="0" distR="0" allowOverlap="1" layoutInCell="1" locked="0" behindDoc="0" simplePos="0" relativeHeight="15796736">
            <wp:simplePos x="0" y="0"/>
            <wp:positionH relativeFrom="page">
              <wp:posOffset>652565</wp:posOffset>
            </wp:positionH>
            <wp:positionV relativeFrom="paragraph">
              <wp:posOffset>43833</wp:posOffset>
            </wp:positionV>
            <wp:extent cx="58380" cy="72151"/>
            <wp:effectExtent l="0" t="0" r="0" b="0"/>
            <wp:wrapNone/>
            <wp:docPr id="545" name="image13.png"/>
            <wp:cNvGraphicFramePr>
              <a:graphicFrameLocks noChangeAspect="1"/>
            </wp:cNvGraphicFramePr>
            <a:graphic>
              <a:graphicData uri="http://schemas.openxmlformats.org/drawingml/2006/picture">
                <pic:pic>
                  <pic:nvPicPr>
                    <pic:cNvPr id="546"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797248">
            <wp:simplePos x="0" y="0"/>
            <wp:positionH relativeFrom="page">
              <wp:posOffset>652565</wp:posOffset>
            </wp:positionH>
            <wp:positionV relativeFrom="paragraph">
              <wp:posOffset>184041</wp:posOffset>
            </wp:positionV>
            <wp:extent cx="58380" cy="72151"/>
            <wp:effectExtent l="0" t="0" r="0" b="0"/>
            <wp:wrapNone/>
            <wp:docPr id="547" name="image13.png"/>
            <wp:cNvGraphicFramePr>
              <a:graphicFrameLocks noChangeAspect="1"/>
            </wp:cNvGraphicFramePr>
            <a:graphic>
              <a:graphicData uri="http://schemas.openxmlformats.org/drawingml/2006/picture">
                <pic:pic>
                  <pic:nvPicPr>
                    <pic:cNvPr id="54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We</w:t>
      </w:r>
      <w:r>
        <w:rPr>
          <w:spacing w:val="-4"/>
          <w:sz w:val="18"/>
        </w:rPr>
        <w:t> </w:t>
      </w:r>
      <w:r>
        <w:rPr>
          <w:sz w:val="18"/>
        </w:rPr>
        <w:t>had</w:t>
      </w:r>
      <w:r>
        <w:rPr>
          <w:spacing w:val="-4"/>
          <w:sz w:val="18"/>
        </w:rPr>
        <w:t> </w:t>
      </w:r>
      <w:r>
        <w:rPr>
          <w:sz w:val="18"/>
        </w:rPr>
        <w:t>some</w:t>
      </w:r>
      <w:r>
        <w:rPr>
          <w:spacing w:val="-4"/>
          <w:sz w:val="18"/>
        </w:rPr>
        <w:t> </w:t>
      </w:r>
      <w:r>
        <w:rPr>
          <w:sz w:val="18"/>
        </w:rPr>
        <w:t>challenges,</w:t>
      </w:r>
      <w:r>
        <w:rPr>
          <w:spacing w:val="-3"/>
          <w:sz w:val="18"/>
        </w:rPr>
        <w:t> </w:t>
      </w:r>
      <w:r>
        <w:rPr>
          <w:sz w:val="18"/>
        </w:rPr>
        <w:t>but</w:t>
      </w:r>
      <w:r>
        <w:rPr>
          <w:spacing w:val="-6"/>
          <w:sz w:val="18"/>
        </w:rPr>
        <w:t> </w:t>
      </w:r>
      <w:r>
        <w:rPr>
          <w:sz w:val="18"/>
        </w:rPr>
        <w:t>we</w:t>
      </w:r>
      <w:r>
        <w:rPr>
          <w:spacing w:val="-3"/>
          <w:sz w:val="18"/>
        </w:rPr>
        <w:t> </w:t>
      </w:r>
      <w:r>
        <w:rPr>
          <w:sz w:val="18"/>
        </w:rPr>
        <w:t>overcame</w:t>
      </w:r>
      <w:r>
        <w:rPr>
          <w:spacing w:val="-4"/>
          <w:sz w:val="18"/>
        </w:rPr>
        <w:t> </w:t>
      </w:r>
      <w:r>
        <w:rPr>
          <w:sz w:val="18"/>
        </w:rPr>
        <w:t>them</w:t>
      </w:r>
      <w:r>
        <w:rPr>
          <w:spacing w:val="-46"/>
          <w:sz w:val="18"/>
        </w:rPr>
        <w:t> </w:t>
      </w:r>
      <w:r>
        <w:rPr>
          <w:sz w:val="18"/>
        </w:rPr>
        <w:t>3</w:t>
      </w:r>
      <w:r>
        <w:rPr>
          <w:spacing w:val="3"/>
          <w:sz w:val="18"/>
        </w:rPr>
        <w:t> </w:t>
      </w:r>
      <w:r>
        <w:rPr>
          <w:sz w:val="18"/>
        </w:rPr>
        <w:t>We experienced ongoing</w:t>
      </w:r>
      <w:r>
        <w:rPr>
          <w:spacing w:val="-3"/>
          <w:sz w:val="18"/>
        </w:rPr>
        <w:t> </w:t>
      </w:r>
      <w:r>
        <w:rPr>
          <w:sz w:val="18"/>
        </w:rPr>
        <w:t>difficulties</w:t>
      </w:r>
    </w:p>
    <w:p>
      <w:pPr>
        <w:pStyle w:val="BodyText"/>
        <w:spacing w:before="10"/>
        <w:rPr>
          <w:sz w:val="14"/>
        </w:rPr>
      </w:pPr>
    </w:p>
    <w:p>
      <w:pPr>
        <w:pStyle w:val="ListParagraph"/>
        <w:numPr>
          <w:ilvl w:val="0"/>
          <w:numId w:val="43"/>
        </w:numPr>
        <w:tabs>
          <w:tab w:pos="424" w:val="left" w:leader="none"/>
        </w:tabs>
        <w:spacing w:line="240" w:lineRule="auto" w:before="100" w:after="0"/>
        <w:ind w:left="423" w:right="0" w:hanging="284"/>
        <w:jc w:val="left"/>
        <w:rPr>
          <w:sz w:val="18"/>
        </w:rPr>
      </w:pPr>
      <w:r>
        <w:rPr>
          <w:sz w:val="18"/>
        </w:rPr>
        <w:t>How</w:t>
      </w:r>
      <w:r>
        <w:rPr>
          <w:spacing w:val="-5"/>
          <w:sz w:val="18"/>
        </w:rPr>
        <w:t> </w:t>
      </w:r>
      <w:r>
        <w:rPr>
          <w:sz w:val="18"/>
        </w:rPr>
        <w:t>could</w:t>
      </w:r>
      <w:r>
        <w:rPr>
          <w:spacing w:val="-3"/>
          <w:sz w:val="18"/>
        </w:rPr>
        <w:t> </w:t>
      </w:r>
      <w:r>
        <w:rPr>
          <w:sz w:val="18"/>
        </w:rPr>
        <w:t>the</w:t>
      </w:r>
      <w:r>
        <w:rPr>
          <w:spacing w:val="-2"/>
          <w:sz w:val="18"/>
        </w:rPr>
        <w:t> </w:t>
      </w:r>
      <w:r>
        <w:rPr>
          <w:sz w:val="18"/>
        </w:rPr>
        <w:t>enrolment</w:t>
      </w:r>
      <w:r>
        <w:rPr>
          <w:spacing w:val="-4"/>
          <w:sz w:val="18"/>
        </w:rPr>
        <w:t> </w:t>
      </w:r>
      <w:r>
        <w:rPr>
          <w:sz w:val="18"/>
        </w:rPr>
        <w:t>process</w:t>
      </w:r>
      <w:r>
        <w:rPr>
          <w:spacing w:val="-4"/>
          <w:sz w:val="18"/>
        </w:rPr>
        <w:t> </w:t>
      </w:r>
      <w:r>
        <w:rPr>
          <w:sz w:val="18"/>
        </w:rPr>
        <w:t>be</w:t>
      </w:r>
      <w:r>
        <w:rPr>
          <w:spacing w:val="-4"/>
          <w:sz w:val="18"/>
        </w:rPr>
        <w:t> </w:t>
      </w:r>
      <w:r>
        <w:rPr>
          <w:sz w:val="18"/>
        </w:rPr>
        <w:t>improved?</w:t>
      </w:r>
    </w:p>
    <w:p>
      <w:pPr>
        <w:pStyle w:val="BodyText"/>
        <w:spacing w:before="7"/>
        <w:rPr>
          <w:sz w:val="22"/>
        </w:rPr>
      </w:pPr>
      <w:r>
        <w:rPr/>
        <w:pict>
          <v:rect style="position:absolute;margin-left:34.560001pt;margin-top:15.036817pt;width:526.3pt;height:.48004pt;mso-position-horizontal-relative:page;mso-position-vertical-relative:paragraph;z-index:-15667712;mso-wrap-distance-left:0;mso-wrap-distance-right:0" id="docshape146" filled="true" fillcolor="#d9d9d9" stroked="false">
            <v:fill type="solid"/>
            <w10:wrap type="topAndBottom"/>
          </v:rect>
        </w:pict>
      </w:r>
    </w:p>
    <w:p>
      <w:pPr>
        <w:spacing w:after="0"/>
        <w:rPr>
          <w:sz w:val="22"/>
        </w:rPr>
        <w:sectPr>
          <w:pgSz w:w="11910" w:h="16840"/>
          <w:pgMar w:header="0" w:footer="906" w:top="1080" w:bottom="1140" w:left="580" w:right="280"/>
        </w:sectPr>
      </w:pPr>
    </w:p>
    <w:p>
      <w:pPr>
        <w:spacing w:before="75"/>
        <w:ind w:left="140" w:right="0" w:firstLine="0"/>
        <w:jc w:val="left"/>
        <w:rPr>
          <w:sz w:val="18"/>
        </w:rPr>
      </w:pPr>
      <w:r>
        <w:rPr>
          <w:sz w:val="18"/>
        </w:rPr>
        <w:t>The</w:t>
      </w:r>
      <w:r>
        <w:rPr>
          <w:spacing w:val="-2"/>
          <w:sz w:val="18"/>
        </w:rPr>
        <w:t> </w:t>
      </w:r>
      <w:r>
        <w:rPr>
          <w:sz w:val="18"/>
        </w:rPr>
        <w:t>following</w:t>
      </w:r>
      <w:r>
        <w:rPr>
          <w:spacing w:val="-4"/>
          <w:sz w:val="18"/>
        </w:rPr>
        <w:t> </w:t>
      </w:r>
      <w:r>
        <w:rPr>
          <w:sz w:val="18"/>
        </w:rPr>
        <w:t>questions</w:t>
      </w:r>
      <w:r>
        <w:rPr>
          <w:spacing w:val="-3"/>
          <w:sz w:val="18"/>
        </w:rPr>
        <w:t> </w:t>
      </w:r>
      <w:r>
        <w:rPr>
          <w:sz w:val="18"/>
        </w:rPr>
        <w:t>are</w:t>
      </w:r>
      <w:r>
        <w:rPr>
          <w:spacing w:val="-6"/>
          <w:sz w:val="18"/>
        </w:rPr>
        <w:t> </w:t>
      </w:r>
      <w:r>
        <w:rPr>
          <w:sz w:val="18"/>
        </w:rPr>
        <w:t>about</w:t>
      </w:r>
      <w:r>
        <w:rPr>
          <w:spacing w:val="-4"/>
          <w:sz w:val="18"/>
        </w:rPr>
        <w:t> </w:t>
      </w:r>
      <w:r>
        <w:rPr>
          <w:sz w:val="18"/>
        </w:rPr>
        <w:t>shared</w:t>
      </w:r>
      <w:r>
        <w:rPr>
          <w:spacing w:val="-3"/>
          <w:sz w:val="18"/>
        </w:rPr>
        <w:t> </w:t>
      </w:r>
      <w:r>
        <w:rPr>
          <w:sz w:val="18"/>
        </w:rPr>
        <w:t>care</w:t>
      </w:r>
      <w:r>
        <w:rPr>
          <w:spacing w:val="-2"/>
          <w:sz w:val="18"/>
        </w:rPr>
        <w:t> </w:t>
      </w:r>
      <w:r>
        <w:rPr>
          <w:sz w:val="18"/>
        </w:rPr>
        <w:t>planning</w:t>
      </w:r>
      <w:r>
        <w:rPr>
          <w:spacing w:val="-3"/>
          <w:sz w:val="18"/>
        </w:rPr>
        <w:t> </w:t>
      </w:r>
      <w:r>
        <w:rPr>
          <w:sz w:val="18"/>
        </w:rPr>
        <w:t>for</w:t>
      </w:r>
      <w:r>
        <w:rPr>
          <w:spacing w:val="-2"/>
          <w:sz w:val="18"/>
        </w:rPr>
        <w:t> </w:t>
      </w:r>
      <w:r>
        <w:rPr>
          <w:sz w:val="18"/>
        </w:rPr>
        <w:t>HCH</w:t>
      </w:r>
      <w:r>
        <w:rPr>
          <w:spacing w:val="-3"/>
          <w:sz w:val="18"/>
        </w:rPr>
        <w:t> </w:t>
      </w:r>
      <w:r>
        <w:rPr>
          <w:sz w:val="18"/>
        </w:rPr>
        <w:t>patients.</w:t>
      </w:r>
    </w:p>
    <w:p>
      <w:pPr>
        <w:pStyle w:val="BodyText"/>
        <w:rPr>
          <w:sz w:val="19"/>
        </w:rPr>
      </w:pPr>
    </w:p>
    <w:p>
      <w:pPr>
        <w:pStyle w:val="ListParagraph"/>
        <w:numPr>
          <w:ilvl w:val="0"/>
          <w:numId w:val="43"/>
        </w:numPr>
        <w:tabs>
          <w:tab w:pos="424" w:val="left" w:leader="none"/>
        </w:tabs>
        <w:spacing w:line="240" w:lineRule="auto" w:before="0" w:after="0"/>
        <w:ind w:left="423" w:right="0" w:hanging="284"/>
        <w:jc w:val="left"/>
        <w:rPr>
          <w:sz w:val="18"/>
        </w:rPr>
      </w:pPr>
      <w:r>
        <w:rPr>
          <w:sz w:val="18"/>
        </w:rPr>
        <w:t>Did</w:t>
      </w:r>
      <w:r>
        <w:rPr>
          <w:spacing w:val="-4"/>
          <w:sz w:val="18"/>
        </w:rPr>
        <w:t> </w:t>
      </w:r>
      <w:r>
        <w:rPr>
          <w:sz w:val="18"/>
        </w:rPr>
        <w:t>processes</w:t>
      </w:r>
      <w:r>
        <w:rPr>
          <w:spacing w:val="-5"/>
          <w:sz w:val="18"/>
        </w:rPr>
        <w:t> </w:t>
      </w:r>
      <w:r>
        <w:rPr>
          <w:sz w:val="18"/>
        </w:rPr>
        <w:t>for</w:t>
      </w:r>
      <w:r>
        <w:rPr>
          <w:spacing w:val="-2"/>
          <w:sz w:val="18"/>
        </w:rPr>
        <w:t> </w:t>
      </w:r>
      <w:r>
        <w:rPr>
          <w:sz w:val="18"/>
        </w:rPr>
        <w:t>shared</w:t>
      </w:r>
      <w:r>
        <w:rPr>
          <w:spacing w:val="-3"/>
          <w:sz w:val="18"/>
        </w:rPr>
        <w:t> </w:t>
      </w:r>
      <w:r>
        <w:rPr>
          <w:sz w:val="18"/>
        </w:rPr>
        <w:t>care</w:t>
      </w:r>
      <w:r>
        <w:rPr>
          <w:spacing w:val="-2"/>
          <w:sz w:val="18"/>
        </w:rPr>
        <w:t> </w:t>
      </w:r>
      <w:r>
        <w:rPr>
          <w:sz w:val="18"/>
        </w:rPr>
        <w:t>planning</w:t>
      </w:r>
      <w:r>
        <w:rPr>
          <w:spacing w:val="-5"/>
          <w:sz w:val="18"/>
        </w:rPr>
        <w:t> </w:t>
      </w:r>
      <w:r>
        <w:rPr>
          <w:sz w:val="18"/>
        </w:rPr>
        <w:t>and</w:t>
      </w:r>
      <w:r>
        <w:rPr>
          <w:spacing w:val="-3"/>
          <w:sz w:val="18"/>
        </w:rPr>
        <w:t> </w:t>
      </w:r>
      <w:r>
        <w:rPr>
          <w:sz w:val="18"/>
        </w:rPr>
        <w:t>review</w:t>
      </w:r>
      <w:r>
        <w:rPr>
          <w:spacing w:val="-5"/>
          <w:sz w:val="18"/>
        </w:rPr>
        <w:t> </w:t>
      </w:r>
      <w:r>
        <w:rPr>
          <w:sz w:val="18"/>
        </w:rPr>
        <w:t>change</w:t>
      </w:r>
      <w:r>
        <w:rPr>
          <w:spacing w:val="-2"/>
          <w:sz w:val="18"/>
        </w:rPr>
        <w:t> </w:t>
      </w:r>
      <w:r>
        <w:rPr>
          <w:sz w:val="18"/>
        </w:rPr>
        <w:t>from</w:t>
      </w:r>
      <w:r>
        <w:rPr>
          <w:spacing w:val="-6"/>
          <w:sz w:val="18"/>
        </w:rPr>
        <w:t> </w:t>
      </w:r>
      <w:r>
        <w:rPr>
          <w:sz w:val="18"/>
        </w:rPr>
        <w:t>prior</w:t>
      </w:r>
      <w:r>
        <w:rPr>
          <w:spacing w:val="-2"/>
          <w:sz w:val="18"/>
        </w:rPr>
        <w:t> </w:t>
      </w:r>
      <w:r>
        <w:rPr>
          <w:sz w:val="18"/>
        </w:rPr>
        <w:t>to</w:t>
      </w:r>
      <w:r>
        <w:rPr>
          <w:spacing w:val="-3"/>
          <w:sz w:val="18"/>
        </w:rPr>
        <w:t> </w:t>
      </w:r>
      <w:r>
        <w:rPr>
          <w:sz w:val="18"/>
        </w:rPr>
        <w:t>the</w:t>
      </w:r>
      <w:r>
        <w:rPr>
          <w:spacing w:val="-3"/>
          <w:sz w:val="18"/>
        </w:rPr>
        <w:t> </w:t>
      </w:r>
      <w:r>
        <w:rPr>
          <w:sz w:val="18"/>
        </w:rPr>
        <w:t>HCH</w:t>
      </w:r>
      <w:r>
        <w:rPr>
          <w:spacing w:val="-5"/>
          <w:sz w:val="18"/>
        </w:rPr>
        <w:t> </w:t>
      </w:r>
      <w:r>
        <w:rPr>
          <w:sz w:val="18"/>
        </w:rPr>
        <w:t>implementation?</w:t>
      </w:r>
    </w:p>
    <w:p>
      <w:pPr>
        <w:pStyle w:val="BodyText"/>
        <w:spacing w:before="7"/>
        <w:rPr>
          <w:sz w:val="14"/>
        </w:rPr>
      </w:pPr>
    </w:p>
    <w:p>
      <w:pPr>
        <w:pStyle w:val="ListParagraph"/>
        <w:numPr>
          <w:ilvl w:val="0"/>
          <w:numId w:val="53"/>
        </w:numPr>
        <w:tabs>
          <w:tab w:pos="932" w:val="left" w:leader="none"/>
        </w:tabs>
        <w:spacing w:line="240" w:lineRule="auto" w:before="101" w:after="0"/>
        <w:ind w:left="931" w:right="0" w:hanging="151"/>
        <w:jc w:val="left"/>
        <w:rPr>
          <w:sz w:val="18"/>
        </w:rPr>
      </w:pPr>
      <w:r>
        <w:rPr/>
        <w:drawing>
          <wp:anchor distT="0" distB="0" distL="0" distR="0" allowOverlap="1" layoutInCell="1" locked="0" behindDoc="0" simplePos="0" relativeHeight="15799808">
            <wp:simplePos x="0" y="0"/>
            <wp:positionH relativeFrom="page">
              <wp:posOffset>652565</wp:posOffset>
            </wp:positionH>
            <wp:positionV relativeFrom="paragraph">
              <wp:posOffset>108984</wp:posOffset>
            </wp:positionV>
            <wp:extent cx="58380" cy="72151"/>
            <wp:effectExtent l="0" t="0" r="0" b="0"/>
            <wp:wrapNone/>
            <wp:docPr id="549" name="image13.png"/>
            <wp:cNvGraphicFramePr>
              <a:graphicFrameLocks noChangeAspect="1"/>
            </wp:cNvGraphicFramePr>
            <a:graphic>
              <a:graphicData uri="http://schemas.openxmlformats.org/drawingml/2006/picture">
                <pic:pic>
                  <pic:nvPicPr>
                    <pic:cNvPr id="55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Yes</w:t>
      </w:r>
    </w:p>
    <w:p>
      <w:pPr>
        <w:pStyle w:val="ListParagraph"/>
        <w:numPr>
          <w:ilvl w:val="0"/>
          <w:numId w:val="53"/>
        </w:numPr>
        <w:tabs>
          <w:tab w:pos="932" w:val="left" w:leader="none"/>
        </w:tabs>
        <w:spacing w:line="240" w:lineRule="auto" w:before="0" w:after="0"/>
        <w:ind w:left="931" w:right="0" w:hanging="151"/>
        <w:jc w:val="left"/>
        <w:rPr>
          <w:sz w:val="18"/>
        </w:rPr>
      </w:pPr>
      <w:r>
        <w:rPr/>
        <w:drawing>
          <wp:anchor distT="0" distB="0" distL="0" distR="0" allowOverlap="1" layoutInCell="1" locked="0" behindDoc="0" simplePos="0" relativeHeight="15800320">
            <wp:simplePos x="0" y="0"/>
            <wp:positionH relativeFrom="page">
              <wp:posOffset>652565</wp:posOffset>
            </wp:positionH>
            <wp:positionV relativeFrom="paragraph">
              <wp:posOffset>44850</wp:posOffset>
            </wp:positionV>
            <wp:extent cx="58380" cy="72151"/>
            <wp:effectExtent l="0" t="0" r="0" b="0"/>
            <wp:wrapNone/>
            <wp:docPr id="551" name="image13.png"/>
            <wp:cNvGraphicFramePr>
              <a:graphicFrameLocks noChangeAspect="1"/>
            </wp:cNvGraphicFramePr>
            <a:graphic>
              <a:graphicData uri="http://schemas.openxmlformats.org/drawingml/2006/picture">
                <pic:pic>
                  <pic:nvPicPr>
                    <pic:cNvPr id="55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w:t>
      </w:r>
    </w:p>
    <w:p>
      <w:pPr>
        <w:pStyle w:val="BodyText"/>
        <w:spacing w:before="9"/>
        <w:rPr>
          <w:sz w:val="14"/>
        </w:rPr>
      </w:pPr>
    </w:p>
    <w:p>
      <w:pPr>
        <w:spacing w:line="276" w:lineRule="auto" w:before="100"/>
        <w:ind w:left="140" w:right="741" w:firstLine="0"/>
        <w:jc w:val="left"/>
        <w:rPr>
          <w:sz w:val="18"/>
        </w:rPr>
      </w:pPr>
      <w:r>
        <w:rPr>
          <w:sz w:val="18"/>
        </w:rPr>
        <w:t>15a. Briefly describe the main ways in which shared care planning and review processes changed following the HCH</w:t>
      </w:r>
      <w:r>
        <w:rPr>
          <w:spacing w:val="-47"/>
          <w:sz w:val="18"/>
        </w:rPr>
        <w:t> </w:t>
      </w:r>
      <w:r>
        <w:rPr>
          <w:sz w:val="18"/>
        </w:rPr>
        <w:t>implementation?</w:t>
      </w:r>
    </w:p>
    <w:p>
      <w:pPr>
        <w:pStyle w:val="BodyText"/>
      </w:pPr>
    </w:p>
    <w:p>
      <w:pPr>
        <w:pStyle w:val="BodyText"/>
        <w:spacing w:before="11"/>
        <w:rPr>
          <w:sz w:val="18"/>
        </w:rPr>
      </w:pPr>
      <w:r>
        <w:rPr/>
        <w:pict>
          <v:rect style="position:absolute;margin-left:34.560001pt;margin-top:12.828106pt;width:526.3pt;height:.48pt;mso-position-horizontal-relative:page;mso-position-vertical-relative:paragraph;z-index:-15659520;mso-wrap-distance-left:0;mso-wrap-distance-right:0" id="docshape147" filled="true" fillcolor="#d9d9d9" stroked="false">
            <v:fill type="solid"/>
            <w10:wrap type="topAndBottom"/>
          </v:rect>
        </w:pict>
      </w:r>
    </w:p>
    <w:p>
      <w:pPr>
        <w:pStyle w:val="BodyText"/>
        <w:spacing w:before="2"/>
        <w:rPr>
          <w:sz w:val="8"/>
        </w:rPr>
      </w:pPr>
    </w:p>
    <w:p>
      <w:pPr>
        <w:pStyle w:val="ListParagraph"/>
        <w:numPr>
          <w:ilvl w:val="0"/>
          <w:numId w:val="43"/>
        </w:numPr>
        <w:tabs>
          <w:tab w:pos="424" w:val="left" w:leader="none"/>
        </w:tabs>
        <w:spacing w:line="240" w:lineRule="auto" w:before="100" w:after="0"/>
        <w:ind w:left="423" w:right="0" w:hanging="284"/>
        <w:jc w:val="left"/>
        <w:rPr>
          <w:sz w:val="18"/>
        </w:rPr>
      </w:pPr>
      <w:r>
        <w:rPr>
          <w:sz w:val="18"/>
        </w:rPr>
        <w:t>How</w:t>
      </w:r>
      <w:r>
        <w:rPr>
          <w:spacing w:val="-5"/>
          <w:sz w:val="18"/>
        </w:rPr>
        <w:t> </w:t>
      </w:r>
      <w:r>
        <w:rPr>
          <w:sz w:val="18"/>
        </w:rPr>
        <w:t>are</w:t>
      </w:r>
      <w:r>
        <w:rPr>
          <w:spacing w:val="-2"/>
          <w:sz w:val="18"/>
        </w:rPr>
        <w:t> </w:t>
      </w:r>
      <w:r>
        <w:rPr>
          <w:sz w:val="18"/>
        </w:rPr>
        <w:t>care</w:t>
      </w:r>
      <w:r>
        <w:rPr>
          <w:spacing w:val="-2"/>
          <w:sz w:val="18"/>
        </w:rPr>
        <w:t> </w:t>
      </w:r>
      <w:r>
        <w:rPr>
          <w:sz w:val="18"/>
        </w:rPr>
        <w:t>plans</w:t>
      </w:r>
      <w:r>
        <w:rPr>
          <w:spacing w:val="-2"/>
          <w:sz w:val="18"/>
        </w:rPr>
        <w:t> </w:t>
      </w:r>
      <w:r>
        <w:rPr>
          <w:sz w:val="18"/>
        </w:rPr>
        <w:t>shared</w:t>
      </w:r>
      <w:r>
        <w:rPr>
          <w:spacing w:val="-5"/>
          <w:sz w:val="18"/>
        </w:rPr>
        <w:t> </w:t>
      </w:r>
      <w:r>
        <w:rPr>
          <w:sz w:val="18"/>
        </w:rPr>
        <w:t>with</w:t>
      </w:r>
      <w:r>
        <w:rPr>
          <w:spacing w:val="-2"/>
          <w:sz w:val="18"/>
        </w:rPr>
        <w:t> </w:t>
      </w:r>
      <w:r>
        <w:rPr>
          <w:sz w:val="18"/>
        </w:rPr>
        <w:t>the</w:t>
      </w:r>
      <w:r>
        <w:rPr>
          <w:spacing w:val="-2"/>
          <w:sz w:val="18"/>
        </w:rPr>
        <w:t> </w:t>
      </w:r>
      <w:r>
        <w:rPr>
          <w:sz w:val="18"/>
        </w:rPr>
        <w:t>patient</w:t>
      </w:r>
      <w:r>
        <w:rPr>
          <w:spacing w:val="-4"/>
          <w:sz w:val="18"/>
        </w:rPr>
        <w:t> </w:t>
      </w:r>
      <w:r>
        <w:rPr>
          <w:sz w:val="18"/>
        </w:rPr>
        <w:t>and</w:t>
      </w:r>
      <w:r>
        <w:rPr>
          <w:spacing w:val="-3"/>
          <w:sz w:val="18"/>
        </w:rPr>
        <w:t> </w:t>
      </w:r>
      <w:r>
        <w:rPr>
          <w:sz w:val="18"/>
        </w:rPr>
        <w:t>carer/family?</w:t>
      </w:r>
      <w:r>
        <w:rPr>
          <w:spacing w:val="-4"/>
          <w:sz w:val="18"/>
        </w:rPr>
        <w:t> </w:t>
      </w:r>
      <w:r>
        <w:rPr>
          <w:sz w:val="18"/>
        </w:rPr>
        <w:t>Select</w:t>
      </w:r>
      <w:r>
        <w:rPr>
          <w:spacing w:val="-4"/>
          <w:sz w:val="18"/>
        </w:rPr>
        <w:t> </w:t>
      </w:r>
      <w:r>
        <w:rPr>
          <w:sz w:val="18"/>
        </w:rPr>
        <w:t>more</w:t>
      </w:r>
      <w:r>
        <w:rPr>
          <w:spacing w:val="-3"/>
          <w:sz w:val="18"/>
        </w:rPr>
        <w:t> </w:t>
      </w:r>
      <w:r>
        <w:rPr>
          <w:sz w:val="18"/>
        </w:rPr>
        <w:t>than</w:t>
      </w:r>
      <w:r>
        <w:rPr>
          <w:spacing w:val="-2"/>
          <w:sz w:val="18"/>
        </w:rPr>
        <w:t> </w:t>
      </w:r>
      <w:r>
        <w:rPr>
          <w:sz w:val="18"/>
        </w:rPr>
        <w:t>one</w:t>
      </w:r>
      <w:r>
        <w:rPr>
          <w:spacing w:val="-2"/>
          <w:sz w:val="18"/>
        </w:rPr>
        <w:t> </w:t>
      </w:r>
      <w:r>
        <w:rPr>
          <w:sz w:val="18"/>
        </w:rPr>
        <w:t>if</w:t>
      </w:r>
      <w:r>
        <w:rPr>
          <w:spacing w:val="-2"/>
          <w:sz w:val="18"/>
        </w:rPr>
        <w:t> </w:t>
      </w:r>
      <w:r>
        <w:rPr>
          <w:sz w:val="18"/>
        </w:rPr>
        <w:t>applicable.</w:t>
      </w:r>
    </w:p>
    <w:p>
      <w:pPr>
        <w:pStyle w:val="BodyText"/>
        <w:spacing w:before="9"/>
        <w:rPr>
          <w:sz w:val="14"/>
        </w:rPr>
      </w:pPr>
    </w:p>
    <w:p>
      <w:pPr>
        <w:pStyle w:val="ListParagraph"/>
        <w:numPr>
          <w:ilvl w:val="0"/>
          <w:numId w:val="54"/>
        </w:numPr>
        <w:tabs>
          <w:tab w:pos="935" w:val="left" w:leader="none"/>
        </w:tabs>
        <w:spacing w:line="240" w:lineRule="auto" w:before="100" w:after="0"/>
        <w:ind w:left="934" w:right="0" w:hanging="154"/>
        <w:jc w:val="left"/>
        <w:rPr>
          <w:sz w:val="18"/>
        </w:rPr>
      </w:pPr>
      <w:r>
        <w:rPr/>
        <w:drawing>
          <wp:anchor distT="0" distB="0" distL="0" distR="0" allowOverlap="1" layoutInCell="1" locked="0" behindDoc="0" simplePos="0" relativeHeight="15800832">
            <wp:simplePos x="0" y="0"/>
            <wp:positionH relativeFrom="page">
              <wp:posOffset>652565</wp:posOffset>
            </wp:positionH>
            <wp:positionV relativeFrom="paragraph">
              <wp:posOffset>108350</wp:posOffset>
            </wp:positionV>
            <wp:extent cx="58380" cy="72151"/>
            <wp:effectExtent l="0" t="0" r="0" b="0"/>
            <wp:wrapNone/>
            <wp:docPr id="553" name="image13.png"/>
            <wp:cNvGraphicFramePr>
              <a:graphicFrameLocks noChangeAspect="1"/>
            </wp:cNvGraphicFramePr>
            <a:graphic>
              <a:graphicData uri="http://schemas.openxmlformats.org/drawingml/2006/picture">
                <pic:pic>
                  <pic:nvPicPr>
                    <pic:cNvPr id="55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We</w:t>
      </w:r>
      <w:r>
        <w:rPr>
          <w:spacing w:val="-3"/>
          <w:sz w:val="18"/>
        </w:rPr>
        <w:t> </w:t>
      </w:r>
      <w:r>
        <w:rPr>
          <w:sz w:val="18"/>
        </w:rPr>
        <w:t>give</w:t>
      </w:r>
      <w:r>
        <w:rPr>
          <w:spacing w:val="-2"/>
          <w:sz w:val="18"/>
        </w:rPr>
        <w:t> </w:t>
      </w:r>
      <w:r>
        <w:rPr>
          <w:sz w:val="18"/>
        </w:rPr>
        <w:t>a</w:t>
      </w:r>
      <w:r>
        <w:rPr>
          <w:spacing w:val="-2"/>
          <w:sz w:val="18"/>
        </w:rPr>
        <w:t> </w:t>
      </w:r>
      <w:r>
        <w:rPr>
          <w:sz w:val="18"/>
        </w:rPr>
        <w:t>printed</w:t>
      </w:r>
      <w:r>
        <w:rPr>
          <w:spacing w:val="-3"/>
          <w:sz w:val="18"/>
        </w:rPr>
        <w:t> </w:t>
      </w:r>
      <w:r>
        <w:rPr>
          <w:sz w:val="18"/>
        </w:rPr>
        <w:t>version</w:t>
      </w:r>
      <w:r>
        <w:rPr>
          <w:spacing w:val="-5"/>
          <w:sz w:val="18"/>
        </w:rPr>
        <w:t> </w:t>
      </w:r>
      <w:r>
        <w:rPr>
          <w:sz w:val="18"/>
        </w:rPr>
        <w:t>of</w:t>
      </w:r>
      <w:r>
        <w:rPr>
          <w:spacing w:val="-2"/>
          <w:sz w:val="18"/>
        </w:rPr>
        <w:t> </w:t>
      </w:r>
      <w:r>
        <w:rPr>
          <w:sz w:val="18"/>
        </w:rPr>
        <w:t>the</w:t>
      </w:r>
      <w:r>
        <w:rPr>
          <w:spacing w:val="-2"/>
          <w:sz w:val="18"/>
        </w:rPr>
        <w:t> </w:t>
      </w:r>
      <w:r>
        <w:rPr>
          <w:sz w:val="18"/>
        </w:rPr>
        <w:t>care</w:t>
      </w:r>
      <w:r>
        <w:rPr>
          <w:spacing w:val="-2"/>
          <w:sz w:val="18"/>
        </w:rPr>
        <w:t> </w:t>
      </w:r>
      <w:r>
        <w:rPr>
          <w:sz w:val="18"/>
        </w:rPr>
        <w:t>plan</w:t>
      </w:r>
      <w:r>
        <w:rPr>
          <w:spacing w:val="-3"/>
          <w:sz w:val="18"/>
        </w:rPr>
        <w:t> </w:t>
      </w:r>
      <w:r>
        <w:rPr>
          <w:sz w:val="18"/>
        </w:rPr>
        <w:t>to</w:t>
      </w:r>
      <w:r>
        <w:rPr>
          <w:spacing w:val="-2"/>
          <w:sz w:val="18"/>
        </w:rPr>
        <w:t> </w:t>
      </w:r>
      <w:r>
        <w:rPr>
          <w:sz w:val="18"/>
        </w:rPr>
        <w:t>the</w:t>
      </w:r>
      <w:r>
        <w:rPr>
          <w:spacing w:val="-2"/>
          <w:sz w:val="18"/>
        </w:rPr>
        <w:t> </w:t>
      </w:r>
      <w:r>
        <w:rPr>
          <w:sz w:val="18"/>
        </w:rPr>
        <w:t>patient</w:t>
      </w:r>
      <w:r>
        <w:rPr>
          <w:spacing w:val="-4"/>
          <w:sz w:val="18"/>
        </w:rPr>
        <w:t> </w:t>
      </w:r>
      <w:r>
        <w:rPr>
          <w:sz w:val="18"/>
        </w:rPr>
        <w:t>and/or</w:t>
      </w:r>
      <w:r>
        <w:rPr>
          <w:spacing w:val="-1"/>
          <w:sz w:val="18"/>
        </w:rPr>
        <w:t> </w:t>
      </w:r>
      <w:r>
        <w:rPr>
          <w:sz w:val="18"/>
        </w:rPr>
        <w:t>their</w:t>
      </w:r>
      <w:r>
        <w:rPr>
          <w:spacing w:val="-4"/>
          <w:sz w:val="18"/>
        </w:rPr>
        <w:t> </w:t>
      </w:r>
      <w:r>
        <w:rPr>
          <w:sz w:val="18"/>
        </w:rPr>
        <w:t>carer/</w:t>
      </w:r>
      <w:r>
        <w:rPr>
          <w:spacing w:val="-4"/>
          <w:sz w:val="18"/>
        </w:rPr>
        <w:t> </w:t>
      </w:r>
      <w:r>
        <w:rPr>
          <w:sz w:val="18"/>
        </w:rPr>
        <w:t>family.</w:t>
      </w:r>
    </w:p>
    <w:p>
      <w:pPr>
        <w:pStyle w:val="ListParagraph"/>
        <w:numPr>
          <w:ilvl w:val="0"/>
          <w:numId w:val="54"/>
        </w:numPr>
        <w:tabs>
          <w:tab w:pos="935" w:val="left" w:leader="none"/>
        </w:tabs>
        <w:spacing w:line="240" w:lineRule="auto" w:before="1" w:after="0"/>
        <w:ind w:left="934" w:right="0" w:hanging="154"/>
        <w:jc w:val="left"/>
        <w:rPr>
          <w:sz w:val="18"/>
        </w:rPr>
      </w:pPr>
      <w:r>
        <w:rPr/>
        <w:drawing>
          <wp:anchor distT="0" distB="0" distL="0" distR="0" allowOverlap="1" layoutInCell="1" locked="0" behindDoc="0" simplePos="0" relativeHeight="15801344">
            <wp:simplePos x="0" y="0"/>
            <wp:positionH relativeFrom="page">
              <wp:posOffset>652565</wp:posOffset>
            </wp:positionH>
            <wp:positionV relativeFrom="paragraph">
              <wp:posOffset>45291</wp:posOffset>
            </wp:positionV>
            <wp:extent cx="58380" cy="73869"/>
            <wp:effectExtent l="0" t="0" r="0" b="0"/>
            <wp:wrapNone/>
            <wp:docPr id="555" name="image14.png"/>
            <wp:cNvGraphicFramePr>
              <a:graphicFrameLocks noChangeAspect="1"/>
            </wp:cNvGraphicFramePr>
            <a:graphic>
              <a:graphicData uri="http://schemas.openxmlformats.org/drawingml/2006/picture">
                <pic:pic>
                  <pic:nvPicPr>
                    <pic:cNvPr id="556"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We</w:t>
      </w:r>
      <w:r>
        <w:rPr>
          <w:spacing w:val="-3"/>
          <w:sz w:val="18"/>
        </w:rPr>
        <w:t> </w:t>
      </w:r>
      <w:r>
        <w:rPr>
          <w:sz w:val="18"/>
        </w:rPr>
        <w:t>email</w:t>
      </w:r>
      <w:r>
        <w:rPr>
          <w:spacing w:val="-3"/>
          <w:sz w:val="18"/>
        </w:rPr>
        <w:t> </w:t>
      </w:r>
      <w:r>
        <w:rPr>
          <w:sz w:val="18"/>
        </w:rPr>
        <w:t>an</w:t>
      </w:r>
      <w:r>
        <w:rPr>
          <w:spacing w:val="-3"/>
          <w:sz w:val="18"/>
        </w:rPr>
        <w:t> </w:t>
      </w:r>
      <w:r>
        <w:rPr>
          <w:sz w:val="18"/>
        </w:rPr>
        <w:t>electronic</w:t>
      </w:r>
      <w:r>
        <w:rPr>
          <w:spacing w:val="1"/>
          <w:sz w:val="18"/>
        </w:rPr>
        <w:t> </w:t>
      </w:r>
      <w:r>
        <w:rPr>
          <w:sz w:val="18"/>
        </w:rPr>
        <w:t>version</w:t>
      </w:r>
      <w:r>
        <w:rPr>
          <w:spacing w:val="-6"/>
          <w:sz w:val="18"/>
        </w:rPr>
        <w:t> </w:t>
      </w:r>
      <w:r>
        <w:rPr>
          <w:sz w:val="18"/>
        </w:rPr>
        <w:t>of</w:t>
      </w:r>
      <w:r>
        <w:rPr>
          <w:spacing w:val="-2"/>
          <w:sz w:val="18"/>
        </w:rPr>
        <w:t> </w:t>
      </w:r>
      <w:r>
        <w:rPr>
          <w:sz w:val="18"/>
        </w:rPr>
        <w:t>the</w:t>
      </w:r>
      <w:r>
        <w:rPr>
          <w:spacing w:val="-4"/>
          <w:sz w:val="18"/>
        </w:rPr>
        <w:t> </w:t>
      </w:r>
      <w:r>
        <w:rPr>
          <w:sz w:val="18"/>
        </w:rPr>
        <w:t>care</w:t>
      </w:r>
      <w:r>
        <w:rPr>
          <w:spacing w:val="-3"/>
          <w:sz w:val="18"/>
        </w:rPr>
        <w:t> </w:t>
      </w:r>
      <w:r>
        <w:rPr>
          <w:sz w:val="18"/>
        </w:rPr>
        <w:t>plan</w:t>
      </w:r>
      <w:r>
        <w:rPr>
          <w:spacing w:val="-3"/>
          <w:sz w:val="18"/>
        </w:rPr>
        <w:t> </w:t>
      </w:r>
      <w:r>
        <w:rPr>
          <w:sz w:val="18"/>
        </w:rPr>
        <w:t>to</w:t>
      </w:r>
      <w:r>
        <w:rPr>
          <w:spacing w:val="-2"/>
          <w:sz w:val="18"/>
        </w:rPr>
        <w:t> </w:t>
      </w:r>
      <w:r>
        <w:rPr>
          <w:sz w:val="18"/>
        </w:rPr>
        <w:t>the</w:t>
      </w:r>
      <w:r>
        <w:rPr>
          <w:spacing w:val="-5"/>
          <w:sz w:val="18"/>
        </w:rPr>
        <w:t> </w:t>
      </w:r>
      <w:r>
        <w:rPr>
          <w:sz w:val="18"/>
        </w:rPr>
        <w:t>patient</w:t>
      </w:r>
      <w:r>
        <w:rPr>
          <w:spacing w:val="-4"/>
          <w:sz w:val="18"/>
        </w:rPr>
        <w:t> </w:t>
      </w:r>
      <w:r>
        <w:rPr>
          <w:sz w:val="18"/>
        </w:rPr>
        <w:t>and/or</w:t>
      </w:r>
      <w:r>
        <w:rPr>
          <w:spacing w:val="-2"/>
          <w:sz w:val="18"/>
        </w:rPr>
        <w:t> </w:t>
      </w:r>
      <w:r>
        <w:rPr>
          <w:sz w:val="18"/>
        </w:rPr>
        <w:t>their</w:t>
      </w:r>
      <w:r>
        <w:rPr>
          <w:spacing w:val="-3"/>
          <w:sz w:val="18"/>
        </w:rPr>
        <w:t> </w:t>
      </w:r>
      <w:r>
        <w:rPr>
          <w:sz w:val="18"/>
        </w:rPr>
        <w:t>carer/</w:t>
      </w:r>
      <w:r>
        <w:rPr>
          <w:spacing w:val="-6"/>
          <w:sz w:val="18"/>
        </w:rPr>
        <w:t> </w:t>
      </w:r>
      <w:r>
        <w:rPr>
          <w:sz w:val="18"/>
        </w:rPr>
        <w:t>family.</w:t>
      </w:r>
    </w:p>
    <w:p>
      <w:pPr>
        <w:pStyle w:val="ListParagraph"/>
        <w:numPr>
          <w:ilvl w:val="0"/>
          <w:numId w:val="54"/>
        </w:numPr>
        <w:tabs>
          <w:tab w:pos="935" w:val="left" w:leader="none"/>
        </w:tabs>
        <w:spacing w:line="237" w:lineRule="auto" w:before="2" w:after="0"/>
        <w:ind w:left="781" w:right="636" w:firstLine="0"/>
        <w:jc w:val="left"/>
        <w:rPr>
          <w:sz w:val="18"/>
        </w:rPr>
      </w:pPr>
      <w:r>
        <w:rPr/>
        <w:drawing>
          <wp:anchor distT="0" distB="0" distL="0" distR="0" allowOverlap="1" layoutInCell="1" locked="0" behindDoc="0" simplePos="0" relativeHeight="15801856">
            <wp:simplePos x="0" y="0"/>
            <wp:positionH relativeFrom="page">
              <wp:posOffset>652565</wp:posOffset>
            </wp:positionH>
            <wp:positionV relativeFrom="paragraph">
              <wp:posOffset>44588</wp:posOffset>
            </wp:positionV>
            <wp:extent cx="58380" cy="72151"/>
            <wp:effectExtent l="0" t="0" r="0" b="0"/>
            <wp:wrapNone/>
            <wp:docPr id="557" name="image13.png"/>
            <wp:cNvGraphicFramePr>
              <a:graphicFrameLocks noChangeAspect="1"/>
            </wp:cNvGraphicFramePr>
            <a:graphic>
              <a:graphicData uri="http://schemas.openxmlformats.org/drawingml/2006/picture">
                <pic:pic>
                  <pic:nvPicPr>
                    <pic:cNvPr id="55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We</w:t>
      </w:r>
      <w:r>
        <w:rPr>
          <w:spacing w:val="-2"/>
          <w:sz w:val="18"/>
        </w:rPr>
        <w:t> </w:t>
      </w:r>
      <w:r>
        <w:rPr>
          <w:sz w:val="18"/>
        </w:rPr>
        <w:t>give</w:t>
      </w:r>
      <w:r>
        <w:rPr>
          <w:spacing w:val="-2"/>
          <w:sz w:val="18"/>
        </w:rPr>
        <w:t> </w:t>
      </w:r>
      <w:r>
        <w:rPr>
          <w:sz w:val="18"/>
        </w:rPr>
        <w:t>the</w:t>
      </w:r>
      <w:r>
        <w:rPr>
          <w:spacing w:val="-2"/>
          <w:sz w:val="18"/>
        </w:rPr>
        <w:t> </w:t>
      </w:r>
      <w:r>
        <w:rPr>
          <w:sz w:val="18"/>
        </w:rPr>
        <w:t>patient</w:t>
      </w:r>
      <w:r>
        <w:rPr>
          <w:spacing w:val="-4"/>
          <w:sz w:val="18"/>
        </w:rPr>
        <w:t> </w:t>
      </w:r>
      <w:r>
        <w:rPr>
          <w:sz w:val="18"/>
        </w:rPr>
        <w:t>and/</w:t>
      </w:r>
      <w:r>
        <w:rPr>
          <w:spacing w:val="-4"/>
          <w:sz w:val="18"/>
        </w:rPr>
        <w:t> </w:t>
      </w:r>
      <w:r>
        <w:rPr>
          <w:sz w:val="18"/>
        </w:rPr>
        <w:t>or</w:t>
      </w:r>
      <w:r>
        <w:rPr>
          <w:spacing w:val="-2"/>
          <w:sz w:val="18"/>
        </w:rPr>
        <w:t> </w:t>
      </w:r>
      <w:r>
        <w:rPr>
          <w:sz w:val="18"/>
        </w:rPr>
        <w:t>their</w:t>
      </w:r>
      <w:r>
        <w:rPr>
          <w:spacing w:val="-3"/>
          <w:sz w:val="18"/>
        </w:rPr>
        <w:t> </w:t>
      </w:r>
      <w:r>
        <w:rPr>
          <w:sz w:val="18"/>
        </w:rPr>
        <w:t>carer/</w:t>
      </w:r>
      <w:r>
        <w:rPr>
          <w:spacing w:val="-4"/>
          <w:sz w:val="18"/>
        </w:rPr>
        <w:t> </w:t>
      </w:r>
      <w:r>
        <w:rPr>
          <w:sz w:val="18"/>
        </w:rPr>
        <w:t>family</w:t>
      </w:r>
      <w:r>
        <w:rPr>
          <w:spacing w:val="-3"/>
          <w:sz w:val="18"/>
        </w:rPr>
        <w:t> </w:t>
      </w:r>
      <w:r>
        <w:rPr>
          <w:sz w:val="18"/>
        </w:rPr>
        <w:t>access</w:t>
      </w:r>
      <w:r>
        <w:rPr>
          <w:spacing w:val="-4"/>
          <w:sz w:val="18"/>
        </w:rPr>
        <w:t> </w:t>
      </w:r>
      <w:r>
        <w:rPr>
          <w:sz w:val="18"/>
        </w:rPr>
        <w:t>to</w:t>
      </w:r>
      <w:r>
        <w:rPr>
          <w:spacing w:val="-3"/>
          <w:sz w:val="18"/>
        </w:rPr>
        <w:t> </w:t>
      </w:r>
      <w:r>
        <w:rPr>
          <w:sz w:val="18"/>
        </w:rPr>
        <w:t>the</w:t>
      </w:r>
      <w:r>
        <w:rPr>
          <w:spacing w:val="-2"/>
          <w:sz w:val="18"/>
        </w:rPr>
        <w:t> </w:t>
      </w:r>
      <w:r>
        <w:rPr>
          <w:sz w:val="18"/>
        </w:rPr>
        <w:t>care</w:t>
      </w:r>
      <w:r>
        <w:rPr>
          <w:spacing w:val="-2"/>
          <w:sz w:val="18"/>
        </w:rPr>
        <w:t> </w:t>
      </w:r>
      <w:r>
        <w:rPr>
          <w:sz w:val="18"/>
        </w:rPr>
        <w:t>plan</w:t>
      </w:r>
      <w:r>
        <w:rPr>
          <w:spacing w:val="-5"/>
          <w:sz w:val="18"/>
        </w:rPr>
        <w:t> </w:t>
      </w:r>
      <w:r>
        <w:rPr>
          <w:sz w:val="18"/>
        </w:rPr>
        <w:t>via</w:t>
      </w:r>
      <w:r>
        <w:rPr>
          <w:spacing w:val="-3"/>
          <w:sz w:val="18"/>
        </w:rPr>
        <w:t> </w:t>
      </w:r>
      <w:r>
        <w:rPr>
          <w:sz w:val="18"/>
        </w:rPr>
        <w:t>a</w:t>
      </w:r>
      <w:r>
        <w:rPr>
          <w:spacing w:val="-2"/>
          <w:sz w:val="18"/>
        </w:rPr>
        <w:t> </w:t>
      </w:r>
      <w:r>
        <w:rPr>
          <w:sz w:val="18"/>
        </w:rPr>
        <w:t>patient</w:t>
      </w:r>
      <w:r>
        <w:rPr>
          <w:spacing w:val="-4"/>
          <w:sz w:val="18"/>
        </w:rPr>
        <w:t> </w:t>
      </w:r>
      <w:r>
        <w:rPr>
          <w:sz w:val="18"/>
        </w:rPr>
        <w:t>portal</w:t>
      </w:r>
      <w:r>
        <w:rPr>
          <w:spacing w:val="-2"/>
          <w:sz w:val="18"/>
        </w:rPr>
        <w:t> </w:t>
      </w:r>
      <w:r>
        <w:rPr>
          <w:sz w:val="18"/>
        </w:rPr>
        <w:t>or</w:t>
      </w:r>
      <w:r>
        <w:rPr>
          <w:spacing w:val="-1"/>
          <w:sz w:val="18"/>
        </w:rPr>
        <w:t> </w:t>
      </w:r>
      <w:r>
        <w:rPr>
          <w:sz w:val="18"/>
        </w:rPr>
        <w:t>through</w:t>
      </w:r>
      <w:r>
        <w:rPr>
          <w:spacing w:val="-2"/>
          <w:sz w:val="18"/>
        </w:rPr>
        <w:t> </w:t>
      </w:r>
      <w:r>
        <w:rPr>
          <w:sz w:val="18"/>
        </w:rPr>
        <w:t>shared</w:t>
      </w:r>
      <w:r>
        <w:rPr>
          <w:spacing w:val="1"/>
          <w:sz w:val="18"/>
        </w:rPr>
        <w:t> </w:t>
      </w:r>
      <w:r>
        <w:rPr>
          <w:sz w:val="18"/>
        </w:rPr>
        <w:t>care</w:t>
      </w:r>
      <w:r>
        <w:rPr>
          <w:spacing w:val="-1"/>
          <w:sz w:val="18"/>
        </w:rPr>
        <w:t> </w:t>
      </w:r>
      <w:r>
        <w:rPr>
          <w:sz w:val="18"/>
        </w:rPr>
        <w:t>planning</w:t>
      </w:r>
      <w:r>
        <w:rPr>
          <w:spacing w:val="-2"/>
          <w:sz w:val="18"/>
        </w:rPr>
        <w:t> </w:t>
      </w:r>
      <w:r>
        <w:rPr>
          <w:sz w:val="18"/>
        </w:rPr>
        <w:t>software.</w:t>
      </w:r>
    </w:p>
    <w:p>
      <w:pPr>
        <w:pStyle w:val="ListParagraph"/>
        <w:numPr>
          <w:ilvl w:val="0"/>
          <w:numId w:val="54"/>
        </w:numPr>
        <w:tabs>
          <w:tab w:pos="935" w:val="left" w:leader="none"/>
        </w:tabs>
        <w:spacing w:line="240" w:lineRule="auto" w:before="0" w:after="0"/>
        <w:ind w:left="781" w:right="4876" w:firstLine="0"/>
        <w:jc w:val="left"/>
        <w:rPr>
          <w:sz w:val="18"/>
        </w:rPr>
      </w:pPr>
      <w:r>
        <w:rPr/>
        <w:drawing>
          <wp:anchor distT="0" distB="0" distL="0" distR="0" allowOverlap="1" layoutInCell="1" locked="0" behindDoc="0" simplePos="0" relativeHeight="15802368">
            <wp:simplePos x="0" y="0"/>
            <wp:positionH relativeFrom="page">
              <wp:posOffset>652565</wp:posOffset>
            </wp:positionH>
            <wp:positionV relativeFrom="paragraph">
              <wp:posOffset>44469</wp:posOffset>
            </wp:positionV>
            <wp:extent cx="58380" cy="72151"/>
            <wp:effectExtent l="0" t="0" r="0" b="0"/>
            <wp:wrapNone/>
            <wp:docPr id="559" name="image13.png"/>
            <wp:cNvGraphicFramePr>
              <a:graphicFrameLocks noChangeAspect="1"/>
            </wp:cNvGraphicFramePr>
            <a:graphic>
              <a:graphicData uri="http://schemas.openxmlformats.org/drawingml/2006/picture">
                <pic:pic>
                  <pic:nvPicPr>
                    <pic:cNvPr id="560"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802880">
            <wp:simplePos x="0" y="0"/>
            <wp:positionH relativeFrom="page">
              <wp:posOffset>652565</wp:posOffset>
            </wp:positionH>
            <wp:positionV relativeFrom="paragraph">
              <wp:posOffset>184675</wp:posOffset>
            </wp:positionV>
            <wp:extent cx="58380" cy="72153"/>
            <wp:effectExtent l="0" t="0" r="0" b="0"/>
            <wp:wrapNone/>
            <wp:docPr id="561" name="image13.png"/>
            <wp:cNvGraphicFramePr>
              <a:graphicFrameLocks noChangeAspect="1"/>
            </wp:cNvGraphicFramePr>
            <a:graphic>
              <a:graphicData uri="http://schemas.openxmlformats.org/drawingml/2006/picture">
                <pic:pic>
                  <pic:nvPicPr>
                    <pic:cNvPr id="562" name="image13.png"/>
                    <pic:cNvPicPr/>
                  </pic:nvPicPr>
                  <pic:blipFill>
                    <a:blip r:embed="rId41" cstate="print"/>
                    <a:stretch>
                      <a:fillRect/>
                    </a:stretch>
                  </pic:blipFill>
                  <pic:spPr>
                    <a:xfrm>
                      <a:off x="0" y="0"/>
                      <a:ext cx="58380" cy="72153"/>
                    </a:xfrm>
                    <a:prstGeom prst="rect">
                      <a:avLst/>
                    </a:prstGeom>
                  </pic:spPr>
                </pic:pic>
              </a:graphicData>
            </a:graphic>
          </wp:anchor>
        </w:drawing>
      </w:r>
      <w:r>
        <w:rPr>
          <w:sz w:val="18"/>
        </w:rPr>
        <w:t>We load the patient's care plan into their My Health Record.</w:t>
      </w:r>
      <w:r>
        <w:rPr>
          <w:spacing w:val="-47"/>
          <w:sz w:val="18"/>
        </w:rPr>
        <w:t> </w:t>
      </w:r>
      <w:r>
        <w:rPr>
          <w:sz w:val="18"/>
        </w:rPr>
        <w:t>5</w:t>
      </w:r>
      <w:r>
        <w:rPr>
          <w:spacing w:val="-1"/>
          <w:sz w:val="18"/>
        </w:rPr>
        <w:t> </w:t>
      </w:r>
      <w:r>
        <w:rPr>
          <w:sz w:val="18"/>
        </w:rPr>
        <w:t>Other.</w:t>
      </w:r>
      <w:r>
        <w:rPr>
          <w:spacing w:val="-2"/>
          <w:sz w:val="18"/>
        </w:rPr>
        <w:t> </w:t>
      </w:r>
      <w:r>
        <w:rPr>
          <w:sz w:val="18"/>
        </w:rPr>
        <w:t>Please describe:</w:t>
      </w:r>
    </w:p>
    <w:p>
      <w:pPr>
        <w:pStyle w:val="BodyText"/>
      </w:pPr>
    </w:p>
    <w:p>
      <w:pPr>
        <w:pStyle w:val="BodyText"/>
        <w:spacing w:before="7"/>
        <w:rPr>
          <w:sz w:val="25"/>
        </w:rPr>
      </w:pPr>
      <w:r>
        <w:rPr/>
        <w:pict>
          <v:rect style="position:absolute;margin-left:34.560001pt;margin-top:16.880449pt;width:526.3pt;height:.48001pt;mso-position-horizontal-relative:page;mso-position-vertical-relative:paragraph;z-index:-15659008;mso-wrap-distance-left:0;mso-wrap-distance-right:0" id="docshape148" filled="true" fillcolor="#d9d9d9" stroked="false">
            <v:fill type="solid"/>
            <w10:wrap type="topAndBottom"/>
          </v:rect>
        </w:pict>
      </w:r>
    </w:p>
    <w:p>
      <w:pPr>
        <w:pStyle w:val="BodyText"/>
        <w:spacing w:before="2"/>
        <w:rPr>
          <w:sz w:val="8"/>
        </w:rPr>
      </w:pPr>
    </w:p>
    <w:p>
      <w:pPr>
        <w:pStyle w:val="ListParagraph"/>
        <w:numPr>
          <w:ilvl w:val="0"/>
          <w:numId w:val="43"/>
        </w:numPr>
        <w:tabs>
          <w:tab w:pos="424" w:val="left" w:leader="none"/>
        </w:tabs>
        <w:spacing w:line="240" w:lineRule="auto" w:before="100" w:after="0"/>
        <w:ind w:left="423" w:right="0" w:hanging="284"/>
        <w:jc w:val="left"/>
        <w:rPr>
          <w:sz w:val="18"/>
        </w:rPr>
      </w:pPr>
      <w:r>
        <w:rPr>
          <w:sz w:val="18"/>
        </w:rPr>
        <w:t>How</w:t>
      </w:r>
      <w:r>
        <w:rPr>
          <w:spacing w:val="-5"/>
          <w:sz w:val="18"/>
        </w:rPr>
        <w:t> </w:t>
      </w:r>
      <w:r>
        <w:rPr>
          <w:sz w:val="18"/>
        </w:rPr>
        <w:t>useful</w:t>
      </w:r>
      <w:r>
        <w:rPr>
          <w:spacing w:val="-3"/>
          <w:sz w:val="18"/>
        </w:rPr>
        <w:t> </w:t>
      </w:r>
      <w:r>
        <w:rPr>
          <w:sz w:val="18"/>
        </w:rPr>
        <w:t>has</w:t>
      </w:r>
      <w:r>
        <w:rPr>
          <w:spacing w:val="-1"/>
          <w:sz w:val="18"/>
        </w:rPr>
        <w:t> </w:t>
      </w:r>
      <w:r>
        <w:rPr>
          <w:sz w:val="18"/>
        </w:rPr>
        <w:t>My</w:t>
      </w:r>
      <w:r>
        <w:rPr>
          <w:spacing w:val="-3"/>
          <w:sz w:val="18"/>
        </w:rPr>
        <w:t> </w:t>
      </w:r>
      <w:r>
        <w:rPr>
          <w:sz w:val="18"/>
        </w:rPr>
        <w:t>Health</w:t>
      </w:r>
      <w:r>
        <w:rPr>
          <w:spacing w:val="-5"/>
          <w:sz w:val="18"/>
        </w:rPr>
        <w:t> </w:t>
      </w:r>
      <w:r>
        <w:rPr>
          <w:sz w:val="18"/>
        </w:rPr>
        <w:t>Record</w:t>
      </w:r>
      <w:r>
        <w:rPr>
          <w:spacing w:val="-1"/>
          <w:sz w:val="18"/>
        </w:rPr>
        <w:t> </w:t>
      </w:r>
      <w:r>
        <w:rPr>
          <w:sz w:val="18"/>
        </w:rPr>
        <w:t>been</w:t>
      </w:r>
      <w:r>
        <w:rPr>
          <w:spacing w:val="-3"/>
          <w:sz w:val="18"/>
        </w:rPr>
        <w:t> </w:t>
      </w:r>
      <w:r>
        <w:rPr>
          <w:sz w:val="18"/>
        </w:rPr>
        <w:t>for</w:t>
      </w:r>
      <w:r>
        <w:rPr>
          <w:spacing w:val="-3"/>
          <w:sz w:val="18"/>
        </w:rPr>
        <w:t> </w:t>
      </w:r>
      <w:r>
        <w:rPr>
          <w:sz w:val="18"/>
        </w:rPr>
        <w:t>sharing</w:t>
      </w:r>
      <w:r>
        <w:rPr>
          <w:spacing w:val="-5"/>
          <w:sz w:val="18"/>
        </w:rPr>
        <w:t> </w:t>
      </w:r>
      <w:r>
        <w:rPr>
          <w:sz w:val="18"/>
        </w:rPr>
        <w:t>care</w:t>
      </w:r>
      <w:r>
        <w:rPr>
          <w:spacing w:val="-3"/>
          <w:sz w:val="18"/>
        </w:rPr>
        <w:t> </w:t>
      </w:r>
      <w:r>
        <w:rPr>
          <w:sz w:val="18"/>
        </w:rPr>
        <w:t>plans</w:t>
      </w:r>
      <w:r>
        <w:rPr>
          <w:spacing w:val="-3"/>
          <w:sz w:val="18"/>
        </w:rPr>
        <w:t> </w:t>
      </w:r>
      <w:r>
        <w:rPr>
          <w:sz w:val="18"/>
        </w:rPr>
        <w:t>with</w:t>
      </w:r>
      <w:r>
        <w:rPr>
          <w:spacing w:val="-2"/>
          <w:sz w:val="18"/>
        </w:rPr>
        <w:t> </w:t>
      </w:r>
      <w:r>
        <w:rPr>
          <w:sz w:val="18"/>
        </w:rPr>
        <w:t>patients</w:t>
      </w:r>
      <w:r>
        <w:rPr>
          <w:spacing w:val="-4"/>
          <w:sz w:val="18"/>
        </w:rPr>
        <w:t> </w:t>
      </w:r>
      <w:r>
        <w:rPr>
          <w:sz w:val="18"/>
        </w:rPr>
        <w:t>and/</w:t>
      </w:r>
      <w:r>
        <w:rPr>
          <w:spacing w:val="-2"/>
          <w:sz w:val="18"/>
        </w:rPr>
        <w:t> </w:t>
      </w:r>
      <w:r>
        <w:rPr>
          <w:sz w:val="18"/>
        </w:rPr>
        <w:t>or</w:t>
      </w:r>
      <w:r>
        <w:rPr>
          <w:spacing w:val="-3"/>
          <w:sz w:val="18"/>
        </w:rPr>
        <w:t> </w:t>
      </w:r>
      <w:r>
        <w:rPr>
          <w:sz w:val="18"/>
        </w:rPr>
        <w:t>their</w:t>
      </w:r>
      <w:r>
        <w:rPr>
          <w:spacing w:val="-4"/>
          <w:sz w:val="18"/>
        </w:rPr>
        <w:t> </w:t>
      </w:r>
      <w:r>
        <w:rPr>
          <w:sz w:val="18"/>
        </w:rPr>
        <w:t>carer/</w:t>
      </w:r>
      <w:r>
        <w:rPr>
          <w:spacing w:val="-4"/>
          <w:sz w:val="18"/>
        </w:rPr>
        <w:t> </w:t>
      </w:r>
      <w:r>
        <w:rPr>
          <w:sz w:val="18"/>
        </w:rPr>
        <w:t>family?</w:t>
      </w:r>
    </w:p>
    <w:p>
      <w:pPr>
        <w:pStyle w:val="BodyText"/>
        <w:spacing w:before="9"/>
        <w:rPr>
          <w:sz w:val="14"/>
        </w:rPr>
      </w:pPr>
    </w:p>
    <w:p>
      <w:pPr>
        <w:pStyle w:val="ListParagraph"/>
        <w:numPr>
          <w:ilvl w:val="0"/>
          <w:numId w:val="55"/>
        </w:numPr>
        <w:tabs>
          <w:tab w:pos="932" w:val="left" w:leader="none"/>
        </w:tabs>
        <w:spacing w:line="240" w:lineRule="auto" w:before="100" w:after="0"/>
        <w:ind w:left="931" w:right="0" w:hanging="151"/>
        <w:jc w:val="left"/>
        <w:rPr>
          <w:sz w:val="18"/>
        </w:rPr>
      </w:pPr>
      <w:r>
        <w:rPr/>
        <w:drawing>
          <wp:anchor distT="0" distB="0" distL="0" distR="0" allowOverlap="1" layoutInCell="1" locked="0" behindDoc="0" simplePos="0" relativeHeight="15803392">
            <wp:simplePos x="0" y="0"/>
            <wp:positionH relativeFrom="page">
              <wp:posOffset>652565</wp:posOffset>
            </wp:positionH>
            <wp:positionV relativeFrom="paragraph">
              <wp:posOffset>107968</wp:posOffset>
            </wp:positionV>
            <wp:extent cx="58380" cy="72151"/>
            <wp:effectExtent l="0" t="0" r="0" b="0"/>
            <wp:wrapNone/>
            <wp:docPr id="563" name="image13.png"/>
            <wp:cNvGraphicFramePr>
              <a:graphicFrameLocks noChangeAspect="1"/>
            </wp:cNvGraphicFramePr>
            <a:graphic>
              <a:graphicData uri="http://schemas.openxmlformats.org/drawingml/2006/picture">
                <pic:pic>
                  <pic:nvPicPr>
                    <pic:cNvPr id="56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Very</w:t>
      </w:r>
      <w:r>
        <w:rPr>
          <w:spacing w:val="-4"/>
          <w:sz w:val="18"/>
        </w:rPr>
        <w:t> </w:t>
      </w:r>
      <w:r>
        <w:rPr>
          <w:sz w:val="18"/>
        </w:rPr>
        <w:t>useful</w:t>
      </w:r>
    </w:p>
    <w:p>
      <w:pPr>
        <w:pStyle w:val="ListParagraph"/>
        <w:numPr>
          <w:ilvl w:val="0"/>
          <w:numId w:val="55"/>
        </w:numPr>
        <w:tabs>
          <w:tab w:pos="932" w:val="left" w:leader="none"/>
        </w:tabs>
        <w:spacing w:line="240" w:lineRule="auto" w:before="1" w:after="0"/>
        <w:ind w:left="931" w:right="0" w:hanging="151"/>
        <w:jc w:val="left"/>
        <w:rPr>
          <w:sz w:val="18"/>
        </w:rPr>
      </w:pPr>
      <w:r>
        <w:rPr/>
        <w:drawing>
          <wp:anchor distT="0" distB="0" distL="0" distR="0" allowOverlap="1" layoutInCell="1" locked="0" behindDoc="0" simplePos="0" relativeHeight="15803904">
            <wp:simplePos x="0" y="0"/>
            <wp:positionH relativeFrom="page">
              <wp:posOffset>652565</wp:posOffset>
            </wp:positionH>
            <wp:positionV relativeFrom="paragraph">
              <wp:posOffset>45103</wp:posOffset>
            </wp:positionV>
            <wp:extent cx="58380" cy="72151"/>
            <wp:effectExtent l="0" t="0" r="0" b="0"/>
            <wp:wrapNone/>
            <wp:docPr id="565" name="image13.png"/>
            <wp:cNvGraphicFramePr>
              <a:graphicFrameLocks noChangeAspect="1"/>
            </wp:cNvGraphicFramePr>
            <a:graphic>
              <a:graphicData uri="http://schemas.openxmlformats.org/drawingml/2006/picture">
                <pic:pic>
                  <pic:nvPicPr>
                    <pic:cNvPr id="56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Moderately</w:t>
      </w:r>
      <w:r>
        <w:rPr>
          <w:spacing w:val="-6"/>
          <w:sz w:val="18"/>
        </w:rPr>
        <w:t> </w:t>
      </w:r>
      <w:r>
        <w:rPr>
          <w:sz w:val="18"/>
        </w:rPr>
        <w:t>useful</w:t>
      </w:r>
    </w:p>
    <w:p>
      <w:pPr>
        <w:pStyle w:val="ListParagraph"/>
        <w:numPr>
          <w:ilvl w:val="0"/>
          <w:numId w:val="55"/>
        </w:numPr>
        <w:tabs>
          <w:tab w:pos="932" w:val="left" w:leader="none"/>
        </w:tabs>
        <w:spacing w:line="240" w:lineRule="auto" w:before="0" w:after="0"/>
        <w:ind w:left="931" w:right="0" w:hanging="151"/>
        <w:jc w:val="left"/>
        <w:rPr>
          <w:sz w:val="18"/>
        </w:rPr>
      </w:pPr>
      <w:r>
        <w:rPr/>
        <w:drawing>
          <wp:anchor distT="0" distB="0" distL="0" distR="0" allowOverlap="1" layoutInCell="1" locked="0" behindDoc="0" simplePos="0" relativeHeight="15804416">
            <wp:simplePos x="0" y="0"/>
            <wp:positionH relativeFrom="page">
              <wp:posOffset>652565</wp:posOffset>
            </wp:positionH>
            <wp:positionV relativeFrom="paragraph">
              <wp:posOffset>44468</wp:posOffset>
            </wp:positionV>
            <wp:extent cx="58380" cy="72151"/>
            <wp:effectExtent l="0" t="0" r="0" b="0"/>
            <wp:wrapNone/>
            <wp:docPr id="567" name="image13.png"/>
            <wp:cNvGraphicFramePr>
              <a:graphicFrameLocks noChangeAspect="1"/>
            </wp:cNvGraphicFramePr>
            <a:graphic>
              <a:graphicData uri="http://schemas.openxmlformats.org/drawingml/2006/picture">
                <pic:pic>
                  <pic:nvPicPr>
                    <pic:cNvPr id="56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Limited</w:t>
      </w:r>
    </w:p>
    <w:p>
      <w:pPr>
        <w:pStyle w:val="ListParagraph"/>
        <w:numPr>
          <w:ilvl w:val="0"/>
          <w:numId w:val="55"/>
        </w:numPr>
        <w:tabs>
          <w:tab w:pos="932" w:val="left" w:leader="none"/>
        </w:tabs>
        <w:spacing w:line="240" w:lineRule="auto" w:before="0" w:after="0"/>
        <w:ind w:left="931" w:right="0" w:hanging="151"/>
        <w:jc w:val="left"/>
        <w:rPr>
          <w:sz w:val="18"/>
        </w:rPr>
      </w:pPr>
      <w:r>
        <w:rPr/>
        <w:drawing>
          <wp:anchor distT="0" distB="0" distL="0" distR="0" allowOverlap="1" layoutInCell="1" locked="0" behindDoc="0" simplePos="0" relativeHeight="15804928">
            <wp:simplePos x="0" y="0"/>
            <wp:positionH relativeFrom="page">
              <wp:posOffset>652565</wp:posOffset>
            </wp:positionH>
            <wp:positionV relativeFrom="paragraph">
              <wp:posOffset>44469</wp:posOffset>
            </wp:positionV>
            <wp:extent cx="58380" cy="72151"/>
            <wp:effectExtent l="0" t="0" r="0" b="0"/>
            <wp:wrapNone/>
            <wp:docPr id="569" name="image13.png"/>
            <wp:cNvGraphicFramePr>
              <a:graphicFrameLocks noChangeAspect="1"/>
            </wp:cNvGraphicFramePr>
            <a:graphic>
              <a:graphicData uri="http://schemas.openxmlformats.org/drawingml/2006/picture">
                <pic:pic>
                  <pic:nvPicPr>
                    <pic:cNvPr id="57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Not</w:t>
      </w:r>
      <w:r>
        <w:rPr>
          <w:spacing w:val="-3"/>
          <w:sz w:val="18"/>
        </w:rPr>
        <w:t> </w:t>
      </w:r>
      <w:r>
        <w:rPr>
          <w:sz w:val="18"/>
        </w:rPr>
        <w:t>useful</w:t>
      </w:r>
    </w:p>
    <w:p>
      <w:pPr>
        <w:pStyle w:val="ListParagraph"/>
        <w:numPr>
          <w:ilvl w:val="0"/>
          <w:numId w:val="55"/>
        </w:numPr>
        <w:tabs>
          <w:tab w:pos="932" w:val="left" w:leader="none"/>
        </w:tabs>
        <w:spacing w:line="240" w:lineRule="auto" w:before="0" w:after="0"/>
        <w:ind w:left="931" w:right="0" w:hanging="151"/>
        <w:jc w:val="left"/>
        <w:rPr>
          <w:sz w:val="18"/>
        </w:rPr>
      </w:pPr>
      <w:r>
        <w:rPr/>
        <w:drawing>
          <wp:anchor distT="0" distB="0" distL="0" distR="0" allowOverlap="1" layoutInCell="1" locked="0" behindDoc="0" simplePos="0" relativeHeight="15805440">
            <wp:simplePos x="0" y="0"/>
            <wp:positionH relativeFrom="page">
              <wp:posOffset>652565</wp:posOffset>
            </wp:positionH>
            <wp:positionV relativeFrom="paragraph">
              <wp:posOffset>44275</wp:posOffset>
            </wp:positionV>
            <wp:extent cx="58380" cy="73869"/>
            <wp:effectExtent l="0" t="0" r="0" b="0"/>
            <wp:wrapNone/>
            <wp:docPr id="571" name="image14.png"/>
            <wp:cNvGraphicFramePr>
              <a:graphicFrameLocks noChangeAspect="1"/>
            </wp:cNvGraphicFramePr>
            <a:graphic>
              <a:graphicData uri="http://schemas.openxmlformats.org/drawingml/2006/picture">
                <pic:pic>
                  <pic:nvPicPr>
                    <pic:cNvPr id="572"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Can’t</w:t>
      </w:r>
      <w:r>
        <w:rPr>
          <w:spacing w:val="-4"/>
          <w:sz w:val="18"/>
        </w:rPr>
        <w:t> </w:t>
      </w:r>
      <w:r>
        <w:rPr>
          <w:sz w:val="18"/>
        </w:rPr>
        <w:t>say/don’t</w:t>
      </w:r>
      <w:r>
        <w:rPr>
          <w:spacing w:val="-4"/>
          <w:sz w:val="18"/>
        </w:rPr>
        <w:t> </w:t>
      </w:r>
      <w:r>
        <w:rPr>
          <w:sz w:val="18"/>
        </w:rPr>
        <w:t>know</w:t>
      </w:r>
    </w:p>
    <w:p>
      <w:pPr>
        <w:pStyle w:val="BodyText"/>
        <w:spacing w:before="7"/>
        <w:rPr>
          <w:sz w:val="14"/>
        </w:rPr>
      </w:pPr>
    </w:p>
    <w:p>
      <w:pPr>
        <w:pStyle w:val="ListParagraph"/>
        <w:numPr>
          <w:ilvl w:val="0"/>
          <w:numId w:val="43"/>
        </w:numPr>
        <w:tabs>
          <w:tab w:pos="424" w:val="left" w:leader="none"/>
        </w:tabs>
        <w:spacing w:line="240" w:lineRule="auto" w:before="100" w:after="0"/>
        <w:ind w:left="423" w:right="740" w:hanging="284"/>
        <w:jc w:val="left"/>
        <w:rPr>
          <w:sz w:val="18"/>
        </w:rPr>
      </w:pPr>
      <w:r>
        <w:rPr>
          <w:sz w:val="18"/>
        </w:rPr>
        <w:t>What</w:t>
      </w:r>
      <w:r>
        <w:rPr>
          <w:spacing w:val="-5"/>
          <w:sz w:val="18"/>
        </w:rPr>
        <w:t> </w:t>
      </w:r>
      <w:r>
        <w:rPr>
          <w:sz w:val="18"/>
        </w:rPr>
        <w:t>are</w:t>
      </w:r>
      <w:r>
        <w:rPr>
          <w:spacing w:val="-2"/>
          <w:sz w:val="18"/>
        </w:rPr>
        <w:t> </w:t>
      </w:r>
      <w:r>
        <w:rPr>
          <w:sz w:val="18"/>
        </w:rPr>
        <w:t>the</w:t>
      </w:r>
      <w:r>
        <w:rPr>
          <w:spacing w:val="1"/>
          <w:sz w:val="18"/>
        </w:rPr>
        <w:t> </w:t>
      </w:r>
      <w:r>
        <w:rPr>
          <w:sz w:val="18"/>
        </w:rPr>
        <w:t>main</w:t>
      </w:r>
      <w:r>
        <w:rPr>
          <w:spacing w:val="-3"/>
          <w:sz w:val="18"/>
        </w:rPr>
        <w:t> </w:t>
      </w:r>
      <w:r>
        <w:rPr>
          <w:sz w:val="18"/>
        </w:rPr>
        <w:t>ways</w:t>
      </w:r>
      <w:r>
        <w:rPr>
          <w:spacing w:val="-3"/>
          <w:sz w:val="18"/>
        </w:rPr>
        <w:t> </w:t>
      </w:r>
      <w:r>
        <w:rPr>
          <w:sz w:val="18"/>
        </w:rPr>
        <w:t>in</w:t>
      </w:r>
      <w:r>
        <w:rPr>
          <w:spacing w:val="-4"/>
          <w:sz w:val="18"/>
        </w:rPr>
        <w:t> </w:t>
      </w:r>
      <w:r>
        <w:rPr>
          <w:sz w:val="18"/>
        </w:rPr>
        <w:t>which</w:t>
      </w:r>
      <w:r>
        <w:rPr>
          <w:spacing w:val="-2"/>
          <w:sz w:val="18"/>
        </w:rPr>
        <w:t> </w:t>
      </w:r>
      <w:r>
        <w:rPr>
          <w:sz w:val="18"/>
        </w:rPr>
        <w:t>you</w:t>
      </w:r>
      <w:r>
        <w:rPr>
          <w:spacing w:val="-2"/>
          <w:sz w:val="18"/>
        </w:rPr>
        <w:t> </w:t>
      </w:r>
      <w:r>
        <w:rPr>
          <w:sz w:val="18"/>
        </w:rPr>
        <w:t>share</w:t>
      </w:r>
      <w:r>
        <w:rPr>
          <w:spacing w:val="-3"/>
          <w:sz w:val="18"/>
        </w:rPr>
        <w:t> </w:t>
      </w:r>
      <w:r>
        <w:rPr>
          <w:sz w:val="18"/>
        </w:rPr>
        <w:t>care</w:t>
      </w:r>
      <w:r>
        <w:rPr>
          <w:spacing w:val="-2"/>
          <w:sz w:val="18"/>
        </w:rPr>
        <w:t> </w:t>
      </w:r>
      <w:r>
        <w:rPr>
          <w:sz w:val="18"/>
        </w:rPr>
        <w:t>plans</w:t>
      </w:r>
      <w:r>
        <w:rPr>
          <w:spacing w:val="-4"/>
          <w:sz w:val="18"/>
        </w:rPr>
        <w:t> </w:t>
      </w:r>
      <w:r>
        <w:rPr>
          <w:sz w:val="18"/>
        </w:rPr>
        <w:t>with</w:t>
      </w:r>
      <w:r>
        <w:rPr>
          <w:spacing w:val="-2"/>
          <w:sz w:val="18"/>
        </w:rPr>
        <w:t> </w:t>
      </w:r>
      <w:r>
        <w:rPr>
          <w:sz w:val="18"/>
        </w:rPr>
        <w:t>clinicians</w:t>
      </w:r>
      <w:r>
        <w:rPr>
          <w:spacing w:val="-4"/>
          <w:sz w:val="18"/>
        </w:rPr>
        <w:t> </w:t>
      </w:r>
      <w:r>
        <w:rPr>
          <w:sz w:val="18"/>
        </w:rPr>
        <w:t>outside</w:t>
      </w:r>
      <w:r>
        <w:rPr>
          <w:spacing w:val="-2"/>
          <w:sz w:val="18"/>
        </w:rPr>
        <w:t> </w:t>
      </w:r>
      <w:r>
        <w:rPr>
          <w:sz w:val="18"/>
        </w:rPr>
        <w:t>the</w:t>
      </w:r>
      <w:r>
        <w:rPr>
          <w:spacing w:val="-2"/>
          <w:sz w:val="18"/>
        </w:rPr>
        <w:t> </w:t>
      </w:r>
      <w:r>
        <w:rPr>
          <w:sz w:val="18"/>
        </w:rPr>
        <w:t>practice/</w:t>
      </w:r>
      <w:r>
        <w:rPr>
          <w:spacing w:val="-2"/>
          <w:sz w:val="18"/>
        </w:rPr>
        <w:t> </w:t>
      </w:r>
      <w:r>
        <w:rPr>
          <w:sz w:val="18"/>
        </w:rPr>
        <w:t>service</w:t>
      </w:r>
      <w:r>
        <w:rPr>
          <w:spacing w:val="-5"/>
          <w:sz w:val="18"/>
        </w:rPr>
        <w:t> </w:t>
      </w:r>
      <w:r>
        <w:rPr>
          <w:sz w:val="18"/>
        </w:rPr>
        <w:t>involved</w:t>
      </w:r>
      <w:r>
        <w:rPr>
          <w:spacing w:val="-3"/>
          <w:sz w:val="18"/>
        </w:rPr>
        <w:t> </w:t>
      </w:r>
      <w:r>
        <w:rPr>
          <w:sz w:val="18"/>
        </w:rPr>
        <w:t>in</w:t>
      </w:r>
      <w:r>
        <w:rPr>
          <w:spacing w:val="-2"/>
          <w:sz w:val="18"/>
        </w:rPr>
        <w:t> </w:t>
      </w:r>
      <w:r>
        <w:rPr>
          <w:sz w:val="18"/>
        </w:rPr>
        <w:t>the</w:t>
      </w:r>
      <w:r>
        <w:rPr>
          <w:spacing w:val="1"/>
          <w:sz w:val="18"/>
        </w:rPr>
        <w:t> </w:t>
      </w:r>
      <w:r>
        <w:rPr>
          <w:sz w:val="18"/>
        </w:rPr>
        <w:t>care</w:t>
      </w:r>
      <w:r>
        <w:rPr>
          <w:spacing w:val="-1"/>
          <w:sz w:val="18"/>
        </w:rPr>
        <w:t> </w:t>
      </w:r>
      <w:r>
        <w:rPr>
          <w:sz w:val="18"/>
        </w:rPr>
        <w:t>of the patient?</w:t>
      </w:r>
      <w:r>
        <w:rPr>
          <w:spacing w:val="-1"/>
          <w:sz w:val="18"/>
        </w:rPr>
        <w:t> </w:t>
      </w:r>
      <w:r>
        <w:rPr>
          <w:sz w:val="18"/>
        </w:rPr>
        <w:t>Choose more than</w:t>
      </w:r>
      <w:r>
        <w:rPr>
          <w:spacing w:val="-1"/>
          <w:sz w:val="18"/>
        </w:rPr>
        <w:t> </w:t>
      </w:r>
      <w:r>
        <w:rPr>
          <w:sz w:val="18"/>
        </w:rPr>
        <w:t>one option,</w:t>
      </w:r>
      <w:r>
        <w:rPr>
          <w:spacing w:val="-4"/>
          <w:sz w:val="18"/>
        </w:rPr>
        <w:t> </w:t>
      </w:r>
      <w:r>
        <w:rPr>
          <w:sz w:val="18"/>
        </w:rPr>
        <w:t>if</w:t>
      </w:r>
      <w:r>
        <w:rPr>
          <w:spacing w:val="-1"/>
          <w:sz w:val="18"/>
        </w:rPr>
        <w:t> </w:t>
      </w:r>
      <w:r>
        <w:rPr>
          <w:sz w:val="18"/>
        </w:rPr>
        <w:t>it</w:t>
      </w:r>
      <w:r>
        <w:rPr>
          <w:spacing w:val="-4"/>
          <w:sz w:val="18"/>
        </w:rPr>
        <w:t> </w:t>
      </w:r>
      <w:r>
        <w:rPr>
          <w:sz w:val="18"/>
        </w:rPr>
        <w:t>applies.</w:t>
      </w:r>
    </w:p>
    <w:p>
      <w:pPr>
        <w:pStyle w:val="BodyText"/>
        <w:spacing w:before="9"/>
        <w:rPr>
          <w:sz w:val="14"/>
        </w:rPr>
      </w:pPr>
    </w:p>
    <w:p>
      <w:pPr>
        <w:spacing w:before="100"/>
        <w:ind w:left="781" w:right="3927" w:firstLine="0"/>
        <w:jc w:val="left"/>
        <w:rPr>
          <w:sz w:val="18"/>
        </w:rPr>
      </w:pPr>
      <w:r>
        <w:rPr/>
        <w:drawing>
          <wp:anchor distT="0" distB="0" distL="0" distR="0" allowOverlap="1" layoutInCell="1" locked="0" behindDoc="0" simplePos="0" relativeHeight="15805952">
            <wp:simplePos x="0" y="0"/>
            <wp:positionH relativeFrom="page">
              <wp:posOffset>652565</wp:posOffset>
            </wp:positionH>
            <wp:positionV relativeFrom="paragraph">
              <wp:posOffset>107714</wp:posOffset>
            </wp:positionV>
            <wp:extent cx="58380" cy="72151"/>
            <wp:effectExtent l="0" t="0" r="0" b="0"/>
            <wp:wrapNone/>
            <wp:docPr id="573" name="image13.png"/>
            <wp:cNvGraphicFramePr>
              <a:graphicFrameLocks noChangeAspect="1"/>
            </wp:cNvGraphicFramePr>
            <a:graphic>
              <a:graphicData uri="http://schemas.openxmlformats.org/drawingml/2006/picture">
                <pic:pic>
                  <pic:nvPicPr>
                    <pic:cNvPr id="574"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806464">
            <wp:simplePos x="0" y="0"/>
            <wp:positionH relativeFrom="page">
              <wp:posOffset>652565</wp:posOffset>
            </wp:positionH>
            <wp:positionV relativeFrom="paragraph">
              <wp:posOffset>247922</wp:posOffset>
            </wp:positionV>
            <wp:extent cx="58380" cy="72151"/>
            <wp:effectExtent l="0" t="0" r="0" b="0"/>
            <wp:wrapNone/>
            <wp:docPr id="575" name="image13.png"/>
            <wp:cNvGraphicFramePr>
              <a:graphicFrameLocks noChangeAspect="1"/>
            </wp:cNvGraphicFramePr>
            <a:graphic>
              <a:graphicData uri="http://schemas.openxmlformats.org/drawingml/2006/picture">
                <pic:pic>
                  <pic:nvPicPr>
                    <pic:cNvPr id="57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1 We send a paper version of the shared care plan to relevant clinicians.</w:t>
      </w:r>
      <w:r>
        <w:rPr>
          <w:spacing w:val="-47"/>
          <w:sz w:val="18"/>
        </w:rPr>
        <w:t> </w:t>
      </w:r>
      <w:r>
        <w:rPr>
          <w:sz w:val="18"/>
        </w:rPr>
        <w:t>2</w:t>
      </w:r>
      <w:r>
        <w:rPr>
          <w:spacing w:val="2"/>
          <w:sz w:val="18"/>
        </w:rPr>
        <w:t> </w:t>
      </w:r>
      <w:r>
        <w:rPr>
          <w:sz w:val="18"/>
        </w:rPr>
        <w:t>We</w:t>
      </w:r>
      <w:r>
        <w:rPr>
          <w:spacing w:val="-1"/>
          <w:sz w:val="18"/>
        </w:rPr>
        <w:t> </w:t>
      </w:r>
      <w:r>
        <w:rPr>
          <w:sz w:val="18"/>
        </w:rPr>
        <w:t>email</w:t>
      </w:r>
      <w:r>
        <w:rPr>
          <w:spacing w:val="-1"/>
          <w:sz w:val="18"/>
        </w:rPr>
        <w:t> </w:t>
      </w:r>
      <w:r>
        <w:rPr>
          <w:sz w:val="18"/>
        </w:rPr>
        <w:t>an</w:t>
      </w:r>
      <w:r>
        <w:rPr>
          <w:spacing w:val="-1"/>
          <w:sz w:val="18"/>
        </w:rPr>
        <w:t> </w:t>
      </w:r>
      <w:r>
        <w:rPr>
          <w:sz w:val="18"/>
        </w:rPr>
        <w:t>electronic</w:t>
      </w:r>
      <w:r>
        <w:rPr>
          <w:spacing w:val="-2"/>
          <w:sz w:val="18"/>
        </w:rPr>
        <w:t> </w:t>
      </w:r>
      <w:r>
        <w:rPr>
          <w:sz w:val="18"/>
        </w:rPr>
        <w:t>copy</w:t>
      </w:r>
      <w:r>
        <w:rPr>
          <w:spacing w:val="-2"/>
          <w:sz w:val="18"/>
        </w:rPr>
        <w:t> </w:t>
      </w:r>
      <w:r>
        <w:rPr>
          <w:sz w:val="18"/>
        </w:rPr>
        <w:t>of</w:t>
      </w:r>
      <w:r>
        <w:rPr>
          <w:spacing w:val="-1"/>
          <w:sz w:val="18"/>
        </w:rPr>
        <w:t> </w:t>
      </w:r>
      <w:r>
        <w:rPr>
          <w:sz w:val="18"/>
        </w:rPr>
        <w:t>the</w:t>
      </w:r>
      <w:r>
        <w:rPr>
          <w:spacing w:val="-1"/>
          <w:sz w:val="18"/>
        </w:rPr>
        <w:t> </w:t>
      </w:r>
      <w:r>
        <w:rPr>
          <w:sz w:val="18"/>
        </w:rPr>
        <w:t>plan</w:t>
      </w:r>
      <w:r>
        <w:rPr>
          <w:spacing w:val="-1"/>
          <w:sz w:val="18"/>
        </w:rPr>
        <w:t> </w:t>
      </w:r>
      <w:r>
        <w:rPr>
          <w:sz w:val="18"/>
        </w:rPr>
        <w:t>to</w:t>
      </w:r>
      <w:r>
        <w:rPr>
          <w:spacing w:val="-1"/>
          <w:sz w:val="18"/>
        </w:rPr>
        <w:t> </w:t>
      </w:r>
      <w:r>
        <w:rPr>
          <w:sz w:val="18"/>
        </w:rPr>
        <w:t>relevant</w:t>
      </w:r>
      <w:r>
        <w:rPr>
          <w:spacing w:val="-4"/>
          <w:sz w:val="18"/>
        </w:rPr>
        <w:t> </w:t>
      </w:r>
      <w:r>
        <w:rPr>
          <w:sz w:val="18"/>
        </w:rPr>
        <w:t>clinicians.</w:t>
      </w:r>
    </w:p>
    <w:p>
      <w:pPr>
        <w:pStyle w:val="ListParagraph"/>
        <w:numPr>
          <w:ilvl w:val="0"/>
          <w:numId w:val="56"/>
        </w:numPr>
        <w:tabs>
          <w:tab w:pos="933" w:val="left" w:leader="none"/>
        </w:tabs>
        <w:spacing w:line="240" w:lineRule="auto" w:before="1" w:after="0"/>
        <w:ind w:left="781" w:right="570" w:firstLine="0"/>
        <w:jc w:val="left"/>
        <w:rPr>
          <w:sz w:val="18"/>
        </w:rPr>
      </w:pPr>
      <w:r>
        <w:rPr/>
        <w:drawing>
          <wp:anchor distT="0" distB="0" distL="0" distR="0" allowOverlap="1" layoutInCell="1" locked="0" behindDoc="0" simplePos="0" relativeHeight="15806976">
            <wp:simplePos x="0" y="0"/>
            <wp:positionH relativeFrom="page">
              <wp:posOffset>652565</wp:posOffset>
            </wp:positionH>
            <wp:positionV relativeFrom="paragraph">
              <wp:posOffset>44656</wp:posOffset>
            </wp:positionV>
            <wp:extent cx="58380" cy="73869"/>
            <wp:effectExtent l="0" t="0" r="0" b="0"/>
            <wp:wrapNone/>
            <wp:docPr id="577" name="image14.png"/>
            <wp:cNvGraphicFramePr>
              <a:graphicFrameLocks noChangeAspect="1"/>
            </wp:cNvGraphicFramePr>
            <a:graphic>
              <a:graphicData uri="http://schemas.openxmlformats.org/drawingml/2006/picture">
                <pic:pic>
                  <pic:nvPicPr>
                    <pic:cNvPr id="578"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Clinicians</w:t>
      </w:r>
      <w:r>
        <w:rPr>
          <w:spacing w:val="-4"/>
          <w:sz w:val="18"/>
        </w:rPr>
        <w:t> </w:t>
      </w:r>
      <w:r>
        <w:rPr>
          <w:sz w:val="18"/>
        </w:rPr>
        <w:t>outside</w:t>
      </w:r>
      <w:r>
        <w:rPr>
          <w:spacing w:val="-3"/>
          <w:sz w:val="18"/>
        </w:rPr>
        <w:t> </w:t>
      </w:r>
      <w:r>
        <w:rPr>
          <w:sz w:val="18"/>
        </w:rPr>
        <w:t>of</w:t>
      </w:r>
      <w:r>
        <w:rPr>
          <w:spacing w:val="-2"/>
          <w:sz w:val="18"/>
        </w:rPr>
        <w:t> </w:t>
      </w:r>
      <w:r>
        <w:rPr>
          <w:sz w:val="18"/>
        </w:rPr>
        <w:t>the</w:t>
      </w:r>
      <w:r>
        <w:rPr>
          <w:spacing w:val="-3"/>
          <w:sz w:val="18"/>
        </w:rPr>
        <w:t> </w:t>
      </w:r>
      <w:r>
        <w:rPr>
          <w:sz w:val="18"/>
        </w:rPr>
        <w:t>practice/</w:t>
      </w:r>
      <w:r>
        <w:rPr>
          <w:spacing w:val="-3"/>
          <w:sz w:val="18"/>
        </w:rPr>
        <w:t> </w:t>
      </w:r>
      <w:r>
        <w:rPr>
          <w:sz w:val="18"/>
        </w:rPr>
        <w:t>service</w:t>
      </w:r>
      <w:r>
        <w:rPr>
          <w:spacing w:val="-2"/>
          <w:sz w:val="18"/>
        </w:rPr>
        <w:t> </w:t>
      </w:r>
      <w:r>
        <w:rPr>
          <w:sz w:val="18"/>
        </w:rPr>
        <w:t>can</w:t>
      </w:r>
      <w:r>
        <w:rPr>
          <w:spacing w:val="-5"/>
          <w:sz w:val="18"/>
        </w:rPr>
        <w:t> </w:t>
      </w:r>
      <w:r>
        <w:rPr>
          <w:sz w:val="18"/>
        </w:rPr>
        <w:t>access</w:t>
      </w:r>
      <w:r>
        <w:rPr>
          <w:spacing w:val="-6"/>
          <w:sz w:val="18"/>
        </w:rPr>
        <w:t> </w:t>
      </w:r>
      <w:r>
        <w:rPr>
          <w:sz w:val="18"/>
        </w:rPr>
        <w:t>a</w:t>
      </w:r>
      <w:r>
        <w:rPr>
          <w:spacing w:val="-3"/>
          <w:sz w:val="18"/>
        </w:rPr>
        <w:t> </w:t>
      </w:r>
      <w:r>
        <w:rPr>
          <w:sz w:val="18"/>
        </w:rPr>
        <w:t>patient's</w:t>
      </w:r>
      <w:r>
        <w:rPr>
          <w:spacing w:val="-3"/>
          <w:sz w:val="18"/>
        </w:rPr>
        <w:t> </w:t>
      </w:r>
      <w:r>
        <w:rPr>
          <w:sz w:val="18"/>
        </w:rPr>
        <w:t>plan</w:t>
      </w:r>
      <w:r>
        <w:rPr>
          <w:spacing w:val="-3"/>
          <w:sz w:val="18"/>
        </w:rPr>
        <w:t> </w:t>
      </w:r>
      <w:r>
        <w:rPr>
          <w:sz w:val="18"/>
        </w:rPr>
        <w:t>by</w:t>
      </w:r>
      <w:r>
        <w:rPr>
          <w:spacing w:val="-3"/>
          <w:sz w:val="18"/>
        </w:rPr>
        <w:t> </w:t>
      </w:r>
      <w:r>
        <w:rPr>
          <w:sz w:val="18"/>
        </w:rPr>
        <w:t>logging</w:t>
      </w:r>
      <w:r>
        <w:rPr>
          <w:spacing w:val="-5"/>
          <w:sz w:val="18"/>
        </w:rPr>
        <w:t> </w:t>
      </w:r>
      <w:r>
        <w:rPr>
          <w:sz w:val="18"/>
        </w:rPr>
        <w:t>into</w:t>
      </w:r>
      <w:r>
        <w:rPr>
          <w:spacing w:val="-2"/>
          <w:sz w:val="18"/>
        </w:rPr>
        <w:t> </w:t>
      </w:r>
      <w:r>
        <w:rPr>
          <w:sz w:val="18"/>
        </w:rPr>
        <w:t>a</w:t>
      </w:r>
      <w:r>
        <w:rPr>
          <w:spacing w:val="-4"/>
          <w:sz w:val="18"/>
        </w:rPr>
        <w:t> </w:t>
      </w:r>
      <w:r>
        <w:rPr>
          <w:sz w:val="18"/>
        </w:rPr>
        <w:t>common</w:t>
      </w:r>
      <w:r>
        <w:rPr>
          <w:spacing w:val="-3"/>
          <w:sz w:val="18"/>
        </w:rPr>
        <w:t> </w:t>
      </w:r>
      <w:r>
        <w:rPr>
          <w:sz w:val="18"/>
        </w:rPr>
        <w:t>shared</w:t>
      </w:r>
      <w:r>
        <w:rPr>
          <w:spacing w:val="-3"/>
          <w:sz w:val="18"/>
        </w:rPr>
        <w:t> </w:t>
      </w:r>
      <w:r>
        <w:rPr>
          <w:sz w:val="18"/>
        </w:rPr>
        <w:t>care</w:t>
      </w:r>
      <w:r>
        <w:rPr>
          <w:spacing w:val="1"/>
          <w:sz w:val="18"/>
        </w:rPr>
        <w:t> </w:t>
      </w:r>
      <w:r>
        <w:rPr>
          <w:sz w:val="18"/>
        </w:rPr>
        <w:t>planning</w:t>
      </w:r>
      <w:r>
        <w:rPr>
          <w:spacing w:val="-3"/>
          <w:sz w:val="18"/>
        </w:rPr>
        <w:t> </w:t>
      </w:r>
      <w:r>
        <w:rPr>
          <w:sz w:val="18"/>
        </w:rPr>
        <w:t>software application.</w:t>
      </w:r>
    </w:p>
    <w:p>
      <w:pPr>
        <w:pStyle w:val="ListParagraph"/>
        <w:numPr>
          <w:ilvl w:val="0"/>
          <w:numId w:val="56"/>
        </w:numPr>
        <w:tabs>
          <w:tab w:pos="935" w:val="left" w:leader="none"/>
        </w:tabs>
        <w:spacing w:line="240" w:lineRule="auto" w:before="0" w:after="0"/>
        <w:ind w:left="781" w:right="5428" w:firstLine="0"/>
        <w:jc w:val="left"/>
        <w:rPr>
          <w:sz w:val="18"/>
        </w:rPr>
      </w:pPr>
      <w:r>
        <w:rPr/>
        <w:drawing>
          <wp:anchor distT="0" distB="0" distL="0" distR="0" allowOverlap="1" layoutInCell="1" locked="0" behindDoc="0" simplePos="0" relativeHeight="15807488">
            <wp:simplePos x="0" y="0"/>
            <wp:positionH relativeFrom="page">
              <wp:posOffset>652565</wp:posOffset>
            </wp:positionH>
            <wp:positionV relativeFrom="paragraph">
              <wp:posOffset>44214</wp:posOffset>
            </wp:positionV>
            <wp:extent cx="58380" cy="72151"/>
            <wp:effectExtent l="0" t="0" r="0" b="0"/>
            <wp:wrapNone/>
            <wp:docPr id="579" name="image13.png"/>
            <wp:cNvGraphicFramePr>
              <a:graphicFrameLocks noChangeAspect="1"/>
            </wp:cNvGraphicFramePr>
            <a:graphic>
              <a:graphicData uri="http://schemas.openxmlformats.org/drawingml/2006/picture">
                <pic:pic>
                  <pic:nvPicPr>
                    <pic:cNvPr id="580"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808000">
            <wp:simplePos x="0" y="0"/>
            <wp:positionH relativeFrom="page">
              <wp:posOffset>652565</wp:posOffset>
            </wp:positionH>
            <wp:positionV relativeFrom="paragraph">
              <wp:posOffset>184422</wp:posOffset>
            </wp:positionV>
            <wp:extent cx="58380" cy="72151"/>
            <wp:effectExtent l="0" t="0" r="0" b="0"/>
            <wp:wrapNone/>
            <wp:docPr id="581" name="image13.png"/>
            <wp:cNvGraphicFramePr>
              <a:graphicFrameLocks noChangeAspect="1"/>
            </wp:cNvGraphicFramePr>
            <a:graphic>
              <a:graphicData uri="http://schemas.openxmlformats.org/drawingml/2006/picture">
                <pic:pic>
                  <pic:nvPicPr>
                    <pic:cNvPr id="58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We load the plan into the patient's My Health Record.</w:t>
      </w:r>
      <w:r>
        <w:rPr>
          <w:spacing w:val="-48"/>
          <w:sz w:val="18"/>
        </w:rPr>
        <w:t> </w:t>
      </w:r>
      <w:r>
        <w:rPr>
          <w:sz w:val="18"/>
        </w:rPr>
        <w:t>5 Other.</w:t>
      </w:r>
      <w:r>
        <w:rPr>
          <w:spacing w:val="-2"/>
          <w:sz w:val="18"/>
        </w:rPr>
        <w:t> </w:t>
      </w:r>
      <w:r>
        <w:rPr>
          <w:sz w:val="18"/>
        </w:rPr>
        <w:t>Please describe:</w:t>
      </w:r>
    </w:p>
    <w:p>
      <w:pPr>
        <w:pStyle w:val="BodyText"/>
      </w:pPr>
    </w:p>
    <w:p>
      <w:pPr>
        <w:pStyle w:val="BodyText"/>
        <w:spacing w:before="6"/>
        <w:rPr>
          <w:sz w:val="25"/>
        </w:rPr>
      </w:pPr>
      <w:r>
        <w:rPr/>
        <w:pict>
          <v:rect style="position:absolute;margin-left:34.560001pt;margin-top:16.852070pt;width:526.3pt;height:.47998pt;mso-position-horizontal-relative:page;mso-position-vertical-relative:paragraph;z-index:-15658496;mso-wrap-distance-left:0;mso-wrap-distance-right:0" id="docshape149" filled="true" fillcolor="#d9d9d9" stroked="false">
            <v:fill type="solid"/>
            <w10:wrap type="topAndBottom"/>
          </v:rect>
        </w:pict>
      </w:r>
    </w:p>
    <w:p>
      <w:pPr>
        <w:pStyle w:val="BodyText"/>
        <w:spacing w:before="2"/>
        <w:rPr>
          <w:sz w:val="8"/>
        </w:rPr>
      </w:pPr>
    </w:p>
    <w:p>
      <w:pPr>
        <w:pStyle w:val="ListParagraph"/>
        <w:numPr>
          <w:ilvl w:val="0"/>
          <w:numId w:val="43"/>
        </w:numPr>
        <w:tabs>
          <w:tab w:pos="424" w:val="left" w:leader="none"/>
        </w:tabs>
        <w:spacing w:line="240" w:lineRule="auto" w:before="100" w:after="0"/>
        <w:ind w:left="423" w:right="0" w:hanging="284"/>
        <w:jc w:val="left"/>
        <w:rPr>
          <w:sz w:val="18"/>
        </w:rPr>
      </w:pPr>
      <w:r>
        <w:rPr>
          <w:sz w:val="18"/>
        </w:rPr>
        <w:t>What</w:t>
      </w:r>
      <w:r>
        <w:rPr>
          <w:spacing w:val="-4"/>
          <w:sz w:val="18"/>
        </w:rPr>
        <w:t> </w:t>
      </w:r>
      <w:r>
        <w:rPr>
          <w:sz w:val="18"/>
        </w:rPr>
        <w:t>shared</w:t>
      </w:r>
      <w:r>
        <w:rPr>
          <w:spacing w:val="-3"/>
          <w:sz w:val="18"/>
        </w:rPr>
        <w:t> </w:t>
      </w:r>
      <w:r>
        <w:rPr>
          <w:sz w:val="18"/>
        </w:rPr>
        <w:t>care</w:t>
      </w:r>
      <w:r>
        <w:rPr>
          <w:spacing w:val="-2"/>
          <w:sz w:val="18"/>
        </w:rPr>
        <w:t> </w:t>
      </w:r>
      <w:r>
        <w:rPr>
          <w:sz w:val="18"/>
        </w:rPr>
        <w:t>planning</w:t>
      </w:r>
      <w:r>
        <w:rPr>
          <w:spacing w:val="-4"/>
          <w:sz w:val="18"/>
        </w:rPr>
        <w:t> </w:t>
      </w:r>
      <w:r>
        <w:rPr>
          <w:sz w:val="18"/>
        </w:rPr>
        <w:t>software</w:t>
      </w:r>
      <w:r>
        <w:rPr>
          <w:spacing w:val="-2"/>
          <w:sz w:val="18"/>
        </w:rPr>
        <w:t> </w:t>
      </w:r>
      <w:r>
        <w:rPr>
          <w:sz w:val="18"/>
        </w:rPr>
        <w:t>do</w:t>
      </w:r>
      <w:r>
        <w:rPr>
          <w:spacing w:val="-3"/>
          <w:sz w:val="18"/>
        </w:rPr>
        <w:t> </w:t>
      </w:r>
      <w:r>
        <w:rPr>
          <w:sz w:val="18"/>
        </w:rPr>
        <w:t>you</w:t>
      </w:r>
      <w:r>
        <w:rPr>
          <w:spacing w:val="-2"/>
          <w:sz w:val="18"/>
        </w:rPr>
        <w:t> </w:t>
      </w:r>
      <w:r>
        <w:rPr>
          <w:sz w:val="18"/>
        </w:rPr>
        <w:t>use</w:t>
      </w:r>
      <w:r>
        <w:rPr>
          <w:spacing w:val="-1"/>
          <w:sz w:val="18"/>
        </w:rPr>
        <w:t> </w:t>
      </w:r>
      <w:r>
        <w:rPr>
          <w:sz w:val="18"/>
        </w:rPr>
        <w:t>or</w:t>
      </w:r>
      <w:r>
        <w:rPr>
          <w:spacing w:val="-4"/>
          <w:sz w:val="18"/>
        </w:rPr>
        <w:t> </w:t>
      </w:r>
      <w:r>
        <w:rPr>
          <w:sz w:val="18"/>
        </w:rPr>
        <w:t>decided</w:t>
      </w:r>
      <w:r>
        <w:rPr>
          <w:spacing w:val="-3"/>
          <w:sz w:val="18"/>
        </w:rPr>
        <w:t> </w:t>
      </w:r>
      <w:r>
        <w:rPr>
          <w:sz w:val="18"/>
        </w:rPr>
        <w:t>to</w:t>
      </w:r>
      <w:r>
        <w:rPr>
          <w:spacing w:val="-3"/>
          <w:sz w:val="18"/>
        </w:rPr>
        <w:t> </w:t>
      </w:r>
      <w:r>
        <w:rPr>
          <w:sz w:val="18"/>
        </w:rPr>
        <w:t>use?</w:t>
      </w:r>
      <w:r>
        <w:rPr>
          <w:spacing w:val="-2"/>
          <w:sz w:val="18"/>
        </w:rPr>
        <w:t> </w:t>
      </w:r>
      <w:r>
        <w:rPr>
          <w:sz w:val="18"/>
        </w:rPr>
        <w:t>Choose</w:t>
      </w:r>
      <w:r>
        <w:rPr>
          <w:spacing w:val="-2"/>
          <w:sz w:val="18"/>
        </w:rPr>
        <w:t> </w:t>
      </w:r>
      <w:r>
        <w:rPr>
          <w:sz w:val="18"/>
        </w:rPr>
        <w:t>more</w:t>
      </w:r>
      <w:r>
        <w:rPr>
          <w:spacing w:val="-2"/>
          <w:sz w:val="18"/>
        </w:rPr>
        <w:t> </w:t>
      </w:r>
      <w:r>
        <w:rPr>
          <w:sz w:val="18"/>
        </w:rPr>
        <w:t>than</w:t>
      </w:r>
      <w:r>
        <w:rPr>
          <w:spacing w:val="-2"/>
          <w:sz w:val="18"/>
        </w:rPr>
        <w:t> </w:t>
      </w:r>
      <w:r>
        <w:rPr>
          <w:sz w:val="18"/>
        </w:rPr>
        <w:t>one</w:t>
      </w:r>
      <w:r>
        <w:rPr>
          <w:spacing w:val="-1"/>
          <w:sz w:val="18"/>
        </w:rPr>
        <w:t> </w:t>
      </w:r>
      <w:r>
        <w:rPr>
          <w:sz w:val="18"/>
        </w:rPr>
        <w:t>option,</w:t>
      </w:r>
      <w:r>
        <w:rPr>
          <w:spacing w:val="-4"/>
          <w:sz w:val="18"/>
        </w:rPr>
        <w:t> </w:t>
      </w:r>
      <w:r>
        <w:rPr>
          <w:sz w:val="18"/>
        </w:rPr>
        <w:t>if</w:t>
      </w:r>
      <w:r>
        <w:rPr>
          <w:spacing w:val="-6"/>
          <w:sz w:val="18"/>
        </w:rPr>
        <w:t> </w:t>
      </w:r>
      <w:r>
        <w:rPr>
          <w:sz w:val="18"/>
        </w:rPr>
        <w:t>it</w:t>
      </w:r>
      <w:r>
        <w:rPr>
          <w:spacing w:val="-3"/>
          <w:sz w:val="18"/>
        </w:rPr>
        <w:t> </w:t>
      </w:r>
      <w:r>
        <w:rPr>
          <w:sz w:val="18"/>
        </w:rPr>
        <w:t>applies.</w:t>
      </w:r>
    </w:p>
    <w:p>
      <w:pPr>
        <w:pStyle w:val="BodyText"/>
        <w:spacing w:before="7"/>
        <w:rPr>
          <w:sz w:val="14"/>
        </w:rPr>
      </w:pPr>
    </w:p>
    <w:p>
      <w:pPr>
        <w:spacing w:before="101"/>
        <w:ind w:left="781" w:right="4517" w:firstLine="0"/>
        <w:jc w:val="left"/>
        <w:rPr>
          <w:sz w:val="18"/>
        </w:rPr>
      </w:pPr>
      <w:r>
        <w:rPr/>
        <w:drawing>
          <wp:anchor distT="0" distB="0" distL="0" distR="0" allowOverlap="1" layoutInCell="1" locked="0" behindDoc="0" simplePos="0" relativeHeight="15808512">
            <wp:simplePos x="0" y="0"/>
            <wp:positionH relativeFrom="page">
              <wp:posOffset>652565</wp:posOffset>
            </wp:positionH>
            <wp:positionV relativeFrom="paragraph">
              <wp:posOffset>107968</wp:posOffset>
            </wp:positionV>
            <wp:extent cx="58380" cy="72151"/>
            <wp:effectExtent l="0" t="0" r="0" b="0"/>
            <wp:wrapNone/>
            <wp:docPr id="583" name="image13.png"/>
            <wp:cNvGraphicFramePr>
              <a:graphicFrameLocks noChangeAspect="1"/>
            </wp:cNvGraphicFramePr>
            <a:graphic>
              <a:graphicData uri="http://schemas.openxmlformats.org/drawingml/2006/picture">
                <pic:pic>
                  <pic:nvPicPr>
                    <pic:cNvPr id="584"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809024">
            <wp:simplePos x="0" y="0"/>
            <wp:positionH relativeFrom="page">
              <wp:posOffset>652565</wp:posOffset>
            </wp:positionH>
            <wp:positionV relativeFrom="paragraph">
              <wp:posOffset>248176</wp:posOffset>
            </wp:positionV>
            <wp:extent cx="58380" cy="72151"/>
            <wp:effectExtent l="0" t="0" r="0" b="0"/>
            <wp:wrapNone/>
            <wp:docPr id="585" name="image13.png"/>
            <wp:cNvGraphicFramePr>
              <a:graphicFrameLocks noChangeAspect="1"/>
            </wp:cNvGraphicFramePr>
            <a:graphic>
              <a:graphicData uri="http://schemas.openxmlformats.org/drawingml/2006/picture">
                <pic:pic>
                  <pic:nvPicPr>
                    <pic:cNvPr id="58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1</w:t>
      </w:r>
      <w:r>
        <w:rPr>
          <w:spacing w:val="-3"/>
          <w:sz w:val="18"/>
        </w:rPr>
        <w:t> </w:t>
      </w:r>
      <w:r>
        <w:rPr>
          <w:sz w:val="18"/>
        </w:rPr>
        <w:t>cdmNet</w:t>
      </w:r>
      <w:r>
        <w:rPr>
          <w:spacing w:val="-6"/>
          <w:sz w:val="18"/>
        </w:rPr>
        <w:t> </w:t>
      </w:r>
      <w:r>
        <w:rPr>
          <w:sz w:val="18"/>
        </w:rPr>
        <w:t>Coordinated</w:t>
      </w:r>
      <w:r>
        <w:rPr>
          <w:spacing w:val="-4"/>
          <w:sz w:val="18"/>
        </w:rPr>
        <w:t> </w:t>
      </w:r>
      <w:r>
        <w:rPr>
          <w:sz w:val="18"/>
        </w:rPr>
        <w:t>Care</w:t>
      </w:r>
      <w:r>
        <w:rPr>
          <w:spacing w:val="-4"/>
          <w:sz w:val="18"/>
        </w:rPr>
        <w:t> </w:t>
      </w:r>
      <w:r>
        <w:rPr>
          <w:sz w:val="18"/>
        </w:rPr>
        <w:t>Platform</w:t>
      </w:r>
      <w:r>
        <w:rPr>
          <w:spacing w:val="-2"/>
          <w:sz w:val="18"/>
        </w:rPr>
        <w:t> </w:t>
      </w:r>
      <w:r>
        <w:rPr>
          <w:sz w:val="18"/>
        </w:rPr>
        <w:t>(Precedence</w:t>
      </w:r>
      <w:r>
        <w:rPr>
          <w:spacing w:val="-5"/>
          <w:sz w:val="18"/>
        </w:rPr>
        <w:t> </w:t>
      </w:r>
      <w:r>
        <w:rPr>
          <w:sz w:val="18"/>
        </w:rPr>
        <w:t>Health</w:t>
      </w:r>
      <w:r>
        <w:rPr>
          <w:spacing w:val="-4"/>
          <w:sz w:val="18"/>
        </w:rPr>
        <w:t> </w:t>
      </w:r>
      <w:r>
        <w:rPr>
          <w:sz w:val="18"/>
        </w:rPr>
        <w:t>Care)</w:t>
      </w:r>
      <w:r>
        <w:rPr>
          <w:spacing w:val="-47"/>
          <w:sz w:val="18"/>
        </w:rPr>
        <w:t> </w:t>
      </w:r>
      <w:r>
        <w:rPr>
          <w:sz w:val="18"/>
        </w:rPr>
        <w:t>2 Extensia</w:t>
      </w:r>
    </w:p>
    <w:p>
      <w:pPr>
        <w:pStyle w:val="ListParagraph"/>
        <w:numPr>
          <w:ilvl w:val="0"/>
          <w:numId w:val="57"/>
        </w:numPr>
        <w:tabs>
          <w:tab w:pos="933" w:val="left" w:leader="none"/>
        </w:tabs>
        <w:spacing w:line="240" w:lineRule="auto" w:before="0" w:after="0"/>
        <w:ind w:left="932" w:right="0" w:hanging="152"/>
        <w:jc w:val="left"/>
        <w:rPr>
          <w:sz w:val="18"/>
        </w:rPr>
      </w:pPr>
      <w:r>
        <w:rPr/>
        <w:drawing>
          <wp:anchor distT="0" distB="0" distL="0" distR="0" allowOverlap="1" layoutInCell="1" locked="0" behindDoc="0" simplePos="0" relativeHeight="15809536">
            <wp:simplePos x="0" y="0"/>
            <wp:positionH relativeFrom="page">
              <wp:posOffset>652565</wp:posOffset>
            </wp:positionH>
            <wp:positionV relativeFrom="paragraph">
              <wp:posOffset>43833</wp:posOffset>
            </wp:positionV>
            <wp:extent cx="58380" cy="72151"/>
            <wp:effectExtent l="0" t="0" r="0" b="0"/>
            <wp:wrapNone/>
            <wp:docPr id="587" name="image13.png"/>
            <wp:cNvGraphicFramePr>
              <a:graphicFrameLocks noChangeAspect="1"/>
            </wp:cNvGraphicFramePr>
            <a:graphic>
              <a:graphicData uri="http://schemas.openxmlformats.org/drawingml/2006/picture">
                <pic:pic>
                  <pic:nvPicPr>
                    <pic:cNvPr id="58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LinkedEHR</w:t>
      </w:r>
    </w:p>
    <w:p>
      <w:pPr>
        <w:pStyle w:val="ListParagraph"/>
        <w:numPr>
          <w:ilvl w:val="0"/>
          <w:numId w:val="57"/>
        </w:numPr>
        <w:tabs>
          <w:tab w:pos="933" w:val="left" w:leader="none"/>
        </w:tabs>
        <w:spacing w:line="240" w:lineRule="auto" w:before="0" w:after="0"/>
        <w:ind w:left="932" w:right="0" w:hanging="152"/>
        <w:jc w:val="left"/>
        <w:rPr>
          <w:sz w:val="18"/>
        </w:rPr>
      </w:pPr>
      <w:r>
        <w:rPr/>
        <w:drawing>
          <wp:anchor distT="0" distB="0" distL="0" distR="0" allowOverlap="1" layoutInCell="1" locked="0" behindDoc="0" simplePos="0" relativeHeight="15810048">
            <wp:simplePos x="0" y="0"/>
            <wp:positionH relativeFrom="page">
              <wp:posOffset>652565</wp:posOffset>
            </wp:positionH>
            <wp:positionV relativeFrom="paragraph">
              <wp:posOffset>43833</wp:posOffset>
            </wp:positionV>
            <wp:extent cx="58380" cy="72151"/>
            <wp:effectExtent l="0" t="0" r="0" b="0"/>
            <wp:wrapNone/>
            <wp:docPr id="589" name="image13.png"/>
            <wp:cNvGraphicFramePr>
              <a:graphicFrameLocks noChangeAspect="1"/>
            </wp:cNvGraphicFramePr>
            <a:graphic>
              <a:graphicData uri="http://schemas.openxmlformats.org/drawingml/2006/picture">
                <pic:pic>
                  <pic:nvPicPr>
                    <pic:cNvPr id="59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Livecare</w:t>
      </w:r>
      <w:r>
        <w:rPr>
          <w:spacing w:val="-4"/>
          <w:sz w:val="18"/>
        </w:rPr>
        <w:t> </w:t>
      </w:r>
      <w:r>
        <w:rPr>
          <w:sz w:val="18"/>
        </w:rPr>
        <w:t>Australia</w:t>
      </w:r>
    </w:p>
    <w:p>
      <w:pPr>
        <w:pStyle w:val="ListParagraph"/>
        <w:numPr>
          <w:ilvl w:val="0"/>
          <w:numId w:val="57"/>
        </w:numPr>
        <w:tabs>
          <w:tab w:pos="933" w:val="left" w:leader="none"/>
        </w:tabs>
        <w:spacing w:line="240" w:lineRule="auto" w:before="0" w:after="0"/>
        <w:ind w:left="932" w:right="0" w:hanging="152"/>
        <w:jc w:val="left"/>
        <w:rPr>
          <w:sz w:val="18"/>
        </w:rPr>
      </w:pPr>
      <w:r>
        <w:rPr/>
        <w:drawing>
          <wp:anchor distT="0" distB="0" distL="0" distR="0" allowOverlap="1" layoutInCell="1" locked="0" behindDoc="0" simplePos="0" relativeHeight="15810560">
            <wp:simplePos x="0" y="0"/>
            <wp:positionH relativeFrom="page">
              <wp:posOffset>652565</wp:posOffset>
            </wp:positionH>
            <wp:positionV relativeFrom="paragraph">
              <wp:posOffset>43833</wp:posOffset>
            </wp:positionV>
            <wp:extent cx="58380" cy="72151"/>
            <wp:effectExtent l="0" t="0" r="0" b="0"/>
            <wp:wrapNone/>
            <wp:docPr id="591" name="image13.png"/>
            <wp:cNvGraphicFramePr>
              <a:graphicFrameLocks noChangeAspect="1"/>
            </wp:cNvGraphicFramePr>
            <a:graphic>
              <a:graphicData uri="http://schemas.openxmlformats.org/drawingml/2006/picture">
                <pic:pic>
                  <pic:nvPicPr>
                    <pic:cNvPr id="59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ManageMyHealth</w:t>
      </w:r>
      <w:r>
        <w:rPr>
          <w:spacing w:val="-4"/>
          <w:sz w:val="18"/>
        </w:rPr>
        <w:t> </w:t>
      </w:r>
      <w:r>
        <w:rPr>
          <w:sz w:val="18"/>
        </w:rPr>
        <w:t>(Medtech</w:t>
      </w:r>
      <w:r>
        <w:rPr>
          <w:spacing w:val="-3"/>
          <w:sz w:val="18"/>
        </w:rPr>
        <w:t> </w:t>
      </w:r>
      <w:r>
        <w:rPr>
          <w:sz w:val="18"/>
        </w:rPr>
        <w:t>Global)</w:t>
      </w:r>
    </w:p>
    <w:p>
      <w:pPr>
        <w:pStyle w:val="ListParagraph"/>
        <w:numPr>
          <w:ilvl w:val="0"/>
          <w:numId w:val="57"/>
        </w:numPr>
        <w:tabs>
          <w:tab w:pos="933" w:val="left" w:leader="none"/>
        </w:tabs>
        <w:spacing w:line="240" w:lineRule="auto" w:before="0" w:after="0"/>
        <w:ind w:left="781" w:right="4980" w:firstLine="0"/>
        <w:jc w:val="left"/>
        <w:rPr>
          <w:sz w:val="18"/>
        </w:rPr>
      </w:pPr>
      <w:r>
        <w:rPr/>
        <w:drawing>
          <wp:anchor distT="0" distB="0" distL="0" distR="0" allowOverlap="1" layoutInCell="1" locked="0" behindDoc="0" simplePos="0" relativeHeight="15811072">
            <wp:simplePos x="0" y="0"/>
            <wp:positionH relativeFrom="page">
              <wp:posOffset>652565</wp:posOffset>
            </wp:positionH>
            <wp:positionV relativeFrom="paragraph">
              <wp:posOffset>43833</wp:posOffset>
            </wp:positionV>
            <wp:extent cx="58380" cy="72151"/>
            <wp:effectExtent l="0" t="0" r="0" b="0"/>
            <wp:wrapNone/>
            <wp:docPr id="593" name="image13.png"/>
            <wp:cNvGraphicFramePr>
              <a:graphicFrameLocks noChangeAspect="1"/>
            </wp:cNvGraphicFramePr>
            <a:graphic>
              <a:graphicData uri="http://schemas.openxmlformats.org/drawingml/2006/picture">
                <pic:pic>
                  <pic:nvPicPr>
                    <pic:cNvPr id="594"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811584">
            <wp:simplePos x="0" y="0"/>
            <wp:positionH relativeFrom="page">
              <wp:posOffset>652565</wp:posOffset>
            </wp:positionH>
            <wp:positionV relativeFrom="paragraph">
              <wp:posOffset>184041</wp:posOffset>
            </wp:positionV>
            <wp:extent cx="58380" cy="72151"/>
            <wp:effectExtent l="0" t="0" r="0" b="0"/>
            <wp:wrapNone/>
            <wp:docPr id="595" name="image13.png"/>
            <wp:cNvGraphicFramePr>
              <a:graphicFrameLocks noChangeAspect="1"/>
            </wp:cNvGraphicFramePr>
            <a:graphic>
              <a:graphicData uri="http://schemas.openxmlformats.org/drawingml/2006/picture">
                <pic:pic>
                  <pic:nvPicPr>
                    <pic:cNvPr id="59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MyCareManager</w:t>
      </w:r>
      <w:r>
        <w:rPr>
          <w:spacing w:val="-6"/>
          <w:sz w:val="18"/>
        </w:rPr>
        <w:t> </w:t>
      </w:r>
      <w:r>
        <w:rPr>
          <w:sz w:val="18"/>
        </w:rPr>
        <w:t>Client</w:t>
      </w:r>
      <w:r>
        <w:rPr>
          <w:spacing w:val="-5"/>
          <w:sz w:val="18"/>
        </w:rPr>
        <w:t> </w:t>
      </w:r>
      <w:r>
        <w:rPr>
          <w:sz w:val="18"/>
        </w:rPr>
        <w:t>(MCM)</w:t>
      </w:r>
      <w:r>
        <w:rPr>
          <w:spacing w:val="-3"/>
          <w:sz w:val="18"/>
        </w:rPr>
        <w:t> </w:t>
      </w:r>
      <w:r>
        <w:rPr>
          <w:sz w:val="18"/>
        </w:rPr>
        <w:t>Application</w:t>
      </w:r>
      <w:r>
        <w:rPr>
          <w:spacing w:val="-3"/>
          <w:sz w:val="18"/>
        </w:rPr>
        <w:t> </w:t>
      </w:r>
      <w:r>
        <w:rPr>
          <w:sz w:val="18"/>
        </w:rPr>
        <w:t>(Telstra</w:t>
      </w:r>
      <w:r>
        <w:rPr>
          <w:spacing w:val="-7"/>
          <w:sz w:val="18"/>
        </w:rPr>
        <w:t> </w:t>
      </w:r>
      <w:r>
        <w:rPr>
          <w:sz w:val="18"/>
        </w:rPr>
        <w:t>Health)</w:t>
      </w:r>
      <w:r>
        <w:rPr>
          <w:spacing w:val="-47"/>
          <w:sz w:val="18"/>
        </w:rPr>
        <w:t> </w:t>
      </w:r>
      <w:r>
        <w:rPr>
          <w:sz w:val="18"/>
        </w:rPr>
        <w:t>7 Visual Outcomes</w:t>
      </w:r>
    </w:p>
    <w:p>
      <w:pPr>
        <w:spacing w:before="0"/>
        <w:ind w:left="781" w:right="0" w:firstLine="0"/>
        <w:jc w:val="left"/>
        <w:rPr>
          <w:sz w:val="18"/>
        </w:rPr>
      </w:pPr>
      <w:r>
        <w:rPr/>
        <w:drawing>
          <wp:anchor distT="0" distB="0" distL="0" distR="0" allowOverlap="1" layoutInCell="1" locked="0" behindDoc="0" simplePos="0" relativeHeight="15812096">
            <wp:simplePos x="0" y="0"/>
            <wp:positionH relativeFrom="page">
              <wp:posOffset>652565</wp:posOffset>
            </wp:positionH>
            <wp:positionV relativeFrom="paragraph">
              <wp:posOffset>43833</wp:posOffset>
            </wp:positionV>
            <wp:extent cx="58380" cy="72151"/>
            <wp:effectExtent l="0" t="0" r="0" b="0"/>
            <wp:wrapNone/>
            <wp:docPr id="597" name="image13.png"/>
            <wp:cNvGraphicFramePr>
              <a:graphicFrameLocks noChangeAspect="1"/>
            </wp:cNvGraphicFramePr>
            <a:graphic>
              <a:graphicData uri="http://schemas.openxmlformats.org/drawingml/2006/picture">
                <pic:pic>
                  <pic:nvPicPr>
                    <pic:cNvPr id="59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5</w:t>
      </w:r>
      <w:r>
        <w:rPr>
          <w:spacing w:val="-2"/>
          <w:sz w:val="18"/>
        </w:rPr>
        <w:t> </w:t>
      </w:r>
      <w:r>
        <w:rPr>
          <w:sz w:val="18"/>
        </w:rPr>
        <w:t>Other.</w:t>
      </w:r>
      <w:r>
        <w:rPr>
          <w:spacing w:val="-3"/>
          <w:sz w:val="18"/>
        </w:rPr>
        <w:t> </w:t>
      </w:r>
      <w:r>
        <w:rPr>
          <w:sz w:val="18"/>
        </w:rPr>
        <w:t>Please</w:t>
      </w:r>
      <w:r>
        <w:rPr>
          <w:spacing w:val="-3"/>
          <w:sz w:val="18"/>
        </w:rPr>
        <w:t> </w:t>
      </w:r>
      <w:r>
        <w:rPr>
          <w:sz w:val="18"/>
        </w:rPr>
        <w:t>list</w:t>
      </w:r>
      <w:r>
        <w:rPr>
          <w:spacing w:val="-4"/>
          <w:sz w:val="18"/>
        </w:rPr>
        <w:t> </w:t>
      </w:r>
      <w:r>
        <w:rPr>
          <w:sz w:val="18"/>
        </w:rPr>
        <w:t>the</w:t>
      </w:r>
      <w:r>
        <w:rPr>
          <w:spacing w:val="-2"/>
          <w:sz w:val="18"/>
        </w:rPr>
        <w:t> </w:t>
      </w:r>
      <w:r>
        <w:rPr>
          <w:sz w:val="18"/>
        </w:rPr>
        <w:t>product</w:t>
      </w:r>
      <w:r>
        <w:rPr>
          <w:spacing w:val="-2"/>
          <w:sz w:val="18"/>
        </w:rPr>
        <w:t> </w:t>
      </w:r>
      <w:r>
        <w:rPr>
          <w:sz w:val="18"/>
        </w:rPr>
        <w:t>(and</w:t>
      </w:r>
      <w:r>
        <w:rPr>
          <w:spacing w:val="-1"/>
          <w:sz w:val="18"/>
        </w:rPr>
        <w:t> </w:t>
      </w:r>
      <w:r>
        <w:rPr>
          <w:sz w:val="18"/>
        </w:rPr>
        <w:t>vendor</w:t>
      </w:r>
      <w:r>
        <w:rPr>
          <w:spacing w:val="-2"/>
          <w:sz w:val="18"/>
        </w:rPr>
        <w:t> </w:t>
      </w:r>
      <w:r>
        <w:rPr>
          <w:sz w:val="18"/>
        </w:rPr>
        <w:t>if</w:t>
      </w:r>
      <w:r>
        <w:rPr>
          <w:spacing w:val="-5"/>
          <w:sz w:val="18"/>
        </w:rPr>
        <w:t> </w:t>
      </w:r>
      <w:r>
        <w:rPr>
          <w:sz w:val="18"/>
        </w:rPr>
        <w:t>known).</w:t>
      </w:r>
    </w:p>
    <w:p>
      <w:pPr>
        <w:pStyle w:val="BodyText"/>
      </w:pPr>
    </w:p>
    <w:p>
      <w:pPr>
        <w:pStyle w:val="BodyText"/>
        <w:spacing w:before="6"/>
        <w:rPr>
          <w:sz w:val="25"/>
        </w:rPr>
      </w:pPr>
      <w:r>
        <w:rPr/>
        <w:pict>
          <v:rect style="position:absolute;margin-left:34.560001pt;margin-top:16.870449pt;width:526.3pt;height:.47998pt;mso-position-horizontal-relative:page;mso-position-vertical-relative:paragraph;z-index:-15657984;mso-wrap-distance-left:0;mso-wrap-distance-right:0" id="docshape150" filled="true" fillcolor="#d9d9d9" stroked="false">
            <v:fill type="solid"/>
            <w10:wrap type="topAndBottom"/>
          </v:rect>
        </w:pict>
      </w:r>
    </w:p>
    <w:p>
      <w:pPr>
        <w:pStyle w:val="BodyText"/>
        <w:spacing w:before="2"/>
        <w:rPr>
          <w:sz w:val="8"/>
        </w:rPr>
      </w:pPr>
    </w:p>
    <w:p>
      <w:pPr>
        <w:pStyle w:val="ListParagraph"/>
        <w:numPr>
          <w:ilvl w:val="0"/>
          <w:numId w:val="43"/>
        </w:numPr>
        <w:tabs>
          <w:tab w:pos="424" w:val="left" w:leader="none"/>
        </w:tabs>
        <w:spacing w:line="240" w:lineRule="auto" w:before="100" w:after="0"/>
        <w:ind w:left="423" w:right="0" w:hanging="284"/>
        <w:jc w:val="left"/>
        <w:rPr>
          <w:sz w:val="18"/>
        </w:rPr>
      </w:pPr>
      <w:r>
        <w:rPr>
          <w:sz w:val="18"/>
        </w:rPr>
        <w:t>How</w:t>
      </w:r>
      <w:r>
        <w:rPr>
          <w:spacing w:val="-5"/>
          <w:sz w:val="18"/>
        </w:rPr>
        <w:t> </w:t>
      </w:r>
      <w:r>
        <w:rPr>
          <w:sz w:val="18"/>
        </w:rPr>
        <w:t>easy</w:t>
      </w:r>
      <w:r>
        <w:rPr>
          <w:spacing w:val="-3"/>
          <w:sz w:val="18"/>
        </w:rPr>
        <w:t> </w:t>
      </w:r>
      <w:r>
        <w:rPr>
          <w:sz w:val="18"/>
        </w:rPr>
        <w:t>was</w:t>
      </w:r>
      <w:r>
        <w:rPr>
          <w:spacing w:val="-3"/>
          <w:sz w:val="18"/>
        </w:rPr>
        <w:t> </w:t>
      </w:r>
      <w:r>
        <w:rPr>
          <w:sz w:val="18"/>
        </w:rPr>
        <w:t>it</w:t>
      </w:r>
      <w:r>
        <w:rPr>
          <w:spacing w:val="-4"/>
          <w:sz w:val="18"/>
        </w:rPr>
        <w:t> </w:t>
      </w:r>
      <w:r>
        <w:rPr>
          <w:sz w:val="18"/>
        </w:rPr>
        <w:t>to</w:t>
      </w:r>
      <w:r>
        <w:rPr>
          <w:spacing w:val="-3"/>
          <w:sz w:val="18"/>
        </w:rPr>
        <w:t> </w:t>
      </w:r>
      <w:r>
        <w:rPr>
          <w:sz w:val="18"/>
        </w:rPr>
        <w:t>use</w:t>
      </w:r>
      <w:r>
        <w:rPr>
          <w:spacing w:val="-2"/>
          <w:sz w:val="18"/>
        </w:rPr>
        <w:t> </w:t>
      </w:r>
      <w:r>
        <w:rPr>
          <w:sz w:val="18"/>
        </w:rPr>
        <w:t>My</w:t>
      </w:r>
      <w:r>
        <w:rPr>
          <w:spacing w:val="-3"/>
          <w:sz w:val="18"/>
        </w:rPr>
        <w:t> </w:t>
      </w:r>
      <w:r>
        <w:rPr>
          <w:sz w:val="18"/>
        </w:rPr>
        <w:t>Health</w:t>
      </w:r>
      <w:r>
        <w:rPr>
          <w:spacing w:val="-2"/>
          <w:sz w:val="18"/>
        </w:rPr>
        <w:t> </w:t>
      </w:r>
      <w:r>
        <w:rPr>
          <w:sz w:val="18"/>
        </w:rPr>
        <w:t>Record</w:t>
      </w:r>
      <w:r>
        <w:rPr>
          <w:spacing w:val="-3"/>
          <w:sz w:val="18"/>
        </w:rPr>
        <w:t> </w:t>
      </w:r>
      <w:r>
        <w:rPr>
          <w:sz w:val="18"/>
        </w:rPr>
        <w:t>for</w:t>
      </w:r>
      <w:r>
        <w:rPr>
          <w:spacing w:val="-2"/>
          <w:sz w:val="18"/>
        </w:rPr>
        <w:t> </w:t>
      </w:r>
      <w:r>
        <w:rPr>
          <w:sz w:val="18"/>
        </w:rPr>
        <w:t>sharing</w:t>
      </w:r>
      <w:r>
        <w:rPr>
          <w:spacing w:val="-4"/>
          <w:sz w:val="18"/>
        </w:rPr>
        <w:t> </w:t>
      </w:r>
      <w:r>
        <w:rPr>
          <w:sz w:val="18"/>
        </w:rPr>
        <w:t>care</w:t>
      </w:r>
      <w:r>
        <w:rPr>
          <w:spacing w:val="-3"/>
          <w:sz w:val="18"/>
        </w:rPr>
        <w:t> </w:t>
      </w:r>
      <w:r>
        <w:rPr>
          <w:sz w:val="18"/>
        </w:rPr>
        <w:t>plans</w:t>
      </w:r>
      <w:r>
        <w:rPr>
          <w:spacing w:val="-2"/>
          <w:sz w:val="18"/>
        </w:rPr>
        <w:t> </w:t>
      </w:r>
      <w:r>
        <w:rPr>
          <w:sz w:val="18"/>
        </w:rPr>
        <w:t>with</w:t>
      </w:r>
      <w:r>
        <w:rPr>
          <w:spacing w:val="-2"/>
          <w:sz w:val="18"/>
        </w:rPr>
        <w:t> </w:t>
      </w:r>
      <w:r>
        <w:rPr>
          <w:sz w:val="18"/>
        </w:rPr>
        <w:t>other</w:t>
      </w:r>
      <w:r>
        <w:rPr>
          <w:spacing w:val="-2"/>
          <w:sz w:val="18"/>
        </w:rPr>
        <w:t> </w:t>
      </w:r>
      <w:r>
        <w:rPr>
          <w:sz w:val="18"/>
        </w:rPr>
        <w:t>clinicians</w:t>
      </w:r>
      <w:r>
        <w:rPr>
          <w:spacing w:val="-5"/>
          <w:sz w:val="18"/>
        </w:rPr>
        <w:t> </w:t>
      </w:r>
      <w:r>
        <w:rPr>
          <w:sz w:val="18"/>
        </w:rPr>
        <w:t>outside</w:t>
      </w:r>
      <w:r>
        <w:rPr>
          <w:spacing w:val="-2"/>
          <w:sz w:val="18"/>
        </w:rPr>
        <w:t> </w:t>
      </w:r>
      <w:r>
        <w:rPr>
          <w:sz w:val="18"/>
        </w:rPr>
        <w:t>the</w:t>
      </w:r>
      <w:r>
        <w:rPr>
          <w:spacing w:val="-3"/>
          <w:sz w:val="18"/>
        </w:rPr>
        <w:t> </w:t>
      </w:r>
      <w:r>
        <w:rPr>
          <w:sz w:val="18"/>
        </w:rPr>
        <w:t>practice/</w:t>
      </w:r>
      <w:r>
        <w:rPr>
          <w:spacing w:val="-2"/>
          <w:sz w:val="18"/>
        </w:rPr>
        <w:t> </w:t>
      </w:r>
      <w:r>
        <w:rPr>
          <w:sz w:val="18"/>
        </w:rPr>
        <w:t>service?</w:t>
      </w:r>
    </w:p>
    <w:p>
      <w:pPr>
        <w:pStyle w:val="BodyText"/>
        <w:spacing w:before="10"/>
        <w:rPr>
          <w:sz w:val="14"/>
        </w:rPr>
      </w:pPr>
    </w:p>
    <w:p>
      <w:pPr>
        <w:pStyle w:val="ListParagraph"/>
        <w:numPr>
          <w:ilvl w:val="0"/>
          <w:numId w:val="58"/>
        </w:numPr>
        <w:tabs>
          <w:tab w:pos="932" w:val="left" w:leader="none"/>
        </w:tabs>
        <w:spacing w:line="240" w:lineRule="auto" w:before="100" w:after="0"/>
        <w:ind w:left="931" w:right="0" w:hanging="151"/>
        <w:jc w:val="left"/>
        <w:rPr>
          <w:sz w:val="18"/>
        </w:rPr>
      </w:pPr>
      <w:r>
        <w:rPr/>
        <w:drawing>
          <wp:anchor distT="0" distB="0" distL="0" distR="0" allowOverlap="1" layoutInCell="1" locked="0" behindDoc="0" simplePos="0" relativeHeight="15812608">
            <wp:simplePos x="0" y="0"/>
            <wp:positionH relativeFrom="page">
              <wp:posOffset>652565</wp:posOffset>
            </wp:positionH>
            <wp:positionV relativeFrom="paragraph">
              <wp:posOffset>107079</wp:posOffset>
            </wp:positionV>
            <wp:extent cx="58380" cy="72151"/>
            <wp:effectExtent l="0" t="0" r="0" b="0"/>
            <wp:wrapNone/>
            <wp:docPr id="599" name="image13.png"/>
            <wp:cNvGraphicFramePr>
              <a:graphicFrameLocks noChangeAspect="1"/>
            </wp:cNvGraphicFramePr>
            <a:graphic>
              <a:graphicData uri="http://schemas.openxmlformats.org/drawingml/2006/picture">
                <pic:pic>
                  <pic:nvPicPr>
                    <pic:cNvPr id="60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Very</w:t>
      </w:r>
      <w:r>
        <w:rPr>
          <w:spacing w:val="-4"/>
          <w:sz w:val="18"/>
        </w:rPr>
        <w:t> </w:t>
      </w:r>
      <w:r>
        <w:rPr>
          <w:sz w:val="18"/>
        </w:rPr>
        <w:t>easy</w:t>
      </w:r>
    </w:p>
    <w:p>
      <w:pPr>
        <w:pStyle w:val="ListParagraph"/>
        <w:numPr>
          <w:ilvl w:val="0"/>
          <w:numId w:val="58"/>
        </w:numPr>
        <w:tabs>
          <w:tab w:pos="933" w:val="left" w:leader="none"/>
        </w:tabs>
        <w:spacing w:line="240" w:lineRule="auto" w:before="0" w:after="0"/>
        <w:ind w:left="932" w:right="0" w:hanging="152"/>
        <w:jc w:val="left"/>
        <w:rPr>
          <w:sz w:val="18"/>
        </w:rPr>
      </w:pPr>
      <w:r>
        <w:rPr/>
        <w:drawing>
          <wp:anchor distT="0" distB="0" distL="0" distR="0" allowOverlap="1" layoutInCell="1" locked="0" behindDoc="0" simplePos="0" relativeHeight="15813120">
            <wp:simplePos x="0" y="0"/>
            <wp:positionH relativeFrom="page">
              <wp:posOffset>652565</wp:posOffset>
            </wp:positionH>
            <wp:positionV relativeFrom="paragraph">
              <wp:posOffset>43386</wp:posOffset>
            </wp:positionV>
            <wp:extent cx="58380" cy="73869"/>
            <wp:effectExtent l="0" t="0" r="0" b="0"/>
            <wp:wrapNone/>
            <wp:docPr id="601" name="image14.png"/>
            <wp:cNvGraphicFramePr>
              <a:graphicFrameLocks noChangeAspect="1"/>
            </wp:cNvGraphicFramePr>
            <a:graphic>
              <a:graphicData uri="http://schemas.openxmlformats.org/drawingml/2006/picture">
                <pic:pic>
                  <pic:nvPicPr>
                    <pic:cNvPr id="602"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Easy</w:t>
      </w:r>
    </w:p>
    <w:p>
      <w:pPr>
        <w:pStyle w:val="ListParagraph"/>
        <w:numPr>
          <w:ilvl w:val="0"/>
          <w:numId w:val="58"/>
        </w:numPr>
        <w:tabs>
          <w:tab w:pos="933" w:val="left" w:leader="none"/>
        </w:tabs>
        <w:spacing w:line="220" w:lineRule="exact" w:before="0" w:after="0"/>
        <w:ind w:left="932" w:right="0" w:hanging="152"/>
        <w:jc w:val="left"/>
        <w:rPr>
          <w:sz w:val="18"/>
        </w:rPr>
      </w:pPr>
      <w:r>
        <w:rPr/>
        <w:drawing>
          <wp:anchor distT="0" distB="0" distL="0" distR="0" allowOverlap="1" layoutInCell="1" locked="0" behindDoc="0" simplePos="0" relativeHeight="15813632">
            <wp:simplePos x="0" y="0"/>
            <wp:positionH relativeFrom="page">
              <wp:posOffset>652565</wp:posOffset>
            </wp:positionH>
            <wp:positionV relativeFrom="paragraph">
              <wp:posOffset>43579</wp:posOffset>
            </wp:positionV>
            <wp:extent cx="58380" cy="72151"/>
            <wp:effectExtent l="0" t="0" r="0" b="0"/>
            <wp:wrapNone/>
            <wp:docPr id="603" name="image13.png"/>
            <wp:cNvGraphicFramePr>
              <a:graphicFrameLocks noChangeAspect="1"/>
            </wp:cNvGraphicFramePr>
            <a:graphic>
              <a:graphicData uri="http://schemas.openxmlformats.org/drawingml/2006/picture">
                <pic:pic>
                  <pic:nvPicPr>
                    <pic:cNvPr id="60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Neutral</w:t>
      </w:r>
    </w:p>
    <w:p>
      <w:pPr>
        <w:pStyle w:val="ListParagraph"/>
        <w:numPr>
          <w:ilvl w:val="0"/>
          <w:numId w:val="58"/>
        </w:numPr>
        <w:tabs>
          <w:tab w:pos="933" w:val="left" w:leader="none"/>
        </w:tabs>
        <w:spacing w:line="220" w:lineRule="exact" w:before="0" w:after="0"/>
        <w:ind w:left="932" w:right="0" w:hanging="152"/>
        <w:jc w:val="left"/>
        <w:rPr>
          <w:sz w:val="18"/>
        </w:rPr>
      </w:pPr>
      <w:r>
        <w:rPr/>
        <w:drawing>
          <wp:anchor distT="0" distB="0" distL="0" distR="0" allowOverlap="1" layoutInCell="1" locked="0" behindDoc="0" simplePos="0" relativeHeight="15814144">
            <wp:simplePos x="0" y="0"/>
            <wp:positionH relativeFrom="page">
              <wp:posOffset>652565</wp:posOffset>
            </wp:positionH>
            <wp:positionV relativeFrom="paragraph">
              <wp:posOffset>42658</wp:posOffset>
            </wp:positionV>
            <wp:extent cx="58380" cy="73869"/>
            <wp:effectExtent l="0" t="0" r="0" b="0"/>
            <wp:wrapNone/>
            <wp:docPr id="605" name="image14.png"/>
            <wp:cNvGraphicFramePr>
              <a:graphicFrameLocks noChangeAspect="1"/>
            </wp:cNvGraphicFramePr>
            <a:graphic>
              <a:graphicData uri="http://schemas.openxmlformats.org/drawingml/2006/picture">
                <pic:pic>
                  <pic:nvPicPr>
                    <pic:cNvPr id="606"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Difficult</w:t>
      </w:r>
    </w:p>
    <w:p>
      <w:pPr>
        <w:spacing w:after="0" w:line="220" w:lineRule="exact"/>
        <w:jc w:val="left"/>
        <w:rPr>
          <w:sz w:val="18"/>
        </w:rPr>
        <w:sectPr>
          <w:pgSz w:w="11910" w:h="16840"/>
          <w:pgMar w:header="0" w:footer="906" w:top="860" w:bottom="1120" w:left="580" w:right="280"/>
        </w:sectPr>
      </w:pPr>
    </w:p>
    <w:p>
      <w:pPr>
        <w:pStyle w:val="ListParagraph"/>
        <w:numPr>
          <w:ilvl w:val="0"/>
          <w:numId w:val="58"/>
        </w:numPr>
        <w:tabs>
          <w:tab w:pos="933" w:val="left" w:leader="none"/>
        </w:tabs>
        <w:spacing w:line="240" w:lineRule="auto" w:before="75" w:after="0"/>
        <w:ind w:left="932" w:right="0" w:hanging="152"/>
        <w:jc w:val="left"/>
        <w:rPr>
          <w:sz w:val="18"/>
        </w:rPr>
      </w:pPr>
      <w:r>
        <w:rPr/>
        <w:drawing>
          <wp:anchor distT="0" distB="0" distL="0" distR="0" allowOverlap="1" layoutInCell="1" locked="0" behindDoc="0" simplePos="0" relativeHeight="15815168">
            <wp:simplePos x="0" y="0"/>
            <wp:positionH relativeFrom="page">
              <wp:posOffset>652565</wp:posOffset>
            </wp:positionH>
            <wp:positionV relativeFrom="paragraph">
              <wp:posOffset>92535</wp:posOffset>
            </wp:positionV>
            <wp:extent cx="58380" cy="73869"/>
            <wp:effectExtent l="0" t="0" r="0" b="0"/>
            <wp:wrapNone/>
            <wp:docPr id="607" name="image14.png"/>
            <wp:cNvGraphicFramePr>
              <a:graphicFrameLocks noChangeAspect="1"/>
            </wp:cNvGraphicFramePr>
            <a:graphic>
              <a:graphicData uri="http://schemas.openxmlformats.org/drawingml/2006/picture">
                <pic:pic>
                  <pic:nvPicPr>
                    <pic:cNvPr id="608"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Very</w:t>
      </w:r>
      <w:r>
        <w:rPr>
          <w:spacing w:val="-5"/>
          <w:sz w:val="18"/>
        </w:rPr>
        <w:t> </w:t>
      </w:r>
      <w:r>
        <w:rPr>
          <w:sz w:val="18"/>
        </w:rPr>
        <w:t>difficult</w:t>
      </w:r>
    </w:p>
    <w:p>
      <w:pPr>
        <w:pStyle w:val="BodyText"/>
        <w:spacing w:before="8"/>
        <w:rPr>
          <w:sz w:val="14"/>
        </w:rPr>
      </w:pPr>
    </w:p>
    <w:p>
      <w:pPr>
        <w:spacing w:before="100"/>
        <w:ind w:left="140" w:right="815" w:firstLine="0"/>
        <w:jc w:val="both"/>
        <w:rPr>
          <w:sz w:val="18"/>
        </w:rPr>
      </w:pPr>
      <w:r>
        <w:rPr>
          <w:sz w:val="18"/>
        </w:rPr>
        <w:t>The</w:t>
      </w:r>
      <w:r>
        <w:rPr>
          <w:spacing w:val="-3"/>
          <w:sz w:val="18"/>
        </w:rPr>
        <w:t> </w:t>
      </w:r>
      <w:r>
        <w:rPr>
          <w:sz w:val="18"/>
        </w:rPr>
        <w:t>following</w:t>
      </w:r>
      <w:r>
        <w:rPr>
          <w:spacing w:val="-5"/>
          <w:sz w:val="18"/>
        </w:rPr>
        <w:t> </w:t>
      </w:r>
      <w:r>
        <w:rPr>
          <w:sz w:val="18"/>
        </w:rPr>
        <w:t>questions</w:t>
      </w:r>
      <w:r>
        <w:rPr>
          <w:spacing w:val="-2"/>
          <w:sz w:val="18"/>
        </w:rPr>
        <w:t> </w:t>
      </w:r>
      <w:r>
        <w:rPr>
          <w:sz w:val="18"/>
        </w:rPr>
        <w:t>are</w:t>
      </w:r>
      <w:r>
        <w:rPr>
          <w:spacing w:val="-7"/>
          <w:sz w:val="18"/>
        </w:rPr>
        <w:t> </w:t>
      </w:r>
      <w:r>
        <w:rPr>
          <w:sz w:val="18"/>
        </w:rPr>
        <w:t>about</w:t>
      </w:r>
      <w:r>
        <w:rPr>
          <w:spacing w:val="-4"/>
          <w:sz w:val="18"/>
        </w:rPr>
        <w:t> </w:t>
      </w:r>
      <w:r>
        <w:rPr>
          <w:sz w:val="18"/>
        </w:rPr>
        <w:t>patient</w:t>
      </w:r>
      <w:r>
        <w:rPr>
          <w:spacing w:val="-5"/>
          <w:sz w:val="18"/>
        </w:rPr>
        <w:t> </w:t>
      </w:r>
      <w:r>
        <w:rPr>
          <w:sz w:val="18"/>
        </w:rPr>
        <w:t>activation</w:t>
      </w:r>
      <w:r>
        <w:rPr>
          <w:spacing w:val="-2"/>
          <w:sz w:val="18"/>
        </w:rPr>
        <w:t> </w:t>
      </w:r>
      <w:r>
        <w:rPr>
          <w:sz w:val="18"/>
        </w:rPr>
        <w:t>tools</w:t>
      </w:r>
      <w:r>
        <w:rPr>
          <w:spacing w:val="-4"/>
          <w:sz w:val="18"/>
        </w:rPr>
        <w:t> </w:t>
      </w:r>
      <w:r>
        <w:rPr>
          <w:sz w:val="18"/>
        </w:rPr>
        <w:t>and</w:t>
      </w:r>
      <w:r>
        <w:rPr>
          <w:spacing w:val="-3"/>
          <w:sz w:val="18"/>
        </w:rPr>
        <w:t> </w:t>
      </w:r>
      <w:r>
        <w:rPr>
          <w:sz w:val="18"/>
        </w:rPr>
        <w:t>changes</w:t>
      </w:r>
      <w:r>
        <w:rPr>
          <w:spacing w:val="-4"/>
          <w:sz w:val="18"/>
        </w:rPr>
        <w:t> </w:t>
      </w:r>
      <w:r>
        <w:rPr>
          <w:sz w:val="18"/>
        </w:rPr>
        <w:t>in</w:t>
      </w:r>
      <w:r>
        <w:rPr>
          <w:spacing w:val="-3"/>
          <w:sz w:val="18"/>
        </w:rPr>
        <w:t> </w:t>
      </w:r>
      <w:r>
        <w:rPr>
          <w:sz w:val="18"/>
        </w:rPr>
        <w:t>patient</w:t>
      </w:r>
      <w:r>
        <w:rPr>
          <w:spacing w:val="-4"/>
          <w:sz w:val="18"/>
        </w:rPr>
        <w:t> </w:t>
      </w:r>
      <w:r>
        <w:rPr>
          <w:sz w:val="18"/>
        </w:rPr>
        <w:t>activation.</w:t>
      </w:r>
      <w:r>
        <w:rPr>
          <w:spacing w:val="-5"/>
          <w:sz w:val="18"/>
        </w:rPr>
        <w:t> </w:t>
      </w:r>
      <w:r>
        <w:rPr>
          <w:sz w:val="18"/>
        </w:rPr>
        <w:t>By</w:t>
      </w:r>
      <w:r>
        <w:rPr>
          <w:spacing w:val="-3"/>
          <w:sz w:val="18"/>
        </w:rPr>
        <w:t> </w:t>
      </w:r>
      <w:r>
        <w:rPr>
          <w:sz w:val="18"/>
        </w:rPr>
        <w:t>'activation'</w:t>
      </w:r>
      <w:r>
        <w:rPr>
          <w:spacing w:val="-3"/>
          <w:sz w:val="18"/>
        </w:rPr>
        <w:t> </w:t>
      </w:r>
      <w:r>
        <w:rPr>
          <w:sz w:val="18"/>
        </w:rPr>
        <w:t>tools</w:t>
      </w:r>
      <w:r>
        <w:rPr>
          <w:spacing w:val="-3"/>
          <w:sz w:val="18"/>
        </w:rPr>
        <w:t> </w:t>
      </w:r>
      <w:r>
        <w:rPr>
          <w:sz w:val="18"/>
        </w:rPr>
        <w:t>we</w:t>
      </w:r>
      <w:r>
        <w:rPr>
          <w:spacing w:val="1"/>
          <w:sz w:val="18"/>
        </w:rPr>
        <w:t> </w:t>
      </w:r>
      <w:r>
        <w:rPr>
          <w:sz w:val="18"/>
        </w:rPr>
        <w:t>mean tools to assess patients' self-reported knowledge, skills, and confidence to self-manage their health or chronic</w:t>
      </w:r>
      <w:r>
        <w:rPr>
          <w:spacing w:val="-47"/>
          <w:sz w:val="18"/>
        </w:rPr>
        <w:t> </w:t>
      </w:r>
      <w:r>
        <w:rPr>
          <w:sz w:val="18"/>
        </w:rPr>
        <w:t>condition.</w:t>
      </w:r>
      <w:r>
        <w:rPr>
          <w:spacing w:val="2"/>
          <w:sz w:val="18"/>
        </w:rPr>
        <w:t> </w:t>
      </w:r>
      <w:r>
        <w:rPr>
          <w:sz w:val="18"/>
        </w:rPr>
        <w:t>An example</w:t>
      </w:r>
      <w:r>
        <w:rPr>
          <w:spacing w:val="-1"/>
          <w:sz w:val="18"/>
        </w:rPr>
        <w:t> </w:t>
      </w:r>
      <w:r>
        <w:rPr>
          <w:sz w:val="18"/>
        </w:rPr>
        <w:t>is</w:t>
      </w:r>
      <w:r>
        <w:rPr>
          <w:spacing w:val="-1"/>
          <w:sz w:val="18"/>
        </w:rPr>
        <w:t> </w:t>
      </w:r>
      <w:r>
        <w:rPr>
          <w:sz w:val="18"/>
        </w:rPr>
        <w:t>the Patient</w:t>
      </w:r>
      <w:r>
        <w:rPr>
          <w:spacing w:val="3"/>
          <w:sz w:val="18"/>
        </w:rPr>
        <w:t> </w:t>
      </w:r>
      <w:r>
        <w:rPr>
          <w:sz w:val="18"/>
        </w:rPr>
        <w:t>Activation Measure</w:t>
      </w:r>
      <w:r>
        <w:rPr>
          <w:spacing w:val="2"/>
          <w:sz w:val="18"/>
        </w:rPr>
        <w:t> </w:t>
      </w:r>
      <w:r>
        <w:rPr>
          <w:sz w:val="18"/>
        </w:rPr>
        <w:t>(PAM).</w:t>
      </w:r>
    </w:p>
    <w:p>
      <w:pPr>
        <w:pStyle w:val="BodyText"/>
        <w:spacing w:before="11"/>
        <w:rPr>
          <w:sz w:val="22"/>
        </w:rPr>
      </w:pPr>
    </w:p>
    <w:p>
      <w:pPr>
        <w:pStyle w:val="ListParagraph"/>
        <w:numPr>
          <w:ilvl w:val="0"/>
          <w:numId w:val="43"/>
        </w:numPr>
        <w:tabs>
          <w:tab w:pos="424" w:val="left" w:leader="none"/>
        </w:tabs>
        <w:spacing w:line="240" w:lineRule="auto" w:before="0" w:after="0"/>
        <w:ind w:left="423" w:right="525" w:hanging="284"/>
        <w:jc w:val="left"/>
        <w:rPr>
          <w:sz w:val="18"/>
        </w:rPr>
      </w:pPr>
      <w:r>
        <w:rPr>
          <w:sz w:val="18"/>
        </w:rPr>
        <w:t>Do</w:t>
      </w:r>
      <w:r>
        <w:rPr>
          <w:spacing w:val="-2"/>
          <w:sz w:val="18"/>
        </w:rPr>
        <w:t> </w:t>
      </w:r>
      <w:r>
        <w:rPr>
          <w:sz w:val="18"/>
        </w:rPr>
        <w:t>clinical</w:t>
      </w:r>
      <w:r>
        <w:rPr>
          <w:spacing w:val="-3"/>
          <w:sz w:val="18"/>
        </w:rPr>
        <w:t> </w:t>
      </w:r>
      <w:r>
        <w:rPr>
          <w:sz w:val="18"/>
        </w:rPr>
        <w:t>staff</w:t>
      </w:r>
      <w:r>
        <w:rPr>
          <w:spacing w:val="-3"/>
          <w:sz w:val="18"/>
        </w:rPr>
        <w:t> </w:t>
      </w:r>
      <w:r>
        <w:rPr>
          <w:sz w:val="18"/>
        </w:rPr>
        <w:t>in</w:t>
      </w:r>
      <w:r>
        <w:rPr>
          <w:spacing w:val="-2"/>
          <w:sz w:val="18"/>
        </w:rPr>
        <w:t> </w:t>
      </w:r>
      <w:r>
        <w:rPr>
          <w:sz w:val="18"/>
        </w:rPr>
        <w:t>the</w:t>
      </w:r>
      <w:r>
        <w:rPr>
          <w:spacing w:val="-5"/>
          <w:sz w:val="18"/>
        </w:rPr>
        <w:t> </w:t>
      </w:r>
      <w:r>
        <w:rPr>
          <w:sz w:val="18"/>
        </w:rPr>
        <w:t>practice</w:t>
      </w:r>
      <w:r>
        <w:rPr>
          <w:spacing w:val="-2"/>
          <w:sz w:val="18"/>
        </w:rPr>
        <w:t> </w:t>
      </w:r>
      <w:r>
        <w:rPr>
          <w:sz w:val="18"/>
        </w:rPr>
        <w:t>use</w:t>
      </w:r>
      <w:r>
        <w:rPr>
          <w:spacing w:val="-3"/>
          <w:sz w:val="18"/>
        </w:rPr>
        <w:t> </w:t>
      </w:r>
      <w:r>
        <w:rPr>
          <w:sz w:val="18"/>
        </w:rPr>
        <w:t>a</w:t>
      </w:r>
      <w:r>
        <w:rPr>
          <w:spacing w:val="-2"/>
          <w:sz w:val="18"/>
        </w:rPr>
        <w:t> </w:t>
      </w:r>
      <w:r>
        <w:rPr>
          <w:sz w:val="18"/>
        </w:rPr>
        <w:t>standardised</w:t>
      </w:r>
      <w:r>
        <w:rPr>
          <w:spacing w:val="-4"/>
          <w:sz w:val="18"/>
        </w:rPr>
        <w:t> </w:t>
      </w:r>
      <w:r>
        <w:rPr>
          <w:sz w:val="18"/>
        </w:rPr>
        <w:t>tool</w:t>
      </w:r>
      <w:r>
        <w:rPr>
          <w:spacing w:val="-2"/>
          <w:sz w:val="18"/>
        </w:rPr>
        <w:t> </w:t>
      </w:r>
      <w:r>
        <w:rPr>
          <w:sz w:val="18"/>
        </w:rPr>
        <w:t>to</w:t>
      </w:r>
      <w:r>
        <w:rPr>
          <w:spacing w:val="-3"/>
          <w:sz w:val="18"/>
        </w:rPr>
        <w:t> </w:t>
      </w:r>
      <w:r>
        <w:rPr>
          <w:sz w:val="18"/>
        </w:rPr>
        <w:t>assess</w:t>
      </w:r>
      <w:r>
        <w:rPr>
          <w:spacing w:val="-3"/>
          <w:sz w:val="18"/>
        </w:rPr>
        <w:t> </w:t>
      </w:r>
      <w:r>
        <w:rPr>
          <w:sz w:val="18"/>
        </w:rPr>
        <w:t>the</w:t>
      </w:r>
      <w:r>
        <w:rPr>
          <w:spacing w:val="-3"/>
          <w:sz w:val="18"/>
        </w:rPr>
        <w:t> </w:t>
      </w:r>
      <w:r>
        <w:rPr>
          <w:sz w:val="18"/>
        </w:rPr>
        <w:t>level</w:t>
      </w:r>
      <w:r>
        <w:rPr>
          <w:spacing w:val="-2"/>
          <w:sz w:val="18"/>
        </w:rPr>
        <w:t> </w:t>
      </w:r>
      <w:r>
        <w:rPr>
          <w:sz w:val="18"/>
        </w:rPr>
        <w:t>of</w:t>
      </w:r>
      <w:r>
        <w:rPr>
          <w:spacing w:val="-3"/>
          <w:sz w:val="18"/>
        </w:rPr>
        <w:t> </w:t>
      </w:r>
      <w:r>
        <w:rPr>
          <w:sz w:val="18"/>
        </w:rPr>
        <w:t>patient</w:t>
      </w:r>
      <w:r>
        <w:rPr>
          <w:spacing w:val="-4"/>
          <w:sz w:val="18"/>
        </w:rPr>
        <w:t> </w:t>
      </w:r>
      <w:r>
        <w:rPr>
          <w:sz w:val="18"/>
        </w:rPr>
        <w:t>engagement/</w:t>
      </w:r>
      <w:r>
        <w:rPr>
          <w:spacing w:val="-3"/>
          <w:sz w:val="18"/>
        </w:rPr>
        <w:t> </w:t>
      </w:r>
      <w:r>
        <w:rPr>
          <w:sz w:val="18"/>
        </w:rPr>
        <w:t>activation?</w:t>
      </w:r>
      <w:r>
        <w:rPr>
          <w:spacing w:val="-5"/>
          <w:sz w:val="18"/>
        </w:rPr>
        <w:t> </w:t>
      </w:r>
      <w:r>
        <w:rPr>
          <w:sz w:val="18"/>
        </w:rPr>
        <w:t>If</w:t>
      </w:r>
      <w:r>
        <w:rPr>
          <w:spacing w:val="-4"/>
          <w:sz w:val="18"/>
        </w:rPr>
        <w:t> </w:t>
      </w:r>
      <w:r>
        <w:rPr>
          <w:sz w:val="18"/>
        </w:rPr>
        <w:t>yes,</w:t>
      </w:r>
      <w:r>
        <w:rPr>
          <w:spacing w:val="1"/>
          <w:sz w:val="18"/>
        </w:rPr>
        <w:t> </w:t>
      </w:r>
      <w:r>
        <w:rPr>
          <w:sz w:val="18"/>
        </w:rPr>
        <w:t>what</w:t>
      </w:r>
      <w:r>
        <w:rPr>
          <w:spacing w:val="-3"/>
          <w:sz w:val="18"/>
        </w:rPr>
        <w:t> </w:t>
      </w:r>
      <w:r>
        <w:rPr>
          <w:sz w:val="18"/>
        </w:rPr>
        <w:t>is</w:t>
      </w:r>
      <w:r>
        <w:rPr>
          <w:spacing w:val="-1"/>
          <w:sz w:val="18"/>
        </w:rPr>
        <w:t> </w:t>
      </w:r>
      <w:r>
        <w:rPr>
          <w:sz w:val="18"/>
        </w:rPr>
        <w:t>the name of</w:t>
      </w:r>
      <w:r>
        <w:rPr>
          <w:spacing w:val="1"/>
          <w:sz w:val="18"/>
        </w:rPr>
        <w:t> </w:t>
      </w:r>
      <w:r>
        <w:rPr>
          <w:sz w:val="18"/>
        </w:rPr>
        <w:t>the tool?</w:t>
      </w:r>
    </w:p>
    <w:p>
      <w:pPr>
        <w:pStyle w:val="BodyText"/>
        <w:spacing w:before="7"/>
        <w:rPr>
          <w:sz w:val="14"/>
        </w:rPr>
      </w:pPr>
    </w:p>
    <w:p>
      <w:pPr>
        <w:pStyle w:val="ListParagraph"/>
        <w:numPr>
          <w:ilvl w:val="0"/>
          <w:numId w:val="59"/>
        </w:numPr>
        <w:tabs>
          <w:tab w:pos="933" w:val="left" w:leader="none"/>
        </w:tabs>
        <w:spacing w:line="240" w:lineRule="auto" w:before="100" w:after="0"/>
        <w:ind w:left="932" w:right="0" w:hanging="152"/>
        <w:jc w:val="left"/>
        <w:rPr>
          <w:sz w:val="18"/>
        </w:rPr>
      </w:pPr>
      <w:r>
        <w:rPr/>
        <w:drawing>
          <wp:anchor distT="0" distB="0" distL="0" distR="0" allowOverlap="1" layoutInCell="1" locked="0" behindDoc="0" simplePos="0" relativeHeight="15815680">
            <wp:simplePos x="0" y="0"/>
            <wp:positionH relativeFrom="page">
              <wp:posOffset>652565</wp:posOffset>
            </wp:positionH>
            <wp:positionV relativeFrom="paragraph">
              <wp:posOffset>108350</wp:posOffset>
            </wp:positionV>
            <wp:extent cx="58380" cy="72151"/>
            <wp:effectExtent l="0" t="0" r="0" b="0"/>
            <wp:wrapNone/>
            <wp:docPr id="609" name="image13.png"/>
            <wp:cNvGraphicFramePr>
              <a:graphicFrameLocks noChangeAspect="1"/>
            </wp:cNvGraphicFramePr>
            <a:graphic>
              <a:graphicData uri="http://schemas.openxmlformats.org/drawingml/2006/picture">
                <pic:pic>
                  <pic:nvPicPr>
                    <pic:cNvPr id="61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w:t>
      </w:r>
    </w:p>
    <w:p>
      <w:pPr>
        <w:pStyle w:val="ListParagraph"/>
        <w:numPr>
          <w:ilvl w:val="0"/>
          <w:numId w:val="59"/>
        </w:numPr>
        <w:tabs>
          <w:tab w:pos="933" w:val="left" w:leader="none"/>
        </w:tabs>
        <w:spacing w:line="240" w:lineRule="auto" w:before="0" w:after="0"/>
        <w:ind w:left="932" w:right="0" w:hanging="152"/>
        <w:jc w:val="left"/>
        <w:rPr>
          <w:sz w:val="18"/>
        </w:rPr>
      </w:pPr>
      <w:r>
        <w:rPr/>
        <w:drawing>
          <wp:anchor distT="0" distB="0" distL="0" distR="0" allowOverlap="1" layoutInCell="1" locked="0" behindDoc="0" simplePos="0" relativeHeight="15816192">
            <wp:simplePos x="0" y="0"/>
            <wp:positionH relativeFrom="page">
              <wp:posOffset>652565</wp:posOffset>
            </wp:positionH>
            <wp:positionV relativeFrom="paragraph">
              <wp:posOffset>44849</wp:posOffset>
            </wp:positionV>
            <wp:extent cx="58380" cy="72151"/>
            <wp:effectExtent l="0" t="0" r="0" b="0"/>
            <wp:wrapNone/>
            <wp:docPr id="611" name="image13.png"/>
            <wp:cNvGraphicFramePr>
              <a:graphicFrameLocks noChangeAspect="1"/>
            </wp:cNvGraphicFramePr>
            <a:graphic>
              <a:graphicData uri="http://schemas.openxmlformats.org/drawingml/2006/picture">
                <pic:pic>
                  <pic:nvPicPr>
                    <pic:cNvPr id="61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Yes.</w:t>
      </w:r>
      <w:r>
        <w:rPr>
          <w:spacing w:val="1"/>
          <w:sz w:val="18"/>
        </w:rPr>
        <w:t> </w:t>
      </w:r>
      <w:r>
        <w:rPr>
          <w:sz w:val="18"/>
        </w:rPr>
        <w:t>What</w:t>
      </w:r>
      <w:r>
        <w:rPr>
          <w:spacing w:val="-4"/>
          <w:sz w:val="18"/>
        </w:rPr>
        <w:t> </w:t>
      </w:r>
      <w:r>
        <w:rPr>
          <w:sz w:val="18"/>
        </w:rPr>
        <w:t>is</w:t>
      </w:r>
      <w:r>
        <w:rPr>
          <w:spacing w:val="-2"/>
          <w:sz w:val="18"/>
        </w:rPr>
        <w:t> </w:t>
      </w:r>
      <w:r>
        <w:rPr>
          <w:sz w:val="18"/>
        </w:rPr>
        <w:t>the</w:t>
      </w:r>
      <w:r>
        <w:rPr>
          <w:spacing w:val="-2"/>
          <w:sz w:val="18"/>
        </w:rPr>
        <w:t> </w:t>
      </w:r>
      <w:r>
        <w:rPr>
          <w:sz w:val="18"/>
        </w:rPr>
        <w:t>tool?</w:t>
      </w:r>
    </w:p>
    <w:p>
      <w:pPr>
        <w:pStyle w:val="BodyText"/>
      </w:pPr>
    </w:p>
    <w:p>
      <w:pPr>
        <w:pStyle w:val="BodyText"/>
        <w:spacing w:before="6"/>
        <w:rPr>
          <w:sz w:val="25"/>
        </w:rPr>
      </w:pPr>
      <w:r>
        <w:rPr/>
        <w:pict>
          <v:rect style="position:absolute;margin-left:34.560001pt;margin-top:16.860058pt;width:526.3pt;height:.48pt;mso-position-horizontal-relative:page;mso-position-vertical-relative:paragraph;z-index:-15642624;mso-wrap-distance-left:0;mso-wrap-distance-right:0" id="docshape151" filled="true" fillcolor="#d9d9d9" stroked="false">
            <v:fill type="solid"/>
            <w10:wrap type="topAndBottom"/>
          </v:rect>
        </w:pict>
      </w:r>
    </w:p>
    <w:p>
      <w:pPr>
        <w:pStyle w:val="BodyText"/>
        <w:spacing w:before="2"/>
        <w:rPr>
          <w:sz w:val="8"/>
        </w:rPr>
      </w:pPr>
    </w:p>
    <w:p>
      <w:pPr>
        <w:pStyle w:val="ListParagraph"/>
        <w:numPr>
          <w:ilvl w:val="0"/>
          <w:numId w:val="43"/>
        </w:numPr>
        <w:tabs>
          <w:tab w:pos="424" w:val="left" w:leader="none"/>
        </w:tabs>
        <w:spacing w:line="240" w:lineRule="auto" w:before="100" w:after="0"/>
        <w:ind w:left="423" w:right="696" w:hanging="284"/>
        <w:jc w:val="left"/>
        <w:rPr>
          <w:sz w:val="18"/>
        </w:rPr>
      </w:pPr>
      <w:r>
        <w:rPr>
          <w:sz w:val="18"/>
        </w:rPr>
        <w:t>The</w:t>
      </w:r>
      <w:r>
        <w:rPr>
          <w:spacing w:val="-3"/>
          <w:sz w:val="18"/>
        </w:rPr>
        <w:t> </w:t>
      </w:r>
      <w:r>
        <w:rPr>
          <w:sz w:val="18"/>
        </w:rPr>
        <w:t>following</w:t>
      </w:r>
      <w:r>
        <w:rPr>
          <w:spacing w:val="-5"/>
          <w:sz w:val="18"/>
        </w:rPr>
        <w:t> </w:t>
      </w:r>
      <w:r>
        <w:rPr>
          <w:sz w:val="18"/>
        </w:rPr>
        <w:t>is</w:t>
      </w:r>
      <w:r>
        <w:rPr>
          <w:spacing w:val="-3"/>
          <w:sz w:val="18"/>
        </w:rPr>
        <w:t> </w:t>
      </w:r>
      <w:r>
        <w:rPr>
          <w:sz w:val="18"/>
        </w:rPr>
        <w:t>a</w:t>
      </w:r>
      <w:r>
        <w:rPr>
          <w:spacing w:val="-3"/>
          <w:sz w:val="18"/>
        </w:rPr>
        <w:t> </w:t>
      </w:r>
      <w:r>
        <w:rPr>
          <w:sz w:val="18"/>
        </w:rPr>
        <w:t>list</w:t>
      </w:r>
      <w:r>
        <w:rPr>
          <w:spacing w:val="-4"/>
          <w:sz w:val="18"/>
        </w:rPr>
        <w:t> </w:t>
      </w:r>
      <w:r>
        <w:rPr>
          <w:sz w:val="18"/>
        </w:rPr>
        <w:t>of</w:t>
      </w:r>
      <w:r>
        <w:rPr>
          <w:spacing w:val="-1"/>
          <w:sz w:val="18"/>
        </w:rPr>
        <w:t> </w:t>
      </w:r>
      <w:r>
        <w:rPr>
          <w:sz w:val="18"/>
        </w:rPr>
        <w:t>some</w:t>
      </w:r>
      <w:r>
        <w:rPr>
          <w:spacing w:val="-2"/>
          <w:sz w:val="18"/>
        </w:rPr>
        <w:t> </w:t>
      </w:r>
      <w:r>
        <w:rPr>
          <w:sz w:val="18"/>
        </w:rPr>
        <w:t>changes</w:t>
      </w:r>
      <w:r>
        <w:rPr>
          <w:spacing w:val="-4"/>
          <w:sz w:val="18"/>
        </w:rPr>
        <w:t> </w:t>
      </w:r>
      <w:r>
        <w:rPr>
          <w:sz w:val="18"/>
        </w:rPr>
        <w:t>that</w:t>
      </w:r>
      <w:r>
        <w:rPr>
          <w:spacing w:val="-4"/>
          <w:sz w:val="18"/>
        </w:rPr>
        <w:t> </w:t>
      </w:r>
      <w:r>
        <w:rPr>
          <w:sz w:val="18"/>
        </w:rPr>
        <w:t>practices/</w:t>
      </w:r>
      <w:r>
        <w:rPr>
          <w:spacing w:val="-5"/>
          <w:sz w:val="18"/>
        </w:rPr>
        <w:t> </w:t>
      </w:r>
      <w:r>
        <w:rPr>
          <w:sz w:val="18"/>
        </w:rPr>
        <w:t>services</w:t>
      </w:r>
      <w:r>
        <w:rPr>
          <w:spacing w:val="-3"/>
          <w:sz w:val="18"/>
        </w:rPr>
        <w:t> </w:t>
      </w:r>
      <w:r>
        <w:rPr>
          <w:sz w:val="18"/>
        </w:rPr>
        <w:t>have</w:t>
      </w:r>
      <w:r>
        <w:rPr>
          <w:spacing w:val="-2"/>
          <w:sz w:val="18"/>
        </w:rPr>
        <w:t> </w:t>
      </w:r>
      <w:r>
        <w:rPr>
          <w:sz w:val="18"/>
        </w:rPr>
        <w:t>described</w:t>
      </w:r>
      <w:r>
        <w:rPr>
          <w:spacing w:val="-3"/>
          <w:sz w:val="18"/>
        </w:rPr>
        <w:t> </w:t>
      </w:r>
      <w:r>
        <w:rPr>
          <w:sz w:val="18"/>
        </w:rPr>
        <w:t>as</w:t>
      </w:r>
      <w:r>
        <w:rPr>
          <w:spacing w:val="-3"/>
          <w:sz w:val="18"/>
        </w:rPr>
        <w:t> </w:t>
      </w:r>
      <w:r>
        <w:rPr>
          <w:sz w:val="18"/>
        </w:rPr>
        <w:t>part</w:t>
      </w:r>
      <w:r>
        <w:rPr>
          <w:spacing w:val="-4"/>
          <w:sz w:val="18"/>
        </w:rPr>
        <w:t> </w:t>
      </w:r>
      <w:r>
        <w:rPr>
          <w:sz w:val="18"/>
        </w:rPr>
        <w:t>of</w:t>
      </w:r>
      <w:r>
        <w:rPr>
          <w:spacing w:val="-2"/>
          <w:sz w:val="18"/>
        </w:rPr>
        <w:t> </w:t>
      </w:r>
      <w:r>
        <w:rPr>
          <w:sz w:val="18"/>
        </w:rPr>
        <w:t>the</w:t>
      </w:r>
      <w:r>
        <w:rPr>
          <w:spacing w:val="-2"/>
          <w:sz w:val="18"/>
        </w:rPr>
        <w:t> </w:t>
      </w:r>
      <w:r>
        <w:rPr>
          <w:sz w:val="18"/>
        </w:rPr>
        <w:t>HCH</w:t>
      </w:r>
      <w:r>
        <w:rPr>
          <w:spacing w:val="-5"/>
          <w:sz w:val="18"/>
        </w:rPr>
        <w:t> </w:t>
      </w:r>
      <w:r>
        <w:rPr>
          <w:sz w:val="18"/>
        </w:rPr>
        <w:t>implementation.</w:t>
      </w:r>
      <w:r>
        <w:rPr>
          <w:spacing w:val="1"/>
          <w:sz w:val="18"/>
        </w:rPr>
        <w:t> </w:t>
      </w:r>
      <w:r>
        <w:rPr>
          <w:sz w:val="18"/>
        </w:rPr>
        <w:t>Can you indicate whether these were features of your practice/ service that were in place before you started</w:t>
      </w:r>
      <w:r>
        <w:rPr>
          <w:spacing w:val="1"/>
          <w:sz w:val="18"/>
        </w:rPr>
        <w:t> </w:t>
      </w:r>
      <w:r>
        <w:rPr>
          <w:sz w:val="18"/>
        </w:rPr>
        <w:t>participating</w:t>
      </w:r>
      <w:r>
        <w:rPr>
          <w:spacing w:val="-4"/>
          <w:sz w:val="18"/>
        </w:rPr>
        <w:t> </w:t>
      </w:r>
      <w:r>
        <w:rPr>
          <w:sz w:val="18"/>
        </w:rPr>
        <w:t>in</w:t>
      </w:r>
      <w:r>
        <w:rPr>
          <w:spacing w:val="-3"/>
          <w:sz w:val="18"/>
        </w:rPr>
        <w:t> </w:t>
      </w:r>
      <w:r>
        <w:rPr>
          <w:sz w:val="18"/>
        </w:rPr>
        <w:t>HCH,</w:t>
      </w:r>
      <w:r>
        <w:rPr>
          <w:spacing w:val="-4"/>
          <w:sz w:val="18"/>
        </w:rPr>
        <w:t> </w:t>
      </w:r>
      <w:r>
        <w:rPr>
          <w:sz w:val="18"/>
        </w:rPr>
        <w:t>and</w:t>
      </w:r>
      <w:r>
        <w:rPr>
          <w:spacing w:val="-1"/>
          <w:sz w:val="18"/>
        </w:rPr>
        <w:t> </w:t>
      </w:r>
      <w:r>
        <w:rPr>
          <w:sz w:val="18"/>
        </w:rPr>
        <w:t>if</w:t>
      </w:r>
      <w:r>
        <w:rPr>
          <w:spacing w:val="-2"/>
          <w:sz w:val="18"/>
        </w:rPr>
        <w:t> </w:t>
      </w:r>
      <w:r>
        <w:rPr>
          <w:sz w:val="18"/>
        </w:rPr>
        <w:t>not</w:t>
      </w:r>
      <w:r>
        <w:rPr>
          <w:spacing w:val="-3"/>
          <w:sz w:val="18"/>
        </w:rPr>
        <w:t> </w:t>
      </w:r>
      <w:r>
        <w:rPr>
          <w:sz w:val="18"/>
        </w:rPr>
        <w:t>whether</w:t>
      </w:r>
      <w:r>
        <w:rPr>
          <w:spacing w:val="-1"/>
          <w:sz w:val="18"/>
        </w:rPr>
        <w:t> </w:t>
      </w:r>
      <w:r>
        <w:rPr>
          <w:sz w:val="18"/>
        </w:rPr>
        <w:t>this</w:t>
      </w:r>
      <w:r>
        <w:rPr>
          <w:spacing w:val="-3"/>
          <w:sz w:val="18"/>
        </w:rPr>
        <w:t> </w:t>
      </w:r>
      <w:r>
        <w:rPr>
          <w:sz w:val="18"/>
        </w:rPr>
        <w:t>is</w:t>
      </w:r>
      <w:r>
        <w:rPr>
          <w:spacing w:val="-2"/>
          <w:sz w:val="18"/>
        </w:rPr>
        <w:t> </w:t>
      </w:r>
      <w:r>
        <w:rPr>
          <w:sz w:val="18"/>
        </w:rPr>
        <w:t>a</w:t>
      </w:r>
      <w:r>
        <w:rPr>
          <w:spacing w:val="-2"/>
          <w:sz w:val="18"/>
        </w:rPr>
        <w:t> </w:t>
      </w:r>
      <w:r>
        <w:rPr>
          <w:sz w:val="18"/>
        </w:rPr>
        <w:t>change</w:t>
      </w:r>
      <w:r>
        <w:rPr>
          <w:spacing w:val="-1"/>
          <w:sz w:val="18"/>
        </w:rPr>
        <w:t> </w:t>
      </w:r>
      <w:r>
        <w:rPr>
          <w:sz w:val="18"/>
        </w:rPr>
        <w:t>you are</w:t>
      </w:r>
      <w:r>
        <w:rPr>
          <w:spacing w:val="-1"/>
          <w:sz w:val="18"/>
        </w:rPr>
        <w:t> </w:t>
      </w:r>
      <w:r>
        <w:rPr>
          <w:sz w:val="18"/>
        </w:rPr>
        <w:t>planning</w:t>
      </w:r>
      <w:r>
        <w:rPr>
          <w:spacing w:val="-3"/>
          <w:sz w:val="18"/>
        </w:rPr>
        <w:t> </w:t>
      </w:r>
      <w:r>
        <w:rPr>
          <w:sz w:val="18"/>
        </w:rPr>
        <w:t>to</w:t>
      </w:r>
      <w:r>
        <w:rPr>
          <w:spacing w:val="-2"/>
          <w:sz w:val="18"/>
        </w:rPr>
        <w:t> </w:t>
      </w:r>
      <w:r>
        <w:rPr>
          <w:sz w:val="18"/>
        </w:rPr>
        <w:t>make</w:t>
      </w:r>
      <w:r>
        <w:rPr>
          <w:spacing w:val="1"/>
          <w:sz w:val="18"/>
        </w:rPr>
        <w:t> </w:t>
      </w:r>
      <w:r>
        <w:rPr>
          <w:sz w:val="18"/>
        </w:rPr>
        <w:t>during</w:t>
      </w:r>
      <w:r>
        <w:rPr>
          <w:spacing w:val="-2"/>
          <w:sz w:val="18"/>
        </w:rPr>
        <w:t> </w:t>
      </w:r>
      <w:r>
        <w:rPr>
          <w:sz w:val="18"/>
        </w:rPr>
        <w:t>the</w:t>
      </w:r>
      <w:r>
        <w:rPr>
          <w:spacing w:val="8"/>
          <w:sz w:val="18"/>
        </w:rPr>
        <w:t> </w:t>
      </w:r>
      <w:r>
        <w:rPr>
          <w:sz w:val="18"/>
        </w:rPr>
        <w:t>HCH</w:t>
      </w:r>
      <w:r>
        <w:rPr>
          <w:spacing w:val="-1"/>
          <w:sz w:val="18"/>
        </w:rPr>
        <w:t> </w:t>
      </w:r>
      <w:r>
        <w:rPr>
          <w:sz w:val="18"/>
        </w:rPr>
        <w:t>trial?</w:t>
      </w:r>
    </w:p>
    <w:p>
      <w:pPr>
        <w:pStyle w:val="BodyText"/>
        <w:spacing w:before="1"/>
        <w:rPr>
          <w:sz w:val="23"/>
        </w:rPr>
      </w:pPr>
    </w:p>
    <w:tbl>
      <w:tblPr>
        <w:tblW w:w="0" w:type="auto"/>
        <w:jc w:val="left"/>
        <w:tblInd w:w="1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541"/>
        <w:gridCol w:w="1274"/>
        <w:gridCol w:w="852"/>
        <w:gridCol w:w="1699"/>
        <w:gridCol w:w="1560"/>
        <w:gridCol w:w="1531"/>
      </w:tblGrid>
      <w:tr>
        <w:trPr>
          <w:trHeight w:val="441" w:hRule="atLeast"/>
        </w:trPr>
        <w:tc>
          <w:tcPr>
            <w:tcW w:w="3541" w:type="dxa"/>
            <w:vMerge w:val="restart"/>
            <w:shd w:val="clear" w:color="auto" w:fill="F1F1F1"/>
          </w:tcPr>
          <w:p>
            <w:pPr>
              <w:pStyle w:val="TableParagraph"/>
              <w:ind w:left="107" w:right="752"/>
              <w:rPr>
                <w:sz w:val="18"/>
              </w:rPr>
            </w:pPr>
            <w:r>
              <w:rPr>
                <w:sz w:val="18"/>
              </w:rPr>
              <w:t>Changes made following HCH</w:t>
            </w:r>
            <w:r>
              <w:rPr>
                <w:spacing w:val="-48"/>
                <w:sz w:val="18"/>
              </w:rPr>
              <w:t> </w:t>
            </w:r>
            <w:r>
              <w:rPr>
                <w:sz w:val="18"/>
              </w:rPr>
              <w:t>implementation</w:t>
            </w:r>
          </w:p>
        </w:tc>
        <w:tc>
          <w:tcPr>
            <w:tcW w:w="2126" w:type="dxa"/>
            <w:gridSpan w:val="2"/>
            <w:shd w:val="clear" w:color="auto" w:fill="F1F1F1"/>
          </w:tcPr>
          <w:p>
            <w:pPr>
              <w:pStyle w:val="TableParagraph"/>
              <w:spacing w:line="220" w:lineRule="exact"/>
              <w:ind w:left="136" w:right="119" w:firstLine="278"/>
              <w:rPr>
                <w:sz w:val="18"/>
              </w:rPr>
            </w:pPr>
            <w:r>
              <w:rPr>
                <w:sz w:val="18"/>
              </w:rPr>
              <w:t>22.1 Feature of</w:t>
            </w:r>
            <w:r>
              <w:rPr>
                <w:spacing w:val="1"/>
                <w:sz w:val="18"/>
              </w:rPr>
              <w:t> </w:t>
            </w:r>
            <w:r>
              <w:rPr>
                <w:sz w:val="18"/>
              </w:rPr>
              <w:t>practice</w:t>
            </w:r>
            <w:r>
              <w:rPr>
                <w:spacing w:val="-4"/>
                <w:sz w:val="18"/>
              </w:rPr>
              <w:t> </w:t>
            </w:r>
            <w:r>
              <w:rPr>
                <w:sz w:val="18"/>
              </w:rPr>
              <w:t>prior</w:t>
            </w:r>
            <w:r>
              <w:rPr>
                <w:spacing w:val="-4"/>
                <w:sz w:val="18"/>
              </w:rPr>
              <w:t> </w:t>
            </w:r>
            <w:r>
              <w:rPr>
                <w:sz w:val="18"/>
              </w:rPr>
              <w:t>to</w:t>
            </w:r>
            <w:r>
              <w:rPr>
                <w:spacing w:val="-4"/>
                <w:sz w:val="18"/>
              </w:rPr>
              <w:t> </w:t>
            </w:r>
            <w:r>
              <w:rPr>
                <w:sz w:val="18"/>
              </w:rPr>
              <w:t>HCH</w:t>
            </w:r>
          </w:p>
        </w:tc>
        <w:tc>
          <w:tcPr>
            <w:tcW w:w="4790" w:type="dxa"/>
            <w:gridSpan w:val="3"/>
            <w:shd w:val="clear" w:color="auto" w:fill="F1F1F1"/>
          </w:tcPr>
          <w:p>
            <w:pPr>
              <w:pStyle w:val="TableParagraph"/>
              <w:spacing w:line="219" w:lineRule="exact"/>
              <w:ind w:left="293"/>
              <w:rPr>
                <w:sz w:val="18"/>
              </w:rPr>
            </w:pPr>
            <w:r>
              <w:rPr>
                <w:sz w:val="18"/>
              </w:rPr>
              <w:t>22.2 Will</w:t>
            </w:r>
            <w:r>
              <w:rPr>
                <w:spacing w:val="-4"/>
                <w:sz w:val="18"/>
              </w:rPr>
              <w:t> </w:t>
            </w:r>
            <w:r>
              <w:rPr>
                <w:sz w:val="18"/>
              </w:rPr>
              <w:t>be</w:t>
            </w:r>
            <w:r>
              <w:rPr>
                <w:spacing w:val="-2"/>
                <w:sz w:val="18"/>
              </w:rPr>
              <w:t> </w:t>
            </w:r>
            <w:r>
              <w:rPr>
                <w:sz w:val="18"/>
              </w:rPr>
              <w:t>a</w:t>
            </w:r>
            <w:r>
              <w:rPr>
                <w:spacing w:val="-3"/>
                <w:sz w:val="18"/>
              </w:rPr>
              <w:t> </w:t>
            </w:r>
            <w:r>
              <w:rPr>
                <w:sz w:val="18"/>
              </w:rPr>
              <w:t>change</w:t>
            </w:r>
            <w:r>
              <w:rPr>
                <w:spacing w:val="-2"/>
                <w:sz w:val="18"/>
              </w:rPr>
              <w:t> </w:t>
            </w:r>
            <w:r>
              <w:rPr>
                <w:sz w:val="18"/>
              </w:rPr>
              <w:t>you</w:t>
            </w:r>
            <w:r>
              <w:rPr>
                <w:spacing w:val="-3"/>
                <w:sz w:val="18"/>
              </w:rPr>
              <w:t> </w:t>
            </w:r>
            <w:r>
              <w:rPr>
                <w:sz w:val="18"/>
              </w:rPr>
              <w:t>are</w:t>
            </w:r>
            <w:r>
              <w:rPr>
                <w:spacing w:val="-2"/>
                <w:sz w:val="18"/>
              </w:rPr>
              <w:t> </w:t>
            </w:r>
            <w:r>
              <w:rPr>
                <w:sz w:val="18"/>
              </w:rPr>
              <w:t>planning</w:t>
            </w:r>
            <w:r>
              <w:rPr>
                <w:spacing w:val="-5"/>
                <w:sz w:val="18"/>
              </w:rPr>
              <w:t> </w:t>
            </w:r>
            <w:r>
              <w:rPr>
                <w:sz w:val="18"/>
              </w:rPr>
              <w:t>to</w:t>
            </w:r>
            <w:r>
              <w:rPr>
                <w:spacing w:val="-3"/>
                <w:sz w:val="18"/>
              </w:rPr>
              <w:t> </w:t>
            </w:r>
            <w:r>
              <w:rPr>
                <w:sz w:val="18"/>
              </w:rPr>
              <w:t>make</w:t>
            </w:r>
          </w:p>
        </w:tc>
      </w:tr>
      <w:tr>
        <w:trPr>
          <w:trHeight w:val="662" w:hRule="atLeast"/>
        </w:trPr>
        <w:tc>
          <w:tcPr>
            <w:tcW w:w="3541" w:type="dxa"/>
            <w:vMerge/>
            <w:tcBorders>
              <w:top w:val="nil"/>
            </w:tcBorders>
            <w:shd w:val="clear" w:color="auto" w:fill="F1F1F1"/>
          </w:tcPr>
          <w:p>
            <w:pPr>
              <w:rPr>
                <w:sz w:val="2"/>
                <w:szCs w:val="2"/>
              </w:rPr>
            </w:pPr>
          </w:p>
        </w:tc>
        <w:tc>
          <w:tcPr>
            <w:tcW w:w="1274" w:type="dxa"/>
            <w:shd w:val="clear" w:color="auto" w:fill="F1F1F1"/>
          </w:tcPr>
          <w:p>
            <w:pPr>
              <w:pStyle w:val="TableParagraph"/>
              <w:spacing w:line="219" w:lineRule="exact"/>
              <w:ind w:left="415"/>
              <w:rPr>
                <w:sz w:val="18"/>
              </w:rPr>
            </w:pPr>
            <w:r>
              <w:rPr>
                <w:sz w:val="18"/>
              </w:rPr>
              <w:t>1</w:t>
            </w:r>
            <w:r>
              <w:rPr>
                <w:spacing w:val="-2"/>
                <w:sz w:val="18"/>
              </w:rPr>
              <w:t> </w:t>
            </w:r>
            <w:r>
              <w:rPr>
                <w:sz w:val="18"/>
              </w:rPr>
              <w:t>Yes</w:t>
            </w:r>
          </w:p>
        </w:tc>
        <w:tc>
          <w:tcPr>
            <w:tcW w:w="852" w:type="dxa"/>
            <w:shd w:val="clear" w:color="auto" w:fill="F1F1F1"/>
          </w:tcPr>
          <w:p>
            <w:pPr>
              <w:pStyle w:val="TableParagraph"/>
              <w:spacing w:line="219" w:lineRule="exact"/>
              <w:ind w:left="223"/>
              <w:rPr>
                <w:sz w:val="18"/>
              </w:rPr>
            </w:pPr>
            <w:r>
              <w:rPr>
                <w:sz w:val="18"/>
              </w:rPr>
              <w:t>2</w:t>
            </w:r>
            <w:r>
              <w:rPr>
                <w:spacing w:val="-1"/>
                <w:sz w:val="18"/>
              </w:rPr>
              <w:t> </w:t>
            </w:r>
            <w:r>
              <w:rPr>
                <w:sz w:val="18"/>
              </w:rPr>
              <w:t>No</w:t>
            </w:r>
          </w:p>
        </w:tc>
        <w:tc>
          <w:tcPr>
            <w:tcW w:w="1699" w:type="dxa"/>
            <w:shd w:val="clear" w:color="auto" w:fill="F1F1F1"/>
          </w:tcPr>
          <w:p>
            <w:pPr>
              <w:pStyle w:val="TableParagraph"/>
              <w:spacing w:line="220" w:lineRule="exact"/>
              <w:ind w:left="245" w:right="237" w:hanging="2"/>
              <w:jc w:val="center"/>
              <w:rPr>
                <w:sz w:val="18"/>
              </w:rPr>
            </w:pPr>
            <w:r>
              <w:rPr>
                <w:sz w:val="18"/>
              </w:rPr>
              <w:t>1</w:t>
            </w:r>
            <w:r>
              <w:rPr>
                <w:spacing w:val="2"/>
                <w:sz w:val="18"/>
              </w:rPr>
              <w:t> </w:t>
            </w:r>
            <w:r>
              <w:rPr>
                <w:sz w:val="18"/>
              </w:rPr>
              <w:t>We</w:t>
            </w:r>
            <w:r>
              <w:rPr>
                <w:spacing w:val="-1"/>
                <w:sz w:val="18"/>
              </w:rPr>
              <w:t> </w:t>
            </w:r>
            <w:r>
              <w:rPr>
                <w:sz w:val="18"/>
              </w:rPr>
              <w:t>are</w:t>
            </w:r>
            <w:r>
              <w:rPr>
                <w:spacing w:val="1"/>
                <w:sz w:val="18"/>
              </w:rPr>
              <w:t> </w:t>
            </w:r>
            <w:r>
              <w:rPr>
                <w:spacing w:val="-1"/>
                <w:sz w:val="18"/>
              </w:rPr>
              <w:t>implementing</w:t>
            </w:r>
            <w:r>
              <w:rPr>
                <w:spacing w:val="-47"/>
                <w:sz w:val="18"/>
              </w:rPr>
              <w:t> </w:t>
            </w:r>
            <w:r>
              <w:rPr>
                <w:sz w:val="18"/>
              </w:rPr>
              <w:t>this</w:t>
            </w:r>
            <w:r>
              <w:rPr>
                <w:spacing w:val="-1"/>
                <w:sz w:val="18"/>
              </w:rPr>
              <w:t> </w:t>
            </w:r>
            <w:r>
              <w:rPr>
                <w:sz w:val="18"/>
              </w:rPr>
              <w:t>now</w:t>
            </w:r>
          </w:p>
        </w:tc>
        <w:tc>
          <w:tcPr>
            <w:tcW w:w="1560" w:type="dxa"/>
            <w:shd w:val="clear" w:color="auto" w:fill="F1F1F1"/>
          </w:tcPr>
          <w:p>
            <w:pPr>
              <w:pStyle w:val="TableParagraph"/>
              <w:spacing w:line="220" w:lineRule="exact"/>
              <w:ind w:left="147" w:right="136" w:firstLine="55"/>
              <w:jc w:val="both"/>
              <w:rPr>
                <w:sz w:val="18"/>
              </w:rPr>
            </w:pPr>
            <w:r>
              <w:rPr>
                <w:sz w:val="18"/>
              </w:rPr>
              <w:t>2. We plan to</w:t>
            </w:r>
            <w:r>
              <w:rPr>
                <w:spacing w:val="1"/>
                <w:sz w:val="18"/>
              </w:rPr>
              <w:t> </w:t>
            </w:r>
            <w:r>
              <w:rPr>
                <w:sz w:val="18"/>
              </w:rPr>
              <w:t>implement this</w:t>
            </w:r>
            <w:r>
              <w:rPr>
                <w:spacing w:val="-47"/>
                <w:sz w:val="18"/>
              </w:rPr>
              <w:t> </w:t>
            </w:r>
            <w:r>
              <w:rPr>
                <w:sz w:val="18"/>
              </w:rPr>
              <w:t>by</w:t>
            </w:r>
            <w:r>
              <w:rPr>
                <w:spacing w:val="-2"/>
                <w:sz w:val="18"/>
              </w:rPr>
              <w:t> </w:t>
            </w:r>
            <w:r>
              <w:rPr>
                <w:sz w:val="18"/>
              </w:rPr>
              <w:t>Dec</w:t>
            </w:r>
            <w:r>
              <w:rPr>
                <w:spacing w:val="-1"/>
                <w:sz w:val="18"/>
              </w:rPr>
              <w:t> </w:t>
            </w:r>
            <w:r>
              <w:rPr>
                <w:sz w:val="18"/>
              </w:rPr>
              <w:t>2019</w:t>
            </w:r>
          </w:p>
        </w:tc>
        <w:tc>
          <w:tcPr>
            <w:tcW w:w="1531" w:type="dxa"/>
            <w:shd w:val="clear" w:color="auto" w:fill="F1F1F1"/>
          </w:tcPr>
          <w:p>
            <w:pPr>
              <w:pStyle w:val="TableParagraph"/>
              <w:spacing w:line="220" w:lineRule="exact"/>
              <w:ind w:left="140" w:right="125" w:hanging="3"/>
              <w:jc w:val="both"/>
              <w:rPr>
                <w:sz w:val="18"/>
              </w:rPr>
            </w:pPr>
            <w:r>
              <w:rPr>
                <w:sz w:val="18"/>
              </w:rPr>
              <w:t>3 This won't be</w:t>
            </w:r>
            <w:r>
              <w:rPr>
                <w:spacing w:val="-47"/>
                <w:sz w:val="18"/>
              </w:rPr>
              <w:t> </w:t>
            </w:r>
            <w:r>
              <w:rPr>
                <w:sz w:val="18"/>
              </w:rPr>
              <w:t>a focus for us</w:t>
            </w:r>
            <w:r>
              <w:rPr>
                <w:spacing w:val="1"/>
                <w:sz w:val="18"/>
              </w:rPr>
              <w:t> </w:t>
            </w:r>
            <w:r>
              <w:rPr>
                <w:sz w:val="18"/>
              </w:rPr>
              <w:t>during</w:t>
            </w:r>
            <w:r>
              <w:rPr>
                <w:spacing w:val="-8"/>
                <w:sz w:val="18"/>
              </w:rPr>
              <w:t> </w:t>
            </w:r>
            <w:r>
              <w:rPr>
                <w:sz w:val="18"/>
              </w:rPr>
              <w:t>the</w:t>
            </w:r>
            <w:r>
              <w:rPr>
                <w:spacing w:val="-6"/>
                <w:sz w:val="18"/>
              </w:rPr>
              <w:t> </w:t>
            </w:r>
            <w:r>
              <w:rPr>
                <w:sz w:val="18"/>
              </w:rPr>
              <w:t>trial</w:t>
            </w:r>
          </w:p>
        </w:tc>
      </w:tr>
      <w:tr>
        <w:trPr>
          <w:trHeight w:val="662" w:hRule="atLeast"/>
        </w:trPr>
        <w:tc>
          <w:tcPr>
            <w:tcW w:w="3541" w:type="dxa"/>
          </w:tcPr>
          <w:p>
            <w:pPr>
              <w:pStyle w:val="TableParagraph"/>
              <w:spacing w:line="220" w:lineRule="exact"/>
              <w:ind w:left="107" w:right="300"/>
              <w:rPr>
                <w:sz w:val="18"/>
              </w:rPr>
            </w:pPr>
            <w:r>
              <w:rPr>
                <w:sz w:val="18"/>
              </w:rPr>
              <w:t>A.</w:t>
            </w:r>
            <w:r>
              <w:rPr>
                <w:spacing w:val="-3"/>
                <w:sz w:val="18"/>
              </w:rPr>
              <w:t> </w:t>
            </w:r>
            <w:r>
              <w:rPr>
                <w:sz w:val="18"/>
              </w:rPr>
              <w:t>Improving</w:t>
            </w:r>
            <w:r>
              <w:rPr>
                <w:spacing w:val="-6"/>
                <w:sz w:val="18"/>
              </w:rPr>
              <w:t> </w:t>
            </w:r>
            <w:r>
              <w:rPr>
                <w:sz w:val="18"/>
              </w:rPr>
              <w:t>the</w:t>
            </w:r>
            <w:r>
              <w:rPr>
                <w:spacing w:val="-3"/>
                <w:sz w:val="18"/>
              </w:rPr>
              <w:t> </w:t>
            </w:r>
            <w:r>
              <w:rPr>
                <w:sz w:val="18"/>
              </w:rPr>
              <w:t>completeness</w:t>
            </w:r>
            <w:r>
              <w:rPr>
                <w:spacing w:val="-5"/>
                <w:sz w:val="18"/>
              </w:rPr>
              <w:t> </w:t>
            </w:r>
            <w:r>
              <w:rPr>
                <w:sz w:val="18"/>
              </w:rPr>
              <w:t>and</w:t>
            </w:r>
            <w:r>
              <w:rPr>
                <w:spacing w:val="-47"/>
                <w:sz w:val="18"/>
              </w:rPr>
              <w:t> </w:t>
            </w:r>
            <w:r>
              <w:rPr>
                <w:sz w:val="18"/>
              </w:rPr>
              <w:t>quality of the data in the practice</w:t>
            </w:r>
            <w:r>
              <w:rPr>
                <w:spacing w:val="1"/>
                <w:sz w:val="18"/>
              </w:rPr>
              <w:t> </w:t>
            </w:r>
            <w:r>
              <w:rPr>
                <w:sz w:val="18"/>
              </w:rPr>
              <w:t>clinical</w:t>
            </w:r>
            <w:r>
              <w:rPr>
                <w:spacing w:val="-2"/>
                <w:sz w:val="18"/>
              </w:rPr>
              <w:t> </w:t>
            </w:r>
            <w:r>
              <w:rPr>
                <w:sz w:val="18"/>
              </w:rPr>
              <w:t>management</w:t>
            </w:r>
            <w:r>
              <w:rPr>
                <w:spacing w:val="-3"/>
                <w:sz w:val="18"/>
              </w:rPr>
              <w:t> </w:t>
            </w:r>
            <w:r>
              <w:rPr>
                <w:sz w:val="18"/>
              </w:rPr>
              <w:t>system</w:t>
            </w:r>
          </w:p>
        </w:tc>
        <w:tc>
          <w:tcPr>
            <w:tcW w:w="1274" w:type="dxa"/>
          </w:tcPr>
          <w:p>
            <w:pPr>
              <w:pStyle w:val="TableParagraph"/>
              <w:spacing w:before="7"/>
              <w:rPr>
                <w:sz w:val="5"/>
              </w:rPr>
            </w:pPr>
          </w:p>
          <w:p>
            <w:pPr>
              <w:pStyle w:val="TableParagraph"/>
              <w:spacing w:line="112" w:lineRule="exact"/>
              <w:ind w:left="1122"/>
              <w:rPr>
                <w:sz w:val="11"/>
              </w:rPr>
            </w:pPr>
            <w:r>
              <w:rPr>
                <w:position w:val="-1"/>
                <w:sz w:val="11"/>
              </w:rPr>
              <w:drawing>
                <wp:inline distT="0" distB="0" distL="0" distR="0">
                  <wp:extent cx="57802" cy="71437"/>
                  <wp:effectExtent l="0" t="0" r="0" b="0"/>
                  <wp:docPr id="613" name="image13.png"/>
                  <wp:cNvGraphicFramePr>
                    <a:graphicFrameLocks noChangeAspect="1"/>
                  </wp:cNvGraphicFramePr>
                  <a:graphic>
                    <a:graphicData uri="http://schemas.openxmlformats.org/drawingml/2006/picture">
                      <pic:pic>
                        <pic:nvPicPr>
                          <pic:cNvPr id="614"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852" w:type="dxa"/>
          </w:tcPr>
          <w:p>
            <w:pPr>
              <w:pStyle w:val="TableParagraph"/>
              <w:rPr>
                <w:rFonts w:ascii="Times New Roman"/>
                <w:sz w:val="18"/>
              </w:rPr>
            </w:pPr>
          </w:p>
        </w:tc>
        <w:tc>
          <w:tcPr>
            <w:tcW w:w="1699" w:type="dxa"/>
          </w:tcPr>
          <w:p>
            <w:pPr>
              <w:pStyle w:val="TableParagraph"/>
              <w:spacing w:before="7"/>
              <w:rPr>
                <w:sz w:val="5"/>
              </w:rPr>
            </w:pPr>
          </w:p>
          <w:p>
            <w:pPr>
              <w:pStyle w:val="TableParagraph"/>
              <w:spacing w:line="112" w:lineRule="exact"/>
              <w:ind w:left="1187"/>
              <w:rPr>
                <w:sz w:val="11"/>
              </w:rPr>
            </w:pPr>
            <w:r>
              <w:rPr>
                <w:position w:val="-1"/>
                <w:sz w:val="11"/>
              </w:rPr>
              <w:drawing>
                <wp:inline distT="0" distB="0" distL="0" distR="0">
                  <wp:extent cx="57802" cy="71437"/>
                  <wp:effectExtent l="0" t="0" r="0" b="0"/>
                  <wp:docPr id="615" name="image13.png"/>
                  <wp:cNvGraphicFramePr>
                    <a:graphicFrameLocks noChangeAspect="1"/>
                  </wp:cNvGraphicFramePr>
                  <a:graphic>
                    <a:graphicData uri="http://schemas.openxmlformats.org/drawingml/2006/picture">
                      <pic:pic>
                        <pic:nvPicPr>
                          <pic:cNvPr id="616"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560" w:type="dxa"/>
          </w:tcPr>
          <w:p>
            <w:pPr>
              <w:pStyle w:val="TableParagraph"/>
              <w:spacing w:before="7"/>
              <w:rPr>
                <w:sz w:val="5"/>
              </w:rPr>
            </w:pPr>
          </w:p>
          <w:p>
            <w:pPr>
              <w:pStyle w:val="TableParagraph"/>
              <w:spacing w:line="112" w:lineRule="exact"/>
              <w:ind w:left="1123"/>
              <w:rPr>
                <w:sz w:val="11"/>
              </w:rPr>
            </w:pPr>
            <w:r>
              <w:rPr>
                <w:position w:val="-1"/>
                <w:sz w:val="11"/>
              </w:rPr>
              <w:drawing>
                <wp:inline distT="0" distB="0" distL="0" distR="0">
                  <wp:extent cx="57802" cy="71437"/>
                  <wp:effectExtent l="0" t="0" r="0" b="0"/>
                  <wp:docPr id="617" name="image13.png"/>
                  <wp:cNvGraphicFramePr>
                    <a:graphicFrameLocks noChangeAspect="1"/>
                  </wp:cNvGraphicFramePr>
                  <a:graphic>
                    <a:graphicData uri="http://schemas.openxmlformats.org/drawingml/2006/picture">
                      <pic:pic>
                        <pic:nvPicPr>
                          <pic:cNvPr id="618"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531" w:type="dxa"/>
          </w:tcPr>
          <w:p>
            <w:pPr>
              <w:pStyle w:val="TableParagraph"/>
              <w:spacing w:before="7"/>
              <w:rPr>
                <w:sz w:val="5"/>
              </w:rPr>
            </w:pPr>
          </w:p>
          <w:p>
            <w:pPr>
              <w:pStyle w:val="TableParagraph"/>
              <w:spacing w:line="112" w:lineRule="exact"/>
              <w:ind w:left="1123"/>
              <w:rPr>
                <w:sz w:val="11"/>
              </w:rPr>
            </w:pPr>
            <w:r>
              <w:rPr>
                <w:position w:val="-1"/>
                <w:sz w:val="11"/>
              </w:rPr>
              <w:drawing>
                <wp:inline distT="0" distB="0" distL="0" distR="0">
                  <wp:extent cx="57802" cy="71437"/>
                  <wp:effectExtent l="0" t="0" r="0" b="0"/>
                  <wp:docPr id="619" name="image13.png"/>
                  <wp:cNvGraphicFramePr>
                    <a:graphicFrameLocks noChangeAspect="1"/>
                  </wp:cNvGraphicFramePr>
                  <a:graphic>
                    <a:graphicData uri="http://schemas.openxmlformats.org/drawingml/2006/picture">
                      <pic:pic>
                        <pic:nvPicPr>
                          <pic:cNvPr id="620"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r>
      <w:tr>
        <w:trPr>
          <w:trHeight w:val="882" w:hRule="atLeast"/>
        </w:trPr>
        <w:tc>
          <w:tcPr>
            <w:tcW w:w="3541" w:type="dxa"/>
          </w:tcPr>
          <w:p>
            <w:pPr>
              <w:pStyle w:val="TableParagraph"/>
              <w:spacing w:line="220" w:lineRule="exact"/>
              <w:ind w:left="107" w:right="92"/>
              <w:rPr>
                <w:sz w:val="18"/>
              </w:rPr>
            </w:pPr>
            <w:r>
              <w:rPr>
                <w:sz w:val="18"/>
              </w:rPr>
              <w:t>B. Regular meetings of HCH practice</w:t>
            </w:r>
            <w:r>
              <w:rPr>
                <w:spacing w:val="1"/>
                <w:sz w:val="18"/>
              </w:rPr>
              <w:t> </w:t>
            </w:r>
            <w:r>
              <w:rPr>
                <w:sz w:val="18"/>
              </w:rPr>
              <w:t>team</w:t>
            </w:r>
            <w:r>
              <w:rPr>
                <w:spacing w:val="-3"/>
                <w:sz w:val="18"/>
              </w:rPr>
              <w:t> </w:t>
            </w:r>
            <w:r>
              <w:rPr>
                <w:sz w:val="18"/>
              </w:rPr>
              <w:t>(e.g.</w:t>
            </w:r>
            <w:r>
              <w:rPr>
                <w:spacing w:val="-4"/>
                <w:sz w:val="18"/>
              </w:rPr>
              <w:t> </w:t>
            </w:r>
            <w:r>
              <w:rPr>
                <w:sz w:val="18"/>
              </w:rPr>
              <w:t>GPs,</w:t>
            </w:r>
            <w:r>
              <w:rPr>
                <w:spacing w:val="-5"/>
                <w:sz w:val="18"/>
              </w:rPr>
              <w:t> </w:t>
            </w:r>
            <w:r>
              <w:rPr>
                <w:sz w:val="18"/>
              </w:rPr>
              <w:t>nurse,</w:t>
            </w:r>
            <w:r>
              <w:rPr>
                <w:spacing w:val="-4"/>
                <w:sz w:val="18"/>
              </w:rPr>
              <w:t> </w:t>
            </w:r>
            <w:r>
              <w:rPr>
                <w:sz w:val="18"/>
              </w:rPr>
              <w:t>admin</w:t>
            </w:r>
            <w:r>
              <w:rPr>
                <w:spacing w:val="-2"/>
                <w:sz w:val="18"/>
              </w:rPr>
              <w:t> </w:t>
            </w:r>
            <w:r>
              <w:rPr>
                <w:sz w:val="18"/>
              </w:rPr>
              <w:t>staff)</w:t>
            </w:r>
            <w:r>
              <w:rPr>
                <w:spacing w:val="-4"/>
                <w:sz w:val="18"/>
              </w:rPr>
              <w:t> </w:t>
            </w:r>
            <w:r>
              <w:rPr>
                <w:sz w:val="18"/>
              </w:rPr>
              <w:t>to</w:t>
            </w:r>
            <w:r>
              <w:rPr>
                <w:spacing w:val="-46"/>
                <w:sz w:val="18"/>
              </w:rPr>
              <w:t> </w:t>
            </w:r>
            <w:r>
              <w:rPr>
                <w:sz w:val="18"/>
              </w:rPr>
              <w:t>review HCH patients and their care</w:t>
            </w:r>
            <w:r>
              <w:rPr>
                <w:spacing w:val="1"/>
                <w:sz w:val="18"/>
              </w:rPr>
              <w:t> </w:t>
            </w:r>
            <w:r>
              <w:rPr>
                <w:sz w:val="18"/>
              </w:rPr>
              <w:t>needs</w:t>
            </w:r>
          </w:p>
        </w:tc>
        <w:tc>
          <w:tcPr>
            <w:tcW w:w="1274" w:type="dxa"/>
          </w:tcPr>
          <w:p>
            <w:pPr>
              <w:pStyle w:val="TableParagraph"/>
              <w:spacing w:before="7"/>
              <w:rPr>
                <w:sz w:val="5"/>
              </w:rPr>
            </w:pPr>
          </w:p>
          <w:p>
            <w:pPr>
              <w:pStyle w:val="TableParagraph"/>
              <w:spacing w:line="112" w:lineRule="exact"/>
              <w:ind w:left="1122"/>
              <w:rPr>
                <w:sz w:val="11"/>
              </w:rPr>
            </w:pPr>
            <w:r>
              <w:rPr>
                <w:position w:val="-1"/>
                <w:sz w:val="11"/>
              </w:rPr>
              <w:drawing>
                <wp:inline distT="0" distB="0" distL="0" distR="0">
                  <wp:extent cx="57802" cy="71437"/>
                  <wp:effectExtent l="0" t="0" r="0" b="0"/>
                  <wp:docPr id="621" name="image13.png"/>
                  <wp:cNvGraphicFramePr>
                    <a:graphicFrameLocks noChangeAspect="1"/>
                  </wp:cNvGraphicFramePr>
                  <a:graphic>
                    <a:graphicData uri="http://schemas.openxmlformats.org/drawingml/2006/picture">
                      <pic:pic>
                        <pic:nvPicPr>
                          <pic:cNvPr id="622"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852" w:type="dxa"/>
          </w:tcPr>
          <w:p>
            <w:pPr>
              <w:pStyle w:val="TableParagraph"/>
              <w:rPr>
                <w:rFonts w:ascii="Times New Roman"/>
                <w:sz w:val="18"/>
              </w:rPr>
            </w:pPr>
          </w:p>
        </w:tc>
        <w:tc>
          <w:tcPr>
            <w:tcW w:w="1699" w:type="dxa"/>
          </w:tcPr>
          <w:p>
            <w:pPr>
              <w:pStyle w:val="TableParagraph"/>
              <w:spacing w:before="7"/>
              <w:rPr>
                <w:sz w:val="5"/>
              </w:rPr>
            </w:pPr>
          </w:p>
          <w:p>
            <w:pPr>
              <w:pStyle w:val="TableParagraph"/>
              <w:spacing w:line="112" w:lineRule="exact"/>
              <w:ind w:left="1187"/>
              <w:rPr>
                <w:sz w:val="11"/>
              </w:rPr>
            </w:pPr>
            <w:r>
              <w:rPr>
                <w:position w:val="-1"/>
                <w:sz w:val="11"/>
              </w:rPr>
              <w:drawing>
                <wp:inline distT="0" distB="0" distL="0" distR="0">
                  <wp:extent cx="57802" cy="71437"/>
                  <wp:effectExtent l="0" t="0" r="0" b="0"/>
                  <wp:docPr id="623" name="image13.png"/>
                  <wp:cNvGraphicFramePr>
                    <a:graphicFrameLocks noChangeAspect="1"/>
                  </wp:cNvGraphicFramePr>
                  <a:graphic>
                    <a:graphicData uri="http://schemas.openxmlformats.org/drawingml/2006/picture">
                      <pic:pic>
                        <pic:nvPicPr>
                          <pic:cNvPr id="624"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560" w:type="dxa"/>
          </w:tcPr>
          <w:p>
            <w:pPr>
              <w:pStyle w:val="TableParagraph"/>
              <w:spacing w:before="7"/>
              <w:rPr>
                <w:sz w:val="5"/>
              </w:rPr>
            </w:pPr>
          </w:p>
          <w:p>
            <w:pPr>
              <w:pStyle w:val="TableParagraph"/>
              <w:spacing w:line="112" w:lineRule="exact"/>
              <w:ind w:left="1123"/>
              <w:rPr>
                <w:sz w:val="11"/>
              </w:rPr>
            </w:pPr>
            <w:r>
              <w:rPr>
                <w:position w:val="-1"/>
                <w:sz w:val="11"/>
              </w:rPr>
              <w:drawing>
                <wp:inline distT="0" distB="0" distL="0" distR="0">
                  <wp:extent cx="57802" cy="71437"/>
                  <wp:effectExtent l="0" t="0" r="0" b="0"/>
                  <wp:docPr id="625" name="image13.png"/>
                  <wp:cNvGraphicFramePr>
                    <a:graphicFrameLocks noChangeAspect="1"/>
                  </wp:cNvGraphicFramePr>
                  <a:graphic>
                    <a:graphicData uri="http://schemas.openxmlformats.org/drawingml/2006/picture">
                      <pic:pic>
                        <pic:nvPicPr>
                          <pic:cNvPr id="626"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531" w:type="dxa"/>
          </w:tcPr>
          <w:p>
            <w:pPr>
              <w:pStyle w:val="TableParagraph"/>
              <w:spacing w:before="7"/>
              <w:rPr>
                <w:sz w:val="5"/>
              </w:rPr>
            </w:pPr>
          </w:p>
          <w:p>
            <w:pPr>
              <w:pStyle w:val="TableParagraph"/>
              <w:spacing w:line="112" w:lineRule="exact"/>
              <w:ind w:left="1123"/>
              <w:rPr>
                <w:sz w:val="11"/>
              </w:rPr>
            </w:pPr>
            <w:r>
              <w:rPr>
                <w:position w:val="-1"/>
                <w:sz w:val="11"/>
              </w:rPr>
              <w:drawing>
                <wp:inline distT="0" distB="0" distL="0" distR="0">
                  <wp:extent cx="57802" cy="71437"/>
                  <wp:effectExtent l="0" t="0" r="0" b="0"/>
                  <wp:docPr id="627" name="image13.png"/>
                  <wp:cNvGraphicFramePr>
                    <a:graphicFrameLocks noChangeAspect="1"/>
                  </wp:cNvGraphicFramePr>
                  <a:graphic>
                    <a:graphicData uri="http://schemas.openxmlformats.org/drawingml/2006/picture">
                      <pic:pic>
                        <pic:nvPicPr>
                          <pic:cNvPr id="628"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r>
      <w:tr>
        <w:trPr>
          <w:trHeight w:val="1104" w:hRule="atLeast"/>
        </w:trPr>
        <w:tc>
          <w:tcPr>
            <w:tcW w:w="3541" w:type="dxa"/>
          </w:tcPr>
          <w:p>
            <w:pPr>
              <w:pStyle w:val="TableParagraph"/>
              <w:spacing w:line="220" w:lineRule="exact"/>
              <w:ind w:left="107" w:right="92"/>
              <w:rPr>
                <w:sz w:val="18"/>
              </w:rPr>
            </w:pPr>
            <w:r>
              <w:rPr>
                <w:sz w:val="18"/>
              </w:rPr>
              <w:t>C. Reassigning components of care</w:t>
            </w:r>
            <w:r>
              <w:rPr>
                <w:spacing w:val="1"/>
                <w:sz w:val="18"/>
              </w:rPr>
              <w:t> </w:t>
            </w:r>
            <w:r>
              <w:rPr>
                <w:sz w:val="18"/>
              </w:rPr>
              <w:t>usually undertaken by a GP to a nurse</w:t>
            </w:r>
            <w:r>
              <w:rPr>
                <w:spacing w:val="-47"/>
                <w:sz w:val="18"/>
              </w:rPr>
              <w:t> </w:t>
            </w:r>
            <w:r>
              <w:rPr>
                <w:sz w:val="18"/>
              </w:rPr>
              <w:t>(e.g. patients routinely see a nurse</w:t>
            </w:r>
            <w:r>
              <w:rPr>
                <w:spacing w:val="1"/>
                <w:sz w:val="18"/>
              </w:rPr>
              <w:t> </w:t>
            </w:r>
            <w:r>
              <w:rPr>
                <w:sz w:val="18"/>
              </w:rPr>
              <w:t>prior to seeing the GP when they</w:t>
            </w:r>
            <w:r>
              <w:rPr>
                <w:spacing w:val="1"/>
                <w:sz w:val="18"/>
              </w:rPr>
              <w:t> </w:t>
            </w:r>
            <w:r>
              <w:rPr>
                <w:sz w:val="18"/>
              </w:rPr>
              <w:t>attend</w:t>
            </w:r>
            <w:r>
              <w:rPr>
                <w:spacing w:val="-2"/>
                <w:sz w:val="18"/>
              </w:rPr>
              <w:t> </w:t>
            </w:r>
            <w:r>
              <w:rPr>
                <w:sz w:val="18"/>
              </w:rPr>
              <w:t>the practice)</w:t>
            </w:r>
          </w:p>
        </w:tc>
        <w:tc>
          <w:tcPr>
            <w:tcW w:w="1274" w:type="dxa"/>
          </w:tcPr>
          <w:p>
            <w:pPr>
              <w:pStyle w:val="TableParagraph"/>
              <w:spacing w:before="7"/>
              <w:rPr>
                <w:sz w:val="5"/>
              </w:rPr>
            </w:pPr>
          </w:p>
          <w:p>
            <w:pPr>
              <w:pStyle w:val="TableParagraph"/>
              <w:spacing w:line="112" w:lineRule="exact"/>
              <w:ind w:left="1122"/>
              <w:rPr>
                <w:sz w:val="11"/>
              </w:rPr>
            </w:pPr>
            <w:r>
              <w:rPr>
                <w:position w:val="-1"/>
                <w:sz w:val="11"/>
              </w:rPr>
              <w:drawing>
                <wp:inline distT="0" distB="0" distL="0" distR="0">
                  <wp:extent cx="57802" cy="71437"/>
                  <wp:effectExtent l="0" t="0" r="0" b="0"/>
                  <wp:docPr id="629" name="image13.png"/>
                  <wp:cNvGraphicFramePr>
                    <a:graphicFrameLocks noChangeAspect="1"/>
                  </wp:cNvGraphicFramePr>
                  <a:graphic>
                    <a:graphicData uri="http://schemas.openxmlformats.org/drawingml/2006/picture">
                      <pic:pic>
                        <pic:nvPicPr>
                          <pic:cNvPr id="630"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852" w:type="dxa"/>
          </w:tcPr>
          <w:p>
            <w:pPr>
              <w:pStyle w:val="TableParagraph"/>
              <w:rPr>
                <w:rFonts w:ascii="Times New Roman"/>
                <w:sz w:val="18"/>
              </w:rPr>
            </w:pPr>
          </w:p>
        </w:tc>
        <w:tc>
          <w:tcPr>
            <w:tcW w:w="1699" w:type="dxa"/>
          </w:tcPr>
          <w:p>
            <w:pPr>
              <w:pStyle w:val="TableParagraph"/>
              <w:spacing w:before="7"/>
              <w:rPr>
                <w:sz w:val="5"/>
              </w:rPr>
            </w:pPr>
          </w:p>
          <w:p>
            <w:pPr>
              <w:pStyle w:val="TableParagraph"/>
              <w:spacing w:line="112" w:lineRule="exact"/>
              <w:ind w:left="1187"/>
              <w:rPr>
                <w:sz w:val="11"/>
              </w:rPr>
            </w:pPr>
            <w:r>
              <w:rPr>
                <w:position w:val="-1"/>
                <w:sz w:val="11"/>
              </w:rPr>
              <w:drawing>
                <wp:inline distT="0" distB="0" distL="0" distR="0">
                  <wp:extent cx="57802" cy="71437"/>
                  <wp:effectExtent l="0" t="0" r="0" b="0"/>
                  <wp:docPr id="631" name="image13.png"/>
                  <wp:cNvGraphicFramePr>
                    <a:graphicFrameLocks noChangeAspect="1"/>
                  </wp:cNvGraphicFramePr>
                  <a:graphic>
                    <a:graphicData uri="http://schemas.openxmlformats.org/drawingml/2006/picture">
                      <pic:pic>
                        <pic:nvPicPr>
                          <pic:cNvPr id="632"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560" w:type="dxa"/>
          </w:tcPr>
          <w:p>
            <w:pPr>
              <w:pStyle w:val="TableParagraph"/>
              <w:spacing w:before="7"/>
              <w:rPr>
                <w:sz w:val="5"/>
              </w:rPr>
            </w:pPr>
          </w:p>
          <w:p>
            <w:pPr>
              <w:pStyle w:val="TableParagraph"/>
              <w:spacing w:line="112" w:lineRule="exact"/>
              <w:ind w:left="1123"/>
              <w:rPr>
                <w:sz w:val="11"/>
              </w:rPr>
            </w:pPr>
            <w:r>
              <w:rPr>
                <w:position w:val="-1"/>
                <w:sz w:val="11"/>
              </w:rPr>
              <w:drawing>
                <wp:inline distT="0" distB="0" distL="0" distR="0">
                  <wp:extent cx="57802" cy="71437"/>
                  <wp:effectExtent l="0" t="0" r="0" b="0"/>
                  <wp:docPr id="633" name="image13.png"/>
                  <wp:cNvGraphicFramePr>
                    <a:graphicFrameLocks noChangeAspect="1"/>
                  </wp:cNvGraphicFramePr>
                  <a:graphic>
                    <a:graphicData uri="http://schemas.openxmlformats.org/drawingml/2006/picture">
                      <pic:pic>
                        <pic:nvPicPr>
                          <pic:cNvPr id="634"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531" w:type="dxa"/>
          </w:tcPr>
          <w:p>
            <w:pPr>
              <w:pStyle w:val="TableParagraph"/>
              <w:spacing w:before="7"/>
              <w:rPr>
                <w:sz w:val="5"/>
              </w:rPr>
            </w:pPr>
          </w:p>
          <w:p>
            <w:pPr>
              <w:pStyle w:val="TableParagraph"/>
              <w:spacing w:line="112" w:lineRule="exact"/>
              <w:ind w:left="1123"/>
              <w:rPr>
                <w:sz w:val="11"/>
              </w:rPr>
            </w:pPr>
            <w:r>
              <w:rPr>
                <w:position w:val="-1"/>
                <w:sz w:val="11"/>
              </w:rPr>
              <w:drawing>
                <wp:inline distT="0" distB="0" distL="0" distR="0">
                  <wp:extent cx="57802" cy="71437"/>
                  <wp:effectExtent l="0" t="0" r="0" b="0"/>
                  <wp:docPr id="635" name="image13.png"/>
                  <wp:cNvGraphicFramePr>
                    <a:graphicFrameLocks noChangeAspect="1"/>
                  </wp:cNvGraphicFramePr>
                  <a:graphic>
                    <a:graphicData uri="http://schemas.openxmlformats.org/drawingml/2006/picture">
                      <pic:pic>
                        <pic:nvPicPr>
                          <pic:cNvPr id="636"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r>
      <w:tr>
        <w:trPr>
          <w:trHeight w:val="882" w:hRule="atLeast"/>
        </w:trPr>
        <w:tc>
          <w:tcPr>
            <w:tcW w:w="3541" w:type="dxa"/>
          </w:tcPr>
          <w:p>
            <w:pPr>
              <w:pStyle w:val="TableParagraph"/>
              <w:spacing w:line="220" w:lineRule="exact"/>
              <w:ind w:left="107" w:right="272"/>
              <w:rPr>
                <w:sz w:val="18"/>
              </w:rPr>
            </w:pPr>
            <w:r>
              <w:rPr>
                <w:sz w:val="18"/>
              </w:rPr>
              <w:t>D. Reassigning components of care</w:t>
            </w:r>
            <w:r>
              <w:rPr>
                <w:spacing w:val="-47"/>
                <w:sz w:val="18"/>
              </w:rPr>
              <w:t> </w:t>
            </w:r>
            <w:r>
              <w:rPr>
                <w:sz w:val="18"/>
              </w:rPr>
              <w:t>usually undertaken by a GP or nurse</w:t>
            </w:r>
            <w:r>
              <w:rPr>
                <w:spacing w:val="-47"/>
                <w:sz w:val="18"/>
              </w:rPr>
              <w:t> </w:t>
            </w:r>
            <w:r>
              <w:rPr>
                <w:sz w:val="18"/>
              </w:rPr>
              <w:t>to a medical assistant (e.g. clinical</w:t>
            </w:r>
            <w:r>
              <w:rPr>
                <w:spacing w:val="1"/>
                <w:sz w:val="18"/>
              </w:rPr>
              <w:t> </w:t>
            </w:r>
            <w:r>
              <w:rPr>
                <w:sz w:val="18"/>
              </w:rPr>
              <w:t>measurements</w:t>
            </w:r>
            <w:r>
              <w:rPr>
                <w:spacing w:val="-4"/>
                <w:sz w:val="18"/>
              </w:rPr>
              <w:t> </w:t>
            </w:r>
            <w:r>
              <w:rPr>
                <w:sz w:val="18"/>
              </w:rPr>
              <w:t>and</w:t>
            </w:r>
            <w:r>
              <w:rPr>
                <w:spacing w:val="-4"/>
                <w:sz w:val="18"/>
              </w:rPr>
              <w:t> </w:t>
            </w:r>
            <w:r>
              <w:rPr>
                <w:sz w:val="18"/>
              </w:rPr>
              <w:t>assessments)</w:t>
            </w:r>
          </w:p>
        </w:tc>
        <w:tc>
          <w:tcPr>
            <w:tcW w:w="1274" w:type="dxa"/>
          </w:tcPr>
          <w:p>
            <w:pPr>
              <w:pStyle w:val="TableParagraph"/>
              <w:spacing w:before="7"/>
              <w:rPr>
                <w:sz w:val="5"/>
              </w:rPr>
            </w:pPr>
          </w:p>
          <w:p>
            <w:pPr>
              <w:pStyle w:val="TableParagraph"/>
              <w:spacing w:line="112" w:lineRule="exact"/>
              <w:ind w:left="1122"/>
              <w:rPr>
                <w:sz w:val="11"/>
              </w:rPr>
            </w:pPr>
            <w:r>
              <w:rPr>
                <w:position w:val="-1"/>
                <w:sz w:val="11"/>
              </w:rPr>
              <w:drawing>
                <wp:inline distT="0" distB="0" distL="0" distR="0">
                  <wp:extent cx="57802" cy="71437"/>
                  <wp:effectExtent l="0" t="0" r="0" b="0"/>
                  <wp:docPr id="637" name="image13.png"/>
                  <wp:cNvGraphicFramePr>
                    <a:graphicFrameLocks noChangeAspect="1"/>
                  </wp:cNvGraphicFramePr>
                  <a:graphic>
                    <a:graphicData uri="http://schemas.openxmlformats.org/drawingml/2006/picture">
                      <pic:pic>
                        <pic:nvPicPr>
                          <pic:cNvPr id="638"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852" w:type="dxa"/>
          </w:tcPr>
          <w:p>
            <w:pPr>
              <w:pStyle w:val="TableParagraph"/>
              <w:rPr>
                <w:rFonts w:ascii="Times New Roman"/>
                <w:sz w:val="18"/>
              </w:rPr>
            </w:pPr>
          </w:p>
        </w:tc>
        <w:tc>
          <w:tcPr>
            <w:tcW w:w="1699" w:type="dxa"/>
          </w:tcPr>
          <w:p>
            <w:pPr>
              <w:pStyle w:val="TableParagraph"/>
              <w:spacing w:before="7"/>
              <w:rPr>
                <w:sz w:val="5"/>
              </w:rPr>
            </w:pPr>
          </w:p>
          <w:p>
            <w:pPr>
              <w:pStyle w:val="TableParagraph"/>
              <w:spacing w:line="112" w:lineRule="exact"/>
              <w:ind w:left="1187"/>
              <w:rPr>
                <w:sz w:val="11"/>
              </w:rPr>
            </w:pPr>
            <w:r>
              <w:rPr>
                <w:position w:val="-1"/>
                <w:sz w:val="11"/>
              </w:rPr>
              <w:drawing>
                <wp:inline distT="0" distB="0" distL="0" distR="0">
                  <wp:extent cx="57802" cy="71437"/>
                  <wp:effectExtent l="0" t="0" r="0" b="0"/>
                  <wp:docPr id="639" name="image13.png"/>
                  <wp:cNvGraphicFramePr>
                    <a:graphicFrameLocks noChangeAspect="1"/>
                  </wp:cNvGraphicFramePr>
                  <a:graphic>
                    <a:graphicData uri="http://schemas.openxmlformats.org/drawingml/2006/picture">
                      <pic:pic>
                        <pic:nvPicPr>
                          <pic:cNvPr id="640"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560" w:type="dxa"/>
          </w:tcPr>
          <w:p>
            <w:pPr>
              <w:pStyle w:val="TableParagraph"/>
              <w:spacing w:before="7"/>
              <w:rPr>
                <w:sz w:val="5"/>
              </w:rPr>
            </w:pPr>
          </w:p>
          <w:p>
            <w:pPr>
              <w:pStyle w:val="TableParagraph"/>
              <w:spacing w:line="112" w:lineRule="exact"/>
              <w:ind w:left="1123"/>
              <w:rPr>
                <w:sz w:val="11"/>
              </w:rPr>
            </w:pPr>
            <w:r>
              <w:rPr>
                <w:position w:val="-1"/>
                <w:sz w:val="11"/>
              </w:rPr>
              <w:drawing>
                <wp:inline distT="0" distB="0" distL="0" distR="0">
                  <wp:extent cx="57802" cy="71437"/>
                  <wp:effectExtent l="0" t="0" r="0" b="0"/>
                  <wp:docPr id="641" name="image13.png"/>
                  <wp:cNvGraphicFramePr>
                    <a:graphicFrameLocks noChangeAspect="1"/>
                  </wp:cNvGraphicFramePr>
                  <a:graphic>
                    <a:graphicData uri="http://schemas.openxmlformats.org/drawingml/2006/picture">
                      <pic:pic>
                        <pic:nvPicPr>
                          <pic:cNvPr id="642"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531" w:type="dxa"/>
          </w:tcPr>
          <w:p>
            <w:pPr>
              <w:pStyle w:val="TableParagraph"/>
              <w:spacing w:before="7"/>
              <w:rPr>
                <w:sz w:val="5"/>
              </w:rPr>
            </w:pPr>
          </w:p>
          <w:p>
            <w:pPr>
              <w:pStyle w:val="TableParagraph"/>
              <w:spacing w:line="112" w:lineRule="exact"/>
              <w:ind w:left="1123"/>
              <w:rPr>
                <w:sz w:val="11"/>
              </w:rPr>
            </w:pPr>
            <w:r>
              <w:rPr>
                <w:position w:val="-1"/>
                <w:sz w:val="11"/>
              </w:rPr>
              <w:drawing>
                <wp:inline distT="0" distB="0" distL="0" distR="0">
                  <wp:extent cx="57802" cy="71437"/>
                  <wp:effectExtent l="0" t="0" r="0" b="0"/>
                  <wp:docPr id="643" name="image13.png"/>
                  <wp:cNvGraphicFramePr>
                    <a:graphicFrameLocks noChangeAspect="1"/>
                  </wp:cNvGraphicFramePr>
                  <a:graphic>
                    <a:graphicData uri="http://schemas.openxmlformats.org/drawingml/2006/picture">
                      <pic:pic>
                        <pic:nvPicPr>
                          <pic:cNvPr id="644"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r>
      <w:tr>
        <w:trPr>
          <w:trHeight w:val="882" w:hRule="atLeast"/>
        </w:trPr>
        <w:tc>
          <w:tcPr>
            <w:tcW w:w="3541" w:type="dxa"/>
          </w:tcPr>
          <w:p>
            <w:pPr>
              <w:pStyle w:val="TableParagraph"/>
              <w:spacing w:line="220" w:lineRule="exact"/>
              <w:ind w:left="107" w:right="447"/>
              <w:rPr>
                <w:sz w:val="18"/>
              </w:rPr>
            </w:pPr>
            <w:r>
              <w:rPr>
                <w:sz w:val="18"/>
              </w:rPr>
              <w:t>E. Introducing new roles within the</w:t>
            </w:r>
            <w:r>
              <w:rPr>
                <w:spacing w:val="-48"/>
                <w:sz w:val="18"/>
              </w:rPr>
              <w:t> </w:t>
            </w:r>
            <w:r>
              <w:rPr>
                <w:sz w:val="18"/>
              </w:rPr>
              <w:t>practice (e.g. medical practice</w:t>
            </w:r>
            <w:r>
              <w:rPr>
                <w:spacing w:val="1"/>
                <w:sz w:val="18"/>
              </w:rPr>
              <w:t> </w:t>
            </w:r>
            <w:r>
              <w:rPr>
                <w:sz w:val="18"/>
              </w:rPr>
              <w:t>assistance, care coordinator,</w:t>
            </w:r>
            <w:r>
              <w:rPr>
                <w:spacing w:val="1"/>
                <w:sz w:val="18"/>
              </w:rPr>
              <w:t> </w:t>
            </w:r>
            <w:r>
              <w:rPr>
                <w:sz w:val="18"/>
              </w:rPr>
              <w:t>community</w:t>
            </w:r>
            <w:r>
              <w:rPr>
                <w:spacing w:val="-2"/>
                <w:sz w:val="18"/>
              </w:rPr>
              <w:t> </w:t>
            </w:r>
            <w:r>
              <w:rPr>
                <w:sz w:val="18"/>
              </w:rPr>
              <w:t>care worker)</w:t>
            </w:r>
          </w:p>
        </w:tc>
        <w:tc>
          <w:tcPr>
            <w:tcW w:w="1274" w:type="dxa"/>
          </w:tcPr>
          <w:p>
            <w:pPr>
              <w:pStyle w:val="TableParagraph"/>
              <w:spacing w:before="7"/>
              <w:rPr>
                <w:sz w:val="5"/>
              </w:rPr>
            </w:pPr>
          </w:p>
          <w:p>
            <w:pPr>
              <w:pStyle w:val="TableParagraph"/>
              <w:spacing w:line="112" w:lineRule="exact"/>
              <w:ind w:left="1122"/>
              <w:rPr>
                <w:sz w:val="11"/>
              </w:rPr>
            </w:pPr>
            <w:r>
              <w:rPr>
                <w:position w:val="-1"/>
                <w:sz w:val="11"/>
              </w:rPr>
              <w:drawing>
                <wp:inline distT="0" distB="0" distL="0" distR="0">
                  <wp:extent cx="57802" cy="71437"/>
                  <wp:effectExtent l="0" t="0" r="0" b="0"/>
                  <wp:docPr id="645" name="image13.png"/>
                  <wp:cNvGraphicFramePr>
                    <a:graphicFrameLocks noChangeAspect="1"/>
                  </wp:cNvGraphicFramePr>
                  <a:graphic>
                    <a:graphicData uri="http://schemas.openxmlformats.org/drawingml/2006/picture">
                      <pic:pic>
                        <pic:nvPicPr>
                          <pic:cNvPr id="646"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852" w:type="dxa"/>
          </w:tcPr>
          <w:p>
            <w:pPr>
              <w:pStyle w:val="TableParagraph"/>
              <w:rPr>
                <w:rFonts w:ascii="Times New Roman"/>
                <w:sz w:val="18"/>
              </w:rPr>
            </w:pPr>
          </w:p>
        </w:tc>
        <w:tc>
          <w:tcPr>
            <w:tcW w:w="1699" w:type="dxa"/>
          </w:tcPr>
          <w:p>
            <w:pPr>
              <w:pStyle w:val="TableParagraph"/>
              <w:spacing w:before="7"/>
              <w:rPr>
                <w:sz w:val="5"/>
              </w:rPr>
            </w:pPr>
          </w:p>
          <w:p>
            <w:pPr>
              <w:pStyle w:val="TableParagraph"/>
              <w:spacing w:line="112" w:lineRule="exact"/>
              <w:ind w:left="1187"/>
              <w:rPr>
                <w:sz w:val="11"/>
              </w:rPr>
            </w:pPr>
            <w:r>
              <w:rPr>
                <w:position w:val="-1"/>
                <w:sz w:val="11"/>
              </w:rPr>
              <w:drawing>
                <wp:inline distT="0" distB="0" distL="0" distR="0">
                  <wp:extent cx="57802" cy="71437"/>
                  <wp:effectExtent l="0" t="0" r="0" b="0"/>
                  <wp:docPr id="647" name="image13.png"/>
                  <wp:cNvGraphicFramePr>
                    <a:graphicFrameLocks noChangeAspect="1"/>
                  </wp:cNvGraphicFramePr>
                  <a:graphic>
                    <a:graphicData uri="http://schemas.openxmlformats.org/drawingml/2006/picture">
                      <pic:pic>
                        <pic:nvPicPr>
                          <pic:cNvPr id="648"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560" w:type="dxa"/>
          </w:tcPr>
          <w:p>
            <w:pPr>
              <w:pStyle w:val="TableParagraph"/>
              <w:spacing w:before="7"/>
              <w:rPr>
                <w:sz w:val="5"/>
              </w:rPr>
            </w:pPr>
          </w:p>
          <w:p>
            <w:pPr>
              <w:pStyle w:val="TableParagraph"/>
              <w:spacing w:line="112" w:lineRule="exact"/>
              <w:ind w:left="1123"/>
              <w:rPr>
                <w:sz w:val="11"/>
              </w:rPr>
            </w:pPr>
            <w:r>
              <w:rPr>
                <w:position w:val="-1"/>
                <w:sz w:val="11"/>
              </w:rPr>
              <w:drawing>
                <wp:inline distT="0" distB="0" distL="0" distR="0">
                  <wp:extent cx="57802" cy="71437"/>
                  <wp:effectExtent l="0" t="0" r="0" b="0"/>
                  <wp:docPr id="649" name="image13.png"/>
                  <wp:cNvGraphicFramePr>
                    <a:graphicFrameLocks noChangeAspect="1"/>
                  </wp:cNvGraphicFramePr>
                  <a:graphic>
                    <a:graphicData uri="http://schemas.openxmlformats.org/drawingml/2006/picture">
                      <pic:pic>
                        <pic:nvPicPr>
                          <pic:cNvPr id="650"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531" w:type="dxa"/>
          </w:tcPr>
          <w:p>
            <w:pPr>
              <w:pStyle w:val="TableParagraph"/>
              <w:spacing w:before="7"/>
              <w:rPr>
                <w:sz w:val="5"/>
              </w:rPr>
            </w:pPr>
          </w:p>
          <w:p>
            <w:pPr>
              <w:pStyle w:val="TableParagraph"/>
              <w:spacing w:line="112" w:lineRule="exact"/>
              <w:ind w:left="1123"/>
              <w:rPr>
                <w:sz w:val="11"/>
              </w:rPr>
            </w:pPr>
            <w:r>
              <w:rPr>
                <w:position w:val="-1"/>
                <w:sz w:val="11"/>
              </w:rPr>
              <w:drawing>
                <wp:inline distT="0" distB="0" distL="0" distR="0">
                  <wp:extent cx="57802" cy="71437"/>
                  <wp:effectExtent l="0" t="0" r="0" b="0"/>
                  <wp:docPr id="651" name="image13.png"/>
                  <wp:cNvGraphicFramePr>
                    <a:graphicFrameLocks noChangeAspect="1"/>
                  </wp:cNvGraphicFramePr>
                  <a:graphic>
                    <a:graphicData uri="http://schemas.openxmlformats.org/drawingml/2006/picture">
                      <pic:pic>
                        <pic:nvPicPr>
                          <pic:cNvPr id="652"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r>
      <w:tr>
        <w:trPr>
          <w:trHeight w:val="662" w:hRule="atLeast"/>
        </w:trPr>
        <w:tc>
          <w:tcPr>
            <w:tcW w:w="3541" w:type="dxa"/>
          </w:tcPr>
          <w:p>
            <w:pPr>
              <w:pStyle w:val="TableParagraph"/>
              <w:ind w:left="107" w:right="108"/>
              <w:rPr>
                <w:sz w:val="18"/>
              </w:rPr>
            </w:pPr>
            <w:r>
              <w:rPr>
                <w:sz w:val="18"/>
              </w:rPr>
              <w:t>F. Improved systems for follow-up and</w:t>
            </w:r>
            <w:r>
              <w:rPr>
                <w:spacing w:val="-47"/>
                <w:sz w:val="18"/>
              </w:rPr>
              <w:t> </w:t>
            </w:r>
            <w:r>
              <w:rPr>
                <w:sz w:val="18"/>
              </w:rPr>
              <w:t>re-call</w:t>
            </w:r>
            <w:r>
              <w:rPr>
                <w:spacing w:val="-5"/>
                <w:sz w:val="18"/>
              </w:rPr>
              <w:t> </w:t>
            </w:r>
            <w:r>
              <w:rPr>
                <w:sz w:val="18"/>
              </w:rPr>
              <w:t>of</w:t>
            </w:r>
            <w:r>
              <w:rPr>
                <w:spacing w:val="-3"/>
                <w:sz w:val="18"/>
              </w:rPr>
              <w:t> </w:t>
            </w:r>
            <w:r>
              <w:rPr>
                <w:sz w:val="18"/>
              </w:rPr>
              <w:t>HCH</w:t>
            </w:r>
            <w:r>
              <w:rPr>
                <w:spacing w:val="-4"/>
                <w:sz w:val="18"/>
              </w:rPr>
              <w:t> </w:t>
            </w:r>
            <w:r>
              <w:rPr>
                <w:sz w:val="18"/>
              </w:rPr>
              <w:t>patients</w:t>
            </w:r>
            <w:r>
              <w:rPr>
                <w:spacing w:val="-2"/>
                <w:sz w:val="18"/>
              </w:rPr>
              <w:t> </w:t>
            </w:r>
            <w:r>
              <w:rPr>
                <w:sz w:val="18"/>
              </w:rPr>
              <w:t>(e.g.</w:t>
            </w:r>
            <w:r>
              <w:rPr>
                <w:spacing w:val="-3"/>
                <w:sz w:val="18"/>
              </w:rPr>
              <w:t> </w:t>
            </w:r>
            <w:r>
              <w:rPr>
                <w:sz w:val="18"/>
              </w:rPr>
              <w:t>for</w:t>
            </w:r>
            <w:r>
              <w:rPr>
                <w:spacing w:val="-5"/>
                <w:sz w:val="18"/>
              </w:rPr>
              <w:t> </w:t>
            </w:r>
            <w:r>
              <w:rPr>
                <w:sz w:val="18"/>
              </w:rPr>
              <w:t>review</w:t>
            </w:r>
          </w:p>
          <w:p>
            <w:pPr>
              <w:pStyle w:val="TableParagraph"/>
              <w:spacing w:line="202" w:lineRule="exact"/>
              <w:ind w:left="107"/>
              <w:rPr>
                <w:sz w:val="18"/>
              </w:rPr>
            </w:pPr>
            <w:r>
              <w:rPr>
                <w:sz w:val="18"/>
              </w:rPr>
              <w:t>or</w:t>
            </w:r>
            <w:r>
              <w:rPr>
                <w:spacing w:val="-4"/>
                <w:sz w:val="18"/>
              </w:rPr>
              <w:t> </w:t>
            </w:r>
            <w:r>
              <w:rPr>
                <w:sz w:val="18"/>
              </w:rPr>
              <w:t>preventive</w:t>
            </w:r>
            <w:r>
              <w:rPr>
                <w:spacing w:val="-3"/>
                <w:sz w:val="18"/>
              </w:rPr>
              <w:t> </w:t>
            </w:r>
            <w:r>
              <w:rPr>
                <w:sz w:val="18"/>
              </w:rPr>
              <w:t>services)</w:t>
            </w:r>
          </w:p>
        </w:tc>
        <w:tc>
          <w:tcPr>
            <w:tcW w:w="1274" w:type="dxa"/>
          </w:tcPr>
          <w:p>
            <w:pPr>
              <w:pStyle w:val="TableParagraph"/>
              <w:spacing w:before="7"/>
              <w:rPr>
                <w:sz w:val="5"/>
              </w:rPr>
            </w:pPr>
          </w:p>
          <w:p>
            <w:pPr>
              <w:pStyle w:val="TableParagraph"/>
              <w:spacing w:line="112" w:lineRule="exact"/>
              <w:ind w:left="1122"/>
              <w:rPr>
                <w:sz w:val="11"/>
              </w:rPr>
            </w:pPr>
            <w:r>
              <w:rPr>
                <w:position w:val="-1"/>
                <w:sz w:val="11"/>
              </w:rPr>
              <w:drawing>
                <wp:inline distT="0" distB="0" distL="0" distR="0">
                  <wp:extent cx="57802" cy="71437"/>
                  <wp:effectExtent l="0" t="0" r="0" b="0"/>
                  <wp:docPr id="653" name="image13.png"/>
                  <wp:cNvGraphicFramePr>
                    <a:graphicFrameLocks noChangeAspect="1"/>
                  </wp:cNvGraphicFramePr>
                  <a:graphic>
                    <a:graphicData uri="http://schemas.openxmlformats.org/drawingml/2006/picture">
                      <pic:pic>
                        <pic:nvPicPr>
                          <pic:cNvPr id="654"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852" w:type="dxa"/>
          </w:tcPr>
          <w:p>
            <w:pPr>
              <w:pStyle w:val="TableParagraph"/>
              <w:rPr>
                <w:rFonts w:ascii="Times New Roman"/>
                <w:sz w:val="18"/>
              </w:rPr>
            </w:pPr>
          </w:p>
        </w:tc>
        <w:tc>
          <w:tcPr>
            <w:tcW w:w="1699" w:type="dxa"/>
          </w:tcPr>
          <w:p>
            <w:pPr>
              <w:pStyle w:val="TableParagraph"/>
              <w:spacing w:before="7"/>
              <w:rPr>
                <w:sz w:val="5"/>
              </w:rPr>
            </w:pPr>
          </w:p>
          <w:p>
            <w:pPr>
              <w:pStyle w:val="TableParagraph"/>
              <w:spacing w:line="112" w:lineRule="exact"/>
              <w:ind w:left="1187"/>
              <w:rPr>
                <w:sz w:val="11"/>
              </w:rPr>
            </w:pPr>
            <w:r>
              <w:rPr>
                <w:position w:val="-1"/>
                <w:sz w:val="11"/>
              </w:rPr>
              <w:drawing>
                <wp:inline distT="0" distB="0" distL="0" distR="0">
                  <wp:extent cx="57802" cy="71437"/>
                  <wp:effectExtent l="0" t="0" r="0" b="0"/>
                  <wp:docPr id="655" name="image13.png"/>
                  <wp:cNvGraphicFramePr>
                    <a:graphicFrameLocks noChangeAspect="1"/>
                  </wp:cNvGraphicFramePr>
                  <a:graphic>
                    <a:graphicData uri="http://schemas.openxmlformats.org/drawingml/2006/picture">
                      <pic:pic>
                        <pic:nvPicPr>
                          <pic:cNvPr id="656"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560" w:type="dxa"/>
          </w:tcPr>
          <w:p>
            <w:pPr>
              <w:pStyle w:val="TableParagraph"/>
              <w:spacing w:before="7"/>
              <w:rPr>
                <w:sz w:val="5"/>
              </w:rPr>
            </w:pPr>
          </w:p>
          <w:p>
            <w:pPr>
              <w:pStyle w:val="TableParagraph"/>
              <w:spacing w:line="112" w:lineRule="exact"/>
              <w:ind w:left="1123"/>
              <w:rPr>
                <w:sz w:val="11"/>
              </w:rPr>
            </w:pPr>
            <w:r>
              <w:rPr>
                <w:position w:val="-1"/>
                <w:sz w:val="11"/>
              </w:rPr>
              <w:drawing>
                <wp:inline distT="0" distB="0" distL="0" distR="0">
                  <wp:extent cx="57802" cy="71437"/>
                  <wp:effectExtent l="0" t="0" r="0" b="0"/>
                  <wp:docPr id="657" name="image13.png"/>
                  <wp:cNvGraphicFramePr>
                    <a:graphicFrameLocks noChangeAspect="1"/>
                  </wp:cNvGraphicFramePr>
                  <a:graphic>
                    <a:graphicData uri="http://schemas.openxmlformats.org/drawingml/2006/picture">
                      <pic:pic>
                        <pic:nvPicPr>
                          <pic:cNvPr id="658"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531" w:type="dxa"/>
          </w:tcPr>
          <w:p>
            <w:pPr>
              <w:pStyle w:val="TableParagraph"/>
              <w:spacing w:before="7"/>
              <w:rPr>
                <w:sz w:val="5"/>
              </w:rPr>
            </w:pPr>
          </w:p>
          <w:p>
            <w:pPr>
              <w:pStyle w:val="TableParagraph"/>
              <w:spacing w:line="112" w:lineRule="exact"/>
              <w:ind w:left="1123"/>
              <w:rPr>
                <w:sz w:val="11"/>
              </w:rPr>
            </w:pPr>
            <w:r>
              <w:rPr>
                <w:position w:val="-1"/>
                <w:sz w:val="11"/>
              </w:rPr>
              <w:drawing>
                <wp:inline distT="0" distB="0" distL="0" distR="0">
                  <wp:extent cx="57802" cy="71437"/>
                  <wp:effectExtent l="0" t="0" r="0" b="0"/>
                  <wp:docPr id="659" name="image13.png"/>
                  <wp:cNvGraphicFramePr>
                    <a:graphicFrameLocks noChangeAspect="1"/>
                  </wp:cNvGraphicFramePr>
                  <a:graphic>
                    <a:graphicData uri="http://schemas.openxmlformats.org/drawingml/2006/picture">
                      <pic:pic>
                        <pic:nvPicPr>
                          <pic:cNvPr id="660"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r>
      <w:tr>
        <w:trPr>
          <w:trHeight w:val="661" w:hRule="atLeast"/>
        </w:trPr>
        <w:tc>
          <w:tcPr>
            <w:tcW w:w="3541" w:type="dxa"/>
          </w:tcPr>
          <w:p>
            <w:pPr>
              <w:pStyle w:val="TableParagraph"/>
              <w:spacing w:line="220" w:lineRule="exact"/>
              <w:ind w:left="107" w:right="193"/>
              <w:rPr>
                <w:sz w:val="18"/>
              </w:rPr>
            </w:pPr>
            <w:r>
              <w:rPr>
                <w:sz w:val="18"/>
              </w:rPr>
              <w:t>G.</w:t>
            </w:r>
            <w:r>
              <w:rPr>
                <w:spacing w:val="-5"/>
                <w:sz w:val="18"/>
              </w:rPr>
              <w:t> </w:t>
            </w:r>
            <w:r>
              <w:rPr>
                <w:sz w:val="18"/>
              </w:rPr>
              <w:t>Proactive</w:t>
            </w:r>
            <w:r>
              <w:rPr>
                <w:spacing w:val="-3"/>
                <w:sz w:val="18"/>
              </w:rPr>
              <w:t> </w:t>
            </w:r>
            <w:r>
              <w:rPr>
                <w:sz w:val="18"/>
              </w:rPr>
              <w:t>contact</w:t>
            </w:r>
            <w:r>
              <w:rPr>
                <w:spacing w:val="-4"/>
                <w:sz w:val="18"/>
              </w:rPr>
              <w:t> </w:t>
            </w:r>
            <w:r>
              <w:rPr>
                <w:sz w:val="18"/>
              </w:rPr>
              <w:t>with</w:t>
            </w:r>
            <w:r>
              <w:rPr>
                <w:spacing w:val="-3"/>
                <w:sz w:val="18"/>
              </w:rPr>
              <w:t> </w:t>
            </w:r>
            <w:r>
              <w:rPr>
                <w:sz w:val="18"/>
              </w:rPr>
              <w:t>patients</w:t>
            </w:r>
            <w:r>
              <w:rPr>
                <w:spacing w:val="-3"/>
                <w:sz w:val="18"/>
              </w:rPr>
              <w:t> </w:t>
            </w:r>
            <w:r>
              <w:rPr>
                <w:sz w:val="18"/>
              </w:rPr>
              <w:t>to</w:t>
            </w:r>
            <w:r>
              <w:rPr>
                <w:spacing w:val="-47"/>
                <w:sz w:val="18"/>
              </w:rPr>
              <w:t> </w:t>
            </w:r>
            <w:r>
              <w:rPr>
                <w:sz w:val="18"/>
              </w:rPr>
              <w:t>check how they are going (e.g. by</w:t>
            </w:r>
            <w:r>
              <w:rPr>
                <w:spacing w:val="1"/>
                <w:sz w:val="18"/>
              </w:rPr>
              <w:t> </w:t>
            </w:r>
            <w:r>
              <w:rPr>
                <w:sz w:val="18"/>
              </w:rPr>
              <w:t>telephone)</w:t>
            </w:r>
          </w:p>
        </w:tc>
        <w:tc>
          <w:tcPr>
            <w:tcW w:w="1274" w:type="dxa"/>
          </w:tcPr>
          <w:p>
            <w:pPr>
              <w:pStyle w:val="TableParagraph"/>
              <w:spacing w:before="6"/>
              <w:rPr>
                <w:sz w:val="5"/>
              </w:rPr>
            </w:pPr>
          </w:p>
          <w:p>
            <w:pPr>
              <w:pStyle w:val="TableParagraph"/>
              <w:spacing w:line="112" w:lineRule="exact"/>
              <w:ind w:left="1122"/>
              <w:rPr>
                <w:sz w:val="11"/>
              </w:rPr>
            </w:pPr>
            <w:r>
              <w:rPr>
                <w:position w:val="-1"/>
                <w:sz w:val="11"/>
              </w:rPr>
              <w:drawing>
                <wp:inline distT="0" distB="0" distL="0" distR="0">
                  <wp:extent cx="57802" cy="71437"/>
                  <wp:effectExtent l="0" t="0" r="0" b="0"/>
                  <wp:docPr id="661" name="image13.png"/>
                  <wp:cNvGraphicFramePr>
                    <a:graphicFrameLocks noChangeAspect="1"/>
                  </wp:cNvGraphicFramePr>
                  <a:graphic>
                    <a:graphicData uri="http://schemas.openxmlformats.org/drawingml/2006/picture">
                      <pic:pic>
                        <pic:nvPicPr>
                          <pic:cNvPr id="662"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852" w:type="dxa"/>
          </w:tcPr>
          <w:p>
            <w:pPr>
              <w:pStyle w:val="TableParagraph"/>
              <w:rPr>
                <w:rFonts w:ascii="Times New Roman"/>
                <w:sz w:val="18"/>
              </w:rPr>
            </w:pPr>
          </w:p>
        </w:tc>
        <w:tc>
          <w:tcPr>
            <w:tcW w:w="1699" w:type="dxa"/>
          </w:tcPr>
          <w:p>
            <w:pPr>
              <w:pStyle w:val="TableParagraph"/>
              <w:spacing w:before="6"/>
              <w:rPr>
                <w:sz w:val="5"/>
              </w:rPr>
            </w:pPr>
          </w:p>
          <w:p>
            <w:pPr>
              <w:pStyle w:val="TableParagraph"/>
              <w:spacing w:line="112" w:lineRule="exact"/>
              <w:ind w:left="1187"/>
              <w:rPr>
                <w:sz w:val="11"/>
              </w:rPr>
            </w:pPr>
            <w:r>
              <w:rPr>
                <w:position w:val="-1"/>
                <w:sz w:val="11"/>
              </w:rPr>
              <w:drawing>
                <wp:inline distT="0" distB="0" distL="0" distR="0">
                  <wp:extent cx="57802" cy="71437"/>
                  <wp:effectExtent l="0" t="0" r="0" b="0"/>
                  <wp:docPr id="663" name="image13.png"/>
                  <wp:cNvGraphicFramePr>
                    <a:graphicFrameLocks noChangeAspect="1"/>
                  </wp:cNvGraphicFramePr>
                  <a:graphic>
                    <a:graphicData uri="http://schemas.openxmlformats.org/drawingml/2006/picture">
                      <pic:pic>
                        <pic:nvPicPr>
                          <pic:cNvPr id="664"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560" w:type="dxa"/>
          </w:tcPr>
          <w:p>
            <w:pPr>
              <w:pStyle w:val="TableParagraph"/>
              <w:spacing w:before="6"/>
              <w:rPr>
                <w:sz w:val="5"/>
              </w:rPr>
            </w:pPr>
          </w:p>
          <w:p>
            <w:pPr>
              <w:pStyle w:val="TableParagraph"/>
              <w:spacing w:line="112" w:lineRule="exact"/>
              <w:ind w:left="1123"/>
              <w:rPr>
                <w:sz w:val="11"/>
              </w:rPr>
            </w:pPr>
            <w:r>
              <w:rPr>
                <w:position w:val="-1"/>
                <w:sz w:val="11"/>
              </w:rPr>
              <w:drawing>
                <wp:inline distT="0" distB="0" distL="0" distR="0">
                  <wp:extent cx="57802" cy="71437"/>
                  <wp:effectExtent l="0" t="0" r="0" b="0"/>
                  <wp:docPr id="665" name="image13.png"/>
                  <wp:cNvGraphicFramePr>
                    <a:graphicFrameLocks noChangeAspect="1"/>
                  </wp:cNvGraphicFramePr>
                  <a:graphic>
                    <a:graphicData uri="http://schemas.openxmlformats.org/drawingml/2006/picture">
                      <pic:pic>
                        <pic:nvPicPr>
                          <pic:cNvPr id="666"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531" w:type="dxa"/>
          </w:tcPr>
          <w:p>
            <w:pPr>
              <w:pStyle w:val="TableParagraph"/>
              <w:spacing w:before="6"/>
              <w:rPr>
                <w:sz w:val="5"/>
              </w:rPr>
            </w:pPr>
          </w:p>
          <w:p>
            <w:pPr>
              <w:pStyle w:val="TableParagraph"/>
              <w:spacing w:line="112" w:lineRule="exact"/>
              <w:ind w:left="1123"/>
              <w:rPr>
                <w:sz w:val="11"/>
              </w:rPr>
            </w:pPr>
            <w:r>
              <w:rPr>
                <w:position w:val="-1"/>
                <w:sz w:val="11"/>
              </w:rPr>
              <w:drawing>
                <wp:inline distT="0" distB="0" distL="0" distR="0">
                  <wp:extent cx="57802" cy="71437"/>
                  <wp:effectExtent l="0" t="0" r="0" b="0"/>
                  <wp:docPr id="667" name="image13.png"/>
                  <wp:cNvGraphicFramePr>
                    <a:graphicFrameLocks noChangeAspect="1"/>
                  </wp:cNvGraphicFramePr>
                  <a:graphic>
                    <a:graphicData uri="http://schemas.openxmlformats.org/drawingml/2006/picture">
                      <pic:pic>
                        <pic:nvPicPr>
                          <pic:cNvPr id="668"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r>
      <w:tr>
        <w:trPr>
          <w:trHeight w:val="662" w:hRule="atLeast"/>
        </w:trPr>
        <w:tc>
          <w:tcPr>
            <w:tcW w:w="3541" w:type="dxa"/>
          </w:tcPr>
          <w:p>
            <w:pPr>
              <w:pStyle w:val="TableParagraph"/>
              <w:spacing w:line="220" w:lineRule="exact"/>
              <w:ind w:left="107" w:right="92"/>
              <w:rPr>
                <w:sz w:val="18"/>
              </w:rPr>
            </w:pPr>
            <w:r>
              <w:rPr>
                <w:sz w:val="18"/>
              </w:rPr>
              <w:t>H.</w:t>
            </w:r>
            <w:r>
              <w:rPr>
                <w:spacing w:val="-5"/>
                <w:sz w:val="18"/>
              </w:rPr>
              <w:t> </w:t>
            </w:r>
            <w:r>
              <w:rPr>
                <w:sz w:val="18"/>
              </w:rPr>
              <w:t>Dedicated</w:t>
            </w:r>
            <w:r>
              <w:rPr>
                <w:spacing w:val="-3"/>
                <w:sz w:val="18"/>
              </w:rPr>
              <w:t> </w:t>
            </w:r>
            <w:r>
              <w:rPr>
                <w:sz w:val="18"/>
              </w:rPr>
              <w:t>clinics</w:t>
            </w:r>
            <w:r>
              <w:rPr>
                <w:spacing w:val="-5"/>
                <w:sz w:val="18"/>
              </w:rPr>
              <w:t> </w:t>
            </w:r>
            <w:r>
              <w:rPr>
                <w:sz w:val="18"/>
              </w:rPr>
              <w:t>for</w:t>
            </w:r>
            <w:r>
              <w:rPr>
                <w:spacing w:val="-2"/>
                <w:sz w:val="18"/>
              </w:rPr>
              <w:t> </w:t>
            </w:r>
            <w:r>
              <w:rPr>
                <w:sz w:val="18"/>
              </w:rPr>
              <w:t>HCH</w:t>
            </w:r>
            <w:r>
              <w:rPr>
                <w:spacing w:val="-4"/>
                <w:sz w:val="18"/>
              </w:rPr>
              <w:t> </w:t>
            </w:r>
            <w:r>
              <w:rPr>
                <w:sz w:val="18"/>
              </w:rPr>
              <w:t>patients</w:t>
            </w:r>
            <w:r>
              <w:rPr>
                <w:spacing w:val="-46"/>
                <w:sz w:val="18"/>
              </w:rPr>
              <w:t> </w:t>
            </w:r>
            <w:r>
              <w:rPr>
                <w:sz w:val="18"/>
              </w:rPr>
              <w:t>with specific chronic illnesses (e.g.</w:t>
            </w:r>
            <w:r>
              <w:rPr>
                <w:spacing w:val="1"/>
                <w:sz w:val="18"/>
              </w:rPr>
              <w:t> </w:t>
            </w:r>
            <w:r>
              <w:rPr>
                <w:sz w:val="18"/>
              </w:rPr>
              <w:t>diabetes,</w:t>
            </w:r>
            <w:r>
              <w:rPr>
                <w:spacing w:val="-4"/>
                <w:sz w:val="18"/>
              </w:rPr>
              <w:t> </w:t>
            </w:r>
            <w:r>
              <w:rPr>
                <w:sz w:val="18"/>
              </w:rPr>
              <w:t>osteoarthritis)</w:t>
            </w:r>
          </w:p>
        </w:tc>
        <w:tc>
          <w:tcPr>
            <w:tcW w:w="1274" w:type="dxa"/>
          </w:tcPr>
          <w:p>
            <w:pPr>
              <w:pStyle w:val="TableParagraph"/>
              <w:spacing w:before="6"/>
              <w:rPr>
                <w:sz w:val="5"/>
              </w:rPr>
            </w:pPr>
          </w:p>
          <w:p>
            <w:pPr>
              <w:pStyle w:val="TableParagraph"/>
              <w:spacing w:line="114" w:lineRule="exact"/>
              <w:ind w:left="1122"/>
              <w:rPr>
                <w:sz w:val="11"/>
              </w:rPr>
            </w:pPr>
            <w:r>
              <w:rPr>
                <w:position w:val="-1"/>
                <w:sz w:val="11"/>
              </w:rPr>
              <w:drawing>
                <wp:inline distT="0" distB="0" distL="0" distR="0">
                  <wp:extent cx="58958" cy="72866"/>
                  <wp:effectExtent l="0" t="0" r="0" b="0"/>
                  <wp:docPr id="669" name="image13.png"/>
                  <wp:cNvGraphicFramePr>
                    <a:graphicFrameLocks noChangeAspect="1"/>
                  </wp:cNvGraphicFramePr>
                  <a:graphic>
                    <a:graphicData uri="http://schemas.openxmlformats.org/drawingml/2006/picture">
                      <pic:pic>
                        <pic:nvPicPr>
                          <pic:cNvPr id="670"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852" w:type="dxa"/>
          </w:tcPr>
          <w:p>
            <w:pPr>
              <w:pStyle w:val="TableParagraph"/>
              <w:rPr>
                <w:rFonts w:ascii="Times New Roman"/>
                <w:sz w:val="18"/>
              </w:rPr>
            </w:pPr>
          </w:p>
        </w:tc>
        <w:tc>
          <w:tcPr>
            <w:tcW w:w="1699" w:type="dxa"/>
          </w:tcPr>
          <w:p>
            <w:pPr>
              <w:pStyle w:val="TableParagraph"/>
              <w:spacing w:before="6"/>
              <w:rPr>
                <w:sz w:val="5"/>
              </w:rPr>
            </w:pPr>
          </w:p>
          <w:p>
            <w:pPr>
              <w:pStyle w:val="TableParagraph"/>
              <w:spacing w:line="114" w:lineRule="exact"/>
              <w:ind w:left="1187"/>
              <w:rPr>
                <w:sz w:val="11"/>
              </w:rPr>
            </w:pPr>
            <w:r>
              <w:rPr>
                <w:position w:val="-1"/>
                <w:sz w:val="11"/>
              </w:rPr>
              <w:drawing>
                <wp:inline distT="0" distB="0" distL="0" distR="0">
                  <wp:extent cx="58958" cy="72866"/>
                  <wp:effectExtent l="0" t="0" r="0" b="0"/>
                  <wp:docPr id="671" name="image13.png"/>
                  <wp:cNvGraphicFramePr>
                    <a:graphicFrameLocks noChangeAspect="1"/>
                  </wp:cNvGraphicFramePr>
                  <a:graphic>
                    <a:graphicData uri="http://schemas.openxmlformats.org/drawingml/2006/picture">
                      <pic:pic>
                        <pic:nvPicPr>
                          <pic:cNvPr id="672"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560" w:type="dxa"/>
          </w:tcPr>
          <w:p>
            <w:pPr>
              <w:pStyle w:val="TableParagraph"/>
              <w:spacing w:before="6"/>
              <w:rPr>
                <w:sz w:val="5"/>
              </w:rPr>
            </w:pPr>
          </w:p>
          <w:p>
            <w:pPr>
              <w:pStyle w:val="TableParagraph"/>
              <w:spacing w:line="114" w:lineRule="exact"/>
              <w:ind w:left="1123"/>
              <w:rPr>
                <w:sz w:val="11"/>
              </w:rPr>
            </w:pPr>
            <w:r>
              <w:rPr>
                <w:position w:val="-1"/>
                <w:sz w:val="11"/>
              </w:rPr>
              <w:drawing>
                <wp:inline distT="0" distB="0" distL="0" distR="0">
                  <wp:extent cx="58958" cy="72866"/>
                  <wp:effectExtent l="0" t="0" r="0" b="0"/>
                  <wp:docPr id="673" name="image13.png"/>
                  <wp:cNvGraphicFramePr>
                    <a:graphicFrameLocks noChangeAspect="1"/>
                  </wp:cNvGraphicFramePr>
                  <a:graphic>
                    <a:graphicData uri="http://schemas.openxmlformats.org/drawingml/2006/picture">
                      <pic:pic>
                        <pic:nvPicPr>
                          <pic:cNvPr id="674"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531" w:type="dxa"/>
          </w:tcPr>
          <w:p>
            <w:pPr>
              <w:pStyle w:val="TableParagraph"/>
              <w:spacing w:before="6"/>
              <w:rPr>
                <w:sz w:val="5"/>
              </w:rPr>
            </w:pPr>
          </w:p>
          <w:p>
            <w:pPr>
              <w:pStyle w:val="TableParagraph"/>
              <w:spacing w:line="114" w:lineRule="exact"/>
              <w:ind w:left="1123"/>
              <w:rPr>
                <w:sz w:val="11"/>
              </w:rPr>
            </w:pPr>
            <w:r>
              <w:rPr>
                <w:position w:val="-1"/>
                <w:sz w:val="11"/>
              </w:rPr>
              <w:drawing>
                <wp:inline distT="0" distB="0" distL="0" distR="0">
                  <wp:extent cx="58958" cy="72866"/>
                  <wp:effectExtent l="0" t="0" r="0" b="0"/>
                  <wp:docPr id="675" name="image13.png"/>
                  <wp:cNvGraphicFramePr>
                    <a:graphicFrameLocks noChangeAspect="1"/>
                  </wp:cNvGraphicFramePr>
                  <a:graphic>
                    <a:graphicData uri="http://schemas.openxmlformats.org/drawingml/2006/picture">
                      <pic:pic>
                        <pic:nvPicPr>
                          <pic:cNvPr id="676"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r>
      <w:tr>
        <w:trPr>
          <w:trHeight w:val="501" w:hRule="atLeast"/>
        </w:trPr>
        <w:tc>
          <w:tcPr>
            <w:tcW w:w="3541" w:type="dxa"/>
          </w:tcPr>
          <w:p>
            <w:pPr>
              <w:pStyle w:val="TableParagraph"/>
              <w:ind w:left="107" w:right="98"/>
              <w:rPr>
                <w:sz w:val="18"/>
              </w:rPr>
            </w:pPr>
            <w:r>
              <w:rPr>
                <w:sz w:val="18"/>
              </w:rPr>
              <w:t>I. Group consultations involving two or</w:t>
            </w:r>
            <w:r>
              <w:rPr>
                <w:spacing w:val="-48"/>
                <w:sz w:val="18"/>
              </w:rPr>
              <w:t> </w:t>
            </w:r>
            <w:r>
              <w:rPr>
                <w:sz w:val="18"/>
              </w:rPr>
              <w:t>more</w:t>
            </w:r>
            <w:r>
              <w:rPr>
                <w:spacing w:val="-1"/>
                <w:sz w:val="18"/>
              </w:rPr>
              <w:t> </w:t>
            </w:r>
            <w:r>
              <w:rPr>
                <w:sz w:val="18"/>
              </w:rPr>
              <w:t>patients</w:t>
            </w:r>
          </w:p>
        </w:tc>
        <w:tc>
          <w:tcPr>
            <w:tcW w:w="1274" w:type="dxa"/>
          </w:tcPr>
          <w:p>
            <w:pPr>
              <w:pStyle w:val="TableParagraph"/>
              <w:spacing w:before="6"/>
              <w:rPr>
                <w:sz w:val="5"/>
              </w:rPr>
            </w:pPr>
          </w:p>
          <w:p>
            <w:pPr>
              <w:pStyle w:val="TableParagraph"/>
              <w:spacing w:line="114" w:lineRule="exact"/>
              <w:ind w:left="1122"/>
              <w:rPr>
                <w:sz w:val="11"/>
              </w:rPr>
            </w:pPr>
            <w:r>
              <w:rPr>
                <w:position w:val="-1"/>
                <w:sz w:val="11"/>
              </w:rPr>
              <w:drawing>
                <wp:inline distT="0" distB="0" distL="0" distR="0">
                  <wp:extent cx="58958" cy="72866"/>
                  <wp:effectExtent l="0" t="0" r="0" b="0"/>
                  <wp:docPr id="677" name="image13.png"/>
                  <wp:cNvGraphicFramePr>
                    <a:graphicFrameLocks noChangeAspect="1"/>
                  </wp:cNvGraphicFramePr>
                  <a:graphic>
                    <a:graphicData uri="http://schemas.openxmlformats.org/drawingml/2006/picture">
                      <pic:pic>
                        <pic:nvPicPr>
                          <pic:cNvPr id="678"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852" w:type="dxa"/>
          </w:tcPr>
          <w:p>
            <w:pPr>
              <w:pStyle w:val="TableParagraph"/>
              <w:rPr>
                <w:rFonts w:ascii="Times New Roman"/>
                <w:sz w:val="18"/>
              </w:rPr>
            </w:pPr>
          </w:p>
        </w:tc>
        <w:tc>
          <w:tcPr>
            <w:tcW w:w="1699" w:type="dxa"/>
          </w:tcPr>
          <w:p>
            <w:pPr>
              <w:pStyle w:val="TableParagraph"/>
              <w:spacing w:before="6"/>
              <w:rPr>
                <w:sz w:val="5"/>
              </w:rPr>
            </w:pPr>
          </w:p>
          <w:p>
            <w:pPr>
              <w:pStyle w:val="TableParagraph"/>
              <w:spacing w:line="114" w:lineRule="exact"/>
              <w:ind w:left="1187"/>
              <w:rPr>
                <w:sz w:val="11"/>
              </w:rPr>
            </w:pPr>
            <w:r>
              <w:rPr>
                <w:position w:val="-1"/>
                <w:sz w:val="11"/>
              </w:rPr>
              <w:drawing>
                <wp:inline distT="0" distB="0" distL="0" distR="0">
                  <wp:extent cx="58958" cy="72866"/>
                  <wp:effectExtent l="0" t="0" r="0" b="0"/>
                  <wp:docPr id="679" name="image13.png"/>
                  <wp:cNvGraphicFramePr>
                    <a:graphicFrameLocks noChangeAspect="1"/>
                  </wp:cNvGraphicFramePr>
                  <a:graphic>
                    <a:graphicData uri="http://schemas.openxmlformats.org/drawingml/2006/picture">
                      <pic:pic>
                        <pic:nvPicPr>
                          <pic:cNvPr id="680"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560" w:type="dxa"/>
          </w:tcPr>
          <w:p>
            <w:pPr>
              <w:pStyle w:val="TableParagraph"/>
              <w:spacing w:before="6"/>
              <w:rPr>
                <w:sz w:val="5"/>
              </w:rPr>
            </w:pPr>
          </w:p>
          <w:p>
            <w:pPr>
              <w:pStyle w:val="TableParagraph"/>
              <w:spacing w:line="114" w:lineRule="exact"/>
              <w:ind w:left="1123"/>
              <w:rPr>
                <w:sz w:val="11"/>
              </w:rPr>
            </w:pPr>
            <w:r>
              <w:rPr>
                <w:position w:val="-1"/>
                <w:sz w:val="11"/>
              </w:rPr>
              <w:drawing>
                <wp:inline distT="0" distB="0" distL="0" distR="0">
                  <wp:extent cx="58958" cy="72866"/>
                  <wp:effectExtent l="0" t="0" r="0" b="0"/>
                  <wp:docPr id="681" name="image13.png"/>
                  <wp:cNvGraphicFramePr>
                    <a:graphicFrameLocks noChangeAspect="1"/>
                  </wp:cNvGraphicFramePr>
                  <a:graphic>
                    <a:graphicData uri="http://schemas.openxmlformats.org/drawingml/2006/picture">
                      <pic:pic>
                        <pic:nvPicPr>
                          <pic:cNvPr id="682"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531" w:type="dxa"/>
          </w:tcPr>
          <w:p>
            <w:pPr>
              <w:pStyle w:val="TableParagraph"/>
              <w:spacing w:before="6"/>
              <w:rPr>
                <w:sz w:val="5"/>
              </w:rPr>
            </w:pPr>
          </w:p>
          <w:p>
            <w:pPr>
              <w:pStyle w:val="TableParagraph"/>
              <w:spacing w:line="114" w:lineRule="exact"/>
              <w:ind w:left="1123"/>
              <w:rPr>
                <w:sz w:val="11"/>
              </w:rPr>
            </w:pPr>
            <w:r>
              <w:rPr>
                <w:position w:val="-1"/>
                <w:sz w:val="11"/>
              </w:rPr>
              <w:drawing>
                <wp:inline distT="0" distB="0" distL="0" distR="0">
                  <wp:extent cx="58958" cy="72866"/>
                  <wp:effectExtent l="0" t="0" r="0" b="0"/>
                  <wp:docPr id="683" name="image13.png"/>
                  <wp:cNvGraphicFramePr>
                    <a:graphicFrameLocks noChangeAspect="1"/>
                  </wp:cNvGraphicFramePr>
                  <a:graphic>
                    <a:graphicData uri="http://schemas.openxmlformats.org/drawingml/2006/picture">
                      <pic:pic>
                        <pic:nvPicPr>
                          <pic:cNvPr id="684"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r>
      <w:tr>
        <w:trPr>
          <w:trHeight w:val="661" w:hRule="atLeast"/>
        </w:trPr>
        <w:tc>
          <w:tcPr>
            <w:tcW w:w="3541" w:type="dxa"/>
          </w:tcPr>
          <w:p>
            <w:pPr>
              <w:pStyle w:val="TableParagraph"/>
              <w:spacing w:line="220" w:lineRule="exact"/>
              <w:ind w:left="107" w:right="486"/>
              <w:rPr>
                <w:sz w:val="18"/>
              </w:rPr>
            </w:pPr>
            <w:r>
              <w:rPr>
                <w:sz w:val="18"/>
              </w:rPr>
              <w:t>J. Joint consultations for a patient</w:t>
            </w:r>
            <w:r>
              <w:rPr>
                <w:spacing w:val="-48"/>
                <w:sz w:val="18"/>
              </w:rPr>
              <w:t> </w:t>
            </w:r>
            <w:r>
              <w:rPr>
                <w:sz w:val="18"/>
              </w:rPr>
              <w:t>involving a GP, nurse and allied</w:t>
            </w:r>
            <w:r>
              <w:rPr>
                <w:spacing w:val="1"/>
                <w:sz w:val="18"/>
              </w:rPr>
              <w:t> </w:t>
            </w:r>
            <w:r>
              <w:rPr>
                <w:sz w:val="18"/>
              </w:rPr>
              <w:t>health</w:t>
            </w:r>
            <w:r>
              <w:rPr>
                <w:spacing w:val="2"/>
                <w:sz w:val="18"/>
              </w:rPr>
              <w:t> </w:t>
            </w:r>
            <w:r>
              <w:rPr>
                <w:sz w:val="18"/>
              </w:rPr>
              <w:t>(e.g.</w:t>
            </w:r>
            <w:r>
              <w:rPr>
                <w:spacing w:val="-1"/>
                <w:sz w:val="18"/>
              </w:rPr>
              <w:t> </w:t>
            </w:r>
            <w:r>
              <w:rPr>
                <w:sz w:val="18"/>
              </w:rPr>
              <w:t>pharmacist)</w:t>
            </w:r>
          </w:p>
        </w:tc>
        <w:tc>
          <w:tcPr>
            <w:tcW w:w="1274" w:type="dxa"/>
          </w:tcPr>
          <w:p>
            <w:pPr>
              <w:pStyle w:val="TableParagraph"/>
              <w:spacing w:before="6"/>
              <w:rPr>
                <w:sz w:val="5"/>
              </w:rPr>
            </w:pPr>
          </w:p>
          <w:p>
            <w:pPr>
              <w:pStyle w:val="TableParagraph"/>
              <w:spacing w:line="114" w:lineRule="exact"/>
              <w:ind w:left="1122"/>
              <w:rPr>
                <w:sz w:val="11"/>
              </w:rPr>
            </w:pPr>
            <w:r>
              <w:rPr>
                <w:position w:val="-1"/>
                <w:sz w:val="11"/>
              </w:rPr>
              <w:drawing>
                <wp:inline distT="0" distB="0" distL="0" distR="0">
                  <wp:extent cx="58958" cy="72866"/>
                  <wp:effectExtent l="0" t="0" r="0" b="0"/>
                  <wp:docPr id="685" name="image13.png"/>
                  <wp:cNvGraphicFramePr>
                    <a:graphicFrameLocks noChangeAspect="1"/>
                  </wp:cNvGraphicFramePr>
                  <a:graphic>
                    <a:graphicData uri="http://schemas.openxmlformats.org/drawingml/2006/picture">
                      <pic:pic>
                        <pic:nvPicPr>
                          <pic:cNvPr id="686"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852" w:type="dxa"/>
          </w:tcPr>
          <w:p>
            <w:pPr>
              <w:pStyle w:val="TableParagraph"/>
              <w:rPr>
                <w:rFonts w:ascii="Times New Roman"/>
                <w:sz w:val="18"/>
              </w:rPr>
            </w:pPr>
          </w:p>
        </w:tc>
        <w:tc>
          <w:tcPr>
            <w:tcW w:w="1699" w:type="dxa"/>
          </w:tcPr>
          <w:p>
            <w:pPr>
              <w:pStyle w:val="TableParagraph"/>
              <w:spacing w:before="6"/>
              <w:rPr>
                <w:sz w:val="5"/>
              </w:rPr>
            </w:pPr>
          </w:p>
          <w:p>
            <w:pPr>
              <w:pStyle w:val="TableParagraph"/>
              <w:spacing w:line="114" w:lineRule="exact"/>
              <w:ind w:left="1187"/>
              <w:rPr>
                <w:sz w:val="11"/>
              </w:rPr>
            </w:pPr>
            <w:r>
              <w:rPr>
                <w:position w:val="-1"/>
                <w:sz w:val="11"/>
              </w:rPr>
              <w:drawing>
                <wp:inline distT="0" distB="0" distL="0" distR="0">
                  <wp:extent cx="58958" cy="72866"/>
                  <wp:effectExtent l="0" t="0" r="0" b="0"/>
                  <wp:docPr id="687" name="image13.png"/>
                  <wp:cNvGraphicFramePr>
                    <a:graphicFrameLocks noChangeAspect="1"/>
                  </wp:cNvGraphicFramePr>
                  <a:graphic>
                    <a:graphicData uri="http://schemas.openxmlformats.org/drawingml/2006/picture">
                      <pic:pic>
                        <pic:nvPicPr>
                          <pic:cNvPr id="688"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560" w:type="dxa"/>
          </w:tcPr>
          <w:p>
            <w:pPr>
              <w:pStyle w:val="TableParagraph"/>
              <w:spacing w:before="6"/>
              <w:rPr>
                <w:sz w:val="5"/>
              </w:rPr>
            </w:pPr>
          </w:p>
          <w:p>
            <w:pPr>
              <w:pStyle w:val="TableParagraph"/>
              <w:spacing w:line="114" w:lineRule="exact"/>
              <w:ind w:left="1123"/>
              <w:rPr>
                <w:sz w:val="11"/>
              </w:rPr>
            </w:pPr>
            <w:r>
              <w:rPr>
                <w:position w:val="-1"/>
                <w:sz w:val="11"/>
              </w:rPr>
              <w:drawing>
                <wp:inline distT="0" distB="0" distL="0" distR="0">
                  <wp:extent cx="58958" cy="72866"/>
                  <wp:effectExtent l="0" t="0" r="0" b="0"/>
                  <wp:docPr id="689" name="image13.png"/>
                  <wp:cNvGraphicFramePr>
                    <a:graphicFrameLocks noChangeAspect="1"/>
                  </wp:cNvGraphicFramePr>
                  <a:graphic>
                    <a:graphicData uri="http://schemas.openxmlformats.org/drawingml/2006/picture">
                      <pic:pic>
                        <pic:nvPicPr>
                          <pic:cNvPr id="690"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531" w:type="dxa"/>
          </w:tcPr>
          <w:p>
            <w:pPr>
              <w:pStyle w:val="TableParagraph"/>
              <w:spacing w:before="6"/>
              <w:rPr>
                <w:sz w:val="5"/>
              </w:rPr>
            </w:pPr>
          </w:p>
          <w:p>
            <w:pPr>
              <w:pStyle w:val="TableParagraph"/>
              <w:spacing w:line="114" w:lineRule="exact"/>
              <w:ind w:left="1123"/>
              <w:rPr>
                <w:sz w:val="11"/>
              </w:rPr>
            </w:pPr>
            <w:r>
              <w:rPr>
                <w:position w:val="-1"/>
                <w:sz w:val="11"/>
              </w:rPr>
              <w:drawing>
                <wp:inline distT="0" distB="0" distL="0" distR="0">
                  <wp:extent cx="58958" cy="72866"/>
                  <wp:effectExtent l="0" t="0" r="0" b="0"/>
                  <wp:docPr id="691" name="image13.png"/>
                  <wp:cNvGraphicFramePr>
                    <a:graphicFrameLocks noChangeAspect="1"/>
                  </wp:cNvGraphicFramePr>
                  <a:graphic>
                    <a:graphicData uri="http://schemas.openxmlformats.org/drawingml/2006/picture">
                      <pic:pic>
                        <pic:nvPicPr>
                          <pic:cNvPr id="692"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r>
      <w:tr>
        <w:trPr>
          <w:trHeight w:val="662" w:hRule="atLeast"/>
        </w:trPr>
        <w:tc>
          <w:tcPr>
            <w:tcW w:w="3541" w:type="dxa"/>
          </w:tcPr>
          <w:p>
            <w:pPr>
              <w:pStyle w:val="TableParagraph"/>
              <w:ind w:left="107" w:right="82"/>
              <w:rPr>
                <w:sz w:val="18"/>
              </w:rPr>
            </w:pPr>
            <w:r>
              <w:rPr>
                <w:sz w:val="18"/>
              </w:rPr>
              <w:t>K. HCH patients able to telephone the</w:t>
            </w:r>
            <w:r>
              <w:rPr>
                <w:spacing w:val="-47"/>
                <w:sz w:val="18"/>
              </w:rPr>
              <w:t> </w:t>
            </w:r>
            <w:r>
              <w:rPr>
                <w:sz w:val="18"/>
              </w:rPr>
              <w:t>practice</w:t>
            </w:r>
            <w:r>
              <w:rPr>
                <w:spacing w:val="-1"/>
                <w:sz w:val="18"/>
              </w:rPr>
              <w:t> </w:t>
            </w:r>
            <w:r>
              <w:rPr>
                <w:sz w:val="18"/>
              </w:rPr>
              <w:t>and</w:t>
            </w:r>
            <w:r>
              <w:rPr>
                <w:spacing w:val="-2"/>
                <w:sz w:val="18"/>
              </w:rPr>
              <w:t> </w:t>
            </w:r>
            <w:r>
              <w:rPr>
                <w:sz w:val="18"/>
              </w:rPr>
              <w:t>talk</w:t>
            </w:r>
            <w:r>
              <w:rPr>
                <w:spacing w:val="-1"/>
                <w:sz w:val="18"/>
              </w:rPr>
              <w:t> </w:t>
            </w:r>
            <w:r>
              <w:rPr>
                <w:sz w:val="18"/>
              </w:rPr>
              <w:t>to</w:t>
            </w:r>
            <w:r>
              <w:rPr>
                <w:spacing w:val="-2"/>
                <w:sz w:val="18"/>
              </w:rPr>
              <w:t> </w:t>
            </w:r>
            <w:r>
              <w:rPr>
                <w:sz w:val="18"/>
              </w:rPr>
              <w:t>a</w:t>
            </w:r>
            <w:r>
              <w:rPr>
                <w:spacing w:val="-1"/>
                <w:sz w:val="18"/>
              </w:rPr>
              <w:t> </w:t>
            </w:r>
            <w:r>
              <w:rPr>
                <w:sz w:val="18"/>
              </w:rPr>
              <w:t>nurse</w:t>
            </w:r>
            <w:r>
              <w:rPr>
                <w:spacing w:val="-3"/>
                <w:sz w:val="18"/>
              </w:rPr>
              <w:t> </w:t>
            </w:r>
            <w:r>
              <w:rPr>
                <w:sz w:val="18"/>
              </w:rPr>
              <w:t>or GP</w:t>
            </w:r>
          </w:p>
          <w:p>
            <w:pPr>
              <w:pStyle w:val="TableParagraph"/>
              <w:spacing w:line="202" w:lineRule="exact"/>
              <w:ind w:left="107"/>
              <w:rPr>
                <w:sz w:val="18"/>
              </w:rPr>
            </w:pPr>
            <w:r>
              <w:rPr>
                <w:sz w:val="18"/>
              </w:rPr>
              <w:t>about</w:t>
            </w:r>
            <w:r>
              <w:rPr>
                <w:spacing w:val="-5"/>
                <w:sz w:val="18"/>
              </w:rPr>
              <w:t> </w:t>
            </w:r>
            <w:r>
              <w:rPr>
                <w:sz w:val="18"/>
              </w:rPr>
              <w:t>their</w:t>
            </w:r>
            <w:r>
              <w:rPr>
                <w:spacing w:val="-3"/>
                <w:sz w:val="18"/>
              </w:rPr>
              <w:t> </w:t>
            </w:r>
            <w:r>
              <w:rPr>
                <w:sz w:val="18"/>
              </w:rPr>
              <w:t>health</w:t>
            </w:r>
            <w:r>
              <w:rPr>
                <w:spacing w:val="-2"/>
                <w:sz w:val="18"/>
              </w:rPr>
              <w:t> </w:t>
            </w:r>
            <w:r>
              <w:rPr>
                <w:sz w:val="18"/>
              </w:rPr>
              <w:t>concerns</w:t>
            </w:r>
          </w:p>
        </w:tc>
        <w:tc>
          <w:tcPr>
            <w:tcW w:w="1274" w:type="dxa"/>
          </w:tcPr>
          <w:p>
            <w:pPr>
              <w:pStyle w:val="TableParagraph"/>
              <w:spacing w:before="6"/>
              <w:rPr>
                <w:sz w:val="5"/>
              </w:rPr>
            </w:pPr>
          </w:p>
          <w:p>
            <w:pPr>
              <w:pStyle w:val="TableParagraph"/>
              <w:spacing w:line="114" w:lineRule="exact"/>
              <w:ind w:left="1122"/>
              <w:rPr>
                <w:sz w:val="11"/>
              </w:rPr>
            </w:pPr>
            <w:r>
              <w:rPr>
                <w:position w:val="-1"/>
                <w:sz w:val="11"/>
              </w:rPr>
              <w:drawing>
                <wp:inline distT="0" distB="0" distL="0" distR="0">
                  <wp:extent cx="58958" cy="72866"/>
                  <wp:effectExtent l="0" t="0" r="0" b="0"/>
                  <wp:docPr id="693" name="image13.png"/>
                  <wp:cNvGraphicFramePr>
                    <a:graphicFrameLocks noChangeAspect="1"/>
                  </wp:cNvGraphicFramePr>
                  <a:graphic>
                    <a:graphicData uri="http://schemas.openxmlformats.org/drawingml/2006/picture">
                      <pic:pic>
                        <pic:nvPicPr>
                          <pic:cNvPr id="694"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852" w:type="dxa"/>
          </w:tcPr>
          <w:p>
            <w:pPr>
              <w:pStyle w:val="TableParagraph"/>
              <w:rPr>
                <w:rFonts w:ascii="Times New Roman"/>
                <w:sz w:val="18"/>
              </w:rPr>
            </w:pPr>
          </w:p>
        </w:tc>
        <w:tc>
          <w:tcPr>
            <w:tcW w:w="1699" w:type="dxa"/>
          </w:tcPr>
          <w:p>
            <w:pPr>
              <w:pStyle w:val="TableParagraph"/>
              <w:spacing w:before="6"/>
              <w:rPr>
                <w:sz w:val="5"/>
              </w:rPr>
            </w:pPr>
          </w:p>
          <w:p>
            <w:pPr>
              <w:pStyle w:val="TableParagraph"/>
              <w:spacing w:line="114" w:lineRule="exact"/>
              <w:ind w:left="1187"/>
              <w:rPr>
                <w:sz w:val="11"/>
              </w:rPr>
            </w:pPr>
            <w:r>
              <w:rPr>
                <w:position w:val="-1"/>
                <w:sz w:val="11"/>
              </w:rPr>
              <w:drawing>
                <wp:inline distT="0" distB="0" distL="0" distR="0">
                  <wp:extent cx="58958" cy="72866"/>
                  <wp:effectExtent l="0" t="0" r="0" b="0"/>
                  <wp:docPr id="695" name="image13.png"/>
                  <wp:cNvGraphicFramePr>
                    <a:graphicFrameLocks noChangeAspect="1"/>
                  </wp:cNvGraphicFramePr>
                  <a:graphic>
                    <a:graphicData uri="http://schemas.openxmlformats.org/drawingml/2006/picture">
                      <pic:pic>
                        <pic:nvPicPr>
                          <pic:cNvPr id="696"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560" w:type="dxa"/>
          </w:tcPr>
          <w:p>
            <w:pPr>
              <w:pStyle w:val="TableParagraph"/>
              <w:spacing w:before="6"/>
              <w:rPr>
                <w:sz w:val="5"/>
              </w:rPr>
            </w:pPr>
          </w:p>
          <w:p>
            <w:pPr>
              <w:pStyle w:val="TableParagraph"/>
              <w:spacing w:line="114" w:lineRule="exact"/>
              <w:ind w:left="1123"/>
              <w:rPr>
                <w:sz w:val="11"/>
              </w:rPr>
            </w:pPr>
            <w:r>
              <w:rPr>
                <w:position w:val="-1"/>
                <w:sz w:val="11"/>
              </w:rPr>
              <w:drawing>
                <wp:inline distT="0" distB="0" distL="0" distR="0">
                  <wp:extent cx="58958" cy="72866"/>
                  <wp:effectExtent l="0" t="0" r="0" b="0"/>
                  <wp:docPr id="697" name="image13.png"/>
                  <wp:cNvGraphicFramePr>
                    <a:graphicFrameLocks noChangeAspect="1"/>
                  </wp:cNvGraphicFramePr>
                  <a:graphic>
                    <a:graphicData uri="http://schemas.openxmlformats.org/drawingml/2006/picture">
                      <pic:pic>
                        <pic:nvPicPr>
                          <pic:cNvPr id="698"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531" w:type="dxa"/>
          </w:tcPr>
          <w:p>
            <w:pPr>
              <w:pStyle w:val="TableParagraph"/>
              <w:spacing w:before="6"/>
              <w:rPr>
                <w:sz w:val="5"/>
              </w:rPr>
            </w:pPr>
          </w:p>
          <w:p>
            <w:pPr>
              <w:pStyle w:val="TableParagraph"/>
              <w:spacing w:line="114" w:lineRule="exact"/>
              <w:ind w:left="1123"/>
              <w:rPr>
                <w:sz w:val="11"/>
              </w:rPr>
            </w:pPr>
            <w:r>
              <w:rPr>
                <w:position w:val="-1"/>
                <w:sz w:val="11"/>
              </w:rPr>
              <w:drawing>
                <wp:inline distT="0" distB="0" distL="0" distR="0">
                  <wp:extent cx="58958" cy="72866"/>
                  <wp:effectExtent l="0" t="0" r="0" b="0"/>
                  <wp:docPr id="699" name="image13.png"/>
                  <wp:cNvGraphicFramePr>
                    <a:graphicFrameLocks noChangeAspect="1"/>
                  </wp:cNvGraphicFramePr>
                  <a:graphic>
                    <a:graphicData uri="http://schemas.openxmlformats.org/drawingml/2006/picture">
                      <pic:pic>
                        <pic:nvPicPr>
                          <pic:cNvPr id="700"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r>
      <w:tr>
        <w:trPr>
          <w:trHeight w:val="882" w:hRule="atLeast"/>
        </w:trPr>
        <w:tc>
          <w:tcPr>
            <w:tcW w:w="3541" w:type="dxa"/>
          </w:tcPr>
          <w:p>
            <w:pPr>
              <w:pStyle w:val="TableParagraph"/>
              <w:spacing w:line="220" w:lineRule="exact"/>
              <w:ind w:left="107" w:right="126"/>
              <w:rPr>
                <w:sz w:val="18"/>
              </w:rPr>
            </w:pPr>
            <w:r>
              <w:rPr>
                <w:sz w:val="18"/>
              </w:rPr>
              <w:t>L.</w:t>
            </w:r>
            <w:r>
              <w:rPr>
                <w:spacing w:val="-5"/>
                <w:sz w:val="18"/>
              </w:rPr>
              <w:t> </w:t>
            </w:r>
            <w:r>
              <w:rPr>
                <w:sz w:val="18"/>
              </w:rPr>
              <w:t>HCH</w:t>
            </w:r>
            <w:r>
              <w:rPr>
                <w:spacing w:val="-3"/>
                <w:sz w:val="18"/>
              </w:rPr>
              <w:t> </w:t>
            </w:r>
            <w:r>
              <w:rPr>
                <w:sz w:val="18"/>
              </w:rPr>
              <w:t>patients</w:t>
            </w:r>
            <w:r>
              <w:rPr>
                <w:spacing w:val="-3"/>
                <w:sz w:val="18"/>
              </w:rPr>
              <w:t> </w:t>
            </w:r>
            <w:r>
              <w:rPr>
                <w:sz w:val="18"/>
              </w:rPr>
              <w:t>able</w:t>
            </w:r>
            <w:r>
              <w:rPr>
                <w:spacing w:val="-3"/>
                <w:sz w:val="18"/>
              </w:rPr>
              <w:t> </w:t>
            </w:r>
            <w:r>
              <w:rPr>
                <w:sz w:val="18"/>
              </w:rPr>
              <w:t>to</w:t>
            </w:r>
            <w:r>
              <w:rPr>
                <w:spacing w:val="-3"/>
                <w:sz w:val="18"/>
              </w:rPr>
              <w:t> </w:t>
            </w:r>
            <w:r>
              <w:rPr>
                <w:sz w:val="18"/>
              </w:rPr>
              <w:t>communicate</w:t>
            </w:r>
            <w:r>
              <w:rPr>
                <w:spacing w:val="-47"/>
                <w:sz w:val="18"/>
              </w:rPr>
              <w:t> </w:t>
            </w:r>
            <w:r>
              <w:rPr>
                <w:sz w:val="18"/>
              </w:rPr>
              <w:t>by</w:t>
            </w:r>
            <w:r>
              <w:rPr>
                <w:spacing w:val="2"/>
                <w:sz w:val="18"/>
              </w:rPr>
              <w:t> </w:t>
            </w:r>
            <w:r>
              <w:rPr>
                <w:sz w:val="18"/>
              </w:rPr>
              <w:t>email</w:t>
            </w:r>
            <w:r>
              <w:rPr>
                <w:spacing w:val="3"/>
                <w:sz w:val="18"/>
              </w:rPr>
              <w:t> </w:t>
            </w:r>
            <w:r>
              <w:rPr>
                <w:sz w:val="18"/>
              </w:rPr>
              <w:t>or</w:t>
            </w:r>
            <w:r>
              <w:rPr>
                <w:spacing w:val="3"/>
                <w:sz w:val="18"/>
              </w:rPr>
              <w:t> </w:t>
            </w:r>
            <w:r>
              <w:rPr>
                <w:sz w:val="18"/>
              </w:rPr>
              <w:t>secure</w:t>
            </w:r>
            <w:r>
              <w:rPr>
                <w:spacing w:val="3"/>
                <w:sz w:val="18"/>
              </w:rPr>
              <w:t> </w:t>
            </w:r>
            <w:r>
              <w:rPr>
                <w:sz w:val="18"/>
              </w:rPr>
              <w:t>messaging</w:t>
            </w:r>
            <w:r>
              <w:rPr>
                <w:spacing w:val="1"/>
                <w:sz w:val="18"/>
              </w:rPr>
              <w:t> </w:t>
            </w:r>
            <w:r>
              <w:rPr>
                <w:sz w:val="18"/>
              </w:rPr>
              <w:t>with</w:t>
            </w:r>
            <w:r>
              <w:rPr>
                <w:spacing w:val="1"/>
                <w:sz w:val="18"/>
              </w:rPr>
              <w:t> </w:t>
            </w:r>
            <w:r>
              <w:rPr>
                <w:sz w:val="18"/>
              </w:rPr>
              <w:t>the GP or nurse about their health</w:t>
            </w:r>
            <w:r>
              <w:rPr>
                <w:spacing w:val="1"/>
                <w:sz w:val="18"/>
              </w:rPr>
              <w:t> </w:t>
            </w:r>
            <w:r>
              <w:rPr>
                <w:sz w:val="18"/>
              </w:rPr>
              <w:t>concerns</w:t>
            </w:r>
          </w:p>
        </w:tc>
        <w:tc>
          <w:tcPr>
            <w:tcW w:w="1274" w:type="dxa"/>
          </w:tcPr>
          <w:p>
            <w:pPr>
              <w:pStyle w:val="TableParagraph"/>
              <w:spacing w:before="6"/>
              <w:rPr>
                <w:sz w:val="5"/>
              </w:rPr>
            </w:pPr>
          </w:p>
          <w:p>
            <w:pPr>
              <w:pStyle w:val="TableParagraph"/>
              <w:spacing w:line="114" w:lineRule="exact"/>
              <w:ind w:left="1122"/>
              <w:rPr>
                <w:sz w:val="11"/>
              </w:rPr>
            </w:pPr>
            <w:r>
              <w:rPr>
                <w:position w:val="-1"/>
                <w:sz w:val="11"/>
              </w:rPr>
              <w:drawing>
                <wp:inline distT="0" distB="0" distL="0" distR="0">
                  <wp:extent cx="58958" cy="72866"/>
                  <wp:effectExtent l="0" t="0" r="0" b="0"/>
                  <wp:docPr id="701" name="image13.png"/>
                  <wp:cNvGraphicFramePr>
                    <a:graphicFrameLocks noChangeAspect="1"/>
                  </wp:cNvGraphicFramePr>
                  <a:graphic>
                    <a:graphicData uri="http://schemas.openxmlformats.org/drawingml/2006/picture">
                      <pic:pic>
                        <pic:nvPicPr>
                          <pic:cNvPr id="702"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852" w:type="dxa"/>
          </w:tcPr>
          <w:p>
            <w:pPr>
              <w:pStyle w:val="TableParagraph"/>
              <w:rPr>
                <w:rFonts w:ascii="Times New Roman"/>
                <w:sz w:val="18"/>
              </w:rPr>
            </w:pPr>
          </w:p>
        </w:tc>
        <w:tc>
          <w:tcPr>
            <w:tcW w:w="1699" w:type="dxa"/>
          </w:tcPr>
          <w:p>
            <w:pPr>
              <w:pStyle w:val="TableParagraph"/>
              <w:spacing w:before="6"/>
              <w:rPr>
                <w:sz w:val="5"/>
              </w:rPr>
            </w:pPr>
          </w:p>
          <w:p>
            <w:pPr>
              <w:pStyle w:val="TableParagraph"/>
              <w:spacing w:line="114" w:lineRule="exact"/>
              <w:ind w:left="1187"/>
              <w:rPr>
                <w:sz w:val="11"/>
              </w:rPr>
            </w:pPr>
            <w:r>
              <w:rPr>
                <w:position w:val="-1"/>
                <w:sz w:val="11"/>
              </w:rPr>
              <w:drawing>
                <wp:inline distT="0" distB="0" distL="0" distR="0">
                  <wp:extent cx="58958" cy="72866"/>
                  <wp:effectExtent l="0" t="0" r="0" b="0"/>
                  <wp:docPr id="703" name="image13.png"/>
                  <wp:cNvGraphicFramePr>
                    <a:graphicFrameLocks noChangeAspect="1"/>
                  </wp:cNvGraphicFramePr>
                  <a:graphic>
                    <a:graphicData uri="http://schemas.openxmlformats.org/drawingml/2006/picture">
                      <pic:pic>
                        <pic:nvPicPr>
                          <pic:cNvPr id="704"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560" w:type="dxa"/>
          </w:tcPr>
          <w:p>
            <w:pPr>
              <w:pStyle w:val="TableParagraph"/>
              <w:spacing w:before="6"/>
              <w:rPr>
                <w:sz w:val="5"/>
              </w:rPr>
            </w:pPr>
          </w:p>
          <w:p>
            <w:pPr>
              <w:pStyle w:val="TableParagraph"/>
              <w:spacing w:line="114" w:lineRule="exact"/>
              <w:ind w:left="1123"/>
              <w:rPr>
                <w:sz w:val="11"/>
              </w:rPr>
            </w:pPr>
            <w:r>
              <w:rPr>
                <w:position w:val="-1"/>
                <w:sz w:val="11"/>
              </w:rPr>
              <w:drawing>
                <wp:inline distT="0" distB="0" distL="0" distR="0">
                  <wp:extent cx="58958" cy="72866"/>
                  <wp:effectExtent l="0" t="0" r="0" b="0"/>
                  <wp:docPr id="705" name="image13.png"/>
                  <wp:cNvGraphicFramePr>
                    <a:graphicFrameLocks noChangeAspect="1"/>
                  </wp:cNvGraphicFramePr>
                  <a:graphic>
                    <a:graphicData uri="http://schemas.openxmlformats.org/drawingml/2006/picture">
                      <pic:pic>
                        <pic:nvPicPr>
                          <pic:cNvPr id="706"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531" w:type="dxa"/>
          </w:tcPr>
          <w:p>
            <w:pPr>
              <w:pStyle w:val="TableParagraph"/>
              <w:spacing w:before="6"/>
              <w:rPr>
                <w:sz w:val="5"/>
              </w:rPr>
            </w:pPr>
          </w:p>
          <w:p>
            <w:pPr>
              <w:pStyle w:val="TableParagraph"/>
              <w:spacing w:line="114" w:lineRule="exact"/>
              <w:ind w:left="1123"/>
              <w:rPr>
                <w:sz w:val="11"/>
              </w:rPr>
            </w:pPr>
            <w:r>
              <w:rPr>
                <w:position w:val="-1"/>
                <w:sz w:val="11"/>
              </w:rPr>
              <w:drawing>
                <wp:inline distT="0" distB="0" distL="0" distR="0">
                  <wp:extent cx="58958" cy="72866"/>
                  <wp:effectExtent l="0" t="0" r="0" b="0"/>
                  <wp:docPr id="707" name="image13.png"/>
                  <wp:cNvGraphicFramePr>
                    <a:graphicFrameLocks noChangeAspect="1"/>
                  </wp:cNvGraphicFramePr>
                  <a:graphic>
                    <a:graphicData uri="http://schemas.openxmlformats.org/drawingml/2006/picture">
                      <pic:pic>
                        <pic:nvPicPr>
                          <pic:cNvPr id="708"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r>
    </w:tbl>
    <w:p>
      <w:pPr>
        <w:spacing w:after="0" w:line="114" w:lineRule="exact"/>
        <w:rPr>
          <w:sz w:val="11"/>
        </w:rPr>
        <w:sectPr>
          <w:pgSz w:w="11910" w:h="16840"/>
          <w:pgMar w:header="0" w:footer="906" w:top="860" w:bottom="1100" w:left="580" w:right="280"/>
        </w:sectPr>
      </w:pPr>
    </w:p>
    <w:tbl>
      <w:tblPr>
        <w:tblW w:w="0" w:type="auto"/>
        <w:jc w:val="left"/>
        <w:tblInd w:w="1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541"/>
        <w:gridCol w:w="1274"/>
        <w:gridCol w:w="852"/>
        <w:gridCol w:w="1699"/>
        <w:gridCol w:w="1560"/>
        <w:gridCol w:w="1531"/>
      </w:tblGrid>
      <w:tr>
        <w:trPr>
          <w:trHeight w:val="441" w:hRule="atLeast"/>
        </w:trPr>
        <w:tc>
          <w:tcPr>
            <w:tcW w:w="3541" w:type="dxa"/>
            <w:vMerge w:val="restart"/>
            <w:shd w:val="clear" w:color="auto" w:fill="F1F1F1"/>
          </w:tcPr>
          <w:p>
            <w:pPr>
              <w:pStyle w:val="TableParagraph"/>
              <w:ind w:left="107" w:right="752"/>
              <w:rPr>
                <w:sz w:val="18"/>
              </w:rPr>
            </w:pPr>
            <w:r>
              <w:rPr>
                <w:sz w:val="18"/>
              </w:rPr>
              <w:t>Changes made following HCH</w:t>
            </w:r>
            <w:r>
              <w:rPr>
                <w:spacing w:val="-48"/>
                <w:sz w:val="18"/>
              </w:rPr>
              <w:t> </w:t>
            </w:r>
            <w:r>
              <w:rPr>
                <w:sz w:val="18"/>
              </w:rPr>
              <w:t>implementation</w:t>
            </w:r>
          </w:p>
        </w:tc>
        <w:tc>
          <w:tcPr>
            <w:tcW w:w="2126" w:type="dxa"/>
            <w:gridSpan w:val="2"/>
            <w:shd w:val="clear" w:color="auto" w:fill="F1F1F1"/>
          </w:tcPr>
          <w:p>
            <w:pPr>
              <w:pStyle w:val="TableParagraph"/>
              <w:spacing w:line="220" w:lineRule="exact"/>
              <w:ind w:left="136" w:right="119" w:firstLine="278"/>
              <w:rPr>
                <w:sz w:val="18"/>
              </w:rPr>
            </w:pPr>
            <w:r>
              <w:rPr>
                <w:sz w:val="18"/>
              </w:rPr>
              <w:t>22.1 Feature of</w:t>
            </w:r>
            <w:r>
              <w:rPr>
                <w:spacing w:val="1"/>
                <w:sz w:val="18"/>
              </w:rPr>
              <w:t> </w:t>
            </w:r>
            <w:r>
              <w:rPr>
                <w:sz w:val="18"/>
              </w:rPr>
              <w:t>practice</w:t>
            </w:r>
            <w:r>
              <w:rPr>
                <w:spacing w:val="-4"/>
                <w:sz w:val="18"/>
              </w:rPr>
              <w:t> </w:t>
            </w:r>
            <w:r>
              <w:rPr>
                <w:sz w:val="18"/>
              </w:rPr>
              <w:t>prior</w:t>
            </w:r>
            <w:r>
              <w:rPr>
                <w:spacing w:val="-4"/>
                <w:sz w:val="18"/>
              </w:rPr>
              <w:t> </w:t>
            </w:r>
            <w:r>
              <w:rPr>
                <w:sz w:val="18"/>
              </w:rPr>
              <w:t>to</w:t>
            </w:r>
            <w:r>
              <w:rPr>
                <w:spacing w:val="-4"/>
                <w:sz w:val="18"/>
              </w:rPr>
              <w:t> </w:t>
            </w:r>
            <w:r>
              <w:rPr>
                <w:sz w:val="18"/>
              </w:rPr>
              <w:t>HCH</w:t>
            </w:r>
          </w:p>
        </w:tc>
        <w:tc>
          <w:tcPr>
            <w:tcW w:w="4790" w:type="dxa"/>
            <w:gridSpan w:val="3"/>
            <w:shd w:val="clear" w:color="auto" w:fill="F1F1F1"/>
          </w:tcPr>
          <w:p>
            <w:pPr>
              <w:pStyle w:val="TableParagraph"/>
              <w:spacing w:line="216" w:lineRule="exact"/>
              <w:ind w:left="293"/>
              <w:rPr>
                <w:sz w:val="18"/>
              </w:rPr>
            </w:pPr>
            <w:r>
              <w:rPr>
                <w:sz w:val="18"/>
              </w:rPr>
              <w:t>22.2 Will</w:t>
            </w:r>
            <w:r>
              <w:rPr>
                <w:spacing w:val="-4"/>
                <w:sz w:val="18"/>
              </w:rPr>
              <w:t> </w:t>
            </w:r>
            <w:r>
              <w:rPr>
                <w:sz w:val="18"/>
              </w:rPr>
              <w:t>be</w:t>
            </w:r>
            <w:r>
              <w:rPr>
                <w:spacing w:val="-2"/>
                <w:sz w:val="18"/>
              </w:rPr>
              <w:t> </w:t>
            </w:r>
            <w:r>
              <w:rPr>
                <w:sz w:val="18"/>
              </w:rPr>
              <w:t>a</w:t>
            </w:r>
            <w:r>
              <w:rPr>
                <w:spacing w:val="-3"/>
                <w:sz w:val="18"/>
              </w:rPr>
              <w:t> </w:t>
            </w:r>
            <w:r>
              <w:rPr>
                <w:sz w:val="18"/>
              </w:rPr>
              <w:t>change</w:t>
            </w:r>
            <w:r>
              <w:rPr>
                <w:spacing w:val="-2"/>
                <w:sz w:val="18"/>
              </w:rPr>
              <w:t> </w:t>
            </w:r>
            <w:r>
              <w:rPr>
                <w:sz w:val="18"/>
              </w:rPr>
              <w:t>you</w:t>
            </w:r>
            <w:r>
              <w:rPr>
                <w:spacing w:val="-3"/>
                <w:sz w:val="18"/>
              </w:rPr>
              <w:t> </w:t>
            </w:r>
            <w:r>
              <w:rPr>
                <w:sz w:val="18"/>
              </w:rPr>
              <w:t>are</w:t>
            </w:r>
            <w:r>
              <w:rPr>
                <w:spacing w:val="-2"/>
                <w:sz w:val="18"/>
              </w:rPr>
              <w:t> </w:t>
            </w:r>
            <w:r>
              <w:rPr>
                <w:sz w:val="18"/>
              </w:rPr>
              <w:t>planning</w:t>
            </w:r>
            <w:r>
              <w:rPr>
                <w:spacing w:val="-5"/>
                <w:sz w:val="18"/>
              </w:rPr>
              <w:t> </w:t>
            </w:r>
            <w:r>
              <w:rPr>
                <w:sz w:val="18"/>
              </w:rPr>
              <w:t>to</w:t>
            </w:r>
            <w:r>
              <w:rPr>
                <w:spacing w:val="-3"/>
                <w:sz w:val="18"/>
              </w:rPr>
              <w:t> </w:t>
            </w:r>
            <w:r>
              <w:rPr>
                <w:sz w:val="18"/>
              </w:rPr>
              <w:t>make</w:t>
            </w:r>
          </w:p>
        </w:tc>
      </w:tr>
      <w:tr>
        <w:trPr>
          <w:trHeight w:val="662" w:hRule="atLeast"/>
        </w:trPr>
        <w:tc>
          <w:tcPr>
            <w:tcW w:w="3541" w:type="dxa"/>
            <w:vMerge/>
            <w:tcBorders>
              <w:top w:val="nil"/>
            </w:tcBorders>
            <w:shd w:val="clear" w:color="auto" w:fill="F1F1F1"/>
          </w:tcPr>
          <w:p>
            <w:pPr>
              <w:rPr>
                <w:sz w:val="2"/>
                <w:szCs w:val="2"/>
              </w:rPr>
            </w:pPr>
          </w:p>
        </w:tc>
        <w:tc>
          <w:tcPr>
            <w:tcW w:w="1274" w:type="dxa"/>
            <w:shd w:val="clear" w:color="auto" w:fill="F1F1F1"/>
          </w:tcPr>
          <w:p>
            <w:pPr>
              <w:pStyle w:val="TableParagraph"/>
              <w:spacing w:line="216" w:lineRule="exact"/>
              <w:ind w:left="415"/>
              <w:rPr>
                <w:sz w:val="18"/>
              </w:rPr>
            </w:pPr>
            <w:r>
              <w:rPr>
                <w:sz w:val="18"/>
              </w:rPr>
              <w:t>1</w:t>
            </w:r>
            <w:r>
              <w:rPr>
                <w:spacing w:val="-2"/>
                <w:sz w:val="18"/>
              </w:rPr>
              <w:t> </w:t>
            </w:r>
            <w:r>
              <w:rPr>
                <w:sz w:val="18"/>
              </w:rPr>
              <w:t>Yes</w:t>
            </w:r>
          </w:p>
        </w:tc>
        <w:tc>
          <w:tcPr>
            <w:tcW w:w="852" w:type="dxa"/>
            <w:shd w:val="clear" w:color="auto" w:fill="F1F1F1"/>
          </w:tcPr>
          <w:p>
            <w:pPr>
              <w:pStyle w:val="TableParagraph"/>
              <w:spacing w:line="216" w:lineRule="exact"/>
              <w:ind w:left="223"/>
              <w:rPr>
                <w:sz w:val="18"/>
              </w:rPr>
            </w:pPr>
            <w:r>
              <w:rPr>
                <w:sz w:val="18"/>
              </w:rPr>
              <w:t>2</w:t>
            </w:r>
            <w:r>
              <w:rPr>
                <w:spacing w:val="-1"/>
                <w:sz w:val="18"/>
              </w:rPr>
              <w:t> </w:t>
            </w:r>
            <w:r>
              <w:rPr>
                <w:sz w:val="18"/>
              </w:rPr>
              <w:t>No</w:t>
            </w:r>
          </w:p>
        </w:tc>
        <w:tc>
          <w:tcPr>
            <w:tcW w:w="1699" w:type="dxa"/>
            <w:shd w:val="clear" w:color="auto" w:fill="F1F1F1"/>
          </w:tcPr>
          <w:p>
            <w:pPr>
              <w:pStyle w:val="TableParagraph"/>
              <w:spacing w:line="216" w:lineRule="exact"/>
              <w:ind w:left="242" w:right="237"/>
              <w:jc w:val="center"/>
              <w:rPr>
                <w:sz w:val="18"/>
              </w:rPr>
            </w:pPr>
            <w:r>
              <w:rPr>
                <w:sz w:val="18"/>
              </w:rPr>
              <w:t>1</w:t>
            </w:r>
            <w:r>
              <w:rPr>
                <w:spacing w:val="-2"/>
                <w:sz w:val="18"/>
              </w:rPr>
              <w:t> </w:t>
            </w:r>
            <w:r>
              <w:rPr>
                <w:sz w:val="18"/>
              </w:rPr>
              <w:t>We</w:t>
            </w:r>
            <w:r>
              <w:rPr>
                <w:spacing w:val="-4"/>
                <w:sz w:val="18"/>
              </w:rPr>
              <w:t> </w:t>
            </w:r>
            <w:r>
              <w:rPr>
                <w:sz w:val="18"/>
              </w:rPr>
              <w:t>are</w:t>
            </w:r>
          </w:p>
          <w:p>
            <w:pPr>
              <w:pStyle w:val="TableParagraph"/>
              <w:spacing w:line="220" w:lineRule="atLeast"/>
              <w:ind w:left="245" w:right="237"/>
              <w:jc w:val="center"/>
              <w:rPr>
                <w:sz w:val="18"/>
              </w:rPr>
            </w:pPr>
            <w:r>
              <w:rPr>
                <w:spacing w:val="-1"/>
                <w:sz w:val="18"/>
              </w:rPr>
              <w:t>implementing</w:t>
            </w:r>
            <w:r>
              <w:rPr>
                <w:spacing w:val="-47"/>
                <w:sz w:val="18"/>
              </w:rPr>
              <w:t> </w:t>
            </w:r>
            <w:r>
              <w:rPr>
                <w:sz w:val="18"/>
              </w:rPr>
              <w:t>this</w:t>
            </w:r>
            <w:r>
              <w:rPr>
                <w:spacing w:val="-1"/>
                <w:sz w:val="18"/>
              </w:rPr>
              <w:t> </w:t>
            </w:r>
            <w:r>
              <w:rPr>
                <w:sz w:val="18"/>
              </w:rPr>
              <w:t>now</w:t>
            </w:r>
          </w:p>
        </w:tc>
        <w:tc>
          <w:tcPr>
            <w:tcW w:w="1560" w:type="dxa"/>
            <w:shd w:val="clear" w:color="auto" w:fill="F1F1F1"/>
          </w:tcPr>
          <w:p>
            <w:pPr>
              <w:pStyle w:val="TableParagraph"/>
              <w:spacing w:line="216" w:lineRule="exact"/>
              <w:ind w:left="147" w:firstLine="55"/>
              <w:rPr>
                <w:sz w:val="18"/>
              </w:rPr>
            </w:pPr>
            <w:r>
              <w:rPr>
                <w:sz w:val="18"/>
              </w:rPr>
              <w:t>2.</w:t>
            </w:r>
            <w:r>
              <w:rPr>
                <w:spacing w:val="-4"/>
                <w:sz w:val="18"/>
              </w:rPr>
              <w:t> </w:t>
            </w:r>
            <w:r>
              <w:rPr>
                <w:sz w:val="18"/>
              </w:rPr>
              <w:t>We</w:t>
            </w:r>
            <w:r>
              <w:rPr>
                <w:spacing w:val="-3"/>
                <w:sz w:val="18"/>
              </w:rPr>
              <w:t> </w:t>
            </w:r>
            <w:r>
              <w:rPr>
                <w:sz w:val="18"/>
              </w:rPr>
              <w:t>plan</w:t>
            </w:r>
            <w:r>
              <w:rPr>
                <w:spacing w:val="-3"/>
                <w:sz w:val="18"/>
              </w:rPr>
              <w:t> </w:t>
            </w:r>
            <w:r>
              <w:rPr>
                <w:sz w:val="18"/>
              </w:rPr>
              <w:t>to</w:t>
            </w:r>
          </w:p>
          <w:p>
            <w:pPr>
              <w:pStyle w:val="TableParagraph"/>
              <w:spacing w:line="220" w:lineRule="atLeast"/>
              <w:ind w:left="238" w:right="120" w:hanging="92"/>
              <w:rPr>
                <w:sz w:val="18"/>
              </w:rPr>
            </w:pPr>
            <w:r>
              <w:rPr>
                <w:sz w:val="18"/>
              </w:rPr>
              <w:t>implement this</w:t>
            </w:r>
            <w:r>
              <w:rPr>
                <w:spacing w:val="-47"/>
                <w:sz w:val="18"/>
              </w:rPr>
              <w:t> </w:t>
            </w:r>
            <w:r>
              <w:rPr>
                <w:sz w:val="18"/>
              </w:rPr>
              <w:t>by</w:t>
            </w:r>
            <w:r>
              <w:rPr>
                <w:spacing w:val="-2"/>
                <w:sz w:val="18"/>
              </w:rPr>
              <w:t> </w:t>
            </w:r>
            <w:r>
              <w:rPr>
                <w:sz w:val="18"/>
              </w:rPr>
              <w:t>Dec</w:t>
            </w:r>
            <w:r>
              <w:rPr>
                <w:spacing w:val="-2"/>
                <w:sz w:val="18"/>
              </w:rPr>
              <w:t> </w:t>
            </w:r>
            <w:r>
              <w:rPr>
                <w:sz w:val="18"/>
              </w:rPr>
              <w:t>2019</w:t>
            </w:r>
          </w:p>
        </w:tc>
        <w:tc>
          <w:tcPr>
            <w:tcW w:w="1531" w:type="dxa"/>
            <w:shd w:val="clear" w:color="auto" w:fill="F1F1F1"/>
          </w:tcPr>
          <w:p>
            <w:pPr>
              <w:pStyle w:val="TableParagraph"/>
              <w:spacing w:line="216" w:lineRule="exact"/>
              <w:ind w:left="191" w:hanging="53"/>
              <w:rPr>
                <w:sz w:val="18"/>
              </w:rPr>
            </w:pPr>
            <w:r>
              <w:rPr>
                <w:sz w:val="18"/>
              </w:rPr>
              <w:t>3</w:t>
            </w:r>
            <w:r>
              <w:rPr>
                <w:spacing w:val="-2"/>
                <w:sz w:val="18"/>
              </w:rPr>
              <w:t> </w:t>
            </w:r>
            <w:r>
              <w:rPr>
                <w:sz w:val="18"/>
              </w:rPr>
              <w:t>This</w:t>
            </w:r>
            <w:r>
              <w:rPr>
                <w:spacing w:val="-1"/>
                <w:sz w:val="18"/>
              </w:rPr>
              <w:t> </w:t>
            </w:r>
            <w:r>
              <w:rPr>
                <w:sz w:val="18"/>
              </w:rPr>
              <w:t>won't</w:t>
            </w:r>
            <w:r>
              <w:rPr>
                <w:spacing w:val="-2"/>
                <w:sz w:val="18"/>
              </w:rPr>
              <w:t> </w:t>
            </w:r>
            <w:r>
              <w:rPr>
                <w:sz w:val="18"/>
              </w:rPr>
              <w:t>be</w:t>
            </w:r>
          </w:p>
          <w:p>
            <w:pPr>
              <w:pStyle w:val="TableParagraph"/>
              <w:spacing w:line="220" w:lineRule="atLeast"/>
              <w:ind w:left="140" w:firstLine="50"/>
              <w:rPr>
                <w:sz w:val="18"/>
              </w:rPr>
            </w:pPr>
            <w:r>
              <w:rPr>
                <w:sz w:val="18"/>
              </w:rPr>
              <w:t>a focus for us</w:t>
            </w:r>
            <w:r>
              <w:rPr>
                <w:spacing w:val="1"/>
                <w:sz w:val="18"/>
              </w:rPr>
              <w:t> </w:t>
            </w:r>
            <w:r>
              <w:rPr>
                <w:sz w:val="18"/>
              </w:rPr>
              <w:t>during</w:t>
            </w:r>
            <w:r>
              <w:rPr>
                <w:spacing w:val="-10"/>
                <w:sz w:val="18"/>
              </w:rPr>
              <w:t> </w:t>
            </w:r>
            <w:r>
              <w:rPr>
                <w:sz w:val="18"/>
              </w:rPr>
              <w:t>the</w:t>
            </w:r>
            <w:r>
              <w:rPr>
                <w:spacing w:val="-7"/>
                <w:sz w:val="18"/>
              </w:rPr>
              <w:t> </w:t>
            </w:r>
            <w:r>
              <w:rPr>
                <w:sz w:val="18"/>
              </w:rPr>
              <w:t>trial</w:t>
            </w:r>
          </w:p>
        </w:tc>
      </w:tr>
      <w:tr>
        <w:trPr>
          <w:trHeight w:val="662" w:hRule="atLeast"/>
        </w:trPr>
        <w:tc>
          <w:tcPr>
            <w:tcW w:w="3541" w:type="dxa"/>
          </w:tcPr>
          <w:p>
            <w:pPr>
              <w:pStyle w:val="TableParagraph"/>
              <w:spacing w:line="220" w:lineRule="exact"/>
              <w:ind w:left="107" w:right="293"/>
              <w:rPr>
                <w:sz w:val="18"/>
              </w:rPr>
            </w:pPr>
            <w:r>
              <w:rPr>
                <w:sz w:val="18"/>
              </w:rPr>
              <w:t>M. Introducing a patient portal</w:t>
            </w:r>
            <w:r>
              <w:rPr>
                <w:spacing w:val="1"/>
                <w:sz w:val="18"/>
              </w:rPr>
              <w:t> </w:t>
            </w:r>
            <w:r>
              <w:rPr>
                <w:sz w:val="18"/>
              </w:rPr>
              <w:t>through which clinical information is</w:t>
            </w:r>
            <w:r>
              <w:rPr>
                <w:spacing w:val="-48"/>
                <w:sz w:val="18"/>
              </w:rPr>
              <w:t> </w:t>
            </w:r>
            <w:r>
              <w:rPr>
                <w:sz w:val="18"/>
              </w:rPr>
              <w:t>shared</w:t>
            </w:r>
            <w:r>
              <w:rPr>
                <w:spacing w:val="-2"/>
                <w:sz w:val="18"/>
              </w:rPr>
              <w:t> </w:t>
            </w:r>
            <w:r>
              <w:rPr>
                <w:sz w:val="18"/>
              </w:rPr>
              <w:t>with</w:t>
            </w:r>
            <w:r>
              <w:rPr>
                <w:spacing w:val="-1"/>
                <w:sz w:val="18"/>
              </w:rPr>
              <w:t> </w:t>
            </w:r>
            <w:r>
              <w:rPr>
                <w:sz w:val="18"/>
              </w:rPr>
              <w:t>HCH</w:t>
            </w:r>
            <w:r>
              <w:rPr>
                <w:spacing w:val="-1"/>
                <w:sz w:val="18"/>
              </w:rPr>
              <w:t> </w:t>
            </w:r>
            <w:r>
              <w:rPr>
                <w:sz w:val="18"/>
              </w:rPr>
              <w:t>patients</w:t>
            </w:r>
          </w:p>
        </w:tc>
        <w:tc>
          <w:tcPr>
            <w:tcW w:w="1274" w:type="dxa"/>
          </w:tcPr>
          <w:p>
            <w:pPr>
              <w:pStyle w:val="TableParagraph"/>
              <w:spacing w:before="4"/>
              <w:rPr>
                <w:sz w:val="5"/>
              </w:rPr>
            </w:pPr>
          </w:p>
          <w:p>
            <w:pPr>
              <w:pStyle w:val="TableParagraph"/>
              <w:spacing w:line="115" w:lineRule="exact"/>
              <w:ind w:left="1122"/>
              <w:rPr>
                <w:sz w:val="11"/>
              </w:rPr>
            </w:pPr>
            <w:r>
              <w:rPr>
                <w:position w:val="-1"/>
                <w:sz w:val="11"/>
              </w:rPr>
              <w:drawing>
                <wp:inline distT="0" distB="0" distL="0" distR="0">
                  <wp:extent cx="57814" cy="73151"/>
                  <wp:effectExtent l="0" t="0" r="0" b="0"/>
                  <wp:docPr id="709" name="image14.png"/>
                  <wp:cNvGraphicFramePr>
                    <a:graphicFrameLocks noChangeAspect="1"/>
                  </wp:cNvGraphicFramePr>
                  <a:graphic>
                    <a:graphicData uri="http://schemas.openxmlformats.org/drawingml/2006/picture">
                      <pic:pic>
                        <pic:nvPicPr>
                          <pic:cNvPr id="710" name="image14.png"/>
                          <pic:cNvPicPr/>
                        </pic:nvPicPr>
                        <pic:blipFill>
                          <a:blip r:embed="rId43" cstate="print"/>
                          <a:stretch>
                            <a:fillRect/>
                          </a:stretch>
                        </pic:blipFill>
                        <pic:spPr>
                          <a:xfrm>
                            <a:off x="0" y="0"/>
                            <a:ext cx="57814" cy="73151"/>
                          </a:xfrm>
                          <a:prstGeom prst="rect">
                            <a:avLst/>
                          </a:prstGeom>
                        </pic:spPr>
                      </pic:pic>
                    </a:graphicData>
                  </a:graphic>
                </wp:inline>
              </w:drawing>
            </w:r>
            <w:r>
              <w:rPr>
                <w:position w:val="-1"/>
                <w:sz w:val="11"/>
              </w:rPr>
            </w:r>
          </w:p>
        </w:tc>
        <w:tc>
          <w:tcPr>
            <w:tcW w:w="852" w:type="dxa"/>
          </w:tcPr>
          <w:p>
            <w:pPr>
              <w:pStyle w:val="TableParagraph"/>
              <w:rPr>
                <w:rFonts w:ascii="Times New Roman"/>
                <w:sz w:val="18"/>
              </w:rPr>
            </w:pPr>
          </w:p>
        </w:tc>
        <w:tc>
          <w:tcPr>
            <w:tcW w:w="1699" w:type="dxa"/>
          </w:tcPr>
          <w:p>
            <w:pPr>
              <w:pStyle w:val="TableParagraph"/>
              <w:spacing w:before="4"/>
              <w:rPr>
                <w:sz w:val="5"/>
              </w:rPr>
            </w:pPr>
          </w:p>
          <w:p>
            <w:pPr>
              <w:pStyle w:val="TableParagraph"/>
              <w:spacing w:line="112" w:lineRule="exact"/>
              <w:ind w:left="1187"/>
              <w:rPr>
                <w:sz w:val="11"/>
              </w:rPr>
            </w:pPr>
            <w:r>
              <w:rPr>
                <w:position w:val="-1"/>
                <w:sz w:val="11"/>
              </w:rPr>
              <w:drawing>
                <wp:inline distT="0" distB="0" distL="0" distR="0">
                  <wp:extent cx="57802" cy="71437"/>
                  <wp:effectExtent l="0" t="0" r="0" b="0"/>
                  <wp:docPr id="711" name="image13.png"/>
                  <wp:cNvGraphicFramePr>
                    <a:graphicFrameLocks noChangeAspect="1"/>
                  </wp:cNvGraphicFramePr>
                  <a:graphic>
                    <a:graphicData uri="http://schemas.openxmlformats.org/drawingml/2006/picture">
                      <pic:pic>
                        <pic:nvPicPr>
                          <pic:cNvPr id="712"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560" w:type="dxa"/>
          </w:tcPr>
          <w:p>
            <w:pPr>
              <w:pStyle w:val="TableParagraph"/>
              <w:spacing w:before="4"/>
              <w:rPr>
                <w:sz w:val="5"/>
              </w:rPr>
            </w:pPr>
          </w:p>
          <w:p>
            <w:pPr>
              <w:pStyle w:val="TableParagraph"/>
              <w:spacing w:line="112" w:lineRule="exact"/>
              <w:ind w:left="1123"/>
              <w:rPr>
                <w:sz w:val="11"/>
              </w:rPr>
            </w:pPr>
            <w:r>
              <w:rPr>
                <w:position w:val="-1"/>
                <w:sz w:val="11"/>
              </w:rPr>
              <w:drawing>
                <wp:inline distT="0" distB="0" distL="0" distR="0">
                  <wp:extent cx="57802" cy="71437"/>
                  <wp:effectExtent l="0" t="0" r="0" b="0"/>
                  <wp:docPr id="713" name="image13.png"/>
                  <wp:cNvGraphicFramePr>
                    <a:graphicFrameLocks noChangeAspect="1"/>
                  </wp:cNvGraphicFramePr>
                  <a:graphic>
                    <a:graphicData uri="http://schemas.openxmlformats.org/drawingml/2006/picture">
                      <pic:pic>
                        <pic:nvPicPr>
                          <pic:cNvPr id="714"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531" w:type="dxa"/>
          </w:tcPr>
          <w:p>
            <w:pPr>
              <w:pStyle w:val="TableParagraph"/>
              <w:spacing w:before="4"/>
              <w:rPr>
                <w:sz w:val="5"/>
              </w:rPr>
            </w:pPr>
          </w:p>
          <w:p>
            <w:pPr>
              <w:pStyle w:val="TableParagraph"/>
              <w:spacing w:line="112" w:lineRule="exact"/>
              <w:ind w:left="1123"/>
              <w:rPr>
                <w:sz w:val="11"/>
              </w:rPr>
            </w:pPr>
            <w:r>
              <w:rPr>
                <w:position w:val="-1"/>
                <w:sz w:val="11"/>
              </w:rPr>
              <w:drawing>
                <wp:inline distT="0" distB="0" distL="0" distR="0">
                  <wp:extent cx="57802" cy="71437"/>
                  <wp:effectExtent l="0" t="0" r="0" b="0"/>
                  <wp:docPr id="715" name="image13.png"/>
                  <wp:cNvGraphicFramePr>
                    <a:graphicFrameLocks noChangeAspect="1"/>
                  </wp:cNvGraphicFramePr>
                  <a:graphic>
                    <a:graphicData uri="http://schemas.openxmlformats.org/drawingml/2006/picture">
                      <pic:pic>
                        <pic:nvPicPr>
                          <pic:cNvPr id="716"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r>
      <w:tr>
        <w:trPr>
          <w:trHeight w:val="501" w:hRule="atLeast"/>
        </w:trPr>
        <w:tc>
          <w:tcPr>
            <w:tcW w:w="3541" w:type="dxa"/>
          </w:tcPr>
          <w:p>
            <w:pPr>
              <w:pStyle w:val="TableParagraph"/>
              <w:ind w:left="107" w:right="385"/>
              <w:rPr>
                <w:sz w:val="18"/>
              </w:rPr>
            </w:pPr>
            <w:r>
              <w:rPr>
                <w:sz w:val="18"/>
              </w:rPr>
              <w:t>N. HCH patients able to refill scripts</w:t>
            </w:r>
            <w:r>
              <w:rPr>
                <w:spacing w:val="-48"/>
                <w:sz w:val="18"/>
              </w:rPr>
              <w:t> </w:t>
            </w:r>
            <w:r>
              <w:rPr>
                <w:sz w:val="18"/>
              </w:rPr>
              <w:t>without</w:t>
            </w:r>
            <w:r>
              <w:rPr>
                <w:spacing w:val="-3"/>
                <w:sz w:val="18"/>
              </w:rPr>
              <w:t> </w:t>
            </w:r>
            <w:r>
              <w:rPr>
                <w:sz w:val="18"/>
              </w:rPr>
              <w:t>a GP</w:t>
            </w:r>
            <w:r>
              <w:rPr>
                <w:spacing w:val="-1"/>
                <w:sz w:val="18"/>
              </w:rPr>
              <w:t> </w:t>
            </w:r>
            <w:r>
              <w:rPr>
                <w:sz w:val="18"/>
              </w:rPr>
              <w:t>consultation</w:t>
            </w:r>
          </w:p>
        </w:tc>
        <w:tc>
          <w:tcPr>
            <w:tcW w:w="1274" w:type="dxa"/>
          </w:tcPr>
          <w:p>
            <w:pPr>
              <w:pStyle w:val="TableParagraph"/>
              <w:spacing w:before="4"/>
              <w:rPr>
                <w:sz w:val="5"/>
              </w:rPr>
            </w:pPr>
          </w:p>
          <w:p>
            <w:pPr>
              <w:pStyle w:val="TableParagraph"/>
              <w:spacing w:line="112" w:lineRule="exact"/>
              <w:ind w:left="1122"/>
              <w:rPr>
                <w:sz w:val="11"/>
              </w:rPr>
            </w:pPr>
            <w:r>
              <w:rPr>
                <w:position w:val="-1"/>
                <w:sz w:val="11"/>
              </w:rPr>
              <w:drawing>
                <wp:inline distT="0" distB="0" distL="0" distR="0">
                  <wp:extent cx="57802" cy="71437"/>
                  <wp:effectExtent l="0" t="0" r="0" b="0"/>
                  <wp:docPr id="717" name="image13.png"/>
                  <wp:cNvGraphicFramePr>
                    <a:graphicFrameLocks noChangeAspect="1"/>
                  </wp:cNvGraphicFramePr>
                  <a:graphic>
                    <a:graphicData uri="http://schemas.openxmlformats.org/drawingml/2006/picture">
                      <pic:pic>
                        <pic:nvPicPr>
                          <pic:cNvPr id="718"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852" w:type="dxa"/>
          </w:tcPr>
          <w:p>
            <w:pPr>
              <w:pStyle w:val="TableParagraph"/>
              <w:rPr>
                <w:rFonts w:ascii="Times New Roman"/>
                <w:sz w:val="18"/>
              </w:rPr>
            </w:pPr>
          </w:p>
        </w:tc>
        <w:tc>
          <w:tcPr>
            <w:tcW w:w="1699" w:type="dxa"/>
          </w:tcPr>
          <w:p>
            <w:pPr>
              <w:pStyle w:val="TableParagraph"/>
              <w:spacing w:before="4"/>
              <w:rPr>
                <w:sz w:val="5"/>
              </w:rPr>
            </w:pPr>
          </w:p>
          <w:p>
            <w:pPr>
              <w:pStyle w:val="TableParagraph"/>
              <w:spacing w:line="112" w:lineRule="exact"/>
              <w:ind w:left="1187"/>
              <w:rPr>
                <w:sz w:val="11"/>
              </w:rPr>
            </w:pPr>
            <w:r>
              <w:rPr>
                <w:position w:val="-1"/>
                <w:sz w:val="11"/>
              </w:rPr>
              <w:drawing>
                <wp:inline distT="0" distB="0" distL="0" distR="0">
                  <wp:extent cx="57802" cy="71437"/>
                  <wp:effectExtent l="0" t="0" r="0" b="0"/>
                  <wp:docPr id="719" name="image13.png"/>
                  <wp:cNvGraphicFramePr>
                    <a:graphicFrameLocks noChangeAspect="1"/>
                  </wp:cNvGraphicFramePr>
                  <a:graphic>
                    <a:graphicData uri="http://schemas.openxmlformats.org/drawingml/2006/picture">
                      <pic:pic>
                        <pic:nvPicPr>
                          <pic:cNvPr id="720"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560" w:type="dxa"/>
          </w:tcPr>
          <w:p>
            <w:pPr>
              <w:pStyle w:val="TableParagraph"/>
              <w:spacing w:before="4"/>
              <w:rPr>
                <w:sz w:val="5"/>
              </w:rPr>
            </w:pPr>
          </w:p>
          <w:p>
            <w:pPr>
              <w:pStyle w:val="TableParagraph"/>
              <w:spacing w:line="112" w:lineRule="exact"/>
              <w:ind w:left="1123"/>
              <w:rPr>
                <w:sz w:val="11"/>
              </w:rPr>
            </w:pPr>
            <w:r>
              <w:rPr>
                <w:position w:val="-1"/>
                <w:sz w:val="11"/>
              </w:rPr>
              <w:drawing>
                <wp:inline distT="0" distB="0" distL="0" distR="0">
                  <wp:extent cx="57802" cy="71437"/>
                  <wp:effectExtent l="0" t="0" r="0" b="0"/>
                  <wp:docPr id="721" name="image13.png"/>
                  <wp:cNvGraphicFramePr>
                    <a:graphicFrameLocks noChangeAspect="1"/>
                  </wp:cNvGraphicFramePr>
                  <a:graphic>
                    <a:graphicData uri="http://schemas.openxmlformats.org/drawingml/2006/picture">
                      <pic:pic>
                        <pic:nvPicPr>
                          <pic:cNvPr id="722"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531" w:type="dxa"/>
          </w:tcPr>
          <w:p>
            <w:pPr>
              <w:pStyle w:val="TableParagraph"/>
              <w:spacing w:before="4"/>
              <w:rPr>
                <w:sz w:val="5"/>
              </w:rPr>
            </w:pPr>
          </w:p>
          <w:p>
            <w:pPr>
              <w:pStyle w:val="TableParagraph"/>
              <w:spacing w:line="112" w:lineRule="exact"/>
              <w:ind w:left="1123"/>
              <w:rPr>
                <w:sz w:val="11"/>
              </w:rPr>
            </w:pPr>
            <w:r>
              <w:rPr>
                <w:position w:val="-1"/>
                <w:sz w:val="11"/>
              </w:rPr>
              <w:drawing>
                <wp:inline distT="0" distB="0" distL="0" distR="0">
                  <wp:extent cx="57802" cy="71437"/>
                  <wp:effectExtent l="0" t="0" r="0" b="0"/>
                  <wp:docPr id="723" name="image13.png"/>
                  <wp:cNvGraphicFramePr>
                    <a:graphicFrameLocks noChangeAspect="1"/>
                  </wp:cNvGraphicFramePr>
                  <a:graphic>
                    <a:graphicData uri="http://schemas.openxmlformats.org/drawingml/2006/picture">
                      <pic:pic>
                        <pic:nvPicPr>
                          <pic:cNvPr id="724"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r>
    </w:tbl>
    <w:p>
      <w:pPr>
        <w:pStyle w:val="BodyText"/>
        <w:spacing w:before="1"/>
        <w:rPr>
          <w:sz w:val="12"/>
        </w:rPr>
      </w:pPr>
    </w:p>
    <w:p>
      <w:pPr>
        <w:spacing w:before="100"/>
        <w:ind w:left="140" w:right="0" w:firstLine="0"/>
        <w:jc w:val="left"/>
        <w:rPr>
          <w:sz w:val="18"/>
        </w:rPr>
      </w:pPr>
      <w:r>
        <w:rPr>
          <w:color w:val="404040"/>
          <w:sz w:val="18"/>
        </w:rPr>
        <w:t>The</w:t>
      </w:r>
      <w:r>
        <w:rPr>
          <w:color w:val="404040"/>
          <w:spacing w:val="-3"/>
          <w:sz w:val="18"/>
        </w:rPr>
        <w:t> </w:t>
      </w:r>
      <w:r>
        <w:rPr>
          <w:color w:val="404040"/>
          <w:sz w:val="18"/>
        </w:rPr>
        <w:t>following</w:t>
      </w:r>
      <w:r>
        <w:rPr>
          <w:color w:val="404040"/>
          <w:spacing w:val="-5"/>
          <w:sz w:val="18"/>
        </w:rPr>
        <w:t> </w:t>
      </w:r>
      <w:r>
        <w:rPr>
          <w:color w:val="404040"/>
          <w:sz w:val="18"/>
        </w:rPr>
        <w:t>questions</w:t>
      </w:r>
      <w:r>
        <w:rPr>
          <w:color w:val="404040"/>
          <w:spacing w:val="-3"/>
          <w:sz w:val="18"/>
        </w:rPr>
        <w:t> </w:t>
      </w:r>
      <w:r>
        <w:rPr>
          <w:color w:val="404040"/>
          <w:sz w:val="18"/>
        </w:rPr>
        <w:t>are</w:t>
      </w:r>
      <w:r>
        <w:rPr>
          <w:color w:val="404040"/>
          <w:spacing w:val="-7"/>
          <w:sz w:val="18"/>
        </w:rPr>
        <w:t> </w:t>
      </w:r>
      <w:r>
        <w:rPr>
          <w:color w:val="404040"/>
          <w:sz w:val="18"/>
        </w:rPr>
        <w:t>about</w:t>
      </w:r>
      <w:r>
        <w:rPr>
          <w:color w:val="404040"/>
          <w:spacing w:val="-5"/>
          <w:sz w:val="18"/>
        </w:rPr>
        <w:t> </w:t>
      </w:r>
      <w:r>
        <w:rPr>
          <w:color w:val="404040"/>
          <w:sz w:val="18"/>
        </w:rPr>
        <w:t>chronic</w:t>
      </w:r>
      <w:r>
        <w:rPr>
          <w:color w:val="404040"/>
          <w:spacing w:val="-4"/>
          <w:sz w:val="18"/>
        </w:rPr>
        <w:t> </w:t>
      </w:r>
      <w:r>
        <w:rPr>
          <w:color w:val="404040"/>
          <w:sz w:val="18"/>
        </w:rPr>
        <w:t>disease</w:t>
      </w:r>
      <w:r>
        <w:rPr>
          <w:color w:val="404040"/>
          <w:spacing w:val="-6"/>
          <w:sz w:val="18"/>
        </w:rPr>
        <w:t> </w:t>
      </w:r>
      <w:r>
        <w:rPr>
          <w:color w:val="404040"/>
          <w:sz w:val="18"/>
        </w:rPr>
        <w:t>management.</w:t>
      </w:r>
    </w:p>
    <w:p>
      <w:pPr>
        <w:pStyle w:val="BodyText"/>
        <w:spacing w:before="11"/>
        <w:rPr>
          <w:sz w:val="22"/>
        </w:rPr>
      </w:pPr>
    </w:p>
    <w:p>
      <w:pPr>
        <w:pStyle w:val="ListParagraph"/>
        <w:numPr>
          <w:ilvl w:val="0"/>
          <w:numId w:val="43"/>
        </w:numPr>
        <w:tabs>
          <w:tab w:pos="424" w:val="left" w:leader="none"/>
        </w:tabs>
        <w:spacing w:line="240" w:lineRule="auto" w:before="0" w:after="0"/>
        <w:ind w:left="423" w:right="947" w:hanging="284"/>
        <w:jc w:val="left"/>
        <w:rPr>
          <w:sz w:val="18"/>
        </w:rPr>
      </w:pPr>
      <w:r>
        <w:rPr>
          <w:sz w:val="18"/>
        </w:rPr>
        <w:t>Did your practice’s/service’s processes for providing care for patients with chronic illnesses change from before</w:t>
      </w:r>
      <w:r>
        <w:rPr>
          <w:spacing w:val="-47"/>
          <w:sz w:val="18"/>
        </w:rPr>
        <w:t> </w:t>
      </w:r>
      <w:r>
        <w:rPr>
          <w:sz w:val="18"/>
        </w:rPr>
        <w:t>implementing</w:t>
      </w:r>
      <w:r>
        <w:rPr>
          <w:spacing w:val="-3"/>
          <w:sz w:val="18"/>
        </w:rPr>
        <w:t> </w:t>
      </w:r>
      <w:r>
        <w:rPr>
          <w:sz w:val="18"/>
        </w:rPr>
        <w:t>HCH</w:t>
      </w:r>
      <w:r>
        <w:rPr>
          <w:spacing w:val="-1"/>
          <w:sz w:val="18"/>
        </w:rPr>
        <w:t> </w:t>
      </w:r>
      <w:r>
        <w:rPr>
          <w:sz w:val="18"/>
        </w:rPr>
        <w:t>to after?</w:t>
      </w:r>
    </w:p>
    <w:p>
      <w:pPr>
        <w:pStyle w:val="ListParagraph"/>
        <w:numPr>
          <w:ilvl w:val="0"/>
          <w:numId w:val="60"/>
        </w:numPr>
        <w:tabs>
          <w:tab w:pos="932" w:val="left" w:leader="none"/>
        </w:tabs>
        <w:spacing w:line="240" w:lineRule="auto" w:before="0" w:after="0"/>
        <w:ind w:left="931" w:right="0" w:hanging="151"/>
        <w:jc w:val="left"/>
        <w:rPr>
          <w:sz w:val="18"/>
        </w:rPr>
      </w:pPr>
      <w:r>
        <w:rPr/>
        <w:drawing>
          <wp:anchor distT="0" distB="0" distL="0" distR="0" allowOverlap="1" layoutInCell="1" locked="0" behindDoc="0" simplePos="0" relativeHeight="15817216">
            <wp:simplePos x="0" y="0"/>
            <wp:positionH relativeFrom="page">
              <wp:posOffset>652565</wp:posOffset>
            </wp:positionH>
            <wp:positionV relativeFrom="paragraph">
              <wp:posOffset>44850</wp:posOffset>
            </wp:positionV>
            <wp:extent cx="58380" cy="72151"/>
            <wp:effectExtent l="0" t="0" r="0" b="0"/>
            <wp:wrapNone/>
            <wp:docPr id="725" name="image13.png"/>
            <wp:cNvGraphicFramePr>
              <a:graphicFrameLocks noChangeAspect="1"/>
            </wp:cNvGraphicFramePr>
            <a:graphic>
              <a:graphicData uri="http://schemas.openxmlformats.org/drawingml/2006/picture">
                <pic:pic>
                  <pic:nvPicPr>
                    <pic:cNvPr id="72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Yes</w:t>
      </w:r>
    </w:p>
    <w:p>
      <w:pPr>
        <w:pStyle w:val="ListParagraph"/>
        <w:numPr>
          <w:ilvl w:val="0"/>
          <w:numId w:val="60"/>
        </w:numPr>
        <w:tabs>
          <w:tab w:pos="932" w:val="left" w:leader="none"/>
        </w:tabs>
        <w:spacing w:line="240" w:lineRule="auto" w:before="0" w:after="0"/>
        <w:ind w:left="931" w:right="0" w:hanging="151"/>
        <w:jc w:val="left"/>
        <w:rPr>
          <w:sz w:val="18"/>
        </w:rPr>
      </w:pPr>
      <w:r>
        <w:rPr/>
        <w:drawing>
          <wp:anchor distT="0" distB="0" distL="0" distR="0" allowOverlap="1" layoutInCell="1" locked="0" behindDoc="0" simplePos="0" relativeHeight="15817728">
            <wp:simplePos x="0" y="0"/>
            <wp:positionH relativeFrom="page">
              <wp:posOffset>652565</wp:posOffset>
            </wp:positionH>
            <wp:positionV relativeFrom="paragraph">
              <wp:posOffset>44656</wp:posOffset>
            </wp:positionV>
            <wp:extent cx="58380" cy="73869"/>
            <wp:effectExtent l="0" t="0" r="0" b="0"/>
            <wp:wrapNone/>
            <wp:docPr id="727" name="image14.png"/>
            <wp:cNvGraphicFramePr>
              <a:graphicFrameLocks noChangeAspect="1"/>
            </wp:cNvGraphicFramePr>
            <a:graphic>
              <a:graphicData uri="http://schemas.openxmlformats.org/drawingml/2006/picture">
                <pic:pic>
                  <pic:nvPicPr>
                    <pic:cNvPr id="728"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No</w:t>
      </w:r>
    </w:p>
    <w:p>
      <w:pPr>
        <w:pStyle w:val="BodyText"/>
        <w:rPr>
          <w:sz w:val="23"/>
        </w:rPr>
      </w:pPr>
    </w:p>
    <w:p>
      <w:pPr>
        <w:spacing w:line="273" w:lineRule="auto" w:before="0"/>
        <w:ind w:left="140" w:right="442" w:firstLine="0"/>
        <w:jc w:val="left"/>
        <w:rPr>
          <w:sz w:val="18"/>
        </w:rPr>
      </w:pPr>
      <w:r>
        <w:rPr>
          <w:sz w:val="18"/>
        </w:rPr>
        <w:t>23a. If yes to the previous question, please briefly describe the main ways in which the management of chronic diseases</w:t>
      </w:r>
      <w:r>
        <w:rPr>
          <w:spacing w:val="-47"/>
          <w:sz w:val="18"/>
        </w:rPr>
        <w:t> </w:t>
      </w:r>
      <w:r>
        <w:rPr>
          <w:sz w:val="18"/>
        </w:rPr>
        <w:t>has</w:t>
      </w:r>
      <w:r>
        <w:rPr>
          <w:spacing w:val="-2"/>
          <w:sz w:val="18"/>
        </w:rPr>
        <w:t> </w:t>
      </w:r>
      <w:r>
        <w:rPr>
          <w:sz w:val="18"/>
        </w:rPr>
        <w:t>changed</w:t>
      </w:r>
      <w:r>
        <w:rPr>
          <w:spacing w:val="-1"/>
          <w:sz w:val="18"/>
        </w:rPr>
        <w:t> </w:t>
      </w:r>
      <w:r>
        <w:rPr>
          <w:sz w:val="18"/>
        </w:rPr>
        <w:t>following</w:t>
      </w:r>
      <w:r>
        <w:rPr>
          <w:spacing w:val="-2"/>
          <w:sz w:val="18"/>
        </w:rPr>
        <w:t> </w:t>
      </w:r>
      <w:r>
        <w:rPr>
          <w:sz w:val="18"/>
        </w:rPr>
        <w:t>the</w:t>
      </w:r>
      <w:r>
        <w:rPr>
          <w:spacing w:val="-2"/>
          <w:sz w:val="18"/>
        </w:rPr>
        <w:t> </w:t>
      </w:r>
      <w:r>
        <w:rPr>
          <w:sz w:val="18"/>
        </w:rPr>
        <w:t>HCH implementation?</w:t>
      </w:r>
    </w:p>
    <w:p>
      <w:pPr>
        <w:pStyle w:val="BodyText"/>
      </w:pPr>
    </w:p>
    <w:p>
      <w:pPr>
        <w:pStyle w:val="BodyText"/>
        <w:spacing w:before="3"/>
        <w:rPr>
          <w:sz w:val="19"/>
        </w:rPr>
      </w:pPr>
      <w:r>
        <w:rPr/>
        <w:pict>
          <v:rect style="position:absolute;margin-left:34.560001pt;margin-top:13.03375pt;width:526.3pt;height:.48001pt;mso-position-horizontal-relative:page;mso-position-vertical-relative:paragraph;z-index:-15640576;mso-wrap-distance-left:0;mso-wrap-distance-right:0" id="docshape152" filled="true" fillcolor="#d9d9d9" stroked="false">
            <v:fill type="solid"/>
            <w10:wrap type="topAndBottom"/>
          </v:rect>
        </w:pict>
      </w:r>
    </w:p>
    <w:p>
      <w:pPr>
        <w:pStyle w:val="BodyText"/>
        <w:spacing w:before="2"/>
        <w:rPr>
          <w:sz w:val="8"/>
        </w:rPr>
      </w:pPr>
    </w:p>
    <w:p>
      <w:pPr>
        <w:pStyle w:val="ListParagraph"/>
        <w:numPr>
          <w:ilvl w:val="0"/>
          <w:numId w:val="43"/>
        </w:numPr>
        <w:tabs>
          <w:tab w:pos="424" w:val="left" w:leader="none"/>
        </w:tabs>
        <w:spacing w:line="240" w:lineRule="auto" w:before="100" w:after="0"/>
        <w:ind w:left="423" w:right="706" w:hanging="284"/>
        <w:jc w:val="left"/>
        <w:rPr>
          <w:sz w:val="18"/>
        </w:rPr>
      </w:pPr>
      <w:r>
        <w:rPr>
          <w:sz w:val="18"/>
        </w:rPr>
        <w:t>What</w:t>
      </w:r>
      <w:r>
        <w:rPr>
          <w:spacing w:val="-6"/>
          <w:sz w:val="18"/>
        </w:rPr>
        <w:t> </w:t>
      </w:r>
      <w:r>
        <w:rPr>
          <w:sz w:val="18"/>
        </w:rPr>
        <w:t>are most</w:t>
      </w:r>
      <w:r>
        <w:rPr>
          <w:spacing w:val="-5"/>
          <w:sz w:val="18"/>
        </w:rPr>
        <w:t> </w:t>
      </w:r>
      <w:r>
        <w:rPr>
          <w:sz w:val="18"/>
        </w:rPr>
        <w:t>important</w:t>
      </w:r>
      <w:r>
        <w:rPr>
          <w:spacing w:val="-5"/>
          <w:sz w:val="18"/>
        </w:rPr>
        <w:t> </w:t>
      </w:r>
      <w:r>
        <w:rPr>
          <w:sz w:val="18"/>
        </w:rPr>
        <w:t>improvements</w:t>
      </w:r>
      <w:r>
        <w:rPr>
          <w:spacing w:val="-4"/>
          <w:sz w:val="18"/>
        </w:rPr>
        <w:t> </w:t>
      </w:r>
      <w:r>
        <w:rPr>
          <w:sz w:val="18"/>
        </w:rPr>
        <w:t>in</w:t>
      </w:r>
      <w:r>
        <w:rPr>
          <w:spacing w:val="-5"/>
          <w:sz w:val="18"/>
        </w:rPr>
        <w:t> </w:t>
      </w:r>
      <w:r>
        <w:rPr>
          <w:sz w:val="18"/>
        </w:rPr>
        <w:t>clinical</w:t>
      </w:r>
      <w:r>
        <w:rPr>
          <w:spacing w:val="-5"/>
          <w:sz w:val="18"/>
        </w:rPr>
        <w:t> </w:t>
      </w:r>
      <w:r>
        <w:rPr>
          <w:sz w:val="18"/>
        </w:rPr>
        <w:t>care/</w:t>
      </w:r>
      <w:r>
        <w:rPr>
          <w:spacing w:val="-6"/>
          <w:sz w:val="18"/>
        </w:rPr>
        <w:t> </w:t>
      </w:r>
      <w:r>
        <w:rPr>
          <w:sz w:val="18"/>
        </w:rPr>
        <w:t>chronic</w:t>
      </w:r>
      <w:r>
        <w:rPr>
          <w:spacing w:val="-3"/>
          <w:sz w:val="18"/>
        </w:rPr>
        <w:t> </w:t>
      </w:r>
      <w:r>
        <w:rPr>
          <w:sz w:val="18"/>
        </w:rPr>
        <w:t>disease</w:t>
      </w:r>
      <w:r>
        <w:rPr>
          <w:spacing w:val="-3"/>
          <w:sz w:val="18"/>
        </w:rPr>
        <w:t> </w:t>
      </w:r>
      <w:r>
        <w:rPr>
          <w:sz w:val="18"/>
        </w:rPr>
        <w:t>management</w:t>
      </w:r>
      <w:r>
        <w:rPr>
          <w:spacing w:val="-5"/>
          <w:sz w:val="18"/>
        </w:rPr>
        <w:t> </w:t>
      </w:r>
      <w:r>
        <w:rPr>
          <w:sz w:val="18"/>
        </w:rPr>
        <w:t>that</w:t>
      </w:r>
      <w:r>
        <w:rPr>
          <w:spacing w:val="-5"/>
          <w:sz w:val="18"/>
        </w:rPr>
        <w:t> </w:t>
      </w:r>
      <w:r>
        <w:rPr>
          <w:sz w:val="18"/>
        </w:rPr>
        <w:t>your</w:t>
      </w:r>
      <w:r>
        <w:rPr>
          <w:spacing w:val="-3"/>
          <w:sz w:val="18"/>
        </w:rPr>
        <w:t> </w:t>
      </w:r>
      <w:r>
        <w:rPr>
          <w:sz w:val="18"/>
        </w:rPr>
        <w:t>practice/</w:t>
      </w:r>
      <w:r>
        <w:rPr>
          <w:spacing w:val="-4"/>
          <w:sz w:val="18"/>
        </w:rPr>
        <w:t> </w:t>
      </w:r>
      <w:r>
        <w:rPr>
          <w:sz w:val="18"/>
        </w:rPr>
        <w:t>service</w:t>
      </w:r>
      <w:r>
        <w:rPr>
          <w:spacing w:val="1"/>
          <w:sz w:val="18"/>
        </w:rPr>
        <w:t> </w:t>
      </w:r>
      <w:r>
        <w:rPr>
          <w:sz w:val="18"/>
        </w:rPr>
        <w:t>has</w:t>
      </w:r>
      <w:r>
        <w:rPr>
          <w:spacing w:val="-2"/>
          <w:sz w:val="18"/>
        </w:rPr>
        <w:t> </w:t>
      </w:r>
      <w:r>
        <w:rPr>
          <w:sz w:val="18"/>
        </w:rPr>
        <w:t>decided</w:t>
      </w:r>
      <w:r>
        <w:rPr>
          <w:spacing w:val="-1"/>
          <w:sz w:val="18"/>
        </w:rPr>
        <w:t> </w:t>
      </w:r>
      <w:r>
        <w:rPr>
          <w:sz w:val="18"/>
        </w:rPr>
        <w:t>to</w:t>
      </w:r>
      <w:r>
        <w:rPr>
          <w:spacing w:val="-1"/>
          <w:sz w:val="18"/>
        </w:rPr>
        <w:t> </w:t>
      </w:r>
      <w:r>
        <w:rPr>
          <w:sz w:val="18"/>
        </w:rPr>
        <w:t>focus</w:t>
      </w:r>
      <w:r>
        <w:rPr>
          <w:spacing w:val="-1"/>
          <w:sz w:val="18"/>
        </w:rPr>
        <w:t> </w:t>
      </w:r>
      <w:r>
        <w:rPr>
          <w:sz w:val="18"/>
        </w:rPr>
        <w:t>on</w:t>
      </w:r>
      <w:r>
        <w:rPr>
          <w:spacing w:val="-3"/>
          <w:sz w:val="18"/>
        </w:rPr>
        <w:t> </w:t>
      </w:r>
      <w:r>
        <w:rPr>
          <w:sz w:val="18"/>
        </w:rPr>
        <w:t>as</w:t>
      </w:r>
      <w:r>
        <w:rPr>
          <w:spacing w:val="-1"/>
          <w:sz w:val="18"/>
        </w:rPr>
        <w:t> </w:t>
      </w:r>
      <w:r>
        <w:rPr>
          <w:sz w:val="18"/>
        </w:rPr>
        <w:t>part</w:t>
      </w:r>
      <w:r>
        <w:rPr>
          <w:spacing w:val="-2"/>
          <w:sz w:val="18"/>
        </w:rPr>
        <w:t> </w:t>
      </w:r>
      <w:r>
        <w:rPr>
          <w:sz w:val="18"/>
        </w:rPr>
        <w:t>of</w:t>
      </w:r>
      <w:r>
        <w:rPr>
          <w:spacing w:val="1"/>
          <w:sz w:val="18"/>
        </w:rPr>
        <w:t> </w:t>
      </w:r>
      <w:r>
        <w:rPr>
          <w:sz w:val="18"/>
        </w:rPr>
        <w:t>the HCH</w:t>
      </w:r>
      <w:r>
        <w:rPr>
          <w:spacing w:val="-2"/>
          <w:sz w:val="18"/>
        </w:rPr>
        <w:t> </w:t>
      </w:r>
      <w:r>
        <w:rPr>
          <w:sz w:val="18"/>
        </w:rPr>
        <w:t>program</w:t>
      </w:r>
      <w:r>
        <w:rPr>
          <w:spacing w:val="-4"/>
          <w:sz w:val="18"/>
        </w:rPr>
        <w:t> </w:t>
      </w:r>
      <w:r>
        <w:rPr>
          <w:sz w:val="18"/>
        </w:rPr>
        <w:t>implementation?</w:t>
      </w:r>
    </w:p>
    <w:p>
      <w:pPr>
        <w:pStyle w:val="BodyText"/>
        <w:spacing w:before="4"/>
        <w:rPr>
          <w:sz w:val="16"/>
        </w:rPr>
      </w:pPr>
    </w:p>
    <w:tbl>
      <w:tblPr>
        <w:tblW w:w="0" w:type="auto"/>
        <w:jc w:val="left"/>
        <w:tblInd w:w="1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424"/>
        <w:gridCol w:w="3323"/>
        <w:gridCol w:w="1888"/>
        <w:gridCol w:w="3431"/>
      </w:tblGrid>
      <w:tr>
        <w:trPr>
          <w:trHeight w:val="1101" w:hRule="atLeast"/>
        </w:trPr>
        <w:tc>
          <w:tcPr>
            <w:tcW w:w="1424" w:type="dxa"/>
            <w:vMerge w:val="restart"/>
            <w:shd w:val="clear" w:color="auto" w:fill="F1F1F1"/>
          </w:tcPr>
          <w:p>
            <w:pPr>
              <w:pStyle w:val="TableParagraph"/>
              <w:ind w:left="107" w:right="120"/>
              <w:rPr>
                <w:sz w:val="18"/>
              </w:rPr>
            </w:pPr>
            <w:r>
              <w:rPr>
                <w:spacing w:val="-1"/>
                <w:sz w:val="18"/>
              </w:rPr>
              <w:t>Improvement</w:t>
            </w:r>
            <w:r>
              <w:rPr>
                <w:spacing w:val="-47"/>
                <w:sz w:val="18"/>
              </w:rPr>
              <w:t> </w:t>
            </w:r>
            <w:r>
              <w:rPr>
                <w:sz w:val="18"/>
              </w:rPr>
              <w:t>Number</w:t>
            </w:r>
          </w:p>
        </w:tc>
        <w:tc>
          <w:tcPr>
            <w:tcW w:w="3323" w:type="dxa"/>
            <w:vMerge w:val="restart"/>
            <w:shd w:val="clear" w:color="auto" w:fill="F1F1F1"/>
          </w:tcPr>
          <w:p>
            <w:pPr>
              <w:pStyle w:val="TableParagraph"/>
              <w:ind w:left="188" w:right="186" w:firstLine="2"/>
              <w:jc w:val="center"/>
              <w:rPr>
                <w:sz w:val="18"/>
              </w:rPr>
            </w:pPr>
            <w:r>
              <w:rPr>
                <w:sz w:val="18"/>
              </w:rPr>
              <w:t>Description of</w:t>
            </w:r>
            <w:r>
              <w:rPr>
                <w:spacing w:val="1"/>
                <w:sz w:val="18"/>
              </w:rPr>
              <w:t> </w:t>
            </w:r>
            <w:r>
              <w:rPr>
                <w:sz w:val="18"/>
              </w:rPr>
              <w:t>improvement/initiative/change:</w:t>
            </w:r>
            <w:r>
              <w:rPr>
                <w:spacing w:val="1"/>
                <w:sz w:val="18"/>
              </w:rPr>
              <w:t> </w:t>
            </w:r>
            <w:r>
              <w:rPr>
                <w:sz w:val="18"/>
              </w:rPr>
              <w:t>Include a name (if you have one)</w:t>
            </w:r>
            <w:r>
              <w:rPr>
                <w:spacing w:val="-48"/>
                <w:sz w:val="18"/>
              </w:rPr>
              <w:t> </w:t>
            </w:r>
            <w:r>
              <w:rPr>
                <w:sz w:val="18"/>
              </w:rPr>
              <w:t>and description of the</w:t>
            </w:r>
            <w:r>
              <w:rPr>
                <w:spacing w:val="1"/>
                <w:sz w:val="18"/>
              </w:rPr>
              <w:t> </w:t>
            </w:r>
            <w:r>
              <w:rPr>
                <w:sz w:val="18"/>
              </w:rPr>
              <w:t>improvement</w:t>
            </w:r>
          </w:p>
        </w:tc>
        <w:tc>
          <w:tcPr>
            <w:tcW w:w="1888" w:type="dxa"/>
            <w:tcBorders>
              <w:bottom w:val="single" w:sz="6" w:space="0" w:color="BEBEBE"/>
            </w:tcBorders>
            <w:shd w:val="clear" w:color="auto" w:fill="F1F1F1"/>
          </w:tcPr>
          <w:p>
            <w:pPr>
              <w:pStyle w:val="TableParagraph"/>
              <w:spacing w:line="220" w:lineRule="exact"/>
              <w:ind w:left="159" w:right="152"/>
              <w:jc w:val="center"/>
              <w:rPr>
                <w:sz w:val="18"/>
              </w:rPr>
            </w:pPr>
            <w:r>
              <w:rPr>
                <w:sz w:val="18"/>
              </w:rPr>
              <w:t>Were you working</w:t>
            </w:r>
            <w:r>
              <w:rPr>
                <w:spacing w:val="-47"/>
                <w:sz w:val="18"/>
              </w:rPr>
              <w:t> </w:t>
            </w:r>
            <w:r>
              <w:rPr>
                <w:sz w:val="18"/>
              </w:rPr>
              <w:t>on this improve-</w:t>
            </w:r>
            <w:r>
              <w:rPr>
                <w:spacing w:val="1"/>
                <w:sz w:val="18"/>
              </w:rPr>
              <w:t> </w:t>
            </w:r>
            <w:r>
              <w:rPr>
                <w:sz w:val="18"/>
              </w:rPr>
              <w:t>ment prior to HCH</w:t>
            </w:r>
            <w:r>
              <w:rPr>
                <w:spacing w:val="-47"/>
                <w:sz w:val="18"/>
              </w:rPr>
              <w:t> </w:t>
            </w:r>
            <w:r>
              <w:rPr>
                <w:sz w:val="18"/>
              </w:rPr>
              <w:t>starting in this</w:t>
            </w:r>
            <w:r>
              <w:rPr>
                <w:spacing w:val="1"/>
                <w:sz w:val="18"/>
              </w:rPr>
              <w:t> </w:t>
            </w:r>
            <w:r>
              <w:rPr>
                <w:sz w:val="18"/>
              </w:rPr>
              <w:t>practice?</w:t>
            </w:r>
          </w:p>
        </w:tc>
        <w:tc>
          <w:tcPr>
            <w:tcW w:w="3431" w:type="dxa"/>
            <w:vMerge w:val="restart"/>
            <w:shd w:val="clear" w:color="auto" w:fill="F1F1F1"/>
          </w:tcPr>
          <w:p>
            <w:pPr>
              <w:pStyle w:val="TableParagraph"/>
              <w:ind w:left="136" w:right="130" w:hanging="5"/>
              <w:jc w:val="center"/>
              <w:rPr>
                <w:sz w:val="18"/>
              </w:rPr>
            </w:pPr>
            <w:r>
              <w:rPr>
                <w:sz w:val="18"/>
              </w:rPr>
              <w:t>What measures have you identified</w:t>
            </w:r>
            <w:r>
              <w:rPr>
                <w:spacing w:val="1"/>
                <w:sz w:val="18"/>
              </w:rPr>
              <w:t> </w:t>
            </w:r>
            <w:r>
              <w:rPr>
                <w:sz w:val="18"/>
              </w:rPr>
              <w:t>to track changes occurring from this</w:t>
            </w:r>
            <w:r>
              <w:rPr>
                <w:spacing w:val="-47"/>
                <w:sz w:val="18"/>
              </w:rPr>
              <w:t> </w:t>
            </w:r>
            <w:r>
              <w:rPr>
                <w:sz w:val="18"/>
              </w:rPr>
              <w:t>improvement/initiative</w:t>
            </w:r>
            <w:r>
              <w:rPr>
                <w:spacing w:val="-2"/>
                <w:sz w:val="18"/>
              </w:rPr>
              <w:t> </w:t>
            </w:r>
            <w:r>
              <w:rPr>
                <w:sz w:val="18"/>
              </w:rPr>
              <w:t>change?</w:t>
            </w:r>
          </w:p>
        </w:tc>
      </w:tr>
      <w:tr>
        <w:trPr>
          <w:trHeight w:val="218" w:hRule="atLeast"/>
        </w:trPr>
        <w:tc>
          <w:tcPr>
            <w:tcW w:w="1424" w:type="dxa"/>
            <w:vMerge/>
            <w:tcBorders>
              <w:top w:val="nil"/>
            </w:tcBorders>
            <w:shd w:val="clear" w:color="auto" w:fill="F1F1F1"/>
          </w:tcPr>
          <w:p>
            <w:pPr>
              <w:rPr>
                <w:sz w:val="2"/>
                <w:szCs w:val="2"/>
              </w:rPr>
            </w:pPr>
          </w:p>
        </w:tc>
        <w:tc>
          <w:tcPr>
            <w:tcW w:w="3323" w:type="dxa"/>
            <w:vMerge/>
            <w:tcBorders>
              <w:top w:val="nil"/>
            </w:tcBorders>
            <w:shd w:val="clear" w:color="auto" w:fill="F1F1F1"/>
          </w:tcPr>
          <w:p>
            <w:pPr>
              <w:rPr>
                <w:sz w:val="2"/>
                <w:szCs w:val="2"/>
              </w:rPr>
            </w:pPr>
          </w:p>
        </w:tc>
        <w:tc>
          <w:tcPr>
            <w:tcW w:w="1888" w:type="dxa"/>
            <w:tcBorders>
              <w:top w:val="single" w:sz="6" w:space="0" w:color="BEBEBE"/>
            </w:tcBorders>
            <w:shd w:val="clear" w:color="auto" w:fill="F1F1F1"/>
          </w:tcPr>
          <w:p>
            <w:pPr>
              <w:pStyle w:val="TableParagraph"/>
              <w:spacing w:line="198" w:lineRule="exact"/>
              <w:ind w:left="155" w:right="152"/>
              <w:jc w:val="center"/>
              <w:rPr>
                <w:sz w:val="18"/>
              </w:rPr>
            </w:pPr>
            <w:r>
              <w:rPr>
                <w:sz w:val="18"/>
              </w:rPr>
              <w:t>Yes</w:t>
            </w:r>
          </w:p>
        </w:tc>
        <w:tc>
          <w:tcPr>
            <w:tcW w:w="3431" w:type="dxa"/>
            <w:vMerge/>
            <w:tcBorders>
              <w:top w:val="nil"/>
            </w:tcBorders>
            <w:shd w:val="clear" w:color="auto" w:fill="F1F1F1"/>
          </w:tcPr>
          <w:p>
            <w:pPr>
              <w:rPr>
                <w:sz w:val="2"/>
                <w:szCs w:val="2"/>
              </w:rPr>
            </w:pPr>
          </w:p>
        </w:tc>
      </w:tr>
      <w:tr>
        <w:trPr>
          <w:trHeight w:val="244" w:hRule="atLeast"/>
        </w:trPr>
        <w:tc>
          <w:tcPr>
            <w:tcW w:w="1424" w:type="dxa"/>
          </w:tcPr>
          <w:p>
            <w:pPr>
              <w:pStyle w:val="TableParagraph"/>
              <w:spacing w:line="224" w:lineRule="exact"/>
              <w:ind w:left="107"/>
              <w:rPr>
                <w:sz w:val="20"/>
              </w:rPr>
            </w:pPr>
            <w:r>
              <w:rPr>
                <w:w w:val="99"/>
                <w:sz w:val="20"/>
              </w:rPr>
              <w:t>1</w:t>
            </w:r>
          </w:p>
        </w:tc>
        <w:tc>
          <w:tcPr>
            <w:tcW w:w="3323" w:type="dxa"/>
          </w:tcPr>
          <w:p>
            <w:pPr>
              <w:pStyle w:val="TableParagraph"/>
              <w:rPr>
                <w:rFonts w:ascii="Times New Roman"/>
                <w:sz w:val="16"/>
              </w:rPr>
            </w:pPr>
          </w:p>
        </w:tc>
        <w:tc>
          <w:tcPr>
            <w:tcW w:w="1888" w:type="dxa"/>
          </w:tcPr>
          <w:p>
            <w:pPr>
              <w:pStyle w:val="TableParagraph"/>
              <w:spacing w:before="7"/>
              <w:rPr>
                <w:sz w:val="5"/>
              </w:rPr>
            </w:pPr>
          </w:p>
          <w:p>
            <w:pPr>
              <w:pStyle w:val="TableParagraph"/>
              <w:spacing w:line="112" w:lineRule="exact"/>
              <w:ind w:left="1279"/>
              <w:rPr>
                <w:sz w:val="11"/>
              </w:rPr>
            </w:pPr>
            <w:r>
              <w:rPr>
                <w:position w:val="-1"/>
                <w:sz w:val="11"/>
              </w:rPr>
              <w:drawing>
                <wp:inline distT="0" distB="0" distL="0" distR="0">
                  <wp:extent cx="57802" cy="71437"/>
                  <wp:effectExtent l="0" t="0" r="0" b="0"/>
                  <wp:docPr id="729" name="image13.png"/>
                  <wp:cNvGraphicFramePr>
                    <a:graphicFrameLocks noChangeAspect="1"/>
                  </wp:cNvGraphicFramePr>
                  <a:graphic>
                    <a:graphicData uri="http://schemas.openxmlformats.org/drawingml/2006/picture">
                      <pic:pic>
                        <pic:nvPicPr>
                          <pic:cNvPr id="730"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3431" w:type="dxa"/>
          </w:tcPr>
          <w:p>
            <w:pPr>
              <w:pStyle w:val="TableParagraph"/>
              <w:rPr>
                <w:rFonts w:ascii="Times New Roman"/>
                <w:sz w:val="16"/>
              </w:rPr>
            </w:pPr>
          </w:p>
        </w:tc>
      </w:tr>
      <w:tr>
        <w:trPr>
          <w:trHeight w:val="246" w:hRule="atLeast"/>
        </w:trPr>
        <w:tc>
          <w:tcPr>
            <w:tcW w:w="1424" w:type="dxa"/>
          </w:tcPr>
          <w:p>
            <w:pPr>
              <w:pStyle w:val="TableParagraph"/>
              <w:spacing w:line="224" w:lineRule="exact" w:before="2"/>
              <w:ind w:left="107"/>
              <w:rPr>
                <w:sz w:val="20"/>
              </w:rPr>
            </w:pPr>
            <w:r>
              <w:rPr>
                <w:w w:val="99"/>
                <w:sz w:val="20"/>
              </w:rPr>
              <w:t>2</w:t>
            </w:r>
          </w:p>
        </w:tc>
        <w:tc>
          <w:tcPr>
            <w:tcW w:w="3323" w:type="dxa"/>
          </w:tcPr>
          <w:p>
            <w:pPr>
              <w:pStyle w:val="TableParagraph"/>
              <w:rPr>
                <w:rFonts w:ascii="Times New Roman"/>
                <w:sz w:val="16"/>
              </w:rPr>
            </w:pPr>
          </w:p>
        </w:tc>
        <w:tc>
          <w:tcPr>
            <w:tcW w:w="1888" w:type="dxa"/>
          </w:tcPr>
          <w:p>
            <w:pPr>
              <w:pStyle w:val="TableParagraph"/>
              <w:spacing w:before="6"/>
              <w:rPr>
                <w:sz w:val="5"/>
              </w:rPr>
            </w:pPr>
          </w:p>
          <w:p>
            <w:pPr>
              <w:pStyle w:val="TableParagraph"/>
              <w:spacing w:line="115" w:lineRule="exact"/>
              <w:ind w:left="1279"/>
              <w:rPr>
                <w:sz w:val="11"/>
              </w:rPr>
            </w:pPr>
            <w:r>
              <w:rPr>
                <w:position w:val="-1"/>
                <w:sz w:val="11"/>
              </w:rPr>
              <w:drawing>
                <wp:inline distT="0" distB="0" distL="0" distR="0">
                  <wp:extent cx="57814" cy="73151"/>
                  <wp:effectExtent l="0" t="0" r="0" b="0"/>
                  <wp:docPr id="731" name="image14.png"/>
                  <wp:cNvGraphicFramePr>
                    <a:graphicFrameLocks noChangeAspect="1"/>
                  </wp:cNvGraphicFramePr>
                  <a:graphic>
                    <a:graphicData uri="http://schemas.openxmlformats.org/drawingml/2006/picture">
                      <pic:pic>
                        <pic:nvPicPr>
                          <pic:cNvPr id="732" name="image14.png"/>
                          <pic:cNvPicPr/>
                        </pic:nvPicPr>
                        <pic:blipFill>
                          <a:blip r:embed="rId43" cstate="print"/>
                          <a:stretch>
                            <a:fillRect/>
                          </a:stretch>
                        </pic:blipFill>
                        <pic:spPr>
                          <a:xfrm>
                            <a:off x="0" y="0"/>
                            <a:ext cx="57814" cy="73151"/>
                          </a:xfrm>
                          <a:prstGeom prst="rect">
                            <a:avLst/>
                          </a:prstGeom>
                        </pic:spPr>
                      </pic:pic>
                    </a:graphicData>
                  </a:graphic>
                </wp:inline>
              </w:drawing>
            </w:r>
            <w:r>
              <w:rPr>
                <w:position w:val="-1"/>
                <w:sz w:val="11"/>
              </w:rPr>
            </w:r>
          </w:p>
        </w:tc>
        <w:tc>
          <w:tcPr>
            <w:tcW w:w="3431" w:type="dxa"/>
          </w:tcPr>
          <w:p>
            <w:pPr>
              <w:pStyle w:val="TableParagraph"/>
              <w:rPr>
                <w:rFonts w:ascii="Times New Roman"/>
                <w:sz w:val="16"/>
              </w:rPr>
            </w:pPr>
          </w:p>
        </w:tc>
      </w:tr>
      <w:tr>
        <w:trPr>
          <w:trHeight w:val="244" w:hRule="atLeast"/>
        </w:trPr>
        <w:tc>
          <w:tcPr>
            <w:tcW w:w="1424" w:type="dxa"/>
          </w:tcPr>
          <w:p>
            <w:pPr>
              <w:pStyle w:val="TableParagraph"/>
              <w:spacing w:line="224" w:lineRule="exact"/>
              <w:ind w:left="107"/>
              <w:rPr>
                <w:sz w:val="20"/>
              </w:rPr>
            </w:pPr>
            <w:r>
              <w:rPr>
                <w:w w:val="99"/>
                <w:sz w:val="20"/>
              </w:rPr>
              <w:t>3</w:t>
            </w:r>
          </w:p>
        </w:tc>
        <w:tc>
          <w:tcPr>
            <w:tcW w:w="3323" w:type="dxa"/>
          </w:tcPr>
          <w:p>
            <w:pPr>
              <w:pStyle w:val="TableParagraph"/>
              <w:rPr>
                <w:rFonts w:ascii="Times New Roman"/>
                <w:sz w:val="16"/>
              </w:rPr>
            </w:pPr>
          </w:p>
        </w:tc>
        <w:tc>
          <w:tcPr>
            <w:tcW w:w="1888" w:type="dxa"/>
          </w:tcPr>
          <w:p>
            <w:pPr>
              <w:pStyle w:val="TableParagraph"/>
              <w:spacing w:before="7"/>
              <w:rPr>
                <w:sz w:val="5"/>
              </w:rPr>
            </w:pPr>
          </w:p>
          <w:p>
            <w:pPr>
              <w:pStyle w:val="TableParagraph"/>
              <w:spacing w:line="112" w:lineRule="exact"/>
              <w:ind w:left="1279"/>
              <w:rPr>
                <w:sz w:val="11"/>
              </w:rPr>
            </w:pPr>
            <w:r>
              <w:rPr>
                <w:position w:val="-1"/>
                <w:sz w:val="11"/>
              </w:rPr>
              <w:drawing>
                <wp:inline distT="0" distB="0" distL="0" distR="0">
                  <wp:extent cx="57802" cy="71437"/>
                  <wp:effectExtent l="0" t="0" r="0" b="0"/>
                  <wp:docPr id="733" name="image13.png"/>
                  <wp:cNvGraphicFramePr>
                    <a:graphicFrameLocks noChangeAspect="1"/>
                  </wp:cNvGraphicFramePr>
                  <a:graphic>
                    <a:graphicData uri="http://schemas.openxmlformats.org/drawingml/2006/picture">
                      <pic:pic>
                        <pic:nvPicPr>
                          <pic:cNvPr id="734"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3431" w:type="dxa"/>
          </w:tcPr>
          <w:p>
            <w:pPr>
              <w:pStyle w:val="TableParagraph"/>
              <w:rPr>
                <w:rFonts w:ascii="Times New Roman"/>
                <w:sz w:val="16"/>
              </w:rPr>
            </w:pPr>
          </w:p>
        </w:tc>
      </w:tr>
      <w:tr>
        <w:trPr>
          <w:trHeight w:val="244" w:hRule="atLeast"/>
        </w:trPr>
        <w:tc>
          <w:tcPr>
            <w:tcW w:w="1424" w:type="dxa"/>
          </w:tcPr>
          <w:p>
            <w:pPr>
              <w:pStyle w:val="TableParagraph"/>
              <w:spacing w:line="224" w:lineRule="exact"/>
              <w:ind w:left="107"/>
              <w:rPr>
                <w:sz w:val="20"/>
              </w:rPr>
            </w:pPr>
            <w:r>
              <w:rPr>
                <w:w w:val="99"/>
                <w:sz w:val="20"/>
              </w:rPr>
              <w:t>4</w:t>
            </w:r>
          </w:p>
        </w:tc>
        <w:tc>
          <w:tcPr>
            <w:tcW w:w="3323" w:type="dxa"/>
          </w:tcPr>
          <w:p>
            <w:pPr>
              <w:pStyle w:val="TableParagraph"/>
              <w:rPr>
                <w:rFonts w:ascii="Times New Roman"/>
                <w:sz w:val="16"/>
              </w:rPr>
            </w:pPr>
          </w:p>
        </w:tc>
        <w:tc>
          <w:tcPr>
            <w:tcW w:w="1888" w:type="dxa"/>
          </w:tcPr>
          <w:p>
            <w:pPr>
              <w:pStyle w:val="TableParagraph"/>
              <w:spacing w:before="6"/>
              <w:rPr>
                <w:sz w:val="5"/>
              </w:rPr>
            </w:pPr>
          </w:p>
          <w:p>
            <w:pPr>
              <w:pStyle w:val="TableParagraph"/>
              <w:spacing w:line="115" w:lineRule="exact"/>
              <w:ind w:left="1279"/>
              <w:rPr>
                <w:sz w:val="11"/>
              </w:rPr>
            </w:pPr>
            <w:r>
              <w:rPr>
                <w:position w:val="-1"/>
                <w:sz w:val="11"/>
              </w:rPr>
              <w:drawing>
                <wp:inline distT="0" distB="0" distL="0" distR="0">
                  <wp:extent cx="57814" cy="73151"/>
                  <wp:effectExtent l="0" t="0" r="0" b="0"/>
                  <wp:docPr id="735" name="image14.png"/>
                  <wp:cNvGraphicFramePr>
                    <a:graphicFrameLocks noChangeAspect="1"/>
                  </wp:cNvGraphicFramePr>
                  <a:graphic>
                    <a:graphicData uri="http://schemas.openxmlformats.org/drawingml/2006/picture">
                      <pic:pic>
                        <pic:nvPicPr>
                          <pic:cNvPr id="736" name="image14.png"/>
                          <pic:cNvPicPr/>
                        </pic:nvPicPr>
                        <pic:blipFill>
                          <a:blip r:embed="rId43" cstate="print"/>
                          <a:stretch>
                            <a:fillRect/>
                          </a:stretch>
                        </pic:blipFill>
                        <pic:spPr>
                          <a:xfrm>
                            <a:off x="0" y="0"/>
                            <a:ext cx="57814" cy="73151"/>
                          </a:xfrm>
                          <a:prstGeom prst="rect">
                            <a:avLst/>
                          </a:prstGeom>
                        </pic:spPr>
                      </pic:pic>
                    </a:graphicData>
                  </a:graphic>
                </wp:inline>
              </w:drawing>
            </w:r>
            <w:r>
              <w:rPr>
                <w:position w:val="-1"/>
                <w:sz w:val="11"/>
              </w:rPr>
            </w:r>
          </w:p>
        </w:tc>
        <w:tc>
          <w:tcPr>
            <w:tcW w:w="3431" w:type="dxa"/>
          </w:tcPr>
          <w:p>
            <w:pPr>
              <w:pStyle w:val="TableParagraph"/>
              <w:rPr>
                <w:rFonts w:ascii="Times New Roman"/>
                <w:sz w:val="16"/>
              </w:rPr>
            </w:pPr>
          </w:p>
        </w:tc>
      </w:tr>
      <w:tr>
        <w:trPr>
          <w:trHeight w:val="246" w:hRule="atLeast"/>
        </w:trPr>
        <w:tc>
          <w:tcPr>
            <w:tcW w:w="1424" w:type="dxa"/>
          </w:tcPr>
          <w:p>
            <w:pPr>
              <w:pStyle w:val="TableParagraph"/>
              <w:spacing w:line="224" w:lineRule="exact" w:before="2"/>
              <w:ind w:left="107"/>
              <w:rPr>
                <w:sz w:val="20"/>
              </w:rPr>
            </w:pPr>
            <w:r>
              <w:rPr>
                <w:w w:val="99"/>
                <w:sz w:val="20"/>
              </w:rPr>
              <w:t>5</w:t>
            </w:r>
          </w:p>
        </w:tc>
        <w:tc>
          <w:tcPr>
            <w:tcW w:w="3323" w:type="dxa"/>
          </w:tcPr>
          <w:p>
            <w:pPr>
              <w:pStyle w:val="TableParagraph"/>
              <w:rPr>
                <w:rFonts w:ascii="Times New Roman"/>
                <w:sz w:val="16"/>
              </w:rPr>
            </w:pPr>
          </w:p>
        </w:tc>
        <w:tc>
          <w:tcPr>
            <w:tcW w:w="1888" w:type="dxa"/>
          </w:tcPr>
          <w:p>
            <w:pPr>
              <w:pStyle w:val="TableParagraph"/>
              <w:spacing w:before="9"/>
              <w:rPr>
                <w:sz w:val="5"/>
              </w:rPr>
            </w:pPr>
          </w:p>
          <w:p>
            <w:pPr>
              <w:pStyle w:val="TableParagraph"/>
              <w:spacing w:line="112" w:lineRule="exact"/>
              <w:ind w:left="1279"/>
              <w:rPr>
                <w:sz w:val="11"/>
              </w:rPr>
            </w:pPr>
            <w:r>
              <w:rPr>
                <w:position w:val="-1"/>
                <w:sz w:val="11"/>
              </w:rPr>
              <w:drawing>
                <wp:inline distT="0" distB="0" distL="0" distR="0">
                  <wp:extent cx="57802" cy="71437"/>
                  <wp:effectExtent l="0" t="0" r="0" b="0"/>
                  <wp:docPr id="737" name="image13.png"/>
                  <wp:cNvGraphicFramePr>
                    <a:graphicFrameLocks noChangeAspect="1"/>
                  </wp:cNvGraphicFramePr>
                  <a:graphic>
                    <a:graphicData uri="http://schemas.openxmlformats.org/drawingml/2006/picture">
                      <pic:pic>
                        <pic:nvPicPr>
                          <pic:cNvPr id="738"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3431" w:type="dxa"/>
          </w:tcPr>
          <w:p>
            <w:pPr>
              <w:pStyle w:val="TableParagraph"/>
              <w:rPr>
                <w:rFonts w:ascii="Times New Roman"/>
                <w:sz w:val="16"/>
              </w:rPr>
            </w:pPr>
          </w:p>
        </w:tc>
      </w:tr>
      <w:tr>
        <w:trPr>
          <w:trHeight w:val="244" w:hRule="atLeast"/>
        </w:trPr>
        <w:tc>
          <w:tcPr>
            <w:tcW w:w="1424" w:type="dxa"/>
          </w:tcPr>
          <w:p>
            <w:pPr>
              <w:pStyle w:val="TableParagraph"/>
              <w:spacing w:line="224" w:lineRule="exact"/>
              <w:ind w:left="107"/>
              <w:rPr>
                <w:sz w:val="20"/>
              </w:rPr>
            </w:pPr>
            <w:r>
              <w:rPr>
                <w:w w:val="99"/>
                <w:sz w:val="20"/>
              </w:rPr>
              <w:t>6</w:t>
            </w:r>
          </w:p>
        </w:tc>
        <w:tc>
          <w:tcPr>
            <w:tcW w:w="3323" w:type="dxa"/>
          </w:tcPr>
          <w:p>
            <w:pPr>
              <w:pStyle w:val="TableParagraph"/>
              <w:rPr>
                <w:rFonts w:ascii="Times New Roman"/>
                <w:sz w:val="16"/>
              </w:rPr>
            </w:pPr>
          </w:p>
        </w:tc>
        <w:tc>
          <w:tcPr>
            <w:tcW w:w="1888" w:type="dxa"/>
          </w:tcPr>
          <w:p>
            <w:pPr>
              <w:pStyle w:val="TableParagraph"/>
              <w:spacing w:before="6"/>
              <w:rPr>
                <w:sz w:val="5"/>
              </w:rPr>
            </w:pPr>
          </w:p>
          <w:p>
            <w:pPr>
              <w:pStyle w:val="TableParagraph"/>
              <w:spacing w:line="115" w:lineRule="exact"/>
              <w:ind w:left="1279"/>
              <w:rPr>
                <w:sz w:val="11"/>
              </w:rPr>
            </w:pPr>
            <w:r>
              <w:rPr>
                <w:position w:val="-1"/>
                <w:sz w:val="11"/>
              </w:rPr>
              <w:drawing>
                <wp:inline distT="0" distB="0" distL="0" distR="0">
                  <wp:extent cx="57814" cy="73151"/>
                  <wp:effectExtent l="0" t="0" r="0" b="0"/>
                  <wp:docPr id="739" name="image14.png"/>
                  <wp:cNvGraphicFramePr>
                    <a:graphicFrameLocks noChangeAspect="1"/>
                  </wp:cNvGraphicFramePr>
                  <a:graphic>
                    <a:graphicData uri="http://schemas.openxmlformats.org/drawingml/2006/picture">
                      <pic:pic>
                        <pic:nvPicPr>
                          <pic:cNvPr id="740" name="image14.png"/>
                          <pic:cNvPicPr/>
                        </pic:nvPicPr>
                        <pic:blipFill>
                          <a:blip r:embed="rId43" cstate="print"/>
                          <a:stretch>
                            <a:fillRect/>
                          </a:stretch>
                        </pic:blipFill>
                        <pic:spPr>
                          <a:xfrm>
                            <a:off x="0" y="0"/>
                            <a:ext cx="57814" cy="73151"/>
                          </a:xfrm>
                          <a:prstGeom prst="rect">
                            <a:avLst/>
                          </a:prstGeom>
                        </pic:spPr>
                      </pic:pic>
                    </a:graphicData>
                  </a:graphic>
                </wp:inline>
              </w:drawing>
            </w:r>
            <w:r>
              <w:rPr>
                <w:position w:val="-1"/>
                <w:sz w:val="11"/>
              </w:rPr>
            </w:r>
          </w:p>
        </w:tc>
        <w:tc>
          <w:tcPr>
            <w:tcW w:w="3431" w:type="dxa"/>
          </w:tcPr>
          <w:p>
            <w:pPr>
              <w:pStyle w:val="TableParagraph"/>
              <w:rPr>
                <w:rFonts w:ascii="Times New Roman"/>
                <w:sz w:val="16"/>
              </w:rPr>
            </w:pPr>
          </w:p>
        </w:tc>
      </w:tr>
    </w:tbl>
    <w:p>
      <w:pPr>
        <w:pStyle w:val="BodyText"/>
        <w:spacing w:before="3"/>
        <w:rPr>
          <w:sz w:val="23"/>
        </w:rPr>
      </w:pPr>
    </w:p>
    <w:p>
      <w:pPr>
        <w:pStyle w:val="ListParagraph"/>
        <w:numPr>
          <w:ilvl w:val="0"/>
          <w:numId w:val="43"/>
        </w:numPr>
        <w:tabs>
          <w:tab w:pos="424" w:val="left" w:leader="none"/>
        </w:tabs>
        <w:spacing w:line="240" w:lineRule="auto" w:before="0" w:after="0"/>
        <w:ind w:left="423" w:right="681" w:hanging="284"/>
        <w:jc w:val="left"/>
        <w:rPr>
          <w:sz w:val="18"/>
        </w:rPr>
      </w:pPr>
      <w:r>
        <w:rPr>
          <w:sz w:val="18"/>
        </w:rPr>
        <w:t>How would you rate the effectiveness of each of the online training modules there were available to prepare your</w:t>
      </w:r>
      <w:r>
        <w:rPr>
          <w:spacing w:val="-47"/>
          <w:sz w:val="18"/>
        </w:rPr>
        <w:t> </w:t>
      </w:r>
      <w:r>
        <w:rPr>
          <w:sz w:val="18"/>
        </w:rPr>
        <w:t>practice/service</w:t>
      </w:r>
      <w:r>
        <w:rPr>
          <w:spacing w:val="-1"/>
          <w:sz w:val="18"/>
        </w:rPr>
        <w:t> </w:t>
      </w:r>
      <w:r>
        <w:rPr>
          <w:sz w:val="18"/>
        </w:rPr>
        <w:t>for</w:t>
      </w:r>
      <w:r>
        <w:rPr>
          <w:spacing w:val="-1"/>
          <w:sz w:val="18"/>
        </w:rPr>
        <w:t> </w:t>
      </w:r>
      <w:r>
        <w:rPr>
          <w:sz w:val="18"/>
        </w:rPr>
        <w:t>implementing</w:t>
      </w:r>
      <w:r>
        <w:rPr>
          <w:spacing w:val="-2"/>
          <w:sz w:val="18"/>
        </w:rPr>
        <w:t> </w:t>
      </w:r>
      <w:r>
        <w:rPr>
          <w:sz w:val="18"/>
        </w:rPr>
        <w:t>HCH?</w:t>
      </w:r>
    </w:p>
    <w:p>
      <w:pPr>
        <w:pStyle w:val="BodyText"/>
        <w:spacing w:before="10"/>
        <w:rPr>
          <w:sz w:val="22"/>
        </w:rPr>
      </w:pPr>
    </w:p>
    <w:tbl>
      <w:tblPr>
        <w:tblW w:w="0" w:type="auto"/>
        <w:jc w:val="left"/>
        <w:tblInd w:w="1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258"/>
        <w:gridCol w:w="1359"/>
        <w:gridCol w:w="1477"/>
        <w:gridCol w:w="1263"/>
        <w:gridCol w:w="1362"/>
        <w:gridCol w:w="1361"/>
      </w:tblGrid>
      <w:tr>
        <w:trPr>
          <w:trHeight w:val="441" w:hRule="atLeast"/>
        </w:trPr>
        <w:tc>
          <w:tcPr>
            <w:tcW w:w="3258" w:type="dxa"/>
            <w:shd w:val="clear" w:color="auto" w:fill="F1F1F1"/>
          </w:tcPr>
          <w:p>
            <w:pPr>
              <w:pStyle w:val="TableParagraph"/>
              <w:spacing w:line="219" w:lineRule="exact"/>
              <w:ind w:left="107"/>
              <w:rPr>
                <w:sz w:val="18"/>
              </w:rPr>
            </w:pPr>
            <w:r>
              <w:rPr>
                <w:sz w:val="18"/>
              </w:rPr>
              <w:t>Module</w:t>
            </w:r>
          </w:p>
        </w:tc>
        <w:tc>
          <w:tcPr>
            <w:tcW w:w="1359" w:type="dxa"/>
            <w:shd w:val="clear" w:color="auto" w:fill="F1F1F1"/>
          </w:tcPr>
          <w:p>
            <w:pPr>
              <w:pStyle w:val="TableParagraph"/>
              <w:spacing w:line="220" w:lineRule="exact"/>
              <w:ind w:left="107" w:right="444"/>
              <w:rPr>
                <w:sz w:val="18"/>
              </w:rPr>
            </w:pPr>
            <w:r>
              <w:rPr>
                <w:sz w:val="18"/>
              </w:rPr>
              <w:t>1. Very</w:t>
            </w:r>
            <w:r>
              <w:rPr>
                <w:spacing w:val="1"/>
                <w:sz w:val="18"/>
              </w:rPr>
              <w:t> </w:t>
            </w:r>
            <w:r>
              <w:rPr>
                <w:sz w:val="18"/>
              </w:rPr>
              <w:t>effective</w:t>
            </w:r>
          </w:p>
        </w:tc>
        <w:tc>
          <w:tcPr>
            <w:tcW w:w="1477" w:type="dxa"/>
            <w:shd w:val="clear" w:color="auto" w:fill="F1F1F1"/>
          </w:tcPr>
          <w:p>
            <w:pPr>
              <w:pStyle w:val="TableParagraph"/>
              <w:spacing w:line="220" w:lineRule="exact"/>
              <w:ind w:left="106" w:right="130"/>
              <w:rPr>
                <w:sz w:val="18"/>
              </w:rPr>
            </w:pPr>
            <w:r>
              <w:rPr>
                <w:sz w:val="18"/>
              </w:rPr>
              <w:t>2. Moderately</w:t>
            </w:r>
            <w:r>
              <w:rPr>
                <w:spacing w:val="-48"/>
                <w:sz w:val="18"/>
              </w:rPr>
              <w:t> </w:t>
            </w:r>
            <w:r>
              <w:rPr>
                <w:sz w:val="18"/>
              </w:rPr>
              <w:t>effective</w:t>
            </w:r>
          </w:p>
        </w:tc>
        <w:tc>
          <w:tcPr>
            <w:tcW w:w="1263" w:type="dxa"/>
            <w:shd w:val="clear" w:color="auto" w:fill="F1F1F1"/>
          </w:tcPr>
          <w:p>
            <w:pPr>
              <w:pStyle w:val="TableParagraph"/>
              <w:spacing w:line="220" w:lineRule="exact"/>
              <w:ind w:left="106" w:right="349"/>
              <w:rPr>
                <w:sz w:val="18"/>
              </w:rPr>
            </w:pPr>
            <w:r>
              <w:rPr>
                <w:sz w:val="18"/>
              </w:rPr>
              <w:t>3. A little</w:t>
            </w:r>
            <w:r>
              <w:rPr>
                <w:spacing w:val="1"/>
                <w:sz w:val="18"/>
              </w:rPr>
              <w:t> </w:t>
            </w:r>
            <w:r>
              <w:rPr>
                <w:sz w:val="18"/>
              </w:rPr>
              <w:t>effective</w:t>
            </w:r>
          </w:p>
        </w:tc>
        <w:tc>
          <w:tcPr>
            <w:tcW w:w="1362" w:type="dxa"/>
            <w:shd w:val="clear" w:color="auto" w:fill="F1F1F1"/>
          </w:tcPr>
          <w:p>
            <w:pPr>
              <w:pStyle w:val="TableParagraph"/>
              <w:spacing w:line="219" w:lineRule="exact"/>
              <w:ind w:left="105"/>
              <w:rPr>
                <w:sz w:val="18"/>
              </w:rPr>
            </w:pPr>
            <w:r>
              <w:rPr>
                <w:sz w:val="18"/>
              </w:rPr>
              <w:t>4.</w:t>
            </w:r>
            <w:r>
              <w:rPr>
                <w:spacing w:val="-6"/>
                <w:sz w:val="18"/>
              </w:rPr>
              <w:t> </w:t>
            </w:r>
            <w:r>
              <w:rPr>
                <w:sz w:val="18"/>
              </w:rPr>
              <w:t>Ineffective</w:t>
            </w:r>
          </w:p>
        </w:tc>
        <w:tc>
          <w:tcPr>
            <w:tcW w:w="1361" w:type="dxa"/>
            <w:shd w:val="clear" w:color="auto" w:fill="F1F1F1"/>
          </w:tcPr>
          <w:p>
            <w:pPr>
              <w:pStyle w:val="TableParagraph"/>
              <w:spacing w:line="220" w:lineRule="exact"/>
              <w:ind w:left="105" w:right="123"/>
              <w:rPr>
                <w:sz w:val="18"/>
              </w:rPr>
            </w:pPr>
            <w:r>
              <w:rPr>
                <w:sz w:val="18"/>
              </w:rPr>
              <w:t>5.</w:t>
            </w:r>
            <w:r>
              <w:rPr>
                <w:spacing w:val="-9"/>
                <w:sz w:val="18"/>
              </w:rPr>
              <w:t> </w:t>
            </w:r>
            <w:r>
              <w:rPr>
                <w:sz w:val="18"/>
              </w:rPr>
              <w:t>Can’t</w:t>
            </w:r>
            <w:r>
              <w:rPr>
                <w:spacing w:val="-9"/>
                <w:sz w:val="18"/>
              </w:rPr>
              <w:t> </w:t>
            </w:r>
            <w:r>
              <w:rPr>
                <w:sz w:val="18"/>
              </w:rPr>
              <w:t>say/</w:t>
            </w:r>
            <w:r>
              <w:rPr>
                <w:spacing w:val="-47"/>
                <w:sz w:val="18"/>
              </w:rPr>
              <w:t> </w:t>
            </w:r>
            <w:r>
              <w:rPr>
                <w:sz w:val="18"/>
              </w:rPr>
              <w:t>don’t</w:t>
            </w:r>
            <w:r>
              <w:rPr>
                <w:spacing w:val="-2"/>
                <w:sz w:val="18"/>
              </w:rPr>
              <w:t> </w:t>
            </w:r>
            <w:r>
              <w:rPr>
                <w:sz w:val="18"/>
              </w:rPr>
              <w:t>know</w:t>
            </w:r>
          </w:p>
        </w:tc>
      </w:tr>
      <w:tr>
        <w:trPr>
          <w:trHeight w:val="441" w:hRule="atLeast"/>
        </w:trPr>
        <w:tc>
          <w:tcPr>
            <w:tcW w:w="3258" w:type="dxa"/>
          </w:tcPr>
          <w:p>
            <w:pPr>
              <w:pStyle w:val="TableParagraph"/>
              <w:spacing w:line="218" w:lineRule="exact"/>
              <w:ind w:left="107" w:right="382"/>
              <w:rPr>
                <w:sz w:val="18"/>
              </w:rPr>
            </w:pPr>
            <w:r>
              <w:rPr>
                <w:sz w:val="18"/>
              </w:rPr>
              <w:t>Module</w:t>
            </w:r>
            <w:r>
              <w:rPr>
                <w:spacing w:val="-2"/>
                <w:sz w:val="18"/>
              </w:rPr>
              <w:t> </w:t>
            </w:r>
            <w:r>
              <w:rPr>
                <w:sz w:val="18"/>
              </w:rPr>
              <w:t>1:</w:t>
            </w:r>
            <w:r>
              <w:rPr>
                <w:spacing w:val="-4"/>
                <w:sz w:val="18"/>
              </w:rPr>
              <w:t> </w:t>
            </w:r>
            <w:r>
              <w:rPr>
                <w:sz w:val="18"/>
              </w:rPr>
              <w:t>Overview</w:t>
            </w:r>
            <w:r>
              <w:rPr>
                <w:spacing w:val="-3"/>
                <w:sz w:val="18"/>
              </w:rPr>
              <w:t> </w:t>
            </w:r>
            <w:r>
              <w:rPr>
                <w:sz w:val="18"/>
              </w:rPr>
              <w:t>of the</w:t>
            </w:r>
            <w:r>
              <w:rPr>
                <w:spacing w:val="-4"/>
                <w:sz w:val="18"/>
              </w:rPr>
              <w:t> </w:t>
            </w:r>
            <w:r>
              <w:rPr>
                <w:sz w:val="18"/>
              </w:rPr>
              <w:t>HCH</w:t>
            </w:r>
            <w:r>
              <w:rPr>
                <w:spacing w:val="-47"/>
                <w:sz w:val="18"/>
              </w:rPr>
              <w:t> </w:t>
            </w:r>
            <w:r>
              <w:rPr>
                <w:sz w:val="18"/>
              </w:rPr>
              <w:t>model</w:t>
            </w:r>
          </w:p>
        </w:tc>
        <w:tc>
          <w:tcPr>
            <w:tcW w:w="1359" w:type="dxa"/>
          </w:tcPr>
          <w:p>
            <w:pPr>
              <w:pStyle w:val="TableParagraph"/>
              <w:spacing w:before="7"/>
              <w:rPr>
                <w:sz w:val="14"/>
              </w:rPr>
            </w:pPr>
          </w:p>
          <w:p>
            <w:pPr>
              <w:pStyle w:val="TableParagraph"/>
              <w:spacing w:line="112" w:lineRule="exact"/>
              <w:ind w:left="666"/>
              <w:rPr>
                <w:sz w:val="11"/>
              </w:rPr>
            </w:pPr>
            <w:r>
              <w:rPr>
                <w:position w:val="-1"/>
                <w:sz w:val="11"/>
              </w:rPr>
              <w:drawing>
                <wp:inline distT="0" distB="0" distL="0" distR="0">
                  <wp:extent cx="57802" cy="71437"/>
                  <wp:effectExtent l="0" t="0" r="0" b="0"/>
                  <wp:docPr id="741" name="image13.png"/>
                  <wp:cNvGraphicFramePr>
                    <a:graphicFrameLocks noChangeAspect="1"/>
                  </wp:cNvGraphicFramePr>
                  <a:graphic>
                    <a:graphicData uri="http://schemas.openxmlformats.org/drawingml/2006/picture">
                      <pic:pic>
                        <pic:nvPicPr>
                          <pic:cNvPr id="742"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477" w:type="dxa"/>
          </w:tcPr>
          <w:p>
            <w:pPr>
              <w:pStyle w:val="TableParagraph"/>
              <w:spacing w:before="7"/>
              <w:rPr>
                <w:sz w:val="14"/>
              </w:rPr>
            </w:pPr>
          </w:p>
          <w:p>
            <w:pPr>
              <w:pStyle w:val="TableParagraph"/>
              <w:spacing w:line="112" w:lineRule="exact"/>
              <w:ind w:left="723"/>
              <w:rPr>
                <w:sz w:val="11"/>
              </w:rPr>
            </w:pPr>
            <w:r>
              <w:rPr>
                <w:position w:val="-1"/>
                <w:sz w:val="11"/>
              </w:rPr>
              <w:drawing>
                <wp:inline distT="0" distB="0" distL="0" distR="0">
                  <wp:extent cx="57802" cy="71437"/>
                  <wp:effectExtent l="0" t="0" r="0" b="0"/>
                  <wp:docPr id="743" name="image13.png"/>
                  <wp:cNvGraphicFramePr>
                    <a:graphicFrameLocks noChangeAspect="1"/>
                  </wp:cNvGraphicFramePr>
                  <a:graphic>
                    <a:graphicData uri="http://schemas.openxmlformats.org/drawingml/2006/picture">
                      <pic:pic>
                        <pic:nvPicPr>
                          <pic:cNvPr id="744"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263" w:type="dxa"/>
          </w:tcPr>
          <w:p>
            <w:pPr>
              <w:pStyle w:val="TableParagraph"/>
              <w:spacing w:before="7"/>
              <w:rPr>
                <w:sz w:val="14"/>
              </w:rPr>
            </w:pPr>
          </w:p>
          <w:p>
            <w:pPr>
              <w:pStyle w:val="TableParagraph"/>
              <w:spacing w:line="112" w:lineRule="exact"/>
              <w:ind w:left="614"/>
              <w:rPr>
                <w:sz w:val="11"/>
              </w:rPr>
            </w:pPr>
            <w:r>
              <w:rPr>
                <w:position w:val="-1"/>
                <w:sz w:val="11"/>
              </w:rPr>
              <w:drawing>
                <wp:inline distT="0" distB="0" distL="0" distR="0">
                  <wp:extent cx="57802" cy="71437"/>
                  <wp:effectExtent l="0" t="0" r="0" b="0"/>
                  <wp:docPr id="745" name="image13.png"/>
                  <wp:cNvGraphicFramePr>
                    <a:graphicFrameLocks noChangeAspect="1"/>
                  </wp:cNvGraphicFramePr>
                  <a:graphic>
                    <a:graphicData uri="http://schemas.openxmlformats.org/drawingml/2006/picture">
                      <pic:pic>
                        <pic:nvPicPr>
                          <pic:cNvPr id="746"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362" w:type="dxa"/>
          </w:tcPr>
          <w:p>
            <w:pPr>
              <w:pStyle w:val="TableParagraph"/>
              <w:spacing w:before="7"/>
              <w:rPr>
                <w:sz w:val="14"/>
              </w:rPr>
            </w:pPr>
          </w:p>
          <w:p>
            <w:pPr>
              <w:pStyle w:val="TableParagraph"/>
              <w:spacing w:line="112" w:lineRule="exact"/>
              <w:ind w:left="664"/>
              <w:rPr>
                <w:sz w:val="11"/>
              </w:rPr>
            </w:pPr>
            <w:r>
              <w:rPr>
                <w:position w:val="-1"/>
                <w:sz w:val="11"/>
              </w:rPr>
              <w:drawing>
                <wp:inline distT="0" distB="0" distL="0" distR="0">
                  <wp:extent cx="57802" cy="71437"/>
                  <wp:effectExtent l="0" t="0" r="0" b="0"/>
                  <wp:docPr id="747" name="image13.png"/>
                  <wp:cNvGraphicFramePr>
                    <a:graphicFrameLocks noChangeAspect="1"/>
                  </wp:cNvGraphicFramePr>
                  <a:graphic>
                    <a:graphicData uri="http://schemas.openxmlformats.org/drawingml/2006/picture">
                      <pic:pic>
                        <pic:nvPicPr>
                          <pic:cNvPr id="748"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361" w:type="dxa"/>
          </w:tcPr>
          <w:p>
            <w:pPr>
              <w:pStyle w:val="TableParagraph"/>
              <w:spacing w:before="7"/>
              <w:rPr>
                <w:sz w:val="14"/>
              </w:rPr>
            </w:pPr>
          </w:p>
          <w:p>
            <w:pPr>
              <w:pStyle w:val="TableParagraph"/>
              <w:spacing w:line="112" w:lineRule="exact"/>
              <w:ind w:left="662"/>
              <w:rPr>
                <w:sz w:val="11"/>
              </w:rPr>
            </w:pPr>
            <w:r>
              <w:rPr>
                <w:position w:val="-1"/>
                <w:sz w:val="11"/>
              </w:rPr>
              <w:drawing>
                <wp:inline distT="0" distB="0" distL="0" distR="0">
                  <wp:extent cx="57802" cy="71437"/>
                  <wp:effectExtent l="0" t="0" r="0" b="0"/>
                  <wp:docPr id="749" name="image13.png"/>
                  <wp:cNvGraphicFramePr>
                    <a:graphicFrameLocks noChangeAspect="1"/>
                  </wp:cNvGraphicFramePr>
                  <a:graphic>
                    <a:graphicData uri="http://schemas.openxmlformats.org/drawingml/2006/picture">
                      <pic:pic>
                        <pic:nvPicPr>
                          <pic:cNvPr id="750"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r>
      <w:tr>
        <w:trPr>
          <w:trHeight w:val="222" w:hRule="atLeast"/>
        </w:trPr>
        <w:tc>
          <w:tcPr>
            <w:tcW w:w="3258" w:type="dxa"/>
          </w:tcPr>
          <w:p>
            <w:pPr>
              <w:pStyle w:val="TableParagraph"/>
              <w:spacing w:line="202" w:lineRule="exact" w:before="1"/>
              <w:ind w:left="107"/>
              <w:rPr>
                <w:sz w:val="18"/>
              </w:rPr>
            </w:pPr>
            <w:r>
              <w:rPr>
                <w:sz w:val="18"/>
              </w:rPr>
              <w:t>Module</w:t>
            </w:r>
            <w:r>
              <w:rPr>
                <w:spacing w:val="-3"/>
                <w:sz w:val="18"/>
              </w:rPr>
              <w:t> </w:t>
            </w:r>
            <w:r>
              <w:rPr>
                <w:sz w:val="18"/>
              </w:rPr>
              <w:t>2:</w:t>
            </w:r>
            <w:r>
              <w:rPr>
                <w:spacing w:val="-4"/>
                <w:sz w:val="18"/>
              </w:rPr>
              <w:t> </w:t>
            </w:r>
            <w:r>
              <w:rPr>
                <w:sz w:val="18"/>
              </w:rPr>
              <w:t>Engaged</w:t>
            </w:r>
            <w:r>
              <w:rPr>
                <w:spacing w:val="-4"/>
                <w:sz w:val="18"/>
              </w:rPr>
              <w:t> </w:t>
            </w:r>
            <w:r>
              <w:rPr>
                <w:sz w:val="18"/>
              </w:rPr>
              <w:t>leadership</w:t>
            </w:r>
          </w:p>
        </w:tc>
        <w:tc>
          <w:tcPr>
            <w:tcW w:w="1359" w:type="dxa"/>
          </w:tcPr>
          <w:p>
            <w:pPr>
              <w:pStyle w:val="TableParagraph"/>
              <w:spacing w:before="8"/>
              <w:rPr>
                <w:sz w:val="5"/>
              </w:rPr>
            </w:pPr>
          </w:p>
          <w:p>
            <w:pPr>
              <w:pStyle w:val="TableParagraph"/>
              <w:spacing w:line="114" w:lineRule="exact"/>
              <w:ind w:left="666"/>
              <w:rPr>
                <w:sz w:val="11"/>
              </w:rPr>
            </w:pPr>
            <w:r>
              <w:rPr>
                <w:position w:val="-1"/>
                <w:sz w:val="11"/>
              </w:rPr>
              <w:drawing>
                <wp:inline distT="0" distB="0" distL="0" distR="0">
                  <wp:extent cx="58958" cy="72866"/>
                  <wp:effectExtent l="0" t="0" r="0" b="0"/>
                  <wp:docPr id="751" name="image13.png"/>
                  <wp:cNvGraphicFramePr>
                    <a:graphicFrameLocks noChangeAspect="1"/>
                  </wp:cNvGraphicFramePr>
                  <a:graphic>
                    <a:graphicData uri="http://schemas.openxmlformats.org/drawingml/2006/picture">
                      <pic:pic>
                        <pic:nvPicPr>
                          <pic:cNvPr id="752"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477" w:type="dxa"/>
          </w:tcPr>
          <w:p>
            <w:pPr>
              <w:pStyle w:val="TableParagraph"/>
              <w:spacing w:before="8"/>
              <w:rPr>
                <w:sz w:val="5"/>
              </w:rPr>
            </w:pPr>
          </w:p>
          <w:p>
            <w:pPr>
              <w:pStyle w:val="TableParagraph"/>
              <w:spacing w:line="114" w:lineRule="exact"/>
              <w:ind w:left="723"/>
              <w:rPr>
                <w:sz w:val="11"/>
              </w:rPr>
            </w:pPr>
            <w:r>
              <w:rPr>
                <w:position w:val="-1"/>
                <w:sz w:val="11"/>
              </w:rPr>
              <w:drawing>
                <wp:inline distT="0" distB="0" distL="0" distR="0">
                  <wp:extent cx="58958" cy="72866"/>
                  <wp:effectExtent l="0" t="0" r="0" b="0"/>
                  <wp:docPr id="753" name="image13.png"/>
                  <wp:cNvGraphicFramePr>
                    <a:graphicFrameLocks noChangeAspect="1"/>
                  </wp:cNvGraphicFramePr>
                  <a:graphic>
                    <a:graphicData uri="http://schemas.openxmlformats.org/drawingml/2006/picture">
                      <pic:pic>
                        <pic:nvPicPr>
                          <pic:cNvPr id="754"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263" w:type="dxa"/>
          </w:tcPr>
          <w:p>
            <w:pPr>
              <w:pStyle w:val="TableParagraph"/>
              <w:spacing w:before="8"/>
              <w:rPr>
                <w:sz w:val="5"/>
              </w:rPr>
            </w:pPr>
          </w:p>
          <w:p>
            <w:pPr>
              <w:pStyle w:val="TableParagraph"/>
              <w:spacing w:line="114" w:lineRule="exact"/>
              <w:ind w:left="614"/>
              <w:rPr>
                <w:sz w:val="11"/>
              </w:rPr>
            </w:pPr>
            <w:r>
              <w:rPr>
                <w:position w:val="-1"/>
                <w:sz w:val="11"/>
              </w:rPr>
              <w:drawing>
                <wp:inline distT="0" distB="0" distL="0" distR="0">
                  <wp:extent cx="58958" cy="72866"/>
                  <wp:effectExtent l="0" t="0" r="0" b="0"/>
                  <wp:docPr id="755" name="image13.png"/>
                  <wp:cNvGraphicFramePr>
                    <a:graphicFrameLocks noChangeAspect="1"/>
                  </wp:cNvGraphicFramePr>
                  <a:graphic>
                    <a:graphicData uri="http://schemas.openxmlformats.org/drawingml/2006/picture">
                      <pic:pic>
                        <pic:nvPicPr>
                          <pic:cNvPr id="756"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362" w:type="dxa"/>
          </w:tcPr>
          <w:p>
            <w:pPr>
              <w:pStyle w:val="TableParagraph"/>
              <w:spacing w:before="8"/>
              <w:rPr>
                <w:sz w:val="5"/>
              </w:rPr>
            </w:pPr>
          </w:p>
          <w:p>
            <w:pPr>
              <w:pStyle w:val="TableParagraph"/>
              <w:spacing w:line="114" w:lineRule="exact"/>
              <w:ind w:left="664"/>
              <w:rPr>
                <w:sz w:val="11"/>
              </w:rPr>
            </w:pPr>
            <w:r>
              <w:rPr>
                <w:position w:val="-1"/>
                <w:sz w:val="11"/>
              </w:rPr>
              <w:drawing>
                <wp:inline distT="0" distB="0" distL="0" distR="0">
                  <wp:extent cx="58958" cy="72866"/>
                  <wp:effectExtent l="0" t="0" r="0" b="0"/>
                  <wp:docPr id="757" name="image13.png"/>
                  <wp:cNvGraphicFramePr>
                    <a:graphicFrameLocks noChangeAspect="1"/>
                  </wp:cNvGraphicFramePr>
                  <a:graphic>
                    <a:graphicData uri="http://schemas.openxmlformats.org/drawingml/2006/picture">
                      <pic:pic>
                        <pic:nvPicPr>
                          <pic:cNvPr id="758"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361" w:type="dxa"/>
          </w:tcPr>
          <w:p>
            <w:pPr>
              <w:pStyle w:val="TableParagraph"/>
              <w:spacing w:before="8"/>
              <w:rPr>
                <w:sz w:val="5"/>
              </w:rPr>
            </w:pPr>
          </w:p>
          <w:p>
            <w:pPr>
              <w:pStyle w:val="TableParagraph"/>
              <w:spacing w:line="114" w:lineRule="exact"/>
              <w:ind w:left="662"/>
              <w:rPr>
                <w:sz w:val="11"/>
              </w:rPr>
            </w:pPr>
            <w:r>
              <w:rPr>
                <w:position w:val="-1"/>
                <w:sz w:val="11"/>
              </w:rPr>
              <w:drawing>
                <wp:inline distT="0" distB="0" distL="0" distR="0">
                  <wp:extent cx="58958" cy="72866"/>
                  <wp:effectExtent l="0" t="0" r="0" b="0"/>
                  <wp:docPr id="759" name="image13.png"/>
                  <wp:cNvGraphicFramePr>
                    <a:graphicFrameLocks noChangeAspect="1"/>
                  </wp:cNvGraphicFramePr>
                  <a:graphic>
                    <a:graphicData uri="http://schemas.openxmlformats.org/drawingml/2006/picture">
                      <pic:pic>
                        <pic:nvPicPr>
                          <pic:cNvPr id="760"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r>
      <w:tr>
        <w:trPr>
          <w:trHeight w:val="662" w:hRule="atLeast"/>
        </w:trPr>
        <w:tc>
          <w:tcPr>
            <w:tcW w:w="3258" w:type="dxa"/>
          </w:tcPr>
          <w:p>
            <w:pPr>
              <w:pStyle w:val="TableParagraph"/>
              <w:spacing w:line="220" w:lineRule="exact"/>
              <w:ind w:left="107" w:right="200"/>
              <w:rPr>
                <w:sz w:val="18"/>
              </w:rPr>
            </w:pPr>
            <w:r>
              <w:rPr>
                <w:sz w:val="18"/>
              </w:rPr>
              <w:t>Module</w:t>
            </w:r>
            <w:r>
              <w:rPr>
                <w:spacing w:val="-4"/>
                <w:sz w:val="18"/>
              </w:rPr>
              <w:t> </w:t>
            </w:r>
            <w:r>
              <w:rPr>
                <w:sz w:val="18"/>
              </w:rPr>
              <w:t>3:</w:t>
            </w:r>
            <w:r>
              <w:rPr>
                <w:spacing w:val="-6"/>
                <w:sz w:val="18"/>
              </w:rPr>
              <w:t> </w:t>
            </w:r>
            <w:r>
              <w:rPr>
                <w:sz w:val="18"/>
              </w:rPr>
              <w:t>Patient</w:t>
            </w:r>
            <w:r>
              <w:rPr>
                <w:spacing w:val="-5"/>
                <w:sz w:val="18"/>
              </w:rPr>
              <w:t> </w:t>
            </w:r>
            <w:r>
              <w:rPr>
                <w:sz w:val="18"/>
              </w:rPr>
              <w:t>enrolment</w:t>
            </w:r>
            <w:r>
              <w:rPr>
                <w:spacing w:val="-3"/>
                <w:sz w:val="18"/>
              </w:rPr>
              <w:t> </w:t>
            </w:r>
            <w:r>
              <w:rPr>
                <w:sz w:val="18"/>
              </w:rPr>
              <w:t>(incl.</w:t>
            </w:r>
            <w:r>
              <w:rPr>
                <w:spacing w:val="-47"/>
                <w:sz w:val="18"/>
              </w:rPr>
              <w:t> </w:t>
            </w:r>
            <w:r>
              <w:rPr>
                <w:sz w:val="18"/>
              </w:rPr>
              <w:t>risk stratification) and payment</w:t>
            </w:r>
            <w:r>
              <w:rPr>
                <w:spacing w:val="1"/>
                <w:sz w:val="18"/>
              </w:rPr>
              <w:t> </w:t>
            </w:r>
            <w:r>
              <w:rPr>
                <w:sz w:val="18"/>
              </w:rPr>
              <w:t>processes</w:t>
            </w:r>
          </w:p>
        </w:tc>
        <w:tc>
          <w:tcPr>
            <w:tcW w:w="1359" w:type="dxa"/>
          </w:tcPr>
          <w:p>
            <w:pPr>
              <w:pStyle w:val="TableParagraph"/>
              <w:spacing w:before="6"/>
              <w:rPr>
                <w:sz w:val="23"/>
              </w:rPr>
            </w:pPr>
          </w:p>
          <w:p>
            <w:pPr>
              <w:pStyle w:val="TableParagraph"/>
              <w:spacing w:line="114" w:lineRule="exact"/>
              <w:ind w:left="666"/>
              <w:rPr>
                <w:sz w:val="11"/>
              </w:rPr>
            </w:pPr>
            <w:r>
              <w:rPr>
                <w:position w:val="-1"/>
                <w:sz w:val="11"/>
              </w:rPr>
              <w:drawing>
                <wp:inline distT="0" distB="0" distL="0" distR="0">
                  <wp:extent cx="58958" cy="72866"/>
                  <wp:effectExtent l="0" t="0" r="0" b="0"/>
                  <wp:docPr id="761" name="image13.png"/>
                  <wp:cNvGraphicFramePr>
                    <a:graphicFrameLocks noChangeAspect="1"/>
                  </wp:cNvGraphicFramePr>
                  <a:graphic>
                    <a:graphicData uri="http://schemas.openxmlformats.org/drawingml/2006/picture">
                      <pic:pic>
                        <pic:nvPicPr>
                          <pic:cNvPr id="762"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477" w:type="dxa"/>
          </w:tcPr>
          <w:p>
            <w:pPr>
              <w:pStyle w:val="TableParagraph"/>
              <w:spacing w:before="6"/>
              <w:rPr>
                <w:sz w:val="23"/>
              </w:rPr>
            </w:pPr>
          </w:p>
          <w:p>
            <w:pPr>
              <w:pStyle w:val="TableParagraph"/>
              <w:spacing w:line="114" w:lineRule="exact"/>
              <w:ind w:left="723"/>
              <w:rPr>
                <w:sz w:val="11"/>
              </w:rPr>
            </w:pPr>
            <w:r>
              <w:rPr>
                <w:position w:val="-1"/>
                <w:sz w:val="11"/>
              </w:rPr>
              <w:drawing>
                <wp:inline distT="0" distB="0" distL="0" distR="0">
                  <wp:extent cx="58958" cy="72866"/>
                  <wp:effectExtent l="0" t="0" r="0" b="0"/>
                  <wp:docPr id="763" name="image13.png"/>
                  <wp:cNvGraphicFramePr>
                    <a:graphicFrameLocks noChangeAspect="1"/>
                  </wp:cNvGraphicFramePr>
                  <a:graphic>
                    <a:graphicData uri="http://schemas.openxmlformats.org/drawingml/2006/picture">
                      <pic:pic>
                        <pic:nvPicPr>
                          <pic:cNvPr id="764"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263" w:type="dxa"/>
          </w:tcPr>
          <w:p>
            <w:pPr>
              <w:pStyle w:val="TableParagraph"/>
              <w:spacing w:before="6"/>
              <w:rPr>
                <w:sz w:val="23"/>
              </w:rPr>
            </w:pPr>
          </w:p>
          <w:p>
            <w:pPr>
              <w:pStyle w:val="TableParagraph"/>
              <w:spacing w:line="114" w:lineRule="exact"/>
              <w:ind w:left="614"/>
              <w:rPr>
                <w:sz w:val="11"/>
              </w:rPr>
            </w:pPr>
            <w:r>
              <w:rPr>
                <w:position w:val="-1"/>
                <w:sz w:val="11"/>
              </w:rPr>
              <w:drawing>
                <wp:inline distT="0" distB="0" distL="0" distR="0">
                  <wp:extent cx="58958" cy="72866"/>
                  <wp:effectExtent l="0" t="0" r="0" b="0"/>
                  <wp:docPr id="765" name="image13.png"/>
                  <wp:cNvGraphicFramePr>
                    <a:graphicFrameLocks noChangeAspect="1"/>
                  </wp:cNvGraphicFramePr>
                  <a:graphic>
                    <a:graphicData uri="http://schemas.openxmlformats.org/drawingml/2006/picture">
                      <pic:pic>
                        <pic:nvPicPr>
                          <pic:cNvPr id="766"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362" w:type="dxa"/>
          </w:tcPr>
          <w:p>
            <w:pPr>
              <w:pStyle w:val="TableParagraph"/>
              <w:spacing w:before="6"/>
              <w:rPr>
                <w:sz w:val="23"/>
              </w:rPr>
            </w:pPr>
          </w:p>
          <w:p>
            <w:pPr>
              <w:pStyle w:val="TableParagraph"/>
              <w:spacing w:line="114" w:lineRule="exact"/>
              <w:ind w:left="664"/>
              <w:rPr>
                <w:sz w:val="11"/>
              </w:rPr>
            </w:pPr>
            <w:r>
              <w:rPr>
                <w:position w:val="-1"/>
                <w:sz w:val="11"/>
              </w:rPr>
              <w:drawing>
                <wp:inline distT="0" distB="0" distL="0" distR="0">
                  <wp:extent cx="58958" cy="72866"/>
                  <wp:effectExtent l="0" t="0" r="0" b="0"/>
                  <wp:docPr id="767" name="image13.png"/>
                  <wp:cNvGraphicFramePr>
                    <a:graphicFrameLocks noChangeAspect="1"/>
                  </wp:cNvGraphicFramePr>
                  <a:graphic>
                    <a:graphicData uri="http://schemas.openxmlformats.org/drawingml/2006/picture">
                      <pic:pic>
                        <pic:nvPicPr>
                          <pic:cNvPr id="768"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361" w:type="dxa"/>
          </w:tcPr>
          <w:p>
            <w:pPr>
              <w:pStyle w:val="TableParagraph"/>
              <w:spacing w:before="6"/>
              <w:rPr>
                <w:sz w:val="23"/>
              </w:rPr>
            </w:pPr>
          </w:p>
          <w:p>
            <w:pPr>
              <w:pStyle w:val="TableParagraph"/>
              <w:spacing w:line="114" w:lineRule="exact"/>
              <w:ind w:left="662"/>
              <w:rPr>
                <w:sz w:val="11"/>
              </w:rPr>
            </w:pPr>
            <w:r>
              <w:rPr>
                <w:position w:val="-1"/>
                <w:sz w:val="11"/>
              </w:rPr>
              <w:drawing>
                <wp:inline distT="0" distB="0" distL="0" distR="0">
                  <wp:extent cx="58958" cy="72866"/>
                  <wp:effectExtent l="0" t="0" r="0" b="0"/>
                  <wp:docPr id="769" name="image13.png"/>
                  <wp:cNvGraphicFramePr>
                    <a:graphicFrameLocks noChangeAspect="1"/>
                  </wp:cNvGraphicFramePr>
                  <a:graphic>
                    <a:graphicData uri="http://schemas.openxmlformats.org/drawingml/2006/picture">
                      <pic:pic>
                        <pic:nvPicPr>
                          <pic:cNvPr id="770"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r>
      <w:tr>
        <w:trPr>
          <w:trHeight w:val="441" w:hRule="atLeast"/>
        </w:trPr>
        <w:tc>
          <w:tcPr>
            <w:tcW w:w="3258" w:type="dxa"/>
          </w:tcPr>
          <w:p>
            <w:pPr>
              <w:pStyle w:val="TableParagraph"/>
              <w:spacing w:line="220" w:lineRule="exact"/>
              <w:ind w:left="107" w:right="1162"/>
              <w:rPr>
                <w:sz w:val="18"/>
              </w:rPr>
            </w:pPr>
            <w:r>
              <w:rPr>
                <w:sz w:val="18"/>
              </w:rPr>
              <w:t>Module 4: Data-driven</w:t>
            </w:r>
            <w:r>
              <w:rPr>
                <w:spacing w:val="-47"/>
                <w:sz w:val="18"/>
              </w:rPr>
              <w:t> </w:t>
            </w:r>
            <w:r>
              <w:rPr>
                <w:sz w:val="18"/>
              </w:rPr>
              <w:t>improvement</w:t>
            </w:r>
          </w:p>
        </w:tc>
        <w:tc>
          <w:tcPr>
            <w:tcW w:w="1359" w:type="dxa"/>
          </w:tcPr>
          <w:p>
            <w:pPr>
              <w:pStyle w:val="TableParagraph"/>
              <w:spacing w:before="6"/>
              <w:rPr>
                <w:sz w:val="14"/>
              </w:rPr>
            </w:pPr>
          </w:p>
          <w:p>
            <w:pPr>
              <w:pStyle w:val="TableParagraph"/>
              <w:spacing w:line="114" w:lineRule="exact"/>
              <w:ind w:left="666"/>
              <w:rPr>
                <w:sz w:val="11"/>
              </w:rPr>
            </w:pPr>
            <w:r>
              <w:rPr>
                <w:position w:val="-1"/>
                <w:sz w:val="11"/>
              </w:rPr>
              <w:drawing>
                <wp:inline distT="0" distB="0" distL="0" distR="0">
                  <wp:extent cx="58958" cy="72866"/>
                  <wp:effectExtent l="0" t="0" r="0" b="0"/>
                  <wp:docPr id="771" name="image13.png"/>
                  <wp:cNvGraphicFramePr>
                    <a:graphicFrameLocks noChangeAspect="1"/>
                  </wp:cNvGraphicFramePr>
                  <a:graphic>
                    <a:graphicData uri="http://schemas.openxmlformats.org/drawingml/2006/picture">
                      <pic:pic>
                        <pic:nvPicPr>
                          <pic:cNvPr id="772"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477" w:type="dxa"/>
          </w:tcPr>
          <w:p>
            <w:pPr>
              <w:pStyle w:val="TableParagraph"/>
              <w:spacing w:before="6"/>
              <w:rPr>
                <w:sz w:val="14"/>
              </w:rPr>
            </w:pPr>
          </w:p>
          <w:p>
            <w:pPr>
              <w:pStyle w:val="TableParagraph"/>
              <w:spacing w:line="114" w:lineRule="exact"/>
              <w:ind w:left="723"/>
              <w:rPr>
                <w:sz w:val="11"/>
              </w:rPr>
            </w:pPr>
            <w:r>
              <w:rPr>
                <w:position w:val="-1"/>
                <w:sz w:val="11"/>
              </w:rPr>
              <w:drawing>
                <wp:inline distT="0" distB="0" distL="0" distR="0">
                  <wp:extent cx="58958" cy="72866"/>
                  <wp:effectExtent l="0" t="0" r="0" b="0"/>
                  <wp:docPr id="773" name="image13.png"/>
                  <wp:cNvGraphicFramePr>
                    <a:graphicFrameLocks noChangeAspect="1"/>
                  </wp:cNvGraphicFramePr>
                  <a:graphic>
                    <a:graphicData uri="http://schemas.openxmlformats.org/drawingml/2006/picture">
                      <pic:pic>
                        <pic:nvPicPr>
                          <pic:cNvPr id="774"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263" w:type="dxa"/>
          </w:tcPr>
          <w:p>
            <w:pPr>
              <w:pStyle w:val="TableParagraph"/>
              <w:spacing w:before="6"/>
              <w:rPr>
                <w:sz w:val="14"/>
              </w:rPr>
            </w:pPr>
          </w:p>
          <w:p>
            <w:pPr>
              <w:pStyle w:val="TableParagraph"/>
              <w:spacing w:line="114" w:lineRule="exact"/>
              <w:ind w:left="614"/>
              <w:rPr>
                <w:sz w:val="11"/>
              </w:rPr>
            </w:pPr>
            <w:r>
              <w:rPr>
                <w:position w:val="-1"/>
                <w:sz w:val="11"/>
              </w:rPr>
              <w:drawing>
                <wp:inline distT="0" distB="0" distL="0" distR="0">
                  <wp:extent cx="58958" cy="72866"/>
                  <wp:effectExtent l="0" t="0" r="0" b="0"/>
                  <wp:docPr id="775" name="image13.png"/>
                  <wp:cNvGraphicFramePr>
                    <a:graphicFrameLocks noChangeAspect="1"/>
                  </wp:cNvGraphicFramePr>
                  <a:graphic>
                    <a:graphicData uri="http://schemas.openxmlformats.org/drawingml/2006/picture">
                      <pic:pic>
                        <pic:nvPicPr>
                          <pic:cNvPr id="776"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362" w:type="dxa"/>
          </w:tcPr>
          <w:p>
            <w:pPr>
              <w:pStyle w:val="TableParagraph"/>
              <w:spacing w:before="6"/>
              <w:rPr>
                <w:sz w:val="14"/>
              </w:rPr>
            </w:pPr>
          </w:p>
          <w:p>
            <w:pPr>
              <w:pStyle w:val="TableParagraph"/>
              <w:spacing w:line="114" w:lineRule="exact"/>
              <w:ind w:left="664"/>
              <w:rPr>
                <w:sz w:val="11"/>
              </w:rPr>
            </w:pPr>
            <w:r>
              <w:rPr>
                <w:position w:val="-1"/>
                <w:sz w:val="11"/>
              </w:rPr>
              <w:drawing>
                <wp:inline distT="0" distB="0" distL="0" distR="0">
                  <wp:extent cx="58958" cy="72866"/>
                  <wp:effectExtent l="0" t="0" r="0" b="0"/>
                  <wp:docPr id="777" name="image13.png"/>
                  <wp:cNvGraphicFramePr>
                    <a:graphicFrameLocks noChangeAspect="1"/>
                  </wp:cNvGraphicFramePr>
                  <a:graphic>
                    <a:graphicData uri="http://schemas.openxmlformats.org/drawingml/2006/picture">
                      <pic:pic>
                        <pic:nvPicPr>
                          <pic:cNvPr id="778"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361" w:type="dxa"/>
          </w:tcPr>
          <w:p>
            <w:pPr>
              <w:pStyle w:val="TableParagraph"/>
              <w:spacing w:before="6"/>
              <w:rPr>
                <w:sz w:val="14"/>
              </w:rPr>
            </w:pPr>
          </w:p>
          <w:p>
            <w:pPr>
              <w:pStyle w:val="TableParagraph"/>
              <w:spacing w:line="114" w:lineRule="exact"/>
              <w:ind w:left="662"/>
              <w:rPr>
                <w:sz w:val="11"/>
              </w:rPr>
            </w:pPr>
            <w:r>
              <w:rPr>
                <w:position w:val="-1"/>
                <w:sz w:val="11"/>
              </w:rPr>
              <w:drawing>
                <wp:inline distT="0" distB="0" distL="0" distR="0">
                  <wp:extent cx="58958" cy="72866"/>
                  <wp:effectExtent l="0" t="0" r="0" b="0"/>
                  <wp:docPr id="779" name="image13.png"/>
                  <wp:cNvGraphicFramePr>
                    <a:graphicFrameLocks noChangeAspect="1"/>
                  </wp:cNvGraphicFramePr>
                  <a:graphic>
                    <a:graphicData uri="http://schemas.openxmlformats.org/drawingml/2006/picture">
                      <pic:pic>
                        <pic:nvPicPr>
                          <pic:cNvPr id="780"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r>
      <w:tr>
        <w:trPr>
          <w:trHeight w:val="220" w:hRule="atLeast"/>
        </w:trPr>
        <w:tc>
          <w:tcPr>
            <w:tcW w:w="3258" w:type="dxa"/>
          </w:tcPr>
          <w:p>
            <w:pPr>
              <w:pStyle w:val="TableParagraph"/>
              <w:spacing w:line="200" w:lineRule="exact"/>
              <w:ind w:left="107"/>
              <w:rPr>
                <w:sz w:val="18"/>
              </w:rPr>
            </w:pPr>
            <w:r>
              <w:rPr>
                <w:sz w:val="18"/>
              </w:rPr>
              <w:t>Module</w:t>
            </w:r>
            <w:r>
              <w:rPr>
                <w:spacing w:val="-2"/>
                <w:sz w:val="18"/>
              </w:rPr>
              <w:t> </w:t>
            </w:r>
            <w:r>
              <w:rPr>
                <w:sz w:val="18"/>
              </w:rPr>
              <w:t>5:</w:t>
            </w:r>
            <w:r>
              <w:rPr>
                <w:spacing w:val="-3"/>
                <w:sz w:val="18"/>
              </w:rPr>
              <w:t> </w:t>
            </w:r>
            <w:r>
              <w:rPr>
                <w:sz w:val="18"/>
              </w:rPr>
              <w:t>Team-based</w:t>
            </w:r>
            <w:r>
              <w:rPr>
                <w:spacing w:val="-3"/>
                <w:sz w:val="18"/>
              </w:rPr>
              <w:t> </w:t>
            </w:r>
            <w:r>
              <w:rPr>
                <w:sz w:val="18"/>
              </w:rPr>
              <w:t>care</w:t>
            </w:r>
          </w:p>
        </w:tc>
        <w:tc>
          <w:tcPr>
            <w:tcW w:w="1359" w:type="dxa"/>
          </w:tcPr>
          <w:p>
            <w:pPr>
              <w:pStyle w:val="TableParagraph"/>
              <w:spacing w:before="6"/>
              <w:rPr>
                <w:sz w:val="5"/>
              </w:rPr>
            </w:pPr>
          </w:p>
          <w:p>
            <w:pPr>
              <w:pStyle w:val="TableParagraph"/>
              <w:spacing w:line="114" w:lineRule="exact"/>
              <w:ind w:left="666"/>
              <w:rPr>
                <w:sz w:val="11"/>
              </w:rPr>
            </w:pPr>
            <w:r>
              <w:rPr>
                <w:position w:val="-1"/>
                <w:sz w:val="11"/>
              </w:rPr>
              <w:drawing>
                <wp:inline distT="0" distB="0" distL="0" distR="0">
                  <wp:extent cx="58958" cy="72866"/>
                  <wp:effectExtent l="0" t="0" r="0" b="0"/>
                  <wp:docPr id="781" name="image13.png"/>
                  <wp:cNvGraphicFramePr>
                    <a:graphicFrameLocks noChangeAspect="1"/>
                  </wp:cNvGraphicFramePr>
                  <a:graphic>
                    <a:graphicData uri="http://schemas.openxmlformats.org/drawingml/2006/picture">
                      <pic:pic>
                        <pic:nvPicPr>
                          <pic:cNvPr id="782"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477" w:type="dxa"/>
          </w:tcPr>
          <w:p>
            <w:pPr>
              <w:pStyle w:val="TableParagraph"/>
              <w:spacing w:before="6"/>
              <w:rPr>
                <w:sz w:val="5"/>
              </w:rPr>
            </w:pPr>
          </w:p>
          <w:p>
            <w:pPr>
              <w:pStyle w:val="TableParagraph"/>
              <w:spacing w:line="114" w:lineRule="exact"/>
              <w:ind w:left="723"/>
              <w:rPr>
                <w:sz w:val="11"/>
              </w:rPr>
            </w:pPr>
            <w:r>
              <w:rPr>
                <w:position w:val="-1"/>
                <w:sz w:val="11"/>
              </w:rPr>
              <w:drawing>
                <wp:inline distT="0" distB="0" distL="0" distR="0">
                  <wp:extent cx="58958" cy="72866"/>
                  <wp:effectExtent l="0" t="0" r="0" b="0"/>
                  <wp:docPr id="783" name="image13.png"/>
                  <wp:cNvGraphicFramePr>
                    <a:graphicFrameLocks noChangeAspect="1"/>
                  </wp:cNvGraphicFramePr>
                  <a:graphic>
                    <a:graphicData uri="http://schemas.openxmlformats.org/drawingml/2006/picture">
                      <pic:pic>
                        <pic:nvPicPr>
                          <pic:cNvPr id="784"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263" w:type="dxa"/>
          </w:tcPr>
          <w:p>
            <w:pPr>
              <w:pStyle w:val="TableParagraph"/>
              <w:spacing w:before="6"/>
              <w:rPr>
                <w:sz w:val="5"/>
              </w:rPr>
            </w:pPr>
          </w:p>
          <w:p>
            <w:pPr>
              <w:pStyle w:val="TableParagraph"/>
              <w:spacing w:line="114" w:lineRule="exact"/>
              <w:ind w:left="614"/>
              <w:rPr>
                <w:sz w:val="11"/>
              </w:rPr>
            </w:pPr>
            <w:r>
              <w:rPr>
                <w:position w:val="-1"/>
                <w:sz w:val="11"/>
              </w:rPr>
              <w:drawing>
                <wp:inline distT="0" distB="0" distL="0" distR="0">
                  <wp:extent cx="58958" cy="72866"/>
                  <wp:effectExtent l="0" t="0" r="0" b="0"/>
                  <wp:docPr id="785" name="image13.png"/>
                  <wp:cNvGraphicFramePr>
                    <a:graphicFrameLocks noChangeAspect="1"/>
                  </wp:cNvGraphicFramePr>
                  <a:graphic>
                    <a:graphicData uri="http://schemas.openxmlformats.org/drawingml/2006/picture">
                      <pic:pic>
                        <pic:nvPicPr>
                          <pic:cNvPr id="786"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362" w:type="dxa"/>
          </w:tcPr>
          <w:p>
            <w:pPr>
              <w:pStyle w:val="TableParagraph"/>
              <w:spacing w:before="6"/>
              <w:rPr>
                <w:sz w:val="5"/>
              </w:rPr>
            </w:pPr>
          </w:p>
          <w:p>
            <w:pPr>
              <w:pStyle w:val="TableParagraph"/>
              <w:spacing w:line="114" w:lineRule="exact"/>
              <w:ind w:left="664"/>
              <w:rPr>
                <w:sz w:val="11"/>
              </w:rPr>
            </w:pPr>
            <w:r>
              <w:rPr>
                <w:position w:val="-1"/>
                <w:sz w:val="11"/>
              </w:rPr>
              <w:drawing>
                <wp:inline distT="0" distB="0" distL="0" distR="0">
                  <wp:extent cx="58958" cy="72866"/>
                  <wp:effectExtent l="0" t="0" r="0" b="0"/>
                  <wp:docPr id="787" name="image13.png"/>
                  <wp:cNvGraphicFramePr>
                    <a:graphicFrameLocks noChangeAspect="1"/>
                  </wp:cNvGraphicFramePr>
                  <a:graphic>
                    <a:graphicData uri="http://schemas.openxmlformats.org/drawingml/2006/picture">
                      <pic:pic>
                        <pic:nvPicPr>
                          <pic:cNvPr id="788"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361" w:type="dxa"/>
          </w:tcPr>
          <w:p>
            <w:pPr>
              <w:pStyle w:val="TableParagraph"/>
              <w:spacing w:before="6"/>
              <w:rPr>
                <w:sz w:val="5"/>
              </w:rPr>
            </w:pPr>
          </w:p>
          <w:p>
            <w:pPr>
              <w:pStyle w:val="TableParagraph"/>
              <w:spacing w:line="114" w:lineRule="exact"/>
              <w:ind w:left="662"/>
              <w:rPr>
                <w:sz w:val="11"/>
              </w:rPr>
            </w:pPr>
            <w:r>
              <w:rPr>
                <w:position w:val="-1"/>
                <w:sz w:val="11"/>
              </w:rPr>
              <w:drawing>
                <wp:inline distT="0" distB="0" distL="0" distR="0">
                  <wp:extent cx="58958" cy="72866"/>
                  <wp:effectExtent l="0" t="0" r="0" b="0"/>
                  <wp:docPr id="789" name="image13.png"/>
                  <wp:cNvGraphicFramePr>
                    <a:graphicFrameLocks noChangeAspect="1"/>
                  </wp:cNvGraphicFramePr>
                  <a:graphic>
                    <a:graphicData uri="http://schemas.openxmlformats.org/drawingml/2006/picture">
                      <pic:pic>
                        <pic:nvPicPr>
                          <pic:cNvPr id="790"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r>
      <w:tr>
        <w:trPr>
          <w:trHeight w:val="662" w:hRule="atLeast"/>
        </w:trPr>
        <w:tc>
          <w:tcPr>
            <w:tcW w:w="3258" w:type="dxa"/>
          </w:tcPr>
          <w:p>
            <w:pPr>
              <w:pStyle w:val="TableParagraph"/>
              <w:spacing w:line="220" w:lineRule="exact"/>
              <w:ind w:left="107" w:right="486"/>
              <w:rPr>
                <w:sz w:val="18"/>
              </w:rPr>
            </w:pPr>
            <w:r>
              <w:rPr>
                <w:sz w:val="18"/>
              </w:rPr>
              <w:t>Module 6: Developing and</w:t>
            </w:r>
            <w:r>
              <w:rPr>
                <w:spacing w:val="1"/>
                <w:sz w:val="18"/>
              </w:rPr>
              <w:t> </w:t>
            </w:r>
            <w:r>
              <w:rPr>
                <w:sz w:val="18"/>
              </w:rPr>
              <w:t>implementing</w:t>
            </w:r>
            <w:r>
              <w:rPr>
                <w:spacing w:val="-6"/>
                <w:sz w:val="18"/>
              </w:rPr>
              <w:t> </w:t>
            </w:r>
            <w:r>
              <w:rPr>
                <w:sz w:val="18"/>
              </w:rPr>
              <w:t>the</w:t>
            </w:r>
            <w:r>
              <w:rPr>
                <w:spacing w:val="-3"/>
                <w:sz w:val="18"/>
              </w:rPr>
              <w:t> </w:t>
            </w:r>
            <w:r>
              <w:rPr>
                <w:sz w:val="18"/>
              </w:rPr>
              <w:t>shared</w:t>
            </w:r>
            <w:r>
              <w:rPr>
                <w:spacing w:val="-6"/>
                <w:sz w:val="18"/>
              </w:rPr>
              <w:t> </w:t>
            </w:r>
            <w:r>
              <w:rPr>
                <w:sz w:val="18"/>
              </w:rPr>
              <w:t>care</w:t>
            </w:r>
            <w:r>
              <w:rPr>
                <w:spacing w:val="-47"/>
                <w:sz w:val="18"/>
              </w:rPr>
              <w:t> </w:t>
            </w:r>
            <w:r>
              <w:rPr>
                <w:sz w:val="18"/>
              </w:rPr>
              <w:t>plan</w:t>
            </w:r>
          </w:p>
        </w:tc>
        <w:tc>
          <w:tcPr>
            <w:tcW w:w="1359" w:type="dxa"/>
          </w:tcPr>
          <w:p>
            <w:pPr>
              <w:pStyle w:val="TableParagraph"/>
              <w:spacing w:before="6"/>
              <w:rPr>
                <w:sz w:val="23"/>
              </w:rPr>
            </w:pPr>
          </w:p>
          <w:p>
            <w:pPr>
              <w:pStyle w:val="TableParagraph"/>
              <w:spacing w:line="114" w:lineRule="exact"/>
              <w:ind w:left="666"/>
              <w:rPr>
                <w:sz w:val="11"/>
              </w:rPr>
            </w:pPr>
            <w:r>
              <w:rPr>
                <w:position w:val="-1"/>
                <w:sz w:val="11"/>
              </w:rPr>
              <w:drawing>
                <wp:inline distT="0" distB="0" distL="0" distR="0">
                  <wp:extent cx="58958" cy="72866"/>
                  <wp:effectExtent l="0" t="0" r="0" b="0"/>
                  <wp:docPr id="791" name="image13.png"/>
                  <wp:cNvGraphicFramePr>
                    <a:graphicFrameLocks noChangeAspect="1"/>
                  </wp:cNvGraphicFramePr>
                  <a:graphic>
                    <a:graphicData uri="http://schemas.openxmlformats.org/drawingml/2006/picture">
                      <pic:pic>
                        <pic:nvPicPr>
                          <pic:cNvPr id="792"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477" w:type="dxa"/>
          </w:tcPr>
          <w:p>
            <w:pPr>
              <w:pStyle w:val="TableParagraph"/>
              <w:spacing w:before="6"/>
              <w:rPr>
                <w:sz w:val="23"/>
              </w:rPr>
            </w:pPr>
          </w:p>
          <w:p>
            <w:pPr>
              <w:pStyle w:val="TableParagraph"/>
              <w:spacing w:line="114" w:lineRule="exact"/>
              <w:ind w:left="723"/>
              <w:rPr>
                <w:sz w:val="11"/>
              </w:rPr>
            </w:pPr>
            <w:r>
              <w:rPr>
                <w:position w:val="-1"/>
                <w:sz w:val="11"/>
              </w:rPr>
              <w:drawing>
                <wp:inline distT="0" distB="0" distL="0" distR="0">
                  <wp:extent cx="58958" cy="72866"/>
                  <wp:effectExtent l="0" t="0" r="0" b="0"/>
                  <wp:docPr id="793" name="image13.png"/>
                  <wp:cNvGraphicFramePr>
                    <a:graphicFrameLocks noChangeAspect="1"/>
                  </wp:cNvGraphicFramePr>
                  <a:graphic>
                    <a:graphicData uri="http://schemas.openxmlformats.org/drawingml/2006/picture">
                      <pic:pic>
                        <pic:nvPicPr>
                          <pic:cNvPr id="794"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263" w:type="dxa"/>
          </w:tcPr>
          <w:p>
            <w:pPr>
              <w:pStyle w:val="TableParagraph"/>
              <w:spacing w:before="6"/>
              <w:rPr>
                <w:sz w:val="23"/>
              </w:rPr>
            </w:pPr>
          </w:p>
          <w:p>
            <w:pPr>
              <w:pStyle w:val="TableParagraph"/>
              <w:spacing w:line="114" w:lineRule="exact"/>
              <w:ind w:left="614"/>
              <w:rPr>
                <w:sz w:val="11"/>
              </w:rPr>
            </w:pPr>
            <w:r>
              <w:rPr>
                <w:position w:val="-1"/>
                <w:sz w:val="11"/>
              </w:rPr>
              <w:drawing>
                <wp:inline distT="0" distB="0" distL="0" distR="0">
                  <wp:extent cx="58958" cy="72866"/>
                  <wp:effectExtent l="0" t="0" r="0" b="0"/>
                  <wp:docPr id="795" name="image13.png"/>
                  <wp:cNvGraphicFramePr>
                    <a:graphicFrameLocks noChangeAspect="1"/>
                  </wp:cNvGraphicFramePr>
                  <a:graphic>
                    <a:graphicData uri="http://schemas.openxmlformats.org/drawingml/2006/picture">
                      <pic:pic>
                        <pic:nvPicPr>
                          <pic:cNvPr id="796"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362" w:type="dxa"/>
          </w:tcPr>
          <w:p>
            <w:pPr>
              <w:pStyle w:val="TableParagraph"/>
              <w:spacing w:before="6"/>
              <w:rPr>
                <w:sz w:val="23"/>
              </w:rPr>
            </w:pPr>
          </w:p>
          <w:p>
            <w:pPr>
              <w:pStyle w:val="TableParagraph"/>
              <w:spacing w:line="114" w:lineRule="exact"/>
              <w:ind w:left="664"/>
              <w:rPr>
                <w:sz w:val="11"/>
              </w:rPr>
            </w:pPr>
            <w:r>
              <w:rPr>
                <w:position w:val="-1"/>
                <w:sz w:val="11"/>
              </w:rPr>
              <w:drawing>
                <wp:inline distT="0" distB="0" distL="0" distR="0">
                  <wp:extent cx="58958" cy="72866"/>
                  <wp:effectExtent l="0" t="0" r="0" b="0"/>
                  <wp:docPr id="797" name="image13.png"/>
                  <wp:cNvGraphicFramePr>
                    <a:graphicFrameLocks noChangeAspect="1"/>
                  </wp:cNvGraphicFramePr>
                  <a:graphic>
                    <a:graphicData uri="http://schemas.openxmlformats.org/drawingml/2006/picture">
                      <pic:pic>
                        <pic:nvPicPr>
                          <pic:cNvPr id="798"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361" w:type="dxa"/>
          </w:tcPr>
          <w:p>
            <w:pPr>
              <w:pStyle w:val="TableParagraph"/>
              <w:spacing w:before="6"/>
              <w:rPr>
                <w:sz w:val="23"/>
              </w:rPr>
            </w:pPr>
          </w:p>
          <w:p>
            <w:pPr>
              <w:pStyle w:val="TableParagraph"/>
              <w:spacing w:line="114" w:lineRule="exact"/>
              <w:ind w:left="662"/>
              <w:rPr>
                <w:sz w:val="11"/>
              </w:rPr>
            </w:pPr>
            <w:r>
              <w:rPr>
                <w:position w:val="-1"/>
                <w:sz w:val="11"/>
              </w:rPr>
              <w:drawing>
                <wp:inline distT="0" distB="0" distL="0" distR="0">
                  <wp:extent cx="58958" cy="72866"/>
                  <wp:effectExtent l="0" t="0" r="0" b="0"/>
                  <wp:docPr id="799" name="image13.png"/>
                  <wp:cNvGraphicFramePr>
                    <a:graphicFrameLocks noChangeAspect="1"/>
                  </wp:cNvGraphicFramePr>
                  <a:graphic>
                    <a:graphicData uri="http://schemas.openxmlformats.org/drawingml/2006/picture">
                      <pic:pic>
                        <pic:nvPicPr>
                          <pic:cNvPr id="800"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r>
      <w:tr>
        <w:trPr>
          <w:trHeight w:val="441" w:hRule="atLeast"/>
        </w:trPr>
        <w:tc>
          <w:tcPr>
            <w:tcW w:w="3258" w:type="dxa"/>
          </w:tcPr>
          <w:p>
            <w:pPr>
              <w:pStyle w:val="TableParagraph"/>
              <w:spacing w:line="220" w:lineRule="exact"/>
              <w:ind w:left="107" w:right="1058"/>
              <w:rPr>
                <w:sz w:val="18"/>
              </w:rPr>
            </w:pPr>
            <w:r>
              <w:rPr>
                <w:sz w:val="18"/>
              </w:rPr>
              <w:t>Module 7: Patient-team</w:t>
            </w:r>
            <w:r>
              <w:rPr>
                <w:spacing w:val="-47"/>
                <w:sz w:val="18"/>
              </w:rPr>
              <w:t> </w:t>
            </w:r>
            <w:r>
              <w:rPr>
                <w:sz w:val="18"/>
              </w:rPr>
              <w:t>partnership</w:t>
            </w:r>
          </w:p>
        </w:tc>
        <w:tc>
          <w:tcPr>
            <w:tcW w:w="1359" w:type="dxa"/>
          </w:tcPr>
          <w:p>
            <w:pPr>
              <w:pStyle w:val="TableParagraph"/>
              <w:spacing w:before="6"/>
              <w:rPr>
                <w:sz w:val="14"/>
              </w:rPr>
            </w:pPr>
          </w:p>
          <w:p>
            <w:pPr>
              <w:pStyle w:val="TableParagraph"/>
              <w:spacing w:line="114" w:lineRule="exact"/>
              <w:ind w:left="666"/>
              <w:rPr>
                <w:sz w:val="11"/>
              </w:rPr>
            </w:pPr>
            <w:r>
              <w:rPr>
                <w:position w:val="-1"/>
                <w:sz w:val="11"/>
              </w:rPr>
              <w:drawing>
                <wp:inline distT="0" distB="0" distL="0" distR="0">
                  <wp:extent cx="58958" cy="72866"/>
                  <wp:effectExtent l="0" t="0" r="0" b="0"/>
                  <wp:docPr id="801" name="image13.png"/>
                  <wp:cNvGraphicFramePr>
                    <a:graphicFrameLocks noChangeAspect="1"/>
                  </wp:cNvGraphicFramePr>
                  <a:graphic>
                    <a:graphicData uri="http://schemas.openxmlformats.org/drawingml/2006/picture">
                      <pic:pic>
                        <pic:nvPicPr>
                          <pic:cNvPr id="802"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477" w:type="dxa"/>
          </w:tcPr>
          <w:p>
            <w:pPr>
              <w:pStyle w:val="TableParagraph"/>
              <w:spacing w:before="6"/>
              <w:rPr>
                <w:sz w:val="14"/>
              </w:rPr>
            </w:pPr>
          </w:p>
          <w:p>
            <w:pPr>
              <w:pStyle w:val="TableParagraph"/>
              <w:spacing w:line="114" w:lineRule="exact"/>
              <w:ind w:left="723"/>
              <w:rPr>
                <w:sz w:val="11"/>
              </w:rPr>
            </w:pPr>
            <w:r>
              <w:rPr>
                <w:position w:val="-1"/>
                <w:sz w:val="11"/>
              </w:rPr>
              <w:drawing>
                <wp:inline distT="0" distB="0" distL="0" distR="0">
                  <wp:extent cx="58958" cy="72866"/>
                  <wp:effectExtent l="0" t="0" r="0" b="0"/>
                  <wp:docPr id="803" name="image13.png"/>
                  <wp:cNvGraphicFramePr>
                    <a:graphicFrameLocks noChangeAspect="1"/>
                  </wp:cNvGraphicFramePr>
                  <a:graphic>
                    <a:graphicData uri="http://schemas.openxmlformats.org/drawingml/2006/picture">
                      <pic:pic>
                        <pic:nvPicPr>
                          <pic:cNvPr id="804"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263" w:type="dxa"/>
          </w:tcPr>
          <w:p>
            <w:pPr>
              <w:pStyle w:val="TableParagraph"/>
              <w:spacing w:before="6"/>
              <w:rPr>
                <w:sz w:val="14"/>
              </w:rPr>
            </w:pPr>
          </w:p>
          <w:p>
            <w:pPr>
              <w:pStyle w:val="TableParagraph"/>
              <w:spacing w:line="114" w:lineRule="exact"/>
              <w:ind w:left="614"/>
              <w:rPr>
                <w:sz w:val="11"/>
              </w:rPr>
            </w:pPr>
            <w:r>
              <w:rPr>
                <w:position w:val="-1"/>
                <w:sz w:val="11"/>
              </w:rPr>
              <w:drawing>
                <wp:inline distT="0" distB="0" distL="0" distR="0">
                  <wp:extent cx="58958" cy="72866"/>
                  <wp:effectExtent l="0" t="0" r="0" b="0"/>
                  <wp:docPr id="805" name="image13.png"/>
                  <wp:cNvGraphicFramePr>
                    <a:graphicFrameLocks noChangeAspect="1"/>
                  </wp:cNvGraphicFramePr>
                  <a:graphic>
                    <a:graphicData uri="http://schemas.openxmlformats.org/drawingml/2006/picture">
                      <pic:pic>
                        <pic:nvPicPr>
                          <pic:cNvPr id="806"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362" w:type="dxa"/>
          </w:tcPr>
          <w:p>
            <w:pPr>
              <w:pStyle w:val="TableParagraph"/>
              <w:spacing w:before="6"/>
              <w:rPr>
                <w:sz w:val="14"/>
              </w:rPr>
            </w:pPr>
          </w:p>
          <w:p>
            <w:pPr>
              <w:pStyle w:val="TableParagraph"/>
              <w:spacing w:line="114" w:lineRule="exact"/>
              <w:ind w:left="664"/>
              <w:rPr>
                <w:sz w:val="11"/>
              </w:rPr>
            </w:pPr>
            <w:r>
              <w:rPr>
                <w:position w:val="-1"/>
                <w:sz w:val="11"/>
              </w:rPr>
              <w:drawing>
                <wp:inline distT="0" distB="0" distL="0" distR="0">
                  <wp:extent cx="58958" cy="72866"/>
                  <wp:effectExtent l="0" t="0" r="0" b="0"/>
                  <wp:docPr id="807" name="image13.png"/>
                  <wp:cNvGraphicFramePr>
                    <a:graphicFrameLocks noChangeAspect="1"/>
                  </wp:cNvGraphicFramePr>
                  <a:graphic>
                    <a:graphicData uri="http://schemas.openxmlformats.org/drawingml/2006/picture">
                      <pic:pic>
                        <pic:nvPicPr>
                          <pic:cNvPr id="808"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361" w:type="dxa"/>
          </w:tcPr>
          <w:p>
            <w:pPr>
              <w:pStyle w:val="TableParagraph"/>
              <w:spacing w:before="6"/>
              <w:rPr>
                <w:sz w:val="14"/>
              </w:rPr>
            </w:pPr>
          </w:p>
          <w:p>
            <w:pPr>
              <w:pStyle w:val="TableParagraph"/>
              <w:spacing w:line="114" w:lineRule="exact"/>
              <w:ind w:left="662"/>
              <w:rPr>
                <w:sz w:val="11"/>
              </w:rPr>
            </w:pPr>
            <w:r>
              <w:rPr>
                <w:position w:val="-1"/>
                <w:sz w:val="11"/>
              </w:rPr>
              <w:drawing>
                <wp:inline distT="0" distB="0" distL="0" distR="0">
                  <wp:extent cx="58958" cy="72866"/>
                  <wp:effectExtent l="0" t="0" r="0" b="0"/>
                  <wp:docPr id="809" name="image13.png"/>
                  <wp:cNvGraphicFramePr>
                    <a:graphicFrameLocks noChangeAspect="1"/>
                  </wp:cNvGraphicFramePr>
                  <a:graphic>
                    <a:graphicData uri="http://schemas.openxmlformats.org/drawingml/2006/picture">
                      <pic:pic>
                        <pic:nvPicPr>
                          <pic:cNvPr id="810"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r>
      <w:tr>
        <w:trPr>
          <w:trHeight w:val="441" w:hRule="atLeast"/>
        </w:trPr>
        <w:tc>
          <w:tcPr>
            <w:tcW w:w="3258" w:type="dxa"/>
          </w:tcPr>
          <w:p>
            <w:pPr>
              <w:pStyle w:val="TableParagraph"/>
              <w:spacing w:line="220" w:lineRule="exact"/>
              <w:ind w:left="107" w:right="464"/>
              <w:rPr>
                <w:sz w:val="18"/>
              </w:rPr>
            </w:pPr>
            <w:r>
              <w:rPr>
                <w:sz w:val="18"/>
              </w:rPr>
              <w:t>Module</w:t>
            </w:r>
            <w:r>
              <w:rPr>
                <w:spacing w:val="-6"/>
                <w:sz w:val="18"/>
              </w:rPr>
              <w:t> </w:t>
            </w:r>
            <w:r>
              <w:rPr>
                <w:sz w:val="18"/>
              </w:rPr>
              <w:t>8:</w:t>
            </w:r>
            <w:r>
              <w:rPr>
                <w:spacing w:val="-8"/>
                <w:sz w:val="18"/>
              </w:rPr>
              <w:t> </w:t>
            </w:r>
            <w:r>
              <w:rPr>
                <w:sz w:val="18"/>
              </w:rPr>
              <w:t>Comprehensiveness</w:t>
            </w:r>
            <w:r>
              <w:rPr>
                <w:spacing w:val="-46"/>
                <w:sz w:val="18"/>
              </w:rPr>
              <w:t> </w:t>
            </w:r>
            <w:r>
              <w:rPr>
                <w:sz w:val="18"/>
              </w:rPr>
              <w:t>and</w:t>
            </w:r>
            <w:r>
              <w:rPr>
                <w:spacing w:val="-2"/>
                <w:sz w:val="18"/>
              </w:rPr>
              <w:t> </w:t>
            </w:r>
            <w:r>
              <w:rPr>
                <w:sz w:val="18"/>
              </w:rPr>
              <w:t>care</w:t>
            </w:r>
            <w:r>
              <w:rPr>
                <w:spacing w:val="-2"/>
                <w:sz w:val="18"/>
              </w:rPr>
              <w:t> </w:t>
            </w:r>
            <w:r>
              <w:rPr>
                <w:sz w:val="18"/>
              </w:rPr>
              <w:t>coordination</w:t>
            </w:r>
          </w:p>
        </w:tc>
        <w:tc>
          <w:tcPr>
            <w:tcW w:w="1359" w:type="dxa"/>
          </w:tcPr>
          <w:p>
            <w:pPr>
              <w:pStyle w:val="TableParagraph"/>
              <w:spacing w:before="6"/>
              <w:rPr>
                <w:sz w:val="14"/>
              </w:rPr>
            </w:pPr>
          </w:p>
          <w:p>
            <w:pPr>
              <w:pStyle w:val="TableParagraph"/>
              <w:spacing w:line="114" w:lineRule="exact"/>
              <w:ind w:left="666"/>
              <w:rPr>
                <w:sz w:val="11"/>
              </w:rPr>
            </w:pPr>
            <w:r>
              <w:rPr>
                <w:position w:val="-1"/>
                <w:sz w:val="11"/>
              </w:rPr>
              <w:drawing>
                <wp:inline distT="0" distB="0" distL="0" distR="0">
                  <wp:extent cx="58958" cy="72866"/>
                  <wp:effectExtent l="0" t="0" r="0" b="0"/>
                  <wp:docPr id="811" name="image13.png"/>
                  <wp:cNvGraphicFramePr>
                    <a:graphicFrameLocks noChangeAspect="1"/>
                  </wp:cNvGraphicFramePr>
                  <a:graphic>
                    <a:graphicData uri="http://schemas.openxmlformats.org/drawingml/2006/picture">
                      <pic:pic>
                        <pic:nvPicPr>
                          <pic:cNvPr id="812"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477" w:type="dxa"/>
          </w:tcPr>
          <w:p>
            <w:pPr>
              <w:pStyle w:val="TableParagraph"/>
              <w:spacing w:before="6"/>
              <w:rPr>
                <w:sz w:val="14"/>
              </w:rPr>
            </w:pPr>
          </w:p>
          <w:p>
            <w:pPr>
              <w:pStyle w:val="TableParagraph"/>
              <w:spacing w:line="114" w:lineRule="exact"/>
              <w:ind w:left="723"/>
              <w:rPr>
                <w:sz w:val="11"/>
              </w:rPr>
            </w:pPr>
            <w:r>
              <w:rPr>
                <w:position w:val="-1"/>
                <w:sz w:val="11"/>
              </w:rPr>
              <w:drawing>
                <wp:inline distT="0" distB="0" distL="0" distR="0">
                  <wp:extent cx="58958" cy="72866"/>
                  <wp:effectExtent l="0" t="0" r="0" b="0"/>
                  <wp:docPr id="813" name="image13.png"/>
                  <wp:cNvGraphicFramePr>
                    <a:graphicFrameLocks noChangeAspect="1"/>
                  </wp:cNvGraphicFramePr>
                  <a:graphic>
                    <a:graphicData uri="http://schemas.openxmlformats.org/drawingml/2006/picture">
                      <pic:pic>
                        <pic:nvPicPr>
                          <pic:cNvPr id="814"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263" w:type="dxa"/>
          </w:tcPr>
          <w:p>
            <w:pPr>
              <w:pStyle w:val="TableParagraph"/>
              <w:spacing w:before="6"/>
              <w:rPr>
                <w:sz w:val="14"/>
              </w:rPr>
            </w:pPr>
          </w:p>
          <w:p>
            <w:pPr>
              <w:pStyle w:val="TableParagraph"/>
              <w:spacing w:line="114" w:lineRule="exact"/>
              <w:ind w:left="614"/>
              <w:rPr>
                <w:sz w:val="11"/>
              </w:rPr>
            </w:pPr>
            <w:r>
              <w:rPr>
                <w:position w:val="-1"/>
                <w:sz w:val="11"/>
              </w:rPr>
              <w:drawing>
                <wp:inline distT="0" distB="0" distL="0" distR="0">
                  <wp:extent cx="58958" cy="72866"/>
                  <wp:effectExtent l="0" t="0" r="0" b="0"/>
                  <wp:docPr id="815" name="image13.png"/>
                  <wp:cNvGraphicFramePr>
                    <a:graphicFrameLocks noChangeAspect="1"/>
                  </wp:cNvGraphicFramePr>
                  <a:graphic>
                    <a:graphicData uri="http://schemas.openxmlformats.org/drawingml/2006/picture">
                      <pic:pic>
                        <pic:nvPicPr>
                          <pic:cNvPr id="816"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362" w:type="dxa"/>
          </w:tcPr>
          <w:p>
            <w:pPr>
              <w:pStyle w:val="TableParagraph"/>
              <w:spacing w:before="6"/>
              <w:rPr>
                <w:sz w:val="14"/>
              </w:rPr>
            </w:pPr>
          </w:p>
          <w:p>
            <w:pPr>
              <w:pStyle w:val="TableParagraph"/>
              <w:spacing w:line="114" w:lineRule="exact"/>
              <w:ind w:left="664"/>
              <w:rPr>
                <w:sz w:val="11"/>
              </w:rPr>
            </w:pPr>
            <w:r>
              <w:rPr>
                <w:position w:val="-1"/>
                <w:sz w:val="11"/>
              </w:rPr>
              <w:drawing>
                <wp:inline distT="0" distB="0" distL="0" distR="0">
                  <wp:extent cx="58958" cy="72866"/>
                  <wp:effectExtent l="0" t="0" r="0" b="0"/>
                  <wp:docPr id="817" name="image13.png"/>
                  <wp:cNvGraphicFramePr>
                    <a:graphicFrameLocks noChangeAspect="1"/>
                  </wp:cNvGraphicFramePr>
                  <a:graphic>
                    <a:graphicData uri="http://schemas.openxmlformats.org/drawingml/2006/picture">
                      <pic:pic>
                        <pic:nvPicPr>
                          <pic:cNvPr id="818"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361" w:type="dxa"/>
          </w:tcPr>
          <w:p>
            <w:pPr>
              <w:pStyle w:val="TableParagraph"/>
              <w:spacing w:before="6"/>
              <w:rPr>
                <w:sz w:val="14"/>
              </w:rPr>
            </w:pPr>
          </w:p>
          <w:p>
            <w:pPr>
              <w:pStyle w:val="TableParagraph"/>
              <w:spacing w:line="114" w:lineRule="exact"/>
              <w:ind w:left="662"/>
              <w:rPr>
                <w:sz w:val="11"/>
              </w:rPr>
            </w:pPr>
            <w:r>
              <w:rPr>
                <w:position w:val="-1"/>
                <w:sz w:val="11"/>
              </w:rPr>
              <w:drawing>
                <wp:inline distT="0" distB="0" distL="0" distR="0">
                  <wp:extent cx="58958" cy="72866"/>
                  <wp:effectExtent l="0" t="0" r="0" b="0"/>
                  <wp:docPr id="819" name="image13.png"/>
                  <wp:cNvGraphicFramePr>
                    <a:graphicFrameLocks noChangeAspect="1"/>
                  </wp:cNvGraphicFramePr>
                  <a:graphic>
                    <a:graphicData uri="http://schemas.openxmlformats.org/drawingml/2006/picture">
                      <pic:pic>
                        <pic:nvPicPr>
                          <pic:cNvPr id="820"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r>
      <w:tr>
        <w:trPr>
          <w:trHeight w:val="220" w:hRule="atLeast"/>
        </w:trPr>
        <w:tc>
          <w:tcPr>
            <w:tcW w:w="3258" w:type="dxa"/>
          </w:tcPr>
          <w:p>
            <w:pPr>
              <w:pStyle w:val="TableParagraph"/>
              <w:spacing w:line="200" w:lineRule="exact"/>
              <w:ind w:left="107"/>
              <w:rPr>
                <w:sz w:val="18"/>
              </w:rPr>
            </w:pPr>
            <w:r>
              <w:rPr>
                <w:sz w:val="18"/>
              </w:rPr>
              <w:t>Module</w:t>
            </w:r>
            <w:r>
              <w:rPr>
                <w:spacing w:val="-2"/>
                <w:sz w:val="18"/>
              </w:rPr>
              <w:t> </w:t>
            </w:r>
            <w:r>
              <w:rPr>
                <w:sz w:val="18"/>
              </w:rPr>
              <w:t>9:</w:t>
            </w:r>
            <w:r>
              <w:rPr>
                <w:spacing w:val="-3"/>
                <w:sz w:val="18"/>
              </w:rPr>
              <w:t> </w:t>
            </w:r>
            <w:r>
              <w:rPr>
                <w:sz w:val="18"/>
              </w:rPr>
              <w:t>Prompt</w:t>
            </w:r>
            <w:r>
              <w:rPr>
                <w:spacing w:val="-3"/>
                <w:sz w:val="18"/>
              </w:rPr>
              <w:t> </w:t>
            </w:r>
            <w:r>
              <w:rPr>
                <w:sz w:val="18"/>
              </w:rPr>
              <w:t>access</w:t>
            </w:r>
            <w:r>
              <w:rPr>
                <w:spacing w:val="-3"/>
                <w:sz w:val="18"/>
              </w:rPr>
              <w:t> </w:t>
            </w:r>
            <w:r>
              <w:rPr>
                <w:sz w:val="18"/>
              </w:rPr>
              <w:t>to</w:t>
            </w:r>
            <w:r>
              <w:rPr>
                <w:spacing w:val="-1"/>
                <w:sz w:val="18"/>
              </w:rPr>
              <w:t> </w:t>
            </w:r>
            <w:r>
              <w:rPr>
                <w:sz w:val="18"/>
              </w:rPr>
              <w:t>care</w:t>
            </w:r>
          </w:p>
        </w:tc>
        <w:tc>
          <w:tcPr>
            <w:tcW w:w="1359" w:type="dxa"/>
          </w:tcPr>
          <w:p>
            <w:pPr>
              <w:pStyle w:val="TableParagraph"/>
              <w:spacing w:before="6"/>
              <w:rPr>
                <w:sz w:val="5"/>
              </w:rPr>
            </w:pPr>
          </w:p>
          <w:p>
            <w:pPr>
              <w:pStyle w:val="TableParagraph"/>
              <w:spacing w:line="114" w:lineRule="exact"/>
              <w:ind w:left="666"/>
              <w:rPr>
                <w:sz w:val="11"/>
              </w:rPr>
            </w:pPr>
            <w:r>
              <w:rPr>
                <w:position w:val="-1"/>
                <w:sz w:val="11"/>
              </w:rPr>
              <w:drawing>
                <wp:inline distT="0" distB="0" distL="0" distR="0">
                  <wp:extent cx="58958" cy="72866"/>
                  <wp:effectExtent l="0" t="0" r="0" b="0"/>
                  <wp:docPr id="821" name="image13.png"/>
                  <wp:cNvGraphicFramePr>
                    <a:graphicFrameLocks noChangeAspect="1"/>
                  </wp:cNvGraphicFramePr>
                  <a:graphic>
                    <a:graphicData uri="http://schemas.openxmlformats.org/drawingml/2006/picture">
                      <pic:pic>
                        <pic:nvPicPr>
                          <pic:cNvPr id="822"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477" w:type="dxa"/>
          </w:tcPr>
          <w:p>
            <w:pPr>
              <w:pStyle w:val="TableParagraph"/>
              <w:spacing w:before="6"/>
              <w:rPr>
                <w:sz w:val="5"/>
              </w:rPr>
            </w:pPr>
          </w:p>
          <w:p>
            <w:pPr>
              <w:pStyle w:val="TableParagraph"/>
              <w:spacing w:line="114" w:lineRule="exact"/>
              <w:ind w:left="723"/>
              <w:rPr>
                <w:sz w:val="11"/>
              </w:rPr>
            </w:pPr>
            <w:r>
              <w:rPr>
                <w:position w:val="-1"/>
                <w:sz w:val="11"/>
              </w:rPr>
              <w:drawing>
                <wp:inline distT="0" distB="0" distL="0" distR="0">
                  <wp:extent cx="58958" cy="72866"/>
                  <wp:effectExtent l="0" t="0" r="0" b="0"/>
                  <wp:docPr id="823" name="image13.png"/>
                  <wp:cNvGraphicFramePr>
                    <a:graphicFrameLocks noChangeAspect="1"/>
                  </wp:cNvGraphicFramePr>
                  <a:graphic>
                    <a:graphicData uri="http://schemas.openxmlformats.org/drawingml/2006/picture">
                      <pic:pic>
                        <pic:nvPicPr>
                          <pic:cNvPr id="824"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263" w:type="dxa"/>
          </w:tcPr>
          <w:p>
            <w:pPr>
              <w:pStyle w:val="TableParagraph"/>
              <w:spacing w:before="6"/>
              <w:rPr>
                <w:sz w:val="5"/>
              </w:rPr>
            </w:pPr>
          </w:p>
          <w:p>
            <w:pPr>
              <w:pStyle w:val="TableParagraph"/>
              <w:spacing w:line="114" w:lineRule="exact"/>
              <w:ind w:left="614"/>
              <w:rPr>
                <w:sz w:val="11"/>
              </w:rPr>
            </w:pPr>
            <w:r>
              <w:rPr>
                <w:position w:val="-1"/>
                <w:sz w:val="11"/>
              </w:rPr>
              <w:drawing>
                <wp:inline distT="0" distB="0" distL="0" distR="0">
                  <wp:extent cx="58958" cy="72866"/>
                  <wp:effectExtent l="0" t="0" r="0" b="0"/>
                  <wp:docPr id="825" name="image13.png"/>
                  <wp:cNvGraphicFramePr>
                    <a:graphicFrameLocks noChangeAspect="1"/>
                  </wp:cNvGraphicFramePr>
                  <a:graphic>
                    <a:graphicData uri="http://schemas.openxmlformats.org/drawingml/2006/picture">
                      <pic:pic>
                        <pic:nvPicPr>
                          <pic:cNvPr id="826"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362" w:type="dxa"/>
          </w:tcPr>
          <w:p>
            <w:pPr>
              <w:pStyle w:val="TableParagraph"/>
              <w:spacing w:before="6"/>
              <w:rPr>
                <w:sz w:val="5"/>
              </w:rPr>
            </w:pPr>
          </w:p>
          <w:p>
            <w:pPr>
              <w:pStyle w:val="TableParagraph"/>
              <w:spacing w:line="114" w:lineRule="exact"/>
              <w:ind w:left="664"/>
              <w:rPr>
                <w:sz w:val="11"/>
              </w:rPr>
            </w:pPr>
            <w:r>
              <w:rPr>
                <w:position w:val="-1"/>
                <w:sz w:val="11"/>
              </w:rPr>
              <w:drawing>
                <wp:inline distT="0" distB="0" distL="0" distR="0">
                  <wp:extent cx="58958" cy="72866"/>
                  <wp:effectExtent l="0" t="0" r="0" b="0"/>
                  <wp:docPr id="827" name="image13.png"/>
                  <wp:cNvGraphicFramePr>
                    <a:graphicFrameLocks noChangeAspect="1"/>
                  </wp:cNvGraphicFramePr>
                  <a:graphic>
                    <a:graphicData uri="http://schemas.openxmlformats.org/drawingml/2006/picture">
                      <pic:pic>
                        <pic:nvPicPr>
                          <pic:cNvPr id="828"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361" w:type="dxa"/>
          </w:tcPr>
          <w:p>
            <w:pPr>
              <w:pStyle w:val="TableParagraph"/>
              <w:spacing w:before="6"/>
              <w:rPr>
                <w:sz w:val="5"/>
              </w:rPr>
            </w:pPr>
          </w:p>
          <w:p>
            <w:pPr>
              <w:pStyle w:val="TableParagraph"/>
              <w:spacing w:line="114" w:lineRule="exact"/>
              <w:ind w:left="662"/>
              <w:rPr>
                <w:sz w:val="11"/>
              </w:rPr>
            </w:pPr>
            <w:r>
              <w:rPr>
                <w:position w:val="-1"/>
                <w:sz w:val="11"/>
              </w:rPr>
              <w:drawing>
                <wp:inline distT="0" distB="0" distL="0" distR="0">
                  <wp:extent cx="58958" cy="72866"/>
                  <wp:effectExtent l="0" t="0" r="0" b="0"/>
                  <wp:docPr id="829" name="image13.png"/>
                  <wp:cNvGraphicFramePr>
                    <a:graphicFrameLocks noChangeAspect="1"/>
                  </wp:cNvGraphicFramePr>
                  <a:graphic>
                    <a:graphicData uri="http://schemas.openxmlformats.org/drawingml/2006/picture">
                      <pic:pic>
                        <pic:nvPicPr>
                          <pic:cNvPr id="830"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r>
      <w:tr>
        <w:trPr>
          <w:trHeight w:val="220" w:hRule="atLeast"/>
        </w:trPr>
        <w:tc>
          <w:tcPr>
            <w:tcW w:w="3258" w:type="dxa"/>
          </w:tcPr>
          <w:p>
            <w:pPr>
              <w:pStyle w:val="TableParagraph"/>
              <w:spacing w:line="200" w:lineRule="exact"/>
              <w:ind w:left="107"/>
              <w:rPr>
                <w:sz w:val="18"/>
              </w:rPr>
            </w:pPr>
            <w:r>
              <w:rPr>
                <w:sz w:val="18"/>
              </w:rPr>
              <w:t>Module</w:t>
            </w:r>
            <w:r>
              <w:rPr>
                <w:spacing w:val="-1"/>
                <w:sz w:val="18"/>
              </w:rPr>
              <w:t> </w:t>
            </w:r>
            <w:r>
              <w:rPr>
                <w:sz w:val="18"/>
              </w:rPr>
              <w:t>10:</w:t>
            </w:r>
            <w:r>
              <w:rPr>
                <w:spacing w:val="-3"/>
                <w:sz w:val="18"/>
              </w:rPr>
              <w:t> </w:t>
            </w:r>
            <w:r>
              <w:rPr>
                <w:sz w:val="18"/>
              </w:rPr>
              <w:t>???</w:t>
            </w:r>
          </w:p>
        </w:tc>
        <w:tc>
          <w:tcPr>
            <w:tcW w:w="1359" w:type="dxa"/>
          </w:tcPr>
          <w:p>
            <w:pPr>
              <w:pStyle w:val="TableParagraph"/>
              <w:spacing w:before="6"/>
              <w:rPr>
                <w:sz w:val="5"/>
              </w:rPr>
            </w:pPr>
          </w:p>
          <w:p>
            <w:pPr>
              <w:pStyle w:val="TableParagraph"/>
              <w:spacing w:line="114" w:lineRule="exact"/>
              <w:ind w:left="666"/>
              <w:rPr>
                <w:sz w:val="11"/>
              </w:rPr>
            </w:pPr>
            <w:r>
              <w:rPr>
                <w:position w:val="-1"/>
                <w:sz w:val="11"/>
              </w:rPr>
              <w:drawing>
                <wp:inline distT="0" distB="0" distL="0" distR="0">
                  <wp:extent cx="58958" cy="72866"/>
                  <wp:effectExtent l="0" t="0" r="0" b="0"/>
                  <wp:docPr id="831" name="image13.png"/>
                  <wp:cNvGraphicFramePr>
                    <a:graphicFrameLocks noChangeAspect="1"/>
                  </wp:cNvGraphicFramePr>
                  <a:graphic>
                    <a:graphicData uri="http://schemas.openxmlformats.org/drawingml/2006/picture">
                      <pic:pic>
                        <pic:nvPicPr>
                          <pic:cNvPr id="832"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477" w:type="dxa"/>
          </w:tcPr>
          <w:p>
            <w:pPr>
              <w:pStyle w:val="TableParagraph"/>
              <w:spacing w:before="6"/>
              <w:rPr>
                <w:sz w:val="5"/>
              </w:rPr>
            </w:pPr>
          </w:p>
          <w:p>
            <w:pPr>
              <w:pStyle w:val="TableParagraph"/>
              <w:spacing w:line="114" w:lineRule="exact"/>
              <w:ind w:left="723"/>
              <w:rPr>
                <w:sz w:val="11"/>
              </w:rPr>
            </w:pPr>
            <w:r>
              <w:rPr>
                <w:position w:val="-1"/>
                <w:sz w:val="11"/>
              </w:rPr>
              <w:drawing>
                <wp:inline distT="0" distB="0" distL="0" distR="0">
                  <wp:extent cx="58958" cy="72866"/>
                  <wp:effectExtent l="0" t="0" r="0" b="0"/>
                  <wp:docPr id="833" name="image13.png"/>
                  <wp:cNvGraphicFramePr>
                    <a:graphicFrameLocks noChangeAspect="1"/>
                  </wp:cNvGraphicFramePr>
                  <a:graphic>
                    <a:graphicData uri="http://schemas.openxmlformats.org/drawingml/2006/picture">
                      <pic:pic>
                        <pic:nvPicPr>
                          <pic:cNvPr id="834"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263" w:type="dxa"/>
          </w:tcPr>
          <w:p>
            <w:pPr>
              <w:pStyle w:val="TableParagraph"/>
              <w:spacing w:before="6"/>
              <w:rPr>
                <w:sz w:val="5"/>
              </w:rPr>
            </w:pPr>
          </w:p>
          <w:p>
            <w:pPr>
              <w:pStyle w:val="TableParagraph"/>
              <w:spacing w:line="114" w:lineRule="exact"/>
              <w:ind w:left="614"/>
              <w:rPr>
                <w:sz w:val="11"/>
              </w:rPr>
            </w:pPr>
            <w:r>
              <w:rPr>
                <w:position w:val="-1"/>
                <w:sz w:val="11"/>
              </w:rPr>
              <w:drawing>
                <wp:inline distT="0" distB="0" distL="0" distR="0">
                  <wp:extent cx="58958" cy="72866"/>
                  <wp:effectExtent l="0" t="0" r="0" b="0"/>
                  <wp:docPr id="835" name="image13.png"/>
                  <wp:cNvGraphicFramePr>
                    <a:graphicFrameLocks noChangeAspect="1"/>
                  </wp:cNvGraphicFramePr>
                  <a:graphic>
                    <a:graphicData uri="http://schemas.openxmlformats.org/drawingml/2006/picture">
                      <pic:pic>
                        <pic:nvPicPr>
                          <pic:cNvPr id="836"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362" w:type="dxa"/>
          </w:tcPr>
          <w:p>
            <w:pPr>
              <w:pStyle w:val="TableParagraph"/>
              <w:spacing w:before="6"/>
              <w:rPr>
                <w:sz w:val="5"/>
              </w:rPr>
            </w:pPr>
          </w:p>
          <w:p>
            <w:pPr>
              <w:pStyle w:val="TableParagraph"/>
              <w:spacing w:line="114" w:lineRule="exact"/>
              <w:ind w:left="664"/>
              <w:rPr>
                <w:sz w:val="11"/>
              </w:rPr>
            </w:pPr>
            <w:r>
              <w:rPr>
                <w:position w:val="-1"/>
                <w:sz w:val="11"/>
              </w:rPr>
              <w:drawing>
                <wp:inline distT="0" distB="0" distL="0" distR="0">
                  <wp:extent cx="58958" cy="72866"/>
                  <wp:effectExtent l="0" t="0" r="0" b="0"/>
                  <wp:docPr id="837" name="image13.png"/>
                  <wp:cNvGraphicFramePr>
                    <a:graphicFrameLocks noChangeAspect="1"/>
                  </wp:cNvGraphicFramePr>
                  <a:graphic>
                    <a:graphicData uri="http://schemas.openxmlformats.org/drawingml/2006/picture">
                      <pic:pic>
                        <pic:nvPicPr>
                          <pic:cNvPr id="838"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c>
          <w:tcPr>
            <w:tcW w:w="1361" w:type="dxa"/>
          </w:tcPr>
          <w:p>
            <w:pPr>
              <w:pStyle w:val="TableParagraph"/>
              <w:spacing w:before="6"/>
              <w:rPr>
                <w:sz w:val="5"/>
              </w:rPr>
            </w:pPr>
          </w:p>
          <w:p>
            <w:pPr>
              <w:pStyle w:val="TableParagraph"/>
              <w:spacing w:line="114" w:lineRule="exact"/>
              <w:ind w:left="662"/>
              <w:rPr>
                <w:sz w:val="11"/>
              </w:rPr>
            </w:pPr>
            <w:r>
              <w:rPr>
                <w:position w:val="-1"/>
                <w:sz w:val="11"/>
              </w:rPr>
              <w:drawing>
                <wp:inline distT="0" distB="0" distL="0" distR="0">
                  <wp:extent cx="58958" cy="72866"/>
                  <wp:effectExtent l="0" t="0" r="0" b="0"/>
                  <wp:docPr id="839" name="image13.png"/>
                  <wp:cNvGraphicFramePr>
                    <a:graphicFrameLocks noChangeAspect="1"/>
                  </wp:cNvGraphicFramePr>
                  <a:graphic>
                    <a:graphicData uri="http://schemas.openxmlformats.org/drawingml/2006/picture">
                      <pic:pic>
                        <pic:nvPicPr>
                          <pic:cNvPr id="840" name="image13.png"/>
                          <pic:cNvPicPr/>
                        </pic:nvPicPr>
                        <pic:blipFill>
                          <a:blip r:embed="rId41" cstate="print"/>
                          <a:stretch>
                            <a:fillRect/>
                          </a:stretch>
                        </pic:blipFill>
                        <pic:spPr>
                          <a:xfrm>
                            <a:off x="0" y="0"/>
                            <a:ext cx="58958" cy="72866"/>
                          </a:xfrm>
                          <a:prstGeom prst="rect">
                            <a:avLst/>
                          </a:prstGeom>
                        </pic:spPr>
                      </pic:pic>
                    </a:graphicData>
                  </a:graphic>
                </wp:inline>
              </w:drawing>
            </w:r>
            <w:r>
              <w:rPr>
                <w:position w:val="-1"/>
                <w:sz w:val="11"/>
              </w:rPr>
            </w:r>
          </w:p>
        </w:tc>
      </w:tr>
    </w:tbl>
    <w:p>
      <w:pPr>
        <w:spacing w:after="0" w:line="114" w:lineRule="exact"/>
        <w:rPr>
          <w:sz w:val="11"/>
        </w:rPr>
        <w:sectPr>
          <w:type w:val="continuous"/>
          <w:pgSz w:w="11910" w:h="16840"/>
          <w:pgMar w:header="0" w:footer="906" w:top="940" w:bottom="1140" w:left="580" w:right="280"/>
        </w:sectPr>
      </w:pPr>
    </w:p>
    <w:tbl>
      <w:tblPr>
        <w:tblW w:w="0" w:type="auto"/>
        <w:jc w:val="left"/>
        <w:tblInd w:w="1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258"/>
        <w:gridCol w:w="1359"/>
        <w:gridCol w:w="1477"/>
        <w:gridCol w:w="1263"/>
        <w:gridCol w:w="1362"/>
        <w:gridCol w:w="1361"/>
      </w:tblGrid>
      <w:tr>
        <w:trPr>
          <w:trHeight w:val="441" w:hRule="atLeast"/>
        </w:trPr>
        <w:tc>
          <w:tcPr>
            <w:tcW w:w="3258" w:type="dxa"/>
            <w:shd w:val="clear" w:color="auto" w:fill="F1F1F1"/>
          </w:tcPr>
          <w:p>
            <w:pPr>
              <w:pStyle w:val="TableParagraph"/>
              <w:spacing w:line="216" w:lineRule="exact"/>
              <w:ind w:left="107"/>
              <w:rPr>
                <w:sz w:val="18"/>
              </w:rPr>
            </w:pPr>
            <w:r>
              <w:rPr>
                <w:sz w:val="18"/>
              </w:rPr>
              <w:t>Module</w:t>
            </w:r>
          </w:p>
        </w:tc>
        <w:tc>
          <w:tcPr>
            <w:tcW w:w="1359" w:type="dxa"/>
            <w:shd w:val="clear" w:color="auto" w:fill="F1F1F1"/>
          </w:tcPr>
          <w:p>
            <w:pPr>
              <w:pStyle w:val="TableParagraph"/>
              <w:spacing w:line="220" w:lineRule="exact"/>
              <w:ind w:left="107" w:right="444"/>
              <w:rPr>
                <w:sz w:val="18"/>
              </w:rPr>
            </w:pPr>
            <w:r>
              <w:rPr>
                <w:sz w:val="18"/>
              </w:rPr>
              <w:t>1. Very</w:t>
            </w:r>
            <w:r>
              <w:rPr>
                <w:spacing w:val="1"/>
                <w:sz w:val="18"/>
              </w:rPr>
              <w:t> </w:t>
            </w:r>
            <w:r>
              <w:rPr>
                <w:sz w:val="18"/>
              </w:rPr>
              <w:t>effective</w:t>
            </w:r>
          </w:p>
        </w:tc>
        <w:tc>
          <w:tcPr>
            <w:tcW w:w="1477" w:type="dxa"/>
            <w:shd w:val="clear" w:color="auto" w:fill="F1F1F1"/>
          </w:tcPr>
          <w:p>
            <w:pPr>
              <w:pStyle w:val="TableParagraph"/>
              <w:spacing w:line="220" w:lineRule="exact"/>
              <w:ind w:left="106" w:right="130"/>
              <w:rPr>
                <w:sz w:val="18"/>
              </w:rPr>
            </w:pPr>
            <w:r>
              <w:rPr>
                <w:sz w:val="18"/>
              </w:rPr>
              <w:t>2. Moderately</w:t>
            </w:r>
            <w:r>
              <w:rPr>
                <w:spacing w:val="-48"/>
                <w:sz w:val="18"/>
              </w:rPr>
              <w:t> </w:t>
            </w:r>
            <w:r>
              <w:rPr>
                <w:sz w:val="18"/>
              </w:rPr>
              <w:t>effective</w:t>
            </w:r>
          </w:p>
        </w:tc>
        <w:tc>
          <w:tcPr>
            <w:tcW w:w="1263" w:type="dxa"/>
            <w:shd w:val="clear" w:color="auto" w:fill="F1F1F1"/>
          </w:tcPr>
          <w:p>
            <w:pPr>
              <w:pStyle w:val="TableParagraph"/>
              <w:spacing w:line="220" w:lineRule="exact"/>
              <w:ind w:left="106" w:right="349"/>
              <w:rPr>
                <w:sz w:val="18"/>
              </w:rPr>
            </w:pPr>
            <w:r>
              <w:rPr>
                <w:sz w:val="18"/>
              </w:rPr>
              <w:t>3. A little</w:t>
            </w:r>
            <w:r>
              <w:rPr>
                <w:spacing w:val="1"/>
                <w:sz w:val="18"/>
              </w:rPr>
              <w:t> </w:t>
            </w:r>
            <w:r>
              <w:rPr>
                <w:sz w:val="18"/>
              </w:rPr>
              <w:t>effective</w:t>
            </w:r>
          </w:p>
        </w:tc>
        <w:tc>
          <w:tcPr>
            <w:tcW w:w="1362" w:type="dxa"/>
            <w:shd w:val="clear" w:color="auto" w:fill="F1F1F1"/>
          </w:tcPr>
          <w:p>
            <w:pPr>
              <w:pStyle w:val="TableParagraph"/>
              <w:spacing w:line="216" w:lineRule="exact"/>
              <w:ind w:left="105"/>
              <w:rPr>
                <w:sz w:val="18"/>
              </w:rPr>
            </w:pPr>
            <w:r>
              <w:rPr>
                <w:sz w:val="18"/>
              </w:rPr>
              <w:t>4.</w:t>
            </w:r>
            <w:r>
              <w:rPr>
                <w:spacing w:val="-6"/>
                <w:sz w:val="18"/>
              </w:rPr>
              <w:t> </w:t>
            </w:r>
            <w:r>
              <w:rPr>
                <w:sz w:val="18"/>
              </w:rPr>
              <w:t>Ineffective</w:t>
            </w:r>
          </w:p>
        </w:tc>
        <w:tc>
          <w:tcPr>
            <w:tcW w:w="1361" w:type="dxa"/>
            <w:shd w:val="clear" w:color="auto" w:fill="F1F1F1"/>
          </w:tcPr>
          <w:p>
            <w:pPr>
              <w:pStyle w:val="TableParagraph"/>
              <w:spacing w:line="220" w:lineRule="exact"/>
              <w:ind w:left="105" w:right="123"/>
              <w:rPr>
                <w:sz w:val="18"/>
              </w:rPr>
            </w:pPr>
            <w:r>
              <w:rPr>
                <w:sz w:val="18"/>
              </w:rPr>
              <w:t>5.</w:t>
            </w:r>
            <w:r>
              <w:rPr>
                <w:spacing w:val="-9"/>
                <w:sz w:val="18"/>
              </w:rPr>
              <w:t> </w:t>
            </w:r>
            <w:r>
              <w:rPr>
                <w:sz w:val="18"/>
              </w:rPr>
              <w:t>Can’t</w:t>
            </w:r>
            <w:r>
              <w:rPr>
                <w:spacing w:val="-9"/>
                <w:sz w:val="18"/>
              </w:rPr>
              <w:t> </w:t>
            </w:r>
            <w:r>
              <w:rPr>
                <w:sz w:val="18"/>
              </w:rPr>
              <w:t>say/</w:t>
            </w:r>
            <w:r>
              <w:rPr>
                <w:spacing w:val="-47"/>
                <w:sz w:val="18"/>
              </w:rPr>
              <w:t> </w:t>
            </w:r>
            <w:r>
              <w:rPr>
                <w:sz w:val="18"/>
              </w:rPr>
              <w:t>don’t</w:t>
            </w:r>
            <w:r>
              <w:rPr>
                <w:spacing w:val="-2"/>
                <w:sz w:val="18"/>
              </w:rPr>
              <w:t> </w:t>
            </w:r>
            <w:r>
              <w:rPr>
                <w:sz w:val="18"/>
              </w:rPr>
              <w:t>know</w:t>
            </w:r>
          </w:p>
        </w:tc>
      </w:tr>
      <w:tr>
        <w:trPr>
          <w:trHeight w:val="441" w:hRule="atLeast"/>
        </w:trPr>
        <w:tc>
          <w:tcPr>
            <w:tcW w:w="3258" w:type="dxa"/>
          </w:tcPr>
          <w:p>
            <w:pPr>
              <w:pStyle w:val="TableParagraph"/>
              <w:spacing w:line="216" w:lineRule="exact"/>
              <w:ind w:left="107"/>
              <w:rPr>
                <w:sz w:val="18"/>
              </w:rPr>
            </w:pPr>
            <w:r>
              <w:rPr>
                <w:sz w:val="18"/>
              </w:rPr>
              <w:t>Module</w:t>
            </w:r>
            <w:r>
              <w:rPr>
                <w:spacing w:val="-2"/>
                <w:sz w:val="18"/>
              </w:rPr>
              <w:t> </w:t>
            </w:r>
            <w:r>
              <w:rPr>
                <w:sz w:val="18"/>
              </w:rPr>
              <w:t>11:</w:t>
            </w:r>
            <w:r>
              <w:rPr>
                <w:spacing w:val="-4"/>
                <w:sz w:val="18"/>
              </w:rPr>
              <w:t> </w:t>
            </w:r>
            <w:r>
              <w:rPr>
                <w:sz w:val="18"/>
              </w:rPr>
              <w:t>Population</w:t>
            </w:r>
          </w:p>
          <w:p>
            <w:pPr>
              <w:pStyle w:val="TableParagraph"/>
              <w:spacing w:line="205" w:lineRule="exact"/>
              <w:ind w:left="107"/>
              <w:rPr>
                <w:sz w:val="18"/>
              </w:rPr>
            </w:pPr>
            <w:r>
              <w:rPr>
                <w:sz w:val="18"/>
              </w:rPr>
              <w:t>management</w:t>
            </w:r>
          </w:p>
        </w:tc>
        <w:tc>
          <w:tcPr>
            <w:tcW w:w="1359" w:type="dxa"/>
          </w:tcPr>
          <w:p>
            <w:pPr>
              <w:pStyle w:val="TableParagraph"/>
              <w:spacing w:before="5"/>
              <w:rPr>
                <w:sz w:val="14"/>
              </w:rPr>
            </w:pPr>
          </w:p>
          <w:p>
            <w:pPr>
              <w:pStyle w:val="TableParagraph"/>
              <w:spacing w:line="115" w:lineRule="exact"/>
              <w:ind w:left="666"/>
              <w:rPr>
                <w:sz w:val="11"/>
              </w:rPr>
            </w:pPr>
            <w:r>
              <w:rPr>
                <w:position w:val="-1"/>
                <w:sz w:val="11"/>
              </w:rPr>
              <w:drawing>
                <wp:inline distT="0" distB="0" distL="0" distR="0">
                  <wp:extent cx="57814" cy="73151"/>
                  <wp:effectExtent l="0" t="0" r="0" b="0"/>
                  <wp:docPr id="841" name="image14.png"/>
                  <wp:cNvGraphicFramePr>
                    <a:graphicFrameLocks noChangeAspect="1"/>
                  </wp:cNvGraphicFramePr>
                  <a:graphic>
                    <a:graphicData uri="http://schemas.openxmlformats.org/drawingml/2006/picture">
                      <pic:pic>
                        <pic:nvPicPr>
                          <pic:cNvPr id="842" name="image14.png"/>
                          <pic:cNvPicPr/>
                        </pic:nvPicPr>
                        <pic:blipFill>
                          <a:blip r:embed="rId43" cstate="print"/>
                          <a:stretch>
                            <a:fillRect/>
                          </a:stretch>
                        </pic:blipFill>
                        <pic:spPr>
                          <a:xfrm>
                            <a:off x="0" y="0"/>
                            <a:ext cx="57814" cy="73151"/>
                          </a:xfrm>
                          <a:prstGeom prst="rect">
                            <a:avLst/>
                          </a:prstGeom>
                        </pic:spPr>
                      </pic:pic>
                    </a:graphicData>
                  </a:graphic>
                </wp:inline>
              </w:drawing>
            </w:r>
            <w:r>
              <w:rPr>
                <w:position w:val="-1"/>
                <w:sz w:val="11"/>
              </w:rPr>
            </w:r>
          </w:p>
        </w:tc>
        <w:tc>
          <w:tcPr>
            <w:tcW w:w="1477" w:type="dxa"/>
          </w:tcPr>
          <w:p>
            <w:pPr>
              <w:pStyle w:val="TableParagraph"/>
              <w:spacing w:before="5"/>
              <w:rPr>
                <w:sz w:val="14"/>
              </w:rPr>
            </w:pPr>
          </w:p>
          <w:p>
            <w:pPr>
              <w:pStyle w:val="TableParagraph"/>
              <w:spacing w:line="115" w:lineRule="exact"/>
              <w:ind w:left="723"/>
              <w:rPr>
                <w:sz w:val="11"/>
              </w:rPr>
            </w:pPr>
            <w:r>
              <w:rPr>
                <w:position w:val="-1"/>
                <w:sz w:val="11"/>
              </w:rPr>
              <w:drawing>
                <wp:inline distT="0" distB="0" distL="0" distR="0">
                  <wp:extent cx="57814" cy="73151"/>
                  <wp:effectExtent l="0" t="0" r="0" b="0"/>
                  <wp:docPr id="843" name="image14.png"/>
                  <wp:cNvGraphicFramePr>
                    <a:graphicFrameLocks noChangeAspect="1"/>
                  </wp:cNvGraphicFramePr>
                  <a:graphic>
                    <a:graphicData uri="http://schemas.openxmlformats.org/drawingml/2006/picture">
                      <pic:pic>
                        <pic:nvPicPr>
                          <pic:cNvPr id="844" name="image14.png"/>
                          <pic:cNvPicPr/>
                        </pic:nvPicPr>
                        <pic:blipFill>
                          <a:blip r:embed="rId43" cstate="print"/>
                          <a:stretch>
                            <a:fillRect/>
                          </a:stretch>
                        </pic:blipFill>
                        <pic:spPr>
                          <a:xfrm>
                            <a:off x="0" y="0"/>
                            <a:ext cx="57814" cy="73151"/>
                          </a:xfrm>
                          <a:prstGeom prst="rect">
                            <a:avLst/>
                          </a:prstGeom>
                        </pic:spPr>
                      </pic:pic>
                    </a:graphicData>
                  </a:graphic>
                </wp:inline>
              </w:drawing>
            </w:r>
            <w:r>
              <w:rPr>
                <w:position w:val="-1"/>
                <w:sz w:val="11"/>
              </w:rPr>
            </w:r>
          </w:p>
        </w:tc>
        <w:tc>
          <w:tcPr>
            <w:tcW w:w="1263" w:type="dxa"/>
          </w:tcPr>
          <w:p>
            <w:pPr>
              <w:pStyle w:val="TableParagraph"/>
              <w:spacing w:before="5"/>
              <w:rPr>
                <w:sz w:val="14"/>
              </w:rPr>
            </w:pPr>
          </w:p>
          <w:p>
            <w:pPr>
              <w:pStyle w:val="TableParagraph"/>
              <w:spacing w:line="112" w:lineRule="exact"/>
              <w:ind w:left="614"/>
              <w:rPr>
                <w:sz w:val="11"/>
              </w:rPr>
            </w:pPr>
            <w:r>
              <w:rPr>
                <w:position w:val="-1"/>
                <w:sz w:val="11"/>
              </w:rPr>
              <w:drawing>
                <wp:inline distT="0" distB="0" distL="0" distR="0">
                  <wp:extent cx="57802" cy="71437"/>
                  <wp:effectExtent l="0" t="0" r="0" b="0"/>
                  <wp:docPr id="845" name="image13.png"/>
                  <wp:cNvGraphicFramePr>
                    <a:graphicFrameLocks noChangeAspect="1"/>
                  </wp:cNvGraphicFramePr>
                  <a:graphic>
                    <a:graphicData uri="http://schemas.openxmlformats.org/drawingml/2006/picture">
                      <pic:pic>
                        <pic:nvPicPr>
                          <pic:cNvPr id="846"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362" w:type="dxa"/>
          </w:tcPr>
          <w:p>
            <w:pPr>
              <w:pStyle w:val="TableParagraph"/>
              <w:spacing w:before="5"/>
              <w:rPr>
                <w:sz w:val="14"/>
              </w:rPr>
            </w:pPr>
          </w:p>
          <w:p>
            <w:pPr>
              <w:pStyle w:val="TableParagraph"/>
              <w:spacing w:line="112" w:lineRule="exact"/>
              <w:ind w:left="664"/>
              <w:rPr>
                <w:sz w:val="11"/>
              </w:rPr>
            </w:pPr>
            <w:r>
              <w:rPr>
                <w:position w:val="-1"/>
                <w:sz w:val="11"/>
              </w:rPr>
              <w:drawing>
                <wp:inline distT="0" distB="0" distL="0" distR="0">
                  <wp:extent cx="57802" cy="71437"/>
                  <wp:effectExtent l="0" t="0" r="0" b="0"/>
                  <wp:docPr id="847" name="image13.png"/>
                  <wp:cNvGraphicFramePr>
                    <a:graphicFrameLocks noChangeAspect="1"/>
                  </wp:cNvGraphicFramePr>
                  <a:graphic>
                    <a:graphicData uri="http://schemas.openxmlformats.org/drawingml/2006/picture">
                      <pic:pic>
                        <pic:nvPicPr>
                          <pic:cNvPr id="848"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361" w:type="dxa"/>
          </w:tcPr>
          <w:p>
            <w:pPr>
              <w:pStyle w:val="TableParagraph"/>
              <w:spacing w:before="5"/>
              <w:rPr>
                <w:sz w:val="14"/>
              </w:rPr>
            </w:pPr>
          </w:p>
          <w:p>
            <w:pPr>
              <w:pStyle w:val="TableParagraph"/>
              <w:spacing w:line="112" w:lineRule="exact"/>
              <w:ind w:left="662"/>
              <w:rPr>
                <w:sz w:val="11"/>
              </w:rPr>
            </w:pPr>
            <w:r>
              <w:rPr>
                <w:position w:val="-1"/>
                <w:sz w:val="11"/>
              </w:rPr>
              <w:drawing>
                <wp:inline distT="0" distB="0" distL="0" distR="0">
                  <wp:extent cx="57802" cy="71437"/>
                  <wp:effectExtent l="0" t="0" r="0" b="0"/>
                  <wp:docPr id="849" name="image13.png"/>
                  <wp:cNvGraphicFramePr>
                    <a:graphicFrameLocks noChangeAspect="1"/>
                  </wp:cNvGraphicFramePr>
                  <a:graphic>
                    <a:graphicData uri="http://schemas.openxmlformats.org/drawingml/2006/picture">
                      <pic:pic>
                        <pic:nvPicPr>
                          <pic:cNvPr id="850"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r>
      <w:tr>
        <w:trPr>
          <w:trHeight w:val="441" w:hRule="atLeast"/>
        </w:trPr>
        <w:tc>
          <w:tcPr>
            <w:tcW w:w="3258" w:type="dxa"/>
          </w:tcPr>
          <w:p>
            <w:pPr>
              <w:pStyle w:val="TableParagraph"/>
              <w:spacing w:line="220" w:lineRule="exact"/>
              <w:ind w:left="107" w:right="318"/>
              <w:rPr>
                <w:sz w:val="18"/>
              </w:rPr>
            </w:pPr>
            <w:r>
              <w:rPr>
                <w:sz w:val="18"/>
              </w:rPr>
              <w:t>Module 12: Quality primary care</w:t>
            </w:r>
            <w:r>
              <w:rPr>
                <w:spacing w:val="-47"/>
                <w:sz w:val="18"/>
              </w:rPr>
              <w:t> </w:t>
            </w:r>
            <w:r>
              <w:rPr>
                <w:sz w:val="18"/>
              </w:rPr>
              <w:t>and</w:t>
            </w:r>
            <w:r>
              <w:rPr>
                <w:spacing w:val="-2"/>
                <w:sz w:val="18"/>
              </w:rPr>
              <w:t> </w:t>
            </w:r>
            <w:r>
              <w:rPr>
                <w:sz w:val="18"/>
              </w:rPr>
              <w:t>the future</w:t>
            </w:r>
          </w:p>
        </w:tc>
        <w:tc>
          <w:tcPr>
            <w:tcW w:w="1359" w:type="dxa"/>
          </w:tcPr>
          <w:p>
            <w:pPr>
              <w:pStyle w:val="TableParagraph"/>
              <w:spacing w:before="4"/>
              <w:rPr>
                <w:sz w:val="14"/>
              </w:rPr>
            </w:pPr>
          </w:p>
          <w:p>
            <w:pPr>
              <w:pStyle w:val="TableParagraph"/>
              <w:spacing w:line="115" w:lineRule="exact"/>
              <w:ind w:left="666"/>
              <w:rPr>
                <w:sz w:val="11"/>
              </w:rPr>
            </w:pPr>
            <w:r>
              <w:rPr>
                <w:position w:val="-1"/>
                <w:sz w:val="11"/>
              </w:rPr>
              <w:drawing>
                <wp:inline distT="0" distB="0" distL="0" distR="0">
                  <wp:extent cx="57814" cy="73151"/>
                  <wp:effectExtent l="0" t="0" r="0" b="0"/>
                  <wp:docPr id="851" name="image14.png"/>
                  <wp:cNvGraphicFramePr>
                    <a:graphicFrameLocks noChangeAspect="1"/>
                  </wp:cNvGraphicFramePr>
                  <a:graphic>
                    <a:graphicData uri="http://schemas.openxmlformats.org/drawingml/2006/picture">
                      <pic:pic>
                        <pic:nvPicPr>
                          <pic:cNvPr id="852" name="image14.png"/>
                          <pic:cNvPicPr/>
                        </pic:nvPicPr>
                        <pic:blipFill>
                          <a:blip r:embed="rId43" cstate="print"/>
                          <a:stretch>
                            <a:fillRect/>
                          </a:stretch>
                        </pic:blipFill>
                        <pic:spPr>
                          <a:xfrm>
                            <a:off x="0" y="0"/>
                            <a:ext cx="57814" cy="73151"/>
                          </a:xfrm>
                          <a:prstGeom prst="rect">
                            <a:avLst/>
                          </a:prstGeom>
                        </pic:spPr>
                      </pic:pic>
                    </a:graphicData>
                  </a:graphic>
                </wp:inline>
              </w:drawing>
            </w:r>
            <w:r>
              <w:rPr>
                <w:position w:val="-1"/>
                <w:sz w:val="11"/>
              </w:rPr>
            </w:r>
          </w:p>
        </w:tc>
        <w:tc>
          <w:tcPr>
            <w:tcW w:w="1477" w:type="dxa"/>
          </w:tcPr>
          <w:p>
            <w:pPr>
              <w:pStyle w:val="TableParagraph"/>
              <w:spacing w:before="4"/>
              <w:rPr>
                <w:sz w:val="14"/>
              </w:rPr>
            </w:pPr>
          </w:p>
          <w:p>
            <w:pPr>
              <w:pStyle w:val="TableParagraph"/>
              <w:spacing w:line="115" w:lineRule="exact"/>
              <w:ind w:left="723"/>
              <w:rPr>
                <w:sz w:val="11"/>
              </w:rPr>
            </w:pPr>
            <w:r>
              <w:rPr>
                <w:position w:val="-1"/>
                <w:sz w:val="11"/>
              </w:rPr>
              <w:drawing>
                <wp:inline distT="0" distB="0" distL="0" distR="0">
                  <wp:extent cx="57814" cy="73151"/>
                  <wp:effectExtent l="0" t="0" r="0" b="0"/>
                  <wp:docPr id="853" name="image14.png"/>
                  <wp:cNvGraphicFramePr>
                    <a:graphicFrameLocks noChangeAspect="1"/>
                  </wp:cNvGraphicFramePr>
                  <a:graphic>
                    <a:graphicData uri="http://schemas.openxmlformats.org/drawingml/2006/picture">
                      <pic:pic>
                        <pic:nvPicPr>
                          <pic:cNvPr id="854" name="image14.png"/>
                          <pic:cNvPicPr/>
                        </pic:nvPicPr>
                        <pic:blipFill>
                          <a:blip r:embed="rId43" cstate="print"/>
                          <a:stretch>
                            <a:fillRect/>
                          </a:stretch>
                        </pic:blipFill>
                        <pic:spPr>
                          <a:xfrm>
                            <a:off x="0" y="0"/>
                            <a:ext cx="57814" cy="73151"/>
                          </a:xfrm>
                          <a:prstGeom prst="rect">
                            <a:avLst/>
                          </a:prstGeom>
                        </pic:spPr>
                      </pic:pic>
                    </a:graphicData>
                  </a:graphic>
                </wp:inline>
              </w:drawing>
            </w:r>
            <w:r>
              <w:rPr>
                <w:position w:val="-1"/>
                <w:sz w:val="11"/>
              </w:rPr>
            </w:r>
          </w:p>
        </w:tc>
        <w:tc>
          <w:tcPr>
            <w:tcW w:w="1263" w:type="dxa"/>
          </w:tcPr>
          <w:p>
            <w:pPr>
              <w:pStyle w:val="TableParagraph"/>
              <w:spacing w:before="4" w:after="1"/>
              <w:rPr>
                <w:sz w:val="14"/>
              </w:rPr>
            </w:pPr>
          </w:p>
          <w:p>
            <w:pPr>
              <w:pStyle w:val="TableParagraph"/>
              <w:spacing w:line="112" w:lineRule="exact"/>
              <w:ind w:left="614"/>
              <w:rPr>
                <w:sz w:val="11"/>
              </w:rPr>
            </w:pPr>
            <w:r>
              <w:rPr>
                <w:position w:val="-1"/>
                <w:sz w:val="11"/>
              </w:rPr>
              <w:drawing>
                <wp:inline distT="0" distB="0" distL="0" distR="0">
                  <wp:extent cx="57802" cy="71437"/>
                  <wp:effectExtent l="0" t="0" r="0" b="0"/>
                  <wp:docPr id="855" name="image13.png"/>
                  <wp:cNvGraphicFramePr>
                    <a:graphicFrameLocks noChangeAspect="1"/>
                  </wp:cNvGraphicFramePr>
                  <a:graphic>
                    <a:graphicData uri="http://schemas.openxmlformats.org/drawingml/2006/picture">
                      <pic:pic>
                        <pic:nvPicPr>
                          <pic:cNvPr id="856"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362" w:type="dxa"/>
          </w:tcPr>
          <w:p>
            <w:pPr>
              <w:pStyle w:val="TableParagraph"/>
              <w:spacing w:before="4" w:after="1"/>
              <w:rPr>
                <w:sz w:val="14"/>
              </w:rPr>
            </w:pPr>
          </w:p>
          <w:p>
            <w:pPr>
              <w:pStyle w:val="TableParagraph"/>
              <w:spacing w:line="112" w:lineRule="exact"/>
              <w:ind w:left="664"/>
              <w:rPr>
                <w:sz w:val="11"/>
              </w:rPr>
            </w:pPr>
            <w:r>
              <w:rPr>
                <w:position w:val="-1"/>
                <w:sz w:val="11"/>
              </w:rPr>
              <w:drawing>
                <wp:inline distT="0" distB="0" distL="0" distR="0">
                  <wp:extent cx="57802" cy="71437"/>
                  <wp:effectExtent l="0" t="0" r="0" b="0"/>
                  <wp:docPr id="857" name="image13.png"/>
                  <wp:cNvGraphicFramePr>
                    <a:graphicFrameLocks noChangeAspect="1"/>
                  </wp:cNvGraphicFramePr>
                  <a:graphic>
                    <a:graphicData uri="http://schemas.openxmlformats.org/drawingml/2006/picture">
                      <pic:pic>
                        <pic:nvPicPr>
                          <pic:cNvPr id="858"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361" w:type="dxa"/>
          </w:tcPr>
          <w:p>
            <w:pPr>
              <w:pStyle w:val="TableParagraph"/>
              <w:spacing w:before="4" w:after="1"/>
              <w:rPr>
                <w:sz w:val="14"/>
              </w:rPr>
            </w:pPr>
          </w:p>
          <w:p>
            <w:pPr>
              <w:pStyle w:val="TableParagraph"/>
              <w:spacing w:line="112" w:lineRule="exact"/>
              <w:ind w:left="662"/>
              <w:rPr>
                <w:sz w:val="11"/>
              </w:rPr>
            </w:pPr>
            <w:r>
              <w:rPr>
                <w:position w:val="-1"/>
                <w:sz w:val="11"/>
              </w:rPr>
              <w:drawing>
                <wp:inline distT="0" distB="0" distL="0" distR="0">
                  <wp:extent cx="57802" cy="71437"/>
                  <wp:effectExtent l="0" t="0" r="0" b="0"/>
                  <wp:docPr id="859" name="image13.png"/>
                  <wp:cNvGraphicFramePr>
                    <a:graphicFrameLocks noChangeAspect="1"/>
                  </wp:cNvGraphicFramePr>
                  <a:graphic>
                    <a:graphicData uri="http://schemas.openxmlformats.org/drawingml/2006/picture">
                      <pic:pic>
                        <pic:nvPicPr>
                          <pic:cNvPr id="860"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r>
    </w:tbl>
    <w:p>
      <w:pPr>
        <w:pStyle w:val="BodyText"/>
        <w:spacing w:before="5"/>
        <w:rPr>
          <w:sz w:val="14"/>
        </w:rPr>
      </w:pPr>
    </w:p>
    <w:p>
      <w:pPr>
        <w:pStyle w:val="ListParagraph"/>
        <w:numPr>
          <w:ilvl w:val="0"/>
          <w:numId w:val="43"/>
        </w:numPr>
        <w:tabs>
          <w:tab w:pos="424" w:val="left" w:leader="none"/>
        </w:tabs>
        <w:spacing w:line="240" w:lineRule="auto" w:before="100" w:after="0"/>
        <w:ind w:left="423" w:right="0" w:hanging="284"/>
        <w:jc w:val="left"/>
        <w:rPr>
          <w:sz w:val="18"/>
        </w:rPr>
      </w:pPr>
      <w:r>
        <w:rPr>
          <w:sz w:val="18"/>
        </w:rPr>
        <w:t>What</w:t>
      </w:r>
      <w:r>
        <w:rPr>
          <w:spacing w:val="-4"/>
          <w:sz w:val="18"/>
        </w:rPr>
        <w:t> </w:t>
      </w:r>
      <w:r>
        <w:rPr>
          <w:sz w:val="18"/>
        </w:rPr>
        <w:t>are</w:t>
      </w:r>
      <w:r>
        <w:rPr>
          <w:spacing w:val="-2"/>
          <w:sz w:val="18"/>
        </w:rPr>
        <w:t> </w:t>
      </w:r>
      <w:r>
        <w:rPr>
          <w:sz w:val="18"/>
        </w:rPr>
        <w:t>the</w:t>
      </w:r>
      <w:r>
        <w:rPr>
          <w:spacing w:val="-2"/>
          <w:sz w:val="18"/>
        </w:rPr>
        <w:t> </w:t>
      </w:r>
      <w:r>
        <w:rPr>
          <w:sz w:val="18"/>
        </w:rPr>
        <w:t>top</w:t>
      </w:r>
      <w:r>
        <w:rPr>
          <w:spacing w:val="-2"/>
          <w:sz w:val="18"/>
        </w:rPr>
        <w:t> </w:t>
      </w:r>
      <w:r>
        <w:rPr>
          <w:sz w:val="18"/>
        </w:rPr>
        <w:t>three</w:t>
      </w:r>
      <w:r>
        <w:rPr>
          <w:spacing w:val="-2"/>
          <w:sz w:val="18"/>
        </w:rPr>
        <w:t> </w:t>
      </w:r>
      <w:r>
        <w:rPr>
          <w:sz w:val="18"/>
        </w:rPr>
        <w:t>ways</w:t>
      </w:r>
      <w:r>
        <w:rPr>
          <w:spacing w:val="-3"/>
          <w:sz w:val="18"/>
        </w:rPr>
        <w:t> </w:t>
      </w:r>
      <w:r>
        <w:rPr>
          <w:sz w:val="18"/>
        </w:rPr>
        <w:t>in</w:t>
      </w:r>
      <w:r>
        <w:rPr>
          <w:spacing w:val="-3"/>
          <w:sz w:val="18"/>
        </w:rPr>
        <w:t> </w:t>
      </w:r>
      <w:r>
        <w:rPr>
          <w:sz w:val="18"/>
        </w:rPr>
        <w:t>which</w:t>
      </w:r>
      <w:r>
        <w:rPr>
          <w:spacing w:val="-2"/>
          <w:sz w:val="18"/>
        </w:rPr>
        <w:t> </w:t>
      </w:r>
      <w:r>
        <w:rPr>
          <w:sz w:val="18"/>
        </w:rPr>
        <w:t>the</w:t>
      </w:r>
      <w:r>
        <w:rPr>
          <w:spacing w:val="2"/>
          <w:sz w:val="18"/>
        </w:rPr>
        <w:t> </w:t>
      </w:r>
      <w:r>
        <w:rPr>
          <w:b/>
          <w:sz w:val="18"/>
        </w:rPr>
        <w:t>online</w:t>
      </w:r>
      <w:r>
        <w:rPr>
          <w:b/>
          <w:spacing w:val="-3"/>
          <w:sz w:val="18"/>
        </w:rPr>
        <w:t> </w:t>
      </w:r>
      <w:r>
        <w:rPr>
          <w:b/>
          <w:sz w:val="18"/>
        </w:rPr>
        <w:t>training modules</w:t>
      </w:r>
      <w:r>
        <w:rPr>
          <w:b/>
          <w:spacing w:val="-4"/>
          <w:sz w:val="18"/>
        </w:rPr>
        <w:t> </w:t>
      </w:r>
      <w:r>
        <w:rPr>
          <w:sz w:val="18"/>
        </w:rPr>
        <w:t>could</w:t>
      </w:r>
      <w:r>
        <w:rPr>
          <w:spacing w:val="-3"/>
          <w:sz w:val="18"/>
        </w:rPr>
        <w:t> </w:t>
      </w:r>
      <w:r>
        <w:rPr>
          <w:sz w:val="18"/>
        </w:rPr>
        <w:t>be</w:t>
      </w:r>
      <w:r>
        <w:rPr>
          <w:spacing w:val="-5"/>
          <w:sz w:val="18"/>
        </w:rPr>
        <w:t> </w:t>
      </w:r>
      <w:r>
        <w:rPr>
          <w:sz w:val="18"/>
        </w:rPr>
        <w:t>improved?</w:t>
      </w:r>
    </w:p>
    <w:p>
      <w:pPr>
        <w:pStyle w:val="BodyText"/>
        <w:spacing w:before="2" w:after="1"/>
        <w:rPr>
          <w:sz w:val="23"/>
        </w:rPr>
      </w:pPr>
    </w:p>
    <w:tbl>
      <w:tblPr>
        <w:tblW w:w="0" w:type="auto"/>
        <w:jc w:val="left"/>
        <w:tblInd w:w="75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9974"/>
      </w:tblGrid>
      <w:tr>
        <w:trPr>
          <w:trHeight w:val="491" w:hRule="atLeast"/>
        </w:trPr>
        <w:tc>
          <w:tcPr>
            <w:tcW w:w="9974" w:type="dxa"/>
          </w:tcPr>
          <w:p>
            <w:pPr>
              <w:pStyle w:val="TableParagraph"/>
              <w:spacing w:before="18"/>
              <w:ind w:left="112"/>
              <w:rPr>
                <w:sz w:val="18"/>
              </w:rPr>
            </w:pPr>
            <w:r>
              <w:rPr>
                <w:sz w:val="18"/>
              </w:rPr>
              <w:t>1.</w:t>
            </w:r>
          </w:p>
        </w:tc>
      </w:tr>
      <w:tr>
        <w:trPr>
          <w:trHeight w:val="493" w:hRule="atLeast"/>
        </w:trPr>
        <w:tc>
          <w:tcPr>
            <w:tcW w:w="9974" w:type="dxa"/>
          </w:tcPr>
          <w:p>
            <w:pPr>
              <w:pStyle w:val="TableParagraph"/>
              <w:spacing w:before="20"/>
              <w:ind w:left="112"/>
              <w:rPr>
                <w:sz w:val="18"/>
              </w:rPr>
            </w:pPr>
            <w:r>
              <w:rPr>
                <w:sz w:val="18"/>
              </w:rPr>
              <w:t>2.</w:t>
            </w:r>
          </w:p>
        </w:tc>
      </w:tr>
      <w:tr>
        <w:trPr>
          <w:trHeight w:val="481" w:hRule="atLeast"/>
        </w:trPr>
        <w:tc>
          <w:tcPr>
            <w:tcW w:w="9974" w:type="dxa"/>
          </w:tcPr>
          <w:p>
            <w:pPr>
              <w:pStyle w:val="TableParagraph"/>
              <w:spacing w:before="20"/>
              <w:ind w:left="112"/>
              <w:rPr>
                <w:sz w:val="18"/>
              </w:rPr>
            </w:pPr>
            <w:r>
              <w:rPr>
                <w:sz w:val="18"/>
              </w:rPr>
              <w:t>3.</w:t>
            </w:r>
          </w:p>
        </w:tc>
      </w:tr>
    </w:tbl>
    <w:p>
      <w:pPr>
        <w:pStyle w:val="BodyText"/>
        <w:spacing w:before="4"/>
        <w:rPr>
          <w:sz w:val="16"/>
        </w:rPr>
      </w:pPr>
    </w:p>
    <w:p>
      <w:pPr>
        <w:pStyle w:val="ListParagraph"/>
        <w:numPr>
          <w:ilvl w:val="0"/>
          <w:numId w:val="43"/>
        </w:numPr>
        <w:tabs>
          <w:tab w:pos="500" w:val="left" w:leader="none"/>
        </w:tabs>
        <w:spacing w:line="240" w:lineRule="auto" w:before="0" w:after="0"/>
        <w:ind w:left="500" w:right="481" w:hanging="360"/>
        <w:jc w:val="left"/>
        <w:rPr>
          <w:sz w:val="18"/>
        </w:rPr>
      </w:pPr>
      <w:r>
        <w:rPr>
          <w:sz w:val="18"/>
        </w:rPr>
        <w:t>Did</w:t>
      </w:r>
      <w:r>
        <w:rPr>
          <w:spacing w:val="-5"/>
          <w:sz w:val="18"/>
        </w:rPr>
        <w:t> </w:t>
      </w:r>
      <w:r>
        <w:rPr>
          <w:sz w:val="18"/>
        </w:rPr>
        <w:t>a</w:t>
      </w:r>
      <w:r>
        <w:rPr>
          <w:spacing w:val="-5"/>
          <w:sz w:val="18"/>
        </w:rPr>
        <w:t> </w:t>
      </w:r>
      <w:r>
        <w:rPr>
          <w:b/>
          <w:sz w:val="18"/>
        </w:rPr>
        <w:t>practice</w:t>
      </w:r>
      <w:r>
        <w:rPr>
          <w:b/>
          <w:spacing w:val="-3"/>
          <w:sz w:val="18"/>
        </w:rPr>
        <w:t> </w:t>
      </w:r>
      <w:r>
        <w:rPr>
          <w:b/>
          <w:sz w:val="18"/>
        </w:rPr>
        <w:t>facilitator</w:t>
      </w:r>
      <w:r>
        <w:rPr>
          <w:b/>
          <w:spacing w:val="-3"/>
          <w:sz w:val="18"/>
        </w:rPr>
        <w:t> </w:t>
      </w:r>
      <w:r>
        <w:rPr>
          <w:sz w:val="18"/>
        </w:rPr>
        <w:t>from</w:t>
      </w:r>
      <w:r>
        <w:rPr>
          <w:spacing w:val="-4"/>
          <w:sz w:val="18"/>
        </w:rPr>
        <w:t> </w:t>
      </w:r>
      <w:r>
        <w:rPr>
          <w:sz w:val="18"/>
        </w:rPr>
        <w:t>tour</w:t>
      </w:r>
      <w:r>
        <w:rPr>
          <w:spacing w:val="-3"/>
          <w:sz w:val="18"/>
        </w:rPr>
        <w:t> </w:t>
      </w:r>
      <w:r>
        <w:rPr>
          <w:sz w:val="18"/>
        </w:rPr>
        <w:t>Primary</w:t>
      </w:r>
      <w:r>
        <w:rPr>
          <w:spacing w:val="-4"/>
          <w:sz w:val="18"/>
        </w:rPr>
        <w:t> </w:t>
      </w:r>
      <w:r>
        <w:rPr>
          <w:sz w:val="18"/>
        </w:rPr>
        <w:t>Health</w:t>
      </w:r>
      <w:r>
        <w:rPr>
          <w:spacing w:val="-4"/>
          <w:sz w:val="18"/>
        </w:rPr>
        <w:t> </w:t>
      </w:r>
      <w:r>
        <w:rPr>
          <w:sz w:val="18"/>
        </w:rPr>
        <w:t>Network (PHN)</w:t>
      </w:r>
      <w:r>
        <w:rPr>
          <w:spacing w:val="-5"/>
          <w:sz w:val="18"/>
        </w:rPr>
        <w:t> </w:t>
      </w:r>
      <w:r>
        <w:rPr>
          <w:sz w:val="18"/>
        </w:rPr>
        <w:t>help</w:t>
      </w:r>
      <w:r>
        <w:rPr>
          <w:spacing w:val="-4"/>
          <w:sz w:val="18"/>
        </w:rPr>
        <w:t> </w:t>
      </w:r>
      <w:r>
        <w:rPr>
          <w:sz w:val="18"/>
        </w:rPr>
        <w:t>your</w:t>
      </w:r>
      <w:r>
        <w:rPr>
          <w:spacing w:val="-3"/>
          <w:sz w:val="18"/>
        </w:rPr>
        <w:t> </w:t>
      </w:r>
      <w:r>
        <w:rPr>
          <w:sz w:val="18"/>
        </w:rPr>
        <w:t>practice/service</w:t>
      </w:r>
      <w:r>
        <w:rPr>
          <w:spacing w:val="-3"/>
          <w:sz w:val="18"/>
        </w:rPr>
        <w:t> </w:t>
      </w:r>
      <w:r>
        <w:rPr>
          <w:sz w:val="18"/>
        </w:rPr>
        <w:t>prepare</w:t>
      </w:r>
      <w:r>
        <w:rPr>
          <w:spacing w:val="-5"/>
          <w:sz w:val="18"/>
        </w:rPr>
        <w:t> </w:t>
      </w:r>
      <w:r>
        <w:rPr>
          <w:sz w:val="18"/>
        </w:rPr>
        <w:t>for</w:t>
      </w:r>
      <w:r>
        <w:rPr>
          <w:spacing w:val="-4"/>
          <w:sz w:val="18"/>
        </w:rPr>
        <w:t> </w:t>
      </w:r>
      <w:r>
        <w:rPr>
          <w:sz w:val="18"/>
        </w:rPr>
        <w:t>HCH</w:t>
      </w:r>
      <w:r>
        <w:rPr>
          <w:spacing w:val="-6"/>
          <w:sz w:val="18"/>
        </w:rPr>
        <w:t> </w:t>
      </w:r>
      <w:r>
        <w:rPr>
          <w:sz w:val="18"/>
        </w:rPr>
        <w:t>and/or</w:t>
      </w:r>
      <w:r>
        <w:rPr>
          <w:spacing w:val="1"/>
          <w:sz w:val="18"/>
        </w:rPr>
        <w:t> </w:t>
      </w:r>
      <w:r>
        <w:rPr>
          <w:sz w:val="18"/>
        </w:rPr>
        <w:t>provide</w:t>
      </w:r>
      <w:r>
        <w:rPr>
          <w:spacing w:val="-1"/>
          <w:sz w:val="18"/>
        </w:rPr>
        <w:t> </w:t>
      </w:r>
      <w:r>
        <w:rPr>
          <w:sz w:val="18"/>
        </w:rPr>
        <w:t>ongoing</w:t>
      </w:r>
      <w:r>
        <w:rPr>
          <w:spacing w:val="-2"/>
          <w:sz w:val="18"/>
        </w:rPr>
        <w:t> </w:t>
      </w:r>
      <w:r>
        <w:rPr>
          <w:sz w:val="18"/>
        </w:rPr>
        <w:t>support</w:t>
      </w:r>
      <w:r>
        <w:rPr>
          <w:spacing w:val="-2"/>
          <w:sz w:val="18"/>
        </w:rPr>
        <w:t> </w:t>
      </w:r>
      <w:r>
        <w:rPr>
          <w:sz w:val="18"/>
        </w:rPr>
        <w:t>for</w:t>
      </w:r>
      <w:r>
        <w:rPr>
          <w:spacing w:val="-2"/>
          <w:sz w:val="18"/>
        </w:rPr>
        <w:t> </w:t>
      </w:r>
      <w:r>
        <w:rPr>
          <w:sz w:val="18"/>
        </w:rPr>
        <w:t>the</w:t>
      </w:r>
      <w:r>
        <w:rPr>
          <w:spacing w:val="-2"/>
          <w:sz w:val="18"/>
        </w:rPr>
        <w:t> </w:t>
      </w:r>
      <w:r>
        <w:rPr>
          <w:sz w:val="18"/>
        </w:rPr>
        <w:t>implementation?</w:t>
      </w:r>
    </w:p>
    <w:p>
      <w:pPr>
        <w:pStyle w:val="BodyText"/>
        <w:spacing w:before="10"/>
        <w:rPr>
          <w:sz w:val="14"/>
        </w:rPr>
      </w:pPr>
    </w:p>
    <w:p>
      <w:pPr>
        <w:pStyle w:val="ListParagraph"/>
        <w:numPr>
          <w:ilvl w:val="0"/>
          <w:numId w:val="61"/>
        </w:numPr>
        <w:tabs>
          <w:tab w:pos="932" w:val="left" w:leader="none"/>
        </w:tabs>
        <w:spacing w:line="240" w:lineRule="auto" w:before="100" w:after="0"/>
        <w:ind w:left="931" w:right="0" w:hanging="151"/>
        <w:jc w:val="left"/>
        <w:rPr>
          <w:sz w:val="18"/>
        </w:rPr>
      </w:pPr>
      <w:r>
        <w:rPr/>
        <w:drawing>
          <wp:anchor distT="0" distB="0" distL="0" distR="0" allowOverlap="1" layoutInCell="1" locked="0" behindDoc="0" simplePos="0" relativeHeight="15818240">
            <wp:simplePos x="0" y="0"/>
            <wp:positionH relativeFrom="page">
              <wp:posOffset>652565</wp:posOffset>
            </wp:positionH>
            <wp:positionV relativeFrom="paragraph">
              <wp:posOffset>107969</wp:posOffset>
            </wp:positionV>
            <wp:extent cx="58380" cy="72151"/>
            <wp:effectExtent l="0" t="0" r="0" b="0"/>
            <wp:wrapNone/>
            <wp:docPr id="861" name="image13.png"/>
            <wp:cNvGraphicFramePr>
              <a:graphicFrameLocks noChangeAspect="1"/>
            </wp:cNvGraphicFramePr>
            <a:graphic>
              <a:graphicData uri="http://schemas.openxmlformats.org/drawingml/2006/picture">
                <pic:pic>
                  <pic:nvPicPr>
                    <pic:cNvPr id="86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Yes</w:t>
      </w:r>
    </w:p>
    <w:p>
      <w:pPr>
        <w:pStyle w:val="ListParagraph"/>
        <w:numPr>
          <w:ilvl w:val="0"/>
          <w:numId w:val="61"/>
        </w:numPr>
        <w:tabs>
          <w:tab w:pos="932" w:val="left" w:leader="none"/>
        </w:tabs>
        <w:spacing w:line="240" w:lineRule="auto" w:before="0" w:after="0"/>
        <w:ind w:left="931" w:right="0" w:hanging="151"/>
        <w:jc w:val="left"/>
        <w:rPr>
          <w:sz w:val="18"/>
        </w:rPr>
      </w:pPr>
      <w:r>
        <w:rPr/>
        <w:drawing>
          <wp:anchor distT="0" distB="0" distL="0" distR="0" allowOverlap="1" layoutInCell="1" locked="0" behindDoc="0" simplePos="0" relativeHeight="15818752">
            <wp:simplePos x="0" y="0"/>
            <wp:positionH relativeFrom="page">
              <wp:posOffset>652565</wp:posOffset>
            </wp:positionH>
            <wp:positionV relativeFrom="paragraph">
              <wp:posOffset>44467</wp:posOffset>
            </wp:positionV>
            <wp:extent cx="58380" cy="72153"/>
            <wp:effectExtent l="0" t="0" r="0" b="0"/>
            <wp:wrapNone/>
            <wp:docPr id="863" name="image13.png"/>
            <wp:cNvGraphicFramePr>
              <a:graphicFrameLocks noChangeAspect="1"/>
            </wp:cNvGraphicFramePr>
            <a:graphic>
              <a:graphicData uri="http://schemas.openxmlformats.org/drawingml/2006/picture">
                <pic:pic>
                  <pic:nvPicPr>
                    <pic:cNvPr id="864" name="image13.png"/>
                    <pic:cNvPicPr/>
                  </pic:nvPicPr>
                  <pic:blipFill>
                    <a:blip r:embed="rId41" cstate="print"/>
                    <a:stretch>
                      <a:fillRect/>
                    </a:stretch>
                  </pic:blipFill>
                  <pic:spPr>
                    <a:xfrm>
                      <a:off x="0" y="0"/>
                      <a:ext cx="58380" cy="72153"/>
                    </a:xfrm>
                    <a:prstGeom prst="rect">
                      <a:avLst/>
                    </a:prstGeom>
                  </pic:spPr>
                </pic:pic>
              </a:graphicData>
            </a:graphic>
          </wp:anchor>
        </w:drawing>
      </w:r>
      <w:r>
        <w:rPr>
          <w:sz w:val="18"/>
        </w:rPr>
        <w:t>No</w:t>
      </w:r>
    </w:p>
    <w:p>
      <w:pPr>
        <w:pStyle w:val="BodyText"/>
        <w:spacing w:before="7"/>
        <w:rPr>
          <w:sz w:val="14"/>
        </w:rPr>
      </w:pPr>
    </w:p>
    <w:p>
      <w:pPr>
        <w:spacing w:line="276" w:lineRule="auto" w:before="100"/>
        <w:ind w:left="140" w:right="731" w:firstLine="0"/>
        <w:jc w:val="left"/>
        <w:rPr>
          <w:sz w:val="18"/>
        </w:rPr>
      </w:pPr>
      <w:r>
        <w:rPr>
          <w:sz w:val="18"/>
        </w:rPr>
        <w:t>27a If yes for Q27: How would you rate the effectiveness of the support provided by the practice facilitator in helping</w:t>
      </w:r>
      <w:r>
        <w:rPr>
          <w:spacing w:val="-47"/>
          <w:sz w:val="18"/>
        </w:rPr>
        <w:t> </w:t>
      </w:r>
      <w:r>
        <w:rPr>
          <w:sz w:val="18"/>
        </w:rPr>
        <w:t>you</w:t>
      </w:r>
      <w:r>
        <w:rPr>
          <w:spacing w:val="-1"/>
          <w:sz w:val="18"/>
        </w:rPr>
        <w:t> </w:t>
      </w:r>
      <w:r>
        <w:rPr>
          <w:sz w:val="18"/>
        </w:rPr>
        <w:t>prepare</w:t>
      </w:r>
      <w:r>
        <w:rPr>
          <w:spacing w:val="-2"/>
          <w:sz w:val="18"/>
        </w:rPr>
        <w:t> </w:t>
      </w:r>
      <w:r>
        <w:rPr>
          <w:sz w:val="18"/>
        </w:rPr>
        <w:t>for HCH</w:t>
      </w:r>
      <w:r>
        <w:rPr>
          <w:spacing w:val="-2"/>
          <w:sz w:val="18"/>
        </w:rPr>
        <w:t> </w:t>
      </w:r>
      <w:r>
        <w:rPr>
          <w:sz w:val="18"/>
        </w:rPr>
        <w:t>and/</w:t>
      </w:r>
      <w:r>
        <w:rPr>
          <w:spacing w:val="-2"/>
          <w:sz w:val="18"/>
        </w:rPr>
        <w:t> </w:t>
      </w:r>
      <w:r>
        <w:rPr>
          <w:sz w:val="18"/>
        </w:rPr>
        <w:t>or during</w:t>
      </w:r>
      <w:r>
        <w:rPr>
          <w:spacing w:val="-3"/>
          <w:sz w:val="18"/>
        </w:rPr>
        <w:t> </w:t>
      </w:r>
      <w:r>
        <w:rPr>
          <w:sz w:val="18"/>
        </w:rPr>
        <w:t>the</w:t>
      </w:r>
      <w:r>
        <w:rPr>
          <w:spacing w:val="-2"/>
          <w:sz w:val="18"/>
        </w:rPr>
        <w:t> </w:t>
      </w:r>
      <w:r>
        <w:rPr>
          <w:sz w:val="18"/>
        </w:rPr>
        <w:t>early</w:t>
      </w:r>
      <w:r>
        <w:rPr>
          <w:spacing w:val="-1"/>
          <w:sz w:val="18"/>
        </w:rPr>
        <w:t> </w:t>
      </w:r>
      <w:r>
        <w:rPr>
          <w:sz w:val="18"/>
        </w:rPr>
        <w:t>stages</w:t>
      </w:r>
      <w:r>
        <w:rPr>
          <w:spacing w:val="-1"/>
          <w:sz w:val="18"/>
        </w:rPr>
        <w:t> </w:t>
      </w:r>
      <w:r>
        <w:rPr>
          <w:sz w:val="18"/>
        </w:rPr>
        <w:t>of</w:t>
      </w:r>
      <w:r>
        <w:rPr>
          <w:spacing w:val="-1"/>
          <w:sz w:val="18"/>
        </w:rPr>
        <w:t> </w:t>
      </w:r>
      <w:r>
        <w:rPr>
          <w:sz w:val="18"/>
        </w:rPr>
        <w:t>implementation?</w:t>
      </w:r>
    </w:p>
    <w:p>
      <w:pPr>
        <w:pStyle w:val="BodyText"/>
        <w:spacing w:before="2"/>
        <w:rPr>
          <w:sz w:val="8"/>
        </w:rPr>
      </w:pPr>
    </w:p>
    <w:p>
      <w:pPr>
        <w:pStyle w:val="ListParagraph"/>
        <w:numPr>
          <w:ilvl w:val="0"/>
          <w:numId w:val="62"/>
        </w:numPr>
        <w:tabs>
          <w:tab w:pos="932" w:val="left" w:leader="none"/>
        </w:tabs>
        <w:spacing w:line="240" w:lineRule="auto" w:before="100" w:after="0"/>
        <w:ind w:left="931" w:right="0" w:hanging="151"/>
        <w:jc w:val="left"/>
        <w:rPr>
          <w:sz w:val="18"/>
        </w:rPr>
      </w:pPr>
      <w:r>
        <w:rPr/>
        <w:drawing>
          <wp:anchor distT="0" distB="0" distL="0" distR="0" allowOverlap="1" layoutInCell="1" locked="0" behindDoc="0" simplePos="0" relativeHeight="15819264">
            <wp:simplePos x="0" y="0"/>
            <wp:positionH relativeFrom="page">
              <wp:posOffset>652565</wp:posOffset>
            </wp:positionH>
            <wp:positionV relativeFrom="paragraph">
              <wp:posOffset>107968</wp:posOffset>
            </wp:positionV>
            <wp:extent cx="58380" cy="72151"/>
            <wp:effectExtent l="0" t="0" r="0" b="0"/>
            <wp:wrapNone/>
            <wp:docPr id="865" name="image13.png"/>
            <wp:cNvGraphicFramePr>
              <a:graphicFrameLocks noChangeAspect="1"/>
            </wp:cNvGraphicFramePr>
            <a:graphic>
              <a:graphicData uri="http://schemas.openxmlformats.org/drawingml/2006/picture">
                <pic:pic>
                  <pic:nvPicPr>
                    <pic:cNvPr id="86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Very</w:t>
      </w:r>
      <w:r>
        <w:rPr>
          <w:spacing w:val="-5"/>
          <w:sz w:val="18"/>
        </w:rPr>
        <w:t> </w:t>
      </w:r>
      <w:r>
        <w:rPr>
          <w:sz w:val="18"/>
        </w:rPr>
        <w:t>effective</w:t>
      </w:r>
    </w:p>
    <w:p>
      <w:pPr>
        <w:pStyle w:val="ListParagraph"/>
        <w:numPr>
          <w:ilvl w:val="0"/>
          <w:numId w:val="62"/>
        </w:numPr>
        <w:tabs>
          <w:tab w:pos="932" w:val="left" w:leader="none"/>
        </w:tabs>
        <w:spacing w:line="240" w:lineRule="auto" w:before="0" w:after="0"/>
        <w:ind w:left="781" w:right="8276" w:firstLine="0"/>
        <w:jc w:val="left"/>
        <w:rPr>
          <w:sz w:val="18"/>
        </w:rPr>
      </w:pPr>
      <w:r>
        <w:rPr/>
        <w:drawing>
          <wp:anchor distT="0" distB="0" distL="0" distR="0" allowOverlap="1" layoutInCell="1" locked="0" behindDoc="0" simplePos="0" relativeHeight="15819776">
            <wp:simplePos x="0" y="0"/>
            <wp:positionH relativeFrom="page">
              <wp:posOffset>652565</wp:posOffset>
            </wp:positionH>
            <wp:positionV relativeFrom="paragraph">
              <wp:posOffset>44468</wp:posOffset>
            </wp:positionV>
            <wp:extent cx="58380" cy="72151"/>
            <wp:effectExtent l="0" t="0" r="0" b="0"/>
            <wp:wrapNone/>
            <wp:docPr id="867" name="image13.png"/>
            <wp:cNvGraphicFramePr>
              <a:graphicFrameLocks noChangeAspect="1"/>
            </wp:cNvGraphicFramePr>
            <a:graphic>
              <a:graphicData uri="http://schemas.openxmlformats.org/drawingml/2006/picture">
                <pic:pic>
                  <pic:nvPicPr>
                    <pic:cNvPr id="868"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820288">
            <wp:simplePos x="0" y="0"/>
            <wp:positionH relativeFrom="page">
              <wp:posOffset>652565</wp:posOffset>
            </wp:positionH>
            <wp:positionV relativeFrom="paragraph">
              <wp:posOffset>184676</wp:posOffset>
            </wp:positionV>
            <wp:extent cx="58380" cy="72151"/>
            <wp:effectExtent l="0" t="0" r="0" b="0"/>
            <wp:wrapNone/>
            <wp:docPr id="869" name="image13.png"/>
            <wp:cNvGraphicFramePr>
              <a:graphicFrameLocks noChangeAspect="1"/>
            </wp:cNvGraphicFramePr>
            <a:graphic>
              <a:graphicData uri="http://schemas.openxmlformats.org/drawingml/2006/picture">
                <pic:pic>
                  <pic:nvPicPr>
                    <pic:cNvPr id="87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Moderately effective</w:t>
      </w:r>
      <w:r>
        <w:rPr>
          <w:spacing w:val="-47"/>
          <w:sz w:val="18"/>
        </w:rPr>
        <w:t> </w:t>
      </w:r>
      <w:r>
        <w:rPr>
          <w:sz w:val="18"/>
        </w:rPr>
        <w:t>3</w:t>
      </w:r>
      <w:r>
        <w:rPr>
          <w:spacing w:val="5"/>
          <w:sz w:val="18"/>
        </w:rPr>
        <w:t> </w:t>
      </w:r>
      <w:r>
        <w:rPr>
          <w:sz w:val="18"/>
        </w:rPr>
        <w:t>A</w:t>
      </w:r>
      <w:r>
        <w:rPr>
          <w:spacing w:val="-10"/>
          <w:sz w:val="18"/>
        </w:rPr>
        <w:t> </w:t>
      </w:r>
      <w:r>
        <w:rPr>
          <w:sz w:val="18"/>
        </w:rPr>
        <w:t>little effective</w:t>
      </w:r>
    </w:p>
    <w:p>
      <w:pPr>
        <w:pStyle w:val="ListParagraph"/>
        <w:numPr>
          <w:ilvl w:val="0"/>
          <w:numId w:val="63"/>
        </w:numPr>
        <w:tabs>
          <w:tab w:pos="933" w:val="left" w:leader="none"/>
        </w:tabs>
        <w:spacing w:line="240" w:lineRule="auto" w:before="0" w:after="0"/>
        <w:ind w:left="932" w:right="0" w:hanging="152"/>
        <w:jc w:val="left"/>
        <w:rPr>
          <w:sz w:val="18"/>
        </w:rPr>
      </w:pPr>
      <w:r>
        <w:rPr/>
        <w:drawing>
          <wp:anchor distT="0" distB="0" distL="0" distR="0" allowOverlap="1" layoutInCell="1" locked="0" behindDoc="0" simplePos="0" relativeHeight="15820800">
            <wp:simplePos x="0" y="0"/>
            <wp:positionH relativeFrom="page">
              <wp:posOffset>652565</wp:posOffset>
            </wp:positionH>
            <wp:positionV relativeFrom="paragraph">
              <wp:posOffset>44468</wp:posOffset>
            </wp:positionV>
            <wp:extent cx="58380" cy="72151"/>
            <wp:effectExtent l="0" t="0" r="0" b="0"/>
            <wp:wrapNone/>
            <wp:docPr id="871" name="image13.png"/>
            <wp:cNvGraphicFramePr>
              <a:graphicFrameLocks noChangeAspect="1"/>
            </wp:cNvGraphicFramePr>
            <a:graphic>
              <a:graphicData uri="http://schemas.openxmlformats.org/drawingml/2006/picture">
                <pic:pic>
                  <pic:nvPicPr>
                    <pic:cNvPr id="87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Not</w:t>
      </w:r>
      <w:r>
        <w:rPr>
          <w:spacing w:val="-4"/>
          <w:sz w:val="18"/>
        </w:rPr>
        <w:t> </w:t>
      </w:r>
      <w:r>
        <w:rPr>
          <w:sz w:val="18"/>
        </w:rPr>
        <w:t>effective</w:t>
      </w:r>
    </w:p>
    <w:p>
      <w:pPr>
        <w:pStyle w:val="ListParagraph"/>
        <w:numPr>
          <w:ilvl w:val="0"/>
          <w:numId w:val="63"/>
        </w:numPr>
        <w:tabs>
          <w:tab w:pos="932" w:val="left" w:leader="none"/>
        </w:tabs>
        <w:spacing w:line="240" w:lineRule="auto" w:before="1" w:after="0"/>
        <w:ind w:left="931" w:right="0" w:hanging="151"/>
        <w:jc w:val="left"/>
        <w:rPr>
          <w:sz w:val="18"/>
        </w:rPr>
      </w:pPr>
      <w:r>
        <w:rPr/>
        <w:drawing>
          <wp:anchor distT="0" distB="0" distL="0" distR="0" allowOverlap="1" layoutInCell="1" locked="0" behindDoc="0" simplePos="0" relativeHeight="15821312">
            <wp:simplePos x="0" y="0"/>
            <wp:positionH relativeFrom="page">
              <wp:posOffset>652565</wp:posOffset>
            </wp:positionH>
            <wp:positionV relativeFrom="paragraph">
              <wp:posOffset>44910</wp:posOffset>
            </wp:positionV>
            <wp:extent cx="58380" cy="73869"/>
            <wp:effectExtent l="0" t="0" r="0" b="0"/>
            <wp:wrapNone/>
            <wp:docPr id="873" name="image14.png"/>
            <wp:cNvGraphicFramePr>
              <a:graphicFrameLocks noChangeAspect="1"/>
            </wp:cNvGraphicFramePr>
            <a:graphic>
              <a:graphicData uri="http://schemas.openxmlformats.org/drawingml/2006/picture">
                <pic:pic>
                  <pic:nvPicPr>
                    <pic:cNvPr id="874"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Can’t</w:t>
      </w:r>
      <w:r>
        <w:rPr>
          <w:spacing w:val="-4"/>
          <w:sz w:val="18"/>
        </w:rPr>
        <w:t> </w:t>
      </w:r>
      <w:r>
        <w:rPr>
          <w:sz w:val="18"/>
        </w:rPr>
        <w:t>say/</w:t>
      </w:r>
      <w:r>
        <w:rPr>
          <w:spacing w:val="-1"/>
          <w:sz w:val="18"/>
        </w:rPr>
        <w:t> </w:t>
      </w:r>
      <w:r>
        <w:rPr>
          <w:sz w:val="18"/>
        </w:rPr>
        <w:t>don’t</w:t>
      </w:r>
      <w:r>
        <w:rPr>
          <w:spacing w:val="-3"/>
          <w:sz w:val="18"/>
        </w:rPr>
        <w:t> </w:t>
      </w:r>
      <w:r>
        <w:rPr>
          <w:sz w:val="18"/>
        </w:rPr>
        <w:t>know</w:t>
      </w:r>
    </w:p>
    <w:p>
      <w:pPr>
        <w:pStyle w:val="BodyText"/>
        <w:spacing w:before="9"/>
        <w:rPr>
          <w:sz w:val="14"/>
        </w:rPr>
      </w:pPr>
    </w:p>
    <w:p>
      <w:pPr>
        <w:spacing w:line="273" w:lineRule="auto" w:before="100"/>
        <w:ind w:left="140" w:right="0" w:firstLine="0"/>
        <w:jc w:val="left"/>
        <w:rPr>
          <w:sz w:val="18"/>
        </w:rPr>
      </w:pPr>
      <w:r>
        <w:rPr>
          <w:sz w:val="18"/>
        </w:rPr>
        <w:t>27b. If yes for Q27:</w:t>
      </w:r>
      <w:r>
        <w:rPr>
          <w:spacing w:val="1"/>
          <w:sz w:val="18"/>
        </w:rPr>
        <w:t> </w:t>
      </w:r>
      <w:r>
        <w:rPr>
          <w:sz w:val="18"/>
        </w:rPr>
        <w:t>What are the top three ways in which the support provided by the practice facilitator towards</w:t>
      </w:r>
      <w:r>
        <w:rPr>
          <w:spacing w:val="-47"/>
          <w:sz w:val="18"/>
        </w:rPr>
        <w:t> </w:t>
      </w:r>
      <w:r>
        <w:rPr>
          <w:sz w:val="18"/>
        </w:rPr>
        <w:t>implementing</w:t>
      </w:r>
      <w:r>
        <w:rPr>
          <w:spacing w:val="-3"/>
          <w:sz w:val="18"/>
        </w:rPr>
        <w:t> </w:t>
      </w:r>
      <w:r>
        <w:rPr>
          <w:sz w:val="18"/>
        </w:rPr>
        <w:t>HCH</w:t>
      </w:r>
      <w:r>
        <w:rPr>
          <w:spacing w:val="-1"/>
          <w:sz w:val="18"/>
        </w:rPr>
        <w:t> </w:t>
      </w:r>
      <w:r>
        <w:rPr>
          <w:sz w:val="18"/>
        </w:rPr>
        <w:t>could</w:t>
      </w:r>
      <w:r>
        <w:rPr>
          <w:spacing w:val="-1"/>
          <w:sz w:val="18"/>
        </w:rPr>
        <w:t> </w:t>
      </w:r>
      <w:r>
        <w:rPr>
          <w:sz w:val="18"/>
        </w:rPr>
        <w:t>be improved?</w:t>
      </w:r>
    </w:p>
    <w:p>
      <w:pPr>
        <w:pStyle w:val="BodyText"/>
        <w:spacing w:before="10"/>
        <w:rPr>
          <w:sz w:val="16"/>
        </w:rPr>
      </w:pPr>
    </w:p>
    <w:tbl>
      <w:tblPr>
        <w:tblW w:w="0" w:type="auto"/>
        <w:jc w:val="left"/>
        <w:tblInd w:w="75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9974"/>
      </w:tblGrid>
      <w:tr>
        <w:trPr>
          <w:trHeight w:val="491" w:hRule="atLeast"/>
        </w:trPr>
        <w:tc>
          <w:tcPr>
            <w:tcW w:w="9974" w:type="dxa"/>
          </w:tcPr>
          <w:p>
            <w:pPr>
              <w:pStyle w:val="TableParagraph"/>
              <w:spacing w:before="18"/>
              <w:ind w:left="112"/>
              <w:rPr>
                <w:sz w:val="18"/>
              </w:rPr>
            </w:pPr>
            <w:r>
              <w:rPr>
                <w:sz w:val="18"/>
              </w:rPr>
              <w:t>1.</w:t>
            </w:r>
          </w:p>
        </w:tc>
      </w:tr>
      <w:tr>
        <w:trPr>
          <w:trHeight w:val="493" w:hRule="atLeast"/>
        </w:trPr>
        <w:tc>
          <w:tcPr>
            <w:tcW w:w="9974" w:type="dxa"/>
          </w:tcPr>
          <w:p>
            <w:pPr>
              <w:pStyle w:val="TableParagraph"/>
              <w:spacing w:before="20"/>
              <w:ind w:left="112"/>
              <w:rPr>
                <w:sz w:val="18"/>
              </w:rPr>
            </w:pPr>
            <w:r>
              <w:rPr>
                <w:sz w:val="18"/>
              </w:rPr>
              <w:t>2.</w:t>
            </w:r>
          </w:p>
        </w:tc>
      </w:tr>
      <w:tr>
        <w:trPr>
          <w:trHeight w:val="484" w:hRule="atLeast"/>
        </w:trPr>
        <w:tc>
          <w:tcPr>
            <w:tcW w:w="9974" w:type="dxa"/>
          </w:tcPr>
          <w:p>
            <w:pPr>
              <w:pStyle w:val="TableParagraph"/>
              <w:spacing w:before="20"/>
              <w:ind w:left="112"/>
              <w:rPr>
                <w:sz w:val="18"/>
              </w:rPr>
            </w:pPr>
            <w:r>
              <w:rPr>
                <w:sz w:val="18"/>
              </w:rPr>
              <w:t>3.</w:t>
            </w:r>
          </w:p>
        </w:tc>
      </w:tr>
    </w:tbl>
    <w:p>
      <w:pPr>
        <w:pStyle w:val="ListParagraph"/>
        <w:numPr>
          <w:ilvl w:val="0"/>
          <w:numId w:val="43"/>
        </w:numPr>
        <w:tabs>
          <w:tab w:pos="424" w:val="left" w:leader="none"/>
        </w:tabs>
        <w:spacing w:line="240" w:lineRule="auto" w:before="197" w:after="0"/>
        <w:ind w:left="423" w:right="693" w:hanging="284"/>
        <w:jc w:val="left"/>
        <w:rPr>
          <w:sz w:val="18"/>
        </w:rPr>
      </w:pPr>
      <w:r>
        <w:rPr>
          <w:sz w:val="18"/>
        </w:rPr>
        <w:t>In</w:t>
      </w:r>
      <w:r>
        <w:rPr>
          <w:spacing w:val="-5"/>
          <w:sz w:val="18"/>
        </w:rPr>
        <w:t> </w:t>
      </w:r>
      <w:r>
        <w:rPr>
          <w:sz w:val="18"/>
        </w:rPr>
        <w:t>preparing</w:t>
      </w:r>
      <w:r>
        <w:rPr>
          <w:spacing w:val="-6"/>
          <w:sz w:val="18"/>
        </w:rPr>
        <w:t> </w:t>
      </w:r>
      <w:r>
        <w:rPr>
          <w:sz w:val="18"/>
        </w:rPr>
        <w:t>for</w:t>
      </w:r>
      <w:r>
        <w:rPr>
          <w:spacing w:val="-3"/>
          <w:sz w:val="18"/>
        </w:rPr>
        <w:t> </w:t>
      </w:r>
      <w:r>
        <w:rPr>
          <w:sz w:val="18"/>
        </w:rPr>
        <w:t>HCH</w:t>
      </w:r>
      <w:r>
        <w:rPr>
          <w:spacing w:val="-6"/>
          <w:sz w:val="18"/>
        </w:rPr>
        <w:t> </w:t>
      </w:r>
      <w:r>
        <w:rPr>
          <w:sz w:val="18"/>
        </w:rPr>
        <w:t>implementation,</w:t>
      </w:r>
      <w:r>
        <w:rPr>
          <w:spacing w:val="-5"/>
          <w:sz w:val="18"/>
        </w:rPr>
        <w:t> </w:t>
      </w:r>
      <w:r>
        <w:rPr>
          <w:sz w:val="18"/>
        </w:rPr>
        <w:t>your</w:t>
      </w:r>
      <w:r>
        <w:rPr>
          <w:spacing w:val="-3"/>
          <w:sz w:val="18"/>
        </w:rPr>
        <w:t> </w:t>
      </w:r>
      <w:r>
        <w:rPr>
          <w:sz w:val="18"/>
        </w:rPr>
        <w:t>Primary</w:t>
      </w:r>
      <w:r>
        <w:rPr>
          <w:spacing w:val="-4"/>
          <w:sz w:val="18"/>
        </w:rPr>
        <w:t> </w:t>
      </w:r>
      <w:r>
        <w:rPr>
          <w:sz w:val="18"/>
        </w:rPr>
        <w:t>Health</w:t>
      </w:r>
      <w:r>
        <w:rPr>
          <w:spacing w:val="-3"/>
          <w:sz w:val="18"/>
        </w:rPr>
        <w:t> </w:t>
      </w:r>
      <w:r>
        <w:rPr>
          <w:sz w:val="18"/>
        </w:rPr>
        <w:t>Network (PHN)</w:t>
      </w:r>
      <w:r>
        <w:rPr>
          <w:spacing w:val="-2"/>
          <w:sz w:val="18"/>
        </w:rPr>
        <w:t> </w:t>
      </w:r>
      <w:r>
        <w:rPr>
          <w:sz w:val="18"/>
        </w:rPr>
        <w:t>may</w:t>
      </w:r>
      <w:r>
        <w:rPr>
          <w:spacing w:val="-4"/>
          <w:sz w:val="18"/>
        </w:rPr>
        <w:t> </w:t>
      </w:r>
      <w:r>
        <w:rPr>
          <w:sz w:val="18"/>
        </w:rPr>
        <w:t>have</w:t>
      </w:r>
      <w:r>
        <w:rPr>
          <w:spacing w:val="-3"/>
          <w:sz w:val="18"/>
        </w:rPr>
        <w:t> </w:t>
      </w:r>
      <w:r>
        <w:rPr>
          <w:sz w:val="18"/>
        </w:rPr>
        <w:t>organised</w:t>
      </w:r>
      <w:r>
        <w:rPr>
          <w:spacing w:val="-4"/>
          <w:sz w:val="18"/>
        </w:rPr>
        <w:t> </w:t>
      </w:r>
      <w:r>
        <w:rPr>
          <w:sz w:val="18"/>
        </w:rPr>
        <w:t>a</w:t>
      </w:r>
      <w:r>
        <w:rPr>
          <w:spacing w:val="-3"/>
          <w:sz w:val="18"/>
        </w:rPr>
        <w:t> </w:t>
      </w:r>
      <w:r>
        <w:rPr>
          <w:sz w:val="18"/>
        </w:rPr>
        <w:t>training</w:t>
      </w:r>
      <w:r>
        <w:rPr>
          <w:spacing w:val="-5"/>
          <w:sz w:val="18"/>
        </w:rPr>
        <w:t> </w:t>
      </w:r>
      <w:r>
        <w:rPr>
          <w:sz w:val="18"/>
        </w:rPr>
        <w:t>workshop</w:t>
      </w:r>
      <w:r>
        <w:rPr>
          <w:spacing w:val="1"/>
          <w:sz w:val="18"/>
        </w:rPr>
        <w:t> </w:t>
      </w:r>
      <w:r>
        <w:rPr>
          <w:sz w:val="18"/>
        </w:rPr>
        <w:t>for</w:t>
      </w:r>
      <w:r>
        <w:rPr>
          <w:spacing w:val="-2"/>
          <w:sz w:val="18"/>
        </w:rPr>
        <w:t> </w:t>
      </w:r>
      <w:r>
        <w:rPr>
          <w:sz w:val="18"/>
        </w:rPr>
        <w:t>practice</w:t>
      </w:r>
      <w:r>
        <w:rPr>
          <w:spacing w:val="-1"/>
          <w:sz w:val="18"/>
        </w:rPr>
        <w:t> </w:t>
      </w:r>
      <w:r>
        <w:rPr>
          <w:sz w:val="18"/>
        </w:rPr>
        <w:t>staff.</w:t>
      </w:r>
      <w:r>
        <w:rPr>
          <w:spacing w:val="-3"/>
          <w:sz w:val="18"/>
        </w:rPr>
        <w:t> </w:t>
      </w:r>
      <w:r>
        <w:rPr>
          <w:sz w:val="18"/>
        </w:rPr>
        <w:t>Did</w:t>
      </w:r>
      <w:r>
        <w:rPr>
          <w:spacing w:val="-3"/>
          <w:sz w:val="18"/>
        </w:rPr>
        <w:t> </w:t>
      </w:r>
      <w:r>
        <w:rPr>
          <w:sz w:val="18"/>
        </w:rPr>
        <w:t>staff</w:t>
      </w:r>
      <w:r>
        <w:rPr>
          <w:spacing w:val="-1"/>
          <w:sz w:val="18"/>
        </w:rPr>
        <w:t> </w:t>
      </w:r>
      <w:r>
        <w:rPr>
          <w:sz w:val="18"/>
        </w:rPr>
        <w:t>from</w:t>
      </w:r>
      <w:r>
        <w:rPr>
          <w:spacing w:val="-5"/>
          <w:sz w:val="18"/>
        </w:rPr>
        <w:t> </w:t>
      </w:r>
      <w:r>
        <w:rPr>
          <w:sz w:val="18"/>
        </w:rPr>
        <w:t>your</w:t>
      </w:r>
      <w:r>
        <w:rPr>
          <w:spacing w:val="3"/>
          <w:sz w:val="18"/>
        </w:rPr>
        <w:t> </w:t>
      </w:r>
      <w:r>
        <w:rPr>
          <w:sz w:val="18"/>
        </w:rPr>
        <w:t>practice</w:t>
      </w:r>
      <w:r>
        <w:rPr>
          <w:spacing w:val="-3"/>
          <w:sz w:val="18"/>
        </w:rPr>
        <w:t> </w:t>
      </w:r>
      <w:r>
        <w:rPr>
          <w:sz w:val="18"/>
        </w:rPr>
        <w:t>participate</w:t>
      </w:r>
      <w:r>
        <w:rPr>
          <w:spacing w:val="-2"/>
          <w:sz w:val="18"/>
        </w:rPr>
        <w:t> </w:t>
      </w:r>
      <w:r>
        <w:rPr>
          <w:sz w:val="18"/>
        </w:rPr>
        <w:t>in</w:t>
      </w:r>
      <w:r>
        <w:rPr>
          <w:spacing w:val="-1"/>
          <w:sz w:val="18"/>
        </w:rPr>
        <w:t> </w:t>
      </w:r>
      <w:r>
        <w:rPr>
          <w:sz w:val="18"/>
        </w:rPr>
        <w:t>any</w:t>
      </w:r>
      <w:r>
        <w:rPr>
          <w:spacing w:val="-2"/>
          <w:sz w:val="18"/>
        </w:rPr>
        <w:t> </w:t>
      </w:r>
      <w:r>
        <w:rPr>
          <w:sz w:val="18"/>
        </w:rPr>
        <w:t>training</w:t>
      </w:r>
      <w:r>
        <w:rPr>
          <w:spacing w:val="-3"/>
          <w:sz w:val="18"/>
        </w:rPr>
        <w:t> </w:t>
      </w:r>
      <w:r>
        <w:rPr>
          <w:sz w:val="18"/>
        </w:rPr>
        <w:t>workshops</w:t>
      </w:r>
      <w:r>
        <w:rPr>
          <w:spacing w:val="-3"/>
          <w:sz w:val="18"/>
        </w:rPr>
        <w:t> </w:t>
      </w:r>
      <w:r>
        <w:rPr>
          <w:sz w:val="18"/>
        </w:rPr>
        <w:t>organised</w:t>
      </w:r>
      <w:r>
        <w:rPr>
          <w:spacing w:val="-2"/>
          <w:sz w:val="18"/>
        </w:rPr>
        <w:t> </w:t>
      </w:r>
      <w:r>
        <w:rPr>
          <w:sz w:val="18"/>
        </w:rPr>
        <w:t>by</w:t>
      </w:r>
      <w:r>
        <w:rPr>
          <w:spacing w:val="-2"/>
          <w:sz w:val="18"/>
        </w:rPr>
        <w:t> </w:t>
      </w:r>
      <w:r>
        <w:rPr>
          <w:sz w:val="18"/>
        </w:rPr>
        <w:t>the</w:t>
      </w:r>
      <w:r>
        <w:rPr>
          <w:spacing w:val="-2"/>
          <w:sz w:val="18"/>
        </w:rPr>
        <w:t> </w:t>
      </w:r>
      <w:r>
        <w:rPr>
          <w:sz w:val="18"/>
        </w:rPr>
        <w:t>PHN?</w:t>
      </w:r>
    </w:p>
    <w:p>
      <w:pPr>
        <w:pStyle w:val="BodyText"/>
        <w:spacing w:before="10"/>
        <w:rPr>
          <w:sz w:val="14"/>
        </w:rPr>
      </w:pPr>
    </w:p>
    <w:p>
      <w:pPr>
        <w:pStyle w:val="ListParagraph"/>
        <w:numPr>
          <w:ilvl w:val="0"/>
          <w:numId w:val="64"/>
        </w:numPr>
        <w:tabs>
          <w:tab w:pos="932" w:val="left" w:leader="none"/>
        </w:tabs>
        <w:spacing w:line="240" w:lineRule="auto" w:before="100" w:after="0"/>
        <w:ind w:left="931" w:right="0" w:hanging="151"/>
        <w:jc w:val="left"/>
        <w:rPr>
          <w:sz w:val="18"/>
        </w:rPr>
      </w:pPr>
      <w:r>
        <w:rPr/>
        <w:drawing>
          <wp:anchor distT="0" distB="0" distL="0" distR="0" allowOverlap="1" layoutInCell="1" locked="0" behindDoc="0" simplePos="0" relativeHeight="15821824">
            <wp:simplePos x="0" y="0"/>
            <wp:positionH relativeFrom="page">
              <wp:posOffset>652565</wp:posOffset>
            </wp:positionH>
            <wp:positionV relativeFrom="paragraph">
              <wp:posOffset>107333</wp:posOffset>
            </wp:positionV>
            <wp:extent cx="58380" cy="72151"/>
            <wp:effectExtent l="0" t="0" r="0" b="0"/>
            <wp:wrapNone/>
            <wp:docPr id="875" name="image13.png"/>
            <wp:cNvGraphicFramePr>
              <a:graphicFrameLocks noChangeAspect="1"/>
            </wp:cNvGraphicFramePr>
            <a:graphic>
              <a:graphicData uri="http://schemas.openxmlformats.org/drawingml/2006/picture">
                <pic:pic>
                  <pic:nvPicPr>
                    <pic:cNvPr id="87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Yes</w:t>
      </w:r>
    </w:p>
    <w:p>
      <w:pPr>
        <w:pStyle w:val="ListParagraph"/>
        <w:numPr>
          <w:ilvl w:val="0"/>
          <w:numId w:val="64"/>
        </w:numPr>
        <w:tabs>
          <w:tab w:pos="932" w:val="left" w:leader="none"/>
        </w:tabs>
        <w:spacing w:line="240" w:lineRule="auto" w:before="0" w:after="0"/>
        <w:ind w:left="931" w:right="0" w:hanging="151"/>
        <w:jc w:val="left"/>
        <w:rPr>
          <w:sz w:val="18"/>
        </w:rPr>
      </w:pPr>
      <w:r>
        <w:rPr/>
        <w:drawing>
          <wp:anchor distT="0" distB="0" distL="0" distR="0" allowOverlap="1" layoutInCell="1" locked="0" behindDoc="0" simplePos="0" relativeHeight="15822336">
            <wp:simplePos x="0" y="0"/>
            <wp:positionH relativeFrom="page">
              <wp:posOffset>652565</wp:posOffset>
            </wp:positionH>
            <wp:positionV relativeFrom="paragraph">
              <wp:posOffset>43833</wp:posOffset>
            </wp:positionV>
            <wp:extent cx="58380" cy="72151"/>
            <wp:effectExtent l="0" t="0" r="0" b="0"/>
            <wp:wrapNone/>
            <wp:docPr id="877" name="image13.png"/>
            <wp:cNvGraphicFramePr>
              <a:graphicFrameLocks noChangeAspect="1"/>
            </wp:cNvGraphicFramePr>
            <a:graphic>
              <a:graphicData uri="http://schemas.openxmlformats.org/drawingml/2006/picture">
                <pic:pic>
                  <pic:nvPicPr>
                    <pic:cNvPr id="87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w:t>
      </w:r>
    </w:p>
    <w:p>
      <w:pPr>
        <w:pStyle w:val="BodyText"/>
        <w:spacing w:before="9"/>
        <w:rPr>
          <w:sz w:val="14"/>
        </w:rPr>
      </w:pPr>
    </w:p>
    <w:p>
      <w:pPr>
        <w:spacing w:line="273" w:lineRule="auto" w:before="100"/>
        <w:ind w:left="140" w:right="497" w:firstLine="0"/>
        <w:jc w:val="left"/>
        <w:rPr>
          <w:sz w:val="18"/>
        </w:rPr>
      </w:pPr>
      <w:r>
        <w:rPr>
          <w:sz w:val="18"/>
        </w:rPr>
        <w:t>28a If yes for Q28: How would you rate the training workshops provided by you PHN in helping your practice prepare for</w:t>
      </w:r>
      <w:r>
        <w:rPr>
          <w:spacing w:val="-47"/>
          <w:sz w:val="18"/>
        </w:rPr>
        <w:t> </w:t>
      </w:r>
      <w:r>
        <w:rPr>
          <w:sz w:val="18"/>
        </w:rPr>
        <w:t>implementing HCH?</w:t>
      </w:r>
    </w:p>
    <w:p>
      <w:pPr>
        <w:pStyle w:val="BodyText"/>
        <w:spacing w:before="5"/>
        <w:rPr>
          <w:sz w:val="8"/>
        </w:rPr>
      </w:pPr>
    </w:p>
    <w:p>
      <w:pPr>
        <w:pStyle w:val="ListParagraph"/>
        <w:numPr>
          <w:ilvl w:val="0"/>
          <w:numId w:val="65"/>
        </w:numPr>
        <w:tabs>
          <w:tab w:pos="932" w:val="left" w:leader="none"/>
        </w:tabs>
        <w:spacing w:line="240" w:lineRule="auto" w:before="100" w:after="0"/>
        <w:ind w:left="931" w:right="0" w:hanging="151"/>
        <w:jc w:val="left"/>
        <w:rPr>
          <w:sz w:val="18"/>
        </w:rPr>
      </w:pPr>
      <w:r>
        <w:rPr/>
        <w:drawing>
          <wp:anchor distT="0" distB="0" distL="0" distR="0" allowOverlap="1" layoutInCell="1" locked="0" behindDoc="0" simplePos="0" relativeHeight="15822848">
            <wp:simplePos x="0" y="0"/>
            <wp:positionH relativeFrom="page">
              <wp:posOffset>652565</wp:posOffset>
            </wp:positionH>
            <wp:positionV relativeFrom="paragraph">
              <wp:posOffset>107333</wp:posOffset>
            </wp:positionV>
            <wp:extent cx="58380" cy="72151"/>
            <wp:effectExtent l="0" t="0" r="0" b="0"/>
            <wp:wrapNone/>
            <wp:docPr id="879" name="image13.png"/>
            <wp:cNvGraphicFramePr>
              <a:graphicFrameLocks noChangeAspect="1"/>
            </wp:cNvGraphicFramePr>
            <a:graphic>
              <a:graphicData uri="http://schemas.openxmlformats.org/drawingml/2006/picture">
                <pic:pic>
                  <pic:nvPicPr>
                    <pic:cNvPr id="88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Very</w:t>
      </w:r>
      <w:r>
        <w:rPr>
          <w:spacing w:val="-5"/>
          <w:sz w:val="18"/>
        </w:rPr>
        <w:t> </w:t>
      </w:r>
      <w:r>
        <w:rPr>
          <w:sz w:val="18"/>
        </w:rPr>
        <w:t>effective</w:t>
      </w:r>
    </w:p>
    <w:p>
      <w:pPr>
        <w:pStyle w:val="ListParagraph"/>
        <w:numPr>
          <w:ilvl w:val="0"/>
          <w:numId w:val="65"/>
        </w:numPr>
        <w:tabs>
          <w:tab w:pos="932" w:val="left" w:leader="none"/>
        </w:tabs>
        <w:spacing w:line="240" w:lineRule="auto" w:before="0" w:after="0"/>
        <w:ind w:left="781" w:right="8276" w:firstLine="0"/>
        <w:jc w:val="left"/>
        <w:rPr>
          <w:sz w:val="18"/>
        </w:rPr>
      </w:pPr>
      <w:r>
        <w:rPr/>
        <w:drawing>
          <wp:anchor distT="0" distB="0" distL="0" distR="0" allowOverlap="1" layoutInCell="1" locked="0" behindDoc="0" simplePos="0" relativeHeight="15823360">
            <wp:simplePos x="0" y="0"/>
            <wp:positionH relativeFrom="page">
              <wp:posOffset>652565</wp:posOffset>
            </wp:positionH>
            <wp:positionV relativeFrom="paragraph">
              <wp:posOffset>43833</wp:posOffset>
            </wp:positionV>
            <wp:extent cx="58380" cy="72151"/>
            <wp:effectExtent l="0" t="0" r="0" b="0"/>
            <wp:wrapNone/>
            <wp:docPr id="881" name="image13.png"/>
            <wp:cNvGraphicFramePr>
              <a:graphicFrameLocks noChangeAspect="1"/>
            </wp:cNvGraphicFramePr>
            <a:graphic>
              <a:graphicData uri="http://schemas.openxmlformats.org/drawingml/2006/picture">
                <pic:pic>
                  <pic:nvPicPr>
                    <pic:cNvPr id="882"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823872">
            <wp:simplePos x="0" y="0"/>
            <wp:positionH relativeFrom="page">
              <wp:posOffset>652565</wp:posOffset>
            </wp:positionH>
            <wp:positionV relativeFrom="paragraph">
              <wp:posOffset>184041</wp:posOffset>
            </wp:positionV>
            <wp:extent cx="58380" cy="72151"/>
            <wp:effectExtent l="0" t="0" r="0" b="0"/>
            <wp:wrapNone/>
            <wp:docPr id="883" name="image13.png"/>
            <wp:cNvGraphicFramePr>
              <a:graphicFrameLocks noChangeAspect="1"/>
            </wp:cNvGraphicFramePr>
            <a:graphic>
              <a:graphicData uri="http://schemas.openxmlformats.org/drawingml/2006/picture">
                <pic:pic>
                  <pic:nvPicPr>
                    <pic:cNvPr id="88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Moderately effective</w:t>
      </w:r>
      <w:r>
        <w:rPr>
          <w:spacing w:val="-47"/>
          <w:sz w:val="18"/>
        </w:rPr>
        <w:t> </w:t>
      </w:r>
      <w:r>
        <w:rPr>
          <w:sz w:val="18"/>
        </w:rPr>
        <w:t>3</w:t>
      </w:r>
      <w:r>
        <w:rPr>
          <w:spacing w:val="5"/>
          <w:sz w:val="18"/>
        </w:rPr>
        <w:t> </w:t>
      </w:r>
      <w:r>
        <w:rPr>
          <w:sz w:val="18"/>
        </w:rPr>
        <w:t>A</w:t>
      </w:r>
      <w:r>
        <w:rPr>
          <w:spacing w:val="-10"/>
          <w:sz w:val="18"/>
        </w:rPr>
        <w:t> </w:t>
      </w:r>
      <w:r>
        <w:rPr>
          <w:sz w:val="18"/>
        </w:rPr>
        <w:t>little effective</w:t>
      </w:r>
    </w:p>
    <w:p>
      <w:pPr>
        <w:pStyle w:val="ListParagraph"/>
        <w:numPr>
          <w:ilvl w:val="0"/>
          <w:numId w:val="66"/>
        </w:numPr>
        <w:tabs>
          <w:tab w:pos="933" w:val="left" w:leader="none"/>
        </w:tabs>
        <w:spacing w:line="240" w:lineRule="auto" w:before="0" w:after="0"/>
        <w:ind w:left="932" w:right="0" w:hanging="152"/>
        <w:jc w:val="left"/>
        <w:rPr>
          <w:sz w:val="18"/>
        </w:rPr>
      </w:pPr>
      <w:r>
        <w:rPr/>
        <w:drawing>
          <wp:anchor distT="0" distB="0" distL="0" distR="0" allowOverlap="1" layoutInCell="1" locked="0" behindDoc="0" simplePos="0" relativeHeight="15824384">
            <wp:simplePos x="0" y="0"/>
            <wp:positionH relativeFrom="page">
              <wp:posOffset>652565</wp:posOffset>
            </wp:positionH>
            <wp:positionV relativeFrom="paragraph">
              <wp:posOffset>43833</wp:posOffset>
            </wp:positionV>
            <wp:extent cx="58380" cy="72151"/>
            <wp:effectExtent l="0" t="0" r="0" b="0"/>
            <wp:wrapNone/>
            <wp:docPr id="885" name="image13.png"/>
            <wp:cNvGraphicFramePr>
              <a:graphicFrameLocks noChangeAspect="1"/>
            </wp:cNvGraphicFramePr>
            <a:graphic>
              <a:graphicData uri="http://schemas.openxmlformats.org/drawingml/2006/picture">
                <pic:pic>
                  <pic:nvPicPr>
                    <pic:cNvPr id="88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Not</w:t>
      </w:r>
      <w:r>
        <w:rPr>
          <w:spacing w:val="-5"/>
          <w:sz w:val="18"/>
        </w:rPr>
        <w:t> </w:t>
      </w:r>
      <w:r>
        <w:rPr>
          <w:sz w:val="18"/>
        </w:rPr>
        <w:t>effective</w:t>
      </w:r>
    </w:p>
    <w:p>
      <w:pPr>
        <w:pStyle w:val="ListParagraph"/>
        <w:numPr>
          <w:ilvl w:val="0"/>
          <w:numId w:val="66"/>
        </w:numPr>
        <w:tabs>
          <w:tab w:pos="932" w:val="left" w:leader="none"/>
        </w:tabs>
        <w:spacing w:line="240" w:lineRule="auto" w:before="0" w:after="0"/>
        <w:ind w:left="931" w:right="0" w:hanging="151"/>
        <w:jc w:val="left"/>
        <w:rPr>
          <w:sz w:val="18"/>
        </w:rPr>
      </w:pPr>
      <w:r>
        <w:rPr/>
        <w:drawing>
          <wp:anchor distT="0" distB="0" distL="0" distR="0" allowOverlap="1" layoutInCell="1" locked="0" behindDoc="0" simplePos="0" relativeHeight="15824896">
            <wp:simplePos x="0" y="0"/>
            <wp:positionH relativeFrom="page">
              <wp:posOffset>652565</wp:posOffset>
            </wp:positionH>
            <wp:positionV relativeFrom="paragraph">
              <wp:posOffset>43833</wp:posOffset>
            </wp:positionV>
            <wp:extent cx="58380" cy="72151"/>
            <wp:effectExtent l="0" t="0" r="0" b="0"/>
            <wp:wrapNone/>
            <wp:docPr id="887" name="image13.png"/>
            <wp:cNvGraphicFramePr>
              <a:graphicFrameLocks noChangeAspect="1"/>
            </wp:cNvGraphicFramePr>
            <a:graphic>
              <a:graphicData uri="http://schemas.openxmlformats.org/drawingml/2006/picture">
                <pic:pic>
                  <pic:nvPicPr>
                    <pic:cNvPr id="88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Can’t</w:t>
      </w:r>
      <w:r>
        <w:rPr>
          <w:spacing w:val="-4"/>
          <w:sz w:val="18"/>
        </w:rPr>
        <w:t> </w:t>
      </w:r>
      <w:r>
        <w:rPr>
          <w:sz w:val="18"/>
        </w:rPr>
        <w:t>say/</w:t>
      </w:r>
      <w:r>
        <w:rPr>
          <w:spacing w:val="-1"/>
          <w:sz w:val="18"/>
        </w:rPr>
        <w:t> </w:t>
      </w:r>
      <w:r>
        <w:rPr>
          <w:sz w:val="18"/>
        </w:rPr>
        <w:t>don’t</w:t>
      </w:r>
      <w:r>
        <w:rPr>
          <w:spacing w:val="-3"/>
          <w:sz w:val="18"/>
        </w:rPr>
        <w:t> </w:t>
      </w:r>
      <w:r>
        <w:rPr>
          <w:sz w:val="18"/>
        </w:rPr>
        <w:t>know</w:t>
      </w:r>
    </w:p>
    <w:p>
      <w:pPr>
        <w:spacing w:after="0" w:line="240" w:lineRule="auto"/>
        <w:jc w:val="left"/>
        <w:rPr>
          <w:sz w:val="18"/>
        </w:rPr>
        <w:sectPr>
          <w:type w:val="continuous"/>
          <w:pgSz w:w="11910" w:h="16840"/>
          <w:pgMar w:header="0" w:footer="906" w:top="940" w:bottom="1140" w:left="580" w:right="280"/>
        </w:sectPr>
      </w:pPr>
    </w:p>
    <w:p>
      <w:pPr>
        <w:pStyle w:val="ListParagraph"/>
        <w:numPr>
          <w:ilvl w:val="0"/>
          <w:numId w:val="43"/>
        </w:numPr>
        <w:tabs>
          <w:tab w:pos="424" w:val="left" w:leader="none"/>
        </w:tabs>
        <w:spacing w:line="240" w:lineRule="auto" w:before="75" w:after="0"/>
        <w:ind w:left="423" w:right="589" w:hanging="284"/>
        <w:jc w:val="left"/>
        <w:rPr>
          <w:sz w:val="18"/>
        </w:rPr>
      </w:pPr>
      <w:r>
        <w:rPr>
          <w:sz w:val="18"/>
        </w:rPr>
        <w:t>If</w:t>
      </w:r>
      <w:r>
        <w:rPr>
          <w:spacing w:val="-4"/>
          <w:sz w:val="18"/>
        </w:rPr>
        <w:t> </w:t>
      </w:r>
      <w:r>
        <w:rPr>
          <w:sz w:val="18"/>
        </w:rPr>
        <w:t>yes</w:t>
      </w:r>
      <w:r>
        <w:rPr>
          <w:spacing w:val="-3"/>
          <w:sz w:val="18"/>
        </w:rPr>
        <w:t> </w:t>
      </w:r>
      <w:r>
        <w:rPr>
          <w:sz w:val="18"/>
        </w:rPr>
        <w:t>for</w:t>
      </w:r>
      <w:r>
        <w:rPr>
          <w:spacing w:val="-2"/>
          <w:sz w:val="18"/>
        </w:rPr>
        <w:t> </w:t>
      </w:r>
      <w:r>
        <w:rPr>
          <w:sz w:val="18"/>
        </w:rPr>
        <w:t>Q28:</w:t>
      </w:r>
      <w:r>
        <w:rPr>
          <w:spacing w:val="48"/>
          <w:sz w:val="18"/>
        </w:rPr>
        <w:t> </w:t>
      </w:r>
      <w:r>
        <w:rPr>
          <w:sz w:val="18"/>
        </w:rPr>
        <w:t>What</w:t>
      </w:r>
      <w:r>
        <w:rPr>
          <w:spacing w:val="-4"/>
          <w:sz w:val="18"/>
        </w:rPr>
        <w:t> </w:t>
      </w:r>
      <w:r>
        <w:rPr>
          <w:sz w:val="18"/>
        </w:rPr>
        <w:t>are</w:t>
      </w:r>
      <w:r>
        <w:rPr>
          <w:spacing w:val="-2"/>
          <w:sz w:val="18"/>
        </w:rPr>
        <w:t> </w:t>
      </w:r>
      <w:r>
        <w:rPr>
          <w:sz w:val="18"/>
        </w:rPr>
        <w:t>the</w:t>
      </w:r>
      <w:r>
        <w:rPr>
          <w:spacing w:val="-2"/>
          <w:sz w:val="18"/>
        </w:rPr>
        <w:t> </w:t>
      </w:r>
      <w:r>
        <w:rPr>
          <w:sz w:val="18"/>
        </w:rPr>
        <w:t>top</w:t>
      </w:r>
      <w:r>
        <w:rPr>
          <w:spacing w:val="-3"/>
          <w:sz w:val="18"/>
        </w:rPr>
        <w:t> </w:t>
      </w:r>
      <w:r>
        <w:rPr>
          <w:sz w:val="18"/>
        </w:rPr>
        <w:t>ways</w:t>
      </w:r>
      <w:r>
        <w:rPr>
          <w:spacing w:val="2"/>
          <w:sz w:val="18"/>
        </w:rPr>
        <w:t> </w:t>
      </w:r>
      <w:r>
        <w:rPr>
          <w:sz w:val="18"/>
        </w:rPr>
        <w:t>(up to</w:t>
      </w:r>
      <w:r>
        <w:rPr>
          <w:spacing w:val="-2"/>
          <w:sz w:val="18"/>
        </w:rPr>
        <w:t> </w:t>
      </w:r>
      <w:r>
        <w:rPr>
          <w:sz w:val="18"/>
        </w:rPr>
        <w:t>three)</w:t>
      </w:r>
      <w:r>
        <w:rPr>
          <w:spacing w:val="-4"/>
          <w:sz w:val="18"/>
        </w:rPr>
        <w:t> </w:t>
      </w:r>
      <w:r>
        <w:rPr>
          <w:sz w:val="18"/>
        </w:rPr>
        <w:t>in</w:t>
      </w:r>
      <w:r>
        <w:rPr>
          <w:spacing w:val="-2"/>
          <w:sz w:val="18"/>
        </w:rPr>
        <w:t> </w:t>
      </w:r>
      <w:r>
        <w:rPr>
          <w:sz w:val="18"/>
        </w:rPr>
        <w:t>which</w:t>
      </w:r>
      <w:r>
        <w:rPr>
          <w:spacing w:val="-1"/>
          <w:sz w:val="18"/>
        </w:rPr>
        <w:t> </w:t>
      </w:r>
      <w:r>
        <w:rPr>
          <w:sz w:val="18"/>
        </w:rPr>
        <w:t>training</w:t>
      </w:r>
      <w:r>
        <w:rPr>
          <w:spacing w:val="-4"/>
          <w:sz w:val="18"/>
        </w:rPr>
        <w:t> </w:t>
      </w:r>
      <w:r>
        <w:rPr>
          <w:sz w:val="18"/>
        </w:rPr>
        <w:t>provided</w:t>
      </w:r>
      <w:r>
        <w:rPr>
          <w:spacing w:val="-3"/>
          <w:sz w:val="18"/>
        </w:rPr>
        <w:t> </w:t>
      </w:r>
      <w:r>
        <w:rPr>
          <w:sz w:val="18"/>
        </w:rPr>
        <w:t>by</w:t>
      </w:r>
      <w:r>
        <w:rPr>
          <w:spacing w:val="-3"/>
          <w:sz w:val="18"/>
        </w:rPr>
        <w:t> </w:t>
      </w:r>
      <w:r>
        <w:rPr>
          <w:sz w:val="18"/>
        </w:rPr>
        <w:t>your</w:t>
      </w:r>
      <w:r>
        <w:rPr>
          <w:spacing w:val="-2"/>
          <w:sz w:val="18"/>
        </w:rPr>
        <w:t> </w:t>
      </w:r>
      <w:r>
        <w:rPr>
          <w:sz w:val="18"/>
        </w:rPr>
        <w:t>PHN</w:t>
      </w:r>
      <w:r>
        <w:rPr>
          <w:spacing w:val="-4"/>
          <w:sz w:val="18"/>
        </w:rPr>
        <w:t> </w:t>
      </w:r>
      <w:r>
        <w:rPr>
          <w:sz w:val="18"/>
        </w:rPr>
        <w:t>to</w:t>
      </w:r>
      <w:r>
        <w:rPr>
          <w:spacing w:val="-3"/>
          <w:sz w:val="18"/>
        </w:rPr>
        <w:t> </w:t>
      </w:r>
      <w:r>
        <w:rPr>
          <w:sz w:val="18"/>
        </w:rPr>
        <w:t>implement</w:t>
      </w:r>
      <w:r>
        <w:rPr>
          <w:spacing w:val="-4"/>
          <w:sz w:val="18"/>
        </w:rPr>
        <w:t> </w:t>
      </w:r>
      <w:r>
        <w:rPr>
          <w:sz w:val="18"/>
        </w:rPr>
        <w:t>HCH</w:t>
      </w:r>
      <w:r>
        <w:rPr>
          <w:spacing w:val="-2"/>
          <w:sz w:val="18"/>
        </w:rPr>
        <w:t> </w:t>
      </w:r>
      <w:r>
        <w:rPr>
          <w:sz w:val="18"/>
        </w:rPr>
        <w:t>could</w:t>
      </w:r>
      <w:r>
        <w:rPr>
          <w:spacing w:val="1"/>
          <w:sz w:val="18"/>
        </w:rPr>
        <w:t> </w:t>
      </w:r>
      <w:r>
        <w:rPr>
          <w:sz w:val="18"/>
        </w:rPr>
        <w:t>be</w:t>
      </w:r>
      <w:r>
        <w:rPr>
          <w:spacing w:val="-1"/>
          <w:sz w:val="18"/>
        </w:rPr>
        <w:t> </w:t>
      </w:r>
      <w:r>
        <w:rPr>
          <w:sz w:val="18"/>
        </w:rPr>
        <w:t>improved?</w:t>
      </w:r>
    </w:p>
    <w:p>
      <w:pPr>
        <w:pStyle w:val="BodyText"/>
        <w:spacing w:before="1"/>
        <w:rPr>
          <w:sz w:val="23"/>
        </w:rPr>
      </w:pPr>
    </w:p>
    <w:tbl>
      <w:tblPr>
        <w:tblW w:w="0" w:type="auto"/>
        <w:jc w:val="left"/>
        <w:tblInd w:w="75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9974"/>
      </w:tblGrid>
      <w:tr>
        <w:trPr>
          <w:trHeight w:val="491" w:hRule="atLeast"/>
        </w:trPr>
        <w:tc>
          <w:tcPr>
            <w:tcW w:w="9974" w:type="dxa"/>
          </w:tcPr>
          <w:p>
            <w:pPr>
              <w:pStyle w:val="TableParagraph"/>
              <w:spacing w:before="18"/>
              <w:ind w:left="112"/>
              <w:rPr>
                <w:sz w:val="18"/>
              </w:rPr>
            </w:pPr>
            <w:r>
              <w:rPr>
                <w:sz w:val="18"/>
              </w:rPr>
              <w:t>1.</w:t>
            </w:r>
          </w:p>
        </w:tc>
      </w:tr>
      <w:tr>
        <w:trPr>
          <w:trHeight w:val="494" w:hRule="atLeast"/>
        </w:trPr>
        <w:tc>
          <w:tcPr>
            <w:tcW w:w="9974" w:type="dxa"/>
          </w:tcPr>
          <w:p>
            <w:pPr>
              <w:pStyle w:val="TableParagraph"/>
              <w:spacing w:before="20"/>
              <w:ind w:left="112"/>
              <w:rPr>
                <w:sz w:val="18"/>
              </w:rPr>
            </w:pPr>
            <w:r>
              <w:rPr>
                <w:sz w:val="18"/>
              </w:rPr>
              <w:t>2.</w:t>
            </w:r>
          </w:p>
        </w:tc>
      </w:tr>
      <w:tr>
        <w:trPr>
          <w:trHeight w:val="294" w:hRule="atLeast"/>
        </w:trPr>
        <w:tc>
          <w:tcPr>
            <w:tcW w:w="9974" w:type="dxa"/>
          </w:tcPr>
          <w:p>
            <w:pPr>
              <w:pStyle w:val="TableParagraph"/>
              <w:spacing w:before="20"/>
              <w:ind w:left="112"/>
              <w:rPr>
                <w:sz w:val="18"/>
              </w:rPr>
            </w:pPr>
            <w:r>
              <w:rPr>
                <w:sz w:val="18"/>
              </w:rPr>
              <w:t>3.</w:t>
            </w:r>
          </w:p>
        </w:tc>
      </w:tr>
    </w:tbl>
    <w:p>
      <w:pPr>
        <w:pStyle w:val="BodyText"/>
        <w:spacing w:before="2"/>
        <w:rPr>
          <w:sz w:val="16"/>
        </w:rPr>
      </w:pPr>
    </w:p>
    <w:p>
      <w:pPr>
        <w:pStyle w:val="ListParagraph"/>
        <w:numPr>
          <w:ilvl w:val="0"/>
          <w:numId w:val="43"/>
        </w:numPr>
        <w:tabs>
          <w:tab w:pos="424" w:val="left" w:leader="none"/>
        </w:tabs>
        <w:spacing w:line="240" w:lineRule="auto" w:before="1" w:after="0"/>
        <w:ind w:left="423" w:right="683" w:hanging="284"/>
        <w:jc w:val="left"/>
        <w:rPr>
          <w:sz w:val="18"/>
        </w:rPr>
      </w:pPr>
      <w:r>
        <w:rPr>
          <w:sz w:val="18"/>
        </w:rPr>
        <w:t>Knowing</w:t>
      </w:r>
      <w:r>
        <w:rPr>
          <w:spacing w:val="-4"/>
          <w:sz w:val="18"/>
        </w:rPr>
        <w:t> </w:t>
      </w:r>
      <w:r>
        <w:rPr>
          <w:sz w:val="18"/>
        </w:rPr>
        <w:t>what</w:t>
      </w:r>
      <w:r>
        <w:rPr>
          <w:spacing w:val="-4"/>
          <w:sz w:val="18"/>
        </w:rPr>
        <w:t> </w:t>
      </w:r>
      <w:r>
        <w:rPr>
          <w:sz w:val="18"/>
        </w:rPr>
        <w:t>you</w:t>
      </w:r>
      <w:r>
        <w:rPr>
          <w:spacing w:val="-2"/>
          <w:sz w:val="18"/>
        </w:rPr>
        <w:t> </w:t>
      </w:r>
      <w:r>
        <w:rPr>
          <w:sz w:val="18"/>
        </w:rPr>
        <w:t>know</w:t>
      </w:r>
      <w:r>
        <w:rPr>
          <w:spacing w:val="-4"/>
          <w:sz w:val="18"/>
        </w:rPr>
        <w:t> </w:t>
      </w:r>
      <w:r>
        <w:rPr>
          <w:sz w:val="18"/>
        </w:rPr>
        <w:t>now</w:t>
      </w:r>
      <w:r>
        <w:rPr>
          <w:spacing w:val="-3"/>
          <w:sz w:val="18"/>
        </w:rPr>
        <w:t> </w:t>
      </w:r>
      <w:r>
        <w:rPr>
          <w:sz w:val="18"/>
        </w:rPr>
        <w:t>about transforming</w:t>
      </w:r>
      <w:r>
        <w:rPr>
          <w:spacing w:val="-4"/>
          <w:sz w:val="18"/>
        </w:rPr>
        <w:t> </w:t>
      </w:r>
      <w:r>
        <w:rPr>
          <w:sz w:val="18"/>
        </w:rPr>
        <w:t>your</w:t>
      </w:r>
      <w:r>
        <w:rPr>
          <w:spacing w:val="-3"/>
          <w:sz w:val="18"/>
        </w:rPr>
        <w:t> </w:t>
      </w:r>
      <w:r>
        <w:rPr>
          <w:sz w:val="18"/>
        </w:rPr>
        <w:t>practice</w:t>
      </w:r>
      <w:r>
        <w:rPr>
          <w:spacing w:val="-2"/>
          <w:sz w:val="18"/>
        </w:rPr>
        <w:t> </w:t>
      </w:r>
      <w:r>
        <w:rPr>
          <w:sz w:val="18"/>
        </w:rPr>
        <w:t>to</w:t>
      </w:r>
      <w:r>
        <w:rPr>
          <w:spacing w:val="-3"/>
          <w:sz w:val="18"/>
        </w:rPr>
        <w:t> </w:t>
      </w:r>
      <w:r>
        <w:rPr>
          <w:sz w:val="18"/>
        </w:rPr>
        <w:t>a</w:t>
      </w:r>
      <w:r>
        <w:rPr>
          <w:spacing w:val="-2"/>
          <w:sz w:val="18"/>
        </w:rPr>
        <w:t> </w:t>
      </w:r>
      <w:r>
        <w:rPr>
          <w:sz w:val="18"/>
        </w:rPr>
        <w:t>HCH,</w:t>
      </w:r>
      <w:r>
        <w:rPr>
          <w:spacing w:val="-5"/>
          <w:sz w:val="18"/>
        </w:rPr>
        <w:t> </w:t>
      </w:r>
      <w:r>
        <w:rPr>
          <w:sz w:val="18"/>
        </w:rPr>
        <w:t>how</w:t>
      </w:r>
      <w:r>
        <w:rPr>
          <w:spacing w:val="-4"/>
          <w:sz w:val="18"/>
        </w:rPr>
        <w:t> </w:t>
      </w:r>
      <w:r>
        <w:rPr>
          <w:sz w:val="18"/>
        </w:rPr>
        <w:t>would</w:t>
      </w:r>
      <w:r>
        <w:rPr>
          <w:spacing w:val="-2"/>
          <w:sz w:val="18"/>
        </w:rPr>
        <w:t> </w:t>
      </w:r>
      <w:r>
        <w:rPr>
          <w:sz w:val="18"/>
        </w:rPr>
        <w:t>you</w:t>
      </w:r>
      <w:r>
        <w:rPr>
          <w:spacing w:val="-2"/>
          <w:sz w:val="18"/>
        </w:rPr>
        <w:t> </w:t>
      </w:r>
      <w:r>
        <w:rPr>
          <w:sz w:val="18"/>
        </w:rPr>
        <w:t>rate</w:t>
      </w:r>
      <w:r>
        <w:rPr>
          <w:spacing w:val="-2"/>
          <w:sz w:val="18"/>
        </w:rPr>
        <w:t> </w:t>
      </w:r>
      <w:r>
        <w:rPr>
          <w:sz w:val="18"/>
        </w:rPr>
        <w:t>the</w:t>
      </w:r>
      <w:r>
        <w:rPr>
          <w:spacing w:val="-2"/>
          <w:sz w:val="18"/>
        </w:rPr>
        <w:t> </w:t>
      </w:r>
      <w:r>
        <w:rPr>
          <w:sz w:val="18"/>
        </w:rPr>
        <w:t>effectiveness</w:t>
      </w:r>
      <w:r>
        <w:rPr>
          <w:spacing w:val="-3"/>
          <w:sz w:val="18"/>
        </w:rPr>
        <w:t> </w:t>
      </w:r>
      <w:r>
        <w:rPr>
          <w:sz w:val="18"/>
        </w:rPr>
        <w:t>of</w:t>
      </w:r>
      <w:r>
        <w:rPr>
          <w:spacing w:val="1"/>
          <w:sz w:val="18"/>
        </w:rPr>
        <w:t> </w:t>
      </w:r>
      <w:r>
        <w:rPr>
          <w:sz w:val="18"/>
        </w:rPr>
        <w:t>the training and support provided to your practice/ service by all sources (including through the online training</w:t>
      </w:r>
      <w:r>
        <w:rPr>
          <w:spacing w:val="1"/>
          <w:sz w:val="18"/>
        </w:rPr>
        <w:t> </w:t>
      </w:r>
      <w:r>
        <w:rPr>
          <w:sz w:val="18"/>
        </w:rPr>
        <w:t>modules</w:t>
      </w:r>
      <w:r>
        <w:rPr>
          <w:spacing w:val="-2"/>
          <w:sz w:val="18"/>
        </w:rPr>
        <w:t> </w:t>
      </w:r>
      <w:r>
        <w:rPr>
          <w:sz w:val="18"/>
        </w:rPr>
        <w:t>and</w:t>
      </w:r>
      <w:r>
        <w:rPr>
          <w:spacing w:val="-1"/>
          <w:sz w:val="18"/>
        </w:rPr>
        <w:t> </w:t>
      </w:r>
      <w:r>
        <w:rPr>
          <w:sz w:val="18"/>
        </w:rPr>
        <w:t>your PHN)?</w:t>
      </w:r>
    </w:p>
    <w:p>
      <w:pPr>
        <w:pStyle w:val="BodyText"/>
        <w:spacing w:before="9"/>
        <w:rPr>
          <w:sz w:val="14"/>
        </w:rPr>
      </w:pPr>
    </w:p>
    <w:p>
      <w:pPr>
        <w:pStyle w:val="ListParagraph"/>
        <w:numPr>
          <w:ilvl w:val="0"/>
          <w:numId w:val="67"/>
        </w:numPr>
        <w:tabs>
          <w:tab w:pos="932" w:val="left" w:leader="none"/>
        </w:tabs>
        <w:spacing w:line="240" w:lineRule="auto" w:before="100" w:after="0"/>
        <w:ind w:left="931" w:right="0" w:hanging="151"/>
        <w:jc w:val="left"/>
        <w:rPr>
          <w:sz w:val="18"/>
        </w:rPr>
      </w:pPr>
      <w:r>
        <w:rPr/>
        <w:drawing>
          <wp:anchor distT="0" distB="0" distL="0" distR="0" allowOverlap="1" layoutInCell="1" locked="0" behindDoc="0" simplePos="0" relativeHeight="15825920">
            <wp:simplePos x="0" y="0"/>
            <wp:positionH relativeFrom="page">
              <wp:posOffset>652565</wp:posOffset>
            </wp:positionH>
            <wp:positionV relativeFrom="paragraph">
              <wp:posOffset>108156</wp:posOffset>
            </wp:positionV>
            <wp:extent cx="58380" cy="73869"/>
            <wp:effectExtent l="0" t="0" r="0" b="0"/>
            <wp:wrapNone/>
            <wp:docPr id="889" name="image14.png"/>
            <wp:cNvGraphicFramePr>
              <a:graphicFrameLocks noChangeAspect="1"/>
            </wp:cNvGraphicFramePr>
            <a:graphic>
              <a:graphicData uri="http://schemas.openxmlformats.org/drawingml/2006/picture">
                <pic:pic>
                  <pic:nvPicPr>
                    <pic:cNvPr id="890"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Very</w:t>
      </w:r>
      <w:r>
        <w:rPr>
          <w:spacing w:val="-5"/>
          <w:sz w:val="18"/>
        </w:rPr>
        <w:t> </w:t>
      </w:r>
      <w:r>
        <w:rPr>
          <w:sz w:val="18"/>
        </w:rPr>
        <w:t>effective</w:t>
      </w:r>
    </w:p>
    <w:p>
      <w:pPr>
        <w:pStyle w:val="ListParagraph"/>
        <w:numPr>
          <w:ilvl w:val="0"/>
          <w:numId w:val="67"/>
        </w:numPr>
        <w:tabs>
          <w:tab w:pos="932" w:val="left" w:leader="none"/>
        </w:tabs>
        <w:spacing w:line="237" w:lineRule="auto" w:before="2" w:after="0"/>
        <w:ind w:left="781" w:right="8276" w:firstLine="0"/>
        <w:jc w:val="left"/>
        <w:rPr>
          <w:sz w:val="18"/>
        </w:rPr>
      </w:pPr>
      <w:r>
        <w:rPr/>
        <w:drawing>
          <wp:anchor distT="0" distB="0" distL="0" distR="0" allowOverlap="1" layoutInCell="1" locked="0" behindDoc="0" simplePos="0" relativeHeight="15826432">
            <wp:simplePos x="0" y="0"/>
            <wp:positionH relativeFrom="page">
              <wp:posOffset>652565</wp:posOffset>
            </wp:positionH>
            <wp:positionV relativeFrom="paragraph">
              <wp:posOffset>44969</wp:posOffset>
            </wp:positionV>
            <wp:extent cx="58380" cy="72151"/>
            <wp:effectExtent l="0" t="0" r="0" b="0"/>
            <wp:wrapNone/>
            <wp:docPr id="891" name="image13.png"/>
            <wp:cNvGraphicFramePr>
              <a:graphicFrameLocks noChangeAspect="1"/>
            </wp:cNvGraphicFramePr>
            <a:graphic>
              <a:graphicData uri="http://schemas.openxmlformats.org/drawingml/2006/picture">
                <pic:pic>
                  <pic:nvPicPr>
                    <pic:cNvPr id="892"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826944">
            <wp:simplePos x="0" y="0"/>
            <wp:positionH relativeFrom="page">
              <wp:posOffset>652565</wp:posOffset>
            </wp:positionH>
            <wp:positionV relativeFrom="paragraph">
              <wp:posOffset>183461</wp:posOffset>
            </wp:positionV>
            <wp:extent cx="58380" cy="73867"/>
            <wp:effectExtent l="0" t="0" r="0" b="0"/>
            <wp:wrapNone/>
            <wp:docPr id="893" name="image14.png"/>
            <wp:cNvGraphicFramePr>
              <a:graphicFrameLocks noChangeAspect="1"/>
            </wp:cNvGraphicFramePr>
            <a:graphic>
              <a:graphicData uri="http://schemas.openxmlformats.org/drawingml/2006/picture">
                <pic:pic>
                  <pic:nvPicPr>
                    <pic:cNvPr id="894" name="image14.png"/>
                    <pic:cNvPicPr/>
                  </pic:nvPicPr>
                  <pic:blipFill>
                    <a:blip r:embed="rId43" cstate="print"/>
                    <a:stretch>
                      <a:fillRect/>
                    </a:stretch>
                  </pic:blipFill>
                  <pic:spPr>
                    <a:xfrm>
                      <a:off x="0" y="0"/>
                      <a:ext cx="58380" cy="73867"/>
                    </a:xfrm>
                    <a:prstGeom prst="rect">
                      <a:avLst/>
                    </a:prstGeom>
                  </pic:spPr>
                </pic:pic>
              </a:graphicData>
            </a:graphic>
          </wp:anchor>
        </w:drawing>
      </w:r>
      <w:r>
        <w:rPr>
          <w:sz w:val="18"/>
        </w:rPr>
        <w:t>Moderately effective</w:t>
      </w:r>
      <w:r>
        <w:rPr>
          <w:spacing w:val="-47"/>
          <w:sz w:val="18"/>
        </w:rPr>
        <w:t> </w:t>
      </w:r>
      <w:r>
        <w:rPr>
          <w:sz w:val="18"/>
        </w:rPr>
        <w:t>3</w:t>
      </w:r>
      <w:r>
        <w:rPr>
          <w:spacing w:val="5"/>
          <w:sz w:val="18"/>
        </w:rPr>
        <w:t> </w:t>
      </w:r>
      <w:r>
        <w:rPr>
          <w:sz w:val="18"/>
        </w:rPr>
        <w:t>A</w:t>
      </w:r>
      <w:r>
        <w:rPr>
          <w:spacing w:val="-10"/>
          <w:sz w:val="18"/>
        </w:rPr>
        <w:t> </w:t>
      </w:r>
      <w:r>
        <w:rPr>
          <w:sz w:val="18"/>
        </w:rPr>
        <w:t>little effective</w:t>
      </w:r>
    </w:p>
    <w:p>
      <w:pPr>
        <w:pStyle w:val="ListParagraph"/>
        <w:numPr>
          <w:ilvl w:val="0"/>
          <w:numId w:val="68"/>
        </w:numPr>
        <w:tabs>
          <w:tab w:pos="933" w:val="left" w:leader="none"/>
        </w:tabs>
        <w:spacing w:line="240" w:lineRule="auto" w:before="1" w:after="0"/>
        <w:ind w:left="932" w:right="0" w:hanging="152"/>
        <w:jc w:val="left"/>
        <w:rPr>
          <w:sz w:val="18"/>
        </w:rPr>
      </w:pPr>
      <w:r>
        <w:rPr/>
        <w:drawing>
          <wp:anchor distT="0" distB="0" distL="0" distR="0" allowOverlap="1" layoutInCell="1" locked="0" behindDoc="0" simplePos="0" relativeHeight="15827456">
            <wp:simplePos x="0" y="0"/>
            <wp:positionH relativeFrom="page">
              <wp:posOffset>652565</wp:posOffset>
            </wp:positionH>
            <wp:positionV relativeFrom="paragraph">
              <wp:posOffset>45103</wp:posOffset>
            </wp:positionV>
            <wp:extent cx="58380" cy="72151"/>
            <wp:effectExtent l="0" t="0" r="0" b="0"/>
            <wp:wrapNone/>
            <wp:docPr id="895" name="image13.png"/>
            <wp:cNvGraphicFramePr>
              <a:graphicFrameLocks noChangeAspect="1"/>
            </wp:cNvGraphicFramePr>
            <a:graphic>
              <a:graphicData uri="http://schemas.openxmlformats.org/drawingml/2006/picture">
                <pic:pic>
                  <pic:nvPicPr>
                    <pic:cNvPr id="89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Not</w:t>
      </w:r>
      <w:r>
        <w:rPr>
          <w:spacing w:val="-5"/>
          <w:sz w:val="18"/>
        </w:rPr>
        <w:t> </w:t>
      </w:r>
      <w:r>
        <w:rPr>
          <w:sz w:val="18"/>
        </w:rPr>
        <w:t>effective</w:t>
      </w:r>
    </w:p>
    <w:p>
      <w:pPr>
        <w:pStyle w:val="ListParagraph"/>
        <w:numPr>
          <w:ilvl w:val="0"/>
          <w:numId w:val="68"/>
        </w:numPr>
        <w:tabs>
          <w:tab w:pos="932" w:val="left" w:leader="none"/>
        </w:tabs>
        <w:spacing w:line="240" w:lineRule="auto" w:before="0" w:after="0"/>
        <w:ind w:left="931" w:right="0" w:hanging="151"/>
        <w:jc w:val="left"/>
        <w:rPr>
          <w:sz w:val="18"/>
        </w:rPr>
      </w:pPr>
      <w:r>
        <w:rPr/>
        <w:drawing>
          <wp:anchor distT="0" distB="0" distL="0" distR="0" allowOverlap="1" layoutInCell="1" locked="0" behindDoc="0" simplePos="0" relativeHeight="15827968">
            <wp:simplePos x="0" y="0"/>
            <wp:positionH relativeFrom="page">
              <wp:posOffset>652565</wp:posOffset>
            </wp:positionH>
            <wp:positionV relativeFrom="paragraph">
              <wp:posOffset>44469</wp:posOffset>
            </wp:positionV>
            <wp:extent cx="58380" cy="72151"/>
            <wp:effectExtent l="0" t="0" r="0" b="0"/>
            <wp:wrapNone/>
            <wp:docPr id="897" name="image13.png"/>
            <wp:cNvGraphicFramePr>
              <a:graphicFrameLocks noChangeAspect="1"/>
            </wp:cNvGraphicFramePr>
            <a:graphic>
              <a:graphicData uri="http://schemas.openxmlformats.org/drawingml/2006/picture">
                <pic:pic>
                  <pic:nvPicPr>
                    <pic:cNvPr id="89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Can’t</w:t>
      </w:r>
      <w:r>
        <w:rPr>
          <w:spacing w:val="-4"/>
          <w:sz w:val="18"/>
        </w:rPr>
        <w:t> </w:t>
      </w:r>
      <w:r>
        <w:rPr>
          <w:sz w:val="18"/>
        </w:rPr>
        <w:t>say/</w:t>
      </w:r>
      <w:r>
        <w:rPr>
          <w:spacing w:val="-1"/>
          <w:sz w:val="18"/>
        </w:rPr>
        <w:t> </w:t>
      </w:r>
      <w:r>
        <w:rPr>
          <w:sz w:val="18"/>
        </w:rPr>
        <w:t>don’t</w:t>
      </w:r>
      <w:r>
        <w:rPr>
          <w:spacing w:val="-3"/>
          <w:sz w:val="18"/>
        </w:rPr>
        <w:t> </w:t>
      </w:r>
      <w:r>
        <w:rPr>
          <w:sz w:val="18"/>
        </w:rPr>
        <w:t>know</w:t>
      </w:r>
    </w:p>
    <w:p>
      <w:pPr>
        <w:pStyle w:val="BodyText"/>
        <w:spacing w:before="9"/>
        <w:rPr>
          <w:sz w:val="14"/>
        </w:rPr>
      </w:pPr>
    </w:p>
    <w:p>
      <w:pPr>
        <w:pStyle w:val="ListParagraph"/>
        <w:numPr>
          <w:ilvl w:val="0"/>
          <w:numId w:val="43"/>
        </w:numPr>
        <w:tabs>
          <w:tab w:pos="424" w:val="left" w:leader="none"/>
        </w:tabs>
        <w:spacing w:line="240" w:lineRule="auto" w:before="100" w:after="0"/>
        <w:ind w:left="423" w:right="0" w:hanging="284"/>
        <w:jc w:val="left"/>
        <w:rPr>
          <w:sz w:val="18"/>
        </w:rPr>
      </w:pPr>
      <w:r>
        <w:rPr>
          <w:sz w:val="18"/>
        </w:rPr>
        <w:t>Is</w:t>
      </w:r>
      <w:r>
        <w:rPr>
          <w:spacing w:val="-4"/>
          <w:sz w:val="18"/>
        </w:rPr>
        <w:t> </w:t>
      </w:r>
      <w:r>
        <w:rPr>
          <w:sz w:val="18"/>
        </w:rPr>
        <w:t>there</w:t>
      </w:r>
      <w:r>
        <w:rPr>
          <w:spacing w:val="-3"/>
          <w:sz w:val="18"/>
        </w:rPr>
        <w:t> </w:t>
      </w:r>
      <w:r>
        <w:rPr>
          <w:sz w:val="18"/>
        </w:rPr>
        <w:t>a</w:t>
      </w:r>
      <w:r>
        <w:rPr>
          <w:spacing w:val="-3"/>
          <w:sz w:val="18"/>
        </w:rPr>
        <w:t> </w:t>
      </w:r>
      <w:r>
        <w:rPr>
          <w:sz w:val="18"/>
        </w:rPr>
        <w:t>pharmacist</w:t>
      </w:r>
      <w:r>
        <w:rPr>
          <w:spacing w:val="-4"/>
          <w:sz w:val="18"/>
        </w:rPr>
        <w:t> </w:t>
      </w:r>
      <w:r>
        <w:rPr>
          <w:sz w:val="18"/>
        </w:rPr>
        <w:t>who</w:t>
      </w:r>
      <w:r>
        <w:rPr>
          <w:spacing w:val="-3"/>
          <w:sz w:val="18"/>
        </w:rPr>
        <w:t> </w:t>
      </w:r>
      <w:r>
        <w:rPr>
          <w:sz w:val="18"/>
        </w:rPr>
        <w:t>visits/</w:t>
      </w:r>
      <w:r>
        <w:rPr>
          <w:spacing w:val="-3"/>
          <w:sz w:val="18"/>
        </w:rPr>
        <w:t> </w:t>
      </w:r>
      <w:r>
        <w:rPr>
          <w:sz w:val="18"/>
        </w:rPr>
        <w:t>works</w:t>
      </w:r>
      <w:r>
        <w:rPr>
          <w:spacing w:val="-5"/>
          <w:sz w:val="18"/>
        </w:rPr>
        <w:t> </w:t>
      </w:r>
      <w:r>
        <w:rPr>
          <w:sz w:val="18"/>
        </w:rPr>
        <w:t>in</w:t>
      </w:r>
      <w:r>
        <w:rPr>
          <w:spacing w:val="-5"/>
          <w:sz w:val="18"/>
        </w:rPr>
        <w:t> </w:t>
      </w:r>
      <w:r>
        <w:rPr>
          <w:sz w:val="18"/>
        </w:rPr>
        <w:t>your</w:t>
      </w:r>
      <w:r>
        <w:rPr>
          <w:spacing w:val="-3"/>
          <w:sz w:val="18"/>
        </w:rPr>
        <w:t> </w:t>
      </w:r>
      <w:r>
        <w:rPr>
          <w:sz w:val="18"/>
        </w:rPr>
        <w:t>practice/</w:t>
      </w:r>
      <w:r>
        <w:rPr>
          <w:spacing w:val="-4"/>
          <w:sz w:val="18"/>
        </w:rPr>
        <w:t> </w:t>
      </w:r>
      <w:r>
        <w:rPr>
          <w:sz w:val="18"/>
        </w:rPr>
        <w:t>service?</w:t>
      </w:r>
    </w:p>
    <w:p>
      <w:pPr>
        <w:pStyle w:val="BodyText"/>
        <w:spacing w:before="10"/>
        <w:rPr>
          <w:sz w:val="14"/>
        </w:rPr>
      </w:pPr>
    </w:p>
    <w:p>
      <w:pPr>
        <w:pStyle w:val="ListParagraph"/>
        <w:numPr>
          <w:ilvl w:val="0"/>
          <w:numId w:val="69"/>
        </w:numPr>
        <w:tabs>
          <w:tab w:pos="932" w:val="left" w:leader="none"/>
        </w:tabs>
        <w:spacing w:line="240" w:lineRule="auto" w:before="100" w:after="0"/>
        <w:ind w:left="931" w:right="0" w:hanging="151"/>
        <w:jc w:val="left"/>
        <w:rPr>
          <w:sz w:val="18"/>
        </w:rPr>
      </w:pPr>
      <w:r>
        <w:rPr/>
        <w:drawing>
          <wp:anchor distT="0" distB="0" distL="0" distR="0" allowOverlap="1" layoutInCell="1" locked="0" behindDoc="0" simplePos="0" relativeHeight="15828480">
            <wp:simplePos x="0" y="0"/>
            <wp:positionH relativeFrom="page">
              <wp:posOffset>652565</wp:posOffset>
            </wp:positionH>
            <wp:positionV relativeFrom="paragraph">
              <wp:posOffset>107969</wp:posOffset>
            </wp:positionV>
            <wp:extent cx="58380" cy="72150"/>
            <wp:effectExtent l="0" t="0" r="0" b="0"/>
            <wp:wrapNone/>
            <wp:docPr id="899" name="image13.png"/>
            <wp:cNvGraphicFramePr>
              <a:graphicFrameLocks noChangeAspect="1"/>
            </wp:cNvGraphicFramePr>
            <a:graphic>
              <a:graphicData uri="http://schemas.openxmlformats.org/drawingml/2006/picture">
                <pic:pic>
                  <pic:nvPicPr>
                    <pic:cNvPr id="900" name="image13.png"/>
                    <pic:cNvPicPr/>
                  </pic:nvPicPr>
                  <pic:blipFill>
                    <a:blip r:embed="rId41" cstate="print"/>
                    <a:stretch>
                      <a:fillRect/>
                    </a:stretch>
                  </pic:blipFill>
                  <pic:spPr>
                    <a:xfrm>
                      <a:off x="0" y="0"/>
                      <a:ext cx="58380" cy="72150"/>
                    </a:xfrm>
                    <a:prstGeom prst="rect">
                      <a:avLst/>
                    </a:prstGeom>
                  </pic:spPr>
                </pic:pic>
              </a:graphicData>
            </a:graphic>
          </wp:anchor>
        </w:drawing>
      </w:r>
      <w:r>
        <w:rPr>
          <w:sz w:val="18"/>
        </w:rPr>
        <w:t>Yes</w:t>
      </w:r>
    </w:p>
    <w:p>
      <w:pPr>
        <w:pStyle w:val="ListParagraph"/>
        <w:numPr>
          <w:ilvl w:val="0"/>
          <w:numId w:val="69"/>
        </w:numPr>
        <w:tabs>
          <w:tab w:pos="932" w:val="left" w:leader="none"/>
        </w:tabs>
        <w:spacing w:line="240" w:lineRule="auto" w:before="0" w:after="0"/>
        <w:ind w:left="931" w:right="0" w:hanging="151"/>
        <w:jc w:val="left"/>
        <w:rPr>
          <w:sz w:val="18"/>
        </w:rPr>
      </w:pPr>
      <w:r>
        <w:rPr/>
        <w:drawing>
          <wp:anchor distT="0" distB="0" distL="0" distR="0" allowOverlap="1" layoutInCell="1" locked="0" behindDoc="0" simplePos="0" relativeHeight="15828992">
            <wp:simplePos x="0" y="0"/>
            <wp:positionH relativeFrom="page">
              <wp:posOffset>652565</wp:posOffset>
            </wp:positionH>
            <wp:positionV relativeFrom="paragraph">
              <wp:posOffset>44468</wp:posOffset>
            </wp:positionV>
            <wp:extent cx="58380" cy="72151"/>
            <wp:effectExtent l="0" t="0" r="0" b="0"/>
            <wp:wrapNone/>
            <wp:docPr id="901" name="image13.png"/>
            <wp:cNvGraphicFramePr>
              <a:graphicFrameLocks noChangeAspect="1"/>
            </wp:cNvGraphicFramePr>
            <a:graphic>
              <a:graphicData uri="http://schemas.openxmlformats.org/drawingml/2006/picture">
                <pic:pic>
                  <pic:nvPicPr>
                    <pic:cNvPr id="90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w:t>
      </w:r>
    </w:p>
    <w:p>
      <w:pPr>
        <w:pStyle w:val="BodyText"/>
        <w:spacing w:before="6"/>
        <w:rPr>
          <w:sz w:val="14"/>
        </w:rPr>
      </w:pPr>
    </w:p>
    <w:p>
      <w:pPr>
        <w:spacing w:before="101"/>
        <w:ind w:left="140" w:right="0" w:firstLine="0"/>
        <w:jc w:val="left"/>
        <w:rPr>
          <w:sz w:val="18"/>
        </w:rPr>
      </w:pPr>
      <w:r>
        <w:rPr>
          <w:sz w:val="18"/>
        </w:rPr>
        <w:t>31a.</w:t>
      </w:r>
      <w:r>
        <w:rPr>
          <w:spacing w:val="-7"/>
          <w:sz w:val="18"/>
        </w:rPr>
        <w:t> </w:t>
      </w:r>
      <w:r>
        <w:rPr>
          <w:sz w:val="18"/>
        </w:rPr>
        <w:t>If</w:t>
      </w:r>
      <w:r>
        <w:rPr>
          <w:spacing w:val="-2"/>
          <w:sz w:val="18"/>
        </w:rPr>
        <w:t> </w:t>
      </w:r>
      <w:r>
        <w:rPr>
          <w:sz w:val="18"/>
        </w:rPr>
        <w:t>yes</w:t>
      </w:r>
      <w:r>
        <w:rPr>
          <w:spacing w:val="-1"/>
          <w:sz w:val="18"/>
        </w:rPr>
        <w:t> </w:t>
      </w:r>
      <w:r>
        <w:rPr>
          <w:sz w:val="18"/>
        </w:rPr>
        <w:t>to</w:t>
      </w:r>
      <w:r>
        <w:rPr>
          <w:spacing w:val="-3"/>
          <w:sz w:val="18"/>
        </w:rPr>
        <w:t> </w:t>
      </w:r>
      <w:r>
        <w:rPr>
          <w:sz w:val="18"/>
        </w:rPr>
        <w:t>31,</w:t>
      </w:r>
      <w:r>
        <w:rPr>
          <w:spacing w:val="-4"/>
          <w:sz w:val="18"/>
        </w:rPr>
        <w:t> </w:t>
      </w:r>
      <w:r>
        <w:rPr>
          <w:sz w:val="18"/>
        </w:rPr>
        <w:t>what</w:t>
      </w:r>
      <w:r>
        <w:rPr>
          <w:spacing w:val="-4"/>
          <w:sz w:val="18"/>
        </w:rPr>
        <w:t> </w:t>
      </w:r>
      <w:r>
        <w:rPr>
          <w:sz w:val="18"/>
        </w:rPr>
        <w:t>relationship</w:t>
      </w:r>
      <w:r>
        <w:rPr>
          <w:spacing w:val="-4"/>
          <w:sz w:val="18"/>
        </w:rPr>
        <w:t> </w:t>
      </w:r>
      <w:r>
        <w:rPr>
          <w:sz w:val="18"/>
        </w:rPr>
        <w:t>does</w:t>
      </w:r>
      <w:r>
        <w:rPr>
          <w:spacing w:val="-2"/>
          <w:sz w:val="18"/>
        </w:rPr>
        <w:t> </w:t>
      </w:r>
      <w:r>
        <w:rPr>
          <w:sz w:val="18"/>
        </w:rPr>
        <w:t>this</w:t>
      </w:r>
      <w:r>
        <w:rPr>
          <w:spacing w:val="-3"/>
          <w:sz w:val="18"/>
        </w:rPr>
        <w:t> </w:t>
      </w:r>
      <w:r>
        <w:rPr>
          <w:sz w:val="18"/>
        </w:rPr>
        <w:t>pharmacist</w:t>
      </w:r>
      <w:r>
        <w:rPr>
          <w:spacing w:val="-6"/>
          <w:sz w:val="18"/>
        </w:rPr>
        <w:t> </w:t>
      </w:r>
      <w:r>
        <w:rPr>
          <w:sz w:val="18"/>
        </w:rPr>
        <w:t>have</w:t>
      </w:r>
      <w:r>
        <w:rPr>
          <w:spacing w:val="-3"/>
          <w:sz w:val="18"/>
        </w:rPr>
        <w:t> </w:t>
      </w:r>
      <w:r>
        <w:rPr>
          <w:sz w:val="18"/>
        </w:rPr>
        <w:t>with</w:t>
      </w:r>
      <w:r>
        <w:rPr>
          <w:spacing w:val="-2"/>
          <w:sz w:val="18"/>
        </w:rPr>
        <w:t> </w:t>
      </w:r>
      <w:r>
        <w:rPr>
          <w:sz w:val="18"/>
        </w:rPr>
        <w:t>your</w:t>
      </w:r>
      <w:r>
        <w:rPr>
          <w:spacing w:val="-2"/>
          <w:sz w:val="18"/>
        </w:rPr>
        <w:t> </w:t>
      </w:r>
      <w:r>
        <w:rPr>
          <w:sz w:val="18"/>
        </w:rPr>
        <w:t>practice/</w:t>
      </w:r>
      <w:r>
        <w:rPr>
          <w:spacing w:val="-5"/>
          <w:sz w:val="18"/>
        </w:rPr>
        <w:t> </w:t>
      </w:r>
      <w:r>
        <w:rPr>
          <w:sz w:val="18"/>
        </w:rPr>
        <w:t>service?</w:t>
      </w:r>
    </w:p>
    <w:p>
      <w:pPr>
        <w:pStyle w:val="BodyText"/>
        <w:spacing w:before="10"/>
        <w:rPr>
          <w:sz w:val="10"/>
        </w:rPr>
      </w:pPr>
    </w:p>
    <w:p>
      <w:pPr>
        <w:pStyle w:val="ListParagraph"/>
        <w:numPr>
          <w:ilvl w:val="0"/>
          <w:numId w:val="70"/>
        </w:numPr>
        <w:tabs>
          <w:tab w:pos="933" w:val="left" w:leader="none"/>
        </w:tabs>
        <w:spacing w:line="240" w:lineRule="auto" w:before="100" w:after="0"/>
        <w:ind w:left="932" w:right="0" w:hanging="152"/>
        <w:jc w:val="left"/>
        <w:rPr>
          <w:sz w:val="18"/>
        </w:rPr>
      </w:pPr>
      <w:r>
        <w:rPr/>
        <w:drawing>
          <wp:anchor distT="0" distB="0" distL="0" distR="0" allowOverlap="1" layoutInCell="1" locked="0" behindDoc="0" simplePos="0" relativeHeight="15829504">
            <wp:simplePos x="0" y="0"/>
            <wp:positionH relativeFrom="page">
              <wp:posOffset>652565</wp:posOffset>
            </wp:positionH>
            <wp:positionV relativeFrom="paragraph">
              <wp:posOffset>107968</wp:posOffset>
            </wp:positionV>
            <wp:extent cx="58380" cy="72151"/>
            <wp:effectExtent l="0" t="0" r="0" b="0"/>
            <wp:wrapNone/>
            <wp:docPr id="903" name="image13.png"/>
            <wp:cNvGraphicFramePr>
              <a:graphicFrameLocks noChangeAspect="1"/>
            </wp:cNvGraphicFramePr>
            <a:graphic>
              <a:graphicData uri="http://schemas.openxmlformats.org/drawingml/2006/picture">
                <pic:pic>
                  <pic:nvPicPr>
                    <pic:cNvPr id="90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Pharmacist</w:t>
      </w:r>
      <w:r>
        <w:rPr>
          <w:spacing w:val="-4"/>
          <w:sz w:val="18"/>
        </w:rPr>
        <w:t> </w:t>
      </w:r>
      <w:r>
        <w:rPr>
          <w:sz w:val="18"/>
        </w:rPr>
        <w:t>employed</w:t>
      </w:r>
      <w:r>
        <w:rPr>
          <w:spacing w:val="-4"/>
          <w:sz w:val="18"/>
        </w:rPr>
        <w:t> </w:t>
      </w:r>
      <w:r>
        <w:rPr>
          <w:sz w:val="18"/>
        </w:rPr>
        <w:t>by</w:t>
      </w:r>
      <w:r>
        <w:rPr>
          <w:spacing w:val="-4"/>
          <w:sz w:val="18"/>
        </w:rPr>
        <w:t> </w:t>
      </w:r>
      <w:r>
        <w:rPr>
          <w:sz w:val="18"/>
        </w:rPr>
        <w:t>the</w:t>
      </w:r>
      <w:r>
        <w:rPr>
          <w:spacing w:val="-4"/>
          <w:sz w:val="18"/>
        </w:rPr>
        <w:t> </w:t>
      </w:r>
      <w:r>
        <w:rPr>
          <w:sz w:val="18"/>
        </w:rPr>
        <w:t>practice</w:t>
      </w:r>
    </w:p>
    <w:p>
      <w:pPr>
        <w:pStyle w:val="ListParagraph"/>
        <w:numPr>
          <w:ilvl w:val="0"/>
          <w:numId w:val="70"/>
        </w:numPr>
        <w:tabs>
          <w:tab w:pos="933" w:val="left" w:leader="none"/>
        </w:tabs>
        <w:spacing w:line="240" w:lineRule="auto" w:before="0" w:after="0"/>
        <w:ind w:left="932" w:right="0" w:hanging="152"/>
        <w:jc w:val="left"/>
        <w:rPr>
          <w:sz w:val="18"/>
        </w:rPr>
      </w:pPr>
      <w:r>
        <w:rPr/>
        <w:drawing>
          <wp:anchor distT="0" distB="0" distL="0" distR="0" allowOverlap="1" layoutInCell="1" locked="0" behindDoc="0" simplePos="0" relativeHeight="15830016">
            <wp:simplePos x="0" y="0"/>
            <wp:positionH relativeFrom="page">
              <wp:posOffset>652565</wp:posOffset>
            </wp:positionH>
            <wp:positionV relativeFrom="paragraph">
              <wp:posOffset>44275</wp:posOffset>
            </wp:positionV>
            <wp:extent cx="58380" cy="73869"/>
            <wp:effectExtent l="0" t="0" r="0" b="0"/>
            <wp:wrapNone/>
            <wp:docPr id="905" name="image14.png"/>
            <wp:cNvGraphicFramePr>
              <a:graphicFrameLocks noChangeAspect="1"/>
            </wp:cNvGraphicFramePr>
            <a:graphic>
              <a:graphicData uri="http://schemas.openxmlformats.org/drawingml/2006/picture">
                <pic:pic>
                  <pic:nvPicPr>
                    <pic:cNvPr id="906"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Community</w:t>
      </w:r>
      <w:r>
        <w:rPr>
          <w:spacing w:val="-5"/>
          <w:sz w:val="18"/>
        </w:rPr>
        <w:t> </w:t>
      </w:r>
      <w:r>
        <w:rPr>
          <w:sz w:val="18"/>
        </w:rPr>
        <w:t>pharmacist</w:t>
      </w:r>
      <w:r>
        <w:rPr>
          <w:spacing w:val="-6"/>
          <w:sz w:val="18"/>
        </w:rPr>
        <w:t> </w:t>
      </w:r>
      <w:r>
        <w:rPr>
          <w:sz w:val="18"/>
        </w:rPr>
        <w:t>who</w:t>
      </w:r>
      <w:r>
        <w:rPr>
          <w:spacing w:val="-4"/>
          <w:sz w:val="18"/>
        </w:rPr>
        <w:t> </w:t>
      </w:r>
      <w:r>
        <w:rPr>
          <w:sz w:val="18"/>
        </w:rPr>
        <w:t>works</w:t>
      </w:r>
      <w:r>
        <w:rPr>
          <w:spacing w:val="-4"/>
          <w:sz w:val="18"/>
        </w:rPr>
        <w:t> </w:t>
      </w:r>
      <w:r>
        <w:rPr>
          <w:sz w:val="18"/>
        </w:rPr>
        <w:t>closely</w:t>
      </w:r>
      <w:r>
        <w:rPr>
          <w:spacing w:val="-5"/>
          <w:sz w:val="18"/>
        </w:rPr>
        <w:t> </w:t>
      </w:r>
      <w:r>
        <w:rPr>
          <w:sz w:val="18"/>
        </w:rPr>
        <w:t>with</w:t>
      </w:r>
      <w:r>
        <w:rPr>
          <w:spacing w:val="-4"/>
          <w:sz w:val="18"/>
        </w:rPr>
        <w:t> </w:t>
      </w:r>
      <w:r>
        <w:rPr>
          <w:sz w:val="18"/>
        </w:rPr>
        <w:t>the</w:t>
      </w:r>
      <w:r>
        <w:rPr>
          <w:spacing w:val="-4"/>
          <w:sz w:val="18"/>
        </w:rPr>
        <w:t> </w:t>
      </w:r>
      <w:r>
        <w:rPr>
          <w:sz w:val="18"/>
        </w:rPr>
        <w:t>practice</w:t>
      </w:r>
    </w:p>
    <w:p>
      <w:pPr>
        <w:pStyle w:val="ListParagraph"/>
        <w:numPr>
          <w:ilvl w:val="0"/>
          <w:numId w:val="70"/>
        </w:numPr>
        <w:tabs>
          <w:tab w:pos="933" w:val="left" w:leader="none"/>
        </w:tabs>
        <w:spacing w:line="240" w:lineRule="auto" w:before="0" w:after="0"/>
        <w:ind w:left="781" w:right="739" w:firstLine="0"/>
        <w:jc w:val="left"/>
        <w:rPr>
          <w:sz w:val="18"/>
        </w:rPr>
      </w:pPr>
      <w:r>
        <w:rPr/>
        <w:drawing>
          <wp:anchor distT="0" distB="0" distL="0" distR="0" allowOverlap="1" layoutInCell="1" locked="0" behindDoc="0" simplePos="0" relativeHeight="15830528">
            <wp:simplePos x="0" y="0"/>
            <wp:positionH relativeFrom="page">
              <wp:posOffset>652565</wp:posOffset>
            </wp:positionH>
            <wp:positionV relativeFrom="paragraph">
              <wp:posOffset>44468</wp:posOffset>
            </wp:positionV>
            <wp:extent cx="58380" cy="72151"/>
            <wp:effectExtent l="0" t="0" r="0" b="0"/>
            <wp:wrapNone/>
            <wp:docPr id="907" name="image13.png"/>
            <wp:cNvGraphicFramePr>
              <a:graphicFrameLocks noChangeAspect="1"/>
            </wp:cNvGraphicFramePr>
            <a:graphic>
              <a:graphicData uri="http://schemas.openxmlformats.org/drawingml/2006/picture">
                <pic:pic>
                  <pic:nvPicPr>
                    <pic:cNvPr id="90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Pharmacist</w:t>
      </w:r>
      <w:r>
        <w:rPr>
          <w:spacing w:val="-7"/>
          <w:sz w:val="18"/>
        </w:rPr>
        <w:t> </w:t>
      </w:r>
      <w:r>
        <w:rPr>
          <w:sz w:val="18"/>
        </w:rPr>
        <w:t>supported</w:t>
      </w:r>
      <w:r>
        <w:rPr>
          <w:spacing w:val="-5"/>
          <w:sz w:val="18"/>
        </w:rPr>
        <w:t> </w:t>
      </w:r>
      <w:r>
        <w:rPr>
          <w:sz w:val="18"/>
        </w:rPr>
        <w:t>under</w:t>
      </w:r>
      <w:r>
        <w:rPr>
          <w:spacing w:val="-4"/>
          <w:sz w:val="18"/>
        </w:rPr>
        <w:t> </w:t>
      </w:r>
      <w:r>
        <w:rPr>
          <w:sz w:val="18"/>
        </w:rPr>
        <w:t>another</w:t>
      </w:r>
      <w:r>
        <w:rPr>
          <w:spacing w:val="-5"/>
          <w:sz w:val="18"/>
        </w:rPr>
        <w:t> </w:t>
      </w:r>
      <w:r>
        <w:rPr>
          <w:sz w:val="18"/>
        </w:rPr>
        <w:t>arrangement</w:t>
      </w:r>
      <w:r>
        <w:rPr>
          <w:spacing w:val="-3"/>
          <w:sz w:val="18"/>
        </w:rPr>
        <w:t> </w:t>
      </w:r>
      <w:r>
        <w:rPr>
          <w:sz w:val="18"/>
        </w:rPr>
        <w:t>(e.g.</w:t>
      </w:r>
      <w:r>
        <w:rPr>
          <w:spacing w:val="-7"/>
          <w:sz w:val="18"/>
        </w:rPr>
        <w:t> </w:t>
      </w:r>
      <w:r>
        <w:rPr>
          <w:sz w:val="18"/>
        </w:rPr>
        <w:t>hospital</w:t>
      </w:r>
      <w:r>
        <w:rPr>
          <w:spacing w:val="-4"/>
          <w:sz w:val="18"/>
        </w:rPr>
        <w:t> </w:t>
      </w:r>
      <w:r>
        <w:rPr>
          <w:sz w:val="18"/>
        </w:rPr>
        <w:t>clinical</w:t>
      </w:r>
      <w:r>
        <w:rPr>
          <w:spacing w:val="-5"/>
          <w:sz w:val="18"/>
        </w:rPr>
        <w:t> </w:t>
      </w:r>
      <w:r>
        <w:rPr>
          <w:sz w:val="18"/>
        </w:rPr>
        <w:t>pharmacist</w:t>
      </w:r>
      <w:r>
        <w:rPr>
          <w:spacing w:val="-8"/>
          <w:sz w:val="18"/>
        </w:rPr>
        <w:t> </w:t>
      </w:r>
      <w:r>
        <w:rPr>
          <w:sz w:val="18"/>
        </w:rPr>
        <w:t>integrated</w:t>
      </w:r>
      <w:r>
        <w:rPr>
          <w:spacing w:val="-5"/>
          <w:sz w:val="18"/>
        </w:rPr>
        <w:t> </w:t>
      </w:r>
      <w:r>
        <w:rPr>
          <w:sz w:val="18"/>
        </w:rPr>
        <w:t>with/</w:t>
      </w:r>
      <w:r>
        <w:rPr>
          <w:spacing w:val="-4"/>
          <w:sz w:val="18"/>
        </w:rPr>
        <w:t> </w:t>
      </w:r>
      <w:r>
        <w:rPr>
          <w:sz w:val="18"/>
        </w:rPr>
        <w:t>visiting</w:t>
      </w:r>
      <w:r>
        <w:rPr>
          <w:spacing w:val="1"/>
          <w:sz w:val="18"/>
        </w:rPr>
        <w:t> </w:t>
      </w:r>
      <w:r>
        <w:rPr>
          <w:sz w:val="18"/>
        </w:rPr>
        <w:t>the</w:t>
      </w:r>
      <w:r>
        <w:rPr>
          <w:spacing w:val="-1"/>
          <w:sz w:val="18"/>
        </w:rPr>
        <w:t> </w:t>
      </w:r>
      <w:r>
        <w:rPr>
          <w:sz w:val="18"/>
        </w:rPr>
        <w:t>practice)</w:t>
      </w:r>
    </w:p>
    <w:p>
      <w:pPr>
        <w:pStyle w:val="ListParagraph"/>
        <w:numPr>
          <w:ilvl w:val="0"/>
          <w:numId w:val="70"/>
        </w:numPr>
        <w:tabs>
          <w:tab w:pos="932" w:val="left" w:leader="none"/>
        </w:tabs>
        <w:spacing w:line="240" w:lineRule="auto" w:before="1" w:after="0"/>
        <w:ind w:left="931" w:right="0" w:hanging="151"/>
        <w:jc w:val="left"/>
        <w:rPr>
          <w:sz w:val="18"/>
        </w:rPr>
      </w:pPr>
      <w:r>
        <w:rPr/>
        <w:drawing>
          <wp:anchor distT="0" distB="0" distL="0" distR="0" allowOverlap="1" layoutInCell="1" locked="0" behindDoc="0" simplePos="0" relativeHeight="15831040">
            <wp:simplePos x="0" y="0"/>
            <wp:positionH relativeFrom="page">
              <wp:posOffset>652565</wp:posOffset>
            </wp:positionH>
            <wp:positionV relativeFrom="paragraph">
              <wp:posOffset>44656</wp:posOffset>
            </wp:positionV>
            <wp:extent cx="58380" cy="73869"/>
            <wp:effectExtent l="0" t="0" r="0" b="0"/>
            <wp:wrapNone/>
            <wp:docPr id="909" name="image14.png"/>
            <wp:cNvGraphicFramePr>
              <a:graphicFrameLocks noChangeAspect="1"/>
            </wp:cNvGraphicFramePr>
            <a:graphic>
              <a:graphicData uri="http://schemas.openxmlformats.org/drawingml/2006/picture">
                <pic:pic>
                  <pic:nvPicPr>
                    <pic:cNvPr id="910"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Other.</w:t>
      </w:r>
      <w:r>
        <w:rPr>
          <w:spacing w:val="-5"/>
          <w:sz w:val="18"/>
        </w:rPr>
        <w:t> </w:t>
      </w:r>
      <w:r>
        <w:rPr>
          <w:sz w:val="18"/>
        </w:rPr>
        <w:t>Please</w:t>
      </w:r>
      <w:r>
        <w:rPr>
          <w:spacing w:val="-2"/>
          <w:sz w:val="18"/>
        </w:rPr>
        <w:t> </w:t>
      </w:r>
      <w:r>
        <w:rPr>
          <w:sz w:val="18"/>
        </w:rPr>
        <w:t>describe</w:t>
      </w:r>
    </w:p>
    <w:p>
      <w:pPr>
        <w:pStyle w:val="BodyText"/>
        <w:spacing w:before="9"/>
        <w:rPr>
          <w:sz w:val="14"/>
        </w:rPr>
      </w:pPr>
    </w:p>
    <w:p>
      <w:pPr>
        <w:pStyle w:val="ListParagraph"/>
        <w:numPr>
          <w:ilvl w:val="0"/>
          <w:numId w:val="43"/>
        </w:numPr>
        <w:tabs>
          <w:tab w:pos="500" w:val="left" w:leader="none"/>
        </w:tabs>
        <w:spacing w:line="240" w:lineRule="auto" w:before="100" w:after="0"/>
        <w:ind w:left="500" w:right="1283" w:hanging="360"/>
        <w:jc w:val="left"/>
        <w:rPr>
          <w:sz w:val="18"/>
        </w:rPr>
      </w:pPr>
      <w:r>
        <w:rPr>
          <w:sz w:val="18"/>
        </w:rPr>
        <w:t>Is</w:t>
      </w:r>
      <w:r>
        <w:rPr>
          <w:spacing w:val="-3"/>
          <w:sz w:val="18"/>
        </w:rPr>
        <w:t> </w:t>
      </w:r>
      <w:r>
        <w:rPr>
          <w:sz w:val="18"/>
        </w:rPr>
        <w:t>there</w:t>
      </w:r>
      <w:r>
        <w:rPr>
          <w:spacing w:val="-2"/>
          <w:sz w:val="18"/>
        </w:rPr>
        <w:t> </w:t>
      </w:r>
      <w:r>
        <w:rPr>
          <w:sz w:val="18"/>
        </w:rPr>
        <w:t>something</w:t>
      </w:r>
      <w:r>
        <w:rPr>
          <w:spacing w:val="-4"/>
          <w:sz w:val="18"/>
        </w:rPr>
        <w:t> </w:t>
      </w:r>
      <w:r>
        <w:rPr>
          <w:sz w:val="18"/>
        </w:rPr>
        <w:t>else</w:t>
      </w:r>
      <w:r>
        <w:rPr>
          <w:spacing w:val="2"/>
          <w:sz w:val="18"/>
        </w:rPr>
        <w:t> </w:t>
      </w:r>
      <w:r>
        <w:rPr>
          <w:sz w:val="18"/>
        </w:rPr>
        <w:t>you</w:t>
      </w:r>
      <w:r>
        <w:rPr>
          <w:spacing w:val="-6"/>
          <w:sz w:val="18"/>
        </w:rPr>
        <w:t> </w:t>
      </w:r>
      <w:r>
        <w:rPr>
          <w:sz w:val="18"/>
        </w:rPr>
        <w:t>would</w:t>
      </w:r>
      <w:r>
        <w:rPr>
          <w:spacing w:val="-3"/>
          <w:sz w:val="18"/>
        </w:rPr>
        <w:t> </w:t>
      </w:r>
      <w:r>
        <w:rPr>
          <w:sz w:val="18"/>
        </w:rPr>
        <w:t>like</w:t>
      </w:r>
      <w:r>
        <w:rPr>
          <w:spacing w:val="-3"/>
          <w:sz w:val="18"/>
        </w:rPr>
        <w:t> </w:t>
      </w:r>
      <w:r>
        <w:rPr>
          <w:sz w:val="18"/>
        </w:rPr>
        <w:t>to</w:t>
      </w:r>
      <w:r>
        <w:rPr>
          <w:spacing w:val="-3"/>
          <w:sz w:val="18"/>
        </w:rPr>
        <w:t> </w:t>
      </w:r>
      <w:r>
        <w:rPr>
          <w:sz w:val="18"/>
        </w:rPr>
        <w:t>add</w:t>
      </w:r>
      <w:r>
        <w:rPr>
          <w:spacing w:val="-3"/>
          <w:sz w:val="18"/>
        </w:rPr>
        <w:t> </w:t>
      </w:r>
      <w:r>
        <w:rPr>
          <w:sz w:val="18"/>
        </w:rPr>
        <w:t>about</w:t>
      </w:r>
      <w:r>
        <w:rPr>
          <w:spacing w:val="-3"/>
          <w:sz w:val="18"/>
        </w:rPr>
        <w:t> </w:t>
      </w:r>
      <w:r>
        <w:rPr>
          <w:sz w:val="18"/>
        </w:rPr>
        <w:t>where</w:t>
      </w:r>
      <w:r>
        <w:rPr>
          <w:spacing w:val="-2"/>
          <w:sz w:val="18"/>
        </w:rPr>
        <w:t> </w:t>
      </w:r>
      <w:r>
        <w:rPr>
          <w:sz w:val="18"/>
        </w:rPr>
        <w:t>you</w:t>
      </w:r>
      <w:r>
        <w:rPr>
          <w:spacing w:val="-4"/>
          <w:sz w:val="18"/>
        </w:rPr>
        <w:t> </w:t>
      </w:r>
      <w:r>
        <w:rPr>
          <w:sz w:val="18"/>
        </w:rPr>
        <w:t>have</w:t>
      </w:r>
      <w:r>
        <w:rPr>
          <w:spacing w:val="-1"/>
          <w:sz w:val="18"/>
        </w:rPr>
        <w:t> </w:t>
      </w:r>
      <w:r>
        <w:rPr>
          <w:sz w:val="18"/>
        </w:rPr>
        <w:t>got</w:t>
      </w:r>
      <w:r>
        <w:rPr>
          <w:spacing w:val="-4"/>
          <w:sz w:val="18"/>
        </w:rPr>
        <w:t> </w:t>
      </w:r>
      <w:r>
        <w:rPr>
          <w:sz w:val="18"/>
        </w:rPr>
        <w:t>to</w:t>
      </w:r>
      <w:r>
        <w:rPr>
          <w:spacing w:val="-3"/>
          <w:sz w:val="18"/>
        </w:rPr>
        <w:t> </w:t>
      </w:r>
      <w:r>
        <w:rPr>
          <w:sz w:val="18"/>
        </w:rPr>
        <w:t>with</w:t>
      </w:r>
      <w:r>
        <w:rPr>
          <w:spacing w:val="-2"/>
          <w:sz w:val="18"/>
        </w:rPr>
        <w:t> </w:t>
      </w:r>
      <w:r>
        <w:rPr>
          <w:sz w:val="18"/>
        </w:rPr>
        <w:t>implementing</w:t>
      </w:r>
      <w:r>
        <w:rPr>
          <w:spacing w:val="-3"/>
          <w:sz w:val="18"/>
        </w:rPr>
        <w:t> </w:t>
      </w:r>
      <w:r>
        <w:rPr>
          <w:sz w:val="18"/>
        </w:rPr>
        <w:t>HCH</w:t>
      </w:r>
      <w:r>
        <w:rPr>
          <w:spacing w:val="-3"/>
          <w:sz w:val="18"/>
        </w:rPr>
        <w:t> </w:t>
      </w:r>
      <w:r>
        <w:rPr>
          <w:sz w:val="18"/>
        </w:rPr>
        <w:t>in</w:t>
      </w:r>
      <w:r>
        <w:rPr>
          <w:spacing w:val="-2"/>
          <w:sz w:val="18"/>
        </w:rPr>
        <w:t> </w:t>
      </w:r>
      <w:r>
        <w:rPr>
          <w:sz w:val="18"/>
        </w:rPr>
        <w:t>your</w:t>
      </w:r>
      <w:r>
        <w:rPr>
          <w:spacing w:val="1"/>
          <w:sz w:val="18"/>
        </w:rPr>
        <w:t> </w:t>
      </w:r>
      <w:r>
        <w:rPr>
          <w:sz w:val="18"/>
        </w:rPr>
        <w:t>practice,</w:t>
      </w:r>
      <w:r>
        <w:rPr>
          <w:spacing w:val="-3"/>
          <w:sz w:val="18"/>
        </w:rPr>
        <w:t> </w:t>
      </w:r>
      <w:r>
        <w:rPr>
          <w:sz w:val="18"/>
        </w:rPr>
        <w:t>or</w:t>
      </w:r>
      <w:r>
        <w:rPr>
          <w:spacing w:val="1"/>
          <w:sz w:val="18"/>
        </w:rPr>
        <w:t> </w:t>
      </w:r>
      <w:r>
        <w:rPr>
          <w:sz w:val="18"/>
        </w:rPr>
        <w:t>any</w:t>
      </w:r>
      <w:r>
        <w:rPr>
          <w:spacing w:val="-1"/>
          <w:sz w:val="18"/>
        </w:rPr>
        <w:t> </w:t>
      </w:r>
      <w:r>
        <w:rPr>
          <w:sz w:val="18"/>
        </w:rPr>
        <w:t>other</w:t>
      </w:r>
      <w:r>
        <w:rPr>
          <w:spacing w:val="-3"/>
          <w:sz w:val="18"/>
        </w:rPr>
        <w:t> </w:t>
      </w:r>
      <w:r>
        <w:rPr>
          <w:sz w:val="18"/>
        </w:rPr>
        <w:t>comments</w:t>
      </w:r>
      <w:r>
        <w:rPr>
          <w:spacing w:val="2"/>
          <w:sz w:val="18"/>
        </w:rPr>
        <w:t> </w:t>
      </w:r>
      <w:r>
        <w:rPr>
          <w:sz w:val="18"/>
        </w:rPr>
        <w:t>that</w:t>
      </w:r>
      <w:r>
        <w:rPr>
          <w:spacing w:val="-2"/>
          <w:sz w:val="18"/>
        </w:rPr>
        <w:t> </w:t>
      </w:r>
      <w:r>
        <w:rPr>
          <w:sz w:val="18"/>
        </w:rPr>
        <w:t>you</w:t>
      </w:r>
      <w:r>
        <w:rPr>
          <w:spacing w:val="-1"/>
          <w:sz w:val="18"/>
        </w:rPr>
        <w:t> </w:t>
      </w:r>
      <w:r>
        <w:rPr>
          <w:sz w:val="18"/>
        </w:rPr>
        <w:t>would</w:t>
      </w:r>
      <w:r>
        <w:rPr>
          <w:spacing w:val="-1"/>
          <w:sz w:val="18"/>
        </w:rPr>
        <w:t> </w:t>
      </w:r>
      <w:r>
        <w:rPr>
          <w:sz w:val="18"/>
        </w:rPr>
        <w:t>like to</w:t>
      </w:r>
      <w:r>
        <w:rPr>
          <w:spacing w:val="-4"/>
          <w:sz w:val="18"/>
        </w:rPr>
        <w:t> </w:t>
      </w:r>
      <w:r>
        <w:rPr>
          <w:sz w:val="18"/>
        </w:rPr>
        <w:t>make?</w:t>
      </w:r>
    </w:p>
    <w:p>
      <w:pPr>
        <w:pStyle w:val="BodyText"/>
      </w:pPr>
    </w:p>
    <w:p>
      <w:pPr>
        <w:pStyle w:val="BodyText"/>
        <w:spacing w:before="6"/>
        <w:rPr>
          <w:sz w:val="25"/>
        </w:rPr>
      </w:pPr>
      <w:r>
        <w:rPr/>
        <w:pict>
          <v:rect style="position:absolute;margin-left:34.560001pt;margin-top:16.825928pt;width:526.3pt;height:.47998pt;mso-position-horizontal-relative:page;mso-position-vertical-relative:paragraph;z-index:-15631872;mso-wrap-distance-left:0;mso-wrap-distance-right:0" id="docshape153" filled="true" fillcolor="#d9d9d9" stroked="false">
            <v:fill type="solid"/>
            <w10:wrap type="topAndBottom"/>
          </v:rect>
        </w:pict>
      </w:r>
    </w:p>
    <w:p>
      <w:pPr>
        <w:spacing w:after="0"/>
        <w:rPr>
          <w:sz w:val="25"/>
        </w:rPr>
        <w:sectPr>
          <w:pgSz w:w="11910" w:h="16840"/>
          <w:pgMar w:header="0" w:footer="906" w:top="860" w:bottom="1140" w:left="580" w:right="280"/>
        </w:sectPr>
      </w:pPr>
    </w:p>
    <w:p>
      <w:pPr>
        <w:pStyle w:val="Heading4"/>
        <w:spacing w:before="76"/>
        <w:ind w:left="1179"/>
      </w:pPr>
      <w:r>
        <w:rPr/>
        <w:pict>
          <v:shape style="position:absolute;margin-left:36pt;margin-top:26.498192pt;width:523.85pt;height:259.45pt;mso-position-horizontal-relative:page;mso-position-vertical-relative:paragraph;z-index:-15625728;mso-wrap-distance-left:0;mso-wrap-distance-right:0" type="#_x0000_t202" id="docshape154" filled="true" fillcolor="#f1f1f1" stroked="false">
            <v:textbox inset="0,0,0,0">
              <w:txbxContent>
                <w:p>
                  <w:pPr>
                    <w:spacing w:line="273" w:lineRule="auto" w:before="76"/>
                    <w:ind w:left="148" w:right="192" w:firstLine="0"/>
                    <w:jc w:val="left"/>
                    <w:rPr>
                      <w:color w:val="000000"/>
                      <w:sz w:val="18"/>
                    </w:rPr>
                  </w:pPr>
                  <w:r>
                    <w:rPr>
                      <w:color w:val="000000"/>
                      <w:sz w:val="18"/>
                    </w:rPr>
                    <w:t>This</w:t>
                  </w:r>
                  <w:r>
                    <w:rPr>
                      <w:color w:val="000000"/>
                      <w:spacing w:val="-4"/>
                      <w:sz w:val="18"/>
                    </w:rPr>
                    <w:t> </w:t>
                  </w:r>
                  <w:r>
                    <w:rPr>
                      <w:color w:val="000000"/>
                      <w:sz w:val="18"/>
                    </w:rPr>
                    <w:t>survey</w:t>
                  </w:r>
                  <w:r>
                    <w:rPr>
                      <w:color w:val="000000"/>
                      <w:spacing w:val="-4"/>
                      <w:sz w:val="18"/>
                    </w:rPr>
                    <w:t> </w:t>
                  </w:r>
                  <w:r>
                    <w:rPr>
                      <w:color w:val="000000"/>
                      <w:sz w:val="18"/>
                    </w:rPr>
                    <w:t>asks</w:t>
                  </w:r>
                  <w:r>
                    <w:rPr>
                      <w:color w:val="000000"/>
                      <w:spacing w:val="-4"/>
                      <w:sz w:val="18"/>
                    </w:rPr>
                    <w:t> </w:t>
                  </w:r>
                  <w:r>
                    <w:rPr>
                      <w:color w:val="000000"/>
                      <w:sz w:val="18"/>
                    </w:rPr>
                    <w:t>questions</w:t>
                  </w:r>
                  <w:r>
                    <w:rPr>
                      <w:color w:val="000000"/>
                      <w:spacing w:val="-3"/>
                      <w:sz w:val="18"/>
                    </w:rPr>
                    <w:t> </w:t>
                  </w:r>
                  <w:r>
                    <w:rPr>
                      <w:color w:val="000000"/>
                      <w:sz w:val="18"/>
                    </w:rPr>
                    <w:t>about</w:t>
                  </w:r>
                  <w:r>
                    <w:rPr>
                      <w:color w:val="000000"/>
                      <w:spacing w:val="-5"/>
                      <w:sz w:val="18"/>
                    </w:rPr>
                    <w:t> </w:t>
                  </w:r>
                  <w:r>
                    <w:rPr>
                      <w:color w:val="000000"/>
                      <w:sz w:val="18"/>
                    </w:rPr>
                    <w:t>the</w:t>
                  </w:r>
                  <w:r>
                    <w:rPr>
                      <w:color w:val="000000"/>
                      <w:spacing w:val="-3"/>
                      <w:sz w:val="18"/>
                    </w:rPr>
                    <w:t> </w:t>
                  </w:r>
                  <w:r>
                    <w:rPr>
                      <w:color w:val="000000"/>
                      <w:sz w:val="18"/>
                    </w:rPr>
                    <w:t>implementation</w:t>
                  </w:r>
                  <w:r>
                    <w:rPr>
                      <w:color w:val="000000"/>
                      <w:spacing w:val="-3"/>
                      <w:sz w:val="18"/>
                    </w:rPr>
                    <w:t> </w:t>
                  </w:r>
                  <w:r>
                    <w:rPr>
                      <w:color w:val="000000"/>
                      <w:sz w:val="18"/>
                    </w:rPr>
                    <w:t>of</w:t>
                  </w:r>
                  <w:r>
                    <w:rPr>
                      <w:color w:val="000000"/>
                      <w:spacing w:val="-3"/>
                      <w:sz w:val="18"/>
                    </w:rPr>
                    <w:t> </w:t>
                  </w:r>
                  <w:r>
                    <w:rPr>
                      <w:color w:val="000000"/>
                      <w:sz w:val="18"/>
                    </w:rPr>
                    <w:t>the</w:t>
                  </w:r>
                  <w:r>
                    <w:rPr>
                      <w:color w:val="000000"/>
                      <w:spacing w:val="-3"/>
                      <w:sz w:val="18"/>
                    </w:rPr>
                    <w:t> </w:t>
                  </w:r>
                  <w:r>
                    <w:rPr>
                      <w:color w:val="000000"/>
                      <w:sz w:val="18"/>
                    </w:rPr>
                    <w:t>Health</w:t>
                  </w:r>
                  <w:r>
                    <w:rPr>
                      <w:color w:val="000000"/>
                      <w:spacing w:val="-3"/>
                      <w:sz w:val="18"/>
                    </w:rPr>
                    <w:t> </w:t>
                  </w:r>
                  <w:r>
                    <w:rPr>
                      <w:color w:val="000000"/>
                      <w:sz w:val="18"/>
                    </w:rPr>
                    <w:t>Care</w:t>
                  </w:r>
                  <w:r>
                    <w:rPr>
                      <w:color w:val="000000"/>
                      <w:spacing w:val="-3"/>
                      <w:sz w:val="18"/>
                    </w:rPr>
                    <w:t> </w:t>
                  </w:r>
                  <w:r>
                    <w:rPr>
                      <w:color w:val="000000"/>
                      <w:sz w:val="18"/>
                    </w:rPr>
                    <w:t>Homes</w:t>
                  </w:r>
                  <w:r>
                    <w:rPr>
                      <w:color w:val="000000"/>
                      <w:spacing w:val="-1"/>
                      <w:sz w:val="18"/>
                    </w:rPr>
                    <w:t> </w:t>
                  </w:r>
                  <w:r>
                    <w:rPr>
                      <w:color w:val="000000"/>
                      <w:sz w:val="18"/>
                    </w:rPr>
                    <w:t>(HCH)</w:t>
                  </w:r>
                  <w:r>
                    <w:rPr>
                      <w:color w:val="000000"/>
                      <w:spacing w:val="-4"/>
                      <w:sz w:val="18"/>
                    </w:rPr>
                    <w:t> </w:t>
                  </w:r>
                  <w:r>
                    <w:rPr>
                      <w:color w:val="000000"/>
                      <w:sz w:val="18"/>
                    </w:rPr>
                    <w:t>program</w:t>
                  </w:r>
                  <w:r>
                    <w:rPr>
                      <w:color w:val="000000"/>
                      <w:spacing w:val="-7"/>
                      <w:sz w:val="18"/>
                    </w:rPr>
                    <w:t> </w:t>
                  </w:r>
                  <w:r>
                    <w:rPr>
                      <w:color w:val="000000"/>
                      <w:sz w:val="18"/>
                    </w:rPr>
                    <w:t>in</w:t>
                  </w:r>
                  <w:r>
                    <w:rPr>
                      <w:color w:val="000000"/>
                      <w:spacing w:val="-3"/>
                      <w:sz w:val="18"/>
                    </w:rPr>
                    <w:t> </w:t>
                  </w:r>
                  <w:r>
                    <w:rPr>
                      <w:color w:val="000000"/>
                      <w:sz w:val="18"/>
                    </w:rPr>
                    <w:t>your</w:t>
                  </w:r>
                  <w:r>
                    <w:rPr>
                      <w:color w:val="000000"/>
                      <w:spacing w:val="-3"/>
                      <w:sz w:val="18"/>
                    </w:rPr>
                    <w:t> </w:t>
                  </w:r>
                  <w:r>
                    <w:rPr>
                      <w:color w:val="000000"/>
                      <w:sz w:val="18"/>
                    </w:rPr>
                    <w:t>primary</w:t>
                  </w:r>
                  <w:r>
                    <w:rPr>
                      <w:color w:val="000000"/>
                      <w:spacing w:val="-1"/>
                      <w:sz w:val="18"/>
                    </w:rPr>
                    <w:t> </w:t>
                  </w:r>
                  <w:r>
                    <w:rPr>
                      <w:color w:val="000000"/>
                      <w:sz w:val="18"/>
                    </w:rPr>
                    <w:t>care</w:t>
                  </w:r>
                  <w:r>
                    <w:rPr>
                      <w:color w:val="000000"/>
                      <w:spacing w:val="1"/>
                      <w:sz w:val="18"/>
                    </w:rPr>
                    <w:t> </w:t>
                  </w:r>
                  <w:r>
                    <w:rPr>
                      <w:color w:val="000000"/>
                      <w:sz w:val="18"/>
                    </w:rPr>
                    <w:t>practice/</w:t>
                  </w:r>
                  <w:r>
                    <w:rPr>
                      <w:color w:val="000000"/>
                      <w:spacing w:val="-1"/>
                      <w:sz w:val="18"/>
                    </w:rPr>
                    <w:t> </w:t>
                  </w:r>
                  <w:r>
                    <w:rPr>
                      <w:color w:val="000000"/>
                      <w:sz w:val="18"/>
                    </w:rPr>
                    <w:t>service.</w:t>
                  </w:r>
                </w:p>
                <w:p>
                  <w:pPr>
                    <w:spacing w:line="276" w:lineRule="auto" w:before="124"/>
                    <w:ind w:left="148" w:right="192" w:firstLine="0"/>
                    <w:jc w:val="left"/>
                    <w:rPr>
                      <w:color w:val="000000"/>
                      <w:sz w:val="18"/>
                    </w:rPr>
                  </w:pPr>
                  <w:r>
                    <w:rPr>
                      <w:color w:val="000000"/>
                      <w:sz w:val="18"/>
                    </w:rPr>
                    <w:t>A link has been provided to the survey. You may return to this link on several occasions. The survey should be</w:t>
                  </w:r>
                  <w:r>
                    <w:rPr>
                      <w:color w:val="000000"/>
                      <w:spacing w:val="-47"/>
                      <w:sz w:val="18"/>
                    </w:rPr>
                    <w:t> </w:t>
                  </w:r>
                  <w:r>
                    <w:rPr>
                      <w:color w:val="000000"/>
                      <w:sz w:val="18"/>
                    </w:rPr>
                    <w:t>completed</w:t>
                  </w:r>
                  <w:r>
                    <w:rPr>
                      <w:color w:val="000000"/>
                      <w:spacing w:val="-2"/>
                      <w:sz w:val="18"/>
                    </w:rPr>
                    <w:t> </w:t>
                  </w:r>
                  <w:r>
                    <w:rPr>
                      <w:color w:val="000000"/>
                      <w:sz w:val="18"/>
                    </w:rPr>
                    <w:t>by</w:t>
                  </w:r>
                  <w:r>
                    <w:rPr>
                      <w:color w:val="000000"/>
                      <w:spacing w:val="-1"/>
                      <w:sz w:val="18"/>
                    </w:rPr>
                    <w:t> </w:t>
                  </w:r>
                  <w:r>
                    <w:rPr>
                      <w:color w:val="000000"/>
                      <w:sz w:val="18"/>
                    </w:rPr>
                    <w:t>30 November</w:t>
                  </w:r>
                  <w:r>
                    <w:rPr>
                      <w:color w:val="000000"/>
                      <w:spacing w:val="1"/>
                      <w:sz w:val="18"/>
                    </w:rPr>
                    <w:t> </w:t>
                  </w:r>
                  <w:r>
                    <w:rPr>
                      <w:color w:val="000000"/>
                      <w:sz w:val="18"/>
                    </w:rPr>
                    <w:t>2019.</w:t>
                  </w:r>
                </w:p>
                <w:p>
                  <w:pPr>
                    <w:spacing w:line="276" w:lineRule="auto" w:before="121"/>
                    <w:ind w:left="148" w:right="192" w:firstLine="0"/>
                    <w:jc w:val="left"/>
                    <w:rPr>
                      <w:color w:val="000000"/>
                      <w:sz w:val="18"/>
                    </w:rPr>
                  </w:pPr>
                  <w:r>
                    <w:rPr>
                      <w:color w:val="000000"/>
                      <w:sz w:val="18"/>
                    </w:rPr>
                    <w:t>The information that you provide will be kept strictly confidential and will not be used for any other purpose other</w:t>
                  </w:r>
                  <w:r>
                    <w:rPr>
                      <w:color w:val="000000"/>
                      <w:spacing w:val="1"/>
                      <w:sz w:val="18"/>
                    </w:rPr>
                    <w:t> </w:t>
                  </w:r>
                  <w:r>
                    <w:rPr>
                      <w:color w:val="000000"/>
                      <w:sz w:val="18"/>
                    </w:rPr>
                    <w:t>than</w:t>
                  </w:r>
                  <w:r>
                    <w:rPr>
                      <w:color w:val="000000"/>
                      <w:spacing w:val="-4"/>
                      <w:sz w:val="18"/>
                    </w:rPr>
                    <w:t> </w:t>
                  </w:r>
                  <w:r>
                    <w:rPr>
                      <w:color w:val="000000"/>
                      <w:sz w:val="18"/>
                    </w:rPr>
                    <w:t>the</w:t>
                  </w:r>
                  <w:r>
                    <w:rPr>
                      <w:color w:val="000000"/>
                      <w:spacing w:val="-3"/>
                      <w:sz w:val="18"/>
                    </w:rPr>
                    <w:t> </w:t>
                  </w:r>
                  <w:r>
                    <w:rPr>
                      <w:color w:val="000000"/>
                      <w:sz w:val="18"/>
                    </w:rPr>
                    <w:t>evaluation</w:t>
                  </w:r>
                  <w:r>
                    <w:rPr>
                      <w:color w:val="000000"/>
                      <w:spacing w:val="-3"/>
                      <w:sz w:val="18"/>
                    </w:rPr>
                    <w:t> </w:t>
                  </w:r>
                  <w:r>
                    <w:rPr>
                      <w:color w:val="000000"/>
                      <w:sz w:val="18"/>
                    </w:rPr>
                    <w:t>of</w:t>
                  </w:r>
                  <w:r>
                    <w:rPr>
                      <w:color w:val="000000"/>
                      <w:spacing w:val="-5"/>
                      <w:sz w:val="18"/>
                    </w:rPr>
                    <w:t> </w:t>
                  </w:r>
                  <w:r>
                    <w:rPr>
                      <w:color w:val="000000"/>
                      <w:sz w:val="18"/>
                    </w:rPr>
                    <w:t>the</w:t>
                  </w:r>
                  <w:r>
                    <w:rPr>
                      <w:color w:val="000000"/>
                      <w:spacing w:val="-5"/>
                      <w:sz w:val="18"/>
                    </w:rPr>
                    <w:t> </w:t>
                  </w:r>
                  <w:r>
                    <w:rPr>
                      <w:color w:val="000000"/>
                      <w:sz w:val="18"/>
                    </w:rPr>
                    <w:t>HCH</w:t>
                  </w:r>
                  <w:r>
                    <w:rPr>
                      <w:color w:val="000000"/>
                      <w:spacing w:val="-3"/>
                      <w:sz w:val="18"/>
                    </w:rPr>
                    <w:t> </w:t>
                  </w:r>
                  <w:r>
                    <w:rPr>
                      <w:color w:val="000000"/>
                      <w:sz w:val="18"/>
                    </w:rPr>
                    <w:t>program.</w:t>
                  </w:r>
                  <w:r>
                    <w:rPr>
                      <w:color w:val="000000"/>
                      <w:spacing w:val="2"/>
                      <w:sz w:val="18"/>
                    </w:rPr>
                    <w:t> </w:t>
                  </w:r>
                  <w:r>
                    <w:rPr>
                      <w:color w:val="000000"/>
                      <w:sz w:val="18"/>
                    </w:rPr>
                    <w:t>All</w:t>
                  </w:r>
                  <w:r>
                    <w:rPr>
                      <w:color w:val="000000"/>
                      <w:spacing w:val="-3"/>
                      <w:sz w:val="18"/>
                    </w:rPr>
                    <w:t> </w:t>
                  </w:r>
                  <w:r>
                    <w:rPr>
                      <w:color w:val="000000"/>
                      <w:sz w:val="18"/>
                    </w:rPr>
                    <w:t>reports</w:t>
                  </w:r>
                  <w:r>
                    <w:rPr>
                      <w:color w:val="000000"/>
                      <w:spacing w:val="-4"/>
                      <w:sz w:val="18"/>
                    </w:rPr>
                    <w:t> </w:t>
                  </w:r>
                  <w:r>
                    <w:rPr>
                      <w:color w:val="000000"/>
                      <w:sz w:val="18"/>
                    </w:rPr>
                    <w:t>of</w:t>
                  </w:r>
                  <w:r>
                    <w:rPr>
                      <w:color w:val="000000"/>
                      <w:spacing w:val="-4"/>
                      <w:sz w:val="18"/>
                    </w:rPr>
                    <w:t> </w:t>
                  </w:r>
                  <w:r>
                    <w:rPr>
                      <w:color w:val="000000"/>
                      <w:sz w:val="18"/>
                    </w:rPr>
                    <w:t>the</w:t>
                  </w:r>
                  <w:r>
                    <w:rPr>
                      <w:color w:val="000000"/>
                      <w:spacing w:val="-3"/>
                      <w:sz w:val="18"/>
                    </w:rPr>
                    <w:t> </w:t>
                  </w:r>
                  <w:r>
                    <w:rPr>
                      <w:color w:val="000000"/>
                      <w:sz w:val="18"/>
                    </w:rPr>
                    <w:t>evaluation</w:t>
                  </w:r>
                  <w:r>
                    <w:rPr>
                      <w:color w:val="000000"/>
                      <w:spacing w:val="-3"/>
                      <w:sz w:val="18"/>
                    </w:rPr>
                    <w:t> </w:t>
                  </w:r>
                  <w:r>
                    <w:rPr>
                      <w:color w:val="000000"/>
                      <w:sz w:val="18"/>
                    </w:rPr>
                    <w:t>will</w:t>
                  </w:r>
                  <w:r>
                    <w:rPr>
                      <w:color w:val="000000"/>
                      <w:spacing w:val="-4"/>
                      <w:sz w:val="18"/>
                    </w:rPr>
                    <w:t> </w:t>
                  </w:r>
                  <w:r>
                    <w:rPr>
                      <w:color w:val="000000"/>
                      <w:sz w:val="18"/>
                    </w:rPr>
                    <w:t>only</w:t>
                  </w:r>
                  <w:r>
                    <w:rPr>
                      <w:color w:val="000000"/>
                      <w:spacing w:val="-4"/>
                      <w:sz w:val="18"/>
                    </w:rPr>
                    <w:t> </w:t>
                  </w:r>
                  <w:r>
                    <w:rPr>
                      <w:color w:val="000000"/>
                      <w:sz w:val="18"/>
                    </w:rPr>
                    <w:t>contain</w:t>
                  </w:r>
                  <w:r>
                    <w:rPr>
                      <w:color w:val="000000"/>
                      <w:spacing w:val="-3"/>
                      <w:sz w:val="18"/>
                    </w:rPr>
                    <w:t> </w:t>
                  </w:r>
                  <w:r>
                    <w:rPr>
                      <w:color w:val="000000"/>
                      <w:sz w:val="18"/>
                    </w:rPr>
                    <w:t>descriptive</w:t>
                  </w:r>
                  <w:r>
                    <w:rPr>
                      <w:color w:val="000000"/>
                      <w:spacing w:val="-5"/>
                      <w:sz w:val="18"/>
                    </w:rPr>
                    <w:t> </w:t>
                  </w:r>
                  <w:r>
                    <w:rPr>
                      <w:color w:val="000000"/>
                      <w:sz w:val="18"/>
                    </w:rPr>
                    <w:t>information</w:t>
                  </w:r>
                  <w:r>
                    <w:rPr>
                      <w:color w:val="000000"/>
                      <w:spacing w:val="-5"/>
                      <w:sz w:val="18"/>
                    </w:rPr>
                    <w:t> </w:t>
                  </w:r>
                  <w:r>
                    <w:rPr>
                      <w:color w:val="000000"/>
                      <w:sz w:val="18"/>
                    </w:rPr>
                    <w:t>about</w:t>
                  </w:r>
                  <w:r>
                    <w:rPr>
                      <w:color w:val="000000"/>
                      <w:spacing w:val="1"/>
                      <w:sz w:val="18"/>
                    </w:rPr>
                    <w:t> </w:t>
                  </w:r>
                  <w:r>
                    <w:rPr>
                      <w:color w:val="000000"/>
                      <w:sz w:val="18"/>
                    </w:rPr>
                    <w:t>individual practices/ services (e.g. geographic location in summary categories such as rural, remote, very remote).</w:t>
                  </w:r>
                  <w:r>
                    <w:rPr>
                      <w:color w:val="000000"/>
                      <w:spacing w:val="1"/>
                      <w:sz w:val="18"/>
                    </w:rPr>
                    <w:t> </w:t>
                  </w:r>
                  <w:r>
                    <w:rPr>
                      <w:color w:val="000000"/>
                      <w:sz w:val="18"/>
                    </w:rPr>
                    <w:t>No</w:t>
                  </w:r>
                  <w:r>
                    <w:rPr>
                      <w:color w:val="000000"/>
                      <w:spacing w:val="-1"/>
                      <w:sz w:val="18"/>
                    </w:rPr>
                    <w:t> </w:t>
                  </w:r>
                  <w:r>
                    <w:rPr>
                      <w:color w:val="000000"/>
                      <w:sz w:val="18"/>
                    </w:rPr>
                    <w:t>ratings</w:t>
                  </w:r>
                  <w:r>
                    <w:rPr>
                      <w:color w:val="000000"/>
                      <w:spacing w:val="-1"/>
                      <w:sz w:val="18"/>
                    </w:rPr>
                    <w:t> </w:t>
                  </w:r>
                  <w:r>
                    <w:rPr>
                      <w:color w:val="000000"/>
                      <w:sz w:val="18"/>
                    </w:rPr>
                    <w:t>or views</w:t>
                  </w:r>
                  <w:r>
                    <w:rPr>
                      <w:color w:val="000000"/>
                      <w:spacing w:val="-2"/>
                      <w:sz w:val="18"/>
                    </w:rPr>
                    <w:t> </w:t>
                  </w:r>
                  <w:r>
                    <w:rPr>
                      <w:color w:val="000000"/>
                      <w:sz w:val="18"/>
                    </w:rPr>
                    <w:t>will</w:t>
                  </w:r>
                  <w:r>
                    <w:rPr>
                      <w:color w:val="000000"/>
                      <w:spacing w:val="-1"/>
                      <w:sz w:val="18"/>
                    </w:rPr>
                    <w:t> </w:t>
                  </w:r>
                  <w:r>
                    <w:rPr>
                      <w:color w:val="000000"/>
                      <w:sz w:val="18"/>
                    </w:rPr>
                    <w:t>be</w:t>
                  </w:r>
                  <w:r>
                    <w:rPr>
                      <w:color w:val="000000"/>
                      <w:spacing w:val="-2"/>
                      <w:sz w:val="18"/>
                    </w:rPr>
                    <w:t> </w:t>
                  </w:r>
                  <w:r>
                    <w:rPr>
                      <w:color w:val="000000"/>
                      <w:sz w:val="18"/>
                    </w:rPr>
                    <w:t>attributed</w:t>
                  </w:r>
                  <w:r>
                    <w:rPr>
                      <w:color w:val="000000"/>
                      <w:spacing w:val="-2"/>
                      <w:sz w:val="18"/>
                    </w:rPr>
                    <w:t> </w:t>
                  </w:r>
                  <w:r>
                    <w:rPr>
                      <w:color w:val="000000"/>
                      <w:sz w:val="18"/>
                    </w:rPr>
                    <w:t>to</w:t>
                  </w:r>
                  <w:r>
                    <w:rPr>
                      <w:color w:val="000000"/>
                      <w:spacing w:val="-1"/>
                      <w:sz w:val="18"/>
                    </w:rPr>
                    <w:t> </w:t>
                  </w:r>
                  <w:r>
                    <w:rPr>
                      <w:color w:val="000000"/>
                      <w:sz w:val="18"/>
                    </w:rPr>
                    <w:t>any</w:t>
                  </w:r>
                  <w:r>
                    <w:rPr>
                      <w:color w:val="000000"/>
                      <w:spacing w:val="-3"/>
                      <w:sz w:val="18"/>
                    </w:rPr>
                    <w:t> </w:t>
                  </w:r>
                  <w:r>
                    <w:rPr>
                      <w:color w:val="000000"/>
                      <w:sz w:val="18"/>
                    </w:rPr>
                    <w:t>individual</w:t>
                  </w:r>
                  <w:r>
                    <w:rPr>
                      <w:color w:val="000000"/>
                      <w:spacing w:val="-1"/>
                      <w:sz w:val="18"/>
                    </w:rPr>
                    <w:t> </w:t>
                  </w:r>
                  <w:r>
                    <w:rPr>
                      <w:color w:val="000000"/>
                      <w:sz w:val="18"/>
                    </w:rPr>
                    <w:t>practice/ service.</w:t>
                  </w:r>
                </w:p>
                <w:p>
                  <w:pPr>
                    <w:spacing w:line="276" w:lineRule="auto" w:before="120"/>
                    <w:ind w:left="148" w:right="192" w:firstLine="0"/>
                    <w:jc w:val="left"/>
                    <w:rPr>
                      <w:color w:val="000000"/>
                      <w:sz w:val="18"/>
                    </w:rPr>
                  </w:pPr>
                  <w:r>
                    <w:rPr>
                      <w:color w:val="000000"/>
                      <w:sz w:val="18"/>
                    </w:rPr>
                    <w:t>The evaluation is being conducted by Health Policy Analysis, on behalf of the Commonwealth Department of</w:t>
                  </w:r>
                  <w:r>
                    <w:rPr>
                      <w:color w:val="000000"/>
                      <w:spacing w:val="1"/>
                      <w:sz w:val="18"/>
                    </w:rPr>
                    <w:t> </w:t>
                  </w:r>
                  <w:r>
                    <w:rPr>
                      <w:color w:val="000000"/>
                      <w:sz w:val="18"/>
                    </w:rPr>
                    <w:t>Health.</w:t>
                  </w:r>
                  <w:r>
                    <w:rPr>
                      <w:color w:val="000000"/>
                      <w:spacing w:val="-5"/>
                      <w:sz w:val="18"/>
                    </w:rPr>
                    <w:t> </w:t>
                  </w:r>
                  <w:r>
                    <w:rPr>
                      <w:color w:val="000000"/>
                      <w:sz w:val="18"/>
                    </w:rPr>
                    <w:t>If</w:t>
                  </w:r>
                  <w:r>
                    <w:rPr>
                      <w:color w:val="000000"/>
                      <w:spacing w:val="-2"/>
                      <w:sz w:val="18"/>
                    </w:rPr>
                    <w:t> </w:t>
                  </w:r>
                  <w:r>
                    <w:rPr>
                      <w:color w:val="000000"/>
                      <w:sz w:val="18"/>
                    </w:rPr>
                    <w:t>you</w:t>
                  </w:r>
                  <w:r>
                    <w:rPr>
                      <w:color w:val="000000"/>
                      <w:spacing w:val="-2"/>
                      <w:sz w:val="18"/>
                    </w:rPr>
                    <w:t> </w:t>
                  </w:r>
                  <w:r>
                    <w:rPr>
                      <w:color w:val="000000"/>
                      <w:sz w:val="18"/>
                    </w:rPr>
                    <w:t>would</w:t>
                  </w:r>
                  <w:r>
                    <w:rPr>
                      <w:color w:val="000000"/>
                      <w:spacing w:val="-4"/>
                      <w:sz w:val="18"/>
                    </w:rPr>
                    <w:t> </w:t>
                  </w:r>
                  <w:r>
                    <w:rPr>
                      <w:color w:val="000000"/>
                      <w:sz w:val="18"/>
                    </w:rPr>
                    <w:t>like</w:t>
                  </w:r>
                  <w:r>
                    <w:rPr>
                      <w:color w:val="000000"/>
                      <w:spacing w:val="-4"/>
                      <w:sz w:val="18"/>
                    </w:rPr>
                    <w:t> </w:t>
                  </w:r>
                  <w:r>
                    <w:rPr>
                      <w:color w:val="000000"/>
                      <w:sz w:val="18"/>
                    </w:rPr>
                    <w:t>any</w:t>
                  </w:r>
                  <w:r>
                    <w:rPr>
                      <w:color w:val="000000"/>
                      <w:spacing w:val="-5"/>
                      <w:sz w:val="18"/>
                    </w:rPr>
                    <w:t> </w:t>
                  </w:r>
                  <w:r>
                    <w:rPr>
                      <w:color w:val="000000"/>
                      <w:sz w:val="18"/>
                    </w:rPr>
                    <w:t>further</w:t>
                  </w:r>
                  <w:r>
                    <w:rPr>
                      <w:color w:val="000000"/>
                      <w:spacing w:val="-3"/>
                      <w:sz w:val="18"/>
                    </w:rPr>
                    <w:t> </w:t>
                  </w:r>
                  <w:r>
                    <w:rPr>
                      <w:color w:val="000000"/>
                      <w:sz w:val="18"/>
                    </w:rPr>
                    <w:t>information</w:t>
                  </w:r>
                  <w:r>
                    <w:rPr>
                      <w:color w:val="000000"/>
                      <w:spacing w:val="-3"/>
                      <w:sz w:val="18"/>
                    </w:rPr>
                    <w:t> </w:t>
                  </w:r>
                  <w:r>
                    <w:rPr>
                      <w:color w:val="000000"/>
                      <w:sz w:val="18"/>
                    </w:rPr>
                    <w:t>about</w:t>
                  </w:r>
                  <w:r>
                    <w:rPr>
                      <w:color w:val="000000"/>
                      <w:spacing w:val="-4"/>
                      <w:sz w:val="18"/>
                    </w:rPr>
                    <w:t> </w:t>
                  </w:r>
                  <w:r>
                    <w:rPr>
                      <w:color w:val="000000"/>
                      <w:sz w:val="18"/>
                    </w:rPr>
                    <w:t>this</w:t>
                  </w:r>
                  <w:r>
                    <w:rPr>
                      <w:color w:val="000000"/>
                      <w:spacing w:val="-3"/>
                      <w:sz w:val="18"/>
                    </w:rPr>
                    <w:t> </w:t>
                  </w:r>
                  <w:r>
                    <w:rPr>
                      <w:color w:val="000000"/>
                      <w:sz w:val="18"/>
                    </w:rPr>
                    <w:t>survey</w:t>
                  </w:r>
                  <w:r>
                    <w:rPr>
                      <w:color w:val="000000"/>
                      <w:spacing w:val="-3"/>
                      <w:sz w:val="18"/>
                    </w:rPr>
                    <w:t> </w:t>
                  </w:r>
                  <w:r>
                    <w:rPr>
                      <w:color w:val="000000"/>
                      <w:sz w:val="18"/>
                    </w:rPr>
                    <w:t>or</w:t>
                  </w:r>
                  <w:r>
                    <w:rPr>
                      <w:color w:val="000000"/>
                      <w:spacing w:val="-3"/>
                      <w:sz w:val="18"/>
                    </w:rPr>
                    <w:t> </w:t>
                  </w:r>
                  <w:r>
                    <w:rPr>
                      <w:color w:val="000000"/>
                      <w:sz w:val="18"/>
                    </w:rPr>
                    <w:t>the</w:t>
                  </w:r>
                  <w:r>
                    <w:rPr>
                      <w:color w:val="000000"/>
                      <w:spacing w:val="-4"/>
                      <w:sz w:val="18"/>
                    </w:rPr>
                    <w:t> </w:t>
                  </w:r>
                  <w:r>
                    <w:rPr>
                      <w:color w:val="000000"/>
                      <w:sz w:val="18"/>
                    </w:rPr>
                    <w:t>evaluation,</w:t>
                  </w:r>
                  <w:r>
                    <w:rPr>
                      <w:color w:val="000000"/>
                      <w:spacing w:val="-4"/>
                      <w:sz w:val="18"/>
                    </w:rPr>
                    <w:t> </w:t>
                  </w:r>
                  <w:r>
                    <w:rPr>
                      <w:color w:val="000000"/>
                      <w:sz w:val="18"/>
                    </w:rPr>
                    <w:t>please</w:t>
                  </w:r>
                  <w:r>
                    <w:rPr>
                      <w:color w:val="000000"/>
                      <w:spacing w:val="-2"/>
                      <w:sz w:val="18"/>
                    </w:rPr>
                    <w:t> </w:t>
                  </w:r>
                  <w:r>
                    <w:rPr>
                      <w:color w:val="000000"/>
                      <w:sz w:val="18"/>
                    </w:rPr>
                    <w:t>contact</w:t>
                  </w:r>
                  <w:r>
                    <w:rPr>
                      <w:color w:val="000000"/>
                      <w:spacing w:val="-5"/>
                      <w:sz w:val="18"/>
                    </w:rPr>
                    <w:t> </w:t>
                  </w:r>
                  <w:r>
                    <w:rPr>
                      <w:color w:val="000000"/>
                      <w:sz w:val="18"/>
                    </w:rPr>
                    <w:t>Health</w:t>
                  </w:r>
                  <w:r>
                    <w:rPr>
                      <w:color w:val="000000"/>
                      <w:spacing w:val="-2"/>
                      <w:sz w:val="18"/>
                    </w:rPr>
                    <w:t> </w:t>
                  </w:r>
                  <w:r>
                    <w:rPr>
                      <w:color w:val="000000"/>
                      <w:sz w:val="18"/>
                    </w:rPr>
                    <w:t>Policy</w:t>
                  </w:r>
                  <w:r>
                    <w:rPr>
                      <w:color w:val="000000"/>
                      <w:spacing w:val="1"/>
                      <w:sz w:val="18"/>
                    </w:rPr>
                    <w:t> </w:t>
                  </w:r>
                  <w:r>
                    <w:rPr>
                      <w:color w:val="000000"/>
                      <w:sz w:val="18"/>
                    </w:rPr>
                    <w:t>Analysis</w:t>
                  </w:r>
                  <w:r>
                    <w:rPr>
                      <w:color w:val="000000"/>
                      <w:spacing w:val="-2"/>
                      <w:sz w:val="18"/>
                    </w:rPr>
                    <w:t> </w:t>
                  </w:r>
                  <w:r>
                    <w:rPr>
                      <w:color w:val="000000"/>
                      <w:sz w:val="18"/>
                    </w:rPr>
                    <w:t>on</w:t>
                  </w:r>
                  <w:r>
                    <w:rPr>
                      <w:color w:val="000000"/>
                      <w:spacing w:val="3"/>
                      <w:sz w:val="18"/>
                    </w:rPr>
                    <w:t> </w:t>
                  </w:r>
                  <w:r>
                    <w:rPr>
                      <w:color w:val="000000"/>
                      <w:sz w:val="18"/>
                    </w:rPr>
                    <w:t>(02)</w:t>
                  </w:r>
                  <w:r>
                    <w:rPr>
                      <w:color w:val="000000"/>
                      <w:spacing w:val="-2"/>
                      <w:sz w:val="18"/>
                    </w:rPr>
                    <w:t> </w:t>
                  </w:r>
                  <w:r>
                    <w:rPr>
                      <w:color w:val="000000"/>
                      <w:sz w:val="18"/>
                    </w:rPr>
                    <w:t>8065</w:t>
                  </w:r>
                  <w:r>
                    <w:rPr>
                      <w:color w:val="000000"/>
                      <w:spacing w:val="-2"/>
                      <w:sz w:val="18"/>
                    </w:rPr>
                    <w:t> </w:t>
                  </w:r>
                  <w:r>
                    <w:rPr>
                      <w:color w:val="000000"/>
                      <w:sz w:val="18"/>
                    </w:rPr>
                    <w:t>6491 or</w:t>
                  </w:r>
                  <w:r>
                    <w:rPr>
                      <w:color w:val="000000"/>
                      <w:spacing w:val="-2"/>
                      <w:sz w:val="18"/>
                    </w:rPr>
                    <w:t> </w:t>
                  </w:r>
                  <w:hyperlink r:id="rId38">
                    <w:r>
                      <w:rPr>
                        <w:color w:val="000000"/>
                        <w:sz w:val="18"/>
                      </w:rPr>
                      <w:t>info@healthpolicy.com.au.</w:t>
                    </w:r>
                  </w:hyperlink>
                </w:p>
                <w:p>
                  <w:pPr>
                    <w:spacing w:line="276" w:lineRule="auto" w:before="120"/>
                    <w:ind w:left="148" w:right="192" w:firstLine="0"/>
                    <w:jc w:val="left"/>
                    <w:rPr>
                      <w:color w:val="000000"/>
                      <w:sz w:val="18"/>
                    </w:rPr>
                  </w:pPr>
                  <w:r>
                    <w:rPr>
                      <w:color w:val="000000"/>
                      <w:sz w:val="18"/>
                    </w:rPr>
                    <w:t>The evaluation of HCH was approved by the Department of Health Human Research Ethics Committee [Project 04-</w:t>
                  </w:r>
                  <w:r>
                    <w:rPr>
                      <w:color w:val="000000"/>
                      <w:spacing w:val="1"/>
                      <w:sz w:val="18"/>
                    </w:rPr>
                    <w:t> </w:t>
                  </w:r>
                  <w:r>
                    <w:rPr>
                      <w:color w:val="000000"/>
                      <w:sz w:val="18"/>
                    </w:rPr>
                    <w:t>2017] in September 2017. This committee subsequently disbanded, and in September 2018, ethical oversight for the</w:t>
                  </w:r>
                  <w:r>
                    <w:rPr>
                      <w:color w:val="000000"/>
                      <w:spacing w:val="1"/>
                      <w:sz w:val="18"/>
                    </w:rPr>
                    <w:t> </w:t>
                  </w:r>
                  <w:r>
                    <w:rPr>
                      <w:color w:val="000000"/>
                      <w:sz w:val="18"/>
                    </w:rPr>
                    <w:t>evaluation</w:t>
                  </w:r>
                  <w:r>
                    <w:rPr>
                      <w:color w:val="000000"/>
                      <w:spacing w:val="-3"/>
                      <w:sz w:val="18"/>
                    </w:rPr>
                    <w:t> </w:t>
                  </w:r>
                  <w:r>
                    <w:rPr>
                      <w:color w:val="000000"/>
                      <w:sz w:val="18"/>
                    </w:rPr>
                    <w:t>was</w:t>
                  </w:r>
                  <w:r>
                    <w:rPr>
                      <w:color w:val="000000"/>
                      <w:spacing w:val="-3"/>
                      <w:sz w:val="18"/>
                    </w:rPr>
                    <w:t> </w:t>
                  </w:r>
                  <w:r>
                    <w:rPr>
                      <w:color w:val="000000"/>
                      <w:sz w:val="18"/>
                    </w:rPr>
                    <w:t>transferred</w:t>
                  </w:r>
                  <w:r>
                    <w:rPr>
                      <w:color w:val="000000"/>
                      <w:spacing w:val="-4"/>
                      <w:sz w:val="18"/>
                    </w:rPr>
                    <w:t> </w:t>
                  </w:r>
                  <w:r>
                    <w:rPr>
                      <w:color w:val="000000"/>
                      <w:sz w:val="18"/>
                    </w:rPr>
                    <w:t>to</w:t>
                  </w:r>
                  <w:r>
                    <w:rPr>
                      <w:color w:val="000000"/>
                      <w:spacing w:val="-3"/>
                      <w:sz w:val="18"/>
                    </w:rPr>
                    <w:t> </w:t>
                  </w:r>
                  <w:r>
                    <w:rPr>
                      <w:color w:val="000000"/>
                      <w:sz w:val="18"/>
                    </w:rPr>
                    <w:t>the</w:t>
                  </w:r>
                  <w:r>
                    <w:rPr>
                      <w:color w:val="000000"/>
                      <w:spacing w:val="2"/>
                      <w:sz w:val="18"/>
                    </w:rPr>
                    <w:t> </w:t>
                  </w:r>
                  <w:r>
                    <w:rPr>
                      <w:color w:val="000000"/>
                      <w:sz w:val="18"/>
                    </w:rPr>
                    <w:t>ACT</w:t>
                  </w:r>
                  <w:r>
                    <w:rPr>
                      <w:color w:val="000000"/>
                      <w:spacing w:val="-6"/>
                      <w:sz w:val="18"/>
                    </w:rPr>
                    <w:t> </w:t>
                  </w:r>
                  <w:r>
                    <w:rPr>
                      <w:color w:val="000000"/>
                      <w:sz w:val="18"/>
                    </w:rPr>
                    <w:t>Health</w:t>
                  </w:r>
                  <w:r>
                    <w:rPr>
                      <w:color w:val="000000"/>
                      <w:spacing w:val="-2"/>
                      <w:sz w:val="18"/>
                    </w:rPr>
                    <w:t> </w:t>
                  </w:r>
                  <w:r>
                    <w:rPr>
                      <w:color w:val="000000"/>
                      <w:sz w:val="18"/>
                    </w:rPr>
                    <w:t>Human</w:t>
                  </w:r>
                  <w:r>
                    <w:rPr>
                      <w:color w:val="000000"/>
                      <w:spacing w:val="-3"/>
                      <w:sz w:val="18"/>
                    </w:rPr>
                    <w:t> </w:t>
                  </w:r>
                  <w:r>
                    <w:rPr>
                      <w:color w:val="000000"/>
                      <w:sz w:val="18"/>
                    </w:rPr>
                    <w:t>Research</w:t>
                  </w:r>
                  <w:r>
                    <w:rPr>
                      <w:color w:val="000000"/>
                      <w:spacing w:val="-2"/>
                      <w:sz w:val="18"/>
                    </w:rPr>
                    <w:t> </w:t>
                  </w:r>
                  <w:r>
                    <w:rPr>
                      <w:color w:val="000000"/>
                      <w:sz w:val="18"/>
                    </w:rPr>
                    <w:t>Ethics</w:t>
                  </w:r>
                  <w:r>
                    <w:rPr>
                      <w:color w:val="000000"/>
                      <w:spacing w:val="-6"/>
                      <w:sz w:val="18"/>
                    </w:rPr>
                    <w:t> </w:t>
                  </w:r>
                  <w:r>
                    <w:rPr>
                      <w:color w:val="000000"/>
                      <w:sz w:val="18"/>
                    </w:rPr>
                    <w:t>Committee.</w:t>
                  </w:r>
                  <w:r>
                    <w:rPr>
                      <w:color w:val="000000"/>
                      <w:spacing w:val="-4"/>
                      <w:sz w:val="18"/>
                    </w:rPr>
                    <w:t> </w:t>
                  </w:r>
                  <w:r>
                    <w:rPr>
                      <w:color w:val="000000"/>
                      <w:sz w:val="18"/>
                    </w:rPr>
                    <w:t>Concerns</w:t>
                  </w:r>
                  <w:r>
                    <w:rPr>
                      <w:color w:val="000000"/>
                      <w:spacing w:val="-3"/>
                      <w:sz w:val="18"/>
                    </w:rPr>
                    <w:t> </w:t>
                  </w:r>
                  <w:r>
                    <w:rPr>
                      <w:color w:val="000000"/>
                      <w:sz w:val="18"/>
                    </w:rPr>
                    <w:t>or</w:t>
                  </w:r>
                  <w:r>
                    <w:rPr>
                      <w:color w:val="000000"/>
                      <w:spacing w:val="-4"/>
                      <w:sz w:val="18"/>
                    </w:rPr>
                    <w:t> </w:t>
                  </w:r>
                  <w:r>
                    <w:rPr>
                      <w:color w:val="000000"/>
                      <w:sz w:val="18"/>
                    </w:rPr>
                    <w:t>complaints</w:t>
                  </w:r>
                  <w:r>
                    <w:rPr>
                      <w:color w:val="000000"/>
                      <w:spacing w:val="-3"/>
                      <w:sz w:val="18"/>
                    </w:rPr>
                    <w:t> </w:t>
                  </w:r>
                  <w:r>
                    <w:rPr>
                      <w:color w:val="000000"/>
                      <w:sz w:val="18"/>
                    </w:rPr>
                    <w:t>about</w:t>
                  </w:r>
                  <w:r>
                    <w:rPr>
                      <w:color w:val="000000"/>
                      <w:spacing w:val="-5"/>
                      <w:sz w:val="18"/>
                    </w:rPr>
                    <w:t> </w:t>
                  </w:r>
                  <w:r>
                    <w:rPr>
                      <w:color w:val="000000"/>
                      <w:sz w:val="18"/>
                    </w:rPr>
                    <w:t>the</w:t>
                  </w:r>
                  <w:r>
                    <w:rPr>
                      <w:color w:val="000000"/>
                      <w:spacing w:val="1"/>
                      <w:sz w:val="18"/>
                    </w:rPr>
                    <w:t> </w:t>
                  </w:r>
                  <w:r>
                    <w:rPr>
                      <w:color w:val="000000"/>
                      <w:sz w:val="18"/>
                    </w:rPr>
                    <w:t>ethical conduct of the evaluation should be made in writing to the ACT Health Human Research Ethics Office</w:t>
                  </w:r>
                  <w:r>
                    <w:rPr>
                      <w:color w:val="000000"/>
                      <w:spacing w:val="1"/>
                      <w:sz w:val="18"/>
                    </w:rPr>
                    <w:t> </w:t>
                  </w:r>
                  <w:r>
                    <w:rPr>
                      <w:color w:val="000000"/>
                      <w:sz w:val="18"/>
                    </w:rPr>
                    <w:t>(ethics@act.gov.au).</w:t>
                  </w:r>
                </w:p>
                <w:p>
                  <w:pPr>
                    <w:spacing w:before="121"/>
                    <w:ind w:left="148" w:right="0" w:firstLine="0"/>
                    <w:jc w:val="left"/>
                    <w:rPr>
                      <w:color w:val="000000"/>
                      <w:sz w:val="18"/>
                    </w:rPr>
                  </w:pPr>
                  <w:r>
                    <w:rPr>
                      <w:color w:val="000000"/>
                      <w:sz w:val="18"/>
                    </w:rPr>
                    <w:t>If</w:t>
                  </w:r>
                  <w:r>
                    <w:rPr>
                      <w:color w:val="000000"/>
                      <w:spacing w:val="-6"/>
                      <w:sz w:val="18"/>
                    </w:rPr>
                    <w:t> </w:t>
                  </w:r>
                  <w:r>
                    <w:rPr>
                      <w:color w:val="000000"/>
                      <w:sz w:val="18"/>
                    </w:rPr>
                    <w:t>you</w:t>
                  </w:r>
                  <w:r>
                    <w:rPr>
                      <w:color w:val="000000"/>
                      <w:spacing w:val="-3"/>
                      <w:sz w:val="18"/>
                    </w:rPr>
                    <w:t> </w:t>
                  </w:r>
                  <w:r>
                    <w:rPr>
                      <w:color w:val="000000"/>
                      <w:sz w:val="18"/>
                    </w:rPr>
                    <w:t>have</w:t>
                  </w:r>
                  <w:r>
                    <w:rPr>
                      <w:color w:val="000000"/>
                      <w:spacing w:val="-3"/>
                      <w:sz w:val="18"/>
                    </w:rPr>
                    <w:t> </w:t>
                  </w:r>
                  <w:r>
                    <w:rPr>
                      <w:color w:val="000000"/>
                      <w:sz w:val="18"/>
                    </w:rPr>
                    <w:t>any</w:t>
                  </w:r>
                  <w:r>
                    <w:rPr>
                      <w:color w:val="000000"/>
                      <w:spacing w:val="-4"/>
                      <w:sz w:val="18"/>
                    </w:rPr>
                    <w:t> </w:t>
                  </w:r>
                  <w:r>
                    <w:rPr>
                      <w:color w:val="000000"/>
                      <w:sz w:val="18"/>
                    </w:rPr>
                    <w:t>questions</w:t>
                  </w:r>
                  <w:r>
                    <w:rPr>
                      <w:color w:val="000000"/>
                      <w:spacing w:val="-5"/>
                      <w:sz w:val="18"/>
                    </w:rPr>
                    <w:t> </w:t>
                  </w:r>
                  <w:r>
                    <w:rPr>
                      <w:color w:val="000000"/>
                      <w:sz w:val="18"/>
                    </w:rPr>
                    <w:t>regarding</w:t>
                  </w:r>
                  <w:r>
                    <w:rPr>
                      <w:color w:val="000000"/>
                      <w:spacing w:val="-5"/>
                      <w:sz w:val="18"/>
                    </w:rPr>
                    <w:t> </w:t>
                  </w:r>
                  <w:r>
                    <w:rPr>
                      <w:color w:val="000000"/>
                      <w:sz w:val="18"/>
                    </w:rPr>
                    <w:t>the</w:t>
                  </w:r>
                  <w:r>
                    <w:rPr>
                      <w:color w:val="000000"/>
                      <w:spacing w:val="-3"/>
                      <w:sz w:val="18"/>
                    </w:rPr>
                    <w:t> </w:t>
                  </w:r>
                  <w:r>
                    <w:rPr>
                      <w:color w:val="000000"/>
                      <w:sz w:val="18"/>
                    </w:rPr>
                    <w:t>HCH</w:t>
                  </w:r>
                  <w:r>
                    <w:rPr>
                      <w:color w:val="000000"/>
                      <w:spacing w:val="-4"/>
                      <w:sz w:val="18"/>
                    </w:rPr>
                    <w:t> </w:t>
                  </w:r>
                  <w:r>
                    <w:rPr>
                      <w:color w:val="000000"/>
                      <w:sz w:val="18"/>
                    </w:rPr>
                    <w:t>program,</w:t>
                  </w:r>
                  <w:r>
                    <w:rPr>
                      <w:color w:val="000000"/>
                      <w:spacing w:val="-3"/>
                      <w:sz w:val="18"/>
                    </w:rPr>
                    <w:t> </w:t>
                  </w:r>
                  <w:r>
                    <w:rPr>
                      <w:color w:val="000000"/>
                      <w:sz w:val="18"/>
                    </w:rPr>
                    <w:t>please</w:t>
                  </w:r>
                  <w:r>
                    <w:rPr>
                      <w:color w:val="000000"/>
                      <w:spacing w:val="-4"/>
                      <w:sz w:val="18"/>
                    </w:rPr>
                    <w:t> </w:t>
                  </w:r>
                  <w:r>
                    <w:rPr>
                      <w:color w:val="000000"/>
                      <w:sz w:val="18"/>
                    </w:rPr>
                    <w:t>contact</w:t>
                  </w:r>
                  <w:r>
                    <w:rPr>
                      <w:color w:val="000000"/>
                      <w:spacing w:val="-5"/>
                      <w:sz w:val="18"/>
                    </w:rPr>
                    <w:t> </w:t>
                  </w:r>
                  <w:hyperlink r:id="rId40">
                    <w:r>
                      <w:rPr>
                        <w:color w:val="000000"/>
                        <w:sz w:val="18"/>
                      </w:rPr>
                      <w:t>healthcarehomes@health.gov.au.</w:t>
                    </w:r>
                  </w:hyperlink>
                </w:p>
              </w:txbxContent>
            </v:textbox>
            <v:fill type="solid"/>
            <w10:wrap type="topAndBottom"/>
          </v:shape>
        </w:pict>
      </w:r>
      <w:r>
        <w:rPr>
          <w:color w:val="808080"/>
        </w:rPr>
        <w:t>Health Care Homes</w:t>
      </w:r>
      <w:r>
        <w:rPr>
          <w:color w:val="808080"/>
          <w:spacing w:val="-1"/>
        </w:rPr>
        <w:t> </w:t>
      </w:r>
      <w:r>
        <w:rPr>
          <w:color w:val="808080"/>
        </w:rPr>
        <w:t>program practice</w:t>
      </w:r>
      <w:r>
        <w:rPr>
          <w:color w:val="808080"/>
          <w:spacing w:val="1"/>
        </w:rPr>
        <w:t> </w:t>
      </w:r>
      <w:r>
        <w:rPr>
          <w:color w:val="808080"/>
        </w:rPr>
        <w:t>survey</w:t>
      </w:r>
      <w:r>
        <w:rPr>
          <w:color w:val="808080"/>
          <w:spacing w:val="-3"/>
        </w:rPr>
        <w:t> </w:t>
      </w:r>
      <w:r>
        <w:rPr>
          <w:color w:val="808080"/>
        </w:rPr>
        <w:t>–</w:t>
      </w:r>
      <w:r>
        <w:rPr>
          <w:color w:val="808080"/>
          <w:spacing w:val="-1"/>
        </w:rPr>
        <w:t> </w:t>
      </w:r>
      <w:r>
        <w:rPr>
          <w:color w:val="808080"/>
        </w:rPr>
        <w:t>Round</w:t>
      </w:r>
      <w:r>
        <w:rPr>
          <w:color w:val="808080"/>
          <w:spacing w:val="-1"/>
        </w:rPr>
        <w:t> </w:t>
      </w:r>
      <w:r>
        <w:rPr>
          <w:color w:val="808080"/>
        </w:rPr>
        <w:t>4</w:t>
      </w:r>
    </w:p>
    <w:p>
      <w:pPr>
        <w:pStyle w:val="ListParagraph"/>
        <w:numPr>
          <w:ilvl w:val="0"/>
          <w:numId w:val="71"/>
        </w:numPr>
        <w:tabs>
          <w:tab w:pos="499" w:val="left" w:leader="none"/>
          <w:tab w:pos="500" w:val="left" w:leader="none"/>
        </w:tabs>
        <w:spacing w:line="240" w:lineRule="auto" w:before="235" w:after="0"/>
        <w:ind w:left="500" w:right="514" w:hanging="360"/>
        <w:jc w:val="left"/>
        <w:rPr>
          <w:sz w:val="18"/>
        </w:rPr>
      </w:pPr>
      <w:r>
        <w:rPr>
          <w:sz w:val="18"/>
        </w:rPr>
        <w:t>In the survey conducted in late 2018, your practice answered questions about the risk stratification process for HCH.</w:t>
      </w:r>
      <w:r>
        <w:rPr>
          <w:spacing w:val="-47"/>
          <w:sz w:val="18"/>
        </w:rPr>
        <w:t> </w:t>
      </w:r>
      <w:r>
        <w:rPr>
          <w:sz w:val="18"/>
        </w:rPr>
        <w:t>Could you outline any further reflections (since the previous survey) on ways in which the risk stratification software</w:t>
      </w:r>
      <w:r>
        <w:rPr>
          <w:spacing w:val="1"/>
          <w:sz w:val="18"/>
        </w:rPr>
        <w:t> </w:t>
      </w:r>
      <w:r>
        <w:rPr>
          <w:sz w:val="18"/>
        </w:rPr>
        <w:t>and</w:t>
      </w:r>
      <w:r>
        <w:rPr>
          <w:spacing w:val="-2"/>
          <w:sz w:val="18"/>
        </w:rPr>
        <w:t> </w:t>
      </w:r>
      <w:r>
        <w:rPr>
          <w:sz w:val="18"/>
        </w:rPr>
        <w:t>associated</w:t>
      </w:r>
      <w:r>
        <w:rPr>
          <w:spacing w:val="-1"/>
          <w:sz w:val="18"/>
        </w:rPr>
        <w:t> </w:t>
      </w:r>
      <w:r>
        <w:rPr>
          <w:sz w:val="18"/>
        </w:rPr>
        <w:t>processes</w:t>
      </w:r>
      <w:r>
        <w:rPr>
          <w:spacing w:val="-3"/>
          <w:sz w:val="18"/>
        </w:rPr>
        <w:t> </w:t>
      </w:r>
      <w:r>
        <w:rPr>
          <w:sz w:val="18"/>
        </w:rPr>
        <w:t>could</w:t>
      </w:r>
      <w:r>
        <w:rPr>
          <w:spacing w:val="-1"/>
          <w:sz w:val="18"/>
        </w:rPr>
        <w:t> </w:t>
      </w:r>
      <w:r>
        <w:rPr>
          <w:sz w:val="18"/>
        </w:rPr>
        <w:t>be improved?</w:t>
      </w:r>
    </w:p>
    <w:p>
      <w:pPr>
        <w:pStyle w:val="BodyText"/>
        <w:rPr>
          <w:sz w:val="22"/>
        </w:rPr>
      </w:pPr>
    </w:p>
    <w:p>
      <w:pPr>
        <w:pStyle w:val="BodyText"/>
        <w:rPr>
          <w:sz w:val="22"/>
        </w:rPr>
      </w:pPr>
    </w:p>
    <w:p>
      <w:pPr>
        <w:pStyle w:val="ListParagraph"/>
        <w:numPr>
          <w:ilvl w:val="0"/>
          <w:numId w:val="71"/>
        </w:numPr>
        <w:tabs>
          <w:tab w:pos="499" w:val="left" w:leader="none"/>
          <w:tab w:pos="500" w:val="left" w:leader="none"/>
        </w:tabs>
        <w:spacing w:line="240" w:lineRule="auto" w:before="145" w:after="0"/>
        <w:ind w:left="500" w:right="691" w:hanging="360"/>
        <w:jc w:val="left"/>
        <w:rPr>
          <w:sz w:val="18"/>
        </w:rPr>
      </w:pPr>
      <w:r>
        <w:rPr>
          <w:sz w:val="18"/>
        </w:rPr>
        <w:t>In the survey conducted in late 2018, your practice answered questions about the processes for enrolling patients</w:t>
      </w:r>
      <w:r>
        <w:rPr>
          <w:spacing w:val="-47"/>
          <w:sz w:val="18"/>
        </w:rPr>
        <w:t> </w:t>
      </w:r>
      <w:r>
        <w:rPr>
          <w:sz w:val="18"/>
        </w:rPr>
        <w:t>into the HCH program.</w:t>
      </w:r>
      <w:r>
        <w:rPr>
          <w:spacing w:val="1"/>
          <w:sz w:val="18"/>
        </w:rPr>
        <w:t> </w:t>
      </w:r>
      <w:r>
        <w:rPr>
          <w:sz w:val="18"/>
        </w:rPr>
        <w:t>Could you outline any further reflections (since the previous survey) on ways in which the</w:t>
      </w:r>
      <w:r>
        <w:rPr>
          <w:spacing w:val="1"/>
          <w:sz w:val="18"/>
        </w:rPr>
        <w:t> </w:t>
      </w:r>
      <w:r>
        <w:rPr>
          <w:sz w:val="18"/>
        </w:rPr>
        <w:t>enrolment</w:t>
      </w:r>
      <w:r>
        <w:rPr>
          <w:spacing w:val="-3"/>
          <w:sz w:val="18"/>
        </w:rPr>
        <w:t> </w:t>
      </w:r>
      <w:r>
        <w:rPr>
          <w:sz w:val="18"/>
        </w:rPr>
        <w:t>process</w:t>
      </w:r>
      <w:r>
        <w:rPr>
          <w:spacing w:val="2"/>
          <w:sz w:val="18"/>
        </w:rPr>
        <w:t> </w:t>
      </w:r>
      <w:r>
        <w:rPr>
          <w:sz w:val="18"/>
        </w:rPr>
        <w:t>could</w:t>
      </w:r>
      <w:r>
        <w:rPr>
          <w:spacing w:val="-1"/>
          <w:sz w:val="18"/>
        </w:rPr>
        <w:t> </w:t>
      </w:r>
      <w:r>
        <w:rPr>
          <w:sz w:val="18"/>
        </w:rPr>
        <w:t>be</w:t>
      </w:r>
      <w:r>
        <w:rPr>
          <w:spacing w:val="-2"/>
          <w:sz w:val="18"/>
        </w:rPr>
        <w:t> </w:t>
      </w:r>
      <w:r>
        <w:rPr>
          <w:sz w:val="18"/>
        </w:rPr>
        <w:t>improved?</w:t>
      </w:r>
    </w:p>
    <w:p>
      <w:pPr>
        <w:pStyle w:val="BodyText"/>
      </w:pPr>
    </w:p>
    <w:p>
      <w:pPr>
        <w:pStyle w:val="BodyText"/>
        <w:spacing w:before="11"/>
        <w:rPr>
          <w:sz w:val="18"/>
        </w:rPr>
      </w:pPr>
      <w:r>
        <w:rPr/>
        <w:pict>
          <v:rect style="position:absolute;margin-left:34.560001pt;margin-top:12.807608pt;width:526.3pt;height:.48001pt;mso-position-horizontal-relative:page;mso-position-vertical-relative:paragraph;z-index:-15625216;mso-wrap-distance-left:0;mso-wrap-distance-right:0" id="docshape155" filled="true" fillcolor="#d9d9d9" stroked="false">
            <v:fill type="solid"/>
            <w10:wrap type="topAndBottom"/>
          </v:rect>
        </w:pict>
      </w:r>
    </w:p>
    <w:p>
      <w:pPr>
        <w:pStyle w:val="BodyText"/>
        <w:spacing w:before="2"/>
        <w:rPr>
          <w:sz w:val="8"/>
        </w:rPr>
      </w:pPr>
    </w:p>
    <w:p>
      <w:pPr>
        <w:pStyle w:val="ListParagraph"/>
        <w:numPr>
          <w:ilvl w:val="0"/>
          <w:numId w:val="71"/>
        </w:numPr>
        <w:tabs>
          <w:tab w:pos="499" w:val="left" w:leader="none"/>
          <w:tab w:pos="500" w:val="left" w:leader="none"/>
        </w:tabs>
        <w:spacing w:line="240" w:lineRule="auto" w:before="100" w:after="0"/>
        <w:ind w:left="500" w:right="748" w:hanging="360"/>
        <w:jc w:val="left"/>
        <w:rPr>
          <w:sz w:val="18"/>
        </w:rPr>
      </w:pPr>
      <w:r>
        <w:rPr>
          <w:sz w:val="18"/>
        </w:rPr>
        <w:t>In the survey conducted in late 2018, your practice indicated that you were using the shared care planning</w:t>
      </w:r>
      <w:r>
        <w:rPr>
          <w:spacing w:val="1"/>
          <w:sz w:val="18"/>
        </w:rPr>
        <w:t> </w:t>
      </w:r>
      <w:r>
        <w:rPr>
          <w:sz w:val="18"/>
        </w:rPr>
        <w:t>software listed below. Could you update your response to indicate the software you are currently using? Choose</w:t>
      </w:r>
      <w:r>
        <w:rPr>
          <w:spacing w:val="-47"/>
          <w:sz w:val="18"/>
        </w:rPr>
        <w:t> </w:t>
      </w:r>
      <w:r>
        <w:rPr>
          <w:sz w:val="18"/>
        </w:rPr>
        <w:t>more</w:t>
      </w:r>
      <w:r>
        <w:rPr>
          <w:spacing w:val="-1"/>
          <w:sz w:val="18"/>
        </w:rPr>
        <w:t> </w:t>
      </w:r>
      <w:r>
        <w:rPr>
          <w:sz w:val="18"/>
        </w:rPr>
        <w:t>than one option,</w:t>
      </w:r>
      <w:r>
        <w:rPr>
          <w:spacing w:val="-2"/>
          <w:sz w:val="18"/>
        </w:rPr>
        <w:t> </w:t>
      </w:r>
      <w:r>
        <w:rPr>
          <w:sz w:val="18"/>
        </w:rPr>
        <w:t>if</w:t>
      </w:r>
      <w:r>
        <w:rPr>
          <w:spacing w:val="-1"/>
          <w:sz w:val="18"/>
        </w:rPr>
        <w:t> </w:t>
      </w:r>
      <w:r>
        <w:rPr>
          <w:sz w:val="18"/>
        </w:rPr>
        <w:t>it</w:t>
      </w:r>
      <w:r>
        <w:rPr>
          <w:spacing w:val="-2"/>
          <w:sz w:val="18"/>
        </w:rPr>
        <w:t> </w:t>
      </w:r>
      <w:r>
        <w:rPr>
          <w:sz w:val="18"/>
        </w:rPr>
        <w:t>applies:</w:t>
      </w:r>
    </w:p>
    <w:p>
      <w:pPr>
        <w:pStyle w:val="BodyText"/>
        <w:spacing w:before="3"/>
        <w:rPr>
          <w:sz w:val="16"/>
        </w:rPr>
      </w:pPr>
    </w:p>
    <w:p>
      <w:pPr>
        <w:spacing w:before="1"/>
        <w:ind w:left="781" w:right="4517" w:firstLine="0"/>
        <w:jc w:val="left"/>
        <w:rPr>
          <w:sz w:val="18"/>
        </w:rPr>
      </w:pPr>
      <w:r>
        <w:rPr/>
        <w:drawing>
          <wp:anchor distT="0" distB="0" distL="0" distR="0" allowOverlap="1" layoutInCell="1" locked="0" behindDoc="0" simplePos="0" relativeHeight="15833600">
            <wp:simplePos x="0" y="0"/>
            <wp:positionH relativeFrom="page">
              <wp:posOffset>652565</wp:posOffset>
            </wp:positionH>
            <wp:positionV relativeFrom="paragraph">
              <wp:posOffset>44850</wp:posOffset>
            </wp:positionV>
            <wp:extent cx="58380" cy="72151"/>
            <wp:effectExtent l="0" t="0" r="0" b="0"/>
            <wp:wrapNone/>
            <wp:docPr id="911" name="image13.png"/>
            <wp:cNvGraphicFramePr>
              <a:graphicFrameLocks noChangeAspect="1"/>
            </wp:cNvGraphicFramePr>
            <a:graphic>
              <a:graphicData uri="http://schemas.openxmlformats.org/drawingml/2006/picture">
                <pic:pic>
                  <pic:nvPicPr>
                    <pic:cNvPr id="912"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834112">
            <wp:simplePos x="0" y="0"/>
            <wp:positionH relativeFrom="page">
              <wp:posOffset>652565</wp:posOffset>
            </wp:positionH>
            <wp:positionV relativeFrom="paragraph">
              <wp:posOffset>185058</wp:posOffset>
            </wp:positionV>
            <wp:extent cx="58380" cy="72151"/>
            <wp:effectExtent l="0" t="0" r="0" b="0"/>
            <wp:wrapNone/>
            <wp:docPr id="913" name="image13.png"/>
            <wp:cNvGraphicFramePr>
              <a:graphicFrameLocks noChangeAspect="1"/>
            </wp:cNvGraphicFramePr>
            <a:graphic>
              <a:graphicData uri="http://schemas.openxmlformats.org/drawingml/2006/picture">
                <pic:pic>
                  <pic:nvPicPr>
                    <pic:cNvPr id="91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1</w:t>
      </w:r>
      <w:r>
        <w:rPr>
          <w:spacing w:val="-3"/>
          <w:sz w:val="18"/>
        </w:rPr>
        <w:t> </w:t>
      </w:r>
      <w:r>
        <w:rPr>
          <w:sz w:val="18"/>
        </w:rPr>
        <w:t>cdmNet</w:t>
      </w:r>
      <w:r>
        <w:rPr>
          <w:spacing w:val="-6"/>
          <w:sz w:val="18"/>
        </w:rPr>
        <w:t> </w:t>
      </w:r>
      <w:r>
        <w:rPr>
          <w:sz w:val="18"/>
        </w:rPr>
        <w:t>Coordinated</w:t>
      </w:r>
      <w:r>
        <w:rPr>
          <w:spacing w:val="-4"/>
          <w:sz w:val="18"/>
        </w:rPr>
        <w:t> </w:t>
      </w:r>
      <w:r>
        <w:rPr>
          <w:sz w:val="18"/>
        </w:rPr>
        <w:t>Care</w:t>
      </w:r>
      <w:r>
        <w:rPr>
          <w:spacing w:val="-4"/>
          <w:sz w:val="18"/>
        </w:rPr>
        <w:t> </w:t>
      </w:r>
      <w:r>
        <w:rPr>
          <w:sz w:val="18"/>
        </w:rPr>
        <w:t>Platform</w:t>
      </w:r>
      <w:r>
        <w:rPr>
          <w:spacing w:val="-2"/>
          <w:sz w:val="18"/>
        </w:rPr>
        <w:t> </w:t>
      </w:r>
      <w:r>
        <w:rPr>
          <w:sz w:val="18"/>
        </w:rPr>
        <w:t>(Precedence</w:t>
      </w:r>
      <w:r>
        <w:rPr>
          <w:spacing w:val="-5"/>
          <w:sz w:val="18"/>
        </w:rPr>
        <w:t> </w:t>
      </w:r>
      <w:r>
        <w:rPr>
          <w:sz w:val="18"/>
        </w:rPr>
        <w:t>Health</w:t>
      </w:r>
      <w:r>
        <w:rPr>
          <w:spacing w:val="-4"/>
          <w:sz w:val="18"/>
        </w:rPr>
        <w:t> </w:t>
      </w:r>
      <w:r>
        <w:rPr>
          <w:sz w:val="18"/>
        </w:rPr>
        <w:t>Care)</w:t>
      </w:r>
      <w:r>
        <w:rPr>
          <w:spacing w:val="-47"/>
          <w:sz w:val="18"/>
        </w:rPr>
        <w:t> </w:t>
      </w:r>
      <w:r>
        <w:rPr>
          <w:sz w:val="18"/>
        </w:rPr>
        <w:t>2 Extensia</w:t>
      </w:r>
    </w:p>
    <w:p>
      <w:pPr>
        <w:pStyle w:val="ListParagraph"/>
        <w:numPr>
          <w:ilvl w:val="0"/>
          <w:numId w:val="72"/>
        </w:numPr>
        <w:tabs>
          <w:tab w:pos="933" w:val="left" w:leader="none"/>
        </w:tabs>
        <w:spacing w:line="240" w:lineRule="auto" w:before="0" w:after="0"/>
        <w:ind w:left="932" w:right="0" w:hanging="152"/>
        <w:jc w:val="left"/>
        <w:rPr>
          <w:sz w:val="18"/>
        </w:rPr>
      </w:pPr>
      <w:r>
        <w:rPr/>
        <w:drawing>
          <wp:anchor distT="0" distB="0" distL="0" distR="0" allowOverlap="1" layoutInCell="1" locked="0" behindDoc="0" simplePos="0" relativeHeight="15834624">
            <wp:simplePos x="0" y="0"/>
            <wp:positionH relativeFrom="page">
              <wp:posOffset>652565</wp:posOffset>
            </wp:positionH>
            <wp:positionV relativeFrom="paragraph">
              <wp:posOffset>44214</wp:posOffset>
            </wp:positionV>
            <wp:extent cx="58380" cy="72151"/>
            <wp:effectExtent l="0" t="0" r="0" b="0"/>
            <wp:wrapNone/>
            <wp:docPr id="915" name="image13.png"/>
            <wp:cNvGraphicFramePr>
              <a:graphicFrameLocks noChangeAspect="1"/>
            </wp:cNvGraphicFramePr>
            <a:graphic>
              <a:graphicData uri="http://schemas.openxmlformats.org/drawingml/2006/picture">
                <pic:pic>
                  <pic:nvPicPr>
                    <pic:cNvPr id="91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LinkedEHR</w:t>
      </w:r>
    </w:p>
    <w:p>
      <w:pPr>
        <w:pStyle w:val="ListParagraph"/>
        <w:numPr>
          <w:ilvl w:val="0"/>
          <w:numId w:val="72"/>
        </w:numPr>
        <w:tabs>
          <w:tab w:pos="933" w:val="left" w:leader="none"/>
        </w:tabs>
        <w:spacing w:line="240" w:lineRule="auto" w:before="0" w:after="0"/>
        <w:ind w:left="932" w:right="0" w:hanging="152"/>
        <w:jc w:val="left"/>
        <w:rPr>
          <w:sz w:val="18"/>
        </w:rPr>
      </w:pPr>
      <w:r>
        <w:rPr/>
        <w:drawing>
          <wp:anchor distT="0" distB="0" distL="0" distR="0" allowOverlap="1" layoutInCell="1" locked="0" behindDoc="0" simplePos="0" relativeHeight="15835136">
            <wp:simplePos x="0" y="0"/>
            <wp:positionH relativeFrom="page">
              <wp:posOffset>652565</wp:posOffset>
            </wp:positionH>
            <wp:positionV relativeFrom="paragraph">
              <wp:posOffset>44214</wp:posOffset>
            </wp:positionV>
            <wp:extent cx="58380" cy="72151"/>
            <wp:effectExtent l="0" t="0" r="0" b="0"/>
            <wp:wrapNone/>
            <wp:docPr id="917" name="image13.png"/>
            <wp:cNvGraphicFramePr>
              <a:graphicFrameLocks noChangeAspect="1"/>
            </wp:cNvGraphicFramePr>
            <a:graphic>
              <a:graphicData uri="http://schemas.openxmlformats.org/drawingml/2006/picture">
                <pic:pic>
                  <pic:nvPicPr>
                    <pic:cNvPr id="91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Livecare</w:t>
      </w:r>
      <w:r>
        <w:rPr>
          <w:spacing w:val="-4"/>
          <w:sz w:val="18"/>
        </w:rPr>
        <w:t> </w:t>
      </w:r>
      <w:r>
        <w:rPr>
          <w:sz w:val="18"/>
        </w:rPr>
        <w:t>Australia</w:t>
      </w:r>
    </w:p>
    <w:p>
      <w:pPr>
        <w:pStyle w:val="ListParagraph"/>
        <w:numPr>
          <w:ilvl w:val="0"/>
          <w:numId w:val="72"/>
        </w:numPr>
        <w:tabs>
          <w:tab w:pos="933" w:val="left" w:leader="none"/>
        </w:tabs>
        <w:spacing w:line="240" w:lineRule="auto" w:before="1" w:after="0"/>
        <w:ind w:left="932" w:right="0" w:hanging="152"/>
        <w:jc w:val="left"/>
        <w:rPr>
          <w:sz w:val="18"/>
        </w:rPr>
      </w:pPr>
      <w:r>
        <w:rPr/>
        <w:drawing>
          <wp:anchor distT="0" distB="0" distL="0" distR="0" allowOverlap="1" layoutInCell="1" locked="0" behindDoc="0" simplePos="0" relativeHeight="15835648">
            <wp:simplePos x="0" y="0"/>
            <wp:positionH relativeFrom="page">
              <wp:posOffset>652565</wp:posOffset>
            </wp:positionH>
            <wp:positionV relativeFrom="paragraph">
              <wp:posOffset>44468</wp:posOffset>
            </wp:positionV>
            <wp:extent cx="58380" cy="72151"/>
            <wp:effectExtent l="0" t="0" r="0" b="0"/>
            <wp:wrapNone/>
            <wp:docPr id="919" name="image13.png"/>
            <wp:cNvGraphicFramePr>
              <a:graphicFrameLocks noChangeAspect="1"/>
            </wp:cNvGraphicFramePr>
            <a:graphic>
              <a:graphicData uri="http://schemas.openxmlformats.org/drawingml/2006/picture">
                <pic:pic>
                  <pic:nvPicPr>
                    <pic:cNvPr id="92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ManageMyHealth</w:t>
      </w:r>
      <w:r>
        <w:rPr>
          <w:spacing w:val="-4"/>
          <w:sz w:val="18"/>
        </w:rPr>
        <w:t> </w:t>
      </w:r>
      <w:r>
        <w:rPr>
          <w:sz w:val="18"/>
        </w:rPr>
        <w:t>(Medtech</w:t>
      </w:r>
      <w:r>
        <w:rPr>
          <w:spacing w:val="-5"/>
          <w:sz w:val="18"/>
        </w:rPr>
        <w:t> </w:t>
      </w:r>
      <w:r>
        <w:rPr>
          <w:sz w:val="18"/>
        </w:rPr>
        <w:t>Global)</w:t>
      </w:r>
    </w:p>
    <w:p>
      <w:pPr>
        <w:pStyle w:val="ListParagraph"/>
        <w:numPr>
          <w:ilvl w:val="0"/>
          <w:numId w:val="72"/>
        </w:numPr>
        <w:tabs>
          <w:tab w:pos="933" w:val="left" w:leader="none"/>
        </w:tabs>
        <w:spacing w:line="240" w:lineRule="auto" w:before="0" w:after="0"/>
        <w:ind w:left="781" w:right="4980" w:firstLine="0"/>
        <w:jc w:val="left"/>
        <w:rPr>
          <w:sz w:val="18"/>
        </w:rPr>
      </w:pPr>
      <w:r>
        <w:rPr/>
        <w:drawing>
          <wp:anchor distT="0" distB="0" distL="0" distR="0" allowOverlap="1" layoutInCell="1" locked="0" behindDoc="0" simplePos="0" relativeHeight="15836160">
            <wp:simplePos x="0" y="0"/>
            <wp:positionH relativeFrom="page">
              <wp:posOffset>652565</wp:posOffset>
            </wp:positionH>
            <wp:positionV relativeFrom="paragraph">
              <wp:posOffset>43833</wp:posOffset>
            </wp:positionV>
            <wp:extent cx="58380" cy="72151"/>
            <wp:effectExtent l="0" t="0" r="0" b="0"/>
            <wp:wrapNone/>
            <wp:docPr id="921" name="image13.png"/>
            <wp:cNvGraphicFramePr>
              <a:graphicFrameLocks noChangeAspect="1"/>
            </wp:cNvGraphicFramePr>
            <a:graphic>
              <a:graphicData uri="http://schemas.openxmlformats.org/drawingml/2006/picture">
                <pic:pic>
                  <pic:nvPicPr>
                    <pic:cNvPr id="922"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836672">
            <wp:simplePos x="0" y="0"/>
            <wp:positionH relativeFrom="page">
              <wp:posOffset>652565</wp:posOffset>
            </wp:positionH>
            <wp:positionV relativeFrom="paragraph">
              <wp:posOffset>184041</wp:posOffset>
            </wp:positionV>
            <wp:extent cx="58380" cy="72151"/>
            <wp:effectExtent l="0" t="0" r="0" b="0"/>
            <wp:wrapNone/>
            <wp:docPr id="923" name="image13.png"/>
            <wp:cNvGraphicFramePr>
              <a:graphicFrameLocks noChangeAspect="1"/>
            </wp:cNvGraphicFramePr>
            <a:graphic>
              <a:graphicData uri="http://schemas.openxmlformats.org/drawingml/2006/picture">
                <pic:pic>
                  <pic:nvPicPr>
                    <pic:cNvPr id="92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MyCareManager</w:t>
      </w:r>
      <w:r>
        <w:rPr>
          <w:spacing w:val="-6"/>
          <w:sz w:val="18"/>
        </w:rPr>
        <w:t> </w:t>
      </w:r>
      <w:r>
        <w:rPr>
          <w:sz w:val="18"/>
        </w:rPr>
        <w:t>Client</w:t>
      </w:r>
      <w:r>
        <w:rPr>
          <w:spacing w:val="-5"/>
          <w:sz w:val="18"/>
        </w:rPr>
        <w:t> </w:t>
      </w:r>
      <w:r>
        <w:rPr>
          <w:sz w:val="18"/>
        </w:rPr>
        <w:t>(MCM)</w:t>
      </w:r>
      <w:r>
        <w:rPr>
          <w:spacing w:val="-3"/>
          <w:sz w:val="18"/>
        </w:rPr>
        <w:t> </w:t>
      </w:r>
      <w:r>
        <w:rPr>
          <w:sz w:val="18"/>
        </w:rPr>
        <w:t>Application</w:t>
      </w:r>
      <w:r>
        <w:rPr>
          <w:spacing w:val="-3"/>
          <w:sz w:val="18"/>
        </w:rPr>
        <w:t> </w:t>
      </w:r>
      <w:r>
        <w:rPr>
          <w:sz w:val="18"/>
        </w:rPr>
        <w:t>(Telstra</w:t>
      </w:r>
      <w:r>
        <w:rPr>
          <w:spacing w:val="-7"/>
          <w:sz w:val="18"/>
        </w:rPr>
        <w:t> </w:t>
      </w:r>
      <w:r>
        <w:rPr>
          <w:sz w:val="18"/>
        </w:rPr>
        <w:t>Health)</w:t>
      </w:r>
      <w:r>
        <w:rPr>
          <w:spacing w:val="-47"/>
          <w:sz w:val="18"/>
        </w:rPr>
        <w:t> </w:t>
      </w:r>
      <w:r>
        <w:rPr>
          <w:sz w:val="18"/>
        </w:rPr>
        <w:t>7 Visual Outcomes</w:t>
      </w:r>
    </w:p>
    <w:p>
      <w:pPr>
        <w:spacing w:before="0"/>
        <w:ind w:left="781" w:right="0" w:firstLine="0"/>
        <w:jc w:val="left"/>
        <w:rPr>
          <w:sz w:val="18"/>
        </w:rPr>
      </w:pPr>
      <w:r>
        <w:rPr/>
        <w:drawing>
          <wp:anchor distT="0" distB="0" distL="0" distR="0" allowOverlap="1" layoutInCell="1" locked="0" behindDoc="0" simplePos="0" relativeHeight="15837184">
            <wp:simplePos x="0" y="0"/>
            <wp:positionH relativeFrom="page">
              <wp:posOffset>652565</wp:posOffset>
            </wp:positionH>
            <wp:positionV relativeFrom="paragraph">
              <wp:posOffset>43833</wp:posOffset>
            </wp:positionV>
            <wp:extent cx="58380" cy="72151"/>
            <wp:effectExtent l="0" t="0" r="0" b="0"/>
            <wp:wrapNone/>
            <wp:docPr id="925" name="image13.png"/>
            <wp:cNvGraphicFramePr>
              <a:graphicFrameLocks noChangeAspect="1"/>
            </wp:cNvGraphicFramePr>
            <a:graphic>
              <a:graphicData uri="http://schemas.openxmlformats.org/drawingml/2006/picture">
                <pic:pic>
                  <pic:nvPicPr>
                    <pic:cNvPr id="92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8</w:t>
      </w:r>
      <w:r>
        <w:rPr>
          <w:spacing w:val="-2"/>
          <w:sz w:val="18"/>
        </w:rPr>
        <w:t> </w:t>
      </w:r>
      <w:r>
        <w:rPr>
          <w:sz w:val="18"/>
        </w:rPr>
        <w:t>Other.</w:t>
      </w:r>
      <w:r>
        <w:rPr>
          <w:spacing w:val="-3"/>
          <w:sz w:val="18"/>
        </w:rPr>
        <w:t> </w:t>
      </w:r>
      <w:r>
        <w:rPr>
          <w:sz w:val="18"/>
        </w:rPr>
        <w:t>Please</w:t>
      </w:r>
      <w:r>
        <w:rPr>
          <w:spacing w:val="-3"/>
          <w:sz w:val="18"/>
        </w:rPr>
        <w:t> </w:t>
      </w:r>
      <w:r>
        <w:rPr>
          <w:sz w:val="18"/>
        </w:rPr>
        <w:t>list</w:t>
      </w:r>
      <w:r>
        <w:rPr>
          <w:spacing w:val="-4"/>
          <w:sz w:val="18"/>
        </w:rPr>
        <w:t> </w:t>
      </w:r>
      <w:r>
        <w:rPr>
          <w:sz w:val="18"/>
        </w:rPr>
        <w:t>the</w:t>
      </w:r>
      <w:r>
        <w:rPr>
          <w:spacing w:val="-2"/>
          <w:sz w:val="18"/>
        </w:rPr>
        <w:t> </w:t>
      </w:r>
      <w:r>
        <w:rPr>
          <w:sz w:val="18"/>
        </w:rPr>
        <w:t>product</w:t>
      </w:r>
      <w:r>
        <w:rPr>
          <w:spacing w:val="-2"/>
          <w:sz w:val="18"/>
        </w:rPr>
        <w:t> </w:t>
      </w:r>
      <w:r>
        <w:rPr>
          <w:sz w:val="18"/>
        </w:rPr>
        <w:t>(and</w:t>
      </w:r>
      <w:r>
        <w:rPr>
          <w:spacing w:val="-1"/>
          <w:sz w:val="18"/>
        </w:rPr>
        <w:t> </w:t>
      </w:r>
      <w:r>
        <w:rPr>
          <w:sz w:val="18"/>
        </w:rPr>
        <w:t>vendor</w:t>
      </w:r>
      <w:r>
        <w:rPr>
          <w:spacing w:val="-2"/>
          <w:sz w:val="18"/>
        </w:rPr>
        <w:t> </w:t>
      </w:r>
      <w:r>
        <w:rPr>
          <w:sz w:val="18"/>
        </w:rPr>
        <w:t>if</w:t>
      </w:r>
      <w:r>
        <w:rPr>
          <w:spacing w:val="-5"/>
          <w:sz w:val="18"/>
        </w:rPr>
        <w:t> </w:t>
      </w:r>
      <w:r>
        <w:rPr>
          <w:sz w:val="18"/>
        </w:rPr>
        <w:t>known).</w:t>
      </w:r>
    </w:p>
    <w:p>
      <w:pPr>
        <w:pStyle w:val="BodyText"/>
        <w:spacing w:before="11"/>
        <w:rPr>
          <w:sz w:val="22"/>
        </w:rPr>
      </w:pPr>
    </w:p>
    <w:p>
      <w:pPr>
        <w:pStyle w:val="ListParagraph"/>
        <w:numPr>
          <w:ilvl w:val="0"/>
          <w:numId w:val="71"/>
        </w:numPr>
        <w:tabs>
          <w:tab w:pos="499" w:val="left" w:leader="none"/>
          <w:tab w:pos="500" w:val="left" w:leader="none"/>
        </w:tabs>
        <w:spacing w:line="240" w:lineRule="auto" w:before="0" w:after="0"/>
        <w:ind w:left="500" w:right="915" w:hanging="360"/>
        <w:jc w:val="left"/>
        <w:rPr>
          <w:sz w:val="18"/>
        </w:rPr>
      </w:pPr>
      <w:r>
        <w:rPr>
          <w:sz w:val="18"/>
        </w:rPr>
        <w:t>Could you outline any further reflections (since the previous survey) on ways in which shared care planning has</w:t>
      </w:r>
      <w:r>
        <w:rPr>
          <w:spacing w:val="-47"/>
          <w:sz w:val="18"/>
        </w:rPr>
        <w:t> </w:t>
      </w:r>
      <w:r>
        <w:rPr>
          <w:sz w:val="18"/>
        </w:rPr>
        <w:t>worked</w:t>
      </w:r>
      <w:r>
        <w:rPr>
          <w:spacing w:val="-2"/>
          <w:sz w:val="18"/>
        </w:rPr>
        <w:t> </w:t>
      </w:r>
      <w:r>
        <w:rPr>
          <w:sz w:val="18"/>
        </w:rPr>
        <w:t>for your practice.</w:t>
      </w:r>
    </w:p>
    <w:p>
      <w:pPr>
        <w:pStyle w:val="BodyText"/>
      </w:pPr>
    </w:p>
    <w:p>
      <w:pPr>
        <w:pStyle w:val="BodyText"/>
        <w:spacing w:before="10"/>
        <w:rPr>
          <w:sz w:val="18"/>
        </w:rPr>
      </w:pPr>
      <w:r>
        <w:rPr/>
        <w:pict>
          <v:rect style="position:absolute;margin-left:34.560001pt;margin-top:12.778887pt;width:526.3pt;height:.47998pt;mso-position-horizontal-relative:page;mso-position-vertical-relative:paragraph;z-index:-15624704;mso-wrap-distance-left:0;mso-wrap-distance-right:0" id="docshape156" filled="true" fillcolor="#d9d9d9" stroked="false">
            <v:fill type="solid"/>
            <w10:wrap type="topAndBottom"/>
          </v:rect>
        </w:pict>
      </w:r>
    </w:p>
    <w:p>
      <w:pPr>
        <w:pStyle w:val="BodyText"/>
        <w:spacing w:before="2"/>
        <w:rPr>
          <w:sz w:val="8"/>
        </w:rPr>
      </w:pPr>
    </w:p>
    <w:p>
      <w:pPr>
        <w:pStyle w:val="ListParagraph"/>
        <w:numPr>
          <w:ilvl w:val="0"/>
          <w:numId w:val="71"/>
        </w:numPr>
        <w:tabs>
          <w:tab w:pos="499" w:val="left" w:leader="none"/>
          <w:tab w:pos="500" w:val="left" w:leader="none"/>
        </w:tabs>
        <w:spacing w:line="240" w:lineRule="auto" w:before="100" w:after="0"/>
        <w:ind w:left="500" w:right="0" w:hanging="360"/>
        <w:jc w:val="left"/>
        <w:rPr>
          <w:sz w:val="18"/>
        </w:rPr>
      </w:pPr>
      <w:r>
        <w:rPr>
          <w:sz w:val="18"/>
        </w:rPr>
        <w:t>Do</w:t>
      </w:r>
      <w:r>
        <w:rPr>
          <w:spacing w:val="-2"/>
          <w:sz w:val="18"/>
        </w:rPr>
        <w:t> </w:t>
      </w:r>
      <w:r>
        <w:rPr>
          <w:sz w:val="18"/>
        </w:rPr>
        <w:t>you</w:t>
      </w:r>
      <w:r>
        <w:rPr>
          <w:spacing w:val="-2"/>
          <w:sz w:val="18"/>
        </w:rPr>
        <w:t> </w:t>
      </w:r>
      <w:r>
        <w:rPr>
          <w:sz w:val="18"/>
        </w:rPr>
        <w:t>have</w:t>
      </w:r>
      <w:r>
        <w:rPr>
          <w:spacing w:val="-2"/>
          <w:sz w:val="18"/>
        </w:rPr>
        <w:t> </w:t>
      </w:r>
      <w:r>
        <w:rPr>
          <w:sz w:val="18"/>
        </w:rPr>
        <w:t>any</w:t>
      </w:r>
      <w:r>
        <w:rPr>
          <w:spacing w:val="-2"/>
          <w:sz w:val="18"/>
        </w:rPr>
        <w:t> </w:t>
      </w:r>
      <w:r>
        <w:rPr>
          <w:sz w:val="18"/>
        </w:rPr>
        <w:t>further</w:t>
      </w:r>
      <w:r>
        <w:rPr>
          <w:spacing w:val="-6"/>
          <w:sz w:val="18"/>
        </w:rPr>
        <w:t> </w:t>
      </w:r>
      <w:r>
        <w:rPr>
          <w:sz w:val="18"/>
        </w:rPr>
        <w:t>insights</w:t>
      </w:r>
      <w:r>
        <w:rPr>
          <w:spacing w:val="-3"/>
          <w:sz w:val="18"/>
        </w:rPr>
        <w:t> </w:t>
      </w:r>
      <w:r>
        <w:rPr>
          <w:sz w:val="18"/>
        </w:rPr>
        <w:t>into</w:t>
      </w:r>
      <w:r>
        <w:rPr>
          <w:spacing w:val="-1"/>
          <w:sz w:val="18"/>
        </w:rPr>
        <w:t> </w:t>
      </w:r>
      <w:r>
        <w:rPr>
          <w:sz w:val="18"/>
        </w:rPr>
        <w:t>how</w:t>
      </w:r>
      <w:r>
        <w:rPr>
          <w:spacing w:val="-4"/>
          <w:sz w:val="18"/>
        </w:rPr>
        <w:t> </w:t>
      </w:r>
      <w:r>
        <w:rPr>
          <w:sz w:val="18"/>
        </w:rPr>
        <w:t>shared</w:t>
      </w:r>
      <w:r>
        <w:rPr>
          <w:spacing w:val="-3"/>
          <w:sz w:val="18"/>
        </w:rPr>
        <w:t> </w:t>
      </w:r>
      <w:r>
        <w:rPr>
          <w:sz w:val="18"/>
        </w:rPr>
        <w:t>care</w:t>
      </w:r>
      <w:r>
        <w:rPr>
          <w:spacing w:val="-1"/>
          <w:sz w:val="18"/>
        </w:rPr>
        <w:t> </w:t>
      </w:r>
      <w:r>
        <w:rPr>
          <w:sz w:val="18"/>
        </w:rPr>
        <w:t>planning</w:t>
      </w:r>
      <w:r>
        <w:rPr>
          <w:spacing w:val="-4"/>
          <w:sz w:val="18"/>
        </w:rPr>
        <w:t> </w:t>
      </w:r>
      <w:r>
        <w:rPr>
          <w:sz w:val="18"/>
        </w:rPr>
        <w:t>could</w:t>
      </w:r>
      <w:r>
        <w:rPr>
          <w:spacing w:val="-3"/>
          <w:sz w:val="18"/>
        </w:rPr>
        <w:t> </w:t>
      </w:r>
      <w:r>
        <w:rPr>
          <w:sz w:val="18"/>
        </w:rPr>
        <w:t>be</w:t>
      </w:r>
      <w:r>
        <w:rPr>
          <w:spacing w:val="-3"/>
          <w:sz w:val="18"/>
        </w:rPr>
        <w:t> </w:t>
      </w:r>
      <w:r>
        <w:rPr>
          <w:sz w:val="18"/>
        </w:rPr>
        <w:t>improved?</w:t>
      </w:r>
    </w:p>
    <w:p>
      <w:pPr>
        <w:pStyle w:val="BodyText"/>
      </w:pPr>
    </w:p>
    <w:p>
      <w:pPr>
        <w:pStyle w:val="BodyText"/>
        <w:spacing w:before="1"/>
        <w:rPr>
          <w:sz w:val="19"/>
        </w:rPr>
      </w:pPr>
      <w:r>
        <w:rPr/>
        <w:pict>
          <v:rect style="position:absolute;margin-left:34.560001pt;margin-top:12.900313pt;width:526.3pt;height:.47998pt;mso-position-horizontal-relative:page;mso-position-vertical-relative:paragraph;z-index:-15624192;mso-wrap-distance-left:0;mso-wrap-distance-right:0" id="docshape157" filled="true" fillcolor="#d9d9d9" stroked="false">
            <v:fill type="solid"/>
            <w10:wrap type="topAndBottom"/>
          </v:rect>
        </w:pict>
      </w:r>
    </w:p>
    <w:p>
      <w:pPr>
        <w:spacing w:after="0"/>
        <w:rPr>
          <w:sz w:val="19"/>
        </w:rPr>
        <w:sectPr>
          <w:pgSz w:w="11910" w:h="16840"/>
          <w:pgMar w:header="0" w:footer="906" w:top="860" w:bottom="1140" w:left="580" w:right="280"/>
        </w:sectPr>
      </w:pPr>
    </w:p>
    <w:p>
      <w:pPr>
        <w:pStyle w:val="ListParagraph"/>
        <w:numPr>
          <w:ilvl w:val="0"/>
          <w:numId w:val="71"/>
        </w:numPr>
        <w:tabs>
          <w:tab w:pos="499" w:val="left" w:leader="none"/>
          <w:tab w:pos="500" w:val="left" w:leader="none"/>
        </w:tabs>
        <w:spacing w:line="240" w:lineRule="auto" w:before="75" w:after="0"/>
        <w:ind w:left="500" w:right="0" w:hanging="360"/>
        <w:jc w:val="left"/>
        <w:rPr>
          <w:sz w:val="18"/>
        </w:rPr>
      </w:pPr>
      <w:r>
        <w:rPr>
          <w:sz w:val="18"/>
        </w:rPr>
        <w:t>How</w:t>
      </w:r>
      <w:r>
        <w:rPr>
          <w:spacing w:val="-4"/>
          <w:sz w:val="18"/>
        </w:rPr>
        <w:t> </w:t>
      </w:r>
      <w:r>
        <w:rPr>
          <w:sz w:val="18"/>
        </w:rPr>
        <w:t>useful</w:t>
      </w:r>
      <w:r>
        <w:rPr>
          <w:spacing w:val="-2"/>
          <w:sz w:val="18"/>
        </w:rPr>
        <w:t> </w:t>
      </w:r>
      <w:r>
        <w:rPr>
          <w:sz w:val="18"/>
        </w:rPr>
        <w:t>has</w:t>
      </w:r>
      <w:r>
        <w:rPr>
          <w:spacing w:val="-3"/>
          <w:sz w:val="18"/>
        </w:rPr>
        <w:t> </w:t>
      </w:r>
      <w:r>
        <w:rPr>
          <w:sz w:val="18"/>
        </w:rPr>
        <w:t>My Health</w:t>
      </w:r>
      <w:r>
        <w:rPr>
          <w:spacing w:val="-3"/>
          <w:sz w:val="18"/>
        </w:rPr>
        <w:t> </w:t>
      </w:r>
      <w:r>
        <w:rPr>
          <w:sz w:val="18"/>
        </w:rPr>
        <w:t>Record</w:t>
      </w:r>
      <w:r>
        <w:rPr>
          <w:spacing w:val="-3"/>
          <w:sz w:val="18"/>
        </w:rPr>
        <w:t> </w:t>
      </w:r>
      <w:r>
        <w:rPr>
          <w:sz w:val="18"/>
        </w:rPr>
        <w:t>been</w:t>
      </w:r>
      <w:r>
        <w:rPr>
          <w:spacing w:val="-4"/>
          <w:sz w:val="18"/>
        </w:rPr>
        <w:t> </w:t>
      </w:r>
      <w:r>
        <w:rPr>
          <w:sz w:val="18"/>
        </w:rPr>
        <w:t>in</w:t>
      </w:r>
      <w:r>
        <w:rPr>
          <w:spacing w:val="-2"/>
          <w:sz w:val="18"/>
        </w:rPr>
        <w:t> </w:t>
      </w:r>
      <w:r>
        <w:rPr>
          <w:sz w:val="18"/>
        </w:rPr>
        <w:t>sharing</w:t>
      </w:r>
      <w:r>
        <w:rPr>
          <w:spacing w:val="-5"/>
          <w:sz w:val="18"/>
        </w:rPr>
        <w:t> </w:t>
      </w:r>
      <w:r>
        <w:rPr>
          <w:sz w:val="18"/>
        </w:rPr>
        <w:t>information</w:t>
      </w:r>
      <w:r>
        <w:rPr>
          <w:spacing w:val="-2"/>
          <w:sz w:val="18"/>
        </w:rPr>
        <w:t> </w:t>
      </w:r>
      <w:r>
        <w:rPr>
          <w:sz w:val="18"/>
        </w:rPr>
        <w:t>about</w:t>
      </w:r>
      <w:r>
        <w:rPr>
          <w:spacing w:val="-4"/>
          <w:sz w:val="18"/>
        </w:rPr>
        <w:t> </w:t>
      </w:r>
      <w:r>
        <w:rPr>
          <w:sz w:val="18"/>
        </w:rPr>
        <w:t>HCH</w:t>
      </w:r>
      <w:r>
        <w:rPr>
          <w:spacing w:val="-3"/>
          <w:sz w:val="18"/>
        </w:rPr>
        <w:t> </w:t>
      </w:r>
      <w:r>
        <w:rPr>
          <w:sz w:val="18"/>
        </w:rPr>
        <w:t>patients</w:t>
      </w:r>
      <w:r>
        <w:rPr>
          <w:spacing w:val="-3"/>
          <w:sz w:val="18"/>
        </w:rPr>
        <w:t> </w:t>
      </w:r>
      <w:r>
        <w:rPr>
          <w:sz w:val="18"/>
        </w:rPr>
        <w:t>with</w:t>
      </w:r>
      <w:r>
        <w:rPr>
          <w:spacing w:val="-2"/>
          <w:sz w:val="18"/>
        </w:rPr>
        <w:t> </w:t>
      </w:r>
      <w:r>
        <w:rPr>
          <w:sz w:val="18"/>
        </w:rPr>
        <w:t>other</w:t>
      </w:r>
      <w:r>
        <w:rPr>
          <w:spacing w:val="-2"/>
          <w:sz w:val="18"/>
        </w:rPr>
        <w:t> </w:t>
      </w:r>
      <w:r>
        <w:rPr>
          <w:sz w:val="18"/>
        </w:rPr>
        <w:t>service</w:t>
      </w:r>
      <w:r>
        <w:rPr>
          <w:spacing w:val="-2"/>
          <w:sz w:val="18"/>
        </w:rPr>
        <w:t> </w:t>
      </w:r>
      <w:r>
        <w:rPr>
          <w:sz w:val="18"/>
        </w:rPr>
        <w:t>providers?</w:t>
      </w:r>
    </w:p>
    <w:p>
      <w:pPr>
        <w:pStyle w:val="BodyText"/>
        <w:spacing w:before="3"/>
        <w:rPr>
          <w:sz w:val="16"/>
        </w:rPr>
      </w:pPr>
    </w:p>
    <w:p>
      <w:pPr>
        <w:pStyle w:val="ListParagraph"/>
        <w:numPr>
          <w:ilvl w:val="1"/>
          <w:numId w:val="71"/>
        </w:numPr>
        <w:tabs>
          <w:tab w:pos="932" w:val="left" w:leader="none"/>
        </w:tabs>
        <w:spacing w:line="240" w:lineRule="auto" w:before="1" w:after="0"/>
        <w:ind w:left="931" w:right="0" w:hanging="151"/>
        <w:jc w:val="left"/>
        <w:rPr>
          <w:sz w:val="18"/>
        </w:rPr>
      </w:pPr>
      <w:r>
        <w:rPr/>
        <w:drawing>
          <wp:anchor distT="0" distB="0" distL="0" distR="0" allowOverlap="1" layoutInCell="1" locked="0" behindDoc="0" simplePos="0" relativeHeight="15837696">
            <wp:simplePos x="0" y="0"/>
            <wp:positionH relativeFrom="page">
              <wp:posOffset>652565</wp:posOffset>
            </wp:positionH>
            <wp:positionV relativeFrom="paragraph">
              <wp:posOffset>45738</wp:posOffset>
            </wp:positionV>
            <wp:extent cx="58380" cy="72151"/>
            <wp:effectExtent l="0" t="0" r="0" b="0"/>
            <wp:wrapNone/>
            <wp:docPr id="927" name="image13.png"/>
            <wp:cNvGraphicFramePr>
              <a:graphicFrameLocks noChangeAspect="1"/>
            </wp:cNvGraphicFramePr>
            <a:graphic>
              <a:graphicData uri="http://schemas.openxmlformats.org/drawingml/2006/picture">
                <pic:pic>
                  <pic:nvPicPr>
                    <pic:cNvPr id="92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Very</w:t>
      </w:r>
      <w:r>
        <w:rPr>
          <w:spacing w:val="-4"/>
          <w:sz w:val="18"/>
        </w:rPr>
        <w:t> </w:t>
      </w:r>
      <w:r>
        <w:rPr>
          <w:sz w:val="18"/>
        </w:rPr>
        <w:t>useful</w:t>
      </w:r>
    </w:p>
    <w:p>
      <w:pPr>
        <w:pStyle w:val="ListParagraph"/>
        <w:numPr>
          <w:ilvl w:val="1"/>
          <w:numId w:val="71"/>
        </w:numPr>
        <w:tabs>
          <w:tab w:pos="932" w:val="left" w:leader="none"/>
        </w:tabs>
        <w:spacing w:line="240" w:lineRule="auto" w:before="0" w:after="0"/>
        <w:ind w:left="931" w:right="0" w:hanging="151"/>
        <w:jc w:val="left"/>
        <w:rPr>
          <w:sz w:val="18"/>
        </w:rPr>
      </w:pPr>
      <w:r>
        <w:rPr/>
        <w:drawing>
          <wp:anchor distT="0" distB="0" distL="0" distR="0" allowOverlap="1" layoutInCell="1" locked="0" behindDoc="0" simplePos="0" relativeHeight="15838208">
            <wp:simplePos x="0" y="0"/>
            <wp:positionH relativeFrom="page">
              <wp:posOffset>652565</wp:posOffset>
            </wp:positionH>
            <wp:positionV relativeFrom="paragraph">
              <wp:posOffset>44849</wp:posOffset>
            </wp:positionV>
            <wp:extent cx="58380" cy="72151"/>
            <wp:effectExtent l="0" t="0" r="0" b="0"/>
            <wp:wrapNone/>
            <wp:docPr id="929" name="image13.png"/>
            <wp:cNvGraphicFramePr>
              <a:graphicFrameLocks noChangeAspect="1"/>
            </wp:cNvGraphicFramePr>
            <a:graphic>
              <a:graphicData uri="http://schemas.openxmlformats.org/drawingml/2006/picture">
                <pic:pic>
                  <pic:nvPicPr>
                    <pic:cNvPr id="93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Moderately</w:t>
      </w:r>
      <w:r>
        <w:rPr>
          <w:spacing w:val="-6"/>
          <w:sz w:val="18"/>
        </w:rPr>
        <w:t> </w:t>
      </w:r>
      <w:r>
        <w:rPr>
          <w:sz w:val="18"/>
        </w:rPr>
        <w:t>useful</w:t>
      </w:r>
    </w:p>
    <w:p>
      <w:pPr>
        <w:pStyle w:val="ListParagraph"/>
        <w:numPr>
          <w:ilvl w:val="1"/>
          <w:numId w:val="71"/>
        </w:numPr>
        <w:tabs>
          <w:tab w:pos="932" w:val="left" w:leader="none"/>
        </w:tabs>
        <w:spacing w:line="240" w:lineRule="auto" w:before="0" w:after="0"/>
        <w:ind w:left="931" w:right="0" w:hanging="151"/>
        <w:jc w:val="left"/>
        <w:rPr>
          <w:sz w:val="18"/>
        </w:rPr>
      </w:pPr>
      <w:r>
        <w:rPr/>
        <w:drawing>
          <wp:anchor distT="0" distB="0" distL="0" distR="0" allowOverlap="1" layoutInCell="1" locked="0" behindDoc="0" simplePos="0" relativeHeight="15838720">
            <wp:simplePos x="0" y="0"/>
            <wp:positionH relativeFrom="page">
              <wp:posOffset>652565</wp:posOffset>
            </wp:positionH>
            <wp:positionV relativeFrom="paragraph">
              <wp:posOffset>44656</wp:posOffset>
            </wp:positionV>
            <wp:extent cx="58380" cy="73869"/>
            <wp:effectExtent l="0" t="0" r="0" b="0"/>
            <wp:wrapNone/>
            <wp:docPr id="931" name="image14.png"/>
            <wp:cNvGraphicFramePr>
              <a:graphicFrameLocks noChangeAspect="1"/>
            </wp:cNvGraphicFramePr>
            <a:graphic>
              <a:graphicData uri="http://schemas.openxmlformats.org/drawingml/2006/picture">
                <pic:pic>
                  <pic:nvPicPr>
                    <pic:cNvPr id="932"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Limited</w:t>
      </w:r>
    </w:p>
    <w:p>
      <w:pPr>
        <w:pStyle w:val="BodyText"/>
      </w:pPr>
    </w:p>
    <w:p>
      <w:pPr>
        <w:pStyle w:val="BodyText"/>
      </w:pPr>
    </w:p>
    <w:p>
      <w:pPr>
        <w:pStyle w:val="BodyText"/>
        <w:spacing w:before="1"/>
        <w:rPr>
          <w:sz w:val="22"/>
        </w:rPr>
      </w:pPr>
    </w:p>
    <w:p>
      <w:pPr>
        <w:pStyle w:val="ListParagraph"/>
        <w:numPr>
          <w:ilvl w:val="1"/>
          <w:numId w:val="71"/>
        </w:numPr>
        <w:tabs>
          <w:tab w:pos="932" w:val="left" w:leader="none"/>
        </w:tabs>
        <w:spacing w:line="240" w:lineRule="auto" w:before="0" w:after="0"/>
        <w:ind w:left="931" w:right="0" w:hanging="151"/>
        <w:jc w:val="left"/>
        <w:rPr>
          <w:sz w:val="18"/>
        </w:rPr>
      </w:pPr>
      <w:r>
        <w:rPr/>
        <w:drawing>
          <wp:anchor distT="0" distB="0" distL="0" distR="0" allowOverlap="1" layoutInCell="1" locked="0" behindDoc="0" simplePos="0" relativeHeight="15839232">
            <wp:simplePos x="0" y="0"/>
            <wp:positionH relativeFrom="page">
              <wp:posOffset>652565</wp:posOffset>
            </wp:positionH>
            <wp:positionV relativeFrom="paragraph">
              <wp:posOffset>44849</wp:posOffset>
            </wp:positionV>
            <wp:extent cx="58380" cy="72151"/>
            <wp:effectExtent l="0" t="0" r="0" b="0"/>
            <wp:wrapNone/>
            <wp:docPr id="933" name="image13.png"/>
            <wp:cNvGraphicFramePr>
              <a:graphicFrameLocks noChangeAspect="1"/>
            </wp:cNvGraphicFramePr>
            <a:graphic>
              <a:graphicData uri="http://schemas.openxmlformats.org/drawingml/2006/picture">
                <pic:pic>
                  <pic:nvPicPr>
                    <pic:cNvPr id="93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Not</w:t>
      </w:r>
      <w:r>
        <w:rPr>
          <w:spacing w:val="-3"/>
          <w:sz w:val="18"/>
        </w:rPr>
        <w:t> </w:t>
      </w:r>
      <w:r>
        <w:rPr>
          <w:sz w:val="18"/>
        </w:rPr>
        <w:t>useful</w:t>
      </w:r>
    </w:p>
    <w:p>
      <w:pPr>
        <w:pStyle w:val="ListParagraph"/>
        <w:numPr>
          <w:ilvl w:val="1"/>
          <w:numId w:val="71"/>
        </w:numPr>
        <w:tabs>
          <w:tab w:pos="932" w:val="left" w:leader="none"/>
        </w:tabs>
        <w:spacing w:line="240" w:lineRule="auto" w:before="0" w:after="0"/>
        <w:ind w:left="931" w:right="0" w:hanging="151"/>
        <w:jc w:val="left"/>
        <w:rPr>
          <w:sz w:val="18"/>
        </w:rPr>
      </w:pPr>
      <w:r>
        <w:rPr/>
        <w:drawing>
          <wp:anchor distT="0" distB="0" distL="0" distR="0" allowOverlap="1" layoutInCell="1" locked="0" behindDoc="0" simplePos="0" relativeHeight="15839744">
            <wp:simplePos x="0" y="0"/>
            <wp:positionH relativeFrom="page">
              <wp:posOffset>652565</wp:posOffset>
            </wp:positionH>
            <wp:positionV relativeFrom="paragraph">
              <wp:posOffset>44851</wp:posOffset>
            </wp:positionV>
            <wp:extent cx="58380" cy="72150"/>
            <wp:effectExtent l="0" t="0" r="0" b="0"/>
            <wp:wrapNone/>
            <wp:docPr id="935" name="image13.png"/>
            <wp:cNvGraphicFramePr>
              <a:graphicFrameLocks noChangeAspect="1"/>
            </wp:cNvGraphicFramePr>
            <a:graphic>
              <a:graphicData uri="http://schemas.openxmlformats.org/drawingml/2006/picture">
                <pic:pic>
                  <pic:nvPicPr>
                    <pic:cNvPr id="936" name="image13.png"/>
                    <pic:cNvPicPr/>
                  </pic:nvPicPr>
                  <pic:blipFill>
                    <a:blip r:embed="rId41" cstate="print"/>
                    <a:stretch>
                      <a:fillRect/>
                    </a:stretch>
                  </pic:blipFill>
                  <pic:spPr>
                    <a:xfrm>
                      <a:off x="0" y="0"/>
                      <a:ext cx="58380" cy="72150"/>
                    </a:xfrm>
                    <a:prstGeom prst="rect">
                      <a:avLst/>
                    </a:prstGeom>
                  </pic:spPr>
                </pic:pic>
              </a:graphicData>
            </a:graphic>
          </wp:anchor>
        </w:drawing>
      </w:r>
      <w:r>
        <w:rPr>
          <w:sz w:val="18"/>
        </w:rPr>
        <w:t>Can’t</w:t>
      </w:r>
      <w:r>
        <w:rPr>
          <w:spacing w:val="-4"/>
          <w:sz w:val="18"/>
        </w:rPr>
        <w:t> </w:t>
      </w:r>
      <w:r>
        <w:rPr>
          <w:sz w:val="18"/>
        </w:rPr>
        <w:t>say/don’t</w:t>
      </w:r>
      <w:r>
        <w:rPr>
          <w:spacing w:val="-4"/>
          <w:sz w:val="18"/>
        </w:rPr>
        <w:t> </w:t>
      </w:r>
      <w:r>
        <w:rPr>
          <w:sz w:val="18"/>
        </w:rPr>
        <w:t>know</w:t>
      </w:r>
    </w:p>
    <w:p>
      <w:pPr>
        <w:pStyle w:val="BodyText"/>
        <w:spacing w:before="9"/>
        <w:rPr>
          <w:sz w:val="14"/>
        </w:rPr>
      </w:pPr>
    </w:p>
    <w:p>
      <w:pPr>
        <w:pStyle w:val="ListParagraph"/>
        <w:numPr>
          <w:ilvl w:val="0"/>
          <w:numId w:val="71"/>
        </w:numPr>
        <w:tabs>
          <w:tab w:pos="499" w:val="left" w:leader="none"/>
          <w:tab w:pos="500" w:val="left" w:leader="none"/>
        </w:tabs>
        <w:spacing w:line="240" w:lineRule="auto" w:before="100" w:after="0"/>
        <w:ind w:left="500" w:right="662" w:hanging="360"/>
        <w:jc w:val="left"/>
        <w:rPr>
          <w:sz w:val="18"/>
        </w:rPr>
      </w:pPr>
      <w:r>
        <w:rPr>
          <w:sz w:val="18"/>
        </w:rPr>
        <w:t>Since the start of the HCH program, how has the use of My Health Record changed for GPs and other clinicians in</w:t>
      </w:r>
      <w:r>
        <w:rPr>
          <w:spacing w:val="-47"/>
          <w:sz w:val="18"/>
        </w:rPr>
        <w:t> </w:t>
      </w:r>
      <w:r>
        <w:rPr>
          <w:sz w:val="18"/>
        </w:rPr>
        <w:t>you</w:t>
      </w:r>
      <w:r>
        <w:rPr>
          <w:spacing w:val="-1"/>
          <w:sz w:val="18"/>
        </w:rPr>
        <w:t> </w:t>
      </w:r>
      <w:r>
        <w:rPr>
          <w:sz w:val="18"/>
        </w:rPr>
        <w:t>practice/service </w:t>
      </w:r>
      <w:r>
        <w:rPr>
          <w:sz w:val="18"/>
          <w:u w:val="single"/>
        </w:rPr>
        <w:t>for HCH</w:t>
      </w:r>
      <w:r>
        <w:rPr>
          <w:spacing w:val="-1"/>
          <w:sz w:val="18"/>
          <w:u w:val="single"/>
        </w:rPr>
        <w:t> </w:t>
      </w:r>
      <w:r>
        <w:rPr>
          <w:sz w:val="18"/>
          <w:u w:val="single"/>
        </w:rPr>
        <w:t>patients</w:t>
      </w:r>
      <w:r>
        <w:rPr>
          <w:sz w:val="18"/>
        </w:rPr>
        <w:t>?</w:t>
      </w:r>
    </w:p>
    <w:p>
      <w:pPr>
        <w:pStyle w:val="BodyText"/>
        <w:spacing w:before="3"/>
        <w:rPr>
          <w:sz w:val="16"/>
        </w:rPr>
      </w:pPr>
    </w:p>
    <w:p>
      <w:pPr>
        <w:pStyle w:val="ListParagraph"/>
        <w:numPr>
          <w:ilvl w:val="0"/>
          <w:numId w:val="73"/>
        </w:numPr>
        <w:tabs>
          <w:tab w:pos="933" w:val="left" w:leader="none"/>
        </w:tabs>
        <w:spacing w:line="240" w:lineRule="auto" w:before="1" w:after="0"/>
        <w:ind w:left="932" w:right="0" w:hanging="152"/>
        <w:jc w:val="left"/>
        <w:rPr>
          <w:sz w:val="18"/>
        </w:rPr>
      </w:pPr>
      <w:r>
        <w:rPr/>
        <w:drawing>
          <wp:anchor distT="0" distB="0" distL="0" distR="0" allowOverlap="1" layoutInCell="1" locked="0" behindDoc="0" simplePos="0" relativeHeight="15840256">
            <wp:simplePos x="0" y="0"/>
            <wp:positionH relativeFrom="page">
              <wp:posOffset>652565</wp:posOffset>
            </wp:positionH>
            <wp:positionV relativeFrom="paragraph">
              <wp:posOffset>45292</wp:posOffset>
            </wp:positionV>
            <wp:extent cx="58380" cy="73867"/>
            <wp:effectExtent l="0" t="0" r="0" b="0"/>
            <wp:wrapNone/>
            <wp:docPr id="937" name="image14.png"/>
            <wp:cNvGraphicFramePr>
              <a:graphicFrameLocks noChangeAspect="1"/>
            </wp:cNvGraphicFramePr>
            <a:graphic>
              <a:graphicData uri="http://schemas.openxmlformats.org/drawingml/2006/picture">
                <pic:pic>
                  <pic:nvPicPr>
                    <pic:cNvPr id="938" name="image14.png"/>
                    <pic:cNvPicPr/>
                  </pic:nvPicPr>
                  <pic:blipFill>
                    <a:blip r:embed="rId43" cstate="print"/>
                    <a:stretch>
                      <a:fillRect/>
                    </a:stretch>
                  </pic:blipFill>
                  <pic:spPr>
                    <a:xfrm>
                      <a:off x="0" y="0"/>
                      <a:ext cx="58380" cy="73867"/>
                    </a:xfrm>
                    <a:prstGeom prst="rect">
                      <a:avLst/>
                    </a:prstGeom>
                  </pic:spPr>
                </pic:pic>
              </a:graphicData>
            </a:graphic>
          </wp:anchor>
        </w:drawing>
      </w:r>
      <w:r>
        <w:rPr>
          <w:sz w:val="18"/>
        </w:rPr>
        <w:t>Significant</w:t>
      </w:r>
      <w:r>
        <w:rPr>
          <w:spacing w:val="-7"/>
          <w:sz w:val="18"/>
        </w:rPr>
        <w:t> </w:t>
      </w:r>
      <w:r>
        <w:rPr>
          <w:sz w:val="18"/>
        </w:rPr>
        <w:t>increase</w:t>
      </w:r>
    </w:p>
    <w:p>
      <w:pPr>
        <w:pStyle w:val="ListParagraph"/>
        <w:numPr>
          <w:ilvl w:val="0"/>
          <w:numId w:val="73"/>
        </w:numPr>
        <w:tabs>
          <w:tab w:pos="933" w:val="left" w:leader="none"/>
        </w:tabs>
        <w:spacing w:line="240" w:lineRule="auto" w:before="0" w:after="0"/>
        <w:ind w:left="781" w:right="8441" w:firstLine="0"/>
        <w:jc w:val="left"/>
        <w:rPr>
          <w:sz w:val="18"/>
        </w:rPr>
      </w:pPr>
      <w:r>
        <w:rPr/>
        <w:drawing>
          <wp:anchor distT="0" distB="0" distL="0" distR="0" allowOverlap="1" layoutInCell="1" locked="0" behindDoc="0" simplePos="0" relativeHeight="15840768">
            <wp:simplePos x="0" y="0"/>
            <wp:positionH relativeFrom="page">
              <wp:posOffset>652565</wp:posOffset>
            </wp:positionH>
            <wp:positionV relativeFrom="paragraph">
              <wp:posOffset>44850</wp:posOffset>
            </wp:positionV>
            <wp:extent cx="58380" cy="72151"/>
            <wp:effectExtent l="0" t="0" r="0" b="0"/>
            <wp:wrapNone/>
            <wp:docPr id="939" name="image13.png"/>
            <wp:cNvGraphicFramePr>
              <a:graphicFrameLocks noChangeAspect="1"/>
            </wp:cNvGraphicFramePr>
            <a:graphic>
              <a:graphicData uri="http://schemas.openxmlformats.org/drawingml/2006/picture">
                <pic:pic>
                  <pic:nvPicPr>
                    <pic:cNvPr id="940"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841280">
            <wp:simplePos x="0" y="0"/>
            <wp:positionH relativeFrom="page">
              <wp:posOffset>652565</wp:posOffset>
            </wp:positionH>
            <wp:positionV relativeFrom="paragraph">
              <wp:posOffset>185058</wp:posOffset>
            </wp:positionV>
            <wp:extent cx="58380" cy="72151"/>
            <wp:effectExtent l="0" t="0" r="0" b="0"/>
            <wp:wrapNone/>
            <wp:docPr id="941" name="image13.png"/>
            <wp:cNvGraphicFramePr>
              <a:graphicFrameLocks noChangeAspect="1"/>
            </wp:cNvGraphicFramePr>
            <a:graphic>
              <a:graphicData uri="http://schemas.openxmlformats.org/drawingml/2006/picture">
                <pic:pic>
                  <pic:nvPicPr>
                    <pic:cNvPr id="94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Moderate increase</w:t>
      </w:r>
      <w:r>
        <w:rPr>
          <w:spacing w:val="-47"/>
          <w:sz w:val="18"/>
        </w:rPr>
        <w:t> </w:t>
      </w:r>
      <w:r>
        <w:rPr>
          <w:sz w:val="18"/>
        </w:rPr>
        <w:t>3 Much</w:t>
      </w:r>
      <w:r>
        <w:rPr>
          <w:spacing w:val="-1"/>
          <w:sz w:val="18"/>
        </w:rPr>
        <w:t> </w:t>
      </w:r>
      <w:r>
        <w:rPr>
          <w:sz w:val="18"/>
        </w:rPr>
        <w:t>the</w:t>
      </w:r>
      <w:r>
        <w:rPr>
          <w:spacing w:val="-1"/>
          <w:sz w:val="18"/>
        </w:rPr>
        <w:t> </w:t>
      </w:r>
      <w:r>
        <w:rPr>
          <w:sz w:val="18"/>
        </w:rPr>
        <w:t>same</w:t>
      </w:r>
    </w:p>
    <w:p>
      <w:pPr>
        <w:pStyle w:val="ListParagraph"/>
        <w:numPr>
          <w:ilvl w:val="0"/>
          <w:numId w:val="74"/>
        </w:numPr>
        <w:tabs>
          <w:tab w:pos="933" w:val="left" w:leader="none"/>
        </w:tabs>
        <w:spacing w:line="240" w:lineRule="auto" w:before="0" w:after="0"/>
        <w:ind w:left="932" w:right="0" w:hanging="152"/>
        <w:jc w:val="left"/>
        <w:rPr>
          <w:sz w:val="18"/>
        </w:rPr>
      </w:pPr>
      <w:r>
        <w:rPr/>
        <w:drawing>
          <wp:anchor distT="0" distB="0" distL="0" distR="0" allowOverlap="1" layoutInCell="1" locked="0" behindDoc="0" simplePos="0" relativeHeight="15841792">
            <wp:simplePos x="0" y="0"/>
            <wp:positionH relativeFrom="page">
              <wp:posOffset>652565</wp:posOffset>
            </wp:positionH>
            <wp:positionV relativeFrom="paragraph">
              <wp:posOffset>44468</wp:posOffset>
            </wp:positionV>
            <wp:extent cx="58380" cy="72151"/>
            <wp:effectExtent l="0" t="0" r="0" b="0"/>
            <wp:wrapNone/>
            <wp:docPr id="943" name="image13.png"/>
            <wp:cNvGraphicFramePr>
              <a:graphicFrameLocks noChangeAspect="1"/>
            </wp:cNvGraphicFramePr>
            <a:graphic>
              <a:graphicData uri="http://schemas.openxmlformats.org/drawingml/2006/picture">
                <pic:pic>
                  <pic:nvPicPr>
                    <pic:cNvPr id="94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Decreased</w:t>
      </w:r>
    </w:p>
    <w:p>
      <w:pPr>
        <w:pStyle w:val="ListParagraph"/>
        <w:numPr>
          <w:ilvl w:val="0"/>
          <w:numId w:val="74"/>
        </w:numPr>
        <w:tabs>
          <w:tab w:pos="932" w:val="left" w:leader="none"/>
        </w:tabs>
        <w:spacing w:line="240" w:lineRule="auto" w:before="1" w:after="0"/>
        <w:ind w:left="931" w:right="0" w:hanging="151"/>
        <w:jc w:val="left"/>
        <w:rPr>
          <w:sz w:val="18"/>
        </w:rPr>
      </w:pPr>
      <w:r>
        <w:rPr/>
        <w:drawing>
          <wp:anchor distT="0" distB="0" distL="0" distR="0" allowOverlap="1" layoutInCell="1" locked="0" behindDoc="0" simplePos="0" relativeHeight="15842304">
            <wp:simplePos x="0" y="0"/>
            <wp:positionH relativeFrom="page">
              <wp:posOffset>652565</wp:posOffset>
            </wp:positionH>
            <wp:positionV relativeFrom="paragraph">
              <wp:posOffset>45103</wp:posOffset>
            </wp:positionV>
            <wp:extent cx="58380" cy="72151"/>
            <wp:effectExtent l="0" t="0" r="0" b="0"/>
            <wp:wrapNone/>
            <wp:docPr id="945" name="image13.png"/>
            <wp:cNvGraphicFramePr>
              <a:graphicFrameLocks noChangeAspect="1"/>
            </wp:cNvGraphicFramePr>
            <a:graphic>
              <a:graphicData uri="http://schemas.openxmlformats.org/drawingml/2006/picture">
                <pic:pic>
                  <pic:nvPicPr>
                    <pic:cNvPr id="94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Can’t</w:t>
      </w:r>
      <w:r>
        <w:rPr>
          <w:spacing w:val="-4"/>
          <w:sz w:val="18"/>
        </w:rPr>
        <w:t> </w:t>
      </w:r>
      <w:r>
        <w:rPr>
          <w:sz w:val="18"/>
        </w:rPr>
        <w:t>say/don’t</w:t>
      </w:r>
      <w:r>
        <w:rPr>
          <w:spacing w:val="-4"/>
          <w:sz w:val="18"/>
        </w:rPr>
        <w:t> </w:t>
      </w:r>
      <w:r>
        <w:rPr>
          <w:sz w:val="18"/>
        </w:rPr>
        <w:t>know</w:t>
      </w:r>
    </w:p>
    <w:p>
      <w:pPr>
        <w:pStyle w:val="BodyText"/>
        <w:spacing w:before="8"/>
        <w:rPr>
          <w:sz w:val="22"/>
        </w:rPr>
      </w:pPr>
    </w:p>
    <w:p>
      <w:pPr>
        <w:pStyle w:val="ListParagraph"/>
        <w:numPr>
          <w:ilvl w:val="0"/>
          <w:numId w:val="71"/>
        </w:numPr>
        <w:tabs>
          <w:tab w:pos="499" w:val="left" w:leader="none"/>
          <w:tab w:pos="500" w:val="left" w:leader="none"/>
        </w:tabs>
        <w:spacing w:line="240" w:lineRule="auto" w:before="0" w:after="0"/>
        <w:ind w:left="500" w:right="516" w:hanging="360"/>
        <w:jc w:val="left"/>
        <w:rPr>
          <w:sz w:val="18"/>
        </w:rPr>
      </w:pPr>
      <w:r>
        <w:rPr>
          <w:sz w:val="18"/>
        </w:rPr>
        <w:t>Since the start of the HCH program, what is your assessment of changes in the levels of engagement/ activation for</w:t>
      </w:r>
      <w:r>
        <w:rPr>
          <w:spacing w:val="-47"/>
          <w:sz w:val="18"/>
        </w:rPr>
        <w:t> </w:t>
      </w:r>
      <w:r>
        <w:rPr>
          <w:sz w:val="18"/>
        </w:rPr>
        <w:t>HCH</w:t>
      </w:r>
      <w:r>
        <w:rPr>
          <w:spacing w:val="-1"/>
          <w:sz w:val="18"/>
        </w:rPr>
        <w:t> </w:t>
      </w:r>
      <w:r>
        <w:rPr>
          <w:sz w:val="18"/>
        </w:rPr>
        <w:t>patients</w:t>
      </w:r>
      <w:r>
        <w:rPr>
          <w:spacing w:val="1"/>
          <w:sz w:val="18"/>
        </w:rPr>
        <w:t> </w:t>
      </w:r>
      <w:r>
        <w:rPr>
          <w:sz w:val="18"/>
        </w:rPr>
        <w:t>at</w:t>
      </w:r>
      <w:r>
        <w:rPr>
          <w:spacing w:val="-2"/>
          <w:sz w:val="18"/>
        </w:rPr>
        <w:t> </w:t>
      </w:r>
      <w:r>
        <w:rPr>
          <w:sz w:val="18"/>
        </w:rPr>
        <w:t>this</w:t>
      </w:r>
      <w:r>
        <w:rPr>
          <w:spacing w:val="-1"/>
          <w:sz w:val="18"/>
        </w:rPr>
        <w:t> </w:t>
      </w:r>
      <w:r>
        <w:rPr>
          <w:sz w:val="18"/>
        </w:rPr>
        <w:t>practice/ service?</w:t>
      </w:r>
    </w:p>
    <w:p>
      <w:pPr>
        <w:pStyle w:val="BodyText"/>
        <w:spacing w:before="6"/>
        <w:rPr>
          <w:sz w:val="16"/>
        </w:rPr>
      </w:pPr>
    </w:p>
    <w:p>
      <w:pPr>
        <w:spacing w:before="0"/>
        <w:ind w:left="1206" w:right="3208" w:firstLine="0"/>
        <w:jc w:val="both"/>
        <w:rPr>
          <w:sz w:val="18"/>
        </w:rPr>
      </w:pPr>
      <w:r>
        <w:rPr/>
        <w:drawing>
          <wp:anchor distT="0" distB="0" distL="0" distR="0" allowOverlap="1" layoutInCell="1" locked="0" behindDoc="0" simplePos="0" relativeHeight="15842816">
            <wp:simplePos x="0" y="0"/>
            <wp:positionH relativeFrom="page">
              <wp:posOffset>922313</wp:posOffset>
            </wp:positionH>
            <wp:positionV relativeFrom="paragraph">
              <wp:posOffset>44468</wp:posOffset>
            </wp:positionV>
            <wp:extent cx="58380" cy="72151"/>
            <wp:effectExtent l="0" t="0" r="0" b="0"/>
            <wp:wrapNone/>
            <wp:docPr id="947" name="image13.png"/>
            <wp:cNvGraphicFramePr>
              <a:graphicFrameLocks noChangeAspect="1"/>
            </wp:cNvGraphicFramePr>
            <a:graphic>
              <a:graphicData uri="http://schemas.openxmlformats.org/drawingml/2006/picture">
                <pic:pic>
                  <pic:nvPicPr>
                    <pic:cNvPr id="948"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843328">
            <wp:simplePos x="0" y="0"/>
            <wp:positionH relativeFrom="page">
              <wp:posOffset>922313</wp:posOffset>
            </wp:positionH>
            <wp:positionV relativeFrom="paragraph">
              <wp:posOffset>184675</wp:posOffset>
            </wp:positionV>
            <wp:extent cx="58380" cy="72153"/>
            <wp:effectExtent l="0" t="0" r="0" b="0"/>
            <wp:wrapNone/>
            <wp:docPr id="949" name="image13.png"/>
            <wp:cNvGraphicFramePr>
              <a:graphicFrameLocks noChangeAspect="1"/>
            </wp:cNvGraphicFramePr>
            <a:graphic>
              <a:graphicData uri="http://schemas.openxmlformats.org/drawingml/2006/picture">
                <pic:pic>
                  <pic:nvPicPr>
                    <pic:cNvPr id="950" name="image13.png"/>
                    <pic:cNvPicPr/>
                  </pic:nvPicPr>
                  <pic:blipFill>
                    <a:blip r:embed="rId41" cstate="print"/>
                    <a:stretch>
                      <a:fillRect/>
                    </a:stretch>
                  </pic:blipFill>
                  <pic:spPr>
                    <a:xfrm>
                      <a:off x="0" y="0"/>
                      <a:ext cx="58380" cy="72153"/>
                    </a:xfrm>
                    <a:prstGeom prst="rect">
                      <a:avLst/>
                    </a:prstGeom>
                  </pic:spPr>
                </pic:pic>
              </a:graphicData>
            </a:graphic>
          </wp:anchor>
        </w:drawing>
      </w:r>
      <w:r>
        <w:rPr/>
        <w:drawing>
          <wp:anchor distT="0" distB="0" distL="0" distR="0" allowOverlap="1" layoutInCell="1" locked="0" behindDoc="0" simplePos="0" relativeHeight="15843840">
            <wp:simplePos x="0" y="0"/>
            <wp:positionH relativeFrom="page">
              <wp:posOffset>922313</wp:posOffset>
            </wp:positionH>
            <wp:positionV relativeFrom="paragraph">
              <wp:posOffset>324884</wp:posOffset>
            </wp:positionV>
            <wp:extent cx="58380" cy="72151"/>
            <wp:effectExtent l="0" t="0" r="0" b="0"/>
            <wp:wrapNone/>
            <wp:docPr id="951" name="image13.png"/>
            <wp:cNvGraphicFramePr>
              <a:graphicFrameLocks noChangeAspect="1"/>
            </wp:cNvGraphicFramePr>
            <a:graphic>
              <a:graphicData uri="http://schemas.openxmlformats.org/drawingml/2006/picture">
                <pic:pic>
                  <pic:nvPicPr>
                    <pic:cNvPr id="95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1 Significant improvement in the level of engagement/activation of patients</w:t>
      </w:r>
      <w:r>
        <w:rPr>
          <w:spacing w:val="-48"/>
          <w:sz w:val="18"/>
        </w:rPr>
        <w:t> </w:t>
      </w:r>
      <w:r>
        <w:rPr>
          <w:sz w:val="18"/>
        </w:rPr>
        <w:t>2 Moderate improvement in the level of engagement/activation of patients</w:t>
      </w:r>
      <w:r>
        <w:rPr>
          <w:spacing w:val="-47"/>
          <w:sz w:val="18"/>
        </w:rPr>
        <w:t> </w:t>
      </w:r>
      <w:r>
        <w:rPr>
          <w:sz w:val="18"/>
        </w:rPr>
        <w:t>3</w:t>
      </w:r>
      <w:r>
        <w:rPr>
          <w:spacing w:val="-2"/>
          <w:sz w:val="18"/>
        </w:rPr>
        <w:t> </w:t>
      </w:r>
      <w:r>
        <w:rPr>
          <w:sz w:val="18"/>
        </w:rPr>
        <w:t>Small</w:t>
      </w:r>
      <w:r>
        <w:rPr>
          <w:spacing w:val="-2"/>
          <w:sz w:val="18"/>
        </w:rPr>
        <w:t> </w:t>
      </w:r>
      <w:r>
        <w:rPr>
          <w:sz w:val="18"/>
        </w:rPr>
        <w:t>improvement</w:t>
      </w:r>
      <w:r>
        <w:rPr>
          <w:spacing w:val="-4"/>
          <w:sz w:val="18"/>
        </w:rPr>
        <w:t> </w:t>
      </w:r>
      <w:r>
        <w:rPr>
          <w:sz w:val="18"/>
        </w:rPr>
        <w:t>in</w:t>
      </w:r>
      <w:r>
        <w:rPr>
          <w:spacing w:val="-1"/>
          <w:sz w:val="18"/>
        </w:rPr>
        <w:t> </w:t>
      </w:r>
      <w:r>
        <w:rPr>
          <w:sz w:val="18"/>
        </w:rPr>
        <w:t>the</w:t>
      </w:r>
      <w:r>
        <w:rPr>
          <w:spacing w:val="-2"/>
          <w:sz w:val="18"/>
        </w:rPr>
        <w:t> </w:t>
      </w:r>
      <w:r>
        <w:rPr>
          <w:sz w:val="18"/>
        </w:rPr>
        <w:t>level</w:t>
      </w:r>
      <w:r>
        <w:rPr>
          <w:spacing w:val="-1"/>
          <w:sz w:val="18"/>
        </w:rPr>
        <w:t> </w:t>
      </w:r>
      <w:r>
        <w:rPr>
          <w:sz w:val="18"/>
        </w:rPr>
        <w:t>of</w:t>
      </w:r>
      <w:r>
        <w:rPr>
          <w:spacing w:val="-2"/>
          <w:sz w:val="18"/>
        </w:rPr>
        <w:t> </w:t>
      </w:r>
      <w:r>
        <w:rPr>
          <w:sz w:val="18"/>
        </w:rPr>
        <w:t>engagement/activation</w:t>
      </w:r>
      <w:r>
        <w:rPr>
          <w:spacing w:val="-2"/>
          <w:sz w:val="18"/>
        </w:rPr>
        <w:t> </w:t>
      </w:r>
      <w:r>
        <w:rPr>
          <w:sz w:val="18"/>
        </w:rPr>
        <w:t>of</w:t>
      </w:r>
      <w:r>
        <w:rPr>
          <w:spacing w:val="-3"/>
          <w:sz w:val="18"/>
        </w:rPr>
        <w:t> </w:t>
      </w:r>
      <w:r>
        <w:rPr>
          <w:sz w:val="18"/>
        </w:rPr>
        <w:t>patients</w:t>
      </w:r>
    </w:p>
    <w:p>
      <w:pPr>
        <w:pStyle w:val="ListParagraph"/>
        <w:numPr>
          <w:ilvl w:val="0"/>
          <w:numId w:val="75"/>
        </w:numPr>
        <w:tabs>
          <w:tab w:pos="1357" w:val="left" w:leader="none"/>
        </w:tabs>
        <w:spacing w:line="240" w:lineRule="auto" w:before="0" w:after="0"/>
        <w:ind w:left="1356" w:right="0" w:hanging="151"/>
        <w:jc w:val="both"/>
        <w:rPr>
          <w:sz w:val="18"/>
        </w:rPr>
      </w:pPr>
      <w:r>
        <w:rPr/>
        <w:drawing>
          <wp:anchor distT="0" distB="0" distL="0" distR="0" allowOverlap="1" layoutInCell="1" locked="0" behindDoc="0" simplePos="0" relativeHeight="15844352">
            <wp:simplePos x="0" y="0"/>
            <wp:positionH relativeFrom="page">
              <wp:posOffset>922313</wp:posOffset>
            </wp:positionH>
            <wp:positionV relativeFrom="paragraph">
              <wp:posOffset>44469</wp:posOffset>
            </wp:positionV>
            <wp:extent cx="58380" cy="72151"/>
            <wp:effectExtent l="0" t="0" r="0" b="0"/>
            <wp:wrapNone/>
            <wp:docPr id="953" name="image13.png"/>
            <wp:cNvGraphicFramePr>
              <a:graphicFrameLocks noChangeAspect="1"/>
            </wp:cNvGraphicFramePr>
            <a:graphic>
              <a:graphicData uri="http://schemas.openxmlformats.org/drawingml/2006/picture">
                <pic:pic>
                  <pic:nvPicPr>
                    <pic:cNvPr id="95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w:t>
      </w:r>
      <w:r>
        <w:rPr>
          <w:spacing w:val="-4"/>
          <w:sz w:val="18"/>
        </w:rPr>
        <w:t> </w:t>
      </w:r>
      <w:r>
        <w:rPr>
          <w:sz w:val="18"/>
        </w:rPr>
        <w:t>improvement/reduction</w:t>
      </w:r>
      <w:r>
        <w:rPr>
          <w:spacing w:val="-4"/>
          <w:sz w:val="18"/>
        </w:rPr>
        <w:t> </w:t>
      </w:r>
      <w:r>
        <w:rPr>
          <w:sz w:val="18"/>
        </w:rPr>
        <w:t>in</w:t>
      </w:r>
      <w:r>
        <w:rPr>
          <w:spacing w:val="-3"/>
          <w:sz w:val="18"/>
        </w:rPr>
        <w:t> </w:t>
      </w:r>
      <w:r>
        <w:rPr>
          <w:sz w:val="18"/>
        </w:rPr>
        <w:t>the</w:t>
      </w:r>
      <w:r>
        <w:rPr>
          <w:spacing w:val="-4"/>
          <w:sz w:val="18"/>
        </w:rPr>
        <w:t> </w:t>
      </w:r>
      <w:r>
        <w:rPr>
          <w:sz w:val="18"/>
        </w:rPr>
        <w:t>level</w:t>
      </w:r>
      <w:r>
        <w:rPr>
          <w:spacing w:val="-3"/>
          <w:sz w:val="18"/>
        </w:rPr>
        <w:t> </w:t>
      </w:r>
      <w:r>
        <w:rPr>
          <w:sz w:val="18"/>
        </w:rPr>
        <w:t>of</w:t>
      </w:r>
      <w:r>
        <w:rPr>
          <w:spacing w:val="-4"/>
          <w:sz w:val="18"/>
        </w:rPr>
        <w:t> </w:t>
      </w:r>
      <w:r>
        <w:rPr>
          <w:sz w:val="18"/>
        </w:rPr>
        <w:t>engagement/activation</w:t>
      </w:r>
      <w:r>
        <w:rPr>
          <w:spacing w:val="-4"/>
          <w:sz w:val="18"/>
        </w:rPr>
        <w:t> </w:t>
      </w:r>
      <w:r>
        <w:rPr>
          <w:sz w:val="18"/>
        </w:rPr>
        <w:t>of</w:t>
      </w:r>
      <w:r>
        <w:rPr>
          <w:spacing w:val="-5"/>
          <w:sz w:val="18"/>
        </w:rPr>
        <w:t> </w:t>
      </w:r>
      <w:r>
        <w:rPr>
          <w:sz w:val="18"/>
        </w:rPr>
        <w:t>patients</w:t>
      </w:r>
    </w:p>
    <w:p>
      <w:pPr>
        <w:pStyle w:val="ListParagraph"/>
        <w:numPr>
          <w:ilvl w:val="0"/>
          <w:numId w:val="75"/>
        </w:numPr>
        <w:tabs>
          <w:tab w:pos="1357" w:val="left" w:leader="none"/>
        </w:tabs>
        <w:spacing w:line="240" w:lineRule="auto" w:before="0" w:after="0"/>
        <w:ind w:left="1356" w:right="0" w:hanging="151"/>
        <w:jc w:val="both"/>
        <w:rPr>
          <w:sz w:val="18"/>
        </w:rPr>
      </w:pPr>
      <w:r>
        <w:rPr/>
        <w:drawing>
          <wp:anchor distT="0" distB="0" distL="0" distR="0" allowOverlap="1" layoutInCell="1" locked="0" behindDoc="0" simplePos="0" relativeHeight="15844864">
            <wp:simplePos x="0" y="0"/>
            <wp:positionH relativeFrom="page">
              <wp:posOffset>922313</wp:posOffset>
            </wp:positionH>
            <wp:positionV relativeFrom="paragraph">
              <wp:posOffset>44468</wp:posOffset>
            </wp:positionV>
            <wp:extent cx="58380" cy="72151"/>
            <wp:effectExtent l="0" t="0" r="0" b="0"/>
            <wp:wrapNone/>
            <wp:docPr id="955" name="image13.png"/>
            <wp:cNvGraphicFramePr>
              <a:graphicFrameLocks noChangeAspect="1"/>
            </wp:cNvGraphicFramePr>
            <a:graphic>
              <a:graphicData uri="http://schemas.openxmlformats.org/drawingml/2006/picture">
                <pic:pic>
                  <pic:nvPicPr>
                    <pic:cNvPr id="95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Can’t</w:t>
      </w:r>
      <w:r>
        <w:rPr>
          <w:spacing w:val="-4"/>
          <w:sz w:val="18"/>
        </w:rPr>
        <w:t> </w:t>
      </w:r>
      <w:r>
        <w:rPr>
          <w:sz w:val="18"/>
        </w:rPr>
        <w:t>say/don’t</w:t>
      </w:r>
      <w:r>
        <w:rPr>
          <w:spacing w:val="-4"/>
          <w:sz w:val="18"/>
        </w:rPr>
        <w:t> </w:t>
      </w:r>
      <w:r>
        <w:rPr>
          <w:sz w:val="18"/>
        </w:rPr>
        <w:t>know</w:t>
      </w:r>
    </w:p>
    <w:p>
      <w:pPr>
        <w:pStyle w:val="BodyText"/>
        <w:spacing w:before="9"/>
        <w:rPr>
          <w:sz w:val="22"/>
        </w:rPr>
      </w:pPr>
    </w:p>
    <w:p>
      <w:pPr>
        <w:pStyle w:val="ListParagraph"/>
        <w:numPr>
          <w:ilvl w:val="0"/>
          <w:numId w:val="71"/>
        </w:numPr>
        <w:tabs>
          <w:tab w:pos="499" w:val="left" w:leader="none"/>
          <w:tab w:pos="500" w:val="left" w:leader="none"/>
        </w:tabs>
        <w:spacing w:line="240" w:lineRule="auto" w:before="0" w:after="0"/>
        <w:ind w:left="500" w:right="792" w:hanging="360"/>
        <w:jc w:val="left"/>
        <w:rPr>
          <w:sz w:val="18"/>
        </w:rPr>
      </w:pPr>
      <w:r>
        <w:rPr>
          <w:sz w:val="18"/>
        </w:rPr>
        <w:t>What have been the (up to) top three factors that have contributed improvements in the level of engagement/</w:t>
      </w:r>
      <w:r>
        <w:rPr>
          <w:spacing w:val="-47"/>
          <w:sz w:val="18"/>
        </w:rPr>
        <w:t> </w:t>
      </w:r>
      <w:r>
        <w:rPr>
          <w:sz w:val="18"/>
        </w:rPr>
        <w:t>activation</w:t>
      </w:r>
      <w:r>
        <w:rPr>
          <w:spacing w:val="1"/>
          <w:sz w:val="18"/>
        </w:rPr>
        <w:t> </w:t>
      </w:r>
      <w:r>
        <w:rPr>
          <w:sz w:val="18"/>
        </w:rPr>
        <w:t>of</w:t>
      </w:r>
      <w:r>
        <w:rPr>
          <w:spacing w:val="-2"/>
          <w:sz w:val="18"/>
        </w:rPr>
        <w:t> </w:t>
      </w:r>
      <w:r>
        <w:rPr>
          <w:sz w:val="18"/>
        </w:rPr>
        <w:t>HCH</w:t>
      </w:r>
      <w:r>
        <w:rPr>
          <w:spacing w:val="-1"/>
          <w:sz w:val="18"/>
        </w:rPr>
        <w:t> </w:t>
      </w:r>
      <w:r>
        <w:rPr>
          <w:sz w:val="18"/>
        </w:rPr>
        <w:t>patients</w:t>
      </w:r>
      <w:r>
        <w:rPr>
          <w:spacing w:val="-3"/>
          <w:sz w:val="18"/>
        </w:rPr>
        <w:t> </w:t>
      </w:r>
      <w:r>
        <w:rPr>
          <w:sz w:val="18"/>
        </w:rPr>
        <w:t>at</w:t>
      </w:r>
      <w:r>
        <w:rPr>
          <w:spacing w:val="-2"/>
          <w:sz w:val="18"/>
        </w:rPr>
        <w:t> </w:t>
      </w:r>
      <w:r>
        <w:rPr>
          <w:sz w:val="18"/>
        </w:rPr>
        <w:t>you practice/service?</w:t>
      </w:r>
    </w:p>
    <w:p>
      <w:pPr>
        <w:pStyle w:val="BodyText"/>
        <w:spacing w:before="7"/>
        <w:rPr>
          <w:sz w:val="16"/>
        </w:rPr>
      </w:pPr>
    </w:p>
    <w:tbl>
      <w:tblPr>
        <w:tblW w:w="0" w:type="auto"/>
        <w:jc w:val="left"/>
        <w:tblInd w:w="75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9974"/>
      </w:tblGrid>
      <w:tr>
        <w:trPr>
          <w:trHeight w:val="491" w:hRule="atLeast"/>
        </w:trPr>
        <w:tc>
          <w:tcPr>
            <w:tcW w:w="9974" w:type="dxa"/>
          </w:tcPr>
          <w:p>
            <w:pPr>
              <w:pStyle w:val="TableParagraph"/>
              <w:spacing w:before="18"/>
              <w:ind w:left="112"/>
              <w:rPr>
                <w:sz w:val="18"/>
              </w:rPr>
            </w:pPr>
            <w:r>
              <w:rPr>
                <w:sz w:val="18"/>
              </w:rPr>
              <w:t>1.</w:t>
            </w:r>
          </w:p>
        </w:tc>
      </w:tr>
      <w:tr>
        <w:trPr>
          <w:trHeight w:val="493" w:hRule="atLeast"/>
        </w:trPr>
        <w:tc>
          <w:tcPr>
            <w:tcW w:w="9974" w:type="dxa"/>
          </w:tcPr>
          <w:p>
            <w:pPr>
              <w:pStyle w:val="TableParagraph"/>
              <w:spacing w:before="20"/>
              <w:ind w:left="112"/>
              <w:rPr>
                <w:sz w:val="18"/>
              </w:rPr>
            </w:pPr>
            <w:r>
              <w:rPr>
                <w:sz w:val="18"/>
              </w:rPr>
              <w:t>2.</w:t>
            </w:r>
          </w:p>
        </w:tc>
      </w:tr>
      <w:tr>
        <w:trPr>
          <w:trHeight w:val="484" w:hRule="atLeast"/>
        </w:trPr>
        <w:tc>
          <w:tcPr>
            <w:tcW w:w="9974" w:type="dxa"/>
          </w:tcPr>
          <w:p>
            <w:pPr>
              <w:pStyle w:val="TableParagraph"/>
              <w:spacing w:before="20"/>
              <w:ind w:left="112"/>
              <w:rPr>
                <w:sz w:val="18"/>
              </w:rPr>
            </w:pPr>
            <w:r>
              <w:rPr>
                <w:sz w:val="18"/>
              </w:rPr>
              <w:t>3.</w:t>
            </w:r>
          </w:p>
        </w:tc>
      </w:tr>
    </w:tbl>
    <w:p>
      <w:pPr>
        <w:pStyle w:val="ListParagraph"/>
        <w:numPr>
          <w:ilvl w:val="0"/>
          <w:numId w:val="71"/>
        </w:numPr>
        <w:tabs>
          <w:tab w:pos="500" w:val="left" w:leader="none"/>
        </w:tabs>
        <w:spacing w:line="240" w:lineRule="auto" w:before="197" w:after="0"/>
        <w:ind w:left="500" w:right="1337" w:hanging="360"/>
        <w:jc w:val="left"/>
        <w:rPr>
          <w:sz w:val="18"/>
        </w:rPr>
      </w:pPr>
      <w:r>
        <w:rPr>
          <w:sz w:val="18"/>
        </w:rPr>
        <w:t>What have been the (up to) top three factors that have prevented or limited improvements in the level of</w:t>
      </w:r>
      <w:r>
        <w:rPr>
          <w:spacing w:val="-47"/>
          <w:sz w:val="18"/>
        </w:rPr>
        <w:t> </w:t>
      </w:r>
      <w:r>
        <w:rPr>
          <w:sz w:val="18"/>
        </w:rPr>
        <w:t>engagement/</w:t>
      </w:r>
      <w:r>
        <w:rPr>
          <w:spacing w:val="-1"/>
          <w:sz w:val="18"/>
        </w:rPr>
        <w:t> </w:t>
      </w:r>
      <w:r>
        <w:rPr>
          <w:sz w:val="18"/>
        </w:rPr>
        <w:t>activation</w:t>
      </w:r>
      <w:r>
        <w:rPr>
          <w:spacing w:val="3"/>
          <w:sz w:val="18"/>
        </w:rPr>
        <w:t> </w:t>
      </w:r>
      <w:r>
        <w:rPr>
          <w:sz w:val="18"/>
        </w:rPr>
        <w:t>for</w:t>
      </w:r>
      <w:r>
        <w:rPr>
          <w:spacing w:val="-3"/>
          <w:sz w:val="18"/>
        </w:rPr>
        <w:t> </w:t>
      </w:r>
      <w:r>
        <w:rPr>
          <w:sz w:val="18"/>
        </w:rPr>
        <w:t>HCH</w:t>
      </w:r>
      <w:r>
        <w:rPr>
          <w:spacing w:val="-1"/>
          <w:sz w:val="18"/>
        </w:rPr>
        <w:t> </w:t>
      </w:r>
      <w:r>
        <w:rPr>
          <w:sz w:val="18"/>
        </w:rPr>
        <w:t>patients</w:t>
      </w:r>
      <w:r>
        <w:rPr>
          <w:spacing w:val="-2"/>
          <w:sz w:val="18"/>
        </w:rPr>
        <w:t> </w:t>
      </w:r>
      <w:r>
        <w:rPr>
          <w:sz w:val="18"/>
        </w:rPr>
        <w:t>at</w:t>
      </w:r>
      <w:r>
        <w:rPr>
          <w:spacing w:val="-2"/>
          <w:sz w:val="18"/>
        </w:rPr>
        <w:t> </w:t>
      </w:r>
      <w:r>
        <w:rPr>
          <w:sz w:val="18"/>
        </w:rPr>
        <w:t>your practice/service?</w:t>
      </w:r>
    </w:p>
    <w:p>
      <w:pPr>
        <w:pStyle w:val="BodyText"/>
        <w:spacing w:before="9"/>
        <w:rPr>
          <w:sz w:val="16"/>
        </w:rPr>
      </w:pPr>
    </w:p>
    <w:tbl>
      <w:tblPr>
        <w:tblW w:w="0" w:type="auto"/>
        <w:jc w:val="left"/>
        <w:tblInd w:w="75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9974"/>
      </w:tblGrid>
      <w:tr>
        <w:trPr>
          <w:trHeight w:val="491" w:hRule="atLeast"/>
        </w:trPr>
        <w:tc>
          <w:tcPr>
            <w:tcW w:w="9974" w:type="dxa"/>
          </w:tcPr>
          <w:p>
            <w:pPr>
              <w:pStyle w:val="TableParagraph"/>
              <w:spacing w:before="18"/>
              <w:ind w:left="112"/>
              <w:rPr>
                <w:sz w:val="18"/>
              </w:rPr>
            </w:pPr>
            <w:r>
              <w:rPr>
                <w:sz w:val="18"/>
              </w:rPr>
              <w:t>1.</w:t>
            </w:r>
          </w:p>
        </w:tc>
      </w:tr>
      <w:tr>
        <w:trPr>
          <w:trHeight w:val="494" w:hRule="atLeast"/>
        </w:trPr>
        <w:tc>
          <w:tcPr>
            <w:tcW w:w="9974" w:type="dxa"/>
          </w:tcPr>
          <w:p>
            <w:pPr>
              <w:pStyle w:val="TableParagraph"/>
              <w:spacing w:before="20"/>
              <w:ind w:left="112"/>
              <w:rPr>
                <w:sz w:val="18"/>
              </w:rPr>
            </w:pPr>
            <w:r>
              <w:rPr>
                <w:sz w:val="18"/>
              </w:rPr>
              <w:t>2.</w:t>
            </w:r>
          </w:p>
        </w:tc>
      </w:tr>
      <w:tr>
        <w:trPr>
          <w:trHeight w:val="481" w:hRule="atLeast"/>
        </w:trPr>
        <w:tc>
          <w:tcPr>
            <w:tcW w:w="9974" w:type="dxa"/>
          </w:tcPr>
          <w:p>
            <w:pPr>
              <w:pStyle w:val="TableParagraph"/>
              <w:spacing w:before="20"/>
              <w:ind w:left="112"/>
              <w:rPr>
                <w:sz w:val="18"/>
              </w:rPr>
            </w:pPr>
            <w:r>
              <w:rPr>
                <w:sz w:val="18"/>
              </w:rPr>
              <w:t>3.</w:t>
            </w:r>
          </w:p>
        </w:tc>
      </w:tr>
    </w:tbl>
    <w:p>
      <w:pPr>
        <w:spacing w:after="0"/>
        <w:rPr>
          <w:sz w:val="18"/>
        </w:rPr>
        <w:sectPr>
          <w:pgSz w:w="11910" w:h="16840"/>
          <w:pgMar w:header="0" w:footer="906" w:top="860" w:bottom="1140" w:left="580" w:right="280"/>
        </w:sectPr>
      </w:pPr>
    </w:p>
    <w:p>
      <w:pPr>
        <w:pStyle w:val="ListParagraph"/>
        <w:numPr>
          <w:ilvl w:val="0"/>
          <w:numId w:val="76"/>
        </w:numPr>
        <w:tabs>
          <w:tab w:pos="384" w:val="left" w:leader="none"/>
        </w:tabs>
        <w:spacing w:line="240" w:lineRule="auto" w:before="87" w:after="0"/>
        <w:ind w:left="383" w:right="194" w:hanging="284"/>
        <w:jc w:val="left"/>
        <w:rPr>
          <w:sz w:val="18"/>
        </w:rPr>
      </w:pPr>
      <w:r>
        <w:rPr>
          <w:sz w:val="18"/>
        </w:rPr>
        <w:t>The following is a list of initiatives that practices/ services have implemented as part of HCH. In the HCH survey conducted in late 2018, your practice identified whether these</w:t>
      </w:r>
      <w:r>
        <w:rPr>
          <w:spacing w:val="-47"/>
          <w:sz w:val="18"/>
        </w:rPr>
        <w:t> </w:t>
      </w:r>
      <w:r>
        <w:rPr>
          <w:sz w:val="18"/>
        </w:rPr>
        <w:t>were features of your practice/ service that were in place before you started participating in HCH, and if not, whether this is a change you are planning to make during the</w:t>
      </w:r>
      <w:r>
        <w:rPr>
          <w:spacing w:val="1"/>
          <w:sz w:val="18"/>
        </w:rPr>
        <w:t> </w:t>
      </w:r>
      <w:r>
        <w:rPr>
          <w:sz w:val="18"/>
        </w:rPr>
        <w:t>trial?</w:t>
      </w:r>
      <w:r>
        <w:rPr>
          <w:spacing w:val="-1"/>
          <w:sz w:val="18"/>
        </w:rPr>
        <w:t> </w:t>
      </w:r>
      <w:r>
        <w:rPr>
          <w:sz w:val="18"/>
        </w:rPr>
        <w:t>Could</w:t>
      </w:r>
      <w:r>
        <w:rPr>
          <w:spacing w:val="-2"/>
          <w:sz w:val="18"/>
        </w:rPr>
        <w:t> </w:t>
      </w:r>
      <w:r>
        <w:rPr>
          <w:sz w:val="18"/>
        </w:rPr>
        <w:t>you</w:t>
      </w:r>
      <w:r>
        <w:rPr>
          <w:spacing w:val="-3"/>
          <w:sz w:val="18"/>
        </w:rPr>
        <w:t> </w:t>
      </w:r>
      <w:r>
        <w:rPr>
          <w:sz w:val="18"/>
        </w:rPr>
        <w:t>review and</w:t>
      </w:r>
      <w:r>
        <w:rPr>
          <w:spacing w:val="-3"/>
          <w:sz w:val="18"/>
        </w:rPr>
        <w:t> </w:t>
      </w:r>
      <w:r>
        <w:rPr>
          <w:sz w:val="18"/>
        </w:rPr>
        <w:t>update your</w:t>
      </w:r>
      <w:r>
        <w:rPr>
          <w:spacing w:val="-1"/>
          <w:sz w:val="18"/>
        </w:rPr>
        <w:t> </w:t>
      </w:r>
      <w:r>
        <w:rPr>
          <w:sz w:val="18"/>
        </w:rPr>
        <w:t>responses?</w:t>
      </w:r>
      <w:r>
        <w:rPr>
          <w:spacing w:val="-2"/>
          <w:sz w:val="18"/>
        </w:rPr>
        <w:t> </w:t>
      </w:r>
      <w:r>
        <w:rPr>
          <w:sz w:val="18"/>
        </w:rPr>
        <w:t>Could</w:t>
      </w:r>
      <w:r>
        <w:rPr>
          <w:spacing w:val="-1"/>
          <w:sz w:val="18"/>
        </w:rPr>
        <w:t> </w:t>
      </w:r>
      <w:r>
        <w:rPr>
          <w:sz w:val="18"/>
        </w:rPr>
        <w:t>you</w:t>
      </w:r>
      <w:r>
        <w:rPr>
          <w:spacing w:val="-1"/>
          <w:sz w:val="18"/>
        </w:rPr>
        <w:t> </w:t>
      </w:r>
      <w:r>
        <w:rPr>
          <w:sz w:val="18"/>
        </w:rPr>
        <w:t>also</w:t>
      </w:r>
      <w:r>
        <w:rPr>
          <w:spacing w:val="-1"/>
          <w:sz w:val="18"/>
        </w:rPr>
        <w:t> </w:t>
      </w:r>
      <w:r>
        <w:rPr>
          <w:sz w:val="18"/>
        </w:rPr>
        <w:t>assess</w:t>
      </w:r>
      <w:r>
        <w:rPr>
          <w:spacing w:val="-2"/>
          <w:sz w:val="18"/>
        </w:rPr>
        <w:t> </w:t>
      </w:r>
      <w:r>
        <w:rPr>
          <w:sz w:val="18"/>
        </w:rPr>
        <w:t>your</w:t>
      </w:r>
      <w:r>
        <w:rPr>
          <w:spacing w:val="2"/>
          <w:sz w:val="18"/>
        </w:rPr>
        <w:t> </w:t>
      </w:r>
      <w:r>
        <w:rPr>
          <w:sz w:val="18"/>
        </w:rPr>
        <w:t>progress</w:t>
      </w:r>
      <w:r>
        <w:rPr>
          <w:spacing w:val="-2"/>
          <w:sz w:val="18"/>
        </w:rPr>
        <w:t> </w:t>
      </w:r>
      <w:r>
        <w:rPr>
          <w:sz w:val="18"/>
        </w:rPr>
        <w:t>towards</w:t>
      </w:r>
      <w:r>
        <w:rPr>
          <w:spacing w:val="-2"/>
          <w:sz w:val="18"/>
        </w:rPr>
        <w:t> </w:t>
      </w:r>
      <w:r>
        <w:rPr>
          <w:sz w:val="18"/>
        </w:rPr>
        <w:t>completing</w:t>
      </w:r>
      <w:r>
        <w:rPr>
          <w:spacing w:val="-3"/>
          <w:sz w:val="18"/>
        </w:rPr>
        <w:t> </w:t>
      </w:r>
      <w:r>
        <w:rPr>
          <w:sz w:val="18"/>
        </w:rPr>
        <w:t>these changes</w:t>
      </w:r>
      <w:r>
        <w:rPr>
          <w:spacing w:val="-2"/>
          <w:sz w:val="18"/>
        </w:rPr>
        <w:t> </w:t>
      </w:r>
      <w:r>
        <w:rPr>
          <w:sz w:val="18"/>
        </w:rPr>
        <w:t>for</w:t>
      </w:r>
      <w:r>
        <w:rPr>
          <w:spacing w:val="-3"/>
          <w:sz w:val="18"/>
        </w:rPr>
        <w:t> </w:t>
      </w:r>
      <w:r>
        <w:rPr>
          <w:sz w:val="18"/>
        </w:rPr>
        <w:t>HCH</w:t>
      </w:r>
      <w:r>
        <w:rPr>
          <w:spacing w:val="-2"/>
          <w:sz w:val="18"/>
        </w:rPr>
        <w:t> </w:t>
      </w:r>
      <w:r>
        <w:rPr>
          <w:sz w:val="18"/>
        </w:rPr>
        <w:t>patients.</w:t>
      </w:r>
    </w:p>
    <w:p>
      <w:pPr>
        <w:pStyle w:val="BodyText"/>
        <w:spacing w:before="11"/>
        <w:rPr>
          <w:sz w:val="22"/>
        </w:rPr>
      </w:pPr>
    </w:p>
    <w:tbl>
      <w:tblPr>
        <w:tblW w:w="0" w:type="auto"/>
        <w:jc w:val="left"/>
        <w:tblInd w:w="7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368"/>
        <w:gridCol w:w="740"/>
        <w:gridCol w:w="852"/>
        <w:gridCol w:w="1212"/>
        <w:gridCol w:w="1481"/>
        <w:gridCol w:w="1557"/>
        <w:gridCol w:w="1277"/>
        <w:gridCol w:w="1281"/>
        <w:gridCol w:w="1132"/>
        <w:gridCol w:w="1135"/>
      </w:tblGrid>
      <w:tr>
        <w:trPr>
          <w:trHeight w:val="661" w:hRule="atLeast"/>
        </w:trPr>
        <w:tc>
          <w:tcPr>
            <w:tcW w:w="3368" w:type="dxa"/>
            <w:vMerge w:val="restart"/>
            <w:shd w:val="clear" w:color="auto" w:fill="F1F1F1"/>
          </w:tcPr>
          <w:p>
            <w:pPr>
              <w:pStyle w:val="TableParagraph"/>
              <w:rPr>
                <w:sz w:val="22"/>
              </w:rPr>
            </w:pPr>
          </w:p>
          <w:p>
            <w:pPr>
              <w:pStyle w:val="TableParagraph"/>
              <w:rPr>
                <w:sz w:val="22"/>
              </w:rPr>
            </w:pPr>
          </w:p>
          <w:p>
            <w:pPr>
              <w:pStyle w:val="TableParagraph"/>
              <w:spacing w:before="157"/>
              <w:ind w:left="107"/>
              <w:rPr>
                <w:sz w:val="18"/>
              </w:rPr>
            </w:pPr>
            <w:r>
              <w:rPr>
                <w:sz w:val="18"/>
              </w:rPr>
              <w:t>Initiative</w:t>
            </w:r>
          </w:p>
        </w:tc>
        <w:tc>
          <w:tcPr>
            <w:tcW w:w="1592" w:type="dxa"/>
            <w:gridSpan w:val="2"/>
            <w:shd w:val="clear" w:color="auto" w:fill="F1F1F1"/>
          </w:tcPr>
          <w:p>
            <w:pPr>
              <w:pStyle w:val="TableParagraph"/>
              <w:ind w:left="203" w:right="123" w:hanging="56"/>
              <w:rPr>
                <w:sz w:val="18"/>
              </w:rPr>
            </w:pPr>
            <w:r>
              <w:rPr>
                <w:sz w:val="18"/>
              </w:rPr>
              <w:t>22.1 Feature of</w:t>
            </w:r>
            <w:r>
              <w:rPr>
                <w:spacing w:val="-47"/>
                <w:sz w:val="18"/>
              </w:rPr>
              <w:t> </w:t>
            </w:r>
            <w:r>
              <w:rPr>
                <w:sz w:val="18"/>
              </w:rPr>
              <w:t>practice</w:t>
            </w:r>
            <w:r>
              <w:rPr>
                <w:spacing w:val="-4"/>
                <w:sz w:val="18"/>
              </w:rPr>
              <w:t> </w:t>
            </w:r>
            <w:r>
              <w:rPr>
                <w:sz w:val="18"/>
              </w:rPr>
              <w:t>prior</w:t>
            </w:r>
          </w:p>
          <w:p>
            <w:pPr>
              <w:pStyle w:val="TableParagraph"/>
              <w:spacing w:line="202" w:lineRule="exact"/>
              <w:ind w:left="484"/>
              <w:rPr>
                <w:sz w:val="18"/>
              </w:rPr>
            </w:pPr>
            <w:r>
              <w:rPr>
                <w:sz w:val="18"/>
              </w:rPr>
              <w:t>to</w:t>
            </w:r>
            <w:r>
              <w:rPr>
                <w:spacing w:val="-3"/>
                <w:sz w:val="18"/>
              </w:rPr>
              <w:t> </w:t>
            </w:r>
            <w:r>
              <w:rPr>
                <w:sz w:val="18"/>
              </w:rPr>
              <w:t>HCH</w:t>
            </w:r>
          </w:p>
        </w:tc>
        <w:tc>
          <w:tcPr>
            <w:tcW w:w="4250" w:type="dxa"/>
            <w:gridSpan w:val="3"/>
            <w:shd w:val="clear" w:color="auto" w:fill="F1F1F1"/>
          </w:tcPr>
          <w:p>
            <w:pPr>
              <w:pStyle w:val="TableParagraph"/>
              <w:ind w:left="1823" w:hanging="1688"/>
              <w:rPr>
                <w:sz w:val="18"/>
              </w:rPr>
            </w:pPr>
            <w:r>
              <w:rPr>
                <w:sz w:val="18"/>
              </w:rPr>
              <w:t>22.2 Will</w:t>
            </w:r>
            <w:r>
              <w:rPr>
                <w:spacing w:val="-2"/>
                <w:sz w:val="18"/>
              </w:rPr>
              <w:t> </w:t>
            </w:r>
            <w:r>
              <w:rPr>
                <w:sz w:val="18"/>
              </w:rPr>
              <w:t>this</w:t>
            </w:r>
            <w:r>
              <w:rPr>
                <w:spacing w:val="-2"/>
                <w:sz w:val="18"/>
              </w:rPr>
              <w:t> </w:t>
            </w:r>
            <w:r>
              <w:rPr>
                <w:sz w:val="18"/>
              </w:rPr>
              <w:t>be</w:t>
            </w:r>
            <w:r>
              <w:rPr>
                <w:spacing w:val="-3"/>
                <w:sz w:val="18"/>
              </w:rPr>
              <w:t> </w:t>
            </w:r>
            <w:r>
              <w:rPr>
                <w:sz w:val="18"/>
              </w:rPr>
              <w:t>a</w:t>
            </w:r>
            <w:r>
              <w:rPr>
                <w:spacing w:val="-5"/>
                <w:sz w:val="18"/>
              </w:rPr>
              <w:t> </w:t>
            </w:r>
            <w:r>
              <w:rPr>
                <w:sz w:val="18"/>
              </w:rPr>
              <w:t>change</w:t>
            </w:r>
            <w:r>
              <w:rPr>
                <w:spacing w:val="-3"/>
                <w:sz w:val="18"/>
              </w:rPr>
              <w:t> </w:t>
            </w:r>
            <w:r>
              <w:rPr>
                <w:sz w:val="18"/>
              </w:rPr>
              <w:t>you</w:t>
            </w:r>
            <w:r>
              <w:rPr>
                <w:spacing w:val="-2"/>
                <w:sz w:val="18"/>
              </w:rPr>
              <w:t> </w:t>
            </w:r>
            <w:r>
              <w:rPr>
                <w:sz w:val="18"/>
              </w:rPr>
              <w:t>are</w:t>
            </w:r>
            <w:r>
              <w:rPr>
                <w:spacing w:val="-3"/>
                <w:sz w:val="18"/>
              </w:rPr>
              <w:t> </w:t>
            </w:r>
            <w:r>
              <w:rPr>
                <w:sz w:val="18"/>
              </w:rPr>
              <w:t>planning</w:t>
            </w:r>
            <w:r>
              <w:rPr>
                <w:spacing w:val="-4"/>
                <w:sz w:val="18"/>
              </w:rPr>
              <w:t> </w:t>
            </w:r>
            <w:r>
              <w:rPr>
                <w:sz w:val="18"/>
              </w:rPr>
              <w:t>to</w:t>
            </w:r>
            <w:r>
              <w:rPr>
                <w:spacing w:val="-47"/>
                <w:sz w:val="18"/>
              </w:rPr>
              <w:t> </w:t>
            </w:r>
            <w:r>
              <w:rPr>
                <w:sz w:val="18"/>
              </w:rPr>
              <w:t>make?</w:t>
            </w:r>
          </w:p>
        </w:tc>
        <w:tc>
          <w:tcPr>
            <w:tcW w:w="4825" w:type="dxa"/>
            <w:gridSpan w:val="4"/>
            <w:shd w:val="clear" w:color="auto" w:fill="F1F1F1"/>
          </w:tcPr>
          <w:p>
            <w:pPr>
              <w:pStyle w:val="TableParagraph"/>
              <w:ind w:left="275" w:right="168" w:hanging="87"/>
              <w:rPr>
                <w:sz w:val="18"/>
              </w:rPr>
            </w:pPr>
            <w:r>
              <w:rPr>
                <w:sz w:val="18"/>
              </w:rPr>
              <w:t>22.3 What is your assessment of the extent to which</w:t>
            </w:r>
            <w:r>
              <w:rPr>
                <w:spacing w:val="-47"/>
                <w:sz w:val="18"/>
              </w:rPr>
              <w:t> </w:t>
            </w:r>
            <w:r>
              <w:rPr>
                <w:sz w:val="18"/>
              </w:rPr>
              <w:t>this</w:t>
            </w:r>
            <w:r>
              <w:rPr>
                <w:spacing w:val="-3"/>
                <w:sz w:val="18"/>
              </w:rPr>
              <w:t> </w:t>
            </w:r>
            <w:r>
              <w:rPr>
                <w:sz w:val="18"/>
              </w:rPr>
              <w:t>change</w:t>
            </w:r>
            <w:r>
              <w:rPr>
                <w:spacing w:val="-2"/>
                <w:sz w:val="18"/>
              </w:rPr>
              <w:t> </w:t>
            </w:r>
            <w:r>
              <w:rPr>
                <w:sz w:val="18"/>
              </w:rPr>
              <w:t>has</w:t>
            </w:r>
            <w:r>
              <w:rPr>
                <w:spacing w:val="-3"/>
                <w:sz w:val="18"/>
              </w:rPr>
              <w:t> </w:t>
            </w:r>
            <w:r>
              <w:rPr>
                <w:sz w:val="18"/>
              </w:rPr>
              <w:t>been</w:t>
            </w:r>
            <w:r>
              <w:rPr>
                <w:spacing w:val="-6"/>
                <w:sz w:val="18"/>
              </w:rPr>
              <w:t> </w:t>
            </w:r>
            <w:r>
              <w:rPr>
                <w:sz w:val="18"/>
              </w:rPr>
              <w:t>implemented</w:t>
            </w:r>
            <w:r>
              <w:rPr>
                <w:spacing w:val="-1"/>
                <w:sz w:val="18"/>
              </w:rPr>
              <w:t> </w:t>
            </w:r>
            <w:r>
              <w:rPr>
                <w:sz w:val="18"/>
              </w:rPr>
              <w:t>for</w:t>
            </w:r>
            <w:r>
              <w:rPr>
                <w:spacing w:val="-2"/>
                <w:sz w:val="18"/>
              </w:rPr>
              <w:t> </w:t>
            </w:r>
            <w:r>
              <w:rPr>
                <w:sz w:val="18"/>
              </w:rPr>
              <w:t>your</w:t>
            </w:r>
            <w:r>
              <w:rPr>
                <w:spacing w:val="-2"/>
                <w:sz w:val="18"/>
              </w:rPr>
              <w:t> </w:t>
            </w:r>
            <w:r>
              <w:rPr>
                <w:sz w:val="18"/>
              </w:rPr>
              <w:t>HCH</w:t>
            </w:r>
          </w:p>
          <w:p>
            <w:pPr>
              <w:pStyle w:val="TableParagraph"/>
              <w:spacing w:line="202" w:lineRule="exact"/>
              <w:ind w:left="1056"/>
              <w:rPr>
                <w:sz w:val="18"/>
              </w:rPr>
            </w:pPr>
            <w:r>
              <w:rPr>
                <w:sz w:val="18"/>
              </w:rPr>
              <w:t>patients</w:t>
            </w:r>
            <w:r>
              <w:rPr>
                <w:spacing w:val="-1"/>
                <w:sz w:val="18"/>
              </w:rPr>
              <w:t> </w:t>
            </w:r>
            <w:r>
              <w:rPr>
                <w:sz w:val="18"/>
                <w:u w:val="single"/>
              </w:rPr>
              <w:t>as</w:t>
            </w:r>
            <w:r>
              <w:rPr>
                <w:spacing w:val="-2"/>
                <w:sz w:val="18"/>
                <w:u w:val="single"/>
              </w:rPr>
              <w:t> </w:t>
            </w:r>
            <w:r>
              <w:rPr>
                <w:sz w:val="18"/>
                <w:u w:val="single"/>
              </w:rPr>
              <w:t>at</w:t>
            </w:r>
            <w:r>
              <w:rPr>
                <w:spacing w:val="-4"/>
                <w:sz w:val="18"/>
                <w:u w:val="single"/>
              </w:rPr>
              <w:t> </w:t>
            </w:r>
            <w:r>
              <w:rPr>
                <w:sz w:val="18"/>
                <w:u w:val="single"/>
              </w:rPr>
              <w:t>November</w:t>
            </w:r>
            <w:r>
              <w:rPr>
                <w:spacing w:val="-1"/>
                <w:sz w:val="18"/>
                <w:u w:val="single"/>
              </w:rPr>
              <w:t> </w:t>
            </w:r>
            <w:r>
              <w:rPr>
                <w:sz w:val="18"/>
                <w:u w:val="single"/>
              </w:rPr>
              <w:t>2019</w:t>
            </w:r>
            <w:r>
              <w:rPr>
                <w:sz w:val="18"/>
              </w:rPr>
              <w:t>?</w:t>
            </w:r>
          </w:p>
        </w:tc>
      </w:tr>
      <w:tr>
        <w:trPr>
          <w:trHeight w:val="942" w:hRule="atLeast"/>
        </w:trPr>
        <w:tc>
          <w:tcPr>
            <w:tcW w:w="3368" w:type="dxa"/>
            <w:vMerge/>
            <w:tcBorders>
              <w:top w:val="nil"/>
            </w:tcBorders>
            <w:shd w:val="clear" w:color="auto" w:fill="F1F1F1"/>
          </w:tcPr>
          <w:p>
            <w:pPr>
              <w:rPr>
                <w:sz w:val="2"/>
                <w:szCs w:val="2"/>
              </w:rPr>
            </w:pPr>
          </w:p>
        </w:tc>
        <w:tc>
          <w:tcPr>
            <w:tcW w:w="740" w:type="dxa"/>
            <w:shd w:val="clear" w:color="auto" w:fill="F1F1F1"/>
          </w:tcPr>
          <w:p>
            <w:pPr>
              <w:pStyle w:val="TableParagraph"/>
              <w:spacing w:line="219" w:lineRule="exact"/>
              <w:ind w:left="146"/>
              <w:rPr>
                <w:sz w:val="18"/>
              </w:rPr>
            </w:pPr>
            <w:r>
              <w:rPr>
                <w:sz w:val="18"/>
              </w:rPr>
              <w:t>1</w:t>
            </w:r>
            <w:r>
              <w:rPr>
                <w:spacing w:val="-2"/>
                <w:sz w:val="18"/>
              </w:rPr>
              <w:t> </w:t>
            </w:r>
            <w:r>
              <w:rPr>
                <w:sz w:val="18"/>
              </w:rPr>
              <w:t>Yes</w:t>
            </w:r>
          </w:p>
        </w:tc>
        <w:tc>
          <w:tcPr>
            <w:tcW w:w="852" w:type="dxa"/>
            <w:shd w:val="clear" w:color="auto" w:fill="F1F1F1"/>
          </w:tcPr>
          <w:p>
            <w:pPr>
              <w:pStyle w:val="TableParagraph"/>
              <w:spacing w:line="219" w:lineRule="exact"/>
              <w:ind w:left="224"/>
              <w:rPr>
                <w:sz w:val="18"/>
              </w:rPr>
            </w:pPr>
            <w:r>
              <w:rPr>
                <w:sz w:val="18"/>
              </w:rPr>
              <w:t>2</w:t>
            </w:r>
            <w:r>
              <w:rPr>
                <w:spacing w:val="-1"/>
                <w:sz w:val="18"/>
              </w:rPr>
              <w:t> </w:t>
            </w:r>
            <w:r>
              <w:rPr>
                <w:sz w:val="18"/>
              </w:rPr>
              <w:t>No</w:t>
            </w:r>
          </w:p>
        </w:tc>
        <w:tc>
          <w:tcPr>
            <w:tcW w:w="1212" w:type="dxa"/>
            <w:shd w:val="clear" w:color="auto" w:fill="F1F1F1"/>
          </w:tcPr>
          <w:p>
            <w:pPr>
              <w:pStyle w:val="TableParagraph"/>
              <w:ind w:left="107" w:right="97" w:firstLine="1"/>
              <w:jc w:val="center"/>
              <w:rPr>
                <w:sz w:val="18"/>
              </w:rPr>
            </w:pPr>
            <w:r>
              <w:rPr>
                <w:sz w:val="18"/>
              </w:rPr>
              <w:t>1</w:t>
            </w:r>
            <w:r>
              <w:rPr>
                <w:spacing w:val="1"/>
                <w:sz w:val="18"/>
              </w:rPr>
              <w:t> </w:t>
            </w:r>
            <w:r>
              <w:rPr>
                <w:sz w:val="18"/>
              </w:rPr>
              <w:t>We</w:t>
            </w:r>
            <w:r>
              <w:rPr>
                <w:spacing w:val="-1"/>
                <w:sz w:val="18"/>
              </w:rPr>
              <w:t> </w:t>
            </w:r>
            <w:r>
              <w:rPr>
                <w:sz w:val="18"/>
              </w:rPr>
              <w:t>are</w:t>
            </w:r>
            <w:r>
              <w:rPr>
                <w:spacing w:val="1"/>
                <w:sz w:val="18"/>
              </w:rPr>
              <w:t> </w:t>
            </w:r>
            <w:r>
              <w:rPr>
                <w:spacing w:val="-1"/>
                <w:sz w:val="18"/>
              </w:rPr>
              <w:t>implement-</w:t>
            </w:r>
            <w:r>
              <w:rPr>
                <w:spacing w:val="-47"/>
                <w:sz w:val="18"/>
              </w:rPr>
              <w:t> </w:t>
            </w:r>
            <w:r>
              <w:rPr>
                <w:sz w:val="18"/>
              </w:rPr>
              <w:t>ing</w:t>
            </w:r>
            <w:r>
              <w:rPr>
                <w:spacing w:val="49"/>
                <w:sz w:val="18"/>
              </w:rPr>
              <w:t> </w:t>
            </w:r>
            <w:r>
              <w:rPr>
                <w:sz w:val="18"/>
              </w:rPr>
              <w:t>this</w:t>
            </w:r>
            <w:r>
              <w:rPr>
                <w:spacing w:val="1"/>
                <w:sz w:val="18"/>
              </w:rPr>
              <w:t> </w:t>
            </w:r>
            <w:r>
              <w:rPr>
                <w:sz w:val="18"/>
              </w:rPr>
              <w:t>now</w:t>
            </w:r>
          </w:p>
        </w:tc>
        <w:tc>
          <w:tcPr>
            <w:tcW w:w="1481" w:type="dxa"/>
            <w:shd w:val="clear" w:color="auto" w:fill="F1F1F1"/>
          </w:tcPr>
          <w:p>
            <w:pPr>
              <w:pStyle w:val="TableParagraph"/>
              <w:ind w:left="258" w:right="147" w:hanging="96"/>
              <w:rPr>
                <w:sz w:val="18"/>
              </w:rPr>
            </w:pPr>
            <w:r>
              <w:rPr>
                <w:sz w:val="18"/>
              </w:rPr>
              <w:t>2.</w:t>
            </w:r>
            <w:r>
              <w:rPr>
                <w:spacing w:val="-6"/>
                <w:sz w:val="18"/>
              </w:rPr>
              <w:t> </w:t>
            </w:r>
            <w:r>
              <w:rPr>
                <w:sz w:val="18"/>
              </w:rPr>
              <w:t>We</w:t>
            </w:r>
            <w:r>
              <w:rPr>
                <w:spacing w:val="-6"/>
                <w:sz w:val="18"/>
              </w:rPr>
              <w:t> </w:t>
            </w:r>
            <w:r>
              <w:rPr>
                <w:sz w:val="18"/>
              </w:rPr>
              <w:t>plan</w:t>
            </w:r>
            <w:r>
              <w:rPr>
                <w:spacing w:val="-6"/>
                <w:sz w:val="18"/>
              </w:rPr>
              <w:t> </w:t>
            </w:r>
            <w:r>
              <w:rPr>
                <w:sz w:val="18"/>
              </w:rPr>
              <w:t>to</w:t>
            </w:r>
            <w:r>
              <w:rPr>
                <w:spacing w:val="-47"/>
                <w:sz w:val="18"/>
              </w:rPr>
              <w:t> </w:t>
            </w:r>
            <w:r>
              <w:rPr>
                <w:sz w:val="18"/>
              </w:rPr>
              <w:t>implement</w:t>
            </w:r>
            <w:r>
              <w:rPr>
                <w:spacing w:val="1"/>
                <w:sz w:val="18"/>
              </w:rPr>
              <w:t> </w:t>
            </w:r>
            <w:r>
              <w:rPr>
                <w:sz w:val="18"/>
              </w:rPr>
              <w:t>this</w:t>
            </w:r>
            <w:r>
              <w:rPr>
                <w:spacing w:val="-2"/>
                <w:sz w:val="18"/>
              </w:rPr>
              <w:t> </w:t>
            </w:r>
            <w:r>
              <w:rPr>
                <w:sz w:val="18"/>
              </w:rPr>
              <w:t>by</w:t>
            </w:r>
            <w:r>
              <w:rPr>
                <w:spacing w:val="-2"/>
                <w:sz w:val="18"/>
              </w:rPr>
              <w:t> </w:t>
            </w:r>
            <w:r>
              <w:rPr>
                <w:sz w:val="18"/>
              </w:rPr>
              <w:t>Dec</w:t>
            </w:r>
          </w:p>
          <w:p>
            <w:pPr>
              <w:pStyle w:val="TableParagraph"/>
              <w:ind w:left="541"/>
              <w:rPr>
                <w:sz w:val="18"/>
              </w:rPr>
            </w:pPr>
            <w:r>
              <w:rPr>
                <w:sz w:val="18"/>
              </w:rPr>
              <w:t>2019</w:t>
            </w:r>
          </w:p>
        </w:tc>
        <w:tc>
          <w:tcPr>
            <w:tcW w:w="1557" w:type="dxa"/>
            <w:shd w:val="clear" w:color="auto" w:fill="F1F1F1"/>
          </w:tcPr>
          <w:p>
            <w:pPr>
              <w:pStyle w:val="TableParagraph"/>
              <w:ind w:left="152" w:right="138" w:hanging="3"/>
              <w:jc w:val="both"/>
              <w:rPr>
                <w:sz w:val="18"/>
              </w:rPr>
            </w:pPr>
            <w:r>
              <w:rPr>
                <w:sz w:val="18"/>
              </w:rPr>
              <w:t>3 This won't be</w:t>
            </w:r>
            <w:r>
              <w:rPr>
                <w:spacing w:val="-47"/>
                <w:sz w:val="18"/>
              </w:rPr>
              <w:t> </w:t>
            </w:r>
            <w:r>
              <w:rPr>
                <w:sz w:val="18"/>
              </w:rPr>
              <w:t>a focus for us</w:t>
            </w:r>
            <w:r>
              <w:rPr>
                <w:spacing w:val="1"/>
                <w:sz w:val="18"/>
              </w:rPr>
              <w:t> </w:t>
            </w:r>
            <w:r>
              <w:rPr>
                <w:sz w:val="18"/>
              </w:rPr>
              <w:t>during</w:t>
            </w:r>
            <w:r>
              <w:rPr>
                <w:spacing w:val="-4"/>
                <w:sz w:val="18"/>
              </w:rPr>
              <w:t> </w:t>
            </w:r>
            <w:r>
              <w:rPr>
                <w:sz w:val="18"/>
              </w:rPr>
              <w:t>the</w:t>
            </w:r>
            <w:r>
              <w:rPr>
                <w:spacing w:val="-1"/>
                <w:sz w:val="18"/>
              </w:rPr>
              <w:t> </w:t>
            </w:r>
            <w:r>
              <w:rPr>
                <w:sz w:val="18"/>
              </w:rPr>
              <w:t>trial</w:t>
            </w:r>
          </w:p>
        </w:tc>
        <w:tc>
          <w:tcPr>
            <w:tcW w:w="1277" w:type="dxa"/>
            <w:shd w:val="clear" w:color="auto" w:fill="F1F1F1"/>
          </w:tcPr>
          <w:p>
            <w:pPr>
              <w:pStyle w:val="TableParagraph"/>
              <w:ind w:left="290" w:right="111" w:hanging="156"/>
              <w:rPr>
                <w:sz w:val="18"/>
              </w:rPr>
            </w:pPr>
            <w:r>
              <w:rPr>
                <w:spacing w:val="-1"/>
                <w:sz w:val="18"/>
              </w:rPr>
              <w:t>Completed</w:t>
            </w:r>
            <w:r>
              <w:rPr>
                <w:spacing w:val="-47"/>
                <w:sz w:val="18"/>
              </w:rPr>
              <w:t> </w:t>
            </w:r>
            <w:r>
              <w:rPr>
                <w:sz w:val="18"/>
              </w:rPr>
              <w:t>change</w:t>
            </w:r>
          </w:p>
        </w:tc>
        <w:tc>
          <w:tcPr>
            <w:tcW w:w="1281" w:type="dxa"/>
            <w:shd w:val="clear" w:color="auto" w:fill="F1F1F1"/>
          </w:tcPr>
          <w:p>
            <w:pPr>
              <w:pStyle w:val="TableParagraph"/>
              <w:ind w:left="276" w:right="248" w:firstLine="108"/>
              <w:rPr>
                <w:sz w:val="18"/>
              </w:rPr>
            </w:pPr>
            <w:r>
              <w:rPr>
                <w:sz w:val="18"/>
              </w:rPr>
              <w:t>Good</w:t>
            </w:r>
            <w:r>
              <w:rPr>
                <w:spacing w:val="1"/>
                <w:sz w:val="18"/>
              </w:rPr>
              <w:t> </w:t>
            </w:r>
            <w:r>
              <w:rPr>
                <w:sz w:val="18"/>
              </w:rPr>
              <w:t>progress</w:t>
            </w:r>
          </w:p>
        </w:tc>
        <w:tc>
          <w:tcPr>
            <w:tcW w:w="1132" w:type="dxa"/>
            <w:shd w:val="clear" w:color="auto" w:fill="F1F1F1"/>
          </w:tcPr>
          <w:p>
            <w:pPr>
              <w:pStyle w:val="TableParagraph"/>
              <w:ind w:left="202" w:right="173" w:firstLine="50"/>
              <w:rPr>
                <w:sz w:val="18"/>
              </w:rPr>
            </w:pPr>
            <w:r>
              <w:rPr>
                <w:sz w:val="18"/>
              </w:rPr>
              <w:t>Limited</w:t>
            </w:r>
            <w:r>
              <w:rPr>
                <w:spacing w:val="1"/>
                <w:sz w:val="18"/>
              </w:rPr>
              <w:t> </w:t>
            </w:r>
            <w:r>
              <w:rPr>
                <w:sz w:val="18"/>
              </w:rPr>
              <w:t>progress</w:t>
            </w:r>
          </w:p>
        </w:tc>
        <w:tc>
          <w:tcPr>
            <w:tcW w:w="1135" w:type="dxa"/>
            <w:shd w:val="clear" w:color="auto" w:fill="F1F1F1"/>
          </w:tcPr>
          <w:p>
            <w:pPr>
              <w:pStyle w:val="TableParagraph"/>
              <w:ind w:left="203" w:right="175" w:firstLine="240"/>
              <w:rPr>
                <w:sz w:val="18"/>
              </w:rPr>
            </w:pPr>
            <w:r>
              <w:rPr>
                <w:sz w:val="18"/>
              </w:rPr>
              <w:t>No</w:t>
            </w:r>
            <w:r>
              <w:rPr>
                <w:spacing w:val="1"/>
                <w:sz w:val="18"/>
              </w:rPr>
              <w:t> </w:t>
            </w:r>
            <w:r>
              <w:rPr>
                <w:sz w:val="18"/>
              </w:rPr>
              <w:t>progress</w:t>
            </w:r>
          </w:p>
        </w:tc>
      </w:tr>
      <w:tr>
        <w:trPr>
          <w:trHeight w:val="662" w:hRule="atLeast"/>
        </w:trPr>
        <w:tc>
          <w:tcPr>
            <w:tcW w:w="3368" w:type="dxa"/>
          </w:tcPr>
          <w:p>
            <w:pPr>
              <w:pStyle w:val="TableParagraph"/>
              <w:spacing w:line="219" w:lineRule="exact"/>
              <w:ind w:left="107"/>
              <w:rPr>
                <w:sz w:val="18"/>
              </w:rPr>
            </w:pPr>
            <w:r>
              <w:rPr>
                <w:sz w:val="18"/>
              </w:rPr>
              <w:t>A.</w:t>
            </w:r>
            <w:r>
              <w:rPr>
                <w:spacing w:val="-3"/>
                <w:sz w:val="18"/>
              </w:rPr>
              <w:t> </w:t>
            </w:r>
            <w:r>
              <w:rPr>
                <w:sz w:val="18"/>
              </w:rPr>
              <w:t>Improving</w:t>
            </w:r>
            <w:r>
              <w:rPr>
                <w:spacing w:val="-5"/>
                <w:sz w:val="18"/>
              </w:rPr>
              <w:t> </w:t>
            </w:r>
            <w:r>
              <w:rPr>
                <w:sz w:val="18"/>
              </w:rPr>
              <w:t>the</w:t>
            </w:r>
            <w:r>
              <w:rPr>
                <w:spacing w:val="-3"/>
                <w:sz w:val="18"/>
              </w:rPr>
              <w:t> </w:t>
            </w:r>
            <w:r>
              <w:rPr>
                <w:sz w:val="18"/>
              </w:rPr>
              <w:t>completeness</w:t>
            </w:r>
            <w:r>
              <w:rPr>
                <w:spacing w:val="-4"/>
                <w:sz w:val="18"/>
              </w:rPr>
              <w:t> </w:t>
            </w:r>
            <w:r>
              <w:rPr>
                <w:sz w:val="18"/>
              </w:rPr>
              <w:t>and</w:t>
            </w:r>
          </w:p>
          <w:p>
            <w:pPr>
              <w:pStyle w:val="TableParagraph"/>
              <w:spacing w:line="220" w:lineRule="atLeast"/>
              <w:ind w:left="107" w:right="291"/>
              <w:rPr>
                <w:sz w:val="18"/>
              </w:rPr>
            </w:pPr>
            <w:r>
              <w:rPr>
                <w:sz w:val="18"/>
              </w:rPr>
              <w:t>quality</w:t>
            </w:r>
            <w:r>
              <w:rPr>
                <w:spacing w:val="-4"/>
                <w:sz w:val="18"/>
              </w:rPr>
              <w:t> </w:t>
            </w:r>
            <w:r>
              <w:rPr>
                <w:sz w:val="18"/>
              </w:rPr>
              <w:t>of</w:t>
            </w:r>
            <w:r>
              <w:rPr>
                <w:spacing w:val="-2"/>
                <w:sz w:val="18"/>
              </w:rPr>
              <w:t> </w:t>
            </w:r>
            <w:r>
              <w:rPr>
                <w:sz w:val="18"/>
              </w:rPr>
              <w:t>the</w:t>
            </w:r>
            <w:r>
              <w:rPr>
                <w:spacing w:val="-3"/>
                <w:sz w:val="18"/>
              </w:rPr>
              <w:t> </w:t>
            </w:r>
            <w:r>
              <w:rPr>
                <w:sz w:val="18"/>
              </w:rPr>
              <w:t>data</w:t>
            </w:r>
            <w:r>
              <w:rPr>
                <w:spacing w:val="-3"/>
                <w:sz w:val="18"/>
              </w:rPr>
              <w:t> </w:t>
            </w:r>
            <w:r>
              <w:rPr>
                <w:sz w:val="18"/>
              </w:rPr>
              <w:t>in</w:t>
            </w:r>
            <w:r>
              <w:rPr>
                <w:spacing w:val="-2"/>
                <w:sz w:val="18"/>
              </w:rPr>
              <w:t> </w:t>
            </w:r>
            <w:r>
              <w:rPr>
                <w:sz w:val="18"/>
              </w:rPr>
              <w:t>the</w:t>
            </w:r>
            <w:r>
              <w:rPr>
                <w:spacing w:val="-3"/>
                <w:sz w:val="18"/>
              </w:rPr>
              <w:t> </w:t>
            </w:r>
            <w:r>
              <w:rPr>
                <w:sz w:val="18"/>
              </w:rPr>
              <w:t>practice</w:t>
            </w:r>
            <w:r>
              <w:rPr>
                <w:spacing w:val="-46"/>
                <w:sz w:val="18"/>
              </w:rPr>
              <w:t> </w:t>
            </w:r>
            <w:r>
              <w:rPr>
                <w:sz w:val="18"/>
              </w:rPr>
              <w:t>clinical</w:t>
            </w:r>
            <w:r>
              <w:rPr>
                <w:spacing w:val="-2"/>
                <w:sz w:val="18"/>
              </w:rPr>
              <w:t> </w:t>
            </w:r>
            <w:r>
              <w:rPr>
                <w:sz w:val="18"/>
              </w:rPr>
              <w:t>management</w:t>
            </w:r>
            <w:r>
              <w:rPr>
                <w:spacing w:val="-3"/>
                <w:sz w:val="18"/>
              </w:rPr>
              <w:t> </w:t>
            </w:r>
            <w:r>
              <w:rPr>
                <w:sz w:val="18"/>
              </w:rPr>
              <w:t>system</w:t>
            </w:r>
          </w:p>
        </w:tc>
        <w:tc>
          <w:tcPr>
            <w:tcW w:w="740" w:type="dxa"/>
          </w:tcPr>
          <w:p>
            <w:pPr>
              <w:pStyle w:val="TableParagraph"/>
              <w:rPr>
                <w:rFonts w:ascii="Times New Roman"/>
                <w:sz w:val="18"/>
              </w:rPr>
            </w:pPr>
          </w:p>
        </w:tc>
        <w:tc>
          <w:tcPr>
            <w:tcW w:w="852" w:type="dxa"/>
          </w:tcPr>
          <w:p>
            <w:pPr>
              <w:pStyle w:val="TableParagraph"/>
              <w:rPr>
                <w:rFonts w:ascii="Times New Roman"/>
                <w:sz w:val="18"/>
              </w:rPr>
            </w:pPr>
          </w:p>
        </w:tc>
        <w:tc>
          <w:tcPr>
            <w:tcW w:w="1212" w:type="dxa"/>
          </w:tcPr>
          <w:p>
            <w:pPr>
              <w:pStyle w:val="TableParagraph"/>
              <w:rPr>
                <w:rFonts w:ascii="Times New Roman"/>
                <w:sz w:val="18"/>
              </w:rPr>
            </w:pPr>
          </w:p>
        </w:tc>
        <w:tc>
          <w:tcPr>
            <w:tcW w:w="1481" w:type="dxa"/>
          </w:tcPr>
          <w:p>
            <w:pPr>
              <w:pStyle w:val="TableParagraph"/>
              <w:rPr>
                <w:rFonts w:ascii="Times New Roman"/>
                <w:sz w:val="18"/>
              </w:rPr>
            </w:pPr>
          </w:p>
        </w:tc>
        <w:tc>
          <w:tcPr>
            <w:tcW w:w="1557" w:type="dxa"/>
          </w:tcPr>
          <w:p>
            <w:pPr>
              <w:pStyle w:val="TableParagraph"/>
              <w:rPr>
                <w:rFonts w:ascii="Times New Roman"/>
                <w:sz w:val="18"/>
              </w:rPr>
            </w:pPr>
          </w:p>
        </w:tc>
        <w:tc>
          <w:tcPr>
            <w:tcW w:w="1277" w:type="dxa"/>
          </w:tcPr>
          <w:p>
            <w:pPr>
              <w:pStyle w:val="TableParagraph"/>
              <w:rPr>
                <w:rFonts w:ascii="Times New Roman"/>
                <w:sz w:val="18"/>
              </w:rPr>
            </w:pPr>
          </w:p>
        </w:tc>
        <w:tc>
          <w:tcPr>
            <w:tcW w:w="1281" w:type="dxa"/>
          </w:tcPr>
          <w:p>
            <w:pPr>
              <w:pStyle w:val="TableParagraph"/>
              <w:rPr>
                <w:rFonts w:ascii="Times New Roman"/>
                <w:sz w:val="18"/>
              </w:rPr>
            </w:pPr>
          </w:p>
        </w:tc>
        <w:tc>
          <w:tcPr>
            <w:tcW w:w="1132" w:type="dxa"/>
          </w:tcPr>
          <w:p>
            <w:pPr>
              <w:pStyle w:val="TableParagraph"/>
              <w:rPr>
                <w:rFonts w:ascii="Times New Roman"/>
                <w:sz w:val="18"/>
              </w:rPr>
            </w:pPr>
          </w:p>
        </w:tc>
        <w:tc>
          <w:tcPr>
            <w:tcW w:w="1135" w:type="dxa"/>
          </w:tcPr>
          <w:p>
            <w:pPr>
              <w:pStyle w:val="TableParagraph"/>
              <w:rPr>
                <w:rFonts w:ascii="Times New Roman"/>
                <w:sz w:val="18"/>
              </w:rPr>
            </w:pPr>
          </w:p>
        </w:tc>
      </w:tr>
      <w:tr>
        <w:trPr>
          <w:trHeight w:val="882" w:hRule="atLeast"/>
        </w:trPr>
        <w:tc>
          <w:tcPr>
            <w:tcW w:w="3368" w:type="dxa"/>
          </w:tcPr>
          <w:p>
            <w:pPr>
              <w:pStyle w:val="TableParagraph"/>
              <w:spacing w:line="220" w:lineRule="exact"/>
              <w:ind w:left="107" w:right="159"/>
              <w:rPr>
                <w:sz w:val="18"/>
              </w:rPr>
            </w:pPr>
            <w:r>
              <w:rPr>
                <w:sz w:val="18"/>
              </w:rPr>
              <w:t>B. Regular meetings of HCH</w:t>
            </w:r>
            <w:r>
              <w:rPr>
                <w:spacing w:val="1"/>
                <w:sz w:val="18"/>
              </w:rPr>
              <w:t> </w:t>
            </w:r>
            <w:r>
              <w:rPr>
                <w:sz w:val="18"/>
              </w:rPr>
              <w:t>practice team (e.g. GPs, nurse,</w:t>
            </w:r>
            <w:r>
              <w:rPr>
                <w:spacing w:val="1"/>
                <w:sz w:val="18"/>
              </w:rPr>
              <w:t> </w:t>
            </w:r>
            <w:r>
              <w:rPr>
                <w:sz w:val="18"/>
              </w:rPr>
              <w:t>admin</w:t>
            </w:r>
            <w:r>
              <w:rPr>
                <w:spacing w:val="-2"/>
                <w:sz w:val="18"/>
              </w:rPr>
              <w:t> </w:t>
            </w:r>
            <w:r>
              <w:rPr>
                <w:sz w:val="18"/>
              </w:rPr>
              <w:t>staff)</w:t>
            </w:r>
            <w:r>
              <w:rPr>
                <w:spacing w:val="-4"/>
                <w:sz w:val="18"/>
              </w:rPr>
              <w:t> </w:t>
            </w:r>
            <w:r>
              <w:rPr>
                <w:sz w:val="18"/>
              </w:rPr>
              <w:t>to</w:t>
            </w:r>
            <w:r>
              <w:rPr>
                <w:spacing w:val="-3"/>
                <w:sz w:val="18"/>
              </w:rPr>
              <w:t> </w:t>
            </w:r>
            <w:r>
              <w:rPr>
                <w:sz w:val="18"/>
              </w:rPr>
              <w:t>review</w:t>
            </w:r>
            <w:r>
              <w:rPr>
                <w:spacing w:val="-3"/>
                <w:sz w:val="18"/>
              </w:rPr>
              <w:t> </w:t>
            </w:r>
            <w:r>
              <w:rPr>
                <w:sz w:val="18"/>
              </w:rPr>
              <w:t>HCH</w:t>
            </w:r>
            <w:r>
              <w:rPr>
                <w:spacing w:val="-5"/>
                <w:sz w:val="18"/>
              </w:rPr>
              <w:t> </w:t>
            </w:r>
            <w:r>
              <w:rPr>
                <w:sz w:val="18"/>
              </w:rPr>
              <w:t>patients</w:t>
            </w:r>
            <w:r>
              <w:rPr>
                <w:spacing w:val="-47"/>
                <w:sz w:val="18"/>
              </w:rPr>
              <w:t> </w:t>
            </w:r>
            <w:r>
              <w:rPr>
                <w:sz w:val="18"/>
              </w:rPr>
              <w:t>and</w:t>
            </w:r>
            <w:r>
              <w:rPr>
                <w:spacing w:val="-2"/>
                <w:sz w:val="18"/>
              </w:rPr>
              <w:t> </w:t>
            </w:r>
            <w:r>
              <w:rPr>
                <w:sz w:val="18"/>
              </w:rPr>
              <w:t>their</w:t>
            </w:r>
            <w:r>
              <w:rPr>
                <w:spacing w:val="-2"/>
                <w:sz w:val="18"/>
              </w:rPr>
              <w:t> </w:t>
            </w:r>
            <w:r>
              <w:rPr>
                <w:sz w:val="18"/>
              </w:rPr>
              <w:t>care needs</w:t>
            </w:r>
          </w:p>
        </w:tc>
        <w:tc>
          <w:tcPr>
            <w:tcW w:w="740" w:type="dxa"/>
          </w:tcPr>
          <w:p>
            <w:pPr>
              <w:pStyle w:val="TableParagraph"/>
              <w:rPr>
                <w:rFonts w:ascii="Times New Roman"/>
                <w:sz w:val="18"/>
              </w:rPr>
            </w:pPr>
          </w:p>
        </w:tc>
        <w:tc>
          <w:tcPr>
            <w:tcW w:w="852" w:type="dxa"/>
          </w:tcPr>
          <w:p>
            <w:pPr>
              <w:pStyle w:val="TableParagraph"/>
              <w:rPr>
                <w:rFonts w:ascii="Times New Roman"/>
                <w:sz w:val="18"/>
              </w:rPr>
            </w:pPr>
          </w:p>
        </w:tc>
        <w:tc>
          <w:tcPr>
            <w:tcW w:w="1212" w:type="dxa"/>
          </w:tcPr>
          <w:p>
            <w:pPr>
              <w:pStyle w:val="TableParagraph"/>
              <w:rPr>
                <w:rFonts w:ascii="Times New Roman"/>
                <w:sz w:val="18"/>
              </w:rPr>
            </w:pPr>
          </w:p>
        </w:tc>
        <w:tc>
          <w:tcPr>
            <w:tcW w:w="1481" w:type="dxa"/>
          </w:tcPr>
          <w:p>
            <w:pPr>
              <w:pStyle w:val="TableParagraph"/>
              <w:rPr>
                <w:rFonts w:ascii="Times New Roman"/>
                <w:sz w:val="18"/>
              </w:rPr>
            </w:pPr>
          </w:p>
        </w:tc>
        <w:tc>
          <w:tcPr>
            <w:tcW w:w="1557" w:type="dxa"/>
          </w:tcPr>
          <w:p>
            <w:pPr>
              <w:pStyle w:val="TableParagraph"/>
              <w:rPr>
                <w:rFonts w:ascii="Times New Roman"/>
                <w:sz w:val="18"/>
              </w:rPr>
            </w:pPr>
          </w:p>
        </w:tc>
        <w:tc>
          <w:tcPr>
            <w:tcW w:w="1277" w:type="dxa"/>
          </w:tcPr>
          <w:p>
            <w:pPr>
              <w:pStyle w:val="TableParagraph"/>
              <w:rPr>
                <w:rFonts w:ascii="Times New Roman"/>
                <w:sz w:val="18"/>
              </w:rPr>
            </w:pPr>
          </w:p>
        </w:tc>
        <w:tc>
          <w:tcPr>
            <w:tcW w:w="1281" w:type="dxa"/>
          </w:tcPr>
          <w:p>
            <w:pPr>
              <w:pStyle w:val="TableParagraph"/>
              <w:rPr>
                <w:rFonts w:ascii="Times New Roman"/>
                <w:sz w:val="18"/>
              </w:rPr>
            </w:pPr>
          </w:p>
        </w:tc>
        <w:tc>
          <w:tcPr>
            <w:tcW w:w="1132" w:type="dxa"/>
          </w:tcPr>
          <w:p>
            <w:pPr>
              <w:pStyle w:val="TableParagraph"/>
              <w:rPr>
                <w:rFonts w:ascii="Times New Roman"/>
                <w:sz w:val="18"/>
              </w:rPr>
            </w:pPr>
          </w:p>
        </w:tc>
        <w:tc>
          <w:tcPr>
            <w:tcW w:w="1135" w:type="dxa"/>
          </w:tcPr>
          <w:p>
            <w:pPr>
              <w:pStyle w:val="TableParagraph"/>
              <w:rPr>
                <w:rFonts w:ascii="Times New Roman"/>
                <w:sz w:val="18"/>
              </w:rPr>
            </w:pPr>
          </w:p>
        </w:tc>
      </w:tr>
      <w:tr>
        <w:trPr>
          <w:trHeight w:val="1103" w:hRule="atLeast"/>
        </w:trPr>
        <w:tc>
          <w:tcPr>
            <w:tcW w:w="3368" w:type="dxa"/>
          </w:tcPr>
          <w:p>
            <w:pPr>
              <w:pStyle w:val="TableParagraph"/>
              <w:spacing w:line="220" w:lineRule="exact"/>
              <w:ind w:left="107" w:right="116"/>
              <w:rPr>
                <w:sz w:val="18"/>
              </w:rPr>
            </w:pPr>
            <w:r>
              <w:rPr>
                <w:sz w:val="18"/>
              </w:rPr>
              <w:t>C. Reassigning components of care</w:t>
            </w:r>
            <w:r>
              <w:rPr>
                <w:spacing w:val="-47"/>
                <w:sz w:val="18"/>
              </w:rPr>
              <w:t> </w:t>
            </w:r>
            <w:r>
              <w:rPr>
                <w:sz w:val="18"/>
              </w:rPr>
              <w:t>usually undertaken by a GP to a</w:t>
            </w:r>
            <w:r>
              <w:rPr>
                <w:spacing w:val="1"/>
                <w:sz w:val="18"/>
              </w:rPr>
              <w:t> </w:t>
            </w:r>
            <w:r>
              <w:rPr>
                <w:sz w:val="18"/>
              </w:rPr>
              <w:t>nurse (e.g. patients routinely see a</w:t>
            </w:r>
            <w:r>
              <w:rPr>
                <w:spacing w:val="1"/>
                <w:sz w:val="18"/>
              </w:rPr>
              <w:t> </w:t>
            </w:r>
            <w:r>
              <w:rPr>
                <w:sz w:val="18"/>
              </w:rPr>
              <w:t>nurse prior to seeing the GP when</w:t>
            </w:r>
            <w:r>
              <w:rPr>
                <w:spacing w:val="1"/>
                <w:sz w:val="18"/>
              </w:rPr>
              <w:t> </w:t>
            </w:r>
            <w:r>
              <w:rPr>
                <w:sz w:val="18"/>
              </w:rPr>
              <w:t>they</w:t>
            </w:r>
            <w:r>
              <w:rPr>
                <w:spacing w:val="-2"/>
                <w:sz w:val="18"/>
              </w:rPr>
              <w:t> </w:t>
            </w:r>
            <w:r>
              <w:rPr>
                <w:sz w:val="18"/>
              </w:rPr>
              <w:t>attend</w:t>
            </w:r>
            <w:r>
              <w:rPr>
                <w:spacing w:val="-1"/>
                <w:sz w:val="18"/>
              </w:rPr>
              <w:t> </w:t>
            </w:r>
            <w:r>
              <w:rPr>
                <w:sz w:val="18"/>
              </w:rPr>
              <w:t>the</w:t>
            </w:r>
            <w:r>
              <w:rPr>
                <w:spacing w:val="-1"/>
                <w:sz w:val="18"/>
              </w:rPr>
              <w:t> </w:t>
            </w:r>
            <w:r>
              <w:rPr>
                <w:sz w:val="18"/>
              </w:rPr>
              <w:t>practice)</w:t>
            </w:r>
          </w:p>
        </w:tc>
        <w:tc>
          <w:tcPr>
            <w:tcW w:w="740" w:type="dxa"/>
          </w:tcPr>
          <w:p>
            <w:pPr>
              <w:pStyle w:val="TableParagraph"/>
              <w:rPr>
                <w:rFonts w:ascii="Times New Roman"/>
                <w:sz w:val="18"/>
              </w:rPr>
            </w:pPr>
          </w:p>
        </w:tc>
        <w:tc>
          <w:tcPr>
            <w:tcW w:w="852" w:type="dxa"/>
          </w:tcPr>
          <w:p>
            <w:pPr>
              <w:pStyle w:val="TableParagraph"/>
              <w:rPr>
                <w:rFonts w:ascii="Times New Roman"/>
                <w:sz w:val="18"/>
              </w:rPr>
            </w:pPr>
          </w:p>
        </w:tc>
        <w:tc>
          <w:tcPr>
            <w:tcW w:w="1212" w:type="dxa"/>
          </w:tcPr>
          <w:p>
            <w:pPr>
              <w:pStyle w:val="TableParagraph"/>
              <w:rPr>
                <w:rFonts w:ascii="Times New Roman"/>
                <w:sz w:val="18"/>
              </w:rPr>
            </w:pPr>
          </w:p>
        </w:tc>
        <w:tc>
          <w:tcPr>
            <w:tcW w:w="1481" w:type="dxa"/>
          </w:tcPr>
          <w:p>
            <w:pPr>
              <w:pStyle w:val="TableParagraph"/>
              <w:rPr>
                <w:rFonts w:ascii="Times New Roman"/>
                <w:sz w:val="18"/>
              </w:rPr>
            </w:pPr>
          </w:p>
        </w:tc>
        <w:tc>
          <w:tcPr>
            <w:tcW w:w="1557" w:type="dxa"/>
          </w:tcPr>
          <w:p>
            <w:pPr>
              <w:pStyle w:val="TableParagraph"/>
              <w:rPr>
                <w:rFonts w:ascii="Times New Roman"/>
                <w:sz w:val="18"/>
              </w:rPr>
            </w:pPr>
          </w:p>
        </w:tc>
        <w:tc>
          <w:tcPr>
            <w:tcW w:w="1277" w:type="dxa"/>
          </w:tcPr>
          <w:p>
            <w:pPr>
              <w:pStyle w:val="TableParagraph"/>
              <w:rPr>
                <w:rFonts w:ascii="Times New Roman"/>
                <w:sz w:val="18"/>
              </w:rPr>
            </w:pPr>
          </w:p>
        </w:tc>
        <w:tc>
          <w:tcPr>
            <w:tcW w:w="1281" w:type="dxa"/>
          </w:tcPr>
          <w:p>
            <w:pPr>
              <w:pStyle w:val="TableParagraph"/>
              <w:rPr>
                <w:rFonts w:ascii="Times New Roman"/>
                <w:sz w:val="18"/>
              </w:rPr>
            </w:pPr>
          </w:p>
        </w:tc>
        <w:tc>
          <w:tcPr>
            <w:tcW w:w="1132" w:type="dxa"/>
          </w:tcPr>
          <w:p>
            <w:pPr>
              <w:pStyle w:val="TableParagraph"/>
              <w:rPr>
                <w:rFonts w:ascii="Times New Roman"/>
                <w:sz w:val="18"/>
              </w:rPr>
            </w:pPr>
          </w:p>
        </w:tc>
        <w:tc>
          <w:tcPr>
            <w:tcW w:w="1135" w:type="dxa"/>
          </w:tcPr>
          <w:p>
            <w:pPr>
              <w:pStyle w:val="TableParagraph"/>
              <w:rPr>
                <w:rFonts w:ascii="Times New Roman"/>
                <w:sz w:val="18"/>
              </w:rPr>
            </w:pPr>
          </w:p>
        </w:tc>
      </w:tr>
      <w:tr>
        <w:trPr>
          <w:trHeight w:val="883" w:hRule="atLeast"/>
        </w:trPr>
        <w:tc>
          <w:tcPr>
            <w:tcW w:w="3368" w:type="dxa"/>
          </w:tcPr>
          <w:p>
            <w:pPr>
              <w:pStyle w:val="TableParagraph"/>
              <w:spacing w:line="220" w:lineRule="exact"/>
              <w:ind w:left="107" w:right="99"/>
              <w:rPr>
                <w:sz w:val="18"/>
              </w:rPr>
            </w:pPr>
            <w:r>
              <w:rPr>
                <w:sz w:val="18"/>
              </w:rPr>
              <w:t>D. Reassigning components of care</w:t>
            </w:r>
            <w:r>
              <w:rPr>
                <w:spacing w:val="-47"/>
                <w:sz w:val="18"/>
              </w:rPr>
              <w:t> </w:t>
            </w:r>
            <w:r>
              <w:rPr>
                <w:sz w:val="18"/>
              </w:rPr>
              <w:t>usually undertaken by a GP or nurse</w:t>
            </w:r>
            <w:r>
              <w:rPr>
                <w:spacing w:val="-47"/>
                <w:sz w:val="18"/>
              </w:rPr>
              <w:t> </w:t>
            </w:r>
            <w:r>
              <w:rPr>
                <w:sz w:val="18"/>
              </w:rPr>
              <w:t>to a medical assistant (e.g. clinical</w:t>
            </w:r>
            <w:r>
              <w:rPr>
                <w:spacing w:val="1"/>
                <w:sz w:val="18"/>
              </w:rPr>
              <w:t> </w:t>
            </w:r>
            <w:r>
              <w:rPr>
                <w:sz w:val="18"/>
              </w:rPr>
              <w:t>measurements</w:t>
            </w:r>
            <w:r>
              <w:rPr>
                <w:spacing w:val="-4"/>
                <w:sz w:val="18"/>
              </w:rPr>
              <w:t> </w:t>
            </w:r>
            <w:r>
              <w:rPr>
                <w:sz w:val="18"/>
              </w:rPr>
              <w:t>and</w:t>
            </w:r>
            <w:r>
              <w:rPr>
                <w:spacing w:val="-4"/>
                <w:sz w:val="18"/>
              </w:rPr>
              <w:t> </w:t>
            </w:r>
            <w:r>
              <w:rPr>
                <w:sz w:val="18"/>
              </w:rPr>
              <w:t>assessments)</w:t>
            </w:r>
          </w:p>
        </w:tc>
        <w:tc>
          <w:tcPr>
            <w:tcW w:w="740" w:type="dxa"/>
          </w:tcPr>
          <w:p>
            <w:pPr>
              <w:pStyle w:val="TableParagraph"/>
              <w:rPr>
                <w:rFonts w:ascii="Times New Roman"/>
                <w:sz w:val="18"/>
              </w:rPr>
            </w:pPr>
          </w:p>
        </w:tc>
        <w:tc>
          <w:tcPr>
            <w:tcW w:w="852" w:type="dxa"/>
          </w:tcPr>
          <w:p>
            <w:pPr>
              <w:pStyle w:val="TableParagraph"/>
              <w:rPr>
                <w:rFonts w:ascii="Times New Roman"/>
                <w:sz w:val="18"/>
              </w:rPr>
            </w:pPr>
          </w:p>
        </w:tc>
        <w:tc>
          <w:tcPr>
            <w:tcW w:w="1212" w:type="dxa"/>
          </w:tcPr>
          <w:p>
            <w:pPr>
              <w:pStyle w:val="TableParagraph"/>
              <w:rPr>
                <w:rFonts w:ascii="Times New Roman"/>
                <w:sz w:val="18"/>
              </w:rPr>
            </w:pPr>
          </w:p>
        </w:tc>
        <w:tc>
          <w:tcPr>
            <w:tcW w:w="1481" w:type="dxa"/>
          </w:tcPr>
          <w:p>
            <w:pPr>
              <w:pStyle w:val="TableParagraph"/>
              <w:rPr>
                <w:rFonts w:ascii="Times New Roman"/>
                <w:sz w:val="18"/>
              </w:rPr>
            </w:pPr>
          </w:p>
        </w:tc>
        <w:tc>
          <w:tcPr>
            <w:tcW w:w="1557" w:type="dxa"/>
          </w:tcPr>
          <w:p>
            <w:pPr>
              <w:pStyle w:val="TableParagraph"/>
              <w:rPr>
                <w:rFonts w:ascii="Times New Roman"/>
                <w:sz w:val="18"/>
              </w:rPr>
            </w:pPr>
          </w:p>
        </w:tc>
        <w:tc>
          <w:tcPr>
            <w:tcW w:w="1277" w:type="dxa"/>
          </w:tcPr>
          <w:p>
            <w:pPr>
              <w:pStyle w:val="TableParagraph"/>
              <w:rPr>
                <w:rFonts w:ascii="Times New Roman"/>
                <w:sz w:val="18"/>
              </w:rPr>
            </w:pPr>
          </w:p>
        </w:tc>
        <w:tc>
          <w:tcPr>
            <w:tcW w:w="1281" w:type="dxa"/>
          </w:tcPr>
          <w:p>
            <w:pPr>
              <w:pStyle w:val="TableParagraph"/>
              <w:rPr>
                <w:rFonts w:ascii="Times New Roman"/>
                <w:sz w:val="18"/>
              </w:rPr>
            </w:pPr>
          </w:p>
        </w:tc>
        <w:tc>
          <w:tcPr>
            <w:tcW w:w="1132" w:type="dxa"/>
          </w:tcPr>
          <w:p>
            <w:pPr>
              <w:pStyle w:val="TableParagraph"/>
              <w:rPr>
                <w:rFonts w:ascii="Times New Roman"/>
                <w:sz w:val="18"/>
              </w:rPr>
            </w:pPr>
          </w:p>
        </w:tc>
        <w:tc>
          <w:tcPr>
            <w:tcW w:w="1135" w:type="dxa"/>
          </w:tcPr>
          <w:p>
            <w:pPr>
              <w:pStyle w:val="TableParagraph"/>
              <w:rPr>
                <w:rFonts w:ascii="Times New Roman"/>
                <w:sz w:val="18"/>
              </w:rPr>
            </w:pPr>
          </w:p>
        </w:tc>
      </w:tr>
      <w:tr>
        <w:trPr>
          <w:trHeight w:val="882" w:hRule="atLeast"/>
        </w:trPr>
        <w:tc>
          <w:tcPr>
            <w:tcW w:w="3368" w:type="dxa"/>
          </w:tcPr>
          <w:p>
            <w:pPr>
              <w:pStyle w:val="TableParagraph"/>
              <w:spacing w:line="220" w:lineRule="exact"/>
              <w:ind w:left="107" w:right="274"/>
              <w:rPr>
                <w:sz w:val="18"/>
              </w:rPr>
            </w:pPr>
            <w:r>
              <w:rPr>
                <w:sz w:val="18"/>
              </w:rPr>
              <w:t>E. Introducing new roles within the</w:t>
            </w:r>
            <w:r>
              <w:rPr>
                <w:spacing w:val="-47"/>
                <w:sz w:val="18"/>
              </w:rPr>
              <w:t> </w:t>
            </w:r>
            <w:r>
              <w:rPr>
                <w:sz w:val="18"/>
              </w:rPr>
              <w:t>practice (e.g. medical practice</w:t>
            </w:r>
            <w:r>
              <w:rPr>
                <w:spacing w:val="1"/>
                <w:sz w:val="18"/>
              </w:rPr>
              <w:t> </w:t>
            </w:r>
            <w:r>
              <w:rPr>
                <w:sz w:val="18"/>
              </w:rPr>
              <w:t>assistance, care coordinator,</w:t>
            </w:r>
            <w:r>
              <w:rPr>
                <w:spacing w:val="1"/>
                <w:sz w:val="18"/>
              </w:rPr>
              <w:t> </w:t>
            </w:r>
            <w:r>
              <w:rPr>
                <w:sz w:val="18"/>
              </w:rPr>
              <w:t>community</w:t>
            </w:r>
            <w:r>
              <w:rPr>
                <w:spacing w:val="-2"/>
                <w:sz w:val="18"/>
              </w:rPr>
              <w:t> </w:t>
            </w:r>
            <w:r>
              <w:rPr>
                <w:sz w:val="18"/>
              </w:rPr>
              <w:t>care worker)</w:t>
            </w:r>
          </w:p>
        </w:tc>
        <w:tc>
          <w:tcPr>
            <w:tcW w:w="740" w:type="dxa"/>
          </w:tcPr>
          <w:p>
            <w:pPr>
              <w:pStyle w:val="TableParagraph"/>
              <w:rPr>
                <w:rFonts w:ascii="Times New Roman"/>
                <w:sz w:val="18"/>
              </w:rPr>
            </w:pPr>
          </w:p>
        </w:tc>
        <w:tc>
          <w:tcPr>
            <w:tcW w:w="852" w:type="dxa"/>
          </w:tcPr>
          <w:p>
            <w:pPr>
              <w:pStyle w:val="TableParagraph"/>
              <w:rPr>
                <w:rFonts w:ascii="Times New Roman"/>
                <w:sz w:val="18"/>
              </w:rPr>
            </w:pPr>
          </w:p>
        </w:tc>
        <w:tc>
          <w:tcPr>
            <w:tcW w:w="1212" w:type="dxa"/>
          </w:tcPr>
          <w:p>
            <w:pPr>
              <w:pStyle w:val="TableParagraph"/>
              <w:rPr>
                <w:rFonts w:ascii="Times New Roman"/>
                <w:sz w:val="18"/>
              </w:rPr>
            </w:pPr>
          </w:p>
        </w:tc>
        <w:tc>
          <w:tcPr>
            <w:tcW w:w="1481" w:type="dxa"/>
          </w:tcPr>
          <w:p>
            <w:pPr>
              <w:pStyle w:val="TableParagraph"/>
              <w:rPr>
                <w:rFonts w:ascii="Times New Roman"/>
                <w:sz w:val="18"/>
              </w:rPr>
            </w:pPr>
          </w:p>
        </w:tc>
        <w:tc>
          <w:tcPr>
            <w:tcW w:w="1557" w:type="dxa"/>
          </w:tcPr>
          <w:p>
            <w:pPr>
              <w:pStyle w:val="TableParagraph"/>
              <w:rPr>
                <w:rFonts w:ascii="Times New Roman"/>
                <w:sz w:val="18"/>
              </w:rPr>
            </w:pPr>
          </w:p>
        </w:tc>
        <w:tc>
          <w:tcPr>
            <w:tcW w:w="1277" w:type="dxa"/>
          </w:tcPr>
          <w:p>
            <w:pPr>
              <w:pStyle w:val="TableParagraph"/>
              <w:rPr>
                <w:rFonts w:ascii="Times New Roman"/>
                <w:sz w:val="18"/>
              </w:rPr>
            </w:pPr>
          </w:p>
        </w:tc>
        <w:tc>
          <w:tcPr>
            <w:tcW w:w="1281" w:type="dxa"/>
          </w:tcPr>
          <w:p>
            <w:pPr>
              <w:pStyle w:val="TableParagraph"/>
              <w:rPr>
                <w:rFonts w:ascii="Times New Roman"/>
                <w:sz w:val="18"/>
              </w:rPr>
            </w:pPr>
          </w:p>
        </w:tc>
        <w:tc>
          <w:tcPr>
            <w:tcW w:w="1132" w:type="dxa"/>
          </w:tcPr>
          <w:p>
            <w:pPr>
              <w:pStyle w:val="TableParagraph"/>
              <w:rPr>
                <w:rFonts w:ascii="Times New Roman"/>
                <w:sz w:val="18"/>
              </w:rPr>
            </w:pPr>
          </w:p>
        </w:tc>
        <w:tc>
          <w:tcPr>
            <w:tcW w:w="1135" w:type="dxa"/>
          </w:tcPr>
          <w:p>
            <w:pPr>
              <w:pStyle w:val="TableParagraph"/>
              <w:rPr>
                <w:rFonts w:ascii="Times New Roman"/>
                <w:sz w:val="18"/>
              </w:rPr>
            </w:pPr>
          </w:p>
        </w:tc>
      </w:tr>
      <w:tr>
        <w:trPr>
          <w:trHeight w:val="661" w:hRule="atLeast"/>
        </w:trPr>
        <w:tc>
          <w:tcPr>
            <w:tcW w:w="3368" w:type="dxa"/>
          </w:tcPr>
          <w:p>
            <w:pPr>
              <w:pStyle w:val="TableParagraph"/>
              <w:spacing w:line="220" w:lineRule="exact"/>
              <w:ind w:left="107" w:right="149"/>
              <w:rPr>
                <w:sz w:val="18"/>
              </w:rPr>
            </w:pPr>
            <w:r>
              <w:rPr>
                <w:sz w:val="18"/>
              </w:rPr>
              <w:t>F. Improved systems for follow-up</w:t>
            </w:r>
            <w:r>
              <w:rPr>
                <w:spacing w:val="1"/>
                <w:sz w:val="18"/>
              </w:rPr>
              <w:t> </w:t>
            </w:r>
            <w:r>
              <w:rPr>
                <w:sz w:val="18"/>
              </w:rPr>
              <w:t>and</w:t>
            </w:r>
            <w:r>
              <w:rPr>
                <w:spacing w:val="-3"/>
                <w:sz w:val="18"/>
              </w:rPr>
              <w:t> </w:t>
            </w:r>
            <w:r>
              <w:rPr>
                <w:sz w:val="18"/>
              </w:rPr>
              <w:t>re-call</w:t>
            </w:r>
            <w:r>
              <w:rPr>
                <w:spacing w:val="-2"/>
                <w:sz w:val="18"/>
              </w:rPr>
              <w:t> </w:t>
            </w:r>
            <w:r>
              <w:rPr>
                <w:sz w:val="18"/>
              </w:rPr>
              <w:t>of</w:t>
            </w:r>
            <w:r>
              <w:rPr>
                <w:spacing w:val="-2"/>
                <w:sz w:val="18"/>
              </w:rPr>
              <w:t> </w:t>
            </w:r>
            <w:r>
              <w:rPr>
                <w:sz w:val="18"/>
              </w:rPr>
              <w:t>HCH</w:t>
            </w:r>
            <w:r>
              <w:rPr>
                <w:spacing w:val="-2"/>
                <w:sz w:val="18"/>
              </w:rPr>
              <w:t> </w:t>
            </w:r>
            <w:r>
              <w:rPr>
                <w:sz w:val="18"/>
              </w:rPr>
              <w:t>patients</w:t>
            </w:r>
            <w:r>
              <w:rPr>
                <w:spacing w:val="-4"/>
                <w:sz w:val="18"/>
              </w:rPr>
              <w:t> </w:t>
            </w:r>
            <w:r>
              <w:rPr>
                <w:sz w:val="18"/>
              </w:rPr>
              <w:t>(e.g.</w:t>
            </w:r>
            <w:r>
              <w:rPr>
                <w:spacing w:val="-3"/>
                <w:sz w:val="18"/>
              </w:rPr>
              <w:t> </w:t>
            </w:r>
            <w:r>
              <w:rPr>
                <w:sz w:val="18"/>
              </w:rPr>
              <w:t>for</w:t>
            </w:r>
            <w:r>
              <w:rPr>
                <w:spacing w:val="-47"/>
                <w:sz w:val="18"/>
              </w:rPr>
              <w:t> </w:t>
            </w:r>
            <w:r>
              <w:rPr>
                <w:sz w:val="18"/>
              </w:rPr>
              <w:t>review</w:t>
            </w:r>
            <w:r>
              <w:rPr>
                <w:spacing w:val="-3"/>
                <w:sz w:val="18"/>
              </w:rPr>
              <w:t> </w:t>
            </w:r>
            <w:r>
              <w:rPr>
                <w:sz w:val="18"/>
              </w:rPr>
              <w:t>or</w:t>
            </w:r>
            <w:r>
              <w:rPr>
                <w:spacing w:val="-1"/>
                <w:sz w:val="18"/>
              </w:rPr>
              <w:t> </w:t>
            </w:r>
            <w:r>
              <w:rPr>
                <w:sz w:val="18"/>
              </w:rPr>
              <w:t>preventive</w:t>
            </w:r>
            <w:r>
              <w:rPr>
                <w:spacing w:val="-1"/>
                <w:sz w:val="18"/>
              </w:rPr>
              <w:t> </w:t>
            </w:r>
            <w:r>
              <w:rPr>
                <w:sz w:val="18"/>
              </w:rPr>
              <w:t>services)</w:t>
            </w:r>
          </w:p>
        </w:tc>
        <w:tc>
          <w:tcPr>
            <w:tcW w:w="740" w:type="dxa"/>
          </w:tcPr>
          <w:p>
            <w:pPr>
              <w:pStyle w:val="TableParagraph"/>
              <w:rPr>
                <w:rFonts w:ascii="Times New Roman"/>
                <w:sz w:val="18"/>
              </w:rPr>
            </w:pPr>
          </w:p>
        </w:tc>
        <w:tc>
          <w:tcPr>
            <w:tcW w:w="852" w:type="dxa"/>
          </w:tcPr>
          <w:p>
            <w:pPr>
              <w:pStyle w:val="TableParagraph"/>
              <w:rPr>
                <w:rFonts w:ascii="Times New Roman"/>
                <w:sz w:val="18"/>
              </w:rPr>
            </w:pPr>
          </w:p>
        </w:tc>
        <w:tc>
          <w:tcPr>
            <w:tcW w:w="1212" w:type="dxa"/>
          </w:tcPr>
          <w:p>
            <w:pPr>
              <w:pStyle w:val="TableParagraph"/>
              <w:rPr>
                <w:rFonts w:ascii="Times New Roman"/>
                <w:sz w:val="18"/>
              </w:rPr>
            </w:pPr>
          </w:p>
        </w:tc>
        <w:tc>
          <w:tcPr>
            <w:tcW w:w="1481" w:type="dxa"/>
          </w:tcPr>
          <w:p>
            <w:pPr>
              <w:pStyle w:val="TableParagraph"/>
              <w:rPr>
                <w:rFonts w:ascii="Times New Roman"/>
                <w:sz w:val="18"/>
              </w:rPr>
            </w:pPr>
          </w:p>
        </w:tc>
        <w:tc>
          <w:tcPr>
            <w:tcW w:w="1557" w:type="dxa"/>
          </w:tcPr>
          <w:p>
            <w:pPr>
              <w:pStyle w:val="TableParagraph"/>
              <w:rPr>
                <w:rFonts w:ascii="Times New Roman"/>
                <w:sz w:val="18"/>
              </w:rPr>
            </w:pPr>
          </w:p>
        </w:tc>
        <w:tc>
          <w:tcPr>
            <w:tcW w:w="1277" w:type="dxa"/>
          </w:tcPr>
          <w:p>
            <w:pPr>
              <w:pStyle w:val="TableParagraph"/>
              <w:rPr>
                <w:rFonts w:ascii="Times New Roman"/>
                <w:sz w:val="18"/>
              </w:rPr>
            </w:pPr>
          </w:p>
        </w:tc>
        <w:tc>
          <w:tcPr>
            <w:tcW w:w="1281" w:type="dxa"/>
          </w:tcPr>
          <w:p>
            <w:pPr>
              <w:pStyle w:val="TableParagraph"/>
              <w:rPr>
                <w:rFonts w:ascii="Times New Roman"/>
                <w:sz w:val="18"/>
              </w:rPr>
            </w:pPr>
          </w:p>
        </w:tc>
        <w:tc>
          <w:tcPr>
            <w:tcW w:w="1132" w:type="dxa"/>
          </w:tcPr>
          <w:p>
            <w:pPr>
              <w:pStyle w:val="TableParagraph"/>
              <w:rPr>
                <w:rFonts w:ascii="Times New Roman"/>
                <w:sz w:val="18"/>
              </w:rPr>
            </w:pPr>
          </w:p>
        </w:tc>
        <w:tc>
          <w:tcPr>
            <w:tcW w:w="1135" w:type="dxa"/>
          </w:tcPr>
          <w:p>
            <w:pPr>
              <w:pStyle w:val="TableParagraph"/>
              <w:rPr>
                <w:rFonts w:ascii="Times New Roman"/>
                <w:sz w:val="18"/>
              </w:rPr>
            </w:pPr>
          </w:p>
        </w:tc>
      </w:tr>
      <w:tr>
        <w:trPr>
          <w:trHeight w:val="662" w:hRule="atLeast"/>
        </w:trPr>
        <w:tc>
          <w:tcPr>
            <w:tcW w:w="3368" w:type="dxa"/>
          </w:tcPr>
          <w:p>
            <w:pPr>
              <w:pStyle w:val="TableParagraph"/>
              <w:spacing w:line="219" w:lineRule="exact"/>
              <w:ind w:left="107"/>
              <w:rPr>
                <w:sz w:val="18"/>
              </w:rPr>
            </w:pPr>
            <w:r>
              <w:rPr>
                <w:sz w:val="18"/>
              </w:rPr>
              <w:t>G.</w:t>
            </w:r>
            <w:r>
              <w:rPr>
                <w:spacing w:val="-4"/>
                <w:sz w:val="18"/>
              </w:rPr>
              <w:t> </w:t>
            </w:r>
            <w:r>
              <w:rPr>
                <w:sz w:val="18"/>
              </w:rPr>
              <w:t>Proactive</w:t>
            </w:r>
            <w:r>
              <w:rPr>
                <w:spacing w:val="-2"/>
                <w:sz w:val="18"/>
              </w:rPr>
              <w:t> </w:t>
            </w:r>
            <w:r>
              <w:rPr>
                <w:sz w:val="18"/>
              </w:rPr>
              <w:t>contact</w:t>
            </w:r>
            <w:r>
              <w:rPr>
                <w:spacing w:val="-5"/>
                <w:sz w:val="18"/>
              </w:rPr>
              <w:t> </w:t>
            </w:r>
            <w:r>
              <w:rPr>
                <w:sz w:val="18"/>
              </w:rPr>
              <w:t>with</w:t>
            </w:r>
            <w:r>
              <w:rPr>
                <w:spacing w:val="-2"/>
                <w:sz w:val="18"/>
              </w:rPr>
              <w:t> </w:t>
            </w:r>
            <w:r>
              <w:rPr>
                <w:sz w:val="18"/>
              </w:rPr>
              <w:t>patients</w:t>
            </w:r>
          </w:p>
          <w:p>
            <w:pPr>
              <w:pStyle w:val="TableParagraph"/>
              <w:spacing w:line="220" w:lineRule="atLeast"/>
              <w:ind w:left="107" w:right="237"/>
              <w:rPr>
                <w:sz w:val="18"/>
              </w:rPr>
            </w:pPr>
            <w:r>
              <w:rPr>
                <w:sz w:val="18"/>
              </w:rPr>
              <w:t>to check how they are going (e.g.</w:t>
            </w:r>
            <w:r>
              <w:rPr>
                <w:spacing w:val="-48"/>
                <w:sz w:val="18"/>
              </w:rPr>
              <w:t> </w:t>
            </w:r>
            <w:r>
              <w:rPr>
                <w:sz w:val="18"/>
              </w:rPr>
              <w:t>by</w:t>
            </w:r>
            <w:r>
              <w:rPr>
                <w:spacing w:val="-2"/>
                <w:sz w:val="18"/>
              </w:rPr>
              <w:t> </w:t>
            </w:r>
            <w:r>
              <w:rPr>
                <w:sz w:val="18"/>
              </w:rPr>
              <w:t>telephone)</w:t>
            </w:r>
          </w:p>
        </w:tc>
        <w:tc>
          <w:tcPr>
            <w:tcW w:w="740" w:type="dxa"/>
          </w:tcPr>
          <w:p>
            <w:pPr>
              <w:pStyle w:val="TableParagraph"/>
              <w:rPr>
                <w:rFonts w:ascii="Times New Roman"/>
                <w:sz w:val="18"/>
              </w:rPr>
            </w:pPr>
          </w:p>
        </w:tc>
        <w:tc>
          <w:tcPr>
            <w:tcW w:w="852" w:type="dxa"/>
          </w:tcPr>
          <w:p>
            <w:pPr>
              <w:pStyle w:val="TableParagraph"/>
              <w:rPr>
                <w:rFonts w:ascii="Times New Roman"/>
                <w:sz w:val="18"/>
              </w:rPr>
            </w:pPr>
          </w:p>
        </w:tc>
        <w:tc>
          <w:tcPr>
            <w:tcW w:w="1212" w:type="dxa"/>
          </w:tcPr>
          <w:p>
            <w:pPr>
              <w:pStyle w:val="TableParagraph"/>
              <w:rPr>
                <w:rFonts w:ascii="Times New Roman"/>
                <w:sz w:val="18"/>
              </w:rPr>
            </w:pPr>
          </w:p>
        </w:tc>
        <w:tc>
          <w:tcPr>
            <w:tcW w:w="1481" w:type="dxa"/>
          </w:tcPr>
          <w:p>
            <w:pPr>
              <w:pStyle w:val="TableParagraph"/>
              <w:rPr>
                <w:rFonts w:ascii="Times New Roman"/>
                <w:sz w:val="18"/>
              </w:rPr>
            </w:pPr>
          </w:p>
        </w:tc>
        <w:tc>
          <w:tcPr>
            <w:tcW w:w="1557" w:type="dxa"/>
          </w:tcPr>
          <w:p>
            <w:pPr>
              <w:pStyle w:val="TableParagraph"/>
              <w:rPr>
                <w:rFonts w:ascii="Times New Roman"/>
                <w:sz w:val="18"/>
              </w:rPr>
            </w:pPr>
          </w:p>
        </w:tc>
        <w:tc>
          <w:tcPr>
            <w:tcW w:w="1277" w:type="dxa"/>
          </w:tcPr>
          <w:p>
            <w:pPr>
              <w:pStyle w:val="TableParagraph"/>
              <w:rPr>
                <w:rFonts w:ascii="Times New Roman"/>
                <w:sz w:val="18"/>
              </w:rPr>
            </w:pPr>
          </w:p>
        </w:tc>
        <w:tc>
          <w:tcPr>
            <w:tcW w:w="1281" w:type="dxa"/>
          </w:tcPr>
          <w:p>
            <w:pPr>
              <w:pStyle w:val="TableParagraph"/>
              <w:rPr>
                <w:rFonts w:ascii="Times New Roman"/>
                <w:sz w:val="18"/>
              </w:rPr>
            </w:pPr>
          </w:p>
        </w:tc>
        <w:tc>
          <w:tcPr>
            <w:tcW w:w="1132" w:type="dxa"/>
          </w:tcPr>
          <w:p>
            <w:pPr>
              <w:pStyle w:val="TableParagraph"/>
              <w:rPr>
                <w:rFonts w:ascii="Times New Roman"/>
                <w:sz w:val="18"/>
              </w:rPr>
            </w:pPr>
          </w:p>
        </w:tc>
        <w:tc>
          <w:tcPr>
            <w:tcW w:w="1135" w:type="dxa"/>
          </w:tcPr>
          <w:p>
            <w:pPr>
              <w:pStyle w:val="TableParagraph"/>
              <w:rPr>
                <w:rFonts w:ascii="Times New Roman"/>
                <w:sz w:val="18"/>
              </w:rPr>
            </w:pPr>
          </w:p>
        </w:tc>
      </w:tr>
      <w:tr>
        <w:trPr>
          <w:trHeight w:val="882" w:hRule="atLeast"/>
        </w:trPr>
        <w:tc>
          <w:tcPr>
            <w:tcW w:w="3368" w:type="dxa"/>
          </w:tcPr>
          <w:p>
            <w:pPr>
              <w:pStyle w:val="TableParagraph"/>
              <w:spacing w:line="220" w:lineRule="exact"/>
              <w:ind w:left="107" w:right="710"/>
              <w:rPr>
                <w:sz w:val="18"/>
              </w:rPr>
            </w:pPr>
            <w:r>
              <w:rPr>
                <w:sz w:val="18"/>
              </w:rPr>
              <w:t>H. Dedicated clinics for HCH</w:t>
            </w:r>
            <w:r>
              <w:rPr>
                <w:spacing w:val="1"/>
                <w:sz w:val="18"/>
              </w:rPr>
              <w:t> </w:t>
            </w:r>
            <w:r>
              <w:rPr>
                <w:sz w:val="18"/>
              </w:rPr>
              <w:t>patients</w:t>
            </w:r>
            <w:r>
              <w:rPr>
                <w:spacing w:val="-6"/>
                <w:sz w:val="18"/>
              </w:rPr>
              <w:t> </w:t>
            </w:r>
            <w:r>
              <w:rPr>
                <w:sz w:val="18"/>
              </w:rPr>
              <w:t>with</w:t>
            </w:r>
            <w:r>
              <w:rPr>
                <w:spacing w:val="-4"/>
                <w:sz w:val="18"/>
              </w:rPr>
              <w:t> </w:t>
            </w:r>
            <w:r>
              <w:rPr>
                <w:sz w:val="18"/>
              </w:rPr>
              <w:t>specific</w:t>
            </w:r>
            <w:r>
              <w:rPr>
                <w:spacing w:val="-7"/>
                <w:sz w:val="18"/>
              </w:rPr>
              <w:t> </w:t>
            </w:r>
            <w:r>
              <w:rPr>
                <w:sz w:val="18"/>
              </w:rPr>
              <w:t>chronic</w:t>
            </w:r>
            <w:r>
              <w:rPr>
                <w:spacing w:val="-47"/>
                <w:sz w:val="18"/>
              </w:rPr>
              <w:t> </w:t>
            </w:r>
            <w:r>
              <w:rPr>
                <w:sz w:val="18"/>
              </w:rPr>
              <w:t>illnesses (e.g. diabetes,</w:t>
            </w:r>
            <w:r>
              <w:rPr>
                <w:spacing w:val="1"/>
                <w:sz w:val="18"/>
              </w:rPr>
              <w:t> </w:t>
            </w:r>
            <w:r>
              <w:rPr>
                <w:sz w:val="18"/>
              </w:rPr>
              <w:t>osteoarthritis)</w:t>
            </w:r>
          </w:p>
        </w:tc>
        <w:tc>
          <w:tcPr>
            <w:tcW w:w="740" w:type="dxa"/>
          </w:tcPr>
          <w:p>
            <w:pPr>
              <w:pStyle w:val="TableParagraph"/>
              <w:rPr>
                <w:rFonts w:ascii="Times New Roman"/>
                <w:sz w:val="18"/>
              </w:rPr>
            </w:pPr>
          </w:p>
        </w:tc>
        <w:tc>
          <w:tcPr>
            <w:tcW w:w="852" w:type="dxa"/>
          </w:tcPr>
          <w:p>
            <w:pPr>
              <w:pStyle w:val="TableParagraph"/>
              <w:rPr>
                <w:rFonts w:ascii="Times New Roman"/>
                <w:sz w:val="18"/>
              </w:rPr>
            </w:pPr>
          </w:p>
        </w:tc>
        <w:tc>
          <w:tcPr>
            <w:tcW w:w="1212" w:type="dxa"/>
          </w:tcPr>
          <w:p>
            <w:pPr>
              <w:pStyle w:val="TableParagraph"/>
              <w:rPr>
                <w:rFonts w:ascii="Times New Roman"/>
                <w:sz w:val="18"/>
              </w:rPr>
            </w:pPr>
          </w:p>
        </w:tc>
        <w:tc>
          <w:tcPr>
            <w:tcW w:w="1481" w:type="dxa"/>
          </w:tcPr>
          <w:p>
            <w:pPr>
              <w:pStyle w:val="TableParagraph"/>
              <w:rPr>
                <w:rFonts w:ascii="Times New Roman"/>
                <w:sz w:val="18"/>
              </w:rPr>
            </w:pPr>
          </w:p>
        </w:tc>
        <w:tc>
          <w:tcPr>
            <w:tcW w:w="1557" w:type="dxa"/>
          </w:tcPr>
          <w:p>
            <w:pPr>
              <w:pStyle w:val="TableParagraph"/>
              <w:rPr>
                <w:rFonts w:ascii="Times New Roman"/>
                <w:sz w:val="18"/>
              </w:rPr>
            </w:pPr>
          </w:p>
        </w:tc>
        <w:tc>
          <w:tcPr>
            <w:tcW w:w="1277" w:type="dxa"/>
          </w:tcPr>
          <w:p>
            <w:pPr>
              <w:pStyle w:val="TableParagraph"/>
              <w:rPr>
                <w:rFonts w:ascii="Times New Roman"/>
                <w:sz w:val="18"/>
              </w:rPr>
            </w:pPr>
          </w:p>
        </w:tc>
        <w:tc>
          <w:tcPr>
            <w:tcW w:w="1281" w:type="dxa"/>
          </w:tcPr>
          <w:p>
            <w:pPr>
              <w:pStyle w:val="TableParagraph"/>
              <w:rPr>
                <w:rFonts w:ascii="Times New Roman"/>
                <w:sz w:val="18"/>
              </w:rPr>
            </w:pPr>
          </w:p>
        </w:tc>
        <w:tc>
          <w:tcPr>
            <w:tcW w:w="1132" w:type="dxa"/>
          </w:tcPr>
          <w:p>
            <w:pPr>
              <w:pStyle w:val="TableParagraph"/>
              <w:rPr>
                <w:rFonts w:ascii="Times New Roman"/>
                <w:sz w:val="18"/>
              </w:rPr>
            </w:pPr>
          </w:p>
        </w:tc>
        <w:tc>
          <w:tcPr>
            <w:tcW w:w="1135" w:type="dxa"/>
          </w:tcPr>
          <w:p>
            <w:pPr>
              <w:pStyle w:val="TableParagraph"/>
              <w:rPr>
                <w:rFonts w:ascii="Times New Roman"/>
                <w:sz w:val="18"/>
              </w:rPr>
            </w:pPr>
          </w:p>
        </w:tc>
      </w:tr>
      <w:tr>
        <w:trPr>
          <w:trHeight w:val="441" w:hRule="atLeast"/>
        </w:trPr>
        <w:tc>
          <w:tcPr>
            <w:tcW w:w="3368" w:type="dxa"/>
          </w:tcPr>
          <w:p>
            <w:pPr>
              <w:pStyle w:val="TableParagraph"/>
              <w:spacing w:line="220" w:lineRule="exact"/>
              <w:ind w:left="107" w:right="147"/>
              <w:rPr>
                <w:sz w:val="18"/>
              </w:rPr>
            </w:pPr>
            <w:r>
              <w:rPr>
                <w:sz w:val="18"/>
              </w:rPr>
              <w:t>I. Group consultations involving two</w:t>
            </w:r>
            <w:r>
              <w:rPr>
                <w:spacing w:val="-48"/>
                <w:sz w:val="18"/>
              </w:rPr>
              <w:t> </w:t>
            </w:r>
            <w:r>
              <w:rPr>
                <w:sz w:val="18"/>
              </w:rPr>
              <w:t>or</w:t>
            </w:r>
            <w:r>
              <w:rPr>
                <w:spacing w:val="-1"/>
                <w:sz w:val="18"/>
              </w:rPr>
              <w:t> </w:t>
            </w:r>
            <w:r>
              <w:rPr>
                <w:sz w:val="18"/>
              </w:rPr>
              <w:t>more patients</w:t>
            </w:r>
          </w:p>
        </w:tc>
        <w:tc>
          <w:tcPr>
            <w:tcW w:w="740" w:type="dxa"/>
          </w:tcPr>
          <w:p>
            <w:pPr>
              <w:pStyle w:val="TableParagraph"/>
              <w:rPr>
                <w:rFonts w:ascii="Times New Roman"/>
                <w:sz w:val="18"/>
              </w:rPr>
            </w:pPr>
          </w:p>
        </w:tc>
        <w:tc>
          <w:tcPr>
            <w:tcW w:w="852" w:type="dxa"/>
          </w:tcPr>
          <w:p>
            <w:pPr>
              <w:pStyle w:val="TableParagraph"/>
              <w:rPr>
                <w:rFonts w:ascii="Times New Roman"/>
                <w:sz w:val="18"/>
              </w:rPr>
            </w:pPr>
          </w:p>
        </w:tc>
        <w:tc>
          <w:tcPr>
            <w:tcW w:w="1212" w:type="dxa"/>
          </w:tcPr>
          <w:p>
            <w:pPr>
              <w:pStyle w:val="TableParagraph"/>
              <w:rPr>
                <w:rFonts w:ascii="Times New Roman"/>
                <w:sz w:val="18"/>
              </w:rPr>
            </w:pPr>
          </w:p>
        </w:tc>
        <w:tc>
          <w:tcPr>
            <w:tcW w:w="1481" w:type="dxa"/>
          </w:tcPr>
          <w:p>
            <w:pPr>
              <w:pStyle w:val="TableParagraph"/>
              <w:rPr>
                <w:rFonts w:ascii="Times New Roman"/>
                <w:sz w:val="18"/>
              </w:rPr>
            </w:pPr>
          </w:p>
        </w:tc>
        <w:tc>
          <w:tcPr>
            <w:tcW w:w="1557" w:type="dxa"/>
          </w:tcPr>
          <w:p>
            <w:pPr>
              <w:pStyle w:val="TableParagraph"/>
              <w:rPr>
                <w:rFonts w:ascii="Times New Roman"/>
                <w:sz w:val="18"/>
              </w:rPr>
            </w:pPr>
          </w:p>
        </w:tc>
        <w:tc>
          <w:tcPr>
            <w:tcW w:w="1277" w:type="dxa"/>
          </w:tcPr>
          <w:p>
            <w:pPr>
              <w:pStyle w:val="TableParagraph"/>
              <w:rPr>
                <w:rFonts w:ascii="Times New Roman"/>
                <w:sz w:val="18"/>
              </w:rPr>
            </w:pPr>
          </w:p>
        </w:tc>
        <w:tc>
          <w:tcPr>
            <w:tcW w:w="1281" w:type="dxa"/>
          </w:tcPr>
          <w:p>
            <w:pPr>
              <w:pStyle w:val="TableParagraph"/>
              <w:rPr>
                <w:rFonts w:ascii="Times New Roman"/>
                <w:sz w:val="18"/>
              </w:rPr>
            </w:pPr>
          </w:p>
        </w:tc>
        <w:tc>
          <w:tcPr>
            <w:tcW w:w="1132" w:type="dxa"/>
          </w:tcPr>
          <w:p>
            <w:pPr>
              <w:pStyle w:val="TableParagraph"/>
              <w:rPr>
                <w:rFonts w:ascii="Times New Roman"/>
                <w:sz w:val="18"/>
              </w:rPr>
            </w:pPr>
          </w:p>
        </w:tc>
        <w:tc>
          <w:tcPr>
            <w:tcW w:w="1135" w:type="dxa"/>
          </w:tcPr>
          <w:p>
            <w:pPr>
              <w:pStyle w:val="TableParagraph"/>
              <w:rPr>
                <w:rFonts w:ascii="Times New Roman"/>
                <w:sz w:val="18"/>
              </w:rPr>
            </w:pPr>
          </w:p>
        </w:tc>
      </w:tr>
    </w:tbl>
    <w:p>
      <w:pPr>
        <w:spacing w:after="0"/>
        <w:rPr>
          <w:rFonts w:ascii="Times New Roman"/>
          <w:sz w:val="18"/>
        </w:rPr>
        <w:sectPr>
          <w:footerReference w:type="default" r:id="rId44"/>
          <w:pgSz w:w="16840" w:h="11910" w:orient="landscape"/>
          <w:pgMar w:footer="947" w:header="0" w:top="860" w:bottom="1140" w:left="620" w:right="600"/>
        </w:sectPr>
      </w:pPr>
    </w:p>
    <w:tbl>
      <w:tblPr>
        <w:tblW w:w="0" w:type="auto"/>
        <w:jc w:val="left"/>
        <w:tblInd w:w="78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368"/>
        <w:gridCol w:w="740"/>
        <w:gridCol w:w="852"/>
        <w:gridCol w:w="1212"/>
        <w:gridCol w:w="1481"/>
        <w:gridCol w:w="1557"/>
        <w:gridCol w:w="1277"/>
        <w:gridCol w:w="1281"/>
        <w:gridCol w:w="1132"/>
        <w:gridCol w:w="1135"/>
      </w:tblGrid>
      <w:tr>
        <w:trPr>
          <w:trHeight w:val="662" w:hRule="atLeast"/>
        </w:trPr>
        <w:tc>
          <w:tcPr>
            <w:tcW w:w="3368" w:type="dxa"/>
            <w:vMerge w:val="restart"/>
            <w:shd w:val="clear" w:color="auto" w:fill="F1F1F1"/>
          </w:tcPr>
          <w:p>
            <w:pPr>
              <w:pStyle w:val="TableParagraph"/>
              <w:rPr>
                <w:sz w:val="22"/>
              </w:rPr>
            </w:pPr>
          </w:p>
          <w:p>
            <w:pPr>
              <w:pStyle w:val="TableParagraph"/>
              <w:rPr>
                <w:sz w:val="22"/>
              </w:rPr>
            </w:pPr>
          </w:p>
          <w:p>
            <w:pPr>
              <w:pStyle w:val="TableParagraph"/>
              <w:spacing w:before="155"/>
              <w:ind w:left="107"/>
              <w:rPr>
                <w:sz w:val="18"/>
              </w:rPr>
            </w:pPr>
            <w:r>
              <w:rPr>
                <w:sz w:val="18"/>
              </w:rPr>
              <w:t>Initiative</w:t>
            </w:r>
          </w:p>
        </w:tc>
        <w:tc>
          <w:tcPr>
            <w:tcW w:w="1592" w:type="dxa"/>
            <w:gridSpan w:val="2"/>
            <w:shd w:val="clear" w:color="auto" w:fill="F1F1F1"/>
          </w:tcPr>
          <w:p>
            <w:pPr>
              <w:pStyle w:val="TableParagraph"/>
              <w:ind w:left="203" w:right="123" w:hanging="56"/>
              <w:rPr>
                <w:sz w:val="18"/>
              </w:rPr>
            </w:pPr>
            <w:r>
              <w:rPr>
                <w:sz w:val="18"/>
              </w:rPr>
              <w:t>22.1 Feature of</w:t>
            </w:r>
            <w:r>
              <w:rPr>
                <w:spacing w:val="-47"/>
                <w:sz w:val="18"/>
              </w:rPr>
              <w:t> </w:t>
            </w:r>
            <w:r>
              <w:rPr>
                <w:sz w:val="18"/>
              </w:rPr>
              <w:t>practice</w:t>
            </w:r>
            <w:r>
              <w:rPr>
                <w:spacing w:val="-4"/>
                <w:sz w:val="18"/>
              </w:rPr>
              <w:t> </w:t>
            </w:r>
            <w:r>
              <w:rPr>
                <w:sz w:val="18"/>
              </w:rPr>
              <w:t>prior</w:t>
            </w:r>
          </w:p>
          <w:p>
            <w:pPr>
              <w:pStyle w:val="TableParagraph"/>
              <w:spacing w:line="202" w:lineRule="exact"/>
              <w:ind w:left="484"/>
              <w:rPr>
                <w:sz w:val="18"/>
              </w:rPr>
            </w:pPr>
            <w:r>
              <w:rPr>
                <w:sz w:val="18"/>
              </w:rPr>
              <w:t>to</w:t>
            </w:r>
            <w:r>
              <w:rPr>
                <w:spacing w:val="-3"/>
                <w:sz w:val="18"/>
              </w:rPr>
              <w:t> </w:t>
            </w:r>
            <w:r>
              <w:rPr>
                <w:sz w:val="18"/>
              </w:rPr>
              <w:t>HCH</w:t>
            </w:r>
          </w:p>
        </w:tc>
        <w:tc>
          <w:tcPr>
            <w:tcW w:w="4250" w:type="dxa"/>
            <w:gridSpan w:val="3"/>
            <w:shd w:val="clear" w:color="auto" w:fill="F1F1F1"/>
          </w:tcPr>
          <w:p>
            <w:pPr>
              <w:pStyle w:val="TableParagraph"/>
              <w:ind w:left="1823" w:hanging="1688"/>
              <w:rPr>
                <w:sz w:val="18"/>
              </w:rPr>
            </w:pPr>
            <w:r>
              <w:rPr>
                <w:sz w:val="18"/>
              </w:rPr>
              <w:t>22.2 Will</w:t>
            </w:r>
            <w:r>
              <w:rPr>
                <w:spacing w:val="-2"/>
                <w:sz w:val="18"/>
              </w:rPr>
              <w:t> </w:t>
            </w:r>
            <w:r>
              <w:rPr>
                <w:sz w:val="18"/>
              </w:rPr>
              <w:t>this</w:t>
            </w:r>
            <w:r>
              <w:rPr>
                <w:spacing w:val="-2"/>
                <w:sz w:val="18"/>
              </w:rPr>
              <w:t> </w:t>
            </w:r>
            <w:r>
              <w:rPr>
                <w:sz w:val="18"/>
              </w:rPr>
              <w:t>be</w:t>
            </w:r>
            <w:r>
              <w:rPr>
                <w:spacing w:val="-3"/>
                <w:sz w:val="18"/>
              </w:rPr>
              <w:t> </w:t>
            </w:r>
            <w:r>
              <w:rPr>
                <w:sz w:val="18"/>
              </w:rPr>
              <w:t>a</w:t>
            </w:r>
            <w:r>
              <w:rPr>
                <w:spacing w:val="-5"/>
                <w:sz w:val="18"/>
              </w:rPr>
              <w:t> </w:t>
            </w:r>
            <w:r>
              <w:rPr>
                <w:sz w:val="18"/>
              </w:rPr>
              <w:t>change</w:t>
            </w:r>
            <w:r>
              <w:rPr>
                <w:spacing w:val="-3"/>
                <w:sz w:val="18"/>
              </w:rPr>
              <w:t> </w:t>
            </w:r>
            <w:r>
              <w:rPr>
                <w:sz w:val="18"/>
              </w:rPr>
              <w:t>you</w:t>
            </w:r>
            <w:r>
              <w:rPr>
                <w:spacing w:val="-2"/>
                <w:sz w:val="18"/>
              </w:rPr>
              <w:t> </w:t>
            </w:r>
            <w:r>
              <w:rPr>
                <w:sz w:val="18"/>
              </w:rPr>
              <w:t>are</w:t>
            </w:r>
            <w:r>
              <w:rPr>
                <w:spacing w:val="-3"/>
                <w:sz w:val="18"/>
              </w:rPr>
              <w:t> </w:t>
            </w:r>
            <w:r>
              <w:rPr>
                <w:sz w:val="18"/>
              </w:rPr>
              <w:t>planning</w:t>
            </w:r>
            <w:r>
              <w:rPr>
                <w:spacing w:val="-4"/>
                <w:sz w:val="18"/>
              </w:rPr>
              <w:t> </w:t>
            </w:r>
            <w:r>
              <w:rPr>
                <w:sz w:val="18"/>
              </w:rPr>
              <w:t>to</w:t>
            </w:r>
            <w:r>
              <w:rPr>
                <w:spacing w:val="-47"/>
                <w:sz w:val="18"/>
              </w:rPr>
              <w:t> </w:t>
            </w:r>
            <w:r>
              <w:rPr>
                <w:sz w:val="18"/>
              </w:rPr>
              <w:t>make?</w:t>
            </w:r>
          </w:p>
        </w:tc>
        <w:tc>
          <w:tcPr>
            <w:tcW w:w="4825" w:type="dxa"/>
            <w:gridSpan w:val="4"/>
            <w:shd w:val="clear" w:color="auto" w:fill="F1F1F1"/>
          </w:tcPr>
          <w:p>
            <w:pPr>
              <w:pStyle w:val="TableParagraph"/>
              <w:ind w:left="275" w:right="168" w:hanging="87"/>
              <w:rPr>
                <w:sz w:val="18"/>
              </w:rPr>
            </w:pPr>
            <w:r>
              <w:rPr>
                <w:sz w:val="18"/>
              </w:rPr>
              <w:t>22.3 What is your assessment of the extent to which</w:t>
            </w:r>
            <w:r>
              <w:rPr>
                <w:spacing w:val="-47"/>
                <w:sz w:val="18"/>
              </w:rPr>
              <w:t> </w:t>
            </w:r>
            <w:r>
              <w:rPr>
                <w:sz w:val="18"/>
              </w:rPr>
              <w:t>this</w:t>
            </w:r>
            <w:r>
              <w:rPr>
                <w:spacing w:val="-3"/>
                <w:sz w:val="18"/>
              </w:rPr>
              <w:t> </w:t>
            </w:r>
            <w:r>
              <w:rPr>
                <w:sz w:val="18"/>
              </w:rPr>
              <w:t>change</w:t>
            </w:r>
            <w:r>
              <w:rPr>
                <w:spacing w:val="-2"/>
                <w:sz w:val="18"/>
              </w:rPr>
              <w:t> </w:t>
            </w:r>
            <w:r>
              <w:rPr>
                <w:sz w:val="18"/>
              </w:rPr>
              <w:t>has</w:t>
            </w:r>
            <w:r>
              <w:rPr>
                <w:spacing w:val="-3"/>
                <w:sz w:val="18"/>
              </w:rPr>
              <w:t> </w:t>
            </w:r>
            <w:r>
              <w:rPr>
                <w:sz w:val="18"/>
              </w:rPr>
              <w:t>been</w:t>
            </w:r>
            <w:r>
              <w:rPr>
                <w:spacing w:val="-6"/>
                <w:sz w:val="18"/>
              </w:rPr>
              <w:t> </w:t>
            </w:r>
            <w:r>
              <w:rPr>
                <w:sz w:val="18"/>
              </w:rPr>
              <w:t>implemented</w:t>
            </w:r>
            <w:r>
              <w:rPr>
                <w:spacing w:val="-1"/>
                <w:sz w:val="18"/>
              </w:rPr>
              <w:t> </w:t>
            </w:r>
            <w:r>
              <w:rPr>
                <w:sz w:val="18"/>
              </w:rPr>
              <w:t>for</w:t>
            </w:r>
            <w:r>
              <w:rPr>
                <w:spacing w:val="-2"/>
                <w:sz w:val="18"/>
              </w:rPr>
              <w:t> </w:t>
            </w:r>
            <w:r>
              <w:rPr>
                <w:sz w:val="18"/>
              </w:rPr>
              <w:t>your</w:t>
            </w:r>
            <w:r>
              <w:rPr>
                <w:spacing w:val="-2"/>
                <w:sz w:val="18"/>
              </w:rPr>
              <w:t> </w:t>
            </w:r>
            <w:r>
              <w:rPr>
                <w:sz w:val="18"/>
              </w:rPr>
              <w:t>HCH</w:t>
            </w:r>
          </w:p>
          <w:p>
            <w:pPr>
              <w:pStyle w:val="TableParagraph"/>
              <w:spacing w:line="202" w:lineRule="exact"/>
              <w:ind w:left="1056"/>
              <w:rPr>
                <w:sz w:val="18"/>
              </w:rPr>
            </w:pPr>
            <w:r>
              <w:rPr>
                <w:sz w:val="18"/>
              </w:rPr>
              <w:t>patients</w:t>
            </w:r>
            <w:r>
              <w:rPr>
                <w:spacing w:val="-1"/>
                <w:sz w:val="18"/>
              </w:rPr>
              <w:t> </w:t>
            </w:r>
            <w:r>
              <w:rPr>
                <w:sz w:val="18"/>
                <w:u w:val="single"/>
              </w:rPr>
              <w:t>as</w:t>
            </w:r>
            <w:r>
              <w:rPr>
                <w:spacing w:val="-2"/>
                <w:sz w:val="18"/>
                <w:u w:val="single"/>
              </w:rPr>
              <w:t> </w:t>
            </w:r>
            <w:r>
              <w:rPr>
                <w:sz w:val="18"/>
                <w:u w:val="single"/>
              </w:rPr>
              <w:t>at</w:t>
            </w:r>
            <w:r>
              <w:rPr>
                <w:spacing w:val="-4"/>
                <w:sz w:val="18"/>
                <w:u w:val="single"/>
              </w:rPr>
              <w:t> </w:t>
            </w:r>
            <w:r>
              <w:rPr>
                <w:sz w:val="18"/>
                <w:u w:val="single"/>
              </w:rPr>
              <w:t>November</w:t>
            </w:r>
            <w:r>
              <w:rPr>
                <w:spacing w:val="-1"/>
                <w:sz w:val="18"/>
                <w:u w:val="single"/>
              </w:rPr>
              <w:t> </w:t>
            </w:r>
            <w:r>
              <w:rPr>
                <w:sz w:val="18"/>
                <w:u w:val="single"/>
              </w:rPr>
              <w:t>2019</w:t>
            </w:r>
            <w:r>
              <w:rPr>
                <w:sz w:val="18"/>
              </w:rPr>
              <w:t>?</w:t>
            </w:r>
          </w:p>
        </w:tc>
      </w:tr>
      <w:tr>
        <w:trPr>
          <w:trHeight w:val="940" w:hRule="atLeast"/>
        </w:trPr>
        <w:tc>
          <w:tcPr>
            <w:tcW w:w="3368" w:type="dxa"/>
            <w:vMerge/>
            <w:tcBorders>
              <w:top w:val="nil"/>
            </w:tcBorders>
            <w:shd w:val="clear" w:color="auto" w:fill="F1F1F1"/>
          </w:tcPr>
          <w:p>
            <w:pPr>
              <w:rPr>
                <w:sz w:val="2"/>
                <w:szCs w:val="2"/>
              </w:rPr>
            </w:pPr>
          </w:p>
        </w:tc>
        <w:tc>
          <w:tcPr>
            <w:tcW w:w="740" w:type="dxa"/>
            <w:shd w:val="clear" w:color="auto" w:fill="F1F1F1"/>
          </w:tcPr>
          <w:p>
            <w:pPr>
              <w:pStyle w:val="TableParagraph"/>
              <w:spacing w:line="219" w:lineRule="exact"/>
              <w:ind w:left="146"/>
              <w:rPr>
                <w:sz w:val="18"/>
              </w:rPr>
            </w:pPr>
            <w:r>
              <w:rPr>
                <w:sz w:val="18"/>
              </w:rPr>
              <w:t>1</w:t>
            </w:r>
            <w:r>
              <w:rPr>
                <w:spacing w:val="-2"/>
                <w:sz w:val="18"/>
              </w:rPr>
              <w:t> </w:t>
            </w:r>
            <w:r>
              <w:rPr>
                <w:sz w:val="18"/>
              </w:rPr>
              <w:t>Yes</w:t>
            </w:r>
          </w:p>
        </w:tc>
        <w:tc>
          <w:tcPr>
            <w:tcW w:w="852" w:type="dxa"/>
            <w:shd w:val="clear" w:color="auto" w:fill="F1F1F1"/>
          </w:tcPr>
          <w:p>
            <w:pPr>
              <w:pStyle w:val="TableParagraph"/>
              <w:spacing w:line="219" w:lineRule="exact"/>
              <w:ind w:left="224"/>
              <w:rPr>
                <w:sz w:val="18"/>
              </w:rPr>
            </w:pPr>
            <w:r>
              <w:rPr>
                <w:sz w:val="18"/>
              </w:rPr>
              <w:t>2</w:t>
            </w:r>
            <w:r>
              <w:rPr>
                <w:spacing w:val="-1"/>
                <w:sz w:val="18"/>
              </w:rPr>
              <w:t> </w:t>
            </w:r>
            <w:r>
              <w:rPr>
                <w:sz w:val="18"/>
              </w:rPr>
              <w:t>No</w:t>
            </w:r>
          </w:p>
        </w:tc>
        <w:tc>
          <w:tcPr>
            <w:tcW w:w="1212" w:type="dxa"/>
            <w:shd w:val="clear" w:color="auto" w:fill="F1F1F1"/>
          </w:tcPr>
          <w:p>
            <w:pPr>
              <w:pStyle w:val="TableParagraph"/>
              <w:ind w:left="107" w:right="97" w:firstLine="1"/>
              <w:jc w:val="center"/>
              <w:rPr>
                <w:sz w:val="18"/>
              </w:rPr>
            </w:pPr>
            <w:r>
              <w:rPr>
                <w:sz w:val="18"/>
              </w:rPr>
              <w:t>1</w:t>
            </w:r>
            <w:r>
              <w:rPr>
                <w:spacing w:val="1"/>
                <w:sz w:val="18"/>
              </w:rPr>
              <w:t> </w:t>
            </w:r>
            <w:r>
              <w:rPr>
                <w:sz w:val="18"/>
              </w:rPr>
              <w:t>We</w:t>
            </w:r>
            <w:r>
              <w:rPr>
                <w:spacing w:val="-1"/>
                <w:sz w:val="18"/>
              </w:rPr>
              <w:t> </w:t>
            </w:r>
            <w:r>
              <w:rPr>
                <w:sz w:val="18"/>
              </w:rPr>
              <w:t>are</w:t>
            </w:r>
            <w:r>
              <w:rPr>
                <w:spacing w:val="1"/>
                <w:sz w:val="18"/>
              </w:rPr>
              <w:t> </w:t>
            </w:r>
            <w:r>
              <w:rPr>
                <w:spacing w:val="-1"/>
                <w:sz w:val="18"/>
              </w:rPr>
              <w:t>implement-</w:t>
            </w:r>
            <w:r>
              <w:rPr>
                <w:spacing w:val="-47"/>
                <w:sz w:val="18"/>
              </w:rPr>
              <w:t> </w:t>
            </w:r>
            <w:r>
              <w:rPr>
                <w:sz w:val="18"/>
              </w:rPr>
              <w:t>ing</w:t>
            </w:r>
            <w:r>
              <w:rPr>
                <w:spacing w:val="49"/>
                <w:sz w:val="18"/>
              </w:rPr>
              <w:t> </w:t>
            </w:r>
            <w:r>
              <w:rPr>
                <w:sz w:val="18"/>
              </w:rPr>
              <w:t>this</w:t>
            </w:r>
            <w:r>
              <w:rPr>
                <w:spacing w:val="1"/>
                <w:sz w:val="18"/>
              </w:rPr>
              <w:t> </w:t>
            </w:r>
            <w:r>
              <w:rPr>
                <w:sz w:val="18"/>
              </w:rPr>
              <w:t>now</w:t>
            </w:r>
          </w:p>
        </w:tc>
        <w:tc>
          <w:tcPr>
            <w:tcW w:w="1481" w:type="dxa"/>
            <w:shd w:val="clear" w:color="auto" w:fill="F1F1F1"/>
          </w:tcPr>
          <w:p>
            <w:pPr>
              <w:pStyle w:val="TableParagraph"/>
              <w:ind w:left="258" w:right="147" w:hanging="96"/>
              <w:rPr>
                <w:sz w:val="18"/>
              </w:rPr>
            </w:pPr>
            <w:r>
              <w:rPr>
                <w:sz w:val="18"/>
              </w:rPr>
              <w:t>2.</w:t>
            </w:r>
            <w:r>
              <w:rPr>
                <w:spacing w:val="-6"/>
                <w:sz w:val="18"/>
              </w:rPr>
              <w:t> </w:t>
            </w:r>
            <w:r>
              <w:rPr>
                <w:sz w:val="18"/>
              </w:rPr>
              <w:t>We</w:t>
            </w:r>
            <w:r>
              <w:rPr>
                <w:spacing w:val="-6"/>
                <w:sz w:val="18"/>
              </w:rPr>
              <w:t> </w:t>
            </w:r>
            <w:r>
              <w:rPr>
                <w:sz w:val="18"/>
              </w:rPr>
              <w:t>plan</w:t>
            </w:r>
            <w:r>
              <w:rPr>
                <w:spacing w:val="-6"/>
                <w:sz w:val="18"/>
              </w:rPr>
              <w:t> </w:t>
            </w:r>
            <w:r>
              <w:rPr>
                <w:sz w:val="18"/>
              </w:rPr>
              <w:t>to</w:t>
            </w:r>
            <w:r>
              <w:rPr>
                <w:spacing w:val="-47"/>
                <w:sz w:val="18"/>
              </w:rPr>
              <w:t> </w:t>
            </w:r>
            <w:r>
              <w:rPr>
                <w:sz w:val="18"/>
              </w:rPr>
              <w:t>implement</w:t>
            </w:r>
            <w:r>
              <w:rPr>
                <w:spacing w:val="1"/>
                <w:sz w:val="18"/>
              </w:rPr>
              <w:t> </w:t>
            </w:r>
            <w:r>
              <w:rPr>
                <w:sz w:val="18"/>
              </w:rPr>
              <w:t>this</w:t>
            </w:r>
            <w:r>
              <w:rPr>
                <w:spacing w:val="-2"/>
                <w:sz w:val="18"/>
              </w:rPr>
              <w:t> </w:t>
            </w:r>
            <w:r>
              <w:rPr>
                <w:sz w:val="18"/>
              </w:rPr>
              <w:t>by</w:t>
            </w:r>
            <w:r>
              <w:rPr>
                <w:spacing w:val="-2"/>
                <w:sz w:val="18"/>
              </w:rPr>
              <w:t> </w:t>
            </w:r>
            <w:r>
              <w:rPr>
                <w:sz w:val="18"/>
              </w:rPr>
              <w:t>Dec</w:t>
            </w:r>
          </w:p>
          <w:p>
            <w:pPr>
              <w:pStyle w:val="TableParagraph"/>
              <w:ind w:left="541"/>
              <w:rPr>
                <w:sz w:val="18"/>
              </w:rPr>
            </w:pPr>
            <w:r>
              <w:rPr>
                <w:sz w:val="18"/>
              </w:rPr>
              <w:t>2019</w:t>
            </w:r>
          </w:p>
        </w:tc>
        <w:tc>
          <w:tcPr>
            <w:tcW w:w="1557" w:type="dxa"/>
            <w:shd w:val="clear" w:color="auto" w:fill="F1F1F1"/>
          </w:tcPr>
          <w:p>
            <w:pPr>
              <w:pStyle w:val="TableParagraph"/>
              <w:ind w:left="152" w:right="138" w:hanging="3"/>
              <w:jc w:val="both"/>
              <w:rPr>
                <w:sz w:val="18"/>
              </w:rPr>
            </w:pPr>
            <w:r>
              <w:rPr>
                <w:sz w:val="18"/>
              </w:rPr>
              <w:t>3 This won't be</w:t>
            </w:r>
            <w:r>
              <w:rPr>
                <w:spacing w:val="-47"/>
                <w:sz w:val="18"/>
              </w:rPr>
              <w:t> </w:t>
            </w:r>
            <w:r>
              <w:rPr>
                <w:sz w:val="18"/>
              </w:rPr>
              <w:t>a focus for us</w:t>
            </w:r>
            <w:r>
              <w:rPr>
                <w:spacing w:val="1"/>
                <w:sz w:val="18"/>
              </w:rPr>
              <w:t> </w:t>
            </w:r>
            <w:r>
              <w:rPr>
                <w:sz w:val="18"/>
              </w:rPr>
              <w:t>during</w:t>
            </w:r>
            <w:r>
              <w:rPr>
                <w:spacing w:val="-4"/>
                <w:sz w:val="18"/>
              </w:rPr>
              <w:t> </w:t>
            </w:r>
            <w:r>
              <w:rPr>
                <w:sz w:val="18"/>
              </w:rPr>
              <w:t>the</w:t>
            </w:r>
            <w:r>
              <w:rPr>
                <w:spacing w:val="-1"/>
                <w:sz w:val="18"/>
              </w:rPr>
              <w:t> </w:t>
            </w:r>
            <w:r>
              <w:rPr>
                <w:sz w:val="18"/>
              </w:rPr>
              <w:t>trial</w:t>
            </w:r>
          </w:p>
        </w:tc>
        <w:tc>
          <w:tcPr>
            <w:tcW w:w="1277" w:type="dxa"/>
            <w:shd w:val="clear" w:color="auto" w:fill="F1F1F1"/>
          </w:tcPr>
          <w:p>
            <w:pPr>
              <w:pStyle w:val="TableParagraph"/>
              <w:ind w:left="290" w:right="111" w:hanging="156"/>
              <w:rPr>
                <w:sz w:val="18"/>
              </w:rPr>
            </w:pPr>
            <w:r>
              <w:rPr>
                <w:spacing w:val="-1"/>
                <w:sz w:val="18"/>
              </w:rPr>
              <w:t>Completed</w:t>
            </w:r>
            <w:r>
              <w:rPr>
                <w:spacing w:val="-47"/>
                <w:sz w:val="18"/>
              </w:rPr>
              <w:t> </w:t>
            </w:r>
            <w:r>
              <w:rPr>
                <w:sz w:val="18"/>
              </w:rPr>
              <w:t>change</w:t>
            </w:r>
          </w:p>
        </w:tc>
        <w:tc>
          <w:tcPr>
            <w:tcW w:w="1281" w:type="dxa"/>
            <w:shd w:val="clear" w:color="auto" w:fill="F1F1F1"/>
          </w:tcPr>
          <w:p>
            <w:pPr>
              <w:pStyle w:val="TableParagraph"/>
              <w:ind w:left="276" w:right="248" w:firstLine="108"/>
              <w:rPr>
                <w:sz w:val="18"/>
              </w:rPr>
            </w:pPr>
            <w:r>
              <w:rPr>
                <w:sz w:val="18"/>
              </w:rPr>
              <w:t>Good</w:t>
            </w:r>
            <w:r>
              <w:rPr>
                <w:spacing w:val="1"/>
                <w:sz w:val="18"/>
              </w:rPr>
              <w:t> </w:t>
            </w:r>
            <w:r>
              <w:rPr>
                <w:sz w:val="18"/>
              </w:rPr>
              <w:t>progress</w:t>
            </w:r>
          </w:p>
        </w:tc>
        <w:tc>
          <w:tcPr>
            <w:tcW w:w="1132" w:type="dxa"/>
            <w:shd w:val="clear" w:color="auto" w:fill="F1F1F1"/>
          </w:tcPr>
          <w:p>
            <w:pPr>
              <w:pStyle w:val="TableParagraph"/>
              <w:ind w:left="202" w:right="173" w:firstLine="50"/>
              <w:rPr>
                <w:sz w:val="18"/>
              </w:rPr>
            </w:pPr>
            <w:r>
              <w:rPr>
                <w:sz w:val="18"/>
              </w:rPr>
              <w:t>Limited</w:t>
            </w:r>
            <w:r>
              <w:rPr>
                <w:spacing w:val="1"/>
                <w:sz w:val="18"/>
              </w:rPr>
              <w:t> </w:t>
            </w:r>
            <w:r>
              <w:rPr>
                <w:sz w:val="18"/>
              </w:rPr>
              <w:t>progress</w:t>
            </w:r>
          </w:p>
        </w:tc>
        <w:tc>
          <w:tcPr>
            <w:tcW w:w="1135" w:type="dxa"/>
            <w:shd w:val="clear" w:color="auto" w:fill="F1F1F1"/>
          </w:tcPr>
          <w:p>
            <w:pPr>
              <w:pStyle w:val="TableParagraph"/>
              <w:ind w:left="203" w:right="175" w:firstLine="240"/>
              <w:rPr>
                <w:sz w:val="18"/>
              </w:rPr>
            </w:pPr>
            <w:r>
              <w:rPr>
                <w:sz w:val="18"/>
              </w:rPr>
              <w:t>No</w:t>
            </w:r>
            <w:r>
              <w:rPr>
                <w:spacing w:val="1"/>
                <w:sz w:val="18"/>
              </w:rPr>
              <w:t> </w:t>
            </w:r>
            <w:r>
              <w:rPr>
                <w:sz w:val="18"/>
              </w:rPr>
              <w:t>progress</w:t>
            </w:r>
          </w:p>
        </w:tc>
      </w:tr>
      <w:tr>
        <w:trPr>
          <w:trHeight w:val="661" w:hRule="atLeast"/>
        </w:trPr>
        <w:tc>
          <w:tcPr>
            <w:tcW w:w="3368" w:type="dxa"/>
          </w:tcPr>
          <w:p>
            <w:pPr>
              <w:pStyle w:val="TableParagraph"/>
              <w:spacing w:line="220" w:lineRule="exact"/>
              <w:ind w:left="107" w:right="313"/>
              <w:rPr>
                <w:sz w:val="18"/>
              </w:rPr>
            </w:pPr>
            <w:r>
              <w:rPr>
                <w:sz w:val="18"/>
              </w:rPr>
              <w:t>J. Joint consultations for a patient</w:t>
            </w:r>
            <w:r>
              <w:rPr>
                <w:spacing w:val="-47"/>
                <w:sz w:val="18"/>
              </w:rPr>
              <w:t> </w:t>
            </w:r>
            <w:r>
              <w:rPr>
                <w:sz w:val="18"/>
              </w:rPr>
              <w:t>involving a GP, nurse and allied</w:t>
            </w:r>
            <w:r>
              <w:rPr>
                <w:spacing w:val="1"/>
                <w:sz w:val="18"/>
              </w:rPr>
              <w:t> </w:t>
            </w:r>
            <w:r>
              <w:rPr>
                <w:sz w:val="18"/>
              </w:rPr>
              <w:t>health</w:t>
            </w:r>
            <w:r>
              <w:rPr>
                <w:spacing w:val="2"/>
                <w:sz w:val="18"/>
              </w:rPr>
              <w:t> </w:t>
            </w:r>
            <w:r>
              <w:rPr>
                <w:sz w:val="18"/>
              </w:rPr>
              <w:t>(e.g.</w:t>
            </w:r>
            <w:r>
              <w:rPr>
                <w:spacing w:val="-3"/>
                <w:sz w:val="18"/>
              </w:rPr>
              <w:t> </w:t>
            </w:r>
            <w:r>
              <w:rPr>
                <w:sz w:val="18"/>
              </w:rPr>
              <w:t>pharmacist)</w:t>
            </w:r>
          </w:p>
        </w:tc>
        <w:tc>
          <w:tcPr>
            <w:tcW w:w="740" w:type="dxa"/>
          </w:tcPr>
          <w:p>
            <w:pPr>
              <w:pStyle w:val="TableParagraph"/>
              <w:rPr>
                <w:rFonts w:ascii="Times New Roman"/>
                <w:sz w:val="18"/>
              </w:rPr>
            </w:pPr>
          </w:p>
        </w:tc>
        <w:tc>
          <w:tcPr>
            <w:tcW w:w="852" w:type="dxa"/>
          </w:tcPr>
          <w:p>
            <w:pPr>
              <w:pStyle w:val="TableParagraph"/>
              <w:rPr>
                <w:rFonts w:ascii="Times New Roman"/>
                <w:sz w:val="18"/>
              </w:rPr>
            </w:pPr>
          </w:p>
        </w:tc>
        <w:tc>
          <w:tcPr>
            <w:tcW w:w="1212" w:type="dxa"/>
          </w:tcPr>
          <w:p>
            <w:pPr>
              <w:pStyle w:val="TableParagraph"/>
              <w:rPr>
                <w:rFonts w:ascii="Times New Roman"/>
                <w:sz w:val="18"/>
              </w:rPr>
            </w:pPr>
          </w:p>
        </w:tc>
        <w:tc>
          <w:tcPr>
            <w:tcW w:w="1481" w:type="dxa"/>
          </w:tcPr>
          <w:p>
            <w:pPr>
              <w:pStyle w:val="TableParagraph"/>
              <w:rPr>
                <w:rFonts w:ascii="Times New Roman"/>
                <w:sz w:val="18"/>
              </w:rPr>
            </w:pPr>
          </w:p>
        </w:tc>
        <w:tc>
          <w:tcPr>
            <w:tcW w:w="1557" w:type="dxa"/>
          </w:tcPr>
          <w:p>
            <w:pPr>
              <w:pStyle w:val="TableParagraph"/>
              <w:rPr>
                <w:rFonts w:ascii="Times New Roman"/>
                <w:sz w:val="18"/>
              </w:rPr>
            </w:pPr>
          </w:p>
        </w:tc>
        <w:tc>
          <w:tcPr>
            <w:tcW w:w="1277" w:type="dxa"/>
          </w:tcPr>
          <w:p>
            <w:pPr>
              <w:pStyle w:val="TableParagraph"/>
              <w:rPr>
                <w:rFonts w:ascii="Times New Roman"/>
                <w:sz w:val="18"/>
              </w:rPr>
            </w:pPr>
          </w:p>
        </w:tc>
        <w:tc>
          <w:tcPr>
            <w:tcW w:w="1281" w:type="dxa"/>
          </w:tcPr>
          <w:p>
            <w:pPr>
              <w:pStyle w:val="TableParagraph"/>
              <w:rPr>
                <w:rFonts w:ascii="Times New Roman"/>
                <w:sz w:val="18"/>
              </w:rPr>
            </w:pPr>
          </w:p>
        </w:tc>
        <w:tc>
          <w:tcPr>
            <w:tcW w:w="1132" w:type="dxa"/>
          </w:tcPr>
          <w:p>
            <w:pPr>
              <w:pStyle w:val="TableParagraph"/>
              <w:rPr>
                <w:rFonts w:ascii="Times New Roman"/>
                <w:sz w:val="18"/>
              </w:rPr>
            </w:pPr>
          </w:p>
        </w:tc>
        <w:tc>
          <w:tcPr>
            <w:tcW w:w="1135" w:type="dxa"/>
          </w:tcPr>
          <w:p>
            <w:pPr>
              <w:pStyle w:val="TableParagraph"/>
              <w:rPr>
                <w:rFonts w:ascii="Times New Roman"/>
                <w:sz w:val="18"/>
              </w:rPr>
            </w:pPr>
          </w:p>
        </w:tc>
      </w:tr>
      <w:tr>
        <w:trPr>
          <w:trHeight w:val="662" w:hRule="atLeast"/>
        </w:trPr>
        <w:tc>
          <w:tcPr>
            <w:tcW w:w="3368" w:type="dxa"/>
          </w:tcPr>
          <w:p>
            <w:pPr>
              <w:pStyle w:val="TableParagraph"/>
              <w:ind w:left="107" w:right="247"/>
              <w:rPr>
                <w:sz w:val="18"/>
              </w:rPr>
            </w:pPr>
            <w:r>
              <w:rPr>
                <w:sz w:val="18"/>
              </w:rPr>
              <w:t>K. HCH patients able to telephone</w:t>
            </w:r>
            <w:r>
              <w:rPr>
                <w:spacing w:val="-47"/>
                <w:sz w:val="18"/>
              </w:rPr>
              <w:t> </w:t>
            </w:r>
            <w:r>
              <w:rPr>
                <w:sz w:val="18"/>
              </w:rPr>
              <w:t>the</w:t>
            </w:r>
            <w:r>
              <w:rPr>
                <w:spacing w:val="-3"/>
                <w:sz w:val="18"/>
              </w:rPr>
              <w:t> </w:t>
            </w:r>
            <w:r>
              <w:rPr>
                <w:sz w:val="18"/>
              </w:rPr>
              <w:t>practice</w:t>
            </w:r>
            <w:r>
              <w:rPr>
                <w:spacing w:val="-2"/>
                <w:sz w:val="18"/>
              </w:rPr>
              <w:t> </w:t>
            </w:r>
            <w:r>
              <w:rPr>
                <w:sz w:val="18"/>
              </w:rPr>
              <w:t>and</w:t>
            </w:r>
            <w:r>
              <w:rPr>
                <w:spacing w:val="-3"/>
                <w:sz w:val="18"/>
              </w:rPr>
              <w:t> </w:t>
            </w:r>
            <w:r>
              <w:rPr>
                <w:sz w:val="18"/>
              </w:rPr>
              <w:t>talk</w:t>
            </w:r>
            <w:r>
              <w:rPr>
                <w:spacing w:val="-2"/>
                <w:sz w:val="18"/>
              </w:rPr>
              <w:t> </w:t>
            </w:r>
            <w:r>
              <w:rPr>
                <w:sz w:val="18"/>
              </w:rPr>
              <w:t>to</w:t>
            </w:r>
            <w:r>
              <w:rPr>
                <w:spacing w:val="-3"/>
                <w:sz w:val="18"/>
              </w:rPr>
              <w:t> </w:t>
            </w:r>
            <w:r>
              <w:rPr>
                <w:sz w:val="18"/>
              </w:rPr>
              <w:t>a nurse</w:t>
            </w:r>
            <w:r>
              <w:rPr>
                <w:spacing w:val="-3"/>
                <w:sz w:val="18"/>
              </w:rPr>
              <w:t> </w:t>
            </w:r>
            <w:r>
              <w:rPr>
                <w:sz w:val="18"/>
              </w:rPr>
              <w:t>or</w:t>
            </w:r>
          </w:p>
          <w:p>
            <w:pPr>
              <w:pStyle w:val="TableParagraph"/>
              <w:spacing w:line="202" w:lineRule="exact"/>
              <w:ind w:left="107"/>
              <w:rPr>
                <w:sz w:val="18"/>
              </w:rPr>
            </w:pPr>
            <w:r>
              <w:rPr>
                <w:sz w:val="18"/>
              </w:rPr>
              <w:t>GP</w:t>
            </w:r>
            <w:r>
              <w:rPr>
                <w:spacing w:val="-3"/>
                <w:sz w:val="18"/>
              </w:rPr>
              <w:t> </w:t>
            </w:r>
            <w:r>
              <w:rPr>
                <w:sz w:val="18"/>
              </w:rPr>
              <w:t>about</w:t>
            </w:r>
            <w:r>
              <w:rPr>
                <w:spacing w:val="-3"/>
                <w:sz w:val="18"/>
              </w:rPr>
              <w:t> </w:t>
            </w:r>
            <w:r>
              <w:rPr>
                <w:sz w:val="18"/>
              </w:rPr>
              <w:t>their</w:t>
            </w:r>
            <w:r>
              <w:rPr>
                <w:spacing w:val="-2"/>
                <w:sz w:val="18"/>
              </w:rPr>
              <w:t> </w:t>
            </w:r>
            <w:r>
              <w:rPr>
                <w:sz w:val="18"/>
              </w:rPr>
              <w:t>health</w:t>
            </w:r>
            <w:r>
              <w:rPr>
                <w:spacing w:val="-3"/>
                <w:sz w:val="18"/>
              </w:rPr>
              <w:t> </w:t>
            </w:r>
            <w:r>
              <w:rPr>
                <w:sz w:val="18"/>
              </w:rPr>
              <w:t>concerns</w:t>
            </w:r>
          </w:p>
        </w:tc>
        <w:tc>
          <w:tcPr>
            <w:tcW w:w="740" w:type="dxa"/>
          </w:tcPr>
          <w:p>
            <w:pPr>
              <w:pStyle w:val="TableParagraph"/>
              <w:rPr>
                <w:rFonts w:ascii="Times New Roman"/>
                <w:sz w:val="18"/>
              </w:rPr>
            </w:pPr>
          </w:p>
        </w:tc>
        <w:tc>
          <w:tcPr>
            <w:tcW w:w="852" w:type="dxa"/>
          </w:tcPr>
          <w:p>
            <w:pPr>
              <w:pStyle w:val="TableParagraph"/>
              <w:rPr>
                <w:rFonts w:ascii="Times New Roman"/>
                <w:sz w:val="18"/>
              </w:rPr>
            </w:pPr>
          </w:p>
        </w:tc>
        <w:tc>
          <w:tcPr>
            <w:tcW w:w="1212" w:type="dxa"/>
          </w:tcPr>
          <w:p>
            <w:pPr>
              <w:pStyle w:val="TableParagraph"/>
              <w:rPr>
                <w:rFonts w:ascii="Times New Roman"/>
                <w:sz w:val="18"/>
              </w:rPr>
            </w:pPr>
          </w:p>
        </w:tc>
        <w:tc>
          <w:tcPr>
            <w:tcW w:w="1481" w:type="dxa"/>
          </w:tcPr>
          <w:p>
            <w:pPr>
              <w:pStyle w:val="TableParagraph"/>
              <w:rPr>
                <w:rFonts w:ascii="Times New Roman"/>
                <w:sz w:val="18"/>
              </w:rPr>
            </w:pPr>
          </w:p>
        </w:tc>
        <w:tc>
          <w:tcPr>
            <w:tcW w:w="1557" w:type="dxa"/>
          </w:tcPr>
          <w:p>
            <w:pPr>
              <w:pStyle w:val="TableParagraph"/>
              <w:rPr>
                <w:rFonts w:ascii="Times New Roman"/>
                <w:sz w:val="18"/>
              </w:rPr>
            </w:pPr>
          </w:p>
        </w:tc>
        <w:tc>
          <w:tcPr>
            <w:tcW w:w="1277" w:type="dxa"/>
          </w:tcPr>
          <w:p>
            <w:pPr>
              <w:pStyle w:val="TableParagraph"/>
              <w:rPr>
                <w:rFonts w:ascii="Times New Roman"/>
                <w:sz w:val="18"/>
              </w:rPr>
            </w:pPr>
          </w:p>
        </w:tc>
        <w:tc>
          <w:tcPr>
            <w:tcW w:w="1281" w:type="dxa"/>
          </w:tcPr>
          <w:p>
            <w:pPr>
              <w:pStyle w:val="TableParagraph"/>
              <w:rPr>
                <w:rFonts w:ascii="Times New Roman"/>
                <w:sz w:val="18"/>
              </w:rPr>
            </w:pPr>
          </w:p>
        </w:tc>
        <w:tc>
          <w:tcPr>
            <w:tcW w:w="1132" w:type="dxa"/>
          </w:tcPr>
          <w:p>
            <w:pPr>
              <w:pStyle w:val="TableParagraph"/>
              <w:rPr>
                <w:rFonts w:ascii="Times New Roman"/>
                <w:sz w:val="18"/>
              </w:rPr>
            </w:pPr>
          </w:p>
        </w:tc>
        <w:tc>
          <w:tcPr>
            <w:tcW w:w="1135" w:type="dxa"/>
          </w:tcPr>
          <w:p>
            <w:pPr>
              <w:pStyle w:val="TableParagraph"/>
              <w:rPr>
                <w:rFonts w:ascii="Times New Roman"/>
                <w:sz w:val="18"/>
              </w:rPr>
            </w:pPr>
          </w:p>
        </w:tc>
      </w:tr>
      <w:tr>
        <w:trPr>
          <w:trHeight w:val="882" w:hRule="atLeast"/>
        </w:trPr>
        <w:tc>
          <w:tcPr>
            <w:tcW w:w="3368" w:type="dxa"/>
          </w:tcPr>
          <w:p>
            <w:pPr>
              <w:pStyle w:val="TableParagraph"/>
              <w:spacing w:before="1"/>
              <w:ind w:left="107" w:right="347"/>
              <w:rPr>
                <w:sz w:val="18"/>
              </w:rPr>
            </w:pPr>
            <w:r>
              <w:rPr>
                <w:sz w:val="18"/>
              </w:rPr>
              <w:t>L. HCH patients able to</w:t>
            </w:r>
            <w:r>
              <w:rPr>
                <w:spacing w:val="1"/>
                <w:sz w:val="18"/>
              </w:rPr>
              <w:t> </w:t>
            </w:r>
            <w:r>
              <w:rPr>
                <w:sz w:val="18"/>
              </w:rPr>
              <w:t>communicate</w:t>
            </w:r>
            <w:r>
              <w:rPr>
                <w:spacing w:val="-4"/>
                <w:sz w:val="18"/>
              </w:rPr>
              <w:t> </w:t>
            </w:r>
            <w:r>
              <w:rPr>
                <w:sz w:val="18"/>
              </w:rPr>
              <w:t>by</w:t>
            </w:r>
            <w:r>
              <w:rPr>
                <w:spacing w:val="-5"/>
                <w:sz w:val="18"/>
              </w:rPr>
              <w:t> </w:t>
            </w:r>
            <w:r>
              <w:rPr>
                <w:sz w:val="18"/>
              </w:rPr>
              <w:t>email</w:t>
            </w:r>
            <w:r>
              <w:rPr>
                <w:spacing w:val="-3"/>
                <w:sz w:val="18"/>
              </w:rPr>
              <w:t> </w:t>
            </w:r>
            <w:r>
              <w:rPr>
                <w:sz w:val="18"/>
              </w:rPr>
              <w:t>or</w:t>
            </w:r>
            <w:r>
              <w:rPr>
                <w:spacing w:val="-4"/>
                <w:sz w:val="18"/>
              </w:rPr>
              <w:t> </w:t>
            </w:r>
            <w:r>
              <w:rPr>
                <w:sz w:val="18"/>
              </w:rPr>
              <w:t>secure</w:t>
            </w:r>
            <w:r>
              <w:rPr>
                <w:spacing w:val="-47"/>
                <w:sz w:val="18"/>
              </w:rPr>
              <w:t> </w:t>
            </w:r>
            <w:r>
              <w:rPr>
                <w:sz w:val="18"/>
              </w:rPr>
              <w:t>messaging</w:t>
            </w:r>
            <w:r>
              <w:rPr>
                <w:spacing w:val="-4"/>
                <w:sz w:val="18"/>
              </w:rPr>
              <w:t> </w:t>
            </w:r>
            <w:r>
              <w:rPr>
                <w:sz w:val="18"/>
              </w:rPr>
              <w:t>with</w:t>
            </w:r>
            <w:r>
              <w:rPr>
                <w:spacing w:val="-1"/>
                <w:sz w:val="18"/>
              </w:rPr>
              <w:t> </w:t>
            </w:r>
            <w:r>
              <w:rPr>
                <w:sz w:val="18"/>
              </w:rPr>
              <w:t>the</w:t>
            </w:r>
            <w:r>
              <w:rPr>
                <w:spacing w:val="-1"/>
                <w:sz w:val="18"/>
              </w:rPr>
              <w:t> </w:t>
            </w:r>
            <w:r>
              <w:rPr>
                <w:sz w:val="18"/>
              </w:rPr>
              <w:t>GP</w:t>
            </w:r>
            <w:r>
              <w:rPr>
                <w:spacing w:val="-3"/>
                <w:sz w:val="18"/>
              </w:rPr>
              <w:t> </w:t>
            </w:r>
            <w:r>
              <w:rPr>
                <w:sz w:val="18"/>
              </w:rPr>
              <w:t>or</w:t>
            </w:r>
            <w:r>
              <w:rPr>
                <w:spacing w:val="-1"/>
                <w:sz w:val="18"/>
              </w:rPr>
              <w:t> </w:t>
            </w:r>
            <w:r>
              <w:rPr>
                <w:sz w:val="18"/>
              </w:rPr>
              <w:t>nurse</w:t>
            </w:r>
          </w:p>
          <w:p>
            <w:pPr>
              <w:pStyle w:val="TableParagraph"/>
              <w:spacing w:line="200" w:lineRule="exact"/>
              <w:ind w:left="107"/>
              <w:rPr>
                <w:sz w:val="18"/>
              </w:rPr>
            </w:pPr>
            <w:r>
              <w:rPr>
                <w:sz w:val="18"/>
              </w:rPr>
              <w:t>about</w:t>
            </w:r>
            <w:r>
              <w:rPr>
                <w:spacing w:val="-5"/>
                <w:sz w:val="18"/>
              </w:rPr>
              <w:t> </w:t>
            </w:r>
            <w:r>
              <w:rPr>
                <w:sz w:val="18"/>
              </w:rPr>
              <w:t>their</w:t>
            </w:r>
            <w:r>
              <w:rPr>
                <w:spacing w:val="-3"/>
                <w:sz w:val="18"/>
              </w:rPr>
              <w:t> </w:t>
            </w:r>
            <w:r>
              <w:rPr>
                <w:sz w:val="18"/>
              </w:rPr>
              <w:t>health</w:t>
            </w:r>
            <w:r>
              <w:rPr>
                <w:spacing w:val="-2"/>
                <w:sz w:val="18"/>
              </w:rPr>
              <w:t> </w:t>
            </w:r>
            <w:r>
              <w:rPr>
                <w:sz w:val="18"/>
              </w:rPr>
              <w:t>concerns</w:t>
            </w:r>
          </w:p>
        </w:tc>
        <w:tc>
          <w:tcPr>
            <w:tcW w:w="740" w:type="dxa"/>
          </w:tcPr>
          <w:p>
            <w:pPr>
              <w:pStyle w:val="TableParagraph"/>
              <w:rPr>
                <w:rFonts w:ascii="Times New Roman"/>
                <w:sz w:val="18"/>
              </w:rPr>
            </w:pPr>
          </w:p>
        </w:tc>
        <w:tc>
          <w:tcPr>
            <w:tcW w:w="852" w:type="dxa"/>
          </w:tcPr>
          <w:p>
            <w:pPr>
              <w:pStyle w:val="TableParagraph"/>
              <w:rPr>
                <w:rFonts w:ascii="Times New Roman"/>
                <w:sz w:val="18"/>
              </w:rPr>
            </w:pPr>
          </w:p>
        </w:tc>
        <w:tc>
          <w:tcPr>
            <w:tcW w:w="1212" w:type="dxa"/>
          </w:tcPr>
          <w:p>
            <w:pPr>
              <w:pStyle w:val="TableParagraph"/>
              <w:rPr>
                <w:rFonts w:ascii="Times New Roman"/>
                <w:sz w:val="18"/>
              </w:rPr>
            </w:pPr>
          </w:p>
        </w:tc>
        <w:tc>
          <w:tcPr>
            <w:tcW w:w="1481" w:type="dxa"/>
          </w:tcPr>
          <w:p>
            <w:pPr>
              <w:pStyle w:val="TableParagraph"/>
              <w:rPr>
                <w:rFonts w:ascii="Times New Roman"/>
                <w:sz w:val="18"/>
              </w:rPr>
            </w:pPr>
          </w:p>
        </w:tc>
        <w:tc>
          <w:tcPr>
            <w:tcW w:w="1557" w:type="dxa"/>
          </w:tcPr>
          <w:p>
            <w:pPr>
              <w:pStyle w:val="TableParagraph"/>
              <w:rPr>
                <w:rFonts w:ascii="Times New Roman"/>
                <w:sz w:val="18"/>
              </w:rPr>
            </w:pPr>
          </w:p>
        </w:tc>
        <w:tc>
          <w:tcPr>
            <w:tcW w:w="1277" w:type="dxa"/>
          </w:tcPr>
          <w:p>
            <w:pPr>
              <w:pStyle w:val="TableParagraph"/>
              <w:rPr>
                <w:rFonts w:ascii="Times New Roman"/>
                <w:sz w:val="18"/>
              </w:rPr>
            </w:pPr>
          </w:p>
        </w:tc>
        <w:tc>
          <w:tcPr>
            <w:tcW w:w="1281" w:type="dxa"/>
          </w:tcPr>
          <w:p>
            <w:pPr>
              <w:pStyle w:val="TableParagraph"/>
              <w:rPr>
                <w:rFonts w:ascii="Times New Roman"/>
                <w:sz w:val="18"/>
              </w:rPr>
            </w:pPr>
          </w:p>
        </w:tc>
        <w:tc>
          <w:tcPr>
            <w:tcW w:w="1132" w:type="dxa"/>
          </w:tcPr>
          <w:p>
            <w:pPr>
              <w:pStyle w:val="TableParagraph"/>
              <w:rPr>
                <w:rFonts w:ascii="Times New Roman"/>
                <w:sz w:val="18"/>
              </w:rPr>
            </w:pPr>
          </w:p>
        </w:tc>
        <w:tc>
          <w:tcPr>
            <w:tcW w:w="1135" w:type="dxa"/>
          </w:tcPr>
          <w:p>
            <w:pPr>
              <w:pStyle w:val="TableParagraph"/>
              <w:rPr>
                <w:rFonts w:ascii="Times New Roman"/>
                <w:sz w:val="18"/>
              </w:rPr>
            </w:pPr>
          </w:p>
        </w:tc>
      </w:tr>
      <w:tr>
        <w:trPr>
          <w:trHeight w:val="662" w:hRule="atLeast"/>
        </w:trPr>
        <w:tc>
          <w:tcPr>
            <w:tcW w:w="3368" w:type="dxa"/>
          </w:tcPr>
          <w:p>
            <w:pPr>
              <w:pStyle w:val="TableParagraph"/>
              <w:spacing w:line="237" w:lineRule="auto" w:before="3"/>
              <w:ind w:left="107" w:right="135"/>
              <w:rPr>
                <w:sz w:val="18"/>
              </w:rPr>
            </w:pPr>
            <w:r>
              <w:rPr>
                <w:sz w:val="18"/>
              </w:rPr>
              <w:t>M. Introducing a patient portal</w:t>
            </w:r>
            <w:r>
              <w:rPr>
                <w:spacing w:val="1"/>
                <w:sz w:val="18"/>
              </w:rPr>
              <w:t> </w:t>
            </w:r>
            <w:r>
              <w:rPr>
                <w:sz w:val="18"/>
              </w:rPr>
              <w:t>through</w:t>
            </w:r>
            <w:r>
              <w:rPr>
                <w:spacing w:val="-3"/>
                <w:sz w:val="18"/>
              </w:rPr>
              <w:t> </w:t>
            </w:r>
            <w:r>
              <w:rPr>
                <w:sz w:val="18"/>
              </w:rPr>
              <w:t>which</w:t>
            </w:r>
            <w:r>
              <w:rPr>
                <w:spacing w:val="-5"/>
                <w:sz w:val="18"/>
              </w:rPr>
              <w:t> </w:t>
            </w:r>
            <w:r>
              <w:rPr>
                <w:sz w:val="18"/>
              </w:rPr>
              <w:t>clinical</w:t>
            </w:r>
            <w:r>
              <w:rPr>
                <w:spacing w:val="-4"/>
                <w:sz w:val="18"/>
              </w:rPr>
              <w:t> </w:t>
            </w:r>
            <w:r>
              <w:rPr>
                <w:sz w:val="18"/>
              </w:rPr>
              <w:t>information</w:t>
            </w:r>
            <w:r>
              <w:rPr>
                <w:spacing w:val="-3"/>
                <w:sz w:val="18"/>
              </w:rPr>
              <w:t> </w:t>
            </w:r>
            <w:r>
              <w:rPr>
                <w:sz w:val="18"/>
              </w:rPr>
              <w:t>is</w:t>
            </w:r>
          </w:p>
          <w:p>
            <w:pPr>
              <w:pStyle w:val="TableParagraph"/>
              <w:spacing w:line="202" w:lineRule="exact"/>
              <w:ind w:left="107"/>
              <w:rPr>
                <w:sz w:val="18"/>
              </w:rPr>
            </w:pPr>
            <w:r>
              <w:rPr>
                <w:sz w:val="18"/>
              </w:rPr>
              <w:t>shared</w:t>
            </w:r>
            <w:r>
              <w:rPr>
                <w:spacing w:val="-4"/>
                <w:sz w:val="18"/>
              </w:rPr>
              <w:t> </w:t>
            </w:r>
            <w:r>
              <w:rPr>
                <w:sz w:val="18"/>
              </w:rPr>
              <w:t>with</w:t>
            </w:r>
            <w:r>
              <w:rPr>
                <w:spacing w:val="-3"/>
                <w:sz w:val="18"/>
              </w:rPr>
              <w:t> </w:t>
            </w:r>
            <w:r>
              <w:rPr>
                <w:sz w:val="18"/>
              </w:rPr>
              <w:t>HCH</w:t>
            </w:r>
            <w:r>
              <w:rPr>
                <w:spacing w:val="-4"/>
                <w:sz w:val="18"/>
              </w:rPr>
              <w:t> </w:t>
            </w:r>
            <w:r>
              <w:rPr>
                <w:sz w:val="18"/>
              </w:rPr>
              <w:t>patients</w:t>
            </w:r>
          </w:p>
        </w:tc>
        <w:tc>
          <w:tcPr>
            <w:tcW w:w="740" w:type="dxa"/>
          </w:tcPr>
          <w:p>
            <w:pPr>
              <w:pStyle w:val="TableParagraph"/>
              <w:rPr>
                <w:rFonts w:ascii="Times New Roman"/>
                <w:sz w:val="18"/>
              </w:rPr>
            </w:pPr>
          </w:p>
        </w:tc>
        <w:tc>
          <w:tcPr>
            <w:tcW w:w="852" w:type="dxa"/>
          </w:tcPr>
          <w:p>
            <w:pPr>
              <w:pStyle w:val="TableParagraph"/>
              <w:rPr>
                <w:rFonts w:ascii="Times New Roman"/>
                <w:sz w:val="18"/>
              </w:rPr>
            </w:pPr>
          </w:p>
        </w:tc>
        <w:tc>
          <w:tcPr>
            <w:tcW w:w="1212" w:type="dxa"/>
          </w:tcPr>
          <w:p>
            <w:pPr>
              <w:pStyle w:val="TableParagraph"/>
              <w:rPr>
                <w:rFonts w:ascii="Times New Roman"/>
                <w:sz w:val="18"/>
              </w:rPr>
            </w:pPr>
          </w:p>
        </w:tc>
        <w:tc>
          <w:tcPr>
            <w:tcW w:w="1481" w:type="dxa"/>
          </w:tcPr>
          <w:p>
            <w:pPr>
              <w:pStyle w:val="TableParagraph"/>
              <w:rPr>
                <w:rFonts w:ascii="Times New Roman"/>
                <w:sz w:val="18"/>
              </w:rPr>
            </w:pPr>
          </w:p>
        </w:tc>
        <w:tc>
          <w:tcPr>
            <w:tcW w:w="1557" w:type="dxa"/>
          </w:tcPr>
          <w:p>
            <w:pPr>
              <w:pStyle w:val="TableParagraph"/>
              <w:rPr>
                <w:rFonts w:ascii="Times New Roman"/>
                <w:sz w:val="18"/>
              </w:rPr>
            </w:pPr>
          </w:p>
        </w:tc>
        <w:tc>
          <w:tcPr>
            <w:tcW w:w="1277" w:type="dxa"/>
          </w:tcPr>
          <w:p>
            <w:pPr>
              <w:pStyle w:val="TableParagraph"/>
              <w:rPr>
                <w:rFonts w:ascii="Times New Roman"/>
                <w:sz w:val="18"/>
              </w:rPr>
            </w:pPr>
          </w:p>
        </w:tc>
        <w:tc>
          <w:tcPr>
            <w:tcW w:w="1281" w:type="dxa"/>
          </w:tcPr>
          <w:p>
            <w:pPr>
              <w:pStyle w:val="TableParagraph"/>
              <w:rPr>
                <w:rFonts w:ascii="Times New Roman"/>
                <w:sz w:val="18"/>
              </w:rPr>
            </w:pPr>
          </w:p>
        </w:tc>
        <w:tc>
          <w:tcPr>
            <w:tcW w:w="1132" w:type="dxa"/>
          </w:tcPr>
          <w:p>
            <w:pPr>
              <w:pStyle w:val="TableParagraph"/>
              <w:rPr>
                <w:rFonts w:ascii="Times New Roman"/>
                <w:sz w:val="18"/>
              </w:rPr>
            </w:pPr>
          </w:p>
        </w:tc>
        <w:tc>
          <w:tcPr>
            <w:tcW w:w="1135" w:type="dxa"/>
          </w:tcPr>
          <w:p>
            <w:pPr>
              <w:pStyle w:val="TableParagraph"/>
              <w:rPr>
                <w:rFonts w:ascii="Times New Roman"/>
                <w:sz w:val="18"/>
              </w:rPr>
            </w:pPr>
          </w:p>
        </w:tc>
      </w:tr>
      <w:tr>
        <w:trPr>
          <w:trHeight w:val="443" w:hRule="atLeast"/>
        </w:trPr>
        <w:tc>
          <w:tcPr>
            <w:tcW w:w="3368" w:type="dxa"/>
          </w:tcPr>
          <w:p>
            <w:pPr>
              <w:pStyle w:val="TableParagraph"/>
              <w:spacing w:line="218" w:lineRule="exact"/>
              <w:ind w:left="107" w:right="212"/>
              <w:rPr>
                <w:sz w:val="18"/>
              </w:rPr>
            </w:pPr>
            <w:r>
              <w:rPr>
                <w:sz w:val="18"/>
              </w:rPr>
              <w:t>N. HCH patients able to refill scripts</w:t>
            </w:r>
            <w:r>
              <w:rPr>
                <w:spacing w:val="-48"/>
                <w:sz w:val="18"/>
              </w:rPr>
              <w:t> </w:t>
            </w:r>
            <w:r>
              <w:rPr>
                <w:sz w:val="18"/>
              </w:rPr>
              <w:t>without</w:t>
            </w:r>
            <w:r>
              <w:rPr>
                <w:spacing w:val="-3"/>
                <w:sz w:val="18"/>
              </w:rPr>
              <w:t> </w:t>
            </w:r>
            <w:r>
              <w:rPr>
                <w:sz w:val="18"/>
              </w:rPr>
              <w:t>a GP</w:t>
            </w:r>
            <w:r>
              <w:rPr>
                <w:spacing w:val="-1"/>
                <w:sz w:val="18"/>
              </w:rPr>
              <w:t> </w:t>
            </w:r>
            <w:r>
              <w:rPr>
                <w:sz w:val="18"/>
              </w:rPr>
              <w:t>consultation</w:t>
            </w:r>
          </w:p>
        </w:tc>
        <w:tc>
          <w:tcPr>
            <w:tcW w:w="740" w:type="dxa"/>
          </w:tcPr>
          <w:p>
            <w:pPr>
              <w:pStyle w:val="TableParagraph"/>
              <w:rPr>
                <w:rFonts w:ascii="Times New Roman"/>
                <w:sz w:val="18"/>
              </w:rPr>
            </w:pPr>
          </w:p>
        </w:tc>
        <w:tc>
          <w:tcPr>
            <w:tcW w:w="852" w:type="dxa"/>
          </w:tcPr>
          <w:p>
            <w:pPr>
              <w:pStyle w:val="TableParagraph"/>
              <w:rPr>
                <w:rFonts w:ascii="Times New Roman"/>
                <w:sz w:val="18"/>
              </w:rPr>
            </w:pPr>
          </w:p>
        </w:tc>
        <w:tc>
          <w:tcPr>
            <w:tcW w:w="1212" w:type="dxa"/>
          </w:tcPr>
          <w:p>
            <w:pPr>
              <w:pStyle w:val="TableParagraph"/>
              <w:rPr>
                <w:rFonts w:ascii="Times New Roman"/>
                <w:sz w:val="18"/>
              </w:rPr>
            </w:pPr>
          </w:p>
        </w:tc>
        <w:tc>
          <w:tcPr>
            <w:tcW w:w="1481" w:type="dxa"/>
          </w:tcPr>
          <w:p>
            <w:pPr>
              <w:pStyle w:val="TableParagraph"/>
              <w:rPr>
                <w:rFonts w:ascii="Times New Roman"/>
                <w:sz w:val="18"/>
              </w:rPr>
            </w:pPr>
          </w:p>
        </w:tc>
        <w:tc>
          <w:tcPr>
            <w:tcW w:w="1557" w:type="dxa"/>
          </w:tcPr>
          <w:p>
            <w:pPr>
              <w:pStyle w:val="TableParagraph"/>
              <w:rPr>
                <w:rFonts w:ascii="Times New Roman"/>
                <w:sz w:val="18"/>
              </w:rPr>
            </w:pPr>
          </w:p>
        </w:tc>
        <w:tc>
          <w:tcPr>
            <w:tcW w:w="1277" w:type="dxa"/>
          </w:tcPr>
          <w:p>
            <w:pPr>
              <w:pStyle w:val="TableParagraph"/>
              <w:rPr>
                <w:rFonts w:ascii="Times New Roman"/>
                <w:sz w:val="18"/>
              </w:rPr>
            </w:pPr>
          </w:p>
        </w:tc>
        <w:tc>
          <w:tcPr>
            <w:tcW w:w="1281" w:type="dxa"/>
          </w:tcPr>
          <w:p>
            <w:pPr>
              <w:pStyle w:val="TableParagraph"/>
              <w:rPr>
                <w:rFonts w:ascii="Times New Roman"/>
                <w:sz w:val="18"/>
              </w:rPr>
            </w:pPr>
          </w:p>
        </w:tc>
        <w:tc>
          <w:tcPr>
            <w:tcW w:w="1132" w:type="dxa"/>
          </w:tcPr>
          <w:p>
            <w:pPr>
              <w:pStyle w:val="TableParagraph"/>
              <w:rPr>
                <w:rFonts w:ascii="Times New Roman"/>
                <w:sz w:val="18"/>
              </w:rPr>
            </w:pPr>
          </w:p>
        </w:tc>
        <w:tc>
          <w:tcPr>
            <w:tcW w:w="1135" w:type="dxa"/>
          </w:tcPr>
          <w:p>
            <w:pPr>
              <w:pStyle w:val="TableParagraph"/>
              <w:rPr>
                <w:rFonts w:ascii="Times New Roman"/>
                <w:sz w:val="18"/>
              </w:rPr>
            </w:pPr>
          </w:p>
        </w:tc>
      </w:tr>
    </w:tbl>
    <w:p>
      <w:pPr>
        <w:pStyle w:val="BodyText"/>
        <w:spacing w:before="9"/>
        <w:rPr>
          <w:sz w:val="10"/>
        </w:rPr>
      </w:pPr>
    </w:p>
    <w:p>
      <w:pPr>
        <w:pStyle w:val="ListParagraph"/>
        <w:numPr>
          <w:ilvl w:val="0"/>
          <w:numId w:val="76"/>
        </w:numPr>
        <w:tabs>
          <w:tab w:pos="384" w:val="left" w:leader="none"/>
        </w:tabs>
        <w:spacing w:line="240" w:lineRule="auto" w:before="100" w:after="0"/>
        <w:ind w:left="383" w:right="437" w:hanging="284"/>
        <w:jc w:val="left"/>
        <w:rPr>
          <w:sz w:val="18"/>
        </w:rPr>
      </w:pPr>
      <w:r>
        <w:rPr>
          <w:sz w:val="18"/>
        </w:rPr>
        <w:t>Below is the description your practice provided in the last HCH practice survey in late 2018 of the main ways in which your practice/ service has changed its processes for</w:t>
      </w:r>
      <w:r>
        <w:rPr>
          <w:spacing w:val="1"/>
          <w:sz w:val="18"/>
        </w:rPr>
        <w:t> </w:t>
      </w:r>
      <w:r>
        <w:rPr>
          <w:sz w:val="18"/>
        </w:rPr>
        <w:t>managing patients' chronic illnesses since HCH has been implemented. Can you describe any additional changes that have occurred in the last 12 months, or provide an</w:t>
      </w:r>
      <w:r>
        <w:rPr>
          <w:spacing w:val="-48"/>
          <w:sz w:val="18"/>
        </w:rPr>
        <w:t> </w:t>
      </w:r>
      <w:r>
        <w:rPr>
          <w:sz w:val="18"/>
        </w:rPr>
        <w:t>update</w:t>
      </w:r>
      <w:r>
        <w:rPr>
          <w:spacing w:val="-1"/>
          <w:sz w:val="18"/>
        </w:rPr>
        <w:t> </w:t>
      </w:r>
      <w:r>
        <w:rPr>
          <w:sz w:val="18"/>
        </w:rPr>
        <w:t>on the change you</w:t>
      </w:r>
      <w:r>
        <w:rPr>
          <w:spacing w:val="-2"/>
          <w:sz w:val="18"/>
        </w:rPr>
        <w:t> </w:t>
      </w:r>
      <w:r>
        <w:rPr>
          <w:sz w:val="18"/>
        </w:rPr>
        <w:t>described</w:t>
      </w:r>
      <w:r>
        <w:rPr>
          <w:spacing w:val="-3"/>
          <w:sz w:val="18"/>
        </w:rPr>
        <w:t> </w:t>
      </w:r>
      <w:r>
        <w:rPr>
          <w:sz w:val="18"/>
        </w:rPr>
        <w:t>in late 2018?</w:t>
      </w:r>
    </w:p>
    <w:p>
      <w:pPr>
        <w:pStyle w:val="BodyText"/>
        <w:spacing w:before="10"/>
        <w:rPr>
          <w:sz w:val="22"/>
        </w:rPr>
      </w:pPr>
    </w:p>
    <w:tbl>
      <w:tblPr>
        <w:tblW w:w="0" w:type="auto"/>
        <w:jc w:val="left"/>
        <w:tblInd w:w="1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830"/>
        <w:gridCol w:w="12561"/>
      </w:tblGrid>
      <w:tr>
        <w:trPr>
          <w:trHeight w:val="441" w:hRule="atLeast"/>
        </w:trPr>
        <w:tc>
          <w:tcPr>
            <w:tcW w:w="2830" w:type="dxa"/>
            <w:shd w:val="clear" w:color="auto" w:fill="F1F1F1"/>
          </w:tcPr>
          <w:p>
            <w:pPr>
              <w:pStyle w:val="TableParagraph"/>
              <w:spacing w:line="219" w:lineRule="exact"/>
              <w:ind w:left="107"/>
              <w:rPr>
                <w:sz w:val="18"/>
              </w:rPr>
            </w:pPr>
            <w:r>
              <w:rPr>
                <w:sz w:val="18"/>
              </w:rPr>
              <w:t>Response</w:t>
            </w:r>
            <w:r>
              <w:rPr>
                <w:spacing w:val="-1"/>
                <w:sz w:val="18"/>
              </w:rPr>
              <w:t> </w:t>
            </w:r>
            <w:r>
              <w:rPr>
                <w:sz w:val="18"/>
              </w:rPr>
              <w:t>late</w:t>
            </w:r>
            <w:r>
              <w:rPr>
                <w:spacing w:val="-3"/>
                <w:sz w:val="18"/>
              </w:rPr>
              <w:t> </w:t>
            </w:r>
            <w:r>
              <w:rPr>
                <w:sz w:val="18"/>
              </w:rPr>
              <w:t>2018:</w:t>
            </w:r>
          </w:p>
        </w:tc>
        <w:tc>
          <w:tcPr>
            <w:tcW w:w="12561" w:type="dxa"/>
          </w:tcPr>
          <w:p>
            <w:pPr>
              <w:pStyle w:val="TableParagraph"/>
              <w:rPr>
                <w:rFonts w:ascii="Times New Roman"/>
                <w:sz w:val="18"/>
              </w:rPr>
            </w:pPr>
          </w:p>
        </w:tc>
      </w:tr>
      <w:tr>
        <w:trPr>
          <w:trHeight w:val="441" w:hRule="atLeast"/>
        </w:trPr>
        <w:tc>
          <w:tcPr>
            <w:tcW w:w="2830" w:type="dxa"/>
            <w:shd w:val="clear" w:color="auto" w:fill="F1F1F1"/>
          </w:tcPr>
          <w:p>
            <w:pPr>
              <w:pStyle w:val="TableParagraph"/>
              <w:spacing w:line="219" w:lineRule="exact"/>
              <w:ind w:left="107"/>
              <w:rPr>
                <w:sz w:val="18"/>
              </w:rPr>
            </w:pPr>
            <w:r>
              <w:rPr>
                <w:sz w:val="18"/>
              </w:rPr>
              <w:t>Update</w:t>
            </w:r>
            <w:r>
              <w:rPr>
                <w:spacing w:val="-3"/>
                <w:sz w:val="18"/>
              </w:rPr>
              <w:t> </w:t>
            </w:r>
            <w:r>
              <w:rPr>
                <w:sz w:val="18"/>
              </w:rPr>
              <w:t>November</w:t>
            </w:r>
            <w:r>
              <w:rPr>
                <w:spacing w:val="-2"/>
                <w:sz w:val="18"/>
              </w:rPr>
              <w:t> </w:t>
            </w:r>
            <w:r>
              <w:rPr>
                <w:sz w:val="18"/>
              </w:rPr>
              <w:t>2019:</w:t>
            </w:r>
          </w:p>
        </w:tc>
        <w:tc>
          <w:tcPr>
            <w:tcW w:w="12561" w:type="dxa"/>
          </w:tcPr>
          <w:p>
            <w:pPr>
              <w:pStyle w:val="TableParagraph"/>
              <w:rPr>
                <w:rFonts w:ascii="Times New Roman"/>
                <w:sz w:val="18"/>
              </w:rPr>
            </w:pPr>
          </w:p>
        </w:tc>
      </w:tr>
    </w:tbl>
    <w:p>
      <w:pPr>
        <w:spacing w:after="0"/>
        <w:rPr>
          <w:rFonts w:ascii="Times New Roman"/>
          <w:sz w:val="18"/>
        </w:rPr>
        <w:sectPr>
          <w:type w:val="continuous"/>
          <w:pgSz w:w="16840" w:h="11910" w:orient="landscape"/>
          <w:pgMar w:header="0" w:footer="947" w:top="940" w:bottom="1140" w:left="620" w:right="600"/>
        </w:sectPr>
      </w:pPr>
    </w:p>
    <w:p>
      <w:pPr>
        <w:pStyle w:val="ListParagraph"/>
        <w:numPr>
          <w:ilvl w:val="0"/>
          <w:numId w:val="76"/>
        </w:numPr>
        <w:tabs>
          <w:tab w:pos="384" w:val="left" w:leader="none"/>
        </w:tabs>
        <w:spacing w:line="240" w:lineRule="auto" w:before="87" w:after="0"/>
        <w:ind w:left="383" w:right="629" w:hanging="284"/>
        <w:jc w:val="left"/>
        <w:rPr>
          <w:sz w:val="18"/>
        </w:rPr>
      </w:pPr>
      <w:r>
        <w:rPr>
          <w:sz w:val="18"/>
        </w:rPr>
        <w:t>In the survey in late 2018, you listed the improvements in clinical care/ chronic disease management that your practice/ service decided to focus on as part of the HCH</w:t>
      </w:r>
      <w:r>
        <w:rPr>
          <w:spacing w:val="-47"/>
          <w:sz w:val="18"/>
        </w:rPr>
        <w:t> </w:t>
      </w:r>
      <w:r>
        <w:rPr>
          <w:sz w:val="18"/>
        </w:rPr>
        <w:t>program</w:t>
      </w:r>
      <w:r>
        <w:rPr>
          <w:spacing w:val="-6"/>
          <w:sz w:val="18"/>
        </w:rPr>
        <w:t> </w:t>
      </w:r>
      <w:r>
        <w:rPr>
          <w:sz w:val="18"/>
        </w:rPr>
        <w:t>implementation.</w:t>
      </w:r>
      <w:r>
        <w:rPr>
          <w:spacing w:val="-2"/>
          <w:sz w:val="18"/>
        </w:rPr>
        <w:t> </w:t>
      </w:r>
      <w:r>
        <w:rPr>
          <w:sz w:val="18"/>
        </w:rPr>
        <w:t>These</w:t>
      </w:r>
      <w:r>
        <w:rPr>
          <w:spacing w:val="-2"/>
          <w:sz w:val="18"/>
        </w:rPr>
        <w:t> </w:t>
      </w:r>
      <w:r>
        <w:rPr>
          <w:sz w:val="18"/>
        </w:rPr>
        <w:t>are</w:t>
      </w:r>
      <w:r>
        <w:rPr>
          <w:spacing w:val="-4"/>
          <w:sz w:val="18"/>
        </w:rPr>
        <w:t> </w:t>
      </w:r>
      <w:r>
        <w:rPr>
          <w:sz w:val="18"/>
        </w:rPr>
        <w:t>listed</w:t>
      </w:r>
      <w:r>
        <w:rPr>
          <w:spacing w:val="-3"/>
          <w:sz w:val="18"/>
        </w:rPr>
        <w:t> </w:t>
      </w:r>
      <w:r>
        <w:rPr>
          <w:sz w:val="18"/>
        </w:rPr>
        <w:t>below.</w:t>
      </w:r>
      <w:r>
        <w:rPr>
          <w:spacing w:val="-4"/>
          <w:sz w:val="18"/>
        </w:rPr>
        <w:t> </w:t>
      </w:r>
      <w:r>
        <w:rPr>
          <w:sz w:val="18"/>
        </w:rPr>
        <w:t>Could</w:t>
      </w:r>
      <w:r>
        <w:rPr>
          <w:spacing w:val="-3"/>
          <w:sz w:val="18"/>
        </w:rPr>
        <w:t> </w:t>
      </w:r>
      <w:r>
        <w:rPr>
          <w:sz w:val="18"/>
        </w:rPr>
        <w:t>update</w:t>
      </w:r>
      <w:r>
        <w:rPr>
          <w:spacing w:val="-3"/>
          <w:sz w:val="18"/>
        </w:rPr>
        <w:t> </w:t>
      </w:r>
      <w:r>
        <w:rPr>
          <w:sz w:val="18"/>
        </w:rPr>
        <w:t>this</w:t>
      </w:r>
      <w:r>
        <w:rPr>
          <w:spacing w:val="-3"/>
          <w:sz w:val="18"/>
        </w:rPr>
        <w:t> </w:t>
      </w:r>
      <w:r>
        <w:rPr>
          <w:sz w:val="18"/>
        </w:rPr>
        <w:t>response</w:t>
      </w:r>
      <w:r>
        <w:rPr>
          <w:spacing w:val="-2"/>
          <w:sz w:val="18"/>
        </w:rPr>
        <w:t> </w:t>
      </w:r>
      <w:r>
        <w:rPr>
          <w:sz w:val="18"/>
        </w:rPr>
        <w:t>and</w:t>
      </w:r>
      <w:r>
        <w:rPr>
          <w:spacing w:val="-5"/>
          <w:sz w:val="18"/>
        </w:rPr>
        <w:t> </w:t>
      </w:r>
      <w:r>
        <w:rPr>
          <w:sz w:val="18"/>
        </w:rPr>
        <w:t>also</w:t>
      </w:r>
      <w:r>
        <w:rPr>
          <w:spacing w:val="2"/>
          <w:sz w:val="18"/>
        </w:rPr>
        <w:t> </w:t>
      </w:r>
      <w:r>
        <w:rPr>
          <w:sz w:val="18"/>
        </w:rPr>
        <w:t>assess</w:t>
      </w:r>
      <w:r>
        <w:rPr>
          <w:spacing w:val="-3"/>
          <w:sz w:val="18"/>
        </w:rPr>
        <w:t> </w:t>
      </w:r>
      <w:r>
        <w:rPr>
          <w:sz w:val="18"/>
        </w:rPr>
        <w:t>your progress</w:t>
      </w:r>
      <w:r>
        <w:rPr>
          <w:spacing w:val="-3"/>
          <w:sz w:val="18"/>
        </w:rPr>
        <w:t> </w:t>
      </w:r>
      <w:r>
        <w:rPr>
          <w:sz w:val="18"/>
        </w:rPr>
        <w:t>towards</w:t>
      </w:r>
      <w:r>
        <w:rPr>
          <w:spacing w:val="-3"/>
          <w:sz w:val="18"/>
        </w:rPr>
        <w:t> </w:t>
      </w:r>
      <w:r>
        <w:rPr>
          <w:sz w:val="18"/>
        </w:rPr>
        <w:t>completing</w:t>
      </w:r>
      <w:r>
        <w:rPr>
          <w:spacing w:val="-4"/>
          <w:sz w:val="18"/>
        </w:rPr>
        <w:t> </w:t>
      </w:r>
      <w:r>
        <w:rPr>
          <w:sz w:val="18"/>
        </w:rPr>
        <w:t>these</w:t>
      </w:r>
      <w:r>
        <w:rPr>
          <w:spacing w:val="-2"/>
          <w:sz w:val="18"/>
        </w:rPr>
        <w:t> </w:t>
      </w:r>
      <w:r>
        <w:rPr>
          <w:sz w:val="18"/>
        </w:rPr>
        <w:t>changes</w:t>
      </w:r>
      <w:r>
        <w:rPr>
          <w:spacing w:val="-3"/>
          <w:sz w:val="18"/>
        </w:rPr>
        <w:t> </w:t>
      </w:r>
      <w:r>
        <w:rPr>
          <w:sz w:val="18"/>
        </w:rPr>
        <w:t>for</w:t>
      </w:r>
      <w:r>
        <w:rPr>
          <w:spacing w:val="-2"/>
          <w:sz w:val="18"/>
        </w:rPr>
        <w:t> </w:t>
      </w:r>
      <w:r>
        <w:rPr>
          <w:sz w:val="18"/>
        </w:rPr>
        <w:t>your</w:t>
      </w:r>
      <w:r>
        <w:rPr>
          <w:spacing w:val="-3"/>
          <w:sz w:val="18"/>
        </w:rPr>
        <w:t> </w:t>
      </w:r>
      <w:r>
        <w:rPr>
          <w:sz w:val="18"/>
        </w:rPr>
        <w:t>HCH</w:t>
      </w:r>
      <w:r>
        <w:rPr>
          <w:spacing w:val="-2"/>
          <w:sz w:val="18"/>
        </w:rPr>
        <w:t> </w:t>
      </w:r>
      <w:r>
        <w:rPr>
          <w:sz w:val="18"/>
        </w:rPr>
        <w:t>patients.</w:t>
      </w:r>
    </w:p>
    <w:p>
      <w:pPr>
        <w:pStyle w:val="BodyText"/>
        <w:spacing w:before="11"/>
        <w:rPr>
          <w:sz w:val="22"/>
        </w:rPr>
      </w:pPr>
    </w:p>
    <w:tbl>
      <w:tblPr>
        <w:tblW w:w="0" w:type="auto"/>
        <w:jc w:val="left"/>
        <w:tblInd w:w="1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422"/>
        <w:gridCol w:w="4323"/>
        <w:gridCol w:w="1886"/>
        <w:gridCol w:w="4138"/>
        <w:gridCol w:w="1600"/>
        <w:gridCol w:w="942"/>
        <w:gridCol w:w="942"/>
        <w:gridCol w:w="946"/>
      </w:tblGrid>
      <w:tr>
        <w:trPr>
          <w:trHeight w:val="1103" w:hRule="atLeast"/>
        </w:trPr>
        <w:tc>
          <w:tcPr>
            <w:tcW w:w="422" w:type="dxa"/>
            <w:vMerge w:val="restart"/>
            <w:shd w:val="clear" w:color="auto" w:fill="F1F1F1"/>
          </w:tcPr>
          <w:p>
            <w:pPr>
              <w:pStyle w:val="TableParagraph"/>
              <w:spacing w:line="219" w:lineRule="exact"/>
              <w:ind w:left="107"/>
              <w:rPr>
                <w:sz w:val="18"/>
              </w:rPr>
            </w:pPr>
            <w:r>
              <w:rPr>
                <w:sz w:val="18"/>
              </w:rPr>
              <w:t>#</w:t>
            </w:r>
          </w:p>
        </w:tc>
        <w:tc>
          <w:tcPr>
            <w:tcW w:w="4323" w:type="dxa"/>
            <w:vMerge w:val="restart"/>
            <w:shd w:val="clear" w:color="auto" w:fill="F1F1F1"/>
          </w:tcPr>
          <w:p>
            <w:pPr>
              <w:pStyle w:val="TableParagraph"/>
              <w:ind w:left="134" w:right="134" w:firstLine="2"/>
              <w:jc w:val="center"/>
              <w:rPr>
                <w:sz w:val="18"/>
              </w:rPr>
            </w:pPr>
            <w:r>
              <w:rPr>
                <w:sz w:val="18"/>
              </w:rPr>
              <w:t>39A Description of</w:t>
            </w:r>
            <w:r>
              <w:rPr>
                <w:spacing w:val="1"/>
                <w:sz w:val="18"/>
              </w:rPr>
              <w:t> </w:t>
            </w:r>
            <w:r>
              <w:rPr>
                <w:sz w:val="18"/>
              </w:rPr>
              <w:t>improvement/initiative/change: Include a</w:t>
            </w:r>
            <w:r>
              <w:rPr>
                <w:spacing w:val="1"/>
                <w:sz w:val="18"/>
              </w:rPr>
              <w:t> </w:t>
            </w:r>
            <w:r>
              <w:rPr>
                <w:sz w:val="18"/>
              </w:rPr>
              <w:t>name (if you have one) and description of the</w:t>
            </w:r>
            <w:r>
              <w:rPr>
                <w:spacing w:val="-48"/>
                <w:sz w:val="18"/>
              </w:rPr>
              <w:t> </w:t>
            </w:r>
            <w:r>
              <w:rPr>
                <w:sz w:val="18"/>
              </w:rPr>
              <w:t>improvement</w:t>
            </w:r>
          </w:p>
        </w:tc>
        <w:tc>
          <w:tcPr>
            <w:tcW w:w="1886" w:type="dxa"/>
            <w:shd w:val="clear" w:color="auto" w:fill="F1F1F1"/>
          </w:tcPr>
          <w:p>
            <w:pPr>
              <w:pStyle w:val="TableParagraph"/>
              <w:spacing w:line="220" w:lineRule="exact"/>
              <w:ind w:left="137" w:right="128"/>
              <w:jc w:val="center"/>
              <w:rPr>
                <w:sz w:val="18"/>
              </w:rPr>
            </w:pPr>
            <w:r>
              <w:rPr>
                <w:sz w:val="18"/>
              </w:rPr>
              <w:t>39B</w:t>
            </w:r>
            <w:r>
              <w:rPr>
                <w:spacing w:val="1"/>
                <w:sz w:val="18"/>
              </w:rPr>
              <w:t> </w:t>
            </w:r>
            <w:r>
              <w:rPr>
                <w:sz w:val="18"/>
              </w:rPr>
              <w:t>Were</w:t>
            </w:r>
            <w:r>
              <w:rPr>
                <w:spacing w:val="-1"/>
                <w:sz w:val="18"/>
              </w:rPr>
              <w:t> </w:t>
            </w:r>
            <w:r>
              <w:rPr>
                <w:sz w:val="18"/>
              </w:rPr>
              <w:t>you</w:t>
            </w:r>
            <w:r>
              <w:rPr>
                <w:spacing w:val="1"/>
                <w:sz w:val="18"/>
              </w:rPr>
              <w:t> </w:t>
            </w:r>
            <w:r>
              <w:rPr>
                <w:sz w:val="18"/>
              </w:rPr>
              <w:t>working on this</w:t>
            </w:r>
            <w:r>
              <w:rPr>
                <w:spacing w:val="1"/>
                <w:sz w:val="18"/>
              </w:rPr>
              <w:t> </w:t>
            </w:r>
            <w:r>
              <w:rPr>
                <w:sz w:val="18"/>
              </w:rPr>
              <w:t>improvement prior</w:t>
            </w:r>
            <w:r>
              <w:rPr>
                <w:spacing w:val="-47"/>
                <w:sz w:val="18"/>
              </w:rPr>
              <w:t> </w:t>
            </w:r>
            <w:r>
              <w:rPr>
                <w:sz w:val="18"/>
              </w:rPr>
              <w:t>to HCH starting in</w:t>
            </w:r>
            <w:r>
              <w:rPr>
                <w:spacing w:val="1"/>
                <w:sz w:val="18"/>
              </w:rPr>
              <w:t> </w:t>
            </w:r>
            <w:r>
              <w:rPr>
                <w:sz w:val="18"/>
              </w:rPr>
              <w:t>this</w:t>
            </w:r>
            <w:r>
              <w:rPr>
                <w:spacing w:val="-2"/>
                <w:sz w:val="18"/>
              </w:rPr>
              <w:t> </w:t>
            </w:r>
            <w:r>
              <w:rPr>
                <w:sz w:val="18"/>
              </w:rPr>
              <w:t>practice?</w:t>
            </w:r>
          </w:p>
        </w:tc>
        <w:tc>
          <w:tcPr>
            <w:tcW w:w="4138" w:type="dxa"/>
            <w:vMerge w:val="restart"/>
            <w:shd w:val="clear" w:color="auto" w:fill="F1F1F1"/>
          </w:tcPr>
          <w:p>
            <w:pPr>
              <w:pStyle w:val="TableParagraph"/>
              <w:ind w:left="213" w:right="202"/>
              <w:jc w:val="center"/>
              <w:rPr>
                <w:sz w:val="18"/>
              </w:rPr>
            </w:pPr>
            <w:r>
              <w:rPr>
                <w:sz w:val="18"/>
              </w:rPr>
              <w:t>39C What measures have you identified to</w:t>
            </w:r>
            <w:r>
              <w:rPr>
                <w:spacing w:val="-48"/>
                <w:sz w:val="18"/>
              </w:rPr>
              <w:t> </w:t>
            </w:r>
            <w:r>
              <w:rPr>
                <w:sz w:val="18"/>
              </w:rPr>
              <w:t>track changes occurring from this</w:t>
            </w:r>
            <w:r>
              <w:rPr>
                <w:spacing w:val="1"/>
                <w:sz w:val="18"/>
              </w:rPr>
              <w:t> </w:t>
            </w:r>
            <w:r>
              <w:rPr>
                <w:sz w:val="18"/>
              </w:rPr>
              <w:t>improvement/initiative</w:t>
            </w:r>
            <w:r>
              <w:rPr>
                <w:spacing w:val="-1"/>
                <w:sz w:val="18"/>
              </w:rPr>
              <w:t> </w:t>
            </w:r>
            <w:r>
              <w:rPr>
                <w:sz w:val="18"/>
              </w:rPr>
              <w:t>change?</w:t>
            </w:r>
          </w:p>
        </w:tc>
        <w:tc>
          <w:tcPr>
            <w:tcW w:w="4430" w:type="dxa"/>
            <w:gridSpan w:val="4"/>
            <w:shd w:val="clear" w:color="auto" w:fill="F1F1F1"/>
          </w:tcPr>
          <w:p>
            <w:pPr>
              <w:pStyle w:val="TableParagraph"/>
              <w:ind w:left="119" w:right="100" w:hanging="2"/>
              <w:jc w:val="center"/>
              <w:rPr>
                <w:sz w:val="18"/>
              </w:rPr>
            </w:pPr>
            <w:r>
              <w:rPr>
                <w:sz w:val="18"/>
              </w:rPr>
              <w:t>39D What is your assessment of the progress for</w:t>
            </w:r>
            <w:r>
              <w:rPr>
                <w:spacing w:val="1"/>
                <w:sz w:val="18"/>
              </w:rPr>
              <w:t> </w:t>
            </w:r>
            <w:r>
              <w:rPr>
                <w:sz w:val="18"/>
              </w:rPr>
              <w:t>improvement/initiative/change</w:t>
            </w:r>
            <w:r>
              <w:rPr>
                <w:spacing w:val="-4"/>
                <w:sz w:val="18"/>
              </w:rPr>
              <w:t> </w:t>
            </w:r>
            <w:r>
              <w:rPr>
                <w:sz w:val="18"/>
              </w:rPr>
              <w:t>as</w:t>
            </w:r>
            <w:r>
              <w:rPr>
                <w:spacing w:val="-7"/>
                <w:sz w:val="18"/>
              </w:rPr>
              <w:t> </w:t>
            </w:r>
            <w:r>
              <w:rPr>
                <w:sz w:val="18"/>
              </w:rPr>
              <w:t>at</w:t>
            </w:r>
            <w:r>
              <w:rPr>
                <w:spacing w:val="-8"/>
                <w:sz w:val="18"/>
              </w:rPr>
              <w:t> </w:t>
            </w:r>
            <w:r>
              <w:rPr>
                <w:sz w:val="18"/>
              </w:rPr>
              <w:t>November</w:t>
            </w:r>
            <w:r>
              <w:rPr>
                <w:spacing w:val="-47"/>
                <w:sz w:val="18"/>
              </w:rPr>
              <w:t> </w:t>
            </w:r>
            <w:r>
              <w:rPr>
                <w:sz w:val="18"/>
              </w:rPr>
              <w:t>2019</w:t>
            </w:r>
            <w:r>
              <w:rPr>
                <w:spacing w:val="-1"/>
                <w:sz w:val="18"/>
              </w:rPr>
              <w:t> </w:t>
            </w:r>
            <w:r>
              <w:rPr>
                <w:sz w:val="18"/>
              </w:rPr>
              <w:t>for your</w:t>
            </w:r>
            <w:r>
              <w:rPr>
                <w:spacing w:val="-2"/>
                <w:sz w:val="18"/>
              </w:rPr>
              <w:t> </w:t>
            </w:r>
            <w:r>
              <w:rPr>
                <w:sz w:val="18"/>
              </w:rPr>
              <w:t>HCH</w:t>
            </w:r>
            <w:r>
              <w:rPr>
                <w:spacing w:val="-2"/>
                <w:sz w:val="18"/>
              </w:rPr>
              <w:t> </w:t>
            </w:r>
            <w:r>
              <w:rPr>
                <w:sz w:val="18"/>
              </w:rPr>
              <w:t>patients</w:t>
            </w:r>
          </w:p>
        </w:tc>
      </w:tr>
      <w:tr>
        <w:trPr>
          <w:trHeight w:val="441" w:hRule="atLeast"/>
        </w:trPr>
        <w:tc>
          <w:tcPr>
            <w:tcW w:w="422" w:type="dxa"/>
            <w:vMerge/>
            <w:tcBorders>
              <w:top w:val="nil"/>
            </w:tcBorders>
            <w:shd w:val="clear" w:color="auto" w:fill="F1F1F1"/>
          </w:tcPr>
          <w:p>
            <w:pPr>
              <w:rPr>
                <w:sz w:val="2"/>
                <w:szCs w:val="2"/>
              </w:rPr>
            </w:pPr>
          </w:p>
        </w:tc>
        <w:tc>
          <w:tcPr>
            <w:tcW w:w="4323" w:type="dxa"/>
            <w:vMerge/>
            <w:tcBorders>
              <w:top w:val="nil"/>
            </w:tcBorders>
            <w:shd w:val="clear" w:color="auto" w:fill="F1F1F1"/>
          </w:tcPr>
          <w:p>
            <w:pPr>
              <w:rPr>
                <w:sz w:val="2"/>
                <w:szCs w:val="2"/>
              </w:rPr>
            </w:pPr>
          </w:p>
        </w:tc>
        <w:tc>
          <w:tcPr>
            <w:tcW w:w="1886" w:type="dxa"/>
            <w:shd w:val="clear" w:color="auto" w:fill="F1F1F1"/>
          </w:tcPr>
          <w:p>
            <w:pPr>
              <w:pStyle w:val="TableParagraph"/>
              <w:spacing w:line="219" w:lineRule="exact"/>
              <w:ind w:left="137" w:right="128"/>
              <w:jc w:val="center"/>
              <w:rPr>
                <w:sz w:val="18"/>
              </w:rPr>
            </w:pPr>
            <w:r>
              <w:rPr>
                <w:sz w:val="18"/>
              </w:rPr>
              <w:t>Yes</w:t>
            </w:r>
          </w:p>
        </w:tc>
        <w:tc>
          <w:tcPr>
            <w:tcW w:w="4138" w:type="dxa"/>
            <w:vMerge/>
            <w:tcBorders>
              <w:top w:val="nil"/>
            </w:tcBorders>
            <w:shd w:val="clear" w:color="auto" w:fill="F1F1F1"/>
          </w:tcPr>
          <w:p>
            <w:pPr>
              <w:rPr>
                <w:sz w:val="2"/>
                <w:szCs w:val="2"/>
              </w:rPr>
            </w:pPr>
          </w:p>
        </w:tc>
        <w:tc>
          <w:tcPr>
            <w:tcW w:w="1600" w:type="dxa"/>
            <w:shd w:val="clear" w:color="auto" w:fill="F1F1F1"/>
          </w:tcPr>
          <w:p>
            <w:pPr>
              <w:pStyle w:val="TableParagraph"/>
              <w:spacing w:line="220" w:lineRule="exact"/>
              <w:ind w:left="109" w:right="90" w:firstLine="187"/>
              <w:rPr>
                <w:sz w:val="18"/>
              </w:rPr>
            </w:pPr>
            <w:r>
              <w:rPr>
                <w:sz w:val="18"/>
              </w:rPr>
              <w:t>Completed</w:t>
            </w:r>
            <w:r>
              <w:rPr>
                <w:spacing w:val="1"/>
                <w:sz w:val="18"/>
              </w:rPr>
              <w:t> </w:t>
            </w:r>
            <w:r>
              <w:rPr>
                <w:spacing w:val="-1"/>
                <w:sz w:val="18"/>
              </w:rPr>
              <w:t>implementation</w:t>
            </w:r>
          </w:p>
        </w:tc>
        <w:tc>
          <w:tcPr>
            <w:tcW w:w="942" w:type="dxa"/>
            <w:shd w:val="clear" w:color="auto" w:fill="F1F1F1"/>
          </w:tcPr>
          <w:p>
            <w:pPr>
              <w:pStyle w:val="TableParagraph"/>
              <w:spacing w:line="220" w:lineRule="exact"/>
              <w:ind w:left="110" w:right="75" w:firstLine="105"/>
              <w:rPr>
                <w:sz w:val="18"/>
              </w:rPr>
            </w:pPr>
            <w:r>
              <w:rPr>
                <w:sz w:val="18"/>
              </w:rPr>
              <w:t>Good</w:t>
            </w:r>
            <w:r>
              <w:rPr>
                <w:spacing w:val="1"/>
                <w:sz w:val="18"/>
              </w:rPr>
              <w:t> </w:t>
            </w:r>
            <w:r>
              <w:rPr>
                <w:sz w:val="18"/>
              </w:rPr>
              <w:t>progress</w:t>
            </w:r>
          </w:p>
        </w:tc>
        <w:tc>
          <w:tcPr>
            <w:tcW w:w="942" w:type="dxa"/>
            <w:shd w:val="clear" w:color="auto" w:fill="F1F1F1"/>
          </w:tcPr>
          <w:p>
            <w:pPr>
              <w:pStyle w:val="TableParagraph"/>
              <w:spacing w:line="220" w:lineRule="exact"/>
              <w:ind w:left="111" w:right="74" w:firstLine="50"/>
              <w:rPr>
                <w:sz w:val="18"/>
              </w:rPr>
            </w:pPr>
            <w:r>
              <w:rPr>
                <w:sz w:val="18"/>
              </w:rPr>
              <w:t>Limited</w:t>
            </w:r>
            <w:r>
              <w:rPr>
                <w:spacing w:val="1"/>
                <w:sz w:val="18"/>
              </w:rPr>
              <w:t> </w:t>
            </w:r>
            <w:r>
              <w:rPr>
                <w:sz w:val="18"/>
              </w:rPr>
              <w:t>progress</w:t>
            </w:r>
          </w:p>
        </w:tc>
        <w:tc>
          <w:tcPr>
            <w:tcW w:w="946" w:type="dxa"/>
            <w:shd w:val="clear" w:color="auto" w:fill="F1F1F1"/>
          </w:tcPr>
          <w:p>
            <w:pPr>
              <w:pStyle w:val="TableParagraph"/>
              <w:spacing w:line="220" w:lineRule="exact"/>
              <w:ind w:left="115" w:right="74" w:firstLine="237"/>
              <w:rPr>
                <w:sz w:val="18"/>
              </w:rPr>
            </w:pPr>
            <w:r>
              <w:rPr>
                <w:sz w:val="18"/>
              </w:rPr>
              <w:t>No</w:t>
            </w:r>
            <w:r>
              <w:rPr>
                <w:spacing w:val="1"/>
                <w:sz w:val="18"/>
              </w:rPr>
              <w:t> </w:t>
            </w:r>
            <w:r>
              <w:rPr>
                <w:sz w:val="18"/>
              </w:rPr>
              <w:t>progress</w:t>
            </w:r>
          </w:p>
        </w:tc>
      </w:tr>
      <w:tr>
        <w:trPr>
          <w:trHeight w:val="246" w:hRule="atLeast"/>
        </w:trPr>
        <w:tc>
          <w:tcPr>
            <w:tcW w:w="422" w:type="dxa"/>
          </w:tcPr>
          <w:p>
            <w:pPr>
              <w:pStyle w:val="TableParagraph"/>
              <w:spacing w:line="227" w:lineRule="exact"/>
              <w:ind w:left="107"/>
              <w:rPr>
                <w:sz w:val="20"/>
              </w:rPr>
            </w:pPr>
            <w:r>
              <w:rPr>
                <w:w w:val="99"/>
                <w:sz w:val="20"/>
              </w:rPr>
              <w:t>1</w:t>
            </w:r>
          </w:p>
        </w:tc>
        <w:tc>
          <w:tcPr>
            <w:tcW w:w="4323" w:type="dxa"/>
          </w:tcPr>
          <w:p>
            <w:pPr>
              <w:pStyle w:val="TableParagraph"/>
              <w:rPr>
                <w:rFonts w:ascii="Times New Roman"/>
                <w:sz w:val="16"/>
              </w:rPr>
            </w:pPr>
          </w:p>
        </w:tc>
        <w:tc>
          <w:tcPr>
            <w:tcW w:w="1886" w:type="dxa"/>
          </w:tcPr>
          <w:p>
            <w:pPr>
              <w:pStyle w:val="TableParagraph"/>
              <w:rPr>
                <w:rFonts w:ascii="Times New Roman"/>
                <w:sz w:val="16"/>
              </w:rPr>
            </w:pPr>
          </w:p>
        </w:tc>
        <w:tc>
          <w:tcPr>
            <w:tcW w:w="4138" w:type="dxa"/>
          </w:tcPr>
          <w:p>
            <w:pPr>
              <w:pStyle w:val="TableParagraph"/>
              <w:rPr>
                <w:rFonts w:ascii="Times New Roman"/>
                <w:sz w:val="16"/>
              </w:rPr>
            </w:pPr>
          </w:p>
        </w:tc>
        <w:tc>
          <w:tcPr>
            <w:tcW w:w="1600" w:type="dxa"/>
          </w:tcPr>
          <w:p>
            <w:pPr>
              <w:pStyle w:val="TableParagraph"/>
              <w:rPr>
                <w:rFonts w:ascii="Times New Roman"/>
                <w:sz w:val="16"/>
              </w:rPr>
            </w:pPr>
          </w:p>
        </w:tc>
        <w:tc>
          <w:tcPr>
            <w:tcW w:w="942" w:type="dxa"/>
          </w:tcPr>
          <w:p>
            <w:pPr>
              <w:pStyle w:val="TableParagraph"/>
              <w:rPr>
                <w:rFonts w:ascii="Times New Roman"/>
                <w:sz w:val="16"/>
              </w:rPr>
            </w:pPr>
          </w:p>
        </w:tc>
        <w:tc>
          <w:tcPr>
            <w:tcW w:w="942" w:type="dxa"/>
          </w:tcPr>
          <w:p>
            <w:pPr>
              <w:pStyle w:val="TableParagraph"/>
              <w:rPr>
                <w:rFonts w:ascii="Times New Roman"/>
                <w:sz w:val="16"/>
              </w:rPr>
            </w:pPr>
          </w:p>
        </w:tc>
        <w:tc>
          <w:tcPr>
            <w:tcW w:w="946" w:type="dxa"/>
          </w:tcPr>
          <w:p>
            <w:pPr>
              <w:pStyle w:val="TableParagraph"/>
              <w:rPr>
                <w:rFonts w:ascii="Times New Roman"/>
                <w:sz w:val="16"/>
              </w:rPr>
            </w:pPr>
          </w:p>
        </w:tc>
      </w:tr>
      <w:tr>
        <w:trPr>
          <w:trHeight w:val="244" w:hRule="atLeast"/>
        </w:trPr>
        <w:tc>
          <w:tcPr>
            <w:tcW w:w="422" w:type="dxa"/>
          </w:tcPr>
          <w:p>
            <w:pPr>
              <w:pStyle w:val="TableParagraph"/>
              <w:spacing w:line="224" w:lineRule="exact"/>
              <w:ind w:left="107"/>
              <w:rPr>
                <w:sz w:val="20"/>
              </w:rPr>
            </w:pPr>
            <w:r>
              <w:rPr>
                <w:w w:val="99"/>
                <w:sz w:val="20"/>
              </w:rPr>
              <w:t>2</w:t>
            </w:r>
          </w:p>
        </w:tc>
        <w:tc>
          <w:tcPr>
            <w:tcW w:w="4323" w:type="dxa"/>
          </w:tcPr>
          <w:p>
            <w:pPr>
              <w:pStyle w:val="TableParagraph"/>
              <w:rPr>
                <w:rFonts w:ascii="Times New Roman"/>
                <w:sz w:val="16"/>
              </w:rPr>
            </w:pPr>
          </w:p>
        </w:tc>
        <w:tc>
          <w:tcPr>
            <w:tcW w:w="1886" w:type="dxa"/>
          </w:tcPr>
          <w:p>
            <w:pPr>
              <w:pStyle w:val="TableParagraph"/>
              <w:rPr>
                <w:rFonts w:ascii="Times New Roman"/>
                <w:sz w:val="16"/>
              </w:rPr>
            </w:pPr>
          </w:p>
        </w:tc>
        <w:tc>
          <w:tcPr>
            <w:tcW w:w="4138" w:type="dxa"/>
          </w:tcPr>
          <w:p>
            <w:pPr>
              <w:pStyle w:val="TableParagraph"/>
              <w:rPr>
                <w:rFonts w:ascii="Times New Roman"/>
                <w:sz w:val="16"/>
              </w:rPr>
            </w:pPr>
          </w:p>
        </w:tc>
        <w:tc>
          <w:tcPr>
            <w:tcW w:w="1600" w:type="dxa"/>
          </w:tcPr>
          <w:p>
            <w:pPr>
              <w:pStyle w:val="TableParagraph"/>
              <w:rPr>
                <w:rFonts w:ascii="Times New Roman"/>
                <w:sz w:val="16"/>
              </w:rPr>
            </w:pPr>
          </w:p>
        </w:tc>
        <w:tc>
          <w:tcPr>
            <w:tcW w:w="942" w:type="dxa"/>
          </w:tcPr>
          <w:p>
            <w:pPr>
              <w:pStyle w:val="TableParagraph"/>
              <w:rPr>
                <w:rFonts w:ascii="Times New Roman"/>
                <w:sz w:val="16"/>
              </w:rPr>
            </w:pPr>
          </w:p>
        </w:tc>
        <w:tc>
          <w:tcPr>
            <w:tcW w:w="942" w:type="dxa"/>
          </w:tcPr>
          <w:p>
            <w:pPr>
              <w:pStyle w:val="TableParagraph"/>
              <w:rPr>
                <w:rFonts w:ascii="Times New Roman"/>
                <w:sz w:val="16"/>
              </w:rPr>
            </w:pPr>
          </w:p>
        </w:tc>
        <w:tc>
          <w:tcPr>
            <w:tcW w:w="946" w:type="dxa"/>
          </w:tcPr>
          <w:p>
            <w:pPr>
              <w:pStyle w:val="TableParagraph"/>
              <w:rPr>
                <w:rFonts w:ascii="Times New Roman"/>
                <w:sz w:val="16"/>
              </w:rPr>
            </w:pPr>
          </w:p>
        </w:tc>
      </w:tr>
      <w:tr>
        <w:trPr>
          <w:trHeight w:val="245" w:hRule="atLeast"/>
        </w:trPr>
        <w:tc>
          <w:tcPr>
            <w:tcW w:w="422" w:type="dxa"/>
          </w:tcPr>
          <w:p>
            <w:pPr>
              <w:pStyle w:val="TableParagraph"/>
              <w:spacing w:line="224" w:lineRule="exact" w:before="1"/>
              <w:ind w:left="107"/>
              <w:rPr>
                <w:sz w:val="20"/>
              </w:rPr>
            </w:pPr>
            <w:r>
              <w:rPr>
                <w:w w:val="99"/>
                <w:sz w:val="20"/>
              </w:rPr>
              <w:t>3</w:t>
            </w:r>
          </w:p>
        </w:tc>
        <w:tc>
          <w:tcPr>
            <w:tcW w:w="4323" w:type="dxa"/>
          </w:tcPr>
          <w:p>
            <w:pPr>
              <w:pStyle w:val="TableParagraph"/>
              <w:rPr>
                <w:rFonts w:ascii="Times New Roman"/>
                <w:sz w:val="16"/>
              </w:rPr>
            </w:pPr>
          </w:p>
        </w:tc>
        <w:tc>
          <w:tcPr>
            <w:tcW w:w="1886" w:type="dxa"/>
          </w:tcPr>
          <w:p>
            <w:pPr>
              <w:pStyle w:val="TableParagraph"/>
              <w:rPr>
                <w:rFonts w:ascii="Times New Roman"/>
                <w:sz w:val="16"/>
              </w:rPr>
            </w:pPr>
          </w:p>
        </w:tc>
        <w:tc>
          <w:tcPr>
            <w:tcW w:w="4138" w:type="dxa"/>
          </w:tcPr>
          <w:p>
            <w:pPr>
              <w:pStyle w:val="TableParagraph"/>
              <w:rPr>
                <w:rFonts w:ascii="Times New Roman"/>
                <w:sz w:val="16"/>
              </w:rPr>
            </w:pPr>
          </w:p>
        </w:tc>
        <w:tc>
          <w:tcPr>
            <w:tcW w:w="1600" w:type="dxa"/>
          </w:tcPr>
          <w:p>
            <w:pPr>
              <w:pStyle w:val="TableParagraph"/>
              <w:rPr>
                <w:rFonts w:ascii="Times New Roman"/>
                <w:sz w:val="16"/>
              </w:rPr>
            </w:pPr>
          </w:p>
        </w:tc>
        <w:tc>
          <w:tcPr>
            <w:tcW w:w="942" w:type="dxa"/>
          </w:tcPr>
          <w:p>
            <w:pPr>
              <w:pStyle w:val="TableParagraph"/>
              <w:rPr>
                <w:rFonts w:ascii="Times New Roman"/>
                <w:sz w:val="16"/>
              </w:rPr>
            </w:pPr>
          </w:p>
        </w:tc>
        <w:tc>
          <w:tcPr>
            <w:tcW w:w="942" w:type="dxa"/>
          </w:tcPr>
          <w:p>
            <w:pPr>
              <w:pStyle w:val="TableParagraph"/>
              <w:rPr>
                <w:rFonts w:ascii="Times New Roman"/>
                <w:sz w:val="16"/>
              </w:rPr>
            </w:pPr>
          </w:p>
        </w:tc>
        <w:tc>
          <w:tcPr>
            <w:tcW w:w="946" w:type="dxa"/>
          </w:tcPr>
          <w:p>
            <w:pPr>
              <w:pStyle w:val="TableParagraph"/>
              <w:rPr>
                <w:rFonts w:ascii="Times New Roman"/>
                <w:sz w:val="16"/>
              </w:rPr>
            </w:pPr>
          </w:p>
        </w:tc>
      </w:tr>
      <w:tr>
        <w:trPr>
          <w:trHeight w:val="246" w:hRule="atLeast"/>
        </w:trPr>
        <w:tc>
          <w:tcPr>
            <w:tcW w:w="422" w:type="dxa"/>
          </w:tcPr>
          <w:p>
            <w:pPr>
              <w:pStyle w:val="TableParagraph"/>
              <w:spacing w:line="227" w:lineRule="exact"/>
              <w:ind w:left="107"/>
              <w:rPr>
                <w:sz w:val="20"/>
              </w:rPr>
            </w:pPr>
            <w:r>
              <w:rPr>
                <w:w w:val="99"/>
                <w:sz w:val="20"/>
              </w:rPr>
              <w:t>4</w:t>
            </w:r>
          </w:p>
        </w:tc>
        <w:tc>
          <w:tcPr>
            <w:tcW w:w="4323" w:type="dxa"/>
          </w:tcPr>
          <w:p>
            <w:pPr>
              <w:pStyle w:val="TableParagraph"/>
              <w:rPr>
                <w:rFonts w:ascii="Times New Roman"/>
                <w:sz w:val="16"/>
              </w:rPr>
            </w:pPr>
          </w:p>
        </w:tc>
        <w:tc>
          <w:tcPr>
            <w:tcW w:w="1886" w:type="dxa"/>
          </w:tcPr>
          <w:p>
            <w:pPr>
              <w:pStyle w:val="TableParagraph"/>
              <w:rPr>
                <w:rFonts w:ascii="Times New Roman"/>
                <w:sz w:val="16"/>
              </w:rPr>
            </w:pPr>
          </w:p>
        </w:tc>
        <w:tc>
          <w:tcPr>
            <w:tcW w:w="4138" w:type="dxa"/>
          </w:tcPr>
          <w:p>
            <w:pPr>
              <w:pStyle w:val="TableParagraph"/>
              <w:rPr>
                <w:rFonts w:ascii="Times New Roman"/>
                <w:sz w:val="16"/>
              </w:rPr>
            </w:pPr>
          </w:p>
        </w:tc>
        <w:tc>
          <w:tcPr>
            <w:tcW w:w="1600" w:type="dxa"/>
          </w:tcPr>
          <w:p>
            <w:pPr>
              <w:pStyle w:val="TableParagraph"/>
              <w:rPr>
                <w:rFonts w:ascii="Times New Roman"/>
                <w:sz w:val="16"/>
              </w:rPr>
            </w:pPr>
          </w:p>
        </w:tc>
        <w:tc>
          <w:tcPr>
            <w:tcW w:w="942" w:type="dxa"/>
          </w:tcPr>
          <w:p>
            <w:pPr>
              <w:pStyle w:val="TableParagraph"/>
              <w:rPr>
                <w:rFonts w:ascii="Times New Roman"/>
                <w:sz w:val="16"/>
              </w:rPr>
            </w:pPr>
          </w:p>
        </w:tc>
        <w:tc>
          <w:tcPr>
            <w:tcW w:w="942" w:type="dxa"/>
          </w:tcPr>
          <w:p>
            <w:pPr>
              <w:pStyle w:val="TableParagraph"/>
              <w:rPr>
                <w:rFonts w:ascii="Times New Roman"/>
                <w:sz w:val="16"/>
              </w:rPr>
            </w:pPr>
          </w:p>
        </w:tc>
        <w:tc>
          <w:tcPr>
            <w:tcW w:w="946" w:type="dxa"/>
          </w:tcPr>
          <w:p>
            <w:pPr>
              <w:pStyle w:val="TableParagraph"/>
              <w:rPr>
                <w:rFonts w:ascii="Times New Roman"/>
                <w:sz w:val="16"/>
              </w:rPr>
            </w:pPr>
          </w:p>
        </w:tc>
      </w:tr>
      <w:tr>
        <w:trPr>
          <w:trHeight w:val="244" w:hRule="atLeast"/>
        </w:trPr>
        <w:tc>
          <w:tcPr>
            <w:tcW w:w="422" w:type="dxa"/>
          </w:tcPr>
          <w:p>
            <w:pPr>
              <w:pStyle w:val="TableParagraph"/>
              <w:spacing w:line="224" w:lineRule="exact"/>
              <w:ind w:left="107"/>
              <w:rPr>
                <w:sz w:val="20"/>
              </w:rPr>
            </w:pPr>
            <w:r>
              <w:rPr>
                <w:w w:val="99"/>
                <w:sz w:val="20"/>
              </w:rPr>
              <w:t>5</w:t>
            </w:r>
          </w:p>
        </w:tc>
        <w:tc>
          <w:tcPr>
            <w:tcW w:w="4323" w:type="dxa"/>
          </w:tcPr>
          <w:p>
            <w:pPr>
              <w:pStyle w:val="TableParagraph"/>
              <w:rPr>
                <w:rFonts w:ascii="Times New Roman"/>
                <w:sz w:val="16"/>
              </w:rPr>
            </w:pPr>
          </w:p>
        </w:tc>
        <w:tc>
          <w:tcPr>
            <w:tcW w:w="1886" w:type="dxa"/>
          </w:tcPr>
          <w:p>
            <w:pPr>
              <w:pStyle w:val="TableParagraph"/>
              <w:rPr>
                <w:rFonts w:ascii="Times New Roman"/>
                <w:sz w:val="16"/>
              </w:rPr>
            </w:pPr>
          </w:p>
        </w:tc>
        <w:tc>
          <w:tcPr>
            <w:tcW w:w="4138" w:type="dxa"/>
          </w:tcPr>
          <w:p>
            <w:pPr>
              <w:pStyle w:val="TableParagraph"/>
              <w:rPr>
                <w:rFonts w:ascii="Times New Roman"/>
                <w:sz w:val="16"/>
              </w:rPr>
            </w:pPr>
          </w:p>
        </w:tc>
        <w:tc>
          <w:tcPr>
            <w:tcW w:w="1600" w:type="dxa"/>
          </w:tcPr>
          <w:p>
            <w:pPr>
              <w:pStyle w:val="TableParagraph"/>
              <w:rPr>
                <w:rFonts w:ascii="Times New Roman"/>
                <w:sz w:val="16"/>
              </w:rPr>
            </w:pPr>
          </w:p>
        </w:tc>
        <w:tc>
          <w:tcPr>
            <w:tcW w:w="942" w:type="dxa"/>
          </w:tcPr>
          <w:p>
            <w:pPr>
              <w:pStyle w:val="TableParagraph"/>
              <w:rPr>
                <w:rFonts w:ascii="Times New Roman"/>
                <w:sz w:val="16"/>
              </w:rPr>
            </w:pPr>
          </w:p>
        </w:tc>
        <w:tc>
          <w:tcPr>
            <w:tcW w:w="942" w:type="dxa"/>
          </w:tcPr>
          <w:p>
            <w:pPr>
              <w:pStyle w:val="TableParagraph"/>
              <w:rPr>
                <w:rFonts w:ascii="Times New Roman"/>
                <w:sz w:val="16"/>
              </w:rPr>
            </w:pPr>
          </w:p>
        </w:tc>
        <w:tc>
          <w:tcPr>
            <w:tcW w:w="946" w:type="dxa"/>
          </w:tcPr>
          <w:p>
            <w:pPr>
              <w:pStyle w:val="TableParagraph"/>
              <w:rPr>
                <w:rFonts w:ascii="Times New Roman"/>
                <w:sz w:val="16"/>
              </w:rPr>
            </w:pPr>
          </w:p>
        </w:tc>
      </w:tr>
      <w:tr>
        <w:trPr>
          <w:trHeight w:val="244" w:hRule="atLeast"/>
        </w:trPr>
        <w:tc>
          <w:tcPr>
            <w:tcW w:w="422" w:type="dxa"/>
          </w:tcPr>
          <w:p>
            <w:pPr>
              <w:pStyle w:val="TableParagraph"/>
              <w:spacing w:line="224" w:lineRule="exact"/>
              <w:ind w:left="107"/>
              <w:rPr>
                <w:sz w:val="20"/>
              </w:rPr>
            </w:pPr>
            <w:r>
              <w:rPr>
                <w:w w:val="99"/>
                <w:sz w:val="20"/>
              </w:rPr>
              <w:t>6</w:t>
            </w:r>
          </w:p>
        </w:tc>
        <w:tc>
          <w:tcPr>
            <w:tcW w:w="4323" w:type="dxa"/>
          </w:tcPr>
          <w:p>
            <w:pPr>
              <w:pStyle w:val="TableParagraph"/>
              <w:rPr>
                <w:rFonts w:ascii="Times New Roman"/>
                <w:sz w:val="16"/>
              </w:rPr>
            </w:pPr>
          </w:p>
        </w:tc>
        <w:tc>
          <w:tcPr>
            <w:tcW w:w="1886" w:type="dxa"/>
          </w:tcPr>
          <w:p>
            <w:pPr>
              <w:pStyle w:val="TableParagraph"/>
              <w:rPr>
                <w:rFonts w:ascii="Times New Roman"/>
                <w:sz w:val="16"/>
              </w:rPr>
            </w:pPr>
          </w:p>
        </w:tc>
        <w:tc>
          <w:tcPr>
            <w:tcW w:w="4138" w:type="dxa"/>
          </w:tcPr>
          <w:p>
            <w:pPr>
              <w:pStyle w:val="TableParagraph"/>
              <w:rPr>
                <w:rFonts w:ascii="Times New Roman"/>
                <w:sz w:val="16"/>
              </w:rPr>
            </w:pPr>
          </w:p>
        </w:tc>
        <w:tc>
          <w:tcPr>
            <w:tcW w:w="1600" w:type="dxa"/>
          </w:tcPr>
          <w:p>
            <w:pPr>
              <w:pStyle w:val="TableParagraph"/>
              <w:rPr>
                <w:rFonts w:ascii="Times New Roman"/>
                <w:sz w:val="16"/>
              </w:rPr>
            </w:pPr>
          </w:p>
        </w:tc>
        <w:tc>
          <w:tcPr>
            <w:tcW w:w="942" w:type="dxa"/>
          </w:tcPr>
          <w:p>
            <w:pPr>
              <w:pStyle w:val="TableParagraph"/>
              <w:rPr>
                <w:rFonts w:ascii="Times New Roman"/>
                <w:sz w:val="16"/>
              </w:rPr>
            </w:pPr>
          </w:p>
        </w:tc>
        <w:tc>
          <w:tcPr>
            <w:tcW w:w="942" w:type="dxa"/>
          </w:tcPr>
          <w:p>
            <w:pPr>
              <w:pStyle w:val="TableParagraph"/>
              <w:rPr>
                <w:rFonts w:ascii="Times New Roman"/>
                <w:sz w:val="16"/>
              </w:rPr>
            </w:pPr>
          </w:p>
        </w:tc>
        <w:tc>
          <w:tcPr>
            <w:tcW w:w="946" w:type="dxa"/>
          </w:tcPr>
          <w:p>
            <w:pPr>
              <w:pStyle w:val="TableParagraph"/>
              <w:rPr>
                <w:rFonts w:ascii="Times New Roman"/>
                <w:sz w:val="16"/>
              </w:rPr>
            </w:pPr>
          </w:p>
        </w:tc>
      </w:tr>
    </w:tbl>
    <w:p>
      <w:pPr>
        <w:spacing w:after="0"/>
        <w:rPr>
          <w:rFonts w:ascii="Times New Roman"/>
          <w:sz w:val="16"/>
        </w:rPr>
        <w:sectPr>
          <w:pgSz w:w="16840" w:h="11910" w:orient="landscape"/>
          <w:pgMar w:header="0" w:footer="947" w:top="860" w:bottom="1140" w:left="620" w:right="600"/>
        </w:sectPr>
      </w:pPr>
    </w:p>
    <w:p>
      <w:pPr>
        <w:spacing w:before="75"/>
        <w:ind w:left="140" w:right="0" w:firstLine="0"/>
        <w:jc w:val="left"/>
        <w:rPr>
          <w:sz w:val="18"/>
        </w:rPr>
      </w:pPr>
      <w:r>
        <w:rPr>
          <w:sz w:val="18"/>
        </w:rPr>
        <w:t>The</w:t>
      </w:r>
      <w:r>
        <w:rPr>
          <w:spacing w:val="-3"/>
          <w:sz w:val="18"/>
        </w:rPr>
        <w:t> </w:t>
      </w:r>
      <w:r>
        <w:rPr>
          <w:sz w:val="18"/>
        </w:rPr>
        <w:t>following</w:t>
      </w:r>
      <w:r>
        <w:rPr>
          <w:spacing w:val="-4"/>
          <w:sz w:val="18"/>
        </w:rPr>
        <w:t> </w:t>
      </w:r>
      <w:r>
        <w:rPr>
          <w:sz w:val="18"/>
        </w:rPr>
        <w:t>questions</w:t>
      </w:r>
      <w:r>
        <w:rPr>
          <w:spacing w:val="-2"/>
          <w:sz w:val="18"/>
        </w:rPr>
        <w:t> </w:t>
      </w:r>
      <w:r>
        <w:rPr>
          <w:sz w:val="18"/>
        </w:rPr>
        <w:t>are</w:t>
      </w:r>
      <w:r>
        <w:rPr>
          <w:spacing w:val="-6"/>
          <w:sz w:val="18"/>
        </w:rPr>
        <w:t> </w:t>
      </w:r>
      <w:r>
        <w:rPr>
          <w:sz w:val="18"/>
        </w:rPr>
        <w:t>about</w:t>
      </w:r>
      <w:r>
        <w:rPr>
          <w:spacing w:val="-4"/>
          <w:sz w:val="18"/>
        </w:rPr>
        <w:t> </w:t>
      </w:r>
      <w:r>
        <w:rPr>
          <w:sz w:val="18"/>
        </w:rPr>
        <w:t>some</w:t>
      </w:r>
      <w:r>
        <w:rPr>
          <w:spacing w:val="-2"/>
          <w:sz w:val="18"/>
        </w:rPr>
        <w:t> </w:t>
      </w:r>
      <w:r>
        <w:rPr>
          <w:sz w:val="18"/>
        </w:rPr>
        <w:t>of</w:t>
      </w:r>
      <w:r>
        <w:rPr>
          <w:spacing w:val="-1"/>
          <w:sz w:val="18"/>
        </w:rPr>
        <w:t> </w:t>
      </w:r>
      <w:r>
        <w:rPr>
          <w:sz w:val="18"/>
        </w:rPr>
        <w:t>the</w:t>
      </w:r>
      <w:r>
        <w:rPr>
          <w:spacing w:val="2"/>
          <w:sz w:val="18"/>
        </w:rPr>
        <w:t> </w:t>
      </w:r>
      <w:r>
        <w:rPr>
          <w:sz w:val="18"/>
          <w:u w:val="single"/>
        </w:rPr>
        <w:t>financial</w:t>
      </w:r>
      <w:r>
        <w:rPr>
          <w:spacing w:val="-2"/>
          <w:sz w:val="18"/>
          <w:u w:val="single"/>
        </w:rPr>
        <w:t> </w:t>
      </w:r>
      <w:r>
        <w:rPr>
          <w:sz w:val="18"/>
          <w:u w:val="single"/>
        </w:rPr>
        <w:t>impacts</w:t>
      </w:r>
      <w:r>
        <w:rPr>
          <w:spacing w:val="-3"/>
          <w:sz w:val="18"/>
          <w:u w:val="single"/>
        </w:rPr>
        <w:t> </w:t>
      </w:r>
      <w:r>
        <w:rPr>
          <w:sz w:val="18"/>
          <w:u w:val="single"/>
        </w:rPr>
        <w:t>of</w:t>
      </w:r>
      <w:r>
        <w:rPr>
          <w:spacing w:val="-2"/>
          <w:sz w:val="18"/>
          <w:u w:val="single"/>
        </w:rPr>
        <w:t> </w:t>
      </w:r>
      <w:r>
        <w:rPr>
          <w:sz w:val="18"/>
          <w:u w:val="single"/>
        </w:rPr>
        <w:t>HCH on</w:t>
      </w:r>
      <w:r>
        <w:rPr>
          <w:spacing w:val="-2"/>
          <w:sz w:val="18"/>
          <w:u w:val="single"/>
        </w:rPr>
        <w:t> </w:t>
      </w:r>
      <w:r>
        <w:rPr>
          <w:sz w:val="18"/>
          <w:u w:val="single"/>
        </w:rPr>
        <w:t>you</w:t>
      </w:r>
      <w:r>
        <w:rPr>
          <w:spacing w:val="-2"/>
          <w:sz w:val="18"/>
          <w:u w:val="single"/>
        </w:rPr>
        <w:t> </w:t>
      </w:r>
      <w:r>
        <w:rPr>
          <w:sz w:val="18"/>
          <w:u w:val="single"/>
        </w:rPr>
        <w:t>practice.</w:t>
      </w:r>
    </w:p>
    <w:p>
      <w:pPr>
        <w:pStyle w:val="BodyText"/>
        <w:spacing w:before="11"/>
        <w:rPr>
          <w:sz w:val="10"/>
        </w:rPr>
      </w:pPr>
    </w:p>
    <w:p>
      <w:pPr>
        <w:spacing w:before="100"/>
        <w:ind w:left="140" w:right="0" w:firstLine="0"/>
        <w:jc w:val="left"/>
        <w:rPr>
          <w:b/>
          <w:sz w:val="18"/>
        </w:rPr>
      </w:pPr>
      <w:r>
        <w:rPr>
          <w:b/>
          <w:sz w:val="18"/>
        </w:rPr>
        <w:t>Initial</w:t>
      </w:r>
      <w:r>
        <w:rPr>
          <w:b/>
          <w:spacing w:val="-2"/>
          <w:sz w:val="18"/>
        </w:rPr>
        <w:t> </w:t>
      </w:r>
      <w:r>
        <w:rPr>
          <w:b/>
          <w:sz w:val="18"/>
        </w:rPr>
        <w:t>establishment</w:t>
      </w:r>
      <w:r>
        <w:rPr>
          <w:b/>
          <w:spacing w:val="-4"/>
          <w:sz w:val="18"/>
        </w:rPr>
        <w:t> </w:t>
      </w:r>
      <w:r>
        <w:rPr>
          <w:b/>
          <w:sz w:val="18"/>
        </w:rPr>
        <w:t>of</w:t>
      </w:r>
      <w:r>
        <w:rPr>
          <w:b/>
          <w:spacing w:val="-3"/>
          <w:sz w:val="18"/>
        </w:rPr>
        <w:t> </w:t>
      </w:r>
      <w:r>
        <w:rPr>
          <w:b/>
          <w:sz w:val="18"/>
        </w:rPr>
        <w:t>HCH</w:t>
      </w:r>
      <w:r>
        <w:rPr>
          <w:b/>
          <w:spacing w:val="-3"/>
          <w:sz w:val="18"/>
        </w:rPr>
        <w:t> </w:t>
      </w:r>
      <w:r>
        <w:rPr>
          <w:b/>
          <w:sz w:val="18"/>
        </w:rPr>
        <w:t>in</w:t>
      </w:r>
      <w:r>
        <w:rPr>
          <w:b/>
          <w:spacing w:val="-1"/>
          <w:sz w:val="18"/>
        </w:rPr>
        <w:t> </w:t>
      </w:r>
      <w:r>
        <w:rPr>
          <w:b/>
          <w:sz w:val="18"/>
        </w:rPr>
        <w:t>this</w:t>
      </w:r>
      <w:r>
        <w:rPr>
          <w:b/>
          <w:spacing w:val="-2"/>
          <w:sz w:val="18"/>
        </w:rPr>
        <w:t> </w:t>
      </w:r>
      <w:r>
        <w:rPr>
          <w:b/>
          <w:sz w:val="18"/>
        </w:rPr>
        <w:t>practice</w:t>
      </w:r>
    </w:p>
    <w:p>
      <w:pPr>
        <w:pStyle w:val="BodyText"/>
        <w:rPr>
          <w:b/>
          <w:sz w:val="19"/>
        </w:rPr>
      </w:pPr>
    </w:p>
    <w:p>
      <w:pPr>
        <w:pStyle w:val="ListParagraph"/>
        <w:numPr>
          <w:ilvl w:val="0"/>
          <w:numId w:val="76"/>
        </w:numPr>
        <w:tabs>
          <w:tab w:pos="424" w:val="left" w:leader="none"/>
        </w:tabs>
        <w:spacing w:line="240" w:lineRule="auto" w:before="0" w:after="0"/>
        <w:ind w:left="423" w:right="614" w:hanging="284"/>
        <w:jc w:val="left"/>
        <w:rPr>
          <w:sz w:val="18"/>
        </w:rPr>
      </w:pPr>
      <w:r>
        <w:rPr>
          <w:sz w:val="18"/>
        </w:rPr>
        <w:t>Could you estimate the </w:t>
      </w:r>
      <w:r>
        <w:rPr>
          <w:sz w:val="18"/>
          <w:u w:val="single"/>
        </w:rPr>
        <w:t>total time (in days) </w:t>
      </w:r>
      <w:r>
        <w:rPr>
          <w:sz w:val="18"/>
        </w:rPr>
        <w:t>associated with preparing for and implementing the HCH program at</w:t>
      </w:r>
      <w:r>
        <w:rPr>
          <w:spacing w:val="-47"/>
          <w:sz w:val="18"/>
        </w:rPr>
        <w:t> </w:t>
      </w:r>
      <w:r>
        <w:rPr>
          <w:sz w:val="18"/>
        </w:rPr>
        <w:t>your</w:t>
      </w:r>
      <w:r>
        <w:rPr>
          <w:spacing w:val="-1"/>
          <w:sz w:val="18"/>
        </w:rPr>
        <w:t> </w:t>
      </w:r>
      <w:r>
        <w:rPr>
          <w:sz w:val="18"/>
        </w:rPr>
        <w:t>practice?</w:t>
      </w:r>
    </w:p>
    <w:p>
      <w:pPr>
        <w:pStyle w:val="BodyText"/>
        <w:spacing w:before="11"/>
        <w:rPr>
          <w:sz w:val="9"/>
        </w:rPr>
      </w:pPr>
    </w:p>
    <w:tbl>
      <w:tblPr>
        <w:tblW w:w="0" w:type="auto"/>
        <w:jc w:val="left"/>
        <w:tblInd w:w="5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039"/>
        <w:gridCol w:w="1411"/>
        <w:gridCol w:w="1411"/>
        <w:gridCol w:w="1413"/>
        <w:gridCol w:w="1411"/>
        <w:gridCol w:w="1410"/>
      </w:tblGrid>
      <w:tr>
        <w:trPr>
          <w:trHeight w:val="882" w:hRule="atLeast"/>
        </w:trPr>
        <w:tc>
          <w:tcPr>
            <w:tcW w:w="3039" w:type="dxa"/>
            <w:vMerge w:val="restart"/>
            <w:shd w:val="clear" w:color="auto" w:fill="F1F1F1"/>
          </w:tcPr>
          <w:p>
            <w:pPr>
              <w:pStyle w:val="TableParagraph"/>
              <w:ind w:left="825" w:right="371" w:hanging="444"/>
              <w:rPr>
                <w:sz w:val="18"/>
              </w:rPr>
            </w:pPr>
            <w:r>
              <w:rPr>
                <w:sz w:val="18"/>
              </w:rPr>
              <w:t>Staff</w:t>
            </w:r>
            <w:r>
              <w:rPr>
                <w:spacing w:val="-5"/>
                <w:sz w:val="18"/>
              </w:rPr>
              <w:t> </w:t>
            </w:r>
            <w:r>
              <w:rPr>
                <w:sz w:val="18"/>
              </w:rPr>
              <w:t>directly</w:t>
            </w:r>
            <w:r>
              <w:rPr>
                <w:spacing w:val="-5"/>
                <w:sz w:val="18"/>
              </w:rPr>
              <w:t> </w:t>
            </w:r>
            <w:r>
              <w:rPr>
                <w:sz w:val="18"/>
              </w:rPr>
              <w:t>involved</w:t>
            </w:r>
            <w:r>
              <w:rPr>
                <w:spacing w:val="-6"/>
                <w:sz w:val="18"/>
              </w:rPr>
              <w:t> </w:t>
            </w:r>
            <w:r>
              <w:rPr>
                <w:sz w:val="18"/>
              </w:rPr>
              <w:t>with</w:t>
            </w:r>
            <w:r>
              <w:rPr>
                <w:spacing w:val="-47"/>
                <w:sz w:val="18"/>
              </w:rPr>
              <w:t> </w:t>
            </w:r>
            <w:r>
              <w:rPr>
                <w:sz w:val="18"/>
              </w:rPr>
              <w:t>implementation</w:t>
            </w:r>
          </w:p>
        </w:tc>
        <w:tc>
          <w:tcPr>
            <w:tcW w:w="1411" w:type="dxa"/>
            <w:shd w:val="clear" w:color="auto" w:fill="F1F1F1"/>
          </w:tcPr>
          <w:p>
            <w:pPr>
              <w:pStyle w:val="TableParagraph"/>
              <w:ind w:left="324" w:right="313" w:firstLine="21"/>
              <w:jc w:val="both"/>
              <w:rPr>
                <w:sz w:val="18"/>
              </w:rPr>
            </w:pPr>
            <w:r>
              <w:rPr>
                <w:sz w:val="18"/>
              </w:rPr>
              <w:t>Pre HCH</w:t>
            </w:r>
            <w:r>
              <w:rPr>
                <w:spacing w:val="-47"/>
                <w:sz w:val="18"/>
              </w:rPr>
              <w:t> </w:t>
            </w:r>
            <w:r>
              <w:rPr>
                <w:sz w:val="18"/>
              </w:rPr>
              <w:t>contract</w:t>
            </w:r>
            <w:r>
              <w:rPr>
                <w:spacing w:val="-48"/>
                <w:sz w:val="18"/>
              </w:rPr>
              <w:t> </w:t>
            </w:r>
            <w:r>
              <w:rPr>
                <w:sz w:val="18"/>
              </w:rPr>
              <w:t>activities</w:t>
            </w:r>
          </w:p>
        </w:tc>
        <w:tc>
          <w:tcPr>
            <w:tcW w:w="1411" w:type="dxa"/>
            <w:shd w:val="clear" w:color="auto" w:fill="F1F1F1"/>
          </w:tcPr>
          <w:p>
            <w:pPr>
              <w:pStyle w:val="TableParagraph"/>
              <w:ind w:left="185" w:right="154" w:firstLine="297"/>
              <w:rPr>
                <w:sz w:val="18"/>
              </w:rPr>
            </w:pPr>
            <w:r>
              <w:rPr>
                <w:sz w:val="18"/>
              </w:rPr>
              <w:t>Initial</w:t>
            </w:r>
            <w:r>
              <w:rPr>
                <w:spacing w:val="1"/>
                <w:sz w:val="18"/>
              </w:rPr>
              <w:t> </w:t>
            </w:r>
            <w:r>
              <w:rPr>
                <w:sz w:val="18"/>
              </w:rPr>
              <w:t>preparation</w:t>
            </w:r>
          </w:p>
        </w:tc>
        <w:tc>
          <w:tcPr>
            <w:tcW w:w="1413" w:type="dxa"/>
            <w:shd w:val="clear" w:color="auto" w:fill="F1F1F1"/>
          </w:tcPr>
          <w:p>
            <w:pPr>
              <w:pStyle w:val="TableParagraph"/>
              <w:ind w:left="111" w:right="92" w:firstLine="57"/>
              <w:rPr>
                <w:sz w:val="18"/>
              </w:rPr>
            </w:pPr>
            <w:r>
              <w:rPr>
                <w:sz w:val="18"/>
              </w:rPr>
              <w:t>Training and</w:t>
            </w:r>
            <w:r>
              <w:rPr>
                <w:spacing w:val="1"/>
                <w:sz w:val="18"/>
              </w:rPr>
              <w:t> </w:t>
            </w:r>
            <w:r>
              <w:rPr>
                <w:spacing w:val="-1"/>
                <w:sz w:val="18"/>
              </w:rPr>
              <w:t>development</w:t>
            </w:r>
          </w:p>
        </w:tc>
        <w:tc>
          <w:tcPr>
            <w:tcW w:w="1411" w:type="dxa"/>
            <w:shd w:val="clear" w:color="auto" w:fill="F1F1F1"/>
          </w:tcPr>
          <w:p>
            <w:pPr>
              <w:pStyle w:val="TableParagraph"/>
              <w:ind w:left="325" w:right="230" w:hanging="77"/>
              <w:rPr>
                <w:sz w:val="18"/>
              </w:rPr>
            </w:pPr>
            <w:r>
              <w:rPr>
                <w:spacing w:val="-1"/>
                <w:sz w:val="18"/>
              </w:rPr>
              <w:t>Evaluation</w:t>
            </w:r>
            <w:r>
              <w:rPr>
                <w:spacing w:val="-47"/>
                <w:sz w:val="18"/>
              </w:rPr>
              <w:t> </w:t>
            </w:r>
            <w:r>
              <w:rPr>
                <w:sz w:val="18"/>
              </w:rPr>
              <w:t>activities</w:t>
            </w:r>
          </w:p>
        </w:tc>
        <w:tc>
          <w:tcPr>
            <w:tcW w:w="1410" w:type="dxa"/>
            <w:shd w:val="clear" w:color="auto" w:fill="F1F1F1"/>
          </w:tcPr>
          <w:p>
            <w:pPr>
              <w:pStyle w:val="TableParagraph"/>
              <w:spacing w:line="219" w:lineRule="exact"/>
              <w:ind w:left="458"/>
              <w:rPr>
                <w:sz w:val="18"/>
              </w:rPr>
            </w:pPr>
            <w:r>
              <w:rPr>
                <w:sz w:val="18"/>
              </w:rPr>
              <w:t>Other</w:t>
            </w:r>
          </w:p>
        </w:tc>
      </w:tr>
      <w:tr>
        <w:trPr>
          <w:trHeight w:val="220" w:hRule="atLeast"/>
        </w:trPr>
        <w:tc>
          <w:tcPr>
            <w:tcW w:w="3039" w:type="dxa"/>
            <w:vMerge/>
            <w:tcBorders>
              <w:top w:val="nil"/>
            </w:tcBorders>
            <w:shd w:val="clear" w:color="auto" w:fill="F1F1F1"/>
          </w:tcPr>
          <w:p>
            <w:pPr>
              <w:rPr>
                <w:sz w:val="2"/>
                <w:szCs w:val="2"/>
              </w:rPr>
            </w:pPr>
          </w:p>
        </w:tc>
        <w:tc>
          <w:tcPr>
            <w:tcW w:w="7056" w:type="dxa"/>
            <w:gridSpan w:val="5"/>
            <w:shd w:val="clear" w:color="auto" w:fill="F1F1F1"/>
          </w:tcPr>
          <w:p>
            <w:pPr>
              <w:pStyle w:val="TableParagraph"/>
              <w:spacing w:line="200" w:lineRule="exact"/>
              <w:ind w:left="3299" w:right="3283"/>
              <w:jc w:val="center"/>
              <w:rPr>
                <w:sz w:val="18"/>
              </w:rPr>
            </w:pPr>
            <w:r>
              <w:rPr>
                <w:sz w:val="18"/>
              </w:rPr>
              <w:t>Days</w:t>
            </w:r>
          </w:p>
        </w:tc>
      </w:tr>
      <w:tr>
        <w:trPr>
          <w:trHeight w:val="220" w:hRule="atLeast"/>
        </w:trPr>
        <w:tc>
          <w:tcPr>
            <w:tcW w:w="3039" w:type="dxa"/>
          </w:tcPr>
          <w:p>
            <w:pPr>
              <w:pStyle w:val="TableParagraph"/>
              <w:spacing w:line="200" w:lineRule="exact"/>
              <w:ind w:left="107"/>
              <w:rPr>
                <w:sz w:val="18"/>
              </w:rPr>
            </w:pPr>
            <w:r>
              <w:rPr>
                <w:sz w:val="18"/>
              </w:rPr>
              <w:t>General</w:t>
            </w:r>
            <w:r>
              <w:rPr>
                <w:spacing w:val="-3"/>
                <w:sz w:val="18"/>
              </w:rPr>
              <w:t> </w:t>
            </w:r>
            <w:r>
              <w:rPr>
                <w:sz w:val="18"/>
              </w:rPr>
              <w:t>practitioners</w:t>
            </w:r>
          </w:p>
        </w:tc>
        <w:tc>
          <w:tcPr>
            <w:tcW w:w="1411" w:type="dxa"/>
          </w:tcPr>
          <w:p>
            <w:pPr>
              <w:pStyle w:val="TableParagraph"/>
              <w:rPr>
                <w:rFonts w:ascii="Times New Roman"/>
                <w:sz w:val="14"/>
              </w:rPr>
            </w:pPr>
          </w:p>
        </w:tc>
        <w:tc>
          <w:tcPr>
            <w:tcW w:w="1411" w:type="dxa"/>
          </w:tcPr>
          <w:p>
            <w:pPr>
              <w:pStyle w:val="TableParagraph"/>
              <w:rPr>
                <w:rFonts w:ascii="Times New Roman"/>
                <w:sz w:val="14"/>
              </w:rPr>
            </w:pPr>
          </w:p>
        </w:tc>
        <w:tc>
          <w:tcPr>
            <w:tcW w:w="1413" w:type="dxa"/>
          </w:tcPr>
          <w:p>
            <w:pPr>
              <w:pStyle w:val="TableParagraph"/>
              <w:rPr>
                <w:rFonts w:ascii="Times New Roman"/>
                <w:sz w:val="14"/>
              </w:rPr>
            </w:pPr>
          </w:p>
        </w:tc>
        <w:tc>
          <w:tcPr>
            <w:tcW w:w="1411" w:type="dxa"/>
          </w:tcPr>
          <w:p>
            <w:pPr>
              <w:pStyle w:val="TableParagraph"/>
              <w:rPr>
                <w:rFonts w:ascii="Times New Roman"/>
                <w:sz w:val="14"/>
              </w:rPr>
            </w:pPr>
          </w:p>
        </w:tc>
        <w:tc>
          <w:tcPr>
            <w:tcW w:w="1410" w:type="dxa"/>
          </w:tcPr>
          <w:p>
            <w:pPr>
              <w:pStyle w:val="TableParagraph"/>
              <w:rPr>
                <w:rFonts w:ascii="Times New Roman"/>
                <w:sz w:val="14"/>
              </w:rPr>
            </w:pPr>
          </w:p>
        </w:tc>
      </w:tr>
      <w:tr>
        <w:trPr>
          <w:trHeight w:val="220" w:hRule="atLeast"/>
        </w:trPr>
        <w:tc>
          <w:tcPr>
            <w:tcW w:w="3039" w:type="dxa"/>
          </w:tcPr>
          <w:p>
            <w:pPr>
              <w:pStyle w:val="TableParagraph"/>
              <w:spacing w:line="200" w:lineRule="exact"/>
              <w:ind w:left="107"/>
              <w:rPr>
                <w:sz w:val="18"/>
              </w:rPr>
            </w:pPr>
            <w:r>
              <w:rPr>
                <w:sz w:val="18"/>
              </w:rPr>
              <w:t>Practice</w:t>
            </w:r>
            <w:r>
              <w:rPr>
                <w:spacing w:val="-7"/>
                <w:sz w:val="18"/>
              </w:rPr>
              <w:t> </w:t>
            </w:r>
            <w:r>
              <w:rPr>
                <w:sz w:val="18"/>
              </w:rPr>
              <w:t>nurses/Nurses</w:t>
            </w:r>
          </w:p>
        </w:tc>
        <w:tc>
          <w:tcPr>
            <w:tcW w:w="1411" w:type="dxa"/>
          </w:tcPr>
          <w:p>
            <w:pPr>
              <w:pStyle w:val="TableParagraph"/>
              <w:rPr>
                <w:rFonts w:ascii="Times New Roman"/>
                <w:sz w:val="14"/>
              </w:rPr>
            </w:pPr>
          </w:p>
        </w:tc>
        <w:tc>
          <w:tcPr>
            <w:tcW w:w="1411" w:type="dxa"/>
          </w:tcPr>
          <w:p>
            <w:pPr>
              <w:pStyle w:val="TableParagraph"/>
              <w:rPr>
                <w:rFonts w:ascii="Times New Roman"/>
                <w:sz w:val="14"/>
              </w:rPr>
            </w:pPr>
          </w:p>
        </w:tc>
        <w:tc>
          <w:tcPr>
            <w:tcW w:w="1413" w:type="dxa"/>
          </w:tcPr>
          <w:p>
            <w:pPr>
              <w:pStyle w:val="TableParagraph"/>
              <w:rPr>
                <w:rFonts w:ascii="Times New Roman"/>
                <w:sz w:val="14"/>
              </w:rPr>
            </w:pPr>
          </w:p>
        </w:tc>
        <w:tc>
          <w:tcPr>
            <w:tcW w:w="1411" w:type="dxa"/>
          </w:tcPr>
          <w:p>
            <w:pPr>
              <w:pStyle w:val="TableParagraph"/>
              <w:rPr>
                <w:rFonts w:ascii="Times New Roman"/>
                <w:sz w:val="14"/>
              </w:rPr>
            </w:pPr>
          </w:p>
        </w:tc>
        <w:tc>
          <w:tcPr>
            <w:tcW w:w="1410" w:type="dxa"/>
          </w:tcPr>
          <w:p>
            <w:pPr>
              <w:pStyle w:val="TableParagraph"/>
              <w:rPr>
                <w:rFonts w:ascii="Times New Roman"/>
                <w:sz w:val="14"/>
              </w:rPr>
            </w:pPr>
          </w:p>
        </w:tc>
      </w:tr>
      <w:tr>
        <w:trPr>
          <w:trHeight w:val="220" w:hRule="atLeast"/>
        </w:trPr>
        <w:tc>
          <w:tcPr>
            <w:tcW w:w="3039" w:type="dxa"/>
          </w:tcPr>
          <w:p>
            <w:pPr>
              <w:pStyle w:val="TableParagraph"/>
              <w:spacing w:line="200" w:lineRule="exact"/>
              <w:ind w:left="107"/>
              <w:rPr>
                <w:sz w:val="18"/>
              </w:rPr>
            </w:pPr>
            <w:r>
              <w:rPr>
                <w:sz w:val="18"/>
              </w:rPr>
              <w:t>Medical</w:t>
            </w:r>
            <w:r>
              <w:rPr>
                <w:spacing w:val="-5"/>
                <w:sz w:val="18"/>
              </w:rPr>
              <w:t> </w:t>
            </w:r>
            <w:r>
              <w:rPr>
                <w:sz w:val="18"/>
              </w:rPr>
              <w:t>practice</w:t>
            </w:r>
            <w:r>
              <w:rPr>
                <w:spacing w:val="-4"/>
                <w:sz w:val="18"/>
              </w:rPr>
              <w:t> </w:t>
            </w:r>
            <w:r>
              <w:rPr>
                <w:sz w:val="18"/>
              </w:rPr>
              <w:t>assistant</w:t>
            </w:r>
          </w:p>
        </w:tc>
        <w:tc>
          <w:tcPr>
            <w:tcW w:w="1411" w:type="dxa"/>
          </w:tcPr>
          <w:p>
            <w:pPr>
              <w:pStyle w:val="TableParagraph"/>
              <w:rPr>
                <w:rFonts w:ascii="Times New Roman"/>
                <w:sz w:val="14"/>
              </w:rPr>
            </w:pPr>
          </w:p>
        </w:tc>
        <w:tc>
          <w:tcPr>
            <w:tcW w:w="1411" w:type="dxa"/>
          </w:tcPr>
          <w:p>
            <w:pPr>
              <w:pStyle w:val="TableParagraph"/>
              <w:rPr>
                <w:rFonts w:ascii="Times New Roman"/>
                <w:sz w:val="14"/>
              </w:rPr>
            </w:pPr>
          </w:p>
        </w:tc>
        <w:tc>
          <w:tcPr>
            <w:tcW w:w="1413" w:type="dxa"/>
          </w:tcPr>
          <w:p>
            <w:pPr>
              <w:pStyle w:val="TableParagraph"/>
              <w:rPr>
                <w:rFonts w:ascii="Times New Roman"/>
                <w:sz w:val="14"/>
              </w:rPr>
            </w:pPr>
          </w:p>
        </w:tc>
        <w:tc>
          <w:tcPr>
            <w:tcW w:w="1411" w:type="dxa"/>
          </w:tcPr>
          <w:p>
            <w:pPr>
              <w:pStyle w:val="TableParagraph"/>
              <w:rPr>
                <w:rFonts w:ascii="Times New Roman"/>
                <w:sz w:val="14"/>
              </w:rPr>
            </w:pPr>
          </w:p>
        </w:tc>
        <w:tc>
          <w:tcPr>
            <w:tcW w:w="1410" w:type="dxa"/>
          </w:tcPr>
          <w:p>
            <w:pPr>
              <w:pStyle w:val="TableParagraph"/>
              <w:rPr>
                <w:rFonts w:ascii="Times New Roman"/>
                <w:sz w:val="14"/>
              </w:rPr>
            </w:pPr>
          </w:p>
        </w:tc>
      </w:tr>
      <w:tr>
        <w:trPr>
          <w:trHeight w:val="220" w:hRule="atLeast"/>
        </w:trPr>
        <w:tc>
          <w:tcPr>
            <w:tcW w:w="3039" w:type="dxa"/>
          </w:tcPr>
          <w:p>
            <w:pPr>
              <w:pStyle w:val="TableParagraph"/>
              <w:spacing w:line="200" w:lineRule="exact"/>
              <w:ind w:left="107"/>
              <w:rPr>
                <w:sz w:val="18"/>
              </w:rPr>
            </w:pPr>
            <w:r>
              <w:rPr>
                <w:sz w:val="18"/>
              </w:rPr>
              <w:t>Aboriginal</w:t>
            </w:r>
            <w:r>
              <w:rPr>
                <w:spacing w:val="-5"/>
                <w:sz w:val="18"/>
              </w:rPr>
              <w:t> </w:t>
            </w:r>
            <w:r>
              <w:rPr>
                <w:sz w:val="18"/>
              </w:rPr>
              <w:t>health</w:t>
            </w:r>
            <w:r>
              <w:rPr>
                <w:spacing w:val="-5"/>
                <w:sz w:val="18"/>
              </w:rPr>
              <w:t> </w:t>
            </w:r>
            <w:r>
              <w:rPr>
                <w:sz w:val="18"/>
              </w:rPr>
              <w:t>practitioner</w:t>
            </w:r>
          </w:p>
        </w:tc>
        <w:tc>
          <w:tcPr>
            <w:tcW w:w="1411" w:type="dxa"/>
          </w:tcPr>
          <w:p>
            <w:pPr>
              <w:pStyle w:val="TableParagraph"/>
              <w:rPr>
                <w:rFonts w:ascii="Times New Roman"/>
                <w:sz w:val="14"/>
              </w:rPr>
            </w:pPr>
          </w:p>
        </w:tc>
        <w:tc>
          <w:tcPr>
            <w:tcW w:w="1411" w:type="dxa"/>
          </w:tcPr>
          <w:p>
            <w:pPr>
              <w:pStyle w:val="TableParagraph"/>
              <w:rPr>
                <w:rFonts w:ascii="Times New Roman"/>
                <w:sz w:val="14"/>
              </w:rPr>
            </w:pPr>
          </w:p>
        </w:tc>
        <w:tc>
          <w:tcPr>
            <w:tcW w:w="1413" w:type="dxa"/>
          </w:tcPr>
          <w:p>
            <w:pPr>
              <w:pStyle w:val="TableParagraph"/>
              <w:rPr>
                <w:rFonts w:ascii="Times New Roman"/>
                <w:sz w:val="14"/>
              </w:rPr>
            </w:pPr>
          </w:p>
        </w:tc>
        <w:tc>
          <w:tcPr>
            <w:tcW w:w="1411" w:type="dxa"/>
          </w:tcPr>
          <w:p>
            <w:pPr>
              <w:pStyle w:val="TableParagraph"/>
              <w:rPr>
                <w:rFonts w:ascii="Times New Roman"/>
                <w:sz w:val="14"/>
              </w:rPr>
            </w:pPr>
          </w:p>
        </w:tc>
        <w:tc>
          <w:tcPr>
            <w:tcW w:w="1410" w:type="dxa"/>
          </w:tcPr>
          <w:p>
            <w:pPr>
              <w:pStyle w:val="TableParagraph"/>
              <w:rPr>
                <w:rFonts w:ascii="Times New Roman"/>
                <w:sz w:val="14"/>
              </w:rPr>
            </w:pPr>
          </w:p>
        </w:tc>
      </w:tr>
      <w:tr>
        <w:trPr>
          <w:trHeight w:val="220" w:hRule="atLeast"/>
        </w:trPr>
        <w:tc>
          <w:tcPr>
            <w:tcW w:w="3039" w:type="dxa"/>
          </w:tcPr>
          <w:p>
            <w:pPr>
              <w:pStyle w:val="TableParagraph"/>
              <w:spacing w:line="200" w:lineRule="exact"/>
              <w:ind w:left="107"/>
              <w:rPr>
                <w:sz w:val="18"/>
              </w:rPr>
            </w:pPr>
            <w:r>
              <w:rPr>
                <w:sz w:val="18"/>
              </w:rPr>
              <w:t>Other</w:t>
            </w:r>
            <w:r>
              <w:rPr>
                <w:spacing w:val="-4"/>
                <w:sz w:val="18"/>
              </w:rPr>
              <w:t> </w:t>
            </w:r>
            <w:r>
              <w:rPr>
                <w:sz w:val="18"/>
              </w:rPr>
              <w:t>clinical</w:t>
            </w:r>
            <w:r>
              <w:rPr>
                <w:spacing w:val="-3"/>
                <w:sz w:val="18"/>
              </w:rPr>
              <w:t> </w:t>
            </w:r>
            <w:r>
              <w:rPr>
                <w:sz w:val="18"/>
              </w:rPr>
              <w:t>(please</w:t>
            </w:r>
            <w:r>
              <w:rPr>
                <w:spacing w:val="-6"/>
                <w:sz w:val="18"/>
              </w:rPr>
              <w:t> </w:t>
            </w:r>
            <w:r>
              <w:rPr>
                <w:sz w:val="18"/>
              </w:rPr>
              <w:t>specify)</w:t>
            </w:r>
          </w:p>
        </w:tc>
        <w:tc>
          <w:tcPr>
            <w:tcW w:w="1411" w:type="dxa"/>
          </w:tcPr>
          <w:p>
            <w:pPr>
              <w:pStyle w:val="TableParagraph"/>
              <w:rPr>
                <w:rFonts w:ascii="Times New Roman"/>
                <w:sz w:val="14"/>
              </w:rPr>
            </w:pPr>
          </w:p>
        </w:tc>
        <w:tc>
          <w:tcPr>
            <w:tcW w:w="1411" w:type="dxa"/>
          </w:tcPr>
          <w:p>
            <w:pPr>
              <w:pStyle w:val="TableParagraph"/>
              <w:rPr>
                <w:rFonts w:ascii="Times New Roman"/>
                <w:sz w:val="14"/>
              </w:rPr>
            </w:pPr>
          </w:p>
        </w:tc>
        <w:tc>
          <w:tcPr>
            <w:tcW w:w="1413" w:type="dxa"/>
          </w:tcPr>
          <w:p>
            <w:pPr>
              <w:pStyle w:val="TableParagraph"/>
              <w:rPr>
                <w:rFonts w:ascii="Times New Roman"/>
                <w:sz w:val="14"/>
              </w:rPr>
            </w:pPr>
          </w:p>
        </w:tc>
        <w:tc>
          <w:tcPr>
            <w:tcW w:w="1411" w:type="dxa"/>
          </w:tcPr>
          <w:p>
            <w:pPr>
              <w:pStyle w:val="TableParagraph"/>
              <w:rPr>
                <w:rFonts w:ascii="Times New Roman"/>
                <w:sz w:val="14"/>
              </w:rPr>
            </w:pPr>
          </w:p>
        </w:tc>
        <w:tc>
          <w:tcPr>
            <w:tcW w:w="1410" w:type="dxa"/>
          </w:tcPr>
          <w:p>
            <w:pPr>
              <w:pStyle w:val="TableParagraph"/>
              <w:rPr>
                <w:rFonts w:ascii="Times New Roman"/>
                <w:sz w:val="14"/>
              </w:rPr>
            </w:pPr>
          </w:p>
        </w:tc>
      </w:tr>
      <w:tr>
        <w:trPr>
          <w:trHeight w:val="223" w:hRule="atLeast"/>
        </w:trPr>
        <w:tc>
          <w:tcPr>
            <w:tcW w:w="3039" w:type="dxa"/>
          </w:tcPr>
          <w:p>
            <w:pPr>
              <w:pStyle w:val="TableParagraph"/>
              <w:spacing w:line="202" w:lineRule="exact" w:before="1"/>
              <w:ind w:left="107"/>
              <w:rPr>
                <w:sz w:val="18"/>
              </w:rPr>
            </w:pPr>
            <w:r>
              <w:rPr>
                <w:sz w:val="18"/>
              </w:rPr>
              <w:t>Reception</w:t>
            </w:r>
          </w:p>
        </w:tc>
        <w:tc>
          <w:tcPr>
            <w:tcW w:w="1411" w:type="dxa"/>
          </w:tcPr>
          <w:p>
            <w:pPr>
              <w:pStyle w:val="TableParagraph"/>
              <w:rPr>
                <w:rFonts w:ascii="Times New Roman"/>
                <w:sz w:val="14"/>
              </w:rPr>
            </w:pPr>
          </w:p>
        </w:tc>
        <w:tc>
          <w:tcPr>
            <w:tcW w:w="1411" w:type="dxa"/>
          </w:tcPr>
          <w:p>
            <w:pPr>
              <w:pStyle w:val="TableParagraph"/>
              <w:rPr>
                <w:rFonts w:ascii="Times New Roman"/>
                <w:sz w:val="14"/>
              </w:rPr>
            </w:pPr>
          </w:p>
        </w:tc>
        <w:tc>
          <w:tcPr>
            <w:tcW w:w="1413" w:type="dxa"/>
          </w:tcPr>
          <w:p>
            <w:pPr>
              <w:pStyle w:val="TableParagraph"/>
              <w:rPr>
                <w:rFonts w:ascii="Times New Roman"/>
                <w:sz w:val="14"/>
              </w:rPr>
            </w:pPr>
          </w:p>
        </w:tc>
        <w:tc>
          <w:tcPr>
            <w:tcW w:w="1411" w:type="dxa"/>
          </w:tcPr>
          <w:p>
            <w:pPr>
              <w:pStyle w:val="TableParagraph"/>
              <w:rPr>
                <w:rFonts w:ascii="Times New Roman"/>
                <w:sz w:val="14"/>
              </w:rPr>
            </w:pPr>
          </w:p>
        </w:tc>
        <w:tc>
          <w:tcPr>
            <w:tcW w:w="1410" w:type="dxa"/>
          </w:tcPr>
          <w:p>
            <w:pPr>
              <w:pStyle w:val="TableParagraph"/>
              <w:rPr>
                <w:rFonts w:ascii="Times New Roman"/>
                <w:sz w:val="14"/>
              </w:rPr>
            </w:pPr>
          </w:p>
        </w:tc>
      </w:tr>
      <w:tr>
        <w:trPr>
          <w:trHeight w:val="220" w:hRule="atLeast"/>
        </w:trPr>
        <w:tc>
          <w:tcPr>
            <w:tcW w:w="3039" w:type="dxa"/>
          </w:tcPr>
          <w:p>
            <w:pPr>
              <w:pStyle w:val="TableParagraph"/>
              <w:spacing w:line="200" w:lineRule="exact"/>
              <w:ind w:left="107"/>
              <w:rPr>
                <w:sz w:val="18"/>
              </w:rPr>
            </w:pPr>
            <w:r>
              <w:rPr>
                <w:sz w:val="18"/>
              </w:rPr>
              <w:t>Other</w:t>
            </w:r>
            <w:r>
              <w:rPr>
                <w:spacing w:val="-5"/>
                <w:sz w:val="18"/>
              </w:rPr>
              <w:t> </w:t>
            </w:r>
            <w:r>
              <w:rPr>
                <w:sz w:val="18"/>
              </w:rPr>
              <w:t>administrative</w:t>
            </w:r>
            <w:r>
              <w:rPr>
                <w:spacing w:val="-4"/>
                <w:sz w:val="18"/>
              </w:rPr>
              <w:t> </w:t>
            </w:r>
            <w:r>
              <w:rPr>
                <w:sz w:val="18"/>
              </w:rPr>
              <w:t>staff</w:t>
            </w:r>
          </w:p>
        </w:tc>
        <w:tc>
          <w:tcPr>
            <w:tcW w:w="1411" w:type="dxa"/>
          </w:tcPr>
          <w:p>
            <w:pPr>
              <w:pStyle w:val="TableParagraph"/>
              <w:rPr>
                <w:rFonts w:ascii="Times New Roman"/>
                <w:sz w:val="14"/>
              </w:rPr>
            </w:pPr>
          </w:p>
        </w:tc>
        <w:tc>
          <w:tcPr>
            <w:tcW w:w="1411" w:type="dxa"/>
          </w:tcPr>
          <w:p>
            <w:pPr>
              <w:pStyle w:val="TableParagraph"/>
              <w:rPr>
                <w:rFonts w:ascii="Times New Roman"/>
                <w:sz w:val="14"/>
              </w:rPr>
            </w:pPr>
          </w:p>
        </w:tc>
        <w:tc>
          <w:tcPr>
            <w:tcW w:w="1413" w:type="dxa"/>
          </w:tcPr>
          <w:p>
            <w:pPr>
              <w:pStyle w:val="TableParagraph"/>
              <w:rPr>
                <w:rFonts w:ascii="Times New Roman"/>
                <w:sz w:val="14"/>
              </w:rPr>
            </w:pPr>
          </w:p>
        </w:tc>
        <w:tc>
          <w:tcPr>
            <w:tcW w:w="1411" w:type="dxa"/>
          </w:tcPr>
          <w:p>
            <w:pPr>
              <w:pStyle w:val="TableParagraph"/>
              <w:rPr>
                <w:rFonts w:ascii="Times New Roman"/>
                <w:sz w:val="14"/>
              </w:rPr>
            </w:pPr>
          </w:p>
        </w:tc>
        <w:tc>
          <w:tcPr>
            <w:tcW w:w="1410" w:type="dxa"/>
          </w:tcPr>
          <w:p>
            <w:pPr>
              <w:pStyle w:val="TableParagraph"/>
              <w:rPr>
                <w:rFonts w:ascii="Times New Roman"/>
                <w:sz w:val="14"/>
              </w:rPr>
            </w:pPr>
          </w:p>
        </w:tc>
      </w:tr>
      <w:tr>
        <w:trPr>
          <w:trHeight w:val="220" w:hRule="atLeast"/>
        </w:trPr>
        <w:tc>
          <w:tcPr>
            <w:tcW w:w="3039" w:type="dxa"/>
          </w:tcPr>
          <w:p>
            <w:pPr>
              <w:pStyle w:val="TableParagraph"/>
              <w:spacing w:line="200" w:lineRule="exact"/>
              <w:ind w:left="107"/>
              <w:rPr>
                <w:sz w:val="18"/>
              </w:rPr>
            </w:pPr>
            <w:r>
              <w:rPr>
                <w:sz w:val="18"/>
              </w:rPr>
              <w:t>Practice</w:t>
            </w:r>
            <w:r>
              <w:rPr>
                <w:spacing w:val="-4"/>
                <w:sz w:val="18"/>
              </w:rPr>
              <w:t> </w:t>
            </w:r>
            <w:r>
              <w:rPr>
                <w:sz w:val="18"/>
              </w:rPr>
              <w:t>manager</w:t>
            </w:r>
          </w:p>
        </w:tc>
        <w:tc>
          <w:tcPr>
            <w:tcW w:w="1411" w:type="dxa"/>
          </w:tcPr>
          <w:p>
            <w:pPr>
              <w:pStyle w:val="TableParagraph"/>
              <w:rPr>
                <w:rFonts w:ascii="Times New Roman"/>
                <w:sz w:val="14"/>
              </w:rPr>
            </w:pPr>
          </w:p>
        </w:tc>
        <w:tc>
          <w:tcPr>
            <w:tcW w:w="1411" w:type="dxa"/>
          </w:tcPr>
          <w:p>
            <w:pPr>
              <w:pStyle w:val="TableParagraph"/>
              <w:rPr>
                <w:rFonts w:ascii="Times New Roman"/>
                <w:sz w:val="14"/>
              </w:rPr>
            </w:pPr>
          </w:p>
        </w:tc>
        <w:tc>
          <w:tcPr>
            <w:tcW w:w="1413" w:type="dxa"/>
          </w:tcPr>
          <w:p>
            <w:pPr>
              <w:pStyle w:val="TableParagraph"/>
              <w:rPr>
                <w:rFonts w:ascii="Times New Roman"/>
                <w:sz w:val="14"/>
              </w:rPr>
            </w:pPr>
          </w:p>
        </w:tc>
        <w:tc>
          <w:tcPr>
            <w:tcW w:w="1411" w:type="dxa"/>
          </w:tcPr>
          <w:p>
            <w:pPr>
              <w:pStyle w:val="TableParagraph"/>
              <w:rPr>
                <w:rFonts w:ascii="Times New Roman"/>
                <w:sz w:val="14"/>
              </w:rPr>
            </w:pPr>
          </w:p>
        </w:tc>
        <w:tc>
          <w:tcPr>
            <w:tcW w:w="1410" w:type="dxa"/>
          </w:tcPr>
          <w:p>
            <w:pPr>
              <w:pStyle w:val="TableParagraph"/>
              <w:rPr>
                <w:rFonts w:ascii="Times New Roman"/>
                <w:sz w:val="14"/>
              </w:rPr>
            </w:pPr>
          </w:p>
        </w:tc>
      </w:tr>
    </w:tbl>
    <w:p>
      <w:pPr>
        <w:pStyle w:val="BodyText"/>
        <w:rPr>
          <w:sz w:val="28"/>
        </w:rPr>
      </w:pPr>
    </w:p>
    <w:p>
      <w:pPr>
        <w:spacing w:before="0"/>
        <w:ind w:left="140" w:right="0" w:firstLine="0"/>
        <w:jc w:val="left"/>
        <w:rPr>
          <w:sz w:val="18"/>
        </w:rPr>
      </w:pPr>
      <w:r>
        <w:rPr>
          <w:i/>
          <w:sz w:val="18"/>
        </w:rPr>
        <w:t>Pre</w:t>
      </w:r>
      <w:r>
        <w:rPr>
          <w:i/>
          <w:spacing w:val="-3"/>
          <w:sz w:val="18"/>
        </w:rPr>
        <w:t> </w:t>
      </w:r>
      <w:r>
        <w:rPr>
          <w:i/>
          <w:sz w:val="18"/>
        </w:rPr>
        <w:t>HCH</w:t>
      </w:r>
      <w:r>
        <w:rPr>
          <w:i/>
          <w:spacing w:val="-3"/>
          <w:sz w:val="18"/>
        </w:rPr>
        <w:t> </w:t>
      </w:r>
      <w:r>
        <w:rPr>
          <w:i/>
          <w:sz w:val="18"/>
        </w:rPr>
        <w:t>contract activities</w:t>
      </w:r>
      <w:r>
        <w:rPr>
          <w:sz w:val="18"/>
        </w:rPr>
        <w:t>:</w:t>
      </w:r>
      <w:r>
        <w:rPr>
          <w:spacing w:val="-5"/>
          <w:sz w:val="18"/>
        </w:rPr>
        <w:t> </w:t>
      </w:r>
      <w:r>
        <w:rPr>
          <w:sz w:val="18"/>
        </w:rPr>
        <w:t>Preparation</w:t>
      </w:r>
      <w:r>
        <w:rPr>
          <w:spacing w:val="-2"/>
          <w:sz w:val="18"/>
        </w:rPr>
        <w:t> </w:t>
      </w:r>
      <w:r>
        <w:rPr>
          <w:sz w:val="18"/>
        </w:rPr>
        <w:t>of</w:t>
      </w:r>
      <w:r>
        <w:rPr>
          <w:spacing w:val="-6"/>
          <w:sz w:val="18"/>
        </w:rPr>
        <w:t> </w:t>
      </w:r>
      <w:r>
        <w:rPr>
          <w:sz w:val="18"/>
        </w:rPr>
        <w:t>initial</w:t>
      </w:r>
      <w:r>
        <w:rPr>
          <w:spacing w:val="-3"/>
          <w:sz w:val="18"/>
        </w:rPr>
        <w:t> </w:t>
      </w:r>
      <w:r>
        <w:rPr>
          <w:sz w:val="18"/>
        </w:rPr>
        <w:t>HCH</w:t>
      </w:r>
      <w:r>
        <w:rPr>
          <w:spacing w:val="-2"/>
          <w:sz w:val="18"/>
        </w:rPr>
        <w:t> </w:t>
      </w:r>
      <w:r>
        <w:rPr>
          <w:sz w:val="18"/>
        </w:rPr>
        <w:t>application,</w:t>
      </w:r>
      <w:r>
        <w:rPr>
          <w:spacing w:val="-5"/>
          <w:sz w:val="18"/>
        </w:rPr>
        <w:t> </w:t>
      </w:r>
      <w:r>
        <w:rPr>
          <w:sz w:val="18"/>
        </w:rPr>
        <w:t>contract</w:t>
      </w:r>
      <w:r>
        <w:rPr>
          <w:spacing w:val="-4"/>
          <w:sz w:val="18"/>
        </w:rPr>
        <w:t> </w:t>
      </w:r>
      <w:r>
        <w:rPr>
          <w:sz w:val="18"/>
        </w:rPr>
        <w:t>negotiation</w:t>
      </w:r>
      <w:r>
        <w:rPr>
          <w:spacing w:val="2"/>
          <w:sz w:val="18"/>
        </w:rPr>
        <w:t> </w:t>
      </w:r>
      <w:r>
        <w:rPr>
          <w:sz w:val="18"/>
        </w:rPr>
        <w:t>and</w:t>
      </w:r>
      <w:r>
        <w:rPr>
          <w:spacing w:val="-3"/>
          <w:sz w:val="18"/>
        </w:rPr>
        <w:t> </w:t>
      </w:r>
      <w:r>
        <w:rPr>
          <w:sz w:val="18"/>
        </w:rPr>
        <w:t>finalisation.</w:t>
      </w:r>
    </w:p>
    <w:p>
      <w:pPr>
        <w:spacing w:line="273" w:lineRule="auto" w:before="154"/>
        <w:ind w:left="140" w:right="256" w:firstLine="0"/>
        <w:jc w:val="left"/>
        <w:rPr>
          <w:sz w:val="18"/>
        </w:rPr>
      </w:pPr>
      <w:r>
        <w:rPr>
          <w:i/>
          <w:sz w:val="18"/>
        </w:rPr>
        <w:t>Initial preparation</w:t>
      </w:r>
      <w:r>
        <w:rPr>
          <w:sz w:val="18"/>
        </w:rPr>
        <w:t>: Practice discussions/staff meetings, initial development of administrative processes for HCH, meetings</w:t>
      </w:r>
      <w:r>
        <w:rPr>
          <w:spacing w:val="-47"/>
          <w:sz w:val="18"/>
        </w:rPr>
        <w:t> </w:t>
      </w:r>
      <w:r>
        <w:rPr>
          <w:sz w:val="18"/>
        </w:rPr>
        <w:t>with</w:t>
      </w:r>
      <w:r>
        <w:rPr>
          <w:spacing w:val="-3"/>
          <w:sz w:val="18"/>
        </w:rPr>
        <w:t> </w:t>
      </w:r>
      <w:r>
        <w:rPr>
          <w:sz w:val="18"/>
        </w:rPr>
        <w:t>PHN</w:t>
      </w:r>
      <w:r>
        <w:rPr>
          <w:spacing w:val="-2"/>
          <w:sz w:val="18"/>
        </w:rPr>
        <w:t> </w:t>
      </w:r>
      <w:r>
        <w:rPr>
          <w:sz w:val="18"/>
        </w:rPr>
        <w:t>practice</w:t>
      </w:r>
      <w:r>
        <w:rPr>
          <w:spacing w:val="-3"/>
          <w:sz w:val="18"/>
        </w:rPr>
        <w:t> </w:t>
      </w:r>
      <w:r>
        <w:rPr>
          <w:sz w:val="18"/>
        </w:rPr>
        <w:t>facilitator,</w:t>
      </w:r>
      <w:r>
        <w:rPr>
          <w:spacing w:val="-4"/>
          <w:sz w:val="18"/>
        </w:rPr>
        <w:t> </w:t>
      </w:r>
      <w:r>
        <w:rPr>
          <w:sz w:val="18"/>
        </w:rPr>
        <w:t>implementation</w:t>
      </w:r>
      <w:r>
        <w:rPr>
          <w:spacing w:val="-2"/>
          <w:sz w:val="18"/>
        </w:rPr>
        <w:t> </w:t>
      </w:r>
      <w:r>
        <w:rPr>
          <w:sz w:val="18"/>
        </w:rPr>
        <w:t>of</w:t>
      </w:r>
      <w:r>
        <w:rPr>
          <w:spacing w:val="-5"/>
          <w:sz w:val="18"/>
        </w:rPr>
        <w:t> </w:t>
      </w:r>
      <w:r>
        <w:rPr>
          <w:sz w:val="18"/>
        </w:rPr>
        <w:t>risk</w:t>
      </w:r>
      <w:r>
        <w:rPr>
          <w:spacing w:val="-2"/>
          <w:sz w:val="18"/>
        </w:rPr>
        <w:t> </w:t>
      </w:r>
      <w:r>
        <w:rPr>
          <w:sz w:val="18"/>
        </w:rPr>
        <w:t>stratification</w:t>
      </w:r>
      <w:r>
        <w:rPr>
          <w:spacing w:val="-5"/>
          <w:sz w:val="18"/>
        </w:rPr>
        <w:t> </w:t>
      </w:r>
      <w:r>
        <w:rPr>
          <w:sz w:val="18"/>
        </w:rPr>
        <w:t>software,</w:t>
      </w:r>
      <w:r>
        <w:rPr>
          <w:spacing w:val="-5"/>
          <w:sz w:val="18"/>
        </w:rPr>
        <w:t> </w:t>
      </w:r>
      <w:r>
        <w:rPr>
          <w:sz w:val="18"/>
        </w:rPr>
        <w:t>implementation</w:t>
      </w:r>
      <w:r>
        <w:rPr>
          <w:spacing w:val="-2"/>
          <w:sz w:val="18"/>
        </w:rPr>
        <w:t> </w:t>
      </w:r>
      <w:r>
        <w:rPr>
          <w:sz w:val="18"/>
        </w:rPr>
        <w:t>of</w:t>
      </w:r>
      <w:r>
        <w:rPr>
          <w:spacing w:val="-2"/>
          <w:sz w:val="18"/>
        </w:rPr>
        <w:t> </w:t>
      </w:r>
      <w:r>
        <w:rPr>
          <w:sz w:val="18"/>
        </w:rPr>
        <w:t>shared</w:t>
      </w:r>
      <w:r>
        <w:rPr>
          <w:spacing w:val="-4"/>
          <w:sz w:val="18"/>
        </w:rPr>
        <w:t> </w:t>
      </w:r>
      <w:r>
        <w:rPr>
          <w:sz w:val="18"/>
        </w:rPr>
        <w:t>care</w:t>
      </w:r>
      <w:r>
        <w:rPr>
          <w:spacing w:val="-4"/>
          <w:sz w:val="18"/>
        </w:rPr>
        <w:t> </w:t>
      </w:r>
      <w:r>
        <w:rPr>
          <w:sz w:val="18"/>
        </w:rPr>
        <w:t>software.</w:t>
      </w:r>
    </w:p>
    <w:p>
      <w:pPr>
        <w:spacing w:line="276" w:lineRule="auto" w:before="123"/>
        <w:ind w:left="140" w:right="950" w:firstLine="0"/>
        <w:jc w:val="left"/>
        <w:rPr>
          <w:sz w:val="18"/>
        </w:rPr>
      </w:pPr>
      <w:r>
        <w:rPr>
          <w:i/>
          <w:sz w:val="18"/>
        </w:rPr>
        <w:t>Training and development</w:t>
      </w:r>
      <w:r>
        <w:rPr>
          <w:sz w:val="18"/>
        </w:rPr>
        <w:t>: Online training modules, attending training workshops, one-on-one training with PHN</w:t>
      </w:r>
      <w:r>
        <w:rPr>
          <w:spacing w:val="-47"/>
          <w:sz w:val="18"/>
        </w:rPr>
        <w:t> </w:t>
      </w:r>
      <w:r>
        <w:rPr>
          <w:sz w:val="18"/>
        </w:rPr>
        <w:t>practice</w:t>
      </w:r>
      <w:r>
        <w:rPr>
          <w:spacing w:val="-1"/>
          <w:sz w:val="18"/>
        </w:rPr>
        <w:t> </w:t>
      </w:r>
      <w:r>
        <w:rPr>
          <w:sz w:val="18"/>
        </w:rPr>
        <w:t>facilitator, participating</w:t>
      </w:r>
      <w:r>
        <w:rPr>
          <w:spacing w:val="-1"/>
          <w:sz w:val="18"/>
        </w:rPr>
        <w:t> </w:t>
      </w:r>
      <w:r>
        <w:rPr>
          <w:sz w:val="18"/>
        </w:rPr>
        <w:t>in</w:t>
      </w:r>
      <w:r>
        <w:rPr>
          <w:spacing w:val="1"/>
          <w:sz w:val="18"/>
        </w:rPr>
        <w:t> </w:t>
      </w:r>
      <w:r>
        <w:rPr>
          <w:sz w:val="18"/>
        </w:rPr>
        <w:t>community</w:t>
      </w:r>
      <w:r>
        <w:rPr>
          <w:spacing w:val="-2"/>
          <w:sz w:val="18"/>
        </w:rPr>
        <w:t> </w:t>
      </w:r>
      <w:r>
        <w:rPr>
          <w:sz w:val="18"/>
        </w:rPr>
        <w:t>of practice</w:t>
      </w:r>
      <w:r>
        <w:rPr>
          <w:spacing w:val="-1"/>
          <w:sz w:val="18"/>
        </w:rPr>
        <w:t> </w:t>
      </w:r>
      <w:r>
        <w:rPr>
          <w:sz w:val="18"/>
        </w:rPr>
        <w:t>meetings.</w:t>
      </w:r>
    </w:p>
    <w:p>
      <w:pPr>
        <w:spacing w:line="273" w:lineRule="auto" w:before="121"/>
        <w:ind w:left="140" w:right="548" w:firstLine="0"/>
        <w:jc w:val="left"/>
        <w:rPr>
          <w:sz w:val="18"/>
        </w:rPr>
      </w:pPr>
      <w:r>
        <w:rPr>
          <w:i/>
          <w:sz w:val="18"/>
        </w:rPr>
        <w:t>Evaluation activities</w:t>
      </w:r>
      <w:r>
        <w:rPr>
          <w:sz w:val="18"/>
        </w:rPr>
        <w:t>: Completion of the HCH-A tool, completing practice and staff surveys, participating in interviews</w:t>
      </w:r>
      <w:r>
        <w:rPr>
          <w:spacing w:val="-47"/>
          <w:sz w:val="18"/>
        </w:rPr>
        <w:t> </w:t>
      </w:r>
      <w:r>
        <w:rPr>
          <w:sz w:val="18"/>
        </w:rPr>
        <w:t>with</w:t>
      </w:r>
      <w:r>
        <w:rPr>
          <w:spacing w:val="-1"/>
          <w:sz w:val="18"/>
        </w:rPr>
        <w:t> </w:t>
      </w:r>
      <w:r>
        <w:rPr>
          <w:sz w:val="18"/>
        </w:rPr>
        <w:t>HCH</w:t>
      </w:r>
      <w:r>
        <w:rPr>
          <w:spacing w:val="-1"/>
          <w:sz w:val="18"/>
        </w:rPr>
        <w:t> </w:t>
      </w:r>
      <w:r>
        <w:rPr>
          <w:sz w:val="18"/>
        </w:rPr>
        <w:t>evaluators,</w:t>
      </w:r>
      <w:r>
        <w:rPr>
          <w:spacing w:val="-2"/>
          <w:sz w:val="18"/>
        </w:rPr>
        <w:t> </w:t>
      </w:r>
      <w:r>
        <w:rPr>
          <w:sz w:val="18"/>
        </w:rPr>
        <w:t>other</w:t>
      </w:r>
      <w:r>
        <w:rPr>
          <w:spacing w:val="-1"/>
          <w:sz w:val="18"/>
        </w:rPr>
        <w:t> </w:t>
      </w:r>
      <w:r>
        <w:rPr>
          <w:sz w:val="18"/>
        </w:rPr>
        <w:t>data</w:t>
      </w:r>
      <w:r>
        <w:rPr>
          <w:spacing w:val="-1"/>
          <w:sz w:val="18"/>
        </w:rPr>
        <w:t> </w:t>
      </w:r>
      <w:r>
        <w:rPr>
          <w:sz w:val="18"/>
        </w:rPr>
        <w:t>collection associated</w:t>
      </w:r>
      <w:r>
        <w:rPr>
          <w:spacing w:val="-2"/>
          <w:sz w:val="18"/>
        </w:rPr>
        <w:t> </w:t>
      </w:r>
      <w:r>
        <w:rPr>
          <w:sz w:val="18"/>
        </w:rPr>
        <w:t>with</w:t>
      </w:r>
      <w:r>
        <w:rPr>
          <w:spacing w:val="3"/>
          <w:sz w:val="18"/>
        </w:rPr>
        <w:t> </w:t>
      </w:r>
      <w:r>
        <w:rPr>
          <w:sz w:val="18"/>
        </w:rPr>
        <w:t>the</w:t>
      </w:r>
      <w:r>
        <w:rPr>
          <w:spacing w:val="1"/>
          <w:sz w:val="18"/>
        </w:rPr>
        <w:t> </w:t>
      </w:r>
      <w:r>
        <w:rPr>
          <w:sz w:val="18"/>
        </w:rPr>
        <w:t>evaluation.</w:t>
      </w:r>
    </w:p>
    <w:p>
      <w:pPr>
        <w:pStyle w:val="BodyText"/>
        <w:spacing w:before="9"/>
        <w:rPr>
          <w:sz w:val="16"/>
        </w:rPr>
      </w:pPr>
    </w:p>
    <w:p>
      <w:pPr>
        <w:pStyle w:val="ListParagraph"/>
        <w:numPr>
          <w:ilvl w:val="0"/>
          <w:numId w:val="76"/>
        </w:numPr>
        <w:tabs>
          <w:tab w:pos="424" w:val="left" w:leader="none"/>
        </w:tabs>
        <w:spacing w:line="240" w:lineRule="auto" w:before="0" w:after="0"/>
        <w:ind w:left="423" w:right="0" w:hanging="284"/>
        <w:jc w:val="left"/>
        <w:rPr>
          <w:sz w:val="18"/>
        </w:rPr>
      </w:pPr>
      <w:r>
        <w:rPr>
          <w:sz w:val="18"/>
        </w:rPr>
        <w:t>Please</w:t>
      </w:r>
      <w:r>
        <w:rPr>
          <w:spacing w:val="-3"/>
          <w:sz w:val="18"/>
        </w:rPr>
        <w:t> </w:t>
      </w:r>
      <w:r>
        <w:rPr>
          <w:sz w:val="18"/>
        </w:rPr>
        <w:t>describe</w:t>
      </w:r>
      <w:r>
        <w:rPr>
          <w:spacing w:val="-1"/>
          <w:sz w:val="18"/>
        </w:rPr>
        <w:t> </w:t>
      </w:r>
      <w:r>
        <w:rPr>
          <w:sz w:val="18"/>
        </w:rPr>
        <w:t>what</w:t>
      </w:r>
      <w:r>
        <w:rPr>
          <w:spacing w:val="-5"/>
          <w:sz w:val="18"/>
        </w:rPr>
        <w:t> </w:t>
      </w:r>
      <w:r>
        <w:rPr>
          <w:sz w:val="18"/>
        </w:rPr>
        <w:t>types</w:t>
      </w:r>
      <w:r>
        <w:rPr>
          <w:spacing w:val="-4"/>
          <w:sz w:val="18"/>
        </w:rPr>
        <w:t> </w:t>
      </w:r>
      <w:r>
        <w:rPr>
          <w:sz w:val="18"/>
        </w:rPr>
        <w:t>of activities</w:t>
      </w:r>
      <w:r>
        <w:rPr>
          <w:spacing w:val="-1"/>
          <w:sz w:val="18"/>
        </w:rPr>
        <w:t> </w:t>
      </w:r>
      <w:r>
        <w:rPr>
          <w:sz w:val="18"/>
        </w:rPr>
        <w:t>you</w:t>
      </w:r>
      <w:r>
        <w:rPr>
          <w:spacing w:val="-3"/>
          <w:sz w:val="18"/>
        </w:rPr>
        <w:t> </w:t>
      </w:r>
      <w:r>
        <w:rPr>
          <w:sz w:val="18"/>
        </w:rPr>
        <w:t>have</w:t>
      </w:r>
      <w:r>
        <w:rPr>
          <w:spacing w:val="-5"/>
          <w:sz w:val="18"/>
        </w:rPr>
        <w:t> </w:t>
      </w:r>
      <w:r>
        <w:rPr>
          <w:sz w:val="18"/>
        </w:rPr>
        <w:t>included</w:t>
      </w:r>
      <w:r>
        <w:rPr>
          <w:spacing w:val="-3"/>
          <w:sz w:val="18"/>
        </w:rPr>
        <w:t> </w:t>
      </w:r>
      <w:r>
        <w:rPr>
          <w:sz w:val="18"/>
        </w:rPr>
        <w:t>under</w:t>
      </w:r>
      <w:r>
        <w:rPr>
          <w:spacing w:val="-4"/>
          <w:sz w:val="18"/>
        </w:rPr>
        <w:t> </w:t>
      </w:r>
      <w:r>
        <w:rPr>
          <w:sz w:val="18"/>
        </w:rPr>
        <w:t>“other”:</w:t>
      </w:r>
    </w:p>
    <w:p>
      <w:pPr>
        <w:pStyle w:val="BodyText"/>
      </w:pPr>
    </w:p>
    <w:p>
      <w:pPr>
        <w:pStyle w:val="BodyText"/>
        <w:spacing w:before="5"/>
        <w:rPr>
          <w:sz w:val="12"/>
        </w:rPr>
      </w:pPr>
      <w:r>
        <w:rPr/>
        <w:pict>
          <v:rect style="position:absolute;margin-left:34.560001pt;margin-top:8.828457pt;width:526.3pt;height:.48001pt;mso-position-horizontal-relative:page;mso-position-vertical-relative:paragraph;z-index:-15611904;mso-wrap-distance-left:0;mso-wrap-distance-right:0" id="docshape162" filled="true" fillcolor="#d9d9d9" stroked="false">
            <v:fill type="solid"/>
            <w10:wrap type="topAndBottom"/>
          </v:rect>
        </w:pict>
      </w:r>
    </w:p>
    <w:p>
      <w:pPr>
        <w:pStyle w:val="BodyText"/>
        <w:spacing w:before="2"/>
        <w:rPr>
          <w:sz w:val="8"/>
        </w:rPr>
      </w:pPr>
    </w:p>
    <w:p>
      <w:pPr>
        <w:spacing w:before="100"/>
        <w:ind w:left="140" w:right="0" w:firstLine="0"/>
        <w:jc w:val="left"/>
        <w:rPr>
          <w:b/>
          <w:sz w:val="18"/>
        </w:rPr>
      </w:pPr>
      <w:r>
        <w:rPr>
          <w:b/>
          <w:sz w:val="18"/>
        </w:rPr>
        <w:t>Patient</w:t>
      </w:r>
      <w:r>
        <w:rPr>
          <w:b/>
          <w:spacing w:val="-6"/>
          <w:sz w:val="18"/>
        </w:rPr>
        <w:t> </w:t>
      </w:r>
      <w:r>
        <w:rPr>
          <w:b/>
          <w:sz w:val="18"/>
        </w:rPr>
        <w:t>enrolment</w:t>
      </w:r>
    </w:p>
    <w:p>
      <w:pPr>
        <w:pStyle w:val="BodyText"/>
        <w:rPr>
          <w:b/>
          <w:sz w:val="19"/>
        </w:rPr>
      </w:pPr>
    </w:p>
    <w:p>
      <w:pPr>
        <w:pStyle w:val="ListParagraph"/>
        <w:numPr>
          <w:ilvl w:val="0"/>
          <w:numId w:val="76"/>
        </w:numPr>
        <w:tabs>
          <w:tab w:pos="424" w:val="left" w:leader="none"/>
        </w:tabs>
        <w:spacing w:line="240" w:lineRule="auto" w:before="0" w:after="0"/>
        <w:ind w:left="423" w:right="320" w:hanging="284"/>
        <w:jc w:val="left"/>
        <w:rPr>
          <w:sz w:val="18"/>
        </w:rPr>
      </w:pPr>
      <w:r>
        <w:rPr>
          <w:sz w:val="18"/>
        </w:rPr>
        <w:t>Could you estimate the </w:t>
      </w:r>
      <w:r>
        <w:rPr>
          <w:sz w:val="18"/>
          <w:u w:val="single"/>
        </w:rPr>
        <w:t>average time (in minutes) per patient</w:t>
      </w:r>
      <w:r>
        <w:rPr>
          <w:sz w:val="18"/>
        </w:rPr>
        <w:t> associated with enrolling patients in the HCH program</w:t>
      </w:r>
      <w:r>
        <w:rPr>
          <w:spacing w:val="-47"/>
          <w:sz w:val="18"/>
        </w:rPr>
        <w:t> </w:t>
      </w:r>
      <w:r>
        <w:rPr>
          <w:sz w:val="18"/>
        </w:rPr>
        <w:t>for the</w:t>
      </w:r>
      <w:r>
        <w:rPr>
          <w:spacing w:val="-3"/>
          <w:sz w:val="18"/>
        </w:rPr>
        <w:t> </w:t>
      </w:r>
      <w:r>
        <w:rPr>
          <w:sz w:val="18"/>
        </w:rPr>
        <w:t>following</w:t>
      </w:r>
      <w:r>
        <w:rPr>
          <w:spacing w:val="-2"/>
          <w:sz w:val="18"/>
        </w:rPr>
        <w:t> </w:t>
      </w:r>
      <w:r>
        <w:rPr>
          <w:sz w:val="18"/>
        </w:rPr>
        <w:t>staff?</w:t>
      </w:r>
    </w:p>
    <w:p>
      <w:pPr>
        <w:pStyle w:val="BodyText"/>
        <w:spacing w:before="11"/>
        <w:rPr>
          <w:sz w:val="9"/>
        </w:rPr>
      </w:pPr>
    </w:p>
    <w:tbl>
      <w:tblPr>
        <w:tblW w:w="0" w:type="auto"/>
        <w:jc w:val="left"/>
        <w:tblInd w:w="5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039"/>
        <w:gridCol w:w="1284"/>
        <w:gridCol w:w="1193"/>
        <w:gridCol w:w="1243"/>
        <w:gridCol w:w="1037"/>
        <w:gridCol w:w="1036"/>
      </w:tblGrid>
      <w:tr>
        <w:trPr>
          <w:trHeight w:val="882" w:hRule="atLeast"/>
        </w:trPr>
        <w:tc>
          <w:tcPr>
            <w:tcW w:w="3039" w:type="dxa"/>
            <w:vMerge w:val="restart"/>
            <w:shd w:val="clear" w:color="auto" w:fill="F1F1F1"/>
          </w:tcPr>
          <w:p>
            <w:pPr>
              <w:pStyle w:val="TableParagraph"/>
              <w:ind w:left="273" w:right="266" w:firstLine="108"/>
              <w:rPr>
                <w:sz w:val="18"/>
              </w:rPr>
            </w:pPr>
            <w:r>
              <w:rPr>
                <w:sz w:val="18"/>
              </w:rPr>
              <w:t>Staff directly involved with</w:t>
            </w:r>
            <w:r>
              <w:rPr>
                <w:spacing w:val="1"/>
                <w:sz w:val="18"/>
              </w:rPr>
              <w:t> </w:t>
            </w:r>
            <w:r>
              <w:rPr>
                <w:sz w:val="18"/>
              </w:rPr>
              <w:t>clinical</w:t>
            </w:r>
            <w:r>
              <w:rPr>
                <w:spacing w:val="-6"/>
                <w:sz w:val="18"/>
              </w:rPr>
              <w:t> </w:t>
            </w:r>
            <w:r>
              <w:rPr>
                <w:sz w:val="18"/>
              </w:rPr>
              <w:t>care</w:t>
            </w:r>
            <w:r>
              <w:rPr>
                <w:spacing w:val="-3"/>
                <w:sz w:val="18"/>
              </w:rPr>
              <w:t> </w:t>
            </w:r>
            <w:r>
              <w:rPr>
                <w:sz w:val="18"/>
              </w:rPr>
              <w:t>of</w:t>
            </w:r>
            <w:r>
              <w:rPr>
                <w:spacing w:val="-4"/>
                <w:sz w:val="18"/>
              </w:rPr>
              <w:t> </w:t>
            </w:r>
            <w:r>
              <w:rPr>
                <w:sz w:val="18"/>
              </w:rPr>
              <w:t>HCH</w:t>
            </w:r>
            <w:r>
              <w:rPr>
                <w:spacing w:val="-4"/>
                <w:sz w:val="18"/>
              </w:rPr>
              <w:t> </w:t>
            </w:r>
            <w:r>
              <w:rPr>
                <w:sz w:val="18"/>
              </w:rPr>
              <w:t>patients</w:t>
            </w:r>
          </w:p>
        </w:tc>
        <w:tc>
          <w:tcPr>
            <w:tcW w:w="1284" w:type="dxa"/>
            <w:shd w:val="clear" w:color="auto" w:fill="F1F1F1"/>
          </w:tcPr>
          <w:p>
            <w:pPr>
              <w:pStyle w:val="TableParagraph"/>
              <w:ind w:left="108" w:right="77" w:firstLine="312"/>
              <w:rPr>
                <w:sz w:val="18"/>
              </w:rPr>
            </w:pPr>
            <w:r>
              <w:rPr>
                <w:sz w:val="18"/>
              </w:rPr>
              <w:t>Initial</w:t>
            </w:r>
            <w:r>
              <w:rPr>
                <w:spacing w:val="1"/>
                <w:sz w:val="18"/>
              </w:rPr>
              <w:t> </w:t>
            </w:r>
            <w:r>
              <w:rPr>
                <w:sz w:val="18"/>
              </w:rPr>
              <w:t>consultation</w:t>
            </w:r>
            <w:r>
              <w:rPr>
                <w:spacing w:val="-47"/>
                <w:sz w:val="18"/>
              </w:rPr>
              <w:t> </w:t>
            </w:r>
            <w:r>
              <w:rPr>
                <w:sz w:val="18"/>
              </w:rPr>
              <w:t>with</w:t>
            </w:r>
            <w:r>
              <w:rPr>
                <w:spacing w:val="-2"/>
                <w:sz w:val="18"/>
              </w:rPr>
              <w:t> </w:t>
            </w:r>
            <w:r>
              <w:rPr>
                <w:sz w:val="18"/>
              </w:rPr>
              <w:t>patient</w:t>
            </w:r>
          </w:p>
        </w:tc>
        <w:tc>
          <w:tcPr>
            <w:tcW w:w="1193" w:type="dxa"/>
            <w:shd w:val="clear" w:color="auto" w:fill="F1F1F1"/>
          </w:tcPr>
          <w:p>
            <w:pPr>
              <w:pStyle w:val="TableParagraph"/>
              <w:spacing w:line="220" w:lineRule="exact"/>
              <w:ind w:left="108" w:right="98" w:firstLine="2"/>
              <w:jc w:val="center"/>
              <w:rPr>
                <w:sz w:val="18"/>
              </w:rPr>
            </w:pPr>
            <w:r>
              <w:rPr>
                <w:sz w:val="18"/>
              </w:rPr>
              <w:t>Enrollment</w:t>
            </w:r>
            <w:r>
              <w:rPr>
                <w:spacing w:val="1"/>
                <w:sz w:val="18"/>
              </w:rPr>
              <w:t> </w:t>
            </w:r>
            <w:r>
              <w:rPr>
                <w:sz w:val="18"/>
              </w:rPr>
              <w:t>process</w:t>
            </w:r>
            <w:r>
              <w:rPr>
                <w:spacing w:val="1"/>
                <w:sz w:val="18"/>
              </w:rPr>
              <w:t> </w:t>
            </w:r>
            <w:r>
              <w:rPr>
                <w:sz w:val="18"/>
              </w:rPr>
              <w:t>and HARP</w:t>
            </w:r>
            <w:r>
              <w:rPr>
                <w:spacing w:val="1"/>
                <w:sz w:val="18"/>
              </w:rPr>
              <w:t> </w:t>
            </w:r>
            <w:r>
              <w:rPr>
                <w:spacing w:val="-1"/>
                <w:sz w:val="18"/>
              </w:rPr>
              <w:t>assessment</w:t>
            </w:r>
          </w:p>
        </w:tc>
        <w:tc>
          <w:tcPr>
            <w:tcW w:w="1243" w:type="dxa"/>
            <w:shd w:val="clear" w:color="auto" w:fill="F1F1F1"/>
          </w:tcPr>
          <w:p>
            <w:pPr>
              <w:pStyle w:val="TableParagraph"/>
              <w:ind w:left="108" w:right="96"/>
              <w:jc w:val="center"/>
              <w:rPr>
                <w:sz w:val="18"/>
              </w:rPr>
            </w:pPr>
            <w:r>
              <w:rPr>
                <w:sz w:val="18"/>
              </w:rPr>
              <w:t>Preparation</w:t>
            </w:r>
            <w:r>
              <w:rPr>
                <w:spacing w:val="-47"/>
                <w:sz w:val="18"/>
              </w:rPr>
              <w:t> </w:t>
            </w:r>
            <w:r>
              <w:rPr>
                <w:sz w:val="18"/>
              </w:rPr>
              <w:t>of</w:t>
            </w:r>
            <w:r>
              <w:rPr>
                <w:spacing w:val="2"/>
                <w:sz w:val="18"/>
              </w:rPr>
              <w:t> </w:t>
            </w:r>
            <w:r>
              <w:rPr>
                <w:sz w:val="18"/>
              </w:rPr>
              <w:t>care</w:t>
            </w:r>
            <w:r>
              <w:rPr>
                <w:spacing w:val="1"/>
                <w:sz w:val="18"/>
              </w:rPr>
              <w:t> </w:t>
            </w:r>
            <w:r>
              <w:rPr>
                <w:sz w:val="18"/>
              </w:rPr>
              <w:t>plan</w:t>
            </w:r>
          </w:p>
        </w:tc>
        <w:tc>
          <w:tcPr>
            <w:tcW w:w="1037" w:type="dxa"/>
            <w:shd w:val="clear" w:color="auto" w:fill="F1F1F1"/>
          </w:tcPr>
          <w:p>
            <w:pPr>
              <w:pStyle w:val="TableParagraph"/>
              <w:spacing w:line="195" w:lineRule="exact"/>
              <w:ind w:left="109" w:right="99"/>
              <w:jc w:val="center"/>
              <w:rPr>
                <w:sz w:val="16"/>
              </w:rPr>
            </w:pPr>
            <w:r>
              <w:rPr>
                <w:sz w:val="16"/>
              </w:rPr>
              <w:t>HCH</w:t>
            </w:r>
          </w:p>
          <w:p>
            <w:pPr>
              <w:pStyle w:val="TableParagraph"/>
              <w:ind w:left="113" w:right="99"/>
              <w:jc w:val="center"/>
              <w:rPr>
                <w:sz w:val="16"/>
              </w:rPr>
            </w:pPr>
            <w:r>
              <w:rPr>
                <w:sz w:val="16"/>
              </w:rPr>
              <w:t>Evaluation</w:t>
            </w:r>
            <w:r>
              <w:rPr>
                <w:spacing w:val="-42"/>
                <w:sz w:val="16"/>
              </w:rPr>
              <w:t> </w:t>
            </w:r>
            <w:r>
              <w:rPr>
                <w:sz w:val="16"/>
              </w:rPr>
              <w:t>activities</w:t>
            </w:r>
          </w:p>
        </w:tc>
        <w:tc>
          <w:tcPr>
            <w:tcW w:w="1036" w:type="dxa"/>
            <w:shd w:val="clear" w:color="auto" w:fill="F1F1F1"/>
          </w:tcPr>
          <w:p>
            <w:pPr>
              <w:pStyle w:val="TableParagraph"/>
              <w:spacing w:line="196" w:lineRule="exact"/>
              <w:ind w:left="296"/>
              <w:rPr>
                <w:sz w:val="16"/>
              </w:rPr>
            </w:pPr>
            <w:r>
              <w:rPr>
                <w:sz w:val="16"/>
              </w:rPr>
              <w:t>Other</w:t>
            </w:r>
          </w:p>
        </w:tc>
      </w:tr>
      <w:tr>
        <w:trPr>
          <w:trHeight w:val="196" w:hRule="atLeast"/>
        </w:trPr>
        <w:tc>
          <w:tcPr>
            <w:tcW w:w="3039" w:type="dxa"/>
            <w:vMerge/>
            <w:tcBorders>
              <w:top w:val="nil"/>
            </w:tcBorders>
            <w:shd w:val="clear" w:color="auto" w:fill="F1F1F1"/>
          </w:tcPr>
          <w:p>
            <w:pPr>
              <w:rPr>
                <w:sz w:val="2"/>
                <w:szCs w:val="2"/>
              </w:rPr>
            </w:pPr>
          </w:p>
        </w:tc>
        <w:tc>
          <w:tcPr>
            <w:tcW w:w="5793" w:type="dxa"/>
            <w:gridSpan w:val="5"/>
            <w:shd w:val="clear" w:color="auto" w:fill="F1F1F1"/>
          </w:tcPr>
          <w:p>
            <w:pPr>
              <w:pStyle w:val="TableParagraph"/>
              <w:spacing w:line="176" w:lineRule="exact"/>
              <w:ind w:left="2105" w:right="2097"/>
              <w:jc w:val="center"/>
              <w:rPr>
                <w:sz w:val="16"/>
              </w:rPr>
            </w:pPr>
            <w:r>
              <w:rPr>
                <w:sz w:val="16"/>
              </w:rPr>
              <w:t>Minutes</w:t>
            </w:r>
            <w:r>
              <w:rPr>
                <w:spacing w:val="-5"/>
                <w:sz w:val="16"/>
              </w:rPr>
              <w:t> </w:t>
            </w:r>
            <w:r>
              <w:rPr>
                <w:sz w:val="16"/>
              </w:rPr>
              <w:t>per</w:t>
            </w:r>
            <w:r>
              <w:rPr>
                <w:spacing w:val="-4"/>
                <w:sz w:val="16"/>
              </w:rPr>
              <w:t> </w:t>
            </w:r>
            <w:r>
              <w:rPr>
                <w:sz w:val="16"/>
              </w:rPr>
              <w:t>patient:</w:t>
            </w:r>
          </w:p>
        </w:tc>
      </w:tr>
      <w:tr>
        <w:trPr>
          <w:trHeight w:val="220" w:hRule="atLeast"/>
        </w:trPr>
        <w:tc>
          <w:tcPr>
            <w:tcW w:w="3039" w:type="dxa"/>
          </w:tcPr>
          <w:p>
            <w:pPr>
              <w:pStyle w:val="TableParagraph"/>
              <w:spacing w:line="200" w:lineRule="exact"/>
              <w:ind w:left="107"/>
              <w:rPr>
                <w:sz w:val="18"/>
              </w:rPr>
            </w:pPr>
            <w:r>
              <w:rPr>
                <w:sz w:val="18"/>
              </w:rPr>
              <w:t>General</w:t>
            </w:r>
            <w:r>
              <w:rPr>
                <w:spacing w:val="-5"/>
                <w:sz w:val="18"/>
              </w:rPr>
              <w:t> </w:t>
            </w:r>
            <w:r>
              <w:rPr>
                <w:sz w:val="18"/>
              </w:rPr>
              <w:t>practitioner</w:t>
            </w:r>
          </w:p>
        </w:tc>
        <w:tc>
          <w:tcPr>
            <w:tcW w:w="1284" w:type="dxa"/>
          </w:tcPr>
          <w:p>
            <w:pPr>
              <w:pStyle w:val="TableParagraph"/>
              <w:rPr>
                <w:rFonts w:ascii="Times New Roman"/>
                <w:sz w:val="14"/>
              </w:rPr>
            </w:pPr>
          </w:p>
        </w:tc>
        <w:tc>
          <w:tcPr>
            <w:tcW w:w="1193" w:type="dxa"/>
          </w:tcPr>
          <w:p>
            <w:pPr>
              <w:pStyle w:val="TableParagraph"/>
              <w:rPr>
                <w:rFonts w:ascii="Times New Roman"/>
                <w:sz w:val="14"/>
              </w:rPr>
            </w:pPr>
          </w:p>
        </w:tc>
        <w:tc>
          <w:tcPr>
            <w:tcW w:w="1243" w:type="dxa"/>
          </w:tcPr>
          <w:p>
            <w:pPr>
              <w:pStyle w:val="TableParagraph"/>
              <w:rPr>
                <w:rFonts w:ascii="Times New Roman"/>
                <w:sz w:val="14"/>
              </w:rPr>
            </w:pPr>
          </w:p>
        </w:tc>
        <w:tc>
          <w:tcPr>
            <w:tcW w:w="1037" w:type="dxa"/>
          </w:tcPr>
          <w:p>
            <w:pPr>
              <w:pStyle w:val="TableParagraph"/>
              <w:rPr>
                <w:rFonts w:ascii="Times New Roman"/>
                <w:sz w:val="14"/>
              </w:rPr>
            </w:pPr>
          </w:p>
        </w:tc>
        <w:tc>
          <w:tcPr>
            <w:tcW w:w="1036" w:type="dxa"/>
          </w:tcPr>
          <w:p>
            <w:pPr>
              <w:pStyle w:val="TableParagraph"/>
              <w:rPr>
                <w:rFonts w:ascii="Times New Roman"/>
                <w:sz w:val="14"/>
              </w:rPr>
            </w:pPr>
          </w:p>
        </w:tc>
      </w:tr>
      <w:tr>
        <w:trPr>
          <w:trHeight w:val="221" w:hRule="atLeast"/>
        </w:trPr>
        <w:tc>
          <w:tcPr>
            <w:tcW w:w="3039" w:type="dxa"/>
          </w:tcPr>
          <w:p>
            <w:pPr>
              <w:pStyle w:val="TableParagraph"/>
              <w:spacing w:line="201" w:lineRule="exact"/>
              <w:ind w:left="107"/>
              <w:rPr>
                <w:sz w:val="18"/>
              </w:rPr>
            </w:pPr>
            <w:r>
              <w:rPr>
                <w:sz w:val="18"/>
              </w:rPr>
              <w:t>Practice</w:t>
            </w:r>
            <w:r>
              <w:rPr>
                <w:spacing w:val="-4"/>
                <w:sz w:val="18"/>
              </w:rPr>
              <w:t> </w:t>
            </w:r>
            <w:r>
              <w:rPr>
                <w:sz w:val="18"/>
              </w:rPr>
              <w:t>nurse</w:t>
            </w:r>
          </w:p>
        </w:tc>
        <w:tc>
          <w:tcPr>
            <w:tcW w:w="1284" w:type="dxa"/>
          </w:tcPr>
          <w:p>
            <w:pPr>
              <w:pStyle w:val="TableParagraph"/>
              <w:rPr>
                <w:rFonts w:ascii="Times New Roman"/>
                <w:sz w:val="14"/>
              </w:rPr>
            </w:pPr>
          </w:p>
        </w:tc>
        <w:tc>
          <w:tcPr>
            <w:tcW w:w="1193" w:type="dxa"/>
          </w:tcPr>
          <w:p>
            <w:pPr>
              <w:pStyle w:val="TableParagraph"/>
              <w:rPr>
                <w:rFonts w:ascii="Times New Roman"/>
                <w:sz w:val="14"/>
              </w:rPr>
            </w:pPr>
          </w:p>
        </w:tc>
        <w:tc>
          <w:tcPr>
            <w:tcW w:w="1243" w:type="dxa"/>
          </w:tcPr>
          <w:p>
            <w:pPr>
              <w:pStyle w:val="TableParagraph"/>
              <w:rPr>
                <w:rFonts w:ascii="Times New Roman"/>
                <w:sz w:val="14"/>
              </w:rPr>
            </w:pPr>
          </w:p>
        </w:tc>
        <w:tc>
          <w:tcPr>
            <w:tcW w:w="1037" w:type="dxa"/>
          </w:tcPr>
          <w:p>
            <w:pPr>
              <w:pStyle w:val="TableParagraph"/>
              <w:rPr>
                <w:rFonts w:ascii="Times New Roman"/>
                <w:sz w:val="14"/>
              </w:rPr>
            </w:pPr>
          </w:p>
        </w:tc>
        <w:tc>
          <w:tcPr>
            <w:tcW w:w="1036" w:type="dxa"/>
          </w:tcPr>
          <w:p>
            <w:pPr>
              <w:pStyle w:val="TableParagraph"/>
              <w:rPr>
                <w:rFonts w:ascii="Times New Roman"/>
                <w:sz w:val="14"/>
              </w:rPr>
            </w:pPr>
          </w:p>
        </w:tc>
      </w:tr>
      <w:tr>
        <w:trPr>
          <w:trHeight w:val="220" w:hRule="atLeast"/>
        </w:trPr>
        <w:tc>
          <w:tcPr>
            <w:tcW w:w="3039" w:type="dxa"/>
          </w:tcPr>
          <w:p>
            <w:pPr>
              <w:pStyle w:val="TableParagraph"/>
              <w:spacing w:line="200" w:lineRule="exact"/>
              <w:ind w:left="107"/>
              <w:rPr>
                <w:sz w:val="18"/>
              </w:rPr>
            </w:pPr>
            <w:r>
              <w:rPr>
                <w:sz w:val="18"/>
              </w:rPr>
              <w:t>Medical</w:t>
            </w:r>
            <w:r>
              <w:rPr>
                <w:spacing w:val="-4"/>
                <w:sz w:val="18"/>
              </w:rPr>
              <w:t> </w:t>
            </w:r>
            <w:r>
              <w:rPr>
                <w:sz w:val="18"/>
              </w:rPr>
              <w:t>practice</w:t>
            </w:r>
            <w:r>
              <w:rPr>
                <w:spacing w:val="-4"/>
                <w:sz w:val="18"/>
              </w:rPr>
              <w:t> </w:t>
            </w:r>
            <w:r>
              <w:rPr>
                <w:sz w:val="18"/>
              </w:rPr>
              <w:t>assistant</w:t>
            </w:r>
          </w:p>
        </w:tc>
        <w:tc>
          <w:tcPr>
            <w:tcW w:w="1284" w:type="dxa"/>
          </w:tcPr>
          <w:p>
            <w:pPr>
              <w:pStyle w:val="TableParagraph"/>
              <w:rPr>
                <w:rFonts w:ascii="Times New Roman"/>
                <w:sz w:val="14"/>
              </w:rPr>
            </w:pPr>
          </w:p>
        </w:tc>
        <w:tc>
          <w:tcPr>
            <w:tcW w:w="1193" w:type="dxa"/>
          </w:tcPr>
          <w:p>
            <w:pPr>
              <w:pStyle w:val="TableParagraph"/>
              <w:rPr>
                <w:rFonts w:ascii="Times New Roman"/>
                <w:sz w:val="14"/>
              </w:rPr>
            </w:pPr>
          </w:p>
        </w:tc>
        <w:tc>
          <w:tcPr>
            <w:tcW w:w="1243" w:type="dxa"/>
          </w:tcPr>
          <w:p>
            <w:pPr>
              <w:pStyle w:val="TableParagraph"/>
              <w:rPr>
                <w:rFonts w:ascii="Times New Roman"/>
                <w:sz w:val="14"/>
              </w:rPr>
            </w:pPr>
          </w:p>
        </w:tc>
        <w:tc>
          <w:tcPr>
            <w:tcW w:w="1037" w:type="dxa"/>
          </w:tcPr>
          <w:p>
            <w:pPr>
              <w:pStyle w:val="TableParagraph"/>
              <w:rPr>
                <w:rFonts w:ascii="Times New Roman"/>
                <w:sz w:val="14"/>
              </w:rPr>
            </w:pPr>
          </w:p>
        </w:tc>
        <w:tc>
          <w:tcPr>
            <w:tcW w:w="1036" w:type="dxa"/>
          </w:tcPr>
          <w:p>
            <w:pPr>
              <w:pStyle w:val="TableParagraph"/>
              <w:rPr>
                <w:rFonts w:ascii="Times New Roman"/>
                <w:sz w:val="14"/>
              </w:rPr>
            </w:pPr>
          </w:p>
        </w:tc>
      </w:tr>
      <w:tr>
        <w:trPr>
          <w:trHeight w:val="220" w:hRule="atLeast"/>
        </w:trPr>
        <w:tc>
          <w:tcPr>
            <w:tcW w:w="3039" w:type="dxa"/>
          </w:tcPr>
          <w:p>
            <w:pPr>
              <w:pStyle w:val="TableParagraph"/>
              <w:spacing w:line="200" w:lineRule="exact"/>
              <w:ind w:left="107"/>
              <w:rPr>
                <w:sz w:val="18"/>
              </w:rPr>
            </w:pPr>
            <w:r>
              <w:rPr>
                <w:sz w:val="18"/>
              </w:rPr>
              <w:t>Aboriginal</w:t>
            </w:r>
            <w:r>
              <w:rPr>
                <w:spacing w:val="-5"/>
                <w:sz w:val="18"/>
              </w:rPr>
              <w:t> </w:t>
            </w:r>
            <w:r>
              <w:rPr>
                <w:sz w:val="18"/>
              </w:rPr>
              <w:t>health</w:t>
            </w:r>
            <w:r>
              <w:rPr>
                <w:spacing w:val="-5"/>
                <w:sz w:val="18"/>
              </w:rPr>
              <w:t> </w:t>
            </w:r>
            <w:r>
              <w:rPr>
                <w:sz w:val="18"/>
              </w:rPr>
              <w:t>practitioner</w:t>
            </w:r>
          </w:p>
        </w:tc>
        <w:tc>
          <w:tcPr>
            <w:tcW w:w="1284" w:type="dxa"/>
          </w:tcPr>
          <w:p>
            <w:pPr>
              <w:pStyle w:val="TableParagraph"/>
              <w:rPr>
                <w:rFonts w:ascii="Times New Roman"/>
                <w:sz w:val="14"/>
              </w:rPr>
            </w:pPr>
          </w:p>
        </w:tc>
        <w:tc>
          <w:tcPr>
            <w:tcW w:w="1193" w:type="dxa"/>
          </w:tcPr>
          <w:p>
            <w:pPr>
              <w:pStyle w:val="TableParagraph"/>
              <w:rPr>
                <w:rFonts w:ascii="Times New Roman"/>
                <w:sz w:val="14"/>
              </w:rPr>
            </w:pPr>
          </w:p>
        </w:tc>
        <w:tc>
          <w:tcPr>
            <w:tcW w:w="1243" w:type="dxa"/>
          </w:tcPr>
          <w:p>
            <w:pPr>
              <w:pStyle w:val="TableParagraph"/>
              <w:rPr>
                <w:rFonts w:ascii="Times New Roman"/>
                <w:sz w:val="14"/>
              </w:rPr>
            </w:pPr>
          </w:p>
        </w:tc>
        <w:tc>
          <w:tcPr>
            <w:tcW w:w="1037" w:type="dxa"/>
          </w:tcPr>
          <w:p>
            <w:pPr>
              <w:pStyle w:val="TableParagraph"/>
              <w:rPr>
                <w:rFonts w:ascii="Times New Roman"/>
                <w:sz w:val="14"/>
              </w:rPr>
            </w:pPr>
          </w:p>
        </w:tc>
        <w:tc>
          <w:tcPr>
            <w:tcW w:w="1036" w:type="dxa"/>
          </w:tcPr>
          <w:p>
            <w:pPr>
              <w:pStyle w:val="TableParagraph"/>
              <w:rPr>
                <w:rFonts w:ascii="Times New Roman"/>
                <w:sz w:val="14"/>
              </w:rPr>
            </w:pPr>
          </w:p>
        </w:tc>
      </w:tr>
      <w:tr>
        <w:trPr>
          <w:trHeight w:val="220" w:hRule="atLeast"/>
        </w:trPr>
        <w:tc>
          <w:tcPr>
            <w:tcW w:w="3039" w:type="dxa"/>
          </w:tcPr>
          <w:p>
            <w:pPr>
              <w:pStyle w:val="TableParagraph"/>
              <w:spacing w:line="200" w:lineRule="exact"/>
              <w:ind w:left="107"/>
              <w:rPr>
                <w:sz w:val="18"/>
              </w:rPr>
            </w:pPr>
            <w:r>
              <w:rPr>
                <w:sz w:val="18"/>
              </w:rPr>
              <w:t>Other</w:t>
            </w:r>
            <w:r>
              <w:rPr>
                <w:spacing w:val="-4"/>
                <w:sz w:val="18"/>
              </w:rPr>
              <w:t> </w:t>
            </w:r>
            <w:r>
              <w:rPr>
                <w:sz w:val="18"/>
              </w:rPr>
              <w:t>clinical</w:t>
            </w:r>
            <w:r>
              <w:rPr>
                <w:spacing w:val="-3"/>
                <w:sz w:val="18"/>
              </w:rPr>
              <w:t> </w:t>
            </w:r>
            <w:r>
              <w:rPr>
                <w:sz w:val="18"/>
              </w:rPr>
              <w:t>(please</w:t>
            </w:r>
            <w:r>
              <w:rPr>
                <w:spacing w:val="-6"/>
                <w:sz w:val="18"/>
              </w:rPr>
              <w:t> </w:t>
            </w:r>
            <w:r>
              <w:rPr>
                <w:sz w:val="18"/>
              </w:rPr>
              <w:t>specify)</w:t>
            </w:r>
          </w:p>
        </w:tc>
        <w:tc>
          <w:tcPr>
            <w:tcW w:w="1284" w:type="dxa"/>
          </w:tcPr>
          <w:p>
            <w:pPr>
              <w:pStyle w:val="TableParagraph"/>
              <w:rPr>
                <w:rFonts w:ascii="Times New Roman"/>
                <w:sz w:val="14"/>
              </w:rPr>
            </w:pPr>
          </w:p>
        </w:tc>
        <w:tc>
          <w:tcPr>
            <w:tcW w:w="1193" w:type="dxa"/>
          </w:tcPr>
          <w:p>
            <w:pPr>
              <w:pStyle w:val="TableParagraph"/>
              <w:rPr>
                <w:rFonts w:ascii="Times New Roman"/>
                <w:sz w:val="14"/>
              </w:rPr>
            </w:pPr>
          </w:p>
        </w:tc>
        <w:tc>
          <w:tcPr>
            <w:tcW w:w="1243" w:type="dxa"/>
          </w:tcPr>
          <w:p>
            <w:pPr>
              <w:pStyle w:val="TableParagraph"/>
              <w:rPr>
                <w:rFonts w:ascii="Times New Roman"/>
                <w:sz w:val="14"/>
              </w:rPr>
            </w:pPr>
          </w:p>
        </w:tc>
        <w:tc>
          <w:tcPr>
            <w:tcW w:w="1037" w:type="dxa"/>
          </w:tcPr>
          <w:p>
            <w:pPr>
              <w:pStyle w:val="TableParagraph"/>
              <w:rPr>
                <w:rFonts w:ascii="Times New Roman"/>
                <w:sz w:val="14"/>
              </w:rPr>
            </w:pPr>
          </w:p>
        </w:tc>
        <w:tc>
          <w:tcPr>
            <w:tcW w:w="1036" w:type="dxa"/>
          </w:tcPr>
          <w:p>
            <w:pPr>
              <w:pStyle w:val="TableParagraph"/>
              <w:rPr>
                <w:rFonts w:ascii="Times New Roman"/>
                <w:sz w:val="14"/>
              </w:rPr>
            </w:pPr>
          </w:p>
        </w:tc>
      </w:tr>
      <w:tr>
        <w:trPr>
          <w:trHeight w:val="222" w:hRule="atLeast"/>
        </w:trPr>
        <w:tc>
          <w:tcPr>
            <w:tcW w:w="3039" w:type="dxa"/>
          </w:tcPr>
          <w:p>
            <w:pPr>
              <w:pStyle w:val="TableParagraph"/>
              <w:spacing w:line="202" w:lineRule="exact" w:before="1"/>
              <w:ind w:left="107"/>
              <w:rPr>
                <w:sz w:val="18"/>
              </w:rPr>
            </w:pPr>
            <w:r>
              <w:rPr>
                <w:sz w:val="18"/>
              </w:rPr>
              <w:t>Reception</w:t>
            </w:r>
          </w:p>
        </w:tc>
        <w:tc>
          <w:tcPr>
            <w:tcW w:w="1284" w:type="dxa"/>
          </w:tcPr>
          <w:p>
            <w:pPr>
              <w:pStyle w:val="TableParagraph"/>
              <w:rPr>
                <w:rFonts w:ascii="Times New Roman"/>
                <w:sz w:val="14"/>
              </w:rPr>
            </w:pPr>
          </w:p>
        </w:tc>
        <w:tc>
          <w:tcPr>
            <w:tcW w:w="1193" w:type="dxa"/>
          </w:tcPr>
          <w:p>
            <w:pPr>
              <w:pStyle w:val="TableParagraph"/>
              <w:rPr>
                <w:rFonts w:ascii="Times New Roman"/>
                <w:sz w:val="14"/>
              </w:rPr>
            </w:pPr>
          </w:p>
        </w:tc>
        <w:tc>
          <w:tcPr>
            <w:tcW w:w="1243" w:type="dxa"/>
          </w:tcPr>
          <w:p>
            <w:pPr>
              <w:pStyle w:val="TableParagraph"/>
              <w:rPr>
                <w:rFonts w:ascii="Times New Roman"/>
                <w:sz w:val="14"/>
              </w:rPr>
            </w:pPr>
          </w:p>
        </w:tc>
        <w:tc>
          <w:tcPr>
            <w:tcW w:w="1037" w:type="dxa"/>
          </w:tcPr>
          <w:p>
            <w:pPr>
              <w:pStyle w:val="TableParagraph"/>
              <w:rPr>
                <w:rFonts w:ascii="Times New Roman"/>
                <w:sz w:val="14"/>
              </w:rPr>
            </w:pPr>
          </w:p>
        </w:tc>
        <w:tc>
          <w:tcPr>
            <w:tcW w:w="1036" w:type="dxa"/>
          </w:tcPr>
          <w:p>
            <w:pPr>
              <w:pStyle w:val="TableParagraph"/>
              <w:rPr>
                <w:rFonts w:ascii="Times New Roman"/>
                <w:sz w:val="14"/>
              </w:rPr>
            </w:pPr>
          </w:p>
        </w:tc>
      </w:tr>
      <w:tr>
        <w:trPr>
          <w:trHeight w:val="220" w:hRule="atLeast"/>
        </w:trPr>
        <w:tc>
          <w:tcPr>
            <w:tcW w:w="3039" w:type="dxa"/>
          </w:tcPr>
          <w:p>
            <w:pPr>
              <w:pStyle w:val="TableParagraph"/>
              <w:spacing w:line="200" w:lineRule="exact"/>
              <w:ind w:left="107"/>
              <w:rPr>
                <w:sz w:val="18"/>
              </w:rPr>
            </w:pPr>
            <w:r>
              <w:rPr>
                <w:sz w:val="18"/>
              </w:rPr>
              <w:t>Other</w:t>
            </w:r>
            <w:r>
              <w:rPr>
                <w:spacing w:val="-5"/>
                <w:sz w:val="18"/>
              </w:rPr>
              <w:t> </w:t>
            </w:r>
            <w:r>
              <w:rPr>
                <w:sz w:val="18"/>
              </w:rPr>
              <w:t>administrative</w:t>
            </w:r>
            <w:r>
              <w:rPr>
                <w:spacing w:val="-4"/>
                <w:sz w:val="18"/>
              </w:rPr>
              <w:t> </w:t>
            </w:r>
            <w:r>
              <w:rPr>
                <w:sz w:val="18"/>
              </w:rPr>
              <w:t>staff</w:t>
            </w:r>
          </w:p>
        </w:tc>
        <w:tc>
          <w:tcPr>
            <w:tcW w:w="1284" w:type="dxa"/>
          </w:tcPr>
          <w:p>
            <w:pPr>
              <w:pStyle w:val="TableParagraph"/>
              <w:rPr>
                <w:rFonts w:ascii="Times New Roman"/>
                <w:sz w:val="14"/>
              </w:rPr>
            </w:pPr>
          </w:p>
        </w:tc>
        <w:tc>
          <w:tcPr>
            <w:tcW w:w="1193" w:type="dxa"/>
          </w:tcPr>
          <w:p>
            <w:pPr>
              <w:pStyle w:val="TableParagraph"/>
              <w:rPr>
                <w:rFonts w:ascii="Times New Roman"/>
                <w:sz w:val="14"/>
              </w:rPr>
            </w:pPr>
          </w:p>
        </w:tc>
        <w:tc>
          <w:tcPr>
            <w:tcW w:w="1243" w:type="dxa"/>
          </w:tcPr>
          <w:p>
            <w:pPr>
              <w:pStyle w:val="TableParagraph"/>
              <w:rPr>
                <w:rFonts w:ascii="Times New Roman"/>
                <w:sz w:val="14"/>
              </w:rPr>
            </w:pPr>
          </w:p>
        </w:tc>
        <w:tc>
          <w:tcPr>
            <w:tcW w:w="1037" w:type="dxa"/>
          </w:tcPr>
          <w:p>
            <w:pPr>
              <w:pStyle w:val="TableParagraph"/>
              <w:rPr>
                <w:rFonts w:ascii="Times New Roman"/>
                <w:sz w:val="14"/>
              </w:rPr>
            </w:pPr>
          </w:p>
        </w:tc>
        <w:tc>
          <w:tcPr>
            <w:tcW w:w="1036" w:type="dxa"/>
          </w:tcPr>
          <w:p>
            <w:pPr>
              <w:pStyle w:val="TableParagraph"/>
              <w:rPr>
                <w:rFonts w:ascii="Times New Roman"/>
                <w:sz w:val="14"/>
              </w:rPr>
            </w:pPr>
          </w:p>
        </w:tc>
      </w:tr>
      <w:tr>
        <w:trPr>
          <w:trHeight w:val="220" w:hRule="atLeast"/>
        </w:trPr>
        <w:tc>
          <w:tcPr>
            <w:tcW w:w="3039" w:type="dxa"/>
          </w:tcPr>
          <w:p>
            <w:pPr>
              <w:pStyle w:val="TableParagraph"/>
              <w:spacing w:line="200" w:lineRule="exact"/>
              <w:ind w:left="107"/>
              <w:rPr>
                <w:sz w:val="18"/>
              </w:rPr>
            </w:pPr>
            <w:r>
              <w:rPr>
                <w:sz w:val="18"/>
              </w:rPr>
              <w:t>Practice</w:t>
            </w:r>
            <w:r>
              <w:rPr>
                <w:spacing w:val="-5"/>
                <w:sz w:val="18"/>
              </w:rPr>
              <w:t> </w:t>
            </w:r>
            <w:r>
              <w:rPr>
                <w:sz w:val="18"/>
              </w:rPr>
              <w:t>manager</w:t>
            </w:r>
          </w:p>
        </w:tc>
        <w:tc>
          <w:tcPr>
            <w:tcW w:w="1284" w:type="dxa"/>
          </w:tcPr>
          <w:p>
            <w:pPr>
              <w:pStyle w:val="TableParagraph"/>
              <w:rPr>
                <w:rFonts w:ascii="Times New Roman"/>
                <w:sz w:val="14"/>
              </w:rPr>
            </w:pPr>
          </w:p>
        </w:tc>
        <w:tc>
          <w:tcPr>
            <w:tcW w:w="1193" w:type="dxa"/>
          </w:tcPr>
          <w:p>
            <w:pPr>
              <w:pStyle w:val="TableParagraph"/>
              <w:rPr>
                <w:rFonts w:ascii="Times New Roman"/>
                <w:sz w:val="14"/>
              </w:rPr>
            </w:pPr>
          </w:p>
        </w:tc>
        <w:tc>
          <w:tcPr>
            <w:tcW w:w="1243" w:type="dxa"/>
          </w:tcPr>
          <w:p>
            <w:pPr>
              <w:pStyle w:val="TableParagraph"/>
              <w:rPr>
                <w:rFonts w:ascii="Times New Roman"/>
                <w:sz w:val="14"/>
              </w:rPr>
            </w:pPr>
          </w:p>
        </w:tc>
        <w:tc>
          <w:tcPr>
            <w:tcW w:w="1037" w:type="dxa"/>
          </w:tcPr>
          <w:p>
            <w:pPr>
              <w:pStyle w:val="TableParagraph"/>
              <w:rPr>
                <w:rFonts w:ascii="Times New Roman"/>
                <w:sz w:val="14"/>
              </w:rPr>
            </w:pPr>
          </w:p>
        </w:tc>
        <w:tc>
          <w:tcPr>
            <w:tcW w:w="1036" w:type="dxa"/>
          </w:tcPr>
          <w:p>
            <w:pPr>
              <w:pStyle w:val="TableParagraph"/>
              <w:rPr>
                <w:rFonts w:ascii="Times New Roman"/>
                <w:sz w:val="14"/>
              </w:rPr>
            </w:pPr>
          </w:p>
        </w:tc>
      </w:tr>
    </w:tbl>
    <w:p>
      <w:pPr>
        <w:pStyle w:val="BodyText"/>
        <w:spacing w:before="3"/>
        <w:rPr>
          <w:sz w:val="18"/>
        </w:rPr>
      </w:pPr>
    </w:p>
    <w:p>
      <w:pPr>
        <w:spacing w:before="0"/>
        <w:ind w:left="140" w:right="0" w:firstLine="0"/>
        <w:jc w:val="left"/>
        <w:rPr>
          <w:b/>
          <w:sz w:val="18"/>
        </w:rPr>
      </w:pPr>
      <w:r>
        <w:rPr>
          <w:b/>
          <w:sz w:val="18"/>
        </w:rPr>
        <w:t>Ongoing</w:t>
      </w:r>
      <w:r>
        <w:rPr>
          <w:b/>
          <w:spacing w:val="-1"/>
          <w:sz w:val="18"/>
        </w:rPr>
        <w:t> </w:t>
      </w:r>
      <w:r>
        <w:rPr>
          <w:b/>
          <w:sz w:val="18"/>
        </w:rPr>
        <w:t>staff</w:t>
      </w:r>
      <w:r>
        <w:rPr>
          <w:b/>
          <w:spacing w:val="-1"/>
          <w:sz w:val="18"/>
        </w:rPr>
        <w:t> </w:t>
      </w:r>
      <w:r>
        <w:rPr>
          <w:b/>
          <w:sz w:val="18"/>
        </w:rPr>
        <w:t>time</w:t>
      </w:r>
    </w:p>
    <w:p>
      <w:pPr>
        <w:pStyle w:val="BodyText"/>
        <w:rPr>
          <w:b/>
          <w:sz w:val="19"/>
        </w:rPr>
      </w:pPr>
    </w:p>
    <w:p>
      <w:pPr>
        <w:pStyle w:val="ListParagraph"/>
        <w:numPr>
          <w:ilvl w:val="0"/>
          <w:numId w:val="76"/>
        </w:numPr>
        <w:tabs>
          <w:tab w:pos="424" w:val="left" w:leader="none"/>
        </w:tabs>
        <w:spacing w:line="240" w:lineRule="auto" w:before="0" w:after="0"/>
        <w:ind w:left="423" w:right="273" w:hanging="284"/>
        <w:jc w:val="left"/>
        <w:rPr>
          <w:sz w:val="18"/>
        </w:rPr>
      </w:pPr>
      <w:r>
        <w:rPr>
          <w:sz w:val="18"/>
        </w:rPr>
        <w:t>For the most recent week starting on a Monday and ending on a Sunday, could you estimate the number of</w:t>
      </w:r>
      <w:r>
        <w:rPr>
          <w:spacing w:val="1"/>
          <w:sz w:val="18"/>
        </w:rPr>
        <w:t> </w:t>
      </w:r>
      <w:r>
        <w:rPr>
          <w:sz w:val="18"/>
        </w:rPr>
        <w:t>activities related to HCH patients enrolled at your practice. Can you also estimate average, minimum and maximum</w:t>
      </w:r>
      <w:r>
        <w:rPr>
          <w:spacing w:val="-47"/>
          <w:sz w:val="18"/>
        </w:rPr>
        <w:t> </w:t>
      </w:r>
      <w:r>
        <w:rPr>
          <w:sz w:val="18"/>
        </w:rPr>
        <w:t>the</w:t>
      </w:r>
      <w:r>
        <w:rPr>
          <w:spacing w:val="-1"/>
          <w:sz w:val="18"/>
        </w:rPr>
        <w:t> </w:t>
      </w:r>
      <w:r>
        <w:rPr>
          <w:sz w:val="18"/>
        </w:rPr>
        <w:t>amount</w:t>
      </w:r>
      <w:r>
        <w:rPr>
          <w:spacing w:val="-3"/>
          <w:sz w:val="18"/>
        </w:rPr>
        <w:t> </w:t>
      </w:r>
      <w:r>
        <w:rPr>
          <w:sz w:val="18"/>
        </w:rPr>
        <w:t>of patient</w:t>
      </w:r>
      <w:r>
        <w:rPr>
          <w:spacing w:val="-3"/>
          <w:sz w:val="18"/>
        </w:rPr>
        <w:t> </w:t>
      </w:r>
      <w:r>
        <w:rPr>
          <w:sz w:val="18"/>
        </w:rPr>
        <w:t>attributable</w:t>
      </w:r>
      <w:r>
        <w:rPr>
          <w:spacing w:val="-1"/>
          <w:sz w:val="18"/>
        </w:rPr>
        <w:t> </w:t>
      </w:r>
      <w:r>
        <w:rPr>
          <w:sz w:val="18"/>
        </w:rPr>
        <w:t>time</w:t>
      </w:r>
      <w:r>
        <w:rPr>
          <w:spacing w:val="7"/>
          <w:sz w:val="18"/>
        </w:rPr>
        <w:t> </w:t>
      </w:r>
      <w:r>
        <w:rPr>
          <w:sz w:val="18"/>
        </w:rPr>
        <w:t>(see</w:t>
      </w:r>
      <w:r>
        <w:rPr>
          <w:spacing w:val="-1"/>
          <w:sz w:val="18"/>
        </w:rPr>
        <w:t> </w:t>
      </w:r>
      <w:r>
        <w:rPr>
          <w:sz w:val="18"/>
        </w:rPr>
        <w:t>definition</w:t>
      </w:r>
      <w:r>
        <w:rPr>
          <w:spacing w:val="-1"/>
          <w:sz w:val="18"/>
        </w:rPr>
        <w:t> </w:t>
      </w:r>
      <w:r>
        <w:rPr>
          <w:sz w:val="18"/>
        </w:rPr>
        <w:t>below)</w:t>
      </w:r>
      <w:r>
        <w:rPr>
          <w:spacing w:val="-1"/>
          <w:sz w:val="18"/>
        </w:rPr>
        <w:t> </w:t>
      </w:r>
      <w:r>
        <w:rPr>
          <w:sz w:val="18"/>
        </w:rPr>
        <w:t>associated</w:t>
      </w:r>
      <w:r>
        <w:rPr>
          <w:spacing w:val="-2"/>
          <w:sz w:val="18"/>
        </w:rPr>
        <w:t> </w:t>
      </w:r>
      <w:r>
        <w:rPr>
          <w:sz w:val="18"/>
        </w:rPr>
        <w:t>with</w:t>
      </w:r>
      <w:r>
        <w:rPr>
          <w:spacing w:val="-1"/>
          <w:sz w:val="18"/>
        </w:rPr>
        <w:t> </w:t>
      </w:r>
      <w:r>
        <w:rPr>
          <w:sz w:val="18"/>
        </w:rPr>
        <w:t>these</w:t>
      </w:r>
      <w:r>
        <w:rPr>
          <w:spacing w:val="-1"/>
          <w:sz w:val="18"/>
        </w:rPr>
        <w:t> </w:t>
      </w:r>
      <w:r>
        <w:rPr>
          <w:sz w:val="18"/>
        </w:rPr>
        <w:t>activities?</w:t>
      </w:r>
    </w:p>
    <w:p>
      <w:pPr>
        <w:spacing w:before="120"/>
        <w:ind w:left="500" w:right="944" w:firstLine="0"/>
        <w:jc w:val="left"/>
        <w:rPr>
          <w:i/>
          <w:sz w:val="18"/>
        </w:rPr>
      </w:pPr>
      <w:r>
        <w:rPr>
          <w:i/>
          <w:sz w:val="18"/>
        </w:rPr>
        <w:t>Notes: We recognise estimating the above may be challenging and is likely to require consultation with staff</w:t>
      </w:r>
      <w:r>
        <w:rPr>
          <w:i/>
          <w:spacing w:val="-47"/>
          <w:sz w:val="18"/>
        </w:rPr>
        <w:t> </w:t>
      </w:r>
      <w:r>
        <w:rPr>
          <w:i/>
          <w:sz w:val="18"/>
        </w:rPr>
        <w:t>involved with these activities. We ask that you provide your best estimate available to you. This may require</w:t>
      </w:r>
      <w:r>
        <w:rPr>
          <w:i/>
          <w:spacing w:val="1"/>
          <w:sz w:val="18"/>
        </w:rPr>
        <w:t> </w:t>
      </w:r>
      <w:r>
        <w:rPr>
          <w:i/>
          <w:sz w:val="18"/>
        </w:rPr>
        <w:t>judgements/estimated</w:t>
      </w:r>
      <w:r>
        <w:rPr>
          <w:i/>
          <w:spacing w:val="-1"/>
          <w:sz w:val="18"/>
        </w:rPr>
        <w:t> </w:t>
      </w:r>
      <w:r>
        <w:rPr>
          <w:i/>
          <w:sz w:val="18"/>
        </w:rPr>
        <w:t>made by</w:t>
      </w:r>
      <w:r>
        <w:rPr>
          <w:i/>
          <w:spacing w:val="-3"/>
          <w:sz w:val="18"/>
        </w:rPr>
        <w:t> </w:t>
      </w:r>
      <w:r>
        <w:rPr>
          <w:i/>
          <w:sz w:val="18"/>
        </w:rPr>
        <w:t>the</w:t>
      </w:r>
      <w:r>
        <w:rPr>
          <w:i/>
          <w:spacing w:val="-2"/>
          <w:sz w:val="18"/>
        </w:rPr>
        <w:t> </w:t>
      </w:r>
      <w:r>
        <w:rPr>
          <w:i/>
          <w:sz w:val="18"/>
        </w:rPr>
        <w:t>staff involved.</w:t>
      </w:r>
    </w:p>
    <w:p>
      <w:pPr>
        <w:spacing w:before="121"/>
        <w:ind w:left="500" w:right="0" w:firstLine="0"/>
        <w:jc w:val="left"/>
        <w:rPr>
          <w:i/>
          <w:sz w:val="18"/>
        </w:rPr>
      </w:pPr>
      <w:r>
        <w:rPr>
          <w:i/>
          <w:sz w:val="18"/>
        </w:rPr>
        <w:t>Include</w:t>
      </w:r>
      <w:r>
        <w:rPr>
          <w:i/>
          <w:spacing w:val="-3"/>
          <w:sz w:val="18"/>
        </w:rPr>
        <w:t> </w:t>
      </w:r>
      <w:r>
        <w:rPr>
          <w:i/>
          <w:sz w:val="18"/>
        </w:rPr>
        <w:t>only</w:t>
      </w:r>
      <w:r>
        <w:rPr>
          <w:i/>
          <w:spacing w:val="-3"/>
          <w:sz w:val="18"/>
        </w:rPr>
        <w:t> </w:t>
      </w:r>
      <w:r>
        <w:rPr>
          <w:i/>
          <w:sz w:val="18"/>
        </w:rPr>
        <w:t>staff</w:t>
      </w:r>
      <w:r>
        <w:rPr>
          <w:i/>
          <w:spacing w:val="-3"/>
          <w:sz w:val="18"/>
        </w:rPr>
        <w:t> </w:t>
      </w:r>
      <w:r>
        <w:rPr>
          <w:i/>
          <w:sz w:val="18"/>
        </w:rPr>
        <w:t>for</w:t>
      </w:r>
      <w:r>
        <w:rPr>
          <w:i/>
          <w:spacing w:val="-3"/>
          <w:sz w:val="18"/>
        </w:rPr>
        <w:t> </w:t>
      </w:r>
      <w:r>
        <w:rPr>
          <w:i/>
          <w:sz w:val="18"/>
        </w:rPr>
        <w:t>which</w:t>
      </w:r>
      <w:r>
        <w:rPr>
          <w:i/>
          <w:spacing w:val="-6"/>
          <w:sz w:val="18"/>
        </w:rPr>
        <w:t> </w:t>
      </w:r>
      <w:r>
        <w:rPr>
          <w:i/>
          <w:sz w:val="18"/>
        </w:rPr>
        <w:t>your</w:t>
      </w:r>
      <w:r>
        <w:rPr>
          <w:i/>
          <w:spacing w:val="-2"/>
          <w:sz w:val="18"/>
        </w:rPr>
        <w:t> </w:t>
      </w:r>
      <w:r>
        <w:rPr>
          <w:i/>
          <w:sz w:val="18"/>
        </w:rPr>
        <w:t>practice</w:t>
      </w:r>
      <w:r>
        <w:rPr>
          <w:i/>
          <w:spacing w:val="-2"/>
          <w:sz w:val="18"/>
        </w:rPr>
        <w:t> </w:t>
      </w:r>
      <w:r>
        <w:rPr>
          <w:i/>
          <w:sz w:val="18"/>
        </w:rPr>
        <w:t>is</w:t>
      </w:r>
      <w:r>
        <w:rPr>
          <w:i/>
          <w:spacing w:val="-5"/>
          <w:sz w:val="18"/>
        </w:rPr>
        <w:t> </w:t>
      </w:r>
      <w:r>
        <w:rPr>
          <w:i/>
          <w:sz w:val="18"/>
        </w:rPr>
        <w:t>financially</w:t>
      </w:r>
      <w:r>
        <w:rPr>
          <w:i/>
          <w:spacing w:val="-4"/>
          <w:sz w:val="18"/>
        </w:rPr>
        <w:t> </w:t>
      </w:r>
      <w:r>
        <w:rPr>
          <w:i/>
          <w:sz w:val="18"/>
        </w:rPr>
        <w:t>responsible</w:t>
      </w:r>
      <w:r>
        <w:rPr>
          <w:i/>
          <w:spacing w:val="-2"/>
          <w:sz w:val="18"/>
        </w:rPr>
        <w:t> </w:t>
      </w:r>
      <w:r>
        <w:rPr>
          <w:i/>
          <w:sz w:val="18"/>
        </w:rPr>
        <w:t>(i.e.</w:t>
      </w:r>
      <w:r>
        <w:rPr>
          <w:i/>
          <w:spacing w:val="-3"/>
          <w:sz w:val="18"/>
        </w:rPr>
        <w:t> </w:t>
      </w:r>
      <w:r>
        <w:rPr>
          <w:i/>
          <w:sz w:val="18"/>
        </w:rPr>
        <w:t>exclude</w:t>
      </w:r>
      <w:r>
        <w:rPr>
          <w:i/>
          <w:spacing w:val="-3"/>
          <w:sz w:val="18"/>
        </w:rPr>
        <w:t> </w:t>
      </w:r>
      <w:r>
        <w:rPr>
          <w:i/>
          <w:sz w:val="18"/>
        </w:rPr>
        <w:t>visiting</w:t>
      </w:r>
      <w:r>
        <w:rPr>
          <w:i/>
          <w:spacing w:val="-4"/>
          <w:sz w:val="18"/>
        </w:rPr>
        <w:t> </w:t>
      </w:r>
      <w:r>
        <w:rPr>
          <w:i/>
          <w:sz w:val="18"/>
        </w:rPr>
        <w:t>staff).</w:t>
      </w:r>
    </w:p>
    <w:p>
      <w:pPr>
        <w:spacing w:after="0"/>
        <w:jc w:val="left"/>
        <w:rPr>
          <w:sz w:val="18"/>
        </w:rPr>
        <w:sectPr>
          <w:footerReference w:type="default" r:id="rId45"/>
          <w:pgSz w:w="11910" w:h="16840"/>
          <w:pgMar w:footer="948" w:header="0" w:top="860" w:bottom="1140" w:left="580" w:right="480"/>
        </w:sectPr>
      </w:pPr>
    </w:p>
    <w:p>
      <w:pPr>
        <w:spacing w:before="75"/>
        <w:ind w:left="500" w:right="338" w:firstLine="0"/>
        <w:jc w:val="left"/>
        <w:rPr>
          <w:i/>
          <w:sz w:val="18"/>
        </w:rPr>
      </w:pPr>
      <w:r>
        <w:rPr>
          <w:i/>
          <w:sz w:val="18"/>
        </w:rPr>
        <w:t>Patient attributable time includes direct face-to-face contact </w:t>
      </w:r>
      <w:r>
        <w:rPr>
          <w:i/>
          <w:sz w:val="18"/>
          <w:u w:val="single"/>
        </w:rPr>
        <w:t>plus</w:t>
      </w:r>
      <w:r>
        <w:rPr>
          <w:i/>
          <w:sz w:val="18"/>
        </w:rPr>
        <w:t> other time related to this, such as writing patient</w:t>
      </w:r>
      <w:r>
        <w:rPr>
          <w:i/>
          <w:spacing w:val="-47"/>
          <w:sz w:val="18"/>
        </w:rPr>
        <w:t> </w:t>
      </w:r>
      <w:r>
        <w:rPr>
          <w:i/>
          <w:sz w:val="18"/>
        </w:rPr>
        <w:t>notes,</w:t>
      </w:r>
      <w:r>
        <w:rPr>
          <w:i/>
          <w:spacing w:val="-1"/>
          <w:sz w:val="18"/>
        </w:rPr>
        <w:t> </w:t>
      </w:r>
      <w:r>
        <w:rPr>
          <w:i/>
          <w:sz w:val="18"/>
        </w:rPr>
        <w:t>reviewing</w:t>
      </w:r>
      <w:r>
        <w:rPr>
          <w:i/>
          <w:spacing w:val="-2"/>
          <w:sz w:val="18"/>
        </w:rPr>
        <w:t> </w:t>
      </w:r>
      <w:r>
        <w:rPr>
          <w:i/>
          <w:sz w:val="18"/>
        </w:rPr>
        <w:t>results, reviewing</w:t>
      </w:r>
      <w:r>
        <w:rPr>
          <w:i/>
          <w:spacing w:val="-2"/>
          <w:sz w:val="18"/>
        </w:rPr>
        <w:t> </w:t>
      </w:r>
      <w:r>
        <w:rPr>
          <w:i/>
          <w:sz w:val="18"/>
        </w:rPr>
        <w:t>a care plan.</w:t>
      </w:r>
    </w:p>
    <w:p>
      <w:pPr>
        <w:pStyle w:val="BodyText"/>
        <w:spacing w:before="11"/>
        <w:rPr>
          <w:i/>
          <w:sz w:val="9"/>
        </w:rPr>
      </w:pPr>
    </w:p>
    <w:tbl>
      <w:tblPr>
        <w:tblW w:w="0" w:type="auto"/>
        <w:jc w:val="left"/>
        <w:tblInd w:w="5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464"/>
        <w:gridCol w:w="1701"/>
        <w:gridCol w:w="1982"/>
        <w:gridCol w:w="993"/>
        <w:gridCol w:w="976"/>
        <w:gridCol w:w="978"/>
      </w:tblGrid>
      <w:tr>
        <w:trPr>
          <w:trHeight w:val="587" w:hRule="atLeast"/>
        </w:trPr>
        <w:tc>
          <w:tcPr>
            <w:tcW w:w="3464" w:type="dxa"/>
            <w:vMerge w:val="restart"/>
            <w:shd w:val="clear" w:color="auto" w:fill="F1F1F1"/>
          </w:tcPr>
          <w:p>
            <w:pPr>
              <w:pStyle w:val="TableParagraph"/>
              <w:ind w:left="487" w:right="223" w:firstLine="467"/>
              <w:rPr>
                <w:sz w:val="18"/>
              </w:rPr>
            </w:pPr>
            <w:r>
              <w:rPr>
                <w:sz w:val="18"/>
              </w:rPr>
              <w:t>Staff</w:t>
            </w:r>
            <w:r>
              <w:rPr>
                <w:spacing w:val="-5"/>
                <w:sz w:val="18"/>
              </w:rPr>
              <w:t> </w:t>
            </w:r>
            <w:r>
              <w:rPr>
                <w:sz w:val="18"/>
              </w:rPr>
              <w:t>directly</w:t>
            </w:r>
            <w:r>
              <w:rPr>
                <w:spacing w:val="-5"/>
                <w:sz w:val="18"/>
              </w:rPr>
              <w:t> </w:t>
            </w:r>
            <w:r>
              <w:rPr>
                <w:sz w:val="18"/>
              </w:rPr>
              <w:t>involved</w:t>
            </w:r>
            <w:r>
              <w:rPr>
                <w:spacing w:val="-6"/>
                <w:sz w:val="18"/>
              </w:rPr>
              <w:t> </w:t>
            </w:r>
            <w:r>
              <w:rPr>
                <w:sz w:val="18"/>
              </w:rPr>
              <w:t>with</w:t>
            </w:r>
            <w:r>
              <w:rPr>
                <w:spacing w:val="-47"/>
                <w:sz w:val="18"/>
              </w:rPr>
              <w:t> </w:t>
            </w:r>
            <w:r>
              <w:rPr>
                <w:sz w:val="18"/>
              </w:rPr>
              <w:t>clinical</w:t>
            </w:r>
            <w:r>
              <w:rPr>
                <w:spacing w:val="-4"/>
                <w:sz w:val="18"/>
              </w:rPr>
              <w:t> </w:t>
            </w:r>
            <w:r>
              <w:rPr>
                <w:sz w:val="18"/>
              </w:rPr>
              <w:t>care</w:t>
            </w:r>
            <w:r>
              <w:rPr>
                <w:spacing w:val="-2"/>
                <w:sz w:val="18"/>
              </w:rPr>
              <w:t> </w:t>
            </w:r>
            <w:r>
              <w:rPr>
                <w:sz w:val="18"/>
              </w:rPr>
              <w:t>of</w:t>
            </w:r>
            <w:r>
              <w:rPr>
                <w:spacing w:val="-1"/>
                <w:sz w:val="18"/>
              </w:rPr>
              <w:t> </w:t>
            </w:r>
            <w:r>
              <w:rPr>
                <w:sz w:val="18"/>
              </w:rPr>
              <w:t>HCH</w:t>
            </w:r>
            <w:r>
              <w:rPr>
                <w:spacing w:val="-3"/>
                <w:sz w:val="18"/>
              </w:rPr>
              <w:t> </w:t>
            </w:r>
            <w:r>
              <w:rPr>
                <w:sz w:val="18"/>
              </w:rPr>
              <w:t>patients</w:t>
            </w:r>
          </w:p>
        </w:tc>
        <w:tc>
          <w:tcPr>
            <w:tcW w:w="1701" w:type="dxa"/>
            <w:vMerge w:val="restart"/>
            <w:shd w:val="clear" w:color="auto" w:fill="F1F1F1"/>
          </w:tcPr>
          <w:p>
            <w:pPr>
              <w:pStyle w:val="TableParagraph"/>
              <w:ind w:left="139" w:right="127"/>
              <w:jc w:val="center"/>
              <w:rPr>
                <w:sz w:val="18"/>
              </w:rPr>
            </w:pPr>
            <w:r>
              <w:rPr>
                <w:sz w:val="18"/>
              </w:rPr>
              <w:t>Patient activities</w:t>
            </w:r>
            <w:r>
              <w:rPr>
                <w:spacing w:val="-47"/>
                <w:sz w:val="18"/>
              </w:rPr>
              <w:t> </w:t>
            </w:r>
            <w:r>
              <w:rPr>
                <w:sz w:val="18"/>
              </w:rPr>
              <w:t>in most recent</w:t>
            </w:r>
            <w:r>
              <w:rPr>
                <w:spacing w:val="1"/>
                <w:sz w:val="18"/>
              </w:rPr>
              <w:t> </w:t>
            </w:r>
            <w:r>
              <w:rPr>
                <w:sz w:val="18"/>
              </w:rPr>
              <w:t>week</w:t>
            </w:r>
          </w:p>
        </w:tc>
        <w:tc>
          <w:tcPr>
            <w:tcW w:w="1982" w:type="dxa"/>
            <w:vMerge w:val="restart"/>
            <w:shd w:val="clear" w:color="auto" w:fill="F1F1F1"/>
          </w:tcPr>
          <w:p>
            <w:pPr>
              <w:pStyle w:val="TableParagraph"/>
              <w:ind w:left="118" w:right="103" w:hanging="1"/>
              <w:jc w:val="center"/>
              <w:rPr>
                <w:sz w:val="18"/>
              </w:rPr>
            </w:pPr>
            <w:r>
              <w:rPr>
                <w:sz w:val="18"/>
              </w:rPr>
              <w:t>Was this about</w:t>
            </w:r>
            <w:r>
              <w:rPr>
                <w:spacing w:val="1"/>
                <w:sz w:val="18"/>
              </w:rPr>
              <w:t> </w:t>
            </w:r>
            <w:r>
              <w:rPr>
                <w:sz w:val="18"/>
              </w:rPr>
              <w:t>average, lower or</w:t>
            </w:r>
            <w:r>
              <w:rPr>
                <w:spacing w:val="1"/>
                <w:sz w:val="18"/>
              </w:rPr>
              <w:t> </w:t>
            </w:r>
            <w:r>
              <w:rPr>
                <w:sz w:val="18"/>
              </w:rPr>
              <w:t>higher than</w:t>
            </w:r>
            <w:r>
              <w:rPr>
                <w:spacing w:val="1"/>
                <w:sz w:val="18"/>
              </w:rPr>
              <w:t> </w:t>
            </w:r>
            <w:r>
              <w:rPr>
                <w:sz w:val="18"/>
              </w:rPr>
              <w:t>average</w:t>
            </w:r>
            <w:r>
              <w:rPr>
                <w:spacing w:val="-8"/>
                <w:sz w:val="18"/>
              </w:rPr>
              <w:t> </w:t>
            </w:r>
            <w:r>
              <w:rPr>
                <w:sz w:val="18"/>
              </w:rPr>
              <w:t>compared</w:t>
            </w:r>
          </w:p>
          <w:p>
            <w:pPr>
              <w:pStyle w:val="TableParagraph"/>
              <w:spacing w:line="200" w:lineRule="exact"/>
              <w:ind w:left="118" w:right="104"/>
              <w:jc w:val="center"/>
              <w:rPr>
                <w:sz w:val="18"/>
              </w:rPr>
            </w:pPr>
            <w:r>
              <w:rPr>
                <w:sz w:val="18"/>
              </w:rPr>
              <w:t>with</w:t>
            </w:r>
            <w:r>
              <w:rPr>
                <w:spacing w:val="-2"/>
                <w:sz w:val="18"/>
              </w:rPr>
              <w:t> </w:t>
            </w:r>
            <w:r>
              <w:rPr>
                <w:sz w:val="18"/>
              </w:rPr>
              <w:t>other</w:t>
            </w:r>
            <w:r>
              <w:rPr>
                <w:spacing w:val="-2"/>
                <w:sz w:val="18"/>
              </w:rPr>
              <w:t> </w:t>
            </w:r>
            <w:r>
              <w:rPr>
                <w:sz w:val="18"/>
              </w:rPr>
              <w:t>weeks?</w:t>
            </w:r>
          </w:p>
        </w:tc>
        <w:tc>
          <w:tcPr>
            <w:tcW w:w="2947" w:type="dxa"/>
            <w:gridSpan w:val="3"/>
            <w:shd w:val="clear" w:color="auto" w:fill="F1F1F1"/>
          </w:tcPr>
          <w:p>
            <w:pPr>
              <w:pStyle w:val="TableParagraph"/>
              <w:spacing w:line="196" w:lineRule="exact"/>
              <w:ind w:left="411" w:right="395"/>
              <w:jc w:val="center"/>
              <w:rPr>
                <w:sz w:val="16"/>
              </w:rPr>
            </w:pPr>
            <w:r>
              <w:rPr>
                <w:sz w:val="16"/>
              </w:rPr>
              <w:t>Please estimate the patient</w:t>
            </w:r>
            <w:r>
              <w:rPr>
                <w:spacing w:val="-42"/>
                <w:sz w:val="16"/>
              </w:rPr>
              <w:t> </w:t>
            </w:r>
            <w:r>
              <w:rPr>
                <w:sz w:val="16"/>
              </w:rPr>
              <w:t>attributable time in </w:t>
            </w:r>
            <w:r>
              <w:rPr>
                <w:sz w:val="16"/>
                <w:u w:val="single"/>
              </w:rPr>
              <w:t>minutes</w:t>
            </w:r>
            <w:r>
              <w:rPr>
                <w:spacing w:val="-42"/>
                <w:sz w:val="16"/>
              </w:rPr>
              <w:t> </w:t>
            </w:r>
            <w:r>
              <w:rPr>
                <w:sz w:val="16"/>
                <w:u w:val="single"/>
              </w:rPr>
              <w:t>per</w:t>
            </w:r>
            <w:r>
              <w:rPr>
                <w:spacing w:val="-3"/>
                <w:sz w:val="16"/>
                <w:u w:val="single"/>
              </w:rPr>
              <w:t> </w:t>
            </w:r>
            <w:r>
              <w:rPr>
                <w:sz w:val="16"/>
                <w:u w:val="single"/>
              </w:rPr>
              <w:t>activity</w:t>
            </w:r>
          </w:p>
        </w:tc>
      </w:tr>
      <w:tr>
        <w:trPr>
          <w:trHeight w:val="503" w:hRule="atLeast"/>
        </w:trPr>
        <w:tc>
          <w:tcPr>
            <w:tcW w:w="3464" w:type="dxa"/>
            <w:vMerge/>
            <w:tcBorders>
              <w:top w:val="nil"/>
            </w:tcBorders>
            <w:shd w:val="clear" w:color="auto" w:fill="F1F1F1"/>
          </w:tcPr>
          <w:p>
            <w:pPr>
              <w:rPr>
                <w:sz w:val="2"/>
                <w:szCs w:val="2"/>
              </w:rPr>
            </w:pPr>
          </w:p>
        </w:tc>
        <w:tc>
          <w:tcPr>
            <w:tcW w:w="1701" w:type="dxa"/>
            <w:vMerge/>
            <w:tcBorders>
              <w:top w:val="nil"/>
            </w:tcBorders>
            <w:shd w:val="clear" w:color="auto" w:fill="F1F1F1"/>
          </w:tcPr>
          <w:p>
            <w:pPr>
              <w:rPr>
                <w:sz w:val="2"/>
                <w:szCs w:val="2"/>
              </w:rPr>
            </w:pPr>
          </w:p>
        </w:tc>
        <w:tc>
          <w:tcPr>
            <w:tcW w:w="1982" w:type="dxa"/>
            <w:vMerge/>
            <w:tcBorders>
              <w:top w:val="nil"/>
            </w:tcBorders>
            <w:shd w:val="clear" w:color="auto" w:fill="F1F1F1"/>
          </w:tcPr>
          <w:p>
            <w:pPr>
              <w:rPr>
                <w:sz w:val="2"/>
                <w:szCs w:val="2"/>
              </w:rPr>
            </w:pPr>
          </w:p>
        </w:tc>
        <w:tc>
          <w:tcPr>
            <w:tcW w:w="993" w:type="dxa"/>
            <w:shd w:val="clear" w:color="auto" w:fill="F1F1F1"/>
          </w:tcPr>
          <w:p>
            <w:pPr>
              <w:pStyle w:val="TableParagraph"/>
              <w:spacing w:line="196" w:lineRule="exact"/>
              <w:ind w:left="157"/>
              <w:rPr>
                <w:sz w:val="16"/>
              </w:rPr>
            </w:pPr>
            <w:r>
              <w:rPr>
                <w:sz w:val="16"/>
              </w:rPr>
              <w:t>Average</w:t>
            </w:r>
          </w:p>
        </w:tc>
        <w:tc>
          <w:tcPr>
            <w:tcW w:w="976" w:type="dxa"/>
            <w:shd w:val="clear" w:color="auto" w:fill="F1F1F1"/>
          </w:tcPr>
          <w:p>
            <w:pPr>
              <w:pStyle w:val="TableParagraph"/>
              <w:spacing w:line="196" w:lineRule="exact"/>
              <w:ind w:left="139"/>
              <w:rPr>
                <w:sz w:val="16"/>
              </w:rPr>
            </w:pPr>
            <w:r>
              <w:rPr>
                <w:sz w:val="16"/>
              </w:rPr>
              <w:t>Minimum</w:t>
            </w:r>
          </w:p>
        </w:tc>
        <w:tc>
          <w:tcPr>
            <w:tcW w:w="978" w:type="dxa"/>
            <w:shd w:val="clear" w:color="auto" w:fill="F1F1F1"/>
          </w:tcPr>
          <w:p>
            <w:pPr>
              <w:pStyle w:val="TableParagraph"/>
              <w:spacing w:line="196" w:lineRule="exact"/>
              <w:ind w:left="111"/>
              <w:rPr>
                <w:sz w:val="16"/>
              </w:rPr>
            </w:pPr>
            <w:r>
              <w:rPr>
                <w:sz w:val="16"/>
              </w:rPr>
              <w:t>Maximum</w:t>
            </w:r>
          </w:p>
        </w:tc>
      </w:tr>
      <w:tr>
        <w:trPr>
          <w:trHeight w:val="222" w:hRule="atLeast"/>
        </w:trPr>
        <w:tc>
          <w:tcPr>
            <w:tcW w:w="3464" w:type="dxa"/>
          </w:tcPr>
          <w:p>
            <w:pPr>
              <w:pStyle w:val="TableParagraph"/>
              <w:spacing w:line="202" w:lineRule="exact" w:before="1"/>
              <w:ind w:left="107"/>
              <w:rPr>
                <w:b/>
                <w:sz w:val="18"/>
              </w:rPr>
            </w:pPr>
            <w:r>
              <w:rPr>
                <w:b/>
                <w:sz w:val="18"/>
              </w:rPr>
              <w:t>General</w:t>
            </w:r>
            <w:r>
              <w:rPr>
                <w:b/>
                <w:spacing w:val="-1"/>
                <w:sz w:val="18"/>
              </w:rPr>
              <w:t> </w:t>
            </w:r>
            <w:r>
              <w:rPr>
                <w:b/>
                <w:sz w:val="18"/>
              </w:rPr>
              <w:t>practitioners:</w:t>
            </w:r>
          </w:p>
        </w:tc>
        <w:tc>
          <w:tcPr>
            <w:tcW w:w="1701" w:type="dxa"/>
          </w:tcPr>
          <w:p>
            <w:pPr>
              <w:pStyle w:val="TableParagraph"/>
              <w:rPr>
                <w:rFonts w:ascii="Times New Roman"/>
                <w:sz w:val="14"/>
              </w:rPr>
            </w:pPr>
          </w:p>
        </w:tc>
        <w:tc>
          <w:tcPr>
            <w:tcW w:w="1982" w:type="dxa"/>
          </w:tcPr>
          <w:p>
            <w:pPr>
              <w:pStyle w:val="TableParagraph"/>
              <w:rPr>
                <w:rFonts w:ascii="Times New Roman"/>
                <w:sz w:val="14"/>
              </w:rPr>
            </w:pPr>
          </w:p>
        </w:tc>
        <w:tc>
          <w:tcPr>
            <w:tcW w:w="993" w:type="dxa"/>
          </w:tcPr>
          <w:p>
            <w:pPr>
              <w:pStyle w:val="TableParagraph"/>
              <w:rPr>
                <w:rFonts w:ascii="Times New Roman"/>
                <w:sz w:val="14"/>
              </w:rPr>
            </w:pPr>
          </w:p>
        </w:tc>
        <w:tc>
          <w:tcPr>
            <w:tcW w:w="976" w:type="dxa"/>
          </w:tcPr>
          <w:p>
            <w:pPr>
              <w:pStyle w:val="TableParagraph"/>
              <w:rPr>
                <w:rFonts w:ascii="Times New Roman"/>
                <w:sz w:val="14"/>
              </w:rPr>
            </w:pPr>
          </w:p>
        </w:tc>
        <w:tc>
          <w:tcPr>
            <w:tcW w:w="978" w:type="dxa"/>
          </w:tcPr>
          <w:p>
            <w:pPr>
              <w:pStyle w:val="TableParagraph"/>
              <w:rPr>
                <w:rFonts w:ascii="Times New Roman"/>
                <w:sz w:val="14"/>
              </w:rPr>
            </w:pPr>
          </w:p>
        </w:tc>
      </w:tr>
      <w:tr>
        <w:trPr>
          <w:trHeight w:val="220" w:hRule="atLeast"/>
        </w:trPr>
        <w:tc>
          <w:tcPr>
            <w:tcW w:w="3464" w:type="dxa"/>
          </w:tcPr>
          <w:p>
            <w:pPr>
              <w:pStyle w:val="TableParagraph"/>
              <w:spacing w:line="200" w:lineRule="exact"/>
              <w:ind w:left="119"/>
              <w:rPr>
                <w:sz w:val="18"/>
              </w:rPr>
            </w:pPr>
            <w:r>
              <w:rPr>
                <w:sz w:val="18"/>
              </w:rPr>
              <w:t>a.</w:t>
            </w:r>
            <w:r>
              <w:rPr>
                <w:spacing w:val="80"/>
                <w:sz w:val="18"/>
              </w:rPr>
              <w:t> </w:t>
            </w:r>
            <w:r>
              <w:rPr>
                <w:sz w:val="18"/>
              </w:rPr>
              <w:t>Face-to-face</w:t>
            </w:r>
            <w:r>
              <w:rPr>
                <w:spacing w:val="-2"/>
                <w:sz w:val="18"/>
              </w:rPr>
              <w:t> </w:t>
            </w:r>
            <w:r>
              <w:rPr>
                <w:sz w:val="18"/>
              </w:rPr>
              <w:t>consultations</w:t>
            </w:r>
          </w:p>
        </w:tc>
        <w:tc>
          <w:tcPr>
            <w:tcW w:w="1701" w:type="dxa"/>
          </w:tcPr>
          <w:p>
            <w:pPr>
              <w:pStyle w:val="TableParagraph"/>
              <w:rPr>
                <w:rFonts w:ascii="Times New Roman"/>
                <w:sz w:val="14"/>
              </w:rPr>
            </w:pPr>
          </w:p>
        </w:tc>
        <w:tc>
          <w:tcPr>
            <w:tcW w:w="1982" w:type="dxa"/>
          </w:tcPr>
          <w:p>
            <w:pPr>
              <w:pStyle w:val="TableParagraph"/>
              <w:rPr>
                <w:rFonts w:ascii="Times New Roman"/>
                <w:sz w:val="14"/>
              </w:rPr>
            </w:pPr>
          </w:p>
        </w:tc>
        <w:tc>
          <w:tcPr>
            <w:tcW w:w="993" w:type="dxa"/>
          </w:tcPr>
          <w:p>
            <w:pPr>
              <w:pStyle w:val="TableParagraph"/>
              <w:rPr>
                <w:rFonts w:ascii="Times New Roman"/>
                <w:sz w:val="14"/>
              </w:rPr>
            </w:pPr>
          </w:p>
        </w:tc>
        <w:tc>
          <w:tcPr>
            <w:tcW w:w="976" w:type="dxa"/>
          </w:tcPr>
          <w:p>
            <w:pPr>
              <w:pStyle w:val="TableParagraph"/>
              <w:rPr>
                <w:rFonts w:ascii="Times New Roman"/>
                <w:sz w:val="14"/>
              </w:rPr>
            </w:pPr>
          </w:p>
        </w:tc>
        <w:tc>
          <w:tcPr>
            <w:tcW w:w="978" w:type="dxa"/>
          </w:tcPr>
          <w:p>
            <w:pPr>
              <w:pStyle w:val="TableParagraph"/>
              <w:rPr>
                <w:rFonts w:ascii="Times New Roman"/>
                <w:sz w:val="14"/>
              </w:rPr>
            </w:pPr>
          </w:p>
        </w:tc>
      </w:tr>
      <w:tr>
        <w:trPr>
          <w:trHeight w:val="220" w:hRule="atLeast"/>
        </w:trPr>
        <w:tc>
          <w:tcPr>
            <w:tcW w:w="3464" w:type="dxa"/>
          </w:tcPr>
          <w:p>
            <w:pPr>
              <w:pStyle w:val="TableParagraph"/>
              <w:spacing w:line="200" w:lineRule="exact"/>
              <w:ind w:left="119"/>
              <w:rPr>
                <w:sz w:val="18"/>
              </w:rPr>
            </w:pPr>
            <w:r>
              <w:rPr>
                <w:sz w:val="18"/>
              </w:rPr>
              <w:t>b.</w:t>
            </w:r>
            <w:r>
              <w:rPr>
                <w:spacing w:val="82"/>
                <w:sz w:val="18"/>
              </w:rPr>
              <w:t> </w:t>
            </w:r>
            <w:r>
              <w:rPr>
                <w:sz w:val="18"/>
              </w:rPr>
              <w:t>Tele</w:t>
            </w:r>
            <w:r>
              <w:rPr>
                <w:spacing w:val="-2"/>
                <w:sz w:val="18"/>
              </w:rPr>
              <w:t> </w:t>
            </w:r>
            <w:r>
              <w:rPr>
                <w:sz w:val="18"/>
              </w:rPr>
              <w:t>consultations/</w:t>
            </w:r>
            <w:r>
              <w:rPr>
                <w:spacing w:val="-4"/>
                <w:sz w:val="18"/>
              </w:rPr>
              <w:t> </w:t>
            </w:r>
            <w:r>
              <w:rPr>
                <w:sz w:val="18"/>
              </w:rPr>
              <w:t>contacts</w:t>
            </w:r>
          </w:p>
        </w:tc>
        <w:tc>
          <w:tcPr>
            <w:tcW w:w="1701" w:type="dxa"/>
          </w:tcPr>
          <w:p>
            <w:pPr>
              <w:pStyle w:val="TableParagraph"/>
              <w:rPr>
                <w:rFonts w:ascii="Times New Roman"/>
                <w:sz w:val="14"/>
              </w:rPr>
            </w:pPr>
          </w:p>
        </w:tc>
        <w:tc>
          <w:tcPr>
            <w:tcW w:w="1982" w:type="dxa"/>
          </w:tcPr>
          <w:p>
            <w:pPr>
              <w:pStyle w:val="TableParagraph"/>
              <w:rPr>
                <w:rFonts w:ascii="Times New Roman"/>
                <w:sz w:val="14"/>
              </w:rPr>
            </w:pPr>
          </w:p>
        </w:tc>
        <w:tc>
          <w:tcPr>
            <w:tcW w:w="993" w:type="dxa"/>
          </w:tcPr>
          <w:p>
            <w:pPr>
              <w:pStyle w:val="TableParagraph"/>
              <w:rPr>
                <w:rFonts w:ascii="Times New Roman"/>
                <w:sz w:val="14"/>
              </w:rPr>
            </w:pPr>
          </w:p>
        </w:tc>
        <w:tc>
          <w:tcPr>
            <w:tcW w:w="976" w:type="dxa"/>
          </w:tcPr>
          <w:p>
            <w:pPr>
              <w:pStyle w:val="TableParagraph"/>
              <w:rPr>
                <w:rFonts w:ascii="Times New Roman"/>
                <w:sz w:val="14"/>
              </w:rPr>
            </w:pPr>
          </w:p>
        </w:tc>
        <w:tc>
          <w:tcPr>
            <w:tcW w:w="978" w:type="dxa"/>
          </w:tcPr>
          <w:p>
            <w:pPr>
              <w:pStyle w:val="TableParagraph"/>
              <w:rPr>
                <w:rFonts w:ascii="Times New Roman"/>
                <w:sz w:val="14"/>
              </w:rPr>
            </w:pPr>
          </w:p>
        </w:tc>
      </w:tr>
      <w:tr>
        <w:trPr>
          <w:trHeight w:val="220" w:hRule="atLeast"/>
        </w:trPr>
        <w:tc>
          <w:tcPr>
            <w:tcW w:w="3464" w:type="dxa"/>
          </w:tcPr>
          <w:p>
            <w:pPr>
              <w:pStyle w:val="TableParagraph"/>
              <w:spacing w:line="200" w:lineRule="exact"/>
              <w:ind w:left="119"/>
              <w:rPr>
                <w:sz w:val="18"/>
              </w:rPr>
            </w:pPr>
            <w:r>
              <w:rPr>
                <w:sz w:val="18"/>
              </w:rPr>
              <w:t>c.</w:t>
            </w:r>
            <w:r>
              <w:rPr>
                <w:spacing w:val="88"/>
                <w:sz w:val="18"/>
              </w:rPr>
              <w:t> </w:t>
            </w:r>
            <w:r>
              <w:rPr>
                <w:sz w:val="18"/>
              </w:rPr>
              <w:t>Email</w:t>
            </w:r>
            <w:r>
              <w:rPr>
                <w:spacing w:val="-2"/>
                <w:sz w:val="18"/>
              </w:rPr>
              <w:t> </w:t>
            </w:r>
            <w:r>
              <w:rPr>
                <w:sz w:val="18"/>
              </w:rPr>
              <w:t>consultations/</w:t>
            </w:r>
            <w:r>
              <w:rPr>
                <w:spacing w:val="-3"/>
                <w:sz w:val="18"/>
              </w:rPr>
              <w:t> </w:t>
            </w:r>
            <w:r>
              <w:rPr>
                <w:sz w:val="18"/>
              </w:rPr>
              <w:t>contacts</w:t>
            </w:r>
          </w:p>
        </w:tc>
        <w:tc>
          <w:tcPr>
            <w:tcW w:w="1701" w:type="dxa"/>
          </w:tcPr>
          <w:p>
            <w:pPr>
              <w:pStyle w:val="TableParagraph"/>
              <w:rPr>
                <w:rFonts w:ascii="Times New Roman"/>
                <w:sz w:val="14"/>
              </w:rPr>
            </w:pPr>
          </w:p>
        </w:tc>
        <w:tc>
          <w:tcPr>
            <w:tcW w:w="1982" w:type="dxa"/>
          </w:tcPr>
          <w:p>
            <w:pPr>
              <w:pStyle w:val="TableParagraph"/>
              <w:rPr>
                <w:rFonts w:ascii="Times New Roman"/>
                <w:sz w:val="14"/>
              </w:rPr>
            </w:pPr>
          </w:p>
        </w:tc>
        <w:tc>
          <w:tcPr>
            <w:tcW w:w="993" w:type="dxa"/>
          </w:tcPr>
          <w:p>
            <w:pPr>
              <w:pStyle w:val="TableParagraph"/>
              <w:rPr>
                <w:rFonts w:ascii="Times New Roman"/>
                <w:sz w:val="14"/>
              </w:rPr>
            </w:pPr>
          </w:p>
        </w:tc>
        <w:tc>
          <w:tcPr>
            <w:tcW w:w="976" w:type="dxa"/>
          </w:tcPr>
          <w:p>
            <w:pPr>
              <w:pStyle w:val="TableParagraph"/>
              <w:rPr>
                <w:rFonts w:ascii="Times New Roman"/>
                <w:sz w:val="14"/>
              </w:rPr>
            </w:pPr>
          </w:p>
        </w:tc>
        <w:tc>
          <w:tcPr>
            <w:tcW w:w="978" w:type="dxa"/>
          </w:tcPr>
          <w:p>
            <w:pPr>
              <w:pStyle w:val="TableParagraph"/>
              <w:rPr>
                <w:rFonts w:ascii="Times New Roman"/>
                <w:sz w:val="14"/>
              </w:rPr>
            </w:pPr>
          </w:p>
        </w:tc>
      </w:tr>
      <w:tr>
        <w:trPr>
          <w:trHeight w:val="441" w:hRule="atLeast"/>
        </w:trPr>
        <w:tc>
          <w:tcPr>
            <w:tcW w:w="3464" w:type="dxa"/>
          </w:tcPr>
          <w:p>
            <w:pPr>
              <w:pStyle w:val="TableParagraph"/>
              <w:spacing w:line="220" w:lineRule="exact"/>
              <w:ind w:left="480" w:hanging="361"/>
              <w:rPr>
                <w:sz w:val="18"/>
              </w:rPr>
            </w:pPr>
            <w:r>
              <w:rPr>
                <w:sz w:val="18"/>
              </w:rPr>
              <w:t>d.</w:t>
            </w:r>
            <w:r>
              <w:rPr>
                <w:spacing w:val="36"/>
                <w:sz w:val="18"/>
              </w:rPr>
              <w:t> </w:t>
            </w:r>
            <w:r>
              <w:rPr>
                <w:sz w:val="18"/>
              </w:rPr>
              <w:t>Case</w:t>
            </w:r>
            <w:r>
              <w:rPr>
                <w:spacing w:val="-1"/>
                <w:sz w:val="18"/>
              </w:rPr>
              <w:t> </w:t>
            </w:r>
            <w:r>
              <w:rPr>
                <w:sz w:val="18"/>
              </w:rPr>
              <w:t>conference/team</w:t>
            </w:r>
            <w:r>
              <w:rPr>
                <w:spacing w:val="-5"/>
                <w:sz w:val="18"/>
              </w:rPr>
              <w:t> </w:t>
            </w:r>
            <w:r>
              <w:rPr>
                <w:sz w:val="18"/>
              </w:rPr>
              <w:t>meeting</w:t>
            </w:r>
            <w:r>
              <w:rPr>
                <w:spacing w:val="-47"/>
                <w:sz w:val="18"/>
              </w:rPr>
              <w:t> </w:t>
            </w:r>
            <w:r>
              <w:rPr>
                <w:sz w:val="18"/>
              </w:rPr>
              <w:t>related</w:t>
            </w:r>
            <w:r>
              <w:rPr>
                <w:spacing w:val="-3"/>
                <w:sz w:val="18"/>
              </w:rPr>
              <w:t> </w:t>
            </w:r>
            <w:r>
              <w:rPr>
                <w:sz w:val="18"/>
              </w:rPr>
              <w:t>to</w:t>
            </w:r>
            <w:r>
              <w:rPr>
                <w:spacing w:val="-3"/>
                <w:sz w:val="18"/>
              </w:rPr>
              <w:t> </w:t>
            </w:r>
            <w:r>
              <w:rPr>
                <w:sz w:val="18"/>
              </w:rPr>
              <w:t>several</w:t>
            </w:r>
            <w:r>
              <w:rPr>
                <w:spacing w:val="-2"/>
                <w:sz w:val="18"/>
              </w:rPr>
              <w:t> </w:t>
            </w:r>
            <w:r>
              <w:rPr>
                <w:sz w:val="18"/>
              </w:rPr>
              <w:t>HCH</w:t>
            </w:r>
            <w:r>
              <w:rPr>
                <w:spacing w:val="-2"/>
                <w:sz w:val="18"/>
              </w:rPr>
              <w:t> </w:t>
            </w:r>
            <w:r>
              <w:rPr>
                <w:sz w:val="18"/>
              </w:rPr>
              <w:t>patients</w:t>
            </w:r>
          </w:p>
        </w:tc>
        <w:tc>
          <w:tcPr>
            <w:tcW w:w="1701" w:type="dxa"/>
          </w:tcPr>
          <w:p>
            <w:pPr>
              <w:pStyle w:val="TableParagraph"/>
              <w:rPr>
                <w:rFonts w:ascii="Times New Roman"/>
                <w:sz w:val="16"/>
              </w:rPr>
            </w:pPr>
          </w:p>
        </w:tc>
        <w:tc>
          <w:tcPr>
            <w:tcW w:w="1982" w:type="dxa"/>
          </w:tcPr>
          <w:p>
            <w:pPr>
              <w:pStyle w:val="TableParagraph"/>
              <w:rPr>
                <w:rFonts w:ascii="Times New Roman"/>
                <w:sz w:val="16"/>
              </w:rPr>
            </w:pPr>
          </w:p>
        </w:tc>
        <w:tc>
          <w:tcPr>
            <w:tcW w:w="993" w:type="dxa"/>
          </w:tcPr>
          <w:p>
            <w:pPr>
              <w:pStyle w:val="TableParagraph"/>
              <w:rPr>
                <w:rFonts w:ascii="Times New Roman"/>
                <w:sz w:val="16"/>
              </w:rPr>
            </w:pPr>
          </w:p>
        </w:tc>
        <w:tc>
          <w:tcPr>
            <w:tcW w:w="976" w:type="dxa"/>
          </w:tcPr>
          <w:p>
            <w:pPr>
              <w:pStyle w:val="TableParagraph"/>
              <w:rPr>
                <w:rFonts w:ascii="Times New Roman"/>
                <w:sz w:val="16"/>
              </w:rPr>
            </w:pPr>
          </w:p>
        </w:tc>
        <w:tc>
          <w:tcPr>
            <w:tcW w:w="978" w:type="dxa"/>
          </w:tcPr>
          <w:p>
            <w:pPr>
              <w:pStyle w:val="TableParagraph"/>
              <w:rPr>
                <w:rFonts w:ascii="Times New Roman"/>
                <w:sz w:val="16"/>
              </w:rPr>
            </w:pPr>
          </w:p>
        </w:tc>
      </w:tr>
      <w:tr>
        <w:trPr>
          <w:trHeight w:val="220" w:hRule="atLeast"/>
        </w:trPr>
        <w:tc>
          <w:tcPr>
            <w:tcW w:w="3464" w:type="dxa"/>
          </w:tcPr>
          <w:p>
            <w:pPr>
              <w:pStyle w:val="TableParagraph"/>
              <w:spacing w:line="200" w:lineRule="exact"/>
              <w:ind w:left="107"/>
              <w:rPr>
                <w:b/>
                <w:sz w:val="18"/>
              </w:rPr>
            </w:pPr>
            <w:r>
              <w:rPr>
                <w:b/>
                <w:sz w:val="18"/>
              </w:rPr>
              <w:t>Practice</w:t>
            </w:r>
            <w:r>
              <w:rPr>
                <w:b/>
                <w:spacing w:val="-5"/>
                <w:sz w:val="18"/>
              </w:rPr>
              <w:t> </w:t>
            </w:r>
            <w:r>
              <w:rPr>
                <w:b/>
                <w:sz w:val="18"/>
              </w:rPr>
              <w:t>nurses:</w:t>
            </w:r>
          </w:p>
        </w:tc>
        <w:tc>
          <w:tcPr>
            <w:tcW w:w="1701" w:type="dxa"/>
          </w:tcPr>
          <w:p>
            <w:pPr>
              <w:pStyle w:val="TableParagraph"/>
              <w:rPr>
                <w:rFonts w:ascii="Times New Roman"/>
                <w:sz w:val="14"/>
              </w:rPr>
            </w:pPr>
          </w:p>
        </w:tc>
        <w:tc>
          <w:tcPr>
            <w:tcW w:w="1982" w:type="dxa"/>
          </w:tcPr>
          <w:p>
            <w:pPr>
              <w:pStyle w:val="TableParagraph"/>
              <w:rPr>
                <w:rFonts w:ascii="Times New Roman"/>
                <w:sz w:val="14"/>
              </w:rPr>
            </w:pPr>
          </w:p>
        </w:tc>
        <w:tc>
          <w:tcPr>
            <w:tcW w:w="993" w:type="dxa"/>
          </w:tcPr>
          <w:p>
            <w:pPr>
              <w:pStyle w:val="TableParagraph"/>
              <w:rPr>
                <w:rFonts w:ascii="Times New Roman"/>
                <w:sz w:val="14"/>
              </w:rPr>
            </w:pPr>
          </w:p>
        </w:tc>
        <w:tc>
          <w:tcPr>
            <w:tcW w:w="976" w:type="dxa"/>
          </w:tcPr>
          <w:p>
            <w:pPr>
              <w:pStyle w:val="TableParagraph"/>
              <w:rPr>
                <w:rFonts w:ascii="Times New Roman"/>
                <w:sz w:val="14"/>
              </w:rPr>
            </w:pPr>
          </w:p>
        </w:tc>
        <w:tc>
          <w:tcPr>
            <w:tcW w:w="978" w:type="dxa"/>
          </w:tcPr>
          <w:p>
            <w:pPr>
              <w:pStyle w:val="TableParagraph"/>
              <w:rPr>
                <w:rFonts w:ascii="Times New Roman"/>
                <w:sz w:val="14"/>
              </w:rPr>
            </w:pPr>
          </w:p>
        </w:tc>
      </w:tr>
      <w:tr>
        <w:trPr>
          <w:trHeight w:val="220" w:hRule="atLeast"/>
        </w:trPr>
        <w:tc>
          <w:tcPr>
            <w:tcW w:w="3464" w:type="dxa"/>
          </w:tcPr>
          <w:p>
            <w:pPr>
              <w:pStyle w:val="TableParagraph"/>
              <w:tabs>
                <w:tab w:pos="480" w:val="left" w:leader="none"/>
              </w:tabs>
              <w:spacing w:line="200" w:lineRule="exact"/>
              <w:ind w:left="107"/>
              <w:rPr>
                <w:sz w:val="18"/>
              </w:rPr>
            </w:pPr>
            <w:r>
              <w:rPr>
                <w:sz w:val="18"/>
              </w:rPr>
              <w:t>a.</w:t>
              <w:tab/>
              <w:t>Face-to-face</w:t>
            </w:r>
            <w:r>
              <w:rPr>
                <w:spacing w:val="-5"/>
                <w:sz w:val="18"/>
              </w:rPr>
              <w:t> </w:t>
            </w:r>
            <w:r>
              <w:rPr>
                <w:sz w:val="18"/>
              </w:rPr>
              <w:t>consultations</w:t>
            </w:r>
          </w:p>
        </w:tc>
        <w:tc>
          <w:tcPr>
            <w:tcW w:w="1701" w:type="dxa"/>
          </w:tcPr>
          <w:p>
            <w:pPr>
              <w:pStyle w:val="TableParagraph"/>
              <w:rPr>
                <w:rFonts w:ascii="Times New Roman"/>
                <w:sz w:val="14"/>
              </w:rPr>
            </w:pPr>
          </w:p>
        </w:tc>
        <w:tc>
          <w:tcPr>
            <w:tcW w:w="1982" w:type="dxa"/>
          </w:tcPr>
          <w:p>
            <w:pPr>
              <w:pStyle w:val="TableParagraph"/>
              <w:rPr>
                <w:rFonts w:ascii="Times New Roman"/>
                <w:sz w:val="14"/>
              </w:rPr>
            </w:pPr>
          </w:p>
        </w:tc>
        <w:tc>
          <w:tcPr>
            <w:tcW w:w="993" w:type="dxa"/>
          </w:tcPr>
          <w:p>
            <w:pPr>
              <w:pStyle w:val="TableParagraph"/>
              <w:rPr>
                <w:rFonts w:ascii="Times New Roman"/>
                <w:sz w:val="14"/>
              </w:rPr>
            </w:pPr>
          </w:p>
        </w:tc>
        <w:tc>
          <w:tcPr>
            <w:tcW w:w="976" w:type="dxa"/>
          </w:tcPr>
          <w:p>
            <w:pPr>
              <w:pStyle w:val="TableParagraph"/>
              <w:rPr>
                <w:rFonts w:ascii="Times New Roman"/>
                <w:sz w:val="14"/>
              </w:rPr>
            </w:pPr>
          </w:p>
        </w:tc>
        <w:tc>
          <w:tcPr>
            <w:tcW w:w="978" w:type="dxa"/>
          </w:tcPr>
          <w:p>
            <w:pPr>
              <w:pStyle w:val="TableParagraph"/>
              <w:rPr>
                <w:rFonts w:ascii="Times New Roman"/>
                <w:sz w:val="14"/>
              </w:rPr>
            </w:pPr>
          </w:p>
        </w:tc>
      </w:tr>
      <w:tr>
        <w:trPr>
          <w:trHeight w:val="220" w:hRule="atLeast"/>
        </w:trPr>
        <w:tc>
          <w:tcPr>
            <w:tcW w:w="3464" w:type="dxa"/>
          </w:tcPr>
          <w:p>
            <w:pPr>
              <w:pStyle w:val="TableParagraph"/>
              <w:spacing w:line="200" w:lineRule="exact"/>
              <w:ind w:left="119"/>
              <w:rPr>
                <w:sz w:val="18"/>
              </w:rPr>
            </w:pPr>
            <w:r>
              <w:rPr>
                <w:sz w:val="18"/>
              </w:rPr>
              <w:t>b.</w:t>
            </w:r>
            <w:r>
              <w:rPr>
                <w:spacing w:val="82"/>
                <w:sz w:val="18"/>
              </w:rPr>
              <w:t> </w:t>
            </w:r>
            <w:r>
              <w:rPr>
                <w:sz w:val="18"/>
              </w:rPr>
              <w:t>Tele</w:t>
            </w:r>
            <w:r>
              <w:rPr>
                <w:spacing w:val="-2"/>
                <w:sz w:val="18"/>
              </w:rPr>
              <w:t> </w:t>
            </w:r>
            <w:r>
              <w:rPr>
                <w:sz w:val="18"/>
              </w:rPr>
              <w:t>consultations/</w:t>
            </w:r>
            <w:r>
              <w:rPr>
                <w:spacing w:val="-4"/>
                <w:sz w:val="18"/>
              </w:rPr>
              <w:t> </w:t>
            </w:r>
            <w:r>
              <w:rPr>
                <w:sz w:val="18"/>
              </w:rPr>
              <w:t>contacts</w:t>
            </w:r>
          </w:p>
        </w:tc>
        <w:tc>
          <w:tcPr>
            <w:tcW w:w="1701" w:type="dxa"/>
          </w:tcPr>
          <w:p>
            <w:pPr>
              <w:pStyle w:val="TableParagraph"/>
              <w:rPr>
                <w:rFonts w:ascii="Times New Roman"/>
                <w:sz w:val="14"/>
              </w:rPr>
            </w:pPr>
          </w:p>
        </w:tc>
        <w:tc>
          <w:tcPr>
            <w:tcW w:w="1982" w:type="dxa"/>
          </w:tcPr>
          <w:p>
            <w:pPr>
              <w:pStyle w:val="TableParagraph"/>
              <w:rPr>
                <w:rFonts w:ascii="Times New Roman"/>
                <w:sz w:val="14"/>
              </w:rPr>
            </w:pPr>
          </w:p>
        </w:tc>
        <w:tc>
          <w:tcPr>
            <w:tcW w:w="993" w:type="dxa"/>
          </w:tcPr>
          <w:p>
            <w:pPr>
              <w:pStyle w:val="TableParagraph"/>
              <w:rPr>
                <w:rFonts w:ascii="Times New Roman"/>
                <w:sz w:val="14"/>
              </w:rPr>
            </w:pPr>
          </w:p>
        </w:tc>
        <w:tc>
          <w:tcPr>
            <w:tcW w:w="976" w:type="dxa"/>
          </w:tcPr>
          <w:p>
            <w:pPr>
              <w:pStyle w:val="TableParagraph"/>
              <w:rPr>
                <w:rFonts w:ascii="Times New Roman"/>
                <w:sz w:val="14"/>
              </w:rPr>
            </w:pPr>
          </w:p>
        </w:tc>
        <w:tc>
          <w:tcPr>
            <w:tcW w:w="978" w:type="dxa"/>
          </w:tcPr>
          <w:p>
            <w:pPr>
              <w:pStyle w:val="TableParagraph"/>
              <w:rPr>
                <w:rFonts w:ascii="Times New Roman"/>
                <w:sz w:val="14"/>
              </w:rPr>
            </w:pPr>
          </w:p>
        </w:tc>
      </w:tr>
      <w:tr>
        <w:trPr>
          <w:trHeight w:val="223" w:hRule="atLeast"/>
        </w:trPr>
        <w:tc>
          <w:tcPr>
            <w:tcW w:w="3464" w:type="dxa"/>
          </w:tcPr>
          <w:p>
            <w:pPr>
              <w:pStyle w:val="TableParagraph"/>
              <w:spacing w:line="202" w:lineRule="exact" w:before="1"/>
              <w:ind w:left="119"/>
              <w:rPr>
                <w:sz w:val="18"/>
              </w:rPr>
            </w:pPr>
            <w:r>
              <w:rPr>
                <w:sz w:val="18"/>
              </w:rPr>
              <w:t>c.</w:t>
            </w:r>
            <w:r>
              <w:rPr>
                <w:spacing w:val="88"/>
                <w:sz w:val="18"/>
              </w:rPr>
              <w:t> </w:t>
            </w:r>
            <w:r>
              <w:rPr>
                <w:sz w:val="18"/>
              </w:rPr>
              <w:t>Email</w:t>
            </w:r>
            <w:r>
              <w:rPr>
                <w:spacing w:val="-2"/>
                <w:sz w:val="18"/>
              </w:rPr>
              <w:t> </w:t>
            </w:r>
            <w:r>
              <w:rPr>
                <w:sz w:val="18"/>
              </w:rPr>
              <w:t>consultations/</w:t>
            </w:r>
            <w:r>
              <w:rPr>
                <w:spacing w:val="-3"/>
                <w:sz w:val="18"/>
              </w:rPr>
              <w:t> </w:t>
            </w:r>
            <w:r>
              <w:rPr>
                <w:sz w:val="18"/>
              </w:rPr>
              <w:t>contacts</w:t>
            </w:r>
          </w:p>
        </w:tc>
        <w:tc>
          <w:tcPr>
            <w:tcW w:w="1701" w:type="dxa"/>
          </w:tcPr>
          <w:p>
            <w:pPr>
              <w:pStyle w:val="TableParagraph"/>
              <w:rPr>
                <w:rFonts w:ascii="Times New Roman"/>
                <w:sz w:val="14"/>
              </w:rPr>
            </w:pPr>
          </w:p>
        </w:tc>
        <w:tc>
          <w:tcPr>
            <w:tcW w:w="1982" w:type="dxa"/>
          </w:tcPr>
          <w:p>
            <w:pPr>
              <w:pStyle w:val="TableParagraph"/>
              <w:rPr>
                <w:rFonts w:ascii="Times New Roman"/>
                <w:sz w:val="14"/>
              </w:rPr>
            </w:pPr>
          </w:p>
        </w:tc>
        <w:tc>
          <w:tcPr>
            <w:tcW w:w="993" w:type="dxa"/>
          </w:tcPr>
          <w:p>
            <w:pPr>
              <w:pStyle w:val="TableParagraph"/>
              <w:rPr>
                <w:rFonts w:ascii="Times New Roman"/>
                <w:sz w:val="14"/>
              </w:rPr>
            </w:pPr>
          </w:p>
        </w:tc>
        <w:tc>
          <w:tcPr>
            <w:tcW w:w="976" w:type="dxa"/>
          </w:tcPr>
          <w:p>
            <w:pPr>
              <w:pStyle w:val="TableParagraph"/>
              <w:rPr>
                <w:rFonts w:ascii="Times New Roman"/>
                <w:sz w:val="14"/>
              </w:rPr>
            </w:pPr>
          </w:p>
        </w:tc>
        <w:tc>
          <w:tcPr>
            <w:tcW w:w="978" w:type="dxa"/>
          </w:tcPr>
          <w:p>
            <w:pPr>
              <w:pStyle w:val="TableParagraph"/>
              <w:rPr>
                <w:rFonts w:ascii="Times New Roman"/>
                <w:sz w:val="14"/>
              </w:rPr>
            </w:pPr>
          </w:p>
        </w:tc>
      </w:tr>
      <w:tr>
        <w:trPr>
          <w:trHeight w:val="441" w:hRule="atLeast"/>
        </w:trPr>
        <w:tc>
          <w:tcPr>
            <w:tcW w:w="3464" w:type="dxa"/>
          </w:tcPr>
          <w:p>
            <w:pPr>
              <w:pStyle w:val="TableParagraph"/>
              <w:spacing w:line="220" w:lineRule="exact"/>
              <w:ind w:left="480" w:hanging="361"/>
              <w:rPr>
                <w:sz w:val="18"/>
              </w:rPr>
            </w:pPr>
            <w:r>
              <w:rPr>
                <w:sz w:val="18"/>
              </w:rPr>
              <w:t>d.</w:t>
            </w:r>
            <w:r>
              <w:rPr>
                <w:spacing w:val="36"/>
                <w:sz w:val="18"/>
              </w:rPr>
              <w:t> </w:t>
            </w:r>
            <w:r>
              <w:rPr>
                <w:sz w:val="18"/>
              </w:rPr>
              <w:t>Case</w:t>
            </w:r>
            <w:r>
              <w:rPr>
                <w:spacing w:val="-1"/>
                <w:sz w:val="18"/>
              </w:rPr>
              <w:t> </w:t>
            </w:r>
            <w:r>
              <w:rPr>
                <w:sz w:val="18"/>
              </w:rPr>
              <w:t>conference/team</w:t>
            </w:r>
            <w:r>
              <w:rPr>
                <w:spacing w:val="-5"/>
                <w:sz w:val="18"/>
              </w:rPr>
              <w:t> </w:t>
            </w:r>
            <w:r>
              <w:rPr>
                <w:sz w:val="18"/>
              </w:rPr>
              <w:t>meeting</w:t>
            </w:r>
            <w:r>
              <w:rPr>
                <w:spacing w:val="-47"/>
                <w:sz w:val="18"/>
              </w:rPr>
              <w:t> </w:t>
            </w:r>
            <w:r>
              <w:rPr>
                <w:sz w:val="18"/>
              </w:rPr>
              <w:t>related</w:t>
            </w:r>
            <w:r>
              <w:rPr>
                <w:spacing w:val="-3"/>
                <w:sz w:val="18"/>
              </w:rPr>
              <w:t> </w:t>
            </w:r>
            <w:r>
              <w:rPr>
                <w:sz w:val="18"/>
              </w:rPr>
              <w:t>to</w:t>
            </w:r>
            <w:r>
              <w:rPr>
                <w:spacing w:val="-2"/>
                <w:sz w:val="18"/>
              </w:rPr>
              <w:t> </w:t>
            </w:r>
            <w:r>
              <w:rPr>
                <w:sz w:val="18"/>
              </w:rPr>
              <w:t>several</w:t>
            </w:r>
            <w:r>
              <w:rPr>
                <w:spacing w:val="-2"/>
                <w:sz w:val="18"/>
              </w:rPr>
              <w:t> </w:t>
            </w:r>
            <w:r>
              <w:rPr>
                <w:sz w:val="18"/>
              </w:rPr>
              <w:t>HCH</w:t>
            </w:r>
            <w:r>
              <w:rPr>
                <w:spacing w:val="-2"/>
                <w:sz w:val="18"/>
              </w:rPr>
              <w:t> </w:t>
            </w:r>
            <w:r>
              <w:rPr>
                <w:sz w:val="18"/>
              </w:rPr>
              <w:t>patients</w:t>
            </w:r>
          </w:p>
        </w:tc>
        <w:tc>
          <w:tcPr>
            <w:tcW w:w="1701" w:type="dxa"/>
          </w:tcPr>
          <w:p>
            <w:pPr>
              <w:pStyle w:val="TableParagraph"/>
              <w:rPr>
                <w:rFonts w:ascii="Times New Roman"/>
                <w:sz w:val="16"/>
              </w:rPr>
            </w:pPr>
          </w:p>
        </w:tc>
        <w:tc>
          <w:tcPr>
            <w:tcW w:w="1982" w:type="dxa"/>
          </w:tcPr>
          <w:p>
            <w:pPr>
              <w:pStyle w:val="TableParagraph"/>
              <w:rPr>
                <w:rFonts w:ascii="Times New Roman"/>
                <w:sz w:val="16"/>
              </w:rPr>
            </w:pPr>
          </w:p>
        </w:tc>
        <w:tc>
          <w:tcPr>
            <w:tcW w:w="993" w:type="dxa"/>
          </w:tcPr>
          <w:p>
            <w:pPr>
              <w:pStyle w:val="TableParagraph"/>
              <w:rPr>
                <w:rFonts w:ascii="Times New Roman"/>
                <w:sz w:val="16"/>
              </w:rPr>
            </w:pPr>
          </w:p>
        </w:tc>
        <w:tc>
          <w:tcPr>
            <w:tcW w:w="976" w:type="dxa"/>
          </w:tcPr>
          <w:p>
            <w:pPr>
              <w:pStyle w:val="TableParagraph"/>
              <w:rPr>
                <w:rFonts w:ascii="Times New Roman"/>
                <w:sz w:val="16"/>
              </w:rPr>
            </w:pPr>
          </w:p>
        </w:tc>
        <w:tc>
          <w:tcPr>
            <w:tcW w:w="978" w:type="dxa"/>
          </w:tcPr>
          <w:p>
            <w:pPr>
              <w:pStyle w:val="TableParagraph"/>
              <w:rPr>
                <w:rFonts w:ascii="Times New Roman"/>
                <w:sz w:val="16"/>
              </w:rPr>
            </w:pPr>
          </w:p>
        </w:tc>
      </w:tr>
      <w:tr>
        <w:trPr>
          <w:trHeight w:val="220" w:hRule="atLeast"/>
        </w:trPr>
        <w:tc>
          <w:tcPr>
            <w:tcW w:w="3464" w:type="dxa"/>
          </w:tcPr>
          <w:p>
            <w:pPr>
              <w:pStyle w:val="TableParagraph"/>
              <w:spacing w:line="200" w:lineRule="exact"/>
              <w:ind w:left="107"/>
              <w:rPr>
                <w:b/>
                <w:sz w:val="18"/>
              </w:rPr>
            </w:pPr>
            <w:r>
              <w:rPr>
                <w:b/>
                <w:sz w:val="18"/>
              </w:rPr>
              <w:t>Medical</w:t>
            </w:r>
            <w:r>
              <w:rPr>
                <w:b/>
                <w:spacing w:val="-4"/>
                <w:sz w:val="18"/>
              </w:rPr>
              <w:t> </w:t>
            </w:r>
            <w:r>
              <w:rPr>
                <w:b/>
                <w:sz w:val="18"/>
              </w:rPr>
              <w:t>practice</w:t>
            </w:r>
            <w:r>
              <w:rPr>
                <w:b/>
                <w:spacing w:val="-1"/>
                <w:sz w:val="18"/>
              </w:rPr>
              <w:t> </w:t>
            </w:r>
            <w:r>
              <w:rPr>
                <w:b/>
                <w:sz w:val="18"/>
              </w:rPr>
              <w:t>assistant:</w:t>
            </w:r>
          </w:p>
        </w:tc>
        <w:tc>
          <w:tcPr>
            <w:tcW w:w="1701" w:type="dxa"/>
          </w:tcPr>
          <w:p>
            <w:pPr>
              <w:pStyle w:val="TableParagraph"/>
              <w:rPr>
                <w:rFonts w:ascii="Times New Roman"/>
                <w:sz w:val="14"/>
              </w:rPr>
            </w:pPr>
          </w:p>
        </w:tc>
        <w:tc>
          <w:tcPr>
            <w:tcW w:w="1982" w:type="dxa"/>
          </w:tcPr>
          <w:p>
            <w:pPr>
              <w:pStyle w:val="TableParagraph"/>
              <w:rPr>
                <w:rFonts w:ascii="Times New Roman"/>
                <w:sz w:val="14"/>
              </w:rPr>
            </w:pPr>
          </w:p>
        </w:tc>
        <w:tc>
          <w:tcPr>
            <w:tcW w:w="993" w:type="dxa"/>
          </w:tcPr>
          <w:p>
            <w:pPr>
              <w:pStyle w:val="TableParagraph"/>
              <w:rPr>
                <w:rFonts w:ascii="Times New Roman"/>
                <w:sz w:val="14"/>
              </w:rPr>
            </w:pPr>
          </w:p>
        </w:tc>
        <w:tc>
          <w:tcPr>
            <w:tcW w:w="976" w:type="dxa"/>
          </w:tcPr>
          <w:p>
            <w:pPr>
              <w:pStyle w:val="TableParagraph"/>
              <w:rPr>
                <w:rFonts w:ascii="Times New Roman"/>
                <w:sz w:val="14"/>
              </w:rPr>
            </w:pPr>
          </w:p>
        </w:tc>
        <w:tc>
          <w:tcPr>
            <w:tcW w:w="978" w:type="dxa"/>
          </w:tcPr>
          <w:p>
            <w:pPr>
              <w:pStyle w:val="TableParagraph"/>
              <w:rPr>
                <w:rFonts w:ascii="Times New Roman"/>
                <w:sz w:val="14"/>
              </w:rPr>
            </w:pPr>
          </w:p>
        </w:tc>
      </w:tr>
      <w:tr>
        <w:trPr>
          <w:trHeight w:val="220" w:hRule="atLeast"/>
        </w:trPr>
        <w:tc>
          <w:tcPr>
            <w:tcW w:w="3464" w:type="dxa"/>
          </w:tcPr>
          <w:p>
            <w:pPr>
              <w:pStyle w:val="TableParagraph"/>
              <w:spacing w:line="200" w:lineRule="exact"/>
              <w:ind w:left="119"/>
              <w:rPr>
                <w:sz w:val="18"/>
              </w:rPr>
            </w:pPr>
            <w:r>
              <w:rPr>
                <w:sz w:val="18"/>
              </w:rPr>
              <w:t>a.</w:t>
            </w:r>
            <w:r>
              <w:rPr>
                <w:spacing w:val="80"/>
                <w:sz w:val="18"/>
              </w:rPr>
              <w:t> </w:t>
            </w:r>
            <w:r>
              <w:rPr>
                <w:sz w:val="18"/>
              </w:rPr>
              <w:t>Face-to-face</w:t>
            </w:r>
            <w:r>
              <w:rPr>
                <w:spacing w:val="-2"/>
                <w:sz w:val="18"/>
              </w:rPr>
              <w:t> </w:t>
            </w:r>
            <w:r>
              <w:rPr>
                <w:sz w:val="18"/>
              </w:rPr>
              <w:t>consultations</w:t>
            </w:r>
          </w:p>
        </w:tc>
        <w:tc>
          <w:tcPr>
            <w:tcW w:w="1701" w:type="dxa"/>
          </w:tcPr>
          <w:p>
            <w:pPr>
              <w:pStyle w:val="TableParagraph"/>
              <w:rPr>
                <w:rFonts w:ascii="Times New Roman"/>
                <w:sz w:val="14"/>
              </w:rPr>
            </w:pPr>
          </w:p>
        </w:tc>
        <w:tc>
          <w:tcPr>
            <w:tcW w:w="1982" w:type="dxa"/>
          </w:tcPr>
          <w:p>
            <w:pPr>
              <w:pStyle w:val="TableParagraph"/>
              <w:rPr>
                <w:rFonts w:ascii="Times New Roman"/>
                <w:sz w:val="14"/>
              </w:rPr>
            </w:pPr>
          </w:p>
        </w:tc>
        <w:tc>
          <w:tcPr>
            <w:tcW w:w="993" w:type="dxa"/>
          </w:tcPr>
          <w:p>
            <w:pPr>
              <w:pStyle w:val="TableParagraph"/>
              <w:rPr>
                <w:rFonts w:ascii="Times New Roman"/>
                <w:sz w:val="14"/>
              </w:rPr>
            </w:pPr>
          </w:p>
        </w:tc>
        <w:tc>
          <w:tcPr>
            <w:tcW w:w="976" w:type="dxa"/>
          </w:tcPr>
          <w:p>
            <w:pPr>
              <w:pStyle w:val="TableParagraph"/>
              <w:rPr>
                <w:rFonts w:ascii="Times New Roman"/>
                <w:sz w:val="14"/>
              </w:rPr>
            </w:pPr>
          </w:p>
        </w:tc>
        <w:tc>
          <w:tcPr>
            <w:tcW w:w="978" w:type="dxa"/>
          </w:tcPr>
          <w:p>
            <w:pPr>
              <w:pStyle w:val="TableParagraph"/>
              <w:rPr>
                <w:rFonts w:ascii="Times New Roman"/>
                <w:sz w:val="14"/>
              </w:rPr>
            </w:pPr>
          </w:p>
        </w:tc>
      </w:tr>
      <w:tr>
        <w:trPr>
          <w:trHeight w:val="220" w:hRule="atLeast"/>
        </w:trPr>
        <w:tc>
          <w:tcPr>
            <w:tcW w:w="3464" w:type="dxa"/>
          </w:tcPr>
          <w:p>
            <w:pPr>
              <w:pStyle w:val="TableParagraph"/>
              <w:spacing w:line="200" w:lineRule="exact"/>
              <w:ind w:left="119"/>
              <w:rPr>
                <w:sz w:val="18"/>
              </w:rPr>
            </w:pPr>
            <w:r>
              <w:rPr>
                <w:sz w:val="18"/>
              </w:rPr>
              <w:t>b.</w:t>
            </w:r>
            <w:r>
              <w:rPr>
                <w:spacing w:val="82"/>
                <w:sz w:val="18"/>
              </w:rPr>
              <w:t> </w:t>
            </w:r>
            <w:r>
              <w:rPr>
                <w:sz w:val="18"/>
              </w:rPr>
              <w:t>Tele</w:t>
            </w:r>
            <w:r>
              <w:rPr>
                <w:spacing w:val="-2"/>
                <w:sz w:val="18"/>
              </w:rPr>
              <w:t> </w:t>
            </w:r>
            <w:r>
              <w:rPr>
                <w:sz w:val="18"/>
              </w:rPr>
              <w:t>consultations/</w:t>
            </w:r>
            <w:r>
              <w:rPr>
                <w:spacing w:val="-4"/>
                <w:sz w:val="18"/>
              </w:rPr>
              <w:t> </w:t>
            </w:r>
            <w:r>
              <w:rPr>
                <w:sz w:val="18"/>
              </w:rPr>
              <w:t>contacts</w:t>
            </w:r>
          </w:p>
        </w:tc>
        <w:tc>
          <w:tcPr>
            <w:tcW w:w="1701" w:type="dxa"/>
          </w:tcPr>
          <w:p>
            <w:pPr>
              <w:pStyle w:val="TableParagraph"/>
              <w:rPr>
                <w:rFonts w:ascii="Times New Roman"/>
                <w:sz w:val="14"/>
              </w:rPr>
            </w:pPr>
          </w:p>
        </w:tc>
        <w:tc>
          <w:tcPr>
            <w:tcW w:w="1982" w:type="dxa"/>
          </w:tcPr>
          <w:p>
            <w:pPr>
              <w:pStyle w:val="TableParagraph"/>
              <w:rPr>
                <w:rFonts w:ascii="Times New Roman"/>
                <w:sz w:val="14"/>
              </w:rPr>
            </w:pPr>
          </w:p>
        </w:tc>
        <w:tc>
          <w:tcPr>
            <w:tcW w:w="993" w:type="dxa"/>
          </w:tcPr>
          <w:p>
            <w:pPr>
              <w:pStyle w:val="TableParagraph"/>
              <w:rPr>
                <w:rFonts w:ascii="Times New Roman"/>
                <w:sz w:val="14"/>
              </w:rPr>
            </w:pPr>
          </w:p>
        </w:tc>
        <w:tc>
          <w:tcPr>
            <w:tcW w:w="976" w:type="dxa"/>
          </w:tcPr>
          <w:p>
            <w:pPr>
              <w:pStyle w:val="TableParagraph"/>
              <w:rPr>
                <w:rFonts w:ascii="Times New Roman"/>
                <w:sz w:val="14"/>
              </w:rPr>
            </w:pPr>
          </w:p>
        </w:tc>
        <w:tc>
          <w:tcPr>
            <w:tcW w:w="978" w:type="dxa"/>
          </w:tcPr>
          <w:p>
            <w:pPr>
              <w:pStyle w:val="TableParagraph"/>
              <w:rPr>
                <w:rFonts w:ascii="Times New Roman"/>
                <w:sz w:val="14"/>
              </w:rPr>
            </w:pPr>
          </w:p>
        </w:tc>
      </w:tr>
      <w:tr>
        <w:trPr>
          <w:trHeight w:val="220" w:hRule="atLeast"/>
        </w:trPr>
        <w:tc>
          <w:tcPr>
            <w:tcW w:w="3464" w:type="dxa"/>
          </w:tcPr>
          <w:p>
            <w:pPr>
              <w:pStyle w:val="TableParagraph"/>
              <w:spacing w:line="200" w:lineRule="exact"/>
              <w:ind w:left="119"/>
              <w:rPr>
                <w:sz w:val="18"/>
              </w:rPr>
            </w:pPr>
            <w:r>
              <w:rPr>
                <w:sz w:val="18"/>
              </w:rPr>
              <w:t>c.</w:t>
            </w:r>
            <w:r>
              <w:rPr>
                <w:spacing w:val="88"/>
                <w:sz w:val="18"/>
              </w:rPr>
              <w:t> </w:t>
            </w:r>
            <w:r>
              <w:rPr>
                <w:sz w:val="18"/>
              </w:rPr>
              <w:t>Email</w:t>
            </w:r>
            <w:r>
              <w:rPr>
                <w:spacing w:val="-2"/>
                <w:sz w:val="18"/>
              </w:rPr>
              <w:t> </w:t>
            </w:r>
            <w:r>
              <w:rPr>
                <w:sz w:val="18"/>
              </w:rPr>
              <w:t>consultations/</w:t>
            </w:r>
            <w:r>
              <w:rPr>
                <w:spacing w:val="-3"/>
                <w:sz w:val="18"/>
              </w:rPr>
              <w:t> </w:t>
            </w:r>
            <w:r>
              <w:rPr>
                <w:sz w:val="18"/>
              </w:rPr>
              <w:t>contacts</w:t>
            </w:r>
          </w:p>
        </w:tc>
        <w:tc>
          <w:tcPr>
            <w:tcW w:w="1701" w:type="dxa"/>
          </w:tcPr>
          <w:p>
            <w:pPr>
              <w:pStyle w:val="TableParagraph"/>
              <w:rPr>
                <w:rFonts w:ascii="Times New Roman"/>
                <w:sz w:val="14"/>
              </w:rPr>
            </w:pPr>
          </w:p>
        </w:tc>
        <w:tc>
          <w:tcPr>
            <w:tcW w:w="1982" w:type="dxa"/>
          </w:tcPr>
          <w:p>
            <w:pPr>
              <w:pStyle w:val="TableParagraph"/>
              <w:rPr>
                <w:rFonts w:ascii="Times New Roman"/>
                <w:sz w:val="14"/>
              </w:rPr>
            </w:pPr>
          </w:p>
        </w:tc>
        <w:tc>
          <w:tcPr>
            <w:tcW w:w="993" w:type="dxa"/>
          </w:tcPr>
          <w:p>
            <w:pPr>
              <w:pStyle w:val="TableParagraph"/>
              <w:rPr>
                <w:rFonts w:ascii="Times New Roman"/>
                <w:sz w:val="14"/>
              </w:rPr>
            </w:pPr>
          </w:p>
        </w:tc>
        <w:tc>
          <w:tcPr>
            <w:tcW w:w="976" w:type="dxa"/>
          </w:tcPr>
          <w:p>
            <w:pPr>
              <w:pStyle w:val="TableParagraph"/>
              <w:rPr>
                <w:rFonts w:ascii="Times New Roman"/>
                <w:sz w:val="14"/>
              </w:rPr>
            </w:pPr>
          </w:p>
        </w:tc>
        <w:tc>
          <w:tcPr>
            <w:tcW w:w="978" w:type="dxa"/>
          </w:tcPr>
          <w:p>
            <w:pPr>
              <w:pStyle w:val="TableParagraph"/>
              <w:rPr>
                <w:rFonts w:ascii="Times New Roman"/>
                <w:sz w:val="14"/>
              </w:rPr>
            </w:pPr>
          </w:p>
        </w:tc>
      </w:tr>
      <w:tr>
        <w:trPr>
          <w:trHeight w:val="441" w:hRule="atLeast"/>
        </w:trPr>
        <w:tc>
          <w:tcPr>
            <w:tcW w:w="3464" w:type="dxa"/>
          </w:tcPr>
          <w:p>
            <w:pPr>
              <w:pStyle w:val="TableParagraph"/>
              <w:spacing w:line="220" w:lineRule="exact"/>
              <w:ind w:left="480" w:hanging="361"/>
              <w:rPr>
                <w:sz w:val="18"/>
              </w:rPr>
            </w:pPr>
            <w:r>
              <w:rPr>
                <w:sz w:val="18"/>
              </w:rPr>
              <w:t>d.</w:t>
            </w:r>
            <w:r>
              <w:rPr>
                <w:spacing w:val="36"/>
                <w:sz w:val="18"/>
              </w:rPr>
              <w:t> </w:t>
            </w:r>
            <w:r>
              <w:rPr>
                <w:sz w:val="18"/>
              </w:rPr>
              <w:t>Case</w:t>
            </w:r>
            <w:r>
              <w:rPr>
                <w:spacing w:val="-1"/>
                <w:sz w:val="18"/>
              </w:rPr>
              <w:t> </w:t>
            </w:r>
            <w:r>
              <w:rPr>
                <w:sz w:val="18"/>
              </w:rPr>
              <w:t>conference/team</w:t>
            </w:r>
            <w:r>
              <w:rPr>
                <w:spacing w:val="-5"/>
                <w:sz w:val="18"/>
              </w:rPr>
              <w:t> </w:t>
            </w:r>
            <w:r>
              <w:rPr>
                <w:sz w:val="18"/>
              </w:rPr>
              <w:t>meeting</w:t>
            </w:r>
            <w:r>
              <w:rPr>
                <w:spacing w:val="-47"/>
                <w:sz w:val="18"/>
              </w:rPr>
              <w:t> </w:t>
            </w:r>
            <w:r>
              <w:rPr>
                <w:sz w:val="18"/>
              </w:rPr>
              <w:t>related</w:t>
            </w:r>
            <w:r>
              <w:rPr>
                <w:spacing w:val="-3"/>
                <w:sz w:val="18"/>
              </w:rPr>
              <w:t> </w:t>
            </w:r>
            <w:r>
              <w:rPr>
                <w:sz w:val="18"/>
              </w:rPr>
              <w:t>to</w:t>
            </w:r>
            <w:r>
              <w:rPr>
                <w:spacing w:val="-3"/>
                <w:sz w:val="18"/>
              </w:rPr>
              <w:t> </w:t>
            </w:r>
            <w:r>
              <w:rPr>
                <w:sz w:val="18"/>
              </w:rPr>
              <w:t>several</w:t>
            </w:r>
            <w:r>
              <w:rPr>
                <w:spacing w:val="-2"/>
                <w:sz w:val="18"/>
              </w:rPr>
              <w:t> </w:t>
            </w:r>
            <w:r>
              <w:rPr>
                <w:sz w:val="18"/>
              </w:rPr>
              <w:t>HCH</w:t>
            </w:r>
            <w:r>
              <w:rPr>
                <w:spacing w:val="-2"/>
                <w:sz w:val="18"/>
              </w:rPr>
              <w:t> </w:t>
            </w:r>
            <w:r>
              <w:rPr>
                <w:sz w:val="18"/>
              </w:rPr>
              <w:t>patients</w:t>
            </w:r>
          </w:p>
        </w:tc>
        <w:tc>
          <w:tcPr>
            <w:tcW w:w="1701" w:type="dxa"/>
          </w:tcPr>
          <w:p>
            <w:pPr>
              <w:pStyle w:val="TableParagraph"/>
              <w:rPr>
                <w:rFonts w:ascii="Times New Roman"/>
                <w:sz w:val="16"/>
              </w:rPr>
            </w:pPr>
          </w:p>
        </w:tc>
        <w:tc>
          <w:tcPr>
            <w:tcW w:w="1982" w:type="dxa"/>
          </w:tcPr>
          <w:p>
            <w:pPr>
              <w:pStyle w:val="TableParagraph"/>
              <w:rPr>
                <w:rFonts w:ascii="Times New Roman"/>
                <w:sz w:val="16"/>
              </w:rPr>
            </w:pPr>
          </w:p>
        </w:tc>
        <w:tc>
          <w:tcPr>
            <w:tcW w:w="993" w:type="dxa"/>
          </w:tcPr>
          <w:p>
            <w:pPr>
              <w:pStyle w:val="TableParagraph"/>
              <w:rPr>
                <w:rFonts w:ascii="Times New Roman"/>
                <w:sz w:val="16"/>
              </w:rPr>
            </w:pPr>
          </w:p>
        </w:tc>
        <w:tc>
          <w:tcPr>
            <w:tcW w:w="976" w:type="dxa"/>
          </w:tcPr>
          <w:p>
            <w:pPr>
              <w:pStyle w:val="TableParagraph"/>
              <w:rPr>
                <w:rFonts w:ascii="Times New Roman"/>
                <w:sz w:val="16"/>
              </w:rPr>
            </w:pPr>
          </w:p>
        </w:tc>
        <w:tc>
          <w:tcPr>
            <w:tcW w:w="978" w:type="dxa"/>
          </w:tcPr>
          <w:p>
            <w:pPr>
              <w:pStyle w:val="TableParagraph"/>
              <w:rPr>
                <w:rFonts w:ascii="Times New Roman"/>
                <w:sz w:val="16"/>
              </w:rPr>
            </w:pPr>
          </w:p>
        </w:tc>
      </w:tr>
      <w:tr>
        <w:trPr>
          <w:trHeight w:val="220" w:hRule="atLeast"/>
        </w:trPr>
        <w:tc>
          <w:tcPr>
            <w:tcW w:w="3464" w:type="dxa"/>
          </w:tcPr>
          <w:p>
            <w:pPr>
              <w:pStyle w:val="TableParagraph"/>
              <w:spacing w:line="200" w:lineRule="exact"/>
              <w:ind w:left="107"/>
              <w:rPr>
                <w:b/>
                <w:sz w:val="18"/>
              </w:rPr>
            </w:pPr>
            <w:r>
              <w:rPr>
                <w:b/>
                <w:sz w:val="18"/>
              </w:rPr>
              <w:t>Aboriginal</w:t>
            </w:r>
            <w:r>
              <w:rPr>
                <w:b/>
                <w:spacing w:val="-4"/>
                <w:sz w:val="18"/>
              </w:rPr>
              <w:t> </w:t>
            </w:r>
            <w:r>
              <w:rPr>
                <w:b/>
                <w:sz w:val="18"/>
              </w:rPr>
              <w:t>health</w:t>
            </w:r>
            <w:r>
              <w:rPr>
                <w:b/>
                <w:spacing w:val="-3"/>
                <w:sz w:val="18"/>
              </w:rPr>
              <w:t> </w:t>
            </w:r>
            <w:r>
              <w:rPr>
                <w:b/>
                <w:sz w:val="18"/>
              </w:rPr>
              <w:t>practitioner:</w:t>
            </w:r>
          </w:p>
        </w:tc>
        <w:tc>
          <w:tcPr>
            <w:tcW w:w="1701" w:type="dxa"/>
          </w:tcPr>
          <w:p>
            <w:pPr>
              <w:pStyle w:val="TableParagraph"/>
              <w:rPr>
                <w:rFonts w:ascii="Times New Roman"/>
                <w:sz w:val="14"/>
              </w:rPr>
            </w:pPr>
          </w:p>
        </w:tc>
        <w:tc>
          <w:tcPr>
            <w:tcW w:w="1982" w:type="dxa"/>
          </w:tcPr>
          <w:p>
            <w:pPr>
              <w:pStyle w:val="TableParagraph"/>
              <w:rPr>
                <w:rFonts w:ascii="Times New Roman"/>
                <w:sz w:val="14"/>
              </w:rPr>
            </w:pPr>
          </w:p>
        </w:tc>
        <w:tc>
          <w:tcPr>
            <w:tcW w:w="993" w:type="dxa"/>
          </w:tcPr>
          <w:p>
            <w:pPr>
              <w:pStyle w:val="TableParagraph"/>
              <w:rPr>
                <w:rFonts w:ascii="Times New Roman"/>
                <w:sz w:val="14"/>
              </w:rPr>
            </w:pPr>
          </w:p>
        </w:tc>
        <w:tc>
          <w:tcPr>
            <w:tcW w:w="976" w:type="dxa"/>
          </w:tcPr>
          <w:p>
            <w:pPr>
              <w:pStyle w:val="TableParagraph"/>
              <w:rPr>
                <w:rFonts w:ascii="Times New Roman"/>
                <w:sz w:val="14"/>
              </w:rPr>
            </w:pPr>
          </w:p>
        </w:tc>
        <w:tc>
          <w:tcPr>
            <w:tcW w:w="978" w:type="dxa"/>
          </w:tcPr>
          <w:p>
            <w:pPr>
              <w:pStyle w:val="TableParagraph"/>
              <w:rPr>
                <w:rFonts w:ascii="Times New Roman"/>
                <w:sz w:val="14"/>
              </w:rPr>
            </w:pPr>
          </w:p>
        </w:tc>
      </w:tr>
      <w:tr>
        <w:trPr>
          <w:trHeight w:val="220" w:hRule="atLeast"/>
        </w:trPr>
        <w:tc>
          <w:tcPr>
            <w:tcW w:w="3464" w:type="dxa"/>
          </w:tcPr>
          <w:p>
            <w:pPr>
              <w:pStyle w:val="TableParagraph"/>
              <w:spacing w:line="200" w:lineRule="exact"/>
              <w:ind w:left="119"/>
              <w:rPr>
                <w:sz w:val="18"/>
              </w:rPr>
            </w:pPr>
            <w:r>
              <w:rPr>
                <w:sz w:val="18"/>
              </w:rPr>
              <w:t>a.</w:t>
            </w:r>
            <w:r>
              <w:rPr>
                <w:spacing w:val="80"/>
                <w:sz w:val="18"/>
              </w:rPr>
              <w:t> </w:t>
            </w:r>
            <w:r>
              <w:rPr>
                <w:sz w:val="18"/>
              </w:rPr>
              <w:t>Face-to-face</w:t>
            </w:r>
            <w:r>
              <w:rPr>
                <w:spacing w:val="-2"/>
                <w:sz w:val="18"/>
              </w:rPr>
              <w:t> </w:t>
            </w:r>
            <w:r>
              <w:rPr>
                <w:sz w:val="18"/>
              </w:rPr>
              <w:t>consultations</w:t>
            </w:r>
          </w:p>
        </w:tc>
        <w:tc>
          <w:tcPr>
            <w:tcW w:w="1701" w:type="dxa"/>
          </w:tcPr>
          <w:p>
            <w:pPr>
              <w:pStyle w:val="TableParagraph"/>
              <w:rPr>
                <w:rFonts w:ascii="Times New Roman"/>
                <w:sz w:val="14"/>
              </w:rPr>
            </w:pPr>
          </w:p>
        </w:tc>
        <w:tc>
          <w:tcPr>
            <w:tcW w:w="1982" w:type="dxa"/>
          </w:tcPr>
          <w:p>
            <w:pPr>
              <w:pStyle w:val="TableParagraph"/>
              <w:rPr>
                <w:rFonts w:ascii="Times New Roman"/>
                <w:sz w:val="14"/>
              </w:rPr>
            </w:pPr>
          </w:p>
        </w:tc>
        <w:tc>
          <w:tcPr>
            <w:tcW w:w="993" w:type="dxa"/>
          </w:tcPr>
          <w:p>
            <w:pPr>
              <w:pStyle w:val="TableParagraph"/>
              <w:rPr>
                <w:rFonts w:ascii="Times New Roman"/>
                <w:sz w:val="14"/>
              </w:rPr>
            </w:pPr>
          </w:p>
        </w:tc>
        <w:tc>
          <w:tcPr>
            <w:tcW w:w="976" w:type="dxa"/>
          </w:tcPr>
          <w:p>
            <w:pPr>
              <w:pStyle w:val="TableParagraph"/>
              <w:rPr>
                <w:rFonts w:ascii="Times New Roman"/>
                <w:sz w:val="14"/>
              </w:rPr>
            </w:pPr>
          </w:p>
        </w:tc>
        <w:tc>
          <w:tcPr>
            <w:tcW w:w="978" w:type="dxa"/>
          </w:tcPr>
          <w:p>
            <w:pPr>
              <w:pStyle w:val="TableParagraph"/>
              <w:rPr>
                <w:rFonts w:ascii="Times New Roman"/>
                <w:sz w:val="14"/>
              </w:rPr>
            </w:pPr>
          </w:p>
        </w:tc>
      </w:tr>
      <w:tr>
        <w:trPr>
          <w:trHeight w:val="222" w:hRule="atLeast"/>
        </w:trPr>
        <w:tc>
          <w:tcPr>
            <w:tcW w:w="3464" w:type="dxa"/>
          </w:tcPr>
          <w:p>
            <w:pPr>
              <w:pStyle w:val="TableParagraph"/>
              <w:spacing w:line="202" w:lineRule="exact" w:before="1"/>
              <w:ind w:left="119"/>
              <w:rPr>
                <w:sz w:val="18"/>
              </w:rPr>
            </w:pPr>
            <w:r>
              <w:rPr>
                <w:sz w:val="18"/>
              </w:rPr>
              <w:t>b.</w:t>
            </w:r>
            <w:r>
              <w:rPr>
                <w:spacing w:val="82"/>
                <w:sz w:val="18"/>
              </w:rPr>
              <w:t> </w:t>
            </w:r>
            <w:r>
              <w:rPr>
                <w:sz w:val="18"/>
              </w:rPr>
              <w:t>Tele</w:t>
            </w:r>
            <w:r>
              <w:rPr>
                <w:spacing w:val="-2"/>
                <w:sz w:val="18"/>
              </w:rPr>
              <w:t> </w:t>
            </w:r>
            <w:r>
              <w:rPr>
                <w:sz w:val="18"/>
              </w:rPr>
              <w:t>consultations/</w:t>
            </w:r>
            <w:r>
              <w:rPr>
                <w:spacing w:val="-4"/>
                <w:sz w:val="18"/>
              </w:rPr>
              <w:t> </w:t>
            </w:r>
            <w:r>
              <w:rPr>
                <w:sz w:val="18"/>
              </w:rPr>
              <w:t>contacts</w:t>
            </w:r>
          </w:p>
        </w:tc>
        <w:tc>
          <w:tcPr>
            <w:tcW w:w="1701" w:type="dxa"/>
          </w:tcPr>
          <w:p>
            <w:pPr>
              <w:pStyle w:val="TableParagraph"/>
              <w:rPr>
                <w:rFonts w:ascii="Times New Roman"/>
                <w:sz w:val="14"/>
              </w:rPr>
            </w:pPr>
          </w:p>
        </w:tc>
        <w:tc>
          <w:tcPr>
            <w:tcW w:w="1982" w:type="dxa"/>
          </w:tcPr>
          <w:p>
            <w:pPr>
              <w:pStyle w:val="TableParagraph"/>
              <w:rPr>
                <w:rFonts w:ascii="Times New Roman"/>
                <w:sz w:val="14"/>
              </w:rPr>
            </w:pPr>
          </w:p>
        </w:tc>
        <w:tc>
          <w:tcPr>
            <w:tcW w:w="993" w:type="dxa"/>
          </w:tcPr>
          <w:p>
            <w:pPr>
              <w:pStyle w:val="TableParagraph"/>
              <w:rPr>
                <w:rFonts w:ascii="Times New Roman"/>
                <w:sz w:val="14"/>
              </w:rPr>
            </w:pPr>
          </w:p>
        </w:tc>
        <w:tc>
          <w:tcPr>
            <w:tcW w:w="976" w:type="dxa"/>
          </w:tcPr>
          <w:p>
            <w:pPr>
              <w:pStyle w:val="TableParagraph"/>
              <w:rPr>
                <w:rFonts w:ascii="Times New Roman"/>
                <w:sz w:val="14"/>
              </w:rPr>
            </w:pPr>
          </w:p>
        </w:tc>
        <w:tc>
          <w:tcPr>
            <w:tcW w:w="978" w:type="dxa"/>
          </w:tcPr>
          <w:p>
            <w:pPr>
              <w:pStyle w:val="TableParagraph"/>
              <w:rPr>
                <w:rFonts w:ascii="Times New Roman"/>
                <w:sz w:val="14"/>
              </w:rPr>
            </w:pPr>
          </w:p>
        </w:tc>
      </w:tr>
      <w:tr>
        <w:trPr>
          <w:trHeight w:val="220" w:hRule="atLeast"/>
        </w:trPr>
        <w:tc>
          <w:tcPr>
            <w:tcW w:w="3464" w:type="dxa"/>
          </w:tcPr>
          <w:p>
            <w:pPr>
              <w:pStyle w:val="TableParagraph"/>
              <w:spacing w:line="200" w:lineRule="exact"/>
              <w:ind w:left="119"/>
              <w:rPr>
                <w:sz w:val="18"/>
              </w:rPr>
            </w:pPr>
            <w:r>
              <w:rPr>
                <w:sz w:val="18"/>
              </w:rPr>
              <w:t>c.</w:t>
            </w:r>
            <w:r>
              <w:rPr>
                <w:spacing w:val="88"/>
                <w:sz w:val="18"/>
              </w:rPr>
              <w:t> </w:t>
            </w:r>
            <w:r>
              <w:rPr>
                <w:sz w:val="18"/>
              </w:rPr>
              <w:t>Email</w:t>
            </w:r>
            <w:r>
              <w:rPr>
                <w:spacing w:val="-2"/>
                <w:sz w:val="18"/>
              </w:rPr>
              <w:t> </w:t>
            </w:r>
            <w:r>
              <w:rPr>
                <w:sz w:val="18"/>
              </w:rPr>
              <w:t>consultations/</w:t>
            </w:r>
            <w:r>
              <w:rPr>
                <w:spacing w:val="-3"/>
                <w:sz w:val="18"/>
              </w:rPr>
              <w:t> </w:t>
            </w:r>
            <w:r>
              <w:rPr>
                <w:sz w:val="18"/>
              </w:rPr>
              <w:t>contacts</w:t>
            </w:r>
          </w:p>
        </w:tc>
        <w:tc>
          <w:tcPr>
            <w:tcW w:w="1701" w:type="dxa"/>
          </w:tcPr>
          <w:p>
            <w:pPr>
              <w:pStyle w:val="TableParagraph"/>
              <w:rPr>
                <w:rFonts w:ascii="Times New Roman"/>
                <w:sz w:val="14"/>
              </w:rPr>
            </w:pPr>
          </w:p>
        </w:tc>
        <w:tc>
          <w:tcPr>
            <w:tcW w:w="1982" w:type="dxa"/>
          </w:tcPr>
          <w:p>
            <w:pPr>
              <w:pStyle w:val="TableParagraph"/>
              <w:rPr>
                <w:rFonts w:ascii="Times New Roman"/>
                <w:sz w:val="14"/>
              </w:rPr>
            </w:pPr>
          </w:p>
        </w:tc>
        <w:tc>
          <w:tcPr>
            <w:tcW w:w="993" w:type="dxa"/>
          </w:tcPr>
          <w:p>
            <w:pPr>
              <w:pStyle w:val="TableParagraph"/>
              <w:rPr>
                <w:rFonts w:ascii="Times New Roman"/>
                <w:sz w:val="14"/>
              </w:rPr>
            </w:pPr>
          </w:p>
        </w:tc>
        <w:tc>
          <w:tcPr>
            <w:tcW w:w="976" w:type="dxa"/>
          </w:tcPr>
          <w:p>
            <w:pPr>
              <w:pStyle w:val="TableParagraph"/>
              <w:rPr>
                <w:rFonts w:ascii="Times New Roman"/>
                <w:sz w:val="14"/>
              </w:rPr>
            </w:pPr>
          </w:p>
        </w:tc>
        <w:tc>
          <w:tcPr>
            <w:tcW w:w="978" w:type="dxa"/>
          </w:tcPr>
          <w:p>
            <w:pPr>
              <w:pStyle w:val="TableParagraph"/>
              <w:rPr>
                <w:rFonts w:ascii="Times New Roman"/>
                <w:sz w:val="14"/>
              </w:rPr>
            </w:pPr>
          </w:p>
        </w:tc>
      </w:tr>
      <w:tr>
        <w:trPr>
          <w:trHeight w:val="441" w:hRule="atLeast"/>
        </w:trPr>
        <w:tc>
          <w:tcPr>
            <w:tcW w:w="3464" w:type="dxa"/>
          </w:tcPr>
          <w:p>
            <w:pPr>
              <w:pStyle w:val="TableParagraph"/>
              <w:spacing w:line="220" w:lineRule="exact"/>
              <w:ind w:left="480" w:hanging="361"/>
              <w:rPr>
                <w:sz w:val="18"/>
              </w:rPr>
            </w:pPr>
            <w:r>
              <w:rPr>
                <w:sz w:val="18"/>
              </w:rPr>
              <w:t>d.</w:t>
            </w:r>
            <w:r>
              <w:rPr>
                <w:spacing w:val="36"/>
                <w:sz w:val="18"/>
              </w:rPr>
              <w:t> </w:t>
            </w:r>
            <w:r>
              <w:rPr>
                <w:sz w:val="18"/>
              </w:rPr>
              <w:t>Case</w:t>
            </w:r>
            <w:r>
              <w:rPr>
                <w:spacing w:val="-1"/>
                <w:sz w:val="18"/>
              </w:rPr>
              <w:t> </w:t>
            </w:r>
            <w:r>
              <w:rPr>
                <w:sz w:val="18"/>
              </w:rPr>
              <w:t>conference/team</w:t>
            </w:r>
            <w:r>
              <w:rPr>
                <w:spacing w:val="-5"/>
                <w:sz w:val="18"/>
              </w:rPr>
              <w:t> </w:t>
            </w:r>
            <w:r>
              <w:rPr>
                <w:sz w:val="18"/>
              </w:rPr>
              <w:t>meeting</w:t>
            </w:r>
            <w:r>
              <w:rPr>
                <w:spacing w:val="-47"/>
                <w:sz w:val="18"/>
              </w:rPr>
              <w:t> </w:t>
            </w:r>
            <w:r>
              <w:rPr>
                <w:sz w:val="18"/>
              </w:rPr>
              <w:t>related</w:t>
            </w:r>
            <w:r>
              <w:rPr>
                <w:spacing w:val="-3"/>
                <w:sz w:val="18"/>
              </w:rPr>
              <w:t> </w:t>
            </w:r>
            <w:r>
              <w:rPr>
                <w:sz w:val="18"/>
              </w:rPr>
              <w:t>to</w:t>
            </w:r>
            <w:r>
              <w:rPr>
                <w:spacing w:val="-3"/>
                <w:sz w:val="18"/>
              </w:rPr>
              <w:t> </w:t>
            </w:r>
            <w:r>
              <w:rPr>
                <w:sz w:val="18"/>
              </w:rPr>
              <w:t>several</w:t>
            </w:r>
            <w:r>
              <w:rPr>
                <w:spacing w:val="-2"/>
                <w:sz w:val="18"/>
              </w:rPr>
              <w:t> </w:t>
            </w:r>
            <w:r>
              <w:rPr>
                <w:sz w:val="18"/>
              </w:rPr>
              <w:t>HCH</w:t>
            </w:r>
            <w:r>
              <w:rPr>
                <w:spacing w:val="-2"/>
                <w:sz w:val="18"/>
              </w:rPr>
              <w:t> </w:t>
            </w:r>
            <w:r>
              <w:rPr>
                <w:sz w:val="18"/>
              </w:rPr>
              <w:t>patients</w:t>
            </w:r>
          </w:p>
        </w:tc>
        <w:tc>
          <w:tcPr>
            <w:tcW w:w="1701" w:type="dxa"/>
          </w:tcPr>
          <w:p>
            <w:pPr>
              <w:pStyle w:val="TableParagraph"/>
              <w:rPr>
                <w:rFonts w:ascii="Times New Roman"/>
                <w:sz w:val="16"/>
              </w:rPr>
            </w:pPr>
          </w:p>
        </w:tc>
        <w:tc>
          <w:tcPr>
            <w:tcW w:w="1982" w:type="dxa"/>
          </w:tcPr>
          <w:p>
            <w:pPr>
              <w:pStyle w:val="TableParagraph"/>
              <w:rPr>
                <w:rFonts w:ascii="Times New Roman"/>
                <w:sz w:val="16"/>
              </w:rPr>
            </w:pPr>
          </w:p>
        </w:tc>
        <w:tc>
          <w:tcPr>
            <w:tcW w:w="993" w:type="dxa"/>
          </w:tcPr>
          <w:p>
            <w:pPr>
              <w:pStyle w:val="TableParagraph"/>
              <w:rPr>
                <w:rFonts w:ascii="Times New Roman"/>
                <w:sz w:val="16"/>
              </w:rPr>
            </w:pPr>
          </w:p>
        </w:tc>
        <w:tc>
          <w:tcPr>
            <w:tcW w:w="976" w:type="dxa"/>
          </w:tcPr>
          <w:p>
            <w:pPr>
              <w:pStyle w:val="TableParagraph"/>
              <w:rPr>
                <w:rFonts w:ascii="Times New Roman"/>
                <w:sz w:val="16"/>
              </w:rPr>
            </w:pPr>
          </w:p>
        </w:tc>
        <w:tc>
          <w:tcPr>
            <w:tcW w:w="978" w:type="dxa"/>
          </w:tcPr>
          <w:p>
            <w:pPr>
              <w:pStyle w:val="TableParagraph"/>
              <w:rPr>
                <w:rFonts w:ascii="Times New Roman"/>
                <w:sz w:val="16"/>
              </w:rPr>
            </w:pPr>
          </w:p>
        </w:tc>
      </w:tr>
      <w:tr>
        <w:trPr>
          <w:trHeight w:val="220" w:hRule="atLeast"/>
        </w:trPr>
        <w:tc>
          <w:tcPr>
            <w:tcW w:w="3464" w:type="dxa"/>
          </w:tcPr>
          <w:p>
            <w:pPr>
              <w:pStyle w:val="TableParagraph"/>
              <w:spacing w:line="201" w:lineRule="exact"/>
              <w:ind w:left="107"/>
              <w:rPr>
                <w:b/>
                <w:sz w:val="18"/>
              </w:rPr>
            </w:pPr>
            <w:r>
              <w:rPr>
                <w:b/>
                <w:sz w:val="18"/>
              </w:rPr>
              <w:t>Other</w:t>
            </w:r>
            <w:r>
              <w:rPr>
                <w:b/>
                <w:spacing w:val="-3"/>
                <w:sz w:val="18"/>
              </w:rPr>
              <w:t> </w:t>
            </w:r>
            <w:r>
              <w:rPr>
                <w:b/>
                <w:sz w:val="18"/>
              </w:rPr>
              <w:t>(please</w:t>
            </w:r>
            <w:r>
              <w:rPr>
                <w:b/>
                <w:spacing w:val="-3"/>
                <w:sz w:val="18"/>
              </w:rPr>
              <w:t> </w:t>
            </w:r>
            <w:r>
              <w:rPr>
                <w:b/>
                <w:sz w:val="18"/>
              </w:rPr>
              <w:t>specify):</w:t>
            </w:r>
          </w:p>
        </w:tc>
        <w:tc>
          <w:tcPr>
            <w:tcW w:w="1701" w:type="dxa"/>
          </w:tcPr>
          <w:p>
            <w:pPr>
              <w:pStyle w:val="TableParagraph"/>
              <w:rPr>
                <w:rFonts w:ascii="Times New Roman"/>
                <w:sz w:val="14"/>
              </w:rPr>
            </w:pPr>
          </w:p>
        </w:tc>
        <w:tc>
          <w:tcPr>
            <w:tcW w:w="1982" w:type="dxa"/>
          </w:tcPr>
          <w:p>
            <w:pPr>
              <w:pStyle w:val="TableParagraph"/>
              <w:rPr>
                <w:rFonts w:ascii="Times New Roman"/>
                <w:sz w:val="14"/>
              </w:rPr>
            </w:pPr>
          </w:p>
        </w:tc>
        <w:tc>
          <w:tcPr>
            <w:tcW w:w="993" w:type="dxa"/>
          </w:tcPr>
          <w:p>
            <w:pPr>
              <w:pStyle w:val="TableParagraph"/>
              <w:rPr>
                <w:rFonts w:ascii="Times New Roman"/>
                <w:sz w:val="14"/>
              </w:rPr>
            </w:pPr>
          </w:p>
        </w:tc>
        <w:tc>
          <w:tcPr>
            <w:tcW w:w="976" w:type="dxa"/>
          </w:tcPr>
          <w:p>
            <w:pPr>
              <w:pStyle w:val="TableParagraph"/>
              <w:rPr>
                <w:rFonts w:ascii="Times New Roman"/>
                <w:sz w:val="14"/>
              </w:rPr>
            </w:pPr>
          </w:p>
        </w:tc>
        <w:tc>
          <w:tcPr>
            <w:tcW w:w="978" w:type="dxa"/>
          </w:tcPr>
          <w:p>
            <w:pPr>
              <w:pStyle w:val="TableParagraph"/>
              <w:rPr>
                <w:rFonts w:ascii="Times New Roman"/>
                <w:sz w:val="14"/>
              </w:rPr>
            </w:pPr>
          </w:p>
        </w:tc>
      </w:tr>
      <w:tr>
        <w:trPr>
          <w:trHeight w:val="220" w:hRule="atLeast"/>
        </w:trPr>
        <w:tc>
          <w:tcPr>
            <w:tcW w:w="3464" w:type="dxa"/>
          </w:tcPr>
          <w:p>
            <w:pPr>
              <w:pStyle w:val="TableParagraph"/>
              <w:spacing w:line="200" w:lineRule="exact"/>
              <w:ind w:left="119"/>
              <w:rPr>
                <w:sz w:val="18"/>
              </w:rPr>
            </w:pPr>
            <w:r>
              <w:rPr>
                <w:sz w:val="18"/>
              </w:rPr>
              <w:t>a.</w:t>
            </w:r>
            <w:r>
              <w:rPr>
                <w:spacing w:val="80"/>
                <w:sz w:val="18"/>
              </w:rPr>
              <w:t> </w:t>
            </w:r>
            <w:r>
              <w:rPr>
                <w:sz w:val="18"/>
              </w:rPr>
              <w:t>Face-to-face</w:t>
            </w:r>
            <w:r>
              <w:rPr>
                <w:spacing w:val="-2"/>
                <w:sz w:val="18"/>
              </w:rPr>
              <w:t> </w:t>
            </w:r>
            <w:r>
              <w:rPr>
                <w:sz w:val="18"/>
              </w:rPr>
              <w:t>consultations</w:t>
            </w:r>
          </w:p>
        </w:tc>
        <w:tc>
          <w:tcPr>
            <w:tcW w:w="1701" w:type="dxa"/>
          </w:tcPr>
          <w:p>
            <w:pPr>
              <w:pStyle w:val="TableParagraph"/>
              <w:rPr>
                <w:rFonts w:ascii="Times New Roman"/>
                <w:sz w:val="14"/>
              </w:rPr>
            </w:pPr>
          </w:p>
        </w:tc>
        <w:tc>
          <w:tcPr>
            <w:tcW w:w="1982" w:type="dxa"/>
          </w:tcPr>
          <w:p>
            <w:pPr>
              <w:pStyle w:val="TableParagraph"/>
              <w:rPr>
                <w:rFonts w:ascii="Times New Roman"/>
                <w:sz w:val="14"/>
              </w:rPr>
            </w:pPr>
          </w:p>
        </w:tc>
        <w:tc>
          <w:tcPr>
            <w:tcW w:w="993" w:type="dxa"/>
          </w:tcPr>
          <w:p>
            <w:pPr>
              <w:pStyle w:val="TableParagraph"/>
              <w:rPr>
                <w:rFonts w:ascii="Times New Roman"/>
                <w:sz w:val="14"/>
              </w:rPr>
            </w:pPr>
          </w:p>
        </w:tc>
        <w:tc>
          <w:tcPr>
            <w:tcW w:w="976" w:type="dxa"/>
          </w:tcPr>
          <w:p>
            <w:pPr>
              <w:pStyle w:val="TableParagraph"/>
              <w:rPr>
                <w:rFonts w:ascii="Times New Roman"/>
                <w:sz w:val="14"/>
              </w:rPr>
            </w:pPr>
          </w:p>
        </w:tc>
        <w:tc>
          <w:tcPr>
            <w:tcW w:w="978" w:type="dxa"/>
          </w:tcPr>
          <w:p>
            <w:pPr>
              <w:pStyle w:val="TableParagraph"/>
              <w:rPr>
                <w:rFonts w:ascii="Times New Roman"/>
                <w:sz w:val="14"/>
              </w:rPr>
            </w:pPr>
          </w:p>
        </w:tc>
      </w:tr>
      <w:tr>
        <w:trPr>
          <w:trHeight w:val="220" w:hRule="atLeast"/>
        </w:trPr>
        <w:tc>
          <w:tcPr>
            <w:tcW w:w="3464" w:type="dxa"/>
          </w:tcPr>
          <w:p>
            <w:pPr>
              <w:pStyle w:val="TableParagraph"/>
              <w:spacing w:line="200" w:lineRule="exact"/>
              <w:ind w:left="119"/>
              <w:rPr>
                <w:sz w:val="18"/>
              </w:rPr>
            </w:pPr>
            <w:r>
              <w:rPr>
                <w:sz w:val="18"/>
              </w:rPr>
              <w:t>b.</w:t>
            </w:r>
            <w:r>
              <w:rPr>
                <w:spacing w:val="82"/>
                <w:sz w:val="18"/>
              </w:rPr>
              <w:t> </w:t>
            </w:r>
            <w:r>
              <w:rPr>
                <w:sz w:val="18"/>
              </w:rPr>
              <w:t>Tele</w:t>
            </w:r>
            <w:r>
              <w:rPr>
                <w:spacing w:val="-2"/>
                <w:sz w:val="18"/>
              </w:rPr>
              <w:t> </w:t>
            </w:r>
            <w:r>
              <w:rPr>
                <w:sz w:val="18"/>
              </w:rPr>
              <w:t>consultations/</w:t>
            </w:r>
            <w:r>
              <w:rPr>
                <w:spacing w:val="-4"/>
                <w:sz w:val="18"/>
              </w:rPr>
              <w:t> </w:t>
            </w:r>
            <w:r>
              <w:rPr>
                <w:sz w:val="18"/>
              </w:rPr>
              <w:t>contacts</w:t>
            </w:r>
          </w:p>
        </w:tc>
        <w:tc>
          <w:tcPr>
            <w:tcW w:w="1701" w:type="dxa"/>
          </w:tcPr>
          <w:p>
            <w:pPr>
              <w:pStyle w:val="TableParagraph"/>
              <w:rPr>
                <w:rFonts w:ascii="Times New Roman"/>
                <w:sz w:val="14"/>
              </w:rPr>
            </w:pPr>
          </w:p>
        </w:tc>
        <w:tc>
          <w:tcPr>
            <w:tcW w:w="1982" w:type="dxa"/>
          </w:tcPr>
          <w:p>
            <w:pPr>
              <w:pStyle w:val="TableParagraph"/>
              <w:rPr>
                <w:rFonts w:ascii="Times New Roman"/>
                <w:sz w:val="14"/>
              </w:rPr>
            </w:pPr>
          </w:p>
        </w:tc>
        <w:tc>
          <w:tcPr>
            <w:tcW w:w="993" w:type="dxa"/>
          </w:tcPr>
          <w:p>
            <w:pPr>
              <w:pStyle w:val="TableParagraph"/>
              <w:rPr>
                <w:rFonts w:ascii="Times New Roman"/>
                <w:sz w:val="14"/>
              </w:rPr>
            </w:pPr>
          </w:p>
        </w:tc>
        <w:tc>
          <w:tcPr>
            <w:tcW w:w="976" w:type="dxa"/>
          </w:tcPr>
          <w:p>
            <w:pPr>
              <w:pStyle w:val="TableParagraph"/>
              <w:rPr>
                <w:rFonts w:ascii="Times New Roman"/>
                <w:sz w:val="14"/>
              </w:rPr>
            </w:pPr>
          </w:p>
        </w:tc>
        <w:tc>
          <w:tcPr>
            <w:tcW w:w="978" w:type="dxa"/>
          </w:tcPr>
          <w:p>
            <w:pPr>
              <w:pStyle w:val="TableParagraph"/>
              <w:rPr>
                <w:rFonts w:ascii="Times New Roman"/>
                <w:sz w:val="14"/>
              </w:rPr>
            </w:pPr>
          </w:p>
        </w:tc>
      </w:tr>
      <w:tr>
        <w:trPr>
          <w:trHeight w:val="220" w:hRule="atLeast"/>
        </w:trPr>
        <w:tc>
          <w:tcPr>
            <w:tcW w:w="3464" w:type="dxa"/>
          </w:tcPr>
          <w:p>
            <w:pPr>
              <w:pStyle w:val="TableParagraph"/>
              <w:spacing w:line="200" w:lineRule="exact"/>
              <w:ind w:left="119"/>
              <w:rPr>
                <w:sz w:val="18"/>
              </w:rPr>
            </w:pPr>
            <w:r>
              <w:rPr>
                <w:sz w:val="18"/>
              </w:rPr>
              <w:t>c.</w:t>
            </w:r>
            <w:r>
              <w:rPr>
                <w:spacing w:val="88"/>
                <w:sz w:val="18"/>
              </w:rPr>
              <w:t> </w:t>
            </w:r>
            <w:r>
              <w:rPr>
                <w:sz w:val="18"/>
              </w:rPr>
              <w:t>Email</w:t>
            </w:r>
            <w:r>
              <w:rPr>
                <w:spacing w:val="-2"/>
                <w:sz w:val="18"/>
              </w:rPr>
              <w:t> </w:t>
            </w:r>
            <w:r>
              <w:rPr>
                <w:sz w:val="18"/>
              </w:rPr>
              <w:t>consultations/</w:t>
            </w:r>
            <w:r>
              <w:rPr>
                <w:spacing w:val="-3"/>
                <w:sz w:val="18"/>
              </w:rPr>
              <w:t> </w:t>
            </w:r>
            <w:r>
              <w:rPr>
                <w:sz w:val="18"/>
              </w:rPr>
              <w:t>contacts</w:t>
            </w:r>
          </w:p>
        </w:tc>
        <w:tc>
          <w:tcPr>
            <w:tcW w:w="1701" w:type="dxa"/>
          </w:tcPr>
          <w:p>
            <w:pPr>
              <w:pStyle w:val="TableParagraph"/>
              <w:rPr>
                <w:rFonts w:ascii="Times New Roman"/>
                <w:sz w:val="14"/>
              </w:rPr>
            </w:pPr>
          </w:p>
        </w:tc>
        <w:tc>
          <w:tcPr>
            <w:tcW w:w="1982" w:type="dxa"/>
          </w:tcPr>
          <w:p>
            <w:pPr>
              <w:pStyle w:val="TableParagraph"/>
              <w:rPr>
                <w:rFonts w:ascii="Times New Roman"/>
                <w:sz w:val="14"/>
              </w:rPr>
            </w:pPr>
          </w:p>
        </w:tc>
        <w:tc>
          <w:tcPr>
            <w:tcW w:w="993" w:type="dxa"/>
          </w:tcPr>
          <w:p>
            <w:pPr>
              <w:pStyle w:val="TableParagraph"/>
              <w:rPr>
                <w:rFonts w:ascii="Times New Roman"/>
                <w:sz w:val="14"/>
              </w:rPr>
            </w:pPr>
          </w:p>
        </w:tc>
        <w:tc>
          <w:tcPr>
            <w:tcW w:w="976" w:type="dxa"/>
          </w:tcPr>
          <w:p>
            <w:pPr>
              <w:pStyle w:val="TableParagraph"/>
              <w:rPr>
                <w:rFonts w:ascii="Times New Roman"/>
                <w:sz w:val="14"/>
              </w:rPr>
            </w:pPr>
          </w:p>
        </w:tc>
        <w:tc>
          <w:tcPr>
            <w:tcW w:w="978" w:type="dxa"/>
          </w:tcPr>
          <w:p>
            <w:pPr>
              <w:pStyle w:val="TableParagraph"/>
              <w:rPr>
                <w:rFonts w:ascii="Times New Roman"/>
                <w:sz w:val="14"/>
              </w:rPr>
            </w:pPr>
          </w:p>
        </w:tc>
      </w:tr>
      <w:tr>
        <w:trPr>
          <w:trHeight w:val="441" w:hRule="atLeast"/>
        </w:trPr>
        <w:tc>
          <w:tcPr>
            <w:tcW w:w="3464" w:type="dxa"/>
          </w:tcPr>
          <w:p>
            <w:pPr>
              <w:pStyle w:val="TableParagraph"/>
              <w:spacing w:line="220" w:lineRule="exact"/>
              <w:ind w:left="480" w:hanging="361"/>
              <w:rPr>
                <w:sz w:val="18"/>
              </w:rPr>
            </w:pPr>
            <w:r>
              <w:rPr>
                <w:sz w:val="18"/>
              </w:rPr>
              <w:t>d.</w:t>
            </w:r>
            <w:r>
              <w:rPr>
                <w:spacing w:val="36"/>
                <w:sz w:val="18"/>
              </w:rPr>
              <w:t> </w:t>
            </w:r>
            <w:r>
              <w:rPr>
                <w:sz w:val="18"/>
              </w:rPr>
              <w:t>Case</w:t>
            </w:r>
            <w:r>
              <w:rPr>
                <w:spacing w:val="-1"/>
                <w:sz w:val="18"/>
              </w:rPr>
              <w:t> </w:t>
            </w:r>
            <w:r>
              <w:rPr>
                <w:sz w:val="18"/>
              </w:rPr>
              <w:t>conference/team</w:t>
            </w:r>
            <w:r>
              <w:rPr>
                <w:spacing w:val="-5"/>
                <w:sz w:val="18"/>
              </w:rPr>
              <w:t> </w:t>
            </w:r>
            <w:r>
              <w:rPr>
                <w:sz w:val="18"/>
              </w:rPr>
              <w:t>meeting</w:t>
            </w:r>
            <w:r>
              <w:rPr>
                <w:spacing w:val="-47"/>
                <w:sz w:val="18"/>
              </w:rPr>
              <w:t> </w:t>
            </w:r>
            <w:r>
              <w:rPr>
                <w:sz w:val="18"/>
              </w:rPr>
              <w:t>related</w:t>
            </w:r>
            <w:r>
              <w:rPr>
                <w:spacing w:val="-3"/>
                <w:sz w:val="18"/>
              </w:rPr>
              <w:t> </w:t>
            </w:r>
            <w:r>
              <w:rPr>
                <w:sz w:val="18"/>
              </w:rPr>
              <w:t>to</w:t>
            </w:r>
            <w:r>
              <w:rPr>
                <w:spacing w:val="-3"/>
                <w:sz w:val="18"/>
              </w:rPr>
              <w:t> </w:t>
            </w:r>
            <w:r>
              <w:rPr>
                <w:sz w:val="18"/>
              </w:rPr>
              <w:t>several</w:t>
            </w:r>
            <w:r>
              <w:rPr>
                <w:spacing w:val="-2"/>
                <w:sz w:val="18"/>
              </w:rPr>
              <w:t> </w:t>
            </w:r>
            <w:r>
              <w:rPr>
                <w:sz w:val="18"/>
              </w:rPr>
              <w:t>HCH</w:t>
            </w:r>
            <w:r>
              <w:rPr>
                <w:spacing w:val="-2"/>
                <w:sz w:val="18"/>
              </w:rPr>
              <w:t> </w:t>
            </w:r>
            <w:r>
              <w:rPr>
                <w:sz w:val="18"/>
              </w:rPr>
              <w:t>patients</w:t>
            </w:r>
          </w:p>
        </w:tc>
        <w:tc>
          <w:tcPr>
            <w:tcW w:w="1701" w:type="dxa"/>
          </w:tcPr>
          <w:p>
            <w:pPr>
              <w:pStyle w:val="TableParagraph"/>
              <w:rPr>
                <w:rFonts w:ascii="Times New Roman"/>
                <w:sz w:val="16"/>
              </w:rPr>
            </w:pPr>
          </w:p>
        </w:tc>
        <w:tc>
          <w:tcPr>
            <w:tcW w:w="1982" w:type="dxa"/>
          </w:tcPr>
          <w:p>
            <w:pPr>
              <w:pStyle w:val="TableParagraph"/>
              <w:rPr>
                <w:rFonts w:ascii="Times New Roman"/>
                <w:sz w:val="16"/>
              </w:rPr>
            </w:pPr>
          </w:p>
        </w:tc>
        <w:tc>
          <w:tcPr>
            <w:tcW w:w="993" w:type="dxa"/>
          </w:tcPr>
          <w:p>
            <w:pPr>
              <w:pStyle w:val="TableParagraph"/>
              <w:rPr>
                <w:rFonts w:ascii="Times New Roman"/>
                <w:sz w:val="16"/>
              </w:rPr>
            </w:pPr>
          </w:p>
        </w:tc>
        <w:tc>
          <w:tcPr>
            <w:tcW w:w="976" w:type="dxa"/>
          </w:tcPr>
          <w:p>
            <w:pPr>
              <w:pStyle w:val="TableParagraph"/>
              <w:rPr>
                <w:rFonts w:ascii="Times New Roman"/>
                <w:sz w:val="16"/>
              </w:rPr>
            </w:pPr>
          </w:p>
        </w:tc>
        <w:tc>
          <w:tcPr>
            <w:tcW w:w="978" w:type="dxa"/>
          </w:tcPr>
          <w:p>
            <w:pPr>
              <w:pStyle w:val="TableParagraph"/>
              <w:rPr>
                <w:rFonts w:ascii="Times New Roman"/>
                <w:sz w:val="16"/>
              </w:rPr>
            </w:pPr>
          </w:p>
        </w:tc>
      </w:tr>
    </w:tbl>
    <w:p>
      <w:pPr>
        <w:pStyle w:val="BodyText"/>
        <w:spacing w:before="10"/>
        <w:rPr>
          <w:i/>
          <w:sz w:val="18"/>
        </w:rPr>
      </w:pPr>
    </w:p>
    <w:p>
      <w:pPr>
        <w:pStyle w:val="ListParagraph"/>
        <w:numPr>
          <w:ilvl w:val="0"/>
          <w:numId w:val="76"/>
        </w:numPr>
        <w:tabs>
          <w:tab w:pos="424" w:val="left" w:leader="none"/>
        </w:tabs>
        <w:spacing w:line="240" w:lineRule="auto" w:before="0" w:after="0"/>
        <w:ind w:left="423" w:right="459" w:hanging="284"/>
        <w:jc w:val="left"/>
        <w:rPr>
          <w:sz w:val="18"/>
        </w:rPr>
      </w:pPr>
      <w:r>
        <w:rPr>
          <w:sz w:val="18"/>
        </w:rPr>
        <w:t>For the most recent week starting on a Monday and ending on a Sunday, could you estimate the time (in minutes)</w:t>
      </w:r>
      <w:r>
        <w:rPr>
          <w:spacing w:val="-47"/>
          <w:sz w:val="18"/>
        </w:rPr>
        <w:t> </w:t>
      </w:r>
      <w:r>
        <w:rPr>
          <w:sz w:val="18"/>
        </w:rPr>
        <w:t>support staff, including receptionists and other administrative staff and practice managers devoted to activities</w:t>
      </w:r>
      <w:r>
        <w:rPr>
          <w:spacing w:val="1"/>
          <w:sz w:val="18"/>
        </w:rPr>
        <w:t> </w:t>
      </w:r>
      <w:r>
        <w:rPr>
          <w:sz w:val="18"/>
        </w:rPr>
        <w:t>related</w:t>
      </w:r>
      <w:r>
        <w:rPr>
          <w:spacing w:val="-2"/>
          <w:sz w:val="18"/>
        </w:rPr>
        <w:t> </w:t>
      </w:r>
      <w:r>
        <w:rPr>
          <w:sz w:val="18"/>
        </w:rPr>
        <w:t>to</w:t>
      </w:r>
      <w:r>
        <w:rPr>
          <w:spacing w:val="-1"/>
          <w:sz w:val="18"/>
        </w:rPr>
        <w:t> </w:t>
      </w:r>
      <w:r>
        <w:rPr>
          <w:sz w:val="18"/>
        </w:rPr>
        <w:t>HCH</w:t>
      </w:r>
      <w:r>
        <w:rPr>
          <w:spacing w:val="-1"/>
          <w:sz w:val="18"/>
        </w:rPr>
        <w:t> </w:t>
      </w:r>
      <w:r>
        <w:rPr>
          <w:sz w:val="18"/>
        </w:rPr>
        <w:t>patients?</w:t>
      </w:r>
    </w:p>
    <w:p>
      <w:pPr>
        <w:pStyle w:val="BodyText"/>
        <w:spacing w:before="11"/>
        <w:rPr>
          <w:sz w:val="9"/>
        </w:rPr>
      </w:pPr>
    </w:p>
    <w:tbl>
      <w:tblPr>
        <w:tblW w:w="0" w:type="auto"/>
        <w:jc w:val="left"/>
        <w:tblInd w:w="5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464"/>
        <w:gridCol w:w="1701"/>
        <w:gridCol w:w="1982"/>
      </w:tblGrid>
      <w:tr>
        <w:trPr>
          <w:trHeight w:val="1104" w:hRule="atLeast"/>
        </w:trPr>
        <w:tc>
          <w:tcPr>
            <w:tcW w:w="3464" w:type="dxa"/>
            <w:shd w:val="clear" w:color="auto" w:fill="F1F1F1"/>
          </w:tcPr>
          <w:p>
            <w:pPr>
              <w:pStyle w:val="TableParagraph"/>
              <w:spacing w:line="219" w:lineRule="exact"/>
              <w:ind w:left="1164" w:right="1159"/>
              <w:jc w:val="center"/>
              <w:rPr>
                <w:sz w:val="18"/>
              </w:rPr>
            </w:pPr>
            <w:r>
              <w:rPr>
                <w:sz w:val="18"/>
              </w:rPr>
              <w:t>Support</w:t>
            </w:r>
            <w:r>
              <w:rPr>
                <w:spacing w:val="-5"/>
                <w:sz w:val="18"/>
              </w:rPr>
              <w:t> </w:t>
            </w:r>
            <w:r>
              <w:rPr>
                <w:sz w:val="18"/>
              </w:rPr>
              <w:t>staff</w:t>
            </w:r>
          </w:p>
        </w:tc>
        <w:tc>
          <w:tcPr>
            <w:tcW w:w="1701" w:type="dxa"/>
            <w:shd w:val="clear" w:color="auto" w:fill="F1F1F1"/>
          </w:tcPr>
          <w:p>
            <w:pPr>
              <w:pStyle w:val="TableParagraph"/>
              <w:ind w:left="165" w:right="143" w:firstLine="9"/>
              <w:rPr>
                <w:sz w:val="18"/>
              </w:rPr>
            </w:pPr>
            <w:r>
              <w:rPr>
                <w:sz w:val="18"/>
              </w:rPr>
              <w:t>Minutes related</w:t>
            </w:r>
            <w:r>
              <w:rPr>
                <w:spacing w:val="-47"/>
                <w:sz w:val="18"/>
              </w:rPr>
              <w:t> </w:t>
            </w:r>
            <w:r>
              <w:rPr>
                <w:sz w:val="18"/>
              </w:rPr>
              <w:t>to</w:t>
            </w:r>
            <w:r>
              <w:rPr>
                <w:spacing w:val="-4"/>
                <w:sz w:val="18"/>
              </w:rPr>
              <w:t> </w:t>
            </w:r>
            <w:r>
              <w:rPr>
                <w:sz w:val="18"/>
              </w:rPr>
              <w:t>HCH</w:t>
            </w:r>
            <w:r>
              <w:rPr>
                <w:spacing w:val="-5"/>
                <w:sz w:val="18"/>
              </w:rPr>
              <w:t> </w:t>
            </w:r>
            <w:r>
              <w:rPr>
                <w:sz w:val="18"/>
              </w:rPr>
              <w:t>patients</w:t>
            </w:r>
          </w:p>
        </w:tc>
        <w:tc>
          <w:tcPr>
            <w:tcW w:w="1982" w:type="dxa"/>
            <w:shd w:val="clear" w:color="auto" w:fill="F1F1F1"/>
          </w:tcPr>
          <w:p>
            <w:pPr>
              <w:pStyle w:val="TableParagraph"/>
              <w:ind w:left="118" w:right="104"/>
              <w:jc w:val="center"/>
              <w:rPr>
                <w:sz w:val="18"/>
              </w:rPr>
            </w:pPr>
            <w:r>
              <w:rPr>
                <w:sz w:val="18"/>
              </w:rPr>
              <w:t>Was this about</w:t>
            </w:r>
            <w:r>
              <w:rPr>
                <w:spacing w:val="1"/>
                <w:sz w:val="18"/>
              </w:rPr>
              <w:t> </w:t>
            </w:r>
            <w:r>
              <w:rPr>
                <w:sz w:val="18"/>
              </w:rPr>
              <w:t>average, lower or</w:t>
            </w:r>
            <w:r>
              <w:rPr>
                <w:spacing w:val="1"/>
                <w:sz w:val="18"/>
              </w:rPr>
              <w:t> </w:t>
            </w:r>
            <w:r>
              <w:rPr>
                <w:sz w:val="18"/>
              </w:rPr>
              <w:t>higher than</w:t>
            </w:r>
            <w:r>
              <w:rPr>
                <w:spacing w:val="1"/>
                <w:sz w:val="18"/>
              </w:rPr>
              <w:t> </w:t>
            </w:r>
            <w:r>
              <w:rPr>
                <w:sz w:val="18"/>
              </w:rPr>
              <w:t>average</w:t>
            </w:r>
            <w:r>
              <w:rPr>
                <w:spacing w:val="-8"/>
                <w:sz w:val="18"/>
              </w:rPr>
              <w:t> </w:t>
            </w:r>
            <w:r>
              <w:rPr>
                <w:sz w:val="18"/>
              </w:rPr>
              <w:t>compared</w:t>
            </w:r>
          </w:p>
          <w:p>
            <w:pPr>
              <w:pStyle w:val="TableParagraph"/>
              <w:spacing w:line="202" w:lineRule="exact"/>
              <w:ind w:left="118" w:right="104"/>
              <w:jc w:val="center"/>
              <w:rPr>
                <w:sz w:val="18"/>
              </w:rPr>
            </w:pPr>
            <w:r>
              <w:rPr>
                <w:sz w:val="18"/>
              </w:rPr>
              <w:t>with</w:t>
            </w:r>
            <w:r>
              <w:rPr>
                <w:spacing w:val="-2"/>
                <w:sz w:val="18"/>
              </w:rPr>
              <w:t> </w:t>
            </w:r>
            <w:r>
              <w:rPr>
                <w:sz w:val="18"/>
              </w:rPr>
              <w:t>other</w:t>
            </w:r>
            <w:r>
              <w:rPr>
                <w:spacing w:val="-2"/>
                <w:sz w:val="18"/>
              </w:rPr>
              <w:t> </w:t>
            </w:r>
            <w:r>
              <w:rPr>
                <w:sz w:val="18"/>
              </w:rPr>
              <w:t>weeks?</w:t>
            </w:r>
          </w:p>
        </w:tc>
      </w:tr>
      <w:tr>
        <w:trPr>
          <w:trHeight w:val="220" w:hRule="atLeast"/>
        </w:trPr>
        <w:tc>
          <w:tcPr>
            <w:tcW w:w="3464" w:type="dxa"/>
          </w:tcPr>
          <w:p>
            <w:pPr>
              <w:pStyle w:val="TableParagraph"/>
              <w:spacing w:line="200" w:lineRule="exact"/>
              <w:ind w:left="107"/>
              <w:rPr>
                <w:sz w:val="18"/>
              </w:rPr>
            </w:pPr>
            <w:r>
              <w:rPr>
                <w:sz w:val="18"/>
              </w:rPr>
              <w:t>Reception</w:t>
            </w:r>
          </w:p>
        </w:tc>
        <w:tc>
          <w:tcPr>
            <w:tcW w:w="1701" w:type="dxa"/>
          </w:tcPr>
          <w:p>
            <w:pPr>
              <w:pStyle w:val="TableParagraph"/>
              <w:rPr>
                <w:rFonts w:ascii="Times New Roman"/>
                <w:sz w:val="14"/>
              </w:rPr>
            </w:pPr>
          </w:p>
        </w:tc>
        <w:tc>
          <w:tcPr>
            <w:tcW w:w="1982" w:type="dxa"/>
          </w:tcPr>
          <w:p>
            <w:pPr>
              <w:pStyle w:val="TableParagraph"/>
              <w:rPr>
                <w:rFonts w:ascii="Times New Roman"/>
                <w:sz w:val="14"/>
              </w:rPr>
            </w:pPr>
          </w:p>
        </w:tc>
      </w:tr>
      <w:tr>
        <w:trPr>
          <w:trHeight w:val="220" w:hRule="atLeast"/>
        </w:trPr>
        <w:tc>
          <w:tcPr>
            <w:tcW w:w="3464" w:type="dxa"/>
          </w:tcPr>
          <w:p>
            <w:pPr>
              <w:pStyle w:val="TableParagraph"/>
              <w:spacing w:line="200" w:lineRule="exact"/>
              <w:ind w:left="107"/>
              <w:rPr>
                <w:sz w:val="18"/>
              </w:rPr>
            </w:pPr>
            <w:r>
              <w:rPr>
                <w:sz w:val="18"/>
              </w:rPr>
              <w:t>Practice</w:t>
            </w:r>
            <w:r>
              <w:rPr>
                <w:spacing w:val="-5"/>
                <w:sz w:val="18"/>
              </w:rPr>
              <w:t> </w:t>
            </w:r>
            <w:r>
              <w:rPr>
                <w:sz w:val="18"/>
              </w:rPr>
              <w:t>managers</w:t>
            </w:r>
          </w:p>
        </w:tc>
        <w:tc>
          <w:tcPr>
            <w:tcW w:w="1701" w:type="dxa"/>
          </w:tcPr>
          <w:p>
            <w:pPr>
              <w:pStyle w:val="TableParagraph"/>
              <w:rPr>
                <w:rFonts w:ascii="Times New Roman"/>
                <w:sz w:val="14"/>
              </w:rPr>
            </w:pPr>
          </w:p>
        </w:tc>
        <w:tc>
          <w:tcPr>
            <w:tcW w:w="1982" w:type="dxa"/>
          </w:tcPr>
          <w:p>
            <w:pPr>
              <w:pStyle w:val="TableParagraph"/>
              <w:rPr>
                <w:rFonts w:ascii="Times New Roman"/>
                <w:sz w:val="14"/>
              </w:rPr>
            </w:pPr>
          </w:p>
        </w:tc>
      </w:tr>
      <w:tr>
        <w:trPr>
          <w:trHeight w:val="222" w:hRule="atLeast"/>
        </w:trPr>
        <w:tc>
          <w:tcPr>
            <w:tcW w:w="3464" w:type="dxa"/>
          </w:tcPr>
          <w:p>
            <w:pPr>
              <w:pStyle w:val="TableParagraph"/>
              <w:spacing w:line="202" w:lineRule="exact" w:before="1"/>
              <w:ind w:left="107"/>
              <w:rPr>
                <w:sz w:val="18"/>
              </w:rPr>
            </w:pPr>
            <w:r>
              <w:rPr>
                <w:sz w:val="18"/>
              </w:rPr>
              <w:t>Other</w:t>
            </w:r>
            <w:r>
              <w:rPr>
                <w:spacing w:val="-5"/>
                <w:sz w:val="18"/>
              </w:rPr>
              <w:t> </w:t>
            </w:r>
            <w:r>
              <w:rPr>
                <w:sz w:val="18"/>
              </w:rPr>
              <w:t>administrative</w:t>
            </w:r>
            <w:r>
              <w:rPr>
                <w:spacing w:val="-4"/>
                <w:sz w:val="18"/>
              </w:rPr>
              <w:t> </w:t>
            </w:r>
            <w:r>
              <w:rPr>
                <w:sz w:val="18"/>
              </w:rPr>
              <w:t>staff</w:t>
            </w:r>
          </w:p>
        </w:tc>
        <w:tc>
          <w:tcPr>
            <w:tcW w:w="1701" w:type="dxa"/>
          </w:tcPr>
          <w:p>
            <w:pPr>
              <w:pStyle w:val="TableParagraph"/>
              <w:rPr>
                <w:rFonts w:ascii="Times New Roman"/>
                <w:sz w:val="14"/>
              </w:rPr>
            </w:pPr>
          </w:p>
        </w:tc>
        <w:tc>
          <w:tcPr>
            <w:tcW w:w="1982" w:type="dxa"/>
          </w:tcPr>
          <w:p>
            <w:pPr>
              <w:pStyle w:val="TableParagraph"/>
              <w:rPr>
                <w:rFonts w:ascii="Times New Roman"/>
                <w:sz w:val="14"/>
              </w:rPr>
            </w:pPr>
          </w:p>
        </w:tc>
      </w:tr>
    </w:tbl>
    <w:p>
      <w:pPr>
        <w:pStyle w:val="BodyText"/>
        <w:spacing w:before="10"/>
        <w:rPr>
          <w:sz w:val="27"/>
        </w:rPr>
      </w:pPr>
    </w:p>
    <w:p>
      <w:pPr>
        <w:pStyle w:val="ListParagraph"/>
        <w:numPr>
          <w:ilvl w:val="0"/>
          <w:numId w:val="76"/>
        </w:numPr>
        <w:tabs>
          <w:tab w:pos="424" w:val="left" w:leader="none"/>
        </w:tabs>
        <w:spacing w:line="240" w:lineRule="auto" w:before="0" w:after="0"/>
        <w:ind w:left="423" w:right="652" w:hanging="284"/>
        <w:jc w:val="left"/>
        <w:rPr>
          <w:sz w:val="18"/>
        </w:rPr>
      </w:pPr>
      <w:r>
        <w:rPr>
          <w:sz w:val="18"/>
        </w:rPr>
        <w:t>Can you describe the approach to co-payments the practice/service has taken for patients enrolled in the HCH</w:t>
      </w:r>
      <w:r>
        <w:rPr>
          <w:spacing w:val="-47"/>
          <w:sz w:val="18"/>
        </w:rPr>
        <w:t> </w:t>
      </w:r>
      <w:r>
        <w:rPr>
          <w:sz w:val="18"/>
        </w:rPr>
        <w:t>program?</w:t>
      </w:r>
    </w:p>
    <w:p>
      <w:pPr>
        <w:pStyle w:val="BodyText"/>
      </w:pPr>
    </w:p>
    <w:p>
      <w:pPr>
        <w:pStyle w:val="BodyText"/>
        <w:spacing w:before="5"/>
        <w:rPr>
          <w:sz w:val="12"/>
        </w:rPr>
      </w:pPr>
      <w:r>
        <w:rPr/>
        <w:pict>
          <v:rect style="position:absolute;margin-left:34.560001pt;margin-top:8.807920pt;width:526.3pt;height:.47998pt;mso-position-horizontal-relative:page;mso-position-vertical-relative:paragraph;z-index:-15611392;mso-wrap-distance-left:0;mso-wrap-distance-right:0" id="docshape163" filled="true" fillcolor="#d9d9d9" stroked="false">
            <v:fill type="solid"/>
            <w10:wrap type="topAndBottom"/>
          </v:rect>
        </w:pict>
      </w:r>
    </w:p>
    <w:p>
      <w:pPr>
        <w:spacing w:after="0"/>
        <w:rPr>
          <w:sz w:val="12"/>
        </w:rPr>
        <w:sectPr>
          <w:pgSz w:w="11910" w:h="16840"/>
          <w:pgMar w:header="0" w:footer="948" w:top="860" w:bottom="1140" w:left="580" w:right="480"/>
        </w:sectPr>
      </w:pPr>
    </w:p>
    <w:p>
      <w:pPr>
        <w:spacing w:before="75"/>
        <w:ind w:left="140" w:right="0" w:firstLine="0"/>
        <w:jc w:val="left"/>
        <w:rPr>
          <w:b/>
          <w:sz w:val="18"/>
        </w:rPr>
      </w:pPr>
      <w:r>
        <w:rPr>
          <w:b/>
          <w:sz w:val="18"/>
        </w:rPr>
        <w:t>Benchmarking</w:t>
      </w:r>
      <w:r>
        <w:rPr>
          <w:b/>
          <w:spacing w:val="-4"/>
          <w:sz w:val="18"/>
        </w:rPr>
        <w:t> </w:t>
      </w:r>
      <w:r>
        <w:rPr>
          <w:b/>
          <w:sz w:val="18"/>
        </w:rPr>
        <w:t>reports</w:t>
      </w:r>
    </w:p>
    <w:p>
      <w:pPr>
        <w:pStyle w:val="BodyText"/>
        <w:rPr>
          <w:b/>
          <w:sz w:val="19"/>
        </w:rPr>
      </w:pPr>
    </w:p>
    <w:p>
      <w:pPr>
        <w:spacing w:line="273" w:lineRule="auto" w:before="0"/>
        <w:ind w:left="140" w:right="620" w:firstLine="0"/>
        <w:jc w:val="left"/>
        <w:rPr>
          <w:sz w:val="18"/>
        </w:rPr>
      </w:pPr>
      <w:r>
        <w:rPr>
          <w:sz w:val="18"/>
        </w:rPr>
        <w:t>Health Policy Analysis/ the Centre for Big Data in Health Research (UNSW) has been distributing reports profiling HCH</w:t>
      </w:r>
      <w:r>
        <w:rPr>
          <w:spacing w:val="-47"/>
          <w:sz w:val="18"/>
        </w:rPr>
        <w:t> </w:t>
      </w:r>
      <w:r>
        <w:rPr>
          <w:sz w:val="18"/>
        </w:rPr>
        <w:t>patients within</w:t>
      </w:r>
      <w:r>
        <w:rPr>
          <w:spacing w:val="-3"/>
          <w:sz w:val="18"/>
        </w:rPr>
        <w:t> </w:t>
      </w:r>
      <w:r>
        <w:rPr>
          <w:sz w:val="18"/>
        </w:rPr>
        <w:t>each</w:t>
      </w:r>
      <w:r>
        <w:rPr>
          <w:spacing w:val="2"/>
          <w:sz w:val="18"/>
        </w:rPr>
        <w:t> </w:t>
      </w:r>
      <w:r>
        <w:rPr>
          <w:sz w:val="18"/>
        </w:rPr>
        <w:t>practice/</w:t>
      </w:r>
      <w:r>
        <w:rPr>
          <w:spacing w:val="-1"/>
          <w:sz w:val="18"/>
        </w:rPr>
        <w:t> </w:t>
      </w:r>
      <w:r>
        <w:rPr>
          <w:sz w:val="18"/>
        </w:rPr>
        <w:t>service</w:t>
      </w:r>
      <w:r>
        <w:rPr>
          <w:spacing w:val="-2"/>
          <w:sz w:val="18"/>
        </w:rPr>
        <w:t> </w:t>
      </w:r>
      <w:r>
        <w:rPr>
          <w:sz w:val="18"/>
        </w:rPr>
        <w:t>and</w:t>
      </w:r>
      <w:r>
        <w:rPr>
          <w:spacing w:val="-2"/>
          <w:sz w:val="18"/>
        </w:rPr>
        <w:t> </w:t>
      </w:r>
      <w:r>
        <w:rPr>
          <w:sz w:val="18"/>
        </w:rPr>
        <w:t>comparing</w:t>
      </w:r>
      <w:r>
        <w:rPr>
          <w:spacing w:val="-2"/>
          <w:sz w:val="18"/>
        </w:rPr>
        <w:t> </w:t>
      </w:r>
      <w:r>
        <w:rPr>
          <w:sz w:val="18"/>
        </w:rPr>
        <w:t>them</w:t>
      </w:r>
      <w:r>
        <w:rPr>
          <w:spacing w:val="-5"/>
          <w:sz w:val="18"/>
        </w:rPr>
        <w:t> </w:t>
      </w:r>
      <w:r>
        <w:rPr>
          <w:sz w:val="18"/>
        </w:rPr>
        <w:t>with other</w:t>
      </w:r>
      <w:r>
        <w:rPr>
          <w:spacing w:val="-1"/>
          <w:sz w:val="18"/>
        </w:rPr>
        <w:t> </w:t>
      </w:r>
      <w:r>
        <w:rPr>
          <w:sz w:val="18"/>
        </w:rPr>
        <w:t>practices/ services.</w:t>
      </w:r>
    </w:p>
    <w:p>
      <w:pPr>
        <w:pStyle w:val="BodyText"/>
        <w:spacing w:before="9"/>
        <w:rPr>
          <w:sz w:val="16"/>
        </w:rPr>
      </w:pPr>
    </w:p>
    <w:p>
      <w:pPr>
        <w:pStyle w:val="ListParagraph"/>
        <w:numPr>
          <w:ilvl w:val="0"/>
          <w:numId w:val="76"/>
        </w:numPr>
        <w:tabs>
          <w:tab w:pos="424" w:val="left" w:leader="none"/>
        </w:tabs>
        <w:spacing w:line="240" w:lineRule="auto" w:before="0" w:after="0"/>
        <w:ind w:left="423" w:right="0" w:hanging="284"/>
        <w:jc w:val="left"/>
        <w:rPr>
          <w:sz w:val="18"/>
        </w:rPr>
      </w:pPr>
      <w:r>
        <w:rPr>
          <w:sz w:val="18"/>
        </w:rPr>
        <w:t>How</w:t>
      </w:r>
      <w:r>
        <w:rPr>
          <w:spacing w:val="-5"/>
          <w:sz w:val="18"/>
        </w:rPr>
        <w:t> </w:t>
      </w:r>
      <w:r>
        <w:rPr>
          <w:sz w:val="18"/>
        </w:rPr>
        <w:t>useful</w:t>
      </w:r>
      <w:r>
        <w:rPr>
          <w:spacing w:val="-1"/>
          <w:sz w:val="18"/>
        </w:rPr>
        <w:t> </w:t>
      </w:r>
      <w:r>
        <w:rPr>
          <w:sz w:val="18"/>
        </w:rPr>
        <w:t>were</w:t>
      </w:r>
      <w:r>
        <w:rPr>
          <w:spacing w:val="-2"/>
          <w:sz w:val="18"/>
        </w:rPr>
        <w:t> </w:t>
      </w:r>
      <w:r>
        <w:rPr>
          <w:sz w:val="18"/>
        </w:rPr>
        <w:t>these</w:t>
      </w:r>
      <w:r>
        <w:rPr>
          <w:spacing w:val="-5"/>
          <w:sz w:val="18"/>
        </w:rPr>
        <w:t> </w:t>
      </w:r>
      <w:r>
        <w:rPr>
          <w:sz w:val="18"/>
        </w:rPr>
        <w:t>reports?</w:t>
      </w:r>
    </w:p>
    <w:p>
      <w:pPr>
        <w:pStyle w:val="ListParagraph"/>
        <w:numPr>
          <w:ilvl w:val="1"/>
          <w:numId w:val="76"/>
        </w:numPr>
        <w:tabs>
          <w:tab w:pos="1643" w:val="left" w:leader="none"/>
        </w:tabs>
        <w:spacing w:line="240" w:lineRule="auto" w:before="118" w:after="0"/>
        <w:ind w:left="1642" w:right="0" w:hanging="152"/>
        <w:jc w:val="left"/>
        <w:rPr>
          <w:sz w:val="18"/>
        </w:rPr>
      </w:pPr>
      <w:r>
        <w:rPr/>
        <w:drawing>
          <wp:anchor distT="0" distB="0" distL="0" distR="0" allowOverlap="1" layoutInCell="1" locked="0" behindDoc="0" simplePos="0" relativeHeight="15846912">
            <wp:simplePos x="0" y="0"/>
            <wp:positionH relativeFrom="page">
              <wp:posOffset>1102145</wp:posOffset>
            </wp:positionH>
            <wp:positionV relativeFrom="paragraph">
              <wp:posOffset>119780</wp:posOffset>
            </wp:positionV>
            <wp:extent cx="58380" cy="72151"/>
            <wp:effectExtent l="0" t="0" r="0" b="0"/>
            <wp:wrapNone/>
            <wp:docPr id="957" name="image13.png"/>
            <wp:cNvGraphicFramePr>
              <a:graphicFrameLocks noChangeAspect="1"/>
            </wp:cNvGraphicFramePr>
            <a:graphic>
              <a:graphicData uri="http://schemas.openxmlformats.org/drawingml/2006/picture">
                <pic:pic>
                  <pic:nvPicPr>
                    <pic:cNvPr id="95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Very</w:t>
      </w:r>
      <w:r>
        <w:rPr>
          <w:spacing w:val="-4"/>
          <w:sz w:val="18"/>
        </w:rPr>
        <w:t> </w:t>
      </w:r>
      <w:r>
        <w:rPr>
          <w:sz w:val="18"/>
        </w:rPr>
        <w:t>useful</w:t>
      </w:r>
    </w:p>
    <w:p>
      <w:pPr>
        <w:pStyle w:val="ListParagraph"/>
        <w:numPr>
          <w:ilvl w:val="1"/>
          <w:numId w:val="76"/>
        </w:numPr>
        <w:tabs>
          <w:tab w:pos="1643" w:val="left" w:leader="none"/>
        </w:tabs>
        <w:spacing w:line="240" w:lineRule="auto" w:before="0" w:after="0"/>
        <w:ind w:left="1642" w:right="0" w:hanging="152"/>
        <w:jc w:val="left"/>
        <w:rPr>
          <w:sz w:val="18"/>
        </w:rPr>
      </w:pPr>
      <w:r>
        <w:rPr/>
        <w:drawing>
          <wp:anchor distT="0" distB="0" distL="0" distR="0" allowOverlap="1" layoutInCell="1" locked="0" behindDoc="0" simplePos="0" relativeHeight="15847424">
            <wp:simplePos x="0" y="0"/>
            <wp:positionH relativeFrom="page">
              <wp:posOffset>1102145</wp:posOffset>
            </wp:positionH>
            <wp:positionV relativeFrom="paragraph">
              <wp:posOffset>44849</wp:posOffset>
            </wp:positionV>
            <wp:extent cx="58380" cy="72151"/>
            <wp:effectExtent l="0" t="0" r="0" b="0"/>
            <wp:wrapNone/>
            <wp:docPr id="959" name="image13.png"/>
            <wp:cNvGraphicFramePr>
              <a:graphicFrameLocks noChangeAspect="1"/>
            </wp:cNvGraphicFramePr>
            <a:graphic>
              <a:graphicData uri="http://schemas.openxmlformats.org/drawingml/2006/picture">
                <pic:pic>
                  <pic:nvPicPr>
                    <pic:cNvPr id="96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Moderately</w:t>
      </w:r>
      <w:r>
        <w:rPr>
          <w:spacing w:val="-6"/>
          <w:sz w:val="18"/>
        </w:rPr>
        <w:t> </w:t>
      </w:r>
      <w:r>
        <w:rPr>
          <w:sz w:val="18"/>
        </w:rPr>
        <w:t>useful</w:t>
      </w:r>
    </w:p>
    <w:p>
      <w:pPr>
        <w:pStyle w:val="ListParagraph"/>
        <w:numPr>
          <w:ilvl w:val="1"/>
          <w:numId w:val="76"/>
        </w:numPr>
        <w:tabs>
          <w:tab w:pos="1643" w:val="left" w:leader="none"/>
        </w:tabs>
        <w:spacing w:line="240" w:lineRule="auto" w:before="0" w:after="0"/>
        <w:ind w:left="1642" w:right="0" w:hanging="152"/>
        <w:jc w:val="left"/>
        <w:rPr>
          <w:sz w:val="18"/>
        </w:rPr>
      </w:pPr>
      <w:r>
        <w:rPr/>
        <w:drawing>
          <wp:anchor distT="0" distB="0" distL="0" distR="0" allowOverlap="1" layoutInCell="1" locked="0" behindDoc="0" simplePos="0" relativeHeight="15847936">
            <wp:simplePos x="0" y="0"/>
            <wp:positionH relativeFrom="page">
              <wp:posOffset>1102145</wp:posOffset>
            </wp:positionH>
            <wp:positionV relativeFrom="paragraph">
              <wp:posOffset>44851</wp:posOffset>
            </wp:positionV>
            <wp:extent cx="58380" cy="72150"/>
            <wp:effectExtent l="0" t="0" r="0" b="0"/>
            <wp:wrapNone/>
            <wp:docPr id="961" name="image13.png"/>
            <wp:cNvGraphicFramePr>
              <a:graphicFrameLocks noChangeAspect="1"/>
            </wp:cNvGraphicFramePr>
            <a:graphic>
              <a:graphicData uri="http://schemas.openxmlformats.org/drawingml/2006/picture">
                <pic:pic>
                  <pic:nvPicPr>
                    <pic:cNvPr id="962" name="image13.png"/>
                    <pic:cNvPicPr/>
                  </pic:nvPicPr>
                  <pic:blipFill>
                    <a:blip r:embed="rId41" cstate="print"/>
                    <a:stretch>
                      <a:fillRect/>
                    </a:stretch>
                  </pic:blipFill>
                  <pic:spPr>
                    <a:xfrm>
                      <a:off x="0" y="0"/>
                      <a:ext cx="58380" cy="72150"/>
                    </a:xfrm>
                    <a:prstGeom prst="rect">
                      <a:avLst/>
                    </a:prstGeom>
                  </pic:spPr>
                </pic:pic>
              </a:graphicData>
            </a:graphic>
          </wp:anchor>
        </w:drawing>
      </w:r>
      <w:r>
        <w:rPr>
          <w:sz w:val="18"/>
        </w:rPr>
        <w:t>Limited</w:t>
      </w:r>
    </w:p>
    <w:p>
      <w:pPr>
        <w:pStyle w:val="ListParagraph"/>
        <w:numPr>
          <w:ilvl w:val="1"/>
          <w:numId w:val="76"/>
        </w:numPr>
        <w:tabs>
          <w:tab w:pos="1643" w:val="left" w:leader="none"/>
        </w:tabs>
        <w:spacing w:line="240" w:lineRule="auto" w:before="0" w:after="0"/>
        <w:ind w:left="1642" w:right="0" w:hanging="152"/>
        <w:jc w:val="left"/>
        <w:rPr>
          <w:sz w:val="18"/>
        </w:rPr>
      </w:pPr>
      <w:r>
        <w:rPr/>
        <w:drawing>
          <wp:anchor distT="0" distB="0" distL="0" distR="0" allowOverlap="1" layoutInCell="1" locked="0" behindDoc="0" simplePos="0" relativeHeight="15848448">
            <wp:simplePos x="0" y="0"/>
            <wp:positionH relativeFrom="page">
              <wp:posOffset>1102145</wp:posOffset>
            </wp:positionH>
            <wp:positionV relativeFrom="paragraph">
              <wp:posOffset>44850</wp:posOffset>
            </wp:positionV>
            <wp:extent cx="58380" cy="72151"/>
            <wp:effectExtent l="0" t="0" r="0" b="0"/>
            <wp:wrapNone/>
            <wp:docPr id="963" name="image13.png"/>
            <wp:cNvGraphicFramePr>
              <a:graphicFrameLocks noChangeAspect="1"/>
            </wp:cNvGraphicFramePr>
            <a:graphic>
              <a:graphicData uri="http://schemas.openxmlformats.org/drawingml/2006/picture">
                <pic:pic>
                  <pic:nvPicPr>
                    <pic:cNvPr id="96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Not</w:t>
      </w:r>
      <w:r>
        <w:rPr>
          <w:spacing w:val="-3"/>
          <w:sz w:val="18"/>
        </w:rPr>
        <w:t> </w:t>
      </w:r>
      <w:r>
        <w:rPr>
          <w:sz w:val="18"/>
        </w:rPr>
        <w:t>useful</w:t>
      </w:r>
    </w:p>
    <w:p>
      <w:pPr>
        <w:pStyle w:val="ListParagraph"/>
        <w:numPr>
          <w:ilvl w:val="1"/>
          <w:numId w:val="76"/>
        </w:numPr>
        <w:tabs>
          <w:tab w:pos="1643" w:val="left" w:leader="none"/>
        </w:tabs>
        <w:spacing w:line="240" w:lineRule="auto" w:before="1" w:after="0"/>
        <w:ind w:left="1491" w:right="3619" w:firstLine="0"/>
        <w:jc w:val="left"/>
        <w:rPr>
          <w:sz w:val="18"/>
        </w:rPr>
      </w:pPr>
      <w:r>
        <w:rPr/>
        <w:drawing>
          <wp:anchor distT="0" distB="0" distL="0" distR="0" allowOverlap="1" layoutInCell="1" locked="0" behindDoc="0" simplePos="0" relativeHeight="15848960">
            <wp:simplePos x="0" y="0"/>
            <wp:positionH relativeFrom="page">
              <wp:posOffset>1102145</wp:posOffset>
            </wp:positionH>
            <wp:positionV relativeFrom="paragraph">
              <wp:posOffset>45484</wp:posOffset>
            </wp:positionV>
            <wp:extent cx="58380" cy="72151"/>
            <wp:effectExtent l="0" t="0" r="0" b="0"/>
            <wp:wrapNone/>
            <wp:docPr id="965" name="image13.png"/>
            <wp:cNvGraphicFramePr>
              <a:graphicFrameLocks noChangeAspect="1"/>
            </wp:cNvGraphicFramePr>
            <a:graphic>
              <a:graphicData uri="http://schemas.openxmlformats.org/drawingml/2006/picture">
                <pic:pic>
                  <pic:nvPicPr>
                    <pic:cNvPr id="966"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849472">
            <wp:simplePos x="0" y="0"/>
            <wp:positionH relativeFrom="page">
              <wp:posOffset>1102145</wp:posOffset>
            </wp:positionH>
            <wp:positionV relativeFrom="paragraph">
              <wp:posOffset>185693</wp:posOffset>
            </wp:positionV>
            <wp:extent cx="58380" cy="72150"/>
            <wp:effectExtent l="0" t="0" r="0" b="0"/>
            <wp:wrapNone/>
            <wp:docPr id="967" name="image13.png"/>
            <wp:cNvGraphicFramePr>
              <a:graphicFrameLocks noChangeAspect="1"/>
            </wp:cNvGraphicFramePr>
            <a:graphic>
              <a:graphicData uri="http://schemas.openxmlformats.org/drawingml/2006/picture">
                <pic:pic>
                  <pic:nvPicPr>
                    <pic:cNvPr id="968" name="image13.png"/>
                    <pic:cNvPicPr/>
                  </pic:nvPicPr>
                  <pic:blipFill>
                    <a:blip r:embed="rId41" cstate="print"/>
                    <a:stretch>
                      <a:fillRect/>
                    </a:stretch>
                  </pic:blipFill>
                  <pic:spPr>
                    <a:xfrm>
                      <a:off x="0" y="0"/>
                      <a:ext cx="58380" cy="72150"/>
                    </a:xfrm>
                    <a:prstGeom prst="rect">
                      <a:avLst/>
                    </a:prstGeom>
                  </pic:spPr>
                </pic:pic>
              </a:graphicData>
            </a:graphic>
          </wp:anchor>
        </w:drawing>
      </w:r>
      <w:r>
        <w:rPr>
          <w:sz w:val="18"/>
        </w:rPr>
        <w:t>Our</w:t>
      </w:r>
      <w:r>
        <w:rPr>
          <w:spacing w:val="-6"/>
          <w:sz w:val="18"/>
        </w:rPr>
        <w:t> </w:t>
      </w:r>
      <w:r>
        <w:rPr>
          <w:sz w:val="18"/>
        </w:rPr>
        <w:t>practice/</w:t>
      </w:r>
      <w:r>
        <w:rPr>
          <w:spacing w:val="-3"/>
          <w:sz w:val="18"/>
        </w:rPr>
        <w:t> </w:t>
      </w:r>
      <w:r>
        <w:rPr>
          <w:sz w:val="18"/>
        </w:rPr>
        <w:t>service</w:t>
      </w:r>
      <w:r>
        <w:rPr>
          <w:spacing w:val="-3"/>
          <w:sz w:val="18"/>
        </w:rPr>
        <w:t> </w:t>
      </w:r>
      <w:r>
        <w:rPr>
          <w:sz w:val="18"/>
        </w:rPr>
        <w:t>did</w:t>
      </w:r>
      <w:r>
        <w:rPr>
          <w:spacing w:val="-6"/>
          <w:sz w:val="18"/>
        </w:rPr>
        <w:t> </w:t>
      </w:r>
      <w:r>
        <w:rPr>
          <w:sz w:val="18"/>
        </w:rPr>
        <w:t>not</w:t>
      </w:r>
      <w:r>
        <w:rPr>
          <w:spacing w:val="-5"/>
          <w:sz w:val="18"/>
        </w:rPr>
        <w:t> </w:t>
      </w:r>
      <w:r>
        <w:rPr>
          <w:sz w:val="18"/>
        </w:rPr>
        <w:t>receive</w:t>
      </w:r>
      <w:r>
        <w:rPr>
          <w:spacing w:val="-3"/>
          <w:sz w:val="18"/>
        </w:rPr>
        <w:t> </w:t>
      </w:r>
      <w:r>
        <w:rPr>
          <w:sz w:val="18"/>
        </w:rPr>
        <w:t>any</w:t>
      </w:r>
      <w:r>
        <w:rPr>
          <w:spacing w:val="-4"/>
          <w:sz w:val="18"/>
        </w:rPr>
        <w:t> </w:t>
      </w:r>
      <w:r>
        <w:rPr>
          <w:sz w:val="18"/>
        </w:rPr>
        <w:t>benchmarking</w:t>
      </w:r>
      <w:r>
        <w:rPr>
          <w:spacing w:val="-5"/>
          <w:sz w:val="18"/>
        </w:rPr>
        <w:t> </w:t>
      </w:r>
      <w:r>
        <w:rPr>
          <w:sz w:val="18"/>
        </w:rPr>
        <w:t>reports</w:t>
      </w:r>
      <w:r>
        <w:rPr>
          <w:spacing w:val="-47"/>
          <w:sz w:val="18"/>
        </w:rPr>
        <w:t> </w:t>
      </w:r>
      <w:r>
        <w:rPr>
          <w:sz w:val="18"/>
        </w:rPr>
        <w:t>6 Can’t</w:t>
      </w:r>
      <w:r>
        <w:rPr>
          <w:spacing w:val="-2"/>
          <w:sz w:val="18"/>
        </w:rPr>
        <w:t> </w:t>
      </w:r>
      <w:r>
        <w:rPr>
          <w:sz w:val="18"/>
        </w:rPr>
        <w:t>say/don’t</w:t>
      </w:r>
      <w:r>
        <w:rPr>
          <w:spacing w:val="-2"/>
          <w:sz w:val="18"/>
        </w:rPr>
        <w:t> </w:t>
      </w:r>
      <w:r>
        <w:rPr>
          <w:sz w:val="18"/>
        </w:rPr>
        <w:t>know</w:t>
      </w:r>
    </w:p>
    <w:p>
      <w:pPr>
        <w:pStyle w:val="BodyText"/>
        <w:spacing w:before="11"/>
        <w:rPr>
          <w:sz w:val="22"/>
        </w:rPr>
      </w:pPr>
    </w:p>
    <w:p>
      <w:pPr>
        <w:pStyle w:val="ListParagraph"/>
        <w:numPr>
          <w:ilvl w:val="0"/>
          <w:numId w:val="76"/>
        </w:numPr>
        <w:tabs>
          <w:tab w:pos="424" w:val="left" w:leader="none"/>
        </w:tabs>
        <w:spacing w:line="240" w:lineRule="auto" w:before="0" w:after="0"/>
        <w:ind w:left="423" w:right="0" w:hanging="284"/>
        <w:jc w:val="left"/>
        <w:rPr>
          <w:sz w:val="18"/>
        </w:rPr>
      </w:pPr>
      <w:r>
        <w:rPr>
          <w:sz w:val="18"/>
        </w:rPr>
        <w:t>How</w:t>
      </w:r>
      <w:r>
        <w:rPr>
          <w:spacing w:val="-4"/>
          <w:sz w:val="18"/>
        </w:rPr>
        <w:t> </w:t>
      </w:r>
      <w:r>
        <w:rPr>
          <w:sz w:val="18"/>
        </w:rPr>
        <w:t>could</w:t>
      </w:r>
      <w:r>
        <w:rPr>
          <w:spacing w:val="-3"/>
          <w:sz w:val="18"/>
        </w:rPr>
        <w:t> </w:t>
      </w:r>
      <w:r>
        <w:rPr>
          <w:sz w:val="18"/>
        </w:rPr>
        <w:t>the</w:t>
      </w:r>
      <w:r>
        <w:rPr>
          <w:spacing w:val="-2"/>
          <w:sz w:val="18"/>
        </w:rPr>
        <w:t> </w:t>
      </w:r>
      <w:r>
        <w:rPr>
          <w:sz w:val="18"/>
        </w:rPr>
        <w:t>reports</w:t>
      </w:r>
      <w:r>
        <w:rPr>
          <w:spacing w:val="-3"/>
          <w:sz w:val="18"/>
        </w:rPr>
        <w:t> </w:t>
      </w:r>
      <w:r>
        <w:rPr>
          <w:sz w:val="18"/>
        </w:rPr>
        <w:t>be</w:t>
      </w:r>
      <w:r>
        <w:rPr>
          <w:spacing w:val="-3"/>
          <w:sz w:val="18"/>
        </w:rPr>
        <w:t> </w:t>
      </w:r>
      <w:r>
        <w:rPr>
          <w:sz w:val="18"/>
        </w:rPr>
        <w:t>made</w:t>
      </w:r>
      <w:r>
        <w:rPr>
          <w:spacing w:val="-1"/>
          <w:sz w:val="18"/>
        </w:rPr>
        <w:t> </w:t>
      </w:r>
      <w:r>
        <w:rPr>
          <w:sz w:val="18"/>
        </w:rPr>
        <w:t>more</w:t>
      </w:r>
      <w:r>
        <w:rPr>
          <w:spacing w:val="-3"/>
          <w:sz w:val="18"/>
        </w:rPr>
        <w:t> </w:t>
      </w:r>
      <w:r>
        <w:rPr>
          <w:sz w:val="18"/>
        </w:rPr>
        <w:t>useful</w:t>
      </w:r>
      <w:r>
        <w:rPr>
          <w:spacing w:val="-2"/>
          <w:sz w:val="18"/>
        </w:rPr>
        <w:t> </w:t>
      </w:r>
      <w:r>
        <w:rPr>
          <w:sz w:val="18"/>
        </w:rPr>
        <w:t>for</w:t>
      </w:r>
      <w:r>
        <w:rPr>
          <w:spacing w:val="-3"/>
          <w:sz w:val="18"/>
        </w:rPr>
        <w:t> </w:t>
      </w:r>
      <w:r>
        <w:rPr>
          <w:sz w:val="18"/>
        </w:rPr>
        <w:t>your</w:t>
      </w:r>
      <w:r>
        <w:rPr>
          <w:spacing w:val="-5"/>
          <w:sz w:val="18"/>
        </w:rPr>
        <w:t> </w:t>
      </w:r>
      <w:r>
        <w:rPr>
          <w:sz w:val="18"/>
        </w:rPr>
        <w:t>practice (e.g.</w:t>
      </w:r>
      <w:r>
        <w:rPr>
          <w:spacing w:val="-5"/>
          <w:sz w:val="18"/>
        </w:rPr>
        <w:t> </w:t>
      </w:r>
      <w:r>
        <w:rPr>
          <w:sz w:val="18"/>
        </w:rPr>
        <w:t>frequency,</w:t>
      </w:r>
      <w:r>
        <w:rPr>
          <w:spacing w:val="-5"/>
          <w:sz w:val="18"/>
        </w:rPr>
        <w:t> </w:t>
      </w:r>
      <w:r>
        <w:rPr>
          <w:sz w:val="18"/>
        </w:rPr>
        <w:t>content,</w:t>
      </w:r>
      <w:r>
        <w:rPr>
          <w:spacing w:val="-5"/>
          <w:sz w:val="18"/>
        </w:rPr>
        <w:t> </w:t>
      </w:r>
      <w:r>
        <w:rPr>
          <w:sz w:val="18"/>
        </w:rPr>
        <w:t>comparisons)?</w:t>
      </w:r>
    </w:p>
    <w:p>
      <w:pPr>
        <w:pStyle w:val="BodyText"/>
      </w:pPr>
    </w:p>
    <w:p>
      <w:pPr>
        <w:pStyle w:val="BodyText"/>
        <w:spacing w:before="4"/>
        <w:rPr>
          <w:sz w:val="12"/>
        </w:rPr>
      </w:pPr>
      <w:r>
        <w:rPr/>
        <w:pict>
          <v:rect style="position:absolute;margin-left:34.560001pt;margin-top:8.756445pt;width:526.3pt;height:.48pt;mso-position-horizontal-relative:page;mso-position-vertical-relative:paragraph;z-index:-15610880;mso-wrap-distance-left:0;mso-wrap-distance-right:0" id="docshape164" filled="true" fillcolor="#d9d9d9" stroked="false">
            <v:fill type="solid"/>
            <w10:wrap type="topAndBottom"/>
          </v:rect>
        </w:pict>
      </w:r>
    </w:p>
    <w:p>
      <w:pPr>
        <w:spacing w:after="0"/>
        <w:rPr>
          <w:sz w:val="12"/>
        </w:rPr>
        <w:sectPr>
          <w:pgSz w:w="11910" w:h="16840"/>
          <w:pgMar w:header="0" w:footer="948" w:top="860" w:bottom="1140" w:left="580" w:right="480"/>
        </w:sectPr>
      </w:pPr>
    </w:p>
    <w:p>
      <w:pPr>
        <w:pStyle w:val="Heading4"/>
        <w:spacing w:before="76"/>
        <w:ind w:left="1179"/>
      </w:pPr>
      <w:r>
        <w:rPr/>
        <w:pict>
          <v:shape style="position:absolute;margin-left:36pt;margin-top:26.498192pt;width:523.85pt;height:259.45pt;mso-position-horizontal-relative:page;mso-position-vertical-relative:paragraph;z-index:-15607296;mso-wrap-distance-left:0;mso-wrap-distance-right:0" type="#_x0000_t202" id="docshape165" filled="true" fillcolor="#f1f1f1" stroked="false">
            <v:textbox inset="0,0,0,0">
              <w:txbxContent>
                <w:p>
                  <w:pPr>
                    <w:spacing w:line="273" w:lineRule="auto" w:before="76"/>
                    <w:ind w:left="148" w:right="304" w:firstLine="0"/>
                    <w:jc w:val="left"/>
                    <w:rPr>
                      <w:color w:val="000000"/>
                      <w:sz w:val="18"/>
                    </w:rPr>
                  </w:pPr>
                  <w:r>
                    <w:rPr>
                      <w:color w:val="000000"/>
                      <w:sz w:val="18"/>
                    </w:rPr>
                    <w:t>This survey asks questions about the implementation of the Health Care Homes (HCH) program in your primary care</w:t>
                  </w:r>
                  <w:r>
                    <w:rPr>
                      <w:color w:val="000000"/>
                      <w:spacing w:val="-47"/>
                      <w:sz w:val="18"/>
                    </w:rPr>
                    <w:t> </w:t>
                  </w:r>
                  <w:r>
                    <w:rPr>
                      <w:color w:val="000000"/>
                      <w:sz w:val="18"/>
                    </w:rPr>
                    <w:t>practice/</w:t>
                  </w:r>
                  <w:r>
                    <w:rPr>
                      <w:color w:val="000000"/>
                      <w:spacing w:val="-1"/>
                      <w:sz w:val="18"/>
                    </w:rPr>
                    <w:t> </w:t>
                  </w:r>
                  <w:r>
                    <w:rPr>
                      <w:color w:val="000000"/>
                      <w:sz w:val="18"/>
                    </w:rPr>
                    <w:t>service.</w:t>
                  </w:r>
                </w:p>
                <w:p>
                  <w:pPr>
                    <w:spacing w:line="276" w:lineRule="auto" w:before="124"/>
                    <w:ind w:left="148" w:right="192" w:firstLine="0"/>
                    <w:jc w:val="left"/>
                    <w:rPr>
                      <w:color w:val="000000"/>
                      <w:sz w:val="18"/>
                    </w:rPr>
                  </w:pPr>
                  <w:r>
                    <w:rPr>
                      <w:color w:val="000000"/>
                      <w:sz w:val="18"/>
                    </w:rPr>
                    <w:t>A link has been provided to the survey. You may return to this link on several occasions. The survey should be</w:t>
                  </w:r>
                  <w:r>
                    <w:rPr>
                      <w:color w:val="000000"/>
                      <w:spacing w:val="-47"/>
                      <w:sz w:val="18"/>
                    </w:rPr>
                    <w:t> </w:t>
                  </w:r>
                  <w:r>
                    <w:rPr>
                      <w:color w:val="000000"/>
                      <w:sz w:val="18"/>
                    </w:rPr>
                    <w:t>completed</w:t>
                  </w:r>
                  <w:r>
                    <w:rPr>
                      <w:color w:val="000000"/>
                      <w:spacing w:val="-2"/>
                      <w:sz w:val="18"/>
                    </w:rPr>
                    <w:t> </w:t>
                  </w:r>
                  <w:r>
                    <w:rPr>
                      <w:color w:val="000000"/>
                      <w:sz w:val="18"/>
                    </w:rPr>
                    <w:t>by</w:t>
                  </w:r>
                  <w:r>
                    <w:rPr>
                      <w:color w:val="000000"/>
                      <w:spacing w:val="-1"/>
                      <w:sz w:val="18"/>
                    </w:rPr>
                    <w:t> </w:t>
                  </w:r>
                  <w:r>
                    <w:rPr>
                      <w:color w:val="000000"/>
                      <w:sz w:val="18"/>
                    </w:rPr>
                    <w:t>30 November</w:t>
                  </w:r>
                  <w:r>
                    <w:rPr>
                      <w:color w:val="000000"/>
                      <w:spacing w:val="1"/>
                      <w:sz w:val="18"/>
                    </w:rPr>
                    <w:t> </w:t>
                  </w:r>
                  <w:r>
                    <w:rPr>
                      <w:color w:val="000000"/>
                      <w:sz w:val="18"/>
                    </w:rPr>
                    <w:t>2020</w:t>
                  </w:r>
                  <w:r>
                    <w:rPr>
                      <w:color w:val="000000"/>
                      <w:spacing w:val="2"/>
                      <w:sz w:val="18"/>
                    </w:rPr>
                    <w:t> </w:t>
                  </w:r>
                  <w:r>
                    <w:rPr>
                      <w:color w:val="000000"/>
                      <w:sz w:val="18"/>
                    </w:rPr>
                    <w:t>(Round 5).</w:t>
                  </w:r>
                </w:p>
                <w:p>
                  <w:pPr>
                    <w:spacing w:line="276" w:lineRule="auto" w:before="121"/>
                    <w:ind w:left="148" w:right="192" w:firstLine="0"/>
                    <w:jc w:val="left"/>
                    <w:rPr>
                      <w:color w:val="000000"/>
                      <w:sz w:val="18"/>
                    </w:rPr>
                  </w:pPr>
                  <w:r>
                    <w:rPr>
                      <w:color w:val="000000"/>
                      <w:sz w:val="18"/>
                    </w:rPr>
                    <w:t>The information that you provide will be kept strictly confidential and will not be used for any other purpose other</w:t>
                  </w:r>
                  <w:r>
                    <w:rPr>
                      <w:color w:val="000000"/>
                      <w:spacing w:val="1"/>
                      <w:sz w:val="18"/>
                    </w:rPr>
                    <w:t> </w:t>
                  </w:r>
                  <w:r>
                    <w:rPr>
                      <w:color w:val="000000"/>
                      <w:sz w:val="18"/>
                    </w:rPr>
                    <w:t>than</w:t>
                  </w:r>
                  <w:r>
                    <w:rPr>
                      <w:color w:val="000000"/>
                      <w:spacing w:val="-4"/>
                      <w:sz w:val="18"/>
                    </w:rPr>
                    <w:t> </w:t>
                  </w:r>
                  <w:r>
                    <w:rPr>
                      <w:color w:val="000000"/>
                      <w:sz w:val="18"/>
                    </w:rPr>
                    <w:t>the</w:t>
                  </w:r>
                  <w:r>
                    <w:rPr>
                      <w:color w:val="000000"/>
                      <w:spacing w:val="-3"/>
                      <w:sz w:val="18"/>
                    </w:rPr>
                    <w:t> </w:t>
                  </w:r>
                  <w:r>
                    <w:rPr>
                      <w:color w:val="000000"/>
                      <w:sz w:val="18"/>
                    </w:rPr>
                    <w:t>evaluation</w:t>
                  </w:r>
                  <w:r>
                    <w:rPr>
                      <w:color w:val="000000"/>
                      <w:spacing w:val="-3"/>
                      <w:sz w:val="18"/>
                    </w:rPr>
                    <w:t> </w:t>
                  </w:r>
                  <w:r>
                    <w:rPr>
                      <w:color w:val="000000"/>
                      <w:sz w:val="18"/>
                    </w:rPr>
                    <w:t>of</w:t>
                  </w:r>
                  <w:r>
                    <w:rPr>
                      <w:color w:val="000000"/>
                      <w:spacing w:val="-5"/>
                      <w:sz w:val="18"/>
                    </w:rPr>
                    <w:t> </w:t>
                  </w:r>
                  <w:r>
                    <w:rPr>
                      <w:color w:val="000000"/>
                      <w:sz w:val="18"/>
                    </w:rPr>
                    <w:t>the</w:t>
                  </w:r>
                  <w:r>
                    <w:rPr>
                      <w:color w:val="000000"/>
                      <w:spacing w:val="-5"/>
                      <w:sz w:val="18"/>
                    </w:rPr>
                    <w:t> </w:t>
                  </w:r>
                  <w:r>
                    <w:rPr>
                      <w:color w:val="000000"/>
                      <w:sz w:val="18"/>
                    </w:rPr>
                    <w:t>HCH</w:t>
                  </w:r>
                  <w:r>
                    <w:rPr>
                      <w:color w:val="000000"/>
                      <w:spacing w:val="-3"/>
                      <w:sz w:val="18"/>
                    </w:rPr>
                    <w:t> </w:t>
                  </w:r>
                  <w:r>
                    <w:rPr>
                      <w:color w:val="000000"/>
                      <w:sz w:val="18"/>
                    </w:rPr>
                    <w:t>program.</w:t>
                  </w:r>
                  <w:r>
                    <w:rPr>
                      <w:color w:val="000000"/>
                      <w:spacing w:val="2"/>
                      <w:sz w:val="18"/>
                    </w:rPr>
                    <w:t> </w:t>
                  </w:r>
                  <w:r>
                    <w:rPr>
                      <w:color w:val="000000"/>
                      <w:sz w:val="18"/>
                    </w:rPr>
                    <w:t>All</w:t>
                  </w:r>
                  <w:r>
                    <w:rPr>
                      <w:color w:val="000000"/>
                      <w:spacing w:val="-3"/>
                      <w:sz w:val="18"/>
                    </w:rPr>
                    <w:t> </w:t>
                  </w:r>
                  <w:r>
                    <w:rPr>
                      <w:color w:val="000000"/>
                      <w:sz w:val="18"/>
                    </w:rPr>
                    <w:t>reports</w:t>
                  </w:r>
                  <w:r>
                    <w:rPr>
                      <w:color w:val="000000"/>
                      <w:spacing w:val="-4"/>
                      <w:sz w:val="18"/>
                    </w:rPr>
                    <w:t> </w:t>
                  </w:r>
                  <w:r>
                    <w:rPr>
                      <w:color w:val="000000"/>
                      <w:sz w:val="18"/>
                    </w:rPr>
                    <w:t>of</w:t>
                  </w:r>
                  <w:r>
                    <w:rPr>
                      <w:color w:val="000000"/>
                      <w:spacing w:val="-4"/>
                      <w:sz w:val="18"/>
                    </w:rPr>
                    <w:t> </w:t>
                  </w:r>
                  <w:r>
                    <w:rPr>
                      <w:color w:val="000000"/>
                      <w:sz w:val="18"/>
                    </w:rPr>
                    <w:t>the</w:t>
                  </w:r>
                  <w:r>
                    <w:rPr>
                      <w:color w:val="000000"/>
                      <w:spacing w:val="-3"/>
                      <w:sz w:val="18"/>
                    </w:rPr>
                    <w:t> </w:t>
                  </w:r>
                  <w:r>
                    <w:rPr>
                      <w:color w:val="000000"/>
                      <w:sz w:val="18"/>
                    </w:rPr>
                    <w:t>evaluation</w:t>
                  </w:r>
                  <w:r>
                    <w:rPr>
                      <w:color w:val="000000"/>
                      <w:spacing w:val="-3"/>
                      <w:sz w:val="18"/>
                    </w:rPr>
                    <w:t> </w:t>
                  </w:r>
                  <w:r>
                    <w:rPr>
                      <w:color w:val="000000"/>
                      <w:sz w:val="18"/>
                    </w:rPr>
                    <w:t>will</w:t>
                  </w:r>
                  <w:r>
                    <w:rPr>
                      <w:color w:val="000000"/>
                      <w:spacing w:val="-4"/>
                      <w:sz w:val="18"/>
                    </w:rPr>
                    <w:t> </w:t>
                  </w:r>
                  <w:r>
                    <w:rPr>
                      <w:color w:val="000000"/>
                      <w:sz w:val="18"/>
                    </w:rPr>
                    <w:t>only</w:t>
                  </w:r>
                  <w:r>
                    <w:rPr>
                      <w:color w:val="000000"/>
                      <w:spacing w:val="-4"/>
                      <w:sz w:val="18"/>
                    </w:rPr>
                    <w:t> </w:t>
                  </w:r>
                  <w:r>
                    <w:rPr>
                      <w:color w:val="000000"/>
                      <w:sz w:val="18"/>
                    </w:rPr>
                    <w:t>contain</w:t>
                  </w:r>
                  <w:r>
                    <w:rPr>
                      <w:color w:val="000000"/>
                      <w:spacing w:val="-3"/>
                      <w:sz w:val="18"/>
                    </w:rPr>
                    <w:t> </w:t>
                  </w:r>
                  <w:r>
                    <w:rPr>
                      <w:color w:val="000000"/>
                      <w:sz w:val="18"/>
                    </w:rPr>
                    <w:t>descriptive</w:t>
                  </w:r>
                  <w:r>
                    <w:rPr>
                      <w:color w:val="000000"/>
                      <w:spacing w:val="-5"/>
                      <w:sz w:val="18"/>
                    </w:rPr>
                    <w:t> </w:t>
                  </w:r>
                  <w:r>
                    <w:rPr>
                      <w:color w:val="000000"/>
                      <w:sz w:val="18"/>
                    </w:rPr>
                    <w:t>information</w:t>
                  </w:r>
                  <w:r>
                    <w:rPr>
                      <w:color w:val="000000"/>
                      <w:spacing w:val="-5"/>
                      <w:sz w:val="18"/>
                    </w:rPr>
                    <w:t> </w:t>
                  </w:r>
                  <w:r>
                    <w:rPr>
                      <w:color w:val="000000"/>
                      <w:sz w:val="18"/>
                    </w:rPr>
                    <w:t>about</w:t>
                  </w:r>
                  <w:r>
                    <w:rPr>
                      <w:color w:val="000000"/>
                      <w:spacing w:val="1"/>
                      <w:sz w:val="18"/>
                    </w:rPr>
                    <w:t> </w:t>
                  </w:r>
                  <w:r>
                    <w:rPr>
                      <w:color w:val="000000"/>
                      <w:sz w:val="18"/>
                    </w:rPr>
                    <w:t>individual practices/ services (e.g. geographic location in summary categories such as rural, remote, very remote).</w:t>
                  </w:r>
                  <w:r>
                    <w:rPr>
                      <w:color w:val="000000"/>
                      <w:spacing w:val="1"/>
                      <w:sz w:val="18"/>
                    </w:rPr>
                    <w:t> </w:t>
                  </w:r>
                  <w:r>
                    <w:rPr>
                      <w:color w:val="000000"/>
                      <w:sz w:val="18"/>
                    </w:rPr>
                    <w:t>No</w:t>
                  </w:r>
                  <w:r>
                    <w:rPr>
                      <w:color w:val="000000"/>
                      <w:spacing w:val="-1"/>
                      <w:sz w:val="18"/>
                    </w:rPr>
                    <w:t> </w:t>
                  </w:r>
                  <w:r>
                    <w:rPr>
                      <w:color w:val="000000"/>
                      <w:sz w:val="18"/>
                    </w:rPr>
                    <w:t>ratings</w:t>
                  </w:r>
                  <w:r>
                    <w:rPr>
                      <w:color w:val="000000"/>
                      <w:spacing w:val="-1"/>
                      <w:sz w:val="18"/>
                    </w:rPr>
                    <w:t> </w:t>
                  </w:r>
                  <w:r>
                    <w:rPr>
                      <w:color w:val="000000"/>
                      <w:sz w:val="18"/>
                    </w:rPr>
                    <w:t>or views</w:t>
                  </w:r>
                  <w:r>
                    <w:rPr>
                      <w:color w:val="000000"/>
                      <w:spacing w:val="-2"/>
                      <w:sz w:val="18"/>
                    </w:rPr>
                    <w:t> </w:t>
                  </w:r>
                  <w:r>
                    <w:rPr>
                      <w:color w:val="000000"/>
                      <w:sz w:val="18"/>
                    </w:rPr>
                    <w:t>will</w:t>
                  </w:r>
                  <w:r>
                    <w:rPr>
                      <w:color w:val="000000"/>
                      <w:spacing w:val="-1"/>
                      <w:sz w:val="18"/>
                    </w:rPr>
                    <w:t> </w:t>
                  </w:r>
                  <w:r>
                    <w:rPr>
                      <w:color w:val="000000"/>
                      <w:sz w:val="18"/>
                    </w:rPr>
                    <w:t>be</w:t>
                  </w:r>
                  <w:r>
                    <w:rPr>
                      <w:color w:val="000000"/>
                      <w:spacing w:val="-2"/>
                      <w:sz w:val="18"/>
                    </w:rPr>
                    <w:t> </w:t>
                  </w:r>
                  <w:r>
                    <w:rPr>
                      <w:color w:val="000000"/>
                      <w:sz w:val="18"/>
                    </w:rPr>
                    <w:t>attributed</w:t>
                  </w:r>
                  <w:r>
                    <w:rPr>
                      <w:color w:val="000000"/>
                      <w:spacing w:val="-2"/>
                      <w:sz w:val="18"/>
                    </w:rPr>
                    <w:t> </w:t>
                  </w:r>
                  <w:r>
                    <w:rPr>
                      <w:color w:val="000000"/>
                      <w:sz w:val="18"/>
                    </w:rPr>
                    <w:t>to</w:t>
                  </w:r>
                  <w:r>
                    <w:rPr>
                      <w:color w:val="000000"/>
                      <w:spacing w:val="-1"/>
                      <w:sz w:val="18"/>
                    </w:rPr>
                    <w:t> </w:t>
                  </w:r>
                  <w:r>
                    <w:rPr>
                      <w:color w:val="000000"/>
                      <w:sz w:val="18"/>
                    </w:rPr>
                    <w:t>any</w:t>
                  </w:r>
                  <w:r>
                    <w:rPr>
                      <w:color w:val="000000"/>
                      <w:spacing w:val="-3"/>
                      <w:sz w:val="18"/>
                    </w:rPr>
                    <w:t> </w:t>
                  </w:r>
                  <w:r>
                    <w:rPr>
                      <w:color w:val="000000"/>
                      <w:sz w:val="18"/>
                    </w:rPr>
                    <w:t>individual</w:t>
                  </w:r>
                  <w:r>
                    <w:rPr>
                      <w:color w:val="000000"/>
                      <w:spacing w:val="-1"/>
                      <w:sz w:val="18"/>
                    </w:rPr>
                    <w:t> </w:t>
                  </w:r>
                  <w:r>
                    <w:rPr>
                      <w:color w:val="000000"/>
                      <w:sz w:val="18"/>
                    </w:rPr>
                    <w:t>practice/ service.</w:t>
                  </w:r>
                </w:p>
                <w:p>
                  <w:pPr>
                    <w:spacing w:line="276" w:lineRule="auto" w:before="120"/>
                    <w:ind w:left="148" w:right="192" w:firstLine="0"/>
                    <w:jc w:val="left"/>
                    <w:rPr>
                      <w:color w:val="000000"/>
                      <w:sz w:val="18"/>
                    </w:rPr>
                  </w:pPr>
                  <w:r>
                    <w:rPr>
                      <w:color w:val="000000"/>
                      <w:sz w:val="18"/>
                    </w:rPr>
                    <w:t>The evaluation is being conducted by Health Policy Analysis, on behalf of the Commonwealth Department of</w:t>
                  </w:r>
                  <w:r>
                    <w:rPr>
                      <w:color w:val="000000"/>
                      <w:spacing w:val="1"/>
                      <w:sz w:val="18"/>
                    </w:rPr>
                    <w:t> </w:t>
                  </w:r>
                  <w:r>
                    <w:rPr>
                      <w:color w:val="000000"/>
                      <w:sz w:val="18"/>
                    </w:rPr>
                    <w:t>Health.</w:t>
                  </w:r>
                  <w:r>
                    <w:rPr>
                      <w:color w:val="000000"/>
                      <w:spacing w:val="-5"/>
                      <w:sz w:val="18"/>
                    </w:rPr>
                    <w:t> </w:t>
                  </w:r>
                  <w:r>
                    <w:rPr>
                      <w:color w:val="000000"/>
                      <w:sz w:val="18"/>
                    </w:rPr>
                    <w:t>If</w:t>
                  </w:r>
                  <w:r>
                    <w:rPr>
                      <w:color w:val="000000"/>
                      <w:spacing w:val="-2"/>
                      <w:sz w:val="18"/>
                    </w:rPr>
                    <w:t> </w:t>
                  </w:r>
                  <w:r>
                    <w:rPr>
                      <w:color w:val="000000"/>
                      <w:sz w:val="18"/>
                    </w:rPr>
                    <w:t>you</w:t>
                  </w:r>
                  <w:r>
                    <w:rPr>
                      <w:color w:val="000000"/>
                      <w:spacing w:val="-2"/>
                      <w:sz w:val="18"/>
                    </w:rPr>
                    <w:t> </w:t>
                  </w:r>
                  <w:r>
                    <w:rPr>
                      <w:color w:val="000000"/>
                      <w:sz w:val="18"/>
                    </w:rPr>
                    <w:t>would</w:t>
                  </w:r>
                  <w:r>
                    <w:rPr>
                      <w:color w:val="000000"/>
                      <w:spacing w:val="-4"/>
                      <w:sz w:val="18"/>
                    </w:rPr>
                    <w:t> </w:t>
                  </w:r>
                  <w:r>
                    <w:rPr>
                      <w:color w:val="000000"/>
                      <w:sz w:val="18"/>
                    </w:rPr>
                    <w:t>like</w:t>
                  </w:r>
                  <w:r>
                    <w:rPr>
                      <w:color w:val="000000"/>
                      <w:spacing w:val="-4"/>
                      <w:sz w:val="18"/>
                    </w:rPr>
                    <w:t> </w:t>
                  </w:r>
                  <w:r>
                    <w:rPr>
                      <w:color w:val="000000"/>
                      <w:sz w:val="18"/>
                    </w:rPr>
                    <w:t>any</w:t>
                  </w:r>
                  <w:r>
                    <w:rPr>
                      <w:color w:val="000000"/>
                      <w:spacing w:val="-5"/>
                      <w:sz w:val="18"/>
                    </w:rPr>
                    <w:t> </w:t>
                  </w:r>
                  <w:r>
                    <w:rPr>
                      <w:color w:val="000000"/>
                      <w:sz w:val="18"/>
                    </w:rPr>
                    <w:t>further</w:t>
                  </w:r>
                  <w:r>
                    <w:rPr>
                      <w:color w:val="000000"/>
                      <w:spacing w:val="-3"/>
                      <w:sz w:val="18"/>
                    </w:rPr>
                    <w:t> </w:t>
                  </w:r>
                  <w:r>
                    <w:rPr>
                      <w:color w:val="000000"/>
                      <w:sz w:val="18"/>
                    </w:rPr>
                    <w:t>information</w:t>
                  </w:r>
                  <w:r>
                    <w:rPr>
                      <w:color w:val="000000"/>
                      <w:spacing w:val="-3"/>
                      <w:sz w:val="18"/>
                    </w:rPr>
                    <w:t> </w:t>
                  </w:r>
                  <w:r>
                    <w:rPr>
                      <w:color w:val="000000"/>
                      <w:sz w:val="18"/>
                    </w:rPr>
                    <w:t>about</w:t>
                  </w:r>
                  <w:r>
                    <w:rPr>
                      <w:color w:val="000000"/>
                      <w:spacing w:val="-4"/>
                      <w:sz w:val="18"/>
                    </w:rPr>
                    <w:t> </w:t>
                  </w:r>
                  <w:r>
                    <w:rPr>
                      <w:color w:val="000000"/>
                      <w:sz w:val="18"/>
                    </w:rPr>
                    <w:t>this</w:t>
                  </w:r>
                  <w:r>
                    <w:rPr>
                      <w:color w:val="000000"/>
                      <w:spacing w:val="-3"/>
                      <w:sz w:val="18"/>
                    </w:rPr>
                    <w:t> </w:t>
                  </w:r>
                  <w:r>
                    <w:rPr>
                      <w:color w:val="000000"/>
                      <w:sz w:val="18"/>
                    </w:rPr>
                    <w:t>survey</w:t>
                  </w:r>
                  <w:r>
                    <w:rPr>
                      <w:color w:val="000000"/>
                      <w:spacing w:val="-3"/>
                      <w:sz w:val="18"/>
                    </w:rPr>
                    <w:t> </w:t>
                  </w:r>
                  <w:r>
                    <w:rPr>
                      <w:color w:val="000000"/>
                      <w:sz w:val="18"/>
                    </w:rPr>
                    <w:t>or</w:t>
                  </w:r>
                  <w:r>
                    <w:rPr>
                      <w:color w:val="000000"/>
                      <w:spacing w:val="-3"/>
                      <w:sz w:val="18"/>
                    </w:rPr>
                    <w:t> </w:t>
                  </w:r>
                  <w:r>
                    <w:rPr>
                      <w:color w:val="000000"/>
                      <w:sz w:val="18"/>
                    </w:rPr>
                    <w:t>the</w:t>
                  </w:r>
                  <w:r>
                    <w:rPr>
                      <w:color w:val="000000"/>
                      <w:spacing w:val="-4"/>
                      <w:sz w:val="18"/>
                    </w:rPr>
                    <w:t> </w:t>
                  </w:r>
                  <w:r>
                    <w:rPr>
                      <w:color w:val="000000"/>
                      <w:sz w:val="18"/>
                    </w:rPr>
                    <w:t>evaluation,</w:t>
                  </w:r>
                  <w:r>
                    <w:rPr>
                      <w:color w:val="000000"/>
                      <w:spacing w:val="-4"/>
                      <w:sz w:val="18"/>
                    </w:rPr>
                    <w:t> </w:t>
                  </w:r>
                  <w:r>
                    <w:rPr>
                      <w:color w:val="000000"/>
                      <w:sz w:val="18"/>
                    </w:rPr>
                    <w:t>please</w:t>
                  </w:r>
                  <w:r>
                    <w:rPr>
                      <w:color w:val="000000"/>
                      <w:spacing w:val="-2"/>
                      <w:sz w:val="18"/>
                    </w:rPr>
                    <w:t> </w:t>
                  </w:r>
                  <w:r>
                    <w:rPr>
                      <w:color w:val="000000"/>
                      <w:sz w:val="18"/>
                    </w:rPr>
                    <w:t>contact</w:t>
                  </w:r>
                  <w:r>
                    <w:rPr>
                      <w:color w:val="000000"/>
                      <w:spacing w:val="-5"/>
                      <w:sz w:val="18"/>
                    </w:rPr>
                    <w:t> </w:t>
                  </w:r>
                  <w:r>
                    <w:rPr>
                      <w:color w:val="000000"/>
                      <w:sz w:val="18"/>
                    </w:rPr>
                    <w:t>Health</w:t>
                  </w:r>
                  <w:r>
                    <w:rPr>
                      <w:color w:val="000000"/>
                      <w:spacing w:val="-2"/>
                      <w:sz w:val="18"/>
                    </w:rPr>
                    <w:t> </w:t>
                  </w:r>
                  <w:r>
                    <w:rPr>
                      <w:color w:val="000000"/>
                      <w:sz w:val="18"/>
                    </w:rPr>
                    <w:t>Policy</w:t>
                  </w:r>
                  <w:r>
                    <w:rPr>
                      <w:color w:val="000000"/>
                      <w:spacing w:val="1"/>
                      <w:sz w:val="18"/>
                    </w:rPr>
                    <w:t> </w:t>
                  </w:r>
                  <w:r>
                    <w:rPr>
                      <w:color w:val="000000"/>
                      <w:sz w:val="18"/>
                    </w:rPr>
                    <w:t>Analysis</w:t>
                  </w:r>
                  <w:r>
                    <w:rPr>
                      <w:color w:val="000000"/>
                      <w:spacing w:val="-2"/>
                      <w:sz w:val="18"/>
                    </w:rPr>
                    <w:t> </w:t>
                  </w:r>
                  <w:r>
                    <w:rPr>
                      <w:color w:val="000000"/>
                      <w:sz w:val="18"/>
                    </w:rPr>
                    <w:t>on</w:t>
                  </w:r>
                  <w:r>
                    <w:rPr>
                      <w:color w:val="000000"/>
                      <w:spacing w:val="3"/>
                      <w:sz w:val="18"/>
                    </w:rPr>
                    <w:t> </w:t>
                  </w:r>
                  <w:r>
                    <w:rPr>
                      <w:color w:val="000000"/>
                      <w:sz w:val="18"/>
                    </w:rPr>
                    <w:t>(02)</w:t>
                  </w:r>
                  <w:r>
                    <w:rPr>
                      <w:color w:val="000000"/>
                      <w:spacing w:val="-2"/>
                      <w:sz w:val="18"/>
                    </w:rPr>
                    <w:t> </w:t>
                  </w:r>
                  <w:r>
                    <w:rPr>
                      <w:color w:val="000000"/>
                      <w:sz w:val="18"/>
                    </w:rPr>
                    <w:t>8065</w:t>
                  </w:r>
                  <w:r>
                    <w:rPr>
                      <w:color w:val="000000"/>
                      <w:spacing w:val="-2"/>
                      <w:sz w:val="18"/>
                    </w:rPr>
                    <w:t> </w:t>
                  </w:r>
                  <w:r>
                    <w:rPr>
                      <w:color w:val="000000"/>
                      <w:sz w:val="18"/>
                    </w:rPr>
                    <w:t>6491 or</w:t>
                  </w:r>
                  <w:r>
                    <w:rPr>
                      <w:color w:val="000000"/>
                      <w:spacing w:val="-2"/>
                      <w:sz w:val="18"/>
                    </w:rPr>
                    <w:t> </w:t>
                  </w:r>
                  <w:hyperlink r:id="rId38">
                    <w:r>
                      <w:rPr>
                        <w:color w:val="000000"/>
                        <w:sz w:val="18"/>
                      </w:rPr>
                      <w:t>info@healthpolicy.com.au.</w:t>
                    </w:r>
                  </w:hyperlink>
                </w:p>
                <w:p>
                  <w:pPr>
                    <w:spacing w:line="276" w:lineRule="auto" w:before="120"/>
                    <w:ind w:left="148" w:right="192" w:firstLine="0"/>
                    <w:jc w:val="left"/>
                    <w:rPr>
                      <w:color w:val="000000"/>
                      <w:sz w:val="18"/>
                    </w:rPr>
                  </w:pPr>
                  <w:r>
                    <w:rPr>
                      <w:color w:val="000000"/>
                      <w:sz w:val="18"/>
                    </w:rPr>
                    <w:t>The evaluation of HCH was approved by the Department of Health Human Research Ethics Committee [Project 04-</w:t>
                  </w:r>
                  <w:r>
                    <w:rPr>
                      <w:color w:val="000000"/>
                      <w:spacing w:val="1"/>
                      <w:sz w:val="18"/>
                    </w:rPr>
                    <w:t> </w:t>
                  </w:r>
                  <w:r>
                    <w:rPr>
                      <w:color w:val="000000"/>
                      <w:sz w:val="18"/>
                    </w:rPr>
                    <w:t>2017] in September 2017. This committee subsequently disbanded, and in September 2018, ethical oversight for the</w:t>
                  </w:r>
                  <w:r>
                    <w:rPr>
                      <w:color w:val="000000"/>
                      <w:spacing w:val="1"/>
                      <w:sz w:val="18"/>
                    </w:rPr>
                    <w:t> </w:t>
                  </w:r>
                  <w:r>
                    <w:rPr>
                      <w:color w:val="000000"/>
                      <w:sz w:val="18"/>
                    </w:rPr>
                    <w:t>evaluation</w:t>
                  </w:r>
                  <w:r>
                    <w:rPr>
                      <w:color w:val="000000"/>
                      <w:spacing w:val="-3"/>
                      <w:sz w:val="18"/>
                    </w:rPr>
                    <w:t> </w:t>
                  </w:r>
                  <w:r>
                    <w:rPr>
                      <w:color w:val="000000"/>
                      <w:sz w:val="18"/>
                    </w:rPr>
                    <w:t>was</w:t>
                  </w:r>
                  <w:r>
                    <w:rPr>
                      <w:color w:val="000000"/>
                      <w:spacing w:val="-4"/>
                      <w:sz w:val="18"/>
                    </w:rPr>
                    <w:t> </w:t>
                  </w:r>
                  <w:r>
                    <w:rPr>
                      <w:color w:val="000000"/>
                      <w:sz w:val="18"/>
                    </w:rPr>
                    <w:t>transferred</w:t>
                  </w:r>
                  <w:r>
                    <w:rPr>
                      <w:color w:val="000000"/>
                      <w:spacing w:val="-3"/>
                      <w:sz w:val="18"/>
                    </w:rPr>
                    <w:t> </w:t>
                  </w:r>
                  <w:r>
                    <w:rPr>
                      <w:color w:val="000000"/>
                      <w:sz w:val="18"/>
                    </w:rPr>
                    <w:t>to</w:t>
                  </w:r>
                  <w:r>
                    <w:rPr>
                      <w:color w:val="000000"/>
                      <w:spacing w:val="-4"/>
                      <w:sz w:val="18"/>
                    </w:rPr>
                    <w:t> </w:t>
                  </w:r>
                  <w:r>
                    <w:rPr>
                      <w:color w:val="000000"/>
                      <w:sz w:val="18"/>
                    </w:rPr>
                    <w:t>the</w:t>
                  </w:r>
                  <w:r>
                    <w:rPr>
                      <w:color w:val="000000"/>
                      <w:spacing w:val="2"/>
                      <w:sz w:val="18"/>
                    </w:rPr>
                    <w:t> </w:t>
                  </w:r>
                  <w:r>
                    <w:rPr>
                      <w:color w:val="000000"/>
                      <w:sz w:val="18"/>
                    </w:rPr>
                    <w:t>ACT</w:t>
                  </w:r>
                  <w:r>
                    <w:rPr>
                      <w:color w:val="000000"/>
                      <w:spacing w:val="-5"/>
                      <w:sz w:val="18"/>
                    </w:rPr>
                    <w:t> </w:t>
                  </w:r>
                  <w:r>
                    <w:rPr>
                      <w:color w:val="000000"/>
                      <w:sz w:val="18"/>
                    </w:rPr>
                    <w:t>Health</w:t>
                  </w:r>
                  <w:r>
                    <w:rPr>
                      <w:color w:val="000000"/>
                      <w:spacing w:val="-3"/>
                      <w:sz w:val="18"/>
                    </w:rPr>
                    <w:t> </w:t>
                  </w:r>
                  <w:r>
                    <w:rPr>
                      <w:color w:val="000000"/>
                      <w:sz w:val="18"/>
                    </w:rPr>
                    <w:t>Human</w:t>
                  </w:r>
                  <w:r>
                    <w:rPr>
                      <w:color w:val="000000"/>
                      <w:spacing w:val="-3"/>
                      <w:sz w:val="18"/>
                    </w:rPr>
                    <w:t> </w:t>
                  </w:r>
                  <w:r>
                    <w:rPr>
                      <w:color w:val="000000"/>
                      <w:sz w:val="18"/>
                    </w:rPr>
                    <w:t>Research</w:t>
                  </w:r>
                  <w:r>
                    <w:rPr>
                      <w:color w:val="000000"/>
                      <w:spacing w:val="-2"/>
                      <w:sz w:val="18"/>
                    </w:rPr>
                    <w:t> </w:t>
                  </w:r>
                  <w:r>
                    <w:rPr>
                      <w:color w:val="000000"/>
                      <w:sz w:val="18"/>
                    </w:rPr>
                    <w:t>Ethics</w:t>
                  </w:r>
                  <w:r>
                    <w:rPr>
                      <w:color w:val="000000"/>
                      <w:spacing w:val="-6"/>
                      <w:sz w:val="18"/>
                    </w:rPr>
                    <w:t> </w:t>
                  </w:r>
                  <w:r>
                    <w:rPr>
                      <w:color w:val="000000"/>
                      <w:sz w:val="18"/>
                    </w:rPr>
                    <w:t>Committee.</w:t>
                  </w:r>
                  <w:r>
                    <w:rPr>
                      <w:color w:val="000000"/>
                      <w:spacing w:val="-4"/>
                      <w:sz w:val="18"/>
                    </w:rPr>
                    <w:t> </w:t>
                  </w:r>
                  <w:r>
                    <w:rPr>
                      <w:color w:val="000000"/>
                      <w:sz w:val="18"/>
                    </w:rPr>
                    <w:t>Concerns</w:t>
                  </w:r>
                  <w:r>
                    <w:rPr>
                      <w:color w:val="000000"/>
                      <w:spacing w:val="-4"/>
                      <w:sz w:val="18"/>
                    </w:rPr>
                    <w:t> </w:t>
                  </w:r>
                  <w:r>
                    <w:rPr>
                      <w:color w:val="000000"/>
                      <w:sz w:val="18"/>
                    </w:rPr>
                    <w:t>or</w:t>
                  </w:r>
                  <w:r>
                    <w:rPr>
                      <w:color w:val="000000"/>
                      <w:spacing w:val="-4"/>
                      <w:sz w:val="18"/>
                    </w:rPr>
                    <w:t> </w:t>
                  </w:r>
                  <w:r>
                    <w:rPr>
                      <w:color w:val="000000"/>
                      <w:sz w:val="18"/>
                    </w:rPr>
                    <w:t>complaints</w:t>
                  </w:r>
                  <w:r>
                    <w:rPr>
                      <w:color w:val="000000"/>
                      <w:spacing w:val="-3"/>
                      <w:sz w:val="18"/>
                    </w:rPr>
                    <w:t> </w:t>
                  </w:r>
                  <w:r>
                    <w:rPr>
                      <w:color w:val="000000"/>
                      <w:sz w:val="18"/>
                    </w:rPr>
                    <w:t>about</w:t>
                  </w:r>
                  <w:r>
                    <w:rPr>
                      <w:color w:val="000000"/>
                      <w:spacing w:val="-5"/>
                      <w:sz w:val="18"/>
                    </w:rPr>
                    <w:t> </w:t>
                  </w:r>
                  <w:r>
                    <w:rPr>
                      <w:color w:val="000000"/>
                      <w:sz w:val="18"/>
                    </w:rPr>
                    <w:t>the</w:t>
                  </w:r>
                  <w:r>
                    <w:rPr>
                      <w:color w:val="000000"/>
                      <w:spacing w:val="1"/>
                      <w:sz w:val="18"/>
                    </w:rPr>
                    <w:t> </w:t>
                  </w:r>
                  <w:r>
                    <w:rPr>
                      <w:color w:val="000000"/>
                      <w:sz w:val="18"/>
                    </w:rPr>
                    <w:t>ethical conduct of the evaluation should be made in writing to the ACT Health Human Research Ethics Office</w:t>
                  </w:r>
                  <w:r>
                    <w:rPr>
                      <w:color w:val="000000"/>
                      <w:spacing w:val="1"/>
                      <w:sz w:val="18"/>
                    </w:rPr>
                    <w:t> </w:t>
                  </w:r>
                  <w:r>
                    <w:rPr>
                      <w:color w:val="000000"/>
                      <w:sz w:val="18"/>
                    </w:rPr>
                    <w:t>(ethics@act.gov.au).</w:t>
                  </w:r>
                </w:p>
                <w:p>
                  <w:pPr>
                    <w:spacing w:before="121"/>
                    <w:ind w:left="148" w:right="0" w:firstLine="0"/>
                    <w:jc w:val="left"/>
                    <w:rPr>
                      <w:color w:val="000000"/>
                      <w:sz w:val="18"/>
                    </w:rPr>
                  </w:pPr>
                  <w:r>
                    <w:rPr>
                      <w:color w:val="000000"/>
                      <w:sz w:val="18"/>
                    </w:rPr>
                    <w:t>If</w:t>
                  </w:r>
                  <w:r>
                    <w:rPr>
                      <w:color w:val="000000"/>
                      <w:spacing w:val="-6"/>
                      <w:sz w:val="18"/>
                    </w:rPr>
                    <w:t> </w:t>
                  </w:r>
                  <w:r>
                    <w:rPr>
                      <w:color w:val="000000"/>
                      <w:sz w:val="18"/>
                    </w:rPr>
                    <w:t>you</w:t>
                  </w:r>
                  <w:r>
                    <w:rPr>
                      <w:color w:val="000000"/>
                      <w:spacing w:val="-3"/>
                      <w:sz w:val="18"/>
                    </w:rPr>
                    <w:t> </w:t>
                  </w:r>
                  <w:r>
                    <w:rPr>
                      <w:color w:val="000000"/>
                      <w:sz w:val="18"/>
                    </w:rPr>
                    <w:t>have</w:t>
                  </w:r>
                  <w:r>
                    <w:rPr>
                      <w:color w:val="000000"/>
                      <w:spacing w:val="-3"/>
                      <w:sz w:val="18"/>
                    </w:rPr>
                    <w:t> </w:t>
                  </w:r>
                  <w:r>
                    <w:rPr>
                      <w:color w:val="000000"/>
                      <w:sz w:val="18"/>
                    </w:rPr>
                    <w:t>any</w:t>
                  </w:r>
                  <w:r>
                    <w:rPr>
                      <w:color w:val="000000"/>
                      <w:spacing w:val="-5"/>
                      <w:sz w:val="18"/>
                    </w:rPr>
                    <w:t> </w:t>
                  </w:r>
                  <w:r>
                    <w:rPr>
                      <w:color w:val="000000"/>
                      <w:sz w:val="18"/>
                    </w:rPr>
                    <w:t>questions</w:t>
                  </w:r>
                  <w:r>
                    <w:rPr>
                      <w:color w:val="000000"/>
                      <w:spacing w:val="-5"/>
                      <w:sz w:val="18"/>
                    </w:rPr>
                    <w:t> </w:t>
                  </w:r>
                  <w:r>
                    <w:rPr>
                      <w:color w:val="000000"/>
                      <w:sz w:val="18"/>
                    </w:rPr>
                    <w:t>regarding</w:t>
                  </w:r>
                  <w:r>
                    <w:rPr>
                      <w:color w:val="000000"/>
                      <w:spacing w:val="-5"/>
                      <w:sz w:val="18"/>
                    </w:rPr>
                    <w:t> </w:t>
                  </w:r>
                  <w:r>
                    <w:rPr>
                      <w:color w:val="000000"/>
                      <w:sz w:val="18"/>
                    </w:rPr>
                    <w:t>the</w:t>
                  </w:r>
                  <w:r>
                    <w:rPr>
                      <w:color w:val="000000"/>
                      <w:spacing w:val="-3"/>
                      <w:sz w:val="18"/>
                    </w:rPr>
                    <w:t> </w:t>
                  </w:r>
                  <w:r>
                    <w:rPr>
                      <w:color w:val="000000"/>
                      <w:sz w:val="18"/>
                    </w:rPr>
                    <w:t>HCH</w:t>
                  </w:r>
                  <w:r>
                    <w:rPr>
                      <w:color w:val="000000"/>
                      <w:spacing w:val="-5"/>
                      <w:sz w:val="18"/>
                    </w:rPr>
                    <w:t> </w:t>
                  </w:r>
                  <w:r>
                    <w:rPr>
                      <w:color w:val="000000"/>
                      <w:sz w:val="18"/>
                    </w:rPr>
                    <w:t>program,</w:t>
                  </w:r>
                  <w:r>
                    <w:rPr>
                      <w:color w:val="000000"/>
                      <w:spacing w:val="-3"/>
                      <w:sz w:val="18"/>
                    </w:rPr>
                    <w:t> </w:t>
                  </w:r>
                  <w:r>
                    <w:rPr>
                      <w:color w:val="000000"/>
                      <w:sz w:val="18"/>
                    </w:rPr>
                    <w:t>please</w:t>
                  </w:r>
                  <w:r>
                    <w:rPr>
                      <w:color w:val="000000"/>
                      <w:spacing w:val="-3"/>
                      <w:sz w:val="18"/>
                    </w:rPr>
                    <w:t> </w:t>
                  </w:r>
                  <w:r>
                    <w:rPr>
                      <w:color w:val="000000"/>
                      <w:sz w:val="18"/>
                    </w:rPr>
                    <w:t>contact</w:t>
                  </w:r>
                  <w:r>
                    <w:rPr>
                      <w:color w:val="000000"/>
                      <w:spacing w:val="-5"/>
                      <w:sz w:val="18"/>
                    </w:rPr>
                    <w:t> </w:t>
                  </w:r>
                  <w:hyperlink r:id="rId40">
                    <w:r>
                      <w:rPr>
                        <w:color w:val="000000"/>
                        <w:sz w:val="18"/>
                      </w:rPr>
                      <w:t>healthcarehomes@health.gov.au.</w:t>
                    </w:r>
                  </w:hyperlink>
                </w:p>
              </w:txbxContent>
            </v:textbox>
            <v:fill type="solid"/>
            <w10:wrap type="topAndBottom"/>
          </v:shape>
        </w:pict>
      </w:r>
      <w:r>
        <w:rPr>
          <w:color w:val="808080"/>
        </w:rPr>
        <w:t>Health Care Homes</w:t>
      </w:r>
      <w:r>
        <w:rPr>
          <w:color w:val="808080"/>
          <w:spacing w:val="-1"/>
        </w:rPr>
        <w:t> </w:t>
      </w:r>
      <w:r>
        <w:rPr>
          <w:color w:val="808080"/>
        </w:rPr>
        <w:t>program practice</w:t>
      </w:r>
      <w:r>
        <w:rPr>
          <w:color w:val="808080"/>
          <w:spacing w:val="1"/>
        </w:rPr>
        <w:t> </w:t>
      </w:r>
      <w:r>
        <w:rPr>
          <w:color w:val="808080"/>
        </w:rPr>
        <w:t>survey</w:t>
      </w:r>
      <w:r>
        <w:rPr>
          <w:color w:val="808080"/>
          <w:spacing w:val="-3"/>
        </w:rPr>
        <w:t> </w:t>
      </w:r>
      <w:r>
        <w:rPr>
          <w:color w:val="808080"/>
        </w:rPr>
        <w:t>–</w:t>
      </w:r>
      <w:r>
        <w:rPr>
          <w:color w:val="808080"/>
          <w:spacing w:val="-1"/>
        </w:rPr>
        <w:t> </w:t>
      </w:r>
      <w:r>
        <w:rPr>
          <w:color w:val="808080"/>
        </w:rPr>
        <w:t>Round</w:t>
      </w:r>
      <w:r>
        <w:rPr>
          <w:color w:val="808080"/>
          <w:spacing w:val="-1"/>
        </w:rPr>
        <w:t> </w:t>
      </w:r>
      <w:r>
        <w:rPr>
          <w:color w:val="808080"/>
        </w:rPr>
        <w:t>5</w:t>
      </w:r>
    </w:p>
    <w:p>
      <w:pPr>
        <w:pStyle w:val="ListParagraph"/>
        <w:numPr>
          <w:ilvl w:val="0"/>
          <w:numId w:val="77"/>
        </w:numPr>
        <w:tabs>
          <w:tab w:pos="499" w:val="left" w:leader="none"/>
          <w:tab w:pos="500" w:val="left" w:leader="none"/>
        </w:tabs>
        <w:spacing w:line="240" w:lineRule="auto" w:before="235" w:after="0"/>
        <w:ind w:left="500" w:right="548" w:hanging="360"/>
        <w:jc w:val="left"/>
        <w:rPr>
          <w:sz w:val="18"/>
        </w:rPr>
      </w:pPr>
      <w:r>
        <w:rPr>
          <w:sz w:val="18"/>
        </w:rPr>
        <w:t>In the survey conducted in late 2019, your practice indicated that you were using the shared care planning</w:t>
      </w:r>
      <w:r>
        <w:rPr>
          <w:spacing w:val="1"/>
          <w:sz w:val="18"/>
        </w:rPr>
        <w:t> </w:t>
      </w:r>
      <w:r>
        <w:rPr>
          <w:sz w:val="18"/>
        </w:rPr>
        <w:t>software listed below. Could you update your response to indicate the software you are currently using? Choose</w:t>
      </w:r>
      <w:r>
        <w:rPr>
          <w:spacing w:val="-47"/>
          <w:sz w:val="18"/>
        </w:rPr>
        <w:t> </w:t>
      </w:r>
      <w:r>
        <w:rPr>
          <w:sz w:val="18"/>
        </w:rPr>
        <w:t>more</w:t>
      </w:r>
      <w:r>
        <w:rPr>
          <w:spacing w:val="-1"/>
          <w:sz w:val="18"/>
        </w:rPr>
        <w:t> </w:t>
      </w:r>
      <w:r>
        <w:rPr>
          <w:sz w:val="18"/>
        </w:rPr>
        <w:t>than one option,</w:t>
      </w:r>
      <w:r>
        <w:rPr>
          <w:spacing w:val="-2"/>
          <w:sz w:val="18"/>
        </w:rPr>
        <w:t> </w:t>
      </w:r>
      <w:r>
        <w:rPr>
          <w:sz w:val="18"/>
        </w:rPr>
        <w:t>if</w:t>
      </w:r>
      <w:r>
        <w:rPr>
          <w:spacing w:val="-1"/>
          <w:sz w:val="18"/>
        </w:rPr>
        <w:t> </w:t>
      </w:r>
      <w:r>
        <w:rPr>
          <w:sz w:val="18"/>
        </w:rPr>
        <w:t>it</w:t>
      </w:r>
      <w:r>
        <w:rPr>
          <w:spacing w:val="-2"/>
          <w:sz w:val="18"/>
        </w:rPr>
        <w:t> </w:t>
      </w:r>
      <w:r>
        <w:rPr>
          <w:sz w:val="18"/>
        </w:rPr>
        <w:t>applies:</w:t>
      </w:r>
    </w:p>
    <w:p>
      <w:pPr>
        <w:pStyle w:val="BodyText"/>
        <w:spacing w:before="6"/>
        <w:rPr>
          <w:sz w:val="16"/>
        </w:rPr>
      </w:pPr>
    </w:p>
    <w:p>
      <w:pPr>
        <w:spacing w:before="0"/>
        <w:ind w:left="781" w:right="4317" w:firstLine="0"/>
        <w:jc w:val="left"/>
        <w:rPr>
          <w:sz w:val="18"/>
        </w:rPr>
      </w:pPr>
      <w:r>
        <w:rPr/>
        <w:drawing>
          <wp:anchor distT="0" distB="0" distL="0" distR="0" allowOverlap="1" layoutInCell="1" locked="0" behindDoc="0" simplePos="0" relativeHeight="15851520">
            <wp:simplePos x="0" y="0"/>
            <wp:positionH relativeFrom="page">
              <wp:posOffset>652565</wp:posOffset>
            </wp:positionH>
            <wp:positionV relativeFrom="paragraph">
              <wp:posOffset>44468</wp:posOffset>
            </wp:positionV>
            <wp:extent cx="58380" cy="72151"/>
            <wp:effectExtent l="0" t="0" r="0" b="0"/>
            <wp:wrapNone/>
            <wp:docPr id="969" name="image13.png"/>
            <wp:cNvGraphicFramePr>
              <a:graphicFrameLocks noChangeAspect="1"/>
            </wp:cNvGraphicFramePr>
            <a:graphic>
              <a:graphicData uri="http://schemas.openxmlformats.org/drawingml/2006/picture">
                <pic:pic>
                  <pic:nvPicPr>
                    <pic:cNvPr id="970"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852032">
            <wp:simplePos x="0" y="0"/>
            <wp:positionH relativeFrom="page">
              <wp:posOffset>652565</wp:posOffset>
            </wp:positionH>
            <wp:positionV relativeFrom="paragraph">
              <wp:posOffset>184676</wp:posOffset>
            </wp:positionV>
            <wp:extent cx="58380" cy="72151"/>
            <wp:effectExtent l="0" t="0" r="0" b="0"/>
            <wp:wrapNone/>
            <wp:docPr id="971" name="image13.png"/>
            <wp:cNvGraphicFramePr>
              <a:graphicFrameLocks noChangeAspect="1"/>
            </wp:cNvGraphicFramePr>
            <a:graphic>
              <a:graphicData uri="http://schemas.openxmlformats.org/drawingml/2006/picture">
                <pic:pic>
                  <pic:nvPicPr>
                    <pic:cNvPr id="97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1</w:t>
      </w:r>
      <w:r>
        <w:rPr>
          <w:spacing w:val="-3"/>
          <w:sz w:val="18"/>
        </w:rPr>
        <w:t> </w:t>
      </w:r>
      <w:r>
        <w:rPr>
          <w:sz w:val="18"/>
        </w:rPr>
        <w:t>cdmNet</w:t>
      </w:r>
      <w:r>
        <w:rPr>
          <w:spacing w:val="-6"/>
          <w:sz w:val="18"/>
        </w:rPr>
        <w:t> </w:t>
      </w:r>
      <w:r>
        <w:rPr>
          <w:sz w:val="18"/>
        </w:rPr>
        <w:t>Coordinated</w:t>
      </w:r>
      <w:r>
        <w:rPr>
          <w:spacing w:val="-4"/>
          <w:sz w:val="18"/>
        </w:rPr>
        <w:t> </w:t>
      </w:r>
      <w:r>
        <w:rPr>
          <w:sz w:val="18"/>
        </w:rPr>
        <w:t>Care</w:t>
      </w:r>
      <w:r>
        <w:rPr>
          <w:spacing w:val="-4"/>
          <w:sz w:val="18"/>
        </w:rPr>
        <w:t> </w:t>
      </w:r>
      <w:r>
        <w:rPr>
          <w:sz w:val="18"/>
        </w:rPr>
        <w:t>Platform</w:t>
      </w:r>
      <w:r>
        <w:rPr>
          <w:spacing w:val="-2"/>
          <w:sz w:val="18"/>
        </w:rPr>
        <w:t> </w:t>
      </w:r>
      <w:r>
        <w:rPr>
          <w:sz w:val="18"/>
        </w:rPr>
        <w:t>(Precedence</w:t>
      </w:r>
      <w:r>
        <w:rPr>
          <w:spacing w:val="-5"/>
          <w:sz w:val="18"/>
        </w:rPr>
        <w:t> </w:t>
      </w:r>
      <w:r>
        <w:rPr>
          <w:sz w:val="18"/>
        </w:rPr>
        <w:t>Health</w:t>
      </w:r>
      <w:r>
        <w:rPr>
          <w:spacing w:val="-4"/>
          <w:sz w:val="18"/>
        </w:rPr>
        <w:t> </w:t>
      </w:r>
      <w:r>
        <w:rPr>
          <w:sz w:val="18"/>
        </w:rPr>
        <w:t>Care)</w:t>
      </w:r>
      <w:r>
        <w:rPr>
          <w:spacing w:val="-47"/>
          <w:sz w:val="18"/>
        </w:rPr>
        <w:t> </w:t>
      </w:r>
      <w:r>
        <w:rPr>
          <w:sz w:val="18"/>
        </w:rPr>
        <w:t>2 Extensia</w:t>
      </w:r>
    </w:p>
    <w:p>
      <w:pPr>
        <w:pStyle w:val="ListParagraph"/>
        <w:numPr>
          <w:ilvl w:val="0"/>
          <w:numId w:val="78"/>
        </w:numPr>
        <w:tabs>
          <w:tab w:pos="933" w:val="left" w:leader="none"/>
        </w:tabs>
        <w:spacing w:line="240" w:lineRule="auto" w:before="1" w:after="0"/>
        <w:ind w:left="932" w:right="0" w:hanging="152"/>
        <w:jc w:val="left"/>
        <w:rPr>
          <w:sz w:val="18"/>
        </w:rPr>
      </w:pPr>
      <w:r>
        <w:rPr/>
        <w:drawing>
          <wp:anchor distT="0" distB="0" distL="0" distR="0" allowOverlap="1" layoutInCell="1" locked="0" behindDoc="0" simplePos="0" relativeHeight="15852544">
            <wp:simplePos x="0" y="0"/>
            <wp:positionH relativeFrom="page">
              <wp:posOffset>652565</wp:posOffset>
            </wp:positionH>
            <wp:positionV relativeFrom="paragraph">
              <wp:posOffset>44656</wp:posOffset>
            </wp:positionV>
            <wp:extent cx="58380" cy="73869"/>
            <wp:effectExtent l="0" t="0" r="0" b="0"/>
            <wp:wrapNone/>
            <wp:docPr id="973" name="image14.png"/>
            <wp:cNvGraphicFramePr>
              <a:graphicFrameLocks noChangeAspect="1"/>
            </wp:cNvGraphicFramePr>
            <a:graphic>
              <a:graphicData uri="http://schemas.openxmlformats.org/drawingml/2006/picture">
                <pic:pic>
                  <pic:nvPicPr>
                    <pic:cNvPr id="974"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LinkedEHR</w:t>
      </w:r>
    </w:p>
    <w:p>
      <w:pPr>
        <w:pStyle w:val="ListParagraph"/>
        <w:numPr>
          <w:ilvl w:val="0"/>
          <w:numId w:val="78"/>
        </w:numPr>
        <w:tabs>
          <w:tab w:pos="933" w:val="left" w:leader="none"/>
        </w:tabs>
        <w:spacing w:line="240" w:lineRule="auto" w:before="0" w:after="0"/>
        <w:ind w:left="932" w:right="0" w:hanging="152"/>
        <w:jc w:val="left"/>
        <w:rPr>
          <w:sz w:val="18"/>
        </w:rPr>
      </w:pPr>
      <w:r>
        <w:rPr/>
        <w:drawing>
          <wp:anchor distT="0" distB="0" distL="0" distR="0" allowOverlap="1" layoutInCell="1" locked="0" behindDoc="0" simplePos="0" relativeHeight="15853056">
            <wp:simplePos x="0" y="0"/>
            <wp:positionH relativeFrom="page">
              <wp:posOffset>652565</wp:posOffset>
            </wp:positionH>
            <wp:positionV relativeFrom="paragraph">
              <wp:posOffset>44215</wp:posOffset>
            </wp:positionV>
            <wp:extent cx="58380" cy="72151"/>
            <wp:effectExtent l="0" t="0" r="0" b="0"/>
            <wp:wrapNone/>
            <wp:docPr id="975" name="image13.png"/>
            <wp:cNvGraphicFramePr>
              <a:graphicFrameLocks noChangeAspect="1"/>
            </wp:cNvGraphicFramePr>
            <a:graphic>
              <a:graphicData uri="http://schemas.openxmlformats.org/drawingml/2006/picture">
                <pic:pic>
                  <pic:nvPicPr>
                    <pic:cNvPr id="97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Livecare</w:t>
      </w:r>
      <w:r>
        <w:rPr>
          <w:spacing w:val="-4"/>
          <w:sz w:val="18"/>
        </w:rPr>
        <w:t> </w:t>
      </w:r>
      <w:r>
        <w:rPr>
          <w:sz w:val="18"/>
        </w:rPr>
        <w:t>Australia</w:t>
      </w:r>
    </w:p>
    <w:p>
      <w:pPr>
        <w:pStyle w:val="ListParagraph"/>
        <w:numPr>
          <w:ilvl w:val="0"/>
          <w:numId w:val="78"/>
        </w:numPr>
        <w:tabs>
          <w:tab w:pos="933" w:val="left" w:leader="none"/>
        </w:tabs>
        <w:spacing w:line="220" w:lineRule="exact" w:before="0" w:after="0"/>
        <w:ind w:left="932" w:right="0" w:hanging="152"/>
        <w:jc w:val="left"/>
        <w:rPr>
          <w:sz w:val="18"/>
        </w:rPr>
      </w:pPr>
      <w:r>
        <w:rPr/>
        <w:drawing>
          <wp:anchor distT="0" distB="0" distL="0" distR="0" allowOverlap="1" layoutInCell="1" locked="0" behindDoc="0" simplePos="0" relativeHeight="15853568">
            <wp:simplePos x="0" y="0"/>
            <wp:positionH relativeFrom="page">
              <wp:posOffset>652565</wp:posOffset>
            </wp:positionH>
            <wp:positionV relativeFrom="paragraph">
              <wp:posOffset>44214</wp:posOffset>
            </wp:positionV>
            <wp:extent cx="58380" cy="72151"/>
            <wp:effectExtent l="0" t="0" r="0" b="0"/>
            <wp:wrapNone/>
            <wp:docPr id="977" name="image13.png"/>
            <wp:cNvGraphicFramePr>
              <a:graphicFrameLocks noChangeAspect="1"/>
            </wp:cNvGraphicFramePr>
            <a:graphic>
              <a:graphicData uri="http://schemas.openxmlformats.org/drawingml/2006/picture">
                <pic:pic>
                  <pic:nvPicPr>
                    <pic:cNvPr id="97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ManageMyHealth</w:t>
      </w:r>
      <w:r>
        <w:rPr>
          <w:spacing w:val="-4"/>
          <w:sz w:val="18"/>
        </w:rPr>
        <w:t> </w:t>
      </w:r>
      <w:r>
        <w:rPr>
          <w:sz w:val="18"/>
        </w:rPr>
        <w:t>(Medtech</w:t>
      </w:r>
      <w:r>
        <w:rPr>
          <w:spacing w:val="-5"/>
          <w:sz w:val="18"/>
        </w:rPr>
        <w:t> </w:t>
      </w:r>
      <w:r>
        <w:rPr>
          <w:sz w:val="18"/>
        </w:rPr>
        <w:t>Global)</w:t>
      </w:r>
    </w:p>
    <w:p>
      <w:pPr>
        <w:pStyle w:val="ListParagraph"/>
        <w:numPr>
          <w:ilvl w:val="0"/>
          <w:numId w:val="78"/>
        </w:numPr>
        <w:tabs>
          <w:tab w:pos="933" w:val="left" w:leader="none"/>
        </w:tabs>
        <w:spacing w:line="240" w:lineRule="auto" w:before="0" w:after="0"/>
        <w:ind w:left="781" w:right="4780" w:firstLine="0"/>
        <w:jc w:val="left"/>
        <w:rPr>
          <w:sz w:val="18"/>
        </w:rPr>
      </w:pPr>
      <w:r>
        <w:rPr/>
        <w:drawing>
          <wp:anchor distT="0" distB="0" distL="0" distR="0" allowOverlap="1" layoutInCell="1" locked="0" behindDoc="0" simplePos="0" relativeHeight="15854080">
            <wp:simplePos x="0" y="0"/>
            <wp:positionH relativeFrom="page">
              <wp:posOffset>652565</wp:posOffset>
            </wp:positionH>
            <wp:positionV relativeFrom="paragraph">
              <wp:posOffset>44214</wp:posOffset>
            </wp:positionV>
            <wp:extent cx="58380" cy="72151"/>
            <wp:effectExtent l="0" t="0" r="0" b="0"/>
            <wp:wrapNone/>
            <wp:docPr id="979" name="image13.png"/>
            <wp:cNvGraphicFramePr>
              <a:graphicFrameLocks noChangeAspect="1"/>
            </wp:cNvGraphicFramePr>
            <a:graphic>
              <a:graphicData uri="http://schemas.openxmlformats.org/drawingml/2006/picture">
                <pic:pic>
                  <pic:nvPicPr>
                    <pic:cNvPr id="980"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854592">
            <wp:simplePos x="0" y="0"/>
            <wp:positionH relativeFrom="page">
              <wp:posOffset>652565</wp:posOffset>
            </wp:positionH>
            <wp:positionV relativeFrom="paragraph">
              <wp:posOffset>184422</wp:posOffset>
            </wp:positionV>
            <wp:extent cx="58380" cy="72151"/>
            <wp:effectExtent l="0" t="0" r="0" b="0"/>
            <wp:wrapNone/>
            <wp:docPr id="981" name="image13.png"/>
            <wp:cNvGraphicFramePr>
              <a:graphicFrameLocks noChangeAspect="1"/>
            </wp:cNvGraphicFramePr>
            <a:graphic>
              <a:graphicData uri="http://schemas.openxmlformats.org/drawingml/2006/picture">
                <pic:pic>
                  <pic:nvPicPr>
                    <pic:cNvPr id="98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MyCareManager</w:t>
      </w:r>
      <w:r>
        <w:rPr>
          <w:spacing w:val="-6"/>
          <w:sz w:val="18"/>
        </w:rPr>
        <w:t> </w:t>
      </w:r>
      <w:r>
        <w:rPr>
          <w:sz w:val="18"/>
        </w:rPr>
        <w:t>Client</w:t>
      </w:r>
      <w:r>
        <w:rPr>
          <w:spacing w:val="-5"/>
          <w:sz w:val="18"/>
        </w:rPr>
        <w:t> </w:t>
      </w:r>
      <w:r>
        <w:rPr>
          <w:sz w:val="18"/>
        </w:rPr>
        <w:t>(MCM)</w:t>
      </w:r>
      <w:r>
        <w:rPr>
          <w:spacing w:val="-3"/>
          <w:sz w:val="18"/>
        </w:rPr>
        <w:t> </w:t>
      </w:r>
      <w:r>
        <w:rPr>
          <w:sz w:val="18"/>
        </w:rPr>
        <w:t>Application</w:t>
      </w:r>
      <w:r>
        <w:rPr>
          <w:spacing w:val="-3"/>
          <w:sz w:val="18"/>
        </w:rPr>
        <w:t> </w:t>
      </w:r>
      <w:r>
        <w:rPr>
          <w:sz w:val="18"/>
        </w:rPr>
        <w:t>(Telstra</w:t>
      </w:r>
      <w:r>
        <w:rPr>
          <w:spacing w:val="-7"/>
          <w:sz w:val="18"/>
        </w:rPr>
        <w:t> </w:t>
      </w:r>
      <w:r>
        <w:rPr>
          <w:sz w:val="18"/>
        </w:rPr>
        <w:t>Health)</w:t>
      </w:r>
      <w:r>
        <w:rPr>
          <w:spacing w:val="-47"/>
          <w:sz w:val="18"/>
        </w:rPr>
        <w:t> </w:t>
      </w:r>
      <w:r>
        <w:rPr>
          <w:sz w:val="18"/>
        </w:rPr>
        <w:t>7 Visual Outcomes</w:t>
      </w:r>
    </w:p>
    <w:p>
      <w:pPr>
        <w:spacing w:before="0"/>
        <w:ind w:left="781" w:right="0" w:firstLine="0"/>
        <w:jc w:val="left"/>
        <w:rPr>
          <w:sz w:val="18"/>
        </w:rPr>
      </w:pPr>
      <w:r>
        <w:rPr/>
        <w:drawing>
          <wp:anchor distT="0" distB="0" distL="0" distR="0" allowOverlap="1" layoutInCell="1" locked="0" behindDoc="0" simplePos="0" relativeHeight="15855104">
            <wp:simplePos x="0" y="0"/>
            <wp:positionH relativeFrom="page">
              <wp:posOffset>652565</wp:posOffset>
            </wp:positionH>
            <wp:positionV relativeFrom="paragraph">
              <wp:posOffset>44021</wp:posOffset>
            </wp:positionV>
            <wp:extent cx="58380" cy="73869"/>
            <wp:effectExtent l="0" t="0" r="0" b="0"/>
            <wp:wrapNone/>
            <wp:docPr id="983" name="image14.png"/>
            <wp:cNvGraphicFramePr>
              <a:graphicFrameLocks noChangeAspect="1"/>
            </wp:cNvGraphicFramePr>
            <a:graphic>
              <a:graphicData uri="http://schemas.openxmlformats.org/drawingml/2006/picture">
                <pic:pic>
                  <pic:nvPicPr>
                    <pic:cNvPr id="984"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8</w:t>
      </w:r>
      <w:r>
        <w:rPr>
          <w:spacing w:val="-2"/>
          <w:sz w:val="18"/>
        </w:rPr>
        <w:t> </w:t>
      </w:r>
      <w:r>
        <w:rPr>
          <w:sz w:val="18"/>
        </w:rPr>
        <w:t>Other.</w:t>
      </w:r>
      <w:r>
        <w:rPr>
          <w:spacing w:val="-3"/>
          <w:sz w:val="18"/>
        </w:rPr>
        <w:t> </w:t>
      </w:r>
      <w:r>
        <w:rPr>
          <w:sz w:val="18"/>
        </w:rPr>
        <w:t>Please</w:t>
      </w:r>
      <w:r>
        <w:rPr>
          <w:spacing w:val="-2"/>
          <w:sz w:val="18"/>
        </w:rPr>
        <w:t> </w:t>
      </w:r>
      <w:r>
        <w:rPr>
          <w:sz w:val="18"/>
        </w:rPr>
        <w:t>list</w:t>
      </w:r>
      <w:r>
        <w:rPr>
          <w:spacing w:val="-4"/>
          <w:sz w:val="18"/>
        </w:rPr>
        <w:t> </w:t>
      </w:r>
      <w:r>
        <w:rPr>
          <w:sz w:val="18"/>
        </w:rPr>
        <w:t>the</w:t>
      </w:r>
      <w:r>
        <w:rPr>
          <w:spacing w:val="-3"/>
          <w:sz w:val="18"/>
        </w:rPr>
        <w:t> </w:t>
      </w:r>
      <w:r>
        <w:rPr>
          <w:sz w:val="18"/>
        </w:rPr>
        <w:t>product</w:t>
      </w:r>
      <w:r>
        <w:rPr>
          <w:spacing w:val="-1"/>
          <w:sz w:val="18"/>
        </w:rPr>
        <w:t> </w:t>
      </w:r>
      <w:r>
        <w:rPr>
          <w:sz w:val="18"/>
        </w:rPr>
        <w:t>(and</w:t>
      </w:r>
      <w:r>
        <w:rPr>
          <w:spacing w:val="-1"/>
          <w:sz w:val="18"/>
        </w:rPr>
        <w:t> </w:t>
      </w:r>
      <w:r>
        <w:rPr>
          <w:sz w:val="18"/>
        </w:rPr>
        <w:t>vendor</w:t>
      </w:r>
      <w:r>
        <w:rPr>
          <w:spacing w:val="-3"/>
          <w:sz w:val="18"/>
        </w:rPr>
        <w:t> </w:t>
      </w:r>
      <w:r>
        <w:rPr>
          <w:sz w:val="18"/>
        </w:rPr>
        <w:t>if</w:t>
      </w:r>
      <w:r>
        <w:rPr>
          <w:spacing w:val="-4"/>
          <w:sz w:val="18"/>
        </w:rPr>
        <w:t> </w:t>
      </w:r>
      <w:r>
        <w:rPr>
          <w:sz w:val="18"/>
        </w:rPr>
        <w:t>known).</w:t>
      </w:r>
    </w:p>
    <w:p>
      <w:pPr>
        <w:pStyle w:val="BodyText"/>
        <w:spacing w:before="10"/>
        <w:rPr>
          <w:sz w:val="22"/>
        </w:rPr>
      </w:pPr>
    </w:p>
    <w:p>
      <w:pPr>
        <w:pStyle w:val="ListParagraph"/>
        <w:numPr>
          <w:ilvl w:val="0"/>
          <w:numId w:val="77"/>
        </w:numPr>
        <w:tabs>
          <w:tab w:pos="499" w:val="left" w:leader="none"/>
          <w:tab w:pos="500" w:val="left" w:leader="none"/>
        </w:tabs>
        <w:spacing w:line="240" w:lineRule="auto" w:before="0" w:after="0"/>
        <w:ind w:left="500" w:right="715" w:hanging="360"/>
        <w:jc w:val="left"/>
        <w:rPr>
          <w:sz w:val="18"/>
        </w:rPr>
      </w:pPr>
      <w:r>
        <w:rPr>
          <w:sz w:val="18"/>
        </w:rPr>
        <w:t>Could you outline any further reflections (since the previous survey) on ways in which shared care planning has</w:t>
      </w:r>
      <w:r>
        <w:rPr>
          <w:spacing w:val="-47"/>
          <w:sz w:val="18"/>
        </w:rPr>
        <w:t> </w:t>
      </w:r>
      <w:r>
        <w:rPr>
          <w:sz w:val="18"/>
        </w:rPr>
        <w:t>worked</w:t>
      </w:r>
      <w:r>
        <w:rPr>
          <w:spacing w:val="-2"/>
          <w:sz w:val="18"/>
        </w:rPr>
        <w:t> </w:t>
      </w:r>
      <w:r>
        <w:rPr>
          <w:sz w:val="18"/>
        </w:rPr>
        <w:t>for your practice?</w:t>
      </w:r>
    </w:p>
    <w:p>
      <w:pPr>
        <w:pStyle w:val="BodyText"/>
      </w:pPr>
    </w:p>
    <w:p>
      <w:pPr>
        <w:pStyle w:val="BodyText"/>
        <w:spacing w:before="1"/>
        <w:rPr>
          <w:sz w:val="19"/>
        </w:rPr>
      </w:pPr>
      <w:r>
        <w:rPr/>
        <w:pict>
          <v:rect style="position:absolute;margin-left:34.560001pt;margin-top:12.900512pt;width:526.3pt;height:.47998pt;mso-position-horizontal-relative:page;mso-position-vertical-relative:paragraph;z-index:-15606784;mso-wrap-distance-left:0;mso-wrap-distance-right:0" id="docshape166" filled="true" fillcolor="#d9d9d9" stroked="false">
            <v:fill type="solid"/>
            <w10:wrap type="topAndBottom"/>
          </v:rect>
        </w:pict>
      </w:r>
    </w:p>
    <w:p>
      <w:pPr>
        <w:pStyle w:val="BodyText"/>
        <w:spacing w:before="2"/>
        <w:rPr>
          <w:sz w:val="8"/>
        </w:rPr>
      </w:pPr>
    </w:p>
    <w:p>
      <w:pPr>
        <w:pStyle w:val="ListParagraph"/>
        <w:numPr>
          <w:ilvl w:val="0"/>
          <w:numId w:val="77"/>
        </w:numPr>
        <w:tabs>
          <w:tab w:pos="499" w:val="left" w:leader="none"/>
          <w:tab w:pos="500" w:val="left" w:leader="none"/>
        </w:tabs>
        <w:spacing w:line="240" w:lineRule="auto" w:before="100" w:after="0"/>
        <w:ind w:left="500" w:right="0" w:hanging="360"/>
        <w:jc w:val="left"/>
        <w:rPr>
          <w:sz w:val="18"/>
        </w:rPr>
      </w:pPr>
      <w:r>
        <w:rPr>
          <w:sz w:val="18"/>
        </w:rPr>
        <w:t>Do</w:t>
      </w:r>
      <w:r>
        <w:rPr>
          <w:spacing w:val="-2"/>
          <w:sz w:val="18"/>
        </w:rPr>
        <w:t> </w:t>
      </w:r>
      <w:r>
        <w:rPr>
          <w:sz w:val="18"/>
        </w:rPr>
        <w:t>you</w:t>
      </w:r>
      <w:r>
        <w:rPr>
          <w:spacing w:val="-2"/>
          <w:sz w:val="18"/>
        </w:rPr>
        <w:t> </w:t>
      </w:r>
      <w:r>
        <w:rPr>
          <w:sz w:val="18"/>
        </w:rPr>
        <w:t>have</w:t>
      </w:r>
      <w:r>
        <w:rPr>
          <w:spacing w:val="-2"/>
          <w:sz w:val="18"/>
        </w:rPr>
        <w:t> </w:t>
      </w:r>
      <w:r>
        <w:rPr>
          <w:sz w:val="18"/>
        </w:rPr>
        <w:t>any</w:t>
      </w:r>
      <w:r>
        <w:rPr>
          <w:spacing w:val="-2"/>
          <w:sz w:val="18"/>
        </w:rPr>
        <w:t> </w:t>
      </w:r>
      <w:r>
        <w:rPr>
          <w:sz w:val="18"/>
        </w:rPr>
        <w:t>further</w:t>
      </w:r>
      <w:r>
        <w:rPr>
          <w:spacing w:val="-6"/>
          <w:sz w:val="18"/>
        </w:rPr>
        <w:t> </w:t>
      </w:r>
      <w:r>
        <w:rPr>
          <w:sz w:val="18"/>
        </w:rPr>
        <w:t>insights</w:t>
      </w:r>
      <w:r>
        <w:rPr>
          <w:spacing w:val="-3"/>
          <w:sz w:val="18"/>
        </w:rPr>
        <w:t> </w:t>
      </w:r>
      <w:r>
        <w:rPr>
          <w:sz w:val="18"/>
        </w:rPr>
        <w:t>into</w:t>
      </w:r>
      <w:r>
        <w:rPr>
          <w:spacing w:val="-1"/>
          <w:sz w:val="18"/>
        </w:rPr>
        <w:t> </w:t>
      </w:r>
      <w:r>
        <w:rPr>
          <w:sz w:val="18"/>
        </w:rPr>
        <w:t>how</w:t>
      </w:r>
      <w:r>
        <w:rPr>
          <w:spacing w:val="-4"/>
          <w:sz w:val="18"/>
        </w:rPr>
        <w:t> </w:t>
      </w:r>
      <w:r>
        <w:rPr>
          <w:sz w:val="18"/>
        </w:rPr>
        <w:t>shared</w:t>
      </w:r>
      <w:r>
        <w:rPr>
          <w:spacing w:val="-3"/>
          <w:sz w:val="18"/>
        </w:rPr>
        <w:t> </w:t>
      </w:r>
      <w:r>
        <w:rPr>
          <w:sz w:val="18"/>
        </w:rPr>
        <w:t>care</w:t>
      </w:r>
      <w:r>
        <w:rPr>
          <w:spacing w:val="-1"/>
          <w:sz w:val="18"/>
        </w:rPr>
        <w:t> </w:t>
      </w:r>
      <w:r>
        <w:rPr>
          <w:sz w:val="18"/>
        </w:rPr>
        <w:t>planning</w:t>
      </w:r>
      <w:r>
        <w:rPr>
          <w:spacing w:val="-4"/>
          <w:sz w:val="18"/>
        </w:rPr>
        <w:t> </w:t>
      </w:r>
      <w:r>
        <w:rPr>
          <w:sz w:val="18"/>
        </w:rPr>
        <w:t>could</w:t>
      </w:r>
      <w:r>
        <w:rPr>
          <w:spacing w:val="-3"/>
          <w:sz w:val="18"/>
        </w:rPr>
        <w:t> </w:t>
      </w:r>
      <w:r>
        <w:rPr>
          <w:sz w:val="18"/>
        </w:rPr>
        <w:t>be</w:t>
      </w:r>
      <w:r>
        <w:rPr>
          <w:spacing w:val="-3"/>
          <w:sz w:val="18"/>
        </w:rPr>
        <w:t> </w:t>
      </w:r>
      <w:r>
        <w:rPr>
          <w:sz w:val="18"/>
        </w:rPr>
        <w:t>improved?</w:t>
      </w:r>
    </w:p>
    <w:p>
      <w:pPr>
        <w:pStyle w:val="BodyText"/>
      </w:pPr>
    </w:p>
    <w:p>
      <w:pPr>
        <w:pStyle w:val="BodyText"/>
        <w:spacing w:before="11"/>
        <w:rPr>
          <w:sz w:val="18"/>
        </w:rPr>
      </w:pPr>
      <w:r>
        <w:rPr/>
        <w:pict>
          <v:rect style="position:absolute;margin-left:34.560001pt;margin-top:12.810313pt;width:526.3pt;height:.47998pt;mso-position-horizontal-relative:page;mso-position-vertical-relative:paragraph;z-index:-15606272;mso-wrap-distance-left:0;mso-wrap-distance-right:0" id="docshape167" filled="true" fillcolor="#d9d9d9" stroked="false">
            <v:fill type="solid"/>
            <w10:wrap type="topAndBottom"/>
          </v:rect>
        </w:pict>
      </w:r>
    </w:p>
    <w:p>
      <w:pPr>
        <w:pStyle w:val="BodyText"/>
        <w:spacing w:before="2"/>
        <w:rPr>
          <w:sz w:val="8"/>
        </w:rPr>
      </w:pPr>
    </w:p>
    <w:p>
      <w:pPr>
        <w:pStyle w:val="ListParagraph"/>
        <w:numPr>
          <w:ilvl w:val="0"/>
          <w:numId w:val="77"/>
        </w:numPr>
        <w:tabs>
          <w:tab w:pos="499" w:val="left" w:leader="none"/>
          <w:tab w:pos="500" w:val="left" w:leader="none"/>
        </w:tabs>
        <w:spacing w:line="240" w:lineRule="auto" w:before="100" w:after="0"/>
        <w:ind w:left="500" w:right="0" w:hanging="360"/>
        <w:jc w:val="left"/>
        <w:rPr>
          <w:sz w:val="18"/>
        </w:rPr>
      </w:pPr>
      <w:r>
        <w:rPr>
          <w:sz w:val="18"/>
        </w:rPr>
        <w:t>How</w:t>
      </w:r>
      <w:r>
        <w:rPr>
          <w:spacing w:val="-5"/>
          <w:sz w:val="18"/>
        </w:rPr>
        <w:t> </w:t>
      </w:r>
      <w:r>
        <w:rPr>
          <w:sz w:val="18"/>
        </w:rPr>
        <w:t>useful</w:t>
      </w:r>
      <w:r>
        <w:rPr>
          <w:spacing w:val="-3"/>
          <w:sz w:val="18"/>
        </w:rPr>
        <w:t> </w:t>
      </w:r>
      <w:r>
        <w:rPr>
          <w:sz w:val="18"/>
        </w:rPr>
        <w:t>has</w:t>
      </w:r>
      <w:r>
        <w:rPr>
          <w:spacing w:val="-1"/>
          <w:sz w:val="18"/>
        </w:rPr>
        <w:t> </w:t>
      </w:r>
      <w:r>
        <w:rPr>
          <w:sz w:val="18"/>
        </w:rPr>
        <w:t>My</w:t>
      </w:r>
      <w:r>
        <w:rPr>
          <w:spacing w:val="-3"/>
          <w:sz w:val="18"/>
        </w:rPr>
        <w:t> </w:t>
      </w:r>
      <w:r>
        <w:rPr>
          <w:sz w:val="18"/>
        </w:rPr>
        <w:t>Health</w:t>
      </w:r>
      <w:r>
        <w:rPr>
          <w:spacing w:val="-4"/>
          <w:sz w:val="18"/>
        </w:rPr>
        <w:t> </w:t>
      </w:r>
      <w:r>
        <w:rPr>
          <w:sz w:val="18"/>
        </w:rPr>
        <w:t>Record</w:t>
      </w:r>
      <w:r>
        <w:rPr>
          <w:spacing w:val="-2"/>
          <w:sz w:val="18"/>
        </w:rPr>
        <w:t> </w:t>
      </w:r>
      <w:r>
        <w:rPr>
          <w:sz w:val="18"/>
        </w:rPr>
        <w:t>been</w:t>
      </w:r>
      <w:r>
        <w:rPr>
          <w:spacing w:val="-4"/>
          <w:sz w:val="18"/>
        </w:rPr>
        <w:t> </w:t>
      </w:r>
      <w:r>
        <w:rPr>
          <w:sz w:val="18"/>
        </w:rPr>
        <w:t>in</w:t>
      </w:r>
      <w:r>
        <w:rPr>
          <w:spacing w:val="-3"/>
          <w:sz w:val="18"/>
        </w:rPr>
        <w:t> </w:t>
      </w:r>
      <w:r>
        <w:rPr>
          <w:sz w:val="18"/>
        </w:rPr>
        <w:t>sharing</w:t>
      </w:r>
      <w:r>
        <w:rPr>
          <w:spacing w:val="-5"/>
          <w:sz w:val="18"/>
        </w:rPr>
        <w:t> </w:t>
      </w:r>
      <w:r>
        <w:rPr>
          <w:sz w:val="18"/>
        </w:rPr>
        <w:t>information</w:t>
      </w:r>
      <w:r>
        <w:rPr>
          <w:spacing w:val="-3"/>
          <w:sz w:val="18"/>
        </w:rPr>
        <w:t> </w:t>
      </w:r>
      <w:r>
        <w:rPr>
          <w:sz w:val="18"/>
        </w:rPr>
        <w:t>about </w:t>
      </w:r>
      <w:r>
        <w:rPr>
          <w:sz w:val="18"/>
          <w:u w:val="single"/>
        </w:rPr>
        <w:t>HCH</w:t>
      </w:r>
      <w:r>
        <w:rPr>
          <w:spacing w:val="-3"/>
          <w:sz w:val="18"/>
          <w:u w:val="single"/>
        </w:rPr>
        <w:t> </w:t>
      </w:r>
      <w:r>
        <w:rPr>
          <w:sz w:val="18"/>
          <w:u w:val="single"/>
        </w:rPr>
        <w:t>patients</w:t>
      </w:r>
      <w:r>
        <w:rPr>
          <w:spacing w:val="-2"/>
          <w:sz w:val="18"/>
        </w:rPr>
        <w:t> </w:t>
      </w:r>
      <w:r>
        <w:rPr>
          <w:sz w:val="18"/>
        </w:rPr>
        <w:t>with</w:t>
      </w:r>
      <w:r>
        <w:rPr>
          <w:spacing w:val="-2"/>
          <w:sz w:val="18"/>
        </w:rPr>
        <w:t> </w:t>
      </w:r>
      <w:r>
        <w:rPr>
          <w:sz w:val="18"/>
        </w:rPr>
        <w:t>other</w:t>
      </w:r>
      <w:r>
        <w:rPr>
          <w:spacing w:val="-3"/>
          <w:sz w:val="18"/>
        </w:rPr>
        <w:t> </w:t>
      </w:r>
      <w:r>
        <w:rPr>
          <w:sz w:val="18"/>
        </w:rPr>
        <w:t>service</w:t>
      </w:r>
      <w:r>
        <w:rPr>
          <w:spacing w:val="-2"/>
          <w:sz w:val="18"/>
        </w:rPr>
        <w:t> </w:t>
      </w:r>
      <w:r>
        <w:rPr>
          <w:sz w:val="18"/>
        </w:rPr>
        <w:t>providers?</w:t>
      </w:r>
    </w:p>
    <w:p>
      <w:pPr>
        <w:pStyle w:val="BodyText"/>
        <w:spacing w:before="3"/>
        <w:rPr>
          <w:sz w:val="16"/>
        </w:rPr>
      </w:pPr>
    </w:p>
    <w:p>
      <w:pPr>
        <w:pStyle w:val="ListParagraph"/>
        <w:numPr>
          <w:ilvl w:val="1"/>
          <w:numId w:val="77"/>
        </w:numPr>
        <w:tabs>
          <w:tab w:pos="932" w:val="left" w:leader="none"/>
        </w:tabs>
        <w:spacing w:line="240" w:lineRule="auto" w:before="0" w:after="0"/>
        <w:ind w:left="931" w:right="0" w:hanging="151"/>
        <w:jc w:val="left"/>
        <w:rPr>
          <w:sz w:val="18"/>
        </w:rPr>
      </w:pPr>
      <w:r>
        <w:rPr/>
        <w:drawing>
          <wp:anchor distT="0" distB="0" distL="0" distR="0" allowOverlap="1" layoutInCell="1" locked="0" behindDoc="0" simplePos="0" relativeHeight="15855616">
            <wp:simplePos x="0" y="0"/>
            <wp:positionH relativeFrom="page">
              <wp:posOffset>652565</wp:posOffset>
            </wp:positionH>
            <wp:positionV relativeFrom="paragraph">
              <wp:posOffset>43833</wp:posOffset>
            </wp:positionV>
            <wp:extent cx="58380" cy="72151"/>
            <wp:effectExtent l="0" t="0" r="0" b="0"/>
            <wp:wrapNone/>
            <wp:docPr id="985" name="image13.png"/>
            <wp:cNvGraphicFramePr>
              <a:graphicFrameLocks noChangeAspect="1"/>
            </wp:cNvGraphicFramePr>
            <a:graphic>
              <a:graphicData uri="http://schemas.openxmlformats.org/drawingml/2006/picture">
                <pic:pic>
                  <pic:nvPicPr>
                    <pic:cNvPr id="98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Very</w:t>
      </w:r>
      <w:r>
        <w:rPr>
          <w:spacing w:val="-4"/>
          <w:sz w:val="18"/>
        </w:rPr>
        <w:t> </w:t>
      </w:r>
      <w:r>
        <w:rPr>
          <w:sz w:val="18"/>
        </w:rPr>
        <w:t>useful</w:t>
      </w:r>
    </w:p>
    <w:p>
      <w:pPr>
        <w:pStyle w:val="ListParagraph"/>
        <w:numPr>
          <w:ilvl w:val="1"/>
          <w:numId w:val="77"/>
        </w:numPr>
        <w:tabs>
          <w:tab w:pos="932" w:val="left" w:leader="none"/>
        </w:tabs>
        <w:spacing w:line="240" w:lineRule="auto" w:before="0" w:after="0"/>
        <w:ind w:left="931" w:right="0" w:hanging="151"/>
        <w:jc w:val="left"/>
        <w:rPr>
          <w:sz w:val="18"/>
        </w:rPr>
      </w:pPr>
      <w:r>
        <w:rPr/>
        <w:drawing>
          <wp:anchor distT="0" distB="0" distL="0" distR="0" allowOverlap="1" layoutInCell="1" locked="0" behindDoc="0" simplePos="0" relativeHeight="15856128">
            <wp:simplePos x="0" y="0"/>
            <wp:positionH relativeFrom="page">
              <wp:posOffset>652565</wp:posOffset>
            </wp:positionH>
            <wp:positionV relativeFrom="paragraph">
              <wp:posOffset>43833</wp:posOffset>
            </wp:positionV>
            <wp:extent cx="58380" cy="72151"/>
            <wp:effectExtent l="0" t="0" r="0" b="0"/>
            <wp:wrapNone/>
            <wp:docPr id="987" name="image13.png"/>
            <wp:cNvGraphicFramePr>
              <a:graphicFrameLocks noChangeAspect="1"/>
            </wp:cNvGraphicFramePr>
            <a:graphic>
              <a:graphicData uri="http://schemas.openxmlformats.org/drawingml/2006/picture">
                <pic:pic>
                  <pic:nvPicPr>
                    <pic:cNvPr id="98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Moderately</w:t>
      </w:r>
      <w:r>
        <w:rPr>
          <w:spacing w:val="-6"/>
          <w:sz w:val="18"/>
        </w:rPr>
        <w:t> </w:t>
      </w:r>
      <w:r>
        <w:rPr>
          <w:sz w:val="18"/>
        </w:rPr>
        <w:t>useful</w:t>
      </w:r>
    </w:p>
    <w:p>
      <w:pPr>
        <w:pStyle w:val="ListParagraph"/>
        <w:numPr>
          <w:ilvl w:val="1"/>
          <w:numId w:val="77"/>
        </w:numPr>
        <w:tabs>
          <w:tab w:pos="932" w:val="left" w:leader="none"/>
        </w:tabs>
        <w:spacing w:line="240" w:lineRule="auto" w:before="1" w:after="0"/>
        <w:ind w:left="931" w:right="0" w:hanging="151"/>
        <w:jc w:val="left"/>
        <w:rPr>
          <w:sz w:val="18"/>
        </w:rPr>
      </w:pPr>
      <w:r>
        <w:rPr/>
        <w:drawing>
          <wp:anchor distT="0" distB="0" distL="0" distR="0" allowOverlap="1" layoutInCell="1" locked="0" behindDoc="0" simplePos="0" relativeHeight="15856640">
            <wp:simplePos x="0" y="0"/>
            <wp:positionH relativeFrom="page">
              <wp:posOffset>652565</wp:posOffset>
            </wp:positionH>
            <wp:positionV relativeFrom="paragraph">
              <wp:posOffset>44468</wp:posOffset>
            </wp:positionV>
            <wp:extent cx="58380" cy="72151"/>
            <wp:effectExtent l="0" t="0" r="0" b="0"/>
            <wp:wrapNone/>
            <wp:docPr id="989" name="image13.png"/>
            <wp:cNvGraphicFramePr>
              <a:graphicFrameLocks noChangeAspect="1"/>
            </wp:cNvGraphicFramePr>
            <a:graphic>
              <a:graphicData uri="http://schemas.openxmlformats.org/drawingml/2006/picture">
                <pic:pic>
                  <pic:nvPicPr>
                    <pic:cNvPr id="99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Limited</w:t>
      </w:r>
    </w:p>
    <w:p>
      <w:pPr>
        <w:pStyle w:val="ListParagraph"/>
        <w:numPr>
          <w:ilvl w:val="1"/>
          <w:numId w:val="77"/>
        </w:numPr>
        <w:tabs>
          <w:tab w:pos="932" w:val="left" w:leader="none"/>
        </w:tabs>
        <w:spacing w:line="240" w:lineRule="auto" w:before="0" w:after="0"/>
        <w:ind w:left="931" w:right="0" w:hanging="151"/>
        <w:jc w:val="left"/>
        <w:rPr>
          <w:sz w:val="18"/>
        </w:rPr>
      </w:pPr>
      <w:r>
        <w:rPr/>
        <w:drawing>
          <wp:anchor distT="0" distB="0" distL="0" distR="0" allowOverlap="1" layoutInCell="1" locked="0" behindDoc="0" simplePos="0" relativeHeight="15857152">
            <wp:simplePos x="0" y="0"/>
            <wp:positionH relativeFrom="page">
              <wp:posOffset>652565</wp:posOffset>
            </wp:positionH>
            <wp:positionV relativeFrom="paragraph">
              <wp:posOffset>43833</wp:posOffset>
            </wp:positionV>
            <wp:extent cx="58380" cy="72151"/>
            <wp:effectExtent l="0" t="0" r="0" b="0"/>
            <wp:wrapNone/>
            <wp:docPr id="991" name="image13.png"/>
            <wp:cNvGraphicFramePr>
              <a:graphicFrameLocks noChangeAspect="1"/>
            </wp:cNvGraphicFramePr>
            <a:graphic>
              <a:graphicData uri="http://schemas.openxmlformats.org/drawingml/2006/picture">
                <pic:pic>
                  <pic:nvPicPr>
                    <pic:cNvPr id="99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Not</w:t>
      </w:r>
      <w:r>
        <w:rPr>
          <w:spacing w:val="-3"/>
          <w:sz w:val="18"/>
        </w:rPr>
        <w:t> </w:t>
      </w:r>
      <w:r>
        <w:rPr>
          <w:sz w:val="18"/>
        </w:rPr>
        <w:t>useful</w:t>
      </w:r>
    </w:p>
    <w:p>
      <w:pPr>
        <w:pStyle w:val="ListParagraph"/>
        <w:numPr>
          <w:ilvl w:val="1"/>
          <w:numId w:val="77"/>
        </w:numPr>
        <w:tabs>
          <w:tab w:pos="932" w:val="left" w:leader="none"/>
        </w:tabs>
        <w:spacing w:line="240" w:lineRule="auto" w:before="0" w:after="0"/>
        <w:ind w:left="931" w:right="0" w:hanging="151"/>
        <w:jc w:val="left"/>
        <w:rPr>
          <w:sz w:val="18"/>
        </w:rPr>
      </w:pPr>
      <w:r>
        <w:rPr/>
        <w:drawing>
          <wp:anchor distT="0" distB="0" distL="0" distR="0" allowOverlap="1" layoutInCell="1" locked="0" behindDoc="0" simplePos="0" relativeHeight="15857664">
            <wp:simplePos x="0" y="0"/>
            <wp:positionH relativeFrom="page">
              <wp:posOffset>652565</wp:posOffset>
            </wp:positionH>
            <wp:positionV relativeFrom="paragraph">
              <wp:posOffset>43833</wp:posOffset>
            </wp:positionV>
            <wp:extent cx="58380" cy="72151"/>
            <wp:effectExtent l="0" t="0" r="0" b="0"/>
            <wp:wrapNone/>
            <wp:docPr id="993" name="image13.png"/>
            <wp:cNvGraphicFramePr>
              <a:graphicFrameLocks noChangeAspect="1"/>
            </wp:cNvGraphicFramePr>
            <a:graphic>
              <a:graphicData uri="http://schemas.openxmlformats.org/drawingml/2006/picture">
                <pic:pic>
                  <pic:nvPicPr>
                    <pic:cNvPr id="99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Can’t</w:t>
      </w:r>
      <w:r>
        <w:rPr>
          <w:spacing w:val="-4"/>
          <w:sz w:val="18"/>
        </w:rPr>
        <w:t> </w:t>
      </w:r>
      <w:r>
        <w:rPr>
          <w:sz w:val="18"/>
        </w:rPr>
        <w:t>say/don’t</w:t>
      </w:r>
      <w:r>
        <w:rPr>
          <w:spacing w:val="-4"/>
          <w:sz w:val="18"/>
        </w:rPr>
        <w:t> </w:t>
      </w:r>
      <w:r>
        <w:rPr>
          <w:sz w:val="18"/>
        </w:rPr>
        <w:t>know</w:t>
      </w:r>
    </w:p>
    <w:p>
      <w:pPr>
        <w:pStyle w:val="BodyText"/>
        <w:spacing w:before="11"/>
        <w:rPr>
          <w:sz w:val="22"/>
        </w:rPr>
      </w:pPr>
    </w:p>
    <w:p>
      <w:pPr>
        <w:pStyle w:val="ListParagraph"/>
        <w:numPr>
          <w:ilvl w:val="0"/>
          <w:numId w:val="77"/>
        </w:numPr>
        <w:tabs>
          <w:tab w:pos="499" w:val="left" w:leader="none"/>
          <w:tab w:pos="500" w:val="left" w:leader="none"/>
        </w:tabs>
        <w:spacing w:line="240" w:lineRule="auto" w:before="0" w:after="0"/>
        <w:ind w:left="500" w:right="462" w:hanging="360"/>
        <w:jc w:val="left"/>
        <w:rPr>
          <w:sz w:val="18"/>
        </w:rPr>
      </w:pPr>
      <w:r>
        <w:rPr>
          <w:sz w:val="18"/>
        </w:rPr>
        <w:t>Since the start of the HCH program, how has the use of My Health Record changed for GPs and other clinicians in</w:t>
      </w:r>
      <w:r>
        <w:rPr>
          <w:spacing w:val="-47"/>
          <w:sz w:val="18"/>
        </w:rPr>
        <w:t> </w:t>
      </w:r>
      <w:r>
        <w:rPr>
          <w:sz w:val="18"/>
        </w:rPr>
        <w:t>you</w:t>
      </w:r>
      <w:r>
        <w:rPr>
          <w:spacing w:val="-1"/>
          <w:sz w:val="18"/>
        </w:rPr>
        <w:t> </w:t>
      </w:r>
      <w:r>
        <w:rPr>
          <w:sz w:val="18"/>
        </w:rPr>
        <w:t>practice/service </w:t>
      </w:r>
      <w:r>
        <w:rPr>
          <w:sz w:val="18"/>
          <w:u w:val="single"/>
        </w:rPr>
        <w:t>for HCH</w:t>
      </w:r>
      <w:r>
        <w:rPr>
          <w:spacing w:val="-1"/>
          <w:sz w:val="18"/>
          <w:u w:val="single"/>
        </w:rPr>
        <w:t> </w:t>
      </w:r>
      <w:r>
        <w:rPr>
          <w:sz w:val="18"/>
          <w:u w:val="single"/>
        </w:rPr>
        <w:t>patients</w:t>
      </w:r>
      <w:r>
        <w:rPr>
          <w:sz w:val="18"/>
        </w:rPr>
        <w:t>?</w:t>
      </w:r>
    </w:p>
    <w:p>
      <w:pPr>
        <w:pStyle w:val="BodyText"/>
        <w:spacing w:before="3"/>
        <w:rPr>
          <w:sz w:val="16"/>
        </w:rPr>
      </w:pPr>
    </w:p>
    <w:p>
      <w:pPr>
        <w:pStyle w:val="ListParagraph"/>
        <w:numPr>
          <w:ilvl w:val="0"/>
          <w:numId w:val="79"/>
        </w:numPr>
        <w:tabs>
          <w:tab w:pos="933" w:val="left" w:leader="none"/>
        </w:tabs>
        <w:spacing w:line="240" w:lineRule="auto" w:before="0" w:after="0"/>
        <w:ind w:left="932" w:right="0" w:hanging="152"/>
        <w:jc w:val="left"/>
        <w:rPr>
          <w:sz w:val="18"/>
        </w:rPr>
      </w:pPr>
      <w:r>
        <w:rPr/>
        <w:drawing>
          <wp:anchor distT="0" distB="0" distL="0" distR="0" allowOverlap="1" layoutInCell="1" locked="0" behindDoc="0" simplePos="0" relativeHeight="15858176">
            <wp:simplePos x="0" y="0"/>
            <wp:positionH relativeFrom="page">
              <wp:posOffset>652565</wp:posOffset>
            </wp:positionH>
            <wp:positionV relativeFrom="paragraph">
              <wp:posOffset>43833</wp:posOffset>
            </wp:positionV>
            <wp:extent cx="58380" cy="72151"/>
            <wp:effectExtent l="0" t="0" r="0" b="0"/>
            <wp:wrapNone/>
            <wp:docPr id="995" name="image13.png"/>
            <wp:cNvGraphicFramePr>
              <a:graphicFrameLocks noChangeAspect="1"/>
            </wp:cNvGraphicFramePr>
            <a:graphic>
              <a:graphicData uri="http://schemas.openxmlformats.org/drawingml/2006/picture">
                <pic:pic>
                  <pic:nvPicPr>
                    <pic:cNvPr id="99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Significant</w:t>
      </w:r>
      <w:r>
        <w:rPr>
          <w:spacing w:val="-7"/>
          <w:sz w:val="18"/>
        </w:rPr>
        <w:t> </w:t>
      </w:r>
      <w:r>
        <w:rPr>
          <w:sz w:val="18"/>
        </w:rPr>
        <w:t>increase</w:t>
      </w:r>
    </w:p>
    <w:p>
      <w:pPr>
        <w:pStyle w:val="ListParagraph"/>
        <w:numPr>
          <w:ilvl w:val="0"/>
          <w:numId w:val="79"/>
        </w:numPr>
        <w:tabs>
          <w:tab w:pos="933" w:val="left" w:leader="none"/>
        </w:tabs>
        <w:spacing w:line="240" w:lineRule="auto" w:before="0" w:after="0"/>
        <w:ind w:left="781" w:right="8241" w:firstLine="0"/>
        <w:jc w:val="left"/>
        <w:rPr>
          <w:sz w:val="18"/>
        </w:rPr>
      </w:pPr>
      <w:r>
        <w:rPr/>
        <w:drawing>
          <wp:anchor distT="0" distB="0" distL="0" distR="0" allowOverlap="1" layoutInCell="1" locked="0" behindDoc="0" simplePos="0" relativeHeight="15858688">
            <wp:simplePos x="0" y="0"/>
            <wp:positionH relativeFrom="page">
              <wp:posOffset>652565</wp:posOffset>
            </wp:positionH>
            <wp:positionV relativeFrom="paragraph">
              <wp:posOffset>43833</wp:posOffset>
            </wp:positionV>
            <wp:extent cx="58380" cy="72151"/>
            <wp:effectExtent l="0" t="0" r="0" b="0"/>
            <wp:wrapNone/>
            <wp:docPr id="997" name="image13.png"/>
            <wp:cNvGraphicFramePr>
              <a:graphicFrameLocks noChangeAspect="1"/>
            </wp:cNvGraphicFramePr>
            <a:graphic>
              <a:graphicData uri="http://schemas.openxmlformats.org/drawingml/2006/picture">
                <pic:pic>
                  <pic:nvPicPr>
                    <pic:cNvPr id="998"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859200">
            <wp:simplePos x="0" y="0"/>
            <wp:positionH relativeFrom="page">
              <wp:posOffset>652565</wp:posOffset>
            </wp:positionH>
            <wp:positionV relativeFrom="paragraph">
              <wp:posOffset>184041</wp:posOffset>
            </wp:positionV>
            <wp:extent cx="58380" cy="72151"/>
            <wp:effectExtent l="0" t="0" r="0" b="0"/>
            <wp:wrapNone/>
            <wp:docPr id="999" name="image13.png"/>
            <wp:cNvGraphicFramePr>
              <a:graphicFrameLocks noChangeAspect="1"/>
            </wp:cNvGraphicFramePr>
            <a:graphic>
              <a:graphicData uri="http://schemas.openxmlformats.org/drawingml/2006/picture">
                <pic:pic>
                  <pic:nvPicPr>
                    <pic:cNvPr id="100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Moderate increase</w:t>
      </w:r>
      <w:r>
        <w:rPr>
          <w:spacing w:val="-47"/>
          <w:sz w:val="18"/>
        </w:rPr>
        <w:t> </w:t>
      </w:r>
      <w:r>
        <w:rPr>
          <w:sz w:val="18"/>
        </w:rPr>
        <w:t>3 Much</w:t>
      </w:r>
      <w:r>
        <w:rPr>
          <w:spacing w:val="-1"/>
          <w:sz w:val="18"/>
        </w:rPr>
        <w:t> </w:t>
      </w:r>
      <w:r>
        <w:rPr>
          <w:sz w:val="18"/>
        </w:rPr>
        <w:t>the</w:t>
      </w:r>
      <w:r>
        <w:rPr>
          <w:spacing w:val="-1"/>
          <w:sz w:val="18"/>
        </w:rPr>
        <w:t> </w:t>
      </w:r>
      <w:r>
        <w:rPr>
          <w:sz w:val="18"/>
        </w:rPr>
        <w:t>same</w:t>
      </w:r>
    </w:p>
    <w:p>
      <w:pPr>
        <w:pStyle w:val="ListParagraph"/>
        <w:numPr>
          <w:ilvl w:val="0"/>
          <w:numId w:val="80"/>
        </w:numPr>
        <w:tabs>
          <w:tab w:pos="933" w:val="left" w:leader="none"/>
        </w:tabs>
        <w:spacing w:line="240" w:lineRule="auto" w:before="1" w:after="0"/>
        <w:ind w:left="932" w:right="0" w:hanging="152"/>
        <w:jc w:val="left"/>
        <w:rPr>
          <w:sz w:val="18"/>
        </w:rPr>
      </w:pPr>
      <w:r>
        <w:rPr/>
        <w:drawing>
          <wp:anchor distT="0" distB="0" distL="0" distR="0" allowOverlap="1" layoutInCell="1" locked="0" behindDoc="0" simplePos="0" relativeHeight="15859712">
            <wp:simplePos x="0" y="0"/>
            <wp:positionH relativeFrom="page">
              <wp:posOffset>652565</wp:posOffset>
            </wp:positionH>
            <wp:positionV relativeFrom="paragraph">
              <wp:posOffset>44214</wp:posOffset>
            </wp:positionV>
            <wp:extent cx="58380" cy="72151"/>
            <wp:effectExtent l="0" t="0" r="0" b="0"/>
            <wp:wrapNone/>
            <wp:docPr id="1001" name="image13.png"/>
            <wp:cNvGraphicFramePr>
              <a:graphicFrameLocks noChangeAspect="1"/>
            </wp:cNvGraphicFramePr>
            <a:graphic>
              <a:graphicData uri="http://schemas.openxmlformats.org/drawingml/2006/picture">
                <pic:pic>
                  <pic:nvPicPr>
                    <pic:cNvPr id="100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Decreased</w:t>
      </w:r>
    </w:p>
    <w:p>
      <w:pPr>
        <w:pStyle w:val="ListParagraph"/>
        <w:numPr>
          <w:ilvl w:val="0"/>
          <w:numId w:val="80"/>
        </w:numPr>
        <w:tabs>
          <w:tab w:pos="932" w:val="left" w:leader="none"/>
        </w:tabs>
        <w:spacing w:line="240" w:lineRule="auto" w:before="0" w:after="0"/>
        <w:ind w:left="931" w:right="0" w:hanging="151"/>
        <w:jc w:val="left"/>
        <w:rPr>
          <w:sz w:val="18"/>
        </w:rPr>
      </w:pPr>
      <w:r>
        <w:rPr/>
        <w:drawing>
          <wp:anchor distT="0" distB="0" distL="0" distR="0" allowOverlap="1" layoutInCell="1" locked="0" behindDoc="0" simplePos="0" relativeHeight="15860224">
            <wp:simplePos x="0" y="0"/>
            <wp:positionH relativeFrom="page">
              <wp:posOffset>652565</wp:posOffset>
            </wp:positionH>
            <wp:positionV relativeFrom="paragraph">
              <wp:posOffset>43386</wp:posOffset>
            </wp:positionV>
            <wp:extent cx="58380" cy="73869"/>
            <wp:effectExtent l="0" t="0" r="0" b="0"/>
            <wp:wrapNone/>
            <wp:docPr id="1003" name="image14.png"/>
            <wp:cNvGraphicFramePr>
              <a:graphicFrameLocks noChangeAspect="1"/>
            </wp:cNvGraphicFramePr>
            <a:graphic>
              <a:graphicData uri="http://schemas.openxmlformats.org/drawingml/2006/picture">
                <pic:pic>
                  <pic:nvPicPr>
                    <pic:cNvPr id="1004"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Can’t</w:t>
      </w:r>
      <w:r>
        <w:rPr>
          <w:spacing w:val="-4"/>
          <w:sz w:val="18"/>
        </w:rPr>
        <w:t> </w:t>
      </w:r>
      <w:r>
        <w:rPr>
          <w:sz w:val="18"/>
        </w:rPr>
        <w:t>say/don’t</w:t>
      </w:r>
      <w:r>
        <w:rPr>
          <w:spacing w:val="-4"/>
          <w:sz w:val="18"/>
        </w:rPr>
        <w:t> </w:t>
      </w:r>
      <w:r>
        <w:rPr>
          <w:sz w:val="18"/>
        </w:rPr>
        <w:t>know</w:t>
      </w:r>
    </w:p>
    <w:p>
      <w:pPr>
        <w:spacing w:after="0" w:line="240" w:lineRule="auto"/>
        <w:jc w:val="left"/>
        <w:rPr>
          <w:sz w:val="18"/>
        </w:rPr>
        <w:sectPr>
          <w:pgSz w:w="11910" w:h="16840"/>
          <w:pgMar w:header="0" w:footer="948" w:top="860" w:bottom="1140" w:left="580" w:right="480"/>
        </w:sectPr>
      </w:pPr>
    </w:p>
    <w:p>
      <w:pPr>
        <w:pStyle w:val="ListParagraph"/>
        <w:numPr>
          <w:ilvl w:val="0"/>
          <w:numId w:val="77"/>
        </w:numPr>
        <w:tabs>
          <w:tab w:pos="499" w:val="left" w:leader="none"/>
          <w:tab w:pos="500" w:val="left" w:leader="none"/>
        </w:tabs>
        <w:spacing w:line="240" w:lineRule="auto" w:before="75" w:after="0"/>
        <w:ind w:left="500" w:right="316" w:hanging="360"/>
        <w:jc w:val="left"/>
        <w:rPr>
          <w:sz w:val="18"/>
        </w:rPr>
      </w:pPr>
      <w:r>
        <w:rPr>
          <w:sz w:val="18"/>
        </w:rPr>
        <w:t>Since the start of the HCH program, what is your assessment of changes in the levels of engagement/ activation for</w:t>
      </w:r>
      <w:r>
        <w:rPr>
          <w:spacing w:val="-47"/>
          <w:sz w:val="18"/>
        </w:rPr>
        <w:t> </w:t>
      </w:r>
      <w:r>
        <w:rPr>
          <w:sz w:val="18"/>
        </w:rPr>
        <w:t>HCH</w:t>
      </w:r>
      <w:r>
        <w:rPr>
          <w:spacing w:val="-1"/>
          <w:sz w:val="18"/>
        </w:rPr>
        <w:t> </w:t>
      </w:r>
      <w:r>
        <w:rPr>
          <w:sz w:val="18"/>
        </w:rPr>
        <w:t>patients</w:t>
      </w:r>
      <w:r>
        <w:rPr>
          <w:spacing w:val="1"/>
          <w:sz w:val="18"/>
        </w:rPr>
        <w:t> </w:t>
      </w:r>
      <w:r>
        <w:rPr>
          <w:sz w:val="18"/>
        </w:rPr>
        <w:t>at</w:t>
      </w:r>
      <w:r>
        <w:rPr>
          <w:spacing w:val="-2"/>
          <w:sz w:val="18"/>
        </w:rPr>
        <w:t> </w:t>
      </w:r>
      <w:r>
        <w:rPr>
          <w:sz w:val="18"/>
        </w:rPr>
        <w:t>this</w:t>
      </w:r>
      <w:r>
        <w:rPr>
          <w:spacing w:val="-1"/>
          <w:sz w:val="18"/>
        </w:rPr>
        <w:t> </w:t>
      </w:r>
      <w:r>
        <w:rPr>
          <w:sz w:val="18"/>
        </w:rPr>
        <w:t>practice/ service?</w:t>
      </w:r>
    </w:p>
    <w:p>
      <w:pPr>
        <w:pStyle w:val="BodyText"/>
        <w:spacing w:before="4"/>
        <w:rPr>
          <w:sz w:val="16"/>
        </w:rPr>
      </w:pPr>
    </w:p>
    <w:p>
      <w:pPr>
        <w:spacing w:before="0"/>
        <w:ind w:left="1206" w:right="3008" w:firstLine="0"/>
        <w:jc w:val="both"/>
        <w:rPr>
          <w:sz w:val="18"/>
        </w:rPr>
      </w:pPr>
      <w:r>
        <w:rPr/>
        <w:drawing>
          <wp:anchor distT="0" distB="0" distL="0" distR="0" allowOverlap="1" layoutInCell="1" locked="0" behindDoc="0" simplePos="0" relativeHeight="15860736">
            <wp:simplePos x="0" y="0"/>
            <wp:positionH relativeFrom="page">
              <wp:posOffset>922313</wp:posOffset>
            </wp:positionH>
            <wp:positionV relativeFrom="paragraph">
              <wp:posOffset>44849</wp:posOffset>
            </wp:positionV>
            <wp:extent cx="58380" cy="72151"/>
            <wp:effectExtent l="0" t="0" r="0" b="0"/>
            <wp:wrapNone/>
            <wp:docPr id="1005" name="image13.png"/>
            <wp:cNvGraphicFramePr>
              <a:graphicFrameLocks noChangeAspect="1"/>
            </wp:cNvGraphicFramePr>
            <a:graphic>
              <a:graphicData uri="http://schemas.openxmlformats.org/drawingml/2006/picture">
                <pic:pic>
                  <pic:nvPicPr>
                    <pic:cNvPr id="1006"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861248">
            <wp:simplePos x="0" y="0"/>
            <wp:positionH relativeFrom="page">
              <wp:posOffset>922313</wp:posOffset>
            </wp:positionH>
            <wp:positionV relativeFrom="paragraph">
              <wp:posOffset>184864</wp:posOffset>
            </wp:positionV>
            <wp:extent cx="58380" cy="73869"/>
            <wp:effectExtent l="0" t="0" r="0" b="0"/>
            <wp:wrapNone/>
            <wp:docPr id="1007" name="image14.png"/>
            <wp:cNvGraphicFramePr>
              <a:graphicFrameLocks noChangeAspect="1"/>
            </wp:cNvGraphicFramePr>
            <a:graphic>
              <a:graphicData uri="http://schemas.openxmlformats.org/drawingml/2006/picture">
                <pic:pic>
                  <pic:nvPicPr>
                    <pic:cNvPr id="1008" name="image14.png"/>
                    <pic:cNvPicPr/>
                  </pic:nvPicPr>
                  <pic:blipFill>
                    <a:blip r:embed="rId43" cstate="print"/>
                    <a:stretch>
                      <a:fillRect/>
                    </a:stretch>
                  </pic:blipFill>
                  <pic:spPr>
                    <a:xfrm>
                      <a:off x="0" y="0"/>
                      <a:ext cx="58380" cy="73869"/>
                    </a:xfrm>
                    <a:prstGeom prst="rect">
                      <a:avLst/>
                    </a:prstGeom>
                  </pic:spPr>
                </pic:pic>
              </a:graphicData>
            </a:graphic>
          </wp:anchor>
        </w:drawing>
      </w:r>
      <w:r>
        <w:rPr/>
        <w:drawing>
          <wp:anchor distT="0" distB="0" distL="0" distR="0" allowOverlap="1" layoutInCell="1" locked="0" behindDoc="0" simplePos="0" relativeHeight="15861760">
            <wp:simplePos x="0" y="0"/>
            <wp:positionH relativeFrom="page">
              <wp:posOffset>922313</wp:posOffset>
            </wp:positionH>
            <wp:positionV relativeFrom="paragraph">
              <wp:posOffset>325265</wp:posOffset>
            </wp:positionV>
            <wp:extent cx="58380" cy="72151"/>
            <wp:effectExtent l="0" t="0" r="0" b="0"/>
            <wp:wrapNone/>
            <wp:docPr id="1009" name="image13.png"/>
            <wp:cNvGraphicFramePr>
              <a:graphicFrameLocks noChangeAspect="1"/>
            </wp:cNvGraphicFramePr>
            <a:graphic>
              <a:graphicData uri="http://schemas.openxmlformats.org/drawingml/2006/picture">
                <pic:pic>
                  <pic:nvPicPr>
                    <pic:cNvPr id="101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1 Significant improvement in the level of engagement/activation of patients</w:t>
      </w:r>
      <w:r>
        <w:rPr>
          <w:spacing w:val="-48"/>
          <w:sz w:val="18"/>
        </w:rPr>
        <w:t> </w:t>
      </w:r>
      <w:r>
        <w:rPr>
          <w:sz w:val="18"/>
        </w:rPr>
        <w:t>2 Moderate improvement in the level of engagement/activation of patients</w:t>
      </w:r>
      <w:r>
        <w:rPr>
          <w:spacing w:val="-47"/>
          <w:sz w:val="18"/>
        </w:rPr>
        <w:t> </w:t>
      </w:r>
      <w:r>
        <w:rPr>
          <w:sz w:val="18"/>
        </w:rPr>
        <w:t>3</w:t>
      </w:r>
      <w:r>
        <w:rPr>
          <w:spacing w:val="-2"/>
          <w:sz w:val="18"/>
        </w:rPr>
        <w:t> </w:t>
      </w:r>
      <w:r>
        <w:rPr>
          <w:sz w:val="18"/>
        </w:rPr>
        <w:t>Small</w:t>
      </w:r>
      <w:r>
        <w:rPr>
          <w:spacing w:val="-2"/>
          <w:sz w:val="18"/>
        </w:rPr>
        <w:t> </w:t>
      </w:r>
      <w:r>
        <w:rPr>
          <w:sz w:val="18"/>
        </w:rPr>
        <w:t>improvement</w:t>
      </w:r>
      <w:r>
        <w:rPr>
          <w:spacing w:val="-4"/>
          <w:sz w:val="18"/>
        </w:rPr>
        <w:t> </w:t>
      </w:r>
      <w:r>
        <w:rPr>
          <w:sz w:val="18"/>
        </w:rPr>
        <w:t>in</w:t>
      </w:r>
      <w:r>
        <w:rPr>
          <w:spacing w:val="-1"/>
          <w:sz w:val="18"/>
        </w:rPr>
        <w:t> </w:t>
      </w:r>
      <w:r>
        <w:rPr>
          <w:sz w:val="18"/>
        </w:rPr>
        <w:t>the</w:t>
      </w:r>
      <w:r>
        <w:rPr>
          <w:spacing w:val="-2"/>
          <w:sz w:val="18"/>
        </w:rPr>
        <w:t> </w:t>
      </w:r>
      <w:r>
        <w:rPr>
          <w:sz w:val="18"/>
        </w:rPr>
        <w:t>level</w:t>
      </w:r>
      <w:r>
        <w:rPr>
          <w:spacing w:val="-1"/>
          <w:sz w:val="18"/>
        </w:rPr>
        <w:t> </w:t>
      </w:r>
      <w:r>
        <w:rPr>
          <w:sz w:val="18"/>
        </w:rPr>
        <w:t>of</w:t>
      </w:r>
      <w:r>
        <w:rPr>
          <w:spacing w:val="-2"/>
          <w:sz w:val="18"/>
        </w:rPr>
        <w:t> </w:t>
      </w:r>
      <w:r>
        <w:rPr>
          <w:sz w:val="18"/>
        </w:rPr>
        <w:t>engagement/activation</w:t>
      </w:r>
      <w:r>
        <w:rPr>
          <w:spacing w:val="-2"/>
          <w:sz w:val="18"/>
        </w:rPr>
        <w:t> </w:t>
      </w:r>
      <w:r>
        <w:rPr>
          <w:sz w:val="18"/>
        </w:rPr>
        <w:t>of</w:t>
      </w:r>
      <w:r>
        <w:rPr>
          <w:spacing w:val="-3"/>
          <w:sz w:val="18"/>
        </w:rPr>
        <w:t> </w:t>
      </w:r>
      <w:r>
        <w:rPr>
          <w:sz w:val="18"/>
        </w:rPr>
        <w:t>patients</w:t>
      </w:r>
    </w:p>
    <w:p>
      <w:pPr>
        <w:pStyle w:val="ListParagraph"/>
        <w:numPr>
          <w:ilvl w:val="0"/>
          <w:numId w:val="81"/>
        </w:numPr>
        <w:tabs>
          <w:tab w:pos="1357" w:val="left" w:leader="none"/>
        </w:tabs>
        <w:spacing w:line="240" w:lineRule="auto" w:before="0" w:after="0"/>
        <w:ind w:left="1356" w:right="0" w:hanging="151"/>
        <w:jc w:val="both"/>
        <w:rPr>
          <w:sz w:val="18"/>
        </w:rPr>
      </w:pPr>
      <w:r>
        <w:rPr/>
        <w:drawing>
          <wp:anchor distT="0" distB="0" distL="0" distR="0" allowOverlap="1" layoutInCell="1" locked="0" behindDoc="0" simplePos="0" relativeHeight="15862272">
            <wp:simplePos x="0" y="0"/>
            <wp:positionH relativeFrom="page">
              <wp:posOffset>922313</wp:posOffset>
            </wp:positionH>
            <wp:positionV relativeFrom="paragraph">
              <wp:posOffset>44849</wp:posOffset>
            </wp:positionV>
            <wp:extent cx="58380" cy="72151"/>
            <wp:effectExtent l="0" t="0" r="0" b="0"/>
            <wp:wrapNone/>
            <wp:docPr id="1011" name="image13.png"/>
            <wp:cNvGraphicFramePr>
              <a:graphicFrameLocks noChangeAspect="1"/>
            </wp:cNvGraphicFramePr>
            <a:graphic>
              <a:graphicData uri="http://schemas.openxmlformats.org/drawingml/2006/picture">
                <pic:pic>
                  <pic:nvPicPr>
                    <pic:cNvPr id="101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w:t>
      </w:r>
      <w:r>
        <w:rPr>
          <w:spacing w:val="-4"/>
          <w:sz w:val="18"/>
        </w:rPr>
        <w:t> </w:t>
      </w:r>
      <w:r>
        <w:rPr>
          <w:sz w:val="18"/>
        </w:rPr>
        <w:t>improvement/reduction</w:t>
      </w:r>
      <w:r>
        <w:rPr>
          <w:spacing w:val="-4"/>
          <w:sz w:val="18"/>
        </w:rPr>
        <w:t> </w:t>
      </w:r>
      <w:r>
        <w:rPr>
          <w:sz w:val="18"/>
        </w:rPr>
        <w:t>in</w:t>
      </w:r>
      <w:r>
        <w:rPr>
          <w:spacing w:val="-3"/>
          <w:sz w:val="18"/>
        </w:rPr>
        <w:t> </w:t>
      </w:r>
      <w:r>
        <w:rPr>
          <w:sz w:val="18"/>
        </w:rPr>
        <w:t>the</w:t>
      </w:r>
      <w:r>
        <w:rPr>
          <w:spacing w:val="-4"/>
          <w:sz w:val="18"/>
        </w:rPr>
        <w:t> </w:t>
      </w:r>
      <w:r>
        <w:rPr>
          <w:sz w:val="18"/>
        </w:rPr>
        <w:t>level</w:t>
      </w:r>
      <w:r>
        <w:rPr>
          <w:spacing w:val="-3"/>
          <w:sz w:val="18"/>
        </w:rPr>
        <w:t> </w:t>
      </w:r>
      <w:r>
        <w:rPr>
          <w:sz w:val="18"/>
        </w:rPr>
        <w:t>of</w:t>
      </w:r>
      <w:r>
        <w:rPr>
          <w:spacing w:val="-4"/>
          <w:sz w:val="18"/>
        </w:rPr>
        <w:t> </w:t>
      </w:r>
      <w:r>
        <w:rPr>
          <w:sz w:val="18"/>
        </w:rPr>
        <w:t>engagement/activation</w:t>
      </w:r>
      <w:r>
        <w:rPr>
          <w:spacing w:val="-4"/>
          <w:sz w:val="18"/>
        </w:rPr>
        <w:t> </w:t>
      </w:r>
      <w:r>
        <w:rPr>
          <w:sz w:val="18"/>
        </w:rPr>
        <w:t>of</w:t>
      </w:r>
      <w:r>
        <w:rPr>
          <w:spacing w:val="-5"/>
          <w:sz w:val="18"/>
        </w:rPr>
        <w:t> </w:t>
      </w:r>
      <w:r>
        <w:rPr>
          <w:sz w:val="18"/>
        </w:rPr>
        <w:t>patients</w:t>
      </w:r>
    </w:p>
    <w:p>
      <w:pPr>
        <w:pStyle w:val="ListParagraph"/>
        <w:numPr>
          <w:ilvl w:val="0"/>
          <w:numId w:val="81"/>
        </w:numPr>
        <w:tabs>
          <w:tab w:pos="1357" w:val="left" w:leader="none"/>
        </w:tabs>
        <w:spacing w:line="240" w:lineRule="auto" w:before="1" w:after="0"/>
        <w:ind w:left="1356" w:right="0" w:hanging="151"/>
        <w:jc w:val="both"/>
        <w:rPr>
          <w:sz w:val="18"/>
        </w:rPr>
      </w:pPr>
      <w:r>
        <w:rPr/>
        <w:drawing>
          <wp:anchor distT="0" distB="0" distL="0" distR="0" allowOverlap="1" layoutInCell="1" locked="0" behindDoc="0" simplePos="0" relativeHeight="15862784">
            <wp:simplePos x="0" y="0"/>
            <wp:positionH relativeFrom="page">
              <wp:posOffset>922313</wp:posOffset>
            </wp:positionH>
            <wp:positionV relativeFrom="paragraph">
              <wp:posOffset>45486</wp:posOffset>
            </wp:positionV>
            <wp:extent cx="58380" cy="72150"/>
            <wp:effectExtent l="0" t="0" r="0" b="0"/>
            <wp:wrapNone/>
            <wp:docPr id="1013" name="image13.png"/>
            <wp:cNvGraphicFramePr>
              <a:graphicFrameLocks noChangeAspect="1"/>
            </wp:cNvGraphicFramePr>
            <a:graphic>
              <a:graphicData uri="http://schemas.openxmlformats.org/drawingml/2006/picture">
                <pic:pic>
                  <pic:nvPicPr>
                    <pic:cNvPr id="1014" name="image13.png"/>
                    <pic:cNvPicPr/>
                  </pic:nvPicPr>
                  <pic:blipFill>
                    <a:blip r:embed="rId41" cstate="print"/>
                    <a:stretch>
                      <a:fillRect/>
                    </a:stretch>
                  </pic:blipFill>
                  <pic:spPr>
                    <a:xfrm>
                      <a:off x="0" y="0"/>
                      <a:ext cx="58380" cy="72150"/>
                    </a:xfrm>
                    <a:prstGeom prst="rect">
                      <a:avLst/>
                    </a:prstGeom>
                  </pic:spPr>
                </pic:pic>
              </a:graphicData>
            </a:graphic>
          </wp:anchor>
        </w:drawing>
      </w:r>
      <w:r>
        <w:rPr>
          <w:sz w:val="18"/>
        </w:rPr>
        <w:t>Can’t</w:t>
      </w:r>
      <w:r>
        <w:rPr>
          <w:spacing w:val="-4"/>
          <w:sz w:val="18"/>
        </w:rPr>
        <w:t> </w:t>
      </w:r>
      <w:r>
        <w:rPr>
          <w:sz w:val="18"/>
        </w:rPr>
        <w:t>say/don’t</w:t>
      </w:r>
      <w:r>
        <w:rPr>
          <w:spacing w:val="-4"/>
          <w:sz w:val="18"/>
        </w:rPr>
        <w:t> </w:t>
      </w:r>
      <w:r>
        <w:rPr>
          <w:sz w:val="18"/>
        </w:rPr>
        <w:t>know</w:t>
      </w:r>
    </w:p>
    <w:p>
      <w:pPr>
        <w:pStyle w:val="BodyText"/>
        <w:spacing w:before="8"/>
        <w:rPr>
          <w:sz w:val="22"/>
        </w:rPr>
      </w:pPr>
    </w:p>
    <w:p>
      <w:pPr>
        <w:pStyle w:val="ListParagraph"/>
        <w:numPr>
          <w:ilvl w:val="0"/>
          <w:numId w:val="77"/>
        </w:numPr>
        <w:tabs>
          <w:tab w:pos="499" w:val="left" w:leader="none"/>
          <w:tab w:pos="500" w:val="left" w:leader="none"/>
        </w:tabs>
        <w:spacing w:line="240" w:lineRule="auto" w:before="0" w:after="0"/>
        <w:ind w:left="500" w:right="592" w:hanging="360"/>
        <w:jc w:val="left"/>
        <w:rPr>
          <w:sz w:val="18"/>
        </w:rPr>
      </w:pPr>
      <w:r>
        <w:rPr>
          <w:sz w:val="18"/>
        </w:rPr>
        <w:t>What have been the (up to) top three factors that have contributed improvements in the level of engagement/</w:t>
      </w:r>
      <w:r>
        <w:rPr>
          <w:spacing w:val="-47"/>
          <w:sz w:val="18"/>
        </w:rPr>
        <w:t> </w:t>
      </w:r>
      <w:r>
        <w:rPr>
          <w:sz w:val="18"/>
        </w:rPr>
        <w:t>activation</w:t>
      </w:r>
      <w:r>
        <w:rPr>
          <w:spacing w:val="1"/>
          <w:sz w:val="18"/>
        </w:rPr>
        <w:t> </w:t>
      </w:r>
      <w:r>
        <w:rPr>
          <w:sz w:val="18"/>
        </w:rPr>
        <w:t>of</w:t>
      </w:r>
      <w:r>
        <w:rPr>
          <w:spacing w:val="-2"/>
          <w:sz w:val="18"/>
        </w:rPr>
        <w:t> </w:t>
      </w:r>
      <w:r>
        <w:rPr>
          <w:sz w:val="18"/>
        </w:rPr>
        <w:t>HCH</w:t>
      </w:r>
      <w:r>
        <w:rPr>
          <w:spacing w:val="-1"/>
          <w:sz w:val="18"/>
        </w:rPr>
        <w:t> </w:t>
      </w:r>
      <w:r>
        <w:rPr>
          <w:sz w:val="18"/>
        </w:rPr>
        <w:t>patients</w:t>
      </w:r>
      <w:r>
        <w:rPr>
          <w:spacing w:val="-3"/>
          <w:sz w:val="18"/>
        </w:rPr>
        <w:t> </w:t>
      </w:r>
      <w:r>
        <w:rPr>
          <w:sz w:val="18"/>
        </w:rPr>
        <w:t>at</w:t>
      </w:r>
      <w:r>
        <w:rPr>
          <w:spacing w:val="-2"/>
          <w:sz w:val="18"/>
        </w:rPr>
        <w:t> </w:t>
      </w:r>
      <w:r>
        <w:rPr>
          <w:sz w:val="18"/>
        </w:rPr>
        <w:t>you practice/service?</w:t>
      </w:r>
    </w:p>
    <w:p>
      <w:pPr>
        <w:pStyle w:val="BodyText"/>
        <w:spacing w:before="9"/>
        <w:rPr>
          <w:sz w:val="16"/>
        </w:rPr>
      </w:pPr>
    </w:p>
    <w:tbl>
      <w:tblPr>
        <w:tblW w:w="0" w:type="auto"/>
        <w:jc w:val="left"/>
        <w:tblInd w:w="75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9974"/>
      </w:tblGrid>
      <w:tr>
        <w:trPr>
          <w:trHeight w:val="489" w:hRule="atLeast"/>
        </w:trPr>
        <w:tc>
          <w:tcPr>
            <w:tcW w:w="9974" w:type="dxa"/>
          </w:tcPr>
          <w:p>
            <w:pPr>
              <w:pStyle w:val="TableParagraph"/>
              <w:spacing w:before="18"/>
              <w:ind w:left="112"/>
              <w:rPr>
                <w:sz w:val="18"/>
              </w:rPr>
            </w:pPr>
            <w:r>
              <w:rPr>
                <w:sz w:val="18"/>
              </w:rPr>
              <w:t>1.</w:t>
            </w:r>
          </w:p>
        </w:tc>
      </w:tr>
      <w:tr>
        <w:trPr>
          <w:trHeight w:val="494" w:hRule="atLeast"/>
        </w:trPr>
        <w:tc>
          <w:tcPr>
            <w:tcW w:w="9974" w:type="dxa"/>
          </w:tcPr>
          <w:p>
            <w:pPr>
              <w:pStyle w:val="TableParagraph"/>
              <w:spacing w:before="20"/>
              <w:ind w:left="112"/>
              <w:rPr>
                <w:sz w:val="18"/>
              </w:rPr>
            </w:pPr>
            <w:r>
              <w:rPr>
                <w:sz w:val="18"/>
              </w:rPr>
              <w:t>2.</w:t>
            </w:r>
          </w:p>
        </w:tc>
      </w:tr>
      <w:tr>
        <w:trPr>
          <w:trHeight w:val="484" w:hRule="atLeast"/>
        </w:trPr>
        <w:tc>
          <w:tcPr>
            <w:tcW w:w="9974" w:type="dxa"/>
          </w:tcPr>
          <w:p>
            <w:pPr>
              <w:pStyle w:val="TableParagraph"/>
              <w:spacing w:before="20"/>
              <w:ind w:left="112"/>
              <w:rPr>
                <w:sz w:val="18"/>
              </w:rPr>
            </w:pPr>
            <w:r>
              <w:rPr>
                <w:sz w:val="18"/>
              </w:rPr>
              <w:t>3.</w:t>
            </w:r>
          </w:p>
        </w:tc>
      </w:tr>
    </w:tbl>
    <w:p>
      <w:pPr>
        <w:pStyle w:val="BodyText"/>
        <w:spacing w:before="2"/>
        <w:rPr>
          <w:sz w:val="16"/>
        </w:rPr>
      </w:pPr>
    </w:p>
    <w:p>
      <w:pPr>
        <w:pStyle w:val="ListParagraph"/>
        <w:numPr>
          <w:ilvl w:val="0"/>
          <w:numId w:val="77"/>
        </w:numPr>
        <w:tabs>
          <w:tab w:pos="499" w:val="left" w:leader="none"/>
          <w:tab w:pos="500" w:val="left" w:leader="none"/>
        </w:tabs>
        <w:spacing w:line="240" w:lineRule="auto" w:before="0" w:after="0"/>
        <w:ind w:left="500" w:right="1137" w:hanging="360"/>
        <w:jc w:val="left"/>
        <w:rPr>
          <w:sz w:val="18"/>
        </w:rPr>
      </w:pPr>
      <w:r>
        <w:rPr>
          <w:sz w:val="18"/>
        </w:rPr>
        <w:t>What have been the (up to) top three factors that have prevented or limited improvements in the level of</w:t>
      </w:r>
      <w:r>
        <w:rPr>
          <w:spacing w:val="-47"/>
          <w:sz w:val="18"/>
        </w:rPr>
        <w:t> </w:t>
      </w:r>
      <w:r>
        <w:rPr>
          <w:sz w:val="18"/>
        </w:rPr>
        <w:t>engagement/</w:t>
      </w:r>
      <w:r>
        <w:rPr>
          <w:spacing w:val="-1"/>
          <w:sz w:val="18"/>
        </w:rPr>
        <w:t> </w:t>
      </w:r>
      <w:r>
        <w:rPr>
          <w:sz w:val="18"/>
        </w:rPr>
        <w:t>activation</w:t>
      </w:r>
      <w:r>
        <w:rPr>
          <w:spacing w:val="3"/>
          <w:sz w:val="18"/>
        </w:rPr>
        <w:t> </w:t>
      </w:r>
      <w:r>
        <w:rPr>
          <w:sz w:val="18"/>
        </w:rPr>
        <w:t>for</w:t>
      </w:r>
      <w:r>
        <w:rPr>
          <w:spacing w:val="-3"/>
          <w:sz w:val="18"/>
        </w:rPr>
        <w:t> </w:t>
      </w:r>
      <w:r>
        <w:rPr>
          <w:sz w:val="18"/>
        </w:rPr>
        <w:t>HCH</w:t>
      </w:r>
      <w:r>
        <w:rPr>
          <w:spacing w:val="-1"/>
          <w:sz w:val="18"/>
        </w:rPr>
        <w:t> </w:t>
      </w:r>
      <w:r>
        <w:rPr>
          <w:sz w:val="18"/>
        </w:rPr>
        <w:t>patients</w:t>
      </w:r>
      <w:r>
        <w:rPr>
          <w:spacing w:val="-2"/>
          <w:sz w:val="18"/>
        </w:rPr>
        <w:t> </w:t>
      </w:r>
      <w:r>
        <w:rPr>
          <w:sz w:val="18"/>
        </w:rPr>
        <w:t>at</w:t>
      </w:r>
      <w:r>
        <w:rPr>
          <w:spacing w:val="-2"/>
          <w:sz w:val="18"/>
        </w:rPr>
        <w:t> </w:t>
      </w:r>
      <w:r>
        <w:rPr>
          <w:sz w:val="18"/>
        </w:rPr>
        <w:t>your practice/service?</w:t>
      </w:r>
    </w:p>
    <w:p>
      <w:pPr>
        <w:pStyle w:val="BodyText"/>
        <w:spacing w:before="7"/>
        <w:rPr>
          <w:sz w:val="16"/>
        </w:rPr>
      </w:pPr>
    </w:p>
    <w:tbl>
      <w:tblPr>
        <w:tblW w:w="0" w:type="auto"/>
        <w:jc w:val="left"/>
        <w:tblInd w:w="75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9974"/>
      </w:tblGrid>
      <w:tr>
        <w:trPr>
          <w:trHeight w:val="491" w:hRule="atLeast"/>
        </w:trPr>
        <w:tc>
          <w:tcPr>
            <w:tcW w:w="9974" w:type="dxa"/>
          </w:tcPr>
          <w:p>
            <w:pPr>
              <w:pStyle w:val="TableParagraph"/>
              <w:spacing w:before="18"/>
              <w:ind w:left="112"/>
              <w:rPr>
                <w:sz w:val="18"/>
              </w:rPr>
            </w:pPr>
            <w:r>
              <w:rPr>
                <w:sz w:val="18"/>
              </w:rPr>
              <w:t>1.</w:t>
            </w:r>
          </w:p>
        </w:tc>
      </w:tr>
      <w:tr>
        <w:trPr>
          <w:trHeight w:val="493" w:hRule="atLeast"/>
        </w:trPr>
        <w:tc>
          <w:tcPr>
            <w:tcW w:w="9974" w:type="dxa"/>
          </w:tcPr>
          <w:p>
            <w:pPr>
              <w:pStyle w:val="TableParagraph"/>
              <w:spacing w:before="20"/>
              <w:ind w:left="112"/>
              <w:rPr>
                <w:sz w:val="18"/>
              </w:rPr>
            </w:pPr>
            <w:r>
              <w:rPr>
                <w:sz w:val="18"/>
              </w:rPr>
              <w:t>2.</w:t>
            </w:r>
          </w:p>
        </w:tc>
      </w:tr>
      <w:tr>
        <w:trPr>
          <w:trHeight w:val="482" w:hRule="atLeast"/>
        </w:trPr>
        <w:tc>
          <w:tcPr>
            <w:tcW w:w="9974" w:type="dxa"/>
          </w:tcPr>
          <w:p>
            <w:pPr>
              <w:pStyle w:val="TableParagraph"/>
              <w:spacing w:before="20"/>
              <w:ind w:left="112"/>
              <w:rPr>
                <w:sz w:val="18"/>
              </w:rPr>
            </w:pPr>
            <w:r>
              <w:rPr>
                <w:sz w:val="18"/>
              </w:rPr>
              <w:t>3.</w:t>
            </w:r>
          </w:p>
        </w:tc>
      </w:tr>
    </w:tbl>
    <w:p>
      <w:pPr>
        <w:spacing w:after="0"/>
        <w:rPr>
          <w:sz w:val="18"/>
        </w:rPr>
        <w:sectPr>
          <w:pgSz w:w="11910" w:h="16840"/>
          <w:pgMar w:header="0" w:footer="948" w:top="860" w:bottom="1140" w:left="580" w:right="480"/>
        </w:sectPr>
      </w:pPr>
    </w:p>
    <w:p>
      <w:pPr>
        <w:pStyle w:val="ListParagraph"/>
        <w:numPr>
          <w:ilvl w:val="0"/>
          <w:numId w:val="82"/>
        </w:numPr>
        <w:tabs>
          <w:tab w:pos="460" w:val="left" w:leader="none"/>
        </w:tabs>
        <w:spacing w:line="240" w:lineRule="auto" w:before="87" w:after="0"/>
        <w:ind w:left="460" w:right="117" w:hanging="360"/>
        <w:jc w:val="left"/>
        <w:rPr>
          <w:sz w:val="18"/>
        </w:rPr>
      </w:pPr>
      <w:r>
        <w:rPr>
          <w:sz w:val="18"/>
        </w:rPr>
        <w:t>The following is a list of initiatives that practices/ services have implemented as part of HCH. In the HCH survey conducted in late 2019, your practice identified whether these</w:t>
      </w:r>
      <w:r>
        <w:rPr>
          <w:spacing w:val="-47"/>
          <w:sz w:val="18"/>
        </w:rPr>
        <w:t> </w:t>
      </w:r>
      <w:r>
        <w:rPr>
          <w:sz w:val="18"/>
        </w:rPr>
        <w:t>were features of your practice/ service that were in place before you started participating in HCH, and if not, whether this is a change you are planning to make during the</w:t>
      </w:r>
      <w:r>
        <w:rPr>
          <w:spacing w:val="1"/>
          <w:sz w:val="18"/>
        </w:rPr>
        <w:t> </w:t>
      </w:r>
      <w:r>
        <w:rPr>
          <w:sz w:val="18"/>
        </w:rPr>
        <w:t>trial?</w:t>
      </w:r>
      <w:r>
        <w:rPr>
          <w:spacing w:val="-1"/>
          <w:sz w:val="18"/>
        </w:rPr>
        <w:t> </w:t>
      </w:r>
      <w:r>
        <w:rPr>
          <w:sz w:val="18"/>
        </w:rPr>
        <w:t>Could</w:t>
      </w:r>
      <w:r>
        <w:rPr>
          <w:spacing w:val="-2"/>
          <w:sz w:val="18"/>
        </w:rPr>
        <w:t> </w:t>
      </w:r>
      <w:r>
        <w:rPr>
          <w:sz w:val="18"/>
        </w:rPr>
        <w:t>you</w:t>
      </w:r>
      <w:r>
        <w:rPr>
          <w:spacing w:val="-2"/>
          <w:sz w:val="18"/>
        </w:rPr>
        <w:t> </w:t>
      </w:r>
      <w:r>
        <w:rPr>
          <w:sz w:val="18"/>
        </w:rPr>
        <w:t>review</w:t>
      </w:r>
      <w:r>
        <w:rPr>
          <w:spacing w:val="-2"/>
          <w:sz w:val="18"/>
        </w:rPr>
        <w:t> </w:t>
      </w:r>
      <w:r>
        <w:rPr>
          <w:sz w:val="18"/>
        </w:rPr>
        <w:t>and</w:t>
      </w:r>
      <w:r>
        <w:rPr>
          <w:spacing w:val="-4"/>
          <w:sz w:val="18"/>
        </w:rPr>
        <w:t> </w:t>
      </w:r>
      <w:r>
        <w:rPr>
          <w:sz w:val="18"/>
        </w:rPr>
        <w:t>update your</w:t>
      </w:r>
      <w:r>
        <w:rPr>
          <w:spacing w:val="-1"/>
          <w:sz w:val="18"/>
        </w:rPr>
        <w:t> </w:t>
      </w:r>
      <w:r>
        <w:rPr>
          <w:sz w:val="18"/>
        </w:rPr>
        <w:t>responses?</w:t>
      </w:r>
      <w:r>
        <w:rPr>
          <w:spacing w:val="-2"/>
          <w:sz w:val="18"/>
        </w:rPr>
        <w:t> </w:t>
      </w:r>
      <w:r>
        <w:rPr>
          <w:sz w:val="18"/>
        </w:rPr>
        <w:t>Could</w:t>
      </w:r>
      <w:r>
        <w:rPr>
          <w:spacing w:val="-2"/>
          <w:sz w:val="18"/>
        </w:rPr>
        <w:t> </w:t>
      </w:r>
      <w:r>
        <w:rPr>
          <w:sz w:val="18"/>
        </w:rPr>
        <w:t>you</w:t>
      </w:r>
      <w:r>
        <w:rPr>
          <w:spacing w:val="-1"/>
          <w:sz w:val="18"/>
        </w:rPr>
        <w:t> </w:t>
      </w:r>
      <w:r>
        <w:rPr>
          <w:sz w:val="18"/>
        </w:rPr>
        <w:t>also</w:t>
      </w:r>
      <w:r>
        <w:rPr>
          <w:spacing w:val="-1"/>
          <w:sz w:val="18"/>
        </w:rPr>
        <w:t> </w:t>
      </w:r>
      <w:r>
        <w:rPr>
          <w:sz w:val="18"/>
        </w:rPr>
        <w:t>assess</w:t>
      </w:r>
      <w:r>
        <w:rPr>
          <w:spacing w:val="-2"/>
          <w:sz w:val="18"/>
        </w:rPr>
        <w:t> </w:t>
      </w:r>
      <w:r>
        <w:rPr>
          <w:sz w:val="18"/>
        </w:rPr>
        <w:t>your</w:t>
      </w:r>
      <w:r>
        <w:rPr>
          <w:spacing w:val="-1"/>
          <w:sz w:val="18"/>
        </w:rPr>
        <w:t> </w:t>
      </w:r>
      <w:r>
        <w:rPr>
          <w:sz w:val="18"/>
        </w:rPr>
        <w:t>progress</w:t>
      </w:r>
      <w:r>
        <w:rPr>
          <w:spacing w:val="-1"/>
          <w:sz w:val="18"/>
        </w:rPr>
        <w:t> </w:t>
      </w:r>
      <w:r>
        <w:rPr>
          <w:sz w:val="18"/>
        </w:rPr>
        <w:t>towards</w:t>
      </w:r>
      <w:r>
        <w:rPr>
          <w:spacing w:val="-2"/>
          <w:sz w:val="18"/>
        </w:rPr>
        <w:t> </w:t>
      </w:r>
      <w:r>
        <w:rPr>
          <w:sz w:val="18"/>
        </w:rPr>
        <w:t>completing</w:t>
      </w:r>
      <w:r>
        <w:rPr>
          <w:spacing w:val="-2"/>
          <w:sz w:val="18"/>
        </w:rPr>
        <w:t> </w:t>
      </w:r>
      <w:r>
        <w:rPr>
          <w:sz w:val="18"/>
        </w:rPr>
        <w:t>these</w:t>
      </w:r>
      <w:r>
        <w:rPr>
          <w:spacing w:val="-1"/>
          <w:sz w:val="18"/>
        </w:rPr>
        <w:t> </w:t>
      </w:r>
      <w:r>
        <w:rPr>
          <w:sz w:val="18"/>
        </w:rPr>
        <w:t>changes</w:t>
      </w:r>
      <w:r>
        <w:rPr>
          <w:spacing w:val="-2"/>
          <w:sz w:val="18"/>
        </w:rPr>
        <w:t> </w:t>
      </w:r>
      <w:r>
        <w:rPr>
          <w:sz w:val="18"/>
        </w:rPr>
        <w:t>for</w:t>
      </w:r>
      <w:r>
        <w:rPr>
          <w:spacing w:val="-2"/>
          <w:sz w:val="18"/>
        </w:rPr>
        <w:t> </w:t>
      </w:r>
      <w:r>
        <w:rPr>
          <w:sz w:val="18"/>
        </w:rPr>
        <w:t>HCH</w:t>
      </w:r>
      <w:r>
        <w:rPr>
          <w:spacing w:val="-2"/>
          <w:sz w:val="18"/>
        </w:rPr>
        <w:t> </w:t>
      </w:r>
      <w:r>
        <w:rPr>
          <w:sz w:val="18"/>
        </w:rPr>
        <w:t>patients.</w:t>
      </w:r>
    </w:p>
    <w:p>
      <w:pPr>
        <w:pStyle w:val="BodyText"/>
        <w:spacing w:before="11"/>
        <w:rPr>
          <w:sz w:val="22"/>
        </w:rPr>
      </w:pPr>
    </w:p>
    <w:tbl>
      <w:tblPr>
        <w:tblW w:w="0" w:type="auto"/>
        <w:jc w:val="left"/>
        <w:tblInd w:w="77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368"/>
        <w:gridCol w:w="740"/>
        <w:gridCol w:w="852"/>
        <w:gridCol w:w="1226"/>
        <w:gridCol w:w="1478"/>
        <w:gridCol w:w="1559"/>
        <w:gridCol w:w="1276"/>
        <w:gridCol w:w="1278"/>
        <w:gridCol w:w="1134"/>
        <w:gridCol w:w="1132"/>
      </w:tblGrid>
      <w:tr>
        <w:trPr>
          <w:trHeight w:val="661" w:hRule="atLeast"/>
        </w:trPr>
        <w:tc>
          <w:tcPr>
            <w:tcW w:w="3368" w:type="dxa"/>
            <w:vMerge w:val="restart"/>
            <w:shd w:val="clear" w:color="auto" w:fill="F1F1F1"/>
          </w:tcPr>
          <w:p>
            <w:pPr>
              <w:pStyle w:val="TableParagraph"/>
              <w:rPr>
                <w:sz w:val="22"/>
              </w:rPr>
            </w:pPr>
          </w:p>
          <w:p>
            <w:pPr>
              <w:pStyle w:val="TableParagraph"/>
              <w:rPr>
                <w:sz w:val="22"/>
              </w:rPr>
            </w:pPr>
          </w:p>
          <w:p>
            <w:pPr>
              <w:pStyle w:val="TableParagraph"/>
              <w:spacing w:before="157"/>
              <w:ind w:left="107"/>
              <w:rPr>
                <w:sz w:val="18"/>
              </w:rPr>
            </w:pPr>
            <w:r>
              <w:rPr>
                <w:sz w:val="18"/>
              </w:rPr>
              <w:t>Initiative</w:t>
            </w:r>
          </w:p>
        </w:tc>
        <w:tc>
          <w:tcPr>
            <w:tcW w:w="1592" w:type="dxa"/>
            <w:gridSpan w:val="2"/>
            <w:shd w:val="clear" w:color="auto" w:fill="F1F1F1"/>
          </w:tcPr>
          <w:p>
            <w:pPr>
              <w:pStyle w:val="TableParagraph"/>
              <w:ind w:left="204" w:right="122" w:hanging="56"/>
              <w:rPr>
                <w:sz w:val="18"/>
              </w:rPr>
            </w:pPr>
            <w:r>
              <w:rPr>
                <w:sz w:val="18"/>
              </w:rPr>
              <w:t>19.1 Feature of</w:t>
            </w:r>
            <w:r>
              <w:rPr>
                <w:spacing w:val="-47"/>
                <w:sz w:val="18"/>
              </w:rPr>
              <w:t> </w:t>
            </w:r>
            <w:r>
              <w:rPr>
                <w:sz w:val="18"/>
              </w:rPr>
              <w:t>practice</w:t>
            </w:r>
            <w:r>
              <w:rPr>
                <w:spacing w:val="-4"/>
                <w:sz w:val="18"/>
              </w:rPr>
              <w:t> </w:t>
            </w:r>
            <w:r>
              <w:rPr>
                <w:sz w:val="18"/>
              </w:rPr>
              <w:t>prior</w:t>
            </w:r>
          </w:p>
          <w:p>
            <w:pPr>
              <w:pStyle w:val="TableParagraph"/>
              <w:spacing w:line="202" w:lineRule="exact"/>
              <w:ind w:left="484"/>
              <w:rPr>
                <w:sz w:val="18"/>
              </w:rPr>
            </w:pPr>
            <w:r>
              <w:rPr>
                <w:sz w:val="18"/>
              </w:rPr>
              <w:t>to</w:t>
            </w:r>
            <w:r>
              <w:rPr>
                <w:spacing w:val="-3"/>
                <w:sz w:val="18"/>
              </w:rPr>
              <w:t> </w:t>
            </w:r>
            <w:r>
              <w:rPr>
                <w:sz w:val="18"/>
              </w:rPr>
              <w:t>HCH</w:t>
            </w:r>
          </w:p>
        </w:tc>
        <w:tc>
          <w:tcPr>
            <w:tcW w:w="4263" w:type="dxa"/>
            <w:gridSpan w:val="3"/>
            <w:shd w:val="clear" w:color="auto" w:fill="F1F1F1"/>
          </w:tcPr>
          <w:p>
            <w:pPr>
              <w:pStyle w:val="TableParagraph"/>
              <w:ind w:left="1830" w:right="111" w:hanging="1688"/>
              <w:rPr>
                <w:sz w:val="18"/>
              </w:rPr>
            </w:pPr>
            <w:r>
              <w:rPr>
                <w:sz w:val="18"/>
              </w:rPr>
              <w:t>19.2 Will this be a change you are planning to</w:t>
            </w:r>
            <w:r>
              <w:rPr>
                <w:spacing w:val="-48"/>
                <w:sz w:val="18"/>
              </w:rPr>
              <w:t> </w:t>
            </w:r>
            <w:r>
              <w:rPr>
                <w:sz w:val="18"/>
              </w:rPr>
              <w:t>make?</w:t>
            </w:r>
          </w:p>
        </w:tc>
        <w:tc>
          <w:tcPr>
            <w:tcW w:w="4820" w:type="dxa"/>
            <w:gridSpan w:val="4"/>
            <w:shd w:val="clear" w:color="auto" w:fill="F1F1F1"/>
          </w:tcPr>
          <w:p>
            <w:pPr>
              <w:pStyle w:val="TableParagraph"/>
              <w:ind w:left="277" w:right="161" w:hanging="87"/>
              <w:rPr>
                <w:sz w:val="18"/>
              </w:rPr>
            </w:pPr>
            <w:r>
              <w:rPr>
                <w:sz w:val="18"/>
              </w:rPr>
              <w:t>19.3 What is your assessment of the extent to which</w:t>
            </w:r>
            <w:r>
              <w:rPr>
                <w:spacing w:val="-47"/>
                <w:sz w:val="18"/>
              </w:rPr>
              <w:t> </w:t>
            </w:r>
            <w:r>
              <w:rPr>
                <w:sz w:val="18"/>
              </w:rPr>
              <w:t>this</w:t>
            </w:r>
            <w:r>
              <w:rPr>
                <w:spacing w:val="-3"/>
                <w:sz w:val="18"/>
              </w:rPr>
              <w:t> </w:t>
            </w:r>
            <w:r>
              <w:rPr>
                <w:sz w:val="18"/>
              </w:rPr>
              <w:t>change</w:t>
            </w:r>
            <w:r>
              <w:rPr>
                <w:spacing w:val="-2"/>
                <w:sz w:val="18"/>
              </w:rPr>
              <w:t> </w:t>
            </w:r>
            <w:r>
              <w:rPr>
                <w:sz w:val="18"/>
              </w:rPr>
              <w:t>has</w:t>
            </w:r>
            <w:r>
              <w:rPr>
                <w:spacing w:val="-3"/>
                <w:sz w:val="18"/>
              </w:rPr>
              <w:t> </w:t>
            </w:r>
            <w:r>
              <w:rPr>
                <w:sz w:val="18"/>
              </w:rPr>
              <w:t>been</w:t>
            </w:r>
            <w:r>
              <w:rPr>
                <w:spacing w:val="-6"/>
                <w:sz w:val="18"/>
              </w:rPr>
              <w:t> </w:t>
            </w:r>
            <w:r>
              <w:rPr>
                <w:sz w:val="18"/>
              </w:rPr>
              <w:t>implemented</w:t>
            </w:r>
            <w:r>
              <w:rPr>
                <w:spacing w:val="-3"/>
                <w:sz w:val="18"/>
              </w:rPr>
              <w:t> </w:t>
            </w:r>
            <w:r>
              <w:rPr>
                <w:sz w:val="18"/>
              </w:rPr>
              <w:t>for</w:t>
            </w:r>
            <w:r>
              <w:rPr>
                <w:spacing w:val="-2"/>
                <w:sz w:val="18"/>
              </w:rPr>
              <w:t> </w:t>
            </w:r>
            <w:r>
              <w:rPr>
                <w:sz w:val="18"/>
              </w:rPr>
              <w:t>your</w:t>
            </w:r>
            <w:r>
              <w:rPr>
                <w:spacing w:val="-3"/>
                <w:sz w:val="18"/>
              </w:rPr>
              <w:t> </w:t>
            </w:r>
            <w:r>
              <w:rPr>
                <w:sz w:val="18"/>
              </w:rPr>
              <w:t>HCH</w:t>
            </w:r>
          </w:p>
          <w:p>
            <w:pPr>
              <w:pStyle w:val="TableParagraph"/>
              <w:spacing w:line="202" w:lineRule="exact"/>
              <w:ind w:left="1057"/>
              <w:rPr>
                <w:sz w:val="18"/>
              </w:rPr>
            </w:pPr>
            <w:r>
              <w:rPr>
                <w:sz w:val="18"/>
              </w:rPr>
              <w:t>patients</w:t>
            </w:r>
            <w:r>
              <w:rPr>
                <w:spacing w:val="-1"/>
                <w:sz w:val="18"/>
              </w:rPr>
              <w:t> </w:t>
            </w:r>
            <w:r>
              <w:rPr>
                <w:sz w:val="18"/>
                <w:u w:val="single"/>
              </w:rPr>
              <w:t>as</w:t>
            </w:r>
            <w:r>
              <w:rPr>
                <w:spacing w:val="-3"/>
                <w:sz w:val="18"/>
                <w:u w:val="single"/>
              </w:rPr>
              <w:t> </w:t>
            </w:r>
            <w:r>
              <w:rPr>
                <w:sz w:val="18"/>
                <w:u w:val="single"/>
              </w:rPr>
              <w:t>at</w:t>
            </w:r>
            <w:r>
              <w:rPr>
                <w:spacing w:val="-3"/>
                <w:sz w:val="18"/>
                <w:u w:val="single"/>
              </w:rPr>
              <w:t> </w:t>
            </w:r>
            <w:r>
              <w:rPr>
                <w:sz w:val="18"/>
                <w:u w:val="single"/>
              </w:rPr>
              <w:t>November</w:t>
            </w:r>
            <w:r>
              <w:rPr>
                <w:spacing w:val="-1"/>
                <w:sz w:val="18"/>
                <w:u w:val="single"/>
              </w:rPr>
              <w:t> </w:t>
            </w:r>
            <w:r>
              <w:rPr>
                <w:sz w:val="18"/>
                <w:u w:val="single"/>
              </w:rPr>
              <w:t>2020</w:t>
            </w:r>
            <w:r>
              <w:rPr>
                <w:sz w:val="18"/>
              </w:rPr>
              <w:t>?</w:t>
            </w:r>
          </w:p>
        </w:tc>
      </w:tr>
      <w:tr>
        <w:trPr>
          <w:trHeight w:val="942" w:hRule="atLeast"/>
        </w:trPr>
        <w:tc>
          <w:tcPr>
            <w:tcW w:w="3368" w:type="dxa"/>
            <w:vMerge/>
            <w:tcBorders>
              <w:top w:val="nil"/>
            </w:tcBorders>
            <w:shd w:val="clear" w:color="auto" w:fill="F1F1F1"/>
          </w:tcPr>
          <w:p>
            <w:pPr>
              <w:rPr>
                <w:sz w:val="2"/>
                <w:szCs w:val="2"/>
              </w:rPr>
            </w:pPr>
          </w:p>
        </w:tc>
        <w:tc>
          <w:tcPr>
            <w:tcW w:w="740" w:type="dxa"/>
            <w:shd w:val="clear" w:color="auto" w:fill="F1F1F1"/>
          </w:tcPr>
          <w:p>
            <w:pPr>
              <w:pStyle w:val="TableParagraph"/>
              <w:spacing w:line="219" w:lineRule="exact"/>
              <w:ind w:left="146"/>
              <w:rPr>
                <w:sz w:val="18"/>
              </w:rPr>
            </w:pPr>
            <w:r>
              <w:rPr>
                <w:sz w:val="18"/>
              </w:rPr>
              <w:t>1</w:t>
            </w:r>
            <w:r>
              <w:rPr>
                <w:spacing w:val="-2"/>
                <w:sz w:val="18"/>
              </w:rPr>
              <w:t> </w:t>
            </w:r>
            <w:r>
              <w:rPr>
                <w:sz w:val="18"/>
              </w:rPr>
              <w:t>Yes</w:t>
            </w:r>
          </w:p>
        </w:tc>
        <w:tc>
          <w:tcPr>
            <w:tcW w:w="852" w:type="dxa"/>
            <w:shd w:val="clear" w:color="auto" w:fill="F1F1F1"/>
          </w:tcPr>
          <w:p>
            <w:pPr>
              <w:pStyle w:val="TableParagraph"/>
              <w:spacing w:line="219" w:lineRule="exact"/>
              <w:ind w:left="224"/>
              <w:rPr>
                <w:sz w:val="18"/>
              </w:rPr>
            </w:pPr>
            <w:r>
              <w:rPr>
                <w:sz w:val="18"/>
              </w:rPr>
              <w:t>2</w:t>
            </w:r>
            <w:r>
              <w:rPr>
                <w:spacing w:val="-1"/>
                <w:sz w:val="18"/>
              </w:rPr>
              <w:t> </w:t>
            </w:r>
            <w:r>
              <w:rPr>
                <w:sz w:val="18"/>
              </w:rPr>
              <w:t>No</w:t>
            </w:r>
          </w:p>
        </w:tc>
        <w:tc>
          <w:tcPr>
            <w:tcW w:w="1226" w:type="dxa"/>
            <w:shd w:val="clear" w:color="auto" w:fill="F1F1F1"/>
          </w:tcPr>
          <w:p>
            <w:pPr>
              <w:pStyle w:val="TableParagraph"/>
              <w:ind w:left="114" w:right="103" w:firstLine="1"/>
              <w:jc w:val="center"/>
              <w:rPr>
                <w:sz w:val="18"/>
              </w:rPr>
            </w:pPr>
            <w:r>
              <w:rPr>
                <w:sz w:val="18"/>
              </w:rPr>
              <w:t>1</w:t>
            </w:r>
            <w:r>
              <w:rPr>
                <w:spacing w:val="1"/>
                <w:sz w:val="18"/>
              </w:rPr>
              <w:t> </w:t>
            </w:r>
            <w:r>
              <w:rPr>
                <w:sz w:val="18"/>
              </w:rPr>
              <w:t>We</w:t>
            </w:r>
            <w:r>
              <w:rPr>
                <w:spacing w:val="-1"/>
                <w:sz w:val="18"/>
              </w:rPr>
              <w:t> </w:t>
            </w:r>
            <w:r>
              <w:rPr>
                <w:sz w:val="18"/>
              </w:rPr>
              <w:t>are</w:t>
            </w:r>
            <w:r>
              <w:rPr>
                <w:spacing w:val="1"/>
                <w:sz w:val="18"/>
              </w:rPr>
              <w:t> </w:t>
            </w:r>
            <w:r>
              <w:rPr>
                <w:spacing w:val="-1"/>
                <w:sz w:val="18"/>
              </w:rPr>
              <w:t>implement-</w:t>
            </w:r>
            <w:r>
              <w:rPr>
                <w:spacing w:val="-47"/>
                <w:sz w:val="18"/>
              </w:rPr>
              <w:t> </w:t>
            </w:r>
            <w:r>
              <w:rPr>
                <w:sz w:val="18"/>
              </w:rPr>
              <w:t>ing</w:t>
            </w:r>
            <w:r>
              <w:rPr>
                <w:spacing w:val="49"/>
                <w:sz w:val="18"/>
              </w:rPr>
              <w:t> </w:t>
            </w:r>
            <w:r>
              <w:rPr>
                <w:sz w:val="18"/>
              </w:rPr>
              <w:t>this</w:t>
            </w:r>
            <w:r>
              <w:rPr>
                <w:spacing w:val="1"/>
                <w:sz w:val="18"/>
              </w:rPr>
              <w:t> </w:t>
            </w:r>
            <w:r>
              <w:rPr>
                <w:sz w:val="18"/>
              </w:rPr>
              <w:t>now</w:t>
            </w:r>
          </w:p>
        </w:tc>
        <w:tc>
          <w:tcPr>
            <w:tcW w:w="1478" w:type="dxa"/>
            <w:shd w:val="clear" w:color="auto" w:fill="F1F1F1"/>
          </w:tcPr>
          <w:p>
            <w:pPr>
              <w:pStyle w:val="TableParagraph"/>
              <w:ind w:left="258" w:right="143" w:hanging="96"/>
              <w:rPr>
                <w:sz w:val="18"/>
              </w:rPr>
            </w:pPr>
            <w:r>
              <w:rPr>
                <w:sz w:val="18"/>
              </w:rPr>
              <w:t>2.</w:t>
            </w:r>
            <w:r>
              <w:rPr>
                <w:spacing w:val="-6"/>
                <w:sz w:val="18"/>
              </w:rPr>
              <w:t> </w:t>
            </w:r>
            <w:r>
              <w:rPr>
                <w:sz w:val="18"/>
              </w:rPr>
              <w:t>We</w:t>
            </w:r>
            <w:r>
              <w:rPr>
                <w:spacing w:val="-5"/>
                <w:sz w:val="18"/>
              </w:rPr>
              <w:t> </w:t>
            </w:r>
            <w:r>
              <w:rPr>
                <w:sz w:val="18"/>
              </w:rPr>
              <w:t>plan</w:t>
            </w:r>
            <w:r>
              <w:rPr>
                <w:spacing w:val="-6"/>
                <w:sz w:val="18"/>
              </w:rPr>
              <w:t> </w:t>
            </w:r>
            <w:r>
              <w:rPr>
                <w:sz w:val="18"/>
              </w:rPr>
              <w:t>to</w:t>
            </w:r>
            <w:r>
              <w:rPr>
                <w:spacing w:val="-47"/>
                <w:sz w:val="18"/>
              </w:rPr>
              <w:t> </w:t>
            </w:r>
            <w:r>
              <w:rPr>
                <w:sz w:val="18"/>
              </w:rPr>
              <w:t>implement</w:t>
            </w:r>
            <w:r>
              <w:rPr>
                <w:spacing w:val="1"/>
                <w:sz w:val="18"/>
              </w:rPr>
              <w:t> </w:t>
            </w:r>
            <w:r>
              <w:rPr>
                <w:sz w:val="18"/>
              </w:rPr>
              <w:t>this</w:t>
            </w:r>
            <w:r>
              <w:rPr>
                <w:spacing w:val="-2"/>
                <w:sz w:val="18"/>
              </w:rPr>
              <w:t> </w:t>
            </w:r>
            <w:r>
              <w:rPr>
                <w:sz w:val="18"/>
              </w:rPr>
              <w:t>by</w:t>
            </w:r>
            <w:r>
              <w:rPr>
                <w:spacing w:val="-2"/>
                <w:sz w:val="18"/>
              </w:rPr>
              <w:t> </w:t>
            </w:r>
            <w:r>
              <w:rPr>
                <w:sz w:val="18"/>
              </w:rPr>
              <w:t>Dec</w:t>
            </w:r>
          </w:p>
          <w:p>
            <w:pPr>
              <w:pStyle w:val="TableParagraph"/>
              <w:ind w:left="541"/>
              <w:rPr>
                <w:sz w:val="18"/>
              </w:rPr>
            </w:pPr>
            <w:r>
              <w:rPr>
                <w:sz w:val="18"/>
              </w:rPr>
              <w:t>2020</w:t>
            </w:r>
          </w:p>
        </w:tc>
        <w:tc>
          <w:tcPr>
            <w:tcW w:w="1559" w:type="dxa"/>
            <w:shd w:val="clear" w:color="auto" w:fill="F1F1F1"/>
          </w:tcPr>
          <w:p>
            <w:pPr>
              <w:pStyle w:val="TableParagraph"/>
              <w:ind w:left="156" w:right="137" w:hanging="3"/>
              <w:jc w:val="both"/>
              <w:rPr>
                <w:sz w:val="18"/>
              </w:rPr>
            </w:pPr>
            <w:r>
              <w:rPr>
                <w:sz w:val="18"/>
              </w:rPr>
              <w:t>3 This won't be</w:t>
            </w:r>
            <w:r>
              <w:rPr>
                <w:spacing w:val="-47"/>
                <w:sz w:val="18"/>
              </w:rPr>
              <w:t> </w:t>
            </w:r>
            <w:r>
              <w:rPr>
                <w:sz w:val="18"/>
              </w:rPr>
              <w:t>a focus for us</w:t>
            </w:r>
            <w:r>
              <w:rPr>
                <w:spacing w:val="1"/>
                <w:sz w:val="18"/>
              </w:rPr>
              <w:t> </w:t>
            </w:r>
            <w:r>
              <w:rPr>
                <w:sz w:val="18"/>
              </w:rPr>
              <w:t>during</w:t>
            </w:r>
            <w:r>
              <w:rPr>
                <w:spacing w:val="-8"/>
                <w:sz w:val="18"/>
              </w:rPr>
              <w:t> </w:t>
            </w:r>
            <w:r>
              <w:rPr>
                <w:sz w:val="18"/>
              </w:rPr>
              <w:t>the</w:t>
            </w:r>
            <w:r>
              <w:rPr>
                <w:spacing w:val="-6"/>
                <w:sz w:val="18"/>
              </w:rPr>
              <w:t> </w:t>
            </w:r>
            <w:r>
              <w:rPr>
                <w:sz w:val="18"/>
              </w:rPr>
              <w:t>trial</w:t>
            </w:r>
          </w:p>
        </w:tc>
        <w:tc>
          <w:tcPr>
            <w:tcW w:w="1276" w:type="dxa"/>
            <w:shd w:val="clear" w:color="auto" w:fill="F1F1F1"/>
          </w:tcPr>
          <w:p>
            <w:pPr>
              <w:pStyle w:val="TableParagraph"/>
              <w:ind w:left="291" w:right="109" w:hanging="156"/>
              <w:rPr>
                <w:sz w:val="18"/>
              </w:rPr>
            </w:pPr>
            <w:r>
              <w:rPr>
                <w:spacing w:val="-1"/>
                <w:sz w:val="18"/>
              </w:rPr>
              <w:t>Completed</w:t>
            </w:r>
            <w:r>
              <w:rPr>
                <w:spacing w:val="-47"/>
                <w:sz w:val="18"/>
              </w:rPr>
              <w:t> </w:t>
            </w:r>
            <w:r>
              <w:rPr>
                <w:sz w:val="18"/>
              </w:rPr>
              <w:t>change</w:t>
            </w:r>
          </w:p>
        </w:tc>
        <w:tc>
          <w:tcPr>
            <w:tcW w:w="1278" w:type="dxa"/>
            <w:shd w:val="clear" w:color="auto" w:fill="F1F1F1"/>
          </w:tcPr>
          <w:p>
            <w:pPr>
              <w:pStyle w:val="TableParagraph"/>
              <w:ind w:left="278" w:right="243" w:firstLine="108"/>
              <w:rPr>
                <w:sz w:val="18"/>
              </w:rPr>
            </w:pPr>
            <w:r>
              <w:rPr>
                <w:sz w:val="18"/>
              </w:rPr>
              <w:t>Good</w:t>
            </w:r>
            <w:r>
              <w:rPr>
                <w:spacing w:val="1"/>
                <w:sz w:val="18"/>
              </w:rPr>
              <w:t> </w:t>
            </w:r>
            <w:r>
              <w:rPr>
                <w:sz w:val="18"/>
              </w:rPr>
              <w:t>progress</w:t>
            </w:r>
          </w:p>
        </w:tc>
        <w:tc>
          <w:tcPr>
            <w:tcW w:w="1134" w:type="dxa"/>
            <w:shd w:val="clear" w:color="auto" w:fill="F1F1F1"/>
          </w:tcPr>
          <w:p>
            <w:pPr>
              <w:pStyle w:val="TableParagraph"/>
              <w:ind w:left="207" w:right="170" w:firstLine="50"/>
              <w:rPr>
                <w:sz w:val="18"/>
              </w:rPr>
            </w:pPr>
            <w:r>
              <w:rPr>
                <w:sz w:val="18"/>
              </w:rPr>
              <w:t>Limited</w:t>
            </w:r>
            <w:r>
              <w:rPr>
                <w:spacing w:val="1"/>
                <w:sz w:val="18"/>
              </w:rPr>
              <w:t> </w:t>
            </w:r>
            <w:r>
              <w:rPr>
                <w:sz w:val="18"/>
              </w:rPr>
              <w:t>progress</w:t>
            </w:r>
          </w:p>
        </w:tc>
        <w:tc>
          <w:tcPr>
            <w:tcW w:w="1132" w:type="dxa"/>
            <w:shd w:val="clear" w:color="auto" w:fill="F1F1F1"/>
          </w:tcPr>
          <w:p>
            <w:pPr>
              <w:pStyle w:val="TableParagraph"/>
              <w:ind w:left="206" w:right="169" w:firstLine="240"/>
              <w:rPr>
                <w:sz w:val="18"/>
              </w:rPr>
            </w:pPr>
            <w:r>
              <w:rPr>
                <w:sz w:val="18"/>
              </w:rPr>
              <w:t>No</w:t>
            </w:r>
            <w:r>
              <w:rPr>
                <w:spacing w:val="1"/>
                <w:sz w:val="18"/>
              </w:rPr>
              <w:t> </w:t>
            </w:r>
            <w:r>
              <w:rPr>
                <w:sz w:val="18"/>
              </w:rPr>
              <w:t>progress</w:t>
            </w:r>
          </w:p>
        </w:tc>
      </w:tr>
      <w:tr>
        <w:trPr>
          <w:trHeight w:val="662" w:hRule="atLeast"/>
        </w:trPr>
        <w:tc>
          <w:tcPr>
            <w:tcW w:w="3368" w:type="dxa"/>
          </w:tcPr>
          <w:p>
            <w:pPr>
              <w:pStyle w:val="TableParagraph"/>
              <w:spacing w:line="219" w:lineRule="exact"/>
              <w:ind w:left="107"/>
              <w:rPr>
                <w:sz w:val="18"/>
              </w:rPr>
            </w:pPr>
            <w:r>
              <w:rPr>
                <w:sz w:val="18"/>
              </w:rPr>
              <w:t>A.</w:t>
            </w:r>
            <w:r>
              <w:rPr>
                <w:spacing w:val="-3"/>
                <w:sz w:val="18"/>
              </w:rPr>
              <w:t> </w:t>
            </w:r>
            <w:r>
              <w:rPr>
                <w:sz w:val="18"/>
              </w:rPr>
              <w:t>Improving</w:t>
            </w:r>
            <w:r>
              <w:rPr>
                <w:spacing w:val="-5"/>
                <w:sz w:val="18"/>
              </w:rPr>
              <w:t> </w:t>
            </w:r>
            <w:r>
              <w:rPr>
                <w:sz w:val="18"/>
              </w:rPr>
              <w:t>the</w:t>
            </w:r>
            <w:r>
              <w:rPr>
                <w:spacing w:val="-3"/>
                <w:sz w:val="18"/>
              </w:rPr>
              <w:t> </w:t>
            </w:r>
            <w:r>
              <w:rPr>
                <w:sz w:val="18"/>
              </w:rPr>
              <w:t>completeness</w:t>
            </w:r>
            <w:r>
              <w:rPr>
                <w:spacing w:val="-4"/>
                <w:sz w:val="18"/>
              </w:rPr>
              <w:t> </w:t>
            </w:r>
            <w:r>
              <w:rPr>
                <w:sz w:val="18"/>
              </w:rPr>
              <w:t>and</w:t>
            </w:r>
          </w:p>
          <w:p>
            <w:pPr>
              <w:pStyle w:val="TableParagraph"/>
              <w:spacing w:line="220" w:lineRule="atLeast"/>
              <w:ind w:left="107" w:right="291"/>
              <w:rPr>
                <w:sz w:val="18"/>
              </w:rPr>
            </w:pPr>
            <w:r>
              <w:rPr>
                <w:sz w:val="18"/>
              </w:rPr>
              <w:t>quality</w:t>
            </w:r>
            <w:r>
              <w:rPr>
                <w:spacing w:val="-4"/>
                <w:sz w:val="18"/>
              </w:rPr>
              <w:t> </w:t>
            </w:r>
            <w:r>
              <w:rPr>
                <w:sz w:val="18"/>
              </w:rPr>
              <w:t>of</w:t>
            </w:r>
            <w:r>
              <w:rPr>
                <w:spacing w:val="-2"/>
                <w:sz w:val="18"/>
              </w:rPr>
              <w:t> </w:t>
            </w:r>
            <w:r>
              <w:rPr>
                <w:sz w:val="18"/>
              </w:rPr>
              <w:t>the</w:t>
            </w:r>
            <w:r>
              <w:rPr>
                <w:spacing w:val="-3"/>
                <w:sz w:val="18"/>
              </w:rPr>
              <w:t> </w:t>
            </w:r>
            <w:r>
              <w:rPr>
                <w:sz w:val="18"/>
              </w:rPr>
              <w:t>data</w:t>
            </w:r>
            <w:r>
              <w:rPr>
                <w:spacing w:val="-3"/>
                <w:sz w:val="18"/>
              </w:rPr>
              <w:t> </w:t>
            </w:r>
            <w:r>
              <w:rPr>
                <w:sz w:val="18"/>
              </w:rPr>
              <w:t>in</w:t>
            </w:r>
            <w:r>
              <w:rPr>
                <w:spacing w:val="-2"/>
                <w:sz w:val="18"/>
              </w:rPr>
              <w:t> </w:t>
            </w:r>
            <w:r>
              <w:rPr>
                <w:sz w:val="18"/>
              </w:rPr>
              <w:t>the</w:t>
            </w:r>
            <w:r>
              <w:rPr>
                <w:spacing w:val="-3"/>
                <w:sz w:val="18"/>
              </w:rPr>
              <w:t> </w:t>
            </w:r>
            <w:r>
              <w:rPr>
                <w:sz w:val="18"/>
              </w:rPr>
              <w:t>practice</w:t>
            </w:r>
            <w:r>
              <w:rPr>
                <w:spacing w:val="-46"/>
                <w:sz w:val="18"/>
              </w:rPr>
              <w:t> </w:t>
            </w:r>
            <w:r>
              <w:rPr>
                <w:sz w:val="18"/>
              </w:rPr>
              <w:t>clinical</w:t>
            </w:r>
            <w:r>
              <w:rPr>
                <w:spacing w:val="-2"/>
                <w:sz w:val="18"/>
              </w:rPr>
              <w:t> </w:t>
            </w:r>
            <w:r>
              <w:rPr>
                <w:sz w:val="18"/>
              </w:rPr>
              <w:t>management</w:t>
            </w:r>
            <w:r>
              <w:rPr>
                <w:spacing w:val="-3"/>
                <w:sz w:val="18"/>
              </w:rPr>
              <w:t> </w:t>
            </w:r>
            <w:r>
              <w:rPr>
                <w:sz w:val="18"/>
              </w:rPr>
              <w:t>system</w:t>
            </w:r>
          </w:p>
        </w:tc>
        <w:tc>
          <w:tcPr>
            <w:tcW w:w="740" w:type="dxa"/>
          </w:tcPr>
          <w:p>
            <w:pPr>
              <w:pStyle w:val="TableParagraph"/>
              <w:rPr>
                <w:rFonts w:ascii="Times New Roman"/>
                <w:sz w:val="18"/>
              </w:rPr>
            </w:pPr>
          </w:p>
        </w:tc>
        <w:tc>
          <w:tcPr>
            <w:tcW w:w="852" w:type="dxa"/>
          </w:tcPr>
          <w:p>
            <w:pPr>
              <w:pStyle w:val="TableParagraph"/>
              <w:rPr>
                <w:rFonts w:ascii="Times New Roman"/>
                <w:sz w:val="18"/>
              </w:rPr>
            </w:pPr>
          </w:p>
        </w:tc>
        <w:tc>
          <w:tcPr>
            <w:tcW w:w="1226" w:type="dxa"/>
          </w:tcPr>
          <w:p>
            <w:pPr>
              <w:pStyle w:val="TableParagraph"/>
              <w:rPr>
                <w:rFonts w:ascii="Times New Roman"/>
                <w:sz w:val="18"/>
              </w:rPr>
            </w:pPr>
          </w:p>
        </w:tc>
        <w:tc>
          <w:tcPr>
            <w:tcW w:w="1478" w:type="dxa"/>
          </w:tcPr>
          <w:p>
            <w:pPr>
              <w:pStyle w:val="TableParagraph"/>
              <w:rPr>
                <w:rFonts w:ascii="Times New Roman"/>
                <w:sz w:val="18"/>
              </w:rPr>
            </w:pPr>
          </w:p>
        </w:tc>
        <w:tc>
          <w:tcPr>
            <w:tcW w:w="1559" w:type="dxa"/>
          </w:tcPr>
          <w:p>
            <w:pPr>
              <w:pStyle w:val="TableParagraph"/>
              <w:rPr>
                <w:rFonts w:ascii="Times New Roman"/>
                <w:sz w:val="18"/>
              </w:rPr>
            </w:pPr>
          </w:p>
        </w:tc>
        <w:tc>
          <w:tcPr>
            <w:tcW w:w="1276" w:type="dxa"/>
          </w:tcPr>
          <w:p>
            <w:pPr>
              <w:pStyle w:val="TableParagraph"/>
              <w:rPr>
                <w:rFonts w:ascii="Times New Roman"/>
                <w:sz w:val="18"/>
              </w:rPr>
            </w:pPr>
          </w:p>
        </w:tc>
        <w:tc>
          <w:tcPr>
            <w:tcW w:w="1278" w:type="dxa"/>
          </w:tcPr>
          <w:p>
            <w:pPr>
              <w:pStyle w:val="TableParagraph"/>
              <w:rPr>
                <w:rFonts w:ascii="Times New Roman"/>
                <w:sz w:val="18"/>
              </w:rPr>
            </w:pPr>
          </w:p>
        </w:tc>
        <w:tc>
          <w:tcPr>
            <w:tcW w:w="1134" w:type="dxa"/>
          </w:tcPr>
          <w:p>
            <w:pPr>
              <w:pStyle w:val="TableParagraph"/>
              <w:rPr>
                <w:rFonts w:ascii="Times New Roman"/>
                <w:sz w:val="18"/>
              </w:rPr>
            </w:pPr>
          </w:p>
        </w:tc>
        <w:tc>
          <w:tcPr>
            <w:tcW w:w="1132" w:type="dxa"/>
          </w:tcPr>
          <w:p>
            <w:pPr>
              <w:pStyle w:val="TableParagraph"/>
              <w:rPr>
                <w:rFonts w:ascii="Times New Roman"/>
                <w:sz w:val="18"/>
              </w:rPr>
            </w:pPr>
          </w:p>
        </w:tc>
      </w:tr>
      <w:tr>
        <w:trPr>
          <w:trHeight w:val="882" w:hRule="atLeast"/>
        </w:trPr>
        <w:tc>
          <w:tcPr>
            <w:tcW w:w="3368" w:type="dxa"/>
          </w:tcPr>
          <w:p>
            <w:pPr>
              <w:pStyle w:val="TableParagraph"/>
              <w:spacing w:line="220" w:lineRule="exact"/>
              <w:ind w:left="107" w:right="159"/>
              <w:rPr>
                <w:sz w:val="18"/>
              </w:rPr>
            </w:pPr>
            <w:r>
              <w:rPr>
                <w:sz w:val="18"/>
              </w:rPr>
              <w:t>B. Regular meetings of HCH</w:t>
            </w:r>
            <w:r>
              <w:rPr>
                <w:spacing w:val="1"/>
                <w:sz w:val="18"/>
              </w:rPr>
              <w:t> </w:t>
            </w:r>
            <w:r>
              <w:rPr>
                <w:sz w:val="18"/>
              </w:rPr>
              <w:t>practice team (e.g. GPs, nurse,</w:t>
            </w:r>
            <w:r>
              <w:rPr>
                <w:spacing w:val="1"/>
                <w:sz w:val="18"/>
              </w:rPr>
              <w:t> </w:t>
            </w:r>
            <w:r>
              <w:rPr>
                <w:sz w:val="18"/>
              </w:rPr>
              <w:t>admin</w:t>
            </w:r>
            <w:r>
              <w:rPr>
                <w:spacing w:val="-2"/>
                <w:sz w:val="18"/>
              </w:rPr>
              <w:t> </w:t>
            </w:r>
            <w:r>
              <w:rPr>
                <w:sz w:val="18"/>
              </w:rPr>
              <w:t>staff)</w:t>
            </w:r>
            <w:r>
              <w:rPr>
                <w:spacing w:val="-4"/>
                <w:sz w:val="18"/>
              </w:rPr>
              <w:t> </w:t>
            </w:r>
            <w:r>
              <w:rPr>
                <w:sz w:val="18"/>
              </w:rPr>
              <w:t>to</w:t>
            </w:r>
            <w:r>
              <w:rPr>
                <w:spacing w:val="-3"/>
                <w:sz w:val="18"/>
              </w:rPr>
              <w:t> </w:t>
            </w:r>
            <w:r>
              <w:rPr>
                <w:sz w:val="18"/>
              </w:rPr>
              <w:t>review</w:t>
            </w:r>
            <w:r>
              <w:rPr>
                <w:spacing w:val="-3"/>
                <w:sz w:val="18"/>
              </w:rPr>
              <w:t> </w:t>
            </w:r>
            <w:r>
              <w:rPr>
                <w:sz w:val="18"/>
              </w:rPr>
              <w:t>HCH</w:t>
            </w:r>
            <w:r>
              <w:rPr>
                <w:spacing w:val="-5"/>
                <w:sz w:val="18"/>
              </w:rPr>
              <w:t> </w:t>
            </w:r>
            <w:r>
              <w:rPr>
                <w:sz w:val="18"/>
              </w:rPr>
              <w:t>patients</w:t>
            </w:r>
            <w:r>
              <w:rPr>
                <w:spacing w:val="-47"/>
                <w:sz w:val="18"/>
              </w:rPr>
              <w:t> </w:t>
            </w:r>
            <w:r>
              <w:rPr>
                <w:sz w:val="18"/>
              </w:rPr>
              <w:t>and</w:t>
            </w:r>
            <w:r>
              <w:rPr>
                <w:spacing w:val="-2"/>
                <w:sz w:val="18"/>
              </w:rPr>
              <w:t> </w:t>
            </w:r>
            <w:r>
              <w:rPr>
                <w:sz w:val="18"/>
              </w:rPr>
              <w:t>their</w:t>
            </w:r>
            <w:r>
              <w:rPr>
                <w:spacing w:val="-2"/>
                <w:sz w:val="18"/>
              </w:rPr>
              <w:t> </w:t>
            </w:r>
            <w:r>
              <w:rPr>
                <w:sz w:val="18"/>
              </w:rPr>
              <w:t>care needs</w:t>
            </w:r>
          </w:p>
        </w:tc>
        <w:tc>
          <w:tcPr>
            <w:tcW w:w="740" w:type="dxa"/>
          </w:tcPr>
          <w:p>
            <w:pPr>
              <w:pStyle w:val="TableParagraph"/>
              <w:rPr>
                <w:rFonts w:ascii="Times New Roman"/>
                <w:sz w:val="18"/>
              </w:rPr>
            </w:pPr>
          </w:p>
        </w:tc>
        <w:tc>
          <w:tcPr>
            <w:tcW w:w="852" w:type="dxa"/>
          </w:tcPr>
          <w:p>
            <w:pPr>
              <w:pStyle w:val="TableParagraph"/>
              <w:rPr>
                <w:rFonts w:ascii="Times New Roman"/>
                <w:sz w:val="18"/>
              </w:rPr>
            </w:pPr>
          </w:p>
        </w:tc>
        <w:tc>
          <w:tcPr>
            <w:tcW w:w="1226" w:type="dxa"/>
          </w:tcPr>
          <w:p>
            <w:pPr>
              <w:pStyle w:val="TableParagraph"/>
              <w:rPr>
                <w:rFonts w:ascii="Times New Roman"/>
                <w:sz w:val="18"/>
              </w:rPr>
            </w:pPr>
          </w:p>
        </w:tc>
        <w:tc>
          <w:tcPr>
            <w:tcW w:w="1478" w:type="dxa"/>
          </w:tcPr>
          <w:p>
            <w:pPr>
              <w:pStyle w:val="TableParagraph"/>
              <w:rPr>
                <w:rFonts w:ascii="Times New Roman"/>
                <w:sz w:val="18"/>
              </w:rPr>
            </w:pPr>
          </w:p>
        </w:tc>
        <w:tc>
          <w:tcPr>
            <w:tcW w:w="1559" w:type="dxa"/>
          </w:tcPr>
          <w:p>
            <w:pPr>
              <w:pStyle w:val="TableParagraph"/>
              <w:rPr>
                <w:rFonts w:ascii="Times New Roman"/>
                <w:sz w:val="18"/>
              </w:rPr>
            </w:pPr>
          </w:p>
        </w:tc>
        <w:tc>
          <w:tcPr>
            <w:tcW w:w="1276" w:type="dxa"/>
          </w:tcPr>
          <w:p>
            <w:pPr>
              <w:pStyle w:val="TableParagraph"/>
              <w:rPr>
                <w:rFonts w:ascii="Times New Roman"/>
                <w:sz w:val="18"/>
              </w:rPr>
            </w:pPr>
          </w:p>
        </w:tc>
        <w:tc>
          <w:tcPr>
            <w:tcW w:w="1278" w:type="dxa"/>
          </w:tcPr>
          <w:p>
            <w:pPr>
              <w:pStyle w:val="TableParagraph"/>
              <w:rPr>
                <w:rFonts w:ascii="Times New Roman"/>
                <w:sz w:val="18"/>
              </w:rPr>
            </w:pPr>
          </w:p>
        </w:tc>
        <w:tc>
          <w:tcPr>
            <w:tcW w:w="1134" w:type="dxa"/>
          </w:tcPr>
          <w:p>
            <w:pPr>
              <w:pStyle w:val="TableParagraph"/>
              <w:rPr>
                <w:rFonts w:ascii="Times New Roman"/>
                <w:sz w:val="18"/>
              </w:rPr>
            </w:pPr>
          </w:p>
        </w:tc>
        <w:tc>
          <w:tcPr>
            <w:tcW w:w="1132" w:type="dxa"/>
          </w:tcPr>
          <w:p>
            <w:pPr>
              <w:pStyle w:val="TableParagraph"/>
              <w:rPr>
                <w:rFonts w:ascii="Times New Roman"/>
                <w:sz w:val="18"/>
              </w:rPr>
            </w:pPr>
          </w:p>
        </w:tc>
      </w:tr>
      <w:tr>
        <w:trPr>
          <w:trHeight w:val="1103" w:hRule="atLeast"/>
        </w:trPr>
        <w:tc>
          <w:tcPr>
            <w:tcW w:w="3368" w:type="dxa"/>
          </w:tcPr>
          <w:p>
            <w:pPr>
              <w:pStyle w:val="TableParagraph"/>
              <w:spacing w:line="220" w:lineRule="exact"/>
              <w:ind w:left="107" w:right="116"/>
              <w:rPr>
                <w:sz w:val="18"/>
              </w:rPr>
            </w:pPr>
            <w:r>
              <w:rPr>
                <w:sz w:val="18"/>
              </w:rPr>
              <w:t>C. Reassigning components of care</w:t>
            </w:r>
            <w:r>
              <w:rPr>
                <w:spacing w:val="-47"/>
                <w:sz w:val="18"/>
              </w:rPr>
              <w:t> </w:t>
            </w:r>
            <w:r>
              <w:rPr>
                <w:sz w:val="18"/>
              </w:rPr>
              <w:t>usually undertaken by a GP to a</w:t>
            </w:r>
            <w:r>
              <w:rPr>
                <w:spacing w:val="1"/>
                <w:sz w:val="18"/>
              </w:rPr>
              <w:t> </w:t>
            </w:r>
            <w:r>
              <w:rPr>
                <w:sz w:val="18"/>
              </w:rPr>
              <w:t>nurse (e.g. patients routinely see a</w:t>
            </w:r>
            <w:r>
              <w:rPr>
                <w:spacing w:val="1"/>
                <w:sz w:val="18"/>
              </w:rPr>
              <w:t> </w:t>
            </w:r>
            <w:r>
              <w:rPr>
                <w:sz w:val="18"/>
              </w:rPr>
              <w:t>nurse prior to seeing the GP when</w:t>
            </w:r>
            <w:r>
              <w:rPr>
                <w:spacing w:val="1"/>
                <w:sz w:val="18"/>
              </w:rPr>
              <w:t> </w:t>
            </w:r>
            <w:r>
              <w:rPr>
                <w:sz w:val="18"/>
              </w:rPr>
              <w:t>they</w:t>
            </w:r>
            <w:r>
              <w:rPr>
                <w:spacing w:val="-2"/>
                <w:sz w:val="18"/>
              </w:rPr>
              <w:t> </w:t>
            </w:r>
            <w:r>
              <w:rPr>
                <w:sz w:val="18"/>
              </w:rPr>
              <w:t>attend</w:t>
            </w:r>
            <w:r>
              <w:rPr>
                <w:spacing w:val="-1"/>
                <w:sz w:val="18"/>
              </w:rPr>
              <w:t> </w:t>
            </w:r>
            <w:r>
              <w:rPr>
                <w:sz w:val="18"/>
              </w:rPr>
              <w:t>the</w:t>
            </w:r>
            <w:r>
              <w:rPr>
                <w:spacing w:val="-1"/>
                <w:sz w:val="18"/>
              </w:rPr>
              <w:t> </w:t>
            </w:r>
            <w:r>
              <w:rPr>
                <w:sz w:val="18"/>
              </w:rPr>
              <w:t>practice)</w:t>
            </w:r>
          </w:p>
        </w:tc>
        <w:tc>
          <w:tcPr>
            <w:tcW w:w="740" w:type="dxa"/>
          </w:tcPr>
          <w:p>
            <w:pPr>
              <w:pStyle w:val="TableParagraph"/>
              <w:rPr>
                <w:rFonts w:ascii="Times New Roman"/>
                <w:sz w:val="18"/>
              </w:rPr>
            </w:pPr>
          </w:p>
        </w:tc>
        <w:tc>
          <w:tcPr>
            <w:tcW w:w="852" w:type="dxa"/>
          </w:tcPr>
          <w:p>
            <w:pPr>
              <w:pStyle w:val="TableParagraph"/>
              <w:rPr>
                <w:rFonts w:ascii="Times New Roman"/>
                <w:sz w:val="18"/>
              </w:rPr>
            </w:pPr>
          </w:p>
        </w:tc>
        <w:tc>
          <w:tcPr>
            <w:tcW w:w="1226" w:type="dxa"/>
          </w:tcPr>
          <w:p>
            <w:pPr>
              <w:pStyle w:val="TableParagraph"/>
              <w:rPr>
                <w:rFonts w:ascii="Times New Roman"/>
                <w:sz w:val="18"/>
              </w:rPr>
            </w:pPr>
          </w:p>
        </w:tc>
        <w:tc>
          <w:tcPr>
            <w:tcW w:w="1478" w:type="dxa"/>
          </w:tcPr>
          <w:p>
            <w:pPr>
              <w:pStyle w:val="TableParagraph"/>
              <w:rPr>
                <w:rFonts w:ascii="Times New Roman"/>
                <w:sz w:val="18"/>
              </w:rPr>
            </w:pPr>
          </w:p>
        </w:tc>
        <w:tc>
          <w:tcPr>
            <w:tcW w:w="1559" w:type="dxa"/>
          </w:tcPr>
          <w:p>
            <w:pPr>
              <w:pStyle w:val="TableParagraph"/>
              <w:rPr>
                <w:rFonts w:ascii="Times New Roman"/>
                <w:sz w:val="18"/>
              </w:rPr>
            </w:pPr>
          </w:p>
        </w:tc>
        <w:tc>
          <w:tcPr>
            <w:tcW w:w="1276" w:type="dxa"/>
          </w:tcPr>
          <w:p>
            <w:pPr>
              <w:pStyle w:val="TableParagraph"/>
              <w:rPr>
                <w:rFonts w:ascii="Times New Roman"/>
                <w:sz w:val="18"/>
              </w:rPr>
            </w:pPr>
          </w:p>
        </w:tc>
        <w:tc>
          <w:tcPr>
            <w:tcW w:w="1278" w:type="dxa"/>
          </w:tcPr>
          <w:p>
            <w:pPr>
              <w:pStyle w:val="TableParagraph"/>
              <w:rPr>
                <w:rFonts w:ascii="Times New Roman"/>
                <w:sz w:val="18"/>
              </w:rPr>
            </w:pPr>
          </w:p>
        </w:tc>
        <w:tc>
          <w:tcPr>
            <w:tcW w:w="1134" w:type="dxa"/>
          </w:tcPr>
          <w:p>
            <w:pPr>
              <w:pStyle w:val="TableParagraph"/>
              <w:rPr>
                <w:rFonts w:ascii="Times New Roman"/>
                <w:sz w:val="18"/>
              </w:rPr>
            </w:pPr>
          </w:p>
        </w:tc>
        <w:tc>
          <w:tcPr>
            <w:tcW w:w="1132" w:type="dxa"/>
          </w:tcPr>
          <w:p>
            <w:pPr>
              <w:pStyle w:val="TableParagraph"/>
              <w:rPr>
                <w:rFonts w:ascii="Times New Roman"/>
                <w:sz w:val="18"/>
              </w:rPr>
            </w:pPr>
          </w:p>
        </w:tc>
      </w:tr>
      <w:tr>
        <w:trPr>
          <w:trHeight w:val="883" w:hRule="atLeast"/>
        </w:trPr>
        <w:tc>
          <w:tcPr>
            <w:tcW w:w="3368" w:type="dxa"/>
          </w:tcPr>
          <w:p>
            <w:pPr>
              <w:pStyle w:val="TableParagraph"/>
              <w:spacing w:line="220" w:lineRule="exact"/>
              <w:ind w:left="107" w:right="99"/>
              <w:rPr>
                <w:sz w:val="18"/>
              </w:rPr>
            </w:pPr>
            <w:r>
              <w:rPr>
                <w:sz w:val="18"/>
              </w:rPr>
              <w:t>D. Reassigning components of care</w:t>
            </w:r>
            <w:r>
              <w:rPr>
                <w:spacing w:val="-47"/>
                <w:sz w:val="18"/>
              </w:rPr>
              <w:t> </w:t>
            </w:r>
            <w:r>
              <w:rPr>
                <w:sz w:val="18"/>
              </w:rPr>
              <w:t>usually undertaken by a GP or nurse</w:t>
            </w:r>
            <w:r>
              <w:rPr>
                <w:spacing w:val="-47"/>
                <w:sz w:val="18"/>
              </w:rPr>
              <w:t> </w:t>
            </w:r>
            <w:r>
              <w:rPr>
                <w:sz w:val="18"/>
              </w:rPr>
              <w:t>to a medical assistant (e.g. clinical</w:t>
            </w:r>
            <w:r>
              <w:rPr>
                <w:spacing w:val="1"/>
                <w:sz w:val="18"/>
              </w:rPr>
              <w:t> </w:t>
            </w:r>
            <w:r>
              <w:rPr>
                <w:sz w:val="18"/>
              </w:rPr>
              <w:t>measurements</w:t>
            </w:r>
            <w:r>
              <w:rPr>
                <w:spacing w:val="-4"/>
                <w:sz w:val="18"/>
              </w:rPr>
              <w:t> </w:t>
            </w:r>
            <w:r>
              <w:rPr>
                <w:sz w:val="18"/>
              </w:rPr>
              <w:t>and</w:t>
            </w:r>
            <w:r>
              <w:rPr>
                <w:spacing w:val="-4"/>
                <w:sz w:val="18"/>
              </w:rPr>
              <w:t> </w:t>
            </w:r>
            <w:r>
              <w:rPr>
                <w:sz w:val="18"/>
              </w:rPr>
              <w:t>assessments)</w:t>
            </w:r>
          </w:p>
        </w:tc>
        <w:tc>
          <w:tcPr>
            <w:tcW w:w="740" w:type="dxa"/>
          </w:tcPr>
          <w:p>
            <w:pPr>
              <w:pStyle w:val="TableParagraph"/>
              <w:rPr>
                <w:rFonts w:ascii="Times New Roman"/>
                <w:sz w:val="18"/>
              </w:rPr>
            </w:pPr>
          </w:p>
        </w:tc>
        <w:tc>
          <w:tcPr>
            <w:tcW w:w="852" w:type="dxa"/>
          </w:tcPr>
          <w:p>
            <w:pPr>
              <w:pStyle w:val="TableParagraph"/>
              <w:rPr>
                <w:rFonts w:ascii="Times New Roman"/>
                <w:sz w:val="18"/>
              </w:rPr>
            </w:pPr>
          </w:p>
        </w:tc>
        <w:tc>
          <w:tcPr>
            <w:tcW w:w="1226" w:type="dxa"/>
          </w:tcPr>
          <w:p>
            <w:pPr>
              <w:pStyle w:val="TableParagraph"/>
              <w:rPr>
                <w:rFonts w:ascii="Times New Roman"/>
                <w:sz w:val="18"/>
              </w:rPr>
            </w:pPr>
          </w:p>
        </w:tc>
        <w:tc>
          <w:tcPr>
            <w:tcW w:w="1478" w:type="dxa"/>
          </w:tcPr>
          <w:p>
            <w:pPr>
              <w:pStyle w:val="TableParagraph"/>
              <w:rPr>
                <w:rFonts w:ascii="Times New Roman"/>
                <w:sz w:val="18"/>
              </w:rPr>
            </w:pPr>
          </w:p>
        </w:tc>
        <w:tc>
          <w:tcPr>
            <w:tcW w:w="1559" w:type="dxa"/>
          </w:tcPr>
          <w:p>
            <w:pPr>
              <w:pStyle w:val="TableParagraph"/>
              <w:rPr>
                <w:rFonts w:ascii="Times New Roman"/>
                <w:sz w:val="18"/>
              </w:rPr>
            </w:pPr>
          </w:p>
        </w:tc>
        <w:tc>
          <w:tcPr>
            <w:tcW w:w="1276" w:type="dxa"/>
          </w:tcPr>
          <w:p>
            <w:pPr>
              <w:pStyle w:val="TableParagraph"/>
              <w:rPr>
                <w:rFonts w:ascii="Times New Roman"/>
                <w:sz w:val="18"/>
              </w:rPr>
            </w:pPr>
          </w:p>
        </w:tc>
        <w:tc>
          <w:tcPr>
            <w:tcW w:w="1278" w:type="dxa"/>
          </w:tcPr>
          <w:p>
            <w:pPr>
              <w:pStyle w:val="TableParagraph"/>
              <w:rPr>
                <w:rFonts w:ascii="Times New Roman"/>
                <w:sz w:val="18"/>
              </w:rPr>
            </w:pPr>
          </w:p>
        </w:tc>
        <w:tc>
          <w:tcPr>
            <w:tcW w:w="1134" w:type="dxa"/>
          </w:tcPr>
          <w:p>
            <w:pPr>
              <w:pStyle w:val="TableParagraph"/>
              <w:rPr>
                <w:rFonts w:ascii="Times New Roman"/>
                <w:sz w:val="18"/>
              </w:rPr>
            </w:pPr>
          </w:p>
        </w:tc>
        <w:tc>
          <w:tcPr>
            <w:tcW w:w="1132" w:type="dxa"/>
          </w:tcPr>
          <w:p>
            <w:pPr>
              <w:pStyle w:val="TableParagraph"/>
              <w:rPr>
                <w:rFonts w:ascii="Times New Roman"/>
                <w:sz w:val="18"/>
              </w:rPr>
            </w:pPr>
          </w:p>
        </w:tc>
      </w:tr>
      <w:tr>
        <w:trPr>
          <w:trHeight w:val="882" w:hRule="atLeast"/>
        </w:trPr>
        <w:tc>
          <w:tcPr>
            <w:tcW w:w="3368" w:type="dxa"/>
          </w:tcPr>
          <w:p>
            <w:pPr>
              <w:pStyle w:val="TableParagraph"/>
              <w:spacing w:line="220" w:lineRule="exact"/>
              <w:ind w:left="107" w:right="274"/>
              <w:rPr>
                <w:sz w:val="18"/>
              </w:rPr>
            </w:pPr>
            <w:r>
              <w:rPr>
                <w:sz w:val="18"/>
              </w:rPr>
              <w:t>E. Introducing new roles within the</w:t>
            </w:r>
            <w:r>
              <w:rPr>
                <w:spacing w:val="-47"/>
                <w:sz w:val="18"/>
              </w:rPr>
              <w:t> </w:t>
            </w:r>
            <w:r>
              <w:rPr>
                <w:sz w:val="18"/>
              </w:rPr>
              <w:t>practice (e.g. medical practice</w:t>
            </w:r>
            <w:r>
              <w:rPr>
                <w:spacing w:val="1"/>
                <w:sz w:val="18"/>
              </w:rPr>
              <w:t> </w:t>
            </w:r>
            <w:r>
              <w:rPr>
                <w:sz w:val="18"/>
              </w:rPr>
              <w:t>assistance, care coordinator,</w:t>
            </w:r>
            <w:r>
              <w:rPr>
                <w:spacing w:val="1"/>
                <w:sz w:val="18"/>
              </w:rPr>
              <w:t> </w:t>
            </w:r>
            <w:r>
              <w:rPr>
                <w:sz w:val="18"/>
              </w:rPr>
              <w:t>community</w:t>
            </w:r>
            <w:r>
              <w:rPr>
                <w:spacing w:val="-2"/>
                <w:sz w:val="18"/>
              </w:rPr>
              <w:t> </w:t>
            </w:r>
            <w:r>
              <w:rPr>
                <w:sz w:val="18"/>
              </w:rPr>
              <w:t>care worker)</w:t>
            </w:r>
          </w:p>
        </w:tc>
        <w:tc>
          <w:tcPr>
            <w:tcW w:w="740" w:type="dxa"/>
          </w:tcPr>
          <w:p>
            <w:pPr>
              <w:pStyle w:val="TableParagraph"/>
              <w:rPr>
                <w:rFonts w:ascii="Times New Roman"/>
                <w:sz w:val="18"/>
              </w:rPr>
            </w:pPr>
          </w:p>
        </w:tc>
        <w:tc>
          <w:tcPr>
            <w:tcW w:w="852" w:type="dxa"/>
          </w:tcPr>
          <w:p>
            <w:pPr>
              <w:pStyle w:val="TableParagraph"/>
              <w:rPr>
                <w:rFonts w:ascii="Times New Roman"/>
                <w:sz w:val="18"/>
              </w:rPr>
            </w:pPr>
          </w:p>
        </w:tc>
        <w:tc>
          <w:tcPr>
            <w:tcW w:w="1226" w:type="dxa"/>
          </w:tcPr>
          <w:p>
            <w:pPr>
              <w:pStyle w:val="TableParagraph"/>
              <w:rPr>
                <w:rFonts w:ascii="Times New Roman"/>
                <w:sz w:val="18"/>
              </w:rPr>
            </w:pPr>
          </w:p>
        </w:tc>
        <w:tc>
          <w:tcPr>
            <w:tcW w:w="1478" w:type="dxa"/>
          </w:tcPr>
          <w:p>
            <w:pPr>
              <w:pStyle w:val="TableParagraph"/>
              <w:rPr>
                <w:rFonts w:ascii="Times New Roman"/>
                <w:sz w:val="18"/>
              </w:rPr>
            </w:pPr>
          </w:p>
        </w:tc>
        <w:tc>
          <w:tcPr>
            <w:tcW w:w="1559" w:type="dxa"/>
          </w:tcPr>
          <w:p>
            <w:pPr>
              <w:pStyle w:val="TableParagraph"/>
              <w:rPr>
                <w:rFonts w:ascii="Times New Roman"/>
                <w:sz w:val="18"/>
              </w:rPr>
            </w:pPr>
          </w:p>
        </w:tc>
        <w:tc>
          <w:tcPr>
            <w:tcW w:w="1276" w:type="dxa"/>
          </w:tcPr>
          <w:p>
            <w:pPr>
              <w:pStyle w:val="TableParagraph"/>
              <w:rPr>
                <w:rFonts w:ascii="Times New Roman"/>
                <w:sz w:val="18"/>
              </w:rPr>
            </w:pPr>
          </w:p>
        </w:tc>
        <w:tc>
          <w:tcPr>
            <w:tcW w:w="1278" w:type="dxa"/>
          </w:tcPr>
          <w:p>
            <w:pPr>
              <w:pStyle w:val="TableParagraph"/>
              <w:rPr>
                <w:rFonts w:ascii="Times New Roman"/>
                <w:sz w:val="18"/>
              </w:rPr>
            </w:pPr>
          </w:p>
        </w:tc>
        <w:tc>
          <w:tcPr>
            <w:tcW w:w="1134" w:type="dxa"/>
          </w:tcPr>
          <w:p>
            <w:pPr>
              <w:pStyle w:val="TableParagraph"/>
              <w:rPr>
                <w:rFonts w:ascii="Times New Roman"/>
                <w:sz w:val="18"/>
              </w:rPr>
            </w:pPr>
          </w:p>
        </w:tc>
        <w:tc>
          <w:tcPr>
            <w:tcW w:w="1132" w:type="dxa"/>
          </w:tcPr>
          <w:p>
            <w:pPr>
              <w:pStyle w:val="TableParagraph"/>
              <w:rPr>
                <w:rFonts w:ascii="Times New Roman"/>
                <w:sz w:val="18"/>
              </w:rPr>
            </w:pPr>
          </w:p>
        </w:tc>
      </w:tr>
      <w:tr>
        <w:trPr>
          <w:trHeight w:val="661" w:hRule="atLeast"/>
        </w:trPr>
        <w:tc>
          <w:tcPr>
            <w:tcW w:w="3368" w:type="dxa"/>
          </w:tcPr>
          <w:p>
            <w:pPr>
              <w:pStyle w:val="TableParagraph"/>
              <w:spacing w:line="220" w:lineRule="exact"/>
              <w:ind w:left="107" w:right="152"/>
              <w:rPr>
                <w:sz w:val="18"/>
              </w:rPr>
            </w:pPr>
            <w:r>
              <w:rPr>
                <w:sz w:val="18"/>
              </w:rPr>
              <w:t>F. Improved systems for follow-up</w:t>
            </w:r>
            <w:r>
              <w:rPr>
                <w:spacing w:val="1"/>
                <w:sz w:val="18"/>
              </w:rPr>
              <w:t> </w:t>
            </w:r>
            <w:r>
              <w:rPr>
                <w:sz w:val="18"/>
              </w:rPr>
              <w:t>and</w:t>
            </w:r>
            <w:r>
              <w:rPr>
                <w:spacing w:val="-3"/>
                <w:sz w:val="18"/>
              </w:rPr>
              <w:t> </w:t>
            </w:r>
            <w:r>
              <w:rPr>
                <w:sz w:val="18"/>
              </w:rPr>
              <w:t>re-call</w:t>
            </w:r>
            <w:r>
              <w:rPr>
                <w:spacing w:val="-2"/>
                <w:sz w:val="18"/>
              </w:rPr>
              <w:t> </w:t>
            </w:r>
            <w:r>
              <w:rPr>
                <w:sz w:val="18"/>
              </w:rPr>
              <w:t>of</w:t>
            </w:r>
            <w:r>
              <w:rPr>
                <w:spacing w:val="-4"/>
                <w:sz w:val="18"/>
              </w:rPr>
              <w:t> </w:t>
            </w:r>
            <w:r>
              <w:rPr>
                <w:sz w:val="18"/>
              </w:rPr>
              <w:t>HCH</w:t>
            </w:r>
            <w:r>
              <w:rPr>
                <w:spacing w:val="-2"/>
                <w:sz w:val="18"/>
              </w:rPr>
              <w:t> </w:t>
            </w:r>
            <w:r>
              <w:rPr>
                <w:sz w:val="18"/>
              </w:rPr>
              <w:t>patients</w:t>
            </w:r>
            <w:r>
              <w:rPr>
                <w:spacing w:val="-5"/>
                <w:sz w:val="18"/>
              </w:rPr>
              <w:t> </w:t>
            </w:r>
            <w:r>
              <w:rPr>
                <w:sz w:val="18"/>
              </w:rPr>
              <w:t>(e.g.</w:t>
            </w:r>
            <w:r>
              <w:rPr>
                <w:spacing w:val="-3"/>
                <w:sz w:val="18"/>
              </w:rPr>
              <w:t> </w:t>
            </w:r>
            <w:r>
              <w:rPr>
                <w:sz w:val="18"/>
              </w:rPr>
              <w:t>for</w:t>
            </w:r>
            <w:r>
              <w:rPr>
                <w:spacing w:val="-47"/>
                <w:sz w:val="18"/>
              </w:rPr>
              <w:t> </w:t>
            </w:r>
            <w:r>
              <w:rPr>
                <w:sz w:val="18"/>
              </w:rPr>
              <w:t>review</w:t>
            </w:r>
            <w:r>
              <w:rPr>
                <w:spacing w:val="-3"/>
                <w:sz w:val="18"/>
              </w:rPr>
              <w:t> </w:t>
            </w:r>
            <w:r>
              <w:rPr>
                <w:sz w:val="18"/>
              </w:rPr>
              <w:t>or</w:t>
            </w:r>
            <w:r>
              <w:rPr>
                <w:spacing w:val="-1"/>
                <w:sz w:val="18"/>
              </w:rPr>
              <w:t> </w:t>
            </w:r>
            <w:r>
              <w:rPr>
                <w:sz w:val="18"/>
              </w:rPr>
              <w:t>preventive</w:t>
            </w:r>
            <w:r>
              <w:rPr>
                <w:spacing w:val="-1"/>
                <w:sz w:val="18"/>
              </w:rPr>
              <w:t> </w:t>
            </w:r>
            <w:r>
              <w:rPr>
                <w:sz w:val="18"/>
              </w:rPr>
              <w:t>services)</w:t>
            </w:r>
          </w:p>
        </w:tc>
        <w:tc>
          <w:tcPr>
            <w:tcW w:w="740" w:type="dxa"/>
          </w:tcPr>
          <w:p>
            <w:pPr>
              <w:pStyle w:val="TableParagraph"/>
              <w:rPr>
                <w:rFonts w:ascii="Times New Roman"/>
                <w:sz w:val="18"/>
              </w:rPr>
            </w:pPr>
          </w:p>
        </w:tc>
        <w:tc>
          <w:tcPr>
            <w:tcW w:w="852" w:type="dxa"/>
          </w:tcPr>
          <w:p>
            <w:pPr>
              <w:pStyle w:val="TableParagraph"/>
              <w:rPr>
                <w:rFonts w:ascii="Times New Roman"/>
                <w:sz w:val="18"/>
              </w:rPr>
            </w:pPr>
          </w:p>
        </w:tc>
        <w:tc>
          <w:tcPr>
            <w:tcW w:w="1226" w:type="dxa"/>
          </w:tcPr>
          <w:p>
            <w:pPr>
              <w:pStyle w:val="TableParagraph"/>
              <w:rPr>
                <w:rFonts w:ascii="Times New Roman"/>
                <w:sz w:val="18"/>
              </w:rPr>
            </w:pPr>
          </w:p>
        </w:tc>
        <w:tc>
          <w:tcPr>
            <w:tcW w:w="1478" w:type="dxa"/>
          </w:tcPr>
          <w:p>
            <w:pPr>
              <w:pStyle w:val="TableParagraph"/>
              <w:rPr>
                <w:rFonts w:ascii="Times New Roman"/>
                <w:sz w:val="18"/>
              </w:rPr>
            </w:pPr>
          </w:p>
        </w:tc>
        <w:tc>
          <w:tcPr>
            <w:tcW w:w="1559" w:type="dxa"/>
          </w:tcPr>
          <w:p>
            <w:pPr>
              <w:pStyle w:val="TableParagraph"/>
              <w:rPr>
                <w:rFonts w:ascii="Times New Roman"/>
                <w:sz w:val="18"/>
              </w:rPr>
            </w:pPr>
          </w:p>
        </w:tc>
        <w:tc>
          <w:tcPr>
            <w:tcW w:w="1276" w:type="dxa"/>
          </w:tcPr>
          <w:p>
            <w:pPr>
              <w:pStyle w:val="TableParagraph"/>
              <w:rPr>
                <w:rFonts w:ascii="Times New Roman"/>
                <w:sz w:val="18"/>
              </w:rPr>
            </w:pPr>
          </w:p>
        </w:tc>
        <w:tc>
          <w:tcPr>
            <w:tcW w:w="1278" w:type="dxa"/>
          </w:tcPr>
          <w:p>
            <w:pPr>
              <w:pStyle w:val="TableParagraph"/>
              <w:rPr>
                <w:rFonts w:ascii="Times New Roman"/>
                <w:sz w:val="18"/>
              </w:rPr>
            </w:pPr>
          </w:p>
        </w:tc>
        <w:tc>
          <w:tcPr>
            <w:tcW w:w="1134" w:type="dxa"/>
          </w:tcPr>
          <w:p>
            <w:pPr>
              <w:pStyle w:val="TableParagraph"/>
              <w:rPr>
                <w:rFonts w:ascii="Times New Roman"/>
                <w:sz w:val="18"/>
              </w:rPr>
            </w:pPr>
          </w:p>
        </w:tc>
        <w:tc>
          <w:tcPr>
            <w:tcW w:w="1132" w:type="dxa"/>
          </w:tcPr>
          <w:p>
            <w:pPr>
              <w:pStyle w:val="TableParagraph"/>
              <w:rPr>
                <w:rFonts w:ascii="Times New Roman"/>
                <w:sz w:val="18"/>
              </w:rPr>
            </w:pPr>
          </w:p>
        </w:tc>
      </w:tr>
      <w:tr>
        <w:trPr>
          <w:trHeight w:val="662" w:hRule="atLeast"/>
        </w:trPr>
        <w:tc>
          <w:tcPr>
            <w:tcW w:w="3368" w:type="dxa"/>
          </w:tcPr>
          <w:p>
            <w:pPr>
              <w:pStyle w:val="TableParagraph"/>
              <w:spacing w:line="219" w:lineRule="exact"/>
              <w:ind w:left="107"/>
              <w:rPr>
                <w:sz w:val="18"/>
              </w:rPr>
            </w:pPr>
            <w:r>
              <w:rPr>
                <w:sz w:val="18"/>
              </w:rPr>
              <w:t>G.</w:t>
            </w:r>
            <w:r>
              <w:rPr>
                <w:spacing w:val="-4"/>
                <w:sz w:val="18"/>
              </w:rPr>
              <w:t> </w:t>
            </w:r>
            <w:r>
              <w:rPr>
                <w:sz w:val="18"/>
              </w:rPr>
              <w:t>Proactive</w:t>
            </w:r>
            <w:r>
              <w:rPr>
                <w:spacing w:val="-2"/>
                <w:sz w:val="18"/>
              </w:rPr>
              <w:t> </w:t>
            </w:r>
            <w:r>
              <w:rPr>
                <w:sz w:val="18"/>
              </w:rPr>
              <w:t>contact</w:t>
            </w:r>
            <w:r>
              <w:rPr>
                <w:spacing w:val="-5"/>
                <w:sz w:val="18"/>
              </w:rPr>
              <w:t> </w:t>
            </w:r>
            <w:r>
              <w:rPr>
                <w:sz w:val="18"/>
              </w:rPr>
              <w:t>with</w:t>
            </w:r>
            <w:r>
              <w:rPr>
                <w:spacing w:val="-2"/>
                <w:sz w:val="18"/>
              </w:rPr>
              <w:t> </w:t>
            </w:r>
            <w:r>
              <w:rPr>
                <w:sz w:val="18"/>
              </w:rPr>
              <w:t>patients</w:t>
            </w:r>
          </w:p>
          <w:p>
            <w:pPr>
              <w:pStyle w:val="TableParagraph"/>
              <w:spacing w:line="220" w:lineRule="atLeast"/>
              <w:ind w:left="107" w:right="237"/>
              <w:rPr>
                <w:sz w:val="18"/>
              </w:rPr>
            </w:pPr>
            <w:r>
              <w:rPr>
                <w:sz w:val="18"/>
              </w:rPr>
              <w:t>to check how they are going (e.g.</w:t>
            </w:r>
            <w:r>
              <w:rPr>
                <w:spacing w:val="-47"/>
                <w:sz w:val="18"/>
              </w:rPr>
              <w:t> </w:t>
            </w:r>
            <w:r>
              <w:rPr>
                <w:sz w:val="18"/>
              </w:rPr>
              <w:t>by</w:t>
            </w:r>
            <w:r>
              <w:rPr>
                <w:spacing w:val="-2"/>
                <w:sz w:val="18"/>
              </w:rPr>
              <w:t> </w:t>
            </w:r>
            <w:r>
              <w:rPr>
                <w:sz w:val="18"/>
              </w:rPr>
              <w:t>telephone)</w:t>
            </w:r>
          </w:p>
        </w:tc>
        <w:tc>
          <w:tcPr>
            <w:tcW w:w="740" w:type="dxa"/>
          </w:tcPr>
          <w:p>
            <w:pPr>
              <w:pStyle w:val="TableParagraph"/>
              <w:rPr>
                <w:rFonts w:ascii="Times New Roman"/>
                <w:sz w:val="18"/>
              </w:rPr>
            </w:pPr>
          </w:p>
        </w:tc>
        <w:tc>
          <w:tcPr>
            <w:tcW w:w="852" w:type="dxa"/>
          </w:tcPr>
          <w:p>
            <w:pPr>
              <w:pStyle w:val="TableParagraph"/>
              <w:rPr>
                <w:rFonts w:ascii="Times New Roman"/>
                <w:sz w:val="18"/>
              </w:rPr>
            </w:pPr>
          </w:p>
        </w:tc>
        <w:tc>
          <w:tcPr>
            <w:tcW w:w="1226" w:type="dxa"/>
          </w:tcPr>
          <w:p>
            <w:pPr>
              <w:pStyle w:val="TableParagraph"/>
              <w:rPr>
                <w:rFonts w:ascii="Times New Roman"/>
                <w:sz w:val="18"/>
              </w:rPr>
            </w:pPr>
          </w:p>
        </w:tc>
        <w:tc>
          <w:tcPr>
            <w:tcW w:w="1478" w:type="dxa"/>
          </w:tcPr>
          <w:p>
            <w:pPr>
              <w:pStyle w:val="TableParagraph"/>
              <w:rPr>
                <w:rFonts w:ascii="Times New Roman"/>
                <w:sz w:val="18"/>
              </w:rPr>
            </w:pPr>
          </w:p>
        </w:tc>
        <w:tc>
          <w:tcPr>
            <w:tcW w:w="1559" w:type="dxa"/>
          </w:tcPr>
          <w:p>
            <w:pPr>
              <w:pStyle w:val="TableParagraph"/>
              <w:rPr>
                <w:rFonts w:ascii="Times New Roman"/>
                <w:sz w:val="18"/>
              </w:rPr>
            </w:pPr>
          </w:p>
        </w:tc>
        <w:tc>
          <w:tcPr>
            <w:tcW w:w="1276" w:type="dxa"/>
          </w:tcPr>
          <w:p>
            <w:pPr>
              <w:pStyle w:val="TableParagraph"/>
              <w:rPr>
                <w:rFonts w:ascii="Times New Roman"/>
                <w:sz w:val="18"/>
              </w:rPr>
            </w:pPr>
          </w:p>
        </w:tc>
        <w:tc>
          <w:tcPr>
            <w:tcW w:w="1278" w:type="dxa"/>
          </w:tcPr>
          <w:p>
            <w:pPr>
              <w:pStyle w:val="TableParagraph"/>
              <w:rPr>
                <w:rFonts w:ascii="Times New Roman"/>
                <w:sz w:val="18"/>
              </w:rPr>
            </w:pPr>
          </w:p>
        </w:tc>
        <w:tc>
          <w:tcPr>
            <w:tcW w:w="1134" w:type="dxa"/>
          </w:tcPr>
          <w:p>
            <w:pPr>
              <w:pStyle w:val="TableParagraph"/>
              <w:rPr>
                <w:rFonts w:ascii="Times New Roman"/>
                <w:sz w:val="18"/>
              </w:rPr>
            </w:pPr>
          </w:p>
        </w:tc>
        <w:tc>
          <w:tcPr>
            <w:tcW w:w="1132" w:type="dxa"/>
          </w:tcPr>
          <w:p>
            <w:pPr>
              <w:pStyle w:val="TableParagraph"/>
              <w:rPr>
                <w:rFonts w:ascii="Times New Roman"/>
                <w:sz w:val="18"/>
              </w:rPr>
            </w:pPr>
          </w:p>
        </w:tc>
      </w:tr>
      <w:tr>
        <w:trPr>
          <w:trHeight w:val="882" w:hRule="atLeast"/>
        </w:trPr>
        <w:tc>
          <w:tcPr>
            <w:tcW w:w="3368" w:type="dxa"/>
          </w:tcPr>
          <w:p>
            <w:pPr>
              <w:pStyle w:val="TableParagraph"/>
              <w:spacing w:line="220" w:lineRule="exact"/>
              <w:ind w:left="107" w:right="710"/>
              <w:rPr>
                <w:sz w:val="18"/>
              </w:rPr>
            </w:pPr>
            <w:r>
              <w:rPr>
                <w:sz w:val="18"/>
              </w:rPr>
              <w:t>H. Dedicated clinics for HCH</w:t>
            </w:r>
            <w:r>
              <w:rPr>
                <w:spacing w:val="1"/>
                <w:sz w:val="18"/>
              </w:rPr>
              <w:t> </w:t>
            </w:r>
            <w:r>
              <w:rPr>
                <w:sz w:val="18"/>
              </w:rPr>
              <w:t>patients</w:t>
            </w:r>
            <w:r>
              <w:rPr>
                <w:spacing w:val="-6"/>
                <w:sz w:val="18"/>
              </w:rPr>
              <w:t> </w:t>
            </w:r>
            <w:r>
              <w:rPr>
                <w:sz w:val="18"/>
              </w:rPr>
              <w:t>with</w:t>
            </w:r>
            <w:r>
              <w:rPr>
                <w:spacing w:val="-4"/>
                <w:sz w:val="18"/>
              </w:rPr>
              <w:t> </w:t>
            </w:r>
            <w:r>
              <w:rPr>
                <w:sz w:val="18"/>
              </w:rPr>
              <w:t>specific</w:t>
            </w:r>
            <w:r>
              <w:rPr>
                <w:spacing w:val="-7"/>
                <w:sz w:val="18"/>
              </w:rPr>
              <w:t> </w:t>
            </w:r>
            <w:r>
              <w:rPr>
                <w:sz w:val="18"/>
              </w:rPr>
              <w:t>chronic</w:t>
            </w:r>
            <w:r>
              <w:rPr>
                <w:spacing w:val="-47"/>
                <w:sz w:val="18"/>
              </w:rPr>
              <w:t> </w:t>
            </w:r>
            <w:r>
              <w:rPr>
                <w:sz w:val="18"/>
              </w:rPr>
              <w:t>illnesses (e.g. diabetes,</w:t>
            </w:r>
            <w:r>
              <w:rPr>
                <w:spacing w:val="1"/>
                <w:sz w:val="18"/>
              </w:rPr>
              <w:t> </w:t>
            </w:r>
            <w:r>
              <w:rPr>
                <w:sz w:val="18"/>
              </w:rPr>
              <w:t>osteoarthritis)</w:t>
            </w:r>
          </w:p>
        </w:tc>
        <w:tc>
          <w:tcPr>
            <w:tcW w:w="740" w:type="dxa"/>
          </w:tcPr>
          <w:p>
            <w:pPr>
              <w:pStyle w:val="TableParagraph"/>
              <w:rPr>
                <w:rFonts w:ascii="Times New Roman"/>
                <w:sz w:val="18"/>
              </w:rPr>
            </w:pPr>
          </w:p>
        </w:tc>
        <w:tc>
          <w:tcPr>
            <w:tcW w:w="852" w:type="dxa"/>
          </w:tcPr>
          <w:p>
            <w:pPr>
              <w:pStyle w:val="TableParagraph"/>
              <w:rPr>
                <w:rFonts w:ascii="Times New Roman"/>
                <w:sz w:val="18"/>
              </w:rPr>
            </w:pPr>
          </w:p>
        </w:tc>
        <w:tc>
          <w:tcPr>
            <w:tcW w:w="1226" w:type="dxa"/>
          </w:tcPr>
          <w:p>
            <w:pPr>
              <w:pStyle w:val="TableParagraph"/>
              <w:rPr>
                <w:rFonts w:ascii="Times New Roman"/>
                <w:sz w:val="18"/>
              </w:rPr>
            </w:pPr>
          </w:p>
        </w:tc>
        <w:tc>
          <w:tcPr>
            <w:tcW w:w="1478" w:type="dxa"/>
          </w:tcPr>
          <w:p>
            <w:pPr>
              <w:pStyle w:val="TableParagraph"/>
              <w:rPr>
                <w:rFonts w:ascii="Times New Roman"/>
                <w:sz w:val="18"/>
              </w:rPr>
            </w:pPr>
          </w:p>
        </w:tc>
        <w:tc>
          <w:tcPr>
            <w:tcW w:w="1559" w:type="dxa"/>
          </w:tcPr>
          <w:p>
            <w:pPr>
              <w:pStyle w:val="TableParagraph"/>
              <w:rPr>
                <w:rFonts w:ascii="Times New Roman"/>
                <w:sz w:val="18"/>
              </w:rPr>
            </w:pPr>
          </w:p>
        </w:tc>
        <w:tc>
          <w:tcPr>
            <w:tcW w:w="1276" w:type="dxa"/>
          </w:tcPr>
          <w:p>
            <w:pPr>
              <w:pStyle w:val="TableParagraph"/>
              <w:rPr>
                <w:rFonts w:ascii="Times New Roman"/>
                <w:sz w:val="18"/>
              </w:rPr>
            </w:pPr>
          </w:p>
        </w:tc>
        <w:tc>
          <w:tcPr>
            <w:tcW w:w="1278" w:type="dxa"/>
          </w:tcPr>
          <w:p>
            <w:pPr>
              <w:pStyle w:val="TableParagraph"/>
              <w:rPr>
                <w:rFonts w:ascii="Times New Roman"/>
                <w:sz w:val="18"/>
              </w:rPr>
            </w:pPr>
          </w:p>
        </w:tc>
        <w:tc>
          <w:tcPr>
            <w:tcW w:w="1134" w:type="dxa"/>
          </w:tcPr>
          <w:p>
            <w:pPr>
              <w:pStyle w:val="TableParagraph"/>
              <w:rPr>
                <w:rFonts w:ascii="Times New Roman"/>
                <w:sz w:val="18"/>
              </w:rPr>
            </w:pPr>
          </w:p>
        </w:tc>
        <w:tc>
          <w:tcPr>
            <w:tcW w:w="1132" w:type="dxa"/>
          </w:tcPr>
          <w:p>
            <w:pPr>
              <w:pStyle w:val="TableParagraph"/>
              <w:rPr>
                <w:rFonts w:ascii="Times New Roman"/>
                <w:sz w:val="18"/>
              </w:rPr>
            </w:pPr>
          </w:p>
        </w:tc>
      </w:tr>
      <w:tr>
        <w:trPr>
          <w:trHeight w:val="441" w:hRule="atLeast"/>
        </w:trPr>
        <w:tc>
          <w:tcPr>
            <w:tcW w:w="3368" w:type="dxa"/>
          </w:tcPr>
          <w:p>
            <w:pPr>
              <w:pStyle w:val="TableParagraph"/>
              <w:spacing w:line="220" w:lineRule="exact"/>
              <w:ind w:left="107" w:right="147"/>
              <w:rPr>
                <w:sz w:val="18"/>
              </w:rPr>
            </w:pPr>
            <w:r>
              <w:rPr>
                <w:sz w:val="18"/>
              </w:rPr>
              <w:t>I. Group consultations involving two</w:t>
            </w:r>
            <w:r>
              <w:rPr>
                <w:spacing w:val="-48"/>
                <w:sz w:val="18"/>
              </w:rPr>
              <w:t> </w:t>
            </w:r>
            <w:r>
              <w:rPr>
                <w:sz w:val="18"/>
              </w:rPr>
              <w:t>or</w:t>
            </w:r>
            <w:r>
              <w:rPr>
                <w:spacing w:val="-1"/>
                <w:sz w:val="18"/>
              </w:rPr>
              <w:t> </w:t>
            </w:r>
            <w:r>
              <w:rPr>
                <w:sz w:val="18"/>
              </w:rPr>
              <w:t>more patients</w:t>
            </w:r>
          </w:p>
        </w:tc>
        <w:tc>
          <w:tcPr>
            <w:tcW w:w="740" w:type="dxa"/>
          </w:tcPr>
          <w:p>
            <w:pPr>
              <w:pStyle w:val="TableParagraph"/>
              <w:rPr>
                <w:rFonts w:ascii="Times New Roman"/>
                <w:sz w:val="18"/>
              </w:rPr>
            </w:pPr>
          </w:p>
        </w:tc>
        <w:tc>
          <w:tcPr>
            <w:tcW w:w="852" w:type="dxa"/>
          </w:tcPr>
          <w:p>
            <w:pPr>
              <w:pStyle w:val="TableParagraph"/>
              <w:rPr>
                <w:rFonts w:ascii="Times New Roman"/>
                <w:sz w:val="18"/>
              </w:rPr>
            </w:pPr>
          </w:p>
        </w:tc>
        <w:tc>
          <w:tcPr>
            <w:tcW w:w="1226" w:type="dxa"/>
          </w:tcPr>
          <w:p>
            <w:pPr>
              <w:pStyle w:val="TableParagraph"/>
              <w:rPr>
                <w:rFonts w:ascii="Times New Roman"/>
                <w:sz w:val="18"/>
              </w:rPr>
            </w:pPr>
          </w:p>
        </w:tc>
        <w:tc>
          <w:tcPr>
            <w:tcW w:w="1478" w:type="dxa"/>
          </w:tcPr>
          <w:p>
            <w:pPr>
              <w:pStyle w:val="TableParagraph"/>
              <w:rPr>
                <w:rFonts w:ascii="Times New Roman"/>
                <w:sz w:val="18"/>
              </w:rPr>
            </w:pPr>
          </w:p>
        </w:tc>
        <w:tc>
          <w:tcPr>
            <w:tcW w:w="1559" w:type="dxa"/>
          </w:tcPr>
          <w:p>
            <w:pPr>
              <w:pStyle w:val="TableParagraph"/>
              <w:rPr>
                <w:rFonts w:ascii="Times New Roman"/>
                <w:sz w:val="18"/>
              </w:rPr>
            </w:pPr>
          </w:p>
        </w:tc>
        <w:tc>
          <w:tcPr>
            <w:tcW w:w="1276" w:type="dxa"/>
          </w:tcPr>
          <w:p>
            <w:pPr>
              <w:pStyle w:val="TableParagraph"/>
              <w:rPr>
                <w:rFonts w:ascii="Times New Roman"/>
                <w:sz w:val="18"/>
              </w:rPr>
            </w:pPr>
          </w:p>
        </w:tc>
        <w:tc>
          <w:tcPr>
            <w:tcW w:w="1278" w:type="dxa"/>
          </w:tcPr>
          <w:p>
            <w:pPr>
              <w:pStyle w:val="TableParagraph"/>
              <w:rPr>
                <w:rFonts w:ascii="Times New Roman"/>
                <w:sz w:val="18"/>
              </w:rPr>
            </w:pPr>
          </w:p>
        </w:tc>
        <w:tc>
          <w:tcPr>
            <w:tcW w:w="1134" w:type="dxa"/>
          </w:tcPr>
          <w:p>
            <w:pPr>
              <w:pStyle w:val="TableParagraph"/>
              <w:rPr>
                <w:rFonts w:ascii="Times New Roman"/>
                <w:sz w:val="18"/>
              </w:rPr>
            </w:pPr>
          </w:p>
        </w:tc>
        <w:tc>
          <w:tcPr>
            <w:tcW w:w="1132" w:type="dxa"/>
          </w:tcPr>
          <w:p>
            <w:pPr>
              <w:pStyle w:val="TableParagraph"/>
              <w:rPr>
                <w:rFonts w:ascii="Times New Roman"/>
                <w:sz w:val="18"/>
              </w:rPr>
            </w:pPr>
          </w:p>
        </w:tc>
      </w:tr>
    </w:tbl>
    <w:p>
      <w:pPr>
        <w:spacing w:after="0"/>
        <w:rPr>
          <w:rFonts w:ascii="Times New Roman"/>
          <w:sz w:val="18"/>
        </w:rPr>
        <w:sectPr>
          <w:footerReference w:type="default" r:id="rId46"/>
          <w:pgSz w:w="16840" w:h="11910" w:orient="landscape"/>
          <w:pgMar w:footer="947" w:header="0" w:top="860" w:bottom="1140" w:left="620" w:right="600"/>
        </w:sectPr>
      </w:pPr>
    </w:p>
    <w:tbl>
      <w:tblPr>
        <w:tblW w:w="0" w:type="auto"/>
        <w:jc w:val="left"/>
        <w:tblInd w:w="77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368"/>
        <w:gridCol w:w="740"/>
        <w:gridCol w:w="852"/>
        <w:gridCol w:w="1226"/>
        <w:gridCol w:w="1478"/>
        <w:gridCol w:w="1559"/>
        <w:gridCol w:w="1276"/>
        <w:gridCol w:w="1278"/>
        <w:gridCol w:w="1134"/>
        <w:gridCol w:w="1132"/>
      </w:tblGrid>
      <w:tr>
        <w:trPr>
          <w:trHeight w:val="662" w:hRule="atLeast"/>
        </w:trPr>
        <w:tc>
          <w:tcPr>
            <w:tcW w:w="3368" w:type="dxa"/>
            <w:vMerge w:val="restart"/>
            <w:shd w:val="clear" w:color="auto" w:fill="F1F1F1"/>
          </w:tcPr>
          <w:p>
            <w:pPr>
              <w:pStyle w:val="TableParagraph"/>
              <w:rPr>
                <w:sz w:val="22"/>
              </w:rPr>
            </w:pPr>
          </w:p>
          <w:p>
            <w:pPr>
              <w:pStyle w:val="TableParagraph"/>
              <w:rPr>
                <w:sz w:val="22"/>
              </w:rPr>
            </w:pPr>
          </w:p>
          <w:p>
            <w:pPr>
              <w:pStyle w:val="TableParagraph"/>
              <w:spacing w:before="155"/>
              <w:ind w:left="107"/>
              <w:rPr>
                <w:sz w:val="18"/>
              </w:rPr>
            </w:pPr>
            <w:r>
              <w:rPr>
                <w:sz w:val="18"/>
              </w:rPr>
              <w:t>Initiative</w:t>
            </w:r>
          </w:p>
        </w:tc>
        <w:tc>
          <w:tcPr>
            <w:tcW w:w="1592" w:type="dxa"/>
            <w:gridSpan w:val="2"/>
            <w:shd w:val="clear" w:color="auto" w:fill="F1F1F1"/>
          </w:tcPr>
          <w:p>
            <w:pPr>
              <w:pStyle w:val="TableParagraph"/>
              <w:ind w:left="204" w:right="122" w:hanging="56"/>
              <w:rPr>
                <w:sz w:val="18"/>
              </w:rPr>
            </w:pPr>
            <w:r>
              <w:rPr>
                <w:sz w:val="18"/>
              </w:rPr>
              <w:t>19.1 Feature of</w:t>
            </w:r>
            <w:r>
              <w:rPr>
                <w:spacing w:val="-47"/>
                <w:sz w:val="18"/>
              </w:rPr>
              <w:t> </w:t>
            </w:r>
            <w:r>
              <w:rPr>
                <w:sz w:val="18"/>
              </w:rPr>
              <w:t>practice</w:t>
            </w:r>
            <w:r>
              <w:rPr>
                <w:spacing w:val="-4"/>
                <w:sz w:val="18"/>
              </w:rPr>
              <w:t> </w:t>
            </w:r>
            <w:r>
              <w:rPr>
                <w:sz w:val="18"/>
              </w:rPr>
              <w:t>prior</w:t>
            </w:r>
          </w:p>
          <w:p>
            <w:pPr>
              <w:pStyle w:val="TableParagraph"/>
              <w:spacing w:line="202" w:lineRule="exact"/>
              <w:ind w:left="484"/>
              <w:rPr>
                <w:sz w:val="18"/>
              </w:rPr>
            </w:pPr>
            <w:r>
              <w:rPr>
                <w:sz w:val="18"/>
              </w:rPr>
              <w:t>to</w:t>
            </w:r>
            <w:r>
              <w:rPr>
                <w:spacing w:val="-3"/>
                <w:sz w:val="18"/>
              </w:rPr>
              <w:t> </w:t>
            </w:r>
            <w:r>
              <w:rPr>
                <w:sz w:val="18"/>
              </w:rPr>
              <w:t>HCH</w:t>
            </w:r>
          </w:p>
        </w:tc>
        <w:tc>
          <w:tcPr>
            <w:tcW w:w="4263" w:type="dxa"/>
            <w:gridSpan w:val="3"/>
            <w:shd w:val="clear" w:color="auto" w:fill="F1F1F1"/>
          </w:tcPr>
          <w:p>
            <w:pPr>
              <w:pStyle w:val="TableParagraph"/>
              <w:ind w:left="1830" w:right="111" w:hanging="1688"/>
              <w:rPr>
                <w:sz w:val="18"/>
              </w:rPr>
            </w:pPr>
            <w:r>
              <w:rPr>
                <w:sz w:val="18"/>
              </w:rPr>
              <w:t>19.2 Will this be a change you are planning to</w:t>
            </w:r>
            <w:r>
              <w:rPr>
                <w:spacing w:val="-48"/>
                <w:sz w:val="18"/>
              </w:rPr>
              <w:t> </w:t>
            </w:r>
            <w:r>
              <w:rPr>
                <w:sz w:val="18"/>
              </w:rPr>
              <w:t>make?</w:t>
            </w:r>
          </w:p>
        </w:tc>
        <w:tc>
          <w:tcPr>
            <w:tcW w:w="4820" w:type="dxa"/>
            <w:gridSpan w:val="4"/>
            <w:shd w:val="clear" w:color="auto" w:fill="F1F1F1"/>
          </w:tcPr>
          <w:p>
            <w:pPr>
              <w:pStyle w:val="TableParagraph"/>
              <w:ind w:left="277" w:right="161" w:hanging="87"/>
              <w:rPr>
                <w:sz w:val="18"/>
              </w:rPr>
            </w:pPr>
            <w:r>
              <w:rPr>
                <w:sz w:val="18"/>
              </w:rPr>
              <w:t>19.3 What is your assessment of the extent to which</w:t>
            </w:r>
            <w:r>
              <w:rPr>
                <w:spacing w:val="-47"/>
                <w:sz w:val="18"/>
              </w:rPr>
              <w:t> </w:t>
            </w:r>
            <w:r>
              <w:rPr>
                <w:sz w:val="18"/>
              </w:rPr>
              <w:t>this</w:t>
            </w:r>
            <w:r>
              <w:rPr>
                <w:spacing w:val="-3"/>
                <w:sz w:val="18"/>
              </w:rPr>
              <w:t> </w:t>
            </w:r>
            <w:r>
              <w:rPr>
                <w:sz w:val="18"/>
              </w:rPr>
              <w:t>change</w:t>
            </w:r>
            <w:r>
              <w:rPr>
                <w:spacing w:val="-2"/>
                <w:sz w:val="18"/>
              </w:rPr>
              <w:t> </w:t>
            </w:r>
            <w:r>
              <w:rPr>
                <w:sz w:val="18"/>
              </w:rPr>
              <w:t>has</w:t>
            </w:r>
            <w:r>
              <w:rPr>
                <w:spacing w:val="-3"/>
                <w:sz w:val="18"/>
              </w:rPr>
              <w:t> </w:t>
            </w:r>
            <w:r>
              <w:rPr>
                <w:sz w:val="18"/>
              </w:rPr>
              <w:t>been</w:t>
            </w:r>
            <w:r>
              <w:rPr>
                <w:spacing w:val="-6"/>
                <w:sz w:val="18"/>
              </w:rPr>
              <w:t> </w:t>
            </w:r>
            <w:r>
              <w:rPr>
                <w:sz w:val="18"/>
              </w:rPr>
              <w:t>implemented</w:t>
            </w:r>
            <w:r>
              <w:rPr>
                <w:spacing w:val="-3"/>
                <w:sz w:val="18"/>
              </w:rPr>
              <w:t> </w:t>
            </w:r>
            <w:r>
              <w:rPr>
                <w:sz w:val="18"/>
              </w:rPr>
              <w:t>for</w:t>
            </w:r>
            <w:r>
              <w:rPr>
                <w:spacing w:val="-2"/>
                <w:sz w:val="18"/>
              </w:rPr>
              <w:t> </w:t>
            </w:r>
            <w:r>
              <w:rPr>
                <w:sz w:val="18"/>
              </w:rPr>
              <w:t>your</w:t>
            </w:r>
            <w:r>
              <w:rPr>
                <w:spacing w:val="-3"/>
                <w:sz w:val="18"/>
              </w:rPr>
              <w:t> </w:t>
            </w:r>
            <w:r>
              <w:rPr>
                <w:sz w:val="18"/>
              </w:rPr>
              <w:t>HCH</w:t>
            </w:r>
          </w:p>
          <w:p>
            <w:pPr>
              <w:pStyle w:val="TableParagraph"/>
              <w:spacing w:line="202" w:lineRule="exact"/>
              <w:ind w:left="1057"/>
              <w:rPr>
                <w:sz w:val="18"/>
              </w:rPr>
            </w:pPr>
            <w:r>
              <w:rPr>
                <w:sz w:val="18"/>
              </w:rPr>
              <w:t>patients</w:t>
            </w:r>
            <w:r>
              <w:rPr>
                <w:spacing w:val="-1"/>
                <w:sz w:val="18"/>
              </w:rPr>
              <w:t> </w:t>
            </w:r>
            <w:r>
              <w:rPr>
                <w:sz w:val="18"/>
                <w:u w:val="single"/>
              </w:rPr>
              <w:t>as</w:t>
            </w:r>
            <w:r>
              <w:rPr>
                <w:spacing w:val="-3"/>
                <w:sz w:val="18"/>
                <w:u w:val="single"/>
              </w:rPr>
              <w:t> </w:t>
            </w:r>
            <w:r>
              <w:rPr>
                <w:sz w:val="18"/>
                <w:u w:val="single"/>
              </w:rPr>
              <w:t>at</w:t>
            </w:r>
            <w:r>
              <w:rPr>
                <w:spacing w:val="-3"/>
                <w:sz w:val="18"/>
                <w:u w:val="single"/>
              </w:rPr>
              <w:t> </w:t>
            </w:r>
            <w:r>
              <w:rPr>
                <w:sz w:val="18"/>
                <w:u w:val="single"/>
              </w:rPr>
              <w:t>November</w:t>
            </w:r>
            <w:r>
              <w:rPr>
                <w:spacing w:val="-1"/>
                <w:sz w:val="18"/>
                <w:u w:val="single"/>
              </w:rPr>
              <w:t> </w:t>
            </w:r>
            <w:r>
              <w:rPr>
                <w:sz w:val="18"/>
                <w:u w:val="single"/>
              </w:rPr>
              <w:t>2020</w:t>
            </w:r>
            <w:r>
              <w:rPr>
                <w:sz w:val="18"/>
              </w:rPr>
              <w:t>?</w:t>
            </w:r>
          </w:p>
        </w:tc>
      </w:tr>
      <w:tr>
        <w:trPr>
          <w:trHeight w:val="940" w:hRule="atLeast"/>
        </w:trPr>
        <w:tc>
          <w:tcPr>
            <w:tcW w:w="3368" w:type="dxa"/>
            <w:vMerge/>
            <w:tcBorders>
              <w:top w:val="nil"/>
            </w:tcBorders>
            <w:shd w:val="clear" w:color="auto" w:fill="F1F1F1"/>
          </w:tcPr>
          <w:p>
            <w:pPr>
              <w:rPr>
                <w:sz w:val="2"/>
                <w:szCs w:val="2"/>
              </w:rPr>
            </w:pPr>
          </w:p>
        </w:tc>
        <w:tc>
          <w:tcPr>
            <w:tcW w:w="740" w:type="dxa"/>
            <w:shd w:val="clear" w:color="auto" w:fill="F1F1F1"/>
          </w:tcPr>
          <w:p>
            <w:pPr>
              <w:pStyle w:val="TableParagraph"/>
              <w:spacing w:line="219" w:lineRule="exact"/>
              <w:ind w:left="146"/>
              <w:rPr>
                <w:sz w:val="18"/>
              </w:rPr>
            </w:pPr>
            <w:r>
              <w:rPr>
                <w:sz w:val="18"/>
              </w:rPr>
              <w:t>1</w:t>
            </w:r>
            <w:r>
              <w:rPr>
                <w:spacing w:val="-2"/>
                <w:sz w:val="18"/>
              </w:rPr>
              <w:t> </w:t>
            </w:r>
            <w:r>
              <w:rPr>
                <w:sz w:val="18"/>
              </w:rPr>
              <w:t>Yes</w:t>
            </w:r>
          </w:p>
        </w:tc>
        <w:tc>
          <w:tcPr>
            <w:tcW w:w="852" w:type="dxa"/>
            <w:shd w:val="clear" w:color="auto" w:fill="F1F1F1"/>
          </w:tcPr>
          <w:p>
            <w:pPr>
              <w:pStyle w:val="TableParagraph"/>
              <w:spacing w:line="219" w:lineRule="exact"/>
              <w:ind w:left="224"/>
              <w:rPr>
                <w:sz w:val="18"/>
              </w:rPr>
            </w:pPr>
            <w:r>
              <w:rPr>
                <w:sz w:val="18"/>
              </w:rPr>
              <w:t>2</w:t>
            </w:r>
            <w:r>
              <w:rPr>
                <w:spacing w:val="-1"/>
                <w:sz w:val="18"/>
              </w:rPr>
              <w:t> </w:t>
            </w:r>
            <w:r>
              <w:rPr>
                <w:sz w:val="18"/>
              </w:rPr>
              <w:t>No</w:t>
            </w:r>
          </w:p>
        </w:tc>
        <w:tc>
          <w:tcPr>
            <w:tcW w:w="1226" w:type="dxa"/>
            <w:shd w:val="clear" w:color="auto" w:fill="F1F1F1"/>
          </w:tcPr>
          <w:p>
            <w:pPr>
              <w:pStyle w:val="TableParagraph"/>
              <w:ind w:left="114" w:right="103" w:firstLine="1"/>
              <w:jc w:val="center"/>
              <w:rPr>
                <w:sz w:val="18"/>
              </w:rPr>
            </w:pPr>
            <w:r>
              <w:rPr>
                <w:sz w:val="18"/>
              </w:rPr>
              <w:t>1</w:t>
            </w:r>
            <w:r>
              <w:rPr>
                <w:spacing w:val="1"/>
                <w:sz w:val="18"/>
              </w:rPr>
              <w:t> </w:t>
            </w:r>
            <w:r>
              <w:rPr>
                <w:sz w:val="18"/>
              </w:rPr>
              <w:t>We</w:t>
            </w:r>
            <w:r>
              <w:rPr>
                <w:spacing w:val="-1"/>
                <w:sz w:val="18"/>
              </w:rPr>
              <w:t> </w:t>
            </w:r>
            <w:r>
              <w:rPr>
                <w:sz w:val="18"/>
              </w:rPr>
              <w:t>are</w:t>
            </w:r>
            <w:r>
              <w:rPr>
                <w:spacing w:val="1"/>
                <w:sz w:val="18"/>
              </w:rPr>
              <w:t> </w:t>
            </w:r>
            <w:r>
              <w:rPr>
                <w:spacing w:val="-1"/>
                <w:sz w:val="18"/>
              </w:rPr>
              <w:t>implement-</w:t>
            </w:r>
            <w:r>
              <w:rPr>
                <w:spacing w:val="-47"/>
                <w:sz w:val="18"/>
              </w:rPr>
              <w:t> </w:t>
            </w:r>
            <w:r>
              <w:rPr>
                <w:sz w:val="18"/>
              </w:rPr>
              <w:t>ing</w:t>
            </w:r>
            <w:r>
              <w:rPr>
                <w:spacing w:val="49"/>
                <w:sz w:val="18"/>
              </w:rPr>
              <w:t> </w:t>
            </w:r>
            <w:r>
              <w:rPr>
                <w:sz w:val="18"/>
              </w:rPr>
              <w:t>this</w:t>
            </w:r>
            <w:r>
              <w:rPr>
                <w:spacing w:val="1"/>
                <w:sz w:val="18"/>
              </w:rPr>
              <w:t> </w:t>
            </w:r>
            <w:r>
              <w:rPr>
                <w:sz w:val="18"/>
              </w:rPr>
              <w:t>now</w:t>
            </w:r>
          </w:p>
        </w:tc>
        <w:tc>
          <w:tcPr>
            <w:tcW w:w="1478" w:type="dxa"/>
            <w:shd w:val="clear" w:color="auto" w:fill="F1F1F1"/>
          </w:tcPr>
          <w:p>
            <w:pPr>
              <w:pStyle w:val="TableParagraph"/>
              <w:ind w:left="258" w:right="143" w:hanging="96"/>
              <w:rPr>
                <w:sz w:val="18"/>
              </w:rPr>
            </w:pPr>
            <w:r>
              <w:rPr>
                <w:sz w:val="18"/>
              </w:rPr>
              <w:t>2.</w:t>
            </w:r>
            <w:r>
              <w:rPr>
                <w:spacing w:val="-6"/>
                <w:sz w:val="18"/>
              </w:rPr>
              <w:t> </w:t>
            </w:r>
            <w:r>
              <w:rPr>
                <w:sz w:val="18"/>
              </w:rPr>
              <w:t>We</w:t>
            </w:r>
            <w:r>
              <w:rPr>
                <w:spacing w:val="-5"/>
                <w:sz w:val="18"/>
              </w:rPr>
              <w:t> </w:t>
            </w:r>
            <w:r>
              <w:rPr>
                <w:sz w:val="18"/>
              </w:rPr>
              <w:t>plan</w:t>
            </w:r>
            <w:r>
              <w:rPr>
                <w:spacing w:val="-6"/>
                <w:sz w:val="18"/>
              </w:rPr>
              <w:t> </w:t>
            </w:r>
            <w:r>
              <w:rPr>
                <w:sz w:val="18"/>
              </w:rPr>
              <w:t>to</w:t>
            </w:r>
            <w:r>
              <w:rPr>
                <w:spacing w:val="-47"/>
                <w:sz w:val="18"/>
              </w:rPr>
              <w:t> </w:t>
            </w:r>
            <w:r>
              <w:rPr>
                <w:sz w:val="18"/>
              </w:rPr>
              <w:t>implement</w:t>
            </w:r>
            <w:r>
              <w:rPr>
                <w:spacing w:val="1"/>
                <w:sz w:val="18"/>
              </w:rPr>
              <w:t> </w:t>
            </w:r>
            <w:r>
              <w:rPr>
                <w:sz w:val="18"/>
              </w:rPr>
              <w:t>this</w:t>
            </w:r>
            <w:r>
              <w:rPr>
                <w:spacing w:val="-2"/>
                <w:sz w:val="18"/>
              </w:rPr>
              <w:t> </w:t>
            </w:r>
            <w:r>
              <w:rPr>
                <w:sz w:val="18"/>
              </w:rPr>
              <w:t>by</w:t>
            </w:r>
            <w:r>
              <w:rPr>
                <w:spacing w:val="-2"/>
                <w:sz w:val="18"/>
              </w:rPr>
              <w:t> </w:t>
            </w:r>
            <w:r>
              <w:rPr>
                <w:sz w:val="18"/>
              </w:rPr>
              <w:t>Dec</w:t>
            </w:r>
          </w:p>
          <w:p>
            <w:pPr>
              <w:pStyle w:val="TableParagraph"/>
              <w:ind w:left="541"/>
              <w:rPr>
                <w:sz w:val="18"/>
              </w:rPr>
            </w:pPr>
            <w:r>
              <w:rPr>
                <w:sz w:val="18"/>
              </w:rPr>
              <w:t>2020</w:t>
            </w:r>
          </w:p>
        </w:tc>
        <w:tc>
          <w:tcPr>
            <w:tcW w:w="1559" w:type="dxa"/>
            <w:shd w:val="clear" w:color="auto" w:fill="F1F1F1"/>
          </w:tcPr>
          <w:p>
            <w:pPr>
              <w:pStyle w:val="TableParagraph"/>
              <w:ind w:left="156" w:right="137" w:hanging="3"/>
              <w:jc w:val="both"/>
              <w:rPr>
                <w:sz w:val="18"/>
              </w:rPr>
            </w:pPr>
            <w:r>
              <w:rPr>
                <w:sz w:val="18"/>
              </w:rPr>
              <w:t>3 This won't be</w:t>
            </w:r>
            <w:r>
              <w:rPr>
                <w:spacing w:val="-47"/>
                <w:sz w:val="18"/>
              </w:rPr>
              <w:t> </w:t>
            </w:r>
            <w:r>
              <w:rPr>
                <w:sz w:val="18"/>
              </w:rPr>
              <w:t>a focus for us</w:t>
            </w:r>
            <w:r>
              <w:rPr>
                <w:spacing w:val="1"/>
                <w:sz w:val="18"/>
              </w:rPr>
              <w:t> </w:t>
            </w:r>
            <w:r>
              <w:rPr>
                <w:sz w:val="18"/>
              </w:rPr>
              <w:t>during</w:t>
            </w:r>
            <w:r>
              <w:rPr>
                <w:spacing w:val="-8"/>
                <w:sz w:val="18"/>
              </w:rPr>
              <w:t> </w:t>
            </w:r>
            <w:r>
              <w:rPr>
                <w:sz w:val="18"/>
              </w:rPr>
              <w:t>the</w:t>
            </w:r>
            <w:r>
              <w:rPr>
                <w:spacing w:val="-6"/>
                <w:sz w:val="18"/>
              </w:rPr>
              <w:t> </w:t>
            </w:r>
            <w:r>
              <w:rPr>
                <w:sz w:val="18"/>
              </w:rPr>
              <w:t>trial</w:t>
            </w:r>
          </w:p>
        </w:tc>
        <w:tc>
          <w:tcPr>
            <w:tcW w:w="1276" w:type="dxa"/>
            <w:shd w:val="clear" w:color="auto" w:fill="F1F1F1"/>
          </w:tcPr>
          <w:p>
            <w:pPr>
              <w:pStyle w:val="TableParagraph"/>
              <w:ind w:left="291" w:right="109" w:hanging="156"/>
              <w:rPr>
                <w:sz w:val="18"/>
              </w:rPr>
            </w:pPr>
            <w:r>
              <w:rPr>
                <w:spacing w:val="-1"/>
                <w:sz w:val="18"/>
              </w:rPr>
              <w:t>Completed</w:t>
            </w:r>
            <w:r>
              <w:rPr>
                <w:spacing w:val="-47"/>
                <w:sz w:val="18"/>
              </w:rPr>
              <w:t> </w:t>
            </w:r>
            <w:r>
              <w:rPr>
                <w:sz w:val="18"/>
              </w:rPr>
              <w:t>change</w:t>
            </w:r>
          </w:p>
        </w:tc>
        <w:tc>
          <w:tcPr>
            <w:tcW w:w="1278" w:type="dxa"/>
            <w:shd w:val="clear" w:color="auto" w:fill="F1F1F1"/>
          </w:tcPr>
          <w:p>
            <w:pPr>
              <w:pStyle w:val="TableParagraph"/>
              <w:ind w:left="278" w:right="243" w:firstLine="108"/>
              <w:rPr>
                <w:sz w:val="18"/>
              </w:rPr>
            </w:pPr>
            <w:r>
              <w:rPr>
                <w:sz w:val="18"/>
              </w:rPr>
              <w:t>Good</w:t>
            </w:r>
            <w:r>
              <w:rPr>
                <w:spacing w:val="1"/>
                <w:sz w:val="18"/>
              </w:rPr>
              <w:t> </w:t>
            </w:r>
            <w:r>
              <w:rPr>
                <w:sz w:val="18"/>
              </w:rPr>
              <w:t>progress</w:t>
            </w:r>
          </w:p>
        </w:tc>
        <w:tc>
          <w:tcPr>
            <w:tcW w:w="1134" w:type="dxa"/>
            <w:shd w:val="clear" w:color="auto" w:fill="F1F1F1"/>
          </w:tcPr>
          <w:p>
            <w:pPr>
              <w:pStyle w:val="TableParagraph"/>
              <w:ind w:left="207" w:right="170" w:firstLine="50"/>
              <w:rPr>
                <w:sz w:val="18"/>
              </w:rPr>
            </w:pPr>
            <w:r>
              <w:rPr>
                <w:sz w:val="18"/>
              </w:rPr>
              <w:t>Limited</w:t>
            </w:r>
            <w:r>
              <w:rPr>
                <w:spacing w:val="1"/>
                <w:sz w:val="18"/>
              </w:rPr>
              <w:t> </w:t>
            </w:r>
            <w:r>
              <w:rPr>
                <w:sz w:val="18"/>
              </w:rPr>
              <w:t>progress</w:t>
            </w:r>
          </w:p>
        </w:tc>
        <w:tc>
          <w:tcPr>
            <w:tcW w:w="1132" w:type="dxa"/>
            <w:shd w:val="clear" w:color="auto" w:fill="F1F1F1"/>
          </w:tcPr>
          <w:p>
            <w:pPr>
              <w:pStyle w:val="TableParagraph"/>
              <w:ind w:left="206" w:right="169" w:firstLine="240"/>
              <w:rPr>
                <w:sz w:val="18"/>
              </w:rPr>
            </w:pPr>
            <w:r>
              <w:rPr>
                <w:sz w:val="18"/>
              </w:rPr>
              <w:t>No</w:t>
            </w:r>
            <w:r>
              <w:rPr>
                <w:spacing w:val="1"/>
                <w:sz w:val="18"/>
              </w:rPr>
              <w:t> </w:t>
            </w:r>
            <w:r>
              <w:rPr>
                <w:sz w:val="18"/>
              </w:rPr>
              <w:t>progress</w:t>
            </w:r>
          </w:p>
        </w:tc>
      </w:tr>
      <w:tr>
        <w:trPr>
          <w:trHeight w:val="661" w:hRule="atLeast"/>
        </w:trPr>
        <w:tc>
          <w:tcPr>
            <w:tcW w:w="3368" w:type="dxa"/>
          </w:tcPr>
          <w:p>
            <w:pPr>
              <w:pStyle w:val="TableParagraph"/>
              <w:spacing w:line="220" w:lineRule="exact"/>
              <w:ind w:left="107" w:right="313"/>
              <w:rPr>
                <w:sz w:val="18"/>
              </w:rPr>
            </w:pPr>
            <w:r>
              <w:rPr>
                <w:sz w:val="18"/>
              </w:rPr>
              <w:t>J. Joint consultations for a patient</w:t>
            </w:r>
            <w:r>
              <w:rPr>
                <w:spacing w:val="-47"/>
                <w:sz w:val="18"/>
              </w:rPr>
              <w:t> </w:t>
            </w:r>
            <w:r>
              <w:rPr>
                <w:sz w:val="18"/>
              </w:rPr>
              <w:t>involving a GP, nurse and allied</w:t>
            </w:r>
            <w:r>
              <w:rPr>
                <w:spacing w:val="1"/>
                <w:sz w:val="18"/>
              </w:rPr>
              <w:t> </w:t>
            </w:r>
            <w:r>
              <w:rPr>
                <w:sz w:val="18"/>
              </w:rPr>
              <w:t>health</w:t>
            </w:r>
            <w:r>
              <w:rPr>
                <w:spacing w:val="2"/>
                <w:sz w:val="18"/>
              </w:rPr>
              <w:t> </w:t>
            </w:r>
            <w:r>
              <w:rPr>
                <w:sz w:val="18"/>
              </w:rPr>
              <w:t>(e.g.</w:t>
            </w:r>
            <w:r>
              <w:rPr>
                <w:spacing w:val="-3"/>
                <w:sz w:val="18"/>
              </w:rPr>
              <w:t> </w:t>
            </w:r>
            <w:r>
              <w:rPr>
                <w:sz w:val="18"/>
              </w:rPr>
              <w:t>pharmacist)</w:t>
            </w:r>
          </w:p>
        </w:tc>
        <w:tc>
          <w:tcPr>
            <w:tcW w:w="740" w:type="dxa"/>
          </w:tcPr>
          <w:p>
            <w:pPr>
              <w:pStyle w:val="TableParagraph"/>
              <w:rPr>
                <w:rFonts w:ascii="Times New Roman"/>
                <w:sz w:val="18"/>
              </w:rPr>
            </w:pPr>
          </w:p>
        </w:tc>
        <w:tc>
          <w:tcPr>
            <w:tcW w:w="852" w:type="dxa"/>
          </w:tcPr>
          <w:p>
            <w:pPr>
              <w:pStyle w:val="TableParagraph"/>
              <w:rPr>
                <w:rFonts w:ascii="Times New Roman"/>
                <w:sz w:val="18"/>
              </w:rPr>
            </w:pPr>
          </w:p>
        </w:tc>
        <w:tc>
          <w:tcPr>
            <w:tcW w:w="1226" w:type="dxa"/>
          </w:tcPr>
          <w:p>
            <w:pPr>
              <w:pStyle w:val="TableParagraph"/>
              <w:rPr>
                <w:rFonts w:ascii="Times New Roman"/>
                <w:sz w:val="18"/>
              </w:rPr>
            </w:pPr>
          </w:p>
        </w:tc>
        <w:tc>
          <w:tcPr>
            <w:tcW w:w="1478" w:type="dxa"/>
          </w:tcPr>
          <w:p>
            <w:pPr>
              <w:pStyle w:val="TableParagraph"/>
              <w:rPr>
                <w:rFonts w:ascii="Times New Roman"/>
                <w:sz w:val="18"/>
              </w:rPr>
            </w:pPr>
          </w:p>
        </w:tc>
        <w:tc>
          <w:tcPr>
            <w:tcW w:w="1559" w:type="dxa"/>
          </w:tcPr>
          <w:p>
            <w:pPr>
              <w:pStyle w:val="TableParagraph"/>
              <w:rPr>
                <w:rFonts w:ascii="Times New Roman"/>
                <w:sz w:val="18"/>
              </w:rPr>
            </w:pPr>
          </w:p>
        </w:tc>
        <w:tc>
          <w:tcPr>
            <w:tcW w:w="1276" w:type="dxa"/>
          </w:tcPr>
          <w:p>
            <w:pPr>
              <w:pStyle w:val="TableParagraph"/>
              <w:rPr>
                <w:rFonts w:ascii="Times New Roman"/>
                <w:sz w:val="18"/>
              </w:rPr>
            </w:pPr>
          </w:p>
        </w:tc>
        <w:tc>
          <w:tcPr>
            <w:tcW w:w="1278" w:type="dxa"/>
          </w:tcPr>
          <w:p>
            <w:pPr>
              <w:pStyle w:val="TableParagraph"/>
              <w:rPr>
                <w:rFonts w:ascii="Times New Roman"/>
                <w:sz w:val="18"/>
              </w:rPr>
            </w:pPr>
          </w:p>
        </w:tc>
        <w:tc>
          <w:tcPr>
            <w:tcW w:w="1134" w:type="dxa"/>
          </w:tcPr>
          <w:p>
            <w:pPr>
              <w:pStyle w:val="TableParagraph"/>
              <w:rPr>
                <w:rFonts w:ascii="Times New Roman"/>
                <w:sz w:val="18"/>
              </w:rPr>
            </w:pPr>
          </w:p>
        </w:tc>
        <w:tc>
          <w:tcPr>
            <w:tcW w:w="1132" w:type="dxa"/>
          </w:tcPr>
          <w:p>
            <w:pPr>
              <w:pStyle w:val="TableParagraph"/>
              <w:rPr>
                <w:rFonts w:ascii="Times New Roman"/>
                <w:sz w:val="18"/>
              </w:rPr>
            </w:pPr>
          </w:p>
        </w:tc>
      </w:tr>
      <w:tr>
        <w:trPr>
          <w:trHeight w:val="662" w:hRule="atLeast"/>
        </w:trPr>
        <w:tc>
          <w:tcPr>
            <w:tcW w:w="3368" w:type="dxa"/>
          </w:tcPr>
          <w:p>
            <w:pPr>
              <w:pStyle w:val="TableParagraph"/>
              <w:ind w:left="107" w:right="247"/>
              <w:rPr>
                <w:sz w:val="18"/>
              </w:rPr>
            </w:pPr>
            <w:r>
              <w:rPr>
                <w:sz w:val="18"/>
              </w:rPr>
              <w:t>K. HCH patients able to telephone</w:t>
            </w:r>
            <w:r>
              <w:rPr>
                <w:spacing w:val="-47"/>
                <w:sz w:val="18"/>
              </w:rPr>
              <w:t> </w:t>
            </w:r>
            <w:r>
              <w:rPr>
                <w:sz w:val="18"/>
              </w:rPr>
              <w:t>the</w:t>
            </w:r>
            <w:r>
              <w:rPr>
                <w:spacing w:val="-3"/>
                <w:sz w:val="18"/>
              </w:rPr>
              <w:t> </w:t>
            </w:r>
            <w:r>
              <w:rPr>
                <w:sz w:val="18"/>
              </w:rPr>
              <w:t>practice</w:t>
            </w:r>
            <w:r>
              <w:rPr>
                <w:spacing w:val="-2"/>
                <w:sz w:val="18"/>
              </w:rPr>
              <w:t> </w:t>
            </w:r>
            <w:r>
              <w:rPr>
                <w:sz w:val="18"/>
              </w:rPr>
              <w:t>and</w:t>
            </w:r>
            <w:r>
              <w:rPr>
                <w:spacing w:val="-3"/>
                <w:sz w:val="18"/>
              </w:rPr>
              <w:t> </w:t>
            </w:r>
            <w:r>
              <w:rPr>
                <w:sz w:val="18"/>
              </w:rPr>
              <w:t>talk</w:t>
            </w:r>
            <w:r>
              <w:rPr>
                <w:spacing w:val="-2"/>
                <w:sz w:val="18"/>
              </w:rPr>
              <w:t> </w:t>
            </w:r>
            <w:r>
              <w:rPr>
                <w:sz w:val="18"/>
              </w:rPr>
              <w:t>to</w:t>
            </w:r>
            <w:r>
              <w:rPr>
                <w:spacing w:val="-3"/>
                <w:sz w:val="18"/>
              </w:rPr>
              <w:t> </w:t>
            </w:r>
            <w:r>
              <w:rPr>
                <w:sz w:val="18"/>
              </w:rPr>
              <w:t>a</w:t>
            </w:r>
            <w:r>
              <w:rPr>
                <w:spacing w:val="-2"/>
                <w:sz w:val="18"/>
              </w:rPr>
              <w:t> </w:t>
            </w:r>
            <w:r>
              <w:rPr>
                <w:sz w:val="18"/>
              </w:rPr>
              <w:t>nurse</w:t>
            </w:r>
            <w:r>
              <w:rPr>
                <w:spacing w:val="-3"/>
                <w:sz w:val="18"/>
              </w:rPr>
              <w:t> </w:t>
            </w:r>
            <w:r>
              <w:rPr>
                <w:sz w:val="18"/>
              </w:rPr>
              <w:t>or</w:t>
            </w:r>
          </w:p>
          <w:p>
            <w:pPr>
              <w:pStyle w:val="TableParagraph"/>
              <w:spacing w:line="202" w:lineRule="exact"/>
              <w:ind w:left="107"/>
              <w:rPr>
                <w:sz w:val="18"/>
              </w:rPr>
            </w:pPr>
            <w:r>
              <w:rPr>
                <w:sz w:val="18"/>
              </w:rPr>
              <w:t>GP</w:t>
            </w:r>
            <w:r>
              <w:rPr>
                <w:spacing w:val="-3"/>
                <w:sz w:val="18"/>
              </w:rPr>
              <w:t> </w:t>
            </w:r>
            <w:r>
              <w:rPr>
                <w:sz w:val="18"/>
              </w:rPr>
              <w:t>about</w:t>
            </w:r>
            <w:r>
              <w:rPr>
                <w:spacing w:val="-3"/>
                <w:sz w:val="18"/>
              </w:rPr>
              <w:t> </w:t>
            </w:r>
            <w:r>
              <w:rPr>
                <w:sz w:val="18"/>
              </w:rPr>
              <w:t>their</w:t>
            </w:r>
            <w:r>
              <w:rPr>
                <w:spacing w:val="-2"/>
                <w:sz w:val="18"/>
              </w:rPr>
              <w:t> </w:t>
            </w:r>
            <w:r>
              <w:rPr>
                <w:sz w:val="18"/>
              </w:rPr>
              <w:t>health</w:t>
            </w:r>
            <w:r>
              <w:rPr>
                <w:spacing w:val="-3"/>
                <w:sz w:val="18"/>
              </w:rPr>
              <w:t> </w:t>
            </w:r>
            <w:r>
              <w:rPr>
                <w:sz w:val="18"/>
              </w:rPr>
              <w:t>concerns</w:t>
            </w:r>
          </w:p>
        </w:tc>
        <w:tc>
          <w:tcPr>
            <w:tcW w:w="740" w:type="dxa"/>
          </w:tcPr>
          <w:p>
            <w:pPr>
              <w:pStyle w:val="TableParagraph"/>
              <w:rPr>
                <w:rFonts w:ascii="Times New Roman"/>
                <w:sz w:val="18"/>
              </w:rPr>
            </w:pPr>
          </w:p>
        </w:tc>
        <w:tc>
          <w:tcPr>
            <w:tcW w:w="852" w:type="dxa"/>
          </w:tcPr>
          <w:p>
            <w:pPr>
              <w:pStyle w:val="TableParagraph"/>
              <w:rPr>
                <w:rFonts w:ascii="Times New Roman"/>
                <w:sz w:val="18"/>
              </w:rPr>
            </w:pPr>
          </w:p>
        </w:tc>
        <w:tc>
          <w:tcPr>
            <w:tcW w:w="1226" w:type="dxa"/>
          </w:tcPr>
          <w:p>
            <w:pPr>
              <w:pStyle w:val="TableParagraph"/>
              <w:rPr>
                <w:rFonts w:ascii="Times New Roman"/>
                <w:sz w:val="18"/>
              </w:rPr>
            </w:pPr>
          </w:p>
        </w:tc>
        <w:tc>
          <w:tcPr>
            <w:tcW w:w="1478" w:type="dxa"/>
          </w:tcPr>
          <w:p>
            <w:pPr>
              <w:pStyle w:val="TableParagraph"/>
              <w:rPr>
                <w:rFonts w:ascii="Times New Roman"/>
                <w:sz w:val="18"/>
              </w:rPr>
            </w:pPr>
          </w:p>
        </w:tc>
        <w:tc>
          <w:tcPr>
            <w:tcW w:w="1559" w:type="dxa"/>
          </w:tcPr>
          <w:p>
            <w:pPr>
              <w:pStyle w:val="TableParagraph"/>
              <w:rPr>
                <w:rFonts w:ascii="Times New Roman"/>
                <w:sz w:val="18"/>
              </w:rPr>
            </w:pPr>
          </w:p>
        </w:tc>
        <w:tc>
          <w:tcPr>
            <w:tcW w:w="1276" w:type="dxa"/>
          </w:tcPr>
          <w:p>
            <w:pPr>
              <w:pStyle w:val="TableParagraph"/>
              <w:rPr>
                <w:rFonts w:ascii="Times New Roman"/>
                <w:sz w:val="18"/>
              </w:rPr>
            </w:pPr>
          </w:p>
        </w:tc>
        <w:tc>
          <w:tcPr>
            <w:tcW w:w="1278" w:type="dxa"/>
          </w:tcPr>
          <w:p>
            <w:pPr>
              <w:pStyle w:val="TableParagraph"/>
              <w:rPr>
                <w:rFonts w:ascii="Times New Roman"/>
                <w:sz w:val="18"/>
              </w:rPr>
            </w:pPr>
          </w:p>
        </w:tc>
        <w:tc>
          <w:tcPr>
            <w:tcW w:w="1134" w:type="dxa"/>
          </w:tcPr>
          <w:p>
            <w:pPr>
              <w:pStyle w:val="TableParagraph"/>
              <w:rPr>
                <w:rFonts w:ascii="Times New Roman"/>
                <w:sz w:val="18"/>
              </w:rPr>
            </w:pPr>
          </w:p>
        </w:tc>
        <w:tc>
          <w:tcPr>
            <w:tcW w:w="1132" w:type="dxa"/>
          </w:tcPr>
          <w:p>
            <w:pPr>
              <w:pStyle w:val="TableParagraph"/>
              <w:rPr>
                <w:rFonts w:ascii="Times New Roman"/>
                <w:sz w:val="18"/>
              </w:rPr>
            </w:pPr>
          </w:p>
        </w:tc>
      </w:tr>
      <w:tr>
        <w:trPr>
          <w:trHeight w:val="882" w:hRule="atLeast"/>
        </w:trPr>
        <w:tc>
          <w:tcPr>
            <w:tcW w:w="3368" w:type="dxa"/>
          </w:tcPr>
          <w:p>
            <w:pPr>
              <w:pStyle w:val="TableParagraph"/>
              <w:spacing w:before="1"/>
              <w:ind w:left="107" w:right="347"/>
              <w:rPr>
                <w:sz w:val="18"/>
              </w:rPr>
            </w:pPr>
            <w:r>
              <w:rPr>
                <w:sz w:val="18"/>
              </w:rPr>
              <w:t>L. HCH patients able to</w:t>
            </w:r>
            <w:r>
              <w:rPr>
                <w:spacing w:val="1"/>
                <w:sz w:val="18"/>
              </w:rPr>
              <w:t> </w:t>
            </w:r>
            <w:r>
              <w:rPr>
                <w:sz w:val="18"/>
              </w:rPr>
              <w:t>communicate</w:t>
            </w:r>
            <w:r>
              <w:rPr>
                <w:spacing w:val="-4"/>
                <w:sz w:val="18"/>
              </w:rPr>
              <w:t> </w:t>
            </w:r>
            <w:r>
              <w:rPr>
                <w:sz w:val="18"/>
              </w:rPr>
              <w:t>by</w:t>
            </w:r>
            <w:r>
              <w:rPr>
                <w:spacing w:val="-5"/>
                <w:sz w:val="18"/>
              </w:rPr>
              <w:t> </w:t>
            </w:r>
            <w:r>
              <w:rPr>
                <w:sz w:val="18"/>
              </w:rPr>
              <w:t>email</w:t>
            </w:r>
            <w:r>
              <w:rPr>
                <w:spacing w:val="-3"/>
                <w:sz w:val="18"/>
              </w:rPr>
              <w:t> </w:t>
            </w:r>
            <w:r>
              <w:rPr>
                <w:sz w:val="18"/>
              </w:rPr>
              <w:t>or</w:t>
            </w:r>
            <w:r>
              <w:rPr>
                <w:spacing w:val="-4"/>
                <w:sz w:val="18"/>
              </w:rPr>
              <w:t> </w:t>
            </w:r>
            <w:r>
              <w:rPr>
                <w:sz w:val="18"/>
              </w:rPr>
              <w:t>secure</w:t>
            </w:r>
            <w:r>
              <w:rPr>
                <w:spacing w:val="-47"/>
                <w:sz w:val="18"/>
              </w:rPr>
              <w:t> </w:t>
            </w:r>
            <w:r>
              <w:rPr>
                <w:sz w:val="18"/>
              </w:rPr>
              <w:t>messaging</w:t>
            </w:r>
            <w:r>
              <w:rPr>
                <w:spacing w:val="-4"/>
                <w:sz w:val="18"/>
              </w:rPr>
              <w:t> </w:t>
            </w:r>
            <w:r>
              <w:rPr>
                <w:sz w:val="18"/>
              </w:rPr>
              <w:t>with</w:t>
            </w:r>
            <w:r>
              <w:rPr>
                <w:spacing w:val="-1"/>
                <w:sz w:val="18"/>
              </w:rPr>
              <w:t> </w:t>
            </w:r>
            <w:r>
              <w:rPr>
                <w:sz w:val="18"/>
              </w:rPr>
              <w:t>the</w:t>
            </w:r>
            <w:r>
              <w:rPr>
                <w:spacing w:val="-1"/>
                <w:sz w:val="18"/>
              </w:rPr>
              <w:t> </w:t>
            </w:r>
            <w:r>
              <w:rPr>
                <w:sz w:val="18"/>
              </w:rPr>
              <w:t>GP</w:t>
            </w:r>
            <w:r>
              <w:rPr>
                <w:spacing w:val="-3"/>
                <w:sz w:val="18"/>
              </w:rPr>
              <w:t> </w:t>
            </w:r>
            <w:r>
              <w:rPr>
                <w:sz w:val="18"/>
              </w:rPr>
              <w:t>or</w:t>
            </w:r>
            <w:r>
              <w:rPr>
                <w:spacing w:val="-1"/>
                <w:sz w:val="18"/>
              </w:rPr>
              <w:t> </w:t>
            </w:r>
            <w:r>
              <w:rPr>
                <w:sz w:val="18"/>
              </w:rPr>
              <w:t>nurse</w:t>
            </w:r>
          </w:p>
          <w:p>
            <w:pPr>
              <w:pStyle w:val="TableParagraph"/>
              <w:spacing w:line="200" w:lineRule="exact"/>
              <w:ind w:left="107"/>
              <w:rPr>
                <w:sz w:val="18"/>
              </w:rPr>
            </w:pPr>
            <w:r>
              <w:rPr>
                <w:sz w:val="18"/>
              </w:rPr>
              <w:t>about</w:t>
            </w:r>
            <w:r>
              <w:rPr>
                <w:spacing w:val="-5"/>
                <w:sz w:val="18"/>
              </w:rPr>
              <w:t> </w:t>
            </w:r>
            <w:r>
              <w:rPr>
                <w:sz w:val="18"/>
              </w:rPr>
              <w:t>their</w:t>
            </w:r>
            <w:r>
              <w:rPr>
                <w:spacing w:val="-3"/>
                <w:sz w:val="18"/>
              </w:rPr>
              <w:t> </w:t>
            </w:r>
            <w:r>
              <w:rPr>
                <w:sz w:val="18"/>
              </w:rPr>
              <w:t>health</w:t>
            </w:r>
            <w:r>
              <w:rPr>
                <w:spacing w:val="-2"/>
                <w:sz w:val="18"/>
              </w:rPr>
              <w:t> </w:t>
            </w:r>
            <w:r>
              <w:rPr>
                <w:sz w:val="18"/>
              </w:rPr>
              <w:t>concerns</w:t>
            </w:r>
          </w:p>
        </w:tc>
        <w:tc>
          <w:tcPr>
            <w:tcW w:w="740" w:type="dxa"/>
          </w:tcPr>
          <w:p>
            <w:pPr>
              <w:pStyle w:val="TableParagraph"/>
              <w:rPr>
                <w:rFonts w:ascii="Times New Roman"/>
                <w:sz w:val="18"/>
              </w:rPr>
            </w:pPr>
          </w:p>
        </w:tc>
        <w:tc>
          <w:tcPr>
            <w:tcW w:w="852" w:type="dxa"/>
          </w:tcPr>
          <w:p>
            <w:pPr>
              <w:pStyle w:val="TableParagraph"/>
              <w:rPr>
                <w:rFonts w:ascii="Times New Roman"/>
                <w:sz w:val="18"/>
              </w:rPr>
            </w:pPr>
          </w:p>
        </w:tc>
        <w:tc>
          <w:tcPr>
            <w:tcW w:w="1226" w:type="dxa"/>
          </w:tcPr>
          <w:p>
            <w:pPr>
              <w:pStyle w:val="TableParagraph"/>
              <w:rPr>
                <w:rFonts w:ascii="Times New Roman"/>
                <w:sz w:val="18"/>
              </w:rPr>
            </w:pPr>
          </w:p>
        </w:tc>
        <w:tc>
          <w:tcPr>
            <w:tcW w:w="1478" w:type="dxa"/>
          </w:tcPr>
          <w:p>
            <w:pPr>
              <w:pStyle w:val="TableParagraph"/>
              <w:rPr>
                <w:rFonts w:ascii="Times New Roman"/>
                <w:sz w:val="18"/>
              </w:rPr>
            </w:pPr>
          </w:p>
        </w:tc>
        <w:tc>
          <w:tcPr>
            <w:tcW w:w="1559" w:type="dxa"/>
          </w:tcPr>
          <w:p>
            <w:pPr>
              <w:pStyle w:val="TableParagraph"/>
              <w:rPr>
                <w:rFonts w:ascii="Times New Roman"/>
                <w:sz w:val="18"/>
              </w:rPr>
            </w:pPr>
          </w:p>
        </w:tc>
        <w:tc>
          <w:tcPr>
            <w:tcW w:w="1276" w:type="dxa"/>
          </w:tcPr>
          <w:p>
            <w:pPr>
              <w:pStyle w:val="TableParagraph"/>
              <w:rPr>
                <w:rFonts w:ascii="Times New Roman"/>
                <w:sz w:val="18"/>
              </w:rPr>
            </w:pPr>
          </w:p>
        </w:tc>
        <w:tc>
          <w:tcPr>
            <w:tcW w:w="1278" w:type="dxa"/>
          </w:tcPr>
          <w:p>
            <w:pPr>
              <w:pStyle w:val="TableParagraph"/>
              <w:rPr>
                <w:rFonts w:ascii="Times New Roman"/>
                <w:sz w:val="18"/>
              </w:rPr>
            </w:pPr>
          </w:p>
        </w:tc>
        <w:tc>
          <w:tcPr>
            <w:tcW w:w="1134" w:type="dxa"/>
          </w:tcPr>
          <w:p>
            <w:pPr>
              <w:pStyle w:val="TableParagraph"/>
              <w:rPr>
                <w:rFonts w:ascii="Times New Roman"/>
                <w:sz w:val="18"/>
              </w:rPr>
            </w:pPr>
          </w:p>
        </w:tc>
        <w:tc>
          <w:tcPr>
            <w:tcW w:w="1132" w:type="dxa"/>
          </w:tcPr>
          <w:p>
            <w:pPr>
              <w:pStyle w:val="TableParagraph"/>
              <w:rPr>
                <w:rFonts w:ascii="Times New Roman"/>
                <w:sz w:val="18"/>
              </w:rPr>
            </w:pPr>
          </w:p>
        </w:tc>
      </w:tr>
      <w:tr>
        <w:trPr>
          <w:trHeight w:val="662" w:hRule="atLeast"/>
        </w:trPr>
        <w:tc>
          <w:tcPr>
            <w:tcW w:w="3368" w:type="dxa"/>
          </w:tcPr>
          <w:p>
            <w:pPr>
              <w:pStyle w:val="TableParagraph"/>
              <w:spacing w:line="237" w:lineRule="auto" w:before="3"/>
              <w:ind w:left="107" w:right="135"/>
              <w:rPr>
                <w:sz w:val="18"/>
              </w:rPr>
            </w:pPr>
            <w:r>
              <w:rPr>
                <w:sz w:val="18"/>
              </w:rPr>
              <w:t>M. Introducing a patient portal</w:t>
            </w:r>
            <w:r>
              <w:rPr>
                <w:spacing w:val="1"/>
                <w:sz w:val="18"/>
              </w:rPr>
              <w:t> </w:t>
            </w:r>
            <w:r>
              <w:rPr>
                <w:sz w:val="18"/>
              </w:rPr>
              <w:t>through</w:t>
            </w:r>
            <w:r>
              <w:rPr>
                <w:spacing w:val="-3"/>
                <w:sz w:val="18"/>
              </w:rPr>
              <w:t> </w:t>
            </w:r>
            <w:r>
              <w:rPr>
                <w:sz w:val="18"/>
              </w:rPr>
              <w:t>which</w:t>
            </w:r>
            <w:r>
              <w:rPr>
                <w:spacing w:val="-5"/>
                <w:sz w:val="18"/>
              </w:rPr>
              <w:t> </w:t>
            </w:r>
            <w:r>
              <w:rPr>
                <w:sz w:val="18"/>
              </w:rPr>
              <w:t>clinical</w:t>
            </w:r>
            <w:r>
              <w:rPr>
                <w:spacing w:val="-4"/>
                <w:sz w:val="18"/>
              </w:rPr>
              <w:t> </w:t>
            </w:r>
            <w:r>
              <w:rPr>
                <w:sz w:val="18"/>
              </w:rPr>
              <w:t>information</w:t>
            </w:r>
            <w:r>
              <w:rPr>
                <w:spacing w:val="-3"/>
                <w:sz w:val="18"/>
              </w:rPr>
              <w:t> </w:t>
            </w:r>
            <w:r>
              <w:rPr>
                <w:sz w:val="18"/>
              </w:rPr>
              <w:t>is</w:t>
            </w:r>
          </w:p>
          <w:p>
            <w:pPr>
              <w:pStyle w:val="TableParagraph"/>
              <w:spacing w:line="202" w:lineRule="exact"/>
              <w:ind w:left="107"/>
              <w:rPr>
                <w:sz w:val="18"/>
              </w:rPr>
            </w:pPr>
            <w:r>
              <w:rPr>
                <w:sz w:val="18"/>
              </w:rPr>
              <w:t>shared</w:t>
            </w:r>
            <w:r>
              <w:rPr>
                <w:spacing w:val="-4"/>
                <w:sz w:val="18"/>
              </w:rPr>
              <w:t> </w:t>
            </w:r>
            <w:r>
              <w:rPr>
                <w:sz w:val="18"/>
              </w:rPr>
              <w:t>with</w:t>
            </w:r>
            <w:r>
              <w:rPr>
                <w:spacing w:val="-3"/>
                <w:sz w:val="18"/>
              </w:rPr>
              <w:t> </w:t>
            </w:r>
            <w:r>
              <w:rPr>
                <w:sz w:val="18"/>
              </w:rPr>
              <w:t>HCH</w:t>
            </w:r>
            <w:r>
              <w:rPr>
                <w:spacing w:val="-4"/>
                <w:sz w:val="18"/>
              </w:rPr>
              <w:t> </w:t>
            </w:r>
            <w:r>
              <w:rPr>
                <w:sz w:val="18"/>
              </w:rPr>
              <w:t>patients</w:t>
            </w:r>
          </w:p>
        </w:tc>
        <w:tc>
          <w:tcPr>
            <w:tcW w:w="740" w:type="dxa"/>
          </w:tcPr>
          <w:p>
            <w:pPr>
              <w:pStyle w:val="TableParagraph"/>
              <w:rPr>
                <w:rFonts w:ascii="Times New Roman"/>
                <w:sz w:val="18"/>
              </w:rPr>
            </w:pPr>
          </w:p>
        </w:tc>
        <w:tc>
          <w:tcPr>
            <w:tcW w:w="852" w:type="dxa"/>
          </w:tcPr>
          <w:p>
            <w:pPr>
              <w:pStyle w:val="TableParagraph"/>
              <w:rPr>
                <w:rFonts w:ascii="Times New Roman"/>
                <w:sz w:val="18"/>
              </w:rPr>
            </w:pPr>
          </w:p>
        </w:tc>
        <w:tc>
          <w:tcPr>
            <w:tcW w:w="1226" w:type="dxa"/>
          </w:tcPr>
          <w:p>
            <w:pPr>
              <w:pStyle w:val="TableParagraph"/>
              <w:rPr>
                <w:rFonts w:ascii="Times New Roman"/>
                <w:sz w:val="18"/>
              </w:rPr>
            </w:pPr>
          </w:p>
        </w:tc>
        <w:tc>
          <w:tcPr>
            <w:tcW w:w="1478" w:type="dxa"/>
          </w:tcPr>
          <w:p>
            <w:pPr>
              <w:pStyle w:val="TableParagraph"/>
              <w:rPr>
                <w:rFonts w:ascii="Times New Roman"/>
                <w:sz w:val="18"/>
              </w:rPr>
            </w:pPr>
          </w:p>
        </w:tc>
        <w:tc>
          <w:tcPr>
            <w:tcW w:w="1559" w:type="dxa"/>
          </w:tcPr>
          <w:p>
            <w:pPr>
              <w:pStyle w:val="TableParagraph"/>
              <w:rPr>
                <w:rFonts w:ascii="Times New Roman"/>
                <w:sz w:val="18"/>
              </w:rPr>
            </w:pPr>
          </w:p>
        </w:tc>
        <w:tc>
          <w:tcPr>
            <w:tcW w:w="1276" w:type="dxa"/>
          </w:tcPr>
          <w:p>
            <w:pPr>
              <w:pStyle w:val="TableParagraph"/>
              <w:rPr>
                <w:rFonts w:ascii="Times New Roman"/>
                <w:sz w:val="18"/>
              </w:rPr>
            </w:pPr>
          </w:p>
        </w:tc>
        <w:tc>
          <w:tcPr>
            <w:tcW w:w="1278" w:type="dxa"/>
          </w:tcPr>
          <w:p>
            <w:pPr>
              <w:pStyle w:val="TableParagraph"/>
              <w:rPr>
                <w:rFonts w:ascii="Times New Roman"/>
                <w:sz w:val="18"/>
              </w:rPr>
            </w:pPr>
          </w:p>
        </w:tc>
        <w:tc>
          <w:tcPr>
            <w:tcW w:w="1134" w:type="dxa"/>
          </w:tcPr>
          <w:p>
            <w:pPr>
              <w:pStyle w:val="TableParagraph"/>
              <w:rPr>
                <w:rFonts w:ascii="Times New Roman"/>
                <w:sz w:val="18"/>
              </w:rPr>
            </w:pPr>
          </w:p>
        </w:tc>
        <w:tc>
          <w:tcPr>
            <w:tcW w:w="1132" w:type="dxa"/>
          </w:tcPr>
          <w:p>
            <w:pPr>
              <w:pStyle w:val="TableParagraph"/>
              <w:rPr>
                <w:rFonts w:ascii="Times New Roman"/>
                <w:sz w:val="18"/>
              </w:rPr>
            </w:pPr>
          </w:p>
        </w:tc>
      </w:tr>
      <w:tr>
        <w:trPr>
          <w:trHeight w:val="443" w:hRule="atLeast"/>
        </w:trPr>
        <w:tc>
          <w:tcPr>
            <w:tcW w:w="3368" w:type="dxa"/>
          </w:tcPr>
          <w:p>
            <w:pPr>
              <w:pStyle w:val="TableParagraph"/>
              <w:spacing w:line="218" w:lineRule="exact"/>
              <w:ind w:left="107" w:right="212"/>
              <w:rPr>
                <w:sz w:val="18"/>
              </w:rPr>
            </w:pPr>
            <w:r>
              <w:rPr>
                <w:sz w:val="18"/>
              </w:rPr>
              <w:t>N. HCH patients able to refill scripts</w:t>
            </w:r>
            <w:r>
              <w:rPr>
                <w:spacing w:val="-48"/>
                <w:sz w:val="18"/>
              </w:rPr>
              <w:t> </w:t>
            </w:r>
            <w:r>
              <w:rPr>
                <w:sz w:val="18"/>
              </w:rPr>
              <w:t>without</w:t>
            </w:r>
            <w:r>
              <w:rPr>
                <w:spacing w:val="-3"/>
                <w:sz w:val="18"/>
              </w:rPr>
              <w:t> </w:t>
            </w:r>
            <w:r>
              <w:rPr>
                <w:sz w:val="18"/>
              </w:rPr>
              <w:t>a GP</w:t>
            </w:r>
            <w:r>
              <w:rPr>
                <w:spacing w:val="-1"/>
                <w:sz w:val="18"/>
              </w:rPr>
              <w:t> </w:t>
            </w:r>
            <w:r>
              <w:rPr>
                <w:sz w:val="18"/>
              </w:rPr>
              <w:t>consultation</w:t>
            </w:r>
          </w:p>
        </w:tc>
        <w:tc>
          <w:tcPr>
            <w:tcW w:w="740" w:type="dxa"/>
          </w:tcPr>
          <w:p>
            <w:pPr>
              <w:pStyle w:val="TableParagraph"/>
              <w:rPr>
                <w:rFonts w:ascii="Times New Roman"/>
                <w:sz w:val="18"/>
              </w:rPr>
            </w:pPr>
          </w:p>
        </w:tc>
        <w:tc>
          <w:tcPr>
            <w:tcW w:w="852" w:type="dxa"/>
          </w:tcPr>
          <w:p>
            <w:pPr>
              <w:pStyle w:val="TableParagraph"/>
              <w:rPr>
                <w:rFonts w:ascii="Times New Roman"/>
                <w:sz w:val="18"/>
              </w:rPr>
            </w:pPr>
          </w:p>
        </w:tc>
        <w:tc>
          <w:tcPr>
            <w:tcW w:w="1226" w:type="dxa"/>
          </w:tcPr>
          <w:p>
            <w:pPr>
              <w:pStyle w:val="TableParagraph"/>
              <w:rPr>
                <w:rFonts w:ascii="Times New Roman"/>
                <w:sz w:val="18"/>
              </w:rPr>
            </w:pPr>
          </w:p>
        </w:tc>
        <w:tc>
          <w:tcPr>
            <w:tcW w:w="1478" w:type="dxa"/>
          </w:tcPr>
          <w:p>
            <w:pPr>
              <w:pStyle w:val="TableParagraph"/>
              <w:rPr>
                <w:rFonts w:ascii="Times New Roman"/>
                <w:sz w:val="18"/>
              </w:rPr>
            </w:pPr>
          </w:p>
        </w:tc>
        <w:tc>
          <w:tcPr>
            <w:tcW w:w="1559" w:type="dxa"/>
          </w:tcPr>
          <w:p>
            <w:pPr>
              <w:pStyle w:val="TableParagraph"/>
              <w:rPr>
                <w:rFonts w:ascii="Times New Roman"/>
                <w:sz w:val="18"/>
              </w:rPr>
            </w:pPr>
          </w:p>
        </w:tc>
        <w:tc>
          <w:tcPr>
            <w:tcW w:w="1276" w:type="dxa"/>
          </w:tcPr>
          <w:p>
            <w:pPr>
              <w:pStyle w:val="TableParagraph"/>
              <w:rPr>
                <w:rFonts w:ascii="Times New Roman"/>
                <w:sz w:val="18"/>
              </w:rPr>
            </w:pPr>
          </w:p>
        </w:tc>
        <w:tc>
          <w:tcPr>
            <w:tcW w:w="1278" w:type="dxa"/>
          </w:tcPr>
          <w:p>
            <w:pPr>
              <w:pStyle w:val="TableParagraph"/>
              <w:rPr>
                <w:rFonts w:ascii="Times New Roman"/>
                <w:sz w:val="18"/>
              </w:rPr>
            </w:pPr>
          </w:p>
        </w:tc>
        <w:tc>
          <w:tcPr>
            <w:tcW w:w="1134" w:type="dxa"/>
          </w:tcPr>
          <w:p>
            <w:pPr>
              <w:pStyle w:val="TableParagraph"/>
              <w:rPr>
                <w:rFonts w:ascii="Times New Roman"/>
                <w:sz w:val="18"/>
              </w:rPr>
            </w:pPr>
          </w:p>
        </w:tc>
        <w:tc>
          <w:tcPr>
            <w:tcW w:w="1132" w:type="dxa"/>
          </w:tcPr>
          <w:p>
            <w:pPr>
              <w:pStyle w:val="TableParagraph"/>
              <w:rPr>
                <w:rFonts w:ascii="Times New Roman"/>
                <w:sz w:val="18"/>
              </w:rPr>
            </w:pPr>
          </w:p>
        </w:tc>
      </w:tr>
    </w:tbl>
    <w:p>
      <w:pPr>
        <w:pStyle w:val="BodyText"/>
        <w:spacing w:before="9"/>
        <w:rPr>
          <w:sz w:val="10"/>
        </w:rPr>
      </w:pPr>
    </w:p>
    <w:p>
      <w:pPr>
        <w:pStyle w:val="ListParagraph"/>
        <w:numPr>
          <w:ilvl w:val="0"/>
          <w:numId w:val="82"/>
        </w:numPr>
        <w:tabs>
          <w:tab w:pos="460" w:val="left" w:leader="none"/>
        </w:tabs>
        <w:spacing w:line="240" w:lineRule="auto" w:before="100" w:after="0"/>
        <w:ind w:left="460" w:right="362" w:hanging="360"/>
        <w:jc w:val="left"/>
        <w:rPr>
          <w:sz w:val="18"/>
        </w:rPr>
      </w:pPr>
      <w:r>
        <w:rPr>
          <w:sz w:val="18"/>
        </w:rPr>
        <w:t>Below is the description your practice provided in the last HCH practice survey in late 2019 of the main ways in which your practice/ service has changed its processes for</w:t>
      </w:r>
      <w:r>
        <w:rPr>
          <w:spacing w:val="1"/>
          <w:sz w:val="18"/>
        </w:rPr>
        <w:t> </w:t>
      </w:r>
      <w:r>
        <w:rPr>
          <w:sz w:val="18"/>
        </w:rPr>
        <w:t>managing</w:t>
      </w:r>
      <w:r>
        <w:rPr>
          <w:spacing w:val="-5"/>
          <w:sz w:val="18"/>
        </w:rPr>
        <w:t> </w:t>
      </w:r>
      <w:r>
        <w:rPr>
          <w:sz w:val="18"/>
        </w:rPr>
        <w:t>patients'</w:t>
      </w:r>
      <w:r>
        <w:rPr>
          <w:spacing w:val="-2"/>
          <w:sz w:val="18"/>
        </w:rPr>
        <w:t> </w:t>
      </w:r>
      <w:r>
        <w:rPr>
          <w:sz w:val="18"/>
        </w:rPr>
        <w:t>chronic</w:t>
      </w:r>
      <w:r>
        <w:rPr>
          <w:spacing w:val="-4"/>
          <w:sz w:val="18"/>
        </w:rPr>
        <w:t> </w:t>
      </w:r>
      <w:r>
        <w:rPr>
          <w:sz w:val="18"/>
        </w:rPr>
        <w:t>illnesses</w:t>
      </w:r>
      <w:r>
        <w:rPr>
          <w:spacing w:val="-4"/>
          <w:sz w:val="18"/>
        </w:rPr>
        <w:t> </w:t>
      </w:r>
      <w:r>
        <w:rPr>
          <w:sz w:val="18"/>
        </w:rPr>
        <w:t>since</w:t>
      </w:r>
      <w:r>
        <w:rPr>
          <w:spacing w:val="-2"/>
          <w:sz w:val="18"/>
        </w:rPr>
        <w:t> </w:t>
      </w:r>
      <w:r>
        <w:rPr>
          <w:sz w:val="18"/>
        </w:rPr>
        <w:t>HCH</w:t>
      </w:r>
      <w:r>
        <w:rPr>
          <w:spacing w:val="1"/>
          <w:sz w:val="18"/>
        </w:rPr>
        <w:t> </w:t>
      </w:r>
      <w:r>
        <w:rPr>
          <w:sz w:val="18"/>
        </w:rPr>
        <w:t>has</w:t>
      </w:r>
      <w:r>
        <w:rPr>
          <w:spacing w:val="-3"/>
          <w:sz w:val="18"/>
        </w:rPr>
        <w:t> </w:t>
      </w:r>
      <w:r>
        <w:rPr>
          <w:sz w:val="18"/>
        </w:rPr>
        <w:t>been</w:t>
      </w:r>
      <w:r>
        <w:rPr>
          <w:spacing w:val="-2"/>
          <w:sz w:val="18"/>
        </w:rPr>
        <w:t> </w:t>
      </w:r>
      <w:r>
        <w:rPr>
          <w:sz w:val="18"/>
        </w:rPr>
        <w:t>implemented.</w:t>
      </w:r>
      <w:r>
        <w:rPr>
          <w:spacing w:val="-5"/>
          <w:sz w:val="18"/>
        </w:rPr>
        <w:t> </w:t>
      </w:r>
      <w:r>
        <w:rPr>
          <w:sz w:val="18"/>
        </w:rPr>
        <w:t>Can</w:t>
      </w:r>
      <w:r>
        <w:rPr>
          <w:spacing w:val="-2"/>
          <w:sz w:val="18"/>
        </w:rPr>
        <w:t> </w:t>
      </w:r>
      <w:r>
        <w:rPr>
          <w:sz w:val="18"/>
        </w:rPr>
        <w:t>you</w:t>
      </w:r>
      <w:r>
        <w:rPr>
          <w:spacing w:val="-2"/>
          <w:sz w:val="18"/>
        </w:rPr>
        <w:t> </w:t>
      </w:r>
      <w:r>
        <w:rPr>
          <w:sz w:val="18"/>
        </w:rPr>
        <w:t>describe</w:t>
      </w:r>
      <w:r>
        <w:rPr>
          <w:spacing w:val="-3"/>
          <w:sz w:val="18"/>
        </w:rPr>
        <w:t> </w:t>
      </w:r>
      <w:r>
        <w:rPr>
          <w:sz w:val="18"/>
        </w:rPr>
        <w:t>any</w:t>
      </w:r>
      <w:r>
        <w:rPr>
          <w:spacing w:val="-3"/>
          <w:sz w:val="18"/>
        </w:rPr>
        <w:t> </w:t>
      </w:r>
      <w:r>
        <w:rPr>
          <w:sz w:val="18"/>
        </w:rPr>
        <w:t>additional</w:t>
      </w:r>
      <w:r>
        <w:rPr>
          <w:spacing w:val="-5"/>
          <w:sz w:val="18"/>
        </w:rPr>
        <w:t> </w:t>
      </w:r>
      <w:r>
        <w:rPr>
          <w:sz w:val="18"/>
        </w:rPr>
        <w:t>changes</w:t>
      </w:r>
      <w:r>
        <w:rPr>
          <w:spacing w:val="-3"/>
          <w:sz w:val="18"/>
        </w:rPr>
        <w:t> </w:t>
      </w:r>
      <w:r>
        <w:rPr>
          <w:sz w:val="18"/>
        </w:rPr>
        <w:t>that</w:t>
      </w:r>
      <w:r>
        <w:rPr>
          <w:spacing w:val="-5"/>
          <w:sz w:val="18"/>
        </w:rPr>
        <w:t> </w:t>
      </w:r>
      <w:r>
        <w:rPr>
          <w:sz w:val="18"/>
        </w:rPr>
        <w:t>have</w:t>
      </w:r>
      <w:r>
        <w:rPr>
          <w:spacing w:val="-2"/>
          <w:sz w:val="18"/>
        </w:rPr>
        <w:t> </w:t>
      </w:r>
      <w:r>
        <w:rPr>
          <w:sz w:val="18"/>
        </w:rPr>
        <w:t>occurred</w:t>
      </w:r>
      <w:r>
        <w:rPr>
          <w:spacing w:val="-5"/>
          <w:sz w:val="18"/>
        </w:rPr>
        <w:t> </w:t>
      </w:r>
      <w:r>
        <w:rPr>
          <w:sz w:val="18"/>
        </w:rPr>
        <w:t>in</w:t>
      </w:r>
      <w:r>
        <w:rPr>
          <w:spacing w:val="-5"/>
          <w:sz w:val="18"/>
        </w:rPr>
        <w:t> </w:t>
      </w:r>
      <w:r>
        <w:rPr>
          <w:sz w:val="18"/>
        </w:rPr>
        <w:t>the</w:t>
      </w:r>
      <w:r>
        <w:rPr>
          <w:spacing w:val="-2"/>
          <w:sz w:val="18"/>
        </w:rPr>
        <w:t> </w:t>
      </w:r>
      <w:r>
        <w:rPr>
          <w:sz w:val="18"/>
        </w:rPr>
        <w:t>last</w:t>
      </w:r>
      <w:r>
        <w:rPr>
          <w:spacing w:val="-4"/>
          <w:sz w:val="18"/>
        </w:rPr>
        <w:t> </w:t>
      </w:r>
      <w:r>
        <w:rPr>
          <w:sz w:val="18"/>
        </w:rPr>
        <w:t>12</w:t>
      </w:r>
      <w:r>
        <w:rPr>
          <w:spacing w:val="-3"/>
          <w:sz w:val="18"/>
        </w:rPr>
        <w:t> </w:t>
      </w:r>
      <w:r>
        <w:rPr>
          <w:sz w:val="18"/>
        </w:rPr>
        <w:t>months,</w:t>
      </w:r>
      <w:r>
        <w:rPr>
          <w:spacing w:val="-5"/>
          <w:sz w:val="18"/>
        </w:rPr>
        <w:t> </w:t>
      </w:r>
      <w:r>
        <w:rPr>
          <w:sz w:val="18"/>
        </w:rPr>
        <w:t>or</w:t>
      </w:r>
      <w:r>
        <w:rPr>
          <w:spacing w:val="-1"/>
          <w:sz w:val="18"/>
        </w:rPr>
        <w:t> </w:t>
      </w:r>
      <w:r>
        <w:rPr>
          <w:sz w:val="18"/>
        </w:rPr>
        <w:t>provide</w:t>
      </w:r>
      <w:r>
        <w:rPr>
          <w:spacing w:val="-3"/>
          <w:sz w:val="18"/>
        </w:rPr>
        <w:t> </w:t>
      </w:r>
      <w:r>
        <w:rPr>
          <w:sz w:val="18"/>
        </w:rPr>
        <w:t>an</w:t>
      </w:r>
      <w:r>
        <w:rPr>
          <w:spacing w:val="1"/>
          <w:sz w:val="18"/>
        </w:rPr>
        <w:t> </w:t>
      </w:r>
      <w:r>
        <w:rPr>
          <w:sz w:val="18"/>
        </w:rPr>
        <w:t>update</w:t>
      </w:r>
      <w:r>
        <w:rPr>
          <w:spacing w:val="-1"/>
          <w:sz w:val="18"/>
        </w:rPr>
        <w:t> </w:t>
      </w:r>
      <w:r>
        <w:rPr>
          <w:sz w:val="18"/>
        </w:rPr>
        <w:t>on the change you</w:t>
      </w:r>
      <w:r>
        <w:rPr>
          <w:spacing w:val="-2"/>
          <w:sz w:val="18"/>
        </w:rPr>
        <w:t> </w:t>
      </w:r>
      <w:r>
        <w:rPr>
          <w:sz w:val="18"/>
        </w:rPr>
        <w:t>described</w:t>
      </w:r>
      <w:r>
        <w:rPr>
          <w:spacing w:val="-3"/>
          <w:sz w:val="18"/>
        </w:rPr>
        <w:t> </w:t>
      </w:r>
      <w:r>
        <w:rPr>
          <w:sz w:val="18"/>
        </w:rPr>
        <w:t>in late 2019?</w:t>
      </w:r>
    </w:p>
    <w:p>
      <w:pPr>
        <w:pStyle w:val="BodyText"/>
        <w:spacing w:before="10"/>
        <w:rPr>
          <w:sz w:val="22"/>
        </w:rPr>
      </w:pPr>
    </w:p>
    <w:tbl>
      <w:tblPr>
        <w:tblW w:w="0" w:type="auto"/>
        <w:jc w:val="left"/>
        <w:tblInd w:w="1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830"/>
        <w:gridCol w:w="12561"/>
      </w:tblGrid>
      <w:tr>
        <w:trPr>
          <w:trHeight w:val="441" w:hRule="atLeast"/>
        </w:trPr>
        <w:tc>
          <w:tcPr>
            <w:tcW w:w="2830" w:type="dxa"/>
            <w:shd w:val="clear" w:color="auto" w:fill="F1F1F1"/>
          </w:tcPr>
          <w:p>
            <w:pPr>
              <w:pStyle w:val="TableParagraph"/>
              <w:spacing w:line="219" w:lineRule="exact"/>
              <w:ind w:left="107"/>
              <w:rPr>
                <w:sz w:val="18"/>
              </w:rPr>
            </w:pPr>
            <w:r>
              <w:rPr>
                <w:sz w:val="18"/>
              </w:rPr>
              <w:t>Response</w:t>
            </w:r>
            <w:r>
              <w:rPr>
                <w:spacing w:val="-1"/>
                <w:sz w:val="18"/>
              </w:rPr>
              <w:t> </w:t>
            </w:r>
            <w:r>
              <w:rPr>
                <w:sz w:val="18"/>
              </w:rPr>
              <w:t>late</w:t>
            </w:r>
            <w:r>
              <w:rPr>
                <w:spacing w:val="-3"/>
                <w:sz w:val="18"/>
              </w:rPr>
              <w:t> </w:t>
            </w:r>
            <w:r>
              <w:rPr>
                <w:sz w:val="18"/>
              </w:rPr>
              <w:t>2019:</w:t>
            </w:r>
          </w:p>
        </w:tc>
        <w:tc>
          <w:tcPr>
            <w:tcW w:w="12561" w:type="dxa"/>
          </w:tcPr>
          <w:p>
            <w:pPr>
              <w:pStyle w:val="TableParagraph"/>
              <w:rPr>
                <w:rFonts w:ascii="Times New Roman"/>
                <w:sz w:val="18"/>
              </w:rPr>
            </w:pPr>
          </w:p>
        </w:tc>
      </w:tr>
      <w:tr>
        <w:trPr>
          <w:trHeight w:val="441" w:hRule="atLeast"/>
        </w:trPr>
        <w:tc>
          <w:tcPr>
            <w:tcW w:w="2830" w:type="dxa"/>
            <w:shd w:val="clear" w:color="auto" w:fill="F1F1F1"/>
          </w:tcPr>
          <w:p>
            <w:pPr>
              <w:pStyle w:val="TableParagraph"/>
              <w:spacing w:line="219" w:lineRule="exact"/>
              <w:ind w:left="107"/>
              <w:rPr>
                <w:sz w:val="18"/>
              </w:rPr>
            </w:pPr>
            <w:r>
              <w:rPr>
                <w:sz w:val="18"/>
              </w:rPr>
              <w:t>Update</w:t>
            </w:r>
            <w:r>
              <w:rPr>
                <w:spacing w:val="-2"/>
                <w:sz w:val="18"/>
              </w:rPr>
              <w:t> </w:t>
            </w:r>
            <w:r>
              <w:rPr>
                <w:sz w:val="18"/>
              </w:rPr>
              <w:t>November</w:t>
            </w:r>
            <w:r>
              <w:rPr>
                <w:spacing w:val="-1"/>
                <w:sz w:val="18"/>
              </w:rPr>
              <w:t> </w:t>
            </w:r>
            <w:r>
              <w:rPr>
                <w:sz w:val="18"/>
              </w:rPr>
              <w:t>2020:</w:t>
            </w:r>
          </w:p>
        </w:tc>
        <w:tc>
          <w:tcPr>
            <w:tcW w:w="12561" w:type="dxa"/>
          </w:tcPr>
          <w:p>
            <w:pPr>
              <w:pStyle w:val="TableParagraph"/>
              <w:rPr>
                <w:rFonts w:ascii="Times New Roman"/>
                <w:sz w:val="18"/>
              </w:rPr>
            </w:pPr>
          </w:p>
        </w:tc>
      </w:tr>
    </w:tbl>
    <w:p>
      <w:pPr>
        <w:spacing w:after="0"/>
        <w:rPr>
          <w:rFonts w:ascii="Times New Roman"/>
          <w:sz w:val="18"/>
        </w:rPr>
        <w:sectPr>
          <w:type w:val="continuous"/>
          <w:pgSz w:w="16840" w:h="11910" w:orient="landscape"/>
          <w:pgMar w:header="0" w:footer="947" w:top="940" w:bottom="1140" w:left="620" w:right="600"/>
        </w:sectPr>
      </w:pPr>
    </w:p>
    <w:p>
      <w:pPr>
        <w:pStyle w:val="ListParagraph"/>
        <w:numPr>
          <w:ilvl w:val="0"/>
          <w:numId w:val="82"/>
        </w:numPr>
        <w:tabs>
          <w:tab w:pos="460" w:val="left" w:leader="none"/>
        </w:tabs>
        <w:spacing w:line="240" w:lineRule="auto" w:before="87" w:after="0"/>
        <w:ind w:left="460" w:right="137" w:hanging="360"/>
        <w:jc w:val="left"/>
        <w:rPr>
          <w:sz w:val="18"/>
        </w:rPr>
      </w:pPr>
      <w:r>
        <w:rPr>
          <w:sz w:val="18"/>
        </w:rPr>
        <w:t>In the surveys conducted in late 2018 and late 2019, you listed the improvements in clinical care/ chronic disease management that your practice/ service decided to focus</w:t>
      </w:r>
      <w:r>
        <w:rPr>
          <w:spacing w:val="-48"/>
          <w:sz w:val="18"/>
        </w:rPr>
        <w:t> </w:t>
      </w:r>
      <w:r>
        <w:rPr>
          <w:sz w:val="18"/>
        </w:rPr>
        <w:t>on as part of the HCH program implementation. These are listed below. Could update this response and also assess your progress towards completing these changes for</w:t>
      </w:r>
      <w:r>
        <w:rPr>
          <w:spacing w:val="1"/>
          <w:sz w:val="18"/>
        </w:rPr>
        <w:t> </w:t>
      </w:r>
      <w:r>
        <w:rPr>
          <w:sz w:val="18"/>
        </w:rPr>
        <w:t>your</w:t>
      </w:r>
      <w:r>
        <w:rPr>
          <w:spacing w:val="-1"/>
          <w:sz w:val="18"/>
        </w:rPr>
        <w:t> </w:t>
      </w:r>
      <w:r>
        <w:rPr>
          <w:sz w:val="18"/>
        </w:rPr>
        <w:t>HCH</w:t>
      </w:r>
      <w:r>
        <w:rPr>
          <w:spacing w:val="-1"/>
          <w:sz w:val="18"/>
        </w:rPr>
        <w:t> </w:t>
      </w:r>
      <w:r>
        <w:rPr>
          <w:sz w:val="18"/>
        </w:rPr>
        <w:t>patients.</w:t>
      </w:r>
    </w:p>
    <w:p>
      <w:pPr>
        <w:pStyle w:val="BodyText"/>
        <w:spacing w:before="11"/>
        <w:rPr>
          <w:sz w:val="22"/>
        </w:rPr>
      </w:pPr>
    </w:p>
    <w:tbl>
      <w:tblPr>
        <w:tblW w:w="0" w:type="auto"/>
        <w:jc w:val="left"/>
        <w:tblInd w:w="1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422"/>
        <w:gridCol w:w="4323"/>
        <w:gridCol w:w="1886"/>
        <w:gridCol w:w="4138"/>
        <w:gridCol w:w="1600"/>
        <w:gridCol w:w="942"/>
        <w:gridCol w:w="942"/>
        <w:gridCol w:w="946"/>
      </w:tblGrid>
      <w:tr>
        <w:trPr>
          <w:trHeight w:val="1103" w:hRule="atLeast"/>
        </w:trPr>
        <w:tc>
          <w:tcPr>
            <w:tcW w:w="422" w:type="dxa"/>
            <w:vMerge w:val="restart"/>
            <w:shd w:val="clear" w:color="auto" w:fill="F1F1F1"/>
          </w:tcPr>
          <w:p>
            <w:pPr>
              <w:pStyle w:val="TableParagraph"/>
              <w:spacing w:line="219" w:lineRule="exact"/>
              <w:ind w:left="107"/>
              <w:rPr>
                <w:sz w:val="18"/>
              </w:rPr>
            </w:pPr>
            <w:r>
              <w:rPr>
                <w:sz w:val="18"/>
              </w:rPr>
              <w:t>#</w:t>
            </w:r>
          </w:p>
        </w:tc>
        <w:tc>
          <w:tcPr>
            <w:tcW w:w="4323" w:type="dxa"/>
            <w:vMerge w:val="restart"/>
            <w:shd w:val="clear" w:color="auto" w:fill="F1F1F1"/>
          </w:tcPr>
          <w:p>
            <w:pPr>
              <w:pStyle w:val="TableParagraph"/>
              <w:ind w:left="134" w:right="134" w:firstLine="2"/>
              <w:jc w:val="center"/>
              <w:rPr>
                <w:sz w:val="18"/>
              </w:rPr>
            </w:pPr>
            <w:r>
              <w:rPr>
                <w:sz w:val="18"/>
              </w:rPr>
              <w:t>21A Description of</w:t>
            </w:r>
            <w:r>
              <w:rPr>
                <w:spacing w:val="1"/>
                <w:sz w:val="18"/>
              </w:rPr>
              <w:t> </w:t>
            </w:r>
            <w:r>
              <w:rPr>
                <w:sz w:val="18"/>
              </w:rPr>
              <w:t>improvement/initiative/change: Include a</w:t>
            </w:r>
            <w:r>
              <w:rPr>
                <w:spacing w:val="1"/>
                <w:sz w:val="18"/>
              </w:rPr>
              <w:t> </w:t>
            </w:r>
            <w:r>
              <w:rPr>
                <w:sz w:val="18"/>
              </w:rPr>
              <w:t>name (if you have one) and description of the</w:t>
            </w:r>
            <w:r>
              <w:rPr>
                <w:spacing w:val="-48"/>
                <w:sz w:val="18"/>
              </w:rPr>
              <w:t> </w:t>
            </w:r>
            <w:r>
              <w:rPr>
                <w:sz w:val="18"/>
              </w:rPr>
              <w:t>improvement</w:t>
            </w:r>
          </w:p>
        </w:tc>
        <w:tc>
          <w:tcPr>
            <w:tcW w:w="1886" w:type="dxa"/>
            <w:shd w:val="clear" w:color="auto" w:fill="F1F1F1"/>
          </w:tcPr>
          <w:p>
            <w:pPr>
              <w:pStyle w:val="TableParagraph"/>
              <w:spacing w:line="220" w:lineRule="exact"/>
              <w:ind w:left="137" w:right="128"/>
              <w:jc w:val="center"/>
              <w:rPr>
                <w:sz w:val="18"/>
              </w:rPr>
            </w:pPr>
            <w:r>
              <w:rPr>
                <w:sz w:val="18"/>
              </w:rPr>
              <w:t>21B</w:t>
            </w:r>
            <w:r>
              <w:rPr>
                <w:spacing w:val="1"/>
                <w:sz w:val="18"/>
              </w:rPr>
              <w:t> </w:t>
            </w:r>
            <w:r>
              <w:rPr>
                <w:sz w:val="18"/>
              </w:rPr>
              <w:t>Were</w:t>
            </w:r>
            <w:r>
              <w:rPr>
                <w:spacing w:val="-1"/>
                <w:sz w:val="18"/>
              </w:rPr>
              <w:t> </w:t>
            </w:r>
            <w:r>
              <w:rPr>
                <w:sz w:val="18"/>
              </w:rPr>
              <w:t>you</w:t>
            </w:r>
            <w:r>
              <w:rPr>
                <w:spacing w:val="1"/>
                <w:sz w:val="18"/>
              </w:rPr>
              <w:t> </w:t>
            </w:r>
            <w:r>
              <w:rPr>
                <w:sz w:val="18"/>
              </w:rPr>
              <w:t>working on this</w:t>
            </w:r>
            <w:r>
              <w:rPr>
                <w:spacing w:val="1"/>
                <w:sz w:val="18"/>
              </w:rPr>
              <w:t> </w:t>
            </w:r>
            <w:r>
              <w:rPr>
                <w:sz w:val="18"/>
              </w:rPr>
              <w:t>improvement prior</w:t>
            </w:r>
            <w:r>
              <w:rPr>
                <w:spacing w:val="-47"/>
                <w:sz w:val="18"/>
              </w:rPr>
              <w:t> </w:t>
            </w:r>
            <w:r>
              <w:rPr>
                <w:sz w:val="18"/>
              </w:rPr>
              <w:t>to HCH starting in</w:t>
            </w:r>
            <w:r>
              <w:rPr>
                <w:spacing w:val="1"/>
                <w:sz w:val="18"/>
              </w:rPr>
              <w:t> </w:t>
            </w:r>
            <w:r>
              <w:rPr>
                <w:sz w:val="18"/>
              </w:rPr>
              <w:t>this</w:t>
            </w:r>
            <w:r>
              <w:rPr>
                <w:spacing w:val="-2"/>
                <w:sz w:val="18"/>
              </w:rPr>
              <w:t> </w:t>
            </w:r>
            <w:r>
              <w:rPr>
                <w:sz w:val="18"/>
              </w:rPr>
              <w:t>practice?</w:t>
            </w:r>
          </w:p>
        </w:tc>
        <w:tc>
          <w:tcPr>
            <w:tcW w:w="4138" w:type="dxa"/>
            <w:vMerge w:val="restart"/>
            <w:shd w:val="clear" w:color="auto" w:fill="F1F1F1"/>
          </w:tcPr>
          <w:p>
            <w:pPr>
              <w:pStyle w:val="TableParagraph"/>
              <w:ind w:left="214" w:right="202"/>
              <w:jc w:val="center"/>
              <w:rPr>
                <w:sz w:val="18"/>
              </w:rPr>
            </w:pPr>
            <w:r>
              <w:rPr>
                <w:sz w:val="18"/>
              </w:rPr>
              <w:t>21C What measures have you identified to</w:t>
            </w:r>
            <w:r>
              <w:rPr>
                <w:spacing w:val="-47"/>
                <w:sz w:val="18"/>
              </w:rPr>
              <w:t> </w:t>
            </w:r>
            <w:r>
              <w:rPr>
                <w:sz w:val="18"/>
              </w:rPr>
              <w:t>track changes occurring from this</w:t>
            </w:r>
            <w:r>
              <w:rPr>
                <w:spacing w:val="1"/>
                <w:sz w:val="18"/>
              </w:rPr>
              <w:t> </w:t>
            </w:r>
            <w:r>
              <w:rPr>
                <w:sz w:val="18"/>
              </w:rPr>
              <w:t>improvement/initiative</w:t>
            </w:r>
            <w:r>
              <w:rPr>
                <w:spacing w:val="-1"/>
                <w:sz w:val="18"/>
              </w:rPr>
              <w:t> </w:t>
            </w:r>
            <w:r>
              <w:rPr>
                <w:sz w:val="18"/>
              </w:rPr>
              <w:t>change?</w:t>
            </w:r>
          </w:p>
        </w:tc>
        <w:tc>
          <w:tcPr>
            <w:tcW w:w="4430" w:type="dxa"/>
            <w:gridSpan w:val="4"/>
            <w:shd w:val="clear" w:color="auto" w:fill="F1F1F1"/>
          </w:tcPr>
          <w:p>
            <w:pPr>
              <w:pStyle w:val="TableParagraph"/>
              <w:ind w:left="119" w:right="100" w:hanging="2"/>
              <w:jc w:val="center"/>
              <w:rPr>
                <w:sz w:val="18"/>
              </w:rPr>
            </w:pPr>
            <w:r>
              <w:rPr>
                <w:sz w:val="18"/>
              </w:rPr>
              <w:t>21D What is your assessment of the progress for</w:t>
            </w:r>
            <w:r>
              <w:rPr>
                <w:spacing w:val="1"/>
                <w:sz w:val="18"/>
              </w:rPr>
              <w:t> </w:t>
            </w:r>
            <w:r>
              <w:rPr>
                <w:sz w:val="18"/>
              </w:rPr>
              <w:t>improvement/initiative/change</w:t>
            </w:r>
            <w:r>
              <w:rPr>
                <w:spacing w:val="-4"/>
                <w:sz w:val="18"/>
              </w:rPr>
              <w:t> </w:t>
            </w:r>
            <w:r>
              <w:rPr>
                <w:sz w:val="18"/>
              </w:rPr>
              <w:t>as</w:t>
            </w:r>
            <w:r>
              <w:rPr>
                <w:spacing w:val="-7"/>
                <w:sz w:val="18"/>
              </w:rPr>
              <w:t> </w:t>
            </w:r>
            <w:r>
              <w:rPr>
                <w:sz w:val="18"/>
              </w:rPr>
              <w:t>at</w:t>
            </w:r>
            <w:r>
              <w:rPr>
                <w:spacing w:val="-8"/>
                <w:sz w:val="18"/>
              </w:rPr>
              <w:t> </w:t>
            </w:r>
            <w:r>
              <w:rPr>
                <w:sz w:val="18"/>
              </w:rPr>
              <w:t>November</w:t>
            </w:r>
            <w:r>
              <w:rPr>
                <w:spacing w:val="-47"/>
                <w:sz w:val="18"/>
              </w:rPr>
              <w:t> </w:t>
            </w:r>
            <w:r>
              <w:rPr>
                <w:sz w:val="18"/>
              </w:rPr>
              <w:t>2020 for your</w:t>
            </w:r>
            <w:r>
              <w:rPr>
                <w:spacing w:val="-2"/>
                <w:sz w:val="18"/>
              </w:rPr>
              <w:t> </w:t>
            </w:r>
            <w:r>
              <w:rPr>
                <w:sz w:val="18"/>
              </w:rPr>
              <w:t>HCH</w:t>
            </w:r>
            <w:r>
              <w:rPr>
                <w:spacing w:val="-2"/>
                <w:sz w:val="18"/>
              </w:rPr>
              <w:t> </w:t>
            </w:r>
            <w:r>
              <w:rPr>
                <w:sz w:val="18"/>
              </w:rPr>
              <w:t>patients</w:t>
            </w:r>
          </w:p>
        </w:tc>
      </w:tr>
      <w:tr>
        <w:trPr>
          <w:trHeight w:val="441" w:hRule="atLeast"/>
        </w:trPr>
        <w:tc>
          <w:tcPr>
            <w:tcW w:w="422" w:type="dxa"/>
            <w:vMerge/>
            <w:tcBorders>
              <w:top w:val="nil"/>
            </w:tcBorders>
            <w:shd w:val="clear" w:color="auto" w:fill="F1F1F1"/>
          </w:tcPr>
          <w:p>
            <w:pPr>
              <w:rPr>
                <w:sz w:val="2"/>
                <w:szCs w:val="2"/>
              </w:rPr>
            </w:pPr>
          </w:p>
        </w:tc>
        <w:tc>
          <w:tcPr>
            <w:tcW w:w="4323" w:type="dxa"/>
            <w:vMerge/>
            <w:tcBorders>
              <w:top w:val="nil"/>
            </w:tcBorders>
            <w:shd w:val="clear" w:color="auto" w:fill="F1F1F1"/>
          </w:tcPr>
          <w:p>
            <w:pPr>
              <w:rPr>
                <w:sz w:val="2"/>
                <w:szCs w:val="2"/>
              </w:rPr>
            </w:pPr>
          </w:p>
        </w:tc>
        <w:tc>
          <w:tcPr>
            <w:tcW w:w="1886" w:type="dxa"/>
            <w:shd w:val="clear" w:color="auto" w:fill="F1F1F1"/>
          </w:tcPr>
          <w:p>
            <w:pPr>
              <w:pStyle w:val="TableParagraph"/>
              <w:spacing w:line="219" w:lineRule="exact"/>
              <w:ind w:left="137" w:right="128"/>
              <w:jc w:val="center"/>
              <w:rPr>
                <w:sz w:val="18"/>
              </w:rPr>
            </w:pPr>
            <w:r>
              <w:rPr>
                <w:sz w:val="18"/>
              </w:rPr>
              <w:t>Yes</w:t>
            </w:r>
          </w:p>
        </w:tc>
        <w:tc>
          <w:tcPr>
            <w:tcW w:w="4138" w:type="dxa"/>
            <w:vMerge/>
            <w:tcBorders>
              <w:top w:val="nil"/>
            </w:tcBorders>
            <w:shd w:val="clear" w:color="auto" w:fill="F1F1F1"/>
          </w:tcPr>
          <w:p>
            <w:pPr>
              <w:rPr>
                <w:sz w:val="2"/>
                <w:szCs w:val="2"/>
              </w:rPr>
            </w:pPr>
          </w:p>
        </w:tc>
        <w:tc>
          <w:tcPr>
            <w:tcW w:w="1600" w:type="dxa"/>
            <w:shd w:val="clear" w:color="auto" w:fill="F1F1F1"/>
          </w:tcPr>
          <w:p>
            <w:pPr>
              <w:pStyle w:val="TableParagraph"/>
              <w:spacing w:line="220" w:lineRule="exact"/>
              <w:ind w:left="109" w:right="90" w:firstLine="187"/>
              <w:rPr>
                <w:sz w:val="18"/>
              </w:rPr>
            </w:pPr>
            <w:r>
              <w:rPr>
                <w:sz w:val="18"/>
              </w:rPr>
              <w:t>Completed</w:t>
            </w:r>
            <w:r>
              <w:rPr>
                <w:spacing w:val="1"/>
                <w:sz w:val="18"/>
              </w:rPr>
              <w:t> </w:t>
            </w:r>
            <w:r>
              <w:rPr>
                <w:spacing w:val="-1"/>
                <w:sz w:val="18"/>
              </w:rPr>
              <w:t>implementation</w:t>
            </w:r>
          </w:p>
        </w:tc>
        <w:tc>
          <w:tcPr>
            <w:tcW w:w="942" w:type="dxa"/>
            <w:shd w:val="clear" w:color="auto" w:fill="F1F1F1"/>
          </w:tcPr>
          <w:p>
            <w:pPr>
              <w:pStyle w:val="TableParagraph"/>
              <w:spacing w:line="220" w:lineRule="exact"/>
              <w:ind w:left="110" w:right="75" w:firstLine="105"/>
              <w:rPr>
                <w:sz w:val="18"/>
              </w:rPr>
            </w:pPr>
            <w:r>
              <w:rPr>
                <w:sz w:val="18"/>
              </w:rPr>
              <w:t>Good</w:t>
            </w:r>
            <w:r>
              <w:rPr>
                <w:spacing w:val="1"/>
                <w:sz w:val="18"/>
              </w:rPr>
              <w:t> </w:t>
            </w:r>
            <w:r>
              <w:rPr>
                <w:sz w:val="18"/>
              </w:rPr>
              <w:t>progress</w:t>
            </w:r>
          </w:p>
        </w:tc>
        <w:tc>
          <w:tcPr>
            <w:tcW w:w="942" w:type="dxa"/>
            <w:shd w:val="clear" w:color="auto" w:fill="F1F1F1"/>
          </w:tcPr>
          <w:p>
            <w:pPr>
              <w:pStyle w:val="TableParagraph"/>
              <w:spacing w:line="220" w:lineRule="exact"/>
              <w:ind w:left="111" w:right="74" w:firstLine="50"/>
              <w:rPr>
                <w:sz w:val="18"/>
              </w:rPr>
            </w:pPr>
            <w:r>
              <w:rPr>
                <w:sz w:val="18"/>
              </w:rPr>
              <w:t>Limited</w:t>
            </w:r>
            <w:r>
              <w:rPr>
                <w:spacing w:val="1"/>
                <w:sz w:val="18"/>
              </w:rPr>
              <w:t> </w:t>
            </w:r>
            <w:r>
              <w:rPr>
                <w:sz w:val="18"/>
              </w:rPr>
              <w:t>progress</w:t>
            </w:r>
          </w:p>
        </w:tc>
        <w:tc>
          <w:tcPr>
            <w:tcW w:w="946" w:type="dxa"/>
            <w:shd w:val="clear" w:color="auto" w:fill="F1F1F1"/>
          </w:tcPr>
          <w:p>
            <w:pPr>
              <w:pStyle w:val="TableParagraph"/>
              <w:spacing w:line="220" w:lineRule="exact"/>
              <w:ind w:left="115" w:right="74" w:firstLine="237"/>
              <w:rPr>
                <w:sz w:val="18"/>
              </w:rPr>
            </w:pPr>
            <w:r>
              <w:rPr>
                <w:sz w:val="18"/>
              </w:rPr>
              <w:t>No</w:t>
            </w:r>
            <w:r>
              <w:rPr>
                <w:spacing w:val="1"/>
                <w:sz w:val="18"/>
              </w:rPr>
              <w:t> </w:t>
            </w:r>
            <w:r>
              <w:rPr>
                <w:sz w:val="18"/>
              </w:rPr>
              <w:t>progress</w:t>
            </w:r>
          </w:p>
        </w:tc>
      </w:tr>
      <w:tr>
        <w:trPr>
          <w:trHeight w:val="244" w:hRule="atLeast"/>
        </w:trPr>
        <w:tc>
          <w:tcPr>
            <w:tcW w:w="422" w:type="dxa"/>
          </w:tcPr>
          <w:p>
            <w:pPr>
              <w:pStyle w:val="TableParagraph"/>
              <w:spacing w:line="224" w:lineRule="exact"/>
              <w:ind w:left="107"/>
              <w:rPr>
                <w:sz w:val="20"/>
              </w:rPr>
            </w:pPr>
            <w:r>
              <w:rPr>
                <w:w w:val="99"/>
                <w:sz w:val="20"/>
              </w:rPr>
              <w:t>1</w:t>
            </w:r>
          </w:p>
        </w:tc>
        <w:tc>
          <w:tcPr>
            <w:tcW w:w="4323" w:type="dxa"/>
          </w:tcPr>
          <w:p>
            <w:pPr>
              <w:pStyle w:val="TableParagraph"/>
              <w:rPr>
                <w:rFonts w:ascii="Times New Roman"/>
                <w:sz w:val="16"/>
              </w:rPr>
            </w:pPr>
          </w:p>
        </w:tc>
        <w:tc>
          <w:tcPr>
            <w:tcW w:w="1886" w:type="dxa"/>
          </w:tcPr>
          <w:p>
            <w:pPr>
              <w:pStyle w:val="TableParagraph"/>
              <w:rPr>
                <w:rFonts w:ascii="Times New Roman"/>
                <w:sz w:val="16"/>
              </w:rPr>
            </w:pPr>
          </w:p>
        </w:tc>
        <w:tc>
          <w:tcPr>
            <w:tcW w:w="4138" w:type="dxa"/>
          </w:tcPr>
          <w:p>
            <w:pPr>
              <w:pStyle w:val="TableParagraph"/>
              <w:rPr>
                <w:rFonts w:ascii="Times New Roman"/>
                <w:sz w:val="16"/>
              </w:rPr>
            </w:pPr>
          </w:p>
        </w:tc>
        <w:tc>
          <w:tcPr>
            <w:tcW w:w="1600" w:type="dxa"/>
          </w:tcPr>
          <w:p>
            <w:pPr>
              <w:pStyle w:val="TableParagraph"/>
              <w:rPr>
                <w:rFonts w:ascii="Times New Roman"/>
                <w:sz w:val="16"/>
              </w:rPr>
            </w:pPr>
          </w:p>
        </w:tc>
        <w:tc>
          <w:tcPr>
            <w:tcW w:w="942" w:type="dxa"/>
          </w:tcPr>
          <w:p>
            <w:pPr>
              <w:pStyle w:val="TableParagraph"/>
              <w:rPr>
                <w:rFonts w:ascii="Times New Roman"/>
                <w:sz w:val="16"/>
              </w:rPr>
            </w:pPr>
          </w:p>
        </w:tc>
        <w:tc>
          <w:tcPr>
            <w:tcW w:w="942" w:type="dxa"/>
          </w:tcPr>
          <w:p>
            <w:pPr>
              <w:pStyle w:val="TableParagraph"/>
              <w:rPr>
                <w:rFonts w:ascii="Times New Roman"/>
                <w:sz w:val="16"/>
              </w:rPr>
            </w:pPr>
          </w:p>
        </w:tc>
        <w:tc>
          <w:tcPr>
            <w:tcW w:w="946" w:type="dxa"/>
          </w:tcPr>
          <w:p>
            <w:pPr>
              <w:pStyle w:val="TableParagraph"/>
              <w:rPr>
                <w:rFonts w:ascii="Times New Roman"/>
                <w:sz w:val="16"/>
              </w:rPr>
            </w:pPr>
          </w:p>
        </w:tc>
      </w:tr>
      <w:tr>
        <w:trPr>
          <w:trHeight w:val="247" w:hRule="atLeast"/>
        </w:trPr>
        <w:tc>
          <w:tcPr>
            <w:tcW w:w="422" w:type="dxa"/>
          </w:tcPr>
          <w:p>
            <w:pPr>
              <w:pStyle w:val="TableParagraph"/>
              <w:spacing w:line="224" w:lineRule="exact" w:before="3"/>
              <w:ind w:left="107"/>
              <w:rPr>
                <w:sz w:val="20"/>
              </w:rPr>
            </w:pPr>
            <w:r>
              <w:rPr>
                <w:w w:val="99"/>
                <w:sz w:val="20"/>
              </w:rPr>
              <w:t>2</w:t>
            </w:r>
          </w:p>
        </w:tc>
        <w:tc>
          <w:tcPr>
            <w:tcW w:w="4323" w:type="dxa"/>
          </w:tcPr>
          <w:p>
            <w:pPr>
              <w:pStyle w:val="TableParagraph"/>
              <w:rPr>
                <w:rFonts w:ascii="Times New Roman"/>
                <w:sz w:val="18"/>
              </w:rPr>
            </w:pPr>
          </w:p>
        </w:tc>
        <w:tc>
          <w:tcPr>
            <w:tcW w:w="1886" w:type="dxa"/>
          </w:tcPr>
          <w:p>
            <w:pPr>
              <w:pStyle w:val="TableParagraph"/>
              <w:rPr>
                <w:rFonts w:ascii="Times New Roman"/>
                <w:sz w:val="18"/>
              </w:rPr>
            </w:pPr>
          </w:p>
        </w:tc>
        <w:tc>
          <w:tcPr>
            <w:tcW w:w="4138" w:type="dxa"/>
          </w:tcPr>
          <w:p>
            <w:pPr>
              <w:pStyle w:val="TableParagraph"/>
              <w:rPr>
                <w:rFonts w:ascii="Times New Roman"/>
                <w:sz w:val="18"/>
              </w:rPr>
            </w:pPr>
          </w:p>
        </w:tc>
        <w:tc>
          <w:tcPr>
            <w:tcW w:w="1600" w:type="dxa"/>
          </w:tcPr>
          <w:p>
            <w:pPr>
              <w:pStyle w:val="TableParagraph"/>
              <w:rPr>
                <w:rFonts w:ascii="Times New Roman"/>
                <w:sz w:val="18"/>
              </w:rPr>
            </w:pPr>
          </w:p>
        </w:tc>
        <w:tc>
          <w:tcPr>
            <w:tcW w:w="942" w:type="dxa"/>
          </w:tcPr>
          <w:p>
            <w:pPr>
              <w:pStyle w:val="TableParagraph"/>
              <w:rPr>
                <w:rFonts w:ascii="Times New Roman"/>
                <w:sz w:val="18"/>
              </w:rPr>
            </w:pPr>
          </w:p>
        </w:tc>
        <w:tc>
          <w:tcPr>
            <w:tcW w:w="942" w:type="dxa"/>
          </w:tcPr>
          <w:p>
            <w:pPr>
              <w:pStyle w:val="TableParagraph"/>
              <w:rPr>
                <w:rFonts w:ascii="Times New Roman"/>
                <w:sz w:val="18"/>
              </w:rPr>
            </w:pPr>
          </w:p>
        </w:tc>
        <w:tc>
          <w:tcPr>
            <w:tcW w:w="946" w:type="dxa"/>
          </w:tcPr>
          <w:p>
            <w:pPr>
              <w:pStyle w:val="TableParagraph"/>
              <w:rPr>
                <w:rFonts w:ascii="Times New Roman"/>
                <w:sz w:val="18"/>
              </w:rPr>
            </w:pPr>
          </w:p>
        </w:tc>
      </w:tr>
      <w:tr>
        <w:trPr>
          <w:trHeight w:val="244" w:hRule="atLeast"/>
        </w:trPr>
        <w:tc>
          <w:tcPr>
            <w:tcW w:w="422" w:type="dxa"/>
          </w:tcPr>
          <w:p>
            <w:pPr>
              <w:pStyle w:val="TableParagraph"/>
              <w:spacing w:line="224" w:lineRule="exact"/>
              <w:ind w:left="107"/>
              <w:rPr>
                <w:sz w:val="20"/>
              </w:rPr>
            </w:pPr>
            <w:r>
              <w:rPr>
                <w:w w:val="99"/>
                <w:sz w:val="20"/>
              </w:rPr>
              <w:t>3</w:t>
            </w:r>
          </w:p>
        </w:tc>
        <w:tc>
          <w:tcPr>
            <w:tcW w:w="4323" w:type="dxa"/>
          </w:tcPr>
          <w:p>
            <w:pPr>
              <w:pStyle w:val="TableParagraph"/>
              <w:rPr>
                <w:rFonts w:ascii="Times New Roman"/>
                <w:sz w:val="16"/>
              </w:rPr>
            </w:pPr>
          </w:p>
        </w:tc>
        <w:tc>
          <w:tcPr>
            <w:tcW w:w="1886" w:type="dxa"/>
          </w:tcPr>
          <w:p>
            <w:pPr>
              <w:pStyle w:val="TableParagraph"/>
              <w:rPr>
                <w:rFonts w:ascii="Times New Roman"/>
                <w:sz w:val="16"/>
              </w:rPr>
            </w:pPr>
          </w:p>
        </w:tc>
        <w:tc>
          <w:tcPr>
            <w:tcW w:w="4138" w:type="dxa"/>
          </w:tcPr>
          <w:p>
            <w:pPr>
              <w:pStyle w:val="TableParagraph"/>
              <w:rPr>
                <w:rFonts w:ascii="Times New Roman"/>
                <w:sz w:val="16"/>
              </w:rPr>
            </w:pPr>
          </w:p>
        </w:tc>
        <w:tc>
          <w:tcPr>
            <w:tcW w:w="1600" w:type="dxa"/>
          </w:tcPr>
          <w:p>
            <w:pPr>
              <w:pStyle w:val="TableParagraph"/>
              <w:rPr>
                <w:rFonts w:ascii="Times New Roman"/>
                <w:sz w:val="16"/>
              </w:rPr>
            </w:pPr>
          </w:p>
        </w:tc>
        <w:tc>
          <w:tcPr>
            <w:tcW w:w="942" w:type="dxa"/>
          </w:tcPr>
          <w:p>
            <w:pPr>
              <w:pStyle w:val="TableParagraph"/>
              <w:rPr>
                <w:rFonts w:ascii="Times New Roman"/>
                <w:sz w:val="16"/>
              </w:rPr>
            </w:pPr>
          </w:p>
        </w:tc>
        <w:tc>
          <w:tcPr>
            <w:tcW w:w="942" w:type="dxa"/>
          </w:tcPr>
          <w:p>
            <w:pPr>
              <w:pStyle w:val="TableParagraph"/>
              <w:rPr>
                <w:rFonts w:ascii="Times New Roman"/>
                <w:sz w:val="16"/>
              </w:rPr>
            </w:pPr>
          </w:p>
        </w:tc>
        <w:tc>
          <w:tcPr>
            <w:tcW w:w="946" w:type="dxa"/>
          </w:tcPr>
          <w:p>
            <w:pPr>
              <w:pStyle w:val="TableParagraph"/>
              <w:rPr>
                <w:rFonts w:ascii="Times New Roman"/>
                <w:sz w:val="16"/>
              </w:rPr>
            </w:pPr>
          </w:p>
        </w:tc>
      </w:tr>
      <w:tr>
        <w:trPr>
          <w:trHeight w:val="246" w:hRule="atLeast"/>
        </w:trPr>
        <w:tc>
          <w:tcPr>
            <w:tcW w:w="422" w:type="dxa"/>
          </w:tcPr>
          <w:p>
            <w:pPr>
              <w:pStyle w:val="TableParagraph"/>
              <w:spacing w:line="227" w:lineRule="exact"/>
              <w:ind w:left="107"/>
              <w:rPr>
                <w:sz w:val="20"/>
              </w:rPr>
            </w:pPr>
            <w:r>
              <w:rPr>
                <w:w w:val="99"/>
                <w:sz w:val="20"/>
              </w:rPr>
              <w:t>4</w:t>
            </w:r>
          </w:p>
        </w:tc>
        <w:tc>
          <w:tcPr>
            <w:tcW w:w="4323" w:type="dxa"/>
          </w:tcPr>
          <w:p>
            <w:pPr>
              <w:pStyle w:val="TableParagraph"/>
              <w:rPr>
                <w:rFonts w:ascii="Times New Roman"/>
                <w:sz w:val="16"/>
              </w:rPr>
            </w:pPr>
          </w:p>
        </w:tc>
        <w:tc>
          <w:tcPr>
            <w:tcW w:w="1886" w:type="dxa"/>
          </w:tcPr>
          <w:p>
            <w:pPr>
              <w:pStyle w:val="TableParagraph"/>
              <w:rPr>
                <w:rFonts w:ascii="Times New Roman"/>
                <w:sz w:val="16"/>
              </w:rPr>
            </w:pPr>
          </w:p>
        </w:tc>
        <w:tc>
          <w:tcPr>
            <w:tcW w:w="4138" w:type="dxa"/>
          </w:tcPr>
          <w:p>
            <w:pPr>
              <w:pStyle w:val="TableParagraph"/>
              <w:rPr>
                <w:rFonts w:ascii="Times New Roman"/>
                <w:sz w:val="16"/>
              </w:rPr>
            </w:pPr>
          </w:p>
        </w:tc>
        <w:tc>
          <w:tcPr>
            <w:tcW w:w="1600" w:type="dxa"/>
          </w:tcPr>
          <w:p>
            <w:pPr>
              <w:pStyle w:val="TableParagraph"/>
              <w:rPr>
                <w:rFonts w:ascii="Times New Roman"/>
                <w:sz w:val="16"/>
              </w:rPr>
            </w:pPr>
          </w:p>
        </w:tc>
        <w:tc>
          <w:tcPr>
            <w:tcW w:w="942" w:type="dxa"/>
          </w:tcPr>
          <w:p>
            <w:pPr>
              <w:pStyle w:val="TableParagraph"/>
              <w:rPr>
                <w:rFonts w:ascii="Times New Roman"/>
                <w:sz w:val="16"/>
              </w:rPr>
            </w:pPr>
          </w:p>
        </w:tc>
        <w:tc>
          <w:tcPr>
            <w:tcW w:w="942" w:type="dxa"/>
          </w:tcPr>
          <w:p>
            <w:pPr>
              <w:pStyle w:val="TableParagraph"/>
              <w:rPr>
                <w:rFonts w:ascii="Times New Roman"/>
                <w:sz w:val="16"/>
              </w:rPr>
            </w:pPr>
          </w:p>
        </w:tc>
        <w:tc>
          <w:tcPr>
            <w:tcW w:w="946" w:type="dxa"/>
          </w:tcPr>
          <w:p>
            <w:pPr>
              <w:pStyle w:val="TableParagraph"/>
              <w:rPr>
                <w:rFonts w:ascii="Times New Roman"/>
                <w:sz w:val="16"/>
              </w:rPr>
            </w:pPr>
          </w:p>
        </w:tc>
      </w:tr>
      <w:tr>
        <w:trPr>
          <w:trHeight w:val="244" w:hRule="atLeast"/>
        </w:trPr>
        <w:tc>
          <w:tcPr>
            <w:tcW w:w="422" w:type="dxa"/>
          </w:tcPr>
          <w:p>
            <w:pPr>
              <w:pStyle w:val="TableParagraph"/>
              <w:spacing w:line="224" w:lineRule="exact"/>
              <w:ind w:left="107"/>
              <w:rPr>
                <w:sz w:val="20"/>
              </w:rPr>
            </w:pPr>
            <w:r>
              <w:rPr>
                <w:w w:val="99"/>
                <w:sz w:val="20"/>
              </w:rPr>
              <w:t>5</w:t>
            </w:r>
          </w:p>
        </w:tc>
        <w:tc>
          <w:tcPr>
            <w:tcW w:w="4323" w:type="dxa"/>
          </w:tcPr>
          <w:p>
            <w:pPr>
              <w:pStyle w:val="TableParagraph"/>
              <w:rPr>
                <w:rFonts w:ascii="Times New Roman"/>
                <w:sz w:val="16"/>
              </w:rPr>
            </w:pPr>
          </w:p>
        </w:tc>
        <w:tc>
          <w:tcPr>
            <w:tcW w:w="1886" w:type="dxa"/>
          </w:tcPr>
          <w:p>
            <w:pPr>
              <w:pStyle w:val="TableParagraph"/>
              <w:rPr>
                <w:rFonts w:ascii="Times New Roman"/>
                <w:sz w:val="16"/>
              </w:rPr>
            </w:pPr>
          </w:p>
        </w:tc>
        <w:tc>
          <w:tcPr>
            <w:tcW w:w="4138" w:type="dxa"/>
          </w:tcPr>
          <w:p>
            <w:pPr>
              <w:pStyle w:val="TableParagraph"/>
              <w:rPr>
                <w:rFonts w:ascii="Times New Roman"/>
                <w:sz w:val="16"/>
              </w:rPr>
            </w:pPr>
          </w:p>
        </w:tc>
        <w:tc>
          <w:tcPr>
            <w:tcW w:w="1600" w:type="dxa"/>
          </w:tcPr>
          <w:p>
            <w:pPr>
              <w:pStyle w:val="TableParagraph"/>
              <w:rPr>
                <w:rFonts w:ascii="Times New Roman"/>
                <w:sz w:val="16"/>
              </w:rPr>
            </w:pPr>
          </w:p>
        </w:tc>
        <w:tc>
          <w:tcPr>
            <w:tcW w:w="942" w:type="dxa"/>
          </w:tcPr>
          <w:p>
            <w:pPr>
              <w:pStyle w:val="TableParagraph"/>
              <w:rPr>
                <w:rFonts w:ascii="Times New Roman"/>
                <w:sz w:val="16"/>
              </w:rPr>
            </w:pPr>
          </w:p>
        </w:tc>
        <w:tc>
          <w:tcPr>
            <w:tcW w:w="942" w:type="dxa"/>
          </w:tcPr>
          <w:p>
            <w:pPr>
              <w:pStyle w:val="TableParagraph"/>
              <w:rPr>
                <w:rFonts w:ascii="Times New Roman"/>
                <w:sz w:val="16"/>
              </w:rPr>
            </w:pPr>
          </w:p>
        </w:tc>
        <w:tc>
          <w:tcPr>
            <w:tcW w:w="946" w:type="dxa"/>
          </w:tcPr>
          <w:p>
            <w:pPr>
              <w:pStyle w:val="TableParagraph"/>
              <w:rPr>
                <w:rFonts w:ascii="Times New Roman"/>
                <w:sz w:val="16"/>
              </w:rPr>
            </w:pPr>
          </w:p>
        </w:tc>
      </w:tr>
      <w:tr>
        <w:trPr>
          <w:trHeight w:val="244" w:hRule="atLeast"/>
        </w:trPr>
        <w:tc>
          <w:tcPr>
            <w:tcW w:w="422" w:type="dxa"/>
          </w:tcPr>
          <w:p>
            <w:pPr>
              <w:pStyle w:val="TableParagraph"/>
              <w:spacing w:line="224" w:lineRule="exact"/>
              <w:ind w:left="107"/>
              <w:rPr>
                <w:sz w:val="20"/>
              </w:rPr>
            </w:pPr>
            <w:r>
              <w:rPr>
                <w:w w:val="99"/>
                <w:sz w:val="20"/>
              </w:rPr>
              <w:t>6</w:t>
            </w:r>
          </w:p>
        </w:tc>
        <w:tc>
          <w:tcPr>
            <w:tcW w:w="4323" w:type="dxa"/>
          </w:tcPr>
          <w:p>
            <w:pPr>
              <w:pStyle w:val="TableParagraph"/>
              <w:rPr>
                <w:rFonts w:ascii="Times New Roman"/>
                <w:sz w:val="16"/>
              </w:rPr>
            </w:pPr>
          </w:p>
        </w:tc>
        <w:tc>
          <w:tcPr>
            <w:tcW w:w="1886" w:type="dxa"/>
          </w:tcPr>
          <w:p>
            <w:pPr>
              <w:pStyle w:val="TableParagraph"/>
              <w:rPr>
                <w:rFonts w:ascii="Times New Roman"/>
                <w:sz w:val="16"/>
              </w:rPr>
            </w:pPr>
          </w:p>
        </w:tc>
        <w:tc>
          <w:tcPr>
            <w:tcW w:w="4138" w:type="dxa"/>
          </w:tcPr>
          <w:p>
            <w:pPr>
              <w:pStyle w:val="TableParagraph"/>
              <w:rPr>
                <w:rFonts w:ascii="Times New Roman"/>
                <w:sz w:val="16"/>
              </w:rPr>
            </w:pPr>
          </w:p>
        </w:tc>
        <w:tc>
          <w:tcPr>
            <w:tcW w:w="1600" w:type="dxa"/>
          </w:tcPr>
          <w:p>
            <w:pPr>
              <w:pStyle w:val="TableParagraph"/>
              <w:rPr>
                <w:rFonts w:ascii="Times New Roman"/>
                <w:sz w:val="16"/>
              </w:rPr>
            </w:pPr>
          </w:p>
        </w:tc>
        <w:tc>
          <w:tcPr>
            <w:tcW w:w="942" w:type="dxa"/>
          </w:tcPr>
          <w:p>
            <w:pPr>
              <w:pStyle w:val="TableParagraph"/>
              <w:rPr>
                <w:rFonts w:ascii="Times New Roman"/>
                <w:sz w:val="16"/>
              </w:rPr>
            </w:pPr>
          </w:p>
        </w:tc>
        <w:tc>
          <w:tcPr>
            <w:tcW w:w="942" w:type="dxa"/>
          </w:tcPr>
          <w:p>
            <w:pPr>
              <w:pStyle w:val="TableParagraph"/>
              <w:rPr>
                <w:rFonts w:ascii="Times New Roman"/>
                <w:sz w:val="16"/>
              </w:rPr>
            </w:pPr>
          </w:p>
        </w:tc>
        <w:tc>
          <w:tcPr>
            <w:tcW w:w="946" w:type="dxa"/>
          </w:tcPr>
          <w:p>
            <w:pPr>
              <w:pStyle w:val="TableParagraph"/>
              <w:rPr>
                <w:rFonts w:ascii="Times New Roman"/>
                <w:sz w:val="16"/>
              </w:rPr>
            </w:pPr>
          </w:p>
        </w:tc>
      </w:tr>
    </w:tbl>
    <w:p>
      <w:pPr>
        <w:spacing w:after="0"/>
        <w:rPr>
          <w:rFonts w:ascii="Times New Roman"/>
          <w:sz w:val="16"/>
        </w:rPr>
        <w:sectPr>
          <w:pgSz w:w="16840" w:h="11910" w:orient="landscape"/>
          <w:pgMar w:header="0" w:footer="947" w:top="860" w:bottom="1140" w:left="620" w:right="600"/>
        </w:sectPr>
      </w:pPr>
    </w:p>
    <w:p>
      <w:pPr>
        <w:pStyle w:val="ListParagraph"/>
        <w:numPr>
          <w:ilvl w:val="1"/>
          <w:numId w:val="82"/>
        </w:numPr>
        <w:tabs>
          <w:tab w:pos="779" w:val="left" w:leader="none"/>
          <w:tab w:pos="780" w:val="left" w:leader="none"/>
        </w:tabs>
        <w:spacing w:line="240" w:lineRule="auto" w:before="75" w:after="0"/>
        <w:ind w:left="780" w:right="757" w:hanging="360"/>
        <w:jc w:val="left"/>
        <w:rPr>
          <w:sz w:val="18"/>
        </w:rPr>
      </w:pPr>
      <w:r>
        <w:rPr>
          <w:sz w:val="18"/>
        </w:rPr>
        <w:t>Can you describe the main ways in which coordination of care for HCH patients improved compared with similar</w:t>
      </w:r>
      <w:r>
        <w:rPr>
          <w:spacing w:val="1"/>
          <w:sz w:val="18"/>
        </w:rPr>
        <w:t> </w:t>
      </w:r>
      <w:r>
        <w:rPr>
          <w:sz w:val="18"/>
        </w:rPr>
        <w:t>patients</w:t>
      </w:r>
      <w:r>
        <w:rPr>
          <w:spacing w:val="-4"/>
          <w:sz w:val="18"/>
        </w:rPr>
        <w:t> </w:t>
      </w:r>
      <w:r>
        <w:rPr>
          <w:sz w:val="18"/>
        </w:rPr>
        <w:t>receiving</w:t>
      </w:r>
      <w:r>
        <w:rPr>
          <w:spacing w:val="-5"/>
          <w:sz w:val="18"/>
        </w:rPr>
        <w:t> </w:t>
      </w:r>
      <w:r>
        <w:rPr>
          <w:sz w:val="18"/>
        </w:rPr>
        <w:t>usual</w:t>
      </w:r>
      <w:r>
        <w:rPr>
          <w:spacing w:val="-2"/>
          <w:sz w:val="18"/>
        </w:rPr>
        <w:t> </w:t>
      </w:r>
      <w:r>
        <w:rPr>
          <w:sz w:val="18"/>
        </w:rPr>
        <w:t>care?</w:t>
      </w:r>
      <w:r>
        <w:rPr>
          <w:spacing w:val="-3"/>
          <w:sz w:val="18"/>
        </w:rPr>
        <w:t> </w:t>
      </w:r>
      <w:r>
        <w:rPr>
          <w:sz w:val="18"/>
        </w:rPr>
        <w:t>Can</w:t>
      </w:r>
      <w:r>
        <w:rPr>
          <w:spacing w:val="-2"/>
          <w:sz w:val="18"/>
        </w:rPr>
        <w:t> </w:t>
      </w:r>
      <w:r>
        <w:rPr>
          <w:sz w:val="18"/>
        </w:rPr>
        <w:t>you</w:t>
      </w:r>
      <w:r>
        <w:rPr>
          <w:spacing w:val="-2"/>
          <w:sz w:val="18"/>
        </w:rPr>
        <w:t> </w:t>
      </w:r>
      <w:r>
        <w:rPr>
          <w:sz w:val="18"/>
        </w:rPr>
        <w:t>also</w:t>
      </w:r>
      <w:r>
        <w:rPr>
          <w:spacing w:val="-3"/>
          <w:sz w:val="18"/>
        </w:rPr>
        <w:t> </w:t>
      </w:r>
      <w:r>
        <w:rPr>
          <w:sz w:val="18"/>
        </w:rPr>
        <w:t>describe,</w:t>
      </w:r>
      <w:r>
        <w:rPr>
          <w:spacing w:val="-6"/>
          <w:sz w:val="18"/>
        </w:rPr>
        <w:t> </w:t>
      </w:r>
      <w:r>
        <w:rPr>
          <w:sz w:val="18"/>
        </w:rPr>
        <w:t>what</w:t>
      </w:r>
      <w:r>
        <w:rPr>
          <w:spacing w:val="-4"/>
          <w:sz w:val="18"/>
        </w:rPr>
        <w:t> </w:t>
      </w:r>
      <w:r>
        <w:rPr>
          <w:sz w:val="18"/>
        </w:rPr>
        <w:t>was</w:t>
      </w:r>
      <w:r>
        <w:rPr>
          <w:spacing w:val="-3"/>
          <w:sz w:val="18"/>
        </w:rPr>
        <w:t> </w:t>
      </w:r>
      <w:r>
        <w:rPr>
          <w:sz w:val="18"/>
        </w:rPr>
        <w:t>the</w:t>
      </w:r>
      <w:r>
        <w:rPr>
          <w:spacing w:val="-2"/>
          <w:sz w:val="18"/>
        </w:rPr>
        <w:t> </w:t>
      </w:r>
      <w:r>
        <w:rPr>
          <w:sz w:val="18"/>
        </w:rPr>
        <w:t>feature</w:t>
      </w:r>
      <w:r>
        <w:rPr>
          <w:spacing w:val="-2"/>
          <w:sz w:val="18"/>
        </w:rPr>
        <w:t> </w:t>
      </w:r>
      <w:r>
        <w:rPr>
          <w:sz w:val="18"/>
        </w:rPr>
        <w:t>of</w:t>
      </w:r>
      <w:r>
        <w:rPr>
          <w:spacing w:val="-2"/>
          <w:sz w:val="18"/>
        </w:rPr>
        <w:t> </w:t>
      </w:r>
      <w:r>
        <w:rPr>
          <w:sz w:val="18"/>
        </w:rPr>
        <w:t>the</w:t>
      </w:r>
      <w:r>
        <w:rPr>
          <w:spacing w:val="-4"/>
          <w:sz w:val="18"/>
        </w:rPr>
        <w:t> </w:t>
      </w:r>
      <w:r>
        <w:rPr>
          <w:sz w:val="18"/>
        </w:rPr>
        <w:t>HCH</w:t>
      </w:r>
      <w:r>
        <w:rPr>
          <w:spacing w:val="-3"/>
          <w:sz w:val="18"/>
        </w:rPr>
        <w:t> </w:t>
      </w:r>
      <w:r>
        <w:rPr>
          <w:sz w:val="18"/>
        </w:rPr>
        <w:t>program</w:t>
      </w:r>
      <w:r>
        <w:rPr>
          <w:spacing w:val="-3"/>
          <w:sz w:val="18"/>
        </w:rPr>
        <w:t> </w:t>
      </w:r>
      <w:r>
        <w:rPr>
          <w:sz w:val="18"/>
        </w:rPr>
        <w:t>that</w:t>
      </w:r>
      <w:r>
        <w:rPr>
          <w:spacing w:val="-4"/>
          <w:sz w:val="18"/>
        </w:rPr>
        <w:t> </w:t>
      </w:r>
      <w:r>
        <w:rPr>
          <w:sz w:val="18"/>
        </w:rPr>
        <w:t>facilitated</w:t>
      </w:r>
      <w:r>
        <w:rPr>
          <w:spacing w:val="-3"/>
          <w:sz w:val="18"/>
        </w:rPr>
        <w:t> </w:t>
      </w:r>
      <w:r>
        <w:rPr>
          <w:sz w:val="18"/>
        </w:rPr>
        <w:t>this</w:t>
      </w:r>
      <w:r>
        <w:rPr>
          <w:spacing w:val="1"/>
          <w:sz w:val="18"/>
        </w:rPr>
        <w:t> </w:t>
      </w:r>
      <w:r>
        <w:rPr>
          <w:sz w:val="18"/>
        </w:rPr>
        <w:t>relative</w:t>
      </w:r>
      <w:r>
        <w:rPr>
          <w:spacing w:val="-3"/>
          <w:sz w:val="18"/>
        </w:rPr>
        <w:t> </w:t>
      </w:r>
      <w:r>
        <w:rPr>
          <w:sz w:val="18"/>
        </w:rPr>
        <w:t>improvement</w:t>
      </w:r>
      <w:r>
        <w:rPr>
          <w:spacing w:val="-2"/>
          <w:sz w:val="18"/>
        </w:rPr>
        <w:t> </w:t>
      </w:r>
      <w:r>
        <w:rPr>
          <w:sz w:val="18"/>
        </w:rPr>
        <w:t>in coordination of</w:t>
      </w:r>
      <w:r>
        <w:rPr>
          <w:spacing w:val="-2"/>
          <w:sz w:val="18"/>
        </w:rPr>
        <w:t> </w:t>
      </w:r>
      <w:r>
        <w:rPr>
          <w:sz w:val="18"/>
        </w:rPr>
        <w:t>care?</w:t>
      </w:r>
    </w:p>
    <w:p>
      <w:pPr>
        <w:pStyle w:val="BodyText"/>
        <w:spacing w:before="5"/>
        <w:rPr>
          <w:sz w:val="16"/>
        </w:rPr>
      </w:pPr>
    </w:p>
    <w:tbl>
      <w:tblPr>
        <w:tblW w:w="0" w:type="auto"/>
        <w:jc w:val="left"/>
        <w:tblInd w:w="43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422"/>
        <w:gridCol w:w="4817"/>
        <w:gridCol w:w="4680"/>
      </w:tblGrid>
      <w:tr>
        <w:trPr>
          <w:trHeight w:val="474" w:hRule="atLeast"/>
        </w:trPr>
        <w:tc>
          <w:tcPr>
            <w:tcW w:w="422" w:type="dxa"/>
            <w:shd w:val="clear" w:color="auto" w:fill="F1F1F1"/>
          </w:tcPr>
          <w:p>
            <w:pPr>
              <w:pStyle w:val="TableParagraph"/>
              <w:spacing w:line="219" w:lineRule="exact"/>
              <w:ind w:left="107"/>
              <w:rPr>
                <w:sz w:val="18"/>
              </w:rPr>
            </w:pPr>
            <w:r>
              <w:rPr>
                <w:sz w:val="18"/>
              </w:rPr>
              <w:t>#</w:t>
            </w:r>
          </w:p>
        </w:tc>
        <w:tc>
          <w:tcPr>
            <w:tcW w:w="4817" w:type="dxa"/>
            <w:shd w:val="clear" w:color="auto" w:fill="F1F1F1"/>
          </w:tcPr>
          <w:p>
            <w:pPr>
              <w:pStyle w:val="TableParagraph"/>
              <w:ind w:left="1152" w:right="296" w:hanging="848"/>
              <w:rPr>
                <w:sz w:val="18"/>
              </w:rPr>
            </w:pPr>
            <w:r>
              <w:rPr>
                <w:sz w:val="18"/>
              </w:rPr>
              <w:t>9A</w:t>
            </w:r>
            <w:r>
              <w:rPr>
                <w:spacing w:val="-10"/>
                <w:sz w:val="18"/>
              </w:rPr>
              <w:t> </w:t>
            </w:r>
            <w:r>
              <w:rPr>
                <w:sz w:val="18"/>
              </w:rPr>
              <w:t>Improved</w:t>
            </w:r>
            <w:r>
              <w:rPr>
                <w:spacing w:val="-3"/>
                <w:sz w:val="18"/>
              </w:rPr>
              <w:t> </w:t>
            </w:r>
            <w:r>
              <w:rPr>
                <w:sz w:val="18"/>
              </w:rPr>
              <w:t>coordination</w:t>
            </w:r>
            <w:r>
              <w:rPr>
                <w:spacing w:val="-3"/>
                <w:sz w:val="18"/>
              </w:rPr>
              <w:t> </w:t>
            </w:r>
            <w:r>
              <w:rPr>
                <w:sz w:val="18"/>
              </w:rPr>
              <w:t>of</w:t>
            </w:r>
            <w:r>
              <w:rPr>
                <w:spacing w:val="-1"/>
                <w:sz w:val="18"/>
              </w:rPr>
              <w:t> </w:t>
            </w:r>
            <w:r>
              <w:rPr>
                <w:sz w:val="18"/>
              </w:rPr>
              <w:t>care</w:t>
            </w:r>
            <w:r>
              <w:rPr>
                <w:spacing w:val="-1"/>
                <w:sz w:val="18"/>
              </w:rPr>
              <w:t> </w:t>
            </w:r>
            <w:r>
              <w:rPr>
                <w:sz w:val="18"/>
              </w:rPr>
              <w:t>compared</w:t>
            </w:r>
            <w:r>
              <w:rPr>
                <w:spacing w:val="-2"/>
                <w:sz w:val="18"/>
              </w:rPr>
              <w:t> </w:t>
            </w:r>
            <w:r>
              <w:rPr>
                <w:sz w:val="18"/>
              </w:rPr>
              <w:t>to</w:t>
            </w:r>
            <w:r>
              <w:rPr>
                <w:spacing w:val="-47"/>
                <w:sz w:val="18"/>
              </w:rPr>
              <w:t> </w:t>
            </w:r>
            <w:r>
              <w:rPr>
                <w:sz w:val="18"/>
              </w:rPr>
              <w:t>usual</w:t>
            </w:r>
            <w:r>
              <w:rPr>
                <w:spacing w:val="-1"/>
                <w:sz w:val="18"/>
              </w:rPr>
              <w:t> </w:t>
            </w:r>
            <w:r>
              <w:rPr>
                <w:sz w:val="18"/>
              </w:rPr>
              <w:t>care</w:t>
            </w:r>
            <w:r>
              <w:rPr>
                <w:spacing w:val="-1"/>
                <w:sz w:val="18"/>
              </w:rPr>
              <w:t> </w:t>
            </w:r>
            <w:r>
              <w:rPr>
                <w:sz w:val="18"/>
              </w:rPr>
              <w:t>for</w:t>
            </w:r>
            <w:r>
              <w:rPr>
                <w:spacing w:val="-1"/>
                <w:sz w:val="18"/>
              </w:rPr>
              <w:t> </w:t>
            </w:r>
            <w:r>
              <w:rPr>
                <w:sz w:val="18"/>
              </w:rPr>
              <w:t>similar</w:t>
            </w:r>
            <w:r>
              <w:rPr>
                <w:spacing w:val="-1"/>
                <w:sz w:val="18"/>
              </w:rPr>
              <w:t> </w:t>
            </w:r>
            <w:r>
              <w:rPr>
                <w:sz w:val="18"/>
              </w:rPr>
              <w:t>patients</w:t>
            </w:r>
          </w:p>
        </w:tc>
        <w:tc>
          <w:tcPr>
            <w:tcW w:w="4680" w:type="dxa"/>
            <w:shd w:val="clear" w:color="auto" w:fill="F1F1F1"/>
          </w:tcPr>
          <w:p>
            <w:pPr>
              <w:pStyle w:val="TableParagraph"/>
              <w:ind w:left="1753" w:right="277" w:hanging="1450"/>
              <w:rPr>
                <w:sz w:val="18"/>
              </w:rPr>
            </w:pPr>
            <w:r>
              <w:rPr>
                <w:sz w:val="18"/>
              </w:rPr>
              <w:t>9B Feature of HCH program that facilitated this</w:t>
            </w:r>
            <w:r>
              <w:rPr>
                <w:spacing w:val="-47"/>
                <w:sz w:val="18"/>
              </w:rPr>
              <w:t> </w:t>
            </w:r>
            <w:r>
              <w:rPr>
                <w:sz w:val="18"/>
              </w:rPr>
              <w:t>improvement</w:t>
            </w:r>
          </w:p>
        </w:tc>
      </w:tr>
      <w:tr>
        <w:trPr>
          <w:trHeight w:val="246" w:hRule="atLeast"/>
        </w:trPr>
        <w:tc>
          <w:tcPr>
            <w:tcW w:w="422" w:type="dxa"/>
          </w:tcPr>
          <w:p>
            <w:pPr>
              <w:pStyle w:val="TableParagraph"/>
              <w:spacing w:line="227" w:lineRule="exact"/>
              <w:ind w:left="107"/>
              <w:rPr>
                <w:sz w:val="20"/>
              </w:rPr>
            </w:pPr>
            <w:r>
              <w:rPr>
                <w:w w:val="99"/>
                <w:sz w:val="20"/>
              </w:rPr>
              <w:t>1</w:t>
            </w:r>
          </w:p>
        </w:tc>
        <w:tc>
          <w:tcPr>
            <w:tcW w:w="4817" w:type="dxa"/>
          </w:tcPr>
          <w:p>
            <w:pPr>
              <w:pStyle w:val="TableParagraph"/>
              <w:rPr>
                <w:rFonts w:ascii="Times New Roman"/>
                <w:sz w:val="16"/>
              </w:rPr>
            </w:pPr>
          </w:p>
        </w:tc>
        <w:tc>
          <w:tcPr>
            <w:tcW w:w="4680" w:type="dxa"/>
          </w:tcPr>
          <w:p>
            <w:pPr>
              <w:pStyle w:val="TableParagraph"/>
              <w:rPr>
                <w:rFonts w:ascii="Times New Roman"/>
                <w:sz w:val="16"/>
              </w:rPr>
            </w:pPr>
          </w:p>
        </w:tc>
      </w:tr>
      <w:tr>
        <w:trPr>
          <w:trHeight w:val="244" w:hRule="atLeast"/>
        </w:trPr>
        <w:tc>
          <w:tcPr>
            <w:tcW w:w="422" w:type="dxa"/>
          </w:tcPr>
          <w:p>
            <w:pPr>
              <w:pStyle w:val="TableParagraph"/>
              <w:spacing w:line="224" w:lineRule="exact"/>
              <w:ind w:left="107"/>
              <w:rPr>
                <w:sz w:val="20"/>
              </w:rPr>
            </w:pPr>
            <w:r>
              <w:rPr>
                <w:w w:val="99"/>
                <w:sz w:val="20"/>
              </w:rPr>
              <w:t>2</w:t>
            </w:r>
          </w:p>
        </w:tc>
        <w:tc>
          <w:tcPr>
            <w:tcW w:w="4817" w:type="dxa"/>
          </w:tcPr>
          <w:p>
            <w:pPr>
              <w:pStyle w:val="TableParagraph"/>
              <w:rPr>
                <w:rFonts w:ascii="Times New Roman"/>
                <w:sz w:val="16"/>
              </w:rPr>
            </w:pPr>
          </w:p>
        </w:tc>
        <w:tc>
          <w:tcPr>
            <w:tcW w:w="4680" w:type="dxa"/>
          </w:tcPr>
          <w:p>
            <w:pPr>
              <w:pStyle w:val="TableParagraph"/>
              <w:rPr>
                <w:rFonts w:ascii="Times New Roman"/>
                <w:sz w:val="16"/>
              </w:rPr>
            </w:pPr>
          </w:p>
        </w:tc>
      </w:tr>
      <w:tr>
        <w:trPr>
          <w:trHeight w:val="244" w:hRule="atLeast"/>
        </w:trPr>
        <w:tc>
          <w:tcPr>
            <w:tcW w:w="422" w:type="dxa"/>
          </w:tcPr>
          <w:p>
            <w:pPr>
              <w:pStyle w:val="TableParagraph"/>
              <w:spacing w:line="224" w:lineRule="exact"/>
              <w:ind w:left="107"/>
              <w:rPr>
                <w:sz w:val="20"/>
              </w:rPr>
            </w:pPr>
            <w:r>
              <w:rPr>
                <w:w w:val="99"/>
                <w:sz w:val="20"/>
              </w:rPr>
              <w:t>3</w:t>
            </w:r>
          </w:p>
        </w:tc>
        <w:tc>
          <w:tcPr>
            <w:tcW w:w="4817" w:type="dxa"/>
          </w:tcPr>
          <w:p>
            <w:pPr>
              <w:pStyle w:val="TableParagraph"/>
              <w:rPr>
                <w:rFonts w:ascii="Times New Roman"/>
                <w:sz w:val="16"/>
              </w:rPr>
            </w:pPr>
          </w:p>
        </w:tc>
        <w:tc>
          <w:tcPr>
            <w:tcW w:w="4680" w:type="dxa"/>
          </w:tcPr>
          <w:p>
            <w:pPr>
              <w:pStyle w:val="TableParagraph"/>
              <w:rPr>
                <w:rFonts w:ascii="Times New Roman"/>
                <w:sz w:val="16"/>
              </w:rPr>
            </w:pPr>
          </w:p>
        </w:tc>
      </w:tr>
      <w:tr>
        <w:trPr>
          <w:trHeight w:val="246" w:hRule="atLeast"/>
        </w:trPr>
        <w:tc>
          <w:tcPr>
            <w:tcW w:w="422" w:type="dxa"/>
          </w:tcPr>
          <w:p>
            <w:pPr>
              <w:pStyle w:val="TableParagraph"/>
              <w:spacing w:line="227" w:lineRule="exact"/>
              <w:ind w:left="107"/>
              <w:rPr>
                <w:sz w:val="20"/>
              </w:rPr>
            </w:pPr>
            <w:r>
              <w:rPr>
                <w:w w:val="99"/>
                <w:sz w:val="20"/>
              </w:rPr>
              <w:t>4</w:t>
            </w:r>
          </w:p>
        </w:tc>
        <w:tc>
          <w:tcPr>
            <w:tcW w:w="4817" w:type="dxa"/>
          </w:tcPr>
          <w:p>
            <w:pPr>
              <w:pStyle w:val="TableParagraph"/>
              <w:rPr>
                <w:rFonts w:ascii="Times New Roman"/>
                <w:sz w:val="16"/>
              </w:rPr>
            </w:pPr>
          </w:p>
        </w:tc>
        <w:tc>
          <w:tcPr>
            <w:tcW w:w="4680" w:type="dxa"/>
          </w:tcPr>
          <w:p>
            <w:pPr>
              <w:pStyle w:val="TableParagraph"/>
              <w:rPr>
                <w:rFonts w:ascii="Times New Roman"/>
                <w:sz w:val="16"/>
              </w:rPr>
            </w:pPr>
          </w:p>
        </w:tc>
      </w:tr>
      <w:tr>
        <w:trPr>
          <w:trHeight w:val="244" w:hRule="atLeast"/>
        </w:trPr>
        <w:tc>
          <w:tcPr>
            <w:tcW w:w="422" w:type="dxa"/>
          </w:tcPr>
          <w:p>
            <w:pPr>
              <w:pStyle w:val="TableParagraph"/>
              <w:spacing w:line="224" w:lineRule="exact"/>
              <w:ind w:left="107"/>
              <w:rPr>
                <w:sz w:val="20"/>
              </w:rPr>
            </w:pPr>
            <w:r>
              <w:rPr>
                <w:w w:val="99"/>
                <w:sz w:val="20"/>
              </w:rPr>
              <w:t>5</w:t>
            </w:r>
          </w:p>
        </w:tc>
        <w:tc>
          <w:tcPr>
            <w:tcW w:w="4817" w:type="dxa"/>
          </w:tcPr>
          <w:p>
            <w:pPr>
              <w:pStyle w:val="TableParagraph"/>
              <w:rPr>
                <w:rFonts w:ascii="Times New Roman"/>
                <w:sz w:val="16"/>
              </w:rPr>
            </w:pPr>
          </w:p>
        </w:tc>
        <w:tc>
          <w:tcPr>
            <w:tcW w:w="4680" w:type="dxa"/>
          </w:tcPr>
          <w:p>
            <w:pPr>
              <w:pStyle w:val="TableParagraph"/>
              <w:rPr>
                <w:rFonts w:ascii="Times New Roman"/>
                <w:sz w:val="16"/>
              </w:rPr>
            </w:pPr>
          </w:p>
        </w:tc>
      </w:tr>
      <w:tr>
        <w:trPr>
          <w:trHeight w:val="244" w:hRule="atLeast"/>
        </w:trPr>
        <w:tc>
          <w:tcPr>
            <w:tcW w:w="422" w:type="dxa"/>
          </w:tcPr>
          <w:p>
            <w:pPr>
              <w:pStyle w:val="TableParagraph"/>
              <w:spacing w:line="224" w:lineRule="exact"/>
              <w:ind w:left="107"/>
              <w:rPr>
                <w:sz w:val="20"/>
              </w:rPr>
            </w:pPr>
            <w:r>
              <w:rPr>
                <w:w w:val="99"/>
                <w:sz w:val="20"/>
              </w:rPr>
              <w:t>6</w:t>
            </w:r>
          </w:p>
        </w:tc>
        <w:tc>
          <w:tcPr>
            <w:tcW w:w="4817" w:type="dxa"/>
          </w:tcPr>
          <w:p>
            <w:pPr>
              <w:pStyle w:val="TableParagraph"/>
              <w:rPr>
                <w:rFonts w:ascii="Times New Roman"/>
                <w:sz w:val="16"/>
              </w:rPr>
            </w:pPr>
          </w:p>
        </w:tc>
        <w:tc>
          <w:tcPr>
            <w:tcW w:w="4680" w:type="dxa"/>
          </w:tcPr>
          <w:p>
            <w:pPr>
              <w:pStyle w:val="TableParagraph"/>
              <w:rPr>
                <w:rFonts w:ascii="Times New Roman"/>
                <w:sz w:val="16"/>
              </w:rPr>
            </w:pPr>
          </w:p>
        </w:tc>
      </w:tr>
    </w:tbl>
    <w:p>
      <w:pPr>
        <w:pStyle w:val="BodyText"/>
        <w:spacing w:before="2"/>
        <w:rPr>
          <w:sz w:val="18"/>
        </w:rPr>
      </w:pPr>
    </w:p>
    <w:p>
      <w:pPr>
        <w:pStyle w:val="ListParagraph"/>
        <w:numPr>
          <w:ilvl w:val="1"/>
          <w:numId w:val="82"/>
        </w:numPr>
        <w:tabs>
          <w:tab w:pos="780" w:val="left" w:leader="none"/>
        </w:tabs>
        <w:spacing w:line="240" w:lineRule="auto" w:before="0" w:after="0"/>
        <w:ind w:left="780" w:right="878" w:hanging="360"/>
        <w:jc w:val="left"/>
        <w:rPr>
          <w:sz w:val="18"/>
        </w:rPr>
      </w:pPr>
      <w:r>
        <w:rPr>
          <w:sz w:val="18"/>
        </w:rPr>
        <w:t>In your assessment, what has been the overall impact of HCH on coordination of care compared with what would</w:t>
      </w:r>
      <w:r>
        <w:rPr>
          <w:spacing w:val="-47"/>
          <w:sz w:val="18"/>
        </w:rPr>
        <w:t> </w:t>
      </w:r>
      <w:r>
        <w:rPr>
          <w:sz w:val="18"/>
        </w:rPr>
        <w:t>occur</w:t>
      </w:r>
      <w:r>
        <w:rPr>
          <w:spacing w:val="-1"/>
          <w:sz w:val="18"/>
        </w:rPr>
        <w:t> </w:t>
      </w:r>
      <w:r>
        <w:rPr>
          <w:sz w:val="18"/>
        </w:rPr>
        <w:t>under</w:t>
      </w:r>
      <w:r>
        <w:rPr>
          <w:spacing w:val="-1"/>
          <w:sz w:val="18"/>
        </w:rPr>
        <w:t> </w:t>
      </w:r>
      <w:r>
        <w:rPr>
          <w:sz w:val="18"/>
        </w:rPr>
        <w:t>usual care for similar patients?</w:t>
      </w:r>
    </w:p>
    <w:p>
      <w:pPr>
        <w:pStyle w:val="BodyText"/>
        <w:spacing w:before="6"/>
        <w:rPr>
          <w:sz w:val="16"/>
        </w:rPr>
      </w:pPr>
    </w:p>
    <w:p>
      <w:pPr>
        <w:spacing w:before="0"/>
        <w:ind w:left="1486" w:right="5492" w:firstLine="0"/>
        <w:jc w:val="both"/>
        <w:rPr>
          <w:sz w:val="18"/>
        </w:rPr>
      </w:pPr>
      <w:r>
        <w:rPr/>
        <w:drawing>
          <wp:anchor distT="0" distB="0" distL="0" distR="0" allowOverlap="1" layoutInCell="1" locked="0" behindDoc="0" simplePos="0" relativeHeight="15863296">
            <wp:simplePos x="0" y="0"/>
            <wp:positionH relativeFrom="page">
              <wp:posOffset>922313</wp:posOffset>
            </wp:positionH>
            <wp:positionV relativeFrom="paragraph">
              <wp:posOffset>44850</wp:posOffset>
            </wp:positionV>
            <wp:extent cx="58380" cy="72151"/>
            <wp:effectExtent l="0" t="0" r="0" b="0"/>
            <wp:wrapNone/>
            <wp:docPr id="1015" name="image13.png"/>
            <wp:cNvGraphicFramePr>
              <a:graphicFrameLocks noChangeAspect="1"/>
            </wp:cNvGraphicFramePr>
            <a:graphic>
              <a:graphicData uri="http://schemas.openxmlformats.org/drawingml/2006/picture">
                <pic:pic>
                  <pic:nvPicPr>
                    <pic:cNvPr id="1016"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863808">
            <wp:simplePos x="0" y="0"/>
            <wp:positionH relativeFrom="page">
              <wp:posOffset>922313</wp:posOffset>
            </wp:positionH>
            <wp:positionV relativeFrom="paragraph">
              <wp:posOffset>185058</wp:posOffset>
            </wp:positionV>
            <wp:extent cx="58380" cy="72151"/>
            <wp:effectExtent l="0" t="0" r="0" b="0"/>
            <wp:wrapNone/>
            <wp:docPr id="1017" name="image13.png"/>
            <wp:cNvGraphicFramePr>
              <a:graphicFrameLocks noChangeAspect="1"/>
            </wp:cNvGraphicFramePr>
            <a:graphic>
              <a:graphicData uri="http://schemas.openxmlformats.org/drawingml/2006/picture">
                <pic:pic>
                  <pic:nvPicPr>
                    <pic:cNvPr id="1018"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864320">
            <wp:simplePos x="0" y="0"/>
            <wp:positionH relativeFrom="page">
              <wp:posOffset>922313</wp:posOffset>
            </wp:positionH>
            <wp:positionV relativeFrom="paragraph">
              <wp:posOffset>325264</wp:posOffset>
            </wp:positionV>
            <wp:extent cx="58380" cy="72153"/>
            <wp:effectExtent l="0" t="0" r="0" b="0"/>
            <wp:wrapNone/>
            <wp:docPr id="1019" name="image13.png"/>
            <wp:cNvGraphicFramePr>
              <a:graphicFrameLocks noChangeAspect="1"/>
            </wp:cNvGraphicFramePr>
            <a:graphic>
              <a:graphicData uri="http://schemas.openxmlformats.org/drawingml/2006/picture">
                <pic:pic>
                  <pic:nvPicPr>
                    <pic:cNvPr id="1020" name="image13.png"/>
                    <pic:cNvPicPr/>
                  </pic:nvPicPr>
                  <pic:blipFill>
                    <a:blip r:embed="rId41" cstate="print"/>
                    <a:stretch>
                      <a:fillRect/>
                    </a:stretch>
                  </pic:blipFill>
                  <pic:spPr>
                    <a:xfrm>
                      <a:off x="0" y="0"/>
                      <a:ext cx="58380" cy="72153"/>
                    </a:xfrm>
                    <a:prstGeom prst="rect">
                      <a:avLst/>
                    </a:prstGeom>
                  </pic:spPr>
                </pic:pic>
              </a:graphicData>
            </a:graphic>
          </wp:anchor>
        </w:drawing>
      </w:r>
      <w:r>
        <w:rPr>
          <w:sz w:val="18"/>
        </w:rPr>
        <w:t>1 Significant improvement compared with usual care</w:t>
      </w:r>
      <w:r>
        <w:rPr>
          <w:spacing w:val="-47"/>
          <w:sz w:val="18"/>
        </w:rPr>
        <w:t> </w:t>
      </w:r>
      <w:r>
        <w:rPr>
          <w:sz w:val="18"/>
        </w:rPr>
        <w:t>2 Moderate improvement compared with usual care</w:t>
      </w:r>
      <w:r>
        <w:rPr>
          <w:spacing w:val="-47"/>
          <w:sz w:val="18"/>
        </w:rPr>
        <w:t> </w:t>
      </w:r>
      <w:r>
        <w:rPr>
          <w:sz w:val="18"/>
        </w:rPr>
        <w:t>3</w:t>
      </w:r>
      <w:r>
        <w:rPr>
          <w:spacing w:val="-2"/>
          <w:sz w:val="18"/>
        </w:rPr>
        <w:t> </w:t>
      </w:r>
      <w:r>
        <w:rPr>
          <w:sz w:val="18"/>
        </w:rPr>
        <w:t>Small</w:t>
      </w:r>
      <w:r>
        <w:rPr>
          <w:spacing w:val="-2"/>
          <w:sz w:val="18"/>
        </w:rPr>
        <w:t> </w:t>
      </w:r>
      <w:r>
        <w:rPr>
          <w:sz w:val="18"/>
        </w:rPr>
        <w:t>improvement</w:t>
      </w:r>
      <w:r>
        <w:rPr>
          <w:spacing w:val="-1"/>
          <w:sz w:val="18"/>
        </w:rPr>
        <w:t> </w:t>
      </w:r>
      <w:r>
        <w:rPr>
          <w:sz w:val="18"/>
        </w:rPr>
        <w:t>compared</w:t>
      </w:r>
      <w:r>
        <w:rPr>
          <w:spacing w:val="-2"/>
          <w:sz w:val="18"/>
        </w:rPr>
        <w:t> </w:t>
      </w:r>
      <w:r>
        <w:rPr>
          <w:sz w:val="18"/>
        </w:rPr>
        <w:t>with</w:t>
      </w:r>
      <w:r>
        <w:rPr>
          <w:spacing w:val="-2"/>
          <w:sz w:val="18"/>
        </w:rPr>
        <w:t> </w:t>
      </w:r>
      <w:r>
        <w:rPr>
          <w:sz w:val="18"/>
        </w:rPr>
        <w:t>usual</w:t>
      </w:r>
      <w:r>
        <w:rPr>
          <w:spacing w:val="-1"/>
          <w:sz w:val="18"/>
        </w:rPr>
        <w:t> </w:t>
      </w:r>
      <w:r>
        <w:rPr>
          <w:sz w:val="18"/>
        </w:rPr>
        <w:t>care</w:t>
      </w:r>
    </w:p>
    <w:p>
      <w:pPr>
        <w:pStyle w:val="ListParagraph"/>
        <w:numPr>
          <w:ilvl w:val="0"/>
          <w:numId w:val="83"/>
        </w:numPr>
        <w:tabs>
          <w:tab w:pos="1637" w:val="left" w:leader="none"/>
        </w:tabs>
        <w:spacing w:line="220" w:lineRule="exact" w:before="1" w:after="0"/>
        <w:ind w:left="1636" w:right="0" w:hanging="151"/>
        <w:jc w:val="both"/>
        <w:rPr>
          <w:sz w:val="18"/>
        </w:rPr>
      </w:pPr>
      <w:r>
        <w:rPr/>
        <w:drawing>
          <wp:anchor distT="0" distB="0" distL="0" distR="0" allowOverlap="1" layoutInCell="1" locked="0" behindDoc="0" simplePos="0" relativeHeight="15864832">
            <wp:simplePos x="0" y="0"/>
            <wp:positionH relativeFrom="page">
              <wp:posOffset>920789</wp:posOffset>
            </wp:positionH>
            <wp:positionV relativeFrom="paragraph">
              <wp:posOffset>45104</wp:posOffset>
            </wp:positionV>
            <wp:extent cx="58380" cy="72150"/>
            <wp:effectExtent l="0" t="0" r="0" b="0"/>
            <wp:wrapNone/>
            <wp:docPr id="1021" name="image13.png"/>
            <wp:cNvGraphicFramePr>
              <a:graphicFrameLocks noChangeAspect="1"/>
            </wp:cNvGraphicFramePr>
            <a:graphic>
              <a:graphicData uri="http://schemas.openxmlformats.org/drawingml/2006/picture">
                <pic:pic>
                  <pic:nvPicPr>
                    <pic:cNvPr id="1022" name="image13.png"/>
                    <pic:cNvPicPr/>
                  </pic:nvPicPr>
                  <pic:blipFill>
                    <a:blip r:embed="rId41" cstate="print"/>
                    <a:stretch>
                      <a:fillRect/>
                    </a:stretch>
                  </pic:blipFill>
                  <pic:spPr>
                    <a:xfrm>
                      <a:off x="0" y="0"/>
                      <a:ext cx="58380" cy="72150"/>
                    </a:xfrm>
                    <a:prstGeom prst="rect">
                      <a:avLst/>
                    </a:prstGeom>
                  </pic:spPr>
                </pic:pic>
              </a:graphicData>
            </a:graphic>
          </wp:anchor>
        </w:drawing>
      </w:r>
      <w:r>
        <w:rPr>
          <w:sz w:val="18"/>
        </w:rPr>
        <w:t>No</w:t>
      </w:r>
      <w:r>
        <w:rPr>
          <w:spacing w:val="-3"/>
          <w:sz w:val="18"/>
        </w:rPr>
        <w:t> </w:t>
      </w:r>
      <w:r>
        <w:rPr>
          <w:sz w:val="18"/>
        </w:rPr>
        <w:t>improvement</w:t>
      </w:r>
      <w:r>
        <w:rPr>
          <w:spacing w:val="-3"/>
          <w:sz w:val="18"/>
        </w:rPr>
        <w:t> </w:t>
      </w:r>
      <w:r>
        <w:rPr>
          <w:sz w:val="18"/>
        </w:rPr>
        <w:t>compared</w:t>
      </w:r>
      <w:r>
        <w:rPr>
          <w:spacing w:val="-4"/>
          <w:sz w:val="18"/>
        </w:rPr>
        <w:t> </w:t>
      </w:r>
      <w:r>
        <w:rPr>
          <w:sz w:val="18"/>
        </w:rPr>
        <w:t>with</w:t>
      </w:r>
      <w:r>
        <w:rPr>
          <w:spacing w:val="-2"/>
          <w:sz w:val="18"/>
        </w:rPr>
        <w:t> </w:t>
      </w:r>
      <w:r>
        <w:rPr>
          <w:sz w:val="18"/>
        </w:rPr>
        <w:t>usual</w:t>
      </w:r>
      <w:r>
        <w:rPr>
          <w:spacing w:val="-3"/>
          <w:sz w:val="18"/>
        </w:rPr>
        <w:t> </w:t>
      </w:r>
      <w:r>
        <w:rPr>
          <w:sz w:val="18"/>
        </w:rPr>
        <w:t>care</w:t>
      </w:r>
    </w:p>
    <w:p>
      <w:pPr>
        <w:pStyle w:val="ListParagraph"/>
        <w:numPr>
          <w:ilvl w:val="0"/>
          <w:numId w:val="83"/>
        </w:numPr>
        <w:tabs>
          <w:tab w:pos="1640" w:val="left" w:leader="none"/>
        </w:tabs>
        <w:spacing w:line="240" w:lineRule="auto" w:before="0" w:after="0"/>
        <w:ind w:left="1486" w:right="5908" w:firstLine="0"/>
        <w:jc w:val="both"/>
        <w:rPr>
          <w:sz w:val="18"/>
        </w:rPr>
      </w:pPr>
      <w:r>
        <w:rPr/>
        <w:drawing>
          <wp:anchor distT="0" distB="0" distL="0" distR="0" allowOverlap="1" layoutInCell="1" locked="0" behindDoc="0" simplePos="0" relativeHeight="15865344">
            <wp:simplePos x="0" y="0"/>
            <wp:positionH relativeFrom="page">
              <wp:posOffset>920789</wp:posOffset>
            </wp:positionH>
            <wp:positionV relativeFrom="paragraph">
              <wp:posOffset>44468</wp:posOffset>
            </wp:positionV>
            <wp:extent cx="58380" cy="72151"/>
            <wp:effectExtent l="0" t="0" r="0" b="0"/>
            <wp:wrapNone/>
            <wp:docPr id="1023" name="image13.png"/>
            <wp:cNvGraphicFramePr>
              <a:graphicFrameLocks noChangeAspect="1"/>
            </wp:cNvGraphicFramePr>
            <a:graphic>
              <a:graphicData uri="http://schemas.openxmlformats.org/drawingml/2006/picture">
                <pic:pic>
                  <pic:nvPicPr>
                    <pic:cNvPr id="1024"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865856">
            <wp:simplePos x="0" y="0"/>
            <wp:positionH relativeFrom="page">
              <wp:posOffset>920789</wp:posOffset>
            </wp:positionH>
            <wp:positionV relativeFrom="paragraph">
              <wp:posOffset>184675</wp:posOffset>
            </wp:positionV>
            <wp:extent cx="58380" cy="72153"/>
            <wp:effectExtent l="0" t="0" r="0" b="0"/>
            <wp:wrapNone/>
            <wp:docPr id="1025" name="image13.png"/>
            <wp:cNvGraphicFramePr>
              <a:graphicFrameLocks noChangeAspect="1"/>
            </wp:cNvGraphicFramePr>
            <a:graphic>
              <a:graphicData uri="http://schemas.openxmlformats.org/drawingml/2006/picture">
                <pic:pic>
                  <pic:nvPicPr>
                    <pic:cNvPr id="1026" name="image13.png"/>
                    <pic:cNvPicPr/>
                  </pic:nvPicPr>
                  <pic:blipFill>
                    <a:blip r:embed="rId41" cstate="print"/>
                    <a:stretch>
                      <a:fillRect/>
                    </a:stretch>
                  </pic:blipFill>
                  <pic:spPr>
                    <a:xfrm>
                      <a:off x="0" y="0"/>
                      <a:ext cx="58380" cy="72153"/>
                    </a:xfrm>
                    <a:prstGeom prst="rect">
                      <a:avLst/>
                    </a:prstGeom>
                  </pic:spPr>
                </pic:pic>
              </a:graphicData>
            </a:graphic>
          </wp:anchor>
        </w:drawing>
      </w:r>
      <w:r>
        <w:rPr>
          <w:sz w:val="18"/>
        </w:rPr>
        <w:t>Worse coordination compared with usual care</w:t>
      </w:r>
      <w:r>
        <w:rPr>
          <w:spacing w:val="-48"/>
          <w:sz w:val="18"/>
        </w:rPr>
        <w:t> </w:t>
      </w:r>
      <w:r>
        <w:rPr>
          <w:sz w:val="18"/>
        </w:rPr>
        <w:t>6 Can’t</w:t>
      </w:r>
      <w:r>
        <w:rPr>
          <w:spacing w:val="-2"/>
          <w:sz w:val="18"/>
        </w:rPr>
        <w:t> </w:t>
      </w:r>
      <w:r>
        <w:rPr>
          <w:sz w:val="18"/>
        </w:rPr>
        <w:t>say/don’t</w:t>
      </w:r>
      <w:r>
        <w:rPr>
          <w:spacing w:val="-2"/>
          <w:sz w:val="18"/>
        </w:rPr>
        <w:t> </w:t>
      </w:r>
      <w:r>
        <w:rPr>
          <w:sz w:val="18"/>
        </w:rPr>
        <w:t>know</w:t>
      </w:r>
    </w:p>
    <w:p>
      <w:pPr>
        <w:pStyle w:val="BodyText"/>
        <w:spacing w:before="10"/>
        <w:rPr>
          <w:sz w:val="22"/>
        </w:rPr>
      </w:pPr>
    </w:p>
    <w:p>
      <w:pPr>
        <w:pStyle w:val="ListParagraph"/>
        <w:numPr>
          <w:ilvl w:val="1"/>
          <w:numId w:val="82"/>
        </w:numPr>
        <w:tabs>
          <w:tab w:pos="780" w:val="left" w:leader="none"/>
        </w:tabs>
        <w:spacing w:line="240" w:lineRule="auto" w:before="0" w:after="0"/>
        <w:ind w:left="780" w:right="779" w:hanging="360"/>
        <w:jc w:val="both"/>
        <w:rPr>
          <w:sz w:val="18"/>
        </w:rPr>
      </w:pPr>
      <w:r>
        <w:rPr>
          <w:sz w:val="18"/>
        </w:rPr>
        <w:t>Can you describe the main ways in which quality of care for HCH patients improved compared with similar patients</w:t>
      </w:r>
      <w:r>
        <w:rPr>
          <w:spacing w:val="-47"/>
          <w:sz w:val="18"/>
        </w:rPr>
        <w:t> </w:t>
      </w:r>
      <w:r>
        <w:rPr>
          <w:sz w:val="18"/>
        </w:rPr>
        <w:t>receiving usual care? Can you also describe, what was the feature of the HCH program that facilitated this relative</w:t>
      </w:r>
      <w:r>
        <w:rPr>
          <w:spacing w:val="-47"/>
          <w:sz w:val="18"/>
        </w:rPr>
        <w:t> </w:t>
      </w:r>
      <w:r>
        <w:rPr>
          <w:sz w:val="18"/>
        </w:rPr>
        <w:t>improvement</w:t>
      </w:r>
      <w:r>
        <w:rPr>
          <w:spacing w:val="-3"/>
          <w:sz w:val="18"/>
        </w:rPr>
        <w:t> </w:t>
      </w:r>
      <w:r>
        <w:rPr>
          <w:sz w:val="18"/>
        </w:rPr>
        <w:t>in quality</w:t>
      </w:r>
      <w:r>
        <w:rPr>
          <w:spacing w:val="-1"/>
          <w:sz w:val="18"/>
        </w:rPr>
        <w:t> </w:t>
      </w:r>
      <w:r>
        <w:rPr>
          <w:sz w:val="18"/>
        </w:rPr>
        <w:t>of</w:t>
      </w:r>
      <w:r>
        <w:rPr>
          <w:spacing w:val="-2"/>
          <w:sz w:val="18"/>
        </w:rPr>
        <w:t> </w:t>
      </w:r>
      <w:r>
        <w:rPr>
          <w:sz w:val="18"/>
        </w:rPr>
        <w:t>care?</w:t>
      </w:r>
    </w:p>
    <w:p>
      <w:pPr>
        <w:pStyle w:val="BodyText"/>
        <w:spacing w:before="4"/>
        <w:rPr>
          <w:sz w:val="16"/>
        </w:rPr>
      </w:pPr>
    </w:p>
    <w:tbl>
      <w:tblPr>
        <w:tblW w:w="0" w:type="auto"/>
        <w:jc w:val="left"/>
        <w:tblInd w:w="43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422"/>
        <w:gridCol w:w="4817"/>
        <w:gridCol w:w="4680"/>
      </w:tblGrid>
      <w:tr>
        <w:trPr>
          <w:trHeight w:val="477" w:hRule="atLeast"/>
        </w:trPr>
        <w:tc>
          <w:tcPr>
            <w:tcW w:w="422" w:type="dxa"/>
            <w:shd w:val="clear" w:color="auto" w:fill="F1F1F1"/>
          </w:tcPr>
          <w:p>
            <w:pPr>
              <w:pStyle w:val="TableParagraph"/>
              <w:spacing w:line="219" w:lineRule="exact"/>
              <w:ind w:left="107"/>
              <w:rPr>
                <w:sz w:val="18"/>
              </w:rPr>
            </w:pPr>
            <w:r>
              <w:rPr>
                <w:sz w:val="18"/>
              </w:rPr>
              <w:t>#</w:t>
            </w:r>
          </w:p>
        </w:tc>
        <w:tc>
          <w:tcPr>
            <w:tcW w:w="4817" w:type="dxa"/>
            <w:shd w:val="clear" w:color="auto" w:fill="F1F1F1"/>
          </w:tcPr>
          <w:p>
            <w:pPr>
              <w:pStyle w:val="TableParagraph"/>
              <w:ind w:left="1399" w:hanging="1126"/>
              <w:rPr>
                <w:sz w:val="18"/>
              </w:rPr>
            </w:pPr>
            <w:r>
              <w:rPr>
                <w:sz w:val="18"/>
              </w:rPr>
              <w:t>11A</w:t>
            </w:r>
            <w:r>
              <w:rPr>
                <w:spacing w:val="-12"/>
                <w:sz w:val="18"/>
              </w:rPr>
              <w:t> </w:t>
            </w:r>
            <w:r>
              <w:rPr>
                <w:sz w:val="18"/>
              </w:rPr>
              <w:t>Improved</w:t>
            </w:r>
            <w:r>
              <w:rPr>
                <w:spacing w:val="-2"/>
                <w:sz w:val="18"/>
              </w:rPr>
              <w:t> </w:t>
            </w:r>
            <w:r>
              <w:rPr>
                <w:sz w:val="18"/>
              </w:rPr>
              <w:t>quality</w:t>
            </w:r>
            <w:r>
              <w:rPr>
                <w:spacing w:val="-2"/>
                <w:sz w:val="18"/>
              </w:rPr>
              <w:t> </w:t>
            </w:r>
            <w:r>
              <w:rPr>
                <w:sz w:val="18"/>
              </w:rPr>
              <w:t>of</w:t>
            </w:r>
            <w:r>
              <w:rPr>
                <w:spacing w:val="-1"/>
                <w:sz w:val="18"/>
              </w:rPr>
              <w:t> </w:t>
            </w:r>
            <w:r>
              <w:rPr>
                <w:sz w:val="18"/>
              </w:rPr>
              <w:t>care</w:t>
            </w:r>
            <w:r>
              <w:rPr>
                <w:spacing w:val="-1"/>
                <w:sz w:val="18"/>
              </w:rPr>
              <w:t> </w:t>
            </w:r>
            <w:r>
              <w:rPr>
                <w:sz w:val="18"/>
              </w:rPr>
              <w:t>compared</w:t>
            </w:r>
            <w:r>
              <w:rPr>
                <w:spacing w:val="-2"/>
                <w:sz w:val="18"/>
              </w:rPr>
              <w:t> </w:t>
            </w:r>
            <w:r>
              <w:rPr>
                <w:sz w:val="18"/>
              </w:rPr>
              <w:t>to</w:t>
            </w:r>
            <w:r>
              <w:rPr>
                <w:spacing w:val="-2"/>
                <w:sz w:val="18"/>
              </w:rPr>
              <w:t> </w:t>
            </w:r>
            <w:r>
              <w:rPr>
                <w:sz w:val="18"/>
              </w:rPr>
              <w:t>usual</w:t>
            </w:r>
            <w:r>
              <w:rPr>
                <w:spacing w:val="-47"/>
                <w:sz w:val="18"/>
              </w:rPr>
              <w:t> </w:t>
            </w:r>
            <w:r>
              <w:rPr>
                <w:sz w:val="18"/>
              </w:rPr>
              <w:t>care</w:t>
            </w:r>
            <w:r>
              <w:rPr>
                <w:spacing w:val="-3"/>
                <w:sz w:val="18"/>
              </w:rPr>
              <w:t> </w:t>
            </w:r>
            <w:r>
              <w:rPr>
                <w:sz w:val="18"/>
              </w:rPr>
              <w:t>for similar</w:t>
            </w:r>
            <w:r>
              <w:rPr>
                <w:spacing w:val="-1"/>
                <w:sz w:val="18"/>
              </w:rPr>
              <w:t> </w:t>
            </w:r>
            <w:r>
              <w:rPr>
                <w:sz w:val="18"/>
              </w:rPr>
              <w:t>patients</w:t>
            </w:r>
          </w:p>
        </w:tc>
        <w:tc>
          <w:tcPr>
            <w:tcW w:w="4680" w:type="dxa"/>
            <w:shd w:val="clear" w:color="auto" w:fill="F1F1F1"/>
          </w:tcPr>
          <w:p>
            <w:pPr>
              <w:pStyle w:val="TableParagraph"/>
              <w:ind w:left="1753" w:right="228" w:hanging="1501"/>
              <w:rPr>
                <w:sz w:val="18"/>
              </w:rPr>
            </w:pPr>
            <w:r>
              <w:rPr>
                <w:sz w:val="18"/>
              </w:rPr>
              <w:t>11B Feature of HCH program that facilitated this</w:t>
            </w:r>
            <w:r>
              <w:rPr>
                <w:spacing w:val="-48"/>
                <w:sz w:val="18"/>
              </w:rPr>
              <w:t> </w:t>
            </w:r>
            <w:r>
              <w:rPr>
                <w:sz w:val="18"/>
              </w:rPr>
              <w:t>improvement</w:t>
            </w:r>
          </w:p>
        </w:tc>
      </w:tr>
      <w:tr>
        <w:trPr>
          <w:trHeight w:val="244" w:hRule="atLeast"/>
        </w:trPr>
        <w:tc>
          <w:tcPr>
            <w:tcW w:w="422" w:type="dxa"/>
          </w:tcPr>
          <w:p>
            <w:pPr>
              <w:pStyle w:val="TableParagraph"/>
              <w:spacing w:line="224" w:lineRule="exact"/>
              <w:ind w:left="107"/>
              <w:rPr>
                <w:sz w:val="20"/>
              </w:rPr>
            </w:pPr>
            <w:r>
              <w:rPr>
                <w:w w:val="99"/>
                <w:sz w:val="20"/>
              </w:rPr>
              <w:t>1</w:t>
            </w:r>
          </w:p>
        </w:tc>
        <w:tc>
          <w:tcPr>
            <w:tcW w:w="4817" w:type="dxa"/>
          </w:tcPr>
          <w:p>
            <w:pPr>
              <w:pStyle w:val="TableParagraph"/>
              <w:rPr>
                <w:rFonts w:ascii="Times New Roman"/>
                <w:sz w:val="16"/>
              </w:rPr>
            </w:pPr>
          </w:p>
        </w:tc>
        <w:tc>
          <w:tcPr>
            <w:tcW w:w="4680" w:type="dxa"/>
          </w:tcPr>
          <w:p>
            <w:pPr>
              <w:pStyle w:val="TableParagraph"/>
              <w:rPr>
                <w:rFonts w:ascii="Times New Roman"/>
                <w:sz w:val="16"/>
              </w:rPr>
            </w:pPr>
          </w:p>
        </w:tc>
      </w:tr>
      <w:tr>
        <w:trPr>
          <w:trHeight w:val="242" w:hRule="atLeast"/>
        </w:trPr>
        <w:tc>
          <w:tcPr>
            <w:tcW w:w="422" w:type="dxa"/>
            <w:tcBorders>
              <w:bottom w:val="single" w:sz="6" w:space="0" w:color="BEBEBE"/>
            </w:tcBorders>
          </w:tcPr>
          <w:p>
            <w:pPr>
              <w:pStyle w:val="TableParagraph"/>
              <w:spacing w:line="222" w:lineRule="exact"/>
              <w:ind w:left="107"/>
              <w:rPr>
                <w:sz w:val="20"/>
              </w:rPr>
            </w:pPr>
            <w:r>
              <w:rPr>
                <w:w w:val="99"/>
                <w:sz w:val="20"/>
              </w:rPr>
              <w:t>2</w:t>
            </w:r>
          </w:p>
        </w:tc>
        <w:tc>
          <w:tcPr>
            <w:tcW w:w="4817" w:type="dxa"/>
            <w:tcBorders>
              <w:bottom w:val="single" w:sz="6" w:space="0" w:color="BEBEBE"/>
            </w:tcBorders>
          </w:tcPr>
          <w:p>
            <w:pPr>
              <w:pStyle w:val="TableParagraph"/>
              <w:rPr>
                <w:rFonts w:ascii="Times New Roman"/>
                <w:sz w:val="16"/>
              </w:rPr>
            </w:pPr>
          </w:p>
        </w:tc>
        <w:tc>
          <w:tcPr>
            <w:tcW w:w="4680" w:type="dxa"/>
            <w:tcBorders>
              <w:bottom w:val="single" w:sz="6" w:space="0" w:color="BEBEBE"/>
            </w:tcBorders>
          </w:tcPr>
          <w:p>
            <w:pPr>
              <w:pStyle w:val="TableParagraph"/>
              <w:rPr>
                <w:rFonts w:ascii="Times New Roman"/>
                <w:sz w:val="16"/>
              </w:rPr>
            </w:pPr>
          </w:p>
        </w:tc>
      </w:tr>
      <w:tr>
        <w:trPr>
          <w:trHeight w:val="244" w:hRule="atLeast"/>
        </w:trPr>
        <w:tc>
          <w:tcPr>
            <w:tcW w:w="422" w:type="dxa"/>
            <w:tcBorders>
              <w:top w:val="single" w:sz="6" w:space="0" w:color="BEBEBE"/>
            </w:tcBorders>
          </w:tcPr>
          <w:p>
            <w:pPr>
              <w:pStyle w:val="TableParagraph"/>
              <w:spacing w:line="224" w:lineRule="exact"/>
              <w:ind w:left="107"/>
              <w:rPr>
                <w:sz w:val="20"/>
              </w:rPr>
            </w:pPr>
            <w:r>
              <w:rPr>
                <w:w w:val="99"/>
                <w:sz w:val="20"/>
              </w:rPr>
              <w:t>3</w:t>
            </w:r>
          </w:p>
        </w:tc>
        <w:tc>
          <w:tcPr>
            <w:tcW w:w="4817" w:type="dxa"/>
            <w:tcBorders>
              <w:top w:val="single" w:sz="6" w:space="0" w:color="BEBEBE"/>
            </w:tcBorders>
          </w:tcPr>
          <w:p>
            <w:pPr>
              <w:pStyle w:val="TableParagraph"/>
              <w:rPr>
                <w:rFonts w:ascii="Times New Roman"/>
                <w:sz w:val="16"/>
              </w:rPr>
            </w:pPr>
          </w:p>
        </w:tc>
        <w:tc>
          <w:tcPr>
            <w:tcW w:w="4680" w:type="dxa"/>
            <w:tcBorders>
              <w:top w:val="single" w:sz="6" w:space="0" w:color="BEBEBE"/>
            </w:tcBorders>
          </w:tcPr>
          <w:p>
            <w:pPr>
              <w:pStyle w:val="TableParagraph"/>
              <w:rPr>
                <w:rFonts w:ascii="Times New Roman"/>
                <w:sz w:val="16"/>
              </w:rPr>
            </w:pPr>
          </w:p>
        </w:tc>
      </w:tr>
      <w:tr>
        <w:trPr>
          <w:trHeight w:val="244" w:hRule="atLeast"/>
        </w:trPr>
        <w:tc>
          <w:tcPr>
            <w:tcW w:w="422" w:type="dxa"/>
          </w:tcPr>
          <w:p>
            <w:pPr>
              <w:pStyle w:val="TableParagraph"/>
              <w:spacing w:line="224" w:lineRule="exact"/>
              <w:ind w:left="107"/>
              <w:rPr>
                <w:sz w:val="20"/>
              </w:rPr>
            </w:pPr>
            <w:r>
              <w:rPr>
                <w:w w:val="99"/>
                <w:sz w:val="20"/>
              </w:rPr>
              <w:t>4</w:t>
            </w:r>
          </w:p>
        </w:tc>
        <w:tc>
          <w:tcPr>
            <w:tcW w:w="4817" w:type="dxa"/>
          </w:tcPr>
          <w:p>
            <w:pPr>
              <w:pStyle w:val="TableParagraph"/>
              <w:rPr>
                <w:rFonts w:ascii="Times New Roman"/>
                <w:sz w:val="16"/>
              </w:rPr>
            </w:pPr>
          </w:p>
        </w:tc>
        <w:tc>
          <w:tcPr>
            <w:tcW w:w="4680" w:type="dxa"/>
          </w:tcPr>
          <w:p>
            <w:pPr>
              <w:pStyle w:val="TableParagraph"/>
              <w:rPr>
                <w:rFonts w:ascii="Times New Roman"/>
                <w:sz w:val="16"/>
              </w:rPr>
            </w:pPr>
          </w:p>
        </w:tc>
      </w:tr>
      <w:tr>
        <w:trPr>
          <w:trHeight w:val="244" w:hRule="atLeast"/>
        </w:trPr>
        <w:tc>
          <w:tcPr>
            <w:tcW w:w="422" w:type="dxa"/>
          </w:tcPr>
          <w:p>
            <w:pPr>
              <w:pStyle w:val="TableParagraph"/>
              <w:spacing w:line="224" w:lineRule="exact"/>
              <w:ind w:left="107"/>
              <w:rPr>
                <w:sz w:val="20"/>
              </w:rPr>
            </w:pPr>
            <w:r>
              <w:rPr>
                <w:w w:val="99"/>
                <w:sz w:val="20"/>
              </w:rPr>
              <w:t>5</w:t>
            </w:r>
          </w:p>
        </w:tc>
        <w:tc>
          <w:tcPr>
            <w:tcW w:w="4817" w:type="dxa"/>
          </w:tcPr>
          <w:p>
            <w:pPr>
              <w:pStyle w:val="TableParagraph"/>
              <w:rPr>
                <w:rFonts w:ascii="Times New Roman"/>
                <w:sz w:val="16"/>
              </w:rPr>
            </w:pPr>
          </w:p>
        </w:tc>
        <w:tc>
          <w:tcPr>
            <w:tcW w:w="4680" w:type="dxa"/>
          </w:tcPr>
          <w:p>
            <w:pPr>
              <w:pStyle w:val="TableParagraph"/>
              <w:rPr>
                <w:rFonts w:ascii="Times New Roman"/>
                <w:sz w:val="16"/>
              </w:rPr>
            </w:pPr>
          </w:p>
        </w:tc>
      </w:tr>
      <w:tr>
        <w:trPr>
          <w:trHeight w:val="246" w:hRule="atLeast"/>
        </w:trPr>
        <w:tc>
          <w:tcPr>
            <w:tcW w:w="422" w:type="dxa"/>
          </w:tcPr>
          <w:p>
            <w:pPr>
              <w:pStyle w:val="TableParagraph"/>
              <w:spacing w:line="224" w:lineRule="exact" w:before="2"/>
              <w:ind w:left="107"/>
              <w:rPr>
                <w:sz w:val="20"/>
              </w:rPr>
            </w:pPr>
            <w:r>
              <w:rPr>
                <w:w w:val="99"/>
                <w:sz w:val="20"/>
              </w:rPr>
              <w:t>6</w:t>
            </w:r>
          </w:p>
        </w:tc>
        <w:tc>
          <w:tcPr>
            <w:tcW w:w="4817" w:type="dxa"/>
          </w:tcPr>
          <w:p>
            <w:pPr>
              <w:pStyle w:val="TableParagraph"/>
              <w:rPr>
                <w:rFonts w:ascii="Times New Roman"/>
                <w:sz w:val="16"/>
              </w:rPr>
            </w:pPr>
          </w:p>
        </w:tc>
        <w:tc>
          <w:tcPr>
            <w:tcW w:w="4680" w:type="dxa"/>
          </w:tcPr>
          <w:p>
            <w:pPr>
              <w:pStyle w:val="TableParagraph"/>
              <w:rPr>
                <w:rFonts w:ascii="Times New Roman"/>
                <w:sz w:val="16"/>
              </w:rPr>
            </w:pPr>
          </w:p>
        </w:tc>
      </w:tr>
    </w:tbl>
    <w:p>
      <w:pPr>
        <w:pStyle w:val="BodyText"/>
        <w:spacing w:before="1"/>
        <w:rPr>
          <w:sz w:val="18"/>
        </w:rPr>
      </w:pPr>
    </w:p>
    <w:p>
      <w:pPr>
        <w:pStyle w:val="ListParagraph"/>
        <w:numPr>
          <w:ilvl w:val="1"/>
          <w:numId w:val="82"/>
        </w:numPr>
        <w:tabs>
          <w:tab w:pos="780" w:val="left" w:leader="none"/>
        </w:tabs>
        <w:spacing w:line="240" w:lineRule="auto" w:before="0" w:after="0"/>
        <w:ind w:left="780" w:right="948" w:hanging="360"/>
        <w:jc w:val="left"/>
        <w:rPr>
          <w:sz w:val="18"/>
        </w:rPr>
      </w:pPr>
      <w:r>
        <w:rPr>
          <w:sz w:val="18"/>
        </w:rPr>
        <w:t>In</w:t>
      </w:r>
      <w:r>
        <w:rPr>
          <w:spacing w:val="-4"/>
          <w:sz w:val="18"/>
        </w:rPr>
        <w:t> </w:t>
      </w:r>
      <w:r>
        <w:rPr>
          <w:sz w:val="18"/>
        </w:rPr>
        <w:t>your</w:t>
      </w:r>
      <w:r>
        <w:rPr>
          <w:spacing w:val="-2"/>
          <w:sz w:val="18"/>
        </w:rPr>
        <w:t> </w:t>
      </w:r>
      <w:r>
        <w:rPr>
          <w:sz w:val="18"/>
        </w:rPr>
        <w:t>assessment,</w:t>
      </w:r>
      <w:r>
        <w:rPr>
          <w:spacing w:val="-4"/>
          <w:sz w:val="18"/>
        </w:rPr>
        <w:t> </w:t>
      </w:r>
      <w:r>
        <w:rPr>
          <w:sz w:val="18"/>
        </w:rPr>
        <w:t>what</w:t>
      </w:r>
      <w:r>
        <w:rPr>
          <w:spacing w:val="-4"/>
          <w:sz w:val="18"/>
        </w:rPr>
        <w:t> </w:t>
      </w:r>
      <w:r>
        <w:rPr>
          <w:sz w:val="18"/>
        </w:rPr>
        <w:t>has</w:t>
      </w:r>
      <w:r>
        <w:rPr>
          <w:spacing w:val="-3"/>
          <w:sz w:val="18"/>
        </w:rPr>
        <w:t> </w:t>
      </w:r>
      <w:r>
        <w:rPr>
          <w:sz w:val="18"/>
        </w:rPr>
        <w:t>been</w:t>
      </w:r>
      <w:r>
        <w:rPr>
          <w:spacing w:val="-2"/>
          <w:sz w:val="18"/>
        </w:rPr>
        <w:t> </w:t>
      </w:r>
      <w:r>
        <w:rPr>
          <w:sz w:val="18"/>
        </w:rPr>
        <w:t>the</w:t>
      </w:r>
      <w:r>
        <w:rPr>
          <w:spacing w:val="-2"/>
          <w:sz w:val="18"/>
        </w:rPr>
        <w:t> </w:t>
      </w:r>
      <w:r>
        <w:rPr>
          <w:sz w:val="18"/>
        </w:rPr>
        <w:t>overall</w:t>
      </w:r>
      <w:r>
        <w:rPr>
          <w:spacing w:val="-4"/>
          <w:sz w:val="18"/>
        </w:rPr>
        <w:t> </w:t>
      </w:r>
      <w:r>
        <w:rPr>
          <w:sz w:val="18"/>
        </w:rPr>
        <w:t>impact</w:t>
      </w:r>
      <w:r>
        <w:rPr>
          <w:spacing w:val="-4"/>
          <w:sz w:val="18"/>
        </w:rPr>
        <w:t> </w:t>
      </w:r>
      <w:r>
        <w:rPr>
          <w:sz w:val="18"/>
        </w:rPr>
        <w:t>of</w:t>
      </w:r>
      <w:r>
        <w:rPr>
          <w:spacing w:val="-1"/>
          <w:sz w:val="18"/>
        </w:rPr>
        <w:t> </w:t>
      </w:r>
      <w:r>
        <w:rPr>
          <w:sz w:val="18"/>
        </w:rPr>
        <w:t>HCH</w:t>
      </w:r>
      <w:r>
        <w:rPr>
          <w:spacing w:val="-3"/>
          <w:sz w:val="18"/>
        </w:rPr>
        <w:t> </w:t>
      </w:r>
      <w:r>
        <w:rPr>
          <w:sz w:val="18"/>
        </w:rPr>
        <w:t>on</w:t>
      </w:r>
      <w:r>
        <w:rPr>
          <w:spacing w:val="-2"/>
          <w:sz w:val="18"/>
        </w:rPr>
        <w:t> </w:t>
      </w:r>
      <w:r>
        <w:rPr>
          <w:sz w:val="18"/>
        </w:rPr>
        <w:t>quality</w:t>
      </w:r>
      <w:r>
        <w:rPr>
          <w:spacing w:val="-3"/>
          <w:sz w:val="18"/>
        </w:rPr>
        <w:t> </w:t>
      </w:r>
      <w:r>
        <w:rPr>
          <w:sz w:val="18"/>
        </w:rPr>
        <w:t>of</w:t>
      </w:r>
      <w:r>
        <w:rPr>
          <w:spacing w:val="-2"/>
          <w:sz w:val="18"/>
        </w:rPr>
        <w:t> </w:t>
      </w:r>
      <w:r>
        <w:rPr>
          <w:sz w:val="18"/>
        </w:rPr>
        <w:t>care</w:t>
      </w:r>
      <w:r>
        <w:rPr>
          <w:spacing w:val="-4"/>
          <w:sz w:val="18"/>
        </w:rPr>
        <w:t> </w:t>
      </w:r>
      <w:r>
        <w:rPr>
          <w:sz w:val="18"/>
        </w:rPr>
        <w:t>compared</w:t>
      </w:r>
      <w:r>
        <w:rPr>
          <w:spacing w:val="-2"/>
          <w:sz w:val="18"/>
        </w:rPr>
        <w:t> </w:t>
      </w:r>
      <w:r>
        <w:rPr>
          <w:sz w:val="18"/>
        </w:rPr>
        <w:t>with</w:t>
      </w:r>
      <w:r>
        <w:rPr>
          <w:spacing w:val="-2"/>
          <w:sz w:val="18"/>
        </w:rPr>
        <w:t> </w:t>
      </w:r>
      <w:r>
        <w:rPr>
          <w:sz w:val="18"/>
        </w:rPr>
        <w:t>that</w:t>
      </w:r>
      <w:r>
        <w:rPr>
          <w:spacing w:val="-4"/>
          <w:sz w:val="18"/>
        </w:rPr>
        <w:t> </w:t>
      </w:r>
      <w:r>
        <w:rPr>
          <w:sz w:val="18"/>
        </w:rPr>
        <w:t>would</w:t>
      </w:r>
      <w:r>
        <w:rPr>
          <w:spacing w:val="-3"/>
          <w:sz w:val="18"/>
        </w:rPr>
        <w:t> </w:t>
      </w:r>
      <w:r>
        <w:rPr>
          <w:sz w:val="18"/>
        </w:rPr>
        <w:t>occur</w:t>
      </w:r>
      <w:r>
        <w:rPr>
          <w:spacing w:val="1"/>
          <w:sz w:val="18"/>
        </w:rPr>
        <w:t> </w:t>
      </w:r>
      <w:r>
        <w:rPr>
          <w:sz w:val="18"/>
        </w:rPr>
        <w:t>under</w:t>
      </w:r>
      <w:r>
        <w:rPr>
          <w:spacing w:val="-2"/>
          <w:sz w:val="18"/>
        </w:rPr>
        <w:t> </w:t>
      </w:r>
      <w:r>
        <w:rPr>
          <w:sz w:val="18"/>
        </w:rPr>
        <w:t>usual care for similar</w:t>
      </w:r>
      <w:r>
        <w:rPr>
          <w:spacing w:val="-1"/>
          <w:sz w:val="18"/>
        </w:rPr>
        <w:t> </w:t>
      </w:r>
      <w:r>
        <w:rPr>
          <w:sz w:val="18"/>
        </w:rPr>
        <w:t>patients?</w:t>
      </w:r>
    </w:p>
    <w:p>
      <w:pPr>
        <w:pStyle w:val="BodyText"/>
        <w:spacing w:before="3"/>
        <w:rPr>
          <w:sz w:val="16"/>
        </w:rPr>
      </w:pPr>
    </w:p>
    <w:p>
      <w:pPr>
        <w:spacing w:before="0"/>
        <w:ind w:left="1486" w:right="5492" w:firstLine="0"/>
        <w:jc w:val="both"/>
        <w:rPr>
          <w:sz w:val="18"/>
        </w:rPr>
      </w:pPr>
      <w:r>
        <w:rPr/>
        <w:drawing>
          <wp:anchor distT="0" distB="0" distL="0" distR="0" allowOverlap="1" layoutInCell="1" locked="0" behindDoc="0" simplePos="0" relativeHeight="15866368">
            <wp:simplePos x="0" y="0"/>
            <wp:positionH relativeFrom="page">
              <wp:posOffset>922313</wp:posOffset>
            </wp:positionH>
            <wp:positionV relativeFrom="paragraph">
              <wp:posOffset>44214</wp:posOffset>
            </wp:positionV>
            <wp:extent cx="58380" cy="72151"/>
            <wp:effectExtent l="0" t="0" r="0" b="0"/>
            <wp:wrapNone/>
            <wp:docPr id="1027" name="image13.png"/>
            <wp:cNvGraphicFramePr>
              <a:graphicFrameLocks noChangeAspect="1"/>
            </wp:cNvGraphicFramePr>
            <a:graphic>
              <a:graphicData uri="http://schemas.openxmlformats.org/drawingml/2006/picture">
                <pic:pic>
                  <pic:nvPicPr>
                    <pic:cNvPr id="1028"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866880">
            <wp:simplePos x="0" y="0"/>
            <wp:positionH relativeFrom="page">
              <wp:posOffset>922313</wp:posOffset>
            </wp:positionH>
            <wp:positionV relativeFrom="paragraph">
              <wp:posOffset>184422</wp:posOffset>
            </wp:positionV>
            <wp:extent cx="58380" cy="72151"/>
            <wp:effectExtent l="0" t="0" r="0" b="0"/>
            <wp:wrapNone/>
            <wp:docPr id="1029" name="image13.png"/>
            <wp:cNvGraphicFramePr>
              <a:graphicFrameLocks noChangeAspect="1"/>
            </wp:cNvGraphicFramePr>
            <a:graphic>
              <a:graphicData uri="http://schemas.openxmlformats.org/drawingml/2006/picture">
                <pic:pic>
                  <pic:nvPicPr>
                    <pic:cNvPr id="1030"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867392">
            <wp:simplePos x="0" y="0"/>
            <wp:positionH relativeFrom="page">
              <wp:posOffset>922313</wp:posOffset>
            </wp:positionH>
            <wp:positionV relativeFrom="paragraph">
              <wp:posOffset>324630</wp:posOffset>
            </wp:positionV>
            <wp:extent cx="58380" cy="72151"/>
            <wp:effectExtent l="0" t="0" r="0" b="0"/>
            <wp:wrapNone/>
            <wp:docPr id="1031" name="image13.png"/>
            <wp:cNvGraphicFramePr>
              <a:graphicFrameLocks noChangeAspect="1"/>
            </wp:cNvGraphicFramePr>
            <a:graphic>
              <a:graphicData uri="http://schemas.openxmlformats.org/drawingml/2006/picture">
                <pic:pic>
                  <pic:nvPicPr>
                    <pic:cNvPr id="103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1 Significant improvement compared with usual care</w:t>
      </w:r>
      <w:r>
        <w:rPr>
          <w:spacing w:val="-47"/>
          <w:sz w:val="18"/>
        </w:rPr>
        <w:t> </w:t>
      </w:r>
      <w:r>
        <w:rPr>
          <w:sz w:val="18"/>
        </w:rPr>
        <w:t>2 Moderate improvement compared with usual care</w:t>
      </w:r>
      <w:r>
        <w:rPr>
          <w:spacing w:val="-47"/>
          <w:sz w:val="18"/>
        </w:rPr>
        <w:t> </w:t>
      </w:r>
      <w:r>
        <w:rPr>
          <w:sz w:val="18"/>
        </w:rPr>
        <w:t>3</w:t>
      </w:r>
      <w:r>
        <w:rPr>
          <w:spacing w:val="-2"/>
          <w:sz w:val="18"/>
        </w:rPr>
        <w:t> </w:t>
      </w:r>
      <w:r>
        <w:rPr>
          <w:sz w:val="18"/>
        </w:rPr>
        <w:t>Small</w:t>
      </w:r>
      <w:r>
        <w:rPr>
          <w:spacing w:val="-2"/>
          <w:sz w:val="18"/>
        </w:rPr>
        <w:t> </w:t>
      </w:r>
      <w:r>
        <w:rPr>
          <w:sz w:val="18"/>
        </w:rPr>
        <w:t>improvement</w:t>
      </w:r>
      <w:r>
        <w:rPr>
          <w:spacing w:val="-1"/>
          <w:sz w:val="18"/>
        </w:rPr>
        <w:t> </w:t>
      </w:r>
      <w:r>
        <w:rPr>
          <w:sz w:val="18"/>
        </w:rPr>
        <w:t>compared</w:t>
      </w:r>
      <w:r>
        <w:rPr>
          <w:spacing w:val="-2"/>
          <w:sz w:val="18"/>
        </w:rPr>
        <w:t> </w:t>
      </w:r>
      <w:r>
        <w:rPr>
          <w:sz w:val="18"/>
        </w:rPr>
        <w:t>with</w:t>
      </w:r>
      <w:r>
        <w:rPr>
          <w:spacing w:val="-2"/>
          <w:sz w:val="18"/>
        </w:rPr>
        <w:t> </w:t>
      </w:r>
      <w:r>
        <w:rPr>
          <w:sz w:val="18"/>
        </w:rPr>
        <w:t>usual</w:t>
      </w:r>
      <w:r>
        <w:rPr>
          <w:spacing w:val="-1"/>
          <w:sz w:val="18"/>
        </w:rPr>
        <w:t> </w:t>
      </w:r>
      <w:r>
        <w:rPr>
          <w:sz w:val="18"/>
        </w:rPr>
        <w:t>care</w:t>
      </w:r>
    </w:p>
    <w:p>
      <w:pPr>
        <w:spacing w:before="1"/>
        <w:ind w:left="1486" w:right="6137" w:firstLine="0"/>
        <w:jc w:val="both"/>
        <w:rPr>
          <w:sz w:val="18"/>
        </w:rPr>
      </w:pPr>
      <w:r>
        <w:rPr/>
        <w:drawing>
          <wp:anchor distT="0" distB="0" distL="0" distR="0" allowOverlap="1" layoutInCell="1" locked="0" behindDoc="0" simplePos="0" relativeHeight="15867904">
            <wp:simplePos x="0" y="0"/>
            <wp:positionH relativeFrom="page">
              <wp:posOffset>920789</wp:posOffset>
            </wp:positionH>
            <wp:positionV relativeFrom="paragraph">
              <wp:posOffset>44849</wp:posOffset>
            </wp:positionV>
            <wp:extent cx="58380" cy="72151"/>
            <wp:effectExtent l="0" t="0" r="0" b="0"/>
            <wp:wrapNone/>
            <wp:docPr id="1033" name="image13.png"/>
            <wp:cNvGraphicFramePr>
              <a:graphicFrameLocks noChangeAspect="1"/>
            </wp:cNvGraphicFramePr>
            <a:graphic>
              <a:graphicData uri="http://schemas.openxmlformats.org/drawingml/2006/picture">
                <pic:pic>
                  <pic:nvPicPr>
                    <pic:cNvPr id="1034"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868416">
            <wp:simplePos x="0" y="0"/>
            <wp:positionH relativeFrom="page">
              <wp:posOffset>920789</wp:posOffset>
            </wp:positionH>
            <wp:positionV relativeFrom="paragraph">
              <wp:posOffset>185057</wp:posOffset>
            </wp:positionV>
            <wp:extent cx="58380" cy="72151"/>
            <wp:effectExtent l="0" t="0" r="0" b="0"/>
            <wp:wrapNone/>
            <wp:docPr id="1035" name="image13.png"/>
            <wp:cNvGraphicFramePr>
              <a:graphicFrameLocks noChangeAspect="1"/>
            </wp:cNvGraphicFramePr>
            <a:graphic>
              <a:graphicData uri="http://schemas.openxmlformats.org/drawingml/2006/picture">
                <pic:pic>
                  <pic:nvPicPr>
                    <pic:cNvPr id="103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4 No improvement compared with usual care</w:t>
      </w:r>
      <w:r>
        <w:rPr>
          <w:spacing w:val="-47"/>
          <w:sz w:val="18"/>
        </w:rPr>
        <w:t> </w:t>
      </w:r>
      <w:r>
        <w:rPr>
          <w:sz w:val="18"/>
        </w:rPr>
        <w:t>5</w:t>
      </w:r>
      <w:r>
        <w:rPr>
          <w:spacing w:val="1"/>
          <w:sz w:val="18"/>
        </w:rPr>
        <w:t> </w:t>
      </w:r>
      <w:r>
        <w:rPr>
          <w:sz w:val="18"/>
        </w:rPr>
        <w:t>Worse</w:t>
      </w:r>
      <w:r>
        <w:rPr>
          <w:spacing w:val="-2"/>
          <w:sz w:val="18"/>
        </w:rPr>
        <w:t> </w:t>
      </w:r>
      <w:r>
        <w:rPr>
          <w:sz w:val="18"/>
        </w:rPr>
        <w:t>quality</w:t>
      </w:r>
      <w:r>
        <w:rPr>
          <w:spacing w:val="-2"/>
          <w:sz w:val="18"/>
        </w:rPr>
        <w:t> </w:t>
      </w:r>
      <w:r>
        <w:rPr>
          <w:sz w:val="18"/>
        </w:rPr>
        <w:t>compared</w:t>
      </w:r>
      <w:r>
        <w:rPr>
          <w:spacing w:val="-1"/>
          <w:sz w:val="18"/>
        </w:rPr>
        <w:t> </w:t>
      </w:r>
      <w:r>
        <w:rPr>
          <w:sz w:val="18"/>
        </w:rPr>
        <w:t>with</w:t>
      </w:r>
      <w:r>
        <w:rPr>
          <w:spacing w:val="-1"/>
          <w:sz w:val="18"/>
        </w:rPr>
        <w:t> </w:t>
      </w:r>
      <w:r>
        <w:rPr>
          <w:sz w:val="18"/>
        </w:rPr>
        <w:t>usual</w:t>
      </w:r>
      <w:r>
        <w:rPr>
          <w:spacing w:val="-4"/>
          <w:sz w:val="18"/>
        </w:rPr>
        <w:t> </w:t>
      </w:r>
      <w:r>
        <w:rPr>
          <w:sz w:val="18"/>
        </w:rPr>
        <w:t>care</w:t>
      </w:r>
    </w:p>
    <w:p>
      <w:pPr>
        <w:spacing w:before="0"/>
        <w:ind w:left="1486" w:right="0" w:firstLine="0"/>
        <w:jc w:val="both"/>
        <w:rPr>
          <w:sz w:val="18"/>
        </w:rPr>
      </w:pPr>
      <w:r>
        <w:rPr/>
        <w:drawing>
          <wp:anchor distT="0" distB="0" distL="0" distR="0" allowOverlap="1" layoutInCell="1" locked="0" behindDoc="0" simplePos="0" relativeHeight="15868928">
            <wp:simplePos x="0" y="0"/>
            <wp:positionH relativeFrom="page">
              <wp:posOffset>920789</wp:posOffset>
            </wp:positionH>
            <wp:positionV relativeFrom="paragraph">
              <wp:posOffset>44214</wp:posOffset>
            </wp:positionV>
            <wp:extent cx="58380" cy="72151"/>
            <wp:effectExtent l="0" t="0" r="0" b="0"/>
            <wp:wrapNone/>
            <wp:docPr id="1037" name="image13.png"/>
            <wp:cNvGraphicFramePr>
              <a:graphicFrameLocks noChangeAspect="1"/>
            </wp:cNvGraphicFramePr>
            <a:graphic>
              <a:graphicData uri="http://schemas.openxmlformats.org/drawingml/2006/picture">
                <pic:pic>
                  <pic:nvPicPr>
                    <pic:cNvPr id="103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6</w:t>
      </w:r>
      <w:r>
        <w:rPr>
          <w:spacing w:val="-1"/>
          <w:sz w:val="18"/>
        </w:rPr>
        <w:t> </w:t>
      </w:r>
      <w:r>
        <w:rPr>
          <w:sz w:val="18"/>
        </w:rPr>
        <w:t>Can’t</w:t>
      </w:r>
      <w:r>
        <w:rPr>
          <w:spacing w:val="-3"/>
          <w:sz w:val="18"/>
        </w:rPr>
        <w:t> </w:t>
      </w:r>
      <w:r>
        <w:rPr>
          <w:sz w:val="18"/>
        </w:rPr>
        <w:t>say/don’t</w:t>
      </w:r>
      <w:r>
        <w:rPr>
          <w:spacing w:val="-3"/>
          <w:sz w:val="18"/>
        </w:rPr>
        <w:t> </w:t>
      </w:r>
      <w:r>
        <w:rPr>
          <w:sz w:val="18"/>
        </w:rPr>
        <w:t>know</w:t>
      </w:r>
    </w:p>
    <w:p>
      <w:pPr>
        <w:pStyle w:val="BodyText"/>
        <w:spacing w:before="12"/>
        <w:rPr>
          <w:sz w:val="22"/>
        </w:rPr>
      </w:pPr>
    </w:p>
    <w:p>
      <w:pPr>
        <w:pStyle w:val="ListParagraph"/>
        <w:numPr>
          <w:ilvl w:val="1"/>
          <w:numId w:val="82"/>
        </w:numPr>
        <w:tabs>
          <w:tab w:pos="780" w:val="left" w:leader="none"/>
        </w:tabs>
        <w:spacing w:line="240" w:lineRule="auto" w:before="0" w:after="0"/>
        <w:ind w:left="780" w:right="1077" w:hanging="360"/>
        <w:jc w:val="both"/>
        <w:rPr>
          <w:sz w:val="18"/>
        </w:rPr>
      </w:pPr>
      <w:r>
        <w:rPr>
          <w:sz w:val="18"/>
        </w:rPr>
        <w:t>Can you describe the main ways in which patient outcomes may have been </w:t>
      </w:r>
      <w:r>
        <w:rPr>
          <w:sz w:val="18"/>
          <w:u w:val="single"/>
        </w:rPr>
        <w:t>better</w:t>
      </w:r>
      <w:r>
        <w:rPr>
          <w:sz w:val="18"/>
        </w:rPr>
        <w:t> for HCH patients compared</w:t>
      </w:r>
      <w:r>
        <w:rPr>
          <w:spacing w:val="-47"/>
          <w:sz w:val="18"/>
        </w:rPr>
        <w:t> </w:t>
      </w:r>
      <w:r>
        <w:rPr>
          <w:sz w:val="18"/>
        </w:rPr>
        <w:t>with similar patients receiving usual care? Can you also describe what was the feature of the HCH program that</w:t>
      </w:r>
      <w:r>
        <w:rPr>
          <w:spacing w:val="-47"/>
          <w:sz w:val="18"/>
        </w:rPr>
        <w:t> </w:t>
      </w:r>
      <w:r>
        <w:rPr>
          <w:sz w:val="18"/>
        </w:rPr>
        <w:t>facilitated</w:t>
      </w:r>
      <w:r>
        <w:rPr>
          <w:spacing w:val="-2"/>
          <w:sz w:val="18"/>
        </w:rPr>
        <w:t> </w:t>
      </w:r>
      <w:r>
        <w:rPr>
          <w:sz w:val="18"/>
        </w:rPr>
        <w:t>this</w:t>
      </w:r>
      <w:r>
        <w:rPr>
          <w:spacing w:val="-1"/>
          <w:sz w:val="18"/>
        </w:rPr>
        <w:t> </w:t>
      </w:r>
      <w:r>
        <w:rPr>
          <w:sz w:val="18"/>
        </w:rPr>
        <w:t>relative</w:t>
      </w:r>
      <w:r>
        <w:rPr>
          <w:spacing w:val="-2"/>
          <w:sz w:val="18"/>
        </w:rPr>
        <w:t> </w:t>
      </w:r>
      <w:r>
        <w:rPr>
          <w:sz w:val="18"/>
        </w:rPr>
        <w:t>improvement</w:t>
      </w:r>
      <w:r>
        <w:rPr>
          <w:spacing w:val="-2"/>
          <w:sz w:val="18"/>
        </w:rPr>
        <w:t> </w:t>
      </w:r>
      <w:r>
        <w:rPr>
          <w:sz w:val="18"/>
        </w:rPr>
        <w:t>in outcomes?</w:t>
      </w:r>
    </w:p>
    <w:p>
      <w:pPr>
        <w:pStyle w:val="BodyText"/>
        <w:spacing w:before="4"/>
        <w:rPr>
          <w:sz w:val="16"/>
        </w:rPr>
      </w:pPr>
    </w:p>
    <w:tbl>
      <w:tblPr>
        <w:tblW w:w="0" w:type="auto"/>
        <w:jc w:val="left"/>
        <w:tblInd w:w="43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422"/>
        <w:gridCol w:w="4817"/>
        <w:gridCol w:w="4680"/>
      </w:tblGrid>
      <w:tr>
        <w:trPr>
          <w:trHeight w:val="474" w:hRule="atLeast"/>
        </w:trPr>
        <w:tc>
          <w:tcPr>
            <w:tcW w:w="422" w:type="dxa"/>
            <w:shd w:val="clear" w:color="auto" w:fill="F1F1F1"/>
          </w:tcPr>
          <w:p>
            <w:pPr>
              <w:pStyle w:val="TableParagraph"/>
              <w:spacing w:line="219" w:lineRule="exact"/>
              <w:ind w:left="107"/>
              <w:rPr>
                <w:sz w:val="18"/>
              </w:rPr>
            </w:pPr>
            <w:r>
              <w:rPr>
                <w:sz w:val="18"/>
              </w:rPr>
              <w:t>#</w:t>
            </w:r>
          </w:p>
        </w:tc>
        <w:tc>
          <w:tcPr>
            <w:tcW w:w="4817" w:type="dxa"/>
            <w:shd w:val="clear" w:color="auto" w:fill="F1F1F1"/>
          </w:tcPr>
          <w:p>
            <w:pPr>
              <w:pStyle w:val="TableParagraph"/>
              <w:ind w:left="1769" w:hanging="1505"/>
              <w:rPr>
                <w:sz w:val="18"/>
              </w:rPr>
            </w:pPr>
            <w:r>
              <w:rPr>
                <w:sz w:val="18"/>
              </w:rPr>
              <w:t>13A</w:t>
            </w:r>
            <w:r>
              <w:rPr>
                <w:spacing w:val="-12"/>
                <w:sz w:val="18"/>
              </w:rPr>
              <w:t> </w:t>
            </w:r>
            <w:r>
              <w:rPr>
                <w:sz w:val="18"/>
              </w:rPr>
              <w:t>Better</w:t>
            </w:r>
            <w:r>
              <w:rPr>
                <w:spacing w:val="-1"/>
                <w:sz w:val="18"/>
              </w:rPr>
              <w:t> </w:t>
            </w:r>
            <w:r>
              <w:rPr>
                <w:sz w:val="18"/>
              </w:rPr>
              <w:t>outcomes</w:t>
            </w:r>
            <w:r>
              <w:rPr>
                <w:spacing w:val="-3"/>
                <w:sz w:val="18"/>
              </w:rPr>
              <w:t> </w:t>
            </w:r>
            <w:r>
              <w:rPr>
                <w:sz w:val="18"/>
              </w:rPr>
              <w:t>compared</w:t>
            </w:r>
            <w:r>
              <w:rPr>
                <w:spacing w:val="-2"/>
                <w:sz w:val="18"/>
              </w:rPr>
              <w:t> </w:t>
            </w:r>
            <w:r>
              <w:rPr>
                <w:sz w:val="18"/>
              </w:rPr>
              <w:t>to</w:t>
            </w:r>
            <w:r>
              <w:rPr>
                <w:spacing w:val="-2"/>
                <w:sz w:val="18"/>
              </w:rPr>
              <w:t> </w:t>
            </w:r>
            <w:r>
              <w:rPr>
                <w:sz w:val="18"/>
              </w:rPr>
              <w:t>usual</w:t>
            </w:r>
            <w:r>
              <w:rPr>
                <w:spacing w:val="-1"/>
                <w:sz w:val="18"/>
              </w:rPr>
              <w:t> </w:t>
            </w:r>
            <w:r>
              <w:rPr>
                <w:sz w:val="18"/>
              </w:rPr>
              <w:t>care</w:t>
            </w:r>
            <w:r>
              <w:rPr>
                <w:spacing w:val="-1"/>
                <w:sz w:val="18"/>
              </w:rPr>
              <w:t> </w:t>
            </w:r>
            <w:r>
              <w:rPr>
                <w:sz w:val="18"/>
              </w:rPr>
              <w:t>for</w:t>
            </w:r>
            <w:r>
              <w:rPr>
                <w:spacing w:val="-47"/>
                <w:sz w:val="18"/>
              </w:rPr>
              <w:t> </w:t>
            </w:r>
            <w:r>
              <w:rPr>
                <w:sz w:val="18"/>
              </w:rPr>
              <w:t>similar</w:t>
            </w:r>
            <w:r>
              <w:rPr>
                <w:spacing w:val="-1"/>
                <w:sz w:val="18"/>
              </w:rPr>
              <w:t> </w:t>
            </w:r>
            <w:r>
              <w:rPr>
                <w:sz w:val="18"/>
              </w:rPr>
              <w:t>patients</w:t>
            </w:r>
          </w:p>
        </w:tc>
        <w:tc>
          <w:tcPr>
            <w:tcW w:w="4680" w:type="dxa"/>
            <w:shd w:val="clear" w:color="auto" w:fill="F1F1F1"/>
          </w:tcPr>
          <w:p>
            <w:pPr>
              <w:pStyle w:val="TableParagraph"/>
              <w:ind w:left="1753" w:right="228" w:hanging="1501"/>
              <w:rPr>
                <w:sz w:val="18"/>
              </w:rPr>
            </w:pPr>
            <w:r>
              <w:rPr>
                <w:sz w:val="18"/>
              </w:rPr>
              <w:t>13B Feature of HCH program that facilitated this</w:t>
            </w:r>
            <w:r>
              <w:rPr>
                <w:spacing w:val="-47"/>
                <w:sz w:val="18"/>
              </w:rPr>
              <w:t> </w:t>
            </w:r>
            <w:r>
              <w:rPr>
                <w:sz w:val="18"/>
              </w:rPr>
              <w:t>improvement</w:t>
            </w:r>
          </w:p>
        </w:tc>
      </w:tr>
      <w:tr>
        <w:trPr>
          <w:trHeight w:val="246" w:hRule="atLeast"/>
        </w:trPr>
        <w:tc>
          <w:tcPr>
            <w:tcW w:w="422" w:type="dxa"/>
          </w:tcPr>
          <w:p>
            <w:pPr>
              <w:pStyle w:val="TableParagraph"/>
              <w:spacing w:line="227" w:lineRule="exact"/>
              <w:ind w:left="107"/>
              <w:rPr>
                <w:sz w:val="20"/>
              </w:rPr>
            </w:pPr>
            <w:r>
              <w:rPr>
                <w:w w:val="99"/>
                <w:sz w:val="20"/>
              </w:rPr>
              <w:t>1</w:t>
            </w:r>
          </w:p>
        </w:tc>
        <w:tc>
          <w:tcPr>
            <w:tcW w:w="4817" w:type="dxa"/>
          </w:tcPr>
          <w:p>
            <w:pPr>
              <w:pStyle w:val="TableParagraph"/>
              <w:rPr>
                <w:rFonts w:ascii="Times New Roman"/>
                <w:sz w:val="16"/>
              </w:rPr>
            </w:pPr>
          </w:p>
        </w:tc>
        <w:tc>
          <w:tcPr>
            <w:tcW w:w="4680" w:type="dxa"/>
          </w:tcPr>
          <w:p>
            <w:pPr>
              <w:pStyle w:val="TableParagraph"/>
              <w:rPr>
                <w:rFonts w:ascii="Times New Roman"/>
                <w:sz w:val="16"/>
              </w:rPr>
            </w:pPr>
          </w:p>
        </w:tc>
      </w:tr>
      <w:tr>
        <w:trPr>
          <w:trHeight w:val="244" w:hRule="atLeast"/>
        </w:trPr>
        <w:tc>
          <w:tcPr>
            <w:tcW w:w="422" w:type="dxa"/>
          </w:tcPr>
          <w:p>
            <w:pPr>
              <w:pStyle w:val="TableParagraph"/>
              <w:spacing w:line="224" w:lineRule="exact"/>
              <w:ind w:left="107"/>
              <w:rPr>
                <w:sz w:val="20"/>
              </w:rPr>
            </w:pPr>
            <w:r>
              <w:rPr>
                <w:w w:val="99"/>
                <w:sz w:val="20"/>
              </w:rPr>
              <w:t>2</w:t>
            </w:r>
          </w:p>
        </w:tc>
        <w:tc>
          <w:tcPr>
            <w:tcW w:w="4817" w:type="dxa"/>
          </w:tcPr>
          <w:p>
            <w:pPr>
              <w:pStyle w:val="TableParagraph"/>
              <w:rPr>
                <w:rFonts w:ascii="Times New Roman"/>
                <w:sz w:val="16"/>
              </w:rPr>
            </w:pPr>
          </w:p>
        </w:tc>
        <w:tc>
          <w:tcPr>
            <w:tcW w:w="4680" w:type="dxa"/>
          </w:tcPr>
          <w:p>
            <w:pPr>
              <w:pStyle w:val="TableParagraph"/>
              <w:rPr>
                <w:rFonts w:ascii="Times New Roman"/>
                <w:sz w:val="16"/>
              </w:rPr>
            </w:pPr>
          </w:p>
        </w:tc>
      </w:tr>
      <w:tr>
        <w:trPr>
          <w:trHeight w:val="244" w:hRule="atLeast"/>
        </w:trPr>
        <w:tc>
          <w:tcPr>
            <w:tcW w:w="422" w:type="dxa"/>
          </w:tcPr>
          <w:p>
            <w:pPr>
              <w:pStyle w:val="TableParagraph"/>
              <w:spacing w:line="224" w:lineRule="exact"/>
              <w:ind w:left="107"/>
              <w:rPr>
                <w:sz w:val="20"/>
              </w:rPr>
            </w:pPr>
            <w:r>
              <w:rPr>
                <w:w w:val="99"/>
                <w:sz w:val="20"/>
              </w:rPr>
              <w:t>3</w:t>
            </w:r>
          </w:p>
        </w:tc>
        <w:tc>
          <w:tcPr>
            <w:tcW w:w="4817" w:type="dxa"/>
          </w:tcPr>
          <w:p>
            <w:pPr>
              <w:pStyle w:val="TableParagraph"/>
              <w:rPr>
                <w:rFonts w:ascii="Times New Roman"/>
                <w:sz w:val="16"/>
              </w:rPr>
            </w:pPr>
          </w:p>
        </w:tc>
        <w:tc>
          <w:tcPr>
            <w:tcW w:w="4680" w:type="dxa"/>
          </w:tcPr>
          <w:p>
            <w:pPr>
              <w:pStyle w:val="TableParagraph"/>
              <w:rPr>
                <w:rFonts w:ascii="Times New Roman"/>
                <w:sz w:val="16"/>
              </w:rPr>
            </w:pPr>
          </w:p>
        </w:tc>
      </w:tr>
      <w:tr>
        <w:trPr>
          <w:trHeight w:val="246" w:hRule="atLeast"/>
        </w:trPr>
        <w:tc>
          <w:tcPr>
            <w:tcW w:w="422" w:type="dxa"/>
          </w:tcPr>
          <w:p>
            <w:pPr>
              <w:pStyle w:val="TableParagraph"/>
              <w:spacing w:line="227" w:lineRule="exact"/>
              <w:ind w:left="107"/>
              <w:rPr>
                <w:sz w:val="20"/>
              </w:rPr>
            </w:pPr>
            <w:r>
              <w:rPr>
                <w:w w:val="99"/>
                <w:sz w:val="20"/>
              </w:rPr>
              <w:t>4</w:t>
            </w:r>
          </w:p>
        </w:tc>
        <w:tc>
          <w:tcPr>
            <w:tcW w:w="4817" w:type="dxa"/>
          </w:tcPr>
          <w:p>
            <w:pPr>
              <w:pStyle w:val="TableParagraph"/>
              <w:rPr>
                <w:rFonts w:ascii="Times New Roman"/>
                <w:sz w:val="16"/>
              </w:rPr>
            </w:pPr>
          </w:p>
        </w:tc>
        <w:tc>
          <w:tcPr>
            <w:tcW w:w="4680" w:type="dxa"/>
          </w:tcPr>
          <w:p>
            <w:pPr>
              <w:pStyle w:val="TableParagraph"/>
              <w:rPr>
                <w:rFonts w:ascii="Times New Roman"/>
                <w:sz w:val="16"/>
              </w:rPr>
            </w:pPr>
          </w:p>
        </w:tc>
      </w:tr>
      <w:tr>
        <w:trPr>
          <w:trHeight w:val="244" w:hRule="atLeast"/>
        </w:trPr>
        <w:tc>
          <w:tcPr>
            <w:tcW w:w="422" w:type="dxa"/>
          </w:tcPr>
          <w:p>
            <w:pPr>
              <w:pStyle w:val="TableParagraph"/>
              <w:spacing w:line="224" w:lineRule="exact"/>
              <w:ind w:left="107"/>
              <w:rPr>
                <w:sz w:val="20"/>
              </w:rPr>
            </w:pPr>
            <w:r>
              <w:rPr>
                <w:w w:val="99"/>
                <w:sz w:val="20"/>
              </w:rPr>
              <w:t>5</w:t>
            </w:r>
          </w:p>
        </w:tc>
        <w:tc>
          <w:tcPr>
            <w:tcW w:w="4817" w:type="dxa"/>
          </w:tcPr>
          <w:p>
            <w:pPr>
              <w:pStyle w:val="TableParagraph"/>
              <w:rPr>
                <w:rFonts w:ascii="Times New Roman"/>
                <w:sz w:val="16"/>
              </w:rPr>
            </w:pPr>
          </w:p>
        </w:tc>
        <w:tc>
          <w:tcPr>
            <w:tcW w:w="4680" w:type="dxa"/>
          </w:tcPr>
          <w:p>
            <w:pPr>
              <w:pStyle w:val="TableParagraph"/>
              <w:rPr>
                <w:rFonts w:ascii="Times New Roman"/>
                <w:sz w:val="16"/>
              </w:rPr>
            </w:pPr>
          </w:p>
        </w:tc>
      </w:tr>
      <w:tr>
        <w:trPr>
          <w:trHeight w:val="246" w:hRule="atLeast"/>
        </w:trPr>
        <w:tc>
          <w:tcPr>
            <w:tcW w:w="422" w:type="dxa"/>
          </w:tcPr>
          <w:p>
            <w:pPr>
              <w:pStyle w:val="TableParagraph"/>
              <w:spacing w:line="227" w:lineRule="exact"/>
              <w:ind w:left="107"/>
              <w:rPr>
                <w:sz w:val="20"/>
              </w:rPr>
            </w:pPr>
            <w:r>
              <w:rPr>
                <w:w w:val="99"/>
                <w:sz w:val="20"/>
              </w:rPr>
              <w:t>6</w:t>
            </w:r>
          </w:p>
        </w:tc>
        <w:tc>
          <w:tcPr>
            <w:tcW w:w="4817" w:type="dxa"/>
          </w:tcPr>
          <w:p>
            <w:pPr>
              <w:pStyle w:val="TableParagraph"/>
              <w:rPr>
                <w:rFonts w:ascii="Times New Roman"/>
                <w:sz w:val="16"/>
              </w:rPr>
            </w:pPr>
          </w:p>
        </w:tc>
        <w:tc>
          <w:tcPr>
            <w:tcW w:w="4680" w:type="dxa"/>
          </w:tcPr>
          <w:p>
            <w:pPr>
              <w:pStyle w:val="TableParagraph"/>
              <w:rPr>
                <w:rFonts w:ascii="Times New Roman"/>
                <w:sz w:val="16"/>
              </w:rPr>
            </w:pPr>
          </w:p>
        </w:tc>
      </w:tr>
    </w:tbl>
    <w:p>
      <w:pPr>
        <w:spacing w:after="0"/>
        <w:rPr>
          <w:rFonts w:ascii="Times New Roman"/>
          <w:sz w:val="16"/>
        </w:rPr>
        <w:sectPr>
          <w:footerReference w:type="default" r:id="rId47"/>
          <w:pgSz w:w="11910" w:h="16840"/>
          <w:pgMar w:footer="948" w:header="0" w:top="860" w:bottom="1140" w:left="300" w:right="0"/>
        </w:sectPr>
      </w:pPr>
    </w:p>
    <w:p>
      <w:pPr>
        <w:pStyle w:val="ListParagraph"/>
        <w:numPr>
          <w:ilvl w:val="1"/>
          <w:numId w:val="82"/>
        </w:numPr>
        <w:tabs>
          <w:tab w:pos="780" w:val="left" w:leader="none"/>
        </w:tabs>
        <w:spacing w:line="240" w:lineRule="auto" w:before="75" w:after="0"/>
        <w:ind w:left="780" w:right="1285" w:hanging="360"/>
        <w:jc w:val="left"/>
        <w:rPr>
          <w:sz w:val="18"/>
        </w:rPr>
      </w:pPr>
      <w:r>
        <w:rPr>
          <w:sz w:val="18"/>
        </w:rPr>
        <w:t>Can you describe the main ways, if any, in which patient outcomes may have been </w:t>
      </w:r>
      <w:r>
        <w:rPr>
          <w:sz w:val="18"/>
          <w:u w:val="single"/>
        </w:rPr>
        <w:t>worse</w:t>
      </w:r>
      <w:r>
        <w:rPr>
          <w:sz w:val="18"/>
        </w:rPr>
        <w:t> for HCH patients</w:t>
      </w:r>
      <w:r>
        <w:rPr>
          <w:spacing w:val="1"/>
          <w:sz w:val="18"/>
        </w:rPr>
        <w:t> </w:t>
      </w:r>
      <w:r>
        <w:rPr>
          <w:sz w:val="18"/>
        </w:rPr>
        <w:t>compared</w:t>
      </w:r>
      <w:r>
        <w:rPr>
          <w:spacing w:val="-3"/>
          <w:sz w:val="18"/>
        </w:rPr>
        <w:t> </w:t>
      </w:r>
      <w:r>
        <w:rPr>
          <w:sz w:val="18"/>
        </w:rPr>
        <w:t>with</w:t>
      </w:r>
      <w:r>
        <w:rPr>
          <w:spacing w:val="-3"/>
          <w:sz w:val="18"/>
        </w:rPr>
        <w:t> </w:t>
      </w:r>
      <w:r>
        <w:rPr>
          <w:sz w:val="18"/>
        </w:rPr>
        <w:t>similar</w:t>
      </w:r>
      <w:r>
        <w:rPr>
          <w:spacing w:val="-2"/>
          <w:sz w:val="18"/>
        </w:rPr>
        <w:t> </w:t>
      </w:r>
      <w:r>
        <w:rPr>
          <w:sz w:val="18"/>
        </w:rPr>
        <w:t>patients</w:t>
      </w:r>
      <w:r>
        <w:rPr>
          <w:spacing w:val="-3"/>
          <w:sz w:val="18"/>
        </w:rPr>
        <w:t> </w:t>
      </w:r>
      <w:r>
        <w:rPr>
          <w:sz w:val="18"/>
        </w:rPr>
        <w:t>receiving</w:t>
      </w:r>
      <w:r>
        <w:rPr>
          <w:spacing w:val="-4"/>
          <w:sz w:val="18"/>
        </w:rPr>
        <w:t> </w:t>
      </w:r>
      <w:r>
        <w:rPr>
          <w:sz w:val="18"/>
        </w:rPr>
        <w:t>usual</w:t>
      </w:r>
      <w:r>
        <w:rPr>
          <w:spacing w:val="-3"/>
          <w:sz w:val="18"/>
        </w:rPr>
        <w:t> </w:t>
      </w:r>
      <w:r>
        <w:rPr>
          <w:sz w:val="18"/>
        </w:rPr>
        <w:t>care</w:t>
      </w:r>
      <w:r>
        <w:rPr>
          <w:spacing w:val="-4"/>
          <w:sz w:val="18"/>
        </w:rPr>
        <w:t> </w:t>
      </w:r>
      <w:r>
        <w:rPr>
          <w:sz w:val="18"/>
        </w:rPr>
        <w:t>from</w:t>
      </w:r>
      <w:r>
        <w:rPr>
          <w:spacing w:val="-6"/>
          <w:sz w:val="18"/>
        </w:rPr>
        <w:t> </w:t>
      </w:r>
      <w:r>
        <w:rPr>
          <w:sz w:val="18"/>
        </w:rPr>
        <w:t>your</w:t>
      </w:r>
      <w:r>
        <w:rPr>
          <w:spacing w:val="-2"/>
          <w:sz w:val="18"/>
        </w:rPr>
        <w:t> </w:t>
      </w:r>
      <w:r>
        <w:rPr>
          <w:sz w:val="18"/>
        </w:rPr>
        <w:t>practice?</w:t>
      </w:r>
      <w:r>
        <w:rPr>
          <w:spacing w:val="-3"/>
          <w:sz w:val="18"/>
        </w:rPr>
        <w:t> </w:t>
      </w:r>
      <w:r>
        <w:rPr>
          <w:sz w:val="18"/>
        </w:rPr>
        <w:t>Can</w:t>
      </w:r>
      <w:r>
        <w:rPr>
          <w:spacing w:val="-4"/>
          <w:sz w:val="18"/>
        </w:rPr>
        <w:t> </w:t>
      </w:r>
      <w:r>
        <w:rPr>
          <w:sz w:val="18"/>
        </w:rPr>
        <w:t>you</w:t>
      </w:r>
      <w:r>
        <w:rPr>
          <w:spacing w:val="-4"/>
          <w:sz w:val="18"/>
        </w:rPr>
        <w:t> </w:t>
      </w:r>
      <w:r>
        <w:rPr>
          <w:sz w:val="18"/>
        </w:rPr>
        <w:t>also</w:t>
      </w:r>
      <w:r>
        <w:rPr>
          <w:spacing w:val="-3"/>
          <w:sz w:val="18"/>
        </w:rPr>
        <w:t> </w:t>
      </w:r>
      <w:r>
        <w:rPr>
          <w:sz w:val="18"/>
        </w:rPr>
        <w:t>describe,</w:t>
      </w:r>
      <w:r>
        <w:rPr>
          <w:spacing w:val="-4"/>
          <w:sz w:val="18"/>
        </w:rPr>
        <w:t> </w:t>
      </w:r>
      <w:r>
        <w:rPr>
          <w:sz w:val="18"/>
        </w:rPr>
        <w:t>what</w:t>
      </w:r>
      <w:r>
        <w:rPr>
          <w:spacing w:val="-4"/>
          <w:sz w:val="18"/>
        </w:rPr>
        <w:t> </w:t>
      </w:r>
      <w:r>
        <w:rPr>
          <w:sz w:val="18"/>
        </w:rPr>
        <w:t>was</w:t>
      </w:r>
      <w:r>
        <w:rPr>
          <w:spacing w:val="-3"/>
          <w:sz w:val="18"/>
        </w:rPr>
        <w:t> </w:t>
      </w:r>
      <w:r>
        <w:rPr>
          <w:sz w:val="18"/>
        </w:rPr>
        <w:t>the</w:t>
      </w:r>
      <w:r>
        <w:rPr>
          <w:spacing w:val="1"/>
          <w:sz w:val="18"/>
        </w:rPr>
        <w:t> </w:t>
      </w:r>
      <w:r>
        <w:rPr>
          <w:sz w:val="18"/>
        </w:rPr>
        <w:t>feature</w:t>
      </w:r>
      <w:r>
        <w:rPr>
          <w:spacing w:val="-1"/>
          <w:sz w:val="18"/>
        </w:rPr>
        <w:t> </w:t>
      </w:r>
      <w:r>
        <w:rPr>
          <w:sz w:val="18"/>
        </w:rPr>
        <w:t>of the HCH</w:t>
      </w:r>
      <w:r>
        <w:rPr>
          <w:spacing w:val="-2"/>
          <w:sz w:val="18"/>
        </w:rPr>
        <w:t> </w:t>
      </w:r>
      <w:r>
        <w:rPr>
          <w:sz w:val="18"/>
        </w:rPr>
        <w:t>program</w:t>
      </w:r>
      <w:r>
        <w:rPr>
          <w:spacing w:val="-4"/>
          <w:sz w:val="18"/>
        </w:rPr>
        <w:t> </w:t>
      </w:r>
      <w:r>
        <w:rPr>
          <w:sz w:val="18"/>
        </w:rPr>
        <w:t>that</w:t>
      </w:r>
      <w:r>
        <w:rPr>
          <w:spacing w:val="-2"/>
          <w:sz w:val="18"/>
        </w:rPr>
        <w:t> </w:t>
      </w:r>
      <w:r>
        <w:rPr>
          <w:sz w:val="18"/>
        </w:rPr>
        <w:t>contributed</w:t>
      </w:r>
      <w:r>
        <w:rPr>
          <w:spacing w:val="-1"/>
          <w:sz w:val="18"/>
        </w:rPr>
        <w:t> </w:t>
      </w:r>
      <w:r>
        <w:rPr>
          <w:sz w:val="18"/>
        </w:rPr>
        <w:t>to</w:t>
      </w:r>
      <w:r>
        <w:rPr>
          <w:spacing w:val="-1"/>
          <w:sz w:val="18"/>
        </w:rPr>
        <w:t> </w:t>
      </w:r>
      <w:r>
        <w:rPr>
          <w:sz w:val="18"/>
        </w:rPr>
        <w:t>worse outcomes?</w:t>
      </w:r>
    </w:p>
    <w:p>
      <w:pPr>
        <w:pStyle w:val="BodyText"/>
        <w:spacing w:before="5"/>
        <w:rPr>
          <w:sz w:val="16"/>
        </w:rPr>
      </w:pPr>
    </w:p>
    <w:tbl>
      <w:tblPr>
        <w:tblW w:w="0" w:type="auto"/>
        <w:jc w:val="left"/>
        <w:tblInd w:w="43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422"/>
        <w:gridCol w:w="4817"/>
        <w:gridCol w:w="4680"/>
      </w:tblGrid>
      <w:tr>
        <w:trPr>
          <w:trHeight w:val="474" w:hRule="atLeast"/>
        </w:trPr>
        <w:tc>
          <w:tcPr>
            <w:tcW w:w="422" w:type="dxa"/>
            <w:shd w:val="clear" w:color="auto" w:fill="F1F1F1"/>
          </w:tcPr>
          <w:p>
            <w:pPr>
              <w:pStyle w:val="TableParagraph"/>
              <w:spacing w:line="219" w:lineRule="exact"/>
              <w:ind w:left="107"/>
              <w:rPr>
                <w:sz w:val="18"/>
              </w:rPr>
            </w:pPr>
            <w:r>
              <w:rPr>
                <w:sz w:val="18"/>
              </w:rPr>
              <w:t>#</w:t>
            </w:r>
          </w:p>
        </w:tc>
        <w:tc>
          <w:tcPr>
            <w:tcW w:w="4817" w:type="dxa"/>
            <w:shd w:val="clear" w:color="auto" w:fill="F1F1F1"/>
          </w:tcPr>
          <w:p>
            <w:pPr>
              <w:pStyle w:val="TableParagraph"/>
              <w:ind w:left="1769" w:hanging="1469"/>
              <w:rPr>
                <w:sz w:val="18"/>
              </w:rPr>
            </w:pPr>
            <w:r>
              <w:rPr>
                <w:sz w:val="18"/>
              </w:rPr>
              <w:t>XA</w:t>
            </w:r>
            <w:r>
              <w:rPr>
                <w:spacing w:val="-6"/>
                <w:sz w:val="18"/>
              </w:rPr>
              <w:t> </w:t>
            </w:r>
            <w:r>
              <w:rPr>
                <w:sz w:val="18"/>
              </w:rPr>
              <w:t>Worse</w:t>
            </w:r>
            <w:r>
              <w:rPr>
                <w:spacing w:val="-2"/>
                <w:sz w:val="18"/>
              </w:rPr>
              <w:t> </w:t>
            </w:r>
            <w:r>
              <w:rPr>
                <w:sz w:val="18"/>
              </w:rPr>
              <w:t>outcomes</w:t>
            </w:r>
            <w:r>
              <w:rPr>
                <w:spacing w:val="-2"/>
                <w:sz w:val="18"/>
              </w:rPr>
              <w:t> </w:t>
            </w:r>
            <w:r>
              <w:rPr>
                <w:sz w:val="18"/>
              </w:rPr>
              <w:t>compared</w:t>
            </w:r>
            <w:r>
              <w:rPr>
                <w:spacing w:val="-3"/>
                <w:sz w:val="18"/>
              </w:rPr>
              <w:t> </w:t>
            </w:r>
            <w:r>
              <w:rPr>
                <w:sz w:val="18"/>
              </w:rPr>
              <w:t>to</w:t>
            </w:r>
            <w:r>
              <w:rPr>
                <w:spacing w:val="-3"/>
                <w:sz w:val="18"/>
              </w:rPr>
              <w:t> </w:t>
            </w:r>
            <w:r>
              <w:rPr>
                <w:sz w:val="18"/>
              </w:rPr>
              <w:t>usual</w:t>
            </w:r>
            <w:r>
              <w:rPr>
                <w:spacing w:val="-1"/>
                <w:sz w:val="18"/>
              </w:rPr>
              <w:t> </w:t>
            </w:r>
            <w:r>
              <w:rPr>
                <w:sz w:val="18"/>
              </w:rPr>
              <w:t>care</w:t>
            </w:r>
            <w:r>
              <w:rPr>
                <w:spacing w:val="-4"/>
                <w:sz w:val="18"/>
              </w:rPr>
              <w:t> </w:t>
            </w:r>
            <w:r>
              <w:rPr>
                <w:sz w:val="18"/>
              </w:rPr>
              <w:t>for</w:t>
            </w:r>
            <w:r>
              <w:rPr>
                <w:spacing w:val="-47"/>
                <w:sz w:val="18"/>
              </w:rPr>
              <w:t> </w:t>
            </w:r>
            <w:r>
              <w:rPr>
                <w:sz w:val="18"/>
              </w:rPr>
              <w:t>similar</w:t>
            </w:r>
            <w:r>
              <w:rPr>
                <w:spacing w:val="-1"/>
                <w:sz w:val="18"/>
              </w:rPr>
              <w:t> </w:t>
            </w:r>
            <w:r>
              <w:rPr>
                <w:sz w:val="18"/>
              </w:rPr>
              <w:t>patients</w:t>
            </w:r>
          </w:p>
        </w:tc>
        <w:tc>
          <w:tcPr>
            <w:tcW w:w="4680" w:type="dxa"/>
            <w:shd w:val="clear" w:color="auto" w:fill="F1F1F1"/>
          </w:tcPr>
          <w:p>
            <w:pPr>
              <w:pStyle w:val="TableParagraph"/>
              <w:ind w:left="1621" w:right="268" w:hanging="1342"/>
              <w:rPr>
                <w:sz w:val="18"/>
              </w:rPr>
            </w:pPr>
            <w:r>
              <w:rPr>
                <w:sz w:val="18"/>
              </w:rPr>
              <w:t>XB</w:t>
            </w:r>
            <w:r>
              <w:rPr>
                <w:spacing w:val="-3"/>
                <w:sz w:val="18"/>
              </w:rPr>
              <w:t> </w:t>
            </w:r>
            <w:r>
              <w:rPr>
                <w:sz w:val="18"/>
              </w:rPr>
              <w:t>Feature</w:t>
            </w:r>
            <w:r>
              <w:rPr>
                <w:spacing w:val="-2"/>
                <w:sz w:val="18"/>
              </w:rPr>
              <w:t> </w:t>
            </w:r>
            <w:r>
              <w:rPr>
                <w:sz w:val="18"/>
              </w:rPr>
              <w:t>of</w:t>
            </w:r>
            <w:r>
              <w:rPr>
                <w:spacing w:val="-3"/>
                <w:sz w:val="18"/>
              </w:rPr>
              <w:t> </w:t>
            </w:r>
            <w:r>
              <w:rPr>
                <w:sz w:val="18"/>
              </w:rPr>
              <w:t>HCH</w:t>
            </w:r>
            <w:r>
              <w:rPr>
                <w:spacing w:val="-2"/>
                <w:sz w:val="18"/>
              </w:rPr>
              <w:t> </w:t>
            </w:r>
            <w:r>
              <w:rPr>
                <w:sz w:val="18"/>
              </w:rPr>
              <w:t>program</w:t>
            </w:r>
            <w:r>
              <w:rPr>
                <w:spacing w:val="-3"/>
                <w:sz w:val="18"/>
              </w:rPr>
              <w:t> </w:t>
            </w:r>
            <w:r>
              <w:rPr>
                <w:sz w:val="18"/>
              </w:rPr>
              <w:t>that</w:t>
            </w:r>
            <w:r>
              <w:rPr>
                <w:spacing w:val="-3"/>
                <w:sz w:val="18"/>
              </w:rPr>
              <w:t> </w:t>
            </w:r>
            <w:r>
              <w:rPr>
                <w:sz w:val="18"/>
              </w:rPr>
              <w:t>contributed</w:t>
            </w:r>
            <w:r>
              <w:rPr>
                <w:spacing w:val="-3"/>
                <w:sz w:val="18"/>
              </w:rPr>
              <w:t> </w:t>
            </w:r>
            <w:r>
              <w:rPr>
                <w:sz w:val="18"/>
              </w:rPr>
              <w:t>to</w:t>
            </w:r>
            <w:r>
              <w:rPr>
                <w:spacing w:val="-47"/>
                <w:sz w:val="18"/>
              </w:rPr>
              <w:t> </w:t>
            </w:r>
            <w:r>
              <w:rPr>
                <w:sz w:val="18"/>
              </w:rPr>
              <w:t>worse</w:t>
            </w:r>
            <w:r>
              <w:rPr>
                <w:spacing w:val="-1"/>
                <w:sz w:val="18"/>
              </w:rPr>
              <w:t> </w:t>
            </w:r>
            <w:r>
              <w:rPr>
                <w:sz w:val="18"/>
              </w:rPr>
              <w:t>outcomes</w:t>
            </w:r>
          </w:p>
        </w:tc>
      </w:tr>
      <w:tr>
        <w:trPr>
          <w:trHeight w:val="246" w:hRule="atLeast"/>
        </w:trPr>
        <w:tc>
          <w:tcPr>
            <w:tcW w:w="422" w:type="dxa"/>
          </w:tcPr>
          <w:p>
            <w:pPr>
              <w:pStyle w:val="TableParagraph"/>
              <w:spacing w:line="227" w:lineRule="exact"/>
              <w:ind w:left="107"/>
              <w:rPr>
                <w:sz w:val="20"/>
              </w:rPr>
            </w:pPr>
            <w:r>
              <w:rPr>
                <w:w w:val="99"/>
                <w:sz w:val="20"/>
              </w:rPr>
              <w:t>1</w:t>
            </w:r>
          </w:p>
        </w:tc>
        <w:tc>
          <w:tcPr>
            <w:tcW w:w="4817" w:type="dxa"/>
          </w:tcPr>
          <w:p>
            <w:pPr>
              <w:pStyle w:val="TableParagraph"/>
              <w:rPr>
                <w:rFonts w:ascii="Times New Roman"/>
                <w:sz w:val="16"/>
              </w:rPr>
            </w:pPr>
          </w:p>
        </w:tc>
        <w:tc>
          <w:tcPr>
            <w:tcW w:w="4680" w:type="dxa"/>
          </w:tcPr>
          <w:p>
            <w:pPr>
              <w:pStyle w:val="TableParagraph"/>
              <w:rPr>
                <w:rFonts w:ascii="Times New Roman"/>
                <w:sz w:val="16"/>
              </w:rPr>
            </w:pPr>
          </w:p>
        </w:tc>
      </w:tr>
      <w:tr>
        <w:trPr>
          <w:trHeight w:val="244" w:hRule="atLeast"/>
        </w:trPr>
        <w:tc>
          <w:tcPr>
            <w:tcW w:w="422" w:type="dxa"/>
          </w:tcPr>
          <w:p>
            <w:pPr>
              <w:pStyle w:val="TableParagraph"/>
              <w:spacing w:line="224" w:lineRule="exact"/>
              <w:ind w:left="107"/>
              <w:rPr>
                <w:sz w:val="20"/>
              </w:rPr>
            </w:pPr>
            <w:r>
              <w:rPr>
                <w:w w:val="99"/>
                <w:sz w:val="20"/>
              </w:rPr>
              <w:t>2</w:t>
            </w:r>
          </w:p>
        </w:tc>
        <w:tc>
          <w:tcPr>
            <w:tcW w:w="4817" w:type="dxa"/>
          </w:tcPr>
          <w:p>
            <w:pPr>
              <w:pStyle w:val="TableParagraph"/>
              <w:rPr>
                <w:rFonts w:ascii="Times New Roman"/>
                <w:sz w:val="16"/>
              </w:rPr>
            </w:pPr>
          </w:p>
        </w:tc>
        <w:tc>
          <w:tcPr>
            <w:tcW w:w="4680" w:type="dxa"/>
          </w:tcPr>
          <w:p>
            <w:pPr>
              <w:pStyle w:val="TableParagraph"/>
              <w:rPr>
                <w:rFonts w:ascii="Times New Roman"/>
                <w:sz w:val="16"/>
              </w:rPr>
            </w:pPr>
          </w:p>
        </w:tc>
      </w:tr>
      <w:tr>
        <w:trPr>
          <w:trHeight w:val="244" w:hRule="atLeast"/>
        </w:trPr>
        <w:tc>
          <w:tcPr>
            <w:tcW w:w="422" w:type="dxa"/>
          </w:tcPr>
          <w:p>
            <w:pPr>
              <w:pStyle w:val="TableParagraph"/>
              <w:spacing w:line="224" w:lineRule="exact"/>
              <w:ind w:left="107"/>
              <w:rPr>
                <w:sz w:val="20"/>
              </w:rPr>
            </w:pPr>
            <w:r>
              <w:rPr>
                <w:w w:val="99"/>
                <w:sz w:val="20"/>
              </w:rPr>
              <w:t>3</w:t>
            </w:r>
          </w:p>
        </w:tc>
        <w:tc>
          <w:tcPr>
            <w:tcW w:w="4817" w:type="dxa"/>
          </w:tcPr>
          <w:p>
            <w:pPr>
              <w:pStyle w:val="TableParagraph"/>
              <w:rPr>
                <w:rFonts w:ascii="Times New Roman"/>
                <w:sz w:val="16"/>
              </w:rPr>
            </w:pPr>
          </w:p>
        </w:tc>
        <w:tc>
          <w:tcPr>
            <w:tcW w:w="4680" w:type="dxa"/>
          </w:tcPr>
          <w:p>
            <w:pPr>
              <w:pStyle w:val="TableParagraph"/>
              <w:rPr>
                <w:rFonts w:ascii="Times New Roman"/>
                <w:sz w:val="16"/>
              </w:rPr>
            </w:pPr>
          </w:p>
        </w:tc>
      </w:tr>
      <w:tr>
        <w:trPr>
          <w:trHeight w:val="246" w:hRule="atLeast"/>
        </w:trPr>
        <w:tc>
          <w:tcPr>
            <w:tcW w:w="422" w:type="dxa"/>
          </w:tcPr>
          <w:p>
            <w:pPr>
              <w:pStyle w:val="TableParagraph"/>
              <w:spacing w:line="227" w:lineRule="exact"/>
              <w:ind w:left="107"/>
              <w:rPr>
                <w:sz w:val="20"/>
              </w:rPr>
            </w:pPr>
            <w:r>
              <w:rPr>
                <w:w w:val="99"/>
                <w:sz w:val="20"/>
              </w:rPr>
              <w:t>4</w:t>
            </w:r>
          </w:p>
        </w:tc>
        <w:tc>
          <w:tcPr>
            <w:tcW w:w="4817" w:type="dxa"/>
          </w:tcPr>
          <w:p>
            <w:pPr>
              <w:pStyle w:val="TableParagraph"/>
              <w:rPr>
                <w:rFonts w:ascii="Times New Roman"/>
                <w:sz w:val="16"/>
              </w:rPr>
            </w:pPr>
          </w:p>
        </w:tc>
        <w:tc>
          <w:tcPr>
            <w:tcW w:w="4680" w:type="dxa"/>
          </w:tcPr>
          <w:p>
            <w:pPr>
              <w:pStyle w:val="TableParagraph"/>
              <w:rPr>
                <w:rFonts w:ascii="Times New Roman"/>
                <w:sz w:val="16"/>
              </w:rPr>
            </w:pPr>
          </w:p>
        </w:tc>
      </w:tr>
      <w:tr>
        <w:trPr>
          <w:trHeight w:val="244" w:hRule="atLeast"/>
        </w:trPr>
        <w:tc>
          <w:tcPr>
            <w:tcW w:w="422" w:type="dxa"/>
          </w:tcPr>
          <w:p>
            <w:pPr>
              <w:pStyle w:val="TableParagraph"/>
              <w:spacing w:line="224" w:lineRule="exact"/>
              <w:ind w:left="107"/>
              <w:rPr>
                <w:sz w:val="20"/>
              </w:rPr>
            </w:pPr>
            <w:r>
              <w:rPr>
                <w:w w:val="99"/>
                <w:sz w:val="20"/>
              </w:rPr>
              <w:t>5</w:t>
            </w:r>
          </w:p>
        </w:tc>
        <w:tc>
          <w:tcPr>
            <w:tcW w:w="4817" w:type="dxa"/>
          </w:tcPr>
          <w:p>
            <w:pPr>
              <w:pStyle w:val="TableParagraph"/>
              <w:rPr>
                <w:rFonts w:ascii="Times New Roman"/>
                <w:sz w:val="16"/>
              </w:rPr>
            </w:pPr>
          </w:p>
        </w:tc>
        <w:tc>
          <w:tcPr>
            <w:tcW w:w="4680" w:type="dxa"/>
          </w:tcPr>
          <w:p>
            <w:pPr>
              <w:pStyle w:val="TableParagraph"/>
              <w:rPr>
                <w:rFonts w:ascii="Times New Roman"/>
                <w:sz w:val="16"/>
              </w:rPr>
            </w:pPr>
          </w:p>
        </w:tc>
      </w:tr>
      <w:tr>
        <w:trPr>
          <w:trHeight w:val="244" w:hRule="atLeast"/>
        </w:trPr>
        <w:tc>
          <w:tcPr>
            <w:tcW w:w="422" w:type="dxa"/>
          </w:tcPr>
          <w:p>
            <w:pPr>
              <w:pStyle w:val="TableParagraph"/>
              <w:spacing w:line="224" w:lineRule="exact"/>
              <w:ind w:left="107"/>
              <w:rPr>
                <w:sz w:val="20"/>
              </w:rPr>
            </w:pPr>
            <w:r>
              <w:rPr>
                <w:w w:val="99"/>
                <w:sz w:val="20"/>
              </w:rPr>
              <w:t>6</w:t>
            </w:r>
          </w:p>
        </w:tc>
        <w:tc>
          <w:tcPr>
            <w:tcW w:w="4817" w:type="dxa"/>
          </w:tcPr>
          <w:p>
            <w:pPr>
              <w:pStyle w:val="TableParagraph"/>
              <w:rPr>
                <w:rFonts w:ascii="Times New Roman"/>
                <w:sz w:val="16"/>
              </w:rPr>
            </w:pPr>
          </w:p>
        </w:tc>
        <w:tc>
          <w:tcPr>
            <w:tcW w:w="4680" w:type="dxa"/>
          </w:tcPr>
          <w:p>
            <w:pPr>
              <w:pStyle w:val="TableParagraph"/>
              <w:rPr>
                <w:rFonts w:ascii="Times New Roman"/>
                <w:sz w:val="16"/>
              </w:rPr>
            </w:pPr>
          </w:p>
        </w:tc>
      </w:tr>
    </w:tbl>
    <w:p>
      <w:pPr>
        <w:pStyle w:val="BodyText"/>
        <w:spacing w:before="2"/>
        <w:rPr>
          <w:sz w:val="18"/>
        </w:rPr>
      </w:pPr>
    </w:p>
    <w:p>
      <w:pPr>
        <w:pStyle w:val="ListParagraph"/>
        <w:numPr>
          <w:ilvl w:val="1"/>
          <w:numId w:val="82"/>
        </w:numPr>
        <w:tabs>
          <w:tab w:pos="780" w:val="left" w:leader="none"/>
        </w:tabs>
        <w:spacing w:line="240" w:lineRule="auto" w:before="0" w:after="0"/>
        <w:ind w:left="780" w:right="1031" w:hanging="360"/>
        <w:jc w:val="left"/>
        <w:rPr>
          <w:sz w:val="18"/>
        </w:rPr>
      </w:pPr>
      <w:r>
        <w:rPr>
          <w:sz w:val="18"/>
        </w:rPr>
        <w:t>In your assessment, what has been the overall impact of HCH on the outcomes for HCH patients, compared with</w:t>
      </w:r>
      <w:r>
        <w:rPr>
          <w:spacing w:val="-47"/>
          <w:sz w:val="18"/>
        </w:rPr>
        <w:t> </w:t>
      </w:r>
      <w:r>
        <w:rPr>
          <w:sz w:val="18"/>
        </w:rPr>
        <w:t>outcomes</w:t>
      </w:r>
      <w:r>
        <w:rPr>
          <w:spacing w:val="-2"/>
          <w:sz w:val="18"/>
        </w:rPr>
        <w:t> </w:t>
      </w:r>
      <w:r>
        <w:rPr>
          <w:sz w:val="18"/>
        </w:rPr>
        <w:t>that</w:t>
      </w:r>
      <w:r>
        <w:rPr>
          <w:spacing w:val="-2"/>
          <w:sz w:val="18"/>
        </w:rPr>
        <w:t> </w:t>
      </w:r>
      <w:r>
        <w:rPr>
          <w:sz w:val="18"/>
        </w:rPr>
        <w:t>would</w:t>
      </w:r>
      <w:r>
        <w:rPr>
          <w:spacing w:val="-1"/>
          <w:sz w:val="18"/>
        </w:rPr>
        <w:t> </w:t>
      </w:r>
      <w:r>
        <w:rPr>
          <w:sz w:val="18"/>
        </w:rPr>
        <w:t>occur</w:t>
      </w:r>
      <w:r>
        <w:rPr>
          <w:spacing w:val="-2"/>
          <w:sz w:val="18"/>
        </w:rPr>
        <w:t> </w:t>
      </w:r>
      <w:r>
        <w:rPr>
          <w:sz w:val="18"/>
        </w:rPr>
        <w:t>under</w:t>
      </w:r>
      <w:r>
        <w:rPr>
          <w:spacing w:val="-1"/>
          <w:sz w:val="18"/>
        </w:rPr>
        <w:t> </w:t>
      </w:r>
      <w:r>
        <w:rPr>
          <w:sz w:val="18"/>
        </w:rPr>
        <w:t>usual</w:t>
      </w:r>
      <w:r>
        <w:rPr>
          <w:spacing w:val="-3"/>
          <w:sz w:val="18"/>
        </w:rPr>
        <w:t> </w:t>
      </w:r>
      <w:r>
        <w:rPr>
          <w:sz w:val="18"/>
        </w:rPr>
        <w:t>care</w:t>
      </w:r>
      <w:r>
        <w:rPr>
          <w:spacing w:val="3"/>
          <w:sz w:val="18"/>
        </w:rPr>
        <w:t> </w:t>
      </w:r>
      <w:r>
        <w:rPr>
          <w:sz w:val="18"/>
        </w:rPr>
        <w:t>for similar</w:t>
      </w:r>
      <w:r>
        <w:rPr>
          <w:spacing w:val="-1"/>
          <w:sz w:val="18"/>
        </w:rPr>
        <w:t> </w:t>
      </w:r>
      <w:r>
        <w:rPr>
          <w:sz w:val="18"/>
        </w:rPr>
        <w:t>patients?</w:t>
      </w:r>
    </w:p>
    <w:p>
      <w:pPr>
        <w:pStyle w:val="BodyText"/>
        <w:spacing w:before="6"/>
        <w:rPr>
          <w:sz w:val="16"/>
        </w:rPr>
      </w:pPr>
    </w:p>
    <w:p>
      <w:pPr>
        <w:spacing w:before="0"/>
        <w:ind w:left="1486" w:right="5492" w:firstLine="0"/>
        <w:jc w:val="both"/>
        <w:rPr>
          <w:sz w:val="18"/>
        </w:rPr>
      </w:pPr>
      <w:r>
        <w:rPr/>
        <w:drawing>
          <wp:anchor distT="0" distB="0" distL="0" distR="0" allowOverlap="1" layoutInCell="1" locked="0" behindDoc="0" simplePos="0" relativeHeight="15869440">
            <wp:simplePos x="0" y="0"/>
            <wp:positionH relativeFrom="page">
              <wp:posOffset>922313</wp:posOffset>
            </wp:positionH>
            <wp:positionV relativeFrom="paragraph">
              <wp:posOffset>44850</wp:posOffset>
            </wp:positionV>
            <wp:extent cx="58380" cy="72151"/>
            <wp:effectExtent l="0" t="0" r="0" b="0"/>
            <wp:wrapNone/>
            <wp:docPr id="1039" name="image13.png"/>
            <wp:cNvGraphicFramePr>
              <a:graphicFrameLocks noChangeAspect="1"/>
            </wp:cNvGraphicFramePr>
            <a:graphic>
              <a:graphicData uri="http://schemas.openxmlformats.org/drawingml/2006/picture">
                <pic:pic>
                  <pic:nvPicPr>
                    <pic:cNvPr id="1040"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869952">
            <wp:simplePos x="0" y="0"/>
            <wp:positionH relativeFrom="page">
              <wp:posOffset>922313</wp:posOffset>
            </wp:positionH>
            <wp:positionV relativeFrom="paragraph">
              <wp:posOffset>185058</wp:posOffset>
            </wp:positionV>
            <wp:extent cx="58380" cy="72151"/>
            <wp:effectExtent l="0" t="0" r="0" b="0"/>
            <wp:wrapNone/>
            <wp:docPr id="1041" name="image13.png"/>
            <wp:cNvGraphicFramePr>
              <a:graphicFrameLocks noChangeAspect="1"/>
            </wp:cNvGraphicFramePr>
            <a:graphic>
              <a:graphicData uri="http://schemas.openxmlformats.org/drawingml/2006/picture">
                <pic:pic>
                  <pic:nvPicPr>
                    <pic:cNvPr id="1042"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870464">
            <wp:simplePos x="0" y="0"/>
            <wp:positionH relativeFrom="page">
              <wp:posOffset>922313</wp:posOffset>
            </wp:positionH>
            <wp:positionV relativeFrom="paragraph">
              <wp:posOffset>325264</wp:posOffset>
            </wp:positionV>
            <wp:extent cx="58380" cy="72153"/>
            <wp:effectExtent l="0" t="0" r="0" b="0"/>
            <wp:wrapNone/>
            <wp:docPr id="1043" name="image13.png"/>
            <wp:cNvGraphicFramePr>
              <a:graphicFrameLocks noChangeAspect="1"/>
            </wp:cNvGraphicFramePr>
            <a:graphic>
              <a:graphicData uri="http://schemas.openxmlformats.org/drawingml/2006/picture">
                <pic:pic>
                  <pic:nvPicPr>
                    <pic:cNvPr id="1044" name="image13.png"/>
                    <pic:cNvPicPr/>
                  </pic:nvPicPr>
                  <pic:blipFill>
                    <a:blip r:embed="rId41" cstate="print"/>
                    <a:stretch>
                      <a:fillRect/>
                    </a:stretch>
                  </pic:blipFill>
                  <pic:spPr>
                    <a:xfrm>
                      <a:off x="0" y="0"/>
                      <a:ext cx="58380" cy="72153"/>
                    </a:xfrm>
                    <a:prstGeom prst="rect">
                      <a:avLst/>
                    </a:prstGeom>
                  </pic:spPr>
                </pic:pic>
              </a:graphicData>
            </a:graphic>
          </wp:anchor>
        </w:drawing>
      </w:r>
      <w:r>
        <w:rPr>
          <w:sz w:val="18"/>
        </w:rPr>
        <w:t>1 Significant improvement compared with usual care</w:t>
      </w:r>
      <w:r>
        <w:rPr>
          <w:spacing w:val="-47"/>
          <w:sz w:val="18"/>
        </w:rPr>
        <w:t> </w:t>
      </w:r>
      <w:r>
        <w:rPr>
          <w:sz w:val="18"/>
        </w:rPr>
        <w:t>2 Moderate improvement compared with usual care</w:t>
      </w:r>
      <w:r>
        <w:rPr>
          <w:spacing w:val="-47"/>
          <w:sz w:val="18"/>
        </w:rPr>
        <w:t> </w:t>
      </w:r>
      <w:r>
        <w:rPr>
          <w:sz w:val="18"/>
        </w:rPr>
        <w:t>3</w:t>
      </w:r>
      <w:r>
        <w:rPr>
          <w:spacing w:val="-2"/>
          <w:sz w:val="18"/>
        </w:rPr>
        <w:t> </w:t>
      </w:r>
      <w:r>
        <w:rPr>
          <w:sz w:val="18"/>
        </w:rPr>
        <w:t>Small</w:t>
      </w:r>
      <w:r>
        <w:rPr>
          <w:spacing w:val="-2"/>
          <w:sz w:val="18"/>
        </w:rPr>
        <w:t> </w:t>
      </w:r>
      <w:r>
        <w:rPr>
          <w:sz w:val="18"/>
        </w:rPr>
        <w:t>improvement</w:t>
      </w:r>
      <w:r>
        <w:rPr>
          <w:spacing w:val="-1"/>
          <w:sz w:val="18"/>
        </w:rPr>
        <w:t> </w:t>
      </w:r>
      <w:r>
        <w:rPr>
          <w:sz w:val="18"/>
        </w:rPr>
        <w:t>compared</w:t>
      </w:r>
      <w:r>
        <w:rPr>
          <w:spacing w:val="-2"/>
          <w:sz w:val="18"/>
        </w:rPr>
        <w:t> </w:t>
      </w:r>
      <w:r>
        <w:rPr>
          <w:sz w:val="18"/>
        </w:rPr>
        <w:t>with</w:t>
      </w:r>
      <w:r>
        <w:rPr>
          <w:spacing w:val="-1"/>
          <w:sz w:val="18"/>
        </w:rPr>
        <w:t> </w:t>
      </w:r>
      <w:r>
        <w:rPr>
          <w:sz w:val="18"/>
        </w:rPr>
        <w:t>usual</w:t>
      </w:r>
      <w:r>
        <w:rPr>
          <w:spacing w:val="-1"/>
          <w:sz w:val="18"/>
        </w:rPr>
        <w:t> </w:t>
      </w:r>
      <w:r>
        <w:rPr>
          <w:sz w:val="18"/>
        </w:rPr>
        <w:t>care</w:t>
      </w:r>
    </w:p>
    <w:p>
      <w:pPr>
        <w:spacing w:line="240" w:lineRule="auto" w:before="1"/>
        <w:ind w:left="1486" w:right="6137" w:firstLine="0"/>
        <w:jc w:val="both"/>
        <w:rPr>
          <w:sz w:val="18"/>
        </w:rPr>
      </w:pPr>
      <w:r>
        <w:rPr/>
        <w:drawing>
          <wp:anchor distT="0" distB="0" distL="0" distR="0" allowOverlap="1" layoutInCell="1" locked="0" behindDoc="0" simplePos="0" relativeHeight="15870976">
            <wp:simplePos x="0" y="0"/>
            <wp:positionH relativeFrom="page">
              <wp:posOffset>920789</wp:posOffset>
            </wp:positionH>
            <wp:positionV relativeFrom="paragraph">
              <wp:posOffset>45104</wp:posOffset>
            </wp:positionV>
            <wp:extent cx="58380" cy="72150"/>
            <wp:effectExtent l="0" t="0" r="0" b="0"/>
            <wp:wrapNone/>
            <wp:docPr id="1045" name="image13.png"/>
            <wp:cNvGraphicFramePr>
              <a:graphicFrameLocks noChangeAspect="1"/>
            </wp:cNvGraphicFramePr>
            <a:graphic>
              <a:graphicData uri="http://schemas.openxmlformats.org/drawingml/2006/picture">
                <pic:pic>
                  <pic:nvPicPr>
                    <pic:cNvPr id="1046" name="image13.png"/>
                    <pic:cNvPicPr/>
                  </pic:nvPicPr>
                  <pic:blipFill>
                    <a:blip r:embed="rId41" cstate="print"/>
                    <a:stretch>
                      <a:fillRect/>
                    </a:stretch>
                  </pic:blipFill>
                  <pic:spPr>
                    <a:xfrm>
                      <a:off x="0" y="0"/>
                      <a:ext cx="58380" cy="72150"/>
                    </a:xfrm>
                    <a:prstGeom prst="rect">
                      <a:avLst/>
                    </a:prstGeom>
                  </pic:spPr>
                </pic:pic>
              </a:graphicData>
            </a:graphic>
          </wp:anchor>
        </w:drawing>
      </w:r>
      <w:r>
        <w:rPr/>
        <w:drawing>
          <wp:anchor distT="0" distB="0" distL="0" distR="0" allowOverlap="1" layoutInCell="1" locked="0" behindDoc="0" simplePos="0" relativeHeight="15871488">
            <wp:simplePos x="0" y="0"/>
            <wp:positionH relativeFrom="page">
              <wp:posOffset>922313</wp:posOffset>
            </wp:positionH>
            <wp:positionV relativeFrom="paragraph">
              <wp:posOffset>183787</wp:posOffset>
            </wp:positionV>
            <wp:extent cx="58380" cy="72151"/>
            <wp:effectExtent l="0" t="0" r="0" b="0"/>
            <wp:wrapNone/>
            <wp:docPr id="1047" name="image13.png"/>
            <wp:cNvGraphicFramePr>
              <a:graphicFrameLocks noChangeAspect="1"/>
            </wp:cNvGraphicFramePr>
            <a:graphic>
              <a:graphicData uri="http://schemas.openxmlformats.org/drawingml/2006/picture">
                <pic:pic>
                  <pic:nvPicPr>
                    <pic:cNvPr id="1048"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872000">
            <wp:simplePos x="0" y="0"/>
            <wp:positionH relativeFrom="page">
              <wp:posOffset>922313</wp:posOffset>
            </wp:positionH>
            <wp:positionV relativeFrom="paragraph">
              <wp:posOffset>323994</wp:posOffset>
            </wp:positionV>
            <wp:extent cx="58380" cy="72153"/>
            <wp:effectExtent l="0" t="0" r="0" b="0"/>
            <wp:wrapNone/>
            <wp:docPr id="1049" name="image13.png"/>
            <wp:cNvGraphicFramePr>
              <a:graphicFrameLocks noChangeAspect="1"/>
            </wp:cNvGraphicFramePr>
            <a:graphic>
              <a:graphicData uri="http://schemas.openxmlformats.org/drawingml/2006/picture">
                <pic:pic>
                  <pic:nvPicPr>
                    <pic:cNvPr id="1050" name="image13.png"/>
                    <pic:cNvPicPr/>
                  </pic:nvPicPr>
                  <pic:blipFill>
                    <a:blip r:embed="rId41" cstate="print"/>
                    <a:stretch>
                      <a:fillRect/>
                    </a:stretch>
                  </pic:blipFill>
                  <pic:spPr>
                    <a:xfrm>
                      <a:off x="0" y="0"/>
                      <a:ext cx="58380" cy="72153"/>
                    </a:xfrm>
                    <a:prstGeom prst="rect">
                      <a:avLst/>
                    </a:prstGeom>
                  </pic:spPr>
                </pic:pic>
              </a:graphicData>
            </a:graphic>
          </wp:anchor>
        </w:drawing>
      </w:r>
      <w:r>
        <w:rPr>
          <w:sz w:val="18"/>
        </w:rPr>
        <w:t>4 No improvement compared with usual care</w:t>
      </w:r>
      <w:r>
        <w:rPr>
          <w:spacing w:val="-47"/>
          <w:sz w:val="18"/>
        </w:rPr>
        <w:t> </w:t>
      </w:r>
      <w:r>
        <w:rPr>
          <w:sz w:val="18"/>
        </w:rPr>
        <w:t>5 Worse outcomes compared with usual care</w:t>
      </w:r>
      <w:r>
        <w:rPr>
          <w:spacing w:val="-47"/>
          <w:sz w:val="18"/>
        </w:rPr>
        <w:t> </w:t>
      </w:r>
      <w:r>
        <w:rPr>
          <w:sz w:val="18"/>
        </w:rPr>
        <w:t>5</w:t>
      </w:r>
      <w:r>
        <w:rPr>
          <w:spacing w:val="-1"/>
          <w:sz w:val="18"/>
        </w:rPr>
        <w:t> </w:t>
      </w:r>
      <w:r>
        <w:rPr>
          <w:sz w:val="18"/>
        </w:rPr>
        <w:t>Can’t</w:t>
      </w:r>
      <w:r>
        <w:rPr>
          <w:spacing w:val="-2"/>
          <w:sz w:val="18"/>
        </w:rPr>
        <w:t> </w:t>
      </w:r>
      <w:r>
        <w:rPr>
          <w:sz w:val="18"/>
        </w:rPr>
        <w:t>say/don’t</w:t>
      </w:r>
      <w:r>
        <w:rPr>
          <w:spacing w:val="-2"/>
          <w:sz w:val="18"/>
        </w:rPr>
        <w:t> </w:t>
      </w:r>
      <w:r>
        <w:rPr>
          <w:sz w:val="18"/>
        </w:rPr>
        <w:t>know</w:t>
      </w:r>
    </w:p>
    <w:p>
      <w:pPr>
        <w:pStyle w:val="BodyText"/>
        <w:spacing w:before="9"/>
        <w:rPr>
          <w:sz w:val="22"/>
        </w:rPr>
      </w:pPr>
    </w:p>
    <w:p>
      <w:pPr>
        <w:pStyle w:val="ListParagraph"/>
        <w:numPr>
          <w:ilvl w:val="1"/>
          <w:numId w:val="82"/>
        </w:numPr>
        <w:tabs>
          <w:tab w:pos="780" w:val="left" w:leader="none"/>
        </w:tabs>
        <w:spacing w:line="240" w:lineRule="auto" w:before="0" w:after="0"/>
        <w:ind w:left="780" w:right="794" w:hanging="360"/>
        <w:jc w:val="left"/>
        <w:rPr>
          <w:sz w:val="18"/>
        </w:rPr>
      </w:pPr>
      <w:r>
        <w:rPr>
          <w:sz w:val="18"/>
        </w:rPr>
        <w:t>Can</w:t>
      </w:r>
      <w:r>
        <w:rPr>
          <w:spacing w:val="-3"/>
          <w:sz w:val="18"/>
        </w:rPr>
        <w:t> </w:t>
      </w:r>
      <w:r>
        <w:rPr>
          <w:sz w:val="18"/>
        </w:rPr>
        <w:t>you</w:t>
      </w:r>
      <w:r>
        <w:rPr>
          <w:spacing w:val="-2"/>
          <w:sz w:val="18"/>
        </w:rPr>
        <w:t> </w:t>
      </w:r>
      <w:r>
        <w:rPr>
          <w:sz w:val="18"/>
        </w:rPr>
        <w:t>describe</w:t>
      </w:r>
      <w:r>
        <w:rPr>
          <w:spacing w:val="-5"/>
          <w:sz w:val="18"/>
        </w:rPr>
        <w:t> </w:t>
      </w:r>
      <w:r>
        <w:rPr>
          <w:sz w:val="18"/>
        </w:rPr>
        <w:t>the</w:t>
      </w:r>
      <w:r>
        <w:rPr>
          <w:spacing w:val="-2"/>
          <w:sz w:val="18"/>
        </w:rPr>
        <w:t> </w:t>
      </w:r>
      <w:r>
        <w:rPr>
          <w:sz w:val="18"/>
        </w:rPr>
        <w:t>main</w:t>
      </w:r>
      <w:r>
        <w:rPr>
          <w:spacing w:val="-4"/>
          <w:sz w:val="18"/>
        </w:rPr>
        <w:t> </w:t>
      </w:r>
      <w:r>
        <w:rPr>
          <w:sz w:val="18"/>
        </w:rPr>
        <w:t>ways</w:t>
      </w:r>
      <w:r>
        <w:rPr>
          <w:spacing w:val="-3"/>
          <w:sz w:val="18"/>
        </w:rPr>
        <w:t> </w:t>
      </w:r>
      <w:r>
        <w:rPr>
          <w:sz w:val="18"/>
        </w:rPr>
        <w:t>in</w:t>
      </w:r>
      <w:r>
        <w:rPr>
          <w:spacing w:val="-3"/>
          <w:sz w:val="18"/>
        </w:rPr>
        <w:t> </w:t>
      </w:r>
      <w:r>
        <w:rPr>
          <w:sz w:val="18"/>
        </w:rPr>
        <w:t>which</w:t>
      </w:r>
      <w:r>
        <w:rPr>
          <w:spacing w:val="-4"/>
          <w:sz w:val="18"/>
        </w:rPr>
        <w:t> </w:t>
      </w:r>
      <w:r>
        <w:rPr>
          <w:sz w:val="18"/>
        </w:rPr>
        <w:t>staff</w:t>
      </w:r>
      <w:r>
        <w:rPr>
          <w:spacing w:val="-2"/>
          <w:sz w:val="18"/>
        </w:rPr>
        <w:t> </w:t>
      </w:r>
      <w:r>
        <w:rPr>
          <w:sz w:val="18"/>
        </w:rPr>
        <w:t>experience</w:t>
      </w:r>
      <w:r>
        <w:rPr>
          <w:spacing w:val="-2"/>
          <w:sz w:val="18"/>
        </w:rPr>
        <w:t> </w:t>
      </w:r>
      <w:r>
        <w:rPr>
          <w:sz w:val="18"/>
        </w:rPr>
        <w:t>and</w:t>
      </w:r>
      <w:r>
        <w:rPr>
          <w:spacing w:val="-3"/>
          <w:sz w:val="18"/>
        </w:rPr>
        <w:t> </w:t>
      </w:r>
      <w:r>
        <w:rPr>
          <w:sz w:val="18"/>
        </w:rPr>
        <w:t>satisfaction</w:t>
      </w:r>
      <w:r>
        <w:rPr>
          <w:spacing w:val="-5"/>
          <w:sz w:val="18"/>
        </w:rPr>
        <w:t> </w:t>
      </w:r>
      <w:r>
        <w:rPr>
          <w:sz w:val="18"/>
        </w:rPr>
        <w:t>has</w:t>
      </w:r>
      <w:r>
        <w:rPr>
          <w:spacing w:val="-5"/>
          <w:sz w:val="18"/>
        </w:rPr>
        <w:t> </w:t>
      </w:r>
      <w:r>
        <w:rPr>
          <w:sz w:val="18"/>
        </w:rPr>
        <w:t>improved</w:t>
      </w:r>
      <w:r>
        <w:rPr>
          <w:spacing w:val="-4"/>
          <w:sz w:val="18"/>
        </w:rPr>
        <w:t> </w:t>
      </w:r>
      <w:r>
        <w:rPr>
          <w:sz w:val="18"/>
        </w:rPr>
        <w:t>under</w:t>
      </w:r>
      <w:r>
        <w:rPr>
          <w:spacing w:val="-2"/>
          <w:sz w:val="18"/>
        </w:rPr>
        <w:t> </w:t>
      </w:r>
      <w:r>
        <w:rPr>
          <w:sz w:val="18"/>
        </w:rPr>
        <w:t>the</w:t>
      </w:r>
      <w:r>
        <w:rPr>
          <w:spacing w:val="-2"/>
          <w:sz w:val="18"/>
        </w:rPr>
        <w:t> </w:t>
      </w:r>
      <w:r>
        <w:rPr>
          <w:sz w:val="18"/>
        </w:rPr>
        <w:t>HCH</w:t>
      </w:r>
      <w:r>
        <w:rPr>
          <w:spacing w:val="-3"/>
          <w:sz w:val="18"/>
        </w:rPr>
        <w:t> </w:t>
      </w:r>
      <w:r>
        <w:rPr>
          <w:sz w:val="18"/>
        </w:rPr>
        <w:t>program?</w:t>
      </w:r>
      <w:r>
        <w:rPr>
          <w:spacing w:val="1"/>
          <w:sz w:val="18"/>
        </w:rPr>
        <w:t> </w:t>
      </w:r>
      <w:r>
        <w:rPr>
          <w:sz w:val="18"/>
        </w:rPr>
        <w:t>Can you also describe, what was the feature of the HCH program that facilitated this relative improvement in staff</w:t>
      </w:r>
      <w:r>
        <w:rPr>
          <w:spacing w:val="1"/>
          <w:sz w:val="18"/>
        </w:rPr>
        <w:t> </w:t>
      </w:r>
      <w:r>
        <w:rPr>
          <w:sz w:val="18"/>
        </w:rPr>
        <w:t>experience</w:t>
      </w:r>
      <w:r>
        <w:rPr>
          <w:spacing w:val="-1"/>
          <w:sz w:val="18"/>
        </w:rPr>
        <w:t> </w:t>
      </w:r>
      <w:r>
        <w:rPr>
          <w:sz w:val="18"/>
        </w:rPr>
        <w:t>and</w:t>
      </w:r>
      <w:r>
        <w:rPr>
          <w:spacing w:val="-1"/>
          <w:sz w:val="18"/>
        </w:rPr>
        <w:t> </w:t>
      </w:r>
      <w:r>
        <w:rPr>
          <w:sz w:val="18"/>
        </w:rPr>
        <w:t>satisfaction?</w:t>
      </w:r>
    </w:p>
    <w:p>
      <w:pPr>
        <w:pStyle w:val="BodyText"/>
        <w:spacing w:before="4"/>
        <w:rPr>
          <w:sz w:val="16"/>
        </w:rPr>
      </w:pPr>
    </w:p>
    <w:tbl>
      <w:tblPr>
        <w:tblW w:w="0" w:type="auto"/>
        <w:jc w:val="left"/>
        <w:tblInd w:w="43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422"/>
        <w:gridCol w:w="4817"/>
        <w:gridCol w:w="4680"/>
      </w:tblGrid>
      <w:tr>
        <w:trPr>
          <w:trHeight w:val="477" w:hRule="atLeast"/>
        </w:trPr>
        <w:tc>
          <w:tcPr>
            <w:tcW w:w="422" w:type="dxa"/>
            <w:shd w:val="clear" w:color="auto" w:fill="F1F1F1"/>
          </w:tcPr>
          <w:p>
            <w:pPr>
              <w:pStyle w:val="TableParagraph"/>
              <w:spacing w:line="219" w:lineRule="exact"/>
              <w:ind w:left="107"/>
              <w:rPr>
                <w:sz w:val="18"/>
              </w:rPr>
            </w:pPr>
            <w:r>
              <w:rPr>
                <w:sz w:val="18"/>
              </w:rPr>
              <w:t>#</w:t>
            </w:r>
          </w:p>
        </w:tc>
        <w:tc>
          <w:tcPr>
            <w:tcW w:w="4817" w:type="dxa"/>
            <w:shd w:val="clear" w:color="auto" w:fill="F1F1F1"/>
          </w:tcPr>
          <w:p>
            <w:pPr>
              <w:pStyle w:val="TableParagraph"/>
              <w:spacing w:line="219" w:lineRule="exact"/>
              <w:ind w:left="346"/>
              <w:rPr>
                <w:sz w:val="18"/>
              </w:rPr>
            </w:pPr>
            <w:r>
              <w:rPr>
                <w:sz w:val="18"/>
              </w:rPr>
              <w:t>16A</w:t>
            </w:r>
            <w:r>
              <w:rPr>
                <w:spacing w:val="-13"/>
                <w:sz w:val="18"/>
              </w:rPr>
              <w:t> </w:t>
            </w:r>
            <w:r>
              <w:rPr>
                <w:sz w:val="18"/>
              </w:rPr>
              <w:t>Improved</w:t>
            </w:r>
            <w:r>
              <w:rPr>
                <w:spacing w:val="-2"/>
                <w:sz w:val="18"/>
              </w:rPr>
              <w:t> </w:t>
            </w:r>
            <w:r>
              <w:rPr>
                <w:sz w:val="18"/>
              </w:rPr>
              <w:t>staff</w:t>
            </w:r>
            <w:r>
              <w:rPr>
                <w:spacing w:val="-1"/>
                <w:sz w:val="18"/>
              </w:rPr>
              <w:t> </w:t>
            </w:r>
            <w:r>
              <w:rPr>
                <w:sz w:val="18"/>
              </w:rPr>
              <w:t>experience</w:t>
            </w:r>
            <w:r>
              <w:rPr>
                <w:spacing w:val="-2"/>
                <w:sz w:val="18"/>
              </w:rPr>
              <w:t> </w:t>
            </w:r>
            <w:r>
              <w:rPr>
                <w:sz w:val="18"/>
              </w:rPr>
              <w:t>and</w:t>
            </w:r>
            <w:r>
              <w:rPr>
                <w:spacing w:val="-2"/>
                <w:sz w:val="18"/>
              </w:rPr>
              <w:t> </w:t>
            </w:r>
            <w:r>
              <w:rPr>
                <w:sz w:val="18"/>
              </w:rPr>
              <w:t>satisfaction</w:t>
            </w:r>
          </w:p>
        </w:tc>
        <w:tc>
          <w:tcPr>
            <w:tcW w:w="4680" w:type="dxa"/>
            <w:shd w:val="clear" w:color="auto" w:fill="F1F1F1"/>
          </w:tcPr>
          <w:p>
            <w:pPr>
              <w:pStyle w:val="TableParagraph"/>
              <w:ind w:left="1753" w:right="228" w:hanging="1501"/>
              <w:rPr>
                <w:sz w:val="18"/>
              </w:rPr>
            </w:pPr>
            <w:r>
              <w:rPr>
                <w:sz w:val="18"/>
              </w:rPr>
              <w:t>16B Feature of HCH program that facilitated this</w:t>
            </w:r>
            <w:r>
              <w:rPr>
                <w:spacing w:val="-47"/>
                <w:sz w:val="18"/>
              </w:rPr>
              <w:t> </w:t>
            </w:r>
            <w:r>
              <w:rPr>
                <w:sz w:val="18"/>
              </w:rPr>
              <w:t>improvement</w:t>
            </w:r>
          </w:p>
        </w:tc>
      </w:tr>
      <w:tr>
        <w:trPr>
          <w:trHeight w:val="244" w:hRule="atLeast"/>
        </w:trPr>
        <w:tc>
          <w:tcPr>
            <w:tcW w:w="422" w:type="dxa"/>
          </w:tcPr>
          <w:p>
            <w:pPr>
              <w:pStyle w:val="TableParagraph"/>
              <w:spacing w:line="224" w:lineRule="exact"/>
              <w:ind w:left="107"/>
              <w:rPr>
                <w:sz w:val="20"/>
              </w:rPr>
            </w:pPr>
            <w:r>
              <w:rPr>
                <w:w w:val="99"/>
                <w:sz w:val="20"/>
              </w:rPr>
              <w:t>1</w:t>
            </w:r>
          </w:p>
        </w:tc>
        <w:tc>
          <w:tcPr>
            <w:tcW w:w="4817" w:type="dxa"/>
          </w:tcPr>
          <w:p>
            <w:pPr>
              <w:pStyle w:val="TableParagraph"/>
              <w:rPr>
                <w:rFonts w:ascii="Times New Roman"/>
                <w:sz w:val="16"/>
              </w:rPr>
            </w:pPr>
          </w:p>
        </w:tc>
        <w:tc>
          <w:tcPr>
            <w:tcW w:w="4680" w:type="dxa"/>
          </w:tcPr>
          <w:p>
            <w:pPr>
              <w:pStyle w:val="TableParagraph"/>
              <w:rPr>
                <w:rFonts w:ascii="Times New Roman"/>
                <w:sz w:val="16"/>
              </w:rPr>
            </w:pPr>
          </w:p>
        </w:tc>
      </w:tr>
      <w:tr>
        <w:trPr>
          <w:trHeight w:val="242" w:hRule="atLeast"/>
        </w:trPr>
        <w:tc>
          <w:tcPr>
            <w:tcW w:w="422" w:type="dxa"/>
            <w:tcBorders>
              <w:bottom w:val="single" w:sz="6" w:space="0" w:color="BEBEBE"/>
            </w:tcBorders>
          </w:tcPr>
          <w:p>
            <w:pPr>
              <w:pStyle w:val="TableParagraph"/>
              <w:spacing w:line="222" w:lineRule="exact"/>
              <w:ind w:left="107"/>
              <w:rPr>
                <w:sz w:val="20"/>
              </w:rPr>
            </w:pPr>
            <w:r>
              <w:rPr>
                <w:w w:val="99"/>
                <w:sz w:val="20"/>
              </w:rPr>
              <w:t>2</w:t>
            </w:r>
          </w:p>
        </w:tc>
        <w:tc>
          <w:tcPr>
            <w:tcW w:w="4817" w:type="dxa"/>
            <w:tcBorders>
              <w:bottom w:val="single" w:sz="6" w:space="0" w:color="BEBEBE"/>
            </w:tcBorders>
          </w:tcPr>
          <w:p>
            <w:pPr>
              <w:pStyle w:val="TableParagraph"/>
              <w:rPr>
                <w:rFonts w:ascii="Times New Roman"/>
                <w:sz w:val="16"/>
              </w:rPr>
            </w:pPr>
          </w:p>
        </w:tc>
        <w:tc>
          <w:tcPr>
            <w:tcW w:w="4680" w:type="dxa"/>
            <w:tcBorders>
              <w:bottom w:val="single" w:sz="6" w:space="0" w:color="BEBEBE"/>
            </w:tcBorders>
          </w:tcPr>
          <w:p>
            <w:pPr>
              <w:pStyle w:val="TableParagraph"/>
              <w:rPr>
                <w:rFonts w:ascii="Times New Roman"/>
                <w:sz w:val="16"/>
              </w:rPr>
            </w:pPr>
          </w:p>
        </w:tc>
      </w:tr>
      <w:tr>
        <w:trPr>
          <w:trHeight w:val="244" w:hRule="atLeast"/>
        </w:trPr>
        <w:tc>
          <w:tcPr>
            <w:tcW w:w="422" w:type="dxa"/>
            <w:tcBorders>
              <w:top w:val="single" w:sz="6" w:space="0" w:color="BEBEBE"/>
            </w:tcBorders>
          </w:tcPr>
          <w:p>
            <w:pPr>
              <w:pStyle w:val="TableParagraph"/>
              <w:spacing w:line="224" w:lineRule="exact"/>
              <w:ind w:left="107"/>
              <w:rPr>
                <w:sz w:val="20"/>
              </w:rPr>
            </w:pPr>
            <w:r>
              <w:rPr>
                <w:w w:val="99"/>
                <w:sz w:val="20"/>
              </w:rPr>
              <w:t>3</w:t>
            </w:r>
          </w:p>
        </w:tc>
        <w:tc>
          <w:tcPr>
            <w:tcW w:w="4817" w:type="dxa"/>
            <w:tcBorders>
              <w:top w:val="single" w:sz="6" w:space="0" w:color="BEBEBE"/>
            </w:tcBorders>
          </w:tcPr>
          <w:p>
            <w:pPr>
              <w:pStyle w:val="TableParagraph"/>
              <w:rPr>
                <w:rFonts w:ascii="Times New Roman"/>
                <w:sz w:val="16"/>
              </w:rPr>
            </w:pPr>
          </w:p>
        </w:tc>
        <w:tc>
          <w:tcPr>
            <w:tcW w:w="4680" w:type="dxa"/>
            <w:tcBorders>
              <w:top w:val="single" w:sz="6" w:space="0" w:color="BEBEBE"/>
            </w:tcBorders>
          </w:tcPr>
          <w:p>
            <w:pPr>
              <w:pStyle w:val="TableParagraph"/>
              <w:rPr>
                <w:rFonts w:ascii="Times New Roman"/>
                <w:sz w:val="16"/>
              </w:rPr>
            </w:pPr>
          </w:p>
        </w:tc>
      </w:tr>
      <w:tr>
        <w:trPr>
          <w:trHeight w:val="244" w:hRule="atLeast"/>
        </w:trPr>
        <w:tc>
          <w:tcPr>
            <w:tcW w:w="422" w:type="dxa"/>
          </w:tcPr>
          <w:p>
            <w:pPr>
              <w:pStyle w:val="TableParagraph"/>
              <w:spacing w:line="224" w:lineRule="exact"/>
              <w:ind w:left="107"/>
              <w:rPr>
                <w:sz w:val="20"/>
              </w:rPr>
            </w:pPr>
            <w:r>
              <w:rPr>
                <w:w w:val="99"/>
                <w:sz w:val="20"/>
              </w:rPr>
              <w:t>4</w:t>
            </w:r>
          </w:p>
        </w:tc>
        <w:tc>
          <w:tcPr>
            <w:tcW w:w="4817" w:type="dxa"/>
          </w:tcPr>
          <w:p>
            <w:pPr>
              <w:pStyle w:val="TableParagraph"/>
              <w:rPr>
                <w:rFonts w:ascii="Times New Roman"/>
                <w:sz w:val="16"/>
              </w:rPr>
            </w:pPr>
          </w:p>
        </w:tc>
        <w:tc>
          <w:tcPr>
            <w:tcW w:w="4680" w:type="dxa"/>
          </w:tcPr>
          <w:p>
            <w:pPr>
              <w:pStyle w:val="TableParagraph"/>
              <w:rPr>
                <w:rFonts w:ascii="Times New Roman"/>
                <w:sz w:val="16"/>
              </w:rPr>
            </w:pPr>
          </w:p>
        </w:tc>
      </w:tr>
      <w:tr>
        <w:trPr>
          <w:trHeight w:val="244" w:hRule="atLeast"/>
        </w:trPr>
        <w:tc>
          <w:tcPr>
            <w:tcW w:w="422" w:type="dxa"/>
          </w:tcPr>
          <w:p>
            <w:pPr>
              <w:pStyle w:val="TableParagraph"/>
              <w:spacing w:line="224" w:lineRule="exact"/>
              <w:ind w:left="107"/>
              <w:rPr>
                <w:sz w:val="20"/>
              </w:rPr>
            </w:pPr>
            <w:r>
              <w:rPr>
                <w:w w:val="99"/>
                <w:sz w:val="20"/>
              </w:rPr>
              <w:t>5</w:t>
            </w:r>
          </w:p>
        </w:tc>
        <w:tc>
          <w:tcPr>
            <w:tcW w:w="4817" w:type="dxa"/>
          </w:tcPr>
          <w:p>
            <w:pPr>
              <w:pStyle w:val="TableParagraph"/>
              <w:rPr>
                <w:rFonts w:ascii="Times New Roman"/>
                <w:sz w:val="16"/>
              </w:rPr>
            </w:pPr>
          </w:p>
        </w:tc>
        <w:tc>
          <w:tcPr>
            <w:tcW w:w="4680" w:type="dxa"/>
          </w:tcPr>
          <w:p>
            <w:pPr>
              <w:pStyle w:val="TableParagraph"/>
              <w:rPr>
                <w:rFonts w:ascii="Times New Roman"/>
                <w:sz w:val="16"/>
              </w:rPr>
            </w:pPr>
          </w:p>
        </w:tc>
      </w:tr>
      <w:tr>
        <w:trPr>
          <w:trHeight w:val="246" w:hRule="atLeast"/>
        </w:trPr>
        <w:tc>
          <w:tcPr>
            <w:tcW w:w="422" w:type="dxa"/>
          </w:tcPr>
          <w:p>
            <w:pPr>
              <w:pStyle w:val="TableParagraph"/>
              <w:spacing w:line="224" w:lineRule="exact" w:before="2"/>
              <w:ind w:left="107"/>
              <w:rPr>
                <w:sz w:val="20"/>
              </w:rPr>
            </w:pPr>
            <w:r>
              <w:rPr>
                <w:w w:val="99"/>
                <w:sz w:val="20"/>
              </w:rPr>
              <w:t>6</w:t>
            </w:r>
          </w:p>
        </w:tc>
        <w:tc>
          <w:tcPr>
            <w:tcW w:w="4817" w:type="dxa"/>
          </w:tcPr>
          <w:p>
            <w:pPr>
              <w:pStyle w:val="TableParagraph"/>
              <w:rPr>
                <w:rFonts w:ascii="Times New Roman"/>
                <w:sz w:val="16"/>
              </w:rPr>
            </w:pPr>
          </w:p>
        </w:tc>
        <w:tc>
          <w:tcPr>
            <w:tcW w:w="4680" w:type="dxa"/>
          </w:tcPr>
          <w:p>
            <w:pPr>
              <w:pStyle w:val="TableParagraph"/>
              <w:rPr>
                <w:rFonts w:ascii="Times New Roman"/>
                <w:sz w:val="16"/>
              </w:rPr>
            </w:pPr>
          </w:p>
        </w:tc>
      </w:tr>
    </w:tbl>
    <w:p>
      <w:pPr>
        <w:pStyle w:val="BodyText"/>
        <w:spacing w:before="1"/>
        <w:rPr>
          <w:sz w:val="18"/>
        </w:rPr>
      </w:pPr>
    </w:p>
    <w:p>
      <w:pPr>
        <w:pStyle w:val="ListParagraph"/>
        <w:numPr>
          <w:ilvl w:val="1"/>
          <w:numId w:val="82"/>
        </w:numPr>
        <w:tabs>
          <w:tab w:pos="780" w:val="left" w:leader="none"/>
        </w:tabs>
        <w:spacing w:line="240" w:lineRule="auto" w:before="0" w:after="0"/>
        <w:ind w:left="780" w:right="0" w:hanging="360"/>
        <w:jc w:val="left"/>
        <w:rPr>
          <w:sz w:val="18"/>
        </w:rPr>
      </w:pPr>
      <w:r>
        <w:rPr>
          <w:sz w:val="18"/>
        </w:rPr>
        <w:t>In</w:t>
      </w:r>
      <w:r>
        <w:rPr>
          <w:spacing w:val="-5"/>
          <w:sz w:val="18"/>
        </w:rPr>
        <w:t> </w:t>
      </w:r>
      <w:r>
        <w:rPr>
          <w:sz w:val="18"/>
        </w:rPr>
        <w:t>your</w:t>
      </w:r>
      <w:r>
        <w:rPr>
          <w:spacing w:val="-2"/>
          <w:sz w:val="18"/>
        </w:rPr>
        <w:t> </w:t>
      </w:r>
      <w:r>
        <w:rPr>
          <w:sz w:val="18"/>
        </w:rPr>
        <w:t>assessment,</w:t>
      </w:r>
      <w:r>
        <w:rPr>
          <w:spacing w:val="-4"/>
          <w:sz w:val="18"/>
        </w:rPr>
        <w:t> </w:t>
      </w:r>
      <w:r>
        <w:rPr>
          <w:sz w:val="18"/>
        </w:rPr>
        <w:t>what</w:t>
      </w:r>
      <w:r>
        <w:rPr>
          <w:spacing w:val="-4"/>
          <w:sz w:val="18"/>
        </w:rPr>
        <w:t> </w:t>
      </w:r>
      <w:r>
        <w:rPr>
          <w:sz w:val="18"/>
        </w:rPr>
        <w:t>has</w:t>
      </w:r>
      <w:r>
        <w:rPr>
          <w:spacing w:val="-3"/>
          <w:sz w:val="18"/>
        </w:rPr>
        <w:t> </w:t>
      </w:r>
      <w:r>
        <w:rPr>
          <w:sz w:val="18"/>
        </w:rPr>
        <w:t>been</w:t>
      </w:r>
      <w:r>
        <w:rPr>
          <w:spacing w:val="-2"/>
          <w:sz w:val="18"/>
        </w:rPr>
        <w:t> </w:t>
      </w:r>
      <w:r>
        <w:rPr>
          <w:sz w:val="18"/>
        </w:rPr>
        <w:t>the</w:t>
      </w:r>
      <w:r>
        <w:rPr>
          <w:spacing w:val="-2"/>
          <w:sz w:val="18"/>
        </w:rPr>
        <w:t> </w:t>
      </w:r>
      <w:r>
        <w:rPr>
          <w:sz w:val="18"/>
        </w:rPr>
        <w:t>overall</w:t>
      </w:r>
      <w:r>
        <w:rPr>
          <w:spacing w:val="-4"/>
          <w:sz w:val="18"/>
        </w:rPr>
        <w:t> </w:t>
      </w:r>
      <w:r>
        <w:rPr>
          <w:sz w:val="18"/>
        </w:rPr>
        <w:t>impact</w:t>
      </w:r>
      <w:r>
        <w:rPr>
          <w:spacing w:val="-4"/>
          <w:sz w:val="18"/>
        </w:rPr>
        <w:t> </w:t>
      </w:r>
      <w:r>
        <w:rPr>
          <w:sz w:val="18"/>
        </w:rPr>
        <w:t>of</w:t>
      </w:r>
      <w:r>
        <w:rPr>
          <w:spacing w:val="-1"/>
          <w:sz w:val="18"/>
        </w:rPr>
        <w:t> </w:t>
      </w:r>
      <w:r>
        <w:rPr>
          <w:sz w:val="18"/>
        </w:rPr>
        <w:t>HCH</w:t>
      </w:r>
      <w:r>
        <w:rPr>
          <w:spacing w:val="-3"/>
          <w:sz w:val="18"/>
        </w:rPr>
        <w:t> </w:t>
      </w:r>
      <w:r>
        <w:rPr>
          <w:sz w:val="18"/>
        </w:rPr>
        <w:t>on</w:t>
      </w:r>
      <w:r>
        <w:rPr>
          <w:spacing w:val="-3"/>
          <w:sz w:val="18"/>
        </w:rPr>
        <w:t> </w:t>
      </w:r>
      <w:r>
        <w:rPr>
          <w:sz w:val="18"/>
        </w:rPr>
        <w:t>staff</w:t>
      </w:r>
      <w:r>
        <w:rPr>
          <w:spacing w:val="-2"/>
          <w:sz w:val="18"/>
        </w:rPr>
        <w:t> </w:t>
      </w:r>
      <w:r>
        <w:rPr>
          <w:sz w:val="18"/>
        </w:rPr>
        <w:t>experience</w:t>
      </w:r>
      <w:r>
        <w:rPr>
          <w:spacing w:val="-2"/>
          <w:sz w:val="18"/>
        </w:rPr>
        <w:t> </w:t>
      </w:r>
      <w:r>
        <w:rPr>
          <w:sz w:val="18"/>
        </w:rPr>
        <w:t>and</w:t>
      </w:r>
      <w:r>
        <w:rPr>
          <w:spacing w:val="-3"/>
          <w:sz w:val="18"/>
        </w:rPr>
        <w:t> </w:t>
      </w:r>
      <w:r>
        <w:rPr>
          <w:sz w:val="18"/>
        </w:rPr>
        <w:t>satisfaction?</w:t>
      </w:r>
    </w:p>
    <w:p>
      <w:pPr>
        <w:pStyle w:val="BodyText"/>
        <w:spacing w:before="3"/>
        <w:rPr>
          <w:sz w:val="16"/>
        </w:rPr>
      </w:pPr>
    </w:p>
    <w:p>
      <w:pPr>
        <w:spacing w:before="0"/>
        <w:ind w:left="1486" w:right="5492" w:firstLine="0"/>
        <w:jc w:val="both"/>
        <w:rPr>
          <w:sz w:val="18"/>
        </w:rPr>
      </w:pPr>
      <w:r>
        <w:rPr/>
        <w:drawing>
          <wp:anchor distT="0" distB="0" distL="0" distR="0" allowOverlap="1" layoutInCell="1" locked="0" behindDoc="0" simplePos="0" relativeHeight="15872512">
            <wp:simplePos x="0" y="0"/>
            <wp:positionH relativeFrom="page">
              <wp:posOffset>922313</wp:posOffset>
            </wp:positionH>
            <wp:positionV relativeFrom="paragraph">
              <wp:posOffset>44214</wp:posOffset>
            </wp:positionV>
            <wp:extent cx="58380" cy="72151"/>
            <wp:effectExtent l="0" t="0" r="0" b="0"/>
            <wp:wrapNone/>
            <wp:docPr id="1051" name="image13.png"/>
            <wp:cNvGraphicFramePr>
              <a:graphicFrameLocks noChangeAspect="1"/>
            </wp:cNvGraphicFramePr>
            <a:graphic>
              <a:graphicData uri="http://schemas.openxmlformats.org/drawingml/2006/picture">
                <pic:pic>
                  <pic:nvPicPr>
                    <pic:cNvPr id="1052"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873024">
            <wp:simplePos x="0" y="0"/>
            <wp:positionH relativeFrom="page">
              <wp:posOffset>922313</wp:posOffset>
            </wp:positionH>
            <wp:positionV relativeFrom="paragraph">
              <wp:posOffset>184422</wp:posOffset>
            </wp:positionV>
            <wp:extent cx="58380" cy="72151"/>
            <wp:effectExtent l="0" t="0" r="0" b="0"/>
            <wp:wrapNone/>
            <wp:docPr id="1053" name="image13.png"/>
            <wp:cNvGraphicFramePr>
              <a:graphicFrameLocks noChangeAspect="1"/>
            </wp:cNvGraphicFramePr>
            <a:graphic>
              <a:graphicData uri="http://schemas.openxmlformats.org/drawingml/2006/picture">
                <pic:pic>
                  <pic:nvPicPr>
                    <pic:cNvPr id="1054"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873536">
            <wp:simplePos x="0" y="0"/>
            <wp:positionH relativeFrom="page">
              <wp:posOffset>922313</wp:posOffset>
            </wp:positionH>
            <wp:positionV relativeFrom="paragraph">
              <wp:posOffset>324630</wp:posOffset>
            </wp:positionV>
            <wp:extent cx="58380" cy="72151"/>
            <wp:effectExtent l="0" t="0" r="0" b="0"/>
            <wp:wrapNone/>
            <wp:docPr id="1055" name="image13.png"/>
            <wp:cNvGraphicFramePr>
              <a:graphicFrameLocks noChangeAspect="1"/>
            </wp:cNvGraphicFramePr>
            <a:graphic>
              <a:graphicData uri="http://schemas.openxmlformats.org/drawingml/2006/picture">
                <pic:pic>
                  <pic:nvPicPr>
                    <pic:cNvPr id="105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1 Significant improvement compared with usual care</w:t>
      </w:r>
      <w:r>
        <w:rPr>
          <w:spacing w:val="-47"/>
          <w:sz w:val="18"/>
        </w:rPr>
        <w:t> </w:t>
      </w:r>
      <w:r>
        <w:rPr>
          <w:sz w:val="18"/>
        </w:rPr>
        <w:t>2 Moderate improvement compared with usual care</w:t>
      </w:r>
      <w:r>
        <w:rPr>
          <w:spacing w:val="-47"/>
          <w:sz w:val="18"/>
        </w:rPr>
        <w:t> </w:t>
      </w:r>
      <w:r>
        <w:rPr>
          <w:sz w:val="18"/>
        </w:rPr>
        <w:t>3</w:t>
      </w:r>
      <w:r>
        <w:rPr>
          <w:spacing w:val="-2"/>
          <w:sz w:val="18"/>
        </w:rPr>
        <w:t> </w:t>
      </w:r>
      <w:r>
        <w:rPr>
          <w:sz w:val="18"/>
        </w:rPr>
        <w:t>Small</w:t>
      </w:r>
      <w:r>
        <w:rPr>
          <w:spacing w:val="-2"/>
          <w:sz w:val="18"/>
        </w:rPr>
        <w:t> </w:t>
      </w:r>
      <w:r>
        <w:rPr>
          <w:sz w:val="18"/>
        </w:rPr>
        <w:t>improvement</w:t>
      </w:r>
      <w:r>
        <w:rPr>
          <w:spacing w:val="-1"/>
          <w:sz w:val="18"/>
        </w:rPr>
        <w:t> </w:t>
      </w:r>
      <w:r>
        <w:rPr>
          <w:sz w:val="18"/>
        </w:rPr>
        <w:t>compared</w:t>
      </w:r>
      <w:r>
        <w:rPr>
          <w:spacing w:val="-2"/>
          <w:sz w:val="18"/>
        </w:rPr>
        <w:t> </w:t>
      </w:r>
      <w:r>
        <w:rPr>
          <w:sz w:val="18"/>
        </w:rPr>
        <w:t>with</w:t>
      </w:r>
      <w:r>
        <w:rPr>
          <w:spacing w:val="-2"/>
          <w:sz w:val="18"/>
        </w:rPr>
        <w:t> </w:t>
      </w:r>
      <w:r>
        <w:rPr>
          <w:sz w:val="18"/>
        </w:rPr>
        <w:t>usual</w:t>
      </w:r>
      <w:r>
        <w:rPr>
          <w:spacing w:val="-1"/>
          <w:sz w:val="18"/>
        </w:rPr>
        <w:t> </w:t>
      </w:r>
      <w:r>
        <w:rPr>
          <w:sz w:val="18"/>
        </w:rPr>
        <w:t>care</w:t>
      </w:r>
    </w:p>
    <w:p>
      <w:pPr>
        <w:spacing w:before="1"/>
        <w:ind w:left="1486" w:right="6137" w:firstLine="0"/>
        <w:jc w:val="both"/>
        <w:rPr>
          <w:sz w:val="18"/>
        </w:rPr>
      </w:pPr>
      <w:r>
        <w:rPr/>
        <w:drawing>
          <wp:anchor distT="0" distB="0" distL="0" distR="0" allowOverlap="1" layoutInCell="1" locked="0" behindDoc="0" simplePos="0" relativeHeight="15874048">
            <wp:simplePos x="0" y="0"/>
            <wp:positionH relativeFrom="page">
              <wp:posOffset>920789</wp:posOffset>
            </wp:positionH>
            <wp:positionV relativeFrom="paragraph">
              <wp:posOffset>44849</wp:posOffset>
            </wp:positionV>
            <wp:extent cx="58380" cy="72151"/>
            <wp:effectExtent l="0" t="0" r="0" b="0"/>
            <wp:wrapNone/>
            <wp:docPr id="1057" name="image13.png"/>
            <wp:cNvGraphicFramePr>
              <a:graphicFrameLocks noChangeAspect="1"/>
            </wp:cNvGraphicFramePr>
            <a:graphic>
              <a:graphicData uri="http://schemas.openxmlformats.org/drawingml/2006/picture">
                <pic:pic>
                  <pic:nvPicPr>
                    <pic:cNvPr id="1058"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874560">
            <wp:simplePos x="0" y="0"/>
            <wp:positionH relativeFrom="page">
              <wp:posOffset>920789</wp:posOffset>
            </wp:positionH>
            <wp:positionV relativeFrom="paragraph">
              <wp:posOffset>185057</wp:posOffset>
            </wp:positionV>
            <wp:extent cx="58380" cy="72151"/>
            <wp:effectExtent l="0" t="0" r="0" b="0"/>
            <wp:wrapNone/>
            <wp:docPr id="1059" name="image13.png"/>
            <wp:cNvGraphicFramePr>
              <a:graphicFrameLocks noChangeAspect="1"/>
            </wp:cNvGraphicFramePr>
            <a:graphic>
              <a:graphicData uri="http://schemas.openxmlformats.org/drawingml/2006/picture">
                <pic:pic>
                  <pic:nvPicPr>
                    <pic:cNvPr id="106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4 No improvement compared with usual care</w:t>
      </w:r>
      <w:r>
        <w:rPr>
          <w:spacing w:val="-47"/>
          <w:sz w:val="18"/>
        </w:rPr>
        <w:t> </w:t>
      </w:r>
      <w:r>
        <w:rPr>
          <w:sz w:val="18"/>
        </w:rPr>
        <w:t>5</w:t>
      </w:r>
      <w:r>
        <w:rPr>
          <w:spacing w:val="1"/>
          <w:sz w:val="18"/>
        </w:rPr>
        <w:t> </w:t>
      </w:r>
      <w:r>
        <w:rPr>
          <w:sz w:val="18"/>
        </w:rPr>
        <w:t>Worse</w:t>
      </w:r>
      <w:r>
        <w:rPr>
          <w:spacing w:val="-2"/>
          <w:sz w:val="18"/>
        </w:rPr>
        <w:t> </w:t>
      </w:r>
      <w:r>
        <w:rPr>
          <w:sz w:val="18"/>
        </w:rPr>
        <w:t>quality</w:t>
      </w:r>
      <w:r>
        <w:rPr>
          <w:spacing w:val="-2"/>
          <w:sz w:val="18"/>
        </w:rPr>
        <w:t> </w:t>
      </w:r>
      <w:r>
        <w:rPr>
          <w:sz w:val="18"/>
        </w:rPr>
        <w:t>compared</w:t>
      </w:r>
      <w:r>
        <w:rPr>
          <w:spacing w:val="-1"/>
          <w:sz w:val="18"/>
        </w:rPr>
        <w:t> </w:t>
      </w:r>
      <w:r>
        <w:rPr>
          <w:sz w:val="18"/>
        </w:rPr>
        <w:t>with</w:t>
      </w:r>
      <w:r>
        <w:rPr>
          <w:spacing w:val="-1"/>
          <w:sz w:val="18"/>
        </w:rPr>
        <w:t> </w:t>
      </w:r>
      <w:r>
        <w:rPr>
          <w:sz w:val="18"/>
        </w:rPr>
        <w:t>usual</w:t>
      </w:r>
      <w:r>
        <w:rPr>
          <w:spacing w:val="-4"/>
          <w:sz w:val="18"/>
        </w:rPr>
        <w:t> </w:t>
      </w:r>
      <w:r>
        <w:rPr>
          <w:sz w:val="18"/>
        </w:rPr>
        <w:t>care</w:t>
      </w:r>
    </w:p>
    <w:p>
      <w:pPr>
        <w:spacing w:before="0"/>
        <w:ind w:left="1486" w:right="0" w:firstLine="0"/>
        <w:jc w:val="both"/>
        <w:rPr>
          <w:sz w:val="18"/>
        </w:rPr>
      </w:pPr>
      <w:r>
        <w:rPr/>
        <w:drawing>
          <wp:anchor distT="0" distB="0" distL="0" distR="0" allowOverlap="1" layoutInCell="1" locked="0" behindDoc="0" simplePos="0" relativeHeight="15875072">
            <wp:simplePos x="0" y="0"/>
            <wp:positionH relativeFrom="page">
              <wp:posOffset>920789</wp:posOffset>
            </wp:positionH>
            <wp:positionV relativeFrom="paragraph">
              <wp:posOffset>44214</wp:posOffset>
            </wp:positionV>
            <wp:extent cx="58380" cy="72151"/>
            <wp:effectExtent l="0" t="0" r="0" b="0"/>
            <wp:wrapNone/>
            <wp:docPr id="1061" name="image13.png"/>
            <wp:cNvGraphicFramePr>
              <a:graphicFrameLocks noChangeAspect="1"/>
            </wp:cNvGraphicFramePr>
            <a:graphic>
              <a:graphicData uri="http://schemas.openxmlformats.org/drawingml/2006/picture">
                <pic:pic>
                  <pic:nvPicPr>
                    <pic:cNvPr id="106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6</w:t>
      </w:r>
      <w:r>
        <w:rPr>
          <w:spacing w:val="-1"/>
          <w:sz w:val="18"/>
        </w:rPr>
        <w:t> </w:t>
      </w:r>
      <w:r>
        <w:rPr>
          <w:sz w:val="18"/>
        </w:rPr>
        <w:t>Can’t</w:t>
      </w:r>
      <w:r>
        <w:rPr>
          <w:spacing w:val="-3"/>
          <w:sz w:val="18"/>
        </w:rPr>
        <w:t> </w:t>
      </w:r>
      <w:r>
        <w:rPr>
          <w:sz w:val="18"/>
        </w:rPr>
        <w:t>say/don’t</w:t>
      </w:r>
      <w:r>
        <w:rPr>
          <w:spacing w:val="-3"/>
          <w:sz w:val="18"/>
        </w:rPr>
        <w:t> </w:t>
      </w:r>
      <w:r>
        <w:rPr>
          <w:sz w:val="18"/>
        </w:rPr>
        <w:t>know</w:t>
      </w:r>
    </w:p>
    <w:p>
      <w:pPr>
        <w:pStyle w:val="BodyText"/>
        <w:spacing w:before="11"/>
        <w:rPr>
          <w:sz w:val="22"/>
        </w:rPr>
      </w:pPr>
    </w:p>
    <w:p>
      <w:pPr>
        <w:spacing w:before="1"/>
        <w:ind w:left="420" w:right="0" w:firstLine="0"/>
        <w:jc w:val="left"/>
        <w:rPr>
          <w:sz w:val="18"/>
        </w:rPr>
      </w:pPr>
      <w:r>
        <w:rPr>
          <w:sz w:val="18"/>
        </w:rPr>
        <w:t>The</w:t>
      </w:r>
      <w:r>
        <w:rPr>
          <w:spacing w:val="-3"/>
          <w:sz w:val="18"/>
        </w:rPr>
        <w:t> </w:t>
      </w:r>
      <w:r>
        <w:rPr>
          <w:sz w:val="18"/>
        </w:rPr>
        <w:t>following</w:t>
      </w:r>
      <w:r>
        <w:rPr>
          <w:spacing w:val="-4"/>
          <w:sz w:val="18"/>
        </w:rPr>
        <w:t> </w:t>
      </w:r>
      <w:r>
        <w:rPr>
          <w:sz w:val="18"/>
        </w:rPr>
        <w:t>questions will</w:t>
      </w:r>
      <w:r>
        <w:rPr>
          <w:spacing w:val="-4"/>
          <w:sz w:val="18"/>
        </w:rPr>
        <w:t> </w:t>
      </w:r>
      <w:r>
        <w:rPr>
          <w:sz w:val="18"/>
        </w:rPr>
        <w:t>assist</w:t>
      </w:r>
      <w:r>
        <w:rPr>
          <w:spacing w:val="-4"/>
          <w:sz w:val="18"/>
        </w:rPr>
        <w:t> </w:t>
      </w:r>
      <w:r>
        <w:rPr>
          <w:sz w:val="18"/>
        </w:rPr>
        <w:t>us</w:t>
      </w:r>
      <w:r>
        <w:rPr>
          <w:spacing w:val="-3"/>
          <w:sz w:val="18"/>
        </w:rPr>
        <w:t> </w:t>
      </w:r>
      <w:r>
        <w:rPr>
          <w:sz w:val="18"/>
        </w:rPr>
        <w:t>to</w:t>
      </w:r>
      <w:r>
        <w:rPr>
          <w:spacing w:val="-2"/>
          <w:sz w:val="18"/>
        </w:rPr>
        <w:t> </w:t>
      </w:r>
      <w:r>
        <w:rPr>
          <w:sz w:val="18"/>
        </w:rPr>
        <w:t>evaluate</w:t>
      </w:r>
      <w:r>
        <w:rPr>
          <w:spacing w:val="-2"/>
          <w:sz w:val="18"/>
        </w:rPr>
        <w:t> </w:t>
      </w:r>
      <w:r>
        <w:rPr>
          <w:sz w:val="18"/>
        </w:rPr>
        <w:t>the</w:t>
      </w:r>
      <w:r>
        <w:rPr>
          <w:spacing w:val="1"/>
          <w:sz w:val="18"/>
        </w:rPr>
        <w:t> </w:t>
      </w:r>
      <w:r>
        <w:rPr>
          <w:sz w:val="18"/>
          <w:u w:val="single"/>
        </w:rPr>
        <w:t>financial</w:t>
      </w:r>
      <w:r>
        <w:rPr>
          <w:spacing w:val="-4"/>
          <w:sz w:val="18"/>
          <w:u w:val="single"/>
        </w:rPr>
        <w:t> </w:t>
      </w:r>
      <w:r>
        <w:rPr>
          <w:sz w:val="18"/>
          <w:u w:val="single"/>
        </w:rPr>
        <w:t>impacts</w:t>
      </w:r>
      <w:r>
        <w:rPr>
          <w:spacing w:val="-3"/>
          <w:sz w:val="18"/>
          <w:u w:val="single"/>
        </w:rPr>
        <w:t> </w:t>
      </w:r>
      <w:r>
        <w:rPr>
          <w:sz w:val="18"/>
          <w:u w:val="single"/>
        </w:rPr>
        <w:t>of</w:t>
      </w:r>
      <w:r>
        <w:rPr>
          <w:spacing w:val="-3"/>
          <w:sz w:val="18"/>
          <w:u w:val="single"/>
        </w:rPr>
        <w:t> </w:t>
      </w:r>
      <w:r>
        <w:rPr>
          <w:sz w:val="18"/>
          <w:u w:val="single"/>
        </w:rPr>
        <w:t>HCH for</w:t>
      </w:r>
      <w:r>
        <w:rPr>
          <w:spacing w:val="-2"/>
          <w:sz w:val="18"/>
          <w:u w:val="single"/>
        </w:rPr>
        <w:t> </w:t>
      </w:r>
      <w:r>
        <w:rPr>
          <w:sz w:val="18"/>
          <w:u w:val="single"/>
        </w:rPr>
        <w:t>you</w:t>
      </w:r>
      <w:r>
        <w:rPr>
          <w:spacing w:val="-2"/>
          <w:sz w:val="18"/>
          <w:u w:val="single"/>
        </w:rPr>
        <w:t> </w:t>
      </w:r>
      <w:r>
        <w:rPr>
          <w:sz w:val="18"/>
          <w:u w:val="single"/>
        </w:rPr>
        <w:t>practice</w:t>
      </w:r>
      <w:r>
        <w:rPr>
          <w:sz w:val="18"/>
        </w:rPr>
        <w:t>.</w:t>
      </w:r>
    </w:p>
    <w:p>
      <w:pPr>
        <w:pStyle w:val="BodyText"/>
        <w:spacing w:before="10"/>
        <w:rPr>
          <w:sz w:val="10"/>
        </w:rPr>
      </w:pPr>
    </w:p>
    <w:p>
      <w:pPr>
        <w:pStyle w:val="ListParagraph"/>
        <w:numPr>
          <w:ilvl w:val="1"/>
          <w:numId w:val="82"/>
        </w:numPr>
        <w:tabs>
          <w:tab w:pos="780" w:val="left" w:leader="none"/>
        </w:tabs>
        <w:spacing w:line="240" w:lineRule="auto" w:before="100" w:after="0"/>
        <w:ind w:left="780" w:right="917" w:hanging="360"/>
        <w:jc w:val="left"/>
        <w:rPr>
          <w:sz w:val="18"/>
        </w:rPr>
      </w:pPr>
      <w:r>
        <w:rPr>
          <w:sz w:val="18"/>
        </w:rPr>
        <w:t>In the baseline practice survey (conducted in late 2017), you provided the following information about how many</w:t>
      </w:r>
      <w:r>
        <w:rPr>
          <w:spacing w:val="-47"/>
          <w:sz w:val="18"/>
        </w:rPr>
        <w:t> </w:t>
      </w:r>
      <w:r>
        <w:rPr>
          <w:sz w:val="18"/>
        </w:rPr>
        <w:t>staff were employed in the practice/ service, by the type of staff? Please review these responses and update if</w:t>
      </w:r>
      <w:r>
        <w:rPr>
          <w:spacing w:val="1"/>
          <w:sz w:val="18"/>
        </w:rPr>
        <w:t> </w:t>
      </w:r>
      <w:r>
        <w:rPr>
          <w:sz w:val="18"/>
        </w:rPr>
        <w:t>necessary.</w:t>
      </w:r>
    </w:p>
    <w:p>
      <w:pPr>
        <w:pStyle w:val="BodyText"/>
        <w:spacing w:before="4"/>
        <w:rPr>
          <w:sz w:val="16"/>
        </w:rPr>
      </w:pPr>
    </w:p>
    <w:tbl>
      <w:tblPr>
        <w:tblW w:w="0" w:type="auto"/>
        <w:jc w:val="left"/>
        <w:tblInd w:w="62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4959"/>
        <w:gridCol w:w="1553"/>
        <w:gridCol w:w="1707"/>
        <w:gridCol w:w="1843"/>
      </w:tblGrid>
      <w:tr>
        <w:trPr>
          <w:trHeight w:val="662" w:hRule="atLeast"/>
        </w:trPr>
        <w:tc>
          <w:tcPr>
            <w:tcW w:w="4959" w:type="dxa"/>
            <w:shd w:val="clear" w:color="auto" w:fill="F1F1F1"/>
          </w:tcPr>
          <w:p>
            <w:pPr>
              <w:pStyle w:val="TableParagraph"/>
              <w:rPr>
                <w:rFonts w:ascii="Times New Roman"/>
                <w:sz w:val="18"/>
              </w:rPr>
            </w:pPr>
          </w:p>
        </w:tc>
        <w:tc>
          <w:tcPr>
            <w:tcW w:w="1553" w:type="dxa"/>
            <w:shd w:val="clear" w:color="auto" w:fill="F1F1F1"/>
          </w:tcPr>
          <w:p>
            <w:pPr>
              <w:pStyle w:val="TableParagraph"/>
              <w:spacing w:before="109"/>
              <w:ind w:left="658" w:right="223" w:hanging="409"/>
              <w:rPr>
                <w:sz w:val="18"/>
              </w:rPr>
            </w:pPr>
            <w:r>
              <w:rPr>
                <w:sz w:val="18"/>
              </w:rPr>
              <w:t>Head count</w:t>
            </w:r>
            <w:r>
              <w:rPr>
                <w:spacing w:val="-47"/>
                <w:sz w:val="18"/>
              </w:rPr>
              <w:t> </w:t>
            </w:r>
            <w:r>
              <w:rPr>
                <w:sz w:val="18"/>
              </w:rPr>
              <w:t>(1)</w:t>
            </w:r>
          </w:p>
        </w:tc>
        <w:tc>
          <w:tcPr>
            <w:tcW w:w="1707" w:type="dxa"/>
            <w:shd w:val="clear" w:color="auto" w:fill="F1F1F1"/>
          </w:tcPr>
          <w:p>
            <w:pPr>
              <w:pStyle w:val="TableParagraph"/>
              <w:spacing w:line="220" w:lineRule="exact"/>
              <w:ind w:left="166" w:right="156" w:hanging="1"/>
              <w:jc w:val="center"/>
              <w:rPr>
                <w:sz w:val="18"/>
              </w:rPr>
            </w:pPr>
            <w:r>
              <w:rPr>
                <w:sz w:val="18"/>
              </w:rPr>
              <w:t>Full-time</w:t>
            </w:r>
            <w:r>
              <w:rPr>
                <w:spacing w:val="1"/>
                <w:sz w:val="18"/>
              </w:rPr>
              <w:t> </w:t>
            </w:r>
            <w:r>
              <w:rPr>
                <w:sz w:val="18"/>
              </w:rPr>
              <w:t>equivalent</w:t>
            </w:r>
            <w:r>
              <w:rPr>
                <w:spacing w:val="-9"/>
                <w:sz w:val="18"/>
              </w:rPr>
              <w:t> </w:t>
            </w:r>
            <w:r>
              <w:rPr>
                <w:sz w:val="18"/>
              </w:rPr>
              <w:t>(FTE)</w:t>
            </w:r>
            <w:r>
              <w:rPr>
                <w:spacing w:val="-46"/>
                <w:sz w:val="18"/>
              </w:rPr>
              <w:t> </w:t>
            </w:r>
            <w:r>
              <w:rPr>
                <w:sz w:val="18"/>
              </w:rPr>
              <w:t>(2)</w:t>
            </w:r>
          </w:p>
        </w:tc>
        <w:tc>
          <w:tcPr>
            <w:tcW w:w="1843" w:type="dxa"/>
            <w:shd w:val="clear" w:color="auto" w:fill="F1F1F1"/>
          </w:tcPr>
          <w:p>
            <w:pPr>
              <w:pStyle w:val="TableParagraph"/>
              <w:spacing w:before="109"/>
              <w:ind w:left="802" w:right="211" w:hanging="572"/>
              <w:rPr>
                <w:sz w:val="18"/>
              </w:rPr>
            </w:pPr>
            <w:r>
              <w:rPr>
                <w:sz w:val="18"/>
              </w:rPr>
              <w:t>Vacancies</w:t>
            </w:r>
            <w:r>
              <w:rPr>
                <w:spacing w:val="-10"/>
                <w:sz w:val="18"/>
              </w:rPr>
              <w:t> </w:t>
            </w:r>
            <w:r>
              <w:rPr>
                <w:sz w:val="18"/>
              </w:rPr>
              <w:t>(FTE)</w:t>
            </w:r>
            <w:r>
              <w:rPr>
                <w:spacing w:val="-46"/>
                <w:sz w:val="18"/>
              </w:rPr>
              <w:t> </w:t>
            </w:r>
            <w:r>
              <w:rPr>
                <w:sz w:val="18"/>
              </w:rPr>
              <w:t>(3)</w:t>
            </w:r>
          </w:p>
        </w:tc>
      </w:tr>
      <w:tr>
        <w:trPr>
          <w:trHeight w:val="441" w:hRule="atLeast"/>
        </w:trPr>
        <w:tc>
          <w:tcPr>
            <w:tcW w:w="4959" w:type="dxa"/>
          </w:tcPr>
          <w:p>
            <w:pPr>
              <w:pStyle w:val="TableParagraph"/>
              <w:spacing w:line="220" w:lineRule="exact"/>
              <w:ind w:left="114"/>
              <w:rPr>
                <w:sz w:val="18"/>
              </w:rPr>
            </w:pPr>
            <w:r>
              <w:rPr>
                <w:sz w:val="18"/>
              </w:rPr>
              <w:t>General</w:t>
            </w:r>
            <w:r>
              <w:rPr>
                <w:spacing w:val="-5"/>
                <w:sz w:val="18"/>
              </w:rPr>
              <w:t> </w:t>
            </w:r>
            <w:r>
              <w:rPr>
                <w:sz w:val="18"/>
              </w:rPr>
              <w:t>medical</w:t>
            </w:r>
            <w:r>
              <w:rPr>
                <w:spacing w:val="-5"/>
                <w:sz w:val="18"/>
              </w:rPr>
              <w:t> </w:t>
            </w:r>
            <w:r>
              <w:rPr>
                <w:sz w:val="18"/>
              </w:rPr>
              <w:t>practitioners,</w:t>
            </w:r>
            <w:r>
              <w:rPr>
                <w:spacing w:val="-8"/>
                <w:sz w:val="18"/>
              </w:rPr>
              <w:t> </w:t>
            </w:r>
            <w:r>
              <w:rPr>
                <w:sz w:val="18"/>
              </w:rPr>
              <w:t>please</w:t>
            </w:r>
            <w:r>
              <w:rPr>
                <w:spacing w:val="-5"/>
                <w:sz w:val="18"/>
              </w:rPr>
              <w:t> </w:t>
            </w:r>
            <w:r>
              <w:rPr>
                <w:sz w:val="18"/>
              </w:rPr>
              <w:t>provide</w:t>
            </w:r>
            <w:r>
              <w:rPr>
                <w:spacing w:val="-47"/>
                <w:sz w:val="18"/>
              </w:rPr>
              <w:t> </w:t>
            </w:r>
            <w:r>
              <w:rPr>
                <w:sz w:val="18"/>
              </w:rPr>
              <w:t>additional</w:t>
            </w:r>
            <w:r>
              <w:rPr>
                <w:spacing w:val="-2"/>
                <w:sz w:val="18"/>
              </w:rPr>
              <w:t> </w:t>
            </w:r>
            <w:r>
              <w:rPr>
                <w:sz w:val="18"/>
              </w:rPr>
              <w:t>details</w:t>
            </w:r>
            <w:r>
              <w:rPr>
                <w:spacing w:val="-4"/>
                <w:sz w:val="18"/>
              </w:rPr>
              <w:t> </w:t>
            </w:r>
            <w:r>
              <w:rPr>
                <w:sz w:val="18"/>
              </w:rPr>
              <w:t>in</w:t>
            </w:r>
            <w:r>
              <w:rPr>
                <w:spacing w:val="-1"/>
                <w:sz w:val="18"/>
              </w:rPr>
              <w:t> </w:t>
            </w:r>
            <w:r>
              <w:rPr>
                <w:sz w:val="18"/>
              </w:rPr>
              <w:t>Question</w:t>
            </w:r>
            <w:r>
              <w:rPr>
                <w:spacing w:val="-1"/>
                <w:sz w:val="18"/>
              </w:rPr>
              <w:t> </w:t>
            </w:r>
            <w:r>
              <w:rPr>
                <w:sz w:val="18"/>
              </w:rPr>
              <w:t>9 below</w:t>
            </w:r>
            <w:r>
              <w:rPr>
                <w:spacing w:val="-1"/>
                <w:sz w:val="18"/>
              </w:rPr>
              <w:t> </w:t>
            </w:r>
            <w:r>
              <w:rPr>
                <w:sz w:val="18"/>
              </w:rPr>
              <w:t>(1)</w:t>
            </w:r>
          </w:p>
        </w:tc>
        <w:tc>
          <w:tcPr>
            <w:tcW w:w="1553" w:type="dxa"/>
          </w:tcPr>
          <w:p>
            <w:pPr>
              <w:pStyle w:val="TableParagraph"/>
              <w:rPr>
                <w:rFonts w:ascii="Times New Roman"/>
                <w:sz w:val="18"/>
              </w:rPr>
            </w:pPr>
          </w:p>
        </w:tc>
        <w:tc>
          <w:tcPr>
            <w:tcW w:w="1707" w:type="dxa"/>
          </w:tcPr>
          <w:p>
            <w:pPr>
              <w:pStyle w:val="TableParagraph"/>
              <w:rPr>
                <w:rFonts w:ascii="Times New Roman"/>
                <w:sz w:val="18"/>
              </w:rPr>
            </w:pPr>
          </w:p>
        </w:tc>
        <w:tc>
          <w:tcPr>
            <w:tcW w:w="1843" w:type="dxa"/>
          </w:tcPr>
          <w:p>
            <w:pPr>
              <w:pStyle w:val="TableParagraph"/>
              <w:rPr>
                <w:rFonts w:ascii="Times New Roman"/>
                <w:sz w:val="18"/>
              </w:rPr>
            </w:pPr>
          </w:p>
        </w:tc>
      </w:tr>
      <w:tr>
        <w:trPr>
          <w:trHeight w:val="244" w:hRule="atLeast"/>
        </w:trPr>
        <w:tc>
          <w:tcPr>
            <w:tcW w:w="4959" w:type="dxa"/>
          </w:tcPr>
          <w:p>
            <w:pPr>
              <w:pStyle w:val="TableParagraph"/>
              <w:spacing w:line="214" w:lineRule="exact" w:before="10"/>
              <w:ind w:left="114"/>
              <w:rPr>
                <w:sz w:val="18"/>
              </w:rPr>
            </w:pPr>
            <w:r>
              <w:rPr>
                <w:sz w:val="18"/>
              </w:rPr>
              <w:t>General</w:t>
            </w:r>
            <w:r>
              <w:rPr>
                <w:spacing w:val="-5"/>
                <w:sz w:val="18"/>
              </w:rPr>
              <w:t> </w:t>
            </w:r>
            <w:r>
              <w:rPr>
                <w:sz w:val="18"/>
              </w:rPr>
              <w:t>practice</w:t>
            </w:r>
            <w:r>
              <w:rPr>
                <w:spacing w:val="-4"/>
                <w:sz w:val="18"/>
              </w:rPr>
              <w:t> </w:t>
            </w:r>
            <w:r>
              <w:rPr>
                <w:sz w:val="18"/>
              </w:rPr>
              <w:t>registrar/advanced</w:t>
            </w:r>
            <w:r>
              <w:rPr>
                <w:spacing w:val="-5"/>
                <w:sz w:val="18"/>
              </w:rPr>
              <w:t> </w:t>
            </w:r>
            <w:r>
              <w:rPr>
                <w:sz w:val="18"/>
              </w:rPr>
              <w:t>trainee</w:t>
            </w:r>
            <w:r>
              <w:rPr>
                <w:spacing w:val="-4"/>
                <w:sz w:val="18"/>
              </w:rPr>
              <w:t> </w:t>
            </w:r>
            <w:r>
              <w:rPr>
                <w:sz w:val="18"/>
              </w:rPr>
              <w:t>(4)</w:t>
            </w:r>
          </w:p>
        </w:tc>
        <w:tc>
          <w:tcPr>
            <w:tcW w:w="1553" w:type="dxa"/>
          </w:tcPr>
          <w:p>
            <w:pPr>
              <w:pStyle w:val="TableParagraph"/>
              <w:rPr>
                <w:rFonts w:ascii="Times New Roman"/>
                <w:sz w:val="16"/>
              </w:rPr>
            </w:pPr>
          </w:p>
        </w:tc>
        <w:tc>
          <w:tcPr>
            <w:tcW w:w="1707" w:type="dxa"/>
          </w:tcPr>
          <w:p>
            <w:pPr>
              <w:pStyle w:val="TableParagraph"/>
              <w:rPr>
                <w:rFonts w:ascii="Times New Roman"/>
                <w:sz w:val="16"/>
              </w:rPr>
            </w:pPr>
          </w:p>
        </w:tc>
        <w:tc>
          <w:tcPr>
            <w:tcW w:w="1843" w:type="dxa"/>
          </w:tcPr>
          <w:p>
            <w:pPr>
              <w:pStyle w:val="TableParagraph"/>
              <w:rPr>
                <w:rFonts w:ascii="Times New Roman"/>
                <w:sz w:val="16"/>
              </w:rPr>
            </w:pPr>
          </w:p>
        </w:tc>
      </w:tr>
      <w:tr>
        <w:trPr>
          <w:trHeight w:val="246" w:hRule="atLeast"/>
        </w:trPr>
        <w:tc>
          <w:tcPr>
            <w:tcW w:w="4959" w:type="dxa"/>
          </w:tcPr>
          <w:p>
            <w:pPr>
              <w:pStyle w:val="TableParagraph"/>
              <w:spacing w:line="214" w:lineRule="exact" w:before="13"/>
              <w:ind w:left="114"/>
              <w:rPr>
                <w:sz w:val="18"/>
              </w:rPr>
            </w:pPr>
            <w:r>
              <w:rPr>
                <w:sz w:val="18"/>
              </w:rPr>
              <w:t>Other</w:t>
            </w:r>
            <w:r>
              <w:rPr>
                <w:spacing w:val="-5"/>
                <w:sz w:val="18"/>
              </w:rPr>
              <w:t> </w:t>
            </w:r>
            <w:r>
              <w:rPr>
                <w:sz w:val="18"/>
              </w:rPr>
              <w:t>medical</w:t>
            </w:r>
            <w:r>
              <w:rPr>
                <w:spacing w:val="-4"/>
                <w:sz w:val="18"/>
              </w:rPr>
              <w:t> </w:t>
            </w:r>
            <w:r>
              <w:rPr>
                <w:sz w:val="18"/>
              </w:rPr>
              <w:t>practitioner,</w:t>
            </w:r>
            <w:r>
              <w:rPr>
                <w:spacing w:val="-6"/>
                <w:sz w:val="18"/>
              </w:rPr>
              <w:t> </w:t>
            </w:r>
            <w:r>
              <w:rPr>
                <w:sz w:val="18"/>
              </w:rPr>
              <w:t>please</w:t>
            </w:r>
            <w:r>
              <w:rPr>
                <w:spacing w:val="-4"/>
                <w:sz w:val="18"/>
              </w:rPr>
              <w:t> </w:t>
            </w:r>
            <w:r>
              <w:rPr>
                <w:sz w:val="18"/>
              </w:rPr>
              <w:t>specify</w:t>
            </w:r>
            <w:r>
              <w:rPr>
                <w:spacing w:val="-2"/>
                <w:sz w:val="18"/>
              </w:rPr>
              <w:t> </w:t>
            </w:r>
            <w:r>
              <w:rPr>
                <w:sz w:val="18"/>
              </w:rPr>
              <w:t>(6)</w:t>
            </w:r>
          </w:p>
        </w:tc>
        <w:tc>
          <w:tcPr>
            <w:tcW w:w="1553" w:type="dxa"/>
          </w:tcPr>
          <w:p>
            <w:pPr>
              <w:pStyle w:val="TableParagraph"/>
              <w:rPr>
                <w:rFonts w:ascii="Times New Roman"/>
                <w:sz w:val="16"/>
              </w:rPr>
            </w:pPr>
          </w:p>
        </w:tc>
        <w:tc>
          <w:tcPr>
            <w:tcW w:w="1707" w:type="dxa"/>
          </w:tcPr>
          <w:p>
            <w:pPr>
              <w:pStyle w:val="TableParagraph"/>
              <w:rPr>
                <w:rFonts w:ascii="Times New Roman"/>
                <w:sz w:val="16"/>
              </w:rPr>
            </w:pPr>
          </w:p>
        </w:tc>
        <w:tc>
          <w:tcPr>
            <w:tcW w:w="1843" w:type="dxa"/>
          </w:tcPr>
          <w:p>
            <w:pPr>
              <w:pStyle w:val="TableParagraph"/>
              <w:rPr>
                <w:rFonts w:ascii="Times New Roman"/>
                <w:sz w:val="16"/>
              </w:rPr>
            </w:pPr>
          </w:p>
        </w:tc>
      </w:tr>
      <w:tr>
        <w:trPr>
          <w:trHeight w:val="244" w:hRule="atLeast"/>
        </w:trPr>
        <w:tc>
          <w:tcPr>
            <w:tcW w:w="4959" w:type="dxa"/>
          </w:tcPr>
          <w:p>
            <w:pPr>
              <w:pStyle w:val="TableParagraph"/>
              <w:spacing w:line="214" w:lineRule="exact" w:before="10"/>
              <w:ind w:left="114"/>
              <w:rPr>
                <w:sz w:val="18"/>
              </w:rPr>
            </w:pPr>
            <w:r>
              <w:rPr>
                <w:sz w:val="18"/>
              </w:rPr>
              <w:t>Nurse</w:t>
            </w:r>
            <w:r>
              <w:rPr>
                <w:spacing w:val="-6"/>
                <w:sz w:val="18"/>
              </w:rPr>
              <w:t> </w:t>
            </w:r>
            <w:r>
              <w:rPr>
                <w:sz w:val="18"/>
              </w:rPr>
              <w:t>practitioner</w:t>
            </w:r>
            <w:r>
              <w:rPr>
                <w:spacing w:val="-5"/>
                <w:sz w:val="18"/>
              </w:rPr>
              <w:t> </w:t>
            </w:r>
            <w:r>
              <w:rPr>
                <w:sz w:val="18"/>
              </w:rPr>
              <w:t>(Registered</w:t>
            </w:r>
            <w:r>
              <w:rPr>
                <w:spacing w:val="-7"/>
                <w:sz w:val="18"/>
              </w:rPr>
              <w:t> </w:t>
            </w:r>
            <w:r>
              <w:rPr>
                <w:sz w:val="18"/>
              </w:rPr>
              <w:t>nurse)</w:t>
            </w:r>
            <w:r>
              <w:rPr>
                <w:spacing w:val="-4"/>
                <w:sz w:val="18"/>
              </w:rPr>
              <w:t> </w:t>
            </w:r>
            <w:r>
              <w:rPr>
                <w:sz w:val="18"/>
              </w:rPr>
              <w:t>(7)</w:t>
            </w:r>
          </w:p>
        </w:tc>
        <w:tc>
          <w:tcPr>
            <w:tcW w:w="1553" w:type="dxa"/>
          </w:tcPr>
          <w:p>
            <w:pPr>
              <w:pStyle w:val="TableParagraph"/>
              <w:rPr>
                <w:rFonts w:ascii="Times New Roman"/>
                <w:sz w:val="16"/>
              </w:rPr>
            </w:pPr>
          </w:p>
        </w:tc>
        <w:tc>
          <w:tcPr>
            <w:tcW w:w="1707" w:type="dxa"/>
          </w:tcPr>
          <w:p>
            <w:pPr>
              <w:pStyle w:val="TableParagraph"/>
              <w:rPr>
                <w:rFonts w:ascii="Times New Roman"/>
                <w:sz w:val="16"/>
              </w:rPr>
            </w:pPr>
          </w:p>
        </w:tc>
        <w:tc>
          <w:tcPr>
            <w:tcW w:w="1843" w:type="dxa"/>
          </w:tcPr>
          <w:p>
            <w:pPr>
              <w:pStyle w:val="TableParagraph"/>
              <w:rPr>
                <w:rFonts w:ascii="Times New Roman"/>
                <w:sz w:val="16"/>
              </w:rPr>
            </w:pPr>
          </w:p>
        </w:tc>
      </w:tr>
      <w:tr>
        <w:trPr>
          <w:trHeight w:val="244" w:hRule="atLeast"/>
        </w:trPr>
        <w:tc>
          <w:tcPr>
            <w:tcW w:w="4959" w:type="dxa"/>
          </w:tcPr>
          <w:p>
            <w:pPr>
              <w:pStyle w:val="TableParagraph"/>
              <w:spacing w:line="214" w:lineRule="exact" w:before="11"/>
              <w:ind w:left="114"/>
              <w:rPr>
                <w:sz w:val="18"/>
              </w:rPr>
            </w:pPr>
            <w:r>
              <w:rPr>
                <w:sz w:val="18"/>
              </w:rPr>
              <w:t>Remote</w:t>
            </w:r>
            <w:r>
              <w:rPr>
                <w:spacing w:val="-5"/>
                <w:sz w:val="18"/>
              </w:rPr>
              <w:t> </w:t>
            </w:r>
            <w:r>
              <w:rPr>
                <w:sz w:val="18"/>
              </w:rPr>
              <w:t>area</w:t>
            </w:r>
            <w:r>
              <w:rPr>
                <w:spacing w:val="-5"/>
                <w:sz w:val="18"/>
              </w:rPr>
              <w:t> </w:t>
            </w:r>
            <w:r>
              <w:rPr>
                <w:sz w:val="18"/>
              </w:rPr>
              <w:t>nurse</w:t>
            </w:r>
            <w:r>
              <w:rPr>
                <w:spacing w:val="-4"/>
                <w:sz w:val="18"/>
              </w:rPr>
              <w:t> </w:t>
            </w:r>
            <w:r>
              <w:rPr>
                <w:sz w:val="18"/>
              </w:rPr>
              <w:t>(Registered</w:t>
            </w:r>
            <w:r>
              <w:rPr>
                <w:spacing w:val="-5"/>
                <w:sz w:val="18"/>
              </w:rPr>
              <w:t> </w:t>
            </w:r>
            <w:r>
              <w:rPr>
                <w:sz w:val="18"/>
              </w:rPr>
              <w:t>nurse)</w:t>
            </w:r>
            <w:r>
              <w:rPr>
                <w:spacing w:val="-3"/>
                <w:sz w:val="18"/>
              </w:rPr>
              <w:t> </w:t>
            </w:r>
            <w:r>
              <w:rPr>
                <w:sz w:val="18"/>
              </w:rPr>
              <w:t>(8)</w:t>
            </w:r>
          </w:p>
        </w:tc>
        <w:tc>
          <w:tcPr>
            <w:tcW w:w="1553" w:type="dxa"/>
          </w:tcPr>
          <w:p>
            <w:pPr>
              <w:pStyle w:val="TableParagraph"/>
              <w:rPr>
                <w:rFonts w:ascii="Times New Roman"/>
                <w:sz w:val="16"/>
              </w:rPr>
            </w:pPr>
          </w:p>
        </w:tc>
        <w:tc>
          <w:tcPr>
            <w:tcW w:w="1707" w:type="dxa"/>
          </w:tcPr>
          <w:p>
            <w:pPr>
              <w:pStyle w:val="TableParagraph"/>
              <w:rPr>
                <w:rFonts w:ascii="Times New Roman"/>
                <w:sz w:val="16"/>
              </w:rPr>
            </w:pPr>
          </w:p>
        </w:tc>
        <w:tc>
          <w:tcPr>
            <w:tcW w:w="1843" w:type="dxa"/>
          </w:tcPr>
          <w:p>
            <w:pPr>
              <w:pStyle w:val="TableParagraph"/>
              <w:rPr>
                <w:rFonts w:ascii="Times New Roman"/>
                <w:sz w:val="16"/>
              </w:rPr>
            </w:pPr>
          </w:p>
        </w:tc>
      </w:tr>
      <w:tr>
        <w:trPr>
          <w:trHeight w:val="246" w:hRule="atLeast"/>
        </w:trPr>
        <w:tc>
          <w:tcPr>
            <w:tcW w:w="4959" w:type="dxa"/>
          </w:tcPr>
          <w:p>
            <w:pPr>
              <w:pStyle w:val="TableParagraph"/>
              <w:spacing w:line="214" w:lineRule="exact" w:before="13"/>
              <w:ind w:left="114"/>
              <w:rPr>
                <w:sz w:val="18"/>
              </w:rPr>
            </w:pPr>
            <w:r>
              <w:rPr>
                <w:sz w:val="18"/>
              </w:rPr>
              <w:t>Practice</w:t>
            </w:r>
            <w:r>
              <w:rPr>
                <w:spacing w:val="-5"/>
                <w:sz w:val="18"/>
              </w:rPr>
              <w:t> </w:t>
            </w:r>
            <w:r>
              <w:rPr>
                <w:sz w:val="18"/>
              </w:rPr>
              <w:t>nurse</w:t>
            </w:r>
            <w:r>
              <w:rPr>
                <w:spacing w:val="-5"/>
                <w:sz w:val="18"/>
              </w:rPr>
              <w:t> </w:t>
            </w:r>
            <w:r>
              <w:rPr>
                <w:sz w:val="18"/>
              </w:rPr>
              <w:t>(Registered</w:t>
            </w:r>
            <w:r>
              <w:rPr>
                <w:spacing w:val="-6"/>
                <w:sz w:val="18"/>
              </w:rPr>
              <w:t> </w:t>
            </w:r>
            <w:r>
              <w:rPr>
                <w:sz w:val="18"/>
              </w:rPr>
              <w:t>nurse)</w:t>
            </w:r>
            <w:r>
              <w:rPr>
                <w:spacing w:val="-4"/>
                <w:sz w:val="18"/>
              </w:rPr>
              <w:t> </w:t>
            </w:r>
            <w:r>
              <w:rPr>
                <w:sz w:val="18"/>
              </w:rPr>
              <w:t>(9)</w:t>
            </w:r>
          </w:p>
        </w:tc>
        <w:tc>
          <w:tcPr>
            <w:tcW w:w="1553" w:type="dxa"/>
          </w:tcPr>
          <w:p>
            <w:pPr>
              <w:pStyle w:val="TableParagraph"/>
              <w:rPr>
                <w:rFonts w:ascii="Times New Roman"/>
                <w:sz w:val="16"/>
              </w:rPr>
            </w:pPr>
          </w:p>
        </w:tc>
        <w:tc>
          <w:tcPr>
            <w:tcW w:w="1707" w:type="dxa"/>
          </w:tcPr>
          <w:p>
            <w:pPr>
              <w:pStyle w:val="TableParagraph"/>
              <w:rPr>
                <w:rFonts w:ascii="Times New Roman"/>
                <w:sz w:val="16"/>
              </w:rPr>
            </w:pPr>
          </w:p>
        </w:tc>
        <w:tc>
          <w:tcPr>
            <w:tcW w:w="1843" w:type="dxa"/>
          </w:tcPr>
          <w:p>
            <w:pPr>
              <w:pStyle w:val="TableParagraph"/>
              <w:rPr>
                <w:rFonts w:ascii="Times New Roman"/>
                <w:sz w:val="16"/>
              </w:rPr>
            </w:pPr>
          </w:p>
        </w:tc>
      </w:tr>
      <w:tr>
        <w:trPr>
          <w:trHeight w:val="244" w:hRule="atLeast"/>
        </w:trPr>
        <w:tc>
          <w:tcPr>
            <w:tcW w:w="4959" w:type="dxa"/>
          </w:tcPr>
          <w:p>
            <w:pPr>
              <w:pStyle w:val="TableParagraph"/>
              <w:spacing w:line="214" w:lineRule="exact" w:before="10"/>
              <w:ind w:left="114"/>
              <w:rPr>
                <w:sz w:val="18"/>
              </w:rPr>
            </w:pPr>
            <w:r>
              <w:rPr>
                <w:sz w:val="18"/>
              </w:rPr>
              <w:t>Practice</w:t>
            </w:r>
            <w:r>
              <w:rPr>
                <w:spacing w:val="-4"/>
                <w:sz w:val="18"/>
              </w:rPr>
              <w:t> </w:t>
            </w:r>
            <w:r>
              <w:rPr>
                <w:sz w:val="18"/>
              </w:rPr>
              <w:t>nurse</w:t>
            </w:r>
            <w:r>
              <w:rPr>
                <w:spacing w:val="-4"/>
                <w:sz w:val="18"/>
              </w:rPr>
              <w:t> </w:t>
            </w:r>
            <w:r>
              <w:rPr>
                <w:sz w:val="18"/>
              </w:rPr>
              <w:t>(Enrolled</w:t>
            </w:r>
            <w:r>
              <w:rPr>
                <w:spacing w:val="-5"/>
                <w:sz w:val="18"/>
              </w:rPr>
              <w:t> </w:t>
            </w:r>
            <w:r>
              <w:rPr>
                <w:sz w:val="18"/>
              </w:rPr>
              <w:t>nurse)</w:t>
            </w:r>
            <w:r>
              <w:rPr>
                <w:spacing w:val="-3"/>
                <w:sz w:val="18"/>
              </w:rPr>
              <w:t> </w:t>
            </w:r>
            <w:r>
              <w:rPr>
                <w:sz w:val="18"/>
              </w:rPr>
              <w:t>(10)</w:t>
            </w:r>
          </w:p>
        </w:tc>
        <w:tc>
          <w:tcPr>
            <w:tcW w:w="1553" w:type="dxa"/>
          </w:tcPr>
          <w:p>
            <w:pPr>
              <w:pStyle w:val="TableParagraph"/>
              <w:rPr>
                <w:rFonts w:ascii="Times New Roman"/>
                <w:sz w:val="16"/>
              </w:rPr>
            </w:pPr>
          </w:p>
        </w:tc>
        <w:tc>
          <w:tcPr>
            <w:tcW w:w="1707" w:type="dxa"/>
          </w:tcPr>
          <w:p>
            <w:pPr>
              <w:pStyle w:val="TableParagraph"/>
              <w:rPr>
                <w:rFonts w:ascii="Times New Roman"/>
                <w:sz w:val="16"/>
              </w:rPr>
            </w:pPr>
          </w:p>
        </w:tc>
        <w:tc>
          <w:tcPr>
            <w:tcW w:w="1843" w:type="dxa"/>
          </w:tcPr>
          <w:p>
            <w:pPr>
              <w:pStyle w:val="TableParagraph"/>
              <w:rPr>
                <w:rFonts w:ascii="Times New Roman"/>
                <w:sz w:val="16"/>
              </w:rPr>
            </w:pPr>
          </w:p>
        </w:tc>
      </w:tr>
      <w:tr>
        <w:trPr>
          <w:trHeight w:val="246" w:hRule="atLeast"/>
        </w:trPr>
        <w:tc>
          <w:tcPr>
            <w:tcW w:w="4959" w:type="dxa"/>
          </w:tcPr>
          <w:p>
            <w:pPr>
              <w:pStyle w:val="TableParagraph"/>
              <w:spacing w:line="216" w:lineRule="exact" w:before="10"/>
              <w:ind w:left="114"/>
              <w:rPr>
                <w:sz w:val="18"/>
              </w:rPr>
            </w:pPr>
            <w:r>
              <w:rPr>
                <w:sz w:val="18"/>
              </w:rPr>
              <w:t>Nursing</w:t>
            </w:r>
            <w:r>
              <w:rPr>
                <w:spacing w:val="-8"/>
                <w:sz w:val="18"/>
              </w:rPr>
              <w:t> </w:t>
            </w:r>
            <w:r>
              <w:rPr>
                <w:sz w:val="18"/>
              </w:rPr>
              <w:t>assistant/Assistant</w:t>
            </w:r>
            <w:r>
              <w:rPr>
                <w:spacing w:val="-7"/>
                <w:sz w:val="18"/>
              </w:rPr>
              <w:t> </w:t>
            </w:r>
            <w:r>
              <w:rPr>
                <w:sz w:val="18"/>
              </w:rPr>
              <w:t>in</w:t>
            </w:r>
            <w:r>
              <w:rPr>
                <w:spacing w:val="-7"/>
                <w:sz w:val="18"/>
              </w:rPr>
              <w:t> </w:t>
            </w:r>
            <w:r>
              <w:rPr>
                <w:sz w:val="18"/>
              </w:rPr>
              <w:t>Nursing</w:t>
            </w:r>
            <w:r>
              <w:rPr>
                <w:spacing w:val="-4"/>
                <w:sz w:val="18"/>
              </w:rPr>
              <w:t> </w:t>
            </w:r>
            <w:r>
              <w:rPr>
                <w:sz w:val="18"/>
              </w:rPr>
              <w:t>(11)</w:t>
            </w:r>
          </w:p>
        </w:tc>
        <w:tc>
          <w:tcPr>
            <w:tcW w:w="1553" w:type="dxa"/>
          </w:tcPr>
          <w:p>
            <w:pPr>
              <w:pStyle w:val="TableParagraph"/>
              <w:rPr>
                <w:rFonts w:ascii="Times New Roman"/>
                <w:sz w:val="16"/>
              </w:rPr>
            </w:pPr>
          </w:p>
        </w:tc>
        <w:tc>
          <w:tcPr>
            <w:tcW w:w="1707" w:type="dxa"/>
          </w:tcPr>
          <w:p>
            <w:pPr>
              <w:pStyle w:val="TableParagraph"/>
              <w:rPr>
                <w:rFonts w:ascii="Times New Roman"/>
                <w:sz w:val="16"/>
              </w:rPr>
            </w:pPr>
          </w:p>
        </w:tc>
        <w:tc>
          <w:tcPr>
            <w:tcW w:w="1843" w:type="dxa"/>
          </w:tcPr>
          <w:p>
            <w:pPr>
              <w:pStyle w:val="TableParagraph"/>
              <w:rPr>
                <w:rFonts w:ascii="Times New Roman"/>
                <w:sz w:val="16"/>
              </w:rPr>
            </w:pPr>
          </w:p>
        </w:tc>
      </w:tr>
    </w:tbl>
    <w:p>
      <w:pPr>
        <w:spacing w:after="0"/>
        <w:rPr>
          <w:rFonts w:ascii="Times New Roman"/>
          <w:sz w:val="16"/>
        </w:rPr>
        <w:sectPr>
          <w:footerReference w:type="default" r:id="rId48"/>
          <w:pgSz w:w="11910" w:h="16840"/>
          <w:pgMar w:footer="879" w:header="0" w:top="860" w:bottom="1060" w:left="300" w:right="0"/>
        </w:sectPr>
      </w:pPr>
    </w:p>
    <w:tbl>
      <w:tblPr>
        <w:tblW w:w="0" w:type="auto"/>
        <w:jc w:val="left"/>
        <w:tblInd w:w="62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4959"/>
        <w:gridCol w:w="1553"/>
        <w:gridCol w:w="1707"/>
        <w:gridCol w:w="1843"/>
      </w:tblGrid>
      <w:tr>
        <w:trPr>
          <w:trHeight w:val="659" w:hRule="atLeast"/>
        </w:trPr>
        <w:tc>
          <w:tcPr>
            <w:tcW w:w="4959" w:type="dxa"/>
            <w:tcBorders>
              <w:bottom w:val="single" w:sz="6" w:space="0" w:color="BEBEBE"/>
            </w:tcBorders>
            <w:shd w:val="clear" w:color="auto" w:fill="F1F1F1"/>
          </w:tcPr>
          <w:p>
            <w:pPr>
              <w:pStyle w:val="TableParagraph"/>
              <w:rPr>
                <w:rFonts w:ascii="Times New Roman"/>
                <w:sz w:val="18"/>
              </w:rPr>
            </w:pPr>
          </w:p>
        </w:tc>
        <w:tc>
          <w:tcPr>
            <w:tcW w:w="1553" w:type="dxa"/>
            <w:tcBorders>
              <w:bottom w:val="single" w:sz="6" w:space="0" w:color="BEBEBE"/>
            </w:tcBorders>
            <w:shd w:val="clear" w:color="auto" w:fill="F1F1F1"/>
          </w:tcPr>
          <w:p>
            <w:pPr>
              <w:pStyle w:val="TableParagraph"/>
              <w:spacing w:before="106"/>
              <w:ind w:left="658" w:right="223" w:hanging="409"/>
              <w:rPr>
                <w:sz w:val="18"/>
              </w:rPr>
            </w:pPr>
            <w:r>
              <w:rPr>
                <w:sz w:val="18"/>
              </w:rPr>
              <w:t>Head count</w:t>
            </w:r>
            <w:r>
              <w:rPr>
                <w:spacing w:val="-47"/>
                <w:sz w:val="18"/>
              </w:rPr>
              <w:t> </w:t>
            </w:r>
            <w:r>
              <w:rPr>
                <w:sz w:val="18"/>
              </w:rPr>
              <w:t>(1)</w:t>
            </w:r>
          </w:p>
        </w:tc>
        <w:tc>
          <w:tcPr>
            <w:tcW w:w="1707" w:type="dxa"/>
            <w:tcBorders>
              <w:bottom w:val="single" w:sz="6" w:space="0" w:color="BEBEBE"/>
            </w:tcBorders>
            <w:shd w:val="clear" w:color="auto" w:fill="F1F1F1"/>
          </w:tcPr>
          <w:p>
            <w:pPr>
              <w:pStyle w:val="TableParagraph"/>
              <w:spacing w:line="220" w:lineRule="exact"/>
              <w:ind w:left="166" w:right="156" w:hanging="1"/>
              <w:jc w:val="center"/>
              <w:rPr>
                <w:sz w:val="18"/>
              </w:rPr>
            </w:pPr>
            <w:r>
              <w:rPr>
                <w:sz w:val="18"/>
              </w:rPr>
              <w:t>Full-time</w:t>
            </w:r>
            <w:r>
              <w:rPr>
                <w:spacing w:val="1"/>
                <w:sz w:val="18"/>
              </w:rPr>
              <w:t> </w:t>
            </w:r>
            <w:r>
              <w:rPr>
                <w:sz w:val="18"/>
              </w:rPr>
              <w:t>equivalent</w:t>
            </w:r>
            <w:r>
              <w:rPr>
                <w:spacing w:val="-9"/>
                <w:sz w:val="18"/>
              </w:rPr>
              <w:t> </w:t>
            </w:r>
            <w:r>
              <w:rPr>
                <w:sz w:val="18"/>
              </w:rPr>
              <w:t>(FTE)</w:t>
            </w:r>
            <w:r>
              <w:rPr>
                <w:spacing w:val="-46"/>
                <w:sz w:val="18"/>
              </w:rPr>
              <w:t> </w:t>
            </w:r>
            <w:r>
              <w:rPr>
                <w:sz w:val="18"/>
              </w:rPr>
              <w:t>(2)</w:t>
            </w:r>
          </w:p>
        </w:tc>
        <w:tc>
          <w:tcPr>
            <w:tcW w:w="1843" w:type="dxa"/>
            <w:tcBorders>
              <w:bottom w:val="single" w:sz="6" w:space="0" w:color="BEBEBE"/>
            </w:tcBorders>
            <w:shd w:val="clear" w:color="auto" w:fill="F1F1F1"/>
          </w:tcPr>
          <w:p>
            <w:pPr>
              <w:pStyle w:val="TableParagraph"/>
              <w:spacing w:before="106"/>
              <w:ind w:left="802" w:right="211" w:hanging="572"/>
              <w:rPr>
                <w:sz w:val="18"/>
              </w:rPr>
            </w:pPr>
            <w:r>
              <w:rPr>
                <w:sz w:val="18"/>
              </w:rPr>
              <w:t>Vacancies</w:t>
            </w:r>
            <w:r>
              <w:rPr>
                <w:spacing w:val="-10"/>
                <w:sz w:val="18"/>
              </w:rPr>
              <w:t> </w:t>
            </w:r>
            <w:r>
              <w:rPr>
                <w:sz w:val="18"/>
              </w:rPr>
              <w:t>(FTE)</w:t>
            </w:r>
            <w:r>
              <w:rPr>
                <w:spacing w:val="-46"/>
                <w:sz w:val="18"/>
              </w:rPr>
              <w:t> </w:t>
            </w:r>
            <w:r>
              <w:rPr>
                <w:sz w:val="18"/>
              </w:rPr>
              <w:t>(3)</w:t>
            </w:r>
          </w:p>
        </w:tc>
      </w:tr>
      <w:tr>
        <w:trPr>
          <w:trHeight w:val="242" w:hRule="atLeast"/>
        </w:trPr>
        <w:tc>
          <w:tcPr>
            <w:tcW w:w="4959" w:type="dxa"/>
            <w:tcBorders>
              <w:top w:val="single" w:sz="6" w:space="0" w:color="BEBEBE"/>
            </w:tcBorders>
          </w:tcPr>
          <w:p>
            <w:pPr>
              <w:pStyle w:val="TableParagraph"/>
              <w:spacing w:line="217" w:lineRule="exact" w:before="5"/>
              <w:ind w:left="114"/>
              <w:rPr>
                <w:sz w:val="18"/>
              </w:rPr>
            </w:pPr>
            <w:r>
              <w:rPr>
                <w:sz w:val="18"/>
              </w:rPr>
              <w:t>Aboriginal</w:t>
            </w:r>
            <w:r>
              <w:rPr>
                <w:spacing w:val="-6"/>
                <w:sz w:val="18"/>
              </w:rPr>
              <w:t> </w:t>
            </w:r>
            <w:r>
              <w:rPr>
                <w:sz w:val="18"/>
              </w:rPr>
              <w:t>Health</w:t>
            </w:r>
            <w:r>
              <w:rPr>
                <w:spacing w:val="-2"/>
                <w:sz w:val="18"/>
              </w:rPr>
              <w:t> </w:t>
            </w:r>
            <w:r>
              <w:rPr>
                <w:sz w:val="18"/>
              </w:rPr>
              <w:t>Practitioner</w:t>
            </w:r>
            <w:r>
              <w:rPr>
                <w:spacing w:val="-1"/>
                <w:sz w:val="18"/>
              </w:rPr>
              <w:t> </w:t>
            </w:r>
            <w:r>
              <w:rPr>
                <w:sz w:val="18"/>
              </w:rPr>
              <w:t>(12)</w:t>
            </w:r>
          </w:p>
        </w:tc>
        <w:tc>
          <w:tcPr>
            <w:tcW w:w="1553" w:type="dxa"/>
            <w:tcBorders>
              <w:top w:val="single" w:sz="6" w:space="0" w:color="BEBEBE"/>
            </w:tcBorders>
          </w:tcPr>
          <w:p>
            <w:pPr>
              <w:pStyle w:val="TableParagraph"/>
              <w:rPr>
                <w:rFonts w:ascii="Times New Roman"/>
                <w:sz w:val="16"/>
              </w:rPr>
            </w:pPr>
          </w:p>
        </w:tc>
        <w:tc>
          <w:tcPr>
            <w:tcW w:w="1707" w:type="dxa"/>
            <w:tcBorders>
              <w:top w:val="single" w:sz="6" w:space="0" w:color="BEBEBE"/>
            </w:tcBorders>
          </w:tcPr>
          <w:p>
            <w:pPr>
              <w:pStyle w:val="TableParagraph"/>
              <w:rPr>
                <w:rFonts w:ascii="Times New Roman"/>
                <w:sz w:val="16"/>
              </w:rPr>
            </w:pPr>
          </w:p>
        </w:tc>
        <w:tc>
          <w:tcPr>
            <w:tcW w:w="1843" w:type="dxa"/>
            <w:tcBorders>
              <w:top w:val="single" w:sz="6" w:space="0" w:color="BEBEBE"/>
            </w:tcBorders>
          </w:tcPr>
          <w:p>
            <w:pPr>
              <w:pStyle w:val="TableParagraph"/>
              <w:rPr>
                <w:rFonts w:ascii="Times New Roman"/>
                <w:sz w:val="16"/>
              </w:rPr>
            </w:pPr>
          </w:p>
        </w:tc>
      </w:tr>
      <w:tr>
        <w:trPr>
          <w:trHeight w:val="244" w:hRule="atLeast"/>
        </w:trPr>
        <w:tc>
          <w:tcPr>
            <w:tcW w:w="4959" w:type="dxa"/>
          </w:tcPr>
          <w:p>
            <w:pPr>
              <w:pStyle w:val="TableParagraph"/>
              <w:spacing w:line="217" w:lineRule="exact" w:before="7"/>
              <w:ind w:left="114"/>
              <w:rPr>
                <w:sz w:val="18"/>
              </w:rPr>
            </w:pPr>
            <w:r>
              <w:rPr>
                <w:sz w:val="18"/>
              </w:rPr>
              <w:t>Medical</w:t>
            </w:r>
            <w:r>
              <w:rPr>
                <w:spacing w:val="-5"/>
                <w:sz w:val="18"/>
              </w:rPr>
              <w:t> </w:t>
            </w:r>
            <w:r>
              <w:rPr>
                <w:sz w:val="18"/>
              </w:rPr>
              <w:t>practice</w:t>
            </w:r>
            <w:r>
              <w:rPr>
                <w:spacing w:val="-4"/>
                <w:sz w:val="18"/>
              </w:rPr>
              <w:t> </w:t>
            </w:r>
            <w:r>
              <w:rPr>
                <w:sz w:val="18"/>
              </w:rPr>
              <w:t>assistant</w:t>
            </w:r>
            <w:r>
              <w:rPr>
                <w:spacing w:val="-3"/>
                <w:sz w:val="18"/>
              </w:rPr>
              <w:t> </w:t>
            </w:r>
            <w:r>
              <w:rPr>
                <w:sz w:val="18"/>
              </w:rPr>
              <w:t>(13)</w:t>
            </w:r>
          </w:p>
        </w:tc>
        <w:tc>
          <w:tcPr>
            <w:tcW w:w="1553" w:type="dxa"/>
          </w:tcPr>
          <w:p>
            <w:pPr>
              <w:pStyle w:val="TableParagraph"/>
              <w:rPr>
                <w:rFonts w:ascii="Times New Roman"/>
                <w:sz w:val="16"/>
              </w:rPr>
            </w:pPr>
          </w:p>
        </w:tc>
        <w:tc>
          <w:tcPr>
            <w:tcW w:w="1707" w:type="dxa"/>
          </w:tcPr>
          <w:p>
            <w:pPr>
              <w:pStyle w:val="TableParagraph"/>
              <w:rPr>
                <w:rFonts w:ascii="Times New Roman"/>
                <w:sz w:val="16"/>
              </w:rPr>
            </w:pPr>
          </w:p>
        </w:tc>
        <w:tc>
          <w:tcPr>
            <w:tcW w:w="1843" w:type="dxa"/>
          </w:tcPr>
          <w:p>
            <w:pPr>
              <w:pStyle w:val="TableParagraph"/>
              <w:rPr>
                <w:rFonts w:ascii="Times New Roman"/>
                <w:sz w:val="16"/>
              </w:rPr>
            </w:pPr>
          </w:p>
        </w:tc>
      </w:tr>
      <w:tr>
        <w:trPr>
          <w:trHeight w:val="246" w:hRule="atLeast"/>
        </w:trPr>
        <w:tc>
          <w:tcPr>
            <w:tcW w:w="4959" w:type="dxa"/>
          </w:tcPr>
          <w:p>
            <w:pPr>
              <w:pStyle w:val="TableParagraph"/>
              <w:spacing w:line="217" w:lineRule="exact" w:before="10"/>
              <w:ind w:left="114"/>
              <w:rPr>
                <w:sz w:val="18"/>
              </w:rPr>
            </w:pPr>
            <w:r>
              <w:rPr>
                <w:sz w:val="18"/>
              </w:rPr>
              <w:t>Allied</w:t>
            </w:r>
            <w:r>
              <w:rPr>
                <w:spacing w:val="-5"/>
                <w:sz w:val="18"/>
              </w:rPr>
              <w:t> </w:t>
            </w:r>
            <w:r>
              <w:rPr>
                <w:sz w:val="18"/>
              </w:rPr>
              <w:t>health</w:t>
            </w:r>
            <w:r>
              <w:rPr>
                <w:spacing w:val="2"/>
                <w:sz w:val="18"/>
              </w:rPr>
              <w:t> </w:t>
            </w:r>
            <w:r>
              <w:rPr>
                <w:sz w:val="18"/>
              </w:rPr>
              <w:t>(23)</w:t>
            </w:r>
          </w:p>
        </w:tc>
        <w:tc>
          <w:tcPr>
            <w:tcW w:w="1553" w:type="dxa"/>
          </w:tcPr>
          <w:p>
            <w:pPr>
              <w:pStyle w:val="TableParagraph"/>
              <w:rPr>
                <w:rFonts w:ascii="Times New Roman"/>
                <w:sz w:val="16"/>
              </w:rPr>
            </w:pPr>
          </w:p>
        </w:tc>
        <w:tc>
          <w:tcPr>
            <w:tcW w:w="1707" w:type="dxa"/>
          </w:tcPr>
          <w:p>
            <w:pPr>
              <w:pStyle w:val="TableParagraph"/>
              <w:rPr>
                <w:rFonts w:ascii="Times New Roman"/>
                <w:sz w:val="16"/>
              </w:rPr>
            </w:pPr>
          </w:p>
        </w:tc>
        <w:tc>
          <w:tcPr>
            <w:tcW w:w="1843" w:type="dxa"/>
          </w:tcPr>
          <w:p>
            <w:pPr>
              <w:pStyle w:val="TableParagraph"/>
              <w:rPr>
                <w:rFonts w:ascii="Times New Roman"/>
                <w:sz w:val="16"/>
              </w:rPr>
            </w:pPr>
          </w:p>
        </w:tc>
      </w:tr>
      <w:tr>
        <w:trPr>
          <w:trHeight w:val="244" w:hRule="atLeast"/>
        </w:trPr>
        <w:tc>
          <w:tcPr>
            <w:tcW w:w="4959" w:type="dxa"/>
          </w:tcPr>
          <w:p>
            <w:pPr>
              <w:pStyle w:val="TableParagraph"/>
              <w:spacing w:line="217" w:lineRule="exact" w:before="7"/>
              <w:ind w:left="114"/>
              <w:rPr>
                <w:sz w:val="18"/>
              </w:rPr>
            </w:pPr>
            <w:r>
              <w:rPr>
                <w:sz w:val="18"/>
              </w:rPr>
              <w:t>Allied</w:t>
            </w:r>
            <w:r>
              <w:rPr>
                <w:spacing w:val="-5"/>
                <w:sz w:val="18"/>
              </w:rPr>
              <w:t> </w:t>
            </w:r>
            <w:r>
              <w:rPr>
                <w:sz w:val="18"/>
              </w:rPr>
              <w:t>health</w:t>
            </w:r>
            <w:r>
              <w:rPr>
                <w:spacing w:val="-4"/>
                <w:sz w:val="18"/>
              </w:rPr>
              <w:t> </w:t>
            </w:r>
            <w:r>
              <w:rPr>
                <w:sz w:val="18"/>
              </w:rPr>
              <w:t>assistant</w:t>
            </w:r>
            <w:r>
              <w:rPr>
                <w:spacing w:val="-4"/>
                <w:sz w:val="18"/>
              </w:rPr>
              <w:t> </w:t>
            </w:r>
            <w:r>
              <w:rPr>
                <w:sz w:val="18"/>
              </w:rPr>
              <w:t>(24)</w:t>
            </w:r>
          </w:p>
        </w:tc>
        <w:tc>
          <w:tcPr>
            <w:tcW w:w="1553" w:type="dxa"/>
          </w:tcPr>
          <w:p>
            <w:pPr>
              <w:pStyle w:val="TableParagraph"/>
              <w:rPr>
                <w:rFonts w:ascii="Times New Roman"/>
                <w:sz w:val="16"/>
              </w:rPr>
            </w:pPr>
          </w:p>
        </w:tc>
        <w:tc>
          <w:tcPr>
            <w:tcW w:w="1707" w:type="dxa"/>
          </w:tcPr>
          <w:p>
            <w:pPr>
              <w:pStyle w:val="TableParagraph"/>
              <w:rPr>
                <w:rFonts w:ascii="Times New Roman"/>
                <w:sz w:val="16"/>
              </w:rPr>
            </w:pPr>
          </w:p>
        </w:tc>
        <w:tc>
          <w:tcPr>
            <w:tcW w:w="1843" w:type="dxa"/>
          </w:tcPr>
          <w:p>
            <w:pPr>
              <w:pStyle w:val="TableParagraph"/>
              <w:rPr>
                <w:rFonts w:ascii="Times New Roman"/>
                <w:sz w:val="16"/>
              </w:rPr>
            </w:pPr>
          </w:p>
        </w:tc>
      </w:tr>
      <w:tr>
        <w:trPr>
          <w:trHeight w:val="244" w:hRule="atLeast"/>
        </w:trPr>
        <w:tc>
          <w:tcPr>
            <w:tcW w:w="4959" w:type="dxa"/>
          </w:tcPr>
          <w:p>
            <w:pPr>
              <w:pStyle w:val="TableParagraph"/>
              <w:spacing w:line="217" w:lineRule="exact" w:before="7"/>
              <w:ind w:left="114"/>
              <w:rPr>
                <w:sz w:val="18"/>
              </w:rPr>
            </w:pPr>
            <w:r>
              <w:rPr>
                <w:sz w:val="18"/>
              </w:rPr>
              <w:t>Practice</w:t>
            </w:r>
            <w:r>
              <w:rPr>
                <w:spacing w:val="-5"/>
                <w:sz w:val="18"/>
              </w:rPr>
              <w:t> </w:t>
            </w:r>
            <w:r>
              <w:rPr>
                <w:sz w:val="18"/>
              </w:rPr>
              <w:t>manager</w:t>
            </w:r>
            <w:r>
              <w:rPr>
                <w:spacing w:val="-2"/>
                <w:sz w:val="18"/>
              </w:rPr>
              <w:t> </w:t>
            </w:r>
            <w:r>
              <w:rPr>
                <w:sz w:val="18"/>
              </w:rPr>
              <w:t>(25)</w:t>
            </w:r>
          </w:p>
        </w:tc>
        <w:tc>
          <w:tcPr>
            <w:tcW w:w="1553" w:type="dxa"/>
          </w:tcPr>
          <w:p>
            <w:pPr>
              <w:pStyle w:val="TableParagraph"/>
              <w:rPr>
                <w:rFonts w:ascii="Times New Roman"/>
                <w:sz w:val="16"/>
              </w:rPr>
            </w:pPr>
          </w:p>
        </w:tc>
        <w:tc>
          <w:tcPr>
            <w:tcW w:w="1707" w:type="dxa"/>
          </w:tcPr>
          <w:p>
            <w:pPr>
              <w:pStyle w:val="TableParagraph"/>
              <w:rPr>
                <w:rFonts w:ascii="Times New Roman"/>
                <w:sz w:val="16"/>
              </w:rPr>
            </w:pPr>
          </w:p>
        </w:tc>
        <w:tc>
          <w:tcPr>
            <w:tcW w:w="1843" w:type="dxa"/>
          </w:tcPr>
          <w:p>
            <w:pPr>
              <w:pStyle w:val="TableParagraph"/>
              <w:rPr>
                <w:rFonts w:ascii="Times New Roman"/>
                <w:sz w:val="16"/>
              </w:rPr>
            </w:pPr>
          </w:p>
        </w:tc>
      </w:tr>
      <w:tr>
        <w:trPr>
          <w:trHeight w:val="246" w:hRule="atLeast"/>
        </w:trPr>
        <w:tc>
          <w:tcPr>
            <w:tcW w:w="4959" w:type="dxa"/>
          </w:tcPr>
          <w:p>
            <w:pPr>
              <w:pStyle w:val="TableParagraph"/>
              <w:spacing w:line="217" w:lineRule="exact" w:before="10"/>
              <w:ind w:left="114"/>
              <w:rPr>
                <w:sz w:val="18"/>
              </w:rPr>
            </w:pPr>
            <w:r>
              <w:rPr>
                <w:sz w:val="18"/>
              </w:rPr>
              <w:t>Receptionist/</w:t>
            </w:r>
            <w:r>
              <w:rPr>
                <w:spacing w:val="-3"/>
                <w:sz w:val="18"/>
              </w:rPr>
              <w:t> </w:t>
            </w:r>
            <w:r>
              <w:rPr>
                <w:sz w:val="18"/>
              </w:rPr>
              <w:t>Administrative</w:t>
            </w:r>
            <w:r>
              <w:rPr>
                <w:spacing w:val="-9"/>
                <w:sz w:val="18"/>
              </w:rPr>
              <w:t> </w:t>
            </w:r>
            <w:r>
              <w:rPr>
                <w:sz w:val="18"/>
              </w:rPr>
              <w:t>staff</w:t>
            </w:r>
            <w:r>
              <w:rPr>
                <w:spacing w:val="-5"/>
                <w:sz w:val="18"/>
              </w:rPr>
              <w:t> </w:t>
            </w:r>
            <w:r>
              <w:rPr>
                <w:sz w:val="18"/>
              </w:rPr>
              <w:t>(26)</w:t>
            </w:r>
          </w:p>
        </w:tc>
        <w:tc>
          <w:tcPr>
            <w:tcW w:w="1553" w:type="dxa"/>
          </w:tcPr>
          <w:p>
            <w:pPr>
              <w:pStyle w:val="TableParagraph"/>
              <w:rPr>
                <w:rFonts w:ascii="Times New Roman"/>
                <w:sz w:val="16"/>
              </w:rPr>
            </w:pPr>
          </w:p>
        </w:tc>
        <w:tc>
          <w:tcPr>
            <w:tcW w:w="1707" w:type="dxa"/>
          </w:tcPr>
          <w:p>
            <w:pPr>
              <w:pStyle w:val="TableParagraph"/>
              <w:rPr>
                <w:rFonts w:ascii="Times New Roman"/>
                <w:sz w:val="16"/>
              </w:rPr>
            </w:pPr>
          </w:p>
        </w:tc>
        <w:tc>
          <w:tcPr>
            <w:tcW w:w="1843" w:type="dxa"/>
          </w:tcPr>
          <w:p>
            <w:pPr>
              <w:pStyle w:val="TableParagraph"/>
              <w:rPr>
                <w:rFonts w:ascii="Times New Roman"/>
                <w:sz w:val="16"/>
              </w:rPr>
            </w:pPr>
          </w:p>
        </w:tc>
      </w:tr>
      <w:tr>
        <w:trPr>
          <w:trHeight w:val="244" w:hRule="atLeast"/>
        </w:trPr>
        <w:tc>
          <w:tcPr>
            <w:tcW w:w="4959" w:type="dxa"/>
          </w:tcPr>
          <w:p>
            <w:pPr>
              <w:pStyle w:val="TableParagraph"/>
              <w:spacing w:line="217" w:lineRule="exact" w:before="7"/>
              <w:ind w:left="114"/>
              <w:rPr>
                <w:sz w:val="18"/>
              </w:rPr>
            </w:pPr>
            <w:r>
              <w:rPr>
                <w:sz w:val="18"/>
              </w:rPr>
              <w:t>Other.</w:t>
            </w:r>
            <w:r>
              <w:rPr>
                <w:spacing w:val="-5"/>
                <w:sz w:val="18"/>
              </w:rPr>
              <w:t> </w:t>
            </w:r>
            <w:r>
              <w:rPr>
                <w:sz w:val="18"/>
              </w:rPr>
              <w:t>Please</w:t>
            </w:r>
            <w:r>
              <w:rPr>
                <w:spacing w:val="-3"/>
                <w:sz w:val="18"/>
              </w:rPr>
              <w:t> </w:t>
            </w:r>
            <w:r>
              <w:rPr>
                <w:sz w:val="18"/>
              </w:rPr>
              <w:t>specify:</w:t>
            </w:r>
            <w:r>
              <w:rPr>
                <w:spacing w:val="-3"/>
                <w:sz w:val="18"/>
              </w:rPr>
              <w:t> </w:t>
            </w:r>
            <w:r>
              <w:rPr>
                <w:sz w:val="18"/>
              </w:rPr>
              <w:t>(27)</w:t>
            </w:r>
          </w:p>
        </w:tc>
        <w:tc>
          <w:tcPr>
            <w:tcW w:w="1553" w:type="dxa"/>
          </w:tcPr>
          <w:p>
            <w:pPr>
              <w:pStyle w:val="TableParagraph"/>
              <w:rPr>
                <w:rFonts w:ascii="Times New Roman"/>
                <w:sz w:val="16"/>
              </w:rPr>
            </w:pPr>
          </w:p>
        </w:tc>
        <w:tc>
          <w:tcPr>
            <w:tcW w:w="1707" w:type="dxa"/>
          </w:tcPr>
          <w:p>
            <w:pPr>
              <w:pStyle w:val="TableParagraph"/>
              <w:rPr>
                <w:rFonts w:ascii="Times New Roman"/>
                <w:sz w:val="16"/>
              </w:rPr>
            </w:pPr>
          </w:p>
        </w:tc>
        <w:tc>
          <w:tcPr>
            <w:tcW w:w="1843" w:type="dxa"/>
          </w:tcPr>
          <w:p>
            <w:pPr>
              <w:pStyle w:val="TableParagraph"/>
              <w:rPr>
                <w:rFonts w:ascii="Times New Roman"/>
                <w:sz w:val="16"/>
              </w:rPr>
            </w:pPr>
          </w:p>
        </w:tc>
      </w:tr>
    </w:tbl>
    <w:p>
      <w:pPr>
        <w:pStyle w:val="BodyText"/>
        <w:spacing w:before="10"/>
        <w:rPr>
          <w:sz w:val="14"/>
        </w:rPr>
      </w:pPr>
    </w:p>
    <w:p>
      <w:pPr>
        <w:pStyle w:val="ListParagraph"/>
        <w:numPr>
          <w:ilvl w:val="1"/>
          <w:numId w:val="82"/>
        </w:numPr>
        <w:tabs>
          <w:tab w:pos="780" w:val="left" w:leader="none"/>
        </w:tabs>
        <w:spacing w:line="240" w:lineRule="auto" w:before="101" w:after="0"/>
        <w:ind w:left="780" w:right="1090" w:hanging="360"/>
        <w:jc w:val="left"/>
        <w:rPr>
          <w:sz w:val="18"/>
        </w:rPr>
      </w:pPr>
      <w:r>
        <w:rPr>
          <w:sz w:val="18"/>
        </w:rPr>
        <w:t>In</w:t>
      </w:r>
      <w:r>
        <w:rPr>
          <w:spacing w:val="-5"/>
          <w:sz w:val="18"/>
        </w:rPr>
        <w:t> </w:t>
      </w:r>
      <w:r>
        <w:rPr>
          <w:sz w:val="18"/>
        </w:rPr>
        <w:t>the</w:t>
      </w:r>
      <w:r>
        <w:rPr>
          <w:spacing w:val="-3"/>
          <w:sz w:val="18"/>
        </w:rPr>
        <w:t> </w:t>
      </w:r>
      <w:r>
        <w:rPr>
          <w:sz w:val="18"/>
        </w:rPr>
        <w:t>baseline</w:t>
      </w:r>
      <w:r>
        <w:rPr>
          <w:spacing w:val="-1"/>
          <w:sz w:val="18"/>
        </w:rPr>
        <w:t> </w:t>
      </w:r>
      <w:r>
        <w:rPr>
          <w:sz w:val="18"/>
        </w:rPr>
        <w:t>practice</w:t>
      </w:r>
      <w:r>
        <w:rPr>
          <w:spacing w:val="-2"/>
          <w:sz w:val="18"/>
        </w:rPr>
        <w:t> </w:t>
      </w:r>
      <w:r>
        <w:rPr>
          <w:sz w:val="18"/>
        </w:rPr>
        <w:t>survey</w:t>
      </w:r>
      <w:r>
        <w:rPr>
          <w:spacing w:val="-1"/>
          <w:sz w:val="18"/>
        </w:rPr>
        <w:t> </w:t>
      </w:r>
      <w:r>
        <w:rPr>
          <w:sz w:val="18"/>
        </w:rPr>
        <w:t>(conducted</w:t>
      </w:r>
      <w:r>
        <w:rPr>
          <w:spacing w:val="-4"/>
          <w:sz w:val="18"/>
        </w:rPr>
        <w:t> </w:t>
      </w:r>
      <w:r>
        <w:rPr>
          <w:sz w:val="18"/>
        </w:rPr>
        <w:t>in</w:t>
      </w:r>
      <w:r>
        <w:rPr>
          <w:spacing w:val="-2"/>
          <w:sz w:val="18"/>
        </w:rPr>
        <w:t> </w:t>
      </w:r>
      <w:r>
        <w:rPr>
          <w:sz w:val="18"/>
        </w:rPr>
        <w:t>late</w:t>
      </w:r>
      <w:r>
        <w:rPr>
          <w:spacing w:val="-3"/>
          <w:sz w:val="18"/>
        </w:rPr>
        <w:t> </w:t>
      </w:r>
      <w:r>
        <w:rPr>
          <w:sz w:val="18"/>
        </w:rPr>
        <w:t>2017),</w:t>
      </w:r>
      <w:r>
        <w:rPr>
          <w:spacing w:val="-5"/>
          <w:sz w:val="18"/>
        </w:rPr>
        <w:t> </w:t>
      </w:r>
      <w:r>
        <w:rPr>
          <w:sz w:val="18"/>
        </w:rPr>
        <w:t>you</w:t>
      </w:r>
      <w:r>
        <w:rPr>
          <w:spacing w:val="-3"/>
          <w:sz w:val="18"/>
        </w:rPr>
        <w:t> </w:t>
      </w:r>
      <w:r>
        <w:rPr>
          <w:sz w:val="18"/>
        </w:rPr>
        <w:t>provided</w:t>
      </w:r>
      <w:r>
        <w:rPr>
          <w:spacing w:val="-4"/>
          <w:sz w:val="18"/>
        </w:rPr>
        <w:t> </w:t>
      </w:r>
      <w:r>
        <w:rPr>
          <w:sz w:val="18"/>
        </w:rPr>
        <w:t>the</w:t>
      </w:r>
      <w:r>
        <w:rPr>
          <w:spacing w:val="-2"/>
          <w:sz w:val="18"/>
        </w:rPr>
        <w:t> </w:t>
      </w:r>
      <w:r>
        <w:rPr>
          <w:sz w:val="18"/>
        </w:rPr>
        <w:t>following</w:t>
      </w:r>
      <w:r>
        <w:rPr>
          <w:spacing w:val="-5"/>
          <w:sz w:val="18"/>
        </w:rPr>
        <w:t> </w:t>
      </w:r>
      <w:r>
        <w:rPr>
          <w:sz w:val="18"/>
        </w:rPr>
        <w:t>information</w:t>
      </w:r>
      <w:r>
        <w:rPr>
          <w:spacing w:val="-3"/>
          <w:sz w:val="18"/>
        </w:rPr>
        <w:t> </w:t>
      </w:r>
      <w:r>
        <w:rPr>
          <w:sz w:val="18"/>
        </w:rPr>
        <w:t>about</w:t>
      </w:r>
      <w:r>
        <w:rPr>
          <w:spacing w:val="-5"/>
          <w:sz w:val="18"/>
        </w:rPr>
        <w:t> </w:t>
      </w:r>
      <w:r>
        <w:rPr>
          <w:sz w:val="18"/>
        </w:rPr>
        <w:t>GPs</w:t>
      </w:r>
      <w:r>
        <w:rPr>
          <w:spacing w:val="-4"/>
          <w:sz w:val="18"/>
        </w:rPr>
        <w:t> </w:t>
      </w:r>
      <w:r>
        <w:rPr>
          <w:sz w:val="18"/>
        </w:rPr>
        <w:t>who</w:t>
      </w:r>
      <w:r>
        <w:rPr>
          <w:spacing w:val="1"/>
          <w:sz w:val="18"/>
        </w:rPr>
        <w:t> </w:t>
      </w:r>
      <w:r>
        <w:rPr>
          <w:sz w:val="18"/>
        </w:rPr>
        <w:t>work</w:t>
      </w:r>
      <w:r>
        <w:rPr>
          <w:spacing w:val="-2"/>
          <w:sz w:val="18"/>
        </w:rPr>
        <w:t> </w:t>
      </w:r>
      <w:r>
        <w:rPr>
          <w:sz w:val="18"/>
        </w:rPr>
        <w:t>in</w:t>
      </w:r>
      <w:r>
        <w:rPr>
          <w:spacing w:val="-1"/>
          <w:sz w:val="18"/>
        </w:rPr>
        <w:t> </w:t>
      </w:r>
      <w:r>
        <w:rPr>
          <w:sz w:val="18"/>
        </w:rPr>
        <w:t>the practice/</w:t>
      </w:r>
      <w:r>
        <w:rPr>
          <w:spacing w:val="-3"/>
          <w:sz w:val="18"/>
        </w:rPr>
        <w:t> </w:t>
      </w:r>
      <w:r>
        <w:rPr>
          <w:sz w:val="18"/>
        </w:rPr>
        <w:t>service.</w:t>
      </w:r>
      <w:r>
        <w:rPr>
          <w:spacing w:val="-2"/>
          <w:sz w:val="18"/>
        </w:rPr>
        <w:t> </w:t>
      </w:r>
      <w:r>
        <w:rPr>
          <w:sz w:val="18"/>
        </w:rPr>
        <w:t>Please review</w:t>
      </w:r>
      <w:r>
        <w:rPr>
          <w:spacing w:val="-1"/>
          <w:sz w:val="18"/>
        </w:rPr>
        <w:t> </w:t>
      </w:r>
      <w:r>
        <w:rPr>
          <w:sz w:val="18"/>
        </w:rPr>
        <w:t>these</w:t>
      </w:r>
      <w:r>
        <w:rPr>
          <w:spacing w:val="-3"/>
          <w:sz w:val="18"/>
        </w:rPr>
        <w:t> </w:t>
      </w:r>
      <w:r>
        <w:rPr>
          <w:sz w:val="18"/>
        </w:rPr>
        <w:t>responses</w:t>
      </w:r>
      <w:r>
        <w:rPr>
          <w:spacing w:val="-1"/>
          <w:sz w:val="18"/>
        </w:rPr>
        <w:t> </w:t>
      </w:r>
      <w:r>
        <w:rPr>
          <w:sz w:val="18"/>
        </w:rPr>
        <w:t>and</w:t>
      </w:r>
      <w:r>
        <w:rPr>
          <w:spacing w:val="-2"/>
          <w:sz w:val="18"/>
        </w:rPr>
        <w:t> </w:t>
      </w:r>
      <w:r>
        <w:rPr>
          <w:sz w:val="18"/>
        </w:rPr>
        <w:t>update if</w:t>
      </w:r>
      <w:r>
        <w:rPr>
          <w:spacing w:val="-3"/>
          <w:sz w:val="18"/>
        </w:rPr>
        <w:t> </w:t>
      </w:r>
      <w:r>
        <w:rPr>
          <w:sz w:val="18"/>
        </w:rPr>
        <w:t>necessary.</w:t>
      </w:r>
    </w:p>
    <w:p>
      <w:pPr>
        <w:pStyle w:val="BodyText"/>
        <w:spacing w:before="4"/>
        <w:rPr>
          <w:sz w:val="16"/>
        </w:rPr>
      </w:pPr>
    </w:p>
    <w:tbl>
      <w:tblPr>
        <w:tblW w:w="0" w:type="auto"/>
        <w:jc w:val="left"/>
        <w:tblInd w:w="43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144"/>
        <w:gridCol w:w="1021"/>
        <w:gridCol w:w="1162"/>
        <w:gridCol w:w="1767"/>
        <w:gridCol w:w="3118"/>
      </w:tblGrid>
      <w:tr>
        <w:trPr>
          <w:trHeight w:val="662" w:hRule="atLeast"/>
        </w:trPr>
        <w:tc>
          <w:tcPr>
            <w:tcW w:w="2144" w:type="dxa"/>
            <w:vMerge w:val="restart"/>
            <w:shd w:val="clear" w:color="auto" w:fill="F1F1F1"/>
          </w:tcPr>
          <w:p>
            <w:pPr>
              <w:pStyle w:val="TableParagraph"/>
              <w:rPr>
                <w:rFonts w:ascii="Times New Roman"/>
                <w:sz w:val="18"/>
              </w:rPr>
            </w:pPr>
          </w:p>
        </w:tc>
        <w:tc>
          <w:tcPr>
            <w:tcW w:w="2183" w:type="dxa"/>
            <w:gridSpan w:val="2"/>
            <w:shd w:val="clear" w:color="auto" w:fill="F1F1F1"/>
          </w:tcPr>
          <w:p>
            <w:pPr>
              <w:pStyle w:val="TableParagraph"/>
              <w:spacing w:before="11"/>
              <w:rPr>
                <w:sz w:val="17"/>
              </w:rPr>
            </w:pPr>
          </w:p>
          <w:p>
            <w:pPr>
              <w:pStyle w:val="TableParagraph"/>
              <w:ind w:left="901" w:right="897"/>
              <w:jc w:val="center"/>
              <w:rPr>
                <w:sz w:val="18"/>
              </w:rPr>
            </w:pPr>
            <w:r>
              <w:rPr>
                <w:sz w:val="18"/>
              </w:rPr>
              <w:t>GPs</w:t>
            </w:r>
          </w:p>
        </w:tc>
        <w:tc>
          <w:tcPr>
            <w:tcW w:w="1767" w:type="dxa"/>
            <w:shd w:val="clear" w:color="auto" w:fill="F1F1F1"/>
          </w:tcPr>
          <w:p>
            <w:pPr>
              <w:pStyle w:val="TableParagraph"/>
              <w:ind w:left="128" w:right="119"/>
              <w:jc w:val="center"/>
              <w:rPr>
                <w:sz w:val="18"/>
              </w:rPr>
            </w:pPr>
            <w:r>
              <w:rPr>
                <w:sz w:val="18"/>
              </w:rPr>
              <w:t>GPs participating</w:t>
            </w:r>
            <w:r>
              <w:rPr>
                <w:spacing w:val="-47"/>
                <w:sz w:val="18"/>
              </w:rPr>
              <w:t> </w:t>
            </w:r>
            <w:r>
              <w:rPr>
                <w:sz w:val="18"/>
              </w:rPr>
              <w:t>in</w:t>
            </w:r>
            <w:r>
              <w:rPr>
                <w:spacing w:val="-1"/>
                <w:sz w:val="18"/>
              </w:rPr>
              <w:t> </w:t>
            </w:r>
            <w:r>
              <w:rPr>
                <w:sz w:val="18"/>
              </w:rPr>
              <w:t>the HCH</w:t>
            </w:r>
          </w:p>
          <w:p>
            <w:pPr>
              <w:pStyle w:val="TableParagraph"/>
              <w:spacing w:line="202" w:lineRule="exact"/>
              <w:ind w:left="123" w:right="119"/>
              <w:jc w:val="center"/>
              <w:rPr>
                <w:sz w:val="18"/>
              </w:rPr>
            </w:pPr>
            <w:r>
              <w:rPr>
                <w:sz w:val="18"/>
              </w:rPr>
              <w:t>program</w:t>
            </w:r>
          </w:p>
        </w:tc>
        <w:tc>
          <w:tcPr>
            <w:tcW w:w="3118" w:type="dxa"/>
            <w:vMerge w:val="restart"/>
            <w:shd w:val="clear" w:color="auto" w:fill="F1F1F1"/>
          </w:tcPr>
          <w:p>
            <w:pPr>
              <w:pStyle w:val="TableParagraph"/>
              <w:rPr>
                <w:sz w:val="22"/>
              </w:rPr>
            </w:pPr>
          </w:p>
          <w:p>
            <w:pPr>
              <w:pStyle w:val="TableParagraph"/>
              <w:spacing w:before="4"/>
              <w:rPr>
                <w:sz w:val="23"/>
              </w:rPr>
            </w:pPr>
          </w:p>
          <w:p>
            <w:pPr>
              <w:pStyle w:val="TableParagraph"/>
              <w:ind w:left="581"/>
              <w:rPr>
                <w:sz w:val="18"/>
              </w:rPr>
            </w:pPr>
            <w:r>
              <w:rPr>
                <w:sz w:val="18"/>
              </w:rPr>
              <w:t>Comment</w:t>
            </w:r>
            <w:r>
              <w:rPr>
                <w:spacing w:val="-3"/>
                <w:sz w:val="18"/>
              </w:rPr>
              <w:t> </w:t>
            </w:r>
            <w:r>
              <w:rPr>
                <w:sz w:val="18"/>
              </w:rPr>
              <w:t>(if</w:t>
            </w:r>
            <w:r>
              <w:rPr>
                <w:spacing w:val="-3"/>
                <w:sz w:val="18"/>
              </w:rPr>
              <w:t> </w:t>
            </w:r>
            <w:r>
              <w:rPr>
                <w:sz w:val="18"/>
              </w:rPr>
              <w:t>required)</w:t>
            </w:r>
          </w:p>
        </w:tc>
      </w:tr>
      <w:tr>
        <w:trPr>
          <w:trHeight w:val="661" w:hRule="atLeast"/>
        </w:trPr>
        <w:tc>
          <w:tcPr>
            <w:tcW w:w="2144" w:type="dxa"/>
            <w:vMerge/>
            <w:tcBorders>
              <w:top w:val="nil"/>
            </w:tcBorders>
            <w:shd w:val="clear" w:color="auto" w:fill="F1F1F1"/>
          </w:tcPr>
          <w:p>
            <w:pPr>
              <w:rPr>
                <w:sz w:val="2"/>
                <w:szCs w:val="2"/>
              </w:rPr>
            </w:pPr>
          </w:p>
        </w:tc>
        <w:tc>
          <w:tcPr>
            <w:tcW w:w="1021" w:type="dxa"/>
            <w:shd w:val="clear" w:color="auto" w:fill="F1F1F1"/>
          </w:tcPr>
          <w:p>
            <w:pPr>
              <w:pStyle w:val="TableParagraph"/>
              <w:spacing w:line="220" w:lineRule="exact"/>
              <w:ind w:left="251" w:right="241" w:hanging="3"/>
              <w:jc w:val="center"/>
              <w:rPr>
                <w:sz w:val="18"/>
              </w:rPr>
            </w:pPr>
            <w:r>
              <w:rPr>
                <w:sz w:val="18"/>
              </w:rPr>
              <w:t>Head</w:t>
            </w:r>
            <w:r>
              <w:rPr>
                <w:spacing w:val="-47"/>
                <w:sz w:val="18"/>
              </w:rPr>
              <w:t> </w:t>
            </w:r>
            <w:r>
              <w:rPr>
                <w:sz w:val="18"/>
              </w:rPr>
              <w:t>count</w:t>
            </w:r>
            <w:r>
              <w:rPr>
                <w:spacing w:val="-47"/>
                <w:sz w:val="18"/>
              </w:rPr>
              <w:t> </w:t>
            </w:r>
            <w:r>
              <w:rPr>
                <w:sz w:val="18"/>
              </w:rPr>
              <w:t>(1)</w:t>
            </w:r>
          </w:p>
        </w:tc>
        <w:tc>
          <w:tcPr>
            <w:tcW w:w="1162" w:type="dxa"/>
            <w:shd w:val="clear" w:color="auto" w:fill="F1F1F1"/>
          </w:tcPr>
          <w:p>
            <w:pPr>
              <w:pStyle w:val="TableParagraph"/>
              <w:spacing w:line="220" w:lineRule="exact"/>
              <w:ind w:left="114" w:right="102" w:hanging="4"/>
              <w:jc w:val="center"/>
              <w:rPr>
                <w:sz w:val="18"/>
              </w:rPr>
            </w:pPr>
            <w:r>
              <w:rPr>
                <w:sz w:val="18"/>
              </w:rPr>
              <w:t>Full-time</w:t>
            </w:r>
            <w:r>
              <w:rPr>
                <w:spacing w:val="1"/>
                <w:sz w:val="18"/>
              </w:rPr>
              <w:t> </w:t>
            </w:r>
            <w:r>
              <w:rPr>
                <w:sz w:val="18"/>
              </w:rPr>
              <w:t>equivalent</w:t>
            </w:r>
            <w:r>
              <w:rPr>
                <w:spacing w:val="-47"/>
                <w:sz w:val="18"/>
              </w:rPr>
              <w:t> </w:t>
            </w:r>
            <w:r>
              <w:rPr>
                <w:sz w:val="18"/>
              </w:rPr>
              <w:t>(FTE) (2)</w:t>
            </w:r>
          </w:p>
        </w:tc>
        <w:tc>
          <w:tcPr>
            <w:tcW w:w="1767" w:type="dxa"/>
            <w:shd w:val="clear" w:color="auto" w:fill="F1F1F1"/>
          </w:tcPr>
          <w:p>
            <w:pPr>
              <w:pStyle w:val="TableParagraph"/>
              <w:spacing w:before="11"/>
              <w:rPr>
                <w:sz w:val="17"/>
              </w:rPr>
            </w:pPr>
          </w:p>
          <w:p>
            <w:pPr>
              <w:pStyle w:val="TableParagraph"/>
              <w:ind w:left="214"/>
              <w:rPr>
                <w:sz w:val="18"/>
              </w:rPr>
            </w:pPr>
            <w:r>
              <w:rPr>
                <w:sz w:val="18"/>
              </w:rPr>
              <w:t>Head</w:t>
            </w:r>
            <w:r>
              <w:rPr>
                <w:spacing w:val="-4"/>
                <w:sz w:val="18"/>
              </w:rPr>
              <w:t> </w:t>
            </w:r>
            <w:r>
              <w:rPr>
                <w:sz w:val="18"/>
              </w:rPr>
              <w:t>count</w:t>
            </w:r>
            <w:r>
              <w:rPr>
                <w:spacing w:val="-1"/>
                <w:sz w:val="18"/>
              </w:rPr>
              <w:t> </w:t>
            </w:r>
            <w:r>
              <w:rPr>
                <w:sz w:val="18"/>
              </w:rPr>
              <w:t>(3)</w:t>
            </w:r>
          </w:p>
        </w:tc>
        <w:tc>
          <w:tcPr>
            <w:tcW w:w="3118" w:type="dxa"/>
            <w:vMerge/>
            <w:tcBorders>
              <w:top w:val="nil"/>
            </w:tcBorders>
            <w:shd w:val="clear" w:color="auto" w:fill="F1F1F1"/>
          </w:tcPr>
          <w:p>
            <w:pPr>
              <w:rPr>
                <w:sz w:val="2"/>
                <w:szCs w:val="2"/>
              </w:rPr>
            </w:pPr>
          </w:p>
        </w:tc>
      </w:tr>
      <w:tr>
        <w:trPr>
          <w:trHeight w:val="244" w:hRule="atLeast"/>
        </w:trPr>
        <w:tc>
          <w:tcPr>
            <w:tcW w:w="2144" w:type="dxa"/>
          </w:tcPr>
          <w:p>
            <w:pPr>
              <w:pStyle w:val="TableParagraph"/>
              <w:spacing w:line="214" w:lineRule="exact" w:before="10"/>
              <w:ind w:left="115"/>
              <w:rPr>
                <w:sz w:val="18"/>
              </w:rPr>
            </w:pPr>
            <w:r>
              <w:rPr>
                <w:sz w:val="18"/>
              </w:rPr>
              <w:t>Owner/</w:t>
            </w:r>
            <w:r>
              <w:rPr>
                <w:spacing w:val="-4"/>
                <w:sz w:val="18"/>
              </w:rPr>
              <w:t> </w:t>
            </w:r>
            <w:r>
              <w:rPr>
                <w:sz w:val="18"/>
              </w:rPr>
              <w:t>partner</w:t>
            </w:r>
          </w:p>
        </w:tc>
        <w:tc>
          <w:tcPr>
            <w:tcW w:w="1021" w:type="dxa"/>
          </w:tcPr>
          <w:p>
            <w:pPr>
              <w:pStyle w:val="TableParagraph"/>
              <w:rPr>
                <w:rFonts w:ascii="Times New Roman"/>
                <w:sz w:val="16"/>
              </w:rPr>
            </w:pPr>
          </w:p>
        </w:tc>
        <w:tc>
          <w:tcPr>
            <w:tcW w:w="1162" w:type="dxa"/>
          </w:tcPr>
          <w:p>
            <w:pPr>
              <w:pStyle w:val="TableParagraph"/>
              <w:rPr>
                <w:rFonts w:ascii="Times New Roman"/>
                <w:sz w:val="16"/>
              </w:rPr>
            </w:pPr>
          </w:p>
        </w:tc>
        <w:tc>
          <w:tcPr>
            <w:tcW w:w="1767" w:type="dxa"/>
          </w:tcPr>
          <w:p>
            <w:pPr>
              <w:pStyle w:val="TableParagraph"/>
              <w:rPr>
                <w:rFonts w:ascii="Times New Roman"/>
                <w:sz w:val="16"/>
              </w:rPr>
            </w:pPr>
          </w:p>
        </w:tc>
        <w:tc>
          <w:tcPr>
            <w:tcW w:w="3118" w:type="dxa"/>
          </w:tcPr>
          <w:p>
            <w:pPr>
              <w:pStyle w:val="TableParagraph"/>
              <w:rPr>
                <w:rFonts w:ascii="Times New Roman"/>
                <w:sz w:val="16"/>
              </w:rPr>
            </w:pPr>
          </w:p>
        </w:tc>
      </w:tr>
      <w:tr>
        <w:trPr>
          <w:trHeight w:val="246" w:hRule="atLeast"/>
        </w:trPr>
        <w:tc>
          <w:tcPr>
            <w:tcW w:w="2144" w:type="dxa"/>
          </w:tcPr>
          <w:p>
            <w:pPr>
              <w:pStyle w:val="TableParagraph"/>
              <w:spacing w:line="214" w:lineRule="exact" w:before="13"/>
              <w:ind w:left="115"/>
              <w:rPr>
                <w:sz w:val="18"/>
              </w:rPr>
            </w:pPr>
            <w:r>
              <w:rPr>
                <w:sz w:val="18"/>
              </w:rPr>
              <w:t>Salaried</w:t>
            </w:r>
          </w:p>
        </w:tc>
        <w:tc>
          <w:tcPr>
            <w:tcW w:w="1021" w:type="dxa"/>
          </w:tcPr>
          <w:p>
            <w:pPr>
              <w:pStyle w:val="TableParagraph"/>
              <w:rPr>
                <w:rFonts w:ascii="Times New Roman"/>
                <w:sz w:val="16"/>
              </w:rPr>
            </w:pPr>
          </w:p>
        </w:tc>
        <w:tc>
          <w:tcPr>
            <w:tcW w:w="1162" w:type="dxa"/>
          </w:tcPr>
          <w:p>
            <w:pPr>
              <w:pStyle w:val="TableParagraph"/>
              <w:rPr>
                <w:rFonts w:ascii="Times New Roman"/>
                <w:sz w:val="16"/>
              </w:rPr>
            </w:pPr>
          </w:p>
        </w:tc>
        <w:tc>
          <w:tcPr>
            <w:tcW w:w="1767" w:type="dxa"/>
          </w:tcPr>
          <w:p>
            <w:pPr>
              <w:pStyle w:val="TableParagraph"/>
              <w:rPr>
                <w:rFonts w:ascii="Times New Roman"/>
                <w:sz w:val="16"/>
              </w:rPr>
            </w:pPr>
          </w:p>
        </w:tc>
        <w:tc>
          <w:tcPr>
            <w:tcW w:w="3118" w:type="dxa"/>
          </w:tcPr>
          <w:p>
            <w:pPr>
              <w:pStyle w:val="TableParagraph"/>
              <w:rPr>
                <w:rFonts w:ascii="Times New Roman"/>
                <w:sz w:val="16"/>
              </w:rPr>
            </w:pPr>
          </w:p>
        </w:tc>
      </w:tr>
      <w:tr>
        <w:trPr>
          <w:trHeight w:val="244" w:hRule="atLeast"/>
        </w:trPr>
        <w:tc>
          <w:tcPr>
            <w:tcW w:w="2144" w:type="dxa"/>
          </w:tcPr>
          <w:p>
            <w:pPr>
              <w:pStyle w:val="TableParagraph"/>
              <w:spacing w:line="214" w:lineRule="exact" w:before="10"/>
              <w:ind w:left="115"/>
              <w:rPr>
                <w:sz w:val="18"/>
              </w:rPr>
            </w:pPr>
            <w:r>
              <w:rPr>
                <w:sz w:val="18"/>
              </w:rPr>
              <w:t>Contract</w:t>
            </w:r>
          </w:p>
        </w:tc>
        <w:tc>
          <w:tcPr>
            <w:tcW w:w="1021" w:type="dxa"/>
          </w:tcPr>
          <w:p>
            <w:pPr>
              <w:pStyle w:val="TableParagraph"/>
              <w:rPr>
                <w:rFonts w:ascii="Times New Roman"/>
                <w:sz w:val="16"/>
              </w:rPr>
            </w:pPr>
          </w:p>
        </w:tc>
        <w:tc>
          <w:tcPr>
            <w:tcW w:w="1162" w:type="dxa"/>
          </w:tcPr>
          <w:p>
            <w:pPr>
              <w:pStyle w:val="TableParagraph"/>
              <w:rPr>
                <w:rFonts w:ascii="Times New Roman"/>
                <w:sz w:val="16"/>
              </w:rPr>
            </w:pPr>
          </w:p>
        </w:tc>
        <w:tc>
          <w:tcPr>
            <w:tcW w:w="1767" w:type="dxa"/>
          </w:tcPr>
          <w:p>
            <w:pPr>
              <w:pStyle w:val="TableParagraph"/>
              <w:rPr>
                <w:rFonts w:ascii="Times New Roman"/>
                <w:sz w:val="16"/>
              </w:rPr>
            </w:pPr>
          </w:p>
        </w:tc>
        <w:tc>
          <w:tcPr>
            <w:tcW w:w="3118" w:type="dxa"/>
          </w:tcPr>
          <w:p>
            <w:pPr>
              <w:pStyle w:val="TableParagraph"/>
              <w:rPr>
                <w:rFonts w:ascii="Times New Roman"/>
                <w:sz w:val="16"/>
              </w:rPr>
            </w:pPr>
          </w:p>
        </w:tc>
      </w:tr>
      <w:tr>
        <w:trPr>
          <w:trHeight w:val="246" w:hRule="atLeast"/>
        </w:trPr>
        <w:tc>
          <w:tcPr>
            <w:tcW w:w="2144" w:type="dxa"/>
          </w:tcPr>
          <w:p>
            <w:pPr>
              <w:pStyle w:val="TableParagraph"/>
              <w:spacing w:line="216" w:lineRule="exact" w:before="10"/>
              <w:ind w:left="115"/>
              <w:rPr>
                <w:sz w:val="18"/>
              </w:rPr>
            </w:pPr>
            <w:r>
              <w:rPr>
                <w:sz w:val="18"/>
              </w:rPr>
              <w:t>Other</w:t>
            </w:r>
          </w:p>
        </w:tc>
        <w:tc>
          <w:tcPr>
            <w:tcW w:w="1021" w:type="dxa"/>
          </w:tcPr>
          <w:p>
            <w:pPr>
              <w:pStyle w:val="TableParagraph"/>
              <w:rPr>
                <w:rFonts w:ascii="Times New Roman"/>
                <w:sz w:val="16"/>
              </w:rPr>
            </w:pPr>
          </w:p>
        </w:tc>
        <w:tc>
          <w:tcPr>
            <w:tcW w:w="1162" w:type="dxa"/>
          </w:tcPr>
          <w:p>
            <w:pPr>
              <w:pStyle w:val="TableParagraph"/>
              <w:rPr>
                <w:rFonts w:ascii="Times New Roman"/>
                <w:sz w:val="16"/>
              </w:rPr>
            </w:pPr>
          </w:p>
        </w:tc>
        <w:tc>
          <w:tcPr>
            <w:tcW w:w="1767" w:type="dxa"/>
          </w:tcPr>
          <w:p>
            <w:pPr>
              <w:pStyle w:val="TableParagraph"/>
              <w:rPr>
                <w:rFonts w:ascii="Times New Roman"/>
                <w:sz w:val="16"/>
              </w:rPr>
            </w:pPr>
          </w:p>
        </w:tc>
        <w:tc>
          <w:tcPr>
            <w:tcW w:w="3118" w:type="dxa"/>
          </w:tcPr>
          <w:p>
            <w:pPr>
              <w:pStyle w:val="TableParagraph"/>
              <w:rPr>
                <w:rFonts w:ascii="Times New Roman"/>
                <w:sz w:val="16"/>
              </w:rPr>
            </w:pPr>
          </w:p>
        </w:tc>
      </w:tr>
    </w:tbl>
    <w:p>
      <w:pPr>
        <w:pStyle w:val="BodyText"/>
        <w:spacing w:before="1"/>
        <w:rPr>
          <w:sz w:val="23"/>
        </w:rPr>
      </w:pPr>
    </w:p>
    <w:p>
      <w:pPr>
        <w:pStyle w:val="ListParagraph"/>
        <w:numPr>
          <w:ilvl w:val="1"/>
          <w:numId w:val="82"/>
        </w:numPr>
        <w:tabs>
          <w:tab w:pos="780" w:val="left" w:leader="none"/>
        </w:tabs>
        <w:spacing w:line="240" w:lineRule="auto" w:before="0" w:after="0"/>
        <w:ind w:left="780" w:right="0" w:hanging="360"/>
        <w:jc w:val="left"/>
        <w:rPr>
          <w:sz w:val="18"/>
        </w:rPr>
      </w:pPr>
      <w:r>
        <w:rPr>
          <w:sz w:val="18"/>
        </w:rPr>
        <w:t>Did</w:t>
      </w:r>
      <w:r>
        <w:rPr>
          <w:spacing w:val="-4"/>
          <w:sz w:val="18"/>
        </w:rPr>
        <w:t> </w:t>
      </w:r>
      <w:r>
        <w:rPr>
          <w:sz w:val="18"/>
        </w:rPr>
        <w:t>you</w:t>
      </w:r>
      <w:r>
        <w:rPr>
          <w:spacing w:val="-4"/>
          <w:sz w:val="18"/>
        </w:rPr>
        <w:t> </w:t>
      </w:r>
      <w:r>
        <w:rPr>
          <w:sz w:val="18"/>
        </w:rPr>
        <w:t>employ</w:t>
      </w:r>
      <w:r>
        <w:rPr>
          <w:spacing w:val="-3"/>
          <w:sz w:val="18"/>
        </w:rPr>
        <w:t> </w:t>
      </w:r>
      <w:r>
        <w:rPr>
          <w:sz w:val="18"/>
        </w:rPr>
        <w:t>addition</w:t>
      </w:r>
      <w:r>
        <w:rPr>
          <w:spacing w:val="-2"/>
          <w:sz w:val="18"/>
        </w:rPr>
        <w:t> </w:t>
      </w:r>
      <w:r>
        <w:rPr>
          <w:sz w:val="18"/>
        </w:rPr>
        <w:t>staff</w:t>
      </w:r>
      <w:r>
        <w:rPr>
          <w:spacing w:val="-3"/>
          <w:sz w:val="18"/>
        </w:rPr>
        <w:t> </w:t>
      </w:r>
      <w:r>
        <w:rPr>
          <w:sz w:val="18"/>
        </w:rPr>
        <w:t>as</w:t>
      </w:r>
      <w:r>
        <w:rPr>
          <w:spacing w:val="-3"/>
          <w:sz w:val="18"/>
        </w:rPr>
        <w:t> </w:t>
      </w:r>
      <w:r>
        <w:rPr>
          <w:sz w:val="18"/>
        </w:rPr>
        <w:t>a</w:t>
      </w:r>
      <w:r>
        <w:rPr>
          <w:spacing w:val="-3"/>
          <w:sz w:val="18"/>
        </w:rPr>
        <w:t> </w:t>
      </w:r>
      <w:r>
        <w:rPr>
          <w:sz w:val="18"/>
        </w:rPr>
        <w:t>result</w:t>
      </w:r>
      <w:r>
        <w:rPr>
          <w:spacing w:val="-4"/>
          <w:sz w:val="18"/>
        </w:rPr>
        <w:t> </w:t>
      </w:r>
      <w:r>
        <w:rPr>
          <w:sz w:val="18"/>
        </w:rPr>
        <w:t>of implementing</w:t>
      </w:r>
      <w:r>
        <w:rPr>
          <w:spacing w:val="-4"/>
          <w:sz w:val="18"/>
        </w:rPr>
        <w:t> </w:t>
      </w:r>
      <w:r>
        <w:rPr>
          <w:sz w:val="18"/>
        </w:rPr>
        <w:t>HCH?</w:t>
      </w:r>
    </w:p>
    <w:p>
      <w:pPr>
        <w:pStyle w:val="BodyText"/>
        <w:spacing w:before="3"/>
        <w:rPr>
          <w:sz w:val="16"/>
        </w:rPr>
      </w:pPr>
    </w:p>
    <w:p>
      <w:pPr>
        <w:pStyle w:val="ListParagraph"/>
        <w:numPr>
          <w:ilvl w:val="2"/>
          <w:numId w:val="82"/>
        </w:numPr>
        <w:tabs>
          <w:tab w:pos="1923" w:val="left" w:leader="none"/>
        </w:tabs>
        <w:spacing w:line="240" w:lineRule="auto" w:before="0" w:after="0"/>
        <w:ind w:left="1922" w:right="0" w:hanging="152"/>
        <w:jc w:val="left"/>
        <w:rPr>
          <w:sz w:val="18"/>
        </w:rPr>
      </w:pPr>
      <w:r>
        <w:rPr/>
        <w:drawing>
          <wp:anchor distT="0" distB="0" distL="0" distR="0" allowOverlap="1" layoutInCell="1" locked="0" behindDoc="0" simplePos="0" relativeHeight="15877120">
            <wp:simplePos x="0" y="0"/>
            <wp:positionH relativeFrom="page">
              <wp:posOffset>1102145</wp:posOffset>
            </wp:positionH>
            <wp:positionV relativeFrom="paragraph">
              <wp:posOffset>44468</wp:posOffset>
            </wp:positionV>
            <wp:extent cx="58380" cy="72151"/>
            <wp:effectExtent l="0" t="0" r="0" b="0"/>
            <wp:wrapNone/>
            <wp:docPr id="1063" name="image13.png"/>
            <wp:cNvGraphicFramePr>
              <a:graphicFrameLocks noChangeAspect="1"/>
            </wp:cNvGraphicFramePr>
            <a:graphic>
              <a:graphicData uri="http://schemas.openxmlformats.org/drawingml/2006/picture">
                <pic:pic>
                  <pic:nvPicPr>
                    <pic:cNvPr id="106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w:t>
      </w:r>
    </w:p>
    <w:p>
      <w:pPr>
        <w:pStyle w:val="ListParagraph"/>
        <w:numPr>
          <w:ilvl w:val="2"/>
          <w:numId w:val="82"/>
        </w:numPr>
        <w:tabs>
          <w:tab w:pos="1923" w:val="left" w:leader="none"/>
        </w:tabs>
        <w:spacing w:line="240" w:lineRule="auto" w:before="0" w:after="0"/>
        <w:ind w:left="1922" w:right="0" w:hanging="152"/>
        <w:jc w:val="left"/>
        <w:rPr>
          <w:sz w:val="18"/>
        </w:rPr>
      </w:pPr>
      <w:r>
        <w:rPr/>
        <w:drawing>
          <wp:anchor distT="0" distB="0" distL="0" distR="0" allowOverlap="1" layoutInCell="1" locked="0" behindDoc="0" simplePos="0" relativeHeight="15877632">
            <wp:simplePos x="0" y="0"/>
            <wp:positionH relativeFrom="page">
              <wp:posOffset>1102145</wp:posOffset>
            </wp:positionH>
            <wp:positionV relativeFrom="paragraph">
              <wp:posOffset>44469</wp:posOffset>
            </wp:positionV>
            <wp:extent cx="58380" cy="72151"/>
            <wp:effectExtent l="0" t="0" r="0" b="0"/>
            <wp:wrapNone/>
            <wp:docPr id="1065" name="image13.png"/>
            <wp:cNvGraphicFramePr>
              <a:graphicFrameLocks noChangeAspect="1"/>
            </wp:cNvGraphicFramePr>
            <a:graphic>
              <a:graphicData uri="http://schemas.openxmlformats.org/drawingml/2006/picture">
                <pic:pic>
                  <pic:nvPicPr>
                    <pic:cNvPr id="106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Yes,</w:t>
      </w:r>
      <w:r>
        <w:rPr>
          <w:spacing w:val="-6"/>
          <w:sz w:val="18"/>
        </w:rPr>
        <w:t> </w:t>
      </w:r>
      <w:r>
        <w:rPr>
          <w:sz w:val="18"/>
        </w:rPr>
        <w:t>please</w:t>
      </w:r>
      <w:r>
        <w:rPr>
          <w:spacing w:val="-4"/>
          <w:sz w:val="18"/>
        </w:rPr>
        <w:t> </w:t>
      </w:r>
      <w:r>
        <w:rPr>
          <w:sz w:val="18"/>
        </w:rPr>
        <w:t>describe</w:t>
      </w:r>
    </w:p>
    <w:p>
      <w:pPr>
        <w:pStyle w:val="BodyText"/>
      </w:pPr>
    </w:p>
    <w:p>
      <w:pPr>
        <w:pStyle w:val="BodyText"/>
        <w:spacing w:before="7"/>
        <w:rPr>
          <w:sz w:val="25"/>
        </w:rPr>
      </w:pPr>
      <w:r>
        <w:rPr/>
        <w:pict>
          <v:rect style="position:absolute;margin-left:34.560001pt;margin-top:16.886797pt;width:526.3pt;height:.48001pt;mso-position-horizontal-relative:page;mso-position-vertical-relative:paragraph;z-index:-15581696;mso-wrap-distance-left:0;mso-wrap-distance-right:0" id="docshape176" filled="true" fillcolor="#d9d9d9" stroked="false">
            <v:fill type="solid"/>
            <w10:wrap type="topAndBottom"/>
          </v:rect>
        </w:pict>
      </w:r>
    </w:p>
    <w:p>
      <w:pPr>
        <w:pStyle w:val="BodyText"/>
        <w:spacing w:before="2"/>
        <w:rPr>
          <w:sz w:val="8"/>
        </w:rPr>
      </w:pPr>
    </w:p>
    <w:p>
      <w:pPr>
        <w:pStyle w:val="ListParagraph"/>
        <w:numPr>
          <w:ilvl w:val="1"/>
          <w:numId w:val="82"/>
        </w:numPr>
        <w:tabs>
          <w:tab w:pos="780" w:val="left" w:leader="none"/>
        </w:tabs>
        <w:spacing w:line="240" w:lineRule="auto" w:before="100" w:after="0"/>
        <w:ind w:left="780" w:right="1217" w:hanging="360"/>
        <w:jc w:val="left"/>
        <w:rPr>
          <w:sz w:val="18"/>
        </w:rPr>
      </w:pPr>
      <w:r>
        <w:rPr>
          <w:sz w:val="18"/>
        </w:rPr>
        <w:t>What</w:t>
      </w:r>
      <w:r>
        <w:rPr>
          <w:spacing w:val="-7"/>
          <w:sz w:val="18"/>
        </w:rPr>
        <w:t> </w:t>
      </w:r>
      <w:r>
        <w:rPr>
          <w:sz w:val="18"/>
        </w:rPr>
        <w:t>was</w:t>
      </w:r>
      <w:r>
        <w:rPr>
          <w:spacing w:val="-6"/>
          <w:sz w:val="18"/>
        </w:rPr>
        <w:t> </w:t>
      </w:r>
      <w:r>
        <w:rPr>
          <w:sz w:val="18"/>
        </w:rPr>
        <w:t>the</w:t>
      </w:r>
      <w:r>
        <w:rPr>
          <w:spacing w:val="-4"/>
          <w:sz w:val="18"/>
        </w:rPr>
        <w:t> </w:t>
      </w:r>
      <w:r>
        <w:rPr>
          <w:sz w:val="18"/>
        </w:rPr>
        <w:t>approximate</w:t>
      </w:r>
      <w:r>
        <w:rPr>
          <w:spacing w:val="-5"/>
          <w:sz w:val="18"/>
        </w:rPr>
        <w:t> </w:t>
      </w:r>
      <w:r>
        <w:rPr>
          <w:sz w:val="18"/>
        </w:rPr>
        <w:t>average</w:t>
      </w:r>
      <w:r>
        <w:rPr>
          <w:spacing w:val="-2"/>
          <w:sz w:val="18"/>
        </w:rPr>
        <w:t> </w:t>
      </w:r>
      <w:r>
        <w:rPr>
          <w:sz w:val="18"/>
        </w:rPr>
        <w:t>monthly</w:t>
      </w:r>
      <w:r>
        <w:rPr>
          <w:spacing w:val="-6"/>
          <w:sz w:val="18"/>
        </w:rPr>
        <w:t> </w:t>
      </w:r>
      <w:r>
        <w:rPr>
          <w:sz w:val="18"/>
        </w:rPr>
        <w:t>expenditure</w:t>
      </w:r>
      <w:r>
        <w:rPr>
          <w:spacing w:val="-4"/>
          <w:sz w:val="18"/>
        </w:rPr>
        <w:t> </w:t>
      </w:r>
      <w:r>
        <w:rPr>
          <w:sz w:val="18"/>
        </w:rPr>
        <w:t>of</w:t>
      </w:r>
      <w:r>
        <w:rPr>
          <w:spacing w:val="-4"/>
          <w:sz w:val="18"/>
        </w:rPr>
        <w:t> </w:t>
      </w:r>
      <w:r>
        <w:rPr>
          <w:sz w:val="18"/>
        </w:rPr>
        <w:t>the</w:t>
      </w:r>
      <w:r>
        <w:rPr>
          <w:spacing w:val="-5"/>
          <w:sz w:val="18"/>
        </w:rPr>
        <w:t> </w:t>
      </w:r>
      <w:r>
        <w:rPr>
          <w:sz w:val="18"/>
        </w:rPr>
        <w:t>practice/service</w:t>
      </w:r>
      <w:r>
        <w:rPr>
          <w:spacing w:val="-5"/>
          <w:sz w:val="18"/>
        </w:rPr>
        <w:t> </w:t>
      </w:r>
      <w:r>
        <w:rPr>
          <w:sz w:val="18"/>
        </w:rPr>
        <w:t>excluding</w:t>
      </w:r>
      <w:r>
        <w:rPr>
          <w:spacing w:val="-6"/>
          <w:sz w:val="18"/>
        </w:rPr>
        <w:t> </w:t>
      </w:r>
      <w:r>
        <w:rPr>
          <w:sz w:val="18"/>
        </w:rPr>
        <w:t>salaries/payments</w:t>
      </w:r>
      <w:r>
        <w:rPr>
          <w:spacing w:val="1"/>
          <w:sz w:val="18"/>
        </w:rPr>
        <w:t> </w:t>
      </w:r>
      <w:r>
        <w:rPr>
          <w:sz w:val="18"/>
        </w:rPr>
        <w:t>made</w:t>
      </w:r>
      <w:r>
        <w:rPr>
          <w:spacing w:val="-1"/>
          <w:sz w:val="18"/>
        </w:rPr>
        <w:t> </w:t>
      </w:r>
      <w:r>
        <w:rPr>
          <w:sz w:val="18"/>
        </w:rPr>
        <w:t>to</w:t>
      </w:r>
      <w:r>
        <w:rPr>
          <w:spacing w:val="-1"/>
          <w:sz w:val="18"/>
        </w:rPr>
        <w:t> </w:t>
      </w:r>
      <w:r>
        <w:rPr>
          <w:sz w:val="18"/>
        </w:rPr>
        <w:t>GPs?</w:t>
      </w:r>
    </w:p>
    <w:p>
      <w:pPr>
        <w:pStyle w:val="BodyText"/>
        <w:spacing w:before="4"/>
        <w:rPr>
          <w:sz w:val="16"/>
        </w:rPr>
      </w:pPr>
    </w:p>
    <w:tbl>
      <w:tblPr>
        <w:tblW w:w="0" w:type="auto"/>
        <w:jc w:val="left"/>
        <w:tblInd w:w="43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7228"/>
        <w:gridCol w:w="2835"/>
      </w:tblGrid>
      <w:tr>
        <w:trPr>
          <w:trHeight w:val="443" w:hRule="atLeast"/>
        </w:trPr>
        <w:tc>
          <w:tcPr>
            <w:tcW w:w="7228" w:type="dxa"/>
            <w:shd w:val="clear" w:color="auto" w:fill="F1F1F1"/>
          </w:tcPr>
          <w:p>
            <w:pPr>
              <w:pStyle w:val="TableParagraph"/>
              <w:spacing w:before="111"/>
              <w:ind w:left="2855" w:right="2848"/>
              <w:jc w:val="center"/>
              <w:rPr>
                <w:sz w:val="18"/>
              </w:rPr>
            </w:pPr>
            <w:r>
              <w:rPr>
                <w:sz w:val="18"/>
              </w:rPr>
              <w:t>Expenditure</w:t>
            </w:r>
            <w:r>
              <w:rPr>
                <w:spacing w:val="-6"/>
                <w:sz w:val="18"/>
              </w:rPr>
              <w:t> </w:t>
            </w:r>
            <w:r>
              <w:rPr>
                <w:sz w:val="18"/>
              </w:rPr>
              <w:t>type</w:t>
            </w:r>
          </w:p>
        </w:tc>
        <w:tc>
          <w:tcPr>
            <w:tcW w:w="2835" w:type="dxa"/>
            <w:shd w:val="clear" w:color="auto" w:fill="F1F1F1"/>
          </w:tcPr>
          <w:p>
            <w:pPr>
              <w:pStyle w:val="TableParagraph"/>
              <w:spacing w:line="220" w:lineRule="atLeast"/>
              <w:ind w:left="671" w:right="642" w:hanging="15"/>
              <w:rPr>
                <w:sz w:val="18"/>
              </w:rPr>
            </w:pPr>
            <w:r>
              <w:rPr>
                <w:sz w:val="18"/>
              </w:rPr>
              <w:t>Average</w:t>
            </w:r>
            <w:r>
              <w:rPr>
                <w:spacing w:val="-8"/>
                <w:sz w:val="18"/>
              </w:rPr>
              <w:t> </w:t>
            </w:r>
            <w:r>
              <w:rPr>
                <w:sz w:val="18"/>
              </w:rPr>
              <w:t>monthly</w:t>
            </w:r>
            <w:r>
              <w:rPr>
                <w:spacing w:val="-47"/>
                <w:sz w:val="18"/>
              </w:rPr>
              <w:t> </w:t>
            </w:r>
            <w:r>
              <w:rPr>
                <w:sz w:val="18"/>
              </w:rPr>
              <w:t>expenditure</w:t>
            </w:r>
            <w:r>
              <w:rPr>
                <w:spacing w:val="-6"/>
                <w:sz w:val="18"/>
              </w:rPr>
              <w:t> </w:t>
            </w:r>
            <w:r>
              <w:rPr>
                <w:sz w:val="18"/>
              </w:rPr>
              <w:t>$</w:t>
            </w:r>
            <w:r>
              <w:rPr>
                <w:spacing w:val="-2"/>
                <w:sz w:val="18"/>
              </w:rPr>
              <w:t> </w:t>
            </w:r>
            <w:r>
              <w:rPr>
                <w:sz w:val="18"/>
              </w:rPr>
              <w:t>(1)</w:t>
            </w:r>
          </w:p>
        </w:tc>
      </w:tr>
      <w:tr>
        <w:trPr>
          <w:trHeight w:val="441" w:hRule="atLeast"/>
        </w:trPr>
        <w:tc>
          <w:tcPr>
            <w:tcW w:w="7228" w:type="dxa"/>
          </w:tcPr>
          <w:p>
            <w:pPr>
              <w:pStyle w:val="TableParagraph"/>
              <w:spacing w:line="220" w:lineRule="exact"/>
              <w:ind w:left="115" w:right="57"/>
              <w:rPr>
                <w:sz w:val="18"/>
              </w:rPr>
            </w:pPr>
            <w:r>
              <w:rPr>
                <w:sz w:val="18"/>
              </w:rPr>
              <w:t>Employee</w:t>
            </w:r>
            <w:r>
              <w:rPr>
                <w:spacing w:val="-5"/>
                <w:sz w:val="18"/>
              </w:rPr>
              <w:t> </w:t>
            </w:r>
            <w:r>
              <w:rPr>
                <w:sz w:val="18"/>
              </w:rPr>
              <w:t>related</w:t>
            </w:r>
            <w:r>
              <w:rPr>
                <w:spacing w:val="-3"/>
                <w:sz w:val="18"/>
              </w:rPr>
              <w:t> </w:t>
            </w:r>
            <w:r>
              <w:rPr>
                <w:sz w:val="18"/>
              </w:rPr>
              <w:t>expenditures</w:t>
            </w:r>
            <w:r>
              <w:rPr>
                <w:spacing w:val="-8"/>
                <w:sz w:val="18"/>
              </w:rPr>
              <w:t> </w:t>
            </w:r>
            <w:r>
              <w:rPr>
                <w:sz w:val="18"/>
              </w:rPr>
              <w:t>for</w:t>
            </w:r>
            <w:r>
              <w:rPr>
                <w:spacing w:val="-4"/>
                <w:sz w:val="18"/>
              </w:rPr>
              <w:t> </w:t>
            </w:r>
            <w:r>
              <w:rPr>
                <w:sz w:val="18"/>
              </w:rPr>
              <w:t>personnel</w:t>
            </w:r>
            <w:r>
              <w:rPr>
                <w:spacing w:val="-7"/>
                <w:sz w:val="18"/>
              </w:rPr>
              <w:t> </w:t>
            </w:r>
            <w:r>
              <w:rPr>
                <w:sz w:val="18"/>
              </w:rPr>
              <w:t>EXCLUDING</w:t>
            </w:r>
            <w:r>
              <w:rPr>
                <w:spacing w:val="-5"/>
                <w:sz w:val="18"/>
              </w:rPr>
              <w:t> </w:t>
            </w:r>
            <w:r>
              <w:rPr>
                <w:sz w:val="18"/>
              </w:rPr>
              <w:t>GPs</w:t>
            </w:r>
            <w:r>
              <w:rPr>
                <w:spacing w:val="-1"/>
                <w:sz w:val="18"/>
              </w:rPr>
              <w:t> </w:t>
            </w:r>
            <w:r>
              <w:rPr>
                <w:sz w:val="18"/>
              </w:rPr>
              <w:t>(salaries,</w:t>
            </w:r>
            <w:r>
              <w:rPr>
                <w:spacing w:val="-2"/>
                <w:sz w:val="18"/>
              </w:rPr>
              <w:t> </w:t>
            </w:r>
            <w:r>
              <w:rPr>
                <w:sz w:val="18"/>
              </w:rPr>
              <w:t>on-costs</w:t>
            </w:r>
            <w:r>
              <w:rPr>
                <w:spacing w:val="-47"/>
                <w:sz w:val="18"/>
              </w:rPr>
              <w:t> </w:t>
            </w:r>
            <w:r>
              <w:rPr>
                <w:sz w:val="18"/>
              </w:rPr>
              <w:t>and</w:t>
            </w:r>
            <w:r>
              <w:rPr>
                <w:spacing w:val="-2"/>
                <w:sz w:val="18"/>
              </w:rPr>
              <w:t> </w:t>
            </w:r>
            <w:r>
              <w:rPr>
                <w:sz w:val="18"/>
              </w:rPr>
              <w:t>contractor payments</w:t>
            </w:r>
            <w:r>
              <w:rPr>
                <w:spacing w:val="-1"/>
                <w:sz w:val="18"/>
              </w:rPr>
              <w:t> </w:t>
            </w:r>
            <w:r>
              <w:rPr>
                <w:sz w:val="18"/>
              </w:rPr>
              <w:t>if</w:t>
            </w:r>
            <w:r>
              <w:rPr>
                <w:spacing w:val="-2"/>
                <w:sz w:val="18"/>
              </w:rPr>
              <w:t> </w:t>
            </w:r>
            <w:r>
              <w:rPr>
                <w:sz w:val="18"/>
              </w:rPr>
              <w:t>appropriate)</w:t>
            </w:r>
            <w:r>
              <w:rPr>
                <w:spacing w:val="1"/>
                <w:sz w:val="18"/>
              </w:rPr>
              <w:t> </w:t>
            </w:r>
            <w:r>
              <w:rPr>
                <w:sz w:val="18"/>
              </w:rPr>
              <w:t>(1)</w:t>
            </w:r>
          </w:p>
        </w:tc>
        <w:tc>
          <w:tcPr>
            <w:tcW w:w="2835" w:type="dxa"/>
          </w:tcPr>
          <w:p>
            <w:pPr>
              <w:pStyle w:val="TableParagraph"/>
              <w:rPr>
                <w:rFonts w:ascii="Times New Roman"/>
                <w:sz w:val="18"/>
              </w:rPr>
            </w:pPr>
          </w:p>
        </w:tc>
      </w:tr>
      <w:tr>
        <w:trPr>
          <w:trHeight w:val="882" w:hRule="atLeast"/>
        </w:trPr>
        <w:tc>
          <w:tcPr>
            <w:tcW w:w="7228" w:type="dxa"/>
          </w:tcPr>
          <w:p>
            <w:pPr>
              <w:pStyle w:val="TableParagraph"/>
              <w:spacing w:line="220" w:lineRule="exact"/>
              <w:ind w:left="115" w:right="57"/>
              <w:rPr>
                <w:sz w:val="18"/>
              </w:rPr>
            </w:pPr>
            <w:r>
              <w:rPr>
                <w:sz w:val="18"/>
              </w:rPr>
              <w:t>Other operating costs including administrative costs (e.g. legal and audit,</w:t>
            </w:r>
            <w:r>
              <w:rPr>
                <w:spacing w:val="1"/>
                <w:sz w:val="18"/>
              </w:rPr>
              <w:t> </w:t>
            </w:r>
            <w:r>
              <w:rPr>
                <w:sz w:val="18"/>
              </w:rPr>
              <w:t>computer, meeting expenses, travel), utilities, clinical supplies and clinical</w:t>
            </w:r>
            <w:r>
              <w:rPr>
                <w:spacing w:val="1"/>
                <w:sz w:val="18"/>
              </w:rPr>
              <w:t> </w:t>
            </w:r>
            <w:r>
              <w:rPr>
                <w:sz w:val="18"/>
              </w:rPr>
              <w:t>services</w:t>
            </w:r>
            <w:r>
              <w:rPr>
                <w:spacing w:val="-2"/>
                <w:sz w:val="18"/>
              </w:rPr>
              <w:t> </w:t>
            </w:r>
            <w:r>
              <w:rPr>
                <w:sz w:val="18"/>
              </w:rPr>
              <w:t>(e.g.</w:t>
            </w:r>
            <w:r>
              <w:rPr>
                <w:spacing w:val="-6"/>
                <w:sz w:val="18"/>
              </w:rPr>
              <w:t> </w:t>
            </w:r>
            <w:r>
              <w:rPr>
                <w:sz w:val="18"/>
              </w:rPr>
              <w:t>sterilization,</w:t>
            </w:r>
            <w:r>
              <w:rPr>
                <w:spacing w:val="-5"/>
                <w:sz w:val="18"/>
              </w:rPr>
              <w:t> </w:t>
            </w:r>
            <w:r>
              <w:rPr>
                <w:sz w:val="18"/>
              </w:rPr>
              <w:t>diagnostic</w:t>
            </w:r>
            <w:r>
              <w:rPr>
                <w:spacing w:val="-4"/>
                <w:sz w:val="18"/>
              </w:rPr>
              <w:t> </w:t>
            </w:r>
            <w:r>
              <w:rPr>
                <w:sz w:val="18"/>
              </w:rPr>
              <w:t>tests,</w:t>
            </w:r>
            <w:r>
              <w:rPr>
                <w:spacing w:val="-7"/>
                <w:sz w:val="18"/>
              </w:rPr>
              <w:t> </w:t>
            </w:r>
            <w:r>
              <w:rPr>
                <w:sz w:val="18"/>
              </w:rPr>
              <w:t>examination</w:t>
            </w:r>
            <w:r>
              <w:rPr>
                <w:spacing w:val="-5"/>
                <w:sz w:val="18"/>
              </w:rPr>
              <w:t> </w:t>
            </w:r>
            <w:r>
              <w:rPr>
                <w:sz w:val="18"/>
              </w:rPr>
              <w:t>material,</w:t>
            </w:r>
            <w:r>
              <w:rPr>
                <w:spacing w:val="-6"/>
                <w:sz w:val="18"/>
              </w:rPr>
              <w:t> </w:t>
            </w:r>
            <w:r>
              <w:rPr>
                <w:sz w:val="18"/>
              </w:rPr>
              <w:t>medications),</w:t>
            </w:r>
            <w:r>
              <w:rPr>
                <w:spacing w:val="-47"/>
                <w:sz w:val="18"/>
              </w:rPr>
              <w:t> </w:t>
            </w:r>
            <w:r>
              <w:rPr>
                <w:sz w:val="18"/>
              </w:rPr>
              <w:t>corporate</w:t>
            </w:r>
            <w:r>
              <w:rPr>
                <w:spacing w:val="-2"/>
                <w:sz w:val="18"/>
              </w:rPr>
              <w:t> </w:t>
            </w:r>
            <w:r>
              <w:rPr>
                <w:sz w:val="18"/>
              </w:rPr>
              <w:t>services</w:t>
            </w:r>
            <w:r>
              <w:rPr>
                <w:spacing w:val="-2"/>
                <w:sz w:val="18"/>
              </w:rPr>
              <w:t> </w:t>
            </w:r>
            <w:r>
              <w:rPr>
                <w:sz w:val="18"/>
              </w:rPr>
              <w:t>charges,</w:t>
            </w:r>
            <w:r>
              <w:rPr>
                <w:spacing w:val="-1"/>
                <w:sz w:val="18"/>
              </w:rPr>
              <w:t> </w:t>
            </w:r>
            <w:r>
              <w:rPr>
                <w:sz w:val="18"/>
              </w:rPr>
              <w:t>building</w:t>
            </w:r>
            <w:r>
              <w:rPr>
                <w:spacing w:val="-4"/>
                <w:sz w:val="18"/>
              </w:rPr>
              <w:t> </w:t>
            </w:r>
            <w:r>
              <w:rPr>
                <w:sz w:val="18"/>
              </w:rPr>
              <w:t>and</w:t>
            </w:r>
            <w:r>
              <w:rPr>
                <w:spacing w:val="-2"/>
                <w:sz w:val="18"/>
              </w:rPr>
              <w:t> </w:t>
            </w:r>
            <w:r>
              <w:rPr>
                <w:sz w:val="18"/>
              </w:rPr>
              <w:t>maintenance</w:t>
            </w:r>
            <w:r>
              <w:rPr>
                <w:spacing w:val="-5"/>
                <w:sz w:val="18"/>
              </w:rPr>
              <w:t> </w:t>
            </w:r>
            <w:r>
              <w:rPr>
                <w:sz w:val="18"/>
              </w:rPr>
              <w:t>expenses</w:t>
            </w:r>
            <w:r>
              <w:rPr>
                <w:spacing w:val="1"/>
                <w:sz w:val="18"/>
              </w:rPr>
              <w:t> </w:t>
            </w:r>
            <w:r>
              <w:rPr>
                <w:sz w:val="18"/>
              </w:rPr>
              <w:t>(2)</w:t>
            </w:r>
          </w:p>
        </w:tc>
        <w:tc>
          <w:tcPr>
            <w:tcW w:w="2835" w:type="dxa"/>
          </w:tcPr>
          <w:p>
            <w:pPr>
              <w:pStyle w:val="TableParagraph"/>
              <w:rPr>
                <w:rFonts w:ascii="Times New Roman"/>
                <w:sz w:val="18"/>
              </w:rPr>
            </w:pPr>
          </w:p>
        </w:tc>
      </w:tr>
      <w:tr>
        <w:trPr>
          <w:trHeight w:val="244" w:hRule="atLeast"/>
        </w:trPr>
        <w:tc>
          <w:tcPr>
            <w:tcW w:w="7228" w:type="dxa"/>
          </w:tcPr>
          <w:p>
            <w:pPr>
              <w:pStyle w:val="TableParagraph"/>
              <w:spacing w:line="214" w:lineRule="exact" w:before="10"/>
              <w:ind w:left="115"/>
              <w:rPr>
                <w:sz w:val="18"/>
              </w:rPr>
            </w:pPr>
            <w:r>
              <w:rPr>
                <w:sz w:val="18"/>
              </w:rPr>
              <w:t>Depreciation</w:t>
            </w:r>
            <w:r>
              <w:rPr>
                <w:spacing w:val="-1"/>
                <w:sz w:val="18"/>
              </w:rPr>
              <w:t> </w:t>
            </w:r>
            <w:r>
              <w:rPr>
                <w:sz w:val="18"/>
              </w:rPr>
              <w:t>(estimate</w:t>
            </w:r>
            <w:r>
              <w:rPr>
                <w:spacing w:val="-4"/>
                <w:sz w:val="18"/>
              </w:rPr>
              <w:t> </w:t>
            </w:r>
            <w:r>
              <w:rPr>
                <w:sz w:val="18"/>
              </w:rPr>
              <w:t>based</w:t>
            </w:r>
            <w:r>
              <w:rPr>
                <w:spacing w:val="-4"/>
                <w:sz w:val="18"/>
              </w:rPr>
              <w:t> </w:t>
            </w:r>
            <w:r>
              <w:rPr>
                <w:sz w:val="18"/>
              </w:rPr>
              <w:t>on</w:t>
            </w:r>
            <w:r>
              <w:rPr>
                <w:spacing w:val="-4"/>
                <w:sz w:val="18"/>
              </w:rPr>
              <w:t> </w:t>
            </w:r>
            <w:r>
              <w:rPr>
                <w:sz w:val="18"/>
              </w:rPr>
              <w:t>last</w:t>
            </w:r>
            <w:r>
              <w:rPr>
                <w:spacing w:val="-6"/>
                <w:sz w:val="18"/>
              </w:rPr>
              <w:t> </w:t>
            </w:r>
            <w:r>
              <w:rPr>
                <w:sz w:val="18"/>
              </w:rPr>
              <w:t>financial</w:t>
            </w:r>
            <w:r>
              <w:rPr>
                <w:spacing w:val="-3"/>
                <w:sz w:val="18"/>
              </w:rPr>
              <w:t> </w:t>
            </w:r>
            <w:r>
              <w:rPr>
                <w:sz w:val="18"/>
              </w:rPr>
              <w:t>year)</w:t>
            </w:r>
          </w:p>
        </w:tc>
        <w:tc>
          <w:tcPr>
            <w:tcW w:w="2835" w:type="dxa"/>
          </w:tcPr>
          <w:p>
            <w:pPr>
              <w:pStyle w:val="TableParagraph"/>
              <w:rPr>
                <w:rFonts w:ascii="Times New Roman"/>
                <w:sz w:val="16"/>
              </w:rPr>
            </w:pPr>
          </w:p>
        </w:tc>
      </w:tr>
    </w:tbl>
    <w:p>
      <w:pPr>
        <w:pStyle w:val="BodyText"/>
        <w:spacing w:before="4"/>
        <w:rPr>
          <w:sz w:val="16"/>
        </w:rPr>
      </w:pPr>
    </w:p>
    <w:p>
      <w:pPr>
        <w:pStyle w:val="ListParagraph"/>
        <w:numPr>
          <w:ilvl w:val="1"/>
          <w:numId w:val="82"/>
        </w:numPr>
        <w:tabs>
          <w:tab w:pos="778" w:val="left" w:leader="none"/>
        </w:tabs>
        <w:spacing w:line="240" w:lineRule="auto" w:before="0" w:after="0"/>
        <w:ind w:left="777" w:right="812" w:hanging="358"/>
        <w:jc w:val="left"/>
        <w:rPr>
          <w:sz w:val="18"/>
        </w:rPr>
      </w:pPr>
      <w:r>
        <w:rPr>
          <w:sz w:val="18"/>
        </w:rPr>
        <w:t>Please describe any changes in the approach your practice/service has taken regarding co-payments for patients</w:t>
      </w:r>
      <w:r>
        <w:rPr>
          <w:spacing w:val="-47"/>
          <w:sz w:val="18"/>
        </w:rPr>
        <w:t> </w:t>
      </w:r>
      <w:r>
        <w:rPr>
          <w:sz w:val="18"/>
        </w:rPr>
        <w:t>enrolled</w:t>
      </w:r>
      <w:r>
        <w:rPr>
          <w:spacing w:val="-4"/>
          <w:sz w:val="18"/>
        </w:rPr>
        <w:t> </w:t>
      </w:r>
      <w:r>
        <w:rPr>
          <w:sz w:val="18"/>
        </w:rPr>
        <w:t>in the</w:t>
      </w:r>
      <w:r>
        <w:rPr>
          <w:spacing w:val="-2"/>
          <w:sz w:val="18"/>
        </w:rPr>
        <w:t> </w:t>
      </w:r>
      <w:r>
        <w:rPr>
          <w:sz w:val="18"/>
        </w:rPr>
        <w:t>HCH</w:t>
      </w:r>
      <w:r>
        <w:rPr>
          <w:spacing w:val="-1"/>
          <w:sz w:val="18"/>
        </w:rPr>
        <w:t> </w:t>
      </w:r>
      <w:r>
        <w:rPr>
          <w:sz w:val="18"/>
        </w:rPr>
        <w:t>program?</w:t>
      </w:r>
    </w:p>
    <w:p>
      <w:pPr>
        <w:pStyle w:val="BodyText"/>
      </w:pPr>
    </w:p>
    <w:p>
      <w:pPr>
        <w:pStyle w:val="BodyText"/>
        <w:rPr>
          <w:sz w:val="19"/>
        </w:rPr>
      </w:pPr>
      <w:r>
        <w:rPr/>
        <w:pict>
          <v:rect style="position:absolute;margin-left:34.560001pt;margin-top:12.891358pt;width:526.3pt;height:.47998pt;mso-position-horizontal-relative:page;mso-position-vertical-relative:paragraph;z-index:-15581184;mso-wrap-distance-left:0;mso-wrap-distance-right:0" id="docshape177" filled="true" fillcolor="#d9d9d9" stroked="false">
            <v:fill type="solid"/>
            <w10:wrap type="topAndBottom"/>
          </v:rect>
        </w:pict>
      </w:r>
    </w:p>
    <w:p>
      <w:pPr>
        <w:pStyle w:val="BodyText"/>
        <w:spacing w:before="2"/>
        <w:rPr>
          <w:sz w:val="8"/>
        </w:rPr>
      </w:pPr>
    </w:p>
    <w:p>
      <w:pPr>
        <w:pStyle w:val="ListParagraph"/>
        <w:numPr>
          <w:ilvl w:val="1"/>
          <w:numId w:val="82"/>
        </w:numPr>
        <w:tabs>
          <w:tab w:pos="780" w:val="left" w:leader="none"/>
        </w:tabs>
        <w:spacing w:line="240" w:lineRule="auto" w:before="100" w:after="0"/>
        <w:ind w:left="780" w:right="0" w:hanging="360"/>
        <w:jc w:val="left"/>
        <w:rPr>
          <w:sz w:val="18"/>
        </w:rPr>
      </w:pPr>
      <w:r>
        <w:rPr>
          <w:sz w:val="18"/>
        </w:rPr>
        <w:t>Overall</w:t>
      </w:r>
      <w:r>
        <w:rPr>
          <w:spacing w:val="-2"/>
          <w:sz w:val="18"/>
        </w:rPr>
        <w:t> </w:t>
      </w:r>
      <w:r>
        <w:rPr>
          <w:sz w:val="18"/>
        </w:rPr>
        <w:t>how</w:t>
      </w:r>
      <w:r>
        <w:rPr>
          <w:spacing w:val="-4"/>
          <w:sz w:val="18"/>
        </w:rPr>
        <w:t> </w:t>
      </w:r>
      <w:r>
        <w:rPr>
          <w:sz w:val="18"/>
        </w:rPr>
        <w:t>would</w:t>
      </w:r>
      <w:r>
        <w:rPr>
          <w:spacing w:val="-3"/>
          <w:sz w:val="18"/>
        </w:rPr>
        <w:t> </w:t>
      </w:r>
      <w:r>
        <w:rPr>
          <w:sz w:val="18"/>
        </w:rPr>
        <w:t>describe</w:t>
      </w:r>
      <w:r>
        <w:rPr>
          <w:spacing w:val="-5"/>
          <w:sz w:val="18"/>
        </w:rPr>
        <w:t> </w:t>
      </w:r>
      <w:r>
        <w:rPr>
          <w:sz w:val="18"/>
        </w:rPr>
        <w:t>the</w:t>
      </w:r>
      <w:r>
        <w:rPr>
          <w:spacing w:val="-4"/>
          <w:sz w:val="18"/>
        </w:rPr>
        <w:t> </w:t>
      </w:r>
      <w:r>
        <w:rPr>
          <w:sz w:val="18"/>
        </w:rPr>
        <w:t>impact</w:t>
      </w:r>
      <w:r>
        <w:rPr>
          <w:spacing w:val="-4"/>
          <w:sz w:val="18"/>
        </w:rPr>
        <w:t> </w:t>
      </w:r>
      <w:r>
        <w:rPr>
          <w:sz w:val="18"/>
        </w:rPr>
        <w:t>of</w:t>
      </w:r>
      <w:r>
        <w:rPr>
          <w:spacing w:val="-1"/>
          <w:sz w:val="18"/>
        </w:rPr>
        <w:t> </w:t>
      </w:r>
      <w:r>
        <w:rPr>
          <w:sz w:val="18"/>
        </w:rPr>
        <w:t>HCH</w:t>
      </w:r>
      <w:r>
        <w:rPr>
          <w:spacing w:val="-3"/>
          <w:sz w:val="18"/>
        </w:rPr>
        <w:t> </w:t>
      </w:r>
      <w:r>
        <w:rPr>
          <w:sz w:val="18"/>
        </w:rPr>
        <w:t>on</w:t>
      </w:r>
      <w:r>
        <w:rPr>
          <w:spacing w:val="-2"/>
          <w:sz w:val="18"/>
        </w:rPr>
        <w:t> </w:t>
      </w:r>
      <w:r>
        <w:rPr>
          <w:sz w:val="18"/>
        </w:rPr>
        <w:t>the</w:t>
      </w:r>
      <w:r>
        <w:rPr>
          <w:spacing w:val="-2"/>
          <w:sz w:val="18"/>
        </w:rPr>
        <w:t> </w:t>
      </w:r>
      <w:r>
        <w:rPr>
          <w:sz w:val="18"/>
        </w:rPr>
        <w:t>financial</w:t>
      </w:r>
      <w:r>
        <w:rPr>
          <w:spacing w:val="-2"/>
          <w:sz w:val="18"/>
        </w:rPr>
        <w:t> </w:t>
      </w:r>
      <w:r>
        <w:rPr>
          <w:sz w:val="18"/>
        </w:rPr>
        <w:t>viability</w:t>
      </w:r>
      <w:r>
        <w:rPr>
          <w:spacing w:val="-3"/>
          <w:sz w:val="18"/>
        </w:rPr>
        <w:t> </w:t>
      </w:r>
      <w:r>
        <w:rPr>
          <w:sz w:val="18"/>
        </w:rPr>
        <w:t>of</w:t>
      </w:r>
      <w:r>
        <w:rPr>
          <w:spacing w:val="-2"/>
          <w:sz w:val="18"/>
        </w:rPr>
        <w:t> </w:t>
      </w:r>
      <w:r>
        <w:rPr>
          <w:sz w:val="18"/>
        </w:rPr>
        <w:t>the</w:t>
      </w:r>
      <w:r>
        <w:rPr>
          <w:spacing w:val="-2"/>
          <w:sz w:val="18"/>
        </w:rPr>
        <w:t> </w:t>
      </w:r>
      <w:r>
        <w:rPr>
          <w:sz w:val="18"/>
        </w:rPr>
        <w:t>practice?</w:t>
      </w:r>
    </w:p>
    <w:p>
      <w:pPr>
        <w:pStyle w:val="BodyText"/>
      </w:pPr>
    </w:p>
    <w:p>
      <w:pPr>
        <w:pStyle w:val="BodyText"/>
        <w:spacing w:before="1"/>
        <w:rPr>
          <w:sz w:val="19"/>
        </w:rPr>
      </w:pPr>
      <w:r>
        <w:rPr/>
        <w:pict>
          <v:rect style="position:absolute;margin-left:34.560001pt;margin-top:12.900313pt;width:526.3pt;height:.47998pt;mso-position-horizontal-relative:page;mso-position-vertical-relative:paragraph;z-index:-15580672;mso-wrap-distance-left:0;mso-wrap-distance-right:0" id="docshape178" filled="true" fillcolor="#d9d9d9" stroked="false">
            <v:fill type="solid"/>
            <w10:wrap type="topAndBottom"/>
          </v:rect>
        </w:pict>
      </w:r>
    </w:p>
    <w:p>
      <w:pPr>
        <w:pStyle w:val="BodyText"/>
        <w:spacing w:before="2"/>
        <w:rPr>
          <w:sz w:val="8"/>
        </w:rPr>
      </w:pPr>
    </w:p>
    <w:p>
      <w:pPr>
        <w:pStyle w:val="ListParagraph"/>
        <w:numPr>
          <w:ilvl w:val="1"/>
          <w:numId w:val="82"/>
        </w:numPr>
        <w:tabs>
          <w:tab w:pos="780" w:val="left" w:leader="none"/>
        </w:tabs>
        <w:spacing w:line="240" w:lineRule="auto" w:before="100" w:after="0"/>
        <w:ind w:left="780" w:right="0" w:hanging="360"/>
        <w:jc w:val="left"/>
        <w:rPr>
          <w:sz w:val="18"/>
        </w:rPr>
      </w:pPr>
      <w:r>
        <w:rPr>
          <w:sz w:val="18"/>
        </w:rPr>
        <w:t>Does</w:t>
      </w:r>
      <w:r>
        <w:rPr>
          <w:spacing w:val="-3"/>
          <w:sz w:val="18"/>
        </w:rPr>
        <w:t> </w:t>
      </w:r>
      <w:r>
        <w:rPr>
          <w:sz w:val="18"/>
        </w:rPr>
        <w:t>your</w:t>
      </w:r>
      <w:r>
        <w:rPr>
          <w:spacing w:val="-1"/>
          <w:sz w:val="18"/>
        </w:rPr>
        <w:t> </w:t>
      </w:r>
      <w:r>
        <w:rPr>
          <w:sz w:val="18"/>
        </w:rPr>
        <w:t>practices</w:t>
      </w:r>
      <w:r>
        <w:rPr>
          <w:spacing w:val="-3"/>
          <w:sz w:val="18"/>
        </w:rPr>
        <w:t> </w:t>
      </w:r>
      <w:r>
        <w:rPr>
          <w:sz w:val="18"/>
        </w:rPr>
        <w:t>wish to</w:t>
      </w:r>
      <w:r>
        <w:rPr>
          <w:spacing w:val="-4"/>
          <w:sz w:val="18"/>
        </w:rPr>
        <w:t> </w:t>
      </w:r>
      <w:r>
        <w:rPr>
          <w:sz w:val="18"/>
        </w:rPr>
        <w:t>continue</w:t>
      </w:r>
      <w:r>
        <w:rPr>
          <w:spacing w:val="-2"/>
          <w:sz w:val="18"/>
        </w:rPr>
        <w:t> </w:t>
      </w:r>
      <w:r>
        <w:rPr>
          <w:sz w:val="18"/>
        </w:rPr>
        <w:t>to</w:t>
      </w:r>
      <w:r>
        <w:rPr>
          <w:spacing w:val="-3"/>
          <w:sz w:val="18"/>
        </w:rPr>
        <w:t> </w:t>
      </w:r>
      <w:r>
        <w:rPr>
          <w:sz w:val="18"/>
        </w:rPr>
        <w:t>participate</w:t>
      </w:r>
      <w:r>
        <w:rPr>
          <w:spacing w:val="-4"/>
          <w:sz w:val="18"/>
        </w:rPr>
        <w:t> </w:t>
      </w:r>
      <w:r>
        <w:rPr>
          <w:sz w:val="18"/>
        </w:rPr>
        <w:t>in</w:t>
      </w:r>
      <w:r>
        <w:rPr>
          <w:spacing w:val="-2"/>
          <w:sz w:val="18"/>
        </w:rPr>
        <w:t> </w:t>
      </w:r>
      <w:r>
        <w:rPr>
          <w:sz w:val="18"/>
        </w:rPr>
        <w:t>a</w:t>
      </w:r>
      <w:r>
        <w:rPr>
          <w:spacing w:val="-4"/>
          <w:sz w:val="18"/>
        </w:rPr>
        <w:t> </w:t>
      </w:r>
      <w:r>
        <w:rPr>
          <w:sz w:val="18"/>
        </w:rPr>
        <w:t>program</w:t>
      </w:r>
      <w:r>
        <w:rPr>
          <w:spacing w:val="-6"/>
          <w:sz w:val="18"/>
        </w:rPr>
        <w:t> </w:t>
      </w:r>
      <w:r>
        <w:rPr>
          <w:sz w:val="18"/>
        </w:rPr>
        <w:t>like</w:t>
      </w:r>
      <w:r>
        <w:rPr>
          <w:spacing w:val="3"/>
          <w:sz w:val="18"/>
        </w:rPr>
        <w:t> </w:t>
      </w:r>
      <w:r>
        <w:rPr>
          <w:sz w:val="18"/>
        </w:rPr>
        <w:t>HCH?</w:t>
      </w:r>
    </w:p>
    <w:p>
      <w:pPr>
        <w:pStyle w:val="BodyText"/>
        <w:spacing w:before="3"/>
        <w:rPr>
          <w:sz w:val="16"/>
        </w:rPr>
      </w:pPr>
    </w:p>
    <w:p>
      <w:pPr>
        <w:pStyle w:val="ListParagraph"/>
        <w:numPr>
          <w:ilvl w:val="0"/>
          <w:numId w:val="84"/>
        </w:numPr>
        <w:tabs>
          <w:tab w:pos="1638" w:val="left" w:leader="none"/>
        </w:tabs>
        <w:spacing w:line="240" w:lineRule="auto" w:before="0" w:after="0"/>
        <w:ind w:left="1637" w:right="0" w:hanging="152"/>
        <w:jc w:val="left"/>
        <w:rPr>
          <w:sz w:val="18"/>
        </w:rPr>
      </w:pPr>
      <w:r>
        <w:rPr/>
        <w:drawing>
          <wp:anchor distT="0" distB="0" distL="0" distR="0" allowOverlap="1" layoutInCell="1" locked="0" behindDoc="0" simplePos="0" relativeHeight="15878144">
            <wp:simplePos x="0" y="0"/>
            <wp:positionH relativeFrom="page">
              <wp:posOffset>922313</wp:posOffset>
            </wp:positionH>
            <wp:positionV relativeFrom="paragraph">
              <wp:posOffset>43833</wp:posOffset>
            </wp:positionV>
            <wp:extent cx="58380" cy="72151"/>
            <wp:effectExtent l="0" t="0" r="0" b="0"/>
            <wp:wrapNone/>
            <wp:docPr id="1067" name="image13.png"/>
            <wp:cNvGraphicFramePr>
              <a:graphicFrameLocks noChangeAspect="1"/>
            </wp:cNvGraphicFramePr>
            <a:graphic>
              <a:graphicData uri="http://schemas.openxmlformats.org/drawingml/2006/picture">
                <pic:pic>
                  <pic:nvPicPr>
                    <pic:cNvPr id="106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Yes</w:t>
      </w:r>
    </w:p>
    <w:p>
      <w:pPr>
        <w:pStyle w:val="ListParagraph"/>
        <w:numPr>
          <w:ilvl w:val="0"/>
          <w:numId w:val="84"/>
        </w:numPr>
        <w:tabs>
          <w:tab w:pos="1637" w:val="left" w:leader="none"/>
        </w:tabs>
        <w:spacing w:line="240" w:lineRule="auto" w:before="0" w:after="0"/>
        <w:ind w:left="1636" w:right="0" w:hanging="151"/>
        <w:jc w:val="left"/>
        <w:rPr>
          <w:sz w:val="18"/>
        </w:rPr>
      </w:pPr>
      <w:r>
        <w:rPr/>
        <w:drawing>
          <wp:anchor distT="0" distB="0" distL="0" distR="0" allowOverlap="1" layoutInCell="1" locked="0" behindDoc="0" simplePos="0" relativeHeight="15878656">
            <wp:simplePos x="0" y="0"/>
            <wp:positionH relativeFrom="page">
              <wp:posOffset>922313</wp:posOffset>
            </wp:positionH>
            <wp:positionV relativeFrom="paragraph">
              <wp:posOffset>43833</wp:posOffset>
            </wp:positionV>
            <wp:extent cx="58380" cy="72151"/>
            <wp:effectExtent l="0" t="0" r="0" b="0"/>
            <wp:wrapNone/>
            <wp:docPr id="1069" name="image13.png"/>
            <wp:cNvGraphicFramePr>
              <a:graphicFrameLocks noChangeAspect="1"/>
            </wp:cNvGraphicFramePr>
            <a:graphic>
              <a:graphicData uri="http://schemas.openxmlformats.org/drawingml/2006/picture">
                <pic:pic>
                  <pic:nvPicPr>
                    <pic:cNvPr id="107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Maybe</w:t>
      </w:r>
    </w:p>
    <w:p>
      <w:pPr>
        <w:pStyle w:val="ListParagraph"/>
        <w:numPr>
          <w:ilvl w:val="0"/>
          <w:numId w:val="84"/>
        </w:numPr>
        <w:tabs>
          <w:tab w:pos="1637" w:val="left" w:leader="none"/>
        </w:tabs>
        <w:spacing w:line="240" w:lineRule="auto" w:before="1" w:after="0"/>
        <w:ind w:left="1636" w:right="0" w:hanging="151"/>
        <w:jc w:val="left"/>
        <w:rPr>
          <w:sz w:val="18"/>
        </w:rPr>
      </w:pPr>
      <w:r>
        <w:rPr/>
        <w:drawing>
          <wp:anchor distT="0" distB="0" distL="0" distR="0" allowOverlap="1" layoutInCell="1" locked="0" behindDoc="0" simplePos="0" relativeHeight="15879168">
            <wp:simplePos x="0" y="0"/>
            <wp:positionH relativeFrom="page">
              <wp:posOffset>922313</wp:posOffset>
            </wp:positionH>
            <wp:positionV relativeFrom="paragraph">
              <wp:posOffset>44468</wp:posOffset>
            </wp:positionV>
            <wp:extent cx="58380" cy="72151"/>
            <wp:effectExtent l="0" t="0" r="0" b="0"/>
            <wp:wrapNone/>
            <wp:docPr id="1071" name="image13.png"/>
            <wp:cNvGraphicFramePr>
              <a:graphicFrameLocks noChangeAspect="1"/>
            </wp:cNvGraphicFramePr>
            <a:graphic>
              <a:graphicData uri="http://schemas.openxmlformats.org/drawingml/2006/picture">
                <pic:pic>
                  <pic:nvPicPr>
                    <pic:cNvPr id="107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w:t>
      </w:r>
    </w:p>
    <w:p>
      <w:pPr>
        <w:spacing w:after="0" w:line="240" w:lineRule="auto"/>
        <w:jc w:val="left"/>
        <w:rPr>
          <w:sz w:val="18"/>
        </w:rPr>
        <w:sectPr>
          <w:footerReference w:type="default" r:id="rId49"/>
          <w:pgSz w:w="11910" w:h="16840"/>
          <w:pgMar w:footer="948" w:header="0" w:top="940" w:bottom="1140" w:left="300" w:right="0"/>
          <w:pgNumType w:start="119"/>
        </w:sectPr>
      </w:pPr>
    </w:p>
    <w:p>
      <w:pPr>
        <w:pStyle w:val="ListParagraph"/>
        <w:numPr>
          <w:ilvl w:val="1"/>
          <w:numId w:val="82"/>
        </w:numPr>
        <w:tabs>
          <w:tab w:pos="780" w:val="left" w:leader="none"/>
        </w:tabs>
        <w:spacing w:line="240" w:lineRule="auto" w:before="75" w:after="0"/>
        <w:ind w:left="780" w:right="869" w:hanging="360"/>
        <w:jc w:val="left"/>
        <w:rPr>
          <w:sz w:val="18"/>
        </w:rPr>
      </w:pPr>
      <w:r>
        <w:rPr>
          <w:sz w:val="18"/>
        </w:rPr>
        <w:t>What</w:t>
      </w:r>
      <w:r>
        <w:rPr>
          <w:spacing w:val="-5"/>
          <w:sz w:val="18"/>
        </w:rPr>
        <w:t> </w:t>
      </w:r>
      <w:r>
        <w:rPr>
          <w:sz w:val="18"/>
        </w:rPr>
        <w:t>are</w:t>
      </w:r>
      <w:r>
        <w:rPr>
          <w:spacing w:val="-2"/>
          <w:sz w:val="18"/>
        </w:rPr>
        <w:t> </w:t>
      </w:r>
      <w:r>
        <w:rPr>
          <w:sz w:val="18"/>
        </w:rPr>
        <w:t>the</w:t>
      </w:r>
      <w:r>
        <w:rPr>
          <w:spacing w:val="-2"/>
          <w:sz w:val="18"/>
        </w:rPr>
        <w:t> </w:t>
      </w:r>
      <w:r>
        <w:rPr>
          <w:sz w:val="18"/>
        </w:rPr>
        <w:t>three</w:t>
      </w:r>
      <w:r>
        <w:rPr>
          <w:spacing w:val="-2"/>
          <w:sz w:val="18"/>
        </w:rPr>
        <w:t> </w:t>
      </w:r>
      <w:r>
        <w:rPr>
          <w:sz w:val="18"/>
        </w:rPr>
        <w:t>most</w:t>
      </w:r>
      <w:r>
        <w:rPr>
          <w:spacing w:val="-4"/>
          <w:sz w:val="18"/>
        </w:rPr>
        <w:t> </w:t>
      </w:r>
      <w:r>
        <w:rPr>
          <w:sz w:val="18"/>
        </w:rPr>
        <w:t>important</w:t>
      </w:r>
      <w:r>
        <w:rPr>
          <w:spacing w:val="-4"/>
          <w:sz w:val="18"/>
        </w:rPr>
        <w:t> </w:t>
      </w:r>
      <w:r>
        <w:rPr>
          <w:sz w:val="18"/>
        </w:rPr>
        <w:t>factors</w:t>
      </w:r>
      <w:r>
        <w:rPr>
          <w:spacing w:val="-3"/>
          <w:sz w:val="18"/>
        </w:rPr>
        <w:t> </w:t>
      </w:r>
      <w:r>
        <w:rPr>
          <w:sz w:val="18"/>
        </w:rPr>
        <w:t>that</w:t>
      </w:r>
      <w:r>
        <w:rPr>
          <w:spacing w:val="-5"/>
          <w:sz w:val="18"/>
        </w:rPr>
        <w:t> </w:t>
      </w:r>
      <w:r>
        <w:rPr>
          <w:sz w:val="18"/>
        </w:rPr>
        <w:t>would</w:t>
      </w:r>
      <w:r>
        <w:rPr>
          <w:spacing w:val="-3"/>
          <w:sz w:val="18"/>
        </w:rPr>
        <w:t> </w:t>
      </w:r>
      <w:r>
        <w:rPr>
          <w:sz w:val="18"/>
        </w:rPr>
        <w:t>influence</w:t>
      </w:r>
      <w:r>
        <w:rPr>
          <w:spacing w:val="-4"/>
          <w:sz w:val="18"/>
        </w:rPr>
        <w:t> </w:t>
      </w:r>
      <w:r>
        <w:rPr>
          <w:sz w:val="18"/>
        </w:rPr>
        <w:t>a</w:t>
      </w:r>
      <w:r>
        <w:rPr>
          <w:spacing w:val="-2"/>
          <w:sz w:val="18"/>
        </w:rPr>
        <w:t> </w:t>
      </w:r>
      <w:r>
        <w:rPr>
          <w:sz w:val="18"/>
        </w:rPr>
        <w:t>decision</w:t>
      </w:r>
      <w:r>
        <w:rPr>
          <w:spacing w:val="-2"/>
          <w:sz w:val="18"/>
        </w:rPr>
        <w:t> </w:t>
      </w:r>
      <w:r>
        <w:rPr>
          <w:sz w:val="18"/>
        </w:rPr>
        <w:t>to</w:t>
      </w:r>
      <w:r>
        <w:rPr>
          <w:spacing w:val="-2"/>
          <w:sz w:val="18"/>
        </w:rPr>
        <w:t> </w:t>
      </w:r>
      <w:r>
        <w:rPr>
          <w:sz w:val="18"/>
        </w:rPr>
        <w:t>continue</w:t>
      </w:r>
      <w:r>
        <w:rPr>
          <w:spacing w:val="-2"/>
          <w:sz w:val="18"/>
        </w:rPr>
        <w:t> </w:t>
      </w:r>
      <w:r>
        <w:rPr>
          <w:sz w:val="18"/>
        </w:rPr>
        <w:t>to</w:t>
      </w:r>
      <w:r>
        <w:rPr>
          <w:spacing w:val="-4"/>
          <w:sz w:val="18"/>
        </w:rPr>
        <w:t> </w:t>
      </w:r>
      <w:r>
        <w:rPr>
          <w:sz w:val="18"/>
        </w:rPr>
        <w:t>participate</w:t>
      </w:r>
      <w:r>
        <w:rPr>
          <w:spacing w:val="-4"/>
          <w:sz w:val="18"/>
        </w:rPr>
        <w:t> </w:t>
      </w:r>
      <w:r>
        <w:rPr>
          <w:sz w:val="18"/>
        </w:rPr>
        <w:t>in</w:t>
      </w:r>
      <w:r>
        <w:rPr>
          <w:spacing w:val="-2"/>
          <w:sz w:val="18"/>
        </w:rPr>
        <w:t> </w:t>
      </w:r>
      <w:r>
        <w:rPr>
          <w:sz w:val="18"/>
        </w:rPr>
        <w:t>a</w:t>
      </w:r>
      <w:r>
        <w:rPr>
          <w:spacing w:val="-2"/>
          <w:sz w:val="18"/>
        </w:rPr>
        <w:t> </w:t>
      </w:r>
      <w:r>
        <w:rPr>
          <w:sz w:val="18"/>
        </w:rPr>
        <w:t>program</w:t>
      </w:r>
      <w:r>
        <w:rPr>
          <w:spacing w:val="1"/>
          <w:sz w:val="18"/>
        </w:rPr>
        <w:t> </w:t>
      </w:r>
      <w:r>
        <w:rPr>
          <w:sz w:val="18"/>
        </w:rPr>
        <w:t>like HCH?</w:t>
      </w:r>
    </w:p>
    <w:p>
      <w:pPr>
        <w:pStyle w:val="BodyText"/>
        <w:spacing w:before="7"/>
        <w:rPr>
          <w:sz w:val="16"/>
        </w:rPr>
      </w:pPr>
    </w:p>
    <w:tbl>
      <w:tblPr>
        <w:tblW w:w="0" w:type="auto"/>
        <w:jc w:val="left"/>
        <w:tblInd w:w="103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9974"/>
      </w:tblGrid>
      <w:tr>
        <w:trPr>
          <w:trHeight w:val="492" w:hRule="atLeast"/>
        </w:trPr>
        <w:tc>
          <w:tcPr>
            <w:tcW w:w="9974" w:type="dxa"/>
          </w:tcPr>
          <w:p>
            <w:pPr>
              <w:pStyle w:val="TableParagraph"/>
              <w:spacing w:before="18"/>
              <w:ind w:left="112"/>
              <w:rPr>
                <w:sz w:val="18"/>
              </w:rPr>
            </w:pPr>
            <w:r>
              <w:rPr>
                <w:sz w:val="18"/>
              </w:rPr>
              <w:t>1.</w:t>
            </w:r>
          </w:p>
        </w:tc>
      </w:tr>
      <w:tr>
        <w:trPr>
          <w:trHeight w:val="493" w:hRule="atLeast"/>
        </w:trPr>
        <w:tc>
          <w:tcPr>
            <w:tcW w:w="9974" w:type="dxa"/>
          </w:tcPr>
          <w:p>
            <w:pPr>
              <w:pStyle w:val="TableParagraph"/>
              <w:spacing w:before="20"/>
              <w:ind w:left="112"/>
              <w:rPr>
                <w:sz w:val="18"/>
              </w:rPr>
            </w:pPr>
            <w:r>
              <w:rPr>
                <w:sz w:val="18"/>
              </w:rPr>
              <w:t>2.</w:t>
            </w:r>
          </w:p>
        </w:tc>
      </w:tr>
      <w:tr>
        <w:trPr>
          <w:trHeight w:val="482" w:hRule="atLeast"/>
        </w:trPr>
        <w:tc>
          <w:tcPr>
            <w:tcW w:w="9974" w:type="dxa"/>
          </w:tcPr>
          <w:p>
            <w:pPr>
              <w:pStyle w:val="TableParagraph"/>
              <w:spacing w:before="20"/>
              <w:ind w:left="112"/>
              <w:rPr>
                <w:sz w:val="18"/>
              </w:rPr>
            </w:pPr>
            <w:r>
              <w:rPr>
                <w:sz w:val="18"/>
              </w:rPr>
              <w:t>3.</w:t>
            </w:r>
          </w:p>
        </w:tc>
      </w:tr>
    </w:tbl>
    <w:p>
      <w:pPr>
        <w:pStyle w:val="BodyText"/>
        <w:spacing w:before="2"/>
        <w:rPr>
          <w:sz w:val="16"/>
        </w:rPr>
      </w:pPr>
    </w:p>
    <w:p>
      <w:pPr>
        <w:pStyle w:val="ListParagraph"/>
        <w:numPr>
          <w:ilvl w:val="1"/>
          <w:numId w:val="82"/>
        </w:numPr>
        <w:tabs>
          <w:tab w:pos="780" w:val="left" w:leader="none"/>
        </w:tabs>
        <w:spacing w:line="240" w:lineRule="auto" w:before="0" w:after="0"/>
        <w:ind w:left="780" w:right="1697" w:hanging="360"/>
        <w:jc w:val="left"/>
        <w:rPr>
          <w:sz w:val="18"/>
        </w:rPr>
      </w:pPr>
      <w:r>
        <w:rPr>
          <w:sz w:val="18"/>
        </w:rPr>
        <w:t>If your practice/ service was to continue in the program, is there potential for more GPs in the practice to</w:t>
      </w:r>
      <w:r>
        <w:rPr>
          <w:spacing w:val="-47"/>
          <w:sz w:val="18"/>
        </w:rPr>
        <w:t> </w:t>
      </w:r>
      <w:r>
        <w:rPr>
          <w:sz w:val="18"/>
        </w:rPr>
        <w:t>participate</w:t>
      </w:r>
      <w:r>
        <w:rPr>
          <w:spacing w:val="-3"/>
          <w:sz w:val="18"/>
        </w:rPr>
        <w:t> </w:t>
      </w:r>
      <w:r>
        <w:rPr>
          <w:sz w:val="18"/>
        </w:rPr>
        <w:t>in HCH?</w:t>
      </w:r>
    </w:p>
    <w:p>
      <w:pPr>
        <w:pStyle w:val="BodyText"/>
        <w:spacing w:before="3"/>
        <w:rPr>
          <w:sz w:val="16"/>
        </w:rPr>
      </w:pPr>
    </w:p>
    <w:p>
      <w:pPr>
        <w:spacing w:before="1"/>
        <w:ind w:left="1486" w:right="3703" w:firstLine="0"/>
        <w:jc w:val="left"/>
        <w:rPr>
          <w:sz w:val="18"/>
        </w:rPr>
      </w:pPr>
      <w:r>
        <w:rPr/>
        <w:drawing>
          <wp:anchor distT="0" distB="0" distL="0" distR="0" allowOverlap="1" layoutInCell="1" locked="0" behindDoc="0" simplePos="0" relativeHeight="15880192">
            <wp:simplePos x="0" y="0"/>
            <wp:positionH relativeFrom="page">
              <wp:posOffset>922313</wp:posOffset>
            </wp:positionH>
            <wp:positionV relativeFrom="paragraph">
              <wp:posOffset>45290</wp:posOffset>
            </wp:positionV>
            <wp:extent cx="58380" cy="73870"/>
            <wp:effectExtent l="0" t="0" r="0" b="0"/>
            <wp:wrapNone/>
            <wp:docPr id="1073" name="image14.png"/>
            <wp:cNvGraphicFramePr>
              <a:graphicFrameLocks noChangeAspect="1"/>
            </wp:cNvGraphicFramePr>
            <a:graphic>
              <a:graphicData uri="http://schemas.openxmlformats.org/drawingml/2006/picture">
                <pic:pic>
                  <pic:nvPicPr>
                    <pic:cNvPr id="1074" name="image14.png"/>
                    <pic:cNvPicPr/>
                  </pic:nvPicPr>
                  <pic:blipFill>
                    <a:blip r:embed="rId43" cstate="print"/>
                    <a:stretch>
                      <a:fillRect/>
                    </a:stretch>
                  </pic:blipFill>
                  <pic:spPr>
                    <a:xfrm>
                      <a:off x="0" y="0"/>
                      <a:ext cx="58380" cy="73870"/>
                    </a:xfrm>
                    <a:prstGeom prst="rect">
                      <a:avLst/>
                    </a:prstGeom>
                  </pic:spPr>
                </pic:pic>
              </a:graphicData>
            </a:graphic>
          </wp:anchor>
        </w:drawing>
      </w:r>
      <w:r>
        <w:rPr/>
        <w:drawing>
          <wp:anchor distT="0" distB="0" distL="0" distR="0" allowOverlap="1" layoutInCell="1" locked="0" behindDoc="0" simplePos="0" relativeHeight="15880704">
            <wp:simplePos x="0" y="0"/>
            <wp:positionH relativeFrom="page">
              <wp:posOffset>922313</wp:posOffset>
            </wp:positionH>
            <wp:positionV relativeFrom="paragraph">
              <wp:posOffset>185692</wp:posOffset>
            </wp:positionV>
            <wp:extent cx="58380" cy="72151"/>
            <wp:effectExtent l="0" t="0" r="0" b="0"/>
            <wp:wrapNone/>
            <wp:docPr id="1075" name="image13.png"/>
            <wp:cNvGraphicFramePr>
              <a:graphicFrameLocks noChangeAspect="1"/>
            </wp:cNvGraphicFramePr>
            <a:graphic>
              <a:graphicData uri="http://schemas.openxmlformats.org/drawingml/2006/picture">
                <pic:pic>
                  <pic:nvPicPr>
                    <pic:cNvPr id="1076"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881216">
            <wp:simplePos x="0" y="0"/>
            <wp:positionH relativeFrom="page">
              <wp:posOffset>922313</wp:posOffset>
            </wp:positionH>
            <wp:positionV relativeFrom="paragraph">
              <wp:posOffset>325900</wp:posOffset>
            </wp:positionV>
            <wp:extent cx="58380" cy="72151"/>
            <wp:effectExtent l="0" t="0" r="0" b="0"/>
            <wp:wrapNone/>
            <wp:docPr id="1077" name="image13.png"/>
            <wp:cNvGraphicFramePr>
              <a:graphicFrameLocks noChangeAspect="1"/>
            </wp:cNvGraphicFramePr>
            <a:graphic>
              <a:graphicData uri="http://schemas.openxmlformats.org/drawingml/2006/picture">
                <pic:pic>
                  <pic:nvPicPr>
                    <pic:cNvPr id="107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1 Yes – most GPs who are not participating are interested in participating</w:t>
      </w:r>
      <w:r>
        <w:rPr>
          <w:spacing w:val="1"/>
          <w:sz w:val="18"/>
        </w:rPr>
        <w:t> </w:t>
      </w:r>
      <w:r>
        <w:rPr>
          <w:sz w:val="18"/>
        </w:rPr>
        <w:t>2 Yes – some GPs who are not participating are interested in participating</w:t>
      </w:r>
      <w:r>
        <w:rPr>
          <w:spacing w:val="-48"/>
          <w:sz w:val="18"/>
        </w:rPr>
        <w:t> </w:t>
      </w:r>
      <w:r>
        <w:rPr>
          <w:sz w:val="18"/>
        </w:rPr>
        <w:t>3</w:t>
      </w:r>
      <w:r>
        <w:rPr>
          <w:spacing w:val="-1"/>
          <w:sz w:val="18"/>
        </w:rPr>
        <w:t> </w:t>
      </w:r>
      <w:r>
        <w:rPr>
          <w:sz w:val="18"/>
        </w:rPr>
        <w:t>No –</w:t>
      </w:r>
      <w:r>
        <w:rPr>
          <w:spacing w:val="1"/>
          <w:sz w:val="18"/>
        </w:rPr>
        <w:t> </w:t>
      </w:r>
      <w:r>
        <w:rPr>
          <w:sz w:val="18"/>
        </w:rPr>
        <w:t>all</w:t>
      </w:r>
      <w:r>
        <w:rPr>
          <w:spacing w:val="-2"/>
          <w:sz w:val="18"/>
        </w:rPr>
        <w:t> </w:t>
      </w:r>
      <w:r>
        <w:rPr>
          <w:sz w:val="18"/>
        </w:rPr>
        <w:t>GPs</w:t>
      </w:r>
      <w:r>
        <w:rPr>
          <w:spacing w:val="-1"/>
          <w:sz w:val="18"/>
        </w:rPr>
        <w:t> </w:t>
      </w:r>
      <w:r>
        <w:rPr>
          <w:sz w:val="18"/>
        </w:rPr>
        <w:t>are currently</w:t>
      </w:r>
      <w:r>
        <w:rPr>
          <w:spacing w:val="-3"/>
          <w:sz w:val="18"/>
        </w:rPr>
        <w:t> </w:t>
      </w:r>
      <w:r>
        <w:rPr>
          <w:sz w:val="18"/>
        </w:rPr>
        <w:t>participating</w:t>
      </w:r>
    </w:p>
    <w:p>
      <w:pPr>
        <w:spacing w:before="0"/>
        <w:ind w:left="1486" w:right="798" w:firstLine="0"/>
        <w:jc w:val="left"/>
        <w:rPr>
          <w:sz w:val="18"/>
        </w:rPr>
      </w:pPr>
      <w:r>
        <w:rPr/>
        <w:drawing>
          <wp:anchor distT="0" distB="0" distL="0" distR="0" allowOverlap="1" layoutInCell="1" locked="0" behindDoc="0" simplePos="0" relativeHeight="15881728">
            <wp:simplePos x="0" y="0"/>
            <wp:positionH relativeFrom="page">
              <wp:posOffset>922313</wp:posOffset>
            </wp:positionH>
            <wp:positionV relativeFrom="paragraph">
              <wp:posOffset>44655</wp:posOffset>
            </wp:positionV>
            <wp:extent cx="58380" cy="73870"/>
            <wp:effectExtent l="0" t="0" r="0" b="0"/>
            <wp:wrapNone/>
            <wp:docPr id="1079" name="image14.png"/>
            <wp:cNvGraphicFramePr>
              <a:graphicFrameLocks noChangeAspect="1"/>
            </wp:cNvGraphicFramePr>
            <a:graphic>
              <a:graphicData uri="http://schemas.openxmlformats.org/drawingml/2006/picture">
                <pic:pic>
                  <pic:nvPicPr>
                    <pic:cNvPr id="1080" name="image14.png"/>
                    <pic:cNvPicPr/>
                  </pic:nvPicPr>
                  <pic:blipFill>
                    <a:blip r:embed="rId43" cstate="print"/>
                    <a:stretch>
                      <a:fillRect/>
                    </a:stretch>
                  </pic:blipFill>
                  <pic:spPr>
                    <a:xfrm>
                      <a:off x="0" y="0"/>
                      <a:ext cx="58380" cy="73870"/>
                    </a:xfrm>
                    <a:prstGeom prst="rect">
                      <a:avLst/>
                    </a:prstGeom>
                  </pic:spPr>
                </pic:pic>
              </a:graphicData>
            </a:graphic>
          </wp:anchor>
        </w:drawing>
      </w:r>
      <w:r>
        <w:rPr>
          <w:sz w:val="18"/>
        </w:rPr>
        <w:t>4 No – Non-participating GPs are not interested, or it would not be appropriate to have them participate in</w:t>
      </w:r>
      <w:r>
        <w:rPr>
          <w:spacing w:val="-47"/>
          <w:sz w:val="18"/>
        </w:rPr>
        <w:t> </w:t>
      </w:r>
      <w:r>
        <w:rPr>
          <w:sz w:val="18"/>
        </w:rPr>
        <w:t>the</w:t>
      </w:r>
      <w:r>
        <w:rPr>
          <w:spacing w:val="-1"/>
          <w:sz w:val="18"/>
        </w:rPr>
        <w:t> </w:t>
      </w:r>
      <w:r>
        <w:rPr>
          <w:sz w:val="18"/>
        </w:rPr>
        <w:t>program</w:t>
      </w:r>
    </w:p>
    <w:p>
      <w:pPr>
        <w:pStyle w:val="BodyText"/>
        <w:spacing w:before="12"/>
        <w:rPr>
          <w:sz w:val="22"/>
        </w:rPr>
      </w:pPr>
    </w:p>
    <w:p>
      <w:pPr>
        <w:pStyle w:val="ListParagraph"/>
        <w:numPr>
          <w:ilvl w:val="1"/>
          <w:numId w:val="82"/>
        </w:numPr>
        <w:tabs>
          <w:tab w:pos="780" w:val="left" w:leader="none"/>
        </w:tabs>
        <w:spacing w:line="240" w:lineRule="auto" w:before="0" w:after="0"/>
        <w:ind w:left="780" w:right="909" w:hanging="360"/>
        <w:jc w:val="left"/>
        <w:rPr>
          <w:sz w:val="18"/>
        </w:rPr>
      </w:pPr>
      <w:r>
        <w:rPr>
          <w:sz w:val="18"/>
        </w:rPr>
        <w:t>If</w:t>
      </w:r>
      <w:r>
        <w:rPr>
          <w:spacing w:val="-3"/>
          <w:sz w:val="18"/>
        </w:rPr>
        <w:t> </w:t>
      </w:r>
      <w:r>
        <w:rPr>
          <w:sz w:val="18"/>
        </w:rPr>
        <w:t>your practice/</w:t>
      </w:r>
      <w:r>
        <w:rPr>
          <w:spacing w:val="-2"/>
          <w:sz w:val="18"/>
        </w:rPr>
        <w:t> </w:t>
      </w:r>
      <w:r>
        <w:rPr>
          <w:sz w:val="18"/>
        </w:rPr>
        <w:t>service</w:t>
      </w:r>
      <w:r>
        <w:rPr>
          <w:spacing w:val="-3"/>
          <w:sz w:val="18"/>
        </w:rPr>
        <w:t> </w:t>
      </w:r>
      <w:r>
        <w:rPr>
          <w:sz w:val="18"/>
        </w:rPr>
        <w:t>were</w:t>
      </w:r>
      <w:r>
        <w:rPr>
          <w:spacing w:val="-2"/>
          <w:sz w:val="18"/>
        </w:rPr>
        <w:t> </w:t>
      </w:r>
      <w:r>
        <w:rPr>
          <w:sz w:val="18"/>
        </w:rPr>
        <w:t>to</w:t>
      </w:r>
      <w:r>
        <w:rPr>
          <w:spacing w:val="-3"/>
          <w:sz w:val="18"/>
        </w:rPr>
        <w:t> </w:t>
      </w:r>
      <w:r>
        <w:rPr>
          <w:sz w:val="18"/>
        </w:rPr>
        <w:t>continue</w:t>
      </w:r>
      <w:r>
        <w:rPr>
          <w:spacing w:val="-6"/>
          <w:sz w:val="18"/>
        </w:rPr>
        <w:t> </w:t>
      </w:r>
      <w:r>
        <w:rPr>
          <w:sz w:val="18"/>
        </w:rPr>
        <w:t>in</w:t>
      </w:r>
      <w:r>
        <w:rPr>
          <w:spacing w:val="-2"/>
          <w:sz w:val="18"/>
        </w:rPr>
        <w:t> </w:t>
      </w:r>
      <w:r>
        <w:rPr>
          <w:sz w:val="18"/>
        </w:rPr>
        <w:t>the</w:t>
      </w:r>
      <w:r>
        <w:rPr>
          <w:spacing w:val="-2"/>
          <w:sz w:val="18"/>
        </w:rPr>
        <w:t> </w:t>
      </w:r>
      <w:r>
        <w:rPr>
          <w:sz w:val="18"/>
        </w:rPr>
        <w:t>program,</w:t>
      </w:r>
      <w:r>
        <w:rPr>
          <w:spacing w:val="-4"/>
          <w:sz w:val="18"/>
        </w:rPr>
        <w:t> </w:t>
      </w:r>
      <w:r>
        <w:rPr>
          <w:sz w:val="18"/>
        </w:rPr>
        <w:t>is</w:t>
      </w:r>
      <w:r>
        <w:rPr>
          <w:spacing w:val="-3"/>
          <w:sz w:val="18"/>
        </w:rPr>
        <w:t> </w:t>
      </w:r>
      <w:r>
        <w:rPr>
          <w:sz w:val="18"/>
        </w:rPr>
        <w:t>there</w:t>
      </w:r>
      <w:r>
        <w:rPr>
          <w:spacing w:val="-2"/>
          <w:sz w:val="18"/>
        </w:rPr>
        <w:t> </w:t>
      </w:r>
      <w:r>
        <w:rPr>
          <w:sz w:val="18"/>
        </w:rPr>
        <w:t>potential</w:t>
      </w:r>
      <w:r>
        <w:rPr>
          <w:spacing w:val="-2"/>
          <w:sz w:val="18"/>
        </w:rPr>
        <w:t> </w:t>
      </w:r>
      <w:r>
        <w:rPr>
          <w:sz w:val="18"/>
        </w:rPr>
        <w:t>for</w:t>
      </w:r>
      <w:r>
        <w:rPr>
          <w:spacing w:val="-4"/>
          <w:sz w:val="18"/>
        </w:rPr>
        <w:t> </w:t>
      </w:r>
      <w:r>
        <w:rPr>
          <w:sz w:val="18"/>
        </w:rPr>
        <w:t>more</w:t>
      </w:r>
      <w:r>
        <w:rPr>
          <w:spacing w:val="-2"/>
          <w:sz w:val="18"/>
        </w:rPr>
        <w:t> </w:t>
      </w:r>
      <w:r>
        <w:rPr>
          <w:sz w:val="18"/>
        </w:rPr>
        <w:t>patients</w:t>
      </w:r>
      <w:r>
        <w:rPr>
          <w:spacing w:val="-3"/>
          <w:sz w:val="18"/>
        </w:rPr>
        <w:t> </w:t>
      </w:r>
      <w:r>
        <w:rPr>
          <w:sz w:val="18"/>
        </w:rPr>
        <w:t>at</w:t>
      </w:r>
      <w:r>
        <w:rPr>
          <w:spacing w:val="-3"/>
          <w:sz w:val="18"/>
        </w:rPr>
        <w:t> </w:t>
      </w:r>
      <w:r>
        <w:rPr>
          <w:sz w:val="18"/>
        </w:rPr>
        <w:t>the</w:t>
      </w:r>
      <w:r>
        <w:rPr>
          <w:spacing w:val="-2"/>
          <w:sz w:val="18"/>
        </w:rPr>
        <w:t> </w:t>
      </w:r>
      <w:r>
        <w:rPr>
          <w:sz w:val="18"/>
        </w:rPr>
        <w:t>practice</w:t>
      </w:r>
      <w:r>
        <w:rPr>
          <w:spacing w:val="-2"/>
          <w:sz w:val="18"/>
        </w:rPr>
        <w:t> </w:t>
      </w:r>
      <w:r>
        <w:rPr>
          <w:sz w:val="18"/>
        </w:rPr>
        <w:t>to</w:t>
      </w:r>
      <w:r>
        <w:rPr>
          <w:spacing w:val="-3"/>
          <w:sz w:val="18"/>
        </w:rPr>
        <w:t> </w:t>
      </w:r>
      <w:r>
        <w:rPr>
          <w:sz w:val="18"/>
        </w:rPr>
        <w:t>be</w:t>
      </w:r>
      <w:r>
        <w:rPr>
          <w:spacing w:val="1"/>
          <w:sz w:val="18"/>
        </w:rPr>
        <w:t> </w:t>
      </w:r>
      <w:r>
        <w:rPr>
          <w:sz w:val="18"/>
        </w:rPr>
        <w:t>enrolled</w:t>
      </w:r>
      <w:r>
        <w:rPr>
          <w:spacing w:val="-4"/>
          <w:sz w:val="18"/>
        </w:rPr>
        <w:t> </w:t>
      </w:r>
      <w:r>
        <w:rPr>
          <w:sz w:val="18"/>
        </w:rPr>
        <w:t>into an HCH-like</w:t>
      </w:r>
      <w:r>
        <w:rPr>
          <w:spacing w:val="-2"/>
          <w:sz w:val="18"/>
        </w:rPr>
        <w:t> </w:t>
      </w:r>
      <w:r>
        <w:rPr>
          <w:sz w:val="18"/>
        </w:rPr>
        <w:t>arrangements?</w:t>
      </w:r>
    </w:p>
    <w:p>
      <w:pPr>
        <w:pStyle w:val="BodyText"/>
        <w:spacing w:before="3"/>
        <w:rPr>
          <w:sz w:val="16"/>
        </w:rPr>
      </w:pPr>
    </w:p>
    <w:p>
      <w:pPr>
        <w:pStyle w:val="ListParagraph"/>
        <w:numPr>
          <w:ilvl w:val="0"/>
          <w:numId w:val="85"/>
        </w:numPr>
        <w:tabs>
          <w:tab w:pos="1638" w:val="left" w:leader="none"/>
        </w:tabs>
        <w:spacing w:line="240" w:lineRule="auto" w:before="0" w:after="0"/>
        <w:ind w:left="1637" w:right="0" w:hanging="152"/>
        <w:jc w:val="left"/>
        <w:rPr>
          <w:sz w:val="18"/>
        </w:rPr>
      </w:pPr>
      <w:r>
        <w:rPr/>
        <w:drawing>
          <wp:anchor distT="0" distB="0" distL="0" distR="0" allowOverlap="1" layoutInCell="1" locked="0" behindDoc="0" simplePos="0" relativeHeight="15882240">
            <wp:simplePos x="0" y="0"/>
            <wp:positionH relativeFrom="page">
              <wp:posOffset>922313</wp:posOffset>
            </wp:positionH>
            <wp:positionV relativeFrom="paragraph">
              <wp:posOffset>44468</wp:posOffset>
            </wp:positionV>
            <wp:extent cx="58380" cy="72151"/>
            <wp:effectExtent l="0" t="0" r="0" b="0"/>
            <wp:wrapNone/>
            <wp:docPr id="1081" name="image13.png"/>
            <wp:cNvGraphicFramePr>
              <a:graphicFrameLocks noChangeAspect="1"/>
            </wp:cNvGraphicFramePr>
            <a:graphic>
              <a:graphicData uri="http://schemas.openxmlformats.org/drawingml/2006/picture">
                <pic:pic>
                  <pic:nvPicPr>
                    <pic:cNvPr id="108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Yes</w:t>
      </w:r>
    </w:p>
    <w:p>
      <w:pPr>
        <w:pStyle w:val="ListParagraph"/>
        <w:numPr>
          <w:ilvl w:val="0"/>
          <w:numId w:val="85"/>
        </w:numPr>
        <w:tabs>
          <w:tab w:pos="1637" w:val="left" w:leader="none"/>
        </w:tabs>
        <w:spacing w:line="240" w:lineRule="auto" w:before="0" w:after="0"/>
        <w:ind w:left="1636" w:right="0" w:hanging="151"/>
        <w:jc w:val="left"/>
        <w:rPr>
          <w:sz w:val="18"/>
        </w:rPr>
      </w:pPr>
      <w:r>
        <w:rPr/>
        <w:drawing>
          <wp:anchor distT="0" distB="0" distL="0" distR="0" allowOverlap="1" layoutInCell="1" locked="0" behindDoc="0" simplePos="0" relativeHeight="15882752">
            <wp:simplePos x="0" y="0"/>
            <wp:positionH relativeFrom="page">
              <wp:posOffset>922313</wp:posOffset>
            </wp:positionH>
            <wp:positionV relativeFrom="paragraph">
              <wp:posOffset>44469</wp:posOffset>
            </wp:positionV>
            <wp:extent cx="58380" cy="72151"/>
            <wp:effectExtent l="0" t="0" r="0" b="0"/>
            <wp:wrapNone/>
            <wp:docPr id="1083" name="image13.png"/>
            <wp:cNvGraphicFramePr>
              <a:graphicFrameLocks noChangeAspect="1"/>
            </wp:cNvGraphicFramePr>
            <a:graphic>
              <a:graphicData uri="http://schemas.openxmlformats.org/drawingml/2006/picture">
                <pic:pic>
                  <pic:nvPicPr>
                    <pic:cNvPr id="108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Maybe</w:t>
      </w:r>
    </w:p>
    <w:p>
      <w:pPr>
        <w:pStyle w:val="ListParagraph"/>
        <w:numPr>
          <w:ilvl w:val="0"/>
          <w:numId w:val="85"/>
        </w:numPr>
        <w:tabs>
          <w:tab w:pos="1637" w:val="left" w:leader="none"/>
        </w:tabs>
        <w:spacing w:line="240" w:lineRule="auto" w:before="0" w:after="0"/>
        <w:ind w:left="1636" w:right="0" w:hanging="151"/>
        <w:jc w:val="left"/>
        <w:rPr>
          <w:sz w:val="18"/>
        </w:rPr>
      </w:pPr>
      <w:r>
        <w:rPr/>
        <w:drawing>
          <wp:anchor distT="0" distB="0" distL="0" distR="0" allowOverlap="1" layoutInCell="1" locked="0" behindDoc="0" simplePos="0" relativeHeight="15883264">
            <wp:simplePos x="0" y="0"/>
            <wp:positionH relativeFrom="page">
              <wp:posOffset>922313</wp:posOffset>
            </wp:positionH>
            <wp:positionV relativeFrom="paragraph">
              <wp:posOffset>44467</wp:posOffset>
            </wp:positionV>
            <wp:extent cx="58380" cy="72153"/>
            <wp:effectExtent l="0" t="0" r="0" b="0"/>
            <wp:wrapNone/>
            <wp:docPr id="1085" name="image13.png"/>
            <wp:cNvGraphicFramePr>
              <a:graphicFrameLocks noChangeAspect="1"/>
            </wp:cNvGraphicFramePr>
            <a:graphic>
              <a:graphicData uri="http://schemas.openxmlformats.org/drawingml/2006/picture">
                <pic:pic>
                  <pic:nvPicPr>
                    <pic:cNvPr id="1086" name="image13.png"/>
                    <pic:cNvPicPr/>
                  </pic:nvPicPr>
                  <pic:blipFill>
                    <a:blip r:embed="rId41" cstate="print"/>
                    <a:stretch>
                      <a:fillRect/>
                    </a:stretch>
                  </pic:blipFill>
                  <pic:spPr>
                    <a:xfrm>
                      <a:off x="0" y="0"/>
                      <a:ext cx="58380" cy="72153"/>
                    </a:xfrm>
                    <a:prstGeom prst="rect">
                      <a:avLst/>
                    </a:prstGeom>
                  </pic:spPr>
                </pic:pic>
              </a:graphicData>
            </a:graphic>
          </wp:anchor>
        </w:drawing>
      </w:r>
      <w:r>
        <w:rPr>
          <w:sz w:val="18"/>
        </w:rPr>
        <w:t>No</w:t>
      </w:r>
    </w:p>
    <w:p>
      <w:pPr>
        <w:pStyle w:val="BodyText"/>
        <w:spacing w:before="9"/>
        <w:rPr>
          <w:sz w:val="22"/>
        </w:rPr>
      </w:pPr>
    </w:p>
    <w:p>
      <w:pPr>
        <w:pStyle w:val="ListParagraph"/>
        <w:numPr>
          <w:ilvl w:val="1"/>
          <w:numId w:val="82"/>
        </w:numPr>
        <w:tabs>
          <w:tab w:pos="780" w:val="left" w:leader="none"/>
        </w:tabs>
        <w:spacing w:line="240" w:lineRule="auto" w:before="0" w:after="0"/>
        <w:ind w:left="780" w:right="956" w:hanging="360"/>
        <w:jc w:val="left"/>
        <w:rPr>
          <w:sz w:val="18"/>
        </w:rPr>
      </w:pPr>
      <w:r>
        <w:rPr>
          <w:sz w:val="18"/>
        </w:rPr>
        <w:t>Please provide any further comments you like to make about the HCH and the impact this has had for patients or</w:t>
      </w:r>
      <w:r>
        <w:rPr>
          <w:spacing w:val="-47"/>
          <w:sz w:val="18"/>
        </w:rPr>
        <w:t> </w:t>
      </w:r>
      <w:r>
        <w:rPr>
          <w:sz w:val="18"/>
        </w:rPr>
        <w:t>for</w:t>
      </w:r>
      <w:r>
        <w:rPr>
          <w:spacing w:val="-1"/>
          <w:sz w:val="18"/>
        </w:rPr>
        <w:t> </w:t>
      </w:r>
      <w:r>
        <w:rPr>
          <w:sz w:val="18"/>
        </w:rPr>
        <w:t>your practice/ service.</w:t>
      </w:r>
    </w:p>
    <w:p>
      <w:pPr>
        <w:pStyle w:val="BodyText"/>
      </w:pPr>
    </w:p>
    <w:p>
      <w:pPr>
        <w:pStyle w:val="BodyText"/>
        <w:rPr>
          <w:sz w:val="19"/>
        </w:rPr>
      </w:pPr>
      <w:r>
        <w:rPr/>
        <w:pict>
          <v:rect style="position:absolute;margin-left:34.560001pt;margin-top:12.847705pt;width:526.3pt;height:.47998pt;mso-position-horizontal-relative:page;mso-position-vertical-relative:paragraph;z-index:-15577600;mso-wrap-distance-left:0;mso-wrap-distance-right:0" id="docshape179" filled="true" fillcolor="#d9d9d9" stroked="false">
            <v:fill type="solid"/>
            <w10:wrap type="topAndBottom"/>
          </v:rect>
        </w:pict>
      </w:r>
    </w:p>
    <w:p>
      <w:pPr>
        <w:spacing w:after="0"/>
        <w:rPr>
          <w:sz w:val="19"/>
        </w:rPr>
        <w:sectPr>
          <w:pgSz w:w="11910" w:h="16840"/>
          <w:pgMar w:header="0" w:footer="948" w:top="860" w:bottom="1140" w:left="300" w:right="0"/>
        </w:sectPr>
      </w:pPr>
    </w:p>
    <w:p>
      <w:pPr>
        <w:pStyle w:val="Heading4"/>
        <w:ind w:left="962"/>
      </w:pPr>
      <w:r>
        <w:rPr>
          <w:color w:val="808080"/>
        </w:rPr>
        <w:t>Health</w:t>
      </w:r>
      <w:r>
        <w:rPr>
          <w:color w:val="808080"/>
          <w:spacing w:val="-1"/>
        </w:rPr>
        <w:t> </w:t>
      </w:r>
      <w:r>
        <w:rPr>
          <w:color w:val="808080"/>
        </w:rPr>
        <w:t>Care Homes program practice survey</w:t>
      </w:r>
      <w:r>
        <w:rPr>
          <w:color w:val="808080"/>
          <w:spacing w:val="-1"/>
        </w:rPr>
        <w:t> </w:t>
      </w:r>
      <w:r>
        <w:rPr>
          <w:color w:val="808080"/>
        </w:rPr>
        <w:t>-</w:t>
      </w:r>
      <w:r>
        <w:rPr>
          <w:color w:val="808080"/>
          <w:spacing w:val="-3"/>
        </w:rPr>
        <w:t> </w:t>
      </w:r>
      <w:r>
        <w:rPr>
          <w:color w:val="808080"/>
        </w:rPr>
        <w:t>Round 5 Part B</w:t>
      </w:r>
    </w:p>
    <w:p>
      <w:pPr>
        <w:pStyle w:val="BodyText"/>
        <w:spacing w:before="5"/>
        <w:rPr>
          <w:rFonts w:ascii="Arial Black"/>
          <w:sz w:val="19"/>
        </w:rPr>
      </w:pPr>
    </w:p>
    <w:p>
      <w:pPr>
        <w:spacing w:line="273" w:lineRule="auto" w:before="100"/>
        <w:ind w:left="568" w:right="907" w:firstLine="0"/>
        <w:jc w:val="left"/>
        <w:rPr>
          <w:sz w:val="18"/>
        </w:rPr>
      </w:pPr>
      <w:r>
        <w:rPr/>
        <w:pict>
          <v:rect style="position:absolute;margin-left:36pt;margin-top:1.16273pt;width:523.85pt;height:297.5pt;mso-position-horizontal-relative:page;mso-position-vertical-relative:paragraph;z-index:-27400704" id="docshape180" filled="true" fillcolor="#f1f1f1" stroked="false">
            <v:fill type="solid"/>
            <w10:wrap type="none"/>
          </v:rect>
        </w:pict>
      </w:r>
      <w:r>
        <w:rPr>
          <w:sz w:val="18"/>
        </w:rPr>
        <w:t>This survey is Part B of the Practice Survey for Round 5 of the Health Care Homes (HCH) program evaluation. It relates</w:t>
      </w:r>
      <w:r>
        <w:rPr>
          <w:spacing w:val="-47"/>
          <w:sz w:val="18"/>
        </w:rPr>
        <w:t> </w:t>
      </w:r>
      <w:r>
        <w:rPr>
          <w:sz w:val="18"/>
        </w:rPr>
        <w:t>to</w:t>
      </w:r>
      <w:r>
        <w:rPr>
          <w:spacing w:val="-2"/>
          <w:sz w:val="18"/>
        </w:rPr>
        <w:t> </w:t>
      </w:r>
      <w:r>
        <w:rPr>
          <w:sz w:val="18"/>
        </w:rPr>
        <w:t>the</w:t>
      </w:r>
      <w:r>
        <w:rPr>
          <w:spacing w:val="-1"/>
          <w:sz w:val="18"/>
        </w:rPr>
        <w:t> </w:t>
      </w:r>
      <w:r>
        <w:rPr>
          <w:sz w:val="18"/>
        </w:rPr>
        <w:t>results</w:t>
      </w:r>
      <w:r>
        <w:rPr>
          <w:spacing w:val="-3"/>
          <w:sz w:val="18"/>
        </w:rPr>
        <w:t> </w:t>
      </w:r>
      <w:r>
        <w:rPr>
          <w:sz w:val="18"/>
        </w:rPr>
        <w:t>of</w:t>
      </w:r>
      <w:r>
        <w:rPr>
          <w:spacing w:val="-1"/>
          <w:sz w:val="18"/>
        </w:rPr>
        <w:t> </w:t>
      </w:r>
      <w:r>
        <w:rPr>
          <w:sz w:val="18"/>
        </w:rPr>
        <w:t>applying</w:t>
      </w:r>
      <w:r>
        <w:rPr>
          <w:spacing w:val="-3"/>
          <w:sz w:val="18"/>
        </w:rPr>
        <w:t> </w:t>
      </w:r>
      <w:r>
        <w:rPr>
          <w:sz w:val="18"/>
        </w:rPr>
        <w:t>the</w:t>
      </w:r>
      <w:r>
        <w:rPr>
          <w:spacing w:val="-2"/>
          <w:sz w:val="18"/>
        </w:rPr>
        <w:t> </w:t>
      </w:r>
      <w:r>
        <w:rPr>
          <w:sz w:val="18"/>
        </w:rPr>
        <w:t>HCH-A</w:t>
      </w:r>
      <w:r>
        <w:rPr>
          <w:spacing w:val="-7"/>
          <w:sz w:val="18"/>
        </w:rPr>
        <w:t> </w:t>
      </w:r>
      <w:r>
        <w:rPr>
          <w:sz w:val="18"/>
        </w:rPr>
        <w:t>tool.</w:t>
      </w:r>
      <w:r>
        <w:rPr>
          <w:spacing w:val="46"/>
          <w:sz w:val="18"/>
        </w:rPr>
        <w:t> </w:t>
      </w:r>
      <w:r>
        <w:rPr>
          <w:sz w:val="18"/>
        </w:rPr>
        <w:t>The</w:t>
      </w:r>
      <w:r>
        <w:rPr>
          <w:spacing w:val="-1"/>
          <w:sz w:val="18"/>
        </w:rPr>
        <w:t> </w:t>
      </w:r>
      <w:r>
        <w:rPr>
          <w:sz w:val="18"/>
        </w:rPr>
        <w:t>process</w:t>
      </w:r>
      <w:r>
        <w:rPr>
          <w:spacing w:val="-2"/>
          <w:sz w:val="18"/>
        </w:rPr>
        <w:t> </w:t>
      </w:r>
      <w:r>
        <w:rPr>
          <w:sz w:val="18"/>
        </w:rPr>
        <w:t>for</w:t>
      </w:r>
      <w:r>
        <w:rPr>
          <w:spacing w:val="-2"/>
          <w:sz w:val="18"/>
        </w:rPr>
        <w:t> </w:t>
      </w:r>
      <w:r>
        <w:rPr>
          <w:sz w:val="18"/>
        </w:rPr>
        <w:t>applying</w:t>
      </w:r>
      <w:r>
        <w:rPr>
          <w:spacing w:val="-3"/>
          <w:sz w:val="18"/>
        </w:rPr>
        <w:t> </w:t>
      </w:r>
      <w:r>
        <w:rPr>
          <w:sz w:val="18"/>
        </w:rPr>
        <w:t>the</w:t>
      </w:r>
      <w:r>
        <w:rPr>
          <w:spacing w:val="-1"/>
          <w:sz w:val="18"/>
        </w:rPr>
        <w:t> </w:t>
      </w:r>
      <w:r>
        <w:rPr>
          <w:sz w:val="18"/>
        </w:rPr>
        <w:t>HCH-A</w:t>
      </w:r>
      <w:r>
        <w:rPr>
          <w:spacing w:val="-10"/>
          <w:sz w:val="18"/>
        </w:rPr>
        <w:t> </w:t>
      </w:r>
      <w:r>
        <w:rPr>
          <w:sz w:val="18"/>
        </w:rPr>
        <w:t>tool has</w:t>
      </w:r>
      <w:r>
        <w:rPr>
          <w:spacing w:val="-2"/>
          <w:sz w:val="18"/>
        </w:rPr>
        <w:t> </w:t>
      </w:r>
      <w:r>
        <w:rPr>
          <w:sz w:val="18"/>
        </w:rPr>
        <w:t>been</w:t>
      </w:r>
      <w:r>
        <w:rPr>
          <w:spacing w:val="-2"/>
          <w:sz w:val="18"/>
        </w:rPr>
        <w:t> </w:t>
      </w:r>
      <w:r>
        <w:rPr>
          <w:sz w:val="18"/>
        </w:rPr>
        <w:t>described</w:t>
      </w:r>
      <w:r>
        <w:rPr>
          <w:spacing w:val="-2"/>
          <w:sz w:val="18"/>
        </w:rPr>
        <w:t> </w:t>
      </w:r>
      <w:r>
        <w:rPr>
          <w:sz w:val="18"/>
        </w:rPr>
        <w:t>elsewhere.</w:t>
      </w:r>
    </w:p>
    <w:p>
      <w:pPr>
        <w:spacing w:line="276" w:lineRule="auto" w:before="4"/>
        <w:ind w:left="568" w:right="1103" w:firstLine="0"/>
        <w:jc w:val="left"/>
        <w:rPr>
          <w:sz w:val="18"/>
        </w:rPr>
      </w:pPr>
      <w:r>
        <w:rPr>
          <w:sz w:val="18"/>
        </w:rPr>
        <w:t>This involves several staff within a practice completing the HCH-A assessment separately, followed by discussion to</w:t>
      </w:r>
      <w:r>
        <w:rPr>
          <w:spacing w:val="-47"/>
          <w:sz w:val="18"/>
        </w:rPr>
        <w:t> </w:t>
      </w:r>
      <w:r>
        <w:rPr>
          <w:sz w:val="18"/>
        </w:rPr>
        <w:t>reach a consensus on scores for each item.</w:t>
      </w:r>
      <w:r>
        <w:rPr>
          <w:spacing w:val="1"/>
          <w:sz w:val="18"/>
        </w:rPr>
        <w:t> </w:t>
      </w:r>
      <w:r>
        <w:rPr>
          <w:sz w:val="18"/>
        </w:rPr>
        <w:t>The survey relates only to the final consensus score for the practice.</w:t>
      </w:r>
      <w:r>
        <w:rPr>
          <w:spacing w:val="1"/>
          <w:sz w:val="18"/>
        </w:rPr>
        <w:t> </w:t>
      </w:r>
      <w:r>
        <w:rPr>
          <w:sz w:val="18"/>
        </w:rPr>
        <w:t>There</w:t>
      </w:r>
      <w:r>
        <w:rPr>
          <w:spacing w:val="-1"/>
          <w:sz w:val="18"/>
        </w:rPr>
        <w:t> </w:t>
      </w:r>
      <w:r>
        <w:rPr>
          <w:sz w:val="18"/>
        </w:rPr>
        <w:t>are also</w:t>
      </w:r>
      <w:r>
        <w:rPr>
          <w:spacing w:val="-2"/>
          <w:sz w:val="18"/>
        </w:rPr>
        <w:t> </w:t>
      </w:r>
      <w:r>
        <w:rPr>
          <w:sz w:val="18"/>
        </w:rPr>
        <w:t>a few</w:t>
      </w:r>
      <w:r>
        <w:rPr>
          <w:spacing w:val="-2"/>
          <w:sz w:val="18"/>
        </w:rPr>
        <w:t> </w:t>
      </w:r>
      <w:r>
        <w:rPr>
          <w:sz w:val="18"/>
        </w:rPr>
        <w:t>questions</w:t>
      </w:r>
      <w:r>
        <w:rPr>
          <w:spacing w:val="-1"/>
          <w:sz w:val="18"/>
        </w:rPr>
        <w:t> </w:t>
      </w:r>
      <w:r>
        <w:rPr>
          <w:sz w:val="18"/>
        </w:rPr>
        <w:t>about</w:t>
      </w:r>
      <w:r>
        <w:rPr>
          <w:spacing w:val="-3"/>
          <w:sz w:val="18"/>
        </w:rPr>
        <w:t> </w:t>
      </w:r>
      <w:r>
        <w:rPr>
          <w:sz w:val="18"/>
        </w:rPr>
        <w:t>how</w:t>
      </w:r>
      <w:r>
        <w:rPr>
          <w:spacing w:val="-2"/>
          <w:sz w:val="18"/>
        </w:rPr>
        <w:t> </w:t>
      </w:r>
      <w:r>
        <w:rPr>
          <w:sz w:val="18"/>
        </w:rPr>
        <w:t>the HCH-A</w:t>
      </w:r>
      <w:r>
        <w:rPr>
          <w:spacing w:val="-7"/>
          <w:sz w:val="18"/>
        </w:rPr>
        <w:t> </w:t>
      </w:r>
      <w:r>
        <w:rPr>
          <w:sz w:val="18"/>
        </w:rPr>
        <w:t>tool was</w:t>
      </w:r>
      <w:r>
        <w:rPr>
          <w:spacing w:val="-2"/>
          <w:sz w:val="18"/>
        </w:rPr>
        <w:t> </w:t>
      </w:r>
      <w:r>
        <w:rPr>
          <w:sz w:val="18"/>
        </w:rPr>
        <w:t>applied</w:t>
      </w:r>
      <w:r>
        <w:rPr>
          <w:spacing w:val="-1"/>
          <w:sz w:val="18"/>
        </w:rPr>
        <w:t> </w:t>
      </w:r>
      <w:r>
        <w:rPr>
          <w:sz w:val="18"/>
        </w:rPr>
        <w:t>in</w:t>
      </w:r>
      <w:r>
        <w:rPr>
          <w:spacing w:val="-3"/>
          <w:sz w:val="18"/>
        </w:rPr>
        <w:t> </w:t>
      </w:r>
      <w:r>
        <w:rPr>
          <w:sz w:val="18"/>
        </w:rPr>
        <w:t>the practice/service</w:t>
      </w:r>
    </w:p>
    <w:p>
      <w:pPr>
        <w:spacing w:line="276" w:lineRule="auto" w:before="119"/>
        <w:ind w:left="568" w:right="798" w:firstLine="0"/>
        <w:jc w:val="left"/>
        <w:rPr>
          <w:sz w:val="18"/>
        </w:rPr>
      </w:pPr>
      <w:r>
        <w:rPr>
          <w:sz w:val="18"/>
        </w:rPr>
        <w:t>A link has been provided to the survey.</w:t>
      </w:r>
      <w:r>
        <w:rPr>
          <w:spacing w:val="1"/>
          <w:sz w:val="18"/>
        </w:rPr>
        <w:t> </w:t>
      </w:r>
      <w:r>
        <w:rPr>
          <w:sz w:val="18"/>
        </w:rPr>
        <w:t>You may return to this link on several occasions.</w:t>
      </w:r>
      <w:r>
        <w:rPr>
          <w:spacing w:val="1"/>
          <w:sz w:val="18"/>
        </w:rPr>
        <w:t> </w:t>
      </w:r>
      <w:r>
        <w:rPr>
          <w:sz w:val="18"/>
        </w:rPr>
        <w:t>The survey should be</w:t>
      </w:r>
      <w:r>
        <w:rPr>
          <w:spacing w:val="-47"/>
          <w:sz w:val="18"/>
        </w:rPr>
        <w:t> </w:t>
      </w:r>
      <w:r>
        <w:rPr>
          <w:sz w:val="18"/>
        </w:rPr>
        <w:t>completed</w:t>
      </w:r>
      <w:r>
        <w:rPr>
          <w:spacing w:val="-2"/>
          <w:sz w:val="18"/>
        </w:rPr>
        <w:t> </w:t>
      </w:r>
      <w:r>
        <w:rPr>
          <w:sz w:val="18"/>
        </w:rPr>
        <w:t>by</w:t>
      </w:r>
      <w:r>
        <w:rPr>
          <w:spacing w:val="1"/>
          <w:sz w:val="18"/>
        </w:rPr>
        <w:t> </w:t>
      </w:r>
      <w:r>
        <w:rPr>
          <w:sz w:val="18"/>
        </w:rPr>
        <w:t>30 November</w:t>
      </w:r>
      <w:r>
        <w:rPr>
          <w:spacing w:val="2"/>
          <w:sz w:val="18"/>
        </w:rPr>
        <w:t> </w:t>
      </w:r>
      <w:r>
        <w:rPr>
          <w:sz w:val="18"/>
        </w:rPr>
        <w:t>2020.</w:t>
      </w:r>
    </w:p>
    <w:p>
      <w:pPr>
        <w:spacing w:line="276" w:lineRule="auto" w:before="121"/>
        <w:ind w:left="568" w:right="917" w:firstLine="0"/>
        <w:jc w:val="left"/>
        <w:rPr>
          <w:sz w:val="18"/>
        </w:rPr>
      </w:pPr>
      <w:r>
        <w:rPr>
          <w:sz w:val="18"/>
        </w:rPr>
        <w:t>The information that you provide will be kept strictly confidential, and will not be used for any other purpose other</w:t>
      </w:r>
      <w:r>
        <w:rPr>
          <w:spacing w:val="1"/>
          <w:sz w:val="18"/>
        </w:rPr>
        <w:t> </w:t>
      </w:r>
      <w:r>
        <w:rPr>
          <w:sz w:val="18"/>
        </w:rPr>
        <w:t>than the evaluation of the HCH program. All reports of the evaluation will only contain descriptive information about</w:t>
      </w:r>
      <w:r>
        <w:rPr>
          <w:spacing w:val="-47"/>
          <w:sz w:val="18"/>
        </w:rPr>
        <w:t> </w:t>
      </w:r>
      <w:r>
        <w:rPr>
          <w:sz w:val="18"/>
        </w:rPr>
        <w:t>individual practices/ services (e.g. geographic location in summary categories such as rural, remote, very remote).</w:t>
      </w:r>
      <w:r>
        <w:rPr>
          <w:spacing w:val="1"/>
          <w:sz w:val="18"/>
        </w:rPr>
        <w:t> </w:t>
      </w:r>
      <w:r>
        <w:rPr>
          <w:sz w:val="18"/>
        </w:rPr>
        <w:t>No</w:t>
      </w:r>
      <w:r>
        <w:rPr>
          <w:spacing w:val="-1"/>
          <w:sz w:val="18"/>
        </w:rPr>
        <w:t> </w:t>
      </w:r>
      <w:r>
        <w:rPr>
          <w:sz w:val="18"/>
        </w:rPr>
        <w:t>ratings</w:t>
      </w:r>
      <w:r>
        <w:rPr>
          <w:spacing w:val="-2"/>
          <w:sz w:val="18"/>
        </w:rPr>
        <w:t> </w:t>
      </w:r>
      <w:r>
        <w:rPr>
          <w:sz w:val="18"/>
        </w:rPr>
        <w:t>or</w:t>
      </w:r>
      <w:r>
        <w:rPr>
          <w:spacing w:val="-1"/>
          <w:sz w:val="18"/>
        </w:rPr>
        <w:t> </w:t>
      </w:r>
      <w:r>
        <w:rPr>
          <w:sz w:val="18"/>
        </w:rPr>
        <w:t>views</w:t>
      </w:r>
      <w:r>
        <w:rPr>
          <w:spacing w:val="-2"/>
          <w:sz w:val="18"/>
        </w:rPr>
        <w:t> </w:t>
      </w:r>
      <w:r>
        <w:rPr>
          <w:sz w:val="18"/>
        </w:rPr>
        <w:t>requested</w:t>
      </w:r>
      <w:r>
        <w:rPr>
          <w:spacing w:val="-2"/>
          <w:sz w:val="18"/>
        </w:rPr>
        <w:t> </w:t>
      </w:r>
      <w:r>
        <w:rPr>
          <w:sz w:val="18"/>
        </w:rPr>
        <w:t>through</w:t>
      </w:r>
      <w:r>
        <w:rPr>
          <w:spacing w:val="-1"/>
          <w:sz w:val="18"/>
        </w:rPr>
        <w:t> </w:t>
      </w:r>
      <w:r>
        <w:rPr>
          <w:sz w:val="18"/>
        </w:rPr>
        <w:t>this</w:t>
      </w:r>
      <w:r>
        <w:rPr>
          <w:spacing w:val="-2"/>
          <w:sz w:val="18"/>
        </w:rPr>
        <w:t> </w:t>
      </w:r>
      <w:r>
        <w:rPr>
          <w:sz w:val="18"/>
        </w:rPr>
        <w:t>survey</w:t>
      </w:r>
      <w:r>
        <w:rPr>
          <w:spacing w:val="-2"/>
          <w:sz w:val="18"/>
        </w:rPr>
        <w:t> </w:t>
      </w:r>
      <w:r>
        <w:rPr>
          <w:sz w:val="18"/>
        </w:rPr>
        <w:t>will</w:t>
      </w:r>
      <w:r>
        <w:rPr>
          <w:spacing w:val="-4"/>
          <w:sz w:val="18"/>
        </w:rPr>
        <w:t> </w:t>
      </w:r>
      <w:r>
        <w:rPr>
          <w:sz w:val="18"/>
        </w:rPr>
        <w:t>be</w:t>
      </w:r>
      <w:r>
        <w:rPr>
          <w:spacing w:val="-3"/>
          <w:sz w:val="18"/>
        </w:rPr>
        <w:t> </w:t>
      </w:r>
      <w:r>
        <w:rPr>
          <w:sz w:val="18"/>
        </w:rPr>
        <w:t>attributed</w:t>
      </w:r>
      <w:r>
        <w:rPr>
          <w:spacing w:val="-2"/>
          <w:sz w:val="18"/>
        </w:rPr>
        <w:t> </w:t>
      </w:r>
      <w:r>
        <w:rPr>
          <w:sz w:val="18"/>
        </w:rPr>
        <w:t>to</w:t>
      </w:r>
      <w:r>
        <w:rPr>
          <w:spacing w:val="-1"/>
          <w:sz w:val="18"/>
        </w:rPr>
        <w:t> </w:t>
      </w:r>
      <w:r>
        <w:rPr>
          <w:sz w:val="18"/>
        </w:rPr>
        <w:t>any</w:t>
      </w:r>
      <w:r>
        <w:rPr>
          <w:spacing w:val="-2"/>
          <w:sz w:val="18"/>
        </w:rPr>
        <w:t> </w:t>
      </w:r>
      <w:r>
        <w:rPr>
          <w:sz w:val="18"/>
        </w:rPr>
        <w:t>individual</w:t>
      </w:r>
      <w:r>
        <w:rPr>
          <w:spacing w:val="-3"/>
          <w:sz w:val="18"/>
        </w:rPr>
        <w:t> </w:t>
      </w:r>
      <w:r>
        <w:rPr>
          <w:sz w:val="18"/>
        </w:rPr>
        <w:t>practice/</w:t>
      </w:r>
      <w:r>
        <w:rPr>
          <w:spacing w:val="-1"/>
          <w:sz w:val="18"/>
        </w:rPr>
        <w:t> </w:t>
      </w:r>
      <w:r>
        <w:rPr>
          <w:sz w:val="18"/>
        </w:rPr>
        <w:t>service.</w:t>
      </w:r>
    </w:p>
    <w:p>
      <w:pPr>
        <w:spacing w:line="276" w:lineRule="auto" w:before="121"/>
        <w:ind w:left="568" w:right="907" w:firstLine="0"/>
        <w:jc w:val="left"/>
        <w:rPr>
          <w:sz w:val="18"/>
        </w:rPr>
      </w:pPr>
      <w:r>
        <w:rPr>
          <w:sz w:val="18"/>
        </w:rPr>
        <w:t>The evaluation is being conducted by Health Policy Analysis, on behalf of the Commonwealth Department of</w:t>
      </w:r>
      <w:r>
        <w:rPr>
          <w:spacing w:val="1"/>
          <w:sz w:val="18"/>
        </w:rPr>
        <w:t> </w:t>
      </w:r>
      <w:r>
        <w:rPr>
          <w:sz w:val="18"/>
        </w:rPr>
        <w:t>Health.</w:t>
      </w:r>
      <w:r>
        <w:rPr>
          <w:spacing w:val="-5"/>
          <w:sz w:val="18"/>
        </w:rPr>
        <w:t> </w:t>
      </w:r>
      <w:r>
        <w:rPr>
          <w:sz w:val="18"/>
        </w:rPr>
        <w:t>If</w:t>
      </w:r>
      <w:r>
        <w:rPr>
          <w:spacing w:val="-2"/>
          <w:sz w:val="18"/>
        </w:rPr>
        <w:t> </w:t>
      </w:r>
      <w:r>
        <w:rPr>
          <w:sz w:val="18"/>
        </w:rPr>
        <w:t>you</w:t>
      </w:r>
      <w:r>
        <w:rPr>
          <w:spacing w:val="-2"/>
          <w:sz w:val="18"/>
        </w:rPr>
        <w:t> </w:t>
      </w:r>
      <w:r>
        <w:rPr>
          <w:sz w:val="18"/>
        </w:rPr>
        <w:t>would</w:t>
      </w:r>
      <w:r>
        <w:rPr>
          <w:spacing w:val="-4"/>
          <w:sz w:val="18"/>
        </w:rPr>
        <w:t> </w:t>
      </w:r>
      <w:r>
        <w:rPr>
          <w:sz w:val="18"/>
        </w:rPr>
        <w:t>like</w:t>
      </w:r>
      <w:r>
        <w:rPr>
          <w:spacing w:val="-4"/>
          <w:sz w:val="18"/>
        </w:rPr>
        <w:t> </w:t>
      </w:r>
      <w:r>
        <w:rPr>
          <w:sz w:val="18"/>
        </w:rPr>
        <w:t>any</w:t>
      </w:r>
      <w:r>
        <w:rPr>
          <w:spacing w:val="-5"/>
          <w:sz w:val="18"/>
        </w:rPr>
        <w:t> </w:t>
      </w:r>
      <w:r>
        <w:rPr>
          <w:sz w:val="18"/>
        </w:rPr>
        <w:t>further</w:t>
      </w:r>
      <w:r>
        <w:rPr>
          <w:spacing w:val="-3"/>
          <w:sz w:val="18"/>
        </w:rPr>
        <w:t> </w:t>
      </w:r>
      <w:r>
        <w:rPr>
          <w:sz w:val="18"/>
        </w:rPr>
        <w:t>information</w:t>
      </w:r>
      <w:r>
        <w:rPr>
          <w:spacing w:val="-2"/>
          <w:sz w:val="18"/>
        </w:rPr>
        <w:t> </w:t>
      </w:r>
      <w:r>
        <w:rPr>
          <w:sz w:val="18"/>
        </w:rPr>
        <w:t>about</w:t>
      </w:r>
      <w:r>
        <w:rPr>
          <w:spacing w:val="-5"/>
          <w:sz w:val="18"/>
        </w:rPr>
        <w:t> </w:t>
      </w:r>
      <w:r>
        <w:rPr>
          <w:sz w:val="18"/>
        </w:rPr>
        <w:t>this</w:t>
      </w:r>
      <w:r>
        <w:rPr>
          <w:spacing w:val="-3"/>
          <w:sz w:val="18"/>
        </w:rPr>
        <w:t> </w:t>
      </w:r>
      <w:r>
        <w:rPr>
          <w:sz w:val="18"/>
        </w:rPr>
        <w:t>survey</w:t>
      </w:r>
      <w:r>
        <w:rPr>
          <w:spacing w:val="-3"/>
          <w:sz w:val="18"/>
        </w:rPr>
        <w:t> </w:t>
      </w:r>
      <w:r>
        <w:rPr>
          <w:sz w:val="18"/>
        </w:rPr>
        <w:t>or</w:t>
      </w:r>
      <w:r>
        <w:rPr>
          <w:spacing w:val="-3"/>
          <w:sz w:val="18"/>
        </w:rPr>
        <w:t> </w:t>
      </w:r>
      <w:r>
        <w:rPr>
          <w:sz w:val="18"/>
        </w:rPr>
        <w:t>the</w:t>
      </w:r>
      <w:r>
        <w:rPr>
          <w:spacing w:val="-4"/>
          <w:sz w:val="18"/>
        </w:rPr>
        <w:t> </w:t>
      </w:r>
      <w:r>
        <w:rPr>
          <w:sz w:val="18"/>
        </w:rPr>
        <w:t>evaluation,</w:t>
      </w:r>
      <w:r>
        <w:rPr>
          <w:spacing w:val="-4"/>
          <w:sz w:val="18"/>
        </w:rPr>
        <w:t> </w:t>
      </w:r>
      <w:r>
        <w:rPr>
          <w:sz w:val="18"/>
        </w:rPr>
        <w:t>please</w:t>
      </w:r>
      <w:r>
        <w:rPr>
          <w:spacing w:val="-2"/>
          <w:sz w:val="18"/>
        </w:rPr>
        <w:t> </w:t>
      </w:r>
      <w:r>
        <w:rPr>
          <w:sz w:val="18"/>
        </w:rPr>
        <w:t>contact</w:t>
      </w:r>
      <w:r>
        <w:rPr>
          <w:spacing w:val="-4"/>
          <w:sz w:val="18"/>
        </w:rPr>
        <w:t> </w:t>
      </w:r>
      <w:r>
        <w:rPr>
          <w:sz w:val="18"/>
        </w:rPr>
        <w:t>Health</w:t>
      </w:r>
      <w:r>
        <w:rPr>
          <w:spacing w:val="-3"/>
          <w:sz w:val="18"/>
        </w:rPr>
        <w:t> </w:t>
      </w:r>
      <w:r>
        <w:rPr>
          <w:sz w:val="18"/>
        </w:rPr>
        <w:t>Policy</w:t>
      </w:r>
      <w:r>
        <w:rPr>
          <w:spacing w:val="1"/>
          <w:sz w:val="18"/>
        </w:rPr>
        <w:t> </w:t>
      </w:r>
      <w:r>
        <w:rPr>
          <w:sz w:val="18"/>
        </w:rPr>
        <w:t>Analysis</w:t>
      </w:r>
      <w:r>
        <w:rPr>
          <w:spacing w:val="-2"/>
          <w:sz w:val="18"/>
        </w:rPr>
        <w:t> </w:t>
      </w:r>
      <w:r>
        <w:rPr>
          <w:sz w:val="18"/>
        </w:rPr>
        <w:t>on</w:t>
      </w:r>
      <w:r>
        <w:rPr>
          <w:spacing w:val="3"/>
          <w:sz w:val="18"/>
        </w:rPr>
        <w:t> </w:t>
      </w:r>
      <w:r>
        <w:rPr>
          <w:sz w:val="18"/>
        </w:rPr>
        <w:t>(02)</w:t>
      </w:r>
      <w:r>
        <w:rPr>
          <w:spacing w:val="-2"/>
          <w:sz w:val="18"/>
        </w:rPr>
        <w:t> </w:t>
      </w:r>
      <w:r>
        <w:rPr>
          <w:sz w:val="18"/>
        </w:rPr>
        <w:t>8065</w:t>
      </w:r>
      <w:r>
        <w:rPr>
          <w:spacing w:val="-1"/>
          <w:sz w:val="18"/>
        </w:rPr>
        <w:t> </w:t>
      </w:r>
      <w:r>
        <w:rPr>
          <w:sz w:val="18"/>
        </w:rPr>
        <w:t>6491</w:t>
      </w:r>
      <w:r>
        <w:rPr>
          <w:spacing w:val="-1"/>
          <w:sz w:val="18"/>
        </w:rPr>
        <w:t> </w:t>
      </w:r>
      <w:r>
        <w:rPr>
          <w:sz w:val="18"/>
        </w:rPr>
        <w:t>or</w:t>
      </w:r>
      <w:r>
        <w:rPr>
          <w:spacing w:val="-2"/>
          <w:sz w:val="18"/>
        </w:rPr>
        <w:t> </w:t>
      </w:r>
      <w:hyperlink r:id="rId38">
        <w:r>
          <w:rPr>
            <w:sz w:val="18"/>
          </w:rPr>
          <w:t>info@healthpolicy.com.au.</w:t>
        </w:r>
      </w:hyperlink>
    </w:p>
    <w:p>
      <w:pPr>
        <w:spacing w:line="276" w:lineRule="auto" w:before="119"/>
        <w:ind w:left="568" w:right="798" w:firstLine="0"/>
        <w:jc w:val="left"/>
        <w:rPr>
          <w:sz w:val="18"/>
        </w:rPr>
      </w:pPr>
      <w:r>
        <w:rPr>
          <w:sz w:val="18"/>
        </w:rPr>
        <w:t>The evaluation of HCH was approved by the Department of Health Human Research Ethics Committee [Project 04-</w:t>
      </w:r>
      <w:r>
        <w:rPr>
          <w:spacing w:val="1"/>
          <w:sz w:val="18"/>
        </w:rPr>
        <w:t> </w:t>
      </w:r>
      <w:r>
        <w:rPr>
          <w:sz w:val="18"/>
        </w:rPr>
        <w:t>2017] in September 2017. This committee subsequently disbanded, and in September 2018, ethical oversight for the</w:t>
      </w:r>
      <w:r>
        <w:rPr>
          <w:spacing w:val="1"/>
          <w:sz w:val="18"/>
        </w:rPr>
        <w:t> </w:t>
      </w:r>
      <w:r>
        <w:rPr>
          <w:sz w:val="18"/>
        </w:rPr>
        <w:t>evaluation</w:t>
      </w:r>
      <w:r>
        <w:rPr>
          <w:spacing w:val="-3"/>
          <w:sz w:val="18"/>
        </w:rPr>
        <w:t> </w:t>
      </w:r>
      <w:r>
        <w:rPr>
          <w:sz w:val="18"/>
        </w:rPr>
        <w:t>was</w:t>
      </w:r>
      <w:r>
        <w:rPr>
          <w:spacing w:val="-4"/>
          <w:sz w:val="18"/>
        </w:rPr>
        <w:t> </w:t>
      </w:r>
      <w:r>
        <w:rPr>
          <w:sz w:val="18"/>
        </w:rPr>
        <w:t>transferred</w:t>
      </w:r>
      <w:r>
        <w:rPr>
          <w:spacing w:val="-4"/>
          <w:sz w:val="18"/>
        </w:rPr>
        <w:t> </w:t>
      </w:r>
      <w:r>
        <w:rPr>
          <w:sz w:val="18"/>
        </w:rPr>
        <w:t>to</w:t>
      </w:r>
      <w:r>
        <w:rPr>
          <w:spacing w:val="-4"/>
          <w:sz w:val="18"/>
        </w:rPr>
        <w:t> </w:t>
      </w:r>
      <w:r>
        <w:rPr>
          <w:sz w:val="18"/>
        </w:rPr>
        <w:t>the</w:t>
      </w:r>
      <w:r>
        <w:rPr>
          <w:spacing w:val="5"/>
          <w:sz w:val="18"/>
        </w:rPr>
        <w:t> </w:t>
      </w:r>
      <w:r>
        <w:rPr>
          <w:sz w:val="18"/>
        </w:rPr>
        <w:t>ACT</w:t>
      </w:r>
      <w:r>
        <w:rPr>
          <w:spacing w:val="-5"/>
          <w:sz w:val="18"/>
        </w:rPr>
        <w:t> </w:t>
      </w:r>
      <w:r>
        <w:rPr>
          <w:sz w:val="18"/>
        </w:rPr>
        <w:t>Health</w:t>
      </w:r>
      <w:r>
        <w:rPr>
          <w:spacing w:val="-3"/>
          <w:sz w:val="18"/>
        </w:rPr>
        <w:t> </w:t>
      </w:r>
      <w:r>
        <w:rPr>
          <w:sz w:val="18"/>
        </w:rPr>
        <w:t>Human</w:t>
      </w:r>
      <w:r>
        <w:rPr>
          <w:spacing w:val="-3"/>
          <w:sz w:val="18"/>
        </w:rPr>
        <w:t> </w:t>
      </w:r>
      <w:r>
        <w:rPr>
          <w:sz w:val="18"/>
        </w:rPr>
        <w:t>Research</w:t>
      </w:r>
      <w:r>
        <w:rPr>
          <w:spacing w:val="-3"/>
          <w:sz w:val="18"/>
        </w:rPr>
        <w:t> </w:t>
      </w:r>
      <w:r>
        <w:rPr>
          <w:sz w:val="18"/>
        </w:rPr>
        <w:t>Ethics</w:t>
      </w:r>
      <w:r>
        <w:rPr>
          <w:spacing w:val="-6"/>
          <w:sz w:val="18"/>
        </w:rPr>
        <w:t> </w:t>
      </w:r>
      <w:r>
        <w:rPr>
          <w:sz w:val="18"/>
        </w:rPr>
        <w:t>Committee.</w:t>
      </w:r>
      <w:r>
        <w:rPr>
          <w:spacing w:val="-5"/>
          <w:sz w:val="18"/>
        </w:rPr>
        <w:t> </w:t>
      </w:r>
      <w:r>
        <w:rPr>
          <w:sz w:val="18"/>
        </w:rPr>
        <w:t>Concerns</w:t>
      </w:r>
      <w:r>
        <w:rPr>
          <w:spacing w:val="-4"/>
          <w:sz w:val="18"/>
        </w:rPr>
        <w:t> </w:t>
      </w:r>
      <w:r>
        <w:rPr>
          <w:sz w:val="18"/>
        </w:rPr>
        <w:t>or</w:t>
      </w:r>
      <w:r>
        <w:rPr>
          <w:spacing w:val="-3"/>
          <w:sz w:val="18"/>
        </w:rPr>
        <w:t> </w:t>
      </w:r>
      <w:r>
        <w:rPr>
          <w:sz w:val="18"/>
        </w:rPr>
        <w:t>complaints</w:t>
      </w:r>
      <w:r>
        <w:rPr>
          <w:spacing w:val="-4"/>
          <w:sz w:val="18"/>
        </w:rPr>
        <w:t> </w:t>
      </w:r>
      <w:r>
        <w:rPr>
          <w:sz w:val="18"/>
        </w:rPr>
        <w:t>about</w:t>
      </w:r>
      <w:r>
        <w:rPr>
          <w:spacing w:val="-5"/>
          <w:sz w:val="18"/>
        </w:rPr>
        <w:t> </w:t>
      </w:r>
      <w:r>
        <w:rPr>
          <w:sz w:val="18"/>
        </w:rPr>
        <w:t>the</w:t>
      </w:r>
      <w:r>
        <w:rPr>
          <w:spacing w:val="1"/>
          <w:sz w:val="18"/>
        </w:rPr>
        <w:t> </w:t>
      </w:r>
      <w:r>
        <w:rPr>
          <w:sz w:val="18"/>
        </w:rPr>
        <w:t>ethical conduct of the evaluation should be made in writing to the ACT Health Human Research Ethics Office</w:t>
      </w:r>
      <w:r>
        <w:rPr>
          <w:spacing w:val="1"/>
          <w:sz w:val="18"/>
        </w:rPr>
        <w:t> </w:t>
      </w:r>
      <w:r>
        <w:rPr>
          <w:sz w:val="18"/>
        </w:rPr>
        <w:t>(ethics@act.gov.au).</w:t>
      </w:r>
    </w:p>
    <w:p>
      <w:pPr>
        <w:spacing w:before="121"/>
        <w:ind w:left="568" w:right="0" w:firstLine="0"/>
        <w:jc w:val="left"/>
        <w:rPr>
          <w:sz w:val="18"/>
        </w:rPr>
      </w:pPr>
      <w:r>
        <w:rPr>
          <w:sz w:val="18"/>
        </w:rPr>
        <w:t>If</w:t>
      </w:r>
      <w:r>
        <w:rPr>
          <w:spacing w:val="-6"/>
          <w:sz w:val="18"/>
        </w:rPr>
        <w:t> </w:t>
      </w:r>
      <w:r>
        <w:rPr>
          <w:sz w:val="18"/>
        </w:rPr>
        <w:t>you</w:t>
      </w:r>
      <w:r>
        <w:rPr>
          <w:spacing w:val="-3"/>
          <w:sz w:val="18"/>
        </w:rPr>
        <w:t> </w:t>
      </w:r>
      <w:r>
        <w:rPr>
          <w:sz w:val="18"/>
        </w:rPr>
        <w:t>have</w:t>
      </w:r>
      <w:r>
        <w:rPr>
          <w:spacing w:val="-3"/>
          <w:sz w:val="18"/>
        </w:rPr>
        <w:t> </w:t>
      </w:r>
      <w:r>
        <w:rPr>
          <w:sz w:val="18"/>
        </w:rPr>
        <w:t>any</w:t>
      </w:r>
      <w:r>
        <w:rPr>
          <w:spacing w:val="-4"/>
          <w:sz w:val="18"/>
        </w:rPr>
        <w:t> </w:t>
      </w:r>
      <w:r>
        <w:rPr>
          <w:sz w:val="18"/>
        </w:rPr>
        <w:t>questions</w:t>
      </w:r>
      <w:r>
        <w:rPr>
          <w:spacing w:val="-5"/>
          <w:sz w:val="18"/>
        </w:rPr>
        <w:t> </w:t>
      </w:r>
      <w:r>
        <w:rPr>
          <w:sz w:val="18"/>
        </w:rPr>
        <w:t>regarding</w:t>
      </w:r>
      <w:r>
        <w:rPr>
          <w:spacing w:val="-5"/>
          <w:sz w:val="18"/>
        </w:rPr>
        <w:t> </w:t>
      </w:r>
      <w:r>
        <w:rPr>
          <w:sz w:val="18"/>
        </w:rPr>
        <w:t>the</w:t>
      </w:r>
      <w:r>
        <w:rPr>
          <w:spacing w:val="-3"/>
          <w:sz w:val="18"/>
        </w:rPr>
        <w:t> </w:t>
      </w:r>
      <w:r>
        <w:rPr>
          <w:sz w:val="18"/>
        </w:rPr>
        <w:t>HCH</w:t>
      </w:r>
      <w:r>
        <w:rPr>
          <w:spacing w:val="-4"/>
          <w:sz w:val="18"/>
        </w:rPr>
        <w:t> </w:t>
      </w:r>
      <w:r>
        <w:rPr>
          <w:sz w:val="18"/>
        </w:rPr>
        <w:t>program,</w:t>
      </w:r>
      <w:r>
        <w:rPr>
          <w:spacing w:val="-3"/>
          <w:sz w:val="18"/>
        </w:rPr>
        <w:t> </w:t>
      </w:r>
      <w:r>
        <w:rPr>
          <w:sz w:val="18"/>
        </w:rPr>
        <w:t>please</w:t>
      </w:r>
      <w:r>
        <w:rPr>
          <w:spacing w:val="-4"/>
          <w:sz w:val="18"/>
        </w:rPr>
        <w:t> </w:t>
      </w:r>
      <w:r>
        <w:rPr>
          <w:sz w:val="18"/>
        </w:rPr>
        <w:t>contact</w:t>
      </w:r>
      <w:r>
        <w:rPr>
          <w:spacing w:val="-5"/>
          <w:sz w:val="18"/>
        </w:rPr>
        <w:t> </w:t>
      </w:r>
      <w:hyperlink r:id="rId40">
        <w:r>
          <w:rPr>
            <w:sz w:val="18"/>
          </w:rPr>
          <w:t>healthcarehomes@health.gov.au.</w:t>
        </w:r>
      </w:hyperlink>
    </w:p>
    <w:p>
      <w:pPr>
        <w:pStyle w:val="BodyText"/>
      </w:pPr>
    </w:p>
    <w:p>
      <w:pPr>
        <w:pStyle w:val="BodyText"/>
        <w:spacing w:before="6"/>
        <w:rPr>
          <w:sz w:val="21"/>
        </w:rPr>
      </w:pPr>
    </w:p>
    <w:p>
      <w:pPr>
        <w:pStyle w:val="ListParagraph"/>
        <w:numPr>
          <w:ilvl w:val="0"/>
          <w:numId w:val="86"/>
        </w:numPr>
        <w:tabs>
          <w:tab w:pos="619" w:val="left" w:leader="none"/>
        </w:tabs>
        <w:spacing w:line="276" w:lineRule="auto" w:before="0" w:after="0"/>
        <w:ind w:left="420" w:right="1071" w:firstLine="0"/>
        <w:jc w:val="left"/>
        <w:rPr>
          <w:sz w:val="18"/>
        </w:rPr>
      </w:pPr>
      <w:r>
        <w:rPr>
          <w:sz w:val="18"/>
        </w:rPr>
        <w:t>Please enter the final consensus score agreed for each item of the HCH-A tool, following discussion by</w:t>
      </w:r>
      <w:r>
        <w:rPr>
          <w:spacing w:val="1"/>
          <w:sz w:val="18"/>
        </w:rPr>
        <w:t> </w:t>
      </w:r>
      <w:r>
        <w:rPr>
          <w:sz w:val="18"/>
        </w:rPr>
        <w:t>practice/service staff as at November 2020 (or near to this date). Can you also review and update (if necessary) the</w:t>
      </w:r>
      <w:r>
        <w:rPr>
          <w:spacing w:val="-48"/>
          <w:sz w:val="18"/>
        </w:rPr>
        <w:t> </w:t>
      </w:r>
      <w:r>
        <w:rPr>
          <w:sz w:val="18"/>
        </w:rPr>
        <w:t>consensus score provided when the HCH-A assessment was undertaken close to the commencement of the HCH</w:t>
      </w:r>
      <w:r>
        <w:rPr>
          <w:spacing w:val="1"/>
          <w:sz w:val="18"/>
        </w:rPr>
        <w:t> </w:t>
      </w:r>
      <w:r>
        <w:rPr>
          <w:sz w:val="18"/>
        </w:rPr>
        <w:t>program</w:t>
      </w:r>
      <w:r>
        <w:rPr>
          <w:spacing w:val="-5"/>
          <w:sz w:val="18"/>
        </w:rPr>
        <w:t> </w:t>
      </w:r>
      <w:r>
        <w:rPr>
          <w:sz w:val="18"/>
        </w:rPr>
        <w:t>in your practice/services</w:t>
      </w:r>
    </w:p>
    <w:p>
      <w:pPr>
        <w:pStyle w:val="BodyText"/>
        <w:spacing w:before="4" w:after="1"/>
        <w:rPr>
          <w:sz w:val="16"/>
        </w:rPr>
      </w:pPr>
    </w:p>
    <w:tbl>
      <w:tblPr>
        <w:tblW w:w="0" w:type="auto"/>
        <w:jc w:val="left"/>
        <w:tblInd w:w="310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994"/>
        <w:gridCol w:w="1929"/>
        <w:gridCol w:w="2174"/>
      </w:tblGrid>
      <w:tr>
        <w:trPr>
          <w:trHeight w:val="661" w:hRule="atLeast"/>
        </w:trPr>
        <w:tc>
          <w:tcPr>
            <w:tcW w:w="994" w:type="dxa"/>
            <w:shd w:val="clear" w:color="auto" w:fill="F1F1F1"/>
          </w:tcPr>
          <w:p>
            <w:pPr>
              <w:pStyle w:val="TableParagraph"/>
              <w:spacing w:line="219" w:lineRule="exact"/>
              <w:ind w:left="110"/>
              <w:rPr>
                <w:sz w:val="18"/>
              </w:rPr>
            </w:pPr>
            <w:r>
              <w:rPr>
                <w:sz w:val="18"/>
              </w:rPr>
              <w:t>Question</w:t>
            </w:r>
          </w:p>
        </w:tc>
        <w:tc>
          <w:tcPr>
            <w:tcW w:w="1929" w:type="dxa"/>
            <w:shd w:val="clear" w:color="auto" w:fill="F1F1F1"/>
          </w:tcPr>
          <w:p>
            <w:pPr>
              <w:pStyle w:val="TableParagraph"/>
              <w:ind w:left="765" w:right="206" w:hanging="538"/>
              <w:rPr>
                <w:sz w:val="18"/>
              </w:rPr>
            </w:pPr>
            <w:r>
              <w:rPr>
                <w:sz w:val="18"/>
              </w:rPr>
              <w:t>Score</w:t>
            </w:r>
            <w:r>
              <w:rPr>
                <w:spacing w:val="-10"/>
                <w:sz w:val="18"/>
              </w:rPr>
              <w:t> </w:t>
            </w:r>
            <w:r>
              <w:rPr>
                <w:sz w:val="18"/>
              </w:rPr>
              <w:t>November</w:t>
            </w:r>
            <w:r>
              <w:rPr>
                <w:spacing w:val="-46"/>
                <w:sz w:val="18"/>
              </w:rPr>
              <w:t> </w:t>
            </w:r>
            <w:r>
              <w:rPr>
                <w:sz w:val="18"/>
              </w:rPr>
              <w:t>2020</w:t>
            </w:r>
          </w:p>
        </w:tc>
        <w:tc>
          <w:tcPr>
            <w:tcW w:w="2174" w:type="dxa"/>
            <w:shd w:val="clear" w:color="auto" w:fill="F1F1F1"/>
          </w:tcPr>
          <w:p>
            <w:pPr>
              <w:pStyle w:val="TableParagraph"/>
              <w:spacing w:line="220" w:lineRule="exact"/>
              <w:ind w:left="169" w:right="154" w:firstLine="1"/>
              <w:jc w:val="center"/>
              <w:rPr>
                <w:sz w:val="18"/>
              </w:rPr>
            </w:pPr>
            <w:r>
              <w:rPr>
                <w:sz w:val="18"/>
              </w:rPr>
              <w:t>Review estimated</w:t>
            </w:r>
            <w:r>
              <w:rPr>
                <w:spacing w:val="1"/>
                <w:sz w:val="18"/>
              </w:rPr>
              <w:t> </w:t>
            </w:r>
            <w:r>
              <w:rPr>
                <w:sz w:val="18"/>
              </w:rPr>
              <w:t>score at around HCH</w:t>
            </w:r>
            <w:r>
              <w:rPr>
                <w:spacing w:val="-48"/>
                <w:sz w:val="18"/>
              </w:rPr>
              <w:t> </w:t>
            </w:r>
            <w:r>
              <w:rPr>
                <w:sz w:val="18"/>
              </w:rPr>
              <w:t>commencement</w:t>
            </w:r>
          </w:p>
        </w:tc>
      </w:tr>
      <w:tr>
        <w:trPr>
          <w:trHeight w:val="220" w:hRule="atLeast"/>
        </w:trPr>
        <w:tc>
          <w:tcPr>
            <w:tcW w:w="994" w:type="dxa"/>
          </w:tcPr>
          <w:p>
            <w:pPr>
              <w:pStyle w:val="TableParagraph"/>
              <w:spacing w:line="200" w:lineRule="exact"/>
              <w:ind w:left="110"/>
              <w:rPr>
                <w:sz w:val="18"/>
              </w:rPr>
            </w:pPr>
            <w:r>
              <w:rPr>
                <w:sz w:val="18"/>
              </w:rPr>
              <w:t>Q01</w:t>
            </w:r>
          </w:p>
        </w:tc>
        <w:tc>
          <w:tcPr>
            <w:tcW w:w="1929" w:type="dxa"/>
          </w:tcPr>
          <w:p>
            <w:pPr>
              <w:pStyle w:val="TableParagraph"/>
              <w:rPr>
                <w:rFonts w:ascii="Times New Roman"/>
                <w:sz w:val="14"/>
              </w:rPr>
            </w:pPr>
          </w:p>
        </w:tc>
        <w:tc>
          <w:tcPr>
            <w:tcW w:w="2174" w:type="dxa"/>
          </w:tcPr>
          <w:p>
            <w:pPr>
              <w:pStyle w:val="TableParagraph"/>
              <w:rPr>
                <w:rFonts w:ascii="Times New Roman"/>
                <w:sz w:val="14"/>
              </w:rPr>
            </w:pPr>
          </w:p>
        </w:tc>
      </w:tr>
      <w:tr>
        <w:trPr>
          <w:trHeight w:val="220" w:hRule="atLeast"/>
        </w:trPr>
        <w:tc>
          <w:tcPr>
            <w:tcW w:w="994" w:type="dxa"/>
          </w:tcPr>
          <w:p>
            <w:pPr>
              <w:pStyle w:val="TableParagraph"/>
              <w:spacing w:line="200" w:lineRule="exact"/>
              <w:ind w:left="110"/>
              <w:rPr>
                <w:sz w:val="18"/>
              </w:rPr>
            </w:pPr>
            <w:r>
              <w:rPr>
                <w:sz w:val="18"/>
              </w:rPr>
              <w:t>Q02</w:t>
            </w:r>
          </w:p>
        </w:tc>
        <w:tc>
          <w:tcPr>
            <w:tcW w:w="1929" w:type="dxa"/>
          </w:tcPr>
          <w:p>
            <w:pPr>
              <w:pStyle w:val="TableParagraph"/>
              <w:rPr>
                <w:rFonts w:ascii="Times New Roman"/>
                <w:sz w:val="14"/>
              </w:rPr>
            </w:pPr>
          </w:p>
        </w:tc>
        <w:tc>
          <w:tcPr>
            <w:tcW w:w="2174" w:type="dxa"/>
          </w:tcPr>
          <w:p>
            <w:pPr>
              <w:pStyle w:val="TableParagraph"/>
              <w:rPr>
                <w:rFonts w:ascii="Times New Roman"/>
                <w:sz w:val="14"/>
              </w:rPr>
            </w:pPr>
          </w:p>
        </w:tc>
      </w:tr>
      <w:tr>
        <w:trPr>
          <w:trHeight w:val="220" w:hRule="atLeast"/>
        </w:trPr>
        <w:tc>
          <w:tcPr>
            <w:tcW w:w="994" w:type="dxa"/>
          </w:tcPr>
          <w:p>
            <w:pPr>
              <w:pStyle w:val="TableParagraph"/>
              <w:spacing w:line="200" w:lineRule="exact"/>
              <w:ind w:left="110"/>
              <w:rPr>
                <w:sz w:val="18"/>
              </w:rPr>
            </w:pPr>
            <w:r>
              <w:rPr>
                <w:sz w:val="18"/>
              </w:rPr>
              <w:t>Q03</w:t>
            </w:r>
          </w:p>
        </w:tc>
        <w:tc>
          <w:tcPr>
            <w:tcW w:w="1929" w:type="dxa"/>
          </w:tcPr>
          <w:p>
            <w:pPr>
              <w:pStyle w:val="TableParagraph"/>
              <w:rPr>
                <w:rFonts w:ascii="Times New Roman"/>
                <w:sz w:val="14"/>
              </w:rPr>
            </w:pPr>
          </w:p>
        </w:tc>
        <w:tc>
          <w:tcPr>
            <w:tcW w:w="2174" w:type="dxa"/>
          </w:tcPr>
          <w:p>
            <w:pPr>
              <w:pStyle w:val="TableParagraph"/>
              <w:rPr>
                <w:rFonts w:ascii="Times New Roman"/>
                <w:sz w:val="14"/>
              </w:rPr>
            </w:pPr>
          </w:p>
        </w:tc>
      </w:tr>
      <w:tr>
        <w:trPr>
          <w:trHeight w:val="220" w:hRule="atLeast"/>
        </w:trPr>
        <w:tc>
          <w:tcPr>
            <w:tcW w:w="994" w:type="dxa"/>
          </w:tcPr>
          <w:p>
            <w:pPr>
              <w:pStyle w:val="TableParagraph"/>
              <w:spacing w:line="200" w:lineRule="exact"/>
              <w:ind w:left="110"/>
              <w:rPr>
                <w:sz w:val="18"/>
              </w:rPr>
            </w:pPr>
            <w:r>
              <w:rPr>
                <w:sz w:val="18"/>
              </w:rPr>
              <w:t>Q04</w:t>
            </w:r>
          </w:p>
        </w:tc>
        <w:tc>
          <w:tcPr>
            <w:tcW w:w="1929" w:type="dxa"/>
          </w:tcPr>
          <w:p>
            <w:pPr>
              <w:pStyle w:val="TableParagraph"/>
              <w:rPr>
                <w:rFonts w:ascii="Times New Roman"/>
                <w:sz w:val="14"/>
              </w:rPr>
            </w:pPr>
          </w:p>
        </w:tc>
        <w:tc>
          <w:tcPr>
            <w:tcW w:w="2174" w:type="dxa"/>
          </w:tcPr>
          <w:p>
            <w:pPr>
              <w:pStyle w:val="TableParagraph"/>
              <w:rPr>
                <w:rFonts w:ascii="Times New Roman"/>
                <w:sz w:val="14"/>
              </w:rPr>
            </w:pPr>
          </w:p>
        </w:tc>
      </w:tr>
      <w:tr>
        <w:trPr>
          <w:trHeight w:val="220" w:hRule="atLeast"/>
        </w:trPr>
        <w:tc>
          <w:tcPr>
            <w:tcW w:w="994" w:type="dxa"/>
          </w:tcPr>
          <w:p>
            <w:pPr>
              <w:pStyle w:val="TableParagraph"/>
              <w:spacing w:line="200" w:lineRule="exact"/>
              <w:ind w:left="110"/>
              <w:rPr>
                <w:sz w:val="18"/>
              </w:rPr>
            </w:pPr>
            <w:r>
              <w:rPr>
                <w:sz w:val="18"/>
              </w:rPr>
              <w:t>Q05</w:t>
            </w:r>
          </w:p>
        </w:tc>
        <w:tc>
          <w:tcPr>
            <w:tcW w:w="1929" w:type="dxa"/>
          </w:tcPr>
          <w:p>
            <w:pPr>
              <w:pStyle w:val="TableParagraph"/>
              <w:rPr>
                <w:rFonts w:ascii="Times New Roman"/>
                <w:sz w:val="14"/>
              </w:rPr>
            </w:pPr>
          </w:p>
        </w:tc>
        <w:tc>
          <w:tcPr>
            <w:tcW w:w="2174" w:type="dxa"/>
          </w:tcPr>
          <w:p>
            <w:pPr>
              <w:pStyle w:val="TableParagraph"/>
              <w:rPr>
                <w:rFonts w:ascii="Times New Roman"/>
                <w:sz w:val="14"/>
              </w:rPr>
            </w:pPr>
          </w:p>
        </w:tc>
      </w:tr>
      <w:tr>
        <w:trPr>
          <w:trHeight w:val="220" w:hRule="atLeast"/>
        </w:trPr>
        <w:tc>
          <w:tcPr>
            <w:tcW w:w="994" w:type="dxa"/>
          </w:tcPr>
          <w:p>
            <w:pPr>
              <w:pStyle w:val="TableParagraph"/>
              <w:spacing w:line="200" w:lineRule="exact"/>
              <w:ind w:left="110"/>
              <w:rPr>
                <w:sz w:val="18"/>
              </w:rPr>
            </w:pPr>
            <w:r>
              <w:rPr>
                <w:sz w:val="18"/>
              </w:rPr>
              <w:t>Q06</w:t>
            </w:r>
          </w:p>
        </w:tc>
        <w:tc>
          <w:tcPr>
            <w:tcW w:w="1929" w:type="dxa"/>
          </w:tcPr>
          <w:p>
            <w:pPr>
              <w:pStyle w:val="TableParagraph"/>
              <w:rPr>
                <w:rFonts w:ascii="Times New Roman"/>
                <w:sz w:val="14"/>
              </w:rPr>
            </w:pPr>
          </w:p>
        </w:tc>
        <w:tc>
          <w:tcPr>
            <w:tcW w:w="2174" w:type="dxa"/>
          </w:tcPr>
          <w:p>
            <w:pPr>
              <w:pStyle w:val="TableParagraph"/>
              <w:rPr>
                <w:rFonts w:ascii="Times New Roman"/>
                <w:sz w:val="14"/>
              </w:rPr>
            </w:pPr>
          </w:p>
        </w:tc>
      </w:tr>
      <w:tr>
        <w:trPr>
          <w:trHeight w:val="220" w:hRule="atLeast"/>
        </w:trPr>
        <w:tc>
          <w:tcPr>
            <w:tcW w:w="994" w:type="dxa"/>
          </w:tcPr>
          <w:p>
            <w:pPr>
              <w:pStyle w:val="TableParagraph"/>
              <w:spacing w:line="200" w:lineRule="exact"/>
              <w:ind w:left="110"/>
              <w:rPr>
                <w:sz w:val="18"/>
              </w:rPr>
            </w:pPr>
            <w:r>
              <w:rPr>
                <w:sz w:val="18"/>
              </w:rPr>
              <w:t>Q07</w:t>
            </w:r>
          </w:p>
        </w:tc>
        <w:tc>
          <w:tcPr>
            <w:tcW w:w="1929" w:type="dxa"/>
          </w:tcPr>
          <w:p>
            <w:pPr>
              <w:pStyle w:val="TableParagraph"/>
              <w:rPr>
                <w:rFonts w:ascii="Times New Roman"/>
                <w:sz w:val="14"/>
              </w:rPr>
            </w:pPr>
          </w:p>
        </w:tc>
        <w:tc>
          <w:tcPr>
            <w:tcW w:w="2174" w:type="dxa"/>
          </w:tcPr>
          <w:p>
            <w:pPr>
              <w:pStyle w:val="TableParagraph"/>
              <w:rPr>
                <w:rFonts w:ascii="Times New Roman"/>
                <w:sz w:val="14"/>
              </w:rPr>
            </w:pPr>
          </w:p>
        </w:tc>
      </w:tr>
      <w:tr>
        <w:trPr>
          <w:trHeight w:val="223" w:hRule="atLeast"/>
        </w:trPr>
        <w:tc>
          <w:tcPr>
            <w:tcW w:w="994" w:type="dxa"/>
          </w:tcPr>
          <w:p>
            <w:pPr>
              <w:pStyle w:val="TableParagraph"/>
              <w:spacing w:line="202" w:lineRule="exact" w:before="1"/>
              <w:ind w:left="110"/>
              <w:rPr>
                <w:sz w:val="18"/>
              </w:rPr>
            </w:pPr>
            <w:r>
              <w:rPr>
                <w:sz w:val="18"/>
              </w:rPr>
              <w:t>Q08</w:t>
            </w:r>
          </w:p>
        </w:tc>
        <w:tc>
          <w:tcPr>
            <w:tcW w:w="1929" w:type="dxa"/>
          </w:tcPr>
          <w:p>
            <w:pPr>
              <w:pStyle w:val="TableParagraph"/>
              <w:rPr>
                <w:rFonts w:ascii="Times New Roman"/>
                <w:sz w:val="14"/>
              </w:rPr>
            </w:pPr>
          </w:p>
        </w:tc>
        <w:tc>
          <w:tcPr>
            <w:tcW w:w="2174" w:type="dxa"/>
          </w:tcPr>
          <w:p>
            <w:pPr>
              <w:pStyle w:val="TableParagraph"/>
              <w:rPr>
                <w:rFonts w:ascii="Times New Roman"/>
                <w:sz w:val="14"/>
              </w:rPr>
            </w:pPr>
          </w:p>
        </w:tc>
      </w:tr>
      <w:tr>
        <w:trPr>
          <w:trHeight w:val="220" w:hRule="atLeast"/>
        </w:trPr>
        <w:tc>
          <w:tcPr>
            <w:tcW w:w="994" w:type="dxa"/>
          </w:tcPr>
          <w:p>
            <w:pPr>
              <w:pStyle w:val="TableParagraph"/>
              <w:spacing w:line="200" w:lineRule="exact"/>
              <w:ind w:left="110"/>
              <w:rPr>
                <w:sz w:val="18"/>
              </w:rPr>
            </w:pPr>
            <w:r>
              <w:rPr>
                <w:sz w:val="18"/>
              </w:rPr>
              <w:t>Q09</w:t>
            </w:r>
          </w:p>
        </w:tc>
        <w:tc>
          <w:tcPr>
            <w:tcW w:w="1929" w:type="dxa"/>
          </w:tcPr>
          <w:p>
            <w:pPr>
              <w:pStyle w:val="TableParagraph"/>
              <w:rPr>
                <w:rFonts w:ascii="Times New Roman"/>
                <w:sz w:val="14"/>
              </w:rPr>
            </w:pPr>
          </w:p>
        </w:tc>
        <w:tc>
          <w:tcPr>
            <w:tcW w:w="2174" w:type="dxa"/>
          </w:tcPr>
          <w:p>
            <w:pPr>
              <w:pStyle w:val="TableParagraph"/>
              <w:rPr>
                <w:rFonts w:ascii="Times New Roman"/>
                <w:sz w:val="14"/>
              </w:rPr>
            </w:pPr>
          </w:p>
        </w:tc>
      </w:tr>
      <w:tr>
        <w:trPr>
          <w:trHeight w:val="220" w:hRule="atLeast"/>
        </w:trPr>
        <w:tc>
          <w:tcPr>
            <w:tcW w:w="994" w:type="dxa"/>
          </w:tcPr>
          <w:p>
            <w:pPr>
              <w:pStyle w:val="TableParagraph"/>
              <w:spacing w:line="200" w:lineRule="exact"/>
              <w:ind w:left="110"/>
              <w:rPr>
                <w:sz w:val="18"/>
              </w:rPr>
            </w:pPr>
            <w:r>
              <w:rPr>
                <w:sz w:val="18"/>
              </w:rPr>
              <w:t>Q10</w:t>
            </w:r>
          </w:p>
        </w:tc>
        <w:tc>
          <w:tcPr>
            <w:tcW w:w="1929" w:type="dxa"/>
          </w:tcPr>
          <w:p>
            <w:pPr>
              <w:pStyle w:val="TableParagraph"/>
              <w:rPr>
                <w:rFonts w:ascii="Times New Roman"/>
                <w:sz w:val="14"/>
              </w:rPr>
            </w:pPr>
          </w:p>
        </w:tc>
        <w:tc>
          <w:tcPr>
            <w:tcW w:w="2174" w:type="dxa"/>
          </w:tcPr>
          <w:p>
            <w:pPr>
              <w:pStyle w:val="TableParagraph"/>
              <w:rPr>
                <w:rFonts w:ascii="Times New Roman"/>
                <w:sz w:val="14"/>
              </w:rPr>
            </w:pPr>
          </w:p>
        </w:tc>
      </w:tr>
      <w:tr>
        <w:trPr>
          <w:trHeight w:val="220" w:hRule="atLeast"/>
        </w:trPr>
        <w:tc>
          <w:tcPr>
            <w:tcW w:w="994" w:type="dxa"/>
          </w:tcPr>
          <w:p>
            <w:pPr>
              <w:pStyle w:val="TableParagraph"/>
              <w:spacing w:line="200" w:lineRule="exact"/>
              <w:ind w:left="110"/>
              <w:rPr>
                <w:sz w:val="18"/>
              </w:rPr>
            </w:pPr>
            <w:r>
              <w:rPr>
                <w:sz w:val="18"/>
              </w:rPr>
              <w:t>Q11</w:t>
            </w:r>
          </w:p>
        </w:tc>
        <w:tc>
          <w:tcPr>
            <w:tcW w:w="1929" w:type="dxa"/>
          </w:tcPr>
          <w:p>
            <w:pPr>
              <w:pStyle w:val="TableParagraph"/>
              <w:rPr>
                <w:rFonts w:ascii="Times New Roman"/>
                <w:sz w:val="14"/>
              </w:rPr>
            </w:pPr>
          </w:p>
        </w:tc>
        <w:tc>
          <w:tcPr>
            <w:tcW w:w="2174" w:type="dxa"/>
          </w:tcPr>
          <w:p>
            <w:pPr>
              <w:pStyle w:val="TableParagraph"/>
              <w:rPr>
                <w:rFonts w:ascii="Times New Roman"/>
                <w:sz w:val="14"/>
              </w:rPr>
            </w:pPr>
          </w:p>
        </w:tc>
      </w:tr>
      <w:tr>
        <w:trPr>
          <w:trHeight w:val="220" w:hRule="atLeast"/>
        </w:trPr>
        <w:tc>
          <w:tcPr>
            <w:tcW w:w="994" w:type="dxa"/>
          </w:tcPr>
          <w:p>
            <w:pPr>
              <w:pStyle w:val="TableParagraph"/>
              <w:spacing w:line="200" w:lineRule="exact"/>
              <w:ind w:left="110"/>
              <w:rPr>
                <w:sz w:val="18"/>
              </w:rPr>
            </w:pPr>
            <w:r>
              <w:rPr>
                <w:sz w:val="18"/>
              </w:rPr>
              <w:t>Q12</w:t>
            </w:r>
          </w:p>
        </w:tc>
        <w:tc>
          <w:tcPr>
            <w:tcW w:w="1929" w:type="dxa"/>
          </w:tcPr>
          <w:p>
            <w:pPr>
              <w:pStyle w:val="TableParagraph"/>
              <w:rPr>
                <w:rFonts w:ascii="Times New Roman"/>
                <w:sz w:val="14"/>
              </w:rPr>
            </w:pPr>
          </w:p>
        </w:tc>
        <w:tc>
          <w:tcPr>
            <w:tcW w:w="2174" w:type="dxa"/>
          </w:tcPr>
          <w:p>
            <w:pPr>
              <w:pStyle w:val="TableParagraph"/>
              <w:rPr>
                <w:rFonts w:ascii="Times New Roman"/>
                <w:sz w:val="14"/>
              </w:rPr>
            </w:pPr>
          </w:p>
        </w:tc>
      </w:tr>
      <w:tr>
        <w:trPr>
          <w:trHeight w:val="220" w:hRule="atLeast"/>
        </w:trPr>
        <w:tc>
          <w:tcPr>
            <w:tcW w:w="994" w:type="dxa"/>
          </w:tcPr>
          <w:p>
            <w:pPr>
              <w:pStyle w:val="TableParagraph"/>
              <w:spacing w:line="200" w:lineRule="exact"/>
              <w:ind w:left="110"/>
              <w:rPr>
                <w:sz w:val="18"/>
              </w:rPr>
            </w:pPr>
            <w:r>
              <w:rPr>
                <w:sz w:val="18"/>
              </w:rPr>
              <w:t>Q13</w:t>
            </w:r>
          </w:p>
        </w:tc>
        <w:tc>
          <w:tcPr>
            <w:tcW w:w="1929" w:type="dxa"/>
          </w:tcPr>
          <w:p>
            <w:pPr>
              <w:pStyle w:val="TableParagraph"/>
              <w:rPr>
                <w:rFonts w:ascii="Times New Roman"/>
                <w:sz w:val="14"/>
              </w:rPr>
            </w:pPr>
          </w:p>
        </w:tc>
        <w:tc>
          <w:tcPr>
            <w:tcW w:w="2174" w:type="dxa"/>
          </w:tcPr>
          <w:p>
            <w:pPr>
              <w:pStyle w:val="TableParagraph"/>
              <w:rPr>
                <w:rFonts w:ascii="Times New Roman"/>
                <w:sz w:val="14"/>
              </w:rPr>
            </w:pPr>
          </w:p>
        </w:tc>
      </w:tr>
      <w:tr>
        <w:trPr>
          <w:trHeight w:val="220" w:hRule="atLeast"/>
        </w:trPr>
        <w:tc>
          <w:tcPr>
            <w:tcW w:w="994" w:type="dxa"/>
          </w:tcPr>
          <w:p>
            <w:pPr>
              <w:pStyle w:val="TableParagraph"/>
              <w:spacing w:line="200" w:lineRule="exact"/>
              <w:ind w:left="110"/>
              <w:rPr>
                <w:sz w:val="18"/>
              </w:rPr>
            </w:pPr>
            <w:r>
              <w:rPr>
                <w:sz w:val="18"/>
              </w:rPr>
              <w:t>Q14</w:t>
            </w:r>
          </w:p>
        </w:tc>
        <w:tc>
          <w:tcPr>
            <w:tcW w:w="1929" w:type="dxa"/>
          </w:tcPr>
          <w:p>
            <w:pPr>
              <w:pStyle w:val="TableParagraph"/>
              <w:rPr>
                <w:rFonts w:ascii="Times New Roman"/>
                <w:sz w:val="14"/>
              </w:rPr>
            </w:pPr>
          </w:p>
        </w:tc>
        <w:tc>
          <w:tcPr>
            <w:tcW w:w="2174" w:type="dxa"/>
          </w:tcPr>
          <w:p>
            <w:pPr>
              <w:pStyle w:val="TableParagraph"/>
              <w:rPr>
                <w:rFonts w:ascii="Times New Roman"/>
                <w:sz w:val="14"/>
              </w:rPr>
            </w:pPr>
          </w:p>
        </w:tc>
      </w:tr>
      <w:tr>
        <w:trPr>
          <w:trHeight w:val="220" w:hRule="atLeast"/>
        </w:trPr>
        <w:tc>
          <w:tcPr>
            <w:tcW w:w="994" w:type="dxa"/>
          </w:tcPr>
          <w:p>
            <w:pPr>
              <w:pStyle w:val="TableParagraph"/>
              <w:spacing w:line="200" w:lineRule="exact"/>
              <w:ind w:left="110"/>
              <w:rPr>
                <w:sz w:val="18"/>
              </w:rPr>
            </w:pPr>
            <w:r>
              <w:rPr>
                <w:sz w:val="18"/>
              </w:rPr>
              <w:t>Q15</w:t>
            </w:r>
          </w:p>
        </w:tc>
        <w:tc>
          <w:tcPr>
            <w:tcW w:w="1929" w:type="dxa"/>
          </w:tcPr>
          <w:p>
            <w:pPr>
              <w:pStyle w:val="TableParagraph"/>
              <w:rPr>
                <w:rFonts w:ascii="Times New Roman"/>
                <w:sz w:val="14"/>
              </w:rPr>
            </w:pPr>
          </w:p>
        </w:tc>
        <w:tc>
          <w:tcPr>
            <w:tcW w:w="2174" w:type="dxa"/>
          </w:tcPr>
          <w:p>
            <w:pPr>
              <w:pStyle w:val="TableParagraph"/>
              <w:rPr>
                <w:rFonts w:ascii="Times New Roman"/>
                <w:sz w:val="14"/>
              </w:rPr>
            </w:pPr>
          </w:p>
        </w:tc>
      </w:tr>
      <w:tr>
        <w:trPr>
          <w:trHeight w:val="222" w:hRule="atLeast"/>
        </w:trPr>
        <w:tc>
          <w:tcPr>
            <w:tcW w:w="994" w:type="dxa"/>
          </w:tcPr>
          <w:p>
            <w:pPr>
              <w:pStyle w:val="TableParagraph"/>
              <w:spacing w:line="202" w:lineRule="exact" w:before="1"/>
              <w:ind w:left="110"/>
              <w:rPr>
                <w:sz w:val="18"/>
              </w:rPr>
            </w:pPr>
            <w:r>
              <w:rPr>
                <w:sz w:val="18"/>
              </w:rPr>
              <w:t>Q16</w:t>
            </w:r>
          </w:p>
        </w:tc>
        <w:tc>
          <w:tcPr>
            <w:tcW w:w="1929" w:type="dxa"/>
          </w:tcPr>
          <w:p>
            <w:pPr>
              <w:pStyle w:val="TableParagraph"/>
              <w:rPr>
                <w:rFonts w:ascii="Times New Roman"/>
                <w:sz w:val="14"/>
              </w:rPr>
            </w:pPr>
          </w:p>
        </w:tc>
        <w:tc>
          <w:tcPr>
            <w:tcW w:w="2174" w:type="dxa"/>
          </w:tcPr>
          <w:p>
            <w:pPr>
              <w:pStyle w:val="TableParagraph"/>
              <w:rPr>
                <w:rFonts w:ascii="Times New Roman"/>
                <w:sz w:val="14"/>
              </w:rPr>
            </w:pPr>
          </w:p>
        </w:tc>
      </w:tr>
      <w:tr>
        <w:trPr>
          <w:trHeight w:val="220" w:hRule="atLeast"/>
        </w:trPr>
        <w:tc>
          <w:tcPr>
            <w:tcW w:w="994" w:type="dxa"/>
          </w:tcPr>
          <w:p>
            <w:pPr>
              <w:pStyle w:val="TableParagraph"/>
              <w:spacing w:line="200" w:lineRule="exact"/>
              <w:ind w:left="110"/>
              <w:rPr>
                <w:sz w:val="18"/>
              </w:rPr>
            </w:pPr>
            <w:r>
              <w:rPr>
                <w:sz w:val="18"/>
              </w:rPr>
              <w:t>Q17</w:t>
            </w:r>
          </w:p>
        </w:tc>
        <w:tc>
          <w:tcPr>
            <w:tcW w:w="1929" w:type="dxa"/>
          </w:tcPr>
          <w:p>
            <w:pPr>
              <w:pStyle w:val="TableParagraph"/>
              <w:rPr>
                <w:rFonts w:ascii="Times New Roman"/>
                <w:sz w:val="14"/>
              </w:rPr>
            </w:pPr>
          </w:p>
        </w:tc>
        <w:tc>
          <w:tcPr>
            <w:tcW w:w="2174" w:type="dxa"/>
          </w:tcPr>
          <w:p>
            <w:pPr>
              <w:pStyle w:val="TableParagraph"/>
              <w:rPr>
                <w:rFonts w:ascii="Times New Roman"/>
                <w:sz w:val="14"/>
              </w:rPr>
            </w:pPr>
          </w:p>
        </w:tc>
      </w:tr>
      <w:tr>
        <w:trPr>
          <w:trHeight w:val="220" w:hRule="atLeast"/>
        </w:trPr>
        <w:tc>
          <w:tcPr>
            <w:tcW w:w="994" w:type="dxa"/>
          </w:tcPr>
          <w:p>
            <w:pPr>
              <w:pStyle w:val="TableParagraph"/>
              <w:spacing w:line="200" w:lineRule="exact"/>
              <w:ind w:left="110"/>
              <w:rPr>
                <w:sz w:val="18"/>
              </w:rPr>
            </w:pPr>
            <w:r>
              <w:rPr>
                <w:sz w:val="18"/>
              </w:rPr>
              <w:t>Q18</w:t>
            </w:r>
          </w:p>
        </w:tc>
        <w:tc>
          <w:tcPr>
            <w:tcW w:w="1929" w:type="dxa"/>
          </w:tcPr>
          <w:p>
            <w:pPr>
              <w:pStyle w:val="TableParagraph"/>
              <w:rPr>
                <w:rFonts w:ascii="Times New Roman"/>
                <w:sz w:val="14"/>
              </w:rPr>
            </w:pPr>
          </w:p>
        </w:tc>
        <w:tc>
          <w:tcPr>
            <w:tcW w:w="2174" w:type="dxa"/>
          </w:tcPr>
          <w:p>
            <w:pPr>
              <w:pStyle w:val="TableParagraph"/>
              <w:rPr>
                <w:rFonts w:ascii="Times New Roman"/>
                <w:sz w:val="14"/>
              </w:rPr>
            </w:pPr>
          </w:p>
        </w:tc>
      </w:tr>
      <w:tr>
        <w:trPr>
          <w:trHeight w:val="220" w:hRule="atLeast"/>
        </w:trPr>
        <w:tc>
          <w:tcPr>
            <w:tcW w:w="994" w:type="dxa"/>
          </w:tcPr>
          <w:p>
            <w:pPr>
              <w:pStyle w:val="TableParagraph"/>
              <w:spacing w:line="200" w:lineRule="exact"/>
              <w:ind w:left="110"/>
              <w:rPr>
                <w:sz w:val="18"/>
              </w:rPr>
            </w:pPr>
            <w:r>
              <w:rPr>
                <w:sz w:val="18"/>
              </w:rPr>
              <w:t>Q19</w:t>
            </w:r>
          </w:p>
        </w:tc>
        <w:tc>
          <w:tcPr>
            <w:tcW w:w="1929" w:type="dxa"/>
          </w:tcPr>
          <w:p>
            <w:pPr>
              <w:pStyle w:val="TableParagraph"/>
              <w:rPr>
                <w:rFonts w:ascii="Times New Roman"/>
                <w:sz w:val="14"/>
              </w:rPr>
            </w:pPr>
          </w:p>
        </w:tc>
        <w:tc>
          <w:tcPr>
            <w:tcW w:w="2174" w:type="dxa"/>
          </w:tcPr>
          <w:p>
            <w:pPr>
              <w:pStyle w:val="TableParagraph"/>
              <w:rPr>
                <w:rFonts w:ascii="Times New Roman"/>
                <w:sz w:val="14"/>
              </w:rPr>
            </w:pPr>
          </w:p>
        </w:tc>
      </w:tr>
      <w:tr>
        <w:trPr>
          <w:trHeight w:val="220" w:hRule="atLeast"/>
        </w:trPr>
        <w:tc>
          <w:tcPr>
            <w:tcW w:w="994" w:type="dxa"/>
          </w:tcPr>
          <w:p>
            <w:pPr>
              <w:pStyle w:val="TableParagraph"/>
              <w:spacing w:line="200" w:lineRule="exact"/>
              <w:ind w:left="110"/>
              <w:rPr>
                <w:sz w:val="18"/>
              </w:rPr>
            </w:pPr>
            <w:r>
              <w:rPr>
                <w:sz w:val="18"/>
              </w:rPr>
              <w:t>Q20</w:t>
            </w:r>
          </w:p>
        </w:tc>
        <w:tc>
          <w:tcPr>
            <w:tcW w:w="1929" w:type="dxa"/>
          </w:tcPr>
          <w:p>
            <w:pPr>
              <w:pStyle w:val="TableParagraph"/>
              <w:rPr>
                <w:rFonts w:ascii="Times New Roman"/>
                <w:sz w:val="14"/>
              </w:rPr>
            </w:pPr>
          </w:p>
        </w:tc>
        <w:tc>
          <w:tcPr>
            <w:tcW w:w="2174" w:type="dxa"/>
          </w:tcPr>
          <w:p>
            <w:pPr>
              <w:pStyle w:val="TableParagraph"/>
              <w:rPr>
                <w:rFonts w:ascii="Times New Roman"/>
                <w:sz w:val="14"/>
              </w:rPr>
            </w:pPr>
          </w:p>
        </w:tc>
      </w:tr>
      <w:tr>
        <w:trPr>
          <w:trHeight w:val="220" w:hRule="atLeast"/>
        </w:trPr>
        <w:tc>
          <w:tcPr>
            <w:tcW w:w="994" w:type="dxa"/>
          </w:tcPr>
          <w:p>
            <w:pPr>
              <w:pStyle w:val="TableParagraph"/>
              <w:spacing w:line="200" w:lineRule="exact"/>
              <w:ind w:left="110"/>
              <w:rPr>
                <w:sz w:val="18"/>
              </w:rPr>
            </w:pPr>
            <w:r>
              <w:rPr>
                <w:sz w:val="18"/>
              </w:rPr>
              <w:t>Q21</w:t>
            </w:r>
          </w:p>
        </w:tc>
        <w:tc>
          <w:tcPr>
            <w:tcW w:w="1929" w:type="dxa"/>
          </w:tcPr>
          <w:p>
            <w:pPr>
              <w:pStyle w:val="TableParagraph"/>
              <w:rPr>
                <w:rFonts w:ascii="Times New Roman"/>
                <w:sz w:val="14"/>
              </w:rPr>
            </w:pPr>
          </w:p>
        </w:tc>
        <w:tc>
          <w:tcPr>
            <w:tcW w:w="2174" w:type="dxa"/>
          </w:tcPr>
          <w:p>
            <w:pPr>
              <w:pStyle w:val="TableParagraph"/>
              <w:rPr>
                <w:rFonts w:ascii="Times New Roman"/>
                <w:sz w:val="14"/>
              </w:rPr>
            </w:pPr>
          </w:p>
        </w:tc>
      </w:tr>
      <w:tr>
        <w:trPr>
          <w:trHeight w:val="220" w:hRule="atLeast"/>
        </w:trPr>
        <w:tc>
          <w:tcPr>
            <w:tcW w:w="994" w:type="dxa"/>
          </w:tcPr>
          <w:p>
            <w:pPr>
              <w:pStyle w:val="TableParagraph"/>
              <w:spacing w:line="201" w:lineRule="exact"/>
              <w:ind w:left="110"/>
              <w:rPr>
                <w:sz w:val="18"/>
              </w:rPr>
            </w:pPr>
            <w:r>
              <w:rPr>
                <w:sz w:val="18"/>
              </w:rPr>
              <w:t>Q22</w:t>
            </w:r>
          </w:p>
        </w:tc>
        <w:tc>
          <w:tcPr>
            <w:tcW w:w="1929" w:type="dxa"/>
          </w:tcPr>
          <w:p>
            <w:pPr>
              <w:pStyle w:val="TableParagraph"/>
              <w:rPr>
                <w:rFonts w:ascii="Times New Roman"/>
                <w:sz w:val="14"/>
              </w:rPr>
            </w:pPr>
          </w:p>
        </w:tc>
        <w:tc>
          <w:tcPr>
            <w:tcW w:w="2174" w:type="dxa"/>
          </w:tcPr>
          <w:p>
            <w:pPr>
              <w:pStyle w:val="TableParagraph"/>
              <w:rPr>
                <w:rFonts w:ascii="Times New Roman"/>
                <w:sz w:val="14"/>
              </w:rPr>
            </w:pPr>
          </w:p>
        </w:tc>
      </w:tr>
      <w:tr>
        <w:trPr>
          <w:trHeight w:val="220" w:hRule="atLeast"/>
        </w:trPr>
        <w:tc>
          <w:tcPr>
            <w:tcW w:w="994" w:type="dxa"/>
          </w:tcPr>
          <w:p>
            <w:pPr>
              <w:pStyle w:val="TableParagraph"/>
              <w:spacing w:line="200" w:lineRule="exact"/>
              <w:ind w:left="110"/>
              <w:rPr>
                <w:sz w:val="18"/>
              </w:rPr>
            </w:pPr>
            <w:r>
              <w:rPr>
                <w:sz w:val="18"/>
              </w:rPr>
              <w:t>Q23</w:t>
            </w:r>
          </w:p>
        </w:tc>
        <w:tc>
          <w:tcPr>
            <w:tcW w:w="1929" w:type="dxa"/>
          </w:tcPr>
          <w:p>
            <w:pPr>
              <w:pStyle w:val="TableParagraph"/>
              <w:rPr>
                <w:rFonts w:ascii="Times New Roman"/>
                <w:sz w:val="14"/>
              </w:rPr>
            </w:pPr>
          </w:p>
        </w:tc>
        <w:tc>
          <w:tcPr>
            <w:tcW w:w="2174" w:type="dxa"/>
          </w:tcPr>
          <w:p>
            <w:pPr>
              <w:pStyle w:val="TableParagraph"/>
              <w:rPr>
                <w:rFonts w:ascii="Times New Roman"/>
                <w:sz w:val="14"/>
              </w:rPr>
            </w:pPr>
          </w:p>
        </w:tc>
      </w:tr>
      <w:tr>
        <w:trPr>
          <w:trHeight w:val="222" w:hRule="atLeast"/>
        </w:trPr>
        <w:tc>
          <w:tcPr>
            <w:tcW w:w="994" w:type="dxa"/>
          </w:tcPr>
          <w:p>
            <w:pPr>
              <w:pStyle w:val="TableParagraph"/>
              <w:spacing w:line="202" w:lineRule="exact" w:before="1"/>
              <w:ind w:left="110"/>
              <w:rPr>
                <w:sz w:val="18"/>
              </w:rPr>
            </w:pPr>
            <w:r>
              <w:rPr>
                <w:sz w:val="18"/>
              </w:rPr>
              <w:t>Q24</w:t>
            </w:r>
          </w:p>
        </w:tc>
        <w:tc>
          <w:tcPr>
            <w:tcW w:w="1929" w:type="dxa"/>
          </w:tcPr>
          <w:p>
            <w:pPr>
              <w:pStyle w:val="TableParagraph"/>
              <w:rPr>
                <w:rFonts w:ascii="Times New Roman"/>
                <w:sz w:val="14"/>
              </w:rPr>
            </w:pPr>
          </w:p>
        </w:tc>
        <w:tc>
          <w:tcPr>
            <w:tcW w:w="2174" w:type="dxa"/>
          </w:tcPr>
          <w:p>
            <w:pPr>
              <w:pStyle w:val="TableParagraph"/>
              <w:rPr>
                <w:rFonts w:ascii="Times New Roman"/>
                <w:sz w:val="14"/>
              </w:rPr>
            </w:pPr>
          </w:p>
        </w:tc>
      </w:tr>
      <w:tr>
        <w:trPr>
          <w:trHeight w:val="220" w:hRule="atLeast"/>
        </w:trPr>
        <w:tc>
          <w:tcPr>
            <w:tcW w:w="994" w:type="dxa"/>
          </w:tcPr>
          <w:p>
            <w:pPr>
              <w:pStyle w:val="TableParagraph"/>
              <w:spacing w:line="200" w:lineRule="exact"/>
              <w:ind w:left="110"/>
              <w:rPr>
                <w:sz w:val="18"/>
              </w:rPr>
            </w:pPr>
            <w:r>
              <w:rPr>
                <w:sz w:val="18"/>
              </w:rPr>
              <w:t>Q25</w:t>
            </w:r>
          </w:p>
        </w:tc>
        <w:tc>
          <w:tcPr>
            <w:tcW w:w="1929" w:type="dxa"/>
          </w:tcPr>
          <w:p>
            <w:pPr>
              <w:pStyle w:val="TableParagraph"/>
              <w:rPr>
                <w:rFonts w:ascii="Times New Roman"/>
                <w:sz w:val="14"/>
              </w:rPr>
            </w:pPr>
          </w:p>
        </w:tc>
        <w:tc>
          <w:tcPr>
            <w:tcW w:w="2174" w:type="dxa"/>
          </w:tcPr>
          <w:p>
            <w:pPr>
              <w:pStyle w:val="TableParagraph"/>
              <w:rPr>
                <w:rFonts w:ascii="Times New Roman"/>
                <w:sz w:val="14"/>
              </w:rPr>
            </w:pPr>
          </w:p>
        </w:tc>
      </w:tr>
    </w:tbl>
    <w:p>
      <w:pPr>
        <w:spacing w:after="0"/>
        <w:rPr>
          <w:rFonts w:ascii="Times New Roman"/>
          <w:sz w:val="14"/>
        </w:rPr>
        <w:sectPr>
          <w:pgSz w:w="11910" w:h="16840"/>
          <w:pgMar w:header="0" w:footer="948" w:top="860" w:bottom="1140" w:left="300" w:right="0"/>
        </w:sectPr>
      </w:pPr>
    </w:p>
    <w:tbl>
      <w:tblPr>
        <w:tblW w:w="0" w:type="auto"/>
        <w:jc w:val="left"/>
        <w:tblInd w:w="310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994"/>
        <w:gridCol w:w="1929"/>
        <w:gridCol w:w="2174"/>
      </w:tblGrid>
      <w:tr>
        <w:trPr>
          <w:trHeight w:val="659" w:hRule="atLeast"/>
        </w:trPr>
        <w:tc>
          <w:tcPr>
            <w:tcW w:w="994" w:type="dxa"/>
            <w:tcBorders>
              <w:bottom w:val="single" w:sz="6" w:space="0" w:color="BEBEBE"/>
            </w:tcBorders>
            <w:shd w:val="clear" w:color="auto" w:fill="F1F1F1"/>
          </w:tcPr>
          <w:p>
            <w:pPr>
              <w:pStyle w:val="TableParagraph"/>
              <w:spacing w:line="216" w:lineRule="exact"/>
              <w:ind w:left="110"/>
              <w:rPr>
                <w:sz w:val="18"/>
              </w:rPr>
            </w:pPr>
            <w:r>
              <w:rPr>
                <w:sz w:val="18"/>
              </w:rPr>
              <w:t>Question</w:t>
            </w:r>
          </w:p>
        </w:tc>
        <w:tc>
          <w:tcPr>
            <w:tcW w:w="1929" w:type="dxa"/>
            <w:tcBorders>
              <w:bottom w:val="single" w:sz="6" w:space="0" w:color="BEBEBE"/>
            </w:tcBorders>
            <w:shd w:val="clear" w:color="auto" w:fill="F1F1F1"/>
          </w:tcPr>
          <w:p>
            <w:pPr>
              <w:pStyle w:val="TableParagraph"/>
              <w:ind w:left="765" w:right="206" w:hanging="538"/>
              <w:rPr>
                <w:sz w:val="18"/>
              </w:rPr>
            </w:pPr>
            <w:r>
              <w:rPr>
                <w:sz w:val="18"/>
              </w:rPr>
              <w:t>Score</w:t>
            </w:r>
            <w:r>
              <w:rPr>
                <w:spacing w:val="-10"/>
                <w:sz w:val="18"/>
              </w:rPr>
              <w:t> </w:t>
            </w:r>
            <w:r>
              <w:rPr>
                <w:sz w:val="18"/>
              </w:rPr>
              <w:t>November</w:t>
            </w:r>
            <w:r>
              <w:rPr>
                <w:spacing w:val="-46"/>
                <w:sz w:val="18"/>
              </w:rPr>
              <w:t> </w:t>
            </w:r>
            <w:r>
              <w:rPr>
                <w:sz w:val="18"/>
              </w:rPr>
              <w:t>2020</w:t>
            </w:r>
          </w:p>
        </w:tc>
        <w:tc>
          <w:tcPr>
            <w:tcW w:w="2174" w:type="dxa"/>
            <w:tcBorders>
              <w:bottom w:val="single" w:sz="6" w:space="0" w:color="BEBEBE"/>
            </w:tcBorders>
            <w:shd w:val="clear" w:color="auto" w:fill="F1F1F1"/>
          </w:tcPr>
          <w:p>
            <w:pPr>
              <w:pStyle w:val="TableParagraph"/>
              <w:spacing w:line="220" w:lineRule="exact"/>
              <w:ind w:left="169" w:right="154" w:firstLine="1"/>
              <w:jc w:val="center"/>
              <w:rPr>
                <w:sz w:val="18"/>
              </w:rPr>
            </w:pPr>
            <w:r>
              <w:rPr>
                <w:sz w:val="18"/>
              </w:rPr>
              <w:t>Review estimated</w:t>
            </w:r>
            <w:r>
              <w:rPr>
                <w:spacing w:val="1"/>
                <w:sz w:val="18"/>
              </w:rPr>
              <w:t> </w:t>
            </w:r>
            <w:r>
              <w:rPr>
                <w:sz w:val="18"/>
              </w:rPr>
              <w:t>score at around HCH</w:t>
            </w:r>
            <w:r>
              <w:rPr>
                <w:spacing w:val="-48"/>
                <w:sz w:val="18"/>
              </w:rPr>
              <w:t> </w:t>
            </w:r>
            <w:r>
              <w:rPr>
                <w:sz w:val="18"/>
              </w:rPr>
              <w:t>commencement</w:t>
            </w:r>
          </w:p>
        </w:tc>
      </w:tr>
      <w:tr>
        <w:trPr>
          <w:trHeight w:val="218" w:hRule="atLeast"/>
        </w:trPr>
        <w:tc>
          <w:tcPr>
            <w:tcW w:w="994" w:type="dxa"/>
            <w:tcBorders>
              <w:top w:val="single" w:sz="6" w:space="0" w:color="BEBEBE"/>
            </w:tcBorders>
          </w:tcPr>
          <w:p>
            <w:pPr>
              <w:pStyle w:val="TableParagraph"/>
              <w:spacing w:line="198" w:lineRule="exact"/>
              <w:ind w:left="110"/>
              <w:rPr>
                <w:sz w:val="18"/>
              </w:rPr>
            </w:pPr>
            <w:r>
              <w:rPr>
                <w:sz w:val="18"/>
              </w:rPr>
              <w:t>Q26</w:t>
            </w:r>
          </w:p>
        </w:tc>
        <w:tc>
          <w:tcPr>
            <w:tcW w:w="1929" w:type="dxa"/>
            <w:tcBorders>
              <w:top w:val="single" w:sz="6" w:space="0" w:color="BEBEBE"/>
            </w:tcBorders>
          </w:tcPr>
          <w:p>
            <w:pPr>
              <w:pStyle w:val="TableParagraph"/>
              <w:rPr>
                <w:rFonts w:ascii="Times New Roman"/>
                <w:sz w:val="14"/>
              </w:rPr>
            </w:pPr>
          </w:p>
        </w:tc>
        <w:tc>
          <w:tcPr>
            <w:tcW w:w="2174" w:type="dxa"/>
            <w:tcBorders>
              <w:top w:val="single" w:sz="6" w:space="0" w:color="BEBEBE"/>
            </w:tcBorders>
          </w:tcPr>
          <w:p>
            <w:pPr>
              <w:pStyle w:val="TableParagraph"/>
              <w:rPr>
                <w:rFonts w:ascii="Times New Roman"/>
                <w:sz w:val="14"/>
              </w:rPr>
            </w:pPr>
          </w:p>
        </w:tc>
      </w:tr>
      <w:tr>
        <w:trPr>
          <w:trHeight w:val="220" w:hRule="atLeast"/>
        </w:trPr>
        <w:tc>
          <w:tcPr>
            <w:tcW w:w="994" w:type="dxa"/>
          </w:tcPr>
          <w:p>
            <w:pPr>
              <w:pStyle w:val="TableParagraph"/>
              <w:spacing w:line="200" w:lineRule="exact"/>
              <w:ind w:left="110"/>
              <w:rPr>
                <w:sz w:val="18"/>
              </w:rPr>
            </w:pPr>
            <w:r>
              <w:rPr>
                <w:sz w:val="18"/>
              </w:rPr>
              <w:t>Q27</w:t>
            </w:r>
          </w:p>
        </w:tc>
        <w:tc>
          <w:tcPr>
            <w:tcW w:w="1929" w:type="dxa"/>
          </w:tcPr>
          <w:p>
            <w:pPr>
              <w:pStyle w:val="TableParagraph"/>
              <w:rPr>
                <w:rFonts w:ascii="Times New Roman"/>
                <w:sz w:val="14"/>
              </w:rPr>
            </w:pPr>
          </w:p>
        </w:tc>
        <w:tc>
          <w:tcPr>
            <w:tcW w:w="2174" w:type="dxa"/>
          </w:tcPr>
          <w:p>
            <w:pPr>
              <w:pStyle w:val="TableParagraph"/>
              <w:rPr>
                <w:rFonts w:ascii="Times New Roman"/>
                <w:sz w:val="14"/>
              </w:rPr>
            </w:pPr>
          </w:p>
        </w:tc>
      </w:tr>
      <w:tr>
        <w:trPr>
          <w:trHeight w:val="220" w:hRule="atLeast"/>
        </w:trPr>
        <w:tc>
          <w:tcPr>
            <w:tcW w:w="994" w:type="dxa"/>
          </w:tcPr>
          <w:p>
            <w:pPr>
              <w:pStyle w:val="TableParagraph"/>
              <w:spacing w:line="200" w:lineRule="exact"/>
              <w:ind w:left="110"/>
              <w:rPr>
                <w:sz w:val="18"/>
              </w:rPr>
            </w:pPr>
            <w:r>
              <w:rPr>
                <w:sz w:val="18"/>
              </w:rPr>
              <w:t>Q28</w:t>
            </w:r>
          </w:p>
        </w:tc>
        <w:tc>
          <w:tcPr>
            <w:tcW w:w="1929" w:type="dxa"/>
          </w:tcPr>
          <w:p>
            <w:pPr>
              <w:pStyle w:val="TableParagraph"/>
              <w:rPr>
                <w:rFonts w:ascii="Times New Roman"/>
                <w:sz w:val="14"/>
              </w:rPr>
            </w:pPr>
          </w:p>
        </w:tc>
        <w:tc>
          <w:tcPr>
            <w:tcW w:w="2174" w:type="dxa"/>
          </w:tcPr>
          <w:p>
            <w:pPr>
              <w:pStyle w:val="TableParagraph"/>
              <w:rPr>
                <w:rFonts w:ascii="Times New Roman"/>
                <w:sz w:val="14"/>
              </w:rPr>
            </w:pPr>
          </w:p>
        </w:tc>
      </w:tr>
      <w:tr>
        <w:trPr>
          <w:trHeight w:val="220" w:hRule="atLeast"/>
        </w:trPr>
        <w:tc>
          <w:tcPr>
            <w:tcW w:w="994" w:type="dxa"/>
          </w:tcPr>
          <w:p>
            <w:pPr>
              <w:pStyle w:val="TableParagraph"/>
              <w:spacing w:line="200" w:lineRule="exact"/>
              <w:ind w:left="110"/>
              <w:rPr>
                <w:sz w:val="18"/>
              </w:rPr>
            </w:pPr>
            <w:r>
              <w:rPr>
                <w:sz w:val="18"/>
              </w:rPr>
              <w:t>Q29</w:t>
            </w:r>
          </w:p>
        </w:tc>
        <w:tc>
          <w:tcPr>
            <w:tcW w:w="1929" w:type="dxa"/>
          </w:tcPr>
          <w:p>
            <w:pPr>
              <w:pStyle w:val="TableParagraph"/>
              <w:rPr>
                <w:rFonts w:ascii="Times New Roman"/>
                <w:sz w:val="14"/>
              </w:rPr>
            </w:pPr>
          </w:p>
        </w:tc>
        <w:tc>
          <w:tcPr>
            <w:tcW w:w="2174" w:type="dxa"/>
          </w:tcPr>
          <w:p>
            <w:pPr>
              <w:pStyle w:val="TableParagraph"/>
              <w:rPr>
                <w:rFonts w:ascii="Times New Roman"/>
                <w:sz w:val="14"/>
              </w:rPr>
            </w:pPr>
          </w:p>
        </w:tc>
      </w:tr>
      <w:tr>
        <w:trPr>
          <w:trHeight w:val="220" w:hRule="atLeast"/>
        </w:trPr>
        <w:tc>
          <w:tcPr>
            <w:tcW w:w="994" w:type="dxa"/>
          </w:tcPr>
          <w:p>
            <w:pPr>
              <w:pStyle w:val="TableParagraph"/>
              <w:spacing w:line="200" w:lineRule="exact"/>
              <w:ind w:left="110"/>
              <w:rPr>
                <w:sz w:val="18"/>
              </w:rPr>
            </w:pPr>
            <w:r>
              <w:rPr>
                <w:sz w:val="18"/>
              </w:rPr>
              <w:t>Q30</w:t>
            </w:r>
          </w:p>
        </w:tc>
        <w:tc>
          <w:tcPr>
            <w:tcW w:w="1929" w:type="dxa"/>
          </w:tcPr>
          <w:p>
            <w:pPr>
              <w:pStyle w:val="TableParagraph"/>
              <w:rPr>
                <w:rFonts w:ascii="Times New Roman"/>
                <w:sz w:val="14"/>
              </w:rPr>
            </w:pPr>
          </w:p>
        </w:tc>
        <w:tc>
          <w:tcPr>
            <w:tcW w:w="2174" w:type="dxa"/>
          </w:tcPr>
          <w:p>
            <w:pPr>
              <w:pStyle w:val="TableParagraph"/>
              <w:rPr>
                <w:rFonts w:ascii="Times New Roman"/>
                <w:sz w:val="14"/>
              </w:rPr>
            </w:pPr>
          </w:p>
        </w:tc>
      </w:tr>
      <w:tr>
        <w:trPr>
          <w:trHeight w:val="220" w:hRule="atLeast"/>
        </w:trPr>
        <w:tc>
          <w:tcPr>
            <w:tcW w:w="994" w:type="dxa"/>
          </w:tcPr>
          <w:p>
            <w:pPr>
              <w:pStyle w:val="TableParagraph"/>
              <w:spacing w:line="200" w:lineRule="exact"/>
              <w:ind w:left="110"/>
              <w:rPr>
                <w:sz w:val="18"/>
              </w:rPr>
            </w:pPr>
            <w:r>
              <w:rPr>
                <w:sz w:val="18"/>
              </w:rPr>
              <w:t>Q31</w:t>
            </w:r>
          </w:p>
        </w:tc>
        <w:tc>
          <w:tcPr>
            <w:tcW w:w="1929" w:type="dxa"/>
          </w:tcPr>
          <w:p>
            <w:pPr>
              <w:pStyle w:val="TableParagraph"/>
              <w:rPr>
                <w:rFonts w:ascii="Times New Roman"/>
                <w:sz w:val="14"/>
              </w:rPr>
            </w:pPr>
          </w:p>
        </w:tc>
        <w:tc>
          <w:tcPr>
            <w:tcW w:w="2174" w:type="dxa"/>
          </w:tcPr>
          <w:p>
            <w:pPr>
              <w:pStyle w:val="TableParagraph"/>
              <w:rPr>
                <w:rFonts w:ascii="Times New Roman"/>
                <w:sz w:val="14"/>
              </w:rPr>
            </w:pPr>
          </w:p>
        </w:tc>
      </w:tr>
      <w:tr>
        <w:trPr>
          <w:trHeight w:val="220" w:hRule="atLeast"/>
        </w:trPr>
        <w:tc>
          <w:tcPr>
            <w:tcW w:w="994" w:type="dxa"/>
          </w:tcPr>
          <w:p>
            <w:pPr>
              <w:pStyle w:val="TableParagraph"/>
              <w:spacing w:line="200" w:lineRule="exact"/>
              <w:ind w:left="110"/>
              <w:rPr>
                <w:sz w:val="18"/>
              </w:rPr>
            </w:pPr>
            <w:r>
              <w:rPr>
                <w:sz w:val="18"/>
              </w:rPr>
              <w:t>Q32</w:t>
            </w:r>
          </w:p>
        </w:tc>
        <w:tc>
          <w:tcPr>
            <w:tcW w:w="1929" w:type="dxa"/>
          </w:tcPr>
          <w:p>
            <w:pPr>
              <w:pStyle w:val="TableParagraph"/>
              <w:rPr>
                <w:rFonts w:ascii="Times New Roman"/>
                <w:sz w:val="14"/>
              </w:rPr>
            </w:pPr>
          </w:p>
        </w:tc>
        <w:tc>
          <w:tcPr>
            <w:tcW w:w="2174" w:type="dxa"/>
          </w:tcPr>
          <w:p>
            <w:pPr>
              <w:pStyle w:val="TableParagraph"/>
              <w:rPr>
                <w:rFonts w:ascii="Times New Roman"/>
                <w:sz w:val="14"/>
              </w:rPr>
            </w:pPr>
          </w:p>
        </w:tc>
      </w:tr>
      <w:tr>
        <w:trPr>
          <w:trHeight w:val="222" w:hRule="atLeast"/>
        </w:trPr>
        <w:tc>
          <w:tcPr>
            <w:tcW w:w="994" w:type="dxa"/>
          </w:tcPr>
          <w:p>
            <w:pPr>
              <w:pStyle w:val="TableParagraph"/>
              <w:spacing w:line="203" w:lineRule="exact"/>
              <w:ind w:left="110"/>
              <w:rPr>
                <w:sz w:val="18"/>
              </w:rPr>
            </w:pPr>
            <w:r>
              <w:rPr>
                <w:sz w:val="18"/>
              </w:rPr>
              <w:t>Q33</w:t>
            </w:r>
          </w:p>
        </w:tc>
        <w:tc>
          <w:tcPr>
            <w:tcW w:w="1929" w:type="dxa"/>
          </w:tcPr>
          <w:p>
            <w:pPr>
              <w:pStyle w:val="TableParagraph"/>
              <w:rPr>
                <w:rFonts w:ascii="Times New Roman"/>
                <w:sz w:val="14"/>
              </w:rPr>
            </w:pPr>
          </w:p>
        </w:tc>
        <w:tc>
          <w:tcPr>
            <w:tcW w:w="2174" w:type="dxa"/>
          </w:tcPr>
          <w:p>
            <w:pPr>
              <w:pStyle w:val="TableParagraph"/>
              <w:rPr>
                <w:rFonts w:ascii="Times New Roman"/>
                <w:sz w:val="14"/>
              </w:rPr>
            </w:pPr>
          </w:p>
        </w:tc>
      </w:tr>
      <w:tr>
        <w:trPr>
          <w:trHeight w:val="220" w:hRule="atLeast"/>
        </w:trPr>
        <w:tc>
          <w:tcPr>
            <w:tcW w:w="994" w:type="dxa"/>
          </w:tcPr>
          <w:p>
            <w:pPr>
              <w:pStyle w:val="TableParagraph"/>
              <w:spacing w:line="200" w:lineRule="exact"/>
              <w:ind w:left="110"/>
              <w:rPr>
                <w:sz w:val="18"/>
              </w:rPr>
            </w:pPr>
            <w:r>
              <w:rPr>
                <w:sz w:val="18"/>
              </w:rPr>
              <w:t>Q34</w:t>
            </w:r>
          </w:p>
        </w:tc>
        <w:tc>
          <w:tcPr>
            <w:tcW w:w="1929" w:type="dxa"/>
          </w:tcPr>
          <w:p>
            <w:pPr>
              <w:pStyle w:val="TableParagraph"/>
              <w:rPr>
                <w:rFonts w:ascii="Times New Roman"/>
                <w:sz w:val="14"/>
              </w:rPr>
            </w:pPr>
          </w:p>
        </w:tc>
        <w:tc>
          <w:tcPr>
            <w:tcW w:w="2174" w:type="dxa"/>
          </w:tcPr>
          <w:p>
            <w:pPr>
              <w:pStyle w:val="TableParagraph"/>
              <w:rPr>
                <w:rFonts w:ascii="Times New Roman"/>
                <w:sz w:val="14"/>
              </w:rPr>
            </w:pPr>
          </w:p>
        </w:tc>
      </w:tr>
      <w:tr>
        <w:trPr>
          <w:trHeight w:val="220" w:hRule="atLeast"/>
        </w:trPr>
        <w:tc>
          <w:tcPr>
            <w:tcW w:w="994" w:type="dxa"/>
          </w:tcPr>
          <w:p>
            <w:pPr>
              <w:pStyle w:val="TableParagraph"/>
              <w:spacing w:line="200" w:lineRule="exact"/>
              <w:ind w:left="110"/>
              <w:rPr>
                <w:sz w:val="18"/>
              </w:rPr>
            </w:pPr>
            <w:r>
              <w:rPr>
                <w:sz w:val="18"/>
              </w:rPr>
              <w:t>Q35</w:t>
            </w:r>
          </w:p>
        </w:tc>
        <w:tc>
          <w:tcPr>
            <w:tcW w:w="1929" w:type="dxa"/>
          </w:tcPr>
          <w:p>
            <w:pPr>
              <w:pStyle w:val="TableParagraph"/>
              <w:rPr>
                <w:rFonts w:ascii="Times New Roman"/>
                <w:sz w:val="14"/>
              </w:rPr>
            </w:pPr>
          </w:p>
        </w:tc>
        <w:tc>
          <w:tcPr>
            <w:tcW w:w="2174" w:type="dxa"/>
          </w:tcPr>
          <w:p>
            <w:pPr>
              <w:pStyle w:val="TableParagraph"/>
              <w:rPr>
                <w:rFonts w:ascii="Times New Roman"/>
                <w:sz w:val="14"/>
              </w:rPr>
            </w:pPr>
          </w:p>
        </w:tc>
      </w:tr>
      <w:tr>
        <w:trPr>
          <w:trHeight w:val="220" w:hRule="atLeast"/>
        </w:trPr>
        <w:tc>
          <w:tcPr>
            <w:tcW w:w="994" w:type="dxa"/>
          </w:tcPr>
          <w:p>
            <w:pPr>
              <w:pStyle w:val="TableParagraph"/>
              <w:spacing w:line="200" w:lineRule="exact"/>
              <w:ind w:left="110"/>
              <w:rPr>
                <w:sz w:val="18"/>
              </w:rPr>
            </w:pPr>
            <w:r>
              <w:rPr>
                <w:sz w:val="18"/>
              </w:rPr>
              <w:t>Q36</w:t>
            </w:r>
          </w:p>
        </w:tc>
        <w:tc>
          <w:tcPr>
            <w:tcW w:w="1929" w:type="dxa"/>
          </w:tcPr>
          <w:p>
            <w:pPr>
              <w:pStyle w:val="TableParagraph"/>
              <w:rPr>
                <w:rFonts w:ascii="Times New Roman"/>
                <w:sz w:val="14"/>
              </w:rPr>
            </w:pPr>
          </w:p>
        </w:tc>
        <w:tc>
          <w:tcPr>
            <w:tcW w:w="2174" w:type="dxa"/>
          </w:tcPr>
          <w:p>
            <w:pPr>
              <w:pStyle w:val="TableParagraph"/>
              <w:rPr>
                <w:rFonts w:ascii="Times New Roman"/>
                <w:sz w:val="14"/>
              </w:rPr>
            </w:pPr>
          </w:p>
        </w:tc>
      </w:tr>
    </w:tbl>
    <w:p>
      <w:pPr>
        <w:pStyle w:val="BodyText"/>
        <w:spacing w:before="7"/>
        <w:rPr>
          <w:sz w:val="12"/>
        </w:rPr>
      </w:pPr>
    </w:p>
    <w:p>
      <w:pPr>
        <w:pStyle w:val="ListParagraph"/>
        <w:numPr>
          <w:ilvl w:val="0"/>
          <w:numId w:val="86"/>
        </w:numPr>
        <w:tabs>
          <w:tab w:pos="619" w:val="left" w:leader="none"/>
        </w:tabs>
        <w:spacing w:line="240" w:lineRule="auto" w:before="101" w:after="0"/>
        <w:ind w:left="618" w:right="0" w:hanging="199"/>
        <w:jc w:val="left"/>
        <w:rPr>
          <w:sz w:val="18"/>
        </w:rPr>
      </w:pPr>
      <w:r>
        <w:rPr>
          <w:sz w:val="18"/>
        </w:rPr>
        <w:t>How</w:t>
      </w:r>
      <w:r>
        <w:rPr>
          <w:spacing w:val="-2"/>
          <w:sz w:val="18"/>
        </w:rPr>
        <w:t> </w:t>
      </w:r>
      <w:r>
        <w:rPr>
          <w:sz w:val="18"/>
        </w:rPr>
        <w:t>many</w:t>
      </w:r>
      <w:r>
        <w:rPr>
          <w:spacing w:val="-3"/>
          <w:sz w:val="18"/>
        </w:rPr>
        <w:t> </w:t>
      </w:r>
      <w:r>
        <w:rPr>
          <w:sz w:val="18"/>
        </w:rPr>
        <w:t>people</w:t>
      </w:r>
      <w:r>
        <w:rPr>
          <w:spacing w:val="-2"/>
          <w:sz w:val="18"/>
        </w:rPr>
        <w:t> </w:t>
      </w:r>
      <w:r>
        <w:rPr>
          <w:sz w:val="18"/>
        </w:rPr>
        <w:t>participated</w:t>
      </w:r>
      <w:r>
        <w:rPr>
          <w:spacing w:val="-3"/>
          <w:sz w:val="18"/>
        </w:rPr>
        <w:t> </w:t>
      </w:r>
      <w:r>
        <w:rPr>
          <w:sz w:val="18"/>
        </w:rPr>
        <w:t>in</w:t>
      </w:r>
      <w:r>
        <w:rPr>
          <w:spacing w:val="-3"/>
          <w:sz w:val="18"/>
        </w:rPr>
        <w:t> </w:t>
      </w:r>
      <w:r>
        <w:rPr>
          <w:sz w:val="18"/>
        </w:rPr>
        <w:t>the</w:t>
      </w:r>
      <w:r>
        <w:rPr>
          <w:spacing w:val="-2"/>
          <w:sz w:val="18"/>
        </w:rPr>
        <w:t> </w:t>
      </w:r>
      <w:r>
        <w:rPr>
          <w:sz w:val="18"/>
        </w:rPr>
        <w:t>HCH-A</w:t>
      </w:r>
      <w:r>
        <w:rPr>
          <w:spacing w:val="-11"/>
          <w:sz w:val="18"/>
        </w:rPr>
        <w:t> </w:t>
      </w:r>
      <w:r>
        <w:rPr>
          <w:sz w:val="18"/>
        </w:rPr>
        <w:t>assessment?</w:t>
      </w:r>
    </w:p>
    <w:p>
      <w:pPr>
        <w:pStyle w:val="BodyText"/>
        <w:spacing w:after="1"/>
        <w:rPr>
          <w:sz w:val="19"/>
        </w:rPr>
      </w:pPr>
    </w:p>
    <w:tbl>
      <w:tblPr>
        <w:tblW w:w="0" w:type="auto"/>
        <w:jc w:val="left"/>
        <w:tblInd w:w="184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0" w:type="dxa"/>
          <w:left w:w="0" w:type="dxa"/>
          <w:bottom w:w="0" w:type="dxa"/>
          <w:right w:w="0" w:type="dxa"/>
        </w:tblCellMar>
        <w:tblLook w:val="01E0"/>
      </w:tblPr>
      <w:tblGrid>
        <w:gridCol w:w="3965"/>
        <w:gridCol w:w="3670"/>
      </w:tblGrid>
      <w:tr>
        <w:trPr>
          <w:trHeight w:val="221" w:hRule="atLeast"/>
        </w:trPr>
        <w:tc>
          <w:tcPr>
            <w:tcW w:w="3965" w:type="dxa"/>
            <w:shd w:val="clear" w:color="auto" w:fill="F1F1F1"/>
          </w:tcPr>
          <w:p>
            <w:pPr>
              <w:pStyle w:val="TableParagraph"/>
              <w:rPr>
                <w:rFonts w:ascii="Times New Roman"/>
                <w:sz w:val="14"/>
              </w:rPr>
            </w:pPr>
          </w:p>
        </w:tc>
        <w:tc>
          <w:tcPr>
            <w:tcW w:w="3670" w:type="dxa"/>
            <w:shd w:val="clear" w:color="auto" w:fill="F1F1F1"/>
          </w:tcPr>
          <w:p>
            <w:pPr>
              <w:pStyle w:val="TableParagraph"/>
              <w:spacing w:line="201" w:lineRule="exact"/>
              <w:ind w:left="300"/>
              <w:rPr>
                <w:sz w:val="18"/>
              </w:rPr>
            </w:pPr>
            <w:r>
              <w:rPr>
                <w:sz w:val="18"/>
              </w:rPr>
              <w:t>Number</w:t>
            </w:r>
            <w:r>
              <w:rPr>
                <w:spacing w:val="-3"/>
                <w:sz w:val="18"/>
              </w:rPr>
              <w:t> </w:t>
            </w:r>
            <w:r>
              <w:rPr>
                <w:sz w:val="18"/>
              </w:rPr>
              <w:t>of</w:t>
            </w:r>
            <w:r>
              <w:rPr>
                <w:spacing w:val="-3"/>
                <w:sz w:val="18"/>
              </w:rPr>
              <w:t> </w:t>
            </w:r>
            <w:r>
              <w:rPr>
                <w:sz w:val="18"/>
              </w:rPr>
              <w:t>people</w:t>
            </w:r>
            <w:r>
              <w:rPr>
                <w:spacing w:val="-4"/>
                <w:sz w:val="18"/>
              </w:rPr>
              <w:t> </w:t>
            </w:r>
            <w:r>
              <w:rPr>
                <w:sz w:val="18"/>
              </w:rPr>
              <w:t>participating</w:t>
            </w:r>
            <w:r>
              <w:rPr>
                <w:spacing w:val="-3"/>
                <w:sz w:val="18"/>
              </w:rPr>
              <w:t> </w:t>
            </w:r>
            <w:r>
              <w:rPr>
                <w:sz w:val="18"/>
              </w:rPr>
              <w:t>(1)</w:t>
            </w:r>
          </w:p>
        </w:tc>
      </w:tr>
      <w:tr>
        <w:trPr>
          <w:trHeight w:val="220" w:hRule="atLeast"/>
        </w:trPr>
        <w:tc>
          <w:tcPr>
            <w:tcW w:w="3965" w:type="dxa"/>
          </w:tcPr>
          <w:p>
            <w:pPr>
              <w:pStyle w:val="TableParagraph"/>
              <w:spacing w:line="200" w:lineRule="exact"/>
              <w:ind w:left="115"/>
              <w:rPr>
                <w:sz w:val="18"/>
              </w:rPr>
            </w:pPr>
            <w:r>
              <w:rPr>
                <w:sz w:val="18"/>
              </w:rPr>
              <w:t>General</w:t>
            </w:r>
            <w:r>
              <w:rPr>
                <w:spacing w:val="-5"/>
                <w:sz w:val="18"/>
              </w:rPr>
              <w:t> </w:t>
            </w:r>
            <w:r>
              <w:rPr>
                <w:sz w:val="18"/>
              </w:rPr>
              <w:t>practitioner</w:t>
            </w:r>
            <w:r>
              <w:rPr>
                <w:spacing w:val="-5"/>
                <w:sz w:val="18"/>
              </w:rPr>
              <w:t> </w:t>
            </w:r>
            <w:r>
              <w:rPr>
                <w:sz w:val="18"/>
              </w:rPr>
              <w:t>(1)</w:t>
            </w:r>
          </w:p>
        </w:tc>
        <w:tc>
          <w:tcPr>
            <w:tcW w:w="3670" w:type="dxa"/>
          </w:tcPr>
          <w:p>
            <w:pPr>
              <w:pStyle w:val="TableParagraph"/>
              <w:rPr>
                <w:rFonts w:ascii="Times New Roman"/>
                <w:sz w:val="14"/>
              </w:rPr>
            </w:pPr>
          </w:p>
        </w:tc>
      </w:tr>
      <w:tr>
        <w:trPr>
          <w:trHeight w:val="220" w:hRule="atLeast"/>
        </w:trPr>
        <w:tc>
          <w:tcPr>
            <w:tcW w:w="3965" w:type="dxa"/>
          </w:tcPr>
          <w:p>
            <w:pPr>
              <w:pStyle w:val="TableParagraph"/>
              <w:spacing w:line="200" w:lineRule="exact"/>
              <w:ind w:left="115"/>
              <w:rPr>
                <w:sz w:val="18"/>
              </w:rPr>
            </w:pPr>
            <w:r>
              <w:rPr>
                <w:sz w:val="18"/>
              </w:rPr>
              <w:t>Nurse</w:t>
            </w:r>
            <w:r>
              <w:rPr>
                <w:spacing w:val="-6"/>
                <w:sz w:val="18"/>
              </w:rPr>
              <w:t> </w:t>
            </w:r>
            <w:r>
              <w:rPr>
                <w:sz w:val="18"/>
              </w:rPr>
              <w:t>practitioner/practice</w:t>
            </w:r>
            <w:r>
              <w:rPr>
                <w:spacing w:val="-8"/>
                <w:sz w:val="18"/>
              </w:rPr>
              <w:t> </w:t>
            </w:r>
            <w:r>
              <w:rPr>
                <w:sz w:val="18"/>
              </w:rPr>
              <w:t>nurse</w:t>
            </w:r>
            <w:r>
              <w:rPr>
                <w:spacing w:val="-6"/>
                <w:sz w:val="18"/>
              </w:rPr>
              <w:t> </w:t>
            </w:r>
            <w:r>
              <w:rPr>
                <w:sz w:val="18"/>
              </w:rPr>
              <w:t>(2)</w:t>
            </w:r>
          </w:p>
        </w:tc>
        <w:tc>
          <w:tcPr>
            <w:tcW w:w="3670" w:type="dxa"/>
          </w:tcPr>
          <w:p>
            <w:pPr>
              <w:pStyle w:val="TableParagraph"/>
              <w:rPr>
                <w:rFonts w:ascii="Times New Roman"/>
                <w:sz w:val="14"/>
              </w:rPr>
            </w:pPr>
          </w:p>
        </w:tc>
      </w:tr>
      <w:tr>
        <w:trPr>
          <w:trHeight w:val="220" w:hRule="atLeast"/>
        </w:trPr>
        <w:tc>
          <w:tcPr>
            <w:tcW w:w="3965" w:type="dxa"/>
          </w:tcPr>
          <w:p>
            <w:pPr>
              <w:pStyle w:val="TableParagraph"/>
              <w:spacing w:line="200" w:lineRule="exact"/>
              <w:ind w:left="115"/>
              <w:rPr>
                <w:sz w:val="18"/>
              </w:rPr>
            </w:pPr>
            <w:r>
              <w:rPr>
                <w:sz w:val="18"/>
              </w:rPr>
              <w:t>Practice</w:t>
            </w:r>
            <w:r>
              <w:rPr>
                <w:spacing w:val="-5"/>
                <w:sz w:val="18"/>
              </w:rPr>
              <w:t> </w:t>
            </w:r>
            <w:r>
              <w:rPr>
                <w:sz w:val="18"/>
              </w:rPr>
              <w:t>manager</w:t>
            </w:r>
            <w:r>
              <w:rPr>
                <w:spacing w:val="-2"/>
                <w:sz w:val="18"/>
              </w:rPr>
              <w:t> </w:t>
            </w:r>
            <w:r>
              <w:rPr>
                <w:sz w:val="18"/>
              </w:rPr>
              <w:t>(4)</w:t>
            </w:r>
          </w:p>
        </w:tc>
        <w:tc>
          <w:tcPr>
            <w:tcW w:w="3670" w:type="dxa"/>
          </w:tcPr>
          <w:p>
            <w:pPr>
              <w:pStyle w:val="TableParagraph"/>
              <w:rPr>
                <w:rFonts w:ascii="Times New Roman"/>
                <w:sz w:val="14"/>
              </w:rPr>
            </w:pPr>
          </w:p>
        </w:tc>
      </w:tr>
      <w:tr>
        <w:trPr>
          <w:trHeight w:val="222" w:hRule="atLeast"/>
        </w:trPr>
        <w:tc>
          <w:tcPr>
            <w:tcW w:w="3965" w:type="dxa"/>
          </w:tcPr>
          <w:p>
            <w:pPr>
              <w:pStyle w:val="TableParagraph"/>
              <w:spacing w:line="202" w:lineRule="exact" w:before="1"/>
              <w:ind w:left="115"/>
              <w:rPr>
                <w:sz w:val="18"/>
              </w:rPr>
            </w:pPr>
            <w:r>
              <w:rPr>
                <w:sz w:val="18"/>
              </w:rPr>
              <w:t>Aboriginal</w:t>
            </w:r>
            <w:r>
              <w:rPr>
                <w:spacing w:val="-7"/>
                <w:sz w:val="18"/>
              </w:rPr>
              <w:t> </w:t>
            </w:r>
            <w:r>
              <w:rPr>
                <w:sz w:val="18"/>
              </w:rPr>
              <w:t>health</w:t>
            </w:r>
            <w:r>
              <w:rPr>
                <w:spacing w:val="-6"/>
                <w:sz w:val="18"/>
              </w:rPr>
              <w:t> </w:t>
            </w:r>
            <w:r>
              <w:rPr>
                <w:sz w:val="18"/>
              </w:rPr>
              <w:t>practitioner/worker</w:t>
            </w:r>
            <w:r>
              <w:rPr>
                <w:spacing w:val="-3"/>
                <w:sz w:val="18"/>
              </w:rPr>
              <w:t> </w:t>
            </w:r>
            <w:r>
              <w:rPr>
                <w:sz w:val="18"/>
              </w:rPr>
              <w:t>(7)</w:t>
            </w:r>
          </w:p>
        </w:tc>
        <w:tc>
          <w:tcPr>
            <w:tcW w:w="3670" w:type="dxa"/>
          </w:tcPr>
          <w:p>
            <w:pPr>
              <w:pStyle w:val="TableParagraph"/>
              <w:rPr>
                <w:rFonts w:ascii="Times New Roman"/>
                <w:sz w:val="14"/>
              </w:rPr>
            </w:pPr>
          </w:p>
        </w:tc>
      </w:tr>
      <w:tr>
        <w:trPr>
          <w:trHeight w:val="220" w:hRule="atLeast"/>
        </w:trPr>
        <w:tc>
          <w:tcPr>
            <w:tcW w:w="3965" w:type="dxa"/>
          </w:tcPr>
          <w:p>
            <w:pPr>
              <w:pStyle w:val="TableParagraph"/>
              <w:spacing w:line="200" w:lineRule="exact"/>
              <w:ind w:left="115"/>
              <w:rPr>
                <w:sz w:val="18"/>
              </w:rPr>
            </w:pPr>
            <w:r>
              <w:rPr>
                <w:sz w:val="18"/>
              </w:rPr>
              <w:t>Allied</w:t>
            </w:r>
            <w:r>
              <w:rPr>
                <w:spacing w:val="-5"/>
                <w:sz w:val="18"/>
              </w:rPr>
              <w:t> </w:t>
            </w:r>
            <w:r>
              <w:rPr>
                <w:sz w:val="18"/>
              </w:rPr>
              <w:t>health (3)</w:t>
            </w:r>
          </w:p>
        </w:tc>
        <w:tc>
          <w:tcPr>
            <w:tcW w:w="3670" w:type="dxa"/>
          </w:tcPr>
          <w:p>
            <w:pPr>
              <w:pStyle w:val="TableParagraph"/>
              <w:rPr>
                <w:rFonts w:ascii="Times New Roman"/>
                <w:sz w:val="14"/>
              </w:rPr>
            </w:pPr>
          </w:p>
        </w:tc>
      </w:tr>
      <w:tr>
        <w:trPr>
          <w:trHeight w:val="220" w:hRule="atLeast"/>
        </w:trPr>
        <w:tc>
          <w:tcPr>
            <w:tcW w:w="3965" w:type="dxa"/>
          </w:tcPr>
          <w:p>
            <w:pPr>
              <w:pStyle w:val="TableParagraph"/>
              <w:spacing w:line="200" w:lineRule="exact"/>
              <w:ind w:left="115"/>
              <w:rPr>
                <w:sz w:val="18"/>
              </w:rPr>
            </w:pPr>
            <w:r>
              <w:rPr>
                <w:sz w:val="18"/>
              </w:rPr>
              <w:t>Receptionist/</w:t>
            </w:r>
            <w:r>
              <w:rPr>
                <w:spacing w:val="-7"/>
                <w:sz w:val="18"/>
              </w:rPr>
              <w:t> </w:t>
            </w:r>
            <w:r>
              <w:rPr>
                <w:sz w:val="18"/>
              </w:rPr>
              <w:t>administration</w:t>
            </w:r>
            <w:r>
              <w:rPr>
                <w:spacing w:val="-6"/>
                <w:sz w:val="18"/>
              </w:rPr>
              <w:t> </w:t>
            </w:r>
            <w:r>
              <w:rPr>
                <w:sz w:val="18"/>
              </w:rPr>
              <w:t>(5)</w:t>
            </w:r>
          </w:p>
        </w:tc>
        <w:tc>
          <w:tcPr>
            <w:tcW w:w="3670" w:type="dxa"/>
          </w:tcPr>
          <w:p>
            <w:pPr>
              <w:pStyle w:val="TableParagraph"/>
              <w:rPr>
                <w:rFonts w:ascii="Times New Roman"/>
                <w:sz w:val="14"/>
              </w:rPr>
            </w:pPr>
          </w:p>
        </w:tc>
      </w:tr>
      <w:tr>
        <w:trPr>
          <w:trHeight w:val="220" w:hRule="atLeast"/>
        </w:trPr>
        <w:tc>
          <w:tcPr>
            <w:tcW w:w="3965" w:type="dxa"/>
          </w:tcPr>
          <w:p>
            <w:pPr>
              <w:pStyle w:val="TableParagraph"/>
              <w:spacing w:line="200" w:lineRule="exact"/>
              <w:ind w:left="115"/>
              <w:rPr>
                <w:sz w:val="18"/>
              </w:rPr>
            </w:pPr>
            <w:r>
              <w:rPr>
                <w:sz w:val="18"/>
              </w:rPr>
              <w:t>Other</w:t>
            </w:r>
            <w:r>
              <w:rPr>
                <w:spacing w:val="-2"/>
                <w:sz w:val="18"/>
              </w:rPr>
              <w:t> </w:t>
            </w:r>
            <w:r>
              <w:rPr>
                <w:sz w:val="18"/>
              </w:rPr>
              <w:t>(6)</w:t>
            </w:r>
          </w:p>
        </w:tc>
        <w:tc>
          <w:tcPr>
            <w:tcW w:w="3670" w:type="dxa"/>
          </w:tcPr>
          <w:p>
            <w:pPr>
              <w:pStyle w:val="TableParagraph"/>
              <w:rPr>
                <w:rFonts w:ascii="Times New Roman"/>
                <w:sz w:val="14"/>
              </w:rPr>
            </w:pPr>
          </w:p>
        </w:tc>
      </w:tr>
    </w:tbl>
    <w:p>
      <w:pPr>
        <w:pStyle w:val="BodyText"/>
        <w:spacing w:before="10"/>
      </w:pPr>
    </w:p>
    <w:p>
      <w:pPr>
        <w:pStyle w:val="ListParagraph"/>
        <w:numPr>
          <w:ilvl w:val="0"/>
          <w:numId w:val="86"/>
        </w:numPr>
        <w:tabs>
          <w:tab w:pos="619" w:val="left" w:leader="none"/>
        </w:tabs>
        <w:spacing w:line="276" w:lineRule="auto" w:before="1" w:after="0"/>
        <w:ind w:left="420" w:right="1164" w:firstLine="0"/>
        <w:jc w:val="left"/>
        <w:rPr>
          <w:sz w:val="18"/>
        </w:rPr>
      </w:pPr>
      <w:r>
        <w:rPr>
          <w:sz w:val="18"/>
        </w:rPr>
        <w:t>Did a HCH practice facilitator from a Primary Health Network assist the practice in the reaching consensus on the</w:t>
      </w:r>
      <w:r>
        <w:rPr>
          <w:spacing w:val="-47"/>
          <w:sz w:val="18"/>
        </w:rPr>
        <w:t> </w:t>
      </w:r>
      <w:r>
        <w:rPr>
          <w:sz w:val="18"/>
        </w:rPr>
        <w:t>assessment?</w:t>
      </w:r>
    </w:p>
    <w:p>
      <w:pPr>
        <w:pStyle w:val="BodyText"/>
        <w:spacing w:before="2"/>
        <w:rPr>
          <w:sz w:val="8"/>
        </w:rPr>
      </w:pPr>
    </w:p>
    <w:p>
      <w:pPr>
        <w:spacing w:before="100"/>
        <w:ind w:left="1771" w:right="0" w:firstLine="0"/>
        <w:jc w:val="left"/>
        <w:rPr>
          <w:sz w:val="18"/>
        </w:rPr>
      </w:pPr>
      <w:r>
        <w:rPr/>
        <w:drawing>
          <wp:anchor distT="0" distB="0" distL="0" distR="0" allowOverlap="1" layoutInCell="1" locked="0" behindDoc="0" simplePos="0" relativeHeight="15884288">
            <wp:simplePos x="0" y="0"/>
            <wp:positionH relativeFrom="page">
              <wp:posOffset>1102145</wp:posOffset>
            </wp:positionH>
            <wp:positionV relativeFrom="paragraph">
              <wp:posOffset>107775</wp:posOffset>
            </wp:positionV>
            <wp:extent cx="58380" cy="73869"/>
            <wp:effectExtent l="0" t="0" r="0" b="0"/>
            <wp:wrapNone/>
            <wp:docPr id="1087" name="image14.png"/>
            <wp:cNvGraphicFramePr>
              <a:graphicFrameLocks noChangeAspect="1"/>
            </wp:cNvGraphicFramePr>
            <a:graphic>
              <a:graphicData uri="http://schemas.openxmlformats.org/drawingml/2006/picture">
                <pic:pic>
                  <pic:nvPicPr>
                    <pic:cNvPr id="1088"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Yes</w:t>
      </w:r>
      <w:r>
        <w:rPr>
          <w:spacing w:val="49"/>
          <w:sz w:val="18"/>
        </w:rPr>
        <w:t> </w:t>
      </w:r>
      <w:r>
        <w:rPr>
          <w:sz w:val="18"/>
        </w:rPr>
        <w:t>(1)</w:t>
      </w:r>
    </w:p>
    <w:p>
      <w:pPr>
        <w:spacing w:before="0"/>
        <w:ind w:left="1771" w:right="0" w:firstLine="0"/>
        <w:jc w:val="left"/>
        <w:rPr>
          <w:sz w:val="18"/>
        </w:rPr>
      </w:pPr>
      <w:r>
        <w:rPr/>
        <w:drawing>
          <wp:anchor distT="0" distB="0" distL="0" distR="0" allowOverlap="1" layoutInCell="1" locked="0" behindDoc="0" simplePos="0" relativeHeight="15884800">
            <wp:simplePos x="0" y="0"/>
            <wp:positionH relativeFrom="page">
              <wp:posOffset>1102145</wp:posOffset>
            </wp:positionH>
            <wp:positionV relativeFrom="paragraph">
              <wp:posOffset>44468</wp:posOffset>
            </wp:positionV>
            <wp:extent cx="58380" cy="72151"/>
            <wp:effectExtent l="0" t="0" r="0" b="0"/>
            <wp:wrapNone/>
            <wp:docPr id="1089" name="image13.png"/>
            <wp:cNvGraphicFramePr>
              <a:graphicFrameLocks noChangeAspect="1"/>
            </wp:cNvGraphicFramePr>
            <a:graphic>
              <a:graphicData uri="http://schemas.openxmlformats.org/drawingml/2006/picture">
                <pic:pic>
                  <pic:nvPicPr>
                    <pic:cNvPr id="109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w:t>
      </w:r>
      <w:r>
        <w:rPr>
          <w:spacing w:val="49"/>
          <w:sz w:val="18"/>
        </w:rPr>
        <w:t> </w:t>
      </w:r>
      <w:r>
        <w:rPr>
          <w:sz w:val="18"/>
        </w:rPr>
        <w:t>(2)</w:t>
      </w:r>
    </w:p>
    <w:p>
      <w:pPr>
        <w:pStyle w:val="BodyText"/>
        <w:spacing w:before="7"/>
        <w:rPr>
          <w:sz w:val="14"/>
        </w:rPr>
      </w:pPr>
    </w:p>
    <w:p>
      <w:pPr>
        <w:pStyle w:val="ListParagraph"/>
        <w:numPr>
          <w:ilvl w:val="0"/>
          <w:numId w:val="86"/>
        </w:numPr>
        <w:tabs>
          <w:tab w:pos="619" w:val="left" w:leader="none"/>
        </w:tabs>
        <w:spacing w:line="276" w:lineRule="auto" w:before="100" w:after="0"/>
        <w:ind w:left="420" w:right="1267" w:firstLine="0"/>
        <w:jc w:val="left"/>
        <w:rPr>
          <w:sz w:val="18"/>
        </w:rPr>
      </w:pPr>
      <w:r>
        <w:rPr>
          <w:sz w:val="18"/>
        </w:rPr>
        <w:t>Do you wish to submit the results of this survey now?</w:t>
      </w:r>
      <w:r>
        <w:rPr>
          <w:spacing w:val="1"/>
          <w:sz w:val="18"/>
        </w:rPr>
        <w:t> </w:t>
      </w:r>
      <w:r>
        <w:rPr>
          <w:sz w:val="18"/>
        </w:rPr>
        <w:t>If you wish to finalise and submit the survey data, select Yes</w:t>
      </w:r>
      <w:r>
        <w:rPr>
          <w:spacing w:val="-47"/>
          <w:sz w:val="18"/>
        </w:rPr>
        <w:t> </w:t>
      </w:r>
      <w:r>
        <w:rPr>
          <w:sz w:val="18"/>
        </w:rPr>
        <w:t>below,</w:t>
      </w:r>
      <w:r>
        <w:rPr>
          <w:spacing w:val="-4"/>
          <w:sz w:val="18"/>
        </w:rPr>
        <w:t> </w:t>
      </w:r>
      <w:r>
        <w:rPr>
          <w:sz w:val="18"/>
        </w:rPr>
        <w:t>then</w:t>
      </w:r>
      <w:r>
        <w:rPr>
          <w:spacing w:val="-2"/>
          <w:sz w:val="18"/>
        </w:rPr>
        <w:t> </w:t>
      </w:r>
      <w:r>
        <w:rPr>
          <w:sz w:val="18"/>
        </w:rPr>
        <w:t>select</w:t>
      </w:r>
      <w:r>
        <w:rPr>
          <w:spacing w:val="-3"/>
          <w:sz w:val="18"/>
        </w:rPr>
        <w:t> </w:t>
      </w:r>
      <w:r>
        <w:rPr>
          <w:sz w:val="18"/>
        </w:rPr>
        <w:t>the</w:t>
      </w:r>
      <w:r>
        <w:rPr>
          <w:spacing w:val="-2"/>
          <w:sz w:val="18"/>
        </w:rPr>
        <w:t> </w:t>
      </w:r>
      <w:r>
        <w:rPr>
          <w:sz w:val="18"/>
        </w:rPr>
        <w:t>Next</w:t>
      </w:r>
      <w:r>
        <w:rPr>
          <w:spacing w:val="-3"/>
          <w:sz w:val="18"/>
        </w:rPr>
        <w:t> </w:t>
      </w:r>
      <w:r>
        <w:rPr>
          <w:sz w:val="18"/>
        </w:rPr>
        <w:t>Arrow.</w:t>
      </w:r>
      <w:r>
        <w:rPr>
          <w:spacing w:val="3"/>
          <w:sz w:val="18"/>
        </w:rPr>
        <w:t> </w:t>
      </w:r>
      <w:r>
        <w:rPr>
          <w:sz w:val="18"/>
        </w:rPr>
        <w:t>This</w:t>
      </w:r>
      <w:r>
        <w:rPr>
          <w:spacing w:val="-2"/>
          <w:sz w:val="18"/>
        </w:rPr>
        <w:t> </w:t>
      </w:r>
      <w:r>
        <w:rPr>
          <w:sz w:val="18"/>
        </w:rPr>
        <w:t>will</w:t>
      </w:r>
      <w:r>
        <w:rPr>
          <w:spacing w:val="-2"/>
          <w:sz w:val="18"/>
        </w:rPr>
        <w:t> </w:t>
      </w:r>
      <w:r>
        <w:rPr>
          <w:sz w:val="18"/>
        </w:rPr>
        <w:t>submit</w:t>
      </w:r>
      <w:r>
        <w:rPr>
          <w:spacing w:val="-4"/>
          <w:sz w:val="18"/>
        </w:rPr>
        <w:t> </w:t>
      </w:r>
      <w:r>
        <w:rPr>
          <w:sz w:val="18"/>
        </w:rPr>
        <w:t>your</w:t>
      </w:r>
      <w:r>
        <w:rPr>
          <w:spacing w:val="-3"/>
          <w:sz w:val="18"/>
        </w:rPr>
        <w:t> </w:t>
      </w:r>
      <w:r>
        <w:rPr>
          <w:sz w:val="18"/>
        </w:rPr>
        <w:t>data,</w:t>
      </w:r>
      <w:r>
        <w:rPr>
          <w:spacing w:val="-1"/>
          <w:sz w:val="18"/>
        </w:rPr>
        <w:t> </w:t>
      </w:r>
      <w:r>
        <w:rPr>
          <w:sz w:val="18"/>
        </w:rPr>
        <w:t>If</w:t>
      </w:r>
      <w:r>
        <w:rPr>
          <w:spacing w:val="-2"/>
          <w:sz w:val="18"/>
        </w:rPr>
        <w:t> </w:t>
      </w:r>
      <w:r>
        <w:rPr>
          <w:sz w:val="18"/>
        </w:rPr>
        <w:t>you</w:t>
      </w:r>
      <w:r>
        <w:rPr>
          <w:spacing w:val="-1"/>
          <w:sz w:val="18"/>
        </w:rPr>
        <w:t> </w:t>
      </w:r>
      <w:r>
        <w:rPr>
          <w:sz w:val="18"/>
        </w:rPr>
        <w:t>wish</w:t>
      </w:r>
      <w:r>
        <w:rPr>
          <w:spacing w:val="-2"/>
          <w:sz w:val="18"/>
        </w:rPr>
        <w:t> </w:t>
      </w:r>
      <w:r>
        <w:rPr>
          <w:sz w:val="18"/>
        </w:rPr>
        <w:t>to</w:t>
      </w:r>
      <w:r>
        <w:rPr>
          <w:spacing w:val="-2"/>
          <w:sz w:val="18"/>
        </w:rPr>
        <w:t> </w:t>
      </w:r>
      <w:r>
        <w:rPr>
          <w:sz w:val="18"/>
        </w:rPr>
        <w:t>return</w:t>
      </w:r>
      <w:r>
        <w:rPr>
          <w:spacing w:val="-3"/>
          <w:sz w:val="18"/>
        </w:rPr>
        <w:t> </w:t>
      </w:r>
      <w:r>
        <w:rPr>
          <w:sz w:val="18"/>
        </w:rPr>
        <w:t>to</w:t>
      </w:r>
      <w:r>
        <w:rPr>
          <w:spacing w:val="-2"/>
          <w:sz w:val="18"/>
        </w:rPr>
        <w:t> </w:t>
      </w:r>
      <w:r>
        <w:rPr>
          <w:sz w:val="18"/>
        </w:rPr>
        <w:t>this</w:t>
      </w:r>
      <w:r>
        <w:rPr>
          <w:spacing w:val="-2"/>
          <w:sz w:val="18"/>
        </w:rPr>
        <w:t> </w:t>
      </w:r>
      <w:r>
        <w:rPr>
          <w:sz w:val="18"/>
        </w:rPr>
        <w:t>survey</w:t>
      </w:r>
      <w:r>
        <w:rPr>
          <w:spacing w:val="-3"/>
          <w:sz w:val="18"/>
        </w:rPr>
        <w:t> </w:t>
      </w:r>
      <w:r>
        <w:rPr>
          <w:sz w:val="18"/>
        </w:rPr>
        <w:t>later,</w:t>
      </w:r>
      <w:r>
        <w:rPr>
          <w:spacing w:val="-1"/>
          <w:sz w:val="18"/>
        </w:rPr>
        <w:t> </w:t>
      </w:r>
      <w:r>
        <w:rPr>
          <w:sz w:val="18"/>
          <w:u w:val="single"/>
        </w:rPr>
        <w:t>do</w:t>
      </w:r>
      <w:r>
        <w:rPr>
          <w:spacing w:val="-2"/>
          <w:sz w:val="18"/>
          <w:u w:val="single"/>
        </w:rPr>
        <w:t> </w:t>
      </w:r>
      <w:r>
        <w:rPr>
          <w:sz w:val="18"/>
          <w:u w:val="single"/>
        </w:rPr>
        <w:t>not</w:t>
      </w:r>
      <w:r>
        <w:rPr>
          <w:spacing w:val="-3"/>
          <w:sz w:val="18"/>
          <w:u w:val="single"/>
        </w:rPr>
        <w:t> </w:t>
      </w:r>
      <w:r>
        <w:rPr>
          <w:sz w:val="18"/>
        </w:rPr>
        <w:t>select</w:t>
      </w:r>
    </w:p>
    <w:p>
      <w:pPr>
        <w:spacing w:line="276" w:lineRule="auto" w:before="2"/>
        <w:ind w:left="420" w:right="798" w:firstLine="0"/>
        <w:jc w:val="left"/>
        <w:rPr>
          <w:sz w:val="18"/>
        </w:rPr>
      </w:pPr>
      <w:r>
        <w:rPr>
          <w:sz w:val="18"/>
        </w:rPr>
        <w:t>Yes. Just leave this page and return later using the URL link supplied. The details you have entered above will be saved,</w:t>
      </w:r>
      <w:r>
        <w:rPr>
          <w:spacing w:val="-47"/>
          <w:sz w:val="18"/>
        </w:rPr>
        <w:t> </w:t>
      </w:r>
      <w:r>
        <w:rPr>
          <w:sz w:val="18"/>
        </w:rPr>
        <w:t>and</w:t>
      </w:r>
      <w:r>
        <w:rPr>
          <w:spacing w:val="-2"/>
          <w:sz w:val="18"/>
        </w:rPr>
        <w:t> </w:t>
      </w:r>
      <w:r>
        <w:rPr>
          <w:sz w:val="18"/>
        </w:rPr>
        <w:t>when you return,</w:t>
      </w:r>
      <w:r>
        <w:rPr>
          <w:spacing w:val="-2"/>
          <w:sz w:val="18"/>
        </w:rPr>
        <w:t> </w:t>
      </w:r>
      <w:r>
        <w:rPr>
          <w:sz w:val="18"/>
        </w:rPr>
        <w:t>you can complete</w:t>
      </w:r>
      <w:r>
        <w:rPr>
          <w:spacing w:val="-1"/>
          <w:sz w:val="18"/>
        </w:rPr>
        <w:t> </w:t>
      </w:r>
      <w:r>
        <w:rPr>
          <w:sz w:val="18"/>
        </w:rPr>
        <w:t>the survey.</w:t>
      </w:r>
    </w:p>
    <w:p>
      <w:pPr>
        <w:pStyle w:val="BodyText"/>
        <w:spacing w:before="5"/>
        <w:rPr>
          <w:sz w:val="16"/>
        </w:rPr>
      </w:pPr>
    </w:p>
    <w:p>
      <w:pPr>
        <w:pStyle w:val="BodyText"/>
        <w:ind w:left="420"/>
      </w:pPr>
      <w:r>
        <w:rPr/>
        <w:t>Yes</w:t>
      </w:r>
      <w:r>
        <w:rPr>
          <w:spacing w:val="53"/>
        </w:rPr>
        <w:t> </w:t>
      </w:r>
      <w:r>
        <w:rPr/>
        <w:t>(4)</w:t>
      </w:r>
    </w:p>
    <w:p>
      <w:pPr>
        <w:spacing w:after="0"/>
        <w:sectPr>
          <w:type w:val="continuous"/>
          <w:pgSz w:w="11910" w:h="16840"/>
          <w:pgMar w:header="0" w:footer="948" w:top="940" w:bottom="1140" w:left="300" w:right="0"/>
        </w:sectPr>
      </w:pPr>
    </w:p>
    <w:p>
      <w:pPr>
        <w:pStyle w:val="BodyText"/>
      </w:pPr>
    </w:p>
    <w:p>
      <w:pPr>
        <w:pStyle w:val="BodyText"/>
      </w:pPr>
    </w:p>
    <w:p>
      <w:pPr>
        <w:pStyle w:val="BodyText"/>
      </w:pPr>
    </w:p>
    <w:p>
      <w:pPr>
        <w:pStyle w:val="BodyText"/>
      </w:pPr>
    </w:p>
    <w:p>
      <w:pPr>
        <w:pStyle w:val="BodyText"/>
        <w:spacing w:before="10"/>
        <w:rPr>
          <w:sz w:val="27"/>
        </w:rPr>
      </w:pPr>
    </w:p>
    <w:p>
      <w:pPr>
        <w:pStyle w:val="Heading1"/>
        <w:ind w:left="1140" w:right="2629"/>
      </w:pPr>
      <w:r>
        <w:rPr/>
        <w:drawing>
          <wp:anchor distT="0" distB="0" distL="0" distR="0" allowOverlap="1" layoutInCell="1" locked="0" behindDoc="1" simplePos="0" relativeHeight="475917824">
            <wp:simplePos x="0" y="0"/>
            <wp:positionH relativeFrom="page">
              <wp:posOffset>256083</wp:posOffset>
            </wp:positionH>
            <wp:positionV relativeFrom="paragraph">
              <wp:posOffset>-851523</wp:posOffset>
            </wp:positionV>
            <wp:extent cx="7302956" cy="1024402"/>
            <wp:effectExtent l="0" t="0" r="0" b="0"/>
            <wp:wrapNone/>
            <wp:docPr id="1091" name="image8.jpeg"/>
            <wp:cNvGraphicFramePr>
              <a:graphicFrameLocks noChangeAspect="1"/>
            </wp:cNvGraphicFramePr>
            <a:graphic>
              <a:graphicData uri="http://schemas.openxmlformats.org/drawingml/2006/picture">
                <pic:pic>
                  <pic:nvPicPr>
                    <pic:cNvPr id="1092" name="image8.jpeg"/>
                    <pic:cNvPicPr/>
                  </pic:nvPicPr>
                  <pic:blipFill>
                    <a:blip r:embed="rId32" cstate="print"/>
                    <a:stretch>
                      <a:fillRect/>
                    </a:stretch>
                  </pic:blipFill>
                  <pic:spPr>
                    <a:xfrm>
                      <a:off x="0" y="0"/>
                      <a:ext cx="7302956" cy="1024402"/>
                    </a:xfrm>
                    <a:prstGeom prst="rect">
                      <a:avLst/>
                    </a:prstGeom>
                  </pic:spPr>
                </pic:pic>
              </a:graphicData>
            </a:graphic>
          </wp:anchor>
        </w:drawing>
      </w:r>
      <w:bookmarkStart w:name="_bookmark85" w:id="86"/>
      <w:bookmarkEnd w:id="86"/>
      <w:r>
        <w:rPr/>
      </w:r>
      <w:r>
        <w:rPr>
          <w:color w:val="003C79"/>
        </w:rPr>
        <w:t>Appendix D – Practice</w:t>
      </w:r>
      <w:r>
        <w:rPr>
          <w:color w:val="003C79"/>
          <w:spacing w:val="-197"/>
        </w:rPr>
        <w:t> </w:t>
      </w:r>
      <w:r>
        <w:rPr>
          <w:color w:val="003C79"/>
        </w:rPr>
        <w:t>staff</w:t>
      </w:r>
      <w:r>
        <w:rPr>
          <w:color w:val="003C79"/>
          <w:spacing w:val="-2"/>
        </w:rPr>
        <w:t> </w:t>
      </w:r>
      <w:r>
        <w:rPr>
          <w:color w:val="003C79"/>
        </w:rPr>
        <w:t>survey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1"/>
        </w:rPr>
      </w:pPr>
      <w:r>
        <w:rPr/>
        <w:pict>
          <v:rect style="position:absolute;margin-left:70.584pt;margin-top:8.449794pt;width:454.27pt;height:.48004pt;mso-position-horizontal-relative:page;mso-position-vertical-relative:paragraph;z-index:-15571968;mso-wrap-distance-left:0;mso-wrap-distance-right:0" id="docshape183" filled="true" fillcolor="#d9d9d9" stroked="false">
            <v:fill type="solid"/>
            <w10:wrap type="topAndBottom"/>
          </v:rect>
        </w:pict>
      </w:r>
    </w:p>
    <w:p>
      <w:pPr>
        <w:spacing w:after="0"/>
        <w:rPr>
          <w:sz w:val="11"/>
        </w:rPr>
        <w:sectPr>
          <w:footerReference w:type="default" r:id="rId50"/>
          <w:pgSz w:w="11910" w:h="16840"/>
          <w:pgMar w:footer="730" w:header="0" w:top="0" w:bottom="920" w:left="300" w:right="0"/>
        </w:sectPr>
      </w:pPr>
    </w:p>
    <w:p>
      <w:pPr>
        <w:pStyle w:val="Heading4"/>
        <w:spacing w:line="278" w:lineRule="auto" w:before="76"/>
        <w:ind w:left="5031" w:right="1061" w:hanging="4257"/>
      </w:pPr>
      <w:r>
        <w:rPr>
          <w:color w:val="808080"/>
        </w:rPr>
        <w:t>Health care homes program practice staff survey – Round 1 and</w:t>
      </w:r>
      <w:r>
        <w:rPr>
          <w:color w:val="808080"/>
          <w:spacing w:val="-91"/>
        </w:rPr>
        <w:t> </w:t>
      </w:r>
      <w:r>
        <w:rPr>
          <w:color w:val="808080"/>
        </w:rPr>
        <w:t>Round 5</w:t>
      </w:r>
    </w:p>
    <w:p>
      <w:pPr>
        <w:pStyle w:val="BodyText"/>
        <w:spacing w:before="4"/>
        <w:rPr>
          <w:rFonts w:ascii="Arial Black"/>
          <w:sz w:val="17"/>
        </w:rPr>
      </w:pPr>
      <w:r>
        <w:rPr/>
        <w:pict>
          <v:shape style="position:absolute;margin-left:42pt;margin-top:13.418125pt;width:511.9pt;height:38.050pt;mso-position-horizontal-relative:page;mso-position-vertical-relative:paragraph;z-index:-15570944;mso-wrap-distance-left:0;mso-wrap-distance-right:0" type="#_x0000_t202" id="docshape186" filled="true" fillcolor="#f1f1f1" stroked="false">
            <v:textbox inset="0,0,0,0">
              <w:txbxContent>
                <w:p>
                  <w:pPr>
                    <w:spacing w:line="276" w:lineRule="auto" w:before="0"/>
                    <w:ind w:left="28" w:right="39" w:firstLine="0"/>
                    <w:jc w:val="left"/>
                    <w:rPr>
                      <w:color w:val="000000"/>
                      <w:sz w:val="18"/>
                    </w:rPr>
                  </w:pPr>
                  <w:r>
                    <w:rPr>
                      <w:color w:val="000000"/>
                      <w:sz w:val="18"/>
                    </w:rPr>
                    <w:t>This</w:t>
                  </w:r>
                  <w:r>
                    <w:rPr>
                      <w:color w:val="000000"/>
                      <w:spacing w:val="-4"/>
                      <w:sz w:val="18"/>
                    </w:rPr>
                    <w:t> </w:t>
                  </w:r>
                  <w:r>
                    <w:rPr>
                      <w:color w:val="000000"/>
                      <w:sz w:val="18"/>
                    </w:rPr>
                    <w:t>survey</w:t>
                  </w:r>
                  <w:r>
                    <w:rPr>
                      <w:color w:val="000000"/>
                      <w:spacing w:val="-3"/>
                      <w:sz w:val="18"/>
                    </w:rPr>
                    <w:t> </w:t>
                  </w:r>
                  <w:r>
                    <w:rPr>
                      <w:color w:val="000000"/>
                      <w:sz w:val="18"/>
                    </w:rPr>
                    <w:t>asks</w:t>
                  </w:r>
                  <w:r>
                    <w:rPr>
                      <w:color w:val="000000"/>
                      <w:spacing w:val="-4"/>
                      <w:sz w:val="18"/>
                    </w:rPr>
                    <w:t> </w:t>
                  </w:r>
                  <w:r>
                    <w:rPr>
                      <w:color w:val="000000"/>
                      <w:sz w:val="18"/>
                    </w:rPr>
                    <w:t>questions</w:t>
                  </w:r>
                  <w:r>
                    <w:rPr>
                      <w:color w:val="000000"/>
                      <w:spacing w:val="-2"/>
                      <w:sz w:val="18"/>
                    </w:rPr>
                    <w:t> </w:t>
                  </w:r>
                  <w:r>
                    <w:rPr>
                      <w:color w:val="000000"/>
                      <w:sz w:val="18"/>
                    </w:rPr>
                    <w:t>about</w:t>
                  </w:r>
                  <w:r>
                    <w:rPr>
                      <w:color w:val="000000"/>
                      <w:spacing w:val="-4"/>
                      <w:sz w:val="18"/>
                    </w:rPr>
                    <w:t> </w:t>
                  </w:r>
                  <w:r>
                    <w:rPr>
                      <w:color w:val="000000"/>
                      <w:sz w:val="18"/>
                    </w:rPr>
                    <w:t>your</w:t>
                  </w:r>
                  <w:r>
                    <w:rPr>
                      <w:color w:val="000000"/>
                      <w:spacing w:val="-3"/>
                      <w:sz w:val="18"/>
                    </w:rPr>
                    <w:t> </w:t>
                  </w:r>
                  <w:r>
                    <w:rPr>
                      <w:color w:val="000000"/>
                      <w:sz w:val="18"/>
                    </w:rPr>
                    <w:t>experiences</w:t>
                  </w:r>
                  <w:r>
                    <w:rPr>
                      <w:color w:val="000000"/>
                      <w:spacing w:val="-3"/>
                      <w:sz w:val="18"/>
                    </w:rPr>
                    <w:t> </w:t>
                  </w:r>
                  <w:r>
                    <w:rPr>
                      <w:color w:val="000000"/>
                      <w:sz w:val="18"/>
                    </w:rPr>
                    <w:t>as</w:t>
                  </w:r>
                  <w:r>
                    <w:rPr>
                      <w:color w:val="000000"/>
                      <w:spacing w:val="-3"/>
                      <w:sz w:val="18"/>
                    </w:rPr>
                    <w:t> </w:t>
                  </w:r>
                  <w:r>
                    <w:rPr>
                      <w:color w:val="000000"/>
                      <w:sz w:val="18"/>
                    </w:rPr>
                    <w:t>a</w:t>
                  </w:r>
                  <w:r>
                    <w:rPr>
                      <w:color w:val="000000"/>
                      <w:spacing w:val="-6"/>
                      <w:sz w:val="18"/>
                    </w:rPr>
                    <w:t> </w:t>
                  </w:r>
                  <w:r>
                    <w:rPr>
                      <w:color w:val="000000"/>
                      <w:sz w:val="18"/>
                    </w:rPr>
                    <w:t>member</w:t>
                  </w:r>
                  <w:r>
                    <w:rPr>
                      <w:color w:val="000000"/>
                      <w:spacing w:val="-1"/>
                      <w:sz w:val="18"/>
                    </w:rPr>
                    <w:t> </w:t>
                  </w:r>
                  <w:r>
                    <w:rPr>
                      <w:color w:val="000000"/>
                      <w:sz w:val="18"/>
                    </w:rPr>
                    <w:t>of</w:t>
                  </w:r>
                  <w:r>
                    <w:rPr>
                      <w:color w:val="000000"/>
                      <w:spacing w:val="-2"/>
                      <w:sz w:val="18"/>
                    </w:rPr>
                    <w:t> </w:t>
                  </w:r>
                  <w:r>
                    <w:rPr>
                      <w:color w:val="000000"/>
                      <w:sz w:val="18"/>
                    </w:rPr>
                    <w:t>staff</w:t>
                  </w:r>
                  <w:r>
                    <w:rPr>
                      <w:color w:val="000000"/>
                      <w:spacing w:val="-2"/>
                      <w:sz w:val="18"/>
                    </w:rPr>
                    <w:t> </w:t>
                  </w:r>
                  <w:r>
                    <w:rPr>
                      <w:color w:val="000000"/>
                      <w:sz w:val="18"/>
                    </w:rPr>
                    <w:t>of</w:t>
                  </w:r>
                  <w:r>
                    <w:rPr>
                      <w:color w:val="000000"/>
                      <w:spacing w:val="-2"/>
                      <w:sz w:val="18"/>
                    </w:rPr>
                    <w:t> </w:t>
                  </w:r>
                  <w:r>
                    <w:rPr>
                      <w:color w:val="000000"/>
                      <w:sz w:val="18"/>
                    </w:rPr>
                    <w:t>the</w:t>
                  </w:r>
                  <w:r>
                    <w:rPr>
                      <w:color w:val="000000"/>
                      <w:spacing w:val="-3"/>
                      <w:sz w:val="18"/>
                    </w:rPr>
                    <w:t> </w:t>
                  </w:r>
                  <w:r>
                    <w:rPr>
                      <w:color w:val="000000"/>
                      <w:sz w:val="18"/>
                    </w:rPr>
                    <w:t>primary</w:t>
                  </w:r>
                  <w:r>
                    <w:rPr>
                      <w:color w:val="000000"/>
                      <w:spacing w:val="-3"/>
                      <w:sz w:val="18"/>
                    </w:rPr>
                    <w:t> </w:t>
                  </w:r>
                  <w:r>
                    <w:rPr>
                      <w:color w:val="000000"/>
                      <w:sz w:val="18"/>
                    </w:rPr>
                    <w:t>care</w:t>
                  </w:r>
                  <w:r>
                    <w:rPr>
                      <w:color w:val="000000"/>
                      <w:spacing w:val="-3"/>
                      <w:sz w:val="18"/>
                    </w:rPr>
                    <w:t> </w:t>
                  </w:r>
                  <w:r>
                    <w:rPr>
                      <w:color w:val="000000"/>
                      <w:sz w:val="18"/>
                    </w:rPr>
                    <w:t>practice/</w:t>
                  </w:r>
                  <w:r>
                    <w:rPr>
                      <w:color w:val="000000"/>
                      <w:spacing w:val="-4"/>
                      <w:sz w:val="18"/>
                    </w:rPr>
                    <w:t> </w:t>
                  </w:r>
                  <w:r>
                    <w:rPr>
                      <w:color w:val="000000"/>
                      <w:sz w:val="18"/>
                    </w:rPr>
                    <w:t>service,</w:t>
                  </w:r>
                  <w:r>
                    <w:rPr>
                      <w:color w:val="000000"/>
                      <w:spacing w:val="-6"/>
                      <w:sz w:val="18"/>
                    </w:rPr>
                    <w:t> </w:t>
                  </w:r>
                  <w:r>
                    <w:rPr>
                      <w:color w:val="000000"/>
                      <w:sz w:val="18"/>
                    </w:rPr>
                    <w:t>which</w:t>
                  </w:r>
                  <w:r>
                    <w:rPr>
                      <w:color w:val="000000"/>
                      <w:spacing w:val="-5"/>
                      <w:sz w:val="18"/>
                    </w:rPr>
                    <w:t> </w:t>
                  </w:r>
                  <w:r>
                    <w:rPr>
                      <w:color w:val="000000"/>
                      <w:sz w:val="18"/>
                    </w:rPr>
                    <w:t>is</w:t>
                  </w:r>
                  <w:r>
                    <w:rPr>
                      <w:color w:val="000000"/>
                      <w:spacing w:val="1"/>
                      <w:sz w:val="18"/>
                    </w:rPr>
                    <w:t> </w:t>
                  </w:r>
                  <w:r>
                    <w:rPr>
                      <w:color w:val="000000"/>
                      <w:sz w:val="18"/>
                    </w:rPr>
                    <w:t>participating</w:t>
                  </w:r>
                  <w:r>
                    <w:rPr>
                      <w:color w:val="000000"/>
                      <w:spacing w:val="-2"/>
                      <w:sz w:val="18"/>
                    </w:rPr>
                    <w:t> </w:t>
                  </w:r>
                  <w:r>
                    <w:rPr>
                      <w:color w:val="000000"/>
                      <w:sz w:val="18"/>
                    </w:rPr>
                    <w:t>in</w:t>
                  </w:r>
                  <w:r>
                    <w:rPr>
                      <w:color w:val="000000"/>
                      <w:spacing w:val="2"/>
                      <w:sz w:val="18"/>
                    </w:rPr>
                    <w:t> </w:t>
                  </w:r>
                  <w:r>
                    <w:rPr>
                      <w:color w:val="000000"/>
                      <w:sz w:val="18"/>
                    </w:rPr>
                    <w:t>the</w:t>
                  </w:r>
                  <w:r>
                    <w:rPr>
                      <w:color w:val="000000"/>
                      <w:spacing w:val="2"/>
                      <w:sz w:val="18"/>
                    </w:rPr>
                    <w:t> </w:t>
                  </w:r>
                  <w:r>
                    <w:rPr>
                      <w:color w:val="000000"/>
                      <w:sz w:val="18"/>
                    </w:rPr>
                    <w:t>Health Care</w:t>
                  </w:r>
                  <w:r>
                    <w:rPr>
                      <w:color w:val="000000"/>
                      <w:spacing w:val="2"/>
                      <w:sz w:val="18"/>
                    </w:rPr>
                    <w:t> </w:t>
                  </w:r>
                  <w:r>
                    <w:rPr>
                      <w:color w:val="000000"/>
                      <w:sz w:val="18"/>
                    </w:rPr>
                    <w:t>Homes</w:t>
                  </w:r>
                  <w:r>
                    <w:rPr>
                      <w:color w:val="000000"/>
                      <w:spacing w:val="3"/>
                      <w:sz w:val="18"/>
                    </w:rPr>
                    <w:t> </w:t>
                  </w:r>
                  <w:r>
                    <w:rPr>
                      <w:color w:val="000000"/>
                      <w:sz w:val="18"/>
                    </w:rPr>
                    <w:t>(HCH)</w:t>
                  </w:r>
                  <w:r>
                    <w:rPr>
                      <w:color w:val="000000"/>
                      <w:spacing w:val="-1"/>
                      <w:sz w:val="18"/>
                    </w:rPr>
                    <w:t> </w:t>
                  </w:r>
                  <w:r>
                    <w:rPr>
                      <w:color w:val="000000"/>
                      <w:sz w:val="18"/>
                    </w:rPr>
                    <w:t>program.</w:t>
                  </w:r>
                  <w:r>
                    <w:rPr>
                      <w:color w:val="000000"/>
                      <w:spacing w:val="2"/>
                      <w:sz w:val="18"/>
                    </w:rPr>
                    <w:t> </w:t>
                  </w:r>
                  <w:r>
                    <w:rPr>
                      <w:color w:val="000000"/>
                      <w:sz w:val="18"/>
                    </w:rPr>
                    <w:t>There</w:t>
                  </w:r>
                  <w:r>
                    <w:rPr>
                      <w:color w:val="000000"/>
                      <w:spacing w:val="1"/>
                      <w:sz w:val="18"/>
                    </w:rPr>
                    <w:t> </w:t>
                  </w:r>
                  <w:r>
                    <w:rPr>
                      <w:color w:val="000000"/>
                      <w:sz w:val="18"/>
                    </w:rPr>
                    <w:t>are</w:t>
                  </w:r>
                  <w:r>
                    <w:rPr>
                      <w:color w:val="000000"/>
                      <w:spacing w:val="2"/>
                      <w:sz w:val="18"/>
                    </w:rPr>
                    <w:t> </w:t>
                  </w:r>
                  <w:r>
                    <w:rPr>
                      <w:color w:val="000000"/>
                      <w:sz w:val="18"/>
                    </w:rPr>
                    <w:t>also</w:t>
                  </w:r>
                  <w:r>
                    <w:rPr>
                      <w:color w:val="000000"/>
                      <w:spacing w:val="1"/>
                      <w:sz w:val="18"/>
                    </w:rPr>
                    <w:t> </w:t>
                  </w:r>
                  <w:r>
                    <w:rPr>
                      <w:color w:val="000000"/>
                      <w:sz w:val="18"/>
                    </w:rPr>
                    <w:t>a</w:t>
                  </w:r>
                  <w:r>
                    <w:rPr>
                      <w:color w:val="000000"/>
                      <w:spacing w:val="-1"/>
                      <w:sz w:val="18"/>
                    </w:rPr>
                    <w:t> </w:t>
                  </w:r>
                  <w:r>
                    <w:rPr>
                      <w:color w:val="000000"/>
                      <w:sz w:val="18"/>
                    </w:rPr>
                    <w:t>few</w:t>
                  </w:r>
                  <w:r>
                    <w:rPr>
                      <w:color w:val="000000"/>
                      <w:spacing w:val="1"/>
                      <w:sz w:val="18"/>
                    </w:rPr>
                    <w:t> </w:t>
                  </w:r>
                  <w:r>
                    <w:rPr>
                      <w:color w:val="000000"/>
                      <w:sz w:val="18"/>
                    </w:rPr>
                    <w:t>questions</w:t>
                  </w:r>
                  <w:r>
                    <w:rPr>
                      <w:color w:val="000000"/>
                      <w:spacing w:val="2"/>
                      <w:sz w:val="18"/>
                    </w:rPr>
                    <w:t> </w:t>
                  </w:r>
                  <w:r>
                    <w:rPr>
                      <w:color w:val="000000"/>
                      <w:sz w:val="18"/>
                    </w:rPr>
                    <w:t>about</w:t>
                  </w:r>
                  <w:r>
                    <w:rPr>
                      <w:color w:val="000000"/>
                      <w:spacing w:val="-1"/>
                      <w:sz w:val="18"/>
                    </w:rPr>
                    <w:t> </w:t>
                  </w:r>
                  <w:r>
                    <w:rPr>
                      <w:color w:val="000000"/>
                      <w:sz w:val="18"/>
                    </w:rPr>
                    <w:t>you, to</w:t>
                  </w:r>
                  <w:r>
                    <w:rPr>
                      <w:color w:val="000000"/>
                      <w:spacing w:val="1"/>
                      <w:sz w:val="18"/>
                    </w:rPr>
                    <w:t> </w:t>
                  </w:r>
                  <w:r>
                    <w:rPr>
                      <w:color w:val="000000"/>
                      <w:sz w:val="18"/>
                    </w:rPr>
                    <w:t>help us</w:t>
                  </w:r>
                  <w:r>
                    <w:rPr>
                      <w:color w:val="000000"/>
                      <w:spacing w:val="1"/>
                      <w:sz w:val="18"/>
                    </w:rPr>
                    <w:t> </w:t>
                  </w:r>
                  <w:r>
                    <w:rPr>
                      <w:color w:val="000000"/>
                      <w:sz w:val="18"/>
                    </w:rPr>
                    <w:t>interpret</w:t>
                  </w:r>
                  <w:r>
                    <w:rPr>
                      <w:color w:val="000000"/>
                      <w:spacing w:val="-3"/>
                      <w:sz w:val="18"/>
                    </w:rPr>
                    <w:t> </w:t>
                  </w:r>
                  <w:r>
                    <w:rPr>
                      <w:color w:val="000000"/>
                      <w:sz w:val="18"/>
                    </w:rPr>
                    <w:t>your</w:t>
                  </w:r>
                  <w:r>
                    <w:rPr>
                      <w:color w:val="000000"/>
                      <w:spacing w:val="-2"/>
                      <w:sz w:val="18"/>
                    </w:rPr>
                    <w:t> </w:t>
                  </w:r>
                  <w:r>
                    <w:rPr>
                      <w:color w:val="000000"/>
                      <w:sz w:val="18"/>
                    </w:rPr>
                    <w:t>responses.</w:t>
                  </w:r>
                  <w:r>
                    <w:rPr>
                      <w:color w:val="000000"/>
                      <w:spacing w:val="47"/>
                      <w:sz w:val="18"/>
                    </w:rPr>
                    <w:t> </w:t>
                  </w:r>
                  <w:r>
                    <w:rPr>
                      <w:color w:val="000000"/>
                      <w:sz w:val="18"/>
                    </w:rPr>
                    <w:t>The survey</w:t>
                  </w:r>
                  <w:r>
                    <w:rPr>
                      <w:color w:val="000000"/>
                      <w:spacing w:val="-1"/>
                      <w:sz w:val="18"/>
                    </w:rPr>
                    <w:t> </w:t>
                  </w:r>
                  <w:r>
                    <w:rPr>
                      <w:color w:val="000000"/>
                      <w:sz w:val="18"/>
                    </w:rPr>
                    <w:t>will</w:t>
                  </w:r>
                  <w:r>
                    <w:rPr>
                      <w:color w:val="000000"/>
                      <w:spacing w:val="-2"/>
                      <w:sz w:val="18"/>
                    </w:rPr>
                    <w:t> </w:t>
                  </w:r>
                  <w:r>
                    <w:rPr>
                      <w:color w:val="000000"/>
                      <w:sz w:val="18"/>
                    </w:rPr>
                    <w:t>take 15-20 minutes</w:t>
                  </w:r>
                  <w:r>
                    <w:rPr>
                      <w:color w:val="000000"/>
                      <w:spacing w:val="-2"/>
                      <w:sz w:val="18"/>
                    </w:rPr>
                    <w:t> </w:t>
                  </w:r>
                  <w:r>
                    <w:rPr>
                      <w:color w:val="000000"/>
                      <w:sz w:val="18"/>
                    </w:rPr>
                    <w:t>to complete.</w:t>
                  </w:r>
                </w:p>
              </w:txbxContent>
            </v:textbox>
            <v:fill type="solid"/>
            <w10:wrap type="topAndBottom"/>
          </v:shape>
        </w:pict>
      </w:r>
      <w:r>
        <w:rPr/>
        <w:pict>
          <v:shape style="position:absolute;margin-left:42pt;margin-top:57.458126pt;width:511.9pt;height:38.2pt;mso-position-horizontal-relative:page;mso-position-vertical-relative:paragraph;z-index:-15570432;mso-wrap-distance-left:0;mso-wrap-distance-right:0" type="#_x0000_t202" id="docshape187" filled="true" fillcolor="#f1f1f1" stroked="false">
            <v:textbox inset="0,0,0,0">
              <w:txbxContent>
                <w:p>
                  <w:pPr>
                    <w:spacing w:line="276" w:lineRule="auto" w:before="0"/>
                    <w:ind w:left="28" w:right="77" w:firstLine="0"/>
                    <w:jc w:val="both"/>
                    <w:rPr>
                      <w:color w:val="000000"/>
                      <w:sz w:val="18"/>
                    </w:rPr>
                  </w:pPr>
                  <w:r>
                    <w:rPr>
                      <w:color w:val="000000"/>
                      <w:sz w:val="18"/>
                    </w:rPr>
                    <w:t>The</w:t>
                  </w:r>
                  <w:r>
                    <w:rPr>
                      <w:color w:val="000000"/>
                      <w:spacing w:val="-2"/>
                      <w:sz w:val="18"/>
                    </w:rPr>
                    <w:t> </w:t>
                  </w:r>
                  <w:r>
                    <w:rPr>
                      <w:color w:val="000000"/>
                      <w:sz w:val="18"/>
                    </w:rPr>
                    <w:t>information</w:t>
                  </w:r>
                  <w:r>
                    <w:rPr>
                      <w:color w:val="000000"/>
                      <w:spacing w:val="-2"/>
                      <w:sz w:val="18"/>
                    </w:rPr>
                    <w:t> </w:t>
                  </w:r>
                  <w:r>
                    <w:rPr>
                      <w:color w:val="000000"/>
                      <w:sz w:val="18"/>
                    </w:rPr>
                    <w:t>that</w:t>
                  </w:r>
                  <w:r>
                    <w:rPr>
                      <w:color w:val="000000"/>
                      <w:spacing w:val="-4"/>
                      <w:sz w:val="18"/>
                    </w:rPr>
                    <w:t> </w:t>
                  </w:r>
                  <w:r>
                    <w:rPr>
                      <w:color w:val="000000"/>
                      <w:sz w:val="18"/>
                    </w:rPr>
                    <w:t>you</w:t>
                  </w:r>
                  <w:r>
                    <w:rPr>
                      <w:color w:val="000000"/>
                      <w:spacing w:val="-2"/>
                      <w:sz w:val="18"/>
                    </w:rPr>
                    <w:t> </w:t>
                  </w:r>
                  <w:r>
                    <w:rPr>
                      <w:color w:val="000000"/>
                      <w:sz w:val="18"/>
                    </w:rPr>
                    <w:t>provide</w:t>
                  </w:r>
                  <w:r>
                    <w:rPr>
                      <w:color w:val="000000"/>
                      <w:spacing w:val="-2"/>
                      <w:sz w:val="18"/>
                    </w:rPr>
                    <w:t> </w:t>
                  </w:r>
                  <w:r>
                    <w:rPr>
                      <w:color w:val="000000"/>
                      <w:sz w:val="18"/>
                    </w:rPr>
                    <w:t>will</w:t>
                  </w:r>
                  <w:r>
                    <w:rPr>
                      <w:color w:val="000000"/>
                      <w:spacing w:val="-3"/>
                      <w:sz w:val="18"/>
                    </w:rPr>
                    <w:t> </w:t>
                  </w:r>
                  <w:r>
                    <w:rPr>
                      <w:color w:val="000000"/>
                      <w:sz w:val="18"/>
                    </w:rPr>
                    <w:t>be</w:t>
                  </w:r>
                  <w:r>
                    <w:rPr>
                      <w:color w:val="000000"/>
                      <w:spacing w:val="-4"/>
                      <w:sz w:val="18"/>
                    </w:rPr>
                    <w:t> </w:t>
                  </w:r>
                  <w:r>
                    <w:rPr>
                      <w:color w:val="000000"/>
                      <w:sz w:val="18"/>
                    </w:rPr>
                    <w:t>kept</w:t>
                  </w:r>
                  <w:r>
                    <w:rPr>
                      <w:color w:val="000000"/>
                      <w:spacing w:val="-4"/>
                      <w:sz w:val="18"/>
                    </w:rPr>
                    <w:t> </w:t>
                  </w:r>
                  <w:r>
                    <w:rPr>
                      <w:color w:val="000000"/>
                      <w:sz w:val="18"/>
                    </w:rPr>
                    <w:t>strictly</w:t>
                  </w:r>
                  <w:r>
                    <w:rPr>
                      <w:color w:val="000000"/>
                      <w:spacing w:val="-3"/>
                      <w:sz w:val="18"/>
                    </w:rPr>
                    <w:t> </w:t>
                  </w:r>
                  <w:r>
                    <w:rPr>
                      <w:color w:val="000000"/>
                      <w:sz w:val="18"/>
                    </w:rPr>
                    <w:t>confidential,</w:t>
                  </w:r>
                  <w:r>
                    <w:rPr>
                      <w:color w:val="000000"/>
                      <w:spacing w:val="-3"/>
                      <w:sz w:val="18"/>
                    </w:rPr>
                    <w:t> </w:t>
                  </w:r>
                  <w:r>
                    <w:rPr>
                      <w:color w:val="000000"/>
                      <w:sz w:val="18"/>
                    </w:rPr>
                    <w:t>and</w:t>
                  </w:r>
                  <w:r>
                    <w:rPr>
                      <w:color w:val="000000"/>
                      <w:spacing w:val="-3"/>
                      <w:sz w:val="18"/>
                    </w:rPr>
                    <w:t> </w:t>
                  </w:r>
                  <w:r>
                    <w:rPr>
                      <w:color w:val="000000"/>
                      <w:sz w:val="18"/>
                    </w:rPr>
                    <w:t>will</w:t>
                  </w:r>
                  <w:r>
                    <w:rPr>
                      <w:color w:val="000000"/>
                      <w:spacing w:val="-4"/>
                      <w:sz w:val="18"/>
                    </w:rPr>
                    <w:t> </w:t>
                  </w:r>
                  <w:r>
                    <w:rPr>
                      <w:color w:val="000000"/>
                      <w:sz w:val="18"/>
                    </w:rPr>
                    <w:t>not</w:t>
                  </w:r>
                  <w:r>
                    <w:rPr>
                      <w:color w:val="000000"/>
                      <w:spacing w:val="-4"/>
                      <w:sz w:val="18"/>
                    </w:rPr>
                    <w:t> </w:t>
                  </w:r>
                  <w:r>
                    <w:rPr>
                      <w:color w:val="000000"/>
                      <w:sz w:val="18"/>
                    </w:rPr>
                    <w:t>be</w:t>
                  </w:r>
                  <w:r>
                    <w:rPr>
                      <w:color w:val="000000"/>
                      <w:spacing w:val="-2"/>
                      <w:sz w:val="18"/>
                    </w:rPr>
                    <w:t> </w:t>
                  </w:r>
                  <w:r>
                    <w:rPr>
                      <w:color w:val="000000"/>
                      <w:sz w:val="18"/>
                    </w:rPr>
                    <w:t>used</w:t>
                  </w:r>
                  <w:r>
                    <w:rPr>
                      <w:color w:val="000000"/>
                      <w:spacing w:val="-3"/>
                      <w:sz w:val="18"/>
                    </w:rPr>
                    <w:t> </w:t>
                  </w:r>
                  <w:r>
                    <w:rPr>
                      <w:color w:val="000000"/>
                      <w:sz w:val="18"/>
                    </w:rPr>
                    <w:t>for</w:t>
                  </w:r>
                  <w:r>
                    <w:rPr>
                      <w:color w:val="000000"/>
                      <w:spacing w:val="-2"/>
                      <w:sz w:val="18"/>
                    </w:rPr>
                    <w:t> </w:t>
                  </w:r>
                  <w:r>
                    <w:rPr>
                      <w:color w:val="000000"/>
                      <w:sz w:val="18"/>
                    </w:rPr>
                    <w:t>any</w:t>
                  </w:r>
                  <w:r>
                    <w:rPr>
                      <w:color w:val="000000"/>
                      <w:spacing w:val="-3"/>
                      <w:sz w:val="18"/>
                    </w:rPr>
                    <w:t> </w:t>
                  </w:r>
                  <w:r>
                    <w:rPr>
                      <w:color w:val="000000"/>
                      <w:sz w:val="18"/>
                    </w:rPr>
                    <w:t>purpose</w:t>
                  </w:r>
                  <w:r>
                    <w:rPr>
                      <w:color w:val="000000"/>
                      <w:spacing w:val="-2"/>
                      <w:sz w:val="18"/>
                    </w:rPr>
                    <w:t> </w:t>
                  </w:r>
                  <w:r>
                    <w:rPr>
                      <w:color w:val="000000"/>
                      <w:sz w:val="18"/>
                    </w:rPr>
                    <w:t>other</w:t>
                  </w:r>
                  <w:r>
                    <w:rPr>
                      <w:color w:val="000000"/>
                      <w:spacing w:val="-3"/>
                      <w:sz w:val="18"/>
                    </w:rPr>
                    <w:t> </w:t>
                  </w:r>
                  <w:r>
                    <w:rPr>
                      <w:color w:val="000000"/>
                      <w:sz w:val="18"/>
                    </w:rPr>
                    <w:t>than</w:t>
                  </w:r>
                  <w:r>
                    <w:rPr>
                      <w:color w:val="000000"/>
                      <w:spacing w:val="-2"/>
                      <w:sz w:val="18"/>
                    </w:rPr>
                    <w:t> </w:t>
                  </w:r>
                  <w:r>
                    <w:rPr>
                      <w:color w:val="000000"/>
                      <w:sz w:val="18"/>
                    </w:rPr>
                    <w:t>the</w:t>
                  </w:r>
                  <w:r>
                    <w:rPr>
                      <w:color w:val="000000"/>
                      <w:spacing w:val="1"/>
                      <w:sz w:val="18"/>
                    </w:rPr>
                    <w:t> </w:t>
                  </w:r>
                  <w:r>
                    <w:rPr>
                      <w:color w:val="000000"/>
                      <w:sz w:val="18"/>
                    </w:rPr>
                    <w:t>evaluation of the Health Care Homes program. Your response to this survey is anonymous, and the practice/ service</w:t>
                  </w:r>
                  <w:r>
                    <w:rPr>
                      <w:color w:val="000000"/>
                      <w:spacing w:val="-47"/>
                      <w:sz w:val="18"/>
                    </w:rPr>
                    <w:t> </w:t>
                  </w:r>
                  <w:r>
                    <w:rPr>
                      <w:color w:val="000000"/>
                      <w:sz w:val="18"/>
                    </w:rPr>
                    <w:t>in</w:t>
                  </w:r>
                  <w:r>
                    <w:rPr>
                      <w:color w:val="000000"/>
                      <w:spacing w:val="-1"/>
                      <w:sz w:val="18"/>
                    </w:rPr>
                    <w:t> </w:t>
                  </w:r>
                  <w:r>
                    <w:rPr>
                      <w:color w:val="000000"/>
                      <w:sz w:val="18"/>
                    </w:rPr>
                    <w:t>which you</w:t>
                  </w:r>
                  <w:r>
                    <w:rPr>
                      <w:color w:val="000000"/>
                      <w:spacing w:val="-2"/>
                      <w:sz w:val="18"/>
                    </w:rPr>
                    <w:t> </w:t>
                  </w:r>
                  <w:r>
                    <w:rPr>
                      <w:color w:val="000000"/>
                      <w:sz w:val="18"/>
                    </w:rPr>
                    <w:t>work will</w:t>
                  </w:r>
                  <w:r>
                    <w:rPr>
                      <w:color w:val="000000"/>
                      <w:spacing w:val="-1"/>
                      <w:sz w:val="18"/>
                    </w:rPr>
                    <w:t> </w:t>
                  </w:r>
                  <w:r>
                    <w:rPr>
                      <w:color w:val="000000"/>
                      <w:sz w:val="18"/>
                    </w:rPr>
                    <w:t>not</w:t>
                  </w:r>
                  <w:r>
                    <w:rPr>
                      <w:color w:val="000000"/>
                      <w:spacing w:val="-2"/>
                      <w:sz w:val="18"/>
                    </w:rPr>
                    <w:t> </w:t>
                  </w:r>
                  <w:r>
                    <w:rPr>
                      <w:color w:val="000000"/>
                      <w:sz w:val="18"/>
                    </w:rPr>
                    <w:t>be</w:t>
                  </w:r>
                  <w:r>
                    <w:rPr>
                      <w:color w:val="000000"/>
                      <w:spacing w:val="-1"/>
                      <w:sz w:val="18"/>
                    </w:rPr>
                    <w:t> </w:t>
                  </w:r>
                  <w:r>
                    <w:rPr>
                      <w:color w:val="000000"/>
                      <w:sz w:val="18"/>
                    </w:rPr>
                    <w:t>identified</w:t>
                  </w:r>
                  <w:r>
                    <w:rPr>
                      <w:color w:val="000000"/>
                      <w:spacing w:val="-3"/>
                      <w:sz w:val="18"/>
                    </w:rPr>
                    <w:t> </w:t>
                  </w:r>
                  <w:r>
                    <w:rPr>
                      <w:color w:val="000000"/>
                      <w:sz w:val="18"/>
                    </w:rPr>
                    <w:t>in any</w:t>
                  </w:r>
                  <w:r>
                    <w:rPr>
                      <w:color w:val="000000"/>
                      <w:spacing w:val="-3"/>
                      <w:sz w:val="18"/>
                    </w:rPr>
                    <w:t> </w:t>
                  </w:r>
                  <w:r>
                    <w:rPr>
                      <w:color w:val="000000"/>
                      <w:sz w:val="18"/>
                    </w:rPr>
                    <w:t>reports.</w:t>
                  </w:r>
                </w:p>
              </w:txbxContent>
            </v:textbox>
            <v:fill type="solid"/>
            <w10:wrap type="topAndBottom"/>
          </v:shape>
        </w:pict>
      </w:r>
      <w:r>
        <w:rPr/>
        <w:pict>
          <v:shape style="position:absolute;margin-left:42pt;margin-top:101.618126pt;width:511.9pt;height:50.8pt;mso-position-horizontal-relative:page;mso-position-vertical-relative:paragraph;z-index:-15569920;mso-wrap-distance-left:0;mso-wrap-distance-right:0" type="#_x0000_t202" id="docshape188" filled="true" fillcolor="#f1f1f1" stroked="false">
            <v:textbox inset="0,0,0,0">
              <w:txbxContent>
                <w:p>
                  <w:pPr>
                    <w:spacing w:line="276" w:lineRule="auto" w:before="0"/>
                    <w:ind w:left="28" w:right="39" w:firstLine="0"/>
                    <w:jc w:val="left"/>
                    <w:rPr>
                      <w:color w:val="000000"/>
                      <w:sz w:val="18"/>
                    </w:rPr>
                  </w:pPr>
                  <w:r>
                    <w:rPr>
                      <w:color w:val="000000"/>
                      <w:sz w:val="18"/>
                    </w:rPr>
                    <w:t>The</w:t>
                  </w:r>
                  <w:r>
                    <w:rPr>
                      <w:color w:val="000000"/>
                      <w:spacing w:val="-4"/>
                      <w:sz w:val="18"/>
                    </w:rPr>
                    <w:t> </w:t>
                  </w:r>
                  <w:r>
                    <w:rPr>
                      <w:color w:val="000000"/>
                      <w:sz w:val="18"/>
                    </w:rPr>
                    <w:t>evaluation</w:t>
                  </w:r>
                  <w:r>
                    <w:rPr>
                      <w:color w:val="000000"/>
                      <w:spacing w:val="-3"/>
                      <w:sz w:val="18"/>
                    </w:rPr>
                    <w:t> </w:t>
                  </w:r>
                  <w:r>
                    <w:rPr>
                      <w:color w:val="000000"/>
                      <w:sz w:val="18"/>
                    </w:rPr>
                    <w:t>is</w:t>
                  </w:r>
                  <w:r>
                    <w:rPr>
                      <w:color w:val="000000"/>
                      <w:spacing w:val="-4"/>
                      <w:sz w:val="18"/>
                    </w:rPr>
                    <w:t> </w:t>
                  </w:r>
                  <w:r>
                    <w:rPr>
                      <w:color w:val="000000"/>
                      <w:sz w:val="18"/>
                    </w:rPr>
                    <w:t>being</w:t>
                  </w:r>
                  <w:r>
                    <w:rPr>
                      <w:color w:val="000000"/>
                      <w:spacing w:val="-5"/>
                      <w:sz w:val="18"/>
                    </w:rPr>
                    <w:t> </w:t>
                  </w:r>
                  <w:r>
                    <w:rPr>
                      <w:color w:val="000000"/>
                      <w:sz w:val="18"/>
                    </w:rPr>
                    <w:t>conducted</w:t>
                  </w:r>
                  <w:r>
                    <w:rPr>
                      <w:color w:val="000000"/>
                      <w:spacing w:val="-4"/>
                      <w:sz w:val="18"/>
                    </w:rPr>
                    <w:t> </w:t>
                  </w:r>
                  <w:r>
                    <w:rPr>
                      <w:color w:val="000000"/>
                      <w:sz w:val="18"/>
                    </w:rPr>
                    <w:t>by</w:t>
                  </w:r>
                  <w:r>
                    <w:rPr>
                      <w:color w:val="000000"/>
                      <w:spacing w:val="-4"/>
                      <w:sz w:val="18"/>
                    </w:rPr>
                    <w:t> </w:t>
                  </w:r>
                  <w:r>
                    <w:rPr>
                      <w:color w:val="000000"/>
                      <w:sz w:val="18"/>
                    </w:rPr>
                    <w:t>Health</w:t>
                  </w:r>
                  <w:r>
                    <w:rPr>
                      <w:color w:val="000000"/>
                      <w:spacing w:val="-3"/>
                      <w:sz w:val="18"/>
                    </w:rPr>
                    <w:t> </w:t>
                  </w:r>
                  <w:r>
                    <w:rPr>
                      <w:color w:val="000000"/>
                      <w:sz w:val="18"/>
                    </w:rPr>
                    <w:t>Policy Analysis</w:t>
                  </w:r>
                  <w:r>
                    <w:rPr>
                      <w:color w:val="000000"/>
                      <w:spacing w:val="-4"/>
                      <w:sz w:val="18"/>
                    </w:rPr>
                    <w:t> </w:t>
                  </w:r>
                  <w:r>
                    <w:rPr>
                      <w:color w:val="000000"/>
                      <w:sz w:val="18"/>
                    </w:rPr>
                    <w:t>on</w:t>
                  </w:r>
                  <w:r>
                    <w:rPr>
                      <w:color w:val="000000"/>
                      <w:spacing w:val="-3"/>
                      <w:sz w:val="18"/>
                    </w:rPr>
                    <w:t> </w:t>
                  </w:r>
                  <w:r>
                    <w:rPr>
                      <w:color w:val="000000"/>
                      <w:sz w:val="18"/>
                    </w:rPr>
                    <w:t>behalf</w:t>
                  </w:r>
                  <w:r>
                    <w:rPr>
                      <w:color w:val="000000"/>
                      <w:spacing w:val="-5"/>
                      <w:sz w:val="18"/>
                    </w:rPr>
                    <w:t> </w:t>
                  </w:r>
                  <w:r>
                    <w:rPr>
                      <w:color w:val="000000"/>
                      <w:sz w:val="18"/>
                    </w:rPr>
                    <w:t>of</w:t>
                  </w:r>
                  <w:r>
                    <w:rPr>
                      <w:color w:val="000000"/>
                      <w:spacing w:val="-2"/>
                      <w:sz w:val="18"/>
                    </w:rPr>
                    <w:t> </w:t>
                  </w:r>
                  <w:r>
                    <w:rPr>
                      <w:color w:val="000000"/>
                      <w:sz w:val="18"/>
                    </w:rPr>
                    <w:t>the</w:t>
                  </w:r>
                  <w:r>
                    <w:rPr>
                      <w:color w:val="000000"/>
                      <w:spacing w:val="-6"/>
                      <w:sz w:val="18"/>
                    </w:rPr>
                    <w:t> </w:t>
                  </w:r>
                  <w:r>
                    <w:rPr>
                      <w:color w:val="000000"/>
                      <w:sz w:val="18"/>
                    </w:rPr>
                    <w:t>Commonwealth</w:t>
                  </w:r>
                  <w:r>
                    <w:rPr>
                      <w:color w:val="000000"/>
                      <w:spacing w:val="-3"/>
                      <w:sz w:val="18"/>
                    </w:rPr>
                    <w:t> </w:t>
                  </w:r>
                  <w:r>
                    <w:rPr>
                      <w:color w:val="000000"/>
                      <w:sz w:val="18"/>
                    </w:rPr>
                    <w:t>Department</w:t>
                  </w:r>
                  <w:r>
                    <w:rPr>
                      <w:color w:val="000000"/>
                      <w:spacing w:val="-5"/>
                      <w:sz w:val="18"/>
                    </w:rPr>
                    <w:t> </w:t>
                  </w:r>
                  <w:r>
                    <w:rPr>
                      <w:color w:val="000000"/>
                      <w:sz w:val="18"/>
                    </w:rPr>
                    <w:t>of</w:t>
                  </w:r>
                  <w:r>
                    <w:rPr>
                      <w:color w:val="000000"/>
                      <w:spacing w:val="-2"/>
                      <w:sz w:val="18"/>
                    </w:rPr>
                    <w:t> </w:t>
                  </w:r>
                  <w:r>
                    <w:rPr>
                      <w:color w:val="000000"/>
                      <w:sz w:val="18"/>
                    </w:rPr>
                    <w:t>Health.</w:t>
                  </w:r>
                  <w:r>
                    <w:rPr>
                      <w:color w:val="000000"/>
                      <w:spacing w:val="1"/>
                      <w:sz w:val="18"/>
                    </w:rPr>
                    <w:t> </w:t>
                  </w:r>
                  <w:r>
                    <w:rPr>
                      <w:color w:val="000000"/>
                      <w:sz w:val="18"/>
                    </w:rPr>
                    <w:t>If you have any questions regarding the HCH program, please contact </w:t>
                  </w:r>
                  <w:hyperlink r:id="rId40">
                    <w:r>
                      <w:rPr>
                        <w:color w:val="000000"/>
                        <w:sz w:val="18"/>
                      </w:rPr>
                      <w:t>healthcarehomes@health.gov.au. </w:t>
                    </w:r>
                  </w:hyperlink>
                  <w:r>
                    <w:rPr>
                      <w:color w:val="000000"/>
                      <w:sz w:val="18"/>
                    </w:rPr>
                    <w:t>If you</w:t>
                  </w:r>
                  <w:r>
                    <w:rPr>
                      <w:color w:val="000000"/>
                      <w:spacing w:val="1"/>
                      <w:sz w:val="18"/>
                    </w:rPr>
                    <w:t> </w:t>
                  </w:r>
                  <w:r>
                    <w:rPr>
                      <w:color w:val="000000"/>
                      <w:sz w:val="18"/>
                    </w:rPr>
                    <w:t>would like any further information about this survey or the evaluation, please contact Health Policy Analysis on (02)</w:t>
                  </w:r>
                  <w:r>
                    <w:rPr>
                      <w:color w:val="000000"/>
                      <w:spacing w:val="1"/>
                      <w:sz w:val="18"/>
                    </w:rPr>
                    <w:t> </w:t>
                  </w:r>
                  <w:r>
                    <w:rPr>
                      <w:color w:val="000000"/>
                      <w:sz w:val="18"/>
                    </w:rPr>
                    <w:t>8065</w:t>
                  </w:r>
                  <w:r>
                    <w:rPr>
                      <w:color w:val="000000"/>
                      <w:spacing w:val="-1"/>
                      <w:sz w:val="18"/>
                    </w:rPr>
                    <w:t> </w:t>
                  </w:r>
                  <w:r>
                    <w:rPr>
                      <w:color w:val="000000"/>
                      <w:sz w:val="18"/>
                    </w:rPr>
                    <w:t>6491 or</w:t>
                  </w:r>
                  <w:r>
                    <w:rPr>
                      <w:color w:val="000000"/>
                      <w:spacing w:val="-1"/>
                      <w:sz w:val="18"/>
                    </w:rPr>
                    <w:t> </w:t>
                  </w:r>
                  <w:hyperlink r:id="rId38">
                    <w:r>
                      <w:rPr>
                        <w:color w:val="000000"/>
                        <w:sz w:val="18"/>
                      </w:rPr>
                      <w:t>info@healthpolicy.com.au.</w:t>
                    </w:r>
                  </w:hyperlink>
                </w:p>
              </w:txbxContent>
            </v:textbox>
            <v:fill type="solid"/>
            <w10:wrap type="topAndBottom"/>
          </v:shape>
        </w:pict>
      </w:r>
      <w:r>
        <w:rPr/>
        <w:pict>
          <v:shape style="position:absolute;margin-left:42pt;margin-top:158.408127pt;width:511.9pt;height:126.85pt;mso-position-horizontal-relative:page;mso-position-vertical-relative:paragraph;z-index:-15569408;mso-wrap-distance-left:0;mso-wrap-distance-right:0" type="#_x0000_t202" id="docshape189" filled="true" fillcolor="#f1f1f1" stroked="false">
            <v:textbox inset="0,0,0,0">
              <w:txbxContent>
                <w:p>
                  <w:pPr>
                    <w:spacing w:line="276" w:lineRule="auto" w:before="0"/>
                    <w:ind w:left="28" w:right="39" w:firstLine="0"/>
                    <w:jc w:val="left"/>
                    <w:rPr>
                      <w:color w:val="000000"/>
                      <w:sz w:val="18"/>
                    </w:rPr>
                  </w:pPr>
                  <w:r>
                    <w:rPr>
                      <w:color w:val="000000"/>
                      <w:sz w:val="18"/>
                    </w:rPr>
                    <w:t>The evaluation of HCH was approved by the Department of Health Human Research Ethics Committee [Project 04-</w:t>
                  </w:r>
                  <w:r>
                    <w:rPr>
                      <w:color w:val="000000"/>
                      <w:spacing w:val="1"/>
                      <w:sz w:val="18"/>
                    </w:rPr>
                    <w:t> </w:t>
                  </w:r>
                  <w:r>
                    <w:rPr>
                      <w:color w:val="000000"/>
                      <w:sz w:val="18"/>
                    </w:rPr>
                    <w:t>2017] in September 2017. This committee subsequently disbanded, and in September 2018, ethical oversight for the</w:t>
                  </w:r>
                  <w:r>
                    <w:rPr>
                      <w:color w:val="000000"/>
                      <w:spacing w:val="1"/>
                      <w:sz w:val="18"/>
                    </w:rPr>
                    <w:t> </w:t>
                  </w:r>
                  <w:r>
                    <w:rPr>
                      <w:color w:val="000000"/>
                      <w:sz w:val="18"/>
                    </w:rPr>
                    <w:t>evaluation</w:t>
                  </w:r>
                  <w:r>
                    <w:rPr>
                      <w:color w:val="000000"/>
                      <w:spacing w:val="-3"/>
                      <w:sz w:val="18"/>
                    </w:rPr>
                    <w:t> </w:t>
                  </w:r>
                  <w:r>
                    <w:rPr>
                      <w:color w:val="000000"/>
                      <w:sz w:val="18"/>
                    </w:rPr>
                    <w:t>was</w:t>
                  </w:r>
                  <w:r>
                    <w:rPr>
                      <w:color w:val="000000"/>
                      <w:spacing w:val="-4"/>
                      <w:sz w:val="18"/>
                    </w:rPr>
                    <w:t> </w:t>
                  </w:r>
                  <w:r>
                    <w:rPr>
                      <w:color w:val="000000"/>
                      <w:sz w:val="18"/>
                    </w:rPr>
                    <w:t>transferred</w:t>
                  </w:r>
                  <w:r>
                    <w:rPr>
                      <w:color w:val="000000"/>
                      <w:spacing w:val="-3"/>
                      <w:sz w:val="18"/>
                    </w:rPr>
                    <w:t> </w:t>
                  </w:r>
                  <w:r>
                    <w:rPr>
                      <w:color w:val="000000"/>
                      <w:sz w:val="18"/>
                    </w:rPr>
                    <w:t>to</w:t>
                  </w:r>
                  <w:r>
                    <w:rPr>
                      <w:color w:val="000000"/>
                      <w:spacing w:val="-4"/>
                      <w:sz w:val="18"/>
                    </w:rPr>
                    <w:t> </w:t>
                  </w:r>
                  <w:r>
                    <w:rPr>
                      <w:color w:val="000000"/>
                      <w:sz w:val="18"/>
                    </w:rPr>
                    <w:t>the</w:t>
                  </w:r>
                  <w:r>
                    <w:rPr>
                      <w:color w:val="000000"/>
                      <w:spacing w:val="2"/>
                      <w:sz w:val="18"/>
                    </w:rPr>
                    <w:t> </w:t>
                  </w:r>
                  <w:r>
                    <w:rPr>
                      <w:color w:val="000000"/>
                      <w:sz w:val="18"/>
                    </w:rPr>
                    <w:t>ACT</w:t>
                  </w:r>
                  <w:r>
                    <w:rPr>
                      <w:color w:val="000000"/>
                      <w:spacing w:val="-5"/>
                      <w:sz w:val="18"/>
                    </w:rPr>
                    <w:t> </w:t>
                  </w:r>
                  <w:r>
                    <w:rPr>
                      <w:color w:val="000000"/>
                      <w:sz w:val="18"/>
                    </w:rPr>
                    <w:t>Health</w:t>
                  </w:r>
                  <w:r>
                    <w:rPr>
                      <w:color w:val="000000"/>
                      <w:spacing w:val="-3"/>
                      <w:sz w:val="18"/>
                    </w:rPr>
                    <w:t> </w:t>
                  </w:r>
                  <w:r>
                    <w:rPr>
                      <w:color w:val="000000"/>
                      <w:sz w:val="18"/>
                    </w:rPr>
                    <w:t>Human</w:t>
                  </w:r>
                  <w:r>
                    <w:rPr>
                      <w:color w:val="000000"/>
                      <w:spacing w:val="-2"/>
                      <w:sz w:val="18"/>
                    </w:rPr>
                    <w:t> </w:t>
                  </w:r>
                  <w:r>
                    <w:rPr>
                      <w:color w:val="000000"/>
                      <w:sz w:val="18"/>
                    </w:rPr>
                    <w:t>Research</w:t>
                  </w:r>
                  <w:r>
                    <w:rPr>
                      <w:color w:val="000000"/>
                      <w:spacing w:val="-3"/>
                      <w:sz w:val="18"/>
                    </w:rPr>
                    <w:t> </w:t>
                  </w:r>
                  <w:r>
                    <w:rPr>
                      <w:color w:val="000000"/>
                      <w:sz w:val="18"/>
                    </w:rPr>
                    <w:t>Ethics</w:t>
                  </w:r>
                  <w:r>
                    <w:rPr>
                      <w:color w:val="000000"/>
                      <w:spacing w:val="-5"/>
                      <w:sz w:val="18"/>
                    </w:rPr>
                    <w:t> </w:t>
                  </w:r>
                  <w:r>
                    <w:rPr>
                      <w:color w:val="000000"/>
                      <w:sz w:val="18"/>
                    </w:rPr>
                    <w:t>Committee.</w:t>
                  </w:r>
                  <w:r>
                    <w:rPr>
                      <w:color w:val="000000"/>
                      <w:spacing w:val="-5"/>
                      <w:sz w:val="18"/>
                    </w:rPr>
                    <w:t> </w:t>
                  </w:r>
                  <w:r>
                    <w:rPr>
                      <w:color w:val="000000"/>
                      <w:sz w:val="18"/>
                    </w:rPr>
                    <w:t>Concerns</w:t>
                  </w:r>
                  <w:r>
                    <w:rPr>
                      <w:color w:val="000000"/>
                      <w:spacing w:val="-3"/>
                      <w:sz w:val="18"/>
                    </w:rPr>
                    <w:t> </w:t>
                  </w:r>
                  <w:r>
                    <w:rPr>
                      <w:color w:val="000000"/>
                      <w:sz w:val="18"/>
                    </w:rPr>
                    <w:t>or</w:t>
                  </w:r>
                  <w:r>
                    <w:rPr>
                      <w:color w:val="000000"/>
                      <w:spacing w:val="-4"/>
                      <w:sz w:val="18"/>
                    </w:rPr>
                    <w:t> </w:t>
                  </w:r>
                  <w:r>
                    <w:rPr>
                      <w:color w:val="000000"/>
                      <w:sz w:val="18"/>
                    </w:rPr>
                    <w:t>complaints</w:t>
                  </w:r>
                  <w:r>
                    <w:rPr>
                      <w:color w:val="000000"/>
                      <w:spacing w:val="-3"/>
                      <w:sz w:val="18"/>
                    </w:rPr>
                    <w:t> </w:t>
                  </w:r>
                  <w:r>
                    <w:rPr>
                      <w:color w:val="000000"/>
                      <w:sz w:val="18"/>
                    </w:rPr>
                    <w:t>about</w:t>
                  </w:r>
                  <w:r>
                    <w:rPr>
                      <w:color w:val="000000"/>
                      <w:spacing w:val="-5"/>
                      <w:sz w:val="18"/>
                    </w:rPr>
                    <w:t> </w:t>
                  </w:r>
                  <w:r>
                    <w:rPr>
                      <w:color w:val="000000"/>
                      <w:sz w:val="18"/>
                    </w:rPr>
                    <w:t>the</w:t>
                  </w:r>
                  <w:r>
                    <w:rPr>
                      <w:color w:val="000000"/>
                      <w:spacing w:val="1"/>
                      <w:sz w:val="18"/>
                    </w:rPr>
                    <w:t> </w:t>
                  </w:r>
                  <w:r>
                    <w:rPr>
                      <w:color w:val="000000"/>
                      <w:sz w:val="18"/>
                    </w:rPr>
                    <w:t>ethical conduct of the evaluation should be made in writing to the ACT Health Human Research Ethics Office</w:t>
                  </w:r>
                  <w:r>
                    <w:rPr>
                      <w:color w:val="000000"/>
                      <w:spacing w:val="1"/>
                      <w:sz w:val="18"/>
                    </w:rPr>
                    <w:t> </w:t>
                  </w:r>
                  <w:r>
                    <w:rPr>
                      <w:color w:val="000000"/>
                      <w:sz w:val="18"/>
                    </w:rPr>
                    <w:t>(</w:t>
                  </w:r>
                  <w:hyperlink r:id="rId52">
                    <w:r>
                      <w:rPr>
                        <w:color w:val="0000FF"/>
                        <w:sz w:val="18"/>
                        <w:u w:val="single" w:color="0000FF"/>
                      </w:rPr>
                      <w:t>ethics@act.gov.au</w:t>
                    </w:r>
                  </w:hyperlink>
                  <w:r>
                    <w:rPr>
                      <w:color w:val="000000"/>
                      <w:sz w:val="18"/>
                    </w:rPr>
                    <w:t>).</w:t>
                  </w:r>
                </w:p>
                <w:p>
                  <w:pPr>
                    <w:pStyle w:val="BodyText"/>
                    <w:spacing w:before="6"/>
                    <w:rPr>
                      <w:color w:val="000000"/>
                    </w:rPr>
                  </w:pPr>
                </w:p>
                <w:p>
                  <w:pPr>
                    <w:spacing w:line="276" w:lineRule="auto" w:before="0"/>
                    <w:ind w:left="28" w:right="205" w:firstLine="0"/>
                    <w:jc w:val="left"/>
                    <w:rPr>
                      <w:color w:val="000000"/>
                      <w:sz w:val="18"/>
                    </w:rPr>
                  </w:pPr>
                  <w:r>
                    <w:rPr>
                      <w:color w:val="000000"/>
                      <w:sz w:val="18"/>
                    </w:rPr>
                    <w:t>Answer each question based on your experience or opinion, related to the primary care practice/ service in which</w:t>
                  </w:r>
                  <w:r>
                    <w:rPr>
                      <w:color w:val="000000"/>
                      <w:spacing w:val="-47"/>
                      <w:sz w:val="18"/>
                    </w:rPr>
                    <w:t> </w:t>
                  </w:r>
                  <w:r>
                    <w:rPr>
                      <w:color w:val="000000"/>
                      <w:sz w:val="18"/>
                    </w:rPr>
                    <w:t>you currently work. Your answers should reflect your experiences of the 12 months prior to the commencement of</w:t>
                  </w:r>
                  <w:r>
                    <w:rPr>
                      <w:color w:val="000000"/>
                      <w:spacing w:val="1"/>
                      <w:sz w:val="18"/>
                    </w:rPr>
                    <w:t> </w:t>
                  </w:r>
                  <w:r>
                    <w:rPr>
                      <w:color w:val="000000"/>
                      <w:sz w:val="18"/>
                    </w:rPr>
                    <w:t>the</w:t>
                  </w:r>
                  <w:r>
                    <w:rPr>
                      <w:color w:val="000000"/>
                      <w:spacing w:val="-2"/>
                      <w:sz w:val="18"/>
                    </w:rPr>
                    <w:t> </w:t>
                  </w:r>
                  <w:r>
                    <w:rPr>
                      <w:color w:val="000000"/>
                      <w:sz w:val="18"/>
                    </w:rPr>
                    <w:t>HCH</w:t>
                  </w:r>
                  <w:r>
                    <w:rPr>
                      <w:color w:val="000000"/>
                      <w:spacing w:val="-3"/>
                      <w:sz w:val="18"/>
                    </w:rPr>
                    <w:t> </w:t>
                  </w:r>
                  <w:r>
                    <w:rPr>
                      <w:color w:val="000000"/>
                      <w:sz w:val="18"/>
                    </w:rPr>
                    <w:t>program.</w:t>
                  </w:r>
                  <w:r>
                    <w:rPr>
                      <w:color w:val="000000"/>
                      <w:spacing w:val="-4"/>
                      <w:sz w:val="18"/>
                    </w:rPr>
                    <w:t> </w:t>
                  </w:r>
                  <w:r>
                    <w:rPr>
                      <w:color w:val="000000"/>
                      <w:sz w:val="18"/>
                    </w:rPr>
                    <w:t>If</w:t>
                  </w:r>
                  <w:r>
                    <w:rPr>
                      <w:color w:val="000000"/>
                      <w:spacing w:val="-1"/>
                      <w:sz w:val="18"/>
                    </w:rPr>
                    <w:t> </w:t>
                  </w:r>
                  <w:r>
                    <w:rPr>
                      <w:color w:val="000000"/>
                      <w:sz w:val="18"/>
                    </w:rPr>
                    <w:t>you</w:t>
                  </w:r>
                  <w:r>
                    <w:rPr>
                      <w:color w:val="000000"/>
                      <w:spacing w:val="-2"/>
                      <w:sz w:val="18"/>
                    </w:rPr>
                    <w:t> </w:t>
                  </w:r>
                  <w:r>
                    <w:rPr>
                      <w:color w:val="000000"/>
                      <w:sz w:val="18"/>
                    </w:rPr>
                    <w:t>have</w:t>
                  </w:r>
                  <w:r>
                    <w:rPr>
                      <w:color w:val="000000"/>
                      <w:spacing w:val="-2"/>
                      <w:sz w:val="18"/>
                    </w:rPr>
                    <w:t> </w:t>
                  </w:r>
                  <w:r>
                    <w:rPr>
                      <w:color w:val="000000"/>
                      <w:sz w:val="18"/>
                    </w:rPr>
                    <w:t>not</w:t>
                  </w:r>
                  <w:r>
                    <w:rPr>
                      <w:color w:val="000000"/>
                      <w:spacing w:val="-3"/>
                      <w:sz w:val="18"/>
                    </w:rPr>
                    <w:t> </w:t>
                  </w:r>
                  <w:r>
                    <w:rPr>
                      <w:color w:val="000000"/>
                      <w:sz w:val="18"/>
                    </w:rPr>
                    <w:t>been</w:t>
                  </w:r>
                  <w:r>
                    <w:rPr>
                      <w:color w:val="000000"/>
                      <w:spacing w:val="-2"/>
                      <w:sz w:val="18"/>
                    </w:rPr>
                    <w:t> </w:t>
                  </w:r>
                  <w:r>
                    <w:rPr>
                      <w:color w:val="000000"/>
                      <w:sz w:val="18"/>
                    </w:rPr>
                    <w:t>working</w:t>
                  </w:r>
                  <w:r>
                    <w:rPr>
                      <w:color w:val="000000"/>
                      <w:spacing w:val="-4"/>
                      <w:sz w:val="18"/>
                    </w:rPr>
                    <w:t> </w:t>
                  </w:r>
                  <w:r>
                    <w:rPr>
                      <w:color w:val="000000"/>
                      <w:sz w:val="18"/>
                    </w:rPr>
                    <w:t>at</w:t>
                  </w:r>
                  <w:r>
                    <w:rPr>
                      <w:color w:val="000000"/>
                      <w:spacing w:val="-4"/>
                      <w:sz w:val="18"/>
                    </w:rPr>
                    <w:t> </w:t>
                  </w:r>
                  <w:r>
                    <w:rPr>
                      <w:color w:val="000000"/>
                      <w:sz w:val="18"/>
                    </w:rPr>
                    <w:t>the</w:t>
                  </w:r>
                  <w:r>
                    <w:rPr>
                      <w:color w:val="000000"/>
                      <w:spacing w:val="-3"/>
                      <w:sz w:val="18"/>
                    </w:rPr>
                    <w:t> </w:t>
                  </w:r>
                  <w:r>
                    <w:rPr>
                      <w:color w:val="000000"/>
                      <w:sz w:val="18"/>
                    </w:rPr>
                    <w:t>practice/</w:t>
                  </w:r>
                  <w:r>
                    <w:rPr>
                      <w:color w:val="000000"/>
                      <w:spacing w:val="-2"/>
                      <w:sz w:val="18"/>
                    </w:rPr>
                    <w:t> </w:t>
                  </w:r>
                  <w:r>
                    <w:rPr>
                      <w:color w:val="000000"/>
                      <w:sz w:val="18"/>
                    </w:rPr>
                    <w:t>service</w:t>
                  </w:r>
                  <w:r>
                    <w:rPr>
                      <w:color w:val="000000"/>
                      <w:spacing w:val="-4"/>
                      <w:sz w:val="18"/>
                    </w:rPr>
                    <w:t> </w:t>
                  </w:r>
                  <w:r>
                    <w:rPr>
                      <w:color w:val="000000"/>
                      <w:sz w:val="18"/>
                    </w:rPr>
                    <w:t>for</w:t>
                  </w:r>
                  <w:r>
                    <w:rPr>
                      <w:color w:val="000000"/>
                      <w:spacing w:val="-3"/>
                      <w:sz w:val="18"/>
                    </w:rPr>
                    <w:t> </w:t>
                  </w:r>
                  <w:r>
                    <w:rPr>
                      <w:color w:val="000000"/>
                      <w:sz w:val="18"/>
                    </w:rPr>
                    <w:t>12</w:t>
                  </w:r>
                  <w:r>
                    <w:rPr>
                      <w:color w:val="000000"/>
                      <w:spacing w:val="-2"/>
                      <w:sz w:val="18"/>
                    </w:rPr>
                    <w:t> </w:t>
                  </w:r>
                  <w:r>
                    <w:rPr>
                      <w:color w:val="000000"/>
                      <w:sz w:val="18"/>
                    </w:rPr>
                    <w:t>months,</w:t>
                  </w:r>
                  <w:r>
                    <w:rPr>
                      <w:color w:val="000000"/>
                      <w:spacing w:val="-5"/>
                      <w:sz w:val="18"/>
                    </w:rPr>
                    <w:t> </w:t>
                  </w:r>
                  <w:r>
                    <w:rPr>
                      <w:color w:val="000000"/>
                      <w:sz w:val="18"/>
                    </w:rPr>
                    <w:t>give</w:t>
                  </w:r>
                  <w:r>
                    <w:rPr>
                      <w:color w:val="000000"/>
                      <w:spacing w:val="-1"/>
                      <w:sz w:val="18"/>
                    </w:rPr>
                    <w:t> </w:t>
                  </w:r>
                  <w:r>
                    <w:rPr>
                      <w:color w:val="000000"/>
                      <w:sz w:val="18"/>
                    </w:rPr>
                    <w:t>your</w:t>
                  </w:r>
                  <w:r>
                    <w:rPr>
                      <w:color w:val="000000"/>
                      <w:spacing w:val="-2"/>
                      <w:sz w:val="18"/>
                    </w:rPr>
                    <w:t> </w:t>
                  </w:r>
                  <w:r>
                    <w:rPr>
                      <w:color w:val="000000"/>
                      <w:sz w:val="18"/>
                    </w:rPr>
                    <w:t>opinion</w:t>
                  </w:r>
                  <w:r>
                    <w:rPr>
                      <w:color w:val="000000"/>
                      <w:spacing w:val="-2"/>
                      <w:sz w:val="18"/>
                    </w:rPr>
                    <w:t> </w:t>
                  </w:r>
                  <w:r>
                    <w:rPr>
                      <w:color w:val="000000"/>
                      <w:sz w:val="18"/>
                    </w:rPr>
                    <w:t>based</w:t>
                  </w:r>
                  <w:r>
                    <w:rPr>
                      <w:color w:val="000000"/>
                      <w:spacing w:val="-3"/>
                      <w:sz w:val="18"/>
                    </w:rPr>
                    <w:t> </w:t>
                  </w:r>
                  <w:r>
                    <w:rPr>
                      <w:color w:val="000000"/>
                      <w:sz w:val="18"/>
                    </w:rPr>
                    <w:t>on</w:t>
                  </w:r>
                  <w:r>
                    <w:rPr>
                      <w:color w:val="000000"/>
                      <w:spacing w:val="1"/>
                      <w:sz w:val="18"/>
                    </w:rPr>
                    <w:t> </w:t>
                  </w:r>
                  <w:r>
                    <w:rPr>
                      <w:color w:val="000000"/>
                      <w:sz w:val="18"/>
                    </w:rPr>
                    <w:t>your</w:t>
                  </w:r>
                  <w:r>
                    <w:rPr>
                      <w:color w:val="000000"/>
                      <w:spacing w:val="-1"/>
                      <w:sz w:val="18"/>
                    </w:rPr>
                    <w:t> </w:t>
                  </w:r>
                  <w:r>
                    <w:rPr>
                      <w:color w:val="000000"/>
                      <w:sz w:val="18"/>
                    </w:rPr>
                    <w:t>experience since you</w:t>
                  </w:r>
                  <w:r>
                    <w:rPr>
                      <w:color w:val="000000"/>
                      <w:spacing w:val="-2"/>
                      <w:sz w:val="18"/>
                    </w:rPr>
                    <w:t> </w:t>
                  </w:r>
                  <w:r>
                    <w:rPr>
                      <w:color w:val="000000"/>
                      <w:sz w:val="18"/>
                    </w:rPr>
                    <w:t>commenced</w:t>
                  </w:r>
                  <w:r>
                    <w:rPr>
                      <w:color w:val="000000"/>
                      <w:spacing w:val="-1"/>
                      <w:sz w:val="18"/>
                    </w:rPr>
                    <w:t> </w:t>
                  </w:r>
                  <w:r>
                    <w:rPr>
                      <w:color w:val="000000"/>
                      <w:sz w:val="18"/>
                    </w:rPr>
                    <w:t>employment.</w:t>
                  </w:r>
                </w:p>
              </w:txbxContent>
            </v:textbox>
            <v:fill type="solid"/>
            <w10:wrap type="topAndBottom"/>
          </v:shape>
        </w:pict>
      </w:r>
    </w:p>
    <w:p>
      <w:pPr>
        <w:pStyle w:val="BodyText"/>
        <w:spacing w:before="11"/>
        <w:rPr>
          <w:rFonts w:ascii="Arial Black"/>
          <w:sz w:val="6"/>
        </w:rPr>
      </w:pPr>
    </w:p>
    <w:p>
      <w:pPr>
        <w:pStyle w:val="BodyText"/>
        <w:spacing w:before="11"/>
        <w:rPr>
          <w:rFonts w:ascii="Arial Black"/>
          <w:sz w:val="6"/>
        </w:rPr>
      </w:pPr>
    </w:p>
    <w:p>
      <w:pPr>
        <w:pStyle w:val="BodyText"/>
        <w:spacing w:before="11"/>
        <w:rPr>
          <w:rFonts w:ascii="Arial Black"/>
          <w:sz w:val="6"/>
        </w:rPr>
      </w:pPr>
    </w:p>
    <w:p>
      <w:pPr>
        <w:spacing w:before="313"/>
        <w:ind w:left="420" w:right="0" w:firstLine="0"/>
        <w:jc w:val="left"/>
        <w:rPr>
          <w:i/>
          <w:sz w:val="18"/>
        </w:rPr>
      </w:pPr>
      <w:r>
        <w:rPr>
          <w:i/>
          <w:sz w:val="18"/>
        </w:rPr>
        <w:t>Unless</w:t>
      </w:r>
      <w:r>
        <w:rPr>
          <w:i/>
          <w:spacing w:val="-4"/>
          <w:sz w:val="18"/>
        </w:rPr>
        <w:t> </w:t>
      </w:r>
      <w:r>
        <w:rPr>
          <w:i/>
          <w:sz w:val="18"/>
        </w:rPr>
        <w:t>otherwise</w:t>
      </w:r>
      <w:r>
        <w:rPr>
          <w:i/>
          <w:spacing w:val="-2"/>
          <w:sz w:val="18"/>
        </w:rPr>
        <w:t> </w:t>
      </w:r>
      <w:r>
        <w:rPr>
          <w:i/>
          <w:sz w:val="18"/>
        </w:rPr>
        <w:t>marked, questions</w:t>
      </w:r>
      <w:r>
        <w:rPr>
          <w:i/>
          <w:spacing w:val="-2"/>
          <w:sz w:val="18"/>
        </w:rPr>
        <w:t> </w:t>
      </w:r>
      <w:r>
        <w:rPr>
          <w:i/>
          <w:sz w:val="18"/>
        </w:rPr>
        <w:t>will be</w:t>
      </w:r>
      <w:r>
        <w:rPr>
          <w:i/>
          <w:spacing w:val="-4"/>
          <w:sz w:val="18"/>
        </w:rPr>
        <w:t> </w:t>
      </w:r>
      <w:r>
        <w:rPr>
          <w:i/>
          <w:sz w:val="18"/>
        </w:rPr>
        <w:t>asked</w:t>
      </w:r>
      <w:r>
        <w:rPr>
          <w:i/>
          <w:spacing w:val="-3"/>
          <w:sz w:val="18"/>
        </w:rPr>
        <w:t> </w:t>
      </w:r>
      <w:r>
        <w:rPr>
          <w:i/>
          <w:sz w:val="18"/>
        </w:rPr>
        <w:t>in</w:t>
      </w:r>
      <w:r>
        <w:rPr>
          <w:i/>
          <w:spacing w:val="-2"/>
          <w:sz w:val="18"/>
        </w:rPr>
        <w:t> </w:t>
      </w:r>
      <w:r>
        <w:rPr>
          <w:i/>
          <w:sz w:val="18"/>
        </w:rPr>
        <w:t>both</w:t>
      </w:r>
      <w:r>
        <w:rPr>
          <w:i/>
          <w:spacing w:val="-5"/>
          <w:sz w:val="18"/>
        </w:rPr>
        <w:t> </w:t>
      </w:r>
      <w:r>
        <w:rPr>
          <w:i/>
          <w:sz w:val="18"/>
        </w:rPr>
        <w:t>the</w:t>
      </w:r>
      <w:r>
        <w:rPr>
          <w:i/>
          <w:spacing w:val="-2"/>
          <w:sz w:val="18"/>
        </w:rPr>
        <w:t> </w:t>
      </w:r>
      <w:r>
        <w:rPr>
          <w:i/>
          <w:sz w:val="18"/>
        </w:rPr>
        <w:t>Round</w:t>
      </w:r>
      <w:r>
        <w:rPr>
          <w:i/>
          <w:spacing w:val="-3"/>
          <w:sz w:val="18"/>
        </w:rPr>
        <w:t> </w:t>
      </w:r>
      <w:r>
        <w:rPr>
          <w:i/>
          <w:sz w:val="18"/>
        </w:rPr>
        <w:t>1</w:t>
      </w:r>
      <w:r>
        <w:rPr>
          <w:i/>
          <w:spacing w:val="-1"/>
          <w:sz w:val="18"/>
        </w:rPr>
        <w:t> </w:t>
      </w:r>
      <w:r>
        <w:rPr>
          <w:i/>
          <w:sz w:val="18"/>
        </w:rPr>
        <w:t>and</w:t>
      </w:r>
      <w:r>
        <w:rPr>
          <w:i/>
          <w:spacing w:val="-5"/>
          <w:sz w:val="18"/>
        </w:rPr>
        <w:t> </w:t>
      </w:r>
      <w:r>
        <w:rPr>
          <w:i/>
          <w:sz w:val="18"/>
        </w:rPr>
        <w:t>Round</w:t>
      </w:r>
      <w:r>
        <w:rPr>
          <w:i/>
          <w:spacing w:val="-5"/>
          <w:sz w:val="18"/>
        </w:rPr>
        <w:t> </w:t>
      </w:r>
      <w:r>
        <w:rPr>
          <w:i/>
          <w:sz w:val="18"/>
        </w:rPr>
        <w:t>5</w:t>
      </w:r>
      <w:r>
        <w:rPr>
          <w:i/>
          <w:spacing w:val="-3"/>
          <w:sz w:val="18"/>
        </w:rPr>
        <w:t> </w:t>
      </w:r>
      <w:r>
        <w:rPr>
          <w:i/>
          <w:sz w:val="18"/>
        </w:rPr>
        <w:t>surveys.</w:t>
      </w:r>
    </w:p>
    <w:p>
      <w:pPr>
        <w:pStyle w:val="BodyText"/>
        <w:rPr>
          <w:i/>
          <w:sz w:val="19"/>
        </w:rPr>
      </w:pPr>
    </w:p>
    <w:p>
      <w:pPr>
        <w:pStyle w:val="ListParagraph"/>
        <w:numPr>
          <w:ilvl w:val="0"/>
          <w:numId w:val="87"/>
        </w:numPr>
        <w:tabs>
          <w:tab w:pos="622" w:val="left" w:leader="none"/>
        </w:tabs>
        <w:spacing w:line="240" w:lineRule="auto" w:before="0" w:after="0"/>
        <w:ind w:left="621" w:right="0" w:hanging="202"/>
        <w:jc w:val="left"/>
        <w:rPr>
          <w:sz w:val="18"/>
        </w:rPr>
      </w:pPr>
      <w:r>
        <w:rPr>
          <w:sz w:val="18"/>
        </w:rPr>
        <w:t>What</w:t>
      </w:r>
      <w:r>
        <w:rPr>
          <w:spacing w:val="-5"/>
          <w:sz w:val="18"/>
        </w:rPr>
        <w:t> </w:t>
      </w:r>
      <w:r>
        <w:rPr>
          <w:sz w:val="18"/>
        </w:rPr>
        <w:t>is</w:t>
      </w:r>
      <w:r>
        <w:rPr>
          <w:spacing w:val="-3"/>
          <w:sz w:val="18"/>
        </w:rPr>
        <w:t> </w:t>
      </w:r>
      <w:r>
        <w:rPr>
          <w:sz w:val="18"/>
        </w:rPr>
        <w:t>your</w:t>
      </w:r>
      <w:r>
        <w:rPr>
          <w:spacing w:val="-1"/>
          <w:sz w:val="18"/>
        </w:rPr>
        <w:t> </w:t>
      </w:r>
      <w:r>
        <w:rPr>
          <w:sz w:val="18"/>
        </w:rPr>
        <w:t>role</w:t>
      </w:r>
      <w:r>
        <w:rPr>
          <w:spacing w:val="-5"/>
          <w:sz w:val="18"/>
        </w:rPr>
        <w:t> </w:t>
      </w:r>
      <w:r>
        <w:rPr>
          <w:sz w:val="18"/>
        </w:rPr>
        <w:t>in</w:t>
      </w:r>
      <w:r>
        <w:rPr>
          <w:spacing w:val="-2"/>
          <w:sz w:val="18"/>
        </w:rPr>
        <w:t> </w:t>
      </w:r>
      <w:r>
        <w:rPr>
          <w:sz w:val="18"/>
        </w:rPr>
        <w:t>the</w:t>
      </w:r>
      <w:r>
        <w:rPr>
          <w:spacing w:val="-2"/>
          <w:sz w:val="18"/>
        </w:rPr>
        <w:t> </w:t>
      </w:r>
      <w:r>
        <w:rPr>
          <w:sz w:val="18"/>
        </w:rPr>
        <w:t>practice/</w:t>
      </w:r>
      <w:r>
        <w:rPr>
          <w:spacing w:val="-3"/>
          <w:sz w:val="18"/>
        </w:rPr>
        <w:t> </w:t>
      </w:r>
      <w:r>
        <w:rPr>
          <w:sz w:val="18"/>
        </w:rPr>
        <w:t>service?</w:t>
      </w:r>
    </w:p>
    <w:p>
      <w:pPr>
        <w:pStyle w:val="BodyText"/>
        <w:spacing w:before="11"/>
        <w:rPr>
          <w:sz w:val="10"/>
        </w:rPr>
      </w:pPr>
    </w:p>
    <w:p>
      <w:pPr>
        <w:spacing w:before="100"/>
        <w:ind w:left="1771" w:right="5812" w:firstLine="0"/>
        <w:jc w:val="left"/>
        <w:rPr>
          <w:sz w:val="18"/>
        </w:rPr>
      </w:pPr>
      <w:r>
        <w:rPr/>
        <w:drawing>
          <wp:anchor distT="0" distB="0" distL="0" distR="0" allowOverlap="1" layoutInCell="1" locked="0" behindDoc="0" simplePos="0" relativeHeight="15889408">
            <wp:simplePos x="0" y="0"/>
            <wp:positionH relativeFrom="page">
              <wp:posOffset>1102145</wp:posOffset>
            </wp:positionH>
            <wp:positionV relativeFrom="paragraph">
              <wp:posOffset>107714</wp:posOffset>
            </wp:positionV>
            <wp:extent cx="58380" cy="72151"/>
            <wp:effectExtent l="0" t="0" r="0" b="0"/>
            <wp:wrapNone/>
            <wp:docPr id="1093" name="image13.png"/>
            <wp:cNvGraphicFramePr>
              <a:graphicFrameLocks noChangeAspect="1"/>
            </wp:cNvGraphicFramePr>
            <a:graphic>
              <a:graphicData uri="http://schemas.openxmlformats.org/drawingml/2006/picture">
                <pic:pic>
                  <pic:nvPicPr>
                    <pic:cNvPr id="1094"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889920">
            <wp:simplePos x="0" y="0"/>
            <wp:positionH relativeFrom="page">
              <wp:posOffset>1102145</wp:posOffset>
            </wp:positionH>
            <wp:positionV relativeFrom="paragraph">
              <wp:posOffset>247729</wp:posOffset>
            </wp:positionV>
            <wp:extent cx="58380" cy="73869"/>
            <wp:effectExtent l="0" t="0" r="0" b="0"/>
            <wp:wrapNone/>
            <wp:docPr id="1095" name="image14.png"/>
            <wp:cNvGraphicFramePr>
              <a:graphicFrameLocks noChangeAspect="1"/>
            </wp:cNvGraphicFramePr>
            <a:graphic>
              <a:graphicData uri="http://schemas.openxmlformats.org/drawingml/2006/picture">
                <pic:pic>
                  <pic:nvPicPr>
                    <pic:cNvPr id="1096"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General practitioner, including GP registrar (1)</w:t>
      </w:r>
      <w:r>
        <w:rPr>
          <w:spacing w:val="-47"/>
          <w:sz w:val="18"/>
        </w:rPr>
        <w:t> </w:t>
      </w:r>
      <w:r>
        <w:rPr>
          <w:sz w:val="18"/>
        </w:rPr>
        <w:t>Practice</w:t>
      </w:r>
      <w:r>
        <w:rPr>
          <w:spacing w:val="-2"/>
          <w:sz w:val="18"/>
        </w:rPr>
        <w:t> </w:t>
      </w:r>
      <w:r>
        <w:rPr>
          <w:sz w:val="18"/>
        </w:rPr>
        <w:t>nurse/Nurse</w:t>
      </w:r>
      <w:r>
        <w:rPr>
          <w:spacing w:val="-1"/>
          <w:sz w:val="18"/>
        </w:rPr>
        <w:t> </w:t>
      </w:r>
      <w:r>
        <w:rPr>
          <w:sz w:val="18"/>
        </w:rPr>
        <w:t>Practitioner</w:t>
      </w:r>
      <w:r>
        <w:rPr>
          <w:spacing w:val="1"/>
          <w:sz w:val="18"/>
        </w:rPr>
        <w:t> </w:t>
      </w:r>
      <w:r>
        <w:rPr>
          <w:sz w:val="18"/>
        </w:rPr>
        <w:t>(2)</w:t>
      </w:r>
    </w:p>
    <w:p>
      <w:pPr>
        <w:spacing w:before="0"/>
        <w:ind w:left="1771" w:right="0" w:firstLine="0"/>
        <w:jc w:val="left"/>
        <w:rPr>
          <w:sz w:val="18"/>
        </w:rPr>
      </w:pPr>
      <w:r>
        <w:rPr/>
        <w:drawing>
          <wp:anchor distT="0" distB="0" distL="0" distR="0" allowOverlap="1" layoutInCell="1" locked="0" behindDoc="0" simplePos="0" relativeHeight="15890432">
            <wp:simplePos x="0" y="0"/>
            <wp:positionH relativeFrom="page">
              <wp:posOffset>1102145</wp:posOffset>
            </wp:positionH>
            <wp:positionV relativeFrom="paragraph">
              <wp:posOffset>44214</wp:posOffset>
            </wp:positionV>
            <wp:extent cx="58380" cy="72151"/>
            <wp:effectExtent l="0" t="0" r="0" b="0"/>
            <wp:wrapNone/>
            <wp:docPr id="1097" name="image13.png"/>
            <wp:cNvGraphicFramePr>
              <a:graphicFrameLocks noChangeAspect="1"/>
            </wp:cNvGraphicFramePr>
            <a:graphic>
              <a:graphicData uri="http://schemas.openxmlformats.org/drawingml/2006/picture">
                <pic:pic>
                  <pic:nvPicPr>
                    <pic:cNvPr id="109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Practice</w:t>
      </w:r>
      <w:r>
        <w:rPr>
          <w:spacing w:val="-3"/>
          <w:sz w:val="18"/>
        </w:rPr>
        <w:t> </w:t>
      </w:r>
      <w:r>
        <w:rPr>
          <w:sz w:val="18"/>
        </w:rPr>
        <w:t>manager</w:t>
      </w:r>
      <w:r>
        <w:rPr>
          <w:spacing w:val="45"/>
          <w:sz w:val="18"/>
        </w:rPr>
        <w:t> </w:t>
      </w:r>
      <w:r>
        <w:rPr>
          <w:sz w:val="18"/>
        </w:rPr>
        <w:t>5)</w:t>
      </w:r>
    </w:p>
    <w:p>
      <w:pPr>
        <w:spacing w:before="0"/>
        <w:ind w:left="1771" w:right="6319" w:firstLine="0"/>
        <w:jc w:val="left"/>
        <w:rPr>
          <w:sz w:val="18"/>
        </w:rPr>
      </w:pPr>
      <w:r>
        <w:rPr/>
        <w:drawing>
          <wp:anchor distT="0" distB="0" distL="0" distR="0" allowOverlap="1" layoutInCell="1" locked="0" behindDoc="0" simplePos="0" relativeHeight="15890944">
            <wp:simplePos x="0" y="0"/>
            <wp:positionH relativeFrom="page">
              <wp:posOffset>1102145</wp:posOffset>
            </wp:positionH>
            <wp:positionV relativeFrom="paragraph">
              <wp:posOffset>44214</wp:posOffset>
            </wp:positionV>
            <wp:extent cx="58380" cy="72151"/>
            <wp:effectExtent l="0" t="0" r="0" b="0"/>
            <wp:wrapNone/>
            <wp:docPr id="1099" name="image13.png"/>
            <wp:cNvGraphicFramePr>
              <a:graphicFrameLocks noChangeAspect="1"/>
            </wp:cNvGraphicFramePr>
            <a:graphic>
              <a:graphicData uri="http://schemas.openxmlformats.org/drawingml/2006/picture">
                <pic:pic>
                  <pic:nvPicPr>
                    <pic:cNvPr id="1100"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891456">
            <wp:simplePos x="0" y="0"/>
            <wp:positionH relativeFrom="page">
              <wp:posOffset>1102145</wp:posOffset>
            </wp:positionH>
            <wp:positionV relativeFrom="paragraph">
              <wp:posOffset>184229</wp:posOffset>
            </wp:positionV>
            <wp:extent cx="58380" cy="73869"/>
            <wp:effectExtent l="0" t="0" r="0" b="0"/>
            <wp:wrapNone/>
            <wp:docPr id="1101" name="image14.png"/>
            <wp:cNvGraphicFramePr>
              <a:graphicFrameLocks noChangeAspect="1"/>
            </wp:cNvGraphicFramePr>
            <a:graphic>
              <a:graphicData uri="http://schemas.openxmlformats.org/drawingml/2006/picture">
                <pic:pic>
                  <pic:nvPicPr>
                    <pic:cNvPr id="1102" name="image14.png"/>
                    <pic:cNvPicPr/>
                  </pic:nvPicPr>
                  <pic:blipFill>
                    <a:blip r:embed="rId43" cstate="print"/>
                    <a:stretch>
                      <a:fillRect/>
                    </a:stretch>
                  </pic:blipFill>
                  <pic:spPr>
                    <a:xfrm>
                      <a:off x="0" y="0"/>
                      <a:ext cx="58380" cy="73869"/>
                    </a:xfrm>
                    <a:prstGeom prst="rect">
                      <a:avLst/>
                    </a:prstGeom>
                  </pic:spPr>
                </pic:pic>
              </a:graphicData>
            </a:graphic>
          </wp:anchor>
        </w:drawing>
      </w:r>
      <w:r>
        <w:rPr/>
        <w:drawing>
          <wp:anchor distT="0" distB="0" distL="0" distR="0" allowOverlap="1" layoutInCell="1" locked="0" behindDoc="0" simplePos="0" relativeHeight="15891968">
            <wp:simplePos x="0" y="0"/>
            <wp:positionH relativeFrom="page">
              <wp:posOffset>1102145</wp:posOffset>
            </wp:positionH>
            <wp:positionV relativeFrom="paragraph">
              <wp:posOffset>324630</wp:posOffset>
            </wp:positionV>
            <wp:extent cx="58380" cy="72151"/>
            <wp:effectExtent l="0" t="0" r="0" b="0"/>
            <wp:wrapNone/>
            <wp:docPr id="1103" name="image13.png"/>
            <wp:cNvGraphicFramePr>
              <a:graphicFrameLocks noChangeAspect="1"/>
            </wp:cNvGraphicFramePr>
            <a:graphic>
              <a:graphicData uri="http://schemas.openxmlformats.org/drawingml/2006/picture">
                <pic:pic>
                  <pic:nvPicPr>
                    <pic:cNvPr id="110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Nurse assistant/Assistant in nursing (10)</w:t>
      </w:r>
      <w:r>
        <w:rPr>
          <w:spacing w:val="1"/>
          <w:sz w:val="18"/>
        </w:rPr>
        <w:t> </w:t>
      </w:r>
      <w:r>
        <w:rPr>
          <w:sz w:val="18"/>
        </w:rPr>
        <w:t>Aboriginal health worker/practitioner (4)</w:t>
      </w:r>
      <w:r>
        <w:rPr>
          <w:spacing w:val="-47"/>
          <w:sz w:val="18"/>
        </w:rPr>
        <w:t> </w:t>
      </w:r>
      <w:r>
        <w:rPr>
          <w:sz w:val="18"/>
        </w:rPr>
        <w:t>Medical</w:t>
      </w:r>
      <w:r>
        <w:rPr>
          <w:spacing w:val="-1"/>
          <w:sz w:val="18"/>
        </w:rPr>
        <w:t> </w:t>
      </w:r>
      <w:r>
        <w:rPr>
          <w:sz w:val="18"/>
        </w:rPr>
        <w:t>practice</w:t>
      </w:r>
      <w:r>
        <w:rPr>
          <w:spacing w:val="-1"/>
          <w:sz w:val="18"/>
        </w:rPr>
        <w:t> </w:t>
      </w:r>
      <w:r>
        <w:rPr>
          <w:sz w:val="18"/>
        </w:rPr>
        <w:t>assistant (11)</w:t>
      </w:r>
    </w:p>
    <w:p>
      <w:pPr>
        <w:spacing w:before="0"/>
        <w:ind w:left="1771" w:right="7368" w:firstLine="0"/>
        <w:jc w:val="left"/>
        <w:rPr>
          <w:sz w:val="18"/>
        </w:rPr>
      </w:pPr>
      <w:r>
        <w:rPr/>
        <w:drawing>
          <wp:anchor distT="0" distB="0" distL="0" distR="0" allowOverlap="1" layoutInCell="1" locked="0" behindDoc="0" simplePos="0" relativeHeight="15892480">
            <wp:simplePos x="0" y="0"/>
            <wp:positionH relativeFrom="page">
              <wp:posOffset>1102145</wp:posOffset>
            </wp:positionH>
            <wp:positionV relativeFrom="paragraph">
              <wp:posOffset>44214</wp:posOffset>
            </wp:positionV>
            <wp:extent cx="58380" cy="72151"/>
            <wp:effectExtent l="0" t="0" r="0" b="0"/>
            <wp:wrapNone/>
            <wp:docPr id="1105" name="image13.png"/>
            <wp:cNvGraphicFramePr>
              <a:graphicFrameLocks noChangeAspect="1"/>
            </wp:cNvGraphicFramePr>
            <a:graphic>
              <a:graphicData uri="http://schemas.openxmlformats.org/drawingml/2006/picture">
                <pic:pic>
                  <pic:nvPicPr>
                    <pic:cNvPr id="1106"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892992">
            <wp:simplePos x="0" y="0"/>
            <wp:positionH relativeFrom="page">
              <wp:posOffset>1102145</wp:posOffset>
            </wp:positionH>
            <wp:positionV relativeFrom="paragraph">
              <wp:posOffset>184422</wp:posOffset>
            </wp:positionV>
            <wp:extent cx="58380" cy="72151"/>
            <wp:effectExtent l="0" t="0" r="0" b="0"/>
            <wp:wrapNone/>
            <wp:docPr id="1107" name="image13.png"/>
            <wp:cNvGraphicFramePr>
              <a:graphicFrameLocks noChangeAspect="1"/>
            </wp:cNvGraphicFramePr>
            <a:graphic>
              <a:graphicData uri="http://schemas.openxmlformats.org/drawingml/2006/picture">
                <pic:pic>
                  <pic:nvPicPr>
                    <pic:cNvPr id="1108"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893504">
            <wp:simplePos x="0" y="0"/>
            <wp:positionH relativeFrom="page">
              <wp:posOffset>1102145</wp:posOffset>
            </wp:positionH>
            <wp:positionV relativeFrom="paragraph">
              <wp:posOffset>324630</wp:posOffset>
            </wp:positionV>
            <wp:extent cx="58380" cy="72151"/>
            <wp:effectExtent l="0" t="0" r="0" b="0"/>
            <wp:wrapNone/>
            <wp:docPr id="1109" name="image13.png"/>
            <wp:cNvGraphicFramePr>
              <a:graphicFrameLocks noChangeAspect="1"/>
            </wp:cNvGraphicFramePr>
            <a:graphic>
              <a:graphicData uri="http://schemas.openxmlformats.org/drawingml/2006/picture">
                <pic:pic>
                  <pic:nvPicPr>
                    <pic:cNvPr id="111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Allied health professional (3)</w:t>
      </w:r>
      <w:r>
        <w:rPr>
          <w:spacing w:val="-47"/>
          <w:sz w:val="18"/>
        </w:rPr>
        <w:t> </w:t>
      </w:r>
      <w:r>
        <w:rPr>
          <w:sz w:val="18"/>
        </w:rPr>
        <w:t>Allied health assistant (21)</w:t>
      </w:r>
      <w:r>
        <w:rPr>
          <w:spacing w:val="1"/>
          <w:sz w:val="18"/>
        </w:rPr>
        <w:t> </w:t>
      </w:r>
      <w:r>
        <w:rPr>
          <w:sz w:val="18"/>
        </w:rPr>
        <w:t>Receptionist (6)</w:t>
      </w:r>
    </w:p>
    <w:p>
      <w:pPr>
        <w:spacing w:before="1"/>
        <w:ind w:left="1771" w:right="7368" w:firstLine="0"/>
        <w:jc w:val="left"/>
        <w:rPr>
          <w:sz w:val="18"/>
        </w:rPr>
      </w:pPr>
      <w:r>
        <w:rPr/>
        <w:drawing>
          <wp:anchor distT="0" distB="0" distL="0" distR="0" allowOverlap="1" layoutInCell="1" locked="0" behindDoc="0" simplePos="0" relativeHeight="15894016">
            <wp:simplePos x="0" y="0"/>
            <wp:positionH relativeFrom="page">
              <wp:posOffset>1102145</wp:posOffset>
            </wp:positionH>
            <wp:positionV relativeFrom="paragraph">
              <wp:posOffset>44849</wp:posOffset>
            </wp:positionV>
            <wp:extent cx="58380" cy="72151"/>
            <wp:effectExtent l="0" t="0" r="0" b="0"/>
            <wp:wrapNone/>
            <wp:docPr id="1111" name="image13.png"/>
            <wp:cNvGraphicFramePr>
              <a:graphicFrameLocks noChangeAspect="1"/>
            </wp:cNvGraphicFramePr>
            <a:graphic>
              <a:graphicData uri="http://schemas.openxmlformats.org/drawingml/2006/picture">
                <pic:pic>
                  <pic:nvPicPr>
                    <pic:cNvPr id="1112"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894528">
            <wp:simplePos x="0" y="0"/>
            <wp:positionH relativeFrom="page">
              <wp:posOffset>1102145</wp:posOffset>
            </wp:positionH>
            <wp:positionV relativeFrom="paragraph">
              <wp:posOffset>185057</wp:posOffset>
            </wp:positionV>
            <wp:extent cx="58380" cy="72151"/>
            <wp:effectExtent l="0" t="0" r="0" b="0"/>
            <wp:wrapNone/>
            <wp:docPr id="1113" name="image13.png"/>
            <wp:cNvGraphicFramePr>
              <a:graphicFrameLocks noChangeAspect="1"/>
            </wp:cNvGraphicFramePr>
            <a:graphic>
              <a:graphicData uri="http://schemas.openxmlformats.org/drawingml/2006/picture">
                <pic:pic>
                  <pic:nvPicPr>
                    <pic:cNvPr id="111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Other administration (7)</w:t>
      </w:r>
      <w:r>
        <w:rPr>
          <w:spacing w:val="1"/>
          <w:sz w:val="18"/>
        </w:rPr>
        <w:t> </w:t>
      </w:r>
      <w:r>
        <w:rPr>
          <w:sz w:val="18"/>
        </w:rPr>
        <w:t>Other,</w:t>
      </w:r>
      <w:r>
        <w:rPr>
          <w:spacing w:val="-8"/>
          <w:sz w:val="18"/>
        </w:rPr>
        <w:t> </w:t>
      </w:r>
      <w:r>
        <w:rPr>
          <w:sz w:val="18"/>
        </w:rPr>
        <w:t>please</w:t>
      </w:r>
      <w:r>
        <w:rPr>
          <w:spacing w:val="-5"/>
          <w:sz w:val="18"/>
        </w:rPr>
        <w:t> </w:t>
      </w:r>
      <w:r>
        <w:rPr>
          <w:sz w:val="18"/>
        </w:rPr>
        <w:t>specify:</w:t>
      </w:r>
      <w:r>
        <w:rPr>
          <w:spacing w:val="-5"/>
          <w:sz w:val="18"/>
        </w:rPr>
        <w:t> </w:t>
      </w:r>
      <w:r>
        <w:rPr>
          <w:sz w:val="18"/>
        </w:rPr>
        <w:t>(20)</w:t>
      </w:r>
    </w:p>
    <w:p>
      <w:pPr>
        <w:pStyle w:val="BodyText"/>
      </w:pPr>
    </w:p>
    <w:p>
      <w:pPr>
        <w:pStyle w:val="BodyText"/>
        <w:spacing w:before="11"/>
        <w:rPr>
          <w:sz w:val="18"/>
        </w:rPr>
      </w:pPr>
      <w:r>
        <w:rPr/>
        <w:pict>
          <v:shape style="position:absolute;margin-left:68.183998pt;margin-top:12.826511pt;width:139.950pt;height:.1pt;mso-position-horizontal-relative:page;mso-position-vertical-relative:paragraph;z-index:-15568896;mso-wrap-distance-left:0;mso-wrap-distance-right:0" id="docshape190" coordorigin="1364,257" coordsize="2799,0" path="m1364,257l4162,257e" filled="false" stroked="true" strokeweight=".498pt" strokecolor="#bdbdbd">
            <v:path arrowok="t"/>
            <v:stroke dashstyle="solid"/>
            <w10:wrap type="topAndBottom"/>
          </v:shape>
        </w:pict>
      </w:r>
    </w:p>
    <w:p>
      <w:pPr>
        <w:pStyle w:val="BodyText"/>
        <w:spacing w:before="7"/>
        <w:rPr>
          <w:sz w:val="12"/>
        </w:rPr>
      </w:pPr>
    </w:p>
    <w:p>
      <w:pPr>
        <w:pStyle w:val="ListParagraph"/>
        <w:numPr>
          <w:ilvl w:val="0"/>
          <w:numId w:val="87"/>
        </w:numPr>
        <w:tabs>
          <w:tab w:pos="617" w:val="left" w:leader="none"/>
        </w:tabs>
        <w:spacing w:line="240" w:lineRule="auto" w:before="100" w:after="0"/>
        <w:ind w:left="616" w:right="0" w:hanging="197"/>
        <w:jc w:val="left"/>
        <w:rPr>
          <w:sz w:val="18"/>
        </w:rPr>
      </w:pPr>
      <w:r>
        <w:rPr>
          <w:sz w:val="18"/>
        </w:rPr>
        <w:t>If</w:t>
      </w:r>
      <w:r>
        <w:rPr>
          <w:spacing w:val="-4"/>
          <w:sz w:val="18"/>
        </w:rPr>
        <w:t> </w:t>
      </w:r>
      <w:r>
        <w:rPr>
          <w:sz w:val="18"/>
        </w:rPr>
        <w:t>you</w:t>
      </w:r>
      <w:r>
        <w:rPr>
          <w:spacing w:val="-2"/>
          <w:sz w:val="18"/>
        </w:rPr>
        <w:t> </w:t>
      </w:r>
      <w:r>
        <w:rPr>
          <w:sz w:val="18"/>
        </w:rPr>
        <w:t>answered</w:t>
      </w:r>
      <w:r>
        <w:rPr>
          <w:spacing w:val="-2"/>
          <w:sz w:val="18"/>
        </w:rPr>
        <w:t> </w:t>
      </w:r>
      <w:r>
        <w:rPr>
          <w:sz w:val="18"/>
        </w:rPr>
        <w:t>General</w:t>
      </w:r>
      <w:r>
        <w:rPr>
          <w:spacing w:val="-4"/>
          <w:sz w:val="18"/>
        </w:rPr>
        <w:t> </w:t>
      </w:r>
      <w:r>
        <w:rPr>
          <w:sz w:val="18"/>
        </w:rPr>
        <w:t>practitioner</w:t>
      </w:r>
      <w:r>
        <w:rPr>
          <w:spacing w:val="-2"/>
          <w:sz w:val="18"/>
        </w:rPr>
        <w:t> </w:t>
      </w:r>
      <w:r>
        <w:rPr>
          <w:sz w:val="18"/>
        </w:rPr>
        <w:t>to</w:t>
      </w:r>
      <w:r>
        <w:rPr>
          <w:spacing w:val="-2"/>
          <w:sz w:val="18"/>
        </w:rPr>
        <w:t> </w:t>
      </w:r>
      <w:r>
        <w:rPr>
          <w:sz w:val="18"/>
        </w:rPr>
        <w:t>Q1 What</w:t>
      </w:r>
      <w:r>
        <w:rPr>
          <w:spacing w:val="-4"/>
          <w:sz w:val="18"/>
        </w:rPr>
        <w:t> </w:t>
      </w:r>
      <w:r>
        <w:rPr>
          <w:sz w:val="18"/>
        </w:rPr>
        <w:t>best</w:t>
      </w:r>
      <w:r>
        <w:rPr>
          <w:spacing w:val="-4"/>
          <w:sz w:val="18"/>
        </w:rPr>
        <w:t> </w:t>
      </w:r>
      <w:r>
        <w:rPr>
          <w:sz w:val="18"/>
        </w:rPr>
        <w:t>describes</w:t>
      </w:r>
      <w:r>
        <w:rPr>
          <w:spacing w:val="-4"/>
          <w:sz w:val="18"/>
        </w:rPr>
        <w:t> </w:t>
      </w:r>
      <w:r>
        <w:rPr>
          <w:sz w:val="18"/>
        </w:rPr>
        <w:t>your</w:t>
      </w:r>
      <w:r>
        <w:rPr>
          <w:spacing w:val="-3"/>
          <w:sz w:val="18"/>
        </w:rPr>
        <w:t> </w:t>
      </w:r>
      <w:r>
        <w:rPr>
          <w:sz w:val="18"/>
        </w:rPr>
        <w:t>role</w:t>
      </w:r>
      <w:r>
        <w:rPr>
          <w:spacing w:val="-2"/>
          <w:sz w:val="18"/>
        </w:rPr>
        <w:t> </w:t>
      </w:r>
      <w:r>
        <w:rPr>
          <w:sz w:val="18"/>
        </w:rPr>
        <w:t>as</w:t>
      </w:r>
      <w:r>
        <w:rPr>
          <w:spacing w:val="-4"/>
          <w:sz w:val="18"/>
        </w:rPr>
        <w:t> </w:t>
      </w:r>
      <w:r>
        <w:rPr>
          <w:sz w:val="18"/>
        </w:rPr>
        <w:t>a</w:t>
      </w:r>
      <w:r>
        <w:rPr>
          <w:spacing w:val="-3"/>
          <w:sz w:val="18"/>
        </w:rPr>
        <w:t> </w:t>
      </w:r>
      <w:r>
        <w:rPr>
          <w:sz w:val="18"/>
        </w:rPr>
        <w:t>general</w:t>
      </w:r>
      <w:r>
        <w:rPr>
          <w:spacing w:val="-3"/>
          <w:sz w:val="18"/>
        </w:rPr>
        <w:t> </w:t>
      </w:r>
      <w:r>
        <w:rPr>
          <w:sz w:val="18"/>
        </w:rPr>
        <w:t>practitioner?</w:t>
      </w:r>
    </w:p>
    <w:p>
      <w:pPr>
        <w:pStyle w:val="BodyText"/>
        <w:spacing w:before="11"/>
        <w:rPr>
          <w:sz w:val="10"/>
        </w:rPr>
      </w:pPr>
    </w:p>
    <w:p>
      <w:pPr>
        <w:spacing w:before="100"/>
        <w:ind w:left="1771" w:right="5585" w:firstLine="0"/>
        <w:jc w:val="left"/>
        <w:rPr>
          <w:sz w:val="18"/>
        </w:rPr>
      </w:pPr>
      <w:r>
        <w:rPr/>
        <w:drawing>
          <wp:anchor distT="0" distB="0" distL="0" distR="0" allowOverlap="1" layoutInCell="1" locked="0" behindDoc="0" simplePos="0" relativeHeight="15895040">
            <wp:simplePos x="0" y="0"/>
            <wp:positionH relativeFrom="page">
              <wp:posOffset>1102145</wp:posOffset>
            </wp:positionH>
            <wp:positionV relativeFrom="paragraph">
              <wp:posOffset>107333</wp:posOffset>
            </wp:positionV>
            <wp:extent cx="58380" cy="72151"/>
            <wp:effectExtent l="0" t="0" r="0" b="0"/>
            <wp:wrapNone/>
            <wp:docPr id="1115" name="image13.png"/>
            <wp:cNvGraphicFramePr>
              <a:graphicFrameLocks noChangeAspect="1"/>
            </wp:cNvGraphicFramePr>
            <a:graphic>
              <a:graphicData uri="http://schemas.openxmlformats.org/drawingml/2006/picture">
                <pic:pic>
                  <pic:nvPicPr>
                    <pic:cNvPr id="1116"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895552">
            <wp:simplePos x="0" y="0"/>
            <wp:positionH relativeFrom="page">
              <wp:posOffset>1102145</wp:posOffset>
            </wp:positionH>
            <wp:positionV relativeFrom="paragraph">
              <wp:posOffset>247541</wp:posOffset>
            </wp:positionV>
            <wp:extent cx="58380" cy="72151"/>
            <wp:effectExtent l="0" t="0" r="0" b="0"/>
            <wp:wrapNone/>
            <wp:docPr id="1117" name="image13.png"/>
            <wp:cNvGraphicFramePr>
              <a:graphicFrameLocks noChangeAspect="1"/>
            </wp:cNvGraphicFramePr>
            <a:graphic>
              <a:graphicData uri="http://schemas.openxmlformats.org/drawingml/2006/picture">
                <pic:pic>
                  <pic:nvPicPr>
                    <pic:cNvPr id="1118"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896064">
            <wp:simplePos x="0" y="0"/>
            <wp:positionH relativeFrom="page">
              <wp:posOffset>1102145</wp:posOffset>
            </wp:positionH>
            <wp:positionV relativeFrom="paragraph">
              <wp:posOffset>387749</wp:posOffset>
            </wp:positionV>
            <wp:extent cx="58380" cy="72151"/>
            <wp:effectExtent l="0" t="0" r="0" b="0"/>
            <wp:wrapNone/>
            <wp:docPr id="1119" name="image13.png"/>
            <wp:cNvGraphicFramePr>
              <a:graphicFrameLocks noChangeAspect="1"/>
            </wp:cNvGraphicFramePr>
            <a:graphic>
              <a:graphicData uri="http://schemas.openxmlformats.org/drawingml/2006/picture">
                <pic:pic>
                  <pic:nvPicPr>
                    <pic:cNvPr id="1120"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896576">
            <wp:simplePos x="0" y="0"/>
            <wp:positionH relativeFrom="page">
              <wp:posOffset>1102145</wp:posOffset>
            </wp:positionH>
            <wp:positionV relativeFrom="paragraph">
              <wp:posOffset>527957</wp:posOffset>
            </wp:positionV>
            <wp:extent cx="58380" cy="72151"/>
            <wp:effectExtent l="0" t="0" r="0" b="0"/>
            <wp:wrapNone/>
            <wp:docPr id="1121" name="image13.png"/>
            <wp:cNvGraphicFramePr>
              <a:graphicFrameLocks noChangeAspect="1"/>
            </wp:cNvGraphicFramePr>
            <a:graphic>
              <a:graphicData uri="http://schemas.openxmlformats.org/drawingml/2006/picture">
                <pic:pic>
                  <pic:nvPicPr>
                    <pic:cNvPr id="112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General medical practitioner, owner/partner (1)</w:t>
      </w:r>
      <w:r>
        <w:rPr>
          <w:spacing w:val="-47"/>
          <w:sz w:val="18"/>
        </w:rPr>
        <w:t> </w:t>
      </w:r>
      <w:r>
        <w:rPr>
          <w:sz w:val="18"/>
        </w:rPr>
        <w:t>General medical practitioner, salaried (2)</w:t>
      </w:r>
      <w:r>
        <w:rPr>
          <w:spacing w:val="1"/>
          <w:sz w:val="18"/>
        </w:rPr>
        <w:t> </w:t>
      </w:r>
      <w:r>
        <w:rPr>
          <w:sz w:val="18"/>
        </w:rPr>
        <w:t>General medical practitioner, contract (3)</w:t>
      </w:r>
      <w:r>
        <w:rPr>
          <w:spacing w:val="1"/>
          <w:sz w:val="18"/>
        </w:rPr>
        <w:t> </w:t>
      </w:r>
      <w:r>
        <w:rPr>
          <w:sz w:val="18"/>
        </w:rPr>
        <w:t>General</w:t>
      </w:r>
      <w:r>
        <w:rPr>
          <w:spacing w:val="-5"/>
          <w:sz w:val="18"/>
        </w:rPr>
        <w:t> </w:t>
      </w:r>
      <w:r>
        <w:rPr>
          <w:sz w:val="18"/>
        </w:rPr>
        <w:t>practice</w:t>
      </w:r>
      <w:r>
        <w:rPr>
          <w:spacing w:val="-5"/>
          <w:sz w:val="18"/>
        </w:rPr>
        <w:t> </w:t>
      </w:r>
      <w:r>
        <w:rPr>
          <w:sz w:val="18"/>
        </w:rPr>
        <w:t>registrar/advanced</w:t>
      </w:r>
      <w:r>
        <w:rPr>
          <w:spacing w:val="-6"/>
          <w:sz w:val="18"/>
        </w:rPr>
        <w:t> </w:t>
      </w:r>
      <w:r>
        <w:rPr>
          <w:sz w:val="18"/>
        </w:rPr>
        <w:t>trainee</w:t>
      </w:r>
      <w:r>
        <w:rPr>
          <w:spacing w:val="-5"/>
          <w:sz w:val="18"/>
        </w:rPr>
        <w:t> </w:t>
      </w:r>
      <w:r>
        <w:rPr>
          <w:sz w:val="18"/>
        </w:rPr>
        <w:t>(4)</w:t>
      </w:r>
    </w:p>
    <w:p>
      <w:pPr>
        <w:spacing w:before="0"/>
        <w:ind w:left="1771" w:right="0" w:firstLine="0"/>
        <w:jc w:val="left"/>
        <w:rPr>
          <w:sz w:val="18"/>
        </w:rPr>
      </w:pPr>
      <w:r>
        <w:rPr/>
        <w:drawing>
          <wp:anchor distT="0" distB="0" distL="0" distR="0" allowOverlap="1" layoutInCell="1" locked="0" behindDoc="0" simplePos="0" relativeHeight="15897088">
            <wp:simplePos x="0" y="0"/>
            <wp:positionH relativeFrom="page">
              <wp:posOffset>1102145</wp:posOffset>
            </wp:positionH>
            <wp:positionV relativeFrom="paragraph">
              <wp:posOffset>43833</wp:posOffset>
            </wp:positionV>
            <wp:extent cx="58380" cy="72151"/>
            <wp:effectExtent l="0" t="0" r="0" b="0"/>
            <wp:wrapNone/>
            <wp:docPr id="1123" name="image13.png"/>
            <wp:cNvGraphicFramePr>
              <a:graphicFrameLocks noChangeAspect="1"/>
            </wp:cNvGraphicFramePr>
            <a:graphic>
              <a:graphicData uri="http://schemas.openxmlformats.org/drawingml/2006/picture">
                <pic:pic>
                  <pic:nvPicPr>
                    <pic:cNvPr id="112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General</w:t>
      </w:r>
      <w:r>
        <w:rPr>
          <w:spacing w:val="-4"/>
          <w:sz w:val="18"/>
        </w:rPr>
        <w:t> </w:t>
      </w:r>
      <w:r>
        <w:rPr>
          <w:sz w:val="18"/>
        </w:rPr>
        <w:t>medical</w:t>
      </w:r>
      <w:r>
        <w:rPr>
          <w:spacing w:val="-4"/>
          <w:sz w:val="18"/>
        </w:rPr>
        <w:t> </w:t>
      </w:r>
      <w:r>
        <w:rPr>
          <w:sz w:val="18"/>
        </w:rPr>
        <w:t>practitioner,</w:t>
      </w:r>
      <w:r>
        <w:rPr>
          <w:spacing w:val="-6"/>
          <w:sz w:val="18"/>
        </w:rPr>
        <w:t> </w:t>
      </w:r>
      <w:r>
        <w:rPr>
          <w:sz w:val="18"/>
        </w:rPr>
        <w:t>other.</w:t>
      </w:r>
      <w:r>
        <w:rPr>
          <w:spacing w:val="-6"/>
          <w:sz w:val="18"/>
        </w:rPr>
        <w:t> </w:t>
      </w:r>
      <w:r>
        <w:rPr>
          <w:sz w:val="18"/>
        </w:rPr>
        <w:t>Please</w:t>
      </w:r>
      <w:r>
        <w:rPr>
          <w:spacing w:val="-4"/>
          <w:sz w:val="18"/>
        </w:rPr>
        <w:t> </w:t>
      </w:r>
      <w:r>
        <w:rPr>
          <w:sz w:val="18"/>
        </w:rPr>
        <w:t>describe</w:t>
      </w:r>
      <w:r>
        <w:rPr>
          <w:spacing w:val="-1"/>
          <w:sz w:val="18"/>
        </w:rPr>
        <w:t> </w:t>
      </w:r>
      <w:r>
        <w:rPr>
          <w:sz w:val="18"/>
        </w:rPr>
        <w:t>(5)</w:t>
      </w:r>
    </w:p>
    <w:p>
      <w:pPr>
        <w:pStyle w:val="BodyText"/>
      </w:pPr>
    </w:p>
    <w:p>
      <w:pPr>
        <w:pStyle w:val="BodyText"/>
        <w:spacing w:before="2"/>
        <w:rPr>
          <w:sz w:val="17"/>
        </w:rPr>
      </w:pPr>
      <w:r>
        <w:rPr/>
        <w:pict>
          <v:shape style="position:absolute;margin-left:68.183998pt;margin-top:11.721631pt;width:125.95pt;height:.1pt;mso-position-horizontal-relative:page;mso-position-vertical-relative:paragraph;z-index:-15568384;mso-wrap-distance-left:0;mso-wrap-distance-right:0" id="docshape191" coordorigin="1364,234" coordsize="2519,0" path="m1364,234l3882,234e" filled="false" stroked="true" strokeweight=".45pt" strokecolor="#bdbdbd">
            <v:path arrowok="t"/>
            <v:stroke dashstyle="solid"/>
            <w10:wrap type="topAndBottom"/>
          </v:shape>
        </w:pict>
      </w:r>
    </w:p>
    <w:p>
      <w:pPr>
        <w:spacing w:after="0"/>
        <w:rPr>
          <w:sz w:val="17"/>
        </w:rPr>
        <w:sectPr>
          <w:footerReference w:type="default" r:id="rId51"/>
          <w:pgSz w:w="11910" w:h="16840"/>
          <w:pgMar w:footer="948" w:header="0" w:top="860" w:bottom="1140" w:left="300" w:right="0"/>
          <w:pgNumType w:start="124"/>
        </w:sectPr>
      </w:pPr>
    </w:p>
    <w:p>
      <w:pPr>
        <w:pStyle w:val="ListParagraph"/>
        <w:numPr>
          <w:ilvl w:val="1"/>
          <w:numId w:val="87"/>
        </w:numPr>
        <w:tabs>
          <w:tab w:pos="718" w:val="left" w:leader="none"/>
        </w:tabs>
        <w:spacing w:line="273" w:lineRule="auto" w:before="75" w:after="0"/>
        <w:ind w:left="420" w:right="1135" w:firstLine="0"/>
        <w:jc w:val="left"/>
        <w:rPr>
          <w:sz w:val="18"/>
        </w:rPr>
      </w:pPr>
      <w:r>
        <w:rPr>
          <w:sz w:val="18"/>
        </w:rPr>
        <w:t>If you answered Practice nurse/Nurse Practitioner to Q1: What best describes your role as a Practice nurse/Nurse</w:t>
      </w:r>
      <w:r>
        <w:rPr>
          <w:spacing w:val="-47"/>
          <w:sz w:val="18"/>
        </w:rPr>
        <w:t> </w:t>
      </w:r>
      <w:r>
        <w:rPr>
          <w:sz w:val="18"/>
        </w:rPr>
        <w:t>Practitioner in this</w:t>
      </w:r>
      <w:r>
        <w:rPr>
          <w:spacing w:val="-1"/>
          <w:sz w:val="18"/>
        </w:rPr>
        <w:t> </w:t>
      </w:r>
      <w:r>
        <w:rPr>
          <w:sz w:val="18"/>
        </w:rPr>
        <w:t>practice?</w:t>
      </w:r>
    </w:p>
    <w:p>
      <w:pPr>
        <w:pStyle w:val="BodyText"/>
        <w:spacing w:before="5"/>
        <w:rPr>
          <w:sz w:val="8"/>
        </w:rPr>
      </w:pPr>
    </w:p>
    <w:p>
      <w:pPr>
        <w:spacing w:before="100"/>
        <w:ind w:left="1771" w:right="0" w:firstLine="0"/>
        <w:jc w:val="left"/>
        <w:rPr>
          <w:sz w:val="18"/>
        </w:rPr>
      </w:pPr>
      <w:r>
        <w:rPr/>
        <w:drawing>
          <wp:anchor distT="0" distB="0" distL="0" distR="0" allowOverlap="1" layoutInCell="1" locked="0" behindDoc="0" simplePos="0" relativeHeight="15899136">
            <wp:simplePos x="0" y="0"/>
            <wp:positionH relativeFrom="page">
              <wp:posOffset>1102145</wp:posOffset>
            </wp:positionH>
            <wp:positionV relativeFrom="paragraph">
              <wp:posOffset>108349</wp:posOffset>
            </wp:positionV>
            <wp:extent cx="58380" cy="72151"/>
            <wp:effectExtent l="0" t="0" r="0" b="0"/>
            <wp:wrapNone/>
            <wp:docPr id="1125" name="image13.png"/>
            <wp:cNvGraphicFramePr>
              <a:graphicFrameLocks noChangeAspect="1"/>
            </wp:cNvGraphicFramePr>
            <a:graphic>
              <a:graphicData uri="http://schemas.openxmlformats.org/drawingml/2006/picture">
                <pic:pic>
                  <pic:nvPicPr>
                    <pic:cNvPr id="112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Nurse</w:t>
      </w:r>
      <w:r>
        <w:rPr>
          <w:spacing w:val="-5"/>
          <w:sz w:val="18"/>
        </w:rPr>
        <w:t> </w:t>
      </w:r>
      <w:r>
        <w:rPr>
          <w:sz w:val="18"/>
        </w:rPr>
        <w:t>Practitioner</w:t>
      </w:r>
      <w:r>
        <w:rPr>
          <w:spacing w:val="43"/>
          <w:sz w:val="18"/>
        </w:rPr>
        <w:t> </w:t>
      </w:r>
      <w:r>
        <w:rPr>
          <w:sz w:val="18"/>
        </w:rPr>
        <w:t>(1)</w:t>
      </w:r>
    </w:p>
    <w:p>
      <w:pPr>
        <w:spacing w:before="0"/>
        <w:ind w:left="1771" w:right="6713" w:firstLine="0"/>
        <w:jc w:val="left"/>
        <w:rPr>
          <w:sz w:val="18"/>
        </w:rPr>
      </w:pPr>
      <w:r>
        <w:rPr/>
        <w:drawing>
          <wp:anchor distT="0" distB="0" distL="0" distR="0" allowOverlap="1" layoutInCell="1" locked="0" behindDoc="0" simplePos="0" relativeHeight="15899648">
            <wp:simplePos x="0" y="0"/>
            <wp:positionH relativeFrom="page">
              <wp:posOffset>1102145</wp:posOffset>
            </wp:positionH>
            <wp:positionV relativeFrom="paragraph">
              <wp:posOffset>44656</wp:posOffset>
            </wp:positionV>
            <wp:extent cx="58380" cy="73869"/>
            <wp:effectExtent l="0" t="0" r="0" b="0"/>
            <wp:wrapNone/>
            <wp:docPr id="1127" name="image14.png"/>
            <wp:cNvGraphicFramePr>
              <a:graphicFrameLocks noChangeAspect="1"/>
            </wp:cNvGraphicFramePr>
            <a:graphic>
              <a:graphicData uri="http://schemas.openxmlformats.org/drawingml/2006/picture">
                <pic:pic>
                  <pic:nvPicPr>
                    <pic:cNvPr id="1128" name="image14.png"/>
                    <pic:cNvPicPr/>
                  </pic:nvPicPr>
                  <pic:blipFill>
                    <a:blip r:embed="rId43" cstate="print"/>
                    <a:stretch>
                      <a:fillRect/>
                    </a:stretch>
                  </pic:blipFill>
                  <pic:spPr>
                    <a:xfrm>
                      <a:off x="0" y="0"/>
                      <a:ext cx="58380" cy="73869"/>
                    </a:xfrm>
                    <a:prstGeom prst="rect">
                      <a:avLst/>
                    </a:prstGeom>
                  </pic:spPr>
                </pic:pic>
              </a:graphicData>
            </a:graphic>
          </wp:anchor>
        </w:drawing>
      </w:r>
      <w:r>
        <w:rPr/>
        <w:drawing>
          <wp:anchor distT="0" distB="0" distL="0" distR="0" allowOverlap="1" layoutInCell="1" locked="0" behindDoc="0" simplePos="0" relativeHeight="15900160">
            <wp:simplePos x="0" y="0"/>
            <wp:positionH relativeFrom="page">
              <wp:posOffset>1102145</wp:posOffset>
            </wp:positionH>
            <wp:positionV relativeFrom="paragraph">
              <wp:posOffset>185057</wp:posOffset>
            </wp:positionV>
            <wp:extent cx="58380" cy="72151"/>
            <wp:effectExtent l="0" t="0" r="0" b="0"/>
            <wp:wrapNone/>
            <wp:docPr id="1129" name="image13.png"/>
            <wp:cNvGraphicFramePr>
              <a:graphicFrameLocks noChangeAspect="1"/>
            </wp:cNvGraphicFramePr>
            <a:graphic>
              <a:graphicData uri="http://schemas.openxmlformats.org/drawingml/2006/picture">
                <pic:pic>
                  <pic:nvPicPr>
                    <pic:cNvPr id="1130"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900672">
            <wp:simplePos x="0" y="0"/>
            <wp:positionH relativeFrom="page">
              <wp:posOffset>1102145</wp:posOffset>
            </wp:positionH>
            <wp:positionV relativeFrom="paragraph">
              <wp:posOffset>325265</wp:posOffset>
            </wp:positionV>
            <wp:extent cx="58380" cy="72151"/>
            <wp:effectExtent l="0" t="0" r="0" b="0"/>
            <wp:wrapNone/>
            <wp:docPr id="1131" name="image13.png"/>
            <wp:cNvGraphicFramePr>
              <a:graphicFrameLocks noChangeAspect="1"/>
            </wp:cNvGraphicFramePr>
            <a:graphic>
              <a:graphicData uri="http://schemas.openxmlformats.org/drawingml/2006/picture">
                <pic:pic>
                  <pic:nvPicPr>
                    <pic:cNvPr id="113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Practice Nurse, Registered Nurse (2)</w:t>
      </w:r>
      <w:r>
        <w:rPr>
          <w:spacing w:val="-48"/>
          <w:sz w:val="18"/>
        </w:rPr>
        <w:t> </w:t>
      </w:r>
      <w:r>
        <w:rPr>
          <w:sz w:val="18"/>
        </w:rPr>
        <w:t>Practice Nurse, Enrolled Nurse (3)</w:t>
      </w:r>
      <w:r>
        <w:rPr>
          <w:spacing w:val="1"/>
          <w:sz w:val="18"/>
        </w:rPr>
        <w:t> </w:t>
      </w:r>
      <w:r>
        <w:rPr>
          <w:sz w:val="18"/>
        </w:rPr>
        <w:t>Other.</w:t>
      </w:r>
      <w:r>
        <w:rPr>
          <w:spacing w:val="-3"/>
          <w:sz w:val="18"/>
        </w:rPr>
        <w:t> </w:t>
      </w:r>
      <w:r>
        <w:rPr>
          <w:sz w:val="18"/>
        </w:rPr>
        <w:t>Please</w:t>
      </w:r>
      <w:r>
        <w:rPr>
          <w:spacing w:val="-1"/>
          <w:sz w:val="18"/>
        </w:rPr>
        <w:t> </w:t>
      </w:r>
      <w:r>
        <w:rPr>
          <w:sz w:val="18"/>
        </w:rPr>
        <w:t>describe</w:t>
      </w:r>
      <w:r>
        <w:rPr>
          <w:spacing w:val="3"/>
          <w:sz w:val="18"/>
        </w:rPr>
        <w:t> </w:t>
      </w:r>
      <w:r>
        <w:rPr>
          <w:sz w:val="18"/>
        </w:rPr>
        <w:t>(4)</w:t>
      </w:r>
    </w:p>
    <w:p>
      <w:pPr>
        <w:pStyle w:val="BodyText"/>
      </w:pPr>
    </w:p>
    <w:p>
      <w:pPr>
        <w:pStyle w:val="BodyText"/>
        <w:spacing w:before="2"/>
        <w:rPr>
          <w:sz w:val="19"/>
        </w:rPr>
      </w:pPr>
      <w:r>
        <w:rPr/>
        <w:pict>
          <v:shape style="position:absolute;margin-left:68.183998pt;margin-top:12.953229pt;width:139.950pt;height:.1pt;mso-position-horizontal-relative:page;mso-position-vertical-relative:paragraph;z-index:-15559680;mso-wrap-distance-left:0;mso-wrap-distance-right:0" id="docshape192" coordorigin="1364,259" coordsize="2799,0" path="m1364,259l4162,259e" filled="false" stroked="true" strokeweight=".498pt" strokecolor="#bdbdbd">
            <v:path arrowok="t"/>
            <v:stroke dashstyle="solid"/>
            <w10:wrap type="topAndBottom"/>
          </v:shape>
        </w:pict>
      </w:r>
    </w:p>
    <w:p>
      <w:pPr>
        <w:pStyle w:val="BodyText"/>
        <w:spacing w:before="7"/>
        <w:rPr>
          <w:sz w:val="12"/>
        </w:rPr>
      </w:pPr>
    </w:p>
    <w:p>
      <w:pPr>
        <w:pStyle w:val="ListParagraph"/>
        <w:numPr>
          <w:ilvl w:val="1"/>
          <w:numId w:val="87"/>
        </w:numPr>
        <w:tabs>
          <w:tab w:pos="718" w:val="left" w:leader="none"/>
        </w:tabs>
        <w:spacing w:line="273" w:lineRule="auto" w:before="100" w:after="0"/>
        <w:ind w:left="420" w:right="1249" w:firstLine="0"/>
        <w:jc w:val="left"/>
        <w:rPr>
          <w:sz w:val="18"/>
        </w:rPr>
      </w:pPr>
      <w:r>
        <w:rPr>
          <w:sz w:val="18"/>
        </w:rPr>
        <w:t>If you are a Nurse Practitioner, are you directly involved in developing general practice management plans for</w:t>
      </w:r>
      <w:r>
        <w:rPr>
          <w:spacing w:val="-47"/>
          <w:sz w:val="18"/>
        </w:rPr>
        <w:t> </w:t>
      </w:r>
      <w:r>
        <w:rPr>
          <w:sz w:val="18"/>
        </w:rPr>
        <w:t>patients</w:t>
      </w:r>
      <w:r>
        <w:rPr>
          <w:spacing w:val="-2"/>
          <w:sz w:val="18"/>
        </w:rPr>
        <w:t> </w:t>
      </w:r>
      <w:r>
        <w:rPr>
          <w:sz w:val="18"/>
        </w:rPr>
        <w:t>at this</w:t>
      </w:r>
      <w:r>
        <w:rPr>
          <w:spacing w:val="-1"/>
          <w:sz w:val="18"/>
        </w:rPr>
        <w:t> </w:t>
      </w:r>
      <w:r>
        <w:rPr>
          <w:sz w:val="18"/>
        </w:rPr>
        <w:t>practice?</w:t>
      </w:r>
    </w:p>
    <w:p>
      <w:pPr>
        <w:pStyle w:val="BodyText"/>
        <w:spacing w:before="7"/>
        <w:rPr>
          <w:sz w:val="8"/>
        </w:rPr>
      </w:pPr>
    </w:p>
    <w:p>
      <w:pPr>
        <w:spacing w:before="100"/>
        <w:ind w:left="1771" w:right="0" w:firstLine="0"/>
        <w:jc w:val="left"/>
        <w:rPr>
          <w:sz w:val="18"/>
        </w:rPr>
      </w:pPr>
      <w:r>
        <w:rPr/>
        <w:drawing>
          <wp:anchor distT="0" distB="0" distL="0" distR="0" allowOverlap="1" layoutInCell="1" locked="0" behindDoc="0" simplePos="0" relativeHeight="15901184">
            <wp:simplePos x="0" y="0"/>
            <wp:positionH relativeFrom="page">
              <wp:posOffset>1102145</wp:posOffset>
            </wp:positionH>
            <wp:positionV relativeFrom="paragraph">
              <wp:posOffset>108350</wp:posOffset>
            </wp:positionV>
            <wp:extent cx="58380" cy="72151"/>
            <wp:effectExtent l="0" t="0" r="0" b="0"/>
            <wp:wrapNone/>
            <wp:docPr id="1133" name="image13.png"/>
            <wp:cNvGraphicFramePr>
              <a:graphicFrameLocks noChangeAspect="1"/>
            </wp:cNvGraphicFramePr>
            <a:graphic>
              <a:graphicData uri="http://schemas.openxmlformats.org/drawingml/2006/picture">
                <pic:pic>
                  <pic:nvPicPr>
                    <pic:cNvPr id="113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Yes (1)</w:t>
      </w:r>
    </w:p>
    <w:p>
      <w:pPr>
        <w:spacing w:before="0"/>
        <w:ind w:left="1771" w:right="0" w:firstLine="0"/>
        <w:jc w:val="left"/>
        <w:rPr>
          <w:sz w:val="18"/>
        </w:rPr>
      </w:pPr>
      <w:r>
        <w:rPr/>
        <w:drawing>
          <wp:anchor distT="0" distB="0" distL="0" distR="0" allowOverlap="1" layoutInCell="1" locked="0" behindDoc="0" simplePos="0" relativeHeight="15901696">
            <wp:simplePos x="0" y="0"/>
            <wp:positionH relativeFrom="page">
              <wp:posOffset>1102145</wp:posOffset>
            </wp:positionH>
            <wp:positionV relativeFrom="paragraph">
              <wp:posOffset>44849</wp:posOffset>
            </wp:positionV>
            <wp:extent cx="58380" cy="72151"/>
            <wp:effectExtent l="0" t="0" r="0" b="0"/>
            <wp:wrapNone/>
            <wp:docPr id="1135" name="image13.png"/>
            <wp:cNvGraphicFramePr>
              <a:graphicFrameLocks noChangeAspect="1"/>
            </wp:cNvGraphicFramePr>
            <a:graphic>
              <a:graphicData uri="http://schemas.openxmlformats.org/drawingml/2006/picture">
                <pic:pic>
                  <pic:nvPicPr>
                    <pic:cNvPr id="113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w:t>
      </w:r>
      <w:r>
        <w:rPr>
          <w:spacing w:val="-1"/>
          <w:sz w:val="18"/>
        </w:rPr>
        <w:t> </w:t>
      </w:r>
      <w:r>
        <w:rPr>
          <w:sz w:val="18"/>
        </w:rPr>
        <w:t>(2)</w:t>
      </w:r>
    </w:p>
    <w:p>
      <w:pPr>
        <w:pStyle w:val="BodyText"/>
        <w:spacing w:before="8"/>
        <w:rPr>
          <w:sz w:val="14"/>
        </w:rPr>
      </w:pPr>
    </w:p>
    <w:p>
      <w:pPr>
        <w:pStyle w:val="ListParagraph"/>
        <w:numPr>
          <w:ilvl w:val="1"/>
          <w:numId w:val="87"/>
        </w:numPr>
        <w:tabs>
          <w:tab w:pos="718" w:val="left" w:leader="none"/>
        </w:tabs>
        <w:spacing w:line="276" w:lineRule="auto" w:before="100" w:after="0"/>
        <w:ind w:left="420" w:right="1040" w:firstLine="0"/>
        <w:jc w:val="left"/>
        <w:rPr>
          <w:sz w:val="18"/>
        </w:rPr>
      </w:pPr>
      <w:r>
        <w:rPr>
          <w:sz w:val="18"/>
        </w:rPr>
        <w:t>If you are a Nurse Practitioner, do you also play a role as a Care Coordinator or Case Manager for patients at this</w:t>
      </w:r>
      <w:r>
        <w:rPr>
          <w:spacing w:val="-47"/>
          <w:sz w:val="18"/>
        </w:rPr>
        <w:t> </w:t>
      </w:r>
      <w:r>
        <w:rPr>
          <w:sz w:val="18"/>
        </w:rPr>
        <w:t>practice?</w:t>
      </w:r>
    </w:p>
    <w:p>
      <w:pPr>
        <w:pStyle w:val="BodyText"/>
        <w:spacing w:before="2"/>
        <w:rPr>
          <w:sz w:val="8"/>
        </w:rPr>
      </w:pPr>
    </w:p>
    <w:p>
      <w:pPr>
        <w:spacing w:before="100"/>
        <w:ind w:left="1771" w:right="0" w:firstLine="0"/>
        <w:jc w:val="left"/>
        <w:rPr>
          <w:sz w:val="18"/>
        </w:rPr>
      </w:pPr>
      <w:r>
        <w:rPr/>
        <w:drawing>
          <wp:anchor distT="0" distB="0" distL="0" distR="0" allowOverlap="1" layoutInCell="1" locked="0" behindDoc="0" simplePos="0" relativeHeight="15902208">
            <wp:simplePos x="0" y="0"/>
            <wp:positionH relativeFrom="page">
              <wp:posOffset>1102145</wp:posOffset>
            </wp:positionH>
            <wp:positionV relativeFrom="paragraph">
              <wp:posOffset>107969</wp:posOffset>
            </wp:positionV>
            <wp:extent cx="58380" cy="72151"/>
            <wp:effectExtent l="0" t="0" r="0" b="0"/>
            <wp:wrapNone/>
            <wp:docPr id="1137" name="image13.png"/>
            <wp:cNvGraphicFramePr>
              <a:graphicFrameLocks noChangeAspect="1"/>
            </wp:cNvGraphicFramePr>
            <a:graphic>
              <a:graphicData uri="http://schemas.openxmlformats.org/drawingml/2006/picture">
                <pic:pic>
                  <pic:nvPicPr>
                    <pic:cNvPr id="113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Yes (1)</w:t>
      </w:r>
    </w:p>
    <w:p>
      <w:pPr>
        <w:spacing w:before="0"/>
        <w:ind w:left="1771" w:right="0" w:firstLine="0"/>
        <w:jc w:val="left"/>
        <w:rPr>
          <w:sz w:val="18"/>
        </w:rPr>
      </w:pPr>
      <w:r>
        <w:rPr/>
        <w:drawing>
          <wp:anchor distT="0" distB="0" distL="0" distR="0" allowOverlap="1" layoutInCell="1" locked="0" behindDoc="0" simplePos="0" relativeHeight="15902720">
            <wp:simplePos x="0" y="0"/>
            <wp:positionH relativeFrom="page">
              <wp:posOffset>1102145</wp:posOffset>
            </wp:positionH>
            <wp:positionV relativeFrom="paragraph">
              <wp:posOffset>44469</wp:posOffset>
            </wp:positionV>
            <wp:extent cx="58380" cy="72150"/>
            <wp:effectExtent l="0" t="0" r="0" b="0"/>
            <wp:wrapNone/>
            <wp:docPr id="1139" name="image13.png"/>
            <wp:cNvGraphicFramePr>
              <a:graphicFrameLocks noChangeAspect="1"/>
            </wp:cNvGraphicFramePr>
            <a:graphic>
              <a:graphicData uri="http://schemas.openxmlformats.org/drawingml/2006/picture">
                <pic:pic>
                  <pic:nvPicPr>
                    <pic:cNvPr id="1140" name="image13.png"/>
                    <pic:cNvPicPr/>
                  </pic:nvPicPr>
                  <pic:blipFill>
                    <a:blip r:embed="rId41" cstate="print"/>
                    <a:stretch>
                      <a:fillRect/>
                    </a:stretch>
                  </pic:blipFill>
                  <pic:spPr>
                    <a:xfrm>
                      <a:off x="0" y="0"/>
                      <a:ext cx="58380" cy="72150"/>
                    </a:xfrm>
                    <a:prstGeom prst="rect">
                      <a:avLst/>
                    </a:prstGeom>
                  </pic:spPr>
                </pic:pic>
              </a:graphicData>
            </a:graphic>
          </wp:anchor>
        </w:drawing>
      </w:r>
      <w:r>
        <w:rPr>
          <w:sz w:val="18"/>
        </w:rPr>
        <w:t>No</w:t>
      </w:r>
      <w:r>
        <w:rPr>
          <w:spacing w:val="-1"/>
          <w:sz w:val="18"/>
        </w:rPr>
        <w:t> </w:t>
      </w:r>
      <w:r>
        <w:rPr>
          <w:sz w:val="18"/>
        </w:rPr>
        <w:t>(2)</w:t>
      </w:r>
    </w:p>
    <w:p>
      <w:pPr>
        <w:pStyle w:val="BodyText"/>
        <w:rPr>
          <w:sz w:val="21"/>
        </w:rPr>
      </w:pPr>
      <w:r>
        <w:rPr/>
        <w:pict>
          <v:shape style="position:absolute;margin-left:34.560001pt;margin-top:14.120008pt;width:526.3pt;height:35.4pt;mso-position-horizontal-relative:page;mso-position-vertical-relative:paragraph;z-index:-15559168;mso-wrap-distance-left:0;mso-wrap-distance-right:0" type="#_x0000_t202" id="docshape193" filled="true" fillcolor="#6897ba" stroked="false">
            <v:textbox inset="0,0,0,0">
              <w:txbxContent>
                <w:p>
                  <w:pPr>
                    <w:spacing w:line="220" w:lineRule="exact" w:before="0"/>
                    <w:ind w:left="28" w:right="0" w:firstLine="0"/>
                    <w:jc w:val="left"/>
                    <w:rPr>
                      <w:i/>
                      <w:color w:val="000000"/>
                      <w:sz w:val="18"/>
                    </w:rPr>
                  </w:pPr>
                  <w:r>
                    <w:rPr>
                      <w:i/>
                      <w:color w:val="FFFFFF"/>
                      <w:sz w:val="18"/>
                    </w:rPr>
                    <w:t>Display</w:t>
                  </w:r>
                  <w:r>
                    <w:rPr>
                      <w:i/>
                      <w:color w:val="FFFFFF"/>
                      <w:spacing w:val="-6"/>
                      <w:sz w:val="18"/>
                    </w:rPr>
                    <w:t> </w:t>
                  </w:r>
                  <w:r>
                    <w:rPr>
                      <w:i/>
                      <w:color w:val="FFFFFF"/>
                      <w:sz w:val="18"/>
                    </w:rPr>
                    <w:t>this</w:t>
                  </w:r>
                  <w:r>
                    <w:rPr>
                      <w:i/>
                      <w:color w:val="FFFFFF"/>
                      <w:spacing w:val="-5"/>
                      <w:sz w:val="18"/>
                    </w:rPr>
                    <w:t> </w:t>
                  </w:r>
                  <w:r>
                    <w:rPr>
                      <w:i/>
                      <w:color w:val="FFFFFF"/>
                      <w:sz w:val="18"/>
                    </w:rPr>
                    <w:t>question:</w:t>
                  </w:r>
                </w:p>
                <w:p>
                  <w:pPr>
                    <w:pStyle w:val="BodyText"/>
                    <w:spacing w:before="12"/>
                    <w:rPr>
                      <w:i/>
                      <w:color w:val="000000"/>
                      <w:sz w:val="18"/>
                    </w:rPr>
                  </w:pPr>
                </w:p>
                <w:p>
                  <w:pPr>
                    <w:spacing w:before="0"/>
                    <w:ind w:left="429" w:right="0" w:firstLine="0"/>
                    <w:jc w:val="left"/>
                    <w:rPr>
                      <w:i/>
                      <w:color w:val="000000"/>
                      <w:sz w:val="18"/>
                    </w:rPr>
                  </w:pPr>
                  <w:r>
                    <w:rPr>
                      <w:i/>
                      <w:color w:val="FFFFFF"/>
                      <w:sz w:val="18"/>
                    </w:rPr>
                    <w:t>If</w:t>
                  </w:r>
                  <w:r>
                    <w:rPr>
                      <w:i/>
                      <w:color w:val="FFFFFF"/>
                      <w:spacing w:val="-1"/>
                      <w:sz w:val="18"/>
                    </w:rPr>
                    <w:t> </w:t>
                  </w:r>
                  <w:r>
                    <w:rPr>
                      <w:i/>
                      <w:color w:val="FFFFFF"/>
                      <w:sz w:val="18"/>
                    </w:rPr>
                    <w:t>1.</w:t>
                  </w:r>
                  <w:r>
                    <w:rPr>
                      <w:i/>
                      <w:color w:val="FFFFFF"/>
                      <w:spacing w:val="-4"/>
                      <w:sz w:val="18"/>
                    </w:rPr>
                    <w:t> </w:t>
                  </w:r>
                  <w:r>
                    <w:rPr>
                      <w:i/>
                      <w:color w:val="FFFFFF"/>
                      <w:sz w:val="18"/>
                    </w:rPr>
                    <w:t>What</w:t>
                  </w:r>
                  <w:r>
                    <w:rPr>
                      <w:i/>
                      <w:color w:val="FFFFFF"/>
                      <w:spacing w:val="1"/>
                      <w:sz w:val="18"/>
                    </w:rPr>
                    <w:t> </w:t>
                  </w:r>
                  <w:r>
                    <w:rPr>
                      <w:i/>
                      <w:color w:val="FFFFFF"/>
                      <w:sz w:val="18"/>
                    </w:rPr>
                    <w:t>is</w:t>
                  </w:r>
                  <w:r>
                    <w:rPr>
                      <w:i/>
                      <w:color w:val="FFFFFF"/>
                      <w:spacing w:val="-5"/>
                      <w:sz w:val="18"/>
                    </w:rPr>
                    <w:t> </w:t>
                  </w:r>
                  <w:r>
                    <w:rPr>
                      <w:i/>
                      <w:color w:val="FFFFFF"/>
                      <w:sz w:val="18"/>
                    </w:rPr>
                    <w:t>your</w:t>
                  </w:r>
                  <w:r>
                    <w:rPr>
                      <w:i/>
                      <w:color w:val="FFFFFF"/>
                      <w:spacing w:val="-2"/>
                      <w:sz w:val="18"/>
                    </w:rPr>
                    <w:t> </w:t>
                  </w:r>
                  <w:r>
                    <w:rPr>
                      <w:i/>
                      <w:color w:val="FFFFFF"/>
                      <w:sz w:val="18"/>
                    </w:rPr>
                    <w:t>role</w:t>
                  </w:r>
                  <w:r>
                    <w:rPr>
                      <w:i/>
                      <w:color w:val="FFFFFF"/>
                      <w:spacing w:val="-2"/>
                      <w:sz w:val="18"/>
                    </w:rPr>
                    <w:t> </w:t>
                  </w:r>
                  <w:r>
                    <w:rPr>
                      <w:i/>
                      <w:color w:val="FFFFFF"/>
                      <w:sz w:val="18"/>
                    </w:rPr>
                    <w:t>in</w:t>
                  </w:r>
                  <w:r>
                    <w:rPr>
                      <w:i/>
                      <w:color w:val="FFFFFF"/>
                      <w:spacing w:val="-6"/>
                      <w:sz w:val="18"/>
                    </w:rPr>
                    <w:t> </w:t>
                  </w:r>
                  <w:r>
                    <w:rPr>
                      <w:i/>
                      <w:color w:val="FFFFFF"/>
                      <w:sz w:val="18"/>
                    </w:rPr>
                    <w:t>the</w:t>
                  </w:r>
                  <w:r>
                    <w:rPr>
                      <w:i/>
                      <w:color w:val="FFFFFF"/>
                      <w:spacing w:val="-4"/>
                      <w:sz w:val="18"/>
                    </w:rPr>
                    <w:t> </w:t>
                  </w:r>
                  <w:r>
                    <w:rPr>
                      <w:i/>
                      <w:color w:val="FFFFFF"/>
                      <w:sz w:val="18"/>
                    </w:rPr>
                    <w:t>practice/</w:t>
                  </w:r>
                  <w:r>
                    <w:rPr>
                      <w:i/>
                      <w:color w:val="FFFFFF"/>
                      <w:spacing w:val="-1"/>
                      <w:sz w:val="18"/>
                    </w:rPr>
                    <w:t> </w:t>
                  </w:r>
                  <w:r>
                    <w:rPr>
                      <w:i/>
                      <w:color w:val="FFFFFF"/>
                      <w:sz w:val="18"/>
                    </w:rPr>
                    <w:t>service?</w:t>
                  </w:r>
                  <w:r>
                    <w:rPr>
                      <w:i/>
                      <w:color w:val="FFFFFF"/>
                      <w:spacing w:val="-3"/>
                      <w:sz w:val="18"/>
                    </w:rPr>
                    <w:t> </w:t>
                  </w:r>
                  <w:r>
                    <w:rPr>
                      <w:i/>
                      <w:color w:val="FFFFFF"/>
                      <w:sz w:val="18"/>
                    </w:rPr>
                    <w:t>=</w:t>
                  </w:r>
                  <w:r>
                    <w:rPr>
                      <w:i/>
                      <w:color w:val="FFFFFF"/>
                      <w:spacing w:val="-3"/>
                      <w:sz w:val="18"/>
                    </w:rPr>
                    <w:t> </w:t>
                  </w:r>
                  <w:r>
                    <w:rPr>
                      <w:i/>
                      <w:color w:val="FFFFFF"/>
                      <w:sz w:val="18"/>
                    </w:rPr>
                    <w:t>Allied</w:t>
                  </w:r>
                  <w:r>
                    <w:rPr>
                      <w:i/>
                      <w:color w:val="FFFFFF"/>
                      <w:spacing w:val="-5"/>
                      <w:sz w:val="18"/>
                    </w:rPr>
                    <w:t> </w:t>
                  </w:r>
                  <w:r>
                    <w:rPr>
                      <w:i/>
                      <w:color w:val="FFFFFF"/>
                      <w:sz w:val="18"/>
                    </w:rPr>
                    <w:t>health</w:t>
                  </w:r>
                  <w:r>
                    <w:rPr>
                      <w:i/>
                      <w:color w:val="FFFFFF"/>
                      <w:spacing w:val="-1"/>
                      <w:sz w:val="18"/>
                    </w:rPr>
                    <w:t> </w:t>
                  </w:r>
                  <w:r>
                    <w:rPr>
                      <w:i/>
                      <w:color w:val="FFFFFF"/>
                      <w:sz w:val="18"/>
                    </w:rPr>
                    <w:t>professional</w:t>
                  </w:r>
                </w:p>
              </w:txbxContent>
            </v:textbox>
            <v:fill type="solid"/>
            <w10:wrap type="topAndBottom"/>
          </v:shape>
        </w:pict>
      </w:r>
    </w:p>
    <w:p>
      <w:pPr>
        <w:pStyle w:val="BodyText"/>
        <w:rPr>
          <w:sz w:val="8"/>
        </w:rPr>
      </w:pPr>
    </w:p>
    <w:p>
      <w:pPr>
        <w:spacing w:line="273" w:lineRule="auto" w:before="100"/>
        <w:ind w:left="420" w:right="729" w:firstLine="0"/>
        <w:jc w:val="left"/>
        <w:rPr>
          <w:sz w:val="18"/>
        </w:rPr>
      </w:pPr>
      <w:r>
        <w:rPr>
          <w:sz w:val="18"/>
        </w:rPr>
        <w:t>2.1. If you answered allied health professional to Q1, what best describes the allied health discipline/role that you play in</w:t>
      </w:r>
      <w:r>
        <w:rPr>
          <w:spacing w:val="-47"/>
          <w:sz w:val="18"/>
        </w:rPr>
        <w:t> </w:t>
      </w:r>
      <w:r>
        <w:rPr>
          <w:sz w:val="18"/>
        </w:rPr>
        <w:t>in</w:t>
      </w:r>
      <w:r>
        <w:rPr>
          <w:spacing w:val="-1"/>
          <w:sz w:val="18"/>
        </w:rPr>
        <w:t> </w:t>
      </w:r>
      <w:r>
        <w:rPr>
          <w:sz w:val="18"/>
        </w:rPr>
        <w:t>this</w:t>
      </w:r>
      <w:r>
        <w:rPr>
          <w:spacing w:val="-1"/>
          <w:sz w:val="18"/>
        </w:rPr>
        <w:t> </w:t>
      </w:r>
      <w:r>
        <w:rPr>
          <w:sz w:val="18"/>
        </w:rPr>
        <w:t>practice?</w:t>
      </w:r>
    </w:p>
    <w:p>
      <w:pPr>
        <w:pStyle w:val="BodyText"/>
        <w:spacing w:before="6"/>
        <w:rPr>
          <w:sz w:val="8"/>
        </w:rPr>
      </w:pPr>
    </w:p>
    <w:p>
      <w:pPr>
        <w:spacing w:line="220" w:lineRule="exact" w:before="100"/>
        <w:ind w:left="1769" w:right="0" w:firstLine="0"/>
        <w:jc w:val="left"/>
        <w:rPr>
          <w:sz w:val="18"/>
        </w:rPr>
      </w:pPr>
      <w:r>
        <w:rPr/>
        <w:drawing>
          <wp:anchor distT="0" distB="0" distL="0" distR="0" allowOverlap="1" layoutInCell="1" locked="0" behindDoc="0" simplePos="0" relativeHeight="15903232">
            <wp:simplePos x="0" y="0"/>
            <wp:positionH relativeFrom="page">
              <wp:posOffset>1102145</wp:posOffset>
            </wp:positionH>
            <wp:positionV relativeFrom="paragraph">
              <wp:posOffset>107968</wp:posOffset>
            </wp:positionV>
            <wp:extent cx="58380" cy="72151"/>
            <wp:effectExtent l="0" t="0" r="0" b="0"/>
            <wp:wrapNone/>
            <wp:docPr id="1141" name="image13.png"/>
            <wp:cNvGraphicFramePr>
              <a:graphicFrameLocks noChangeAspect="1"/>
            </wp:cNvGraphicFramePr>
            <a:graphic>
              <a:graphicData uri="http://schemas.openxmlformats.org/drawingml/2006/picture">
                <pic:pic>
                  <pic:nvPicPr>
                    <pic:cNvPr id="114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Pharmacist</w:t>
      </w:r>
      <w:r>
        <w:rPr>
          <w:spacing w:val="45"/>
          <w:sz w:val="18"/>
        </w:rPr>
        <w:t> </w:t>
      </w:r>
      <w:r>
        <w:rPr>
          <w:sz w:val="18"/>
        </w:rPr>
        <w:t>(8)</w:t>
      </w:r>
    </w:p>
    <w:p>
      <w:pPr>
        <w:spacing w:line="220" w:lineRule="exact" w:before="0"/>
        <w:ind w:left="1769" w:right="0" w:firstLine="0"/>
        <w:jc w:val="left"/>
        <w:rPr>
          <w:sz w:val="18"/>
        </w:rPr>
      </w:pPr>
      <w:r>
        <w:rPr/>
        <w:drawing>
          <wp:anchor distT="0" distB="0" distL="0" distR="0" allowOverlap="1" layoutInCell="1" locked="0" behindDoc="0" simplePos="0" relativeHeight="15903744">
            <wp:simplePos x="0" y="0"/>
            <wp:positionH relativeFrom="page">
              <wp:posOffset>1102145</wp:posOffset>
            </wp:positionH>
            <wp:positionV relativeFrom="paragraph">
              <wp:posOffset>43613</wp:posOffset>
            </wp:positionV>
            <wp:extent cx="58380" cy="72151"/>
            <wp:effectExtent l="0" t="0" r="0" b="0"/>
            <wp:wrapNone/>
            <wp:docPr id="1143" name="image13.png"/>
            <wp:cNvGraphicFramePr>
              <a:graphicFrameLocks noChangeAspect="1"/>
            </wp:cNvGraphicFramePr>
            <a:graphic>
              <a:graphicData uri="http://schemas.openxmlformats.org/drawingml/2006/picture">
                <pic:pic>
                  <pic:nvPicPr>
                    <pic:cNvPr id="114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Physiotherapist</w:t>
      </w:r>
      <w:r>
        <w:rPr>
          <w:spacing w:val="43"/>
          <w:sz w:val="18"/>
        </w:rPr>
        <w:t> </w:t>
      </w:r>
      <w:r>
        <w:rPr>
          <w:sz w:val="18"/>
        </w:rPr>
        <w:t>(3)</w:t>
      </w:r>
    </w:p>
    <w:p>
      <w:pPr>
        <w:spacing w:before="1"/>
        <w:ind w:left="1769" w:right="0" w:firstLine="0"/>
        <w:jc w:val="left"/>
        <w:rPr>
          <w:sz w:val="18"/>
        </w:rPr>
      </w:pPr>
      <w:r>
        <w:rPr/>
        <w:drawing>
          <wp:anchor distT="0" distB="0" distL="0" distR="0" allowOverlap="1" layoutInCell="1" locked="0" behindDoc="0" simplePos="0" relativeHeight="15904256">
            <wp:simplePos x="0" y="0"/>
            <wp:positionH relativeFrom="page">
              <wp:posOffset>1102145</wp:posOffset>
            </wp:positionH>
            <wp:positionV relativeFrom="paragraph">
              <wp:posOffset>44849</wp:posOffset>
            </wp:positionV>
            <wp:extent cx="58380" cy="72151"/>
            <wp:effectExtent l="0" t="0" r="0" b="0"/>
            <wp:wrapNone/>
            <wp:docPr id="1145" name="image13.png"/>
            <wp:cNvGraphicFramePr>
              <a:graphicFrameLocks noChangeAspect="1"/>
            </wp:cNvGraphicFramePr>
            <a:graphic>
              <a:graphicData uri="http://schemas.openxmlformats.org/drawingml/2006/picture">
                <pic:pic>
                  <pic:nvPicPr>
                    <pic:cNvPr id="114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Dietitian</w:t>
      </w:r>
      <w:r>
        <w:rPr>
          <w:spacing w:val="45"/>
          <w:sz w:val="18"/>
        </w:rPr>
        <w:t> </w:t>
      </w:r>
      <w:r>
        <w:rPr>
          <w:sz w:val="18"/>
        </w:rPr>
        <w:t>(1)</w:t>
      </w:r>
    </w:p>
    <w:p>
      <w:pPr>
        <w:spacing w:before="0"/>
        <w:ind w:left="1769" w:right="0" w:firstLine="0"/>
        <w:jc w:val="left"/>
        <w:rPr>
          <w:sz w:val="18"/>
        </w:rPr>
      </w:pPr>
      <w:r>
        <w:rPr/>
        <w:drawing>
          <wp:anchor distT="0" distB="0" distL="0" distR="0" allowOverlap="1" layoutInCell="1" locked="0" behindDoc="0" simplePos="0" relativeHeight="15904768">
            <wp:simplePos x="0" y="0"/>
            <wp:positionH relativeFrom="page">
              <wp:posOffset>1102145</wp:posOffset>
            </wp:positionH>
            <wp:positionV relativeFrom="paragraph">
              <wp:posOffset>44021</wp:posOffset>
            </wp:positionV>
            <wp:extent cx="58380" cy="73869"/>
            <wp:effectExtent l="0" t="0" r="0" b="0"/>
            <wp:wrapNone/>
            <wp:docPr id="1147" name="image14.png"/>
            <wp:cNvGraphicFramePr>
              <a:graphicFrameLocks noChangeAspect="1"/>
            </wp:cNvGraphicFramePr>
            <a:graphic>
              <a:graphicData uri="http://schemas.openxmlformats.org/drawingml/2006/picture">
                <pic:pic>
                  <pic:nvPicPr>
                    <pic:cNvPr id="1148"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Exercise</w:t>
      </w:r>
      <w:r>
        <w:rPr>
          <w:spacing w:val="-4"/>
          <w:sz w:val="18"/>
        </w:rPr>
        <w:t> </w:t>
      </w:r>
      <w:r>
        <w:rPr>
          <w:sz w:val="18"/>
        </w:rPr>
        <w:t>physiologist</w:t>
      </w:r>
      <w:r>
        <w:rPr>
          <w:spacing w:val="42"/>
          <w:sz w:val="18"/>
        </w:rPr>
        <w:t> </w:t>
      </w:r>
      <w:r>
        <w:rPr>
          <w:sz w:val="18"/>
        </w:rPr>
        <w:t>(2)</w:t>
      </w:r>
    </w:p>
    <w:p>
      <w:pPr>
        <w:spacing w:before="0"/>
        <w:ind w:left="1769" w:right="0" w:firstLine="0"/>
        <w:jc w:val="left"/>
        <w:rPr>
          <w:sz w:val="18"/>
        </w:rPr>
      </w:pPr>
      <w:r>
        <w:rPr/>
        <w:drawing>
          <wp:anchor distT="0" distB="0" distL="0" distR="0" allowOverlap="1" layoutInCell="1" locked="0" behindDoc="0" simplePos="0" relativeHeight="15905280">
            <wp:simplePos x="0" y="0"/>
            <wp:positionH relativeFrom="page">
              <wp:posOffset>1102145</wp:posOffset>
            </wp:positionH>
            <wp:positionV relativeFrom="paragraph">
              <wp:posOffset>44214</wp:posOffset>
            </wp:positionV>
            <wp:extent cx="58380" cy="72151"/>
            <wp:effectExtent l="0" t="0" r="0" b="0"/>
            <wp:wrapNone/>
            <wp:docPr id="1149" name="image13.png"/>
            <wp:cNvGraphicFramePr>
              <a:graphicFrameLocks noChangeAspect="1"/>
            </wp:cNvGraphicFramePr>
            <a:graphic>
              <a:graphicData uri="http://schemas.openxmlformats.org/drawingml/2006/picture">
                <pic:pic>
                  <pic:nvPicPr>
                    <pic:cNvPr id="115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Psychologist</w:t>
      </w:r>
      <w:r>
        <w:rPr>
          <w:spacing w:val="46"/>
          <w:sz w:val="18"/>
        </w:rPr>
        <w:t> </w:t>
      </w:r>
      <w:r>
        <w:rPr>
          <w:sz w:val="18"/>
        </w:rPr>
        <w:t>(4)</w:t>
      </w:r>
    </w:p>
    <w:p>
      <w:pPr>
        <w:spacing w:before="0"/>
        <w:ind w:left="1769" w:right="0" w:firstLine="0"/>
        <w:jc w:val="left"/>
        <w:rPr>
          <w:sz w:val="18"/>
        </w:rPr>
      </w:pPr>
      <w:r>
        <w:rPr/>
        <w:drawing>
          <wp:anchor distT="0" distB="0" distL="0" distR="0" allowOverlap="1" layoutInCell="1" locked="0" behindDoc="0" simplePos="0" relativeHeight="15905792">
            <wp:simplePos x="0" y="0"/>
            <wp:positionH relativeFrom="page">
              <wp:posOffset>1102145</wp:posOffset>
            </wp:positionH>
            <wp:positionV relativeFrom="paragraph">
              <wp:posOffset>44214</wp:posOffset>
            </wp:positionV>
            <wp:extent cx="58380" cy="72151"/>
            <wp:effectExtent l="0" t="0" r="0" b="0"/>
            <wp:wrapNone/>
            <wp:docPr id="1151" name="image13.png"/>
            <wp:cNvGraphicFramePr>
              <a:graphicFrameLocks noChangeAspect="1"/>
            </wp:cNvGraphicFramePr>
            <a:graphic>
              <a:graphicData uri="http://schemas.openxmlformats.org/drawingml/2006/picture">
                <pic:pic>
                  <pic:nvPicPr>
                    <pic:cNvPr id="115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Social</w:t>
      </w:r>
      <w:r>
        <w:rPr>
          <w:spacing w:val="-3"/>
          <w:sz w:val="18"/>
        </w:rPr>
        <w:t> </w:t>
      </w:r>
      <w:r>
        <w:rPr>
          <w:sz w:val="18"/>
        </w:rPr>
        <w:t>worker</w:t>
      </w:r>
      <w:r>
        <w:rPr>
          <w:spacing w:val="46"/>
          <w:sz w:val="18"/>
        </w:rPr>
        <w:t> </w:t>
      </w:r>
      <w:r>
        <w:rPr>
          <w:sz w:val="18"/>
        </w:rPr>
        <w:t>(5)</w:t>
      </w:r>
    </w:p>
    <w:p>
      <w:pPr>
        <w:spacing w:before="0"/>
        <w:ind w:left="1769" w:right="0" w:firstLine="0"/>
        <w:jc w:val="left"/>
        <w:rPr>
          <w:sz w:val="18"/>
        </w:rPr>
      </w:pPr>
      <w:r>
        <w:rPr/>
        <w:drawing>
          <wp:anchor distT="0" distB="0" distL="0" distR="0" allowOverlap="1" layoutInCell="1" locked="0" behindDoc="0" simplePos="0" relativeHeight="15906304">
            <wp:simplePos x="0" y="0"/>
            <wp:positionH relativeFrom="page">
              <wp:posOffset>1102145</wp:posOffset>
            </wp:positionH>
            <wp:positionV relativeFrom="paragraph">
              <wp:posOffset>44021</wp:posOffset>
            </wp:positionV>
            <wp:extent cx="58380" cy="73869"/>
            <wp:effectExtent l="0" t="0" r="0" b="0"/>
            <wp:wrapNone/>
            <wp:docPr id="1153" name="image14.png"/>
            <wp:cNvGraphicFramePr>
              <a:graphicFrameLocks noChangeAspect="1"/>
            </wp:cNvGraphicFramePr>
            <a:graphic>
              <a:graphicData uri="http://schemas.openxmlformats.org/drawingml/2006/picture">
                <pic:pic>
                  <pic:nvPicPr>
                    <pic:cNvPr id="1154"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Audiologist</w:t>
      </w:r>
      <w:r>
        <w:rPr>
          <w:spacing w:val="46"/>
          <w:sz w:val="18"/>
        </w:rPr>
        <w:t> </w:t>
      </w:r>
      <w:r>
        <w:rPr>
          <w:sz w:val="18"/>
        </w:rPr>
        <w:t>(6)</w:t>
      </w:r>
    </w:p>
    <w:p>
      <w:pPr>
        <w:spacing w:before="0"/>
        <w:ind w:left="1769" w:right="0" w:firstLine="0"/>
        <w:jc w:val="left"/>
        <w:rPr>
          <w:sz w:val="18"/>
        </w:rPr>
      </w:pPr>
      <w:r>
        <w:rPr/>
        <w:drawing>
          <wp:anchor distT="0" distB="0" distL="0" distR="0" allowOverlap="1" layoutInCell="1" locked="0" behindDoc="0" simplePos="0" relativeHeight="15906816">
            <wp:simplePos x="0" y="0"/>
            <wp:positionH relativeFrom="page">
              <wp:posOffset>1102145</wp:posOffset>
            </wp:positionH>
            <wp:positionV relativeFrom="paragraph">
              <wp:posOffset>44214</wp:posOffset>
            </wp:positionV>
            <wp:extent cx="58380" cy="72151"/>
            <wp:effectExtent l="0" t="0" r="0" b="0"/>
            <wp:wrapNone/>
            <wp:docPr id="1155" name="image13.png"/>
            <wp:cNvGraphicFramePr>
              <a:graphicFrameLocks noChangeAspect="1"/>
            </wp:cNvGraphicFramePr>
            <a:graphic>
              <a:graphicData uri="http://schemas.openxmlformats.org/drawingml/2006/picture">
                <pic:pic>
                  <pic:nvPicPr>
                    <pic:cNvPr id="115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Optometrist</w:t>
      </w:r>
      <w:r>
        <w:rPr>
          <w:spacing w:val="44"/>
          <w:sz w:val="18"/>
        </w:rPr>
        <w:t> </w:t>
      </w:r>
      <w:r>
        <w:rPr>
          <w:sz w:val="18"/>
        </w:rPr>
        <w:t>(7)</w:t>
      </w:r>
    </w:p>
    <w:p>
      <w:pPr>
        <w:spacing w:before="0"/>
        <w:ind w:left="1769" w:right="0" w:firstLine="0"/>
        <w:jc w:val="left"/>
        <w:rPr>
          <w:sz w:val="18"/>
        </w:rPr>
      </w:pPr>
      <w:r>
        <w:rPr/>
        <w:drawing>
          <wp:anchor distT="0" distB="0" distL="0" distR="0" allowOverlap="1" layoutInCell="1" locked="0" behindDoc="0" simplePos="0" relativeHeight="15907328">
            <wp:simplePos x="0" y="0"/>
            <wp:positionH relativeFrom="page">
              <wp:posOffset>1102145</wp:posOffset>
            </wp:positionH>
            <wp:positionV relativeFrom="paragraph">
              <wp:posOffset>44214</wp:posOffset>
            </wp:positionV>
            <wp:extent cx="58380" cy="72151"/>
            <wp:effectExtent l="0" t="0" r="0" b="0"/>
            <wp:wrapNone/>
            <wp:docPr id="1157" name="image13.png"/>
            <wp:cNvGraphicFramePr>
              <a:graphicFrameLocks noChangeAspect="1"/>
            </wp:cNvGraphicFramePr>
            <a:graphic>
              <a:graphicData uri="http://schemas.openxmlformats.org/drawingml/2006/picture">
                <pic:pic>
                  <pic:nvPicPr>
                    <pic:cNvPr id="115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Dentist</w:t>
      </w:r>
      <w:r>
        <w:rPr>
          <w:spacing w:val="45"/>
          <w:sz w:val="18"/>
        </w:rPr>
        <w:t> </w:t>
      </w:r>
      <w:r>
        <w:rPr>
          <w:sz w:val="18"/>
        </w:rPr>
        <w:t>(9)</w:t>
      </w:r>
    </w:p>
    <w:p>
      <w:pPr>
        <w:spacing w:before="0"/>
        <w:ind w:left="1769" w:right="0" w:firstLine="0"/>
        <w:jc w:val="left"/>
        <w:rPr>
          <w:sz w:val="18"/>
        </w:rPr>
      </w:pPr>
      <w:r>
        <w:rPr/>
        <w:drawing>
          <wp:anchor distT="0" distB="0" distL="0" distR="0" allowOverlap="1" layoutInCell="1" locked="0" behindDoc="0" simplePos="0" relativeHeight="15907840">
            <wp:simplePos x="0" y="0"/>
            <wp:positionH relativeFrom="page">
              <wp:posOffset>1102145</wp:posOffset>
            </wp:positionH>
            <wp:positionV relativeFrom="paragraph">
              <wp:posOffset>44214</wp:posOffset>
            </wp:positionV>
            <wp:extent cx="58380" cy="72151"/>
            <wp:effectExtent l="0" t="0" r="0" b="0"/>
            <wp:wrapNone/>
            <wp:docPr id="1159" name="image13.png"/>
            <wp:cNvGraphicFramePr>
              <a:graphicFrameLocks noChangeAspect="1"/>
            </wp:cNvGraphicFramePr>
            <a:graphic>
              <a:graphicData uri="http://schemas.openxmlformats.org/drawingml/2006/picture">
                <pic:pic>
                  <pic:nvPicPr>
                    <pic:cNvPr id="116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Other,</w:t>
      </w:r>
      <w:r>
        <w:rPr>
          <w:spacing w:val="-5"/>
          <w:sz w:val="18"/>
        </w:rPr>
        <w:t> </w:t>
      </w:r>
      <w:r>
        <w:rPr>
          <w:sz w:val="18"/>
        </w:rPr>
        <w:t>please</w:t>
      </w:r>
      <w:r>
        <w:rPr>
          <w:spacing w:val="-4"/>
          <w:sz w:val="18"/>
        </w:rPr>
        <w:t> </w:t>
      </w:r>
      <w:r>
        <w:rPr>
          <w:sz w:val="18"/>
        </w:rPr>
        <w:t>describe</w:t>
      </w:r>
      <w:r>
        <w:rPr>
          <w:spacing w:val="44"/>
          <w:sz w:val="18"/>
        </w:rPr>
        <w:t> </w:t>
      </w:r>
      <w:r>
        <w:rPr>
          <w:sz w:val="18"/>
        </w:rPr>
        <w:t>(10)</w:t>
      </w:r>
    </w:p>
    <w:p>
      <w:pPr>
        <w:pStyle w:val="BodyText"/>
      </w:pPr>
    </w:p>
    <w:p>
      <w:pPr>
        <w:pStyle w:val="BodyText"/>
        <w:spacing w:before="2"/>
        <w:rPr>
          <w:sz w:val="17"/>
        </w:rPr>
      </w:pPr>
      <w:r>
        <w:rPr/>
        <w:pict>
          <v:shape style="position:absolute;margin-left:68.183998pt;margin-top:11.769648pt;width:125.95pt;height:.1pt;mso-position-horizontal-relative:page;mso-position-vertical-relative:paragraph;z-index:-15558656;mso-wrap-distance-left:0;mso-wrap-distance-right:0" id="docshape194" coordorigin="1364,235" coordsize="2519,0" path="m1364,235l3882,235e" filled="false" stroked="true" strokeweight=".45pt" strokecolor="#bdbdbd">
            <v:path arrowok="t"/>
            <v:stroke dashstyle="solid"/>
            <w10:wrap type="topAndBottom"/>
          </v:shape>
        </w:pict>
      </w:r>
    </w:p>
    <w:p>
      <w:pPr>
        <w:pStyle w:val="BodyText"/>
        <w:spacing w:before="11"/>
        <w:rPr>
          <w:sz w:val="15"/>
        </w:rPr>
      </w:pPr>
    </w:p>
    <w:p>
      <w:pPr>
        <w:pStyle w:val="ListParagraph"/>
        <w:numPr>
          <w:ilvl w:val="1"/>
          <w:numId w:val="88"/>
        </w:numPr>
        <w:tabs>
          <w:tab w:pos="725" w:val="left" w:leader="none"/>
        </w:tabs>
        <w:spacing w:line="276" w:lineRule="auto" w:before="100" w:after="0"/>
        <w:ind w:left="420" w:right="1113" w:firstLine="0"/>
        <w:jc w:val="left"/>
        <w:rPr>
          <w:sz w:val="18"/>
        </w:rPr>
      </w:pPr>
      <w:r>
        <w:rPr>
          <w:sz w:val="18"/>
        </w:rPr>
        <w:t>As an allied health professional, are you directly involved in developing general practice management plans for</w:t>
      </w:r>
      <w:r>
        <w:rPr>
          <w:spacing w:val="-47"/>
          <w:sz w:val="18"/>
        </w:rPr>
        <w:t> </w:t>
      </w:r>
      <w:r>
        <w:rPr>
          <w:sz w:val="18"/>
        </w:rPr>
        <w:t>patients</w:t>
      </w:r>
      <w:r>
        <w:rPr>
          <w:spacing w:val="-2"/>
          <w:sz w:val="18"/>
        </w:rPr>
        <w:t> </w:t>
      </w:r>
      <w:r>
        <w:rPr>
          <w:sz w:val="18"/>
        </w:rPr>
        <w:t>at</w:t>
      </w:r>
      <w:r>
        <w:rPr>
          <w:spacing w:val="-2"/>
          <w:sz w:val="18"/>
        </w:rPr>
        <w:t> </w:t>
      </w:r>
      <w:r>
        <w:rPr>
          <w:sz w:val="18"/>
        </w:rPr>
        <w:t>this</w:t>
      </w:r>
      <w:r>
        <w:rPr>
          <w:spacing w:val="-1"/>
          <w:sz w:val="18"/>
        </w:rPr>
        <w:t> </w:t>
      </w:r>
      <w:r>
        <w:rPr>
          <w:sz w:val="18"/>
        </w:rPr>
        <w:t>practice?</w:t>
      </w:r>
    </w:p>
    <w:p>
      <w:pPr>
        <w:pStyle w:val="BodyText"/>
        <w:spacing w:before="3"/>
        <w:rPr>
          <w:sz w:val="8"/>
        </w:rPr>
      </w:pPr>
    </w:p>
    <w:p>
      <w:pPr>
        <w:spacing w:before="100"/>
        <w:ind w:left="1771" w:right="0" w:firstLine="0"/>
        <w:jc w:val="left"/>
        <w:rPr>
          <w:sz w:val="18"/>
        </w:rPr>
      </w:pPr>
      <w:r>
        <w:rPr/>
        <w:drawing>
          <wp:anchor distT="0" distB="0" distL="0" distR="0" allowOverlap="1" layoutInCell="1" locked="0" behindDoc="0" simplePos="0" relativeHeight="15908352">
            <wp:simplePos x="0" y="0"/>
            <wp:positionH relativeFrom="page">
              <wp:posOffset>1102145</wp:posOffset>
            </wp:positionH>
            <wp:positionV relativeFrom="paragraph">
              <wp:posOffset>107333</wp:posOffset>
            </wp:positionV>
            <wp:extent cx="58380" cy="72151"/>
            <wp:effectExtent l="0" t="0" r="0" b="0"/>
            <wp:wrapNone/>
            <wp:docPr id="1161" name="image13.png"/>
            <wp:cNvGraphicFramePr>
              <a:graphicFrameLocks noChangeAspect="1"/>
            </wp:cNvGraphicFramePr>
            <a:graphic>
              <a:graphicData uri="http://schemas.openxmlformats.org/drawingml/2006/picture">
                <pic:pic>
                  <pic:nvPicPr>
                    <pic:cNvPr id="116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Yes</w:t>
      </w:r>
      <w:r>
        <w:rPr>
          <w:spacing w:val="49"/>
          <w:sz w:val="18"/>
        </w:rPr>
        <w:t> </w:t>
      </w:r>
      <w:r>
        <w:rPr>
          <w:sz w:val="18"/>
        </w:rPr>
        <w:t>(1)</w:t>
      </w:r>
    </w:p>
    <w:p>
      <w:pPr>
        <w:spacing w:before="0"/>
        <w:ind w:left="1771" w:right="0" w:firstLine="0"/>
        <w:jc w:val="left"/>
        <w:rPr>
          <w:sz w:val="18"/>
        </w:rPr>
      </w:pPr>
      <w:r>
        <w:rPr/>
        <w:drawing>
          <wp:anchor distT="0" distB="0" distL="0" distR="0" allowOverlap="1" layoutInCell="1" locked="0" behindDoc="0" simplePos="0" relativeHeight="15908864">
            <wp:simplePos x="0" y="0"/>
            <wp:positionH relativeFrom="page">
              <wp:posOffset>1102145</wp:posOffset>
            </wp:positionH>
            <wp:positionV relativeFrom="paragraph">
              <wp:posOffset>43833</wp:posOffset>
            </wp:positionV>
            <wp:extent cx="58380" cy="72151"/>
            <wp:effectExtent l="0" t="0" r="0" b="0"/>
            <wp:wrapNone/>
            <wp:docPr id="1163" name="image13.png"/>
            <wp:cNvGraphicFramePr>
              <a:graphicFrameLocks noChangeAspect="1"/>
            </wp:cNvGraphicFramePr>
            <a:graphic>
              <a:graphicData uri="http://schemas.openxmlformats.org/drawingml/2006/picture">
                <pic:pic>
                  <pic:nvPicPr>
                    <pic:cNvPr id="116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w:t>
      </w:r>
      <w:r>
        <w:rPr>
          <w:spacing w:val="49"/>
          <w:sz w:val="18"/>
        </w:rPr>
        <w:t> </w:t>
      </w:r>
      <w:r>
        <w:rPr>
          <w:sz w:val="18"/>
        </w:rPr>
        <w:t>(2)</w:t>
      </w:r>
    </w:p>
    <w:p>
      <w:pPr>
        <w:pStyle w:val="BodyText"/>
        <w:spacing w:before="10"/>
        <w:rPr>
          <w:sz w:val="14"/>
        </w:rPr>
      </w:pPr>
    </w:p>
    <w:p>
      <w:pPr>
        <w:pStyle w:val="ListParagraph"/>
        <w:numPr>
          <w:ilvl w:val="1"/>
          <w:numId w:val="88"/>
        </w:numPr>
        <w:tabs>
          <w:tab w:pos="725" w:val="left" w:leader="none"/>
        </w:tabs>
        <w:spacing w:line="276" w:lineRule="auto" w:before="100" w:after="0"/>
        <w:ind w:left="420" w:right="908" w:firstLine="0"/>
        <w:jc w:val="left"/>
        <w:rPr>
          <w:sz w:val="18"/>
        </w:rPr>
      </w:pPr>
      <w:r>
        <w:rPr>
          <w:sz w:val="18"/>
        </w:rPr>
        <w:t>As</w:t>
      </w:r>
      <w:r>
        <w:rPr>
          <w:spacing w:val="-3"/>
          <w:sz w:val="18"/>
        </w:rPr>
        <w:t> </w:t>
      </w:r>
      <w:r>
        <w:rPr>
          <w:sz w:val="18"/>
        </w:rPr>
        <w:t>an</w:t>
      </w:r>
      <w:r>
        <w:rPr>
          <w:spacing w:val="-2"/>
          <w:sz w:val="18"/>
        </w:rPr>
        <w:t> </w:t>
      </w:r>
      <w:r>
        <w:rPr>
          <w:sz w:val="18"/>
        </w:rPr>
        <w:t>allied</w:t>
      </w:r>
      <w:r>
        <w:rPr>
          <w:spacing w:val="-3"/>
          <w:sz w:val="18"/>
        </w:rPr>
        <w:t> </w:t>
      </w:r>
      <w:r>
        <w:rPr>
          <w:sz w:val="18"/>
        </w:rPr>
        <w:t>health</w:t>
      </w:r>
      <w:r>
        <w:rPr>
          <w:spacing w:val="-2"/>
          <w:sz w:val="18"/>
        </w:rPr>
        <w:t> </w:t>
      </w:r>
      <w:r>
        <w:rPr>
          <w:sz w:val="18"/>
        </w:rPr>
        <w:t>professional,</w:t>
      </w:r>
      <w:r>
        <w:rPr>
          <w:spacing w:val="-5"/>
          <w:sz w:val="18"/>
        </w:rPr>
        <w:t> </w:t>
      </w:r>
      <w:r>
        <w:rPr>
          <w:sz w:val="18"/>
        </w:rPr>
        <w:t>do</w:t>
      </w:r>
      <w:r>
        <w:rPr>
          <w:spacing w:val="-2"/>
          <w:sz w:val="18"/>
        </w:rPr>
        <w:t> </w:t>
      </w:r>
      <w:r>
        <w:rPr>
          <w:sz w:val="18"/>
        </w:rPr>
        <w:t>you</w:t>
      </w:r>
      <w:r>
        <w:rPr>
          <w:spacing w:val="-2"/>
          <w:sz w:val="18"/>
        </w:rPr>
        <w:t> </w:t>
      </w:r>
      <w:r>
        <w:rPr>
          <w:sz w:val="18"/>
        </w:rPr>
        <w:t>also</w:t>
      </w:r>
      <w:r>
        <w:rPr>
          <w:spacing w:val="-3"/>
          <w:sz w:val="18"/>
        </w:rPr>
        <w:t> </w:t>
      </w:r>
      <w:r>
        <w:rPr>
          <w:sz w:val="18"/>
        </w:rPr>
        <w:t>play</w:t>
      </w:r>
      <w:r>
        <w:rPr>
          <w:spacing w:val="-3"/>
          <w:sz w:val="18"/>
        </w:rPr>
        <w:t> </w:t>
      </w:r>
      <w:r>
        <w:rPr>
          <w:sz w:val="18"/>
        </w:rPr>
        <w:t>a</w:t>
      </w:r>
      <w:r>
        <w:rPr>
          <w:spacing w:val="-2"/>
          <w:sz w:val="18"/>
        </w:rPr>
        <w:t> </w:t>
      </w:r>
      <w:r>
        <w:rPr>
          <w:sz w:val="18"/>
        </w:rPr>
        <w:t>role</w:t>
      </w:r>
      <w:r>
        <w:rPr>
          <w:spacing w:val="-2"/>
          <w:sz w:val="18"/>
        </w:rPr>
        <w:t> </w:t>
      </w:r>
      <w:r>
        <w:rPr>
          <w:sz w:val="18"/>
        </w:rPr>
        <w:t>as</w:t>
      </w:r>
      <w:r>
        <w:rPr>
          <w:spacing w:val="-3"/>
          <w:sz w:val="18"/>
        </w:rPr>
        <w:t> </w:t>
      </w:r>
      <w:r>
        <w:rPr>
          <w:sz w:val="18"/>
        </w:rPr>
        <w:t>a</w:t>
      </w:r>
      <w:r>
        <w:rPr>
          <w:spacing w:val="-3"/>
          <w:sz w:val="18"/>
        </w:rPr>
        <w:t> </w:t>
      </w:r>
      <w:r>
        <w:rPr>
          <w:sz w:val="18"/>
        </w:rPr>
        <w:t>Care</w:t>
      </w:r>
      <w:r>
        <w:rPr>
          <w:spacing w:val="-2"/>
          <w:sz w:val="18"/>
        </w:rPr>
        <w:t> </w:t>
      </w:r>
      <w:r>
        <w:rPr>
          <w:sz w:val="18"/>
        </w:rPr>
        <w:t>Coordinator</w:t>
      </w:r>
      <w:r>
        <w:rPr>
          <w:spacing w:val="-2"/>
          <w:sz w:val="18"/>
        </w:rPr>
        <w:t> </w:t>
      </w:r>
      <w:r>
        <w:rPr>
          <w:sz w:val="18"/>
        </w:rPr>
        <w:t>or</w:t>
      </w:r>
      <w:r>
        <w:rPr>
          <w:spacing w:val="-2"/>
          <w:sz w:val="18"/>
        </w:rPr>
        <w:t> </w:t>
      </w:r>
      <w:r>
        <w:rPr>
          <w:sz w:val="18"/>
        </w:rPr>
        <w:t>Case</w:t>
      </w:r>
      <w:r>
        <w:rPr>
          <w:spacing w:val="-2"/>
          <w:sz w:val="18"/>
        </w:rPr>
        <w:t> </w:t>
      </w:r>
      <w:r>
        <w:rPr>
          <w:sz w:val="18"/>
        </w:rPr>
        <w:t>Manager</w:t>
      </w:r>
      <w:r>
        <w:rPr>
          <w:spacing w:val="-3"/>
          <w:sz w:val="18"/>
        </w:rPr>
        <w:t> </w:t>
      </w:r>
      <w:r>
        <w:rPr>
          <w:sz w:val="18"/>
        </w:rPr>
        <w:t>for</w:t>
      </w:r>
      <w:r>
        <w:rPr>
          <w:spacing w:val="-2"/>
          <w:sz w:val="18"/>
        </w:rPr>
        <w:t> </w:t>
      </w:r>
      <w:r>
        <w:rPr>
          <w:sz w:val="18"/>
        </w:rPr>
        <w:t>patients</w:t>
      </w:r>
      <w:r>
        <w:rPr>
          <w:spacing w:val="-3"/>
          <w:sz w:val="18"/>
        </w:rPr>
        <w:t> </w:t>
      </w:r>
      <w:r>
        <w:rPr>
          <w:sz w:val="18"/>
        </w:rPr>
        <w:t>at</w:t>
      </w:r>
      <w:r>
        <w:rPr>
          <w:spacing w:val="-4"/>
          <w:sz w:val="18"/>
        </w:rPr>
        <w:t> </w:t>
      </w:r>
      <w:r>
        <w:rPr>
          <w:sz w:val="18"/>
        </w:rPr>
        <w:t>this</w:t>
      </w:r>
      <w:r>
        <w:rPr>
          <w:spacing w:val="1"/>
          <w:sz w:val="18"/>
        </w:rPr>
        <w:t> </w:t>
      </w:r>
      <w:r>
        <w:rPr>
          <w:sz w:val="18"/>
        </w:rPr>
        <w:t>practice?</w:t>
      </w:r>
    </w:p>
    <w:p>
      <w:pPr>
        <w:pStyle w:val="BodyText"/>
        <w:spacing w:before="2"/>
        <w:rPr>
          <w:sz w:val="8"/>
        </w:rPr>
      </w:pPr>
    </w:p>
    <w:p>
      <w:pPr>
        <w:spacing w:before="100"/>
        <w:ind w:left="1771" w:right="0" w:firstLine="0"/>
        <w:jc w:val="left"/>
        <w:rPr>
          <w:sz w:val="18"/>
        </w:rPr>
      </w:pPr>
      <w:r>
        <w:rPr/>
        <w:drawing>
          <wp:anchor distT="0" distB="0" distL="0" distR="0" allowOverlap="1" layoutInCell="1" locked="0" behindDoc="0" simplePos="0" relativeHeight="15909376">
            <wp:simplePos x="0" y="0"/>
            <wp:positionH relativeFrom="page">
              <wp:posOffset>1102145</wp:posOffset>
            </wp:positionH>
            <wp:positionV relativeFrom="paragraph">
              <wp:posOffset>107333</wp:posOffset>
            </wp:positionV>
            <wp:extent cx="58380" cy="72151"/>
            <wp:effectExtent l="0" t="0" r="0" b="0"/>
            <wp:wrapNone/>
            <wp:docPr id="1165" name="image13.png"/>
            <wp:cNvGraphicFramePr>
              <a:graphicFrameLocks noChangeAspect="1"/>
            </wp:cNvGraphicFramePr>
            <a:graphic>
              <a:graphicData uri="http://schemas.openxmlformats.org/drawingml/2006/picture">
                <pic:pic>
                  <pic:nvPicPr>
                    <pic:cNvPr id="116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Yes</w:t>
      </w:r>
      <w:r>
        <w:rPr>
          <w:spacing w:val="49"/>
          <w:sz w:val="18"/>
        </w:rPr>
        <w:t> </w:t>
      </w:r>
      <w:r>
        <w:rPr>
          <w:sz w:val="18"/>
        </w:rPr>
        <w:t>(1)</w:t>
      </w:r>
    </w:p>
    <w:p>
      <w:pPr>
        <w:spacing w:before="0"/>
        <w:ind w:left="1771" w:right="0" w:firstLine="0"/>
        <w:jc w:val="left"/>
        <w:rPr>
          <w:sz w:val="18"/>
        </w:rPr>
      </w:pPr>
      <w:r>
        <w:rPr/>
        <w:drawing>
          <wp:anchor distT="0" distB="0" distL="0" distR="0" allowOverlap="1" layoutInCell="1" locked="0" behindDoc="0" simplePos="0" relativeHeight="15909888">
            <wp:simplePos x="0" y="0"/>
            <wp:positionH relativeFrom="page">
              <wp:posOffset>1102145</wp:posOffset>
            </wp:positionH>
            <wp:positionV relativeFrom="paragraph">
              <wp:posOffset>43833</wp:posOffset>
            </wp:positionV>
            <wp:extent cx="58380" cy="72151"/>
            <wp:effectExtent l="0" t="0" r="0" b="0"/>
            <wp:wrapNone/>
            <wp:docPr id="1167" name="image13.png"/>
            <wp:cNvGraphicFramePr>
              <a:graphicFrameLocks noChangeAspect="1"/>
            </wp:cNvGraphicFramePr>
            <a:graphic>
              <a:graphicData uri="http://schemas.openxmlformats.org/drawingml/2006/picture">
                <pic:pic>
                  <pic:nvPicPr>
                    <pic:cNvPr id="116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w:t>
      </w:r>
      <w:r>
        <w:rPr>
          <w:spacing w:val="49"/>
          <w:sz w:val="18"/>
        </w:rPr>
        <w:t> </w:t>
      </w:r>
      <w:r>
        <w:rPr>
          <w:sz w:val="18"/>
        </w:rPr>
        <w:t>(2)</w:t>
      </w:r>
    </w:p>
    <w:p>
      <w:pPr>
        <w:spacing w:after="0"/>
        <w:jc w:val="left"/>
        <w:rPr>
          <w:sz w:val="18"/>
        </w:rPr>
        <w:sectPr>
          <w:pgSz w:w="11910" w:h="16840"/>
          <w:pgMar w:header="0" w:footer="948" w:top="860" w:bottom="1140" w:left="300" w:right="0"/>
        </w:sectPr>
      </w:pPr>
    </w:p>
    <w:p>
      <w:pPr>
        <w:pStyle w:val="ListParagraph"/>
        <w:numPr>
          <w:ilvl w:val="0"/>
          <w:numId w:val="87"/>
        </w:numPr>
        <w:tabs>
          <w:tab w:pos="624" w:val="left" w:leader="none"/>
        </w:tabs>
        <w:spacing w:line="240" w:lineRule="auto" w:before="75" w:after="0"/>
        <w:ind w:left="624" w:right="0" w:hanging="204"/>
        <w:jc w:val="left"/>
        <w:rPr>
          <w:sz w:val="18"/>
        </w:rPr>
      </w:pPr>
      <w:r>
        <w:rPr>
          <w:sz w:val="18"/>
        </w:rPr>
        <w:t>As</w:t>
      </w:r>
      <w:r>
        <w:rPr>
          <w:spacing w:val="-2"/>
          <w:sz w:val="18"/>
        </w:rPr>
        <w:t> </w:t>
      </w:r>
      <w:r>
        <w:rPr>
          <w:sz w:val="18"/>
        </w:rPr>
        <w:t>an</w:t>
      </w:r>
      <w:r>
        <w:rPr>
          <w:spacing w:val="-4"/>
          <w:sz w:val="18"/>
        </w:rPr>
        <w:t> </w:t>
      </w:r>
      <w:r>
        <w:rPr>
          <w:sz w:val="18"/>
        </w:rPr>
        <w:t>allied</w:t>
      </w:r>
      <w:r>
        <w:rPr>
          <w:spacing w:val="-4"/>
          <w:sz w:val="18"/>
        </w:rPr>
        <w:t> </w:t>
      </w:r>
      <w:r>
        <w:rPr>
          <w:sz w:val="18"/>
        </w:rPr>
        <w:t>health</w:t>
      </w:r>
      <w:r>
        <w:rPr>
          <w:spacing w:val="-1"/>
          <w:sz w:val="18"/>
        </w:rPr>
        <w:t> </w:t>
      </w:r>
      <w:r>
        <w:rPr>
          <w:sz w:val="18"/>
        </w:rPr>
        <w:t>professional,</w:t>
      </w:r>
      <w:r>
        <w:rPr>
          <w:spacing w:val="-6"/>
          <w:sz w:val="18"/>
        </w:rPr>
        <w:t> </w:t>
      </w:r>
      <w:r>
        <w:rPr>
          <w:sz w:val="18"/>
        </w:rPr>
        <w:t>what</w:t>
      </w:r>
      <w:r>
        <w:rPr>
          <w:spacing w:val="-6"/>
          <w:sz w:val="18"/>
        </w:rPr>
        <w:t> </w:t>
      </w:r>
      <w:r>
        <w:rPr>
          <w:sz w:val="18"/>
        </w:rPr>
        <w:t>employment</w:t>
      </w:r>
      <w:r>
        <w:rPr>
          <w:spacing w:val="-5"/>
          <w:sz w:val="18"/>
        </w:rPr>
        <w:t> </w:t>
      </w:r>
      <w:r>
        <w:rPr>
          <w:sz w:val="18"/>
        </w:rPr>
        <w:t>arrangement</w:t>
      </w:r>
      <w:r>
        <w:rPr>
          <w:spacing w:val="-6"/>
          <w:sz w:val="18"/>
        </w:rPr>
        <w:t> </w:t>
      </w:r>
      <w:r>
        <w:rPr>
          <w:sz w:val="18"/>
        </w:rPr>
        <w:t>do</w:t>
      </w:r>
      <w:r>
        <w:rPr>
          <w:spacing w:val="-4"/>
          <w:sz w:val="18"/>
        </w:rPr>
        <w:t> </w:t>
      </w:r>
      <w:r>
        <w:rPr>
          <w:sz w:val="18"/>
        </w:rPr>
        <w:t>you</w:t>
      </w:r>
      <w:r>
        <w:rPr>
          <w:spacing w:val="-4"/>
          <w:sz w:val="18"/>
        </w:rPr>
        <w:t> </w:t>
      </w:r>
      <w:r>
        <w:rPr>
          <w:sz w:val="18"/>
        </w:rPr>
        <w:t>currently</w:t>
      </w:r>
      <w:r>
        <w:rPr>
          <w:spacing w:val="-4"/>
          <w:sz w:val="18"/>
        </w:rPr>
        <w:t> </w:t>
      </w:r>
      <w:r>
        <w:rPr>
          <w:sz w:val="18"/>
        </w:rPr>
        <w:t>have</w:t>
      </w:r>
      <w:r>
        <w:rPr>
          <w:spacing w:val="-4"/>
          <w:sz w:val="18"/>
        </w:rPr>
        <w:t> </w:t>
      </w:r>
      <w:r>
        <w:rPr>
          <w:sz w:val="18"/>
        </w:rPr>
        <w:t>with</w:t>
      </w:r>
      <w:r>
        <w:rPr>
          <w:spacing w:val="-3"/>
          <w:sz w:val="18"/>
        </w:rPr>
        <w:t> </w:t>
      </w:r>
      <w:r>
        <w:rPr>
          <w:sz w:val="18"/>
        </w:rPr>
        <w:t>the</w:t>
      </w:r>
      <w:r>
        <w:rPr>
          <w:spacing w:val="-4"/>
          <w:sz w:val="18"/>
        </w:rPr>
        <w:t> </w:t>
      </w:r>
      <w:r>
        <w:rPr>
          <w:sz w:val="18"/>
        </w:rPr>
        <w:t>practice/</w:t>
      </w:r>
      <w:r>
        <w:rPr>
          <w:spacing w:val="-3"/>
          <w:sz w:val="18"/>
        </w:rPr>
        <w:t> </w:t>
      </w:r>
      <w:r>
        <w:rPr>
          <w:sz w:val="18"/>
        </w:rPr>
        <w:t>service?</w:t>
      </w:r>
    </w:p>
    <w:p>
      <w:pPr>
        <w:pStyle w:val="BodyText"/>
        <w:spacing w:before="11"/>
        <w:rPr>
          <w:sz w:val="10"/>
        </w:rPr>
      </w:pPr>
    </w:p>
    <w:p>
      <w:pPr>
        <w:spacing w:before="100"/>
        <w:ind w:left="1061" w:right="6981" w:firstLine="0"/>
        <w:jc w:val="left"/>
        <w:rPr>
          <w:sz w:val="18"/>
        </w:rPr>
      </w:pPr>
      <w:r>
        <w:rPr/>
        <w:drawing>
          <wp:anchor distT="0" distB="0" distL="0" distR="0" allowOverlap="1" layoutInCell="1" locked="0" behindDoc="0" simplePos="0" relativeHeight="15911424">
            <wp:simplePos x="0" y="0"/>
            <wp:positionH relativeFrom="page">
              <wp:posOffset>652565</wp:posOffset>
            </wp:positionH>
            <wp:positionV relativeFrom="paragraph">
              <wp:posOffset>108603</wp:posOffset>
            </wp:positionV>
            <wp:extent cx="58380" cy="72151"/>
            <wp:effectExtent l="0" t="0" r="0" b="0"/>
            <wp:wrapNone/>
            <wp:docPr id="1169" name="image13.png"/>
            <wp:cNvGraphicFramePr>
              <a:graphicFrameLocks noChangeAspect="1"/>
            </wp:cNvGraphicFramePr>
            <a:graphic>
              <a:graphicData uri="http://schemas.openxmlformats.org/drawingml/2006/picture">
                <pic:pic>
                  <pic:nvPicPr>
                    <pic:cNvPr id="1170"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911936">
            <wp:simplePos x="0" y="0"/>
            <wp:positionH relativeFrom="page">
              <wp:posOffset>652565</wp:posOffset>
            </wp:positionH>
            <wp:positionV relativeFrom="paragraph">
              <wp:posOffset>248811</wp:posOffset>
            </wp:positionV>
            <wp:extent cx="58380" cy="72151"/>
            <wp:effectExtent l="0" t="0" r="0" b="0"/>
            <wp:wrapNone/>
            <wp:docPr id="1171" name="image13.png"/>
            <wp:cNvGraphicFramePr>
              <a:graphicFrameLocks noChangeAspect="1"/>
            </wp:cNvGraphicFramePr>
            <a:graphic>
              <a:graphicData uri="http://schemas.openxmlformats.org/drawingml/2006/picture">
                <pic:pic>
                  <pic:nvPicPr>
                    <pic:cNvPr id="1172"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912448">
            <wp:simplePos x="0" y="0"/>
            <wp:positionH relativeFrom="page">
              <wp:posOffset>652565</wp:posOffset>
            </wp:positionH>
            <wp:positionV relativeFrom="paragraph">
              <wp:posOffset>389019</wp:posOffset>
            </wp:positionV>
            <wp:extent cx="58380" cy="72151"/>
            <wp:effectExtent l="0" t="0" r="0" b="0"/>
            <wp:wrapNone/>
            <wp:docPr id="1173" name="image13.png"/>
            <wp:cNvGraphicFramePr>
              <a:graphicFrameLocks noChangeAspect="1"/>
            </wp:cNvGraphicFramePr>
            <a:graphic>
              <a:graphicData uri="http://schemas.openxmlformats.org/drawingml/2006/picture">
                <pic:pic>
                  <pic:nvPicPr>
                    <pic:cNvPr id="117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Full-time (includes full-time partner)</w:t>
      </w:r>
      <w:r>
        <w:rPr>
          <w:spacing w:val="1"/>
          <w:sz w:val="18"/>
        </w:rPr>
        <w:t> </w:t>
      </w:r>
      <w:r>
        <w:rPr>
          <w:sz w:val="18"/>
        </w:rPr>
        <w:t>(1)</w:t>
      </w:r>
      <w:r>
        <w:rPr>
          <w:spacing w:val="1"/>
          <w:sz w:val="18"/>
        </w:rPr>
        <w:t> </w:t>
      </w:r>
      <w:r>
        <w:rPr>
          <w:sz w:val="18"/>
        </w:rPr>
        <w:t>Part-time (includes part-time partner)</w:t>
      </w:r>
      <w:r>
        <w:rPr>
          <w:spacing w:val="1"/>
          <w:sz w:val="18"/>
        </w:rPr>
        <w:t> </w:t>
      </w:r>
      <w:r>
        <w:rPr>
          <w:sz w:val="18"/>
        </w:rPr>
        <w:t>(2)</w:t>
      </w:r>
      <w:r>
        <w:rPr>
          <w:spacing w:val="-48"/>
          <w:sz w:val="18"/>
        </w:rPr>
        <w:t> </w:t>
      </w:r>
      <w:r>
        <w:rPr>
          <w:sz w:val="18"/>
        </w:rPr>
        <w:t>Casual</w:t>
      </w:r>
      <w:r>
        <w:rPr>
          <w:spacing w:val="3"/>
          <w:sz w:val="18"/>
        </w:rPr>
        <w:t> </w:t>
      </w:r>
      <w:r>
        <w:rPr>
          <w:sz w:val="18"/>
        </w:rPr>
        <w:t>(3)</w:t>
      </w:r>
    </w:p>
    <w:p>
      <w:pPr>
        <w:spacing w:line="219" w:lineRule="exact" w:before="0"/>
        <w:ind w:left="1061" w:right="0" w:firstLine="0"/>
        <w:jc w:val="left"/>
        <w:rPr>
          <w:sz w:val="18"/>
        </w:rPr>
      </w:pPr>
      <w:r>
        <w:rPr/>
        <w:drawing>
          <wp:anchor distT="0" distB="0" distL="0" distR="0" allowOverlap="1" layoutInCell="1" locked="0" behindDoc="0" simplePos="0" relativeHeight="15912960">
            <wp:simplePos x="0" y="0"/>
            <wp:positionH relativeFrom="page">
              <wp:posOffset>652565</wp:posOffset>
            </wp:positionH>
            <wp:positionV relativeFrom="paragraph">
              <wp:posOffset>43589</wp:posOffset>
            </wp:positionV>
            <wp:extent cx="58380" cy="73869"/>
            <wp:effectExtent l="0" t="0" r="0" b="0"/>
            <wp:wrapNone/>
            <wp:docPr id="1175" name="image14.png"/>
            <wp:cNvGraphicFramePr>
              <a:graphicFrameLocks noChangeAspect="1"/>
            </wp:cNvGraphicFramePr>
            <a:graphic>
              <a:graphicData uri="http://schemas.openxmlformats.org/drawingml/2006/picture">
                <pic:pic>
                  <pic:nvPicPr>
                    <pic:cNvPr id="1176"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Locum</w:t>
      </w:r>
      <w:r>
        <w:rPr>
          <w:spacing w:val="45"/>
          <w:sz w:val="18"/>
        </w:rPr>
        <w:t> </w:t>
      </w:r>
      <w:r>
        <w:rPr>
          <w:sz w:val="18"/>
        </w:rPr>
        <w:t>(4)</w:t>
      </w:r>
    </w:p>
    <w:p>
      <w:pPr>
        <w:spacing w:before="0"/>
        <w:ind w:left="1061" w:right="0" w:firstLine="0"/>
        <w:jc w:val="left"/>
        <w:rPr>
          <w:sz w:val="18"/>
        </w:rPr>
      </w:pPr>
      <w:r>
        <w:rPr/>
        <w:drawing>
          <wp:anchor distT="0" distB="0" distL="0" distR="0" allowOverlap="1" layoutInCell="1" locked="0" behindDoc="0" simplePos="0" relativeHeight="15913472">
            <wp:simplePos x="0" y="0"/>
            <wp:positionH relativeFrom="page">
              <wp:posOffset>652565</wp:posOffset>
            </wp:positionH>
            <wp:positionV relativeFrom="paragraph">
              <wp:posOffset>44849</wp:posOffset>
            </wp:positionV>
            <wp:extent cx="58380" cy="72151"/>
            <wp:effectExtent l="0" t="0" r="0" b="0"/>
            <wp:wrapNone/>
            <wp:docPr id="1177" name="image13.png"/>
            <wp:cNvGraphicFramePr>
              <a:graphicFrameLocks noChangeAspect="1"/>
            </wp:cNvGraphicFramePr>
            <a:graphic>
              <a:graphicData uri="http://schemas.openxmlformats.org/drawingml/2006/picture">
                <pic:pic>
                  <pic:nvPicPr>
                    <pic:cNvPr id="117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Other,</w:t>
      </w:r>
      <w:r>
        <w:rPr>
          <w:spacing w:val="-6"/>
          <w:sz w:val="18"/>
        </w:rPr>
        <w:t> </w:t>
      </w:r>
      <w:r>
        <w:rPr>
          <w:sz w:val="18"/>
        </w:rPr>
        <w:t>please</w:t>
      </w:r>
      <w:r>
        <w:rPr>
          <w:spacing w:val="-3"/>
          <w:sz w:val="18"/>
        </w:rPr>
        <w:t> </w:t>
      </w:r>
      <w:r>
        <w:rPr>
          <w:sz w:val="18"/>
        </w:rPr>
        <w:t>specify</w:t>
      </w:r>
      <w:r>
        <w:rPr>
          <w:spacing w:val="45"/>
          <w:sz w:val="18"/>
        </w:rPr>
        <w:t> </w:t>
      </w:r>
      <w:r>
        <w:rPr>
          <w:sz w:val="18"/>
        </w:rPr>
        <w:t>(5)</w:t>
      </w:r>
    </w:p>
    <w:p>
      <w:pPr>
        <w:pStyle w:val="BodyText"/>
        <w:spacing w:before="2"/>
        <w:rPr>
          <w:sz w:val="16"/>
        </w:rPr>
      </w:pPr>
      <w:r>
        <w:rPr/>
        <w:pict>
          <v:shape style="position:absolute;margin-left:68.183998pt;margin-top:11.141679pt;width:139.950pt;height:.1pt;mso-position-horizontal-relative:page;mso-position-vertical-relative:paragraph;z-index:-15546880;mso-wrap-distance-left:0;mso-wrap-distance-right:0" id="docshape195" coordorigin="1364,223" coordsize="2799,0" path="m1364,223l4162,223e" filled="false" stroked="true" strokeweight=".498pt" strokecolor="#bdbdbd">
            <v:path arrowok="t"/>
            <v:stroke dashstyle="solid"/>
            <w10:wrap type="topAndBottom"/>
          </v:shape>
        </w:pict>
      </w:r>
    </w:p>
    <w:p>
      <w:pPr>
        <w:pStyle w:val="BodyText"/>
        <w:spacing w:before="7"/>
        <w:rPr>
          <w:sz w:val="12"/>
        </w:rPr>
      </w:pPr>
    </w:p>
    <w:p>
      <w:pPr>
        <w:pStyle w:val="ListParagraph"/>
        <w:numPr>
          <w:ilvl w:val="0"/>
          <w:numId w:val="87"/>
        </w:numPr>
        <w:tabs>
          <w:tab w:pos="624" w:val="left" w:leader="none"/>
        </w:tabs>
        <w:spacing w:line="240" w:lineRule="auto" w:before="100" w:after="0"/>
        <w:ind w:left="624" w:right="0" w:hanging="204"/>
        <w:jc w:val="left"/>
        <w:rPr>
          <w:sz w:val="18"/>
        </w:rPr>
      </w:pPr>
      <w:r>
        <w:rPr>
          <w:sz w:val="18"/>
        </w:rPr>
        <w:t>As</w:t>
      </w:r>
      <w:r>
        <w:rPr>
          <w:spacing w:val="-1"/>
          <w:sz w:val="18"/>
        </w:rPr>
        <w:t> </w:t>
      </w:r>
      <w:r>
        <w:rPr>
          <w:sz w:val="18"/>
        </w:rPr>
        <w:t>an</w:t>
      </w:r>
      <w:r>
        <w:rPr>
          <w:spacing w:val="-3"/>
          <w:sz w:val="18"/>
        </w:rPr>
        <w:t> </w:t>
      </w:r>
      <w:r>
        <w:rPr>
          <w:sz w:val="18"/>
        </w:rPr>
        <w:t>allied</w:t>
      </w:r>
      <w:r>
        <w:rPr>
          <w:spacing w:val="-3"/>
          <w:sz w:val="18"/>
        </w:rPr>
        <w:t> </w:t>
      </w:r>
      <w:r>
        <w:rPr>
          <w:sz w:val="18"/>
        </w:rPr>
        <w:t>health</w:t>
      </w:r>
      <w:r>
        <w:rPr>
          <w:spacing w:val="-3"/>
          <w:sz w:val="18"/>
        </w:rPr>
        <w:t> </w:t>
      </w:r>
      <w:r>
        <w:rPr>
          <w:sz w:val="18"/>
        </w:rPr>
        <w:t>professional,</w:t>
      </w:r>
      <w:r>
        <w:rPr>
          <w:spacing w:val="-5"/>
          <w:sz w:val="18"/>
        </w:rPr>
        <w:t> </w:t>
      </w:r>
      <w:r>
        <w:rPr>
          <w:sz w:val="18"/>
        </w:rPr>
        <w:t>how</w:t>
      </w:r>
      <w:r>
        <w:rPr>
          <w:spacing w:val="-4"/>
          <w:sz w:val="18"/>
        </w:rPr>
        <w:t> </w:t>
      </w:r>
      <w:r>
        <w:rPr>
          <w:sz w:val="18"/>
        </w:rPr>
        <w:t>long</w:t>
      </w:r>
      <w:r>
        <w:rPr>
          <w:spacing w:val="-4"/>
          <w:sz w:val="18"/>
        </w:rPr>
        <w:t> </w:t>
      </w:r>
      <w:r>
        <w:rPr>
          <w:sz w:val="18"/>
        </w:rPr>
        <w:t>have</w:t>
      </w:r>
      <w:r>
        <w:rPr>
          <w:spacing w:val="-2"/>
          <w:sz w:val="18"/>
        </w:rPr>
        <w:t> </w:t>
      </w:r>
      <w:r>
        <w:rPr>
          <w:sz w:val="18"/>
        </w:rPr>
        <w:t>you</w:t>
      </w:r>
      <w:r>
        <w:rPr>
          <w:spacing w:val="-3"/>
          <w:sz w:val="18"/>
        </w:rPr>
        <w:t> </w:t>
      </w:r>
      <w:r>
        <w:rPr>
          <w:sz w:val="18"/>
        </w:rPr>
        <w:t>worked</w:t>
      </w:r>
      <w:r>
        <w:rPr>
          <w:spacing w:val="-3"/>
          <w:sz w:val="18"/>
        </w:rPr>
        <w:t> </w:t>
      </w:r>
      <w:r>
        <w:rPr>
          <w:sz w:val="18"/>
        </w:rPr>
        <w:t>at</w:t>
      </w:r>
      <w:r>
        <w:rPr>
          <w:spacing w:val="-5"/>
          <w:sz w:val="18"/>
        </w:rPr>
        <w:t> </w:t>
      </w:r>
      <w:r>
        <w:rPr>
          <w:sz w:val="18"/>
        </w:rPr>
        <w:t>this</w:t>
      </w:r>
      <w:r>
        <w:rPr>
          <w:spacing w:val="-3"/>
          <w:sz w:val="18"/>
        </w:rPr>
        <w:t> </w:t>
      </w:r>
      <w:r>
        <w:rPr>
          <w:sz w:val="18"/>
        </w:rPr>
        <w:t>practice/</w:t>
      </w:r>
      <w:r>
        <w:rPr>
          <w:spacing w:val="-2"/>
          <w:sz w:val="18"/>
        </w:rPr>
        <w:t> </w:t>
      </w:r>
      <w:r>
        <w:rPr>
          <w:sz w:val="18"/>
        </w:rPr>
        <w:t>service?</w:t>
      </w:r>
    </w:p>
    <w:p>
      <w:pPr>
        <w:pStyle w:val="BodyText"/>
        <w:spacing w:before="11"/>
        <w:rPr>
          <w:sz w:val="10"/>
        </w:rPr>
      </w:pPr>
    </w:p>
    <w:p>
      <w:pPr>
        <w:spacing w:before="100"/>
        <w:ind w:left="1061" w:right="0" w:firstLine="0"/>
        <w:jc w:val="left"/>
        <w:rPr>
          <w:sz w:val="18"/>
        </w:rPr>
      </w:pPr>
      <w:r>
        <w:rPr/>
        <w:drawing>
          <wp:anchor distT="0" distB="0" distL="0" distR="0" allowOverlap="1" layoutInCell="1" locked="0" behindDoc="0" simplePos="0" relativeHeight="15913984">
            <wp:simplePos x="0" y="0"/>
            <wp:positionH relativeFrom="page">
              <wp:posOffset>652565</wp:posOffset>
            </wp:positionH>
            <wp:positionV relativeFrom="paragraph">
              <wp:posOffset>108350</wp:posOffset>
            </wp:positionV>
            <wp:extent cx="58380" cy="72151"/>
            <wp:effectExtent l="0" t="0" r="0" b="0"/>
            <wp:wrapNone/>
            <wp:docPr id="1179" name="image13.png"/>
            <wp:cNvGraphicFramePr>
              <a:graphicFrameLocks noChangeAspect="1"/>
            </wp:cNvGraphicFramePr>
            <a:graphic>
              <a:graphicData uri="http://schemas.openxmlformats.org/drawingml/2006/picture">
                <pic:pic>
                  <pic:nvPicPr>
                    <pic:cNvPr id="118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0-3</w:t>
      </w:r>
      <w:r>
        <w:rPr>
          <w:spacing w:val="-2"/>
          <w:sz w:val="18"/>
        </w:rPr>
        <w:t> </w:t>
      </w:r>
      <w:r>
        <w:rPr>
          <w:sz w:val="18"/>
        </w:rPr>
        <w:t>months</w:t>
      </w:r>
      <w:r>
        <w:rPr>
          <w:spacing w:val="49"/>
          <w:sz w:val="18"/>
        </w:rPr>
        <w:t> </w:t>
      </w:r>
      <w:r>
        <w:rPr>
          <w:sz w:val="18"/>
        </w:rPr>
        <w:t>(1)</w:t>
      </w:r>
    </w:p>
    <w:p>
      <w:pPr>
        <w:spacing w:before="0"/>
        <w:ind w:left="1061" w:right="0" w:firstLine="0"/>
        <w:jc w:val="left"/>
        <w:rPr>
          <w:sz w:val="18"/>
        </w:rPr>
      </w:pPr>
      <w:r>
        <w:rPr/>
        <w:drawing>
          <wp:anchor distT="0" distB="0" distL="0" distR="0" allowOverlap="1" layoutInCell="1" locked="0" behindDoc="0" simplePos="0" relativeHeight="15914496">
            <wp:simplePos x="0" y="0"/>
            <wp:positionH relativeFrom="page">
              <wp:posOffset>652565</wp:posOffset>
            </wp:positionH>
            <wp:positionV relativeFrom="paragraph">
              <wp:posOffset>44849</wp:posOffset>
            </wp:positionV>
            <wp:extent cx="58380" cy="72151"/>
            <wp:effectExtent l="0" t="0" r="0" b="0"/>
            <wp:wrapNone/>
            <wp:docPr id="1181" name="image13.png"/>
            <wp:cNvGraphicFramePr>
              <a:graphicFrameLocks noChangeAspect="1"/>
            </wp:cNvGraphicFramePr>
            <a:graphic>
              <a:graphicData uri="http://schemas.openxmlformats.org/drawingml/2006/picture">
                <pic:pic>
                  <pic:nvPicPr>
                    <pic:cNvPr id="118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4-12</w:t>
      </w:r>
      <w:r>
        <w:rPr>
          <w:spacing w:val="-4"/>
          <w:sz w:val="18"/>
        </w:rPr>
        <w:t> </w:t>
      </w:r>
      <w:r>
        <w:rPr>
          <w:sz w:val="18"/>
        </w:rPr>
        <w:t>months</w:t>
      </w:r>
      <w:r>
        <w:rPr>
          <w:spacing w:val="49"/>
          <w:sz w:val="18"/>
        </w:rPr>
        <w:t> </w:t>
      </w:r>
      <w:r>
        <w:rPr>
          <w:sz w:val="18"/>
        </w:rPr>
        <w:t>(2)</w:t>
      </w:r>
    </w:p>
    <w:p>
      <w:pPr>
        <w:spacing w:before="0"/>
        <w:ind w:left="1061" w:right="0" w:firstLine="0"/>
        <w:jc w:val="left"/>
        <w:rPr>
          <w:sz w:val="18"/>
        </w:rPr>
      </w:pPr>
      <w:r>
        <w:rPr/>
        <w:drawing>
          <wp:anchor distT="0" distB="0" distL="0" distR="0" allowOverlap="1" layoutInCell="1" locked="0" behindDoc="0" simplePos="0" relativeHeight="15915008">
            <wp:simplePos x="0" y="0"/>
            <wp:positionH relativeFrom="page">
              <wp:posOffset>652565</wp:posOffset>
            </wp:positionH>
            <wp:positionV relativeFrom="paragraph">
              <wp:posOffset>44655</wp:posOffset>
            </wp:positionV>
            <wp:extent cx="58380" cy="73870"/>
            <wp:effectExtent l="0" t="0" r="0" b="0"/>
            <wp:wrapNone/>
            <wp:docPr id="1183" name="image14.png"/>
            <wp:cNvGraphicFramePr>
              <a:graphicFrameLocks noChangeAspect="1"/>
            </wp:cNvGraphicFramePr>
            <a:graphic>
              <a:graphicData uri="http://schemas.openxmlformats.org/drawingml/2006/picture">
                <pic:pic>
                  <pic:nvPicPr>
                    <pic:cNvPr id="1184" name="image14.png"/>
                    <pic:cNvPicPr/>
                  </pic:nvPicPr>
                  <pic:blipFill>
                    <a:blip r:embed="rId43" cstate="print"/>
                    <a:stretch>
                      <a:fillRect/>
                    </a:stretch>
                  </pic:blipFill>
                  <pic:spPr>
                    <a:xfrm>
                      <a:off x="0" y="0"/>
                      <a:ext cx="58380" cy="73870"/>
                    </a:xfrm>
                    <a:prstGeom prst="rect">
                      <a:avLst/>
                    </a:prstGeom>
                  </pic:spPr>
                </pic:pic>
              </a:graphicData>
            </a:graphic>
          </wp:anchor>
        </w:drawing>
      </w:r>
      <w:r>
        <w:rPr>
          <w:sz w:val="18"/>
        </w:rPr>
        <w:t>1-2</w:t>
      </w:r>
      <w:r>
        <w:rPr>
          <w:spacing w:val="-3"/>
          <w:sz w:val="18"/>
        </w:rPr>
        <w:t> </w:t>
      </w:r>
      <w:r>
        <w:rPr>
          <w:sz w:val="18"/>
        </w:rPr>
        <w:t>years</w:t>
      </w:r>
      <w:r>
        <w:rPr>
          <w:spacing w:val="44"/>
          <w:sz w:val="18"/>
        </w:rPr>
        <w:t> </w:t>
      </w:r>
      <w:r>
        <w:rPr>
          <w:sz w:val="18"/>
        </w:rPr>
        <w:t>(3)</w:t>
      </w:r>
    </w:p>
    <w:p>
      <w:pPr>
        <w:spacing w:before="0"/>
        <w:ind w:left="1061" w:right="0" w:firstLine="0"/>
        <w:jc w:val="left"/>
        <w:rPr>
          <w:sz w:val="18"/>
        </w:rPr>
      </w:pPr>
      <w:r>
        <w:rPr/>
        <w:drawing>
          <wp:anchor distT="0" distB="0" distL="0" distR="0" allowOverlap="1" layoutInCell="1" locked="0" behindDoc="0" simplePos="0" relativeHeight="15915520">
            <wp:simplePos x="0" y="0"/>
            <wp:positionH relativeFrom="page">
              <wp:posOffset>652565</wp:posOffset>
            </wp:positionH>
            <wp:positionV relativeFrom="paragraph">
              <wp:posOffset>44850</wp:posOffset>
            </wp:positionV>
            <wp:extent cx="58380" cy="72151"/>
            <wp:effectExtent l="0" t="0" r="0" b="0"/>
            <wp:wrapNone/>
            <wp:docPr id="1185" name="image13.png"/>
            <wp:cNvGraphicFramePr>
              <a:graphicFrameLocks noChangeAspect="1"/>
            </wp:cNvGraphicFramePr>
            <a:graphic>
              <a:graphicData uri="http://schemas.openxmlformats.org/drawingml/2006/picture">
                <pic:pic>
                  <pic:nvPicPr>
                    <pic:cNvPr id="118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3-5</w:t>
      </w:r>
      <w:r>
        <w:rPr>
          <w:spacing w:val="-3"/>
          <w:sz w:val="18"/>
        </w:rPr>
        <w:t> </w:t>
      </w:r>
      <w:r>
        <w:rPr>
          <w:sz w:val="18"/>
        </w:rPr>
        <w:t>years</w:t>
      </w:r>
      <w:r>
        <w:rPr>
          <w:spacing w:val="44"/>
          <w:sz w:val="18"/>
        </w:rPr>
        <w:t> </w:t>
      </w:r>
      <w:r>
        <w:rPr>
          <w:sz w:val="18"/>
        </w:rPr>
        <w:t>(4)</w:t>
      </w:r>
    </w:p>
    <w:p>
      <w:pPr>
        <w:pStyle w:val="ListParagraph"/>
        <w:numPr>
          <w:ilvl w:val="0"/>
          <w:numId w:val="83"/>
        </w:numPr>
        <w:tabs>
          <w:tab w:pos="1212" w:val="left" w:leader="none"/>
        </w:tabs>
        <w:spacing w:line="240" w:lineRule="auto" w:before="0" w:after="0"/>
        <w:ind w:left="1211" w:right="0" w:hanging="151"/>
        <w:jc w:val="left"/>
        <w:rPr>
          <w:sz w:val="18"/>
        </w:rPr>
      </w:pPr>
      <w:r>
        <w:rPr/>
        <w:drawing>
          <wp:anchor distT="0" distB="0" distL="0" distR="0" allowOverlap="1" layoutInCell="1" locked="0" behindDoc="0" simplePos="0" relativeHeight="15916032">
            <wp:simplePos x="0" y="0"/>
            <wp:positionH relativeFrom="page">
              <wp:posOffset>652565</wp:posOffset>
            </wp:positionH>
            <wp:positionV relativeFrom="paragraph">
              <wp:posOffset>44849</wp:posOffset>
            </wp:positionV>
            <wp:extent cx="58380" cy="72151"/>
            <wp:effectExtent l="0" t="0" r="0" b="0"/>
            <wp:wrapNone/>
            <wp:docPr id="1187" name="image13.png"/>
            <wp:cNvGraphicFramePr>
              <a:graphicFrameLocks noChangeAspect="1"/>
            </wp:cNvGraphicFramePr>
            <a:graphic>
              <a:graphicData uri="http://schemas.openxmlformats.org/drawingml/2006/picture">
                <pic:pic>
                  <pic:nvPicPr>
                    <pic:cNvPr id="118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years</w:t>
      </w:r>
      <w:r>
        <w:rPr>
          <w:spacing w:val="-3"/>
          <w:sz w:val="18"/>
        </w:rPr>
        <w:t> </w:t>
      </w:r>
      <w:r>
        <w:rPr>
          <w:sz w:val="18"/>
        </w:rPr>
        <w:t>or</w:t>
      </w:r>
      <w:r>
        <w:rPr>
          <w:spacing w:val="-4"/>
          <w:sz w:val="18"/>
        </w:rPr>
        <w:t> </w:t>
      </w:r>
      <w:r>
        <w:rPr>
          <w:sz w:val="18"/>
        </w:rPr>
        <w:t>more  (5)</w:t>
      </w:r>
    </w:p>
    <w:p>
      <w:pPr>
        <w:pStyle w:val="BodyText"/>
        <w:spacing w:before="2"/>
        <w:rPr>
          <w:sz w:val="16"/>
        </w:rPr>
      </w:pPr>
      <w:r>
        <w:rPr/>
        <w:pict>
          <v:shape style="position:absolute;margin-left:68.183998pt;margin-top:11.156176pt;width:139.950pt;height:.1pt;mso-position-horizontal-relative:page;mso-position-vertical-relative:paragraph;z-index:-15546368;mso-wrap-distance-left:0;mso-wrap-distance-right:0" id="docshape196" coordorigin="1364,223" coordsize="2799,0" path="m1364,223l4162,223e" filled="false" stroked="true" strokeweight=".498pt" strokecolor="#bdbdbd">
            <v:path arrowok="t"/>
            <v:stroke dashstyle="solid"/>
            <w10:wrap type="topAndBottom"/>
          </v:shape>
        </w:pict>
      </w:r>
    </w:p>
    <w:p>
      <w:pPr>
        <w:pStyle w:val="BodyText"/>
        <w:spacing w:before="8"/>
        <w:rPr>
          <w:sz w:val="12"/>
        </w:rPr>
      </w:pPr>
    </w:p>
    <w:p>
      <w:pPr>
        <w:spacing w:line="276" w:lineRule="auto" w:before="100"/>
        <w:ind w:left="420" w:right="1378" w:firstLine="0"/>
        <w:jc w:val="left"/>
        <w:rPr>
          <w:sz w:val="18"/>
        </w:rPr>
      </w:pPr>
      <w:r>
        <w:rPr>
          <w:sz w:val="18"/>
        </w:rPr>
        <w:t>If you are a General practitioner, Practice nurse/Nurse Practitioner, Allied health professional or Aboriginal health</w:t>
      </w:r>
      <w:r>
        <w:rPr>
          <w:spacing w:val="-47"/>
          <w:sz w:val="18"/>
        </w:rPr>
        <w:t> </w:t>
      </w:r>
      <w:r>
        <w:rPr>
          <w:sz w:val="18"/>
        </w:rPr>
        <w:t>worker/practitioner:</w:t>
      </w:r>
    </w:p>
    <w:p>
      <w:pPr>
        <w:pStyle w:val="BodyText"/>
        <w:spacing w:before="4"/>
        <w:rPr>
          <w:sz w:val="16"/>
        </w:rPr>
      </w:pPr>
    </w:p>
    <w:p>
      <w:pPr>
        <w:spacing w:line="276" w:lineRule="auto" w:before="0"/>
        <w:ind w:left="703" w:right="729" w:firstLine="0"/>
        <w:jc w:val="left"/>
        <w:rPr>
          <w:sz w:val="18"/>
        </w:rPr>
      </w:pPr>
      <w:r>
        <w:rPr>
          <w:sz w:val="18"/>
        </w:rPr>
        <w:t>The following questions relate to your opinions about care provided at the primary care practice/ service in which</w:t>
      </w:r>
      <w:r>
        <w:rPr>
          <w:spacing w:val="1"/>
          <w:sz w:val="18"/>
        </w:rPr>
        <w:t> </w:t>
      </w:r>
      <w:r>
        <w:rPr>
          <w:sz w:val="18"/>
        </w:rPr>
        <w:t>you work.</w:t>
      </w:r>
      <w:r>
        <w:rPr>
          <w:spacing w:val="49"/>
          <w:sz w:val="18"/>
        </w:rPr>
        <w:t> </w:t>
      </w:r>
      <w:r>
        <w:rPr>
          <w:sz w:val="18"/>
        </w:rPr>
        <w:t>Your answers should reflect your experiences of the last 12 months (before the commencement of the</w:t>
      </w:r>
      <w:r>
        <w:rPr>
          <w:spacing w:val="1"/>
          <w:sz w:val="18"/>
        </w:rPr>
        <w:t> </w:t>
      </w:r>
      <w:r>
        <w:rPr>
          <w:sz w:val="18"/>
        </w:rPr>
        <w:t>HCH</w:t>
      </w:r>
      <w:r>
        <w:rPr>
          <w:spacing w:val="-2"/>
          <w:sz w:val="18"/>
        </w:rPr>
        <w:t> </w:t>
      </w:r>
      <w:r>
        <w:rPr>
          <w:sz w:val="18"/>
        </w:rPr>
        <w:t>program).</w:t>
      </w:r>
      <w:r>
        <w:rPr>
          <w:spacing w:val="-4"/>
          <w:sz w:val="18"/>
        </w:rPr>
        <w:t> </w:t>
      </w:r>
      <w:r>
        <w:rPr>
          <w:sz w:val="18"/>
        </w:rPr>
        <w:t>If</w:t>
      </w:r>
      <w:r>
        <w:rPr>
          <w:spacing w:val="-2"/>
          <w:sz w:val="18"/>
        </w:rPr>
        <w:t> </w:t>
      </w:r>
      <w:r>
        <w:rPr>
          <w:sz w:val="18"/>
        </w:rPr>
        <w:t>you</w:t>
      </w:r>
      <w:r>
        <w:rPr>
          <w:spacing w:val="-2"/>
          <w:sz w:val="18"/>
        </w:rPr>
        <w:t> </w:t>
      </w:r>
      <w:r>
        <w:rPr>
          <w:sz w:val="18"/>
        </w:rPr>
        <w:t>have</w:t>
      </w:r>
      <w:r>
        <w:rPr>
          <w:spacing w:val="-4"/>
          <w:sz w:val="18"/>
        </w:rPr>
        <w:t> </w:t>
      </w:r>
      <w:r>
        <w:rPr>
          <w:sz w:val="18"/>
        </w:rPr>
        <w:t>been</w:t>
      </w:r>
      <w:r>
        <w:rPr>
          <w:spacing w:val="-2"/>
          <w:sz w:val="18"/>
        </w:rPr>
        <w:t> </w:t>
      </w:r>
      <w:r>
        <w:rPr>
          <w:sz w:val="18"/>
        </w:rPr>
        <w:t>working</w:t>
      </w:r>
      <w:r>
        <w:rPr>
          <w:spacing w:val="-3"/>
          <w:sz w:val="18"/>
        </w:rPr>
        <w:t> </w:t>
      </w:r>
      <w:r>
        <w:rPr>
          <w:sz w:val="18"/>
        </w:rPr>
        <w:t>at</w:t>
      </w:r>
      <w:r>
        <w:rPr>
          <w:spacing w:val="-4"/>
          <w:sz w:val="18"/>
        </w:rPr>
        <w:t> </w:t>
      </w:r>
      <w:r>
        <w:rPr>
          <w:sz w:val="18"/>
        </w:rPr>
        <w:t>this</w:t>
      </w:r>
      <w:r>
        <w:rPr>
          <w:spacing w:val="-3"/>
          <w:sz w:val="18"/>
        </w:rPr>
        <w:t> </w:t>
      </w:r>
      <w:r>
        <w:rPr>
          <w:sz w:val="18"/>
        </w:rPr>
        <w:t>practice/</w:t>
      </w:r>
      <w:r>
        <w:rPr>
          <w:spacing w:val="-2"/>
          <w:sz w:val="18"/>
        </w:rPr>
        <w:t> </w:t>
      </w:r>
      <w:r>
        <w:rPr>
          <w:sz w:val="18"/>
        </w:rPr>
        <w:t>service</w:t>
      </w:r>
      <w:r>
        <w:rPr>
          <w:spacing w:val="-4"/>
          <w:sz w:val="18"/>
        </w:rPr>
        <w:t> </w:t>
      </w:r>
      <w:r>
        <w:rPr>
          <w:sz w:val="18"/>
        </w:rPr>
        <w:t>for</w:t>
      </w:r>
      <w:r>
        <w:rPr>
          <w:spacing w:val="-4"/>
          <w:sz w:val="18"/>
        </w:rPr>
        <w:t> </w:t>
      </w:r>
      <w:r>
        <w:rPr>
          <w:sz w:val="18"/>
        </w:rPr>
        <w:t>less</w:t>
      </w:r>
      <w:r>
        <w:rPr>
          <w:spacing w:val="-2"/>
          <w:sz w:val="18"/>
        </w:rPr>
        <w:t> </w:t>
      </w:r>
      <w:r>
        <w:rPr>
          <w:sz w:val="18"/>
        </w:rPr>
        <w:t>than</w:t>
      </w:r>
      <w:r>
        <w:rPr>
          <w:spacing w:val="-2"/>
          <w:sz w:val="18"/>
        </w:rPr>
        <w:t> </w:t>
      </w:r>
      <w:r>
        <w:rPr>
          <w:sz w:val="18"/>
        </w:rPr>
        <w:t>12</w:t>
      </w:r>
      <w:r>
        <w:rPr>
          <w:spacing w:val="-2"/>
          <w:sz w:val="18"/>
        </w:rPr>
        <w:t> </w:t>
      </w:r>
      <w:r>
        <w:rPr>
          <w:sz w:val="18"/>
        </w:rPr>
        <w:t>months,</w:t>
      </w:r>
      <w:r>
        <w:rPr>
          <w:spacing w:val="-5"/>
          <w:sz w:val="18"/>
        </w:rPr>
        <w:t> </w:t>
      </w:r>
      <w:r>
        <w:rPr>
          <w:sz w:val="18"/>
        </w:rPr>
        <w:t>give</w:t>
      </w:r>
      <w:r>
        <w:rPr>
          <w:spacing w:val="-2"/>
          <w:sz w:val="18"/>
        </w:rPr>
        <w:t> </w:t>
      </w:r>
      <w:r>
        <w:rPr>
          <w:sz w:val="18"/>
        </w:rPr>
        <w:t>your</w:t>
      </w:r>
      <w:r>
        <w:rPr>
          <w:spacing w:val="-2"/>
          <w:sz w:val="18"/>
        </w:rPr>
        <w:t> </w:t>
      </w:r>
      <w:r>
        <w:rPr>
          <w:sz w:val="18"/>
        </w:rPr>
        <w:t>opinion</w:t>
      </w:r>
      <w:r>
        <w:rPr>
          <w:spacing w:val="-2"/>
          <w:sz w:val="18"/>
        </w:rPr>
        <w:t> </w:t>
      </w:r>
      <w:r>
        <w:rPr>
          <w:sz w:val="18"/>
        </w:rPr>
        <w:t>based</w:t>
      </w:r>
      <w:r>
        <w:rPr>
          <w:spacing w:val="-2"/>
          <w:sz w:val="18"/>
        </w:rPr>
        <w:t> </w:t>
      </w:r>
      <w:r>
        <w:rPr>
          <w:sz w:val="18"/>
        </w:rPr>
        <w:t>on</w:t>
      </w:r>
      <w:r>
        <w:rPr>
          <w:spacing w:val="1"/>
          <w:sz w:val="18"/>
        </w:rPr>
        <w:t> </w:t>
      </w:r>
      <w:r>
        <w:rPr>
          <w:sz w:val="18"/>
        </w:rPr>
        <w:t>the</w:t>
      </w:r>
      <w:r>
        <w:rPr>
          <w:spacing w:val="-1"/>
          <w:sz w:val="18"/>
        </w:rPr>
        <w:t> </w:t>
      </w:r>
      <w:r>
        <w:rPr>
          <w:sz w:val="18"/>
        </w:rPr>
        <w:t>time since you started</w:t>
      </w:r>
      <w:r>
        <w:rPr>
          <w:spacing w:val="-1"/>
          <w:sz w:val="18"/>
        </w:rPr>
        <w:t> </w:t>
      </w:r>
      <w:r>
        <w:rPr>
          <w:sz w:val="18"/>
        </w:rPr>
        <w:t>working</w:t>
      </w:r>
      <w:r>
        <w:rPr>
          <w:spacing w:val="-2"/>
          <w:sz w:val="18"/>
        </w:rPr>
        <w:t> </w:t>
      </w:r>
      <w:r>
        <w:rPr>
          <w:sz w:val="18"/>
        </w:rPr>
        <w:t>here.</w:t>
      </w:r>
    </w:p>
    <w:p>
      <w:pPr>
        <w:pStyle w:val="BodyText"/>
        <w:spacing w:before="3"/>
        <w:rPr>
          <w:sz w:val="16"/>
        </w:rPr>
      </w:pPr>
    </w:p>
    <w:p>
      <w:pPr>
        <w:spacing w:before="0"/>
        <w:ind w:left="420" w:right="0" w:firstLine="0"/>
        <w:jc w:val="left"/>
        <w:rPr>
          <w:sz w:val="18"/>
        </w:rPr>
      </w:pPr>
      <w:r>
        <w:rPr>
          <w:sz w:val="18"/>
        </w:rPr>
        <w:t>If</w:t>
      </w:r>
      <w:r>
        <w:rPr>
          <w:spacing w:val="-5"/>
          <w:sz w:val="18"/>
        </w:rPr>
        <w:t> </w:t>
      </w:r>
      <w:r>
        <w:rPr>
          <w:sz w:val="18"/>
        </w:rPr>
        <w:t>you</w:t>
      </w:r>
      <w:r>
        <w:rPr>
          <w:spacing w:val="-3"/>
          <w:sz w:val="18"/>
        </w:rPr>
        <w:t> </w:t>
      </w:r>
      <w:r>
        <w:rPr>
          <w:sz w:val="18"/>
        </w:rPr>
        <w:t>are</w:t>
      </w:r>
      <w:r>
        <w:rPr>
          <w:spacing w:val="-5"/>
          <w:sz w:val="18"/>
        </w:rPr>
        <w:t> </w:t>
      </w:r>
      <w:r>
        <w:rPr>
          <w:sz w:val="18"/>
        </w:rPr>
        <w:t>a</w:t>
      </w:r>
      <w:r>
        <w:rPr>
          <w:spacing w:val="-3"/>
          <w:sz w:val="18"/>
        </w:rPr>
        <w:t> </w:t>
      </w:r>
      <w:r>
        <w:rPr>
          <w:sz w:val="18"/>
        </w:rPr>
        <w:t>Practice</w:t>
      </w:r>
      <w:r>
        <w:rPr>
          <w:spacing w:val="-4"/>
          <w:sz w:val="18"/>
        </w:rPr>
        <w:t> </w:t>
      </w:r>
      <w:r>
        <w:rPr>
          <w:sz w:val="18"/>
        </w:rPr>
        <w:t>manager,</w:t>
      </w:r>
      <w:r>
        <w:rPr>
          <w:spacing w:val="-5"/>
          <w:sz w:val="18"/>
        </w:rPr>
        <w:t> </w:t>
      </w:r>
      <w:r>
        <w:rPr>
          <w:sz w:val="18"/>
        </w:rPr>
        <w:t>Receptionist,</w:t>
      </w:r>
      <w:r>
        <w:rPr>
          <w:spacing w:val="-5"/>
          <w:sz w:val="18"/>
        </w:rPr>
        <w:t> </w:t>
      </w:r>
      <w:r>
        <w:rPr>
          <w:sz w:val="18"/>
        </w:rPr>
        <w:t>or</w:t>
      </w:r>
      <w:r>
        <w:rPr>
          <w:spacing w:val="-2"/>
          <w:sz w:val="18"/>
        </w:rPr>
        <w:t> </w:t>
      </w:r>
      <w:r>
        <w:rPr>
          <w:sz w:val="18"/>
        </w:rPr>
        <w:t>other</w:t>
      </w:r>
      <w:r>
        <w:rPr>
          <w:spacing w:val="-2"/>
          <w:sz w:val="18"/>
        </w:rPr>
        <w:t> </w:t>
      </w:r>
      <w:r>
        <w:rPr>
          <w:sz w:val="18"/>
        </w:rPr>
        <w:t>administrative</w:t>
      </w:r>
      <w:r>
        <w:rPr>
          <w:spacing w:val="-3"/>
          <w:sz w:val="18"/>
        </w:rPr>
        <w:t> </w:t>
      </w:r>
      <w:r>
        <w:rPr>
          <w:sz w:val="18"/>
        </w:rPr>
        <w:t>staff</w:t>
      </w:r>
      <w:r>
        <w:rPr>
          <w:spacing w:val="-3"/>
          <w:sz w:val="18"/>
        </w:rPr>
        <w:t> </w:t>
      </w:r>
      <w:r>
        <w:rPr>
          <w:sz w:val="18"/>
        </w:rPr>
        <w:t>member:</w:t>
      </w:r>
    </w:p>
    <w:p>
      <w:pPr>
        <w:pStyle w:val="BodyText"/>
        <w:rPr>
          <w:sz w:val="19"/>
        </w:rPr>
      </w:pPr>
    </w:p>
    <w:p>
      <w:pPr>
        <w:spacing w:line="276" w:lineRule="auto" w:before="0"/>
        <w:ind w:left="1140" w:right="994" w:firstLine="0"/>
        <w:jc w:val="left"/>
        <w:rPr>
          <w:sz w:val="18"/>
        </w:rPr>
      </w:pPr>
      <w:r>
        <w:rPr>
          <w:sz w:val="18"/>
        </w:rPr>
        <w:t>The following questions relate to your opinions about care provided at the primary care practice/ service in</w:t>
      </w:r>
      <w:r>
        <w:rPr>
          <w:spacing w:val="1"/>
          <w:sz w:val="18"/>
        </w:rPr>
        <w:t> </w:t>
      </w:r>
      <w:r>
        <w:rPr>
          <w:sz w:val="18"/>
        </w:rPr>
        <w:t>which you work.</w:t>
      </w:r>
      <w:r>
        <w:rPr>
          <w:spacing w:val="1"/>
          <w:sz w:val="18"/>
        </w:rPr>
        <w:t> </w:t>
      </w:r>
      <w:r>
        <w:rPr>
          <w:sz w:val="18"/>
        </w:rPr>
        <w:t>Your answers should reflect your experiences of the last 12 months (before the</w:t>
      </w:r>
      <w:r>
        <w:rPr>
          <w:spacing w:val="1"/>
          <w:sz w:val="18"/>
        </w:rPr>
        <w:t> </w:t>
      </w:r>
      <w:r>
        <w:rPr>
          <w:sz w:val="18"/>
        </w:rPr>
        <w:t>commencement of the HCH program). If you have been working at this practice/ service for less than 12</w:t>
      </w:r>
      <w:r>
        <w:rPr>
          <w:spacing w:val="1"/>
          <w:sz w:val="18"/>
        </w:rPr>
        <w:t> </w:t>
      </w:r>
      <w:r>
        <w:rPr>
          <w:sz w:val="18"/>
        </w:rPr>
        <w:t>months, give your opinion based on the time since you started working here. Please note that although you</w:t>
      </w:r>
      <w:r>
        <w:rPr>
          <w:spacing w:val="1"/>
          <w:sz w:val="18"/>
        </w:rPr>
        <w:t> </w:t>
      </w:r>
      <w:r>
        <w:rPr>
          <w:sz w:val="18"/>
        </w:rPr>
        <w:t>may not have a clinical role in the practice, your views about processes in the practice are valuable and will</w:t>
      </w:r>
      <w:r>
        <w:rPr>
          <w:spacing w:val="-47"/>
          <w:sz w:val="18"/>
        </w:rPr>
        <w:t> </w:t>
      </w:r>
      <w:r>
        <w:rPr>
          <w:sz w:val="18"/>
        </w:rPr>
        <w:t>contribute to the evaluation.</w:t>
      </w:r>
      <w:r>
        <w:rPr>
          <w:spacing w:val="1"/>
          <w:sz w:val="18"/>
        </w:rPr>
        <w:t> </w:t>
      </w:r>
      <w:r>
        <w:rPr>
          <w:sz w:val="18"/>
        </w:rPr>
        <w:t>If you feel that you cannot offer an opinion about a specific question, select</w:t>
      </w:r>
      <w:r>
        <w:rPr>
          <w:spacing w:val="1"/>
          <w:sz w:val="18"/>
        </w:rPr>
        <w:t> </w:t>
      </w:r>
      <w:r>
        <w:rPr>
          <w:sz w:val="18"/>
        </w:rPr>
        <w:t>"Don't</w:t>
      </w:r>
      <w:r>
        <w:rPr>
          <w:spacing w:val="-3"/>
          <w:sz w:val="18"/>
        </w:rPr>
        <w:t> </w:t>
      </w:r>
      <w:r>
        <w:rPr>
          <w:sz w:val="18"/>
        </w:rPr>
        <w:t>Know"</w:t>
      </w:r>
    </w:p>
    <w:p>
      <w:pPr>
        <w:pStyle w:val="BodyText"/>
        <w:spacing w:before="5"/>
        <w:rPr>
          <w:sz w:val="16"/>
        </w:rPr>
      </w:pPr>
    </w:p>
    <w:p>
      <w:pPr>
        <w:pStyle w:val="ListParagraph"/>
        <w:numPr>
          <w:ilvl w:val="0"/>
          <w:numId w:val="87"/>
        </w:numPr>
        <w:tabs>
          <w:tab w:pos="619" w:val="left" w:leader="none"/>
        </w:tabs>
        <w:spacing w:line="240" w:lineRule="auto" w:before="0" w:after="0"/>
        <w:ind w:left="618" w:right="0" w:hanging="199"/>
        <w:jc w:val="left"/>
        <w:rPr>
          <w:sz w:val="18"/>
        </w:rPr>
      </w:pPr>
      <w:r>
        <w:rPr>
          <w:sz w:val="18"/>
        </w:rPr>
        <w:t>The</w:t>
      </w:r>
      <w:r>
        <w:rPr>
          <w:spacing w:val="-3"/>
          <w:sz w:val="18"/>
        </w:rPr>
        <w:t> </w:t>
      </w:r>
      <w:r>
        <w:rPr>
          <w:sz w:val="18"/>
        </w:rPr>
        <w:t>primary</w:t>
      </w:r>
      <w:r>
        <w:rPr>
          <w:spacing w:val="-3"/>
          <w:sz w:val="18"/>
        </w:rPr>
        <w:t> </w:t>
      </w:r>
      <w:r>
        <w:rPr>
          <w:sz w:val="18"/>
        </w:rPr>
        <w:t>care</w:t>
      </w:r>
      <w:r>
        <w:rPr>
          <w:spacing w:val="-2"/>
          <w:sz w:val="18"/>
        </w:rPr>
        <w:t> </w:t>
      </w:r>
      <w:r>
        <w:rPr>
          <w:sz w:val="18"/>
        </w:rPr>
        <w:t>team…</w:t>
      </w:r>
    </w:p>
    <w:p>
      <w:pPr>
        <w:pStyle w:val="BodyText"/>
        <w:rPr>
          <w:sz w:val="19"/>
        </w:rPr>
      </w:pPr>
    </w:p>
    <w:p>
      <w:pPr>
        <w:pStyle w:val="ListParagraph"/>
        <w:numPr>
          <w:ilvl w:val="0"/>
          <w:numId w:val="89"/>
        </w:numPr>
        <w:tabs>
          <w:tab w:pos="1141" w:val="left" w:leader="none"/>
        </w:tabs>
        <w:spacing w:line="240" w:lineRule="auto" w:before="0" w:after="0"/>
        <w:ind w:left="1140" w:right="1541" w:hanging="361"/>
        <w:jc w:val="left"/>
        <w:rPr>
          <w:sz w:val="18"/>
        </w:rPr>
      </w:pPr>
      <w:r>
        <w:rPr>
          <w:sz w:val="18"/>
        </w:rPr>
        <w:t>... is made up of members with clearly defined roles, such as responsibility for patient self-management</w:t>
      </w:r>
      <w:r>
        <w:rPr>
          <w:spacing w:val="-47"/>
          <w:sz w:val="18"/>
        </w:rPr>
        <w:t> </w:t>
      </w:r>
      <w:r>
        <w:rPr>
          <w:sz w:val="18"/>
        </w:rPr>
        <w:t>education,</w:t>
      </w:r>
      <w:r>
        <w:rPr>
          <w:spacing w:val="-3"/>
          <w:sz w:val="18"/>
        </w:rPr>
        <w:t> </w:t>
      </w:r>
      <w:r>
        <w:rPr>
          <w:sz w:val="18"/>
        </w:rPr>
        <w:t>proactive follow</w:t>
      </w:r>
      <w:r>
        <w:rPr>
          <w:spacing w:val="-1"/>
          <w:sz w:val="18"/>
        </w:rPr>
        <w:t> </w:t>
      </w:r>
      <w:r>
        <w:rPr>
          <w:sz w:val="18"/>
        </w:rPr>
        <w:t>up,</w:t>
      </w:r>
      <w:r>
        <w:rPr>
          <w:spacing w:val="-3"/>
          <w:sz w:val="18"/>
        </w:rPr>
        <w:t> </w:t>
      </w:r>
      <w:r>
        <w:rPr>
          <w:sz w:val="18"/>
        </w:rPr>
        <w:t>and</w:t>
      </w:r>
      <w:r>
        <w:rPr>
          <w:spacing w:val="-2"/>
          <w:sz w:val="18"/>
        </w:rPr>
        <w:t> </w:t>
      </w:r>
      <w:r>
        <w:rPr>
          <w:sz w:val="18"/>
        </w:rPr>
        <w:t>resource</w:t>
      </w:r>
      <w:r>
        <w:rPr>
          <w:spacing w:val="-2"/>
          <w:sz w:val="18"/>
        </w:rPr>
        <w:t> </w:t>
      </w:r>
      <w:r>
        <w:rPr>
          <w:sz w:val="18"/>
        </w:rPr>
        <w:t>coordination (1)</w:t>
      </w:r>
    </w:p>
    <w:p>
      <w:pPr>
        <w:spacing w:before="121"/>
        <w:ind w:left="1553" w:right="0" w:firstLine="0"/>
        <w:jc w:val="left"/>
        <w:rPr>
          <w:sz w:val="18"/>
        </w:rPr>
      </w:pPr>
      <w:r>
        <w:rPr/>
        <w:drawing>
          <wp:anchor distT="0" distB="0" distL="0" distR="0" allowOverlap="1" layoutInCell="1" locked="0" behindDoc="0" simplePos="0" relativeHeight="15916544">
            <wp:simplePos x="0" y="0"/>
            <wp:positionH relativeFrom="page">
              <wp:posOffset>922313</wp:posOffset>
            </wp:positionH>
            <wp:positionV relativeFrom="paragraph">
              <wp:posOffset>121049</wp:posOffset>
            </wp:positionV>
            <wp:extent cx="58380" cy="72151"/>
            <wp:effectExtent l="0" t="0" r="0" b="0"/>
            <wp:wrapNone/>
            <wp:docPr id="1189" name="image13.png"/>
            <wp:cNvGraphicFramePr>
              <a:graphicFrameLocks noChangeAspect="1"/>
            </wp:cNvGraphicFramePr>
            <a:graphic>
              <a:graphicData uri="http://schemas.openxmlformats.org/drawingml/2006/picture">
                <pic:pic>
                  <pic:nvPicPr>
                    <pic:cNvPr id="119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Disagree</w:t>
      </w:r>
      <w:r>
        <w:rPr>
          <w:spacing w:val="-5"/>
          <w:sz w:val="18"/>
        </w:rPr>
        <w:t> </w:t>
      </w:r>
      <w:r>
        <w:rPr>
          <w:sz w:val="18"/>
        </w:rPr>
        <w:t>(1)</w:t>
      </w:r>
    </w:p>
    <w:p>
      <w:pPr>
        <w:spacing w:line="372" w:lineRule="auto" w:before="120"/>
        <w:ind w:left="1553" w:right="7401" w:firstLine="0"/>
        <w:jc w:val="left"/>
        <w:rPr>
          <w:sz w:val="18"/>
        </w:rPr>
      </w:pPr>
      <w:r>
        <w:rPr/>
        <w:drawing>
          <wp:anchor distT="0" distB="0" distL="0" distR="0" allowOverlap="1" layoutInCell="1" locked="0" behindDoc="0" simplePos="0" relativeHeight="15917056">
            <wp:simplePos x="0" y="0"/>
            <wp:positionH relativeFrom="page">
              <wp:posOffset>922313</wp:posOffset>
            </wp:positionH>
            <wp:positionV relativeFrom="paragraph">
              <wp:posOffset>120414</wp:posOffset>
            </wp:positionV>
            <wp:extent cx="58380" cy="72151"/>
            <wp:effectExtent l="0" t="0" r="0" b="0"/>
            <wp:wrapNone/>
            <wp:docPr id="1191" name="image13.png"/>
            <wp:cNvGraphicFramePr>
              <a:graphicFrameLocks noChangeAspect="1"/>
            </wp:cNvGraphicFramePr>
            <a:graphic>
              <a:graphicData uri="http://schemas.openxmlformats.org/drawingml/2006/picture">
                <pic:pic>
                  <pic:nvPicPr>
                    <pic:cNvPr id="1192"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917568">
            <wp:simplePos x="0" y="0"/>
            <wp:positionH relativeFrom="page">
              <wp:posOffset>922313</wp:posOffset>
            </wp:positionH>
            <wp:positionV relativeFrom="paragraph">
              <wp:posOffset>336822</wp:posOffset>
            </wp:positionV>
            <wp:extent cx="58380" cy="72151"/>
            <wp:effectExtent l="0" t="0" r="0" b="0"/>
            <wp:wrapNone/>
            <wp:docPr id="1193" name="image13.png"/>
            <wp:cNvGraphicFramePr>
              <a:graphicFrameLocks noChangeAspect="1"/>
            </wp:cNvGraphicFramePr>
            <a:graphic>
              <a:graphicData uri="http://schemas.openxmlformats.org/drawingml/2006/picture">
                <pic:pic>
                  <pic:nvPicPr>
                    <pic:cNvPr id="1194"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918080">
            <wp:simplePos x="0" y="0"/>
            <wp:positionH relativeFrom="page">
              <wp:posOffset>922313</wp:posOffset>
            </wp:positionH>
            <wp:positionV relativeFrom="paragraph">
              <wp:posOffset>553231</wp:posOffset>
            </wp:positionV>
            <wp:extent cx="58380" cy="72151"/>
            <wp:effectExtent l="0" t="0" r="0" b="0"/>
            <wp:wrapNone/>
            <wp:docPr id="1195" name="image13.png"/>
            <wp:cNvGraphicFramePr>
              <a:graphicFrameLocks noChangeAspect="1"/>
            </wp:cNvGraphicFramePr>
            <a:graphic>
              <a:graphicData uri="http://schemas.openxmlformats.org/drawingml/2006/picture">
                <pic:pic>
                  <pic:nvPicPr>
                    <pic:cNvPr id="119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 disagree (2)</w:t>
      </w:r>
      <w:r>
        <w:rPr>
          <w:spacing w:val="1"/>
          <w:sz w:val="18"/>
        </w:rPr>
        <w:t> </w:t>
      </w:r>
      <w:r>
        <w:rPr>
          <w:sz w:val="18"/>
        </w:rPr>
        <w:t>Neither agree nor disagree (3)</w:t>
      </w:r>
      <w:r>
        <w:rPr>
          <w:spacing w:val="-48"/>
          <w:sz w:val="18"/>
        </w:rPr>
        <w:t> </w:t>
      </w:r>
      <w:r>
        <w:rPr>
          <w:sz w:val="18"/>
        </w:rPr>
        <w:t>Somewhat</w:t>
      </w:r>
      <w:r>
        <w:rPr>
          <w:spacing w:val="-3"/>
          <w:sz w:val="18"/>
        </w:rPr>
        <w:t> </w:t>
      </w:r>
      <w:r>
        <w:rPr>
          <w:sz w:val="18"/>
        </w:rPr>
        <w:t>agree</w:t>
      </w:r>
      <w:r>
        <w:rPr>
          <w:spacing w:val="3"/>
          <w:sz w:val="18"/>
        </w:rPr>
        <w:t> </w:t>
      </w:r>
      <w:r>
        <w:rPr>
          <w:sz w:val="18"/>
        </w:rPr>
        <w:t>(4)</w:t>
      </w:r>
    </w:p>
    <w:p>
      <w:pPr>
        <w:spacing w:line="217" w:lineRule="exact" w:before="0"/>
        <w:ind w:left="1553" w:right="0" w:firstLine="0"/>
        <w:jc w:val="left"/>
        <w:rPr>
          <w:sz w:val="18"/>
        </w:rPr>
      </w:pPr>
      <w:r>
        <w:rPr/>
        <w:drawing>
          <wp:anchor distT="0" distB="0" distL="0" distR="0" allowOverlap="1" layoutInCell="1" locked="0" behindDoc="0" simplePos="0" relativeHeight="15918592">
            <wp:simplePos x="0" y="0"/>
            <wp:positionH relativeFrom="page">
              <wp:posOffset>922313</wp:posOffset>
            </wp:positionH>
            <wp:positionV relativeFrom="paragraph">
              <wp:posOffset>41786</wp:posOffset>
            </wp:positionV>
            <wp:extent cx="58380" cy="72151"/>
            <wp:effectExtent l="0" t="0" r="0" b="0"/>
            <wp:wrapNone/>
            <wp:docPr id="1197" name="image13.png"/>
            <wp:cNvGraphicFramePr>
              <a:graphicFrameLocks noChangeAspect="1"/>
            </wp:cNvGraphicFramePr>
            <a:graphic>
              <a:graphicData uri="http://schemas.openxmlformats.org/drawingml/2006/picture">
                <pic:pic>
                  <pic:nvPicPr>
                    <pic:cNvPr id="119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Agree (5)</w:t>
      </w:r>
    </w:p>
    <w:p>
      <w:pPr>
        <w:spacing w:before="120"/>
        <w:ind w:left="1553" w:right="0" w:firstLine="0"/>
        <w:jc w:val="left"/>
        <w:rPr>
          <w:sz w:val="18"/>
        </w:rPr>
      </w:pPr>
      <w:r>
        <w:rPr/>
        <w:drawing>
          <wp:anchor distT="0" distB="0" distL="0" distR="0" allowOverlap="1" layoutInCell="1" locked="0" behindDoc="0" simplePos="0" relativeHeight="15919104">
            <wp:simplePos x="0" y="0"/>
            <wp:positionH relativeFrom="page">
              <wp:posOffset>922313</wp:posOffset>
            </wp:positionH>
            <wp:positionV relativeFrom="paragraph">
              <wp:posOffset>120033</wp:posOffset>
            </wp:positionV>
            <wp:extent cx="58380" cy="72151"/>
            <wp:effectExtent l="0" t="0" r="0" b="0"/>
            <wp:wrapNone/>
            <wp:docPr id="1199" name="image13.png"/>
            <wp:cNvGraphicFramePr>
              <a:graphicFrameLocks noChangeAspect="1"/>
            </wp:cNvGraphicFramePr>
            <a:graphic>
              <a:graphicData uri="http://schemas.openxmlformats.org/drawingml/2006/picture">
                <pic:pic>
                  <pic:nvPicPr>
                    <pic:cNvPr id="120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pStyle w:val="ListParagraph"/>
        <w:numPr>
          <w:ilvl w:val="0"/>
          <w:numId w:val="89"/>
        </w:numPr>
        <w:tabs>
          <w:tab w:pos="1141" w:val="left" w:leader="none"/>
        </w:tabs>
        <w:spacing w:line="367" w:lineRule="auto" w:before="120" w:after="0"/>
        <w:ind w:left="1553" w:right="6586" w:hanging="774"/>
        <w:jc w:val="left"/>
        <w:rPr>
          <w:sz w:val="18"/>
        </w:rPr>
      </w:pPr>
      <w:r>
        <w:rPr/>
        <w:drawing>
          <wp:anchor distT="0" distB="0" distL="0" distR="0" allowOverlap="1" layoutInCell="1" locked="0" behindDoc="1" simplePos="0" relativeHeight="475951616">
            <wp:simplePos x="0" y="0"/>
            <wp:positionH relativeFrom="page">
              <wp:posOffset>922313</wp:posOffset>
            </wp:positionH>
            <wp:positionV relativeFrom="paragraph">
              <wp:posOffset>334917</wp:posOffset>
            </wp:positionV>
            <wp:extent cx="58380" cy="72151"/>
            <wp:effectExtent l="0" t="0" r="0" b="0"/>
            <wp:wrapNone/>
            <wp:docPr id="1201" name="image13.png"/>
            <wp:cNvGraphicFramePr>
              <a:graphicFrameLocks noChangeAspect="1"/>
            </wp:cNvGraphicFramePr>
            <a:graphic>
              <a:graphicData uri="http://schemas.openxmlformats.org/drawingml/2006/picture">
                <pic:pic>
                  <pic:nvPicPr>
                    <pic:cNvPr id="120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...is characterised by collaboration and trust.</w:t>
      </w:r>
      <w:r>
        <w:rPr>
          <w:spacing w:val="-47"/>
          <w:sz w:val="18"/>
        </w:rPr>
        <w:t> </w:t>
      </w:r>
      <w:r>
        <w:rPr>
          <w:sz w:val="18"/>
        </w:rPr>
        <w:t>Disagree</w:t>
      </w:r>
      <w:r>
        <w:rPr>
          <w:spacing w:val="-1"/>
          <w:sz w:val="18"/>
        </w:rPr>
        <w:t> </w:t>
      </w:r>
      <w:r>
        <w:rPr>
          <w:sz w:val="18"/>
        </w:rPr>
        <w:t>(1)</w:t>
      </w:r>
    </w:p>
    <w:p>
      <w:pPr>
        <w:spacing w:line="369" w:lineRule="auto" w:before="4"/>
        <w:ind w:left="1553" w:right="7401" w:firstLine="0"/>
        <w:jc w:val="left"/>
        <w:rPr>
          <w:sz w:val="18"/>
        </w:rPr>
      </w:pPr>
      <w:r>
        <w:rPr/>
        <w:drawing>
          <wp:anchor distT="0" distB="0" distL="0" distR="0" allowOverlap="1" layoutInCell="1" locked="0" behindDoc="0" simplePos="0" relativeHeight="15920128">
            <wp:simplePos x="0" y="0"/>
            <wp:positionH relativeFrom="page">
              <wp:posOffset>922313</wp:posOffset>
            </wp:positionH>
            <wp:positionV relativeFrom="paragraph">
              <wp:posOffset>46373</wp:posOffset>
            </wp:positionV>
            <wp:extent cx="58380" cy="72151"/>
            <wp:effectExtent l="0" t="0" r="0" b="0"/>
            <wp:wrapNone/>
            <wp:docPr id="1203" name="image13.png"/>
            <wp:cNvGraphicFramePr>
              <a:graphicFrameLocks noChangeAspect="1"/>
            </wp:cNvGraphicFramePr>
            <a:graphic>
              <a:graphicData uri="http://schemas.openxmlformats.org/drawingml/2006/picture">
                <pic:pic>
                  <pic:nvPicPr>
                    <pic:cNvPr id="1204"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920640">
            <wp:simplePos x="0" y="0"/>
            <wp:positionH relativeFrom="page">
              <wp:posOffset>922313</wp:posOffset>
            </wp:positionH>
            <wp:positionV relativeFrom="paragraph">
              <wp:posOffset>262781</wp:posOffset>
            </wp:positionV>
            <wp:extent cx="58380" cy="72151"/>
            <wp:effectExtent l="0" t="0" r="0" b="0"/>
            <wp:wrapNone/>
            <wp:docPr id="1205" name="image13.png"/>
            <wp:cNvGraphicFramePr>
              <a:graphicFrameLocks noChangeAspect="1"/>
            </wp:cNvGraphicFramePr>
            <a:graphic>
              <a:graphicData uri="http://schemas.openxmlformats.org/drawingml/2006/picture">
                <pic:pic>
                  <pic:nvPicPr>
                    <pic:cNvPr id="1206"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921152">
            <wp:simplePos x="0" y="0"/>
            <wp:positionH relativeFrom="page">
              <wp:posOffset>922313</wp:posOffset>
            </wp:positionH>
            <wp:positionV relativeFrom="paragraph">
              <wp:posOffset>479189</wp:posOffset>
            </wp:positionV>
            <wp:extent cx="58380" cy="72151"/>
            <wp:effectExtent l="0" t="0" r="0" b="0"/>
            <wp:wrapNone/>
            <wp:docPr id="1207" name="image13.png"/>
            <wp:cNvGraphicFramePr>
              <a:graphicFrameLocks noChangeAspect="1"/>
            </wp:cNvGraphicFramePr>
            <a:graphic>
              <a:graphicData uri="http://schemas.openxmlformats.org/drawingml/2006/picture">
                <pic:pic>
                  <pic:nvPicPr>
                    <pic:cNvPr id="120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 disagree (2)</w:t>
      </w:r>
      <w:r>
        <w:rPr>
          <w:spacing w:val="1"/>
          <w:sz w:val="18"/>
        </w:rPr>
        <w:t> </w:t>
      </w:r>
      <w:r>
        <w:rPr>
          <w:sz w:val="18"/>
        </w:rPr>
        <w:t>Neither agree nor disagree (3)</w:t>
      </w:r>
      <w:r>
        <w:rPr>
          <w:spacing w:val="-48"/>
          <w:sz w:val="18"/>
        </w:rPr>
        <w:t> </w:t>
      </w:r>
      <w:r>
        <w:rPr>
          <w:sz w:val="18"/>
        </w:rPr>
        <w:t>Somewhat</w:t>
      </w:r>
      <w:r>
        <w:rPr>
          <w:spacing w:val="-3"/>
          <w:sz w:val="18"/>
        </w:rPr>
        <w:t> </w:t>
      </w:r>
      <w:r>
        <w:rPr>
          <w:sz w:val="18"/>
        </w:rPr>
        <w:t>agree</w:t>
      </w:r>
      <w:r>
        <w:rPr>
          <w:spacing w:val="3"/>
          <w:sz w:val="18"/>
        </w:rPr>
        <w:t> </w:t>
      </w:r>
      <w:r>
        <w:rPr>
          <w:sz w:val="18"/>
        </w:rPr>
        <w:t>(4)</w:t>
      </w:r>
    </w:p>
    <w:p>
      <w:pPr>
        <w:spacing w:before="3"/>
        <w:ind w:left="1553" w:right="0" w:firstLine="0"/>
        <w:jc w:val="left"/>
        <w:rPr>
          <w:sz w:val="18"/>
        </w:rPr>
      </w:pPr>
      <w:r>
        <w:rPr/>
        <w:drawing>
          <wp:anchor distT="0" distB="0" distL="0" distR="0" allowOverlap="1" layoutInCell="1" locked="0" behindDoc="0" simplePos="0" relativeHeight="15921664">
            <wp:simplePos x="0" y="0"/>
            <wp:positionH relativeFrom="page">
              <wp:posOffset>922313</wp:posOffset>
            </wp:positionH>
            <wp:positionV relativeFrom="paragraph">
              <wp:posOffset>45738</wp:posOffset>
            </wp:positionV>
            <wp:extent cx="58380" cy="72151"/>
            <wp:effectExtent l="0" t="0" r="0" b="0"/>
            <wp:wrapNone/>
            <wp:docPr id="1209" name="image13.png"/>
            <wp:cNvGraphicFramePr>
              <a:graphicFrameLocks noChangeAspect="1"/>
            </wp:cNvGraphicFramePr>
            <a:graphic>
              <a:graphicData uri="http://schemas.openxmlformats.org/drawingml/2006/picture">
                <pic:pic>
                  <pic:nvPicPr>
                    <pic:cNvPr id="121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Agree (5)</w:t>
      </w:r>
    </w:p>
    <w:p>
      <w:pPr>
        <w:spacing w:before="120"/>
        <w:ind w:left="1553" w:right="0" w:firstLine="0"/>
        <w:jc w:val="left"/>
        <w:rPr>
          <w:sz w:val="18"/>
        </w:rPr>
      </w:pPr>
      <w:r>
        <w:rPr/>
        <w:drawing>
          <wp:anchor distT="0" distB="0" distL="0" distR="0" allowOverlap="1" layoutInCell="1" locked="0" behindDoc="0" simplePos="0" relativeHeight="15922176">
            <wp:simplePos x="0" y="0"/>
            <wp:positionH relativeFrom="page">
              <wp:posOffset>922313</wp:posOffset>
            </wp:positionH>
            <wp:positionV relativeFrom="paragraph">
              <wp:posOffset>120033</wp:posOffset>
            </wp:positionV>
            <wp:extent cx="58380" cy="72151"/>
            <wp:effectExtent l="0" t="0" r="0" b="0"/>
            <wp:wrapNone/>
            <wp:docPr id="1211" name="image13.png"/>
            <wp:cNvGraphicFramePr>
              <a:graphicFrameLocks noChangeAspect="1"/>
            </wp:cNvGraphicFramePr>
            <a:graphic>
              <a:graphicData uri="http://schemas.openxmlformats.org/drawingml/2006/picture">
                <pic:pic>
                  <pic:nvPicPr>
                    <pic:cNvPr id="121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pStyle w:val="ListParagraph"/>
        <w:numPr>
          <w:ilvl w:val="0"/>
          <w:numId w:val="89"/>
        </w:numPr>
        <w:tabs>
          <w:tab w:pos="1141" w:val="left" w:leader="none"/>
        </w:tabs>
        <w:spacing w:line="369" w:lineRule="auto" w:before="120" w:after="0"/>
        <w:ind w:left="1553" w:right="3210" w:hanging="774"/>
        <w:jc w:val="left"/>
        <w:rPr>
          <w:sz w:val="18"/>
        </w:rPr>
      </w:pPr>
      <w:r>
        <w:rPr/>
        <w:drawing>
          <wp:anchor distT="0" distB="0" distL="0" distR="0" allowOverlap="1" layoutInCell="1" locked="0" behindDoc="1" simplePos="0" relativeHeight="475954688">
            <wp:simplePos x="0" y="0"/>
            <wp:positionH relativeFrom="page">
              <wp:posOffset>922313</wp:posOffset>
            </wp:positionH>
            <wp:positionV relativeFrom="paragraph">
              <wp:posOffset>335994</wp:posOffset>
            </wp:positionV>
            <wp:extent cx="58380" cy="73869"/>
            <wp:effectExtent l="0" t="0" r="0" b="0"/>
            <wp:wrapNone/>
            <wp:docPr id="1213" name="image14.png"/>
            <wp:cNvGraphicFramePr>
              <a:graphicFrameLocks noChangeAspect="1"/>
            </wp:cNvGraphicFramePr>
            <a:graphic>
              <a:graphicData uri="http://schemas.openxmlformats.org/drawingml/2006/picture">
                <pic:pic>
                  <pic:nvPicPr>
                    <pic:cNvPr id="1214"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 works with patients to help them understand their roles and responsibilities in care</w:t>
      </w:r>
      <w:r>
        <w:rPr>
          <w:spacing w:val="-47"/>
          <w:sz w:val="18"/>
        </w:rPr>
        <w:t> </w:t>
      </w:r>
      <w:r>
        <w:rPr>
          <w:sz w:val="18"/>
        </w:rPr>
        <w:t>Disagree</w:t>
      </w:r>
      <w:r>
        <w:rPr>
          <w:spacing w:val="-1"/>
          <w:sz w:val="18"/>
        </w:rPr>
        <w:t> </w:t>
      </w:r>
      <w:r>
        <w:rPr>
          <w:sz w:val="18"/>
        </w:rPr>
        <w:t>(1)</w:t>
      </w:r>
    </w:p>
    <w:p>
      <w:pPr>
        <w:spacing w:after="0" w:line="369" w:lineRule="auto"/>
        <w:jc w:val="left"/>
        <w:rPr>
          <w:sz w:val="18"/>
        </w:rPr>
        <w:sectPr>
          <w:pgSz w:w="11910" w:h="16840"/>
          <w:pgMar w:header="0" w:footer="948" w:top="860" w:bottom="1140" w:left="300" w:right="0"/>
        </w:sectPr>
      </w:pPr>
    </w:p>
    <w:p>
      <w:pPr>
        <w:spacing w:line="372" w:lineRule="auto" w:before="75"/>
        <w:ind w:left="1553" w:right="7401" w:firstLine="0"/>
        <w:jc w:val="left"/>
        <w:rPr>
          <w:sz w:val="18"/>
        </w:rPr>
      </w:pPr>
      <w:r>
        <w:rPr/>
        <w:drawing>
          <wp:anchor distT="0" distB="0" distL="0" distR="0" allowOverlap="1" layoutInCell="1" locked="0" behindDoc="0" simplePos="0" relativeHeight="15923200">
            <wp:simplePos x="0" y="0"/>
            <wp:positionH relativeFrom="page">
              <wp:posOffset>922313</wp:posOffset>
            </wp:positionH>
            <wp:positionV relativeFrom="paragraph">
              <wp:posOffset>92535</wp:posOffset>
            </wp:positionV>
            <wp:extent cx="58380" cy="73869"/>
            <wp:effectExtent l="0" t="0" r="0" b="0"/>
            <wp:wrapNone/>
            <wp:docPr id="1215" name="image14.png"/>
            <wp:cNvGraphicFramePr>
              <a:graphicFrameLocks noChangeAspect="1"/>
            </wp:cNvGraphicFramePr>
            <a:graphic>
              <a:graphicData uri="http://schemas.openxmlformats.org/drawingml/2006/picture">
                <pic:pic>
                  <pic:nvPicPr>
                    <pic:cNvPr id="1216" name="image14.png"/>
                    <pic:cNvPicPr/>
                  </pic:nvPicPr>
                  <pic:blipFill>
                    <a:blip r:embed="rId43" cstate="print"/>
                    <a:stretch>
                      <a:fillRect/>
                    </a:stretch>
                  </pic:blipFill>
                  <pic:spPr>
                    <a:xfrm>
                      <a:off x="0" y="0"/>
                      <a:ext cx="58380" cy="73869"/>
                    </a:xfrm>
                    <a:prstGeom prst="rect">
                      <a:avLst/>
                    </a:prstGeom>
                  </pic:spPr>
                </pic:pic>
              </a:graphicData>
            </a:graphic>
          </wp:anchor>
        </w:drawing>
      </w:r>
      <w:r>
        <w:rPr/>
        <w:drawing>
          <wp:anchor distT="0" distB="0" distL="0" distR="0" allowOverlap="1" layoutInCell="1" locked="0" behindDoc="0" simplePos="0" relativeHeight="15923712">
            <wp:simplePos x="0" y="0"/>
            <wp:positionH relativeFrom="page">
              <wp:posOffset>922313</wp:posOffset>
            </wp:positionH>
            <wp:positionV relativeFrom="paragraph">
              <wp:posOffset>309136</wp:posOffset>
            </wp:positionV>
            <wp:extent cx="58380" cy="72151"/>
            <wp:effectExtent l="0" t="0" r="0" b="0"/>
            <wp:wrapNone/>
            <wp:docPr id="1217" name="image13.png"/>
            <wp:cNvGraphicFramePr>
              <a:graphicFrameLocks noChangeAspect="1"/>
            </wp:cNvGraphicFramePr>
            <a:graphic>
              <a:graphicData uri="http://schemas.openxmlformats.org/drawingml/2006/picture">
                <pic:pic>
                  <pic:nvPicPr>
                    <pic:cNvPr id="1218"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924224">
            <wp:simplePos x="0" y="0"/>
            <wp:positionH relativeFrom="page">
              <wp:posOffset>922313</wp:posOffset>
            </wp:positionH>
            <wp:positionV relativeFrom="paragraph">
              <wp:posOffset>525545</wp:posOffset>
            </wp:positionV>
            <wp:extent cx="58380" cy="72150"/>
            <wp:effectExtent l="0" t="0" r="0" b="0"/>
            <wp:wrapNone/>
            <wp:docPr id="1219" name="image13.png"/>
            <wp:cNvGraphicFramePr>
              <a:graphicFrameLocks noChangeAspect="1"/>
            </wp:cNvGraphicFramePr>
            <a:graphic>
              <a:graphicData uri="http://schemas.openxmlformats.org/drawingml/2006/picture">
                <pic:pic>
                  <pic:nvPicPr>
                    <pic:cNvPr id="1220" name="image13.png"/>
                    <pic:cNvPicPr/>
                  </pic:nvPicPr>
                  <pic:blipFill>
                    <a:blip r:embed="rId41" cstate="print"/>
                    <a:stretch>
                      <a:fillRect/>
                    </a:stretch>
                  </pic:blipFill>
                  <pic:spPr>
                    <a:xfrm>
                      <a:off x="0" y="0"/>
                      <a:ext cx="58380" cy="72150"/>
                    </a:xfrm>
                    <a:prstGeom prst="rect">
                      <a:avLst/>
                    </a:prstGeom>
                  </pic:spPr>
                </pic:pic>
              </a:graphicData>
            </a:graphic>
          </wp:anchor>
        </w:drawing>
      </w:r>
      <w:r>
        <w:rPr>
          <w:sz w:val="18"/>
        </w:rPr>
        <w:t>Somewhat disagree (2)</w:t>
      </w:r>
      <w:r>
        <w:rPr>
          <w:spacing w:val="1"/>
          <w:sz w:val="18"/>
        </w:rPr>
        <w:t> </w:t>
      </w:r>
      <w:r>
        <w:rPr>
          <w:sz w:val="18"/>
        </w:rPr>
        <w:t>Neither agree nor disagree (3)</w:t>
      </w:r>
      <w:r>
        <w:rPr>
          <w:spacing w:val="-48"/>
          <w:sz w:val="18"/>
        </w:rPr>
        <w:t> </w:t>
      </w:r>
      <w:r>
        <w:rPr>
          <w:sz w:val="18"/>
        </w:rPr>
        <w:t>Somewhat</w:t>
      </w:r>
      <w:r>
        <w:rPr>
          <w:spacing w:val="-3"/>
          <w:sz w:val="18"/>
        </w:rPr>
        <w:t> </w:t>
      </w:r>
      <w:r>
        <w:rPr>
          <w:sz w:val="18"/>
        </w:rPr>
        <w:t>agree</w:t>
      </w:r>
      <w:r>
        <w:rPr>
          <w:spacing w:val="3"/>
          <w:sz w:val="18"/>
        </w:rPr>
        <w:t> </w:t>
      </w:r>
      <w:r>
        <w:rPr>
          <w:sz w:val="18"/>
        </w:rPr>
        <w:t>(4)</w:t>
      </w:r>
    </w:p>
    <w:p>
      <w:pPr>
        <w:spacing w:line="215" w:lineRule="exact" w:before="0"/>
        <w:ind w:left="1553" w:right="0" w:firstLine="0"/>
        <w:jc w:val="left"/>
        <w:rPr>
          <w:sz w:val="18"/>
        </w:rPr>
      </w:pPr>
      <w:r>
        <w:rPr/>
        <w:drawing>
          <wp:anchor distT="0" distB="0" distL="0" distR="0" allowOverlap="1" layoutInCell="1" locked="0" behindDoc="0" simplePos="0" relativeHeight="15924736">
            <wp:simplePos x="0" y="0"/>
            <wp:positionH relativeFrom="page">
              <wp:posOffset>922313</wp:posOffset>
            </wp:positionH>
            <wp:positionV relativeFrom="paragraph">
              <wp:posOffset>40957</wp:posOffset>
            </wp:positionV>
            <wp:extent cx="58380" cy="73869"/>
            <wp:effectExtent l="0" t="0" r="0" b="0"/>
            <wp:wrapNone/>
            <wp:docPr id="1221" name="image14.png"/>
            <wp:cNvGraphicFramePr>
              <a:graphicFrameLocks noChangeAspect="1"/>
            </wp:cNvGraphicFramePr>
            <a:graphic>
              <a:graphicData uri="http://schemas.openxmlformats.org/drawingml/2006/picture">
                <pic:pic>
                  <pic:nvPicPr>
                    <pic:cNvPr id="1222"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Agree (5)</w:t>
      </w:r>
    </w:p>
    <w:p>
      <w:pPr>
        <w:spacing w:before="121"/>
        <w:ind w:left="1553" w:right="0" w:firstLine="0"/>
        <w:jc w:val="left"/>
        <w:rPr>
          <w:sz w:val="18"/>
        </w:rPr>
      </w:pPr>
      <w:r>
        <w:rPr/>
        <w:drawing>
          <wp:anchor distT="0" distB="0" distL="0" distR="0" allowOverlap="1" layoutInCell="1" locked="0" behindDoc="0" simplePos="0" relativeHeight="15925248">
            <wp:simplePos x="0" y="0"/>
            <wp:positionH relativeFrom="page">
              <wp:posOffset>922313</wp:posOffset>
            </wp:positionH>
            <wp:positionV relativeFrom="paragraph">
              <wp:posOffset>121684</wp:posOffset>
            </wp:positionV>
            <wp:extent cx="58380" cy="72151"/>
            <wp:effectExtent l="0" t="0" r="0" b="0"/>
            <wp:wrapNone/>
            <wp:docPr id="1223" name="image13.png"/>
            <wp:cNvGraphicFramePr>
              <a:graphicFrameLocks noChangeAspect="1"/>
            </wp:cNvGraphicFramePr>
            <a:graphic>
              <a:graphicData uri="http://schemas.openxmlformats.org/drawingml/2006/picture">
                <pic:pic>
                  <pic:nvPicPr>
                    <pic:cNvPr id="122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pStyle w:val="ListParagraph"/>
        <w:numPr>
          <w:ilvl w:val="0"/>
          <w:numId w:val="87"/>
        </w:numPr>
        <w:tabs>
          <w:tab w:pos="619" w:val="left" w:leader="none"/>
        </w:tabs>
        <w:spacing w:line="369" w:lineRule="auto" w:before="120" w:after="0"/>
        <w:ind w:left="1061" w:right="3378" w:hanging="642"/>
        <w:jc w:val="left"/>
        <w:rPr>
          <w:sz w:val="18"/>
        </w:rPr>
      </w:pPr>
      <w:r>
        <w:rPr/>
        <w:drawing>
          <wp:anchor distT="0" distB="0" distL="0" distR="0" allowOverlap="1" layoutInCell="1" locked="0" behindDoc="1" simplePos="0" relativeHeight="475957760">
            <wp:simplePos x="0" y="0"/>
            <wp:positionH relativeFrom="page">
              <wp:posOffset>652565</wp:posOffset>
            </wp:positionH>
            <wp:positionV relativeFrom="paragraph">
              <wp:posOffset>337457</wp:posOffset>
            </wp:positionV>
            <wp:extent cx="58380" cy="72151"/>
            <wp:effectExtent l="0" t="0" r="0" b="0"/>
            <wp:wrapNone/>
            <wp:docPr id="1225" name="image13.png"/>
            <wp:cNvGraphicFramePr>
              <a:graphicFrameLocks noChangeAspect="1"/>
            </wp:cNvGraphicFramePr>
            <a:graphic>
              <a:graphicData uri="http://schemas.openxmlformats.org/drawingml/2006/picture">
                <pic:pic>
                  <pic:nvPicPr>
                    <pic:cNvPr id="122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The</w:t>
      </w:r>
      <w:r>
        <w:rPr>
          <w:spacing w:val="-3"/>
          <w:sz w:val="18"/>
        </w:rPr>
        <w:t> </w:t>
      </w:r>
      <w:r>
        <w:rPr>
          <w:sz w:val="18"/>
        </w:rPr>
        <w:t>primary</w:t>
      </w:r>
      <w:r>
        <w:rPr>
          <w:spacing w:val="-4"/>
          <w:sz w:val="18"/>
        </w:rPr>
        <w:t> </w:t>
      </w:r>
      <w:r>
        <w:rPr>
          <w:sz w:val="18"/>
        </w:rPr>
        <w:t>care</w:t>
      </w:r>
      <w:r>
        <w:rPr>
          <w:spacing w:val="-3"/>
          <w:sz w:val="18"/>
        </w:rPr>
        <w:t> </w:t>
      </w:r>
      <w:r>
        <w:rPr>
          <w:sz w:val="18"/>
        </w:rPr>
        <w:t>team</w:t>
      </w:r>
      <w:r>
        <w:rPr>
          <w:spacing w:val="-6"/>
          <w:sz w:val="18"/>
        </w:rPr>
        <w:t> </w:t>
      </w:r>
      <w:r>
        <w:rPr>
          <w:sz w:val="18"/>
        </w:rPr>
        <w:t>and</w:t>
      </w:r>
      <w:r>
        <w:rPr>
          <w:spacing w:val="-4"/>
          <w:sz w:val="18"/>
        </w:rPr>
        <w:t> </w:t>
      </w:r>
      <w:r>
        <w:rPr>
          <w:sz w:val="18"/>
        </w:rPr>
        <w:t>patients</w:t>
      </w:r>
      <w:r>
        <w:rPr>
          <w:spacing w:val="-4"/>
          <w:sz w:val="18"/>
        </w:rPr>
        <w:t> </w:t>
      </w:r>
      <w:r>
        <w:rPr>
          <w:sz w:val="18"/>
        </w:rPr>
        <w:t>share</w:t>
      </w:r>
      <w:r>
        <w:rPr>
          <w:spacing w:val="-4"/>
          <w:sz w:val="18"/>
        </w:rPr>
        <w:t> </w:t>
      </w:r>
      <w:r>
        <w:rPr>
          <w:sz w:val="18"/>
        </w:rPr>
        <w:t>responsibilities</w:t>
      </w:r>
      <w:r>
        <w:rPr>
          <w:spacing w:val="-4"/>
          <w:sz w:val="18"/>
        </w:rPr>
        <w:t> </w:t>
      </w:r>
      <w:r>
        <w:rPr>
          <w:sz w:val="18"/>
        </w:rPr>
        <w:t>for</w:t>
      </w:r>
      <w:r>
        <w:rPr>
          <w:spacing w:val="-3"/>
          <w:sz w:val="18"/>
        </w:rPr>
        <w:t> </w:t>
      </w:r>
      <w:r>
        <w:rPr>
          <w:sz w:val="18"/>
        </w:rPr>
        <w:t>managing</w:t>
      </w:r>
      <w:r>
        <w:rPr>
          <w:spacing w:val="-4"/>
          <w:sz w:val="18"/>
        </w:rPr>
        <w:t> </w:t>
      </w:r>
      <w:r>
        <w:rPr>
          <w:sz w:val="18"/>
        </w:rPr>
        <w:t>patients'</w:t>
      </w:r>
      <w:r>
        <w:rPr>
          <w:spacing w:val="-3"/>
          <w:sz w:val="18"/>
        </w:rPr>
        <w:t> </w:t>
      </w:r>
      <w:r>
        <w:rPr>
          <w:sz w:val="18"/>
        </w:rPr>
        <w:t>health.</w:t>
      </w:r>
      <w:r>
        <w:rPr>
          <w:spacing w:val="-47"/>
          <w:sz w:val="18"/>
        </w:rPr>
        <w:t> </w:t>
      </w:r>
      <w:r>
        <w:rPr>
          <w:sz w:val="18"/>
        </w:rPr>
        <w:t>Disagree</w:t>
      </w:r>
      <w:r>
        <w:rPr>
          <w:spacing w:val="-1"/>
          <w:sz w:val="18"/>
        </w:rPr>
        <w:t> </w:t>
      </w:r>
      <w:r>
        <w:rPr>
          <w:sz w:val="18"/>
        </w:rPr>
        <w:t>(1)</w:t>
      </w:r>
    </w:p>
    <w:p>
      <w:pPr>
        <w:spacing w:line="369" w:lineRule="auto" w:before="2"/>
        <w:ind w:left="1061" w:right="7893" w:firstLine="0"/>
        <w:jc w:val="left"/>
        <w:rPr>
          <w:sz w:val="18"/>
        </w:rPr>
      </w:pPr>
      <w:r>
        <w:rPr/>
        <w:drawing>
          <wp:anchor distT="0" distB="0" distL="0" distR="0" allowOverlap="1" layoutInCell="1" locked="0" behindDoc="0" simplePos="0" relativeHeight="15926272">
            <wp:simplePos x="0" y="0"/>
            <wp:positionH relativeFrom="page">
              <wp:posOffset>652565</wp:posOffset>
            </wp:positionH>
            <wp:positionV relativeFrom="paragraph">
              <wp:posOffset>46119</wp:posOffset>
            </wp:positionV>
            <wp:extent cx="58380" cy="72151"/>
            <wp:effectExtent l="0" t="0" r="0" b="0"/>
            <wp:wrapNone/>
            <wp:docPr id="1227" name="image13.png"/>
            <wp:cNvGraphicFramePr>
              <a:graphicFrameLocks noChangeAspect="1"/>
            </wp:cNvGraphicFramePr>
            <a:graphic>
              <a:graphicData uri="http://schemas.openxmlformats.org/drawingml/2006/picture">
                <pic:pic>
                  <pic:nvPicPr>
                    <pic:cNvPr id="1228"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926784">
            <wp:simplePos x="0" y="0"/>
            <wp:positionH relativeFrom="page">
              <wp:posOffset>652565</wp:posOffset>
            </wp:positionH>
            <wp:positionV relativeFrom="paragraph">
              <wp:posOffset>262335</wp:posOffset>
            </wp:positionV>
            <wp:extent cx="58380" cy="73867"/>
            <wp:effectExtent l="0" t="0" r="0" b="0"/>
            <wp:wrapNone/>
            <wp:docPr id="1229" name="image14.png"/>
            <wp:cNvGraphicFramePr>
              <a:graphicFrameLocks noChangeAspect="1"/>
            </wp:cNvGraphicFramePr>
            <a:graphic>
              <a:graphicData uri="http://schemas.openxmlformats.org/drawingml/2006/picture">
                <pic:pic>
                  <pic:nvPicPr>
                    <pic:cNvPr id="1230" name="image14.png"/>
                    <pic:cNvPicPr/>
                  </pic:nvPicPr>
                  <pic:blipFill>
                    <a:blip r:embed="rId43" cstate="print"/>
                    <a:stretch>
                      <a:fillRect/>
                    </a:stretch>
                  </pic:blipFill>
                  <pic:spPr>
                    <a:xfrm>
                      <a:off x="0" y="0"/>
                      <a:ext cx="58380" cy="73867"/>
                    </a:xfrm>
                    <a:prstGeom prst="rect">
                      <a:avLst/>
                    </a:prstGeom>
                  </pic:spPr>
                </pic:pic>
              </a:graphicData>
            </a:graphic>
          </wp:anchor>
        </w:drawing>
      </w:r>
      <w:r>
        <w:rPr/>
        <w:drawing>
          <wp:anchor distT="0" distB="0" distL="0" distR="0" allowOverlap="1" layoutInCell="1" locked="0" behindDoc="0" simplePos="0" relativeHeight="15927296">
            <wp:simplePos x="0" y="0"/>
            <wp:positionH relativeFrom="page">
              <wp:posOffset>652565</wp:posOffset>
            </wp:positionH>
            <wp:positionV relativeFrom="paragraph">
              <wp:posOffset>478935</wp:posOffset>
            </wp:positionV>
            <wp:extent cx="58380" cy="72151"/>
            <wp:effectExtent l="0" t="0" r="0" b="0"/>
            <wp:wrapNone/>
            <wp:docPr id="1231" name="image13.png"/>
            <wp:cNvGraphicFramePr>
              <a:graphicFrameLocks noChangeAspect="1"/>
            </wp:cNvGraphicFramePr>
            <a:graphic>
              <a:graphicData uri="http://schemas.openxmlformats.org/drawingml/2006/picture">
                <pic:pic>
                  <pic:nvPicPr>
                    <pic:cNvPr id="123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 disagree (2)</w:t>
      </w:r>
      <w:r>
        <w:rPr>
          <w:spacing w:val="1"/>
          <w:sz w:val="18"/>
        </w:rPr>
        <w:t> </w:t>
      </w:r>
      <w:r>
        <w:rPr>
          <w:sz w:val="18"/>
        </w:rPr>
        <w:t>Neither agree nor disagree (3)</w:t>
      </w:r>
      <w:r>
        <w:rPr>
          <w:spacing w:val="-47"/>
          <w:sz w:val="18"/>
        </w:rPr>
        <w:t> </w:t>
      </w:r>
      <w:r>
        <w:rPr>
          <w:sz w:val="18"/>
        </w:rPr>
        <w:t>Somewhat</w:t>
      </w:r>
      <w:r>
        <w:rPr>
          <w:spacing w:val="-3"/>
          <w:sz w:val="18"/>
        </w:rPr>
        <w:t> </w:t>
      </w:r>
      <w:r>
        <w:rPr>
          <w:sz w:val="18"/>
        </w:rPr>
        <w:t>agree</w:t>
      </w:r>
      <w:r>
        <w:rPr>
          <w:spacing w:val="3"/>
          <w:sz w:val="18"/>
        </w:rPr>
        <w:t> </w:t>
      </w:r>
      <w:r>
        <w:rPr>
          <w:sz w:val="18"/>
        </w:rPr>
        <w:t>(4)</w:t>
      </w:r>
    </w:p>
    <w:p>
      <w:pPr>
        <w:spacing w:before="2"/>
        <w:ind w:left="1061" w:right="0" w:firstLine="0"/>
        <w:jc w:val="left"/>
        <w:rPr>
          <w:sz w:val="18"/>
        </w:rPr>
      </w:pPr>
      <w:r>
        <w:rPr/>
        <w:drawing>
          <wp:anchor distT="0" distB="0" distL="0" distR="0" allowOverlap="1" layoutInCell="1" locked="0" behindDoc="0" simplePos="0" relativeHeight="15927808">
            <wp:simplePos x="0" y="0"/>
            <wp:positionH relativeFrom="page">
              <wp:posOffset>652565</wp:posOffset>
            </wp:positionH>
            <wp:positionV relativeFrom="paragraph">
              <wp:posOffset>46119</wp:posOffset>
            </wp:positionV>
            <wp:extent cx="58380" cy="72151"/>
            <wp:effectExtent l="0" t="0" r="0" b="0"/>
            <wp:wrapNone/>
            <wp:docPr id="1233" name="image13.png"/>
            <wp:cNvGraphicFramePr>
              <a:graphicFrameLocks noChangeAspect="1"/>
            </wp:cNvGraphicFramePr>
            <a:graphic>
              <a:graphicData uri="http://schemas.openxmlformats.org/drawingml/2006/picture">
                <pic:pic>
                  <pic:nvPicPr>
                    <pic:cNvPr id="123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Agree (5)</w:t>
      </w:r>
    </w:p>
    <w:p>
      <w:pPr>
        <w:spacing w:before="120"/>
        <w:ind w:left="1061" w:right="0" w:firstLine="0"/>
        <w:jc w:val="left"/>
        <w:rPr>
          <w:sz w:val="18"/>
        </w:rPr>
      </w:pPr>
      <w:r>
        <w:rPr/>
        <w:drawing>
          <wp:anchor distT="0" distB="0" distL="0" distR="0" allowOverlap="1" layoutInCell="1" locked="0" behindDoc="0" simplePos="0" relativeHeight="15928320">
            <wp:simplePos x="0" y="0"/>
            <wp:positionH relativeFrom="page">
              <wp:posOffset>652565</wp:posOffset>
            </wp:positionH>
            <wp:positionV relativeFrom="paragraph">
              <wp:posOffset>120857</wp:posOffset>
            </wp:positionV>
            <wp:extent cx="58380" cy="73867"/>
            <wp:effectExtent l="0" t="0" r="0" b="0"/>
            <wp:wrapNone/>
            <wp:docPr id="1235" name="image14.png"/>
            <wp:cNvGraphicFramePr>
              <a:graphicFrameLocks noChangeAspect="1"/>
            </wp:cNvGraphicFramePr>
            <a:graphic>
              <a:graphicData uri="http://schemas.openxmlformats.org/drawingml/2006/picture">
                <pic:pic>
                  <pic:nvPicPr>
                    <pic:cNvPr id="1236" name="image14.png"/>
                    <pic:cNvPicPr/>
                  </pic:nvPicPr>
                  <pic:blipFill>
                    <a:blip r:embed="rId43" cstate="print"/>
                    <a:stretch>
                      <a:fillRect/>
                    </a:stretch>
                  </pic:blipFill>
                  <pic:spPr>
                    <a:xfrm>
                      <a:off x="0" y="0"/>
                      <a:ext cx="58380" cy="73867"/>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pStyle w:val="BodyText"/>
        <w:spacing w:before="4"/>
        <w:rPr>
          <w:sz w:val="16"/>
        </w:rPr>
      </w:pPr>
    </w:p>
    <w:p>
      <w:pPr>
        <w:pStyle w:val="ListParagraph"/>
        <w:numPr>
          <w:ilvl w:val="0"/>
          <w:numId w:val="87"/>
        </w:numPr>
        <w:tabs>
          <w:tab w:pos="619" w:val="left" w:leader="none"/>
        </w:tabs>
        <w:spacing w:line="240" w:lineRule="auto" w:before="0" w:after="0"/>
        <w:ind w:left="420" w:right="1170" w:firstLine="0"/>
        <w:jc w:val="left"/>
        <w:rPr>
          <w:sz w:val="18"/>
        </w:rPr>
      </w:pPr>
      <w:r>
        <w:rPr>
          <w:sz w:val="18"/>
        </w:rPr>
        <w:t>How easy/difficult is it for you to use the practice management system (clinical management system) or ancillary</w:t>
      </w:r>
      <w:r>
        <w:rPr>
          <w:spacing w:val="-48"/>
          <w:sz w:val="18"/>
        </w:rPr>
        <w:t> </w:t>
      </w:r>
      <w:r>
        <w:rPr>
          <w:sz w:val="18"/>
        </w:rPr>
        <w:t>systems</w:t>
      </w:r>
      <w:r>
        <w:rPr>
          <w:spacing w:val="2"/>
          <w:sz w:val="18"/>
        </w:rPr>
        <w:t> </w:t>
      </w:r>
      <w:r>
        <w:rPr>
          <w:sz w:val="18"/>
        </w:rPr>
        <w:t>(care</w:t>
      </w:r>
      <w:r>
        <w:rPr>
          <w:spacing w:val="-1"/>
          <w:sz w:val="18"/>
        </w:rPr>
        <w:t> </w:t>
      </w:r>
      <w:r>
        <w:rPr>
          <w:sz w:val="18"/>
        </w:rPr>
        <w:t>planning</w:t>
      </w:r>
      <w:r>
        <w:rPr>
          <w:spacing w:val="-3"/>
          <w:sz w:val="18"/>
        </w:rPr>
        <w:t> </w:t>
      </w:r>
      <w:r>
        <w:rPr>
          <w:sz w:val="18"/>
        </w:rPr>
        <w:t>application/clinical</w:t>
      </w:r>
      <w:r>
        <w:rPr>
          <w:spacing w:val="-1"/>
          <w:sz w:val="18"/>
        </w:rPr>
        <w:t> </w:t>
      </w:r>
      <w:r>
        <w:rPr>
          <w:sz w:val="18"/>
        </w:rPr>
        <w:t>data</w:t>
      </w:r>
      <w:r>
        <w:rPr>
          <w:spacing w:val="-2"/>
          <w:sz w:val="18"/>
        </w:rPr>
        <w:t> </w:t>
      </w:r>
      <w:r>
        <w:rPr>
          <w:sz w:val="18"/>
        </w:rPr>
        <w:t>audit</w:t>
      </w:r>
      <w:r>
        <w:rPr>
          <w:spacing w:val="-3"/>
          <w:sz w:val="18"/>
        </w:rPr>
        <w:t> </w:t>
      </w:r>
      <w:r>
        <w:rPr>
          <w:sz w:val="18"/>
        </w:rPr>
        <w:t>tool)</w:t>
      </w:r>
      <w:r>
        <w:rPr>
          <w:spacing w:val="-3"/>
          <w:sz w:val="18"/>
        </w:rPr>
        <w:t> </w:t>
      </w:r>
      <w:r>
        <w:rPr>
          <w:sz w:val="18"/>
        </w:rPr>
        <w:t>to</w:t>
      </w:r>
      <w:r>
        <w:rPr>
          <w:spacing w:val="-2"/>
          <w:sz w:val="18"/>
        </w:rPr>
        <w:t> </w:t>
      </w:r>
      <w:r>
        <w:rPr>
          <w:sz w:val="18"/>
        </w:rPr>
        <w:t>do</w:t>
      </w:r>
      <w:r>
        <w:rPr>
          <w:spacing w:val="1"/>
          <w:sz w:val="18"/>
        </w:rPr>
        <w:t> </w:t>
      </w:r>
      <w:r>
        <w:rPr>
          <w:sz w:val="18"/>
        </w:rPr>
        <w:t>the</w:t>
      </w:r>
      <w:r>
        <w:rPr>
          <w:spacing w:val="6"/>
          <w:sz w:val="18"/>
        </w:rPr>
        <w:t> </w:t>
      </w:r>
      <w:r>
        <w:rPr>
          <w:sz w:val="18"/>
        </w:rPr>
        <w:t>following</w:t>
      </w:r>
      <w:r>
        <w:rPr>
          <w:spacing w:val="-3"/>
          <w:sz w:val="18"/>
        </w:rPr>
        <w:t> </w:t>
      </w:r>
      <w:r>
        <w:rPr>
          <w:sz w:val="18"/>
        </w:rPr>
        <w:t>for</w:t>
      </w:r>
      <w:r>
        <w:rPr>
          <w:spacing w:val="-1"/>
          <w:sz w:val="18"/>
        </w:rPr>
        <w:t> </w:t>
      </w:r>
      <w:r>
        <w:rPr>
          <w:sz w:val="18"/>
        </w:rPr>
        <w:t>your</w:t>
      </w:r>
      <w:r>
        <w:rPr>
          <w:spacing w:val="-1"/>
          <w:sz w:val="18"/>
        </w:rPr>
        <w:t> </w:t>
      </w:r>
      <w:r>
        <w:rPr>
          <w:sz w:val="18"/>
        </w:rPr>
        <w:t>patients?</w:t>
      </w:r>
    </w:p>
    <w:p>
      <w:pPr>
        <w:pStyle w:val="ListParagraph"/>
        <w:numPr>
          <w:ilvl w:val="0"/>
          <w:numId w:val="90"/>
        </w:numPr>
        <w:tabs>
          <w:tab w:pos="1141" w:val="left" w:leader="none"/>
        </w:tabs>
        <w:spacing w:line="369" w:lineRule="auto" w:before="120" w:after="0"/>
        <w:ind w:left="1697" w:right="7515" w:hanging="918"/>
        <w:jc w:val="left"/>
        <w:rPr>
          <w:sz w:val="18"/>
        </w:rPr>
      </w:pPr>
      <w:r>
        <w:rPr/>
        <w:drawing>
          <wp:anchor distT="0" distB="0" distL="0" distR="0" allowOverlap="1" layoutInCell="1" locked="0" behindDoc="1" simplePos="0" relativeHeight="475960832">
            <wp:simplePos x="0" y="0"/>
            <wp:positionH relativeFrom="page">
              <wp:posOffset>1054901</wp:posOffset>
            </wp:positionH>
            <wp:positionV relativeFrom="paragraph">
              <wp:posOffset>337078</wp:posOffset>
            </wp:positionV>
            <wp:extent cx="58380" cy="72150"/>
            <wp:effectExtent l="0" t="0" r="0" b="0"/>
            <wp:wrapNone/>
            <wp:docPr id="1237" name="image13.png"/>
            <wp:cNvGraphicFramePr>
              <a:graphicFrameLocks noChangeAspect="1"/>
            </wp:cNvGraphicFramePr>
            <a:graphic>
              <a:graphicData uri="http://schemas.openxmlformats.org/drawingml/2006/picture">
                <pic:pic>
                  <pic:nvPicPr>
                    <pic:cNvPr id="1238" name="image13.png"/>
                    <pic:cNvPicPr/>
                  </pic:nvPicPr>
                  <pic:blipFill>
                    <a:blip r:embed="rId41" cstate="print"/>
                    <a:stretch>
                      <a:fillRect/>
                    </a:stretch>
                  </pic:blipFill>
                  <pic:spPr>
                    <a:xfrm>
                      <a:off x="0" y="0"/>
                      <a:ext cx="58380" cy="72150"/>
                    </a:xfrm>
                    <a:prstGeom prst="rect">
                      <a:avLst/>
                    </a:prstGeom>
                  </pic:spPr>
                </pic:pic>
              </a:graphicData>
            </a:graphic>
          </wp:anchor>
        </w:drawing>
      </w:r>
      <w:r>
        <w:rPr>
          <w:sz w:val="18"/>
        </w:rPr>
        <w:t>Review basic pathology results (1)</w:t>
      </w:r>
      <w:r>
        <w:rPr>
          <w:spacing w:val="-48"/>
          <w:sz w:val="18"/>
        </w:rPr>
        <w:t> </w:t>
      </w:r>
      <w:r>
        <w:rPr>
          <w:sz w:val="18"/>
        </w:rPr>
        <w:t>Very</w:t>
      </w:r>
      <w:r>
        <w:rPr>
          <w:spacing w:val="-2"/>
          <w:sz w:val="18"/>
        </w:rPr>
        <w:t> </w:t>
      </w:r>
      <w:r>
        <w:rPr>
          <w:sz w:val="18"/>
        </w:rPr>
        <w:t>easy</w:t>
      </w:r>
      <w:r>
        <w:rPr>
          <w:spacing w:val="4"/>
          <w:sz w:val="18"/>
        </w:rPr>
        <w:t> </w:t>
      </w:r>
      <w:r>
        <w:rPr>
          <w:sz w:val="18"/>
        </w:rPr>
        <w:t>(1)</w:t>
      </w:r>
    </w:p>
    <w:p>
      <w:pPr>
        <w:spacing w:before="2"/>
        <w:ind w:left="1697" w:right="0" w:firstLine="0"/>
        <w:jc w:val="left"/>
        <w:rPr>
          <w:sz w:val="18"/>
        </w:rPr>
      </w:pPr>
      <w:r>
        <w:rPr/>
        <w:drawing>
          <wp:anchor distT="0" distB="0" distL="0" distR="0" allowOverlap="1" layoutInCell="1" locked="0" behindDoc="0" simplePos="0" relativeHeight="15929344">
            <wp:simplePos x="0" y="0"/>
            <wp:positionH relativeFrom="page">
              <wp:posOffset>1054901</wp:posOffset>
            </wp:positionH>
            <wp:positionV relativeFrom="paragraph">
              <wp:posOffset>45738</wp:posOffset>
            </wp:positionV>
            <wp:extent cx="58380" cy="72151"/>
            <wp:effectExtent l="0" t="0" r="0" b="0"/>
            <wp:wrapNone/>
            <wp:docPr id="1239" name="image13.png"/>
            <wp:cNvGraphicFramePr>
              <a:graphicFrameLocks noChangeAspect="1"/>
            </wp:cNvGraphicFramePr>
            <a:graphic>
              <a:graphicData uri="http://schemas.openxmlformats.org/drawingml/2006/picture">
                <pic:pic>
                  <pic:nvPicPr>
                    <pic:cNvPr id="124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w:t>
      </w:r>
      <w:r>
        <w:rPr>
          <w:spacing w:val="-6"/>
          <w:sz w:val="18"/>
        </w:rPr>
        <w:t> </w:t>
      </w:r>
      <w:r>
        <w:rPr>
          <w:sz w:val="18"/>
        </w:rPr>
        <w:t>easy</w:t>
      </w:r>
      <w:r>
        <w:rPr>
          <w:spacing w:val="1"/>
          <w:sz w:val="18"/>
        </w:rPr>
        <w:t> </w:t>
      </w:r>
      <w:r>
        <w:rPr>
          <w:sz w:val="18"/>
        </w:rPr>
        <w:t>(2)</w:t>
      </w:r>
    </w:p>
    <w:p>
      <w:pPr>
        <w:spacing w:before="120"/>
        <w:ind w:left="1697" w:right="0" w:firstLine="0"/>
        <w:jc w:val="left"/>
        <w:rPr>
          <w:sz w:val="18"/>
        </w:rPr>
      </w:pPr>
      <w:r>
        <w:rPr/>
        <w:drawing>
          <wp:anchor distT="0" distB="0" distL="0" distR="0" allowOverlap="1" layoutInCell="1" locked="0" behindDoc="0" simplePos="0" relativeHeight="15929856">
            <wp:simplePos x="0" y="0"/>
            <wp:positionH relativeFrom="page">
              <wp:posOffset>1054901</wp:posOffset>
            </wp:positionH>
            <wp:positionV relativeFrom="paragraph">
              <wp:posOffset>120668</wp:posOffset>
            </wp:positionV>
            <wp:extent cx="58380" cy="72151"/>
            <wp:effectExtent l="0" t="0" r="0" b="0"/>
            <wp:wrapNone/>
            <wp:docPr id="1241" name="image13.png"/>
            <wp:cNvGraphicFramePr>
              <a:graphicFrameLocks noChangeAspect="1"/>
            </wp:cNvGraphicFramePr>
            <a:graphic>
              <a:graphicData uri="http://schemas.openxmlformats.org/drawingml/2006/picture">
                <pic:pic>
                  <pic:nvPicPr>
                    <pic:cNvPr id="124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w:t>
      </w:r>
      <w:r>
        <w:rPr>
          <w:spacing w:val="-7"/>
          <w:sz w:val="18"/>
        </w:rPr>
        <w:t> </w:t>
      </w:r>
      <w:r>
        <w:rPr>
          <w:sz w:val="18"/>
        </w:rPr>
        <w:t>difficult</w:t>
      </w:r>
      <w:r>
        <w:rPr>
          <w:spacing w:val="-3"/>
          <w:sz w:val="18"/>
        </w:rPr>
        <w:t> </w:t>
      </w:r>
      <w:r>
        <w:rPr>
          <w:sz w:val="18"/>
        </w:rPr>
        <w:t>(3)</w:t>
      </w:r>
    </w:p>
    <w:p>
      <w:pPr>
        <w:spacing w:before="120"/>
        <w:ind w:left="1697" w:right="0" w:firstLine="0"/>
        <w:jc w:val="left"/>
        <w:rPr>
          <w:sz w:val="18"/>
        </w:rPr>
      </w:pPr>
      <w:r>
        <w:rPr/>
        <w:drawing>
          <wp:anchor distT="0" distB="0" distL="0" distR="0" allowOverlap="1" layoutInCell="1" locked="0" behindDoc="0" simplePos="0" relativeHeight="15930368">
            <wp:simplePos x="0" y="0"/>
            <wp:positionH relativeFrom="page">
              <wp:posOffset>1054901</wp:posOffset>
            </wp:positionH>
            <wp:positionV relativeFrom="paragraph">
              <wp:posOffset>120668</wp:posOffset>
            </wp:positionV>
            <wp:extent cx="58380" cy="72151"/>
            <wp:effectExtent l="0" t="0" r="0" b="0"/>
            <wp:wrapNone/>
            <wp:docPr id="1243" name="image13.png"/>
            <wp:cNvGraphicFramePr>
              <a:graphicFrameLocks noChangeAspect="1"/>
            </wp:cNvGraphicFramePr>
            <a:graphic>
              <a:graphicData uri="http://schemas.openxmlformats.org/drawingml/2006/picture">
                <pic:pic>
                  <pic:nvPicPr>
                    <pic:cNvPr id="124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Very</w:t>
      </w:r>
      <w:r>
        <w:rPr>
          <w:spacing w:val="-4"/>
          <w:sz w:val="18"/>
        </w:rPr>
        <w:t> </w:t>
      </w:r>
      <w:r>
        <w:rPr>
          <w:sz w:val="18"/>
        </w:rPr>
        <w:t>difficult</w:t>
      </w:r>
      <w:r>
        <w:rPr>
          <w:spacing w:val="-4"/>
          <w:sz w:val="18"/>
        </w:rPr>
        <w:t> </w:t>
      </w:r>
      <w:r>
        <w:rPr>
          <w:sz w:val="18"/>
        </w:rPr>
        <w:t>(4)</w:t>
      </w:r>
    </w:p>
    <w:p>
      <w:pPr>
        <w:spacing w:before="121"/>
        <w:ind w:left="1697" w:right="0" w:firstLine="0"/>
        <w:jc w:val="left"/>
        <w:rPr>
          <w:sz w:val="18"/>
        </w:rPr>
      </w:pPr>
      <w:r>
        <w:rPr/>
        <w:drawing>
          <wp:anchor distT="0" distB="0" distL="0" distR="0" allowOverlap="1" layoutInCell="1" locked="0" behindDoc="0" simplePos="0" relativeHeight="15930880">
            <wp:simplePos x="0" y="0"/>
            <wp:positionH relativeFrom="page">
              <wp:posOffset>1054901</wp:posOffset>
            </wp:positionH>
            <wp:positionV relativeFrom="paragraph">
              <wp:posOffset>121303</wp:posOffset>
            </wp:positionV>
            <wp:extent cx="58380" cy="72151"/>
            <wp:effectExtent l="0" t="0" r="0" b="0"/>
            <wp:wrapNone/>
            <wp:docPr id="1245" name="image13.png"/>
            <wp:cNvGraphicFramePr>
              <a:graphicFrameLocks noChangeAspect="1"/>
            </wp:cNvGraphicFramePr>
            <a:graphic>
              <a:graphicData uri="http://schemas.openxmlformats.org/drawingml/2006/picture">
                <pic:pic>
                  <pic:nvPicPr>
                    <pic:cNvPr id="124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Not</w:t>
      </w:r>
      <w:r>
        <w:rPr>
          <w:spacing w:val="-6"/>
          <w:sz w:val="18"/>
        </w:rPr>
        <w:t> </w:t>
      </w:r>
      <w:r>
        <w:rPr>
          <w:sz w:val="18"/>
        </w:rPr>
        <w:t>applicable (5)</w:t>
      </w:r>
    </w:p>
    <w:p>
      <w:pPr>
        <w:pStyle w:val="ListParagraph"/>
        <w:numPr>
          <w:ilvl w:val="0"/>
          <w:numId w:val="90"/>
        </w:numPr>
        <w:tabs>
          <w:tab w:pos="1141" w:val="left" w:leader="none"/>
        </w:tabs>
        <w:spacing w:line="372" w:lineRule="auto" w:before="120" w:after="0"/>
        <w:ind w:left="1697" w:right="5556" w:hanging="918"/>
        <w:jc w:val="left"/>
        <w:rPr>
          <w:sz w:val="18"/>
        </w:rPr>
      </w:pPr>
      <w:r>
        <w:rPr/>
        <w:drawing>
          <wp:anchor distT="0" distB="0" distL="0" distR="0" allowOverlap="1" layoutInCell="1" locked="0" behindDoc="1" simplePos="0" relativeHeight="475963392">
            <wp:simplePos x="0" y="0"/>
            <wp:positionH relativeFrom="page">
              <wp:posOffset>1054901</wp:posOffset>
            </wp:positionH>
            <wp:positionV relativeFrom="paragraph">
              <wp:posOffset>337076</wp:posOffset>
            </wp:positionV>
            <wp:extent cx="58380" cy="72151"/>
            <wp:effectExtent l="0" t="0" r="0" b="0"/>
            <wp:wrapNone/>
            <wp:docPr id="1247" name="image13.png"/>
            <wp:cNvGraphicFramePr>
              <a:graphicFrameLocks noChangeAspect="1"/>
            </wp:cNvGraphicFramePr>
            <a:graphic>
              <a:graphicData uri="http://schemas.openxmlformats.org/drawingml/2006/picture">
                <pic:pic>
                  <pic:nvPicPr>
                    <pic:cNvPr id="124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Update medication list and drug allergies for patients (2)</w:t>
      </w:r>
      <w:r>
        <w:rPr>
          <w:spacing w:val="-48"/>
          <w:sz w:val="18"/>
        </w:rPr>
        <w:t> </w:t>
      </w:r>
      <w:r>
        <w:rPr>
          <w:sz w:val="18"/>
        </w:rPr>
        <w:t>Very</w:t>
      </w:r>
      <w:r>
        <w:rPr>
          <w:spacing w:val="-2"/>
          <w:sz w:val="18"/>
        </w:rPr>
        <w:t> </w:t>
      </w:r>
      <w:r>
        <w:rPr>
          <w:sz w:val="18"/>
        </w:rPr>
        <w:t>easy</w:t>
      </w:r>
      <w:r>
        <w:rPr>
          <w:spacing w:val="4"/>
          <w:sz w:val="18"/>
        </w:rPr>
        <w:t> </w:t>
      </w:r>
      <w:r>
        <w:rPr>
          <w:sz w:val="18"/>
        </w:rPr>
        <w:t>(1)</w:t>
      </w:r>
    </w:p>
    <w:p>
      <w:pPr>
        <w:spacing w:line="219" w:lineRule="exact" w:before="0"/>
        <w:ind w:left="1697" w:right="0" w:firstLine="0"/>
        <w:jc w:val="left"/>
        <w:rPr>
          <w:sz w:val="18"/>
        </w:rPr>
      </w:pPr>
      <w:r>
        <w:rPr/>
        <w:drawing>
          <wp:anchor distT="0" distB="0" distL="0" distR="0" allowOverlap="1" layoutInCell="1" locked="0" behindDoc="0" simplePos="0" relativeHeight="15931904">
            <wp:simplePos x="0" y="0"/>
            <wp:positionH relativeFrom="page">
              <wp:posOffset>1054901</wp:posOffset>
            </wp:positionH>
            <wp:positionV relativeFrom="paragraph">
              <wp:posOffset>42849</wp:posOffset>
            </wp:positionV>
            <wp:extent cx="58380" cy="72151"/>
            <wp:effectExtent l="0" t="0" r="0" b="0"/>
            <wp:wrapNone/>
            <wp:docPr id="1249" name="image13.png"/>
            <wp:cNvGraphicFramePr>
              <a:graphicFrameLocks noChangeAspect="1"/>
            </wp:cNvGraphicFramePr>
            <a:graphic>
              <a:graphicData uri="http://schemas.openxmlformats.org/drawingml/2006/picture">
                <pic:pic>
                  <pic:nvPicPr>
                    <pic:cNvPr id="125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w:t>
      </w:r>
      <w:r>
        <w:rPr>
          <w:spacing w:val="-6"/>
          <w:sz w:val="18"/>
        </w:rPr>
        <w:t> </w:t>
      </w:r>
      <w:r>
        <w:rPr>
          <w:sz w:val="18"/>
        </w:rPr>
        <w:t>easy</w:t>
      </w:r>
      <w:r>
        <w:rPr>
          <w:spacing w:val="1"/>
          <w:sz w:val="18"/>
        </w:rPr>
        <w:t> </w:t>
      </w:r>
      <w:r>
        <w:rPr>
          <w:sz w:val="18"/>
        </w:rPr>
        <w:t>(2)</w:t>
      </w:r>
    </w:p>
    <w:p>
      <w:pPr>
        <w:spacing w:before="120"/>
        <w:ind w:left="1697" w:right="0" w:firstLine="0"/>
        <w:jc w:val="left"/>
        <w:rPr>
          <w:sz w:val="18"/>
        </w:rPr>
      </w:pPr>
      <w:r>
        <w:rPr/>
        <w:drawing>
          <wp:anchor distT="0" distB="0" distL="0" distR="0" allowOverlap="1" layoutInCell="1" locked="0" behindDoc="0" simplePos="0" relativeHeight="15932416">
            <wp:simplePos x="0" y="0"/>
            <wp:positionH relativeFrom="page">
              <wp:posOffset>1054901</wp:posOffset>
            </wp:positionH>
            <wp:positionV relativeFrom="paragraph">
              <wp:posOffset>120221</wp:posOffset>
            </wp:positionV>
            <wp:extent cx="58380" cy="73869"/>
            <wp:effectExtent l="0" t="0" r="0" b="0"/>
            <wp:wrapNone/>
            <wp:docPr id="1251" name="image14.png"/>
            <wp:cNvGraphicFramePr>
              <a:graphicFrameLocks noChangeAspect="1"/>
            </wp:cNvGraphicFramePr>
            <a:graphic>
              <a:graphicData uri="http://schemas.openxmlformats.org/drawingml/2006/picture">
                <pic:pic>
                  <pic:nvPicPr>
                    <pic:cNvPr id="1252"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Somewhat</w:t>
      </w:r>
      <w:r>
        <w:rPr>
          <w:spacing w:val="-7"/>
          <w:sz w:val="18"/>
        </w:rPr>
        <w:t> </w:t>
      </w:r>
      <w:r>
        <w:rPr>
          <w:sz w:val="18"/>
        </w:rPr>
        <w:t>difficult</w:t>
      </w:r>
      <w:r>
        <w:rPr>
          <w:spacing w:val="-3"/>
          <w:sz w:val="18"/>
        </w:rPr>
        <w:t> </w:t>
      </w:r>
      <w:r>
        <w:rPr>
          <w:sz w:val="18"/>
        </w:rPr>
        <w:t>(3)</w:t>
      </w:r>
    </w:p>
    <w:p>
      <w:pPr>
        <w:spacing w:before="120"/>
        <w:ind w:left="1697" w:right="0" w:firstLine="0"/>
        <w:jc w:val="left"/>
        <w:rPr>
          <w:sz w:val="18"/>
        </w:rPr>
      </w:pPr>
      <w:r>
        <w:rPr/>
        <w:drawing>
          <wp:anchor distT="0" distB="0" distL="0" distR="0" allowOverlap="1" layoutInCell="1" locked="0" behindDoc="0" simplePos="0" relativeHeight="15932928">
            <wp:simplePos x="0" y="0"/>
            <wp:positionH relativeFrom="page">
              <wp:posOffset>1054901</wp:posOffset>
            </wp:positionH>
            <wp:positionV relativeFrom="paragraph">
              <wp:posOffset>120414</wp:posOffset>
            </wp:positionV>
            <wp:extent cx="58380" cy="72151"/>
            <wp:effectExtent l="0" t="0" r="0" b="0"/>
            <wp:wrapNone/>
            <wp:docPr id="1253" name="image13.png"/>
            <wp:cNvGraphicFramePr>
              <a:graphicFrameLocks noChangeAspect="1"/>
            </wp:cNvGraphicFramePr>
            <a:graphic>
              <a:graphicData uri="http://schemas.openxmlformats.org/drawingml/2006/picture">
                <pic:pic>
                  <pic:nvPicPr>
                    <pic:cNvPr id="125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Very</w:t>
      </w:r>
      <w:r>
        <w:rPr>
          <w:spacing w:val="-4"/>
          <w:sz w:val="18"/>
        </w:rPr>
        <w:t> </w:t>
      </w:r>
      <w:r>
        <w:rPr>
          <w:sz w:val="18"/>
        </w:rPr>
        <w:t>difficult</w:t>
      </w:r>
      <w:r>
        <w:rPr>
          <w:spacing w:val="-4"/>
          <w:sz w:val="18"/>
        </w:rPr>
        <w:t> </w:t>
      </w:r>
      <w:r>
        <w:rPr>
          <w:sz w:val="18"/>
        </w:rPr>
        <w:t>(4)</w:t>
      </w:r>
    </w:p>
    <w:p>
      <w:pPr>
        <w:spacing w:before="120"/>
        <w:ind w:left="1697" w:right="0" w:firstLine="0"/>
        <w:jc w:val="left"/>
        <w:rPr>
          <w:sz w:val="18"/>
        </w:rPr>
      </w:pPr>
      <w:r>
        <w:rPr/>
        <w:drawing>
          <wp:anchor distT="0" distB="0" distL="0" distR="0" allowOverlap="1" layoutInCell="1" locked="0" behindDoc="0" simplePos="0" relativeHeight="15933440">
            <wp:simplePos x="0" y="0"/>
            <wp:positionH relativeFrom="page">
              <wp:posOffset>1054901</wp:posOffset>
            </wp:positionH>
            <wp:positionV relativeFrom="paragraph">
              <wp:posOffset>120414</wp:posOffset>
            </wp:positionV>
            <wp:extent cx="58380" cy="72151"/>
            <wp:effectExtent l="0" t="0" r="0" b="0"/>
            <wp:wrapNone/>
            <wp:docPr id="1255" name="image13.png"/>
            <wp:cNvGraphicFramePr>
              <a:graphicFrameLocks noChangeAspect="1"/>
            </wp:cNvGraphicFramePr>
            <a:graphic>
              <a:graphicData uri="http://schemas.openxmlformats.org/drawingml/2006/picture">
                <pic:pic>
                  <pic:nvPicPr>
                    <pic:cNvPr id="125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Not</w:t>
      </w:r>
      <w:r>
        <w:rPr>
          <w:spacing w:val="-6"/>
          <w:sz w:val="18"/>
        </w:rPr>
        <w:t> </w:t>
      </w:r>
      <w:r>
        <w:rPr>
          <w:sz w:val="18"/>
        </w:rPr>
        <w:t>applicable (5)</w:t>
      </w:r>
    </w:p>
    <w:p>
      <w:pPr>
        <w:pStyle w:val="ListParagraph"/>
        <w:numPr>
          <w:ilvl w:val="0"/>
          <w:numId w:val="90"/>
        </w:numPr>
        <w:tabs>
          <w:tab w:pos="1141" w:val="left" w:leader="none"/>
        </w:tabs>
        <w:spacing w:line="369" w:lineRule="auto" w:before="120" w:after="0"/>
        <w:ind w:left="1697" w:right="5453" w:hanging="918"/>
        <w:jc w:val="left"/>
        <w:rPr>
          <w:sz w:val="18"/>
        </w:rPr>
      </w:pPr>
      <w:r>
        <w:rPr/>
        <w:drawing>
          <wp:anchor distT="0" distB="0" distL="0" distR="0" allowOverlap="1" layoutInCell="1" locked="0" behindDoc="1" simplePos="0" relativeHeight="475965952">
            <wp:simplePos x="0" y="0"/>
            <wp:positionH relativeFrom="page">
              <wp:posOffset>1054901</wp:posOffset>
            </wp:positionH>
            <wp:positionV relativeFrom="paragraph">
              <wp:posOffset>336822</wp:posOffset>
            </wp:positionV>
            <wp:extent cx="58380" cy="72151"/>
            <wp:effectExtent l="0" t="0" r="0" b="0"/>
            <wp:wrapNone/>
            <wp:docPr id="1257" name="image13.png"/>
            <wp:cNvGraphicFramePr>
              <a:graphicFrameLocks noChangeAspect="1"/>
            </wp:cNvGraphicFramePr>
            <a:graphic>
              <a:graphicData uri="http://schemas.openxmlformats.org/drawingml/2006/picture">
                <pic:pic>
                  <pic:nvPicPr>
                    <pic:cNvPr id="125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Review information from hospital discharge summaries (3)</w:t>
      </w:r>
      <w:r>
        <w:rPr>
          <w:spacing w:val="-47"/>
          <w:sz w:val="18"/>
        </w:rPr>
        <w:t> </w:t>
      </w:r>
      <w:r>
        <w:rPr>
          <w:sz w:val="18"/>
        </w:rPr>
        <w:t>Very</w:t>
      </w:r>
      <w:r>
        <w:rPr>
          <w:spacing w:val="-2"/>
          <w:sz w:val="18"/>
        </w:rPr>
        <w:t> </w:t>
      </w:r>
      <w:r>
        <w:rPr>
          <w:sz w:val="18"/>
        </w:rPr>
        <w:t>easy</w:t>
      </w:r>
      <w:r>
        <w:rPr>
          <w:spacing w:val="4"/>
          <w:sz w:val="18"/>
        </w:rPr>
        <w:t> </w:t>
      </w:r>
      <w:r>
        <w:rPr>
          <w:sz w:val="18"/>
        </w:rPr>
        <w:t>(1)</w:t>
      </w:r>
    </w:p>
    <w:p>
      <w:pPr>
        <w:spacing w:before="2"/>
        <w:ind w:left="1697" w:right="0" w:firstLine="0"/>
        <w:jc w:val="left"/>
        <w:rPr>
          <w:sz w:val="18"/>
        </w:rPr>
      </w:pPr>
      <w:r>
        <w:rPr/>
        <w:drawing>
          <wp:anchor distT="0" distB="0" distL="0" distR="0" allowOverlap="1" layoutInCell="1" locked="0" behindDoc="0" simplePos="0" relativeHeight="15934464">
            <wp:simplePos x="0" y="0"/>
            <wp:positionH relativeFrom="page">
              <wp:posOffset>1054901</wp:posOffset>
            </wp:positionH>
            <wp:positionV relativeFrom="paragraph">
              <wp:posOffset>45484</wp:posOffset>
            </wp:positionV>
            <wp:extent cx="58380" cy="72151"/>
            <wp:effectExtent l="0" t="0" r="0" b="0"/>
            <wp:wrapNone/>
            <wp:docPr id="1259" name="image13.png"/>
            <wp:cNvGraphicFramePr>
              <a:graphicFrameLocks noChangeAspect="1"/>
            </wp:cNvGraphicFramePr>
            <a:graphic>
              <a:graphicData uri="http://schemas.openxmlformats.org/drawingml/2006/picture">
                <pic:pic>
                  <pic:nvPicPr>
                    <pic:cNvPr id="126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w:t>
      </w:r>
      <w:r>
        <w:rPr>
          <w:spacing w:val="-6"/>
          <w:sz w:val="18"/>
        </w:rPr>
        <w:t> </w:t>
      </w:r>
      <w:r>
        <w:rPr>
          <w:sz w:val="18"/>
        </w:rPr>
        <w:t>easy</w:t>
      </w:r>
      <w:r>
        <w:rPr>
          <w:spacing w:val="1"/>
          <w:sz w:val="18"/>
        </w:rPr>
        <w:t> </w:t>
      </w:r>
      <w:r>
        <w:rPr>
          <w:sz w:val="18"/>
        </w:rPr>
        <w:t>(2)</w:t>
      </w:r>
    </w:p>
    <w:p>
      <w:pPr>
        <w:spacing w:before="120"/>
        <w:ind w:left="1697" w:right="0" w:firstLine="0"/>
        <w:jc w:val="left"/>
        <w:rPr>
          <w:sz w:val="18"/>
        </w:rPr>
      </w:pPr>
      <w:r>
        <w:rPr/>
        <w:drawing>
          <wp:anchor distT="0" distB="0" distL="0" distR="0" allowOverlap="1" layoutInCell="1" locked="0" behindDoc="0" simplePos="0" relativeHeight="15934976">
            <wp:simplePos x="0" y="0"/>
            <wp:positionH relativeFrom="page">
              <wp:posOffset>1054901</wp:posOffset>
            </wp:positionH>
            <wp:positionV relativeFrom="paragraph">
              <wp:posOffset>120414</wp:posOffset>
            </wp:positionV>
            <wp:extent cx="58380" cy="72151"/>
            <wp:effectExtent l="0" t="0" r="0" b="0"/>
            <wp:wrapNone/>
            <wp:docPr id="1261" name="image13.png"/>
            <wp:cNvGraphicFramePr>
              <a:graphicFrameLocks noChangeAspect="1"/>
            </wp:cNvGraphicFramePr>
            <a:graphic>
              <a:graphicData uri="http://schemas.openxmlformats.org/drawingml/2006/picture">
                <pic:pic>
                  <pic:nvPicPr>
                    <pic:cNvPr id="126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w:t>
      </w:r>
      <w:r>
        <w:rPr>
          <w:spacing w:val="-7"/>
          <w:sz w:val="18"/>
        </w:rPr>
        <w:t> </w:t>
      </w:r>
      <w:r>
        <w:rPr>
          <w:sz w:val="18"/>
        </w:rPr>
        <w:t>difficult</w:t>
      </w:r>
      <w:r>
        <w:rPr>
          <w:spacing w:val="-3"/>
          <w:sz w:val="18"/>
        </w:rPr>
        <w:t> </w:t>
      </w:r>
      <w:r>
        <w:rPr>
          <w:sz w:val="18"/>
        </w:rPr>
        <w:t>(3)</w:t>
      </w:r>
    </w:p>
    <w:p>
      <w:pPr>
        <w:spacing w:before="120"/>
        <w:ind w:left="1697" w:right="0" w:firstLine="0"/>
        <w:jc w:val="left"/>
        <w:rPr>
          <w:sz w:val="18"/>
        </w:rPr>
      </w:pPr>
      <w:r>
        <w:rPr/>
        <w:drawing>
          <wp:anchor distT="0" distB="0" distL="0" distR="0" allowOverlap="1" layoutInCell="1" locked="0" behindDoc="0" simplePos="0" relativeHeight="15935488">
            <wp:simplePos x="0" y="0"/>
            <wp:positionH relativeFrom="page">
              <wp:posOffset>1054901</wp:posOffset>
            </wp:positionH>
            <wp:positionV relativeFrom="paragraph">
              <wp:posOffset>120414</wp:posOffset>
            </wp:positionV>
            <wp:extent cx="58380" cy="72151"/>
            <wp:effectExtent l="0" t="0" r="0" b="0"/>
            <wp:wrapNone/>
            <wp:docPr id="1263" name="image13.png"/>
            <wp:cNvGraphicFramePr>
              <a:graphicFrameLocks noChangeAspect="1"/>
            </wp:cNvGraphicFramePr>
            <a:graphic>
              <a:graphicData uri="http://schemas.openxmlformats.org/drawingml/2006/picture">
                <pic:pic>
                  <pic:nvPicPr>
                    <pic:cNvPr id="126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Very</w:t>
      </w:r>
      <w:r>
        <w:rPr>
          <w:spacing w:val="-4"/>
          <w:sz w:val="18"/>
        </w:rPr>
        <w:t> </w:t>
      </w:r>
      <w:r>
        <w:rPr>
          <w:sz w:val="18"/>
        </w:rPr>
        <w:t>difficult</w:t>
      </w:r>
      <w:r>
        <w:rPr>
          <w:spacing w:val="-4"/>
          <w:sz w:val="18"/>
        </w:rPr>
        <w:t> </w:t>
      </w:r>
      <w:r>
        <w:rPr>
          <w:sz w:val="18"/>
        </w:rPr>
        <w:t>(4)</w:t>
      </w:r>
    </w:p>
    <w:p>
      <w:pPr>
        <w:spacing w:before="121"/>
        <w:ind w:left="1697" w:right="0" w:firstLine="0"/>
        <w:jc w:val="left"/>
        <w:rPr>
          <w:sz w:val="18"/>
        </w:rPr>
      </w:pPr>
      <w:r>
        <w:rPr/>
        <w:drawing>
          <wp:anchor distT="0" distB="0" distL="0" distR="0" allowOverlap="1" layoutInCell="1" locked="0" behindDoc="0" simplePos="0" relativeHeight="15936000">
            <wp:simplePos x="0" y="0"/>
            <wp:positionH relativeFrom="page">
              <wp:posOffset>1054901</wp:posOffset>
            </wp:positionH>
            <wp:positionV relativeFrom="paragraph">
              <wp:posOffset>120668</wp:posOffset>
            </wp:positionV>
            <wp:extent cx="58380" cy="72151"/>
            <wp:effectExtent l="0" t="0" r="0" b="0"/>
            <wp:wrapNone/>
            <wp:docPr id="1265" name="image13.png"/>
            <wp:cNvGraphicFramePr>
              <a:graphicFrameLocks noChangeAspect="1"/>
            </wp:cNvGraphicFramePr>
            <a:graphic>
              <a:graphicData uri="http://schemas.openxmlformats.org/drawingml/2006/picture">
                <pic:pic>
                  <pic:nvPicPr>
                    <pic:cNvPr id="126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Not</w:t>
      </w:r>
      <w:r>
        <w:rPr>
          <w:spacing w:val="-6"/>
          <w:sz w:val="18"/>
        </w:rPr>
        <w:t> </w:t>
      </w:r>
      <w:r>
        <w:rPr>
          <w:sz w:val="18"/>
        </w:rPr>
        <w:t>applicable (5)</w:t>
      </w:r>
    </w:p>
    <w:p>
      <w:pPr>
        <w:pStyle w:val="ListParagraph"/>
        <w:numPr>
          <w:ilvl w:val="0"/>
          <w:numId w:val="90"/>
        </w:numPr>
        <w:tabs>
          <w:tab w:pos="1141" w:val="left" w:leader="none"/>
        </w:tabs>
        <w:spacing w:line="367" w:lineRule="auto" w:before="120" w:after="0"/>
        <w:ind w:left="1697" w:right="7695" w:hanging="918"/>
        <w:jc w:val="left"/>
        <w:rPr>
          <w:sz w:val="18"/>
        </w:rPr>
      </w:pPr>
      <w:r>
        <w:rPr/>
        <w:drawing>
          <wp:anchor distT="0" distB="0" distL="0" distR="0" allowOverlap="1" layoutInCell="1" locked="0" behindDoc="1" simplePos="0" relativeHeight="475968512">
            <wp:simplePos x="0" y="0"/>
            <wp:positionH relativeFrom="page">
              <wp:posOffset>1054901</wp:posOffset>
            </wp:positionH>
            <wp:positionV relativeFrom="paragraph">
              <wp:posOffset>334917</wp:posOffset>
            </wp:positionV>
            <wp:extent cx="58380" cy="72151"/>
            <wp:effectExtent l="0" t="0" r="0" b="0"/>
            <wp:wrapNone/>
            <wp:docPr id="1267" name="image13.png"/>
            <wp:cNvGraphicFramePr>
              <a:graphicFrameLocks noChangeAspect="1"/>
            </wp:cNvGraphicFramePr>
            <a:graphic>
              <a:graphicData uri="http://schemas.openxmlformats.org/drawingml/2006/picture">
                <pic:pic>
                  <pic:nvPicPr>
                    <pic:cNvPr id="126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Review notes about patients (4)</w:t>
      </w:r>
      <w:r>
        <w:rPr>
          <w:spacing w:val="-47"/>
          <w:sz w:val="18"/>
        </w:rPr>
        <w:t> </w:t>
      </w:r>
      <w:r>
        <w:rPr>
          <w:sz w:val="18"/>
        </w:rPr>
        <w:t>Very</w:t>
      </w:r>
      <w:r>
        <w:rPr>
          <w:spacing w:val="-2"/>
          <w:sz w:val="18"/>
        </w:rPr>
        <w:t> </w:t>
      </w:r>
      <w:r>
        <w:rPr>
          <w:sz w:val="18"/>
        </w:rPr>
        <w:t>easy</w:t>
      </w:r>
      <w:r>
        <w:rPr>
          <w:spacing w:val="4"/>
          <w:sz w:val="18"/>
        </w:rPr>
        <w:t> </w:t>
      </w:r>
      <w:r>
        <w:rPr>
          <w:sz w:val="18"/>
        </w:rPr>
        <w:t>(1)</w:t>
      </w:r>
    </w:p>
    <w:p>
      <w:pPr>
        <w:spacing w:before="4"/>
        <w:ind w:left="1697" w:right="0" w:firstLine="0"/>
        <w:jc w:val="left"/>
        <w:rPr>
          <w:sz w:val="18"/>
        </w:rPr>
      </w:pPr>
      <w:r>
        <w:rPr/>
        <w:drawing>
          <wp:anchor distT="0" distB="0" distL="0" distR="0" allowOverlap="1" layoutInCell="1" locked="0" behindDoc="0" simplePos="0" relativeHeight="15937024">
            <wp:simplePos x="0" y="0"/>
            <wp:positionH relativeFrom="page">
              <wp:posOffset>1054901</wp:posOffset>
            </wp:positionH>
            <wp:positionV relativeFrom="paragraph">
              <wp:posOffset>46373</wp:posOffset>
            </wp:positionV>
            <wp:extent cx="58380" cy="72151"/>
            <wp:effectExtent l="0" t="0" r="0" b="0"/>
            <wp:wrapNone/>
            <wp:docPr id="1269" name="image13.png"/>
            <wp:cNvGraphicFramePr>
              <a:graphicFrameLocks noChangeAspect="1"/>
            </wp:cNvGraphicFramePr>
            <a:graphic>
              <a:graphicData uri="http://schemas.openxmlformats.org/drawingml/2006/picture">
                <pic:pic>
                  <pic:nvPicPr>
                    <pic:cNvPr id="127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w:t>
      </w:r>
      <w:r>
        <w:rPr>
          <w:spacing w:val="-6"/>
          <w:sz w:val="18"/>
        </w:rPr>
        <w:t> </w:t>
      </w:r>
      <w:r>
        <w:rPr>
          <w:sz w:val="18"/>
        </w:rPr>
        <w:t>easy</w:t>
      </w:r>
      <w:r>
        <w:rPr>
          <w:spacing w:val="1"/>
          <w:sz w:val="18"/>
        </w:rPr>
        <w:t> </w:t>
      </w:r>
      <w:r>
        <w:rPr>
          <w:sz w:val="18"/>
        </w:rPr>
        <w:t>(2)</w:t>
      </w:r>
    </w:p>
    <w:p>
      <w:pPr>
        <w:spacing w:before="120"/>
        <w:ind w:left="1697" w:right="0" w:firstLine="0"/>
        <w:jc w:val="left"/>
        <w:rPr>
          <w:sz w:val="18"/>
        </w:rPr>
      </w:pPr>
      <w:r>
        <w:rPr/>
        <w:drawing>
          <wp:anchor distT="0" distB="0" distL="0" distR="0" allowOverlap="1" layoutInCell="1" locked="0" behindDoc="0" simplePos="0" relativeHeight="15937536">
            <wp:simplePos x="0" y="0"/>
            <wp:positionH relativeFrom="page">
              <wp:posOffset>1054901</wp:posOffset>
            </wp:positionH>
            <wp:positionV relativeFrom="paragraph">
              <wp:posOffset>120033</wp:posOffset>
            </wp:positionV>
            <wp:extent cx="58380" cy="72151"/>
            <wp:effectExtent l="0" t="0" r="0" b="0"/>
            <wp:wrapNone/>
            <wp:docPr id="1271" name="image13.png"/>
            <wp:cNvGraphicFramePr>
              <a:graphicFrameLocks noChangeAspect="1"/>
            </wp:cNvGraphicFramePr>
            <a:graphic>
              <a:graphicData uri="http://schemas.openxmlformats.org/drawingml/2006/picture">
                <pic:pic>
                  <pic:nvPicPr>
                    <pic:cNvPr id="127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w:t>
      </w:r>
      <w:r>
        <w:rPr>
          <w:spacing w:val="-7"/>
          <w:sz w:val="18"/>
        </w:rPr>
        <w:t> </w:t>
      </w:r>
      <w:r>
        <w:rPr>
          <w:sz w:val="18"/>
        </w:rPr>
        <w:t>difficult</w:t>
      </w:r>
      <w:r>
        <w:rPr>
          <w:spacing w:val="-3"/>
          <w:sz w:val="18"/>
        </w:rPr>
        <w:t> </w:t>
      </w:r>
      <w:r>
        <w:rPr>
          <w:sz w:val="18"/>
        </w:rPr>
        <w:t>(3)</w:t>
      </w:r>
    </w:p>
    <w:p>
      <w:pPr>
        <w:spacing w:before="120"/>
        <w:ind w:left="1697" w:right="0" w:firstLine="0"/>
        <w:jc w:val="left"/>
        <w:rPr>
          <w:sz w:val="18"/>
        </w:rPr>
      </w:pPr>
      <w:r>
        <w:rPr/>
        <w:drawing>
          <wp:anchor distT="0" distB="0" distL="0" distR="0" allowOverlap="1" layoutInCell="1" locked="0" behindDoc="0" simplePos="0" relativeHeight="15938048">
            <wp:simplePos x="0" y="0"/>
            <wp:positionH relativeFrom="page">
              <wp:posOffset>1054901</wp:posOffset>
            </wp:positionH>
            <wp:positionV relativeFrom="paragraph">
              <wp:posOffset>120033</wp:posOffset>
            </wp:positionV>
            <wp:extent cx="58380" cy="72151"/>
            <wp:effectExtent l="0" t="0" r="0" b="0"/>
            <wp:wrapNone/>
            <wp:docPr id="1273" name="image13.png"/>
            <wp:cNvGraphicFramePr>
              <a:graphicFrameLocks noChangeAspect="1"/>
            </wp:cNvGraphicFramePr>
            <a:graphic>
              <a:graphicData uri="http://schemas.openxmlformats.org/drawingml/2006/picture">
                <pic:pic>
                  <pic:nvPicPr>
                    <pic:cNvPr id="127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Very</w:t>
      </w:r>
      <w:r>
        <w:rPr>
          <w:spacing w:val="-4"/>
          <w:sz w:val="18"/>
        </w:rPr>
        <w:t> </w:t>
      </w:r>
      <w:r>
        <w:rPr>
          <w:sz w:val="18"/>
        </w:rPr>
        <w:t>difficult</w:t>
      </w:r>
      <w:r>
        <w:rPr>
          <w:spacing w:val="-4"/>
          <w:sz w:val="18"/>
        </w:rPr>
        <w:t> </w:t>
      </w:r>
      <w:r>
        <w:rPr>
          <w:sz w:val="18"/>
        </w:rPr>
        <w:t>(4)</w:t>
      </w:r>
    </w:p>
    <w:p>
      <w:pPr>
        <w:spacing w:before="120"/>
        <w:ind w:left="1697" w:right="0" w:firstLine="0"/>
        <w:jc w:val="left"/>
        <w:rPr>
          <w:sz w:val="18"/>
        </w:rPr>
      </w:pPr>
      <w:r>
        <w:rPr/>
        <w:drawing>
          <wp:anchor distT="0" distB="0" distL="0" distR="0" allowOverlap="1" layoutInCell="1" locked="0" behindDoc="0" simplePos="0" relativeHeight="15938560">
            <wp:simplePos x="0" y="0"/>
            <wp:positionH relativeFrom="page">
              <wp:posOffset>1054901</wp:posOffset>
            </wp:positionH>
            <wp:positionV relativeFrom="paragraph">
              <wp:posOffset>120033</wp:posOffset>
            </wp:positionV>
            <wp:extent cx="58380" cy="72151"/>
            <wp:effectExtent l="0" t="0" r="0" b="0"/>
            <wp:wrapNone/>
            <wp:docPr id="1275" name="image13.png"/>
            <wp:cNvGraphicFramePr>
              <a:graphicFrameLocks noChangeAspect="1"/>
            </wp:cNvGraphicFramePr>
            <a:graphic>
              <a:graphicData uri="http://schemas.openxmlformats.org/drawingml/2006/picture">
                <pic:pic>
                  <pic:nvPicPr>
                    <pic:cNvPr id="127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Not</w:t>
      </w:r>
      <w:r>
        <w:rPr>
          <w:spacing w:val="-6"/>
          <w:sz w:val="18"/>
        </w:rPr>
        <w:t> </w:t>
      </w:r>
      <w:r>
        <w:rPr>
          <w:sz w:val="18"/>
        </w:rPr>
        <w:t>applicable (5)</w:t>
      </w:r>
    </w:p>
    <w:p>
      <w:pPr>
        <w:spacing w:after="0"/>
        <w:jc w:val="left"/>
        <w:rPr>
          <w:sz w:val="18"/>
        </w:rPr>
        <w:sectPr>
          <w:pgSz w:w="11910" w:h="16840"/>
          <w:pgMar w:header="0" w:footer="948" w:top="860" w:bottom="1140" w:left="300" w:right="0"/>
        </w:sectPr>
      </w:pPr>
    </w:p>
    <w:p>
      <w:pPr>
        <w:pStyle w:val="ListParagraph"/>
        <w:numPr>
          <w:ilvl w:val="0"/>
          <w:numId w:val="90"/>
        </w:numPr>
        <w:tabs>
          <w:tab w:pos="1141" w:val="left" w:leader="none"/>
        </w:tabs>
        <w:spacing w:line="369" w:lineRule="auto" w:before="75" w:after="0"/>
        <w:ind w:left="1697" w:right="7189" w:hanging="918"/>
        <w:jc w:val="left"/>
        <w:rPr>
          <w:sz w:val="18"/>
        </w:rPr>
      </w:pPr>
      <w:r>
        <w:rPr/>
        <w:drawing>
          <wp:anchor distT="0" distB="0" distL="0" distR="0" allowOverlap="1" layoutInCell="1" locked="0" behindDoc="1" simplePos="0" relativeHeight="475971072">
            <wp:simplePos x="0" y="0"/>
            <wp:positionH relativeFrom="page">
              <wp:posOffset>1054901</wp:posOffset>
            </wp:positionH>
            <wp:positionV relativeFrom="paragraph">
              <wp:posOffset>309136</wp:posOffset>
            </wp:positionV>
            <wp:extent cx="58380" cy="72151"/>
            <wp:effectExtent l="0" t="0" r="0" b="0"/>
            <wp:wrapNone/>
            <wp:docPr id="1277" name="image13.png"/>
            <wp:cNvGraphicFramePr>
              <a:graphicFrameLocks noChangeAspect="1"/>
            </wp:cNvGraphicFramePr>
            <a:graphic>
              <a:graphicData uri="http://schemas.openxmlformats.org/drawingml/2006/picture">
                <pic:pic>
                  <pic:nvPicPr>
                    <pic:cNvPr id="127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Order new patient pathology tests (5)</w:t>
      </w:r>
      <w:r>
        <w:rPr>
          <w:spacing w:val="-48"/>
          <w:sz w:val="18"/>
        </w:rPr>
        <w:t> </w:t>
      </w:r>
      <w:r>
        <w:rPr>
          <w:sz w:val="18"/>
        </w:rPr>
        <w:t>Very</w:t>
      </w:r>
      <w:r>
        <w:rPr>
          <w:spacing w:val="-2"/>
          <w:sz w:val="18"/>
        </w:rPr>
        <w:t> </w:t>
      </w:r>
      <w:r>
        <w:rPr>
          <w:sz w:val="18"/>
        </w:rPr>
        <w:t>easy</w:t>
      </w:r>
      <w:r>
        <w:rPr>
          <w:spacing w:val="4"/>
          <w:sz w:val="18"/>
        </w:rPr>
        <w:t> </w:t>
      </w:r>
      <w:r>
        <w:rPr>
          <w:sz w:val="18"/>
        </w:rPr>
        <w:t>(1)</w:t>
      </w:r>
    </w:p>
    <w:p>
      <w:pPr>
        <w:spacing w:before="3"/>
        <w:ind w:left="1697" w:right="0" w:firstLine="0"/>
        <w:jc w:val="left"/>
        <w:rPr>
          <w:sz w:val="18"/>
        </w:rPr>
      </w:pPr>
      <w:r>
        <w:rPr/>
        <w:drawing>
          <wp:anchor distT="0" distB="0" distL="0" distR="0" allowOverlap="1" layoutInCell="1" locked="0" behindDoc="0" simplePos="0" relativeHeight="15939584">
            <wp:simplePos x="0" y="0"/>
            <wp:positionH relativeFrom="page">
              <wp:posOffset>1054901</wp:posOffset>
            </wp:positionH>
            <wp:positionV relativeFrom="paragraph">
              <wp:posOffset>46756</wp:posOffset>
            </wp:positionV>
            <wp:extent cx="58380" cy="72150"/>
            <wp:effectExtent l="0" t="0" r="0" b="0"/>
            <wp:wrapNone/>
            <wp:docPr id="1279" name="image13.png"/>
            <wp:cNvGraphicFramePr>
              <a:graphicFrameLocks noChangeAspect="1"/>
            </wp:cNvGraphicFramePr>
            <a:graphic>
              <a:graphicData uri="http://schemas.openxmlformats.org/drawingml/2006/picture">
                <pic:pic>
                  <pic:nvPicPr>
                    <pic:cNvPr id="1280" name="image13.png"/>
                    <pic:cNvPicPr/>
                  </pic:nvPicPr>
                  <pic:blipFill>
                    <a:blip r:embed="rId41" cstate="print"/>
                    <a:stretch>
                      <a:fillRect/>
                    </a:stretch>
                  </pic:blipFill>
                  <pic:spPr>
                    <a:xfrm>
                      <a:off x="0" y="0"/>
                      <a:ext cx="58380" cy="72150"/>
                    </a:xfrm>
                    <a:prstGeom prst="rect">
                      <a:avLst/>
                    </a:prstGeom>
                  </pic:spPr>
                </pic:pic>
              </a:graphicData>
            </a:graphic>
          </wp:anchor>
        </w:drawing>
      </w:r>
      <w:r>
        <w:rPr>
          <w:sz w:val="18"/>
        </w:rPr>
        <w:t>Somewhat</w:t>
      </w:r>
      <w:r>
        <w:rPr>
          <w:spacing w:val="-6"/>
          <w:sz w:val="18"/>
        </w:rPr>
        <w:t> </w:t>
      </w:r>
      <w:r>
        <w:rPr>
          <w:sz w:val="18"/>
        </w:rPr>
        <w:t>easy</w:t>
      </w:r>
      <w:r>
        <w:rPr>
          <w:spacing w:val="1"/>
          <w:sz w:val="18"/>
        </w:rPr>
        <w:t> </w:t>
      </w:r>
      <w:r>
        <w:rPr>
          <w:sz w:val="18"/>
        </w:rPr>
        <w:t>(2)</w:t>
      </w:r>
    </w:p>
    <w:p>
      <w:pPr>
        <w:spacing w:before="117"/>
        <w:ind w:left="1697" w:right="0" w:firstLine="0"/>
        <w:jc w:val="left"/>
        <w:rPr>
          <w:sz w:val="18"/>
        </w:rPr>
      </w:pPr>
      <w:r>
        <w:rPr/>
        <w:drawing>
          <wp:anchor distT="0" distB="0" distL="0" distR="0" allowOverlap="1" layoutInCell="1" locked="0" behindDoc="0" simplePos="0" relativeHeight="15940096">
            <wp:simplePos x="0" y="0"/>
            <wp:positionH relativeFrom="page">
              <wp:posOffset>1054901</wp:posOffset>
            </wp:positionH>
            <wp:positionV relativeFrom="paragraph">
              <wp:posOffset>118951</wp:posOffset>
            </wp:positionV>
            <wp:extent cx="58380" cy="73869"/>
            <wp:effectExtent l="0" t="0" r="0" b="0"/>
            <wp:wrapNone/>
            <wp:docPr id="1281" name="image14.png"/>
            <wp:cNvGraphicFramePr>
              <a:graphicFrameLocks noChangeAspect="1"/>
            </wp:cNvGraphicFramePr>
            <a:graphic>
              <a:graphicData uri="http://schemas.openxmlformats.org/drawingml/2006/picture">
                <pic:pic>
                  <pic:nvPicPr>
                    <pic:cNvPr id="1282"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Somewhat</w:t>
      </w:r>
      <w:r>
        <w:rPr>
          <w:spacing w:val="-7"/>
          <w:sz w:val="18"/>
        </w:rPr>
        <w:t> </w:t>
      </w:r>
      <w:r>
        <w:rPr>
          <w:sz w:val="18"/>
        </w:rPr>
        <w:t>difficult</w:t>
      </w:r>
      <w:r>
        <w:rPr>
          <w:spacing w:val="-3"/>
          <w:sz w:val="18"/>
        </w:rPr>
        <w:t> </w:t>
      </w:r>
      <w:r>
        <w:rPr>
          <w:sz w:val="18"/>
        </w:rPr>
        <w:t>(3)</w:t>
      </w:r>
    </w:p>
    <w:p>
      <w:pPr>
        <w:spacing w:before="121"/>
        <w:ind w:left="1697" w:right="0" w:firstLine="0"/>
        <w:jc w:val="left"/>
        <w:rPr>
          <w:sz w:val="18"/>
        </w:rPr>
      </w:pPr>
      <w:r>
        <w:rPr/>
        <w:drawing>
          <wp:anchor distT="0" distB="0" distL="0" distR="0" allowOverlap="1" layoutInCell="1" locked="0" behindDoc="0" simplePos="0" relativeHeight="15940608">
            <wp:simplePos x="0" y="0"/>
            <wp:positionH relativeFrom="page">
              <wp:posOffset>1054901</wp:posOffset>
            </wp:positionH>
            <wp:positionV relativeFrom="paragraph">
              <wp:posOffset>121684</wp:posOffset>
            </wp:positionV>
            <wp:extent cx="58380" cy="72151"/>
            <wp:effectExtent l="0" t="0" r="0" b="0"/>
            <wp:wrapNone/>
            <wp:docPr id="1283" name="image13.png"/>
            <wp:cNvGraphicFramePr>
              <a:graphicFrameLocks noChangeAspect="1"/>
            </wp:cNvGraphicFramePr>
            <a:graphic>
              <a:graphicData uri="http://schemas.openxmlformats.org/drawingml/2006/picture">
                <pic:pic>
                  <pic:nvPicPr>
                    <pic:cNvPr id="128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Very</w:t>
      </w:r>
      <w:r>
        <w:rPr>
          <w:spacing w:val="-4"/>
          <w:sz w:val="18"/>
        </w:rPr>
        <w:t> </w:t>
      </w:r>
      <w:r>
        <w:rPr>
          <w:sz w:val="18"/>
        </w:rPr>
        <w:t>difficult</w:t>
      </w:r>
      <w:r>
        <w:rPr>
          <w:spacing w:val="-4"/>
          <w:sz w:val="18"/>
        </w:rPr>
        <w:t> </w:t>
      </w:r>
      <w:r>
        <w:rPr>
          <w:sz w:val="18"/>
        </w:rPr>
        <w:t>(4)</w:t>
      </w:r>
    </w:p>
    <w:p>
      <w:pPr>
        <w:spacing w:before="120"/>
        <w:ind w:left="1697" w:right="0" w:firstLine="0"/>
        <w:jc w:val="left"/>
        <w:rPr>
          <w:sz w:val="18"/>
        </w:rPr>
      </w:pPr>
      <w:r>
        <w:rPr/>
        <w:drawing>
          <wp:anchor distT="0" distB="0" distL="0" distR="0" allowOverlap="1" layoutInCell="1" locked="0" behindDoc="0" simplePos="0" relativeHeight="15941120">
            <wp:simplePos x="0" y="0"/>
            <wp:positionH relativeFrom="page">
              <wp:posOffset>1054901</wp:posOffset>
            </wp:positionH>
            <wp:positionV relativeFrom="paragraph">
              <wp:posOffset>121051</wp:posOffset>
            </wp:positionV>
            <wp:extent cx="58380" cy="72150"/>
            <wp:effectExtent l="0" t="0" r="0" b="0"/>
            <wp:wrapNone/>
            <wp:docPr id="1285" name="image13.png"/>
            <wp:cNvGraphicFramePr>
              <a:graphicFrameLocks noChangeAspect="1"/>
            </wp:cNvGraphicFramePr>
            <a:graphic>
              <a:graphicData uri="http://schemas.openxmlformats.org/drawingml/2006/picture">
                <pic:pic>
                  <pic:nvPicPr>
                    <pic:cNvPr id="1286" name="image13.png"/>
                    <pic:cNvPicPr/>
                  </pic:nvPicPr>
                  <pic:blipFill>
                    <a:blip r:embed="rId41" cstate="print"/>
                    <a:stretch>
                      <a:fillRect/>
                    </a:stretch>
                  </pic:blipFill>
                  <pic:spPr>
                    <a:xfrm>
                      <a:off x="0" y="0"/>
                      <a:ext cx="58380" cy="72150"/>
                    </a:xfrm>
                    <a:prstGeom prst="rect">
                      <a:avLst/>
                    </a:prstGeom>
                  </pic:spPr>
                </pic:pic>
              </a:graphicData>
            </a:graphic>
          </wp:anchor>
        </w:drawing>
      </w:r>
      <w:r>
        <w:rPr>
          <w:sz w:val="18"/>
        </w:rPr>
        <w:t>Not</w:t>
      </w:r>
      <w:r>
        <w:rPr>
          <w:spacing w:val="-6"/>
          <w:sz w:val="18"/>
        </w:rPr>
        <w:t> </w:t>
      </w:r>
      <w:r>
        <w:rPr>
          <w:sz w:val="18"/>
        </w:rPr>
        <w:t>applicable (5)</w:t>
      </w:r>
    </w:p>
    <w:p>
      <w:pPr>
        <w:pStyle w:val="ListParagraph"/>
        <w:numPr>
          <w:ilvl w:val="0"/>
          <w:numId w:val="90"/>
        </w:numPr>
        <w:tabs>
          <w:tab w:pos="1141" w:val="left" w:leader="none"/>
        </w:tabs>
        <w:spacing w:line="240" w:lineRule="auto" w:before="120" w:after="0"/>
        <w:ind w:left="1140" w:right="0" w:hanging="361"/>
        <w:jc w:val="left"/>
        <w:rPr>
          <w:sz w:val="18"/>
        </w:rPr>
      </w:pPr>
      <w:r>
        <w:rPr>
          <w:sz w:val="18"/>
        </w:rPr>
        <w:t>Prescribe</w:t>
      </w:r>
      <w:r>
        <w:rPr>
          <w:spacing w:val="-5"/>
          <w:sz w:val="18"/>
        </w:rPr>
        <w:t> </w:t>
      </w:r>
      <w:r>
        <w:rPr>
          <w:sz w:val="18"/>
        </w:rPr>
        <w:t>medications</w:t>
      </w:r>
      <w:r>
        <w:rPr>
          <w:spacing w:val="-4"/>
          <w:sz w:val="18"/>
        </w:rPr>
        <w:t> </w:t>
      </w:r>
      <w:r>
        <w:rPr>
          <w:sz w:val="18"/>
        </w:rPr>
        <w:t>(10)</w:t>
      </w:r>
    </w:p>
    <w:p>
      <w:pPr>
        <w:spacing w:before="120"/>
        <w:ind w:left="1697" w:right="0" w:firstLine="0"/>
        <w:jc w:val="left"/>
        <w:rPr>
          <w:sz w:val="18"/>
        </w:rPr>
      </w:pPr>
      <w:r>
        <w:rPr/>
        <w:drawing>
          <wp:anchor distT="0" distB="0" distL="0" distR="0" allowOverlap="1" layoutInCell="1" locked="0" behindDoc="0" simplePos="0" relativeHeight="15941632">
            <wp:simplePos x="0" y="0"/>
            <wp:positionH relativeFrom="page">
              <wp:posOffset>1054901</wp:posOffset>
            </wp:positionH>
            <wp:positionV relativeFrom="paragraph">
              <wp:posOffset>121049</wp:posOffset>
            </wp:positionV>
            <wp:extent cx="58380" cy="72151"/>
            <wp:effectExtent l="0" t="0" r="0" b="0"/>
            <wp:wrapNone/>
            <wp:docPr id="1287" name="image13.png"/>
            <wp:cNvGraphicFramePr>
              <a:graphicFrameLocks noChangeAspect="1"/>
            </wp:cNvGraphicFramePr>
            <a:graphic>
              <a:graphicData uri="http://schemas.openxmlformats.org/drawingml/2006/picture">
                <pic:pic>
                  <pic:nvPicPr>
                    <pic:cNvPr id="128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Very</w:t>
      </w:r>
      <w:r>
        <w:rPr>
          <w:spacing w:val="-4"/>
          <w:sz w:val="18"/>
        </w:rPr>
        <w:t> </w:t>
      </w:r>
      <w:r>
        <w:rPr>
          <w:sz w:val="18"/>
        </w:rPr>
        <w:t>easy (1)</w:t>
      </w:r>
    </w:p>
    <w:p>
      <w:pPr>
        <w:spacing w:before="120"/>
        <w:ind w:left="1697" w:right="0" w:firstLine="0"/>
        <w:jc w:val="left"/>
        <w:rPr>
          <w:sz w:val="18"/>
        </w:rPr>
      </w:pPr>
      <w:r>
        <w:rPr/>
        <w:drawing>
          <wp:anchor distT="0" distB="0" distL="0" distR="0" allowOverlap="1" layoutInCell="1" locked="0" behindDoc="0" simplePos="0" relativeHeight="15942144">
            <wp:simplePos x="0" y="0"/>
            <wp:positionH relativeFrom="page">
              <wp:posOffset>1054901</wp:posOffset>
            </wp:positionH>
            <wp:positionV relativeFrom="paragraph">
              <wp:posOffset>120857</wp:posOffset>
            </wp:positionV>
            <wp:extent cx="58380" cy="73867"/>
            <wp:effectExtent l="0" t="0" r="0" b="0"/>
            <wp:wrapNone/>
            <wp:docPr id="1289" name="image14.png"/>
            <wp:cNvGraphicFramePr>
              <a:graphicFrameLocks noChangeAspect="1"/>
            </wp:cNvGraphicFramePr>
            <a:graphic>
              <a:graphicData uri="http://schemas.openxmlformats.org/drawingml/2006/picture">
                <pic:pic>
                  <pic:nvPicPr>
                    <pic:cNvPr id="1290" name="image14.png"/>
                    <pic:cNvPicPr/>
                  </pic:nvPicPr>
                  <pic:blipFill>
                    <a:blip r:embed="rId43" cstate="print"/>
                    <a:stretch>
                      <a:fillRect/>
                    </a:stretch>
                  </pic:blipFill>
                  <pic:spPr>
                    <a:xfrm>
                      <a:off x="0" y="0"/>
                      <a:ext cx="58380" cy="73867"/>
                    </a:xfrm>
                    <a:prstGeom prst="rect">
                      <a:avLst/>
                    </a:prstGeom>
                  </pic:spPr>
                </pic:pic>
              </a:graphicData>
            </a:graphic>
          </wp:anchor>
        </w:drawing>
      </w:r>
      <w:r>
        <w:rPr>
          <w:sz w:val="18"/>
        </w:rPr>
        <w:t>Somewhat</w:t>
      </w:r>
      <w:r>
        <w:rPr>
          <w:spacing w:val="-6"/>
          <w:sz w:val="18"/>
        </w:rPr>
        <w:t> </w:t>
      </w:r>
      <w:r>
        <w:rPr>
          <w:sz w:val="18"/>
        </w:rPr>
        <w:t>easy</w:t>
      </w:r>
      <w:r>
        <w:rPr>
          <w:spacing w:val="1"/>
          <w:sz w:val="18"/>
        </w:rPr>
        <w:t> </w:t>
      </w:r>
      <w:r>
        <w:rPr>
          <w:sz w:val="18"/>
        </w:rPr>
        <w:t>(2)</w:t>
      </w:r>
    </w:p>
    <w:p>
      <w:pPr>
        <w:spacing w:before="120"/>
        <w:ind w:left="1697" w:right="0" w:firstLine="0"/>
        <w:jc w:val="left"/>
        <w:rPr>
          <w:sz w:val="18"/>
        </w:rPr>
      </w:pPr>
      <w:r>
        <w:rPr/>
        <w:drawing>
          <wp:anchor distT="0" distB="0" distL="0" distR="0" allowOverlap="1" layoutInCell="1" locked="0" behindDoc="0" simplePos="0" relativeHeight="15942656">
            <wp:simplePos x="0" y="0"/>
            <wp:positionH relativeFrom="page">
              <wp:posOffset>1054901</wp:posOffset>
            </wp:positionH>
            <wp:positionV relativeFrom="paragraph">
              <wp:posOffset>121050</wp:posOffset>
            </wp:positionV>
            <wp:extent cx="58380" cy="72151"/>
            <wp:effectExtent l="0" t="0" r="0" b="0"/>
            <wp:wrapNone/>
            <wp:docPr id="1291" name="image13.png"/>
            <wp:cNvGraphicFramePr>
              <a:graphicFrameLocks noChangeAspect="1"/>
            </wp:cNvGraphicFramePr>
            <a:graphic>
              <a:graphicData uri="http://schemas.openxmlformats.org/drawingml/2006/picture">
                <pic:pic>
                  <pic:nvPicPr>
                    <pic:cNvPr id="129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w:t>
      </w:r>
      <w:r>
        <w:rPr>
          <w:spacing w:val="-7"/>
          <w:sz w:val="18"/>
        </w:rPr>
        <w:t> </w:t>
      </w:r>
      <w:r>
        <w:rPr>
          <w:sz w:val="18"/>
        </w:rPr>
        <w:t>difficult</w:t>
      </w:r>
      <w:r>
        <w:rPr>
          <w:spacing w:val="-3"/>
          <w:sz w:val="18"/>
        </w:rPr>
        <w:t> </w:t>
      </w:r>
      <w:r>
        <w:rPr>
          <w:sz w:val="18"/>
        </w:rPr>
        <w:t>(3)</w:t>
      </w:r>
    </w:p>
    <w:p>
      <w:pPr>
        <w:spacing w:before="120"/>
        <w:ind w:left="1697" w:right="0" w:firstLine="0"/>
        <w:jc w:val="left"/>
        <w:rPr>
          <w:sz w:val="18"/>
        </w:rPr>
      </w:pPr>
      <w:r>
        <w:rPr/>
        <w:drawing>
          <wp:anchor distT="0" distB="0" distL="0" distR="0" allowOverlap="1" layoutInCell="1" locked="0" behindDoc="0" simplePos="0" relativeHeight="15943168">
            <wp:simplePos x="0" y="0"/>
            <wp:positionH relativeFrom="page">
              <wp:posOffset>1054901</wp:posOffset>
            </wp:positionH>
            <wp:positionV relativeFrom="paragraph">
              <wp:posOffset>121049</wp:posOffset>
            </wp:positionV>
            <wp:extent cx="58380" cy="72151"/>
            <wp:effectExtent l="0" t="0" r="0" b="0"/>
            <wp:wrapNone/>
            <wp:docPr id="1293" name="image13.png"/>
            <wp:cNvGraphicFramePr>
              <a:graphicFrameLocks noChangeAspect="1"/>
            </wp:cNvGraphicFramePr>
            <a:graphic>
              <a:graphicData uri="http://schemas.openxmlformats.org/drawingml/2006/picture">
                <pic:pic>
                  <pic:nvPicPr>
                    <pic:cNvPr id="129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Very</w:t>
      </w:r>
      <w:r>
        <w:rPr>
          <w:spacing w:val="-4"/>
          <w:sz w:val="18"/>
        </w:rPr>
        <w:t> </w:t>
      </w:r>
      <w:r>
        <w:rPr>
          <w:sz w:val="18"/>
        </w:rPr>
        <w:t>difficult</w:t>
      </w:r>
      <w:r>
        <w:rPr>
          <w:spacing w:val="-4"/>
          <w:sz w:val="18"/>
        </w:rPr>
        <w:t> </w:t>
      </w:r>
      <w:r>
        <w:rPr>
          <w:sz w:val="18"/>
        </w:rPr>
        <w:t>(4)</w:t>
      </w:r>
    </w:p>
    <w:p>
      <w:pPr>
        <w:spacing w:before="120"/>
        <w:ind w:left="1697" w:right="0" w:firstLine="0"/>
        <w:jc w:val="left"/>
        <w:rPr>
          <w:sz w:val="18"/>
        </w:rPr>
      </w:pPr>
      <w:r>
        <w:rPr/>
        <w:drawing>
          <wp:anchor distT="0" distB="0" distL="0" distR="0" allowOverlap="1" layoutInCell="1" locked="0" behindDoc="0" simplePos="0" relativeHeight="15943680">
            <wp:simplePos x="0" y="0"/>
            <wp:positionH relativeFrom="page">
              <wp:posOffset>1054901</wp:posOffset>
            </wp:positionH>
            <wp:positionV relativeFrom="paragraph">
              <wp:posOffset>120857</wp:posOffset>
            </wp:positionV>
            <wp:extent cx="58380" cy="73867"/>
            <wp:effectExtent l="0" t="0" r="0" b="0"/>
            <wp:wrapNone/>
            <wp:docPr id="1295" name="image14.png"/>
            <wp:cNvGraphicFramePr>
              <a:graphicFrameLocks noChangeAspect="1"/>
            </wp:cNvGraphicFramePr>
            <a:graphic>
              <a:graphicData uri="http://schemas.openxmlformats.org/drawingml/2006/picture">
                <pic:pic>
                  <pic:nvPicPr>
                    <pic:cNvPr id="1296" name="image14.png"/>
                    <pic:cNvPicPr/>
                  </pic:nvPicPr>
                  <pic:blipFill>
                    <a:blip r:embed="rId43" cstate="print"/>
                    <a:stretch>
                      <a:fillRect/>
                    </a:stretch>
                  </pic:blipFill>
                  <pic:spPr>
                    <a:xfrm>
                      <a:off x="0" y="0"/>
                      <a:ext cx="58380" cy="73867"/>
                    </a:xfrm>
                    <a:prstGeom prst="rect">
                      <a:avLst/>
                    </a:prstGeom>
                  </pic:spPr>
                </pic:pic>
              </a:graphicData>
            </a:graphic>
          </wp:anchor>
        </w:drawing>
      </w:r>
      <w:r>
        <w:rPr>
          <w:sz w:val="18"/>
        </w:rPr>
        <w:t>Not</w:t>
      </w:r>
      <w:r>
        <w:rPr>
          <w:spacing w:val="-6"/>
          <w:sz w:val="18"/>
        </w:rPr>
        <w:t> </w:t>
      </w:r>
      <w:r>
        <w:rPr>
          <w:sz w:val="18"/>
        </w:rPr>
        <w:t>applicable (5)</w:t>
      </w:r>
    </w:p>
    <w:p>
      <w:pPr>
        <w:pStyle w:val="ListParagraph"/>
        <w:numPr>
          <w:ilvl w:val="0"/>
          <w:numId w:val="90"/>
        </w:numPr>
        <w:tabs>
          <w:tab w:pos="1141" w:val="left" w:leader="none"/>
        </w:tabs>
        <w:spacing w:line="369" w:lineRule="auto" w:before="121" w:after="0"/>
        <w:ind w:left="1697" w:right="5926" w:hanging="918"/>
        <w:jc w:val="left"/>
        <w:rPr>
          <w:sz w:val="18"/>
        </w:rPr>
      </w:pPr>
      <w:r>
        <w:rPr/>
        <w:drawing>
          <wp:anchor distT="0" distB="0" distL="0" distR="0" allowOverlap="1" layoutInCell="1" locked="0" behindDoc="1" simplePos="0" relativeHeight="475976192">
            <wp:simplePos x="0" y="0"/>
            <wp:positionH relativeFrom="page">
              <wp:posOffset>1054901</wp:posOffset>
            </wp:positionH>
            <wp:positionV relativeFrom="paragraph">
              <wp:posOffset>337711</wp:posOffset>
            </wp:positionV>
            <wp:extent cx="58380" cy="72151"/>
            <wp:effectExtent l="0" t="0" r="0" b="0"/>
            <wp:wrapNone/>
            <wp:docPr id="1297" name="image13.png"/>
            <wp:cNvGraphicFramePr>
              <a:graphicFrameLocks noChangeAspect="1"/>
            </wp:cNvGraphicFramePr>
            <a:graphic>
              <a:graphicData uri="http://schemas.openxmlformats.org/drawingml/2006/picture">
                <pic:pic>
                  <pic:nvPicPr>
                    <pic:cNvPr id="129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Communicate electronically with other providers (6)</w:t>
      </w:r>
      <w:r>
        <w:rPr>
          <w:spacing w:val="-48"/>
          <w:sz w:val="18"/>
        </w:rPr>
        <w:t> </w:t>
      </w:r>
      <w:r>
        <w:rPr>
          <w:sz w:val="18"/>
        </w:rPr>
        <w:t>Very</w:t>
      </w:r>
      <w:r>
        <w:rPr>
          <w:spacing w:val="-2"/>
          <w:sz w:val="18"/>
        </w:rPr>
        <w:t> </w:t>
      </w:r>
      <w:r>
        <w:rPr>
          <w:sz w:val="18"/>
        </w:rPr>
        <w:t>easy</w:t>
      </w:r>
      <w:r>
        <w:rPr>
          <w:spacing w:val="4"/>
          <w:sz w:val="18"/>
        </w:rPr>
        <w:t> </w:t>
      </w:r>
      <w:r>
        <w:rPr>
          <w:sz w:val="18"/>
        </w:rPr>
        <w:t>(1)</w:t>
      </w:r>
    </w:p>
    <w:p>
      <w:pPr>
        <w:spacing w:before="2"/>
        <w:ind w:left="1697" w:right="0" w:firstLine="0"/>
        <w:jc w:val="left"/>
        <w:rPr>
          <w:sz w:val="18"/>
        </w:rPr>
      </w:pPr>
      <w:r>
        <w:rPr/>
        <w:drawing>
          <wp:anchor distT="0" distB="0" distL="0" distR="0" allowOverlap="1" layoutInCell="1" locked="0" behindDoc="0" simplePos="0" relativeHeight="15944704">
            <wp:simplePos x="0" y="0"/>
            <wp:positionH relativeFrom="page">
              <wp:posOffset>1054901</wp:posOffset>
            </wp:positionH>
            <wp:positionV relativeFrom="paragraph">
              <wp:posOffset>45739</wp:posOffset>
            </wp:positionV>
            <wp:extent cx="58380" cy="72150"/>
            <wp:effectExtent l="0" t="0" r="0" b="0"/>
            <wp:wrapNone/>
            <wp:docPr id="1299" name="image13.png"/>
            <wp:cNvGraphicFramePr>
              <a:graphicFrameLocks noChangeAspect="1"/>
            </wp:cNvGraphicFramePr>
            <a:graphic>
              <a:graphicData uri="http://schemas.openxmlformats.org/drawingml/2006/picture">
                <pic:pic>
                  <pic:nvPicPr>
                    <pic:cNvPr id="1300" name="image13.png"/>
                    <pic:cNvPicPr/>
                  </pic:nvPicPr>
                  <pic:blipFill>
                    <a:blip r:embed="rId41" cstate="print"/>
                    <a:stretch>
                      <a:fillRect/>
                    </a:stretch>
                  </pic:blipFill>
                  <pic:spPr>
                    <a:xfrm>
                      <a:off x="0" y="0"/>
                      <a:ext cx="58380" cy="72150"/>
                    </a:xfrm>
                    <a:prstGeom prst="rect">
                      <a:avLst/>
                    </a:prstGeom>
                  </pic:spPr>
                </pic:pic>
              </a:graphicData>
            </a:graphic>
          </wp:anchor>
        </w:drawing>
      </w:r>
      <w:r>
        <w:rPr>
          <w:sz w:val="18"/>
        </w:rPr>
        <w:t>Somewhat</w:t>
      </w:r>
      <w:r>
        <w:rPr>
          <w:spacing w:val="-6"/>
          <w:sz w:val="18"/>
        </w:rPr>
        <w:t> </w:t>
      </w:r>
      <w:r>
        <w:rPr>
          <w:sz w:val="18"/>
        </w:rPr>
        <w:t>easy</w:t>
      </w:r>
      <w:r>
        <w:rPr>
          <w:spacing w:val="1"/>
          <w:sz w:val="18"/>
        </w:rPr>
        <w:t> </w:t>
      </w:r>
      <w:r>
        <w:rPr>
          <w:sz w:val="18"/>
        </w:rPr>
        <w:t>(2)</w:t>
      </w:r>
    </w:p>
    <w:p>
      <w:pPr>
        <w:spacing w:before="120"/>
        <w:ind w:left="1697" w:right="0" w:firstLine="0"/>
        <w:jc w:val="left"/>
        <w:rPr>
          <w:sz w:val="18"/>
        </w:rPr>
      </w:pPr>
      <w:r>
        <w:rPr/>
        <w:drawing>
          <wp:anchor distT="0" distB="0" distL="0" distR="0" allowOverlap="1" layoutInCell="1" locked="0" behindDoc="0" simplePos="0" relativeHeight="15945216">
            <wp:simplePos x="0" y="0"/>
            <wp:positionH relativeFrom="page">
              <wp:posOffset>1054901</wp:posOffset>
            </wp:positionH>
            <wp:positionV relativeFrom="paragraph">
              <wp:posOffset>120668</wp:posOffset>
            </wp:positionV>
            <wp:extent cx="58380" cy="72151"/>
            <wp:effectExtent l="0" t="0" r="0" b="0"/>
            <wp:wrapNone/>
            <wp:docPr id="1301" name="image13.png"/>
            <wp:cNvGraphicFramePr>
              <a:graphicFrameLocks noChangeAspect="1"/>
            </wp:cNvGraphicFramePr>
            <a:graphic>
              <a:graphicData uri="http://schemas.openxmlformats.org/drawingml/2006/picture">
                <pic:pic>
                  <pic:nvPicPr>
                    <pic:cNvPr id="130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w:t>
      </w:r>
      <w:r>
        <w:rPr>
          <w:spacing w:val="-7"/>
          <w:sz w:val="18"/>
        </w:rPr>
        <w:t> </w:t>
      </w:r>
      <w:r>
        <w:rPr>
          <w:sz w:val="18"/>
        </w:rPr>
        <w:t>difficult</w:t>
      </w:r>
      <w:r>
        <w:rPr>
          <w:spacing w:val="-3"/>
          <w:sz w:val="18"/>
        </w:rPr>
        <w:t> </w:t>
      </w:r>
      <w:r>
        <w:rPr>
          <w:sz w:val="18"/>
        </w:rPr>
        <w:t>(3)</w:t>
      </w:r>
    </w:p>
    <w:p>
      <w:pPr>
        <w:spacing w:before="120"/>
        <w:ind w:left="1697" w:right="0" w:firstLine="0"/>
        <w:jc w:val="left"/>
        <w:rPr>
          <w:sz w:val="18"/>
        </w:rPr>
      </w:pPr>
      <w:r>
        <w:rPr/>
        <w:drawing>
          <wp:anchor distT="0" distB="0" distL="0" distR="0" allowOverlap="1" layoutInCell="1" locked="0" behindDoc="0" simplePos="0" relativeHeight="15945728">
            <wp:simplePos x="0" y="0"/>
            <wp:positionH relativeFrom="page">
              <wp:posOffset>1054901</wp:posOffset>
            </wp:positionH>
            <wp:positionV relativeFrom="paragraph">
              <wp:posOffset>120669</wp:posOffset>
            </wp:positionV>
            <wp:extent cx="58380" cy="72151"/>
            <wp:effectExtent l="0" t="0" r="0" b="0"/>
            <wp:wrapNone/>
            <wp:docPr id="1303" name="image13.png"/>
            <wp:cNvGraphicFramePr>
              <a:graphicFrameLocks noChangeAspect="1"/>
            </wp:cNvGraphicFramePr>
            <a:graphic>
              <a:graphicData uri="http://schemas.openxmlformats.org/drawingml/2006/picture">
                <pic:pic>
                  <pic:nvPicPr>
                    <pic:cNvPr id="130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Very</w:t>
      </w:r>
      <w:r>
        <w:rPr>
          <w:spacing w:val="-4"/>
          <w:sz w:val="18"/>
        </w:rPr>
        <w:t> </w:t>
      </w:r>
      <w:r>
        <w:rPr>
          <w:sz w:val="18"/>
        </w:rPr>
        <w:t>difficult</w:t>
      </w:r>
      <w:r>
        <w:rPr>
          <w:spacing w:val="-4"/>
          <w:sz w:val="18"/>
        </w:rPr>
        <w:t> </w:t>
      </w:r>
      <w:r>
        <w:rPr>
          <w:sz w:val="18"/>
        </w:rPr>
        <w:t>(4)</w:t>
      </w:r>
    </w:p>
    <w:p>
      <w:pPr>
        <w:spacing w:before="120"/>
        <w:ind w:left="1697" w:right="0" w:firstLine="0"/>
        <w:jc w:val="left"/>
        <w:rPr>
          <w:sz w:val="18"/>
        </w:rPr>
      </w:pPr>
      <w:r>
        <w:rPr/>
        <w:drawing>
          <wp:anchor distT="0" distB="0" distL="0" distR="0" allowOverlap="1" layoutInCell="1" locked="0" behindDoc="0" simplePos="0" relativeHeight="15946240">
            <wp:simplePos x="0" y="0"/>
            <wp:positionH relativeFrom="page">
              <wp:posOffset>1054901</wp:posOffset>
            </wp:positionH>
            <wp:positionV relativeFrom="paragraph">
              <wp:posOffset>120668</wp:posOffset>
            </wp:positionV>
            <wp:extent cx="58380" cy="72151"/>
            <wp:effectExtent l="0" t="0" r="0" b="0"/>
            <wp:wrapNone/>
            <wp:docPr id="1305" name="image13.png"/>
            <wp:cNvGraphicFramePr>
              <a:graphicFrameLocks noChangeAspect="1"/>
            </wp:cNvGraphicFramePr>
            <a:graphic>
              <a:graphicData uri="http://schemas.openxmlformats.org/drawingml/2006/picture">
                <pic:pic>
                  <pic:nvPicPr>
                    <pic:cNvPr id="130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Not</w:t>
      </w:r>
      <w:r>
        <w:rPr>
          <w:spacing w:val="-6"/>
          <w:sz w:val="18"/>
        </w:rPr>
        <w:t> </w:t>
      </w:r>
      <w:r>
        <w:rPr>
          <w:sz w:val="18"/>
        </w:rPr>
        <w:t>applicable (5)</w:t>
      </w:r>
    </w:p>
    <w:p>
      <w:pPr>
        <w:pStyle w:val="ListParagraph"/>
        <w:numPr>
          <w:ilvl w:val="0"/>
          <w:numId w:val="90"/>
        </w:numPr>
        <w:tabs>
          <w:tab w:pos="1141" w:val="left" w:leader="none"/>
        </w:tabs>
        <w:spacing w:line="369" w:lineRule="auto" w:before="120" w:after="0"/>
        <w:ind w:left="1697" w:right="3011" w:hanging="918"/>
        <w:jc w:val="left"/>
        <w:rPr>
          <w:sz w:val="18"/>
        </w:rPr>
      </w:pPr>
      <w:r>
        <w:rPr/>
        <w:drawing>
          <wp:anchor distT="0" distB="0" distL="0" distR="0" allowOverlap="1" layoutInCell="1" locked="0" behindDoc="1" simplePos="0" relativeHeight="475978752">
            <wp:simplePos x="0" y="0"/>
            <wp:positionH relativeFrom="page">
              <wp:posOffset>1054901</wp:posOffset>
            </wp:positionH>
            <wp:positionV relativeFrom="paragraph">
              <wp:posOffset>337076</wp:posOffset>
            </wp:positionV>
            <wp:extent cx="58380" cy="72151"/>
            <wp:effectExtent l="0" t="0" r="0" b="0"/>
            <wp:wrapNone/>
            <wp:docPr id="1307" name="image13.png"/>
            <wp:cNvGraphicFramePr>
              <a:graphicFrameLocks noChangeAspect="1"/>
            </wp:cNvGraphicFramePr>
            <a:graphic>
              <a:graphicData uri="http://schemas.openxmlformats.org/drawingml/2006/picture">
                <pic:pic>
                  <pic:nvPicPr>
                    <pic:cNvPr id="130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Send</w:t>
      </w:r>
      <w:r>
        <w:rPr>
          <w:spacing w:val="-5"/>
          <w:sz w:val="18"/>
        </w:rPr>
        <w:t> </w:t>
      </w:r>
      <w:r>
        <w:rPr>
          <w:sz w:val="18"/>
        </w:rPr>
        <w:t>or</w:t>
      </w:r>
      <w:r>
        <w:rPr>
          <w:spacing w:val="-3"/>
          <w:sz w:val="18"/>
        </w:rPr>
        <w:t> </w:t>
      </w:r>
      <w:r>
        <w:rPr>
          <w:sz w:val="18"/>
        </w:rPr>
        <w:t>print</w:t>
      </w:r>
      <w:r>
        <w:rPr>
          <w:spacing w:val="-5"/>
          <w:sz w:val="18"/>
        </w:rPr>
        <w:t> </w:t>
      </w:r>
      <w:r>
        <w:rPr>
          <w:sz w:val="18"/>
        </w:rPr>
        <w:t>after-visit</w:t>
      </w:r>
      <w:r>
        <w:rPr>
          <w:spacing w:val="-6"/>
          <w:sz w:val="18"/>
        </w:rPr>
        <w:t> </w:t>
      </w:r>
      <w:r>
        <w:rPr>
          <w:sz w:val="18"/>
        </w:rPr>
        <w:t>summaries,</w:t>
      </w:r>
      <w:r>
        <w:rPr>
          <w:spacing w:val="-6"/>
          <w:sz w:val="18"/>
        </w:rPr>
        <w:t> </w:t>
      </w:r>
      <w:r>
        <w:rPr>
          <w:sz w:val="18"/>
        </w:rPr>
        <w:t>instructions,</w:t>
      </w:r>
      <w:r>
        <w:rPr>
          <w:spacing w:val="-6"/>
          <w:sz w:val="18"/>
        </w:rPr>
        <w:t> </w:t>
      </w:r>
      <w:r>
        <w:rPr>
          <w:sz w:val="18"/>
        </w:rPr>
        <w:t>educational</w:t>
      </w:r>
      <w:r>
        <w:rPr>
          <w:spacing w:val="-4"/>
          <w:sz w:val="18"/>
        </w:rPr>
        <w:t> </w:t>
      </w:r>
      <w:r>
        <w:rPr>
          <w:sz w:val="18"/>
        </w:rPr>
        <w:t>information</w:t>
      </w:r>
      <w:r>
        <w:rPr>
          <w:spacing w:val="-4"/>
          <w:sz w:val="18"/>
        </w:rPr>
        <w:t> </w:t>
      </w:r>
      <w:r>
        <w:rPr>
          <w:sz w:val="18"/>
        </w:rPr>
        <w:t>for</w:t>
      </w:r>
      <w:r>
        <w:rPr>
          <w:spacing w:val="-5"/>
          <w:sz w:val="18"/>
        </w:rPr>
        <w:t> </w:t>
      </w:r>
      <w:r>
        <w:rPr>
          <w:sz w:val="18"/>
        </w:rPr>
        <w:t>patients</w:t>
      </w:r>
      <w:r>
        <w:rPr>
          <w:spacing w:val="-4"/>
          <w:sz w:val="18"/>
        </w:rPr>
        <w:t> </w:t>
      </w:r>
      <w:r>
        <w:rPr>
          <w:sz w:val="18"/>
        </w:rPr>
        <w:t>(7)</w:t>
      </w:r>
      <w:r>
        <w:rPr>
          <w:spacing w:val="-47"/>
          <w:sz w:val="18"/>
        </w:rPr>
        <w:t> </w:t>
      </w:r>
      <w:r>
        <w:rPr>
          <w:sz w:val="18"/>
        </w:rPr>
        <w:t>Very</w:t>
      </w:r>
      <w:r>
        <w:rPr>
          <w:spacing w:val="-2"/>
          <w:sz w:val="18"/>
        </w:rPr>
        <w:t> </w:t>
      </w:r>
      <w:r>
        <w:rPr>
          <w:sz w:val="18"/>
        </w:rPr>
        <w:t>easy</w:t>
      </w:r>
      <w:r>
        <w:rPr>
          <w:spacing w:val="4"/>
          <w:sz w:val="18"/>
        </w:rPr>
        <w:t> </w:t>
      </w:r>
      <w:r>
        <w:rPr>
          <w:sz w:val="18"/>
        </w:rPr>
        <w:t>(1)</w:t>
      </w:r>
    </w:p>
    <w:p>
      <w:pPr>
        <w:spacing w:before="2"/>
        <w:ind w:left="1697" w:right="0" w:firstLine="0"/>
        <w:jc w:val="left"/>
        <w:rPr>
          <w:sz w:val="18"/>
        </w:rPr>
      </w:pPr>
      <w:r>
        <w:rPr/>
        <w:drawing>
          <wp:anchor distT="0" distB="0" distL="0" distR="0" allowOverlap="1" layoutInCell="1" locked="0" behindDoc="0" simplePos="0" relativeHeight="15947264">
            <wp:simplePos x="0" y="0"/>
            <wp:positionH relativeFrom="page">
              <wp:posOffset>1054901</wp:posOffset>
            </wp:positionH>
            <wp:positionV relativeFrom="paragraph">
              <wp:posOffset>45738</wp:posOffset>
            </wp:positionV>
            <wp:extent cx="58380" cy="72151"/>
            <wp:effectExtent l="0" t="0" r="0" b="0"/>
            <wp:wrapNone/>
            <wp:docPr id="1309" name="image13.png"/>
            <wp:cNvGraphicFramePr>
              <a:graphicFrameLocks noChangeAspect="1"/>
            </wp:cNvGraphicFramePr>
            <a:graphic>
              <a:graphicData uri="http://schemas.openxmlformats.org/drawingml/2006/picture">
                <pic:pic>
                  <pic:nvPicPr>
                    <pic:cNvPr id="131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w:t>
      </w:r>
      <w:r>
        <w:rPr>
          <w:spacing w:val="-6"/>
          <w:sz w:val="18"/>
        </w:rPr>
        <w:t> </w:t>
      </w:r>
      <w:r>
        <w:rPr>
          <w:sz w:val="18"/>
        </w:rPr>
        <w:t>easy</w:t>
      </w:r>
      <w:r>
        <w:rPr>
          <w:spacing w:val="1"/>
          <w:sz w:val="18"/>
        </w:rPr>
        <w:t> </w:t>
      </w:r>
      <w:r>
        <w:rPr>
          <w:sz w:val="18"/>
        </w:rPr>
        <w:t>(2)</w:t>
      </w:r>
    </w:p>
    <w:p>
      <w:pPr>
        <w:spacing w:before="121"/>
        <w:ind w:left="1697" w:right="0" w:firstLine="0"/>
        <w:jc w:val="left"/>
        <w:rPr>
          <w:sz w:val="18"/>
        </w:rPr>
      </w:pPr>
      <w:r>
        <w:rPr/>
        <w:drawing>
          <wp:anchor distT="0" distB="0" distL="0" distR="0" allowOverlap="1" layoutInCell="1" locked="0" behindDoc="0" simplePos="0" relativeHeight="15947776">
            <wp:simplePos x="0" y="0"/>
            <wp:positionH relativeFrom="page">
              <wp:posOffset>1054901</wp:posOffset>
            </wp:positionH>
            <wp:positionV relativeFrom="paragraph">
              <wp:posOffset>120856</wp:posOffset>
            </wp:positionV>
            <wp:extent cx="58380" cy="73869"/>
            <wp:effectExtent l="0" t="0" r="0" b="0"/>
            <wp:wrapNone/>
            <wp:docPr id="1311" name="image14.png"/>
            <wp:cNvGraphicFramePr>
              <a:graphicFrameLocks noChangeAspect="1"/>
            </wp:cNvGraphicFramePr>
            <a:graphic>
              <a:graphicData uri="http://schemas.openxmlformats.org/drawingml/2006/picture">
                <pic:pic>
                  <pic:nvPicPr>
                    <pic:cNvPr id="1312"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Somewhat</w:t>
      </w:r>
      <w:r>
        <w:rPr>
          <w:spacing w:val="-7"/>
          <w:sz w:val="18"/>
        </w:rPr>
        <w:t> </w:t>
      </w:r>
      <w:r>
        <w:rPr>
          <w:sz w:val="18"/>
        </w:rPr>
        <w:t>difficult</w:t>
      </w:r>
      <w:r>
        <w:rPr>
          <w:spacing w:val="-3"/>
          <w:sz w:val="18"/>
        </w:rPr>
        <w:t> </w:t>
      </w:r>
      <w:r>
        <w:rPr>
          <w:sz w:val="18"/>
        </w:rPr>
        <w:t>(3)</w:t>
      </w:r>
    </w:p>
    <w:p>
      <w:pPr>
        <w:spacing w:before="120"/>
        <w:ind w:left="1697" w:right="0" w:firstLine="0"/>
        <w:jc w:val="left"/>
        <w:rPr>
          <w:sz w:val="18"/>
        </w:rPr>
      </w:pPr>
      <w:r>
        <w:rPr/>
        <w:drawing>
          <wp:anchor distT="0" distB="0" distL="0" distR="0" allowOverlap="1" layoutInCell="1" locked="0" behindDoc="0" simplePos="0" relativeHeight="15948288">
            <wp:simplePos x="0" y="0"/>
            <wp:positionH relativeFrom="page">
              <wp:posOffset>1054901</wp:posOffset>
            </wp:positionH>
            <wp:positionV relativeFrom="paragraph">
              <wp:posOffset>120414</wp:posOffset>
            </wp:positionV>
            <wp:extent cx="58380" cy="72151"/>
            <wp:effectExtent l="0" t="0" r="0" b="0"/>
            <wp:wrapNone/>
            <wp:docPr id="1313" name="image13.png"/>
            <wp:cNvGraphicFramePr>
              <a:graphicFrameLocks noChangeAspect="1"/>
            </wp:cNvGraphicFramePr>
            <a:graphic>
              <a:graphicData uri="http://schemas.openxmlformats.org/drawingml/2006/picture">
                <pic:pic>
                  <pic:nvPicPr>
                    <pic:cNvPr id="131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Very</w:t>
      </w:r>
      <w:r>
        <w:rPr>
          <w:spacing w:val="-4"/>
          <w:sz w:val="18"/>
        </w:rPr>
        <w:t> </w:t>
      </w:r>
      <w:r>
        <w:rPr>
          <w:sz w:val="18"/>
        </w:rPr>
        <w:t>difficult</w:t>
      </w:r>
      <w:r>
        <w:rPr>
          <w:spacing w:val="-4"/>
          <w:sz w:val="18"/>
        </w:rPr>
        <w:t> </w:t>
      </w:r>
      <w:r>
        <w:rPr>
          <w:sz w:val="18"/>
        </w:rPr>
        <w:t>(4)</w:t>
      </w:r>
    </w:p>
    <w:p>
      <w:pPr>
        <w:spacing w:before="120"/>
        <w:ind w:left="1697" w:right="0" w:firstLine="0"/>
        <w:jc w:val="left"/>
        <w:rPr>
          <w:sz w:val="18"/>
        </w:rPr>
      </w:pPr>
      <w:r>
        <w:rPr/>
        <w:drawing>
          <wp:anchor distT="0" distB="0" distL="0" distR="0" allowOverlap="1" layoutInCell="1" locked="0" behindDoc="0" simplePos="0" relativeHeight="15948800">
            <wp:simplePos x="0" y="0"/>
            <wp:positionH relativeFrom="page">
              <wp:posOffset>1054901</wp:posOffset>
            </wp:positionH>
            <wp:positionV relativeFrom="paragraph">
              <wp:posOffset>120414</wp:posOffset>
            </wp:positionV>
            <wp:extent cx="58380" cy="72151"/>
            <wp:effectExtent l="0" t="0" r="0" b="0"/>
            <wp:wrapNone/>
            <wp:docPr id="1315" name="image13.png"/>
            <wp:cNvGraphicFramePr>
              <a:graphicFrameLocks noChangeAspect="1"/>
            </wp:cNvGraphicFramePr>
            <a:graphic>
              <a:graphicData uri="http://schemas.openxmlformats.org/drawingml/2006/picture">
                <pic:pic>
                  <pic:nvPicPr>
                    <pic:cNvPr id="131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Not</w:t>
      </w:r>
      <w:r>
        <w:rPr>
          <w:spacing w:val="-6"/>
          <w:sz w:val="18"/>
        </w:rPr>
        <w:t> </w:t>
      </w:r>
      <w:r>
        <w:rPr>
          <w:sz w:val="18"/>
        </w:rPr>
        <w:t>applicable (5)</w:t>
      </w:r>
    </w:p>
    <w:p>
      <w:pPr>
        <w:pStyle w:val="ListParagraph"/>
        <w:numPr>
          <w:ilvl w:val="0"/>
          <w:numId w:val="90"/>
        </w:numPr>
        <w:tabs>
          <w:tab w:pos="1141" w:val="left" w:leader="none"/>
        </w:tabs>
        <w:spacing w:line="367" w:lineRule="auto" w:before="120" w:after="0"/>
        <w:ind w:left="1697" w:right="6712" w:hanging="918"/>
        <w:jc w:val="left"/>
        <w:rPr>
          <w:sz w:val="18"/>
        </w:rPr>
      </w:pPr>
      <w:r>
        <w:rPr/>
        <w:drawing>
          <wp:anchor distT="0" distB="0" distL="0" distR="0" allowOverlap="1" layoutInCell="1" locked="0" behindDoc="1" simplePos="0" relativeHeight="475981312">
            <wp:simplePos x="0" y="0"/>
            <wp:positionH relativeFrom="page">
              <wp:posOffset>1054901</wp:posOffset>
            </wp:positionH>
            <wp:positionV relativeFrom="paragraph">
              <wp:posOffset>335105</wp:posOffset>
            </wp:positionV>
            <wp:extent cx="58380" cy="73869"/>
            <wp:effectExtent l="0" t="0" r="0" b="0"/>
            <wp:wrapNone/>
            <wp:docPr id="1317" name="image14.png"/>
            <wp:cNvGraphicFramePr>
              <a:graphicFrameLocks noChangeAspect="1"/>
            </wp:cNvGraphicFramePr>
            <a:graphic>
              <a:graphicData uri="http://schemas.openxmlformats.org/drawingml/2006/picture">
                <pic:pic>
                  <pic:nvPicPr>
                    <pic:cNvPr id="1318"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Send or receive messages from patients (8)</w:t>
      </w:r>
      <w:r>
        <w:rPr>
          <w:spacing w:val="-48"/>
          <w:sz w:val="18"/>
        </w:rPr>
        <w:t> </w:t>
      </w:r>
      <w:r>
        <w:rPr>
          <w:sz w:val="18"/>
        </w:rPr>
        <w:t>Very</w:t>
      </w:r>
      <w:r>
        <w:rPr>
          <w:spacing w:val="-2"/>
          <w:sz w:val="18"/>
        </w:rPr>
        <w:t> </w:t>
      </w:r>
      <w:r>
        <w:rPr>
          <w:sz w:val="18"/>
        </w:rPr>
        <w:t>easy</w:t>
      </w:r>
      <w:r>
        <w:rPr>
          <w:spacing w:val="4"/>
          <w:sz w:val="18"/>
        </w:rPr>
        <w:t> </w:t>
      </w:r>
      <w:r>
        <w:rPr>
          <w:sz w:val="18"/>
        </w:rPr>
        <w:t>(1)</w:t>
      </w:r>
    </w:p>
    <w:p>
      <w:pPr>
        <w:spacing w:before="4"/>
        <w:ind w:left="1697" w:right="0" w:firstLine="0"/>
        <w:jc w:val="left"/>
        <w:rPr>
          <w:sz w:val="18"/>
        </w:rPr>
      </w:pPr>
      <w:r>
        <w:rPr/>
        <w:drawing>
          <wp:anchor distT="0" distB="0" distL="0" distR="0" allowOverlap="1" layoutInCell="1" locked="0" behindDoc="0" simplePos="0" relativeHeight="15949824">
            <wp:simplePos x="0" y="0"/>
            <wp:positionH relativeFrom="page">
              <wp:posOffset>1054901</wp:posOffset>
            </wp:positionH>
            <wp:positionV relativeFrom="paragraph">
              <wp:posOffset>46754</wp:posOffset>
            </wp:positionV>
            <wp:extent cx="58380" cy="72151"/>
            <wp:effectExtent l="0" t="0" r="0" b="0"/>
            <wp:wrapNone/>
            <wp:docPr id="1319" name="image13.png"/>
            <wp:cNvGraphicFramePr>
              <a:graphicFrameLocks noChangeAspect="1"/>
            </wp:cNvGraphicFramePr>
            <a:graphic>
              <a:graphicData uri="http://schemas.openxmlformats.org/drawingml/2006/picture">
                <pic:pic>
                  <pic:nvPicPr>
                    <pic:cNvPr id="132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w:t>
      </w:r>
      <w:r>
        <w:rPr>
          <w:spacing w:val="-6"/>
          <w:sz w:val="18"/>
        </w:rPr>
        <w:t> </w:t>
      </w:r>
      <w:r>
        <w:rPr>
          <w:sz w:val="18"/>
        </w:rPr>
        <w:t>easy</w:t>
      </w:r>
      <w:r>
        <w:rPr>
          <w:spacing w:val="1"/>
          <w:sz w:val="18"/>
        </w:rPr>
        <w:t> </w:t>
      </w:r>
      <w:r>
        <w:rPr>
          <w:sz w:val="18"/>
        </w:rPr>
        <w:t>(2)</w:t>
      </w:r>
    </w:p>
    <w:p>
      <w:pPr>
        <w:spacing w:before="120"/>
        <w:ind w:left="1697" w:right="0" w:firstLine="0"/>
        <w:jc w:val="left"/>
        <w:rPr>
          <w:sz w:val="18"/>
        </w:rPr>
      </w:pPr>
      <w:r>
        <w:rPr/>
        <w:drawing>
          <wp:anchor distT="0" distB="0" distL="0" distR="0" allowOverlap="1" layoutInCell="1" locked="0" behindDoc="0" simplePos="0" relativeHeight="15950336">
            <wp:simplePos x="0" y="0"/>
            <wp:positionH relativeFrom="page">
              <wp:posOffset>1054901</wp:posOffset>
            </wp:positionH>
            <wp:positionV relativeFrom="paragraph">
              <wp:posOffset>120414</wp:posOffset>
            </wp:positionV>
            <wp:extent cx="58380" cy="72151"/>
            <wp:effectExtent l="0" t="0" r="0" b="0"/>
            <wp:wrapNone/>
            <wp:docPr id="1321" name="image13.png"/>
            <wp:cNvGraphicFramePr>
              <a:graphicFrameLocks noChangeAspect="1"/>
            </wp:cNvGraphicFramePr>
            <a:graphic>
              <a:graphicData uri="http://schemas.openxmlformats.org/drawingml/2006/picture">
                <pic:pic>
                  <pic:nvPicPr>
                    <pic:cNvPr id="132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w:t>
      </w:r>
      <w:r>
        <w:rPr>
          <w:spacing w:val="-7"/>
          <w:sz w:val="18"/>
        </w:rPr>
        <w:t> </w:t>
      </w:r>
      <w:r>
        <w:rPr>
          <w:sz w:val="18"/>
        </w:rPr>
        <w:t>difficult</w:t>
      </w:r>
      <w:r>
        <w:rPr>
          <w:spacing w:val="-3"/>
          <w:sz w:val="18"/>
        </w:rPr>
        <w:t> </w:t>
      </w:r>
      <w:r>
        <w:rPr>
          <w:sz w:val="18"/>
        </w:rPr>
        <w:t>(3)</w:t>
      </w:r>
    </w:p>
    <w:p>
      <w:pPr>
        <w:spacing w:before="120"/>
        <w:ind w:left="1697" w:right="0" w:firstLine="0"/>
        <w:jc w:val="left"/>
        <w:rPr>
          <w:sz w:val="18"/>
        </w:rPr>
      </w:pPr>
      <w:r>
        <w:rPr/>
        <w:drawing>
          <wp:anchor distT="0" distB="0" distL="0" distR="0" allowOverlap="1" layoutInCell="1" locked="0" behindDoc="0" simplePos="0" relativeHeight="15950848">
            <wp:simplePos x="0" y="0"/>
            <wp:positionH relativeFrom="page">
              <wp:posOffset>1054901</wp:posOffset>
            </wp:positionH>
            <wp:positionV relativeFrom="paragraph">
              <wp:posOffset>120414</wp:posOffset>
            </wp:positionV>
            <wp:extent cx="58380" cy="72151"/>
            <wp:effectExtent l="0" t="0" r="0" b="0"/>
            <wp:wrapNone/>
            <wp:docPr id="1323" name="image13.png"/>
            <wp:cNvGraphicFramePr>
              <a:graphicFrameLocks noChangeAspect="1"/>
            </wp:cNvGraphicFramePr>
            <a:graphic>
              <a:graphicData uri="http://schemas.openxmlformats.org/drawingml/2006/picture">
                <pic:pic>
                  <pic:nvPicPr>
                    <pic:cNvPr id="132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Very</w:t>
      </w:r>
      <w:r>
        <w:rPr>
          <w:spacing w:val="-4"/>
          <w:sz w:val="18"/>
        </w:rPr>
        <w:t> </w:t>
      </w:r>
      <w:r>
        <w:rPr>
          <w:sz w:val="18"/>
        </w:rPr>
        <w:t>difficult</w:t>
      </w:r>
      <w:r>
        <w:rPr>
          <w:spacing w:val="-4"/>
          <w:sz w:val="18"/>
        </w:rPr>
        <w:t> </w:t>
      </w:r>
      <w:r>
        <w:rPr>
          <w:sz w:val="18"/>
        </w:rPr>
        <w:t>(4)</w:t>
      </w:r>
    </w:p>
    <w:p>
      <w:pPr>
        <w:spacing w:before="120"/>
        <w:ind w:left="1697" w:right="0" w:firstLine="0"/>
        <w:jc w:val="left"/>
        <w:rPr>
          <w:sz w:val="18"/>
        </w:rPr>
      </w:pPr>
      <w:r>
        <w:rPr/>
        <w:drawing>
          <wp:anchor distT="0" distB="0" distL="0" distR="0" allowOverlap="1" layoutInCell="1" locked="0" behindDoc="0" simplePos="0" relativeHeight="15951360">
            <wp:simplePos x="0" y="0"/>
            <wp:positionH relativeFrom="page">
              <wp:posOffset>1054901</wp:posOffset>
            </wp:positionH>
            <wp:positionV relativeFrom="paragraph">
              <wp:posOffset>120415</wp:posOffset>
            </wp:positionV>
            <wp:extent cx="58380" cy="72151"/>
            <wp:effectExtent l="0" t="0" r="0" b="0"/>
            <wp:wrapNone/>
            <wp:docPr id="1325" name="image13.png"/>
            <wp:cNvGraphicFramePr>
              <a:graphicFrameLocks noChangeAspect="1"/>
            </wp:cNvGraphicFramePr>
            <a:graphic>
              <a:graphicData uri="http://schemas.openxmlformats.org/drawingml/2006/picture">
                <pic:pic>
                  <pic:nvPicPr>
                    <pic:cNvPr id="132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Not</w:t>
      </w:r>
      <w:r>
        <w:rPr>
          <w:spacing w:val="-6"/>
          <w:sz w:val="18"/>
        </w:rPr>
        <w:t> </w:t>
      </w:r>
      <w:r>
        <w:rPr>
          <w:sz w:val="18"/>
        </w:rPr>
        <w:t>applicable (5)</w:t>
      </w:r>
    </w:p>
    <w:p>
      <w:pPr>
        <w:pStyle w:val="ListParagraph"/>
        <w:numPr>
          <w:ilvl w:val="0"/>
          <w:numId w:val="90"/>
        </w:numPr>
        <w:tabs>
          <w:tab w:pos="1141" w:val="left" w:leader="none"/>
        </w:tabs>
        <w:spacing w:line="372" w:lineRule="auto" w:before="120" w:after="0"/>
        <w:ind w:left="1697" w:right="5762" w:hanging="918"/>
        <w:jc w:val="left"/>
        <w:rPr>
          <w:sz w:val="18"/>
        </w:rPr>
      </w:pPr>
      <w:r>
        <w:rPr/>
        <w:drawing>
          <wp:anchor distT="0" distB="0" distL="0" distR="0" allowOverlap="1" layoutInCell="1" locked="0" behindDoc="1" simplePos="0" relativeHeight="475983872">
            <wp:simplePos x="0" y="0"/>
            <wp:positionH relativeFrom="page">
              <wp:posOffset>1054901</wp:posOffset>
            </wp:positionH>
            <wp:positionV relativeFrom="paragraph">
              <wp:posOffset>336822</wp:posOffset>
            </wp:positionV>
            <wp:extent cx="58380" cy="72151"/>
            <wp:effectExtent l="0" t="0" r="0" b="0"/>
            <wp:wrapNone/>
            <wp:docPr id="1327" name="image13.png"/>
            <wp:cNvGraphicFramePr>
              <a:graphicFrameLocks noChangeAspect="1"/>
            </wp:cNvGraphicFramePr>
            <a:graphic>
              <a:graphicData uri="http://schemas.openxmlformats.org/drawingml/2006/picture">
                <pic:pic>
                  <pic:nvPicPr>
                    <pic:cNvPr id="132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Develop</w:t>
      </w:r>
      <w:r>
        <w:rPr>
          <w:spacing w:val="-5"/>
          <w:sz w:val="18"/>
        </w:rPr>
        <w:t> </w:t>
      </w:r>
      <w:r>
        <w:rPr>
          <w:sz w:val="18"/>
        </w:rPr>
        <w:t>a</w:t>
      </w:r>
      <w:r>
        <w:rPr>
          <w:spacing w:val="-4"/>
          <w:sz w:val="18"/>
        </w:rPr>
        <w:t> </w:t>
      </w:r>
      <w:r>
        <w:rPr>
          <w:sz w:val="18"/>
        </w:rPr>
        <w:t>care</w:t>
      </w:r>
      <w:r>
        <w:rPr>
          <w:spacing w:val="-4"/>
          <w:sz w:val="18"/>
        </w:rPr>
        <w:t> </w:t>
      </w:r>
      <w:r>
        <w:rPr>
          <w:sz w:val="18"/>
        </w:rPr>
        <w:t>plan/shared</w:t>
      </w:r>
      <w:r>
        <w:rPr>
          <w:spacing w:val="-5"/>
          <w:sz w:val="18"/>
        </w:rPr>
        <w:t> </w:t>
      </w:r>
      <w:r>
        <w:rPr>
          <w:sz w:val="18"/>
        </w:rPr>
        <w:t>care</w:t>
      </w:r>
      <w:r>
        <w:rPr>
          <w:spacing w:val="-4"/>
          <w:sz w:val="18"/>
        </w:rPr>
        <w:t> </w:t>
      </w:r>
      <w:r>
        <w:rPr>
          <w:sz w:val="18"/>
        </w:rPr>
        <w:t>plan</w:t>
      </w:r>
      <w:r>
        <w:rPr>
          <w:spacing w:val="-6"/>
          <w:sz w:val="18"/>
        </w:rPr>
        <w:t> </w:t>
      </w:r>
      <w:r>
        <w:rPr>
          <w:sz w:val="18"/>
        </w:rPr>
        <w:t>for</w:t>
      </w:r>
      <w:r>
        <w:rPr>
          <w:spacing w:val="-4"/>
          <w:sz w:val="18"/>
        </w:rPr>
        <w:t> </w:t>
      </w:r>
      <w:r>
        <w:rPr>
          <w:sz w:val="18"/>
        </w:rPr>
        <w:t>patients</w:t>
      </w:r>
      <w:r>
        <w:rPr>
          <w:spacing w:val="-2"/>
          <w:sz w:val="18"/>
        </w:rPr>
        <w:t> </w:t>
      </w:r>
      <w:r>
        <w:rPr>
          <w:sz w:val="18"/>
        </w:rPr>
        <w:t>(9)</w:t>
      </w:r>
      <w:r>
        <w:rPr>
          <w:spacing w:val="-46"/>
          <w:sz w:val="18"/>
        </w:rPr>
        <w:t> </w:t>
      </w:r>
      <w:r>
        <w:rPr>
          <w:sz w:val="18"/>
        </w:rPr>
        <w:t>Very</w:t>
      </w:r>
      <w:r>
        <w:rPr>
          <w:spacing w:val="-2"/>
          <w:sz w:val="18"/>
        </w:rPr>
        <w:t> </w:t>
      </w:r>
      <w:r>
        <w:rPr>
          <w:sz w:val="18"/>
        </w:rPr>
        <w:t>easy</w:t>
      </w:r>
      <w:r>
        <w:rPr>
          <w:spacing w:val="4"/>
          <w:sz w:val="18"/>
        </w:rPr>
        <w:t> </w:t>
      </w:r>
      <w:r>
        <w:rPr>
          <w:sz w:val="18"/>
        </w:rPr>
        <w:t>(1)</w:t>
      </w:r>
    </w:p>
    <w:p>
      <w:pPr>
        <w:spacing w:line="219" w:lineRule="exact" w:before="0"/>
        <w:ind w:left="1697" w:right="0" w:firstLine="0"/>
        <w:jc w:val="left"/>
        <w:rPr>
          <w:sz w:val="18"/>
        </w:rPr>
      </w:pPr>
      <w:r>
        <w:rPr/>
        <w:drawing>
          <wp:anchor distT="0" distB="0" distL="0" distR="0" allowOverlap="1" layoutInCell="1" locked="0" behindDoc="0" simplePos="0" relativeHeight="15952384">
            <wp:simplePos x="0" y="0"/>
            <wp:positionH relativeFrom="page">
              <wp:posOffset>1054901</wp:posOffset>
            </wp:positionH>
            <wp:positionV relativeFrom="paragraph">
              <wp:posOffset>42596</wp:posOffset>
            </wp:positionV>
            <wp:extent cx="58380" cy="72151"/>
            <wp:effectExtent l="0" t="0" r="0" b="0"/>
            <wp:wrapNone/>
            <wp:docPr id="1329" name="image13.png"/>
            <wp:cNvGraphicFramePr>
              <a:graphicFrameLocks noChangeAspect="1"/>
            </wp:cNvGraphicFramePr>
            <a:graphic>
              <a:graphicData uri="http://schemas.openxmlformats.org/drawingml/2006/picture">
                <pic:pic>
                  <pic:nvPicPr>
                    <pic:cNvPr id="133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w:t>
      </w:r>
      <w:r>
        <w:rPr>
          <w:spacing w:val="-6"/>
          <w:sz w:val="18"/>
        </w:rPr>
        <w:t> </w:t>
      </w:r>
      <w:r>
        <w:rPr>
          <w:sz w:val="18"/>
        </w:rPr>
        <w:t>easy</w:t>
      </w:r>
      <w:r>
        <w:rPr>
          <w:spacing w:val="1"/>
          <w:sz w:val="18"/>
        </w:rPr>
        <w:t> </w:t>
      </w:r>
      <w:r>
        <w:rPr>
          <w:sz w:val="18"/>
        </w:rPr>
        <w:t>(2)</w:t>
      </w:r>
    </w:p>
    <w:p>
      <w:pPr>
        <w:spacing w:before="120"/>
        <w:ind w:left="1697" w:right="0" w:firstLine="0"/>
        <w:jc w:val="left"/>
        <w:rPr>
          <w:sz w:val="18"/>
        </w:rPr>
      </w:pPr>
      <w:r>
        <w:rPr/>
        <w:drawing>
          <wp:anchor distT="0" distB="0" distL="0" distR="0" allowOverlap="1" layoutInCell="1" locked="0" behindDoc="0" simplePos="0" relativeHeight="15952896">
            <wp:simplePos x="0" y="0"/>
            <wp:positionH relativeFrom="page">
              <wp:posOffset>1054901</wp:posOffset>
            </wp:positionH>
            <wp:positionV relativeFrom="paragraph">
              <wp:posOffset>120033</wp:posOffset>
            </wp:positionV>
            <wp:extent cx="58380" cy="72151"/>
            <wp:effectExtent l="0" t="0" r="0" b="0"/>
            <wp:wrapNone/>
            <wp:docPr id="1331" name="image13.png"/>
            <wp:cNvGraphicFramePr>
              <a:graphicFrameLocks noChangeAspect="1"/>
            </wp:cNvGraphicFramePr>
            <a:graphic>
              <a:graphicData uri="http://schemas.openxmlformats.org/drawingml/2006/picture">
                <pic:pic>
                  <pic:nvPicPr>
                    <pic:cNvPr id="133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w:t>
      </w:r>
      <w:r>
        <w:rPr>
          <w:spacing w:val="-7"/>
          <w:sz w:val="18"/>
        </w:rPr>
        <w:t> </w:t>
      </w:r>
      <w:r>
        <w:rPr>
          <w:sz w:val="18"/>
        </w:rPr>
        <w:t>difficult</w:t>
      </w:r>
      <w:r>
        <w:rPr>
          <w:spacing w:val="-3"/>
          <w:sz w:val="18"/>
        </w:rPr>
        <w:t> </w:t>
      </w:r>
      <w:r>
        <w:rPr>
          <w:sz w:val="18"/>
        </w:rPr>
        <w:t>(3)</w:t>
      </w:r>
    </w:p>
    <w:p>
      <w:pPr>
        <w:spacing w:before="120"/>
        <w:ind w:left="1697" w:right="0" w:firstLine="0"/>
        <w:jc w:val="left"/>
        <w:rPr>
          <w:sz w:val="18"/>
        </w:rPr>
      </w:pPr>
      <w:r>
        <w:rPr/>
        <w:drawing>
          <wp:anchor distT="0" distB="0" distL="0" distR="0" allowOverlap="1" layoutInCell="1" locked="0" behindDoc="0" simplePos="0" relativeHeight="15953408">
            <wp:simplePos x="0" y="0"/>
            <wp:positionH relativeFrom="page">
              <wp:posOffset>1054901</wp:posOffset>
            </wp:positionH>
            <wp:positionV relativeFrom="paragraph">
              <wp:posOffset>120033</wp:posOffset>
            </wp:positionV>
            <wp:extent cx="58380" cy="72151"/>
            <wp:effectExtent l="0" t="0" r="0" b="0"/>
            <wp:wrapNone/>
            <wp:docPr id="1333" name="image13.png"/>
            <wp:cNvGraphicFramePr>
              <a:graphicFrameLocks noChangeAspect="1"/>
            </wp:cNvGraphicFramePr>
            <a:graphic>
              <a:graphicData uri="http://schemas.openxmlformats.org/drawingml/2006/picture">
                <pic:pic>
                  <pic:nvPicPr>
                    <pic:cNvPr id="133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Very</w:t>
      </w:r>
      <w:r>
        <w:rPr>
          <w:spacing w:val="-3"/>
          <w:sz w:val="18"/>
        </w:rPr>
        <w:t> </w:t>
      </w:r>
      <w:r>
        <w:rPr>
          <w:sz w:val="18"/>
        </w:rPr>
        <w:t>difficult</w:t>
      </w:r>
      <w:r>
        <w:rPr>
          <w:spacing w:val="-4"/>
          <w:sz w:val="18"/>
        </w:rPr>
        <w:t> </w:t>
      </w:r>
      <w:r>
        <w:rPr>
          <w:sz w:val="18"/>
        </w:rPr>
        <w:t>(4)</w:t>
      </w:r>
    </w:p>
    <w:p>
      <w:pPr>
        <w:spacing w:before="121"/>
        <w:ind w:left="1697" w:right="0" w:firstLine="0"/>
        <w:jc w:val="left"/>
        <w:rPr>
          <w:sz w:val="18"/>
        </w:rPr>
      </w:pPr>
      <w:r>
        <w:rPr/>
        <w:drawing>
          <wp:anchor distT="0" distB="0" distL="0" distR="0" allowOverlap="1" layoutInCell="1" locked="0" behindDoc="0" simplePos="0" relativeHeight="15953920">
            <wp:simplePos x="0" y="0"/>
            <wp:positionH relativeFrom="page">
              <wp:posOffset>1056425</wp:posOffset>
            </wp:positionH>
            <wp:positionV relativeFrom="paragraph">
              <wp:posOffset>120668</wp:posOffset>
            </wp:positionV>
            <wp:extent cx="58380" cy="72151"/>
            <wp:effectExtent l="0" t="0" r="0" b="0"/>
            <wp:wrapNone/>
            <wp:docPr id="1335" name="image13.png"/>
            <wp:cNvGraphicFramePr>
              <a:graphicFrameLocks noChangeAspect="1"/>
            </wp:cNvGraphicFramePr>
            <a:graphic>
              <a:graphicData uri="http://schemas.openxmlformats.org/drawingml/2006/picture">
                <pic:pic>
                  <pic:nvPicPr>
                    <pic:cNvPr id="133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Not</w:t>
      </w:r>
      <w:r>
        <w:rPr>
          <w:spacing w:val="-6"/>
          <w:sz w:val="18"/>
        </w:rPr>
        <w:t> </w:t>
      </w:r>
      <w:r>
        <w:rPr>
          <w:sz w:val="18"/>
        </w:rPr>
        <w:t>applicable (5)</w:t>
      </w:r>
    </w:p>
    <w:p>
      <w:pPr>
        <w:spacing w:after="0"/>
        <w:jc w:val="left"/>
        <w:rPr>
          <w:sz w:val="18"/>
        </w:rPr>
        <w:sectPr>
          <w:pgSz w:w="11910" w:h="16840"/>
          <w:pgMar w:header="0" w:footer="948" w:top="860" w:bottom="1140" w:left="300" w:right="0"/>
        </w:sectPr>
      </w:pPr>
    </w:p>
    <w:p>
      <w:pPr>
        <w:pStyle w:val="ListParagraph"/>
        <w:numPr>
          <w:ilvl w:val="0"/>
          <w:numId w:val="87"/>
        </w:numPr>
        <w:tabs>
          <w:tab w:pos="619" w:val="left" w:leader="none"/>
        </w:tabs>
        <w:spacing w:line="240" w:lineRule="auto" w:before="75" w:after="0"/>
        <w:ind w:left="618" w:right="0" w:hanging="199"/>
        <w:jc w:val="left"/>
        <w:rPr>
          <w:sz w:val="18"/>
        </w:rPr>
      </w:pPr>
      <w:r>
        <w:rPr>
          <w:sz w:val="18"/>
        </w:rPr>
        <w:t>The</w:t>
      </w:r>
      <w:r>
        <w:rPr>
          <w:spacing w:val="-3"/>
          <w:sz w:val="18"/>
        </w:rPr>
        <w:t> </w:t>
      </w:r>
      <w:r>
        <w:rPr>
          <w:sz w:val="18"/>
        </w:rPr>
        <w:t>primary</w:t>
      </w:r>
      <w:r>
        <w:rPr>
          <w:spacing w:val="-3"/>
          <w:sz w:val="18"/>
        </w:rPr>
        <w:t> </w:t>
      </w:r>
      <w:r>
        <w:rPr>
          <w:sz w:val="18"/>
        </w:rPr>
        <w:t>care</w:t>
      </w:r>
      <w:r>
        <w:rPr>
          <w:spacing w:val="-2"/>
          <w:sz w:val="18"/>
        </w:rPr>
        <w:t> </w:t>
      </w:r>
      <w:r>
        <w:rPr>
          <w:sz w:val="18"/>
        </w:rPr>
        <w:t>team</w:t>
      </w:r>
      <w:r>
        <w:rPr>
          <w:spacing w:val="-6"/>
          <w:sz w:val="18"/>
        </w:rPr>
        <w:t> </w:t>
      </w:r>
      <w:r>
        <w:rPr>
          <w:sz w:val="18"/>
        </w:rPr>
        <w:t>uses</w:t>
      </w:r>
      <w:r>
        <w:rPr>
          <w:spacing w:val="-2"/>
          <w:sz w:val="18"/>
        </w:rPr>
        <w:t> </w:t>
      </w:r>
      <w:r>
        <w:rPr>
          <w:sz w:val="18"/>
        </w:rPr>
        <w:t>electronic</w:t>
      </w:r>
      <w:r>
        <w:rPr>
          <w:spacing w:val="-3"/>
          <w:sz w:val="18"/>
        </w:rPr>
        <w:t> </w:t>
      </w:r>
      <w:r>
        <w:rPr>
          <w:sz w:val="18"/>
        </w:rPr>
        <w:t>data</w:t>
      </w:r>
      <w:r>
        <w:rPr>
          <w:spacing w:val="-3"/>
          <w:sz w:val="18"/>
        </w:rPr>
        <w:t> </w:t>
      </w:r>
      <w:r>
        <w:rPr>
          <w:sz w:val="18"/>
        </w:rPr>
        <w:t>to…</w:t>
      </w:r>
    </w:p>
    <w:p>
      <w:pPr>
        <w:pStyle w:val="ListParagraph"/>
        <w:numPr>
          <w:ilvl w:val="0"/>
          <w:numId w:val="91"/>
        </w:numPr>
        <w:tabs>
          <w:tab w:pos="987" w:val="left" w:leader="none"/>
        </w:tabs>
        <w:spacing w:line="240" w:lineRule="auto" w:before="121" w:after="0"/>
        <w:ind w:left="986" w:right="0" w:hanging="284"/>
        <w:jc w:val="left"/>
        <w:rPr>
          <w:sz w:val="18"/>
        </w:rPr>
      </w:pPr>
      <w:r>
        <w:rPr>
          <w:sz w:val="18"/>
        </w:rPr>
        <w:t>…identify</w:t>
      </w:r>
      <w:r>
        <w:rPr>
          <w:spacing w:val="-5"/>
          <w:sz w:val="18"/>
        </w:rPr>
        <w:t> </w:t>
      </w:r>
      <w:r>
        <w:rPr>
          <w:sz w:val="18"/>
        </w:rPr>
        <w:t>patients</w:t>
      </w:r>
      <w:r>
        <w:rPr>
          <w:spacing w:val="-4"/>
          <w:sz w:val="18"/>
        </w:rPr>
        <w:t> </w:t>
      </w:r>
      <w:r>
        <w:rPr>
          <w:sz w:val="18"/>
        </w:rPr>
        <w:t>with</w:t>
      </w:r>
      <w:r>
        <w:rPr>
          <w:spacing w:val="-5"/>
          <w:sz w:val="18"/>
        </w:rPr>
        <w:t> </w:t>
      </w:r>
      <w:r>
        <w:rPr>
          <w:sz w:val="18"/>
        </w:rPr>
        <w:t>complex</w:t>
      </w:r>
      <w:r>
        <w:rPr>
          <w:spacing w:val="-4"/>
          <w:sz w:val="18"/>
        </w:rPr>
        <w:t> </w:t>
      </w:r>
      <w:r>
        <w:rPr>
          <w:sz w:val="18"/>
        </w:rPr>
        <w:t>health</w:t>
      </w:r>
      <w:r>
        <w:rPr>
          <w:spacing w:val="-3"/>
          <w:sz w:val="18"/>
        </w:rPr>
        <w:t> </w:t>
      </w:r>
      <w:r>
        <w:rPr>
          <w:sz w:val="18"/>
        </w:rPr>
        <w:t>needs.</w:t>
      </w:r>
      <w:r>
        <w:rPr>
          <w:spacing w:val="-3"/>
          <w:sz w:val="18"/>
        </w:rPr>
        <w:t> </w:t>
      </w:r>
      <w:r>
        <w:rPr>
          <w:sz w:val="18"/>
        </w:rPr>
        <w:t>(1)</w:t>
      </w:r>
    </w:p>
    <w:p>
      <w:pPr>
        <w:spacing w:before="120"/>
        <w:ind w:left="1697" w:right="0" w:firstLine="0"/>
        <w:jc w:val="left"/>
        <w:rPr>
          <w:sz w:val="18"/>
        </w:rPr>
      </w:pPr>
      <w:r>
        <w:rPr/>
        <w:drawing>
          <wp:anchor distT="0" distB="0" distL="0" distR="0" allowOverlap="1" layoutInCell="1" locked="0" behindDoc="0" simplePos="0" relativeHeight="15954432">
            <wp:simplePos x="0" y="0"/>
            <wp:positionH relativeFrom="page">
              <wp:posOffset>1054901</wp:posOffset>
            </wp:positionH>
            <wp:positionV relativeFrom="paragraph">
              <wp:posOffset>121051</wp:posOffset>
            </wp:positionV>
            <wp:extent cx="58380" cy="72150"/>
            <wp:effectExtent l="0" t="0" r="0" b="0"/>
            <wp:wrapNone/>
            <wp:docPr id="1337" name="image13.png"/>
            <wp:cNvGraphicFramePr>
              <a:graphicFrameLocks noChangeAspect="1"/>
            </wp:cNvGraphicFramePr>
            <a:graphic>
              <a:graphicData uri="http://schemas.openxmlformats.org/drawingml/2006/picture">
                <pic:pic>
                  <pic:nvPicPr>
                    <pic:cNvPr id="1338" name="image13.png"/>
                    <pic:cNvPicPr/>
                  </pic:nvPicPr>
                  <pic:blipFill>
                    <a:blip r:embed="rId41" cstate="print"/>
                    <a:stretch>
                      <a:fillRect/>
                    </a:stretch>
                  </pic:blipFill>
                  <pic:spPr>
                    <a:xfrm>
                      <a:off x="0" y="0"/>
                      <a:ext cx="58380" cy="72150"/>
                    </a:xfrm>
                    <a:prstGeom prst="rect">
                      <a:avLst/>
                    </a:prstGeom>
                  </pic:spPr>
                </pic:pic>
              </a:graphicData>
            </a:graphic>
          </wp:anchor>
        </w:drawing>
      </w:r>
      <w:r>
        <w:rPr>
          <w:sz w:val="18"/>
        </w:rPr>
        <w:t>Never</w:t>
      </w:r>
      <w:r>
        <w:rPr>
          <w:spacing w:val="-5"/>
          <w:sz w:val="18"/>
        </w:rPr>
        <w:t> </w:t>
      </w:r>
      <w:r>
        <w:rPr>
          <w:sz w:val="18"/>
        </w:rPr>
        <w:t>(1)</w:t>
      </w:r>
    </w:p>
    <w:p>
      <w:pPr>
        <w:spacing w:before="118"/>
        <w:ind w:left="1697" w:right="0" w:firstLine="0"/>
        <w:jc w:val="left"/>
        <w:rPr>
          <w:sz w:val="18"/>
        </w:rPr>
      </w:pPr>
      <w:r>
        <w:rPr/>
        <w:drawing>
          <wp:anchor distT="0" distB="0" distL="0" distR="0" allowOverlap="1" layoutInCell="1" locked="0" behindDoc="0" simplePos="0" relativeHeight="15954944">
            <wp:simplePos x="0" y="0"/>
            <wp:positionH relativeFrom="page">
              <wp:posOffset>1054901</wp:posOffset>
            </wp:positionH>
            <wp:positionV relativeFrom="paragraph">
              <wp:posOffset>119586</wp:posOffset>
            </wp:positionV>
            <wp:extent cx="58380" cy="73869"/>
            <wp:effectExtent l="0" t="0" r="0" b="0"/>
            <wp:wrapNone/>
            <wp:docPr id="1339" name="image14.png"/>
            <wp:cNvGraphicFramePr>
              <a:graphicFrameLocks noChangeAspect="1"/>
            </wp:cNvGraphicFramePr>
            <a:graphic>
              <a:graphicData uri="http://schemas.openxmlformats.org/drawingml/2006/picture">
                <pic:pic>
                  <pic:nvPicPr>
                    <pic:cNvPr id="1340"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Rarely</w:t>
      </w:r>
      <w:r>
        <w:rPr>
          <w:spacing w:val="-7"/>
          <w:sz w:val="18"/>
        </w:rPr>
        <w:t> </w:t>
      </w:r>
      <w:r>
        <w:rPr>
          <w:sz w:val="18"/>
        </w:rPr>
        <w:t>(2)</w:t>
      </w:r>
    </w:p>
    <w:p>
      <w:pPr>
        <w:spacing w:before="120"/>
        <w:ind w:left="1697" w:right="0" w:firstLine="0"/>
        <w:jc w:val="left"/>
        <w:rPr>
          <w:sz w:val="18"/>
        </w:rPr>
      </w:pPr>
      <w:r>
        <w:rPr/>
        <w:drawing>
          <wp:anchor distT="0" distB="0" distL="0" distR="0" allowOverlap="1" layoutInCell="1" locked="0" behindDoc="0" simplePos="0" relativeHeight="15955456">
            <wp:simplePos x="0" y="0"/>
            <wp:positionH relativeFrom="page">
              <wp:posOffset>1054901</wp:posOffset>
            </wp:positionH>
            <wp:positionV relativeFrom="paragraph">
              <wp:posOffset>121049</wp:posOffset>
            </wp:positionV>
            <wp:extent cx="58380" cy="72151"/>
            <wp:effectExtent l="0" t="0" r="0" b="0"/>
            <wp:wrapNone/>
            <wp:docPr id="1341" name="image13.png"/>
            <wp:cNvGraphicFramePr>
              <a:graphicFrameLocks noChangeAspect="1"/>
            </wp:cNvGraphicFramePr>
            <a:graphic>
              <a:graphicData uri="http://schemas.openxmlformats.org/drawingml/2006/picture">
                <pic:pic>
                  <pic:nvPicPr>
                    <pic:cNvPr id="134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Some-times</w:t>
      </w:r>
      <w:r>
        <w:rPr>
          <w:spacing w:val="-2"/>
          <w:sz w:val="18"/>
        </w:rPr>
        <w:t> </w:t>
      </w:r>
      <w:r>
        <w:rPr>
          <w:sz w:val="18"/>
        </w:rPr>
        <w:t>(3)</w:t>
      </w:r>
    </w:p>
    <w:p>
      <w:pPr>
        <w:spacing w:before="120"/>
        <w:ind w:left="1697" w:right="0" w:firstLine="0"/>
        <w:jc w:val="left"/>
        <w:rPr>
          <w:sz w:val="18"/>
        </w:rPr>
      </w:pPr>
      <w:r>
        <w:rPr/>
        <w:drawing>
          <wp:anchor distT="0" distB="0" distL="0" distR="0" allowOverlap="1" layoutInCell="1" locked="0" behindDoc="0" simplePos="0" relativeHeight="15955968">
            <wp:simplePos x="0" y="0"/>
            <wp:positionH relativeFrom="page">
              <wp:posOffset>1054901</wp:posOffset>
            </wp:positionH>
            <wp:positionV relativeFrom="paragraph">
              <wp:posOffset>121051</wp:posOffset>
            </wp:positionV>
            <wp:extent cx="58380" cy="72150"/>
            <wp:effectExtent l="0" t="0" r="0" b="0"/>
            <wp:wrapNone/>
            <wp:docPr id="1343" name="image13.png"/>
            <wp:cNvGraphicFramePr>
              <a:graphicFrameLocks noChangeAspect="1"/>
            </wp:cNvGraphicFramePr>
            <a:graphic>
              <a:graphicData uri="http://schemas.openxmlformats.org/drawingml/2006/picture">
                <pic:pic>
                  <pic:nvPicPr>
                    <pic:cNvPr id="1344" name="image13.png"/>
                    <pic:cNvPicPr/>
                  </pic:nvPicPr>
                  <pic:blipFill>
                    <a:blip r:embed="rId41" cstate="print"/>
                    <a:stretch>
                      <a:fillRect/>
                    </a:stretch>
                  </pic:blipFill>
                  <pic:spPr>
                    <a:xfrm>
                      <a:off x="0" y="0"/>
                      <a:ext cx="58380" cy="72150"/>
                    </a:xfrm>
                    <a:prstGeom prst="rect">
                      <a:avLst/>
                    </a:prstGeom>
                  </pic:spPr>
                </pic:pic>
              </a:graphicData>
            </a:graphic>
          </wp:anchor>
        </w:drawing>
      </w:r>
      <w:r>
        <w:rPr>
          <w:sz w:val="18"/>
        </w:rPr>
        <w:t>Usually</w:t>
      </w:r>
      <w:r>
        <w:rPr>
          <w:spacing w:val="-6"/>
          <w:sz w:val="18"/>
        </w:rPr>
        <w:t> </w:t>
      </w:r>
      <w:r>
        <w:rPr>
          <w:sz w:val="18"/>
        </w:rPr>
        <w:t>(4)</w:t>
      </w:r>
    </w:p>
    <w:p>
      <w:pPr>
        <w:spacing w:before="120"/>
        <w:ind w:left="1697" w:right="0" w:firstLine="0"/>
        <w:jc w:val="left"/>
        <w:rPr>
          <w:sz w:val="18"/>
        </w:rPr>
      </w:pPr>
      <w:r>
        <w:rPr/>
        <w:drawing>
          <wp:anchor distT="0" distB="0" distL="0" distR="0" allowOverlap="1" layoutInCell="1" locked="0" behindDoc="0" simplePos="0" relativeHeight="15956480">
            <wp:simplePos x="0" y="0"/>
            <wp:positionH relativeFrom="page">
              <wp:posOffset>1054901</wp:posOffset>
            </wp:positionH>
            <wp:positionV relativeFrom="paragraph">
              <wp:posOffset>121050</wp:posOffset>
            </wp:positionV>
            <wp:extent cx="58380" cy="72151"/>
            <wp:effectExtent l="0" t="0" r="0" b="0"/>
            <wp:wrapNone/>
            <wp:docPr id="1345" name="image13.png"/>
            <wp:cNvGraphicFramePr>
              <a:graphicFrameLocks noChangeAspect="1"/>
            </wp:cNvGraphicFramePr>
            <a:graphic>
              <a:graphicData uri="http://schemas.openxmlformats.org/drawingml/2006/picture">
                <pic:pic>
                  <pic:nvPicPr>
                    <pic:cNvPr id="134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Always</w:t>
      </w:r>
      <w:r>
        <w:rPr>
          <w:spacing w:val="-5"/>
          <w:sz w:val="18"/>
        </w:rPr>
        <w:t> </w:t>
      </w:r>
      <w:r>
        <w:rPr>
          <w:sz w:val="18"/>
        </w:rPr>
        <w:t>(5)</w:t>
      </w:r>
    </w:p>
    <w:p>
      <w:pPr>
        <w:spacing w:before="120"/>
        <w:ind w:left="1697" w:right="0" w:firstLine="0"/>
        <w:jc w:val="left"/>
        <w:rPr>
          <w:sz w:val="18"/>
        </w:rPr>
      </w:pPr>
      <w:r>
        <w:rPr/>
        <w:drawing>
          <wp:anchor distT="0" distB="0" distL="0" distR="0" allowOverlap="1" layoutInCell="1" locked="0" behindDoc="0" simplePos="0" relativeHeight="15956992">
            <wp:simplePos x="0" y="0"/>
            <wp:positionH relativeFrom="page">
              <wp:posOffset>1054901</wp:posOffset>
            </wp:positionH>
            <wp:positionV relativeFrom="paragraph">
              <wp:posOffset>121049</wp:posOffset>
            </wp:positionV>
            <wp:extent cx="58380" cy="72151"/>
            <wp:effectExtent l="0" t="0" r="0" b="0"/>
            <wp:wrapNone/>
            <wp:docPr id="1347" name="image13.png"/>
            <wp:cNvGraphicFramePr>
              <a:graphicFrameLocks noChangeAspect="1"/>
            </wp:cNvGraphicFramePr>
            <a:graphic>
              <a:graphicData uri="http://schemas.openxmlformats.org/drawingml/2006/picture">
                <pic:pic>
                  <pic:nvPicPr>
                    <pic:cNvPr id="134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pStyle w:val="ListParagraph"/>
        <w:numPr>
          <w:ilvl w:val="0"/>
          <w:numId w:val="91"/>
        </w:numPr>
        <w:tabs>
          <w:tab w:pos="987" w:val="left" w:leader="none"/>
        </w:tabs>
        <w:spacing w:line="369" w:lineRule="auto" w:before="120" w:after="0"/>
        <w:ind w:left="1697" w:right="5023" w:hanging="995"/>
        <w:jc w:val="left"/>
        <w:rPr>
          <w:sz w:val="18"/>
        </w:rPr>
      </w:pPr>
      <w:r>
        <w:rPr/>
        <w:drawing>
          <wp:anchor distT="0" distB="0" distL="0" distR="0" allowOverlap="1" layoutInCell="1" locked="0" behindDoc="1" simplePos="0" relativeHeight="475989504">
            <wp:simplePos x="0" y="0"/>
            <wp:positionH relativeFrom="page">
              <wp:posOffset>1054901</wp:posOffset>
            </wp:positionH>
            <wp:positionV relativeFrom="paragraph">
              <wp:posOffset>337457</wp:posOffset>
            </wp:positionV>
            <wp:extent cx="58380" cy="72151"/>
            <wp:effectExtent l="0" t="0" r="0" b="0"/>
            <wp:wrapNone/>
            <wp:docPr id="1349" name="image13.png"/>
            <wp:cNvGraphicFramePr>
              <a:graphicFrameLocks noChangeAspect="1"/>
            </wp:cNvGraphicFramePr>
            <a:graphic>
              <a:graphicData uri="http://schemas.openxmlformats.org/drawingml/2006/picture">
                <pic:pic>
                  <pic:nvPicPr>
                    <pic:cNvPr id="135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…monitor and track patient health indicators and outcomes. (2)</w:t>
      </w:r>
      <w:r>
        <w:rPr>
          <w:spacing w:val="-47"/>
          <w:sz w:val="18"/>
        </w:rPr>
        <w:t> </w:t>
      </w:r>
      <w:r>
        <w:rPr>
          <w:sz w:val="18"/>
        </w:rPr>
        <w:t>Never</w:t>
      </w:r>
      <w:r>
        <w:rPr>
          <w:spacing w:val="2"/>
          <w:sz w:val="18"/>
        </w:rPr>
        <w:t> </w:t>
      </w:r>
      <w:r>
        <w:rPr>
          <w:sz w:val="18"/>
        </w:rPr>
        <w:t>(1)</w:t>
      </w:r>
    </w:p>
    <w:p>
      <w:pPr>
        <w:spacing w:before="2"/>
        <w:ind w:left="1697" w:right="0" w:firstLine="0"/>
        <w:jc w:val="left"/>
        <w:rPr>
          <w:sz w:val="18"/>
        </w:rPr>
      </w:pPr>
      <w:r>
        <w:rPr/>
        <w:drawing>
          <wp:anchor distT="0" distB="0" distL="0" distR="0" allowOverlap="1" layoutInCell="1" locked="0" behindDoc="0" simplePos="0" relativeHeight="15958016">
            <wp:simplePos x="0" y="0"/>
            <wp:positionH relativeFrom="page">
              <wp:posOffset>1054901</wp:posOffset>
            </wp:positionH>
            <wp:positionV relativeFrom="paragraph">
              <wp:posOffset>46119</wp:posOffset>
            </wp:positionV>
            <wp:extent cx="58380" cy="72151"/>
            <wp:effectExtent l="0" t="0" r="0" b="0"/>
            <wp:wrapNone/>
            <wp:docPr id="1351" name="image13.png"/>
            <wp:cNvGraphicFramePr>
              <a:graphicFrameLocks noChangeAspect="1"/>
            </wp:cNvGraphicFramePr>
            <a:graphic>
              <a:graphicData uri="http://schemas.openxmlformats.org/drawingml/2006/picture">
                <pic:pic>
                  <pic:nvPicPr>
                    <pic:cNvPr id="135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Rarely</w:t>
      </w:r>
      <w:r>
        <w:rPr>
          <w:spacing w:val="-3"/>
          <w:sz w:val="18"/>
        </w:rPr>
        <w:t> </w:t>
      </w:r>
      <w:r>
        <w:rPr>
          <w:sz w:val="18"/>
        </w:rPr>
        <w:t>(2)</w:t>
      </w:r>
    </w:p>
    <w:p>
      <w:pPr>
        <w:spacing w:before="120"/>
        <w:ind w:left="1697" w:right="0" w:firstLine="0"/>
        <w:jc w:val="left"/>
        <w:rPr>
          <w:sz w:val="18"/>
        </w:rPr>
      </w:pPr>
      <w:r>
        <w:rPr/>
        <w:drawing>
          <wp:anchor distT="0" distB="0" distL="0" distR="0" allowOverlap="1" layoutInCell="1" locked="0" behindDoc="0" simplePos="0" relativeHeight="15958528">
            <wp:simplePos x="0" y="0"/>
            <wp:positionH relativeFrom="page">
              <wp:posOffset>1054901</wp:posOffset>
            </wp:positionH>
            <wp:positionV relativeFrom="paragraph">
              <wp:posOffset>120857</wp:posOffset>
            </wp:positionV>
            <wp:extent cx="58380" cy="73867"/>
            <wp:effectExtent l="0" t="0" r="0" b="0"/>
            <wp:wrapNone/>
            <wp:docPr id="1353" name="image14.png"/>
            <wp:cNvGraphicFramePr>
              <a:graphicFrameLocks noChangeAspect="1"/>
            </wp:cNvGraphicFramePr>
            <a:graphic>
              <a:graphicData uri="http://schemas.openxmlformats.org/drawingml/2006/picture">
                <pic:pic>
                  <pic:nvPicPr>
                    <pic:cNvPr id="1354" name="image14.png"/>
                    <pic:cNvPicPr/>
                  </pic:nvPicPr>
                  <pic:blipFill>
                    <a:blip r:embed="rId43" cstate="print"/>
                    <a:stretch>
                      <a:fillRect/>
                    </a:stretch>
                  </pic:blipFill>
                  <pic:spPr>
                    <a:xfrm>
                      <a:off x="0" y="0"/>
                      <a:ext cx="58380" cy="73867"/>
                    </a:xfrm>
                    <a:prstGeom prst="rect">
                      <a:avLst/>
                    </a:prstGeom>
                  </pic:spPr>
                </pic:pic>
              </a:graphicData>
            </a:graphic>
          </wp:anchor>
        </w:drawing>
      </w:r>
      <w:r>
        <w:rPr>
          <w:sz w:val="18"/>
        </w:rPr>
        <w:t>Some-times</w:t>
      </w:r>
      <w:r>
        <w:rPr>
          <w:spacing w:val="-2"/>
          <w:sz w:val="18"/>
        </w:rPr>
        <w:t> </w:t>
      </w:r>
      <w:r>
        <w:rPr>
          <w:sz w:val="18"/>
        </w:rPr>
        <w:t>(3)</w:t>
      </w:r>
    </w:p>
    <w:p>
      <w:pPr>
        <w:spacing w:before="121"/>
        <w:ind w:left="1697" w:right="0" w:firstLine="0"/>
        <w:jc w:val="left"/>
        <w:rPr>
          <w:sz w:val="18"/>
        </w:rPr>
      </w:pPr>
      <w:r>
        <w:rPr/>
        <w:drawing>
          <wp:anchor distT="0" distB="0" distL="0" distR="0" allowOverlap="1" layoutInCell="1" locked="0" behindDoc="0" simplePos="0" relativeHeight="15959040">
            <wp:simplePos x="0" y="0"/>
            <wp:positionH relativeFrom="page">
              <wp:posOffset>1054901</wp:posOffset>
            </wp:positionH>
            <wp:positionV relativeFrom="paragraph">
              <wp:posOffset>121303</wp:posOffset>
            </wp:positionV>
            <wp:extent cx="58380" cy="72151"/>
            <wp:effectExtent l="0" t="0" r="0" b="0"/>
            <wp:wrapNone/>
            <wp:docPr id="1355" name="image13.png"/>
            <wp:cNvGraphicFramePr>
              <a:graphicFrameLocks noChangeAspect="1"/>
            </wp:cNvGraphicFramePr>
            <a:graphic>
              <a:graphicData uri="http://schemas.openxmlformats.org/drawingml/2006/picture">
                <pic:pic>
                  <pic:nvPicPr>
                    <pic:cNvPr id="135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Usually</w:t>
      </w:r>
      <w:r>
        <w:rPr>
          <w:spacing w:val="-6"/>
          <w:sz w:val="18"/>
        </w:rPr>
        <w:t> </w:t>
      </w:r>
      <w:r>
        <w:rPr>
          <w:sz w:val="18"/>
        </w:rPr>
        <w:t>(4)</w:t>
      </w:r>
    </w:p>
    <w:p>
      <w:pPr>
        <w:spacing w:before="120"/>
        <w:ind w:left="1697" w:right="0" w:firstLine="0"/>
        <w:jc w:val="left"/>
        <w:rPr>
          <w:sz w:val="18"/>
        </w:rPr>
      </w:pPr>
      <w:r>
        <w:rPr/>
        <w:drawing>
          <wp:anchor distT="0" distB="0" distL="0" distR="0" allowOverlap="1" layoutInCell="1" locked="0" behindDoc="0" simplePos="0" relativeHeight="15959552">
            <wp:simplePos x="0" y="0"/>
            <wp:positionH relativeFrom="page">
              <wp:posOffset>1054901</wp:posOffset>
            </wp:positionH>
            <wp:positionV relativeFrom="paragraph">
              <wp:posOffset>120669</wp:posOffset>
            </wp:positionV>
            <wp:extent cx="58380" cy="72151"/>
            <wp:effectExtent l="0" t="0" r="0" b="0"/>
            <wp:wrapNone/>
            <wp:docPr id="1357" name="image13.png"/>
            <wp:cNvGraphicFramePr>
              <a:graphicFrameLocks noChangeAspect="1"/>
            </wp:cNvGraphicFramePr>
            <a:graphic>
              <a:graphicData uri="http://schemas.openxmlformats.org/drawingml/2006/picture">
                <pic:pic>
                  <pic:nvPicPr>
                    <pic:cNvPr id="135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Always</w:t>
      </w:r>
      <w:r>
        <w:rPr>
          <w:spacing w:val="-5"/>
          <w:sz w:val="18"/>
        </w:rPr>
        <w:t> </w:t>
      </w:r>
      <w:r>
        <w:rPr>
          <w:sz w:val="18"/>
        </w:rPr>
        <w:t>(5)</w:t>
      </w:r>
    </w:p>
    <w:p>
      <w:pPr>
        <w:spacing w:before="120"/>
        <w:ind w:left="1697" w:right="0" w:firstLine="0"/>
        <w:jc w:val="left"/>
        <w:rPr>
          <w:sz w:val="18"/>
        </w:rPr>
      </w:pPr>
      <w:r>
        <w:rPr/>
        <w:drawing>
          <wp:anchor distT="0" distB="0" distL="0" distR="0" allowOverlap="1" layoutInCell="1" locked="0" behindDoc="0" simplePos="0" relativeHeight="15960064">
            <wp:simplePos x="0" y="0"/>
            <wp:positionH relativeFrom="page">
              <wp:posOffset>1054901</wp:posOffset>
            </wp:positionH>
            <wp:positionV relativeFrom="paragraph">
              <wp:posOffset>120669</wp:posOffset>
            </wp:positionV>
            <wp:extent cx="58380" cy="72150"/>
            <wp:effectExtent l="0" t="0" r="0" b="0"/>
            <wp:wrapNone/>
            <wp:docPr id="1359" name="image13.png"/>
            <wp:cNvGraphicFramePr>
              <a:graphicFrameLocks noChangeAspect="1"/>
            </wp:cNvGraphicFramePr>
            <a:graphic>
              <a:graphicData uri="http://schemas.openxmlformats.org/drawingml/2006/picture">
                <pic:pic>
                  <pic:nvPicPr>
                    <pic:cNvPr id="1360" name="image13.png"/>
                    <pic:cNvPicPr/>
                  </pic:nvPicPr>
                  <pic:blipFill>
                    <a:blip r:embed="rId41" cstate="print"/>
                    <a:stretch>
                      <a:fillRect/>
                    </a:stretch>
                  </pic:blipFill>
                  <pic:spPr>
                    <a:xfrm>
                      <a:off x="0" y="0"/>
                      <a:ext cx="58380" cy="72150"/>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pStyle w:val="ListParagraph"/>
        <w:numPr>
          <w:ilvl w:val="0"/>
          <w:numId w:val="87"/>
        </w:numPr>
        <w:tabs>
          <w:tab w:pos="619" w:val="left" w:leader="none"/>
        </w:tabs>
        <w:spacing w:line="369" w:lineRule="auto" w:before="120" w:after="0"/>
        <w:ind w:left="703" w:right="2728" w:hanging="284"/>
        <w:jc w:val="left"/>
        <w:rPr>
          <w:sz w:val="18"/>
        </w:rPr>
      </w:pPr>
      <w:r>
        <w:rPr>
          <w:sz w:val="18"/>
        </w:rPr>
        <w:t>The</w:t>
      </w:r>
      <w:r>
        <w:rPr>
          <w:spacing w:val="-3"/>
          <w:sz w:val="18"/>
        </w:rPr>
        <w:t> </w:t>
      </w:r>
      <w:r>
        <w:rPr>
          <w:sz w:val="18"/>
        </w:rPr>
        <w:t>primary</w:t>
      </w:r>
      <w:r>
        <w:rPr>
          <w:spacing w:val="-4"/>
          <w:sz w:val="18"/>
        </w:rPr>
        <w:t> </w:t>
      </w:r>
      <w:r>
        <w:rPr>
          <w:sz w:val="18"/>
        </w:rPr>
        <w:t>care</w:t>
      </w:r>
      <w:r>
        <w:rPr>
          <w:spacing w:val="-3"/>
          <w:sz w:val="18"/>
        </w:rPr>
        <w:t> </w:t>
      </w:r>
      <w:r>
        <w:rPr>
          <w:sz w:val="18"/>
        </w:rPr>
        <w:t>team</w:t>
      </w:r>
      <w:r>
        <w:rPr>
          <w:spacing w:val="-6"/>
          <w:sz w:val="18"/>
        </w:rPr>
        <w:t> </w:t>
      </w:r>
      <w:r>
        <w:rPr>
          <w:sz w:val="18"/>
        </w:rPr>
        <w:t>uses</w:t>
      </w:r>
      <w:r>
        <w:rPr>
          <w:spacing w:val="-3"/>
          <w:sz w:val="18"/>
        </w:rPr>
        <w:t> </w:t>
      </w:r>
      <w:r>
        <w:rPr>
          <w:sz w:val="18"/>
        </w:rPr>
        <w:t>an</w:t>
      </w:r>
      <w:r>
        <w:rPr>
          <w:spacing w:val="-3"/>
          <w:sz w:val="18"/>
        </w:rPr>
        <w:t> </w:t>
      </w:r>
      <w:r>
        <w:rPr>
          <w:sz w:val="18"/>
        </w:rPr>
        <w:t>electronic</w:t>
      </w:r>
      <w:r>
        <w:rPr>
          <w:spacing w:val="-4"/>
          <w:sz w:val="18"/>
        </w:rPr>
        <w:t> </w:t>
      </w:r>
      <w:r>
        <w:rPr>
          <w:sz w:val="18"/>
        </w:rPr>
        <w:t>health</w:t>
      </w:r>
      <w:r>
        <w:rPr>
          <w:spacing w:val="-2"/>
          <w:sz w:val="18"/>
        </w:rPr>
        <w:t> </w:t>
      </w:r>
      <w:r>
        <w:rPr>
          <w:sz w:val="18"/>
        </w:rPr>
        <w:t>record</w:t>
      </w:r>
      <w:r>
        <w:rPr>
          <w:spacing w:val="-4"/>
          <w:sz w:val="18"/>
        </w:rPr>
        <w:t> </w:t>
      </w:r>
      <w:r>
        <w:rPr>
          <w:sz w:val="18"/>
        </w:rPr>
        <w:t>system</w:t>
      </w:r>
      <w:r>
        <w:rPr>
          <w:spacing w:val="-7"/>
          <w:sz w:val="18"/>
        </w:rPr>
        <w:t> </w:t>
      </w:r>
      <w:r>
        <w:rPr>
          <w:sz w:val="18"/>
        </w:rPr>
        <w:t>or</w:t>
      </w:r>
      <w:r>
        <w:rPr>
          <w:spacing w:val="-1"/>
          <w:sz w:val="18"/>
        </w:rPr>
        <w:t> </w:t>
      </w:r>
      <w:r>
        <w:rPr>
          <w:sz w:val="18"/>
        </w:rPr>
        <w:t>other</w:t>
      </w:r>
      <w:r>
        <w:rPr>
          <w:spacing w:val="-3"/>
          <w:sz w:val="18"/>
        </w:rPr>
        <w:t> </w:t>
      </w:r>
      <w:r>
        <w:rPr>
          <w:sz w:val="18"/>
        </w:rPr>
        <w:t>electronic</w:t>
      </w:r>
      <w:r>
        <w:rPr>
          <w:spacing w:val="-5"/>
          <w:sz w:val="18"/>
        </w:rPr>
        <w:t> </w:t>
      </w:r>
      <w:r>
        <w:rPr>
          <w:sz w:val="18"/>
        </w:rPr>
        <w:t>systems</w:t>
      </w:r>
      <w:r>
        <w:rPr>
          <w:spacing w:val="-1"/>
          <w:sz w:val="18"/>
        </w:rPr>
        <w:t> </w:t>
      </w:r>
      <w:r>
        <w:rPr>
          <w:sz w:val="18"/>
        </w:rPr>
        <w:t>to…</w:t>
      </w:r>
      <w:r>
        <w:rPr>
          <w:spacing w:val="-47"/>
          <w:sz w:val="18"/>
        </w:rPr>
        <w:t> </w:t>
      </w:r>
      <w:r>
        <w:rPr>
          <w:sz w:val="18"/>
        </w:rPr>
        <w:t>a.…support</w:t>
      </w:r>
      <w:r>
        <w:rPr>
          <w:spacing w:val="-3"/>
          <w:sz w:val="18"/>
        </w:rPr>
        <w:t> </w:t>
      </w:r>
      <w:r>
        <w:rPr>
          <w:sz w:val="18"/>
        </w:rPr>
        <w:t>the documentation of</w:t>
      </w:r>
      <w:r>
        <w:rPr>
          <w:spacing w:val="-2"/>
          <w:sz w:val="18"/>
        </w:rPr>
        <w:t> </w:t>
      </w:r>
      <w:r>
        <w:rPr>
          <w:sz w:val="18"/>
        </w:rPr>
        <w:t>patient</w:t>
      </w:r>
      <w:r>
        <w:rPr>
          <w:spacing w:val="-3"/>
          <w:sz w:val="18"/>
        </w:rPr>
        <w:t> </w:t>
      </w:r>
      <w:r>
        <w:rPr>
          <w:sz w:val="18"/>
        </w:rPr>
        <w:t>needs. (1)</w:t>
      </w:r>
    </w:p>
    <w:p>
      <w:pPr>
        <w:spacing w:before="2"/>
        <w:ind w:left="1697" w:right="0" w:firstLine="0"/>
        <w:jc w:val="left"/>
        <w:rPr>
          <w:sz w:val="18"/>
        </w:rPr>
      </w:pPr>
      <w:r>
        <w:rPr/>
        <w:drawing>
          <wp:anchor distT="0" distB="0" distL="0" distR="0" allowOverlap="1" layoutInCell="1" locked="0" behindDoc="0" simplePos="0" relativeHeight="15960576">
            <wp:simplePos x="0" y="0"/>
            <wp:positionH relativeFrom="page">
              <wp:posOffset>1054901</wp:posOffset>
            </wp:positionH>
            <wp:positionV relativeFrom="paragraph">
              <wp:posOffset>45738</wp:posOffset>
            </wp:positionV>
            <wp:extent cx="58380" cy="72151"/>
            <wp:effectExtent l="0" t="0" r="0" b="0"/>
            <wp:wrapNone/>
            <wp:docPr id="1361" name="image13.png"/>
            <wp:cNvGraphicFramePr>
              <a:graphicFrameLocks noChangeAspect="1"/>
            </wp:cNvGraphicFramePr>
            <a:graphic>
              <a:graphicData uri="http://schemas.openxmlformats.org/drawingml/2006/picture">
                <pic:pic>
                  <pic:nvPicPr>
                    <pic:cNvPr id="136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Never</w:t>
      </w:r>
      <w:r>
        <w:rPr>
          <w:spacing w:val="-4"/>
          <w:sz w:val="18"/>
        </w:rPr>
        <w:t> </w:t>
      </w:r>
      <w:r>
        <w:rPr>
          <w:sz w:val="18"/>
        </w:rPr>
        <w:t>(1)</w:t>
      </w:r>
    </w:p>
    <w:p>
      <w:pPr>
        <w:spacing w:before="120"/>
        <w:ind w:left="1697" w:right="0" w:firstLine="0"/>
        <w:jc w:val="left"/>
        <w:rPr>
          <w:sz w:val="18"/>
        </w:rPr>
      </w:pPr>
      <w:r>
        <w:rPr/>
        <w:drawing>
          <wp:anchor distT="0" distB="0" distL="0" distR="0" allowOverlap="1" layoutInCell="1" locked="0" behindDoc="0" simplePos="0" relativeHeight="15961088">
            <wp:simplePos x="0" y="0"/>
            <wp:positionH relativeFrom="page">
              <wp:posOffset>1054901</wp:posOffset>
            </wp:positionH>
            <wp:positionV relativeFrom="paragraph">
              <wp:posOffset>120668</wp:posOffset>
            </wp:positionV>
            <wp:extent cx="58380" cy="72151"/>
            <wp:effectExtent l="0" t="0" r="0" b="0"/>
            <wp:wrapNone/>
            <wp:docPr id="1363" name="image13.png"/>
            <wp:cNvGraphicFramePr>
              <a:graphicFrameLocks noChangeAspect="1"/>
            </wp:cNvGraphicFramePr>
            <a:graphic>
              <a:graphicData uri="http://schemas.openxmlformats.org/drawingml/2006/picture">
                <pic:pic>
                  <pic:nvPicPr>
                    <pic:cNvPr id="136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Rarely</w:t>
      </w:r>
      <w:r>
        <w:rPr>
          <w:spacing w:val="-7"/>
          <w:sz w:val="18"/>
        </w:rPr>
        <w:t> </w:t>
      </w:r>
      <w:r>
        <w:rPr>
          <w:sz w:val="18"/>
        </w:rPr>
        <w:t>(2)</w:t>
      </w:r>
    </w:p>
    <w:p>
      <w:pPr>
        <w:spacing w:before="120"/>
        <w:ind w:left="1697" w:right="0" w:firstLine="0"/>
        <w:jc w:val="left"/>
        <w:rPr>
          <w:sz w:val="18"/>
        </w:rPr>
      </w:pPr>
      <w:r>
        <w:rPr/>
        <w:drawing>
          <wp:anchor distT="0" distB="0" distL="0" distR="0" allowOverlap="1" layoutInCell="1" locked="0" behindDoc="0" simplePos="0" relativeHeight="15961600">
            <wp:simplePos x="0" y="0"/>
            <wp:positionH relativeFrom="page">
              <wp:posOffset>1054901</wp:posOffset>
            </wp:positionH>
            <wp:positionV relativeFrom="paragraph">
              <wp:posOffset>120668</wp:posOffset>
            </wp:positionV>
            <wp:extent cx="58380" cy="72151"/>
            <wp:effectExtent l="0" t="0" r="0" b="0"/>
            <wp:wrapNone/>
            <wp:docPr id="1365" name="image13.png"/>
            <wp:cNvGraphicFramePr>
              <a:graphicFrameLocks noChangeAspect="1"/>
            </wp:cNvGraphicFramePr>
            <a:graphic>
              <a:graphicData uri="http://schemas.openxmlformats.org/drawingml/2006/picture">
                <pic:pic>
                  <pic:nvPicPr>
                    <pic:cNvPr id="136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Some-times</w:t>
      </w:r>
      <w:r>
        <w:rPr>
          <w:spacing w:val="-2"/>
          <w:sz w:val="18"/>
        </w:rPr>
        <w:t> </w:t>
      </w:r>
      <w:r>
        <w:rPr>
          <w:sz w:val="18"/>
        </w:rPr>
        <w:t>(3)</w:t>
      </w:r>
    </w:p>
    <w:p>
      <w:pPr>
        <w:spacing w:before="120"/>
        <w:ind w:left="1697" w:right="0" w:firstLine="0"/>
        <w:jc w:val="left"/>
        <w:rPr>
          <w:sz w:val="18"/>
        </w:rPr>
      </w:pPr>
      <w:r>
        <w:rPr/>
        <w:drawing>
          <wp:anchor distT="0" distB="0" distL="0" distR="0" allowOverlap="1" layoutInCell="1" locked="0" behindDoc="0" simplePos="0" relativeHeight="15962112">
            <wp:simplePos x="0" y="0"/>
            <wp:positionH relativeFrom="page">
              <wp:posOffset>1054901</wp:posOffset>
            </wp:positionH>
            <wp:positionV relativeFrom="paragraph">
              <wp:posOffset>120668</wp:posOffset>
            </wp:positionV>
            <wp:extent cx="58380" cy="72151"/>
            <wp:effectExtent l="0" t="0" r="0" b="0"/>
            <wp:wrapNone/>
            <wp:docPr id="1367" name="image13.png"/>
            <wp:cNvGraphicFramePr>
              <a:graphicFrameLocks noChangeAspect="1"/>
            </wp:cNvGraphicFramePr>
            <a:graphic>
              <a:graphicData uri="http://schemas.openxmlformats.org/drawingml/2006/picture">
                <pic:pic>
                  <pic:nvPicPr>
                    <pic:cNvPr id="136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Usually</w:t>
      </w:r>
      <w:r>
        <w:rPr>
          <w:spacing w:val="-6"/>
          <w:sz w:val="18"/>
        </w:rPr>
        <w:t> </w:t>
      </w:r>
      <w:r>
        <w:rPr>
          <w:sz w:val="18"/>
        </w:rPr>
        <w:t>(4)</w:t>
      </w:r>
    </w:p>
    <w:p>
      <w:pPr>
        <w:spacing w:before="121"/>
        <w:ind w:left="1697" w:right="0" w:firstLine="0"/>
        <w:jc w:val="left"/>
        <w:rPr>
          <w:sz w:val="18"/>
        </w:rPr>
      </w:pPr>
      <w:r>
        <w:rPr/>
        <w:drawing>
          <wp:anchor distT="0" distB="0" distL="0" distR="0" allowOverlap="1" layoutInCell="1" locked="0" behindDoc="0" simplePos="0" relativeHeight="15962624">
            <wp:simplePos x="0" y="0"/>
            <wp:positionH relativeFrom="page">
              <wp:posOffset>1054901</wp:posOffset>
            </wp:positionH>
            <wp:positionV relativeFrom="paragraph">
              <wp:posOffset>120856</wp:posOffset>
            </wp:positionV>
            <wp:extent cx="58380" cy="73869"/>
            <wp:effectExtent l="0" t="0" r="0" b="0"/>
            <wp:wrapNone/>
            <wp:docPr id="1369" name="image14.png"/>
            <wp:cNvGraphicFramePr>
              <a:graphicFrameLocks noChangeAspect="1"/>
            </wp:cNvGraphicFramePr>
            <a:graphic>
              <a:graphicData uri="http://schemas.openxmlformats.org/drawingml/2006/picture">
                <pic:pic>
                  <pic:nvPicPr>
                    <pic:cNvPr id="1370"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Always</w:t>
      </w:r>
      <w:r>
        <w:rPr>
          <w:spacing w:val="-5"/>
          <w:sz w:val="18"/>
        </w:rPr>
        <w:t> </w:t>
      </w:r>
      <w:r>
        <w:rPr>
          <w:sz w:val="18"/>
        </w:rPr>
        <w:t>(5)</w:t>
      </w:r>
    </w:p>
    <w:p>
      <w:pPr>
        <w:spacing w:before="120"/>
        <w:ind w:left="1697" w:right="0" w:firstLine="0"/>
        <w:jc w:val="left"/>
        <w:rPr>
          <w:sz w:val="18"/>
        </w:rPr>
      </w:pPr>
      <w:r>
        <w:rPr/>
        <w:drawing>
          <wp:anchor distT="0" distB="0" distL="0" distR="0" allowOverlap="1" layoutInCell="1" locked="0" behindDoc="0" simplePos="0" relativeHeight="15963136">
            <wp:simplePos x="0" y="0"/>
            <wp:positionH relativeFrom="page">
              <wp:posOffset>1054901</wp:posOffset>
            </wp:positionH>
            <wp:positionV relativeFrom="paragraph">
              <wp:posOffset>120414</wp:posOffset>
            </wp:positionV>
            <wp:extent cx="58380" cy="72151"/>
            <wp:effectExtent l="0" t="0" r="0" b="0"/>
            <wp:wrapNone/>
            <wp:docPr id="1371" name="image13.png"/>
            <wp:cNvGraphicFramePr>
              <a:graphicFrameLocks noChangeAspect="1"/>
            </wp:cNvGraphicFramePr>
            <a:graphic>
              <a:graphicData uri="http://schemas.openxmlformats.org/drawingml/2006/picture">
                <pic:pic>
                  <pic:nvPicPr>
                    <pic:cNvPr id="137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spacing w:before="120"/>
        <w:ind w:left="703" w:right="0" w:firstLine="0"/>
        <w:jc w:val="left"/>
        <w:rPr>
          <w:sz w:val="18"/>
        </w:rPr>
      </w:pPr>
      <w:r>
        <w:rPr>
          <w:sz w:val="18"/>
        </w:rPr>
        <w:t>b.…develop</w:t>
      </w:r>
      <w:r>
        <w:rPr>
          <w:spacing w:val="-5"/>
          <w:sz w:val="18"/>
        </w:rPr>
        <w:t> </w:t>
      </w:r>
      <w:r>
        <w:rPr>
          <w:sz w:val="18"/>
        </w:rPr>
        <w:t>care</w:t>
      </w:r>
      <w:r>
        <w:rPr>
          <w:spacing w:val="-4"/>
          <w:sz w:val="18"/>
        </w:rPr>
        <w:t> </w:t>
      </w:r>
      <w:r>
        <w:rPr>
          <w:sz w:val="18"/>
        </w:rPr>
        <w:t>plans.</w:t>
      </w:r>
      <w:r>
        <w:rPr>
          <w:spacing w:val="-4"/>
          <w:sz w:val="18"/>
        </w:rPr>
        <w:t> </w:t>
      </w:r>
      <w:r>
        <w:rPr>
          <w:sz w:val="18"/>
        </w:rPr>
        <w:t>(2)</w:t>
      </w:r>
    </w:p>
    <w:p>
      <w:pPr>
        <w:spacing w:before="120"/>
        <w:ind w:left="1697" w:right="0" w:firstLine="0"/>
        <w:jc w:val="left"/>
        <w:rPr>
          <w:sz w:val="18"/>
        </w:rPr>
      </w:pPr>
      <w:r>
        <w:rPr/>
        <w:drawing>
          <wp:anchor distT="0" distB="0" distL="0" distR="0" allowOverlap="1" layoutInCell="1" locked="0" behindDoc="0" simplePos="0" relativeHeight="15963648">
            <wp:simplePos x="0" y="0"/>
            <wp:positionH relativeFrom="page">
              <wp:posOffset>1054901</wp:posOffset>
            </wp:positionH>
            <wp:positionV relativeFrom="paragraph">
              <wp:posOffset>120221</wp:posOffset>
            </wp:positionV>
            <wp:extent cx="58380" cy="73869"/>
            <wp:effectExtent l="0" t="0" r="0" b="0"/>
            <wp:wrapNone/>
            <wp:docPr id="1373" name="image14.png"/>
            <wp:cNvGraphicFramePr>
              <a:graphicFrameLocks noChangeAspect="1"/>
            </wp:cNvGraphicFramePr>
            <a:graphic>
              <a:graphicData uri="http://schemas.openxmlformats.org/drawingml/2006/picture">
                <pic:pic>
                  <pic:nvPicPr>
                    <pic:cNvPr id="1374"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Never</w:t>
      </w:r>
      <w:r>
        <w:rPr>
          <w:spacing w:val="-5"/>
          <w:sz w:val="18"/>
        </w:rPr>
        <w:t> </w:t>
      </w:r>
      <w:r>
        <w:rPr>
          <w:sz w:val="18"/>
        </w:rPr>
        <w:t>(1)</w:t>
      </w:r>
    </w:p>
    <w:p>
      <w:pPr>
        <w:spacing w:before="118"/>
        <w:ind w:left="1697" w:right="0" w:firstLine="0"/>
        <w:jc w:val="left"/>
        <w:rPr>
          <w:sz w:val="18"/>
        </w:rPr>
      </w:pPr>
      <w:r>
        <w:rPr/>
        <w:drawing>
          <wp:anchor distT="0" distB="0" distL="0" distR="0" allowOverlap="1" layoutInCell="1" locked="0" behindDoc="0" simplePos="0" relativeHeight="15964160">
            <wp:simplePos x="0" y="0"/>
            <wp:positionH relativeFrom="page">
              <wp:posOffset>1054901</wp:posOffset>
            </wp:positionH>
            <wp:positionV relativeFrom="paragraph">
              <wp:posOffset>118951</wp:posOffset>
            </wp:positionV>
            <wp:extent cx="58380" cy="73869"/>
            <wp:effectExtent l="0" t="0" r="0" b="0"/>
            <wp:wrapNone/>
            <wp:docPr id="1375" name="image14.png"/>
            <wp:cNvGraphicFramePr>
              <a:graphicFrameLocks noChangeAspect="1"/>
            </wp:cNvGraphicFramePr>
            <a:graphic>
              <a:graphicData uri="http://schemas.openxmlformats.org/drawingml/2006/picture">
                <pic:pic>
                  <pic:nvPicPr>
                    <pic:cNvPr id="1376"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Rarely</w:t>
      </w:r>
      <w:r>
        <w:rPr>
          <w:spacing w:val="-7"/>
          <w:sz w:val="18"/>
        </w:rPr>
        <w:t> </w:t>
      </w:r>
      <w:r>
        <w:rPr>
          <w:sz w:val="18"/>
        </w:rPr>
        <w:t>(2)</w:t>
      </w:r>
    </w:p>
    <w:p>
      <w:pPr>
        <w:spacing w:before="120"/>
        <w:ind w:left="1697" w:right="0" w:firstLine="0"/>
        <w:jc w:val="left"/>
        <w:rPr>
          <w:sz w:val="18"/>
        </w:rPr>
      </w:pPr>
      <w:r>
        <w:rPr/>
        <w:drawing>
          <wp:anchor distT="0" distB="0" distL="0" distR="0" allowOverlap="1" layoutInCell="1" locked="0" behindDoc="0" simplePos="0" relativeHeight="15964672">
            <wp:simplePos x="0" y="0"/>
            <wp:positionH relativeFrom="page">
              <wp:posOffset>1054901</wp:posOffset>
            </wp:positionH>
            <wp:positionV relativeFrom="paragraph">
              <wp:posOffset>120414</wp:posOffset>
            </wp:positionV>
            <wp:extent cx="58380" cy="72151"/>
            <wp:effectExtent l="0" t="0" r="0" b="0"/>
            <wp:wrapNone/>
            <wp:docPr id="1377" name="image13.png"/>
            <wp:cNvGraphicFramePr>
              <a:graphicFrameLocks noChangeAspect="1"/>
            </wp:cNvGraphicFramePr>
            <a:graphic>
              <a:graphicData uri="http://schemas.openxmlformats.org/drawingml/2006/picture">
                <pic:pic>
                  <pic:nvPicPr>
                    <pic:cNvPr id="137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Some-times</w:t>
      </w:r>
      <w:r>
        <w:rPr>
          <w:spacing w:val="-2"/>
          <w:sz w:val="18"/>
        </w:rPr>
        <w:t> </w:t>
      </w:r>
      <w:r>
        <w:rPr>
          <w:sz w:val="18"/>
        </w:rPr>
        <w:t>(3)</w:t>
      </w:r>
    </w:p>
    <w:p>
      <w:pPr>
        <w:spacing w:before="120"/>
        <w:ind w:left="1697" w:right="0" w:firstLine="0"/>
        <w:jc w:val="left"/>
        <w:rPr>
          <w:sz w:val="18"/>
        </w:rPr>
      </w:pPr>
      <w:r>
        <w:rPr/>
        <w:drawing>
          <wp:anchor distT="0" distB="0" distL="0" distR="0" allowOverlap="1" layoutInCell="1" locked="0" behindDoc="0" simplePos="0" relativeHeight="15965184">
            <wp:simplePos x="0" y="0"/>
            <wp:positionH relativeFrom="page">
              <wp:posOffset>1054901</wp:posOffset>
            </wp:positionH>
            <wp:positionV relativeFrom="paragraph">
              <wp:posOffset>120414</wp:posOffset>
            </wp:positionV>
            <wp:extent cx="58380" cy="72151"/>
            <wp:effectExtent l="0" t="0" r="0" b="0"/>
            <wp:wrapNone/>
            <wp:docPr id="1379" name="image13.png"/>
            <wp:cNvGraphicFramePr>
              <a:graphicFrameLocks noChangeAspect="1"/>
            </wp:cNvGraphicFramePr>
            <a:graphic>
              <a:graphicData uri="http://schemas.openxmlformats.org/drawingml/2006/picture">
                <pic:pic>
                  <pic:nvPicPr>
                    <pic:cNvPr id="138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Usually</w:t>
      </w:r>
      <w:r>
        <w:rPr>
          <w:spacing w:val="-6"/>
          <w:sz w:val="18"/>
        </w:rPr>
        <w:t> </w:t>
      </w:r>
      <w:r>
        <w:rPr>
          <w:sz w:val="18"/>
        </w:rPr>
        <w:t>(4)</w:t>
      </w:r>
    </w:p>
    <w:p>
      <w:pPr>
        <w:spacing w:before="120"/>
        <w:ind w:left="1697" w:right="0" w:firstLine="0"/>
        <w:jc w:val="left"/>
        <w:rPr>
          <w:sz w:val="18"/>
        </w:rPr>
      </w:pPr>
      <w:r>
        <w:rPr/>
        <w:drawing>
          <wp:anchor distT="0" distB="0" distL="0" distR="0" allowOverlap="1" layoutInCell="1" locked="0" behindDoc="0" simplePos="0" relativeHeight="15965696">
            <wp:simplePos x="0" y="0"/>
            <wp:positionH relativeFrom="page">
              <wp:posOffset>1054901</wp:posOffset>
            </wp:positionH>
            <wp:positionV relativeFrom="paragraph">
              <wp:posOffset>120414</wp:posOffset>
            </wp:positionV>
            <wp:extent cx="58380" cy="72151"/>
            <wp:effectExtent l="0" t="0" r="0" b="0"/>
            <wp:wrapNone/>
            <wp:docPr id="1381" name="image13.png"/>
            <wp:cNvGraphicFramePr>
              <a:graphicFrameLocks noChangeAspect="1"/>
            </wp:cNvGraphicFramePr>
            <a:graphic>
              <a:graphicData uri="http://schemas.openxmlformats.org/drawingml/2006/picture">
                <pic:pic>
                  <pic:nvPicPr>
                    <pic:cNvPr id="138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Always</w:t>
      </w:r>
      <w:r>
        <w:rPr>
          <w:spacing w:val="-5"/>
          <w:sz w:val="18"/>
        </w:rPr>
        <w:t> </w:t>
      </w:r>
      <w:r>
        <w:rPr>
          <w:sz w:val="18"/>
        </w:rPr>
        <w:t>(5)</w:t>
      </w:r>
    </w:p>
    <w:p>
      <w:pPr>
        <w:spacing w:before="120"/>
        <w:ind w:left="1697" w:right="0" w:firstLine="0"/>
        <w:jc w:val="left"/>
        <w:rPr>
          <w:sz w:val="18"/>
        </w:rPr>
      </w:pPr>
      <w:r>
        <w:rPr/>
        <w:drawing>
          <wp:anchor distT="0" distB="0" distL="0" distR="0" allowOverlap="1" layoutInCell="1" locked="0" behindDoc="0" simplePos="0" relativeHeight="15966208">
            <wp:simplePos x="0" y="0"/>
            <wp:positionH relativeFrom="page">
              <wp:posOffset>1054901</wp:posOffset>
            </wp:positionH>
            <wp:positionV relativeFrom="paragraph">
              <wp:posOffset>120415</wp:posOffset>
            </wp:positionV>
            <wp:extent cx="58380" cy="72151"/>
            <wp:effectExtent l="0" t="0" r="0" b="0"/>
            <wp:wrapNone/>
            <wp:docPr id="1383" name="image13.png"/>
            <wp:cNvGraphicFramePr>
              <a:graphicFrameLocks noChangeAspect="1"/>
            </wp:cNvGraphicFramePr>
            <a:graphic>
              <a:graphicData uri="http://schemas.openxmlformats.org/drawingml/2006/picture">
                <pic:pic>
                  <pic:nvPicPr>
                    <pic:cNvPr id="138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spacing w:before="121"/>
        <w:ind w:left="703" w:right="0" w:firstLine="0"/>
        <w:jc w:val="left"/>
        <w:rPr>
          <w:sz w:val="18"/>
        </w:rPr>
      </w:pPr>
      <w:r>
        <w:rPr>
          <w:sz w:val="18"/>
        </w:rPr>
        <w:t>c.…determine</w:t>
      </w:r>
      <w:r>
        <w:rPr>
          <w:spacing w:val="-7"/>
          <w:sz w:val="18"/>
        </w:rPr>
        <w:t> </w:t>
      </w:r>
      <w:r>
        <w:rPr>
          <w:sz w:val="18"/>
        </w:rPr>
        <w:t>clinical</w:t>
      </w:r>
      <w:r>
        <w:rPr>
          <w:spacing w:val="-5"/>
          <w:sz w:val="18"/>
        </w:rPr>
        <w:t> </w:t>
      </w:r>
      <w:r>
        <w:rPr>
          <w:sz w:val="18"/>
        </w:rPr>
        <w:t>outcomes.</w:t>
      </w:r>
      <w:r>
        <w:rPr>
          <w:spacing w:val="-2"/>
          <w:sz w:val="18"/>
        </w:rPr>
        <w:t> </w:t>
      </w:r>
      <w:r>
        <w:rPr>
          <w:sz w:val="18"/>
        </w:rPr>
        <w:t>(3)</w:t>
      </w:r>
    </w:p>
    <w:p>
      <w:pPr>
        <w:spacing w:before="120"/>
        <w:ind w:left="1697" w:right="0" w:firstLine="0"/>
        <w:jc w:val="left"/>
        <w:rPr>
          <w:sz w:val="18"/>
        </w:rPr>
      </w:pPr>
      <w:r>
        <w:rPr/>
        <w:drawing>
          <wp:anchor distT="0" distB="0" distL="0" distR="0" allowOverlap="1" layoutInCell="1" locked="0" behindDoc="0" simplePos="0" relativeHeight="15966720">
            <wp:simplePos x="0" y="0"/>
            <wp:positionH relativeFrom="page">
              <wp:posOffset>1054901</wp:posOffset>
            </wp:positionH>
            <wp:positionV relativeFrom="paragraph">
              <wp:posOffset>120033</wp:posOffset>
            </wp:positionV>
            <wp:extent cx="58380" cy="72151"/>
            <wp:effectExtent l="0" t="0" r="0" b="0"/>
            <wp:wrapNone/>
            <wp:docPr id="1385" name="image13.png"/>
            <wp:cNvGraphicFramePr>
              <a:graphicFrameLocks noChangeAspect="1"/>
            </wp:cNvGraphicFramePr>
            <a:graphic>
              <a:graphicData uri="http://schemas.openxmlformats.org/drawingml/2006/picture">
                <pic:pic>
                  <pic:nvPicPr>
                    <pic:cNvPr id="138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Never</w:t>
      </w:r>
      <w:r>
        <w:rPr>
          <w:spacing w:val="-5"/>
          <w:sz w:val="18"/>
        </w:rPr>
        <w:t> </w:t>
      </w:r>
      <w:r>
        <w:rPr>
          <w:sz w:val="18"/>
        </w:rPr>
        <w:t>(1)</w:t>
      </w:r>
    </w:p>
    <w:p>
      <w:pPr>
        <w:spacing w:before="120"/>
        <w:ind w:left="1697" w:right="0" w:firstLine="0"/>
        <w:jc w:val="left"/>
        <w:rPr>
          <w:sz w:val="18"/>
        </w:rPr>
      </w:pPr>
      <w:r>
        <w:rPr/>
        <w:drawing>
          <wp:anchor distT="0" distB="0" distL="0" distR="0" allowOverlap="1" layoutInCell="1" locked="0" behindDoc="0" simplePos="0" relativeHeight="15967232">
            <wp:simplePos x="0" y="0"/>
            <wp:positionH relativeFrom="page">
              <wp:posOffset>1054901</wp:posOffset>
            </wp:positionH>
            <wp:positionV relativeFrom="paragraph">
              <wp:posOffset>120033</wp:posOffset>
            </wp:positionV>
            <wp:extent cx="58380" cy="72151"/>
            <wp:effectExtent l="0" t="0" r="0" b="0"/>
            <wp:wrapNone/>
            <wp:docPr id="1387" name="image13.png"/>
            <wp:cNvGraphicFramePr>
              <a:graphicFrameLocks noChangeAspect="1"/>
            </wp:cNvGraphicFramePr>
            <a:graphic>
              <a:graphicData uri="http://schemas.openxmlformats.org/drawingml/2006/picture">
                <pic:pic>
                  <pic:nvPicPr>
                    <pic:cNvPr id="138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Rarely</w:t>
      </w:r>
      <w:r>
        <w:rPr>
          <w:spacing w:val="-7"/>
          <w:sz w:val="18"/>
        </w:rPr>
        <w:t> </w:t>
      </w:r>
      <w:r>
        <w:rPr>
          <w:sz w:val="18"/>
        </w:rPr>
        <w:t>(2)</w:t>
      </w:r>
    </w:p>
    <w:p>
      <w:pPr>
        <w:spacing w:before="120"/>
        <w:ind w:left="1697" w:right="0" w:firstLine="0"/>
        <w:jc w:val="left"/>
        <w:rPr>
          <w:sz w:val="18"/>
        </w:rPr>
      </w:pPr>
      <w:r>
        <w:rPr/>
        <w:drawing>
          <wp:anchor distT="0" distB="0" distL="0" distR="0" allowOverlap="1" layoutInCell="1" locked="0" behindDoc="0" simplePos="0" relativeHeight="15967744">
            <wp:simplePos x="0" y="0"/>
            <wp:positionH relativeFrom="page">
              <wp:posOffset>1054901</wp:posOffset>
            </wp:positionH>
            <wp:positionV relativeFrom="paragraph">
              <wp:posOffset>120033</wp:posOffset>
            </wp:positionV>
            <wp:extent cx="58380" cy="72151"/>
            <wp:effectExtent l="0" t="0" r="0" b="0"/>
            <wp:wrapNone/>
            <wp:docPr id="1389" name="image13.png"/>
            <wp:cNvGraphicFramePr>
              <a:graphicFrameLocks noChangeAspect="1"/>
            </wp:cNvGraphicFramePr>
            <a:graphic>
              <a:graphicData uri="http://schemas.openxmlformats.org/drawingml/2006/picture">
                <pic:pic>
                  <pic:nvPicPr>
                    <pic:cNvPr id="139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Some-times</w:t>
      </w:r>
      <w:r>
        <w:rPr>
          <w:spacing w:val="-2"/>
          <w:sz w:val="18"/>
        </w:rPr>
        <w:t> </w:t>
      </w:r>
      <w:r>
        <w:rPr>
          <w:sz w:val="18"/>
        </w:rPr>
        <w:t>(3)</w:t>
      </w:r>
    </w:p>
    <w:p>
      <w:pPr>
        <w:spacing w:before="121"/>
        <w:ind w:left="1697" w:right="0" w:firstLine="0"/>
        <w:jc w:val="left"/>
        <w:rPr>
          <w:sz w:val="18"/>
        </w:rPr>
      </w:pPr>
      <w:r>
        <w:rPr/>
        <w:drawing>
          <wp:anchor distT="0" distB="0" distL="0" distR="0" allowOverlap="1" layoutInCell="1" locked="0" behindDoc="0" simplePos="0" relativeHeight="15968256">
            <wp:simplePos x="0" y="0"/>
            <wp:positionH relativeFrom="page">
              <wp:posOffset>1054901</wp:posOffset>
            </wp:positionH>
            <wp:positionV relativeFrom="paragraph">
              <wp:posOffset>120668</wp:posOffset>
            </wp:positionV>
            <wp:extent cx="58380" cy="72151"/>
            <wp:effectExtent l="0" t="0" r="0" b="0"/>
            <wp:wrapNone/>
            <wp:docPr id="1391" name="image13.png"/>
            <wp:cNvGraphicFramePr>
              <a:graphicFrameLocks noChangeAspect="1"/>
            </wp:cNvGraphicFramePr>
            <a:graphic>
              <a:graphicData uri="http://schemas.openxmlformats.org/drawingml/2006/picture">
                <pic:pic>
                  <pic:nvPicPr>
                    <pic:cNvPr id="139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Usually</w:t>
      </w:r>
      <w:r>
        <w:rPr>
          <w:spacing w:val="-6"/>
          <w:sz w:val="18"/>
        </w:rPr>
        <w:t> </w:t>
      </w:r>
      <w:r>
        <w:rPr>
          <w:sz w:val="18"/>
        </w:rPr>
        <w:t>(4)</w:t>
      </w:r>
    </w:p>
    <w:p>
      <w:pPr>
        <w:spacing w:before="120"/>
        <w:ind w:left="1697" w:right="0" w:firstLine="0"/>
        <w:jc w:val="left"/>
        <w:rPr>
          <w:sz w:val="18"/>
        </w:rPr>
      </w:pPr>
      <w:r>
        <w:rPr/>
        <w:drawing>
          <wp:anchor distT="0" distB="0" distL="0" distR="0" allowOverlap="1" layoutInCell="1" locked="0" behindDoc="0" simplePos="0" relativeHeight="15968768">
            <wp:simplePos x="0" y="0"/>
            <wp:positionH relativeFrom="page">
              <wp:posOffset>1054901</wp:posOffset>
            </wp:positionH>
            <wp:positionV relativeFrom="paragraph">
              <wp:posOffset>120033</wp:posOffset>
            </wp:positionV>
            <wp:extent cx="58380" cy="72151"/>
            <wp:effectExtent l="0" t="0" r="0" b="0"/>
            <wp:wrapNone/>
            <wp:docPr id="1393" name="image13.png"/>
            <wp:cNvGraphicFramePr>
              <a:graphicFrameLocks noChangeAspect="1"/>
            </wp:cNvGraphicFramePr>
            <a:graphic>
              <a:graphicData uri="http://schemas.openxmlformats.org/drawingml/2006/picture">
                <pic:pic>
                  <pic:nvPicPr>
                    <pic:cNvPr id="139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Always</w:t>
      </w:r>
      <w:r>
        <w:rPr>
          <w:spacing w:val="-5"/>
          <w:sz w:val="18"/>
        </w:rPr>
        <w:t> </w:t>
      </w:r>
      <w:r>
        <w:rPr>
          <w:sz w:val="18"/>
        </w:rPr>
        <w:t>(5)</w:t>
      </w:r>
    </w:p>
    <w:p>
      <w:pPr>
        <w:spacing w:before="120"/>
        <w:ind w:left="1697" w:right="0" w:firstLine="0"/>
        <w:jc w:val="left"/>
        <w:rPr>
          <w:sz w:val="18"/>
        </w:rPr>
      </w:pPr>
      <w:r>
        <w:rPr/>
        <w:drawing>
          <wp:anchor distT="0" distB="0" distL="0" distR="0" allowOverlap="1" layoutInCell="1" locked="0" behindDoc="0" simplePos="0" relativeHeight="15969280">
            <wp:simplePos x="0" y="0"/>
            <wp:positionH relativeFrom="page">
              <wp:posOffset>1056425</wp:posOffset>
            </wp:positionH>
            <wp:positionV relativeFrom="paragraph">
              <wp:posOffset>120033</wp:posOffset>
            </wp:positionV>
            <wp:extent cx="58380" cy="72151"/>
            <wp:effectExtent l="0" t="0" r="0" b="0"/>
            <wp:wrapNone/>
            <wp:docPr id="1395" name="image13.png"/>
            <wp:cNvGraphicFramePr>
              <a:graphicFrameLocks noChangeAspect="1"/>
            </wp:cNvGraphicFramePr>
            <a:graphic>
              <a:graphicData uri="http://schemas.openxmlformats.org/drawingml/2006/picture">
                <pic:pic>
                  <pic:nvPicPr>
                    <pic:cNvPr id="139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spacing w:after="0"/>
        <w:jc w:val="left"/>
        <w:rPr>
          <w:sz w:val="18"/>
        </w:rPr>
        <w:sectPr>
          <w:pgSz w:w="11910" w:h="16840"/>
          <w:pgMar w:header="0" w:footer="948" w:top="860" w:bottom="1140" w:left="300" w:right="0"/>
        </w:sectPr>
      </w:pPr>
    </w:p>
    <w:p>
      <w:pPr>
        <w:pStyle w:val="ListParagraph"/>
        <w:numPr>
          <w:ilvl w:val="0"/>
          <w:numId w:val="87"/>
        </w:numPr>
        <w:tabs>
          <w:tab w:pos="720" w:val="left" w:leader="none"/>
        </w:tabs>
        <w:spacing w:line="240" w:lineRule="auto" w:before="75" w:after="0"/>
        <w:ind w:left="719" w:right="0" w:hanging="300"/>
        <w:jc w:val="left"/>
        <w:rPr>
          <w:sz w:val="18"/>
        </w:rPr>
      </w:pPr>
      <w:r>
        <w:rPr>
          <w:sz w:val="18"/>
        </w:rPr>
        <w:t>The</w:t>
      </w:r>
      <w:r>
        <w:rPr>
          <w:spacing w:val="-3"/>
          <w:sz w:val="18"/>
        </w:rPr>
        <w:t> </w:t>
      </w:r>
      <w:r>
        <w:rPr>
          <w:sz w:val="18"/>
        </w:rPr>
        <w:t>primary</w:t>
      </w:r>
      <w:r>
        <w:rPr>
          <w:spacing w:val="-3"/>
          <w:sz w:val="18"/>
        </w:rPr>
        <w:t> </w:t>
      </w:r>
      <w:r>
        <w:rPr>
          <w:sz w:val="18"/>
        </w:rPr>
        <w:t>care</w:t>
      </w:r>
      <w:r>
        <w:rPr>
          <w:spacing w:val="-2"/>
          <w:sz w:val="18"/>
        </w:rPr>
        <w:t> </w:t>
      </w:r>
      <w:r>
        <w:rPr>
          <w:sz w:val="18"/>
        </w:rPr>
        <w:t>team…</w:t>
      </w:r>
    </w:p>
    <w:p>
      <w:pPr>
        <w:pStyle w:val="ListParagraph"/>
        <w:numPr>
          <w:ilvl w:val="0"/>
          <w:numId w:val="92"/>
        </w:numPr>
        <w:tabs>
          <w:tab w:pos="975" w:val="left" w:leader="none"/>
        </w:tabs>
        <w:spacing w:line="240" w:lineRule="auto" w:before="121" w:after="0"/>
        <w:ind w:left="974" w:right="0" w:hanging="272"/>
        <w:jc w:val="left"/>
        <w:rPr>
          <w:sz w:val="18"/>
        </w:rPr>
      </w:pPr>
      <w:r>
        <w:rPr>
          <w:sz w:val="18"/>
        </w:rPr>
        <w:t>…informs</w:t>
      </w:r>
      <w:r>
        <w:rPr>
          <w:spacing w:val="-3"/>
          <w:sz w:val="18"/>
        </w:rPr>
        <w:t> </w:t>
      </w:r>
      <w:r>
        <w:rPr>
          <w:sz w:val="18"/>
        </w:rPr>
        <w:t>patients</w:t>
      </w:r>
      <w:r>
        <w:rPr>
          <w:spacing w:val="-3"/>
          <w:sz w:val="18"/>
        </w:rPr>
        <w:t> </w:t>
      </w:r>
      <w:r>
        <w:rPr>
          <w:sz w:val="18"/>
        </w:rPr>
        <w:t>about</w:t>
      </w:r>
      <w:r>
        <w:rPr>
          <w:spacing w:val="-3"/>
          <w:sz w:val="18"/>
        </w:rPr>
        <w:t> </w:t>
      </w:r>
      <w:r>
        <w:rPr>
          <w:sz w:val="18"/>
        </w:rPr>
        <w:t>any</w:t>
      </w:r>
      <w:r>
        <w:rPr>
          <w:spacing w:val="-3"/>
          <w:sz w:val="18"/>
        </w:rPr>
        <w:t> </w:t>
      </w:r>
      <w:r>
        <w:rPr>
          <w:sz w:val="18"/>
        </w:rPr>
        <w:t>diagnosis</w:t>
      </w:r>
      <w:r>
        <w:rPr>
          <w:spacing w:val="-5"/>
          <w:sz w:val="18"/>
        </w:rPr>
        <w:t> </w:t>
      </w:r>
      <w:r>
        <w:rPr>
          <w:sz w:val="18"/>
        </w:rPr>
        <w:t>in</w:t>
      </w:r>
      <w:r>
        <w:rPr>
          <w:spacing w:val="-3"/>
          <w:sz w:val="18"/>
        </w:rPr>
        <w:t> </w:t>
      </w:r>
      <w:r>
        <w:rPr>
          <w:sz w:val="18"/>
        </w:rPr>
        <w:t>a</w:t>
      </w:r>
      <w:r>
        <w:rPr>
          <w:spacing w:val="-2"/>
          <w:sz w:val="18"/>
        </w:rPr>
        <w:t> </w:t>
      </w:r>
      <w:r>
        <w:rPr>
          <w:sz w:val="18"/>
        </w:rPr>
        <w:t>way</w:t>
      </w:r>
      <w:r>
        <w:rPr>
          <w:spacing w:val="-3"/>
          <w:sz w:val="18"/>
        </w:rPr>
        <w:t> </w:t>
      </w:r>
      <w:r>
        <w:rPr>
          <w:sz w:val="18"/>
        </w:rPr>
        <w:t>that they</w:t>
      </w:r>
      <w:r>
        <w:rPr>
          <w:spacing w:val="-3"/>
          <w:sz w:val="18"/>
        </w:rPr>
        <w:t> </w:t>
      </w:r>
      <w:r>
        <w:rPr>
          <w:sz w:val="18"/>
        </w:rPr>
        <w:t>can</w:t>
      </w:r>
      <w:r>
        <w:rPr>
          <w:spacing w:val="-2"/>
          <w:sz w:val="18"/>
        </w:rPr>
        <w:t> </w:t>
      </w:r>
      <w:r>
        <w:rPr>
          <w:sz w:val="18"/>
        </w:rPr>
        <w:t>understand.</w:t>
      </w:r>
      <w:r>
        <w:rPr>
          <w:spacing w:val="-1"/>
          <w:sz w:val="18"/>
        </w:rPr>
        <w:t> </w:t>
      </w:r>
      <w:r>
        <w:rPr>
          <w:sz w:val="18"/>
        </w:rPr>
        <w:t>(1)</w:t>
      </w:r>
    </w:p>
    <w:p>
      <w:pPr>
        <w:spacing w:before="120"/>
        <w:ind w:left="1697" w:right="0" w:firstLine="0"/>
        <w:jc w:val="left"/>
        <w:rPr>
          <w:sz w:val="18"/>
        </w:rPr>
      </w:pPr>
      <w:r>
        <w:rPr/>
        <w:drawing>
          <wp:anchor distT="0" distB="0" distL="0" distR="0" allowOverlap="1" layoutInCell="1" locked="0" behindDoc="0" simplePos="0" relativeHeight="15969792">
            <wp:simplePos x="0" y="0"/>
            <wp:positionH relativeFrom="page">
              <wp:posOffset>1054901</wp:posOffset>
            </wp:positionH>
            <wp:positionV relativeFrom="paragraph">
              <wp:posOffset>121051</wp:posOffset>
            </wp:positionV>
            <wp:extent cx="58380" cy="72150"/>
            <wp:effectExtent l="0" t="0" r="0" b="0"/>
            <wp:wrapNone/>
            <wp:docPr id="1397" name="image13.png"/>
            <wp:cNvGraphicFramePr>
              <a:graphicFrameLocks noChangeAspect="1"/>
            </wp:cNvGraphicFramePr>
            <a:graphic>
              <a:graphicData uri="http://schemas.openxmlformats.org/drawingml/2006/picture">
                <pic:pic>
                  <pic:nvPicPr>
                    <pic:cNvPr id="1398" name="image13.png"/>
                    <pic:cNvPicPr/>
                  </pic:nvPicPr>
                  <pic:blipFill>
                    <a:blip r:embed="rId41" cstate="print"/>
                    <a:stretch>
                      <a:fillRect/>
                    </a:stretch>
                  </pic:blipFill>
                  <pic:spPr>
                    <a:xfrm>
                      <a:off x="0" y="0"/>
                      <a:ext cx="58380" cy="72150"/>
                    </a:xfrm>
                    <a:prstGeom prst="rect">
                      <a:avLst/>
                    </a:prstGeom>
                  </pic:spPr>
                </pic:pic>
              </a:graphicData>
            </a:graphic>
          </wp:anchor>
        </w:drawing>
      </w:r>
      <w:r>
        <w:rPr>
          <w:sz w:val="18"/>
        </w:rPr>
        <w:t>Disagree</w:t>
      </w:r>
      <w:r>
        <w:rPr>
          <w:spacing w:val="-5"/>
          <w:sz w:val="18"/>
        </w:rPr>
        <w:t> </w:t>
      </w:r>
      <w:r>
        <w:rPr>
          <w:sz w:val="18"/>
        </w:rPr>
        <w:t>(1)</w:t>
      </w:r>
    </w:p>
    <w:p>
      <w:pPr>
        <w:spacing w:line="369" w:lineRule="auto" w:before="118"/>
        <w:ind w:left="1697" w:right="7257" w:firstLine="0"/>
        <w:jc w:val="left"/>
        <w:rPr>
          <w:sz w:val="18"/>
        </w:rPr>
      </w:pPr>
      <w:r>
        <w:rPr/>
        <w:drawing>
          <wp:anchor distT="0" distB="0" distL="0" distR="0" allowOverlap="1" layoutInCell="1" locked="0" behindDoc="0" simplePos="0" relativeHeight="15970304">
            <wp:simplePos x="0" y="0"/>
            <wp:positionH relativeFrom="page">
              <wp:posOffset>1054901</wp:posOffset>
            </wp:positionH>
            <wp:positionV relativeFrom="paragraph">
              <wp:posOffset>119586</wp:posOffset>
            </wp:positionV>
            <wp:extent cx="58380" cy="73869"/>
            <wp:effectExtent l="0" t="0" r="0" b="0"/>
            <wp:wrapNone/>
            <wp:docPr id="1399" name="image14.png"/>
            <wp:cNvGraphicFramePr>
              <a:graphicFrameLocks noChangeAspect="1"/>
            </wp:cNvGraphicFramePr>
            <a:graphic>
              <a:graphicData uri="http://schemas.openxmlformats.org/drawingml/2006/picture">
                <pic:pic>
                  <pic:nvPicPr>
                    <pic:cNvPr id="1400" name="image14.png"/>
                    <pic:cNvPicPr/>
                  </pic:nvPicPr>
                  <pic:blipFill>
                    <a:blip r:embed="rId43" cstate="print"/>
                    <a:stretch>
                      <a:fillRect/>
                    </a:stretch>
                  </pic:blipFill>
                  <pic:spPr>
                    <a:xfrm>
                      <a:off x="0" y="0"/>
                      <a:ext cx="58380" cy="73869"/>
                    </a:xfrm>
                    <a:prstGeom prst="rect">
                      <a:avLst/>
                    </a:prstGeom>
                  </pic:spPr>
                </pic:pic>
              </a:graphicData>
            </a:graphic>
          </wp:anchor>
        </w:drawing>
      </w:r>
      <w:r>
        <w:rPr/>
        <w:drawing>
          <wp:anchor distT="0" distB="0" distL="0" distR="0" allowOverlap="1" layoutInCell="1" locked="0" behindDoc="0" simplePos="0" relativeHeight="15970816">
            <wp:simplePos x="0" y="0"/>
            <wp:positionH relativeFrom="page">
              <wp:posOffset>1054901</wp:posOffset>
            </wp:positionH>
            <wp:positionV relativeFrom="paragraph">
              <wp:posOffset>336188</wp:posOffset>
            </wp:positionV>
            <wp:extent cx="58380" cy="72151"/>
            <wp:effectExtent l="0" t="0" r="0" b="0"/>
            <wp:wrapNone/>
            <wp:docPr id="1401" name="image13.png"/>
            <wp:cNvGraphicFramePr>
              <a:graphicFrameLocks noChangeAspect="1"/>
            </wp:cNvGraphicFramePr>
            <a:graphic>
              <a:graphicData uri="http://schemas.openxmlformats.org/drawingml/2006/picture">
                <pic:pic>
                  <pic:nvPicPr>
                    <pic:cNvPr id="1402"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971328">
            <wp:simplePos x="0" y="0"/>
            <wp:positionH relativeFrom="page">
              <wp:posOffset>1054901</wp:posOffset>
            </wp:positionH>
            <wp:positionV relativeFrom="paragraph">
              <wp:posOffset>552597</wp:posOffset>
            </wp:positionV>
            <wp:extent cx="58380" cy="72150"/>
            <wp:effectExtent l="0" t="0" r="0" b="0"/>
            <wp:wrapNone/>
            <wp:docPr id="1403" name="image13.png"/>
            <wp:cNvGraphicFramePr>
              <a:graphicFrameLocks noChangeAspect="1"/>
            </wp:cNvGraphicFramePr>
            <a:graphic>
              <a:graphicData uri="http://schemas.openxmlformats.org/drawingml/2006/picture">
                <pic:pic>
                  <pic:nvPicPr>
                    <pic:cNvPr id="1404" name="image13.png"/>
                    <pic:cNvPicPr/>
                  </pic:nvPicPr>
                  <pic:blipFill>
                    <a:blip r:embed="rId41" cstate="print"/>
                    <a:stretch>
                      <a:fillRect/>
                    </a:stretch>
                  </pic:blipFill>
                  <pic:spPr>
                    <a:xfrm>
                      <a:off x="0" y="0"/>
                      <a:ext cx="58380" cy="72150"/>
                    </a:xfrm>
                    <a:prstGeom prst="rect">
                      <a:avLst/>
                    </a:prstGeom>
                  </pic:spPr>
                </pic:pic>
              </a:graphicData>
            </a:graphic>
          </wp:anchor>
        </w:drawing>
      </w:r>
      <w:r>
        <w:rPr>
          <w:sz w:val="18"/>
        </w:rPr>
        <w:t>Somewhat disagree (2)</w:t>
      </w:r>
      <w:r>
        <w:rPr>
          <w:spacing w:val="1"/>
          <w:sz w:val="18"/>
        </w:rPr>
        <w:t> </w:t>
      </w:r>
      <w:r>
        <w:rPr>
          <w:sz w:val="18"/>
        </w:rPr>
        <w:t>Neither agree nor disagree (3)</w:t>
      </w:r>
      <w:r>
        <w:rPr>
          <w:spacing w:val="-48"/>
          <w:sz w:val="18"/>
        </w:rPr>
        <w:t> </w:t>
      </w:r>
      <w:r>
        <w:rPr>
          <w:sz w:val="18"/>
        </w:rPr>
        <w:t>Somewhat</w:t>
      </w:r>
      <w:r>
        <w:rPr>
          <w:spacing w:val="-3"/>
          <w:sz w:val="18"/>
        </w:rPr>
        <w:t> </w:t>
      </w:r>
      <w:r>
        <w:rPr>
          <w:sz w:val="18"/>
        </w:rPr>
        <w:t>agree</w:t>
      </w:r>
      <w:r>
        <w:rPr>
          <w:spacing w:val="3"/>
          <w:sz w:val="18"/>
        </w:rPr>
        <w:t> </w:t>
      </w:r>
      <w:r>
        <w:rPr>
          <w:sz w:val="18"/>
        </w:rPr>
        <w:t>(4)</w:t>
      </w:r>
    </w:p>
    <w:p>
      <w:pPr>
        <w:spacing w:before="3"/>
        <w:ind w:left="1697" w:right="0" w:firstLine="0"/>
        <w:jc w:val="left"/>
        <w:rPr>
          <w:sz w:val="18"/>
        </w:rPr>
      </w:pPr>
      <w:r>
        <w:rPr/>
        <w:drawing>
          <wp:anchor distT="0" distB="0" distL="0" distR="0" allowOverlap="1" layoutInCell="1" locked="0" behindDoc="0" simplePos="0" relativeHeight="15971840">
            <wp:simplePos x="0" y="0"/>
            <wp:positionH relativeFrom="page">
              <wp:posOffset>1054901</wp:posOffset>
            </wp:positionH>
            <wp:positionV relativeFrom="paragraph">
              <wp:posOffset>46755</wp:posOffset>
            </wp:positionV>
            <wp:extent cx="58380" cy="72151"/>
            <wp:effectExtent l="0" t="0" r="0" b="0"/>
            <wp:wrapNone/>
            <wp:docPr id="1405" name="image13.png"/>
            <wp:cNvGraphicFramePr>
              <a:graphicFrameLocks noChangeAspect="1"/>
            </wp:cNvGraphicFramePr>
            <a:graphic>
              <a:graphicData uri="http://schemas.openxmlformats.org/drawingml/2006/picture">
                <pic:pic>
                  <pic:nvPicPr>
                    <pic:cNvPr id="140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Agree (5)</w:t>
      </w:r>
    </w:p>
    <w:p>
      <w:pPr>
        <w:spacing w:before="120"/>
        <w:ind w:left="1697" w:right="0" w:firstLine="0"/>
        <w:jc w:val="left"/>
        <w:rPr>
          <w:sz w:val="18"/>
        </w:rPr>
      </w:pPr>
      <w:r>
        <w:rPr/>
        <w:drawing>
          <wp:anchor distT="0" distB="0" distL="0" distR="0" allowOverlap="1" layoutInCell="1" locked="0" behindDoc="0" simplePos="0" relativeHeight="15972352">
            <wp:simplePos x="0" y="0"/>
            <wp:positionH relativeFrom="page">
              <wp:posOffset>1054901</wp:posOffset>
            </wp:positionH>
            <wp:positionV relativeFrom="paragraph">
              <wp:posOffset>121049</wp:posOffset>
            </wp:positionV>
            <wp:extent cx="58380" cy="72151"/>
            <wp:effectExtent l="0" t="0" r="0" b="0"/>
            <wp:wrapNone/>
            <wp:docPr id="1407" name="image13.png"/>
            <wp:cNvGraphicFramePr>
              <a:graphicFrameLocks noChangeAspect="1"/>
            </wp:cNvGraphicFramePr>
            <a:graphic>
              <a:graphicData uri="http://schemas.openxmlformats.org/drawingml/2006/picture">
                <pic:pic>
                  <pic:nvPicPr>
                    <pic:cNvPr id="140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Don't</w:t>
      </w:r>
      <w:r>
        <w:rPr>
          <w:spacing w:val="-3"/>
          <w:sz w:val="18"/>
        </w:rPr>
        <w:t> </w:t>
      </w:r>
      <w:r>
        <w:rPr>
          <w:sz w:val="18"/>
        </w:rPr>
        <w:t>know</w:t>
      </w:r>
      <w:r>
        <w:rPr>
          <w:spacing w:val="-1"/>
          <w:sz w:val="18"/>
        </w:rPr>
        <w:t> </w:t>
      </w:r>
      <w:r>
        <w:rPr>
          <w:sz w:val="18"/>
        </w:rPr>
        <w:t>(6)</w:t>
      </w:r>
    </w:p>
    <w:p>
      <w:pPr>
        <w:pStyle w:val="ListParagraph"/>
        <w:numPr>
          <w:ilvl w:val="0"/>
          <w:numId w:val="92"/>
        </w:numPr>
        <w:tabs>
          <w:tab w:pos="924" w:val="left" w:leader="none"/>
        </w:tabs>
        <w:spacing w:line="240" w:lineRule="auto" w:before="120" w:after="0"/>
        <w:ind w:left="923" w:right="0" w:hanging="221"/>
        <w:jc w:val="left"/>
        <w:rPr>
          <w:sz w:val="18"/>
        </w:rPr>
      </w:pPr>
      <w:r>
        <w:rPr>
          <w:sz w:val="18"/>
        </w:rPr>
        <w:t>…helps</w:t>
      </w:r>
      <w:r>
        <w:rPr>
          <w:spacing w:val="-4"/>
          <w:sz w:val="18"/>
        </w:rPr>
        <w:t> </w:t>
      </w:r>
      <w:r>
        <w:rPr>
          <w:sz w:val="18"/>
        </w:rPr>
        <w:t>patients</w:t>
      </w:r>
      <w:r>
        <w:rPr>
          <w:spacing w:val="-3"/>
          <w:sz w:val="18"/>
        </w:rPr>
        <w:t> </w:t>
      </w:r>
      <w:r>
        <w:rPr>
          <w:sz w:val="18"/>
        </w:rPr>
        <w:t>understand</w:t>
      </w:r>
      <w:r>
        <w:rPr>
          <w:spacing w:val="-3"/>
          <w:sz w:val="18"/>
        </w:rPr>
        <w:t> </w:t>
      </w:r>
      <w:r>
        <w:rPr>
          <w:sz w:val="18"/>
        </w:rPr>
        <w:t>all</w:t>
      </w:r>
      <w:r>
        <w:rPr>
          <w:spacing w:val="-3"/>
          <w:sz w:val="18"/>
        </w:rPr>
        <w:t> </w:t>
      </w:r>
      <w:r>
        <w:rPr>
          <w:sz w:val="18"/>
        </w:rPr>
        <w:t>of</w:t>
      </w:r>
      <w:r>
        <w:rPr>
          <w:spacing w:val="-2"/>
          <w:sz w:val="18"/>
        </w:rPr>
        <w:t> </w:t>
      </w:r>
      <w:r>
        <w:rPr>
          <w:sz w:val="18"/>
        </w:rPr>
        <w:t>the</w:t>
      </w:r>
      <w:r>
        <w:rPr>
          <w:spacing w:val="-2"/>
          <w:sz w:val="18"/>
        </w:rPr>
        <w:t> </w:t>
      </w:r>
      <w:r>
        <w:rPr>
          <w:sz w:val="18"/>
        </w:rPr>
        <w:t>choices</w:t>
      </w:r>
      <w:r>
        <w:rPr>
          <w:spacing w:val="-6"/>
          <w:sz w:val="18"/>
        </w:rPr>
        <w:t> </w:t>
      </w:r>
      <w:r>
        <w:rPr>
          <w:sz w:val="18"/>
        </w:rPr>
        <w:t>for</w:t>
      </w:r>
      <w:r>
        <w:rPr>
          <w:spacing w:val="-2"/>
          <w:sz w:val="18"/>
        </w:rPr>
        <w:t> </w:t>
      </w:r>
      <w:r>
        <w:rPr>
          <w:sz w:val="18"/>
        </w:rPr>
        <w:t>their</w:t>
      </w:r>
      <w:r>
        <w:rPr>
          <w:spacing w:val="-2"/>
          <w:sz w:val="18"/>
        </w:rPr>
        <w:t> </w:t>
      </w:r>
      <w:r>
        <w:rPr>
          <w:sz w:val="18"/>
        </w:rPr>
        <w:t>care.</w:t>
      </w:r>
      <w:r>
        <w:rPr>
          <w:spacing w:val="-3"/>
          <w:sz w:val="18"/>
        </w:rPr>
        <w:t> </w:t>
      </w:r>
      <w:r>
        <w:rPr>
          <w:sz w:val="18"/>
        </w:rPr>
        <w:t>(2)</w:t>
      </w:r>
    </w:p>
    <w:p>
      <w:pPr>
        <w:spacing w:before="120"/>
        <w:ind w:left="1697" w:right="0" w:firstLine="0"/>
        <w:jc w:val="left"/>
        <w:rPr>
          <w:sz w:val="18"/>
        </w:rPr>
      </w:pPr>
      <w:r>
        <w:rPr/>
        <w:drawing>
          <wp:anchor distT="0" distB="0" distL="0" distR="0" allowOverlap="1" layoutInCell="1" locked="0" behindDoc="0" simplePos="0" relativeHeight="15972864">
            <wp:simplePos x="0" y="0"/>
            <wp:positionH relativeFrom="page">
              <wp:posOffset>1054901</wp:posOffset>
            </wp:positionH>
            <wp:positionV relativeFrom="paragraph">
              <wp:posOffset>121050</wp:posOffset>
            </wp:positionV>
            <wp:extent cx="58380" cy="72151"/>
            <wp:effectExtent l="0" t="0" r="0" b="0"/>
            <wp:wrapNone/>
            <wp:docPr id="1409" name="image13.png"/>
            <wp:cNvGraphicFramePr>
              <a:graphicFrameLocks noChangeAspect="1"/>
            </wp:cNvGraphicFramePr>
            <a:graphic>
              <a:graphicData uri="http://schemas.openxmlformats.org/drawingml/2006/picture">
                <pic:pic>
                  <pic:nvPicPr>
                    <pic:cNvPr id="141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Disagree</w:t>
      </w:r>
      <w:r>
        <w:rPr>
          <w:spacing w:val="-5"/>
          <w:sz w:val="18"/>
        </w:rPr>
        <w:t> </w:t>
      </w:r>
      <w:r>
        <w:rPr>
          <w:sz w:val="18"/>
        </w:rPr>
        <w:t>(1)</w:t>
      </w:r>
    </w:p>
    <w:p>
      <w:pPr>
        <w:spacing w:line="372" w:lineRule="auto" w:before="120"/>
        <w:ind w:left="1697" w:right="7257" w:firstLine="0"/>
        <w:jc w:val="left"/>
        <w:rPr>
          <w:sz w:val="18"/>
        </w:rPr>
      </w:pPr>
      <w:r>
        <w:rPr/>
        <w:drawing>
          <wp:anchor distT="0" distB="0" distL="0" distR="0" allowOverlap="1" layoutInCell="1" locked="0" behindDoc="0" simplePos="0" relativeHeight="15973376">
            <wp:simplePos x="0" y="0"/>
            <wp:positionH relativeFrom="page">
              <wp:posOffset>1054901</wp:posOffset>
            </wp:positionH>
            <wp:positionV relativeFrom="paragraph">
              <wp:posOffset>121049</wp:posOffset>
            </wp:positionV>
            <wp:extent cx="58380" cy="72151"/>
            <wp:effectExtent l="0" t="0" r="0" b="0"/>
            <wp:wrapNone/>
            <wp:docPr id="1411" name="image13.png"/>
            <wp:cNvGraphicFramePr>
              <a:graphicFrameLocks noChangeAspect="1"/>
            </wp:cNvGraphicFramePr>
            <a:graphic>
              <a:graphicData uri="http://schemas.openxmlformats.org/drawingml/2006/picture">
                <pic:pic>
                  <pic:nvPicPr>
                    <pic:cNvPr id="1412"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973888">
            <wp:simplePos x="0" y="0"/>
            <wp:positionH relativeFrom="page">
              <wp:posOffset>1054901</wp:posOffset>
            </wp:positionH>
            <wp:positionV relativeFrom="paragraph">
              <wp:posOffset>337265</wp:posOffset>
            </wp:positionV>
            <wp:extent cx="58380" cy="73867"/>
            <wp:effectExtent l="0" t="0" r="0" b="0"/>
            <wp:wrapNone/>
            <wp:docPr id="1413" name="image14.png"/>
            <wp:cNvGraphicFramePr>
              <a:graphicFrameLocks noChangeAspect="1"/>
            </wp:cNvGraphicFramePr>
            <a:graphic>
              <a:graphicData uri="http://schemas.openxmlformats.org/drawingml/2006/picture">
                <pic:pic>
                  <pic:nvPicPr>
                    <pic:cNvPr id="1414" name="image14.png"/>
                    <pic:cNvPicPr/>
                  </pic:nvPicPr>
                  <pic:blipFill>
                    <a:blip r:embed="rId43" cstate="print"/>
                    <a:stretch>
                      <a:fillRect/>
                    </a:stretch>
                  </pic:blipFill>
                  <pic:spPr>
                    <a:xfrm>
                      <a:off x="0" y="0"/>
                      <a:ext cx="58380" cy="73867"/>
                    </a:xfrm>
                    <a:prstGeom prst="rect">
                      <a:avLst/>
                    </a:prstGeom>
                  </pic:spPr>
                </pic:pic>
              </a:graphicData>
            </a:graphic>
          </wp:anchor>
        </w:drawing>
      </w:r>
      <w:r>
        <w:rPr/>
        <w:drawing>
          <wp:anchor distT="0" distB="0" distL="0" distR="0" allowOverlap="1" layoutInCell="1" locked="0" behindDoc="0" simplePos="0" relativeHeight="15974400">
            <wp:simplePos x="0" y="0"/>
            <wp:positionH relativeFrom="page">
              <wp:posOffset>1054901</wp:posOffset>
            </wp:positionH>
            <wp:positionV relativeFrom="paragraph">
              <wp:posOffset>553865</wp:posOffset>
            </wp:positionV>
            <wp:extent cx="58380" cy="72151"/>
            <wp:effectExtent l="0" t="0" r="0" b="0"/>
            <wp:wrapNone/>
            <wp:docPr id="1415" name="image13.png"/>
            <wp:cNvGraphicFramePr>
              <a:graphicFrameLocks noChangeAspect="1"/>
            </wp:cNvGraphicFramePr>
            <a:graphic>
              <a:graphicData uri="http://schemas.openxmlformats.org/drawingml/2006/picture">
                <pic:pic>
                  <pic:nvPicPr>
                    <pic:cNvPr id="141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 disagree (2)</w:t>
      </w:r>
      <w:r>
        <w:rPr>
          <w:spacing w:val="1"/>
          <w:sz w:val="18"/>
        </w:rPr>
        <w:t> </w:t>
      </w:r>
      <w:r>
        <w:rPr>
          <w:sz w:val="18"/>
        </w:rPr>
        <w:t>Neither agree nor disagree (3)</w:t>
      </w:r>
      <w:r>
        <w:rPr>
          <w:spacing w:val="-48"/>
          <w:sz w:val="18"/>
        </w:rPr>
        <w:t> </w:t>
      </w:r>
      <w:r>
        <w:rPr>
          <w:sz w:val="18"/>
        </w:rPr>
        <w:t>Somewhat</w:t>
      </w:r>
      <w:r>
        <w:rPr>
          <w:spacing w:val="-3"/>
          <w:sz w:val="18"/>
        </w:rPr>
        <w:t> </w:t>
      </w:r>
      <w:r>
        <w:rPr>
          <w:sz w:val="18"/>
        </w:rPr>
        <w:t>agree</w:t>
      </w:r>
      <w:r>
        <w:rPr>
          <w:spacing w:val="3"/>
          <w:sz w:val="18"/>
        </w:rPr>
        <w:t> </w:t>
      </w:r>
      <w:r>
        <w:rPr>
          <w:sz w:val="18"/>
        </w:rPr>
        <w:t>(4)</w:t>
      </w:r>
    </w:p>
    <w:p>
      <w:pPr>
        <w:spacing w:line="217" w:lineRule="exact" w:before="0"/>
        <w:ind w:left="1697" w:right="0" w:firstLine="0"/>
        <w:jc w:val="left"/>
        <w:rPr>
          <w:sz w:val="18"/>
        </w:rPr>
      </w:pPr>
      <w:r>
        <w:rPr/>
        <w:drawing>
          <wp:anchor distT="0" distB="0" distL="0" distR="0" allowOverlap="1" layoutInCell="1" locked="0" behindDoc="0" simplePos="0" relativeHeight="15974912">
            <wp:simplePos x="0" y="0"/>
            <wp:positionH relativeFrom="page">
              <wp:posOffset>1054901</wp:posOffset>
            </wp:positionH>
            <wp:positionV relativeFrom="paragraph">
              <wp:posOffset>42421</wp:posOffset>
            </wp:positionV>
            <wp:extent cx="58380" cy="72151"/>
            <wp:effectExtent l="0" t="0" r="0" b="0"/>
            <wp:wrapNone/>
            <wp:docPr id="1417" name="image13.png"/>
            <wp:cNvGraphicFramePr>
              <a:graphicFrameLocks noChangeAspect="1"/>
            </wp:cNvGraphicFramePr>
            <a:graphic>
              <a:graphicData uri="http://schemas.openxmlformats.org/drawingml/2006/picture">
                <pic:pic>
                  <pic:nvPicPr>
                    <pic:cNvPr id="141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Agree (5)</w:t>
      </w:r>
    </w:p>
    <w:p>
      <w:pPr>
        <w:spacing w:before="120"/>
        <w:ind w:left="1697" w:right="0" w:firstLine="0"/>
        <w:jc w:val="left"/>
        <w:rPr>
          <w:sz w:val="18"/>
        </w:rPr>
      </w:pPr>
      <w:r>
        <w:rPr/>
        <w:drawing>
          <wp:anchor distT="0" distB="0" distL="0" distR="0" allowOverlap="1" layoutInCell="1" locked="0" behindDoc="0" simplePos="0" relativeHeight="15975424">
            <wp:simplePos x="0" y="0"/>
            <wp:positionH relativeFrom="page">
              <wp:posOffset>1054901</wp:posOffset>
            </wp:positionH>
            <wp:positionV relativeFrom="paragraph">
              <wp:posOffset>120669</wp:posOffset>
            </wp:positionV>
            <wp:extent cx="58380" cy="72150"/>
            <wp:effectExtent l="0" t="0" r="0" b="0"/>
            <wp:wrapNone/>
            <wp:docPr id="1419" name="image13.png"/>
            <wp:cNvGraphicFramePr>
              <a:graphicFrameLocks noChangeAspect="1"/>
            </wp:cNvGraphicFramePr>
            <a:graphic>
              <a:graphicData uri="http://schemas.openxmlformats.org/drawingml/2006/picture">
                <pic:pic>
                  <pic:nvPicPr>
                    <pic:cNvPr id="1420" name="image13.png"/>
                    <pic:cNvPicPr/>
                  </pic:nvPicPr>
                  <pic:blipFill>
                    <a:blip r:embed="rId41" cstate="print"/>
                    <a:stretch>
                      <a:fillRect/>
                    </a:stretch>
                  </pic:blipFill>
                  <pic:spPr>
                    <a:xfrm>
                      <a:off x="0" y="0"/>
                      <a:ext cx="58380" cy="72150"/>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pStyle w:val="ListParagraph"/>
        <w:numPr>
          <w:ilvl w:val="0"/>
          <w:numId w:val="92"/>
        </w:numPr>
        <w:tabs>
          <w:tab w:pos="919" w:val="left" w:leader="none"/>
        </w:tabs>
        <w:spacing w:line="369" w:lineRule="auto" w:before="120" w:after="0"/>
        <w:ind w:left="1697" w:right="1919" w:hanging="995"/>
        <w:jc w:val="left"/>
        <w:rPr>
          <w:sz w:val="18"/>
        </w:rPr>
      </w:pPr>
      <w:r>
        <w:rPr/>
        <w:drawing>
          <wp:anchor distT="0" distB="0" distL="0" distR="0" allowOverlap="1" layoutInCell="1" locked="0" behindDoc="1" simplePos="0" relativeHeight="476007936">
            <wp:simplePos x="0" y="0"/>
            <wp:positionH relativeFrom="page">
              <wp:posOffset>1054901</wp:posOffset>
            </wp:positionH>
            <wp:positionV relativeFrom="paragraph">
              <wp:posOffset>337076</wp:posOffset>
            </wp:positionV>
            <wp:extent cx="58380" cy="72151"/>
            <wp:effectExtent l="0" t="0" r="0" b="0"/>
            <wp:wrapNone/>
            <wp:docPr id="1421" name="image13.png"/>
            <wp:cNvGraphicFramePr>
              <a:graphicFrameLocks noChangeAspect="1"/>
            </wp:cNvGraphicFramePr>
            <a:graphic>
              <a:graphicData uri="http://schemas.openxmlformats.org/drawingml/2006/picture">
                <pic:pic>
                  <pic:nvPicPr>
                    <pic:cNvPr id="142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…considers and respects patients’ values, beliefs and traditions when recommending treatments. (3)</w:t>
      </w:r>
      <w:r>
        <w:rPr>
          <w:spacing w:val="-48"/>
          <w:sz w:val="18"/>
        </w:rPr>
        <w:t> </w:t>
      </w:r>
      <w:r>
        <w:rPr>
          <w:sz w:val="18"/>
        </w:rPr>
        <w:t>Disagree</w:t>
      </w:r>
      <w:r>
        <w:rPr>
          <w:spacing w:val="-1"/>
          <w:sz w:val="18"/>
        </w:rPr>
        <w:t> </w:t>
      </w:r>
      <w:r>
        <w:rPr>
          <w:sz w:val="18"/>
        </w:rPr>
        <w:t>(1)</w:t>
      </w:r>
    </w:p>
    <w:p>
      <w:pPr>
        <w:spacing w:line="369" w:lineRule="auto" w:before="2"/>
        <w:ind w:left="1697" w:right="7257" w:firstLine="0"/>
        <w:jc w:val="left"/>
        <w:rPr>
          <w:sz w:val="18"/>
        </w:rPr>
      </w:pPr>
      <w:r>
        <w:rPr/>
        <w:drawing>
          <wp:anchor distT="0" distB="0" distL="0" distR="0" allowOverlap="1" layoutInCell="1" locked="0" behindDoc="0" simplePos="0" relativeHeight="15976448">
            <wp:simplePos x="0" y="0"/>
            <wp:positionH relativeFrom="page">
              <wp:posOffset>1054901</wp:posOffset>
            </wp:positionH>
            <wp:positionV relativeFrom="paragraph">
              <wp:posOffset>45738</wp:posOffset>
            </wp:positionV>
            <wp:extent cx="58380" cy="72151"/>
            <wp:effectExtent l="0" t="0" r="0" b="0"/>
            <wp:wrapNone/>
            <wp:docPr id="1423" name="image13.png"/>
            <wp:cNvGraphicFramePr>
              <a:graphicFrameLocks noChangeAspect="1"/>
            </wp:cNvGraphicFramePr>
            <a:graphic>
              <a:graphicData uri="http://schemas.openxmlformats.org/drawingml/2006/picture">
                <pic:pic>
                  <pic:nvPicPr>
                    <pic:cNvPr id="1424"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976960">
            <wp:simplePos x="0" y="0"/>
            <wp:positionH relativeFrom="page">
              <wp:posOffset>1054901</wp:posOffset>
            </wp:positionH>
            <wp:positionV relativeFrom="paragraph">
              <wp:posOffset>262146</wp:posOffset>
            </wp:positionV>
            <wp:extent cx="58380" cy="72151"/>
            <wp:effectExtent l="0" t="0" r="0" b="0"/>
            <wp:wrapNone/>
            <wp:docPr id="1425" name="image13.png"/>
            <wp:cNvGraphicFramePr>
              <a:graphicFrameLocks noChangeAspect="1"/>
            </wp:cNvGraphicFramePr>
            <a:graphic>
              <a:graphicData uri="http://schemas.openxmlformats.org/drawingml/2006/picture">
                <pic:pic>
                  <pic:nvPicPr>
                    <pic:cNvPr id="1426"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5977472">
            <wp:simplePos x="0" y="0"/>
            <wp:positionH relativeFrom="page">
              <wp:posOffset>1054901</wp:posOffset>
            </wp:positionH>
            <wp:positionV relativeFrom="paragraph">
              <wp:posOffset>478554</wp:posOffset>
            </wp:positionV>
            <wp:extent cx="58380" cy="72151"/>
            <wp:effectExtent l="0" t="0" r="0" b="0"/>
            <wp:wrapNone/>
            <wp:docPr id="1427" name="image13.png"/>
            <wp:cNvGraphicFramePr>
              <a:graphicFrameLocks noChangeAspect="1"/>
            </wp:cNvGraphicFramePr>
            <a:graphic>
              <a:graphicData uri="http://schemas.openxmlformats.org/drawingml/2006/picture">
                <pic:pic>
                  <pic:nvPicPr>
                    <pic:cNvPr id="142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 disagree (2)</w:t>
      </w:r>
      <w:r>
        <w:rPr>
          <w:spacing w:val="1"/>
          <w:sz w:val="18"/>
        </w:rPr>
        <w:t> </w:t>
      </w:r>
      <w:r>
        <w:rPr>
          <w:sz w:val="18"/>
        </w:rPr>
        <w:t>Neither agree nor disagree (3)</w:t>
      </w:r>
      <w:r>
        <w:rPr>
          <w:spacing w:val="-48"/>
          <w:sz w:val="18"/>
        </w:rPr>
        <w:t> </w:t>
      </w:r>
      <w:r>
        <w:rPr>
          <w:sz w:val="18"/>
        </w:rPr>
        <w:t>Somewhat</w:t>
      </w:r>
      <w:r>
        <w:rPr>
          <w:spacing w:val="-3"/>
          <w:sz w:val="18"/>
        </w:rPr>
        <w:t> </w:t>
      </w:r>
      <w:r>
        <w:rPr>
          <w:sz w:val="18"/>
        </w:rPr>
        <w:t>agree</w:t>
      </w:r>
      <w:r>
        <w:rPr>
          <w:spacing w:val="3"/>
          <w:sz w:val="18"/>
        </w:rPr>
        <w:t> </w:t>
      </w:r>
      <w:r>
        <w:rPr>
          <w:sz w:val="18"/>
        </w:rPr>
        <w:t>(4)</w:t>
      </w:r>
    </w:p>
    <w:p>
      <w:pPr>
        <w:spacing w:before="3"/>
        <w:ind w:left="1697" w:right="0" w:firstLine="0"/>
        <w:jc w:val="left"/>
        <w:rPr>
          <w:sz w:val="18"/>
        </w:rPr>
      </w:pPr>
      <w:r>
        <w:rPr/>
        <w:drawing>
          <wp:anchor distT="0" distB="0" distL="0" distR="0" allowOverlap="1" layoutInCell="1" locked="0" behindDoc="0" simplePos="0" relativeHeight="15977984">
            <wp:simplePos x="0" y="0"/>
            <wp:positionH relativeFrom="page">
              <wp:posOffset>1054901</wp:posOffset>
            </wp:positionH>
            <wp:positionV relativeFrom="paragraph">
              <wp:posOffset>46373</wp:posOffset>
            </wp:positionV>
            <wp:extent cx="58380" cy="72151"/>
            <wp:effectExtent l="0" t="0" r="0" b="0"/>
            <wp:wrapNone/>
            <wp:docPr id="1429" name="image13.png"/>
            <wp:cNvGraphicFramePr>
              <a:graphicFrameLocks noChangeAspect="1"/>
            </wp:cNvGraphicFramePr>
            <a:graphic>
              <a:graphicData uri="http://schemas.openxmlformats.org/drawingml/2006/picture">
                <pic:pic>
                  <pic:nvPicPr>
                    <pic:cNvPr id="143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Agree (5)</w:t>
      </w:r>
    </w:p>
    <w:p>
      <w:pPr>
        <w:spacing w:before="120"/>
        <w:ind w:left="1697" w:right="0" w:firstLine="0"/>
        <w:jc w:val="left"/>
        <w:rPr>
          <w:sz w:val="18"/>
        </w:rPr>
      </w:pPr>
      <w:r>
        <w:rPr/>
        <w:drawing>
          <wp:anchor distT="0" distB="0" distL="0" distR="0" allowOverlap="1" layoutInCell="1" locked="0" behindDoc="0" simplePos="0" relativeHeight="15978496">
            <wp:simplePos x="0" y="0"/>
            <wp:positionH relativeFrom="page">
              <wp:posOffset>1054901</wp:posOffset>
            </wp:positionH>
            <wp:positionV relativeFrom="paragraph">
              <wp:posOffset>120221</wp:posOffset>
            </wp:positionV>
            <wp:extent cx="58380" cy="73869"/>
            <wp:effectExtent l="0" t="0" r="0" b="0"/>
            <wp:wrapNone/>
            <wp:docPr id="1431" name="image14.png"/>
            <wp:cNvGraphicFramePr>
              <a:graphicFrameLocks noChangeAspect="1"/>
            </wp:cNvGraphicFramePr>
            <a:graphic>
              <a:graphicData uri="http://schemas.openxmlformats.org/drawingml/2006/picture">
                <pic:pic>
                  <pic:nvPicPr>
                    <pic:cNvPr id="1432"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pStyle w:val="ListParagraph"/>
        <w:numPr>
          <w:ilvl w:val="0"/>
          <w:numId w:val="87"/>
        </w:numPr>
        <w:tabs>
          <w:tab w:pos="720" w:val="left" w:leader="none"/>
        </w:tabs>
        <w:spacing w:line="240" w:lineRule="auto" w:before="120" w:after="0"/>
        <w:ind w:left="720" w:right="0" w:hanging="300"/>
        <w:jc w:val="left"/>
        <w:rPr>
          <w:sz w:val="18"/>
        </w:rPr>
      </w:pPr>
      <w:r>
        <w:rPr>
          <w:sz w:val="18"/>
        </w:rPr>
        <w:t>The</w:t>
      </w:r>
      <w:r>
        <w:rPr>
          <w:spacing w:val="-2"/>
          <w:sz w:val="18"/>
        </w:rPr>
        <w:t> </w:t>
      </w:r>
      <w:r>
        <w:rPr>
          <w:sz w:val="18"/>
        </w:rPr>
        <w:t>primary</w:t>
      </w:r>
      <w:r>
        <w:rPr>
          <w:spacing w:val="-3"/>
          <w:sz w:val="18"/>
        </w:rPr>
        <w:t> </w:t>
      </w:r>
      <w:r>
        <w:rPr>
          <w:sz w:val="18"/>
        </w:rPr>
        <w:t>care</w:t>
      </w:r>
      <w:r>
        <w:rPr>
          <w:spacing w:val="-2"/>
          <w:sz w:val="18"/>
        </w:rPr>
        <w:t> </w:t>
      </w:r>
      <w:r>
        <w:rPr>
          <w:sz w:val="18"/>
        </w:rPr>
        <w:t>team…</w:t>
      </w:r>
    </w:p>
    <w:p>
      <w:pPr>
        <w:pStyle w:val="ListParagraph"/>
        <w:numPr>
          <w:ilvl w:val="0"/>
          <w:numId w:val="93"/>
        </w:numPr>
        <w:tabs>
          <w:tab w:pos="924" w:val="left" w:leader="none"/>
        </w:tabs>
        <w:spacing w:line="240" w:lineRule="auto" w:before="121" w:after="0"/>
        <w:ind w:left="923" w:right="0" w:hanging="221"/>
        <w:jc w:val="left"/>
        <w:rPr>
          <w:sz w:val="18"/>
        </w:rPr>
      </w:pPr>
      <w:r>
        <w:rPr>
          <w:sz w:val="18"/>
        </w:rPr>
        <w:t>…asks</w:t>
      </w:r>
      <w:r>
        <w:rPr>
          <w:spacing w:val="-3"/>
          <w:sz w:val="18"/>
        </w:rPr>
        <w:t> </w:t>
      </w:r>
      <w:r>
        <w:rPr>
          <w:sz w:val="18"/>
        </w:rPr>
        <w:t>for</w:t>
      </w:r>
      <w:r>
        <w:rPr>
          <w:spacing w:val="-2"/>
          <w:sz w:val="18"/>
        </w:rPr>
        <w:t> </w:t>
      </w:r>
      <w:r>
        <w:rPr>
          <w:sz w:val="18"/>
        </w:rPr>
        <w:t>patients’</w:t>
      </w:r>
      <w:r>
        <w:rPr>
          <w:spacing w:val="-4"/>
          <w:sz w:val="18"/>
        </w:rPr>
        <w:t> </w:t>
      </w:r>
      <w:r>
        <w:rPr>
          <w:sz w:val="18"/>
        </w:rPr>
        <w:t>input</w:t>
      </w:r>
      <w:r>
        <w:rPr>
          <w:spacing w:val="-4"/>
          <w:sz w:val="18"/>
        </w:rPr>
        <w:t> </w:t>
      </w:r>
      <w:r>
        <w:rPr>
          <w:sz w:val="18"/>
        </w:rPr>
        <w:t>when</w:t>
      </w:r>
      <w:r>
        <w:rPr>
          <w:spacing w:val="-2"/>
          <w:sz w:val="18"/>
        </w:rPr>
        <w:t> </w:t>
      </w:r>
      <w:r>
        <w:rPr>
          <w:sz w:val="18"/>
        </w:rPr>
        <w:t>making</w:t>
      </w:r>
      <w:r>
        <w:rPr>
          <w:spacing w:val="-4"/>
          <w:sz w:val="18"/>
        </w:rPr>
        <w:t> </w:t>
      </w:r>
      <w:r>
        <w:rPr>
          <w:sz w:val="18"/>
        </w:rPr>
        <w:t>a</w:t>
      </w:r>
      <w:r>
        <w:rPr>
          <w:spacing w:val="-1"/>
          <w:sz w:val="18"/>
        </w:rPr>
        <w:t> </w:t>
      </w:r>
      <w:r>
        <w:rPr>
          <w:sz w:val="18"/>
        </w:rPr>
        <w:t>plan</w:t>
      </w:r>
      <w:r>
        <w:rPr>
          <w:spacing w:val="-2"/>
          <w:sz w:val="18"/>
        </w:rPr>
        <w:t> </w:t>
      </w:r>
      <w:r>
        <w:rPr>
          <w:sz w:val="18"/>
        </w:rPr>
        <w:t>for</w:t>
      </w:r>
      <w:r>
        <w:rPr>
          <w:spacing w:val="-4"/>
          <w:sz w:val="18"/>
        </w:rPr>
        <w:t> </w:t>
      </w:r>
      <w:r>
        <w:rPr>
          <w:sz w:val="18"/>
        </w:rPr>
        <w:t>their</w:t>
      </w:r>
      <w:r>
        <w:rPr>
          <w:spacing w:val="-2"/>
          <w:sz w:val="18"/>
        </w:rPr>
        <w:t> </w:t>
      </w:r>
      <w:r>
        <w:rPr>
          <w:sz w:val="18"/>
        </w:rPr>
        <w:t>care.</w:t>
      </w:r>
      <w:r>
        <w:rPr>
          <w:spacing w:val="-1"/>
          <w:sz w:val="18"/>
        </w:rPr>
        <w:t> </w:t>
      </w:r>
      <w:r>
        <w:rPr>
          <w:sz w:val="18"/>
        </w:rPr>
        <w:t>(1)</w:t>
      </w:r>
    </w:p>
    <w:p>
      <w:pPr>
        <w:spacing w:before="120"/>
        <w:ind w:left="1697" w:right="0" w:firstLine="0"/>
        <w:jc w:val="left"/>
        <w:rPr>
          <w:sz w:val="18"/>
        </w:rPr>
      </w:pPr>
      <w:r>
        <w:rPr/>
        <w:drawing>
          <wp:anchor distT="0" distB="0" distL="0" distR="0" allowOverlap="1" layoutInCell="1" locked="0" behindDoc="0" simplePos="0" relativeHeight="15979008">
            <wp:simplePos x="0" y="0"/>
            <wp:positionH relativeFrom="page">
              <wp:posOffset>1054901</wp:posOffset>
            </wp:positionH>
            <wp:positionV relativeFrom="paragraph">
              <wp:posOffset>120221</wp:posOffset>
            </wp:positionV>
            <wp:extent cx="58380" cy="73869"/>
            <wp:effectExtent l="0" t="0" r="0" b="0"/>
            <wp:wrapNone/>
            <wp:docPr id="1433" name="image14.png"/>
            <wp:cNvGraphicFramePr>
              <a:graphicFrameLocks noChangeAspect="1"/>
            </wp:cNvGraphicFramePr>
            <a:graphic>
              <a:graphicData uri="http://schemas.openxmlformats.org/drawingml/2006/picture">
                <pic:pic>
                  <pic:nvPicPr>
                    <pic:cNvPr id="1434"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Never</w:t>
      </w:r>
      <w:r>
        <w:rPr>
          <w:spacing w:val="-4"/>
          <w:sz w:val="18"/>
        </w:rPr>
        <w:t> </w:t>
      </w:r>
      <w:r>
        <w:rPr>
          <w:sz w:val="18"/>
        </w:rPr>
        <w:t>(1)</w:t>
      </w:r>
    </w:p>
    <w:p>
      <w:pPr>
        <w:spacing w:before="117"/>
        <w:ind w:left="1697" w:right="0" w:firstLine="0"/>
        <w:jc w:val="left"/>
        <w:rPr>
          <w:sz w:val="18"/>
        </w:rPr>
      </w:pPr>
      <w:r>
        <w:rPr/>
        <w:drawing>
          <wp:anchor distT="0" distB="0" distL="0" distR="0" allowOverlap="1" layoutInCell="1" locked="0" behindDoc="0" simplePos="0" relativeHeight="15979520">
            <wp:simplePos x="0" y="0"/>
            <wp:positionH relativeFrom="page">
              <wp:posOffset>1054901</wp:posOffset>
            </wp:positionH>
            <wp:positionV relativeFrom="paragraph">
              <wp:posOffset>118316</wp:posOffset>
            </wp:positionV>
            <wp:extent cx="58380" cy="73869"/>
            <wp:effectExtent l="0" t="0" r="0" b="0"/>
            <wp:wrapNone/>
            <wp:docPr id="1435" name="image14.png"/>
            <wp:cNvGraphicFramePr>
              <a:graphicFrameLocks noChangeAspect="1"/>
            </wp:cNvGraphicFramePr>
            <a:graphic>
              <a:graphicData uri="http://schemas.openxmlformats.org/drawingml/2006/picture">
                <pic:pic>
                  <pic:nvPicPr>
                    <pic:cNvPr id="1436"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Rarely</w:t>
      </w:r>
      <w:r>
        <w:rPr>
          <w:spacing w:val="-7"/>
          <w:sz w:val="18"/>
        </w:rPr>
        <w:t> </w:t>
      </w:r>
      <w:r>
        <w:rPr>
          <w:sz w:val="18"/>
        </w:rPr>
        <w:t>(2)</w:t>
      </w:r>
    </w:p>
    <w:p>
      <w:pPr>
        <w:spacing w:before="121"/>
        <w:ind w:left="1697" w:right="0" w:firstLine="0"/>
        <w:jc w:val="left"/>
        <w:rPr>
          <w:sz w:val="18"/>
        </w:rPr>
      </w:pPr>
      <w:r>
        <w:rPr/>
        <w:drawing>
          <wp:anchor distT="0" distB="0" distL="0" distR="0" allowOverlap="1" layoutInCell="1" locked="0" behindDoc="0" simplePos="0" relativeHeight="15980032">
            <wp:simplePos x="0" y="0"/>
            <wp:positionH relativeFrom="page">
              <wp:posOffset>1054901</wp:posOffset>
            </wp:positionH>
            <wp:positionV relativeFrom="paragraph">
              <wp:posOffset>121049</wp:posOffset>
            </wp:positionV>
            <wp:extent cx="58380" cy="72151"/>
            <wp:effectExtent l="0" t="0" r="0" b="0"/>
            <wp:wrapNone/>
            <wp:docPr id="1437" name="image13.png"/>
            <wp:cNvGraphicFramePr>
              <a:graphicFrameLocks noChangeAspect="1"/>
            </wp:cNvGraphicFramePr>
            <a:graphic>
              <a:graphicData uri="http://schemas.openxmlformats.org/drawingml/2006/picture">
                <pic:pic>
                  <pic:nvPicPr>
                    <pic:cNvPr id="143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Some-times</w:t>
      </w:r>
      <w:r>
        <w:rPr>
          <w:spacing w:val="-2"/>
          <w:sz w:val="18"/>
        </w:rPr>
        <w:t> </w:t>
      </w:r>
      <w:r>
        <w:rPr>
          <w:sz w:val="18"/>
        </w:rPr>
        <w:t>(3)</w:t>
      </w:r>
    </w:p>
    <w:p>
      <w:pPr>
        <w:spacing w:before="120"/>
        <w:ind w:left="1697" w:right="0" w:firstLine="0"/>
        <w:jc w:val="left"/>
        <w:rPr>
          <w:sz w:val="18"/>
        </w:rPr>
      </w:pPr>
      <w:r>
        <w:rPr/>
        <w:drawing>
          <wp:anchor distT="0" distB="0" distL="0" distR="0" allowOverlap="1" layoutInCell="1" locked="0" behindDoc="0" simplePos="0" relativeHeight="15980544">
            <wp:simplePos x="0" y="0"/>
            <wp:positionH relativeFrom="page">
              <wp:posOffset>1054901</wp:posOffset>
            </wp:positionH>
            <wp:positionV relativeFrom="paragraph">
              <wp:posOffset>120414</wp:posOffset>
            </wp:positionV>
            <wp:extent cx="58380" cy="72151"/>
            <wp:effectExtent l="0" t="0" r="0" b="0"/>
            <wp:wrapNone/>
            <wp:docPr id="1439" name="image13.png"/>
            <wp:cNvGraphicFramePr>
              <a:graphicFrameLocks noChangeAspect="1"/>
            </wp:cNvGraphicFramePr>
            <a:graphic>
              <a:graphicData uri="http://schemas.openxmlformats.org/drawingml/2006/picture">
                <pic:pic>
                  <pic:nvPicPr>
                    <pic:cNvPr id="144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Usually</w:t>
      </w:r>
      <w:r>
        <w:rPr>
          <w:spacing w:val="-6"/>
          <w:sz w:val="18"/>
        </w:rPr>
        <w:t> </w:t>
      </w:r>
      <w:r>
        <w:rPr>
          <w:sz w:val="18"/>
        </w:rPr>
        <w:t>(4)</w:t>
      </w:r>
    </w:p>
    <w:p>
      <w:pPr>
        <w:spacing w:before="120"/>
        <w:ind w:left="1697" w:right="0" w:firstLine="0"/>
        <w:jc w:val="left"/>
        <w:rPr>
          <w:sz w:val="18"/>
        </w:rPr>
      </w:pPr>
      <w:r>
        <w:rPr/>
        <w:drawing>
          <wp:anchor distT="0" distB="0" distL="0" distR="0" allowOverlap="1" layoutInCell="1" locked="0" behindDoc="0" simplePos="0" relativeHeight="15981056">
            <wp:simplePos x="0" y="0"/>
            <wp:positionH relativeFrom="page">
              <wp:posOffset>1054901</wp:posOffset>
            </wp:positionH>
            <wp:positionV relativeFrom="paragraph">
              <wp:posOffset>120414</wp:posOffset>
            </wp:positionV>
            <wp:extent cx="58380" cy="72151"/>
            <wp:effectExtent l="0" t="0" r="0" b="0"/>
            <wp:wrapNone/>
            <wp:docPr id="1441" name="image13.png"/>
            <wp:cNvGraphicFramePr>
              <a:graphicFrameLocks noChangeAspect="1"/>
            </wp:cNvGraphicFramePr>
            <a:graphic>
              <a:graphicData uri="http://schemas.openxmlformats.org/drawingml/2006/picture">
                <pic:pic>
                  <pic:nvPicPr>
                    <pic:cNvPr id="144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Always</w:t>
      </w:r>
      <w:r>
        <w:rPr>
          <w:spacing w:val="-5"/>
          <w:sz w:val="18"/>
        </w:rPr>
        <w:t> </w:t>
      </w:r>
      <w:r>
        <w:rPr>
          <w:sz w:val="18"/>
        </w:rPr>
        <w:t>(5)</w:t>
      </w:r>
    </w:p>
    <w:p>
      <w:pPr>
        <w:spacing w:before="120"/>
        <w:ind w:left="1697" w:right="0" w:firstLine="0"/>
        <w:jc w:val="left"/>
        <w:rPr>
          <w:sz w:val="18"/>
        </w:rPr>
      </w:pPr>
      <w:r>
        <w:rPr/>
        <w:drawing>
          <wp:anchor distT="0" distB="0" distL="0" distR="0" allowOverlap="1" layoutInCell="1" locked="0" behindDoc="0" simplePos="0" relativeHeight="15981568">
            <wp:simplePos x="0" y="0"/>
            <wp:positionH relativeFrom="page">
              <wp:posOffset>1054901</wp:posOffset>
            </wp:positionH>
            <wp:positionV relativeFrom="paragraph">
              <wp:posOffset>120415</wp:posOffset>
            </wp:positionV>
            <wp:extent cx="58380" cy="72151"/>
            <wp:effectExtent l="0" t="0" r="0" b="0"/>
            <wp:wrapNone/>
            <wp:docPr id="1443" name="image13.png"/>
            <wp:cNvGraphicFramePr>
              <a:graphicFrameLocks noChangeAspect="1"/>
            </wp:cNvGraphicFramePr>
            <a:graphic>
              <a:graphicData uri="http://schemas.openxmlformats.org/drawingml/2006/picture">
                <pic:pic>
                  <pic:nvPicPr>
                    <pic:cNvPr id="144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pStyle w:val="ListParagraph"/>
        <w:numPr>
          <w:ilvl w:val="0"/>
          <w:numId w:val="93"/>
        </w:numPr>
        <w:tabs>
          <w:tab w:pos="924" w:val="left" w:leader="none"/>
        </w:tabs>
        <w:spacing w:line="240" w:lineRule="auto" w:before="120" w:after="0"/>
        <w:ind w:left="923" w:right="0" w:hanging="221"/>
        <w:jc w:val="left"/>
        <w:rPr>
          <w:sz w:val="18"/>
        </w:rPr>
      </w:pPr>
      <w:r>
        <w:rPr>
          <w:sz w:val="18"/>
        </w:rPr>
        <w:t>…helps</w:t>
      </w:r>
      <w:r>
        <w:rPr>
          <w:spacing w:val="-1"/>
          <w:sz w:val="18"/>
        </w:rPr>
        <w:t> </w:t>
      </w:r>
      <w:r>
        <w:rPr>
          <w:sz w:val="18"/>
        </w:rPr>
        <w:t>make</w:t>
      </w:r>
      <w:r>
        <w:rPr>
          <w:spacing w:val="-2"/>
          <w:sz w:val="18"/>
        </w:rPr>
        <w:t> </w:t>
      </w:r>
      <w:r>
        <w:rPr>
          <w:sz w:val="18"/>
        </w:rPr>
        <w:t>care</w:t>
      </w:r>
      <w:r>
        <w:rPr>
          <w:spacing w:val="-3"/>
          <w:sz w:val="18"/>
        </w:rPr>
        <w:t> </w:t>
      </w:r>
      <w:r>
        <w:rPr>
          <w:sz w:val="18"/>
        </w:rPr>
        <w:t>plans</w:t>
      </w:r>
      <w:r>
        <w:rPr>
          <w:spacing w:val="-4"/>
          <w:sz w:val="18"/>
        </w:rPr>
        <w:t> </w:t>
      </w:r>
      <w:r>
        <w:rPr>
          <w:sz w:val="18"/>
        </w:rPr>
        <w:t>that</w:t>
      </w:r>
      <w:r>
        <w:rPr>
          <w:spacing w:val="-5"/>
          <w:sz w:val="18"/>
        </w:rPr>
        <w:t> </w:t>
      </w:r>
      <w:r>
        <w:rPr>
          <w:sz w:val="18"/>
        </w:rPr>
        <w:t>patients</w:t>
      </w:r>
      <w:r>
        <w:rPr>
          <w:spacing w:val="-3"/>
          <w:sz w:val="18"/>
        </w:rPr>
        <w:t> </w:t>
      </w:r>
      <w:r>
        <w:rPr>
          <w:sz w:val="18"/>
        </w:rPr>
        <w:t>can</w:t>
      </w:r>
      <w:r>
        <w:rPr>
          <w:spacing w:val="-2"/>
          <w:sz w:val="18"/>
        </w:rPr>
        <w:t> </w:t>
      </w:r>
      <w:r>
        <w:rPr>
          <w:sz w:val="18"/>
        </w:rPr>
        <w:t>follow</w:t>
      </w:r>
      <w:r>
        <w:rPr>
          <w:spacing w:val="-6"/>
          <w:sz w:val="18"/>
        </w:rPr>
        <w:t> </w:t>
      </w:r>
      <w:r>
        <w:rPr>
          <w:sz w:val="18"/>
        </w:rPr>
        <w:t>in</w:t>
      </w:r>
      <w:r>
        <w:rPr>
          <w:spacing w:val="-2"/>
          <w:sz w:val="18"/>
        </w:rPr>
        <w:t> </w:t>
      </w:r>
      <w:r>
        <w:rPr>
          <w:sz w:val="18"/>
        </w:rPr>
        <w:t>their</w:t>
      </w:r>
      <w:r>
        <w:rPr>
          <w:spacing w:val="-3"/>
          <w:sz w:val="18"/>
        </w:rPr>
        <w:t> </w:t>
      </w:r>
      <w:r>
        <w:rPr>
          <w:sz w:val="18"/>
        </w:rPr>
        <w:t>daily</w:t>
      </w:r>
      <w:r>
        <w:rPr>
          <w:spacing w:val="-3"/>
          <w:sz w:val="18"/>
        </w:rPr>
        <w:t> </w:t>
      </w:r>
      <w:r>
        <w:rPr>
          <w:sz w:val="18"/>
        </w:rPr>
        <w:t>life.</w:t>
      </w:r>
      <w:r>
        <w:rPr>
          <w:spacing w:val="-3"/>
          <w:sz w:val="18"/>
        </w:rPr>
        <w:t> </w:t>
      </w:r>
      <w:r>
        <w:rPr>
          <w:sz w:val="18"/>
        </w:rPr>
        <w:t>(2)</w:t>
      </w:r>
    </w:p>
    <w:p>
      <w:pPr>
        <w:spacing w:before="121"/>
        <w:ind w:left="1697" w:right="0" w:firstLine="0"/>
        <w:jc w:val="left"/>
        <w:rPr>
          <w:sz w:val="18"/>
        </w:rPr>
      </w:pPr>
      <w:r>
        <w:rPr/>
        <w:drawing>
          <wp:anchor distT="0" distB="0" distL="0" distR="0" allowOverlap="1" layoutInCell="1" locked="0" behindDoc="0" simplePos="0" relativeHeight="15982080">
            <wp:simplePos x="0" y="0"/>
            <wp:positionH relativeFrom="page">
              <wp:posOffset>1054901</wp:posOffset>
            </wp:positionH>
            <wp:positionV relativeFrom="paragraph">
              <wp:posOffset>120668</wp:posOffset>
            </wp:positionV>
            <wp:extent cx="58380" cy="72151"/>
            <wp:effectExtent l="0" t="0" r="0" b="0"/>
            <wp:wrapNone/>
            <wp:docPr id="1445" name="image13.png"/>
            <wp:cNvGraphicFramePr>
              <a:graphicFrameLocks noChangeAspect="1"/>
            </wp:cNvGraphicFramePr>
            <a:graphic>
              <a:graphicData uri="http://schemas.openxmlformats.org/drawingml/2006/picture">
                <pic:pic>
                  <pic:nvPicPr>
                    <pic:cNvPr id="144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Never</w:t>
      </w:r>
      <w:r>
        <w:rPr>
          <w:spacing w:val="-5"/>
          <w:sz w:val="18"/>
        </w:rPr>
        <w:t> </w:t>
      </w:r>
      <w:r>
        <w:rPr>
          <w:sz w:val="18"/>
        </w:rPr>
        <w:t>(1)</w:t>
      </w:r>
    </w:p>
    <w:p>
      <w:pPr>
        <w:spacing w:before="120"/>
        <w:ind w:left="1697" w:right="0" w:firstLine="0"/>
        <w:jc w:val="left"/>
        <w:rPr>
          <w:sz w:val="18"/>
        </w:rPr>
      </w:pPr>
      <w:r>
        <w:rPr/>
        <w:drawing>
          <wp:anchor distT="0" distB="0" distL="0" distR="0" allowOverlap="1" layoutInCell="1" locked="0" behindDoc="0" simplePos="0" relativeHeight="15982592">
            <wp:simplePos x="0" y="0"/>
            <wp:positionH relativeFrom="page">
              <wp:posOffset>1054901</wp:posOffset>
            </wp:positionH>
            <wp:positionV relativeFrom="paragraph">
              <wp:posOffset>120033</wp:posOffset>
            </wp:positionV>
            <wp:extent cx="58380" cy="72151"/>
            <wp:effectExtent l="0" t="0" r="0" b="0"/>
            <wp:wrapNone/>
            <wp:docPr id="1447" name="image13.png"/>
            <wp:cNvGraphicFramePr>
              <a:graphicFrameLocks noChangeAspect="1"/>
            </wp:cNvGraphicFramePr>
            <a:graphic>
              <a:graphicData uri="http://schemas.openxmlformats.org/drawingml/2006/picture">
                <pic:pic>
                  <pic:nvPicPr>
                    <pic:cNvPr id="144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Rarely</w:t>
      </w:r>
      <w:r>
        <w:rPr>
          <w:spacing w:val="-7"/>
          <w:sz w:val="18"/>
        </w:rPr>
        <w:t> </w:t>
      </w:r>
      <w:r>
        <w:rPr>
          <w:sz w:val="18"/>
        </w:rPr>
        <w:t>(2)</w:t>
      </w:r>
    </w:p>
    <w:p>
      <w:pPr>
        <w:spacing w:before="120"/>
        <w:ind w:left="1697" w:right="0" w:firstLine="0"/>
        <w:jc w:val="left"/>
        <w:rPr>
          <w:sz w:val="18"/>
        </w:rPr>
      </w:pPr>
      <w:r>
        <w:rPr/>
        <w:drawing>
          <wp:anchor distT="0" distB="0" distL="0" distR="0" allowOverlap="1" layoutInCell="1" locked="0" behindDoc="0" simplePos="0" relativeHeight="15983104">
            <wp:simplePos x="0" y="0"/>
            <wp:positionH relativeFrom="page">
              <wp:posOffset>1054901</wp:posOffset>
            </wp:positionH>
            <wp:positionV relativeFrom="paragraph">
              <wp:posOffset>120033</wp:posOffset>
            </wp:positionV>
            <wp:extent cx="58380" cy="72151"/>
            <wp:effectExtent l="0" t="0" r="0" b="0"/>
            <wp:wrapNone/>
            <wp:docPr id="1449" name="image13.png"/>
            <wp:cNvGraphicFramePr>
              <a:graphicFrameLocks noChangeAspect="1"/>
            </wp:cNvGraphicFramePr>
            <a:graphic>
              <a:graphicData uri="http://schemas.openxmlformats.org/drawingml/2006/picture">
                <pic:pic>
                  <pic:nvPicPr>
                    <pic:cNvPr id="145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Some-times</w:t>
      </w:r>
      <w:r>
        <w:rPr>
          <w:spacing w:val="-2"/>
          <w:sz w:val="18"/>
        </w:rPr>
        <w:t> </w:t>
      </w:r>
      <w:r>
        <w:rPr>
          <w:sz w:val="18"/>
        </w:rPr>
        <w:t>(3)</w:t>
      </w:r>
    </w:p>
    <w:p>
      <w:pPr>
        <w:spacing w:before="120"/>
        <w:ind w:left="1697" w:right="0" w:firstLine="0"/>
        <w:jc w:val="left"/>
        <w:rPr>
          <w:sz w:val="18"/>
        </w:rPr>
      </w:pPr>
      <w:r>
        <w:rPr/>
        <w:drawing>
          <wp:anchor distT="0" distB="0" distL="0" distR="0" allowOverlap="1" layoutInCell="1" locked="0" behindDoc="0" simplePos="0" relativeHeight="15983616">
            <wp:simplePos x="0" y="0"/>
            <wp:positionH relativeFrom="page">
              <wp:posOffset>1054901</wp:posOffset>
            </wp:positionH>
            <wp:positionV relativeFrom="paragraph">
              <wp:posOffset>120033</wp:posOffset>
            </wp:positionV>
            <wp:extent cx="58380" cy="72151"/>
            <wp:effectExtent l="0" t="0" r="0" b="0"/>
            <wp:wrapNone/>
            <wp:docPr id="1451" name="image13.png"/>
            <wp:cNvGraphicFramePr>
              <a:graphicFrameLocks noChangeAspect="1"/>
            </wp:cNvGraphicFramePr>
            <a:graphic>
              <a:graphicData uri="http://schemas.openxmlformats.org/drawingml/2006/picture">
                <pic:pic>
                  <pic:nvPicPr>
                    <pic:cNvPr id="145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Usually</w:t>
      </w:r>
      <w:r>
        <w:rPr>
          <w:spacing w:val="-6"/>
          <w:sz w:val="18"/>
        </w:rPr>
        <w:t> </w:t>
      </w:r>
      <w:r>
        <w:rPr>
          <w:sz w:val="18"/>
        </w:rPr>
        <w:t>(4)</w:t>
      </w:r>
    </w:p>
    <w:p>
      <w:pPr>
        <w:spacing w:before="120"/>
        <w:ind w:left="1697" w:right="0" w:firstLine="0"/>
        <w:jc w:val="left"/>
        <w:rPr>
          <w:sz w:val="18"/>
        </w:rPr>
      </w:pPr>
      <w:r>
        <w:rPr/>
        <w:drawing>
          <wp:anchor distT="0" distB="0" distL="0" distR="0" allowOverlap="1" layoutInCell="1" locked="0" behindDoc="0" simplePos="0" relativeHeight="15984128">
            <wp:simplePos x="0" y="0"/>
            <wp:positionH relativeFrom="page">
              <wp:posOffset>1054901</wp:posOffset>
            </wp:positionH>
            <wp:positionV relativeFrom="paragraph">
              <wp:posOffset>120033</wp:posOffset>
            </wp:positionV>
            <wp:extent cx="58380" cy="72151"/>
            <wp:effectExtent l="0" t="0" r="0" b="0"/>
            <wp:wrapNone/>
            <wp:docPr id="1453" name="image13.png"/>
            <wp:cNvGraphicFramePr>
              <a:graphicFrameLocks noChangeAspect="1"/>
            </wp:cNvGraphicFramePr>
            <a:graphic>
              <a:graphicData uri="http://schemas.openxmlformats.org/drawingml/2006/picture">
                <pic:pic>
                  <pic:nvPicPr>
                    <pic:cNvPr id="145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Always</w:t>
      </w:r>
      <w:r>
        <w:rPr>
          <w:spacing w:val="-5"/>
          <w:sz w:val="18"/>
        </w:rPr>
        <w:t> </w:t>
      </w:r>
      <w:r>
        <w:rPr>
          <w:sz w:val="18"/>
        </w:rPr>
        <w:t>(5)</w:t>
      </w:r>
    </w:p>
    <w:p>
      <w:pPr>
        <w:spacing w:before="120"/>
        <w:ind w:left="1697" w:right="0" w:firstLine="0"/>
        <w:jc w:val="left"/>
        <w:rPr>
          <w:sz w:val="18"/>
        </w:rPr>
      </w:pPr>
      <w:r>
        <w:rPr/>
        <w:drawing>
          <wp:anchor distT="0" distB="0" distL="0" distR="0" allowOverlap="1" layoutInCell="1" locked="0" behindDoc="0" simplePos="0" relativeHeight="15984640">
            <wp:simplePos x="0" y="0"/>
            <wp:positionH relativeFrom="page">
              <wp:posOffset>1054901</wp:posOffset>
            </wp:positionH>
            <wp:positionV relativeFrom="paragraph">
              <wp:posOffset>120033</wp:posOffset>
            </wp:positionV>
            <wp:extent cx="58380" cy="72151"/>
            <wp:effectExtent l="0" t="0" r="0" b="0"/>
            <wp:wrapNone/>
            <wp:docPr id="1455" name="image13.png"/>
            <wp:cNvGraphicFramePr>
              <a:graphicFrameLocks noChangeAspect="1"/>
            </wp:cNvGraphicFramePr>
            <a:graphic>
              <a:graphicData uri="http://schemas.openxmlformats.org/drawingml/2006/picture">
                <pic:pic>
                  <pic:nvPicPr>
                    <pic:cNvPr id="145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15"/>
        </w:rPr>
      </w:pPr>
    </w:p>
    <w:p>
      <w:pPr>
        <w:spacing w:before="100"/>
        <w:ind w:left="420" w:right="0" w:firstLine="0"/>
        <w:jc w:val="left"/>
        <w:rPr>
          <w:b/>
          <w:sz w:val="18"/>
        </w:rPr>
      </w:pPr>
      <w:r>
        <w:rPr>
          <w:b/>
          <w:color w:val="808080"/>
          <w:sz w:val="18"/>
        </w:rPr>
        <w:t>Evaluation</w:t>
      </w:r>
      <w:r>
        <w:rPr>
          <w:b/>
          <w:color w:val="808080"/>
          <w:spacing w:val="-2"/>
          <w:sz w:val="18"/>
        </w:rPr>
        <w:t> </w:t>
      </w:r>
      <w:r>
        <w:rPr>
          <w:b/>
          <w:color w:val="808080"/>
          <w:sz w:val="18"/>
        </w:rPr>
        <w:t>of</w:t>
      </w:r>
      <w:r>
        <w:rPr>
          <w:b/>
          <w:color w:val="808080"/>
          <w:spacing w:val="-3"/>
          <w:sz w:val="18"/>
        </w:rPr>
        <w:t> </w:t>
      </w:r>
      <w:r>
        <w:rPr>
          <w:b/>
          <w:color w:val="808080"/>
          <w:sz w:val="18"/>
        </w:rPr>
        <w:t>the</w:t>
      </w:r>
      <w:r>
        <w:rPr>
          <w:b/>
          <w:color w:val="808080"/>
          <w:spacing w:val="-1"/>
          <w:sz w:val="18"/>
        </w:rPr>
        <w:t> </w:t>
      </w:r>
      <w:r>
        <w:rPr>
          <w:b/>
          <w:color w:val="808080"/>
          <w:sz w:val="18"/>
        </w:rPr>
        <w:t>Health</w:t>
      </w:r>
      <w:r>
        <w:rPr>
          <w:b/>
          <w:color w:val="808080"/>
          <w:spacing w:val="-2"/>
          <w:sz w:val="18"/>
        </w:rPr>
        <w:t> </w:t>
      </w:r>
      <w:r>
        <w:rPr>
          <w:b/>
          <w:color w:val="808080"/>
          <w:sz w:val="18"/>
        </w:rPr>
        <w:t>Care</w:t>
      </w:r>
      <w:r>
        <w:rPr>
          <w:b/>
          <w:color w:val="808080"/>
          <w:spacing w:val="-1"/>
          <w:sz w:val="18"/>
        </w:rPr>
        <w:t> </w:t>
      </w:r>
      <w:r>
        <w:rPr>
          <w:b/>
          <w:color w:val="808080"/>
          <w:sz w:val="18"/>
        </w:rPr>
        <w:t>Homes</w:t>
      </w:r>
      <w:r>
        <w:rPr>
          <w:b/>
          <w:color w:val="808080"/>
          <w:spacing w:val="-3"/>
          <w:sz w:val="18"/>
        </w:rPr>
        <w:t> </w:t>
      </w:r>
      <w:r>
        <w:rPr>
          <w:b/>
          <w:color w:val="808080"/>
          <w:sz w:val="18"/>
        </w:rPr>
        <w:t>(HCH)</w:t>
      </w:r>
      <w:r>
        <w:rPr>
          <w:b/>
          <w:color w:val="808080"/>
          <w:spacing w:val="-4"/>
          <w:sz w:val="18"/>
        </w:rPr>
        <w:t> </w:t>
      </w:r>
      <w:r>
        <w:rPr>
          <w:b/>
          <w:color w:val="808080"/>
          <w:sz w:val="18"/>
        </w:rPr>
        <w:t>program</w:t>
      </w:r>
    </w:p>
    <w:p>
      <w:pPr>
        <w:tabs>
          <w:tab w:pos="9964" w:val="left" w:leader="none"/>
        </w:tabs>
        <w:spacing w:before="0"/>
        <w:ind w:left="420" w:right="0" w:firstLine="0"/>
        <w:jc w:val="left"/>
        <w:rPr>
          <w:b/>
          <w:sz w:val="18"/>
        </w:rPr>
      </w:pPr>
      <w:r>
        <w:rPr>
          <w:b/>
          <w:color w:val="808080"/>
          <w:sz w:val="18"/>
        </w:rPr>
        <w:t>Practice</w:t>
      </w:r>
      <w:r>
        <w:rPr>
          <w:b/>
          <w:color w:val="808080"/>
          <w:spacing w:val="-2"/>
          <w:sz w:val="18"/>
        </w:rPr>
        <w:t> </w:t>
      </w:r>
      <w:r>
        <w:rPr>
          <w:b/>
          <w:color w:val="808080"/>
          <w:sz w:val="18"/>
        </w:rPr>
        <w:t>staff</w:t>
      </w:r>
      <w:r>
        <w:rPr>
          <w:b/>
          <w:color w:val="808080"/>
          <w:spacing w:val="-2"/>
          <w:sz w:val="18"/>
        </w:rPr>
        <w:t> </w:t>
      </w:r>
      <w:r>
        <w:rPr>
          <w:b/>
          <w:color w:val="808080"/>
          <w:sz w:val="18"/>
        </w:rPr>
        <w:t>survey,</w:t>
      </w:r>
      <w:r>
        <w:rPr>
          <w:b/>
          <w:color w:val="808080"/>
          <w:spacing w:val="-2"/>
          <w:sz w:val="18"/>
        </w:rPr>
        <w:t> </w:t>
      </w:r>
      <w:r>
        <w:rPr>
          <w:b/>
          <w:color w:val="808080"/>
          <w:sz w:val="18"/>
        </w:rPr>
        <w:t>version</w:t>
      </w:r>
      <w:r>
        <w:rPr>
          <w:b/>
          <w:color w:val="808080"/>
          <w:spacing w:val="-2"/>
          <w:sz w:val="18"/>
        </w:rPr>
        <w:t> </w:t>
      </w:r>
      <w:r>
        <w:rPr>
          <w:b/>
          <w:color w:val="808080"/>
          <w:sz w:val="18"/>
        </w:rPr>
        <w:t>0.3,</w:t>
      </w:r>
      <w:r>
        <w:rPr>
          <w:b/>
          <w:color w:val="808080"/>
          <w:spacing w:val="-2"/>
          <w:sz w:val="18"/>
        </w:rPr>
        <w:t> </w:t>
      </w:r>
      <w:r>
        <w:rPr>
          <w:b/>
          <w:color w:val="808080"/>
          <w:sz w:val="18"/>
        </w:rPr>
        <w:t>4</w:t>
      </w:r>
      <w:r>
        <w:rPr>
          <w:b/>
          <w:color w:val="808080"/>
          <w:spacing w:val="-3"/>
          <w:sz w:val="18"/>
        </w:rPr>
        <w:t> </w:t>
      </w:r>
      <w:r>
        <w:rPr>
          <w:b/>
          <w:color w:val="808080"/>
          <w:sz w:val="18"/>
        </w:rPr>
        <w:t>September</w:t>
      </w:r>
      <w:r>
        <w:rPr>
          <w:b/>
          <w:color w:val="808080"/>
          <w:spacing w:val="-3"/>
          <w:sz w:val="18"/>
        </w:rPr>
        <w:t> </w:t>
      </w:r>
      <w:r>
        <w:rPr>
          <w:b/>
          <w:color w:val="808080"/>
          <w:sz w:val="18"/>
        </w:rPr>
        <w:t>2019</w:t>
        <w:tab/>
      </w:r>
      <w:r>
        <w:rPr>
          <w:b/>
          <w:color w:val="7E7E7E"/>
          <w:sz w:val="18"/>
        </w:rPr>
        <w:t>Page</w:t>
      </w:r>
      <w:r>
        <w:rPr>
          <w:b/>
          <w:color w:val="7E7E7E"/>
          <w:spacing w:val="-1"/>
          <w:sz w:val="18"/>
        </w:rPr>
        <w:t> </w:t>
      </w:r>
      <w:r>
        <w:rPr>
          <w:b/>
          <w:color w:val="7E7E7E"/>
          <w:sz w:val="18"/>
        </w:rPr>
        <w:t>130</w:t>
      </w:r>
    </w:p>
    <w:p>
      <w:pPr>
        <w:spacing w:after="0"/>
        <w:jc w:val="left"/>
        <w:rPr>
          <w:sz w:val="18"/>
        </w:rPr>
        <w:sectPr>
          <w:footerReference w:type="default" r:id="rId53"/>
          <w:pgSz w:w="11910" w:h="16840"/>
          <w:pgMar w:footer="0" w:header="0" w:top="860" w:bottom="280" w:left="300" w:right="0"/>
        </w:sectPr>
      </w:pPr>
    </w:p>
    <w:p>
      <w:pPr>
        <w:pStyle w:val="ListParagraph"/>
        <w:numPr>
          <w:ilvl w:val="0"/>
          <w:numId w:val="93"/>
        </w:numPr>
        <w:tabs>
          <w:tab w:pos="919" w:val="left" w:leader="none"/>
        </w:tabs>
        <w:spacing w:line="369" w:lineRule="auto" w:before="75" w:after="0"/>
        <w:ind w:left="1697" w:right="881" w:hanging="995"/>
        <w:jc w:val="left"/>
        <w:rPr>
          <w:sz w:val="18"/>
        </w:rPr>
      </w:pPr>
      <w:r>
        <w:rPr/>
        <w:drawing>
          <wp:anchor distT="0" distB="0" distL="0" distR="0" allowOverlap="1" layoutInCell="1" locked="0" behindDoc="1" simplePos="0" relativeHeight="476017152">
            <wp:simplePos x="0" y="0"/>
            <wp:positionH relativeFrom="page">
              <wp:posOffset>1054901</wp:posOffset>
            </wp:positionH>
            <wp:positionV relativeFrom="paragraph">
              <wp:posOffset>309136</wp:posOffset>
            </wp:positionV>
            <wp:extent cx="58380" cy="72151"/>
            <wp:effectExtent l="0" t="0" r="0" b="0"/>
            <wp:wrapNone/>
            <wp:docPr id="1457" name="image13.png"/>
            <wp:cNvGraphicFramePr>
              <a:graphicFrameLocks noChangeAspect="1"/>
            </wp:cNvGraphicFramePr>
            <a:graphic>
              <a:graphicData uri="http://schemas.openxmlformats.org/drawingml/2006/picture">
                <pic:pic>
                  <pic:nvPicPr>
                    <pic:cNvPr id="145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…develops</w:t>
      </w:r>
      <w:r>
        <w:rPr>
          <w:spacing w:val="-5"/>
          <w:sz w:val="18"/>
        </w:rPr>
        <w:t> </w:t>
      </w:r>
      <w:r>
        <w:rPr>
          <w:sz w:val="18"/>
        </w:rPr>
        <w:t>care</w:t>
      </w:r>
      <w:r>
        <w:rPr>
          <w:spacing w:val="-3"/>
          <w:sz w:val="18"/>
        </w:rPr>
        <w:t> </w:t>
      </w:r>
      <w:r>
        <w:rPr>
          <w:sz w:val="18"/>
        </w:rPr>
        <w:t>plans</w:t>
      </w:r>
      <w:r>
        <w:rPr>
          <w:spacing w:val="-3"/>
          <w:sz w:val="18"/>
        </w:rPr>
        <w:t> </w:t>
      </w:r>
      <w:r>
        <w:rPr>
          <w:sz w:val="18"/>
        </w:rPr>
        <w:t>that</w:t>
      </w:r>
      <w:r>
        <w:rPr>
          <w:spacing w:val="-1"/>
          <w:sz w:val="18"/>
        </w:rPr>
        <w:t> </w:t>
      </w:r>
      <w:r>
        <w:rPr>
          <w:sz w:val="18"/>
        </w:rPr>
        <w:t>incorporate</w:t>
      </w:r>
      <w:r>
        <w:rPr>
          <w:spacing w:val="-4"/>
          <w:sz w:val="18"/>
        </w:rPr>
        <w:t> </w:t>
      </w:r>
      <w:r>
        <w:rPr>
          <w:sz w:val="18"/>
        </w:rPr>
        <w:t>recommendations</w:t>
      </w:r>
      <w:r>
        <w:rPr>
          <w:spacing w:val="-3"/>
          <w:sz w:val="18"/>
        </w:rPr>
        <w:t> </w:t>
      </w:r>
      <w:r>
        <w:rPr>
          <w:sz w:val="18"/>
        </w:rPr>
        <w:t>from</w:t>
      </w:r>
      <w:r>
        <w:rPr>
          <w:spacing w:val="-7"/>
          <w:sz w:val="18"/>
        </w:rPr>
        <w:t> </w:t>
      </w:r>
      <w:r>
        <w:rPr>
          <w:sz w:val="18"/>
        </w:rPr>
        <w:t>other</w:t>
      </w:r>
      <w:r>
        <w:rPr>
          <w:spacing w:val="-3"/>
          <w:sz w:val="18"/>
        </w:rPr>
        <w:t> </w:t>
      </w:r>
      <w:r>
        <w:rPr>
          <w:sz w:val="18"/>
        </w:rPr>
        <w:t>health</w:t>
      </w:r>
      <w:r>
        <w:rPr>
          <w:spacing w:val="-5"/>
          <w:sz w:val="18"/>
        </w:rPr>
        <w:t> </w:t>
      </w:r>
      <w:r>
        <w:rPr>
          <w:sz w:val="18"/>
        </w:rPr>
        <w:t>care</w:t>
      </w:r>
      <w:r>
        <w:rPr>
          <w:spacing w:val="-3"/>
          <w:sz w:val="18"/>
        </w:rPr>
        <w:t> </w:t>
      </w:r>
      <w:r>
        <w:rPr>
          <w:sz w:val="18"/>
        </w:rPr>
        <w:t>providers</w:t>
      </w:r>
      <w:r>
        <w:rPr>
          <w:spacing w:val="-4"/>
          <w:sz w:val="18"/>
        </w:rPr>
        <w:t> </w:t>
      </w:r>
      <w:r>
        <w:rPr>
          <w:sz w:val="18"/>
        </w:rPr>
        <w:t>that</w:t>
      </w:r>
      <w:r>
        <w:rPr>
          <w:spacing w:val="-5"/>
          <w:sz w:val="18"/>
        </w:rPr>
        <w:t> </w:t>
      </w:r>
      <w:r>
        <w:rPr>
          <w:sz w:val="18"/>
        </w:rPr>
        <w:t>patients</w:t>
      </w:r>
      <w:r>
        <w:rPr>
          <w:spacing w:val="-5"/>
          <w:sz w:val="18"/>
        </w:rPr>
        <w:t> </w:t>
      </w:r>
      <w:r>
        <w:rPr>
          <w:sz w:val="18"/>
        </w:rPr>
        <w:t>see.</w:t>
      </w:r>
      <w:r>
        <w:rPr>
          <w:spacing w:val="-3"/>
          <w:sz w:val="18"/>
        </w:rPr>
        <w:t> </w:t>
      </w:r>
      <w:r>
        <w:rPr>
          <w:sz w:val="18"/>
        </w:rPr>
        <w:t>(3)</w:t>
      </w:r>
      <w:r>
        <w:rPr>
          <w:spacing w:val="1"/>
          <w:sz w:val="18"/>
        </w:rPr>
        <w:t> </w:t>
      </w:r>
      <w:r>
        <w:rPr>
          <w:sz w:val="18"/>
        </w:rPr>
        <w:t>Never</w:t>
      </w:r>
      <w:r>
        <w:rPr>
          <w:spacing w:val="2"/>
          <w:sz w:val="18"/>
        </w:rPr>
        <w:t> </w:t>
      </w:r>
      <w:r>
        <w:rPr>
          <w:sz w:val="18"/>
        </w:rPr>
        <w:t>(1)</w:t>
      </w:r>
    </w:p>
    <w:p>
      <w:pPr>
        <w:spacing w:before="3"/>
        <w:ind w:left="1697" w:right="0" w:firstLine="0"/>
        <w:jc w:val="left"/>
        <w:rPr>
          <w:sz w:val="18"/>
        </w:rPr>
      </w:pPr>
      <w:r>
        <w:rPr/>
        <w:drawing>
          <wp:anchor distT="0" distB="0" distL="0" distR="0" allowOverlap="1" layoutInCell="1" locked="0" behindDoc="0" simplePos="0" relativeHeight="15985664">
            <wp:simplePos x="0" y="0"/>
            <wp:positionH relativeFrom="page">
              <wp:posOffset>1054901</wp:posOffset>
            </wp:positionH>
            <wp:positionV relativeFrom="paragraph">
              <wp:posOffset>46756</wp:posOffset>
            </wp:positionV>
            <wp:extent cx="58380" cy="72150"/>
            <wp:effectExtent l="0" t="0" r="0" b="0"/>
            <wp:wrapNone/>
            <wp:docPr id="1459" name="image13.png"/>
            <wp:cNvGraphicFramePr>
              <a:graphicFrameLocks noChangeAspect="1"/>
            </wp:cNvGraphicFramePr>
            <a:graphic>
              <a:graphicData uri="http://schemas.openxmlformats.org/drawingml/2006/picture">
                <pic:pic>
                  <pic:nvPicPr>
                    <pic:cNvPr id="1460" name="image13.png"/>
                    <pic:cNvPicPr/>
                  </pic:nvPicPr>
                  <pic:blipFill>
                    <a:blip r:embed="rId41" cstate="print"/>
                    <a:stretch>
                      <a:fillRect/>
                    </a:stretch>
                  </pic:blipFill>
                  <pic:spPr>
                    <a:xfrm>
                      <a:off x="0" y="0"/>
                      <a:ext cx="58380" cy="72150"/>
                    </a:xfrm>
                    <a:prstGeom prst="rect">
                      <a:avLst/>
                    </a:prstGeom>
                  </pic:spPr>
                </pic:pic>
              </a:graphicData>
            </a:graphic>
          </wp:anchor>
        </w:drawing>
      </w:r>
      <w:r>
        <w:rPr>
          <w:sz w:val="18"/>
        </w:rPr>
        <w:t>Rarely</w:t>
      </w:r>
      <w:r>
        <w:rPr>
          <w:spacing w:val="-3"/>
          <w:sz w:val="18"/>
        </w:rPr>
        <w:t> </w:t>
      </w:r>
      <w:r>
        <w:rPr>
          <w:sz w:val="18"/>
        </w:rPr>
        <w:t>(2)</w:t>
      </w:r>
    </w:p>
    <w:p>
      <w:pPr>
        <w:spacing w:before="117"/>
        <w:ind w:left="1697" w:right="0" w:firstLine="0"/>
        <w:jc w:val="left"/>
        <w:rPr>
          <w:sz w:val="18"/>
        </w:rPr>
      </w:pPr>
      <w:r>
        <w:rPr/>
        <w:drawing>
          <wp:anchor distT="0" distB="0" distL="0" distR="0" allowOverlap="1" layoutInCell="1" locked="0" behindDoc="0" simplePos="0" relativeHeight="15986176">
            <wp:simplePos x="0" y="0"/>
            <wp:positionH relativeFrom="page">
              <wp:posOffset>1054901</wp:posOffset>
            </wp:positionH>
            <wp:positionV relativeFrom="paragraph">
              <wp:posOffset>118951</wp:posOffset>
            </wp:positionV>
            <wp:extent cx="58380" cy="73869"/>
            <wp:effectExtent l="0" t="0" r="0" b="0"/>
            <wp:wrapNone/>
            <wp:docPr id="1461" name="image14.png"/>
            <wp:cNvGraphicFramePr>
              <a:graphicFrameLocks noChangeAspect="1"/>
            </wp:cNvGraphicFramePr>
            <a:graphic>
              <a:graphicData uri="http://schemas.openxmlformats.org/drawingml/2006/picture">
                <pic:pic>
                  <pic:nvPicPr>
                    <pic:cNvPr id="1462"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Some-times</w:t>
      </w:r>
      <w:r>
        <w:rPr>
          <w:spacing w:val="-2"/>
          <w:sz w:val="18"/>
        </w:rPr>
        <w:t> </w:t>
      </w:r>
      <w:r>
        <w:rPr>
          <w:sz w:val="18"/>
        </w:rPr>
        <w:t>(3)</w:t>
      </w:r>
    </w:p>
    <w:p>
      <w:pPr>
        <w:spacing w:before="121"/>
        <w:ind w:left="1697" w:right="0" w:firstLine="0"/>
        <w:jc w:val="left"/>
        <w:rPr>
          <w:sz w:val="18"/>
        </w:rPr>
      </w:pPr>
      <w:r>
        <w:rPr/>
        <w:drawing>
          <wp:anchor distT="0" distB="0" distL="0" distR="0" allowOverlap="1" layoutInCell="1" locked="0" behindDoc="0" simplePos="0" relativeHeight="15986688">
            <wp:simplePos x="0" y="0"/>
            <wp:positionH relativeFrom="page">
              <wp:posOffset>1054901</wp:posOffset>
            </wp:positionH>
            <wp:positionV relativeFrom="paragraph">
              <wp:posOffset>121684</wp:posOffset>
            </wp:positionV>
            <wp:extent cx="58380" cy="72151"/>
            <wp:effectExtent l="0" t="0" r="0" b="0"/>
            <wp:wrapNone/>
            <wp:docPr id="1463" name="image13.png"/>
            <wp:cNvGraphicFramePr>
              <a:graphicFrameLocks noChangeAspect="1"/>
            </wp:cNvGraphicFramePr>
            <a:graphic>
              <a:graphicData uri="http://schemas.openxmlformats.org/drawingml/2006/picture">
                <pic:pic>
                  <pic:nvPicPr>
                    <pic:cNvPr id="146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Usually</w:t>
      </w:r>
      <w:r>
        <w:rPr>
          <w:spacing w:val="-6"/>
          <w:sz w:val="18"/>
        </w:rPr>
        <w:t> </w:t>
      </w:r>
      <w:r>
        <w:rPr>
          <w:sz w:val="18"/>
        </w:rPr>
        <w:t>(4)</w:t>
      </w:r>
    </w:p>
    <w:p>
      <w:pPr>
        <w:spacing w:before="120"/>
        <w:ind w:left="1697" w:right="0" w:firstLine="0"/>
        <w:jc w:val="left"/>
        <w:rPr>
          <w:sz w:val="18"/>
        </w:rPr>
      </w:pPr>
      <w:r>
        <w:rPr/>
        <w:drawing>
          <wp:anchor distT="0" distB="0" distL="0" distR="0" allowOverlap="1" layoutInCell="1" locked="0" behindDoc="0" simplePos="0" relativeHeight="15987200">
            <wp:simplePos x="0" y="0"/>
            <wp:positionH relativeFrom="page">
              <wp:posOffset>1054901</wp:posOffset>
            </wp:positionH>
            <wp:positionV relativeFrom="paragraph">
              <wp:posOffset>121051</wp:posOffset>
            </wp:positionV>
            <wp:extent cx="58380" cy="72150"/>
            <wp:effectExtent l="0" t="0" r="0" b="0"/>
            <wp:wrapNone/>
            <wp:docPr id="1465" name="image13.png"/>
            <wp:cNvGraphicFramePr>
              <a:graphicFrameLocks noChangeAspect="1"/>
            </wp:cNvGraphicFramePr>
            <a:graphic>
              <a:graphicData uri="http://schemas.openxmlformats.org/drawingml/2006/picture">
                <pic:pic>
                  <pic:nvPicPr>
                    <pic:cNvPr id="1466" name="image13.png"/>
                    <pic:cNvPicPr/>
                  </pic:nvPicPr>
                  <pic:blipFill>
                    <a:blip r:embed="rId41" cstate="print"/>
                    <a:stretch>
                      <a:fillRect/>
                    </a:stretch>
                  </pic:blipFill>
                  <pic:spPr>
                    <a:xfrm>
                      <a:off x="0" y="0"/>
                      <a:ext cx="58380" cy="72150"/>
                    </a:xfrm>
                    <a:prstGeom prst="rect">
                      <a:avLst/>
                    </a:prstGeom>
                  </pic:spPr>
                </pic:pic>
              </a:graphicData>
            </a:graphic>
          </wp:anchor>
        </w:drawing>
      </w:r>
      <w:r>
        <w:rPr>
          <w:sz w:val="18"/>
        </w:rPr>
        <w:t>Always</w:t>
      </w:r>
      <w:r>
        <w:rPr>
          <w:spacing w:val="-5"/>
          <w:sz w:val="18"/>
        </w:rPr>
        <w:t> </w:t>
      </w:r>
      <w:r>
        <w:rPr>
          <w:sz w:val="18"/>
        </w:rPr>
        <w:t>(5)</w:t>
      </w:r>
    </w:p>
    <w:p>
      <w:pPr>
        <w:spacing w:before="120"/>
        <w:ind w:left="1697" w:right="0" w:firstLine="0"/>
        <w:jc w:val="left"/>
        <w:rPr>
          <w:sz w:val="18"/>
        </w:rPr>
      </w:pPr>
      <w:r>
        <w:rPr/>
        <w:drawing>
          <wp:anchor distT="0" distB="0" distL="0" distR="0" allowOverlap="1" layoutInCell="1" locked="0" behindDoc="0" simplePos="0" relativeHeight="15987712">
            <wp:simplePos x="0" y="0"/>
            <wp:positionH relativeFrom="page">
              <wp:posOffset>1056425</wp:posOffset>
            </wp:positionH>
            <wp:positionV relativeFrom="paragraph">
              <wp:posOffset>121050</wp:posOffset>
            </wp:positionV>
            <wp:extent cx="58380" cy="72151"/>
            <wp:effectExtent l="0" t="0" r="0" b="0"/>
            <wp:wrapNone/>
            <wp:docPr id="1467" name="image13.png"/>
            <wp:cNvGraphicFramePr>
              <a:graphicFrameLocks noChangeAspect="1"/>
            </wp:cNvGraphicFramePr>
            <a:graphic>
              <a:graphicData uri="http://schemas.openxmlformats.org/drawingml/2006/picture">
                <pic:pic>
                  <pic:nvPicPr>
                    <pic:cNvPr id="146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pStyle w:val="BodyText"/>
        <w:spacing w:before="5"/>
        <w:rPr>
          <w:sz w:val="16"/>
        </w:rPr>
      </w:pPr>
    </w:p>
    <w:p>
      <w:pPr>
        <w:pStyle w:val="ListParagraph"/>
        <w:numPr>
          <w:ilvl w:val="0"/>
          <w:numId w:val="87"/>
        </w:numPr>
        <w:tabs>
          <w:tab w:pos="720" w:val="left" w:leader="none"/>
        </w:tabs>
        <w:spacing w:line="240" w:lineRule="auto" w:before="0" w:after="0"/>
        <w:ind w:left="720" w:right="0" w:hanging="300"/>
        <w:jc w:val="left"/>
        <w:rPr>
          <w:sz w:val="18"/>
        </w:rPr>
      </w:pPr>
      <w:r>
        <w:rPr>
          <w:sz w:val="18"/>
        </w:rPr>
        <w:t>Someone</w:t>
      </w:r>
      <w:r>
        <w:rPr>
          <w:spacing w:val="-3"/>
          <w:sz w:val="18"/>
        </w:rPr>
        <w:t> </w:t>
      </w:r>
      <w:r>
        <w:rPr>
          <w:sz w:val="18"/>
        </w:rPr>
        <w:t>on</w:t>
      </w:r>
      <w:r>
        <w:rPr>
          <w:spacing w:val="-2"/>
          <w:sz w:val="18"/>
        </w:rPr>
        <w:t> </w:t>
      </w:r>
      <w:r>
        <w:rPr>
          <w:sz w:val="18"/>
        </w:rPr>
        <w:t>the</w:t>
      </w:r>
      <w:r>
        <w:rPr>
          <w:spacing w:val="-2"/>
          <w:sz w:val="18"/>
        </w:rPr>
        <w:t> </w:t>
      </w:r>
      <w:r>
        <w:rPr>
          <w:sz w:val="18"/>
        </w:rPr>
        <w:t>primary</w:t>
      </w:r>
      <w:r>
        <w:rPr>
          <w:spacing w:val="-3"/>
          <w:sz w:val="18"/>
        </w:rPr>
        <w:t> </w:t>
      </w:r>
      <w:r>
        <w:rPr>
          <w:sz w:val="18"/>
        </w:rPr>
        <w:t>care</w:t>
      </w:r>
      <w:r>
        <w:rPr>
          <w:spacing w:val="-2"/>
          <w:sz w:val="18"/>
        </w:rPr>
        <w:t> </w:t>
      </w:r>
      <w:r>
        <w:rPr>
          <w:sz w:val="18"/>
        </w:rPr>
        <w:t>team…</w:t>
      </w:r>
    </w:p>
    <w:p>
      <w:pPr>
        <w:pStyle w:val="ListParagraph"/>
        <w:numPr>
          <w:ilvl w:val="0"/>
          <w:numId w:val="94"/>
        </w:numPr>
        <w:tabs>
          <w:tab w:pos="924" w:val="left" w:leader="none"/>
        </w:tabs>
        <w:spacing w:line="240" w:lineRule="auto" w:before="120" w:after="0"/>
        <w:ind w:left="923" w:right="0" w:hanging="221"/>
        <w:jc w:val="left"/>
        <w:rPr>
          <w:sz w:val="18"/>
        </w:rPr>
      </w:pPr>
      <w:r>
        <w:rPr>
          <w:sz w:val="18"/>
        </w:rPr>
        <w:t>…helps</w:t>
      </w:r>
      <w:r>
        <w:rPr>
          <w:spacing w:val="-4"/>
          <w:sz w:val="18"/>
        </w:rPr>
        <w:t> </w:t>
      </w:r>
      <w:r>
        <w:rPr>
          <w:sz w:val="18"/>
        </w:rPr>
        <w:t>patients</w:t>
      </w:r>
      <w:r>
        <w:rPr>
          <w:spacing w:val="-3"/>
          <w:sz w:val="18"/>
        </w:rPr>
        <w:t> </w:t>
      </w:r>
      <w:r>
        <w:rPr>
          <w:sz w:val="18"/>
        </w:rPr>
        <w:t>set</w:t>
      </w:r>
      <w:r>
        <w:rPr>
          <w:spacing w:val="-5"/>
          <w:sz w:val="18"/>
        </w:rPr>
        <w:t> </w:t>
      </w:r>
      <w:r>
        <w:rPr>
          <w:sz w:val="18"/>
        </w:rPr>
        <w:t>goals</w:t>
      </w:r>
      <w:r>
        <w:rPr>
          <w:spacing w:val="-1"/>
          <w:sz w:val="18"/>
        </w:rPr>
        <w:t> </w:t>
      </w:r>
      <w:r>
        <w:rPr>
          <w:sz w:val="18"/>
        </w:rPr>
        <w:t>for</w:t>
      </w:r>
      <w:r>
        <w:rPr>
          <w:spacing w:val="-3"/>
          <w:sz w:val="18"/>
        </w:rPr>
        <w:t> </w:t>
      </w:r>
      <w:r>
        <w:rPr>
          <w:sz w:val="18"/>
        </w:rPr>
        <w:t>managing</w:t>
      </w:r>
      <w:r>
        <w:rPr>
          <w:spacing w:val="-4"/>
          <w:sz w:val="18"/>
        </w:rPr>
        <w:t> </w:t>
      </w:r>
      <w:r>
        <w:rPr>
          <w:sz w:val="18"/>
        </w:rPr>
        <w:t>their</w:t>
      </w:r>
      <w:r>
        <w:rPr>
          <w:spacing w:val="-3"/>
          <w:sz w:val="18"/>
        </w:rPr>
        <w:t> </w:t>
      </w:r>
      <w:r>
        <w:rPr>
          <w:sz w:val="18"/>
        </w:rPr>
        <w:t>health.</w:t>
      </w:r>
      <w:r>
        <w:rPr>
          <w:spacing w:val="-2"/>
          <w:sz w:val="18"/>
        </w:rPr>
        <w:t> </w:t>
      </w:r>
      <w:r>
        <w:rPr>
          <w:sz w:val="18"/>
        </w:rPr>
        <w:t>(1)</w:t>
      </w:r>
    </w:p>
    <w:p>
      <w:pPr>
        <w:spacing w:before="120"/>
        <w:ind w:left="1697" w:right="0" w:firstLine="0"/>
        <w:jc w:val="left"/>
        <w:rPr>
          <w:sz w:val="18"/>
        </w:rPr>
      </w:pPr>
      <w:r>
        <w:rPr/>
        <w:drawing>
          <wp:anchor distT="0" distB="0" distL="0" distR="0" allowOverlap="1" layoutInCell="1" locked="0" behindDoc="0" simplePos="0" relativeHeight="15988224">
            <wp:simplePos x="0" y="0"/>
            <wp:positionH relativeFrom="page">
              <wp:posOffset>1054901</wp:posOffset>
            </wp:positionH>
            <wp:positionV relativeFrom="paragraph">
              <wp:posOffset>121051</wp:posOffset>
            </wp:positionV>
            <wp:extent cx="58380" cy="72150"/>
            <wp:effectExtent l="0" t="0" r="0" b="0"/>
            <wp:wrapNone/>
            <wp:docPr id="1469" name="image13.png"/>
            <wp:cNvGraphicFramePr>
              <a:graphicFrameLocks noChangeAspect="1"/>
            </wp:cNvGraphicFramePr>
            <a:graphic>
              <a:graphicData uri="http://schemas.openxmlformats.org/drawingml/2006/picture">
                <pic:pic>
                  <pic:nvPicPr>
                    <pic:cNvPr id="1470" name="image13.png"/>
                    <pic:cNvPicPr/>
                  </pic:nvPicPr>
                  <pic:blipFill>
                    <a:blip r:embed="rId41" cstate="print"/>
                    <a:stretch>
                      <a:fillRect/>
                    </a:stretch>
                  </pic:blipFill>
                  <pic:spPr>
                    <a:xfrm>
                      <a:off x="0" y="0"/>
                      <a:ext cx="58380" cy="72150"/>
                    </a:xfrm>
                    <a:prstGeom prst="rect">
                      <a:avLst/>
                    </a:prstGeom>
                  </pic:spPr>
                </pic:pic>
              </a:graphicData>
            </a:graphic>
          </wp:anchor>
        </w:drawing>
      </w:r>
      <w:r>
        <w:rPr>
          <w:sz w:val="18"/>
        </w:rPr>
        <w:t>Never</w:t>
      </w:r>
      <w:r>
        <w:rPr>
          <w:spacing w:val="-5"/>
          <w:sz w:val="18"/>
        </w:rPr>
        <w:t> </w:t>
      </w:r>
      <w:r>
        <w:rPr>
          <w:sz w:val="18"/>
        </w:rPr>
        <w:t>(1)</w:t>
      </w:r>
    </w:p>
    <w:p>
      <w:pPr>
        <w:spacing w:before="118"/>
        <w:ind w:left="1697" w:right="0" w:firstLine="0"/>
        <w:jc w:val="left"/>
        <w:rPr>
          <w:sz w:val="18"/>
        </w:rPr>
      </w:pPr>
      <w:r>
        <w:rPr/>
        <w:drawing>
          <wp:anchor distT="0" distB="0" distL="0" distR="0" allowOverlap="1" layoutInCell="1" locked="0" behindDoc="0" simplePos="0" relativeHeight="15988736">
            <wp:simplePos x="0" y="0"/>
            <wp:positionH relativeFrom="page">
              <wp:posOffset>1054901</wp:posOffset>
            </wp:positionH>
            <wp:positionV relativeFrom="paragraph">
              <wp:posOffset>119780</wp:posOffset>
            </wp:positionV>
            <wp:extent cx="58380" cy="72151"/>
            <wp:effectExtent l="0" t="0" r="0" b="0"/>
            <wp:wrapNone/>
            <wp:docPr id="1471" name="image13.png"/>
            <wp:cNvGraphicFramePr>
              <a:graphicFrameLocks noChangeAspect="1"/>
            </wp:cNvGraphicFramePr>
            <a:graphic>
              <a:graphicData uri="http://schemas.openxmlformats.org/drawingml/2006/picture">
                <pic:pic>
                  <pic:nvPicPr>
                    <pic:cNvPr id="147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Rarely</w:t>
      </w:r>
      <w:r>
        <w:rPr>
          <w:spacing w:val="-7"/>
          <w:sz w:val="18"/>
        </w:rPr>
        <w:t> </w:t>
      </w:r>
      <w:r>
        <w:rPr>
          <w:sz w:val="18"/>
        </w:rPr>
        <w:t>(2)</w:t>
      </w:r>
    </w:p>
    <w:p>
      <w:pPr>
        <w:spacing w:before="121"/>
        <w:ind w:left="1697" w:right="0" w:firstLine="0"/>
        <w:jc w:val="left"/>
        <w:rPr>
          <w:sz w:val="18"/>
        </w:rPr>
      </w:pPr>
      <w:r>
        <w:rPr/>
        <w:drawing>
          <wp:anchor distT="0" distB="0" distL="0" distR="0" allowOverlap="1" layoutInCell="1" locked="0" behindDoc="0" simplePos="0" relativeHeight="15989248">
            <wp:simplePos x="0" y="0"/>
            <wp:positionH relativeFrom="page">
              <wp:posOffset>1054901</wp:posOffset>
            </wp:positionH>
            <wp:positionV relativeFrom="paragraph">
              <wp:posOffset>121304</wp:posOffset>
            </wp:positionV>
            <wp:extent cx="58380" cy="72151"/>
            <wp:effectExtent l="0" t="0" r="0" b="0"/>
            <wp:wrapNone/>
            <wp:docPr id="1473" name="image13.png"/>
            <wp:cNvGraphicFramePr>
              <a:graphicFrameLocks noChangeAspect="1"/>
            </wp:cNvGraphicFramePr>
            <a:graphic>
              <a:graphicData uri="http://schemas.openxmlformats.org/drawingml/2006/picture">
                <pic:pic>
                  <pic:nvPicPr>
                    <pic:cNvPr id="147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Some-times</w:t>
      </w:r>
      <w:r>
        <w:rPr>
          <w:spacing w:val="-2"/>
          <w:sz w:val="18"/>
        </w:rPr>
        <w:t> </w:t>
      </w:r>
      <w:r>
        <w:rPr>
          <w:sz w:val="18"/>
        </w:rPr>
        <w:t>(3)</w:t>
      </w:r>
    </w:p>
    <w:p>
      <w:pPr>
        <w:spacing w:before="120"/>
        <w:ind w:left="1697" w:right="0" w:firstLine="0"/>
        <w:jc w:val="left"/>
        <w:rPr>
          <w:sz w:val="18"/>
        </w:rPr>
      </w:pPr>
      <w:r>
        <w:rPr/>
        <w:drawing>
          <wp:anchor distT="0" distB="0" distL="0" distR="0" allowOverlap="1" layoutInCell="1" locked="0" behindDoc="0" simplePos="0" relativeHeight="15989760">
            <wp:simplePos x="0" y="0"/>
            <wp:positionH relativeFrom="page">
              <wp:posOffset>1054901</wp:posOffset>
            </wp:positionH>
            <wp:positionV relativeFrom="paragraph">
              <wp:posOffset>120669</wp:posOffset>
            </wp:positionV>
            <wp:extent cx="58380" cy="72150"/>
            <wp:effectExtent l="0" t="0" r="0" b="0"/>
            <wp:wrapNone/>
            <wp:docPr id="1475" name="image13.png"/>
            <wp:cNvGraphicFramePr>
              <a:graphicFrameLocks noChangeAspect="1"/>
            </wp:cNvGraphicFramePr>
            <a:graphic>
              <a:graphicData uri="http://schemas.openxmlformats.org/drawingml/2006/picture">
                <pic:pic>
                  <pic:nvPicPr>
                    <pic:cNvPr id="1476" name="image13.png"/>
                    <pic:cNvPicPr/>
                  </pic:nvPicPr>
                  <pic:blipFill>
                    <a:blip r:embed="rId41" cstate="print"/>
                    <a:stretch>
                      <a:fillRect/>
                    </a:stretch>
                  </pic:blipFill>
                  <pic:spPr>
                    <a:xfrm>
                      <a:off x="0" y="0"/>
                      <a:ext cx="58380" cy="72150"/>
                    </a:xfrm>
                    <a:prstGeom prst="rect">
                      <a:avLst/>
                    </a:prstGeom>
                  </pic:spPr>
                </pic:pic>
              </a:graphicData>
            </a:graphic>
          </wp:anchor>
        </w:drawing>
      </w:r>
      <w:r>
        <w:rPr>
          <w:sz w:val="18"/>
        </w:rPr>
        <w:t>Usually</w:t>
      </w:r>
      <w:r>
        <w:rPr>
          <w:spacing w:val="-6"/>
          <w:sz w:val="18"/>
        </w:rPr>
        <w:t> </w:t>
      </w:r>
      <w:r>
        <w:rPr>
          <w:sz w:val="18"/>
        </w:rPr>
        <w:t>(4)</w:t>
      </w:r>
    </w:p>
    <w:p>
      <w:pPr>
        <w:spacing w:before="120"/>
        <w:ind w:left="1697" w:right="0" w:firstLine="0"/>
        <w:jc w:val="left"/>
        <w:rPr>
          <w:sz w:val="18"/>
        </w:rPr>
      </w:pPr>
      <w:r>
        <w:rPr/>
        <w:drawing>
          <wp:anchor distT="0" distB="0" distL="0" distR="0" allowOverlap="1" layoutInCell="1" locked="0" behindDoc="0" simplePos="0" relativeHeight="15990272">
            <wp:simplePos x="0" y="0"/>
            <wp:positionH relativeFrom="page">
              <wp:posOffset>1054901</wp:posOffset>
            </wp:positionH>
            <wp:positionV relativeFrom="paragraph">
              <wp:posOffset>120668</wp:posOffset>
            </wp:positionV>
            <wp:extent cx="58380" cy="72151"/>
            <wp:effectExtent l="0" t="0" r="0" b="0"/>
            <wp:wrapNone/>
            <wp:docPr id="1477" name="image13.png"/>
            <wp:cNvGraphicFramePr>
              <a:graphicFrameLocks noChangeAspect="1"/>
            </wp:cNvGraphicFramePr>
            <a:graphic>
              <a:graphicData uri="http://schemas.openxmlformats.org/drawingml/2006/picture">
                <pic:pic>
                  <pic:nvPicPr>
                    <pic:cNvPr id="147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Always</w:t>
      </w:r>
      <w:r>
        <w:rPr>
          <w:spacing w:val="-5"/>
          <w:sz w:val="18"/>
        </w:rPr>
        <w:t> </w:t>
      </w:r>
      <w:r>
        <w:rPr>
          <w:sz w:val="18"/>
        </w:rPr>
        <w:t>(5)</w:t>
      </w:r>
    </w:p>
    <w:p>
      <w:pPr>
        <w:spacing w:before="120"/>
        <w:ind w:left="1697" w:right="0" w:firstLine="0"/>
        <w:jc w:val="left"/>
        <w:rPr>
          <w:sz w:val="18"/>
        </w:rPr>
      </w:pPr>
      <w:r>
        <w:rPr/>
        <w:drawing>
          <wp:anchor distT="0" distB="0" distL="0" distR="0" allowOverlap="1" layoutInCell="1" locked="0" behindDoc="0" simplePos="0" relativeHeight="15990784">
            <wp:simplePos x="0" y="0"/>
            <wp:positionH relativeFrom="page">
              <wp:posOffset>1054901</wp:posOffset>
            </wp:positionH>
            <wp:positionV relativeFrom="paragraph">
              <wp:posOffset>120669</wp:posOffset>
            </wp:positionV>
            <wp:extent cx="58380" cy="72151"/>
            <wp:effectExtent l="0" t="0" r="0" b="0"/>
            <wp:wrapNone/>
            <wp:docPr id="1479" name="image13.png"/>
            <wp:cNvGraphicFramePr>
              <a:graphicFrameLocks noChangeAspect="1"/>
            </wp:cNvGraphicFramePr>
            <a:graphic>
              <a:graphicData uri="http://schemas.openxmlformats.org/drawingml/2006/picture">
                <pic:pic>
                  <pic:nvPicPr>
                    <pic:cNvPr id="148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pStyle w:val="ListParagraph"/>
        <w:numPr>
          <w:ilvl w:val="0"/>
          <w:numId w:val="94"/>
        </w:numPr>
        <w:tabs>
          <w:tab w:pos="924" w:val="left" w:leader="none"/>
        </w:tabs>
        <w:spacing w:line="240" w:lineRule="auto" w:before="120" w:after="0"/>
        <w:ind w:left="923" w:right="0" w:hanging="221"/>
        <w:jc w:val="left"/>
        <w:rPr>
          <w:sz w:val="18"/>
        </w:rPr>
      </w:pPr>
      <w:r>
        <w:rPr>
          <w:sz w:val="18"/>
        </w:rPr>
        <w:t>…checks</w:t>
      </w:r>
      <w:r>
        <w:rPr>
          <w:spacing w:val="-3"/>
          <w:sz w:val="18"/>
        </w:rPr>
        <w:t> </w:t>
      </w:r>
      <w:r>
        <w:rPr>
          <w:sz w:val="18"/>
        </w:rPr>
        <w:t>to</w:t>
      </w:r>
      <w:r>
        <w:rPr>
          <w:spacing w:val="-2"/>
          <w:sz w:val="18"/>
        </w:rPr>
        <w:t> </w:t>
      </w:r>
      <w:r>
        <w:rPr>
          <w:sz w:val="18"/>
        </w:rPr>
        <w:t>see</w:t>
      </w:r>
      <w:r>
        <w:rPr>
          <w:spacing w:val="-6"/>
          <w:sz w:val="18"/>
        </w:rPr>
        <w:t> </w:t>
      </w:r>
      <w:r>
        <w:rPr>
          <w:sz w:val="18"/>
        </w:rPr>
        <w:t>if</w:t>
      </w:r>
      <w:r>
        <w:rPr>
          <w:spacing w:val="-2"/>
          <w:sz w:val="18"/>
        </w:rPr>
        <w:t> </w:t>
      </w:r>
      <w:r>
        <w:rPr>
          <w:sz w:val="18"/>
        </w:rPr>
        <w:t>patients</w:t>
      </w:r>
      <w:r>
        <w:rPr>
          <w:spacing w:val="-3"/>
          <w:sz w:val="18"/>
        </w:rPr>
        <w:t> </w:t>
      </w:r>
      <w:r>
        <w:rPr>
          <w:sz w:val="18"/>
        </w:rPr>
        <w:t>are</w:t>
      </w:r>
      <w:r>
        <w:rPr>
          <w:spacing w:val="-2"/>
          <w:sz w:val="18"/>
        </w:rPr>
        <w:t> </w:t>
      </w:r>
      <w:r>
        <w:rPr>
          <w:sz w:val="18"/>
        </w:rPr>
        <w:t>reaching</w:t>
      </w:r>
      <w:r>
        <w:rPr>
          <w:spacing w:val="-3"/>
          <w:sz w:val="18"/>
        </w:rPr>
        <w:t> </w:t>
      </w:r>
      <w:r>
        <w:rPr>
          <w:sz w:val="18"/>
        </w:rPr>
        <w:t>their</w:t>
      </w:r>
      <w:r>
        <w:rPr>
          <w:spacing w:val="-2"/>
          <w:sz w:val="18"/>
        </w:rPr>
        <w:t> </w:t>
      </w:r>
      <w:r>
        <w:rPr>
          <w:sz w:val="18"/>
        </w:rPr>
        <w:t>goals.</w:t>
      </w:r>
      <w:r>
        <w:rPr>
          <w:spacing w:val="-2"/>
          <w:sz w:val="18"/>
        </w:rPr>
        <w:t> </w:t>
      </w:r>
      <w:r>
        <w:rPr>
          <w:sz w:val="18"/>
        </w:rPr>
        <w:t>(2)</w:t>
      </w:r>
    </w:p>
    <w:p>
      <w:pPr>
        <w:spacing w:before="120"/>
        <w:ind w:left="1697" w:right="0" w:firstLine="0"/>
        <w:jc w:val="left"/>
        <w:rPr>
          <w:sz w:val="18"/>
        </w:rPr>
      </w:pPr>
      <w:r>
        <w:rPr/>
        <w:drawing>
          <wp:anchor distT="0" distB="0" distL="0" distR="0" allowOverlap="1" layoutInCell="1" locked="0" behindDoc="0" simplePos="0" relativeHeight="15991296">
            <wp:simplePos x="0" y="0"/>
            <wp:positionH relativeFrom="page">
              <wp:posOffset>1054901</wp:posOffset>
            </wp:positionH>
            <wp:positionV relativeFrom="paragraph">
              <wp:posOffset>120668</wp:posOffset>
            </wp:positionV>
            <wp:extent cx="58380" cy="72151"/>
            <wp:effectExtent l="0" t="0" r="0" b="0"/>
            <wp:wrapNone/>
            <wp:docPr id="1481" name="image13.png"/>
            <wp:cNvGraphicFramePr>
              <a:graphicFrameLocks noChangeAspect="1"/>
            </wp:cNvGraphicFramePr>
            <a:graphic>
              <a:graphicData uri="http://schemas.openxmlformats.org/drawingml/2006/picture">
                <pic:pic>
                  <pic:nvPicPr>
                    <pic:cNvPr id="148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Never</w:t>
      </w:r>
      <w:r>
        <w:rPr>
          <w:spacing w:val="-5"/>
          <w:sz w:val="18"/>
        </w:rPr>
        <w:t> </w:t>
      </w:r>
      <w:r>
        <w:rPr>
          <w:sz w:val="18"/>
        </w:rPr>
        <w:t>(1)</w:t>
      </w:r>
    </w:p>
    <w:p>
      <w:pPr>
        <w:spacing w:before="121"/>
        <w:ind w:left="1697" w:right="0" w:firstLine="0"/>
        <w:jc w:val="left"/>
        <w:rPr>
          <w:sz w:val="18"/>
        </w:rPr>
      </w:pPr>
      <w:r>
        <w:rPr/>
        <w:drawing>
          <wp:anchor distT="0" distB="0" distL="0" distR="0" allowOverlap="1" layoutInCell="1" locked="0" behindDoc="0" simplePos="0" relativeHeight="15991808">
            <wp:simplePos x="0" y="0"/>
            <wp:positionH relativeFrom="page">
              <wp:posOffset>1054901</wp:posOffset>
            </wp:positionH>
            <wp:positionV relativeFrom="paragraph">
              <wp:posOffset>121303</wp:posOffset>
            </wp:positionV>
            <wp:extent cx="58380" cy="72151"/>
            <wp:effectExtent l="0" t="0" r="0" b="0"/>
            <wp:wrapNone/>
            <wp:docPr id="1483" name="image13.png"/>
            <wp:cNvGraphicFramePr>
              <a:graphicFrameLocks noChangeAspect="1"/>
            </wp:cNvGraphicFramePr>
            <a:graphic>
              <a:graphicData uri="http://schemas.openxmlformats.org/drawingml/2006/picture">
                <pic:pic>
                  <pic:nvPicPr>
                    <pic:cNvPr id="148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Rarely</w:t>
      </w:r>
      <w:r>
        <w:rPr>
          <w:spacing w:val="-7"/>
          <w:sz w:val="18"/>
        </w:rPr>
        <w:t> </w:t>
      </w:r>
      <w:r>
        <w:rPr>
          <w:sz w:val="18"/>
        </w:rPr>
        <w:t>(2)</w:t>
      </w:r>
    </w:p>
    <w:p>
      <w:pPr>
        <w:spacing w:before="120"/>
        <w:ind w:left="1697" w:right="0" w:firstLine="0"/>
        <w:jc w:val="left"/>
        <w:rPr>
          <w:sz w:val="18"/>
        </w:rPr>
      </w:pPr>
      <w:r>
        <w:rPr/>
        <w:drawing>
          <wp:anchor distT="0" distB="0" distL="0" distR="0" allowOverlap="1" layoutInCell="1" locked="0" behindDoc="0" simplePos="0" relativeHeight="15992320">
            <wp:simplePos x="0" y="0"/>
            <wp:positionH relativeFrom="page">
              <wp:posOffset>1054901</wp:posOffset>
            </wp:positionH>
            <wp:positionV relativeFrom="paragraph">
              <wp:posOffset>120668</wp:posOffset>
            </wp:positionV>
            <wp:extent cx="58380" cy="72151"/>
            <wp:effectExtent l="0" t="0" r="0" b="0"/>
            <wp:wrapNone/>
            <wp:docPr id="1485" name="image13.png"/>
            <wp:cNvGraphicFramePr>
              <a:graphicFrameLocks noChangeAspect="1"/>
            </wp:cNvGraphicFramePr>
            <a:graphic>
              <a:graphicData uri="http://schemas.openxmlformats.org/drawingml/2006/picture">
                <pic:pic>
                  <pic:nvPicPr>
                    <pic:cNvPr id="148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Some-times</w:t>
      </w:r>
      <w:r>
        <w:rPr>
          <w:spacing w:val="-2"/>
          <w:sz w:val="18"/>
        </w:rPr>
        <w:t> </w:t>
      </w:r>
      <w:r>
        <w:rPr>
          <w:sz w:val="18"/>
        </w:rPr>
        <w:t>(3)</w:t>
      </w:r>
    </w:p>
    <w:p>
      <w:pPr>
        <w:spacing w:before="120"/>
        <w:ind w:left="1697" w:right="0" w:firstLine="0"/>
        <w:jc w:val="left"/>
        <w:rPr>
          <w:sz w:val="18"/>
        </w:rPr>
      </w:pPr>
      <w:r>
        <w:rPr/>
        <w:drawing>
          <wp:anchor distT="0" distB="0" distL="0" distR="0" allowOverlap="1" layoutInCell="1" locked="0" behindDoc="0" simplePos="0" relativeHeight="15992832">
            <wp:simplePos x="0" y="0"/>
            <wp:positionH relativeFrom="page">
              <wp:posOffset>1054901</wp:posOffset>
            </wp:positionH>
            <wp:positionV relativeFrom="paragraph">
              <wp:posOffset>120668</wp:posOffset>
            </wp:positionV>
            <wp:extent cx="58380" cy="72151"/>
            <wp:effectExtent l="0" t="0" r="0" b="0"/>
            <wp:wrapNone/>
            <wp:docPr id="1487" name="image13.png"/>
            <wp:cNvGraphicFramePr>
              <a:graphicFrameLocks noChangeAspect="1"/>
            </wp:cNvGraphicFramePr>
            <a:graphic>
              <a:graphicData uri="http://schemas.openxmlformats.org/drawingml/2006/picture">
                <pic:pic>
                  <pic:nvPicPr>
                    <pic:cNvPr id="148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Usually</w:t>
      </w:r>
      <w:r>
        <w:rPr>
          <w:spacing w:val="-6"/>
          <w:sz w:val="18"/>
        </w:rPr>
        <w:t> </w:t>
      </w:r>
      <w:r>
        <w:rPr>
          <w:sz w:val="18"/>
        </w:rPr>
        <w:t>(4)</w:t>
      </w:r>
    </w:p>
    <w:p>
      <w:pPr>
        <w:spacing w:before="120"/>
        <w:ind w:left="1697" w:right="0" w:firstLine="0"/>
        <w:jc w:val="left"/>
        <w:rPr>
          <w:sz w:val="18"/>
        </w:rPr>
      </w:pPr>
      <w:r>
        <w:rPr/>
        <w:drawing>
          <wp:anchor distT="0" distB="0" distL="0" distR="0" allowOverlap="1" layoutInCell="1" locked="0" behindDoc="0" simplePos="0" relativeHeight="15993344">
            <wp:simplePos x="0" y="0"/>
            <wp:positionH relativeFrom="page">
              <wp:posOffset>1054901</wp:posOffset>
            </wp:positionH>
            <wp:positionV relativeFrom="paragraph">
              <wp:posOffset>120668</wp:posOffset>
            </wp:positionV>
            <wp:extent cx="58380" cy="72151"/>
            <wp:effectExtent l="0" t="0" r="0" b="0"/>
            <wp:wrapNone/>
            <wp:docPr id="1489" name="image13.png"/>
            <wp:cNvGraphicFramePr>
              <a:graphicFrameLocks noChangeAspect="1"/>
            </wp:cNvGraphicFramePr>
            <a:graphic>
              <a:graphicData uri="http://schemas.openxmlformats.org/drawingml/2006/picture">
                <pic:pic>
                  <pic:nvPicPr>
                    <pic:cNvPr id="149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Always</w:t>
      </w:r>
      <w:r>
        <w:rPr>
          <w:spacing w:val="-5"/>
          <w:sz w:val="18"/>
        </w:rPr>
        <w:t> </w:t>
      </w:r>
      <w:r>
        <w:rPr>
          <w:sz w:val="18"/>
        </w:rPr>
        <w:t>(5)</w:t>
      </w:r>
    </w:p>
    <w:p>
      <w:pPr>
        <w:spacing w:before="120"/>
        <w:ind w:left="1697" w:right="0" w:firstLine="0"/>
        <w:jc w:val="left"/>
        <w:rPr>
          <w:sz w:val="18"/>
        </w:rPr>
      </w:pPr>
      <w:r>
        <w:rPr/>
        <w:drawing>
          <wp:anchor distT="0" distB="0" distL="0" distR="0" allowOverlap="1" layoutInCell="1" locked="0" behindDoc="0" simplePos="0" relativeHeight="15993856">
            <wp:simplePos x="0" y="0"/>
            <wp:positionH relativeFrom="page">
              <wp:posOffset>1054901</wp:posOffset>
            </wp:positionH>
            <wp:positionV relativeFrom="paragraph">
              <wp:posOffset>120221</wp:posOffset>
            </wp:positionV>
            <wp:extent cx="58380" cy="73869"/>
            <wp:effectExtent l="0" t="0" r="0" b="0"/>
            <wp:wrapNone/>
            <wp:docPr id="1491" name="image14.png"/>
            <wp:cNvGraphicFramePr>
              <a:graphicFrameLocks noChangeAspect="1"/>
            </wp:cNvGraphicFramePr>
            <a:graphic>
              <a:graphicData uri="http://schemas.openxmlformats.org/drawingml/2006/picture">
                <pic:pic>
                  <pic:nvPicPr>
                    <pic:cNvPr id="1492"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pStyle w:val="ListParagraph"/>
        <w:numPr>
          <w:ilvl w:val="0"/>
          <w:numId w:val="87"/>
        </w:numPr>
        <w:tabs>
          <w:tab w:pos="720" w:val="left" w:leader="none"/>
        </w:tabs>
        <w:spacing w:line="240" w:lineRule="auto" w:before="120" w:after="0"/>
        <w:ind w:left="719" w:right="0" w:hanging="300"/>
        <w:jc w:val="left"/>
        <w:rPr>
          <w:sz w:val="18"/>
        </w:rPr>
      </w:pPr>
      <w:r>
        <w:rPr>
          <w:sz w:val="18"/>
        </w:rPr>
        <w:t>The</w:t>
      </w:r>
      <w:r>
        <w:rPr>
          <w:spacing w:val="-3"/>
          <w:sz w:val="18"/>
        </w:rPr>
        <w:t> </w:t>
      </w:r>
      <w:r>
        <w:rPr>
          <w:sz w:val="18"/>
        </w:rPr>
        <w:t>primary</w:t>
      </w:r>
      <w:r>
        <w:rPr>
          <w:spacing w:val="-3"/>
          <w:sz w:val="18"/>
        </w:rPr>
        <w:t> </w:t>
      </w:r>
      <w:r>
        <w:rPr>
          <w:sz w:val="18"/>
        </w:rPr>
        <w:t>care</w:t>
      </w:r>
      <w:r>
        <w:rPr>
          <w:spacing w:val="-2"/>
          <w:sz w:val="18"/>
        </w:rPr>
        <w:t> </w:t>
      </w:r>
      <w:r>
        <w:rPr>
          <w:sz w:val="18"/>
        </w:rPr>
        <w:t>team…</w:t>
      </w:r>
    </w:p>
    <w:p>
      <w:pPr>
        <w:pStyle w:val="ListParagraph"/>
        <w:numPr>
          <w:ilvl w:val="0"/>
          <w:numId w:val="95"/>
        </w:numPr>
        <w:tabs>
          <w:tab w:pos="924" w:val="left" w:leader="none"/>
        </w:tabs>
        <w:spacing w:line="240" w:lineRule="auto" w:before="121" w:after="0"/>
        <w:ind w:left="923" w:right="0" w:hanging="221"/>
        <w:jc w:val="left"/>
        <w:rPr>
          <w:sz w:val="18"/>
        </w:rPr>
      </w:pPr>
      <w:r>
        <w:rPr>
          <w:sz w:val="18"/>
        </w:rPr>
        <w:t>…gives</w:t>
      </w:r>
      <w:r>
        <w:rPr>
          <w:spacing w:val="-3"/>
          <w:sz w:val="18"/>
        </w:rPr>
        <w:t> </w:t>
      </w:r>
      <w:r>
        <w:rPr>
          <w:sz w:val="18"/>
        </w:rPr>
        <w:t>patients</w:t>
      </w:r>
      <w:r>
        <w:rPr>
          <w:spacing w:val="-3"/>
          <w:sz w:val="18"/>
        </w:rPr>
        <w:t> </w:t>
      </w:r>
      <w:r>
        <w:rPr>
          <w:sz w:val="18"/>
        </w:rPr>
        <w:t>a</w:t>
      </w:r>
      <w:r>
        <w:rPr>
          <w:spacing w:val="-2"/>
          <w:sz w:val="18"/>
        </w:rPr>
        <w:t> </w:t>
      </w:r>
      <w:r>
        <w:rPr>
          <w:sz w:val="18"/>
        </w:rPr>
        <w:t>copy</w:t>
      </w:r>
      <w:r>
        <w:rPr>
          <w:spacing w:val="-3"/>
          <w:sz w:val="18"/>
        </w:rPr>
        <w:t> </w:t>
      </w:r>
      <w:r>
        <w:rPr>
          <w:sz w:val="18"/>
        </w:rPr>
        <w:t>of</w:t>
      </w:r>
      <w:r>
        <w:rPr>
          <w:spacing w:val="-2"/>
          <w:sz w:val="18"/>
        </w:rPr>
        <w:t> </w:t>
      </w:r>
      <w:r>
        <w:rPr>
          <w:sz w:val="18"/>
        </w:rPr>
        <w:t>their</w:t>
      </w:r>
      <w:r>
        <w:rPr>
          <w:spacing w:val="-2"/>
          <w:sz w:val="18"/>
        </w:rPr>
        <w:t> </w:t>
      </w:r>
      <w:r>
        <w:rPr>
          <w:sz w:val="18"/>
        </w:rPr>
        <w:t>care</w:t>
      </w:r>
      <w:r>
        <w:rPr>
          <w:spacing w:val="-4"/>
          <w:sz w:val="18"/>
        </w:rPr>
        <w:t> </w:t>
      </w:r>
      <w:r>
        <w:rPr>
          <w:sz w:val="18"/>
        </w:rPr>
        <w:t>plan.</w:t>
      </w:r>
      <w:r>
        <w:rPr>
          <w:spacing w:val="-1"/>
          <w:sz w:val="18"/>
        </w:rPr>
        <w:t> </w:t>
      </w:r>
      <w:r>
        <w:rPr>
          <w:sz w:val="18"/>
        </w:rPr>
        <w:t>(1)</w:t>
      </w:r>
    </w:p>
    <w:p>
      <w:pPr>
        <w:spacing w:before="120"/>
        <w:ind w:left="1697" w:right="0" w:firstLine="0"/>
        <w:jc w:val="left"/>
        <w:rPr>
          <w:sz w:val="18"/>
        </w:rPr>
      </w:pPr>
      <w:r>
        <w:rPr/>
        <w:drawing>
          <wp:anchor distT="0" distB="0" distL="0" distR="0" allowOverlap="1" layoutInCell="1" locked="0" behindDoc="0" simplePos="0" relativeHeight="15994368">
            <wp:simplePos x="0" y="0"/>
            <wp:positionH relativeFrom="page">
              <wp:posOffset>1054901</wp:posOffset>
            </wp:positionH>
            <wp:positionV relativeFrom="paragraph">
              <wp:posOffset>120221</wp:posOffset>
            </wp:positionV>
            <wp:extent cx="58380" cy="73869"/>
            <wp:effectExtent l="0" t="0" r="0" b="0"/>
            <wp:wrapNone/>
            <wp:docPr id="1493" name="image14.png"/>
            <wp:cNvGraphicFramePr>
              <a:graphicFrameLocks noChangeAspect="1"/>
            </wp:cNvGraphicFramePr>
            <a:graphic>
              <a:graphicData uri="http://schemas.openxmlformats.org/drawingml/2006/picture">
                <pic:pic>
                  <pic:nvPicPr>
                    <pic:cNvPr id="1494"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Never</w:t>
      </w:r>
      <w:r>
        <w:rPr>
          <w:spacing w:val="-5"/>
          <w:sz w:val="18"/>
        </w:rPr>
        <w:t> </w:t>
      </w:r>
      <w:r>
        <w:rPr>
          <w:sz w:val="18"/>
        </w:rPr>
        <w:t>(1)</w:t>
      </w:r>
    </w:p>
    <w:p>
      <w:pPr>
        <w:spacing w:before="120"/>
        <w:ind w:left="1697" w:right="0" w:firstLine="0"/>
        <w:jc w:val="left"/>
        <w:rPr>
          <w:sz w:val="18"/>
        </w:rPr>
      </w:pPr>
      <w:r>
        <w:rPr/>
        <w:drawing>
          <wp:anchor distT="0" distB="0" distL="0" distR="0" allowOverlap="1" layoutInCell="1" locked="0" behindDoc="0" simplePos="0" relativeHeight="15994880">
            <wp:simplePos x="0" y="0"/>
            <wp:positionH relativeFrom="page">
              <wp:posOffset>1054901</wp:posOffset>
            </wp:positionH>
            <wp:positionV relativeFrom="paragraph">
              <wp:posOffset>120414</wp:posOffset>
            </wp:positionV>
            <wp:extent cx="58380" cy="72151"/>
            <wp:effectExtent l="0" t="0" r="0" b="0"/>
            <wp:wrapNone/>
            <wp:docPr id="1495" name="image13.png"/>
            <wp:cNvGraphicFramePr>
              <a:graphicFrameLocks noChangeAspect="1"/>
            </wp:cNvGraphicFramePr>
            <a:graphic>
              <a:graphicData uri="http://schemas.openxmlformats.org/drawingml/2006/picture">
                <pic:pic>
                  <pic:nvPicPr>
                    <pic:cNvPr id="149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Rarely</w:t>
      </w:r>
      <w:r>
        <w:rPr>
          <w:spacing w:val="-7"/>
          <w:sz w:val="18"/>
        </w:rPr>
        <w:t> </w:t>
      </w:r>
      <w:r>
        <w:rPr>
          <w:sz w:val="18"/>
        </w:rPr>
        <w:t>(2)</w:t>
      </w:r>
    </w:p>
    <w:p>
      <w:pPr>
        <w:spacing w:before="120"/>
        <w:ind w:left="1697" w:right="0" w:firstLine="0"/>
        <w:jc w:val="left"/>
        <w:rPr>
          <w:sz w:val="18"/>
        </w:rPr>
      </w:pPr>
      <w:r>
        <w:rPr/>
        <w:drawing>
          <wp:anchor distT="0" distB="0" distL="0" distR="0" allowOverlap="1" layoutInCell="1" locked="0" behindDoc="0" simplePos="0" relativeHeight="15995392">
            <wp:simplePos x="0" y="0"/>
            <wp:positionH relativeFrom="page">
              <wp:posOffset>1054901</wp:posOffset>
            </wp:positionH>
            <wp:positionV relativeFrom="paragraph">
              <wp:posOffset>120414</wp:posOffset>
            </wp:positionV>
            <wp:extent cx="58380" cy="72151"/>
            <wp:effectExtent l="0" t="0" r="0" b="0"/>
            <wp:wrapNone/>
            <wp:docPr id="1497" name="image13.png"/>
            <wp:cNvGraphicFramePr>
              <a:graphicFrameLocks noChangeAspect="1"/>
            </wp:cNvGraphicFramePr>
            <a:graphic>
              <a:graphicData uri="http://schemas.openxmlformats.org/drawingml/2006/picture">
                <pic:pic>
                  <pic:nvPicPr>
                    <pic:cNvPr id="149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Some-times</w:t>
      </w:r>
      <w:r>
        <w:rPr>
          <w:spacing w:val="-2"/>
          <w:sz w:val="18"/>
        </w:rPr>
        <w:t> </w:t>
      </w:r>
      <w:r>
        <w:rPr>
          <w:sz w:val="18"/>
        </w:rPr>
        <w:t>(3)</w:t>
      </w:r>
    </w:p>
    <w:p>
      <w:pPr>
        <w:spacing w:before="120"/>
        <w:ind w:left="1697" w:right="0" w:firstLine="0"/>
        <w:jc w:val="left"/>
        <w:rPr>
          <w:sz w:val="18"/>
        </w:rPr>
      </w:pPr>
      <w:r>
        <w:rPr/>
        <w:drawing>
          <wp:anchor distT="0" distB="0" distL="0" distR="0" allowOverlap="1" layoutInCell="1" locked="0" behindDoc="0" simplePos="0" relativeHeight="15995904">
            <wp:simplePos x="0" y="0"/>
            <wp:positionH relativeFrom="page">
              <wp:posOffset>1054901</wp:posOffset>
            </wp:positionH>
            <wp:positionV relativeFrom="paragraph">
              <wp:posOffset>120415</wp:posOffset>
            </wp:positionV>
            <wp:extent cx="58380" cy="72151"/>
            <wp:effectExtent l="0" t="0" r="0" b="0"/>
            <wp:wrapNone/>
            <wp:docPr id="1499" name="image13.png"/>
            <wp:cNvGraphicFramePr>
              <a:graphicFrameLocks noChangeAspect="1"/>
            </wp:cNvGraphicFramePr>
            <a:graphic>
              <a:graphicData uri="http://schemas.openxmlformats.org/drawingml/2006/picture">
                <pic:pic>
                  <pic:nvPicPr>
                    <pic:cNvPr id="150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Usually</w:t>
      </w:r>
      <w:r>
        <w:rPr>
          <w:spacing w:val="-6"/>
          <w:sz w:val="18"/>
        </w:rPr>
        <w:t> </w:t>
      </w:r>
      <w:r>
        <w:rPr>
          <w:sz w:val="18"/>
        </w:rPr>
        <w:t>(4)</w:t>
      </w:r>
    </w:p>
    <w:p>
      <w:pPr>
        <w:spacing w:before="120"/>
        <w:ind w:left="1697" w:right="0" w:firstLine="0"/>
        <w:jc w:val="left"/>
        <w:rPr>
          <w:sz w:val="18"/>
        </w:rPr>
      </w:pPr>
      <w:r>
        <w:rPr/>
        <w:drawing>
          <wp:anchor distT="0" distB="0" distL="0" distR="0" allowOverlap="1" layoutInCell="1" locked="0" behindDoc="0" simplePos="0" relativeHeight="15996416">
            <wp:simplePos x="0" y="0"/>
            <wp:positionH relativeFrom="page">
              <wp:posOffset>1054901</wp:posOffset>
            </wp:positionH>
            <wp:positionV relativeFrom="paragraph">
              <wp:posOffset>120414</wp:posOffset>
            </wp:positionV>
            <wp:extent cx="58380" cy="72151"/>
            <wp:effectExtent l="0" t="0" r="0" b="0"/>
            <wp:wrapNone/>
            <wp:docPr id="1501" name="image13.png"/>
            <wp:cNvGraphicFramePr>
              <a:graphicFrameLocks noChangeAspect="1"/>
            </wp:cNvGraphicFramePr>
            <a:graphic>
              <a:graphicData uri="http://schemas.openxmlformats.org/drawingml/2006/picture">
                <pic:pic>
                  <pic:nvPicPr>
                    <pic:cNvPr id="150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Always</w:t>
      </w:r>
      <w:r>
        <w:rPr>
          <w:spacing w:val="-5"/>
          <w:sz w:val="18"/>
        </w:rPr>
        <w:t> </w:t>
      </w:r>
      <w:r>
        <w:rPr>
          <w:sz w:val="18"/>
        </w:rPr>
        <w:t>(5)</w:t>
      </w:r>
    </w:p>
    <w:p>
      <w:pPr>
        <w:spacing w:before="120"/>
        <w:ind w:left="1697" w:right="0" w:firstLine="0"/>
        <w:jc w:val="left"/>
        <w:rPr>
          <w:sz w:val="18"/>
        </w:rPr>
      </w:pPr>
      <w:r>
        <w:rPr/>
        <w:drawing>
          <wp:anchor distT="0" distB="0" distL="0" distR="0" allowOverlap="1" layoutInCell="1" locked="0" behindDoc="0" simplePos="0" relativeHeight="15996928">
            <wp:simplePos x="0" y="0"/>
            <wp:positionH relativeFrom="page">
              <wp:posOffset>1054901</wp:posOffset>
            </wp:positionH>
            <wp:positionV relativeFrom="paragraph">
              <wp:posOffset>120414</wp:posOffset>
            </wp:positionV>
            <wp:extent cx="58380" cy="72151"/>
            <wp:effectExtent l="0" t="0" r="0" b="0"/>
            <wp:wrapNone/>
            <wp:docPr id="1503" name="image13.png"/>
            <wp:cNvGraphicFramePr>
              <a:graphicFrameLocks noChangeAspect="1"/>
            </wp:cNvGraphicFramePr>
            <a:graphic>
              <a:graphicData uri="http://schemas.openxmlformats.org/drawingml/2006/picture">
                <pic:pic>
                  <pic:nvPicPr>
                    <pic:cNvPr id="150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pStyle w:val="ListParagraph"/>
        <w:numPr>
          <w:ilvl w:val="0"/>
          <w:numId w:val="95"/>
        </w:numPr>
        <w:tabs>
          <w:tab w:pos="924" w:val="left" w:leader="none"/>
        </w:tabs>
        <w:spacing w:line="240" w:lineRule="auto" w:before="121" w:after="0"/>
        <w:ind w:left="923" w:right="0" w:hanging="221"/>
        <w:jc w:val="left"/>
        <w:rPr>
          <w:sz w:val="18"/>
        </w:rPr>
      </w:pPr>
      <w:r>
        <w:rPr>
          <w:sz w:val="18"/>
        </w:rPr>
        <w:t>…follows</w:t>
      </w:r>
      <w:r>
        <w:rPr>
          <w:spacing w:val="-3"/>
          <w:sz w:val="18"/>
        </w:rPr>
        <w:t> </w:t>
      </w:r>
      <w:r>
        <w:rPr>
          <w:sz w:val="18"/>
        </w:rPr>
        <w:t>through</w:t>
      </w:r>
      <w:r>
        <w:rPr>
          <w:spacing w:val="-2"/>
          <w:sz w:val="18"/>
        </w:rPr>
        <w:t> </w:t>
      </w:r>
      <w:r>
        <w:rPr>
          <w:sz w:val="18"/>
        </w:rPr>
        <w:t>with</w:t>
      </w:r>
      <w:r>
        <w:rPr>
          <w:spacing w:val="-2"/>
          <w:sz w:val="18"/>
        </w:rPr>
        <w:t> </w:t>
      </w:r>
      <w:r>
        <w:rPr>
          <w:sz w:val="18"/>
        </w:rPr>
        <w:t>the</w:t>
      </w:r>
      <w:r>
        <w:rPr>
          <w:spacing w:val="-2"/>
          <w:sz w:val="18"/>
        </w:rPr>
        <w:t> </w:t>
      </w:r>
      <w:r>
        <w:rPr>
          <w:sz w:val="18"/>
        </w:rPr>
        <w:t>care</w:t>
      </w:r>
      <w:r>
        <w:rPr>
          <w:spacing w:val="-4"/>
          <w:sz w:val="18"/>
        </w:rPr>
        <w:t> </w:t>
      </w:r>
      <w:r>
        <w:rPr>
          <w:sz w:val="18"/>
        </w:rPr>
        <w:t>plan.</w:t>
      </w:r>
      <w:r>
        <w:rPr>
          <w:spacing w:val="-1"/>
          <w:sz w:val="18"/>
        </w:rPr>
        <w:t> </w:t>
      </w:r>
      <w:r>
        <w:rPr>
          <w:sz w:val="18"/>
        </w:rPr>
        <w:t>(2)</w:t>
      </w:r>
    </w:p>
    <w:p>
      <w:pPr>
        <w:spacing w:before="120"/>
        <w:ind w:left="1697" w:right="0" w:firstLine="0"/>
        <w:jc w:val="left"/>
        <w:rPr>
          <w:sz w:val="18"/>
        </w:rPr>
      </w:pPr>
      <w:r>
        <w:rPr/>
        <w:drawing>
          <wp:anchor distT="0" distB="0" distL="0" distR="0" allowOverlap="1" layoutInCell="1" locked="0" behindDoc="0" simplePos="0" relativeHeight="15997440">
            <wp:simplePos x="0" y="0"/>
            <wp:positionH relativeFrom="page">
              <wp:posOffset>1054901</wp:posOffset>
            </wp:positionH>
            <wp:positionV relativeFrom="paragraph">
              <wp:posOffset>120033</wp:posOffset>
            </wp:positionV>
            <wp:extent cx="58380" cy="72151"/>
            <wp:effectExtent l="0" t="0" r="0" b="0"/>
            <wp:wrapNone/>
            <wp:docPr id="1505" name="image13.png"/>
            <wp:cNvGraphicFramePr>
              <a:graphicFrameLocks noChangeAspect="1"/>
            </wp:cNvGraphicFramePr>
            <a:graphic>
              <a:graphicData uri="http://schemas.openxmlformats.org/drawingml/2006/picture">
                <pic:pic>
                  <pic:nvPicPr>
                    <pic:cNvPr id="150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Never</w:t>
      </w:r>
      <w:r>
        <w:rPr>
          <w:spacing w:val="-5"/>
          <w:sz w:val="18"/>
        </w:rPr>
        <w:t> </w:t>
      </w:r>
      <w:r>
        <w:rPr>
          <w:sz w:val="18"/>
        </w:rPr>
        <w:t>(1)</w:t>
      </w:r>
    </w:p>
    <w:p>
      <w:pPr>
        <w:spacing w:before="120"/>
        <w:ind w:left="1697" w:right="0" w:firstLine="0"/>
        <w:jc w:val="left"/>
        <w:rPr>
          <w:sz w:val="18"/>
        </w:rPr>
      </w:pPr>
      <w:r>
        <w:rPr/>
        <w:drawing>
          <wp:anchor distT="0" distB="0" distL="0" distR="0" allowOverlap="1" layoutInCell="1" locked="0" behindDoc="0" simplePos="0" relativeHeight="15997952">
            <wp:simplePos x="0" y="0"/>
            <wp:positionH relativeFrom="page">
              <wp:posOffset>1054901</wp:posOffset>
            </wp:positionH>
            <wp:positionV relativeFrom="paragraph">
              <wp:posOffset>120033</wp:posOffset>
            </wp:positionV>
            <wp:extent cx="58380" cy="72151"/>
            <wp:effectExtent l="0" t="0" r="0" b="0"/>
            <wp:wrapNone/>
            <wp:docPr id="1507" name="image13.png"/>
            <wp:cNvGraphicFramePr>
              <a:graphicFrameLocks noChangeAspect="1"/>
            </wp:cNvGraphicFramePr>
            <a:graphic>
              <a:graphicData uri="http://schemas.openxmlformats.org/drawingml/2006/picture">
                <pic:pic>
                  <pic:nvPicPr>
                    <pic:cNvPr id="150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Rarely</w:t>
      </w:r>
      <w:r>
        <w:rPr>
          <w:spacing w:val="-7"/>
          <w:sz w:val="18"/>
        </w:rPr>
        <w:t> </w:t>
      </w:r>
      <w:r>
        <w:rPr>
          <w:sz w:val="18"/>
        </w:rPr>
        <w:t>(2)</w:t>
      </w:r>
    </w:p>
    <w:p>
      <w:pPr>
        <w:spacing w:before="118"/>
        <w:ind w:left="1697" w:right="0" w:firstLine="0"/>
        <w:jc w:val="left"/>
        <w:rPr>
          <w:sz w:val="18"/>
        </w:rPr>
      </w:pPr>
      <w:r>
        <w:rPr/>
        <w:drawing>
          <wp:anchor distT="0" distB="0" distL="0" distR="0" allowOverlap="1" layoutInCell="1" locked="0" behindDoc="0" simplePos="0" relativeHeight="15998464">
            <wp:simplePos x="0" y="0"/>
            <wp:positionH relativeFrom="page">
              <wp:posOffset>1054901</wp:posOffset>
            </wp:positionH>
            <wp:positionV relativeFrom="paragraph">
              <wp:posOffset>118763</wp:posOffset>
            </wp:positionV>
            <wp:extent cx="58380" cy="72151"/>
            <wp:effectExtent l="0" t="0" r="0" b="0"/>
            <wp:wrapNone/>
            <wp:docPr id="1509" name="image13.png"/>
            <wp:cNvGraphicFramePr>
              <a:graphicFrameLocks noChangeAspect="1"/>
            </wp:cNvGraphicFramePr>
            <a:graphic>
              <a:graphicData uri="http://schemas.openxmlformats.org/drawingml/2006/picture">
                <pic:pic>
                  <pic:nvPicPr>
                    <pic:cNvPr id="151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Some-times</w:t>
      </w:r>
      <w:r>
        <w:rPr>
          <w:spacing w:val="-2"/>
          <w:sz w:val="18"/>
        </w:rPr>
        <w:t> </w:t>
      </w:r>
      <w:r>
        <w:rPr>
          <w:sz w:val="18"/>
        </w:rPr>
        <w:t>(3)</w:t>
      </w:r>
    </w:p>
    <w:p>
      <w:pPr>
        <w:spacing w:before="120"/>
        <w:ind w:left="1697" w:right="0" w:firstLine="0"/>
        <w:jc w:val="left"/>
        <w:rPr>
          <w:sz w:val="18"/>
        </w:rPr>
      </w:pPr>
      <w:r>
        <w:rPr/>
        <w:drawing>
          <wp:anchor distT="0" distB="0" distL="0" distR="0" allowOverlap="1" layoutInCell="1" locked="0" behindDoc="0" simplePos="0" relativeHeight="15998976">
            <wp:simplePos x="0" y="0"/>
            <wp:positionH relativeFrom="page">
              <wp:posOffset>1054901</wp:posOffset>
            </wp:positionH>
            <wp:positionV relativeFrom="paragraph">
              <wp:posOffset>120033</wp:posOffset>
            </wp:positionV>
            <wp:extent cx="58380" cy="72151"/>
            <wp:effectExtent l="0" t="0" r="0" b="0"/>
            <wp:wrapNone/>
            <wp:docPr id="1511" name="image13.png"/>
            <wp:cNvGraphicFramePr>
              <a:graphicFrameLocks noChangeAspect="1"/>
            </wp:cNvGraphicFramePr>
            <a:graphic>
              <a:graphicData uri="http://schemas.openxmlformats.org/drawingml/2006/picture">
                <pic:pic>
                  <pic:nvPicPr>
                    <pic:cNvPr id="151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Usually</w:t>
      </w:r>
      <w:r>
        <w:rPr>
          <w:spacing w:val="-6"/>
          <w:sz w:val="18"/>
        </w:rPr>
        <w:t> </w:t>
      </w:r>
      <w:r>
        <w:rPr>
          <w:sz w:val="18"/>
        </w:rPr>
        <w:t>(4)</w:t>
      </w:r>
    </w:p>
    <w:p>
      <w:pPr>
        <w:spacing w:before="120"/>
        <w:ind w:left="1697" w:right="0" w:firstLine="0"/>
        <w:jc w:val="left"/>
        <w:rPr>
          <w:sz w:val="18"/>
        </w:rPr>
      </w:pPr>
      <w:r>
        <w:rPr/>
        <w:drawing>
          <wp:anchor distT="0" distB="0" distL="0" distR="0" allowOverlap="1" layoutInCell="1" locked="0" behindDoc="0" simplePos="0" relativeHeight="15999488">
            <wp:simplePos x="0" y="0"/>
            <wp:positionH relativeFrom="page">
              <wp:posOffset>1054901</wp:posOffset>
            </wp:positionH>
            <wp:positionV relativeFrom="paragraph">
              <wp:posOffset>120033</wp:posOffset>
            </wp:positionV>
            <wp:extent cx="58380" cy="72151"/>
            <wp:effectExtent l="0" t="0" r="0" b="0"/>
            <wp:wrapNone/>
            <wp:docPr id="1513" name="image13.png"/>
            <wp:cNvGraphicFramePr>
              <a:graphicFrameLocks noChangeAspect="1"/>
            </wp:cNvGraphicFramePr>
            <a:graphic>
              <a:graphicData uri="http://schemas.openxmlformats.org/drawingml/2006/picture">
                <pic:pic>
                  <pic:nvPicPr>
                    <pic:cNvPr id="151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Always</w:t>
      </w:r>
      <w:r>
        <w:rPr>
          <w:spacing w:val="-5"/>
          <w:sz w:val="18"/>
        </w:rPr>
        <w:t> </w:t>
      </w:r>
      <w:r>
        <w:rPr>
          <w:sz w:val="18"/>
        </w:rPr>
        <w:t>(5)</w:t>
      </w:r>
    </w:p>
    <w:p>
      <w:pPr>
        <w:spacing w:before="120"/>
        <w:ind w:left="1697" w:right="0" w:firstLine="0"/>
        <w:jc w:val="left"/>
        <w:rPr>
          <w:sz w:val="18"/>
        </w:rPr>
      </w:pPr>
      <w:r>
        <w:rPr/>
        <w:drawing>
          <wp:anchor distT="0" distB="0" distL="0" distR="0" allowOverlap="1" layoutInCell="1" locked="0" behindDoc="0" simplePos="0" relativeHeight="16000000">
            <wp:simplePos x="0" y="0"/>
            <wp:positionH relativeFrom="page">
              <wp:posOffset>1054901</wp:posOffset>
            </wp:positionH>
            <wp:positionV relativeFrom="paragraph">
              <wp:posOffset>120033</wp:posOffset>
            </wp:positionV>
            <wp:extent cx="58380" cy="72151"/>
            <wp:effectExtent l="0" t="0" r="0" b="0"/>
            <wp:wrapNone/>
            <wp:docPr id="1515" name="image13.png"/>
            <wp:cNvGraphicFramePr>
              <a:graphicFrameLocks noChangeAspect="1"/>
            </wp:cNvGraphicFramePr>
            <a:graphic>
              <a:graphicData uri="http://schemas.openxmlformats.org/drawingml/2006/picture">
                <pic:pic>
                  <pic:nvPicPr>
                    <pic:cNvPr id="151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spacing w:after="0"/>
        <w:jc w:val="left"/>
        <w:rPr>
          <w:sz w:val="18"/>
        </w:rPr>
        <w:sectPr>
          <w:footerReference w:type="default" r:id="rId54"/>
          <w:pgSz w:w="11910" w:h="16840"/>
          <w:pgMar w:footer="916" w:header="0" w:top="860" w:bottom="1100" w:left="300" w:right="0"/>
          <w:pgNumType w:start="131"/>
        </w:sectPr>
      </w:pPr>
    </w:p>
    <w:p>
      <w:pPr>
        <w:pStyle w:val="ListParagraph"/>
        <w:numPr>
          <w:ilvl w:val="0"/>
          <w:numId w:val="95"/>
        </w:numPr>
        <w:tabs>
          <w:tab w:pos="919" w:val="left" w:leader="none"/>
        </w:tabs>
        <w:spacing w:line="240" w:lineRule="auto" w:before="75" w:after="0"/>
        <w:ind w:left="918" w:right="0" w:hanging="216"/>
        <w:jc w:val="left"/>
        <w:rPr>
          <w:sz w:val="18"/>
        </w:rPr>
      </w:pPr>
      <w:r>
        <w:rPr>
          <w:sz w:val="18"/>
        </w:rPr>
        <w:t>…uses</w:t>
      </w:r>
      <w:r>
        <w:rPr>
          <w:spacing w:val="-3"/>
          <w:sz w:val="18"/>
        </w:rPr>
        <w:t> </w:t>
      </w:r>
      <w:r>
        <w:rPr>
          <w:sz w:val="18"/>
        </w:rPr>
        <w:t>patients’</w:t>
      </w:r>
      <w:r>
        <w:rPr>
          <w:spacing w:val="-5"/>
          <w:sz w:val="18"/>
        </w:rPr>
        <w:t> </w:t>
      </w:r>
      <w:r>
        <w:rPr>
          <w:sz w:val="18"/>
        </w:rPr>
        <w:t>care</w:t>
      </w:r>
      <w:r>
        <w:rPr>
          <w:spacing w:val="-2"/>
          <w:sz w:val="18"/>
        </w:rPr>
        <w:t> </w:t>
      </w:r>
      <w:r>
        <w:rPr>
          <w:sz w:val="18"/>
        </w:rPr>
        <w:t>plan</w:t>
      </w:r>
      <w:r>
        <w:rPr>
          <w:spacing w:val="-3"/>
          <w:sz w:val="18"/>
        </w:rPr>
        <w:t> </w:t>
      </w:r>
      <w:r>
        <w:rPr>
          <w:sz w:val="18"/>
        </w:rPr>
        <w:t>to</w:t>
      </w:r>
      <w:r>
        <w:rPr>
          <w:spacing w:val="-2"/>
          <w:sz w:val="18"/>
        </w:rPr>
        <w:t> </w:t>
      </w:r>
      <w:r>
        <w:rPr>
          <w:sz w:val="18"/>
        </w:rPr>
        <w:t>follow</w:t>
      </w:r>
      <w:r>
        <w:rPr>
          <w:spacing w:val="-4"/>
          <w:sz w:val="18"/>
        </w:rPr>
        <w:t> </w:t>
      </w:r>
      <w:r>
        <w:rPr>
          <w:sz w:val="18"/>
        </w:rPr>
        <w:t>progress.</w:t>
      </w:r>
      <w:r>
        <w:rPr>
          <w:spacing w:val="-2"/>
          <w:sz w:val="18"/>
        </w:rPr>
        <w:t> </w:t>
      </w:r>
      <w:r>
        <w:rPr>
          <w:sz w:val="18"/>
        </w:rPr>
        <w:t>(3)</w:t>
      </w:r>
    </w:p>
    <w:p>
      <w:pPr>
        <w:spacing w:before="121"/>
        <w:ind w:left="1697" w:right="0" w:firstLine="0"/>
        <w:jc w:val="left"/>
        <w:rPr>
          <w:sz w:val="18"/>
        </w:rPr>
      </w:pPr>
      <w:r>
        <w:rPr/>
        <w:drawing>
          <wp:anchor distT="0" distB="0" distL="0" distR="0" allowOverlap="1" layoutInCell="1" locked="0" behindDoc="0" simplePos="0" relativeHeight="16000512">
            <wp:simplePos x="0" y="0"/>
            <wp:positionH relativeFrom="page">
              <wp:posOffset>1054901</wp:posOffset>
            </wp:positionH>
            <wp:positionV relativeFrom="paragraph">
              <wp:posOffset>121938</wp:posOffset>
            </wp:positionV>
            <wp:extent cx="58380" cy="72151"/>
            <wp:effectExtent l="0" t="0" r="0" b="0"/>
            <wp:wrapNone/>
            <wp:docPr id="1517" name="image13.png"/>
            <wp:cNvGraphicFramePr>
              <a:graphicFrameLocks noChangeAspect="1"/>
            </wp:cNvGraphicFramePr>
            <a:graphic>
              <a:graphicData uri="http://schemas.openxmlformats.org/drawingml/2006/picture">
                <pic:pic>
                  <pic:nvPicPr>
                    <pic:cNvPr id="151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Never</w:t>
      </w:r>
      <w:r>
        <w:rPr>
          <w:spacing w:val="-5"/>
          <w:sz w:val="18"/>
        </w:rPr>
        <w:t> </w:t>
      </w:r>
      <w:r>
        <w:rPr>
          <w:sz w:val="18"/>
        </w:rPr>
        <w:t>(1)</w:t>
      </w:r>
    </w:p>
    <w:p>
      <w:pPr>
        <w:spacing w:before="120"/>
        <w:ind w:left="1697" w:right="0" w:firstLine="0"/>
        <w:jc w:val="left"/>
        <w:rPr>
          <w:sz w:val="18"/>
        </w:rPr>
      </w:pPr>
      <w:r>
        <w:rPr/>
        <w:drawing>
          <wp:anchor distT="0" distB="0" distL="0" distR="0" allowOverlap="1" layoutInCell="1" locked="0" behindDoc="0" simplePos="0" relativeHeight="16001024">
            <wp:simplePos x="0" y="0"/>
            <wp:positionH relativeFrom="page">
              <wp:posOffset>1054901</wp:posOffset>
            </wp:positionH>
            <wp:positionV relativeFrom="paragraph">
              <wp:posOffset>121051</wp:posOffset>
            </wp:positionV>
            <wp:extent cx="58380" cy="72150"/>
            <wp:effectExtent l="0" t="0" r="0" b="0"/>
            <wp:wrapNone/>
            <wp:docPr id="1519" name="image13.png"/>
            <wp:cNvGraphicFramePr>
              <a:graphicFrameLocks noChangeAspect="1"/>
            </wp:cNvGraphicFramePr>
            <a:graphic>
              <a:graphicData uri="http://schemas.openxmlformats.org/drawingml/2006/picture">
                <pic:pic>
                  <pic:nvPicPr>
                    <pic:cNvPr id="1520" name="image13.png"/>
                    <pic:cNvPicPr/>
                  </pic:nvPicPr>
                  <pic:blipFill>
                    <a:blip r:embed="rId41" cstate="print"/>
                    <a:stretch>
                      <a:fillRect/>
                    </a:stretch>
                  </pic:blipFill>
                  <pic:spPr>
                    <a:xfrm>
                      <a:off x="0" y="0"/>
                      <a:ext cx="58380" cy="72150"/>
                    </a:xfrm>
                    <a:prstGeom prst="rect">
                      <a:avLst/>
                    </a:prstGeom>
                  </pic:spPr>
                </pic:pic>
              </a:graphicData>
            </a:graphic>
          </wp:anchor>
        </w:drawing>
      </w:r>
      <w:r>
        <w:rPr>
          <w:sz w:val="18"/>
        </w:rPr>
        <w:t>Rarely</w:t>
      </w:r>
      <w:r>
        <w:rPr>
          <w:spacing w:val="-7"/>
          <w:sz w:val="18"/>
        </w:rPr>
        <w:t> </w:t>
      </w:r>
      <w:r>
        <w:rPr>
          <w:sz w:val="18"/>
        </w:rPr>
        <w:t>(2)</w:t>
      </w:r>
    </w:p>
    <w:p>
      <w:pPr>
        <w:spacing w:before="118"/>
        <w:ind w:left="1697" w:right="0" w:firstLine="0"/>
        <w:jc w:val="left"/>
        <w:rPr>
          <w:sz w:val="18"/>
        </w:rPr>
      </w:pPr>
      <w:r>
        <w:rPr/>
        <w:drawing>
          <wp:anchor distT="0" distB="0" distL="0" distR="0" allowOverlap="1" layoutInCell="1" locked="0" behindDoc="0" simplePos="0" relativeHeight="16001536">
            <wp:simplePos x="0" y="0"/>
            <wp:positionH relativeFrom="page">
              <wp:posOffset>1054901</wp:posOffset>
            </wp:positionH>
            <wp:positionV relativeFrom="paragraph">
              <wp:posOffset>119586</wp:posOffset>
            </wp:positionV>
            <wp:extent cx="58380" cy="73869"/>
            <wp:effectExtent l="0" t="0" r="0" b="0"/>
            <wp:wrapNone/>
            <wp:docPr id="1521" name="image14.png"/>
            <wp:cNvGraphicFramePr>
              <a:graphicFrameLocks noChangeAspect="1"/>
            </wp:cNvGraphicFramePr>
            <a:graphic>
              <a:graphicData uri="http://schemas.openxmlformats.org/drawingml/2006/picture">
                <pic:pic>
                  <pic:nvPicPr>
                    <pic:cNvPr id="1522"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Some-times</w:t>
      </w:r>
      <w:r>
        <w:rPr>
          <w:spacing w:val="-2"/>
          <w:sz w:val="18"/>
        </w:rPr>
        <w:t> </w:t>
      </w:r>
      <w:r>
        <w:rPr>
          <w:sz w:val="18"/>
        </w:rPr>
        <w:t>(3)</w:t>
      </w:r>
    </w:p>
    <w:p>
      <w:pPr>
        <w:spacing w:before="120"/>
        <w:ind w:left="1697" w:right="0" w:firstLine="0"/>
        <w:jc w:val="left"/>
        <w:rPr>
          <w:sz w:val="18"/>
        </w:rPr>
      </w:pPr>
      <w:r>
        <w:rPr/>
        <w:drawing>
          <wp:anchor distT="0" distB="0" distL="0" distR="0" allowOverlap="1" layoutInCell="1" locked="0" behindDoc="0" simplePos="0" relativeHeight="16002048">
            <wp:simplePos x="0" y="0"/>
            <wp:positionH relativeFrom="page">
              <wp:posOffset>1054901</wp:posOffset>
            </wp:positionH>
            <wp:positionV relativeFrom="paragraph">
              <wp:posOffset>121049</wp:posOffset>
            </wp:positionV>
            <wp:extent cx="58380" cy="72151"/>
            <wp:effectExtent l="0" t="0" r="0" b="0"/>
            <wp:wrapNone/>
            <wp:docPr id="1523" name="image13.png"/>
            <wp:cNvGraphicFramePr>
              <a:graphicFrameLocks noChangeAspect="1"/>
            </wp:cNvGraphicFramePr>
            <a:graphic>
              <a:graphicData uri="http://schemas.openxmlformats.org/drawingml/2006/picture">
                <pic:pic>
                  <pic:nvPicPr>
                    <pic:cNvPr id="152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Usually</w:t>
      </w:r>
      <w:r>
        <w:rPr>
          <w:spacing w:val="-6"/>
          <w:sz w:val="18"/>
        </w:rPr>
        <w:t> </w:t>
      </w:r>
      <w:r>
        <w:rPr>
          <w:sz w:val="18"/>
        </w:rPr>
        <w:t>(4)</w:t>
      </w:r>
    </w:p>
    <w:p>
      <w:pPr>
        <w:spacing w:before="120"/>
        <w:ind w:left="1697" w:right="0" w:firstLine="0"/>
        <w:jc w:val="left"/>
        <w:rPr>
          <w:sz w:val="18"/>
        </w:rPr>
      </w:pPr>
      <w:r>
        <w:rPr/>
        <w:drawing>
          <wp:anchor distT="0" distB="0" distL="0" distR="0" allowOverlap="1" layoutInCell="1" locked="0" behindDoc="0" simplePos="0" relativeHeight="16002560">
            <wp:simplePos x="0" y="0"/>
            <wp:positionH relativeFrom="page">
              <wp:posOffset>1054901</wp:posOffset>
            </wp:positionH>
            <wp:positionV relativeFrom="paragraph">
              <wp:posOffset>121051</wp:posOffset>
            </wp:positionV>
            <wp:extent cx="58380" cy="72150"/>
            <wp:effectExtent l="0" t="0" r="0" b="0"/>
            <wp:wrapNone/>
            <wp:docPr id="1525" name="image13.png"/>
            <wp:cNvGraphicFramePr>
              <a:graphicFrameLocks noChangeAspect="1"/>
            </wp:cNvGraphicFramePr>
            <a:graphic>
              <a:graphicData uri="http://schemas.openxmlformats.org/drawingml/2006/picture">
                <pic:pic>
                  <pic:nvPicPr>
                    <pic:cNvPr id="1526" name="image13.png"/>
                    <pic:cNvPicPr/>
                  </pic:nvPicPr>
                  <pic:blipFill>
                    <a:blip r:embed="rId41" cstate="print"/>
                    <a:stretch>
                      <a:fillRect/>
                    </a:stretch>
                  </pic:blipFill>
                  <pic:spPr>
                    <a:xfrm>
                      <a:off x="0" y="0"/>
                      <a:ext cx="58380" cy="72150"/>
                    </a:xfrm>
                    <a:prstGeom prst="rect">
                      <a:avLst/>
                    </a:prstGeom>
                  </pic:spPr>
                </pic:pic>
              </a:graphicData>
            </a:graphic>
          </wp:anchor>
        </w:drawing>
      </w:r>
      <w:r>
        <w:rPr>
          <w:sz w:val="18"/>
        </w:rPr>
        <w:t>Always</w:t>
      </w:r>
      <w:r>
        <w:rPr>
          <w:spacing w:val="-5"/>
          <w:sz w:val="18"/>
        </w:rPr>
        <w:t> </w:t>
      </w:r>
      <w:r>
        <w:rPr>
          <w:sz w:val="18"/>
        </w:rPr>
        <w:t>(5)</w:t>
      </w:r>
    </w:p>
    <w:p>
      <w:pPr>
        <w:spacing w:before="120"/>
        <w:ind w:left="1697" w:right="0" w:firstLine="0"/>
        <w:jc w:val="left"/>
        <w:rPr>
          <w:sz w:val="18"/>
        </w:rPr>
      </w:pPr>
      <w:r>
        <w:rPr/>
        <w:drawing>
          <wp:anchor distT="0" distB="0" distL="0" distR="0" allowOverlap="1" layoutInCell="1" locked="0" behindDoc="0" simplePos="0" relativeHeight="16003072">
            <wp:simplePos x="0" y="0"/>
            <wp:positionH relativeFrom="page">
              <wp:posOffset>1054901</wp:posOffset>
            </wp:positionH>
            <wp:positionV relativeFrom="paragraph">
              <wp:posOffset>121050</wp:posOffset>
            </wp:positionV>
            <wp:extent cx="58380" cy="72151"/>
            <wp:effectExtent l="0" t="0" r="0" b="0"/>
            <wp:wrapNone/>
            <wp:docPr id="1527" name="image13.png"/>
            <wp:cNvGraphicFramePr>
              <a:graphicFrameLocks noChangeAspect="1"/>
            </wp:cNvGraphicFramePr>
            <a:graphic>
              <a:graphicData uri="http://schemas.openxmlformats.org/drawingml/2006/picture">
                <pic:pic>
                  <pic:nvPicPr>
                    <pic:cNvPr id="152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tabs>
          <w:tab w:pos="1122" w:val="left" w:leader="dot"/>
        </w:tabs>
        <w:spacing w:before="120"/>
        <w:ind w:left="703" w:right="0" w:firstLine="0"/>
        <w:jc w:val="left"/>
        <w:rPr>
          <w:sz w:val="18"/>
        </w:rPr>
      </w:pPr>
      <w:r>
        <w:rPr>
          <w:sz w:val="18"/>
        </w:rPr>
        <w:t>d</w:t>
      </w:r>
      <w:r>
        <w:rPr>
          <w:rFonts w:ascii="Times New Roman" w:hAnsi="Times New Roman"/>
          <w:sz w:val="18"/>
        </w:rPr>
        <w:tab/>
      </w:r>
      <w:r>
        <w:rPr>
          <w:sz w:val="18"/>
        </w:rPr>
        <w:t>reviews</w:t>
      </w:r>
      <w:r>
        <w:rPr>
          <w:spacing w:val="-4"/>
          <w:sz w:val="18"/>
        </w:rPr>
        <w:t> </w:t>
      </w:r>
      <w:r>
        <w:rPr>
          <w:sz w:val="18"/>
        </w:rPr>
        <w:t>and</w:t>
      </w:r>
      <w:r>
        <w:rPr>
          <w:spacing w:val="-4"/>
          <w:sz w:val="18"/>
        </w:rPr>
        <w:t> </w:t>
      </w:r>
      <w:r>
        <w:rPr>
          <w:sz w:val="18"/>
        </w:rPr>
        <w:t>updates</w:t>
      </w:r>
      <w:r>
        <w:rPr>
          <w:spacing w:val="-3"/>
          <w:sz w:val="18"/>
        </w:rPr>
        <w:t> </w:t>
      </w:r>
      <w:r>
        <w:rPr>
          <w:sz w:val="18"/>
        </w:rPr>
        <w:t>patients’</w:t>
      </w:r>
      <w:r>
        <w:rPr>
          <w:spacing w:val="-5"/>
          <w:sz w:val="18"/>
        </w:rPr>
        <w:t> </w:t>
      </w:r>
      <w:r>
        <w:rPr>
          <w:sz w:val="18"/>
        </w:rPr>
        <w:t>care</w:t>
      </w:r>
      <w:r>
        <w:rPr>
          <w:spacing w:val="-2"/>
          <w:sz w:val="18"/>
        </w:rPr>
        <w:t> </w:t>
      </w:r>
      <w:r>
        <w:rPr>
          <w:sz w:val="18"/>
        </w:rPr>
        <w:t>plan</w:t>
      </w:r>
      <w:r>
        <w:rPr>
          <w:spacing w:val="-3"/>
          <w:sz w:val="18"/>
        </w:rPr>
        <w:t> </w:t>
      </w:r>
      <w:r>
        <w:rPr>
          <w:sz w:val="18"/>
        </w:rPr>
        <w:t>with</w:t>
      </w:r>
      <w:r>
        <w:rPr>
          <w:spacing w:val="-3"/>
          <w:sz w:val="18"/>
        </w:rPr>
        <w:t> </w:t>
      </w:r>
      <w:r>
        <w:rPr>
          <w:sz w:val="18"/>
        </w:rPr>
        <w:t>them.</w:t>
      </w:r>
      <w:r>
        <w:rPr>
          <w:spacing w:val="-2"/>
          <w:sz w:val="18"/>
        </w:rPr>
        <w:t> </w:t>
      </w:r>
      <w:r>
        <w:rPr>
          <w:sz w:val="18"/>
        </w:rPr>
        <w:t>(4)</w:t>
      </w:r>
    </w:p>
    <w:p>
      <w:pPr>
        <w:spacing w:before="120"/>
        <w:ind w:left="1697" w:right="0" w:firstLine="0"/>
        <w:jc w:val="left"/>
        <w:rPr>
          <w:sz w:val="18"/>
        </w:rPr>
      </w:pPr>
      <w:r>
        <w:rPr/>
        <w:drawing>
          <wp:anchor distT="0" distB="0" distL="0" distR="0" allowOverlap="1" layoutInCell="1" locked="0" behindDoc="0" simplePos="0" relativeHeight="16003584">
            <wp:simplePos x="0" y="0"/>
            <wp:positionH relativeFrom="page">
              <wp:posOffset>1054901</wp:posOffset>
            </wp:positionH>
            <wp:positionV relativeFrom="paragraph">
              <wp:posOffset>120857</wp:posOffset>
            </wp:positionV>
            <wp:extent cx="58380" cy="73867"/>
            <wp:effectExtent l="0" t="0" r="0" b="0"/>
            <wp:wrapNone/>
            <wp:docPr id="1529" name="image14.png"/>
            <wp:cNvGraphicFramePr>
              <a:graphicFrameLocks noChangeAspect="1"/>
            </wp:cNvGraphicFramePr>
            <a:graphic>
              <a:graphicData uri="http://schemas.openxmlformats.org/drawingml/2006/picture">
                <pic:pic>
                  <pic:nvPicPr>
                    <pic:cNvPr id="1530" name="image14.png"/>
                    <pic:cNvPicPr/>
                  </pic:nvPicPr>
                  <pic:blipFill>
                    <a:blip r:embed="rId43" cstate="print"/>
                    <a:stretch>
                      <a:fillRect/>
                    </a:stretch>
                  </pic:blipFill>
                  <pic:spPr>
                    <a:xfrm>
                      <a:off x="0" y="0"/>
                      <a:ext cx="58380" cy="73867"/>
                    </a:xfrm>
                    <a:prstGeom prst="rect">
                      <a:avLst/>
                    </a:prstGeom>
                  </pic:spPr>
                </pic:pic>
              </a:graphicData>
            </a:graphic>
          </wp:anchor>
        </w:drawing>
      </w:r>
      <w:r>
        <w:rPr>
          <w:sz w:val="18"/>
        </w:rPr>
        <w:t>Never</w:t>
      </w:r>
      <w:r>
        <w:rPr>
          <w:spacing w:val="-5"/>
          <w:sz w:val="18"/>
        </w:rPr>
        <w:t> </w:t>
      </w:r>
      <w:r>
        <w:rPr>
          <w:sz w:val="18"/>
        </w:rPr>
        <w:t>(1)</w:t>
      </w:r>
    </w:p>
    <w:p>
      <w:pPr>
        <w:spacing w:before="120"/>
        <w:ind w:left="1697" w:right="0" w:firstLine="0"/>
        <w:jc w:val="left"/>
        <w:rPr>
          <w:sz w:val="18"/>
        </w:rPr>
      </w:pPr>
      <w:r>
        <w:rPr/>
        <w:drawing>
          <wp:anchor distT="0" distB="0" distL="0" distR="0" allowOverlap="1" layoutInCell="1" locked="0" behindDoc="0" simplePos="0" relativeHeight="16004096">
            <wp:simplePos x="0" y="0"/>
            <wp:positionH relativeFrom="page">
              <wp:posOffset>1054901</wp:posOffset>
            </wp:positionH>
            <wp:positionV relativeFrom="paragraph">
              <wp:posOffset>121050</wp:posOffset>
            </wp:positionV>
            <wp:extent cx="58380" cy="72151"/>
            <wp:effectExtent l="0" t="0" r="0" b="0"/>
            <wp:wrapNone/>
            <wp:docPr id="1531" name="image13.png"/>
            <wp:cNvGraphicFramePr>
              <a:graphicFrameLocks noChangeAspect="1"/>
            </wp:cNvGraphicFramePr>
            <a:graphic>
              <a:graphicData uri="http://schemas.openxmlformats.org/drawingml/2006/picture">
                <pic:pic>
                  <pic:nvPicPr>
                    <pic:cNvPr id="153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Rarely</w:t>
      </w:r>
      <w:r>
        <w:rPr>
          <w:spacing w:val="-7"/>
          <w:sz w:val="18"/>
        </w:rPr>
        <w:t> </w:t>
      </w:r>
      <w:r>
        <w:rPr>
          <w:sz w:val="18"/>
        </w:rPr>
        <w:t>(2)</w:t>
      </w:r>
    </w:p>
    <w:p>
      <w:pPr>
        <w:spacing w:before="121"/>
        <w:ind w:left="1697" w:right="0" w:firstLine="0"/>
        <w:jc w:val="left"/>
        <w:rPr>
          <w:sz w:val="18"/>
        </w:rPr>
      </w:pPr>
      <w:r>
        <w:rPr/>
        <w:drawing>
          <wp:anchor distT="0" distB="0" distL="0" distR="0" allowOverlap="1" layoutInCell="1" locked="0" behindDoc="0" simplePos="0" relativeHeight="16004608">
            <wp:simplePos x="0" y="0"/>
            <wp:positionH relativeFrom="page">
              <wp:posOffset>1054901</wp:posOffset>
            </wp:positionH>
            <wp:positionV relativeFrom="paragraph">
              <wp:posOffset>121684</wp:posOffset>
            </wp:positionV>
            <wp:extent cx="58380" cy="72151"/>
            <wp:effectExtent l="0" t="0" r="0" b="0"/>
            <wp:wrapNone/>
            <wp:docPr id="1533" name="image13.png"/>
            <wp:cNvGraphicFramePr>
              <a:graphicFrameLocks noChangeAspect="1"/>
            </wp:cNvGraphicFramePr>
            <a:graphic>
              <a:graphicData uri="http://schemas.openxmlformats.org/drawingml/2006/picture">
                <pic:pic>
                  <pic:nvPicPr>
                    <pic:cNvPr id="153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Some-times</w:t>
      </w:r>
      <w:r>
        <w:rPr>
          <w:spacing w:val="-2"/>
          <w:sz w:val="18"/>
        </w:rPr>
        <w:t> </w:t>
      </w:r>
      <w:r>
        <w:rPr>
          <w:sz w:val="18"/>
        </w:rPr>
        <w:t>(3)</w:t>
      </w:r>
    </w:p>
    <w:p>
      <w:pPr>
        <w:spacing w:before="120"/>
        <w:ind w:left="1697" w:right="0" w:firstLine="0"/>
        <w:jc w:val="left"/>
        <w:rPr>
          <w:sz w:val="18"/>
        </w:rPr>
      </w:pPr>
      <w:r>
        <w:rPr/>
        <w:drawing>
          <wp:anchor distT="0" distB="0" distL="0" distR="0" allowOverlap="1" layoutInCell="1" locked="0" behindDoc="0" simplePos="0" relativeHeight="16005120">
            <wp:simplePos x="0" y="0"/>
            <wp:positionH relativeFrom="page">
              <wp:posOffset>1054901</wp:posOffset>
            </wp:positionH>
            <wp:positionV relativeFrom="paragraph">
              <wp:posOffset>120857</wp:posOffset>
            </wp:positionV>
            <wp:extent cx="58380" cy="73867"/>
            <wp:effectExtent l="0" t="0" r="0" b="0"/>
            <wp:wrapNone/>
            <wp:docPr id="1535" name="image14.png"/>
            <wp:cNvGraphicFramePr>
              <a:graphicFrameLocks noChangeAspect="1"/>
            </wp:cNvGraphicFramePr>
            <a:graphic>
              <a:graphicData uri="http://schemas.openxmlformats.org/drawingml/2006/picture">
                <pic:pic>
                  <pic:nvPicPr>
                    <pic:cNvPr id="1536" name="image14.png"/>
                    <pic:cNvPicPr/>
                  </pic:nvPicPr>
                  <pic:blipFill>
                    <a:blip r:embed="rId43" cstate="print"/>
                    <a:stretch>
                      <a:fillRect/>
                    </a:stretch>
                  </pic:blipFill>
                  <pic:spPr>
                    <a:xfrm>
                      <a:off x="0" y="0"/>
                      <a:ext cx="58380" cy="73867"/>
                    </a:xfrm>
                    <a:prstGeom prst="rect">
                      <a:avLst/>
                    </a:prstGeom>
                  </pic:spPr>
                </pic:pic>
              </a:graphicData>
            </a:graphic>
          </wp:anchor>
        </w:drawing>
      </w:r>
      <w:r>
        <w:rPr>
          <w:sz w:val="18"/>
        </w:rPr>
        <w:t>Usually</w:t>
      </w:r>
      <w:r>
        <w:rPr>
          <w:spacing w:val="-6"/>
          <w:sz w:val="18"/>
        </w:rPr>
        <w:t> </w:t>
      </w:r>
      <w:r>
        <w:rPr>
          <w:sz w:val="18"/>
        </w:rPr>
        <w:t>(4)</w:t>
      </w:r>
    </w:p>
    <w:p>
      <w:pPr>
        <w:spacing w:before="120"/>
        <w:ind w:left="1697" w:right="0" w:firstLine="0"/>
        <w:jc w:val="left"/>
        <w:rPr>
          <w:sz w:val="18"/>
        </w:rPr>
      </w:pPr>
      <w:r>
        <w:rPr/>
        <w:drawing>
          <wp:anchor distT="0" distB="0" distL="0" distR="0" allowOverlap="1" layoutInCell="1" locked="0" behindDoc="0" simplePos="0" relativeHeight="16005632">
            <wp:simplePos x="0" y="0"/>
            <wp:positionH relativeFrom="page">
              <wp:posOffset>1054901</wp:posOffset>
            </wp:positionH>
            <wp:positionV relativeFrom="paragraph">
              <wp:posOffset>120668</wp:posOffset>
            </wp:positionV>
            <wp:extent cx="58380" cy="72151"/>
            <wp:effectExtent l="0" t="0" r="0" b="0"/>
            <wp:wrapNone/>
            <wp:docPr id="1537" name="image13.png"/>
            <wp:cNvGraphicFramePr>
              <a:graphicFrameLocks noChangeAspect="1"/>
            </wp:cNvGraphicFramePr>
            <a:graphic>
              <a:graphicData uri="http://schemas.openxmlformats.org/drawingml/2006/picture">
                <pic:pic>
                  <pic:nvPicPr>
                    <pic:cNvPr id="153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Always</w:t>
      </w:r>
      <w:r>
        <w:rPr>
          <w:spacing w:val="-5"/>
          <w:sz w:val="18"/>
        </w:rPr>
        <w:t> </w:t>
      </w:r>
      <w:r>
        <w:rPr>
          <w:sz w:val="18"/>
        </w:rPr>
        <w:t>(5)</w:t>
      </w:r>
    </w:p>
    <w:p>
      <w:pPr>
        <w:spacing w:before="120"/>
        <w:ind w:left="1697" w:right="0" w:firstLine="0"/>
        <w:jc w:val="left"/>
        <w:rPr>
          <w:sz w:val="18"/>
        </w:rPr>
      </w:pPr>
      <w:r>
        <w:rPr/>
        <w:drawing>
          <wp:anchor distT="0" distB="0" distL="0" distR="0" allowOverlap="1" layoutInCell="1" locked="0" behindDoc="0" simplePos="0" relativeHeight="16006144">
            <wp:simplePos x="0" y="0"/>
            <wp:positionH relativeFrom="page">
              <wp:posOffset>1056425</wp:posOffset>
            </wp:positionH>
            <wp:positionV relativeFrom="paragraph">
              <wp:posOffset>120669</wp:posOffset>
            </wp:positionV>
            <wp:extent cx="58380" cy="72151"/>
            <wp:effectExtent l="0" t="0" r="0" b="0"/>
            <wp:wrapNone/>
            <wp:docPr id="1539" name="image13.png"/>
            <wp:cNvGraphicFramePr>
              <a:graphicFrameLocks noChangeAspect="1"/>
            </wp:cNvGraphicFramePr>
            <a:graphic>
              <a:graphicData uri="http://schemas.openxmlformats.org/drawingml/2006/picture">
                <pic:pic>
                  <pic:nvPicPr>
                    <pic:cNvPr id="154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pStyle w:val="BodyText"/>
        <w:spacing w:before="3"/>
        <w:rPr>
          <w:sz w:val="16"/>
        </w:rPr>
      </w:pPr>
    </w:p>
    <w:p>
      <w:pPr>
        <w:pStyle w:val="ListParagraph"/>
        <w:numPr>
          <w:ilvl w:val="0"/>
          <w:numId w:val="87"/>
        </w:numPr>
        <w:tabs>
          <w:tab w:pos="720" w:val="left" w:leader="none"/>
        </w:tabs>
        <w:spacing w:line="240" w:lineRule="auto" w:before="1" w:after="0"/>
        <w:ind w:left="720" w:right="0" w:hanging="300"/>
        <w:jc w:val="left"/>
        <w:rPr>
          <w:sz w:val="18"/>
        </w:rPr>
      </w:pPr>
      <w:r>
        <w:rPr>
          <w:sz w:val="18"/>
        </w:rPr>
        <w:t>The</w:t>
      </w:r>
      <w:r>
        <w:rPr>
          <w:spacing w:val="-6"/>
          <w:sz w:val="18"/>
        </w:rPr>
        <w:t> </w:t>
      </w:r>
      <w:r>
        <w:rPr>
          <w:sz w:val="18"/>
        </w:rPr>
        <w:t>primary</w:t>
      </w:r>
      <w:r>
        <w:rPr>
          <w:spacing w:val="-5"/>
          <w:sz w:val="18"/>
        </w:rPr>
        <w:t> </w:t>
      </w:r>
      <w:r>
        <w:rPr>
          <w:sz w:val="18"/>
        </w:rPr>
        <w:t>care</w:t>
      </w:r>
      <w:r>
        <w:rPr>
          <w:spacing w:val="-5"/>
          <w:sz w:val="18"/>
        </w:rPr>
        <w:t> </w:t>
      </w:r>
      <w:r>
        <w:rPr>
          <w:sz w:val="18"/>
        </w:rPr>
        <w:t>practice/service...</w:t>
      </w:r>
    </w:p>
    <w:p>
      <w:pPr>
        <w:pStyle w:val="ListParagraph"/>
        <w:numPr>
          <w:ilvl w:val="0"/>
          <w:numId w:val="96"/>
        </w:numPr>
        <w:tabs>
          <w:tab w:pos="924" w:val="left" w:leader="none"/>
        </w:tabs>
        <w:spacing w:line="240" w:lineRule="auto" w:before="120" w:after="0"/>
        <w:ind w:left="923" w:right="0" w:hanging="221"/>
        <w:jc w:val="left"/>
        <w:rPr>
          <w:sz w:val="18"/>
        </w:rPr>
      </w:pPr>
      <w:r>
        <w:rPr>
          <w:sz w:val="18"/>
        </w:rPr>
        <w:t>…has</w:t>
      </w:r>
      <w:r>
        <w:rPr>
          <w:spacing w:val="-4"/>
          <w:sz w:val="18"/>
        </w:rPr>
        <w:t> </w:t>
      </w:r>
      <w:r>
        <w:rPr>
          <w:sz w:val="18"/>
        </w:rPr>
        <w:t>behaviour</w:t>
      </w:r>
      <w:r>
        <w:rPr>
          <w:spacing w:val="-2"/>
          <w:sz w:val="18"/>
        </w:rPr>
        <w:t> </w:t>
      </w:r>
      <w:r>
        <w:rPr>
          <w:sz w:val="18"/>
        </w:rPr>
        <w:t>change</w:t>
      </w:r>
      <w:r>
        <w:rPr>
          <w:spacing w:val="-5"/>
          <w:sz w:val="18"/>
        </w:rPr>
        <w:t> </w:t>
      </w:r>
      <w:r>
        <w:rPr>
          <w:sz w:val="18"/>
        </w:rPr>
        <w:t>interventions</w:t>
      </w:r>
      <w:r>
        <w:rPr>
          <w:spacing w:val="-4"/>
          <w:sz w:val="18"/>
        </w:rPr>
        <w:t> </w:t>
      </w:r>
      <w:r>
        <w:rPr>
          <w:sz w:val="18"/>
        </w:rPr>
        <w:t>readily</w:t>
      </w:r>
      <w:r>
        <w:rPr>
          <w:spacing w:val="-4"/>
          <w:sz w:val="18"/>
        </w:rPr>
        <w:t> </w:t>
      </w:r>
      <w:r>
        <w:rPr>
          <w:sz w:val="18"/>
        </w:rPr>
        <w:t>available</w:t>
      </w:r>
      <w:r>
        <w:rPr>
          <w:spacing w:val="-2"/>
          <w:sz w:val="18"/>
        </w:rPr>
        <w:t> </w:t>
      </w:r>
      <w:r>
        <w:rPr>
          <w:sz w:val="18"/>
        </w:rPr>
        <w:t>for</w:t>
      </w:r>
      <w:r>
        <w:rPr>
          <w:spacing w:val="-3"/>
          <w:sz w:val="18"/>
        </w:rPr>
        <w:t> </w:t>
      </w:r>
      <w:r>
        <w:rPr>
          <w:sz w:val="18"/>
        </w:rPr>
        <w:t>patients</w:t>
      </w:r>
      <w:r>
        <w:rPr>
          <w:spacing w:val="-3"/>
          <w:sz w:val="18"/>
        </w:rPr>
        <w:t> </w:t>
      </w:r>
      <w:r>
        <w:rPr>
          <w:sz w:val="18"/>
        </w:rPr>
        <w:t>as</w:t>
      </w:r>
      <w:r>
        <w:rPr>
          <w:spacing w:val="-4"/>
          <w:sz w:val="18"/>
        </w:rPr>
        <w:t> </w:t>
      </w:r>
      <w:r>
        <w:rPr>
          <w:sz w:val="18"/>
        </w:rPr>
        <w:t>part</w:t>
      </w:r>
      <w:r>
        <w:rPr>
          <w:spacing w:val="-4"/>
          <w:sz w:val="18"/>
        </w:rPr>
        <w:t> </w:t>
      </w:r>
      <w:r>
        <w:rPr>
          <w:sz w:val="18"/>
        </w:rPr>
        <w:t>of</w:t>
      </w:r>
      <w:r>
        <w:rPr>
          <w:spacing w:val="-4"/>
          <w:sz w:val="18"/>
        </w:rPr>
        <w:t> </w:t>
      </w:r>
      <w:r>
        <w:rPr>
          <w:sz w:val="18"/>
        </w:rPr>
        <w:t>routine</w:t>
      </w:r>
      <w:r>
        <w:rPr>
          <w:spacing w:val="-4"/>
          <w:sz w:val="18"/>
        </w:rPr>
        <w:t> </w:t>
      </w:r>
      <w:r>
        <w:rPr>
          <w:sz w:val="18"/>
        </w:rPr>
        <w:t>care.</w:t>
      </w:r>
      <w:r>
        <w:rPr>
          <w:spacing w:val="-2"/>
          <w:sz w:val="18"/>
        </w:rPr>
        <w:t> </w:t>
      </w:r>
      <w:r>
        <w:rPr>
          <w:sz w:val="18"/>
        </w:rPr>
        <w:t>(1)</w:t>
      </w:r>
    </w:p>
    <w:p>
      <w:pPr>
        <w:spacing w:before="120"/>
        <w:ind w:left="1697" w:right="0" w:firstLine="0"/>
        <w:jc w:val="left"/>
        <w:rPr>
          <w:sz w:val="18"/>
        </w:rPr>
      </w:pPr>
      <w:r>
        <w:rPr/>
        <w:drawing>
          <wp:anchor distT="0" distB="0" distL="0" distR="0" allowOverlap="1" layoutInCell="1" locked="0" behindDoc="0" simplePos="0" relativeHeight="16006656">
            <wp:simplePos x="0" y="0"/>
            <wp:positionH relativeFrom="page">
              <wp:posOffset>1054901</wp:posOffset>
            </wp:positionH>
            <wp:positionV relativeFrom="paragraph">
              <wp:posOffset>120668</wp:posOffset>
            </wp:positionV>
            <wp:extent cx="58380" cy="72151"/>
            <wp:effectExtent l="0" t="0" r="0" b="0"/>
            <wp:wrapNone/>
            <wp:docPr id="1541" name="image13.png"/>
            <wp:cNvGraphicFramePr>
              <a:graphicFrameLocks noChangeAspect="1"/>
            </wp:cNvGraphicFramePr>
            <a:graphic>
              <a:graphicData uri="http://schemas.openxmlformats.org/drawingml/2006/picture">
                <pic:pic>
                  <pic:nvPicPr>
                    <pic:cNvPr id="154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Disagree</w:t>
      </w:r>
      <w:r>
        <w:rPr>
          <w:spacing w:val="-5"/>
          <w:sz w:val="18"/>
        </w:rPr>
        <w:t> </w:t>
      </w:r>
      <w:r>
        <w:rPr>
          <w:sz w:val="18"/>
        </w:rPr>
        <w:t>(1)</w:t>
      </w:r>
    </w:p>
    <w:p>
      <w:pPr>
        <w:spacing w:line="369" w:lineRule="auto" w:before="120"/>
        <w:ind w:left="1697" w:right="7257" w:firstLine="0"/>
        <w:jc w:val="left"/>
        <w:rPr>
          <w:sz w:val="18"/>
        </w:rPr>
      </w:pPr>
      <w:r>
        <w:rPr/>
        <w:drawing>
          <wp:anchor distT="0" distB="0" distL="0" distR="0" allowOverlap="1" layoutInCell="1" locked="0" behindDoc="0" simplePos="0" relativeHeight="16007168">
            <wp:simplePos x="0" y="0"/>
            <wp:positionH relativeFrom="page">
              <wp:posOffset>1054901</wp:posOffset>
            </wp:positionH>
            <wp:positionV relativeFrom="paragraph">
              <wp:posOffset>120668</wp:posOffset>
            </wp:positionV>
            <wp:extent cx="58380" cy="72151"/>
            <wp:effectExtent l="0" t="0" r="0" b="0"/>
            <wp:wrapNone/>
            <wp:docPr id="1543" name="image13.png"/>
            <wp:cNvGraphicFramePr>
              <a:graphicFrameLocks noChangeAspect="1"/>
            </wp:cNvGraphicFramePr>
            <a:graphic>
              <a:graphicData uri="http://schemas.openxmlformats.org/drawingml/2006/picture">
                <pic:pic>
                  <pic:nvPicPr>
                    <pic:cNvPr id="1544"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007680">
            <wp:simplePos x="0" y="0"/>
            <wp:positionH relativeFrom="page">
              <wp:posOffset>1054901</wp:posOffset>
            </wp:positionH>
            <wp:positionV relativeFrom="paragraph">
              <wp:posOffset>337076</wp:posOffset>
            </wp:positionV>
            <wp:extent cx="58380" cy="72151"/>
            <wp:effectExtent l="0" t="0" r="0" b="0"/>
            <wp:wrapNone/>
            <wp:docPr id="1545" name="image13.png"/>
            <wp:cNvGraphicFramePr>
              <a:graphicFrameLocks noChangeAspect="1"/>
            </wp:cNvGraphicFramePr>
            <a:graphic>
              <a:graphicData uri="http://schemas.openxmlformats.org/drawingml/2006/picture">
                <pic:pic>
                  <pic:nvPicPr>
                    <pic:cNvPr id="1546"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008192">
            <wp:simplePos x="0" y="0"/>
            <wp:positionH relativeFrom="page">
              <wp:posOffset>1054901</wp:posOffset>
            </wp:positionH>
            <wp:positionV relativeFrom="paragraph">
              <wp:posOffset>553484</wp:posOffset>
            </wp:positionV>
            <wp:extent cx="58380" cy="72151"/>
            <wp:effectExtent l="0" t="0" r="0" b="0"/>
            <wp:wrapNone/>
            <wp:docPr id="1547" name="image13.png"/>
            <wp:cNvGraphicFramePr>
              <a:graphicFrameLocks noChangeAspect="1"/>
            </wp:cNvGraphicFramePr>
            <a:graphic>
              <a:graphicData uri="http://schemas.openxmlformats.org/drawingml/2006/picture">
                <pic:pic>
                  <pic:nvPicPr>
                    <pic:cNvPr id="154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 disagree (2)</w:t>
      </w:r>
      <w:r>
        <w:rPr>
          <w:spacing w:val="1"/>
          <w:sz w:val="18"/>
        </w:rPr>
        <w:t> </w:t>
      </w:r>
      <w:r>
        <w:rPr>
          <w:sz w:val="18"/>
        </w:rPr>
        <w:t>Neither agree nor disagree (3)</w:t>
      </w:r>
      <w:r>
        <w:rPr>
          <w:spacing w:val="-48"/>
          <w:sz w:val="18"/>
        </w:rPr>
        <w:t> </w:t>
      </w:r>
      <w:r>
        <w:rPr>
          <w:sz w:val="18"/>
        </w:rPr>
        <w:t>Somewhat</w:t>
      </w:r>
      <w:r>
        <w:rPr>
          <w:spacing w:val="-3"/>
          <w:sz w:val="18"/>
        </w:rPr>
        <w:t> </w:t>
      </w:r>
      <w:r>
        <w:rPr>
          <w:sz w:val="18"/>
        </w:rPr>
        <w:t>agree</w:t>
      </w:r>
      <w:r>
        <w:rPr>
          <w:spacing w:val="3"/>
          <w:sz w:val="18"/>
        </w:rPr>
        <w:t> </w:t>
      </w:r>
      <w:r>
        <w:rPr>
          <w:sz w:val="18"/>
        </w:rPr>
        <w:t>(4)</w:t>
      </w:r>
    </w:p>
    <w:p>
      <w:pPr>
        <w:spacing w:before="3"/>
        <w:ind w:left="1697" w:right="0" w:firstLine="0"/>
        <w:jc w:val="left"/>
        <w:rPr>
          <w:sz w:val="18"/>
        </w:rPr>
      </w:pPr>
      <w:r>
        <w:rPr/>
        <w:drawing>
          <wp:anchor distT="0" distB="0" distL="0" distR="0" allowOverlap="1" layoutInCell="1" locked="0" behindDoc="0" simplePos="0" relativeHeight="16008704">
            <wp:simplePos x="0" y="0"/>
            <wp:positionH relativeFrom="page">
              <wp:posOffset>1054901</wp:posOffset>
            </wp:positionH>
            <wp:positionV relativeFrom="paragraph">
              <wp:posOffset>46373</wp:posOffset>
            </wp:positionV>
            <wp:extent cx="58380" cy="72151"/>
            <wp:effectExtent l="0" t="0" r="0" b="0"/>
            <wp:wrapNone/>
            <wp:docPr id="1549" name="image13.png"/>
            <wp:cNvGraphicFramePr>
              <a:graphicFrameLocks noChangeAspect="1"/>
            </wp:cNvGraphicFramePr>
            <a:graphic>
              <a:graphicData uri="http://schemas.openxmlformats.org/drawingml/2006/picture">
                <pic:pic>
                  <pic:nvPicPr>
                    <pic:cNvPr id="155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Agree (5)</w:t>
      </w:r>
    </w:p>
    <w:p>
      <w:pPr>
        <w:spacing w:before="120"/>
        <w:ind w:left="1697" w:right="0" w:firstLine="0"/>
        <w:jc w:val="left"/>
        <w:rPr>
          <w:sz w:val="18"/>
        </w:rPr>
      </w:pPr>
      <w:r>
        <w:rPr/>
        <w:drawing>
          <wp:anchor distT="0" distB="0" distL="0" distR="0" allowOverlap="1" layoutInCell="1" locked="0" behindDoc="0" simplePos="0" relativeHeight="16009216">
            <wp:simplePos x="0" y="0"/>
            <wp:positionH relativeFrom="page">
              <wp:posOffset>1054901</wp:posOffset>
            </wp:positionH>
            <wp:positionV relativeFrom="paragraph">
              <wp:posOffset>120221</wp:posOffset>
            </wp:positionV>
            <wp:extent cx="58380" cy="73869"/>
            <wp:effectExtent l="0" t="0" r="0" b="0"/>
            <wp:wrapNone/>
            <wp:docPr id="1551" name="image14.png"/>
            <wp:cNvGraphicFramePr>
              <a:graphicFrameLocks noChangeAspect="1"/>
            </wp:cNvGraphicFramePr>
            <a:graphic>
              <a:graphicData uri="http://schemas.openxmlformats.org/drawingml/2006/picture">
                <pic:pic>
                  <pic:nvPicPr>
                    <pic:cNvPr id="1552"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pStyle w:val="ListParagraph"/>
        <w:numPr>
          <w:ilvl w:val="0"/>
          <w:numId w:val="96"/>
        </w:numPr>
        <w:tabs>
          <w:tab w:pos="924" w:val="left" w:leader="none"/>
        </w:tabs>
        <w:spacing w:line="369" w:lineRule="auto" w:before="120" w:after="0"/>
        <w:ind w:left="1697" w:right="4177" w:hanging="995"/>
        <w:jc w:val="left"/>
        <w:rPr>
          <w:sz w:val="18"/>
        </w:rPr>
      </w:pPr>
      <w:r>
        <w:rPr/>
        <w:drawing>
          <wp:anchor distT="0" distB="0" distL="0" distR="0" allowOverlap="1" layoutInCell="1" locked="0" behindDoc="1" simplePos="0" relativeHeight="476041728">
            <wp:simplePos x="0" y="0"/>
            <wp:positionH relativeFrom="page">
              <wp:posOffset>1054901</wp:posOffset>
            </wp:positionH>
            <wp:positionV relativeFrom="paragraph">
              <wp:posOffset>336822</wp:posOffset>
            </wp:positionV>
            <wp:extent cx="58380" cy="72151"/>
            <wp:effectExtent l="0" t="0" r="0" b="0"/>
            <wp:wrapNone/>
            <wp:docPr id="1553" name="image13.png"/>
            <wp:cNvGraphicFramePr>
              <a:graphicFrameLocks noChangeAspect="1"/>
            </wp:cNvGraphicFramePr>
            <a:graphic>
              <a:graphicData uri="http://schemas.openxmlformats.org/drawingml/2006/picture">
                <pic:pic>
                  <pic:nvPicPr>
                    <pic:cNvPr id="155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…has peer support readily available for patients as part of routine care. (2)</w:t>
      </w:r>
      <w:r>
        <w:rPr>
          <w:spacing w:val="-48"/>
          <w:sz w:val="18"/>
        </w:rPr>
        <w:t> </w:t>
      </w:r>
      <w:r>
        <w:rPr>
          <w:sz w:val="18"/>
        </w:rPr>
        <w:t>Disagree</w:t>
      </w:r>
      <w:r>
        <w:rPr>
          <w:spacing w:val="-1"/>
          <w:sz w:val="18"/>
        </w:rPr>
        <w:t> </w:t>
      </w:r>
      <w:r>
        <w:rPr>
          <w:sz w:val="18"/>
        </w:rPr>
        <w:t>(1)</w:t>
      </w:r>
    </w:p>
    <w:p>
      <w:pPr>
        <w:spacing w:line="369" w:lineRule="auto" w:before="2"/>
        <w:ind w:left="1697" w:right="7257" w:firstLine="0"/>
        <w:jc w:val="left"/>
        <w:rPr>
          <w:sz w:val="18"/>
        </w:rPr>
      </w:pPr>
      <w:r>
        <w:rPr/>
        <w:drawing>
          <wp:anchor distT="0" distB="0" distL="0" distR="0" allowOverlap="1" layoutInCell="1" locked="0" behindDoc="0" simplePos="0" relativeHeight="16010240">
            <wp:simplePos x="0" y="0"/>
            <wp:positionH relativeFrom="page">
              <wp:posOffset>1054901</wp:posOffset>
            </wp:positionH>
            <wp:positionV relativeFrom="paragraph">
              <wp:posOffset>45291</wp:posOffset>
            </wp:positionV>
            <wp:extent cx="58380" cy="73869"/>
            <wp:effectExtent l="0" t="0" r="0" b="0"/>
            <wp:wrapNone/>
            <wp:docPr id="1555" name="image14.png"/>
            <wp:cNvGraphicFramePr>
              <a:graphicFrameLocks noChangeAspect="1"/>
            </wp:cNvGraphicFramePr>
            <a:graphic>
              <a:graphicData uri="http://schemas.openxmlformats.org/drawingml/2006/picture">
                <pic:pic>
                  <pic:nvPicPr>
                    <pic:cNvPr id="1556" name="image14.png"/>
                    <pic:cNvPicPr/>
                  </pic:nvPicPr>
                  <pic:blipFill>
                    <a:blip r:embed="rId43" cstate="print"/>
                    <a:stretch>
                      <a:fillRect/>
                    </a:stretch>
                  </pic:blipFill>
                  <pic:spPr>
                    <a:xfrm>
                      <a:off x="0" y="0"/>
                      <a:ext cx="58380" cy="73869"/>
                    </a:xfrm>
                    <a:prstGeom prst="rect">
                      <a:avLst/>
                    </a:prstGeom>
                  </pic:spPr>
                </pic:pic>
              </a:graphicData>
            </a:graphic>
          </wp:anchor>
        </w:drawing>
      </w:r>
      <w:r>
        <w:rPr/>
        <w:drawing>
          <wp:anchor distT="0" distB="0" distL="0" distR="0" allowOverlap="1" layoutInCell="1" locked="0" behindDoc="0" simplePos="0" relativeHeight="16010752">
            <wp:simplePos x="0" y="0"/>
            <wp:positionH relativeFrom="page">
              <wp:posOffset>1054901</wp:posOffset>
            </wp:positionH>
            <wp:positionV relativeFrom="paragraph">
              <wp:posOffset>261892</wp:posOffset>
            </wp:positionV>
            <wp:extent cx="58380" cy="72151"/>
            <wp:effectExtent l="0" t="0" r="0" b="0"/>
            <wp:wrapNone/>
            <wp:docPr id="1557" name="image13.png"/>
            <wp:cNvGraphicFramePr>
              <a:graphicFrameLocks noChangeAspect="1"/>
            </wp:cNvGraphicFramePr>
            <a:graphic>
              <a:graphicData uri="http://schemas.openxmlformats.org/drawingml/2006/picture">
                <pic:pic>
                  <pic:nvPicPr>
                    <pic:cNvPr id="1558"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011264">
            <wp:simplePos x="0" y="0"/>
            <wp:positionH relativeFrom="page">
              <wp:posOffset>1054901</wp:posOffset>
            </wp:positionH>
            <wp:positionV relativeFrom="paragraph">
              <wp:posOffset>478300</wp:posOffset>
            </wp:positionV>
            <wp:extent cx="58380" cy="72151"/>
            <wp:effectExtent l="0" t="0" r="0" b="0"/>
            <wp:wrapNone/>
            <wp:docPr id="1559" name="image13.png"/>
            <wp:cNvGraphicFramePr>
              <a:graphicFrameLocks noChangeAspect="1"/>
            </wp:cNvGraphicFramePr>
            <a:graphic>
              <a:graphicData uri="http://schemas.openxmlformats.org/drawingml/2006/picture">
                <pic:pic>
                  <pic:nvPicPr>
                    <pic:cNvPr id="156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 disagree (2)</w:t>
      </w:r>
      <w:r>
        <w:rPr>
          <w:spacing w:val="1"/>
          <w:sz w:val="18"/>
        </w:rPr>
        <w:t> </w:t>
      </w:r>
      <w:r>
        <w:rPr>
          <w:sz w:val="18"/>
        </w:rPr>
        <w:t>Neither agree nor disagree (3)</w:t>
      </w:r>
      <w:r>
        <w:rPr>
          <w:spacing w:val="-48"/>
          <w:sz w:val="18"/>
        </w:rPr>
        <w:t> </w:t>
      </w:r>
      <w:r>
        <w:rPr>
          <w:sz w:val="18"/>
        </w:rPr>
        <w:t>Somewhat</w:t>
      </w:r>
      <w:r>
        <w:rPr>
          <w:spacing w:val="-3"/>
          <w:sz w:val="18"/>
        </w:rPr>
        <w:t> </w:t>
      </w:r>
      <w:r>
        <w:rPr>
          <w:sz w:val="18"/>
        </w:rPr>
        <w:t>agree</w:t>
      </w:r>
      <w:r>
        <w:rPr>
          <w:spacing w:val="3"/>
          <w:sz w:val="18"/>
        </w:rPr>
        <w:t> </w:t>
      </w:r>
      <w:r>
        <w:rPr>
          <w:sz w:val="18"/>
        </w:rPr>
        <w:t>(4)</w:t>
      </w:r>
    </w:p>
    <w:p>
      <w:pPr>
        <w:spacing w:before="3"/>
        <w:ind w:left="1697" w:right="0" w:firstLine="0"/>
        <w:jc w:val="left"/>
        <w:rPr>
          <w:sz w:val="18"/>
        </w:rPr>
      </w:pPr>
      <w:r>
        <w:rPr/>
        <w:drawing>
          <wp:anchor distT="0" distB="0" distL="0" distR="0" allowOverlap="1" layoutInCell="1" locked="0" behindDoc="0" simplePos="0" relativeHeight="16011776">
            <wp:simplePos x="0" y="0"/>
            <wp:positionH relativeFrom="page">
              <wp:posOffset>1054901</wp:posOffset>
            </wp:positionH>
            <wp:positionV relativeFrom="paragraph">
              <wp:posOffset>46120</wp:posOffset>
            </wp:positionV>
            <wp:extent cx="58380" cy="72151"/>
            <wp:effectExtent l="0" t="0" r="0" b="0"/>
            <wp:wrapNone/>
            <wp:docPr id="1561" name="image13.png"/>
            <wp:cNvGraphicFramePr>
              <a:graphicFrameLocks noChangeAspect="1"/>
            </wp:cNvGraphicFramePr>
            <a:graphic>
              <a:graphicData uri="http://schemas.openxmlformats.org/drawingml/2006/picture">
                <pic:pic>
                  <pic:nvPicPr>
                    <pic:cNvPr id="156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Agree (5)</w:t>
      </w:r>
    </w:p>
    <w:p>
      <w:pPr>
        <w:spacing w:before="120"/>
        <w:ind w:left="1697" w:right="0" w:firstLine="0"/>
        <w:jc w:val="left"/>
        <w:rPr>
          <w:sz w:val="18"/>
        </w:rPr>
      </w:pPr>
      <w:r>
        <w:rPr/>
        <w:drawing>
          <wp:anchor distT="0" distB="0" distL="0" distR="0" allowOverlap="1" layoutInCell="1" locked="0" behindDoc="0" simplePos="0" relativeHeight="16012288">
            <wp:simplePos x="0" y="0"/>
            <wp:positionH relativeFrom="page">
              <wp:posOffset>1056425</wp:posOffset>
            </wp:positionH>
            <wp:positionV relativeFrom="paragraph">
              <wp:posOffset>120414</wp:posOffset>
            </wp:positionV>
            <wp:extent cx="58380" cy="72151"/>
            <wp:effectExtent l="0" t="0" r="0" b="0"/>
            <wp:wrapNone/>
            <wp:docPr id="1563" name="image13.png"/>
            <wp:cNvGraphicFramePr>
              <a:graphicFrameLocks noChangeAspect="1"/>
            </wp:cNvGraphicFramePr>
            <a:graphic>
              <a:graphicData uri="http://schemas.openxmlformats.org/drawingml/2006/picture">
                <pic:pic>
                  <pic:nvPicPr>
                    <pic:cNvPr id="156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pStyle w:val="BodyText"/>
        <w:spacing w:before="3"/>
        <w:rPr>
          <w:sz w:val="16"/>
        </w:rPr>
      </w:pPr>
    </w:p>
    <w:p>
      <w:pPr>
        <w:pStyle w:val="ListParagraph"/>
        <w:numPr>
          <w:ilvl w:val="0"/>
          <w:numId w:val="87"/>
        </w:numPr>
        <w:tabs>
          <w:tab w:pos="720" w:val="left" w:leader="none"/>
        </w:tabs>
        <w:spacing w:line="240" w:lineRule="auto" w:before="0" w:after="0"/>
        <w:ind w:left="720" w:right="0" w:hanging="300"/>
        <w:jc w:val="left"/>
        <w:rPr>
          <w:sz w:val="18"/>
        </w:rPr>
      </w:pPr>
      <w:r>
        <w:rPr>
          <w:sz w:val="18"/>
        </w:rPr>
        <w:t>Someone</w:t>
      </w:r>
      <w:r>
        <w:rPr>
          <w:spacing w:val="-3"/>
          <w:sz w:val="18"/>
        </w:rPr>
        <w:t> </w:t>
      </w:r>
      <w:r>
        <w:rPr>
          <w:sz w:val="18"/>
        </w:rPr>
        <w:t>on</w:t>
      </w:r>
      <w:r>
        <w:rPr>
          <w:spacing w:val="-2"/>
          <w:sz w:val="18"/>
        </w:rPr>
        <w:t> </w:t>
      </w:r>
      <w:r>
        <w:rPr>
          <w:sz w:val="18"/>
        </w:rPr>
        <w:t>the</w:t>
      </w:r>
      <w:r>
        <w:rPr>
          <w:spacing w:val="-2"/>
          <w:sz w:val="18"/>
        </w:rPr>
        <w:t> </w:t>
      </w:r>
      <w:r>
        <w:rPr>
          <w:sz w:val="18"/>
        </w:rPr>
        <w:t>primary</w:t>
      </w:r>
      <w:r>
        <w:rPr>
          <w:spacing w:val="-3"/>
          <w:sz w:val="18"/>
        </w:rPr>
        <w:t> </w:t>
      </w:r>
      <w:r>
        <w:rPr>
          <w:sz w:val="18"/>
        </w:rPr>
        <w:t>care</w:t>
      </w:r>
      <w:r>
        <w:rPr>
          <w:spacing w:val="-2"/>
          <w:sz w:val="18"/>
        </w:rPr>
        <w:t> </w:t>
      </w:r>
      <w:r>
        <w:rPr>
          <w:sz w:val="18"/>
        </w:rPr>
        <w:t>team…</w:t>
      </w:r>
    </w:p>
    <w:p>
      <w:pPr>
        <w:spacing w:before="121"/>
        <w:ind w:left="986" w:right="763" w:hanging="284"/>
        <w:jc w:val="left"/>
        <w:rPr>
          <w:sz w:val="18"/>
        </w:rPr>
      </w:pPr>
      <w:r>
        <w:rPr>
          <w:sz w:val="18"/>
        </w:rPr>
        <w:t>a …asks patients about additional supportive services they may need including those that may be available in the</w:t>
      </w:r>
      <w:r>
        <w:rPr>
          <w:spacing w:val="1"/>
          <w:sz w:val="18"/>
        </w:rPr>
        <w:t> </w:t>
      </w:r>
      <w:r>
        <w:rPr>
          <w:sz w:val="18"/>
        </w:rPr>
        <w:t>practice/service</w:t>
      </w:r>
      <w:r>
        <w:rPr>
          <w:spacing w:val="-4"/>
          <w:sz w:val="18"/>
        </w:rPr>
        <w:t> </w:t>
      </w:r>
      <w:r>
        <w:rPr>
          <w:sz w:val="18"/>
        </w:rPr>
        <w:t>or</w:t>
      </w:r>
      <w:r>
        <w:rPr>
          <w:spacing w:val="-6"/>
          <w:sz w:val="18"/>
        </w:rPr>
        <w:t> </w:t>
      </w:r>
      <w:r>
        <w:rPr>
          <w:sz w:val="18"/>
        </w:rPr>
        <w:t>the</w:t>
      </w:r>
      <w:r>
        <w:rPr>
          <w:spacing w:val="-3"/>
          <w:sz w:val="18"/>
        </w:rPr>
        <w:t> </w:t>
      </w:r>
      <w:r>
        <w:rPr>
          <w:sz w:val="18"/>
        </w:rPr>
        <w:t>community,</w:t>
      </w:r>
      <w:r>
        <w:rPr>
          <w:spacing w:val="-7"/>
          <w:sz w:val="18"/>
        </w:rPr>
        <w:t> </w:t>
      </w:r>
      <w:r>
        <w:rPr>
          <w:sz w:val="18"/>
        </w:rPr>
        <w:t>such</w:t>
      </w:r>
      <w:r>
        <w:rPr>
          <w:spacing w:val="-3"/>
          <w:sz w:val="18"/>
        </w:rPr>
        <w:t> </w:t>
      </w:r>
      <w:r>
        <w:rPr>
          <w:sz w:val="18"/>
        </w:rPr>
        <w:t>as</w:t>
      </w:r>
      <w:r>
        <w:rPr>
          <w:spacing w:val="-5"/>
          <w:sz w:val="18"/>
        </w:rPr>
        <w:t> </w:t>
      </w:r>
      <w:r>
        <w:rPr>
          <w:sz w:val="18"/>
        </w:rPr>
        <w:t>counselling</w:t>
      </w:r>
      <w:r>
        <w:rPr>
          <w:spacing w:val="-5"/>
          <w:sz w:val="18"/>
        </w:rPr>
        <w:t> </w:t>
      </w:r>
      <w:r>
        <w:rPr>
          <w:sz w:val="18"/>
        </w:rPr>
        <w:t>programs,</w:t>
      </w:r>
      <w:r>
        <w:rPr>
          <w:spacing w:val="-7"/>
          <w:sz w:val="18"/>
        </w:rPr>
        <w:t> </w:t>
      </w:r>
      <w:r>
        <w:rPr>
          <w:sz w:val="18"/>
        </w:rPr>
        <w:t>support</w:t>
      </w:r>
      <w:r>
        <w:rPr>
          <w:spacing w:val="-5"/>
          <w:sz w:val="18"/>
        </w:rPr>
        <w:t> </w:t>
      </w:r>
      <w:r>
        <w:rPr>
          <w:sz w:val="18"/>
        </w:rPr>
        <w:t>groups,</w:t>
      </w:r>
      <w:r>
        <w:rPr>
          <w:spacing w:val="-6"/>
          <w:sz w:val="18"/>
        </w:rPr>
        <w:t> </w:t>
      </w:r>
      <w:r>
        <w:rPr>
          <w:sz w:val="18"/>
        </w:rPr>
        <w:t>rehabilitation</w:t>
      </w:r>
      <w:r>
        <w:rPr>
          <w:spacing w:val="-3"/>
          <w:sz w:val="18"/>
        </w:rPr>
        <w:t> </w:t>
      </w:r>
      <w:r>
        <w:rPr>
          <w:sz w:val="18"/>
        </w:rPr>
        <w:t>programs,</w:t>
      </w:r>
      <w:r>
        <w:rPr>
          <w:spacing w:val="-6"/>
          <w:sz w:val="18"/>
        </w:rPr>
        <w:t> </w:t>
      </w:r>
      <w:r>
        <w:rPr>
          <w:sz w:val="18"/>
        </w:rPr>
        <w:t>home</w:t>
      </w:r>
      <w:r>
        <w:rPr>
          <w:spacing w:val="1"/>
          <w:sz w:val="18"/>
        </w:rPr>
        <w:t> </w:t>
      </w:r>
      <w:r>
        <w:rPr>
          <w:sz w:val="18"/>
        </w:rPr>
        <w:t>care,</w:t>
      </w:r>
      <w:r>
        <w:rPr>
          <w:spacing w:val="-3"/>
          <w:sz w:val="18"/>
        </w:rPr>
        <w:t> </w:t>
      </w:r>
      <w:r>
        <w:rPr>
          <w:sz w:val="18"/>
        </w:rPr>
        <w:t>financial support,</w:t>
      </w:r>
      <w:r>
        <w:rPr>
          <w:spacing w:val="-2"/>
          <w:sz w:val="18"/>
        </w:rPr>
        <w:t> </w:t>
      </w:r>
      <w:r>
        <w:rPr>
          <w:sz w:val="18"/>
        </w:rPr>
        <w:t>equipment</w:t>
      </w:r>
      <w:r>
        <w:rPr>
          <w:spacing w:val="-3"/>
          <w:sz w:val="18"/>
        </w:rPr>
        <w:t> </w:t>
      </w:r>
      <w:r>
        <w:rPr>
          <w:sz w:val="18"/>
        </w:rPr>
        <w:t>and</w:t>
      </w:r>
      <w:r>
        <w:rPr>
          <w:spacing w:val="-1"/>
          <w:sz w:val="18"/>
        </w:rPr>
        <w:t> </w:t>
      </w:r>
      <w:r>
        <w:rPr>
          <w:sz w:val="18"/>
        </w:rPr>
        <w:t>transportation services.</w:t>
      </w:r>
      <w:r>
        <w:rPr>
          <w:spacing w:val="5"/>
          <w:sz w:val="18"/>
        </w:rPr>
        <w:t> </w:t>
      </w:r>
      <w:r>
        <w:rPr>
          <w:sz w:val="18"/>
        </w:rPr>
        <w:t>(7)</w:t>
      </w:r>
    </w:p>
    <w:p>
      <w:pPr>
        <w:spacing w:before="120"/>
        <w:ind w:left="1697" w:right="0" w:firstLine="0"/>
        <w:jc w:val="left"/>
        <w:rPr>
          <w:sz w:val="18"/>
        </w:rPr>
      </w:pPr>
      <w:r>
        <w:rPr/>
        <w:drawing>
          <wp:anchor distT="0" distB="0" distL="0" distR="0" allowOverlap="1" layoutInCell="1" locked="0" behindDoc="0" simplePos="0" relativeHeight="16012800">
            <wp:simplePos x="0" y="0"/>
            <wp:positionH relativeFrom="page">
              <wp:posOffset>1054901</wp:posOffset>
            </wp:positionH>
            <wp:positionV relativeFrom="paragraph">
              <wp:posOffset>120033</wp:posOffset>
            </wp:positionV>
            <wp:extent cx="58380" cy="72151"/>
            <wp:effectExtent l="0" t="0" r="0" b="0"/>
            <wp:wrapNone/>
            <wp:docPr id="1565" name="image13.png"/>
            <wp:cNvGraphicFramePr>
              <a:graphicFrameLocks noChangeAspect="1"/>
            </wp:cNvGraphicFramePr>
            <a:graphic>
              <a:graphicData uri="http://schemas.openxmlformats.org/drawingml/2006/picture">
                <pic:pic>
                  <pic:nvPicPr>
                    <pic:cNvPr id="156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Disagree</w:t>
      </w:r>
      <w:r>
        <w:rPr>
          <w:spacing w:val="-5"/>
          <w:sz w:val="18"/>
        </w:rPr>
        <w:t> </w:t>
      </w:r>
      <w:r>
        <w:rPr>
          <w:sz w:val="18"/>
        </w:rPr>
        <w:t>(1)</w:t>
      </w:r>
    </w:p>
    <w:p>
      <w:pPr>
        <w:spacing w:line="369" w:lineRule="auto" w:before="120"/>
        <w:ind w:left="1697" w:right="7257" w:firstLine="0"/>
        <w:jc w:val="left"/>
        <w:rPr>
          <w:sz w:val="18"/>
        </w:rPr>
      </w:pPr>
      <w:r>
        <w:rPr/>
        <w:drawing>
          <wp:anchor distT="0" distB="0" distL="0" distR="0" allowOverlap="1" layoutInCell="1" locked="0" behindDoc="0" simplePos="0" relativeHeight="16013312">
            <wp:simplePos x="0" y="0"/>
            <wp:positionH relativeFrom="page">
              <wp:posOffset>1054901</wp:posOffset>
            </wp:positionH>
            <wp:positionV relativeFrom="paragraph">
              <wp:posOffset>120033</wp:posOffset>
            </wp:positionV>
            <wp:extent cx="58380" cy="72151"/>
            <wp:effectExtent l="0" t="0" r="0" b="0"/>
            <wp:wrapNone/>
            <wp:docPr id="1567" name="image13.png"/>
            <wp:cNvGraphicFramePr>
              <a:graphicFrameLocks noChangeAspect="1"/>
            </wp:cNvGraphicFramePr>
            <a:graphic>
              <a:graphicData uri="http://schemas.openxmlformats.org/drawingml/2006/picture">
                <pic:pic>
                  <pic:nvPicPr>
                    <pic:cNvPr id="1568"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013824">
            <wp:simplePos x="0" y="0"/>
            <wp:positionH relativeFrom="page">
              <wp:posOffset>1054901</wp:posOffset>
            </wp:positionH>
            <wp:positionV relativeFrom="paragraph">
              <wp:posOffset>336441</wp:posOffset>
            </wp:positionV>
            <wp:extent cx="58380" cy="72151"/>
            <wp:effectExtent l="0" t="0" r="0" b="0"/>
            <wp:wrapNone/>
            <wp:docPr id="1569" name="image13.png"/>
            <wp:cNvGraphicFramePr>
              <a:graphicFrameLocks noChangeAspect="1"/>
            </wp:cNvGraphicFramePr>
            <a:graphic>
              <a:graphicData uri="http://schemas.openxmlformats.org/drawingml/2006/picture">
                <pic:pic>
                  <pic:nvPicPr>
                    <pic:cNvPr id="1570"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014336">
            <wp:simplePos x="0" y="0"/>
            <wp:positionH relativeFrom="page">
              <wp:posOffset>1054901</wp:posOffset>
            </wp:positionH>
            <wp:positionV relativeFrom="paragraph">
              <wp:posOffset>552849</wp:posOffset>
            </wp:positionV>
            <wp:extent cx="58380" cy="72151"/>
            <wp:effectExtent l="0" t="0" r="0" b="0"/>
            <wp:wrapNone/>
            <wp:docPr id="1571" name="image13.png"/>
            <wp:cNvGraphicFramePr>
              <a:graphicFrameLocks noChangeAspect="1"/>
            </wp:cNvGraphicFramePr>
            <a:graphic>
              <a:graphicData uri="http://schemas.openxmlformats.org/drawingml/2006/picture">
                <pic:pic>
                  <pic:nvPicPr>
                    <pic:cNvPr id="157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 disagree (2)</w:t>
      </w:r>
      <w:r>
        <w:rPr>
          <w:spacing w:val="1"/>
          <w:sz w:val="18"/>
        </w:rPr>
        <w:t> </w:t>
      </w:r>
      <w:r>
        <w:rPr>
          <w:sz w:val="18"/>
        </w:rPr>
        <w:t>Neither agree nor disagree (3)</w:t>
      </w:r>
      <w:r>
        <w:rPr>
          <w:spacing w:val="-48"/>
          <w:sz w:val="18"/>
        </w:rPr>
        <w:t> </w:t>
      </w:r>
      <w:r>
        <w:rPr>
          <w:sz w:val="18"/>
        </w:rPr>
        <w:t>Somewhat</w:t>
      </w:r>
      <w:r>
        <w:rPr>
          <w:spacing w:val="-3"/>
          <w:sz w:val="18"/>
        </w:rPr>
        <w:t> </w:t>
      </w:r>
      <w:r>
        <w:rPr>
          <w:sz w:val="18"/>
        </w:rPr>
        <w:t>agree</w:t>
      </w:r>
      <w:r>
        <w:rPr>
          <w:spacing w:val="3"/>
          <w:sz w:val="18"/>
        </w:rPr>
        <w:t> </w:t>
      </w:r>
      <w:r>
        <w:rPr>
          <w:sz w:val="18"/>
        </w:rPr>
        <w:t>(4)</w:t>
      </w:r>
    </w:p>
    <w:p>
      <w:pPr>
        <w:spacing w:before="3"/>
        <w:ind w:left="1697" w:right="0" w:firstLine="0"/>
        <w:jc w:val="left"/>
        <w:rPr>
          <w:sz w:val="18"/>
        </w:rPr>
      </w:pPr>
      <w:r>
        <w:rPr/>
        <w:drawing>
          <wp:anchor distT="0" distB="0" distL="0" distR="0" allowOverlap="1" layoutInCell="1" locked="0" behindDoc="0" simplePos="0" relativeHeight="16014848">
            <wp:simplePos x="0" y="0"/>
            <wp:positionH relativeFrom="page">
              <wp:posOffset>1054901</wp:posOffset>
            </wp:positionH>
            <wp:positionV relativeFrom="paragraph">
              <wp:posOffset>45738</wp:posOffset>
            </wp:positionV>
            <wp:extent cx="58380" cy="72151"/>
            <wp:effectExtent l="0" t="0" r="0" b="0"/>
            <wp:wrapNone/>
            <wp:docPr id="1573" name="image13.png"/>
            <wp:cNvGraphicFramePr>
              <a:graphicFrameLocks noChangeAspect="1"/>
            </wp:cNvGraphicFramePr>
            <a:graphic>
              <a:graphicData uri="http://schemas.openxmlformats.org/drawingml/2006/picture">
                <pic:pic>
                  <pic:nvPicPr>
                    <pic:cNvPr id="157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Agree (5)</w:t>
      </w:r>
    </w:p>
    <w:p>
      <w:pPr>
        <w:spacing w:before="120"/>
        <w:ind w:left="1697" w:right="0" w:firstLine="0"/>
        <w:jc w:val="left"/>
        <w:rPr>
          <w:sz w:val="18"/>
        </w:rPr>
      </w:pPr>
      <w:r>
        <w:rPr/>
        <w:drawing>
          <wp:anchor distT="0" distB="0" distL="0" distR="0" allowOverlap="1" layoutInCell="1" locked="0" behindDoc="0" simplePos="0" relativeHeight="16015360">
            <wp:simplePos x="0" y="0"/>
            <wp:positionH relativeFrom="page">
              <wp:posOffset>1054901</wp:posOffset>
            </wp:positionH>
            <wp:positionV relativeFrom="paragraph">
              <wp:posOffset>120033</wp:posOffset>
            </wp:positionV>
            <wp:extent cx="58380" cy="72151"/>
            <wp:effectExtent l="0" t="0" r="0" b="0"/>
            <wp:wrapNone/>
            <wp:docPr id="1575" name="image13.png"/>
            <wp:cNvGraphicFramePr>
              <a:graphicFrameLocks noChangeAspect="1"/>
            </wp:cNvGraphicFramePr>
            <a:graphic>
              <a:graphicData uri="http://schemas.openxmlformats.org/drawingml/2006/picture">
                <pic:pic>
                  <pic:nvPicPr>
                    <pic:cNvPr id="157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spacing w:after="0"/>
        <w:jc w:val="left"/>
        <w:rPr>
          <w:sz w:val="18"/>
        </w:rPr>
        <w:sectPr>
          <w:pgSz w:w="11910" w:h="16840"/>
          <w:pgMar w:header="0" w:footer="916" w:top="860" w:bottom="1140" w:left="300" w:right="0"/>
        </w:sectPr>
      </w:pPr>
    </w:p>
    <w:p>
      <w:pPr>
        <w:spacing w:before="75"/>
        <w:ind w:left="986" w:right="763" w:hanging="284"/>
        <w:jc w:val="left"/>
        <w:rPr>
          <w:sz w:val="18"/>
        </w:rPr>
      </w:pPr>
      <w:r>
        <w:rPr>
          <w:sz w:val="18"/>
        </w:rPr>
        <w:t>b …gives patients information about additional supportive services offered at the practice/ service or in the</w:t>
      </w:r>
      <w:r>
        <w:rPr>
          <w:spacing w:val="1"/>
          <w:sz w:val="18"/>
        </w:rPr>
        <w:t> </w:t>
      </w:r>
      <w:r>
        <w:rPr>
          <w:sz w:val="18"/>
        </w:rPr>
        <w:t>community,</w:t>
      </w:r>
      <w:r>
        <w:rPr>
          <w:spacing w:val="-7"/>
          <w:sz w:val="18"/>
        </w:rPr>
        <w:t> </w:t>
      </w:r>
      <w:r>
        <w:rPr>
          <w:sz w:val="18"/>
        </w:rPr>
        <w:t>such</w:t>
      </w:r>
      <w:r>
        <w:rPr>
          <w:spacing w:val="-4"/>
          <w:sz w:val="18"/>
        </w:rPr>
        <w:t> </w:t>
      </w:r>
      <w:r>
        <w:rPr>
          <w:sz w:val="18"/>
        </w:rPr>
        <w:t>as</w:t>
      </w:r>
      <w:r>
        <w:rPr>
          <w:spacing w:val="-4"/>
          <w:sz w:val="18"/>
        </w:rPr>
        <w:t> </w:t>
      </w:r>
      <w:r>
        <w:rPr>
          <w:sz w:val="18"/>
        </w:rPr>
        <w:t>counselling</w:t>
      </w:r>
      <w:r>
        <w:rPr>
          <w:spacing w:val="-6"/>
          <w:sz w:val="18"/>
        </w:rPr>
        <w:t> </w:t>
      </w:r>
      <w:r>
        <w:rPr>
          <w:sz w:val="18"/>
        </w:rPr>
        <w:t>programs,</w:t>
      </w:r>
      <w:r>
        <w:rPr>
          <w:spacing w:val="-6"/>
          <w:sz w:val="18"/>
        </w:rPr>
        <w:t> </w:t>
      </w:r>
      <w:r>
        <w:rPr>
          <w:sz w:val="18"/>
        </w:rPr>
        <w:t>support</w:t>
      </w:r>
      <w:r>
        <w:rPr>
          <w:spacing w:val="-6"/>
          <w:sz w:val="18"/>
        </w:rPr>
        <w:t> </w:t>
      </w:r>
      <w:r>
        <w:rPr>
          <w:sz w:val="18"/>
        </w:rPr>
        <w:t>groups,</w:t>
      </w:r>
      <w:r>
        <w:rPr>
          <w:spacing w:val="-5"/>
          <w:sz w:val="18"/>
        </w:rPr>
        <w:t> </w:t>
      </w:r>
      <w:r>
        <w:rPr>
          <w:sz w:val="18"/>
        </w:rPr>
        <w:t>rehabilitation</w:t>
      </w:r>
      <w:r>
        <w:rPr>
          <w:spacing w:val="-4"/>
          <w:sz w:val="18"/>
        </w:rPr>
        <w:t> </w:t>
      </w:r>
      <w:r>
        <w:rPr>
          <w:sz w:val="18"/>
        </w:rPr>
        <w:t>programs,</w:t>
      </w:r>
      <w:r>
        <w:rPr>
          <w:spacing w:val="-4"/>
          <w:sz w:val="18"/>
        </w:rPr>
        <w:t> </w:t>
      </w:r>
      <w:r>
        <w:rPr>
          <w:sz w:val="18"/>
        </w:rPr>
        <w:t>home</w:t>
      </w:r>
      <w:r>
        <w:rPr>
          <w:spacing w:val="-4"/>
          <w:sz w:val="18"/>
        </w:rPr>
        <w:t> </w:t>
      </w:r>
      <w:r>
        <w:rPr>
          <w:sz w:val="18"/>
        </w:rPr>
        <w:t>care,</w:t>
      </w:r>
      <w:r>
        <w:rPr>
          <w:spacing w:val="-5"/>
          <w:sz w:val="18"/>
        </w:rPr>
        <w:t> </w:t>
      </w:r>
      <w:r>
        <w:rPr>
          <w:sz w:val="18"/>
        </w:rPr>
        <w:t>financial</w:t>
      </w:r>
      <w:r>
        <w:rPr>
          <w:spacing w:val="-4"/>
          <w:sz w:val="18"/>
        </w:rPr>
        <w:t> </w:t>
      </w:r>
      <w:r>
        <w:rPr>
          <w:sz w:val="18"/>
        </w:rPr>
        <w:t>support,</w:t>
      </w:r>
      <w:r>
        <w:rPr>
          <w:spacing w:val="1"/>
          <w:sz w:val="18"/>
        </w:rPr>
        <w:t> </w:t>
      </w:r>
      <w:r>
        <w:rPr>
          <w:sz w:val="18"/>
        </w:rPr>
        <w:t>equipment</w:t>
      </w:r>
      <w:r>
        <w:rPr>
          <w:spacing w:val="-3"/>
          <w:sz w:val="18"/>
        </w:rPr>
        <w:t> </w:t>
      </w:r>
      <w:r>
        <w:rPr>
          <w:sz w:val="18"/>
        </w:rPr>
        <w:t>and</w:t>
      </w:r>
      <w:r>
        <w:rPr>
          <w:spacing w:val="-1"/>
          <w:sz w:val="18"/>
        </w:rPr>
        <w:t> </w:t>
      </w:r>
      <w:r>
        <w:rPr>
          <w:sz w:val="18"/>
        </w:rPr>
        <w:t>transportation services. (1)</w:t>
      </w:r>
    </w:p>
    <w:p>
      <w:pPr>
        <w:spacing w:before="119"/>
        <w:ind w:left="1697" w:right="0" w:firstLine="0"/>
        <w:jc w:val="left"/>
        <w:rPr>
          <w:sz w:val="18"/>
        </w:rPr>
      </w:pPr>
      <w:r>
        <w:rPr/>
        <w:drawing>
          <wp:anchor distT="0" distB="0" distL="0" distR="0" allowOverlap="1" layoutInCell="1" locked="0" behindDoc="0" simplePos="0" relativeHeight="16015872">
            <wp:simplePos x="0" y="0"/>
            <wp:positionH relativeFrom="page">
              <wp:posOffset>1054901</wp:posOffset>
            </wp:positionH>
            <wp:positionV relativeFrom="paragraph">
              <wp:posOffset>120415</wp:posOffset>
            </wp:positionV>
            <wp:extent cx="58380" cy="72151"/>
            <wp:effectExtent l="0" t="0" r="0" b="0"/>
            <wp:wrapNone/>
            <wp:docPr id="1577" name="image13.png"/>
            <wp:cNvGraphicFramePr>
              <a:graphicFrameLocks noChangeAspect="1"/>
            </wp:cNvGraphicFramePr>
            <a:graphic>
              <a:graphicData uri="http://schemas.openxmlformats.org/drawingml/2006/picture">
                <pic:pic>
                  <pic:nvPicPr>
                    <pic:cNvPr id="157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Disagree</w:t>
      </w:r>
      <w:r>
        <w:rPr>
          <w:spacing w:val="-5"/>
          <w:sz w:val="18"/>
        </w:rPr>
        <w:t> </w:t>
      </w:r>
      <w:r>
        <w:rPr>
          <w:sz w:val="18"/>
        </w:rPr>
        <w:t>(1)</w:t>
      </w:r>
    </w:p>
    <w:p>
      <w:pPr>
        <w:spacing w:line="369" w:lineRule="auto" w:before="120"/>
        <w:ind w:left="1697" w:right="7257" w:firstLine="0"/>
        <w:jc w:val="left"/>
        <w:rPr>
          <w:sz w:val="18"/>
        </w:rPr>
      </w:pPr>
      <w:r>
        <w:rPr/>
        <w:drawing>
          <wp:anchor distT="0" distB="0" distL="0" distR="0" allowOverlap="1" layoutInCell="1" locked="0" behindDoc="0" simplePos="0" relativeHeight="16016384">
            <wp:simplePos x="0" y="0"/>
            <wp:positionH relativeFrom="page">
              <wp:posOffset>1054901</wp:posOffset>
            </wp:positionH>
            <wp:positionV relativeFrom="paragraph">
              <wp:posOffset>120856</wp:posOffset>
            </wp:positionV>
            <wp:extent cx="58380" cy="73869"/>
            <wp:effectExtent l="0" t="0" r="0" b="0"/>
            <wp:wrapNone/>
            <wp:docPr id="1579" name="image14.png"/>
            <wp:cNvGraphicFramePr>
              <a:graphicFrameLocks noChangeAspect="1"/>
            </wp:cNvGraphicFramePr>
            <a:graphic>
              <a:graphicData uri="http://schemas.openxmlformats.org/drawingml/2006/picture">
                <pic:pic>
                  <pic:nvPicPr>
                    <pic:cNvPr id="1580" name="image14.png"/>
                    <pic:cNvPicPr/>
                  </pic:nvPicPr>
                  <pic:blipFill>
                    <a:blip r:embed="rId43" cstate="print"/>
                    <a:stretch>
                      <a:fillRect/>
                    </a:stretch>
                  </pic:blipFill>
                  <pic:spPr>
                    <a:xfrm>
                      <a:off x="0" y="0"/>
                      <a:ext cx="58380" cy="73869"/>
                    </a:xfrm>
                    <a:prstGeom prst="rect">
                      <a:avLst/>
                    </a:prstGeom>
                  </pic:spPr>
                </pic:pic>
              </a:graphicData>
            </a:graphic>
          </wp:anchor>
        </w:drawing>
      </w:r>
      <w:r>
        <w:rPr/>
        <w:drawing>
          <wp:anchor distT="0" distB="0" distL="0" distR="0" allowOverlap="1" layoutInCell="1" locked="0" behindDoc="0" simplePos="0" relativeHeight="16016896">
            <wp:simplePos x="0" y="0"/>
            <wp:positionH relativeFrom="page">
              <wp:posOffset>1054901</wp:posOffset>
            </wp:positionH>
            <wp:positionV relativeFrom="paragraph">
              <wp:posOffset>337458</wp:posOffset>
            </wp:positionV>
            <wp:extent cx="58380" cy="72150"/>
            <wp:effectExtent l="0" t="0" r="0" b="0"/>
            <wp:wrapNone/>
            <wp:docPr id="1581" name="image13.png"/>
            <wp:cNvGraphicFramePr>
              <a:graphicFrameLocks noChangeAspect="1"/>
            </wp:cNvGraphicFramePr>
            <a:graphic>
              <a:graphicData uri="http://schemas.openxmlformats.org/drawingml/2006/picture">
                <pic:pic>
                  <pic:nvPicPr>
                    <pic:cNvPr id="1582" name="image13.png"/>
                    <pic:cNvPicPr/>
                  </pic:nvPicPr>
                  <pic:blipFill>
                    <a:blip r:embed="rId41" cstate="print"/>
                    <a:stretch>
                      <a:fillRect/>
                    </a:stretch>
                  </pic:blipFill>
                  <pic:spPr>
                    <a:xfrm>
                      <a:off x="0" y="0"/>
                      <a:ext cx="58380" cy="72150"/>
                    </a:xfrm>
                    <a:prstGeom prst="rect">
                      <a:avLst/>
                    </a:prstGeom>
                  </pic:spPr>
                </pic:pic>
              </a:graphicData>
            </a:graphic>
          </wp:anchor>
        </w:drawing>
      </w:r>
      <w:r>
        <w:rPr/>
        <w:drawing>
          <wp:anchor distT="0" distB="0" distL="0" distR="0" allowOverlap="1" layoutInCell="1" locked="0" behindDoc="0" simplePos="0" relativeHeight="16017408">
            <wp:simplePos x="0" y="0"/>
            <wp:positionH relativeFrom="page">
              <wp:posOffset>1054901</wp:posOffset>
            </wp:positionH>
            <wp:positionV relativeFrom="paragraph">
              <wp:posOffset>553865</wp:posOffset>
            </wp:positionV>
            <wp:extent cx="58380" cy="72151"/>
            <wp:effectExtent l="0" t="0" r="0" b="0"/>
            <wp:wrapNone/>
            <wp:docPr id="1583" name="image13.png"/>
            <wp:cNvGraphicFramePr>
              <a:graphicFrameLocks noChangeAspect="1"/>
            </wp:cNvGraphicFramePr>
            <a:graphic>
              <a:graphicData uri="http://schemas.openxmlformats.org/drawingml/2006/picture">
                <pic:pic>
                  <pic:nvPicPr>
                    <pic:cNvPr id="158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 disagree (2)</w:t>
      </w:r>
      <w:r>
        <w:rPr>
          <w:spacing w:val="1"/>
          <w:sz w:val="18"/>
        </w:rPr>
        <w:t> </w:t>
      </w:r>
      <w:r>
        <w:rPr>
          <w:sz w:val="18"/>
        </w:rPr>
        <w:t>Neither agree nor disagree (3)</w:t>
      </w:r>
      <w:r>
        <w:rPr>
          <w:spacing w:val="-48"/>
          <w:sz w:val="18"/>
        </w:rPr>
        <w:t> </w:t>
      </w:r>
      <w:r>
        <w:rPr>
          <w:sz w:val="18"/>
        </w:rPr>
        <w:t>Somewhat</w:t>
      </w:r>
      <w:r>
        <w:rPr>
          <w:spacing w:val="-3"/>
          <w:sz w:val="18"/>
        </w:rPr>
        <w:t> </w:t>
      </w:r>
      <w:r>
        <w:rPr>
          <w:sz w:val="18"/>
        </w:rPr>
        <w:t>agree</w:t>
      </w:r>
      <w:r>
        <w:rPr>
          <w:spacing w:val="3"/>
          <w:sz w:val="18"/>
        </w:rPr>
        <w:t> </w:t>
      </w:r>
      <w:r>
        <w:rPr>
          <w:sz w:val="18"/>
        </w:rPr>
        <w:t>(4)</w:t>
      </w:r>
    </w:p>
    <w:p>
      <w:pPr>
        <w:spacing w:before="3"/>
        <w:ind w:left="1697" w:right="0" w:firstLine="0"/>
        <w:jc w:val="left"/>
        <w:rPr>
          <w:sz w:val="18"/>
        </w:rPr>
      </w:pPr>
      <w:r>
        <w:rPr/>
        <w:drawing>
          <wp:anchor distT="0" distB="0" distL="0" distR="0" allowOverlap="1" layoutInCell="1" locked="0" behindDoc="0" simplePos="0" relativeHeight="16017920">
            <wp:simplePos x="0" y="0"/>
            <wp:positionH relativeFrom="page">
              <wp:posOffset>1054901</wp:posOffset>
            </wp:positionH>
            <wp:positionV relativeFrom="paragraph">
              <wp:posOffset>46754</wp:posOffset>
            </wp:positionV>
            <wp:extent cx="58380" cy="72151"/>
            <wp:effectExtent l="0" t="0" r="0" b="0"/>
            <wp:wrapNone/>
            <wp:docPr id="1585" name="image13.png"/>
            <wp:cNvGraphicFramePr>
              <a:graphicFrameLocks noChangeAspect="1"/>
            </wp:cNvGraphicFramePr>
            <a:graphic>
              <a:graphicData uri="http://schemas.openxmlformats.org/drawingml/2006/picture">
                <pic:pic>
                  <pic:nvPicPr>
                    <pic:cNvPr id="158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Agree (5)</w:t>
      </w:r>
    </w:p>
    <w:p>
      <w:pPr>
        <w:spacing w:before="120"/>
        <w:ind w:left="1697" w:right="0" w:firstLine="0"/>
        <w:jc w:val="left"/>
        <w:rPr>
          <w:sz w:val="18"/>
        </w:rPr>
      </w:pPr>
      <w:r>
        <w:rPr/>
        <w:drawing>
          <wp:anchor distT="0" distB="0" distL="0" distR="0" allowOverlap="1" layoutInCell="1" locked="0" behindDoc="0" simplePos="0" relativeHeight="16018432">
            <wp:simplePos x="0" y="0"/>
            <wp:positionH relativeFrom="page">
              <wp:posOffset>1054901</wp:posOffset>
            </wp:positionH>
            <wp:positionV relativeFrom="paragraph">
              <wp:posOffset>121051</wp:posOffset>
            </wp:positionV>
            <wp:extent cx="58380" cy="72150"/>
            <wp:effectExtent l="0" t="0" r="0" b="0"/>
            <wp:wrapNone/>
            <wp:docPr id="1587" name="image13.png"/>
            <wp:cNvGraphicFramePr>
              <a:graphicFrameLocks noChangeAspect="1"/>
            </wp:cNvGraphicFramePr>
            <a:graphic>
              <a:graphicData uri="http://schemas.openxmlformats.org/drawingml/2006/picture">
                <pic:pic>
                  <pic:nvPicPr>
                    <pic:cNvPr id="1588" name="image13.png"/>
                    <pic:cNvPicPr/>
                  </pic:nvPicPr>
                  <pic:blipFill>
                    <a:blip r:embed="rId41" cstate="print"/>
                    <a:stretch>
                      <a:fillRect/>
                    </a:stretch>
                  </pic:blipFill>
                  <pic:spPr>
                    <a:xfrm>
                      <a:off x="0" y="0"/>
                      <a:ext cx="58380" cy="72150"/>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pStyle w:val="ListParagraph"/>
        <w:numPr>
          <w:ilvl w:val="0"/>
          <w:numId w:val="96"/>
        </w:numPr>
        <w:tabs>
          <w:tab w:pos="919" w:val="left" w:leader="none"/>
        </w:tabs>
        <w:spacing w:line="240" w:lineRule="auto" w:before="120" w:after="0"/>
        <w:ind w:left="918" w:right="0" w:hanging="216"/>
        <w:jc w:val="left"/>
        <w:rPr>
          <w:sz w:val="18"/>
        </w:rPr>
      </w:pPr>
      <w:r>
        <w:rPr>
          <w:sz w:val="18"/>
        </w:rPr>
        <w:t>…connects</w:t>
      </w:r>
      <w:r>
        <w:rPr>
          <w:spacing w:val="-5"/>
          <w:sz w:val="18"/>
        </w:rPr>
        <w:t> </w:t>
      </w:r>
      <w:r>
        <w:rPr>
          <w:sz w:val="18"/>
        </w:rPr>
        <w:t>patients</w:t>
      </w:r>
      <w:r>
        <w:rPr>
          <w:spacing w:val="-4"/>
          <w:sz w:val="18"/>
        </w:rPr>
        <w:t> </w:t>
      </w:r>
      <w:r>
        <w:rPr>
          <w:sz w:val="18"/>
        </w:rPr>
        <w:t>to</w:t>
      </w:r>
      <w:r>
        <w:rPr>
          <w:spacing w:val="-3"/>
          <w:sz w:val="18"/>
        </w:rPr>
        <w:t> </w:t>
      </w:r>
      <w:r>
        <w:rPr>
          <w:sz w:val="18"/>
        </w:rPr>
        <w:t>needed</w:t>
      </w:r>
      <w:r>
        <w:rPr>
          <w:spacing w:val="-5"/>
          <w:sz w:val="18"/>
        </w:rPr>
        <w:t> </w:t>
      </w:r>
      <w:r>
        <w:rPr>
          <w:sz w:val="18"/>
        </w:rPr>
        <w:t>services</w:t>
      </w:r>
      <w:r>
        <w:rPr>
          <w:spacing w:val="-6"/>
          <w:sz w:val="18"/>
        </w:rPr>
        <w:t> </w:t>
      </w:r>
      <w:r>
        <w:rPr>
          <w:sz w:val="18"/>
        </w:rPr>
        <w:t>in</w:t>
      </w:r>
      <w:r>
        <w:rPr>
          <w:spacing w:val="-5"/>
          <w:sz w:val="18"/>
        </w:rPr>
        <w:t> </w:t>
      </w:r>
      <w:r>
        <w:rPr>
          <w:sz w:val="18"/>
        </w:rPr>
        <w:t>the</w:t>
      </w:r>
      <w:r>
        <w:rPr>
          <w:spacing w:val="-3"/>
          <w:sz w:val="18"/>
        </w:rPr>
        <w:t> </w:t>
      </w:r>
      <w:r>
        <w:rPr>
          <w:sz w:val="18"/>
        </w:rPr>
        <w:t>practice/service</w:t>
      </w:r>
      <w:r>
        <w:rPr>
          <w:spacing w:val="-4"/>
          <w:sz w:val="18"/>
        </w:rPr>
        <w:t> </w:t>
      </w:r>
      <w:r>
        <w:rPr>
          <w:sz w:val="18"/>
        </w:rPr>
        <w:t>or</w:t>
      </w:r>
      <w:r>
        <w:rPr>
          <w:spacing w:val="-2"/>
          <w:sz w:val="18"/>
        </w:rPr>
        <w:t> </w:t>
      </w:r>
      <w:r>
        <w:rPr>
          <w:sz w:val="18"/>
        </w:rPr>
        <w:t>the</w:t>
      </w:r>
      <w:r>
        <w:rPr>
          <w:spacing w:val="-3"/>
          <w:sz w:val="18"/>
        </w:rPr>
        <w:t> </w:t>
      </w:r>
      <w:r>
        <w:rPr>
          <w:sz w:val="18"/>
        </w:rPr>
        <w:t>community,</w:t>
      </w:r>
      <w:r>
        <w:rPr>
          <w:spacing w:val="-7"/>
          <w:sz w:val="18"/>
        </w:rPr>
        <w:t> </w:t>
      </w:r>
      <w:r>
        <w:rPr>
          <w:sz w:val="18"/>
        </w:rPr>
        <w:t>such</w:t>
      </w:r>
      <w:r>
        <w:rPr>
          <w:spacing w:val="-3"/>
          <w:sz w:val="18"/>
        </w:rPr>
        <w:t> </w:t>
      </w:r>
      <w:r>
        <w:rPr>
          <w:sz w:val="18"/>
        </w:rPr>
        <w:t>as</w:t>
      </w:r>
      <w:r>
        <w:rPr>
          <w:spacing w:val="-4"/>
          <w:sz w:val="18"/>
        </w:rPr>
        <w:t> </w:t>
      </w:r>
      <w:r>
        <w:rPr>
          <w:sz w:val="18"/>
        </w:rPr>
        <w:t>counselling</w:t>
      </w:r>
      <w:r>
        <w:rPr>
          <w:spacing w:val="-5"/>
          <w:sz w:val="18"/>
        </w:rPr>
        <w:t> </w:t>
      </w:r>
      <w:r>
        <w:rPr>
          <w:sz w:val="18"/>
        </w:rPr>
        <w:t>programs,</w:t>
      </w:r>
    </w:p>
    <w:p>
      <w:pPr>
        <w:spacing w:line="369" w:lineRule="auto" w:before="0"/>
        <w:ind w:left="1697" w:right="729" w:hanging="711"/>
        <w:jc w:val="left"/>
        <w:rPr>
          <w:sz w:val="18"/>
        </w:rPr>
      </w:pPr>
      <w:r>
        <w:rPr/>
        <w:drawing>
          <wp:anchor distT="0" distB="0" distL="0" distR="0" allowOverlap="1" layoutInCell="1" locked="0" behindDoc="1" simplePos="0" relativeHeight="476050944">
            <wp:simplePos x="0" y="0"/>
            <wp:positionH relativeFrom="page">
              <wp:posOffset>1054901</wp:posOffset>
            </wp:positionH>
            <wp:positionV relativeFrom="paragraph">
              <wp:posOffset>261065</wp:posOffset>
            </wp:positionV>
            <wp:extent cx="58380" cy="73867"/>
            <wp:effectExtent l="0" t="0" r="0" b="0"/>
            <wp:wrapNone/>
            <wp:docPr id="1589" name="image14.png"/>
            <wp:cNvGraphicFramePr>
              <a:graphicFrameLocks noChangeAspect="1"/>
            </wp:cNvGraphicFramePr>
            <a:graphic>
              <a:graphicData uri="http://schemas.openxmlformats.org/drawingml/2006/picture">
                <pic:pic>
                  <pic:nvPicPr>
                    <pic:cNvPr id="1590" name="image14.png"/>
                    <pic:cNvPicPr/>
                  </pic:nvPicPr>
                  <pic:blipFill>
                    <a:blip r:embed="rId43" cstate="print"/>
                    <a:stretch>
                      <a:fillRect/>
                    </a:stretch>
                  </pic:blipFill>
                  <pic:spPr>
                    <a:xfrm>
                      <a:off x="0" y="0"/>
                      <a:ext cx="58380" cy="73867"/>
                    </a:xfrm>
                    <a:prstGeom prst="rect">
                      <a:avLst/>
                    </a:prstGeom>
                  </pic:spPr>
                </pic:pic>
              </a:graphicData>
            </a:graphic>
          </wp:anchor>
        </w:drawing>
      </w:r>
      <w:r>
        <w:rPr>
          <w:sz w:val="18"/>
        </w:rPr>
        <w:t>support</w:t>
      </w:r>
      <w:r>
        <w:rPr>
          <w:spacing w:val="-6"/>
          <w:sz w:val="18"/>
        </w:rPr>
        <w:t> </w:t>
      </w:r>
      <w:r>
        <w:rPr>
          <w:sz w:val="18"/>
        </w:rPr>
        <w:t>groups,</w:t>
      </w:r>
      <w:r>
        <w:rPr>
          <w:spacing w:val="-6"/>
          <w:sz w:val="18"/>
        </w:rPr>
        <w:t> </w:t>
      </w:r>
      <w:r>
        <w:rPr>
          <w:sz w:val="18"/>
        </w:rPr>
        <w:t>rehabilitation</w:t>
      </w:r>
      <w:r>
        <w:rPr>
          <w:spacing w:val="-4"/>
          <w:sz w:val="18"/>
        </w:rPr>
        <w:t> </w:t>
      </w:r>
      <w:r>
        <w:rPr>
          <w:sz w:val="18"/>
        </w:rPr>
        <w:t>programs,</w:t>
      </w:r>
      <w:r>
        <w:rPr>
          <w:spacing w:val="-5"/>
          <w:sz w:val="18"/>
        </w:rPr>
        <w:t> </w:t>
      </w:r>
      <w:r>
        <w:rPr>
          <w:sz w:val="18"/>
        </w:rPr>
        <w:t>home</w:t>
      </w:r>
      <w:r>
        <w:rPr>
          <w:spacing w:val="-4"/>
          <w:sz w:val="18"/>
        </w:rPr>
        <w:t> </w:t>
      </w:r>
      <w:r>
        <w:rPr>
          <w:sz w:val="18"/>
        </w:rPr>
        <w:t>care,</w:t>
      </w:r>
      <w:r>
        <w:rPr>
          <w:spacing w:val="-6"/>
          <w:sz w:val="18"/>
        </w:rPr>
        <w:t> </w:t>
      </w:r>
      <w:r>
        <w:rPr>
          <w:sz w:val="18"/>
        </w:rPr>
        <w:t>financial</w:t>
      </w:r>
      <w:r>
        <w:rPr>
          <w:spacing w:val="-3"/>
          <w:sz w:val="18"/>
        </w:rPr>
        <w:t> </w:t>
      </w:r>
      <w:r>
        <w:rPr>
          <w:sz w:val="18"/>
        </w:rPr>
        <w:t>support,</w:t>
      </w:r>
      <w:r>
        <w:rPr>
          <w:spacing w:val="-6"/>
          <w:sz w:val="18"/>
        </w:rPr>
        <w:t> </w:t>
      </w:r>
      <w:r>
        <w:rPr>
          <w:sz w:val="18"/>
        </w:rPr>
        <w:t>equipment</w:t>
      </w:r>
      <w:r>
        <w:rPr>
          <w:spacing w:val="-6"/>
          <w:sz w:val="18"/>
        </w:rPr>
        <w:t> </w:t>
      </w:r>
      <w:r>
        <w:rPr>
          <w:sz w:val="18"/>
        </w:rPr>
        <w:t>and</w:t>
      </w:r>
      <w:r>
        <w:rPr>
          <w:spacing w:val="-4"/>
          <w:sz w:val="18"/>
        </w:rPr>
        <w:t> </w:t>
      </w:r>
      <w:r>
        <w:rPr>
          <w:sz w:val="18"/>
        </w:rPr>
        <w:t>transportation</w:t>
      </w:r>
      <w:r>
        <w:rPr>
          <w:spacing w:val="-4"/>
          <w:sz w:val="18"/>
        </w:rPr>
        <w:t> </w:t>
      </w:r>
      <w:r>
        <w:rPr>
          <w:sz w:val="18"/>
        </w:rPr>
        <w:t>services.</w:t>
      </w:r>
      <w:r>
        <w:rPr>
          <w:spacing w:val="-4"/>
          <w:sz w:val="18"/>
        </w:rPr>
        <w:t> </w:t>
      </w:r>
      <w:r>
        <w:rPr>
          <w:sz w:val="18"/>
        </w:rPr>
        <w:t>(3)</w:t>
      </w:r>
      <w:r>
        <w:rPr>
          <w:spacing w:val="1"/>
          <w:sz w:val="18"/>
        </w:rPr>
        <w:t> </w:t>
      </w:r>
      <w:r>
        <w:rPr>
          <w:sz w:val="18"/>
        </w:rPr>
        <w:t>Disagree</w:t>
      </w:r>
      <w:r>
        <w:rPr>
          <w:spacing w:val="-1"/>
          <w:sz w:val="18"/>
        </w:rPr>
        <w:t> </w:t>
      </w:r>
      <w:r>
        <w:rPr>
          <w:sz w:val="18"/>
        </w:rPr>
        <w:t>(1)</w:t>
      </w:r>
    </w:p>
    <w:p>
      <w:pPr>
        <w:spacing w:line="372" w:lineRule="auto" w:before="2"/>
        <w:ind w:left="1697" w:right="7257" w:firstLine="0"/>
        <w:jc w:val="left"/>
        <w:rPr>
          <w:sz w:val="18"/>
        </w:rPr>
      </w:pPr>
      <w:r>
        <w:rPr/>
        <w:drawing>
          <wp:anchor distT="0" distB="0" distL="0" distR="0" allowOverlap="1" layoutInCell="1" locked="0" behindDoc="0" simplePos="0" relativeHeight="16019456">
            <wp:simplePos x="0" y="0"/>
            <wp:positionH relativeFrom="page">
              <wp:posOffset>1054901</wp:posOffset>
            </wp:positionH>
            <wp:positionV relativeFrom="paragraph">
              <wp:posOffset>46120</wp:posOffset>
            </wp:positionV>
            <wp:extent cx="58380" cy="72151"/>
            <wp:effectExtent l="0" t="0" r="0" b="0"/>
            <wp:wrapNone/>
            <wp:docPr id="1591" name="image13.png"/>
            <wp:cNvGraphicFramePr>
              <a:graphicFrameLocks noChangeAspect="1"/>
            </wp:cNvGraphicFramePr>
            <a:graphic>
              <a:graphicData uri="http://schemas.openxmlformats.org/drawingml/2006/picture">
                <pic:pic>
                  <pic:nvPicPr>
                    <pic:cNvPr id="1592"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019968">
            <wp:simplePos x="0" y="0"/>
            <wp:positionH relativeFrom="page">
              <wp:posOffset>1054901</wp:posOffset>
            </wp:positionH>
            <wp:positionV relativeFrom="paragraph">
              <wp:posOffset>262528</wp:posOffset>
            </wp:positionV>
            <wp:extent cx="58380" cy="72151"/>
            <wp:effectExtent l="0" t="0" r="0" b="0"/>
            <wp:wrapNone/>
            <wp:docPr id="1593" name="image13.png"/>
            <wp:cNvGraphicFramePr>
              <a:graphicFrameLocks noChangeAspect="1"/>
            </wp:cNvGraphicFramePr>
            <a:graphic>
              <a:graphicData uri="http://schemas.openxmlformats.org/drawingml/2006/picture">
                <pic:pic>
                  <pic:nvPicPr>
                    <pic:cNvPr id="1594"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020480">
            <wp:simplePos x="0" y="0"/>
            <wp:positionH relativeFrom="page">
              <wp:posOffset>1054901</wp:posOffset>
            </wp:positionH>
            <wp:positionV relativeFrom="paragraph">
              <wp:posOffset>478937</wp:posOffset>
            </wp:positionV>
            <wp:extent cx="58380" cy="72150"/>
            <wp:effectExtent l="0" t="0" r="0" b="0"/>
            <wp:wrapNone/>
            <wp:docPr id="1595" name="image13.png"/>
            <wp:cNvGraphicFramePr>
              <a:graphicFrameLocks noChangeAspect="1"/>
            </wp:cNvGraphicFramePr>
            <a:graphic>
              <a:graphicData uri="http://schemas.openxmlformats.org/drawingml/2006/picture">
                <pic:pic>
                  <pic:nvPicPr>
                    <pic:cNvPr id="1596" name="image13.png"/>
                    <pic:cNvPicPr/>
                  </pic:nvPicPr>
                  <pic:blipFill>
                    <a:blip r:embed="rId41" cstate="print"/>
                    <a:stretch>
                      <a:fillRect/>
                    </a:stretch>
                  </pic:blipFill>
                  <pic:spPr>
                    <a:xfrm>
                      <a:off x="0" y="0"/>
                      <a:ext cx="58380" cy="72150"/>
                    </a:xfrm>
                    <a:prstGeom prst="rect">
                      <a:avLst/>
                    </a:prstGeom>
                  </pic:spPr>
                </pic:pic>
              </a:graphicData>
            </a:graphic>
          </wp:anchor>
        </w:drawing>
      </w:r>
      <w:r>
        <w:rPr>
          <w:sz w:val="18"/>
        </w:rPr>
        <w:t>Somewhat disagree (2)</w:t>
      </w:r>
      <w:r>
        <w:rPr>
          <w:spacing w:val="1"/>
          <w:sz w:val="18"/>
        </w:rPr>
        <w:t> </w:t>
      </w:r>
      <w:r>
        <w:rPr>
          <w:sz w:val="18"/>
        </w:rPr>
        <w:t>Neither agree nor disagree (3)</w:t>
      </w:r>
      <w:r>
        <w:rPr>
          <w:spacing w:val="-48"/>
          <w:sz w:val="18"/>
        </w:rPr>
        <w:t> </w:t>
      </w:r>
      <w:r>
        <w:rPr>
          <w:sz w:val="18"/>
        </w:rPr>
        <w:t>Somewhat</w:t>
      </w:r>
      <w:r>
        <w:rPr>
          <w:spacing w:val="-3"/>
          <w:sz w:val="18"/>
        </w:rPr>
        <w:t> </w:t>
      </w:r>
      <w:r>
        <w:rPr>
          <w:sz w:val="18"/>
        </w:rPr>
        <w:t>agree</w:t>
      </w:r>
      <w:r>
        <w:rPr>
          <w:spacing w:val="3"/>
          <w:sz w:val="18"/>
        </w:rPr>
        <w:t> </w:t>
      </w:r>
      <w:r>
        <w:rPr>
          <w:sz w:val="18"/>
        </w:rPr>
        <w:t>(4)</w:t>
      </w:r>
    </w:p>
    <w:p>
      <w:pPr>
        <w:spacing w:line="217" w:lineRule="exact" w:before="0"/>
        <w:ind w:left="1697" w:right="0" w:firstLine="0"/>
        <w:jc w:val="left"/>
        <w:rPr>
          <w:sz w:val="18"/>
        </w:rPr>
      </w:pPr>
      <w:r>
        <w:rPr/>
        <w:drawing>
          <wp:anchor distT="0" distB="0" distL="0" distR="0" allowOverlap="1" layoutInCell="1" locked="0" behindDoc="0" simplePos="0" relativeHeight="16020992">
            <wp:simplePos x="0" y="0"/>
            <wp:positionH relativeFrom="page">
              <wp:posOffset>1054901</wp:posOffset>
            </wp:positionH>
            <wp:positionV relativeFrom="paragraph">
              <wp:posOffset>42421</wp:posOffset>
            </wp:positionV>
            <wp:extent cx="58380" cy="72151"/>
            <wp:effectExtent l="0" t="0" r="0" b="0"/>
            <wp:wrapNone/>
            <wp:docPr id="1597" name="image13.png"/>
            <wp:cNvGraphicFramePr>
              <a:graphicFrameLocks noChangeAspect="1"/>
            </wp:cNvGraphicFramePr>
            <a:graphic>
              <a:graphicData uri="http://schemas.openxmlformats.org/drawingml/2006/picture">
                <pic:pic>
                  <pic:nvPicPr>
                    <pic:cNvPr id="159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Agree (5)</w:t>
      </w:r>
    </w:p>
    <w:p>
      <w:pPr>
        <w:spacing w:before="120"/>
        <w:ind w:left="1697" w:right="0" w:firstLine="0"/>
        <w:jc w:val="left"/>
        <w:rPr>
          <w:sz w:val="18"/>
        </w:rPr>
      </w:pPr>
      <w:r>
        <w:rPr/>
        <w:drawing>
          <wp:anchor distT="0" distB="0" distL="0" distR="0" allowOverlap="1" layoutInCell="1" locked="0" behindDoc="0" simplePos="0" relativeHeight="16021504">
            <wp:simplePos x="0" y="0"/>
            <wp:positionH relativeFrom="page">
              <wp:posOffset>1056425</wp:posOffset>
            </wp:positionH>
            <wp:positionV relativeFrom="paragraph">
              <wp:posOffset>120669</wp:posOffset>
            </wp:positionV>
            <wp:extent cx="58380" cy="72151"/>
            <wp:effectExtent l="0" t="0" r="0" b="0"/>
            <wp:wrapNone/>
            <wp:docPr id="1599" name="image13.png"/>
            <wp:cNvGraphicFramePr>
              <a:graphicFrameLocks noChangeAspect="1"/>
            </wp:cNvGraphicFramePr>
            <a:graphic>
              <a:graphicData uri="http://schemas.openxmlformats.org/drawingml/2006/picture">
                <pic:pic>
                  <pic:nvPicPr>
                    <pic:cNvPr id="160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pStyle w:val="BodyText"/>
        <w:spacing w:before="3"/>
        <w:rPr>
          <w:sz w:val="16"/>
        </w:rPr>
      </w:pPr>
    </w:p>
    <w:p>
      <w:pPr>
        <w:pStyle w:val="ListParagraph"/>
        <w:numPr>
          <w:ilvl w:val="0"/>
          <w:numId w:val="87"/>
        </w:numPr>
        <w:tabs>
          <w:tab w:pos="723" w:val="left" w:leader="none"/>
        </w:tabs>
        <w:spacing w:line="240" w:lineRule="auto" w:before="0" w:after="0"/>
        <w:ind w:left="722" w:right="0" w:hanging="303"/>
        <w:jc w:val="left"/>
        <w:rPr>
          <w:sz w:val="18"/>
        </w:rPr>
      </w:pPr>
      <w:r>
        <w:rPr>
          <w:sz w:val="18"/>
        </w:rPr>
        <w:t>When</w:t>
      </w:r>
      <w:r>
        <w:rPr>
          <w:spacing w:val="-3"/>
          <w:sz w:val="18"/>
        </w:rPr>
        <w:t> </w:t>
      </w:r>
      <w:r>
        <w:rPr>
          <w:sz w:val="18"/>
        </w:rPr>
        <w:t>a</w:t>
      </w:r>
      <w:r>
        <w:rPr>
          <w:spacing w:val="-3"/>
          <w:sz w:val="18"/>
        </w:rPr>
        <w:t> </w:t>
      </w:r>
      <w:r>
        <w:rPr>
          <w:sz w:val="18"/>
        </w:rPr>
        <w:t>patient</w:t>
      </w:r>
      <w:r>
        <w:rPr>
          <w:spacing w:val="-5"/>
          <w:sz w:val="18"/>
        </w:rPr>
        <w:t> </w:t>
      </w:r>
      <w:r>
        <w:rPr>
          <w:sz w:val="18"/>
        </w:rPr>
        <w:t>sees</w:t>
      </w:r>
      <w:r>
        <w:rPr>
          <w:spacing w:val="-4"/>
          <w:sz w:val="18"/>
        </w:rPr>
        <w:t> </w:t>
      </w:r>
      <w:r>
        <w:rPr>
          <w:sz w:val="18"/>
        </w:rPr>
        <w:t>a</w:t>
      </w:r>
      <w:r>
        <w:rPr>
          <w:spacing w:val="-3"/>
          <w:sz w:val="18"/>
        </w:rPr>
        <w:t> </w:t>
      </w:r>
      <w:r>
        <w:rPr>
          <w:sz w:val="18"/>
        </w:rPr>
        <w:t>specialist,</w:t>
      </w:r>
      <w:r>
        <w:rPr>
          <w:spacing w:val="-5"/>
          <w:sz w:val="18"/>
        </w:rPr>
        <w:t> </w:t>
      </w:r>
      <w:r>
        <w:rPr>
          <w:sz w:val="18"/>
        </w:rPr>
        <w:t>the</w:t>
      </w:r>
      <w:r>
        <w:rPr>
          <w:spacing w:val="-3"/>
          <w:sz w:val="18"/>
        </w:rPr>
        <w:t> </w:t>
      </w:r>
      <w:r>
        <w:rPr>
          <w:sz w:val="18"/>
        </w:rPr>
        <w:t>primary</w:t>
      </w:r>
      <w:r>
        <w:rPr>
          <w:spacing w:val="-4"/>
          <w:sz w:val="18"/>
        </w:rPr>
        <w:t> </w:t>
      </w:r>
      <w:r>
        <w:rPr>
          <w:sz w:val="18"/>
        </w:rPr>
        <w:t>care</w:t>
      </w:r>
      <w:r>
        <w:rPr>
          <w:spacing w:val="3"/>
          <w:sz w:val="18"/>
        </w:rPr>
        <w:t> </w:t>
      </w:r>
      <w:r>
        <w:rPr>
          <w:sz w:val="18"/>
        </w:rPr>
        <w:t>team…</w:t>
      </w:r>
    </w:p>
    <w:p>
      <w:pPr>
        <w:pStyle w:val="ListParagraph"/>
        <w:numPr>
          <w:ilvl w:val="0"/>
          <w:numId w:val="97"/>
        </w:numPr>
        <w:tabs>
          <w:tab w:pos="924" w:val="left" w:leader="none"/>
        </w:tabs>
        <w:spacing w:line="240" w:lineRule="auto" w:before="120" w:after="0"/>
        <w:ind w:left="923" w:right="0" w:hanging="221"/>
        <w:jc w:val="left"/>
        <w:rPr>
          <w:sz w:val="18"/>
        </w:rPr>
      </w:pPr>
      <w:r>
        <w:rPr>
          <w:sz w:val="18"/>
        </w:rPr>
        <w:t>…is</w:t>
      </w:r>
      <w:r>
        <w:rPr>
          <w:spacing w:val="-4"/>
          <w:sz w:val="18"/>
        </w:rPr>
        <w:t> </w:t>
      </w:r>
      <w:r>
        <w:rPr>
          <w:sz w:val="18"/>
        </w:rPr>
        <w:t>informed</w:t>
      </w:r>
      <w:r>
        <w:rPr>
          <w:spacing w:val="-3"/>
          <w:sz w:val="18"/>
        </w:rPr>
        <w:t> </w:t>
      </w:r>
      <w:r>
        <w:rPr>
          <w:sz w:val="18"/>
        </w:rPr>
        <w:t>about</w:t>
      </w:r>
      <w:r>
        <w:rPr>
          <w:spacing w:val="-4"/>
          <w:sz w:val="18"/>
        </w:rPr>
        <w:t> </w:t>
      </w:r>
      <w:r>
        <w:rPr>
          <w:sz w:val="18"/>
        </w:rPr>
        <w:t>the</w:t>
      </w:r>
      <w:r>
        <w:rPr>
          <w:spacing w:val="-2"/>
          <w:sz w:val="18"/>
        </w:rPr>
        <w:t> </w:t>
      </w:r>
      <w:r>
        <w:rPr>
          <w:sz w:val="18"/>
        </w:rPr>
        <w:t>care</w:t>
      </w:r>
      <w:r>
        <w:rPr>
          <w:spacing w:val="-3"/>
          <w:sz w:val="18"/>
        </w:rPr>
        <w:t> </w:t>
      </w:r>
      <w:r>
        <w:rPr>
          <w:sz w:val="18"/>
        </w:rPr>
        <w:t>patients</w:t>
      </w:r>
      <w:r>
        <w:rPr>
          <w:spacing w:val="-5"/>
          <w:sz w:val="18"/>
        </w:rPr>
        <w:t> </w:t>
      </w:r>
      <w:r>
        <w:rPr>
          <w:sz w:val="18"/>
        </w:rPr>
        <w:t>received</w:t>
      </w:r>
      <w:r>
        <w:rPr>
          <w:spacing w:val="-3"/>
          <w:sz w:val="18"/>
        </w:rPr>
        <w:t> </w:t>
      </w:r>
      <w:r>
        <w:rPr>
          <w:sz w:val="18"/>
        </w:rPr>
        <w:t>from</w:t>
      </w:r>
      <w:r>
        <w:rPr>
          <w:spacing w:val="-6"/>
          <w:sz w:val="18"/>
        </w:rPr>
        <w:t> </w:t>
      </w:r>
      <w:r>
        <w:rPr>
          <w:sz w:val="18"/>
        </w:rPr>
        <w:t>the</w:t>
      </w:r>
      <w:r>
        <w:rPr>
          <w:spacing w:val="-2"/>
          <w:sz w:val="18"/>
        </w:rPr>
        <w:t> </w:t>
      </w:r>
      <w:r>
        <w:rPr>
          <w:sz w:val="18"/>
        </w:rPr>
        <w:t>specialist.</w:t>
      </w:r>
      <w:r>
        <w:rPr>
          <w:spacing w:val="-3"/>
          <w:sz w:val="18"/>
        </w:rPr>
        <w:t> </w:t>
      </w:r>
      <w:r>
        <w:rPr>
          <w:sz w:val="18"/>
        </w:rPr>
        <w:t>(1)</w:t>
      </w:r>
    </w:p>
    <w:p>
      <w:pPr>
        <w:spacing w:before="120"/>
        <w:ind w:left="1697" w:right="0" w:firstLine="0"/>
        <w:jc w:val="left"/>
        <w:rPr>
          <w:sz w:val="18"/>
        </w:rPr>
      </w:pPr>
      <w:r>
        <w:rPr/>
        <w:drawing>
          <wp:anchor distT="0" distB="0" distL="0" distR="0" allowOverlap="1" layoutInCell="1" locked="0" behindDoc="0" simplePos="0" relativeHeight="16022016">
            <wp:simplePos x="0" y="0"/>
            <wp:positionH relativeFrom="page">
              <wp:posOffset>1054901</wp:posOffset>
            </wp:positionH>
            <wp:positionV relativeFrom="paragraph">
              <wp:posOffset>120668</wp:posOffset>
            </wp:positionV>
            <wp:extent cx="58380" cy="72151"/>
            <wp:effectExtent l="0" t="0" r="0" b="0"/>
            <wp:wrapNone/>
            <wp:docPr id="1601" name="image13.png"/>
            <wp:cNvGraphicFramePr>
              <a:graphicFrameLocks noChangeAspect="1"/>
            </wp:cNvGraphicFramePr>
            <a:graphic>
              <a:graphicData uri="http://schemas.openxmlformats.org/drawingml/2006/picture">
                <pic:pic>
                  <pic:nvPicPr>
                    <pic:cNvPr id="160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Disagree</w:t>
      </w:r>
      <w:r>
        <w:rPr>
          <w:spacing w:val="-5"/>
          <w:sz w:val="18"/>
        </w:rPr>
        <w:t> </w:t>
      </w:r>
      <w:r>
        <w:rPr>
          <w:sz w:val="18"/>
        </w:rPr>
        <w:t>(1)</w:t>
      </w:r>
    </w:p>
    <w:p>
      <w:pPr>
        <w:spacing w:line="372" w:lineRule="auto" w:before="120"/>
        <w:ind w:left="1697" w:right="7257" w:firstLine="0"/>
        <w:jc w:val="left"/>
        <w:rPr>
          <w:sz w:val="18"/>
        </w:rPr>
      </w:pPr>
      <w:r>
        <w:rPr/>
        <w:drawing>
          <wp:anchor distT="0" distB="0" distL="0" distR="0" allowOverlap="1" layoutInCell="1" locked="0" behindDoc="0" simplePos="0" relativeHeight="16022528">
            <wp:simplePos x="0" y="0"/>
            <wp:positionH relativeFrom="page">
              <wp:posOffset>1054901</wp:posOffset>
            </wp:positionH>
            <wp:positionV relativeFrom="paragraph">
              <wp:posOffset>120668</wp:posOffset>
            </wp:positionV>
            <wp:extent cx="58380" cy="72151"/>
            <wp:effectExtent l="0" t="0" r="0" b="0"/>
            <wp:wrapNone/>
            <wp:docPr id="1603" name="image13.png"/>
            <wp:cNvGraphicFramePr>
              <a:graphicFrameLocks noChangeAspect="1"/>
            </wp:cNvGraphicFramePr>
            <a:graphic>
              <a:graphicData uri="http://schemas.openxmlformats.org/drawingml/2006/picture">
                <pic:pic>
                  <pic:nvPicPr>
                    <pic:cNvPr id="1604"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023040">
            <wp:simplePos x="0" y="0"/>
            <wp:positionH relativeFrom="page">
              <wp:posOffset>1054901</wp:posOffset>
            </wp:positionH>
            <wp:positionV relativeFrom="paragraph">
              <wp:posOffset>336883</wp:posOffset>
            </wp:positionV>
            <wp:extent cx="58380" cy="73869"/>
            <wp:effectExtent l="0" t="0" r="0" b="0"/>
            <wp:wrapNone/>
            <wp:docPr id="1605" name="image14.png"/>
            <wp:cNvGraphicFramePr>
              <a:graphicFrameLocks noChangeAspect="1"/>
            </wp:cNvGraphicFramePr>
            <a:graphic>
              <a:graphicData uri="http://schemas.openxmlformats.org/drawingml/2006/picture">
                <pic:pic>
                  <pic:nvPicPr>
                    <pic:cNvPr id="1606" name="image14.png"/>
                    <pic:cNvPicPr/>
                  </pic:nvPicPr>
                  <pic:blipFill>
                    <a:blip r:embed="rId43" cstate="print"/>
                    <a:stretch>
                      <a:fillRect/>
                    </a:stretch>
                  </pic:blipFill>
                  <pic:spPr>
                    <a:xfrm>
                      <a:off x="0" y="0"/>
                      <a:ext cx="58380" cy="73869"/>
                    </a:xfrm>
                    <a:prstGeom prst="rect">
                      <a:avLst/>
                    </a:prstGeom>
                  </pic:spPr>
                </pic:pic>
              </a:graphicData>
            </a:graphic>
          </wp:anchor>
        </w:drawing>
      </w:r>
      <w:r>
        <w:rPr/>
        <w:drawing>
          <wp:anchor distT="0" distB="0" distL="0" distR="0" allowOverlap="1" layoutInCell="1" locked="0" behindDoc="0" simplePos="0" relativeHeight="16023552">
            <wp:simplePos x="0" y="0"/>
            <wp:positionH relativeFrom="page">
              <wp:posOffset>1054901</wp:posOffset>
            </wp:positionH>
            <wp:positionV relativeFrom="paragraph">
              <wp:posOffset>553484</wp:posOffset>
            </wp:positionV>
            <wp:extent cx="58380" cy="72151"/>
            <wp:effectExtent l="0" t="0" r="0" b="0"/>
            <wp:wrapNone/>
            <wp:docPr id="1607" name="image13.png"/>
            <wp:cNvGraphicFramePr>
              <a:graphicFrameLocks noChangeAspect="1"/>
            </wp:cNvGraphicFramePr>
            <a:graphic>
              <a:graphicData uri="http://schemas.openxmlformats.org/drawingml/2006/picture">
                <pic:pic>
                  <pic:nvPicPr>
                    <pic:cNvPr id="160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 disagree (2)</w:t>
      </w:r>
      <w:r>
        <w:rPr>
          <w:spacing w:val="1"/>
          <w:sz w:val="18"/>
        </w:rPr>
        <w:t> </w:t>
      </w:r>
      <w:r>
        <w:rPr>
          <w:sz w:val="18"/>
        </w:rPr>
        <w:t>Neither agree nor disagree (3)</w:t>
      </w:r>
      <w:r>
        <w:rPr>
          <w:spacing w:val="-48"/>
          <w:sz w:val="18"/>
        </w:rPr>
        <w:t> </w:t>
      </w:r>
      <w:r>
        <w:rPr>
          <w:sz w:val="18"/>
        </w:rPr>
        <w:t>Somewhat</w:t>
      </w:r>
      <w:r>
        <w:rPr>
          <w:spacing w:val="-3"/>
          <w:sz w:val="18"/>
        </w:rPr>
        <w:t> </w:t>
      </w:r>
      <w:r>
        <w:rPr>
          <w:sz w:val="18"/>
        </w:rPr>
        <w:t>agree</w:t>
      </w:r>
      <w:r>
        <w:rPr>
          <w:spacing w:val="3"/>
          <w:sz w:val="18"/>
        </w:rPr>
        <w:t> </w:t>
      </w:r>
      <w:r>
        <w:rPr>
          <w:sz w:val="18"/>
        </w:rPr>
        <w:t>(4)</w:t>
      </w:r>
    </w:p>
    <w:p>
      <w:pPr>
        <w:spacing w:line="217" w:lineRule="exact" w:before="0"/>
        <w:ind w:left="1697" w:right="0" w:firstLine="0"/>
        <w:jc w:val="left"/>
        <w:rPr>
          <w:sz w:val="18"/>
        </w:rPr>
      </w:pPr>
      <w:r>
        <w:rPr/>
        <w:drawing>
          <wp:anchor distT="0" distB="0" distL="0" distR="0" allowOverlap="1" layoutInCell="1" locked="0" behindDoc="0" simplePos="0" relativeHeight="16024064">
            <wp:simplePos x="0" y="0"/>
            <wp:positionH relativeFrom="page">
              <wp:posOffset>1054901</wp:posOffset>
            </wp:positionH>
            <wp:positionV relativeFrom="paragraph">
              <wp:posOffset>42040</wp:posOffset>
            </wp:positionV>
            <wp:extent cx="58380" cy="72151"/>
            <wp:effectExtent l="0" t="0" r="0" b="0"/>
            <wp:wrapNone/>
            <wp:docPr id="1609" name="image13.png"/>
            <wp:cNvGraphicFramePr>
              <a:graphicFrameLocks noChangeAspect="1"/>
            </wp:cNvGraphicFramePr>
            <a:graphic>
              <a:graphicData uri="http://schemas.openxmlformats.org/drawingml/2006/picture">
                <pic:pic>
                  <pic:nvPicPr>
                    <pic:cNvPr id="161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Agree (5)</w:t>
      </w:r>
    </w:p>
    <w:p>
      <w:pPr>
        <w:spacing w:before="121"/>
        <w:ind w:left="1697" w:right="0" w:firstLine="0"/>
        <w:jc w:val="left"/>
        <w:rPr>
          <w:sz w:val="18"/>
        </w:rPr>
      </w:pPr>
      <w:r>
        <w:rPr/>
        <w:drawing>
          <wp:anchor distT="0" distB="0" distL="0" distR="0" allowOverlap="1" layoutInCell="1" locked="0" behindDoc="0" simplePos="0" relativeHeight="16024576">
            <wp:simplePos x="0" y="0"/>
            <wp:positionH relativeFrom="page">
              <wp:posOffset>1054901</wp:posOffset>
            </wp:positionH>
            <wp:positionV relativeFrom="paragraph">
              <wp:posOffset>120856</wp:posOffset>
            </wp:positionV>
            <wp:extent cx="58380" cy="73869"/>
            <wp:effectExtent l="0" t="0" r="0" b="0"/>
            <wp:wrapNone/>
            <wp:docPr id="1611" name="image14.png"/>
            <wp:cNvGraphicFramePr>
              <a:graphicFrameLocks noChangeAspect="1"/>
            </wp:cNvGraphicFramePr>
            <a:graphic>
              <a:graphicData uri="http://schemas.openxmlformats.org/drawingml/2006/picture">
                <pic:pic>
                  <pic:nvPicPr>
                    <pic:cNvPr id="1612"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pStyle w:val="ListParagraph"/>
        <w:numPr>
          <w:ilvl w:val="0"/>
          <w:numId w:val="97"/>
        </w:numPr>
        <w:tabs>
          <w:tab w:pos="924" w:val="left" w:leader="none"/>
        </w:tabs>
        <w:spacing w:line="240" w:lineRule="auto" w:before="120" w:after="0"/>
        <w:ind w:left="923" w:right="0" w:hanging="221"/>
        <w:jc w:val="left"/>
        <w:rPr>
          <w:sz w:val="18"/>
        </w:rPr>
      </w:pPr>
      <w:r>
        <w:rPr>
          <w:sz w:val="18"/>
        </w:rPr>
        <w:t>…receives</w:t>
      </w:r>
      <w:r>
        <w:rPr>
          <w:spacing w:val="-4"/>
          <w:sz w:val="18"/>
        </w:rPr>
        <w:t> </w:t>
      </w:r>
      <w:r>
        <w:rPr>
          <w:sz w:val="18"/>
        </w:rPr>
        <w:t>information</w:t>
      </w:r>
      <w:r>
        <w:rPr>
          <w:spacing w:val="-2"/>
          <w:sz w:val="18"/>
        </w:rPr>
        <w:t> </w:t>
      </w:r>
      <w:r>
        <w:rPr>
          <w:sz w:val="18"/>
        </w:rPr>
        <w:t>from</w:t>
      </w:r>
      <w:r>
        <w:rPr>
          <w:spacing w:val="-3"/>
          <w:sz w:val="18"/>
        </w:rPr>
        <w:t> </w:t>
      </w:r>
      <w:r>
        <w:rPr>
          <w:sz w:val="18"/>
        </w:rPr>
        <w:t>the</w:t>
      </w:r>
      <w:r>
        <w:rPr>
          <w:spacing w:val="-2"/>
          <w:sz w:val="18"/>
        </w:rPr>
        <w:t> </w:t>
      </w:r>
      <w:r>
        <w:rPr>
          <w:sz w:val="18"/>
        </w:rPr>
        <w:t>specialist</w:t>
      </w:r>
      <w:r>
        <w:rPr>
          <w:spacing w:val="-4"/>
          <w:sz w:val="18"/>
        </w:rPr>
        <w:t> </w:t>
      </w:r>
      <w:r>
        <w:rPr>
          <w:sz w:val="18"/>
        </w:rPr>
        <w:t>about</w:t>
      </w:r>
      <w:r>
        <w:rPr>
          <w:spacing w:val="-4"/>
          <w:sz w:val="18"/>
        </w:rPr>
        <w:t> </w:t>
      </w:r>
      <w:r>
        <w:rPr>
          <w:sz w:val="18"/>
        </w:rPr>
        <w:t>new</w:t>
      </w:r>
      <w:r>
        <w:rPr>
          <w:spacing w:val="-5"/>
          <w:sz w:val="18"/>
        </w:rPr>
        <w:t> </w:t>
      </w:r>
      <w:r>
        <w:rPr>
          <w:sz w:val="18"/>
        </w:rPr>
        <w:t>prescriptions</w:t>
      </w:r>
      <w:r>
        <w:rPr>
          <w:spacing w:val="-3"/>
          <w:sz w:val="18"/>
        </w:rPr>
        <w:t> </w:t>
      </w:r>
      <w:r>
        <w:rPr>
          <w:sz w:val="18"/>
        </w:rPr>
        <w:t>or</w:t>
      </w:r>
      <w:r>
        <w:rPr>
          <w:spacing w:val="-6"/>
          <w:sz w:val="18"/>
        </w:rPr>
        <w:t> </w:t>
      </w:r>
      <w:r>
        <w:rPr>
          <w:sz w:val="18"/>
        </w:rPr>
        <w:t>if</w:t>
      </w:r>
      <w:r>
        <w:rPr>
          <w:spacing w:val="-2"/>
          <w:sz w:val="18"/>
        </w:rPr>
        <w:t> </w:t>
      </w:r>
      <w:r>
        <w:rPr>
          <w:sz w:val="18"/>
        </w:rPr>
        <w:t>there</w:t>
      </w:r>
      <w:r>
        <w:rPr>
          <w:spacing w:val="-2"/>
          <w:sz w:val="18"/>
        </w:rPr>
        <w:t> </w:t>
      </w:r>
      <w:r>
        <w:rPr>
          <w:sz w:val="18"/>
        </w:rPr>
        <w:t>was</w:t>
      </w:r>
      <w:r>
        <w:rPr>
          <w:spacing w:val="-5"/>
          <w:sz w:val="18"/>
        </w:rPr>
        <w:t> </w:t>
      </w:r>
      <w:r>
        <w:rPr>
          <w:sz w:val="18"/>
        </w:rPr>
        <w:t>a</w:t>
      </w:r>
      <w:r>
        <w:rPr>
          <w:spacing w:val="-3"/>
          <w:sz w:val="18"/>
        </w:rPr>
        <w:t> </w:t>
      </w:r>
      <w:r>
        <w:rPr>
          <w:sz w:val="18"/>
        </w:rPr>
        <w:t>change</w:t>
      </w:r>
      <w:r>
        <w:rPr>
          <w:spacing w:val="-4"/>
          <w:sz w:val="18"/>
        </w:rPr>
        <w:t> </w:t>
      </w:r>
      <w:r>
        <w:rPr>
          <w:sz w:val="18"/>
        </w:rPr>
        <w:t>in</w:t>
      </w:r>
      <w:r>
        <w:rPr>
          <w:spacing w:val="-3"/>
          <w:sz w:val="18"/>
        </w:rPr>
        <w:t> </w:t>
      </w:r>
      <w:r>
        <w:rPr>
          <w:sz w:val="18"/>
        </w:rPr>
        <w:t>medication.</w:t>
      </w:r>
      <w:r>
        <w:rPr>
          <w:spacing w:val="-1"/>
          <w:sz w:val="18"/>
        </w:rPr>
        <w:t> </w:t>
      </w:r>
      <w:r>
        <w:rPr>
          <w:sz w:val="18"/>
        </w:rPr>
        <w:t>(2)</w:t>
      </w:r>
    </w:p>
    <w:p>
      <w:pPr>
        <w:spacing w:before="120"/>
        <w:ind w:left="1697" w:right="0" w:firstLine="0"/>
        <w:jc w:val="left"/>
        <w:rPr>
          <w:sz w:val="18"/>
        </w:rPr>
      </w:pPr>
      <w:r>
        <w:rPr/>
        <w:drawing>
          <wp:anchor distT="0" distB="0" distL="0" distR="0" allowOverlap="1" layoutInCell="1" locked="0" behindDoc="0" simplePos="0" relativeHeight="16025088">
            <wp:simplePos x="0" y="0"/>
            <wp:positionH relativeFrom="page">
              <wp:posOffset>1054901</wp:posOffset>
            </wp:positionH>
            <wp:positionV relativeFrom="paragraph">
              <wp:posOffset>120414</wp:posOffset>
            </wp:positionV>
            <wp:extent cx="58380" cy="72151"/>
            <wp:effectExtent l="0" t="0" r="0" b="0"/>
            <wp:wrapNone/>
            <wp:docPr id="1613" name="image13.png"/>
            <wp:cNvGraphicFramePr>
              <a:graphicFrameLocks noChangeAspect="1"/>
            </wp:cNvGraphicFramePr>
            <a:graphic>
              <a:graphicData uri="http://schemas.openxmlformats.org/drawingml/2006/picture">
                <pic:pic>
                  <pic:nvPicPr>
                    <pic:cNvPr id="161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Disagree</w:t>
      </w:r>
      <w:r>
        <w:rPr>
          <w:spacing w:val="-5"/>
          <w:sz w:val="18"/>
        </w:rPr>
        <w:t> </w:t>
      </w:r>
      <w:r>
        <w:rPr>
          <w:sz w:val="18"/>
        </w:rPr>
        <w:t>(1)</w:t>
      </w:r>
    </w:p>
    <w:p>
      <w:pPr>
        <w:spacing w:line="369" w:lineRule="auto" w:before="120"/>
        <w:ind w:left="1697" w:right="7257" w:firstLine="0"/>
        <w:jc w:val="left"/>
        <w:rPr>
          <w:sz w:val="18"/>
        </w:rPr>
      </w:pPr>
      <w:r>
        <w:rPr/>
        <w:drawing>
          <wp:anchor distT="0" distB="0" distL="0" distR="0" allowOverlap="1" layoutInCell="1" locked="0" behindDoc="0" simplePos="0" relativeHeight="16025600">
            <wp:simplePos x="0" y="0"/>
            <wp:positionH relativeFrom="page">
              <wp:posOffset>1054901</wp:posOffset>
            </wp:positionH>
            <wp:positionV relativeFrom="paragraph">
              <wp:posOffset>120415</wp:posOffset>
            </wp:positionV>
            <wp:extent cx="58380" cy="72151"/>
            <wp:effectExtent l="0" t="0" r="0" b="0"/>
            <wp:wrapNone/>
            <wp:docPr id="1615" name="image13.png"/>
            <wp:cNvGraphicFramePr>
              <a:graphicFrameLocks noChangeAspect="1"/>
            </wp:cNvGraphicFramePr>
            <a:graphic>
              <a:graphicData uri="http://schemas.openxmlformats.org/drawingml/2006/picture">
                <pic:pic>
                  <pic:nvPicPr>
                    <pic:cNvPr id="1616"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026112">
            <wp:simplePos x="0" y="0"/>
            <wp:positionH relativeFrom="page">
              <wp:posOffset>1054901</wp:posOffset>
            </wp:positionH>
            <wp:positionV relativeFrom="paragraph">
              <wp:posOffset>336823</wp:posOffset>
            </wp:positionV>
            <wp:extent cx="58380" cy="72151"/>
            <wp:effectExtent l="0" t="0" r="0" b="0"/>
            <wp:wrapNone/>
            <wp:docPr id="1617" name="image13.png"/>
            <wp:cNvGraphicFramePr>
              <a:graphicFrameLocks noChangeAspect="1"/>
            </wp:cNvGraphicFramePr>
            <a:graphic>
              <a:graphicData uri="http://schemas.openxmlformats.org/drawingml/2006/picture">
                <pic:pic>
                  <pic:nvPicPr>
                    <pic:cNvPr id="1618"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026624">
            <wp:simplePos x="0" y="0"/>
            <wp:positionH relativeFrom="page">
              <wp:posOffset>1054901</wp:posOffset>
            </wp:positionH>
            <wp:positionV relativeFrom="paragraph">
              <wp:posOffset>553231</wp:posOffset>
            </wp:positionV>
            <wp:extent cx="58380" cy="72151"/>
            <wp:effectExtent l="0" t="0" r="0" b="0"/>
            <wp:wrapNone/>
            <wp:docPr id="1619" name="image13.png"/>
            <wp:cNvGraphicFramePr>
              <a:graphicFrameLocks noChangeAspect="1"/>
            </wp:cNvGraphicFramePr>
            <a:graphic>
              <a:graphicData uri="http://schemas.openxmlformats.org/drawingml/2006/picture">
                <pic:pic>
                  <pic:nvPicPr>
                    <pic:cNvPr id="162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 disagree (2)</w:t>
      </w:r>
      <w:r>
        <w:rPr>
          <w:spacing w:val="1"/>
          <w:sz w:val="18"/>
        </w:rPr>
        <w:t> </w:t>
      </w:r>
      <w:r>
        <w:rPr>
          <w:sz w:val="18"/>
        </w:rPr>
        <w:t>Neither agree nor disagree (3)</w:t>
      </w:r>
      <w:r>
        <w:rPr>
          <w:spacing w:val="-48"/>
          <w:sz w:val="18"/>
        </w:rPr>
        <w:t> </w:t>
      </w:r>
      <w:r>
        <w:rPr>
          <w:sz w:val="18"/>
        </w:rPr>
        <w:t>Somewhat</w:t>
      </w:r>
      <w:r>
        <w:rPr>
          <w:spacing w:val="-3"/>
          <w:sz w:val="18"/>
        </w:rPr>
        <w:t> </w:t>
      </w:r>
      <w:r>
        <w:rPr>
          <w:sz w:val="18"/>
        </w:rPr>
        <w:t>agree</w:t>
      </w:r>
      <w:r>
        <w:rPr>
          <w:spacing w:val="3"/>
          <w:sz w:val="18"/>
        </w:rPr>
        <w:t> </w:t>
      </w:r>
      <w:r>
        <w:rPr>
          <w:sz w:val="18"/>
        </w:rPr>
        <w:t>(4)</w:t>
      </w:r>
    </w:p>
    <w:p>
      <w:pPr>
        <w:spacing w:before="3"/>
        <w:ind w:left="1697" w:right="0" w:firstLine="0"/>
        <w:jc w:val="left"/>
        <w:rPr>
          <w:sz w:val="18"/>
        </w:rPr>
      </w:pPr>
      <w:r>
        <w:rPr/>
        <w:drawing>
          <wp:anchor distT="0" distB="0" distL="0" distR="0" allowOverlap="1" layoutInCell="1" locked="0" behindDoc="0" simplePos="0" relativeHeight="16027136">
            <wp:simplePos x="0" y="0"/>
            <wp:positionH relativeFrom="page">
              <wp:posOffset>1054901</wp:posOffset>
            </wp:positionH>
            <wp:positionV relativeFrom="paragraph">
              <wp:posOffset>46119</wp:posOffset>
            </wp:positionV>
            <wp:extent cx="58380" cy="72151"/>
            <wp:effectExtent l="0" t="0" r="0" b="0"/>
            <wp:wrapNone/>
            <wp:docPr id="1621" name="image13.png"/>
            <wp:cNvGraphicFramePr>
              <a:graphicFrameLocks noChangeAspect="1"/>
            </wp:cNvGraphicFramePr>
            <a:graphic>
              <a:graphicData uri="http://schemas.openxmlformats.org/drawingml/2006/picture">
                <pic:pic>
                  <pic:nvPicPr>
                    <pic:cNvPr id="162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Agree (5)</w:t>
      </w:r>
    </w:p>
    <w:p>
      <w:pPr>
        <w:spacing w:before="120"/>
        <w:ind w:left="1697" w:right="0" w:firstLine="0"/>
        <w:jc w:val="left"/>
        <w:rPr>
          <w:sz w:val="18"/>
        </w:rPr>
      </w:pPr>
      <w:r>
        <w:rPr/>
        <w:drawing>
          <wp:anchor distT="0" distB="0" distL="0" distR="0" allowOverlap="1" layoutInCell="1" locked="0" behindDoc="0" simplePos="0" relativeHeight="16027648">
            <wp:simplePos x="0" y="0"/>
            <wp:positionH relativeFrom="page">
              <wp:posOffset>1054901</wp:posOffset>
            </wp:positionH>
            <wp:positionV relativeFrom="paragraph">
              <wp:posOffset>120414</wp:posOffset>
            </wp:positionV>
            <wp:extent cx="58380" cy="72151"/>
            <wp:effectExtent l="0" t="0" r="0" b="0"/>
            <wp:wrapNone/>
            <wp:docPr id="1623" name="image13.png"/>
            <wp:cNvGraphicFramePr>
              <a:graphicFrameLocks noChangeAspect="1"/>
            </wp:cNvGraphicFramePr>
            <a:graphic>
              <a:graphicData uri="http://schemas.openxmlformats.org/drawingml/2006/picture">
                <pic:pic>
                  <pic:nvPicPr>
                    <pic:cNvPr id="162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pStyle w:val="ListParagraph"/>
        <w:numPr>
          <w:ilvl w:val="0"/>
          <w:numId w:val="97"/>
        </w:numPr>
        <w:tabs>
          <w:tab w:pos="919" w:val="left" w:leader="none"/>
        </w:tabs>
        <w:spacing w:line="367" w:lineRule="auto" w:before="120" w:after="0"/>
        <w:ind w:left="1697" w:right="4883" w:hanging="995"/>
        <w:jc w:val="left"/>
        <w:rPr>
          <w:sz w:val="18"/>
        </w:rPr>
      </w:pPr>
      <w:r>
        <w:rPr/>
        <w:drawing>
          <wp:anchor distT="0" distB="0" distL="0" distR="0" allowOverlap="1" layoutInCell="1" locked="0" behindDoc="1" simplePos="0" relativeHeight="476060160">
            <wp:simplePos x="0" y="0"/>
            <wp:positionH relativeFrom="page">
              <wp:posOffset>1054901</wp:posOffset>
            </wp:positionH>
            <wp:positionV relativeFrom="paragraph">
              <wp:posOffset>334917</wp:posOffset>
            </wp:positionV>
            <wp:extent cx="58380" cy="72151"/>
            <wp:effectExtent l="0" t="0" r="0" b="0"/>
            <wp:wrapNone/>
            <wp:docPr id="1625" name="image13.png"/>
            <wp:cNvGraphicFramePr>
              <a:graphicFrameLocks noChangeAspect="1"/>
            </wp:cNvGraphicFramePr>
            <a:graphic>
              <a:graphicData uri="http://schemas.openxmlformats.org/drawingml/2006/picture">
                <pic:pic>
                  <pic:nvPicPr>
                    <pic:cNvPr id="162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…receives information from the specialist about follow-up care. (3)</w:t>
      </w:r>
      <w:r>
        <w:rPr>
          <w:spacing w:val="-47"/>
          <w:sz w:val="18"/>
        </w:rPr>
        <w:t> </w:t>
      </w:r>
      <w:r>
        <w:rPr>
          <w:sz w:val="18"/>
        </w:rPr>
        <w:t>Disagree</w:t>
      </w:r>
      <w:r>
        <w:rPr>
          <w:spacing w:val="-1"/>
          <w:sz w:val="18"/>
        </w:rPr>
        <w:t> </w:t>
      </w:r>
      <w:r>
        <w:rPr>
          <w:sz w:val="18"/>
        </w:rPr>
        <w:t>(1)</w:t>
      </w:r>
    </w:p>
    <w:p>
      <w:pPr>
        <w:spacing w:line="369" w:lineRule="auto" w:before="4"/>
        <w:ind w:left="1697" w:right="7257" w:firstLine="0"/>
        <w:jc w:val="left"/>
        <w:rPr>
          <w:sz w:val="18"/>
        </w:rPr>
      </w:pPr>
      <w:r>
        <w:rPr/>
        <w:drawing>
          <wp:anchor distT="0" distB="0" distL="0" distR="0" allowOverlap="1" layoutInCell="1" locked="0" behindDoc="0" simplePos="0" relativeHeight="16028672">
            <wp:simplePos x="0" y="0"/>
            <wp:positionH relativeFrom="page">
              <wp:posOffset>1054901</wp:posOffset>
            </wp:positionH>
            <wp:positionV relativeFrom="paragraph">
              <wp:posOffset>46373</wp:posOffset>
            </wp:positionV>
            <wp:extent cx="58380" cy="72151"/>
            <wp:effectExtent l="0" t="0" r="0" b="0"/>
            <wp:wrapNone/>
            <wp:docPr id="1627" name="image13.png"/>
            <wp:cNvGraphicFramePr>
              <a:graphicFrameLocks noChangeAspect="1"/>
            </wp:cNvGraphicFramePr>
            <a:graphic>
              <a:graphicData uri="http://schemas.openxmlformats.org/drawingml/2006/picture">
                <pic:pic>
                  <pic:nvPicPr>
                    <pic:cNvPr id="1628"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029184">
            <wp:simplePos x="0" y="0"/>
            <wp:positionH relativeFrom="page">
              <wp:posOffset>1054901</wp:posOffset>
            </wp:positionH>
            <wp:positionV relativeFrom="paragraph">
              <wp:posOffset>262781</wp:posOffset>
            </wp:positionV>
            <wp:extent cx="58380" cy="72151"/>
            <wp:effectExtent l="0" t="0" r="0" b="0"/>
            <wp:wrapNone/>
            <wp:docPr id="1629" name="image13.png"/>
            <wp:cNvGraphicFramePr>
              <a:graphicFrameLocks noChangeAspect="1"/>
            </wp:cNvGraphicFramePr>
            <a:graphic>
              <a:graphicData uri="http://schemas.openxmlformats.org/drawingml/2006/picture">
                <pic:pic>
                  <pic:nvPicPr>
                    <pic:cNvPr id="1630"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029696">
            <wp:simplePos x="0" y="0"/>
            <wp:positionH relativeFrom="page">
              <wp:posOffset>1054901</wp:posOffset>
            </wp:positionH>
            <wp:positionV relativeFrom="paragraph">
              <wp:posOffset>479189</wp:posOffset>
            </wp:positionV>
            <wp:extent cx="58380" cy="72151"/>
            <wp:effectExtent l="0" t="0" r="0" b="0"/>
            <wp:wrapNone/>
            <wp:docPr id="1631" name="image13.png"/>
            <wp:cNvGraphicFramePr>
              <a:graphicFrameLocks noChangeAspect="1"/>
            </wp:cNvGraphicFramePr>
            <a:graphic>
              <a:graphicData uri="http://schemas.openxmlformats.org/drawingml/2006/picture">
                <pic:pic>
                  <pic:nvPicPr>
                    <pic:cNvPr id="163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 disagree (2)</w:t>
      </w:r>
      <w:r>
        <w:rPr>
          <w:spacing w:val="1"/>
          <w:sz w:val="18"/>
        </w:rPr>
        <w:t> </w:t>
      </w:r>
      <w:r>
        <w:rPr>
          <w:sz w:val="18"/>
        </w:rPr>
        <w:t>Neither agree nor disagree (3)</w:t>
      </w:r>
      <w:r>
        <w:rPr>
          <w:spacing w:val="-48"/>
          <w:sz w:val="18"/>
        </w:rPr>
        <w:t> </w:t>
      </w:r>
      <w:r>
        <w:rPr>
          <w:sz w:val="18"/>
        </w:rPr>
        <w:t>Somewhat</w:t>
      </w:r>
      <w:r>
        <w:rPr>
          <w:spacing w:val="-3"/>
          <w:sz w:val="18"/>
        </w:rPr>
        <w:t> </w:t>
      </w:r>
      <w:r>
        <w:rPr>
          <w:sz w:val="18"/>
        </w:rPr>
        <w:t>agree</w:t>
      </w:r>
      <w:r>
        <w:rPr>
          <w:spacing w:val="3"/>
          <w:sz w:val="18"/>
        </w:rPr>
        <w:t> </w:t>
      </w:r>
      <w:r>
        <w:rPr>
          <w:sz w:val="18"/>
        </w:rPr>
        <w:t>(4)</w:t>
      </w:r>
    </w:p>
    <w:p>
      <w:pPr>
        <w:spacing w:before="3"/>
        <w:ind w:left="1697" w:right="0" w:firstLine="0"/>
        <w:jc w:val="left"/>
        <w:rPr>
          <w:sz w:val="18"/>
        </w:rPr>
      </w:pPr>
      <w:r>
        <w:rPr/>
        <w:drawing>
          <wp:anchor distT="0" distB="0" distL="0" distR="0" allowOverlap="1" layoutInCell="1" locked="0" behindDoc="0" simplePos="0" relativeHeight="16030208">
            <wp:simplePos x="0" y="0"/>
            <wp:positionH relativeFrom="page">
              <wp:posOffset>1054901</wp:posOffset>
            </wp:positionH>
            <wp:positionV relativeFrom="paragraph">
              <wp:posOffset>45738</wp:posOffset>
            </wp:positionV>
            <wp:extent cx="58380" cy="72151"/>
            <wp:effectExtent l="0" t="0" r="0" b="0"/>
            <wp:wrapNone/>
            <wp:docPr id="1633" name="image13.png"/>
            <wp:cNvGraphicFramePr>
              <a:graphicFrameLocks noChangeAspect="1"/>
            </wp:cNvGraphicFramePr>
            <a:graphic>
              <a:graphicData uri="http://schemas.openxmlformats.org/drawingml/2006/picture">
                <pic:pic>
                  <pic:nvPicPr>
                    <pic:cNvPr id="163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Agree (5)</w:t>
      </w:r>
    </w:p>
    <w:p>
      <w:pPr>
        <w:spacing w:before="120"/>
        <w:ind w:left="1697" w:right="0" w:firstLine="0"/>
        <w:jc w:val="left"/>
        <w:rPr>
          <w:sz w:val="18"/>
        </w:rPr>
      </w:pPr>
      <w:r>
        <w:rPr/>
        <w:drawing>
          <wp:anchor distT="0" distB="0" distL="0" distR="0" allowOverlap="1" layoutInCell="1" locked="0" behindDoc="0" simplePos="0" relativeHeight="16030720">
            <wp:simplePos x="0" y="0"/>
            <wp:positionH relativeFrom="page">
              <wp:posOffset>1056425</wp:posOffset>
            </wp:positionH>
            <wp:positionV relativeFrom="paragraph">
              <wp:posOffset>120033</wp:posOffset>
            </wp:positionV>
            <wp:extent cx="58380" cy="72151"/>
            <wp:effectExtent l="0" t="0" r="0" b="0"/>
            <wp:wrapNone/>
            <wp:docPr id="1635" name="image13.png"/>
            <wp:cNvGraphicFramePr>
              <a:graphicFrameLocks noChangeAspect="1"/>
            </wp:cNvGraphicFramePr>
            <a:graphic>
              <a:graphicData uri="http://schemas.openxmlformats.org/drawingml/2006/picture">
                <pic:pic>
                  <pic:nvPicPr>
                    <pic:cNvPr id="163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spacing w:after="0"/>
        <w:jc w:val="left"/>
        <w:rPr>
          <w:sz w:val="18"/>
        </w:rPr>
        <w:sectPr>
          <w:pgSz w:w="11910" w:h="16840"/>
          <w:pgMar w:header="0" w:footer="916" w:top="860" w:bottom="1140" w:left="300" w:right="0"/>
        </w:sectPr>
      </w:pPr>
    </w:p>
    <w:p>
      <w:pPr>
        <w:spacing w:before="85"/>
        <w:ind w:left="532" w:right="0" w:firstLine="0"/>
        <w:jc w:val="left"/>
        <w:rPr>
          <w:b/>
          <w:sz w:val="18"/>
        </w:rPr>
      </w:pPr>
      <w:r>
        <w:rPr/>
        <w:pict>
          <v:shape style="position:absolute;margin-left:36pt;margin-top:47.759945pt;width:523.4500pt;height:727.7pt;mso-position-horizontal-relative:page;mso-position-vertical-relative:page;z-index:-27249664" id="docshape199" coordorigin="720,955" coordsize="10469,14554" path="m11188,15499l11179,15499,730,15499,720,15499,720,15509,730,15509,11179,15509,11188,15509,11188,15499xm11188,955l11179,955,730,955,720,955,720,965,720,15499,730,15499,730,965,11179,965,11179,15499,11188,15499,11188,965,11188,955xe" filled="true" fillcolor="#bebebe" stroked="false">
            <v:path arrowok="t"/>
            <v:fill type="solid"/>
            <w10:wrap type="none"/>
          </v:shape>
        </w:pict>
      </w:r>
      <w:r>
        <w:rPr>
          <w:b/>
          <w:sz w:val="18"/>
        </w:rPr>
        <w:t>Round</w:t>
      </w:r>
      <w:r>
        <w:rPr>
          <w:b/>
          <w:spacing w:val="-1"/>
          <w:sz w:val="18"/>
        </w:rPr>
        <w:t> </w:t>
      </w:r>
      <w:r>
        <w:rPr>
          <w:b/>
          <w:sz w:val="18"/>
        </w:rPr>
        <w:t>5</w:t>
      </w:r>
      <w:r>
        <w:rPr>
          <w:b/>
          <w:spacing w:val="-2"/>
          <w:sz w:val="18"/>
        </w:rPr>
        <w:t> </w:t>
      </w:r>
      <w:r>
        <w:rPr>
          <w:b/>
          <w:sz w:val="18"/>
        </w:rPr>
        <w:t>only</w:t>
      </w:r>
    </w:p>
    <w:p>
      <w:pPr>
        <w:pStyle w:val="BodyText"/>
        <w:spacing w:before="2"/>
        <w:rPr>
          <w:b/>
          <w:sz w:val="16"/>
        </w:rPr>
      </w:pPr>
      <w:r>
        <w:rPr/>
        <w:pict>
          <v:shape style="position:absolute;margin-left:40.200001pt;margin-top:11.111332pt;width:515.0500pt;height:35.450pt;mso-position-horizontal-relative:page;mso-position-vertical-relative:paragraph;z-index:-15426048;mso-wrap-distance-left:0;mso-wrap-distance-right:0" type="#_x0000_t202" id="docshape200" filled="true" fillcolor="#6897ba" stroked="false">
            <v:textbox inset="0,0,0,0">
              <w:txbxContent>
                <w:p>
                  <w:pPr>
                    <w:spacing w:line="220" w:lineRule="exact" w:before="0"/>
                    <w:ind w:left="28" w:right="0" w:firstLine="0"/>
                    <w:jc w:val="left"/>
                    <w:rPr>
                      <w:i/>
                      <w:color w:val="000000"/>
                      <w:sz w:val="18"/>
                    </w:rPr>
                  </w:pPr>
                  <w:r>
                    <w:rPr>
                      <w:i/>
                      <w:color w:val="FFFFFF"/>
                      <w:sz w:val="18"/>
                    </w:rPr>
                    <w:t>Display</w:t>
                  </w:r>
                  <w:r>
                    <w:rPr>
                      <w:i/>
                      <w:color w:val="FFFFFF"/>
                      <w:spacing w:val="-6"/>
                      <w:sz w:val="18"/>
                    </w:rPr>
                    <w:t> </w:t>
                  </w:r>
                  <w:r>
                    <w:rPr>
                      <w:i/>
                      <w:color w:val="FFFFFF"/>
                      <w:sz w:val="18"/>
                    </w:rPr>
                    <w:t>this</w:t>
                  </w:r>
                  <w:r>
                    <w:rPr>
                      <w:i/>
                      <w:color w:val="FFFFFF"/>
                      <w:spacing w:val="-5"/>
                      <w:sz w:val="18"/>
                    </w:rPr>
                    <w:t> </w:t>
                  </w:r>
                  <w:r>
                    <w:rPr>
                      <w:i/>
                      <w:color w:val="FFFFFF"/>
                      <w:sz w:val="18"/>
                    </w:rPr>
                    <w:t>question:</w:t>
                  </w:r>
                </w:p>
                <w:p>
                  <w:pPr>
                    <w:pStyle w:val="BodyText"/>
                    <w:rPr>
                      <w:i/>
                      <w:color w:val="000000"/>
                      <w:sz w:val="19"/>
                    </w:rPr>
                  </w:pPr>
                </w:p>
                <w:p>
                  <w:pPr>
                    <w:spacing w:before="0"/>
                    <w:ind w:left="429" w:right="0" w:firstLine="0"/>
                    <w:jc w:val="left"/>
                    <w:rPr>
                      <w:i/>
                      <w:color w:val="000000"/>
                      <w:sz w:val="18"/>
                    </w:rPr>
                  </w:pPr>
                  <w:r>
                    <w:rPr>
                      <w:i/>
                      <w:color w:val="FFFFFF"/>
                      <w:sz w:val="18"/>
                    </w:rPr>
                    <w:t>If</w:t>
                  </w:r>
                  <w:r>
                    <w:rPr>
                      <w:i/>
                      <w:color w:val="FFFFFF"/>
                      <w:spacing w:val="-1"/>
                      <w:sz w:val="18"/>
                    </w:rPr>
                    <w:t> </w:t>
                  </w:r>
                  <w:r>
                    <w:rPr>
                      <w:i/>
                      <w:color w:val="FFFFFF"/>
                      <w:sz w:val="18"/>
                    </w:rPr>
                    <w:t>1.</w:t>
                  </w:r>
                  <w:r>
                    <w:rPr>
                      <w:i/>
                      <w:color w:val="FFFFFF"/>
                      <w:spacing w:val="-3"/>
                      <w:sz w:val="18"/>
                    </w:rPr>
                    <w:t> </w:t>
                  </w:r>
                  <w:r>
                    <w:rPr>
                      <w:i/>
                      <w:color w:val="FFFFFF"/>
                      <w:sz w:val="18"/>
                    </w:rPr>
                    <w:t>What</w:t>
                  </w:r>
                  <w:r>
                    <w:rPr>
                      <w:i/>
                      <w:color w:val="FFFFFF"/>
                      <w:spacing w:val="1"/>
                      <w:sz w:val="18"/>
                    </w:rPr>
                    <w:t> </w:t>
                  </w:r>
                  <w:r>
                    <w:rPr>
                      <w:i/>
                      <w:color w:val="FFFFFF"/>
                      <w:sz w:val="18"/>
                    </w:rPr>
                    <w:t>is</w:t>
                  </w:r>
                  <w:r>
                    <w:rPr>
                      <w:i/>
                      <w:color w:val="FFFFFF"/>
                      <w:spacing w:val="-4"/>
                      <w:sz w:val="18"/>
                    </w:rPr>
                    <w:t> </w:t>
                  </w:r>
                  <w:r>
                    <w:rPr>
                      <w:i/>
                      <w:color w:val="FFFFFF"/>
                      <w:sz w:val="18"/>
                    </w:rPr>
                    <w:t>your</w:t>
                  </w:r>
                  <w:r>
                    <w:rPr>
                      <w:i/>
                      <w:color w:val="FFFFFF"/>
                      <w:spacing w:val="-3"/>
                      <w:sz w:val="18"/>
                    </w:rPr>
                    <w:t> </w:t>
                  </w:r>
                  <w:r>
                    <w:rPr>
                      <w:i/>
                      <w:color w:val="FFFFFF"/>
                      <w:sz w:val="18"/>
                    </w:rPr>
                    <w:t>role</w:t>
                  </w:r>
                  <w:r>
                    <w:rPr>
                      <w:i/>
                      <w:color w:val="FFFFFF"/>
                      <w:spacing w:val="-1"/>
                      <w:sz w:val="18"/>
                    </w:rPr>
                    <w:t> </w:t>
                  </w:r>
                  <w:r>
                    <w:rPr>
                      <w:i/>
                      <w:color w:val="FFFFFF"/>
                      <w:sz w:val="18"/>
                    </w:rPr>
                    <w:t>in</w:t>
                  </w:r>
                  <w:r>
                    <w:rPr>
                      <w:i/>
                      <w:color w:val="FFFFFF"/>
                      <w:spacing w:val="-6"/>
                      <w:sz w:val="18"/>
                    </w:rPr>
                    <w:t> </w:t>
                  </w:r>
                  <w:r>
                    <w:rPr>
                      <w:i/>
                      <w:color w:val="FFFFFF"/>
                      <w:sz w:val="18"/>
                    </w:rPr>
                    <w:t>the</w:t>
                  </w:r>
                  <w:r>
                    <w:rPr>
                      <w:i/>
                      <w:color w:val="FFFFFF"/>
                      <w:spacing w:val="-3"/>
                      <w:sz w:val="18"/>
                    </w:rPr>
                    <w:t> </w:t>
                  </w:r>
                  <w:r>
                    <w:rPr>
                      <w:i/>
                      <w:color w:val="FFFFFF"/>
                      <w:sz w:val="18"/>
                    </w:rPr>
                    <w:t>practice/</w:t>
                  </w:r>
                  <w:r>
                    <w:rPr>
                      <w:i/>
                      <w:color w:val="FFFFFF"/>
                      <w:spacing w:val="-2"/>
                      <w:sz w:val="18"/>
                    </w:rPr>
                    <w:t> </w:t>
                  </w:r>
                  <w:r>
                    <w:rPr>
                      <w:i/>
                      <w:color w:val="FFFFFF"/>
                      <w:sz w:val="18"/>
                    </w:rPr>
                    <w:t>service?</w:t>
                  </w:r>
                  <w:r>
                    <w:rPr>
                      <w:i/>
                      <w:color w:val="FFFFFF"/>
                      <w:spacing w:val="-2"/>
                      <w:sz w:val="18"/>
                    </w:rPr>
                    <w:t> </w:t>
                  </w:r>
                  <w:r>
                    <w:rPr>
                      <w:i/>
                      <w:color w:val="FFFFFF"/>
                      <w:sz w:val="18"/>
                    </w:rPr>
                    <w:t>=</w:t>
                  </w:r>
                  <w:r>
                    <w:rPr>
                      <w:i/>
                      <w:color w:val="FFFFFF"/>
                      <w:spacing w:val="-3"/>
                      <w:sz w:val="18"/>
                    </w:rPr>
                    <w:t> </w:t>
                  </w:r>
                  <w:r>
                    <w:rPr>
                      <w:i/>
                      <w:color w:val="FFFFFF"/>
                      <w:sz w:val="18"/>
                    </w:rPr>
                    <w:t>GP</w:t>
                  </w:r>
                </w:p>
              </w:txbxContent>
            </v:textbox>
            <v:fill type="solid"/>
            <w10:wrap type="topAndBottom"/>
          </v:shape>
        </w:pict>
      </w:r>
    </w:p>
    <w:p>
      <w:pPr>
        <w:pStyle w:val="BodyText"/>
        <w:rPr>
          <w:b/>
          <w:sz w:val="8"/>
        </w:rPr>
      </w:pPr>
    </w:p>
    <w:p>
      <w:pPr>
        <w:tabs>
          <w:tab w:pos="1269" w:val="left" w:leader="none"/>
        </w:tabs>
        <w:spacing w:before="100"/>
        <w:ind w:left="1265" w:right="870" w:hanging="733"/>
        <w:jc w:val="left"/>
        <w:rPr>
          <w:sz w:val="18"/>
        </w:rPr>
      </w:pPr>
      <w:r>
        <w:rPr>
          <w:sz w:val="18"/>
        </w:rPr>
        <w:t>16A.</w:t>
        <w:tab/>
        <w:tab/>
        <w:t>Approximately how many HCH patients that you are responsible for have you referred to a community</w:t>
      </w:r>
      <w:r>
        <w:rPr>
          <w:spacing w:val="1"/>
          <w:sz w:val="18"/>
        </w:rPr>
        <w:t> </w:t>
      </w:r>
      <w:r>
        <w:rPr>
          <w:sz w:val="18"/>
        </w:rPr>
        <w:t>pharmacist as part of the HCH trial (i.e. for a medication reconciliation and a medication management plan</w:t>
      </w:r>
      <w:r>
        <w:rPr>
          <w:spacing w:val="-47"/>
          <w:sz w:val="18"/>
        </w:rPr>
        <w:t> </w:t>
      </w:r>
      <w:r>
        <w:rPr>
          <w:sz w:val="18"/>
        </w:rPr>
        <w:t>or</w:t>
      </w:r>
      <w:r>
        <w:rPr>
          <w:spacing w:val="-1"/>
          <w:sz w:val="18"/>
        </w:rPr>
        <w:t> </w:t>
      </w:r>
      <w:r>
        <w:rPr>
          <w:sz w:val="18"/>
        </w:rPr>
        <w:t>other support)?</w:t>
      </w:r>
    </w:p>
    <w:p>
      <w:pPr>
        <w:pStyle w:val="ListParagraph"/>
        <w:numPr>
          <w:ilvl w:val="1"/>
          <w:numId w:val="97"/>
        </w:numPr>
        <w:tabs>
          <w:tab w:pos="1458" w:val="left" w:leader="none"/>
        </w:tabs>
        <w:spacing w:line="240" w:lineRule="auto" w:before="120" w:after="0"/>
        <w:ind w:left="1457" w:right="0" w:hanging="205"/>
        <w:jc w:val="left"/>
        <w:rPr>
          <w:sz w:val="18"/>
        </w:rPr>
      </w:pPr>
      <w:r>
        <w:rPr>
          <w:sz w:val="18"/>
        </w:rPr>
        <w:t>All/majority</w:t>
      </w:r>
      <w:r>
        <w:rPr>
          <w:spacing w:val="-4"/>
          <w:sz w:val="18"/>
        </w:rPr>
        <w:t> </w:t>
      </w:r>
      <w:r>
        <w:rPr>
          <w:sz w:val="18"/>
        </w:rPr>
        <w:t>of</w:t>
      </w:r>
      <w:r>
        <w:rPr>
          <w:spacing w:val="-4"/>
          <w:sz w:val="18"/>
        </w:rPr>
        <w:t> </w:t>
      </w:r>
      <w:r>
        <w:rPr>
          <w:sz w:val="18"/>
        </w:rPr>
        <w:t>HCH</w:t>
      </w:r>
      <w:r>
        <w:rPr>
          <w:spacing w:val="-4"/>
          <w:sz w:val="18"/>
        </w:rPr>
        <w:t> </w:t>
      </w:r>
      <w:r>
        <w:rPr>
          <w:sz w:val="18"/>
        </w:rPr>
        <w:t>patients</w:t>
      </w:r>
      <w:r>
        <w:rPr>
          <w:spacing w:val="-2"/>
          <w:sz w:val="18"/>
        </w:rPr>
        <w:t> </w:t>
      </w:r>
      <w:r>
        <w:rPr>
          <w:sz w:val="18"/>
        </w:rPr>
        <w:t>(80-100%)</w:t>
      </w:r>
    </w:p>
    <w:p>
      <w:pPr>
        <w:pStyle w:val="ListParagraph"/>
        <w:numPr>
          <w:ilvl w:val="1"/>
          <w:numId w:val="97"/>
        </w:numPr>
        <w:tabs>
          <w:tab w:pos="1453" w:val="left" w:leader="none"/>
        </w:tabs>
        <w:spacing w:line="240" w:lineRule="auto" w:before="0" w:after="0"/>
        <w:ind w:left="1452" w:right="0" w:hanging="200"/>
        <w:jc w:val="left"/>
        <w:rPr>
          <w:sz w:val="18"/>
        </w:rPr>
      </w:pPr>
      <w:r>
        <w:rPr>
          <w:sz w:val="18"/>
        </w:rPr>
        <w:t>Most</w:t>
      </w:r>
      <w:r>
        <w:rPr>
          <w:spacing w:val="-4"/>
          <w:sz w:val="18"/>
        </w:rPr>
        <w:t> </w:t>
      </w:r>
      <w:r>
        <w:rPr>
          <w:sz w:val="18"/>
        </w:rPr>
        <w:t>HCH</w:t>
      </w:r>
      <w:r>
        <w:rPr>
          <w:spacing w:val="-2"/>
          <w:sz w:val="18"/>
        </w:rPr>
        <w:t> </w:t>
      </w:r>
      <w:r>
        <w:rPr>
          <w:sz w:val="18"/>
        </w:rPr>
        <w:t>patients (50-79%)</w:t>
      </w:r>
    </w:p>
    <w:p>
      <w:pPr>
        <w:pStyle w:val="ListParagraph"/>
        <w:numPr>
          <w:ilvl w:val="1"/>
          <w:numId w:val="97"/>
        </w:numPr>
        <w:tabs>
          <w:tab w:pos="1453" w:val="left" w:leader="none"/>
        </w:tabs>
        <w:spacing w:line="240" w:lineRule="auto" w:before="0" w:after="0"/>
        <w:ind w:left="1452" w:right="0" w:hanging="200"/>
        <w:jc w:val="left"/>
        <w:rPr>
          <w:sz w:val="18"/>
        </w:rPr>
      </w:pPr>
      <w:r>
        <w:rPr>
          <w:sz w:val="18"/>
        </w:rPr>
        <w:t>Some</w:t>
      </w:r>
      <w:r>
        <w:rPr>
          <w:spacing w:val="-2"/>
          <w:sz w:val="18"/>
        </w:rPr>
        <w:t> </w:t>
      </w:r>
      <w:r>
        <w:rPr>
          <w:sz w:val="18"/>
        </w:rPr>
        <w:t>HCH</w:t>
      </w:r>
      <w:r>
        <w:rPr>
          <w:spacing w:val="-3"/>
          <w:sz w:val="18"/>
        </w:rPr>
        <w:t> </w:t>
      </w:r>
      <w:r>
        <w:rPr>
          <w:sz w:val="18"/>
        </w:rPr>
        <w:t>patients</w:t>
      </w:r>
      <w:r>
        <w:rPr>
          <w:spacing w:val="1"/>
          <w:sz w:val="18"/>
        </w:rPr>
        <w:t> </w:t>
      </w:r>
      <w:r>
        <w:rPr>
          <w:sz w:val="18"/>
        </w:rPr>
        <w:t>(20-49%)</w:t>
      </w:r>
    </w:p>
    <w:p>
      <w:pPr>
        <w:pStyle w:val="ListParagraph"/>
        <w:numPr>
          <w:ilvl w:val="1"/>
          <w:numId w:val="97"/>
        </w:numPr>
        <w:tabs>
          <w:tab w:pos="1453" w:val="left" w:leader="none"/>
        </w:tabs>
        <w:spacing w:line="240" w:lineRule="auto" w:before="0" w:after="0"/>
        <w:ind w:left="1452" w:right="0" w:hanging="200"/>
        <w:jc w:val="left"/>
        <w:rPr>
          <w:sz w:val="18"/>
        </w:rPr>
      </w:pPr>
      <w:r>
        <w:rPr>
          <w:sz w:val="18"/>
        </w:rPr>
        <w:t>No/very</w:t>
      </w:r>
      <w:r>
        <w:rPr>
          <w:spacing w:val="-3"/>
          <w:sz w:val="18"/>
        </w:rPr>
        <w:t> </w:t>
      </w:r>
      <w:r>
        <w:rPr>
          <w:sz w:val="18"/>
        </w:rPr>
        <w:t>few</w:t>
      </w:r>
      <w:r>
        <w:rPr>
          <w:spacing w:val="-3"/>
          <w:sz w:val="18"/>
        </w:rPr>
        <w:t> </w:t>
      </w:r>
      <w:r>
        <w:rPr>
          <w:sz w:val="18"/>
        </w:rPr>
        <w:t>HCH</w:t>
      </w:r>
      <w:r>
        <w:rPr>
          <w:spacing w:val="-3"/>
          <w:sz w:val="18"/>
        </w:rPr>
        <w:t> </w:t>
      </w:r>
      <w:r>
        <w:rPr>
          <w:sz w:val="18"/>
        </w:rPr>
        <w:t>patients</w:t>
      </w:r>
      <w:r>
        <w:rPr>
          <w:spacing w:val="1"/>
          <w:sz w:val="18"/>
        </w:rPr>
        <w:t> </w:t>
      </w:r>
      <w:r>
        <w:rPr>
          <w:sz w:val="18"/>
        </w:rPr>
        <w:t>(Less</w:t>
      </w:r>
      <w:r>
        <w:rPr>
          <w:spacing w:val="-2"/>
          <w:sz w:val="18"/>
        </w:rPr>
        <w:t> </w:t>
      </w:r>
      <w:r>
        <w:rPr>
          <w:sz w:val="18"/>
        </w:rPr>
        <w:t>than</w:t>
      </w:r>
      <w:r>
        <w:rPr>
          <w:spacing w:val="-2"/>
          <w:sz w:val="18"/>
        </w:rPr>
        <w:t> </w:t>
      </w:r>
      <w:r>
        <w:rPr>
          <w:sz w:val="18"/>
        </w:rPr>
        <w:t>20%)</w:t>
      </w:r>
    </w:p>
    <w:p>
      <w:pPr>
        <w:pStyle w:val="BodyText"/>
        <w:spacing w:before="5"/>
        <w:rPr>
          <w:sz w:val="14"/>
        </w:rPr>
      </w:pPr>
      <w:r>
        <w:rPr/>
        <w:pict>
          <v:shape style="position:absolute;margin-left:40.200001pt;margin-top:10.053027pt;width:515.0500pt;height:25.45pt;mso-position-horizontal-relative:page;mso-position-vertical-relative:paragraph;z-index:-15425536;mso-wrap-distance-left:0;mso-wrap-distance-right:0" type="#_x0000_t202" id="docshape201" filled="true" fillcolor="#6897ba" stroked="false">
            <v:textbox inset="0,0,0,0">
              <w:txbxContent>
                <w:p>
                  <w:pPr>
                    <w:spacing w:line="276" w:lineRule="auto" w:before="0"/>
                    <w:ind w:left="28" w:right="7791" w:firstLine="0"/>
                    <w:jc w:val="left"/>
                    <w:rPr>
                      <w:i/>
                      <w:color w:val="000000"/>
                      <w:sz w:val="18"/>
                    </w:rPr>
                  </w:pPr>
                  <w:r>
                    <w:rPr>
                      <w:i/>
                      <w:color w:val="FFFFFF"/>
                      <w:sz w:val="18"/>
                    </w:rPr>
                    <w:t>Skip</w:t>
                  </w:r>
                  <w:r>
                    <w:rPr>
                      <w:i/>
                      <w:color w:val="FFFFFF"/>
                      <w:spacing w:val="-4"/>
                      <w:sz w:val="18"/>
                    </w:rPr>
                    <w:t> </w:t>
                  </w:r>
                  <w:r>
                    <w:rPr>
                      <w:i/>
                      <w:color w:val="FFFFFF"/>
                      <w:sz w:val="18"/>
                    </w:rPr>
                    <w:t>to</w:t>
                  </w:r>
                  <w:r>
                    <w:rPr>
                      <w:i/>
                      <w:color w:val="FFFFFF"/>
                      <w:spacing w:val="-1"/>
                      <w:sz w:val="18"/>
                    </w:rPr>
                    <w:t> </w:t>
                  </w:r>
                  <w:r>
                    <w:rPr>
                      <w:i/>
                      <w:color w:val="FFFFFF"/>
                      <w:sz w:val="18"/>
                    </w:rPr>
                    <w:t>question</w:t>
                  </w:r>
                  <w:r>
                    <w:rPr>
                      <w:i/>
                      <w:color w:val="FFFFFF"/>
                      <w:spacing w:val="-3"/>
                      <w:sz w:val="18"/>
                    </w:rPr>
                    <w:t> </w:t>
                  </w:r>
                  <w:r>
                    <w:rPr>
                      <w:i/>
                      <w:color w:val="FFFFFF"/>
                      <w:sz w:val="18"/>
                    </w:rPr>
                    <w:t>16C:</w:t>
                  </w:r>
                  <w:r>
                    <w:rPr>
                      <w:i/>
                      <w:color w:val="FFFFFF"/>
                      <w:spacing w:val="-3"/>
                      <w:sz w:val="18"/>
                    </w:rPr>
                    <w:t> </w:t>
                  </w:r>
                  <w:r>
                    <w:rPr>
                      <w:i/>
                      <w:color w:val="FFFFFF"/>
                      <w:sz w:val="18"/>
                    </w:rPr>
                    <w:t>If 1 or</w:t>
                  </w:r>
                  <w:r>
                    <w:rPr>
                      <w:i/>
                      <w:color w:val="FFFFFF"/>
                      <w:spacing w:val="-2"/>
                      <w:sz w:val="18"/>
                    </w:rPr>
                    <w:t> </w:t>
                  </w:r>
                  <w:r>
                    <w:rPr>
                      <w:i/>
                      <w:color w:val="FFFFFF"/>
                      <w:sz w:val="18"/>
                    </w:rPr>
                    <w:t>2</w:t>
                  </w:r>
                  <w:r>
                    <w:rPr>
                      <w:i/>
                      <w:color w:val="FFFFFF"/>
                      <w:spacing w:val="-47"/>
                      <w:sz w:val="18"/>
                    </w:rPr>
                    <w:t> </w:t>
                  </w:r>
                  <w:r>
                    <w:rPr>
                      <w:i/>
                      <w:color w:val="FFFFFF"/>
                      <w:sz w:val="18"/>
                    </w:rPr>
                    <w:t>Display</w:t>
                  </w:r>
                  <w:r>
                    <w:rPr>
                      <w:i/>
                      <w:color w:val="FFFFFF"/>
                      <w:spacing w:val="-5"/>
                      <w:sz w:val="18"/>
                    </w:rPr>
                    <w:t> </w:t>
                  </w:r>
                  <w:r>
                    <w:rPr>
                      <w:i/>
                      <w:color w:val="FFFFFF"/>
                      <w:sz w:val="18"/>
                    </w:rPr>
                    <w:t>this</w:t>
                  </w:r>
                  <w:r>
                    <w:rPr>
                      <w:i/>
                      <w:color w:val="FFFFFF"/>
                      <w:spacing w:val="-4"/>
                      <w:sz w:val="18"/>
                    </w:rPr>
                    <w:t> </w:t>
                  </w:r>
                  <w:r>
                    <w:rPr>
                      <w:i/>
                      <w:color w:val="FFFFFF"/>
                      <w:sz w:val="18"/>
                    </w:rPr>
                    <w:t>question:</w:t>
                  </w:r>
                  <w:r>
                    <w:rPr>
                      <w:i/>
                      <w:color w:val="FFFFFF"/>
                      <w:spacing w:val="-3"/>
                      <w:sz w:val="18"/>
                    </w:rPr>
                    <w:t> </w:t>
                  </w:r>
                  <w:r>
                    <w:rPr>
                      <w:i/>
                      <w:color w:val="FFFFFF"/>
                      <w:sz w:val="18"/>
                    </w:rPr>
                    <w:t>If</w:t>
                  </w:r>
                  <w:r>
                    <w:rPr>
                      <w:i/>
                      <w:color w:val="FFFFFF"/>
                      <w:spacing w:val="1"/>
                      <w:sz w:val="18"/>
                    </w:rPr>
                    <w:t> </w:t>
                  </w:r>
                  <w:r>
                    <w:rPr>
                      <w:i/>
                      <w:color w:val="FFFFFF"/>
                      <w:sz w:val="18"/>
                    </w:rPr>
                    <w:t>3</w:t>
                  </w:r>
                  <w:r>
                    <w:rPr>
                      <w:i/>
                      <w:color w:val="FFFFFF"/>
                      <w:spacing w:val="-2"/>
                      <w:sz w:val="18"/>
                    </w:rPr>
                    <w:t> </w:t>
                  </w:r>
                  <w:r>
                    <w:rPr>
                      <w:i/>
                      <w:color w:val="FFFFFF"/>
                      <w:sz w:val="18"/>
                    </w:rPr>
                    <w:t>or</w:t>
                  </w:r>
                  <w:r>
                    <w:rPr>
                      <w:i/>
                      <w:color w:val="FFFFFF"/>
                      <w:spacing w:val="-3"/>
                      <w:sz w:val="18"/>
                    </w:rPr>
                    <w:t> </w:t>
                  </w:r>
                  <w:r>
                    <w:rPr>
                      <w:i/>
                      <w:color w:val="FFFFFF"/>
                      <w:sz w:val="18"/>
                    </w:rPr>
                    <w:t>4</w:t>
                  </w:r>
                </w:p>
              </w:txbxContent>
            </v:textbox>
            <v:fill type="solid"/>
            <w10:wrap type="topAndBottom"/>
          </v:shape>
        </w:pict>
      </w:r>
    </w:p>
    <w:p>
      <w:pPr>
        <w:pStyle w:val="BodyText"/>
        <w:rPr>
          <w:sz w:val="8"/>
        </w:rPr>
      </w:pPr>
    </w:p>
    <w:p>
      <w:pPr>
        <w:tabs>
          <w:tab w:pos="1238" w:val="left" w:leader="none"/>
        </w:tabs>
        <w:spacing w:before="100"/>
        <w:ind w:left="1265" w:right="972" w:hanging="733"/>
        <w:jc w:val="left"/>
        <w:rPr>
          <w:sz w:val="18"/>
        </w:rPr>
      </w:pPr>
      <w:r>
        <w:rPr>
          <w:sz w:val="18"/>
        </w:rPr>
        <w:t>16B.</w:t>
        <w:tab/>
        <w:t>What are the key reasons that you have not referred more HCH patients to a community pharmacist as part</w:t>
      </w:r>
      <w:r>
        <w:rPr>
          <w:spacing w:val="-47"/>
          <w:sz w:val="18"/>
        </w:rPr>
        <w:t> </w:t>
      </w:r>
      <w:r>
        <w:rPr>
          <w:sz w:val="18"/>
        </w:rPr>
        <w:t>of</w:t>
      </w:r>
      <w:r>
        <w:rPr>
          <w:spacing w:val="-1"/>
          <w:sz w:val="18"/>
        </w:rPr>
        <w:t> </w:t>
      </w:r>
      <w:r>
        <w:rPr>
          <w:sz w:val="18"/>
        </w:rPr>
        <w:t>the HCH</w:t>
      </w:r>
      <w:r>
        <w:rPr>
          <w:spacing w:val="-1"/>
          <w:sz w:val="18"/>
        </w:rPr>
        <w:t> </w:t>
      </w:r>
      <w:r>
        <w:rPr>
          <w:sz w:val="18"/>
        </w:rPr>
        <w:t>trial?</w:t>
      </w:r>
    </w:p>
    <w:p>
      <w:pPr>
        <w:pStyle w:val="BodyText"/>
      </w:pPr>
    </w:p>
    <w:p>
      <w:pPr>
        <w:pStyle w:val="BodyText"/>
        <w:spacing w:before="6"/>
        <w:rPr>
          <w:sz w:val="19"/>
        </w:rPr>
      </w:pPr>
      <w:r>
        <w:rPr/>
        <w:pict>
          <v:rect style="position:absolute;margin-left:40.200001pt;margin-top:13.155615pt;width:515.02pt;height:.48001pt;mso-position-horizontal-relative:page;mso-position-vertical-relative:paragraph;z-index:-15425024;mso-wrap-distance-left:0;mso-wrap-distance-right:0" id="docshape202" filled="true" fillcolor="#d9d9d9" stroked="false">
            <v:fill type="solid"/>
            <w10:wrap type="topAndBottom"/>
          </v:rect>
        </w:pict>
      </w:r>
    </w:p>
    <w:p>
      <w:pPr>
        <w:pStyle w:val="BodyText"/>
      </w:pPr>
    </w:p>
    <w:p>
      <w:pPr>
        <w:pStyle w:val="BodyText"/>
        <w:spacing w:before="3"/>
        <w:rPr>
          <w:sz w:val="14"/>
        </w:rPr>
      </w:pPr>
      <w:r>
        <w:rPr/>
        <w:pict>
          <v:shape style="position:absolute;margin-left:40.200001pt;margin-top:9.939258pt;width:515.0500pt;height:12.75pt;mso-position-horizontal-relative:page;mso-position-vertical-relative:paragraph;z-index:-15424512;mso-wrap-distance-left:0;mso-wrap-distance-right:0" type="#_x0000_t202" id="docshape203" filled="true" fillcolor="#6897ba" stroked="false">
            <v:textbox inset="0,0,0,0">
              <w:txbxContent>
                <w:p>
                  <w:pPr>
                    <w:spacing w:line="220" w:lineRule="exact" w:before="0"/>
                    <w:ind w:left="79" w:right="0" w:firstLine="0"/>
                    <w:jc w:val="left"/>
                    <w:rPr>
                      <w:i/>
                      <w:color w:val="000000"/>
                      <w:sz w:val="18"/>
                    </w:rPr>
                  </w:pPr>
                  <w:r>
                    <w:rPr>
                      <w:i/>
                      <w:color w:val="FFFFFF"/>
                      <w:sz w:val="18"/>
                    </w:rPr>
                    <w:t>Skip</w:t>
                  </w:r>
                  <w:r>
                    <w:rPr>
                      <w:i/>
                      <w:color w:val="FFFFFF"/>
                      <w:spacing w:val="-4"/>
                      <w:sz w:val="18"/>
                    </w:rPr>
                    <w:t> </w:t>
                  </w:r>
                  <w:r>
                    <w:rPr>
                      <w:i/>
                      <w:color w:val="FFFFFF"/>
                      <w:sz w:val="18"/>
                    </w:rPr>
                    <w:t>to question</w:t>
                  </w:r>
                  <w:r>
                    <w:rPr>
                      <w:i/>
                      <w:color w:val="FFFFFF"/>
                      <w:spacing w:val="-3"/>
                      <w:sz w:val="18"/>
                    </w:rPr>
                    <w:t> </w:t>
                  </w:r>
                  <w:r>
                    <w:rPr>
                      <w:i/>
                      <w:color w:val="FFFFFF"/>
                      <w:sz w:val="18"/>
                    </w:rPr>
                    <w:t>17</w:t>
                  </w:r>
                </w:p>
              </w:txbxContent>
            </v:textbox>
            <v:fill type="solid"/>
            <w10:wrap type="topAndBottom"/>
          </v:shape>
        </w:pict>
      </w:r>
    </w:p>
    <w:p>
      <w:pPr>
        <w:pStyle w:val="BodyText"/>
        <w:rPr>
          <w:sz w:val="8"/>
        </w:rPr>
      </w:pPr>
    </w:p>
    <w:p>
      <w:pPr>
        <w:tabs>
          <w:tab w:pos="1181" w:val="left" w:leader="none"/>
        </w:tabs>
        <w:spacing w:before="100"/>
        <w:ind w:left="1265" w:right="1110" w:hanging="733"/>
        <w:jc w:val="left"/>
        <w:rPr>
          <w:sz w:val="18"/>
        </w:rPr>
      </w:pPr>
      <w:r>
        <w:rPr>
          <w:sz w:val="18"/>
        </w:rPr>
        <w:t>16C.</w:t>
        <w:tab/>
        <w:t>For approximately what proportion of HCH patients that you referred to a community pharmacist have you</w:t>
      </w:r>
      <w:r>
        <w:rPr>
          <w:spacing w:val="-47"/>
          <w:sz w:val="18"/>
        </w:rPr>
        <w:t> </w:t>
      </w:r>
      <w:r>
        <w:rPr>
          <w:sz w:val="18"/>
        </w:rPr>
        <w:t>received</w:t>
      </w:r>
      <w:r>
        <w:rPr>
          <w:spacing w:val="-2"/>
          <w:sz w:val="18"/>
        </w:rPr>
        <w:t> </w:t>
      </w:r>
      <w:r>
        <w:rPr>
          <w:sz w:val="18"/>
        </w:rPr>
        <w:t>a medication</w:t>
      </w:r>
      <w:r>
        <w:rPr>
          <w:spacing w:val="-4"/>
          <w:sz w:val="18"/>
        </w:rPr>
        <w:t> </w:t>
      </w:r>
      <w:r>
        <w:rPr>
          <w:sz w:val="18"/>
        </w:rPr>
        <w:t>management</w:t>
      </w:r>
      <w:r>
        <w:rPr>
          <w:spacing w:val="-2"/>
          <w:sz w:val="18"/>
        </w:rPr>
        <w:t> </w:t>
      </w:r>
      <w:r>
        <w:rPr>
          <w:sz w:val="18"/>
        </w:rPr>
        <w:t>plan</w:t>
      </w:r>
      <w:r>
        <w:rPr>
          <w:spacing w:val="-1"/>
          <w:sz w:val="18"/>
        </w:rPr>
        <w:t> </w:t>
      </w:r>
      <w:r>
        <w:rPr>
          <w:sz w:val="18"/>
        </w:rPr>
        <w:t>from</w:t>
      </w:r>
      <w:r>
        <w:rPr>
          <w:spacing w:val="-4"/>
          <w:sz w:val="18"/>
        </w:rPr>
        <w:t> </w:t>
      </w:r>
      <w:r>
        <w:rPr>
          <w:sz w:val="18"/>
        </w:rPr>
        <w:t>the</w:t>
      </w:r>
      <w:r>
        <w:rPr>
          <w:spacing w:val="-1"/>
          <w:sz w:val="18"/>
        </w:rPr>
        <w:t> </w:t>
      </w:r>
      <w:r>
        <w:rPr>
          <w:sz w:val="18"/>
        </w:rPr>
        <w:t>community</w:t>
      </w:r>
      <w:r>
        <w:rPr>
          <w:spacing w:val="-1"/>
          <w:sz w:val="18"/>
        </w:rPr>
        <w:t> </w:t>
      </w:r>
      <w:r>
        <w:rPr>
          <w:sz w:val="18"/>
        </w:rPr>
        <w:t>pharmacist?</w:t>
      </w:r>
    </w:p>
    <w:p>
      <w:pPr>
        <w:pStyle w:val="ListParagraph"/>
        <w:numPr>
          <w:ilvl w:val="0"/>
          <w:numId w:val="98"/>
        </w:numPr>
        <w:tabs>
          <w:tab w:pos="1458" w:val="left" w:leader="none"/>
        </w:tabs>
        <w:spacing w:line="240" w:lineRule="auto" w:before="120" w:after="0"/>
        <w:ind w:left="1457" w:right="0" w:hanging="205"/>
        <w:jc w:val="left"/>
        <w:rPr>
          <w:sz w:val="18"/>
        </w:rPr>
      </w:pPr>
      <w:r>
        <w:rPr>
          <w:sz w:val="18"/>
        </w:rPr>
        <w:t>All/majority</w:t>
      </w:r>
      <w:r>
        <w:rPr>
          <w:spacing w:val="-4"/>
          <w:sz w:val="18"/>
        </w:rPr>
        <w:t> </w:t>
      </w:r>
      <w:r>
        <w:rPr>
          <w:sz w:val="18"/>
        </w:rPr>
        <w:t>of</w:t>
      </w:r>
      <w:r>
        <w:rPr>
          <w:spacing w:val="-4"/>
          <w:sz w:val="18"/>
        </w:rPr>
        <w:t> </w:t>
      </w:r>
      <w:r>
        <w:rPr>
          <w:sz w:val="18"/>
        </w:rPr>
        <w:t>HCH</w:t>
      </w:r>
      <w:r>
        <w:rPr>
          <w:spacing w:val="-4"/>
          <w:sz w:val="18"/>
        </w:rPr>
        <w:t> </w:t>
      </w:r>
      <w:r>
        <w:rPr>
          <w:sz w:val="18"/>
        </w:rPr>
        <w:t>patients</w:t>
      </w:r>
      <w:r>
        <w:rPr>
          <w:spacing w:val="-2"/>
          <w:sz w:val="18"/>
        </w:rPr>
        <w:t> </w:t>
      </w:r>
      <w:r>
        <w:rPr>
          <w:sz w:val="18"/>
        </w:rPr>
        <w:t>(80-100%)</w:t>
      </w:r>
    </w:p>
    <w:p>
      <w:pPr>
        <w:pStyle w:val="ListParagraph"/>
        <w:numPr>
          <w:ilvl w:val="0"/>
          <w:numId w:val="98"/>
        </w:numPr>
        <w:tabs>
          <w:tab w:pos="1453" w:val="left" w:leader="none"/>
        </w:tabs>
        <w:spacing w:line="240" w:lineRule="auto" w:before="0" w:after="0"/>
        <w:ind w:left="1452" w:right="0" w:hanging="200"/>
        <w:jc w:val="left"/>
        <w:rPr>
          <w:sz w:val="18"/>
        </w:rPr>
      </w:pPr>
      <w:r>
        <w:rPr>
          <w:sz w:val="18"/>
        </w:rPr>
        <w:t>Most</w:t>
      </w:r>
      <w:r>
        <w:rPr>
          <w:spacing w:val="-4"/>
          <w:sz w:val="18"/>
        </w:rPr>
        <w:t> </w:t>
      </w:r>
      <w:r>
        <w:rPr>
          <w:sz w:val="18"/>
        </w:rPr>
        <w:t>HCH</w:t>
      </w:r>
      <w:r>
        <w:rPr>
          <w:spacing w:val="-2"/>
          <w:sz w:val="18"/>
        </w:rPr>
        <w:t> </w:t>
      </w:r>
      <w:r>
        <w:rPr>
          <w:sz w:val="18"/>
        </w:rPr>
        <w:t>patients (50-79%)</w:t>
      </w:r>
    </w:p>
    <w:p>
      <w:pPr>
        <w:pStyle w:val="ListParagraph"/>
        <w:numPr>
          <w:ilvl w:val="0"/>
          <w:numId w:val="98"/>
        </w:numPr>
        <w:tabs>
          <w:tab w:pos="1453" w:val="left" w:leader="none"/>
        </w:tabs>
        <w:spacing w:line="240" w:lineRule="auto" w:before="0" w:after="0"/>
        <w:ind w:left="1452" w:right="0" w:hanging="200"/>
        <w:jc w:val="left"/>
        <w:rPr>
          <w:sz w:val="18"/>
        </w:rPr>
      </w:pPr>
      <w:r>
        <w:rPr>
          <w:sz w:val="18"/>
        </w:rPr>
        <w:t>Some</w:t>
      </w:r>
      <w:r>
        <w:rPr>
          <w:spacing w:val="-2"/>
          <w:sz w:val="18"/>
        </w:rPr>
        <w:t> </w:t>
      </w:r>
      <w:r>
        <w:rPr>
          <w:sz w:val="18"/>
        </w:rPr>
        <w:t>HCH</w:t>
      </w:r>
      <w:r>
        <w:rPr>
          <w:spacing w:val="-3"/>
          <w:sz w:val="18"/>
        </w:rPr>
        <w:t> </w:t>
      </w:r>
      <w:r>
        <w:rPr>
          <w:sz w:val="18"/>
        </w:rPr>
        <w:t>patients</w:t>
      </w:r>
      <w:r>
        <w:rPr>
          <w:spacing w:val="1"/>
          <w:sz w:val="18"/>
        </w:rPr>
        <w:t> </w:t>
      </w:r>
      <w:r>
        <w:rPr>
          <w:sz w:val="18"/>
        </w:rPr>
        <w:t>(20-49%)</w:t>
      </w:r>
    </w:p>
    <w:p>
      <w:pPr>
        <w:pStyle w:val="ListParagraph"/>
        <w:numPr>
          <w:ilvl w:val="0"/>
          <w:numId w:val="98"/>
        </w:numPr>
        <w:tabs>
          <w:tab w:pos="1453" w:val="left" w:leader="none"/>
        </w:tabs>
        <w:spacing w:line="240" w:lineRule="auto" w:before="0" w:after="0"/>
        <w:ind w:left="1452" w:right="0" w:hanging="200"/>
        <w:jc w:val="left"/>
        <w:rPr>
          <w:sz w:val="18"/>
        </w:rPr>
      </w:pPr>
      <w:r>
        <w:rPr>
          <w:sz w:val="18"/>
        </w:rPr>
        <w:t>No/very</w:t>
      </w:r>
      <w:r>
        <w:rPr>
          <w:spacing w:val="-3"/>
          <w:sz w:val="18"/>
        </w:rPr>
        <w:t> </w:t>
      </w:r>
      <w:r>
        <w:rPr>
          <w:sz w:val="18"/>
        </w:rPr>
        <w:t>few</w:t>
      </w:r>
      <w:r>
        <w:rPr>
          <w:spacing w:val="-3"/>
          <w:sz w:val="18"/>
        </w:rPr>
        <w:t> </w:t>
      </w:r>
      <w:r>
        <w:rPr>
          <w:sz w:val="18"/>
        </w:rPr>
        <w:t>HCH</w:t>
      </w:r>
      <w:r>
        <w:rPr>
          <w:spacing w:val="-3"/>
          <w:sz w:val="18"/>
        </w:rPr>
        <w:t> </w:t>
      </w:r>
      <w:r>
        <w:rPr>
          <w:sz w:val="18"/>
        </w:rPr>
        <w:t>patients</w:t>
      </w:r>
      <w:r>
        <w:rPr>
          <w:spacing w:val="1"/>
          <w:sz w:val="18"/>
        </w:rPr>
        <w:t> </w:t>
      </w:r>
      <w:r>
        <w:rPr>
          <w:sz w:val="18"/>
        </w:rPr>
        <w:t>(Less</w:t>
      </w:r>
      <w:r>
        <w:rPr>
          <w:spacing w:val="-2"/>
          <w:sz w:val="18"/>
        </w:rPr>
        <w:t> </w:t>
      </w:r>
      <w:r>
        <w:rPr>
          <w:sz w:val="18"/>
        </w:rPr>
        <w:t>than</w:t>
      </w:r>
      <w:r>
        <w:rPr>
          <w:spacing w:val="-2"/>
          <w:sz w:val="18"/>
        </w:rPr>
        <w:t> </w:t>
      </w:r>
      <w:r>
        <w:rPr>
          <w:sz w:val="18"/>
        </w:rPr>
        <w:t>20%)</w:t>
      </w:r>
    </w:p>
    <w:p>
      <w:pPr>
        <w:pStyle w:val="BodyText"/>
        <w:spacing w:before="1"/>
        <w:rPr>
          <w:sz w:val="18"/>
        </w:rPr>
      </w:pPr>
    </w:p>
    <w:p>
      <w:pPr>
        <w:tabs>
          <w:tab w:pos="1267" w:val="left" w:leader="none"/>
        </w:tabs>
        <w:spacing w:before="0"/>
        <w:ind w:left="1265" w:right="1675" w:hanging="733"/>
        <w:jc w:val="left"/>
        <w:rPr>
          <w:sz w:val="18"/>
        </w:rPr>
      </w:pPr>
      <w:r>
        <w:rPr>
          <w:sz w:val="18"/>
        </w:rPr>
        <w:t>16D.</w:t>
        <w:tab/>
        <w:tab/>
        <w:t>Thinking</w:t>
      </w:r>
      <w:r>
        <w:rPr>
          <w:spacing w:val="-5"/>
          <w:sz w:val="18"/>
        </w:rPr>
        <w:t> </w:t>
      </w:r>
      <w:r>
        <w:rPr>
          <w:sz w:val="18"/>
        </w:rPr>
        <w:t>about</w:t>
      </w:r>
      <w:r>
        <w:rPr>
          <w:spacing w:val="-5"/>
          <w:sz w:val="18"/>
        </w:rPr>
        <w:t> </w:t>
      </w:r>
      <w:r>
        <w:rPr>
          <w:sz w:val="18"/>
        </w:rPr>
        <w:t>the</w:t>
      </w:r>
      <w:r>
        <w:rPr>
          <w:spacing w:val="-4"/>
          <w:sz w:val="18"/>
        </w:rPr>
        <w:t> </w:t>
      </w:r>
      <w:r>
        <w:rPr>
          <w:sz w:val="18"/>
        </w:rPr>
        <w:t>community</w:t>
      </w:r>
      <w:r>
        <w:rPr>
          <w:spacing w:val="-4"/>
          <w:sz w:val="18"/>
        </w:rPr>
        <w:t> </w:t>
      </w:r>
      <w:r>
        <w:rPr>
          <w:sz w:val="18"/>
        </w:rPr>
        <w:t>pharmacist</w:t>
      </w:r>
      <w:r>
        <w:rPr>
          <w:spacing w:val="-5"/>
          <w:sz w:val="18"/>
        </w:rPr>
        <w:t> </w:t>
      </w:r>
      <w:r>
        <w:rPr>
          <w:sz w:val="18"/>
        </w:rPr>
        <w:t>with</w:t>
      </w:r>
      <w:r>
        <w:rPr>
          <w:spacing w:val="-3"/>
          <w:sz w:val="18"/>
        </w:rPr>
        <w:t> </w:t>
      </w:r>
      <w:r>
        <w:rPr>
          <w:sz w:val="18"/>
        </w:rPr>
        <w:t>whom</w:t>
      </w:r>
      <w:r>
        <w:rPr>
          <w:spacing w:val="-6"/>
          <w:sz w:val="18"/>
        </w:rPr>
        <w:t> </w:t>
      </w:r>
      <w:r>
        <w:rPr>
          <w:sz w:val="18"/>
        </w:rPr>
        <w:t>you</w:t>
      </w:r>
      <w:r>
        <w:rPr>
          <w:spacing w:val="-3"/>
          <w:sz w:val="18"/>
        </w:rPr>
        <w:t> </w:t>
      </w:r>
      <w:r>
        <w:rPr>
          <w:sz w:val="18"/>
        </w:rPr>
        <w:t>have most</w:t>
      </w:r>
      <w:r>
        <w:rPr>
          <w:spacing w:val="-5"/>
          <w:sz w:val="18"/>
        </w:rPr>
        <w:t> </w:t>
      </w:r>
      <w:r>
        <w:rPr>
          <w:sz w:val="18"/>
        </w:rPr>
        <w:t>dealings,</w:t>
      </w:r>
      <w:r>
        <w:rPr>
          <w:spacing w:val="-5"/>
          <w:sz w:val="18"/>
        </w:rPr>
        <w:t> </w:t>
      </w:r>
      <w:r>
        <w:rPr>
          <w:sz w:val="18"/>
        </w:rPr>
        <w:t>how</w:t>
      </w:r>
      <w:r>
        <w:rPr>
          <w:spacing w:val="-5"/>
          <w:sz w:val="18"/>
        </w:rPr>
        <w:t> </w:t>
      </w:r>
      <w:r>
        <w:rPr>
          <w:sz w:val="18"/>
        </w:rPr>
        <w:t>often</w:t>
      </w:r>
      <w:r>
        <w:rPr>
          <w:spacing w:val="-3"/>
          <w:sz w:val="18"/>
        </w:rPr>
        <w:t> </w:t>
      </w:r>
      <w:r>
        <w:rPr>
          <w:sz w:val="18"/>
        </w:rPr>
        <w:t>have</w:t>
      </w:r>
      <w:r>
        <w:rPr>
          <w:spacing w:val="-2"/>
          <w:sz w:val="18"/>
        </w:rPr>
        <w:t> </w:t>
      </w:r>
      <w:r>
        <w:rPr>
          <w:sz w:val="18"/>
        </w:rPr>
        <w:t>you</w:t>
      </w:r>
      <w:r>
        <w:rPr>
          <w:spacing w:val="1"/>
          <w:sz w:val="18"/>
        </w:rPr>
        <w:t> </w:t>
      </w:r>
      <w:r>
        <w:rPr>
          <w:sz w:val="18"/>
        </w:rPr>
        <w:t>interacted</w:t>
      </w:r>
      <w:r>
        <w:rPr>
          <w:spacing w:val="-3"/>
          <w:sz w:val="18"/>
        </w:rPr>
        <w:t> </w:t>
      </w:r>
      <w:r>
        <w:rPr>
          <w:sz w:val="18"/>
        </w:rPr>
        <w:t>over</w:t>
      </w:r>
      <w:r>
        <w:rPr>
          <w:spacing w:val="-1"/>
          <w:sz w:val="18"/>
        </w:rPr>
        <w:t> </w:t>
      </w:r>
      <w:r>
        <w:rPr>
          <w:sz w:val="18"/>
        </w:rPr>
        <w:t>the</w:t>
      </w:r>
      <w:r>
        <w:rPr>
          <w:spacing w:val="-1"/>
          <w:sz w:val="18"/>
        </w:rPr>
        <w:t> </w:t>
      </w:r>
      <w:r>
        <w:rPr>
          <w:sz w:val="18"/>
        </w:rPr>
        <w:t>last</w:t>
      </w:r>
      <w:r>
        <w:rPr>
          <w:spacing w:val="-4"/>
          <w:sz w:val="18"/>
        </w:rPr>
        <w:t> </w:t>
      </w:r>
      <w:r>
        <w:rPr>
          <w:sz w:val="18"/>
        </w:rPr>
        <w:t>month?</w:t>
      </w:r>
      <w:r>
        <w:rPr>
          <w:spacing w:val="-4"/>
          <w:sz w:val="18"/>
        </w:rPr>
        <w:t> </w:t>
      </w:r>
      <w:r>
        <w:rPr>
          <w:sz w:val="18"/>
        </w:rPr>
        <w:t>Interaction</w:t>
      </w:r>
      <w:r>
        <w:rPr>
          <w:spacing w:val="-1"/>
          <w:sz w:val="18"/>
        </w:rPr>
        <w:t> </w:t>
      </w:r>
      <w:r>
        <w:rPr>
          <w:sz w:val="18"/>
        </w:rPr>
        <w:t>could</w:t>
      </w:r>
      <w:r>
        <w:rPr>
          <w:spacing w:val="-3"/>
          <w:sz w:val="18"/>
        </w:rPr>
        <w:t> </w:t>
      </w:r>
      <w:r>
        <w:rPr>
          <w:sz w:val="18"/>
        </w:rPr>
        <w:t>be</w:t>
      </w:r>
      <w:r>
        <w:rPr>
          <w:spacing w:val="-1"/>
          <w:sz w:val="18"/>
        </w:rPr>
        <w:t> </w:t>
      </w:r>
      <w:r>
        <w:rPr>
          <w:sz w:val="18"/>
        </w:rPr>
        <w:t>via</w:t>
      </w:r>
      <w:r>
        <w:rPr>
          <w:spacing w:val="-2"/>
          <w:sz w:val="18"/>
        </w:rPr>
        <w:t> </w:t>
      </w:r>
      <w:r>
        <w:rPr>
          <w:sz w:val="18"/>
        </w:rPr>
        <w:t>telephone,</w:t>
      </w:r>
      <w:r>
        <w:rPr>
          <w:spacing w:val="-4"/>
          <w:sz w:val="18"/>
        </w:rPr>
        <w:t> </w:t>
      </w:r>
      <w:r>
        <w:rPr>
          <w:sz w:val="18"/>
        </w:rPr>
        <w:t>video,</w:t>
      </w:r>
      <w:r>
        <w:rPr>
          <w:spacing w:val="-4"/>
          <w:sz w:val="18"/>
        </w:rPr>
        <w:t> </w:t>
      </w:r>
      <w:r>
        <w:rPr>
          <w:sz w:val="18"/>
        </w:rPr>
        <w:t>email</w:t>
      </w:r>
      <w:r>
        <w:rPr>
          <w:spacing w:val="-1"/>
          <w:sz w:val="18"/>
        </w:rPr>
        <w:t> </w:t>
      </w:r>
      <w:r>
        <w:rPr>
          <w:sz w:val="18"/>
        </w:rPr>
        <w:t>or</w:t>
      </w:r>
      <w:r>
        <w:rPr>
          <w:spacing w:val="-2"/>
          <w:sz w:val="18"/>
        </w:rPr>
        <w:t> </w:t>
      </w:r>
      <w:r>
        <w:rPr>
          <w:sz w:val="18"/>
        </w:rPr>
        <w:t>face-to-face.</w:t>
      </w:r>
    </w:p>
    <w:p>
      <w:pPr>
        <w:pStyle w:val="ListParagraph"/>
        <w:numPr>
          <w:ilvl w:val="0"/>
          <w:numId w:val="99"/>
        </w:numPr>
        <w:tabs>
          <w:tab w:pos="1973" w:val="left" w:leader="none"/>
          <w:tab w:pos="1974" w:val="left" w:leader="none"/>
        </w:tabs>
        <w:spacing w:line="240" w:lineRule="auto" w:before="120" w:after="0"/>
        <w:ind w:left="1973" w:right="0" w:hanging="721"/>
        <w:jc w:val="left"/>
        <w:rPr>
          <w:sz w:val="18"/>
        </w:rPr>
      </w:pPr>
      <w:r>
        <w:rPr>
          <w:sz w:val="18"/>
        </w:rPr>
        <w:t>Nil</w:t>
      </w:r>
    </w:p>
    <w:p>
      <w:pPr>
        <w:pStyle w:val="ListParagraph"/>
        <w:numPr>
          <w:ilvl w:val="0"/>
          <w:numId w:val="99"/>
        </w:numPr>
        <w:tabs>
          <w:tab w:pos="1973" w:val="left" w:leader="none"/>
          <w:tab w:pos="1974" w:val="left" w:leader="none"/>
        </w:tabs>
        <w:spacing w:line="240" w:lineRule="auto" w:before="0" w:after="0"/>
        <w:ind w:left="1973" w:right="0" w:hanging="721"/>
        <w:jc w:val="left"/>
        <w:rPr>
          <w:sz w:val="18"/>
        </w:rPr>
      </w:pPr>
      <w:r>
        <w:rPr>
          <w:sz w:val="18"/>
        </w:rPr>
        <w:t>1-2</w:t>
      </w:r>
      <w:r>
        <w:rPr>
          <w:spacing w:val="-4"/>
          <w:sz w:val="18"/>
        </w:rPr>
        <w:t> </w:t>
      </w:r>
      <w:r>
        <w:rPr>
          <w:sz w:val="18"/>
        </w:rPr>
        <w:t>times</w:t>
      </w:r>
    </w:p>
    <w:p>
      <w:pPr>
        <w:pStyle w:val="ListParagraph"/>
        <w:numPr>
          <w:ilvl w:val="0"/>
          <w:numId w:val="99"/>
        </w:numPr>
        <w:tabs>
          <w:tab w:pos="1973" w:val="left" w:leader="none"/>
          <w:tab w:pos="1974" w:val="left" w:leader="none"/>
        </w:tabs>
        <w:spacing w:line="240" w:lineRule="auto" w:before="0" w:after="0"/>
        <w:ind w:left="1973" w:right="0" w:hanging="721"/>
        <w:jc w:val="left"/>
        <w:rPr>
          <w:sz w:val="18"/>
        </w:rPr>
      </w:pPr>
      <w:r>
        <w:rPr>
          <w:sz w:val="18"/>
        </w:rPr>
        <w:t>3-4</w:t>
      </w:r>
      <w:r>
        <w:rPr>
          <w:spacing w:val="-4"/>
          <w:sz w:val="18"/>
        </w:rPr>
        <w:t> </w:t>
      </w:r>
      <w:r>
        <w:rPr>
          <w:sz w:val="18"/>
        </w:rPr>
        <w:t>times</w:t>
      </w:r>
    </w:p>
    <w:p>
      <w:pPr>
        <w:pStyle w:val="ListParagraph"/>
        <w:numPr>
          <w:ilvl w:val="0"/>
          <w:numId w:val="99"/>
        </w:numPr>
        <w:tabs>
          <w:tab w:pos="1973" w:val="left" w:leader="none"/>
          <w:tab w:pos="1974" w:val="left" w:leader="none"/>
        </w:tabs>
        <w:spacing w:line="240" w:lineRule="auto" w:before="0" w:after="0"/>
        <w:ind w:left="1973" w:right="0" w:hanging="721"/>
        <w:jc w:val="left"/>
        <w:rPr>
          <w:sz w:val="18"/>
        </w:rPr>
      </w:pPr>
      <w:r>
        <w:rPr>
          <w:sz w:val="18"/>
        </w:rPr>
        <w:t>5-6</w:t>
      </w:r>
      <w:r>
        <w:rPr>
          <w:spacing w:val="-4"/>
          <w:sz w:val="18"/>
        </w:rPr>
        <w:t> </w:t>
      </w:r>
      <w:r>
        <w:rPr>
          <w:sz w:val="18"/>
        </w:rPr>
        <w:t>times</w:t>
      </w:r>
    </w:p>
    <w:p>
      <w:pPr>
        <w:pStyle w:val="ListParagraph"/>
        <w:numPr>
          <w:ilvl w:val="0"/>
          <w:numId w:val="99"/>
        </w:numPr>
        <w:tabs>
          <w:tab w:pos="1973" w:val="left" w:leader="none"/>
          <w:tab w:pos="1974" w:val="left" w:leader="none"/>
        </w:tabs>
        <w:spacing w:line="240" w:lineRule="auto" w:before="1" w:after="0"/>
        <w:ind w:left="1973" w:right="0" w:hanging="721"/>
        <w:jc w:val="left"/>
        <w:rPr>
          <w:sz w:val="18"/>
        </w:rPr>
      </w:pPr>
      <w:r>
        <w:rPr>
          <w:sz w:val="18"/>
        </w:rPr>
        <w:t>7</w:t>
      </w:r>
      <w:r>
        <w:rPr>
          <w:spacing w:val="-2"/>
          <w:sz w:val="18"/>
        </w:rPr>
        <w:t> </w:t>
      </w:r>
      <w:r>
        <w:rPr>
          <w:sz w:val="18"/>
        </w:rPr>
        <w:t>or</w:t>
      </w:r>
      <w:r>
        <w:rPr>
          <w:spacing w:val="-1"/>
          <w:sz w:val="18"/>
        </w:rPr>
        <w:t> </w:t>
      </w:r>
      <w:r>
        <w:rPr>
          <w:sz w:val="18"/>
        </w:rPr>
        <w:t>more</w:t>
      </w:r>
      <w:r>
        <w:rPr>
          <w:spacing w:val="-1"/>
          <w:sz w:val="18"/>
        </w:rPr>
        <w:t> </w:t>
      </w:r>
      <w:r>
        <w:rPr>
          <w:sz w:val="18"/>
        </w:rPr>
        <w:t>times</w:t>
      </w:r>
    </w:p>
    <w:p>
      <w:pPr>
        <w:tabs>
          <w:tab w:pos="1973" w:val="left" w:leader="none"/>
        </w:tabs>
        <w:spacing w:before="0"/>
        <w:ind w:left="1253" w:right="0" w:firstLine="0"/>
        <w:jc w:val="left"/>
        <w:rPr>
          <w:sz w:val="18"/>
        </w:rPr>
      </w:pPr>
      <w:r>
        <w:rPr>
          <w:sz w:val="18"/>
        </w:rPr>
        <w:t>99.</w:t>
        <w:tab/>
        <w:t>Unknown</w:t>
      </w:r>
    </w:p>
    <w:p>
      <w:pPr>
        <w:pStyle w:val="BodyText"/>
        <w:spacing w:before="4"/>
        <w:rPr>
          <w:sz w:val="14"/>
        </w:rPr>
      </w:pPr>
      <w:r>
        <w:rPr/>
        <w:pict>
          <v:shape style="position:absolute;margin-left:40.200001pt;margin-top:10.015683pt;width:515.0500pt;height:25.45pt;mso-position-horizontal-relative:page;mso-position-vertical-relative:paragraph;z-index:-15424000;mso-wrap-distance-left:0;mso-wrap-distance-right:0" type="#_x0000_t202" id="docshape204" filled="true" fillcolor="#6897ba" stroked="false">
            <v:textbox inset="0,0,0,0">
              <w:txbxContent>
                <w:p>
                  <w:pPr>
                    <w:spacing w:line="276" w:lineRule="auto" w:before="0"/>
                    <w:ind w:left="28" w:right="7930" w:firstLine="0"/>
                    <w:jc w:val="left"/>
                    <w:rPr>
                      <w:i/>
                      <w:color w:val="000000"/>
                      <w:sz w:val="18"/>
                    </w:rPr>
                  </w:pPr>
                  <w:r>
                    <w:rPr>
                      <w:i/>
                      <w:color w:val="FFFFFF"/>
                      <w:sz w:val="18"/>
                    </w:rPr>
                    <w:t>Skip to question 16F: If 1</w:t>
                  </w:r>
                  <w:r>
                    <w:rPr>
                      <w:i/>
                      <w:color w:val="FFFFFF"/>
                      <w:spacing w:val="1"/>
                      <w:sz w:val="18"/>
                    </w:rPr>
                    <w:t> </w:t>
                  </w:r>
                  <w:r>
                    <w:rPr>
                      <w:i/>
                      <w:color w:val="FFFFFF"/>
                      <w:sz w:val="18"/>
                    </w:rPr>
                    <w:t>Display</w:t>
                  </w:r>
                  <w:r>
                    <w:rPr>
                      <w:i/>
                      <w:color w:val="FFFFFF"/>
                      <w:spacing w:val="-6"/>
                      <w:sz w:val="18"/>
                    </w:rPr>
                    <w:t> </w:t>
                  </w:r>
                  <w:r>
                    <w:rPr>
                      <w:i/>
                      <w:color w:val="FFFFFF"/>
                      <w:sz w:val="18"/>
                    </w:rPr>
                    <w:t>this</w:t>
                  </w:r>
                  <w:r>
                    <w:rPr>
                      <w:i/>
                      <w:color w:val="FFFFFF"/>
                      <w:spacing w:val="-5"/>
                      <w:sz w:val="18"/>
                    </w:rPr>
                    <w:t> </w:t>
                  </w:r>
                  <w:r>
                    <w:rPr>
                      <w:i/>
                      <w:color w:val="FFFFFF"/>
                      <w:sz w:val="18"/>
                    </w:rPr>
                    <w:t>question</w:t>
                  </w:r>
                  <w:r>
                    <w:rPr>
                      <w:i/>
                      <w:color w:val="FFFFFF"/>
                      <w:spacing w:val="-3"/>
                      <w:sz w:val="18"/>
                    </w:rPr>
                    <w:t> </w:t>
                  </w:r>
                  <w:r>
                    <w:rPr>
                      <w:i/>
                      <w:color w:val="FFFFFF"/>
                      <w:sz w:val="18"/>
                    </w:rPr>
                    <w:t>2,3,4,5</w:t>
                  </w:r>
                </w:p>
              </w:txbxContent>
            </v:textbox>
            <v:fill type="solid"/>
            <w10:wrap type="topAndBottom"/>
          </v:shape>
        </w:pict>
      </w:r>
    </w:p>
    <w:p>
      <w:pPr>
        <w:pStyle w:val="BodyText"/>
        <w:rPr>
          <w:sz w:val="8"/>
        </w:rPr>
      </w:pPr>
    </w:p>
    <w:p>
      <w:pPr>
        <w:tabs>
          <w:tab w:pos="1226" w:val="left" w:leader="none"/>
        </w:tabs>
        <w:spacing w:before="100"/>
        <w:ind w:left="1265" w:right="1465" w:hanging="733"/>
        <w:jc w:val="left"/>
        <w:rPr>
          <w:sz w:val="18"/>
        </w:rPr>
      </w:pPr>
      <w:r>
        <w:rPr>
          <w:sz w:val="18"/>
        </w:rPr>
        <w:t>16E.</w:t>
        <w:tab/>
        <w:t>In any of the interactions with this pharmacist throughout the trial period, did the pharmacist outline</w:t>
      </w:r>
      <w:r>
        <w:rPr>
          <w:spacing w:val="1"/>
          <w:sz w:val="18"/>
        </w:rPr>
        <w:t> </w:t>
      </w:r>
      <w:r>
        <w:rPr>
          <w:sz w:val="18"/>
        </w:rPr>
        <w:t>supporting services that he/she planned or could deliver to support the patient’s achievement of their</w:t>
      </w:r>
      <w:r>
        <w:rPr>
          <w:spacing w:val="-47"/>
          <w:sz w:val="18"/>
        </w:rPr>
        <w:t> </w:t>
      </w:r>
      <w:r>
        <w:rPr>
          <w:sz w:val="18"/>
        </w:rPr>
        <w:t>medication</w:t>
      </w:r>
      <w:r>
        <w:rPr>
          <w:spacing w:val="-1"/>
          <w:sz w:val="18"/>
        </w:rPr>
        <w:t> </w:t>
      </w:r>
      <w:r>
        <w:rPr>
          <w:sz w:val="18"/>
        </w:rPr>
        <w:t>management</w:t>
      </w:r>
      <w:r>
        <w:rPr>
          <w:spacing w:val="1"/>
          <w:sz w:val="18"/>
        </w:rPr>
        <w:t> </w:t>
      </w:r>
      <w:r>
        <w:rPr>
          <w:sz w:val="18"/>
        </w:rPr>
        <w:t>goals?</w:t>
      </w:r>
    </w:p>
    <w:p>
      <w:pPr>
        <w:pStyle w:val="ListParagraph"/>
        <w:numPr>
          <w:ilvl w:val="0"/>
          <w:numId w:val="100"/>
        </w:numPr>
        <w:tabs>
          <w:tab w:pos="1973" w:val="left" w:leader="none"/>
          <w:tab w:pos="1974" w:val="left" w:leader="none"/>
        </w:tabs>
        <w:spacing w:line="240" w:lineRule="auto" w:before="121" w:after="0"/>
        <w:ind w:left="1973" w:right="0" w:hanging="721"/>
        <w:jc w:val="left"/>
        <w:rPr>
          <w:sz w:val="18"/>
        </w:rPr>
      </w:pPr>
      <w:r>
        <w:rPr>
          <w:sz w:val="18"/>
        </w:rPr>
        <w:t>Yes</w:t>
      </w:r>
    </w:p>
    <w:p>
      <w:pPr>
        <w:pStyle w:val="ListParagraph"/>
        <w:numPr>
          <w:ilvl w:val="0"/>
          <w:numId w:val="100"/>
        </w:numPr>
        <w:tabs>
          <w:tab w:pos="1973" w:val="left" w:leader="none"/>
          <w:tab w:pos="1974" w:val="left" w:leader="none"/>
        </w:tabs>
        <w:spacing w:line="240" w:lineRule="auto" w:before="0" w:after="0"/>
        <w:ind w:left="1973" w:right="0" w:hanging="721"/>
        <w:jc w:val="left"/>
        <w:rPr>
          <w:sz w:val="18"/>
        </w:rPr>
      </w:pPr>
      <w:r>
        <w:rPr>
          <w:sz w:val="18"/>
        </w:rPr>
        <w:t>No</w:t>
      </w:r>
    </w:p>
    <w:p>
      <w:pPr>
        <w:pStyle w:val="ListParagraph"/>
        <w:numPr>
          <w:ilvl w:val="0"/>
          <w:numId w:val="100"/>
        </w:numPr>
        <w:tabs>
          <w:tab w:pos="1973" w:val="left" w:leader="none"/>
          <w:tab w:pos="1974" w:val="left" w:leader="none"/>
        </w:tabs>
        <w:spacing w:line="240" w:lineRule="auto" w:before="0" w:after="0"/>
        <w:ind w:left="1973" w:right="0" w:hanging="721"/>
        <w:jc w:val="left"/>
        <w:rPr>
          <w:sz w:val="18"/>
        </w:rPr>
      </w:pPr>
      <w:r>
        <w:rPr>
          <w:sz w:val="18"/>
        </w:rPr>
        <w:t>Can’t</w:t>
      </w:r>
      <w:r>
        <w:rPr>
          <w:spacing w:val="-3"/>
          <w:sz w:val="18"/>
        </w:rPr>
        <w:t> </w:t>
      </w:r>
      <w:r>
        <w:rPr>
          <w:sz w:val="18"/>
        </w:rPr>
        <w:t>say</w:t>
      </w:r>
    </w:p>
    <w:p>
      <w:pPr>
        <w:pStyle w:val="BodyText"/>
        <w:spacing w:before="3"/>
        <w:rPr>
          <w:sz w:val="16"/>
        </w:rPr>
      </w:pPr>
    </w:p>
    <w:p>
      <w:pPr>
        <w:tabs>
          <w:tab w:pos="737" w:val="left" w:leader="none"/>
        </w:tabs>
        <w:spacing w:before="0"/>
        <w:ind w:left="0" w:right="862" w:firstLine="0"/>
        <w:jc w:val="right"/>
        <w:rPr>
          <w:sz w:val="18"/>
        </w:rPr>
      </w:pPr>
      <w:r>
        <w:rPr>
          <w:sz w:val="18"/>
        </w:rPr>
        <w:t>16F.</w:t>
        <w:tab/>
        <w:t>Can</w:t>
      </w:r>
      <w:r>
        <w:rPr>
          <w:spacing w:val="-4"/>
          <w:sz w:val="18"/>
        </w:rPr>
        <w:t> </w:t>
      </w:r>
      <w:r>
        <w:rPr>
          <w:sz w:val="18"/>
        </w:rPr>
        <w:t>you</w:t>
      </w:r>
      <w:r>
        <w:rPr>
          <w:spacing w:val="-3"/>
          <w:sz w:val="18"/>
        </w:rPr>
        <w:t> </w:t>
      </w:r>
      <w:r>
        <w:rPr>
          <w:sz w:val="18"/>
        </w:rPr>
        <w:t>estimate</w:t>
      </w:r>
      <w:r>
        <w:rPr>
          <w:spacing w:val="-3"/>
          <w:sz w:val="18"/>
        </w:rPr>
        <w:t> </w:t>
      </w:r>
      <w:r>
        <w:rPr>
          <w:sz w:val="18"/>
        </w:rPr>
        <w:t>the</w:t>
      </w:r>
      <w:r>
        <w:rPr>
          <w:spacing w:val="-4"/>
          <w:sz w:val="18"/>
        </w:rPr>
        <w:t> </w:t>
      </w:r>
      <w:r>
        <w:rPr>
          <w:sz w:val="18"/>
        </w:rPr>
        <w:t>proportion</w:t>
      </w:r>
      <w:r>
        <w:rPr>
          <w:spacing w:val="-3"/>
          <w:sz w:val="18"/>
        </w:rPr>
        <w:t> </w:t>
      </w:r>
      <w:r>
        <w:rPr>
          <w:sz w:val="18"/>
        </w:rPr>
        <w:t>of</w:t>
      </w:r>
      <w:r>
        <w:rPr>
          <w:spacing w:val="-5"/>
          <w:sz w:val="18"/>
        </w:rPr>
        <w:t> </w:t>
      </w:r>
      <w:r>
        <w:rPr>
          <w:sz w:val="18"/>
        </w:rPr>
        <w:t>the</w:t>
      </w:r>
      <w:r>
        <w:rPr>
          <w:spacing w:val="-4"/>
          <w:sz w:val="18"/>
        </w:rPr>
        <w:t> </w:t>
      </w:r>
      <w:r>
        <w:rPr>
          <w:sz w:val="18"/>
        </w:rPr>
        <w:t>community</w:t>
      </w:r>
      <w:r>
        <w:rPr>
          <w:spacing w:val="-4"/>
          <w:sz w:val="18"/>
        </w:rPr>
        <w:t> </w:t>
      </w:r>
      <w:r>
        <w:rPr>
          <w:sz w:val="18"/>
        </w:rPr>
        <w:t>pharmacist’s</w:t>
      </w:r>
      <w:r>
        <w:rPr>
          <w:spacing w:val="-4"/>
          <w:sz w:val="18"/>
        </w:rPr>
        <w:t> </w:t>
      </w:r>
      <w:r>
        <w:rPr>
          <w:sz w:val="18"/>
        </w:rPr>
        <w:t>recommendations</w:t>
      </w:r>
      <w:r>
        <w:rPr>
          <w:spacing w:val="-4"/>
          <w:sz w:val="18"/>
        </w:rPr>
        <w:t> </w:t>
      </w:r>
      <w:r>
        <w:rPr>
          <w:sz w:val="18"/>
        </w:rPr>
        <w:t>you</w:t>
      </w:r>
      <w:r>
        <w:rPr>
          <w:spacing w:val="-3"/>
          <w:sz w:val="18"/>
        </w:rPr>
        <w:t> </w:t>
      </w:r>
      <w:r>
        <w:rPr>
          <w:sz w:val="18"/>
        </w:rPr>
        <w:t>act</w:t>
      </w:r>
      <w:r>
        <w:rPr>
          <w:spacing w:val="-5"/>
          <w:sz w:val="18"/>
        </w:rPr>
        <w:t> </w:t>
      </w:r>
      <w:r>
        <w:rPr>
          <w:sz w:val="18"/>
        </w:rPr>
        <w:t>on,</w:t>
      </w:r>
      <w:r>
        <w:rPr>
          <w:spacing w:val="-5"/>
          <w:sz w:val="18"/>
        </w:rPr>
        <w:t> </w:t>
      </w:r>
      <w:r>
        <w:rPr>
          <w:sz w:val="18"/>
        </w:rPr>
        <w:t>for</w:t>
      </w:r>
      <w:r>
        <w:rPr>
          <w:spacing w:val="-5"/>
          <w:sz w:val="18"/>
        </w:rPr>
        <w:t> </w:t>
      </w:r>
      <w:r>
        <w:rPr>
          <w:sz w:val="18"/>
        </w:rPr>
        <w:t>example,</w:t>
      </w:r>
    </w:p>
    <w:p>
      <w:pPr>
        <w:spacing w:before="0"/>
        <w:ind w:left="0" w:right="893" w:firstLine="0"/>
        <w:jc w:val="right"/>
        <w:rPr>
          <w:sz w:val="18"/>
        </w:rPr>
      </w:pPr>
      <w:r>
        <w:rPr>
          <w:sz w:val="18"/>
        </w:rPr>
        <w:t>making</w:t>
      </w:r>
      <w:r>
        <w:rPr>
          <w:spacing w:val="-6"/>
          <w:sz w:val="18"/>
        </w:rPr>
        <w:t> </w:t>
      </w:r>
      <w:r>
        <w:rPr>
          <w:sz w:val="18"/>
        </w:rPr>
        <w:t>changes</w:t>
      </w:r>
      <w:r>
        <w:rPr>
          <w:spacing w:val="-5"/>
          <w:sz w:val="18"/>
        </w:rPr>
        <w:t> </w:t>
      </w:r>
      <w:r>
        <w:rPr>
          <w:sz w:val="18"/>
        </w:rPr>
        <w:t>to</w:t>
      </w:r>
      <w:r>
        <w:rPr>
          <w:spacing w:val="-4"/>
          <w:sz w:val="18"/>
        </w:rPr>
        <w:t> </w:t>
      </w:r>
      <w:r>
        <w:rPr>
          <w:sz w:val="18"/>
        </w:rPr>
        <w:t>a</w:t>
      </w:r>
      <w:r>
        <w:rPr>
          <w:spacing w:val="-2"/>
          <w:sz w:val="18"/>
        </w:rPr>
        <w:t> </w:t>
      </w:r>
      <w:r>
        <w:rPr>
          <w:sz w:val="18"/>
        </w:rPr>
        <w:t>patient’s</w:t>
      </w:r>
      <w:r>
        <w:rPr>
          <w:spacing w:val="-2"/>
          <w:sz w:val="18"/>
        </w:rPr>
        <w:t> </w:t>
      </w:r>
      <w:r>
        <w:rPr>
          <w:sz w:val="18"/>
        </w:rPr>
        <w:t>medication</w:t>
      </w:r>
      <w:r>
        <w:rPr>
          <w:spacing w:val="-6"/>
          <w:sz w:val="18"/>
        </w:rPr>
        <w:t> </w:t>
      </w:r>
      <w:r>
        <w:rPr>
          <w:sz w:val="18"/>
        </w:rPr>
        <w:t>regime</w:t>
      </w:r>
      <w:r>
        <w:rPr>
          <w:spacing w:val="-4"/>
          <w:sz w:val="18"/>
        </w:rPr>
        <w:t> </w:t>
      </w:r>
      <w:r>
        <w:rPr>
          <w:sz w:val="18"/>
        </w:rPr>
        <w:t>or</w:t>
      </w:r>
      <w:r>
        <w:rPr>
          <w:spacing w:val="-2"/>
          <w:sz w:val="18"/>
        </w:rPr>
        <w:t> </w:t>
      </w:r>
      <w:r>
        <w:rPr>
          <w:sz w:val="18"/>
        </w:rPr>
        <w:t>following</w:t>
      </w:r>
      <w:r>
        <w:rPr>
          <w:spacing w:val="-6"/>
          <w:sz w:val="18"/>
        </w:rPr>
        <w:t> </w:t>
      </w:r>
      <w:r>
        <w:rPr>
          <w:sz w:val="18"/>
        </w:rPr>
        <w:t>through</w:t>
      </w:r>
      <w:r>
        <w:rPr>
          <w:spacing w:val="-4"/>
          <w:sz w:val="18"/>
        </w:rPr>
        <w:t> </w:t>
      </w:r>
      <w:r>
        <w:rPr>
          <w:sz w:val="18"/>
        </w:rPr>
        <w:t>with</w:t>
      </w:r>
      <w:r>
        <w:rPr>
          <w:spacing w:val="-4"/>
          <w:sz w:val="18"/>
        </w:rPr>
        <w:t> </w:t>
      </w:r>
      <w:r>
        <w:rPr>
          <w:sz w:val="18"/>
        </w:rPr>
        <w:t>a</w:t>
      </w:r>
      <w:r>
        <w:rPr>
          <w:spacing w:val="-3"/>
          <w:sz w:val="18"/>
        </w:rPr>
        <w:t> </w:t>
      </w:r>
      <w:r>
        <w:rPr>
          <w:sz w:val="18"/>
        </w:rPr>
        <w:t>patient’s Asthma</w:t>
      </w:r>
      <w:r>
        <w:rPr>
          <w:spacing w:val="2"/>
          <w:sz w:val="18"/>
        </w:rPr>
        <w:t> </w:t>
      </w:r>
      <w:r>
        <w:rPr>
          <w:sz w:val="18"/>
        </w:rPr>
        <w:t>Action</w:t>
      </w:r>
      <w:r>
        <w:rPr>
          <w:spacing w:val="-3"/>
          <w:sz w:val="18"/>
        </w:rPr>
        <w:t> </w:t>
      </w:r>
      <w:r>
        <w:rPr>
          <w:sz w:val="18"/>
        </w:rPr>
        <w:t>Plan?</w:t>
      </w:r>
    </w:p>
    <w:p>
      <w:pPr>
        <w:spacing w:before="120"/>
        <w:ind w:left="532" w:right="0" w:firstLine="0"/>
        <w:jc w:val="left"/>
        <w:rPr>
          <w:sz w:val="18"/>
        </w:rPr>
      </w:pPr>
      <w:r>
        <w:rPr>
          <w:sz w:val="18"/>
        </w:rPr>
        <w:t>Percentage:</w:t>
      </w:r>
      <w:r>
        <w:rPr>
          <w:spacing w:val="-4"/>
          <w:sz w:val="18"/>
        </w:rPr>
        <w:t> </w:t>
      </w:r>
      <w:r>
        <w:rPr>
          <w:sz w:val="18"/>
        </w:rPr>
        <w:t>0-100%</w:t>
      </w:r>
    </w:p>
    <w:p>
      <w:pPr>
        <w:pStyle w:val="BodyText"/>
        <w:spacing w:before="5"/>
        <w:rPr>
          <w:sz w:val="14"/>
        </w:rPr>
      </w:pPr>
      <w:r>
        <w:rPr/>
        <w:pict>
          <v:shape style="position:absolute;margin-left:40.200001pt;margin-top:10.045097pt;width:515.0500pt;height:25.45pt;mso-position-horizontal-relative:page;mso-position-vertical-relative:paragraph;z-index:-15423488;mso-wrap-distance-left:0;mso-wrap-distance-right:0" type="#_x0000_t202" id="docshape205" filled="true" fillcolor="#6897ba" stroked="false">
            <v:textbox inset="0,0,0,0">
              <w:txbxContent>
                <w:p>
                  <w:pPr>
                    <w:spacing w:line="276" w:lineRule="auto" w:before="0"/>
                    <w:ind w:left="28" w:right="6666" w:firstLine="0"/>
                    <w:jc w:val="left"/>
                    <w:rPr>
                      <w:i/>
                      <w:color w:val="000000"/>
                      <w:sz w:val="18"/>
                    </w:rPr>
                  </w:pPr>
                  <w:r>
                    <w:rPr>
                      <w:i/>
                      <w:color w:val="FFFFFF"/>
                      <w:sz w:val="18"/>
                    </w:rPr>
                    <w:t>Skip to question 16H: If response is GT 50%</w:t>
                  </w:r>
                  <w:r>
                    <w:rPr>
                      <w:i/>
                      <w:color w:val="FFFFFF"/>
                      <w:spacing w:val="-47"/>
                      <w:sz w:val="18"/>
                    </w:rPr>
                    <w:t> </w:t>
                  </w:r>
                  <w:r>
                    <w:rPr>
                      <w:i/>
                      <w:color w:val="FFFFFF"/>
                      <w:sz w:val="18"/>
                    </w:rPr>
                    <w:t>Display</w:t>
                  </w:r>
                  <w:r>
                    <w:rPr>
                      <w:i/>
                      <w:color w:val="FFFFFF"/>
                      <w:spacing w:val="-5"/>
                      <w:sz w:val="18"/>
                    </w:rPr>
                    <w:t> </w:t>
                  </w:r>
                  <w:r>
                    <w:rPr>
                      <w:i/>
                      <w:color w:val="FFFFFF"/>
                      <w:sz w:val="18"/>
                    </w:rPr>
                    <w:t>this</w:t>
                  </w:r>
                  <w:r>
                    <w:rPr>
                      <w:i/>
                      <w:color w:val="FFFFFF"/>
                      <w:spacing w:val="-4"/>
                      <w:sz w:val="18"/>
                    </w:rPr>
                    <w:t> </w:t>
                  </w:r>
                  <w:r>
                    <w:rPr>
                      <w:i/>
                      <w:color w:val="FFFFFF"/>
                      <w:sz w:val="18"/>
                    </w:rPr>
                    <w:t>question:</w:t>
                  </w:r>
                  <w:r>
                    <w:rPr>
                      <w:i/>
                      <w:color w:val="FFFFFF"/>
                      <w:spacing w:val="-4"/>
                      <w:sz w:val="18"/>
                    </w:rPr>
                    <w:t> </w:t>
                  </w:r>
                  <w:r>
                    <w:rPr>
                      <w:i/>
                      <w:color w:val="FFFFFF"/>
                      <w:sz w:val="18"/>
                    </w:rPr>
                    <w:t>If</w:t>
                  </w:r>
                  <w:r>
                    <w:rPr>
                      <w:i/>
                      <w:color w:val="FFFFFF"/>
                      <w:spacing w:val="1"/>
                      <w:sz w:val="18"/>
                    </w:rPr>
                    <w:t> </w:t>
                  </w:r>
                  <w:r>
                    <w:rPr>
                      <w:i/>
                      <w:color w:val="FFFFFF"/>
                      <w:sz w:val="18"/>
                    </w:rPr>
                    <w:t>response</w:t>
                  </w:r>
                  <w:r>
                    <w:rPr>
                      <w:i/>
                      <w:color w:val="FFFFFF"/>
                      <w:spacing w:val="-1"/>
                      <w:sz w:val="18"/>
                    </w:rPr>
                    <w:t> </w:t>
                  </w:r>
                  <w:r>
                    <w:rPr>
                      <w:i/>
                      <w:color w:val="FFFFFF"/>
                      <w:sz w:val="18"/>
                    </w:rPr>
                    <w:t>is</w:t>
                  </w:r>
                  <w:r>
                    <w:rPr>
                      <w:i/>
                      <w:color w:val="FFFFFF"/>
                      <w:spacing w:val="-3"/>
                      <w:sz w:val="18"/>
                    </w:rPr>
                    <w:t> </w:t>
                  </w:r>
                  <w:r>
                    <w:rPr>
                      <w:i/>
                      <w:color w:val="FFFFFF"/>
                      <w:sz w:val="18"/>
                    </w:rPr>
                    <w:t>LT</w:t>
                  </w:r>
                  <w:r>
                    <w:rPr>
                      <w:i/>
                      <w:color w:val="FFFFFF"/>
                      <w:spacing w:val="-1"/>
                      <w:sz w:val="18"/>
                    </w:rPr>
                    <w:t> </w:t>
                  </w:r>
                  <w:r>
                    <w:rPr>
                      <w:i/>
                      <w:color w:val="FFFFFF"/>
                      <w:sz w:val="18"/>
                    </w:rPr>
                    <w:t>50%</w:t>
                  </w:r>
                </w:p>
              </w:txbxContent>
            </v:textbox>
            <v:fill type="solid"/>
            <w10:wrap type="topAndBottom"/>
          </v:shape>
        </w:pict>
      </w:r>
    </w:p>
    <w:p>
      <w:pPr>
        <w:pStyle w:val="BodyText"/>
        <w:rPr>
          <w:sz w:val="8"/>
        </w:rPr>
      </w:pPr>
    </w:p>
    <w:p>
      <w:pPr>
        <w:tabs>
          <w:tab w:pos="1193" w:val="left" w:leader="none"/>
        </w:tabs>
        <w:spacing w:before="100"/>
        <w:ind w:left="532" w:right="0" w:firstLine="0"/>
        <w:jc w:val="left"/>
        <w:rPr>
          <w:sz w:val="18"/>
        </w:rPr>
      </w:pPr>
      <w:r>
        <w:rPr>
          <w:sz w:val="18"/>
        </w:rPr>
        <w:t>16G.</w:t>
        <w:tab/>
        <w:t>What</w:t>
      </w:r>
      <w:r>
        <w:rPr>
          <w:spacing w:val="-5"/>
          <w:sz w:val="18"/>
        </w:rPr>
        <w:t> </w:t>
      </w:r>
      <w:r>
        <w:rPr>
          <w:sz w:val="18"/>
        </w:rPr>
        <w:t>are</w:t>
      </w:r>
      <w:r>
        <w:rPr>
          <w:spacing w:val="-3"/>
          <w:sz w:val="18"/>
        </w:rPr>
        <w:t> </w:t>
      </w:r>
      <w:r>
        <w:rPr>
          <w:sz w:val="18"/>
        </w:rPr>
        <w:t>your</w:t>
      </w:r>
      <w:r>
        <w:rPr>
          <w:spacing w:val="-2"/>
          <w:sz w:val="18"/>
        </w:rPr>
        <w:t> </w:t>
      </w:r>
      <w:r>
        <w:rPr>
          <w:sz w:val="18"/>
        </w:rPr>
        <w:t>key</w:t>
      </w:r>
      <w:r>
        <w:rPr>
          <w:spacing w:val="-4"/>
          <w:sz w:val="18"/>
        </w:rPr>
        <w:t> </w:t>
      </w:r>
      <w:r>
        <w:rPr>
          <w:sz w:val="18"/>
        </w:rPr>
        <w:t>reasons</w:t>
      </w:r>
      <w:r>
        <w:rPr>
          <w:spacing w:val="-3"/>
          <w:sz w:val="18"/>
        </w:rPr>
        <w:t> </w:t>
      </w:r>
      <w:r>
        <w:rPr>
          <w:sz w:val="18"/>
        </w:rPr>
        <w:t>for</w:t>
      </w:r>
      <w:r>
        <w:rPr>
          <w:spacing w:val="-3"/>
          <w:sz w:val="18"/>
        </w:rPr>
        <w:t> </w:t>
      </w:r>
      <w:r>
        <w:rPr>
          <w:sz w:val="18"/>
        </w:rPr>
        <w:t>not</w:t>
      </w:r>
      <w:r>
        <w:rPr>
          <w:spacing w:val="-4"/>
          <w:sz w:val="18"/>
        </w:rPr>
        <w:t> </w:t>
      </w:r>
      <w:r>
        <w:rPr>
          <w:sz w:val="18"/>
        </w:rPr>
        <w:t>acting</w:t>
      </w:r>
      <w:r>
        <w:rPr>
          <w:spacing w:val="-5"/>
          <w:sz w:val="18"/>
        </w:rPr>
        <w:t> </w:t>
      </w:r>
      <w:r>
        <w:rPr>
          <w:sz w:val="18"/>
        </w:rPr>
        <w:t>on</w:t>
      </w:r>
      <w:r>
        <w:rPr>
          <w:spacing w:val="-2"/>
          <w:sz w:val="18"/>
        </w:rPr>
        <w:t> </w:t>
      </w:r>
      <w:r>
        <w:rPr>
          <w:sz w:val="18"/>
        </w:rPr>
        <w:t>the</w:t>
      </w:r>
      <w:r>
        <w:rPr>
          <w:spacing w:val="-3"/>
          <w:sz w:val="18"/>
        </w:rPr>
        <w:t> </w:t>
      </w:r>
      <w:r>
        <w:rPr>
          <w:sz w:val="18"/>
        </w:rPr>
        <w:t>community</w:t>
      </w:r>
      <w:r>
        <w:rPr>
          <w:spacing w:val="-4"/>
          <w:sz w:val="18"/>
        </w:rPr>
        <w:t> </w:t>
      </w:r>
      <w:r>
        <w:rPr>
          <w:sz w:val="18"/>
        </w:rPr>
        <w:t>pharmacist’s</w:t>
      </w:r>
      <w:r>
        <w:rPr>
          <w:spacing w:val="-3"/>
          <w:sz w:val="18"/>
        </w:rPr>
        <w:t> </w:t>
      </w:r>
      <w:r>
        <w:rPr>
          <w:sz w:val="18"/>
        </w:rPr>
        <w:t>recommendations</w:t>
      </w:r>
      <w:r>
        <w:rPr>
          <w:spacing w:val="-3"/>
          <w:sz w:val="18"/>
        </w:rPr>
        <w:t> </w:t>
      </w:r>
      <w:r>
        <w:rPr>
          <w:sz w:val="18"/>
        </w:rPr>
        <w:t>most</w:t>
      </w:r>
      <w:r>
        <w:rPr>
          <w:spacing w:val="-4"/>
          <w:sz w:val="18"/>
        </w:rPr>
        <w:t> </w:t>
      </w:r>
      <w:r>
        <w:rPr>
          <w:sz w:val="18"/>
        </w:rPr>
        <w:t>of</w:t>
      </w:r>
      <w:r>
        <w:rPr>
          <w:spacing w:val="-2"/>
          <w:sz w:val="18"/>
        </w:rPr>
        <w:t> </w:t>
      </w:r>
      <w:r>
        <w:rPr>
          <w:sz w:val="18"/>
        </w:rPr>
        <w:t>the</w:t>
      </w:r>
      <w:r>
        <w:rPr>
          <w:spacing w:val="-2"/>
          <w:sz w:val="18"/>
        </w:rPr>
        <w:t> </w:t>
      </w:r>
      <w:r>
        <w:rPr>
          <w:sz w:val="18"/>
        </w:rPr>
        <w:t>time?</w:t>
      </w:r>
    </w:p>
    <w:p>
      <w:pPr>
        <w:pStyle w:val="BodyText"/>
      </w:pPr>
    </w:p>
    <w:p>
      <w:pPr>
        <w:pStyle w:val="BodyText"/>
        <w:spacing w:before="8"/>
        <w:rPr>
          <w:sz w:val="17"/>
        </w:rPr>
      </w:pPr>
      <w:r>
        <w:rPr/>
        <w:pict>
          <v:rect style="position:absolute;margin-left:40.200001pt;margin-top:12.021631pt;width:515.02pt;height:.48004pt;mso-position-horizontal-relative:page;mso-position-vertical-relative:paragraph;z-index:-15422976;mso-wrap-distance-left:0;mso-wrap-distance-right:0" id="docshape206" filled="true" fillcolor="#d9d9d9" stroked="false">
            <v:fill type="solid"/>
            <w10:wrap type="topAndBottom"/>
          </v:rect>
        </w:pict>
      </w:r>
    </w:p>
    <w:p>
      <w:pPr>
        <w:spacing w:after="0"/>
        <w:rPr>
          <w:sz w:val="17"/>
        </w:rPr>
        <w:sectPr>
          <w:pgSz w:w="11910" w:h="16840"/>
          <w:pgMar w:header="0" w:footer="916" w:top="860" w:bottom="1140" w:left="300" w:right="0"/>
        </w:sectPr>
      </w:pPr>
    </w:p>
    <w:p>
      <w:pPr>
        <w:pStyle w:val="BodyText"/>
        <w:ind w:left="420"/>
      </w:pPr>
      <w:r>
        <w:rPr/>
        <w:pict>
          <v:rect style="position:absolute;margin-left:40.200001pt;margin-top:105.499985pt;width:515.02pt;height:.48pt;mso-position-horizontal-relative:page;mso-position-vertical-relative:page;z-index:-27248640" id="docshape207" filled="true" fillcolor="#d9d9d9" stroked="false">
            <v:fill type="solid"/>
            <w10:wrap type="none"/>
          </v:rect>
        </w:pict>
      </w:r>
      <w:r>
        <w:rPr/>
        <w:pict>
          <v:group style="width:523.4500pt;height:261.55pt;mso-position-horizontal-relative:char;mso-position-vertical-relative:line" id="docshapegroup208" coordorigin="0,0" coordsize="10469,5231">
            <v:shape style="position:absolute;left:0;top:0;width:10469;height:5231" id="docshape209" coordorigin="0,0" coordsize="10469,5231" path="m10468,5221l10459,5221,10,5221,0,5221,0,5231,10,5231,10459,5231,10468,5231,10468,5221xm10468,0l10459,0,10,0,0,0,0,10,0,5221,10,5221,10,10,10459,10,10459,5221,10468,5221,10468,10,10468,0xe" filled="true" fillcolor="#bebebe" stroked="false">
              <v:path arrowok="t"/>
              <v:fill type="solid"/>
            </v:shape>
            <v:shape style="position:absolute;left:112;top:229;width:9382;height:442" type="#_x0000_t202" id="docshape210" filled="false" stroked="false">
              <v:textbox inset="0,0,0,0">
                <w:txbxContent>
                  <w:p>
                    <w:pPr>
                      <w:tabs>
                        <w:tab w:pos="720" w:val="left" w:leader="none"/>
                      </w:tabs>
                      <w:spacing w:before="0"/>
                      <w:ind w:left="732" w:right="18" w:hanging="733"/>
                      <w:jc w:val="left"/>
                      <w:rPr>
                        <w:sz w:val="18"/>
                      </w:rPr>
                    </w:pPr>
                    <w:r>
                      <w:rPr>
                        <w:sz w:val="18"/>
                      </w:rPr>
                      <w:t>16H.</w:t>
                      <w:tab/>
                      <w:t>In</w:t>
                    </w:r>
                    <w:r>
                      <w:rPr>
                        <w:spacing w:val="-3"/>
                        <w:sz w:val="18"/>
                      </w:rPr>
                      <w:t> </w:t>
                    </w:r>
                    <w:r>
                      <w:rPr>
                        <w:sz w:val="18"/>
                      </w:rPr>
                      <w:t>your</w:t>
                    </w:r>
                    <w:r>
                      <w:rPr>
                        <w:spacing w:val="-2"/>
                        <w:sz w:val="18"/>
                      </w:rPr>
                      <w:t> </w:t>
                    </w:r>
                    <w:r>
                      <w:rPr>
                        <w:sz w:val="18"/>
                      </w:rPr>
                      <w:t>opinion,</w:t>
                    </w:r>
                    <w:r>
                      <w:rPr>
                        <w:spacing w:val="-4"/>
                        <w:sz w:val="18"/>
                      </w:rPr>
                      <w:t> </w:t>
                    </w:r>
                    <w:r>
                      <w:rPr>
                        <w:sz w:val="18"/>
                      </w:rPr>
                      <w:t>what</w:t>
                    </w:r>
                    <w:r>
                      <w:rPr>
                        <w:spacing w:val="-3"/>
                        <w:sz w:val="18"/>
                      </w:rPr>
                      <w:t> </w:t>
                    </w:r>
                    <w:r>
                      <w:rPr>
                        <w:sz w:val="18"/>
                      </w:rPr>
                      <w:t>are</w:t>
                    </w:r>
                    <w:r>
                      <w:rPr>
                        <w:spacing w:val="-3"/>
                        <w:sz w:val="18"/>
                      </w:rPr>
                      <w:t> </w:t>
                    </w:r>
                    <w:r>
                      <w:rPr>
                        <w:sz w:val="18"/>
                      </w:rPr>
                      <w:t>the</w:t>
                    </w:r>
                    <w:r>
                      <w:rPr>
                        <w:spacing w:val="-2"/>
                        <w:sz w:val="18"/>
                      </w:rPr>
                      <w:t> </w:t>
                    </w:r>
                    <w:r>
                      <w:rPr>
                        <w:sz w:val="18"/>
                      </w:rPr>
                      <w:t>benefits</w:t>
                    </w:r>
                    <w:r>
                      <w:rPr>
                        <w:spacing w:val="-3"/>
                        <w:sz w:val="18"/>
                      </w:rPr>
                      <w:t> </w:t>
                    </w:r>
                    <w:r>
                      <w:rPr>
                        <w:sz w:val="18"/>
                      </w:rPr>
                      <w:t>to</w:t>
                    </w:r>
                    <w:r>
                      <w:rPr>
                        <w:spacing w:val="-2"/>
                        <w:sz w:val="18"/>
                      </w:rPr>
                      <w:t> </w:t>
                    </w:r>
                    <w:r>
                      <w:rPr>
                        <w:sz w:val="18"/>
                      </w:rPr>
                      <w:t>your</w:t>
                    </w:r>
                    <w:r>
                      <w:rPr>
                        <w:spacing w:val="-2"/>
                        <w:sz w:val="18"/>
                      </w:rPr>
                      <w:t> </w:t>
                    </w:r>
                    <w:r>
                      <w:rPr>
                        <w:sz w:val="18"/>
                      </w:rPr>
                      <w:t>patients</w:t>
                    </w:r>
                    <w:r>
                      <w:rPr>
                        <w:spacing w:val="-3"/>
                        <w:sz w:val="18"/>
                      </w:rPr>
                      <w:t> </w:t>
                    </w:r>
                    <w:r>
                      <w:rPr>
                        <w:sz w:val="18"/>
                      </w:rPr>
                      <w:t>of</w:t>
                    </w:r>
                    <w:r>
                      <w:rPr>
                        <w:spacing w:val="-2"/>
                        <w:sz w:val="18"/>
                      </w:rPr>
                      <w:t> </w:t>
                    </w:r>
                    <w:r>
                      <w:rPr>
                        <w:sz w:val="18"/>
                      </w:rPr>
                      <w:t>the</w:t>
                    </w:r>
                    <w:r>
                      <w:rPr>
                        <w:spacing w:val="-2"/>
                        <w:sz w:val="18"/>
                      </w:rPr>
                      <w:t> </w:t>
                    </w:r>
                    <w:r>
                      <w:rPr>
                        <w:sz w:val="18"/>
                      </w:rPr>
                      <w:t>services</w:t>
                    </w:r>
                    <w:r>
                      <w:rPr>
                        <w:spacing w:val="-3"/>
                        <w:sz w:val="18"/>
                      </w:rPr>
                      <w:t> </w:t>
                    </w:r>
                    <w:r>
                      <w:rPr>
                        <w:sz w:val="18"/>
                      </w:rPr>
                      <w:t>being</w:t>
                    </w:r>
                    <w:r>
                      <w:rPr>
                        <w:spacing w:val="-4"/>
                        <w:sz w:val="18"/>
                      </w:rPr>
                      <w:t> </w:t>
                    </w:r>
                    <w:r>
                      <w:rPr>
                        <w:sz w:val="18"/>
                      </w:rPr>
                      <w:t>provided</w:t>
                    </w:r>
                    <w:r>
                      <w:rPr>
                        <w:spacing w:val="-3"/>
                        <w:sz w:val="18"/>
                      </w:rPr>
                      <w:t> </w:t>
                    </w:r>
                    <w:r>
                      <w:rPr>
                        <w:sz w:val="18"/>
                      </w:rPr>
                      <w:t>by</w:t>
                    </w:r>
                    <w:r>
                      <w:rPr>
                        <w:spacing w:val="-3"/>
                        <w:sz w:val="18"/>
                      </w:rPr>
                      <w:t> </w:t>
                    </w:r>
                    <w:r>
                      <w:rPr>
                        <w:sz w:val="18"/>
                      </w:rPr>
                      <w:t>community</w:t>
                    </w:r>
                    <w:r>
                      <w:rPr>
                        <w:spacing w:val="-47"/>
                        <w:sz w:val="18"/>
                      </w:rPr>
                      <w:t> </w:t>
                    </w:r>
                    <w:r>
                      <w:rPr>
                        <w:sz w:val="18"/>
                      </w:rPr>
                      <w:t>pharmacists</w:t>
                    </w:r>
                    <w:r>
                      <w:rPr>
                        <w:spacing w:val="-2"/>
                        <w:sz w:val="18"/>
                      </w:rPr>
                      <w:t> </w:t>
                    </w:r>
                    <w:r>
                      <w:rPr>
                        <w:sz w:val="18"/>
                      </w:rPr>
                      <w:t>that</w:t>
                    </w:r>
                    <w:r>
                      <w:rPr>
                        <w:spacing w:val="-2"/>
                        <w:sz w:val="18"/>
                      </w:rPr>
                      <w:t> </w:t>
                    </w:r>
                    <w:r>
                      <w:rPr>
                        <w:sz w:val="18"/>
                      </w:rPr>
                      <w:t>you refer</w:t>
                    </w:r>
                    <w:r>
                      <w:rPr>
                        <w:spacing w:val="-3"/>
                        <w:sz w:val="18"/>
                      </w:rPr>
                      <w:t> </w:t>
                    </w:r>
                    <w:r>
                      <w:rPr>
                        <w:sz w:val="18"/>
                      </w:rPr>
                      <w:t>patients</w:t>
                    </w:r>
                    <w:r>
                      <w:rPr>
                        <w:spacing w:val="-1"/>
                        <w:sz w:val="18"/>
                      </w:rPr>
                      <w:t> </w:t>
                    </w:r>
                    <w:r>
                      <w:rPr>
                        <w:sz w:val="18"/>
                      </w:rPr>
                      <w:t>to as</w:t>
                    </w:r>
                    <w:r>
                      <w:rPr>
                        <w:spacing w:val="-2"/>
                        <w:sz w:val="18"/>
                      </w:rPr>
                      <w:t> </w:t>
                    </w:r>
                    <w:r>
                      <w:rPr>
                        <w:sz w:val="18"/>
                      </w:rPr>
                      <w:t>part</w:t>
                    </w:r>
                    <w:r>
                      <w:rPr>
                        <w:spacing w:val="-2"/>
                        <w:sz w:val="18"/>
                      </w:rPr>
                      <w:t> </w:t>
                    </w:r>
                    <w:r>
                      <w:rPr>
                        <w:sz w:val="18"/>
                      </w:rPr>
                      <w:t>of</w:t>
                    </w:r>
                    <w:r>
                      <w:rPr>
                        <w:spacing w:val="1"/>
                        <w:sz w:val="18"/>
                      </w:rPr>
                      <w:t> </w:t>
                    </w:r>
                    <w:r>
                      <w:rPr>
                        <w:sz w:val="18"/>
                      </w:rPr>
                      <w:t>the</w:t>
                    </w:r>
                    <w:r>
                      <w:rPr>
                        <w:spacing w:val="5"/>
                        <w:sz w:val="18"/>
                      </w:rPr>
                      <w:t> </w:t>
                    </w:r>
                    <w:r>
                      <w:rPr>
                        <w:sz w:val="18"/>
                      </w:rPr>
                      <w:t>HCH</w:t>
                    </w:r>
                    <w:r>
                      <w:rPr>
                        <w:spacing w:val="-2"/>
                        <w:sz w:val="18"/>
                      </w:rPr>
                      <w:t> </w:t>
                    </w:r>
                    <w:r>
                      <w:rPr>
                        <w:sz w:val="18"/>
                      </w:rPr>
                      <w:t>trial?</w:t>
                    </w:r>
                  </w:p>
                </w:txbxContent>
              </v:textbox>
              <w10:wrap type="none"/>
            </v:shape>
            <v:shape style="position:absolute;left:112;top:1410;width:315;height:221" type="#_x0000_t202" id="docshape211" filled="false" stroked="false">
              <v:textbox inset="0,0,0,0">
                <w:txbxContent>
                  <w:p>
                    <w:pPr>
                      <w:spacing w:before="0"/>
                      <w:ind w:left="0" w:right="0" w:firstLine="0"/>
                      <w:jc w:val="left"/>
                      <w:rPr>
                        <w:sz w:val="18"/>
                      </w:rPr>
                    </w:pPr>
                    <w:r>
                      <w:rPr>
                        <w:sz w:val="18"/>
                      </w:rPr>
                      <w:t>16I.</w:t>
                    </w:r>
                  </w:p>
                </w:txbxContent>
              </v:textbox>
              <w10:wrap type="none"/>
            </v:shape>
            <v:shape style="position:absolute;left:833;top:1410;width:9187;height:1292" type="#_x0000_t202" id="docshape212" filled="false" stroked="false">
              <v:textbox inset="0,0,0,0">
                <w:txbxContent>
                  <w:p>
                    <w:pPr>
                      <w:spacing w:before="0"/>
                      <w:ind w:left="11" w:right="1" w:firstLine="9"/>
                      <w:jc w:val="left"/>
                      <w:rPr>
                        <w:sz w:val="18"/>
                      </w:rPr>
                    </w:pPr>
                    <w:r>
                      <w:rPr>
                        <w:sz w:val="18"/>
                      </w:rPr>
                      <w:t>Since the start of the community pharmacy component of the HCH trial, have communications between</w:t>
                    </w:r>
                    <w:r>
                      <w:rPr>
                        <w:spacing w:val="-47"/>
                        <w:sz w:val="18"/>
                      </w:rPr>
                      <w:t> </w:t>
                    </w:r>
                    <w:r>
                      <w:rPr>
                        <w:sz w:val="18"/>
                      </w:rPr>
                      <w:t>you</w:t>
                    </w:r>
                    <w:r>
                      <w:rPr>
                        <w:spacing w:val="-1"/>
                        <w:sz w:val="18"/>
                      </w:rPr>
                      <w:t> </w:t>
                    </w:r>
                    <w:r>
                      <w:rPr>
                        <w:sz w:val="18"/>
                      </w:rPr>
                      <w:t>and</w:t>
                    </w:r>
                    <w:r>
                      <w:rPr>
                        <w:spacing w:val="-1"/>
                        <w:sz w:val="18"/>
                      </w:rPr>
                      <w:t> </w:t>
                    </w:r>
                    <w:r>
                      <w:rPr>
                        <w:sz w:val="18"/>
                      </w:rPr>
                      <w:t>community</w:t>
                    </w:r>
                    <w:r>
                      <w:rPr>
                        <w:spacing w:val="-1"/>
                        <w:sz w:val="18"/>
                      </w:rPr>
                      <w:t> </w:t>
                    </w:r>
                    <w:r>
                      <w:rPr>
                        <w:sz w:val="18"/>
                      </w:rPr>
                      <w:t>pharmacists</w:t>
                    </w:r>
                    <w:r>
                      <w:rPr>
                        <w:spacing w:val="-4"/>
                        <w:sz w:val="18"/>
                      </w:rPr>
                      <w:t> </w:t>
                    </w:r>
                    <w:r>
                      <w:rPr>
                        <w:sz w:val="18"/>
                      </w:rPr>
                      <w:t>in your local area</w:t>
                    </w:r>
                    <w:r>
                      <w:rPr>
                        <w:spacing w:val="-4"/>
                        <w:sz w:val="18"/>
                      </w:rPr>
                      <w:t> </w:t>
                    </w:r>
                    <w:r>
                      <w:rPr>
                        <w:sz w:val="18"/>
                      </w:rPr>
                      <w:t>improved?</w:t>
                    </w:r>
                  </w:p>
                  <w:p>
                    <w:pPr>
                      <w:numPr>
                        <w:ilvl w:val="0"/>
                        <w:numId w:val="101"/>
                      </w:numPr>
                      <w:tabs>
                        <w:tab w:pos="410" w:val="left" w:leader="none"/>
                        <w:tab w:pos="411" w:val="left" w:leader="none"/>
                      </w:tabs>
                      <w:spacing w:before="120"/>
                      <w:ind w:left="410" w:right="0" w:hanging="411"/>
                      <w:jc w:val="left"/>
                      <w:rPr>
                        <w:sz w:val="18"/>
                      </w:rPr>
                    </w:pPr>
                    <w:r>
                      <w:rPr>
                        <w:sz w:val="18"/>
                      </w:rPr>
                      <w:t>Yes</w:t>
                    </w:r>
                  </w:p>
                  <w:p>
                    <w:pPr>
                      <w:numPr>
                        <w:ilvl w:val="0"/>
                        <w:numId w:val="101"/>
                      </w:numPr>
                      <w:tabs>
                        <w:tab w:pos="410" w:val="left" w:leader="none"/>
                        <w:tab w:pos="411" w:val="left" w:leader="none"/>
                      </w:tabs>
                      <w:spacing w:before="34"/>
                      <w:ind w:left="410" w:right="0" w:hanging="411"/>
                      <w:jc w:val="left"/>
                      <w:rPr>
                        <w:sz w:val="18"/>
                      </w:rPr>
                    </w:pPr>
                    <w:r>
                      <w:rPr>
                        <w:sz w:val="18"/>
                      </w:rPr>
                      <w:t>No</w:t>
                    </w:r>
                  </w:p>
                  <w:p>
                    <w:pPr>
                      <w:numPr>
                        <w:ilvl w:val="0"/>
                        <w:numId w:val="101"/>
                      </w:numPr>
                      <w:tabs>
                        <w:tab w:pos="357" w:val="left" w:leader="none"/>
                        <w:tab w:pos="358" w:val="left" w:leader="none"/>
                      </w:tabs>
                      <w:spacing w:before="33"/>
                      <w:ind w:left="357" w:right="0" w:hanging="358"/>
                      <w:jc w:val="left"/>
                      <w:rPr>
                        <w:sz w:val="18"/>
                      </w:rPr>
                    </w:pPr>
                    <w:r>
                      <w:rPr>
                        <w:sz w:val="18"/>
                      </w:rPr>
                      <w:t>Can’t</w:t>
                    </w:r>
                    <w:r>
                      <w:rPr>
                        <w:spacing w:val="-3"/>
                        <w:sz w:val="18"/>
                      </w:rPr>
                      <w:t> </w:t>
                    </w:r>
                    <w:r>
                      <w:rPr>
                        <w:sz w:val="18"/>
                      </w:rPr>
                      <w:t>say</w:t>
                    </w:r>
                  </w:p>
                </w:txbxContent>
              </v:textbox>
              <w10:wrap type="none"/>
            </v:shape>
            <v:shape style="position:absolute;left:112;top:2934;width:10018;height:1784" type="#_x0000_t202" id="docshape213" filled="false" stroked="false">
              <v:textbox inset="0,0,0,0">
                <w:txbxContent>
                  <w:p>
                    <w:pPr>
                      <w:tabs>
                        <w:tab w:pos="641" w:val="left" w:leader="none"/>
                      </w:tabs>
                      <w:spacing w:before="0"/>
                      <w:ind w:left="0" w:right="0" w:firstLine="0"/>
                      <w:jc w:val="left"/>
                      <w:rPr>
                        <w:sz w:val="18"/>
                      </w:rPr>
                    </w:pPr>
                    <w:r>
                      <w:rPr>
                        <w:sz w:val="18"/>
                      </w:rPr>
                      <w:t>16J.</w:t>
                      <w:tab/>
                      <w:t>What</w:t>
                    </w:r>
                    <w:r>
                      <w:rPr>
                        <w:spacing w:val="-5"/>
                        <w:sz w:val="18"/>
                      </w:rPr>
                      <w:t> </w:t>
                    </w:r>
                    <w:r>
                      <w:rPr>
                        <w:sz w:val="18"/>
                      </w:rPr>
                      <w:t>are</w:t>
                    </w:r>
                    <w:r>
                      <w:rPr>
                        <w:spacing w:val="-3"/>
                        <w:sz w:val="18"/>
                      </w:rPr>
                      <w:t> </w:t>
                    </w:r>
                    <w:r>
                      <w:rPr>
                        <w:sz w:val="18"/>
                      </w:rPr>
                      <w:t>top</w:t>
                    </w:r>
                    <w:r>
                      <w:rPr>
                        <w:spacing w:val="-4"/>
                        <w:sz w:val="18"/>
                      </w:rPr>
                      <w:t> </w:t>
                    </w:r>
                    <w:r>
                      <w:rPr>
                        <w:sz w:val="18"/>
                      </w:rPr>
                      <w:t>three</w:t>
                    </w:r>
                    <w:r>
                      <w:rPr>
                        <w:spacing w:val="-2"/>
                        <w:sz w:val="18"/>
                      </w:rPr>
                      <w:t> </w:t>
                    </w:r>
                    <w:r>
                      <w:rPr>
                        <w:sz w:val="18"/>
                      </w:rPr>
                      <w:t>ways</w:t>
                    </w:r>
                    <w:r>
                      <w:rPr>
                        <w:spacing w:val="-4"/>
                        <w:sz w:val="18"/>
                      </w:rPr>
                      <w:t> </w:t>
                    </w:r>
                    <w:r>
                      <w:rPr>
                        <w:sz w:val="18"/>
                      </w:rPr>
                      <w:t>in</w:t>
                    </w:r>
                    <w:r>
                      <w:rPr>
                        <w:spacing w:val="-3"/>
                        <w:sz w:val="18"/>
                      </w:rPr>
                      <w:t> </w:t>
                    </w:r>
                    <w:r>
                      <w:rPr>
                        <w:sz w:val="18"/>
                      </w:rPr>
                      <w:t>which</w:t>
                    </w:r>
                    <w:r>
                      <w:rPr>
                        <w:spacing w:val="-4"/>
                        <w:sz w:val="18"/>
                      </w:rPr>
                      <w:t> </w:t>
                    </w:r>
                    <w:r>
                      <w:rPr>
                        <w:sz w:val="18"/>
                      </w:rPr>
                      <w:t>community</w:t>
                    </w:r>
                    <w:r>
                      <w:rPr>
                        <w:spacing w:val="-4"/>
                        <w:sz w:val="18"/>
                      </w:rPr>
                      <w:t> </w:t>
                    </w:r>
                    <w:r>
                      <w:rPr>
                        <w:sz w:val="18"/>
                      </w:rPr>
                      <w:t>pharmacists’</w:t>
                    </w:r>
                    <w:r>
                      <w:rPr>
                        <w:spacing w:val="-5"/>
                        <w:sz w:val="18"/>
                      </w:rPr>
                      <w:t> </w:t>
                    </w:r>
                    <w:r>
                      <w:rPr>
                        <w:sz w:val="18"/>
                      </w:rPr>
                      <w:t>expertise</w:t>
                    </w:r>
                    <w:r>
                      <w:rPr>
                        <w:spacing w:val="-4"/>
                        <w:sz w:val="18"/>
                      </w:rPr>
                      <w:t> </w:t>
                    </w:r>
                    <w:r>
                      <w:rPr>
                        <w:sz w:val="18"/>
                      </w:rPr>
                      <w:t>can</w:t>
                    </w:r>
                    <w:r>
                      <w:rPr>
                        <w:spacing w:val="-3"/>
                        <w:sz w:val="18"/>
                      </w:rPr>
                      <w:t> </w:t>
                    </w:r>
                    <w:r>
                      <w:rPr>
                        <w:sz w:val="18"/>
                      </w:rPr>
                      <w:t>be</w:t>
                    </w:r>
                    <w:r>
                      <w:rPr>
                        <w:spacing w:val="-3"/>
                        <w:sz w:val="18"/>
                      </w:rPr>
                      <w:t> </w:t>
                    </w:r>
                    <w:r>
                      <w:rPr>
                        <w:sz w:val="18"/>
                      </w:rPr>
                      <w:t>better</w:t>
                    </w:r>
                    <w:r>
                      <w:rPr>
                        <w:spacing w:val="-3"/>
                        <w:sz w:val="18"/>
                      </w:rPr>
                      <w:t> </w:t>
                    </w:r>
                    <w:r>
                      <w:rPr>
                        <w:sz w:val="18"/>
                      </w:rPr>
                      <w:t>used</w:t>
                    </w:r>
                    <w:r>
                      <w:rPr>
                        <w:spacing w:val="-3"/>
                        <w:sz w:val="18"/>
                      </w:rPr>
                      <w:t> </w:t>
                    </w:r>
                    <w:r>
                      <w:rPr>
                        <w:sz w:val="18"/>
                      </w:rPr>
                      <w:t>towards</w:t>
                    </w:r>
                    <w:r>
                      <w:rPr>
                        <w:spacing w:val="-4"/>
                        <w:sz w:val="18"/>
                      </w:rPr>
                      <w:t> </w:t>
                    </w:r>
                    <w:r>
                      <w:rPr>
                        <w:sz w:val="18"/>
                      </w:rPr>
                      <w:t>improving</w:t>
                    </w:r>
                  </w:p>
                  <w:p>
                    <w:pPr>
                      <w:spacing w:before="0"/>
                      <w:ind w:left="732" w:right="0" w:firstLine="0"/>
                      <w:jc w:val="left"/>
                      <w:rPr>
                        <w:sz w:val="18"/>
                      </w:rPr>
                    </w:pPr>
                    <w:r>
                      <w:rPr>
                        <w:sz w:val="18"/>
                      </w:rPr>
                      <w:t>the</w:t>
                    </w:r>
                    <w:r>
                      <w:rPr>
                        <w:spacing w:val="-3"/>
                        <w:sz w:val="18"/>
                      </w:rPr>
                      <w:t> </w:t>
                    </w:r>
                    <w:r>
                      <w:rPr>
                        <w:sz w:val="18"/>
                      </w:rPr>
                      <w:t>care</w:t>
                    </w:r>
                    <w:r>
                      <w:rPr>
                        <w:spacing w:val="-3"/>
                        <w:sz w:val="18"/>
                      </w:rPr>
                      <w:t> </w:t>
                    </w:r>
                    <w:r>
                      <w:rPr>
                        <w:sz w:val="18"/>
                      </w:rPr>
                      <w:t>provided</w:t>
                    </w:r>
                    <w:r>
                      <w:rPr>
                        <w:spacing w:val="-3"/>
                        <w:sz w:val="18"/>
                      </w:rPr>
                      <w:t> </w:t>
                    </w:r>
                    <w:r>
                      <w:rPr>
                        <w:sz w:val="18"/>
                      </w:rPr>
                      <w:t>for</w:t>
                    </w:r>
                    <w:r>
                      <w:rPr>
                        <w:spacing w:val="-3"/>
                        <w:sz w:val="18"/>
                      </w:rPr>
                      <w:t> </w:t>
                    </w:r>
                    <w:r>
                      <w:rPr>
                        <w:sz w:val="18"/>
                      </w:rPr>
                      <w:t>HCH</w:t>
                    </w:r>
                    <w:r>
                      <w:rPr>
                        <w:spacing w:val="-6"/>
                        <w:sz w:val="18"/>
                      </w:rPr>
                      <w:t> </w:t>
                    </w:r>
                    <w:r>
                      <w:rPr>
                        <w:sz w:val="18"/>
                      </w:rPr>
                      <w:t>patients</w:t>
                    </w:r>
                    <w:r>
                      <w:rPr>
                        <w:spacing w:val="-3"/>
                        <w:sz w:val="18"/>
                      </w:rPr>
                      <w:t> </w:t>
                    </w:r>
                    <w:r>
                      <w:rPr>
                        <w:sz w:val="18"/>
                      </w:rPr>
                      <w:t>and other</w:t>
                    </w:r>
                    <w:r>
                      <w:rPr>
                        <w:spacing w:val="-3"/>
                        <w:sz w:val="18"/>
                      </w:rPr>
                      <w:t> </w:t>
                    </w:r>
                    <w:r>
                      <w:rPr>
                        <w:sz w:val="18"/>
                      </w:rPr>
                      <w:t>patients</w:t>
                    </w:r>
                    <w:r>
                      <w:rPr>
                        <w:spacing w:val="-3"/>
                        <w:sz w:val="18"/>
                      </w:rPr>
                      <w:t> </w:t>
                    </w:r>
                    <w:r>
                      <w:rPr>
                        <w:sz w:val="18"/>
                      </w:rPr>
                      <w:t>with</w:t>
                    </w:r>
                    <w:r>
                      <w:rPr>
                        <w:spacing w:val="-3"/>
                        <w:sz w:val="18"/>
                      </w:rPr>
                      <w:t> </w:t>
                    </w:r>
                    <w:r>
                      <w:rPr>
                        <w:sz w:val="18"/>
                      </w:rPr>
                      <w:t>chronic</w:t>
                    </w:r>
                    <w:r>
                      <w:rPr>
                        <w:spacing w:val="-6"/>
                        <w:sz w:val="18"/>
                      </w:rPr>
                      <w:t> </w:t>
                    </w:r>
                    <w:r>
                      <w:rPr>
                        <w:sz w:val="18"/>
                      </w:rPr>
                      <w:t>illnesses?</w:t>
                    </w:r>
                  </w:p>
                  <w:p>
                    <w:pPr>
                      <w:tabs>
                        <w:tab w:pos="5071" w:val="left" w:leader="none"/>
                      </w:tabs>
                      <w:spacing w:before="120"/>
                      <w:ind w:left="427" w:right="0" w:firstLine="0"/>
                      <w:jc w:val="left"/>
                      <w:rPr>
                        <w:sz w:val="18"/>
                      </w:rPr>
                    </w:pPr>
                    <w:r>
                      <w:rPr>
                        <w:sz w:val="18"/>
                      </w:rPr>
                      <w:t>(1)</w:t>
                    </w:r>
                    <w:r>
                      <w:rPr>
                        <w:spacing w:val="-1"/>
                        <w:sz w:val="18"/>
                      </w:rPr>
                      <w:t> </w:t>
                    </w:r>
                    <w:r>
                      <w:rPr>
                        <w:sz w:val="18"/>
                        <w:u w:val="single" w:color="BDBDBD"/>
                      </w:rPr>
                      <w:t> </w:t>
                      <w:tab/>
                    </w:r>
                  </w:p>
                  <w:p>
                    <w:pPr>
                      <w:spacing w:line="240" w:lineRule="auto" w:before="9"/>
                      <w:rPr>
                        <w:sz w:val="22"/>
                      </w:rPr>
                    </w:pPr>
                  </w:p>
                  <w:p>
                    <w:pPr>
                      <w:tabs>
                        <w:tab w:pos="5071" w:val="left" w:leader="none"/>
                      </w:tabs>
                      <w:spacing w:before="0"/>
                      <w:ind w:left="427" w:right="0" w:firstLine="0"/>
                      <w:jc w:val="left"/>
                      <w:rPr>
                        <w:sz w:val="18"/>
                      </w:rPr>
                    </w:pPr>
                    <w:r>
                      <w:rPr>
                        <w:sz w:val="18"/>
                      </w:rPr>
                      <w:t>(2)</w:t>
                    </w:r>
                    <w:r>
                      <w:rPr>
                        <w:spacing w:val="-1"/>
                        <w:sz w:val="18"/>
                      </w:rPr>
                      <w:t> </w:t>
                    </w:r>
                    <w:r>
                      <w:rPr>
                        <w:sz w:val="18"/>
                        <w:u w:val="single" w:color="BDBDBD"/>
                      </w:rPr>
                      <w:t> </w:t>
                      <w:tab/>
                    </w:r>
                  </w:p>
                  <w:p>
                    <w:pPr>
                      <w:spacing w:line="240" w:lineRule="auto" w:before="11"/>
                      <w:rPr>
                        <w:sz w:val="22"/>
                      </w:rPr>
                    </w:pPr>
                  </w:p>
                  <w:p>
                    <w:pPr>
                      <w:tabs>
                        <w:tab w:pos="5071" w:val="left" w:leader="none"/>
                      </w:tabs>
                      <w:spacing w:before="0"/>
                      <w:ind w:left="427" w:right="0" w:firstLine="0"/>
                      <w:jc w:val="left"/>
                      <w:rPr>
                        <w:sz w:val="18"/>
                      </w:rPr>
                    </w:pPr>
                    <w:r>
                      <w:rPr>
                        <w:sz w:val="18"/>
                      </w:rPr>
                      <w:t>(3)</w:t>
                    </w:r>
                    <w:r>
                      <w:rPr>
                        <w:spacing w:val="-1"/>
                        <w:sz w:val="18"/>
                      </w:rPr>
                      <w:t> </w:t>
                    </w:r>
                    <w:r>
                      <w:rPr>
                        <w:sz w:val="18"/>
                        <w:u w:val="single" w:color="BDBDBD"/>
                      </w:rPr>
                      <w:t> </w:t>
                      <w:tab/>
                    </w:r>
                  </w:p>
                </w:txbxContent>
              </v:textbox>
              <w10:wrap type="none"/>
            </v:shape>
          </v:group>
        </w:pict>
      </w:r>
      <w:r>
        <w:rPr/>
      </w:r>
    </w:p>
    <w:p>
      <w:pPr>
        <w:pStyle w:val="BodyText"/>
        <w:spacing w:before="10"/>
        <w:rPr>
          <w:sz w:val="9"/>
        </w:rPr>
      </w:pPr>
    </w:p>
    <w:p>
      <w:pPr>
        <w:pStyle w:val="ListParagraph"/>
        <w:numPr>
          <w:ilvl w:val="0"/>
          <w:numId w:val="87"/>
        </w:numPr>
        <w:tabs>
          <w:tab w:pos="723" w:val="left" w:leader="none"/>
        </w:tabs>
        <w:spacing w:line="240" w:lineRule="auto" w:before="100" w:after="0"/>
        <w:ind w:left="722" w:right="0" w:hanging="303"/>
        <w:jc w:val="left"/>
        <w:rPr>
          <w:sz w:val="18"/>
        </w:rPr>
      </w:pPr>
      <w:r>
        <w:rPr>
          <w:sz w:val="18"/>
        </w:rPr>
        <w:t>When</w:t>
      </w:r>
      <w:r>
        <w:rPr>
          <w:spacing w:val="-3"/>
          <w:sz w:val="18"/>
        </w:rPr>
        <w:t> </w:t>
      </w:r>
      <w:r>
        <w:rPr>
          <w:sz w:val="18"/>
        </w:rPr>
        <w:t>patients</w:t>
      </w:r>
      <w:r>
        <w:rPr>
          <w:spacing w:val="-3"/>
          <w:sz w:val="18"/>
        </w:rPr>
        <w:t> </w:t>
      </w:r>
      <w:r>
        <w:rPr>
          <w:sz w:val="18"/>
        </w:rPr>
        <w:t>are</w:t>
      </w:r>
      <w:r>
        <w:rPr>
          <w:spacing w:val="-3"/>
          <w:sz w:val="18"/>
        </w:rPr>
        <w:t> </w:t>
      </w:r>
      <w:r>
        <w:rPr>
          <w:sz w:val="18"/>
        </w:rPr>
        <w:t>discharged</w:t>
      </w:r>
      <w:r>
        <w:rPr>
          <w:spacing w:val="-3"/>
          <w:sz w:val="18"/>
        </w:rPr>
        <w:t> </w:t>
      </w:r>
      <w:r>
        <w:rPr>
          <w:sz w:val="18"/>
        </w:rPr>
        <w:t>from</w:t>
      </w:r>
      <w:r>
        <w:rPr>
          <w:spacing w:val="-7"/>
          <w:sz w:val="18"/>
        </w:rPr>
        <w:t> </w:t>
      </w:r>
      <w:r>
        <w:rPr>
          <w:sz w:val="18"/>
        </w:rPr>
        <w:t>the</w:t>
      </w:r>
      <w:r>
        <w:rPr>
          <w:spacing w:val="2"/>
          <w:sz w:val="18"/>
        </w:rPr>
        <w:t> </w:t>
      </w:r>
      <w:r>
        <w:rPr>
          <w:sz w:val="18"/>
        </w:rPr>
        <w:t>hospital,</w:t>
      </w:r>
      <w:r>
        <w:rPr>
          <w:spacing w:val="-4"/>
          <w:sz w:val="18"/>
        </w:rPr>
        <w:t> </w:t>
      </w:r>
      <w:r>
        <w:rPr>
          <w:sz w:val="18"/>
        </w:rPr>
        <w:t>the</w:t>
      </w:r>
      <w:r>
        <w:rPr>
          <w:spacing w:val="-3"/>
          <w:sz w:val="18"/>
        </w:rPr>
        <w:t> </w:t>
      </w:r>
      <w:r>
        <w:rPr>
          <w:sz w:val="18"/>
        </w:rPr>
        <w:t>primary</w:t>
      </w:r>
      <w:r>
        <w:rPr>
          <w:spacing w:val="-3"/>
          <w:sz w:val="18"/>
        </w:rPr>
        <w:t> </w:t>
      </w:r>
      <w:r>
        <w:rPr>
          <w:sz w:val="18"/>
        </w:rPr>
        <w:t>care</w:t>
      </w:r>
      <w:r>
        <w:rPr>
          <w:spacing w:val="-4"/>
          <w:sz w:val="18"/>
        </w:rPr>
        <w:t> </w:t>
      </w:r>
      <w:r>
        <w:rPr>
          <w:sz w:val="18"/>
        </w:rPr>
        <w:t>team…</w:t>
      </w:r>
    </w:p>
    <w:p>
      <w:pPr>
        <w:pStyle w:val="ListParagraph"/>
        <w:numPr>
          <w:ilvl w:val="0"/>
          <w:numId w:val="102"/>
        </w:numPr>
        <w:tabs>
          <w:tab w:pos="924" w:val="left" w:leader="none"/>
        </w:tabs>
        <w:spacing w:line="240" w:lineRule="auto" w:before="120" w:after="0"/>
        <w:ind w:left="923" w:right="0" w:hanging="221"/>
        <w:jc w:val="left"/>
        <w:rPr>
          <w:sz w:val="18"/>
        </w:rPr>
      </w:pPr>
      <w:r>
        <w:rPr>
          <w:sz w:val="18"/>
        </w:rPr>
        <w:t>…is</w:t>
      </w:r>
      <w:r>
        <w:rPr>
          <w:spacing w:val="-3"/>
          <w:sz w:val="18"/>
        </w:rPr>
        <w:t> </w:t>
      </w:r>
      <w:r>
        <w:rPr>
          <w:sz w:val="18"/>
        </w:rPr>
        <w:t>informed</w:t>
      </w:r>
      <w:r>
        <w:rPr>
          <w:spacing w:val="-3"/>
          <w:sz w:val="18"/>
        </w:rPr>
        <w:t> </w:t>
      </w:r>
      <w:r>
        <w:rPr>
          <w:sz w:val="18"/>
        </w:rPr>
        <w:t>about</w:t>
      </w:r>
      <w:r>
        <w:rPr>
          <w:spacing w:val="-4"/>
          <w:sz w:val="18"/>
        </w:rPr>
        <w:t> </w:t>
      </w:r>
      <w:r>
        <w:rPr>
          <w:sz w:val="18"/>
        </w:rPr>
        <w:t>the</w:t>
      </w:r>
      <w:r>
        <w:rPr>
          <w:spacing w:val="-2"/>
          <w:sz w:val="18"/>
        </w:rPr>
        <w:t> </w:t>
      </w:r>
      <w:r>
        <w:rPr>
          <w:sz w:val="18"/>
        </w:rPr>
        <w:t>care</w:t>
      </w:r>
      <w:r>
        <w:rPr>
          <w:spacing w:val="-2"/>
          <w:sz w:val="18"/>
        </w:rPr>
        <w:t> </w:t>
      </w:r>
      <w:r>
        <w:rPr>
          <w:sz w:val="18"/>
        </w:rPr>
        <w:t>patients</w:t>
      </w:r>
      <w:r>
        <w:rPr>
          <w:spacing w:val="-5"/>
          <w:sz w:val="18"/>
        </w:rPr>
        <w:t> </w:t>
      </w:r>
      <w:r>
        <w:rPr>
          <w:sz w:val="18"/>
        </w:rPr>
        <w:t>received</w:t>
      </w:r>
      <w:r>
        <w:rPr>
          <w:spacing w:val="-3"/>
          <w:sz w:val="18"/>
        </w:rPr>
        <w:t> </w:t>
      </w:r>
      <w:r>
        <w:rPr>
          <w:sz w:val="18"/>
        </w:rPr>
        <w:t>from</w:t>
      </w:r>
      <w:r>
        <w:rPr>
          <w:spacing w:val="-5"/>
          <w:sz w:val="18"/>
        </w:rPr>
        <w:t> </w:t>
      </w:r>
      <w:r>
        <w:rPr>
          <w:sz w:val="18"/>
        </w:rPr>
        <w:t>the</w:t>
      </w:r>
      <w:r>
        <w:rPr>
          <w:spacing w:val="-2"/>
          <w:sz w:val="18"/>
        </w:rPr>
        <w:t> </w:t>
      </w:r>
      <w:r>
        <w:rPr>
          <w:sz w:val="18"/>
        </w:rPr>
        <w:t>hospital.</w:t>
      </w:r>
      <w:r>
        <w:rPr>
          <w:spacing w:val="-2"/>
          <w:sz w:val="18"/>
        </w:rPr>
        <w:t> </w:t>
      </w:r>
      <w:r>
        <w:rPr>
          <w:sz w:val="18"/>
        </w:rPr>
        <w:t>(1)</w:t>
      </w:r>
    </w:p>
    <w:p>
      <w:pPr>
        <w:spacing w:before="118"/>
        <w:ind w:left="1697" w:right="0" w:firstLine="0"/>
        <w:jc w:val="left"/>
        <w:rPr>
          <w:sz w:val="18"/>
        </w:rPr>
      </w:pPr>
      <w:r>
        <w:rPr/>
        <w:drawing>
          <wp:anchor distT="0" distB="0" distL="0" distR="0" allowOverlap="1" layoutInCell="1" locked="0" behindDoc="0" simplePos="0" relativeHeight="16036352">
            <wp:simplePos x="0" y="0"/>
            <wp:positionH relativeFrom="page">
              <wp:posOffset>1054901</wp:posOffset>
            </wp:positionH>
            <wp:positionV relativeFrom="paragraph">
              <wp:posOffset>119399</wp:posOffset>
            </wp:positionV>
            <wp:extent cx="58380" cy="72151"/>
            <wp:effectExtent l="0" t="0" r="0" b="0"/>
            <wp:wrapNone/>
            <wp:docPr id="1637" name="image13.png"/>
            <wp:cNvGraphicFramePr>
              <a:graphicFrameLocks noChangeAspect="1"/>
            </wp:cNvGraphicFramePr>
            <a:graphic>
              <a:graphicData uri="http://schemas.openxmlformats.org/drawingml/2006/picture">
                <pic:pic>
                  <pic:nvPicPr>
                    <pic:cNvPr id="163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Disagree</w:t>
      </w:r>
      <w:r>
        <w:rPr>
          <w:spacing w:val="-5"/>
          <w:sz w:val="18"/>
        </w:rPr>
        <w:t> </w:t>
      </w:r>
      <w:r>
        <w:rPr>
          <w:sz w:val="18"/>
        </w:rPr>
        <w:t>(1)</w:t>
      </w:r>
    </w:p>
    <w:p>
      <w:pPr>
        <w:spacing w:line="372" w:lineRule="auto" w:before="120"/>
        <w:ind w:left="1697" w:right="7257" w:firstLine="0"/>
        <w:jc w:val="left"/>
        <w:rPr>
          <w:sz w:val="18"/>
        </w:rPr>
      </w:pPr>
      <w:r>
        <w:rPr/>
        <w:drawing>
          <wp:anchor distT="0" distB="0" distL="0" distR="0" allowOverlap="1" layoutInCell="1" locked="0" behindDoc="0" simplePos="0" relativeHeight="16036864">
            <wp:simplePos x="0" y="0"/>
            <wp:positionH relativeFrom="page">
              <wp:posOffset>1054901</wp:posOffset>
            </wp:positionH>
            <wp:positionV relativeFrom="paragraph">
              <wp:posOffset>120668</wp:posOffset>
            </wp:positionV>
            <wp:extent cx="58380" cy="72151"/>
            <wp:effectExtent l="0" t="0" r="0" b="0"/>
            <wp:wrapNone/>
            <wp:docPr id="1639" name="image13.png"/>
            <wp:cNvGraphicFramePr>
              <a:graphicFrameLocks noChangeAspect="1"/>
            </wp:cNvGraphicFramePr>
            <a:graphic>
              <a:graphicData uri="http://schemas.openxmlformats.org/drawingml/2006/picture">
                <pic:pic>
                  <pic:nvPicPr>
                    <pic:cNvPr id="1640"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037376">
            <wp:simplePos x="0" y="0"/>
            <wp:positionH relativeFrom="page">
              <wp:posOffset>1054901</wp:posOffset>
            </wp:positionH>
            <wp:positionV relativeFrom="paragraph">
              <wp:posOffset>336883</wp:posOffset>
            </wp:positionV>
            <wp:extent cx="58380" cy="73869"/>
            <wp:effectExtent l="0" t="0" r="0" b="0"/>
            <wp:wrapNone/>
            <wp:docPr id="1641" name="image14.png"/>
            <wp:cNvGraphicFramePr>
              <a:graphicFrameLocks noChangeAspect="1"/>
            </wp:cNvGraphicFramePr>
            <a:graphic>
              <a:graphicData uri="http://schemas.openxmlformats.org/drawingml/2006/picture">
                <pic:pic>
                  <pic:nvPicPr>
                    <pic:cNvPr id="1642" name="image14.png"/>
                    <pic:cNvPicPr/>
                  </pic:nvPicPr>
                  <pic:blipFill>
                    <a:blip r:embed="rId43" cstate="print"/>
                    <a:stretch>
                      <a:fillRect/>
                    </a:stretch>
                  </pic:blipFill>
                  <pic:spPr>
                    <a:xfrm>
                      <a:off x="0" y="0"/>
                      <a:ext cx="58380" cy="73869"/>
                    </a:xfrm>
                    <a:prstGeom prst="rect">
                      <a:avLst/>
                    </a:prstGeom>
                  </pic:spPr>
                </pic:pic>
              </a:graphicData>
            </a:graphic>
          </wp:anchor>
        </w:drawing>
      </w:r>
      <w:r>
        <w:rPr/>
        <w:drawing>
          <wp:anchor distT="0" distB="0" distL="0" distR="0" allowOverlap="1" layoutInCell="1" locked="0" behindDoc="0" simplePos="0" relativeHeight="16037888">
            <wp:simplePos x="0" y="0"/>
            <wp:positionH relativeFrom="page">
              <wp:posOffset>1054901</wp:posOffset>
            </wp:positionH>
            <wp:positionV relativeFrom="paragraph">
              <wp:posOffset>553484</wp:posOffset>
            </wp:positionV>
            <wp:extent cx="58380" cy="72151"/>
            <wp:effectExtent l="0" t="0" r="0" b="0"/>
            <wp:wrapNone/>
            <wp:docPr id="1643" name="image13.png"/>
            <wp:cNvGraphicFramePr>
              <a:graphicFrameLocks noChangeAspect="1"/>
            </wp:cNvGraphicFramePr>
            <a:graphic>
              <a:graphicData uri="http://schemas.openxmlformats.org/drawingml/2006/picture">
                <pic:pic>
                  <pic:nvPicPr>
                    <pic:cNvPr id="164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 disagree (2)</w:t>
      </w:r>
      <w:r>
        <w:rPr>
          <w:spacing w:val="1"/>
          <w:sz w:val="18"/>
        </w:rPr>
        <w:t> </w:t>
      </w:r>
      <w:r>
        <w:rPr>
          <w:sz w:val="18"/>
        </w:rPr>
        <w:t>Neither agree nor disagree (3)</w:t>
      </w:r>
      <w:r>
        <w:rPr>
          <w:spacing w:val="-48"/>
          <w:sz w:val="18"/>
        </w:rPr>
        <w:t> </w:t>
      </w:r>
      <w:r>
        <w:rPr>
          <w:sz w:val="18"/>
        </w:rPr>
        <w:t>Somewhat</w:t>
      </w:r>
      <w:r>
        <w:rPr>
          <w:spacing w:val="-3"/>
          <w:sz w:val="18"/>
        </w:rPr>
        <w:t> </w:t>
      </w:r>
      <w:r>
        <w:rPr>
          <w:sz w:val="18"/>
        </w:rPr>
        <w:t>agree</w:t>
      </w:r>
      <w:r>
        <w:rPr>
          <w:spacing w:val="3"/>
          <w:sz w:val="18"/>
        </w:rPr>
        <w:t> </w:t>
      </w:r>
      <w:r>
        <w:rPr>
          <w:sz w:val="18"/>
        </w:rPr>
        <w:t>(4)</w:t>
      </w:r>
    </w:p>
    <w:p>
      <w:pPr>
        <w:spacing w:line="217" w:lineRule="exact" w:before="0"/>
        <w:ind w:left="1697" w:right="0" w:firstLine="0"/>
        <w:jc w:val="left"/>
        <w:rPr>
          <w:sz w:val="18"/>
        </w:rPr>
      </w:pPr>
      <w:r>
        <w:rPr/>
        <w:drawing>
          <wp:anchor distT="0" distB="0" distL="0" distR="0" allowOverlap="1" layoutInCell="1" locked="0" behindDoc="0" simplePos="0" relativeHeight="16038400">
            <wp:simplePos x="0" y="0"/>
            <wp:positionH relativeFrom="page">
              <wp:posOffset>1054901</wp:posOffset>
            </wp:positionH>
            <wp:positionV relativeFrom="paragraph">
              <wp:posOffset>42040</wp:posOffset>
            </wp:positionV>
            <wp:extent cx="58380" cy="72151"/>
            <wp:effectExtent l="0" t="0" r="0" b="0"/>
            <wp:wrapNone/>
            <wp:docPr id="1645" name="image13.png"/>
            <wp:cNvGraphicFramePr>
              <a:graphicFrameLocks noChangeAspect="1"/>
            </wp:cNvGraphicFramePr>
            <a:graphic>
              <a:graphicData uri="http://schemas.openxmlformats.org/drawingml/2006/picture">
                <pic:pic>
                  <pic:nvPicPr>
                    <pic:cNvPr id="164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Agree (5)</w:t>
      </w:r>
    </w:p>
    <w:p>
      <w:pPr>
        <w:spacing w:before="120"/>
        <w:ind w:left="1697" w:right="0" w:firstLine="0"/>
        <w:jc w:val="left"/>
        <w:rPr>
          <w:sz w:val="18"/>
        </w:rPr>
      </w:pPr>
      <w:r>
        <w:rPr/>
        <w:drawing>
          <wp:anchor distT="0" distB="0" distL="0" distR="0" allowOverlap="1" layoutInCell="1" locked="0" behindDoc="0" simplePos="0" relativeHeight="16038912">
            <wp:simplePos x="0" y="0"/>
            <wp:positionH relativeFrom="page">
              <wp:posOffset>1054901</wp:posOffset>
            </wp:positionH>
            <wp:positionV relativeFrom="paragraph">
              <wp:posOffset>120221</wp:posOffset>
            </wp:positionV>
            <wp:extent cx="58380" cy="73869"/>
            <wp:effectExtent l="0" t="0" r="0" b="0"/>
            <wp:wrapNone/>
            <wp:docPr id="1647" name="image14.png"/>
            <wp:cNvGraphicFramePr>
              <a:graphicFrameLocks noChangeAspect="1"/>
            </wp:cNvGraphicFramePr>
            <a:graphic>
              <a:graphicData uri="http://schemas.openxmlformats.org/drawingml/2006/picture">
                <pic:pic>
                  <pic:nvPicPr>
                    <pic:cNvPr id="1648"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pStyle w:val="ListParagraph"/>
        <w:numPr>
          <w:ilvl w:val="0"/>
          <w:numId w:val="102"/>
        </w:numPr>
        <w:tabs>
          <w:tab w:pos="924" w:val="left" w:leader="none"/>
        </w:tabs>
        <w:spacing w:line="240" w:lineRule="auto" w:before="120" w:after="0"/>
        <w:ind w:left="923" w:right="0" w:hanging="221"/>
        <w:jc w:val="left"/>
        <w:rPr>
          <w:sz w:val="18"/>
        </w:rPr>
      </w:pPr>
      <w:r>
        <w:rPr>
          <w:sz w:val="18"/>
        </w:rPr>
        <w:t>…receives</w:t>
      </w:r>
      <w:r>
        <w:rPr>
          <w:spacing w:val="-4"/>
          <w:sz w:val="18"/>
        </w:rPr>
        <w:t> </w:t>
      </w:r>
      <w:r>
        <w:rPr>
          <w:sz w:val="18"/>
        </w:rPr>
        <w:t>information</w:t>
      </w:r>
      <w:r>
        <w:rPr>
          <w:spacing w:val="-2"/>
          <w:sz w:val="18"/>
        </w:rPr>
        <w:t> </w:t>
      </w:r>
      <w:r>
        <w:rPr>
          <w:sz w:val="18"/>
        </w:rPr>
        <w:t>from</w:t>
      </w:r>
      <w:r>
        <w:rPr>
          <w:spacing w:val="-4"/>
          <w:sz w:val="18"/>
        </w:rPr>
        <w:t> </w:t>
      </w:r>
      <w:r>
        <w:rPr>
          <w:sz w:val="18"/>
        </w:rPr>
        <w:t>the</w:t>
      </w:r>
      <w:r>
        <w:rPr>
          <w:spacing w:val="-2"/>
          <w:sz w:val="18"/>
        </w:rPr>
        <w:t> </w:t>
      </w:r>
      <w:r>
        <w:rPr>
          <w:sz w:val="18"/>
        </w:rPr>
        <w:t>hospital</w:t>
      </w:r>
      <w:r>
        <w:rPr>
          <w:spacing w:val="-3"/>
          <w:sz w:val="18"/>
        </w:rPr>
        <w:t> </w:t>
      </w:r>
      <w:r>
        <w:rPr>
          <w:sz w:val="18"/>
        </w:rPr>
        <w:t>about</w:t>
      </w:r>
      <w:r>
        <w:rPr>
          <w:spacing w:val="-4"/>
          <w:sz w:val="18"/>
        </w:rPr>
        <w:t> </w:t>
      </w:r>
      <w:r>
        <w:rPr>
          <w:sz w:val="18"/>
        </w:rPr>
        <w:t>new</w:t>
      </w:r>
      <w:r>
        <w:rPr>
          <w:spacing w:val="-3"/>
          <w:sz w:val="18"/>
        </w:rPr>
        <w:t> </w:t>
      </w:r>
      <w:r>
        <w:rPr>
          <w:sz w:val="18"/>
        </w:rPr>
        <w:t>prescriptions</w:t>
      </w:r>
      <w:r>
        <w:rPr>
          <w:spacing w:val="-3"/>
          <w:sz w:val="18"/>
        </w:rPr>
        <w:t> </w:t>
      </w:r>
      <w:r>
        <w:rPr>
          <w:sz w:val="18"/>
        </w:rPr>
        <w:t>or</w:t>
      </w:r>
      <w:r>
        <w:rPr>
          <w:spacing w:val="-6"/>
          <w:sz w:val="18"/>
        </w:rPr>
        <w:t> </w:t>
      </w:r>
      <w:r>
        <w:rPr>
          <w:sz w:val="18"/>
        </w:rPr>
        <w:t>if</w:t>
      </w:r>
      <w:r>
        <w:rPr>
          <w:spacing w:val="-2"/>
          <w:sz w:val="18"/>
        </w:rPr>
        <w:t> </w:t>
      </w:r>
      <w:r>
        <w:rPr>
          <w:sz w:val="18"/>
        </w:rPr>
        <w:t>there</w:t>
      </w:r>
      <w:r>
        <w:rPr>
          <w:spacing w:val="-3"/>
          <w:sz w:val="18"/>
        </w:rPr>
        <w:t> </w:t>
      </w:r>
      <w:r>
        <w:rPr>
          <w:sz w:val="18"/>
        </w:rPr>
        <w:t>was</w:t>
      </w:r>
      <w:r>
        <w:rPr>
          <w:spacing w:val="-3"/>
          <w:sz w:val="18"/>
        </w:rPr>
        <w:t> </w:t>
      </w:r>
      <w:r>
        <w:rPr>
          <w:sz w:val="18"/>
        </w:rPr>
        <w:t>a</w:t>
      </w:r>
      <w:r>
        <w:rPr>
          <w:spacing w:val="-5"/>
          <w:sz w:val="18"/>
        </w:rPr>
        <w:t> </w:t>
      </w:r>
      <w:r>
        <w:rPr>
          <w:sz w:val="18"/>
        </w:rPr>
        <w:t>change</w:t>
      </w:r>
      <w:r>
        <w:rPr>
          <w:spacing w:val="-5"/>
          <w:sz w:val="18"/>
        </w:rPr>
        <w:t> </w:t>
      </w:r>
      <w:r>
        <w:rPr>
          <w:sz w:val="18"/>
        </w:rPr>
        <w:t>in</w:t>
      </w:r>
      <w:r>
        <w:rPr>
          <w:spacing w:val="-2"/>
          <w:sz w:val="18"/>
        </w:rPr>
        <w:t> </w:t>
      </w:r>
      <w:r>
        <w:rPr>
          <w:sz w:val="18"/>
        </w:rPr>
        <w:t>medication.</w:t>
      </w:r>
      <w:r>
        <w:rPr>
          <w:spacing w:val="-2"/>
          <w:sz w:val="18"/>
        </w:rPr>
        <w:t> </w:t>
      </w:r>
      <w:r>
        <w:rPr>
          <w:sz w:val="18"/>
        </w:rPr>
        <w:t>(2)</w:t>
      </w:r>
    </w:p>
    <w:p>
      <w:pPr>
        <w:spacing w:before="120"/>
        <w:ind w:left="1697" w:right="0" w:firstLine="0"/>
        <w:jc w:val="left"/>
        <w:rPr>
          <w:sz w:val="18"/>
        </w:rPr>
      </w:pPr>
      <w:r>
        <w:rPr/>
        <w:drawing>
          <wp:anchor distT="0" distB="0" distL="0" distR="0" allowOverlap="1" layoutInCell="1" locked="0" behindDoc="0" simplePos="0" relativeHeight="16039424">
            <wp:simplePos x="0" y="0"/>
            <wp:positionH relativeFrom="page">
              <wp:posOffset>1054901</wp:posOffset>
            </wp:positionH>
            <wp:positionV relativeFrom="paragraph">
              <wp:posOffset>120414</wp:posOffset>
            </wp:positionV>
            <wp:extent cx="58380" cy="72151"/>
            <wp:effectExtent l="0" t="0" r="0" b="0"/>
            <wp:wrapNone/>
            <wp:docPr id="1649" name="image13.png"/>
            <wp:cNvGraphicFramePr>
              <a:graphicFrameLocks noChangeAspect="1"/>
            </wp:cNvGraphicFramePr>
            <a:graphic>
              <a:graphicData uri="http://schemas.openxmlformats.org/drawingml/2006/picture">
                <pic:pic>
                  <pic:nvPicPr>
                    <pic:cNvPr id="165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Disagree</w:t>
      </w:r>
      <w:r>
        <w:rPr>
          <w:spacing w:val="-5"/>
          <w:sz w:val="18"/>
        </w:rPr>
        <w:t> </w:t>
      </w:r>
      <w:r>
        <w:rPr>
          <w:sz w:val="18"/>
        </w:rPr>
        <w:t>(1)</w:t>
      </w:r>
    </w:p>
    <w:p>
      <w:pPr>
        <w:spacing w:line="369" w:lineRule="auto" w:before="120"/>
        <w:ind w:left="1697" w:right="7257" w:firstLine="0"/>
        <w:jc w:val="left"/>
        <w:rPr>
          <w:sz w:val="18"/>
        </w:rPr>
      </w:pPr>
      <w:r>
        <w:rPr/>
        <w:drawing>
          <wp:anchor distT="0" distB="0" distL="0" distR="0" allowOverlap="1" layoutInCell="1" locked="0" behindDoc="0" simplePos="0" relativeHeight="16039936">
            <wp:simplePos x="0" y="0"/>
            <wp:positionH relativeFrom="page">
              <wp:posOffset>1054901</wp:posOffset>
            </wp:positionH>
            <wp:positionV relativeFrom="paragraph">
              <wp:posOffset>120414</wp:posOffset>
            </wp:positionV>
            <wp:extent cx="58380" cy="72151"/>
            <wp:effectExtent l="0" t="0" r="0" b="0"/>
            <wp:wrapNone/>
            <wp:docPr id="1651" name="image13.png"/>
            <wp:cNvGraphicFramePr>
              <a:graphicFrameLocks noChangeAspect="1"/>
            </wp:cNvGraphicFramePr>
            <a:graphic>
              <a:graphicData uri="http://schemas.openxmlformats.org/drawingml/2006/picture">
                <pic:pic>
                  <pic:nvPicPr>
                    <pic:cNvPr id="1652"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040448">
            <wp:simplePos x="0" y="0"/>
            <wp:positionH relativeFrom="page">
              <wp:posOffset>1054901</wp:posOffset>
            </wp:positionH>
            <wp:positionV relativeFrom="paragraph">
              <wp:posOffset>336822</wp:posOffset>
            </wp:positionV>
            <wp:extent cx="58380" cy="72151"/>
            <wp:effectExtent l="0" t="0" r="0" b="0"/>
            <wp:wrapNone/>
            <wp:docPr id="1653" name="image13.png"/>
            <wp:cNvGraphicFramePr>
              <a:graphicFrameLocks noChangeAspect="1"/>
            </wp:cNvGraphicFramePr>
            <a:graphic>
              <a:graphicData uri="http://schemas.openxmlformats.org/drawingml/2006/picture">
                <pic:pic>
                  <pic:nvPicPr>
                    <pic:cNvPr id="1654"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040960">
            <wp:simplePos x="0" y="0"/>
            <wp:positionH relativeFrom="page">
              <wp:posOffset>1054901</wp:posOffset>
            </wp:positionH>
            <wp:positionV relativeFrom="paragraph">
              <wp:posOffset>553230</wp:posOffset>
            </wp:positionV>
            <wp:extent cx="58380" cy="72151"/>
            <wp:effectExtent l="0" t="0" r="0" b="0"/>
            <wp:wrapNone/>
            <wp:docPr id="1655" name="image13.png"/>
            <wp:cNvGraphicFramePr>
              <a:graphicFrameLocks noChangeAspect="1"/>
            </wp:cNvGraphicFramePr>
            <a:graphic>
              <a:graphicData uri="http://schemas.openxmlformats.org/drawingml/2006/picture">
                <pic:pic>
                  <pic:nvPicPr>
                    <pic:cNvPr id="165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 disagree (2)</w:t>
      </w:r>
      <w:r>
        <w:rPr>
          <w:spacing w:val="1"/>
          <w:sz w:val="18"/>
        </w:rPr>
        <w:t> </w:t>
      </w:r>
      <w:r>
        <w:rPr>
          <w:sz w:val="18"/>
        </w:rPr>
        <w:t>Neither agree nor disagree (3)</w:t>
      </w:r>
      <w:r>
        <w:rPr>
          <w:spacing w:val="-48"/>
          <w:sz w:val="18"/>
        </w:rPr>
        <w:t> </w:t>
      </w:r>
      <w:r>
        <w:rPr>
          <w:sz w:val="18"/>
        </w:rPr>
        <w:t>Somewhat</w:t>
      </w:r>
      <w:r>
        <w:rPr>
          <w:spacing w:val="-3"/>
          <w:sz w:val="18"/>
        </w:rPr>
        <w:t> </w:t>
      </w:r>
      <w:r>
        <w:rPr>
          <w:sz w:val="18"/>
        </w:rPr>
        <w:t>agree</w:t>
      </w:r>
      <w:r>
        <w:rPr>
          <w:spacing w:val="3"/>
          <w:sz w:val="18"/>
        </w:rPr>
        <w:t> </w:t>
      </w:r>
      <w:r>
        <w:rPr>
          <w:sz w:val="18"/>
        </w:rPr>
        <w:t>(4)</w:t>
      </w:r>
    </w:p>
    <w:p>
      <w:pPr>
        <w:spacing w:before="3"/>
        <w:ind w:left="1697" w:right="0" w:firstLine="0"/>
        <w:jc w:val="left"/>
        <w:rPr>
          <w:sz w:val="18"/>
        </w:rPr>
      </w:pPr>
      <w:r>
        <w:rPr/>
        <w:drawing>
          <wp:anchor distT="0" distB="0" distL="0" distR="0" allowOverlap="1" layoutInCell="1" locked="0" behindDoc="0" simplePos="0" relativeHeight="16041472">
            <wp:simplePos x="0" y="0"/>
            <wp:positionH relativeFrom="page">
              <wp:posOffset>1054901</wp:posOffset>
            </wp:positionH>
            <wp:positionV relativeFrom="paragraph">
              <wp:posOffset>46119</wp:posOffset>
            </wp:positionV>
            <wp:extent cx="58380" cy="72151"/>
            <wp:effectExtent l="0" t="0" r="0" b="0"/>
            <wp:wrapNone/>
            <wp:docPr id="1657" name="image13.png"/>
            <wp:cNvGraphicFramePr>
              <a:graphicFrameLocks noChangeAspect="1"/>
            </wp:cNvGraphicFramePr>
            <a:graphic>
              <a:graphicData uri="http://schemas.openxmlformats.org/drawingml/2006/picture">
                <pic:pic>
                  <pic:nvPicPr>
                    <pic:cNvPr id="165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Agree (5)</w:t>
      </w:r>
    </w:p>
    <w:p>
      <w:pPr>
        <w:spacing w:before="120"/>
        <w:ind w:left="1697" w:right="0" w:firstLine="0"/>
        <w:jc w:val="left"/>
        <w:rPr>
          <w:sz w:val="18"/>
        </w:rPr>
      </w:pPr>
      <w:r>
        <w:rPr/>
        <w:drawing>
          <wp:anchor distT="0" distB="0" distL="0" distR="0" allowOverlap="1" layoutInCell="1" locked="0" behindDoc="0" simplePos="0" relativeHeight="16041984">
            <wp:simplePos x="0" y="0"/>
            <wp:positionH relativeFrom="page">
              <wp:posOffset>1054901</wp:posOffset>
            </wp:positionH>
            <wp:positionV relativeFrom="paragraph">
              <wp:posOffset>120415</wp:posOffset>
            </wp:positionV>
            <wp:extent cx="58380" cy="72151"/>
            <wp:effectExtent l="0" t="0" r="0" b="0"/>
            <wp:wrapNone/>
            <wp:docPr id="1659" name="image13.png"/>
            <wp:cNvGraphicFramePr>
              <a:graphicFrameLocks noChangeAspect="1"/>
            </wp:cNvGraphicFramePr>
            <a:graphic>
              <a:graphicData uri="http://schemas.openxmlformats.org/drawingml/2006/picture">
                <pic:pic>
                  <pic:nvPicPr>
                    <pic:cNvPr id="166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pStyle w:val="ListParagraph"/>
        <w:numPr>
          <w:ilvl w:val="0"/>
          <w:numId w:val="102"/>
        </w:numPr>
        <w:tabs>
          <w:tab w:pos="919" w:val="left" w:leader="none"/>
        </w:tabs>
        <w:spacing w:line="369" w:lineRule="auto" w:before="121" w:after="0"/>
        <w:ind w:left="1697" w:right="3641" w:hanging="995"/>
        <w:jc w:val="left"/>
        <w:rPr>
          <w:sz w:val="18"/>
        </w:rPr>
      </w:pPr>
      <w:r>
        <w:rPr/>
        <w:drawing>
          <wp:anchor distT="0" distB="0" distL="0" distR="0" allowOverlap="1" layoutInCell="1" locked="0" behindDoc="1" simplePos="0" relativeHeight="476074496">
            <wp:simplePos x="0" y="0"/>
            <wp:positionH relativeFrom="page">
              <wp:posOffset>1054901</wp:posOffset>
            </wp:positionH>
            <wp:positionV relativeFrom="paragraph">
              <wp:posOffset>337076</wp:posOffset>
            </wp:positionV>
            <wp:extent cx="58380" cy="72151"/>
            <wp:effectExtent l="0" t="0" r="0" b="0"/>
            <wp:wrapNone/>
            <wp:docPr id="1661" name="image13.png"/>
            <wp:cNvGraphicFramePr>
              <a:graphicFrameLocks noChangeAspect="1"/>
            </wp:cNvGraphicFramePr>
            <a:graphic>
              <a:graphicData uri="http://schemas.openxmlformats.org/drawingml/2006/picture">
                <pic:pic>
                  <pic:nvPicPr>
                    <pic:cNvPr id="166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…receives information from the hospital about post-discharge follow-up care. (3)</w:t>
      </w:r>
      <w:r>
        <w:rPr>
          <w:spacing w:val="-47"/>
          <w:sz w:val="18"/>
        </w:rPr>
        <w:t> </w:t>
      </w:r>
      <w:r>
        <w:rPr>
          <w:sz w:val="18"/>
        </w:rPr>
        <w:t>Disagree</w:t>
      </w:r>
      <w:r>
        <w:rPr>
          <w:spacing w:val="-1"/>
          <w:sz w:val="18"/>
        </w:rPr>
        <w:t> </w:t>
      </w:r>
      <w:r>
        <w:rPr>
          <w:sz w:val="18"/>
        </w:rPr>
        <w:t>(1)</w:t>
      </w:r>
    </w:p>
    <w:p>
      <w:pPr>
        <w:spacing w:line="369" w:lineRule="auto" w:before="2"/>
        <w:ind w:left="1697" w:right="7257" w:firstLine="0"/>
        <w:jc w:val="left"/>
        <w:rPr>
          <w:sz w:val="18"/>
        </w:rPr>
      </w:pPr>
      <w:r>
        <w:rPr/>
        <w:drawing>
          <wp:anchor distT="0" distB="0" distL="0" distR="0" allowOverlap="1" layoutInCell="1" locked="0" behindDoc="0" simplePos="0" relativeHeight="16043008">
            <wp:simplePos x="0" y="0"/>
            <wp:positionH relativeFrom="page">
              <wp:posOffset>1054901</wp:posOffset>
            </wp:positionH>
            <wp:positionV relativeFrom="paragraph">
              <wp:posOffset>45103</wp:posOffset>
            </wp:positionV>
            <wp:extent cx="58380" cy="72151"/>
            <wp:effectExtent l="0" t="0" r="0" b="0"/>
            <wp:wrapNone/>
            <wp:docPr id="1663" name="image13.png"/>
            <wp:cNvGraphicFramePr>
              <a:graphicFrameLocks noChangeAspect="1"/>
            </wp:cNvGraphicFramePr>
            <a:graphic>
              <a:graphicData uri="http://schemas.openxmlformats.org/drawingml/2006/picture">
                <pic:pic>
                  <pic:nvPicPr>
                    <pic:cNvPr id="1664"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043520">
            <wp:simplePos x="0" y="0"/>
            <wp:positionH relativeFrom="page">
              <wp:posOffset>1054901</wp:posOffset>
            </wp:positionH>
            <wp:positionV relativeFrom="paragraph">
              <wp:posOffset>261511</wp:posOffset>
            </wp:positionV>
            <wp:extent cx="58380" cy="72151"/>
            <wp:effectExtent l="0" t="0" r="0" b="0"/>
            <wp:wrapNone/>
            <wp:docPr id="1665" name="image13.png"/>
            <wp:cNvGraphicFramePr>
              <a:graphicFrameLocks noChangeAspect="1"/>
            </wp:cNvGraphicFramePr>
            <a:graphic>
              <a:graphicData uri="http://schemas.openxmlformats.org/drawingml/2006/picture">
                <pic:pic>
                  <pic:nvPicPr>
                    <pic:cNvPr id="1666"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044032">
            <wp:simplePos x="0" y="0"/>
            <wp:positionH relativeFrom="page">
              <wp:posOffset>1054901</wp:posOffset>
            </wp:positionH>
            <wp:positionV relativeFrom="paragraph">
              <wp:posOffset>477919</wp:posOffset>
            </wp:positionV>
            <wp:extent cx="58380" cy="72151"/>
            <wp:effectExtent l="0" t="0" r="0" b="0"/>
            <wp:wrapNone/>
            <wp:docPr id="1667" name="image13.png"/>
            <wp:cNvGraphicFramePr>
              <a:graphicFrameLocks noChangeAspect="1"/>
            </wp:cNvGraphicFramePr>
            <a:graphic>
              <a:graphicData uri="http://schemas.openxmlformats.org/drawingml/2006/picture">
                <pic:pic>
                  <pic:nvPicPr>
                    <pic:cNvPr id="166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 disagree (2)</w:t>
      </w:r>
      <w:r>
        <w:rPr>
          <w:spacing w:val="1"/>
          <w:sz w:val="18"/>
        </w:rPr>
        <w:t> </w:t>
      </w:r>
      <w:r>
        <w:rPr>
          <w:sz w:val="18"/>
        </w:rPr>
        <w:t>Neither agree nor disagree (3)</w:t>
      </w:r>
      <w:r>
        <w:rPr>
          <w:spacing w:val="-48"/>
          <w:sz w:val="18"/>
        </w:rPr>
        <w:t> </w:t>
      </w:r>
      <w:r>
        <w:rPr>
          <w:sz w:val="18"/>
        </w:rPr>
        <w:t>Somewhat</w:t>
      </w:r>
      <w:r>
        <w:rPr>
          <w:spacing w:val="-3"/>
          <w:sz w:val="18"/>
        </w:rPr>
        <w:t> </w:t>
      </w:r>
      <w:r>
        <w:rPr>
          <w:sz w:val="18"/>
        </w:rPr>
        <w:t>agree</w:t>
      </w:r>
      <w:r>
        <w:rPr>
          <w:spacing w:val="3"/>
          <w:sz w:val="18"/>
        </w:rPr>
        <w:t> </w:t>
      </w:r>
      <w:r>
        <w:rPr>
          <w:sz w:val="18"/>
        </w:rPr>
        <w:t>(4)</w:t>
      </w:r>
    </w:p>
    <w:p>
      <w:pPr>
        <w:spacing w:before="3"/>
        <w:ind w:left="1697" w:right="0" w:firstLine="0"/>
        <w:jc w:val="left"/>
        <w:rPr>
          <w:sz w:val="18"/>
        </w:rPr>
      </w:pPr>
      <w:r>
        <w:rPr/>
        <w:drawing>
          <wp:anchor distT="0" distB="0" distL="0" distR="0" allowOverlap="1" layoutInCell="1" locked="0" behindDoc="0" simplePos="0" relativeHeight="16044544">
            <wp:simplePos x="0" y="0"/>
            <wp:positionH relativeFrom="page">
              <wp:posOffset>1054901</wp:posOffset>
            </wp:positionH>
            <wp:positionV relativeFrom="paragraph">
              <wp:posOffset>45738</wp:posOffset>
            </wp:positionV>
            <wp:extent cx="58380" cy="72151"/>
            <wp:effectExtent l="0" t="0" r="0" b="0"/>
            <wp:wrapNone/>
            <wp:docPr id="1669" name="image13.png"/>
            <wp:cNvGraphicFramePr>
              <a:graphicFrameLocks noChangeAspect="1"/>
            </wp:cNvGraphicFramePr>
            <a:graphic>
              <a:graphicData uri="http://schemas.openxmlformats.org/drawingml/2006/picture">
                <pic:pic>
                  <pic:nvPicPr>
                    <pic:cNvPr id="167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Agree (5)</w:t>
      </w:r>
    </w:p>
    <w:p>
      <w:pPr>
        <w:spacing w:before="120"/>
        <w:ind w:left="1697" w:right="0" w:firstLine="0"/>
        <w:jc w:val="left"/>
        <w:rPr>
          <w:sz w:val="18"/>
        </w:rPr>
      </w:pPr>
      <w:r>
        <w:rPr/>
        <w:drawing>
          <wp:anchor distT="0" distB="0" distL="0" distR="0" allowOverlap="1" layoutInCell="1" locked="0" behindDoc="0" simplePos="0" relativeHeight="16045056">
            <wp:simplePos x="0" y="0"/>
            <wp:positionH relativeFrom="page">
              <wp:posOffset>1056425</wp:posOffset>
            </wp:positionH>
            <wp:positionV relativeFrom="paragraph">
              <wp:posOffset>120033</wp:posOffset>
            </wp:positionV>
            <wp:extent cx="58380" cy="72151"/>
            <wp:effectExtent l="0" t="0" r="0" b="0"/>
            <wp:wrapNone/>
            <wp:docPr id="1671" name="image13.png"/>
            <wp:cNvGraphicFramePr>
              <a:graphicFrameLocks noChangeAspect="1"/>
            </wp:cNvGraphicFramePr>
            <a:graphic>
              <a:graphicData uri="http://schemas.openxmlformats.org/drawingml/2006/picture">
                <pic:pic>
                  <pic:nvPicPr>
                    <pic:cNvPr id="167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pStyle w:val="BodyText"/>
        <w:spacing w:before="3"/>
        <w:rPr>
          <w:sz w:val="16"/>
        </w:rPr>
      </w:pPr>
    </w:p>
    <w:p>
      <w:pPr>
        <w:pStyle w:val="ListParagraph"/>
        <w:numPr>
          <w:ilvl w:val="0"/>
          <w:numId w:val="87"/>
        </w:numPr>
        <w:tabs>
          <w:tab w:pos="723" w:val="left" w:leader="none"/>
        </w:tabs>
        <w:spacing w:line="240" w:lineRule="auto" w:before="0" w:after="0"/>
        <w:ind w:left="420" w:right="871" w:firstLine="0"/>
        <w:jc w:val="left"/>
        <w:rPr>
          <w:sz w:val="18"/>
        </w:rPr>
      </w:pPr>
      <w:r>
        <w:rPr>
          <w:sz w:val="18"/>
        </w:rPr>
        <w:t>When patients are discharged from the hospital and their test results pending, the results are incorporated into their</w:t>
      </w:r>
      <w:r>
        <w:rPr>
          <w:spacing w:val="-47"/>
          <w:sz w:val="18"/>
        </w:rPr>
        <w:t> </w:t>
      </w:r>
      <w:r>
        <w:rPr>
          <w:sz w:val="18"/>
        </w:rPr>
        <w:t>primary</w:t>
      </w:r>
      <w:r>
        <w:rPr>
          <w:spacing w:val="-2"/>
          <w:sz w:val="18"/>
        </w:rPr>
        <w:t> </w:t>
      </w:r>
      <w:r>
        <w:rPr>
          <w:sz w:val="18"/>
        </w:rPr>
        <w:t>care medical</w:t>
      </w:r>
      <w:r>
        <w:rPr>
          <w:spacing w:val="-2"/>
          <w:sz w:val="18"/>
        </w:rPr>
        <w:t> </w:t>
      </w:r>
      <w:r>
        <w:rPr>
          <w:sz w:val="18"/>
        </w:rPr>
        <w:t>record</w:t>
      </w:r>
      <w:r>
        <w:rPr>
          <w:spacing w:val="-1"/>
          <w:sz w:val="18"/>
        </w:rPr>
        <w:t> </w:t>
      </w:r>
      <w:r>
        <w:rPr>
          <w:sz w:val="18"/>
        </w:rPr>
        <w:t>within two weeks:</w:t>
      </w:r>
    </w:p>
    <w:p>
      <w:pPr>
        <w:spacing w:before="121"/>
        <w:ind w:left="1697" w:right="0" w:firstLine="0"/>
        <w:jc w:val="left"/>
        <w:rPr>
          <w:sz w:val="18"/>
        </w:rPr>
      </w:pPr>
      <w:r>
        <w:rPr/>
        <w:drawing>
          <wp:anchor distT="0" distB="0" distL="0" distR="0" allowOverlap="1" layoutInCell="1" locked="0" behindDoc="0" simplePos="0" relativeHeight="16045568">
            <wp:simplePos x="0" y="0"/>
            <wp:positionH relativeFrom="page">
              <wp:posOffset>1054901</wp:posOffset>
            </wp:positionH>
            <wp:positionV relativeFrom="paragraph">
              <wp:posOffset>120414</wp:posOffset>
            </wp:positionV>
            <wp:extent cx="58380" cy="72151"/>
            <wp:effectExtent l="0" t="0" r="0" b="0"/>
            <wp:wrapNone/>
            <wp:docPr id="1673" name="image13.png"/>
            <wp:cNvGraphicFramePr>
              <a:graphicFrameLocks noChangeAspect="1"/>
            </wp:cNvGraphicFramePr>
            <a:graphic>
              <a:graphicData uri="http://schemas.openxmlformats.org/drawingml/2006/picture">
                <pic:pic>
                  <pic:nvPicPr>
                    <pic:cNvPr id="167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Never</w:t>
      </w:r>
      <w:r>
        <w:rPr>
          <w:spacing w:val="-5"/>
          <w:sz w:val="18"/>
        </w:rPr>
        <w:t> </w:t>
      </w:r>
      <w:r>
        <w:rPr>
          <w:sz w:val="18"/>
        </w:rPr>
        <w:t>(1)</w:t>
      </w:r>
    </w:p>
    <w:p>
      <w:pPr>
        <w:spacing w:before="120"/>
        <w:ind w:left="1697" w:right="0" w:firstLine="0"/>
        <w:jc w:val="left"/>
        <w:rPr>
          <w:sz w:val="18"/>
        </w:rPr>
      </w:pPr>
      <w:r>
        <w:rPr/>
        <w:drawing>
          <wp:anchor distT="0" distB="0" distL="0" distR="0" allowOverlap="1" layoutInCell="1" locked="0" behindDoc="0" simplePos="0" relativeHeight="16046080">
            <wp:simplePos x="0" y="0"/>
            <wp:positionH relativeFrom="page">
              <wp:posOffset>1054901</wp:posOffset>
            </wp:positionH>
            <wp:positionV relativeFrom="paragraph">
              <wp:posOffset>119779</wp:posOffset>
            </wp:positionV>
            <wp:extent cx="58380" cy="72151"/>
            <wp:effectExtent l="0" t="0" r="0" b="0"/>
            <wp:wrapNone/>
            <wp:docPr id="1675" name="image13.png"/>
            <wp:cNvGraphicFramePr>
              <a:graphicFrameLocks noChangeAspect="1"/>
            </wp:cNvGraphicFramePr>
            <a:graphic>
              <a:graphicData uri="http://schemas.openxmlformats.org/drawingml/2006/picture">
                <pic:pic>
                  <pic:nvPicPr>
                    <pic:cNvPr id="167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Rarely</w:t>
      </w:r>
      <w:r>
        <w:rPr>
          <w:spacing w:val="-7"/>
          <w:sz w:val="18"/>
        </w:rPr>
        <w:t> </w:t>
      </w:r>
      <w:r>
        <w:rPr>
          <w:sz w:val="18"/>
        </w:rPr>
        <w:t>(2)</w:t>
      </w:r>
    </w:p>
    <w:p>
      <w:pPr>
        <w:spacing w:before="120"/>
        <w:ind w:left="1697" w:right="0" w:firstLine="0"/>
        <w:jc w:val="left"/>
        <w:rPr>
          <w:sz w:val="18"/>
        </w:rPr>
      </w:pPr>
      <w:r>
        <w:rPr/>
        <w:drawing>
          <wp:anchor distT="0" distB="0" distL="0" distR="0" allowOverlap="1" layoutInCell="1" locked="0" behindDoc="0" simplePos="0" relativeHeight="16046592">
            <wp:simplePos x="0" y="0"/>
            <wp:positionH relativeFrom="page">
              <wp:posOffset>1054901</wp:posOffset>
            </wp:positionH>
            <wp:positionV relativeFrom="paragraph">
              <wp:posOffset>119586</wp:posOffset>
            </wp:positionV>
            <wp:extent cx="58380" cy="73869"/>
            <wp:effectExtent l="0" t="0" r="0" b="0"/>
            <wp:wrapNone/>
            <wp:docPr id="1677" name="image14.png"/>
            <wp:cNvGraphicFramePr>
              <a:graphicFrameLocks noChangeAspect="1"/>
            </wp:cNvGraphicFramePr>
            <a:graphic>
              <a:graphicData uri="http://schemas.openxmlformats.org/drawingml/2006/picture">
                <pic:pic>
                  <pic:nvPicPr>
                    <pic:cNvPr id="1678"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Some-times</w:t>
      </w:r>
      <w:r>
        <w:rPr>
          <w:spacing w:val="-2"/>
          <w:sz w:val="18"/>
        </w:rPr>
        <w:t> </w:t>
      </w:r>
      <w:r>
        <w:rPr>
          <w:sz w:val="18"/>
        </w:rPr>
        <w:t>(3)</w:t>
      </w:r>
    </w:p>
    <w:p>
      <w:pPr>
        <w:spacing w:after="0"/>
        <w:jc w:val="left"/>
        <w:rPr>
          <w:sz w:val="18"/>
        </w:rPr>
        <w:sectPr>
          <w:pgSz w:w="11910" w:h="16840"/>
          <w:pgMar w:header="0" w:footer="916" w:top="940" w:bottom="1140" w:left="300" w:right="0"/>
        </w:sectPr>
      </w:pPr>
    </w:p>
    <w:p>
      <w:pPr>
        <w:spacing w:before="75"/>
        <w:ind w:left="1697" w:right="0" w:firstLine="0"/>
        <w:jc w:val="left"/>
        <w:rPr>
          <w:sz w:val="18"/>
        </w:rPr>
      </w:pPr>
      <w:r>
        <w:rPr/>
        <w:drawing>
          <wp:anchor distT="0" distB="0" distL="0" distR="0" allowOverlap="1" layoutInCell="1" locked="0" behindDoc="0" simplePos="0" relativeHeight="16048128">
            <wp:simplePos x="0" y="0"/>
            <wp:positionH relativeFrom="page">
              <wp:posOffset>1054901</wp:posOffset>
            </wp:positionH>
            <wp:positionV relativeFrom="paragraph">
              <wp:posOffset>92535</wp:posOffset>
            </wp:positionV>
            <wp:extent cx="58380" cy="73869"/>
            <wp:effectExtent l="0" t="0" r="0" b="0"/>
            <wp:wrapNone/>
            <wp:docPr id="1679" name="image14.png"/>
            <wp:cNvGraphicFramePr>
              <a:graphicFrameLocks noChangeAspect="1"/>
            </wp:cNvGraphicFramePr>
            <a:graphic>
              <a:graphicData uri="http://schemas.openxmlformats.org/drawingml/2006/picture">
                <pic:pic>
                  <pic:nvPicPr>
                    <pic:cNvPr id="1680" name="image14.png"/>
                    <pic:cNvPicPr/>
                  </pic:nvPicPr>
                  <pic:blipFill>
                    <a:blip r:embed="rId43" cstate="print"/>
                    <a:stretch>
                      <a:fillRect/>
                    </a:stretch>
                  </pic:blipFill>
                  <pic:spPr>
                    <a:xfrm>
                      <a:off x="0" y="0"/>
                      <a:ext cx="58380" cy="73869"/>
                    </a:xfrm>
                    <a:prstGeom prst="rect">
                      <a:avLst/>
                    </a:prstGeom>
                  </pic:spPr>
                </pic:pic>
              </a:graphicData>
            </a:graphic>
          </wp:anchor>
        </w:drawing>
      </w:r>
      <w:r>
        <w:rPr/>
        <w:drawing>
          <wp:anchor distT="0" distB="0" distL="0" distR="0" allowOverlap="1" layoutInCell="1" locked="0" behindDoc="0" simplePos="0" relativeHeight="16053248">
            <wp:simplePos x="0" y="0"/>
            <wp:positionH relativeFrom="page">
              <wp:posOffset>1173773</wp:posOffset>
            </wp:positionH>
            <wp:positionV relativeFrom="page">
              <wp:posOffset>3875770</wp:posOffset>
            </wp:positionV>
            <wp:extent cx="57802" cy="71437"/>
            <wp:effectExtent l="0" t="0" r="0" b="0"/>
            <wp:wrapNone/>
            <wp:docPr id="1681" name="image13.png"/>
            <wp:cNvGraphicFramePr>
              <a:graphicFrameLocks noChangeAspect="1"/>
            </wp:cNvGraphicFramePr>
            <a:graphic>
              <a:graphicData uri="http://schemas.openxmlformats.org/drawingml/2006/picture">
                <pic:pic>
                  <pic:nvPicPr>
                    <pic:cNvPr id="1682" name="image13.png"/>
                    <pic:cNvPicPr/>
                  </pic:nvPicPr>
                  <pic:blipFill>
                    <a:blip r:embed="rId41" cstate="print"/>
                    <a:stretch>
                      <a:fillRect/>
                    </a:stretch>
                  </pic:blipFill>
                  <pic:spPr>
                    <a:xfrm>
                      <a:off x="0" y="0"/>
                      <a:ext cx="57802" cy="71437"/>
                    </a:xfrm>
                    <a:prstGeom prst="rect">
                      <a:avLst/>
                    </a:prstGeom>
                  </pic:spPr>
                </pic:pic>
              </a:graphicData>
            </a:graphic>
          </wp:anchor>
        </w:drawing>
      </w:r>
      <w:r>
        <w:rPr/>
        <w:drawing>
          <wp:anchor distT="0" distB="0" distL="0" distR="0" allowOverlap="1" layoutInCell="1" locked="0" behindDoc="1" simplePos="0" relativeHeight="476085760">
            <wp:simplePos x="0" y="0"/>
            <wp:positionH relativeFrom="page">
              <wp:posOffset>1126529</wp:posOffset>
            </wp:positionH>
            <wp:positionV relativeFrom="page">
              <wp:posOffset>4774929</wp:posOffset>
            </wp:positionV>
            <wp:extent cx="57802" cy="71437"/>
            <wp:effectExtent l="0" t="0" r="0" b="0"/>
            <wp:wrapNone/>
            <wp:docPr id="1683" name="image13.png"/>
            <wp:cNvGraphicFramePr>
              <a:graphicFrameLocks noChangeAspect="1"/>
            </wp:cNvGraphicFramePr>
            <a:graphic>
              <a:graphicData uri="http://schemas.openxmlformats.org/drawingml/2006/picture">
                <pic:pic>
                  <pic:nvPicPr>
                    <pic:cNvPr id="1684" name="image13.png"/>
                    <pic:cNvPicPr/>
                  </pic:nvPicPr>
                  <pic:blipFill>
                    <a:blip r:embed="rId41" cstate="print"/>
                    <a:stretch>
                      <a:fillRect/>
                    </a:stretch>
                  </pic:blipFill>
                  <pic:spPr>
                    <a:xfrm>
                      <a:off x="0" y="0"/>
                      <a:ext cx="57802" cy="71437"/>
                    </a:xfrm>
                    <a:prstGeom prst="rect">
                      <a:avLst/>
                    </a:prstGeom>
                  </pic:spPr>
                </pic:pic>
              </a:graphicData>
            </a:graphic>
          </wp:anchor>
        </w:drawing>
      </w:r>
      <w:r>
        <w:rPr/>
        <w:drawing>
          <wp:anchor distT="0" distB="0" distL="0" distR="0" allowOverlap="1" layoutInCell="1" locked="0" behindDoc="0" simplePos="0" relativeHeight="16054272">
            <wp:simplePos x="0" y="0"/>
            <wp:positionH relativeFrom="page">
              <wp:posOffset>1126529</wp:posOffset>
            </wp:positionH>
            <wp:positionV relativeFrom="page">
              <wp:posOffset>4914944</wp:posOffset>
            </wp:positionV>
            <wp:extent cx="57814" cy="73151"/>
            <wp:effectExtent l="0" t="0" r="0" b="0"/>
            <wp:wrapNone/>
            <wp:docPr id="1685" name="image14.png"/>
            <wp:cNvGraphicFramePr>
              <a:graphicFrameLocks noChangeAspect="1"/>
            </wp:cNvGraphicFramePr>
            <a:graphic>
              <a:graphicData uri="http://schemas.openxmlformats.org/drawingml/2006/picture">
                <pic:pic>
                  <pic:nvPicPr>
                    <pic:cNvPr id="1686" name="image14.png"/>
                    <pic:cNvPicPr/>
                  </pic:nvPicPr>
                  <pic:blipFill>
                    <a:blip r:embed="rId43" cstate="print"/>
                    <a:stretch>
                      <a:fillRect/>
                    </a:stretch>
                  </pic:blipFill>
                  <pic:spPr>
                    <a:xfrm>
                      <a:off x="0" y="0"/>
                      <a:ext cx="57814" cy="73151"/>
                    </a:xfrm>
                    <a:prstGeom prst="rect">
                      <a:avLst/>
                    </a:prstGeom>
                  </pic:spPr>
                </pic:pic>
              </a:graphicData>
            </a:graphic>
          </wp:anchor>
        </w:drawing>
      </w:r>
      <w:r>
        <w:rPr/>
        <w:drawing>
          <wp:anchor distT="0" distB="0" distL="0" distR="0" allowOverlap="1" layoutInCell="1" locked="0" behindDoc="0" simplePos="0" relativeHeight="16054784">
            <wp:simplePos x="0" y="0"/>
            <wp:positionH relativeFrom="page">
              <wp:posOffset>1126529</wp:posOffset>
            </wp:positionH>
            <wp:positionV relativeFrom="page">
              <wp:posOffset>5055346</wp:posOffset>
            </wp:positionV>
            <wp:extent cx="57802" cy="71437"/>
            <wp:effectExtent l="0" t="0" r="0" b="0"/>
            <wp:wrapNone/>
            <wp:docPr id="1687" name="image13.png"/>
            <wp:cNvGraphicFramePr>
              <a:graphicFrameLocks noChangeAspect="1"/>
            </wp:cNvGraphicFramePr>
            <a:graphic>
              <a:graphicData uri="http://schemas.openxmlformats.org/drawingml/2006/picture">
                <pic:pic>
                  <pic:nvPicPr>
                    <pic:cNvPr id="1688" name="image13.png"/>
                    <pic:cNvPicPr/>
                  </pic:nvPicPr>
                  <pic:blipFill>
                    <a:blip r:embed="rId41" cstate="print"/>
                    <a:stretch>
                      <a:fillRect/>
                    </a:stretch>
                  </pic:blipFill>
                  <pic:spPr>
                    <a:xfrm>
                      <a:off x="0" y="0"/>
                      <a:ext cx="57802" cy="71437"/>
                    </a:xfrm>
                    <a:prstGeom prst="rect">
                      <a:avLst/>
                    </a:prstGeom>
                  </pic:spPr>
                </pic:pic>
              </a:graphicData>
            </a:graphic>
          </wp:anchor>
        </w:drawing>
      </w:r>
      <w:r>
        <w:rPr/>
        <w:drawing>
          <wp:anchor distT="0" distB="0" distL="0" distR="0" allowOverlap="1" layoutInCell="1" locked="0" behindDoc="0" simplePos="0" relativeHeight="16055296">
            <wp:simplePos x="0" y="0"/>
            <wp:positionH relativeFrom="page">
              <wp:posOffset>1128053</wp:posOffset>
            </wp:positionH>
            <wp:positionV relativeFrom="page">
              <wp:posOffset>5195553</wp:posOffset>
            </wp:positionV>
            <wp:extent cx="57802" cy="71437"/>
            <wp:effectExtent l="0" t="0" r="0" b="0"/>
            <wp:wrapNone/>
            <wp:docPr id="1689" name="image13.png"/>
            <wp:cNvGraphicFramePr>
              <a:graphicFrameLocks noChangeAspect="1"/>
            </wp:cNvGraphicFramePr>
            <a:graphic>
              <a:graphicData uri="http://schemas.openxmlformats.org/drawingml/2006/picture">
                <pic:pic>
                  <pic:nvPicPr>
                    <pic:cNvPr id="1690" name="image13.png"/>
                    <pic:cNvPicPr/>
                  </pic:nvPicPr>
                  <pic:blipFill>
                    <a:blip r:embed="rId41" cstate="print"/>
                    <a:stretch>
                      <a:fillRect/>
                    </a:stretch>
                  </pic:blipFill>
                  <pic:spPr>
                    <a:xfrm>
                      <a:off x="0" y="0"/>
                      <a:ext cx="57802" cy="71437"/>
                    </a:xfrm>
                    <a:prstGeom prst="rect">
                      <a:avLst/>
                    </a:prstGeom>
                  </pic:spPr>
                </pic:pic>
              </a:graphicData>
            </a:graphic>
          </wp:anchor>
        </w:drawing>
      </w:r>
      <w:r>
        <w:rPr/>
        <w:drawing>
          <wp:anchor distT="0" distB="0" distL="0" distR="0" allowOverlap="1" layoutInCell="1" locked="0" behindDoc="0" simplePos="0" relativeHeight="16055808">
            <wp:simplePos x="0" y="0"/>
            <wp:positionH relativeFrom="page">
              <wp:posOffset>1173773</wp:posOffset>
            </wp:positionH>
            <wp:positionV relativeFrom="page">
              <wp:posOffset>5818870</wp:posOffset>
            </wp:positionV>
            <wp:extent cx="57802" cy="71437"/>
            <wp:effectExtent l="0" t="0" r="0" b="0"/>
            <wp:wrapNone/>
            <wp:docPr id="1691" name="image13.png"/>
            <wp:cNvGraphicFramePr>
              <a:graphicFrameLocks noChangeAspect="1"/>
            </wp:cNvGraphicFramePr>
            <a:graphic>
              <a:graphicData uri="http://schemas.openxmlformats.org/drawingml/2006/picture">
                <pic:pic>
                  <pic:nvPicPr>
                    <pic:cNvPr id="1692" name="image13.png"/>
                    <pic:cNvPicPr/>
                  </pic:nvPicPr>
                  <pic:blipFill>
                    <a:blip r:embed="rId41" cstate="print"/>
                    <a:stretch>
                      <a:fillRect/>
                    </a:stretch>
                  </pic:blipFill>
                  <pic:spPr>
                    <a:xfrm>
                      <a:off x="0" y="0"/>
                      <a:ext cx="57802" cy="71437"/>
                    </a:xfrm>
                    <a:prstGeom prst="rect">
                      <a:avLst/>
                    </a:prstGeom>
                  </pic:spPr>
                </pic:pic>
              </a:graphicData>
            </a:graphic>
          </wp:anchor>
        </w:drawing>
      </w:r>
      <w:r>
        <w:rPr/>
        <w:drawing>
          <wp:anchor distT="0" distB="0" distL="0" distR="0" allowOverlap="1" layoutInCell="1" locked="0" behindDoc="0" simplePos="0" relativeHeight="16056320">
            <wp:simplePos x="0" y="0"/>
            <wp:positionH relativeFrom="page">
              <wp:posOffset>1173773</wp:posOffset>
            </wp:positionH>
            <wp:positionV relativeFrom="page">
              <wp:posOffset>6035084</wp:posOffset>
            </wp:positionV>
            <wp:extent cx="57814" cy="73151"/>
            <wp:effectExtent l="0" t="0" r="0" b="0"/>
            <wp:wrapNone/>
            <wp:docPr id="1693" name="image14.png"/>
            <wp:cNvGraphicFramePr>
              <a:graphicFrameLocks noChangeAspect="1"/>
            </wp:cNvGraphicFramePr>
            <a:graphic>
              <a:graphicData uri="http://schemas.openxmlformats.org/drawingml/2006/picture">
                <pic:pic>
                  <pic:nvPicPr>
                    <pic:cNvPr id="1694" name="image14.png"/>
                    <pic:cNvPicPr/>
                  </pic:nvPicPr>
                  <pic:blipFill>
                    <a:blip r:embed="rId43" cstate="print"/>
                    <a:stretch>
                      <a:fillRect/>
                    </a:stretch>
                  </pic:blipFill>
                  <pic:spPr>
                    <a:xfrm>
                      <a:off x="0" y="0"/>
                      <a:ext cx="57814" cy="73151"/>
                    </a:xfrm>
                    <a:prstGeom prst="rect">
                      <a:avLst/>
                    </a:prstGeom>
                  </pic:spPr>
                </pic:pic>
              </a:graphicData>
            </a:graphic>
          </wp:anchor>
        </w:drawing>
      </w:r>
      <w:r>
        <w:rPr/>
        <w:drawing>
          <wp:anchor distT="0" distB="0" distL="0" distR="0" allowOverlap="1" layoutInCell="1" locked="0" behindDoc="0" simplePos="0" relativeHeight="16056832">
            <wp:simplePos x="0" y="0"/>
            <wp:positionH relativeFrom="page">
              <wp:posOffset>1173773</wp:posOffset>
            </wp:positionH>
            <wp:positionV relativeFrom="page">
              <wp:posOffset>6251685</wp:posOffset>
            </wp:positionV>
            <wp:extent cx="57802" cy="71437"/>
            <wp:effectExtent l="0" t="0" r="0" b="0"/>
            <wp:wrapNone/>
            <wp:docPr id="1695" name="image13.png"/>
            <wp:cNvGraphicFramePr>
              <a:graphicFrameLocks noChangeAspect="1"/>
            </wp:cNvGraphicFramePr>
            <a:graphic>
              <a:graphicData uri="http://schemas.openxmlformats.org/drawingml/2006/picture">
                <pic:pic>
                  <pic:nvPicPr>
                    <pic:cNvPr id="1696" name="image13.png"/>
                    <pic:cNvPicPr/>
                  </pic:nvPicPr>
                  <pic:blipFill>
                    <a:blip r:embed="rId41" cstate="print"/>
                    <a:stretch>
                      <a:fillRect/>
                    </a:stretch>
                  </pic:blipFill>
                  <pic:spPr>
                    <a:xfrm>
                      <a:off x="0" y="0"/>
                      <a:ext cx="57802" cy="71437"/>
                    </a:xfrm>
                    <a:prstGeom prst="rect">
                      <a:avLst/>
                    </a:prstGeom>
                  </pic:spPr>
                </pic:pic>
              </a:graphicData>
            </a:graphic>
          </wp:anchor>
        </w:drawing>
      </w:r>
      <w:r>
        <w:rPr>
          <w:sz w:val="18"/>
        </w:rPr>
        <w:t>Usually</w:t>
      </w:r>
      <w:r>
        <w:rPr>
          <w:spacing w:val="-6"/>
          <w:sz w:val="18"/>
        </w:rPr>
        <w:t> </w:t>
      </w:r>
      <w:r>
        <w:rPr>
          <w:sz w:val="18"/>
        </w:rPr>
        <w:t>(4)</w:t>
      </w:r>
    </w:p>
    <w:p>
      <w:pPr>
        <w:spacing w:before="121"/>
        <w:ind w:left="1697" w:right="0" w:firstLine="0"/>
        <w:jc w:val="left"/>
        <w:rPr>
          <w:sz w:val="18"/>
        </w:rPr>
      </w:pPr>
      <w:r>
        <w:rPr/>
        <w:drawing>
          <wp:anchor distT="0" distB="0" distL="0" distR="0" allowOverlap="1" layoutInCell="1" locked="0" behindDoc="0" simplePos="0" relativeHeight="16048640">
            <wp:simplePos x="0" y="0"/>
            <wp:positionH relativeFrom="page">
              <wp:posOffset>1054901</wp:posOffset>
            </wp:positionH>
            <wp:positionV relativeFrom="paragraph">
              <wp:posOffset>121938</wp:posOffset>
            </wp:positionV>
            <wp:extent cx="58380" cy="72151"/>
            <wp:effectExtent l="0" t="0" r="0" b="0"/>
            <wp:wrapNone/>
            <wp:docPr id="1697" name="image13.png"/>
            <wp:cNvGraphicFramePr>
              <a:graphicFrameLocks noChangeAspect="1"/>
            </wp:cNvGraphicFramePr>
            <a:graphic>
              <a:graphicData uri="http://schemas.openxmlformats.org/drawingml/2006/picture">
                <pic:pic>
                  <pic:nvPicPr>
                    <pic:cNvPr id="169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Always</w:t>
      </w:r>
      <w:r>
        <w:rPr>
          <w:spacing w:val="-5"/>
          <w:sz w:val="18"/>
        </w:rPr>
        <w:t> </w:t>
      </w:r>
      <w:r>
        <w:rPr>
          <w:sz w:val="18"/>
        </w:rPr>
        <w:t>(5)</w:t>
      </w:r>
    </w:p>
    <w:p>
      <w:pPr>
        <w:spacing w:before="120"/>
        <w:ind w:left="1697" w:right="0" w:firstLine="0"/>
        <w:jc w:val="left"/>
        <w:rPr>
          <w:sz w:val="18"/>
        </w:rPr>
      </w:pPr>
      <w:r>
        <w:rPr/>
        <w:drawing>
          <wp:anchor distT="0" distB="0" distL="0" distR="0" allowOverlap="1" layoutInCell="1" locked="0" behindDoc="0" simplePos="0" relativeHeight="16049152">
            <wp:simplePos x="0" y="0"/>
            <wp:positionH relativeFrom="page">
              <wp:posOffset>1056425</wp:posOffset>
            </wp:positionH>
            <wp:positionV relativeFrom="paragraph">
              <wp:posOffset>121051</wp:posOffset>
            </wp:positionV>
            <wp:extent cx="58380" cy="72150"/>
            <wp:effectExtent l="0" t="0" r="0" b="0"/>
            <wp:wrapNone/>
            <wp:docPr id="1699" name="image13.png"/>
            <wp:cNvGraphicFramePr>
              <a:graphicFrameLocks noChangeAspect="1"/>
            </wp:cNvGraphicFramePr>
            <a:graphic>
              <a:graphicData uri="http://schemas.openxmlformats.org/drawingml/2006/picture">
                <pic:pic>
                  <pic:nvPicPr>
                    <pic:cNvPr id="1700" name="image13.png"/>
                    <pic:cNvPicPr/>
                  </pic:nvPicPr>
                  <pic:blipFill>
                    <a:blip r:embed="rId41" cstate="print"/>
                    <a:stretch>
                      <a:fillRect/>
                    </a:stretch>
                  </pic:blipFill>
                  <pic:spPr>
                    <a:xfrm>
                      <a:off x="0" y="0"/>
                      <a:ext cx="58380" cy="72150"/>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pStyle w:val="BodyText"/>
        <w:spacing w:before="3"/>
        <w:rPr>
          <w:sz w:val="16"/>
        </w:rPr>
      </w:pPr>
    </w:p>
    <w:p>
      <w:pPr>
        <w:pStyle w:val="ListParagraph"/>
        <w:numPr>
          <w:ilvl w:val="0"/>
          <w:numId w:val="87"/>
        </w:numPr>
        <w:tabs>
          <w:tab w:pos="718" w:val="left" w:leader="none"/>
        </w:tabs>
        <w:spacing w:line="369" w:lineRule="auto" w:before="0" w:after="0"/>
        <w:ind w:left="1697" w:right="2049" w:hanging="1278"/>
        <w:jc w:val="left"/>
        <w:rPr>
          <w:sz w:val="18"/>
        </w:rPr>
      </w:pPr>
      <w:r>
        <w:rPr/>
        <w:drawing>
          <wp:anchor distT="0" distB="0" distL="0" distR="0" allowOverlap="1" layoutInCell="1" locked="0" behindDoc="1" simplePos="0" relativeHeight="476081664">
            <wp:simplePos x="0" y="0"/>
            <wp:positionH relativeFrom="page">
              <wp:posOffset>1054901</wp:posOffset>
            </wp:positionH>
            <wp:positionV relativeFrom="paragraph">
              <wp:posOffset>261257</wp:posOffset>
            </wp:positionV>
            <wp:extent cx="58380" cy="72151"/>
            <wp:effectExtent l="0" t="0" r="0" b="0"/>
            <wp:wrapNone/>
            <wp:docPr id="1701" name="image13.png"/>
            <wp:cNvGraphicFramePr>
              <a:graphicFrameLocks noChangeAspect="1"/>
            </wp:cNvGraphicFramePr>
            <a:graphic>
              <a:graphicData uri="http://schemas.openxmlformats.org/drawingml/2006/picture">
                <pic:pic>
                  <pic:nvPicPr>
                    <pic:cNvPr id="170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In general, how would rate the coordination of care provided by your primary care practice/ service:</w:t>
      </w:r>
      <w:r>
        <w:rPr>
          <w:spacing w:val="-47"/>
          <w:sz w:val="18"/>
        </w:rPr>
        <w:t> </w:t>
      </w:r>
      <w:r>
        <w:rPr>
          <w:sz w:val="18"/>
        </w:rPr>
        <w:t>Poor</w:t>
      </w:r>
      <w:r>
        <w:rPr>
          <w:spacing w:val="2"/>
          <w:sz w:val="18"/>
        </w:rPr>
        <w:t> </w:t>
      </w:r>
      <w:r>
        <w:rPr>
          <w:sz w:val="18"/>
        </w:rPr>
        <w:t>(1)</w:t>
      </w:r>
    </w:p>
    <w:p>
      <w:pPr>
        <w:spacing w:line="369" w:lineRule="auto" w:before="2"/>
        <w:ind w:left="1697" w:right="9144" w:firstLine="0"/>
        <w:jc w:val="left"/>
        <w:rPr>
          <w:sz w:val="18"/>
        </w:rPr>
      </w:pPr>
      <w:r>
        <w:rPr/>
        <w:drawing>
          <wp:anchor distT="0" distB="0" distL="0" distR="0" allowOverlap="1" layoutInCell="1" locked="0" behindDoc="0" simplePos="0" relativeHeight="16050176">
            <wp:simplePos x="0" y="0"/>
            <wp:positionH relativeFrom="page">
              <wp:posOffset>1054901</wp:posOffset>
            </wp:positionH>
            <wp:positionV relativeFrom="paragraph">
              <wp:posOffset>46119</wp:posOffset>
            </wp:positionV>
            <wp:extent cx="58380" cy="72151"/>
            <wp:effectExtent l="0" t="0" r="0" b="0"/>
            <wp:wrapNone/>
            <wp:docPr id="1703" name="image13.png"/>
            <wp:cNvGraphicFramePr>
              <a:graphicFrameLocks noChangeAspect="1"/>
            </wp:cNvGraphicFramePr>
            <a:graphic>
              <a:graphicData uri="http://schemas.openxmlformats.org/drawingml/2006/picture">
                <pic:pic>
                  <pic:nvPicPr>
                    <pic:cNvPr id="1704"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050688">
            <wp:simplePos x="0" y="0"/>
            <wp:positionH relativeFrom="page">
              <wp:posOffset>1054901</wp:posOffset>
            </wp:positionH>
            <wp:positionV relativeFrom="paragraph">
              <wp:posOffset>262528</wp:posOffset>
            </wp:positionV>
            <wp:extent cx="58380" cy="72150"/>
            <wp:effectExtent l="0" t="0" r="0" b="0"/>
            <wp:wrapNone/>
            <wp:docPr id="1705" name="image13.png"/>
            <wp:cNvGraphicFramePr>
              <a:graphicFrameLocks noChangeAspect="1"/>
            </wp:cNvGraphicFramePr>
            <a:graphic>
              <a:graphicData uri="http://schemas.openxmlformats.org/drawingml/2006/picture">
                <pic:pic>
                  <pic:nvPicPr>
                    <pic:cNvPr id="1706" name="image13.png"/>
                    <pic:cNvPicPr/>
                  </pic:nvPicPr>
                  <pic:blipFill>
                    <a:blip r:embed="rId41" cstate="print"/>
                    <a:stretch>
                      <a:fillRect/>
                    </a:stretch>
                  </pic:blipFill>
                  <pic:spPr>
                    <a:xfrm>
                      <a:off x="0" y="0"/>
                      <a:ext cx="58380" cy="72150"/>
                    </a:xfrm>
                    <a:prstGeom prst="rect">
                      <a:avLst/>
                    </a:prstGeom>
                  </pic:spPr>
                </pic:pic>
              </a:graphicData>
            </a:graphic>
          </wp:anchor>
        </w:drawing>
      </w:r>
      <w:r>
        <w:rPr>
          <w:sz w:val="18"/>
        </w:rPr>
        <w:t>Fair(2)</w:t>
      </w:r>
      <w:r>
        <w:rPr>
          <w:spacing w:val="1"/>
          <w:sz w:val="18"/>
        </w:rPr>
        <w:t> </w:t>
      </w:r>
      <w:r>
        <w:rPr>
          <w:sz w:val="18"/>
        </w:rPr>
        <w:t>Good(3)</w:t>
      </w:r>
    </w:p>
    <w:p>
      <w:pPr>
        <w:spacing w:line="369" w:lineRule="auto" w:before="2"/>
        <w:ind w:left="1697" w:right="8705" w:firstLine="0"/>
        <w:jc w:val="left"/>
        <w:rPr>
          <w:sz w:val="18"/>
        </w:rPr>
      </w:pPr>
      <w:r>
        <w:rPr/>
        <w:drawing>
          <wp:anchor distT="0" distB="0" distL="0" distR="0" allowOverlap="1" layoutInCell="1" locked="0" behindDoc="0" simplePos="0" relativeHeight="16051200">
            <wp:simplePos x="0" y="0"/>
            <wp:positionH relativeFrom="page">
              <wp:posOffset>1054901</wp:posOffset>
            </wp:positionH>
            <wp:positionV relativeFrom="paragraph">
              <wp:posOffset>46120</wp:posOffset>
            </wp:positionV>
            <wp:extent cx="58380" cy="72151"/>
            <wp:effectExtent l="0" t="0" r="0" b="0"/>
            <wp:wrapNone/>
            <wp:docPr id="1707" name="image13.png"/>
            <wp:cNvGraphicFramePr>
              <a:graphicFrameLocks noChangeAspect="1"/>
            </wp:cNvGraphicFramePr>
            <a:graphic>
              <a:graphicData uri="http://schemas.openxmlformats.org/drawingml/2006/picture">
                <pic:pic>
                  <pic:nvPicPr>
                    <pic:cNvPr id="1708"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051712">
            <wp:simplePos x="0" y="0"/>
            <wp:positionH relativeFrom="page">
              <wp:posOffset>1054901</wp:posOffset>
            </wp:positionH>
            <wp:positionV relativeFrom="paragraph">
              <wp:posOffset>262528</wp:posOffset>
            </wp:positionV>
            <wp:extent cx="58380" cy="72151"/>
            <wp:effectExtent l="0" t="0" r="0" b="0"/>
            <wp:wrapNone/>
            <wp:docPr id="1709" name="image13.png"/>
            <wp:cNvGraphicFramePr>
              <a:graphicFrameLocks noChangeAspect="1"/>
            </wp:cNvGraphicFramePr>
            <a:graphic>
              <a:graphicData uri="http://schemas.openxmlformats.org/drawingml/2006/picture">
                <pic:pic>
                  <pic:nvPicPr>
                    <pic:cNvPr id="1710"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052224">
            <wp:simplePos x="0" y="0"/>
            <wp:positionH relativeFrom="page">
              <wp:posOffset>1173773</wp:posOffset>
            </wp:positionH>
            <wp:positionV relativeFrom="paragraph">
              <wp:posOffset>1274464</wp:posOffset>
            </wp:positionV>
            <wp:extent cx="57802" cy="71437"/>
            <wp:effectExtent l="0" t="0" r="0" b="0"/>
            <wp:wrapNone/>
            <wp:docPr id="1711" name="image13.png"/>
            <wp:cNvGraphicFramePr>
              <a:graphicFrameLocks noChangeAspect="1"/>
            </wp:cNvGraphicFramePr>
            <a:graphic>
              <a:graphicData uri="http://schemas.openxmlformats.org/drawingml/2006/picture">
                <pic:pic>
                  <pic:nvPicPr>
                    <pic:cNvPr id="1712" name="image13.png"/>
                    <pic:cNvPicPr/>
                  </pic:nvPicPr>
                  <pic:blipFill>
                    <a:blip r:embed="rId41" cstate="print"/>
                    <a:stretch>
                      <a:fillRect/>
                    </a:stretch>
                  </pic:blipFill>
                  <pic:spPr>
                    <a:xfrm>
                      <a:off x="0" y="0"/>
                      <a:ext cx="57802" cy="71437"/>
                    </a:xfrm>
                    <a:prstGeom prst="rect">
                      <a:avLst/>
                    </a:prstGeom>
                  </pic:spPr>
                </pic:pic>
              </a:graphicData>
            </a:graphic>
          </wp:anchor>
        </w:drawing>
      </w:r>
      <w:r>
        <w:rPr/>
        <w:drawing>
          <wp:anchor distT="0" distB="0" distL="0" distR="0" allowOverlap="1" layoutInCell="1" locked="0" behindDoc="0" simplePos="0" relativeHeight="16052736">
            <wp:simplePos x="0" y="0"/>
            <wp:positionH relativeFrom="page">
              <wp:posOffset>1173773</wp:posOffset>
            </wp:positionH>
            <wp:positionV relativeFrom="paragraph">
              <wp:posOffset>1489346</wp:posOffset>
            </wp:positionV>
            <wp:extent cx="58957" cy="72866"/>
            <wp:effectExtent l="0" t="0" r="0" b="0"/>
            <wp:wrapNone/>
            <wp:docPr id="1713" name="image13.png"/>
            <wp:cNvGraphicFramePr>
              <a:graphicFrameLocks noChangeAspect="1"/>
            </wp:cNvGraphicFramePr>
            <a:graphic>
              <a:graphicData uri="http://schemas.openxmlformats.org/drawingml/2006/picture">
                <pic:pic>
                  <pic:nvPicPr>
                    <pic:cNvPr id="1714" name="image13.png"/>
                    <pic:cNvPicPr/>
                  </pic:nvPicPr>
                  <pic:blipFill>
                    <a:blip r:embed="rId41" cstate="print"/>
                    <a:stretch>
                      <a:fillRect/>
                    </a:stretch>
                  </pic:blipFill>
                  <pic:spPr>
                    <a:xfrm>
                      <a:off x="0" y="0"/>
                      <a:ext cx="58957" cy="72866"/>
                    </a:xfrm>
                    <a:prstGeom prst="rect">
                      <a:avLst/>
                    </a:prstGeom>
                  </pic:spPr>
                </pic:pic>
              </a:graphicData>
            </a:graphic>
          </wp:anchor>
        </w:drawing>
      </w:r>
      <w:r>
        <w:rPr>
          <w:spacing w:val="-1"/>
          <w:sz w:val="18"/>
        </w:rPr>
        <w:t>Very </w:t>
      </w:r>
      <w:r>
        <w:rPr>
          <w:sz w:val="18"/>
        </w:rPr>
        <w:t>Good(4)</w:t>
      </w:r>
      <w:r>
        <w:rPr>
          <w:spacing w:val="-47"/>
          <w:sz w:val="18"/>
        </w:rPr>
        <w:t> </w:t>
      </w:r>
      <w:r>
        <w:rPr>
          <w:sz w:val="18"/>
        </w:rPr>
        <w:t>Excellent(5)</w:t>
      </w:r>
    </w:p>
    <w:p>
      <w:pPr>
        <w:pStyle w:val="BodyText"/>
        <w:spacing w:before="10"/>
        <w:rPr>
          <w:sz w:val="25"/>
        </w:rPr>
      </w:pPr>
      <w:r>
        <w:rPr/>
        <w:pict>
          <v:shape style="position:absolute;margin-left:36.240002pt;margin-top:17.31707pt;width:522.9500pt;height:96.9pt;mso-position-horizontal-relative:page;mso-position-vertical-relative:paragraph;z-index:-15410176;mso-wrap-distance-left:0;mso-wrap-distance-right:0" type="#_x0000_t202" id="docshape214" filled="false" stroked="true" strokeweight=".47998pt" strokecolor="#bebebe">
            <v:textbox inset="0,0,0,0">
              <w:txbxContent>
                <w:p>
                  <w:pPr>
                    <w:spacing w:before="1"/>
                    <w:ind w:left="103" w:right="0" w:firstLine="0"/>
                    <w:jc w:val="left"/>
                    <w:rPr>
                      <w:b/>
                      <w:sz w:val="18"/>
                    </w:rPr>
                  </w:pPr>
                  <w:r>
                    <w:rPr>
                      <w:b/>
                      <w:sz w:val="18"/>
                    </w:rPr>
                    <w:t>Round</w:t>
                  </w:r>
                  <w:r>
                    <w:rPr>
                      <w:b/>
                      <w:spacing w:val="-1"/>
                      <w:sz w:val="18"/>
                    </w:rPr>
                    <w:t> </w:t>
                  </w:r>
                  <w:r>
                    <w:rPr>
                      <w:b/>
                      <w:sz w:val="18"/>
                    </w:rPr>
                    <w:t>1</w:t>
                  </w:r>
                  <w:r>
                    <w:rPr>
                      <w:b/>
                      <w:spacing w:val="-2"/>
                      <w:sz w:val="18"/>
                    </w:rPr>
                    <w:t> </w:t>
                  </w:r>
                  <w:r>
                    <w:rPr>
                      <w:b/>
                      <w:sz w:val="18"/>
                    </w:rPr>
                    <w:t>only</w:t>
                  </w:r>
                </w:p>
                <w:p>
                  <w:pPr>
                    <w:spacing w:before="121"/>
                    <w:ind w:left="103" w:right="662" w:firstLine="0"/>
                    <w:jc w:val="left"/>
                    <w:rPr>
                      <w:sz w:val="18"/>
                    </w:rPr>
                  </w:pPr>
                  <w:r>
                    <w:rPr>
                      <w:sz w:val="18"/>
                    </w:rPr>
                    <w:t>20.</w:t>
                  </w:r>
                  <w:r>
                    <w:rPr>
                      <w:spacing w:val="-3"/>
                      <w:sz w:val="18"/>
                    </w:rPr>
                    <w:t> </w:t>
                  </w:r>
                  <w:r>
                    <w:rPr>
                      <w:sz w:val="18"/>
                    </w:rPr>
                    <w:t>What</w:t>
                  </w:r>
                  <w:r>
                    <w:rPr>
                      <w:spacing w:val="-4"/>
                      <w:sz w:val="18"/>
                    </w:rPr>
                    <w:t> </w:t>
                  </w:r>
                  <w:r>
                    <w:rPr>
                      <w:sz w:val="18"/>
                    </w:rPr>
                    <w:t>are</w:t>
                  </w:r>
                  <w:r>
                    <w:rPr>
                      <w:spacing w:val="-3"/>
                      <w:sz w:val="18"/>
                    </w:rPr>
                    <w:t> </w:t>
                  </w:r>
                  <w:r>
                    <w:rPr>
                      <w:sz w:val="18"/>
                    </w:rPr>
                    <w:t>the</w:t>
                  </w:r>
                  <w:r>
                    <w:rPr>
                      <w:spacing w:val="-2"/>
                      <w:sz w:val="18"/>
                    </w:rPr>
                    <w:t> </w:t>
                  </w:r>
                  <w:r>
                    <w:rPr>
                      <w:sz w:val="18"/>
                    </w:rPr>
                    <w:t>top</w:t>
                  </w:r>
                  <w:r>
                    <w:rPr>
                      <w:spacing w:val="-4"/>
                      <w:sz w:val="18"/>
                    </w:rPr>
                    <w:t> </w:t>
                  </w:r>
                  <w:r>
                    <w:rPr>
                      <w:sz w:val="18"/>
                    </w:rPr>
                    <w:t>changes (up</w:t>
                  </w:r>
                  <w:r>
                    <w:rPr>
                      <w:spacing w:val="-4"/>
                      <w:sz w:val="18"/>
                    </w:rPr>
                    <w:t> </w:t>
                  </w:r>
                  <w:r>
                    <w:rPr>
                      <w:sz w:val="18"/>
                    </w:rPr>
                    <w:t>to three)</w:t>
                  </w:r>
                  <w:r>
                    <w:rPr>
                      <w:spacing w:val="-4"/>
                      <w:sz w:val="18"/>
                    </w:rPr>
                    <w:t> </w:t>
                  </w:r>
                  <w:r>
                    <w:rPr>
                      <w:sz w:val="18"/>
                    </w:rPr>
                    <w:t>you</w:t>
                  </w:r>
                  <w:r>
                    <w:rPr>
                      <w:spacing w:val="-3"/>
                      <w:sz w:val="18"/>
                    </w:rPr>
                    <w:t> </w:t>
                  </w:r>
                  <w:r>
                    <w:rPr>
                      <w:sz w:val="18"/>
                    </w:rPr>
                    <w:t>believe</w:t>
                  </w:r>
                  <w:r>
                    <w:rPr>
                      <w:spacing w:val="-4"/>
                      <w:sz w:val="18"/>
                    </w:rPr>
                    <w:t> </w:t>
                  </w:r>
                  <w:r>
                    <w:rPr>
                      <w:sz w:val="18"/>
                    </w:rPr>
                    <w:t>would</w:t>
                  </w:r>
                  <w:r>
                    <w:rPr>
                      <w:spacing w:val="-4"/>
                      <w:sz w:val="18"/>
                    </w:rPr>
                    <w:t> </w:t>
                  </w:r>
                  <w:r>
                    <w:rPr>
                      <w:sz w:val="18"/>
                    </w:rPr>
                    <w:t>improve</w:t>
                  </w:r>
                  <w:r>
                    <w:rPr>
                      <w:spacing w:val="-2"/>
                      <w:sz w:val="18"/>
                    </w:rPr>
                    <w:t> </w:t>
                  </w:r>
                  <w:r>
                    <w:rPr>
                      <w:sz w:val="18"/>
                    </w:rPr>
                    <w:t>the</w:t>
                  </w:r>
                  <w:r>
                    <w:rPr>
                      <w:spacing w:val="-2"/>
                      <w:sz w:val="18"/>
                    </w:rPr>
                    <w:t> </w:t>
                  </w:r>
                  <w:r>
                    <w:rPr>
                      <w:sz w:val="18"/>
                    </w:rPr>
                    <w:t>coordination</w:t>
                  </w:r>
                  <w:r>
                    <w:rPr>
                      <w:spacing w:val="-3"/>
                      <w:sz w:val="18"/>
                    </w:rPr>
                    <w:t> </w:t>
                  </w:r>
                  <w:r>
                    <w:rPr>
                      <w:sz w:val="18"/>
                    </w:rPr>
                    <w:t>of</w:t>
                  </w:r>
                  <w:r>
                    <w:rPr>
                      <w:spacing w:val="-4"/>
                      <w:sz w:val="18"/>
                    </w:rPr>
                    <w:t> </w:t>
                  </w:r>
                  <w:r>
                    <w:rPr>
                      <w:sz w:val="18"/>
                    </w:rPr>
                    <w:t>care</w:t>
                  </w:r>
                  <w:r>
                    <w:rPr>
                      <w:spacing w:val="-3"/>
                      <w:sz w:val="18"/>
                    </w:rPr>
                    <w:t> </w:t>
                  </w:r>
                  <w:r>
                    <w:rPr>
                      <w:sz w:val="18"/>
                    </w:rPr>
                    <w:t>provided</w:t>
                  </w:r>
                  <w:r>
                    <w:rPr>
                      <w:spacing w:val="-3"/>
                      <w:sz w:val="18"/>
                    </w:rPr>
                    <w:t> </w:t>
                  </w:r>
                  <w:r>
                    <w:rPr>
                      <w:sz w:val="18"/>
                    </w:rPr>
                    <w:t>for</w:t>
                  </w:r>
                  <w:r>
                    <w:rPr>
                      <w:spacing w:val="-47"/>
                      <w:sz w:val="18"/>
                    </w:rPr>
                    <w:t> </w:t>
                  </w:r>
                  <w:r>
                    <w:rPr>
                      <w:sz w:val="18"/>
                    </w:rPr>
                    <w:t>patients</w:t>
                  </w:r>
                  <w:r>
                    <w:rPr>
                      <w:spacing w:val="-2"/>
                      <w:sz w:val="18"/>
                    </w:rPr>
                    <w:t> </w:t>
                  </w:r>
                  <w:r>
                    <w:rPr>
                      <w:sz w:val="18"/>
                    </w:rPr>
                    <w:t>of your</w:t>
                  </w:r>
                  <w:r>
                    <w:rPr>
                      <w:spacing w:val="-2"/>
                      <w:sz w:val="18"/>
                    </w:rPr>
                    <w:t> </w:t>
                  </w:r>
                  <w:r>
                    <w:rPr>
                      <w:sz w:val="18"/>
                    </w:rPr>
                    <w:t>practice/service?</w:t>
                  </w:r>
                </w:p>
                <w:p>
                  <w:pPr>
                    <w:tabs>
                      <w:tab w:pos="7075" w:val="left" w:leader="none"/>
                    </w:tabs>
                    <w:spacing w:before="120"/>
                    <w:ind w:left="1454" w:right="0" w:firstLine="0"/>
                    <w:jc w:val="left"/>
                    <w:rPr>
                      <w:sz w:val="18"/>
                    </w:rPr>
                  </w:pPr>
                  <w:r>
                    <w:rPr>
                      <w:sz w:val="18"/>
                    </w:rPr>
                    <w:t>Change</w:t>
                  </w:r>
                  <w:r>
                    <w:rPr>
                      <w:spacing w:val="-3"/>
                      <w:sz w:val="18"/>
                    </w:rPr>
                    <w:t> </w:t>
                  </w:r>
                  <w:r>
                    <w:rPr>
                      <w:sz w:val="18"/>
                    </w:rPr>
                    <w:t>1</w:t>
                  </w:r>
                  <w:r>
                    <w:rPr>
                      <w:spacing w:val="47"/>
                      <w:sz w:val="18"/>
                    </w:rPr>
                    <w:t> </w:t>
                  </w:r>
                  <w:r>
                    <w:rPr>
                      <w:sz w:val="18"/>
                    </w:rPr>
                    <w:t>(1) </w:t>
                  </w:r>
                  <w:r>
                    <w:rPr>
                      <w:sz w:val="18"/>
                      <w:u w:val="single" w:color="BDBDBD"/>
                    </w:rPr>
                    <w:t> </w:t>
                    <w:tab/>
                  </w:r>
                </w:p>
                <w:p>
                  <w:pPr>
                    <w:tabs>
                      <w:tab w:pos="7075" w:val="left" w:leader="none"/>
                    </w:tabs>
                    <w:spacing w:before="118"/>
                    <w:ind w:left="1454" w:right="0" w:firstLine="0"/>
                    <w:jc w:val="left"/>
                    <w:rPr>
                      <w:sz w:val="18"/>
                    </w:rPr>
                  </w:pPr>
                  <w:r>
                    <w:rPr>
                      <w:sz w:val="18"/>
                    </w:rPr>
                    <w:t>Change</w:t>
                  </w:r>
                  <w:r>
                    <w:rPr>
                      <w:spacing w:val="-3"/>
                      <w:sz w:val="18"/>
                    </w:rPr>
                    <w:t> </w:t>
                  </w:r>
                  <w:r>
                    <w:rPr>
                      <w:sz w:val="18"/>
                    </w:rPr>
                    <w:t>2</w:t>
                  </w:r>
                  <w:r>
                    <w:rPr>
                      <w:spacing w:val="47"/>
                      <w:sz w:val="18"/>
                    </w:rPr>
                    <w:t> </w:t>
                  </w:r>
                  <w:r>
                    <w:rPr>
                      <w:sz w:val="18"/>
                    </w:rPr>
                    <w:t>(2) </w:t>
                  </w:r>
                  <w:r>
                    <w:rPr>
                      <w:sz w:val="18"/>
                      <w:u w:val="single" w:color="BDBDBD"/>
                    </w:rPr>
                    <w:t> </w:t>
                    <w:tab/>
                  </w:r>
                </w:p>
                <w:p>
                  <w:pPr>
                    <w:tabs>
                      <w:tab w:pos="7075" w:val="left" w:leader="none"/>
                    </w:tabs>
                    <w:spacing w:before="120"/>
                    <w:ind w:left="1454" w:right="0" w:firstLine="0"/>
                    <w:jc w:val="left"/>
                    <w:rPr>
                      <w:sz w:val="18"/>
                    </w:rPr>
                  </w:pPr>
                  <w:r>
                    <w:rPr>
                      <w:sz w:val="18"/>
                    </w:rPr>
                    <w:t>Change</w:t>
                  </w:r>
                  <w:r>
                    <w:rPr>
                      <w:spacing w:val="-3"/>
                      <w:sz w:val="18"/>
                    </w:rPr>
                    <w:t> </w:t>
                  </w:r>
                  <w:r>
                    <w:rPr>
                      <w:sz w:val="18"/>
                    </w:rPr>
                    <w:t>3</w:t>
                  </w:r>
                  <w:r>
                    <w:rPr>
                      <w:spacing w:val="47"/>
                      <w:sz w:val="18"/>
                    </w:rPr>
                    <w:t> </w:t>
                  </w:r>
                  <w:r>
                    <w:rPr>
                      <w:sz w:val="18"/>
                    </w:rPr>
                    <w:t>(3) </w:t>
                  </w:r>
                  <w:r>
                    <w:rPr>
                      <w:sz w:val="18"/>
                      <w:u w:val="single" w:color="BDBDBD"/>
                    </w:rPr>
                    <w:t> </w:t>
                    <w:tab/>
                  </w:r>
                </w:p>
              </w:txbxContent>
            </v:textbox>
            <v:stroke dashstyle="solid"/>
            <w10:wrap type="topAndBottom"/>
          </v:shape>
        </w:pict>
      </w:r>
      <w:r>
        <w:rPr/>
        <w:pict>
          <v:shape style="position:absolute;margin-left:36.240002pt;margin-top:131.707062pt;width:522.9500pt;height:248.7pt;mso-position-horizontal-relative:page;mso-position-vertical-relative:paragraph;z-index:-15409664;mso-wrap-distance-left:0;mso-wrap-distance-right:0" type="#_x0000_t202" id="docshape215" filled="false" stroked="true" strokeweight=".47998pt" strokecolor="#bebebe">
            <v:textbox inset="0,0,0,0">
              <w:txbxContent>
                <w:p>
                  <w:pPr>
                    <w:spacing w:line="220" w:lineRule="exact" w:before="0"/>
                    <w:ind w:left="103" w:right="0" w:firstLine="0"/>
                    <w:jc w:val="left"/>
                    <w:rPr>
                      <w:b/>
                      <w:sz w:val="18"/>
                    </w:rPr>
                  </w:pPr>
                  <w:r>
                    <w:rPr>
                      <w:b/>
                      <w:sz w:val="18"/>
                    </w:rPr>
                    <w:t>Round</w:t>
                  </w:r>
                  <w:r>
                    <w:rPr>
                      <w:b/>
                      <w:spacing w:val="-1"/>
                      <w:sz w:val="18"/>
                    </w:rPr>
                    <w:t> </w:t>
                  </w:r>
                  <w:r>
                    <w:rPr>
                      <w:b/>
                      <w:sz w:val="18"/>
                    </w:rPr>
                    <w:t>5</w:t>
                  </w:r>
                  <w:r>
                    <w:rPr>
                      <w:b/>
                      <w:spacing w:val="-2"/>
                      <w:sz w:val="18"/>
                    </w:rPr>
                    <w:t> </w:t>
                  </w:r>
                  <w:r>
                    <w:rPr>
                      <w:b/>
                      <w:sz w:val="18"/>
                    </w:rPr>
                    <w:t>only</w:t>
                  </w:r>
                </w:p>
                <w:p>
                  <w:pPr>
                    <w:spacing w:line="372" w:lineRule="exact" w:before="3"/>
                    <w:ind w:left="1380" w:right="662" w:hanging="1278"/>
                    <w:jc w:val="left"/>
                    <w:rPr>
                      <w:sz w:val="18"/>
                    </w:rPr>
                  </w:pPr>
                  <w:r>
                    <w:rPr>
                      <w:sz w:val="18"/>
                    </w:rPr>
                    <w:t>20A. Since the HCH program commenced, coordination of care provided for patients of your practice/service:</w:t>
                  </w:r>
                  <w:r>
                    <w:rPr>
                      <w:spacing w:val="-47"/>
                      <w:sz w:val="18"/>
                    </w:rPr>
                    <w:t> </w:t>
                  </w:r>
                  <w:r>
                    <w:rPr>
                      <w:sz w:val="18"/>
                    </w:rPr>
                    <w:t>Got</w:t>
                  </w:r>
                  <w:r>
                    <w:rPr>
                      <w:spacing w:val="-3"/>
                      <w:sz w:val="18"/>
                    </w:rPr>
                    <w:t> </w:t>
                  </w:r>
                  <w:r>
                    <w:rPr>
                      <w:sz w:val="18"/>
                    </w:rPr>
                    <w:t>better</w:t>
                  </w:r>
                </w:p>
                <w:p>
                  <w:pPr>
                    <w:spacing w:line="186" w:lineRule="exact" w:before="0"/>
                    <w:ind w:left="1380" w:right="0" w:firstLine="0"/>
                    <w:jc w:val="left"/>
                    <w:rPr>
                      <w:sz w:val="18"/>
                    </w:rPr>
                  </w:pPr>
                  <w:r>
                    <w:rPr>
                      <w:sz w:val="18"/>
                    </w:rPr>
                    <w:t>Stayed</w:t>
                  </w:r>
                  <w:r>
                    <w:rPr>
                      <w:spacing w:val="-4"/>
                      <w:sz w:val="18"/>
                    </w:rPr>
                    <w:t> </w:t>
                  </w:r>
                  <w:r>
                    <w:rPr>
                      <w:sz w:val="18"/>
                    </w:rPr>
                    <w:t>the</w:t>
                  </w:r>
                  <w:r>
                    <w:rPr>
                      <w:spacing w:val="-4"/>
                      <w:sz w:val="18"/>
                    </w:rPr>
                    <w:t> </w:t>
                  </w:r>
                  <w:r>
                    <w:rPr>
                      <w:sz w:val="18"/>
                    </w:rPr>
                    <w:t>same</w:t>
                  </w:r>
                </w:p>
                <w:p>
                  <w:pPr>
                    <w:spacing w:before="0"/>
                    <w:ind w:left="1380" w:right="8164" w:firstLine="0"/>
                    <w:jc w:val="left"/>
                    <w:rPr>
                      <w:sz w:val="18"/>
                    </w:rPr>
                  </w:pPr>
                  <w:r>
                    <w:rPr>
                      <w:spacing w:val="-1"/>
                      <w:sz w:val="18"/>
                    </w:rPr>
                    <w:t>Got worse</w:t>
                  </w:r>
                  <w:r>
                    <w:rPr>
                      <w:spacing w:val="-47"/>
                      <w:sz w:val="18"/>
                    </w:rPr>
                    <w:t> </w:t>
                  </w:r>
                  <w:r>
                    <w:rPr>
                      <w:sz w:val="18"/>
                    </w:rPr>
                    <w:t>Not</w:t>
                  </w:r>
                  <w:r>
                    <w:rPr>
                      <w:spacing w:val="-3"/>
                      <w:sz w:val="18"/>
                    </w:rPr>
                    <w:t> </w:t>
                  </w:r>
                  <w:r>
                    <w:rPr>
                      <w:sz w:val="18"/>
                    </w:rPr>
                    <w:t>sure</w:t>
                  </w:r>
                </w:p>
                <w:p>
                  <w:pPr>
                    <w:pStyle w:val="BodyText"/>
                    <w:spacing w:before="4"/>
                    <w:rPr>
                      <w:sz w:val="16"/>
                    </w:rPr>
                  </w:pPr>
                </w:p>
                <w:p>
                  <w:pPr>
                    <w:spacing w:before="0"/>
                    <w:ind w:left="103" w:right="581" w:firstLine="0"/>
                    <w:jc w:val="left"/>
                    <w:rPr>
                      <w:sz w:val="18"/>
                    </w:rPr>
                  </w:pPr>
                  <w:r>
                    <w:rPr>
                      <w:sz w:val="18"/>
                    </w:rPr>
                    <w:t>20B. Since the implementation of HCH in you practice, what are the top three changes that have occurred that</w:t>
                  </w:r>
                  <w:r>
                    <w:rPr>
                      <w:spacing w:val="-48"/>
                      <w:sz w:val="18"/>
                    </w:rPr>
                    <w:t> </w:t>
                  </w:r>
                  <w:r>
                    <w:rPr>
                      <w:sz w:val="18"/>
                    </w:rPr>
                    <w:t>improved</w:t>
                  </w:r>
                  <w:r>
                    <w:rPr>
                      <w:spacing w:val="-2"/>
                      <w:sz w:val="18"/>
                    </w:rPr>
                    <w:t> </w:t>
                  </w:r>
                  <w:r>
                    <w:rPr>
                      <w:sz w:val="18"/>
                    </w:rPr>
                    <w:t>the</w:t>
                  </w:r>
                  <w:r>
                    <w:rPr>
                      <w:spacing w:val="-1"/>
                      <w:sz w:val="18"/>
                    </w:rPr>
                    <w:t> </w:t>
                  </w:r>
                  <w:r>
                    <w:rPr>
                      <w:sz w:val="18"/>
                    </w:rPr>
                    <w:t>coordination</w:t>
                  </w:r>
                  <w:r>
                    <w:rPr>
                      <w:spacing w:val="-2"/>
                      <w:sz w:val="18"/>
                    </w:rPr>
                    <w:t> </w:t>
                  </w:r>
                  <w:r>
                    <w:rPr>
                      <w:sz w:val="18"/>
                    </w:rPr>
                    <w:t>of</w:t>
                  </w:r>
                  <w:r>
                    <w:rPr>
                      <w:spacing w:val="-1"/>
                      <w:sz w:val="18"/>
                    </w:rPr>
                    <w:t> </w:t>
                  </w:r>
                  <w:r>
                    <w:rPr>
                      <w:sz w:val="18"/>
                    </w:rPr>
                    <w:t>care provided</w:t>
                  </w:r>
                  <w:r>
                    <w:rPr>
                      <w:spacing w:val="-2"/>
                      <w:sz w:val="18"/>
                    </w:rPr>
                    <w:t> </w:t>
                  </w:r>
                  <w:r>
                    <w:rPr>
                      <w:sz w:val="18"/>
                    </w:rPr>
                    <w:t>for patients</w:t>
                  </w:r>
                  <w:r>
                    <w:rPr>
                      <w:spacing w:val="-2"/>
                      <w:sz w:val="18"/>
                    </w:rPr>
                    <w:t> </w:t>
                  </w:r>
                  <w:r>
                    <w:rPr>
                      <w:sz w:val="18"/>
                    </w:rPr>
                    <w:t>of your</w:t>
                  </w:r>
                  <w:r>
                    <w:rPr>
                      <w:spacing w:val="-1"/>
                      <w:sz w:val="18"/>
                    </w:rPr>
                    <w:t> </w:t>
                  </w:r>
                  <w:r>
                    <w:rPr>
                      <w:sz w:val="18"/>
                    </w:rPr>
                    <w:t>practice/service?</w:t>
                  </w:r>
                </w:p>
                <w:p>
                  <w:pPr>
                    <w:tabs>
                      <w:tab w:pos="7075" w:val="left" w:leader="none"/>
                    </w:tabs>
                    <w:spacing w:before="120"/>
                    <w:ind w:left="1454" w:right="0" w:firstLine="0"/>
                    <w:jc w:val="left"/>
                    <w:rPr>
                      <w:sz w:val="18"/>
                    </w:rPr>
                  </w:pPr>
                  <w:r>
                    <w:rPr>
                      <w:sz w:val="18"/>
                    </w:rPr>
                    <w:t>Change</w:t>
                  </w:r>
                  <w:r>
                    <w:rPr>
                      <w:spacing w:val="-3"/>
                      <w:sz w:val="18"/>
                    </w:rPr>
                    <w:t> </w:t>
                  </w:r>
                  <w:r>
                    <w:rPr>
                      <w:sz w:val="18"/>
                    </w:rPr>
                    <w:t>1</w:t>
                  </w:r>
                  <w:r>
                    <w:rPr>
                      <w:spacing w:val="47"/>
                      <w:sz w:val="18"/>
                    </w:rPr>
                    <w:t> </w:t>
                  </w:r>
                  <w:r>
                    <w:rPr>
                      <w:sz w:val="18"/>
                    </w:rPr>
                    <w:t>(1) </w:t>
                  </w:r>
                  <w:r>
                    <w:rPr>
                      <w:sz w:val="18"/>
                      <w:u w:val="single" w:color="BDBDBD"/>
                    </w:rPr>
                    <w:t> </w:t>
                    <w:tab/>
                  </w:r>
                </w:p>
                <w:p>
                  <w:pPr>
                    <w:tabs>
                      <w:tab w:pos="7075" w:val="left" w:leader="none"/>
                    </w:tabs>
                    <w:spacing w:before="120"/>
                    <w:ind w:left="1454" w:right="0" w:firstLine="0"/>
                    <w:jc w:val="left"/>
                    <w:rPr>
                      <w:sz w:val="18"/>
                    </w:rPr>
                  </w:pPr>
                  <w:r>
                    <w:rPr>
                      <w:sz w:val="18"/>
                    </w:rPr>
                    <w:t>Change</w:t>
                  </w:r>
                  <w:r>
                    <w:rPr>
                      <w:spacing w:val="-3"/>
                      <w:sz w:val="18"/>
                    </w:rPr>
                    <w:t> </w:t>
                  </w:r>
                  <w:r>
                    <w:rPr>
                      <w:sz w:val="18"/>
                    </w:rPr>
                    <w:t>2</w:t>
                  </w:r>
                  <w:r>
                    <w:rPr>
                      <w:spacing w:val="47"/>
                      <w:sz w:val="18"/>
                    </w:rPr>
                    <w:t> </w:t>
                  </w:r>
                  <w:r>
                    <w:rPr>
                      <w:sz w:val="18"/>
                    </w:rPr>
                    <w:t>(2) </w:t>
                  </w:r>
                  <w:r>
                    <w:rPr>
                      <w:sz w:val="18"/>
                      <w:u w:val="single" w:color="BDBDBD"/>
                    </w:rPr>
                    <w:t> </w:t>
                    <w:tab/>
                  </w:r>
                </w:p>
                <w:p>
                  <w:pPr>
                    <w:tabs>
                      <w:tab w:pos="7075" w:val="left" w:leader="none"/>
                    </w:tabs>
                    <w:spacing w:before="120"/>
                    <w:ind w:left="1454" w:right="0" w:firstLine="0"/>
                    <w:jc w:val="left"/>
                    <w:rPr>
                      <w:sz w:val="18"/>
                    </w:rPr>
                  </w:pPr>
                  <w:r>
                    <w:rPr>
                      <w:sz w:val="18"/>
                    </w:rPr>
                    <w:t>Change</w:t>
                  </w:r>
                  <w:r>
                    <w:rPr>
                      <w:spacing w:val="-3"/>
                      <w:sz w:val="18"/>
                    </w:rPr>
                    <w:t> </w:t>
                  </w:r>
                  <w:r>
                    <w:rPr>
                      <w:sz w:val="18"/>
                    </w:rPr>
                    <w:t>3</w:t>
                  </w:r>
                  <w:r>
                    <w:rPr>
                      <w:spacing w:val="47"/>
                      <w:sz w:val="18"/>
                    </w:rPr>
                    <w:t> </w:t>
                  </w:r>
                  <w:r>
                    <w:rPr>
                      <w:sz w:val="18"/>
                    </w:rPr>
                    <w:t>(3) </w:t>
                  </w:r>
                  <w:r>
                    <w:rPr>
                      <w:sz w:val="18"/>
                      <w:u w:val="single" w:color="BDBDBD"/>
                    </w:rPr>
                    <w:t> </w:t>
                    <w:tab/>
                  </w:r>
                </w:p>
                <w:p>
                  <w:pPr>
                    <w:spacing w:before="121"/>
                    <w:ind w:left="103" w:right="340" w:firstLine="0"/>
                    <w:jc w:val="left"/>
                    <w:rPr>
                      <w:sz w:val="18"/>
                    </w:rPr>
                  </w:pPr>
                  <w:r>
                    <w:rPr>
                      <w:sz w:val="18"/>
                    </w:rPr>
                    <w:t>20C. What are the top changes (up to three) you believe would further improve the coordination of care provided</w:t>
                  </w:r>
                  <w:r>
                    <w:rPr>
                      <w:spacing w:val="-48"/>
                      <w:sz w:val="18"/>
                    </w:rPr>
                    <w:t> </w:t>
                  </w:r>
                  <w:r>
                    <w:rPr>
                      <w:sz w:val="18"/>
                    </w:rPr>
                    <w:t>for</w:t>
                  </w:r>
                  <w:r>
                    <w:rPr>
                      <w:spacing w:val="-1"/>
                      <w:sz w:val="18"/>
                    </w:rPr>
                    <w:t> </w:t>
                  </w:r>
                  <w:r>
                    <w:rPr>
                      <w:sz w:val="18"/>
                    </w:rPr>
                    <w:t>patients</w:t>
                  </w:r>
                  <w:r>
                    <w:rPr>
                      <w:spacing w:val="-1"/>
                      <w:sz w:val="18"/>
                    </w:rPr>
                    <w:t> </w:t>
                  </w:r>
                  <w:r>
                    <w:rPr>
                      <w:sz w:val="18"/>
                    </w:rPr>
                    <w:t>of your</w:t>
                  </w:r>
                  <w:r>
                    <w:rPr>
                      <w:spacing w:val="-2"/>
                      <w:sz w:val="18"/>
                    </w:rPr>
                    <w:t> </w:t>
                  </w:r>
                  <w:r>
                    <w:rPr>
                      <w:sz w:val="18"/>
                    </w:rPr>
                    <w:t>practice/service?</w:t>
                  </w:r>
                </w:p>
                <w:p>
                  <w:pPr>
                    <w:tabs>
                      <w:tab w:pos="7075" w:val="left" w:leader="none"/>
                    </w:tabs>
                    <w:spacing w:before="120"/>
                    <w:ind w:left="1454" w:right="0" w:firstLine="0"/>
                    <w:jc w:val="left"/>
                    <w:rPr>
                      <w:sz w:val="18"/>
                    </w:rPr>
                  </w:pPr>
                  <w:r>
                    <w:rPr>
                      <w:sz w:val="18"/>
                    </w:rPr>
                    <w:t>Change</w:t>
                  </w:r>
                  <w:r>
                    <w:rPr>
                      <w:spacing w:val="-3"/>
                      <w:sz w:val="18"/>
                    </w:rPr>
                    <w:t> </w:t>
                  </w:r>
                  <w:r>
                    <w:rPr>
                      <w:sz w:val="18"/>
                    </w:rPr>
                    <w:t>1</w:t>
                  </w:r>
                  <w:r>
                    <w:rPr>
                      <w:spacing w:val="47"/>
                      <w:sz w:val="18"/>
                    </w:rPr>
                    <w:t> </w:t>
                  </w:r>
                  <w:r>
                    <w:rPr>
                      <w:sz w:val="18"/>
                    </w:rPr>
                    <w:t>(1) </w:t>
                  </w:r>
                  <w:r>
                    <w:rPr>
                      <w:sz w:val="18"/>
                      <w:u w:val="single" w:color="BDBDBD"/>
                    </w:rPr>
                    <w:t> </w:t>
                    <w:tab/>
                  </w:r>
                </w:p>
                <w:p>
                  <w:pPr>
                    <w:tabs>
                      <w:tab w:pos="7075" w:val="left" w:leader="none"/>
                    </w:tabs>
                    <w:spacing w:before="120"/>
                    <w:ind w:left="1454" w:right="0" w:firstLine="0"/>
                    <w:jc w:val="left"/>
                    <w:rPr>
                      <w:sz w:val="18"/>
                    </w:rPr>
                  </w:pPr>
                  <w:r>
                    <w:rPr>
                      <w:sz w:val="18"/>
                    </w:rPr>
                    <w:t>Change</w:t>
                  </w:r>
                  <w:r>
                    <w:rPr>
                      <w:spacing w:val="-3"/>
                      <w:sz w:val="18"/>
                    </w:rPr>
                    <w:t> </w:t>
                  </w:r>
                  <w:r>
                    <w:rPr>
                      <w:sz w:val="18"/>
                    </w:rPr>
                    <w:t>2</w:t>
                  </w:r>
                  <w:r>
                    <w:rPr>
                      <w:spacing w:val="47"/>
                      <w:sz w:val="18"/>
                    </w:rPr>
                    <w:t> </w:t>
                  </w:r>
                  <w:r>
                    <w:rPr>
                      <w:sz w:val="18"/>
                    </w:rPr>
                    <w:t>(2) </w:t>
                  </w:r>
                  <w:r>
                    <w:rPr>
                      <w:sz w:val="18"/>
                      <w:u w:val="single" w:color="BDBDBD"/>
                    </w:rPr>
                    <w:t> </w:t>
                    <w:tab/>
                  </w:r>
                </w:p>
                <w:p>
                  <w:pPr>
                    <w:tabs>
                      <w:tab w:pos="7075" w:val="left" w:leader="none"/>
                    </w:tabs>
                    <w:spacing w:before="121"/>
                    <w:ind w:left="1454" w:right="0" w:firstLine="0"/>
                    <w:jc w:val="left"/>
                    <w:rPr>
                      <w:sz w:val="18"/>
                    </w:rPr>
                  </w:pPr>
                  <w:r>
                    <w:rPr>
                      <w:sz w:val="18"/>
                    </w:rPr>
                    <w:t>Change</w:t>
                  </w:r>
                  <w:r>
                    <w:rPr>
                      <w:spacing w:val="-3"/>
                      <w:sz w:val="18"/>
                    </w:rPr>
                    <w:t> </w:t>
                  </w:r>
                  <w:r>
                    <w:rPr>
                      <w:sz w:val="18"/>
                    </w:rPr>
                    <w:t>3</w:t>
                  </w:r>
                  <w:r>
                    <w:rPr>
                      <w:spacing w:val="47"/>
                      <w:sz w:val="18"/>
                    </w:rPr>
                    <w:t> </w:t>
                  </w:r>
                  <w:r>
                    <w:rPr>
                      <w:sz w:val="18"/>
                    </w:rPr>
                    <w:t>(3) </w:t>
                  </w:r>
                  <w:r>
                    <w:rPr>
                      <w:sz w:val="18"/>
                      <w:u w:val="single" w:color="BDBDBD"/>
                    </w:rPr>
                    <w:t> </w:t>
                    <w:tab/>
                  </w:r>
                </w:p>
              </w:txbxContent>
            </v:textbox>
            <v:stroke dashstyle="solid"/>
            <w10:wrap type="topAndBottom"/>
          </v:shape>
        </w:pict>
      </w:r>
    </w:p>
    <w:p>
      <w:pPr>
        <w:pStyle w:val="BodyText"/>
        <w:spacing w:before="2"/>
        <w:rPr>
          <w:sz w:val="26"/>
        </w:rPr>
      </w:pPr>
    </w:p>
    <w:p>
      <w:pPr>
        <w:pStyle w:val="BodyText"/>
        <w:spacing w:before="11"/>
        <w:rPr>
          <w:sz w:val="19"/>
        </w:rPr>
      </w:pPr>
    </w:p>
    <w:p>
      <w:pPr>
        <w:spacing w:before="100"/>
        <w:ind w:left="420" w:right="0" w:firstLine="0"/>
        <w:jc w:val="left"/>
        <w:rPr>
          <w:sz w:val="18"/>
        </w:rPr>
      </w:pPr>
      <w:r>
        <w:rPr/>
        <w:drawing>
          <wp:anchor distT="0" distB="0" distL="0" distR="0" allowOverlap="1" layoutInCell="1" locked="0" behindDoc="0" simplePos="0" relativeHeight="16057344">
            <wp:simplePos x="0" y="0"/>
            <wp:positionH relativeFrom="page">
              <wp:posOffset>1173773</wp:posOffset>
            </wp:positionH>
            <wp:positionV relativeFrom="paragraph">
              <wp:posOffset>-764394</wp:posOffset>
            </wp:positionV>
            <wp:extent cx="57802" cy="71437"/>
            <wp:effectExtent l="0" t="0" r="0" b="0"/>
            <wp:wrapNone/>
            <wp:docPr id="1715" name="image13.png"/>
            <wp:cNvGraphicFramePr>
              <a:graphicFrameLocks noChangeAspect="1"/>
            </wp:cNvGraphicFramePr>
            <a:graphic>
              <a:graphicData uri="http://schemas.openxmlformats.org/drawingml/2006/picture">
                <pic:pic>
                  <pic:nvPicPr>
                    <pic:cNvPr id="1716" name="image13.png"/>
                    <pic:cNvPicPr/>
                  </pic:nvPicPr>
                  <pic:blipFill>
                    <a:blip r:embed="rId41" cstate="print"/>
                    <a:stretch>
                      <a:fillRect/>
                    </a:stretch>
                  </pic:blipFill>
                  <pic:spPr>
                    <a:xfrm>
                      <a:off x="0" y="0"/>
                      <a:ext cx="57802" cy="71437"/>
                    </a:xfrm>
                    <a:prstGeom prst="rect">
                      <a:avLst/>
                    </a:prstGeom>
                  </pic:spPr>
                </pic:pic>
              </a:graphicData>
            </a:graphic>
          </wp:anchor>
        </w:drawing>
      </w:r>
      <w:r>
        <w:rPr/>
        <w:drawing>
          <wp:anchor distT="0" distB="0" distL="0" distR="0" allowOverlap="1" layoutInCell="1" locked="0" behindDoc="0" simplePos="0" relativeHeight="16057856">
            <wp:simplePos x="0" y="0"/>
            <wp:positionH relativeFrom="page">
              <wp:posOffset>1173773</wp:posOffset>
            </wp:positionH>
            <wp:positionV relativeFrom="paragraph">
              <wp:posOffset>-547986</wp:posOffset>
            </wp:positionV>
            <wp:extent cx="57802" cy="71437"/>
            <wp:effectExtent l="0" t="0" r="0" b="0"/>
            <wp:wrapNone/>
            <wp:docPr id="1717" name="image13.png"/>
            <wp:cNvGraphicFramePr>
              <a:graphicFrameLocks noChangeAspect="1"/>
            </wp:cNvGraphicFramePr>
            <a:graphic>
              <a:graphicData uri="http://schemas.openxmlformats.org/drawingml/2006/picture">
                <pic:pic>
                  <pic:nvPicPr>
                    <pic:cNvPr id="1718" name="image13.png"/>
                    <pic:cNvPicPr/>
                  </pic:nvPicPr>
                  <pic:blipFill>
                    <a:blip r:embed="rId41" cstate="print"/>
                    <a:stretch>
                      <a:fillRect/>
                    </a:stretch>
                  </pic:blipFill>
                  <pic:spPr>
                    <a:xfrm>
                      <a:off x="0" y="0"/>
                      <a:ext cx="57802" cy="71437"/>
                    </a:xfrm>
                    <a:prstGeom prst="rect">
                      <a:avLst/>
                    </a:prstGeom>
                  </pic:spPr>
                </pic:pic>
              </a:graphicData>
            </a:graphic>
          </wp:anchor>
        </w:drawing>
      </w:r>
      <w:r>
        <w:rPr/>
        <w:drawing>
          <wp:anchor distT="0" distB="0" distL="0" distR="0" allowOverlap="1" layoutInCell="1" locked="0" behindDoc="0" simplePos="0" relativeHeight="16058368">
            <wp:simplePos x="0" y="0"/>
            <wp:positionH relativeFrom="page">
              <wp:posOffset>1173773</wp:posOffset>
            </wp:positionH>
            <wp:positionV relativeFrom="paragraph">
              <wp:posOffset>-331578</wp:posOffset>
            </wp:positionV>
            <wp:extent cx="57802" cy="71437"/>
            <wp:effectExtent l="0" t="0" r="0" b="0"/>
            <wp:wrapNone/>
            <wp:docPr id="1719" name="image13.png"/>
            <wp:cNvGraphicFramePr>
              <a:graphicFrameLocks noChangeAspect="1"/>
            </wp:cNvGraphicFramePr>
            <a:graphic>
              <a:graphicData uri="http://schemas.openxmlformats.org/drawingml/2006/picture">
                <pic:pic>
                  <pic:nvPicPr>
                    <pic:cNvPr id="1720" name="image13.png"/>
                    <pic:cNvPicPr/>
                  </pic:nvPicPr>
                  <pic:blipFill>
                    <a:blip r:embed="rId41" cstate="print"/>
                    <a:stretch>
                      <a:fillRect/>
                    </a:stretch>
                  </pic:blipFill>
                  <pic:spPr>
                    <a:xfrm>
                      <a:off x="0" y="0"/>
                      <a:ext cx="57802" cy="71437"/>
                    </a:xfrm>
                    <a:prstGeom prst="rect">
                      <a:avLst/>
                    </a:prstGeom>
                  </pic:spPr>
                </pic:pic>
              </a:graphicData>
            </a:graphic>
          </wp:anchor>
        </w:drawing>
      </w:r>
      <w:r>
        <w:rPr>
          <w:sz w:val="18"/>
        </w:rPr>
        <w:t>21.</w:t>
      </w:r>
      <w:r>
        <w:rPr>
          <w:spacing w:val="-7"/>
          <w:sz w:val="18"/>
        </w:rPr>
        <w:t> </w:t>
      </w:r>
      <w:r>
        <w:rPr>
          <w:sz w:val="18"/>
        </w:rPr>
        <w:t>In</w:t>
      </w:r>
      <w:r>
        <w:rPr>
          <w:spacing w:val="-4"/>
          <w:sz w:val="18"/>
        </w:rPr>
        <w:t> </w:t>
      </w:r>
      <w:r>
        <w:rPr>
          <w:sz w:val="18"/>
        </w:rPr>
        <w:t>general,</w:t>
      </w:r>
      <w:r>
        <w:rPr>
          <w:spacing w:val="-4"/>
          <w:sz w:val="18"/>
        </w:rPr>
        <w:t> </w:t>
      </w:r>
      <w:r>
        <w:rPr>
          <w:sz w:val="18"/>
        </w:rPr>
        <w:t>how</w:t>
      </w:r>
      <w:r>
        <w:rPr>
          <w:spacing w:val="-4"/>
          <w:sz w:val="18"/>
        </w:rPr>
        <w:t> </w:t>
      </w:r>
      <w:r>
        <w:rPr>
          <w:sz w:val="18"/>
        </w:rPr>
        <w:t>would</w:t>
      </w:r>
      <w:r>
        <w:rPr>
          <w:spacing w:val="-3"/>
          <w:sz w:val="18"/>
        </w:rPr>
        <w:t> </w:t>
      </w:r>
      <w:r>
        <w:rPr>
          <w:sz w:val="18"/>
        </w:rPr>
        <w:t>rate</w:t>
      </w:r>
      <w:r>
        <w:rPr>
          <w:spacing w:val="-2"/>
          <w:sz w:val="18"/>
        </w:rPr>
        <w:t> </w:t>
      </w:r>
      <w:r>
        <w:rPr>
          <w:sz w:val="18"/>
        </w:rPr>
        <w:t>the</w:t>
      </w:r>
      <w:r>
        <w:rPr>
          <w:spacing w:val="-3"/>
          <w:sz w:val="18"/>
        </w:rPr>
        <w:t> </w:t>
      </w:r>
      <w:r>
        <w:rPr>
          <w:sz w:val="18"/>
        </w:rPr>
        <w:t>quality</w:t>
      </w:r>
      <w:r>
        <w:rPr>
          <w:spacing w:val="-3"/>
          <w:sz w:val="18"/>
        </w:rPr>
        <w:t> </w:t>
      </w:r>
      <w:r>
        <w:rPr>
          <w:sz w:val="18"/>
        </w:rPr>
        <w:t>of</w:t>
      </w:r>
      <w:r>
        <w:rPr>
          <w:spacing w:val="-4"/>
          <w:sz w:val="18"/>
        </w:rPr>
        <w:t> </w:t>
      </w:r>
      <w:r>
        <w:rPr>
          <w:sz w:val="18"/>
        </w:rPr>
        <w:t>care</w:t>
      </w:r>
      <w:r>
        <w:rPr>
          <w:spacing w:val="3"/>
          <w:sz w:val="18"/>
        </w:rPr>
        <w:t> </w:t>
      </w:r>
      <w:r>
        <w:rPr>
          <w:sz w:val="18"/>
        </w:rPr>
        <w:t>provided</w:t>
      </w:r>
      <w:r>
        <w:rPr>
          <w:spacing w:val="-3"/>
          <w:sz w:val="18"/>
        </w:rPr>
        <w:t> </w:t>
      </w:r>
      <w:r>
        <w:rPr>
          <w:sz w:val="18"/>
        </w:rPr>
        <w:t>to</w:t>
      </w:r>
      <w:r>
        <w:rPr>
          <w:spacing w:val="-4"/>
          <w:sz w:val="18"/>
        </w:rPr>
        <w:t> </w:t>
      </w:r>
      <w:r>
        <w:rPr>
          <w:sz w:val="18"/>
        </w:rPr>
        <w:t>patients</w:t>
      </w:r>
      <w:r>
        <w:rPr>
          <w:spacing w:val="-3"/>
          <w:sz w:val="18"/>
        </w:rPr>
        <w:t> </w:t>
      </w:r>
      <w:r>
        <w:rPr>
          <w:sz w:val="18"/>
        </w:rPr>
        <w:t>by</w:t>
      </w:r>
      <w:r>
        <w:rPr>
          <w:spacing w:val="-3"/>
          <w:sz w:val="18"/>
        </w:rPr>
        <w:t> </w:t>
      </w:r>
      <w:r>
        <w:rPr>
          <w:sz w:val="18"/>
        </w:rPr>
        <w:t>your</w:t>
      </w:r>
      <w:r>
        <w:rPr>
          <w:spacing w:val="-2"/>
          <w:sz w:val="18"/>
        </w:rPr>
        <w:t> </w:t>
      </w:r>
      <w:r>
        <w:rPr>
          <w:sz w:val="18"/>
        </w:rPr>
        <w:t>primary</w:t>
      </w:r>
      <w:r>
        <w:rPr>
          <w:spacing w:val="-3"/>
          <w:sz w:val="18"/>
        </w:rPr>
        <w:t> </w:t>
      </w:r>
      <w:r>
        <w:rPr>
          <w:sz w:val="18"/>
        </w:rPr>
        <w:t>care</w:t>
      </w:r>
      <w:r>
        <w:rPr>
          <w:spacing w:val="-3"/>
          <w:sz w:val="18"/>
        </w:rPr>
        <w:t> </w:t>
      </w:r>
      <w:r>
        <w:rPr>
          <w:sz w:val="18"/>
        </w:rPr>
        <w:t>practice/</w:t>
      </w:r>
      <w:r>
        <w:rPr>
          <w:spacing w:val="-2"/>
          <w:sz w:val="18"/>
        </w:rPr>
        <w:t> </w:t>
      </w:r>
      <w:r>
        <w:rPr>
          <w:sz w:val="18"/>
        </w:rPr>
        <w:t>service:</w:t>
      </w:r>
    </w:p>
    <w:p>
      <w:pPr>
        <w:pStyle w:val="BodyText"/>
        <w:spacing w:before="10"/>
        <w:rPr>
          <w:sz w:val="10"/>
        </w:rPr>
      </w:pPr>
    </w:p>
    <w:p>
      <w:pPr>
        <w:spacing w:line="369" w:lineRule="auto" w:before="101"/>
        <w:ind w:left="1697" w:right="9144" w:firstLine="0"/>
        <w:jc w:val="left"/>
        <w:rPr>
          <w:sz w:val="18"/>
        </w:rPr>
      </w:pPr>
      <w:r>
        <w:rPr/>
        <w:drawing>
          <wp:anchor distT="0" distB="0" distL="0" distR="0" allowOverlap="1" layoutInCell="1" locked="0" behindDoc="0" simplePos="0" relativeHeight="16058880">
            <wp:simplePos x="0" y="0"/>
            <wp:positionH relativeFrom="page">
              <wp:posOffset>1054901</wp:posOffset>
            </wp:positionH>
            <wp:positionV relativeFrom="paragraph">
              <wp:posOffset>107968</wp:posOffset>
            </wp:positionV>
            <wp:extent cx="58380" cy="72151"/>
            <wp:effectExtent l="0" t="0" r="0" b="0"/>
            <wp:wrapNone/>
            <wp:docPr id="1721" name="image13.png"/>
            <wp:cNvGraphicFramePr>
              <a:graphicFrameLocks noChangeAspect="1"/>
            </wp:cNvGraphicFramePr>
            <a:graphic>
              <a:graphicData uri="http://schemas.openxmlformats.org/drawingml/2006/picture">
                <pic:pic>
                  <pic:nvPicPr>
                    <pic:cNvPr id="1722"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059392">
            <wp:simplePos x="0" y="0"/>
            <wp:positionH relativeFrom="page">
              <wp:posOffset>1054901</wp:posOffset>
            </wp:positionH>
            <wp:positionV relativeFrom="paragraph">
              <wp:posOffset>324376</wp:posOffset>
            </wp:positionV>
            <wp:extent cx="58380" cy="72151"/>
            <wp:effectExtent l="0" t="0" r="0" b="0"/>
            <wp:wrapNone/>
            <wp:docPr id="1723" name="image13.png"/>
            <wp:cNvGraphicFramePr>
              <a:graphicFrameLocks noChangeAspect="1"/>
            </wp:cNvGraphicFramePr>
            <a:graphic>
              <a:graphicData uri="http://schemas.openxmlformats.org/drawingml/2006/picture">
                <pic:pic>
                  <pic:nvPicPr>
                    <pic:cNvPr id="1724"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059904">
            <wp:simplePos x="0" y="0"/>
            <wp:positionH relativeFrom="page">
              <wp:posOffset>1054901</wp:posOffset>
            </wp:positionH>
            <wp:positionV relativeFrom="paragraph">
              <wp:posOffset>540784</wp:posOffset>
            </wp:positionV>
            <wp:extent cx="58380" cy="72151"/>
            <wp:effectExtent l="0" t="0" r="0" b="0"/>
            <wp:wrapNone/>
            <wp:docPr id="1725" name="image13.png"/>
            <wp:cNvGraphicFramePr>
              <a:graphicFrameLocks noChangeAspect="1"/>
            </wp:cNvGraphicFramePr>
            <a:graphic>
              <a:graphicData uri="http://schemas.openxmlformats.org/drawingml/2006/picture">
                <pic:pic>
                  <pic:nvPicPr>
                    <pic:cNvPr id="172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Poor (1)</w:t>
      </w:r>
      <w:r>
        <w:rPr>
          <w:spacing w:val="1"/>
          <w:sz w:val="18"/>
        </w:rPr>
        <w:t> </w:t>
      </w:r>
      <w:r>
        <w:rPr>
          <w:sz w:val="18"/>
        </w:rPr>
        <w:t>Fair(2)</w:t>
      </w:r>
      <w:r>
        <w:rPr>
          <w:spacing w:val="1"/>
          <w:sz w:val="18"/>
        </w:rPr>
        <w:t> </w:t>
      </w:r>
      <w:r>
        <w:rPr>
          <w:sz w:val="18"/>
        </w:rPr>
        <w:t>Good(3)</w:t>
      </w:r>
    </w:p>
    <w:p>
      <w:pPr>
        <w:spacing w:line="369" w:lineRule="auto" w:before="2"/>
        <w:ind w:left="1697" w:right="8705" w:firstLine="0"/>
        <w:jc w:val="left"/>
        <w:rPr>
          <w:sz w:val="18"/>
        </w:rPr>
      </w:pPr>
      <w:r>
        <w:rPr/>
        <w:drawing>
          <wp:anchor distT="0" distB="0" distL="0" distR="0" allowOverlap="1" layoutInCell="1" locked="0" behindDoc="0" simplePos="0" relativeHeight="16060416">
            <wp:simplePos x="0" y="0"/>
            <wp:positionH relativeFrom="page">
              <wp:posOffset>1054901</wp:posOffset>
            </wp:positionH>
            <wp:positionV relativeFrom="paragraph">
              <wp:posOffset>45103</wp:posOffset>
            </wp:positionV>
            <wp:extent cx="58380" cy="72151"/>
            <wp:effectExtent l="0" t="0" r="0" b="0"/>
            <wp:wrapNone/>
            <wp:docPr id="1727" name="image13.png"/>
            <wp:cNvGraphicFramePr>
              <a:graphicFrameLocks noChangeAspect="1"/>
            </wp:cNvGraphicFramePr>
            <a:graphic>
              <a:graphicData uri="http://schemas.openxmlformats.org/drawingml/2006/picture">
                <pic:pic>
                  <pic:nvPicPr>
                    <pic:cNvPr id="1728"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060928">
            <wp:simplePos x="0" y="0"/>
            <wp:positionH relativeFrom="page">
              <wp:posOffset>1056425</wp:posOffset>
            </wp:positionH>
            <wp:positionV relativeFrom="paragraph">
              <wp:posOffset>261511</wp:posOffset>
            </wp:positionV>
            <wp:extent cx="58380" cy="72151"/>
            <wp:effectExtent l="0" t="0" r="0" b="0"/>
            <wp:wrapNone/>
            <wp:docPr id="1729" name="image13.png"/>
            <wp:cNvGraphicFramePr>
              <a:graphicFrameLocks noChangeAspect="1"/>
            </wp:cNvGraphicFramePr>
            <a:graphic>
              <a:graphicData uri="http://schemas.openxmlformats.org/drawingml/2006/picture">
                <pic:pic>
                  <pic:nvPicPr>
                    <pic:cNvPr id="1730" name="image13.png"/>
                    <pic:cNvPicPr/>
                  </pic:nvPicPr>
                  <pic:blipFill>
                    <a:blip r:embed="rId41" cstate="print"/>
                    <a:stretch>
                      <a:fillRect/>
                    </a:stretch>
                  </pic:blipFill>
                  <pic:spPr>
                    <a:xfrm>
                      <a:off x="0" y="0"/>
                      <a:ext cx="58380" cy="72151"/>
                    </a:xfrm>
                    <a:prstGeom prst="rect">
                      <a:avLst/>
                    </a:prstGeom>
                  </pic:spPr>
                </pic:pic>
              </a:graphicData>
            </a:graphic>
          </wp:anchor>
        </w:drawing>
      </w:r>
      <w:r>
        <w:rPr>
          <w:spacing w:val="-1"/>
          <w:sz w:val="18"/>
        </w:rPr>
        <w:t>Very </w:t>
      </w:r>
      <w:r>
        <w:rPr>
          <w:sz w:val="18"/>
        </w:rPr>
        <w:t>Good(4)</w:t>
      </w:r>
      <w:r>
        <w:rPr>
          <w:spacing w:val="-47"/>
          <w:sz w:val="18"/>
        </w:rPr>
        <w:t> </w:t>
      </w:r>
      <w:r>
        <w:rPr>
          <w:sz w:val="18"/>
        </w:rPr>
        <w:t>Excellent(5)</w:t>
      </w:r>
    </w:p>
    <w:p>
      <w:pPr>
        <w:spacing w:after="0" w:line="369" w:lineRule="auto"/>
        <w:jc w:val="left"/>
        <w:rPr>
          <w:sz w:val="18"/>
        </w:rPr>
        <w:sectPr>
          <w:pgSz w:w="11910" w:h="16840"/>
          <w:pgMar w:header="0" w:footer="916" w:top="860" w:bottom="1140" w:left="300" w:right="0"/>
        </w:sectPr>
      </w:pPr>
    </w:p>
    <w:p>
      <w:pPr>
        <w:pStyle w:val="BodyText"/>
        <w:ind w:left="419"/>
      </w:pPr>
      <w:r>
        <w:rPr/>
        <w:drawing>
          <wp:anchor distT="0" distB="0" distL="0" distR="0" allowOverlap="1" layoutInCell="1" locked="0" behindDoc="1" simplePos="0" relativeHeight="476094464">
            <wp:simplePos x="0" y="0"/>
            <wp:positionH relativeFrom="page">
              <wp:posOffset>1173773</wp:posOffset>
            </wp:positionH>
            <wp:positionV relativeFrom="page">
              <wp:posOffset>1230105</wp:posOffset>
            </wp:positionV>
            <wp:extent cx="57802" cy="71437"/>
            <wp:effectExtent l="0" t="0" r="0" b="0"/>
            <wp:wrapNone/>
            <wp:docPr id="1731" name="image13.png"/>
            <wp:cNvGraphicFramePr>
              <a:graphicFrameLocks noChangeAspect="1"/>
            </wp:cNvGraphicFramePr>
            <a:graphic>
              <a:graphicData uri="http://schemas.openxmlformats.org/drawingml/2006/picture">
                <pic:pic>
                  <pic:nvPicPr>
                    <pic:cNvPr id="1732" name="image13.png"/>
                    <pic:cNvPicPr/>
                  </pic:nvPicPr>
                  <pic:blipFill>
                    <a:blip r:embed="rId41" cstate="print"/>
                    <a:stretch>
                      <a:fillRect/>
                    </a:stretch>
                  </pic:blipFill>
                  <pic:spPr>
                    <a:xfrm>
                      <a:off x="0" y="0"/>
                      <a:ext cx="57802" cy="71437"/>
                    </a:xfrm>
                    <a:prstGeom prst="rect">
                      <a:avLst/>
                    </a:prstGeom>
                  </pic:spPr>
                </pic:pic>
              </a:graphicData>
            </a:graphic>
          </wp:anchor>
        </w:drawing>
      </w:r>
      <w:r>
        <w:rPr/>
        <w:drawing>
          <wp:anchor distT="0" distB="0" distL="0" distR="0" allowOverlap="1" layoutInCell="1" locked="0" behindDoc="1" simplePos="0" relativeHeight="476094976">
            <wp:simplePos x="0" y="0"/>
            <wp:positionH relativeFrom="page">
              <wp:posOffset>1173773</wp:posOffset>
            </wp:positionH>
            <wp:positionV relativeFrom="page">
              <wp:posOffset>1446513</wp:posOffset>
            </wp:positionV>
            <wp:extent cx="57802" cy="71437"/>
            <wp:effectExtent l="0" t="0" r="0" b="0"/>
            <wp:wrapNone/>
            <wp:docPr id="1733" name="image13.png"/>
            <wp:cNvGraphicFramePr>
              <a:graphicFrameLocks noChangeAspect="1"/>
            </wp:cNvGraphicFramePr>
            <a:graphic>
              <a:graphicData uri="http://schemas.openxmlformats.org/drawingml/2006/picture">
                <pic:pic>
                  <pic:nvPicPr>
                    <pic:cNvPr id="1734" name="image13.png"/>
                    <pic:cNvPicPr/>
                  </pic:nvPicPr>
                  <pic:blipFill>
                    <a:blip r:embed="rId41" cstate="print"/>
                    <a:stretch>
                      <a:fillRect/>
                    </a:stretch>
                  </pic:blipFill>
                  <pic:spPr>
                    <a:xfrm>
                      <a:off x="0" y="0"/>
                      <a:ext cx="57802" cy="71437"/>
                    </a:xfrm>
                    <a:prstGeom prst="rect">
                      <a:avLst/>
                    </a:prstGeom>
                  </pic:spPr>
                </pic:pic>
              </a:graphicData>
            </a:graphic>
          </wp:anchor>
        </w:drawing>
      </w:r>
      <w:r>
        <w:rPr/>
        <w:drawing>
          <wp:anchor distT="0" distB="0" distL="0" distR="0" allowOverlap="1" layoutInCell="1" locked="0" behindDoc="1" simplePos="0" relativeHeight="476095488">
            <wp:simplePos x="0" y="0"/>
            <wp:positionH relativeFrom="page">
              <wp:posOffset>1173773</wp:posOffset>
            </wp:positionH>
            <wp:positionV relativeFrom="page">
              <wp:posOffset>1662921</wp:posOffset>
            </wp:positionV>
            <wp:extent cx="57802" cy="71437"/>
            <wp:effectExtent l="0" t="0" r="0" b="0"/>
            <wp:wrapNone/>
            <wp:docPr id="1735" name="image13.png"/>
            <wp:cNvGraphicFramePr>
              <a:graphicFrameLocks noChangeAspect="1"/>
            </wp:cNvGraphicFramePr>
            <a:graphic>
              <a:graphicData uri="http://schemas.openxmlformats.org/drawingml/2006/picture">
                <pic:pic>
                  <pic:nvPicPr>
                    <pic:cNvPr id="1736" name="image13.png"/>
                    <pic:cNvPicPr/>
                  </pic:nvPicPr>
                  <pic:blipFill>
                    <a:blip r:embed="rId41" cstate="print"/>
                    <a:stretch>
                      <a:fillRect/>
                    </a:stretch>
                  </pic:blipFill>
                  <pic:spPr>
                    <a:xfrm>
                      <a:off x="0" y="0"/>
                      <a:ext cx="57802" cy="71437"/>
                    </a:xfrm>
                    <a:prstGeom prst="rect">
                      <a:avLst/>
                    </a:prstGeom>
                  </pic:spPr>
                </pic:pic>
              </a:graphicData>
            </a:graphic>
          </wp:anchor>
        </w:drawing>
      </w:r>
      <w:r>
        <w:rPr/>
        <w:drawing>
          <wp:anchor distT="0" distB="0" distL="0" distR="0" allowOverlap="1" layoutInCell="1" locked="0" behindDoc="1" simplePos="0" relativeHeight="476096000">
            <wp:simplePos x="0" y="0"/>
            <wp:positionH relativeFrom="page">
              <wp:posOffset>1126529</wp:posOffset>
            </wp:positionH>
            <wp:positionV relativeFrom="page">
              <wp:posOffset>2560557</wp:posOffset>
            </wp:positionV>
            <wp:extent cx="57802" cy="71437"/>
            <wp:effectExtent l="0" t="0" r="0" b="0"/>
            <wp:wrapNone/>
            <wp:docPr id="1737" name="image13.png"/>
            <wp:cNvGraphicFramePr>
              <a:graphicFrameLocks noChangeAspect="1"/>
            </wp:cNvGraphicFramePr>
            <a:graphic>
              <a:graphicData uri="http://schemas.openxmlformats.org/drawingml/2006/picture">
                <pic:pic>
                  <pic:nvPicPr>
                    <pic:cNvPr id="1738" name="image13.png"/>
                    <pic:cNvPicPr/>
                  </pic:nvPicPr>
                  <pic:blipFill>
                    <a:blip r:embed="rId41" cstate="print"/>
                    <a:stretch>
                      <a:fillRect/>
                    </a:stretch>
                  </pic:blipFill>
                  <pic:spPr>
                    <a:xfrm>
                      <a:off x="0" y="0"/>
                      <a:ext cx="57802" cy="71437"/>
                    </a:xfrm>
                    <a:prstGeom prst="rect">
                      <a:avLst/>
                    </a:prstGeom>
                  </pic:spPr>
                </pic:pic>
              </a:graphicData>
            </a:graphic>
          </wp:anchor>
        </w:drawing>
      </w:r>
      <w:r>
        <w:rPr/>
        <w:drawing>
          <wp:anchor distT="0" distB="0" distL="0" distR="0" allowOverlap="1" layoutInCell="1" locked="0" behindDoc="0" simplePos="0" relativeHeight="16064512">
            <wp:simplePos x="0" y="0"/>
            <wp:positionH relativeFrom="page">
              <wp:posOffset>1126529</wp:posOffset>
            </wp:positionH>
            <wp:positionV relativeFrom="page">
              <wp:posOffset>2700572</wp:posOffset>
            </wp:positionV>
            <wp:extent cx="57814" cy="73151"/>
            <wp:effectExtent l="0" t="0" r="0" b="0"/>
            <wp:wrapNone/>
            <wp:docPr id="1739" name="image14.png"/>
            <wp:cNvGraphicFramePr>
              <a:graphicFrameLocks noChangeAspect="1"/>
            </wp:cNvGraphicFramePr>
            <a:graphic>
              <a:graphicData uri="http://schemas.openxmlformats.org/drawingml/2006/picture">
                <pic:pic>
                  <pic:nvPicPr>
                    <pic:cNvPr id="1740" name="image14.png"/>
                    <pic:cNvPicPr/>
                  </pic:nvPicPr>
                  <pic:blipFill>
                    <a:blip r:embed="rId43" cstate="print"/>
                    <a:stretch>
                      <a:fillRect/>
                    </a:stretch>
                  </pic:blipFill>
                  <pic:spPr>
                    <a:xfrm>
                      <a:off x="0" y="0"/>
                      <a:ext cx="57814" cy="73151"/>
                    </a:xfrm>
                    <a:prstGeom prst="rect">
                      <a:avLst/>
                    </a:prstGeom>
                  </pic:spPr>
                </pic:pic>
              </a:graphicData>
            </a:graphic>
          </wp:anchor>
        </w:drawing>
      </w:r>
      <w:r>
        <w:rPr/>
        <w:drawing>
          <wp:anchor distT="0" distB="0" distL="0" distR="0" allowOverlap="1" layoutInCell="1" locked="0" behindDoc="0" simplePos="0" relativeHeight="16065024">
            <wp:simplePos x="0" y="0"/>
            <wp:positionH relativeFrom="page">
              <wp:posOffset>1126529</wp:posOffset>
            </wp:positionH>
            <wp:positionV relativeFrom="page">
              <wp:posOffset>2840973</wp:posOffset>
            </wp:positionV>
            <wp:extent cx="57802" cy="71437"/>
            <wp:effectExtent l="0" t="0" r="0" b="0"/>
            <wp:wrapNone/>
            <wp:docPr id="1741" name="image13.png"/>
            <wp:cNvGraphicFramePr>
              <a:graphicFrameLocks noChangeAspect="1"/>
            </wp:cNvGraphicFramePr>
            <a:graphic>
              <a:graphicData uri="http://schemas.openxmlformats.org/drawingml/2006/picture">
                <pic:pic>
                  <pic:nvPicPr>
                    <pic:cNvPr id="1742" name="image13.png"/>
                    <pic:cNvPicPr/>
                  </pic:nvPicPr>
                  <pic:blipFill>
                    <a:blip r:embed="rId41" cstate="print"/>
                    <a:stretch>
                      <a:fillRect/>
                    </a:stretch>
                  </pic:blipFill>
                  <pic:spPr>
                    <a:xfrm>
                      <a:off x="0" y="0"/>
                      <a:ext cx="57802" cy="71437"/>
                    </a:xfrm>
                    <a:prstGeom prst="rect">
                      <a:avLst/>
                    </a:prstGeom>
                  </pic:spPr>
                </pic:pic>
              </a:graphicData>
            </a:graphic>
          </wp:anchor>
        </w:drawing>
      </w:r>
      <w:r>
        <w:rPr/>
        <w:drawing>
          <wp:anchor distT="0" distB="0" distL="0" distR="0" allowOverlap="1" layoutInCell="1" locked="0" behindDoc="0" simplePos="0" relativeHeight="16065536">
            <wp:simplePos x="0" y="0"/>
            <wp:positionH relativeFrom="page">
              <wp:posOffset>1128053</wp:posOffset>
            </wp:positionH>
            <wp:positionV relativeFrom="page">
              <wp:posOffset>2981181</wp:posOffset>
            </wp:positionV>
            <wp:extent cx="57802" cy="71437"/>
            <wp:effectExtent l="0" t="0" r="0" b="0"/>
            <wp:wrapNone/>
            <wp:docPr id="1743" name="image13.png"/>
            <wp:cNvGraphicFramePr>
              <a:graphicFrameLocks noChangeAspect="1"/>
            </wp:cNvGraphicFramePr>
            <a:graphic>
              <a:graphicData uri="http://schemas.openxmlformats.org/drawingml/2006/picture">
                <pic:pic>
                  <pic:nvPicPr>
                    <pic:cNvPr id="1744" name="image13.png"/>
                    <pic:cNvPicPr/>
                  </pic:nvPicPr>
                  <pic:blipFill>
                    <a:blip r:embed="rId41" cstate="print"/>
                    <a:stretch>
                      <a:fillRect/>
                    </a:stretch>
                  </pic:blipFill>
                  <pic:spPr>
                    <a:xfrm>
                      <a:off x="0" y="0"/>
                      <a:ext cx="57802" cy="71437"/>
                    </a:xfrm>
                    <a:prstGeom prst="rect">
                      <a:avLst/>
                    </a:prstGeom>
                  </pic:spPr>
                </pic:pic>
              </a:graphicData>
            </a:graphic>
          </wp:anchor>
        </w:drawing>
      </w:r>
      <w:r>
        <w:rPr/>
        <w:drawing>
          <wp:anchor distT="0" distB="0" distL="0" distR="0" allowOverlap="1" layoutInCell="1" locked="0" behindDoc="0" simplePos="0" relativeHeight="16066048">
            <wp:simplePos x="0" y="0"/>
            <wp:positionH relativeFrom="page">
              <wp:posOffset>1173773</wp:posOffset>
            </wp:positionH>
            <wp:positionV relativeFrom="page">
              <wp:posOffset>3606022</wp:posOffset>
            </wp:positionV>
            <wp:extent cx="57803" cy="71437"/>
            <wp:effectExtent l="0" t="0" r="0" b="0"/>
            <wp:wrapNone/>
            <wp:docPr id="1745" name="image13.png"/>
            <wp:cNvGraphicFramePr>
              <a:graphicFrameLocks noChangeAspect="1"/>
            </wp:cNvGraphicFramePr>
            <a:graphic>
              <a:graphicData uri="http://schemas.openxmlformats.org/drawingml/2006/picture">
                <pic:pic>
                  <pic:nvPicPr>
                    <pic:cNvPr id="1746" name="image13.png"/>
                    <pic:cNvPicPr/>
                  </pic:nvPicPr>
                  <pic:blipFill>
                    <a:blip r:embed="rId41" cstate="print"/>
                    <a:stretch>
                      <a:fillRect/>
                    </a:stretch>
                  </pic:blipFill>
                  <pic:spPr>
                    <a:xfrm>
                      <a:off x="0" y="0"/>
                      <a:ext cx="57803" cy="71437"/>
                    </a:xfrm>
                    <a:prstGeom prst="rect">
                      <a:avLst/>
                    </a:prstGeom>
                  </pic:spPr>
                </pic:pic>
              </a:graphicData>
            </a:graphic>
          </wp:anchor>
        </w:drawing>
      </w:r>
      <w:r>
        <w:rPr/>
        <w:drawing>
          <wp:anchor distT="0" distB="0" distL="0" distR="0" allowOverlap="1" layoutInCell="1" locked="0" behindDoc="0" simplePos="0" relativeHeight="16066560">
            <wp:simplePos x="0" y="0"/>
            <wp:positionH relativeFrom="page">
              <wp:posOffset>1173773</wp:posOffset>
            </wp:positionH>
            <wp:positionV relativeFrom="page">
              <wp:posOffset>3822429</wp:posOffset>
            </wp:positionV>
            <wp:extent cx="57802" cy="71437"/>
            <wp:effectExtent l="0" t="0" r="0" b="0"/>
            <wp:wrapNone/>
            <wp:docPr id="1747" name="image13.png"/>
            <wp:cNvGraphicFramePr>
              <a:graphicFrameLocks noChangeAspect="1"/>
            </wp:cNvGraphicFramePr>
            <a:graphic>
              <a:graphicData uri="http://schemas.openxmlformats.org/drawingml/2006/picture">
                <pic:pic>
                  <pic:nvPicPr>
                    <pic:cNvPr id="1748" name="image13.png"/>
                    <pic:cNvPicPr/>
                  </pic:nvPicPr>
                  <pic:blipFill>
                    <a:blip r:embed="rId41" cstate="print"/>
                    <a:stretch>
                      <a:fillRect/>
                    </a:stretch>
                  </pic:blipFill>
                  <pic:spPr>
                    <a:xfrm>
                      <a:off x="0" y="0"/>
                      <a:ext cx="57802" cy="71437"/>
                    </a:xfrm>
                    <a:prstGeom prst="rect">
                      <a:avLst/>
                    </a:prstGeom>
                  </pic:spPr>
                </pic:pic>
              </a:graphicData>
            </a:graphic>
          </wp:anchor>
        </w:drawing>
      </w:r>
      <w:r>
        <w:rPr/>
        <w:drawing>
          <wp:anchor distT="0" distB="0" distL="0" distR="0" allowOverlap="1" layoutInCell="1" locked="0" behindDoc="0" simplePos="0" relativeHeight="16067072">
            <wp:simplePos x="0" y="0"/>
            <wp:positionH relativeFrom="page">
              <wp:posOffset>1173773</wp:posOffset>
            </wp:positionH>
            <wp:positionV relativeFrom="page">
              <wp:posOffset>4037312</wp:posOffset>
            </wp:positionV>
            <wp:extent cx="58957" cy="72866"/>
            <wp:effectExtent l="0" t="0" r="0" b="0"/>
            <wp:wrapNone/>
            <wp:docPr id="1749" name="image13.png"/>
            <wp:cNvGraphicFramePr>
              <a:graphicFrameLocks noChangeAspect="1"/>
            </wp:cNvGraphicFramePr>
            <a:graphic>
              <a:graphicData uri="http://schemas.openxmlformats.org/drawingml/2006/picture">
                <pic:pic>
                  <pic:nvPicPr>
                    <pic:cNvPr id="1750" name="image13.png"/>
                    <pic:cNvPicPr/>
                  </pic:nvPicPr>
                  <pic:blipFill>
                    <a:blip r:embed="rId41" cstate="print"/>
                    <a:stretch>
                      <a:fillRect/>
                    </a:stretch>
                  </pic:blipFill>
                  <pic:spPr>
                    <a:xfrm>
                      <a:off x="0" y="0"/>
                      <a:ext cx="58957" cy="72866"/>
                    </a:xfrm>
                    <a:prstGeom prst="rect">
                      <a:avLst/>
                    </a:prstGeom>
                  </pic:spPr>
                </pic:pic>
              </a:graphicData>
            </a:graphic>
          </wp:anchor>
        </w:drawing>
      </w:r>
      <w:r>
        <w:rPr/>
        <w:pict>
          <v:shape style="width:522.9500pt;height:96.75pt;mso-position-horizontal-relative:char;mso-position-vertical-relative:line" type="#_x0000_t202" id="docshape216" filled="false" stroked="true" strokeweight=".47998pt" strokecolor="#bebebe">
            <w10:anchorlock/>
            <v:textbox inset="0,0,0,0">
              <w:txbxContent>
                <w:p>
                  <w:pPr>
                    <w:spacing w:line="220" w:lineRule="exact" w:before="0"/>
                    <w:ind w:left="103" w:right="0" w:firstLine="0"/>
                    <w:jc w:val="left"/>
                    <w:rPr>
                      <w:b/>
                      <w:sz w:val="18"/>
                    </w:rPr>
                  </w:pPr>
                  <w:r>
                    <w:rPr>
                      <w:b/>
                      <w:sz w:val="18"/>
                    </w:rPr>
                    <w:t>Round</w:t>
                  </w:r>
                  <w:r>
                    <w:rPr>
                      <w:b/>
                      <w:spacing w:val="-1"/>
                      <w:sz w:val="18"/>
                    </w:rPr>
                    <w:t> </w:t>
                  </w:r>
                  <w:r>
                    <w:rPr>
                      <w:b/>
                      <w:sz w:val="18"/>
                    </w:rPr>
                    <w:t>1</w:t>
                  </w:r>
                  <w:r>
                    <w:rPr>
                      <w:b/>
                      <w:spacing w:val="-2"/>
                      <w:sz w:val="18"/>
                    </w:rPr>
                    <w:t> </w:t>
                  </w:r>
                  <w:r>
                    <w:rPr>
                      <w:b/>
                      <w:sz w:val="18"/>
                    </w:rPr>
                    <w:t>only</w:t>
                  </w:r>
                </w:p>
                <w:p>
                  <w:pPr>
                    <w:spacing w:before="120"/>
                    <w:ind w:left="103" w:right="340" w:firstLine="0"/>
                    <w:jc w:val="left"/>
                    <w:rPr>
                      <w:sz w:val="18"/>
                    </w:rPr>
                  </w:pPr>
                  <w:r>
                    <w:rPr>
                      <w:sz w:val="18"/>
                    </w:rPr>
                    <w:t>22.</w:t>
                  </w:r>
                  <w:r>
                    <w:rPr>
                      <w:spacing w:val="-3"/>
                      <w:sz w:val="18"/>
                    </w:rPr>
                    <w:t> </w:t>
                  </w:r>
                  <w:r>
                    <w:rPr>
                      <w:sz w:val="18"/>
                    </w:rPr>
                    <w:t>What</w:t>
                  </w:r>
                  <w:r>
                    <w:rPr>
                      <w:spacing w:val="-4"/>
                      <w:sz w:val="18"/>
                    </w:rPr>
                    <w:t> </w:t>
                  </w:r>
                  <w:r>
                    <w:rPr>
                      <w:sz w:val="18"/>
                    </w:rPr>
                    <w:t>are</w:t>
                  </w:r>
                  <w:r>
                    <w:rPr>
                      <w:spacing w:val="-2"/>
                      <w:sz w:val="18"/>
                    </w:rPr>
                    <w:t> </w:t>
                  </w:r>
                  <w:r>
                    <w:rPr>
                      <w:sz w:val="18"/>
                    </w:rPr>
                    <w:t>the</w:t>
                  </w:r>
                  <w:r>
                    <w:rPr>
                      <w:spacing w:val="-2"/>
                      <w:sz w:val="18"/>
                    </w:rPr>
                    <w:t> </w:t>
                  </w:r>
                  <w:r>
                    <w:rPr>
                      <w:sz w:val="18"/>
                    </w:rPr>
                    <w:t>top</w:t>
                  </w:r>
                  <w:r>
                    <w:rPr>
                      <w:spacing w:val="-3"/>
                      <w:sz w:val="18"/>
                    </w:rPr>
                    <w:t> </w:t>
                  </w:r>
                  <w:r>
                    <w:rPr>
                      <w:sz w:val="18"/>
                    </w:rPr>
                    <w:t>changes (up</w:t>
                  </w:r>
                  <w:r>
                    <w:rPr>
                      <w:spacing w:val="-3"/>
                      <w:sz w:val="18"/>
                    </w:rPr>
                    <w:t> </w:t>
                  </w:r>
                  <w:r>
                    <w:rPr>
                      <w:sz w:val="18"/>
                    </w:rPr>
                    <w:t>to three)</w:t>
                  </w:r>
                  <w:r>
                    <w:rPr>
                      <w:spacing w:val="-4"/>
                      <w:sz w:val="18"/>
                    </w:rPr>
                    <w:t> </w:t>
                  </w:r>
                  <w:r>
                    <w:rPr>
                      <w:sz w:val="18"/>
                    </w:rPr>
                    <w:t>you</w:t>
                  </w:r>
                  <w:r>
                    <w:rPr>
                      <w:spacing w:val="-3"/>
                      <w:sz w:val="18"/>
                    </w:rPr>
                    <w:t> </w:t>
                  </w:r>
                  <w:r>
                    <w:rPr>
                      <w:sz w:val="18"/>
                    </w:rPr>
                    <w:t>believe</w:t>
                  </w:r>
                  <w:r>
                    <w:rPr>
                      <w:spacing w:val="-4"/>
                      <w:sz w:val="18"/>
                    </w:rPr>
                    <w:t> </w:t>
                  </w:r>
                  <w:r>
                    <w:rPr>
                      <w:sz w:val="18"/>
                    </w:rPr>
                    <w:t>would</w:t>
                  </w:r>
                  <w:r>
                    <w:rPr>
                      <w:spacing w:val="-3"/>
                      <w:sz w:val="18"/>
                    </w:rPr>
                    <w:t> </w:t>
                  </w:r>
                  <w:r>
                    <w:rPr>
                      <w:sz w:val="18"/>
                    </w:rPr>
                    <w:t>improve</w:t>
                  </w:r>
                  <w:r>
                    <w:rPr>
                      <w:spacing w:val="-2"/>
                      <w:sz w:val="18"/>
                    </w:rPr>
                    <w:t> </w:t>
                  </w:r>
                  <w:r>
                    <w:rPr>
                      <w:sz w:val="18"/>
                    </w:rPr>
                    <w:t>the</w:t>
                  </w:r>
                  <w:r>
                    <w:rPr>
                      <w:spacing w:val="-2"/>
                      <w:sz w:val="18"/>
                    </w:rPr>
                    <w:t> </w:t>
                  </w:r>
                  <w:r>
                    <w:rPr>
                      <w:sz w:val="18"/>
                    </w:rPr>
                    <w:t>quality</w:t>
                  </w:r>
                  <w:r>
                    <w:rPr>
                      <w:spacing w:val="-5"/>
                      <w:sz w:val="18"/>
                    </w:rPr>
                    <w:t> </w:t>
                  </w:r>
                  <w:r>
                    <w:rPr>
                      <w:sz w:val="18"/>
                    </w:rPr>
                    <w:t>of</w:t>
                  </w:r>
                  <w:r>
                    <w:rPr>
                      <w:spacing w:val="-2"/>
                      <w:sz w:val="18"/>
                    </w:rPr>
                    <w:t> </w:t>
                  </w:r>
                  <w:r>
                    <w:rPr>
                      <w:sz w:val="18"/>
                    </w:rPr>
                    <w:t>care</w:t>
                  </w:r>
                  <w:r>
                    <w:rPr>
                      <w:spacing w:val="-2"/>
                      <w:sz w:val="18"/>
                    </w:rPr>
                    <w:t> </w:t>
                  </w:r>
                  <w:r>
                    <w:rPr>
                      <w:sz w:val="18"/>
                    </w:rPr>
                    <w:t>provided</w:t>
                  </w:r>
                  <w:r>
                    <w:rPr>
                      <w:spacing w:val="-3"/>
                      <w:sz w:val="18"/>
                    </w:rPr>
                    <w:t> </w:t>
                  </w:r>
                  <w:r>
                    <w:rPr>
                      <w:sz w:val="18"/>
                    </w:rPr>
                    <w:t>to</w:t>
                  </w:r>
                  <w:r>
                    <w:rPr>
                      <w:spacing w:val="-3"/>
                      <w:sz w:val="18"/>
                    </w:rPr>
                    <w:t> </w:t>
                  </w:r>
                  <w:r>
                    <w:rPr>
                      <w:sz w:val="18"/>
                    </w:rPr>
                    <w:t>patients</w:t>
                  </w:r>
                  <w:r>
                    <w:rPr>
                      <w:spacing w:val="-3"/>
                      <w:sz w:val="18"/>
                    </w:rPr>
                    <w:t> </w:t>
                  </w:r>
                  <w:r>
                    <w:rPr>
                      <w:sz w:val="18"/>
                    </w:rPr>
                    <w:t>of</w:t>
                  </w:r>
                  <w:r>
                    <w:rPr>
                      <w:spacing w:val="-47"/>
                      <w:sz w:val="18"/>
                    </w:rPr>
                    <w:t> </w:t>
                  </w:r>
                  <w:r>
                    <w:rPr>
                      <w:sz w:val="18"/>
                    </w:rPr>
                    <w:t>your practice/service?</w:t>
                  </w:r>
                </w:p>
                <w:p>
                  <w:pPr>
                    <w:tabs>
                      <w:tab w:pos="7075" w:val="left" w:leader="none"/>
                    </w:tabs>
                    <w:spacing w:before="120"/>
                    <w:ind w:left="1454" w:right="0" w:firstLine="0"/>
                    <w:jc w:val="left"/>
                    <w:rPr>
                      <w:sz w:val="18"/>
                    </w:rPr>
                  </w:pPr>
                  <w:r>
                    <w:rPr>
                      <w:sz w:val="18"/>
                    </w:rPr>
                    <w:t>Change</w:t>
                  </w:r>
                  <w:r>
                    <w:rPr>
                      <w:spacing w:val="-3"/>
                      <w:sz w:val="18"/>
                    </w:rPr>
                    <w:t> </w:t>
                  </w:r>
                  <w:r>
                    <w:rPr>
                      <w:sz w:val="18"/>
                    </w:rPr>
                    <w:t>1</w:t>
                  </w:r>
                  <w:r>
                    <w:rPr>
                      <w:spacing w:val="47"/>
                      <w:sz w:val="18"/>
                    </w:rPr>
                    <w:t> </w:t>
                  </w:r>
                  <w:r>
                    <w:rPr>
                      <w:sz w:val="18"/>
                    </w:rPr>
                    <w:t>(1) </w:t>
                  </w:r>
                  <w:r>
                    <w:rPr>
                      <w:sz w:val="18"/>
                      <w:u w:val="single" w:color="BDBDBD"/>
                    </w:rPr>
                    <w:t> </w:t>
                    <w:tab/>
                  </w:r>
                </w:p>
                <w:p>
                  <w:pPr>
                    <w:tabs>
                      <w:tab w:pos="7075" w:val="left" w:leader="none"/>
                    </w:tabs>
                    <w:spacing w:before="121"/>
                    <w:ind w:left="1454" w:right="0" w:firstLine="0"/>
                    <w:jc w:val="left"/>
                    <w:rPr>
                      <w:sz w:val="18"/>
                    </w:rPr>
                  </w:pPr>
                  <w:r>
                    <w:rPr>
                      <w:sz w:val="18"/>
                    </w:rPr>
                    <w:t>Change</w:t>
                  </w:r>
                  <w:r>
                    <w:rPr>
                      <w:spacing w:val="-3"/>
                      <w:sz w:val="18"/>
                    </w:rPr>
                    <w:t> </w:t>
                  </w:r>
                  <w:r>
                    <w:rPr>
                      <w:sz w:val="18"/>
                    </w:rPr>
                    <w:t>2</w:t>
                  </w:r>
                  <w:r>
                    <w:rPr>
                      <w:spacing w:val="47"/>
                      <w:sz w:val="18"/>
                    </w:rPr>
                    <w:t> </w:t>
                  </w:r>
                  <w:r>
                    <w:rPr>
                      <w:sz w:val="18"/>
                    </w:rPr>
                    <w:t>(2) </w:t>
                  </w:r>
                  <w:r>
                    <w:rPr>
                      <w:sz w:val="18"/>
                      <w:u w:val="single" w:color="BDBDBD"/>
                    </w:rPr>
                    <w:t> </w:t>
                    <w:tab/>
                  </w:r>
                </w:p>
                <w:p>
                  <w:pPr>
                    <w:tabs>
                      <w:tab w:pos="7075" w:val="left" w:leader="none"/>
                    </w:tabs>
                    <w:spacing w:before="120"/>
                    <w:ind w:left="1454" w:right="0" w:firstLine="0"/>
                    <w:jc w:val="left"/>
                    <w:rPr>
                      <w:sz w:val="18"/>
                    </w:rPr>
                  </w:pPr>
                  <w:r>
                    <w:rPr>
                      <w:sz w:val="18"/>
                    </w:rPr>
                    <w:t>Change</w:t>
                  </w:r>
                  <w:r>
                    <w:rPr>
                      <w:spacing w:val="-3"/>
                      <w:sz w:val="18"/>
                    </w:rPr>
                    <w:t> </w:t>
                  </w:r>
                  <w:r>
                    <w:rPr>
                      <w:sz w:val="18"/>
                    </w:rPr>
                    <w:t>3</w:t>
                  </w:r>
                  <w:r>
                    <w:rPr>
                      <w:spacing w:val="47"/>
                      <w:sz w:val="18"/>
                    </w:rPr>
                    <w:t> </w:t>
                  </w:r>
                  <w:r>
                    <w:rPr>
                      <w:sz w:val="18"/>
                    </w:rPr>
                    <w:t>(3) </w:t>
                  </w:r>
                  <w:r>
                    <w:rPr>
                      <w:sz w:val="18"/>
                      <w:u w:val="single" w:color="BDBDBD"/>
                    </w:rPr>
                    <w:t> </w:t>
                    <w:tab/>
                  </w:r>
                </w:p>
              </w:txbxContent>
            </v:textbox>
            <v:stroke dashstyle="solid"/>
          </v:shape>
        </w:pict>
      </w:r>
      <w:r>
        <w:rPr/>
      </w:r>
    </w:p>
    <w:p>
      <w:pPr>
        <w:pStyle w:val="BodyText"/>
        <w:rPr>
          <w:sz w:val="23"/>
        </w:rPr>
      </w:pPr>
      <w:r>
        <w:rPr/>
        <w:pict>
          <v:shape style="position:absolute;margin-left:36.240002pt;margin-top:15.56998pt;width:522.9500pt;height:248.7pt;mso-position-horizontal-relative:page;mso-position-vertical-relative:paragraph;z-index:-15395328;mso-wrap-distance-left:0;mso-wrap-distance-right:0" type="#_x0000_t202" id="docshape217" filled="false" stroked="true" strokeweight=".47998pt" strokecolor="#bebebe">
            <v:textbox inset="0,0,0,0">
              <w:txbxContent>
                <w:p>
                  <w:pPr>
                    <w:spacing w:line="220" w:lineRule="exact" w:before="0"/>
                    <w:ind w:left="103" w:right="0" w:firstLine="0"/>
                    <w:jc w:val="left"/>
                    <w:rPr>
                      <w:b/>
                      <w:sz w:val="18"/>
                    </w:rPr>
                  </w:pPr>
                  <w:r>
                    <w:rPr>
                      <w:b/>
                      <w:sz w:val="18"/>
                    </w:rPr>
                    <w:t>Round</w:t>
                  </w:r>
                  <w:r>
                    <w:rPr>
                      <w:b/>
                      <w:spacing w:val="-1"/>
                      <w:sz w:val="18"/>
                    </w:rPr>
                    <w:t> </w:t>
                  </w:r>
                  <w:r>
                    <w:rPr>
                      <w:b/>
                      <w:sz w:val="18"/>
                    </w:rPr>
                    <w:t>5</w:t>
                  </w:r>
                  <w:r>
                    <w:rPr>
                      <w:b/>
                      <w:spacing w:val="-2"/>
                      <w:sz w:val="18"/>
                    </w:rPr>
                    <w:t> </w:t>
                  </w:r>
                  <w:r>
                    <w:rPr>
                      <w:b/>
                      <w:sz w:val="18"/>
                    </w:rPr>
                    <w:t>only</w:t>
                  </w:r>
                </w:p>
                <w:p>
                  <w:pPr>
                    <w:spacing w:line="372" w:lineRule="exact" w:before="3"/>
                    <w:ind w:left="1380" w:right="1409" w:hanging="1278"/>
                    <w:jc w:val="left"/>
                    <w:rPr>
                      <w:sz w:val="18"/>
                    </w:rPr>
                  </w:pPr>
                  <w:r>
                    <w:rPr>
                      <w:sz w:val="18"/>
                    </w:rPr>
                    <w:t>22A. Since the HCH program started, the quality of care provided for patients of your practice/service:</w:t>
                  </w:r>
                  <w:r>
                    <w:rPr>
                      <w:spacing w:val="-47"/>
                      <w:sz w:val="18"/>
                    </w:rPr>
                    <w:t> </w:t>
                  </w:r>
                  <w:r>
                    <w:rPr>
                      <w:sz w:val="18"/>
                    </w:rPr>
                    <w:t>Got</w:t>
                  </w:r>
                  <w:r>
                    <w:rPr>
                      <w:spacing w:val="-3"/>
                      <w:sz w:val="18"/>
                    </w:rPr>
                    <w:t> </w:t>
                  </w:r>
                  <w:r>
                    <w:rPr>
                      <w:sz w:val="18"/>
                    </w:rPr>
                    <w:t>better</w:t>
                  </w:r>
                </w:p>
                <w:p>
                  <w:pPr>
                    <w:spacing w:line="186" w:lineRule="exact" w:before="0"/>
                    <w:ind w:left="1380" w:right="0" w:firstLine="0"/>
                    <w:jc w:val="left"/>
                    <w:rPr>
                      <w:sz w:val="18"/>
                    </w:rPr>
                  </w:pPr>
                  <w:r>
                    <w:rPr>
                      <w:sz w:val="18"/>
                    </w:rPr>
                    <w:t>Stayed</w:t>
                  </w:r>
                  <w:r>
                    <w:rPr>
                      <w:spacing w:val="-4"/>
                      <w:sz w:val="18"/>
                    </w:rPr>
                    <w:t> </w:t>
                  </w:r>
                  <w:r>
                    <w:rPr>
                      <w:sz w:val="18"/>
                    </w:rPr>
                    <w:t>the</w:t>
                  </w:r>
                  <w:r>
                    <w:rPr>
                      <w:spacing w:val="-4"/>
                      <w:sz w:val="18"/>
                    </w:rPr>
                    <w:t> </w:t>
                  </w:r>
                  <w:r>
                    <w:rPr>
                      <w:sz w:val="18"/>
                    </w:rPr>
                    <w:t>same</w:t>
                  </w:r>
                </w:p>
                <w:p>
                  <w:pPr>
                    <w:spacing w:before="0"/>
                    <w:ind w:left="1380" w:right="8164" w:firstLine="0"/>
                    <w:jc w:val="left"/>
                    <w:rPr>
                      <w:sz w:val="18"/>
                    </w:rPr>
                  </w:pPr>
                  <w:r>
                    <w:rPr>
                      <w:spacing w:val="-1"/>
                      <w:sz w:val="18"/>
                    </w:rPr>
                    <w:t>Got worse</w:t>
                  </w:r>
                  <w:r>
                    <w:rPr>
                      <w:spacing w:val="-47"/>
                      <w:sz w:val="18"/>
                    </w:rPr>
                    <w:t> </w:t>
                  </w:r>
                  <w:r>
                    <w:rPr>
                      <w:sz w:val="18"/>
                    </w:rPr>
                    <w:t>Not</w:t>
                  </w:r>
                  <w:r>
                    <w:rPr>
                      <w:spacing w:val="-3"/>
                      <w:sz w:val="18"/>
                    </w:rPr>
                    <w:t> </w:t>
                  </w:r>
                  <w:r>
                    <w:rPr>
                      <w:sz w:val="18"/>
                    </w:rPr>
                    <w:t>sure</w:t>
                  </w:r>
                </w:p>
                <w:p>
                  <w:pPr>
                    <w:pStyle w:val="BodyText"/>
                    <w:spacing w:before="6"/>
                    <w:rPr>
                      <w:sz w:val="16"/>
                    </w:rPr>
                  </w:pPr>
                </w:p>
                <w:p>
                  <w:pPr>
                    <w:spacing w:before="1"/>
                    <w:ind w:left="103" w:right="0" w:firstLine="0"/>
                    <w:jc w:val="left"/>
                    <w:rPr>
                      <w:sz w:val="18"/>
                    </w:rPr>
                  </w:pPr>
                  <w:r>
                    <w:rPr>
                      <w:sz w:val="18"/>
                    </w:rPr>
                    <w:t>22B.</w:t>
                  </w:r>
                  <w:r>
                    <w:rPr>
                      <w:spacing w:val="-4"/>
                      <w:sz w:val="18"/>
                    </w:rPr>
                    <w:t> </w:t>
                  </w:r>
                  <w:r>
                    <w:rPr>
                      <w:sz w:val="18"/>
                    </w:rPr>
                    <w:t>Since</w:t>
                  </w:r>
                  <w:r>
                    <w:rPr>
                      <w:spacing w:val="-2"/>
                      <w:sz w:val="18"/>
                    </w:rPr>
                    <w:t> </w:t>
                  </w:r>
                  <w:r>
                    <w:rPr>
                      <w:sz w:val="18"/>
                    </w:rPr>
                    <w:t>the</w:t>
                  </w:r>
                  <w:r>
                    <w:rPr>
                      <w:spacing w:val="-4"/>
                      <w:sz w:val="18"/>
                    </w:rPr>
                    <w:t> </w:t>
                  </w:r>
                  <w:r>
                    <w:rPr>
                      <w:sz w:val="18"/>
                    </w:rPr>
                    <w:t>implementation</w:t>
                  </w:r>
                  <w:r>
                    <w:rPr>
                      <w:spacing w:val="-2"/>
                      <w:sz w:val="18"/>
                    </w:rPr>
                    <w:t> </w:t>
                  </w:r>
                  <w:r>
                    <w:rPr>
                      <w:sz w:val="18"/>
                    </w:rPr>
                    <w:t>of</w:t>
                  </w:r>
                  <w:r>
                    <w:rPr>
                      <w:spacing w:val="-2"/>
                      <w:sz w:val="18"/>
                    </w:rPr>
                    <w:t> </w:t>
                  </w:r>
                  <w:r>
                    <w:rPr>
                      <w:sz w:val="18"/>
                    </w:rPr>
                    <w:t>HCH</w:t>
                  </w:r>
                  <w:r>
                    <w:rPr>
                      <w:spacing w:val="-5"/>
                      <w:sz w:val="18"/>
                    </w:rPr>
                    <w:t> </w:t>
                  </w:r>
                  <w:r>
                    <w:rPr>
                      <w:sz w:val="18"/>
                    </w:rPr>
                    <w:t>in</w:t>
                  </w:r>
                  <w:r>
                    <w:rPr>
                      <w:spacing w:val="-1"/>
                      <w:sz w:val="18"/>
                    </w:rPr>
                    <w:t> </w:t>
                  </w:r>
                  <w:r>
                    <w:rPr>
                      <w:sz w:val="18"/>
                    </w:rPr>
                    <w:t>you</w:t>
                  </w:r>
                  <w:r>
                    <w:rPr>
                      <w:spacing w:val="-4"/>
                      <w:sz w:val="18"/>
                    </w:rPr>
                    <w:t> </w:t>
                  </w:r>
                  <w:r>
                    <w:rPr>
                      <w:sz w:val="18"/>
                    </w:rPr>
                    <w:t>practice,</w:t>
                  </w:r>
                  <w:r>
                    <w:rPr>
                      <w:spacing w:val="-6"/>
                      <w:sz w:val="18"/>
                    </w:rPr>
                    <w:t> </w:t>
                  </w:r>
                  <w:r>
                    <w:rPr>
                      <w:sz w:val="18"/>
                    </w:rPr>
                    <w:t>what</w:t>
                  </w:r>
                  <w:r>
                    <w:rPr>
                      <w:spacing w:val="-4"/>
                      <w:sz w:val="18"/>
                    </w:rPr>
                    <w:t> </w:t>
                  </w:r>
                  <w:r>
                    <w:rPr>
                      <w:sz w:val="18"/>
                    </w:rPr>
                    <w:t>are</w:t>
                  </w:r>
                  <w:r>
                    <w:rPr>
                      <w:spacing w:val="-2"/>
                      <w:sz w:val="18"/>
                    </w:rPr>
                    <w:t> </w:t>
                  </w:r>
                  <w:r>
                    <w:rPr>
                      <w:sz w:val="18"/>
                    </w:rPr>
                    <w:t>the</w:t>
                  </w:r>
                  <w:r>
                    <w:rPr>
                      <w:spacing w:val="-2"/>
                      <w:sz w:val="18"/>
                    </w:rPr>
                    <w:t> </w:t>
                  </w:r>
                  <w:r>
                    <w:rPr>
                      <w:sz w:val="18"/>
                    </w:rPr>
                    <w:t>top</w:t>
                  </w:r>
                  <w:r>
                    <w:rPr>
                      <w:spacing w:val="-2"/>
                      <w:sz w:val="18"/>
                    </w:rPr>
                    <w:t> </w:t>
                  </w:r>
                  <w:r>
                    <w:rPr>
                      <w:sz w:val="18"/>
                    </w:rPr>
                    <w:t>three</w:t>
                  </w:r>
                  <w:r>
                    <w:rPr>
                      <w:spacing w:val="-4"/>
                      <w:sz w:val="18"/>
                    </w:rPr>
                    <w:t> </w:t>
                  </w:r>
                  <w:r>
                    <w:rPr>
                      <w:sz w:val="18"/>
                    </w:rPr>
                    <w:t>changes</w:t>
                  </w:r>
                  <w:r>
                    <w:rPr>
                      <w:spacing w:val="-3"/>
                      <w:sz w:val="18"/>
                    </w:rPr>
                    <w:t> </w:t>
                  </w:r>
                  <w:r>
                    <w:rPr>
                      <w:sz w:val="18"/>
                    </w:rPr>
                    <w:t>that</w:t>
                  </w:r>
                  <w:r>
                    <w:rPr>
                      <w:spacing w:val="-4"/>
                      <w:sz w:val="18"/>
                    </w:rPr>
                    <w:t> </w:t>
                  </w:r>
                  <w:r>
                    <w:rPr>
                      <w:sz w:val="18"/>
                    </w:rPr>
                    <w:t>have</w:t>
                  </w:r>
                  <w:r>
                    <w:rPr>
                      <w:spacing w:val="-2"/>
                      <w:sz w:val="18"/>
                    </w:rPr>
                    <w:t> </w:t>
                  </w:r>
                  <w:r>
                    <w:rPr>
                      <w:sz w:val="18"/>
                    </w:rPr>
                    <w:t>occurred</w:t>
                  </w:r>
                  <w:r>
                    <w:rPr>
                      <w:spacing w:val="-3"/>
                      <w:sz w:val="18"/>
                    </w:rPr>
                    <w:t> </w:t>
                  </w:r>
                  <w:r>
                    <w:rPr>
                      <w:sz w:val="18"/>
                    </w:rPr>
                    <w:t>that</w:t>
                  </w:r>
                  <w:r>
                    <w:rPr>
                      <w:spacing w:val="-46"/>
                      <w:sz w:val="18"/>
                    </w:rPr>
                    <w:t> </w:t>
                  </w:r>
                  <w:r>
                    <w:rPr>
                      <w:sz w:val="18"/>
                    </w:rPr>
                    <w:t>improved</w:t>
                  </w:r>
                  <w:r>
                    <w:rPr>
                      <w:spacing w:val="-2"/>
                      <w:sz w:val="18"/>
                    </w:rPr>
                    <w:t> </w:t>
                  </w:r>
                  <w:r>
                    <w:rPr>
                      <w:sz w:val="18"/>
                    </w:rPr>
                    <w:t>the quality</w:t>
                  </w:r>
                  <w:r>
                    <w:rPr>
                      <w:spacing w:val="-1"/>
                      <w:sz w:val="18"/>
                    </w:rPr>
                    <w:t> </w:t>
                  </w:r>
                  <w:r>
                    <w:rPr>
                      <w:sz w:val="18"/>
                    </w:rPr>
                    <w:t>of</w:t>
                  </w:r>
                  <w:r>
                    <w:rPr>
                      <w:spacing w:val="-1"/>
                      <w:sz w:val="18"/>
                    </w:rPr>
                    <w:t> </w:t>
                  </w:r>
                  <w:r>
                    <w:rPr>
                      <w:sz w:val="18"/>
                    </w:rPr>
                    <w:t>care provided</w:t>
                  </w:r>
                  <w:r>
                    <w:rPr>
                      <w:spacing w:val="-1"/>
                      <w:sz w:val="18"/>
                    </w:rPr>
                    <w:t> </w:t>
                  </w:r>
                  <w:r>
                    <w:rPr>
                      <w:sz w:val="18"/>
                    </w:rPr>
                    <w:t>to</w:t>
                  </w:r>
                  <w:r>
                    <w:rPr>
                      <w:spacing w:val="-2"/>
                      <w:sz w:val="18"/>
                    </w:rPr>
                    <w:t> </w:t>
                  </w:r>
                  <w:r>
                    <w:rPr>
                      <w:sz w:val="18"/>
                    </w:rPr>
                    <w:t>patients</w:t>
                  </w:r>
                  <w:r>
                    <w:rPr>
                      <w:spacing w:val="-1"/>
                      <w:sz w:val="18"/>
                    </w:rPr>
                    <w:t> </w:t>
                  </w:r>
                  <w:r>
                    <w:rPr>
                      <w:sz w:val="18"/>
                    </w:rPr>
                    <w:t>of your</w:t>
                  </w:r>
                  <w:r>
                    <w:rPr>
                      <w:spacing w:val="-1"/>
                      <w:sz w:val="18"/>
                    </w:rPr>
                    <w:t> </w:t>
                  </w:r>
                  <w:r>
                    <w:rPr>
                      <w:sz w:val="18"/>
                    </w:rPr>
                    <w:t>practice/service?</w:t>
                  </w:r>
                </w:p>
                <w:p>
                  <w:pPr>
                    <w:tabs>
                      <w:tab w:pos="7075" w:val="left" w:leader="none"/>
                    </w:tabs>
                    <w:spacing w:before="120"/>
                    <w:ind w:left="1454" w:right="0" w:firstLine="0"/>
                    <w:jc w:val="left"/>
                    <w:rPr>
                      <w:sz w:val="18"/>
                    </w:rPr>
                  </w:pPr>
                  <w:r>
                    <w:rPr>
                      <w:sz w:val="18"/>
                    </w:rPr>
                    <w:t>Change</w:t>
                  </w:r>
                  <w:r>
                    <w:rPr>
                      <w:spacing w:val="-3"/>
                      <w:sz w:val="18"/>
                    </w:rPr>
                    <w:t> </w:t>
                  </w:r>
                  <w:r>
                    <w:rPr>
                      <w:sz w:val="18"/>
                    </w:rPr>
                    <w:t>1</w:t>
                  </w:r>
                  <w:r>
                    <w:rPr>
                      <w:spacing w:val="47"/>
                      <w:sz w:val="18"/>
                    </w:rPr>
                    <w:t> </w:t>
                  </w:r>
                  <w:r>
                    <w:rPr>
                      <w:sz w:val="18"/>
                    </w:rPr>
                    <w:t>(1) </w:t>
                  </w:r>
                  <w:r>
                    <w:rPr>
                      <w:sz w:val="18"/>
                      <w:u w:val="single" w:color="BDBDBD"/>
                    </w:rPr>
                    <w:t> </w:t>
                    <w:tab/>
                  </w:r>
                </w:p>
                <w:p>
                  <w:pPr>
                    <w:tabs>
                      <w:tab w:pos="7075" w:val="left" w:leader="none"/>
                    </w:tabs>
                    <w:spacing w:before="120"/>
                    <w:ind w:left="1454" w:right="0" w:firstLine="0"/>
                    <w:jc w:val="left"/>
                    <w:rPr>
                      <w:sz w:val="18"/>
                    </w:rPr>
                  </w:pPr>
                  <w:r>
                    <w:rPr>
                      <w:sz w:val="18"/>
                    </w:rPr>
                    <w:t>Change</w:t>
                  </w:r>
                  <w:r>
                    <w:rPr>
                      <w:spacing w:val="-3"/>
                      <w:sz w:val="18"/>
                    </w:rPr>
                    <w:t> </w:t>
                  </w:r>
                  <w:r>
                    <w:rPr>
                      <w:sz w:val="18"/>
                    </w:rPr>
                    <w:t>2</w:t>
                  </w:r>
                  <w:r>
                    <w:rPr>
                      <w:spacing w:val="47"/>
                      <w:sz w:val="18"/>
                    </w:rPr>
                    <w:t> </w:t>
                  </w:r>
                  <w:r>
                    <w:rPr>
                      <w:sz w:val="18"/>
                    </w:rPr>
                    <w:t>(2) </w:t>
                  </w:r>
                  <w:r>
                    <w:rPr>
                      <w:sz w:val="18"/>
                      <w:u w:val="single" w:color="BDBDBD"/>
                    </w:rPr>
                    <w:t> </w:t>
                    <w:tab/>
                  </w:r>
                </w:p>
                <w:p>
                  <w:pPr>
                    <w:tabs>
                      <w:tab w:pos="7075" w:val="left" w:leader="none"/>
                    </w:tabs>
                    <w:spacing w:before="118"/>
                    <w:ind w:left="1454" w:right="0" w:firstLine="0"/>
                    <w:jc w:val="left"/>
                    <w:rPr>
                      <w:sz w:val="18"/>
                    </w:rPr>
                  </w:pPr>
                  <w:r>
                    <w:rPr>
                      <w:sz w:val="18"/>
                    </w:rPr>
                    <w:t>Change</w:t>
                  </w:r>
                  <w:r>
                    <w:rPr>
                      <w:spacing w:val="-3"/>
                      <w:sz w:val="18"/>
                    </w:rPr>
                    <w:t> </w:t>
                  </w:r>
                  <w:r>
                    <w:rPr>
                      <w:sz w:val="18"/>
                    </w:rPr>
                    <w:t>3</w:t>
                  </w:r>
                  <w:r>
                    <w:rPr>
                      <w:spacing w:val="47"/>
                      <w:sz w:val="18"/>
                    </w:rPr>
                    <w:t> </w:t>
                  </w:r>
                  <w:r>
                    <w:rPr>
                      <w:sz w:val="18"/>
                    </w:rPr>
                    <w:t>(3) </w:t>
                  </w:r>
                  <w:r>
                    <w:rPr>
                      <w:sz w:val="18"/>
                      <w:u w:val="single" w:color="BDBDBD"/>
                    </w:rPr>
                    <w:t> </w:t>
                    <w:tab/>
                  </w:r>
                </w:p>
                <w:p>
                  <w:pPr>
                    <w:spacing w:before="120"/>
                    <w:ind w:left="103" w:right="649" w:firstLine="0"/>
                    <w:jc w:val="left"/>
                    <w:rPr>
                      <w:sz w:val="18"/>
                    </w:rPr>
                  </w:pPr>
                  <w:r>
                    <w:rPr>
                      <w:sz w:val="18"/>
                    </w:rPr>
                    <w:t>22C. What are the top changes (up to three) you believe would further improve the quality of care provided to</w:t>
                  </w:r>
                  <w:r>
                    <w:rPr>
                      <w:spacing w:val="-47"/>
                      <w:sz w:val="18"/>
                    </w:rPr>
                    <w:t> </w:t>
                  </w:r>
                  <w:r>
                    <w:rPr>
                      <w:sz w:val="18"/>
                    </w:rPr>
                    <w:t>patients</w:t>
                  </w:r>
                  <w:r>
                    <w:rPr>
                      <w:spacing w:val="-2"/>
                      <w:sz w:val="18"/>
                    </w:rPr>
                    <w:t> </w:t>
                  </w:r>
                  <w:r>
                    <w:rPr>
                      <w:sz w:val="18"/>
                    </w:rPr>
                    <w:t>of your</w:t>
                  </w:r>
                  <w:r>
                    <w:rPr>
                      <w:spacing w:val="-2"/>
                      <w:sz w:val="18"/>
                    </w:rPr>
                    <w:t> </w:t>
                  </w:r>
                  <w:r>
                    <w:rPr>
                      <w:sz w:val="18"/>
                    </w:rPr>
                    <w:t>practice/service?</w:t>
                  </w:r>
                </w:p>
                <w:p>
                  <w:pPr>
                    <w:tabs>
                      <w:tab w:pos="7075" w:val="left" w:leader="none"/>
                    </w:tabs>
                    <w:spacing w:before="120"/>
                    <w:ind w:left="1454" w:right="0" w:firstLine="0"/>
                    <w:jc w:val="left"/>
                    <w:rPr>
                      <w:sz w:val="18"/>
                    </w:rPr>
                  </w:pPr>
                  <w:r>
                    <w:rPr>
                      <w:sz w:val="18"/>
                    </w:rPr>
                    <w:t>Change</w:t>
                  </w:r>
                  <w:r>
                    <w:rPr>
                      <w:spacing w:val="-3"/>
                      <w:sz w:val="18"/>
                    </w:rPr>
                    <w:t> </w:t>
                  </w:r>
                  <w:r>
                    <w:rPr>
                      <w:sz w:val="18"/>
                    </w:rPr>
                    <w:t>1</w:t>
                  </w:r>
                  <w:r>
                    <w:rPr>
                      <w:spacing w:val="47"/>
                      <w:sz w:val="18"/>
                    </w:rPr>
                    <w:t> </w:t>
                  </w:r>
                  <w:r>
                    <w:rPr>
                      <w:sz w:val="18"/>
                    </w:rPr>
                    <w:t>(1) </w:t>
                  </w:r>
                  <w:r>
                    <w:rPr>
                      <w:sz w:val="18"/>
                      <w:u w:val="single" w:color="BDBDBD"/>
                    </w:rPr>
                    <w:t> </w:t>
                    <w:tab/>
                  </w:r>
                </w:p>
                <w:p>
                  <w:pPr>
                    <w:tabs>
                      <w:tab w:pos="7075" w:val="left" w:leader="none"/>
                    </w:tabs>
                    <w:spacing w:before="120"/>
                    <w:ind w:left="1454" w:right="0" w:firstLine="0"/>
                    <w:jc w:val="left"/>
                    <w:rPr>
                      <w:sz w:val="18"/>
                    </w:rPr>
                  </w:pPr>
                  <w:r>
                    <w:rPr>
                      <w:sz w:val="18"/>
                    </w:rPr>
                    <w:t>Change</w:t>
                  </w:r>
                  <w:r>
                    <w:rPr>
                      <w:spacing w:val="-3"/>
                      <w:sz w:val="18"/>
                    </w:rPr>
                    <w:t> </w:t>
                  </w:r>
                  <w:r>
                    <w:rPr>
                      <w:sz w:val="18"/>
                    </w:rPr>
                    <w:t>2</w:t>
                  </w:r>
                  <w:r>
                    <w:rPr>
                      <w:spacing w:val="47"/>
                      <w:sz w:val="18"/>
                    </w:rPr>
                    <w:t> </w:t>
                  </w:r>
                  <w:r>
                    <w:rPr>
                      <w:sz w:val="18"/>
                    </w:rPr>
                    <w:t>(2) </w:t>
                  </w:r>
                  <w:r>
                    <w:rPr>
                      <w:sz w:val="18"/>
                      <w:u w:val="single" w:color="BDBDBD"/>
                    </w:rPr>
                    <w:t> </w:t>
                    <w:tab/>
                  </w:r>
                </w:p>
                <w:p>
                  <w:pPr>
                    <w:tabs>
                      <w:tab w:pos="7075" w:val="left" w:leader="none"/>
                    </w:tabs>
                    <w:spacing w:before="120"/>
                    <w:ind w:left="1454" w:right="0" w:firstLine="0"/>
                    <w:jc w:val="left"/>
                    <w:rPr>
                      <w:sz w:val="18"/>
                    </w:rPr>
                  </w:pPr>
                  <w:r>
                    <w:rPr>
                      <w:sz w:val="18"/>
                    </w:rPr>
                    <w:t>Change</w:t>
                  </w:r>
                  <w:r>
                    <w:rPr>
                      <w:spacing w:val="-3"/>
                      <w:sz w:val="18"/>
                    </w:rPr>
                    <w:t> </w:t>
                  </w:r>
                  <w:r>
                    <w:rPr>
                      <w:sz w:val="18"/>
                    </w:rPr>
                    <w:t>3</w:t>
                  </w:r>
                  <w:r>
                    <w:rPr>
                      <w:spacing w:val="47"/>
                      <w:sz w:val="18"/>
                    </w:rPr>
                    <w:t> </w:t>
                  </w:r>
                  <w:r>
                    <w:rPr>
                      <w:sz w:val="18"/>
                    </w:rPr>
                    <w:t>(3) </w:t>
                  </w:r>
                  <w:r>
                    <w:rPr>
                      <w:sz w:val="18"/>
                      <w:u w:val="single" w:color="BDBDBD"/>
                    </w:rPr>
                    <w:t> </w:t>
                    <w:tab/>
                  </w:r>
                </w:p>
              </w:txbxContent>
            </v:textbox>
            <v:stroke dashstyle="solid"/>
            <w10:wrap type="topAndBottom"/>
          </v:shape>
        </w:pict>
      </w:r>
    </w:p>
    <w:p>
      <w:pPr>
        <w:pStyle w:val="BodyText"/>
        <w:spacing w:before="11"/>
        <w:rPr>
          <w:sz w:val="19"/>
        </w:rPr>
      </w:pPr>
    </w:p>
    <w:p>
      <w:pPr>
        <w:pStyle w:val="ListParagraph"/>
        <w:numPr>
          <w:ilvl w:val="0"/>
          <w:numId w:val="103"/>
        </w:numPr>
        <w:tabs>
          <w:tab w:pos="720" w:val="left" w:leader="none"/>
        </w:tabs>
        <w:spacing w:line="369" w:lineRule="auto" w:before="100" w:after="0"/>
        <w:ind w:left="1140" w:right="3424" w:hanging="721"/>
        <w:jc w:val="left"/>
        <w:rPr>
          <w:sz w:val="18"/>
        </w:rPr>
      </w:pPr>
      <w:r>
        <w:rPr/>
        <w:drawing>
          <wp:anchor distT="0" distB="0" distL="0" distR="0" allowOverlap="1" layoutInCell="1" locked="0" behindDoc="0" simplePos="0" relativeHeight="16067584">
            <wp:simplePos x="0" y="0"/>
            <wp:positionH relativeFrom="page">
              <wp:posOffset>1173773</wp:posOffset>
            </wp:positionH>
            <wp:positionV relativeFrom="paragraph">
              <wp:posOffset>-764013</wp:posOffset>
            </wp:positionV>
            <wp:extent cx="57802" cy="71437"/>
            <wp:effectExtent l="0" t="0" r="0" b="0"/>
            <wp:wrapNone/>
            <wp:docPr id="1751" name="image13.png"/>
            <wp:cNvGraphicFramePr>
              <a:graphicFrameLocks noChangeAspect="1"/>
            </wp:cNvGraphicFramePr>
            <a:graphic>
              <a:graphicData uri="http://schemas.openxmlformats.org/drawingml/2006/picture">
                <pic:pic>
                  <pic:nvPicPr>
                    <pic:cNvPr id="1752" name="image13.png"/>
                    <pic:cNvPicPr/>
                  </pic:nvPicPr>
                  <pic:blipFill>
                    <a:blip r:embed="rId41" cstate="print"/>
                    <a:stretch>
                      <a:fillRect/>
                    </a:stretch>
                  </pic:blipFill>
                  <pic:spPr>
                    <a:xfrm>
                      <a:off x="0" y="0"/>
                      <a:ext cx="57802" cy="71437"/>
                    </a:xfrm>
                    <a:prstGeom prst="rect">
                      <a:avLst/>
                    </a:prstGeom>
                  </pic:spPr>
                </pic:pic>
              </a:graphicData>
            </a:graphic>
          </wp:anchor>
        </w:drawing>
      </w:r>
      <w:r>
        <w:rPr/>
        <w:drawing>
          <wp:anchor distT="0" distB="0" distL="0" distR="0" allowOverlap="1" layoutInCell="1" locked="0" behindDoc="0" simplePos="0" relativeHeight="16068096">
            <wp:simplePos x="0" y="0"/>
            <wp:positionH relativeFrom="page">
              <wp:posOffset>1173773</wp:posOffset>
            </wp:positionH>
            <wp:positionV relativeFrom="paragraph">
              <wp:posOffset>-547605</wp:posOffset>
            </wp:positionV>
            <wp:extent cx="57802" cy="71437"/>
            <wp:effectExtent l="0" t="0" r="0" b="0"/>
            <wp:wrapNone/>
            <wp:docPr id="1753" name="image13.png"/>
            <wp:cNvGraphicFramePr>
              <a:graphicFrameLocks noChangeAspect="1"/>
            </wp:cNvGraphicFramePr>
            <a:graphic>
              <a:graphicData uri="http://schemas.openxmlformats.org/drawingml/2006/picture">
                <pic:pic>
                  <pic:nvPicPr>
                    <pic:cNvPr id="1754" name="image13.png"/>
                    <pic:cNvPicPr/>
                  </pic:nvPicPr>
                  <pic:blipFill>
                    <a:blip r:embed="rId41" cstate="print"/>
                    <a:stretch>
                      <a:fillRect/>
                    </a:stretch>
                  </pic:blipFill>
                  <pic:spPr>
                    <a:xfrm>
                      <a:off x="0" y="0"/>
                      <a:ext cx="57802" cy="71437"/>
                    </a:xfrm>
                    <a:prstGeom prst="rect">
                      <a:avLst/>
                    </a:prstGeom>
                  </pic:spPr>
                </pic:pic>
              </a:graphicData>
            </a:graphic>
          </wp:anchor>
        </w:drawing>
      </w:r>
      <w:r>
        <w:rPr/>
        <w:drawing>
          <wp:anchor distT="0" distB="0" distL="0" distR="0" allowOverlap="1" layoutInCell="1" locked="0" behindDoc="0" simplePos="0" relativeHeight="16068608">
            <wp:simplePos x="0" y="0"/>
            <wp:positionH relativeFrom="page">
              <wp:posOffset>1173773</wp:posOffset>
            </wp:positionH>
            <wp:positionV relativeFrom="paragraph">
              <wp:posOffset>-331390</wp:posOffset>
            </wp:positionV>
            <wp:extent cx="57814" cy="73151"/>
            <wp:effectExtent l="0" t="0" r="0" b="0"/>
            <wp:wrapNone/>
            <wp:docPr id="1755" name="image14.png"/>
            <wp:cNvGraphicFramePr>
              <a:graphicFrameLocks noChangeAspect="1"/>
            </wp:cNvGraphicFramePr>
            <a:graphic>
              <a:graphicData uri="http://schemas.openxmlformats.org/drawingml/2006/picture">
                <pic:pic>
                  <pic:nvPicPr>
                    <pic:cNvPr id="1756" name="image14.png"/>
                    <pic:cNvPicPr/>
                  </pic:nvPicPr>
                  <pic:blipFill>
                    <a:blip r:embed="rId43" cstate="print"/>
                    <a:stretch>
                      <a:fillRect/>
                    </a:stretch>
                  </pic:blipFill>
                  <pic:spPr>
                    <a:xfrm>
                      <a:off x="0" y="0"/>
                      <a:ext cx="57814" cy="73151"/>
                    </a:xfrm>
                    <a:prstGeom prst="rect">
                      <a:avLst/>
                    </a:prstGeom>
                  </pic:spPr>
                </pic:pic>
              </a:graphicData>
            </a:graphic>
          </wp:anchor>
        </w:drawing>
      </w:r>
      <w:r>
        <w:rPr>
          <w:sz w:val="18"/>
        </w:rPr>
        <w:t>Please indicate your level of agreement with the following statements about your job:</w:t>
      </w:r>
      <w:r>
        <w:rPr>
          <w:spacing w:val="-47"/>
          <w:sz w:val="18"/>
        </w:rPr>
        <w:t> </w:t>
      </w:r>
      <w:r>
        <w:rPr>
          <w:sz w:val="18"/>
        </w:rPr>
        <w:t>My</w:t>
      </w:r>
      <w:r>
        <w:rPr>
          <w:spacing w:val="-1"/>
          <w:sz w:val="18"/>
        </w:rPr>
        <w:t> </w:t>
      </w:r>
      <w:r>
        <w:rPr>
          <w:sz w:val="18"/>
        </w:rPr>
        <w:t>work</w:t>
      </w:r>
      <w:r>
        <w:rPr>
          <w:spacing w:val="-1"/>
          <w:sz w:val="18"/>
        </w:rPr>
        <w:t> </w:t>
      </w:r>
      <w:r>
        <w:rPr>
          <w:sz w:val="18"/>
        </w:rPr>
        <w:t>gives</w:t>
      </w:r>
      <w:r>
        <w:rPr>
          <w:spacing w:val="-1"/>
          <w:sz w:val="18"/>
        </w:rPr>
        <w:t> </w:t>
      </w:r>
      <w:r>
        <w:rPr>
          <w:sz w:val="18"/>
        </w:rPr>
        <w:t>me</w:t>
      </w:r>
      <w:r>
        <w:rPr>
          <w:spacing w:val="-1"/>
          <w:sz w:val="18"/>
        </w:rPr>
        <w:t> </w:t>
      </w:r>
      <w:r>
        <w:rPr>
          <w:sz w:val="18"/>
        </w:rPr>
        <w:t>a feeling</w:t>
      </w:r>
      <w:r>
        <w:rPr>
          <w:spacing w:val="-4"/>
          <w:sz w:val="18"/>
        </w:rPr>
        <w:t> </w:t>
      </w:r>
      <w:r>
        <w:rPr>
          <w:sz w:val="18"/>
        </w:rPr>
        <w:t>of</w:t>
      </w:r>
      <w:r>
        <w:rPr>
          <w:spacing w:val="-1"/>
          <w:sz w:val="18"/>
        </w:rPr>
        <w:t> </w:t>
      </w:r>
      <w:r>
        <w:rPr>
          <w:sz w:val="18"/>
        </w:rPr>
        <w:t>personal accomplishment.</w:t>
      </w:r>
      <w:r>
        <w:rPr>
          <w:spacing w:val="2"/>
          <w:sz w:val="18"/>
        </w:rPr>
        <w:t> </w:t>
      </w:r>
      <w:r>
        <w:rPr>
          <w:sz w:val="18"/>
        </w:rPr>
        <w:t>(1)</w:t>
      </w:r>
    </w:p>
    <w:p>
      <w:pPr>
        <w:spacing w:before="2"/>
        <w:ind w:left="1697" w:right="0" w:firstLine="0"/>
        <w:jc w:val="left"/>
        <w:rPr>
          <w:sz w:val="18"/>
        </w:rPr>
      </w:pPr>
      <w:r>
        <w:rPr/>
        <w:drawing>
          <wp:anchor distT="0" distB="0" distL="0" distR="0" allowOverlap="1" layoutInCell="1" locked="0" behindDoc="0" simplePos="0" relativeHeight="16069120">
            <wp:simplePos x="0" y="0"/>
            <wp:positionH relativeFrom="page">
              <wp:posOffset>1054901</wp:posOffset>
            </wp:positionH>
            <wp:positionV relativeFrom="paragraph">
              <wp:posOffset>45484</wp:posOffset>
            </wp:positionV>
            <wp:extent cx="58380" cy="72151"/>
            <wp:effectExtent l="0" t="0" r="0" b="0"/>
            <wp:wrapNone/>
            <wp:docPr id="1757" name="image13.png"/>
            <wp:cNvGraphicFramePr>
              <a:graphicFrameLocks noChangeAspect="1"/>
            </wp:cNvGraphicFramePr>
            <a:graphic>
              <a:graphicData uri="http://schemas.openxmlformats.org/drawingml/2006/picture">
                <pic:pic>
                  <pic:nvPicPr>
                    <pic:cNvPr id="175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Disagree</w:t>
      </w:r>
      <w:r>
        <w:rPr>
          <w:spacing w:val="-5"/>
          <w:sz w:val="18"/>
        </w:rPr>
        <w:t> </w:t>
      </w:r>
      <w:r>
        <w:rPr>
          <w:sz w:val="18"/>
        </w:rPr>
        <w:t>(1)</w:t>
      </w:r>
    </w:p>
    <w:p>
      <w:pPr>
        <w:spacing w:line="369" w:lineRule="auto" w:before="120"/>
        <w:ind w:left="1697" w:right="7257" w:firstLine="0"/>
        <w:jc w:val="left"/>
        <w:rPr>
          <w:sz w:val="18"/>
        </w:rPr>
      </w:pPr>
      <w:r>
        <w:rPr/>
        <w:drawing>
          <wp:anchor distT="0" distB="0" distL="0" distR="0" allowOverlap="1" layoutInCell="1" locked="0" behindDoc="0" simplePos="0" relativeHeight="16069632">
            <wp:simplePos x="0" y="0"/>
            <wp:positionH relativeFrom="page">
              <wp:posOffset>1054901</wp:posOffset>
            </wp:positionH>
            <wp:positionV relativeFrom="paragraph">
              <wp:posOffset>120221</wp:posOffset>
            </wp:positionV>
            <wp:extent cx="58380" cy="73869"/>
            <wp:effectExtent l="0" t="0" r="0" b="0"/>
            <wp:wrapNone/>
            <wp:docPr id="1759" name="image14.png"/>
            <wp:cNvGraphicFramePr>
              <a:graphicFrameLocks noChangeAspect="1"/>
            </wp:cNvGraphicFramePr>
            <a:graphic>
              <a:graphicData uri="http://schemas.openxmlformats.org/drawingml/2006/picture">
                <pic:pic>
                  <pic:nvPicPr>
                    <pic:cNvPr id="1760" name="image14.png"/>
                    <pic:cNvPicPr/>
                  </pic:nvPicPr>
                  <pic:blipFill>
                    <a:blip r:embed="rId43" cstate="print"/>
                    <a:stretch>
                      <a:fillRect/>
                    </a:stretch>
                  </pic:blipFill>
                  <pic:spPr>
                    <a:xfrm>
                      <a:off x="0" y="0"/>
                      <a:ext cx="58380" cy="73869"/>
                    </a:xfrm>
                    <a:prstGeom prst="rect">
                      <a:avLst/>
                    </a:prstGeom>
                  </pic:spPr>
                </pic:pic>
              </a:graphicData>
            </a:graphic>
          </wp:anchor>
        </w:drawing>
      </w:r>
      <w:r>
        <w:rPr/>
        <w:drawing>
          <wp:anchor distT="0" distB="0" distL="0" distR="0" allowOverlap="1" layoutInCell="1" locked="0" behindDoc="0" simplePos="0" relativeHeight="16070144">
            <wp:simplePos x="0" y="0"/>
            <wp:positionH relativeFrom="page">
              <wp:posOffset>1054901</wp:posOffset>
            </wp:positionH>
            <wp:positionV relativeFrom="paragraph">
              <wp:posOffset>336822</wp:posOffset>
            </wp:positionV>
            <wp:extent cx="58380" cy="72151"/>
            <wp:effectExtent l="0" t="0" r="0" b="0"/>
            <wp:wrapNone/>
            <wp:docPr id="1761" name="image13.png"/>
            <wp:cNvGraphicFramePr>
              <a:graphicFrameLocks noChangeAspect="1"/>
            </wp:cNvGraphicFramePr>
            <a:graphic>
              <a:graphicData uri="http://schemas.openxmlformats.org/drawingml/2006/picture">
                <pic:pic>
                  <pic:nvPicPr>
                    <pic:cNvPr id="1762"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070656">
            <wp:simplePos x="0" y="0"/>
            <wp:positionH relativeFrom="page">
              <wp:posOffset>1054901</wp:posOffset>
            </wp:positionH>
            <wp:positionV relativeFrom="paragraph">
              <wp:posOffset>553230</wp:posOffset>
            </wp:positionV>
            <wp:extent cx="58380" cy="72151"/>
            <wp:effectExtent l="0" t="0" r="0" b="0"/>
            <wp:wrapNone/>
            <wp:docPr id="1763" name="image13.png"/>
            <wp:cNvGraphicFramePr>
              <a:graphicFrameLocks noChangeAspect="1"/>
            </wp:cNvGraphicFramePr>
            <a:graphic>
              <a:graphicData uri="http://schemas.openxmlformats.org/drawingml/2006/picture">
                <pic:pic>
                  <pic:nvPicPr>
                    <pic:cNvPr id="176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 disagree (2)</w:t>
      </w:r>
      <w:r>
        <w:rPr>
          <w:spacing w:val="1"/>
          <w:sz w:val="18"/>
        </w:rPr>
        <w:t> </w:t>
      </w:r>
      <w:r>
        <w:rPr>
          <w:sz w:val="18"/>
        </w:rPr>
        <w:t>Neither agree nor disagree (3)</w:t>
      </w:r>
      <w:r>
        <w:rPr>
          <w:spacing w:val="-48"/>
          <w:sz w:val="18"/>
        </w:rPr>
        <w:t> </w:t>
      </w:r>
      <w:r>
        <w:rPr>
          <w:sz w:val="18"/>
        </w:rPr>
        <w:t>Somewhat</w:t>
      </w:r>
      <w:r>
        <w:rPr>
          <w:spacing w:val="-3"/>
          <w:sz w:val="18"/>
        </w:rPr>
        <w:t> </w:t>
      </w:r>
      <w:r>
        <w:rPr>
          <w:sz w:val="18"/>
        </w:rPr>
        <w:t>agree</w:t>
      </w:r>
      <w:r>
        <w:rPr>
          <w:spacing w:val="3"/>
          <w:sz w:val="18"/>
        </w:rPr>
        <w:t> </w:t>
      </w:r>
      <w:r>
        <w:rPr>
          <w:sz w:val="18"/>
        </w:rPr>
        <w:t>(4)</w:t>
      </w:r>
    </w:p>
    <w:p>
      <w:pPr>
        <w:spacing w:before="3"/>
        <w:ind w:left="1697" w:right="0" w:firstLine="0"/>
        <w:jc w:val="left"/>
        <w:rPr>
          <w:sz w:val="18"/>
        </w:rPr>
      </w:pPr>
      <w:r>
        <w:rPr/>
        <w:drawing>
          <wp:anchor distT="0" distB="0" distL="0" distR="0" allowOverlap="1" layoutInCell="1" locked="0" behindDoc="0" simplePos="0" relativeHeight="16071168">
            <wp:simplePos x="0" y="0"/>
            <wp:positionH relativeFrom="page">
              <wp:posOffset>1054901</wp:posOffset>
            </wp:positionH>
            <wp:positionV relativeFrom="paragraph">
              <wp:posOffset>46120</wp:posOffset>
            </wp:positionV>
            <wp:extent cx="58380" cy="72151"/>
            <wp:effectExtent l="0" t="0" r="0" b="0"/>
            <wp:wrapNone/>
            <wp:docPr id="1765" name="image13.png"/>
            <wp:cNvGraphicFramePr>
              <a:graphicFrameLocks noChangeAspect="1"/>
            </wp:cNvGraphicFramePr>
            <a:graphic>
              <a:graphicData uri="http://schemas.openxmlformats.org/drawingml/2006/picture">
                <pic:pic>
                  <pic:nvPicPr>
                    <pic:cNvPr id="176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Agree (5)</w:t>
      </w:r>
    </w:p>
    <w:p>
      <w:pPr>
        <w:spacing w:before="120"/>
        <w:ind w:left="1697" w:right="0" w:firstLine="0"/>
        <w:jc w:val="left"/>
        <w:rPr>
          <w:sz w:val="18"/>
        </w:rPr>
      </w:pPr>
      <w:r>
        <w:rPr/>
        <w:drawing>
          <wp:anchor distT="0" distB="0" distL="0" distR="0" allowOverlap="1" layoutInCell="1" locked="0" behindDoc="0" simplePos="0" relativeHeight="16071680">
            <wp:simplePos x="0" y="0"/>
            <wp:positionH relativeFrom="page">
              <wp:posOffset>1054901</wp:posOffset>
            </wp:positionH>
            <wp:positionV relativeFrom="paragraph">
              <wp:posOffset>120414</wp:posOffset>
            </wp:positionV>
            <wp:extent cx="58380" cy="72151"/>
            <wp:effectExtent l="0" t="0" r="0" b="0"/>
            <wp:wrapNone/>
            <wp:docPr id="1767" name="image13.png"/>
            <wp:cNvGraphicFramePr>
              <a:graphicFrameLocks noChangeAspect="1"/>
            </wp:cNvGraphicFramePr>
            <a:graphic>
              <a:graphicData uri="http://schemas.openxmlformats.org/drawingml/2006/picture">
                <pic:pic>
                  <pic:nvPicPr>
                    <pic:cNvPr id="176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spacing w:line="369" w:lineRule="auto" w:before="121"/>
        <w:ind w:left="1697" w:right="5244" w:hanging="557"/>
        <w:jc w:val="left"/>
        <w:rPr>
          <w:sz w:val="18"/>
        </w:rPr>
      </w:pPr>
      <w:r>
        <w:rPr/>
        <w:drawing>
          <wp:anchor distT="0" distB="0" distL="0" distR="0" allowOverlap="1" layoutInCell="1" locked="0" behindDoc="1" simplePos="0" relativeHeight="476104192">
            <wp:simplePos x="0" y="0"/>
            <wp:positionH relativeFrom="page">
              <wp:posOffset>1054901</wp:posOffset>
            </wp:positionH>
            <wp:positionV relativeFrom="paragraph">
              <wp:posOffset>337076</wp:posOffset>
            </wp:positionV>
            <wp:extent cx="58380" cy="72151"/>
            <wp:effectExtent l="0" t="0" r="0" b="0"/>
            <wp:wrapNone/>
            <wp:docPr id="1769" name="image13.png"/>
            <wp:cNvGraphicFramePr>
              <a:graphicFrameLocks noChangeAspect="1"/>
            </wp:cNvGraphicFramePr>
            <a:graphic>
              <a:graphicData uri="http://schemas.openxmlformats.org/drawingml/2006/picture">
                <pic:pic>
                  <pic:nvPicPr>
                    <pic:cNvPr id="177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I</w:t>
      </w:r>
      <w:r>
        <w:rPr>
          <w:spacing w:val="-2"/>
          <w:sz w:val="18"/>
        </w:rPr>
        <w:t> </w:t>
      </w:r>
      <w:r>
        <w:rPr>
          <w:sz w:val="18"/>
        </w:rPr>
        <w:t>have</w:t>
      </w:r>
      <w:r>
        <w:rPr>
          <w:spacing w:val="-2"/>
          <w:sz w:val="18"/>
        </w:rPr>
        <w:t> </w:t>
      </w:r>
      <w:r>
        <w:rPr>
          <w:sz w:val="18"/>
        </w:rPr>
        <w:t>the</w:t>
      </w:r>
      <w:r>
        <w:rPr>
          <w:spacing w:val="-1"/>
          <w:sz w:val="18"/>
        </w:rPr>
        <w:t> </w:t>
      </w:r>
      <w:r>
        <w:rPr>
          <w:sz w:val="18"/>
        </w:rPr>
        <w:t>tools</w:t>
      </w:r>
      <w:r>
        <w:rPr>
          <w:spacing w:val="-3"/>
          <w:sz w:val="18"/>
        </w:rPr>
        <w:t> </w:t>
      </w:r>
      <w:r>
        <w:rPr>
          <w:sz w:val="18"/>
        </w:rPr>
        <w:t>and</w:t>
      </w:r>
      <w:r>
        <w:rPr>
          <w:spacing w:val="-3"/>
          <w:sz w:val="18"/>
        </w:rPr>
        <w:t> </w:t>
      </w:r>
      <w:r>
        <w:rPr>
          <w:sz w:val="18"/>
        </w:rPr>
        <w:t>resources</w:t>
      </w:r>
      <w:r>
        <w:rPr>
          <w:spacing w:val="-2"/>
          <w:sz w:val="18"/>
        </w:rPr>
        <w:t> </w:t>
      </w:r>
      <w:r>
        <w:rPr>
          <w:sz w:val="18"/>
        </w:rPr>
        <w:t>to</w:t>
      </w:r>
      <w:r>
        <w:rPr>
          <w:spacing w:val="-2"/>
          <w:sz w:val="18"/>
        </w:rPr>
        <w:t> </w:t>
      </w:r>
      <w:r>
        <w:rPr>
          <w:sz w:val="18"/>
        </w:rPr>
        <w:t>do my</w:t>
      </w:r>
      <w:r>
        <w:rPr>
          <w:spacing w:val="-2"/>
          <w:sz w:val="18"/>
        </w:rPr>
        <w:t> </w:t>
      </w:r>
      <w:r>
        <w:rPr>
          <w:sz w:val="18"/>
        </w:rPr>
        <w:t>job</w:t>
      </w:r>
      <w:r>
        <w:rPr>
          <w:spacing w:val="-3"/>
          <w:sz w:val="18"/>
        </w:rPr>
        <w:t> </w:t>
      </w:r>
      <w:r>
        <w:rPr>
          <w:sz w:val="18"/>
        </w:rPr>
        <w:t>well.</w:t>
      </w:r>
      <w:r>
        <w:rPr>
          <w:spacing w:val="-1"/>
          <w:sz w:val="18"/>
        </w:rPr>
        <w:t> </w:t>
      </w:r>
      <w:r>
        <w:rPr>
          <w:sz w:val="18"/>
        </w:rPr>
        <w:t>(2)</w:t>
      </w:r>
      <w:r>
        <w:rPr>
          <w:spacing w:val="-47"/>
          <w:sz w:val="18"/>
        </w:rPr>
        <w:t> </w:t>
      </w:r>
      <w:r>
        <w:rPr>
          <w:sz w:val="18"/>
        </w:rPr>
        <w:t>Disagree</w:t>
      </w:r>
      <w:r>
        <w:rPr>
          <w:spacing w:val="-1"/>
          <w:sz w:val="18"/>
        </w:rPr>
        <w:t> </w:t>
      </w:r>
      <w:r>
        <w:rPr>
          <w:sz w:val="18"/>
        </w:rPr>
        <w:t>(1)</w:t>
      </w:r>
    </w:p>
    <w:p>
      <w:pPr>
        <w:spacing w:line="369" w:lineRule="auto" w:before="2"/>
        <w:ind w:left="1697" w:right="7257" w:firstLine="0"/>
        <w:jc w:val="left"/>
        <w:rPr>
          <w:sz w:val="18"/>
        </w:rPr>
      </w:pPr>
      <w:r>
        <w:rPr/>
        <w:drawing>
          <wp:anchor distT="0" distB="0" distL="0" distR="0" allowOverlap="1" layoutInCell="1" locked="0" behindDoc="0" simplePos="0" relativeHeight="16072704">
            <wp:simplePos x="0" y="0"/>
            <wp:positionH relativeFrom="page">
              <wp:posOffset>1054901</wp:posOffset>
            </wp:positionH>
            <wp:positionV relativeFrom="paragraph">
              <wp:posOffset>45103</wp:posOffset>
            </wp:positionV>
            <wp:extent cx="58380" cy="72151"/>
            <wp:effectExtent l="0" t="0" r="0" b="0"/>
            <wp:wrapNone/>
            <wp:docPr id="1771" name="image13.png"/>
            <wp:cNvGraphicFramePr>
              <a:graphicFrameLocks noChangeAspect="1"/>
            </wp:cNvGraphicFramePr>
            <a:graphic>
              <a:graphicData uri="http://schemas.openxmlformats.org/drawingml/2006/picture">
                <pic:pic>
                  <pic:nvPicPr>
                    <pic:cNvPr id="1772"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073216">
            <wp:simplePos x="0" y="0"/>
            <wp:positionH relativeFrom="page">
              <wp:posOffset>1054901</wp:posOffset>
            </wp:positionH>
            <wp:positionV relativeFrom="paragraph">
              <wp:posOffset>261511</wp:posOffset>
            </wp:positionV>
            <wp:extent cx="58380" cy="72151"/>
            <wp:effectExtent l="0" t="0" r="0" b="0"/>
            <wp:wrapNone/>
            <wp:docPr id="1773" name="image13.png"/>
            <wp:cNvGraphicFramePr>
              <a:graphicFrameLocks noChangeAspect="1"/>
            </wp:cNvGraphicFramePr>
            <a:graphic>
              <a:graphicData uri="http://schemas.openxmlformats.org/drawingml/2006/picture">
                <pic:pic>
                  <pic:nvPicPr>
                    <pic:cNvPr id="1774"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073728">
            <wp:simplePos x="0" y="0"/>
            <wp:positionH relativeFrom="page">
              <wp:posOffset>1054901</wp:posOffset>
            </wp:positionH>
            <wp:positionV relativeFrom="paragraph">
              <wp:posOffset>477919</wp:posOffset>
            </wp:positionV>
            <wp:extent cx="58380" cy="72151"/>
            <wp:effectExtent l="0" t="0" r="0" b="0"/>
            <wp:wrapNone/>
            <wp:docPr id="1775" name="image13.png"/>
            <wp:cNvGraphicFramePr>
              <a:graphicFrameLocks noChangeAspect="1"/>
            </wp:cNvGraphicFramePr>
            <a:graphic>
              <a:graphicData uri="http://schemas.openxmlformats.org/drawingml/2006/picture">
                <pic:pic>
                  <pic:nvPicPr>
                    <pic:cNvPr id="177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 disagree (2)</w:t>
      </w:r>
      <w:r>
        <w:rPr>
          <w:spacing w:val="1"/>
          <w:sz w:val="18"/>
        </w:rPr>
        <w:t> </w:t>
      </w:r>
      <w:r>
        <w:rPr>
          <w:sz w:val="18"/>
        </w:rPr>
        <w:t>Neither agree nor disagree (3)</w:t>
      </w:r>
      <w:r>
        <w:rPr>
          <w:spacing w:val="-48"/>
          <w:sz w:val="18"/>
        </w:rPr>
        <w:t> </w:t>
      </w:r>
      <w:r>
        <w:rPr>
          <w:sz w:val="18"/>
        </w:rPr>
        <w:t>Somewhat</w:t>
      </w:r>
      <w:r>
        <w:rPr>
          <w:spacing w:val="-3"/>
          <w:sz w:val="18"/>
        </w:rPr>
        <w:t> </w:t>
      </w:r>
      <w:r>
        <w:rPr>
          <w:sz w:val="18"/>
        </w:rPr>
        <w:t>agree</w:t>
      </w:r>
      <w:r>
        <w:rPr>
          <w:spacing w:val="3"/>
          <w:sz w:val="18"/>
        </w:rPr>
        <w:t> </w:t>
      </w:r>
      <w:r>
        <w:rPr>
          <w:sz w:val="18"/>
        </w:rPr>
        <w:t>(4)</w:t>
      </w:r>
    </w:p>
    <w:p>
      <w:pPr>
        <w:spacing w:before="3"/>
        <w:ind w:left="1697" w:right="0" w:firstLine="0"/>
        <w:jc w:val="left"/>
        <w:rPr>
          <w:sz w:val="18"/>
        </w:rPr>
      </w:pPr>
      <w:r>
        <w:rPr/>
        <w:drawing>
          <wp:anchor distT="0" distB="0" distL="0" distR="0" allowOverlap="1" layoutInCell="1" locked="0" behindDoc="0" simplePos="0" relativeHeight="16074240">
            <wp:simplePos x="0" y="0"/>
            <wp:positionH relativeFrom="page">
              <wp:posOffset>1054901</wp:posOffset>
            </wp:positionH>
            <wp:positionV relativeFrom="paragraph">
              <wp:posOffset>45738</wp:posOffset>
            </wp:positionV>
            <wp:extent cx="58380" cy="72151"/>
            <wp:effectExtent l="0" t="0" r="0" b="0"/>
            <wp:wrapNone/>
            <wp:docPr id="1777" name="image13.png"/>
            <wp:cNvGraphicFramePr>
              <a:graphicFrameLocks noChangeAspect="1"/>
            </wp:cNvGraphicFramePr>
            <a:graphic>
              <a:graphicData uri="http://schemas.openxmlformats.org/drawingml/2006/picture">
                <pic:pic>
                  <pic:nvPicPr>
                    <pic:cNvPr id="177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Agree (5)</w:t>
      </w:r>
    </w:p>
    <w:p>
      <w:pPr>
        <w:spacing w:before="120"/>
        <w:ind w:left="1697" w:right="0" w:firstLine="0"/>
        <w:jc w:val="left"/>
        <w:rPr>
          <w:sz w:val="18"/>
        </w:rPr>
      </w:pPr>
      <w:r>
        <w:rPr/>
        <w:drawing>
          <wp:anchor distT="0" distB="0" distL="0" distR="0" allowOverlap="1" layoutInCell="1" locked="0" behindDoc="0" simplePos="0" relativeHeight="16074752">
            <wp:simplePos x="0" y="0"/>
            <wp:positionH relativeFrom="page">
              <wp:posOffset>1054901</wp:posOffset>
            </wp:positionH>
            <wp:positionV relativeFrom="paragraph">
              <wp:posOffset>120033</wp:posOffset>
            </wp:positionV>
            <wp:extent cx="58380" cy="72151"/>
            <wp:effectExtent l="0" t="0" r="0" b="0"/>
            <wp:wrapNone/>
            <wp:docPr id="1779" name="image13.png"/>
            <wp:cNvGraphicFramePr>
              <a:graphicFrameLocks noChangeAspect="1"/>
            </wp:cNvGraphicFramePr>
            <a:graphic>
              <a:graphicData uri="http://schemas.openxmlformats.org/drawingml/2006/picture">
                <pic:pic>
                  <pic:nvPicPr>
                    <pic:cNvPr id="178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spacing w:line="369" w:lineRule="auto" w:before="120"/>
        <w:ind w:left="1697" w:right="6012" w:hanging="557"/>
        <w:jc w:val="left"/>
        <w:rPr>
          <w:sz w:val="18"/>
        </w:rPr>
      </w:pPr>
      <w:r>
        <w:rPr/>
        <w:drawing>
          <wp:anchor distT="0" distB="0" distL="0" distR="0" allowOverlap="1" layoutInCell="1" locked="0" behindDoc="1" simplePos="0" relativeHeight="476107264">
            <wp:simplePos x="0" y="0"/>
            <wp:positionH relativeFrom="page">
              <wp:posOffset>1054901</wp:posOffset>
            </wp:positionH>
            <wp:positionV relativeFrom="paragraph">
              <wp:posOffset>336441</wp:posOffset>
            </wp:positionV>
            <wp:extent cx="58380" cy="72151"/>
            <wp:effectExtent l="0" t="0" r="0" b="0"/>
            <wp:wrapNone/>
            <wp:docPr id="1781" name="image13.png"/>
            <wp:cNvGraphicFramePr>
              <a:graphicFrameLocks noChangeAspect="1"/>
            </wp:cNvGraphicFramePr>
            <a:graphic>
              <a:graphicData uri="http://schemas.openxmlformats.org/drawingml/2006/picture">
                <pic:pic>
                  <pic:nvPicPr>
                    <pic:cNvPr id="178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My job makes good use of my skills and abilities. (4)</w:t>
      </w:r>
      <w:r>
        <w:rPr>
          <w:spacing w:val="-48"/>
          <w:sz w:val="18"/>
        </w:rPr>
        <w:t> </w:t>
      </w:r>
      <w:r>
        <w:rPr>
          <w:sz w:val="18"/>
        </w:rPr>
        <w:t>Disagree</w:t>
      </w:r>
      <w:r>
        <w:rPr>
          <w:spacing w:val="-1"/>
          <w:sz w:val="18"/>
        </w:rPr>
        <w:t> </w:t>
      </w:r>
      <w:r>
        <w:rPr>
          <w:sz w:val="18"/>
        </w:rPr>
        <w:t>(1)</w:t>
      </w:r>
    </w:p>
    <w:p>
      <w:pPr>
        <w:spacing w:line="369" w:lineRule="auto" w:before="2"/>
        <w:ind w:left="1697" w:right="7257" w:firstLine="0"/>
        <w:jc w:val="left"/>
        <w:rPr>
          <w:sz w:val="18"/>
        </w:rPr>
      </w:pPr>
      <w:r>
        <w:rPr/>
        <w:drawing>
          <wp:anchor distT="0" distB="0" distL="0" distR="0" allowOverlap="1" layoutInCell="1" locked="0" behindDoc="0" simplePos="0" relativeHeight="16075776">
            <wp:simplePos x="0" y="0"/>
            <wp:positionH relativeFrom="page">
              <wp:posOffset>1054901</wp:posOffset>
            </wp:positionH>
            <wp:positionV relativeFrom="paragraph">
              <wp:posOffset>45103</wp:posOffset>
            </wp:positionV>
            <wp:extent cx="58380" cy="72151"/>
            <wp:effectExtent l="0" t="0" r="0" b="0"/>
            <wp:wrapNone/>
            <wp:docPr id="1783" name="image13.png"/>
            <wp:cNvGraphicFramePr>
              <a:graphicFrameLocks noChangeAspect="1"/>
            </wp:cNvGraphicFramePr>
            <a:graphic>
              <a:graphicData uri="http://schemas.openxmlformats.org/drawingml/2006/picture">
                <pic:pic>
                  <pic:nvPicPr>
                    <pic:cNvPr id="1784"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076288">
            <wp:simplePos x="0" y="0"/>
            <wp:positionH relativeFrom="page">
              <wp:posOffset>1054901</wp:posOffset>
            </wp:positionH>
            <wp:positionV relativeFrom="paragraph">
              <wp:posOffset>261511</wp:posOffset>
            </wp:positionV>
            <wp:extent cx="58380" cy="72151"/>
            <wp:effectExtent l="0" t="0" r="0" b="0"/>
            <wp:wrapNone/>
            <wp:docPr id="1785" name="image13.png"/>
            <wp:cNvGraphicFramePr>
              <a:graphicFrameLocks noChangeAspect="1"/>
            </wp:cNvGraphicFramePr>
            <a:graphic>
              <a:graphicData uri="http://schemas.openxmlformats.org/drawingml/2006/picture">
                <pic:pic>
                  <pic:nvPicPr>
                    <pic:cNvPr id="1786"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076800">
            <wp:simplePos x="0" y="0"/>
            <wp:positionH relativeFrom="page">
              <wp:posOffset>1054901</wp:posOffset>
            </wp:positionH>
            <wp:positionV relativeFrom="paragraph">
              <wp:posOffset>476395</wp:posOffset>
            </wp:positionV>
            <wp:extent cx="58380" cy="72151"/>
            <wp:effectExtent l="0" t="0" r="0" b="0"/>
            <wp:wrapNone/>
            <wp:docPr id="1787" name="image13.png"/>
            <wp:cNvGraphicFramePr>
              <a:graphicFrameLocks noChangeAspect="1"/>
            </wp:cNvGraphicFramePr>
            <a:graphic>
              <a:graphicData uri="http://schemas.openxmlformats.org/drawingml/2006/picture">
                <pic:pic>
                  <pic:nvPicPr>
                    <pic:cNvPr id="178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 disagree (2)</w:t>
      </w:r>
      <w:r>
        <w:rPr>
          <w:spacing w:val="1"/>
          <w:sz w:val="18"/>
        </w:rPr>
        <w:t> </w:t>
      </w:r>
      <w:r>
        <w:rPr>
          <w:sz w:val="18"/>
        </w:rPr>
        <w:t>Neither agree nor disagree (3)</w:t>
      </w:r>
      <w:r>
        <w:rPr>
          <w:spacing w:val="-48"/>
          <w:sz w:val="18"/>
        </w:rPr>
        <w:t> </w:t>
      </w:r>
      <w:r>
        <w:rPr>
          <w:sz w:val="18"/>
        </w:rPr>
        <w:t>Somewhat</w:t>
      </w:r>
      <w:r>
        <w:rPr>
          <w:spacing w:val="-3"/>
          <w:sz w:val="18"/>
        </w:rPr>
        <w:t> </w:t>
      </w:r>
      <w:r>
        <w:rPr>
          <w:sz w:val="18"/>
        </w:rPr>
        <w:t>agree</w:t>
      </w:r>
      <w:r>
        <w:rPr>
          <w:spacing w:val="3"/>
          <w:sz w:val="18"/>
        </w:rPr>
        <w:t> </w:t>
      </w:r>
      <w:r>
        <w:rPr>
          <w:sz w:val="18"/>
        </w:rPr>
        <w:t>(4)</w:t>
      </w:r>
    </w:p>
    <w:p>
      <w:pPr>
        <w:spacing w:before="0"/>
        <w:ind w:left="1697" w:right="0" w:firstLine="0"/>
        <w:jc w:val="left"/>
        <w:rPr>
          <w:sz w:val="18"/>
        </w:rPr>
      </w:pPr>
      <w:r>
        <w:rPr/>
        <w:drawing>
          <wp:anchor distT="0" distB="0" distL="0" distR="0" allowOverlap="1" layoutInCell="1" locked="0" behindDoc="0" simplePos="0" relativeHeight="16077312">
            <wp:simplePos x="0" y="0"/>
            <wp:positionH relativeFrom="page">
              <wp:posOffset>1054901</wp:posOffset>
            </wp:positionH>
            <wp:positionV relativeFrom="paragraph">
              <wp:posOffset>43579</wp:posOffset>
            </wp:positionV>
            <wp:extent cx="58380" cy="72151"/>
            <wp:effectExtent l="0" t="0" r="0" b="0"/>
            <wp:wrapNone/>
            <wp:docPr id="1789" name="image13.png"/>
            <wp:cNvGraphicFramePr>
              <a:graphicFrameLocks noChangeAspect="1"/>
            </wp:cNvGraphicFramePr>
            <a:graphic>
              <a:graphicData uri="http://schemas.openxmlformats.org/drawingml/2006/picture">
                <pic:pic>
                  <pic:nvPicPr>
                    <pic:cNvPr id="179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Agree (5)</w:t>
      </w:r>
    </w:p>
    <w:p>
      <w:pPr>
        <w:spacing w:after="0"/>
        <w:jc w:val="left"/>
        <w:rPr>
          <w:sz w:val="18"/>
        </w:rPr>
        <w:sectPr>
          <w:pgSz w:w="11910" w:h="16840"/>
          <w:pgMar w:header="0" w:footer="916" w:top="940" w:bottom="1140" w:left="300" w:right="0"/>
        </w:sectPr>
      </w:pPr>
    </w:p>
    <w:p>
      <w:pPr>
        <w:spacing w:before="75"/>
        <w:ind w:left="1697" w:right="0" w:firstLine="0"/>
        <w:jc w:val="left"/>
        <w:rPr>
          <w:sz w:val="18"/>
        </w:rPr>
      </w:pPr>
      <w:r>
        <w:rPr/>
        <w:drawing>
          <wp:anchor distT="0" distB="0" distL="0" distR="0" allowOverlap="1" layoutInCell="1" locked="0" behindDoc="0" simplePos="0" relativeHeight="16077824">
            <wp:simplePos x="0" y="0"/>
            <wp:positionH relativeFrom="page">
              <wp:posOffset>1054901</wp:posOffset>
            </wp:positionH>
            <wp:positionV relativeFrom="paragraph">
              <wp:posOffset>92535</wp:posOffset>
            </wp:positionV>
            <wp:extent cx="58380" cy="73869"/>
            <wp:effectExtent l="0" t="0" r="0" b="0"/>
            <wp:wrapNone/>
            <wp:docPr id="1791" name="image14.png"/>
            <wp:cNvGraphicFramePr>
              <a:graphicFrameLocks noChangeAspect="1"/>
            </wp:cNvGraphicFramePr>
            <a:graphic>
              <a:graphicData uri="http://schemas.openxmlformats.org/drawingml/2006/picture">
                <pic:pic>
                  <pic:nvPicPr>
                    <pic:cNvPr id="1792"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spacing w:line="372" w:lineRule="auto" w:before="121"/>
        <w:ind w:left="1697" w:right="7063" w:hanging="557"/>
        <w:jc w:val="left"/>
        <w:rPr>
          <w:sz w:val="18"/>
        </w:rPr>
      </w:pPr>
      <w:r>
        <w:rPr/>
        <w:drawing>
          <wp:anchor distT="0" distB="0" distL="0" distR="0" allowOverlap="1" layoutInCell="1" locked="0" behindDoc="1" simplePos="0" relativeHeight="476110336">
            <wp:simplePos x="0" y="0"/>
            <wp:positionH relativeFrom="page">
              <wp:posOffset>1054901</wp:posOffset>
            </wp:positionH>
            <wp:positionV relativeFrom="paragraph">
              <wp:posOffset>338347</wp:posOffset>
            </wp:positionV>
            <wp:extent cx="58380" cy="72150"/>
            <wp:effectExtent l="0" t="0" r="0" b="0"/>
            <wp:wrapNone/>
            <wp:docPr id="1793" name="image13.png"/>
            <wp:cNvGraphicFramePr>
              <a:graphicFrameLocks noChangeAspect="1"/>
            </wp:cNvGraphicFramePr>
            <a:graphic>
              <a:graphicData uri="http://schemas.openxmlformats.org/drawingml/2006/picture">
                <pic:pic>
                  <pic:nvPicPr>
                    <pic:cNvPr id="1794" name="image13.png"/>
                    <pic:cNvPicPr/>
                  </pic:nvPicPr>
                  <pic:blipFill>
                    <a:blip r:embed="rId41" cstate="print"/>
                    <a:stretch>
                      <a:fillRect/>
                    </a:stretch>
                  </pic:blipFill>
                  <pic:spPr>
                    <a:xfrm>
                      <a:off x="0" y="0"/>
                      <a:ext cx="58380" cy="72150"/>
                    </a:xfrm>
                    <a:prstGeom prst="rect">
                      <a:avLst/>
                    </a:prstGeom>
                  </pic:spPr>
                </pic:pic>
              </a:graphicData>
            </a:graphic>
          </wp:anchor>
        </w:drawing>
      </w:r>
      <w:r>
        <w:rPr>
          <w:sz w:val="18"/>
        </w:rPr>
        <w:t>I have clearly defined quality goals. (3)</w:t>
      </w:r>
      <w:r>
        <w:rPr>
          <w:spacing w:val="-48"/>
          <w:sz w:val="18"/>
        </w:rPr>
        <w:t> </w:t>
      </w:r>
      <w:r>
        <w:rPr>
          <w:sz w:val="18"/>
        </w:rPr>
        <w:t>Disagree</w:t>
      </w:r>
      <w:r>
        <w:rPr>
          <w:spacing w:val="-1"/>
          <w:sz w:val="18"/>
        </w:rPr>
        <w:t> </w:t>
      </w:r>
      <w:r>
        <w:rPr>
          <w:sz w:val="18"/>
        </w:rPr>
        <w:t>(1)</w:t>
      </w:r>
    </w:p>
    <w:p>
      <w:pPr>
        <w:spacing w:line="369" w:lineRule="auto" w:before="0"/>
        <w:ind w:left="1697" w:right="7257" w:firstLine="0"/>
        <w:jc w:val="left"/>
        <w:rPr>
          <w:sz w:val="18"/>
        </w:rPr>
      </w:pPr>
      <w:r>
        <w:rPr/>
        <w:drawing>
          <wp:anchor distT="0" distB="0" distL="0" distR="0" allowOverlap="1" layoutInCell="1" locked="0" behindDoc="0" simplePos="0" relativeHeight="16078848">
            <wp:simplePos x="0" y="0"/>
            <wp:positionH relativeFrom="page">
              <wp:posOffset>1054901</wp:posOffset>
            </wp:positionH>
            <wp:positionV relativeFrom="paragraph">
              <wp:posOffset>44656</wp:posOffset>
            </wp:positionV>
            <wp:extent cx="58380" cy="73869"/>
            <wp:effectExtent l="0" t="0" r="0" b="0"/>
            <wp:wrapNone/>
            <wp:docPr id="1795" name="image14.png"/>
            <wp:cNvGraphicFramePr>
              <a:graphicFrameLocks noChangeAspect="1"/>
            </wp:cNvGraphicFramePr>
            <a:graphic>
              <a:graphicData uri="http://schemas.openxmlformats.org/drawingml/2006/picture">
                <pic:pic>
                  <pic:nvPicPr>
                    <pic:cNvPr id="1796" name="image14.png"/>
                    <pic:cNvPicPr/>
                  </pic:nvPicPr>
                  <pic:blipFill>
                    <a:blip r:embed="rId43" cstate="print"/>
                    <a:stretch>
                      <a:fillRect/>
                    </a:stretch>
                  </pic:blipFill>
                  <pic:spPr>
                    <a:xfrm>
                      <a:off x="0" y="0"/>
                      <a:ext cx="58380" cy="73869"/>
                    </a:xfrm>
                    <a:prstGeom prst="rect">
                      <a:avLst/>
                    </a:prstGeom>
                  </pic:spPr>
                </pic:pic>
              </a:graphicData>
            </a:graphic>
          </wp:anchor>
        </w:drawing>
      </w:r>
      <w:r>
        <w:rPr/>
        <w:drawing>
          <wp:anchor distT="0" distB="0" distL="0" distR="0" allowOverlap="1" layoutInCell="1" locked="0" behindDoc="0" simplePos="0" relativeHeight="16079360">
            <wp:simplePos x="0" y="0"/>
            <wp:positionH relativeFrom="page">
              <wp:posOffset>1054901</wp:posOffset>
            </wp:positionH>
            <wp:positionV relativeFrom="paragraph">
              <wp:posOffset>261258</wp:posOffset>
            </wp:positionV>
            <wp:extent cx="58380" cy="72151"/>
            <wp:effectExtent l="0" t="0" r="0" b="0"/>
            <wp:wrapNone/>
            <wp:docPr id="1797" name="image13.png"/>
            <wp:cNvGraphicFramePr>
              <a:graphicFrameLocks noChangeAspect="1"/>
            </wp:cNvGraphicFramePr>
            <a:graphic>
              <a:graphicData uri="http://schemas.openxmlformats.org/drawingml/2006/picture">
                <pic:pic>
                  <pic:nvPicPr>
                    <pic:cNvPr id="1798"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079872">
            <wp:simplePos x="0" y="0"/>
            <wp:positionH relativeFrom="page">
              <wp:posOffset>1054901</wp:posOffset>
            </wp:positionH>
            <wp:positionV relativeFrom="paragraph">
              <wp:posOffset>477667</wp:posOffset>
            </wp:positionV>
            <wp:extent cx="58380" cy="72150"/>
            <wp:effectExtent l="0" t="0" r="0" b="0"/>
            <wp:wrapNone/>
            <wp:docPr id="1799" name="image13.png"/>
            <wp:cNvGraphicFramePr>
              <a:graphicFrameLocks noChangeAspect="1"/>
            </wp:cNvGraphicFramePr>
            <a:graphic>
              <a:graphicData uri="http://schemas.openxmlformats.org/drawingml/2006/picture">
                <pic:pic>
                  <pic:nvPicPr>
                    <pic:cNvPr id="1800" name="image13.png"/>
                    <pic:cNvPicPr/>
                  </pic:nvPicPr>
                  <pic:blipFill>
                    <a:blip r:embed="rId41" cstate="print"/>
                    <a:stretch>
                      <a:fillRect/>
                    </a:stretch>
                  </pic:blipFill>
                  <pic:spPr>
                    <a:xfrm>
                      <a:off x="0" y="0"/>
                      <a:ext cx="58380" cy="72150"/>
                    </a:xfrm>
                    <a:prstGeom prst="rect">
                      <a:avLst/>
                    </a:prstGeom>
                  </pic:spPr>
                </pic:pic>
              </a:graphicData>
            </a:graphic>
          </wp:anchor>
        </w:drawing>
      </w:r>
      <w:r>
        <w:rPr>
          <w:sz w:val="18"/>
        </w:rPr>
        <w:t>Somewhat disagree (2)</w:t>
      </w:r>
      <w:r>
        <w:rPr>
          <w:spacing w:val="1"/>
          <w:sz w:val="18"/>
        </w:rPr>
        <w:t> </w:t>
      </w:r>
      <w:r>
        <w:rPr>
          <w:sz w:val="18"/>
        </w:rPr>
        <w:t>Neither agree nor disagree (3)</w:t>
      </w:r>
      <w:r>
        <w:rPr>
          <w:spacing w:val="-47"/>
          <w:sz w:val="18"/>
        </w:rPr>
        <w:t> </w:t>
      </w:r>
      <w:r>
        <w:rPr>
          <w:sz w:val="18"/>
        </w:rPr>
        <w:t>Somewhat</w:t>
      </w:r>
      <w:r>
        <w:rPr>
          <w:spacing w:val="-3"/>
          <w:sz w:val="18"/>
        </w:rPr>
        <w:t> </w:t>
      </w:r>
      <w:r>
        <w:rPr>
          <w:sz w:val="18"/>
        </w:rPr>
        <w:t>agree</w:t>
      </w:r>
      <w:r>
        <w:rPr>
          <w:spacing w:val="3"/>
          <w:sz w:val="18"/>
        </w:rPr>
        <w:t> </w:t>
      </w:r>
      <w:r>
        <w:rPr>
          <w:sz w:val="18"/>
        </w:rPr>
        <w:t>(4)</w:t>
      </w:r>
    </w:p>
    <w:p>
      <w:pPr>
        <w:spacing w:before="0"/>
        <w:ind w:left="1697" w:right="0" w:firstLine="0"/>
        <w:jc w:val="left"/>
        <w:rPr>
          <w:sz w:val="18"/>
        </w:rPr>
      </w:pPr>
      <w:r>
        <w:rPr/>
        <w:drawing>
          <wp:anchor distT="0" distB="0" distL="0" distR="0" allowOverlap="1" layoutInCell="1" locked="0" behindDoc="0" simplePos="0" relativeHeight="16080384">
            <wp:simplePos x="0" y="0"/>
            <wp:positionH relativeFrom="page">
              <wp:posOffset>1054901</wp:posOffset>
            </wp:positionH>
            <wp:positionV relativeFrom="paragraph">
              <wp:posOffset>44850</wp:posOffset>
            </wp:positionV>
            <wp:extent cx="58380" cy="72151"/>
            <wp:effectExtent l="0" t="0" r="0" b="0"/>
            <wp:wrapNone/>
            <wp:docPr id="1801" name="image13.png"/>
            <wp:cNvGraphicFramePr>
              <a:graphicFrameLocks noChangeAspect="1"/>
            </wp:cNvGraphicFramePr>
            <a:graphic>
              <a:graphicData uri="http://schemas.openxmlformats.org/drawingml/2006/picture">
                <pic:pic>
                  <pic:nvPicPr>
                    <pic:cNvPr id="180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Agree (5)</w:t>
      </w:r>
    </w:p>
    <w:p>
      <w:pPr>
        <w:spacing w:before="118"/>
        <w:ind w:left="1697" w:right="0" w:firstLine="0"/>
        <w:jc w:val="left"/>
        <w:rPr>
          <w:sz w:val="18"/>
        </w:rPr>
      </w:pPr>
      <w:r>
        <w:rPr/>
        <w:drawing>
          <wp:anchor distT="0" distB="0" distL="0" distR="0" allowOverlap="1" layoutInCell="1" locked="0" behindDoc="0" simplePos="0" relativeHeight="16080896">
            <wp:simplePos x="0" y="0"/>
            <wp:positionH relativeFrom="page">
              <wp:posOffset>1054901</wp:posOffset>
            </wp:positionH>
            <wp:positionV relativeFrom="paragraph">
              <wp:posOffset>119779</wp:posOffset>
            </wp:positionV>
            <wp:extent cx="58380" cy="72151"/>
            <wp:effectExtent l="0" t="0" r="0" b="0"/>
            <wp:wrapNone/>
            <wp:docPr id="1803" name="image13.png"/>
            <wp:cNvGraphicFramePr>
              <a:graphicFrameLocks noChangeAspect="1"/>
            </wp:cNvGraphicFramePr>
            <a:graphic>
              <a:graphicData uri="http://schemas.openxmlformats.org/drawingml/2006/picture">
                <pic:pic>
                  <pic:nvPicPr>
                    <pic:cNvPr id="180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spacing w:line="369" w:lineRule="auto" w:before="120"/>
        <w:ind w:left="1697" w:right="3016" w:hanging="557"/>
        <w:jc w:val="left"/>
        <w:rPr>
          <w:sz w:val="18"/>
        </w:rPr>
      </w:pPr>
      <w:r>
        <w:rPr/>
        <w:drawing>
          <wp:anchor distT="0" distB="0" distL="0" distR="0" allowOverlap="1" layoutInCell="1" locked="0" behindDoc="1" simplePos="0" relativeHeight="476113408">
            <wp:simplePos x="0" y="0"/>
            <wp:positionH relativeFrom="page">
              <wp:posOffset>1054901</wp:posOffset>
            </wp:positionH>
            <wp:positionV relativeFrom="paragraph">
              <wp:posOffset>337457</wp:posOffset>
            </wp:positionV>
            <wp:extent cx="58380" cy="72151"/>
            <wp:effectExtent l="0" t="0" r="0" b="0"/>
            <wp:wrapNone/>
            <wp:docPr id="1805" name="image13.png"/>
            <wp:cNvGraphicFramePr>
              <a:graphicFrameLocks noChangeAspect="1"/>
            </wp:cNvGraphicFramePr>
            <a:graphic>
              <a:graphicData uri="http://schemas.openxmlformats.org/drawingml/2006/picture">
                <pic:pic>
                  <pic:nvPicPr>
                    <pic:cNvPr id="180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The</w:t>
      </w:r>
      <w:r>
        <w:rPr>
          <w:spacing w:val="-4"/>
          <w:sz w:val="18"/>
        </w:rPr>
        <w:t> </w:t>
      </w:r>
      <w:r>
        <w:rPr>
          <w:sz w:val="18"/>
        </w:rPr>
        <w:t>practice/service</w:t>
      </w:r>
      <w:r>
        <w:rPr>
          <w:spacing w:val="-4"/>
          <w:sz w:val="18"/>
        </w:rPr>
        <w:t> </w:t>
      </w:r>
      <w:r>
        <w:rPr>
          <w:sz w:val="18"/>
        </w:rPr>
        <w:t>leaders</w:t>
      </w:r>
      <w:r>
        <w:rPr>
          <w:spacing w:val="-5"/>
          <w:sz w:val="18"/>
        </w:rPr>
        <w:t> </w:t>
      </w:r>
      <w:r>
        <w:rPr>
          <w:sz w:val="18"/>
        </w:rPr>
        <w:t>visibly</w:t>
      </w:r>
      <w:r>
        <w:rPr>
          <w:spacing w:val="-5"/>
          <w:sz w:val="18"/>
        </w:rPr>
        <w:t> </w:t>
      </w:r>
      <w:r>
        <w:rPr>
          <w:sz w:val="18"/>
        </w:rPr>
        <w:t>demonstrate</w:t>
      </w:r>
      <w:r>
        <w:rPr>
          <w:spacing w:val="-4"/>
          <w:sz w:val="18"/>
        </w:rPr>
        <w:t> </w:t>
      </w:r>
      <w:r>
        <w:rPr>
          <w:sz w:val="18"/>
        </w:rPr>
        <w:t>a</w:t>
      </w:r>
      <w:r>
        <w:rPr>
          <w:spacing w:val="-4"/>
          <w:sz w:val="18"/>
        </w:rPr>
        <w:t> </w:t>
      </w:r>
      <w:r>
        <w:rPr>
          <w:sz w:val="18"/>
        </w:rPr>
        <w:t>commitment</w:t>
      </w:r>
      <w:r>
        <w:rPr>
          <w:spacing w:val="-6"/>
          <w:sz w:val="18"/>
        </w:rPr>
        <w:t> </w:t>
      </w:r>
      <w:r>
        <w:rPr>
          <w:sz w:val="18"/>
        </w:rPr>
        <w:t>to</w:t>
      </w:r>
      <w:r>
        <w:rPr>
          <w:spacing w:val="-5"/>
          <w:sz w:val="18"/>
        </w:rPr>
        <w:t> </w:t>
      </w:r>
      <w:r>
        <w:rPr>
          <w:sz w:val="18"/>
        </w:rPr>
        <w:t>quality.</w:t>
      </w:r>
      <w:r>
        <w:rPr>
          <w:spacing w:val="-4"/>
          <w:sz w:val="18"/>
        </w:rPr>
        <w:t> </w:t>
      </w:r>
      <w:r>
        <w:rPr>
          <w:sz w:val="18"/>
        </w:rPr>
        <w:t>(5)</w:t>
      </w:r>
      <w:r>
        <w:rPr>
          <w:spacing w:val="-47"/>
          <w:sz w:val="18"/>
        </w:rPr>
        <w:t> </w:t>
      </w:r>
      <w:r>
        <w:rPr>
          <w:sz w:val="18"/>
        </w:rPr>
        <w:t>Disagree</w:t>
      </w:r>
      <w:r>
        <w:rPr>
          <w:spacing w:val="-1"/>
          <w:sz w:val="18"/>
        </w:rPr>
        <w:t> </w:t>
      </w:r>
      <w:r>
        <w:rPr>
          <w:sz w:val="18"/>
        </w:rPr>
        <w:t>(1)</w:t>
      </w:r>
    </w:p>
    <w:p>
      <w:pPr>
        <w:spacing w:line="372" w:lineRule="auto" w:before="2"/>
        <w:ind w:left="1697" w:right="7257" w:firstLine="0"/>
        <w:jc w:val="left"/>
        <w:rPr>
          <w:sz w:val="18"/>
        </w:rPr>
      </w:pPr>
      <w:r>
        <w:rPr/>
        <w:drawing>
          <wp:anchor distT="0" distB="0" distL="0" distR="0" allowOverlap="1" layoutInCell="1" locked="0" behindDoc="0" simplePos="0" relativeHeight="16081920">
            <wp:simplePos x="0" y="0"/>
            <wp:positionH relativeFrom="page">
              <wp:posOffset>1054901</wp:posOffset>
            </wp:positionH>
            <wp:positionV relativeFrom="paragraph">
              <wp:posOffset>46119</wp:posOffset>
            </wp:positionV>
            <wp:extent cx="58380" cy="72151"/>
            <wp:effectExtent l="0" t="0" r="0" b="0"/>
            <wp:wrapNone/>
            <wp:docPr id="1807" name="image13.png"/>
            <wp:cNvGraphicFramePr>
              <a:graphicFrameLocks noChangeAspect="1"/>
            </wp:cNvGraphicFramePr>
            <a:graphic>
              <a:graphicData uri="http://schemas.openxmlformats.org/drawingml/2006/picture">
                <pic:pic>
                  <pic:nvPicPr>
                    <pic:cNvPr id="1808"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082432">
            <wp:simplePos x="0" y="0"/>
            <wp:positionH relativeFrom="page">
              <wp:posOffset>1054901</wp:posOffset>
            </wp:positionH>
            <wp:positionV relativeFrom="paragraph">
              <wp:posOffset>262335</wp:posOffset>
            </wp:positionV>
            <wp:extent cx="58380" cy="73867"/>
            <wp:effectExtent l="0" t="0" r="0" b="0"/>
            <wp:wrapNone/>
            <wp:docPr id="1809" name="image14.png"/>
            <wp:cNvGraphicFramePr>
              <a:graphicFrameLocks noChangeAspect="1"/>
            </wp:cNvGraphicFramePr>
            <a:graphic>
              <a:graphicData uri="http://schemas.openxmlformats.org/drawingml/2006/picture">
                <pic:pic>
                  <pic:nvPicPr>
                    <pic:cNvPr id="1810" name="image14.png"/>
                    <pic:cNvPicPr/>
                  </pic:nvPicPr>
                  <pic:blipFill>
                    <a:blip r:embed="rId43" cstate="print"/>
                    <a:stretch>
                      <a:fillRect/>
                    </a:stretch>
                  </pic:blipFill>
                  <pic:spPr>
                    <a:xfrm>
                      <a:off x="0" y="0"/>
                      <a:ext cx="58380" cy="73867"/>
                    </a:xfrm>
                    <a:prstGeom prst="rect">
                      <a:avLst/>
                    </a:prstGeom>
                  </pic:spPr>
                </pic:pic>
              </a:graphicData>
            </a:graphic>
          </wp:anchor>
        </w:drawing>
      </w:r>
      <w:r>
        <w:rPr/>
        <w:drawing>
          <wp:anchor distT="0" distB="0" distL="0" distR="0" allowOverlap="1" layoutInCell="1" locked="0" behindDoc="0" simplePos="0" relativeHeight="16082944">
            <wp:simplePos x="0" y="0"/>
            <wp:positionH relativeFrom="page">
              <wp:posOffset>1054901</wp:posOffset>
            </wp:positionH>
            <wp:positionV relativeFrom="paragraph">
              <wp:posOffset>478935</wp:posOffset>
            </wp:positionV>
            <wp:extent cx="58380" cy="72151"/>
            <wp:effectExtent l="0" t="0" r="0" b="0"/>
            <wp:wrapNone/>
            <wp:docPr id="1811" name="image13.png"/>
            <wp:cNvGraphicFramePr>
              <a:graphicFrameLocks noChangeAspect="1"/>
            </wp:cNvGraphicFramePr>
            <a:graphic>
              <a:graphicData uri="http://schemas.openxmlformats.org/drawingml/2006/picture">
                <pic:pic>
                  <pic:nvPicPr>
                    <pic:cNvPr id="181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 disagree (2)</w:t>
      </w:r>
      <w:r>
        <w:rPr>
          <w:spacing w:val="1"/>
          <w:sz w:val="18"/>
        </w:rPr>
        <w:t> </w:t>
      </w:r>
      <w:r>
        <w:rPr>
          <w:sz w:val="18"/>
        </w:rPr>
        <w:t>Neither agree nor disagree (3)</w:t>
      </w:r>
      <w:r>
        <w:rPr>
          <w:spacing w:val="-48"/>
          <w:sz w:val="18"/>
        </w:rPr>
        <w:t> </w:t>
      </w:r>
      <w:r>
        <w:rPr>
          <w:sz w:val="18"/>
        </w:rPr>
        <w:t>Somewhat</w:t>
      </w:r>
      <w:r>
        <w:rPr>
          <w:spacing w:val="-3"/>
          <w:sz w:val="18"/>
        </w:rPr>
        <w:t> </w:t>
      </w:r>
      <w:r>
        <w:rPr>
          <w:sz w:val="18"/>
        </w:rPr>
        <w:t>agree</w:t>
      </w:r>
      <w:r>
        <w:rPr>
          <w:spacing w:val="3"/>
          <w:sz w:val="18"/>
        </w:rPr>
        <w:t> </w:t>
      </w:r>
      <w:r>
        <w:rPr>
          <w:sz w:val="18"/>
        </w:rPr>
        <w:t>(4)</w:t>
      </w:r>
    </w:p>
    <w:p>
      <w:pPr>
        <w:spacing w:line="217" w:lineRule="exact" w:before="0"/>
        <w:ind w:left="1697" w:right="0" w:firstLine="0"/>
        <w:jc w:val="left"/>
        <w:rPr>
          <w:sz w:val="18"/>
        </w:rPr>
      </w:pPr>
      <w:r>
        <w:rPr/>
        <w:drawing>
          <wp:anchor distT="0" distB="0" distL="0" distR="0" allowOverlap="1" layoutInCell="1" locked="0" behindDoc="0" simplePos="0" relativeHeight="16083456">
            <wp:simplePos x="0" y="0"/>
            <wp:positionH relativeFrom="page">
              <wp:posOffset>1054901</wp:posOffset>
            </wp:positionH>
            <wp:positionV relativeFrom="paragraph">
              <wp:posOffset>42421</wp:posOffset>
            </wp:positionV>
            <wp:extent cx="58380" cy="72151"/>
            <wp:effectExtent l="0" t="0" r="0" b="0"/>
            <wp:wrapNone/>
            <wp:docPr id="1813" name="image13.png"/>
            <wp:cNvGraphicFramePr>
              <a:graphicFrameLocks noChangeAspect="1"/>
            </wp:cNvGraphicFramePr>
            <a:graphic>
              <a:graphicData uri="http://schemas.openxmlformats.org/drawingml/2006/picture">
                <pic:pic>
                  <pic:nvPicPr>
                    <pic:cNvPr id="181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Agree (5)</w:t>
      </w:r>
    </w:p>
    <w:p>
      <w:pPr>
        <w:spacing w:before="120"/>
        <w:ind w:left="1697" w:right="0" w:firstLine="0"/>
        <w:jc w:val="left"/>
        <w:rPr>
          <w:sz w:val="18"/>
        </w:rPr>
      </w:pPr>
      <w:r>
        <w:rPr/>
        <w:drawing>
          <wp:anchor distT="0" distB="0" distL="0" distR="0" allowOverlap="1" layoutInCell="1" locked="0" behindDoc="0" simplePos="0" relativeHeight="16083968">
            <wp:simplePos x="0" y="0"/>
            <wp:positionH relativeFrom="page">
              <wp:posOffset>1054901</wp:posOffset>
            </wp:positionH>
            <wp:positionV relativeFrom="paragraph">
              <wp:posOffset>120669</wp:posOffset>
            </wp:positionV>
            <wp:extent cx="58380" cy="72150"/>
            <wp:effectExtent l="0" t="0" r="0" b="0"/>
            <wp:wrapNone/>
            <wp:docPr id="1815" name="image13.png"/>
            <wp:cNvGraphicFramePr>
              <a:graphicFrameLocks noChangeAspect="1"/>
            </wp:cNvGraphicFramePr>
            <a:graphic>
              <a:graphicData uri="http://schemas.openxmlformats.org/drawingml/2006/picture">
                <pic:pic>
                  <pic:nvPicPr>
                    <pic:cNvPr id="1816" name="image13.png"/>
                    <pic:cNvPicPr/>
                  </pic:nvPicPr>
                  <pic:blipFill>
                    <a:blip r:embed="rId41" cstate="print"/>
                    <a:stretch>
                      <a:fillRect/>
                    </a:stretch>
                  </pic:blipFill>
                  <pic:spPr>
                    <a:xfrm>
                      <a:off x="0" y="0"/>
                      <a:ext cx="58380" cy="72150"/>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spacing w:line="369" w:lineRule="auto" w:before="120"/>
        <w:ind w:left="1697" w:right="2629" w:hanging="557"/>
        <w:jc w:val="left"/>
        <w:rPr>
          <w:sz w:val="18"/>
        </w:rPr>
      </w:pPr>
      <w:r>
        <w:rPr/>
        <w:drawing>
          <wp:anchor distT="0" distB="0" distL="0" distR="0" allowOverlap="1" layoutInCell="1" locked="0" behindDoc="1" simplePos="0" relativeHeight="476116480">
            <wp:simplePos x="0" y="0"/>
            <wp:positionH relativeFrom="page">
              <wp:posOffset>1054901</wp:posOffset>
            </wp:positionH>
            <wp:positionV relativeFrom="paragraph">
              <wp:posOffset>337076</wp:posOffset>
            </wp:positionV>
            <wp:extent cx="58380" cy="72151"/>
            <wp:effectExtent l="0" t="0" r="0" b="0"/>
            <wp:wrapNone/>
            <wp:docPr id="1817" name="image13.png"/>
            <wp:cNvGraphicFramePr>
              <a:graphicFrameLocks noChangeAspect="1"/>
            </wp:cNvGraphicFramePr>
            <a:graphic>
              <a:graphicData uri="http://schemas.openxmlformats.org/drawingml/2006/picture">
                <pic:pic>
                  <pic:nvPicPr>
                    <pic:cNvPr id="181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The</w:t>
      </w:r>
      <w:r>
        <w:rPr>
          <w:spacing w:val="-4"/>
          <w:sz w:val="18"/>
        </w:rPr>
        <w:t> </w:t>
      </w:r>
      <w:r>
        <w:rPr>
          <w:sz w:val="18"/>
        </w:rPr>
        <w:t>practice/service</w:t>
      </w:r>
      <w:r>
        <w:rPr>
          <w:spacing w:val="-4"/>
          <w:sz w:val="18"/>
        </w:rPr>
        <w:t> </w:t>
      </w:r>
      <w:r>
        <w:rPr>
          <w:sz w:val="18"/>
        </w:rPr>
        <w:t>leaders</w:t>
      </w:r>
      <w:r>
        <w:rPr>
          <w:spacing w:val="-5"/>
          <w:sz w:val="18"/>
        </w:rPr>
        <w:t> </w:t>
      </w:r>
      <w:r>
        <w:rPr>
          <w:sz w:val="18"/>
        </w:rPr>
        <w:t>keep</w:t>
      </w:r>
      <w:r>
        <w:rPr>
          <w:spacing w:val="-5"/>
          <w:sz w:val="18"/>
        </w:rPr>
        <w:t> </w:t>
      </w:r>
      <w:r>
        <w:rPr>
          <w:sz w:val="18"/>
        </w:rPr>
        <w:t>employees</w:t>
      </w:r>
      <w:r>
        <w:rPr>
          <w:spacing w:val="-5"/>
          <w:sz w:val="18"/>
        </w:rPr>
        <w:t> </w:t>
      </w:r>
      <w:r>
        <w:rPr>
          <w:sz w:val="18"/>
        </w:rPr>
        <w:t>informed</w:t>
      </w:r>
      <w:r>
        <w:rPr>
          <w:spacing w:val="-5"/>
          <w:sz w:val="18"/>
        </w:rPr>
        <w:t> </w:t>
      </w:r>
      <w:r>
        <w:rPr>
          <w:sz w:val="18"/>
        </w:rPr>
        <w:t>about</w:t>
      </w:r>
      <w:r>
        <w:rPr>
          <w:spacing w:val="-6"/>
          <w:sz w:val="18"/>
        </w:rPr>
        <w:t> </w:t>
      </w:r>
      <w:r>
        <w:rPr>
          <w:sz w:val="18"/>
        </w:rPr>
        <w:t>matters</w:t>
      </w:r>
      <w:r>
        <w:rPr>
          <w:spacing w:val="-5"/>
          <w:sz w:val="18"/>
        </w:rPr>
        <w:t> </w:t>
      </w:r>
      <w:r>
        <w:rPr>
          <w:sz w:val="18"/>
        </w:rPr>
        <w:t>affecting</w:t>
      </w:r>
      <w:r>
        <w:rPr>
          <w:spacing w:val="-6"/>
          <w:sz w:val="18"/>
        </w:rPr>
        <w:t> </w:t>
      </w:r>
      <w:r>
        <w:rPr>
          <w:sz w:val="18"/>
        </w:rPr>
        <w:t>us.</w:t>
      </w:r>
      <w:r>
        <w:rPr>
          <w:spacing w:val="-4"/>
          <w:sz w:val="18"/>
        </w:rPr>
        <w:t> </w:t>
      </w:r>
      <w:r>
        <w:rPr>
          <w:sz w:val="18"/>
        </w:rPr>
        <w:t>(6)</w:t>
      </w:r>
      <w:r>
        <w:rPr>
          <w:spacing w:val="-46"/>
          <w:sz w:val="18"/>
        </w:rPr>
        <w:t> </w:t>
      </w:r>
      <w:r>
        <w:rPr>
          <w:sz w:val="18"/>
        </w:rPr>
        <w:t>Disagree</w:t>
      </w:r>
      <w:r>
        <w:rPr>
          <w:spacing w:val="-1"/>
          <w:sz w:val="18"/>
        </w:rPr>
        <w:t> </w:t>
      </w:r>
      <w:r>
        <w:rPr>
          <w:sz w:val="18"/>
        </w:rPr>
        <w:t>(1)</w:t>
      </w:r>
    </w:p>
    <w:p>
      <w:pPr>
        <w:spacing w:line="369" w:lineRule="auto" w:before="2"/>
        <w:ind w:left="1697" w:right="7257" w:firstLine="0"/>
        <w:jc w:val="left"/>
        <w:rPr>
          <w:sz w:val="18"/>
        </w:rPr>
      </w:pPr>
      <w:r>
        <w:rPr/>
        <w:drawing>
          <wp:anchor distT="0" distB="0" distL="0" distR="0" allowOverlap="1" layoutInCell="1" locked="0" behindDoc="0" simplePos="0" relativeHeight="16084992">
            <wp:simplePos x="0" y="0"/>
            <wp:positionH relativeFrom="page">
              <wp:posOffset>1054901</wp:posOffset>
            </wp:positionH>
            <wp:positionV relativeFrom="paragraph">
              <wp:posOffset>45738</wp:posOffset>
            </wp:positionV>
            <wp:extent cx="58380" cy="72151"/>
            <wp:effectExtent l="0" t="0" r="0" b="0"/>
            <wp:wrapNone/>
            <wp:docPr id="1819" name="image13.png"/>
            <wp:cNvGraphicFramePr>
              <a:graphicFrameLocks noChangeAspect="1"/>
            </wp:cNvGraphicFramePr>
            <a:graphic>
              <a:graphicData uri="http://schemas.openxmlformats.org/drawingml/2006/picture">
                <pic:pic>
                  <pic:nvPicPr>
                    <pic:cNvPr id="1820"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085504">
            <wp:simplePos x="0" y="0"/>
            <wp:positionH relativeFrom="page">
              <wp:posOffset>1054901</wp:posOffset>
            </wp:positionH>
            <wp:positionV relativeFrom="paragraph">
              <wp:posOffset>262146</wp:posOffset>
            </wp:positionV>
            <wp:extent cx="58380" cy="72151"/>
            <wp:effectExtent l="0" t="0" r="0" b="0"/>
            <wp:wrapNone/>
            <wp:docPr id="1821" name="image13.png"/>
            <wp:cNvGraphicFramePr>
              <a:graphicFrameLocks noChangeAspect="1"/>
            </wp:cNvGraphicFramePr>
            <a:graphic>
              <a:graphicData uri="http://schemas.openxmlformats.org/drawingml/2006/picture">
                <pic:pic>
                  <pic:nvPicPr>
                    <pic:cNvPr id="1822"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086016">
            <wp:simplePos x="0" y="0"/>
            <wp:positionH relativeFrom="page">
              <wp:posOffset>1054901</wp:posOffset>
            </wp:positionH>
            <wp:positionV relativeFrom="paragraph">
              <wp:posOffset>478554</wp:posOffset>
            </wp:positionV>
            <wp:extent cx="58380" cy="72151"/>
            <wp:effectExtent l="0" t="0" r="0" b="0"/>
            <wp:wrapNone/>
            <wp:docPr id="1823" name="image13.png"/>
            <wp:cNvGraphicFramePr>
              <a:graphicFrameLocks noChangeAspect="1"/>
            </wp:cNvGraphicFramePr>
            <a:graphic>
              <a:graphicData uri="http://schemas.openxmlformats.org/drawingml/2006/picture">
                <pic:pic>
                  <pic:nvPicPr>
                    <pic:cNvPr id="182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 disagree (2)</w:t>
      </w:r>
      <w:r>
        <w:rPr>
          <w:spacing w:val="1"/>
          <w:sz w:val="18"/>
        </w:rPr>
        <w:t> </w:t>
      </w:r>
      <w:r>
        <w:rPr>
          <w:sz w:val="18"/>
        </w:rPr>
        <w:t>Neither agree nor disagree (3)</w:t>
      </w:r>
      <w:r>
        <w:rPr>
          <w:spacing w:val="-48"/>
          <w:sz w:val="18"/>
        </w:rPr>
        <w:t> </w:t>
      </w:r>
      <w:r>
        <w:rPr>
          <w:sz w:val="18"/>
        </w:rPr>
        <w:t>Somewhat</w:t>
      </w:r>
      <w:r>
        <w:rPr>
          <w:spacing w:val="-3"/>
          <w:sz w:val="18"/>
        </w:rPr>
        <w:t> </w:t>
      </w:r>
      <w:r>
        <w:rPr>
          <w:sz w:val="18"/>
        </w:rPr>
        <w:t>agree</w:t>
      </w:r>
      <w:r>
        <w:rPr>
          <w:spacing w:val="3"/>
          <w:sz w:val="18"/>
        </w:rPr>
        <w:t> </w:t>
      </w:r>
      <w:r>
        <w:rPr>
          <w:sz w:val="18"/>
        </w:rPr>
        <w:t>(4)</w:t>
      </w:r>
    </w:p>
    <w:p>
      <w:pPr>
        <w:spacing w:before="3"/>
        <w:ind w:left="1697" w:right="0" w:firstLine="0"/>
        <w:jc w:val="left"/>
        <w:rPr>
          <w:sz w:val="18"/>
        </w:rPr>
      </w:pPr>
      <w:r>
        <w:rPr/>
        <w:drawing>
          <wp:anchor distT="0" distB="0" distL="0" distR="0" allowOverlap="1" layoutInCell="1" locked="0" behindDoc="0" simplePos="0" relativeHeight="16086528">
            <wp:simplePos x="0" y="0"/>
            <wp:positionH relativeFrom="page">
              <wp:posOffset>1054901</wp:posOffset>
            </wp:positionH>
            <wp:positionV relativeFrom="paragraph">
              <wp:posOffset>46373</wp:posOffset>
            </wp:positionV>
            <wp:extent cx="58380" cy="72151"/>
            <wp:effectExtent l="0" t="0" r="0" b="0"/>
            <wp:wrapNone/>
            <wp:docPr id="1825" name="image13.png"/>
            <wp:cNvGraphicFramePr>
              <a:graphicFrameLocks noChangeAspect="1"/>
            </wp:cNvGraphicFramePr>
            <a:graphic>
              <a:graphicData uri="http://schemas.openxmlformats.org/drawingml/2006/picture">
                <pic:pic>
                  <pic:nvPicPr>
                    <pic:cNvPr id="182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Agree (5)</w:t>
      </w:r>
    </w:p>
    <w:p>
      <w:pPr>
        <w:spacing w:before="120"/>
        <w:ind w:left="1697" w:right="0" w:firstLine="0"/>
        <w:jc w:val="left"/>
        <w:rPr>
          <w:sz w:val="18"/>
        </w:rPr>
      </w:pPr>
      <w:r>
        <w:rPr/>
        <w:drawing>
          <wp:anchor distT="0" distB="0" distL="0" distR="0" allowOverlap="1" layoutInCell="1" locked="0" behindDoc="0" simplePos="0" relativeHeight="16087040">
            <wp:simplePos x="0" y="0"/>
            <wp:positionH relativeFrom="page">
              <wp:posOffset>1054901</wp:posOffset>
            </wp:positionH>
            <wp:positionV relativeFrom="paragraph">
              <wp:posOffset>120221</wp:posOffset>
            </wp:positionV>
            <wp:extent cx="58380" cy="73869"/>
            <wp:effectExtent l="0" t="0" r="0" b="0"/>
            <wp:wrapNone/>
            <wp:docPr id="1827" name="image14.png"/>
            <wp:cNvGraphicFramePr>
              <a:graphicFrameLocks noChangeAspect="1"/>
            </wp:cNvGraphicFramePr>
            <a:graphic>
              <a:graphicData uri="http://schemas.openxmlformats.org/drawingml/2006/picture">
                <pic:pic>
                  <pic:nvPicPr>
                    <pic:cNvPr id="1828"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spacing w:line="369" w:lineRule="auto" w:before="120"/>
        <w:ind w:left="1697" w:right="4138" w:hanging="557"/>
        <w:jc w:val="left"/>
        <w:rPr>
          <w:sz w:val="18"/>
        </w:rPr>
      </w:pPr>
      <w:r>
        <w:rPr/>
        <w:drawing>
          <wp:anchor distT="0" distB="0" distL="0" distR="0" allowOverlap="1" layoutInCell="1" locked="0" behindDoc="1" simplePos="0" relativeHeight="476119552">
            <wp:simplePos x="0" y="0"/>
            <wp:positionH relativeFrom="page">
              <wp:posOffset>1054901</wp:posOffset>
            </wp:positionH>
            <wp:positionV relativeFrom="paragraph">
              <wp:posOffset>336822</wp:posOffset>
            </wp:positionV>
            <wp:extent cx="58380" cy="72151"/>
            <wp:effectExtent l="0" t="0" r="0" b="0"/>
            <wp:wrapNone/>
            <wp:docPr id="1829" name="image13.png"/>
            <wp:cNvGraphicFramePr>
              <a:graphicFrameLocks noChangeAspect="1"/>
            </wp:cNvGraphicFramePr>
            <a:graphic>
              <a:graphicData uri="http://schemas.openxmlformats.org/drawingml/2006/picture">
                <pic:pic>
                  <pic:nvPicPr>
                    <pic:cNvPr id="183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The practice/service leaders strongly support practice change efforts (7)</w:t>
      </w:r>
      <w:r>
        <w:rPr>
          <w:spacing w:val="-47"/>
          <w:sz w:val="18"/>
        </w:rPr>
        <w:t> </w:t>
      </w:r>
      <w:r>
        <w:rPr>
          <w:sz w:val="18"/>
        </w:rPr>
        <w:t>Disagree</w:t>
      </w:r>
      <w:r>
        <w:rPr>
          <w:spacing w:val="-1"/>
          <w:sz w:val="18"/>
        </w:rPr>
        <w:t> </w:t>
      </w:r>
      <w:r>
        <w:rPr>
          <w:sz w:val="18"/>
        </w:rPr>
        <w:t>(1)</w:t>
      </w:r>
    </w:p>
    <w:p>
      <w:pPr>
        <w:spacing w:line="369" w:lineRule="auto" w:before="2"/>
        <w:ind w:left="1697" w:right="7257" w:firstLine="0"/>
        <w:jc w:val="left"/>
        <w:rPr>
          <w:sz w:val="18"/>
        </w:rPr>
      </w:pPr>
      <w:r>
        <w:rPr/>
        <w:drawing>
          <wp:anchor distT="0" distB="0" distL="0" distR="0" allowOverlap="1" layoutInCell="1" locked="0" behindDoc="0" simplePos="0" relativeHeight="16088064">
            <wp:simplePos x="0" y="0"/>
            <wp:positionH relativeFrom="page">
              <wp:posOffset>1054901</wp:posOffset>
            </wp:positionH>
            <wp:positionV relativeFrom="paragraph">
              <wp:posOffset>45291</wp:posOffset>
            </wp:positionV>
            <wp:extent cx="58380" cy="73869"/>
            <wp:effectExtent l="0" t="0" r="0" b="0"/>
            <wp:wrapNone/>
            <wp:docPr id="1831" name="image14.png"/>
            <wp:cNvGraphicFramePr>
              <a:graphicFrameLocks noChangeAspect="1"/>
            </wp:cNvGraphicFramePr>
            <a:graphic>
              <a:graphicData uri="http://schemas.openxmlformats.org/drawingml/2006/picture">
                <pic:pic>
                  <pic:nvPicPr>
                    <pic:cNvPr id="1832" name="image14.png"/>
                    <pic:cNvPicPr/>
                  </pic:nvPicPr>
                  <pic:blipFill>
                    <a:blip r:embed="rId43" cstate="print"/>
                    <a:stretch>
                      <a:fillRect/>
                    </a:stretch>
                  </pic:blipFill>
                  <pic:spPr>
                    <a:xfrm>
                      <a:off x="0" y="0"/>
                      <a:ext cx="58380" cy="73869"/>
                    </a:xfrm>
                    <a:prstGeom prst="rect">
                      <a:avLst/>
                    </a:prstGeom>
                  </pic:spPr>
                </pic:pic>
              </a:graphicData>
            </a:graphic>
          </wp:anchor>
        </w:drawing>
      </w:r>
      <w:r>
        <w:rPr/>
        <w:drawing>
          <wp:anchor distT="0" distB="0" distL="0" distR="0" allowOverlap="1" layoutInCell="1" locked="0" behindDoc="0" simplePos="0" relativeHeight="16088576">
            <wp:simplePos x="0" y="0"/>
            <wp:positionH relativeFrom="page">
              <wp:posOffset>1054901</wp:posOffset>
            </wp:positionH>
            <wp:positionV relativeFrom="paragraph">
              <wp:posOffset>260175</wp:posOffset>
            </wp:positionV>
            <wp:extent cx="58380" cy="73869"/>
            <wp:effectExtent l="0" t="0" r="0" b="0"/>
            <wp:wrapNone/>
            <wp:docPr id="1833" name="image14.png"/>
            <wp:cNvGraphicFramePr>
              <a:graphicFrameLocks noChangeAspect="1"/>
            </wp:cNvGraphicFramePr>
            <a:graphic>
              <a:graphicData uri="http://schemas.openxmlformats.org/drawingml/2006/picture">
                <pic:pic>
                  <pic:nvPicPr>
                    <pic:cNvPr id="1834" name="image14.png"/>
                    <pic:cNvPicPr/>
                  </pic:nvPicPr>
                  <pic:blipFill>
                    <a:blip r:embed="rId43" cstate="print"/>
                    <a:stretch>
                      <a:fillRect/>
                    </a:stretch>
                  </pic:blipFill>
                  <pic:spPr>
                    <a:xfrm>
                      <a:off x="0" y="0"/>
                      <a:ext cx="58380" cy="73869"/>
                    </a:xfrm>
                    <a:prstGeom prst="rect">
                      <a:avLst/>
                    </a:prstGeom>
                  </pic:spPr>
                </pic:pic>
              </a:graphicData>
            </a:graphic>
          </wp:anchor>
        </w:drawing>
      </w:r>
      <w:r>
        <w:rPr/>
        <w:drawing>
          <wp:anchor distT="0" distB="0" distL="0" distR="0" allowOverlap="1" layoutInCell="1" locked="0" behindDoc="0" simplePos="0" relativeHeight="16089088">
            <wp:simplePos x="0" y="0"/>
            <wp:positionH relativeFrom="page">
              <wp:posOffset>1054901</wp:posOffset>
            </wp:positionH>
            <wp:positionV relativeFrom="paragraph">
              <wp:posOffset>476776</wp:posOffset>
            </wp:positionV>
            <wp:extent cx="58380" cy="72151"/>
            <wp:effectExtent l="0" t="0" r="0" b="0"/>
            <wp:wrapNone/>
            <wp:docPr id="1835" name="image13.png"/>
            <wp:cNvGraphicFramePr>
              <a:graphicFrameLocks noChangeAspect="1"/>
            </wp:cNvGraphicFramePr>
            <a:graphic>
              <a:graphicData uri="http://schemas.openxmlformats.org/drawingml/2006/picture">
                <pic:pic>
                  <pic:nvPicPr>
                    <pic:cNvPr id="183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 disagree (2)</w:t>
      </w:r>
      <w:r>
        <w:rPr>
          <w:spacing w:val="1"/>
          <w:sz w:val="18"/>
        </w:rPr>
        <w:t> </w:t>
      </w:r>
      <w:r>
        <w:rPr>
          <w:sz w:val="18"/>
        </w:rPr>
        <w:t>Neither agree nor disagree (3)</w:t>
      </w:r>
      <w:r>
        <w:rPr>
          <w:spacing w:val="-48"/>
          <w:sz w:val="18"/>
        </w:rPr>
        <w:t> </w:t>
      </w:r>
      <w:r>
        <w:rPr>
          <w:sz w:val="18"/>
        </w:rPr>
        <w:t>Somewhat</w:t>
      </w:r>
      <w:r>
        <w:rPr>
          <w:spacing w:val="-3"/>
          <w:sz w:val="18"/>
        </w:rPr>
        <w:t> </w:t>
      </w:r>
      <w:r>
        <w:rPr>
          <w:sz w:val="18"/>
        </w:rPr>
        <w:t>agree</w:t>
      </w:r>
      <w:r>
        <w:rPr>
          <w:spacing w:val="3"/>
          <w:sz w:val="18"/>
        </w:rPr>
        <w:t> </w:t>
      </w:r>
      <w:r>
        <w:rPr>
          <w:sz w:val="18"/>
        </w:rPr>
        <w:t>(4)</w:t>
      </w:r>
    </w:p>
    <w:p>
      <w:pPr>
        <w:spacing w:before="1"/>
        <w:ind w:left="1697" w:right="0" w:firstLine="0"/>
        <w:jc w:val="left"/>
        <w:rPr>
          <w:sz w:val="18"/>
        </w:rPr>
      </w:pPr>
      <w:r>
        <w:rPr/>
        <w:drawing>
          <wp:anchor distT="0" distB="0" distL="0" distR="0" allowOverlap="1" layoutInCell="1" locked="0" behindDoc="0" simplePos="0" relativeHeight="16089600">
            <wp:simplePos x="0" y="0"/>
            <wp:positionH relativeFrom="page">
              <wp:posOffset>1054901</wp:posOffset>
            </wp:positionH>
            <wp:positionV relativeFrom="paragraph">
              <wp:posOffset>44849</wp:posOffset>
            </wp:positionV>
            <wp:extent cx="58380" cy="72151"/>
            <wp:effectExtent l="0" t="0" r="0" b="0"/>
            <wp:wrapNone/>
            <wp:docPr id="1837" name="image13.png"/>
            <wp:cNvGraphicFramePr>
              <a:graphicFrameLocks noChangeAspect="1"/>
            </wp:cNvGraphicFramePr>
            <a:graphic>
              <a:graphicData uri="http://schemas.openxmlformats.org/drawingml/2006/picture">
                <pic:pic>
                  <pic:nvPicPr>
                    <pic:cNvPr id="183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Agree (5)</w:t>
      </w:r>
    </w:p>
    <w:p>
      <w:pPr>
        <w:spacing w:before="120"/>
        <w:ind w:left="1697" w:right="0" w:firstLine="0"/>
        <w:jc w:val="left"/>
        <w:rPr>
          <w:sz w:val="18"/>
        </w:rPr>
      </w:pPr>
      <w:r>
        <w:rPr/>
        <w:drawing>
          <wp:anchor distT="0" distB="0" distL="0" distR="0" allowOverlap="1" layoutInCell="1" locked="0" behindDoc="0" simplePos="0" relativeHeight="16090112">
            <wp:simplePos x="0" y="0"/>
            <wp:positionH relativeFrom="page">
              <wp:posOffset>1056425</wp:posOffset>
            </wp:positionH>
            <wp:positionV relativeFrom="paragraph">
              <wp:posOffset>120414</wp:posOffset>
            </wp:positionV>
            <wp:extent cx="58380" cy="72151"/>
            <wp:effectExtent l="0" t="0" r="0" b="0"/>
            <wp:wrapNone/>
            <wp:docPr id="1839" name="image13.png"/>
            <wp:cNvGraphicFramePr>
              <a:graphicFrameLocks noChangeAspect="1"/>
            </wp:cNvGraphicFramePr>
            <a:graphic>
              <a:graphicData uri="http://schemas.openxmlformats.org/drawingml/2006/picture">
                <pic:pic>
                  <pic:nvPicPr>
                    <pic:cNvPr id="184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spacing w:after="0"/>
        <w:jc w:val="left"/>
        <w:rPr>
          <w:sz w:val="18"/>
        </w:rPr>
        <w:sectPr>
          <w:pgSz w:w="11910" w:h="16840"/>
          <w:pgMar w:header="0" w:footer="916" w:top="860" w:bottom="1140" w:left="300" w:right="0"/>
        </w:sectPr>
      </w:pPr>
    </w:p>
    <w:p>
      <w:pPr>
        <w:spacing w:before="85"/>
        <w:ind w:left="532" w:right="0" w:firstLine="0"/>
        <w:jc w:val="left"/>
        <w:rPr>
          <w:b/>
          <w:sz w:val="18"/>
        </w:rPr>
      </w:pPr>
      <w:r>
        <w:rPr/>
        <w:pict>
          <v:group style="position:absolute;margin-left:36pt;margin-top:47.759983pt;width:523.4500pt;height:734.9pt;mso-position-horizontal-relative:page;mso-position-vertical-relative:page;z-index:-27175936" id="docshapegroup218" coordorigin="720,955" coordsize="10469,14698">
            <v:shape style="position:absolute;left:1774;top:15489;width:92;height:114" type="#_x0000_t75" id="docshape219" stroked="false">
              <v:imagedata r:id="rId41" o:title=""/>
            </v:shape>
            <v:shape style="position:absolute;left:720;top:955;width:10469;height:14698" id="docshape220" coordorigin="720,955" coordsize="10469,14698" path="m11188,15643l11179,15643,730,15643,720,15643,720,15653,730,15653,11179,15653,11188,15653,11188,15643xm11188,955l11179,955,730,955,720,955,720,965,720,15643,730,15643,730,965,11179,965,11179,15643,11188,15643,11188,965,11188,955xe" filled="true" fillcolor="#bebebe" stroked="false">
              <v:path arrowok="t"/>
              <v:fill type="solid"/>
            </v:shape>
            <w10:wrap type="none"/>
          </v:group>
        </w:pict>
      </w:r>
      <w:r>
        <w:rPr>
          <w:b/>
          <w:sz w:val="18"/>
        </w:rPr>
        <w:t>Round</w:t>
      </w:r>
      <w:r>
        <w:rPr>
          <w:b/>
          <w:spacing w:val="-1"/>
          <w:sz w:val="18"/>
        </w:rPr>
        <w:t> </w:t>
      </w:r>
      <w:r>
        <w:rPr>
          <w:b/>
          <w:sz w:val="18"/>
        </w:rPr>
        <w:t>5</w:t>
      </w:r>
      <w:r>
        <w:rPr>
          <w:b/>
          <w:spacing w:val="-2"/>
          <w:sz w:val="18"/>
        </w:rPr>
        <w:t> </w:t>
      </w:r>
      <w:r>
        <w:rPr>
          <w:b/>
          <w:sz w:val="18"/>
        </w:rPr>
        <w:t>only</w:t>
      </w:r>
    </w:p>
    <w:p>
      <w:pPr>
        <w:pStyle w:val="BodyText"/>
        <w:spacing w:before="3"/>
        <w:rPr>
          <w:b/>
          <w:sz w:val="16"/>
        </w:rPr>
      </w:pPr>
    </w:p>
    <w:p>
      <w:pPr>
        <w:spacing w:before="0"/>
        <w:ind w:left="532" w:right="955" w:firstLine="0"/>
        <w:jc w:val="left"/>
        <w:rPr>
          <w:sz w:val="18"/>
        </w:rPr>
      </w:pPr>
      <w:r>
        <w:rPr>
          <w:sz w:val="18"/>
        </w:rPr>
        <w:t>The following questions relate to changes that have occurred for you since the implementation of the HCH program</w:t>
      </w:r>
      <w:r>
        <w:rPr>
          <w:spacing w:val="-47"/>
          <w:sz w:val="18"/>
        </w:rPr>
        <w:t> </w:t>
      </w:r>
      <w:r>
        <w:rPr>
          <w:sz w:val="18"/>
        </w:rPr>
        <w:t>in</w:t>
      </w:r>
      <w:r>
        <w:rPr>
          <w:spacing w:val="-1"/>
          <w:sz w:val="18"/>
        </w:rPr>
        <w:t> </w:t>
      </w:r>
      <w:r>
        <w:rPr>
          <w:sz w:val="18"/>
        </w:rPr>
        <w:t>your practice/ service.</w:t>
      </w:r>
    </w:p>
    <w:p>
      <w:pPr>
        <w:pStyle w:val="BodyText"/>
        <w:spacing w:before="1"/>
        <w:rPr>
          <w:sz w:val="18"/>
        </w:rPr>
      </w:pPr>
    </w:p>
    <w:p>
      <w:pPr>
        <w:spacing w:before="0"/>
        <w:ind w:left="532" w:right="0" w:firstLine="0"/>
        <w:jc w:val="left"/>
        <w:rPr>
          <w:sz w:val="18"/>
        </w:rPr>
      </w:pPr>
      <w:r>
        <w:rPr>
          <w:sz w:val="18"/>
        </w:rPr>
        <w:t>23A.</w:t>
      </w:r>
      <w:r>
        <w:rPr>
          <w:spacing w:val="-5"/>
          <w:sz w:val="18"/>
        </w:rPr>
        <w:t> </w:t>
      </w:r>
      <w:r>
        <w:rPr>
          <w:sz w:val="18"/>
        </w:rPr>
        <w:t>Has</w:t>
      </w:r>
      <w:r>
        <w:rPr>
          <w:spacing w:val="-3"/>
          <w:sz w:val="18"/>
        </w:rPr>
        <w:t> </w:t>
      </w:r>
      <w:r>
        <w:rPr>
          <w:sz w:val="18"/>
        </w:rPr>
        <w:t>your</w:t>
      </w:r>
      <w:r>
        <w:rPr>
          <w:spacing w:val="-1"/>
          <w:sz w:val="18"/>
        </w:rPr>
        <w:t> </w:t>
      </w:r>
      <w:r>
        <w:rPr>
          <w:sz w:val="18"/>
        </w:rPr>
        <w:t>role</w:t>
      </w:r>
      <w:r>
        <w:rPr>
          <w:spacing w:val="-4"/>
          <w:sz w:val="18"/>
        </w:rPr>
        <w:t> </w:t>
      </w:r>
      <w:r>
        <w:rPr>
          <w:sz w:val="18"/>
        </w:rPr>
        <w:t>in</w:t>
      </w:r>
      <w:r>
        <w:rPr>
          <w:spacing w:val="-5"/>
          <w:sz w:val="18"/>
        </w:rPr>
        <w:t> </w:t>
      </w:r>
      <w:r>
        <w:rPr>
          <w:sz w:val="18"/>
        </w:rPr>
        <w:t>the</w:t>
      </w:r>
      <w:r>
        <w:rPr>
          <w:spacing w:val="-2"/>
          <w:sz w:val="18"/>
        </w:rPr>
        <w:t> </w:t>
      </w:r>
      <w:r>
        <w:rPr>
          <w:sz w:val="18"/>
        </w:rPr>
        <w:t>practice/</w:t>
      </w:r>
      <w:r>
        <w:rPr>
          <w:spacing w:val="-2"/>
          <w:sz w:val="18"/>
        </w:rPr>
        <w:t> </w:t>
      </w:r>
      <w:r>
        <w:rPr>
          <w:sz w:val="18"/>
        </w:rPr>
        <w:t>service</w:t>
      </w:r>
      <w:r>
        <w:rPr>
          <w:spacing w:val="-4"/>
          <w:sz w:val="18"/>
        </w:rPr>
        <w:t> </w:t>
      </w:r>
      <w:r>
        <w:rPr>
          <w:sz w:val="18"/>
        </w:rPr>
        <w:t>changed</w:t>
      </w:r>
      <w:r>
        <w:rPr>
          <w:spacing w:val="-3"/>
          <w:sz w:val="18"/>
        </w:rPr>
        <w:t> </w:t>
      </w:r>
      <w:r>
        <w:rPr>
          <w:sz w:val="18"/>
        </w:rPr>
        <w:t>since</w:t>
      </w:r>
      <w:r>
        <w:rPr>
          <w:spacing w:val="-3"/>
          <w:sz w:val="18"/>
        </w:rPr>
        <w:t> </w:t>
      </w:r>
      <w:r>
        <w:rPr>
          <w:sz w:val="18"/>
        </w:rPr>
        <w:t>the</w:t>
      </w:r>
      <w:r>
        <w:rPr>
          <w:spacing w:val="-4"/>
          <w:sz w:val="18"/>
        </w:rPr>
        <w:t> </w:t>
      </w:r>
      <w:r>
        <w:rPr>
          <w:sz w:val="18"/>
        </w:rPr>
        <w:t>implementation</w:t>
      </w:r>
      <w:r>
        <w:rPr>
          <w:spacing w:val="-2"/>
          <w:sz w:val="18"/>
        </w:rPr>
        <w:t> </w:t>
      </w:r>
      <w:r>
        <w:rPr>
          <w:sz w:val="18"/>
        </w:rPr>
        <w:t>of</w:t>
      </w:r>
      <w:r>
        <w:rPr>
          <w:spacing w:val="-2"/>
          <w:sz w:val="18"/>
        </w:rPr>
        <w:t> </w:t>
      </w:r>
      <w:r>
        <w:rPr>
          <w:sz w:val="18"/>
        </w:rPr>
        <w:t>the</w:t>
      </w:r>
      <w:r>
        <w:rPr>
          <w:spacing w:val="-5"/>
          <w:sz w:val="18"/>
        </w:rPr>
        <w:t> </w:t>
      </w:r>
      <w:r>
        <w:rPr>
          <w:sz w:val="18"/>
        </w:rPr>
        <w:t>HCH</w:t>
      </w:r>
      <w:r>
        <w:rPr>
          <w:spacing w:val="5"/>
          <w:sz w:val="18"/>
        </w:rPr>
        <w:t> </w:t>
      </w:r>
      <w:r>
        <w:rPr>
          <w:sz w:val="18"/>
        </w:rPr>
        <w:t>in</w:t>
      </w:r>
      <w:r>
        <w:rPr>
          <w:spacing w:val="-2"/>
          <w:sz w:val="18"/>
        </w:rPr>
        <w:t> </w:t>
      </w:r>
      <w:r>
        <w:rPr>
          <w:sz w:val="18"/>
        </w:rPr>
        <w:t>your</w:t>
      </w:r>
      <w:r>
        <w:rPr>
          <w:spacing w:val="-3"/>
          <w:sz w:val="18"/>
        </w:rPr>
        <w:t> </w:t>
      </w:r>
      <w:r>
        <w:rPr>
          <w:sz w:val="18"/>
        </w:rPr>
        <w:t>practice?</w:t>
      </w:r>
    </w:p>
    <w:p>
      <w:pPr>
        <w:spacing w:before="0"/>
        <w:ind w:left="1884" w:right="925" w:firstLine="0"/>
        <w:jc w:val="left"/>
        <w:rPr>
          <w:sz w:val="18"/>
        </w:rPr>
      </w:pPr>
      <w:r>
        <w:rPr/>
        <w:drawing>
          <wp:anchor distT="0" distB="0" distL="0" distR="0" allowOverlap="1" layoutInCell="1" locked="0" behindDoc="1" simplePos="0" relativeHeight="476123136">
            <wp:simplePos x="0" y="0"/>
            <wp:positionH relativeFrom="page">
              <wp:posOffset>1173773</wp:posOffset>
            </wp:positionH>
            <wp:positionV relativeFrom="paragraph">
              <wp:posOffset>44849</wp:posOffset>
            </wp:positionV>
            <wp:extent cx="58380" cy="72151"/>
            <wp:effectExtent l="0" t="0" r="0" b="0"/>
            <wp:wrapNone/>
            <wp:docPr id="1841" name="image13.png"/>
            <wp:cNvGraphicFramePr>
              <a:graphicFrameLocks noChangeAspect="1"/>
            </wp:cNvGraphicFramePr>
            <a:graphic>
              <a:graphicData uri="http://schemas.openxmlformats.org/drawingml/2006/picture">
                <pic:pic>
                  <pic:nvPicPr>
                    <pic:cNvPr id="1842"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1" simplePos="0" relativeHeight="476123648">
            <wp:simplePos x="0" y="0"/>
            <wp:positionH relativeFrom="page">
              <wp:posOffset>1173773</wp:posOffset>
            </wp:positionH>
            <wp:positionV relativeFrom="paragraph">
              <wp:posOffset>185057</wp:posOffset>
            </wp:positionV>
            <wp:extent cx="58380" cy="72151"/>
            <wp:effectExtent l="0" t="0" r="0" b="0"/>
            <wp:wrapNone/>
            <wp:docPr id="1843" name="image13.png"/>
            <wp:cNvGraphicFramePr>
              <a:graphicFrameLocks noChangeAspect="1"/>
            </wp:cNvGraphicFramePr>
            <a:graphic>
              <a:graphicData uri="http://schemas.openxmlformats.org/drawingml/2006/picture">
                <pic:pic>
                  <pic:nvPicPr>
                    <pic:cNvPr id="1844"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1" simplePos="0" relativeHeight="476124160">
            <wp:simplePos x="0" y="0"/>
            <wp:positionH relativeFrom="page">
              <wp:posOffset>1173773</wp:posOffset>
            </wp:positionH>
            <wp:positionV relativeFrom="paragraph">
              <wp:posOffset>325265</wp:posOffset>
            </wp:positionV>
            <wp:extent cx="58380" cy="72151"/>
            <wp:effectExtent l="0" t="0" r="0" b="0"/>
            <wp:wrapNone/>
            <wp:docPr id="1845" name="image13.png"/>
            <wp:cNvGraphicFramePr>
              <a:graphicFrameLocks noChangeAspect="1"/>
            </wp:cNvGraphicFramePr>
            <a:graphic>
              <a:graphicData uri="http://schemas.openxmlformats.org/drawingml/2006/picture">
                <pic:pic>
                  <pic:nvPicPr>
                    <pic:cNvPr id="184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I started work with the practice/ service after the HCH program commenced. Skip to question 24.</w:t>
      </w:r>
      <w:r>
        <w:rPr>
          <w:spacing w:val="1"/>
          <w:sz w:val="18"/>
        </w:rPr>
        <w:t> </w:t>
      </w:r>
      <w:r>
        <w:rPr>
          <w:sz w:val="18"/>
        </w:rPr>
        <w:t>There have been no changes to my role since the HCH program commenced. Skip to question 24.</w:t>
      </w:r>
      <w:r>
        <w:rPr>
          <w:spacing w:val="1"/>
          <w:sz w:val="18"/>
        </w:rPr>
        <w:t> </w:t>
      </w:r>
      <w:r>
        <w:rPr>
          <w:sz w:val="18"/>
        </w:rPr>
        <w:t>My</w:t>
      </w:r>
      <w:r>
        <w:rPr>
          <w:spacing w:val="-2"/>
          <w:sz w:val="18"/>
        </w:rPr>
        <w:t> </w:t>
      </w:r>
      <w:r>
        <w:rPr>
          <w:sz w:val="18"/>
        </w:rPr>
        <w:t>role</w:t>
      </w:r>
      <w:r>
        <w:rPr>
          <w:spacing w:val="-3"/>
          <w:sz w:val="18"/>
        </w:rPr>
        <w:t> </w:t>
      </w:r>
      <w:r>
        <w:rPr>
          <w:sz w:val="18"/>
        </w:rPr>
        <w:t>in</w:t>
      </w:r>
      <w:r>
        <w:rPr>
          <w:spacing w:val="-1"/>
          <w:sz w:val="18"/>
        </w:rPr>
        <w:t> </w:t>
      </w:r>
      <w:r>
        <w:rPr>
          <w:sz w:val="18"/>
        </w:rPr>
        <w:t>the</w:t>
      </w:r>
      <w:r>
        <w:rPr>
          <w:spacing w:val="-4"/>
          <w:sz w:val="18"/>
        </w:rPr>
        <w:t> </w:t>
      </w:r>
      <w:r>
        <w:rPr>
          <w:sz w:val="18"/>
        </w:rPr>
        <w:t>practice/</w:t>
      </w:r>
      <w:r>
        <w:rPr>
          <w:spacing w:val="-1"/>
          <w:sz w:val="18"/>
        </w:rPr>
        <w:t> </w:t>
      </w:r>
      <w:r>
        <w:rPr>
          <w:sz w:val="18"/>
        </w:rPr>
        <w:t>service</w:t>
      </w:r>
      <w:r>
        <w:rPr>
          <w:spacing w:val="-1"/>
          <w:sz w:val="18"/>
        </w:rPr>
        <w:t> </w:t>
      </w:r>
      <w:r>
        <w:rPr>
          <w:sz w:val="18"/>
        </w:rPr>
        <w:t>has</w:t>
      </w:r>
      <w:r>
        <w:rPr>
          <w:spacing w:val="-5"/>
          <w:sz w:val="18"/>
        </w:rPr>
        <w:t> </w:t>
      </w:r>
      <w:r>
        <w:rPr>
          <w:sz w:val="18"/>
        </w:rPr>
        <w:t>changed,</w:t>
      </w:r>
      <w:r>
        <w:rPr>
          <w:spacing w:val="-3"/>
          <w:sz w:val="18"/>
        </w:rPr>
        <w:t> </w:t>
      </w:r>
      <w:r>
        <w:rPr>
          <w:sz w:val="18"/>
        </w:rPr>
        <w:t>but</w:t>
      </w:r>
      <w:r>
        <w:rPr>
          <w:spacing w:val="-3"/>
          <w:sz w:val="18"/>
        </w:rPr>
        <w:t> </w:t>
      </w:r>
      <w:r>
        <w:rPr>
          <w:sz w:val="18"/>
        </w:rPr>
        <w:t>this</w:t>
      </w:r>
      <w:r>
        <w:rPr>
          <w:spacing w:val="-2"/>
          <w:sz w:val="18"/>
        </w:rPr>
        <w:t> </w:t>
      </w:r>
      <w:r>
        <w:rPr>
          <w:sz w:val="18"/>
        </w:rPr>
        <w:t>has</w:t>
      </w:r>
      <w:r>
        <w:rPr>
          <w:spacing w:val="-3"/>
          <w:sz w:val="18"/>
        </w:rPr>
        <w:t> </w:t>
      </w:r>
      <w:r>
        <w:rPr>
          <w:sz w:val="18"/>
        </w:rPr>
        <w:t>not</w:t>
      </w:r>
      <w:r>
        <w:rPr>
          <w:spacing w:val="-3"/>
          <w:sz w:val="18"/>
        </w:rPr>
        <w:t> </w:t>
      </w:r>
      <w:r>
        <w:rPr>
          <w:sz w:val="18"/>
        </w:rPr>
        <w:t>been</w:t>
      </w:r>
      <w:r>
        <w:rPr>
          <w:spacing w:val="-1"/>
          <w:sz w:val="18"/>
        </w:rPr>
        <w:t> </w:t>
      </w:r>
      <w:r>
        <w:rPr>
          <w:sz w:val="18"/>
        </w:rPr>
        <w:t>a</w:t>
      </w:r>
      <w:r>
        <w:rPr>
          <w:spacing w:val="-2"/>
          <w:sz w:val="18"/>
        </w:rPr>
        <w:t> </w:t>
      </w:r>
      <w:r>
        <w:rPr>
          <w:sz w:val="18"/>
        </w:rPr>
        <w:t>result</w:t>
      </w:r>
      <w:r>
        <w:rPr>
          <w:spacing w:val="-3"/>
          <w:sz w:val="18"/>
        </w:rPr>
        <w:t> </w:t>
      </w:r>
      <w:r>
        <w:rPr>
          <w:sz w:val="18"/>
        </w:rPr>
        <w:t>of the</w:t>
      </w:r>
      <w:r>
        <w:rPr>
          <w:spacing w:val="-2"/>
          <w:sz w:val="18"/>
        </w:rPr>
        <w:t> </w:t>
      </w:r>
      <w:r>
        <w:rPr>
          <w:sz w:val="18"/>
        </w:rPr>
        <w:t>HCH</w:t>
      </w:r>
      <w:r>
        <w:rPr>
          <w:spacing w:val="-1"/>
          <w:sz w:val="18"/>
        </w:rPr>
        <w:t> </w:t>
      </w:r>
      <w:r>
        <w:rPr>
          <w:sz w:val="18"/>
        </w:rPr>
        <w:t>program.</w:t>
      </w:r>
      <w:r>
        <w:rPr>
          <w:spacing w:val="-3"/>
          <w:sz w:val="18"/>
        </w:rPr>
        <w:t> </w:t>
      </w:r>
      <w:r>
        <w:rPr>
          <w:sz w:val="18"/>
        </w:rPr>
        <w:t>Skip</w:t>
      </w:r>
      <w:r>
        <w:rPr>
          <w:spacing w:val="-47"/>
          <w:sz w:val="18"/>
        </w:rPr>
        <w:t> </w:t>
      </w:r>
      <w:r>
        <w:rPr>
          <w:sz w:val="18"/>
        </w:rPr>
        <w:t>to</w:t>
      </w:r>
      <w:r>
        <w:rPr>
          <w:spacing w:val="-1"/>
          <w:sz w:val="18"/>
        </w:rPr>
        <w:t> </w:t>
      </w:r>
      <w:r>
        <w:rPr>
          <w:sz w:val="18"/>
        </w:rPr>
        <w:t>question 24.</w:t>
      </w:r>
    </w:p>
    <w:p>
      <w:pPr>
        <w:spacing w:before="0"/>
        <w:ind w:left="1884" w:right="874" w:firstLine="0"/>
        <w:jc w:val="left"/>
        <w:rPr>
          <w:sz w:val="18"/>
        </w:rPr>
      </w:pPr>
      <w:r>
        <w:rPr/>
        <w:drawing>
          <wp:anchor distT="0" distB="0" distL="0" distR="0" allowOverlap="1" layoutInCell="1" locked="0" behindDoc="1" simplePos="0" relativeHeight="476124672">
            <wp:simplePos x="0" y="0"/>
            <wp:positionH relativeFrom="page">
              <wp:posOffset>1173773</wp:posOffset>
            </wp:positionH>
            <wp:positionV relativeFrom="paragraph">
              <wp:posOffset>44850</wp:posOffset>
            </wp:positionV>
            <wp:extent cx="58380" cy="72151"/>
            <wp:effectExtent l="0" t="0" r="0" b="0"/>
            <wp:wrapNone/>
            <wp:docPr id="1847" name="image13.png"/>
            <wp:cNvGraphicFramePr>
              <a:graphicFrameLocks noChangeAspect="1"/>
            </wp:cNvGraphicFramePr>
            <a:graphic>
              <a:graphicData uri="http://schemas.openxmlformats.org/drawingml/2006/picture">
                <pic:pic>
                  <pic:nvPicPr>
                    <pic:cNvPr id="184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My role in the practice/ service has changed since the HCH program commenced, and this is a result</w:t>
      </w:r>
      <w:r>
        <w:rPr>
          <w:spacing w:val="-47"/>
          <w:sz w:val="18"/>
        </w:rPr>
        <w:t> </w:t>
      </w:r>
      <w:r>
        <w:rPr>
          <w:sz w:val="18"/>
        </w:rPr>
        <w:t>of/</w:t>
      </w:r>
      <w:r>
        <w:rPr>
          <w:spacing w:val="-1"/>
          <w:sz w:val="18"/>
        </w:rPr>
        <w:t> </w:t>
      </w:r>
      <w:r>
        <w:rPr>
          <w:sz w:val="18"/>
        </w:rPr>
        <w:t>related</w:t>
      </w:r>
      <w:r>
        <w:rPr>
          <w:spacing w:val="-1"/>
          <w:sz w:val="18"/>
        </w:rPr>
        <w:t> </w:t>
      </w:r>
      <w:r>
        <w:rPr>
          <w:sz w:val="18"/>
        </w:rPr>
        <w:t>to</w:t>
      </w:r>
      <w:r>
        <w:rPr>
          <w:spacing w:val="-1"/>
          <w:sz w:val="18"/>
        </w:rPr>
        <w:t> </w:t>
      </w:r>
      <w:r>
        <w:rPr>
          <w:sz w:val="18"/>
        </w:rPr>
        <w:t>the HCH</w:t>
      </w:r>
      <w:r>
        <w:rPr>
          <w:spacing w:val="-1"/>
          <w:sz w:val="18"/>
        </w:rPr>
        <w:t> </w:t>
      </w:r>
      <w:r>
        <w:rPr>
          <w:sz w:val="18"/>
        </w:rPr>
        <w:t>program.</w:t>
      </w:r>
    </w:p>
    <w:p>
      <w:pPr>
        <w:pStyle w:val="BodyText"/>
        <w:spacing w:before="9"/>
        <w:rPr>
          <w:sz w:val="22"/>
        </w:rPr>
      </w:pPr>
    </w:p>
    <w:p>
      <w:pPr>
        <w:spacing w:before="0"/>
        <w:ind w:left="532" w:right="0" w:firstLine="0"/>
        <w:jc w:val="left"/>
        <w:rPr>
          <w:sz w:val="18"/>
        </w:rPr>
      </w:pPr>
      <w:r>
        <w:rPr>
          <w:sz w:val="18"/>
        </w:rPr>
        <w:t>23B.</w:t>
      </w:r>
      <w:r>
        <w:rPr>
          <w:spacing w:val="-5"/>
          <w:sz w:val="18"/>
        </w:rPr>
        <w:t> </w:t>
      </w:r>
      <w:r>
        <w:rPr>
          <w:sz w:val="18"/>
        </w:rPr>
        <w:t>How</w:t>
      </w:r>
      <w:r>
        <w:rPr>
          <w:spacing w:val="-1"/>
          <w:sz w:val="18"/>
        </w:rPr>
        <w:t> </w:t>
      </w:r>
      <w:r>
        <w:rPr>
          <w:sz w:val="18"/>
        </w:rPr>
        <w:t>much</w:t>
      </w:r>
      <w:r>
        <w:rPr>
          <w:spacing w:val="-3"/>
          <w:sz w:val="18"/>
        </w:rPr>
        <w:t> </w:t>
      </w:r>
      <w:r>
        <w:rPr>
          <w:sz w:val="18"/>
        </w:rPr>
        <w:t>of</w:t>
      </w:r>
      <w:r>
        <w:rPr>
          <w:spacing w:val="-1"/>
          <w:sz w:val="18"/>
        </w:rPr>
        <w:t> </w:t>
      </w:r>
      <w:r>
        <w:rPr>
          <w:sz w:val="18"/>
        </w:rPr>
        <w:t>your</w:t>
      </w:r>
      <w:r>
        <w:rPr>
          <w:spacing w:val="-2"/>
          <w:sz w:val="18"/>
        </w:rPr>
        <w:t> </w:t>
      </w:r>
      <w:r>
        <w:rPr>
          <w:sz w:val="18"/>
        </w:rPr>
        <w:t>daily</w:t>
      </w:r>
      <w:r>
        <w:rPr>
          <w:spacing w:val="-4"/>
          <w:sz w:val="18"/>
        </w:rPr>
        <w:t> </w:t>
      </w:r>
      <w:r>
        <w:rPr>
          <w:sz w:val="18"/>
        </w:rPr>
        <w:t>work</w:t>
      </w:r>
      <w:r>
        <w:rPr>
          <w:spacing w:val="-2"/>
          <w:sz w:val="18"/>
        </w:rPr>
        <w:t> </w:t>
      </w:r>
      <w:r>
        <w:rPr>
          <w:sz w:val="18"/>
        </w:rPr>
        <w:t>relates</w:t>
      </w:r>
      <w:r>
        <w:rPr>
          <w:spacing w:val="-3"/>
          <w:sz w:val="18"/>
        </w:rPr>
        <w:t> </w:t>
      </w:r>
      <w:r>
        <w:rPr>
          <w:sz w:val="18"/>
        </w:rPr>
        <w:t>to</w:t>
      </w:r>
      <w:r>
        <w:rPr>
          <w:spacing w:val="-3"/>
          <w:sz w:val="18"/>
        </w:rPr>
        <w:t> </w:t>
      </w:r>
      <w:r>
        <w:rPr>
          <w:sz w:val="18"/>
        </w:rPr>
        <w:t>patients</w:t>
      </w:r>
      <w:r>
        <w:rPr>
          <w:spacing w:val="-3"/>
          <w:sz w:val="18"/>
        </w:rPr>
        <w:t> </w:t>
      </w:r>
      <w:r>
        <w:rPr>
          <w:sz w:val="18"/>
        </w:rPr>
        <w:t>enrolled</w:t>
      </w:r>
      <w:r>
        <w:rPr>
          <w:spacing w:val="-4"/>
          <w:sz w:val="18"/>
        </w:rPr>
        <w:t> </w:t>
      </w:r>
      <w:r>
        <w:rPr>
          <w:sz w:val="18"/>
        </w:rPr>
        <w:t>in</w:t>
      </w:r>
      <w:r>
        <w:rPr>
          <w:spacing w:val="-2"/>
          <w:sz w:val="18"/>
        </w:rPr>
        <w:t> </w:t>
      </w:r>
      <w:r>
        <w:rPr>
          <w:sz w:val="18"/>
        </w:rPr>
        <w:t>the</w:t>
      </w:r>
      <w:r>
        <w:rPr>
          <w:spacing w:val="-2"/>
          <w:sz w:val="18"/>
        </w:rPr>
        <w:t> </w:t>
      </w:r>
      <w:r>
        <w:rPr>
          <w:sz w:val="18"/>
        </w:rPr>
        <w:t>HCH</w:t>
      </w:r>
      <w:r>
        <w:rPr>
          <w:spacing w:val="-4"/>
          <w:sz w:val="18"/>
        </w:rPr>
        <w:t> </w:t>
      </w:r>
      <w:r>
        <w:rPr>
          <w:sz w:val="18"/>
        </w:rPr>
        <w:t>program?</w:t>
      </w:r>
    </w:p>
    <w:p>
      <w:pPr>
        <w:spacing w:before="0"/>
        <w:ind w:left="1810" w:right="7820" w:firstLine="0"/>
        <w:jc w:val="left"/>
        <w:rPr>
          <w:sz w:val="18"/>
        </w:rPr>
      </w:pPr>
      <w:r>
        <w:rPr/>
        <w:drawing>
          <wp:anchor distT="0" distB="0" distL="0" distR="0" allowOverlap="1" layoutInCell="1" locked="0" behindDoc="1" simplePos="0" relativeHeight="476125184">
            <wp:simplePos x="0" y="0"/>
            <wp:positionH relativeFrom="page">
              <wp:posOffset>1126529</wp:posOffset>
            </wp:positionH>
            <wp:positionV relativeFrom="paragraph">
              <wp:posOffset>44849</wp:posOffset>
            </wp:positionV>
            <wp:extent cx="58380" cy="72151"/>
            <wp:effectExtent l="0" t="0" r="0" b="0"/>
            <wp:wrapNone/>
            <wp:docPr id="1849" name="image13.png"/>
            <wp:cNvGraphicFramePr>
              <a:graphicFrameLocks noChangeAspect="1"/>
            </wp:cNvGraphicFramePr>
            <a:graphic>
              <a:graphicData uri="http://schemas.openxmlformats.org/drawingml/2006/picture">
                <pic:pic>
                  <pic:nvPicPr>
                    <pic:cNvPr id="1850"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1" simplePos="0" relativeHeight="476125696">
            <wp:simplePos x="0" y="0"/>
            <wp:positionH relativeFrom="page">
              <wp:posOffset>1126529</wp:posOffset>
            </wp:positionH>
            <wp:positionV relativeFrom="paragraph">
              <wp:posOffset>184864</wp:posOffset>
            </wp:positionV>
            <wp:extent cx="58380" cy="73869"/>
            <wp:effectExtent l="0" t="0" r="0" b="0"/>
            <wp:wrapNone/>
            <wp:docPr id="1851" name="image14.png"/>
            <wp:cNvGraphicFramePr>
              <a:graphicFrameLocks noChangeAspect="1"/>
            </wp:cNvGraphicFramePr>
            <a:graphic>
              <a:graphicData uri="http://schemas.openxmlformats.org/drawingml/2006/picture">
                <pic:pic>
                  <pic:nvPicPr>
                    <pic:cNvPr id="1852" name="image14.png"/>
                    <pic:cNvPicPr/>
                  </pic:nvPicPr>
                  <pic:blipFill>
                    <a:blip r:embed="rId43" cstate="print"/>
                    <a:stretch>
                      <a:fillRect/>
                    </a:stretch>
                  </pic:blipFill>
                  <pic:spPr>
                    <a:xfrm>
                      <a:off x="0" y="0"/>
                      <a:ext cx="58380" cy="73869"/>
                    </a:xfrm>
                    <a:prstGeom prst="rect">
                      <a:avLst/>
                    </a:prstGeom>
                  </pic:spPr>
                </pic:pic>
              </a:graphicData>
            </a:graphic>
          </wp:anchor>
        </w:drawing>
      </w:r>
      <w:r>
        <w:rPr/>
        <w:drawing>
          <wp:anchor distT="0" distB="0" distL="0" distR="0" allowOverlap="1" layoutInCell="1" locked="0" behindDoc="1" simplePos="0" relativeHeight="476126208">
            <wp:simplePos x="0" y="0"/>
            <wp:positionH relativeFrom="page">
              <wp:posOffset>1126529</wp:posOffset>
            </wp:positionH>
            <wp:positionV relativeFrom="paragraph">
              <wp:posOffset>325265</wp:posOffset>
            </wp:positionV>
            <wp:extent cx="58380" cy="72151"/>
            <wp:effectExtent l="0" t="0" r="0" b="0"/>
            <wp:wrapNone/>
            <wp:docPr id="1853" name="image13.png"/>
            <wp:cNvGraphicFramePr>
              <a:graphicFrameLocks noChangeAspect="1"/>
            </wp:cNvGraphicFramePr>
            <a:graphic>
              <a:graphicData uri="http://schemas.openxmlformats.org/drawingml/2006/picture">
                <pic:pic>
                  <pic:nvPicPr>
                    <pic:cNvPr id="1854"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1" simplePos="0" relativeHeight="476126720">
            <wp:simplePos x="0" y="0"/>
            <wp:positionH relativeFrom="page">
              <wp:posOffset>1128053</wp:posOffset>
            </wp:positionH>
            <wp:positionV relativeFrom="paragraph">
              <wp:posOffset>465473</wp:posOffset>
            </wp:positionV>
            <wp:extent cx="58380" cy="72151"/>
            <wp:effectExtent l="0" t="0" r="0" b="0"/>
            <wp:wrapNone/>
            <wp:docPr id="1855" name="image13.png"/>
            <wp:cNvGraphicFramePr>
              <a:graphicFrameLocks noChangeAspect="1"/>
            </wp:cNvGraphicFramePr>
            <a:graphic>
              <a:graphicData uri="http://schemas.openxmlformats.org/drawingml/2006/picture">
                <pic:pic>
                  <pic:nvPicPr>
                    <pic:cNvPr id="185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None or very little</w:t>
      </w:r>
      <w:r>
        <w:rPr>
          <w:spacing w:val="1"/>
          <w:sz w:val="18"/>
        </w:rPr>
        <w:t> </w:t>
      </w:r>
      <w:r>
        <w:rPr>
          <w:sz w:val="18"/>
        </w:rPr>
        <w:t>Some of my daily work</w:t>
      </w:r>
      <w:r>
        <w:rPr>
          <w:spacing w:val="-47"/>
          <w:sz w:val="18"/>
        </w:rPr>
        <w:t> </w:t>
      </w:r>
      <w:r>
        <w:rPr>
          <w:sz w:val="18"/>
        </w:rPr>
        <w:t>All of my daily work</w:t>
      </w:r>
      <w:r>
        <w:rPr>
          <w:spacing w:val="1"/>
          <w:sz w:val="18"/>
        </w:rPr>
        <w:t> </w:t>
      </w:r>
      <w:r>
        <w:rPr>
          <w:sz w:val="18"/>
        </w:rPr>
        <w:t>Not</w:t>
      </w:r>
      <w:r>
        <w:rPr>
          <w:spacing w:val="-3"/>
          <w:sz w:val="18"/>
        </w:rPr>
        <w:t> </w:t>
      </w:r>
      <w:r>
        <w:rPr>
          <w:sz w:val="18"/>
        </w:rPr>
        <w:t>sure/can't</w:t>
      </w:r>
      <w:r>
        <w:rPr>
          <w:spacing w:val="-1"/>
          <w:sz w:val="18"/>
        </w:rPr>
        <w:t> </w:t>
      </w:r>
      <w:r>
        <w:rPr>
          <w:sz w:val="18"/>
        </w:rPr>
        <w:t>say</w:t>
      </w:r>
    </w:p>
    <w:p>
      <w:pPr>
        <w:pStyle w:val="BodyText"/>
        <w:spacing w:before="4"/>
        <w:rPr>
          <w:sz w:val="16"/>
        </w:rPr>
      </w:pPr>
    </w:p>
    <w:p>
      <w:pPr>
        <w:spacing w:before="0"/>
        <w:ind w:left="532" w:right="0" w:firstLine="0"/>
        <w:jc w:val="left"/>
        <w:rPr>
          <w:sz w:val="18"/>
        </w:rPr>
      </w:pPr>
      <w:r>
        <w:rPr>
          <w:sz w:val="18"/>
        </w:rPr>
        <w:t>23C.</w:t>
      </w:r>
      <w:r>
        <w:rPr>
          <w:spacing w:val="-6"/>
          <w:sz w:val="18"/>
        </w:rPr>
        <w:t> </w:t>
      </w:r>
      <w:r>
        <w:rPr>
          <w:sz w:val="18"/>
        </w:rPr>
        <w:t>In</w:t>
      </w:r>
      <w:r>
        <w:rPr>
          <w:spacing w:val="-1"/>
          <w:sz w:val="18"/>
        </w:rPr>
        <w:t> </w:t>
      </w:r>
      <w:r>
        <w:rPr>
          <w:sz w:val="18"/>
        </w:rPr>
        <w:t>what</w:t>
      </w:r>
      <w:r>
        <w:rPr>
          <w:spacing w:val="-4"/>
          <w:sz w:val="18"/>
        </w:rPr>
        <w:t> </w:t>
      </w:r>
      <w:r>
        <w:rPr>
          <w:sz w:val="18"/>
        </w:rPr>
        <w:t>ways</w:t>
      </w:r>
      <w:r>
        <w:rPr>
          <w:spacing w:val="-2"/>
          <w:sz w:val="18"/>
        </w:rPr>
        <w:t> </w:t>
      </w:r>
      <w:r>
        <w:rPr>
          <w:sz w:val="18"/>
        </w:rPr>
        <w:t>has</w:t>
      </w:r>
      <w:r>
        <w:rPr>
          <w:spacing w:val="-3"/>
          <w:sz w:val="18"/>
        </w:rPr>
        <w:t> </w:t>
      </w:r>
      <w:r>
        <w:rPr>
          <w:sz w:val="18"/>
        </w:rPr>
        <w:t>your</w:t>
      </w:r>
      <w:r>
        <w:rPr>
          <w:spacing w:val="-1"/>
          <w:sz w:val="18"/>
        </w:rPr>
        <w:t> </w:t>
      </w:r>
      <w:r>
        <w:rPr>
          <w:sz w:val="18"/>
        </w:rPr>
        <w:t>role</w:t>
      </w:r>
      <w:r>
        <w:rPr>
          <w:spacing w:val="-4"/>
          <w:sz w:val="18"/>
        </w:rPr>
        <w:t> </w:t>
      </w:r>
      <w:r>
        <w:rPr>
          <w:sz w:val="18"/>
        </w:rPr>
        <w:t>in</w:t>
      </w:r>
      <w:r>
        <w:rPr>
          <w:spacing w:val="-1"/>
          <w:sz w:val="18"/>
        </w:rPr>
        <w:t> </w:t>
      </w:r>
      <w:r>
        <w:rPr>
          <w:sz w:val="18"/>
        </w:rPr>
        <w:t>the</w:t>
      </w:r>
      <w:r>
        <w:rPr>
          <w:spacing w:val="-4"/>
          <w:sz w:val="18"/>
        </w:rPr>
        <w:t> </w:t>
      </w:r>
      <w:r>
        <w:rPr>
          <w:sz w:val="18"/>
        </w:rPr>
        <w:t>practice/</w:t>
      </w:r>
      <w:r>
        <w:rPr>
          <w:spacing w:val="-1"/>
          <w:sz w:val="18"/>
        </w:rPr>
        <w:t> </w:t>
      </w:r>
      <w:r>
        <w:rPr>
          <w:sz w:val="18"/>
        </w:rPr>
        <w:t>service</w:t>
      </w:r>
      <w:r>
        <w:rPr>
          <w:spacing w:val="-4"/>
          <w:sz w:val="18"/>
        </w:rPr>
        <w:t> </w:t>
      </w:r>
      <w:r>
        <w:rPr>
          <w:sz w:val="18"/>
        </w:rPr>
        <w:t>changed</w:t>
      </w:r>
      <w:r>
        <w:rPr>
          <w:spacing w:val="2"/>
          <w:sz w:val="18"/>
        </w:rPr>
        <w:t> </w:t>
      </w:r>
      <w:r>
        <w:rPr>
          <w:sz w:val="18"/>
        </w:rPr>
        <w:t>the</w:t>
      </w:r>
      <w:r>
        <w:rPr>
          <w:spacing w:val="-4"/>
          <w:sz w:val="18"/>
        </w:rPr>
        <w:t> </w:t>
      </w:r>
      <w:r>
        <w:rPr>
          <w:sz w:val="18"/>
        </w:rPr>
        <w:t>implementation</w:t>
      </w:r>
      <w:r>
        <w:rPr>
          <w:spacing w:val="-1"/>
          <w:sz w:val="18"/>
        </w:rPr>
        <w:t> </w:t>
      </w:r>
      <w:r>
        <w:rPr>
          <w:sz w:val="18"/>
        </w:rPr>
        <w:t>of</w:t>
      </w:r>
      <w:r>
        <w:rPr>
          <w:spacing w:val="-2"/>
          <w:sz w:val="18"/>
        </w:rPr>
        <w:t> </w:t>
      </w:r>
      <w:r>
        <w:rPr>
          <w:sz w:val="18"/>
        </w:rPr>
        <w:t>the</w:t>
      </w:r>
      <w:r>
        <w:rPr>
          <w:spacing w:val="-1"/>
          <w:sz w:val="18"/>
        </w:rPr>
        <w:t> </w:t>
      </w:r>
      <w:r>
        <w:rPr>
          <w:sz w:val="18"/>
        </w:rPr>
        <w:t>HCH</w:t>
      </w:r>
      <w:r>
        <w:rPr>
          <w:spacing w:val="-2"/>
          <w:sz w:val="18"/>
        </w:rPr>
        <w:t> </w:t>
      </w:r>
      <w:r>
        <w:rPr>
          <w:sz w:val="18"/>
        </w:rPr>
        <w:t>in</w:t>
      </w:r>
      <w:r>
        <w:rPr>
          <w:spacing w:val="-3"/>
          <w:sz w:val="18"/>
        </w:rPr>
        <w:t> </w:t>
      </w:r>
      <w:r>
        <w:rPr>
          <w:sz w:val="18"/>
        </w:rPr>
        <w:t>your</w:t>
      </w:r>
      <w:r>
        <w:rPr>
          <w:spacing w:val="-2"/>
          <w:sz w:val="18"/>
        </w:rPr>
        <w:t> </w:t>
      </w:r>
      <w:r>
        <w:rPr>
          <w:sz w:val="18"/>
        </w:rPr>
        <w:t>practice?</w:t>
      </w:r>
    </w:p>
    <w:p>
      <w:pPr>
        <w:pStyle w:val="ListParagraph"/>
        <w:numPr>
          <w:ilvl w:val="1"/>
          <w:numId w:val="103"/>
        </w:numPr>
        <w:tabs>
          <w:tab w:pos="1100" w:val="left" w:leader="none"/>
        </w:tabs>
        <w:spacing w:line="340" w:lineRule="atLeast" w:before="83" w:after="0"/>
        <w:ind w:left="1810" w:right="4548" w:hanging="994"/>
        <w:jc w:val="left"/>
        <w:rPr>
          <w:sz w:val="18"/>
        </w:rPr>
      </w:pPr>
      <w:r>
        <w:rPr/>
        <w:drawing>
          <wp:anchor distT="0" distB="0" distL="0" distR="0" allowOverlap="1" layoutInCell="1" locked="0" behindDoc="1" simplePos="0" relativeHeight="476127232">
            <wp:simplePos x="0" y="0"/>
            <wp:positionH relativeFrom="page">
              <wp:posOffset>1126529</wp:posOffset>
            </wp:positionH>
            <wp:positionV relativeFrom="paragraph">
              <wp:posOffset>389340</wp:posOffset>
            </wp:positionV>
            <wp:extent cx="58380" cy="72153"/>
            <wp:effectExtent l="0" t="0" r="0" b="0"/>
            <wp:wrapNone/>
            <wp:docPr id="1857" name="image13.png"/>
            <wp:cNvGraphicFramePr>
              <a:graphicFrameLocks noChangeAspect="1"/>
            </wp:cNvGraphicFramePr>
            <a:graphic>
              <a:graphicData uri="http://schemas.openxmlformats.org/drawingml/2006/picture">
                <pic:pic>
                  <pic:nvPicPr>
                    <pic:cNvPr id="1858" name="image13.png"/>
                    <pic:cNvPicPr/>
                  </pic:nvPicPr>
                  <pic:blipFill>
                    <a:blip r:embed="rId41" cstate="print"/>
                    <a:stretch>
                      <a:fillRect/>
                    </a:stretch>
                  </pic:blipFill>
                  <pic:spPr>
                    <a:xfrm>
                      <a:off x="0" y="0"/>
                      <a:ext cx="58380" cy="72153"/>
                    </a:xfrm>
                    <a:prstGeom prst="rect">
                      <a:avLst/>
                    </a:prstGeom>
                  </pic:spPr>
                </pic:pic>
              </a:graphicData>
            </a:graphic>
          </wp:anchor>
        </w:drawing>
      </w:r>
      <w:r>
        <w:rPr>
          <w:sz w:val="18"/>
        </w:rPr>
        <w:t>The depth of my job has increased (e.g. through extending my skills).</w:t>
      </w:r>
      <w:r>
        <w:rPr>
          <w:spacing w:val="-48"/>
          <w:sz w:val="18"/>
        </w:rPr>
        <w:t> </w:t>
      </w:r>
      <w:r>
        <w:rPr>
          <w:sz w:val="18"/>
        </w:rPr>
        <w:t>Disagree</w:t>
      </w:r>
      <w:r>
        <w:rPr>
          <w:spacing w:val="-1"/>
          <w:sz w:val="18"/>
        </w:rPr>
        <w:t> </w:t>
      </w:r>
      <w:r>
        <w:rPr>
          <w:sz w:val="18"/>
        </w:rPr>
        <w:t>(1)</w:t>
      </w:r>
    </w:p>
    <w:p>
      <w:pPr>
        <w:spacing w:line="240" w:lineRule="auto" w:before="1"/>
        <w:ind w:left="1810" w:right="7144" w:firstLine="0"/>
        <w:jc w:val="left"/>
        <w:rPr>
          <w:sz w:val="18"/>
        </w:rPr>
      </w:pPr>
      <w:r>
        <w:rPr/>
        <w:drawing>
          <wp:anchor distT="0" distB="0" distL="0" distR="0" allowOverlap="1" layoutInCell="1" locked="0" behindDoc="1" simplePos="0" relativeHeight="476127744">
            <wp:simplePos x="0" y="0"/>
            <wp:positionH relativeFrom="page">
              <wp:posOffset>1126529</wp:posOffset>
            </wp:positionH>
            <wp:positionV relativeFrom="paragraph">
              <wp:posOffset>45104</wp:posOffset>
            </wp:positionV>
            <wp:extent cx="58380" cy="72151"/>
            <wp:effectExtent l="0" t="0" r="0" b="0"/>
            <wp:wrapNone/>
            <wp:docPr id="1859" name="image13.png"/>
            <wp:cNvGraphicFramePr>
              <a:graphicFrameLocks noChangeAspect="1"/>
            </wp:cNvGraphicFramePr>
            <a:graphic>
              <a:graphicData uri="http://schemas.openxmlformats.org/drawingml/2006/picture">
                <pic:pic>
                  <pic:nvPicPr>
                    <pic:cNvPr id="1860"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1" simplePos="0" relativeHeight="476128256">
            <wp:simplePos x="0" y="0"/>
            <wp:positionH relativeFrom="page">
              <wp:posOffset>1126529</wp:posOffset>
            </wp:positionH>
            <wp:positionV relativeFrom="paragraph">
              <wp:posOffset>183789</wp:posOffset>
            </wp:positionV>
            <wp:extent cx="58380" cy="72150"/>
            <wp:effectExtent l="0" t="0" r="0" b="0"/>
            <wp:wrapNone/>
            <wp:docPr id="1861" name="image13.png"/>
            <wp:cNvGraphicFramePr>
              <a:graphicFrameLocks noChangeAspect="1"/>
            </wp:cNvGraphicFramePr>
            <a:graphic>
              <a:graphicData uri="http://schemas.openxmlformats.org/drawingml/2006/picture">
                <pic:pic>
                  <pic:nvPicPr>
                    <pic:cNvPr id="1862" name="image13.png"/>
                    <pic:cNvPicPr/>
                  </pic:nvPicPr>
                  <pic:blipFill>
                    <a:blip r:embed="rId41" cstate="print"/>
                    <a:stretch>
                      <a:fillRect/>
                    </a:stretch>
                  </pic:blipFill>
                  <pic:spPr>
                    <a:xfrm>
                      <a:off x="0" y="0"/>
                      <a:ext cx="58380" cy="72150"/>
                    </a:xfrm>
                    <a:prstGeom prst="rect">
                      <a:avLst/>
                    </a:prstGeom>
                  </pic:spPr>
                </pic:pic>
              </a:graphicData>
            </a:graphic>
          </wp:anchor>
        </w:drawing>
      </w:r>
      <w:r>
        <w:rPr/>
        <w:drawing>
          <wp:anchor distT="0" distB="0" distL="0" distR="0" allowOverlap="1" layoutInCell="1" locked="0" behindDoc="1" simplePos="0" relativeHeight="476128768">
            <wp:simplePos x="0" y="0"/>
            <wp:positionH relativeFrom="page">
              <wp:posOffset>1126529</wp:posOffset>
            </wp:positionH>
            <wp:positionV relativeFrom="paragraph">
              <wp:posOffset>323996</wp:posOffset>
            </wp:positionV>
            <wp:extent cx="58380" cy="72151"/>
            <wp:effectExtent l="0" t="0" r="0" b="0"/>
            <wp:wrapNone/>
            <wp:docPr id="1863" name="image13.png"/>
            <wp:cNvGraphicFramePr>
              <a:graphicFrameLocks noChangeAspect="1"/>
            </wp:cNvGraphicFramePr>
            <a:graphic>
              <a:graphicData uri="http://schemas.openxmlformats.org/drawingml/2006/picture">
                <pic:pic>
                  <pic:nvPicPr>
                    <pic:cNvPr id="186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 disagree (2)</w:t>
      </w:r>
      <w:r>
        <w:rPr>
          <w:spacing w:val="1"/>
          <w:sz w:val="18"/>
        </w:rPr>
        <w:t> </w:t>
      </w:r>
      <w:r>
        <w:rPr>
          <w:sz w:val="18"/>
        </w:rPr>
        <w:t>Neither agree nor disagree (3)</w:t>
      </w:r>
      <w:r>
        <w:rPr>
          <w:spacing w:val="-48"/>
          <w:sz w:val="18"/>
        </w:rPr>
        <w:t> </w:t>
      </w:r>
      <w:r>
        <w:rPr>
          <w:sz w:val="18"/>
        </w:rPr>
        <w:t>Somewhat</w:t>
      </w:r>
      <w:r>
        <w:rPr>
          <w:spacing w:val="-3"/>
          <w:sz w:val="18"/>
        </w:rPr>
        <w:t> </w:t>
      </w:r>
      <w:r>
        <w:rPr>
          <w:sz w:val="18"/>
        </w:rPr>
        <w:t>agree</w:t>
      </w:r>
      <w:r>
        <w:rPr>
          <w:spacing w:val="3"/>
          <w:sz w:val="18"/>
        </w:rPr>
        <w:t> </w:t>
      </w:r>
      <w:r>
        <w:rPr>
          <w:sz w:val="18"/>
        </w:rPr>
        <w:t>(4)</w:t>
      </w:r>
    </w:p>
    <w:p>
      <w:pPr>
        <w:spacing w:line="219" w:lineRule="exact" w:before="0"/>
        <w:ind w:left="1810" w:right="0" w:firstLine="0"/>
        <w:jc w:val="left"/>
        <w:rPr>
          <w:sz w:val="18"/>
        </w:rPr>
      </w:pPr>
      <w:r>
        <w:rPr/>
        <w:drawing>
          <wp:anchor distT="0" distB="0" distL="0" distR="0" allowOverlap="1" layoutInCell="1" locked="0" behindDoc="1" simplePos="0" relativeHeight="476129280">
            <wp:simplePos x="0" y="0"/>
            <wp:positionH relativeFrom="page">
              <wp:posOffset>1126529</wp:posOffset>
            </wp:positionH>
            <wp:positionV relativeFrom="paragraph">
              <wp:posOffset>43148</wp:posOffset>
            </wp:positionV>
            <wp:extent cx="58380" cy="72151"/>
            <wp:effectExtent l="0" t="0" r="0" b="0"/>
            <wp:wrapNone/>
            <wp:docPr id="1865" name="image13.png"/>
            <wp:cNvGraphicFramePr>
              <a:graphicFrameLocks noChangeAspect="1"/>
            </wp:cNvGraphicFramePr>
            <a:graphic>
              <a:graphicData uri="http://schemas.openxmlformats.org/drawingml/2006/picture">
                <pic:pic>
                  <pic:nvPicPr>
                    <pic:cNvPr id="186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Agree (5)</w:t>
      </w:r>
    </w:p>
    <w:p>
      <w:pPr>
        <w:spacing w:before="0"/>
        <w:ind w:left="1810" w:right="0" w:firstLine="0"/>
        <w:jc w:val="left"/>
        <w:rPr>
          <w:sz w:val="18"/>
        </w:rPr>
      </w:pPr>
      <w:r>
        <w:rPr/>
        <w:drawing>
          <wp:anchor distT="0" distB="0" distL="0" distR="0" allowOverlap="1" layoutInCell="1" locked="0" behindDoc="1" simplePos="0" relativeHeight="476129792">
            <wp:simplePos x="0" y="0"/>
            <wp:positionH relativeFrom="page">
              <wp:posOffset>1128053</wp:posOffset>
            </wp:positionH>
            <wp:positionV relativeFrom="paragraph">
              <wp:posOffset>44468</wp:posOffset>
            </wp:positionV>
            <wp:extent cx="58380" cy="72151"/>
            <wp:effectExtent l="0" t="0" r="0" b="0"/>
            <wp:wrapNone/>
            <wp:docPr id="1867" name="image13.png"/>
            <wp:cNvGraphicFramePr>
              <a:graphicFrameLocks noChangeAspect="1"/>
            </wp:cNvGraphicFramePr>
            <a:graphic>
              <a:graphicData uri="http://schemas.openxmlformats.org/drawingml/2006/picture">
                <pic:pic>
                  <pic:nvPicPr>
                    <pic:cNvPr id="186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pStyle w:val="BodyText"/>
        <w:spacing w:before="5"/>
        <w:rPr>
          <w:sz w:val="16"/>
        </w:rPr>
      </w:pPr>
    </w:p>
    <w:p>
      <w:pPr>
        <w:pStyle w:val="ListParagraph"/>
        <w:numPr>
          <w:ilvl w:val="1"/>
          <w:numId w:val="103"/>
        </w:numPr>
        <w:tabs>
          <w:tab w:pos="1100" w:val="left" w:leader="none"/>
        </w:tabs>
        <w:spacing w:line="240" w:lineRule="auto" w:before="0" w:after="0"/>
        <w:ind w:left="1099" w:right="2143" w:hanging="284"/>
        <w:jc w:val="left"/>
        <w:rPr>
          <w:sz w:val="18"/>
        </w:rPr>
      </w:pPr>
      <w:r>
        <w:rPr>
          <w:sz w:val="18"/>
        </w:rPr>
        <w:t>The</w:t>
      </w:r>
      <w:r>
        <w:rPr>
          <w:spacing w:val="-3"/>
          <w:sz w:val="18"/>
        </w:rPr>
        <w:t> </w:t>
      </w:r>
      <w:r>
        <w:rPr>
          <w:sz w:val="18"/>
        </w:rPr>
        <w:t>breadth</w:t>
      </w:r>
      <w:r>
        <w:rPr>
          <w:spacing w:val="-2"/>
          <w:sz w:val="18"/>
        </w:rPr>
        <w:t> </w:t>
      </w:r>
      <w:r>
        <w:rPr>
          <w:sz w:val="18"/>
        </w:rPr>
        <w:t>of</w:t>
      </w:r>
      <w:r>
        <w:rPr>
          <w:spacing w:val="-1"/>
          <w:sz w:val="18"/>
        </w:rPr>
        <w:t> </w:t>
      </w:r>
      <w:r>
        <w:rPr>
          <w:sz w:val="18"/>
        </w:rPr>
        <w:t>my</w:t>
      </w:r>
      <w:r>
        <w:rPr>
          <w:spacing w:val="-3"/>
          <w:sz w:val="18"/>
        </w:rPr>
        <w:t> </w:t>
      </w:r>
      <w:r>
        <w:rPr>
          <w:sz w:val="18"/>
        </w:rPr>
        <w:t>job</w:t>
      </w:r>
      <w:r>
        <w:rPr>
          <w:spacing w:val="-3"/>
          <w:sz w:val="18"/>
        </w:rPr>
        <w:t> </w:t>
      </w:r>
      <w:r>
        <w:rPr>
          <w:sz w:val="18"/>
        </w:rPr>
        <w:t>has</w:t>
      </w:r>
      <w:r>
        <w:rPr>
          <w:spacing w:val="-3"/>
          <w:sz w:val="18"/>
        </w:rPr>
        <w:t> </w:t>
      </w:r>
      <w:r>
        <w:rPr>
          <w:sz w:val="18"/>
        </w:rPr>
        <w:t>been</w:t>
      </w:r>
      <w:r>
        <w:rPr>
          <w:spacing w:val="-2"/>
          <w:sz w:val="18"/>
        </w:rPr>
        <w:t> </w:t>
      </w:r>
      <w:r>
        <w:rPr>
          <w:sz w:val="18"/>
        </w:rPr>
        <w:t>expanded</w:t>
      </w:r>
      <w:r>
        <w:rPr>
          <w:spacing w:val="-2"/>
          <w:sz w:val="18"/>
        </w:rPr>
        <w:t> </w:t>
      </w:r>
      <w:r>
        <w:rPr>
          <w:sz w:val="18"/>
        </w:rPr>
        <w:t>(e.g.</w:t>
      </w:r>
      <w:r>
        <w:rPr>
          <w:spacing w:val="-4"/>
          <w:sz w:val="18"/>
        </w:rPr>
        <w:t> </w:t>
      </w:r>
      <w:r>
        <w:rPr>
          <w:sz w:val="18"/>
        </w:rPr>
        <w:t>wider</w:t>
      </w:r>
      <w:r>
        <w:rPr>
          <w:spacing w:val="-2"/>
          <w:sz w:val="18"/>
        </w:rPr>
        <w:t> </w:t>
      </w:r>
      <w:r>
        <w:rPr>
          <w:sz w:val="18"/>
        </w:rPr>
        <w:t>range</w:t>
      </w:r>
      <w:r>
        <w:rPr>
          <w:spacing w:val="-2"/>
          <w:sz w:val="18"/>
        </w:rPr>
        <w:t> </w:t>
      </w:r>
      <w:r>
        <w:rPr>
          <w:sz w:val="18"/>
        </w:rPr>
        <w:t>of</w:t>
      </w:r>
      <w:r>
        <w:rPr>
          <w:spacing w:val="-1"/>
          <w:sz w:val="18"/>
        </w:rPr>
        <w:t> </w:t>
      </w:r>
      <w:r>
        <w:rPr>
          <w:sz w:val="18"/>
        </w:rPr>
        <w:t>tasks,</w:t>
      </w:r>
      <w:r>
        <w:rPr>
          <w:spacing w:val="-5"/>
          <w:sz w:val="18"/>
        </w:rPr>
        <w:t> </w:t>
      </w:r>
      <w:r>
        <w:rPr>
          <w:sz w:val="18"/>
        </w:rPr>
        <w:t>and/or</w:t>
      </w:r>
      <w:r>
        <w:rPr>
          <w:spacing w:val="-1"/>
          <w:sz w:val="18"/>
        </w:rPr>
        <w:t> </w:t>
      </w:r>
      <w:r>
        <w:rPr>
          <w:sz w:val="18"/>
        </w:rPr>
        <w:t>working</w:t>
      </w:r>
      <w:r>
        <w:rPr>
          <w:spacing w:val="-5"/>
          <w:sz w:val="18"/>
        </w:rPr>
        <w:t> </w:t>
      </w:r>
      <w:r>
        <w:rPr>
          <w:sz w:val="18"/>
        </w:rPr>
        <w:t>with</w:t>
      </w:r>
      <w:r>
        <w:rPr>
          <w:spacing w:val="-2"/>
          <w:sz w:val="18"/>
        </w:rPr>
        <w:t> </w:t>
      </w:r>
      <w:r>
        <w:rPr>
          <w:sz w:val="18"/>
        </w:rPr>
        <w:t>more</w:t>
      </w:r>
      <w:r>
        <w:rPr>
          <w:spacing w:val="-46"/>
          <w:sz w:val="18"/>
        </w:rPr>
        <w:t> </w:t>
      </w:r>
      <w:r>
        <w:rPr>
          <w:sz w:val="18"/>
        </w:rPr>
        <w:t>organisations).</w:t>
      </w:r>
    </w:p>
    <w:p>
      <w:pPr>
        <w:spacing w:before="121"/>
        <w:ind w:left="1810" w:right="0" w:firstLine="0"/>
        <w:jc w:val="left"/>
        <w:rPr>
          <w:sz w:val="18"/>
        </w:rPr>
      </w:pPr>
      <w:r>
        <w:rPr/>
        <w:drawing>
          <wp:anchor distT="0" distB="0" distL="0" distR="0" allowOverlap="1" layoutInCell="1" locked="0" behindDoc="1" simplePos="0" relativeHeight="476130304">
            <wp:simplePos x="0" y="0"/>
            <wp:positionH relativeFrom="page">
              <wp:posOffset>1126529</wp:posOffset>
            </wp:positionH>
            <wp:positionV relativeFrom="paragraph">
              <wp:posOffset>120856</wp:posOffset>
            </wp:positionV>
            <wp:extent cx="58380" cy="73869"/>
            <wp:effectExtent l="0" t="0" r="0" b="0"/>
            <wp:wrapNone/>
            <wp:docPr id="1869" name="image14.png"/>
            <wp:cNvGraphicFramePr>
              <a:graphicFrameLocks noChangeAspect="1"/>
            </wp:cNvGraphicFramePr>
            <a:graphic>
              <a:graphicData uri="http://schemas.openxmlformats.org/drawingml/2006/picture">
                <pic:pic>
                  <pic:nvPicPr>
                    <pic:cNvPr id="1870"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Disagree</w:t>
      </w:r>
      <w:r>
        <w:rPr>
          <w:spacing w:val="-5"/>
          <w:sz w:val="18"/>
        </w:rPr>
        <w:t> </w:t>
      </w:r>
      <w:r>
        <w:rPr>
          <w:sz w:val="18"/>
        </w:rPr>
        <w:t>(1)</w:t>
      </w:r>
    </w:p>
    <w:p>
      <w:pPr>
        <w:spacing w:line="240" w:lineRule="auto" w:before="0"/>
        <w:ind w:left="1810" w:right="7144" w:firstLine="0"/>
        <w:jc w:val="left"/>
        <w:rPr>
          <w:sz w:val="18"/>
        </w:rPr>
      </w:pPr>
      <w:r>
        <w:rPr/>
        <w:drawing>
          <wp:anchor distT="0" distB="0" distL="0" distR="0" allowOverlap="1" layoutInCell="1" locked="0" behindDoc="1" simplePos="0" relativeHeight="476130816">
            <wp:simplePos x="0" y="0"/>
            <wp:positionH relativeFrom="page">
              <wp:posOffset>1126529</wp:posOffset>
            </wp:positionH>
            <wp:positionV relativeFrom="paragraph">
              <wp:posOffset>44214</wp:posOffset>
            </wp:positionV>
            <wp:extent cx="58380" cy="72151"/>
            <wp:effectExtent l="0" t="0" r="0" b="0"/>
            <wp:wrapNone/>
            <wp:docPr id="1871" name="image13.png"/>
            <wp:cNvGraphicFramePr>
              <a:graphicFrameLocks noChangeAspect="1"/>
            </wp:cNvGraphicFramePr>
            <a:graphic>
              <a:graphicData uri="http://schemas.openxmlformats.org/drawingml/2006/picture">
                <pic:pic>
                  <pic:nvPicPr>
                    <pic:cNvPr id="1872"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1" simplePos="0" relativeHeight="476131328">
            <wp:simplePos x="0" y="0"/>
            <wp:positionH relativeFrom="page">
              <wp:posOffset>1126529</wp:posOffset>
            </wp:positionH>
            <wp:positionV relativeFrom="paragraph">
              <wp:posOffset>182705</wp:posOffset>
            </wp:positionV>
            <wp:extent cx="58380" cy="73869"/>
            <wp:effectExtent l="0" t="0" r="0" b="0"/>
            <wp:wrapNone/>
            <wp:docPr id="1873" name="image14.png"/>
            <wp:cNvGraphicFramePr>
              <a:graphicFrameLocks noChangeAspect="1"/>
            </wp:cNvGraphicFramePr>
            <a:graphic>
              <a:graphicData uri="http://schemas.openxmlformats.org/drawingml/2006/picture">
                <pic:pic>
                  <pic:nvPicPr>
                    <pic:cNvPr id="1874" name="image14.png"/>
                    <pic:cNvPicPr/>
                  </pic:nvPicPr>
                  <pic:blipFill>
                    <a:blip r:embed="rId43" cstate="print"/>
                    <a:stretch>
                      <a:fillRect/>
                    </a:stretch>
                  </pic:blipFill>
                  <pic:spPr>
                    <a:xfrm>
                      <a:off x="0" y="0"/>
                      <a:ext cx="58380" cy="73869"/>
                    </a:xfrm>
                    <a:prstGeom prst="rect">
                      <a:avLst/>
                    </a:prstGeom>
                  </pic:spPr>
                </pic:pic>
              </a:graphicData>
            </a:graphic>
          </wp:anchor>
        </w:drawing>
      </w:r>
      <w:r>
        <w:rPr/>
        <w:drawing>
          <wp:anchor distT="0" distB="0" distL="0" distR="0" allowOverlap="1" layoutInCell="1" locked="0" behindDoc="1" simplePos="0" relativeHeight="476131840">
            <wp:simplePos x="0" y="0"/>
            <wp:positionH relativeFrom="page">
              <wp:posOffset>1126529</wp:posOffset>
            </wp:positionH>
            <wp:positionV relativeFrom="paragraph">
              <wp:posOffset>323106</wp:posOffset>
            </wp:positionV>
            <wp:extent cx="58380" cy="72151"/>
            <wp:effectExtent l="0" t="0" r="0" b="0"/>
            <wp:wrapNone/>
            <wp:docPr id="1875" name="image13.png"/>
            <wp:cNvGraphicFramePr>
              <a:graphicFrameLocks noChangeAspect="1"/>
            </wp:cNvGraphicFramePr>
            <a:graphic>
              <a:graphicData uri="http://schemas.openxmlformats.org/drawingml/2006/picture">
                <pic:pic>
                  <pic:nvPicPr>
                    <pic:cNvPr id="187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 disagree (2)</w:t>
      </w:r>
      <w:r>
        <w:rPr>
          <w:spacing w:val="1"/>
          <w:sz w:val="18"/>
        </w:rPr>
        <w:t> </w:t>
      </w:r>
      <w:r>
        <w:rPr>
          <w:sz w:val="18"/>
        </w:rPr>
        <w:t>Neither agree nor disagree (3)</w:t>
      </w:r>
      <w:r>
        <w:rPr>
          <w:spacing w:val="-48"/>
          <w:sz w:val="18"/>
        </w:rPr>
        <w:t> </w:t>
      </w:r>
      <w:r>
        <w:rPr>
          <w:sz w:val="18"/>
        </w:rPr>
        <w:t>Somewhat</w:t>
      </w:r>
      <w:r>
        <w:rPr>
          <w:spacing w:val="-3"/>
          <w:sz w:val="18"/>
        </w:rPr>
        <w:t> </w:t>
      </w:r>
      <w:r>
        <w:rPr>
          <w:sz w:val="18"/>
        </w:rPr>
        <w:t>agree</w:t>
      </w:r>
      <w:r>
        <w:rPr>
          <w:spacing w:val="3"/>
          <w:sz w:val="18"/>
        </w:rPr>
        <w:t> </w:t>
      </w:r>
      <w:r>
        <w:rPr>
          <w:sz w:val="18"/>
        </w:rPr>
        <w:t>(4)</w:t>
      </w:r>
    </w:p>
    <w:p>
      <w:pPr>
        <w:spacing w:line="219" w:lineRule="exact" w:before="0"/>
        <w:ind w:left="1810" w:right="0" w:firstLine="0"/>
        <w:jc w:val="left"/>
        <w:rPr>
          <w:sz w:val="18"/>
        </w:rPr>
      </w:pPr>
      <w:r>
        <w:rPr/>
        <w:drawing>
          <wp:anchor distT="0" distB="0" distL="0" distR="0" allowOverlap="1" layoutInCell="1" locked="0" behindDoc="1" simplePos="0" relativeHeight="476132352">
            <wp:simplePos x="0" y="0"/>
            <wp:positionH relativeFrom="page">
              <wp:posOffset>1126529</wp:posOffset>
            </wp:positionH>
            <wp:positionV relativeFrom="paragraph">
              <wp:posOffset>42893</wp:posOffset>
            </wp:positionV>
            <wp:extent cx="58380" cy="72151"/>
            <wp:effectExtent l="0" t="0" r="0" b="0"/>
            <wp:wrapNone/>
            <wp:docPr id="1877" name="image13.png"/>
            <wp:cNvGraphicFramePr>
              <a:graphicFrameLocks noChangeAspect="1"/>
            </wp:cNvGraphicFramePr>
            <a:graphic>
              <a:graphicData uri="http://schemas.openxmlformats.org/drawingml/2006/picture">
                <pic:pic>
                  <pic:nvPicPr>
                    <pic:cNvPr id="187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Agree (5)</w:t>
      </w:r>
    </w:p>
    <w:p>
      <w:pPr>
        <w:spacing w:before="0"/>
        <w:ind w:left="1810" w:right="0" w:firstLine="0"/>
        <w:jc w:val="left"/>
        <w:rPr>
          <w:sz w:val="18"/>
        </w:rPr>
      </w:pPr>
      <w:r>
        <w:rPr/>
        <w:drawing>
          <wp:anchor distT="0" distB="0" distL="0" distR="0" allowOverlap="1" layoutInCell="1" locked="0" behindDoc="1" simplePos="0" relativeHeight="476132864">
            <wp:simplePos x="0" y="0"/>
            <wp:positionH relativeFrom="page">
              <wp:posOffset>1128053</wp:posOffset>
            </wp:positionH>
            <wp:positionV relativeFrom="paragraph">
              <wp:posOffset>44021</wp:posOffset>
            </wp:positionV>
            <wp:extent cx="58380" cy="73869"/>
            <wp:effectExtent l="0" t="0" r="0" b="0"/>
            <wp:wrapNone/>
            <wp:docPr id="1879" name="image14.png"/>
            <wp:cNvGraphicFramePr>
              <a:graphicFrameLocks noChangeAspect="1"/>
            </wp:cNvGraphicFramePr>
            <a:graphic>
              <a:graphicData uri="http://schemas.openxmlformats.org/drawingml/2006/picture">
                <pic:pic>
                  <pic:nvPicPr>
                    <pic:cNvPr id="1880"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pStyle w:val="ListParagraph"/>
        <w:numPr>
          <w:ilvl w:val="1"/>
          <w:numId w:val="103"/>
        </w:numPr>
        <w:tabs>
          <w:tab w:pos="1100" w:val="left" w:leader="none"/>
        </w:tabs>
        <w:spacing w:line="340" w:lineRule="atLeast" w:before="83" w:after="0"/>
        <w:ind w:left="1810" w:right="6672" w:hanging="994"/>
        <w:jc w:val="left"/>
        <w:rPr>
          <w:sz w:val="18"/>
        </w:rPr>
      </w:pPr>
      <w:r>
        <w:rPr/>
        <w:drawing>
          <wp:anchor distT="0" distB="0" distL="0" distR="0" allowOverlap="1" layoutInCell="1" locked="0" behindDoc="1" simplePos="0" relativeHeight="476133376">
            <wp:simplePos x="0" y="0"/>
            <wp:positionH relativeFrom="page">
              <wp:posOffset>1126529</wp:posOffset>
            </wp:positionH>
            <wp:positionV relativeFrom="paragraph">
              <wp:posOffset>389087</wp:posOffset>
            </wp:positionV>
            <wp:extent cx="58380" cy="72151"/>
            <wp:effectExtent l="0" t="0" r="0" b="0"/>
            <wp:wrapNone/>
            <wp:docPr id="1881" name="image13.png"/>
            <wp:cNvGraphicFramePr>
              <a:graphicFrameLocks noChangeAspect="1"/>
            </wp:cNvGraphicFramePr>
            <a:graphic>
              <a:graphicData uri="http://schemas.openxmlformats.org/drawingml/2006/picture">
                <pic:pic>
                  <pic:nvPicPr>
                    <pic:cNvPr id="188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I now delegate more responsibility to others.</w:t>
      </w:r>
      <w:r>
        <w:rPr>
          <w:spacing w:val="-47"/>
          <w:sz w:val="18"/>
        </w:rPr>
        <w:t> </w:t>
      </w:r>
      <w:r>
        <w:rPr>
          <w:sz w:val="18"/>
        </w:rPr>
        <w:t>Disagree</w:t>
      </w:r>
      <w:r>
        <w:rPr>
          <w:spacing w:val="-1"/>
          <w:sz w:val="18"/>
        </w:rPr>
        <w:t> </w:t>
      </w:r>
      <w:r>
        <w:rPr>
          <w:sz w:val="18"/>
        </w:rPr>
        <w:t>(1)</w:t>
      </w:r>
    </w:p>
    <w:p>
      <w:pPr>
        <w:spacing w:line="240" w:lineRule="auto" w:before="1"/>
        <w:ind w:left="1810" w:right="7144" w:firstLine="0"/>
        <w:jc w:val="left"/>
        <w:rPr>
          <w:sz w:val="18"/>
        </w:rPr>
      </w:pPr>
      <w:r>
        <w:rPr/>
        <w:drawing>
          <wp:anchor distT="0" distB="0" distL="0" distR="0" allowOverlap="1" layoutInCell="1" locked="0" behindDoc="1" simplePos="0" relativeHeight="476133888">
            <wp:simplePos x="0" y="0"/>
            <wp:positionH relativeFrom="page">
              <wp:posOffset>1126529</wp:posOffset>
            </wp:positionH>
            <wp:positionV relativeFrom="paragraph">
              <wp:posOffset>44849</wp:posOffset>
            </wp:positionV>
            <wp:extent cx="58380" cy="72151"/>
            <wp:effectExtent l="0" t="0" r="0" b="0"/>
            <wp:wrapNone/>
            <wp:docPr id="1883" name="image13.png"/>
            <wp:cNvGraphicFramePr>
              <a:graphicFrameLocks noChangeAspect="1"/>
            </wp:cNvGraphicFramePr>
            <a:graphic>
              <a:graphicData uri="http://schemas.openxmlformats.org/drawingml/2006/picture">
                <pic:pic>
                  <pic:nvPicPr>
                    <pic:cNvPr id="1884"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1" simplePos="0" relativeHeight="476134400">
            <wp:simplePos x="0" y="0"/>
            <wp:positionH relativeFrom="page">
              <wp:posOffset>1126529</wp:posOffset>
            </wp:positionH>
            <wp:positionV relativeFrom="paragraph">
              <wp:posOffset>183533</wp:posOffset>
            </wp:positionV>
            <wp:extent cx="58380" cy="72151"/>
            <wp:effectExtent l="0" t="0" r="0" b="0"/>
            <wp:wrapNone/>
            <wp:docPr id="1885" name="image13.png"/>
            <wp:cNvGraphicFramePr>
              <a:graphicFrameLocks noChangeAspect="1"/>
            </wp:cNvGraphicFramePr>
            <a:graphic>
              <a:graphicData uri="http://schemas.openxmlformats.org/drawingml/2006/picture">
                <pic:pic>
                  <pic:nvPicPr>
                    <pic:cNvPr id="1886"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1" simplePos="0" relativeHeight="476134912">
            <wp:simplePos x="0" y="0"/>
            <wp:positionH relativeFrom="page">
              <wp:posOffset>1126529</wp:posOffset>
            </wp:positionH>
            <wp:positionV relativeFrom="paragraph">
              <wp:posOffset>323741</wp:posOffset>
            </wp:positionV>
            <wp:extent cx="58380" cy="72151"/>
            <wp:effectExtent l="0" t="0" r="0" b="0"/>
            <wp:wrapNone/>
            <wp:docPr id="1887" name="image13.png"/>
            <wp:cNvGraphicFramePr>
              <a:graphicFrameLocks noChangeAspect="1"/>
            </wp:cNvGraphicFramePr>
            <a:graphic>
              <a:graphicData uri="http://schemas.openxmlformats.org/drawingml/2006/picture">
                <pic:pic>
                  <pic:nvPicPr>
                    <pic:cNvPr id="188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 disagree (2)</w:t>
      </w:r>
      <w:r>
        <w:rPr>
          <w:spacing w:val="1"/>
          <w:sz w:val="18"/>
        </w:rPr>
        <w:t> </w:t>
      </w:r>
      <w:r>
        <w:rPr>
          <w:sz w:val="18"/>
        </w:rPr>
        <w:t>Neither agree nor disagree (3)</w:t>
      </w:r>
      <w:r>
        <w:rPr>
          <w:spacing w:val="-48"/>
          <w:sz w:val="18"/>
        </w:rPr>
        <w:t> </w:t>
      </w:r>
      <w:r>
        <w:rPr>
          <w:sz w:val="18"/>
        </w:rPr>
        <w:t>Somewhat</w:t>
      </w:r>
      <w:r>
        <w:rPr>
          <w:spacing w:val="-3"/>
          <w:sz w:val="18"/>
        </w:rPr>
        <w:t> </w:t>
      </w:r>
      <w:r>
        <w:rPr>
          <w:sz w:val="18"/>
        </w:rPr>
        <w:t>agree</w:t>
      </w:r>
      <w:r>
        <w:rPr>
          <w:spacing w:val="3"/>
          <w:sz w:val="18"/>
        </w:rPr>
        <w:t> </w:t>
      </w:r>
      <w:r>
        <w:rPr>
          <w:sz w:val="18"/>
        </w:rPr>
        <w:t>(4)</w:t>
      </w:r>
    </w:p>
    <w:p>
      <w:pPr>
        <w:spacing w:line="219" w:lineRule="exact" w:before="0"/>
        <w:ind w:left="1810" w:right="0" w:firstLine="0"/>
        <w:jc w:val="left"/>
        <w:rPr>
          <w:sz w:val="18"/>
        </w:rPr>
      </w:pPr>
      <w:r>
        <w:rPr/>
        <w:drawing>
          <wp:anchor distT="0" distB="0" distL="0" distR="0" allowOverlap="1" layoutInCell="1" locked="0" behindDoc="1" simplePos="0" relativeHeight="476135424">
            <wp:simplePos x="0" y="0"/>
            <wp:positionH relativeFrom="page">
              <wp:posOffset>1126529</wp:posOffset>
            </wp:positionH>
            <wp:positionV relativeFrom="paragraph">
              <wp:posOffset>42894</wp:posOffset>
            </wp:positionV>
            <wp:extent cx="58380" cy="72151"/>
            <wp:effectExtent l="0" t="0" r="0" b="0"/>
            <wp:wrapNone/>
            <wp:docPr id="1889" name="image13.png"/>
            <wp:cNvGraphicFramePr>
              <a:graphicFrameLocks noChangeAspect="1"/>
            </wp:cNvGraphicFramePr>
            <a:graphic>
              <a:graphicData uri="http://schemas.openxmlformats.org/drawingml/2006/picture">
                <pic:pic>
                  <pic:nvPicPr>
                    <pic:cNvPr id="189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Agree (5)</w:t>
      </w:r>
    </w:p>
    <w:p>
      <w:pPr>
        <w:spacing w:before="0"/>
        <w:ind w:left="1810" w:right="0" w:firstLine="0"/>
        <w:jc w:val="left"/>
        <w:rPr>
          <w:sz w:val="18"/>
        </w:rPr>
      </w:pPr>
      <w:r>
        <w:rPr/>
        <w:drawing>
          <wp:anchor distT="0" distB="0" distL="0" distR="0" allowOverlap="1" layoutInCell="1" locked="0" behindDoc="1" simplePos="0" relativeHeight="476135936">
            <wp:simplePos x="0" y="0"/>
            <wp:positionH relativeFrom="page">
              <wp:posOffset>1128053</wp:posOffset>
            </wp:positionH>
            <wp:positionV relativeFrom="paragraph">
              <wp:posOffset>44214</wp:posOffset>
            </wp:positionV>
            <wp:extent cx="58380" cy="72151"/>
            <wp:effectExtent l="0" t="0" r="0" b="0"/>
            <wp:wrapNone/>
            <wp:docPr id="1891" name="image13.png"/>
            <wp:cNvGraphicFramePr>
              <a:graphicFrameLocks noChangeAspect="1"/>
            </wp:cNvGraphicFramePr>
            <a:graphic>
              <a:graphicData uri="http://schemas.openxmlformats.org/drawingml/2006/picture">
                <pic:pic>
                  <pic:nvPicPr>
                    <pic:cNvPr id="189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pStyle w:val="ListParagraph"/>
        <w:numPr>
          <w:ilvl w:val="1"/>
          <w:numId w:val="103"/>
        </w:numPr>
        <w:tabs>
          <w:tab w:pos="1100" w:val="left" w:leader="none"/>
        </w:tabs>
        <w:spacing w:line="340" w:lineRule="atLeast" w:before="83" w:after="0"/>
        <w:ind w:left="1810" w:right="6296" w:hanging="994"/>
        <w:jc w:val="left"/>
        <w:rPr>
          <w:sz w:val="18"/>
        </w:rPr>
      </w:pPr>
      <w:r>
        <w:rPr/>
        <w:drawing>
          <wp:anchor distT="0" distB="0" distL="0" distR="0" allowOverlap="1" layoutInCell="1" locked="0" behindDoc="1" simplePos="0" relativeHeight="476136448">
            <wp:simplePos x="0" y="0"/>
            <wp:positionH relativeFrom="page">
              <wp:posOffset>1126529</wp:posOffset>
            </wp:positionH>
            <wp:positionV relativeFrom="paragraph">
              <wp:posOffset>388706</wp:posOffset>
            </wp:positionV>
            <wp:extent cx="58380" cy="72151"/>
            <wp:effectExtent l="0" t="0" r="0" b="0"/>
            <wp:wrapNone/>
            <wp:docPr id="1893" name="image13.png"/>
            <wp:cNvGraphicFramePr>
              <a:graphicFrameLocks noChangeAspect="1"/>
            </wp:cNvGraphicFramePr>
            <a:graphic>
              <a:graphicData uri="http://schemas.openxmlformats.org/drawingml/2006/picture">
                <pic:pic>
                  <pic:nvPicPr>
                    <pic:cNvPr id="189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I</w:t>
      </w:r>
      <w:r>
        <w:rPr>
          <w:spacing w:val="-3"/>
          <w:sz w:val="18"/>
        </w:rPr>
        <w:t> </w:t>
      </w:r>
      <w:r>
        <w:rPr>
          <w:sz w:val="18"/>
        </w:rPr>
        <w:t>now</w:t>
      </w:r>
      <w:r>
        <w:rPr>
          <w:spacing w:val="-5"/>
          <w:sz w:val="18"/>
        </w:rPr>
        <w:t> </w:t>
      </w:r>
      <w:r>
        <w:rPr>
          <w:sz w:val="18"/>
        </w:rPr>
        <w:t>have</w:t>
      </w:r>
      <w:r>
        <w:rPr>
          <w:spacing w:val="-3"/>
          <w:sz w:val="18"/>
        </w:rPr>
        <w:t> </w:t>
      </w:r>
      <w:r>
        <w:rPr>
          <w:sz w:val="18"/>
        </w:rPr>
        <w:t>more</w:t>
      </w:r>
      <w:r>
        <w:rPr>
          <w:spacing w:val="-3"/>
          <w:sz w:val="18"/>
        </w:rPr>
        <w:t> </w:t>
      </w:r>
      <w:r>
        <w:rPr>
          <w:sz w:val="18"/>
        </w:rPr>
        <w:t>responsibility</w:t>
      </w:r>
      <w:r>
        <w:rPr>
          <w:spacing w:val="-3"/>
          <w:sz w:val="18"/>
        </w:rPr>
        <w:t> </w:t>
      </w:r>
      <w:r>
        <w:rPr>
          <w:sz w:val="18"/>
        </w:rPr>
        <w:t>delegated</w:t>
      </w:r>
      <w:r>
        <w:rPr>
          <w:spacing w:val="-4"/>
          <w:sz w:val="18"/>
        </w:rPr>
        <w:t> </w:t>
      </w:r>
      <w:r>
        <w:rPr>
          <w:sz w:val="18"/>
        </w:rPr>
        <w:t>to</w:t>
      </w:r>
      <w:r>
        <w:rPr>
          <w:spacing w:val="-1"/>
          <w:sz w:val="18"/>
        </w:rPr>
        <w:t> </w:t>
      </w:r>
      <w:r>
        <w:rPr>
          <w:sz w:val="18"/>
        </w:rPr>
        <w:t>me.</w:t>
      </w:r>
      <w:r>
        <w:rPr>
          <w:spacing w:val="-47"/>
          <w:sz w:val="18"/>
        </w:rPr>
        <w:t> </w:t>
      </w:r>
      <w:r>
        <w:rPr>
          <w:sz w:val="18"/>
        </w:rPr>
        <w:t>Disagree</w:t>
      </w:r>
      <w:r>
        <w:rPr>
          <w:spacing w:val="-1"/>
          <w:sz w:val="18"/>
        </w:rPr>
        <w:t> </w:t>
      </w:r>
      <w:r>
        <w:rPr>
          <w:sz w:val="18"/>
        </w:rPr>
        <w:t>(1)</w:t>
      </w:r>
    </w:p>
    <w:p>
      <w:pPr>
        <w:spacing w:line="240" w:lineRule="auto" w:before="1"/>
        <w:ind w:left="1810" w:right="7144" w:firstLine="0"/>
        <w:jc w:val="left"/>
        <w:rPr>
          <w:sz w:val="18"/>
        </w:rPr>
      </w:pPr>
      <w:r>
        <w:rPr/>
        <w:drawing>
          <wp:anchor distT="0" distB="0" distL="0" distR="0" allowOverlap="1" layoutInCell="1" locked="0" behindDoc="1" simplePos="0" relativeHeight="476136960">
            <wp:simplePos x="0" y="0"/>
            <wp:positionH relativeFrom="page">
              <wp:posOffset>1126529</wp:posOffset>
            </wp:positionH>
            <wp:positionV relativeFrom="paragraph">
              <wp:posOffset>44468</wp:posOffset>
            </wp:positionV>
            <wp:extent cx="58380" cy="72151"/>
            <wp:effectExtent l="0" t="0" r="0" b="0"/>
            <wp:wrapNone/>
            <wp:docPr id="1895" name="image13.png"/>
            <wp:cNvGraphicFramePr>
              <a:graphicFrameLocks noChangeAspect="1"/>
            </wp:cNvGraphicFramePr>
            <a:graphic>
              <a:graphicData uri="http://schemas.openxmlformats.org/drawingml/2006/picture">
                <pic:pic>
                  <pic:nvPicPr>
                    <pic:cNvPr id="1896"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1" simplePos="0" relativeHeight="476137472">
            <wp:simplePos x="0" y="0"/>
            <wp:positionH relativeFrom="page">
              <wp:posOffset>1126529</wp:posOffset>
            </wp:positionH>
            <wp:positionV relativeFrom="paragraph">
              <wp:posOffset>184676</wp:posOffset>
            </wp:positionV>
            <wp:extent cx="58380" cy="72151"/>
            <wp:effectExtent l="0" t="0" r="0" b="0"/>
            <wp:wrapNone/>
            <wp:docPr id="1897" name="image13.png"/>
            <wp:cNvGraphicFramePr>
              <a:graphicFrameLocks noChangeAspect="1"/>
            </wp:cNvGraphicFramePr>
            <a:graphic>
              <a:graphicData uri="http://schemas.openxmlformats.org/drawingml/2006/picture">
                <pic:pic>
                  <pic:nvPicPr>
                    <pic:cNvPr id="1898"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1" simplePos="0" relativeHeight="476137984">
            <wp:simplePos x="0" y="0"/>
            <wp:positionH relativeFrom="page">
              <wp:posOffset>1126529</wp:posOffset>
            </wp:positionH>
            <wp:positionV relativeFrom="paragraph">
              <wp:posOffset>323360</wp:posOffset>
            </wp:positionV>
            <wp:extent cx="58380" cy="72151"/>
            <wp:effectExtent l="0" t="0" r="0" b="0"/>
            <wp:wrapNone/>
            <wp:docPr id="1899" name="image13.png"/>
            <wp:cNvGraphicFramePr>
              <a:graphicFrameLocks noChangeAspect="1"/>
            </wp:cNvGraphicFramePr>
            <a:graphic>
              <a:graphicData uri="http://schemas.openxmlformats.org/drawingml/2006/picture">
                <pic:pic>
                  <pic:nvPicPr>
                    <pic:cNvPr id="190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Somewhat disagree (2)</w:t>
      </w:r>
      <w:r>
        <w:rPr>
          <w:spacing w:val="1"/>
          <w:sz w:val="18"/>
        </w:rPr>
        <w:t> </w:t>
      </w:r>
      <w:r>
        <w:rPr>
          <w:sz w:val="18"/>
        </w:rPr>
        <w:t>Neither agree nor disagree (3)</w:t>
      </w:r>
      <w:r>
        <w:rPr>
          <w:spacing w:val="-47"/>
          <w:sz w:val="18"/>
        </w:rPr>
        <w:t> </w:t>
      </w:r>
      <w:r>
        <w:rPr>
          <w:sz w:val="18"/>
        </w:rPr>
        <w:t>Somewhat</w:t>
      </w:r>
      <w:r>
        <w:rPr>
          <w:spacing w:val="-3"/>
          <w:sz w:val="18"/>
        </w:rPr>
        <w:t> </w:t>
      </w:r>
      <w:r>
        <w:rPr>
          <w:sz w:val="18"/>
        </w:rPr>
        <w:t>agree</w:t>
      </w:r>
      <w:r>
        <w:rPr>
          <w:spacing w:val="3"/>
          <w:sz w:val="18"/>
        </w:rPr>
        <w:t> </w:t>
      </w:r>
      <w:r>
        <w:rPr>
          <w:sz w:val="18"/>
        </w:rPr>
        <w:t>(4)</w:t>
      </w:r>
    </w:p>
    <w:p>
      <w:pPr>
        <w:spacing w:line="219" w:lineRule="exact" w:before="0"/>
        <w:ind w:left="1810" w:right="0" w:firstLine="0"/>
        <w:jc w:val="left"/>
        <w:rPr>
          <w:sz w:val="18"/>
        </w:rPr>
      </w:pPr>
      <w:r>
        <w:rPr/>
        <w:drawing>
          <wp:anchor distT="0" distB="0" distL="0" distR="0" allowOverlap="1" layoutInCell="1" locked="0" behindDoc="1" simplePos="0" relativeHeight="476138496">
            <wp:simplePos x="0" y="0"/>
            <wp:positionH relativeFrom="page">
              <wp:posOffset>1126529</wp:posOffset>
            </wp:positionH>
            <wp:positionV relativeFrom="paragraph">
              <wp:posOffset>42512</wp:posOffset>
            </wp:positionV>
            <wp:extent cx="58380" cy="72151"/>
            <wp:effectExtent l="0" t="0" r="0" b="0"/>
            <wp:wrapNone/>
            <wp:docPr id="1901" name="image13.png"/>
            <wp:cNvGraphicFramePr>
              <a:graphicFrameLocks noChangeAspect="1"/>
            </wp:cNvGraphicFramePr>
            <a:graphic>
              <a:graphicData uri="http://schemas.openxmlformats.org/drawingml/2006/picture">
                <pic:pic>
                  <pic:nvPicPr>
                    <pic:cNvPr id="190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Agree (5)</w:t>
      </w:r>
    </w:p>
    <w:p>
      <w:pPr>
        <w:spacing w:before="0"/>
        <w:ind w:left="1810" w:right="0" w:firstLine="0"/>
        <w:jc w:val="left"/>
        <w:rPr>
          <w:sz w:val="18"/>
        </w:rPr>
      </w:pPr>
      <w:r>
        <w:rPr/>
        <w:drawing>
          <wp:anchor distT="0" distB="0" distL="0" distR="0" allowOverlap="1" layoutInCell="1" locked="0" behindDoc="1" simplePos="0" relativeHeight="476139008">
            <wp:simplePos x="0" y="0"/>
            <wp:positionH relativeFrom="page">
              <wp:posOffset>1128053</wp:posOffset>
            </wp:positionH>
            <wp:positionV relativeFrom="paragraph">
              <wp:posOffset>43833</wp:posOffset>
            </wp:positionV>
            <wp:extent cx="58380" cy="72151"/>
            <wp:effectExtent l="0" t="0" r="0" b="0"/>
            <wp:wrapNone/>
            <wp:docPr id="1903" name="image13.png"/>
            <wp:cNvGraphicFramePr>
              <a:graphicFrameLocks noChangeAspect="1"/>
            </wp:cNvGraphicFramePr>
            <a:graphic>
              <a:graphicData uri="http://schemas.openxmlformats.org/drawingml/2006/picture">
                <pic:pic>
                  <pic:nvPicPr>
                    <pic:cNvPr id="190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Don't</w:t>
      </w:r>
      <w:r>
        <w:rPr>
          <w:spacing w:val="-4"/>
          <w:sz w:val="18"/>
        </w:rPr>
        <w:t> </w:t>
      </w:r>
      <w:r>
        <w:rPr>
          <w:sz w:val="18"/>
        </w:rPr>
        <w:t>know</w:t>
      </w:r>
      <w:r>
        <w:rPr>
          <w:spacing w:val="-1"/>
          <w:sz w:val="18"/>
        </w:rPr>
        <w:t> </w:t>
      </w:r>
      <w:r>
        <w:rPr>
          <w:sz w:val="18"/>
        </w:rPr>
        <w:t>(6)</w:t>
      </w:r>
    </w:p>
    <w:p>
      <w:pPr>
        <w:pStyle w:val="BodyText"/>
        <w:spacing w:before="5"/>
        <w:rPr>
          <w:sz w:val="16"/>
        </w:rPr>
      </w:pPr>
    </w:p>
    <w:p>
      <w:pPr>
        <w:spacing w:before="0"/>
        <w:ind w:left="532" w:right="0" w:firstLine="0"/>
        <w:jc w:val="left"/>
        <w:rPr>
          <w:sz w:val="18"/>
        </w:rPr>
      </w:pPr>
      <w:r>
        <w:rPr>
          <w:sz w:val="18"/>
        </w:rPr>
        <w:t>23D.</w:t>
      </w:r>
      <w:r>
        <w:rPr>
          <w:spacing w:val="-4"/>
          <w:sz w:val="18"/>
        </w:rPr>
        <w:t> </w:t>
      </w:r>
      <w:r>
        <w:rPr>
          <w:sz w:val="18"/>
        </w:rPr>
        <w:t>Can</w:t>
      </w:r>
      <w:r>
        <w:rPr>
          <w:spacing w:val="-2"/>
          <w:sz w:val="18"/>
        </w:rPr>
        <w:t> </w:t>
      </w:r>
      <w:r>
        <w:rPr>
          <w:sz w:val="18"/>
        </w:rPr>
        <w:t>you</w:t>
      </w:r>
      <w:r>
        <w:rPr>
          <w:spacing w:val="-3"/>
          <w:sz w:val="18"/>
        </w:rPr>
        <w:t> </w:t>
      </w:r>
      <w:r>
        <w:rPr>
          <w:sz w:val="18"/>
        </w:rPr>
        <w:t>briefly</w:t>
      </w:r>
      <w:r>
        <w:rPr>
          <w:spacing w:val="-3"/>
          <w:sz w:val="18"/>
        </w:rPr>
        <w:t> </w:t>
      </w:r>
      <w:r>
        <w:rPr>
          <w:sz w:val="18"/>
        </w:rPr>
        <w:t>describe</w:t>
      </w:r>
      <w:r>
        <w:rPr>
          <w:spacing w:val="-2"/>
          <w:sz w:val="18"/>
        </w:rPr>
        <w:t> </w:t>
      </w:r>
      <w:r>
        <w:rPr>
          <w:sz w:val="18"/>
        </w:rPr>
        <w:t>how</w:t>
      </w:r>
      <w:r>
        <w:rPr>
          <w:spacing w:val="-5"/>
          <w:sz w:val="18"/>
        </w:rPr>
        <w:t> </w:t>
      </w:r>
      <w:r>
        <w:rPr>
          <w:sz w:val="18"/>
        </w:rPr>
        <w:t>your</w:t>
      </w:r>
      <w:r>
        <w:rPr>
          <w:spacing w:val="-3"/>
          <w:sz w:val="18"/>
        </w:rPr>
        <w:t> </w:t>
      </w:r>
      <w:r>
        <w:rPr>
          <w:sz w:val="18"/>
        </w:rPr>
        <w:t>role</w:t>
      </w:r>
      <w:r>
        <w:rPr>
          <w:spacing w:val="-2"/>
          <w:sz w:val="18"/>
        </w:rPr>
        <w:t> </w:t>
      </w:r>
      <w:r>
        <w:rPr>
          <w:sz w:val="18"/>
        </w:rPr>
        <w:t>has</w:t>
      </w:r>
      <w:r>
        <w:rPr>
          <w:spacing w:val="-6"/>
          <w:sz w:val="18"/>
        </w:rPr>
        <w:t> </w:t>
      </w:r>
      <w:r>
        <w:rPr>
          <w:sz w:val="18"/>
        </w:rPr>
        <w:t>changed</w:t>
      </w:r>
      <w:r>
        <w:rPr>
          <w:spacing w:val="2"/>
          <w:sz w:val="18"/>
        </w:rPr>
        <w:t> </w:t>
      </w:r>
      <w:r>
        <w:rPr>
          <w:sz w:val="18"/>
        </w:rPr>
        <w:t>since</w:t>
      </w:r>
      <w:r>
        <w:rPr>
          <w:spacing w:val="-1"/>
          <w:sz w:val="18"/>
        </w:rPr>
        <w:t> </w:t>
      </w:r>
      <w:r>
        <w:rPr>
          <w:sz w:val="18"/>
        </w:rPr>
        <w:t>the</w:t>
      </w:r>
      <w:r>
        <w:rPr>
          <w:spacing w:val="-4"/>
          <w:sz w:val="18"/>
        </w:rPr>
        <w:t> </w:t>
      </w:r>
      <w:r>
        <w:rPr>
          <w:sz w:val="18"/>
        </w:rPr>
        <w:t>implementation</w:t>
      </w:r>
      <w:r>
        <w:rPr>
          <w:spacing w:val="-3"/>
          <w:sz w:val="18"/>
        </w:rPr>
        <w:t> </w:t>
      </w:r>
      <w:r>
        <w:rPr>
          <w:sz w:val="18"/>
        </w:rPr>
        <w:t>of</w:t>
      </w:r>
      <w:r>
        <w:rPr>
          <w:spacing w:val="-2"/>
          <w:sz w:val="18"/>
        </w:rPr>
        <w:t> </w:t>
      </w:r>
      <w:r>
        <w:rPr>
          <w:sz w:val="18"/>
        </w:rPr>
        <w:t>the</w:t>
      </w:r>
      <w:r>
        <w:rPr>
          <w:spacing w:val="-2"/>
          <w:sz w:val="18"/>
        </w:rPr>
        <w:t> </w:t>
      </w:r>
      <w:r>
        <w:rPr>
          <w:sz w:val="18"/>
        </w:rPr>
        <w:t>HCH</w:t>
      </w:r>
      <w:r>
        <w:rPr>
          <w:spacing w:val="-3"/>
          <w:sz w:val="18"/>
        </w:rPr>
        <w:t> </w:t>
      </w:r>
      <w:r>
        <w:rPr>
          <w:sz w:val="18"/>
        </w:rPr>
        <w:t>in</w:t>
      </w:r>
      <w:r>
        <w:rPr>
          <w:spacing w:val="-2"/>
          <w:sz w:val="18"/>
        </w:rPr>
        <w:t> </w:t>
      </w:r>
      <w:r>
        <w:rPr>
          <w:sz w:val="18"/>
        </w:rPr>
        <w:t>your</w:t>
      </w:r>
      <w:r>
        <w:rPr>
          <w:spacing w:val="-3"/>
          <w:sz w:val="18"/>
        </w:rPr>
        <w:t> </w:t>
      </w:r>
      <w:r>
        <w:rPr>
          <w:sz w:val="18"/>
        </w:rPr>
        <w:t>practice?</w:t>
      </w:r>
    </w:p>
    <w:p>
      <w:pPr>
        <w:pStyle w:val="BodyText"/>
      </w:pPr>
    </w:p>
    <w:p>
      <w:pPr>
        <w:pStyle w:val="BodyText"/>
        <w:spacing w:before="11"/>
        <w:rPr>
          <w:sz w:val="15"/>
        </w:rPr>
      </w:pPr>
      <w:r>
        <w:rPr/>
        <w:pict>
          <v:rect style="position:absolute;margin-left:40.200001pt;margin-top:10.982656pt;width:515.02pt;height:.48004pt;mso-position-horizontal-relative:page;mso-position-vertical-relative:paragraph;z-index:-15366656;mso-wrap-distance-left:0;mso-wrap-distance-right:0" id="docshape221" filled="true" fillcolor="#d9d9d9" stroked="false">
            <v:fill type="solid"/>
            <w10:wrap type="topAndBottom"/>
          </v:rect>
        </w:pict>
      </w:r>
    </w:p>
    <w:p>
      <w:pPr>
        <w:pStyle w:val="BodyText"/>
        <w:spacing w:before="11"/>
        <w:rPr>
          <w:sz w:val="11"/>
        </w:rPr>
      </w:pPr>
    </w:p>
    <w:p>
      <w:pPr>
        <w:spacing w:before="100"/>
        <w:ind w:left="532" w:right="0" w:firstLine="0"/>
        <w:jc w:val="left"/>
        <w:rPr>
          <w:sz w:val="18"/>
        </w:rPr>
      </w:pPr>
      <w:r>
        <w:rPr>
          <w:sz w:val="18"/>
        </w:rPr>
        <w:t>23E.</w:t>
      </w:r>
      <w:r>
        <w:rPr>
          <w:spacing w:val="-4"/>
          <w:sz w:val="18"/>
        </w:rPr>
        <w:t> </w:t>
      </w:r>
      <w:r>
        <w:rPr>
          <w:sz w:val="18"/>
        </w:rPr>
        <w:t>How</w:t>
      </w:r>
      <w:r>
        <w:rPr>
          <w:spacing w:val="-4"/>
          <w:sz w:val="18"/>
        </w:rPr>
        <w:t> </w:t>
      </w:r>
      <w:r>
        <w:rPr>
          <w:sz w:val="18"/>
        </w:rPr>
        <w:t>have</w:t>
      </w:r>
      <w:r>
        <w:rPr>
          <w:spacing w:val="-2"/>
          <w:sz w:val="18"/>
        </w:rPr>
        <w:t> </w:t>
      </w:r>
      <w:r>
        <w:rPr>
          <w:sz w:val="18"/>
        </w:rPr>
        <w:t>the</w:t>
      </w:r>
      <w:r>
        <w:rPr>
          <w:spacing w:val="-1"/>
          <w:sz w:val="18"/>
        </w:rPr>
        <w:t> </w:t>
      </w:r>
      <w:r>
        <w:rPr>
          <w:sz w:val="18"/>
        </w:rPr>
        <w:t>following</w:t>
      </w:r>
      <w:r>
        <w:rPr>
          <w:spacing w:val="-6"/>
          <w:sz w:val="18"/>
        </w:rPr>
        <w:t> </w:t>
      </w:r>
      <w:r>
        <w:rPr>
          <w:sz w:val="18"/>
        </w:rPr>
        <w:t>aspects</w:t>
      </w:r>
      <w:r>
        <w:rPr>
          <w:spacing w:val="-3"/>
          <w:sz w:val="18"/>
        </w:rPr>
        <w:t> </w:t>
      </w:r>
      <w:r>
        <w:rPr>
          <w:sz w:val="18"/>
        </w:rPr>
        <w:t>of</w:t>
      </w:r>
      <w:r>
        <w:rPr>
          <w:spacing w:val="-1"/>
          <w:sz w:val="18"/>
        </w:rPr>
        <w:t> </w:t>
      </w:r>
      <w:r>
        <w:rPr>
          <w:sz w:val="18"/>
        </w:rPr>
        <w:t>your</w:t>
      </w:r>
      <w:r>
        <w:rPr>
          <w:spacing w:val="-3"/>
          <w:sz w:val="18"/>
        </w:rPr>
        <w:t> </w:t>
      </w:r>
      <w:r>
        <w:rPr>
          <w:sz w:val="18"/>
        </w:rPr>
        <w:t>job</w:t>
      </w:r>
      <w:r>
        <w:rPr>
          <w:spacing w:val="-5"/>
          <w:sz w:val="18"/>
        </w:rPr>
        <w:t> </w:t>
      </w:r>
      <w:r>
        <w:rPr>
          <w:sz w:val="18"/>
        </w:rPr>
        <w:t>changed,</w:t>
      </w:r>
      <w:r>
        <w:rPr>
          <w:spacing w:val="-3"/>
          <w:sz w:val="18"/>
        </w:rPr>
        <w:t> </w:t>
      </w:r>
      <w:r>
        <w:rPr>
          <w:sz w:val="18"/>
        </w:rPr>
        <w:t>since the</w:t>
      </w:r>
      <w:r>
        <w:rPr>
          <w:spacing w:val="-4"/>
          <w:sz w:val="18"/>
        </w:rPr>
        <w:t> </w:t>
      </w:r>
      <w:r>
        <w:rPr>
          <w:sz w:val="18"/>
        </w:rPr>
        <w:t>implementation</w:t>
      </w:r>
      <w:r>
        <w:rPr>
          <w:spacing w:val="-2"/>
          <w:sz w:val="18"/>
        </w:rPr>
        <w:t> </w:t>
      </w:r>
      <w:r>
        <w:rPr>
          <w:sz w:val="18"/>
        </w:rPr>
        <w:t>of</w:t>
      </w:r>
      <w:r>
        <w:rPr>
          <w:spacing w:val="-1"/>
          <w:sz w:val="18"/>
        </w:rPr>
        <w:t> </w:t>
      </w:r>
      <w:r>
        <w:rPr>
          <w:sz w:val="18"/>
        </w:rPr>
        <w:t>the</w:t>
      </w:r>
      <w:r>
        <w:rPr>
          <w:spacing w:val="-2"/>
          <w:sz w:val="18"/>
        </w:rPr>
        <w:t> </w:t>
      </w:r>
      <w:r>
        <w:rPr>
          <w:sz w:val="18"/>
        </w:rPr>
        <w:t>HCH</w:t>
      </w:r>
      <w:r>
        <w:rPr>
          <w:spacing w:val="-4"/>
          <w:sz w:val="18"/>
        </w:rPr>
        <w:t> </w:t>
      </w:r>
      <w:r>
        <w:rPr>
          <w:sz w:val="18"/>
        </w:rPr>
        <w:t>in</w:t>
      </w:r>
      <w:r>
        <w:rPr>
          <w:spacing w:val="-2"/>
          <w:sz w:val="18"/>
        </w:rPr>
        <w:t> </w:t>
      </w:r>
      <w:r>
        <w:rPr>
          <w:sz w:val="18"/>
        </w:rPr>
        <w:t>your</w:t>
      </w:r>
      <w:r>
        <w:rPr>
          <w:spacing w:val="-1"/>
          <w:sz w:val="18"/>
        </w:rPr>
        <w:t> </w:t>
      </w:r>
      <w:r>
        <w:rPr>
          <w:sz w:val="18"/>
        </w:rPr>
        <w:t>practice?</w:t>
      </w:r>
    </w:p>
    <w:p>
      <w:pPr>
        <w:pStyle w:val="BodyText"/>
        <w:spacing w:before="3"/>
        <w:rPr>
          <w:sz w:val="16"/>
        </w:rPr>
      </w:pPr>
    </w:p>
    <w:p>
      <w:pPr>
        <w:spacing w:before="1"/>
        <w:ind w:left="816" w:right="0" w:firstLine="0"/>
        <w:jc w:val="left"/>
        <w:rPr>
          <w:sz w:val="18"/>
        </w:rPr>
      </w:pPr>
      <w:r>
        <w:rPr>
          <w:sz w:val="18"/>
        </w:rPr>
        <w:t>a.</w:t>
      </w:r>
      <w:r>
        <w:rPr>
          <w:spacing w:val="8"/>
          <w:sz w:val="18"/>
        </w:rPr>
        <w:t> </w:t>
      </w:r>
      <w:r>
        <w:rPr>
          <w:sz w:val="18"/>
        </w:rPr>
        <w:t>Having</w:t>
      </w:r>
      <w:r>
        <w:rPr>
          <w:spacing w:val="-4"/>
          <w:sz w:val="18"/>
        </w:rPr>
        <w:t> </w:t>
      </w:r>
      <w:r>
        <w:rPr>
          <w:sz w:val="18"/>
        </w:rPr>
        <w:t>clear</w:t>
      </w:r>
      <w:r>
        <w:rPr>
          <w:spacing w:val="-2"/>
          <w:sz w:val="18"/>
        </w:rPr>
        <w:t> </w:t>
      </w:r>
      <w:r>
        <w:rPr>
          <w:sz w:val="18"/>
        </w:rPr>
        <w:t>planned</w:t>
      </w:r>
      <w:r>
        <w:rPr>
          <w:spacing w:val="-2"/>
          <w:sz w:val="18"/>
        </w:rPr>
        <w:t> </w:t>
      </w:r>
      <w:r>
        <w:rPr>
          <w:sz w:val="18"/>
        </w:rPr>
        <w:t>goals</w:t>
      </w:r>
      <w:r>
        <w:rPr>
          <w:spacing w:val="-3"/>
          <w:sz w:val="18"/>
        </w:rPr>
        <w:t> </w:t>
      </w:r>
      <w:r>
        <w:rPr>
          <w:sz w:val="18"/>
        </w:rPr>
        <w:t>and</w:t>
      </w:r>
      <w:r>
        <w:rPr>
          <w:spacing w:val="-2"/>
          <w:sz w:val="18"/>
        </w:rPr>
        <w:t> </w:t>
      </w:r>
      <w:r>
        <w:rPr>
          <w:sz w:val="18"/>
        </w:rPr>
        <w:t>objectives</w:t>
      </w:r>
      <w:r>
        <w:rPr>
          <w:spacing w:val="-3"/>
          <w:sz w:val="18"/>
        </w:rPr>
        <w:t> </w:t>
      </w:r>
      <w:r>
        <w:rPr>
          <w:sz w:val="18"/>
        </w:rPr>
        <w:t>for</w:t>
      </w:r>
      <w:r>
        <w:rPr>
          <w:spacing w:val="-3"/>
          <w:sz w:val="18"/>
        </w:rPr>
        <w:t> </w:t>
      </w:r>
      <w:r>
        <w:rPr>
          <w:sz w:val="18"/>
        </w:rPr>
        <w:t>my</w:t>
      </w:r>
      <w:r>
        <w:rPr>
          <w:spacing w:val="-3"/>
          <w:sz w:val="18"/>
        </w:rPr>
        <w:t> </w:t>
      </w:r>
      <w:r>
        <w:rPr>
          <w:sz w:val="18"/>
        </w:rPr>
        <w:t>job.</w:t>
      </w:r>
    </w:p>
    <w:p>
      <w:pPr>
        <w:spacing w:before="120"/>
        <w:ind w:left="1810" w:right="5812" w:firstLine="0"/>
        <w:jc w:val="left"/>
        <w:rPr>
          <w:sz w:val="18"/>
        </w:rPr>
      </w:pPr>
      <w:r>
        <w:rPr/>
        <w:drawing>
          <wp:anchor distT="0" distB="0" distL="0" distR="0" allowOverlap="1" layoutInCell="1" locked="0" behindDoc="1" simplePos="0" relativeHeight="476139520">
            <wp:simplePos x="0" y="0"/>
            <wp:positionH relativeFrom="page">
              <wp:posOffset>1126529</wp:posOffset>
            </wp:positionH>
            <wp:positionV relativeFrom="paragraph">
              <wp:posOffset>119779</wp:posOffset>
            </wp:positionV>
            <wp:extent cx="58380" cy="72151"/>
            <wp:effectExtent l="0" t="0" r="0" b="0"/>
            <wp:wrapNone/>
            <wp:docPr id="1905" name="image13.png"/>
            <wp:cNvGraphicFramePr>
              <a:graphicFrameLocks noChangeAspect="1"/>
            </wp:cNvGraphicFramePr>
            <a:graphic>
              <a:graphicData uri="http://schemas.openxmlformats.org/drawingml/2006/picture">
                <pic:pic>
                  <pic:nvPicPr>
                    <pic:cNvPr id="1906"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1" simplePos="0" relativeHeight="476140032">
            <wp:simplePos x="0" y="0"/>
            <wp:positionH relativeFrom="page">
              <wp:posOffset>1126529</wp:posOffset>
            </wp:positionH>
            <wp:positionV relativeFrom="paragraph">
              <wp:posOffset>259794</wp:posOffset>
            </wp:positionV>
            <wp:extent cx="58380" cy="73869"/>
            <wp:effectExtent l="0" t="0" r="0" b="0"/>
            <wp:wrapNone/>
            <wp:docPr id="1907" name="image14.png"/>
            <wp:cNvGraphicFramePr>
              <a:graphicFrameLocks noChangeAspect="1"/>
            </wp:cNvGraphicFramePr>
            <a:graphic>
              <a:graphicData uri="http://schemas.openxmlformats.org/drawingml/2006/picture">
                <pic:pic>
                  <pic:nvPicPr>
                    <pic:cNvPr id="1908"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Better</w:t>
      </w:r>
      <w:r>
        <w:rPr>
          <w:spacing w:val="-3"/>
          <w:sz w:val="18"/>
        </w:rPr>
        <w:t> </w:t>
      </w:r>
      <w:r>
        <w:rPr>
          <w:sz w:val="18"/>
        </w:rPr>
        <w:t>than</w:t>
      </w:r>
      <w:r>
        <w:rPr>
          <w:spacing w:val="-2"/>
          <w:sz w:val="18"/>
        </w:rPr>
        <w:t> </w:t>
      </w:r>
      <w:r>
        <w:rPr>
          <w:sz w:val="18"/>
        </w:rPr>
        <w:t>before</w:t>
      </w:r>
      <w:r>
        <w:rPr>
          <w:spacing w:val="-4"/>
          <w:sz w:val="18"/>
        </w:rPr>
        <w:t> </w:t>
      </w:r>
      <w:r>
        <w:rPr>
          <w:sz w:val="18"/>
        </w:rPr>
        <w:t>the</w:t>
      </w:r>
      <w:r>
        <w:rPr>
          <w:spacing w:val="-3"/>
          <w:sz w:val="18"/>
        </w:rPr>
        <w:t> </w:t>
      </w:r>
      <w:r>
        <w:rPr>
          <w:sz w:val="18"/>
        </w:rPr>
        <w:t>HCH</w:t>
      </w:r>
      <w:r>
        <w:rPr>
          <w:spacing w:val="-5"/>
          <w:sz w:val="18"/>
        </w:rPr>
        <w:t> </w:t>
      </w:r>
      <w:r>
        <w:rPr>
          <w:sz w:val="18"/>
        </w:rPr>
        <w:t>program</w:t>
      </w:r>
      <w:r>
        <w:rPr>
          <w:spacing w:val="-6"/>
          <w:sz w:val="18"/>
        </w:rPr>
        <w:t> </w:t>
      </w:r>
      <w:r>
        <w:rPr>
          <w:sz w:val="18"/>
        </w:rPr>
        <w:t>started</w:t>
      </w:r>
      <w:r>
        <w:rPr>
          <w:spacing w:val="-47"/>
          <w:sz w:val="18"/>
        </w:rPr>
        <w:t> </w:t>
      </w:r>
      <w:r>
        <w:rPr>
          <w:sz w:val="18"/>
        </w:rPr>
        <w:t>No</w:t>
      </w:r>
      <w:r>
        <w:rPr>
          <w:spacing w:val="-1"/>
          <w:sz w:val="18"/>
        </w:rPr>
        <w:t> </w:t>
      </w:r>
      <w:r>
        <w:rPr>
          <w:sz w:val="18"/>
        </w:rPr>
        <w:t>change</w:t>
      </w:r>
    </w:p>
    <w:p>
      <w:pPr>
        <w:spacing w:before="0"/>
        <w:ind w:left="1810" w:right="0" w:firstLine="0"/>
        <w:jc w:val="left"/>
        <w:rPr>
          <w:sz w:val="18"/>
        </w:rPr>
      </w:pPr>
      <w:r>
        <w:rPr>
          <w:sz w:val="18"/>
        </w:rPr>
        <w:t>Worse</w:t>
      </w:r>
      <w:r>
        <w:rPr>
          <w:spacing w:val="-3"/>
          <w:sz w:val="18"/>
        </w:rPr>
        <w:t> </w:t>
      </w:r>
      <w:r>
        <w:rPr>
          <w:sz w:val="18"/>
        </w:rPr>
        <w:t>than</w:t>
      </w:r>
      <w:r>
        <w:rPr>
          <w:spacing w:val="-2"/>
          <w:sz w:val="18"/>
        </w:rPr>
        <w:t> </w:t>
      </w:r>
      <w:r>
        <w:rPr>
          <w:sz w:val="18"/>
        </w:rPr>
        <w:t>before</w:t>
      </w:r>
      <w:r>
        <w:rPr>
          <w:spacing w:val="-3"/>
          <w:sz w:val="18"/>
        </w:rPr>
        <w:t> </w:t>
      </w:r>
      <w:r>
        <w:rPr>
          <w:sz w:val="18"/>
        </w:rPr>
        <w:t>the</w:t>
      </w:r>
      <w:r>
        <w:rPr>
          <w:spacing w:val="-2"/>
          <w:sz w:val="18"/>
        </w:rPr>
        <w:t> </w:t>
      </w:r>
      <w:r>
        <w:rPr>
          <w:sz w:val="18"/>
        </w:rPr>
        <w:t>HCH</w:t>
      </w:r>
      <w:r>
        <w:rPr>
          <w:spacing w:val="-5"/>
          <w:sz w:val="18"/>
        </w:rPr>
        <w:t> </w:t>
      </w:r>
      <w:r>
        <w:rPr>
          <w:sz w:val="18"/>
        </w:rPr>
        <w:t>program</w:t>
      </w:r>
      <w:r>
        <w:rPr>
          <w:spacing w:val="-7"/>
          <w:sz w:val="18"/>
        </w:rPr>
        <w:t> </w:t>
      </w:r>
      <w:r>
        <w:rPr>
          <w:sz w:val="18"/>
        </w:rPr>
        <w:t>started</w:t>
      </w:r>
    </w:p>
    <w:p>
      <w:pPr>
        <w:spacing w:after="0"/>
        <w:jc w:val="left"/>
        <w:rPr>
          <w:sz w:val="18"/>
        </w:rPr>
        <w:sectPr>
          <w:pgSz w:w="11910" w:h="16840"/>
          <w:pgMar w:header="0" w:footer="916" w:top="860" w:bottom="1100" w:left="300" w:right="0"/>
        </w:sectPr>
      </w:pPr>
    </w:p>
    <w:p>
      <w:pPr>
        <w:pStyle w:val="BodyText"/>
        <w:ind w:left="419"/>
      </w:pPr>
      <w:r>
        <w:rPr/>
        <w:drawing>
          <wp:anchor distT="0" distB="0" distL="0" distR="0" allowOverlap="1" layoutInCell="1" locked="0" behindDoc="1" simplePos="0" relativeHeight="476141568">
            <wp:simplePos x="0" y="0"/>
            <wp:positionH relativeFrom="page">
              <wp:posOffset>1126529</wp:posOffset>
            </wp:positionH>
            <wp:positionV relativeFrom="page">
              <wp:posOffset>656888</wp:posOffset>
            </wp:positionV>
            <wp:extent cx="57814" cy="73151"/>
            <wp:effectExtent l="0" t="0" r="0" b="0"/>
            <wp:wrapNone/>
            <wp:docPr id="1909" name="image14.png"/>
            <wp:cNvGraphicFramePr>
              <a:graphicFrameLocks noChangeAspect="1"/>
            </wp:cNvGraphicFramePr>
            <a:graphic>
              <a:graphicData uri="http://schemas.openxmlformats.org/drawingml/2006/picture">
                <pic:pic>
                  <pic:nvPicPr>
                    <pic:cNvPr id="1910" name="image14.png"/>
                    <pic:cNvPicPr/>
                  </pic:nvPicPr>
                  <pic:blipFill>
                    <a:blip r:embed="rId43" cstate="print"/>
                    <a:stretch>
                      <a:fillRect/>
                    </a:stretch>
                  </pic:blipFill>
                  <pic:spPr>
                    <a:xfrm>
                      <a:off x="0" y="0"/>
                      <a:ext cx="57814" cy="73151"/>
                    </a:xfrm>
                    <a:prstGeom prst="rect">
                      <a:avLst/>
                    </a:prstGeom>
                  </pic:spPr>
                </pic:pic>
              </a:graphicData>
            </a:graphic>
          </wp:anchor>
        </w:drawing>
      </w:r>
      <w:r>
        <w:rPr/>
        <w:drawing>
          <wp:anchor distT="0" distB="0" distL="0" distR="0" allowOverlap="1" layoutInCell="1" locked="0" behindDoc="1" simplePos="0" relativeHeight="476142080">
            <wp:simplePos x="0" y="0"/>
            <wp:positionH relativeFrom="page">
              <wp:posOffset>1126529</wp:posOffset>
            </wp:positionH>
            <wp:positionV relativeFrom="page">
              <wp:posOffset>1165904</wp:posOffset>
            </wp:positionV>
            <wp:extent cx="57814" cy="73151"/>
            <wp:effectExtent l="0" t="0" r="0" b="0"/>
            <wp:wrapNone/>
            <wp:docPr id="1911" name="image14.png"/>
            <wp:cNvGraphicFramePr>
              <a:graphicFrameLocks noChangeAspect="1"/>
            </wp:cNvGraphicFramePr>
            <a:graphic>
              <a:graphicData uri="http://schemas.openxmlformats.org/drawingml/2006/picture">
                <pic:pic>
                  <pic:nvPicPr>
                    <pic:cNvPr id="1912" name="image14.png"/>
                    <pic:cNvPicPr/>
                  </pic:nvPicPr>
                  <pic:blipFill>
                    <a:blip r:embed="rId43" cstate="print"/>
                    <a:stretch>
                      <a:fillRect/>
                    </a:stretch>
                  </pic:blipFill>
                  <pic:spPr>
                    <a:xfrm>
                      <a:off x="0" y="0"/>
                      <a:ext cx="57814" cy="73151"/>
                    </a:xfrm>
                    <a:prstGeom prst="rect">
                      <a:avLst/>
                    </a:prstGeom>
                  </pic:spPr>
                </pic:pic>
              </a:graphicData>
            </a:graphic>
          </wp:anchor>
        </w:drawing>
      </w:r>
      <w:r>
        <w:rPr/>
        <w:drawing>
          <wp:anchor distT="0" distB="0" distL="0" distR="0" allowOverlap="1" layoutInCell="1" locked="0" behindDoc="1" simplePos="0" relativeHeight="476142592">
            <wp:simplePos x="0" y="0"/>
            <wp:positionH relativeFrom="page">
              <wp:posOffset>1126529</wp:posOffset>
            </wp:positionH>
            <wp:positionV relativeFrom="page">
              <wp:posOffset>1306305</wp:posOffset>
            </wp:positionV>
            <wp:extent cx="57802" cy="71437"/>
            <wp:effectExtent l="0" t="0" r="0" b="0"/>
            <wp:wrapNone/>
            <wp:docPr id="1913" name="image13.png"/>
            <wp:cNvGraphicFramePr>
              <a:graphicFrameLocks noChangeAspect="1"/>
            </wp:cNvGraphicFramePr>
            <a:graphic>
              <a:graphicData uri="http://schemas.openxmlformats.org/drawingml/2006/picture">
                <pic:pic>
                  <pic:nvPicPr>
                    <pic:cNvPr id="1914" name="image13.png"/>
                    <pic:cNvPicPr/>
                  </pic:nvPicPr>
                  <pic:blipFill>
                    <a:blip r:embed="rId41" cstate="print"/>
                    <a:stretch>
                      <a:fillRect/>
                    </a:stretch>
                  </pic:blipFill>
                  <pic:spPr>
                    <a:xfrm>
                      <a:off x="0" y="0"/>
                      <a:ext cx="57802" cy="71437"/>
                    </a:xfrm>
                    <a:prstGeom prst="rect">
                      <a:avLst/>
                    </a:prstGeom>
                  </pic:spPr>
                </pic:pic>
              </a:graphicData>
            </a:graphic>
          </wp:anchor>
        </w:drawing>
      </w:r>
      <w:r>
        <w:rPr/>
        <w:drawing>
          <wp:anchor distT="0" distB="0" distL="0" distR="0" allowOverlap="1" layoutInCell="1" locked="0" behindDoc="1" simplePos="0" relativeHeight="476143104">
            <wp:simplePos x="0" y="0"/>
            <wp:positionH relativeFrom="page">
              <wp:posOffset>1126529</wp:posOffset>
            </wp:positionH>
            <wp:positionV relativeFrom="page">
              <wp:posOffset>1446513</wp:posOffset>
            </wp:positionV>
            <wp:extent cx="57802" cy="71437"/>
            <wp:effectExtent l="0" t="0" r="0" b="0"/>
            <wp:wrapNone/>
            <wp:docPr id="1915" name="image13.png"/>
            <wp:cNvGraphicFramePr>
              <a:graphicFrameLocks noChangeAspect="1"/>
            </wp:cNvGraphicFramePr>
            <a:graphic>
              <a:graphicData uri="http://schemas.openxmlformats.org/drawingml/2006/picture">
                <pic:pic>
                  <pic:nvPicPr>
                    <pic:cNvPr id="1916" name="image13.png"/>
                    <pic:cNvPicPr/>
                  </pic:nvPicPr>
                  <pic:blipFill>
                    <a:blip r:embed="rId41" cstate="print"/>
                    <a:stretch>
                      <a:fillRect/>
                    </a:stretch>
                  </pic:blipFill>
                  <pic:spPr>
                    <a:xfrm>
                      <a:off x="0" y="0"/>
                      <a:ext cx="57802" cy="71437"/>
                    </a:xfrm>
                    <a:prstGeom prst="rect">
                      <a:avLst/>
                    </a:prstGeom>
                  </pic:spPr>
                </pic:pic>
              </a:graphicData>
            </a:graphic>
          </wp:anchor>
        </w:drawing>
      </w:r>
      <w:r>
        <w:rPr/>
        <w:drawing>
          <wp:anchor distT="0" distB="0" distL="0" distR="0" allowOverlap="1" layoutInCell="1" locked="0" behindDoc="1" simplePos="0" relativeHeight="476143616">
            <wp:simplePos x="0" y="0"/>
            <wp:positionH relativeFrom="page">
              <wp:posOffset>1126529</wp:posOffset>
            </wp:positionH>
            <wp:positionV relativeFrom="page">
              <wp:posOffset>1586721</wp:posOffset>
            </wp:positionV>
            <wp:extent cx="57802" cy="71437"/>
            <wp:effectExtent l="0" t="0" r="0" b="0"/>
            <wp:wrapNone/>
            <wp:docPr id="1917" name="image13.png"/>
            <wp:cNvGraphicFramePr>
              <a:graphicFrameLocks noChangeAspect="1"/>
            </wp:cNvGraphicFramePr>
            <a:graphic>
              <a:graphicData uri="http://schemas.openxmlformats.org/drawingml/2006/picture">
                <pic:pic>
                  <pic:nvPicPr>
                    <pic:cNvPr id="1918" name="image13.png"/>
                    <pic:cNvPicPr/>
                  </pic:nvPicPr>
                  <pic:blipFill>
                    <a:blip r:embed="rId41" cstate="print"/>
                    <a:stretch>
                      <a:fillRect/>
                    </a:stretch>
                  </pic:blipFill>
                  <pic:spPr>
                    <a:xfrm>
                      <a:off x="0" y="0"/>
                      <a:ext cx="57802" cy="71437"/>
                    </a:xfrm>
                    <a:prstGeom prst="rect">
                      <a:avLst/>
                    </a:prstGeom>
                  </pic:spPr>
                </pic:pic>
              </a:graphicData>
            </a:graphic>
          </wp:anchor>
        </w:drawing>
      </w:r>
      <w:r>
        <w:rPr/>
        <w:drawing>
          <wp:anchor distT="0" distB="0" distL="0" distR="0" allowOverlap="1" layoutInCell="1" locked="0" behindDoc="1" simplePos="0" relativeHeight="476144128">
            <wp:simplePos x="0" y="0"/>
            <wp:positionH relativeFrom="page">
              <wp:posOffset>1126529</wp:posOffset>
            </wp:positionH>
            <wp:positionV relativeFrom="page">
              <wp:posOffset>2094212</wp:posOffset>
            </wp:positionV>
            <wp:extent cx="58957" cy="72866"/>
            <wp:effectExtent l="0" t="0" r="0" b="0"/>
            <wp:wrapNone/>
            <wp:docPr id="1919" name="image13.png"/>
            <wp:cNvGraphicFramePr>
              <a:graphicFrameLocks noChangeAspect="1"/>
            </wp:cNvGraphicFramePr>
            <a:graphic>
              <a:graphicData uri="http://schemas.openxmlformats.org/drawingml/2006/picture">
                <pic:pic>
                  <pic:nvPicPr>
                    <pic:cNvPr id="1920" name="image13.png"/>
                    <pic:cNvPicPr/>
                  </pic:nvPicPr>
                  <pic:blipFill>
                    <a:blip r:embed="rId41" cstate="print"/>
                    <a:stretch>
                      <a:fillRect/>
                    </a:stretch>
                  </pic:blipFill>
                  <pic:spPr>
                    <a:xfrm>
                      <a:off x="0" y="0"/>
                      <a:ext cx="58957" cy="72866"/>
                    </a:xfrm>
                    <a:prstGeom prst="rect">
                      <a:avLst/>
                    </a:prstGeom>
                  </pic:spPr>
                </pic:pic>
              </a:graphicData>
            </a:graphic>
          </wp:anchor>
        </w:drawing>
      </w:r>
      <w:r>
        <w:rPr/>
        <w:drawing>
          <wp:anchor distT="0" distB="0" distL="0" distR="0" allowOverlap="1" layoutInCell="1" locked="0" behindDoc="1" simplePos="0" relativeHeight="476144640">
            <wp:simplePos x="0" y="0"/>
            <wp:positionH relativeFrom="page">
              <wp:posOffset>1126529</wp:posOffset>
            </wp:positionH>
            <wp:positionV relativeFrom="page">
              <wp:posOffset>2234421</wp:posOffset>
            </wp:positionV>
            <wp:extent cx="57802" cy="71437"/>
            <wp:effectExtent l="0" t="0" r="0" b="0"/>
            <wp:wrapNone/>
            <wp:docPr id="1921" name="image13.png"/>
            <wp:cNvGraphicFramePr>
              <a:graphicFrameLocks noChangeAspect="1"/>
            </wp:cNvGraphicFramePr>
            <a:graphic>
              <a:graphicData uri="http://schemas.openxmlformats.org/drawingml/2006/picture">
                <pic:pic>
                  <pic:nvPicPr>
                    <pic:cNvPr id="1922" name="image13.png"/>
                    <pic:cNvPicPr/>
                  </pic:nvPicPr>
                  <pic:blipFill>
                    <a:blip r:embed="rId41" cstate="print"/>
                    <a:stretch>
                      <a:fillRect/>
                    </a:stretch>
                  </pic:blipFill>
                  <pic:spPr>
                    <a:xfrm>
                      <a:off x="0" y="0"/>
                      <a:ext cx="57802" cy="71437"/>
                    </a:xfrm>
                    <a:prstGeom prst="rect">
                      <a:avLst/>
                    </a:prstGeom>
                  </pic:spPr>
                </pic:pic>
              </a:graphicData>
            </a:graphic>
          </wp:anchor>
        </w:drawing>
      </w:r>
      <w:r>
        <w:rPr/>
        <w:drawing>
          <wp:anchor distT="0" distB="0" distL="0" distR="0" allowOverlap="1" layoutInCell="1" locked="0" behindDoc="1" simplePos="0" relativeHeight="476145152">
            <wp:simplePos x="0" y="0"/>
            <wp:positionH relativeFrom="page">
              <wp:posOffset>1126529</wp:posOffset>
            </wp:positionH>
            <wp:positionV relativeFrom="page">
              <wp:posOffset>2374629</wp:posOffset>
            </wp:positionV>
            <wp:extent cx="57802" cy="71437"/>
            <wp:effectExtent l="0" t="0" r="0" b="0"/>
            <wp:wrapNone/>
            <wp:docPr id="1923" name="image13.png"/>
            <wp:cNvGraphicFramePr>
              <a:graphicFrameLocks noChangeAspect="1"/>
            </wp:cNvGraphicFramePr>
            <a:graphic>
              <a:graphicData uri="http://schemas.openxmlformats.org/drawingml/2006/picture">
                <pic:pic>
                  <pic:nvPicPr>
                    <pic:cNvPr id="1924" name="image13.png"/>
                    <pic:cNvPicPr/>
                  </pic:nvPicPr>
                  <pic:blipFill>
                    <a:blip r:embed="rId41" cstate="print"/>
                    <a:stretch>
                      <a:fillRect/>
                    </a:stretch>
                  </pic:blipFill>
                  <pic:spPr>
                    <a:xfrm>
                      <a:off x="0" y="0"/>
                      <a:ext cx="57802" cy="71437"/>
                    </a:xfrm>
                    <a:prstGeom prst="rect">
                      <a:avLst/>
                    </a:prstGeom>
                  </pic:spPr>
                </pic:pic>
              </a:graphicData>
            </a:graphic>
          </wp:anchor>
        </w:drawing>
      </w:r>
      <w:r>
        <w:rPr/>
        <w:pict>
          <v:shape style="width:522.9500pt;height:243.05pt;mso-position-horizontal-relative:char;mso-position-vertical-relative:line" type="#_x0000_t202" id="docshape222" filled="false" stroked="true" strokeweight=".47998pt" strokecolor="#bebebe">
            <w10:anchorlock/>
            <v:textbox inset="0,0,0,0">
              <w:txbxContent>
                <w:p>
                  <w:pPr>
                    <w:spacing w:line="220" w:lineRule="exact" w:before="0"/>
                    <w:ind w:left="1380" w:right="0" w:firstLine="0"/>
                    <w:jc w:val="left"/>
                    <w:rPr>
                      <w:sz w:val="18"/>
                    </w:rPr>
                  </w:pPr>
                  <w:r>
                    <w:rPr>
                      <w:sz w:val="18"/>
                    </w:rPr>
                    <w:t>Not</w:t>
                  </w:r>
                  <w:r>
                    <w:rPr>
                      <w:spacing w:val="-3"/>
                      <w:sz w:val="18"/>
                    </w:rPr>
                    <w:t> </w:t>
                  </w:r>
                  <w:r>
                    <w:rPr>
                      <w:sz w:val="18"/>
                    </w:rPr>
                    <w:t>sure</w:t>
                  </w:r>
                </w:p>
                <w:p>
                  <w:pPr>
                    <w:pStyle w:val="BodyText"/>
                    <w:spacing w:before="7"/>
                    <w:rPr>
                      <w:sz w:val="19"/>
                    </w:rPr>
                  </w:pPr>
                </w:p>
                <w:p>
                  <w:pPr>
                    <w:numPr>
                      <w:ilvl w:val="0"/>
                      <w:numId w:val="104"/>
                    </w:numPr>
                    <w:tabs>
                      <w:tab w:pos="671" w:val="left" w:leader="none"/>
                    </w:tabs>
                    <w:spacing w:before="0"/>
                    <w:ind w:left="670" w:right="0" w:hanging="285"/>
                    <w:jc w:val="left"/>
                    <w:rPr>
                      <w:sz w:val="18"/>
                    </w:rPr>
                  </w:pPr>
                  <w:r>
                    <w:rPr>
                      <w:sz w:val="18"/>
                    </w:rPr>
                    <w:t>Having</w:t>
                  </w:r>
                  <w:r>
                    <w:rPr>
                      <w:spacing w:val="-4"/>
                      <w:sz w:val="18"/>
                    </w:rPr>
                    <w:t> </w:t>
                  </w:r>
                  <w:r>
                    <w:rPr>
                      <w:sz w:val="18"/>
                    </w:rPr>
                    <w:t>an</w:t>
                  </w:r>
                  <w:r>
                    <w:rPr>
                      <w:spacing w:val="-2"/>
                      <w:sz w:val="18"/>
                    </w:rPr>
                    <w:t> </w:t>
                  </w:r>
                  <w:r>
                    <w:rPr>
                      <w:sz w:val="18"/>
                    </w:rPr>
                    <w:t>interesting</w:t>
                  </w:r>
                  <w:r>
                    <w:rPr>
                      <w:spacing w:val="-4"/>
                      <w:sz w:val="18"/>
                    </w:rPr>
                    <w:t> </w:t>
                  </w:r>
                  <w:r>
                    <w:rPr>
                      <w:sz w:val="18"/>
                    </w:rPr>
                    <w:t>job.</w:t>
                  </w:r>
                </w:p>
                <w:p>
                  <w:pPr>
                    <w:spacing w:before="120"/>
                    <w:ind w:left="1380" w:right="5009" w:firstLine="0"/>
                    <w:jc w:val="left"/>
                    <w:rPr>
                      <w:sz w:val="18"/>
                    </w:rPr>
                  </w:pPr>
                  <w:r>
                    <w:rPr>
                      <w:sz w:val="18"/>
                    </w:rPr>
                    <w:t>Better</w:t>
                  </w:r>
                  <w:r>
                    <w:rPr>
                      <w:spacing w:val="-3"/>
                      <w:sz w:val="18"/>
                    </w:rPr>
                    <w:t> </w:t>
                  </w:r>
                  <w:r>
                    <w:rPr>
                      <w:sz w:val="18"/>
                    </w:rPr>
                    <w:t>than</w:t>
                  </w:r>
                  <w:r>
                    <w:rPr>
                      <w:spacing w:val="-3"/>
                      <w:sz w:val="18"/>
                    </w:rPr>
                    <w:t> </w:t>
                  </w:r>
                  <w:r>
                    <w:rPr>
                      <w:sz w:val="18"/>
                    </w:rPr>
                    <w:t>before</w:t>
                  </w:r>
                  <w:r>
                    <w:rPr>
                      <w:spacing w:val="-4"/>
                      <w:sz w:val="18"/>
                    </w:rPr>
                    <w:t> </w:t>
                  </w:r>
                  <w:r>
                    <w:rPr>
                      <w:sz w:val="18"/>
                    </w:rPr>
                    <w:t>the</w:t>
                  </w:r>
                  <w:r>
                    <w:rPr>
                      <w:spacing w:val="-2"/>
                      <w:sz w:val="18"/>
                    </w:rPr>
                    <w:t> </w:t>
                  </w:r>
                  <w:r>
                    <w:rPr>
                      <w:sz w:val="18"/>
                    </w:rPr>
                    <w:t>HCH</w:t>
                  </w:r>
                  <w:r>
                    <w:rPr>
                      <w:spacing w:val="-6"/>
                      <w:sz w:val="18"/>
                    </w:rPr>
                    <w:t> </w:t>
                  </w:r>
                  <w:r>
                    <w:rPr>
                      <w:sz w:val="18"/>
                    </w:rPr>
                    <w:t>program</w:t>
                  </w:r>
                  <w:r>
                    <w:rPr>
                      <w:spacing w:val="-3"/>
                      <w:sz w:val="18"/>
                    </w:rPr>
                    <w:t> </w:t>
                  </w:r>
                  <w:r>
                    <w:rPr>
                      <w:sz w:val="18"/>
                    </w:rPr>
                    <w:t>started</w:t>
                  </w:r>
                  <w:r>
                    <w:rPr>
                      <w:spacing w:val="-47"/>
                      <w:sz w:val="18"/>
                    </w:rPr>
                    <w:t> </w:t>
                  </w:r>
                  <w:r>
                    <w:rPr>
                      <w:sz w:val="18"/>
                    </w:rPr>
                    <w:t>No</w:t>
                  </w:r>
                  <w:r>
                    <w:rPr>
                      <w:spacing w:val="-1"/>
                      <w:sz w:val="18"/>
                    </w:rPr>
                    <w:t> </w:t>
                  </w:r>
                  <w:r>
                    <w:rPr>
                      <w:sz w:val="18"/>
                    </w:rPr>
                    <w:t>change</w:t>
                  </w:r>
                </w:p>
                <w:p>
                  <w:pPr>
                    <w:spacing w:before="1"/>
                    <w:ind w:left="1380" w:right="5009" w:firstLine="0"/>
                    <w:jc w:val="left"/>
                    <w:rPr>
                      <w:sz w:val="18"/>
                    </w:rPr>
                  </w:pPr>
                  <w:r>
                    <w:rPr>
                      <w:sz w:val="18"/>
                    </w:rPr>
                    <w:t>Worse</w:t>
                  </w:r>
                  <w:r>
                    <w:rPr>
                      <w:spacing w:val="-3"/>
                      <w:sz w:val="18"/>
                    </w:rPr>
                    <w:t> </w:t>
                  </w:r>
                  <w:r>
                    <w:rPr>
                      <w:sz w:val="18"/>
                    </w:rPr>
                    <w:t>than</w:t>
                  </w:r>
                  <w:r>
                    <w:rPr>
                      <w:spacing w:val="-3"/>
                      <w:sz w:val="18"/>
                    </w:rPr>
                    <w:t> </w:t>
                  </w:r>
                  <w:r>
                    <w:rPr>
                      <w:sz w:val="18"/>
                    </w:rPr>
                    <w:t>before</w:t>
                  </w:r>
                  <w:r>
                    <w:rPr>
                      <w:spacing w:val="-3"/>
                      <w:sz w:val="18"/>
                    </w:rPr>
                    <w:t> </w:t>
                  </w:r>
                  <w:r>
                    <w:rPr>
                      <w:sz w:val="18"/>
                    </w:rPr>
                    <w:t>the</w:t>
                  </w:r>
                  <w:r>
                    <w:rPr>
                      <w:spacing w:val="-2"/>
                      <w:sz w:val="18"/>
                    </w:rPr>
                    <w:t> </w:t>
                  </w:r>
                  <w:r>
                    <w:rPr>
                      <w:sz w:val="18"/>
                    </w:rPr>
                    <w:t>HCH</w:t>
                  </w:r>
                  <w:r>
                    <w:rPr>
                      <w:spacing w:val="-6"/>
                      <w:sz w:val="18"/>
                    </w:rPr>
                    <w:t> </w:t>
                  </w:r>
                  <w:r>
                    <w:rPr>
                      <w:sz w:val="18"/>
                    </w:rPr>
                    <w:t>program</w:t>
                  </w:r>
                  <w:r>
                    <w:rPr>
                      <w:spacing w:val="-6"/>
                      <w:sz w:val="18"/>
                    </w:rPr>
                    <w:t> </w:t>
                  </w:r>
                  <w:r>
                    <w:rPr>
                      <w:sz w:val="18"/>
                    </w:rPr>
                    <w:t>started</w:t>
                  </w:r>
                  <w:r>
                    <w:rPr>
                      <w:spacing w:val="-47"/>
                      <w:sz w:val="18"/>
                    </w:rPr>
                    <w:t> </w:t>
                  </w:r>
                  <w:r>
                    <w:rPr>
                      <w:sz w:val="18"/>
                    </w:rPr>
                    <w:t>Not</w:t>
                  </w:r>
                  <w:r>
                    <w:rPr>
                      <w:spacing w:val="-3"/>
                      <w:sz w:val="18"/>
                    </w:rPr>
                    <w:t> </w:t>
                  </w:r>
                  <w:r>
                    <w:rPr>
                      <w:sz w:val="18"/>
                    </w:rPr>
                    <w:t>sure</w:t>
                  </w:r>
                </w:p>
                <w:p>
                  <w:pPr>
                    <w:pStyle w:val="BodyText"/>
                    <w:spacing w:before="4"/>
                    <w:rPr>
                      <w:sz w:val="19"/>
                    </w:rPr>
                  </w:pPr>
                </w:p>
                <w:p>
                  <w:pPr>
                    <w:numPr>
                      <w:ilvl w:val="0"/>
                      <w:numId w:val="104"/>
                    </w:numPr>
                    <w:tabs>
                      <w:tab w:pos="671" w:val="left" w:leader="none"/>
                    </w:tabs>
                    <w:spacing w:before="0"/>
                    <w:ind w:left="670" w:right="0" w:hanging="285"/>
                    <w:jc w:val="left"/>
                    <w:rPr>
                      <w:sz w:val="18"/>
                    </w:rPr>
                  </w:pPr>
                  <w:r>
                    <w:rPr>
                      <w:sz w:val="18"/>
                    </w:rPr>
                    <w:t>Developing</w:t>
                  </w:r>
                  <w:r>
                    <w:rPr>
                      <w:spacing w:val="-5"/>
                      <w:sz w:val="18"/>
                    </w:rPr>
                    <w:t> </w:t>
                  </w:r>
                  <w:r>
                    <w:rPr>
                      <w:sz w:val="18"/>
                    </w:rPr>
                    <w:t>my</w:t>
                  </w:r>
                  <w:r>
                    <w:rPr>
                      <w:spacing w:val="-3"/>
                      <w:sz w:val="18"/>
                    </w:rPr>
                    <w:t> </w:t>
                  </w:r>
                  <w:r>
                    <w:rPr>
                      <w:sz w:val="18"/>
                    </w:rPr>
                    <w:t>role</w:t>
                  </w:r>
                </w:p>
                <w:p>
                  <w:pPr>
                    <w:spacing w:before="121"/>
                    <w:ind w:left="1380" w:right="5009" w:firstLine="0"/>
                    <w:jc w:val="left"/>
                    <w:rPr>
                      <w:sz w:val="18"/>
                    </w:rPr>
                  </w:pPr>
                  <w:r>
                    <w:rPr>
                      <w:sz w:val="18"/>
                    </w:rPr>
                    <w:t>Better</w:t>
                  </w:r>
                  <w:r>
                    <w:rPr>
                      <w:spacing w:val="-3"/>
                      <w:sz w:val="18"/>
                    </w:rPr>
                    <w:t> </w:t>
                  </w:r>
                  <w:r>
                    <w:rPr>
                      <w:sz w:val="18"/>
                    </w:rPr>
                    <w:t>than</w:t>
                  </w:r>
                  <w:r>
                    <w:rPr>
                      <w:spacing w:val="-2"/>
                      <w:sz w:val="18"/>
                    </w:rPr>
                    <w:t> </w:t>
                  </w:r>
                  <w:r>
                    <w:rPr>
                      <w:sz w:val="18"/>
                    </w:rPr>
                    <w:t>before</w:t>
                  </w:r>
                  <w:r>
                    <w:rPr>
                      <w:spacing w:val="-5"/>
                      <w:sz w:val="18"/>
                    </w:rPr>
                    <w:t> </w:t>
                  </w:r>
                  <w:r>
                    <w:rPr>
                      <w:sz w:val="18"/>
                    </w:rPr>
                    <w:t>the</w:t>
                  </w:r>
                  <w:r>
                    <w:rPr>
                      <w:spacing w:val="-2"/>
                      <w:sz w:val="18"/>
                    </w:rPr>
                    <w:t> </w:t>
                  </w:r>
                  <w:r>
                    <w:rPr>
                      <w:sz w:val="18"/>
                    </w:rPr>
                    <w:t>HCH</w:t>
                  </w:r>
                  <w:r>
                    <w:rPr>
                      <w:spacing w:val="-5"/>
                      <w:sz w:val="18"/>
                    </w:rPr>
                    <w:t> </w:t>
                  </w:r>
                  <w:r>
                    <w:rPr>
                      <w:sz w:val="18"/>
                    </w:rPr>
                    <w:t>program</w:t>
                  </w:r>
                  <w:r>
                    <w:rPr>
                      <w:spacing w:val="-6"/>
                      <w:sz w:val="18"/>
                    </w:rPr>
                    <w:t> </w:t>
                  </w:r>
                  <w:r>
                    <w:rPr>
                      <w:sz w:val="18"/>
                    </w:rPr>
                    <w:t>started</w:t>
                  </w:r>
                  <w:r>
                    <w:rPr>
                      <w:spacing w:val="-47"/>
                      <w:sz w:val="18"/>
                    </w:rPr>
                    <w:t> </w:t>
                  </w:r>
                  <w:r>
                    <w:rPr>
                      <w:sz w:val="18"/>
                    </w:rPr>
                    <w:t>No</w:t>
                  </w:r>
                  <w:r>
                    <w:rPr>
                      <w:spacing w:val="-1"/>
                      <w:sz w:val="18"/>
                    </w:rPr>
                    <w:t> </w:t>
                  </w:r>
                  <w:r>
                    <w:rPr>
                      <w:sz w:val="18"/>
                    </w:rPr>
                    <w:t>change</w:t>
                  </w:r>
                </w:p>
                <w:p>
                  <w:pPr>
                    <w:spacing w:before="0"/>
                    <w:ind w:left="1380" w:right="5009" w:firstLine="0"/>
                    <w:jc w:val="left"/>
                    <w:rPr>
                      <w:sz w:val="18"/>
                    </w:rPr>
                  </w:pPr>
                  <w:r>
                    <w:rPr>
                      <w:sz w:val="18"/>
                    </w:rPr>
                    <w:t>Worse</w:t>
                  </w:r>
                  <w:r>
                    <w:rPr>
                      <w:spacing w:val="-3"/>
                      <w:sz w:val="18"/>
                    </w:rPr>
                    <w:t> </w:t>
                  </w:r>
                  <w:r>
                    <w:rPr>
                      <w:sz w:val="18"/>
                    </w:rPr>
                    <w:t>than</w:t>
                  </w:r>
                  <w:r>
                    <w:rPr>
                      <w:spacing w:val="-3"/>
                      <w:sz w:val="18"/>
                    </w:rPr>
                    <w:t> </w:t>
                  </w:r>
                  <w:r>
                    <w:rPr>
                      <w:sz w:val="18"/>
                    </w:rPr>
                    <w:t>before</w:t>
                  </w:r>
                  <w:r>
                    <w:rPr>
                      <w:spacing w:val="-3"/>
                      <w:sz w:val="18"/>
                    </w:rPr>
                    <w:t> </w:t>
                  </w:r>
                  <w:r>
                    <w:rPr>
                      <w:sz w:val="18"/>
                    </w:rPr>
                    <w:t>the</w:t>
                  </w:r>
                  <w:r>
                    <w:rPr>
                      <w:spacing w:val="-2"/>
                      <w:sz w:val="18"/>
                    </w:rPr>
                    <w:t> </w:t>
                  </w:r>
                  <w:r>
                    <w:rPr>
                      <w:sz w:val="18"/>
                    </w:rPr>
                    <w:t>HCH</w:t>
                  </w:r>
                  <w:r>
                    <w:rPr>
                      <w:spacing w:val="-6"/>
                      <w:sz w:val="18"/>
                    </w:rPr>
                    <w:t> </w:t>
                  </w:r>
                  <w:r>
                    <w:rPr>
                      <w:sz w:val="18"/>
                    </w:rPr>
                    <w:t>program</w:t>
                  </w:r>
                  <w:r>
                    <w:rPr>
                      <w:spacing w:val="-6"/>
                      <w:sz w:val="18"/>
                    </w:rPr>
                    <w:t> </w:t>
                  </w:r>
                  <w:r>
                    <w:rPr>
                      <w:sz w:val="18"/>
                    </w:rPr>
                    <w:t>started</w:t>
                  </w:r>
                  <w:r>
                    <w:rPr>
                      <w:spacing w:val="-47"/>
                      <w:sz w:val="18"/>
                    </w:rPr>
                    <w:t> </w:t>
                  </w:r>
                  <w:r>
                    <w:rPr>
                      <w:sz w:val="18"/>
                    </w:rPr>
                    <w:t>Not</w:t>
                  </w:r>
                  <w:r>
                    <w:rPr>
                      <w:spacing w:val="-3"/>
                      <w:sz w:val="18"/>
                    </w:rPr>
                    <w:t> </w:t>
                  </w:r>
                  <w:r>
                    <w:rPr>
                      <w:sz w:val="18"/>
                    </w:rPr>
                    <w:t>sure</w:t>
                  </w:r>
                </w:p>
                <w:p>
                  <w:pPr>
                    <w:numPr>
                      <w:ilvl w:val="0"/>
                      <w:numId w:val="104"/>
                    </w:numPr>
                    <w:tabs>
                      <w:tab w:pos="671" w:val="left" w:leader="none"/>
                    </w:tabs>
                    <w:spacing w:line="340" w:lineRule="atLeast" w:before="121"/>
                    <w:ind w:left="1380" w:right="3614" w:hanging="994"/>
                    <w:jc w:val="left"/>
                    <w:rPr>
                      <w:sz w:val="18"/>
                    </w:rPr>
                  </w:pPr>
                  <w:r>
                    <w:rPr>
                      <w:sz w:val="18"/>
                    </w:rPr>
                    <w:t>Having</w:t>
                  </w:r>
                  <w:r>
                    <w:rPr>
                      <w:spacing w:val="-4"/>
                      <w:sz w:val="18"/>
                    </w:rPr>
                    <w:t> </w:t>
                  </w:r>
                  <w:r>
                    <w:rPr>
                      <w:sz w:val="18"/>
                    </w:rPr>
                    <w:t>adequate</w:t>
                  </w:r>
                  <w:r>
                    <w:rPr>
                      <w:spacing w:val="-2"/>
                      <w:sz w:val="18"/>
                    </w:rPr>
                    <w:t> </w:t>
                  </w:r>
                  <w:r>
                    <w:rPr>
                      <w:sz w:val="18"/>
                    </w:rPr>
                    <w:t>resources</w:t>
                  </w:r>
                  <w:r>
                    <w:rPr>
                      <w:spacing w:val="-5"/>
                      <w:sz w:val="18"/>
                    </w:rPr>
                    <w:t> </w:t>
                  </w:r>
                  <w:r>
                    <w:rPr>
                      <w:sz w:val="18"/>
                    </w:rPr>
                    <w:t>to</w:t>
                  </w:r>
                  <w:r>
                    <w:rPr>
                      <w:spacing w:val="-2"/>
                      <w:sz w:val="18"/>
                    </w:rPr>
                    <w:t> </w:t>
                  </w:r>
                  <w:r>
                    <w:rPr>
                      <w:sz w:val="18"/>
                    </w:rPr>
                    <w:t>do my</w:t>
                  </w:r>
                  <w:r>
                    <w:rPr>
                      <w:spacing w:val="-3"/>
                      <w:sz w:val="18"/>
                    </w:rPr>
                    <w:t> </w:t>
                  </w:r>
                  <w:r>
                    <w:rPr>
                      <w:sz w:val="18"/>
                    </w:rPr>
                    <w:t>job (e.g.</w:t>
                  </w:r>
                  <w:r>
                    <w:rPr>
                      <w:spacing w:val="-3"/>
                      <w:sz w:val="18"/>
                    </w:rPr>
                    <w:t> </w:t>
                  </w:r>
                  <w:r>
                    <w:rPr>
                      <w:sz w:val="18"/>
                    </w:rPr>
                    <w:t>skills,</w:t>
                  </w:r>
                  <w:r>
                    <w:rPr>
                      <w:spacing w:val="-5"/>
                      <w:sz w:val="18"/>
                    </w:rPr>
                    <w:t> </w:t>
                  </w:r>
                  <w:r>
                    <w:rPr>
                      <w:sz w:val="18"/>
                    </w:rPr>
                    <w:t>staff,</w:t>
                  </w:r>
                  <w:r>
                    <w:rPr>
                      <w:spacing w:val="-6"/>
                      <w:sz w:val="18"/>
                    </w:rPr>
                    <w:t> </w:t>
                  </w:r>
                  <w:r>
                    <w:rPr>
                      <w:sz w:val="18"/>
                    </w:rPr>
                    <w:t>IT,</w:t>
                  </w:r>
                  <w:r>
                    <w:rPr>
                      <w:spacing w:val="-3"/>
                      <w:sz w:val="18"/>
                    </w:rPr>
                    <w:t> </w:t>
                  </w:r>
                  <w:r>
                    <w:rPr>
                      <w:sz w:val="18"/>
                    </w:rPr>
                    <w:t>time,</w:t>
                  </w:r>
                  <w:r>
                    <w:rPr>
                      <w:spacing w:val="-4"/>
                      <w:sz w:val="18"/>
                    </w:rPr>
                    <w:t> </w:t>
                  </w:r>
                  <w:r>
                    <w:rPr>
                      <w:sz w:val="18"/>
                    </w:rPr>
                    <w:t>etc.).</w:t>
                  </w:r>
                  <w:r>
                    <w:rPr>
                      <w:spacing w:val="-47"/>
                      <w:sz w:val="18"/>
                    </w:rPr>
                    <w:t> </w:t>
                  </w:r>
                  <w:r>
                    <w:rPr>
                      <w:sz w:val="18"/>
                    </w:rPr>
                    <w:t>Better</w:t>
                  </w:r>
                  <w:r>
                    <w:rPr>
                      <w:spacing w:val="-1"/>
                      <w:sz w:val="18"/>
                    </w:rPr>
                    <w:t> </w:t>
                  </w:r>
                  <w:r>
                    <w:rPr>
                      <w:sz w:val="18"/>
                    </w:rPr>
                    <w:t>than before</w:t>
                  </w:r>
                  <w:r>
                    <w:rPr>
                      <w:spacing w:val="-3"/>
                      <w:sz w:val="18"/>
                    </w:rPr>
                    <w:t> </w:t>
                  </w:r>
                  <w:r>
                    <w:rPr>
                      <w:sz w:val="18"/>
                    </w:rPr>
                    <w:t>the HCH</w:t>
                  </w:r>
                  <w:r>
                    <w:rPr>
                      <w:spacing w:val="-3"/>
                      <w:sz w:val="18"/>
                    </w:rPr>
                    <w:t> </w:t>
                  </w:r>
                  <w:r>
                    <w:rPr>
                      <w:sz w:val="18"/>
                    </w:rPr>
                    <w:t>program</w:t>
                  </w:r>
                  <w:r>
                    <w:rPr>
                      <w:spacing w:val="-5"/>
                      <w:sz w:val="18"/>
                    </w:rPr>
                    <w:t> </w:t>
                  </w:r>
                  <w:r>
                    <w:rPr>
                      <w:sz w:val="18"/>
                    </w:rPr>
                    <w:t>started</w:t>
                  </w:r>
                </w:p>
                <w:p>
                  <w:pPr>
                    <w:spacing w:before="1"/>
                    <w:ind w:left="1380" w:right="0" w:firstLine="0"/>
                    <w:jc w:val="left"/>
                    <w:rPr>
                      <w:sz w:val="18"/>
                    </w:rPr>
                  </w:pPr>
                  <w:r>
                    <w:rPr>
                      <w:sz w:val="18"/>
                    </w:rPr>
                    <w:t>No</w:t>
                  </w:r>
                  <w:r>
                    <w:rPr>
                      <w:spacing w:val="-2"/>
                      <w:sz w:val="18"/>
                    </w:rPr>
                    <w:t> </w:t>
                  </w:r>
                  <w:r>
                    <w:rPr>
                      <w:sz w:val="18"/>
                    </w:rPr>
                    <w:t>change</w:t>
                  </w:r>
                </w:p>
                <w:p>
                  <w:pPr>
                    <w:spacing w:before="0"/>
                    <w:ind w:left="1380" w:right="5009" w:firstLine="0"/>
                    <w:jc w:val="left"/>
                    <w:rPr>
                      <w:sz w:val="18"/>
                    </w:rPr>
                  </w:pPr>
                  <w:r>
                    <w:rPr>
                      <w:sz w:val="18"/>
                    </w:rPr>
                    <w:t>Worse</w:t>
                  </w:r>
                  <w:r>
                    <w:rPr>
                      <w:spacing w:val="-3"/>
                      <w:sz w:val="18"/>
                    </w:rPr>
                    <w:t> </w:t>
                  </w:r>
                  <w:r>
                    <w:rPr>
                      <w:sz w:val="18"/>
                    </w:rPr>
                    <w:t>than</w:t>
                  </w:r>
                  <w:r>
                    <w:rPr>
                      <w:spacing w:val="-3"/>
                      <w:sz w:val="18"/>
                    </w:rPr>
                    <w:t> </w:t>
                  </w:r>
                  <w:r>
                    <w:rPr>
                      <w:sz w:val="18"/>
                    </w:rPr>
                    <w:t>before</w:t>
                  </w:r>
                  <w:r>
                    <w:rPr>
                      <w:spacing w:val="-3"/>
                      <w:sz w:val="18"/>
                    </w:rPr>
                    <w:t> </w:t>
                  </w:r>
                  <w:r>
                    <w:rPr>
                      <w:sz w:val="18"/>
                    </w:rPr>
                    <w:t>the</w:t>
                  </w:r>
                  <w:r>
                    <w:rPr>
                      <w:spacing w:val="-2"/>
                      <w:sz w:val="18"/>
                    </w:rPr>
                    <w:t> </w:t>
                  </w:r>
                  <w:r>
                    <w:rPr>
                      <w:sz w:val="18"/>
                    </w:rPr>
                    <w:t>HCH</w:t>
                  </w:r>
                  <w:r>
                    <w:rPr>
                      <w:spacing w:val="-6"/>
                      <w:sz w:val="18"/>
                    </w:rPr>
                    <w:t> </w:t>
                  </w:r>
                  <w:r>
                    <w:rPr>
                      <w:sz w:val="18"/>
                    </w:rPr>
                    <w:t>program</w:t>
                  </w:r>
                  <w:r>
                    <w:rPr>
                      <w:spacing w:val="-6"/>
                      <w:sz w:val="18"/>
                    </w:rPr>
                    <w:t> </w:t>
                  </w:r>
                  <w:r>
                    <w:rPr>
                      <w:sz w:val="18"/>
                    </w:rPr>
                    <w:t>started</w:t>
                  </w:r>
                  <w:r>
                    <w:rPr>
                      <w:spacing w:val="-47"/>
                      <w:sz w:val="18"/>
                    </w:rPr>
                    <w:t> </w:t>
                  </w:r>
                  <w:r>
                    <w:rPr>
                      <w:sz w:val="18"/>
                    </w:rPr>
                    <w:t>Not</w:t>
                  </w:r>
                  <w:r>
                    <w:rPr>
                      <w:spacing w:val="-3"/>
                      <w:sz w:val="18"/>
                    </w:rPr>
                    <w:t> </w:t>
                  </w:r>
                  <w:r>
                    <w:rPr>
                      <w:sz w:val="18"/>
                    </w:rPr>
                    <w:t>sure</w:t>
                  </w:r>
                </w:p>
              </w:txbxContent>
            </v:textbox>
            <v:stroke dashstyle="solid"/>
          </v:shape>
        </w:pict>
      </w:r>
      <w:r>
        <w:rPr/>
      </w:r>
    </w:p>
    <w:p>
      <w:pPr>
        <w:pStyle w:val="BodyText"/>
        <w:rPr>
          <w:sz w:val="7"/>
        </w:rPr>
      </w:pPr>
    </w:p>
    <w:p>
      <w:pPr>
        <w:pStyle w:val="ListParagraph"/>
        <w:numPr>
          <w:ilvl w:val="0"/>
          <w:numId w:val="103"/>
        </w:numPr>
        <w:tabs>
          <w:tab w:pos="722" w:val="left" w:leader="none"/>
        </w:tabs>
        <w:spacing w:line="369" w:lineRule="auto" w:before="101" w:after="0"/>
        <w:ind w:left="1697" w:right="4748" w:hanging="1278"/>
        <w:jc w:val="left"/>
        <w:rPr>
          <w:sz w:val="18"/>
        </w:rPr>
      </w:pPr>
      <w:r>
        <w:rPr/>
        <w:drawing>
          <wp:anchor distT="0" distB="0" distL="0" distR="0" allowOverlap="1" layoutInCell="1" locked="0" behindDoc="1" simplePos="0" relativeHeight="476145664">
            <wp:simplePos x="0" y="0"/>
            <wp:positionH relativeFrom="page">
              <wp:posOffset>1126529</wp:posOffset>
            </wp:positionH>
            <wp:positionV relativeFrom="paragraph">
              <wp:posOffset>-1259948</wp:posOffset>
            </wp:positionV>
            <wp:extent cx="58957" cy="72866"/>
            <wp:effectExtent l="0" t="0" r="0" b="0"/>
            <wp:wrapNone/>
            <wp:docPr id="1925" name="image13.png"/>
            <wp:cNvGraphicFramePr>
              <a:graphicFrameLocks noChangeAspect="1"/>
            </wp:cNvGraphicFramePr>
            <a:graphic>
              <a:graphicData uri="http://schemas.openxmlformats.org/drawingml/2006/picture">
                <pic:pic>
                  <pic:nvPicPr>
                    <pic:cNvPr id="1926" name="image13.png"/>
                    <pic:cNvPicPr/>
                  </pic:nvPicPr>
                  <pic:blipFill>
                    <a:blip r:embed="rId41" cstate="print"/>
                    <a:stretch>
                      <a:fillRect/>
                    </a:stretch>
                  </pic:blipFill>
                  <pic:spPr>
                    <a:xfrm>
                      <a:off x="0" y="0"/>
                      <a:ext cx="58957" cy="72866"/>
                    </a:xfrm>
                    <a:prstGeom prst="rect">
                      <a:avLst/>
                    </a:prstGeom>
                  </pic:spPr>
                </pic:pic>
              </a:graphicData>
            </a:graphic>
          </wp:anchor>
        </w:drawing>
      </w:r>
      <w:r>
        <w:rPr/>
        <w:drawing>
          <wp:anchor distT="0" distB="0" distL="0" distR="0" allowOverlap="1" layoutInCell="1" locked="0" behindDoc="1" simplePos="0" relativeHeight="476146176">
            <wp:simplePos x="0" y="0"/>
            <wp:positionH relativeFrom="page">
              <wp:posOffset>1126529</wp:posOffset>
            </wp:positionH>
            <wp:positionV relativeFrom="paragraph">
              <wp:posOffset>-750931</wp:posOffset>
            </wp:positionV>
            <wp:extent cx="57802" cy="71437"/>
            <wp:effectExtent l="0" t="0" r="0" b="0"/>
            <wp:wrapNone/>
            <wp:docPr id="1927" name="image13.png"/>
            <wp:cNvGraphicFramePr>
              <a:graphicFrameLocks noChangeAspect="1"/>
            </wp:cNvGraphicFramePr>
            <a:graphic>
              <a:graphicData uri="http://schemas.openxmlformats.org/drawingml/2006/picture">
                <pic:pic>
                  <pic:nvPicPr>
                    <pic:cNvPr id="1928" name="image13.png"/>
                    <pic:cNvPicPr/>
                  </pic:nvPicPr>
                  <pic:blipFill>
                    <a:blip r:embed="rId41" cstate="print"/>
                    <a:stretch>
                      <a:fillRect/>
                    </a:stretch>
                  </pic:blipFill>
                  <pic:spPr>
                    <a:xfrm>
                      <a:off x="0" y="0"/>
                      <a:ext cx="57802" cy="71437"/>
                    </a:xfrm>
                    <a:prstGeom prst="rect">
                      <a:avLst/>
                    </a:prstGeom>
                  </pic:spPr>
                </pic:pic>
              </a:graphicData>
            </a:graphic>
          </wp:anchor>
        </w:drawing>
      </w:r>
      <w:r>
        <w:rPr/>
        <w:drawing>
          <wp:anchor distT="0" distB="0" distL="0" distR="0" allowOverlap="1" layoutInCell="1" locked="0" behindDoc="1" simplePos="0" relativeHeight="476146688">
            <wp:simplePos x="0" y="0"/>
            <wp:positionH relativeFrom="page">
              <wp:posOffset>1126529</wp:posOffset>
            </wp:positionH>
            <wp:positionV relativeFrom="paragraph">
              <wp:posOffset>-610724</wp:posOffset>
            </wp:positionV>
            <wp:extent cx="58957" cy="72866"/>
            <wp:effectExtent l="0" t="0" r="0" b="0"/>
            <wp:wrapNone/>
            <wp:docPr id="1929" name="image13.png"/>
            <wp:cNvGraphicFramePr>
              <a:graphicFrameLocks noChangeAspect="1"/>
            </wp:cNvGraphicFramePr>
            <a:graphic>
              <a:graphicData uri="http://schemas.openxmlformats.org/drawingml/2006/picture">
                <pic:pic>
                  <pic:nvPicPr>
                    <pic:cNvPr id="1930" name="image13.png"/>
                    <pic:cNvPicPr/>
                  </pic:nvPicPr>
                  <pic:blipFill>
                    <a:blip r:embed="rId41" cstate="print"/>
                    <a:stretch>
                      <a:fillRect/>
                    </a:stretch>
                  </pic:blipFill>
                  <pic:spPr>
                    <a:xfrm>
                      <a:off x="0" y="0"/>
                      <a:ext cx="58957" cy="72866"/>
                    </a:xfrm>
                    <a:prstGeom prst="rect">
                      <a:avLst/>
                    </a:prstGeom>
                  </pic:spPr>
                </pic:pic>
              </a:graphicData>
            </a:graphic>
          </wp:anchor>
        </w:drawing>
      </w:r>
      <w:r>
        <w:rPr/>
        <w:drawing>
          <wp:anchor distT="0" distB="0" distL="0" distR="0" allowOverlap="1" layoutInCell="1" locked="0" behindDoc="1" simplePos="0" relativeHeight="476147200">
            <wp:simplePos x="0" y="0"/>
            <wp:positionH relativeFrom="page">
              <wp:posOffset>1126529</wp:posOffset>
            </wp:positionH>
            <wp:positionV relativeFrom="paragraph">
              <wp:posOffset>-470515</wp:posOffset>
            </wp:positionV>
            <wp:extent cx="57802" cy="71437"/>
            <wp:effectExtent l="0" t="0" r="0" b="0"/>
            <wp:wrapNone/>
            <wp:docPr id="1931" name="image13.png"/>
            <wp:cNvGraphicFramePr>
              <a:graphicFrameLocks noChangeAspect="1"/>
            </wp:cNvGraphicFramePr>
            <a:graphic>
              <a:graphicData uri="http://schemas.openxmlformats.org/drawingml/2006/picture">
                <pic:pic>
                  <pic:nvPicPr>
                    <pic:cNvPr id="1932" name="image13.png"/>
                    <pic:cNvPicPr/>
                  </pic:nvPicPr>
                  <pic:blipFill>
                    <a:blip r:embed="rId41" cstate="print"/>
                    <a:stretch>
                      <a:fillRect/>
                    </a:stretch>
                  </pic:blipFill>
                  <pic:spPr>
                    <a:xfrm>
                      <a:off x="0" y="0"/>
                      <a:ext cx="57802" cy="71437"/>
                    </a:xfrm>
                    <a:prstGeom prst="rect">
                      <a:avLst/>
                    </a:prstGeom>
                  </pic:spPr>
                </pic:pic>
              </a:graphicData>
            </a:graphic>
          </wp:anchor>
        </w:drawing>
      </w:r>
      <w:r>
        <w:rPr/>
        <w:drawing>
          <wp:anchor distT="0" distB="0" distL="0" distR="0" allowOverlap="1" layoutInCell="1" locked="0" behindDoc="1" simplePos="0" relativeHeight="476147712">
            <wp:simplePos x="0" y="0"/>
            <wp:positionH relativeFrom="page">
              <wp:posOffset>1126529</wp:posOffset>
            </wp:positionH>
            <wp:positionV relativeFrom="paragraph">
              <wp:posOffset>-330307</wp:posOffset>
            </wp:positionV>
            <wp:extent cx="57802" cy="71437"/>
            <wp:effectExtent l="0" t="0" r="0" b="0"/>
            <wp:wrapNone/>
            <wp:docPr id="1933" name="image13.png"/>
            <wp:cNvGraphicFramePr>
              <a:graphicFrameLocks noChangeAspect="1"/>
            </wp:cNvGraphicFramePr>
            <a:graphic>
              <a:graphicData uri="http://schemas.openxmlformats.org/drawingml/2006/picture">
                <pic:pic>
                  <pic:nvPicPr>
                    <pic:cNvPr id="1934" name="image13.png"/>
                    <pic:cNvPicPr/>
                  </pic:nvPicPr>
                  <pic:blipFill>
                    <a:blip r:embed="rId41" cstate="print"/>
                    <a:stretch>
                      <a:fillRect/>
                    </a:stretch>
                  </pic:blipFill>
                  <pic:spPr>
                    <a:xfrm>
                      <a:off x="0" y="0"/>
                      <a:ext cx="57802" cy="71437"/>
                    </a:xfrm>
                    <a:prstGeom prst="rect">
                      <a:avLst/>
                    </a:prstGeom>
                  </pic:spPr>
                </pic:pic>
              </a:graphicData>
            </a:graphic>
          </wp:anchor>
        </w:drawing>
      </w:r>
      <w:r>
        <w:rPr/>
        <w:drawing>
          <wp:anchor distT="0" distB="0" distL="0" distR="0" allowOverlap="1" layoutInCell="1" locked="0" behindDoc="1" simplePos="0" relativeHeight="476148224">
            <wp:simplePos x="0" y="0"/>
            <wp:positionH relativeFrom="page">
              <wp:posOffset>1054901</wp:posOffset>
            </wp:positionH>
            <wp:positionV relativeFrom="paragraph">
              <wp:posOffset>325013</wp:posOffset>
            </wp:positionV>
            <wp:extent cx="58380" cy="72150"/>
            <wp:effectExtent l="0" t="0" r="0" b="0"/>
            <wp:wrapNone/>
            <wp:docPr id="1935" name="image13.png"/>
            <wp:cNvGraphicFramePr>
              <a:graphicFrameLocks noChangeAspect="1"/>
            </wp:cNvGraphicFramePr>
            <a:graphic>
              <a:graphicData uri="http://schemas.openxmlformats.org/drawingml/2006/picture">
                <pic:pic>
                  <pic:nvPicPr>
                    <pic:cNvPr id="1936" name="image13.png"/>
                    <pic:cNvPicPr/>
                  </pic:nvPicPr>
                  <pic:blipFill>
                    <a:blip r:embed="rId41" cstate="print"/>
                    <a:stretch>
                      <a:fillRect/>
                    </a:stretch>
                  </pic:blipFill>
                  <pic:spPr>
                    <a:xfrm>
                      <a:off x="0" y="0"/>
                      <a:ext cx="58380" cy="72150"/>
                    </a:xfrm>
                    <a:prstGeom prst="rect">
                      <a:avLst/>
                    </a:prstGeom>
                  </pic:spPr>
                </pic:pic>
              </a:graphicData>
            </a:graphic>
          </wp:anchor>
        </w:drawing>
      </w:r>
      <w:r>
        <w:rPr>
          <w:sz w:val="18"/>
        </w:rPr>
        <w:t>Which</w:t>
      </w:r>
      <w:r>
        <w:rPr>
          <w:spacing w:val="-4"/>
          <w:sz w:val="18"/>
        </w:rPr>
        <w:t> </w:t>
      </w:r>
      <w:r>
        <w:rPr>
          <w:sz w:val="18"/>
        </w:rPr>
        <w:t>number</w:t>
      </w:r>
      <w:r>
        <w:rPr>
          <w:spacing w:val="-4"/>
          <w:sz w:val="18"/>
        </w:rPr>
        <w:t> </w:t>
      </w:r>
      <w:r>
        <w:rPr>
          <w:sz w:val="18"/>
        </w:rPr>
        <w:t>below</w:t>
      </w:r>
      <w:r>
        <w:rPr>
          <w:spacing w:val="-5"/>
          <w:sz w:val="18"/>
        </w:rPr>
        <w:t> </w:t>
      </w:r>
      <w:r>
        <w:rPr>
          <w:sz w:val="18"/>
        </w:rPr>
        <w:t>best</w:t>
      </w:r>
      <w:r>
        <w:rPr>
          <w:spacing w:val="-6"/>
          <w:sz w:val="18"/>
        </w:rPr>
        <w:t> </w:t>
      </w:r>
      <w:r>
        <w:rPr>
          <w:sz w:val="18"/>
        </w:rPr>
        <w:t>describes</w:t>
      </w:r>
      <w:r>
        <w:rPr>
          <w:spacing w:val="-5"/>
          <w:sz w:val="18"/>
        </w:rPr>
        <w:t> </w:t>
      </w:r>
      <w:r>
        <w:rPr>
          <w:sz w:val="18"/>
        </w:rPr>
        <w:t>the</w:t>
      </w:r>
      <w:r>
        <w:rPr>
          <w:spacing w:val="-4"/>
          <w:sz w:val="18"/>
        </w:rPr>
        <w:t> </w:t>
      </w:r>
      <w:r>
        <w:rPr>
          <w:sz w:val="18"/>
        </w:rPr>
        <w:t>atmosphere</w:t>
      </w:r>
      <w:r>
        <w:rPr>
          <w:spacing w:val="-4"/>
          <w:sz w:val="18"/>
        </w:rPr>
        <w:t> </w:t>
      </w:r>
      <w:r>
        <w:rPr>
          <w:sz w:val="18"/>
        </w:rPr>
        <w:t>in</w:t>
      </w:r>
      <w:r>
        <w:rPr>
          <w:spacing w:val="-4"/>
          <w:sz w:val="18"/>
        </w:rPr>
        <w:t> </w:t>
      </w:r>
      <w:r>
        <w:rPr>
          <w:sz w:val="18"/>
        </w:rPr>
        <w:t>your</w:t>
      </w:r>
      <w:r>
        <w:rPr>
          <w:spacing w:val="-6"/>
          <w:sz w:val="18"/>
        </w:rPr>
        <w:t> </w:t>
      </w:r>
      <w:r>
        <w:rPr>
          <w:sz w:val="18"/>
        </w:rPr>
        <w:t>practice?</w:t>
      </w:r>
      <w:r>
        <w:rPr>
          <w:spacing w:val="-47"/>
          <w:sz w:val="18"/>
        </w:rPr>
        <w:t> </w:t>
      </w:r>
      <w:r>
        <w:rPr>
          <w:sz w:val="18"/>
        </w:rPr>
        <w:t>Calm</w:t>
      </w:r>
      <w:r>
        <w:rPr>
          <w:spacing w:val="-2"/>
          <w:sz w:val="18"/>
        </w:rPr>
        <w:t> </w:t>
      </w:r>
      <w:r>
        <w:rPr>
          <w:sz w:val="18"/>
        </w:rPr>
        <w:t>(1)</w:t>
      </w:r>
    </w:p>
    <w:p>
      <w:pPr>
        <w:spacing w:before="1"/>
        <w:ind w:left="1697" w:right="0" w:firstLine="0"/>
        <w:jc w:val="left"/>
        <w:rPr>
          <w:sz w:val="18"/>
        </w:rPr>
      </w:pPr>
      <w:r>
        <w:rPr/>
        <w:drawing>
          <wp:anchor distT="0" distB="0" distL="0" distR="0" allowOverlap="1" layoutInCell="1" locked="0" behindDoc="0" simplePos="0" relativeHeight="16116736">
            <wp:simplePos x="0" y="0"/>
            <wp:positionH relativeFrom="page">
              <wp:posOffset>1054901</wp:posOffset>
            </wp:positionH>
            <wp:positionV relativeFrom="paragraph">
              <wp:posOffset>45103</wp:posOffset>
            </wp:positionV>
            <wp:extent cx="58380" cy="72151"/>
            <wp:effectExtent l="0" t="0" r="0" b="0"/>
            <wp:wrapNone/>
            <wp:docPr id="1937" name="image13.png"/>
            <wp:cNvGraphicFramePr>
              <a:graphicFrameLocks noChangeAspect="1"/>
            </wp:cNvGraphicFramePr>
            <a:graphic>
              <a:graphicData uri="http://schemas.openxmlformats.org/drawingml/2006/picture">
                <pic:pic>
                  <pic:nvPicPr>
                    <pic:cNvPr id="193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(2)</w:t>
      </w:r>
    </w:p>
    <w:p>
      <w:pPr>
        <w:spacing w:before="121"/>
        <w:ind w:left="1697" w:right="0" w:firstLine="0"/>
        <w:jc w:val="left"/>
        <w:rPr>
          <w:sz w:val="18"/>
        </w:rPr>
      </w:pPr>
      <w:r>
        <w:rPr/>
        <w:drawing>
          <wp:anchor distT="0" distB="0" distL="0" distR="0" allowOverlap="1" layoutInCell="1" locked="0" behindDoc="0" simplePos="0" relativeHeight="16117248">
            <wp:simplePos x="0" y="0"/>
            <wp:positionH relativeFrom="page">
              <wp:posOffset>1054901</wp:posOffset>
            </wp:positionH>
            <wp:positionV relativeFrom="paragraph">
              <wp:posOffset>121303</wp:posOffset>
            </wp:positionV>
            <wp:extent cx="58380" cy="72151"/>
            <wp:effectExtent l="0" t="0" r="0" b="0"/>
            <wp:wrapNone/>
            <wp:docPr id="1939" name="image13.png"/>
            <wp:cNvGraphicFramePr>
              <a:graphicFrameLocks noChangeAspect="1"/>
            </wp:cNvGraphicFramePr>
            <a:graphic>
              <a:graphicData uri="http://schemas.openxmlformats.org/drawingml/2006/picture">
                <pic:pic>
                  <pic:nvPicPr>
                    <pic:cNvPr id="194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…Bust</w:t>
      </w:r>
      <w:r>
        <w:rPr>
          <w:spacing w:val="-5"/>
          <w:sz w:val="18"/>
        </w:rPr>
        <w:t> </w:t>
      </w:r>
      <w:r>
        <w:rPr>
          <w:sz w:val="18"/>
        </w:rPr>
        <w:t>But</w:t>
      </w:r>
      <w:r>
        <w:rPr>
          <w:spacing w:val="-5"/>
          <w:sz w:val="18"/>
        </w:rPr>
        <w:t> </w:t>
      </w:r>
      <w:r>
        <w:rPr>
          <w:sz w:val="18"/>
        </w:rPr>
        <w:t>reasonable</w:t>
      </w:r>
      <w:r>
        <w:rPr>
          <w:spacing w:val="-1"/>
          <w:sz w:val="18"/>
        </w:rPr>
        <w:t> </w:t>
      </w:r>
      <w:r>
        <w:rPr>
          <w:sz w:val="18"/>
        </w:rPr>
        <w:t>(3)</w:t>
      </w:r>
    </w:p>
    <w:p>
      <w:pPr>
        <w:spacing w:before="120"/>
        <w:ind w:left="1697" w:right="0" w:firstLine="0"/>
        <w:jc w:val="left"/>
        <w:rPr>
          <w:sz w:val="18"/>
        </w:rPr>
      </w:pPr>
      <w:r>
        <w:rPr/>
        <w:drawing>
          <wp:anchor distT="0" distB="0" distL="0" distR="0" allowOverlap="1" layoutInCell="1" locked="0" behindDoc="0" simplePos="0" relativeHeight="16117760">
            <wp:simplePos x="0" y="0"/>
            <wp:positionH relativeFrom="page">
              <wp:posOffset>1054901</wp:posOffset>
            </wp:positionH>
            <wp:positionV relativeFrom="paragraph">
              <wp:posOffset>120668</wp:posOffset>
            </wp:positionV>
            <wp:extent cx="58380" cy="72151"/>
            <wp:effectExtent l="0" t="0" r="0" b="0"/>
            <wp:wrapNone/>
            <wp:docPr id="1941" name="image13.png"/>
            <wp:cNvGraphicFramePr>
              <a:graphicFrameLocks noChangeAspect="1"/>
            </wp:cNvGraphicFramePr>
            <a:graphic>
              <a:graphicData uri="http://schemas.openxmlformats.org/drawingml/2006/picture">
                <pic:pic>
                  <pic:nvPicPr>
                    <pic:cNvPr id="194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(4)</w:t>
      </w:r>
    </w:p>
    <w:p>
      <w:pPr>
        <w:spacing w:before="120"/>
        <w:ind w:left="1697" w:right="0" w:firstLine="0"/>
        <w:jc w:val="left"/>
        <w:rPr>
          <w:sz w:val="18"/>
        </w:rPr>
      </w:pPr>
      <w:r>
        <w:rPr/>
        <w:drawing>
          <wp:anchor distT="0" distB="0" distL="0" distR="0" allowOverlap="1" layoutInCell="1" locked="0" behindDoc="0" simplePos="0" relativeHeight="16118272">
            <wp:simplePos x="0" y="0"/>
            <wp:positionH relativeFrom="page">
              <wp:posOffset>1056425</wp:posOffset>
            </wp:positionH>
            <wp:positionV relativeFrom="paragraph">
              <wp:posOffset>120475</wp:posOffset>
            </wp:positionV>
            <wp:extent cx="58380" cy="73869"/>
            <wp:effectExtent l="0" t="0" r="0" b="0"/>
            <wp:wrapNone/>
            <wp:docPr id="1943" name="image14.png"/>
            <wp:cNvGraphicFramePr>
              <a:graphicFrameLocks noChangeAspect="1"/>
            </wp:cNvGraphicFramePr>
            <a:graphic>
              <a:graphicData uri="http://schemas.openxmlformats.org/drawingml/2006/picture">
                <pic:pic>
                  <pic:nvPicPr>
                    <pic:cNvPr id="1944"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Hectic,</w:t>
      </w:r>
      <w:r>
        <w:rPr>
          <w:spacing w:val="-6"/>
          <w:sz w:val="18"/>
        </w:rPr>
        <w:t> </w:t>
      </w:r>
      <w:r>
        <w:rPr>
          <w:sz w:val="18"/>
        </w:rPr>
        <w:t>chaotic(5)</w:t>
      </w:r>
    </w:p>
    <w:p>
      <w:pPr>
        <w:pStyle w:val="BodyText"/>
        <w:spacing w:before="3"/>
        <w:rPr>
          <w:sz w:val="16"/>
        </w:rPr>
      </w:pPr>
    </w:p>
    <w:p>
      <w:pPr>
        <w:pStyle w:val="ListParagraph"/>
        <w:numPr>
          <w:ilvl w:val="0"/>
          <w:numId w:val="103"/>
        </w:numPr>
        <w:tabs>
          <w:tab w:pos="718" w:val="left" w:leader="none"/>
        </w:tabs>
        <w:spacing w:line="369" w:lineRule="auto" w:before="0" w:after="0"/>
        <w:ind w:left="1697" w:right="6109" w:hanging="1278"/>
        <w:jc w:val="left"/>
        <w:rPr>
          <w:sz w:val="18"/>
        </w:rPr>
      </w:pPr>
      <w:r>
        <w:rPr/>
        <w:drawing>
          <wp:anchor distT="0" distB="0" distL="0" distR="0" allowOverlap="1" layoutInCell="1" locked="0" behindDoc="1" simplePos="0" relativeHeight="476150784">
            <wp:simplePos x="0" y="0"/>
            <wp:positionH relativeFrom="page">
              <wp:posOffset>1054901</wp:posOffset>
            </wp:positionH>
            <wp:positionV relativeFrom="paragraph">
              <wp:posOffset>260622</wp:posOffset>
            </wp:positionV>
            <wp:extent cx="58380" cy="72151"/>
            <wp:effectExtent l="0" t="0" r="0" b="0"/>
            <wp:wrapNone/>
            <wp:docPr id="1945" name="image13.png"/>
            <wp:cNvGraphicFramePr>
              <a:graphicFrameLocks noChangeAspect="1"/>
            </wp:cNvGraphicFramePr>
            <a:graphic>
              <a:graphicData uri="http://schemas.openxmlformats.org/drawingml/2006/picture">
                <pic:pic>
                  <pic:nvPicPr>
                    <pic:cNvPr id="194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In general, how do rate your satisfaction with your job?</w:t>
      </w:r>
      <w:r>
        <w:rPr>
          <w:spacing w:val="-47"/>
          <w:sz w:val="18"/>
        </w:rPr>
        <w:t> </w:t>
      </w:r>
      <w:r>
        <w:rPr>
          <w:sz w:val="18"/>
        </w:rPr>
        <w:t>Very</w:t>
      </w:r>
      <w:r>
        <w:rPr>
          <w:spacing w:val="-2"/>
          <w:sz w:val="18"/>
        </w:rPr>
        <w:t> </w:t>
      </w:r>
      <w:r>
        <w:rPr>
          <w:sz w:val="18"/>
        </w:rPr>
        <w:t>unsatisfied</w:t>
      </w:r>
      <w:r>
        <w:rPr>
          <w:spacing w:val="-1"/>
          <w:sz w:val="18"/>
        </w:rPr>
        <w:t> </w:t>
      </w:r>
      <w:r>
        <w:rPr>
          <w:sz w:val="18"/>
        </w:rPr>
        <w:t>(1)</w:t>
      </w:r>
    </w:p>
    <w:p>
      <w:pPr>
        <w:spacing w:before="2"/>
        <w:ind w:left="1697" w:right="0" w:firstLine="0"/>
        <w:jc w:val="left"/>
        <w:rPr>
          <w:sz w:val="18"/>
        </w:rPr>
      </w:pPr>
      <w:r>
        <w:rPr/>
        <w:drawing>
          <wp:anchor distT="0" distB="0" distL="0" distR="0" allowOverlap="1" layoutInCell="1" locked="0" behindDoc="0" simplePos="0" relativeHeight="16119296">
            <wp:simplePos x="0" y="0"/>
            <wp:positionH relativeFrom="page">
              <wp:posOffset>1054901</wp:posOffset>
            </wp:positionH>
            <wp:positionV relativeFrom="paragraph">
              <wp:posOffset>45291</wp:posOffset>
            </wp:positionV>
            <wp:extent cx="58380" cy="73869"/>
            <wp:effectExtent l="0" t="0" r="0" b="0"/>
            <wp:wrapNone/>
            <wp:docPr id="1947" name="image14.png"/>
            <wp:cNvGraphicFramePr>
              <a:graphicFrameLocks noChangeAspect="1"/>
            </wp:cNvGraphicFramePr>
            <a:graphic>
              <a:graphicData uri="http://schemas.openxmlformats.org/drawingml/2006/picture">
                <pic:pic>
                  <pic:nvPicPr>
                    <pic:cNvPr id="1948"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Unsatisfied</w:t>
      </w:r>
      <w:r>
        <w:rPr>
          <w:spacing w:val="-7"/>
          <w:sz w:val="18"/>
        </w:rPr>
        <w:t> </w:t>
      </w:r>
      <w:r>
        <w:rPr>
          <w:sz w:val="18"/>
        </w:rPr>
        <w:t>(2)</w:t>
      </w:r>
    </w:p>
    <w:p>
      <w:pPr>
        <w:spacing w:before="120"/>
        <w:ind w:left="1697" w:right="0" w:firstLine="0"/>
        <w:jc w:val="left"/>
        <w:rPr>
          <w:sz w:val="18"/>
        </w:rPr>
      </w:pPr>
      <w:r>
        <w:rPr/>
        <w:drawing>
          <wp:anchor distT="0" distB="0" distL="0" distR="0" allowOverlap="1" layoutInCell="1" locked="0" behindDoc="0" simplePos="0" relativeHeight="16119808">
            <wp:simplePos x="0" y="0"/>
            <wp:positionH relativeFrom="page">
              <wp:posOffset>1054901</wp:posOffset>
            </wp:positionH>
            <wp:positionV relativeFrom="paragraph">
              <wp:posOffset>120414</wp:posOffset>
            </wp:positionV>
            <wp:extent cx="58380" cy="72151"/>
            <wp:effectExtent l="0" t="0" r="0" b="0"/>
            <wp:wrapNone/>
            <wp:docPr id="1949" name="image13.png"/>
            <wp:cNvGraphicFramePr>
              <a:graphicFrameLocks noChangeAspect="1"/>
            </wp:cNvGraphicFramePr>
            <a:graphic>
              <a:graphicData uri="http://schemas.openxmlformats.org/drawingml/2006/picture">
                <pic:pic>
                  <pic:nvPicPr>
                    <pic:cNvPr id="195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Neutral</w:t>
      </w:r>
      <w:r>
        <w:rPr>
          <w:spacing w:val="-3"/>
          <w:sz w:val="18"/>
        </w:rPr>
        <w:t> </w:t>
      </w:r>
      <w:r>
        <w:rPr>
          <w:sz w:val="18"/>
        </w:rPr>
        <w:t>(3)</w:t>
      </w:r>
    </w:p>
    <w:p>
      <w:pPr>
        <w:spacing w:before="120"/>
        <w:ind w:left="1697" w:right="0" w:firstLine="0"/>
        <w:jc w:val="left"/>
        <w:rPr>
          <w:sz w:val="18"/>
        </w:rPr>
      </w:pPr>
      <w:r>
        <w:rPr/>
        <w:drawing>
          <wp:anchor distT="0" distB="0" distL="0" distR="0" allowOverlap="1" layoutInCell="1" locked="0" behindDoc="0" simplePos="0" relativeHeight="16120320">
            <wp:simplePos x="0" y="0"/>
            <wp:positionH relativeFrom="page">
              <wp:posOffset>1054901</wp:posOffset>
            </wp:positionH>
            <wp:positionV relativeFrom="paragraph">
              <wp:posOffset>120414</wp:posOffset>
            </wp:positionV>
            <wp:extent cx="58380" cy="72151"/>
            <wp:effectExtent l="0" t="0" r="0" b="0"/>
            <wp:wrapNone/>
            <wp:docPr id="1951" name="image13.png"/>
            <wp:cNvGraphicFramePr>
              <a:graphicFrameLocks noChangeAspect="1"/>
            </wp:cNvGraphicFramePr>
            <a:graphic>
              <a:graphicData uri="http://schemas.openxmlformats.org/drawingml/2006/picture">
                <pic:pic>
                  <pic:nvPicPr>
                    <pic:cNvPr id="195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Satisfied</w:t>
      </w:r>
      <w:r>
        <w:rPr>
          <w:spacing w:val="-3"/>
          <w:sz w:val="18"/>
        </w:rPr>
        <w:t> </w:t>
      </w:r>
      <w:r>
        <w:rPr>
          <w:sz w:val="18"/>
        </w:rPr>
        <w:t>(4)</w:t>
      </w:r>
    </w:p>
    <w:p>
      <w:pPr>
        <w:spacing w:before="121"/>
        <w:ind w:left="1697" w:right="0" w:firstLine="0"/>
        <w:jc w:val="left"/>
        <w:rPr>
          <w:sz w:val="18"/>
        </w:rPr>
      </w:pPr>
      <w:r>
        <w:rPr/>
        <w:drawing>
          <wp:anchor distT="0" distB="0" distL="0" distR="0" allowOverlap="1" layoutInCell="1" locked="0" behindDoc="0" simplePos="0" relativeHeight="16120832">
            <wp:simplePos x="0" y="0"/>
            <wp:positionH relativeFrom="page">
              <wp:posOffset>1056425</wp:posOffset>
            </wp:positionH>
            <wp:positionV relativeFrom="paragraph">
              <wp:posOffset>121050</wp:posOffset>
            </wp:positionV>
            <wp:extent cx="58380" cy="72151"/>
            <wp:effectExtent l="0" t="0" r="0" b="0"/>
            <wp:wrapNone/>
            <wp:docPr id="1953" name="image13.png"/>
            <wp:cNvGraphicFramePr>
              <a:graphicFrameLocks noChangeAspect="1"/>
            </wp:cNvGraphicFramePr>
            <a:graphic>
              <a:graphicData uri="http://schemas.openxmlformats.org/drawingml/2006/picture">
                <pic:pic>
                  <pic:nvPicPr>
                    <pic:cNvPr id="195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Very</w:t>
      </w:r>
      <w:r>
        <w:rPr>
          <w:spacing w:val="-5"/>
          <w:sz w:val="18"/>
        </w:rPr>
        <w:t> </w:t>
      </w:r>
      <w:r>
        <w:rPr>
          <w:sz w:val="18"/>
        </w:rPr>
        <w:t>satisfied</w:t>
      </w:r>
      <w:r>
        <w:rPr>
          <w:spacing w:val="-3"/>
          <w:sz w:val="18"/>
        </w:rPr>
        <w:t> </w:t>
      </w:r>
      <w:r>
        <w:rPr>
          <w:sz w:val="18"/>
        </w:rPr>
        <w:t>(5)</w:t>
      </w:r>
    </w:p>
    <w:p>
      <w:pPr>
        <w:pStyle w:val="BodyText"/>
        <w:spacing w:before="2"/>
        <w:rPr>
          <w:sz w:val="16"/>
        </w:rPr>
      </w:pPr>
    </w:p>
    <w:p>
      <w:pPr>
        <w:pStyle w:val="ListParagraph"/>
        <w:numPr>
          <w:ilvl w:val="0"/>
          <w:numId w:val="103"/>
        </w:numPr>
        <w:tabs>
          <w:tab w:pos="722" w:val="left" w:leader="none"/>
          <w:tab w:pos="7392" w:val="left" w:leader="none"/>
        </w:tabs>
        <w:spacing w:line="369" w:lineRule="auto" w:before="1" w:after="0"/>
        <w:ind w:left="1771" w:right="2268" w:hanging="1352"/>
        <w:jc w:val="left"/>
        <w:rPr>
          <w:sz w:val="18"/>
        </w:rPr>
      </w:pPr>
      <w:r>
        <w:rPr/>
        <w:drawing>
          <wp:anchor distT="0" distB="0" distL="0" distR="0" allowOverlap="1" layoutInCell="1" locked="0" behindDoc="1" simplePos="0" relativeHeight="476153344">
            <wp:simplePos x="0" y="0"/>
            <wp:positionH relativeFrom="page">
              <wp:posOffset>1102145</wp:posOffset>
            </wp:positionH>
            <wp:positionV relativeFrom="paragraph">
              <wp:posOffset>261258</wp:posOffset>
            </wp:positionV>
            <wp:extent cx="58380" cy="72151"/>
            <wp:effectExtent l="0" t="0" r="0" b="0"/>
            <wp:wrapNone/>
            <wp:docPr id="1955" name="image13.png"/>
            <wp:cNvGraphicFramePr>
              <a:graphicFrameLocks noChangeAspect="1"/>
            </wp:cNvGraphicFramePr>
            <a:graphic>
              <a:graphicData uri="http://schemas.openxmlformats.org/drawingml/2006/picture">
                <pic:pic>
                  <pic:nvPicPr>
                    <pic:cNvPr id="195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What are the top changes (up to three) you believe would improve your satisfaction with your job?</w:t>
      </w:r>
      <w:r>
        <w:rPr>
          <w:spacing w:val="-47"/>
          <w:sz w:val="18"/>
        </w:rPr>
        <w:t> </w:t>
      </w:r>
      <w:r>
        <w:rPr>
          <w:sz w:val="18"/>
        </w:rPr>
        <w:t>Change</w:t>
      </w:r>
      <w:r>
        <w:rPr>
          <w:spacing w:val="-3"/>
          <w:sz w:val="18"/>
        </w:rPr>
        <w:t> </w:t>
      </w:r>
      <w:r>
        <w:rPr>
          <w:sz w:val="18"/>
        </w:rPr>
        <w:t>1</w:t>
      </w:r>
      <w:r>
        <w:rPr>
          <w:spacing w:val="47"/>
          <w:sz w:val="18"/>
        </w:rPr>
        <w:t> </w:t>
      </w:r>
      <w:r>
        <w:rPr>
          <w:sz w:val="18"/>
        </w:rPr>
        <w:t>(1) </w:t>
      </w:r>
      <w:r>
        <w:rPr>
          <w:sz w:val="18"/>
          <w:u w:val="single" w:color="BDBDBD"/>
        </w:rPr>
        <w:t> </w:t>
        <w:tab/>
      </w:r>
    </w:p>
    <w:p>
      <w:pPr>
        <w:tabs>
          <w:tab w:pos="7392" w:val="left" w:leader="none"/>
        </w:tabs>
        <w:spacing w:before="2"/>
        <w:ind w:left="1771" w:right="0" w:firstLine="0"/>
        <w:jc w:val="left"/>
        <w:rPr>
          <w:sz w:val="18"/>
        </w:rPr>
      </w:pPr>
      <w:r>
        <w:rPr/>
        <w:drawing>
          <wp:anchor distT="0" distB="0" distL="0" distR="0" allowOverlap="1" layoutInCell="1" locked="0" behindDoc="0" simplePos="0" relativeHeight="16121856">
            <wp:simplePos x="0" y="0"/>
            <wp:positionH relativeFrom="page">
              <wp:posOffset>1102145</wp:posOffset>
            </wp:positionH>
            <wp:positionV relativeFrom="paragraph">
              <wp:posOffset>45484</wp:posOffset>
            </wp:positionV>
            <wp:extent cx="58380" cy="72151"/>
            <wp:effectExtent l="0" t="0" r="0" b="0"/>
            <wp:wrapNone/>
            <wp:docPr id="1957" name="image13.png"/>
            <wp:cNvGraphicFramePr>
              <a:graphicFrameLocks noChangeAspect="1"/>
            </wp:cNvGraphicFramePr>
            <a:graphic>
              <a:graphicData uri="http://schemas.openxmlformats.org/drawingml/2006/picture">
                <pic:pic>
                  <pic:nvPicPr>
                    <pic:cNvPr id="195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Change</w:t>
      </w:r>
      <w:r>
        <w:rPr>
          <w:spacing w:val="-3"/>
          <w:sz w:val="18"/>
        </w:rPr>
        <w:t> </w:t>
      </w:r>
      <w:r>
        <w:rPr>
          <w:sz w:val="18"/>
        </w:rPr>
        <w:t>2</w:t>
      </w:r>
      <w:r>
        <w:rPr>
          <w:spacing w:val="47"/>
          <w:sz w:val="18"/>
        </w:rPr>
        <w:t> </w:t>
      </w:r>
      <w:r>
        <w:rPr>
          <w:sz w:val="18"/>
        </w:rPr>
        <w:t>(2) </w:t>
      </w:r>
      <w:r>
        <w:rPr>
          <w:sz w:val="18"/>
          <w:u w:val="single" w:color="BDBDBD"/>
        </w:rPr>
        <w:t> </w:t>
        <w:tab/>
      </w:r>
    </w:p>
    <w:p>
      <w:pPr>
        <w:tabs>
          <w:tab w:pos="7392" w:val="left" w:leader="none"/>
        </w:tabs>
        <w:spacing w:before="120"/>
        <w:ind w:left="1771" w:right="0" w:firstLine="0"/>
        <w:jc w:val="left"/>
        <w:rPr>
          <w:sz w:val="18"/>
        </w:rPr>
      </w:pPr>
      <w:r>
        <w:rPr/>
        <w:drawing>
          <wp:anchor distT="0" distB="0" distL="0" distR="0" allowOverlap="1" layoutInCell="1" locked="0" behindDoc="0" simplePos="0" relativeHeight="16122368">
            <wp:simplePos x="0" y="0"/>
            <wp:positionH relativeFrom="page">
              <wp:posOffset>1102145</wp:posOffset>
            </wp:positionH>
            <wp:positionV relativeFrom="paragraph">
              <wp:posOffset>120033</wp:posOffset>
            </wp:positionV>
            <wp:extent cx="58380" cy="72151"/>
            <wp:effectExtent l="0" t="0" r="0" b="0"/>
            <wp:wrapNone/>
            <wp:docPr id="1959" name="image13.png"/>
            <wp:cNvGraphicFramePr>
              <a:graphicFrameLocks noChangeAspect="1"/>
            </wp:cNvGraphicFramePr>
            <a:graphic>
              <a:graphicData uri="http://schemas.openxmlformats.org/drawingml/2006/picture">
                <pic:pic>
                  <pic:nvPicPr>
                    <pic:cNvPr id="196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Change</w:t>
      </w:r>
      <w:r>
        <w:rPr>
          <w:spacing w:val="-3"/>
          <w:sz w:val="18"/>
        </w:rPr>
        <w:t> </w:t>
      </w:r>
      <w:r>
        <w:rPr>
          <w:sz w:val="18"/>
        </w:rPr>
        <w:t>3</w:t>
      </w:r>
      <w:r>
        <w:rPr>
          <w:spacing w:val="47"/>
          <w:sz w:val="18"/>
        </w:rPr>
        <w:t> </w:t>
      </w:r>
      <w:r>
        <w:rPr>
          <w:sz w:val="18"/>
        </w:rPr>
        <w:t>(3) </w:t>
      </w:r>
      <w:r>
        <w:rPr>
          <w:sz w:val="18"/>
          <w:u w:val="single" w:color="BDBDBD"/>
        </w:rPr>
        <w:t> </w:t>
        <w:tab/>
      </w:r>
    </w:p>
    <w:p>
      <w:pPr>
        <w:spacing w:after="0"/>
        <w:jc w:val="left"/>
        <w:rPr>
          <w:sz w:val="18"/>
        </w:rPr>
        <w:sectPr>
          <w:pgSz w:w="11910" w:h="16840"/>
          <w:pgMar w:header="0" w:footer="916" w:top="940" w:bottom="1140" w:left="300" w:right="0"/>
        </w:sectPr>
      </w:pPr>
    </w:p>
    <w:p>
      <w:pPr>
        <w:pStyle w:val="BodyText"/>
      </w:pPr>
      <w:r>
        <w:rPr/>
        <w:pict>
          <v:group style="position:absolute;margin-left:20.917124pt;margin-top:.899983pt;width:574.450pt;height:115.3pt;mso-position-horizontal-relative:page;mso-position-vertical-relative:page;z-index:16123392" id="docshapegroup225" coordorigin="418,18" coordsize="11489,2306">
            <v:shape style="position:absolute;left:418;top:18;width:11489;height:1614" type="#_x0000_t75" id="docshape226" stroked="false">
              <v:imagedata r:id="rId56" o:title=""/>
            </v:shape>
            <v:shape style="position:absolute;left:418;top:18;width:11489;height:2306" type="#_x0000_t202" id="docshape227" filled="false" stroked="false">
              <v:textbox inset="0,0,0,0">
                <w:txbxContent>
                  <w:p>
                    <w:pPr>
                      <w:spacing w:line="240" w:lineRule="auto" w:before="0"/>
                      <w:rPr>
                        <w:sz w:val="116"/>
                      </w:rPr>
                    </w:pPr>
                  </w:p>
                  <w:p>
                    <w:pPr>
                      <w:spacing w:before="0"/>
                      <w:ind w:left="1022" w:right="0" w:firstLine="0"/>
                      <w:jc w:val="left"/>
                      <w:rPr>
                        <w:sz w:val="72"/>
                      </w:rPr>
                    </w:pPr>
                    <w:bookmarkStart w:name="_bookmark86" w:id="87"/>
                    <w:bookmarkEnd w:id="87"/>
                    <w:r>
                      <w:rPr/>
                    </w:r>
                    <w:r>
                      <w:rPr>
                        <w:color w:val="003C79"/>
                        <w:sz w:val="72"/>
                      </w:rPr>
                      <w:t>Appendix</w:t>
                    </w:r>
                    <w:r>
                      <w:rPr>
                        <w:color w:val="003C79"/>
                        <w:spacing w:val="-2"/>
                        <w:sz w:val="72"/>
                      </w:rPr>
                      <w:t> </w:t>
                    </w:r>
                    <w:r>
                      <w:rPr>
                        <w:color w:val="003C79"/>
                        <w:sz w:val="72"/>
                      </w:rPr>
                      <w:t>E</w:t>
                    </w:r>
                    <w:r>
                      <w:rPr>
                        <w:color w:val="003C79"/>
                        <w:spacing w:val="-3"/>
                        <w:sz w:val="72"/>
                      </w:rPr>
                      <w:t> </w:t>
                    </w:r>
                    <w:r>
                      <w:rPr>
                        <w:color w:val="003C79"/>
                        <w:sz w:val="72"/>
                      </w:rPr>
                      <w:t>–</w:t>
                    </w:r>
                    <w:r>
                      <w:rPr>
                        <w:color w:val="003C79"/>
                        <w:spacing w:val="-3"/>
                        <w:sz w:val="72"/>
                      </w:rPr>
                      <w:t> </w:t>
                    </w:r>
                    <w:r>
                      <w:rPr>
                        <w:color w:val="003C79"/>
                        <w:sz w:val="72"/>
                      </w:rPr>
                      <w:t>PHN</w:t>
                    </w:r>
                    <w:r>
                      <w:rPr>
                        <w:color w:val="003C79"/>
                        <w:spacing w:val="-1"/>
                        <w:sz w:val="72"/>
                      </w:rPr>
                      <w:t> </w:t>
                    </w:r>
                    <w:r>
                      <w:rPr>
                        <w:color w:val="003C79"/>
                        <w:sz w:val="72"/>
                      </w:rPr>
                      <w:t>survey</w:t>
                    </w:r>
                  </w:p>
                </w:txbxContent>
              </v:textbox>
              <w10:wrap type="none"/>
            </v:shape>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3"/>
        </w:rPr>
      </w:pPr>
    </w:p>
    <w:p>
      <w:pPr>
        <w:pStyle w:val="BodyText"/>
        <w:spacing w:line="20" w:lineRule="exact"/>
        <w:ind w:left="1111"/>
        <w:rPr>
          <w:sz w:val="2"/>
        </w:rPr>
      </w:pPr>
      <w:r>
        <w:rPr>
          <w:sz w:val="2"/>
        </w:rPr>
        <w:pict>
          <v:group style="width:454.3pt;height:.5pt;mso-position-horizontal-relative:char;mso-position-vertical-relative:line" id="docshapegroup228" coordorigin="0,0" coordsize="9086,10">
            <v:rect style="position:absolute;left:0;top:0;width:9086;height:10" id="docshape229" filled="true" fillcolor="#d9d9d9" stroked="false">
              <v:fill type="solid"/>
            </v:rect>
          </v:group>
        </w:pict>
      </w:r>
      <w:r>
        <w:rPr>
          <w:sz w:val="2"/>
        </w:rPr>
      </w:r>
    </w:p>
    <w:p>
      <w:pPr>
        <w:spacing w:after="0" w:line="20" w:lineRule="exact"/>
        <w:rPr>
          <w:sz w:val="2"/>
        </w:rPr>
        <w:sectPr>
          <w:footerReference w:type="default" r:id="rId55"/>
          <w:pgSz w:w="11910" w:h="16840"/>
          <w:pgMar w:footer="730" w:header="0" w:top="0" w:bottom="920" w:left="300" w:right="0"/>
        </w:sectPr>
      </w:pPr>
    </w:p>
    <w:p>
      <w:pPr>
        <w:pStyle w:val="Heading4"/>
        <w:ind w:right="1471"/>
        <w:jc w:val="center"/>
      </w:pPr>
      <w:r>
        <w:rPr>
          <w:color w:val="808080"/>
        </w:rPr>
        <w:t>PHN</w:t>
      </w:r>
      <w:r>
        <w:rPr>
          <w:color w:val="808080"/>
          <w:spacing w:val="-2"/>
        </w:rPr>
        <w:t> </w:t>
      </w:r>
      <w:r>
        <w:rPr>
          <w:color w:val="808080"/>
        </w:rPr>
        <w:t>survey: Round</w:t>
      </w:r>
      <w:r>
        <w:rPr>
          <w:color w:val="808080"/>
          <w:spacing w:val="-1"/>
        </w:rPr>
        <w:t> </w:t>
      </w:r>
      <w:r>
        <w:rPr>
          <w:color w:val="808080"/>
        </w:rPr>
        <w:t>2 Part</w:t>
      </w:r>
      <w:r>
        <w:rPr>
          <w:color w:val="808080"/>
          <w:spacing w:val="-3"/>
        </w:rPr>
        <w:t> </w:t>
      </w:r>
      <w:r>
        <w:rPr>
          <w:color w:val="808080"/>
        </w:rPr>
        <w:t>A</w:t>
      </w:r>
    </w:p>
    <w:p>
      <w:pPr>
        <w:pStyle w:val="BodyText"/>
        <w:spacing w:before="7"/>
        <w:rPr>
          <w:rFonts w:ascii="Arial Black"/>
          <w:sz w:val="16"/>
        </w:rPr>
      </w:pPr>
      <w:r>
        <w:rPr/>
        <w:pict>
          <v:shape style="position:absolute;margin-left:36pt;margin-top:12.847813pt;width:523.85pt;height:216.05pt;mso-position-horizontal-relative:page;mso-position-vertical-relative:paragraph;z-index:-15333376;mso-wrap-distance-left:0;mso-wrap-distance-right:0" type="#_x0000_t202" id="docshape232" filled="true" fillcolor="#f1f1f1" stroked="false">
            <v:textbox inset="0,0,0,0">
              <w:txbxContent>
                <w:p>
                  <w:pPr>
                    <w:spacing w:line="276" w:lineRule="auto" w:before="76"/>
                    <w:ind w:left="148" w:right="148" w:firstLine="0"/>
                    <w:jc w:val="left"/>
                    <w:rPr>
                      <w:color w:val="000000"/>
                      <w:sz w:val="18"/>
                    </w:rPr>
                  </w:pPr>
                  <w:r>
                    <w:rPr>
                      <w:color w:val="000000"/>
                      <w:sz w:val="18"/>
                    </w:rPr>
                    <w:t>This survey includes questions about the support provided by your Primary Health Network (PHN) to practices/services</w:t>
                  </w:r>
                  <w:r>
                    <w:rPr>
                      <w:color w:val="000000"/>
                      <w:spacing w:val="-47"/>
                      <w:sz w:val="18"/>
                    </w:rPr>
                    <w:t> </w:t>
                  </w:r>
                  <w:r>
                    <w:rPr>
                      <w:color w:val="000000"/>
                      <w:sz w:val="18"/>
                    </w:rPr>
                    <w:t>participating in the Health Care Homes (HCH) Program. This is Part A of the survey, which includes questions about</w:t>
                  </w:r>
                  <w:r>
                    <w:rPr>
                      <w:color w:val="000000"/>
                      <w:spacing w:val="1"/>
                      <w:sz w:val="18"/>
                    </w:rPr>
                    <w:t> </w:t>
                  </w:r>
                  <w:r>
                    <w:rPr>
                      <w:color w:val="000000"/>
                      <w:sz w:val="18"/>
                    </w:rPr>
                    <w:t>the PHN's perspectives on the challenges and successes during in the initial phase of implementation of the HCH</w:t>
                  </w:r>
                  <w:r>
                    <w:rPr>
                      <w:color w:val="000000"/>
                      <w:spacing w:val="1"/>
                      <w:sz w:val="18"/>
                    </w:rPr>
                    <w:t> </w:t>
                  </w:r>
                  <w:r>
                    <w:rPr>
                      <w:color w:val="000000"/>
                      <w:sz w:val="18"/>
                    </w:rPr>
                    <w:t>program. Part B focuses on assessments of participating practices against the major dimensions of the HCH-A tool.</w:t>
                  </w:r>
                  <w:r>
                    <w:rPr>
                      <w:color w:val="000000"/>
                      <w:spacing w:val="1"/>
                      <w:sz w:val="18"/>
                    </w:rPr>
                    <w:t> </w:t>
                  </w:r>
                  <w:r>
                    <w:rPr>
                      <w:color w:val="000000"/>
                      <w:sz w:val="18"/>
                    </w:rPr>
                    <w:t>A</w:t>
                  </w:r>
                  <w:r>
                    <w:rPr>
                      <w:color w:val="000000"/>
                      <w:spacing w:val="-47"/>
                      <w:sz w:val="18"/>
                    </w:rPr>
                    <w:t> </w:t>
                  </w:r>
                  <w:r>
                    <w:rPr>
                      <w:color w:val="000000"/>
                      <w:sz w:val="18"/>
                    </w:rPr>
                    <w:t>link has been provided to the survey. You may return to this link on several occasions. The survey should be</w:t>
                  </w:r>
                  <w:r>
                    <w:rPr>
                      <w:color w:val="000000"/>
                      <w:spacing w:val="1"/>
                      <w:sz w:val="18"/>
                    </w:rPr>
                    <w:t> </w:t>
                  </w:r>
                  <w:r>
                    <w:rPr>
                      <w:color w:val="000000"/>
                      <w:sz w:val="18"/>
                    </w:rPr>
                    <w:t>completed by 30 April 2018. The information you provide through this survey will be kept strictly confidential and will</w:t>
                  </w:r>
                  <w:r>
                    <w:rPr>
                      <w:color w:val="000000"/>
                      <w:spacing w:val="1"/>
                      <w:sz w:val="18"/>
                    </w:rPr>
                    <w:t> </w:t>
                  </w:r>
                  <w:r>
                    <w:rPr>
                      <w:color w:val="000000"/>
                      <w:sz w:val="18"/>
                    </w:rPr>
                    <w:t>not be used to any purpose other than the evaluation the HCH program. All reports of the evaluation will only</w:t>
                  </w:r>
                  <w:r>
                    <w:rPr>
                      <w:color w:val="000000"/>
                      <w:spacing w:val="1"/>
                      <w:sz w:val="18"/>
                    </w:rPr>
                    <w:t> </w:t>
                  </w:r>
                  <w:r>
                    <w:rPr>
                      <w:color w:val="000000"/>
                      <w:sz w:val="18"/>
                    </w:rPr>
                    <w:t>contain description information and individual PHNs. Ratings or views requested through this survey will not be</w:t>
                  </w:r>
                  <w:r>
                    <w:rPr>
                      <w:color w:val="000000"/>
                      <w:spacing w:val="1"/>
                      <w:sz w:val="18"/>
                    </w:rPr>
                    <w:t> </w:t>
                  </w:r>
                  <w:r>
                    <w:rPr>
                      <w:color w:val="000000"/>
                      <w:sz w:val="18"/>
                    </w:rPr>
                    <w:t>attributed</w:t>
                  </w:r>
                  <w:r>
                    <w:rPr>
                      <w:color w:val="000000"/>
                      <w:spacing w:val="-3"/>
                      <w:sz w:val="18"/>
                    </w:rPr>
                    <w:t> </w:t>
                  </w:r>
                  <w:r>
                    <w:rPr>
                      <w:color w:val="000000"/>
                      <w:sz w:val="18"/>
                    </w:rPr>
                    <w:t>to</w:t>
                  </w:r>
                  <w:r>
                    <w:rPr>
                      <w:color w:val="000000"/>
                      <w:spacing w:val="-2"/>
                      <w:sz w:val="18"/>
                    </w:rPr>
                    <w:t> </w:t>
                  </w:r>
                  <w:r>
                    <w:rPr>
                      <w:color w:val="000000"/>
                      <w:sz w:val="18"/>
                    </w:rPr>
                    <w:t>an</w:t>
                  </w:r>
                  <w:r>
                    <w:rPr>
                      <w:color w:val="000000"/>
                      <w:spacing w:val="-2"/>
                      <w:sz w:val="18"/>
                    </w:rPr>
                    <w:t> </w:t>
                  </w:r>
                  <w:r>
                    <w:rPr>
                      <w:color w:val="000000"/>
                      <w:sz w:val="18"/>
                    </w:rPr>
                    <w:t>individual</w:t>
                  </w:r>
                  <w:r>
                    <w:rPr>
                      <w:color w:val="000000"/>
                      <w:spacing w:val="-1"/>
                      <w:sz w:val="18"/>
                    </w:rPr>
                    <w:t> </w:t>
                  </w:r>
                  <w:r>
                    <w:rPr>
                      <w:color w:val="000000"/>
                      <w:sz w:val="18"/>
                    </w:rPr>
                    <w:t>PHN.</w:t>
                  </w:r>
                  <w:r>
                    <w:rPr>
                      <w:color w:val="000000"/>
                      <w:spacing w:val="-1"/>
                      <w:sz w:val="18"/>
                    </w:rPr>
                    <w:t> </w:t>
                  </w:r>
                  <w:r>
                    <w:rPr>
                      <w:color w:val="000000"/>
                      <w:sz w:val="18"/>
                    </w:rPr>
                    <w:t>Your</w:t>
                  </w:r>
                  <w:r>
                    <w:rPr>
                      <w:color w:val="000000"/>
                      <w:spacing w:val="-2"/>
                      <w:sz w:val="18"/>
                    </w:rPr>
                    <w:t> </w:t>
                  </w:r>
                  <w:r>
                    <w:rPr>
                      <w:color w:val="000000"/>
                      <w:sz w:val="18"/>
                    </w:rPr>
                    <w:t>PHN may</w:t>
                  </w:r>
                  <w:r>
                    <w:rPr>
                      <w:color w:val="000000"/>
                      <w:spacing w:val="-2"/>
                      <w:sz w:val="18"/>
                    </w:rPr>
                    <w:t> </w:t>
                  </w:r>
                  <w:r>
                    <w:rPr>
                      <w:color w:val="000000"/>
                      <w:sz w:val="18"/>
                    </w:rPr>
                    <w:t>be</w:t>
                  </w:r>
                  <w:r>
                    <w:rPr>
                      <w:color w:val="000000"/>
                      <w:spacing w:val="-2"/>
                      <w:sz w:val="18"/>
                    </w:rPr>
                    <w:t> </w:t>
                  </w:r>
                  <w:r>
                    <w:rPr>
                      <w:color w:val="000000"/>
                      <w:sz w:val="18"/>
                    </w:rPr>
                    <w:t>identified</w:t>
                  </w:r>
                  <w:r>
                    <w:rPr>
                      <w:color w:val="000000"/>
                      <w:spacing w:val="-4"/>
                      <w:sz w:val="18"/>
                    </w:rPr>
                    <w:t> </w:t>
                  </w:r>
                  <w:r>
                    <w:rPr>
                      <w:color w:val="000000"/>
                      <w:sz w:val="18"/>
                    </w:rPr>
                    <w:t>in</w:t>
                  </w:r>
                  <w:r>
                    <w:rPr>
                      <w:color w:val="000000"/>
                      <w:spacing w:val="-1"/>
                      <w:sz w:val="18"/>
                    </w:rPr>
                    <w:t> </w:t>
                  </w:r>
                  <w:r>
                    <w:rPr>
                      <w:color w:val="000000"/>
                      <w:sz w:val="18"/>
                    </w:rPr>
                    <w:t>reports</w:t>
                  </w:r>
                  <w:r>
                    <w:rPr>
                      <w:color w:val="000000"/>
                      <w:spacing w:val="-3"/>
                      <w:sz w:val="18"/>
                    </w:rPr>
                    <w:t> </w:t>
                  </w:r>
                  <w:r>
                    <w:rPr>
                      <w:color w:val="000000"/>
                      <w:sz w:val="18"/>
                    </w:rPr>
                    <w:t>provided</w:t>
                  </w:r>
                  <w:r>
                    <w:rPr>
                      <w:color w:val="000000"/>
                      <w:spacing w:val="-2"/>
                      <w:sz w:val="18"/>
                    </w:rPr>
                    <w:t> </w:t>
                  </w:r>
                  <w:r>
                    <w:rPr>
                      <w:color w:val="000000"/>
                      <w:sz w:val="18"/>
                    </w:rPr>
                    <w:t>to</w:t>
                  </w:r>
                  <w:r>
                    <w:rPr>
                      <w:color w:val="000000"/>
                      <w:spacing w:val="-2"/>
                      <w:sz w:val="18"/>
                    </w:rPr>
                    <w:t> </w:t>
                  </w:r>
                  <w:r>
                    <w:rPr>
                      <w:color w:val="000000"/>
                      <w:sz w:val="18"/>
                    </w:rPr>
                    <w:t>the</w:t>
                  </w:r>
                  <w:r>
                    <w:rPr>
                      <w:color w:val="000000"/>
                      <w:spacing w:val="-2"/>
                      <w:sz w:val="18"/>
                    </w:rPr>
                    <w:t> </w:t>
                  </w:r>
                  <w:r>
                    <w:rPr>
                      <w:color w:val="000000"/>
                      <w:sz w:val="18"/>
                    </w:rPr>
                    <w:t>Department</w:t>
                  </w:r>
                  <w:r>
                    <w:rPr>
                      <w:color w:val="000000"/>
                      <w:spacing w:val="-3"/>
                      <w:sz w:val="18"/>
                    </w:rPr>
                    <w:t> </w:t>
                  </w:r>
                  <w:r>
                    <w:rPr>
                      <w:color w:val="000000"/>
                      <w:sz w:val="18"/>
                    </w:rPr>
                    <w:t>of</w:t>
                  </w:r>
                  <w:r>
                    <w:rPr>
                      <w:color w:val="000000"/>
                      <w:spacing w:val="-1"/>
                      <w:sz w:val="18"/>
                    </w:rPr>
                    <w:t> </w:t>
                  </w:r>
                  <w:r>
                    <w:rPr>
                      <w:color w:val="000000"/>
                      <w:sz w:val="18"/>
                    </w:rPr>
                    <w:t>Health.</w:t>
                  </w:r>
                </w:p>
                <w:p>
                  <w:pPr>
                    <w:spacing w:line="276" w:lineRule="auto" w:before="120"/>
                    <w:ind w:left="148" w:right="192" w:firstLine="0"/>
                    <w:jc w:val="left"/>
                    <w:rPr>
                      <w:color w:val="000000"/>
                      <w:sz w:val="18"/>
                    </w:rPr>
                  </w:pPr>
                  <w:r>
                    <w:rPr>
                      <w:color w:val="000000"/>
                      <w:sz w:val="18"/>
                    </w:rPr>
                    <w:t>The evaluation is being conducted by Health Policy Analysis, on behalf of the Commonwealth Department of</w:t>
                  </w:r>
                  <w:r>
                    <w:rPr>
                      <w:color w:val="000000"/>
                      <w:spacing w:val="1"/>
                      <w:sz w:val="18"/>
                    </w:rPr>
                    <w:t> </w:t>
                  </w:r>
                  <w:r>
                    <w:rPr>
                      <w:color w:val="000000"/>
                      <w:sz w:val="18"/>
                    </w:rPr>
                    <w:t>Health.</w:t>
                  </w:r>
                  <w:r>
                    <w:rPr>
                      <w:color w:val="000000"/>
                      <w:spacing w:val="-5"/>
                      <w:sz w:val="18"/>
                    </w:rPr>
                    <w:t> </w:t>
                  </w:r>
                  <w:r>
                    <w:rPr>
                      <w:color w:val="000000"/>
                      <w:sz w:val="18"/>
                    </w:rPr>
                    <w:t>If</w:t>
                  </w:r>
                  <w:r>
                    <w:rPr>
                      <w:color w:val="000000"/>
                      <w:spacing w:val="-2"/>
                      <w:sz w:val="18"/>
                    </w:rPr>
                    <w:t> </w:t>
                  </w:r>
                  <w:r>
                    <w:rPr>
                      <w:color w:val="000000"/>
                      <w:sz w:val="18"/>
                    </w:rPr>
                    <w:t>you</w:t>
                  </w:r>
                  <w:r>
                    <w:rPr>
                      <w:color w:val="000000"/>
                      <w:spacing w:val="-2"/>
                      <w:sz w:val="18"/>
                    </w:rPr>
                    <w:t> </w:t>
                  </w:r>
                  <w:r>
                    <w:rPr>
                      <w:color w:val="000000"/>
                      <w:sz w:val="18"/>
                    </w:rPr>
                    <w:t>would</w:t>
                  </w:r>
                  <w:r>
                    <w:rPr>
                      <w:color w:val="000000"/>
                      <w:spacing w:val="-4"/>
                      <w:sz w:val="18"/>
                    </w:rPr>
                    <w:t> </w:t>
                  </w:r>
                  <w:r>
                    <w:rPr>
                      <w:color w:val="000000"/>
                      <w:sz w:val="18"/>
                    </w:rPr>
                    <w:t>like</w:t>
                  </w:r>
                  <w:r>
                    <w:rPr>
                      <w:color w:val="000000"/>
                      <w:spacing w:val="-4"/>
                      <w:sz w:val="18"/>
                    </w:rPr>
                    <w:t> </w:t>
                  </w:r>
                  <w:r>
                    <w:rPr>
                      <w:color w:val="000000"/>
                      <w:sz w:val="18"/>
                    </w:rPr>
                    <w:t>any</w:t>
                  </w:r>
                  <w:r>
                    <w:rPr>
                      <w:color w:val="000000"/>
                      <w:spacing w:val="-5"/>
                      <w:sz w:val="18"/>
                    </w:rPr>
                    <w:t> </w:t>
                  </w:r>
                  <w:r>
                    <w:rPr>
                      <w:color w:val="000000"/>
                      <w:sz w:val="18"/>
                    </w:rPr>
                    <w:t>further</w:t>
                  </w:r>
                  <w:r>
                    <w:rPr>
                      <w:color w:val="000000"/>
                      <w:spacing w:val="-3"/>
                      <w:sz w:val="18"/>
                    </w:rPr>
                    <w:t> </w:t>
                  </w:r>
                  <w:r>
                    <w:rPr>
                      <w:color w:val="000000"/>
                      <w:sz w:val="18"/>
                    </w:rPr>
                    <w:t>information</w:t>
                  </w:r>
                  <w:r>
                    <w:rPr>
                      <w:color w:val="000000"/>
                      <w:spacing w:val="-3"/>
                      <w:sz w:val="18"/>
                    </w:rPr>
                    <w:t> </w:t>
                  </w:r>
                  <w:r>
                    <w:rPr>
                      <w:color w:val="000000"/>
                      <w:sz w:val="18"/>
                    </w:rPr>
                    <w:t>about</w:t>
                  </w:r>
                  <w:r>
                    <w:rPr>
                      <w:color w:val="000000"/>
                      <w:spacing w:val="-4"/>
                      <w:sz w:val="18"/>
                    </w:rPr>
                    <w:t> </w:t>
                  </w:r>
                  <w:r>
                    <w:rPr>
                      <w:color w:val="000000"/>
                      <w:sz w:val="18"/>
                    </w:rPr>
                    <w:t>this</w:t>
                  </w:r>
                  <w:r>
                    <w:rPr>
                      <w:color w:val="000000"/>
                      <w:spacing w:val="-3"/>
                      <w:sz w:val="18"/>
                    </w:rPr>
                    <w:t> </w:t>
                  </w:r>
                  <w:r>
                    <w:rPr>
                      <w:color w:val="000000"/>
                      <w:sz w:val="18"/>
                    </w:rPr>
                    <w:t>survey</w:t>
                  </w:r>
                  <w:r>
                    <w:rPr>
                      <w:color w:val="000000"/>
                      <w:spacing w:val="-3"/>
                      <w:sz w:val="18"/>
                    </w:rPr>
                    <w:t> </w:t>
                  </w:r>
                  <w:r>
                    <w:rPr>
                      <w:color w:val="000000"/>
                      <w:sz w:val="18"/>
                    </w:rPr>
                    <w:t>or</w:t>
                  </w:r>
                  <w:r>
                    <w:rPr>
                      <w:color w:val="000000"/>
                      <w:spacing w:val="-3"/>
                      <w:sz w:val="18"/>
                    </w:rPr>
                    <w:t> </w:t>
                  </w:r>
                  <w:r>
                    <w:rPr>
                      <w:color w:val="000000"/>
                      <w:sz w:val="18"/>
                    </w:rPr>
                    <w:t>the</w:t>
                  </w:r>
                  <w:r>
                    <w:rPr>
                      <w:color w:val="000000"/>
                      <w:spacing w:val="-4"/>
                      <w:sz w:val="18"/>
                    </w:rPr>
                    <w:t> </w:t>
                  </w:r>
                  <w:r>
                    <w:rPr>
                      <w:color w:val="000000"/>
                      <w:sz w:val="18"/>
                    </w:rPr>
                    <w:t>evaluation,</w:t>
                  </w:r>
                  <w:r>
                    <w:rPr>
                      <w:color w:val="000000"/>
                      <w:spacing w:val="-4"/>
                      <w:sz w:val="18"/>
                    </w:rPr>
                    <w:t> </w:t>
                  </w:r>
                  <w:r>
                    <w:rPr>
                      <w:color w:val="000000"/>
                      <w:sz w:val="18"/>
                    </w:rPr>
                    <w:t>please</w:t>
                  </w:r>
                  <w:r>
                    <w:rPr>
                      <w:color w:val="000000"/>
                      <w:spacing w:val="-2"/>
                      <w:sz w:val="18"/>
                    </w:rPr>
                    <w:t> </w:t>
                  </w:r>
                  <w:r>
                    <w:rPr>
                      <w:color w:val="000000"/>
                      <w:sz w:val="18"/>
                    </w:rPr>
                    <w:t>contact</w:t>
                  </w:r>
                  <w:r>
                    <w:rPr>
                      <w:color w:val="000000"/>
                      <w:spacing w:val="-5"/>
                      <w:sz w:val="18"/>
                    </w:rPr>
                    <w:t> </w:t>
                  </w:r>
                  <w:r>
                    <w:rPr>
                      <w:color w:val="000000"/>
                      <w:sz w:val="18"/>
                    </w:rPr>
                    <w:t>Health</w:t>
                  </w:r>
                  <w:r>
                    <w:rPr>
                      <w:color w:val="000000"/>
                      <w:spacing w:val="-2"/>
                      <w:sz w:val="18"/>
                    </w:rPr>
                    <w:t> </w:t>
                  </w:r>
                  <w:r>
                    <w:rPr>
                      <w:color w:val="000000"/>
                      <w:sz w:val="18"/>
                    </w:rPr>
                    <w:t>Policy</w:t>
                  </w:r>
                  <w:r>
                    <w:rPr>
                      <w:color w:val="000000"/>
                      <w:spacing w:val="1"/>
                      <w:sz w:val="18"/>
                    </w:rPr>
                    <w:t> </w:t>
                  </w:r>
                  <w:r>
                    <w:rPr>
                      <w:color w:val="000000"/>
                      <w:sz w:val="18"/>
                    </w:rPr>
                    <w:t>Analysis</w:t>
                  </w:r>
                  <w:r>
                    <w:rPr>
                      <w:color w:val="000000"/>
                      <w:spacing w:val="-2"/>
                      <w:sz w:val="18"/>
                    </w:rPr>
                    <w:t> </w:t>
                  </w:r>
                  <w:r>
                    <w:rPr>
                      <w:color w:val="000000"/>
                      <w:sz w:val="18"/>
                    </w:rPr>
                    <w:t>on</w:t>
                  </w:r>
                  <w:r>
                    <w:rPr>
                      <w:color w:val="000000"/>
                      <w:spacing w:val="3"/>
                      <w:sz w:val="18"/>
                    </w:rPr>
                    <w:t> </w:t>
                  </w:r>
                  <w:r>
                    <w:rPr>
                      <w:color w:val="000000"/>
                      <w:sz w:val="18"/>
                    </w:rPr>
                    <w:t>(02)</w:t>
                  </w:r>
                  <w:r>
                    <w:rPr>
                      <w:color w:val="000000"/>
                      <w:spacing w:val="-2"/>
                      <w:sz w:val="18"/>
                    </w:rPr>
                    <w:t> </w:t>
                  </w:r>
                  <w:r>
                    <w:rPr>
                      <w:color w:val="000000"/>
                      <w:sz w:val="18"/>
                    </w:rPr>
                    <w:t>8065</w:t>
                  </w:r>
                  <w:r>
                    <w:rPr>
                      <w:color w:val="000000"/>
                      <w:spacing w:val="-2"/>
                      <w:sz w:val="18"/>
                    </w:rPr>
                    <w:t> </w:t>
                  </w:r>
                  <w:r>
                    <w:rPr>
                      <w:color w:val="000000"/>
                      <w:sz w:val="18"/>
                    </w:rPr>
                    <w:t>6491 or</w:t>
                  </w:r>
                  <w:r>
                    <w:rPr>
                      <w:color w:val="000000"/>
                      <w:spacing w:val="-2"/>
                      <w:sz w:val="18"/>
                    </w:rPr>
                    <w:t> </w:t>
                  </w:r>
                  <w:hyperlink r:id="rId38">
                    <w:r>
                      <w:rPr>
                        <w:color w:val="000000"/>
                        <w:sz w:val="18"/>
                      </w:rPr>
                      <w:t>info@healthpolicy.com.au.</w:t>
                    </w:r>
                  </w:hyperlink>
                </w:p>
                <w:p>
                  <w:pPr>
                    <w:spacing w:line="276" w:lineRule="auto" w:before="120"/>
                    <w:ind w:left="148" w:right="326" w:firstLine="0"/>
                    <w:jc w:val="both"/>
                    <w:rPr>
                      <w:color w:val="000000"/>
                      <w:sz w:val="18"/>
                    </w:rPr>
                  </w:pPr>
                  <w:r>
                    <w:rPr>
                      <w:color w:val="000000"/>
                      <w:sz w:val="18"/>
                    </w:rPr>
                    <w:t>The HCH evaluation has been approved by the Department of Health Human Research Ethics Committee (Project</w:t>
                  </w:r>
                  <w:r>
                    <w:rPr>
                      <w:color w:val="000000"/>
                      <w:spacing w:val="-47"/>
                      <w:sz w:val="18"/>
                    </w:rPr>
                    <w:t> </w:t>
                  </w:r>
                  <w:r>
                    <w:rPr>
                      <w:color w:val="000000"/>
                      <w:sz w:val="18"/>
                    </w:rPr>
                    <w:t>04-2017</w:t>
                  </w:r>
                  <w:r>
                    <w:rPr>
                      <w:color w:val="000000"/>
                      <w:spacing w:val="-1"/>
                      <w:sz w:val="18"/>
                    </w:rPr>
                    <w:t> </w:t>
                  </w:r>
                  <w:r>
                    <w:rPr>
                      <w:color w:val="000000"/>
                      <w:sz w:val="18"/>
                    </w:rPr>
                    <w:t>–</w:t>
                  </w:r>
                  <w:r>
                    <w:rPr>
                      <w:color w:val="000000"/>
                      <w:spacing w:val="-4"/>
                      <w:sz w:val="18"/>
                    </w:rPr>
                    <w:t> </w:t>
                  </w:r>
                  <w:r>
                    <w:rPr>
                      <w:color w:val="000000"/>
                      <w:sz w:val="18"/>
                    </w:rPr>
                    <w:t>Health</w:t>
                  </w:r>
                  <w:r>
                    <w:rPr>
                      <w:color w:val="000000"/>
                      <w:spacing w:val="-2"/>
                      <w:sz w:val="18"/>
                    </w:rPr>
                    <w:t> </w:t>
                  </w:r>
                  <w:r>
                    <w:rPr>
                      <w:color w:val="000000"/>
                      <w:sz w:val="18"/>
                    </w:rPr>
                    <w:t>Care</w:t>
                  </w:r>
                  <w:r>
                    <w:rPr>
                      <w:color w:val="000000"/>
                      <w:spacing w:val="-3"/>
                      <w:sz w:val="18"/>
                    </w:rPr>
                    <w:t> </w:t>
                  </w:r>
                  <w:r>
                    <w:rPr>
                      <w:color w:val="000000"/>
                      <w:sz w:val="18"/>
                    </w:rPr>
                    <w:t>Homes</w:t>
                  </w:r>
                  <w:r>
                    <w:rPr>
                      <w:color w:val="000000"/>
                      <w:spacing w:val="-4"/>
                      <w:sz w:val="18"/>
                    </w:rPr>
                    <w:t> </w:t>
                  </w:r>
                  <w:r>
                    <w:rPr>
                      <w:color w:val="000000"/>
                      <w:sz w:val="18"/>
                    </w:rPr>
                    <w:t>Program,</w:t>
                  </w:r>
                  <w:r>
                    <w:rPr>
                      <w:color w:val="000000"/>
                      <w:spacing w:val="-4"/>
                      <w:sz w:val="18"/>
                    </w:rPr>
                    <w:t> </w:t>
                  </w:r>
                  <w:r>
                    <w:rPr>
                      <w:color w:val="000000"/>
                      <w:sz w:val="18"/>
                    </w:rPr>
                    <w:t>Part</w:t>
                  </w:r>
                  <w:r>
                    <w:rPr>
                      <w:color w:val="000000"/>
                      <w:spacing w:val="3"/>
                      <w:sz w:val="18"/>
                    </w:rPr>
                    <w:t> </w:t>
                  </w:r>
                  <w:r>
                    <w:rPr>
                      <w:color w:val="000000"/>
                      <w:sz w:val="18"/>
                    </w:rPr>
                    <w:t>A: National</w:t>
                  </w:r>
                  <w:r>
                    <w:rPr>
                      <w:color w:val="000000"/>
                      <w:spacing w:val="-3"/>
                      <w:sz w:val="18"/>
                    </w:rPr>
                    <w:t> </w:t>
                  </w:r>
                  <w:r>
                    <w:rPr>
                      <w:color w:val="000000"/>
                      <w:sz w:val="18"/>
                    </w:rPr>
                    <w:t>Evaluation).</w:t>
                  </w:r>
                  <w:r>
                    <w:rPr>
                      <w:color w:val="000000"/>
                      <w:spacing w:val="-4"/>
                      <w:sz w:val="18"/>
                    </w:rPr>
                    <w:t> </w:t>
                  </w:r>
                  <w:r>
                    <w:rPr>
                      <w:color w:val="000000"/>
                      <w:sz w:val="18"/>
                    </w:rPr>
                    <w:t>If</w:t>
                  </w:r>
                  <w:r>
                    <w:rPr>
                      <w:color w:val="000000"/>
                      <w:spacing w:val="-5"/>
                      <w:sz w:val="18"/>
                    </w:rPr>
                    <w:t> </w:t>
                  </w:r>
                  <w:r>
                    <w:rPr>
                      <w:color w:val="000000"/>
                      <w:sz w:val="18"/>
                    </w:rPr>
                    <w:t>you</w:t>
                  </w:r>
                  <w:r>
                    <w:rPr>
                      <w:color w:val="000000"/>
                      <w:spacing w:val="-2"/>
                      <w:sz w:val="18"/>
                    </w:rPr>
                    <w:t> </w:t>
                  </w:r>
                  <w:r>
                    <w:rPr>
                      <w:color w:val="000000"/>
                      <w:sz w:val="18"/>
                    </w:rPr>
                    <w:t>have</w:t>
                  </w:r>
                  <w:r>
                    <w:rPr>
                      <w:color w:val="000000"/>
                      <w:spacing w:val="-3"/>
                      <w:sz w:val="18"/>
                    </w:rPr>
                    <w:t> </w:t>
                  </w:r>
                  <w:r>
                    <w:rPr>
                      <w:color w:val="000000"/>
                      <w:sz w:val="18"/>
                    </w:rPr>
                    <w:t>any</w:t>
                  </w:r>
                  <w:r>
                    <w:rPr>
                      <w:color w:val="000000"/>
                      <w:spacing w:val="-3"/>
                      <w:sz w:val="18"/>
                    </w:rPr>
                    <w:t> </w:t>
                  </w:r>
                  <w:r>
                    <w:rPr>
                      <w:color w:val="000000"/>
                      <w:sz w:val="18"/>
                    </w:rPr>
                    <w:t>concerns</w:t>
                  </w:r>
                  <w:r>
                    <w:rPr>
                      <w:color w:val="000000"/>
                      <w:spacing w:val="-4"/>
                      <w:sz w:val="18"/>
                    </w:rPr>
                    <w:t> </w:t>
                  </w:r>
                  <w:r>
                    <w:rPr>
                      <w:color w:val="000000"/>
                      <w:sz w:val="18"/>
                    </w:rPr>
                    <w:t>or</w:t>
                  </w:r>
                  <w:r>
                    <w:rPr>
                      <w:color w:val="000000"/>
                      <w:spacing w:val="-3"/>
                      <w:sz w:val="18"/>
                    </w:rPr>
                    <w:t> </w:t>
                  </w:r>
                  <w:r>
                    <w:rPr>
                      <w:color w:val="000000"/>
                      <w:sz w:val="18"/>
                    </w:rPr>
                    <w:t>complaints</w:t>
                  </w:r>
                  <w:r>
                    <w:rPr>
                      <w:color w:val="000000"/>
                      <w:spacing w:val="-3"/>
                      <w:sz w:val="18"/>
                    </w:rPr>
                    <w:t> </w:t>
                  </w:r>
                  <w:r>
                    <w:rPr>
                      <w:color w:val="000000"/>
                      <w:sz w:val="18"/>
                    </w:rPr>
                    <w:t>on</w:t>
                  </w:r>
                  <w:r>
                    <w:rPr>
                      <w:color w:val="000000"/>
                      <w:spacing w:val="-3"/>
                      <w:sz w:val="18"/>
                    </w:rPr>
                    <w:t> </w:t>
                  </w:r>
                  <w:r>
                    <w:rPr>
                      <w:color w:val="000000"/>
                      <w:sz w:val="18"/>
                    </w:rPr>
                    <w:t>the</w:t>
                  </w:r>
                  <w:r>
                    <w:rPr>
                      <w:color w:val="000000"/>
                      <w:spacing w:val="-47"/>
                      <w:sz w:val="18"/>
                    </w:rPr>
                    <w:t> </w:t>
                  </w:r>
                  <w:r>
                    <w:rPr>
                      <w:color w:val="000000"/>
                      <w:sz w:val="18"/>
                    </w:rPr>
                    <w:t>ethical</w:t>
                  </w:r>
                  <w:r>
                    <w:rPr>
                      <w:color w:val="000000"/>
                      <w:spacing w:val="-3"/>
                      <w:sz w:val="18"/>
                    </w:rPr>
                    <w:t> </w:t>
                  </w:r>
                  <w:r>
                    <w:rPr>
                      <w:color w:val="000000"/>
                      <w:sz w:val="18"/>
                    </w:rPr>
                    <w:t>conduct</w:t>
                  </w:r>
                  <w:r>
                    <w:rPr>
                      <w:color w:val="000000"/>
                      <w:spacing w:val="-4"/>
                      <w:sz w:val="18"/>
                    </w:rPr>
                    <w:t> </w:t>
                  </w:r>
                  <w:r>
                    <w:rPr>
                      <w:color w:val="000000"/>
                      <w:sz w:val="18"/>
                    </w:rPr>
                    <w:t>of</w:t>
                  </w:r>
                  <w:r>
                    <w:rPr>
                      <w:color w:val="000000"/>
                      <w:spacing w:val="-1"/>
                      <w:sz w:val="18"/>
                    </w:rPr>
                    <w:t> </w:t>
                  </w:r>
                  <w:r>
                    <w:rPr>
                      <w:color w:val="000000"/>
                      <w:sz w:val="18"/>
                    </w:rPr>
                    <w:t>this</w:t>
                  </w:r>
                  <w:r>
                    <w:rPr>
                      <w:color w:val="000000"/>
                      <w:spacing w:val="-3"/>
                      <w:sz w:val="18"/>
                    </w:rPr>
                    <w:t> </w:t>
                  </w:r>
                  <w:r>
                    <w:rPr>
                      <w:color w:val="000000"/>
                      <w:sz w:val="18"/>
                    </w:rPr>
                    <w:t>research,</w:t>
                  </w:r>
                  <w:r>
                    <w:rPr>
                      <w:color w:val="000000"/>
                      <w:spacing w:val="-5"/>
                      <w:sz w:val="18"/>
                    </w:rPr>
                    <w:t> </w:t>
                  </w:r>
                  <w:r>
                    <w:rPr>
                      <w:color w:val="000000"/>
                      <w:sz w:val="18"/>
                    </w:rPr>
                    <w:t>please</w:t>
                  </w:r>
                  <w:r>
                    <w:rPr>
                      <w:color w:val="000000"/>
                      <w:spacing w:val="-2"/>
                      <w:sz w:val="18"/>
                    </w:rPr>
                    <w:t> </w:t>
                  </w:r>
                  <w:r>
                    <w:rPr>
                      <w:color w:val="000000"/>
                      <w:sz w:val="18"/>
                    </w:rPr>
                    <w:t>contact</w:t>
                  </w:r>
                  <w:r>
                    <w:rPr>
                      <w:color w:val="000000"/>
                      <w:spacing w:val="-4"/>
                      <w:sz w:val="18"/>
                    </w:rPr>
                    <w:t> </w:t>
                  </w:r>
                  <w:r>
                    <w:rPr>
                      <w:color w:val="000000"/>
                      <w:sz w:val="18"/>
                    </w:rPr>
                    <w:t>the</w:t>
                  </w:r>
                  <w:r>
                    <w:rPr>
                      <w:color w:val="000000"/>
                      <w:spacing w:val="-2"/>
                      <w:sz w:val="18"/>
                    </w:rPr>
                    <w:t> </w:t>
                  </w:r>
                  <w:r>
                    <w:rPr>
                      <w:color w:val="000000"/>
                      <w:sz w:val="18"/>
                    </w:rPr>
                    <w:t>Committee</w:t>
                  </w:r>
                  <w:r>
                    <w:rPr>
                      <w:color w:val="000000"/>
                      <w:spacing w:val="-2"/>
                      <w:sz w:val="18"/>
                    </w:rPr>
                    <w:t> </w:t>
                  </w:r>
                  <w:r>
                    <w:rPr>
                      <w:color w:val="000000"/>
                      <w:sz w:val="18"/>
                    </w:rPr>
                    <w:t>Secretariat</w:t>
                  </w:r>
                  <w:r>
                    <w:rPr>
                      <w:color w:val="000000"/>
                      <w:spacing w:val="-5"/>
                      <w:sz w:val="18"/>
                    </w:rPr>
                    <w:t> </w:t>
                  </w:r>
                  <w:r>
                    <w:rPr>
                      <w:color w:val="000000"/>
                      <w:sz w:val="18"/>
                    </w:rPr>
                    <w:t>by</w:t>
                  </w:r>
                  <w:r>
                    <w:rPr>
                      <w:color w:val="000000"/>
                      <w:spacing w:val="-3"/>
                      <w:sz w:val="18"/>
                    </w:rPr>
                    <w:t> </w:t>
                  </w:r>
                  <w:r>
                    <w:rPr>
                      <w:color w:val="000000"/>
                      <w:sz w:val="18"/>
                    </w:rPr>
                    <w:t>email</w:t>
                  </w:r>
                  <w:r>
                    <w:rPr>
                      <w:color w:val="000000"/>
                      <w:spacing w:val="-2"/>
                      <w:sz w:val="18"/>
                    </w:rPr>
                    <w:t> </w:t>
                  </w:r>
                  <w:r>
                    <w:rPr>
                      <w:color w:val="000000"/>
                      <w:sz w:val="18"/>
                    </w:rPr>
                    <w:t>at</w:t>
                  </w:r>
                  <w:r>
                    <w:rPr>
                      <w:color w:val="000000"/>
                      <w:spacing w:val="-4"/>
                      <w:sz w:val="18"/>
                    </w:rPr>
                    <w:t> </w:t>
                  </w:r>
                  <w:hyperlink r:id="rId39">
                    <w:r>
                      <w:rPr>
                        <w:color w:val="000000"/>
                        <w:sz w:val="18"/>
                      </w:rPr>
                      <w:t>ethics@health.gov.au.</w:t>
                    </w:r>
                  </w:hyperlink>
                </w:p>
              </w:txbxContent>
            </v:textbox>
            <v:fill type="solid"/>
            <w10:wrap type="topAndBottom"/>
          </v:shape>
        </w:pict>
      </w:r>
    </w:p>
    <w:p>
      <w:pPr>
        <w:pStyle w:val="BodyText"/>
        <w:spacing w:before="7"/>
        <w:rPr>
          <w:rFonts w:ascii="Arial Black"/>
          <w:sz w:val="17"/>
        </w:rPr>
      </w:pPr>
    </w:p>
    <w:p>
      <w:pPr>
        <w:pStyle w:val="ListParagraph"/>
        <w:numPr>
          <w:ilvl w:val="0"/>
          <w:numId w:val="105"/>
        </w:numPr>
        <w:tabs>
          <w:tab w:pos="619" w:val="left" w:leader="none"/>
        </w:tabs>
        <w:spacing w:line="240" w:lineRule="auto" w:before="100" w:after="0"/>
        <w:ind w:left="618" w:right="0" w:hanging="199"/>
        <w:jc w:val="left"/>
        <w:rPr>
          <w:sz w:val="18"/>
        </w:rPr>
      </w:pPr>
      <w:r>
        <w:rPr>
          <w:sz w:val="18"/>
        </w:rPr>
        <w:t>PHN</w:t>
      </w:r>
      <w:r>
        <w:rPr>
          <w:spacing w:val="-4"/>
          <w:sz w:val="18"/>
        </w:rPr>
        <w:t> </w:t>
      </w:r>
      <w:r>
        <w:rPr>
          <w:sz w:val="18"/>
        </w:rPr>
        <w:t>name</w:t>
      </w:r>
    </w:p>
    <w:p>
      <w:pPr>
        <w:pStyle w:val="BodyText"/>
        <w:spacing w:before="12"/>
        <w:rPr>
          <w:sz w:val="18"/>
        </w:rPr>
      </w:pPr>
    </w:p>
    <w:p>
      <w:pPr>
        <w:pStyle w:val="ListParagraph"/>
        <w:numPr>
          <w:ilvl w:val="0"/>
          <w:numId w:val="105"/>
        </w:numPr>
        <w:tabs>
          <w:tab w:pos="622" w:val="left" w:leader="none"/>
        </w:tabs>
        <w:spacing w:line="240" w:lineRule="auto" w:before="0" w:after="0"/>
        <w:ind w:left="621" w:right="0" w:hanging="202"/>
        <w:jc w:val="left"/>
        <w:rPr>
          <w:sz w:val="18"/>
        </w:rPr>
      </w:pPr>
      <w:r>
        <w:rPr>
          <w:sz w:val="18"/>
        </w:rPr>
        <w:t>Who</w:t>
      </w:r>
      <w:r>
        <w:rPr>
          <w:spacing w:val="-2"/>
          <w:sz w:val="18"/>
        </w:rPr>
        <w:t> </w:t>
      </w:r>
      <w:r>
        <w:rPr>
          <w:sz w:val="18"/>
        </w:rPr>
        <w:t>should</w:t>
      </w:r>
      <w:r>
        <w:rPr>
          <w:spacing w:val="-3"/>
          <w:sz w:val="18"/>
        </w:rPr>
        <w:t> </w:t>
      </w:r>
      <w:r>
        <w:rPr>
          <w:sz w:val="18"/>
        </w:rPr>
        <w:t>be</w:t>
      </w:r>
      <w:r>
        <w:rPr>
          <w:spacing w:val="-2"/>
          <w:sz w:val="18"/>
        </w:rPr>
        <w:t> </w:t>
      </w:r>
      <w:r>
        <w:rPr>
          <w:sz w:val="18"/>
        </w:rPr>
        <w:t>contacted</w:t>
      </w:r>
      <w:r>
        <w:rPr>
          <w:spacing w:val="-3"/>
          <w:sz w:val="18"/>
        </w:rPr>
        <w:t> </w:t>
      </w:r>
      <w:r>
        <w:rPr>
          <w:sz w:val="18"/>
        </w:rPr>
        <w:t>if</w:t>
      </w:r>
      <w:r>
        <w:rPr>
          <w:spacing w:val="-4"/>
          <w:sz w:val="18"/>
        </w:rPr>
        <w:t> </w:t>
      </w:r>
      <w:r>
        <w:rPr>
          <w:sz w:val="18"/>
        </w:rPr>
        <w:t>we</w:t>
      </w:r>
      <w:r>
        <w:rPr>
          <w:spacing w:val="-2"/>
          <w:sz w:val="18"/>
        </w:rPr>
        <w:t> </w:t>
      </w:r>
      <w:r>
        <w:rPr>
          <w:sz w:val="18"/>
        </w:rPr>
        <w:t>have</w:t>
      </w:r>
      <w:r>
        <w:rPr>
          <w:spacing w:val="-2"/>
          <w:sz w:val="18"/>
        </w:rPr>
        <w:t> </w:t>
      </w:r>
      <w:r>
        <w:rPr>
          <w:sz w:val="18"/>
        </w:rPr>
        <w:t>any</w:t>
      </w:r>
      <w:r>
        <w:rPr>
          <w:spacing w:val="-3"/>
          <w:sz w:val="18"/>
        </w:rPr>
        <w:t> </w:t>
      </w:r>
      <w:r>
        <w:rPr>
          <w:sz w:val="18"/>
        </w:rPr>
        <w:t>questions</w:t>
      </w:r>
      <w:r>
        <w:rPr>
          <w:spacing w:val="-4"/>
          <w:sz w:val="18"/>
        </w:rPr>
        <w:t> </w:t>
      </w:r>
      <w:r>
        <w:rPr>
          <w:sz w:val="18"/>
        </w:rPr>
        <w:t>about</w:t>
      </w:r>
      <w:r>
        <w:rPr>
          <w:spacing w:val="-4"/>
          <w:sz w:val="18"/>
        </w:rPr>
        <w:t> </w:t>
      </w:r>
      <w:r>
        <w:rPr>
          <w:sz w:val="18"/>
        </w:rPr>
        <w:t>your</w:t>
      </w:r>
      <w:r>
        <w:rPr>
          <w:spacing w:val="-2"/>
          <w:sz w:val="18"/>
        </w:rPr>
        <w:t> </w:t>
      </w:r>
      <w:r>
        <w:rPr>
          <w:sz w:val="18"/>
        </w:rPr>
        <w:t>responses</w:t>
      </w:r>
      <w:r>
        <w:rPr>
          <w:spacing w:val="-3"/>
          <w:sz w:val="18"/>
        </w:rPr>
        <w:t> </w:t>
      </w:r>
      <w:r>
        <w:rPr>
          <w:sz w:val="18"/>
        </w:rPr>
        <w:t>to</w:t>
      </w:r>
      <w:r>
        <w:rPr>
          <w:spacing w:val="-2"/>
          <w:sz w:val="18"/>
        </w:rPr>
        <w:t> </w:t>
      </w:r>
      <w:r>
        <w:rPr>
          <w:sz w:val="18"/>
        </w:rPr>
        <w:t>this</w:t>
      </w:r>
      <w:r>
        <w:rPr>
          <w:spacing w:val="-5"/>
          <w:sz w:val="18"/>
        </w:rPr>
        <w:t> </w:t>
      </w:r>
      <w:r>
        <w:rPr>
          <w:sz w:val="18"/>
        </w:rPr>
        <w:t>survey?</w:t>
      </w:r>
    </w:p>
    <w:p>
      <w:pPr>
        <w:pStyle w:val="BodyText"/>
        <w:spacing w:before="10"/>
        <w:rPr>
          <w:sz w:val="10"/>
        </w:rPr>
      </w:pPr>
    </w:p>
    <w:p>
      <w:pPr>
        <w:tabs>
          <w:tab w:pos="7059" w:val="left" w:leader="none"/>
        </w:tabs>
        <w:spacing w:before="100"/>
        <w:ind w:left="1771" w:right="0" w:firstLine="0"/>
        <w:jc w:val="left"/>
        <w:rPr>
          <w:sz w:val="18"/>
        </w:rPr>
      </w:pPr>
      <w:r>
        <w:rPr/>
        <w:drawing>
          <wp:anchor distT="0" distB="0" distL="0" distR="0" allowOverlap="1" layoutInCell="1" locked="0" behindDoc="0" simplePos="0" relativeHeight="16124416">
            <wp:simplePos x="0" y="0"/>
            <wp:positionH relativeFrom="page">
              <wp:posOffset>1102145</wp:posOffset>
            </wp:positionH>
            <wp:positionV relativeFrom="paragraph">
              <wp:posOffset>107968</wp:posOffset>
            </wp:positionV>
            <wp:extent cx="58380" cy="72151"/>
            <wp:effectExtent l="0" t="0" r="0" b="0"/>
            <wp:wrapNone/>
            <wp:docPr id="1961" name="image13.png"/>
            <wp:cNvGraphicFramePr>
              <a:graphicFrameLocks noChangeAspect="1"/>
            </wp:cNvGraphicFramePr>
            <a:graphic>
              <a:graphicData uri="http://schemas.openxmlformats.org/drawingml/2006/picture">
                <pic:pic>
                  <pic:nvPicPr>
                    <pic:cNvPr id="196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Name</w:t>
      </w:r>
      <w:r>
        <w:rPr>
          <w:spacing w:val="43"/>
          <w:sz w:val="18"/>
        </w:rPr>
        <w:t> </w:t>
      </w:r>
      <w:r>
        <w:rPr>
          <w:sz w:val="18"/>
        </w:rPr>
        <w:t>(1)</w:t>
      </w:r>
      <w:r>
        <w:rPr>
          <w:spacing w:val="-1"/>
          <w:sz w:val="18"/>
        </w:rPr>
        <w:t> </w:t>
      </w:r>
      <w:r>
        <w:rPr>
          <w:sz w:val="18"/>
          <w:u w:val="single" w:color="BDBDBD"/>
        </w:rPr>
        <w:t> </w:t>
        <w:tab/>
      </w:r>
    </w:p>
    <w:p>
      <w:pPr>
        <w:tabs>
          <w:tab w:pos="7078" w:val="left" w:leader="none"/>
        </w:tabs>
        <w:spacing w:before="0"/>
        <w:ind w:left="1771" w:right="0" w:firstLine="0"/>
        <w:jc w:val="left"/>
        <w:rPr>
          <w:sz w:val="18"/>
        </w:rPr>
      </w:pPr>
      <w:r>
        <w:rPr/>
        <w:drawing>
          <wp:anchor distT="0" distB="0" distL="0" distR="0" allowOverlap="1" layoutInCell="1" locked="0" behindDoc="0" simplePos="0" relativeHeight="16124928">
            <wp:simplePos x="0" y="0"/>
            <wp:positionH relativeFrom="page">
              <wp:posOffset>1102145</wp:posOffset>
            </wp:positionH>
            <wp:positionV relativeFrom="paragraph">
              <wp:posOffset>44275</wp:posOffset>
            </wp:positionV>
            <wp:extent cx="58380" cy="73869"/>
            <wp:effectExtent l="0" t="0" r="0" b="0"/>
            <wp:wrapNone/>
            <wp:docPr id="1963" name="image14.png"/>
            <wp:cNvGraphicFramePr>
              <a:graphicFrameLocks noChangeAspect="1"/>
            </wp:cNvGraphicFramePr>
            <a:graphic>
              <a:graphicData uri="http://schemas.openxmlformats.org/drawingml/2006/picture">
                <pic:pic>
                  <pic:nvPicPr>
                    <pic:cNvPr id="1964"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Phone</w:t>
      </w:r>
      <w:r>
        <w:rPr>
          <w:spacing w:val="45"/>
          <w:sz w:val="18"/>
        </w:rPr>
        <w:t> </w:t>
      </w:r>
      <w:r>
        <w:rPr>
          <w:sz w:val="18"/>
        </w:rPr>
        <w:t>(2)</w:t>
      </w:r>
      <w:r>
        <w:rPr>
          <w:spacing w:val="-1"/>
          <w:sz w:val="18"/>
        </w:rPr>
        <w:t> </w:t>
      </w:r>
      <w:r>
        <w:rPr>
          <w:sz w:val="18"/>
          <w:u w:val="single" w:color="BDBDBD"/>
        </w:rPr>
        <w:t> </w:t>
        <w:tab/>
      </w:r>
    </w:p>
    <w:p>
      <w:pPr>
        <w:tabs>
          <w:tab w:pos="6977" w:val="left" w:leader="none"/>
        </w:tabs>
        <w:spacing w:before="0"/>
        <w:ind w:left="1771" w:right="0" w:firstLine="0"/>
        <w:jc w:val="left"/>
        <w:rPr>
          <w:sz w:val="18"/>
        </w:rPr>
      </w:pPr>
      <w:r>
        <w:rPr/>
        <w:drawing>
          <wp:anchor distT="0" distB="0" distL="0" distR="0" allowOverlap="1" layoutInCell="1" locked="0" behindDoc="0" simplePos="0" relativeHeight="16125440">
            <wp:simplePos x="0" y="0"/>
            <wp:positionH relativeFrom="page">
              <wp:posOffset>1102145</wp:posOffset>
            </wp:positionH>
            <wp:positionV relativeFrom="paragraph">
              <wp:posOffset>44468</wp:posOffset>
            </wp:positionV>
            <wp:extent cx="58380" cy="72151"/>
            <wp:effectExtent l="0" t="0" r="0" b="0"/>
            <wp:wrapNone/>
            <wp:docPr id="1965" name="image13.png"/>
            <wp:cNvGraphicFramePr>
              <a:graphicFrameLocks noChangeAspect="1"/>
            </wp:cNvGraphicFramePr>
            <a:graphic>
              <a:graphicData uri="http://schemas.openxmlformats.org/drawingml/2006/picture">
                <pic:pic>
                  <pic:nvPicPr>
                    <pic:cNvPr id="196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Email</w:t>
      </w:r>
      <w:r>
        <w:rPr>
          <w:spacing w:val="47"/>
          <w:sz w:val="18"/>
        </w:rPr>
        <w:t> </w:t>
      </w:r>
      <w:r>
        <w:rPr>
          <w:sz w:val="18"/>
        </w:rPr>
        <w:t>(3)</w:t>
      </w:r>
      <w:r>
        <w:rPr>
          <w:spacing w:val="-1"/>
          <w:sz w:val="18"/>
        </w:rPr>
        <w:t> </w:t>
      </w:r>
      <w:r>
        <w:rPr>
          <w:sz w:val="18"/>
          <w:u w:val="single" w:color="BDBDBD"/>
        </w:rPr>
        <w:t> </w:t>
        <w:tab/>
      </w:r>
    </w:p>
    <w:p>
      <w:pPr>
        <w:pStyle w:val="BodyText"/>
        <w:spacing w:before="8"/>
        <w:rPr>
          <w:sz w:val="14"/>
        </w:rPr>
      </w:pPr>
    </w:p>
    <w:p>
      <w:pPr>
        <w:spacing w:before="100"/>
        <w:ind w:left="420" w:right="0" w:firstLine="0"/>
        <w:jc w:val="left"/>
        <w:rPr>
          <w:b/>
          <w:sz w:val="18"/>
        </w:rPr>
      </w:pPr>
      <w:r>
        <w:rPr>
          <w:b/>
          <w:sz w:val="18"/>
        </w:rPr>
        <w:t>Governance</w:t>
      </w:r>
      <w:r>
        <w:rPr>
          <w:b/>
          <w:spacing w:val="-1"/>
          <w:sz w:val="18"/>
        </w:rPr>
        <w:t> </w:t>
      </w:r>
      <w:r>
        <w:rPr>
          <w:b/>
          <w:sz w:val="18"/>
        </w:rPr>
        <w:t>at</w:t>
      </w:r>
      <w:r>
        <w:rPr>
          <w:b/>
          <w:spacing w:val="-2"/>
          <w:sz w:val="18"/>
        </w:rPr>
        <w:t> </w:t>
      </w:r>
      <w:r>
        <w:rPr>
          <w:b/>
          <w:sz w:val="18"/>
        </w:rPr>
        <w:t>PHN</w:t>
      </w:r>
      <w:r>
        <w:rPr>
          <w:b/>
          <w:spacing w:val="-3"/>
          <w:sz w:val="18"/>
        </w:rPr>
        <w:t> </w:t>
      </w:r>
      <w:r>
        <w:rPr>
          <w:b/>
          <w:sz w:val="18"/>
        </w:rPr>
        <w:t>level</w:t>
      </w:r>
    </w:p>
    <w:p>
      <w:pPr>
        <w:pStyle w:val="BodyText"/>
        <w:spacing w:before="12"/>
        <w:rPr>
          <w:b/>
          <w:sz w:val="18"/>
        </w:rPr>
      </w:pPr>
    </w:p>
    <w:p>
      <w:pPr>
        <w:pStyle w:val="ListParagraph"/>
        <w:numPr>
          <w:ilvl w:val="0"/>
          <w:numId w:val="105"/>
        </w:numPr>
        <w:tabs>
          <w:tab w:pos="620" w:val="left" w:leader="none"/>
        </w:tabs>
        <w:spacing w:line="240" w:lineRule="auto" w:before="0" w:after="0"/>
        <w:ind w:left="619" w:right="0" w:hanging="200"/>
        <w:jc w:val="left"/>
        <w:rPr>
          <w:sz w:val="18"/>
        </w:rPr>
      </w:pPr>
      <w:r>
        <w:rPr>
          <w:sz w:val="18"/>
        </w:rPr>
        <w:t>Briefly</w:t>
      </w:r>
      <w:r>
        <w:rPr>
          <w:spacing w:val="-4"/>
          <w:sz w:val="18"/>
        </w:rPr>
        <w:t> </w:t>
      </w:r>
      <w:r>
        <w:rPr>
          <w:sz w:val="18"/>
        </w:rPr>
        <w:t>describe</w:t>
      </w:r>
      <w:r>
        <w:rPr>
          <w:spacing w:val="-6"/>
          <w:sz w:val="18"/>
        </w:rPr>
        <w:t> </w:t>
      </w:r>
      <w:r>
        <w:rPr>
          <w:sz w:val="18"/>
        </w:rPr>
        <w:t>the</w:t>
      </w:r>
      <w:r>
        <w:rPr>
          <w:spacing w:val="-2"/>
          <w:sz w:val="18"/>
        </w:rPr>
        <w:t> </w:t>
      </w:r>
      <w:r>
        <w:rPr>
          <w:sz w:val="18"/>
        </w:rPr>
        <w:t>governance</w:t>
      </w:r>
      <w:r>
        <w:rPr>
          <w:spacing w:val="-3"/>
          <w:sz w:val="18"/>
        </w:rPr>
        <w:t> </w:t>
      </w:r>
      <w:r>
        <w:rPr>
          <w:sz w:val="18"/>
        </w:rPr>
        <w:t>of</w:t>
      </w:r>
      <w:r>
        <w:rPr>
          <w:spacing w:val="-2"/>
          <w:sz w:val="18"/>
        </w:rPr>
        <w:t> </w:t>
      </w:r>
      <w:r>
        <w:rPr>
          <w:sz w:val="18"/>
        </w:rPr>
        <w:t>the</w:t>
      </w:r>
      <w:r>
        <w:rPr>
          <w:spacing w:val="-3"/>
          <w:sz w:val="18"/>
        </w:rPr>
        <w:t> </w:t>
      </w:r>
      <w:r>
        <w:rPr>
          <w:sz w:val="18"/>
        </w:rPr>
        <w:t>HCH</w:t>
      </w:r>
      <w:r>
        <w:rPr>
          <w:spacing w:val="-6"/>
          <w:sz w:val="18"/>
        </w:rPr>
        <w:t> </w:t>
      </w:r>
      <w:r>
        <w:rPr>
          <w:sz w:val="18"/>
        </w:rPr>
        <w:t>implementation</w:t>
      </w:r>
      <w:r>
        <w:rPr>
          <w:spacing w:val="-2"/>
          <w:sz w:val="18"/>
        </w:rPr>
        <w:t> </w:t>
      </w:r>
      <w:r>
        <w:rPr>
          <w:sz w:val="18"/>
        </w:rPr>
        <w:t>within</w:t>
      </w:r>
      <w:r>
        <w:rPr>
          <w:spacing w:val="-5"/>
          <w:sz w:val="18"/>
        </w:rPr>
        <w:t> </w:t>
      </w:r>
      <w:r>
        <w:rPr>
          <w:sz w:val="18"/>
        </w:rPr>
        <w:t>the</w:t>
      </w:r>
      <w:r>
        <w:rPr>
          <w:spacing w:val="-2"/>
          <w:sz w:val="18"/>
        </w:rPr>
        <w:t> </w:t>
      </w:r>
      <w:r>
        <w:rPr>
          <w:sz w:val="18"/>
        </w:rPr>
        <w:t>PHN.</w:t>
      </w:r>
    </w:p>
    <w:p>
      <w:pPr>
        <w:pStyle w:val="BodyText"/>
        <w:rPr>
          <w:sz w:val="19"/>
        </w:rPr>
      </w:pPr>
    </w:p>
    <w:p>
      <w:pPr>
        <w:pStyle w:val="ListParagraph"/>
        <w:numPr>
          <w:ilvl w:val="0"/>
          <w:numId w:val="105"/>
        </w:numPr>
        <w:tabs>
          <w:tab w:pos="620" w:val="left" w:leader="none"/>
        </w:tabs>
        <w:spacing w:line="240" w:lineRule="auto" w:before="0" w:after="0"/>
        <w:ind w:left="619" w:right="0" w:hanging="200"/>
        <w:jc w:val="left"/>
        <w:rPr>
          <w:sz w:val="18"/>
        </w:rPr>
      </w:pPr>
      <w:r>
        <w:rPr>
          <w:sz w:val="18"/>
        </w:rPr>
        <w:t>Describe</w:t>
      </w:r>
      <w:r>
        <w:rPr>
          <w:spacing w:val="-3"/>
          <w:sz w:val="18"/>
        </w:rPr>
        <w:t> </w:t>
      </w:r>
      <w:r>
        <w:rPr>
          <w:sz w:val="18"/>
        </w:rPr>
        <w:t>the</w:t>
      </w:r>
      <w:r>
        <w:rPr>
          <w:spacing w:val="-4"/>
          <w:sz w:val="18"/>
        </w:rPr>
        <w:t> </w:t>
      </w:r>
      <w:r>
        <w:rPr>
          <w:sz w:val="18"/>
        </w:rPr>
        <w:t>membership</w:t>
      </w:r>
      <w:r>
        <w:rPr>
          <w:spacing w:val="-6"/>
          <w:sz w:val="18"/>
        </w:rPr>
        <w:t> </w:t>
      </w:r>
      <w:r>
        <w:rPr>
          <w:sz w:val="18"/>
        </w:rPr>
        <w:t>of</w:t>
      </w:r>
      <w:r>
        <w:rPr>
          <w:spacing w:val="-1"/>
          <w:sz w:val="18"/>
        </w:rPr>
        <w:t> </w:t>
      </w:r>
      <w:r>
        <w:rPr>
          <w:sz w:val="18"/>
        </w:rPr>
        <w:t>PHN</w:t>
      </w:r>
      <w:r>
        <w:rPr>
          <w:spacing w:val="-1"/>
          <w:sz w:val="18"/>
        </w:rPr>
        <w:t> </w:t>
      </w:r>
      <w:r>
        <w:rPr>
          <w:sz w:val="18"/>
        </w:rPr>
        <w:t>HCH</w:t>
      </w:r>
      <w:r>
        <w:rPr>
          <w:spacing w:val="-2"/>
          <w:sz w:val="18"/>
        </w:rPr>
        <w:t> </w:t>
      </w:r>
      <w:r>
        <w:rPr>
          <w:sz w:val="18"/>
        </w:rPr>
        <w:t>regional</w:t>
      </w:r>
      <w:r>
        <w:rPr>
          <w:spacing w:val="-3"/>
          <w:sz w:val="18"/>
        </w:rPr>
        <w:t> </w:t>
      </w:r>
      <w:r>
        <w:rPr>
          <w:sz w:val="18"/>
        </w:rPr>
        <w:t>governance</w:t>
      </w:r>
      <w:r>
        <w:rPr>
          <w:spacing w:val="-2"/>
          <w:sz w:val="18"/>
        </w:rPr>
        <w:t> </w:t>
      </w:r>
      <w:r>
        <w:rPr>
          <w:sz w:val="18"/>
        </w:rPr>
        <w:t>group.</w:t>
      </w:r>
    </w:p>
    <w:p>
      <w:pPr>
        <w:pStyle w:val="BodyText"/>
        <w:spacing w:before="2"/>
        <w:rPr>
          <w:sz w:val="19"/>
        </w:rPr>
      </w:pPr>
    </w:p>
    <w:p>
      <w:pPr>
        <w:pStyle w:val="ListParagraph"/>
        <w:numPr>
          <w:ilvl w:val="0"/>
          <w:numId w:val="105"/>
        </w:numPr>
        <w:tabs>
          <w:tab w:pos="622" w:val="left" w:leader="none"/>
        </w:tabs>
        <w:spacing w:line="240" w:lineRule="auto" w:before="0" w:after="0"/>
        <w:ind w:left="621" w:right="0" w:hanging="202"/>
        <w:jc w:val="left"/>
        <w:rPr>
          <w:sz w:val="18"/>
        </w:rPr>
      </w:pPr>
      <w:r>
        <w:rPr>
          <w:sz w:val="18"/>
        </w:rPr>
        <w:t>What</w:t>
      </w:r>
      <w:r>
        <w:rPr>
          <w:spacing w:val="-5"/>
          <w:sz w:val="18"/>
        </w:rPr>
        <w:t> </w:t>
      </w:r>
      <w:r>
        <w:rPr>
          <w:sz w:val="18"/>
        </w:rPr>
        <w:t>steps</w:t>
      </w:r>
      <w:r>
        <w:rPr>
          <w:spacing w:val="-3"/>
          <w:sz w:val="18"/>
        </w:rPr>
        <w:t> </w:t>
      </w:r>
      <w:r>
        <w:rPr>
          <w:sz w:val="18"/>
        </w:rPr>
        <w:t>could</w:t>
      </w:r>
      <w:r>
        <w:rPr>
          <w:spacing w:val="-4"/>
          <w:sz w:val="18"/>
        </w:rPr>
        <w:t> </w:t>
      </w:r>
      <w:r>
        <w:rPr>
          <w:sz w:val="18"/>
        </w:rPr>
        <w:t>be</w:t>
      </w:r>
      <w:r>
        <w:rPr>
          <w:spacing w:val="-3"/>
          <w:sz w:val="18"/>
        </w:rPr>
        <w:t> </w:t>
      </w:r>
      <w:r>
        <w:rPr>
          <w:sz w:val="18"/>
        </w:rPr>
        <w:t>taken</w:t>
      </w:r>
      <w:r>
        <w:rPr>
          <w:spacing w:val="-2"/>
          <w:sz w:val="18"/>
        </w:rPr>
        <w:t> </w:t>
      </w:r>
      <w:r>
        <w:rPr>
          <w:sz w:val="18"/>
        </w:rPr>
        <w:t>to</w:t>
      </w:r>
      <w:r>
        <w:rPr>
          <w:spacing w:val="-4"/>
          <w:sz w:val="18"/>
        </w:rPr>
        <w:t> </w:t>
      </w:r>
      <w:r>
        <w:rPr>
          <w:sz w:val="18"/>
        </w:rPr>
        <w:t>improve</w:t>
      </w:r>
      <w:r>
        <w:rPr>
          <w:spacing w:val="-2"/>
          <w:sz w:val="18"/>
        </w:rPr>
        <w:t> </w:t>
      </w:r>
      <w:r>
        <w:rPr>
          <w:sz w:val="18"/>
        </w:rPr>
        <w:t>governance</w:t>
      </w:r>
      <w:r>
        <w:rPr>
          <w:spacing w:val="-3"/>
          <w:sz w:val="18"/>
        </w:rPr>
        <w:t> </w:t>
      </w:r>
      <w:r>
        <w:rPr>
          <w:sz w:val="18"/>
        </w:rPr>
        <w:t>of</w:t>
      </w:r>
      <w:r>
        <w:rPr>
          <w:spacing w:val="-2"/>
          <w:sz w:val="18"/>
        </w:rPr>
        <w:t> </w:t>
      </w:r>
      <w:r>
        <w:rPr>
          <w:sz w:val="18"/>
        </w:rPr>
        <w:t>the</w:t>
      </w:r>
      <w:r>
        <w:rPr>
          <w:spacing w:val="-3"/>
          <w:sz w:val="18"/>
        </w:rPr>
        <w:t> </w:t>
      </w:r>
      <w:r>
        <w:rPr>
          <w:sz w:val="18"/>
        </w:rPr>
        <w:t>HCH</w:t>
      </w:r>
      <w:r>
        <w:rPr>
          <w:spacing w:val="-3"/>
          <w:sz w:val="18"/>
        </w:rPr>
        <w:t> </w:t>
      </w:r>
      <w:r>
        <w:rPr>
          <w:sz w:val="18"/>
        </w:rPr>
        <w:t>program</w:t>
      </w:r>
      <w:r>
        <w:rPr>
          <w:spacing w:val="-7"/>
          <w:sz w:val="18"/>
        </w:rPr>
        <w:t> </w:t>
      </w:r>
      <w:r>
        <w:rPr>
          <w:sz w:val="18"/>
        </w:rPr>
        <w:t>implementation</w:t>
      </w:r>
      <w:r>
        <w:rPr>
          <w:spacing w:val="-2"/>
          <w:sz w:val="18"/>
        </w:rPr>
        <w:t> </w:t>
      </w:r>
      <w:r>
        <w:rPr>
          <w:sz w:val="18"/>
        </w:rPr>
        <w:t>within</w:t>
      </w:r>
      <w:r>
        <w:rPr>
          <w:spacing w:val="-3"/>
          <w:sz w:val="18"/>
        </w:rPr>
        <w:t> </w:t>
      </w:r>
      <w:r>
        <w:rPr>
          <w:sz w:val="18"/>
        </w:rPr>
        <w:t>the</w:t>
      </w:r>
      <w:r>
        <w:rPr>
          <w:spacing w:val="-2"/>
          <w:sz w:val="18"/>
        </w:rPr>
        <w:t> </w:t>
      </w:r>
      <w:r>
        <w:rPr>
          <w:sz w:val="18"/>
        </w:rPr>
        <w:t>PHN?</w:t>
      </w:r>
    </w:p>
    <w:p>
      <w:pPr>
        <w:pStyle w:val="BodyText"/>
        <w:rPr>
          <w:sz w:val="19"/>
        </w:rPr>
      </w:pPr>
    </w:p>
    <w:p>
      <w:pPr>
        <w:pStyle w:val="ListParagraph"/>
        <w:numPr>
          <w:ilvl w:val="0"/>
          <w:numId w:val="105"/>
        </w:numPr>
        <w:tabs>
          <w:tab w:pos="622" w:val="left" w:leader="none"/>
        </w:tabs>
        <w:spacing w:line="240" w:lineRule="auto" w:before="0" w:after="0"/>
        <w:ind w:left="621" w:right="0" w:hanging="202"/>
        <w:jc w:val="left"/>
        <w:rPr>
          <w:sz w:val="18"/>
        </w:rPr>
      </w:pPr>
      <w:r>
        <w:rPr>
          <w:sz w:val="18"/>
        </w:rPr>
        <w:t>What</w:t>
      </w:r>
      <w:r>
        <w:rPr>
          <w:spacing w:val="-5"/>
          <w:sz w:val="18"/>
        </w:rPr>
        <w:t> </w:t>
      </w:r>
      <w:r>
        <w:rPr>
          <w:sz w:val="18"/>
        </w:rPr>
        <w:t>steps</w:t>
      </w:r>
      <w:r>
        <w:rPr>
          <w:spacing w:val="-3"/>
          <w:sz w:val="18"/>
        </w:rPr>
        <w:t> </w:t>
      </w:r>
      <w:r>
        <w:rPr>
          <w:sz w:val="18"/>
        </w:rPr>
        <w:t>could</w:t>
      </w:r>
      <w:r>
        <w:rPr>
          <w:spacing w:val="-4"/>
          <w:sz w:val="18"/>
        </w:rPr>
        <w:t> </w:t>
      </w:r>
      <w:r>
        <w:rPr>
          <w:sz w:val="18"/>
        </w:rPr>
        <w:t>be</w:t>
      </w:r>
      <w:r>
        <w:rPr>
          <w:spacing w:val="-2"/>
          <w:sz w:val="18"/>
        </w:rPr>
        <w:t> </w:t>
      </w:r>
      <w:r>
        <w:rPr>
          <w:sz w:val="18"/>
        </w:rPr>
        <w:t>taken</w:t>
      </w:r>
      <w:r>
        <w:rPr>
          <w:spacing w:val="-3"/>
          <w:sz w:val="18"/>
        </w:rPr>
        <w:t> </w:t>
      </w:r>
      <w:r>
        <w:rPr>
          <w:sz w:val="18"/>
        </w:rPr>
        <w:t>to</w:t>
      </w:r>
      <w:r>
        <w:rPr>
          <w:spacing w:val="-3"/>
          <w:sz w:val="18"/>
        </w:rPr>
        <w:t> </w:t>
      </w:r>
      <w:r>
        <w:rPr>
          <w:sz w:val="18"/>
        </w:rPr>
        <w:t>improve</w:t>
      </w:r>
      <w:r>
        <w:rPr>
          <w:spacing w:val="-3"/>
          <w:sz w:val="18"/>
        </w:rPr>
        <w:t> </w:t>
      </w:r>
      <w:r>
        <w:rPr>
          <w:sz w:val="18"/>
        </w:rPr>
        <w:t>governance</w:t>
      </w:r>
      <w:r>
        <w:rPr>
          <w:spacing w:val="-2"/>
          <w:sz w:val="18"/>
        </w:rPr>
        <w:t> </w:t>
      </w:r>
      <w:r>
        <w:rPr>
          <w:sz w:val="18"/>
        </w:rPr>
        <w:t>for</w:t>
      </w:r>
      <w:r>
        <w:rPr>
          <w:spacing w:val="-3"/>
          <w:sz w:val="18"/>
        </w:rPr>
        <w:t> </w:t>
      </w:r>
      <w:r>
        <w:rPr>
          <w:sz w:val="18"/>
        </w:rPr>
        <w:t>the</w:t>
      </w:r>
      <w:r>
        <w:rPr>
          <w:spacing w:val="-2"/>
          <w:sz w:val="18"/>
        </w:rPr>
        <w:t> </w:t>
      </w:r>
      <w:r>
        <w:rPr>
          <w:sz w:val="18"/>
        </w:rPr>
        <w:t>HCH</w:t>
      </w:r>
      <w:r>
        <w:rPr>
          <w:spacing w:val="-3"/>
          <w:sz w:val="18"/>
        </w:rPr>
        <w:t> </w:t>
      </w:r>
      <w:r>
        <w:rPr>
          <w:sz w:val="18"/>
        </w:rPr>
        <w:t>program</w:t>
      </w:r>
      <w:r>
        <w:rPr>
          <w:spacing w:val="-7"/>
          <w:sz w:val="18"/>
        </w:rPr>
        <w:t> </w:t>
      </w:r>
      <w:r>
        <w:rPr>
          <w:sz w:val="18"/>
        </w:rPr>
        <w:t>implementation</w:t>
      </w:r>
      <w:r>
        <w:rPr>
          <w:spacing w:val="-2"/>
          <w:sz w:val="18"/>
        </w:rPr>
        <w:t> </w:t>
      </w:r>
      <w:r>
        <w:rPr>
          <w:sz w:val="18"/>
        </w:rPr>
        <w:t>at</w:t>
      </w:r>
      <w:r>
        <w:rPr>
          <w:spacing w:val="-5"/>
          <w:sz w:val="18"/>
        </w:rPr>
        <w:t> </w:t>
      </w:r>
      <w:r>
        <w:rPr>
          <w:sz w:val="18"/>
        </w:rPr>
        <w:t>the</w:t>
      </w:r>
      <w:r>
        <w:rPr>
          <w:spacing w:val="-2"/>
          <w:sz w:val="18"/>
        </w:rPr>
        <w:t> </w:t>
      </w:r>
      <w:r>
        <w:rPr>
          <w:sz w:val="18"/>
        </w:rPr>
        <w:t>national</w:t>
      </w:r>
      <w:r>
        <w:rPr>
          <w:spacing w:val="-3"/>
          <w:sz w:val="18"/>
        </w:rPr>
        <w:t> </w:t>
      </w:r>
      <w:r>
        <w:rPr>
          <w:sz w:val="18"/>
        </w:rPr>
        <w:t>level?</w:t>
      </w:r>
    </w:p>
    <w:p>
      <w:pPr>
        <w:pStyle w:val="BodyText"/>
        <w:rPr>
          <w:sz w:val="19"/>
        </w:rPr>
      </w:pPr>
    </w:p>
    <w:p>
      <w:pPr>
        <w:spacing w:before="0"/>
        <w:ind w:left="420" w:right="0" w:firstLine="0"/>
        <w:jc w:val="left"/>
        <w:rPr>
          <w:b/>
          <w:sz w:val="18"/>
        </w:rPr>
      </w:pPr>
      <w:r>
        <w:rPr>
          <w:b/>
          <w:sz w:val="18"/>
        </w:rPr>
        <w:t>Training,</w:t>
      </w:r>
      <w:r>
        <w:rPr>
          <w:b/>
          <w:spacing w:val="-2"/>
          <w:sz w:val="18"/>
        </w:rPr>
        <w:t> </w:t>
      </w:r>
      <w:r>
        <w:rPr>
          <w:b/>
          <w:sz w:val="18"/>
        </w:rPr>
        <w:t>facilitation</w:t>
      </w:r>
      <w:r>
        <w:rPr>
          <w:b/>
          <w:spacing w:val="-2"/>
          <w:sz w:val="18"/>
        </w:rPr>
        <w:t> </w:t>
      </w:r>
      <w:r>
        <w:rPr>
          <w:b/>
          <w:sz w:val="18"/>
        </w:rPr>
        <w:t>and</w:t>
      </w:r>
      <w:r>
        <w:rPr>
          <w:b/>
          <w:spacing w:val="-1"/>
          <w:sz w:val="18"/>
        </w:rPr>
        <w:t> </w:t>
      </w:r>
      <w:r>
        <w:rPr>
          <w:b/>
          <w:sz w:val="18"/>
        </w:rPr>
        <w:t>support</w:t>
      </w:r>
      <w:r>
        <w:rPr>
          <w:b/>
          <w:spacing w:val="-4"/>
          <w:sz w:val="18"/>
        </w:rPr>
        <w:t> </w:t>
      </w:r>
      <w:r>
        <w:rPr>
          <w:b/>
          <w:sz w:val="18"/>
        </w:rPr>
        <w:t>provided</w:t>
      </w:r>
      <w:r>
        <w:rPr>
          <w:b/>
          <w:spacing w:val="-3"/>
          <w:sz w:val="18"/>
        </w:rPr>
        <w:t> </w:t>
      </w:r>
      <w:r>
        <w:rPr>
          <w:b/>
          <w:sz w:val="18"/>
        </w:rPr>
        <w:t>by</w:t>
      </w:r>
      <w:r>
        <w:rPr>
          <w:b/>
          <w:spacing w:val="-1"/>
          <w:sz w:val="18"/>
        </w:rPr>
        <w:t> </w:t>
      </w:r>
      <w:r>
        <w:rPr>
          <w:b/>
          <w:sz w:val="18"/>
        </w:rPr>
        <w:t>PHN</w:t>
      </w:r>
      <w:r>
        <w:rPr>
          <w:b/>
          <w:spacing w:val="-4"/>
          <w:sz w:val="18"/>
        </w:rPr>
        <w:t> </w:t>
      </w:r>
      <w:r>
        <w:rPr>
          <w:b/>
          <w:sz w:val="18"/>
        </w:rPr>
        <w:t>staff</w:t>
      </w:r>
      <w:r>
        <w:rPr>
          <w:b/>
          <w:spacing w:val="-2"/>
          <w:sz w:val="18"/>
        </w:rPr>
        <w:t> </w:t>
      </w:r>
      <w:r>
        <w:rPr>
          <w:b/>
          <w:sz w:val="18"/>
        </w:rPr>
        <w:t>to</w:t>
      </w:r>
      <w:r>
        <w:rPr>
          <w:b/>
          <w:spacing w:val="-2"/>
          <w:sz w:val="18"/>
        </w:rPr>
        <w:t> </w:t>
      </w:r>
      <w:r>
        <w:rPr>
          <w:b/>
          <w:sz w:val="18"/>
        </w:rPr>
        <w:t>practices</w:t>
      </w:r>
      <w:r>
        <w:rPr>
          <w:b/>
          <w:spacing w:val="-2"/>
          <w:sz w:val="18"/>
        </w:rPr>
        <w:t> </w:t>
      </w:r>
      <w:r>
        <w:rPr>
          <w:b/>
          <w:sz w:val="18"/>
        </w:rPr>
        <w:t>to</w:t>
      </w:r>
      <w:r>
        <w:rPr>
          <w:b/>
          <w:spacing w:val="-3"/>
          <w:sz w:val="18"/>
        </w:rPr>
        <w:t> </w:t>
      </w:r>
      <w:r>
        <w:rPr>
          <w:b/>
          <w:sz w:val="18"/>
        </w:rPr>
        <w:t>support</w:t>
      </w:r>
      <w:r>
        <w:rPr>
          <w:b/>
          <w:spacing w:val="-4"/>
          <w:sz w:val="18"/>
        </w:rPr>
        <w:t> </w:t>
      </w:r>
      <w:r>
        <w:rPr>
          <w:b/>
          <w:sz w:val="18"/>
        </w:rPr>
        <w:t>implementation</w:t>
      </w:r>
      <w:r>
        <w:rPr>
          <w:b/>
          <w:spacing w:val="-2"/>
          <w:sz w:val="18"/>
        </w:rPr>
        <w:t> </w:t>
      </w:r>
      <w:r>
        <w:rPr>
          <w:b/>
          <w:sz w:val="18"/>
        </w:rPr>
        <w:t>of</w:t>
      </w:r>
      <w:r>
        <w:rPr>
          <w:b/>
          <w:spacing w:val="-2"/>
          <w:sz w:val="18"/>
        </w:rPr>
        <w:t> </w:t>
      </w:r>
      <w:r>
        <w:rPr>
          <w:b/>
          <w:sz w:val="18"/>
        </w:rPr>
        <w:t>HCH</w:t>
      </w:r>
    </w:p>
    <w:p>
      <w:pPr>
        <w:pStyle w:val="BodyText"/>
        <w:rPr>
          <w:b/>
          <w:sz w:val="19"/>
        </w:rPr>
      </w:pPr>
    </w:p>
    <w:p>
      <w:pPr>
        <w:pStyle w:val="ListParagraph"/>
        <w:numPr>
          <w:ilvl w:val="0"/>
          <w:numId w:val="105"/>
        </w:numPr>
        <w:tabs>
          <w:tab w:pos="619" w:val="left" w:leader="none"/>
        </w:tabs>
        <w:spacing w:line="276" w:lineRule="auto" w:before="0" w:after="0"/>
        <w:ind w:left="420" w:right="720" w:firstLine="0"/>
        <w:jc w:val="left"/>
        <w:rPr>
          <w:sz w:val="18"/>
        </w:rPr>
      </w:pPr>
      <w:r>
        <w:rPr>
          <w:sz w:val="18"/>
        </w:rPr>
        <w:t>Please describe the key elements of the strategy the PHN adopted to provide </w:t>
      </w:r>
      <w:r>
        <w:rPr>
          <w:sz w:val="18"/>
          <w:u w:val="single"/>
        </w:rPr>
        <w:t>facilitation, training and support </w:t>
      </w:r>
      <w:r>
        <w:rPr>
          <w:sz w:val="18"/>
        </w:rPr>
        <w:t>to HCH</w:t>
      </w:r>
      <w:r>
        <w:rPr>
          <w:spacing w:val="-47"/>
          <w:sz w:val="18"/>
        </w:rPr>
        <w:t> </w:t>
      </w:r>
      <w:r>
        <w:rPr>
          <w:sz w:val="18"/>
        </w:rPr>
        <w:t>practices.</w:t>
      </w:r>
    </w:p>
    <w:p>
      <w:pPr>
        <w:pStyle w:val="BodyText"/>
        <w:spacing w:before="5"/>
        <w:rPr>
          <w:sz w:val="16"/>
        </w:rPr>
      </w:pPr>
    </w:p>
    <w:p>
      <w:pPr>
        <w:pStyle w:val="ListParagraph"/>
        <w:numPr>
          <w:ilvl w:val="0"/>
          <w:numId w:val="105"/>
        </w:numPr>
        <w:tabs>
          <w:tab w:pos="619" w:val="left" w:leader="none"/>
        </w:tabs>
        <w:spacing w:line="273" w:lineRule="auto" w:before="0" w:after="0"/>
        <w:ind w:left="420" w:right="886" w:firstLine="0"/>
        <w:jc w:val="left"/>
        <w:rPr>
          <w:sz w:val="18"/>
        </w:rPr>
      </w:pPr>
      <w:r>
        <w:rPr>
          <w:sz w:val="18"/>
        </w:rPr>
        <w:t>Please describe the strategies the PHN adopted to support/facilitate HCH practices in the </w:t>
      </w:r>
      <w:r>
        <w:rPr>
          <w:sz w:val="18"/>
          <w:u w:val="single"/>
        </w:rPr>
        <w:t>enrolment of patients </w:t>
      </w:r>
      <w:r>
        <w:rPr>
          <w:sz w:val="18"/>
        </w:rPr>
        <w:t>into</w:t>
      </w:r>
      <w:r>
        <w:rPr>
          <w:spacing w:val="-47"/>
          <w:sz w:val="18"/>
        </w:rPr>
        <w:t> </w:t>
      </w:r>
      <w:r>
        <w:rPr>
          <w:sz w:val="18"/>
        </w:rPr>
        <w:t>the</w:t>
      </w:r>
      <w:r>
        <w:rPr>
          <w:spacing w:val="-1"/>
          <w:sz w:val="18"/>
        </w:rPr>
        <w:t> </w:t>
      </w:r>
      <w:r>
        <w:rPr>
          <w:sz w:val="18"/>
        </w:rPr>
        <w:t>program.</w:t>
      </w:r>
    </w:p>
    <w:p>
      <w:pPr>
        <w:pStyle w:val="BodyText"/>
        <w:spacing w:before="6"/>
        <w:rPr>
          <w:sz w:val="16"/>
        </w:rPr>
      </w:pPr>
    </w:p>
    <w:p>
      <w:pPr>
        <w:pStyle w:val="ListParagraph"/>
        <w:numPr>
          <w:ilvl w:val="0"/>
          <w:numId w:val="105"/>
        </w:numPr>
        <w:tabs>
          <w:tab w:pos="619" w:val="left" w:leader="none"/>
        </w:tabs>
        <w:spacing w:line="276" w:lineRule="auto" w:before="0" w:after="0"/>
        <w:ind w:left="420" w:right="1714" w:firstLine="0"/>
        <w:jc w:val="left"/>
        <w:rPr>
          <w:sz w:val="18"/>
        </w:rPr>
      </w:pPr>
      <w:r>
        <w:rPr/>
        <w:pict>
          <v:rect style="position:absolute;margin-left:36pt;margin-top:22.612761pt;width:152.54pt;height:.47998pt;mso-position-horizontal-relative:page;mso-position-vertical-relative:paragraph;z-index:-27158528" id="docshape233" filled="true" fillcolor="#000000" stroked="false">
            <v:fill type="solid"/>
            <w10:wrap type="none"/>
          </v:rect>
        </w:pict>
      </w:r>
      <w:r>
        <w:rPr>
          <w:sz w:val="18"/>
        </w:rPr>
        <w:t>Please describe the strategies the PHN adopted to support/facilitate HCH practices in the </w:t>
      </w:r>
      <w:r>
        <w:rPr>
          <w:sz w:val="18"/>
          <w:u w:val="single"/>
        </w:rPr>
        <w:t>other aspects of</w:t>
      </w:r>
      <w:r>
        <w:rPr>
          <w:spacing w:val="-47"/>
          <w:sz w:val="18"/>
        </w:rPr>
        <w:t> </w:t>
      </w:r>
      <w:r>
        <w:rPr>
          <w:sz w:val="18"/>
        </w:rPr>
        <w:t>implementation</w:t>
      </w:r>
      <w:r>
        <w:rPr>
          <w:spacing w:val="-1"/>
          <w:sz w:val="18"/>
        </w:rPr>
        <w:t> </w:t>
      </w:r>
      <w:r>
        <w:rPr>
          <w:sz w:val="18"/>
        </w:rPr>
        <w:t>of the HCH</w:t>
      </w:r>
      <w:r>
        <w:rPr>
          <w:spacing w:val="-3"/>
          <w:sz w:val="18"/>
        </w:rPr>
        <w:t> </w:t>
      </w:r>
      <w:r>
        <w:rPr>
          <w:sz w:val="18"/>
        </w:rPr>
        <w:t>model.</w:t>
      </w:r>
    </w:p>
    <w:p>
      <w:pPr>
        <w:pStyle w:val="BodyText"/>
        <w:spacing w:before="2"/>
        <w:rPr>
          <w:sz w:val="8"/>
        </w:rPr>
      </w:pPr>
    </w:p>
    <w:p>
      <w:pPr>
        <w:pStyle w:val="ListParagraph"/>
        <w:numPr>
          <w:ilvl w:val="0"/>
          <w:numId w:val="105"/>
        </w:numPr>
        <w:tabs>
          <w:tab w:pos="720" w:val="left" w:leader="none"/>
        </w:tabs>
        <w:spacing w:line="276" w:lineRule="auto" w:before="100" w:after="0"/>
        <w:ind w:left="420" w:right="1586" w:firstLine="0"/>
        <w:jc w:val="left"/>
        <w:rPr>
          <w:sz w:val="18"/>
        </w:rPr>
      </w:pPr>
      <w:r>
        <w:rPr/>
        <w:pict>
          <v:rect style="position:absolute;margin-left:189.259995pt;margin-top:27.61269pt;width:216.17pt;height:.48004pt;mso-position-horizontal-relative:page;mso-position-vertical-relative:paragraph;z-index:-27158016" id="docshape234" filled="true" fillcolor="#000000" stroked="false">
            <v:fill type="solid"/>
            <w10:wrap type="none"/>
          </v:rect>
        </w:pict>
      </w:r>
      <w:r>
        <w:rPr>
          <w:sz w:val="18"/>
        </w:rPr>
        <w:t>Please describe strategies the PHN adopted to provide opportunities for HCH key change drivers, including</w:t>
      </w:r>
      <w:r>
        <w:rPr>
          <w:spacing w:val="-47"/>
          <w:sz w:val="18"/>
        </w:rPr>
        <w:t> </w:t>
      </w:r>
      <w:r>
        <w:rPr>
          <w:sz w:val="18"/>
        </w:rPr>
        <w:t>practice</w:t>
      </w:r>
      <w:r>
        <w:rPr>
          <w:spacing w:val="-1"/>
          <w:sz w:val="18"/>
        </w:rPr>
        <w:t> </w:t>
      </w:r>
      <w:r>
        <w:rPr>
          <w:sz w:val="18"/>
        </w:rPr>
        <w:t>managers</w:t>
      </w:r>
      <w:r>
        <w:rPr>
          <w:spacing w:val="-3"/>
          <w:sz w:val="18"/>
        </w:rPr>
        <w:t> </w:t>
      </w:r>
      <w:r>
        <w:rPr>
          <w:sz w:val="18"/>
        </w:rPr>
        <w:t>and</w:t>
      </w:r>
      <w:r>
        <w:rPr>
          <w:spacing w:val="-3"/>
          <w:sz w:val="18"/>
        </w:rPr>
        <w:t> </w:t>
      </w:r>
      <w:r>
        <w:rPr>
          <w:sz w:val="18"/>
        </w:rPr>
        <w:t>principals,</w:t>
      </w:r>
      <w:r>
        <w:rPr>
          <w:spacing w:val="-3"/>
          <w:sz w:val="18"/>
        </w:rPr>
        <w:t> </w:t>
      </w:r>
      <w:r>
        <w:rPr>
          <w:sz w:val="18"/>
        </w:rPr>
        <w:t>to</w:t>
      </w:r>
      <w:r>
        <w:rPr>
          <w:spacing w:val="-2"/>
          <w:sz w:val="18"/>
        </w:rPr>
        <w:t> </w:t>
      </w:r>
      <w:r>
        <w:rPr>
          <w:sz w:val="18"/>
        </w:rPr>
        <w:t>engage</w:t>
      </w:r>
      <w:r>
        <w:rPr>
          <w:spacing w:val="-2"/>
          <w:sz w:val="18"/>
        </w:rPr>
        <w:t> </w:t>
      </w:r>
      <w:r>
        <w:rPr>
          <w:sz w:val="18"/>
        </w:rPr>
        <w:t>and</w:t>
      </w:r>
      <w:r>
        <w:rPr>
          <w:spacing w:val="-3"/>
          <w:sz w:val="18"/>
        </w:rPr>
        <w:t> </w:t>
      </w:r>
      <w:r>
        <w:rPr>
          <w:sz w:val="18"/>
        </w:rPr>
        <w:t>establish</w:t>
      </w:r>
      <w:r>
        <w:rPr>
          <w:spacing w:val="-2"/>
          <w:sz w:val="18"/>
        </w:rPr>
        <w:t> </w:t>
      </w:r>
      <w:r>
        <w:rPr>
          <w:sz w:val="18"/>
        </w:rPr>
        <w:t>communities</w:t>
      </w:r>
      <w:r>
        <w:rPr>
          <w:spacing w:val="-3"/>
          <w:sz w:val="18"/>
        </w:rPr>
        <w:t> </w:t>
      </w:r>
      <w:r>
        <w:rPr>
          <w:sz w:val="18"/>
        </w:rPr>
        <w:t>of</w:t>
      </w:r>
      <w:r>
        <w:rPr>
          <w:spacing w:val="-3"/>
          <w:sz w:val="18"/>
        </w:rPr>
        <w:t> </w:t>
      </w:r>
      <w:r>
        <w:rPr>
          <w:sz w:val="18"/>
        </w:rPr>
        <w:t>practice</w:t>
      </w:r>
      <w:r>
        <w:rPr>
          <w:spacing w:val="4"/>
          <w:sz w:val="18"/>
        </w:rPr>
        <w:t> </w:t>
      </w:r>
      <w:r>
        <w:rPr>
          <w:sz w:val="18"/>
        </w:rPr>
        <w:t>at</w:t>
      </w:r>
      <w:r>
        <w:rPr>
          <w:spacing w:val="-4"/>
          <w:sz w:val="18"/>
        </w:rPr>
        <w:t> </w:t>
      </w:r>
      <w:r>
        <w:rPr>
          <w:sz w:val="18"/>
        </w:rPr>
        <w:t>a</w:t>
      </w:r>
      <w:r>
        <w:rPr>
          <w:spacing w:val="-2"/>
          <w:sz w:val="18"/>
        </w:rPr>
        <w:t> </w:t>
      </w:r>
      <w:r>
        <w:rPr>
          <w:sz w:val="18"/>
        </w:rPr>
        <w:t>regional</w:t>
      </w:r>
      <w:r>
        <w:rPr>
          <w:spacing w:val="-2"/>
          <w:sz w:val="18"/>
        </w:rPr>
        <w:t> </w:t>
      </w:r>
      <w:r>
        <w:rPr>
          <w:sz w:val="18"/>
        </w:rPr>
        <w:t>level.</w:t>
      </w:r>
    </w:p>
    <w:p>
      <w:pPr>
        <w:spacing w:after="0" w:line="276" w:lineRule="auto"/>
        <w:jc w:val="left"/>
        <w:rPr>
          <w:sz w:val="18"/>
        </w:rPr>
        <w:sectPr>
          <w:footerReference w:type="default" r:id="rId57"/>
          <w:pgSz w:w="11910" w:h="16840"/>
          <w:pgMar w:footer="948" w:header="0" w:top="860" w:bottom="1140" w:left="300" w:right="0"/>
          <w:pgNumType w:start="142"/>
        </w:sectPr>
      </w:pPr>
    </w:p>
    <w:p>
      <w:pPr>
        <w:pStyle w:val="ListParagraph"/>
        <w:numPr>
          <w:ilvl w:val="0"/>
          <w:numId w:val="105"/>
        </w:numPr>
        <w:tabs>
          <w:tab w:pos="720" w:val="left" w:leader="none"/>
        </w:tabs>
        <w:spacing w:line="240" w:lineRule="auto" w:before="75" w:after="0"/>
        <w:ind w:left="719" w:right="0" w:hanging="300"/>
        <w:jc w:val="left"/>
        <w:rPr>
          <w:sz w:val="18"/>
        </w:rPr>
      </w:pPr>
      <w:r>
        <w:rPr>
          <w:sz w:val="18"/>
        </w:rPr>
        <w:t>Did</w:t>
      </w:r>
      <w:r>
        <w:rPr>
          <w:spacing w:val="-4"/>
          <w:sz w:val="18"/>
        </w:rPr>
        <w:t> </w:t>
      </w:r>
      <w:r>
        <w:rPr>
          <w:sz w:val="18"/>
        </w:rPr>
        <w:t>the</w:t>
      </w:r>
      <w:r>
        <w:rPr>
          <w:spacing w:val="-2"/>
          <w:sz w:val="18"/>
        </w:rPr>
        <w:t> </w:t>
      </w:r>
      <w:r>
        <w:rPr>
          <w:sz w:val="18"/>
        </w:rPr>
        <w:t>PHN</w:t>
      </w:r>
      <w:r>
        <w:rPr>
          <w:spacing w:val="-4"/>
          <w:sz w:val="18"/>
        </w:rPr>
        <w:t> </w:t>
      </w:r>
      <w:r>
        <w:rPr>
          <w:sz w:val="18"/>
        </w:rPr>
        <w:t>provide</w:t>
      </w:r>
      <w:r>
        <w:rPr>
          <w:spacing w:val="-2"/>
          <w:sz w:val="18"/>
        </w:rPr>
        <w:t> </w:t>
      </w:r>
      <w:r>
        <w:rPr>
          <w:sz w:val="18"/>
        </w:rPr>
        <w:t>any</w:t>
      </w:r>
      <w:r>
        <w:rPr>
          <w:spacing w:val="-3"/>
          <w:sz w:val="18"/>
        </w:rPr>
        <w:t> </w:t>
      </w:r>
      <w:r>
        <w:rPr>
          <w:sz w:val="18"/>
        </w:rPr>
        <w:t>training</w:t>
      </w:r>
      <w:r>
        <w:rPr>
          <w:spacing w:val="-4"/>
          <w:sz w:val="18"/>
        </w:rPr>
        <w:t> </w:t>
      </w:r>
      <w:r>
        <w:rPr>
          <w:sz w:val="18"/>
        </w:rPr>
        <w:t>workshops/webinars</w:t>
      </w:r>
      <w:r>
        <w:rPr>
          <w:spacing w:val="-3"/>
          <w:sz w:val="18"/>
        </w:rPr>
        <w:t> </w:t>
      </w:r>
      <w:r>
        <w:rPr>
          <w:sz w:val="18"/>
        </w:rPr>
        <w:t>in</w:t>
      </w:r>
      <w:r>
        <w:rPr>
          <w:spacing w:val="-4"/>
          <w:sz w:val="18"/>
        </w:rPr>
        <w:t> </w:t>
      </w:r>
      <w:r>
        <w:rPr>
          <w:sz w:val="18"/>
        </w:rPr>
        <w:t>which</w:t>
      </w:r>
      <w:r>
        <w:rPr>
          <w:spacing w:val="-3"/>
          <w:sz w:val="18"/>
        </w:rPr>
        <w:t> </w:t>
      </w:r>
      <w:r>
        <w:rPr>
          <w:sz w:val="18"/>
        </w:rPr>
        <w:t>HCH</w:t>
      </w:r>
      <w:r>
        <w:rPr>
          <w:spacing w:val="-3"/>
          <w:sz w:val="18"/>
        </w:rPr>
        <w:t> </w:t>
      </w:r>
      <w:r>
        <w:rPr>
          <w:sz w:val="18"/>
        </w:rPr>
        <w:t>practices</w:t>
      </w:r>
      <w:r>
        <w:rPr>
          <w:spacing w:val="-3"/>
          <w:sz w:val="18"/>
        </w:rPr>
        <w:t> </w:t>
      </w:r>
      <w:r>
        <w:rPr>
          <w:sz w:val="18"/>
        </w:rPr>
        <w:t>participated?</w:t>
      </w:r>
    </w:p>
    <w:p>
      <w:pPr>
        <w:pStyle w:val="BodyText"/>
        <w:spacing w:before="11"/>
        <w:rPr>
          <w:sz w:val="10"/>
        </w:rPr>
      </w:pPr>
    </w:p>
    <w:p>
      <w:pPr>
        <w:spacing w:before="100"/>
        <w:ind w:left="1771" w:right="0" w:firstLine="0"/>
        <w:jc w:val="left"/>
        <w:rPr>
          <w:sz w:val="18"/>
        </w:rPr>
      </w:pPr>
      <w:r>
        <w:rPr/>
        <w:drawing>
          <wp:anchor distT="0" distB="0" distL="0" distR="0" allowOverlap="1" layoutInCell="1" locked="0" behindDoc="0" simplePos="0" relativeHeight="16126976">
            <wp:simplePos x="0" y="0"/>
            <wp:positionH relativeFrom="page">
              <wp:posOffset>1102145</wp:posOffset>
            </wp:positionH>
            <wp:positionV relativeFrom="paragraph">
              <wp:posOffset>108603</wp:posOffset>
            </wp:positionV>
            <wp:extent cx="58380" cy="72151"/>
            <wp:effectExtent l="0" t="0" r="0" b="0"/>
            <wp:wrapNone/>
            <wp:docPr id="1967" name="image13.png"/>
            <wp:cNvGraphicFramePr>
              <a:graphicFrameLocks noChangeAspect="1"/>
            </wp:cNvGraphicFramePr>
            <a:graphic>
              <a:graphicData uri="http://schemas.openxmlformats.org/drawingml/2006/picture">
                <pic:pic>
                  <pic:nvPicPr>
                    <pic:cNvPr id="196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Yes</w:t>
      </w:r>
      <w:r>
        <w:rPr>
          <w:spacing w:val="49"/>
          <w:sz w:val="18"/>
        </w:rPr>
        <w:t> </w:t>
      </w:r>
      <w:r>
        <w:rPr>
          <w:sz w:val="18"/>
        </w:rPr>
        <w:t>(4)</w:t>
      </w:r>
    </w:p>
    <w:p>
      <w:pPr>
        <w:spacing w:before="0"/>
        <w:ind w:left="1771" w:right="0" w:firstLine="0"/>
        <w:jc w:val="left"/>
        <w:rPr>
          <w:sz w:val="18"/>
        </w:rPr>
      </w:pPr>
      <w:r>
        <w:rPr/>
        <w:drawing>
          <wp:anchor distT="0" distB="0" distL="0" distR="0" allowOverlap="1" layoutInCell="1" locked="0" behindDoc="0" simplePos="0" relativeHeight="16127488">
            <wp:simplePos x="0" y="0"/>
            <wp:positionH relativeFrom="page">
              <wp:posOffset>1102145</wp:posOffset>
            </wp:positionH>
            <wp:positionV relativeFrom="paragraph">
              <wp:posOffset>44849</wp:posOffset>
            </wp:positionV>
            <wp:extent cx="58380" cy="72151"/>
            <wp:effectExtent l="0" t="0" r="0" b="0"/>
            <wp:wrapNone/>
            <wp:docPr id="1969" name="image13.png"/>
            <wp:cNvGraphicFramePr>
              <a:graphicFrameLocks noChangeAspect="1"/>
            </wp:cNvGraphicFramePr>
            <a:graphic>
              <a:graphicData uri="http://schemas.openxmlformats.org/drawingml/2006/picture">
                <pic:pic>
                  <pic:nvPicPr>
                    <pic:cNvPr id="197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w:t>
      </w:r>
      <w:r>
        <w:rPr>
          <w:spacing w:val="49"/>
          <w:sz w:val="18"/>
        </w:rPr>
        <w:t> </w:t>
      </w:r>
      <w:r>
        <w:rPr>
          <w:sz w:val="18"/>
        </w:rPr>
        <w:t>(5)</w:t>
      </w:r>
    </w:p>
    <w:p>
      <w:pPr>
        <w:pStyle w:val="BodyText"/>
        <w:spacing w:before="7"/>
        <w:rPr>
          <w:sz w:val="14"/>
        </w:rPr>
      </w:pPr>
    </w:p>
    <w:p>
      <w:pPr>
        <w:spacing w:line="276" w:lineRule="auto" w:before="100"/>
        <w:ind w:left="420" w:right="892" w:firstLine="0"/>
        <w:jc w:val="left"/>
        <w:rPr>
          <w:sz w:val="18"/>
        </w:rPr>
      </w:pPr>
      <w:r>
        <w:rPr>
          <w:sz w:val="18"/>
        </w:rPr>
        <w:t>11a. If you answered yes to Q 11, please provide the following details of the training workshop(s)/webinar(s) organised</w:t>
      </w:r>
      <w:r>
        <w:rPr>
          <w:spacing w:val="-47"/>
          <w:sz w:val="18"/>
        </w:rPr>
        <w:t> </w:t>
      </w:r>
      <w:r>
        <w:rPr>
          <w:sz w:val="18"/>
        </w:rPr>
        <w:t>for</w:t>
      </w:r>
      <w:r>
        <w:rPr>
          <w:spacing w:val="-1"/>
          <w:sz w:val="18"/>
        </w:rPr>
        <w:t> </w:t>
      </w:r>
      <w:r>
        <w:rPr>
          <w:sz w:val="18"/>
        </w:rPr>
        <w:t>HCH</w:t>
      </w:r>
      <w:r>
        <w:rPr>
          <w:spacing w:val="-2"/>
          <w:sz w:val="18"/>
        </w:rPr>
        <w:t> </w:t>
      </w:r>
      <w:r>
        <w:rPr>
          <w:sz w:val="18"/>
        </w:rPr>
        <w:t>practices/practice</w:t>
      </w:r>
      <w:r>
        <w:rPr>
          <w:spacing w:val="-3"/>
          <w:sz w:val="18"/>
        </w:rPr>
        <w:t> </w:t>
      </w:r>
      <w:r>
        <w:rPr>
          <w:sz w:val="18"/>
        </w:rPr>
        <w:t>staff related</w:t>
      </w:r>
      <w:r>
        <w:rPr>
          <w:spacing w:val="-2"/>
          <w:sz w:val="18"/>
        </w:rPr>
        <w:t> </w:t>
      </w:r>
      <w:r>
        <w:rPr>
          <w:sz w:val="18"/>
        </w:rPr>
        <w:t>to</w:t>
      </w:r>
      <w:r>
        <w:rPr>
          <w:spacing w:val="3"/>
          <w:sz w:val="18"/>
        </w:rPr>
        <w:t> </w:t>
      </w:r>
      <w:r>
        <w:rPr>
          <w:sz w:val="18"/>
        </w:rPr>
        <w:t>the HCH</w:t>
      </w:r>
      <w:r>
        <w:rPr>
          <w:spacing w:val="-2"/>
          <w:sz w:val="18"/>
        </w:rPr>
        <w:t> </w:t>
      </w:r>
      <w:r>
        <w:rPr>
          <w:sz w:val="18"/>
        </w:rPr>
        <w:t>program</w:t>
      </w:r>
      <w:r>
        <w:rPr>
          <w:spacing w:val="-5"/>
          <w:sz w:val="18"/>
        </w:rPr>
        <w:t> </w:t>
      </w:r>
      <w:r>
        <w:rPr>
          <w:sz w:val="18"/>
        </w:rPr>
        <w:t>implementation</w:t>
      </w:r>
      <w:r>
        <w:rPr>
          <w:spacing w:val="-3"/>
          <w:sz w:val="18"/>
        </w:rPr>
        <w:t> </w:t>
      </w:r>
      <w:r>
        <w:rPr>
          <w:sz w:val="18"/>
        </w:rPr>
        <w:t>in the</w:t>
      </w:r>
      <w:r>
        <w:rPr>
          <w:spacing w:val="-3"/>
          <w:sz w:val="18"/>
        </w:rPr>
        <w:t> </w:t>
      </w:r>
      <w:r>
        <w:rPr>
          <w:sz w:val="18"/>
        </w:rPr>
        <w:t>format</w:t>
      </w:r>
      <w:r>
        <w:rPr>
          <w:spacing w:val="-3"/>
          <w:sz w:val="18"/>
        </w:rPr>
        <w:t> </w:t>
      </w:r>
      <w:r>
        <w:rPr>
          <w:sz w:val="18"/>
        </w:rPr>
        <w:t>below.</w:t>
      </w:r>
    </w:p>
    <w:p>
      <w:pPr>
        <w:pStyle w:val="BodyText"/>
        <w:spacing w:before="2"/>
        <w:rPr>
          <w:sz w:val="8"/>
        </w:rPr>
      </w:pPr>
    </w:p>
    <w:p>
      <w:pPr>
        <w:tabs>
          <w:tab w:pos="8847" w:val="left" w:leader="none"/>
        </w:tabs>
        <w:spacing w:before="100"/>
        <w:ind w:left="1771" w:right="0" w:firstLine="0"/>
        <w:jc w:val="left"/>
        <w:rPr>
          <w:sz w:val="18"/>
        </w:rPr>
      </w:pPr>
      <w:r>
        <w:rPr/>
        <w:drawing>
          <wp:anchor distT="0" distB="0" distL="0" distR="0" allowOverlap="1" layoutInCell="1" locked="0" behindDoc="0" simplePos="0" relativeHeight="16128000">
            <wp:simplePos x="0" y="0"/>
            <wp:positionH relativeFrom="page">
              <wp:posOffset>1102145</wp:posOffset>
            </wp:positionH>
            <wp:positionV relativeFrom="paragraph">
              <wp:posOffset>108351</wp:posOffset>
            </wp:positionV>
            <wp:extent cx="58380" cy="72150"/>
            <wp:effectExtent l="0" t="0" r="0" b="0"/>
            <wp:wrapNone/>
            <wp:docPr id="1971" name="image13.png"/>
            <wp:cNvGraphicFramePr>
              <a:graphicFrameLocks noChangeAspect="1"/>
            </wp:cNvGraphicFramePr>
            <a:graphic>
              <a:graphicData uri="http://schemas.openxmlformats.org/drawingml/2006/picture">
                <pic:pic>
                  <pic:nvPicPr>
                    <pic:cNvPr id="1972" name="image13.png"/>
                    <pic:cNvPicPr/>
                  </pic:nvPicPr>
                  <pic:blipFill>
                    <a:blip r:embed="rId41" cstate="print"/>
                    <a:stretch>
                      <a:fillRect/>
                    </a:stretch>
                  </pic:blipFill>
                  <pic:spPr>
                    <a:xfrm>
                      <a:off x="0" y="0"/>
                      <a:ext cx="58380" cy="72150"/>
                    </a:xfrm>
                    <a:prstGeom prst="rect">
                      <a:avLst/>
                    </a:prstGeom>
                  </pic:spPr>
                </pic:pic>
              </a:graphicData>
            </a:graphic>
          </wp:anchor>
        </w:drawing>
      </w:r>
      <w:r>
        <w:rPr>
          <w:sz w:val="18"/>
        </w:rPr>
        <w:t>Date</w:t>
      </w:r>
      <w:r>
        <w:rPr>
          <w:spacing w:val="-3"/>
          <w:sz w:val="18"/>
        </w:rPr>
        <w:t> </w:t>
      </w:r>
      <w:r>
        <w:rPr>
          <w:sz w:val="18"/>
        </w:rPr>
        <w:t>of</w:t>
      </w:r>
      <w:r>
        <w:rPr>
          <w:spacing w:val="-2"/>
          <w:sz w:val="18"/>
        </w:rPr>
        <w:t> </w:t>
      </w:r>
      <w:r>
        <w:rPr>
          <w:sz w:val="18"/>
        </w:rPr>
        <w:t>workshop/webinar</w:t>
      </w:r>
      <w:r>
        <w:rPr>
          <w:spacing w:val="42"/>
          <w:sz w:val="18"/>
        </w:rPr>
        <w:t> </w:t>
      </w:r>
      <w:r>
        <w:rPr>
          <w:sz w:val="18"/>
        </w:rPr>
        <w:t>(1)</w:t>
      </w:r>
      <w:r>
        <w:rPr>
          <w:spacing w:val="1"/>
          <w:sz w:val="18"/>
        </w:rPr>
        <w:t> </w:t>
      </w:r>
      <w:r>
        <w:rPr>
          <w:sz w:val="18"/>
          <w:u w:val="single" w:color="BDBDBD"/>
        </w:rPr>
        <w:t> </w:t>
        <w:tab/>
      </w:r>
    </w:p>
    <w:p>
      <w:pPr>
        <w:tabs>
          <w:tab w:pos="7906" w:val="left" w:leader="none"/>
          <w:tab w:pos="10573" w:val="left" w:leader="none"/>
        </w:tabs>
        <w:spacing w:before="1"/>
        <w:ind w:left="1771" w:right="1030" w:firstLine="0"/>
        <w:jc w:val="left"/>
        <w:rPr>
          <w:sz w:val="18"/>
        </w:rPr>
      </w:pPr>
      <w:r>
        <w:rPr/>
        <w:drawing>
          <wp:anchor distT="0" distB="0" distL="0" distR="0" allowOverlap="1" layoutInCell="1" locked="0" behindDoc="0" simplePos="0" relativeHeight="16128512">
            <wp:simplePos x="0" y="0"/>
            <wp:positionH relativeFrom="page">
              <wp:posOffset>1102145</wp:posOffset>
            </wp:positionH>
            <wp:positionV relativeFrom="paragraph">
              <wp:posOffset>45485</wp:posOffset>
            </wp:positionV>
            <wp:extent cx="58380" cy="72151"/>
            <wp:effectExtent l="0" t="0" r="0" b="0"/>
            <wp:wrapNone/>
            <wp:docPr id="1973" name="image13.png"/>
            <wp:cNvGraphicFramePr>
              <a:graphicFrameLocks noChangeAspect="1"/>
            </wp:cNvGraphicFramePr>
            <a:graphic>
              <a:graphicData uri="http://schemas.openxmlformats.org/drawingml/2006/picture">
                <pic:pic>
                  <pic:nvPicPr>
                    <pic:cNvPr id="1974"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129024">
            <wp:simplePos x="0" y="0"/>
            <wp:positionH relativeFrom="page">
              <wp:posOffset>1102145</wp:posOffset>
            </wp:positionH>
            <wp:positionV relativeFrom="paragraph">
              <wp:posOffset>185693</wp:posOffset>
            </wp:positionV>
            <wp:extent cx="58380" cy="72151"/>
            <wp:effectExtent l="0" t="0" r="0" b="0"/>
            <wp:wrapNone/>
            <wp:docPr id="1975" name="image13.png"/>
            <wp:cNvGraphicFramePr>
              <a:graphicFrameLocks noChangeAspect="1"/>
            </wp:cNvGraphicFramePr>
            <a:graphic>
              <a:graphicData uri="http://schemas.openxmlformats.org/drawingml/2006/picture">
                <pic:pic>
                  <pic:nvPicPr>
                    <pic:cNvPr id="197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What</w:t>
      </w:r>
      <w:r>
        <w:rPr>
          <w:spacing w:val="-5"/>
          <w:sz w:val="18"/>
        </w:rPr>
        <w:t> </w:t>
      </w:r>
      <w:r>
        <w:rPr>
          <w:sz w:val="18"/>
        </w:rPr>
        <w:t>was</w:t>
      </w:r>
      <w:r>
        <w:rPr>
          <w:spacing w:val="-4"/>
          <w:sz w:val="18"/>
        </w:rPr>
        <w:t> </w:t>
      </w:r>
      <w:r>
        <w:rPr>
          <w:sz w:val="18"/>
        </w:rPr>
        <w:t>the</w:t>
      </w:r>
      <w:r>
        <w:rPr>
          <w:spacing w:val="-2"/>
          <w:sz w:val="18"/>
        </w:rPr>
        <w:t> </w:t>
      </w:r>
      <w:r>
        <w:rPr>
          <w:sz w:val="18"/>
        </w:rPr>
        <w:t>focus</w:t>
      </w:r>
      <w:r>
        <w:rPr>
          <w:spacing w:val="-4"/>
          <w:sz w:val="18"/>
        </w:rPr>
        <w:t> </w:t>
      </w:r>
      <w:r>
        <w:rPr>
          <w:sz w:val="18"/>
        </w:rPr>
        <w:t>of</w:t>
      </w:r>
      <w:r>
        <w:rPr>
          <w:spacing w:val="-4"/>
          <w:sz w:val="18"/>
        </w:rPr>
        <w:t> </w:t>
      </w:r>
      <w:r>
        <w:rPr>
          <w:sz w:val="18"/>
        </w:rPr>
        <w:t>the</w:t>
      </w:r>
      <w:r>
        <w:rPr>
          <w:spacing w:val="-5"/>
          <w:sz w:val="18"/>
        </w:rPr>
        <w:t> </w:t>
      </w:r>
      <w:r>
        <w:rPr>
          <w:sz w:val="18"/>
        </w:rPr>
        <w:t>workshop/webinar?</w:t>
      </w:r>
      <w:r>
        <w:rPr>
          <w:spacing w:val="46"/>
          <w:sz w:val="18"/>
        </w:rPr>
        <w:t> </w:t>
      </w:r>
      <w:r>
        <w:rPr>
          <w:sz w:val="18"/>
        </w:rPr>
        <w:t>(2)</w:t>
      </w:r>
      <w:r>
        <w:rPr>
          <w:spacing w:val="3"/>
          <w:sz w:val="18"/>
        </w:rPr>
        <w:t> </w:t>
      </w:r>
      <w:r>
        <w:rPr>
          <w:sz w:val="18"/>
          <w:u w:val="single" w:color="BDBDBD"/>
        </w:rPr>
        <w:t> </w:t>
        <w:tab/>
        <w:tab/>
      </w:r>
      <w:r>
        <w:rPr>
          <w:sz w:val="18"/>
        </w:rPr>
        <w:t> Duration</w:t>
      </w:r>
      <w:r>
        <w:rPr>
          <w:spacing w:val="-3"/>
          <w:sz w:val="18"/>
        </w:rPr>
        <w:t> </w:t>
      </w:r>
      <w:r>
        <w:rPr>
          <w:sz w:val="18"/>
        </w:rPr>
        <w:t>(hours)</w:t>
      </w:r>
      <w:r>
        <w:rPr>
          <w:spacing w:val="40"/>
          <w:sz w:val="18"/>
        </w:rPr>
        <w:t> </w:t>
      </w:r>
      <w:r>
        <w:rPr>
          <w:sz w:val="18"/>
        </w:rPr>
        <w:t>(3)</w:t>
      </w:r>
      <w:r>
        <w:rPr>
          <w:spacing w:val="1"/>
          <w:sz w:val="18"/>
        </w:rPr>
        <w:t> </w:t>
      </w:r>
      <w:r>
        <w:rPr>
          <w:sz w:val="18"/>
          <w:u w:val="single" w:color="BDBDBD"/>
        </w:rPr>
        <w:t> </w:t>
        <w:tab/>
      </w:r>
    </w:p>
    <w:p>
      <w:pPr>
        <w:tabs>
          <w:tab w:pos="9572" w:val="left" w:leader="none"/>
          <w:tab w:pos="9750" w:val="left" w:leader="none"/>
        </w:tabs>
        <w:spacing w:before="0"/>
        <w:ind w:left="1771" w:right="1854" w:firstLine="0"/>
        <w:jc w:val="left"/>
        <w:rPr>
          <w:sz w:val="18"/>
        </w:rPr>
      </w:pPr>
      <w:r>
        <w:rPr/>
        <w:drawing>
          <wp:anchor distT="0" distB="0" distL="0" distR="0" allowOverlap="1" layoutInCell="1" locked="0" behindDoc="0" simplePos="0" relativeHeight="16129536">
            <wp:simplePos x="0" y="0"/>
            <wp:positionH relativeFrom="page">
              <wp:posOffset>1102145</wp:posOffset>
            </wp:positionH>
            <wp:positionV relativeFrom="paragraph">
              <wp:posOffset>44851</wp:posOffset>
            </wp:positionV>
            <wp:extent cx="58380" cy="72150"/>
            <wp:effectExtent l="0" t="0" r="0" b="0"/>
            <wp:wrapNone/>
            <wp:docPr id="1977" name="image13.png"/>
            <wp:cNvGraphicFramePr>
              <a:graphicFrameLocks noChangeAspect="1"/>
            </wp:cNvGraphicFramePr>
            <a:graphic>
              <a:graphicData uri="http://schemas.openxmlformats.org/drawingml/2006/picture">
                <pic:pic>
                  <pic:nvPicPr>
                    <pic:cNvPr id="1978" name="image13.png"/>
                    <pic:cNvPicPr/>
                  </pic:nvPicPr>
                  <pic:blipFill>
                    <a:blip r:embed="rId41" cstate="print"/>
                    <a:stretch>
                      <a:fillRect/>
                    </a:stretch>
                  </pic:blipFill>
                  <pic:spPr>
                    <a:xfrm>
                      <a:off x="0" y="0"/>
                      <a:ext cx="58380" cy="72150"/>
                    </a:xfrm>
                    <a:prstGeom prst="rect">
                      <a:avLst/>
                    </a:prstGeom>
                  </pic:spPr>
                </pic:pic>
              </a:graphicData>
            </a:graphic>
          </wp:anchor>
        </w:drawing>
      </w:r>
      <w:r>
        <w:rPr/>
        <w:drawing>
          <wp:anchor distT="0" distB="0" distL="0" distR="0" allowOverlap="1" layoutInCell="1" locked="0" behindDoc="0" simplePos="0" relativeHeight="16130048">
            <wp:simplePos x="0" y="0"/>
            <wp:positionH relativeFrom="page">
              <wp:posOffset>1102145</wp:posOffset>
            </wp:positionH>
            <wp:positionV relativeFrom="paragraph">
              <wp:posOffset>185057</wp:posOffset>
            </wp:positionV>
            <wp:extent cx="58380" cy="72151"/>
            <wp:effectExtent l="0" t="0" r="0" b="0"/>
            <wp:wrapNone/>
            <wp:docPr id="1979" name="image13.png"/>
            <wp:cNvGraphicFramePr>
              <a:graphicFrameLocks noChangeAspect="1"/>
            </wp:cNvGraphicFramePr>
            <a:graphic>
              <a:graphicData uri="http://schemas.openxmlformats.org/drawingml/2006/picture">
                <pic:pic>
                  <pic:nvPicPr>
                    <pic:cNvPr id="198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Number</w:t>
      </w:r>
      <w:r>
        <w:rPr>
          <w:spacing w:val="-3"/>
          <w:sz w:val="18"/>
        </w:rPr>
        <w:t> </w:t>
      </w:r>
      <w:r>
        <w:rPr>
          <w:sz w:val="18"/>
        </w:rPr>
        <w:t>of</w:t>
      </w:r>
      <w:r>
        <w:rPr>
          <w:spacing w:val="-3"/>
          <w:sz w:val="18"/>
        </w:rPr>
        <w:t> </w:t>
      </w:r>
      <w:r>
        <w:rPr>
          <w:sz w:val="18"/>
        </w:rPr>
        <w:t>practice</w:t>
      </w:r>
      <w:r>
        <w:rPr>
          <w:spacing w:val="-3"/>
          <w:sz w:val="18"/>
        </w:rPr>
        <w:t> </w:t>
      </w:r>
      <w:r>
        <w:rPr>
          <w:sz w:val="18"/>
        </w:rPr>
        <w:t>staff</w:t>
      </w:r>
      <w:r>
        <w:rPr>
          <w:spacing w:val="-4"/>
          <w:sz w:val="18"/>
        </w:rPr>
        <w:t> </w:t>
      </w:r>
      <w:r>
        <w:rPr>
          <w:sz w:val="18"/>
        </w:rPr>
        <w:t>attending</w:t>
      </w:r>
      <w:r>
        <w:rPr>
          <w:spacing w:val="42"/>
          <w:sz w:val="18"/>
        </w:rPr>
        <w:t> </w:t>
      </w:r>
      <w:r>
        <w:rPr>
          <w:sz w:val="18"/>
        </w:rPr>
        <w:t>(4)</w:t>
      </w:r>
      <w:r>
        <w:rPr>
          <w:spacing w:val="3"/>
          <w:sz w:val="18"/>
        </w:rPr>
        <w:t> </w:t>
      </w:r>
      <w:r>
        <w:rPr>
          <w:sz w:val="18"/>
          <w:u w:val="single" w:color="BDBDBD"/>
        </w:rPr>
        <w:t> </w:t>
        <w:tab/>
      </w:r>
      <w:r>
        <w:rPr>
          <w:sz w:val="18"/>
        </w:rPr>
        <w:t> Number</w:t>
      </w:r>
      <w:r>
        <w:rPr>
          <w:spacing w:val="-5"/>
          <w:sz w:val="18"/>
        </w:rPr>
        <w:t> </w:t>
      </w:r>
      <w:r>
        <w:rPr>
          <w:sz w:val="18"/>
        </w:rPr>
        <w:t>HCH</w:t>
      </w:r>
      <w:r>
        <w:rPr>
          <w:spacing w:val="-6"/>
          <w:sz w:val="18"/>
        </w:rPr>
        <w:t> </w:t>
      </w:r>
      <w:r>
        <w:rPr>
          <w:sz w:val="18"/>
        </w:rPr>
        <w:t>practices</w:t>
      </w:r>
      <w:r>
        <w:rPr>
          <w:spacing w:val="-6"/>
          <w:sz w:val="18"/>
        </w:rPr>
        <w:t> </w:t>
      </w:r>
      <w:r>
        <w:rPr>
          <w:sz w:val="18"/>
        </w:rPr>
        <w:t>represented?</w:t>
      </w:r>
      <w:r>
        <w:rPr>
          <w:spacing w:val="41"/>
          <w:sz w:val="18"/>
        </w:rPr>
        <w:t> </w:t>
      </w:r>
      <w:r>
        <w:rPr>
          <w:sz w:val="18"/>
        </w:rPr>
        <w:t>(5)</w:t>
      </w:r>
      <w:r>
        <w:rPr>
          <w:spacing w:val="3"/>
          <w:sz w:val="18"/>
        </w:rPr>
        <w:t> </w:t>
      </w:r>
      <w:r>
        <w:rPr>
          <w:sz w:val="18"/>
          <w:u w:val="single" w:color="BDBDBD"/>
        </w:rPr>
        <w:t> </w:t>
        <w:tab/>
        <w:tab/>
      </w:r>
    </w:p>
    <w:p>
      <w:pPr>
        <w:pStyle w:val="BodyText"/>
        <w:spacing w:before="9"/>
        <w:rPr>
          <w:sz w:val="14"/>
        </w:rPr>
      </w:pPr>
    </w:p>
    <w:p>
      <w:pPr>
        <w:spacing w:before="100"/>
        <w:ind w:left="420" w:right="0" w:firstLine="0"/>
        <w:jc w:val="left"/>
        <w:rPr>
          <w:sz w:val="18"/>
        </w:rPr>
      </w:pPr>
      <w:r>
        <w:rPr>
          <w:sz w:val="18"/>
        </w:rPr>
        <w:t>11b.</w:t>
      </w:r>
      <w:r>
        <w:rPr>
          <w:spacing w:val="-4"/>
          <w:sz w:val="18"/>
        </w:rPr>
        <w:t> </w:t>
      </w:r>
      <w:r>
        <w:rPr>
          <w:sz w:val="18"/>
        </w:rPr>
        <w:t>Was</w:t>
      </w:r>
      <w:r>
        <w:rPr>
          <w:spacing w:val="-4"/>
          <w:sz w:val="18"/>
        </w:rPr>
        <w:t> </w:t>
      </w:r>
      <w:r>
        <w:rPr>
          <w:sz w:val="18"/>
        </w:rPr>
        <w:t>there</w:t>
      </w:r>
      <w:r>
        <w:rPr>
          <w:spacing w:val="-4"/>
          <w:sz w:val="18"/>
        </w:rPr>
        <w:t> </w:t>
      </w:r>
      <w:r>
        <w:rPr>
          <w:sz w:val="18"/>
        </w:rPr>
        <w:t>another</w:t>
      </w:r>
      <w:r>
        <w:rPr>
          <w:spacing w:val="-3"/>
          <w:sz w:val="18"/>
        </w:rPr>
        <w:t> </w:t>
      </w:r>
      <w:r>
        <w:rPr>
          <w:sz w:val="18"/>
        </w:rPr>
        <w:t>training</w:t>
      </w:r>
      <w:r>
        <w:rPr>
          <w:spacing w:val="-6"/>
          <w:sz w:val="18"/>
        </w:rPr>
        <w:t> </w:t>
      </w:r>
      <w:r>
        <w:rPr>
          <w:sz w:val="18"/>
        </w:rPr>
        <w:t>workshop</w:t>
      </w:r>
      <w:r>
        <w:rPr>
          <w:spacing w:val="-4"/>
          <w:sz w:val="18"/>
        </w:rPr>
        <w:t> </w:t>
      </w:r>
      <w:r>
        <w:rPr>
          <w:sz w:val="18"/>
        </w:rPr>
        <w:t>or</w:t>
      </w:r>
      <w:r>
        <w:rPr>
          <w:spacing w:val="-3"/>
          <w:sz w:val="18"/>
        </w:rPr>
        <w:t> </w:t>
      </w:r>
      <w:r>
        <w:rPr>
          <w:sz w:val="18"/>
        </w:rPr>
        <w:t>webinar</w:t>
      </w:r>
      <w:r>
        <w:rPr>
          <w:spacing w:val="-6"/>
          <w:sz w:val="18"/>
        </w:rPr>
        <w:t> </w:t>
      </w:r>
      <w:r>
        <w:rPr>
          <w:sz w:val="18"/>
        </w:rPr>
        <w:t>organised</w:t>
      </w:r>
      <w:r>
        <w:rPr>
          <w:spacing w:val="-4"/>
          <w:sz w:val="18"/>
        </w:rPr>
        <w:t> </w:t>
      </w:r>
      <w:r>
        <w:rPr>
          <w:sz w:val="18"/>
        </w:rPr>
        <w:t>for</w:t>
      </w:r>
      <w:r>
        <w:rPr>
          <w:spacing w:val="-4"/>
          <w:sz w:val="18"/>
        </w:rPr>
        <w:t> </w:t>
      </w:r>
      <w:r>
        <w:rPr>
          <w:sz w:val="18"/>
        </w:rPr>
        <w:t>HCH</w:t>
      </w:r>
      <w:r>
        <w:rPr>
          <w:spacing w:val="-4"/>
          <w:sz w:val="18"/>
        </w:rPr>
        <w:t> </w:t>
      </w:r>
      <w:r>
        <w:rPr>
          <w:sz w:val="18"/>
        </w:rPr>
        <w:t>practices/practice</w:t>
      </w:r>
      <w:r>
        <w:rPr>
          <w:spacing w:val="-3"/>
          <w:sz w:val="18"/>
        </w:rPr>
        <w:t> </w:t>
      </w:r>
      <w:r>
        <w:rPr>
          <w:sz w:val="18"/>
        </w:rPr>
        <w:t>staff?</w:t>
      </w:r>
    </w:p>
    <w:p>
      <w:pPr>
        <w:pStyle w:val="BodyText"/>
        <w:spacing w:before="10"/>
        <w:rPr>
          <w:sz w:val="10"/>
        </w:rPr>
      </w:pPr>
    </w:p>
    <w:p>
      <w:pPr>
        <w:spacing w:before="100"/>
        <w:ind w:left="1771" w:right="3703" w:firstLine="0"/>
        <w:jc w:val="left"/>
        <w:rPr>
          <w:sz w:val="18"/>
        </w:rPr>
      </w:pPr>
      <w:r>
        <w:rPr/>
        <w:drawing>
          <wp:anchor distT="0" distB="0" distL="0" distR="0" allowOverlap="1" layoutInCell="1" locked="0" behindDoc="0" simplePos="0" relativeHeight="16130560">
            <wp:simplePos x="0" y="0"/>
            <wp:positionH relativeFrom="page">
              <wp:posOffset>1102145</wp:posOffset>
            </wp:positionH>
            <wp:positionV relativeFrom="paragraph">
              <wp:posOffset>108350</wp:posOffset>
            </wp:positionV>
            <wp:extent cx="58380" cy="72151"/>
            <wp:effectExtent l="0" t="0" r="0" b="0"/>
            <wp:wrapNone/>
            <wp:docPr id="1981" name="image13.png"/>
            <wp:cNvGraphicFramePr>
              <a:graphicFrameLocks noChangeAspect="1"/>
            </wp:cNvGraphicFramePr>
            <a:graphic>
              <a:graphicData uri="http://schemas.openxmlformats.org/drawingml/2006/picture">
                <pic:pic>
                  <pic:nvPicPr>
                    <pic:cNvPr id="1982"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131072">
            <wp:simplePos x="0" y="0"/>
            <wp:positionH relativeFrom="page">
              <wp:posOffset>1102145</wp:posOffset>
            </wp:positionH>
            <wp:positionV relativeFrom="paragraph">
              <wp:posOffset>248558</wp:posOffset>
            </wp:positionV>
            <wp:extent cx="58380" cy="72151"/>
            <wp:effectExtent l="0" t="0" r="0" b="0"/>
            <wp:wrapNone/>
            <wp:docPr id="1983" name="image13.png"/>
            <wp:cNvGraphicFramePr>
              <a:graphicFrameLocks noChangeAspect="1"/>
            </wp:cNvGraphicFramePr>
            <a:graphic>
              <a:graphicData uri="http://schemas.openxmlformats.org/drawingml/2006/picture">
                <pic:pic>
                  <pic:nvPicPr>
                    <pic:cNvPr id="198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Yes</w:t>
      </w:r>
      <w:r>
        <w:rPr>
          <w:spacing w:val="1"/>
          <w:sz w:val="18"/>
        </w:rPr>
        <w:t> </w:t>
      </w:r>
      <w:r>
        <w:rPr>
          <w:sz w:val="18"/>
        </w:rPr>
        <w:t>(5)</w:t>
      </w:r>
      <w:r>
        <w:rPr>
          <w:spacing w:val="1"/>
          <w:sz w:val="18"/>
        </w:rPr>
        <w:t> </w:t>
      </w:r>
      <w:r>
        <w:rPr>
          <w:sz w:val="18"/>
        </w:rPr>
        <w:t>if yes,</w:t>
      </w:r>
      <w:r>
        <w:rPr>
          <w:spacing w:val="1"/>
          <w:sz w:val="18"/>
        </w:rPr>
        <w:t> </w:t>
      </w:r>
      <w:r>
        <w:rPr>
          <w:sz w:val="18"/>
        </w:rPr>
        <w:t>repeat Q11a for each workshop(s)/webinar(s) organised</w:t>
      </w:r>
      <w:r>
        <w:rPr>
          <w:spacing w:val="-47"/>
          <w:sz w:val="18"/>
        </w:rPr>
        <w:t> </w:t>
      </w:r>
      <w:r>
        <w:rPr>
          <w:sz w:val="18"/>
        </w:rPr>
        <w:t>No</w:t>
      </w:r>
      <w:r>
        <w:rPr>
          <w:spacing w:val="4"/>
          <w:sz w:val="18"/>
        </w:rPr>
        <w:t> </w:t>
      </w:r>
      <w:r>
        <w:rPr>
          <w:sz w:val="18"/>
        </w:rPr>
        <w:t>(6)</w:t>
      </w:r>
      <w:r>
        <w:rPr>
          <w:spacing w:val="-2"/>
          <w:sz w:val="18"/>
        </w:rPr>
        <w:t> </w:t>
      </w:r>
      <w:r>
        <w:rPr>
          <w:sz w:val="18"/>
        </w:rPr>
        <w:t>if no,</w:t>
      </w:r>
      <w:r>
        <w:rPr>
          <w:spacing w:val="-3"/>
          <w:sz w:val="18"/>
        </w:rPr>
        <w:t> </w:t>
      </w:r>
      <w:r>
        <w:rPr>
          <w:sz w:val="18"/>
        </w:rPr>
        <w:t>move to</w:t>
      </w:r>
      <w:r>
        <w:rPr>
          <w:spacing w:val="-1"/>
          <w:sz w:val="18"/>
        </w:rPr>
        <w:t> </w:t>
      </w:r>
      <w:r>
        <w:rPr>
          <w:sz w:val="18"/>
        </w:rPr>
        <w:t>Q 12</w:t>
      </w:r>
    </w:p>
    <w:p>
      <w:pPr>
        <w:pStyle w:val="BodyText"/>
        <w:spacing w:before="8"/>
        <w:rPr>
          <w:sz w:val="14"/>
        </w:rPr>
      </w:pPr>
    </w:p>
    <w:p>
      <w:pPr>
        <w:pStyle w:val="ListParagraph"/>
        <w:numPr>
          <w:ilvl w:val="0"/>
          <w:numId w:val="105"/>
        </w:numPr>
        <w:tabs>
          <w:tab w:pos="720" w:val="left" w:leader="none"/>
        </w:tabs>
        <w:spacing w:line="276" w:lineRule="auto" w:before="100" w:after="0"/>
        <w:ind w:left="420" w:right="812" w:firstLine="0"/>
        <w:jc w:val="left"/>
        <w:rPr>
          <w:sz w:val="18"/>
        </w:rPr>
      </w:pPr>
      <w:r>
        <w:rPr>
          <w:sz w:val="18"/>
        </w:rPr>
        <w:t>Please estimate the average level of support provided to each HCH practice, where the support was provided</w:t>
      </w:r>
      <w:r>
        <w:rPr>
          <w:spacing w:val="1"/>
          <w:sz w:val="18"/>
        </w:rPr>
        <w:t> </w:t>
      </w:r>
      <w:r>
        <w:rPr>
          <w:sz w:val="18"/>
        </w:rPr>
        <w:t>individually to the practice, using the categories specified below.</w:t>
      </w:r>
      <w:r>
        <w:rPr>
          <w:spacing w:val="1"/>
          <w:sz w:val="18"/>
        </w:rPr>
        <w:t> </w:t>
      </w:r>
      <w:r>
        <w:rPr>
          <w:sz w:val="18"/>
        </w:rPr>
        <w:t>Support may have occurred through visits to the</w:t>
      </w:r>
      <w:r>
        <w:rPr>
          <w:spacing w:val="1"/>
          <w:sz w:val="18"/>
        </w:rPr>
        <w:t> </w:t>
      </w:r>
      <w:r>
        <w:rPr>
          <w:sz w:val="18"/>
        </w:rPr>
        <w:t>practice involving face-to-face facilitation, training or support, or through telephone/video conference-based support,</w:t>
      </w:r>
      <w:r>
        <w:rPr>
          <w:spacing w:val="-47"/>
          <w:sz w:val="18"/>
        </w:rPr>
        <w:t> </w:t>
      </w:r>
      <w:r>
        <w:rPr>
          <w:sz w:val="18"/>
        </w:rPr>
        <w:t>or</w:t>
      </w:r>
      <w:r>
        <w:rPr>
          <w:spacing w:val="-1"/>
          <w:sz w:val="18"/>
        </w:rPr>
        <w:t> </w:t>
      </w:r>
      <w:r>
        <w:rPr>
          <w:sz w:val="18"/>
        </w:rPr>
        <w:t>through email contact.</w:t>
      </w:r>
    </w:p>
    <w:p>
      <w:pPr>
        <w:pStyle w:val="BodyText"/>
        <w:spacing w:before="5"/>
        <w:rPr>
          <w:sz w:val="16"/>
        </w:rPr>
      </w:pPr>
    </w:p>
    <w:p>
      <w:pPr>
        <w:spacing w:line="276" w:lineRule="auto" w:before="0"/>
        <w:ind w:left="420" w:right="798" w:firstLine="0"/>
        <w:jc w:val="left"/>
        <w:rPr>
          <w:i/>
          <w:sz w:val="18"/>
        </w:rPr>
      </w:pPr>
      <w:r>
        <w:rPr>
          <w:b/>
          <w:i/>
          <w:sz w:val="18"/>
        </w:rPr>
        <w:t>Note: </w:t>
      </w:r>
      <w:r>
        <w:rPr>
          <w:i/>
          <w:sz w:val="18"/>
        </w:rPr>
        <w:t>Exclude facilitation, training or support provided through training workshops, webinars or other group methods</w:t>
      </w:r>
      <w:r>
        <w:rPr>
          <w:i/>
          <w:spacing w:val="1"/>
          <w:sz w:val="18"/>
        </w:rPr>
        <w:t> </w:t>
      </w:r>
      <w:r>
        <w:rPr>
          <w:i/>
          <w:sz w:val="18"/>
        </w:rPr>
        <w:t>which have been described above.</w:t>
      </w:r>
      <w:r>
        <w:rPr>
          <w:i/>
          <w:spacing w:val="1"/>
          <w:sz w:val="18"/>
        </w:rPr>
        <w:t> </w:t>
      </w:r>
      <w:r>
        <w:rPr>
          <w:i/>
          <w:sz w:val="18"/>
        </w:rPr>
        <w:t>Where activity (e.g. a visit) involved an organisation with several practices/clinics</w:t>
      </w:r>
      <w:r>
        <w:rPr>
          <w:i/>
          <w:spacing w:val="-47"/>
          <w:sz w:val="18"/>
        </w:rPr>
        <w:t> </w:t>
      </w:r>
      <w:r>
        <w:rPr>
          <w:i/>
          <w:sz w:val="18"/>
        </w:rPr>
        <w:t>participating in the HCH program, estimate the average across practices/clinics rather than the average for the</w:t>
      </w:r>
      <w:r>
        <w:rPr>
          <w:i/>
          <w:spacing w:val="1"/>
          <w:sz w:val="18"/>
        </w:rPr>
        <w:t> </w:t>
      </w:r>
      <w:r>
        <w:rPr>
          <w:i/>
          <w:sz w:val="18"/>
        </w:rPr>
        <w:t>organisation.</w:t>
      </w:r>
    </w:p>
    <w:p>
      <w:pPr>
        <w:pStyle w:val="BodyText"/>
        <w:spacing w:before="3"/>
        <w:rPr>
          <w:i/>
          <w:sz w:val="16"/>
        </w:rPr>
      </w:pPr>
    </w:p>
    <w:p>
      <w:pPr>
        <w:spacing w:line="276" w:lineRule="auto" w:before="0"/>
        <w:ind w:left="420" w:right="729" w:firstLine="0"/>
        <w:jc w:val="left"/>
        <w:rPr>
          <w:i/>
          <w:sz w:val="18"/>
        </w:rPr>
      </w:pPr>
      <w:r>
        <w:rPr>
          <w:i/>
          <w:sz w:val="18"/>
        </w:rPr>
        <w:t>For</w:t>
      </w:r>
      <w:r>
        <w:rPr>
          <w:i/>
          <w:spacing w:val="-5"/>
          <w:sz w:val="18"/>
        </w:rPr>
        <w:t> </w:t>
      </w:r>
      <w:r>
        <w:rPr>
          <w:i/>
          <w:sz w:val="18"/>
        </w:rPr>
        <w:t>this</w:t>
      </w:r>
      <w:r>
        <w:rPr>
          <w:i/>
          <w:spacing w:val="-4"/>
          <w:sz w:val="18"/>
        </w:rPr>
        <w:t> </w:t>
      </w:r>
      <w:r>
        <w:rPr>
          <w:i/>
          <w:sz w:val="18"/>
        </w:rPr>
        <w:t>question</w:t>
      </w:r>
      <w:r>
        <w:rPr>
          <w:i/>
          <w:spacing w:val="-2"/>
          <w:sz w:val="18"/>
        </w:rPr>
        <w:t> </w:t>
      </w:r>
      <w:r>
        <w:rPr>
          <w:i/>
          <w:sz w:val="18"/>
        </w:rPr>
        <w:t>we</w:t>
      </w:r>
      <w:r>
        <w:rPr>
          <w:i/>
          <w:spacing w:val="-5"/>
          <w:sz w:val="18"/>
        </w:rPr>
        <w:t> </w:t>
      </w:r>
      <w:r>
        <w:rPr>
          <w:i/>
          <w:sz w:val="18"/>
        </w:rPr>
        <w:t>are</w:t>
      </w:r>
      <w:r>
        <w:rPr>
          <w:i/>
          <w:spacing w:val="-2"/>
          <w:sz w:val="18"/>
        </w:rPr>
        <w:t> </w:t>
      </w:r>
      <w:r>
        <w:rPr>
          <w:i/>
          <w:sz w:val="18"/>
        </w:rPr>
        <w:t>asking</w:t>
      </w:r>
      <w:r>
        <w:rPr>
          <w:i/>
          <w:spacing w:val="-5"/>
          <w:sz w:val="18"/>
        </w:rPr>
        <w:t> </w:t>
      </w:r>
      <w:r>
        <w:rPr>
          <w:i/>
          <w:sz w:val="18"/>
        </w:rPr>
        <w:t>for</w:t>
      </w:r>
      <w:r>
        <w:rPr>
          <w:i/>
          <w:spacing w:val="-3"/>
          <w:sz w:val="18"/>
        </w:rPr>
        <w:t> </w:t>
      </w:r>
      <w:r>
        <w:rPr>
          <w:i/>
          <w:sz w:val="18"/>
        </w:rPr>
        <w:t>your</w:t>
      </w:r>
      <w:r>
        <w:rPr>
          <w:i/>
          <w:spacing w:val="-2"/>
          <w:sz w:val="18"/>
        </w:rPr>
        <w:t> </w:t>
      </w:r>
      <w:r>
        <w:rPr>
          <w:i/>
          <w:sz w:val="18"/>
        </w:rPr>
        <w:t>best</w:t>
      </w:r>
      <w:r>
        <w:rPr>
          <w:i/>
          <w:spacing w:val="-2"/>
          <w:sz w:val="18"/>
        </w:rPr>
        <w:t> </w:t>
      </w:r>
      <w:r>
        <w:rPr>
          <w:i/>
          <w:sz w:val="18"/>
        </w:rPr>
        <w:t>estimates,</w:t>
      </w:r>
      <w:r>
        <w:rPr>
          <w:i/>
          <w:spacing w:val="-1"/>
          <w:sz w:val="18"/>
        </w:rPr>
        <w:t> </w:t>
      </w:r>
      <w:r>
        <w:rPr>
          <w:i/>
          <w:sz w:val="18"/>
        </w:rPr>
        <w:t>rather</w:t>
      </w:r>
      <w:r>
        <w:rPr>
          <w:i/>
          <w:spacing w:val="-6"/>
          <w:sz w:val="18"/>
        </w:rPr>
        <w:t> </w:t>
      </w:r>
      <w:r>
        <w:rPr>
          <w:i/>
          <w:sz w:val="18"/>
        </w:rPr>
        <w:t>than</w:t>
      </w:r>
      <w:r>
        <w:rPr>
          <w:i/>
          <w:spacing w:val="-5"/>
          <w:sz w:val="18"/>
        </w:rPr>
        <w:t> </w:t>
      </w:r>
      <w:r>
        <w:rPr>
          <w:i/>
          <w:sz w:val="18"/>
        </w:rPr>
        <w:t>requesting</w:t>
      </w:r>
      <w:r>
        <w:rPr>
          <w:i/>
          <w:spacing w:val="-4"/>
          <w:sz w:val="18"/>
        </w:rPr>
        <w:t> </w:t>
      </w:r>
      <w:r>
        <w:rPr>
          <w:i/>
          <w:sz w:val="18"/>
        </w:rPr>
        <w:t>a</w:t>
      </w:r>
      <w:r>
        <w:rPr>
          <w:i/>
          <w:spacing w:val="-3"/>
          <w:sz w:val="18"/>
        </w:rPr>
        <w:t> </w:t>
      </w:r>
      <w:r>
        <w:rPr>
          <w:i/>
          <w:sz w:val="18"/>
        </w:rPr>
        <w:t>detailed</w:t>
      </w:r>
      <w:r>
        <w:rPr>
          <w:i/>
          <w:spacing w:val="-3"/>
          <w:sz w:val="18"/>
        </w:rPr>
        <w:t> </w:t>
      </w:r>
      <w:r>
        <w:rPr>
          <w:i/>
          <w:sz w:val="18"/>
        </w:rPr>
        <w:t>analysis</w:t>
      </w:r>
      <w:r>
        <w:rPr>
          <w:i/>
          <w:spacing w:val="-4"/>
          <w:sz w:val="18"/>
        </w:rPr>
        <w:t> </w:t>
      </w:r>
      <w:r>
        <w:rPr>
          <w:i/>
          <w:sz w:val="18"/>
        </w:rPr>
        <w:t>of all contacts/supports</w:t>
      </w:r>
      <w:r>
        <w:rPr>
          <w:i/>
          <w:spacing w:val="1"/>
          <w:sz w:val="18"/>
        </w:rPr>
        <w:t> </w:t>
      </w:r>
      <w:r>
        <w:rPr>
          <w:i/>
          <w:sz w:val="18"/>
        </w:rPr>
        <w:t>undertaken.</w:t>
      </w:r>
      <w:r>
        <w:rPr>
          <w:i/>
          <w:spacing w:val="1"/>
          <w:sz w:val="18"/>
        </w:rPr>
        <w:t> </w:t>
      </w:r>
      <w:r>
        <w:rPr>
          <w:i/>
          <w:sz w:val="18"/>
        </w:rPr>
        <w:t>The estimate could be based on a discussion/consensus reached between PHN practice facilitators and</w:t>
      </w:r>
      <w:r>
        <w:rPr>
          <w:i/>
          <w:spacing w:val="1"/>
          <w:sz w:val="18"/>
        </w:rPr>
        <w:t> </w:t>
      </w:r>
      <w:r>
        <w:rPr>
          <w:i/>
          <w:sz w:val="18"/>
        </w:rPr>
        <w:t>other</w:t>
      </w:r>
      <w:r>
        <w:rPr>
          <w:i/>
          <w:spacing w:val="-3"/>
          <w:sz w:val="18"/>
        </w:rPr>
        <w:t> </w:t>
      </w:r>
      <w:r>
        <w:rPr>
          <w:i/>
          <w:sz w:val="18"/>
        </w:rPr>
        <w:t>staff.</w:t>
      </w:r>
    </w:p>
    <w:p>
      <w:pPr>
        <w:pStyle w:val="BodyText"/>
        <w:spacing w:before="4"/>
        <w:rPr>
          <w:i/>
          <w:sz w:val="16"/>
        </w:rPr>
      </w:pPr>
    </w:p>
    <w:tbl>
      <w:tblPr>
        <w:tblW w:w="0" w:type="auto"/>
        <w:jc w:val="left"/>
        <w:tblInd w:w="43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246"/>
        <w:gridCol w:w="3245"/>
        <w:gridCol w:w="3245"/>
      </w:tblGrid>
      <w:tr>
        <w:trPr>
          <w:trHeight w:val="222" w:hRule="atLeast"/>
        </w:trPr>
        <w:tc>
          <w:tcPr>
            <w:tcW w:w="3246" w:type="dxa"/>
            <w:tcBorders>
              <w:bottom w:val="single" w:sz="6" w:space="0" w:color="BEBEBE"/>
              <w:right w:val="single" w:sz="6" w:space="0" w:color="BEBEBE"/>
            </w:tcBorders>
            <w:shd w:val="clear" w:color="auto" w:fill="F1F1F1"/>
          </w:tcPr>
          <w:p>
            <w:pPr>
              <w:pStyle w:val="TableParagraph"/>
              <w:rPr>
                <w:rFonts w:ascii="Times New Roman"/>
                <w:sz w:val="14"/>
              </w:rPr>
            </w:pPr>
          </w:p>
        </w:tc>
        <w:tc>
          <w:tcPr>
            <w:tcW w:w="6490" w:type="dxa"/>
            <w:gridSpan w:val="2"/>
            <w:tcBorders>
              <w:left w:val="single" w:sz="6" w:space="0" w:color="BEBEBE"/>
              <w:bottom w:val="single" w:sz="6" w:space="0" w:color="BEBEBE"/>
            </w:tcBorders>
            <w:shd w:val="clear" w:color="auto" w:fill="F1F1F1"/>
          </w:tcPr>
          <w:p>
            <w:pPr>
              <w:pStyle w:val="TableParagraph"/>
              <w:spacing w:line="202" w:lineRule="exact" w:before="1"/>
              <w:ind w:left="2288" w:right="2282"/>
              <w:jc w:val="center"/>
              <w:rPr>
                <w:sz w:val="18"/>
              </w:rPr>
            </w:pPr>
            <w:r>
              <w:rPr>
                <w:sz w:val="18"/>
              </w:rPr>
              <w:t>Estimate</w:t>
            </w:r>
            <w:r>
              <w:rPr>
                <w:spacing w:val="-4"/>
                <w:sz w:val="18"/>
              </w:rPr>
              <w:t> </w:t>
            </w:r>
            <w:r>
              <w:rPr>
                <w:sz w:val="18"/>
              </w:rPr>
              <w:t>per</w:t>
            </w:r>
            <w:r>
              <w:rPr>
                <w:spacing w:val="-3"/>
                <w:sz w:val="18"/>
              </w:rPr>
              <w:t> </w:t>
            </w:r>
            <w:r>
              <w:rPr>
                <w:sz w:val="18"/>
              </w:rPr>
              <w:t>practice</w:t>
            </w:r>
          </w:p>
        </w:tc>
      </w:tr>
      <w:tr>
        <w:trPr>
          <w:trHeight w:val="441" w:hRule="atLeast"/>
        </w:trPr>
        <w:tc>
          <w:tcPr>
            <w:tcW w:w="3246" w:type="dxa"/>
            <w:tcBorders>
              <w:top w:val="single" w:sz="6" w:space="0" w:color="BEBEBE"/>
              <w:bottom w:val="single" w:sz="6" w:space="0" w:color="BEBEBE"/>
              <w:right w:val="single" w:sz="6" w:space="0" w:color="BEBEBE"/>
            </w:tcBorders>
            <w:shd w:val="clear" w:color="auto" w:fill="F1F1F1"/>
          </w:tcPr>
          <w:p>
            <w:pPr>
              <w:pStyle w:val="TableParagraph"/>
              <w:rPr>
                <w:rFonts w:ascii="Times New Roman"/>
                <w:sz w:val="18"/>
              </w:rPr>
            </w:pPr>
          </w:p>
        </w:tc>
        <w:tc>
          <w:tcPr>
            <w:tcW w:w="3245" w:type="dxa"/>
            <w:tcBorders>
              <w:top w:val="single" w:sz="6" w:space="0" w:color="BEBEBE"/>
              <w:left w:val="single" w:sz="6" w:space="0" w:color="BEBEBE"/>
              <w:bottom w:val="single" w:sz="6" w:space="0" w:color="BEBEBE"/>
              <w:right w:val="single" w:sz="6" w:space="0" w:color="BEBEBE"/>
            </w:tcBorders>
            <w:shd w:val="clear" w:color="auto" w:fill="F1F1F1"/>
          </w:tcPr>
          <w:p>
            <w:pPr>
              <w:pStyle w:val="TableParagraph"/>
              <w:spacing w:line="220" w:lineRule="exact"/>
              <w:ind w:left="1103" w:right="205" w:hanging="872"/>
              <w:rPr>
                <w:sz w:val="18"/>
              </w:rPr>
            </w:pPr>
            <w:r>
              <w:rPr>
                <w:sz w:val="18"/>
              </w:rPr>
              <w:t>Prior to HCH commencement in</w:t>
            </w:r>
            <w:r>
              <w:rPr>
                <w:spacing w:val="-47"/>
                <w:sz w:val="18"/>
              </w:rPr>
              <w:t> </w:t>
            </w:r>
            <w:r>
              <w:rPr>
                <w:sz w:val="18"/>
              </w:rPr>
              <w:t>practice</w:t>
            </w:r>
            <w:r>
              <w:rPr>
                <w:spacing w:val="2"/>
                <w:sz w:val="18"/>
              </w:rPr>
              <w:t> </w:t>
            </w:r>
            <w:r>
              <w:rPr>
                <w:sz w:val="18"/>
              </w:rPr>
              <w:t>(1)</w:t>
            </w:r>
          </w:p>
        </w:tc>
        <w:tc>
          <w:tcPr>
            <w:tcW w:w="3245" w:type="dxa"/>
            <w:tcBorders>
              <w:top w:val="single" w:sz="6" w:space="0" w:color="BEBEBE"/>
              <w:left w:val="single" w:sz="6" w:space="0" w:color="BEBEBE"/>
              <w:bottom w:val="single" w:sz="6" w:space="0" w:color="BEBEBE"/>
            </w:tcBorders>
            <w:shd w:val="clear" w:color="auto" w:fill="F1F1F1"/>
          </w:tcPr>
          <w:p>
            <w:pPr>
              <w:pStyle w:val="TableParagraph"/>
              <w:spacing w:line="220" w:lineRule="exact"/>
              <w:ind w:left="489" w:right="100" w:hanging="365"/>
              <w:rPr>
                <w:sz w:val="18"/>
              </w:rPr>
            </w:pPr>
            <w:r>
              <w:rPr>
                <w:sz w:val="18"/>
              </w:rPr>
              <w:t>Following HCH commencement in</w:t>
            </w:r>
            <w:r>
              <w:rPr>
                <w:spacing w:val="-48"/>
                <w:sz w:val="18"/>
              </w:rPr>
              <w:t> </w:t>
            </w:r>
            <w:r>
              <w:rPr>
                <w:sz w:val="18"/>
              </w:rPr>
              <w:t>practice</w:t>
            </w:r>
            <w:r>
              <w:rPr>
                <w:spacing w:val="1"/>
                <w:sz w:val="18"/>
              </w:rPr>
              <w:t> </w:t>
            </w:r>
            <w:r>
              <w:rPr>
                <w:sz w:val="18"/>
              </w:rPr>
              <w:t>(to</w:t>
            </w:r>
            <w:r>
              <w:rPr>
                <w:spacing w:val="-2"/>
                <w:sz w:val="18"/>
              </w:rPr>
              <w:t> </w:t>
            </w:r>
            <w:r>
              <w:rPr>
                <w:sz w:val="18"/>
              </w:rPr>
              <w:t>30-6-2018)</w:t>
            </w:r>
            <w:r>
              <w:rPr>
                <w:spacing w:val="-1"/>
                <w:sz w:val="18"/>
              </w:rPr>
              <w:t> </w:t>
            </w:r>
            <w:r>
              <w:rPr>
                <w:sz w:val="18"/>
              </w:rPr>
              <w:t>(2)</w:t>
            </w:r>
          </w:p>
        </w:tc>
      </w:tr>
      <w:tr>
        <w:trPr>
          <w:trHeight w:val="441" w:hRule="atLeast"/>
        </w:trPr>
        <w:tc>
          <w:tcPr>
            <w:tcW w:w="3246" w:type="dxa"/>
            <w:tcBorders>
              <w:top w:val="single" w:sz="6" w:space="0" w:color="BEBEBE"/>
              <w:bottom w:val="single" w:sz="6" w:space="0" w:color="BEBEBE"/>
              <w:right w:val="single" w:sz="6" w:space="0" w:color="BEBEBE"/>
            </w:tcBorders>
            <w:shd w:val="clear" w:color="auto" w:fill="F1F1F1"/>
          </w:tcPr>
          <w:p>
            <w:pPr>
              <w:pStyle w:val="TableParagraph"/>
              <w:spacing w:line="220" w:lineRule="exact"/>
              <w:ind w:left="105" w:right="681"/>
              <w:rPr>
                <w:sz w:val="18"/>
              </w:rPr>
            </w:pPr>
            <w:r>
              <w:rPr>
                <w:sz w:val="18"/>
              </w:rPr>
              <w:t>Estimated average visits per</w:t>
            </w:r>
            <w:r>
              <w:rPr>
                <w:spacing w:val="-47"/>
                <w:sz w:val="18"/>
              </w:rPr>
              <w:t> </w:t>
            </w:r>
            <w:r>
              <w:rPr>
                <w:sz w:val="18"/>
              </w:rPr>
              <w:t>practice</w:t>
            </w:r>
            <w:r>
              <w:rPr>
                <w:spacing w:val="2"/>
                <w:sz w:val="18"/>
              </w:rPr>
              <w:t> </w:t>
            </w:r>
            <w:r>
              <w:rPr>
                <w:sz w:val="18"/>
              </w:rPr>
              <w:t>(1)</w:t>
            </w:r>
          </w:p>
        </w:tc>
        <w:tc>
          <w:tcPr>
            <w:tcW w:w="3245"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8"/>
              </w:rPr>
            </w:pPr>
          </w:p>
        </w:tc>
        <w:tc>
          <w:tcPr>
            <w:tcW w:w="3245" w:type="dxa"/>
            <w:tcBorders>
              <w:top w:val="single" w:sz="6" w:space="0" w:color="BEBEBE"/>
              <w:left w:val="single" w:sz="6" w:space="0" w:color="BEBEBE"/>
              <w:bottom w:val="single" w:sz="6" w:space="0" w:color="BEBEBE"/>
            </w:tcBorders>
          </w:tcPr>
          <w:p>
            <w:pPr>
              <w:pStyle w:val="TableParagraph"/>
              <w:rPr>
                <w:rFonts w:ascii="Times New Roman"/>
                <w:sz w:val="18"/>
              </w:rPr>
            </w:pPr>
          </w:p>
        </w:tc>
      </w:tr>
      <w:tr>
        <w:trPr>
          <w:trHeight w:val="661" w:hRule="atLeast"/>
        </w:trPr>
        <w:tc>
          <w:tcPr>
            <w:tcW w:w="3246" w:type="dxa"/>
            <w:tcBorders>
              <w:top w:val="single" w:sz="6" w:space="0" w:color="BEBEBE"/>
              <w:bottom w:val="single" w:sz="6" w:space="0" w:color="BEBEBE"/>
              <w:right w:val="single" w:sz="6" w:space="0" w:color="BEBEBE"/>
            </w:tcBorders>
            <w:shd w:val="clear" w:color="auto" w:fill="F1F1F1"/>
          </w:tcPr>
          <w:p>
            <w:pPr>
              <w:pStyle w:val="TableParagraph"/>
              <w:spacing w:line="220" w:lineRule="exact"/>
              <w:ind w:left="105" w:right="168"/>
              <w:rPr>
                <w:sz w:val="18"/>
              </w:rPr>
            </w:pPr>
            <w:r>
              <w:rPr>
                <w:sz w:val="18"/>
              </w:rPr>
              <w:t>Estimated average number of</w:t>
            </w:r>
            <w:r>
              <w:rPr>
                <w:spacing w:val="1"/>
                <w:sz w:val="18"/>
              </w:rPr>
              <w:t> </w:t>
            </w:r>
            <w:r>
              <w:rPr>
                <w:sz w:val="18"/>
              </w:rPr>
              <w:t>telephone/video conference</w:t>
            </w:r>
            <w:r>
              <w:rPr>
                <w:spacing w:val="1"/>
                <w:sz w:val="18"/>
              </w:rPr>
              <w:t> </w:t>
            </w:r>
            <w:r>
              <w:rPr>
                <w:sz w:val="18"/>
              </w:rPr>
              <w:t>support</w:t>
            </w:r>
            <w:r>
              <w:rPr>
                <w:spacing w:val="-8"/>
                <w:sz w:val="18"/>
              </w:rPr>
              <w:t> </w:t>
            </w:r>
            <w:r>
              <w:rPr>
                <w:sz w:val="18"/>
              </w:rPr>
              <w:t>instances</w:t>
            </w:r>
            <w:r>
              <w:rPr>
                <w:spacing w:val="-6"/>
                <w:sz w:val="18"/>
              </w:rPr>
              <w:t> </w:t>
            </w:r>
            <w:r>
              <w:rPr>
                <w:sz w:val="18"/>
              </w:rPr>
              <w:t>per</w:t>
            </w:r>
            <w:r>
              <w:rPr>
                <w:spacing w:val="-5"/>
                <w:sz w:val="18"/>
              </w:rPr>
              <w:t> </w:t>
            </w:r>
            <w:r>
              <w:rPr>
                <w:sz w:val="18"/>
              </w:rPr>
              <w:t>practice</w:t>
            </w:r>
            <w:r>
              <w:rPr>
                <w:spacing w:val="-3"/>
                <w:sz w:val="18"/>
              </w:rPr>
              <w:t> </w:t>
            </w:r>
            <w:r>
              <w:rPr>
                <w:sz w:val="18"/>
              </w:rPr>
              <w:t>(2)</w:t>
            </w:r>
          </w:p>
        </w:tc>
        <w:tc>
          <w:tcPr>
            <w:tcW w:w="3245"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8"/>
              </w:rPr>
            </w:pPr>
          </w:p>
        </w:tc>
        <w:tc>
          <w:tcPr>
            <w:tcW w:w="3245" w:type="dxa"/>
            <w:tcBorders>
              <w:top w:val="single" w:sz="6" w:space="0" w:color="BEBEBE"/>
              <w:left w:val="single" w:sz="6" w:space="0" w:color="BEBEBE"/>
              <w:bottom w:val="single" w:sz="6" w:space="0" w:color="BEBEBE"/>
            </w:tcBorders>
          </w:tcPr>
          <w:p>
            <w:pPr>
              <w:pStyle w:val="TableParagraph"/>
              <w:rPr>
                <w:rFonts w:ascii="Times New Roman"/>
                <w:sz w:val="18"/>
              </w:rPr>
            </w:pPr>
          </w:p>
        </w:tc>
      </w:tr>
      <w:tr>
        <w:trPr>
          <w:trHeight w:val="441" w:hRule="atLeast"/>
        </w:trPr>
        <w:tc>
          <w:tcPr>
            <w:tcW w:w="3246" w:type="dxa"/>
            <w:tcBorders>
              <w:top w:val="single" w:sz="6" w:space="0" w:color="BEBEBE"/>
              <w:bottom w:val="single" w:sz="6" w:space="0" w:color="BEBEBE"/>
              <w:right w:val="single" w:sz="6" w:space="0" w:color="BEBEBE"/>
            </w:tcBorders>
            <w:shd w:val="clear" w:color="auto" w:fill="F1F1F1"/>
          </w:tcPr>
          <w:p>
            <w:pPr>
              <w:pStyle w:val="TableParagraph"/>
              <w:spacing w:line="220" w:lineRule="exact"/>
              <w:ind w:left="105" w:right="396"/>
              <w:rPr>
                <w:sz w:val="18"/>
              </w:rPr>
            </w:pPr>
            <w:r>
              <w:rPr>
                <w:sz w:val="18"/>
              </w:rPr>
              <w:t>Estimated average number of</w:t>
            </w:r>
            <w:r>
              <w:rPr>
                <w:spacing w:val="1"/>
                <w:sz w:val="18"/>
              </w:rPr>
              <w:t> </w:t>
            </w:r>
            <w:r>
              <w:rPr>
                <w:sz w:val="18"/>
              </w:rPr>
              <w:t>email</w:t>
            </w:r>
            <w:r>
              <w:rPr>
                <w:spacing w:val="-5"/>
                <w:sz w:val="18"/>
              </w:rPr>
              <w:t> </w:t>
            </w:r>
            <w:r>
              <w:rPr>
                <w:sz w:val="18"/>
              </w:rPr>
              <w:t>contacts</w:t>
            </w:r>
            <w:r>
              <w:rPr>
                <w:spacing w:val="-5"/>
                <w:sz w:val="18"/>
              </w:rPr>
              <w:t> </w:t>
            </w:r>
            <w:r>
              <w:rPr>
                <w:sz w:val="18"/>
              </w:rPr>
              <w:t>per</w:t>
            </w:r>
            <w:r>
              <w:rPr>
                <w:spacing w:val="-3"/>
                <w:sz w:val="18"/>
              </w:rPr>
              <w:t> </w:t>
            </w:r>
            <w:r>
              <w:rPr>
                <w:sz w:val="18"/>
              </w:rPr>
              <w:t>practice</w:t>
            </w:r>
            <w:r>
              <w:rPr>
                <w:spacing w:val="-4"/>
                <w:sz w:val="18"/>
              </w:rPr>
              <w:t> </w:t>
            </w:r>
            <w:r>
              <w:rPr>
                <w:sz w:val="18"/>
              </w:rPr>
              <w:t>(4)</w:t>
            </w:r>
          </w:p>
        </w:tc>
        <w:tc>
          <w:tcPr>
            <w:tcW w:w="3245"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8"/>
              </w:rPr>
            </w:pPr>
          </w:p>
        </w:tc>
        <w:tc>
          <w:tcPr>
            <w:tcW w:w="3245" w:type="dxa"/>
            <w:tcBorders>
              <w:top w:val="single" w:sz="6" w:space="0" w:color="BEBEBE"/>
              <w:left w:val="single" w:sz="6" w:space="0" w:color="BEBEBE"/>
              <w:bottom w:val="single" w:sz="6" w:space="0" w:color="BEBEBE"/>
            </w:tcBorders>
          </w:tcPr>
          <w:p>
            <w:pPr>
              <w:pStyle w:val="TableParagraph"/>
              <w:rPr>
                <w:rFonts w:ascii="Times New Roman"/>
                <w:sz w:val="18"/>
              </w:rPr>
            </w:pPr>
          </w:p>
        </w:tc>
      </w:tr>
      <w:tr>
        <w:trPr>
          <w:trHeight w:val="441" w:hRule="atLeast"/>
        </w:trPr>
        <w:tc>
          <w:tcPr>
            <w:tcW w:w="3246" w:type="dxa"/>
            <w:tcBorders>
              <w:top w:val="single" w:sz="6" w:space="0" w:color="BEBEBE"/>
              <w:bottom w:val="single" w:sz="6" w:space="0" w:color="BEBEBE"/>
              <w:right w:val="single" w:sz="6" w:space="0" w:color="BEBEBE"/>
            </w:tcBorders>
            <w:shd w:val="clear" w:color="auto" w:fill="F1F1F1"/>
          </w:tcPr>
          <w:p>
            <w:pPr>
              <w:pStyle w:val="TableParagraph"/>
              <w:spacing w:line="222" w:lineRule="exact"/>
              <w:ind w:left="105" w:right="185"/>
              <w:rPr>
                <w:sz w:val="18"/>
              </w:rPr>
            </w:pPr>
            <w:r>
              <w:rPr>
                <w:sz w:val="18"/>
              </w:rPr>
              <w:t>Estimated average PHN staff time</w:t>
            </w:r>
            <w:r>
              <w:rPr>
                <w:spacing w:val="-48"/>
                <w:sz w:val="18"/>
              </w:rPr>
              <w:t> </w:t>
            </w:r>
            <w:r>
              <w:rPr>
                <w:sz w:val="18"/>
              </w:rPr>
              <w:t>(in</w:t>
            </w:r>
            <w:r>
              <w:rPr>
                <w:spacing w:val="-1"/>
                <w:sz w:val="18"/>
              </w:rPr>
              <w:t> </w:t>
            </w:r>
            <w:r>
              <w:rPr>
                <w:sz w:val="18"/>
              </w:rPr>
              <w:t>days)</w:t>
            </w:r>
            <w:r>
              <w:rPr>
                <w:spacing w:val="-3"/>
                <w:sz w:val="18"/>
              </w:rPr>
              <w:t> </w:t>
            </w:r>
            <w:r>
              <w:rPr>
                <w:sz w:val="18"/>
              </w:rPr>
              <w:t>per practice</w:t>
            </w:r>
            <w:r>
              <w:rPr>
                <w:spacing w:val="-1"/>
                <w:sz w:val="18"/>
              </w:rPr>
              <w:t> </w:t>
            </w:r>
            <w:r>
              <w:rPr>
                <w:sz w:val="18"/>
              </w:rPr>
              <w:t>(3)</w:t>
            </w:r>
          </w:p>
        </w:tc>
        <w:tc>
          <w:tcPr>
            <w:tcW w:w="3245"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8"/>
              </w:rPr>
            </w:pPr>
          </w:p>
        </w:tc>
        <w:tc>
          <w:tcPr>
            <w:tcW w:w="3245" w:type="dxa"/>
            <w:tcBorders>
              <w:top w:val="single" w:sz="6" w:space="0" w:color="BEBEBE"/>
              <w:left w:val="single" w:sz="6" w:space="0" w:color="BEBEBE"/>
              <w:bottom w:val="single" w:sz="6" w:space="0" w:color="BEBEBE"/>
            </w:tcBorders>
          </w:tcPr>
          <w:p>
            <w:pPr>
              <w:pStyle w:val="TableParagraph"/>
              <w:rPr>
                <w:rFonts w:ascii="Times New Roman"/>
                <w:sz w:val="18"/>
              </w:rPr>
            </w:pPr>
          </w:p>
        </w:tc>
      </w:tr>
      <w:tr>
        <w:trPr>
          <w:trHeight w:val="438" w:hRule="atLeast"/>
        </w:trPr>
        <w:tc>
          <w:tcPr>
            <w:tcW w:w="3246" w:type="dxa"/>
            <w:tcBorders>
              <w:top w:val="single" w:sz="6" w:space="0" w:color="BEBEBE"/>
              <w:bottom w:val="single" w:sz="6" w:space="0" w:color="BEBEBE"/>
              <w:right w:val="single" w:sz="6" w:space="0" w:color="BEBEBE"/>
            </w:tcBorders>
            <w:shd w:val="clear" w:color="auto" w:fill="F1F1F1"/>
          </w:tcPr>
          <w:p>
            <w:pPr>
              <w:pStyle w:val="TableParagraph"/>
              <w:spacing w:line="218" w:lineRule="exact"/>
              <w:ind w:left="105" w:right="168"/>
              <w:rPr>
                <w:sz w:val="18"/>
              </w:rPr>
            </w:pPr>
            <w:r>
              <w:rPr>
                <w:sz w:val="18"/>
              </w:rPr>
              <w:t>Estimated maximum PHN staff</w:t>
            </w:r>
            <w:r>
              <w:rPr>
                <w:spacing w:val="1"/>
                <w:sz w:val="18"/>
              </w:rPr>
              <w:t> </w:t>
            </w:r>
            <w:r>
              <w:rPr>
                <w:sz w:val="18"/>
              </w:rPr>
              <w:t>time</w:t>
            </w:r>
            <w:r>
              <w:rPr>
                <w:spacing w:val="-1"/>
                <w:sz w:val="18"/>
              </w:rPr>
              <w:t> </w:t>
            </w:r>
            <w:r>
              <w:rPr>
                <w:sz w:val="18"/>
              </w:rPr>
              <w:t>(in</w:t>
            </w:r>
            <w:r>
              <w:rPr>
                <w:spacing w:val="-4"/>
                <w:sz w:val="18"/>
              </w:rPr>
              <w:t> </w:t>
            </w:r>
            <w:r>
              <w:rPr>
                <w:sz w:val="18"/>
              </w:rPr>
              <w:t>days)</w:t>
            </w:r>
            <w:r>
              <w:rPr>
                <w:spacing w:val="-5"/>
                <w:sz w:val="18"/>
              </w:rPr>
              <w:t> </w:t>
            </w:r>
            <w:r>
              <w:rPr>
                <w:sz w:val="18"/>
              </w:rPr>
              <w:t>for</w:t>
            </w:r>
            <w:r>
              <w:rPr>
                <w:spacing w:val="-4"/>
                <w:sz w:val="18"/>
              </w:rPr>
              <w:t> </w:t>
            </w:r>
            <w:r>
              <w:rPr>
                <w:sz w:val="18"/>
              </w:rPr>
              <w:t>any</w:t>
            </w:r>
            <w:r>
              <w:rPr>
                <w:spacing w:val="-4"/>
                <w:sz w:val="18"/>
              </w:rPr>
              <w:t> </w:t>
            </w:r>
            <w:r>
              <w:rPr>
                <w:sz w:val="18"/>
              </w:rPr>
              <w:t>practice</w:t>
            </w:r>
            <w:r>
              <w:rPr>
                <w:spacing w:val="-1"/>
                <w:sz w:val="18"/>
              </w:rPr>
              <w:t> </w:t>
            </w:r>
            <w:r>
              <w:rPr>
                <w:sz w:val="18"/>
              </w:rPr>
              <w:t>(5)</w:t>
            </w:r>
          </w:p>
        </w:tc>
        <w:tc>
          <w:tcPr>
            <w:tcW w:w="3245"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8"/>
              </w:rPr>
            </w:pPr>
          </w:p>
        </w:tc>
        <w:tc>
          <w:tcPr>
            <w:tcW w:w="3245" w:type="dxa"/>
            <w:tcBorders>
              <w:top w:val="single" w:sz="6" w:space="0" w:color="BEBEBE"/>
              <w:left w:val="single" w:sz="6" w:space="0" w:color="BEBEBE"/>
              <w:bottom w:val="single" w:sz="6" w:space="0" w:color="BEBEBE"/>
            </w:tcBorders>
          </w:tcPr>
          <w:p>
            <w:pPr>
              <w:pStyle w:val="TableParagraph"/>
              <w:rPr>
                <w:rFonts w:ascii="Times New Roman"/>
                <w:sz w:val="18"/>
              </w:rPr>
            </w:pPr>
          </w:p>
        </w:tc>
      </w:tr>
      <w:tr>
        <w:trPr>
          <w:trHeight w:val="443" w:hRule="atLeast"/>
        </w:trPr>
        <w:tc>
          <w:tcPr>
            <w:tcW w:w="3246" w:type="dxa"/>
            <w:tcBorders>
              <w:top w:val="single" w:sz="6" w:space="0" w:color="BEBEBE"/>
              <w:right w:val="single" w:sz="6" w:space="0" w:color="BEBEBE"/>
            </w:tcBorders>
            <w:shd w:val="clear" w:color="auto" w:fill="F1F1F1"/>
          </w:tcPr>
          <w:p>
            <w:pPr>
              <w:pStyle w:val="TableParagraph"/>
              <w:spacing w:line="220" w:lineRule="atLeast"/>
              <w:ind w:left="105" w:right="160"/>
              <w:rPr>
                <w:sz w:val="18"/>
              </w:rPr>
            </w:pPr>
            <w:r>
              <w:rPr>
                <w:sz w:val="18"/>
              </w:rPr>
              <w:t>Estimated</w:t>
            </w:r>
            <w:r>
              <w:rPr>
                <w:spacing w:val="-3"/>
                <w:sz w:val="18"/>
              </w:rPr>
              <w:t> </w:t>
            </w:r>
            <w:r>
              <w:rPr>
                <w:sz w:val="18"/>
              </w:rPr>
              <w:t>minimum</w:t>
            </w:r>
            <w:r>
              <w:rPr>
                <w:spacing w:val="-7"/>
                <w:sz w:val="18"/>
              </w:rPr>
              <w:t> </w:t>
            </w:r>
            <w:r>
              <w:rPr>
                <w:sz w:val="18"/>
              </w:rPr>
              <w:t>PHN</w:t>
            </w:r>
            <w:r>
              <w:rPr>
                <w:spacing w:val="-5"/>
                <w:sz w:val="18"/>
              </w:rPr>
              <w:t> </w:t>
            </w:r>
            <w:r>
              <w:rPr>
                <w:sz w:val="18"/>
              </w:rPr>
              <w:t>staff</w:t>
            </w:r>
            <w:r>
              <w:rPr>
                <w:spacing w:val="-3"/>
                <w:sz w:val="18"/>
              </w:rPr>
              <w:t> </w:t>
            </w:r>
            <w:r>
              <w:rPr>
                <w:sz w:val="18"/>
              </w:rPr>
              <w:t>time</w:t>
            </w:r>
            <w:r>
              <w:rPr>
                <w:spacing w:val="-47"/>
                <w:sz w:val="18"/>
              </w:rPr>
              <w:t> </w:t>
            </w:r>
            <w:r>
              <w:rPr>
                <w:sz w:val="18"/>
              </w:rPr>
              <w:t>(in</w:t>
            </w:r>
            <w:r>
              <w:rPr>
                <w:spacing w:val="-1"/>
                <w:sz w:val="18"/>
              </w:rPr>
              <w:t> </w:t>
            </w:r>
            <w:r>
              <w:rPr>
                <w:sz w:val="18"/>
              </w:rPr>
              <w:t>days)</w:t>
            </w:r>
            <w:r>
              <w:rPr>
                <w:spacing w:val="-3"/>
                <w:sz w:val="18"/>
              </w:rPr>
              <w:t> </w:t>
            </w:r>
            <w:r>
              <w:rPr>
                <w:sz w:val="18"/>
              </w:rPr>
              <w:t>for</w:t>
            </w:r>
            <w:r>
              <w:rPr>
                <w:spacing w:val="-1"/>
                <w:sz w:val="18"/>
              </w:rPr>
              <w:t> </w:t>
            </w:r>
            <w:r>
              <w:rPr>
                <w:sz w:val="18"/>
              </w:rPr>
              <w:t>any</w:t>
            </w:r>
            <w:r>
              <w:rPr>
                <w:spacing w:val="-2"/>
                <w:sz w:val="18"/>
              </w:rPr>
              <w:t> </w:t>
            </w:r>
            <w:r>
              <w:rPr>
                <w:sz w:val="18"/>
              </w:rPr>
              <w:t>practice</w:t>
            </w:r>
            <w:r>
              <w:rPr>
                <w:spacing w:val="3"/>
                <w:sz w:val="18"/>
              </w:rPr>
              <w:t> </w:t>
            </w:r>
            <w:r>
              <w:rPr>
                <w:sz w:val="18"/>
              </w:rPr>
              <w:t>(6)</w:t>
            </w:r>
          </w:p>
        </w:tc>
        <w:tc>
          <w:tcPr>
            <w:tcW w:w="3245" w:type="dxa"/>
            <w:tcBorders>
              <w:top w:val="single" w:sz="6" w:space="0" w:color="BEBEBE"/>
              <w:left w:val="single" w:sz="6" w:space="0" w:color="BEBEBE"/>
              <w:right w:val="single" w:sz="6" w:space="0" w:color="BEBEBE"/>
            </w:tcBorders>
          </w:tcPr>
          <w:p>
            <w:pPr>
              <w:pStyle w:val="TableParagraph"/>
              <w:rPr>
                <w:rFonts w:ascii="Times New Roman"/>
                <w:sz w:val="18"/>
              </w:rPr>
            </w:pPr>
          </w:p>
        </w:tc>
        <w:tc>
          <w:tcPr>
            <w:tcW w:w="3245" w:type="dxa"/>
            <w:tcBorders>
              <w:top w:val="single" w:sz="6" w:space="0" w:color="BEBEBE"/>
              <w:left w:val="single" w:sz="6" w:space="0" w:color="BEBEBE"/>
            </w:tcBorders>
          </w:tcPr>
          <w:p>
            <w:pPr>
              <w:pStyle w:val="TableParagraph"/>
              <w:rPr>
                <w:rFonts w:ascii="Times New Roman"/>
                <w:sz w:val="18"/>
              </w:rPr>
            </w:pPr>
          </w:p>
        </w:tc>
      </w:tr>
    </w:tbl>
    <w:p>
      <w:pPr>
        <w:spacing w:after="0"/>
        <w:rPr>
          <w:rFonts w:ascii="Times New Roman"/>
          <w:sz w:val="18"/>
        </w:rPr>
        <w:sectPr>
          <w:pgSz w:w="11910" w:h="16840"/>
          <w:pgMar w:header="0" w:footer="948" w:top="860" w:bottom="1140" w:left="300" w:right="0"/>
        </w:sectPr>
      </w:pPr>
    </w:p>
    <w:p>
      <w:pPr>
        <w:pStyle w:val="ListParagraph"/>
        <w:numPr>
          <w:ilvl w:val="0"/>
          <w:numId w:val="105"/>
        </w:numPr>
        <w:tabs>
          <w:tab w:pos="720" w:val="left" w:leader="none"/>
        </w:tabs>
        <w:spacing w:line="273" w:lineRule="auto" w:before="75" w:after="0"/>
        <w:ind w:left="420" w:right="914" w:firstLine="0"/>
        <w:jc w:val="left"/>
        <w:rPr>
          <w:sz w:val="18"/>
        </w:rPr>
      </w:pPr>
      <w:r>
        <w:rPr>
          <w:sz w:val="18"/>
        </w:rPr>
        <w:t>Please estimate as percentage, how the level of support varied from the average (equal to 100%) for the following</w:t>
      </w:r>
      <w:r>
        <w:rPr>
          <w:spacing w:val="-48"/>
          <w:sz w:val="18"/>
        </w:rPr>
        <w:t> </w:t>
      </w:r>
      <w:r>
        <w:rPr>
          <w:sz w:val="18"/>
        </w:rPr>
        <w:t>types</w:t>
      </w:r>
      <w:r>
        <w:rPr>
          <w:spacing w:val="-2"/>
          <w:sz w:val="18"/>
        </w:rPr>
        <w:t> </w:t>
      </w:r>
      <w:r>
        <w:rPr>
          <w:sz w:val="18"/>
        </w:rPr>
        <w:t>of practices?</w:t>
      </w:r>
    </w:p>
    <w:p>
      <w:pPr>
        <w:pStyle w:val="BodyText"/>
        <w:spacing w:before="7"/>
        <w:rPr>
          <w:sz w:val="16"/>
        </w:rPr>
      </w:pPr>
    </w:p>
    <w:p>
      <w:pPr>
        <w:spacing w:line="276" w:lineRule="auto" w:before="0"/>
        <w:ind w:left="420" w:right="798" w:firstLine="0"/>
        <w:jc w:val="left"/>
        <w:rPr>
          <w:i/>
          <w:sz w:val="18"/>
        </w:rPr>
      </w:pPr>
      <w:r>
        <w:rPr>
          <w:b/>
          <w:i/>
          <w:sz w:val="18"/>
        </w:rPr>
        <w:t>Note:</w:t>
      </w:r>
      <w:r>
        <w:rPr>
          <w:b/>
          <w:i/>
          <w:spacing w:val="1"/>
          <w:sz w:val="18"/>
        </w:rPr>
        <w:t> </w:t>
      </w:r>
      <w:r>
        <w:rPr>
          <w:i/>
          <w:sz w:val="18"/>
        </w:rPr>
        <w:t>As an example, if the average amount of PHN staff time for facilitation, training and support was 20% more for a</w:t>
      </w:r>
      <w:r>
        <w:rPr>
          <w:i/>
          <w:spacing w:val="-47"/>
          <w:sz w:val="18"/>
        </w:rPr>
        <w:t> </w:t>
      </w:r>
      <w:r>
        <w:rPr>
          <w:i/>
          <w:sz w:val="18"/>
        </w:rPr>
        <w:t>particular category of practice, the response should be 120%.</w:t>
      </w:r>
      <w:r>
        <w:rPr>
          <w:i/>
          <w:spacing w:val="1"/>
          <w:sz w:val="18"/>
        </w:rPr>
        <w:t> </w:t>
      </w:r>
      <w:r>
        <w:rPr>
          <w:i/>
          <w:sz w:val="18"/>
        </w:rPr>
        <w:t>If the average was 20% less that the average, the</w:t>
      </w:r>
      <w:r>
        <w:rPr>
          <w:i/>
          <w:spacing w:val="1"/>
          <w:sz w:val="18"/>
        </w:rPr>
        <w:t> </w:t>
      </w:r>
      <w:r>
        <w:rPr>
          <w:i/>
          <w:sz w:val="18"/>
        </w:rPr>
        <w:t>response</w:t>
      </w:r>
      <w:r>
        <w:rPr>
          <w:i/>
          <w:spacing w:val="-1"/>
          <w:sz w:val="18"/>
        </w:rPr>
        <w:t> </w:t>
      </w:r>
      <w:r>
        <w:rPr>
          <w:i/>
          <w:sz w:val="18"/>
        </w:rPr>
        <w:t>should</w:t>
      </w:r>
      <w:r>
        <w:rPr>
          <w:i/>
          <w:spacing w:val="-1"/>
          <w:sz w:val="18"/>
        </w:rPr>
        <w:t> </w:t>
      </w:r>
      <w:r>
        <w:rPr>
          <w:i/>
          <w:sz w:val="18"/>
        </w:rPr>
        <w:t>be</w:t>
      </w:r>
      <w:r>
        <w:rPr>
          <w:i/>
          <w:spacing w:val="-2"/>
          <w:sz w:val="18"/>
        </w:rPr>
        <w:t> </w:t>
      </w:r>
      <w:r>
        <w:rPr>
          <w:i/>
          <w:sz w:val="18"/>
        </w:rPr>
        <w:t>80%.</w:t>
      </w:r>
    </w:p>
    <w:p>
      <w:pPr>
        <w:pStyle w:val="BodyText"/>
        <w:spacing w:before="5"/>
        <w:rPr>
          <w:i/>
          <w:sz w:val="16"/>
        </w:rPr>
      </w:pPr>
    </w:p>
    <w:p>
      <w:pPr>
        <w:spacing w:before="0"/>
        <w:ind w:left="420" w:right="0" w:firstLine="0"/>
        <w:jc w:val="left"/>
        <w:rPr>
          <w:i/>
          <w:sz w:val="18"/>
        </w:rPr>
      </w:pPr>
      <w:r>
        <w:rPr>
          <w:i/>
          <w:sz w:val="18"/>
        </w:rPr>
        <w:t>If</w:t>
      </w:r>
      <w:r>
        <w:rPr>
          <w:i/>
          <w:spacing w:val="-3"/>
          <w:sz w:val="18"/>
        </w:rPr>
        <w:t> </w:t>
      </w:r>
      <w:r>
        <w:rPr>
          <w:i/>
          <w:sz w:val="18"/>
        </w:rPr>
        <w:t>there</w:t>
      </w:r>
      <w:r>
        <w:rPr>
          <w:i/>
          <w:spacing w:val="-2"/>
          <w:sz w:val="18"/>
        </w:rPr>
        <w:t> </w:t>
      </w:r>
      <w:r>
        <w:rPr>
          <w:i/>
          <w:sz w:val="18"/>
        </w:rPr>
        <w:t>were</w:t>
      </w:r>
      <w:r>
        <w:rPr>
          <w:i/>
          <w:spacing w:val="-4"/>
          <w:sz w:val="18"/>
        </w:rPr>
        <w:t> </w:t>
      </w:r>
      <w:r>
        <w:rPr>
          <w:i/>
          <w:sz w:val="18"/>
        </w:rPr>
        <w:t>no</w:t>
      </w:r>
      <w:r>
        <w:rPr>
          <w:i/>
          <w:spacing w:val="-2"/>
          <w:sz w:val="18"/>
        </w:rPr>
        <w:t> </w:t>
      </w:r>
      <w:r>
        <w:rPr>
          <w:i/>
          <w:sz w:val="18"/>
        </w:rPr>
        <w:t>HCH</w:t>
      </w:r>
      <w:r>
        <w:rPr>
          <w:i/>
          <w:spacing w:val="-3"/>
          <w:sz w:val="18"/>
        </w:rPr>
        <w:t> </w:t>
      </w:r>
      <w:r>
        <w:rPr>
          <w:i/>
          <w:sz w:val="18"/>
        </w:rPr>
        <w:t>practices</w:t>
      </w:r>
      <w:r>
        <w:rPr>
          <w:i/>
          <w:spacing w:val="-2"/>
          <w:sz w:val="18"/>
        </w:rPr>
        <w:t> </w:t>
      </w:r>
      <w:r>
        <w:rPr>
          <w:i/>
          <w:sz w:val="18"/>
        </w:rPr>
        <w:t>in</w:t>
      </w:r>
      <w:r>
        <w:rPr>
          <w:i/>
          <w:spacing w:val="-4"/>
          <w:sz w:val="18"/>
        </w:rPr>
        <w:t> </w:t>
      </w:r>
      <w:r>
        <w:rPr>
          <w:i/>
          <w:sz w:val="18"/>
        </w:rPr>
        <w:t>these</w:t>
      </w:r>
      <w:r>
        <w:rPr>
          <w:i/>
          <w:spacing w:val="-2"/>
          <w:sz w:val="18"/>
        </w:rPr>
        <w:t> </w:t>
      </w:r>
      <w:r>
        <w:rPr>
          <w:i/>
          <w:sz w:val="18"/>
        </w:rPr>
        <w:t>categories</w:t>
      </w:r>
      <w:r>
        <w:rPr>
          <w:i/>
          <w:spacing w:val="-3"/>
          <w:sz w:val="18"/>
        </w:rPr>
        <w:t> </w:t>
      </w:r>
      <w:r>
        <w:rPr>
          <w:i/>
          <w:sz w:val="18"/>
        </w:rPr>
        <w:t>within</w:t>
      </w:r>
      <w:r>
        <w:rPr>
          <w:i/>
          <w:spacing w:val="-4"/>
          <w:sz w:val="18"/>
        </w:rPr>
        <w:t> </w:t>
      </w:r>
      <w:r>
        <w:rPr>
          <w:i/>
          <w:sz w:val="18"/>
        </w:rPr>
        <w:t>the</w:t>
      </w:r>
      <w:r>
        <w:rPr>
          <w:i/>
          <w:spacing w:val="-2"/>
          <w:sz w:val="18"/>
        </w:rPr>
        <w:t> </w:t>
      </w:r>
      <w:r>
        <w:rPr>
          <w:i/>
          <w:sz w:val="18"/>
        </w:rPr>
        <w:t>PHN,</w:t>
      </w:r>
      <w:r>
        <w:rPr>
          <w:i/>
          <w:spacing w:val="-1"/>
          <w:sz w:val="18"/>
        </w:rPr>
        <w:t> </w:t>
      </w:r>
      <w:r>
        <w:rPr>
          <w:i/>
          <w:sz w:val="18"/>
        </w:rPr>
        <w:t>leave</w:t>
      </w:r>
      <w:r>
        <w:rPr>
          <w:i/>
          <w:spacing w:val="-2"/>
          <w:sz w:val="18"/>
        </w:rPr>
        <w:t> </w:t>
      </w:r>
      <w:r>
        <w:rPr>
          <w:i/>
          <w:sz w:val="18"/>
        </w:rPr>
        <w:t>blank.</w:t>
      </w:r>
    </w:p>
    <w:p>
      <w:pPr>
        <w:pStyle w:val="BodyText"/>
        <w:spacing w:before="1"/>
        <w:rPr>
          <w:i/>
          <w:sz w:val="19"/>
        </w:rPr>
      </w:pPr>
    </w:p>
    <w:tbl>
      <w:tblPr>
        <w:tblW w:w="0" w:type="auto"/>
        <w:jc w:val="left"/>
        <w:tblInd w:w="43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304"/>
        <w:gridCol w:w="1716"/>
        <w:gridCol w:w="2114"/>
        <w:gridCol w:w="2263"/>
        <w:gridCol w:w="2058"/>
      </w:tblGrid>
      <w:tr>
        <w:trPr>
          <w:trHeight w:val="445" w:hRule="atLeast"/>
        </w:trPr>
        <w:tc>
          <w:tcPr>
            <w:tcW w:w="2304" w:type="dxa"/>
            <w:vMerge w:val="restart"/>
            <w:shd w:val="clear" w:color="auto" w:fill="F1F1F1"/>
          </w:tcPr>
          <w:p>
            <w:pPr>
              <w:pStyle w:val="TableParagraph"/>
              <w:rPr>
                <w:rFonts w:ascii="Times New Roman"/>
                <w:sz w:val="18"/>
              </w:rPr>
            </w:pPr>
          </w:p>
        </w:tc>
        <w:tc>
          <w:tcPr>
            <w:tcW w:w="8151" w:type="dxa"/>
            <w:gridSpan w:val="4"/>
            <w:tcBorders>
              <w:bottom w:val="single" w:sz="6" w:space="0" w:color="BEBEBE"/>
            </w:tcBorders>
            <w:shd w:val="clear" w:color="auto" w:fill="F1F1F1"/>
          </w:tcPr>
          <w:p>
            <w:pPr>
              <w:pStyle w:val="TableParagraph"/>
              <w:spacing w:before="111"/>
              <w:ind w:left="3494" w:right="3480"/>
              <w:jc w:val="center"/>
              <w:rPr>
                <w:sz w:val="18"/>
              </w:rPr>
            </w:pPr>
            <w:r>
              <w:rPr>
                <w:sz w:val="18"/>
              </w:rPr>
              <w:t>Practice</w:t>
            </w:r>
            <w:r>
              <w:rPr>
                <w:spacing w:val="-3"/>
                <w:sz w:val="18"/>
              </w:rPr>
              <w:t> </w:t>
            </w:r>
            <w:r>
              <w:rPr>
                <w:sz w:val="18"/>
              </w:rPr>
              <w:t>size:</w:t>
            </w:r>
          </w:p>
        </w:tc>
      </w:tr>
      <w:tr>
        <w:trPr>
          <w:trHeight w:val="668" w:hRule="atLeast"/>
        </w:trPr>
        <w:tc>
          <w:tcPr>
            <w:tcW w:w="2304" w:type="dxa"/>
            <w:vMerge/>
            <w:tcBorders>
              <w:top w:val="nil"/>
            </w:tcBorders>
            <w:shd w:val="clear" w:color="auto" w:fill="F1F1F1"/>
          </w:tcPr>
          <w:p>
            <w:pPr>
              <w:rPr>
                <w:sz w:val="2"/>
                <w:szCs w:val="2"/>
              </w:rPr>
            </w:pPr>
          </w:p>
        </w:tc>
        <w:tc>
          <w:tcPr>
            <w:tcW w:w="1716" w:type="dxa"/>
            <w:tcBorders>
              <w:top w:val="single" w:sz="6" w:space="0" w:color="BEBEBE"/>
              <w:bottom w:val="single" w:sz="6" w:space="0" w:color="BEBEBE"/>
              <w:right w:val="single" w:sz="6" w:space="0" w:color="BEBEBE"/>
            </w:tcBorders>
            <w:shd w:val="clear" w:color="auto" w:fill="F1F1F1"/>
          </w:tcPr>
          <w:p>
            <w:pPr>
              <w:pStyle w:val="TableParagraph"/>
              <w:spacing w:before="114"/>
              <w:ind w:left="739" w:right="120" w:hanging="596"/>
              <w:rPr>
                <w:sz w:val="18"/>
              </w:rPr>
            </w:pPr>
            <w:r>
              <w:rPr>
                <w:sz w:val="18"/>
              </w:rPr>
              <w:t>Solo practitioner</w:t>
            </w:r>
            <w:r>
              <w:rPr>
                <w:spacing w:val="-47"/>
                <w:sz w:val="18"/>
              </w:rPr>
              <w:t> </w:t>
            </w:r>
            <w:r>
              <w:rPr>
                <w:sz w:val="18"/>
              </w:rPr>
              <w:t>(1)</w:t>
            </w:r>
          </w:p>
        </w:tc>
        <w:tc>
          <w:tcPr>
            <w:tcW w:w="2114" w:type="dxa"/>
            <w:tcBorders>
              <w:top w:val="single" w:sz="6" w:space="0" w:color="BEBEBE"/>
              <w:left w:val="single" w:sz="6" w:space="0" w:color="BEBEBE"/>
              <w:bottom w:val="single" w:sz="6" w:space="0" w:color="BEBEBE"/>
              <w:right w:val="single" w:sz="6" w:space="0" w:color="BEBEBE"/>
            </w:tcBorders>
            <w:shd w:val="clear" w:color="auto" w:fill="F1F1F1"/>
          </w:tcPr>
          <w:p>
            <w:pPr>
              <w:pStyle w:val="TableParagraph"/>
              <w:spacing w:before="114"/>
              <w:ind w:left="713" w:right="201" w:hanging="497"/>
              <w:rPr>
                <w:sz w:val="18"/>
              </w:rPr>
            </w:pPr>
            <w:r>
              <w:rPr>
                <w:sz w:val="18"/>
              </w:rPr>
              <w:t>Small</w:t>
            </w:r>
            <w:r>
              <w:rPr>
                <w:spacing w:val="-3"/>
                <w:sz w:val="18"/>
              </w:rPr>
              <w:t> </w:t>
            </w:r>
            <w:r>
              <w:rPr>
                <w:sz w:val="18"/>
              </w:rPr>
              <w:t>practice</w:t>
            </w:r>
            <w:r>
              <w:rPr>
                <w:spacing w:val="-1"/>
                <w:sz w:val="18"/>
              </w:rPr>
              <w:t> </w:t>
            </w:r>
            <w:r>
              <w:rPr>
                <w:sz w:val="18"/>
              </w:rPr>
              <w:t>(</w:t>
            </w:r>
            <w:r>
              <w:rPr>
                <w:spacing w:val="-6"/>
                <w:sz w:val="18"/>
              </w:rPr>
              <w:t> </w:t>
            </w:r>
            <w:r>
              <w:rPr>
                <w:sz w:val="18"/>
              </w:rPr>
              <w:t>&lt;</w:t>
            </w:r>
            <w:r>
              <w:rPr>
                <w:spacing w:val="-3"/>
                <w:sz w:val="18"/>
              </w:rPr>
              <w:t> </w:t>
            </w:r>
            <w:r>
              <w:rPr>
                <w:sz w:val="18"/>
              </w:rPr>
              <w:t>5</w:t>
            </w:r>
            <w:r>
              <w:rPr>
                <w:spacing w:val="-47"/>
                <w:sz w:val="18"/>
              </w:rPr>
              <w:t> </w:t>
            </w:r>
            <w:r>
              <w:rPr>
                <w:sz w:val="18"/>
              </w:rPr>
              <w:t>GPs) (2)</w:t>
            </w:r>
          </w:p>
        </w:tc>
        <w:tc>
          <w:tcPr>
            <w:tcW w:w="2263" w:type="dxa"/>
            <w:tcBorders>
              <w:top w:val="single" w:sz="6" w:space="0" w:color="BEBEBE"/>
              <w:left w:val="single" w:sz="6" w:space="0" w:color="BEBEBE"/>
              <w:bottom w:val="single" w:sz="6" w:space="0" w:color="BEBEBE"/>
              <w:right w:val="single" w:sz="6" w:space="0" w:color="BEBEBE"/>
            </w:tcBorders>
            <w:shd w:val="clear" w:color="auto" w:fill="F1F1F1"/>
          </w:tcPr>
          <w:p>
            <w:pPr>
              <w:pStyle w:val="TableParagraph"/>
              <w:spacing w:before="114"/>
              <w:ind w:left="166" w:right="157"/>
              <w:jc w:val="center"/>
              <w:rPr>
                <w:sz w:val="18"/>
              </w:rPr>
            </w:pPr>
            <w:r>
              <w:rPr>
                <w:sz w:val="18"/>
              </w:rPr>
              <w:t>Medium</w:t>
            </w:r>
            <w:r>
              <w:rPr>
                <w:spacing w:val="-7"/>
                <w:sz w:val="18"/>
              </w:rPr>
              <w:t> </w:t>
            </w:r>
            <w:r>
              <w:rPr>
                <w:sz w:val="18"/>
              </w:rPr>
              <w:t>practice</w:t>
            </w:r>
            <w:r>
              <w:rPr>
                <w:spacing w:val="-2"/>
                <w:sz w:val="18"/>
              </w:rPr>
              <w:t> </w:t>
            </w:r>
            <w:r>
              <w:rPr>
                <w:sz w:val="18"/>
              </w:rPr>
              <w:t>(5-8</w:t>
            </w:r>
          </w:p>
          <w:p>
            <w:pPr>
              <w:pStyle w:val="TableParagraph"/>
              <w:ind w:left="166" w:right="157"/>
              <w:jc w:val="center"/>
              <w:rPr>
                <w:sz w:val="18"/>
              </w:rPr>
            </w:pPr>
            <w:r>
              <w:rPr>
                <w:sz w:val="18"/>
              </w:rPr>
              <w:t>GPs)</w:t>
            </w:r>
            <w:r>
              <w:rPr>
                <w:spacing w:val="-2"/>
                <w:sz w:val="18"/>
              </w:rPr>
              <w:t> </w:t>
            </w:r>
            <w:r>
              <w:rPr>
                <w:sz w:val="18"/>
              </w:rPr>
              <w:t>(3)</w:t>
            </w:r>
          </w:p>
        </w:tc>
        <w:tc>
          <w:tcPr>
            <w:tcW w:w="2058" w:type="dxa"/>
            <w:tcBorders>
              <w:top w:val="single" w:sz="6" w:space="0" w:color="BEBEBE"/>
              <w:left w:val="single" w:sz="6" w:space="0" w:color="BEBEBE"/>
              <w:bottom w:val="single" w:sz="6" w:space="0" w:color="BEBEBE"/>
            </w:tcBorders>
            <w:shd w:val="clear" w:color="auto" w:fill="F1F1F1"/>
          </w:tcPr>
          <w:p>
            <w:pPr>
              <w:pStyle w:val="TableParagraph"/>
              <w:spacing w:before="114"/>
              <w:ind w:left="211" w:right="199"/>
              <w:jc w:val="center"/>
              <w:rPr>
                <w:sz w:val="18"/>
              </w:rPr>
            </w:pPr>
            <w:r>
              <w:rPr>
                <w:sz w:val="18"/>
              </w:rPr>
              <w:t>Large</w:t>
            </w:r>
            <w:r>
              <w:rPr>
                <w:spacing w:val="-5"/>
                <w:sz w:val="18"/>
              </w:rPr>
              <w:t> </w:t>
            </w:r>
            <w:r>
              <w:rPr>
                <w:sz w:val="18"/>
              </w:rPr>
              <w:t>Practice</w:t>
            </w:r>
            <w:r>
              <w:rPr>
                <w:spacing w:val="-4"/>
                <w:sz w:val="18"/>
              </w:rPr>
              <w:t> </w:t>
            </w:r>
            <w:r>
              <w:rPr>
                <w:sz w:val="18"/>
              </w:rPr>
              <w:t>(8+</w:t>
            </w:r>
          </w:p>
          <w:p>
            <w:pPr>
              <w:pStyle w:val="TableParagraph"/>
              <w:ind w:left="211" w:right="197"/>
              <w:jc w:val="center"/>
              <w:rPr>
                <w:sz w:val="18"/>
              </w:rPr>
            </w:pPr>
            <w:r>
              <w:rPr>
                <w:sz w:val="18"/>
              </w:rPr>
              <w:t>GPs)</w:t>
            </w:r>
            <w:r>
              <w:rPr>
                <w:spacing w:val="-2"/>
                <w:sz w:val="18"/>
              </w:rPr>
              <w:t> </w:t>
            </w:r>
            <w:r>
              <w:rPr>
                <w:sz w:val="18"/>
              </w:rPr>
              <w:t>(4)</w:t>
            </w:r>
          </w:p>
        </w:tc>
      </w:tr>
      <w:tr>
        <w:trPr>
          <w:trHeight w:val="445" w:hRule="atLeast"/>
        </w:trPr>
        <w:tc>
          <w:tcPr>
            <w:tcW w:w="2304" w:type="dxa"/>
            <w:tcBorders>
              <w:bottom w:val="single" w:sz="6" w:space="0" w:color="BEBEBE"/>
              <w:right w:val="single" w:sz="6" w:space="0" w:color="BEBEBE"/>
            </w:tcBorders>
          </w:tcPr>
          <w:p>
            <w:pPr>
              <w:pStyle w:val="TableParagraph"/>
              <w:spacing w:before="111"/>
              <w:ind w:left="137" w:right="128"/>
              <w:jc w:val="center"/>
              <w:rPr>
                <w:sz w:val="18"/>
              </w:rPr>
            </w:pPr>
            <w:r>
              <w:rPr>
                <w:sz w:val="18"/>
              </w:rPr>
              <w:t>GP</w:t>
            </w:r>
            <w:r>
              <w:rPr>
                <w:spacing w:val="-2"/>
                <w:sz w:val="18"/>
              </w:rPr>
              <w:t> </w:t>
            </w:r>
            <w:r>
              <w:rPr>
                <w:sz w:val="18"/>
              </w:rPr>
              <w:t>owned (1)</w:t>
            </w:r>
          </w:p>
        </w:tc>
        <w:tc>
          <w:tcPr>
            <w:tcW w:w="1716"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8"/>
              </w:rPr>
            </w:pPr>
          </w:p>
        </w:tc>
        <w:tc>
          <w:tcPr>
            <w:tcW w:w="2114"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8"/>
              </w:rPr>
            </w:pPr>
          </w:p>
        </w:tc>
        <w:tc>
          <w:tcPr>
            <w:tcW w:w="2263"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8"/>
              </w:rPr>
            </w:pPr>
          </w:p>
        </w:tc>
        <w:tc>
          <w:tcPr>
            <w:tcW w:w="2058" w:type="dxa"/>
            <w:tcBorders>
              <w:top w:val="single" w:sz="6" w:space="0" w:color="BEBEBE"/>
              <w:left w:val="single" w:sz="6" w:space="0" w:color="BEBEBE"/>
              <w:bottom w:val="single" w:sz="6" w:space="0" w:color="BEBEBE"/>
            </w:tcBorders>
          </w:tcPr>
          <w:p>
            <w:pPr>
              <w:pStyle w:val="TableParagraph"/>
              <w:rPr>
                <w:rFonts w:ascii="Times New Roman"/>
                <w:sz w:val="18"/>
              </w:rPr>
            </w:pPr>
          </w:p>
        </w:tc>
      </w:tr>
      <w:tr>
        <w:trPr>
          <w:trHeight w:val="446" w:hRule="atLeast"/>
        </w:trPr>
        <w:tc>
          <w:tcPr>
            <w:tcW w:w="2304" w:type="dxa"/>
            <w:tcBorders>
              <w:top w:val="single" w:sz="6" w:space="0" w:color="BEBEBE"/>
              <w:bottom w:val="single" w:sz="6" w:space="0" w:color="BEBEBE"/>
              <w:right w:val="single" w:sz="6" w:space="0" w:color="BEBEBE"/>
            </w:tcBorders>
          </w:tcPr>
          <w:p>
            <w:pPr>
              <w:pStyle w:val="TableParagraph"/>
              <w:spacing w:before="112"/>
              <w:ind w:left="137" w:right="128"/>
              <w:jc w:val="center"/>
              <w:rPr>
                <w:sz w:val="18"/>
              </w:rPr>
            </w:pPr>
            <w:r>
              <w:rPr>
                <w:sz w:val="18"/>
              </w:rPr>
              <w:t>Corporate</w:t>
            </w:r>
            <w:r>
              <w:rPr>
                <w:spacing w:val="-4"/>
                <w:sz w:val="18"/>
              </w:rPr>
              <w:t> </w:t>
            </w:r>
            <w:r>
              <w:rPr>
                <w:sz w:val="18"/>
              </w:rPr>
              <w:t>practice</w:t>
            </w:r>
            <w:r>
              <w:rPr>
                <w:spacing w:val="-4"/>
                <w:sz w:val="18"/>
              </w:rPr>
              <w:t> </w:t>
            </w:r>
            <w:r>
              <w:rPr>
                <w:sz w:val="18"/>
              </w:rPr>
              <w:t>(2)</w:t>
            </w:r>
          </w:p>
        </w:tc>
        <w:tc>
          <w:tcPr>
            <w:tcW w:w="1716"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8"/>
              </w:rPr>
            </w:pPr>
          </w:p>
        </w:tc>
        <w:tc>
          <w:tcPr>
            <w:tcW w:w="2114"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8"/>
              </w:rPr>
            </w:pPr>
          </w:p>
        </w:tc>
        <w:tc>
          <w:tcPr>
            <w:tcW w:w="2263"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8"/>
              </w:rPr>
            </w:pPr>
          </w:p>
        </w:tc>
        <w:tc>
          <w:tcPr>
            <w:tcW w:w="2058" w:type="dxa"/>
            <w:tcBorders>
              <w:top w:val="single" w:sz="6" w:space="0" w:color="BEBEBE"/>
              <w:left w:val="single" w:sz="6" w:space="0" w:color="BEBEBE"/>
              <w:bottom w:val="single" w:sz="6" w:space="0" w:color="BEBEBE"/>
            </w:tcBorders>
          </w:tcPr>
          <w:p>
            <w:pPr>
              <w:pStyle w:val="TableParagraph"/>
              <w:rPr>
                <w:rFonts w:ascii="Times New Roman"/>
                <w:sz w:val="18"/>
              </w:rPr>
            </w:pPr>
          </w:p>
        </w:tc>
      </w:tr>
      <w:tr>
        <w:trPr>
          <w:trHeight w:val="669" w:hRule="atLeast"/>
        </w:trPr>
        <w:tc>
          <w:tcPr>
            <w:tcW w:w="2304" w:type="dxa"/>
            <w:tcBorders>
              <w:top w:val="single" w:sz="6" w:space="0" w:color="BEBEBE"/>
              <w:right w:val="single" w:sz="6" w:space="0" w:color="BEBEBE"/>
            </w:tcBorders>
          </w:tcPr>
          <w:p>
            <w:pPr>
              <w:pStyle w:val="TableParagraph"/>
              <w:spacing w:before="114"/>
              <w:ind w:left="688" w:right="306" w:hanging="359"/>
              <w:rPr>
                <w:sz w:val="18"/>
              </w:rPr>
            </w:pPr>
            <w:r>
              <w:rPr>
                <w:sz w:val="18"/>
              </w:rPr>
              <w:t>Clinic operated by</w:t>
            </w:r>
            <w:r>
              <w:rPr>
                <w:spacing w:val="-47"/>
                <w:sz w:val="18"/>
              </w:rPr>
              <w:t> </w:t>
            </w:r>
            <w:r>
              <w:rPr>
                <w:sz w:val="18"/>
              </w:rPr>
              <w:t>ACCHS</w:t>
            </w:r>
            <w:r>
              <w:rPr>
                <w:spacing w:val="1"/>
                <w:sz w:val="18"/>
              </w:rPr>
              <w:t> </w:t>
            </w:r>
            <w:r>
              <w:rPr>
                <w:sz w:val="18"/>
              </w:rPr>
              <w:t>(3)</w:t>
            </w:r>
          </w:p>
        </w:tc>
        <w:tc>
          <w:tcPr>
            <w:tcW w:w="1716" w:type="dxa"/>
            <w:tcBorders>
              <w:top w:val="single" w:sz="6" w:space="0" w:color="BEBEBE"/>
              <w:left w:val="single" w:sz="6" w:space="0" w:color="BEBEBE"/>
              <w:right w:val="single" w:sz="6" w:space="0" w:color="BEBEBE"/>
            </w:tcBorders>
          </w:tcPr>
          <w:p>
            <w:pPr>
              <w:pStyle w:val="TableParagraph"/>
              <w:rPr>
                <w:rFonts w:ascii="Times New Roman"/>
                <w:sz w:val="18"/>
              </w:rPr>
            </w:pPr>
          </w:p>
        </w:tc>
        <w:tc>
          <w:tcPr>
            <w:tcW w:w="2114" w:type="dxa"/>
            <w:tcBorders>
              <w:top w:val="single" w:sz="6" w:space="0" w:color="BEBEBE"/>
              <w:left w:val="single" w:sz="6" w:space="0" w:color="BEBEBE"/>
              <w:right w:val="single" w:sz="6" w:space="0" w:color="BEBEBE"/>
            </w:tcBorders>
          </w:tcPr>
          <w:p>
            <w:pPr>
              <w:pStyle w:val="TableParagraph"/>
              <w:rPr>
                <w:rFonts w:ascii="Times New Roman"/>
                <w:sz w:val="18"/>
              </w:rPr>
            </w:pPr>
          </w:p>
        </w:tc>
        <w:tc>
          <w:tcPr>
            <w:tcW w:w="2263" w:type="dxa"/>
            <w:tcBorders>
              <w:top w:val="single" w:sz="6" w:space="0" w:color="BEBEBE"/>
              <w:left w:val="single" w:sz="6" w:space="0" w:color="BEBEBE"/>
              <w:right w:val="single" w:sz="6" w:space="0" w:color="BEBEBE"/>
            </w:tcBorders>
          </w:tcPr>
          <w:p>
            <w:pPr>
              <w:pStyle w:val="TableParagraph"/>
              <w:rPr>
                <w:rFonts w:ascii="Times New Roman"/>
                <w:sz w:val="18"/>
              </w:rPr>
            </w:pPr>
          </w:p>
        </w:tc>
        <w:tc>
          <w:tcPr>
            <w:tcW w:w="2058" w:type="dxa"/>
            <w:tcBorders>
              <w:top w:val="single" w:sz="6" w:space="0" w:color="BEBEBE"/>
              <w:left w:val="single" w:sz="6" w:space="0" w:color="BEBEBE"/>
            </w:tcBorders>
          </w:tcPr>
          <w:p>
            <w:pPr>
              <w:pStyle w:val="TableParagraph"/>
              <w:rPr>
                <w:rFonts w:ascii="Times New Roman"/>
                <w:sz w:val="18"/>
              </w:rPr>
            </w:pPr>
          </w:p>
        </w:tc>
      </w:tr>
    </w:tbl>
    <w:p>
      <w:pPr>
        <w:pStyle w:val="BodyText"/>
        <w:spacing w:before="10"/>
        <w:rPr>
          <w:i/>
        </w:rPr>
      </w:pPr>
    </w:p>
    <w:p>
      <w:pPr>
        <w:pStyle w:val="ListParagraph"/>
        <w:numPr>
          <w:ilvl w:val="0"/>
          <w:numId w:val="105"/>
        </w:numPr>
        <w:tabs>
          <w:tab w:pos="722" w:val="left" w:leader="none"/>
        </w:tabs>
        <w:spacing w:line="240" w:lineRule="auto" w:before="1" w:after="0"/>
        <w:ind w:left="721" w:right="0" w:hanging="302"/>
        <w:jc w:val="left"/>
        <w:rPr>
          <w:sz w:val="18"/>
        </w:rPr>
      </w:pPr>
      <w:r>
        <w:rPr>
          <w:sz w:val="18"/>
        </w:rPr>
        <w:t>What</w:t>
      </w:r>
      <w:r>
        <w:rPr>
          <w:spacing w:val="-5"/>
          <w:sz w:val="18"/>
        </w:rPr>
        <w:t> </w:t>
      </w:r>
      <w:r>
        <w:rPr>
          <w:sz w:val="18"/>
        </w:rPr>
        <w:t>other</w:t>
      </w:r>
      <w:r>
        <w:rPr>
          <w:spacing w:val="-2"/>
          <w:sz w:val="18"/>
        </w:rPr>
        <w:t> </w:t>
      </w:r>
      <w:r>
        <w:rPr>
          <w:sz w:val="18"/>
        </w:rPr>
        <w:t>characteristics</w:t>
      </w:r>
      <w:r>
        <w:rPr>
          <w:spacing w:val="-3"/>
          <w:sz w:val="18"/>
        </w:rPr>
        <w:t> </w:t>
      </w:r>
      <w:r>
        <w:rPr>
          <w:sz w:val="18"/>
        </w:rPr>
        <w:t>of</w:t>
      </w:r>
      <w:r>
        <w:rPr>
          <w:spacing w:val="-2"/>
          <w:sz w:val="18"/>
        </w:rPr>
        <w:t> </w:t>
      </w:r>
      <w:r>
        <w:rPr>
          <w:sz w:val="18"/>
        </w:rPr>
        <w:t>practices</w:t>
      </w:r>
      <w:r>
        <w:rPr>
          <w:spacing w:val="-5"/>
          <w:sz w:val="18"/>
        </w:rPr>
        <w:t> </w:t>
      </w:r>
      <w:r>
        <w:rPr>
          <w:sz w:val="18"/>
        </w:rPr>
        <w:t>impacted</w:t>
      </w:r>
      <w:r>
        <w:rPr>
          <w:spacing w:val="-3"/>
          <w:sz w:val="18"/>
        </w:rPr>
        <w:t> </w:t>
      </w:r>
      <w:r>
        <w:rPr>
          <w:sz w:val="18"/>
        </w:rPr>
        <w:t>the</w:t>
      </w:r>
      <w:r>
        <w:rPr>
          <w:spacing w:val="-3"/>
          <w:sz w:val="18"/>
        </w:rPr>
        <w:t> </w:t>
      </w:r>
      <w:r>
        <w:rPr>
          <w:sz w:val="18"/>
        </w:rPr>
        <w:t>level</w:t>
      </w:r>
      <w:r>
        <w:rPr>
          <w:spacing w:val="-2"/>
          <w:sz w:val="18"/>
        </w:rPr>
        <w:t> </w:t>
      </w:r>
      <w:r>
        <w:rPr>
          <w:sz w:val="18"/>
        </w:rPr>
        <w:t>of</w:t>
      </w:r>
      <w:r>
        <w:rPr>
          <w:spacing w:val="-4"/>
          <w:sz w:val="18"/>
        </w:rPr>
        <w:t> </w:t>
      </w:r>
      <w:r>
        <w:rPr>
          <w:sz w:val="18"/>
        </w:rPr>
        <w:t>input</w:t>
      </w:r>
      <w:r>
        <w:rPr>
          <w:spacing w:val="-4"/>
          <w:sz w:val="18"/>
        </w:rPr>
        <w:t> </w:t>
      </w:r>
      <w:r>
        <w:rPr>
          <w:sz w:val="18"/>
        </w:rPr>
        <w:t>from</w:t>
      </w:r>
      <w:r>
        <w:rPr>
          <w:spacing w:val="-6"/>
          <w:sz w:val="18"/>
        </w:rPr>
        <w:t> </w:t>
      </w:r>
      <w:r>
        <w:rPr>
          <w:sz w:val="18"/>
        </w:rPr>
        <w:t>the</w:t>
      </w:r>
      <w:r>
        <w:rPr>
          <w:spacing w:val="-2"/>
          <w:sz w:val="18"/>
        </w:rPr>
        <w:t> </w:t>
      </w:r>
      <w:r>
        <w:rPr>
          <w:sz w:val="18"/>
        </w:rPr>
        <w:t>PHN</w:t>
      </w:r>
      <w:r>
        <w:rPr>
          <w:spacing w:val="-4"/>
          <w:sz w:val="18"/>
        </w:rPr>
        <w:t> </w:t>
      </w:r>
      <w:r>
        <w:rPr>
          <w:sz w:val="18"/>
        </w:rPr>
        <w:t>for</w:t>
      </w:r>
      <w:r>
        <w:rPr>
          <w:spacing w:val="-3"/>
          <w:sz w:val="18"/>
        </w:rPr>
        <w:t> </w:t>
      </w:r>
      <w:r>
        <w:rPr>
          <w:sz w:val="18"/>
        </w:rPr>
        <w:t>facilitation,</w:t>
      </w:r>
      <w:r>
        <w:rPr>
          <w:spacing w:val="-4"/>
          <w:sz w:val="18"/>
        </w:rPr>
        <w:t> </w:t>
      </w:r>
      <w:r>
        <w:rPr>
          <w:sz w:val="18"/>
        </w:rPr>
        <w:t>training</w:t>
      </w:r>
      <w:r>
        <w:rPr>
          <w:spacing w:val="-4"/>
          <w:sz w:val="18"/>
        </w:rPr>
        <w:t> </w:t>
      </w:r>
      <w:r>
        <w:rPr>
          <w:sz w:val="18"/>
        </w:rPr>
        <w:t>or</w:t>
      </w:r>
      <w:r>
        <w:rPr>
          <w:spacing w:val="-5"/>
          <w:sz w:val="18"/>
        </w:rPr>
        <w:t> </w:t>
      </w:r>
      <w:r>
        <w:rPr>
          <w:sz w:val="18"/>
        </w:rPr>
        <w:t>support?</w:t>
      </w:r>
    </w:p>
    <w:p>
      <w:pPr>
        <w:pStyle w:val="BodyText"/>
        <w:spacing w:before="1"/>
        <w:rPr>
          <w:sz w:val="19"/>
        </w:rPr>
      </w:pPr>
    </w:p>
    <w:p>
      <w:pPr>
        <w:pStyle w:val="ListParagraph"/>
        <w:numPr>
          <w:ilvl w:val="0"/>
          <w:numId w:val="105"/>
        </w:numPr>
        <w:tabs>
          <w:tab w:pos="751" w:val="left" w:leader="none"/>
        </w:tabs>
        <w:spacing w:line="276" w:lineRule="auto" w:before="0" w:after="0"/>
        <w:ind w:left="420" w:right="1119" w:firstLine="0"/>
        <w:jc w:val="left"/>
        <w:rPr>
          <w:sz w:val="20"/>
        </w:rPr>
      </w:pPr>
      <w:r>
        <w:rPr>
          <w:sz w:val="20"/>
        </w:rPr>
        <w:t>Overall, how would rate the effectiveness of facilitation, training and support provided by the PHN to</w:t>
      </w:r>
      <w:r>
        <w:rPr>
          <w:spacing w:val="-53"/>
          <w:sz w:val="20"/>
        </w:rPr>
        <w:t> </w:t>
      </w:r>
      <w:r>
        <w:rPr>
          <w:sz w:val="20"/>
        </w:rPr>
        <w:t>assist practices</w:t>
      </w:r>
      <w:r>
        <w:rPr>
          <w:spacing w:val="-1"/>
          <w:sz w:val="20"/>
        </w:rPr>
        <w:t> </w:t>
      </w:r>
      <w:r>
        <w:rPr>
          <w:sz w:val="20"/>
        </w:rPr>
        <w:t>in</w:t>
      </w:r>
      <w:r>
        <w:rPr>
          <w:spacing w:val="-2"/>
          <w:sz w:val="20"/>
        </w:rPr>
        <w:t> </w:t>
      </w:r>
      <w:r>
        <w:rPr>
          <w:sz w:val="20"/>
        </w:rPr>
        <w:t>implementing</w:t>
      </w:r>
      <w:r>
        <w:rPr>
          <w:spacing w:val="-3"/>
          <w:sz w:val="20"/>
        </w:rPr>
        <w:t> </w:t>
      </w:r>
      <w:r>
        <w:rPr>
          <w:sz w:val="20"/>
        </w:rPr>
        <w:t>the</w:t>
      </w:r>
      <w:r>
        <w:rPr>
          <w:spacing w:val="-2"/>
          <w:sz w:val="20"/>
        </w:rPr>
        <w:t> </w:t>
      </w:r>
      <w:r>
        <w:rPr>
          <w:sz w:val="20"/>
        </w:rPr>
        <w:t>HCH model?</w:t>
      </w:r>
    </w:p>
    <w:p>
      <w:pPr>
        <w:pStyle w:val="BodyText"/>
        <w:spacing w:before="1"/>
        <w:rPr>
          <w:sz w:val="16"/>
        </w:rPr>
      </w:pPr>
    </w:p>
    <w:p>
      <w:pPr>
        <w:spacing w:before="1"/>
        <w:ind w:left="1771" w:right="0" w:firstLine="0"/>
        <w:jc w:val="left"/>
        <w:rPr>
          <w:sz w:val="18"/>
        </w:rPr>
      </w:pPr>
      <w:r>
        <w:rPr/>
        <w:drawing>
          <wp:anchor distT="0" distB="0" distL="0" distR="0" allowOverlap="1" layoutInCell="1" locked="0" behindDoc="0" simplePos="0" relativeHeight="16131584">
            <wp:simplePos x="0" y="0"/>
            <wp:positionH relativeFrom="page">
              <wp:posOffset>1102145</wp:posOffset>
            </wp:positionH>
            <wp:positionV relativeFrom="paragraph">
              <wp:posOffset>44910</wp:posOffset>
            </wp:positionV>
            <wp:extent cx="58380" cy="73869"/>
            <wp:effectExtent l="0" t="0" r="0" b="0"/>
            <wp:wrapNone/>
            <wp:docPr id="1985" name="image14.png"/>
            <wp:cNvGraphicFramePr>
              <a:graphicFrameLocks noChangeAspect="1"/>
            </wp:cNvGraphicFramePr>
            <a:graphic>
              <a:graphicData uri="http://schemas.openxmlformats.org/drawingml/2006/picture">
                <pic:pic>
                  <pic:nvPicPr>
                    <pic:cNvPr id="1986"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Very</w:t>
      </w:r>
      <w:r>
        <w:rPr>
          <w:spacing w:val="-5"/>
          <w:sz w:val="18"/>
        </w:rPr>
        <w:t> </w:t>
      </w:r>
      <w:r>
        <w:rPr>
          <w:sz w:val="18"/>
        </w:rPr>
        <w:t>effective</w:t>
      </w:r>
      <w:r>
        <w:rPr>
          <w:spacing w:val="45"/>
          <w:sz w:val="18"/>
        </w:rPr>
        <w:t> </w:t>
      </w:r>
      <w:r>
        <w:rPr>
          <w:sz w:val="18"/>
        </w:rPr>
        <w:t>(1)</w:t>
      </w:r>
    </w:p>
    <w:p>
      <w:pPr>
        <w:spacing w:before="0"/>
        <w:ind w:left="1771" w:right="0" w:firstLine="0"/>
        <w:jc w:val="left"/>
        <w:rPr>
          <w:sz w:val="18"/>
        </w:rPr>
      </w:pPr>
      <w:r>
        <w:rPr/>
        <w:drawing>
          <wp:anchor distT="0" distB="0" distL="0" distR="0" allowOverlap="1" layoutInCell="1" locked="0" behindDoc="0" simplePos="0" relativeHeight="16132096">
            <wp:simplePos x="0" y="0"/>
            <wp:positionH relativeFrom="page">
              <wp:posOffset>1102145</wp:posOffset>
            </wp:positionH>
            <wp:positionV relativeFrom="paragraph">
              <wp:posOffset>44469</wp:posOffset>
            </wp:positionV>
            <wp:extent cx="58380" cy="72151"/>
            <wp:effectExtent l="0" t="0" r="0" b="0"/>
            <wp:wrapNone/>
            <wp:docPr id="1987" name="image13.png"/>
            <wp:cNvGraphicFramePr>
              <a:graphicFrameLocks noChangeAspect="1"/>
            </wp:cNvGraphicFramePr>
            <a:graphic>
              <a:graphicData uri="http://schemas.openxmlformats.org/drawingml/2006/picture">
                <pic:pic>
                  <pic:nvPicPr>
                    <pic:cNvPr id="198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Moderately</w:t>
      </w:r>
      <w:r>
        <w:rPr>
          <w:spacing w:val="-7"/>
          <w:sz w:val="18"/>
        </w:rPr>
        <w:t> </w:t>
      </w:r>
      <w:r>
        <w:rPr>
          <w:sz w:val="18"/>
        </w:rPr>
        <w:t>effective</w:t>
      </w:r>
      <w:r>
        <w:rPr>
          <w:spacing w:val="39"/>
          <w:sz w:val="18"/>
        </w:rPr>
        <w:t> </w:t>
      </w:r>
      <w:r>
        <w:rPr>
          <w:sz w:val="18"/>
        </w:rPr>
        <w:t>(2)</w:t>
      </w:r>
    </w:p>
    <w:p>
      <w:pPr>
        <w:spacing w:before="0"/>
        <w:ind w:left="1771" w:right="0" w:firstLine="0"/>
        <w:jc w:val="left"/>
        <w:rPr>
          <w:sz w:val="18"/>
        </w:rPr>
      </w:pPr>
      <w:r>
        <w:rPr/>
        <w:drawing>
          <wp:anchor distT="0" distB="0" distL="0" distR="0" allowOverlap="1" layoutInCell="1" locked="0" behindDoc="0" simplePos="0" relativeHeight="16132608">
            <wp:simplePos x="0" y="0"/>
            <wp:positionH relativeFrom="page">
              <wp:posOffset>1102145</wp:posOffset>
            </wp:positionH>
            <wp:positionV relativeFrom="paragraph">
              <wp:posOffset>44468</wp:posOffset>
            </wp:positionV>
            <wp:extent cx="58380" cy="72151"/>
            <wp:effectExtent l="0" t="0" r="0" b="0"/>
            <wp:wrapNone/>
            <wp:docPr id="1989" name="image13.png"/>
            <wp:cNvGraphicFramePr>
              <a:graphicFrameLocks noChangeAspect="1"/>
            </wp:cNvGraphicFramePr>
            <a:graphic>
              <a:graphicData uri="http://schemas.openxmlformats.org/drawingml/2006/picture">
                <pic:pic>
                  <pic:nvPicPr>
                    <pic:cNvPr id="199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Limited</w:t>
      </w:r>
      <w:r>
        <w:rPr>
          <w:spacing w:val="-7"/>
          <w:sz w:val="18"/>
        </w:rPr>
        <w:t> </w:t>
      </w:r>
      <w:r>
        <w:rPr>
          <w:sz w:val="18"/>
        </w:rPr>
        <w:t>effectiveness</w:t>
      </w:r>
      <w:r>
        <w:rPr>
          <w:spacing w:val="39"/>
          <w:sz w:val="18"/>
        </w:rPr>
        <w:t> </w:t>
      </w:r>
      <w:r>
        <w:rPr>
          <w:sz w:val="18"/>
        </w:rPr>
        <w:t>(3)</w:t>
      </w:r>
    </w:p>
    <w:p>
      <w:pPr>
        <w:spacing w:before="0"/>
        <w:ind w:left="1771" w:right="0" w:firstLine="0"/>
        <w:jc w:val="left"/>
        <w:rPr>
          <w:sz w:val="18"/>
        </w:rPr>
      </w:pPr>
      <w:r>
        <w:rPr/>
        <w:drawing>
          <wp:anchor distT="0" distB="0" distL="0" distR="0" allowOverlap="1" layoutInCell="1" locked="0" behindDoc="0" simplePos="0" relativeHeight="16133120">
            <wp:simplePos x="0" y="0"/>
            <wp:positionH relativeFrom="page">
              <wp:posOffset>1102145</wp:posOffset>
            </wp:positionH>
            <wp:positionV relativeFrom="paragraph">
              <wp:posOffset>44275</wp:posOffset>
            </wp:positionV>
            <wp:extent cx="58380" cy="73869"/>
            <wp:effectExtent l="0" t="0" r="0" b="0"/>
            <wp:wrapNone/>
            <wp:docPr id="1991" name="image14.png"/>
            <wp:cNvGraphicFramePr>
              <a:graphicFrameLocks noChangeAspect="1"/>
            </wp:cNvGraphicFramePr>
            <a:graphic>
              <a:graphicData uri="http://schemas.openxmlformats.org/drawingml/2006/picture">
                <pic:pic>
                  <pic:nvPicPr>
                    <pic:cNvPr id="1992"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Not</w:t>
      </w:r>
      <w:r>
        <w:rPr>
          <w:spacing w:val="-5"/>
          <w:sz w:val="18"/>
        </w:rPr>
        <w:t> </w:t>
      </w:r>
      <w:r>
        <w:rPr>
          <w:sz w:val="18"/>
        </w:rPr>
        <w:t>effective</w:t>
      </w:r>
      <w:r>
        <w:rPr>
          <w:spacing w:val="46"/>
          <w:sz w:val="18"/>
        </w:rPr>
        <w:t> </w:t>
      </w:r>
      <w:r>
        <w:rPr>
          <w:sz w:val="18"/>
        </w:rPr>
        <w:t>(4)</w:t>
      </w:r>
    </w:p>
    <w:p>
      <w:pPr>
        <w:pStyle w:val="BodyText"/>
        <w:spacing w:before="9"/>
        <w:rPr>
          <w:sz w:val="14"/>
        </w:rPr>
      </w:pPr>
    </w:p>
    <w:p>
      <w:pPr>
        <w:pStyle w:val="ListParagraph"/>
        <w:numPr>
          <w:ilvl w:val="0"/>
          <w:numId w:val="105"/>
        </w:numPr>
        <w:tabs>
          <w:tab w:pos="722" w:val="left" w:leader="none"/>
        </w:tabs>
        <w:spacing w:line="273" w:lineRule="auto" w:before="101" w:after="0"/>
        <w:ind w:left="420" w:right="1349" w:firstLine="0"/>
        <w:jc w:val="left"/>
        <w:rPr>
          <w:sz w:val="18"/>
        </w:rPr>
      </w:pPr>
      <w:r>
        <w:rPr>
          <w:sz w:val="18"/>
        </w:rPr>
        <w:t>What are the top three factors that contributed to effective facilitation, training and support provided to HCH</w:t>
      </w:r>
      <w:r>
        <w:rPr>
          <w:spacing w:val="-48"/>
          <w:sz w:val="18"/>
        </w:rPr>
        <w:t> </w:t>
      </w:r>
      <w:r>
        <w:rPr>
          <w:sz w:val="18"/>
        </w:rPr>
        <w:t>practices?</w:t>
      </w:r>
    </w:p>
    <w:p>
      <w:pPr>
        <w:pStyle w:val="BodyText"/>
        <w:spacing w:before="4"/>
        <w:rPr>
          <w:sz w:val="8"/>
        </w:rPr>
      </w:pPr>
    </w:p>
    <w:p>
      <w:pPr>
        <w:tabs>
          <w:tab w:pos="7224" w:val="left" w:leader="none"/>
        </w:tabs>
        <w:spacing w:before="100"/>
        <w:ind w:left="1771" w:right="0" w:firstLine="0"/>
        <w:jc w:val="left"/>
        <w:rPr>
          <w:sz w:val="18"/>
        </w:rPr>
      </w:pPr>
      <w:r>
        <w:rPr/>
        <w:drawing>
          <wp:anchor distT="0" distB="0" distL="0" distR="0" allowOverlap="1" layoutInCell="1" locked="0" behindDoc="0" simplePos="0" relativeHeight="16133632">
            <wp:simplePos x="0" y="0"/>
            <wp:positionH relativeFrom="page">
              <wp:posOffset>1102145</wp:posOffset>
            </wp:positionH>
            <wp:positionV relativeFrom="paragraph">
              <wp:posOffset>107714</wp:posOffset>
            </wp:positionV>
            <wp:extent cx="58380" cy="72151"/>
            <wp:effectExtent l="0" t="0" r="0" b="0"/>
            <wp:wrapNone/>
            <wp:docPr id="1993" name="image13.png"/>
            <wp:cNvGraphicFramePr>
              <a:graphicFrameLocks noChangeAspect="1"/>
            </wp:cNvGraphicFramePr>
            <a:graphic>
              <a:graphicData uri="http://schemas.openxmlformats.org/drawingml/2006/picture">
                <pic:pic>
                  <pic:nvPicPr>
                    <pic:cNvPr id="199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Factor</w:t>
      </w:r>
      <w:r>
        <w:rPr>
          <w:spacing w:val="-4"/>
          <w:sz w:val="18"/>
        </w:rPr>
        <w:t> </w:t>
      </w:r>
      <w:r>
        <w:rPr>
          <w:sz w:val="18"/>
        </w:rPr>
        <w:t>1</w:t>
      </w:r>
      <w:r>
        <w:rPr>
          <w:spacing w:val="46"/>
          <w:sz w:val="18"/>
        </w:rPr>
        <w:t> </w:t>
      </w:r>
      <w:r>
        <w:rPr>
          <w:sz w:val="18"/>
        </w:rPr>
        <w:t>(1) </w:t>
      </w:r>
      <w:r>
        <w:rPr>
          <w:sz w:val="18"/>
          <w:u w:val="single" w:color="BDBDBD"/>
        </w:rPr>
        <w:t> </w:t>
        <w:tab/>
      </w:r>
    </w:p>
    <w:p>
      <w:pPr>
        <w:tabs>
          <w:tab w:pos="7224" w:val="left" w:leader="none"/>
        </w:tabs>
        <w:spacing w:before="0"/>
        <w:ind w:left="1771" w:right="0" w:firstLine="0"/>
        <w:jc w:val="left"/>
        <w:rPr>
          <w:sz w:val="18"/>
        </w:rPr>
      </w:pPr>
      <w:r>
        <w:rPr/>
        <w:drawing>
          <wp:anchor distT="0" distB="0" distL="0" distR="0" allowOverlap="1" layoutInCell="1" locked="0" behindDoc="0" simplePos="0" relativeHeight="16134144">
            <wp:simplePos x="0" y="0"/>
            <wp:positionH relativeFrom="page">
              <wp:posOffset>1102145</wp:posOffset>
            </wp:positionH>
            <wp:positionV relativeFrom="paragraph">
              <wp:posOffset>44215</wp:posOffset>
            </wp:positionV>
            <wp:extent cx="58380" cy="72151"/>
            <wp:effectExtent l="0" t="0" r="0" b="0"/>
            <wp:wrapNone/>
            <wp:docPr id="1995" name="image13.png"/>
            <wp:cNvGraphicFramePr>
              <a:graphicFrameLocks noChangeAspect="1"/>
            </wp:cNvGraphicFramePr>
            <a:graphic>
              <a:graphicData uri="http://schemas.openxmlformats.org/drawingml/2006/picture">
                <pic:pic>
                  <pic:nvPicPr>
                    <pic:cNvPr id="199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Factor</w:t>
      </w:r>
      <w:r>
        <w:rPr>
          <w:spacing w:val="-4"/>
          <w:sz w:val="18"/>
        </w:rPr>
        <w:t> </w:t>
      </w:r>
      <w:r>
        <w:rPr>
          <w:sz w:val="18"/>
        </w:rPr>
        <w:t>2</w:t>
      </w:r>
      <w:r>
        <w:rPr>
          <w:spacing w:val="46"/>
          <w:sz w:val="18"/>
        </w:rPr>
        <w:t> </w:t>
      </w:r>
      <w:r>
        <w:rPr>
          <w:sz w:val="18"/>
        </w:rPr>
        <w:t>(2) </w:t>
      </w:r>
      <w:r>
        <w:rPr>
          <w:sz w:val="18"/>
          <w:u w:val="single" w:color="BDBDBD"/>
        </w:rPr>
        <w:t> </w:t>
        <w:tab/>
      </w:r>
    </w:p>
    <w:p>
      <w:pPr>
        <w:tabs>
          <w:tab w:pos="7224" w:val="left" w:leader="none"/>
        </w:tabs>
        <w:spacing w:before="0"/>
        <w:ind w:left="1771" w:right="0" w:firstLine="0"/>
        <w:jc w:val="left"/>
        <w:rPr>
          <w:sz w:val="18"/>
        </w:rPr>
      </w:pPr>
      <w:r>
        <w:rPr/>
        <w:drawing>
          <wp:anchor distT="0" distB="0" distL="0" distR="0" allowOverlap="1" layoutInCell="1" locked="0" behindDoc="0" simplePos="0" relativeHeight="16134656">
            <wp:simplePos x="0" y="0"/>
            <wp:positionH relativeFrom="page">
              <wp:posOffset>1102145</wp:posOffset>
            </wp:positionH>
            <wp:positionV relativeFrom="paragraph">
              <wp:posOffset>44021</wp:posOffset>
            </wp:positionV>
            <wp:extent cx="58380" cy="73869"/>
            <wp:effectExtent l="0" t="0" r="0" b="0"/>
            <wp:wrapNone/>
            <wp:docPr id="1997" name="image14.png"/>
            <wp:cNvGraphicFramePr>
              <a:graphicFrameLocks noChangeAspect="1"/>
            </wp:cNvGraphicFramePr>
            <a:graphic>
              <a:graphicData uri="http://schemas.openxmlformats.org/drawingml/2006/picture">
                <pic:pic>
                  <pic:nvPicPr>
                    <pic:cNvPr id="1998"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Factor</w:t>
      </w:r>
      <w:r>
        <w:rPr>
          <w:spacing w:val="-4"/>
          <w:sz w:val="18"/>
        </w:rPr>
        <w:t> </w:t>
      </w:r>
      <w:r>
        <w:rPr>
          <w:sz w:val="18"/>
        </w:rPr>
        <w:t>3</w:t>
      </w:r>
      <w:r>
        <w:rPr>
          <w:spacing w:val="46"/>
          <w:sz w:val="18"/>
        </w:rPr>
        <w:t> </w:t>
      </w:r>
      <w:r>
        <w:rPr>
          <w:sz w:val="18"/>
        </w:rPr>
        <w:t>(3) </w:t>
      </w:r>
      <w:r>
        <w:rPr>
          <w:sz w:val="18"/>
          <w:u w:val="single" w:color="BDBDBD"/>
        </w:rPr>
        <w:t> </w:t>
        <w:tab/>
      </w:r>
    </w:p>
    <w:p>
      <w:pPr>
        <w:pStyle w:val="BodyText"/>
        <w:spacing w:before="9"/>
        <w:rPr>
          <w:sz w:val="14"/>
        </w:rPr>
      </w:pPr>
    </w:p>
    <w:p>
      <w:pPr>
        <w:pStyle w:val="ListParagraph"/>
        <w:numPr>
          <w:ilvl w:val="0"/>
          <w:numId w:val="105"/>
        </w:numPr>
        <w:tabs>
          <w:tab w:pos="723" w:val="left" w:leader="none"/>
        </w:tabs>
        <w:spacing w:line="276" w:lineRule="auto" w:before="100" w:after="0"/>
        <w:ind w:left="420" w:right="1080" w:firstLine="0"/>
        <w:jc w:val="left"/>
        <w:rPr>
          <w:sz w:val="18"/>
        </w:rPr>
      </w:pPr>
      <w:r>
        <w:rPr>
          <w:sz w:val="18"/>
        </w:rPr>
        <w:t>What are the top three factors that have made it difficult to provide effective facilitation, training and support to</w:t>
      </w:r>
      <w:r>
        <w:rPr>
          <w:spacing w:val="-47"/>
          <w:sz w:val="18"/>
        </w:rPr>
        <w:t> </w:t>
      </w:r>
      <w:r>
        <w:rPr>
          <w:sz w:val="18"/>
        </w:rPr>
        <w:t>HCH</w:t>
      </w:r>
      <w:r>
        <w:rPr>
          <w:spacing w:val="-1"/>
          <w:sz w:val="18"/>
        </w:rPr>
        <w:t> </w:t>
      </w:r>
      <w:r>
        <w:rPr>
          <w:sz w:val="18"/>
        </w:rPr>
        <w:t>practices?</w:t>
      </w:r>
    </w:p>
    <w:p>
      <w:pPr>
        <w:pStyle w:val="BodyText"/>
        <w:spacing w:before="3"/>
        <w:rPr>
          <w:sz w:val="8"/>
        </w:rPr>
      </w:pPr>
    </w:p>
    <w:p>
      <w:pPr>
        <w:tabs>
          <w:tab w:pos="7224" w:val="left" w:leader="none"/>
        </w:tabs>
        <w:spacing w:before="100"/>
        <w:ind w:left="1771" w:right="0" w:firstLine="0"/>
        <w:jc w:val="left"/>
        <w:rPr>
          <w:sz w:val="18"/>
        </w:rPr>
      </w:pPr>
      <w:r>
        <w:rPr/>
        <w:drawing>
          <wp:anchor distT="0" distB="0" distL="0" distR="0" allowOverlap="1" layoutInCell="1" locked="0" behindDoc="0" simplePos="0" relativeHeight="16135168">
            <wp:simplePos x="0" y="0"/>
            <wp:positionH relativeFrom="page">
              <wp:posOffset>1102145</wp:posOffset>
            </wp:positionH>
            <wp:positionV relativeFrom="paragraph">
              <wp:posOffset>107714</wp:posOffset>
            </wp:positionV>
            <wp:extent cx="58380" cy="72151"/>
            <wp:effectExtent l="0" t="0" r="0" b="0"/>
            <wp:wrapNone/>
            <wp:docPr id="1999" name="image13.png"/>
            <wp:cNvGraphicFramePr>
              <a:graphicFrameLocks noChangeAspect="1"/>
            </wp:cNvGraphicFramePr>
            <a:graphic>
              <a:graphicData uri="http://schemas.openxmlformats.org/drawingml/2006/picture">
                <pic:pic>
                  <pic:nvPicPr>
                    <pic:cNvPr id="200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Factor</w:t>
      </w:r>
      <w:r>
        <w:rPr>
          <w:spacing w:val="-4"/>
          <w:sz w:val="18"/>
        </w:rPr>
        <w:t> </w:t>
      </w:r>
      <w:r>
        <w:rPr>
          <w:sz w:val="18"/>
        </w:rPr>
        <w:t>1</w:t>
      </w:r>
      <w:r>
        <w:rPr>
          <w:spacing w:val="46"/>
          <w:sz w:val="18"/>
        </w:rPr>
        <w:t> </w:t>
      </w:r>
      <w:r>
        <w:rPr>
          <w:sz w:val="18"/>
        </w:rPr>
        <w:t>(1) </w:t>
      </w:r>
      <w:r>
        <w:rPr>
          <w:sz w:val="18"/>
          <w:u w:val="single" w:color="BDBDBD"/>
        </w:rPr>
        <w:t> </w:t>
        <w:tab/>
      </w:r>
    </w:p>
    <w:p>
      <w:pPr>
        <w:tabs>
          <w:tab w:pos="7224" w:val="left" w:leader="none"/>
        </w:tabs>
        <w:spacing w:before="0"/>
        <w:ind w:left="1771" w:right="0" w:firstLine="0"/>
        <w:jc w:val="left"/>
        <w:rPr>
          <w:sz w:val="18"/>
        </w:rPr>
      </w:pPr>
      <w:r>
        <w:rPr/>
        <w:drawing>
          <wp:anchor distT="0" distB="0" distL="0" distR="0" allowOverlap="1" layoutInCell="1" locked="0" behindDoc="0" simplePos="0" relativeHeight="16135680">
            <wp:simplePos x="0" y="0"/>
            <wp:positionH relativeFrom="page">
              <wp:posOffset>1102145</wp:posOffset>
            </wp:positionH>
            <wp:positionV relativeFrom="paragraph">
              <wp:posOffset>44214</wp:posOffset>
            </wp:positionV>
            <wp:extent cx="58380" cy="72151"/>
            <wp:effectExtent l="0" t="0" r="0" b="0"/>
            <wp:wrapNone/>
            <wp:docPr id="2001" name="image13.png"/>
            <wp:cNvGraphicFramePr>
              <a:graphicFrameLocks noChangeAspect="1"/>
            </wp:cNvGraphicFramePr>
            <a:graphic>
              <a:graphicData uri="http://schemas.openxmlformats.org/drawingml/2006/picture">
                <pic:pic>
                  <pic:nvPicPr>
                    <pic:cNvPr id="200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Factor</w:t>
      </w:r>
      <w:r>
        <w:rPr>
          <w:spacing w:val="-3"/>
          <w:sz w:val="18"/>
        </w:rPr>
        <w:t> </w:t>
      </w:r>
      <w:r>
        <w:rPr>
          <w:sz w:val="18"/>
        </w:rPr>
        <w:t>2</w:t>
      </w:r>
      <w:r>
        <w:rPr>
          <w:spacing w:val="46"/>
          <w:sz w:val="18"/>
        </w:rPr>
        <w:t> </w:t>
      </w:r>
      <w:r>
        <w:rPr>
          <w:sz w:val="18"/>
        </w:rPr>
        <w:t>(2)</w:t>
      </w:r>
      <w:r>
        <w:rPr>
          <w:spacing w:val="-1"/>
          <w:sz w:val="18"/>
        </w:rPr>
        <w:t> </w:t>
      </w:r>
      <w:r>
        <w:rPr>
          <w:sz w:val="18"/>
          <w:u w:val="single" w:color="BDBDBD"/>
        </w:rPr>
        <w:t> </w:t>
        <w:tab/>
      </w:r>
    </w:p>
    <w:p>
      <w:pPr>
        <w:tabs>
          <w:tab w:pos="7224" w:val="left" w:leader="none"/>
        </w:tabs>
        <w:spacing w:before="1"/>
        <w:ind w:left="1771" w:right="0" w:firstLine="0"/>
        <w:jc w:val="left"/>
        <w:rPr>
          <w:sz w:val="18"/>
        </w:rPr>
      </w:pPr>
      <w:r>
        <w:rPr/>
        <w:drawing>
          <wp:anchor distT="0" distB="0" distL="0" distR="0" allowOverlap="1" layoutInCell="1" locked="0" behindDoc="0" simplePos="0" relativeHeight="16136192">
            <wp:simplePos x="0" y="0"/>
            <wp:positionH relativeFrom="page">
              <wp:posOffset>1102145</wp:posOffset>
            </wp:positionH>
            <wp:positionV relativeFrom="paragraph">
              <wp:posOffset>44468</wp:posOffset>
            </wp:positionV>
            <wp:extent cx="58380" cy="72151"/>
            <wp:effectExtent l="0" t="0" r="0" b="0"/>
            <wp:wrapNone/>
            <wp:docPr id="2003" name="image13.png"/>
            <wp:cNvGraphicFramePr>
              <a:graphicFrameLocks noChangeAspect="1"/>
            </wp:cNvGraphicFramePr>
            <a:graphic>
              <a:graphicData uri="http://schemas.openxmlformats.org/drawingml/2006/picture">
                <pic:pic>
                  <pic:nvPicPr>
                    <pic:cNvPr id="200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Factor</w:t>
      </w:r>
      <w:r>
        <w:rPr>
          <w:spacing w:val="-4"/>
          <w:sz w:val="18"/>
        </w:rPr>
        <w:t> </w:t>
      </w:r>
      <w:r>
        <w:rPr>
          <w:sz w:val="18"/>
        </w:rPr>
        <w:t>3</w:t>
      </w:r>
      <w:r>
        <w:rPr>
          <w:spacing w:val="46"/>
          <w:sz w:val="18"/>
        </w:rPr>
        <w:t> </w:t>
      </w:r>
      <w:r>
        <w:rPr>
          <w:sz w:val="18"/>
        </w:rPr>
        <w:t>(3) </w:t>
      </w:r>
      <w:r>
        <w:rPr>
          <w:sz w:val="18"/>
          <w:u w:val="single" w:color="BDBDBD"/>
        </w:rPr>
        <w:t> </w:t>
        <w:tab/>
      </w:r>
    </w:p>
    <w:p>
      <w:pPr>
        <w:pStyle w:val="BodyText"/>
        <w:spacing w:before="6"/>
        <w:rPr>
          <w:sz w:val="14"/>
        </w:rPr>
      </w:pPr>
    </w:p>
    <w:p>
      <w:pPr>
        <w:pStyle w:val="ListParagraph"/>
        <w:numPr>
          <w:ilvl w:val="0"/>
          <w:numId w:val="105"/>
        </w:numPr>
        <w:tabs>
          <w:tab w:pos="718" w:val="left" w:leader="none"/>
        </w:tabs>
        <w:spacing w:line="276" w:lineRule="auto" w:before="100" w:after="0"/>
        <w:ind w:left="420" w:right="989" w:firstLine="0"/>
        <w:jc w:val="left"/>
        <w:rPr>
          <w:sz w:val="18"/>
        </w:rPr>
      </w:pPr>
      <w:r>
        <w:rPr>
          <w:sz w:val="18"/>
        </w:rPr>
        <w:t>If the HCH program were to be extended to other practices in your PHN, what would be the top three changes to</w:t>
      </w:r>
      <w:r>
        <w:rPr>
          <w:spacing w:val="-48"/>
          <w:sz w:val="18"/>
        </w:rPr>
        <w:t> </w:t>
      </w:r>
      <w:r>
        <w:rPr>
          <w:sz w:val="18"/>
        </w:rPr>
        <w:t>the</w:t>
      </w:r>
      <w:r>
        <w:rPr>
          <w:spacing w:val="-1"/>
          <w:sz w:val="18"/>
        </w:rPr>
        <w:t> </w:t>
      </w:r>
      <w:r>
        <w:rPr>
          <w:sz w:val="18"/>
        </w:rPr>
        <w:t>PHN</w:t>
      </w:r>
      <w:r>
        <w:rPr>
          <w:spacing w:val="-2"/>
          <w:sz w:val="18"/>
        </w:rPr>
        <w:t> </w:t>
      </w:r>
      <w:r>
        <w:rPr>
          <w:sz w:val="18"/>
        </w:rPr>
        <w:t>strategy</w:t>
      </w:r>
      <w:r>
        <w:rPr>
          <w:spacing w:val="-2"/>
          <w:sz w:val="18"/>
        </w:rPr>
        <w:t> </w:t>
      </w:r>
      <w:r>
        <w:rPr>
          <w:sz w:val="18"/>
        </w:rPr>
        <w:t>you would</w:t>
      </w:r>
      <w:r>
        <w:rPr>
          <w:spacing w:val="1"/>
          <w:sz w:val="18"/>
        </w:rPr>
        <w:t> </w:t>
      </w:r>
      <w:r>
        <w:rPr>
          <w:sz w:val="18"/>
        </w:rPr>
        <w:t>consider</w:t>
      </w:r>
      <w:r>
        <w:rPr>
          <w:spacing w:val="-1"/>
          <w:sz w:val="18"/>
        </w:rPr>
        <w:t> </w:t>
      </w:r>
      <w:r>
        <w:rPr>
          <w:sz w:val="18"/>
        </w:rPr>
        <w:t>to</w:t>
      </w:r>
      <w:r>
        <w:rPr>
          <w:spacing w:val="-1"/>
          <w:sz w:val="18"/>
        </w:rPr>
        <w:t> </w:t>
      </w:r>
      <w:r>
        <w:rPr>
          <w:sz w:val="18"/>
        </w:rPr>
        <w:t>support/facilitate</w:t>
      </w:r>
      <w:r>
        <w:rPr>
          <w:spacing w:val="-1"/>
          <w:sz w:val="18"/>
        </w:rPr>
        <w:t> </w:t>
      </w:r>
      <w:r>
        <w:rPr>
          <w:sz w:val="18"/>
        </w:rPr>
        <w:t>implementation?</w:t>
      </w:r>
    </w:p>
    <w:p>
      <w:pPr>
        <w:pStyle w:val="BodyText"/>
        <w:spacing w:before="3"/>
        <w:rPr>
          <w:sz w:val="8"/>
        </w:rPr>
      </w:pPr>
    </w:p>
    <w:p>
      <w:pPr>
        <w:tabs>
          <w:tab w:pos="7392" w:val="left" w:leader="none"/>
        </w:tabs>
        <w:spacing w:before="100"/>
        <w:ind w:left="1771" w:right="0" w:firstLine="0"/>
        <w:jc w:val="left"/>
        <w:rPr>
          <w:sz w:val="18"/>
        </w:rPr>
      </w:pPr>
      <w:r>
        <w:rPr/>
        <w:drawing>
          <wp:anchor distT="0" distB="0" distL="0" distR="0" allowOverlap="1" layoutInCell="1" locked="0" behindDoc="0" simplePos="0" relativeHeight="16136704">
            <wp:simplePos x="0" y="0"/>
            <wp:positionH relativeFrom="page">
              <wp:posOffset>1102145</wp:posOffset>
            </wp:positionH>
            <wp:positionV relativeFrom="paragraph">
              <wp:posOffset>107333</wp:posOffset>
            </wp:positionV>
            <wp:extent cx="58380" cy="72151"/>
            <wp:effectExtent l="0" t="0" r="0" b="0"/>
            <wp:wrapNone/>
            <wp:docPr id="2005" name="image13.png"/>
            <wp:cNvGraphicFramePr>
              <a:graphicFrameLocks noChangeAspect="1"/>
            </wp:cNvGraphicFramePr>
            <a:graphic>
              <a:graphicData uri="http://schemas.openxmlformats.org/drawingml/2006/picture">
                <pic:pic>
                  <pic:nvPicPr>
                    <pic:cNvPr id="200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Change</w:t>
      </w:r>
      <w:r>
        <w:rPr>
          <w:spacing w:val="-3"/>
          <w:sz w:val="18"/>
        </w:rPr>
        <w:t> </w:t>
      </w:r>
      <w:r>
        <w:rPr>
          <w:sz w:val="18"/>
        </w:rPr>
        <w:t>1</w:t>
      </w:r>
      <w:r>
        <w:rPr>
          <w:spacing w:val="47"/>
          <w:sz w:val="18"/>
        </w:rPr>
        <w:t> </w:t>
      </w:r>
      <w:r>
        <w:rPr>
          <w:sz w:val="18"/>
        </w:rPr>
        <w:t>(1) </w:t>
      </w:r>
      <w:r>
        <w:rPr>
          <w:sz w:val="18"/>
          <w:u w:val="single" w:color="BDBDBD"/>
        </w:rPr>
        <w:t> </w:t>
        <w:tab/>
      </w:r>
    </w:p>
    <w:p>
      <w:pPr>
        <w:tabs>
          <w:tab w:pos="7392" w:val="left" w:leader="none"/>
        </w:tabs>
        <w:spacing w:before="0"/>
        <w:ind w:left="1771" w:right="0" w:firstLine="0"/>
        <w:jc w:val="left"/>
        <w:rPr>
          <w:sz w:val="18"/>
        </w:rPr>
      </w:pPr>
      <w:r>
        <w:rPr/>
        <w:drawing>
          <wp:anchor distT="0" distB="0" distL="0" distR="0" allowOverlap="1" layoutInCell="1" locked="0" behindDoc="0" simplePos="0" relativeHeight="16137216">
            <wp:simplePos x="0" y="0"/>
            <wp:positionH relativeFrom="page">
              <wp:posOffset>1102145</wp:posOffset>
            </wp:positionH>
            <wp:positionV relativeFrom="paragraph">
              <wp:posOffset>43833</wp:posOffset>
            </wp:positionV>
            <wp:extent cx="58380" cy="72151"/>
            <wp:effectExtent l="0" t="0" r="0" b="0"/>
            <wp:wrapNone/>
            <wp:docPr id="2007" name="image13.png"/>
            <wp:cNvGraphicFramePr>
              <a:graphicFrameLocks noChangeAspect="1"/>
            </wp:cNvGraphicFramePr>
            <a:graphic>
              <a:graphicData uri="http://schemas.openxmlformats.org/drawingml/2006/picture">
                <pic:pic>
                  <pic:nvPicPr>
                    <pic:cNvPr id="200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Change</w:t>
      </w:r>
      <w:r>
        <w:rPr>
          <w:spacing w:val="-3"/>
          <w:sz w:val="18"/>
        </w:rPr>
        <w:t> </w:t>
      </w:r>
      <w:r>
        <w:rPr>
          <w:sz w:val="18"/>
        </w:rPr>
        <w:t>2</w:t>
      </w:r>
      <w:r>
        <w:rPr>
          <w:spacing w:val="47"/>
          <w:sz w:val="18"/>
        </w:rPr>
        <w:t> </w:t>
      </w:r>
      <w:r>
        <w:rPr>
          <w:sz w:val="18"/>
        </w:rPr>
        <w:t>(2) </w:t>
      </w:r>
      <w:r>
        <w:rPr>
          <w:sz w:val="18"/>
          <w:u w:val="single" w:color="BDBDBD"/>
        </w:rPr>
        <w:t> </w:t>
        <w:tab/>
      </w:r>
    </w:p>
    <w:p>
      <w:pPr>
        <w:tabs>
          <w:tab w:pos="7392" w:val="left" w:leader="none"/>
        </w:tabs>
        <w:spacing w:before="0"/>
        <w:ind w:left="1771" w:right="0" w:firstLine="0"/>
        <w:jc w:val="left"/>
        <w:rPr>
          <w:sz w:val="18"/>
        </w:rPr>
      </w:pPr>
      <w:r>
        <w:rPr/>
        <w:drawing>
          <wp:anchor distT="0" distB="0" distL="0" distR="0" allowOverlap="1" layoutInCell="1" locked="0" behindDoc="0" simplePos="0" relativeHeight="16137728">
            <wp:simplePos x="0" y="0"/>
            <wp:positionH relativeFrom="page">
              <wp:posOffset>1102145</wp:posOffset>
            </wp:positionH>
            <wp:positionV relativeFrom="paragraph">
              <wp:posOffset>43833</wp:posOffset>
            </wp:positionV>
            <wp:extent cx="58380" cy="72151"/>
            <wp:effectExtent l="0" t="0" r="0" b="0"/>
            <wp:wrapNone/>
            <wp:docPr id="2009" name="image13.png"/>
            <wp:cNvGraphicFramePr>
              <a:graphicFrameLocks noChangeAspect="1"/>
            </wp:cNvGraphicFramePr>
            <a:graphic>
              <a:graphicData uri="http://schemas.openxmlformats.org/drawingml/2006/picture">
                <pic:pic>
                  <pic:nvPicPr>
                    <pic:cNvPr id="201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Change</w:t>
      </w:r>
      <w:r>
        <w:rPr>
          <w:spacing w:val="-3"/>
          <w:sz w:val="18"/>
        </w:rPr>
        <w:t> </w:t>
      </w:r>
      <w:r>
        <w:rPr>
          <w:sz w:val="18"/>
        </w:rPr>
        <w:t>3</w:t>
      </w:r>
      <w:r>
        <w:rPr>
          <w:spacing w:val="47"/>
          <w:sz w:val="18"/>
        </w:rPr>
        <w:t> </w:t>
      </w:r>
      <w:r>
        <w:rPr>
          <w:sz w:val="18"/>
        </w:rPr>
        <w:t>(3) </w:t>
      </w:r>
      <w:r>
        <w:rPr>
          <w:sz w:val="18"/>
          <w:u w:val="single" w:color="BDBDBD"/>
        </w:rPr>
        <w:t> </w:t>
        <w:tab/>
      </w:r>
    </w:p>
    <w:p>
      <w:pPr>
        <w:spacing w:after="0"/>
        <w:jc w:val="left"/>
        <w:rPr>
          <w:sz w:val="18"/>
        </w:rPr>
        <w:sectPr>
          <w:pgSz w:w="11910" w:h="16840"/>
          <w:pgMar w:header="0" w:footer="948" w:top="860" w:bottom="1140" w:left="300" w:right="0"/>
        </w:sectPr>
      </w:pPr>
    </w:p>
    <w:p>
      <w:pPr>
        <w:spacing w:before="75"/>
        <w:ind w:left="420" w:right="0" w:firstLine="0"/>
        <w:jc w:val="left"/>
        <w:rPr>
          <w:b/>
          <w:sz w:val="18"/>
        </w:rPr>
      </w:pPr>
      <w:r>
        <w:rPr>
          <w:b/>
          <w:sz w:val="18"/>
        </w:rPr>
        <w:t>National</w:t>
      </w:r>
      <w:r>
        <w:rPr>
          <w:b/>
          <w:spacing w:val="-2"/>
          <w:sz w:val="18"/>
        </w:rPr>
        <w:t> </w:t>
      </w:r>
      <w:r>
        <w:rPr>
          <w:b/>
          <w:sz w:val="18"/>
        </w:rPr>
        <w:t>training</w:t>
      </w:r>
      <w:r>
        <w:rPr>
          <w:b/>
          <w:spacing w:val="-1"/>
          <w:sz w:val="18"/>
        </w:rPr>
        <w:t> </w:t>
      </w:r>
      <w:r>
        <w:rPr>
          <w:b/>
          <w:sz w:val="18"/>
        </w:rPr>
        <w:t>and</w:t>
      </w:r>
      <w:r>
        <w:rPr>
          <w:b/>
          <w:spacing w:val="-1"/>
          <w:sz w:val="18"/>
        </w:rPr>
        <w:t> </w:t>
      </w:r>
      <w:r>
        <w:rPr>
          <w:b/>
          <w:sz w:val="18"/>
        </w:rPr>
        <w:t>support</w:t>
      </w:r>
      <w:r>
        <w:rPr>
          <w:b/>
          <w:spacing w:val="-4"/>
          <w:sz w:val="18"/>
        </w:rPr>
        <w:t> </w:t>
      </w:r>
      <w:r>
        <w:rPr>
          <w:b/>
          <w:sz w:val="18"/>
        </w:rPr>
        <w:t>for</w:t>
      </w:r>
      <w:r>
        <w:rPr>
          <w:b/>
          <w:spacing w:val="-2"/>
          <w:sz w:val="18"/>
        </w:rPr>
        <w:t> </w:t>
      </w:r>
      <w:r>
        <w:rPr>
          <w:b/>
          <w:sz w:val="18"/>
        </w:rPr>
        <w:t>HCH</w:t>
      </w:r>
      <w:r>
        <w:rPr>
          <w:b/>
          <w:spacing w:val="-3"/>
          <w:sz w:val="18"/>
        </w:rPr>
        <w:t> </w:t>
      </w:r>
      <w:r>
        <w:rPr>
          <w:b/>
          <w:sz w:val="18"/>
        </w:rPr>
        <w:t>implementation</w:t>
      </w:r>
    </w:p>
    <w:p>
      <w:pPr>
        <w:pStyle w:val="BodyText"/>
        <w:rPr>
          <w:b/>
          <w:sz w:val="19"/>
        </w:rPr>
      </w:pPr>
    </w:p>
    <w:p>
      <w:pPr>
        <w:pStyle w:val="ListParagraph"/>
        <w:numPr>
          <w:ilvl w:val="0"/>
          <w:numId w:val="105"/>
        </w:numPr>
        <w:tabs>
          <w:tab w:pos="720" w:val="left" w:leader="none"/>
        </w:tabs>
        <w:spacing w:line="240" w:lineRule="auto" w:before="0" w:after="0"/>
        <w:ind w:left="719" w:right="0" w:hanging="300"/>
        <w:jc w:val="left"/>
        <w:rPr>
          <w:sz w:val="18"/>
        </w:rPr>
      </w:pPr>
      <w:r>
        <w:rPr>
          <w:sz w:val="18"/>
        </w:rPr>
        <w:t>How</w:t>
      </w:r>
      <w:r>
        <w:rPr>
          <w:spacing w:val="-5"/>
          <w:sz w:val="18"/>
        </w:rPr>
        <w:t> </w:t>
      </w:r>
      <w:r>
        <w:rPr>
          <w:sz w:val="18"/>
        </w:rPr>
        <w:t>effective</w:t>
      </w:r>
      <w:r>
        <w:rPr>
          <w:spacing w:val="-3"/>
          <w:sz w:val="18"/>
        </w:rPr>
        <w:t> </w:t>
      </w:r>
      <w:r>
        <w:rPr>
          <w:sz w:val="18"/>
        </w:rPr>
        <w:t>were</w:t>
      </w:r>
      <w:r>
        <w:rPr>
          <w:spacing w:val="-2"/>
          <w:sz w:val="18"/>
        </w:rPr>
        <w:t> </w:t>
      </w:r>
      <w:r>
        <w:rPr>
          <w:sz w:val="18"/>
        </w:rPr>
        <w:t>the</w:t>
      </w:r>
      <w:r>
        <w:rPr>
          <w:spacing w:val="-5"/>
          <w:sz w:val="18"/>
        </w:rPr>
        <w:t> </w:t>
      </w:r>
      <w:r>
        <w:rPr>
          <w:sz w:val="18"/>
        </w:rPr>
        <w:t>following</w:t>
      </w:r>
      <w:r>
        <w:rPr>
          <w:spacing w:val="-4"/>
          <w:sz w:val="18"/>
        </w:rPr>
        <w:t> </w:t>
      </w:r>
      <w:r>
        <w:rPr>
          <w:sz w:val="18"/>
        </w:rPr>
        <w:t>in</w:t>
      </w:r>
      <w:r>
        <w:rPr>
          <w:spacing w:val="1"/>
          <w:sz w:val="18"/>
        </w:rPr>
        <w:t> </w:t>
      </w:r>
      <w:r>
        <w:rPr>
          <w:b/>
          <w:sz w:val="18"/>
        </w:rPr>
        <w:t>preparing</w:t>
      </w:r>
      <w:r>
        <w:rPr>
          <w:b/>
          <w:spacing w:val="-2"/>
          <w:sz w:val="18"/>
        </w:rPr>
        <w:t> </w:t>
      </w:r>
      <w:r>
        <w:rPr>
          <w:b/>
          <w:sz w:val="18"/>
        </w:rPr>
        <w:t>practice</w:t>
      </w:r>
      <w:r>
        <w:rPr>
          <w:b/>
          <w:spacing w:val="-2"/>
          <w:sz w:val="18"/>
        </w:rPr>
        <w:t> </w:t>
      </w:r>
      <w:r>
        <w:rPr>
          <w:b/>
          <w:sz w:val="18"/>
        </w:rPr>
        <w:t>facilitators</w:t>
      </w:r>
      <w:r>
        <w:rPr>
          <w:b/>
          <w:spacing w:val="-2"/>
          <w:sz w:val="18"/>
        </w:rPr>
        <w:t> </w:t>
      </w:r>
      <w:r>
        <w:rPr>
          <w:sz w:val="18"/>
        </w:rPr>
        <w:t>for</w:t>
      </w:r>
      <w:r>
        <w:rPr>
          <w:spacing w:val="-3"/>
          <w:sz w:val="18"/>
        </w:rPr>
        <w:t> </w:t>
      </w:r>
      <w:r>
        <w:rPr>
          <w:sz w:val="18"/>
        </w:rPr>
        <w:t>their</w:t>
      </w:r>
      <w:r>
        <w:rPr>
          <w:spacing w:val="-2"/>
          <w:sz w:val="18"/>
        </w:rPr>
        <w:t> </w:t>
      </w:r>
      <w:r>
        <w:rPr>
          <w:sz w:val="18"/>
        </w:rPr>
        <w:t>roles?</w:t>
      </w:r>
    </w:p>
    <w:p>
      <w:pPr>
        <w:pStyle w:val="BodyText"/>
        <w:spacing w:before="2"/>
        <w:rPr>
          <w:sz w:val="19"/>
        </w:rPr>
      </w:pPr>
    </w:p>
    <w:tbl>
      <w:tblPr>
        <w:tblW w:w="0" w:type="auto"/>
        <w:jc w:val="left"/>
        <w:tblInd w:w="43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836"/>
        <w:gridCol w:w="962"/>
        <w:gridCol w:w="1121"/>
        <w:gridCol w:w="1303"/>
        <w:gridCol w:w="960"/>
        <w:gridCol w:w="948"/>
        <w:gridCol w:w="1100"/>
        <w:gridCol w:w="1282"/>
        <w:gridCol w:w="946"/>
      </w:tblGrid>
      <w:tr>
        <w:trPr>
          <w:trHeight w:val="815" w:hRule="atLeast"/>
        </w:trPr>
        <w:tc>
          <w:tcPr>
            <w:tcW w:w="1836" w:type="dxa"/>
            <w:vMerge w:val="restart"/>
            <w:shd w:val="clear" w:color="auto" w:fill="F1F1F1"/>
          </w:tcPr>
          <w:p>
            <w:pPr>
              <w:pStyle w:val="TableParagraph"/>
              <w:rPr>
                <w:rFonts w:ascii="Times New Roman"/>
                <w:sz w:val="16"/>
              </w:rPr>
            </w:pPr>
          </w:p>
        </w:tc>
        <w:tc>
          <w:tcPr>
            <w:tcW w:w="4346" w:type="dxa"/>
            <w:gridSpan w:val="4"/>
            <w:shd w:val="clear" w:color="auto" w:fill="F1F1F1"/>
          </w:tcPr>
          <w:p>
            <w:pPr>
              <w:pStyle w:val="TableParagraph"/>
              <w:spacing w:before="112"/>
              <w:ind w:left="156" w:right="146"/>
              <w:jc w:val="center"/>
              <w:rPr>
                <w:sz w:val="16"/>
              </w:rPr>
            </w:pPr>
            <w:r>
              <w:rPr>
                <w:sz w:val="16"/>
              </w:rPr>
              <w:t>Supporting practices to get started with the HCH</w:t>
            </w:r>
            <w:r>
              <w:rPr>
                <w:spacing w:val="1"/>
                <w:sz w:val="16"/>
              </w:rPr>
              <w:t> </w:t>
            </w:r>
            <w:r>
              <w:rPr>
                <w:sz w:val="16"/>
              </w:rPr>
              <w:t>model</w:t>
            </w:r>
            <w:r>
              <w:rPr>
                <w:spacing w:val="-2"/>
                <w:sz w:val="16"/>
              </w:rPr>
              <w:t> </w:t>
            </w:r>
            <w:r>
              <w:rPr>
                <w:sz w:val="16"/>
              </w:rPr>
              <w:t>(e.g.</w:t>
            </w:r>
            <w:r>
              <w:rPr>
                <w:spacing w:val="-5"/>
                <w:sz w:val="16"/>
              </w:rPr>
              <w:t> </w:t>
            </w:r>
            <w:r>
              <w:rPr>
                <w:sz w:val="16"/>
              </w:rPr>
              <w:t>setting</w:t>
            </w:r>
            <w:r>
              <w:rPr>
                <w:spacing w:val="-5"/>
                <w:sz w:val="16"/>
              </w:rPr>
              <w:t> </w:t>
            </w:r>
            <w:r>
              <w:rPr>
                <w:sz w:val="16"/>
              </w:rPr>
              <w:t>up</w:t>
            </w:r>
            <w:r>
              <w:rPr>
                <w:spacing w:val="-4"/>
                <w:sz w:val="16"/>
              </w:rPr>
              <w:t> </w:t>
            </w:r>
            <w:r>
              <w:rPr>
                <w:sz w:val="16"/>
              </w:rPr>
              <w:t>processes</w:t>
            </w:r>
            <w:r>
              <w:rPr>
                <w:spacing w:val="-3"/>
                <w:sz w:val="16"/>
              </w:rPr>
              <w:t> </w:t>
            </w:r>
            <w:r>
              <w:rPr>
                <w:sz w:val="16"/>
              </w:rPr>
              <w:t>patient</w:t>
            </w:r>
            <w:r>
              <w:rPr>
                <w:spacing w:val="-5"/>
                <w:sz w:val="16"/>
              </w:rPr>
              <w:t> </w:t>
            </w:r>
            <w:r>
              <w:rPr>
                <w:sz w:val="16"/>
              </w:rPr>
              <w:t>enrollment,</w:t>
            </w:r>
            <w:r>
              <w:rPr>
                <w:spacing w:val="-41"/>
                <w:sz w:val="16"/>
              </w:rPr>
              <w:t> </w:t>
            </w:r>
            <w:r>
              <w:rPr>
                <w:sz w:val="16"/>
              </w:rPr>
              <w:t>getting familiar</w:t>
            </w:r>
            <w:r>
              <w:rPr>
                <w:spacing w:val="-4"/>
                <w:sz w:val="16"/>
              </w:rPr>
              <w:t> </w:t>
            </w:r>
            <w:r>
              <w:rPr>
                <w:sz w:val="16"/>
              </w:rPr>
              <w:t>with</w:t>
            </w:r>
            <w:r>
              <w:rPr>
                <w:spacing w:val="-1"/>
                <w:sz w:val="16"/>
              </w:rPr>
              <w:t> </w:t>
            </w:r>
            <w:r>
              <w:rPr>
                <w:sz w:val="16"/>
              </w:rPr>
              <w:t>the</w:t>
            </w:r>
            <w:r>
              <w:rPr>
                <w:spacing w:val="-2"/>
                <w:sz w:val="16"/>
              </w:rPr>
              <w:t> </w:t>
            </w:r>
            <w:r>
              <w:rPr>
                <w:sz w:val="16"/>
              </w:rPr>
              <w:t>risk</w:t>
            </w:r>
            <w:r>
              <w:rPr>
                <w:spacing w:val="-1"/>
                <w:sz w:val="16"/>
              </w:rPr>
              <w:t> </w:t>
            </w:r>
            <w:r>
              <w:rPr>
                <w:sz w:val="16"/>
              </w:rPr>
              <w:t>stratification</w:t>
            </w:r>
            <w:r>
              <w:rPr>
                <w:spacing w:val="1"/>
                <w:sz w:val="16"/>
              </w:rPr>
              <w:t> </w:t>
            </w:r>
            <w:r>
              <w:rPr>
                <w:sz w:val="16"/>
              </w:rPr>
              <w:t>tool)</w:t>
            </w:r>
          </w:p>
        </w:tc>
        <w:tc>
          <w:tcPr>
            <w:tcW w:w="4276" w:type="dxa"/>
            <w:gridSpan w:val="4"/>
            <w:shd w:val="clear" w:color="auto" w:fill="F1F1F1"/>
          </w:tcPr>
          <w:p>
            <w:pPr>
              <w:pStyle w:val="TableParagraph"/>
              <w:spacing w:before="112"/>
              <w:ind w:left="167" w:right="153"/>
              <w:jc w:val="center"/>
              <w:rPr>
                <w:sz w:val="16"/>
              </w:rPr>
            </w:pPr>
            <w:r>
              <w:rPr>
                <w:sz w:val="16"/>
              </w:rPr>
              <w:t>Supporting practices in practice transformation</w:t>
            </w:r>
            <w:r>
              <w:rPr>
                <w:spacing w:val="1"/>
                <w:sz w:val="16"/>
              </w:rPr>
              <w:t> </w:t>
            </w:r>
            <w:r>
              <w:rPr>
                <w:sz w:val="16"/>
              </w:rPr>
              <w:t>(e.g. identifying priorities for change, strengthening</w:t>
            </w:r>
            <w:r>
              <w:rPr>
                <w:spacing w:val="-42"/>
                <w:sz w:val="16"/>
              </w:rPr>
              <w:t> </w:t>
            </w:r>
            <w:r>
              <w:rPr>
                <w:sz w:val="16"/>
              </w:rPr>
              <w:t>team</w:t>
            </w:r>
            <w:r>
              <w:rPr>
                <w:spacing w:val="-4"/>
                <w:sz w:val="16"/>
              </w:rPr>
              <w:t> </w:t>
            </w:r>
            <w:r>
              <w:rPr>
                <w:sz w:val="16"/>
              </w:rPr>
              <w:t>work)</w:t>
            </w:r>
          </w:p>
        </w:tc>
      </w:tr>
      <w:tr>
        <w:trPr>
          <w:trHeight w:val="904" w:hRule="atLeast"/>
        </w:trPr>
        <w:tc>
          <w:tcPr>
            <w:tcW w:w="1836" w:type="dxa"/>
            <w:vMerge/>
            <w:tcBorders>
              <w:top w:val="nil"/>
            </w:tcBorders>
            <w:shd w:val="clear" w:color="auto" w:fill="F1F1F1"/>
          </w:tcPr>
          <w:p>
            <w:pPr>
              <w:rPr>
                <w:sz w:val="2"/>
                <w:szCs w:val="2"/>
              </w:rPr>
            </w:pPr>
          </w:p>
        </w:tc>
        <w:tc>
          <w:tcPr>
            <w:tcW w:w="962" w:type="dxa"/>
            <w:shd w:val="clear" w:color="auto" w:fill="F1F1F1"/>
          </w:tcPr>
          <w:p>
            <w:pPr>
              <w:pStyle w:val="TableParagraph"/>
              <w:spacing w:line="276" w:lineRule="auto" w:before="112"/>
              <w:ind w:left="134" w:right="123" w:firstLine="1"/>
              <w:jc w:val="center"/>
              <w:rPr>
                <w:sz w:val="16"/>
              </w:rPr>
            </w:pPr>
            <w:r>
              <w:rPr>
                <w:sz w:val="16"/>
              </w:rPr>
              <w:t>Very</w:t>
            </w:r>
            <w:r>
              <w:rPr>
                <w:spacing w:val="1"/>
                <w:sz w:val="16"/>
              </w:rPr>
              <w:t> </w:t>
            </w:r>
            <w:r>
              <w:rPr>
                <w:sz w:val="16"/>
              </w:rPr>
              <w:t>effective</w:t>
            </w:r>
            <w:r>
              <w:rPr>
                <w:spacing w:val="-42"/>
                <w:sz w:val="16"/>
              </w:rPr>
              <w:t> </w:t>
            </w:r>
            <w:r>
              <w:rPr>
                <w:sz w:val="16"/>
              </w:rPr>
              <w:t>(1)</w:t>
            </w:r>
          </w:p>
        </w:tc>
        <w:tc>
          <w:tcPr>
            <w:tcW w:w="1121" w:type="dxa"/>
            <w:shd w:val="clear" w:color="auto" w:fill="F1F1F1"/>
          </w:tcPr>
          <w:p>
            <w:pPr>
              <w:pStyle w:val="TableParagraph"/>
              <w:spacing w:line="276" w:lineRule="auto" w:before="112"/>
              <w:ind w:left="142" w:right="132"/>
              <w:jc w:val="center"/>
              <w:rPr>
                <w:sz w:val="16"/>
              </w:rPr>
            </w:pPr>
            <w:r>
              <w:rPr>
                <w:sz w:val="16"/>
              </w:rPr>
              <w:t>Somewhat</w:t>
            </w:r>
            <w:r>
              <w:rPr>
                <w:spacing w:val="-42"/>
                <w:sz w:val="16"/>
              </w:rPr>
              <w:t> </w:t>
            </w:r>
            <w:r>
              <w:rPr>
                <w:sz w:val="16"/>
              </w:rPr>
              <w:t>effective</w:t>
            </w:r>
            <w:r>
              <w:rPr>
                <w:spacing w:val="1"/>
                <w:sz w:val="16"/>
              </w:rPr>
              <w:t> </w:t>
            </w:r>
            <w:r>
              <w:rPr>
                <w:sz w:val="16"/>
              </w:rPr>
              <w:t>(2)</w:t>
            </w:r>
          </w:p>
        </w:tc>
        <w:tc>
          <w:tcPr>
            <w:tcW w:w="1303" w:type="dxa"/>
            <w:shd w:val="clear" w:color="auto" w:fill="F1F1F1"/>
          </w:tcPr>
          <w:p>
            <w:pPr>
              <w:pStyle w:val="TableParagraph"/>
              <w:spacing w:line="276" w:lineRule="auto" w:before="112"/>
              <w:ind w:left="142" w:right="129" w:hanging="1"/>
              <w:jc w:val="center"/>
              <w:rPr>
                <w:sz w:val="16"/>
              </w:rPr>
            </w:pPr>
            <w:r>
              <w:rPr>
                <w:sz w:val="16"/>
              </w:rPr>
              <w:t>Limited</w:t>
            </w:r>
            <w:r>
              <w:rPr>
                <w:spacing w:val="1"/>
                <w:sz w:val="16"/>
              </w:rPr>
              <w:t> </w:t>
            </w:r>
            <w:r>
              <w:rPr>
                <w:sz w:val="16"/>
              </w:rPr>
              <w:t>effectiveness</w:t>
            </w:r>
            <w:r>
              <w:rPr>
                <w:spacing w:val="-42"/>
                <w:sz w:val="16"/>
              </w:rPr>
              <w:t> </w:t>
            </w:r>
            <w:r>
              <w:rPr>
                <w:sz w:val="16"/>
              </w:rPr>
              <w:t>(3)</w:t>
            </w:r>
          </w:p>
        </w:tc>
        <w:tc>
          <w:tcPr>
            <w:tcW w:w="960" w:type="dxa"/>
            <w:shd w:val="clear" w:color="auto" w:fill="F1F1F1"/>
          </w:tcPr>
          <w:p>
            <w:pPr>
              <w:pStyle w:val="TableParagraph"/>
              <w:spacing w:line="276" w:lineRule="auto" w:before="112"/>
              <w:ind w:left="135" w:right="120"/>
              <w:jc w:val="center"/>
              <w:rPr>
                <w:sz w:val="16"/>
              </w:rPr>
            </w:pPr>
            <w:r>
              <w:rPr>
                <w:sz w:val="16"/>
              </w:rPr>
              <w:t>Not</w:t>
            </w:r>
            <w:r>
              <w:rPr>
                <w:spacing w:val="1"/>
                <w:sz w:val="16"/>
              </w:rPr>
              <w:t> </w:t>
            </w:r>
            <w:r>
              <w:rPr>
                <w:sz w:val="16"/>
              </w:rPr>
              <w:t>effective</w:t>
            </w:r>
            <w:r>
              <w:rPr>
                <w:spacing w:val="-42"/>
                <w:sz w:val="16"/>
              </w:rPr>
              <w:t> </w:t>
            </w:r>
            <w:r>
              <w:rPr>
                <w:sz w:val="16"/>
              </w:rPr>
              <w:t>(4)</w:t>
            </w:r>
          </w:p>
        </w:tc>
        <w:tc>
          <w:tcPr>
            <w:tcW w:w="948" w:type="dxa"/>
            <w:shd w:val="clear" w:color="auto" w:fill="F1F1F1"/>
          </w:tcPr>
          <w:p>
            <w:pPr>
              <w:pStyle w:val="TableParagraph"/>
              <w:spacing w:line="276" w:lineRule="auto" w:before="112"/>
              <w:ind w:left="128" w:right="115" w:firstLine="1"/>
              <w:jc w:val="center"/>
              <w:rPr>
                <w:sz w:val="16"/>
              </w:rPr>
            </w:pPr>
            <w:r>
              <w:rPr>
                <w:sz w:val="16"/>
              </w:rPr>
              <w:t>Very</w:t>
            </w:r>
            <w:r>
              <w:rPr>
                <w:spacing w:val="1"/>
                <w:sz w:val="16"/>
              </w:rPr>
              <w:t> </w:t>
            </w:r>
            <w:r>
              <w:rPr>
                <w:sz w:val="16"/>
              </w:rPr>
              <w:t>effective</w:t>
            </w:r>
            <w:r>
              <w:rPr>
                <w:spacing w:val="-42"/>
                <w:sz w:val="16"/>
              </w:rPr>
              <w:t> </w:t>
            </w:r>
            <w:r>
              <w:rPr>
                <w:sz w:val="16"/>
              </w:rPr>
              <w:t>(1)</w:t>
            </w:r>
          </w:p>
        </w:tc>
        <w:tc>
          <w:tcPr>
            <w:tcW w:w="1100" w:type="dxa"/>
            <w:shd w:val="clear" w:color="auto" w:fill="F1F1F1"/>
          </w:tcPr>
          <w:p>
            <w:pPr>
              <w:pStyle w:val="TableParagraph"/>
              <w:spacing w:line="276" w:lineRule="auto" w:before="112"/>
              <w:ind w:left="133" w:right="120"/>
              <w:jc w:val="center"/>
              <w:rPr>
                <w:sz w:val="16"/>
              </w:rPr>
            </w:pPr>
            <w:r>
              <w:rPr>
                <w:sz w:val="16"/>
              </w:rPr>
              <w:t>Somewhat</w:t>
            </w:r>
            <w:r>
              <w:rPr>
                <w:spacing w:val="-42"/>
                <w:sz w:val="16"/>
              </w:rPr>
              <w:t> </w:t>
            </w:r>
            <w:r>
              <w:rPr>
                <w:sz w:val="16"/>
              </w:rPr>
              <w:t>effective</w:t>
            </w:r>
            <w:r>
              <w:rPr>
                <w:spacing w:val="1"/>
                <w:sz w:val="16"/>
              </w:rPr>
              <w:t> </w:t>
            </w:r>
            <w:r>
              <w:rPr>
                <w:sz w:val="16"/>
              </w:rPr>
              <w:t>(2)</w:t>
            </w:r>
          </w:p>
        </w:tc>
        <w:tc>
          <w:tcPr>
            <w:tcW w:w="1282" w:type="dxa"/>
            <w:shd w:val="clear" w:color="auto" w:fill="F1F1F1"/>
          </w:tcPr>
          <w:p>
            <w:pPr>
              <w:pStyle w:val="TableParagraph"/>
              <w:spacing w:line="276" w:lineRule="auto" w:before="112"/>
              <w:ind w:left="133" w:right="117" w:hanging="1"/>
              <w:jc w:val="center"/>
              <w:rPr>
                <w:sz w:val="16"/>
              </w:rPr>
            </w:pPr>
            <w:r>
              <w:rPr>
                <w:sz w:val="16"/>
              </w:rPr>
              <w:t>Limited</w:t>
            </w:r>
            <w:r>
              <w:rPr>
                <w:spacing w:val="1"/>
                <w:sz w:val="16"/>
              </w:rPr>
              <w:t> </w:t>
            </w:r>
            <w:r>
              <w:rPr>
                <w:sz w:val="16"/>
              </w:rPr>
              <w:t>effectiveness</w:t>
            </w:r>
            <w:r>
              <w:rPr>
                <w:spacing w:val="-42"/>
                <w:sz w:val="16"/>
              </w:rPr>
              <w:t> </w:t>
            </w:r>
            <w:r>
              <w:rPr>
                <w:sz w:val="16"/>
              </w:rPr>
              <w:t>(3)</w:t>
            </w:r>
          </w:p>
        </w:tc>
        <w:tc>
          <w:tcPr>
            <w:tcW w:w="946" w:type="dxa"/>
            <w:shd w:val="clear" w:color="auto" w:fill="F1F1F1"/>
          </w:tcPr>
          <w:p>
            <w:pPr>
              <w:pStyle w:val="TableParagraph"/>
              <w:spacing w:line="276" w:lineRule="auto" w:before="112"/>
              <w:ind w:left="128" w:right="113"/>
              <w:jc w:val="center"/>
              <w:rPr>
                <w:sz w:val="16"/>
              </w:rPr>
            </w:pPr>
            <w:r>
              <w:rPr>
                <w:sz w:val="16"/>
              </w:rPr>
              <w:t>Not</w:t>
            </w:r>
            <w:r>
              <w:rPr>
                <w:spacing w:val="1"/>
                <w:sz w:val="16"/>
              </w:rPr>
              <w:t> </w:t>
            </w:r>
            <w:r>
              <w:rPr>
                <w:sz w:val="16"/>
              </w:rPr>
              <w:t>effective</w:t>
            </w:r>
            <w:r>
              <w:rPr>
                <w:spacing w:val="-42"/>
                <w:sz w:val="16"/>
              </w:rPr>
              <w:t> </w:t>
            </w:r>
            <w:r>
              <w:rPr>
                <w:sz w:val="16"/>
              </w:rPr>
              <w:t>(4)</w:t>
            </w:r>
          </w:p>
        </w:tc>
      </w:tr>
      <w:tr>
        <w:trPr>
          <w:trHeight w:val="621" w:hRule="atLeast"/>
        </w:trPr>
        <w:tc>
          <w:tcPr>
            <w:tcW w:w="1836" w:type="dxa"/>
          </w:tcPr>
          <w:p>
            <w:pPr>
              <w:pStyle w:val="TableParagraph"/>
              <w:spacing w:before="112"/>
              <w:ind w:left="463" w:right="147" w:hanging="288"/>
              <w:rPr>
                <w:sz w:val="16"/>
              </w:rPr>
            </w:pPr>
            <w:r>
              <w:rPr>
                <w:sz w:val="16"/>
              </w:rPr>
              <w:t>HCH online training</w:t>
            </w:r>
            <w:r>
              <w:rPr>
                <w:spacing w:val="-42"/>
                <w:sz w:val="16"/>
              </w:rPr>
              <w:t> </w:t>
            </w:r>
            <w:r>
              <w:rPr>
                <w:sz w:val="16"/>
              </w:rPr>
              <w:t>modules</w:t>
            </w:r>
            <w:r>
              <w:rPr>
                <w:spacing w:val="-3"/>
                <w:sz w:val="16"/>
              </w:rPr>
              <w:t> </w:t>
            </w:r>
            <w:r>
              <w:rPr>
                <w:sz w:val="16"/>
              </w:rPr>
              <w:t>(7)</w:t>
            </w:r>
          </w:p>
        </w:tc>
        <w:tc>
          <w:tcPr>
            <w:tcW w:w="962" w:type="dxa"/>
          </w:tcPr>
          <w:p>
            <w:pPr>
              <w:pStyle w:val="TableParagraph"/>
              <w:spacing w:before="11"/>
              <w:rPr>
                <w:sz w:val="21"/>
              </w:rPr>
            </w:pPr>
          </w:p>
          <w:p>
            <w:pPr>
              <w:pStyle w:val="TableParagraph"/>
              <w:spacing w:line="112" w:lineRule="exact"/>
              <w:ind w:left="326"/>
              <w:rPr>
                <w:sz w:val="11"/>
              </w:rPr>
            </w:pPr>
            <w:r>
              <w:rPr>
                <w:position w:val="-1"/>
                <w:sz w:val="11"/>
              </w:rPr>
              <w:drawing>
                <wp:inline distT="0" distB="0" distL="0" distR="0">
                  <wp:extent cx="57802" cy="71437"/>
                  <wp:effectExtent l="0" t="0" r="0" b="0"/>
                  <wp:docPr id="2011" name="image13.png"/>
                  <wp:cNvGraphicFramePr>
                    <a:graphicFrameLocks noChangeAspect="1"/>
                  </wp:cNvGraphicFramePr>
                  <a:graphic>
                    <a:graphicData uri="http://schemas.openxmlformats.org/drawingml/2006/picture">
                      <pic:pic>
                        <pic:nvPicPr>
                          <pic:cNvPr id="2012"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121" w:type="dxa"/>
          </w:tcPr>
          <w:p>
            <w:pPr>
              <w:pStyle w:val="TableParagraph"/>
              <w:spacing w:before="11"/>
              <w:rPr>
                <w:sz w:val="21"/>
              </w:rPr>
            </w:pPr>
          </w:p>
          <w:p>
            <w:pPr>
              <w:pStyle w:val="TableParagraph"/>
              <w:spacing w:line="112" w:lineRule="exact"/>
              <w:ind w:left="403"/>
              <w:rPr>
                <w:sz w:val="11"/>
              </w:rPr>
            </w:pPr>
            <w:r>
              <w:rPr>
                <w:position w:val="-1"/>
                <w:sz w:val="11"/>
              </w:rPr>
              <w:drawing>
                <wp:inline distT="0" distB="0" distL="0" distR="0">
                  <wp:extent cx="57802" cy="71437"/>
                  <wp:effectExtent l="0" t="0" r="0" b="0"/>
                  <wp:docPr id="2013" name="image13.png"/>
                  <wp:cNvGraphicFramePr>
                    <a:graphicFrameLocks noChangeAspect="1"/>
                  </wp:cNvGraphicFramePr>
                  <a:graphic>
                    <a:graphicData uri="http://schemas.openxmlformats.org/drawingml/2006/picture">
                      <pic:pic>
                        <pic:nvPicPr>
                          <pic:cNvPr id="2014"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303" w:type="dxa"/>
          </w:tcPr>
          <w:p>
            <w:pPr>
              <w:pStyle w:val="TableParagraph"/>
              <w:spacing w:before="11"/>
              <w:rPr>
                <w:sz w:val="21"/>
              </w:rPr>
            </w:pPr>
          </w:p>
          <w:p>
            <w:pPr>
              <w:pStyle w:val="TableParagraph"/>
              <w:spacing w:line="112" w:lineRule="exact"/>
              <w:ind w:left="497"/>
              <w:rPr>
                <w:sz w:val="11"/>
              </w:rPr>
            </w:pPr>
            <w:r>
              <w:rPr>
                <w:position w:val="-1"/>
                <w:sz w:val="11"/>
              </w:rPr>
              <w:drawing>
                <wp:inline distT="0" distB="0" distL="0" distR="0">
                  <wp:extent cx="57802" cy="71437"/>
                  <wp:effectExtent l="0" t="0" r="0" b="0"/>
                  <wp:docPr id="2015" name="image13.png"/>
                  <wp:cNvGraphicFramePr>
                    <a:graphicFrameLocks noChangeAspect="1"/>
                  </wp:cNvGraphicFramePr>
                  <a:graphic>
                    <a:graphicData uri="http://schemas.openxmlformats.org/drawingml/2006/picture">
                      <pic:pic>
                        <pic:nvPicPr>
                          <pic:cNvPr id="2016"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960" w:type="dxa"/>
          </w:tcPr>
          <w:p>
            <w:pPr>
              <w:pStyle w:val="TableParagraph"/>
              <w:spacing w:before="11"/>
              <w:rPr>
                <w:sz w:val="21"/>
              </w:rPr>
            </w:pPr>
          </w:p>
          <w:p>
            <w:pPr>
              <w:pStyle w:val="TableParagraph"/>
              <w:spacing w:line="112" w:lineRule="exact"/>
              <w:ind w:left="324"/>
              <w:rPr>
                <w:sz w:val="11"/>
              </w:rPr>
            </w:pPr>
            <w:r>
              <w:rPr>
                <w:position w:val="-1"/>
                <w:sz w:val="11"/>
              </w:rPr>
              <w:drawing>
                <wp:inline distT="0" distB="0" distL="0" distR="0">
                  <wp:extent cx="57802" cy="71437"/>
                  <wp:effectExtent l="0" t="0" r="0" b="0"/>
                  <wp:docPr id="2017" name="image13.png"/>
                  <wp:cNvGraphicFramePr>
                    <a:graphicFrameLocks noChangeAspect="1"/>
                  </wp:cNvGraphicFramePr>
                  <a:graphic>
                    <a:graphicData uri="http://schemas.openxmlformats.org/drawingml/2006/picture">
                      <pic:pic>
                        <pic:nvPicPr>
                          <pic:cNvPr id="2018"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948" w:type="dxa"/>
          </w:tcPr>
          <w:p>
            <w:pPr>
              <w:pStyle w:val="TableParagraph"/>
              <w:spacing w:before="11"/>
              <w:rPr>
                <w:sz w:val="21"/>
              </w:rPr>
            </w:pPr>
          </w:p>
          <w:p>
            <w:pPr>
              <w:pStyle w:val="TableParagraph"/>
              <w:spacing w:line="112" w:lineRule="exact"/>
              <w:ind w:left="319"/>
              <w:rPr>
                <w:sz w:val="11"/>
              </w:rPr>
            </w:pPr>
            <w:r>
              <w:rPr>
                <w:position w:val="-1"/>
                <w:sz w:val="11"/>
              </w:rPr>
              <w:drawing>
                <wp:inline distT="0" distB="0" distL="0" distR="0">
                  <wp:extent cx="57802" cy="71437"/>
                  <wp:effectExtent l="0" t="0" r="0" b="0"/>
                  <wp:docPr id="2019" name="image13.png"/>
                  <wp:cNvGraphicFramePr>
                    <a:graphicFrameLocks noChangeAspect="1"/>
                  </wp:cNvGraphicFramePr>
                  <a:graphic>
                    <a:graphicData uri="http://schemas.openxmlformats.org/drawingml/2006/picture">
                      <pic:pic>
                        <pic:nvPicPr>
                          <pic:cNvPr id="2020"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100" w:type="dxa"/>
          </w:tcPr>
          <w:p>
            <w:pPr>
              <w:pStyle w:val="TableParagraph"/>
              <w:spacing w:before="11"/>
              <w:rPr>
                <w:sz w:val="21"/>
              </w:rPr>
            </w:pPr>
          </w:p>
          <w:p>
            <w:pPr>
              <w:pStyle w:val="TableParagraph"/>
              <w:spacing w:line="112" w:lineRule="exact"/>
              <w:ind w:left="394"/>
              <w:rPr>
                <w:sz w:val="11"/>
              </w:rPr>
            </w:pPr>
            <w:r>
              <w:rPr>
                <w:position w:val="-1"/>
                <w:sz w:val="11"/>
              </w:rPr>
              <w:drawing>
                <wp:inline distT="0" distB="0" distL="0" distR="0">
                  <wp:extent cx="57802" cy="71437"/>
                  <wp:effectExtent l="0" t="0" r="0" b="0"/>
                  <wp:docPr id="2021" name="image13.png"/>
                  <wp:cNvGraphicFramePr>
                    <a:graphicFrameLocks noChangeAspect="1"/>
                  </wp:cNvGraphicFramePr>
                  <a:graphic>
                    <a:graphicData uri="http://schemas.openxmlformats.org/drawingml/2006/picture">
                      <pic:pic>
                        <pic:nvPicPr>
                          <pic:cNvPr id="2022"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282" w:type="dxa"/>
          </w:tcPr>
          <w:p>
            <w:pPr>
              <w:pStyle w:val="TableParagraph"/>
              <w:spacing w:before="11"/>
              <w:rPr>
                <w:sz w:val="21"/>
              </w:rPr>
            </w:pPr>
          </w:p>
          <w:p>
            <w:pPr>
              <w:pStyle w:val="TableParagraph"/>
              <w:spacing w:line="112" w:lineRule="exact"/>
              <w:ind w:left="484"/>
              <w:rPr>
                <w:sz w:val="11"/>
              </w:rPr>
            </w:pPr>
            <w:r>
              <w:rPr>
                <w:position w:val="-1"/>
                <w:sz w:val="11"/>
              </w:rPr>
              <w:drawing>
                <wp:inline distT="0" distB="0" distL="0" distR="0">
                  <wp:extent cx="57802" cy="71437"/>
                  <wp:effectExtent l="0" t="0" r="0" b="0"/>
                  <wp:docPr id="2023" name="image13.png"/>
                  <wp:cNvGraphicFramePr>
                    <a:graphicFrameLocks noChangeAspect="1"/>
                  </wp:cNvGraphicFramePr>
                  <a:graphic>
                    <a:graphicData uri="http://schemas.openxmlformats.org/drawingml/2006/picture">
                      <pic:pic>
                        <pic:nvPicPr>
                          <pic:cNvPr id="2024"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946" w:type="dxa"/>
          </w:tcPr>
          <w:p>
            <w:pPr>
              <w:pStyle w:val="TableParagraph"/>
              <w:spacing w:before="11"/>
              <w:rPr>
                <w:sz w:val="21"/>
              </w:rPr>
            </w:pPr>
          </w:p>
          <w:p>
            <w:pPr>
              <w:pStyle w:val="TableParagraph"/>
              <w:spacing w:line="112" w:lineRule="exact"/>
              <w:ind w:left="316"/>
              <w:rPr>
                <w:sz w:val="11"/>
              </w:rPr>
            </w:pPr>
            <w:r>
              <w:rPr>
                <w:position w:val="-1"/>
                <w:sz w:val="11"/>
              </w:rPr>
              <w:drawing>
                <wp:inline distT="0" distB="0" distL="0" distR="0">
                  <wp:extent cx="57802" cy="71437"/>
                  <wp:effectExtent l="0" t="0" r="0" b="0"/>
                  <wp:docPr id="2025" name="image13.png"/>
                  <wp:cNvGraphicFramePr>
                    <a:graphicFrameLocks noChangeAspect="1"/>
                  </wp:cNvGraphicFramePr>
                  <a:graphic>
                    <a:graphicData uri="http://schemas.openxmlformats.org/drawingml/2006/picture">
                      <pic:pic>
                        <pic:nvPicPr>
                          <pic:cNvPr id="2026"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r>
      <w:tr>
        <w:trPr>
          <w:trHeight w:val="1797" w:hRule="atLeast"/>
        </w:trPr>
        <w:tc>
          <w:tcPr>
            <w:tcW w:w="1836" w:type="dxa"/>
          </w:tcPr>
          <w:p>
            <w:pPr>
              <w:pStyle w:val="TableParagraph"/>
              <w:spacing w:before="112"/>
              <w:ind w:left="184" w:right="172" w:hanging="4"/>
              <w:jc w:val="center"/>
              <w:rPr>
                <w:sz w:val="16"/>
              </w:rPr>
            </w:pPr>
            <w:r>
              <w:rPr>
                <w:sz w:val="16"/>
              </w:rPr>
              <w:t>Practice facilitator</w:t>
            </w:r>
            <w:r>
              <w:rPr>
                <w:spacing w:val="1"/>
                <w:sz w:val="16"/>
              </w:rPr>
              <w:t> </w:t>
            </w:r>
            <w:r>
              <w:rPr>
                <w:sz w:val="16"/>
              </w:rPr>
              <w:t>workshops.</w:t>
            </w:r>
            <w:r>
              <w:rPr>
                <w:spacing w:val="1"/>
                <w:sz w:val="16"/>
              </w:rPr>
              <w:t> </w:t>
            </w:r>
            <w:r>
              <w:rPr>
                <w:sz w:val="16"/>
              </w:rPr>
              <w:t>(Consider the</w:t>
            </w:r>
            <w:r>
              <w:rPr>
                <w:spacing w:val="1"/>
                <w:sz w:val="16"/>
              </w:rPr>
              <w:t> </w:t>
            </w:r>
            <w:r>
              <w:rPr>
                <w:sz w:val="16"/>
              </w:rPr>
              <w:t>practice facilitator</w:t>
            </w:r>
            <w:r>
              <w:rPr>
                <w:spacing w:val="-42"/>
                <w:sz w:val="16"/>
              </w:rPr>
              <w:t> </w:t>
            </w:r>
            <w:r>
              <w:rPr>
                <w:sz w:val="16"/>
              </w:rPr>
              <w:t>workshops as a</w:t>
            </w:r>
            <w:r>
              <w:rPr>
                <w:spacing w:val="1"/>
                <w:sz w:val="16"/>
              </w:rPr>
              <w:t> </w:t>
            </w:r>
            <w:r>
              <w:rPr>
                <w:sz w:val="16"/>
              </w:rPr>
              <w:t>whole: both</w:t>
            </w:r>
            <w:r>
              <w:rPr>
                <w:spacing w:val="1"/>
                <w:sz w:val="16"/>
              </w:rPr>
              <w:t> </w:t>
            </w:r>
            <w:r>
              <w:rPr>
                <w:sz w:val="16"/>
              </w:rPr>
              <w:t>workshop</w:t>
            </w:r>
            <w:r>
              <w:rPr>
                <w:spacing w:val="-5"/>
                <w:sz w:val="16"/>
              </w:rPr>
              <w:t> </w:t>
            </w:r>
            <w:r>
              <w:rPr>
                <w:sz w:val="16"/>
              </w:rPr>
              <w:t>1</w:t>
            </w:r>
            <w:r>
              <w:rPr>
                <w:spacing w:val="-7"/>
                <w:sz w:val="16"/>
              </w:rPr>
              <w:t> </w:t>
            </w:r>
            <w:r>
              <w:rPr>
                <w:sz w:val="16"/>
              </w:rPr>
              <w:t>and</w:t>
            </w:r>
            <w:r>
              <w:rPr>
                <w:spacing w:val="-6"/>
                <w:sz w:val="16"/>
              </w:rPr>
              <w:t> </w:t>
            </w:r>
            <w:r>
              <w:rPr>
                <w:sz w:val="16"/>
              </w:rPr>
              <w:t>2),</w:t>
            </w:r>
          </w:p>
          <w:p>
            <w:pPr>
              <w:pStyle w:val="TableParagraph"/>
              <w:ind w:left="203" w:right="189"/>
              <w:jc w:val="center"/>
              <w:rPr>
                <w:sz w:val="16"/>
              </w:rPr>
            </w:pPr>
            <w:r>
              <w:rPr>
                <w:sz w:val="16"/>
              </w:rPr>
              <w:t>(6)</w:t>
            </w:r>
          </w:p>
        </w:tc>
        <w:tc>
          <w:tcPr>
            <w:tcW w:w="962" w:type="dxa"/>
          </w:tcPr>
          <w:p>
            <w:pPr>
              <w:pStyle w:val="TableParagraph"/>
              <w:rPr>
                <w:sz w:val="20"/>
              </w:rPr>
            </w:pPr>
          </w:p>
          <w:p>
            <w:pPr>
              <w:pStyle w:val="TableParagraph"/>
              <w:rPr>
                <w:sz w:val="20"/>
              </w:rPr>
            </w:pPr>
          </w:p>
          <w:p>
            <w:pPr>
              <w:pStyle w:val="TableParagraph"/>
              <w:spacing w:before="10"/>
              <w:rPr>
                <w:sz w:val="29"/>
              </w:rPr>
            </w:pPr>
          </w:p>
          <w:p>
            <w:pPr>
              <w:pStyle w:val="TableParagraph"/>
              <w:spacing w:line="114" w:lineRule="exact"/>
              <w:ind w:left="326"/>
              <w:rPr>
                <w:sz w:val="11"/>
              </w:rPr>
            </w:pPr>
            <w:r>
              <w:rPr>
                <w:position w:val="-1"/>
                <w:sz w:val="11"/>
              </w:rPr>
              <w:drawing>
                <wp:inline distT="0" distB="0" distL="0" distR="0">
                  <wp:extent cx="58957" cy="72866"/>
                  <wp:effectExtent l="0" t="0" r="0" b="0"/>
                  <wp:docPr id="2027" name="image13.png"/>
                  <wp:cNvGraphicFramePr>
                    <a:graphicFrameLocks noChangeAspect="1"/>
                  </wp:cNvGraphicFramePr>
                  <a:graphic>
                    <a:graphicData uri="http://schemas.openxmlformats.org/drawingml/2006/picture">
                      <pic:pic>
                        <pic:nvPicPr>
                          <pic:cNvPr id="2028" name="image13.png"/>
                          <pic:cNvPicPr/>
                        </pic:nvPicPr>
                        <pic:blipFill>
                          <a:blip r:embed="rId41" cstate="print"/>
                          <a:stretch>
                            <a:fillRect/>
                          </a:stretch>
                        </pic:blipFill>
                        <pic:spPr>
                          <a:xfrm>
                            <a:off x="0" y="0"/>
                            <a:ext cx="58957" cy="72866"/>
                          </a:xfrm>
                          <a:prstGeom prst="rect">
                            <a:avLst/>
                          </a:prstGeom>
                        </pic:spPr>
                      </pic:pic>
                    </a:graphicData>
                  </a:graphic>
                </wp:inline>
              </w:drawing>
            </w:r>
            <w:r>
              <w:rPr>
                <w:position w:val="-1"/>
                <w:sz w:val="11"/>
              </w:rPr>
            </w:r>
          </w:p>
        </w:tc>
        <w:tc>
          <w:tcPr>
            <w:tcW w:w="1121" w:type="dxa"/>
          </w:tcPr>
          <w:p>
            <w:pPr>
              <w:pStyle w:val="TableParagraph"/>
              <w:rPr>
                <w:sz w:val="20"/>
              </w:rPr>
            </w:pPr>
          </w:p>
          <w:p>
            <w:pPr>
              <w:pStyle w:val="TableParagraph"/>
              <w:rPr>
                <w:sz w:val="20"/>
              </w:rPr>
            </w:pPr>
          </w:p>
          <w:p>
            <w:pPr>
              <w:pStyle w:val="TableParagraph"/>
              <w:spacing w:before="10"/>
              <w:rPr>
                <w:sz w:val="29"/>
              </w:rPr>
            </w:pPr>
          </w:p>
          <w:p>
            <w:pPr>
              <w:pStyle w:val="TableParagraph"/>
              <w:spacing w:line="114" w:lineRule="exact"/>
              <w:ind w:left="403"/>
              <w:rPr>
                <w:sz w:val="11"/>
              </w:rPr>
            </w:pPr>
            <w:r>
              <w:rPr>
                <w:position w:val="-1"/>
                <w:sz w:val="11"/>
              </w:rPr>
              <w:drawing>
                <wp:inline distT="0" distB="0" distL="0" distR="0">
                  <wp:extent cx="58957" cy="72866"/>
                  <wp:effectExtent l="0" t="0" r="0" b="0"/>
                  <wp:docPr id="2029" name="image13.png"/>
                  <wp:cNvGraphicFramePr>
                    <a:graphicFrameLocks noChangeAspect="1"/>
                  </wp:cNvGraphicFramePr>
                  <a:graphic>
                    <a:graphicData uri="http://schemas.openxmlformats.org/drawingml/2006/picture">
                      <pic:pic>
                        <pic:nvPicPr>
                          <pic:cNvPr id="2030" name="image13.png"/>
                          <pic:cNvPicPr/>
                        </pic:nvPicPr>
                        <pic:blipFill>
                          <a:blip r:embed="rId41" cstate="print"/>
                          <a:stretch>
                            <a:fillRect/>
                          </a:stretch>
                        </pic:blipFill>
                        <pic:spPr>
                          <a:xfrm>
                            <a:off x="0" y="0"/>
                            <a:ext cx="58957" cy="72866"/>
                          </a:xfrm>
                          <a:prstGeom prst="rect">
                            <a:avLst/>
                          </a:prstGeom>
                        </pic:spPr>
                      </pic:pic>
                    </a:graphicData>
                  </a:graphic>
                </wp:inline>
              </w:drawing>
            </w:r>
            <w:r>
              <w:rPr>
                <w:position w:val="-1"/>
                <w:sz w:val="11"/>
              </w:rPr>
            </w:r>
          </w:p>
        </w:tc>
        <w:tc>
          <w:tcPr>
            <w:tcW w:w="1303" w:type="dxa"/>
          </w:tcPr>
          <w:p>
            <w:pPr>
              <w:pStyle w:val="TableParagraph"/>
              <w:rPr>
                <w:sz w:val="20"/>
              </w:rPr>
            </w:pPr>
          </w:p>
          <w:p>
            <w:pPr>
              <w:pStyle w:val="TableParagraph"/>
              <w:rPr>
                <w:sz w:val="20"/>
              </w:rPr>
            </w:pPr>
          </w:p>
          <w:p>
            <w:pPr>
              <w:pStyle w:val="TableParagraph"/>
              <w:spacing w:before="10"/>
              <w:rPr>
                <w:sz w:val="29"/>
              </w:rPr>
            </w:pPr>
          </w:p>
          <w:p>
            <w:pPr>
              <w:pStyle w:val="TableParagraph"/>
              <w:spacing w:line="114" w:lineRule="exact"/>
              <w:ind w:left="497"/>
              <w:rPr>
                <w:sz w:val="11"/>
              </w:rPr>
            </w:pPr>
            <w:r>
              <w:rPr>
                <w:position w:val="-1"/>
                <w:sz w:val="11"/>
              </w:rPr>
              <w:drawing>
                <wp:inline distT="0" distB="0" distL="0" distR="0">
                  <wp:extent cx="58957" cy="72866"/>
                  <wp:effectExtent l="0" t="0" r="0" b="0"/>
                  <wp:docPr id="2031" name="image13.png"/>
                  <wp:cNvGraphicFramePr>
                    <a:graphicFrameLocks noChangeAspect="1"/>
                  </wp:cNvGraphicFramePr>
                  <a:graphic>
                    <a:graphicData uri="http://schemas.openxmlformats.org/drawingml/2006/picture">
                      <pic:pic>
                        <pic:nvPicPr>
                          <pic:cNvPr id="2032" name="image13.png"/>
                          <pic:cNvPicPr/>
                        </pic:nvPicPr>
                        <pic:blipFill>
                          <a:blip r:embed="rId41" cstate="print"/>
                          <a:stretch>
                            <a:fillRect/>
                          </a:stretch>
                        </pic:blipFill>
                        <pic:spPr>
                          <a:xfrm>
                            <a:off x="0" y="0"/>
                            <a:ext cx="58957" cy="72866"/>
                          </a:xfrm>
                          <a:prstGeom prst="rect">
                            <a:avLst/>
                          </a:prstGeom>
                        </pic:spPr>
                      </pic:pic>
                    </a:graphicData>
                  </a:graphic>
                </wp:inline>
              </w:drawing>
            </w:r>
            <w:r>
              <w:rPr>
                <w:position w:val="-1"/>
                <w:sz w:val="11"/>
              </w:rPr>
            </w:r>
          </w:p>
        </w:tc>
        <w:tc>
          <w:tcPr>
            <w:tcW w:w="960" w:type="dxa"/>
          </w:tcPr>
          <w:p>
            <w:pPr>
              <w:pStyle w:val="TableParagraph"/>
              <w:rPr>
                <w:sz w:val="20"/>
              </w:rPr>
            </w:pPr>
          </w:p>
          <w:p>
            <w:pPr>
              <w:pStyle w:val="TableParagraph"/>
              <w:rPr>
                <w:sz w:val="20"/>
              </w:rPr>
            </w:pPr>
          </w:p>
          <w:p>
            <w:pPr>
              <w:pStyle w:val="TableParagraph"/>
              <w:spacing w:before="10"/>
              <w:rPr>
                <w:sz w:val="29"/>
              </w:rPr>
            </w:pPr>
          </w:p>
          <w:p>
            <w:pPr>
              <w:pStyle w:val="TableParagraph"/>
              <w:spacing w:line="114" w:lineRule="exact"/>
              <w:ind w:left="324"/>
              <w:rPr>
                <w:sz w:val="11"/>
              </w:rPr>
            </w:pPr>
            <w:r>
              <w:rPr>
                <w:position w:val="-1"/>
                <w:sz w:val="11"/>
              </w:rPr>
              <w:drawing>
                <wp:inline distT="0" distB="0" distL="0" distR="0">
                  <wp:extent cx="58957" cy="72866"/>
                  <wp:effectExtent l="0" t="0" r="0" b="0"/>
                  <wp:docPr id="2033" name="image13.png"/>
                  <wp:cNvGraphicFramePr>
                    <a:graphicFrameLocks noChangeAspect="1"/>
                  </wp:cNvGraphicFramePr>
                  <a:graphic>
                    <a:graphicData uri="http://schemas.openxmlformats.org/drawingml/2006/picture">
                      <pic:pic>
                        <pic:nvPicPr>
                          <pic:cNvPr id="2034" name="image13.png"/>
                          <pic:cNvPicPr/>
                        </pic:nvPicPr>
                        <pic:blipFill>
                          <a:blip r:embed="rId41" cstate="print"/>
                          <a:stretch>
                            <a:fillRect/>
                          </a:stretch>
                        </pic:blipFill>
                        <pic:spPr>
                          <a:xfrm>
                            <a:off x="0" y="0"/>
                            <a:ext cx="58957" cy="72866"/>
                          </a:xfrm>
                          <a:prstGeom prst="rect">
                            <a:avLst/>
                          </a:prstGeom>
                        </pic:spPr>
                      </pic:pic>
                    </a:graphicData>
                  </a:graphic>
                </wp:inline>
              </w:drawing>
            </w:r>
            <w:r>
              <w:rPr>
                <w:position w:val="-1"/>
                <w:sz w:val="11"/>
              </w:rPr>
            </w:r>
          </w:p>
        </w:tc>
        <w:tc>
          <w:tcPr>
            <w:tcW w:w="948" w:type="dxa"/>
          </w:tcPr>
          <w:p>
            <w:pPr>
              <w:pStyle w:val="TableParagraph"/>
              <w:rPr>
                <w:sz w:val="20"/>
              </w:rPr>
            </w:pPr>
          </w:p>
          <w:p>
            <w:pPr>
              <w:pStyle w:val="TableParagraph"/>
              <w:rPr>
                <w:sz w:val="20"/>
              </w:rPr>
            </w:pPr>
          </w:p>
          <w:p>
            <w:pPr>
              <w:pStyle w:val="TableParagraph"/>
              <w:spacing w:before="10"/>
              <w:rPr>
                <w:sz w:val="29"/>
              </w:rPr>
            </w:pPr>
          </w:p>
          <w:p>
            <w:pPr>
              <w:pStyle w:val="TableParagraph"/>
              <w:spacing w:line="114" w:lineRule="exact"/>
              <w:ind w:left="319"/>
              <w:rPr>
                <w:sz w:val="11"/>
              </w:rPr>
            </w:pPr>
            <w:r>
              <w:rPr>
                <w:position w:val="-1"/>
                <w:sz w:val="11"/>
              </w:rPr>
              <w:drawing>
                <wp:inline distT="0" distB="0" distL="0" distR="0">
                  <wp:extent cx="58957" cy="72866"/>
                  <wp:effectExtent l="0" t="0" r="0" b="0"/>
                  <wp:docPr id="2035" name="image13.png"/>
                  <wp:cNvGraphicFramePr>
                    <a:graphicFrameLocks noChangeAspect="1"/>
                  </wp:cNvGraphicFramePr>
                  <a:graphic>
                    <a:graphicData uri="http://schemas.openxmlformats.org/drawingml/2006/picture">
                      <pic:pic>
                        <pic:nvPicPr>
                          <pic:cNvPr id="2036" name="image13.png"/>
                          <pic:cNvPicPr/>
                        </pic:nvPicPr>
                        <pic:blipFill>
                          <a:blip r:embed="rId41" cstate="print"/>
                          <a:stretch>
                            <a:fillRect/>
                          </a:stretch>
                        </pic:blipFill>
                        <pic:spPr>
                          <a:xfrm>
                            <a:off x="0" y="0"/>
                            <a:ext cx="58957" cy="72866"/>
                          </a:xfrm>
                          <a:prstGeom prst="rect">
                            <a:avLst/>
                          </a:prstGeom>
                        </pic:spPr>
                      </pic:pic>
                    </a:graphicData>
                  </a:graphic>
                </wp:inline>
              </w:drawing>
            </w:r>
            <w:r>
              <w:rPr>
                <w:position w:val="-1"/>
                <w:sz w:val="11"/>
              </w:rPr>
            </w:r>
          </w:p>
        </w:tc>
        <w:tc>
          <w:tcPr>
            <w:tcW w:w="1100" w:type="dxa"/>
          </w:tcPr>
          <w:p>
            <w:pPr>
              <w:pStyle w:val="TableParagraph"/>
              <w:rPr>
                <w:sz w:val="20"/>
              </w:rPr>
            </w:pPr>
          </w:p>
          <w:p>
            <w:pPr>
              <w:pStyle w:val="TableParagraph"/>
              <w:rPr>
                <w:sz w:val="20"/>
              </w:rPr>
            </w:pPr>
          </w:p>
          <w:p>
            <w:pPr>
              <w:pStyle w:val="TableParagraph"/>
              <w:spacing w:before="10"/>
              <w:rPr>
                <w:sz w:val="29"/>
              </w:rPr>
            </w:pPr>
          </w:p>
          <w:p>
            <w:pPr>
              <w:pStyle w:val="TableParagraph"/>
              <w:spacing w:line="114" w:lineRule="exact"/>
              <w:ind w:left="394"/>
              <w:rPr>
                <w:sz w:val="11"/>
              </w:rPr>
            </w:pPr>
            <w:r>
              <w:rPr>
                <w:position w:val="-1"/>
                <w:sz w:val="11"/>
              </w:rPr>
              <w:drawing>
                <wp:inline distT="0" distB="0" distL="0" distR="0">
                  <wp:extent cx="58957" cy="72866"/>
                  <wp:effectExtent l="0" t="0" r="0" b="0"/>
                  <wp:docPr id="2037" name="image13.png"/>
                  <wp:cNvGraphicFramePr>
                    <a:graphicFrameLocks noChangeAspect="1"/>
                  </wp:cNvGraphicFramePr>
                  <a:graphic>
                    <a:graphicData uri="http://schemas.openxmlformats.org/drawingml/2006/picture">
                      <pic:pic>
                        <pic:nvPicPr>
                          <pic:cNvPr id="2038" name="image13.png"/>
                          <pic:cNvPicPr/>
                        </pic:nvPicPr>
                        <pic:blipFill>
                          <a:blip r:embed="rId41" cstate="print"/>
                          <a:stretch>
                            <a:fillRect/>
                          </a:stretch>
                        </pic:blipFill>
                        <pic:spPr>
                          <a:xfrm>
                            <a:off x="0" y="0"/>
                            <a:ext cx="58957" cy="72866"/>
                          </a:xfrm>
                          <a:prstGeom prst="rect">
                            <a:avLst/>
                          </a:prstGeom>
                        </pic:spPr>
                      </pic:pic>
                    </a:graphicData>
                  </a:graphic>
                </wp:inline>
              </w:drawing>
            </w:r>
            <w:r>
              <w:rPr>
                <w:position w:val="-1"/>
                <w:sz w:val="11"/>
              </w:rPr>
            </w:r>
          </w:p>
        </w:tc>
        <w:tc>
          <w:tcPr>
            <w:tcW w:w="1282" w:type="dxa"/>
          </w:tcPr>
          <w:p>
            <w:pPr>
              <w:pStyle w:val="TableParagraph"/>
              <w:rPr>
                <w:sz w:val="20"/>
              </w:rPr>
            </w:pPr>
          </w:p>
          <w:p>
            <w:pPr>
              <w:pStyle w:val="TableParagraph"/>
              <w:rPr>
                <w:sz w:val="20"/>
              </w:rPr>
            </w:pPr>
          </w:p>
          <w:p>
            <w:pPr>
              <w:pStyle w:val="TableParagraph"/>
              <w:spacing w:before="10"/>
              <w:rPr>
                <w:sz w:val="29"/>
              </w:rPr>
            </w:pPr>
          </w:p>
          <w:p>
            <w:pPr>
              <w:pStyle w:val="TableParagraph"/>
              <w:spacing w:line="114" w:lineRule="exact"/>
              <w:ind w:left="484"/>
              <w:rPr>
                <w:sz w:val="11"/>
              </w:rPr>
            </w:pPr>
            <w:r>
              <w:rPr>
                <w:position w:val="-1"/>
                <w:sz w:val="11"/>
              </w:rPr>
              <w:drawing>
                <wp:inline distT="0" distB="0" distL="0" distR="0">
                  <wp:extent cx="58957" cy="72866"/>
                  <wp:effectExtent l="0" t="0" r="0" b="0"/>
                  <wp:docPr id="2039" name="image13.png"/>
                  <wp:cNvGraphicFramePr>
                    <a:graphicFrameLocks noChangeAspect="1"/>
                  </wp:cNvGraphicFramePr>
                  <a:graphic>
                    <a:graphicData uri="http://schemas.openxmlformats.org/drawingml/2006/picture">
                      <pic:pic>
                        <pic:nvPicPr>
                          <pic:cNvPr id="2040" name="image13.png"/>
                          <pic:cNvPicPr/>
                        </pic:nvPicPr>
                        <pic:blipFill>
                          <a:blip r:embed="rId41" cstate="print"/>
                          <a:stretch>
                            <a:fillRect/>
                          </a:stretch>
                        </pic:blipFill>
                        <pic:spPr>
                          <a:xfrm>
                            <a:off x="0" y="0"/>
                            <a:ext cx="58957" cy="72866"/>
                          </a:xfrm>
                          <a:prstGeom prst="rect">
                            <a:avLst/>
                          </a:prstGeom>
                        </pic:spPr>
                      </pic:pic>
                    </a:graphicData>
                  </a:graphic>
                </wp:inline>
              </w:drawing>
            </w:r>
            <w:r>
              <w:rPr>
                <w:position w:val="-1"/>
                <w:sz w:val="11"/>
              </w:rPr>
            </w:r>
          </w:p>
        </w:tc>
        <w:tc>
          <w:tcPr>
            <w:tcW w:w="946" w:type="dxa"/>
          </w:tcPr>
          <w:p>
            <w:pPr>
              <w:pStyle w:val="TableParagraph"/>
              <w:rPr>
                <w:sz w:val="20"/>
              </w:rPr>
            </w:pPr>
          </w:p>
          <w:p>
            <w:pPr>
              <w:pStyle w:val="TableParagraph"/>
              <w:rPr>
                <w:sz w:val="20"/>
              </w:rPr>
            </w:pPr>
          </w:p>
          <w:p>
            <w:pPr>
              <w:pStyle w:val="TableParagraph"/>
              <w:spacing w:before="10"/>
              <w:rPr>
                <w:sz w:val="29"/>
              </w:rPr>
            </w:pPr>
          </w:p>
          <w:p>
            <w:pPr>
              <w:pStyle w:val="TableParagraph"/>
              <w:spacing w:line="114" w:lineRule="exact"/>
              <w:ind w:left="316"/>
              <w:rPr>
                <w:sz w:val="11"/>
              </w:rPr>
            </w:pPr>
            <w:r>
              <w:rPr>
                <w:position w:val="-1"/>
                <w:sz w:val="11"/>
              </w:rPr>
              <w:drawing>
                <wp:inline distT="0" distB="0" distL="0" distR="0">
                  <wp:extent cx="58957" cy="72866"/>
                  <wp:effectExtent l="0" t="0" r="0" b="0"/>
                  <wp:docPr id="2041" name="image13.png"/>
                  <wp:cNvGraphicFramePr>
                    <a:graphicFrameLocks noChangeAspect="1"/>
                  </wp:cNvGraphicFramePr>
                  <a:graphic>
                    <a:graphicData uri="http://schemas.openxmlformats.org/drawingml/2006/picture">
                      <pic:pic>
                        <pic:nvPicPr>
                          <pic:cNvPr id="2042" name="image13.png"/>
                          <pic:cNvPicPr/>
                        </pic:nvPicPr>
                        <pic:blipFill>
                          <a:blip r:embed="rId41" cstate="print"/>
                          <a:stretch>
                            <a:fillRect/>
                          </a:stretch>
                        </pic:blipFill>
                        <pic:spPr>
                          <a:xfrm>
                            <a:off x="0" y="0"/>
                            <a:ext cx="58957" cy="72866"/>
                          </a:xfrm>
                          <a:prstGeom prst="rect">
                            <a:avLst/>
                          </a:prstGeom>
                        </pic:spPr>
                      </pic:pic>
                    </a:graphicData>
                  </a:graphic>
                </wp:inline>
              </w:drawing>
            </w:r>
            <w:r>
              <w:rPr>
                <w:position w:val="-1"/>
                <w:sz w:val="11"/>
              </w:rPr>
            </w:r>
          </w:p>
        </w:tc>
      </w:tr>
      <w:tr>
        <w:trPr>
          <w:trHeight w:val="815" w:hRule="atLeast"/>
        </w:trPr>
        <w:tc>
          <w:tcPr>
            <w:tcW w:w="1836" w:type="dxa"/>
          </w:tcPr>
          <w:p>
            <w:pPr>
              <w:pStyle w:val="TableParagraph"/>
              <w:spacing w:before="112"/>
              <w:ind w:left="167" w:right="158" w:hanging="1"/>
              <w:jc w:val="center"/>
              <w:rPr>
                <w:sz w:val="16"/>
              </w:rPr>
            </w:pPr>
            <w:r>
              <w:rPr>
                <w:sz w:val="16"/>
              </w:rPr>
              <w:t>Practice facilitator</w:t>
            </w:r>
            <w:r>
              <w:rPr>
                <w:spacing w:val="1"/>
                <w:sz w:val="16"/>
              </w:rPr>
              <w:t> </w:t>
            </w:r>
            <w:r>
              <w:rPr>
                <w:sz w:val="16"/>
              </w:rPr>
              <w:t>coaching webinars</w:t>
            </w:r>
            <w:r>
              <w:rPr>
                <w:spacing w:val="-42"/>
                <w:sz w:val="16"/>
              </w:rPr>
              <w:t> </w:t>
            </w:r>
            <w:r>
              <w:rPr>
                <w:sz w:val="16"/>
              </w:rPr>
              <w:t>(8)</w:t>
            </w:r>
          </w:p>
        </w:tc>
        <w:tc>
          <w:tcPr>
            <w:tcW w:w="962" w:type="dxa"/>
          </w:tcPr>
          <w:p>
            <w:pPr>
              <w:pStyle w:val="TableParagraph"/>
              <w:spacing w:before="10" w:after="1"/>
              <w:rPr>
                <w:sz w:val="29"/>
              </w:rPr>
            </w:pPr>
          </w:p>
          <w:p>
            <w:pPr>
              <w:pStyle w:val="TableParagraph"/>
              <w:spacing w:line="114" w:lineRule="exact"/>
              <w:ind w:left="326"/>
              <w:rPr>
                <w:sz w:val="11"/>
              </w:rPr>
            </w:pPr>
            <w:r>
              <w:rPr>
                <w:position w:val="-1"/>
                <w:sz w:val="11"/>
              </w:rPr>
              <w:drawing>
                <wp:inline distT="0" distB="0" distL="0" distR="0">
                  <wp:extent cx="58957" cy="72866"/>
                  <wp:effectExtent l="0" t="0" r="0" b="0"/>
                  <wp:docPr id="2043" name="image13.png"/>
                  <wp:cNvGraphicFramePr>
                    <a:graphicFrameLocks noChangeAspect="1"/>
                  </wp:cNvGraphicFramePr>
                  <a:graphic>
                    <a:graphicData uri="http://schemas.openxmlformats.org/drawingml/2006/picture">
                      <pic:pic>
                        <pic:nvPicPr>
                          <pic:cNvPr id="2044" name="image13.png"/>
                          <pic:cNvPicPr/>
                        </pic:nvPicPr>
                        <pic:blipFill>
                          <a:blip r:embed="rId41" cstate="print"/>
                          <a:stretch>
                            <a:fillRect/>
                          </a:stretch>
                        </pic:blipFill>
                        <pic:spPr>
                          <a:xfrm>
                            <a:off x="0" y="0"/>
                            <a:ext cx="58957" cy="72866"/>
                          </a:xfrm>
                          <a:prstGeom prst="rect">
                            <a:avLst/>
                          </a:prstGeom>
                        </pic:spPr>
                      </pic:pic>
                    </a:graphicData>
                  </a:graphic>
                </wp:inline>
              </w:drawing>
            </w:r>
            <w:r>
              <w:rPr>
                <w:position w:val="-1"/>
                <w:sz w:val="11"/>
              </w:rPr>
            </w:r>
          </w:p>
        </w:tc>
        <w:tc>
          <w:tcPr>
            <w:tcW w:w="1121" w:type="dxa"/>
          </w:tcPr>
          <w:p>
            <w:pPr>
              <w:pStyle w:val="TableParagraph"/>
              <w:spacing w:before="10" w:after="1"/>
              <w:rPr>
                <w:sz w:val="29"/>
              </w:rPr>
            </w:pPr>
          </w:p>
          <w:p>
            <w:pPr>
              <w:pStyle w:val="TableParagraph"/>
              <w:spacing w:line="114" w:lineRule="exact"/>
              <w:ind w:left="403"/>
              <w:rPr>
                <w:sz w:val="11"/>
              </w:rPr>
            </w:pPr>
            <w:r>
              <w:rPr>
                <w:position w:val="-1"/>
                <w:sz w:val="11"/>
              </w:rPr>
              <w:drawing>
                <wp:inline distT="0" distB="0" distL="0" distR="0">
                  <wp:extent cx="58957" cy="72866"/>
                  <wp:effectExtent l="0" t="0" r="0" b="0"/>
                  <wp:docPr id="2045" name="image13.png"/>
                  <wp:cNvGraphicFramePr>
                    <a:graphicFrameLocks noChangeAspect="1"/>
                  </wp:cNvGraphicFramePr>
                  <a:graphic>
                    <a:graphicData uri="http://schemas.openxmlformats.org/drawingml/2006/picture">
                      <pic:pic>
                        <pic:nvPicPr>
                          <pic:cNvPr id="2046" name="image13.png"/>
                          <pic:cNvPicPr/>
                        </pic:nvPicPr>
                        <pic:blipFill>
                          <a:blip r:embed="rId41" cstate="print"/>
                          <a:stretch>
                            <a:fillRect/>
                          </a:stretch>
                        </pic:blipFill>
                        <pic:spPr>
                          <a:xfrm>
                            <a:off x="0" y="0"/>
                            <a:ext cx="58957" cy="72866"/>
                          </a:xfrm>
                          <a:prstGeom prst="rect">
                            <a:avLst/>
                          </a:prstGeom>
                        </pic:spPr>
                      </pic:pic>
                    </a:graphicData>
                  </a:graphic>
                </wp:inline>
              </w:drawing>
            </w:r>
            <w:r>
              <w:rPr>
                <w:position w:val="-1"/>
                <w:sz w:val="11"/>
              </w:rPr>
            </w:r>
          </w:p>
        </w:tc>
        <w:tc>
          <w:tcPr>
            <w:tcW w:w="1303" w:type="dxa"/>
          </w:tcPr>
          <w:p>
            <w:pPr>
              <w:pStyle w:val="TableParagraph"/>
              <w:spacing w:before="10" w:after="1"/>
              <w:rPr>
                <w:sz w:val="29"/>
              </w:rPr>
            </w:pPr>
          </w:p>
          <w:p>
            <w:pPr>
              <w:pStyle w:val="TableParagraph"/>
              <w:spacing w:line="114" w:lineRule="exact"/>
              <w:ind w:left="497"/>
              <w:rPr>
                <w:sz w:val="11"/>
              </w:rPr>
            </w:pPr>
            <w:r>
              <w:rPr>
                <w:position w:val="-1"/>
                <w:sz w:val="11"/>
              </w:rPr>
              <w:drawing>
                <wp:inline distT="0" distB="0" distL="0" distR="0">
                  <wp:extent cx="58957" cy="72866"/>
                  <wp:effectExtent l="0" t="0" r="0" b="0"/>
                  <wp:docPr id="2047" name="image13.png"/>
                  <wp:cNvGraphicFramePr>
                    <a:graphicFrameLocks noChangeAspect="1"/>
                  </wp:cNvGraphicFramePr>
                  <a:graphic>
                    <a:graphicData uri="http://schemas.openxmlformats.org/drawingml/2006/picture">
                      <pic:pic>
                        <pic:nvPicPr>
                          <pic:cNvPr id="2048" name="image13.png"/>
                          <pic:cNvPicPr/>
                        </pic:nvPicPr>
                        <pic:blipFill>
                          <a:blip r:embed="rId41" cstate="print"/>
                          <a:stretch>
                            <a:fillRect/>
                          </a:stretch>
                        </pic:blipFill>
                        <pic:spPr>
                          <a:xfrm>
                            <a:off x="0" y="0"/>
                            <a:ext cx="58957" cy="72866"/>
                          </a:xfrm>
                          <a:prstGeom prst="rect">
                            <a:avLst/>
                          </a:prstGeom>
                        </pic:spPr>
                      </pic:pic>
                    </a:graphicData>
                  </a:graphic>
                </wp:inline>
              </w:drawing>
            </w:r>
            <w:r>
              <w:rPr>
                <w:position w:val="-1"/>
                <w:sz w:val="11"/>
              </w:rPr>
            </w:r>
          </w:p>
        </w:tc>
        <w:tc>
          <w:tcPr>
            <w:tcW w:w="960" w:type="dxa"/>
          </w:tcPr>
          <w:p>
            <w:pPr>
              <w:pStyle w:val="TableParagraph"/>
              <w:spacing w:before="10" w:after="1"/>
              <w:rPr>
                <w:sz w:val="29"/>
              </w:rPr>
            </w:pPr>
          </w:p>
          <w:p>
            <w:pPr>
              <w:pStyle w:val="TableParagraph"/>
              <w:spacing w:line="114" w:lineRule="exact"/>
              <w:ind w:left="324"/>
              <w:rPr>
                <w:sz w:val="11"/>
              </w:rPr>
            </w:pPr>
            <w:r>
              <w:rPr>
                <w:position w:val="-1"/>
                <w:sz w:val="11"/>
              </w:rPr>
              <w:drawing>
                <wp:inline distT="0" distB="0" distL="0" distR="0">
                  <wp:extent cx="58957" cy="72866"/>
                  <wp:effectExtent l="0" t="0" r="0" b="0"/>
                  <wp:docPr id="2049" name="image13.png"/>
                  <wp:cNvGraphicFramePr>
                    <a:graphicFrameLocks noChangeAspect="1"/>
                  </wp:cNvGraphicFramePr>
                  <a:graphic>
                    <a:graphicData uri="http://schemas.openxmlformats.org/drawingml/2006/picture">
                      <pic:pic>
                        <pic:nvPicPr>
                          <pic:cNvPr id="2050" name="image13.png"/>
                          <pic:cNvPicPr/>
                        </pic:nvPicPr>
                        <pic:blipFill>
                          <a:blip r:embed="rId41" cstate="print"/>
                          <a:stretch>
                            <a:fillRect/>
                          </a:stretch>
                        </pic:blipFill>
                        <pic:spPr>
                          <a:xfrm>
                            <a:off x="0" y="0"/>
                            <a:ext cx="58957" cy="72866"/>
                          </a:xfrm>
                          <a:prstGeom prst="rect">
                            <a:avLst/>
                          </a:prstGeom>
                        </pic:spPr>
                      </pic:pic>
                    </a:graphicData>
                  </a:graphic>
                </wp:inline>
              </w:drawing>
            </w:r>
            <w:r>
              <w:rPr>
                <w:position w:val="-1"/>
                <w:sz w:val="11"/>
              </w:rPr>
            </w:r>
          </w:p>
        </w:tc>
        <w:tc>
          <w:tcPr>
            <w:tcW w:w="948" w:type="dxa"/>
          </w:tcPr>
          <w:p>
            <w:pPr>
              <w:pStyle w:val="TableParagraph"/>
              <w:spacing w:before="10" w:after="1"/>
              <w:rPr>
                <w:sz w:val="29"/>
              </w:rPr>
            </w:pPr>
          </w:p>
          <w:p>
            <w:pPr>
              <w:pStyle w:val="TableParagraph"/>
              <w:spacing w:line="114" w:lineRule="exact"/>
              <w:ind w:left="319"/>
              <w:rPr>
                <w:sz w:val="11"/>
              </w:rPr>
            </w:pPr>
            <w:r>
              <w:rPr>
                <w:position w:val="-1"/>
                <w:sz w:val="11"/>
              </w:rPr>
              <w:drawing>
                <wp:inline distT="0" distB="0" distL="0" distR="0">
                  <wp:extent cx="58957" cy="72866"/>
                  <wp:effectExtent l="0" t="0" r="0" b="0"/>
                  <wp:docPr id="2051" name="image13.png"/>
                  <wp:cNvGraphicFramePr>
                    <a:graphicFrameLocks noChangeAspect="1"/>
                  </wp:cNvGraphicFramePr>
                  <a:graphic>
                    <a:graphicData uri="http://schemas.openxmlformats.org/drawingml/2006/picture">
                      <pic:pic>
                        <pic:nvPicPr>
                          <pic:cNvPr id="2052" name="image13.png"/>
                          <pic:cNvPicPr/>
                        </pic:nvPicPr>
                        <pic:blipFill>
                          <a:blip r:embed="rId41" cstate="print"/>
                          <a:stretch>
                            <a:fillRect/>
                          </a:stretch>
                        </pic:blipFill>
                        <pic:spPr>
                          <a:xfrm>
                            <a:off x="0" y="0"/>
                            <a:ext cx="58957" cy="72866"/>
                          </a:xfrm>
                          <a:prstGeom prst="rect">
                            <a:avLst/>
                          </a:prstGeom>
                        </pic:spPr>
                      </pic:pic>
                    </a:graphicData>
                  </a:graphic>
                </wp:inline>
              </w:drawing>
            </w:r>
            <w:r>
              <w:rPr>
                <w:position w:val="-1"/>
                <w:sz w:val="11"/>
              </w:rPr>
            </w:r>
          </w:p>
        </w:tc>
        <w:tc>
          <w:tcPr>
            <w:tcW w:w="1100" w:type="dxa"/>
          </w:tcPr>
          <w:p>
            <w:pPr>
              <w:pStyle w:val="TableParagraph"/>
              <w:spacing w:before="10" w:after="1"/>
              <w:rPr>
                <w:sz w:val="29"/>
              </w:rPr>
            </w:pPr>
          </w:p>
          <w:p>
            <w:pPr>
              <w:pStyle w:val="TableParagraph"/>
              <w:spacing w:line="114" w:lineRule="exact"/>
              <w:ind w:left="394"/>
              <w:rPr>
                <w:sz w:val="11"/>
              </w:rPr>
            </w:pPr>
            <w:r>
              <w:rPr>
                <w:position w:val="-1"/>
                <w:sz w:val="11"/>
              </w:rPr>
              <w:drawing>
                <wp:inline distT="0" distB="0" distL="0" distR="0">
                  <wp:extent cx="58957" cy="72866"/>
                  <wp:effectExtent l="0" t="0" r="0" b="0"/>
                  <wp:docPr id="2053" name="image13.png"/>
                  <wp:cNvGraphicFramePr>
                    <a:graphicFrameLocks noChangeAspect="1"/>
                  </wp:cNvGraphicFramePr>
                  <a:graphic>
                    <a:graphicData uri="http://schemas.openxmlformats.org/drawingml/2006/picture">
                      <pic:pic>
                        <pic:nvPicPr>
                          <pic:cNvPr id="2054" name="image13.png"/>
                          <pic:cNvPicPr/>
                        </pic:nvPicPr>
                        <pic:blipFill>
                          <a:blip r:embed="rId41" cstate="print"/>
                          <a:stretch>
                            <a:fillRect/>
                          </a:stretch>
                        </pic:blipFill>
                        <pic:spPr>
                          <a:xfrm>
                            <a:off x="0" y="0"/>
                            <a:ext cx="58957" cy="72866"/>
                          </a:xfrm>
                          <a:prstGeom prst="rect">
                            <a:avLst/>
                          </a:prstGeom>
                        </pic:spPr>
                      </pic:pic>
                    </a:graphicData>
                  </a:graphic>
                </wp:inline>
              </w:drawing>
            </w:r>
            <w:r>
              <w:rPr>
                <w:position w:val="-1"/>
                <w:sz w:val="11"/>
              </w:rPr>
            </w:r>
          </w:p>
        </w:tc>
        <w:tc>
          <w:tcPr>
            <w:tcW w:w="1282" w:type="dxa"/>
          </w:tcPr>
          <w:p>
            <w:pPr>
              <w:pStyle w:val="TableParagraph"/>
              <w:spacing w:before="10" w:after="1"/>
              <w:rPr>
                <w:sz w:val="29"/>
              </w:rPr>
            </w:pPr>
          </w:p>
          <w:p>
            <w:pPr>
              <w:pStyle w:val="TableParagraph"/>
              <w:spacing w:line="114" w:lineRule="exact"/>
              <w:ind w:left="484"/>
              <w:rPr>
                <w:sz w:val="11"/>
              </w:rPr>
            </w:pPr>
            <w:r>
              <w:rPr>
                <w:position w:val="-1"/>
                <w:sz w:val="11"/>
              </w:rPr>
              <w:drawing>
                <wp:inline distT="0" distB="0" distL="0" distR="0">
                  <wp:extent cx="58957" cy="72866"/>
                  <wp:effectExtent l="0" t="0" r="0" b="0"/>
                  <wp:docPr id="2055" name="image13.png"/>
                  <wp:cNvGraphicFramePr>
                    <a:graphicFrameLocks noChangeAspect="1"/>
                  </wp:cNvGraphicFramePr>
                  <a:graphic>
                    <a:graphicData uri="http://schemas.openxmlformats.org/drawingml/2006/picture">
                      <pic:pic>
                        <pic:nvPicPr>
                          <pic:cNvPr id="2056" name="image13.png"/>
                          <pic:cNvPicPr/>
                        </pic:nvPicPr>
                        <pic:blipFill>
                          <a:blip r:embed="rId41" cstate="print"/>
                          <a:stretch>
                            <a:fillRect/>
                          </a:stretch>
                        </pic:blipFill>
                        <pic:spPr>
                          <a:xfrm>
                            <a:off x="0" y="0"/>
                            <a:ext cx="58957" cy="72866"/>
                          </a:xfrm>
                          <a:prstGeom prst="rect">
                            <a:avLst/>
                          </a:prstGeom>
                        </pic:spPr>
                      </pic:pic>
                    </a:graphicData>
                  </a:graphic>
                </wp:inline>
              </w:drawing>
            </w:r>
            <w:r>
              <w:rPr>
                <w:position w:val="-1"/>
                <w:sz w:val="11"/>
              </w:rPr>
            </w:r>
          </w:p>
        </w:tc>
        <w:tc>
          <w:tcPr>
            <w:tcW w:w="946" w:type="dxa"/>
          </w:tcPr>
          <w:p>
            <w:pPr>
              <w:pStyle w:val="TableParagraph"/>
              <w:spacing w:before="10" w:after="1"/>
              <w:rPr>
                <w:sz w:val="29"/>
              </w:rPr>
            </w:pPr>
          </w:p>
          <w:p>
            <w:pPr>
              <w:pStyle w:val="TableParagraph"/>
              <w:spacing w:line="114" w:lineRule="exact"/>
              <w:ind w:left="316"/>
              <w:rPr>
                <w:sz w:val="11"/>
              </w:rPr>
            </w:pPr>
            <w:r>
              <w:rPr>
                <w:position w:val="-1"/>
                <w:sz w:val="11"/>
              </w:rPr>
              <w:drawing>
                <wp:inline distT="0" distB="0" distL="0" distR="0">
                  <wp:extent cx="58957" cy="72866"/>
                  <wp:effectExtent l="0" t="0" r="0" b="0"/>
                  <wp:docPr id="2057" name="image13.png"/>
                  <wp:cNvGraphicFramePr>
                    <a:graphicFrameLocks noChangeAspect="1"/>
                  </wp:cNvGraphicFramePr>
                  <a:graphic>
                    <a:graphicData uri="http://schemas.openxmlformats.org/drawingml/2006/picture">
                      <pic:pic>
                        <pic:nvPicPr>
                          <pic:cNvPr id="2058" name="image13.png"/>
                          <pic:cNvPicPr/>
                        </pic:nvPicPr>
                        <pic:blipFill>
                          <a:blip r:embed="rId41" cstate="print"/>
                          <a:stretch>
                            <a:fillRect/>
                          </a:stretch>
                        </pic:blipFill>
                        <pic:spPr>
                          <a:xfrm>
                            <a:off x="0" y="0"/>
                            <a:ext cx="58957" cy="72866"/>
                          </a:xfrm>
                          <a:prstGeom prst="rect">
                            <a:avLst/>
                          </a:prstGeom>
                        </pic:spPr>
                      </pic:pic>
                    </a:graphicData>
                  </a:graphic>
                </wp:inline>
              </w:drawing>
            </w:r>
            <w:r>
              <w:rPr>
                <w:position w:val="-1"/>
                <w:sz w:val="11"/>
              </w:rPr>
            </w:r>
          </w:p>
        </w:tc>
      </w:tr>
      <w:tr>
        <w:trPr>
          <w:trHeight w:val="1406" w:hRule="atLeast"/>
        </w:trPr>
        <w:tc>
          <w:tcPr>
            <w:tcW w:w="1836" w:type="dxa"/>
          </w:tcPr>
          <w:p>
            <w:pPr>
              <w:pStyle w:val="TableParagraph"/>
              <w:spacing w:before="112"/>
              <w:ind w:left="203" w:right="195"/>
              <w:jc w:val="center"/>
              <w:rPr>
                <w:sz w:val="16"/>
              </w:rPr>
            </w:pPr>
            <w:r>
              <w:rPr>
                <w:sz w:val="16"/>
              </w:rPr>
              <w:t>Practice facilitator</w:t>
            </w:r>
            <w:r>
              <w:rPr>
                <w:spacing w:val="-42"/>
                <w:sz w:val="16"/>
              </w:rPr>
              <w:t> </w:t>
            </w:r>
            <w:r>
              <w:rPr>
                <w:sz w:val="16"/>
              </w:rPr>
              <w:t>individual</w:t>
            </w:r>
            <w:r>
              <w:rPr>
                <w:spacing w:val="1"/>
                <w:sz w:val="16"/>
              </w:rPr>
              <w:t> </w:t>
            </w:r>
            <w:r>
              <w:rPr>
                <w:sz w:val="16"/>
              </w:rPr>
              <w:t>coaching/support</w:t>
            </w:r>
            <w:r>
              <w:rPr>
                <w:spacing w:val="-42"/>
                <w:sz w:val="16"/>
              </w:rPr>
              <w:t> </w:t>
            </w:r>
            <w:r>
              <w:rPr>
                <w:sz w:val="16"/>
              </w:rPr>
              <w:t>from AGPAL</w:t>
            </w:r>
            <w:r>
              <w:rPr>
                <w:spacing w:val="1"/>
                <w:sz w:val="16"/>
              </w:rPr>
              <w:t> </w:t>
            </w:r>
            <w:r>
              <w:rPr>
                <w:sz w:val="16"/>
              </w:rPr>
              <w:t>National practice</w:t>
            </w:r>
            <w:r>
              <w:rPr>
                <w:spacing w:val="1"/>
                <w:sz w:val="16"/>
              </w:rPr>
              <w:t> </w:t>
            </w:r>
            <w:r>
              <w:rPr>
                <w:sz w:val="16"/>
              </w:rPr>
              <w:t>facilitator</w:t>
            </w:r>
            <w:r>
              <w:rPr>
                <w:spacing w:val="-3"/>
                <w:sz w:val="16"/>
              </w:rPr>
              <w:t> </w:t>
            </w:r>
            <w:r>
              <w:rPr>
                <w:sz w:val="16"/>
              </w:rPr>
              <w:t>(9)</w:t>
            </w:r>
          </w:p>
        </w:tc>
        <w:tc>
          <w:tcPr>
            <w:tcW w:w="962" w:type="dxa"/>
          </w:tcPr>
          <w:p>
            <w:pPr>
              <w:pStyle w:val="TableParagraph"/>
              <w:rPr>
                <w:sz w:val="20"/>
              </w:rPr>
            </w:pPr>
          </w:p>
          <w:p>
            <w:pPr>
              <w:pStyle w:val="TableParagraph"/>
              <w:rPr>
                <w:sz w:val="20"/>
              </w:rPr>
            </w:pPr>
          </w:p>
          <w:p>
            <w:pPr>
              <w:pStyle w:val="TableParagraph"/>
              <w:spacing w:before="11"/>
              <w:rPr>
                <w:sz w:val="13"/>
              </w:rPr>
            </w:pPr>
          </w:p>
          <w:p>
            <w:pPr>
              <w:pStyle w:val="TableParagraph"/>
              <w:spacing w:line="115" w:lineRule="exact"/>
              <w:ind w:left="326"/>
              <w:rPr>
                <w:sz w:val="11"/>
              </w:rPr>
            </w:pPr>
            <w:r>
              <w:rPr>
                <w:position w:val="-1"/>
                <w:sz w:val="11"/>
              </w:rPr>
              <w:drawing>
                <wp:inline distT="0" distB="0" distL="0" distR="0">
                  <wp:extent cx="57814" cy="73151"/>
                  <wp:effectExtent l="0" t="0" r="0" b="0"/>
                  <wp:docPr id="2059" name="image14.png"/>
                  <wp:cNvGraphicFramePr>
                    <a:graphicFrameLocks noChangeAspect="1"/>
                  </wp:cNvGraphicFramePr>
                  <a:graphic>
                    <a:graphicData uri="http://schemas.openxmlformats.org/drawingml/2006/picture">
                      <pic:pic>
                        <pic:nvPicPr>
                          <pic:cNvPr id="2060" name="image14.png"/>
                          <pic:cNvPicPr/>
                        </pic:nvPicPr>
                        <pic:blipFill>
                          <a:blip r:embed="rId43" cstate="print"/>
                          <a:stretch>
                            <a:fillRect/>
                          </a:stretch>
                        </pic:blipFill>
                        <pic:spPr>
                          <a:xfrm>
                            <a:off x="0" y="0"/>
                            <a:ext cx="57814" cy="73151"/>
                          </a:xfrm>
                          <a:prstGeom prst="rect">
                            <a:avLst/>
                          </a:prstGeom>
                        </pic:spPr>
                      </pic:pic>
                    </a:graphicData>
                  </a:graphic>
                </wp:inline>
              </w:drawing>
            </w:r>
            <w:r>
              <w:rPr>
                <w:position w:val="-1"/>
                <w:sz w:val="11"/>
              </w:rPr>
            </w:r>
          </w:p>
        </w:tc>
        <w:tc>
          <w:tcPr>
            <w:tcW w:w="1121" w:type="dxa"/>
          </w:tcPr>
          <w:p>
            <w:pPr>
              <w:pStyle w:val="TableParagraph"/>
              <w:rPr>
                <w:sz w:val="20"/>
              </w:rPr>
            </w:pPr>
          </w:p>
          <w:p>
            <w:pPr>
              <w:pStyle w:val="TableParagraph"/>
              <w:rPr>
                <w:sz w:val="20"/>
              </w:rPr>
            </w:pPr>
          </w:p>
          <w:p>
            <w:pPr>
              <w:pStyle w:val="TableParagraph"/>
              <w:spacing w:before="11"/>
              <w:rPr>
                <w:sz w:val="13"/>
              </w:rPr>
            </w:pPr>
          </w:p>
          <w:p>
            <w:pPr>
              <w:pStyle w:val="TableParagraph"/>
              <w:spacing w:line="115" w:lineRule="exact"/>
              <w:ind w:left="403"/>
              <w:rPr>
                <w:sz w:val="11"/>
              </w:rPr>
            </w:pPr>
            <w:r>
              <w:rPr>
                <w:position w:val="-1"/>
                <w:sz w:val="11"/>
              </w:rPr>
              <w:drawing>
                <wp:inline distT="0" distB="0" distL="0" distR="0">
                  <wp:extent cx="57814" cy="73151"/>
                  <wp:effectExtent l="0" t="0" r="0" b="0"/>
                  <wp:docPr id="2061" name="image14.png"/>
                  <wp:cNvGraphicFramePr>
                    <a:graphicFrameLocks noChangeAspect="1"/>
                  </wp:cNvGraphicFramePr>
                  <a:graphic>
                    <a:graphicData uri="http://schemas.openxmlformats.org/drawingml/2006/picture">
                      <pic:pic>
                        <pic:nvPicPr>
                          <pic:cNvPr id="2062" name="image14.png"/>
                          <pic:cNvPicPr/>
                        </pic:nvPicPr>
                        <pic:blipFill>
                          <a:blip r:embed="rId43" cstate="print"/>
                          <a:stretch>
                            <a:fillRect/>
                          </a:stretch>
                        </pic:blipFill>
                        <pic:spPr>
                          <a:xfrm>
                            <a:off x="0" y="0"/>
                            <a:ext cx="57814" cy="73151"/>
                          </a:xfrm>
                          <a:prstGeom prst="rect">
                            <a:avLst/>
                          </a:prstGeom>
                        </pic:spPr>
                      </pic:pic>
                    </a:graphicData>
                  </a:graphic>
                </wp:inline>
              </w:drawing>
            </w:r>
            <w:r>
              <w:rPr>
                <w:position w:val="-1"/>
                <w:sz w:val="11"/>
              </w:rPr>
            </w:r>
          </w:p>
        </w:tc>
        <w:tc>
          <w:tcPr>
            <w:tcW w:w="1303" w:type="dxa"/>
          </w:tcPr>
          <w:p>
            <w:pPr>
              <w:pStyle w:val="TableParagraph"/>
              <w:rPr>
                <w:sz w:val="20"/>
              </w:rPr>
            </w:pPr>
          </w:p>
          <w:p>
            <w:pPr>
              <w:pStyle w:val="TableParagraph"/>
              <w:rPr>
                <w:sz w:val="20"/>
              </w:rPr>
            </w:pPr>
          </w:p>
          <w:p>
            <w:pPr>
              <w:pStyle w:val="TableParagraph"/>
              <w:spacing w:before="11"/>
              <w:rPr>
                <w:sz w:val="13"/>
              </w:rPr>
            </w:pPr>
          </w:p>
          <w:p>
            <w:pPr>
              <w:pStyle w:val="TableParagraph"/>
              <w:spacing w:line="115" w:lineRule="exact"/>
              <w:ind w:left="497"/>
              <w:rPr>
                <w:sz w:val="11"/>
              </w:rPr>
            </w:pPr>
            <w:r>
              <w:rPr>
                <w:position w:val="-1"/>
                <w:sz w:val="11"/>
              </w:rPr>
              <w:drawing>
                <wp:inline distT="0" distB="0" distL="0" distR="0">
                  <wp:extent cx="57814" cy="73151"/>
                  <wp:effectExtent l="0" t="0" r="0" b="0"/>
                  <wp:docPr id="2063" name="image14.png"/>
                  <wp:cNvGraphicFramePr>
                    <a:graphicFrameLocks noChangeAspect="1"/>
                  </wp:cNvGraphicFramePr>
                  <a:graphic>
                    <a:graphicData uri="http://schemas.openxmlformats.org/drawingml/2006/picture">
                      <pic:pic>
                        <pic:nvPicPr>
                          <pic:cNvPr id="2064" name="image14.png"/>
                          <pic:cNvPicPr/>
                        </pic:nvPicPr>
                        <pic:blipFill>
                          <a:blip r:embed="rId43" cstate="print"/>
                          <a:stretch>
                            <a:fillRect/>
                          </a:stretch>
                        </pic:blipFill>
                        <pic:spPr>
                          <a:xfrm>
                            <a:off x="0" y="0"/>
                            <a:ext cx="57814" cy="73151"/>
                          </a:xfrm>
                          <a:prstGeom prst="rect">
                            <a:avLst/>
                          </a:prstGeom>
                        </pic:spPr>
                      </pic:pic>
                    </a:graphicData>
                  </a:graphic>
                </wp:inline>
              </w:drawing>
            </w:r>
            <w:r>
              <w:rPr>
                <w:position w:val="-1"/>
                <w:sz w:val="11"/>
              </w:rPr>
            </w:r>
          </w:p>
        </w:tc>
        <w:tc>
          <w:tcPr>
            <w:tcW w:w="960" w:type="dxa"/>
          </w:tcPr>
          <w:p>
            <w:pPr>
              <w:pStyle w:val="TableParagraph"/>
              <w:rPr>
                <w:sz w:val="20"/>
              </w:rPr>
            </w:pPr>
          </w:p>
          <w:p>
            <w:pPr>
              <w:pStyle w:val="TableParagraph"/>
              <w:rPr>
                <w:sz w:val="20"/>
              </w:rPr>
            </w:pPr>
          </w:p>
          <w:p>
            <w:pPr>
              <w:pStyle w:val="TableParagraph"/>
              <w:spacing w:before="11"/>
              <w:rPr>
                <w:sz w:val="13"/>
              </w:rPr>
            </w:pPr>
          </w:p>
          <w:p>
            <w:pPr>
              <w:pStyle w:val="TableParagraph"/>
              <w:spacing w:line="115" w:lineRule="exact"/>
              <w:ind w:left="324"/>
              <w:rPr>
                <w:sz w:val="11"/>
              </w:rPr>
            </w:pPr>
            <w:r>
              <w:rPr>
                <w:position w:val="-1"/>
                <w:sz w:val="11"/>
              </w:rPr>
              <w:drawing>
                <wp:inline distT="0" distB="0" distL="0" distR="0">
                  <wp:extent cx="57814" cy="73151"/>
                  <wp:effectExtent l="0" t="0" r="0" b="0"/>
                  <wp:docPr id="2065" name="image14.png"/>
                  <wp:cNvGraphicFramePr>
                    <a:graphicFrameLocks noChangeAspect="1"/>
                  </wp:cNvGraphicFramePr>
                  <a:graphic>
                    <a:graphicData uri="http://schemas.openxmlformats.org/drawingml/2006/picture">
                      <pic:pic>
                        <pic:nvPicPr>
                          <pic:cNvPr id="2066" name="image14.png"/>
                          <pic:cNvPicPr/>
                        </pic:nvPicPr>
                        <pic:blipFill>
                          <a:blip r:embed="rId43" cstate="print"/>
                          <a:stretch>
                            <a:fillRect/>
                          </a:stretch>
                        </pic:blipFill>
                        <pic:spPr>
                          <a:xfrm>
                            <a:off x="0" y="0"/>
                            <a:ext cx="57814" cy="73151"/>
                          </a:xfrm>
                          <a:prstGeom prst="rect">
                            <a:avLst/>
                          </a:prstGeom>
                        </pic:spPr>
                      </pic:pic>
                    </a:graphicData>
                  </a:graphic>
                </wp:inline>
              </w:drawing>
            </w:r>
            <w:r>
              <w:rPr>
                <w:position w:val="-1"/>
                <w:sz w:val="11"/>
              </w:rPr>
            </w:r>
          </w:p>
        </w:tc>
        <w:tc>
          <w:tcPr>
            <w:tcW w:w="948" w:type="dxa"/>
          </w:tcPr>
          <w:p>
            <w:pPr>
              <w:pStyle w:val="TableParagraph"/>
              <w:rPr>
                <w:sz w:val="20"/>
              </w:rPr>
            </w:pPr>
          </w:p>
          <w:p>
            <w:pPr>
              <w:pStyle w:val="TableParagraph"/>
              <w:rPr>
                <w:sz w:val="20"/>
              </w:rPr>
            </w:pPr>
          </w:p>
          <w:p>
            <w:pPr>
              <w:pStyle w:val="TableParagraph"/>
              <w:spacing w:before="11"/>
              <w:rPr>
                <w:sz w:val="13"/>
              </w:rPr>
            </w:pPr>
          </w:p>
          <w:p>
            <w:pPr>
              <w:pStyle w:val="TableParagraph"/>
              <w:spacing w:line="115" w:lineRule="exact"/>
              <w:ind w:left="319"/>
              <w:rPr>
                <w:sz w:val="11"/>
              </w:rPr>
            </w:pPr>
            <w:r>
              <w:rPr>
                <w:position w:val="-1"/>
                <w:sz w:val="11"/>
              </w:rPr>
              <w:drawing>
                <wp:inline distT="0" distB="0" distL="0" distR="0">
                  <wp:extent cx="57814" cy="73151"/>
                  <wp:effectExtent l="0" t="0" r="0" b="0"/>
                  <wp:docPr id="2067" name="image14.png"/>
                  <wp:cNvGraphicFramePr>
                    <a:graphicFrameLocks noChangeAspect="1"/>
                  </wp:cNvGraphicFramePr>
                  <a:graphic>
                    <a:graphicData uri="http://schemas.openxmlformats.org/drawingml/2006/picture">
                      <pic:pic>
                        <pic:nvPicPr>
                          <pic:cNvPr id="2068" name="image14.png"/>
                          <pic:cNvPicPr/>
                        </pic:nvPicPr>
                        <pic:blipFill>
                          <a:blip r:embed="rId43" cstate="print"/>
                          <a:stretch>
                            <a:fillRect/>
                          </a:stretch>
                        </pic:blipFill>
                        <pic:spPr>
                          <a:xfrm>
                            <a:off x="0" y="0"/>
                            <a:ext cx="57814" cy="73151"/>
                          </a:xfrm>
                          <a:prstGeom prst="rect">
                            <a:avLst/>
                          </a:prstGeom>
                        </pic:spPr>
                      </pic:pic>
                    </a:graphicData>
                  </a:graphic>
                </wp:inline>
              </w:drawing>
            </w:r>
            <w:r>
              <w:rPr>
                <w:position w:val="-1"/>
                <w:sz w:val="11"/>
              </w:rPr>
            </w:r>
          </w:p>
        </w:tc>
        <w:tc>
          <w:tcPr>
            <w:tcW w:w="1100" w:type="dxa"/>
          </w:tcPr>
          <w:p>
            <w:pPr>
              <w:pStyle w:val="TableParagraph"/>
              <w:rPr>
                <w:sz w:val="20"/>
              </w:rPr>
            </w:pPr>
          </w:p>
          <w:p>
            <w:pPr>
              <w:pStyle w:val="TableParagraph"/>
              <w:rPr>
                <w:sz w:val="20"/>
              </w:rPr>
            </w:pPr>
          </w:p>
          <w:p>
            <w:pPr>
              <w:pStyle w:val="TableParagraph"/>
              <w:spacing w:before="11"/>
              <w:rPr>
                <w:sz w:val="13"/>
              </w:rPr>
            </w:pPr>
          </w:p>
          <w:p>
            <w:pPr>
              <w:pStyle w:val="TableParagraph"/>
              <w:spacing w:line="112" w:lineRule="exact"/>
              <w:ind w:left="394"/>
              <w:rPr>
                <w:sz w:val="11"/>
              </w:rPr>
            </w:pPr>
            <w:r>
              <w:rPr>
                <w:position w:val="-1"/>
                <w:sz w:val="11"/>
              </w:rPr>
              <w:drawing>
                <wp:inline distT="0" distB="0" distL="0" distR="0">
                  <wp:extent cx="57802" cy="71437"/>
                  <wp:effectExtent l="0" t="0" r="0" b="0"/>
                  <wp:docPr id="2069" name="image13.png"/>
                  <wp:cNvGraphicFramePr>
                    <a:graphicFrameLocks noChangeAspect="1"/>
                  </wp:cNvGraphicFramePr>
                  <a:graphic>
                    <a:graphicData uri="http://schemas.openxmlformats.org/drawingml/2006/picture">
                      <pic:pic>
                        <pic:nvPicPr>
                          <pic:cNvPr id="2070"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282" w:type="dxa"/>
          </w:tcPr>
          <w:p>
            <w:pPr>
              <w:pStyle w:val="TableParagraph"/>
              <w:rPr>
                <w:sz w:val="20"/>
              </w:rPr>
            </w:pPr>
          </w:p>
          <w:p>
            <w:pPr>
              <w:pStyle w:val="TableParagraph"/>
              <w:rPr>
                <w:sz w:val="20"/>
              </w:rPr>
            </w:pPr>
          </w:p>
          <w:p>
            <w:pPr>
              <w:pStyle w:val="TableParagraph"/>
              <w:spacing w:before="11"/>
              <w:rPr>
                <w:sz w:val="13"/>
              </w:rPr>
            </w:pPr>
          </w:p>
          <w:p>
            <w:pPr>
              <w:pStyle w:val="TableParagraph"/>
              <w:spacing w:line="112" w:lineRule="exact"/>
              <w:ind w:left="484"/>
              <w:rPr>
                <w:sz w:val="11"/>
              </w:rPr>
            </w:pPr>
            <w:r>
              <w:rPr>
                <w:position w:val="-1"/>
                <w:sz w:val="11"/>
              </w:rPr>
              <w:drawing>
                <wp:inline distT="0" distB="0" distL="0" distR="0">
                  <wp:extent cx="57802" cy="71437"/>
                  <wp:effectExtent l="0" t="0" r="0" b="0"/>
                  <wp:docPr id="2071" name="image13.png"/>
                  <wp:cNvGraphicFramePr>
                    <a:graphicFrameLocks noChangeAspect="1"/>
                  </wp:cNvGraphicFramePr>
                  <a:graphic>
                    <a:graphicData uri="http://schemas.openxmlformats.org/drawingml/2006/picture">
                      <pic:pic>
                        <pic:nvPicPr>
                          <pic:cNvPr id="2072"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946" w:type="dxa"/>
          </w:tcPr>
          <w:p>
            <w:pPr>
              <w:pStyle w:val="TableParagraph"/>
              <w:rPr>
                <w:sz w:val="20"/>
              </w:rPr>
            </w:pPr>
          </w:p>
          <w:p>
            <w:pPr>
              <w:pStyle w:val="TableParagraph"/>
              <w:rPr>
                <w:sz w:val="20"/>
              </w:rPr>
            </w:pPr>
          </w:p>
          <w:p>
            <w:pPr>
              <w:pStyle w:val="TableParagraph"/>
              <w:spacing w:before="11"/>
              <w:rPr>
                <w:sz w:val="13"/>
              </w:rPr>
            </w:pPr>
          </w:p>
          <w:p>
            <w:pPr>
              <w:pStyle w:val="TableParagraph"/>
              <w:spacing w:line="112" w:lineRule="exact"/>
              <w:ind w:left="316"/>
              <w:rPr>
                <w:sz w:val="11"/>
              </w:rPr>
            </w:pPr>
            <w:r>
              <w:rPr>
                <w:position w:val="-1"/>
                <w:sz w:val="11"/>
              </w:rPr>
              <w:drawing>
                <wp:inline distT="0" distB="0" distL="0" distR="0">
                  <wp:extent cx="57802" cy="71437"/>
                  <wp:effectExtent l="0" t="0" r="0" b="0"/>
                  <wp:docPr id="2073" name="image13.png"/>
                  <wp:cNvGraphicFramePr>
                    <a:graphicFrameLocks noChangeAspect="1"/>
                  </wp:cNvGraphicFramePr>
                  <a:graphic>
                    <a:graphicData uri="http://schemas.openxmlformats.org/drawingml/2006/picture">
                      <pic:pic>
                        <pic:nvPicPr>
                          <pic:cNvPr id="2074"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r>
      <w:tr>
        <w:trPr>
          <w:trHeight w:val="817" w:hRule="atLeast"/>
        </w:trPr>
        <w:tc>
          <w:tcPr>
            <w:tcW w:w="1836" w:type="dxa"/>
          </w:tcPr>
          <w:p>
            <w:pPr>
              <w:pStyle w:val="TableParagraph"/>
              <w:spacing w:before="112"/>
              <w:ind w:left="203" w:right="195"/>
              <w:jc w:val="center"/>
              <w:rPr>
                <w:sz w:val="16"/>
              </w:rPr>
            </w:pPr>
            <w:r>
              <w:rPr>
                <w:sz w:val="16"/>
              </w:rPr>
              <w:t>Practice facilitator</w:t>
            </w:r>
            <w:r>
              <w:rPr>
                <w:spacing w:val="-42"/>
                <w:sz w:val="16"/>
              </w:rPr>
              <w:t> </w:t>
            </w:r>
            <w:r>
              <w:rPr>
                <w:sz w:val="16"/>
              </w:rPr>
              <w:t>teleconferences</w:t>
            </w:r>
            <w:r>
              <w:rPr>
                <w:spacing w:val="1"/>
                <w:sz w:val="16"/>
              </w:rPr>
              <w:t> </w:t>
            </w:r>
            <w:r>
              <w:rPr>
                <w:sz w:val="16"/>
              </w:rPr>
              <w:t>(10)</w:t>
            </w:r>
          </w:p>
        </w:tc>
        <w:tc>
          <w:tcPr>
            <w:tcW w:w="962" w:type="dxa"/>
          </w:tcPr>
          <w:p>
            <w:pPr>
              <w:pStyle w:val="TableParagraph"/>
              <w:spacing w:before="10"/>
              <w:rPr>
                <w:sz w:val="29"/>
              </w:rPr>
            </w:pPr>
          </w:p>
          <w:p>
            <w:pPr>
              <w:pStyle w:val="TableParagraph"/>
              <w:spacing w:line="112" w:lineRule="exact"/>
              <w:ind w:left="326"/>
              <w:rPr>
                <w:sz w:val="11"/>
              </w:rPr>
            </w:pPr>
            <w:r>
              <w:rPr>
                <w:position w:val="-1"/>
                <w:sz w:val="11"/>
              </w:rPr>
              <w:drawing>
                <wp:inline distT="0" distB="0" distL="0" distR="0">
                  <wp:extent cx="57802" cy="71437"/>
                  <wp:effectExtent l="0" t="0" r="0" b="0"/>
                  <wp:docPr id="2075" name="image13.png"/>
                  <wp:cNvGraphicFramePr>
                    <a:graphicFrameLocks noChangeAspect="1"/>
                  </wp:cNvGraphicFramePr>
                  <a:graphic>
                    <a:graphicData uri="http://schemas.openxmlformats.org/drawingml/2006/picture">
                      <pic:pic>
                        <pic:nvPicPr>
                          <pic:cNvPr id="2076"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121" w:type="dxa"/>
          </w:tcPr>
          <w:p>
            <w:pPr>
              <w:pStyle w:val="TableParagraph"/>
              <w:spacing w:before="10"/>
              <w:rPr>
                <w:sz w:val="29"/>
              </w:rPr>
            </w:pPr>
          </w:p>
          <w:p>
            <w:pPr>
              <w:pStyle w:val="TableParagraph"/>
              <w:spacing w:line="112" w:lineRule="exact"/>
              <w:ind w:left="403"/>
              <w:rPr>
                <w:sz w:val="11"/>
              </w:rPr>
            </w:pPr>
            <w:r>
              <w:rPr>
                <w:position w:val="-1"/>
                <w:sz w:val="11"/>
              </w:rPr>
              <w:drawing>
                <wp:inline distT="0" distB="0" distL="0" distR="0">
                  <wp:extent cx="57802" cy="71437"/>
                  <wp:effectExtent l="0" t="0" r="0" b="0"/>
                  <wp:docPr id="2077" name="image13.png"/>
                  <wp:cNvGraphicFramePr>
                    <a:graphicFrameLocks noChangeAspect="1"/>
                  </wp:cNvGraphicFramePr>
                  <a:graphic>
                    <a:graphicData uri="http://schemas.openxmlformats.org/drawingml/2006/picture">
                      <pic:pic>
                        <pic:nvPicPr>
                          <pic:cNvPr id="2078"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303" w:type="dxa"/>
          </w:tcPr>
          <w:p>
            <w:pPr>
              <w:pStyle w:val="TableParagraph"/>
              <w:spacing w:before="10"/>
              <w:rPr>
                <w:sz w:val="29"/>
              </w:rPr>
            </w:pPr>
          </w:p>
          <w:p>
            <w:pPr>
              <w:pStyle w:val="TableParagraph"/>
              <w:spacing w:line="112" w:lineRule="exact"/>
              <w:ind w:left="497"/>
              <w:rPr>
                <w:sz w:val="11"/>
              </w:rPr>
            </w:pPr>
            <w:r>
              <w:rPr>
                <w:position w:val="-1"/>
                <w:sz w:val="11"/>
              </w:rPr>
              <w:drawing>
                <wp:inline distT="0" distB="0" distL="0" distR="0">
                  <wp:extent cx="57802" cy="71437"/>
                  <wp:effectExtent l="0" t="0" r="0" b="0"/>
                  <wp:docPr id="2079" name="image13.png"/>
                  <wp:cNvGraphicFramePr>
                    <a:graphicFrameLocks noChangeAspect="1"/>
                  </wp:cNvGraphicFramePr>
                  <a:graphic>
                    <a:graphicData uri="http://schemas.openxmlformats.org/drawingml/2006/picture">
                      <pic:pic>
                        <pic:nvPicPr>
                          <pic:cNvPr id="2080"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960" w:type="dxa"/>
          </w:tcPr>
          <w:p>
            <w:pPr>
              <w:pStyle w:val="TableParagraph"/>
              <w:spacing w:before="10"/>
              <w:rPr>
                <w:sz w:val="29"/>
              </w:rPr>
            </w:pPr>
          </w:p>
          <w:p>
            <w:pPr>
              <w:pStyle w:val="TableParagraph"/>
              <w:spacing w:line="112" w:lineRule="exact"/>
              <w:ind w:left="324"/>
              <w:rPr>
                <w:sz w:val="11"/>
              </w:rPr>
            </w:pPr>
            <w:r>
              <w:rPr>
                <w:position w:val="-1"/>
                <w:sz w:val="11"/>
              </w:rPr>
              <w:drawing>
                <wp:inline distT="0" distB="0" distL="0" distR="0">
                  <wp:extent cx="57802" cy="71437"/>
                  <wp:effectExtent l="0" t="0" r="0" b="0"/>
                  <wp:docPr id="2081" name="image13.png"/>
                  <wp:cNvGraphicFramePr>
                    <a:graphicFrameLocks noChangeAspect="1"/>
                  </wp:cNvGraphicFramePr>
                  <a:graphic>
                    <a:graphicData uri="http://schemas.openxmlformats.org/drawingml/2006/picture">
                      <pic:pic>
                        <pic:nvPicPr>
                          <pic:cNvPr id="2082"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948" w:type="dxa"/>
          </w:tcPr>
          <w:p>
            <w:pPr>
              <w:pStyle w:val="TableParagraph"/>
              <w:spacing w:before="10"/>
              <w:rPr>
                <w:sz w:val="29"/>
              </w:rPr>
            </w:pPr>
          </w:p>
          <w:p>
            <w:pPr>
              <w:pStyle w:val="TableParagraph"/>
              <w:spacing w:line="112" w:lineRule="exact"/>
              <w:ind w:left="319"/>
              <w:rPr>
                <w:sz w:val="11"/>
              </w:rPr>
            </w:pPr>
            <w:r>
              <w:rPr>
                <w:position w:val="-1"/>
                <w:sz w:val="11"/>
              </w:rPr>
              <w:drawing>
                <wp:inline distT="0" distB="0" distL="0" distR="0">
                  <wp:extent cx="57802" cy="71437"/>
                  <wp:effectExtent l="0" t="0" r="0" b="0"/>
                  <wp:docPr id="2083" name="image13.png"/>
                  <wp:cNvGraphicFramePr>
                    <a:graphicFrameLocks noChangeAspect="1"/>
                  </wp:cNvGraphicFramePr>
                  <a:graphic>
                    <a:graphicData uri="http://schemas.openxmlformats.org/drawingml/2006/picture">
                      <pic:pic>
                        <pic:nvPicPr>
                          <pic:cNvPr id="2084"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100" w:type="dxa"/>
          </w:tcPr>
          <w:p>
            <w:pPr>
              <w:pStyle w:val="TableParagraph"/>
              <w:spacing w:before="10"/>
              <w:rPr>
                <w:sz w:val="29"/>
              </w:rPr>
            </w:pPr>
          </w:p>
          <w:p>
            <w:pPr>
              <w:pStyle w:val="TableParagraph"/>
              <w:spacing w:line="112" w:lineRule="exact"/>
              <w:ind w:left="394"/>
              <w:rPr>
                <w:sz w:val="11"/>
              </w:rPr>
            </w:pPr>
            <w:r>
              <w:rPr>
                <w:position w:val="-1"/>
                <w:sz w:val="11"/>
              </w:rPr>
              <w:drawing>
                <wp:inline distT="0" distB="0" distL="0" distR="0">
                  <wp:extent cx="57802" cy="71437"/>
                  <wp:effectExtent l="0" t="0" r="0" b="0"/>
                  <wp:docPr id="2085" name="image13.png"/>
                  <wp:cNvGraphicFramePr>
                    <a:graphicFrameLocks noChangeAspect="1"/>
                  </wp:cNvGraphicFramePr>
                  <a:graphic>
                    <a:graphicData uri="http://schemas.openxmlformats.org/drawingml/2006/picture">
                      <pic:pic>
                        <pic:nvPicPr>
                          <pic:cNvPr id="2086"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1282" w:type="dxa"/>
          </w:tcPr>
          <w:p>
            <w:pPr>
              <w:pStyle w:val="TableParagraph"/>
              <w:spacing w:before="10"/>
              <w:rPr>
                <w:sz w:val="29"/>
              </w:rPr>
            </w:pPr>
          </w:p>
          <w:p>
            <w:pPr>
              <w:pStyle w:val="TableParagraph"/>
              <w:spacing w:line="112" w:lineRule="exact"/>
              <w:ind w:left="484"/>
              <w:rPr>
                <w:sz w:val="11"/>
              </w:rPr>
            </w:pPr>
            <w:r>
              <w:rPr>
                <w:position w:val="-1"/>
                <w:sz w:val="11"/>
              </w:rPr>
              <w:drawing>
                <wp:inline distT="0" distB="0" distL="0" distR="0">
                  <wp:extent cx="57802" cy="71437"/>
                  <wp:effectExtent l="0" t="0" r="0" b="0"/>
                  <wp:docPr id="2087" name="image13.png"/>
                  <wp:cNvGraphicFramePr>
                    <a:graphicFrameLocks noChangeAspect="1"/>
                  </wp:cNvGraphicFramePr>
                  <a:graphic>
                    <a:graphicData uri="http://schemas.openxmlformats.org/drawingml/2006/picture">
                      <pic:pic>
                        <pic:nvPicPr>
                          <pic:cNvPr id="2088"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c>
          <w:tcPr>
            <w:tcW w:w="946" w:type="dxa"/>
          </w:tcPr>
          <w:p>
            <w:pPr>
              <w:pStyle w:val="TableParagraph"/>
              <w:spacing w:before="10"/>
              <w:rPr>
                <w:sz w:val="29"/>
              </w:rPr>
            </w:pPr>
          </w:p>
          <w:p>
            <w:pPr>
              <w:pStyle w:val="TableParagraph"/>
              <w:spacing w:line="112" w:lineRule="exact"/>
              <w:ind w:left="316"/>
              <w:rPr>
                <w:sz w:val="11"/>
              </w:rPr>
            </w:pPr>
            <w:r>
              <w:rPr>
                <w:position w:val="-1"/>
                <w:sz w:val="11"/>
              </w:rPr>
              <w:drawing>
                <wp:inline distT="0" distB="0" distL="0" distR="0">
                  <wp:extent cx="57802" cy="71437"/>
                  <wp:effectExtent l="0" t="0" r="0" b="0"/>
                  <wp:docPr id="2089" name="image13.png"/>
                  <wp:cNvGraphicFramePr>
                    <a:graphicFrameLocks noChangeAspect="1"/>
                  </wp:cNvGraphicFramePr>
                  <a:graphic>
                    <a:graphicData uri="http://schemas.openxmlformats.org/drawingml/2006/picture">
                      <pic:pic>
                        <pic:nvPicPr>
                          <pic:cNvPr id="2090" name="image13.png"/>
                          <pic:cNvPicPr/>
                        </pic:nvPicPr>
                        <pic:blipFill>
                          <a:blip r:embed="rId41" cstate="print"/>
                          <a:stretch>
                            <a:fillRect/>
                          </a:stretch>
                        </pic:blipFill>
                        <pic:spPr>
                          <a:xfrm>
                            <a:off x="0" y="0"/>
                            <a:ext cx="57802" cy="71437"/>
                          </a:xfrm>
                          <a:prstGeom prst="rect">
                            <a:avLst/>
                          </a:prstGeom>
                        </pic:spPr>
                      </pic:pic>
                    </a:graphicData>
                  </a:graphic>
                </wp:inline>
              </w:drawing>
            </w:r>
            <w:r>
              <w:rPr>
                <w:position w:val="-1"/>
                <w:sz w:val="11"/>
              </w:rPr>
            </w:r>
          </w:p>
        </w:tc>
      </w:tr>
    </w:tbl>
    <w:p>
      <w:pPr>
        <w:pStyle w:val="BodyText"/>
        <w:spacing w:before="9"/>
      </w:pPr>
    </w:p>
    <w:p>
      <w:pPr>
        <w:pStyle w:val="ListParagraph"/>
        <w:numPr>
          <w:ilvl w:val="0"/>
          <w:numId w:val="105"/>
        </w:numPr>
        <w:tabs>
          <w:tab w:pos="722" w:val="left" w:leader="none"/>
        </w:tabs>
        <w:spacing w:line="276" w:lineRule="auto" w:before="0" w:after="0"/>
        <w:ind w:left="420" w:right="1469" w:firstLine="0"/>
        <w:jc w:val="left"/>
        <w:rPr>
          <w:sz w:val="18"/>
        </w:rPr>
      </w:pPr>
      <w:r>
        <w:rPr>
          <w:sz w:val="18"/>
        </w:rPr>
        <w:t>What are the three top changes to the </w:t>
      </w:r>
      <w:r>
        <w:rPr>
          <w:b/>
          <w:sz w:val="18"/>
        </w:rPr>
        <w:t>HCH online training modules </w:t>
      </w:r>
      <w:r>
        <w:rPr>
          <w:sz w:val="18"/>
        </w:rPr>
        <w:t>that would improve their usefulness and</w:t>
      </w:r>
      <w:r>
        <w:rPr>
          <w:spacing w:val="-47"/>
          <w:sz w:val="18"/>
        </w:rPr>
        <w:t> </w:t>
      </w:r>
      <w:r>
        <w:rPr>
          <w:sz w:val="18"/>
        </w:rPr>
        <w:t>effectiveness</w:t>
      </w:r>
      <w:r>
        <w:rPr>
          <w:spacing w:val="-2"/>
          <w:sz w:val="18"/>
        </w:rPr>
        <w:t> </w:t>
      </w:r>
      <w:r>
        <w:rPr>
          <w:sz w:val="18"/>
        </w:rPr>
        <w:t>for</w:t>
      </w:r>
      <w:r>
        <w:rPr>
          <w:spacing w:val="-2"/>
          <w:sz w:val="18"/>
        </w:rPr>
        <w:t> </w:t>
      </w:r>
      <w:r>
        <w:rPr>
          <w:sz w:val="18"/>
        </w:rPr>
        <w:t>practice</w:t>
      </w:r>
      <w:r>
        <w:rPr>
          <w:spacing w:val="-2"/>
          <w:sz w:val="18"/>
        </w:rPr>
        <w:t> </w:t>
      </w:r>
      <w:r>
        <w:rPr>
          <w:sz w:val="18"/>
        </w:rPr>
        <w:t>staff and</w:t>
      </w:r>
      <w:r>
        <w:rPr>
          <w:spacing w:val="-1"/>
          <w:sz w:val="18"/>
        </w:rPr>
        <w:t> </w:t>
      </w:r>
      <w:r>
        <w:rPr>
          <w:sz w:val="18"/>
        </w:rPr>
        <w:t>practices?</w:t>
      </w:r>
    </w:p>
    <w:p>
      <w:pPr>
        <w:pStyle w:val="BodyText"/>
        <w:spacing w:before="2"/>
        <w:rPr>
          <w:sz w:val="8"/>
        </w:rPr>
      </w:pPr>
    </w:p>
    <w:p>
      <w:pPr>
        <w:tabs>
          <w:tab w:pos="7392" w:val="left" w:leader="none"/>
        </w:tabs>
        <w:spacing w:before="100"/>
        <w:ind w:left="1771" w:right="0" w:firstLine="0"/>
        <w:jc w:val="left"/>
        <w:rPr>
          <w:sz w:val="18"/>
        </w:rPr>
      </w:pPr>
      <w:r>
        <w:rPr/>
        <w:drawing>
          <wp:anchor distT="0" distB="0" distL="0" distR="0" allowOverlap="1" layoutInCell="1" locked="0" behindDoc="0" simplePos="0" relativeHeight="16138240">
            <wp:simplePos x="0" y="0"/>
            <wp:positionH relativeFrom="page">
              <wp:posOffset>1102145</wp:posOffset>
            </wp:positionH>
            <wp:positionV relativeFrom="paragraph">
              <wp:posOffset>107714</wp:posOffset>
            </wp:positionV>
            <wp:extent cx="58380" cy="72151"/>
            <wp:effectExtent l="0" t="0" r="0" b="0"/>
            <wp:wrapNone/>
            <wp:docPr id="2091" name="image13.png"/>
            <wp:cNvGraphicFramePr>
              <a:graphicFrameLocks noChangeAspect="1"/>
            </wp:cNvGraphicFramePr>
            <a:graphic>
              <a:graphicData uri="http://schemas.openxmlformats.org/drawingml/2006/picture">
                <pic:pic>
                  <pic:nvPicPr>
                    <pic:cNvPr id="209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Change</w:t>
      </w:r>
      <w:r>
        <w:rPr>
          <w:spacing w:val="-3"/>
          <w:sz w:val="18"/>
        </w:rPr>
        <w:t> </w:t>
      </w:r>
      <w:r>
        <w:rPr>
          <w:sz w:val="18"/>
        </w:rPr>
        <w:t>1</w:t>
      </w:r>
      <w:r>
        <w:rPr>
          <w:spacing w:val="47"/>
          <w:sz w:val="18"/>
        </w:rPr>
        <w:t> </w:t>
      </w:r>
      <w:r>
        <w:rPr>
          <w:sz w:val="18"/>
        </w:rPr>
        <w:t>(1) </w:t>
      </w:r>
      <w:r>
        <w:rPr>
          <w:sz w:val="18"/>
          <w:u w:val="single" w:color="BDBDBD"/>
        </w:rPr>
        <w:t> </w:t>
        <w:tab/>
      </w:r>
    </w:p>
    <w:p>
      <w:pPr>
        <w:tabs>
          <w:tab w:pos="7392" w:val="left" w:leader="none"/>
        </w:tabs>
        <w:spacing w:before="0"/>
        <w:ind w:left="1771" w:right="0" w:firstLine="0"/>
        <w:jc w:val="left"/>
        <w:rPr>
          <w:sz w:val="18"/>
        </w:rPr>
      </w:pPr>
      <w:r>
        <w:rPr/>
        <w:drawing>
          <wp:anchor distT="0" distB="0" distL="0" distR="0" allowOverlap="1" layoutInCell="1" locked="0" behindDoc="0" simplePos="0" relativeHeight="16138752">
            <wp:simplePos x="0" y="0"/>
            <wp:positionH relativeFrom="page">
              <wp:posOffset>1102145</wp:posOffset>
            </wp:positionH>
            <wp:positionV relativeFrom="paragraph">
              <wp:posOffset>44214</wp:posOffset>
            </wp:positionV>
            <wp:extent cx="58380" cy="72151"/>
            <wp:effectExtent l="0" t="0" r="0" b="0"/>
            <wp:wrapNone/>
            <wp:docPr id="2093" name="image13.png"/>
            <wp:cNvGraphicFramePr>
              <a:graphicFrameLocks noChangeAspect="1"/>
            </wp:cNvGraphicFramePr>
            <a:graphic>
              <a:graphicData uri="http://schemas.openxmlformats.org/drawingml/2006/picture">
                <pic:pic>
                  <pic:nvPicPr>
                    <pic:cNvPr id="209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Change</w:t>
      </w:r>
      <w:r>
        <w:rPr>
          <w:spacing w:val="-3"/>
          <w:sz w:val="18"/>
        </w:rPr>
        <w:t> </w:t>
      </w:r>
      <w:r>
        <w:rPr>
          <w:sz w:val="18"/>
        </w:rPr>
        <w:t>2</w:t>
      </w:r>
      <w:r>
        <w:rPr>
          <w:spacing w:val="47"/>
          <w:sz w:val="18"/>
        </w:rPr>
        <w:t> </w:t>
      </w:r>
      <w:r>
        <w:rPr>
          <w:sz w:val="18"/>
        </w:rPr>
        <w:t>(2) </w:t>
      </w:r>
      <w:r>
        <w:rPr>
          <w:sz w:val="18"/>
          <w:u w:val="single" w:color="BDBDBD"/>
        </w:rPr>
        <w:t> </w:t>
        <w:tab/>
      </w:r>
    </w:p>
    <w:p>
      <w:pPr>
        <w:tabs>
          <w:tab w:pos="7392" w:val="left" w:leader="none"/>
        </w:tabs>
        <w:spacing w:before="1"/>
        <w:ind w:left="1771" w:right="0" w:firstLine="0"/>
        <w:jc w:val="left"/>
        <w:rPr>
          <w:sz w:val="18"/>
        </w:rPr>
      </w:pPr>
      <w:r>
        <w:rPr/>
        <w:drawing>
          <wp:anchor distT="0" distB="0" distL="0" distR="0" allowOverlap="1" layoutInCell="1" locked="0" behindDoc="0" simplePos="0" relativeHeight="16139264">
            <wp:simplePos x="0" y="0"/>
            <wp:positionH relativeFrom="page">
              <wp:posOffset>1102145</wp:posOffset>
            </wp:positionH>
            <wp:positionV relativeFrom="paragraph">
              <wp:posOffset>44849</wp:posOffset>
            </wp:positionV>
            <wp:extent cx="58380" cy="72151"/>
            <wp:effectExtent l="0" t="0" r="0" b="0"/>
            <wp:wrapNone/>
            <wp:docPr id="2095" name="image13.png"/>
            <wp:cNvGraphicFramePr>
              <a:graphicFrameLocks noChangeAspect="1"/>
            </wp:cNvGraphicFramePr>
            <a:graphic>
              <a:graphicData uri="http://schemas.openxmlformats.org/drawingml/2006/picture">
                <pic:pic>
                  <pic:nvPicPr>
                    <pic:cNvPr id="209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Change</w:t>
      </w:r>
      <w:r>
        <w:rPr>
          <w:spacing w:val="-3"/>
          <w:sz w:val="18"/>
        </w:rPr>
        <w:t> </w:t>
      </w:r>
      <w:r>
        <w:rPr>
          <w:sz w:val="18"/>
        </w:rPr>
        <w:t>3</w:t>
      </w:r>
      <w:r>
        <w:rPr>
          <w:spacing w:val="47"/>
          <w:sz w:val="18"/>
        </w:rPr>
        <w:t> </w:t>
      </w:r>
      <w:r>
        <w:rPr>
          <w:sz w:val="18"/>
        </w:rPr>
        <w:t>(3) </w:t>
      </w:r>
      <w:r>
        <w:rPr>
          <w:sz w:val="18"/>
          <w:u w:val="single" w:color="BDBDBD"/>
        </w:rPr>
        <w:t> </w:t>
        <w:tab/>
      </w:r>
    </w:p>
    <w:p>
      <w:pPr>
        <w:pStyle w:val="BodyText"/>
        <w:spacing w:before="9"/>
        <w:rPr>
          <w:sz w:val="14"/>
        </w:rPr>
      </w:pPr>
    </w:p>
    <w:p>
      <w:pPr>
        <w:pStyle w:val="ListParagraph"/>
        <w:numPr>
          <w:ilvl w:val="0"/>
          <w:numId w:val="105"/>
        </w:numPr>
        <w:tabs>
          <w:tab w:pos="722" w:val="left" w:leader="none"/>
        </w:tabs>
        <w:spacing w:line="273" w:lineRule="auto" w:before="100" w:after="0"/>
        <w:ind w:left="420" w:right="923" w:firstLine="0"/>
        <w:jc w:val="left"/>
        <w:rPr>
          <w:sz w:val="18"/>
        </w:rPr>
      </w:pPr>
      <w:r>
        <w:rPr>
          <w:sz w:val="18"/>
        </w:rPr>
        <w:t>What are the three top changes to the </w:t>
      </w:r>
      <w:r>
        <w:rPr>
          <w:b/>
          <w:sz w:val="18"/>
        </w:rPr>
        <w:t>practice facilitator workshops </w:t>
      </w:r>
      <w:r>
        <w:rPr>
          <w:sz w:val="18"/>
        </w:rPr>
        <w:t>that would improve the development of skills</w:t>
      </w:r>
      <w:r>
        <w:rPr>
          <w:spacing w:val="-47"/>
          <w:sz w:val="18"/>
        </w:rPr>
        <w:t> </w:t>
      </w:r>
      <w:r>
        <w:rPr>
          <w:sz w:val="18"/>
        </w:rPr>
        <w:t>and</w:t>
      </w:r>
      <w:r>
        <w:rPr>
          <w:spacing w:val="-2"/>
          <w:sz w:val="18"/>
        </w:rPr>
        <w:t> </w:t>
      </w:r>
      <w:r>
        <w:rPr>
          <w:sz w:val="18"/>
        </w:rPr>
        <w:t>capabilities</w:t>
      </w:r>
      <w:r>
        <w:rPr>
          <w:spacing w:val="-1"/>
          <w:sz w:val="18"/>
        </w:rPr>
        <w:t> </w:t>
      </w:r>
      <w:r>
        <w:rPr>
          <w:sz w:val="18"/>
        </w:rPr>
        <w:t>of practice</w:t>
      </w:r>
      <w:r>
        <w:rPr>
          <w:spacing w:val="-2"/>
          <w:sz w:val="18"/>
        </w:rPr>
        <w:t> </w:t>
      </w:r>
      <w:r>
        <w:rPr>
          <w:sz w:val="18"/>
        </w:rPr>
        <w:t>facilitators?</w:t>
      </w:r>
    </w:p>
    <w:p>
      <w:pPr>
        <w:pStyle w:val="BodyText"/>
        <w:spacing w:before="5"/>
        <w:rPr>
          <w:sz w:val="8"/>
        </w:rPr>
      </w:pPr>
    </w:p>
    <w:p>
      <w:pPr>
        <w:tabs>
          <w:tab w:pos="7392" w:val="left" w:leader="none"/>
        </w:tabs>
        <w:spacing w:before="100"/>
        <w:ind w:left="1771" w:right="0" w:firstLine="0"/>
        <w:jc w:val="left"/>
        <w:rPr>
          <w:sz w:val="18"/>
        </w:rPr>
      </w:pPr>
      <w:r>
        <w:rPr/>
        <w:drawing>
          <wp:anchor distT="0" distB="0" distL="0" distR="0" allowOverlap="1" layoutInCell="1" locked="0" behindDoc="0" simplePos="0" relativeHeight="16139776">
            <wp:simplePos x="0" y="0"/>
            <wp:positionH relativeFrom="page">
              <wp:posOffset>1102145</wp:posOffset>
            </wp:positionH>
            <wp:positionV relativeFrom="paragraph">
              <wp:posOffset>107333</wp:posOffset>
            </wp:positionV>
            <wp:extent cx="58380" cy="72151"/>
            <wp:effectExtent l="0" t="0" r="0" b="0"/>
            <wp:wrapNone/>
            <wp:docPr id="2097" name="image13.png"/>
            <wp:cNvGraphicFramePr>
              <a:graphicFrameLocks noChangeAspect="1"/>
            </wp:cNvGraphicFramePr>
            <a:graphic>
              <a:graphicData uri="http://schemas.openxmlformats.org/drawingml/2006/picture">
                <pic:pic>
                  <pic:nvPicPr>
                    <pic:cNvPr id="209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Change</w:t>
      </w:r>
      <w:r>
        <w:rPr>
          <w:spacing w:val="-3"/>
          <w:sz w:val="18"/>
        </w:rPr>
        <w:t> </w:t>
      </w:r>
      <w:r>
        <w:rPr>
          <w:sz w:val="18"/>
        </w:rPr>
        <w:t>1</w:t>
      </w:r>
      <w:r>
        <w:rPr>
          <w:spacing w:val="47"/>
          <w:sz w:val="18"/>
        </w:rPr>
        <w:t> </w:t>
      </w:r>
      <w:r>
        <w:rPr>
          <w:sz w:val="18"/>
        </w:rPr>
        <w:t>(1) </w:t>
      </w:r>
      <w:r>
        <w:rPr>
          <w:sz w:val="18"/>
          <w:u w:val="single" w:color="BDBDBD"/>
        </w:rPr>
        <w:t> </w:t>
        <w:tab/>
      </w:r>
    </w:p>
    <w:p>
      <w:pPr>
        <w:tabs>
          <w:tab w:pos="7392" w:val="left" w:leader="none"/>
        </w:tabs>
        <w:spacing w:before="0"/>
        <w:ind w:left="1771" w:right="0" w:firstLine="0"/>
        <w:jc w:val="left"/>
        <w:rPr>
          <w:sz w:val="18"/>
        </w:rPr>
      </w:pPr>
      <w:r>
        <w:rPr/>
        <w:drawing>
          <wp:anchor distT="0" distB="0" distL="0" distR="0" allowOverlap="1" layoutInCell="1" locked="0" behindDoc="0" simplePos="0" relativeHeight="16140288">
            <wp:simplePos x="0" y="0"/>
            <wp:positionH relativeFrom="page">
              <wp:posOffset>1102145</wp:posOffset>
            </wp:positionH>
            <wp:positionV relativeFrom="paragraph">
              <wp:posOffset>43833</wp:posOffset>
            </wp:positionV>
            <wp:extent cx="58380" cy="72151"/>
            <wp:effectExtent l="0" t="0" r="0" b="0"/>
            <wp:wrapNone/>
            <wp:docPr id="2099" name="image13.png"/>
            <wp:cNvGraphicFramePr>
              <a:graphicFrameLocks noChangeAspect="1"/>
            </wp:cNvGraphicFramePr>
            <a:graphic>
              <a:graphicData uri="http://schemas.openxmlformats.org/drawingml/2006/picture">
                <pic:pic>
                  <pic:nvPicPr>
                    <pic:cNvPr id="210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Change</w:t>
      </w:r>
      <w:r>
        <w:rPr>
          <w:spacing w:val="-3"/>
          <w:sz w:val="18"/>
        </w:rPr>
        <w:t> </w:t>
      </w:r>
      <w:r>
        <w:rPr>
          <w:sz w:val="18"/>
        </w:rPr>
        <w:t>2</w:t>
      </w:r>
      <w:r>
        <w:rPr>
          <w:spacing w:val="47"/>
          <w:sz w:val="18"/>
        </w:rPr>
        <w:t> </w:t>
      </w:r>
      <w:r>
        <w:rPr>
          <w:sz w:val="18"/>
        </w:rPr>
        <w:t>(2) </w:t>
      </w:r>
      <w:r>
        <w:rPr>
          <w:sz w:val="18"/>
          <w:u w:val="single" w:color="BDBDBD"/>
        </w:rPr>
        <w:t> </w:t>
        <w:tab/>
      </w:r>
    </w:p>
    <w:p>
      <w:pPr>
        <w:tabs>
          <w:tab w:pos="7392" w:val="left" w:leader="none"/>
        </w:tabs>
        <w:spacing w:before="0"/>
        <w:ind w:left="1771" w:right="0" w:firstLine="0"/>
        <w:jc w:val="left"/>
        <w:rPr>
          <w:sz w:val="18"/>
        </w:rPr>
      </w:pPr>
      <w:r>
        <w:rPr/>
        <w:drawing>
          <wp:anchor distT="0" distB="0" distL="0" distR="0" allowOverlap="1" layoutInCell="1" locked="0" behindDoc="0" simplePos="0" relativeHeight="16140800">
            <wp:simplePos x="0" y="0"/>
            <wp:positionH relativeFrom="page">
              <wp:posOffset>1102145</wp:posOffset>
            </wp:positionH>
            <wp:positionV relativeFrom="paragraph">
              <wp:posOffset>43833</wp:posOffset>
            </wp:positionV>
            <wp:extent cx="58380" cy="72151"/>
            <wp:effectExtent l="0" t="0" r="0" b="0"/>
            <wp:wrapNone/>
            <wp:docPr id="2101" name="image13.png"/>
            <wp:cNvGraphicFramePr>
              <a:graphicFrameLocks noChangeAspect="1"/>
            </wp:cNvGraphicFramePr>
            <a:graphic>
              <a:graphicData uri="http://schemas.openxmlformats.org/drawingml/2006/picture">
                <pic:pic>
                  <pic:nvPicPr>
                    <pic:cNvPr id="210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Change</w:t>
      </w:r>
      <w:r>
        <w:rPr>
          <w:spacing w:val="-3"/>
          <w:sz w:val="18"/>
        </w:rPr>
        <w:t> </w:t>
      </w:r>
      <w:r>
        <w:rPr>
          <w:sz w:val="18"/>
        </w:rPr>
        <w:t>3</w:t>
      </w:r>
      <w:r>
        <w:rPr>
          <w:spacing w:val="47"/>
          <w:sz w:val="18"/>
        </w:rPr>
        <w:t> </w:t>
      </w:r>
      <w:r>
        <w:rPr>
          <w:sz w:val="18"/>
        </w:rPr>
        <w:t>(3) </w:t>
      </w:r>
      <w:r>
        <w:rPr>
          <w:sz w:val="18"/>
          <w:u w:val="single" w:color="BDBDBD"/>
        </w:rPr>
        <w:t> </w:t>
        <w:tab/>
      </w:r>
    </w:p>
    <w:p>
      <w:pPr>
        <w:pStyle w:val="BodyText"/>
        <w:spacing w:before="9"/>
        <w:rPr>
          <w:sz w:val="14"/>
        </w:rPr>
      </w:pPr>
    </w:p>
    <w:p>
      <w:pPr>
        <w:pStyle w:val="ListParagraph"/>
        <w:numPr>
          <w:ilvl w:val="0"/>
          <w:numId w:val="105"/>
        </w:numPr>
        <w:tabs>
          <w:tab w:pos="722" w:val="left" w:leader="none"/>
        </w:tabs>
        <w:spacing w:line="276" w:lineRule="auto" w:before="100" w:after="0"/>
        <w:ind w:left="420" w:right="2167" w:firstLine="0"/>
        <w:jc w:val="left"/>
        <w:rPr>
          <w:sz w:val="18"/>
        </w:rPr>
      </w:pPr>
      <w:r>
        <w:rPr>
          <w:sz w:val="18"/>
        </w:rPr>
        <w:t>What are the three top changes to </w:t>
      </w:r>
      <w:r>
        <w:rPr>
          <w:b/>
          <w:sz w:val="18"/>
        </w:rPr>
        <w:t>other support for practice facilitators </w:t>
      </w:r>
      <w:r>
        <w:rPr>
          <w:sz w:val="18"/>
        </w:rPr>
        <w:t>(e.g. webinars, coaching,</w:t>
      </w:r>
      <w:r>
        <w:rPr>
          <w:spacing w:val="1"/>
          <w:sz w:val="18"/>
        </w:rPr>
        <w:t> </w:t>
      </w:r>
      <w:r>
        <w:rPr>
          <w:sz w:val="18"/>
        </w:rPr>
        <w:t>teleconferences)</w:t>
      </w:r>
      <w:r>
        <w:rPr>
          <w:b/>
          <w:sz w:val="18"/>
        </w:rPr>
        <w:t>,</w:t>
      </w:r>
      <w:r>
        <w:rPr>
          <w:b/>
          <w:spacing w:val="-4"/>
          <w:sz w:val="18"/>
        </w:rPr>
        <w:t> </w:t>
      </w:r>
      <w:r>
        <w:rPr>
          <w:sz w:val="18"/>
        </w:rPr>
        <w:t>that</w:t>
      </w:r>
      <w:r>
        <w:rPr>
          <w:spacing w:val="-6"/>
          <w:sz w:val="18"/>
        </w:rPr>
        <w:t> </w:t>
      </w:r>
      <w:r>
        <w:rPr>
          <w:sz w:val="18"/>
        </w:rPr>
        <w:t>would</w:t>
      </w:r>
      <w:r>
        <w:rPr>
          <w:spacing w:val="-4"/>
          <w:sz w:val="18"/>
        </w:rPr>
        <w:t> </w:t>
      </w:r>
      <w:r>
        <w:rPr>
          <w:sz w:val="18"/>
        </w:rPr>
        <w:t>improve</w:t>
      </w:r>
      <w:r>
        <w:rPr>
          <w:spacing w:val="-4"/>
          <w:sz w:val="18"/>
        </w:rPr>
        <w:t> </w:t>
      </w:r>
      <w:r>
        <w:rPr>
          <w:sz w:val="18"/>
        </w:rPr>
        <w:t>the</w:t>
      </w:r>
      <w:r>
        <w:rPr>
          <w:spacing w:val="-1"/>
          <w:sz w:val="18"/>
        </w:rPr>
        <w:t> </w:t>
      </w:r>
      <w:r>
        <w:rPr>
          <w:sz w:val="18"/>
        </w:rPr>
        <w:t>development</w:t>
      </w:r>
      <w:r>
        <w:rPr>
          <w:spacing w:val="-5"/>
          <w:sz w:val="18"/>
        </w:rPr>
        <w:t> </w:t>
      </w:r>
      <w:r>
        <w:rPr>
          <w:sz w:val="18"/>
        </w:rPr>
        <w:t>of</w:t>
      </w:r>
      <w:r>
        <w:rPr>
          <w:spacing w:val="-3"/>
          <w:sz w:val="18"/>
        </w:rPr>
        <w:t> </w:t>
      </w:r>
      <w:r>
        <w:rPr>
          <w:sz w:val="18"/>
        </w:rPr>
        <w:t>skills</w:t>
      </w:r>
      <w:r>
        <w:rPr>
          <w:spacing w:val="-5"/>
          <w:sz w:val="18"/>
        </w:rPr>
        <w:t> </w:t>
      </w:r>
      <w:r>
        <w:rPr>
          <w:sz w:val="18"/>
        </w:rPr>
        <w:t>and</w:t>
      </w:r>
      <w:r>
        <w:rPr>
          <w:spacing w:val="-4"/>
          <w:sz w:val="18"/>
        </w:rPr>
        <w:t> </w:t>
      </w:r>
      <w:r>
        <w:rPr>
          <w:sz w:val="18"/>
        </w:rPr>
        <w:t>capabilities</w:t>
      </w:r>
      <w:r>
        <w:rPr>
          <w:spacing w:val="-5"/>
          <w:sz w:val="18"/>
        </w:rPr>
        <w:t> </w:t>
      </w:r>
      <w:r>
        <w:rPr>
          <w:sz w:val="18"/>
        </w:rPr>
        <w:t>of</w:t>
      </w:r>
      <w:r>
        <w:rPr>
          <w:spacing w:val="-7"/>
          <w:sz w:val="18"/>
        </w:rPr>
        <w:t> </w:t>
      </w:r>
      <w:r>
        <w:rPr>
          <w:sz w:val="18"/>
        </w:rPr>
        <w:t>practice</w:t>
      </w:r>
      <w:r>
        <w:rPr>
          <w:spacing w:val="-3"/>
          <w:sz w:val="18"/>
        </w:rPr>
        <w:t> </w:t>
      </w:r>
      <w:r>
        <w:rPr>
          <w:sz w:val="18"/>
        </w:rPr>
        <w:t>facilitators?</w:t>
      </w:r>
    </w:p>
    <w:p>
      <w:pPr>
        <w:pStyle w:val="BodyText"/>
        <w:spacing w:before="2"/>
        <w:rPr>
          <w:sz w:val="8"/>
        </w:rPr>
      </w:pPr>
    </w:p>
    <w:p>
      <w:pPr>
        <w:tabs>
          <w:tab w:pos="7392" w:val="left" w:leader="none"/>
        </w:tabs>
        <w:spacing w:before="101"/>
        <w:ind w:left="1771" w:right="0" w:firstLine="0"/>
        <w:jc w:val="left"/>
        <w:rPr>
          <w:sz w:val="18"/>
        </w:rPr>
      </w:pPr>
      <w:r>
        <w:rPr/>
        <w:drawing>
          <wp:anchor distT="0" distB="0" distL="0" distR="0" allowOverlap="1" layoutInCell="1" locked="0" behindDoc="0" simplePos="0" relativeHeight="16141312">
            <wp:simplePos x="0" y="0"/>
            <wp:positionH relativeFrom="page">
              <wp:posOffset>1102145</wp:posOffset>
            </wp:positionH>
            <wp:positionV relativeFrom="paragraph">
              <wp:posOffset>107968</wp:posOffset>
            </wp:positionV>
            <wp:extent cx="58380" cy="72151"/>
            <wp:effectExtent l="0" t="0" r="0" b="0"/>
            <wp:wrapNone/>
            <wp:docPr id="2103" name="image13.png"/>
            <wp:cNvGraphicFramePr>
              <a:graphicFrameLocks noChangeAspect="1"/>
            </wp:cNvGraphicFramePr>
            <a:graphic>
              <a:graphicData uri="http://schemas.openxmlformats.org/drawingml/2006/picture">
                <pic:pic>
                  <pic:nvPicPr>
                    <pic:cNvPr id="210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Change</w:t>
      </w:r>
      <w:r>
        <w:rPr>
          <w:spacing w:val="-3"/>
          <w:sz w:val="18"/>
        </w:rPr>
        <w:t> </w:t>
      </w:r>
      <w:r>
        <w:rPr>
          <w:sz w:val="18"/>
        </w:rPr>
        <w:t>1</w:t>
      </w:r>
      <w:r>
        <w:rPr>
          <w:spacing w:val="47"/>
          <w:sz w:val="18"/>
        </w:rPr>
        <w:t> </w:t>
      </w:r>
      <w:r>
        <w:rPr>
          <w:sz w:val="18"/>
        </w:rPr>
        <w:t>(1) </w:t>
      </w:r>
      <w:r>
        <w:rPr>
          <w:sz w:val="18"/>
          <w:u w:val="single" w:color="BDBDBD"/>
        </w:rPr>
        <w:t> </w:t>
        <w:tab/>
      </w:r>
    </w:p>
    <w:p>
      <w:pPr>
        <w:tabs>
          <w:tab w:pos="7395" w:val="left" w:leader="none"/>
        </w:tabs>
        <w:spacing w:before="0"/>
        <w:ind w:left="1771" w:right="0" w:firstLine="0"/>
        <w:jc w:val="left"/>
        <w:rPr>
          <w:sz w:val="18"/>
        </w:rPr>
      </w:pPr>
      <w:r>
        <w:rPr/>
        <w:drawing>
          <wp:anchor distT="0" distB="0" distL="0" distR="0" allowOverlap="1" layoutInCell="1" locked="0" behindDoc="0" simplePos="0" relativeHeight="16141824">
            <wp:simplePos x="0" y="0"/>
            <wp:positionH relativeFrom="page">
              <wp:posOffset>1102145</wp:posOffset>
            </wp:positionH>
            <wp:positionV relativeFrom="paragraph">
              <wp:posOffset>43833</wp:posOffset>
            </wp:positionV>
            <wp:extent cx="58380" cy="72151"/>
            <wp:effectExtent l="0" t="0" r="0" b="0"/>
            <wp:wrapNone/>
            <wp:docPr id="2105" name="image13.png"/>
            <wp:cNvGraphicFramePr>
              <a:graphicFrameLocks noChangeAspect="1"/>
            </wp:cNvGraphicFramePr>
            <a:graphic>
              <a:graphicData uri="http://schemas.openxmlformats.org/drawingml/2006/picture">
                <pic:pic>
                  <pic:nvPicPr>
                    <pic:cNvPr id="210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Change</w:t>
      </w:r>
      <w:r>
        <w:rPr>
          <w:spacing w:val="-3"/>
          <w:sz w:val="18"/>
        </w:rPr>
        <w:t> </w:t>
      </w:r>
      <w:r>
        <w:rPr>
          <w:sz w:val="18"/>
        </w:rPr>
        <w:t>2</w:t>
      </w:r>
      <w:r>
        <w:rPr>
          <w:spacing w:val="47"/>
          <w:sz w:val="18"/>
        </w:rPr>
        <w:t> </w:t>
      </w:r>
      <w:r>
        <w:rPr>
          <w:sz w:val="18"/>
        </w:rPr>
        <w:t>(2) </w:t>
      </w:r>
      <w:r>
        <w:rPr>
          <w:sz w:val="18"/>
          <w:u w:val="single" w:color="BDBDBD"/>
        </w:rPr>
        <w:t> </w:t>
        <w:tab/>
      </w:r>
    </w:p>
    <w:p>
      <w:pPr>
        <w:tabs>
          <w:tab w:pos="7392" w:val="left" w:leader="none"/>
        </w:tabs>
        <w:spacing w:before="0"/>
        <w:ind w:left="1771" w:right="0" w:firstLine="0"/>
        <w:jc w:val="left"/>
        <w:rPr>
          <w:sz w:val="18"/>
        </w:rPr>
      </w:pPr>
      <w:r>
        <w:rPr/>
        <w:drawing>
          <wp:anchor distT="0" distB="0" distL="0" distR="0" allowOverlap="1" layoutInCell="1" locked="0" behindDoc="0" simplePos="0" relativeHeight="16142336">
            <wp:simplePos x="0" y="0"/>
            <wp:positionH relativeFrom="page">
              <wp:posOffset>1102145</wp:posOffset>
            </wp:positionH>
            <wp:positionV relativeFrom="paragraph">
              <wp:posOffset>43833</wp:posOffset>
            </wp:positionV>
            <wp:extent cx="58380" cy="72151"/>
            <wp:effectExtent l="0" t="0" r="0" b="0"/>
            <wp:wrapNone/>
            <wp:docPr id="2107" name="image13.png"/>
            <wp:cNvGraphicFramePr>
              <a:graphicFrameLocks noChangeAspect="1"/>
            </wp:cNvGraphicFramePr>
            <a:graphic>
              <a:graphicData uri="http://schemas.openxmlformats.org/drawingml/2006/picture">
                <pic:pic>
                  <pic:nvPicPr>
                    <pic:cNvPr id="210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Change</w:t>
      </w:r>
      <w:r>
        <w:rPr>
          <w:spacing w:val="-3"/>
          <w:sz w:val="18"/>
        </w:rPr>
        <w:t> </w:t>
      </w:r>
      <w:r>
        <w:rPr>
          <w:sz w:val="18"/>
        </w:rPr>
        <w:t>3</w:t>
      </w:r>
      <w:r>
        <w:rPr>
          <w:spacing w:val="47"/>
          <w:sz w:val="18"/>
        </w:rPr>
        <w:t> </w:t>
      </w:r>
      <w:r>
        <w:rPr>
          <w:sz w:val="18"/>
        </w:rPr>
        <w:t>(3) </w:t>
      </w:r>
      <w:r>
        <w:rPr>
          <w:sz w:val="18"/>
          <w:u w:val="single" w:color="BDBDBD"/>
        </w:rPr>
        <w:t> </w:t>
        <w:tab/>
      </w:r>
    </w:p>
    <w:p>
      <w:pPr>
        <w:pStyle w:val="BodyText"/>
        <w:spacing w:before="6"/>
        <w:rPr>
          <w:sz w:val="14"/>
        </w:rPr>
      </w:pPr>
    </w:p>
    <w:p>
      <w:pPr>
        <w:spacing w:before="101"/>
        <w:ind w:left="420" w:right="0" w:firstLine="0"/>
        <w:jc w:val="left"/>
        <w:rPr>
          <w:b/>
          <w:sz w:val="18"/>
        </w:rPr>
      </w:pPr>
      <w:r>
        <w:rPr>
          <w:b/>
          <w:sz w:val="18"/>
        </w:rPr>
        <w:t>Other</w:t>
      </w:r>
      <w:r>
        <w:rPr>
          <w:b/>
          <w:spacing w:val="-3"/>
          <w:sz w:val="18"/>
        </w:rPr>
        <w:t> </w:t>
      </w:r>
      <w:r>
        <w:rPr>
          <w:b/>
          <w:sz w:val="18"/>
        </w:rPr>
        <w:t>PHN</w:t>
      </w:r>
      <w:r>
        <w:rPr>
          <w:b/>
          <w:spacing w:val="-5"/>
          <w:sz w:val="18"/>
        </w:rPr>
        <w:t> </w:t>
      </w:r>
      <w:r>
        <w:rPr>
          <w:b/>
          <w:sz w:val="18"/>
        </w:rPr>
        <w:t>initiatives</w:t>
      </w:r>
    </w:p>
    <w:p>
      <w:pPr>
        <w:pStyle w:val="BodyText"/>
        <w:rPr>
          <w:b/>
          <w:sz w:val="19"/>
        </w:rPr>
      </w:pPr>
    </w:p>
    <w:p>
      <w:pPr>
        <w:spacing w:line="276" w:lineRule="auto" w:before="0"/>
        <w:ind w:left="420" w:right="798" w:firstLine="0"/>
        <w:jc w:val="left"/>
        <w:rPr>
          <w:sz w:val="18"/>
        </w:rPr>
      </w:pPr>
      <w:r>
        <w:rPr>
          <w:sz w:val="18"/>
        </w:rPr>
        <w:t>The</w:t>
      </w:r>
      <w:r>
        <w:rPr>
          <w:spacing w:val="-3"/>
          <w:sz w:val="18"/>
        </w:rPr>
        <w:t> </w:t>
      </w:r>
      <w:r>
        <w:rPr>
          <w:sz w:val="18"/>
        </w:rPr>
        <w:t>following</w:t>
      </w:r>
      <w:r>
        <w:rPr>
          <w:spacing w:val="-4"/>
          <w:sz w:val="18"/>
        </w:rPr>
        <w:t> </w:t>
      </w:r>
      <w:r>
        <w:rPr>
          <w:sz w:val="18"/>
        </w:rPr>
        <w:t>relates</w:t>
      </w:r>
      <w:r>
        <w:rPr>
          <w:spacing w:val="-3"/>
          <w:sz w:val="18"/>
        </w:rPr>
        <w:t> </w:t>
      </w:r>
      <w:r>
        <w:rPr>
          <w:sz w:val="18"/>
        </w:rPr>
        <w:t>to</w:t>
      </w:r>
      <w:r>
        <w:rPr>
          <w:spacing w:val="-2"/>
          <w:sz w:val="18"/>
        </w:rPr>
        <w:t> </w:t>
      </w:r>
      <w:r>
        <w:rPr>
          <w:sz w:val="18"/>
        </w:rPr>
        <w:t>other</w:t>
      </w:r>
      <w:r>
        <w:rPr>
          <w:spacing w:val="-4"/>
          <w:sz w:val="18"/>
        </w:rPr>
        <w:t> </w:t>
      </w:r>
      <w:r>
        <w:rPr>
          <w:sz w:val="18"/>
        </w:rPr>
        <w:t>initiatives</w:t>
      </w:r>
      <w:r>
        <w:rPr>
          <w:spacing w:val="-3"/>
          <w:sz w:val="18"/>
        </w:rPr>
        <w:t> </w:t>
      </w:r>
      <w:r>
        <w:rPr>
          <w:sz w:val="18"/>
        </w:rPr>
        <w:t>the</w:t>
      </w:r>
      <w:r>
        <w:rPr>
          <w:spacing w:val="-2"/>
          <w:sz w:val="18"/>
        </w:rPr>
        <w:t> </w:t>
      </w:r>
      <w:r>
        <w:rPr>
          <w:sz w:val="18"/>
        </w:rPr>
        <w:t>PHN</w:t>
      </w:r>
      <w:r>
        <w:rPr>
          <w:spacing w:val="-4"/>
          <w:sz w:val="18"/>
        </w:rPr>
        <w:t> </w:t>
      </w:r>
      <w:r>
        <w:rPr>
          <w:sz w:val="18"/>
        </w:rPr>
        <w:t>has</w:t>
      </w:r>
      <w:r>
        <w:rPr>
          <w:spacing w:val="-3"/>
          <w:sz w:val="18"/>
        </w:rPr>
        <w:t> </w:t>
      </w:r>
      <w:r>
        <w:rPr>
          <w:sz w:val="18"/>
        </w:rPr>
        <w:t>implemented</w:t>
      </w:r>
      <w:r>
        <w:rPr>
          <w:spacing w:val="-4"/>
          <w:sz w:val="18"/>
        </w:rPr>
        <w:t> </w:t>
      </w:r>
      <w:r>
        <w:rPr>
          <w:sz w:val="18"/>
        </w:rPr>
        <w:t>that</w:t>
      </w:r>
      <w:r>
        <w:rPr>
          <w:spacing w:val="-4"/>
          <w:sz w:val="18"/>
        </w:rPr>
        <w:t> </w:t>
      </w:r>
      <w:r>
        <w:rPr>
          <w:sz w:val="18"/>
        </w:rPr>
        <w:t>have</w:t>
      </w:r>
      <w:r>
        <w:rPr>
          <w:spacing w:val="-2"/>
          <w:sz w:val="18"/>
        </w:rPr>
        <w:t> </w:t>
      </w:r>
      <w:r>
        <w:rPr>
          <w:sz w:val="18"/>
        </w:rPr>
        <w:t>been</w:t>
      </w:r>
      <w:r>
        <w:rPr>
          <w:spacing w:val="-2"/>
          <w:sz w:val="18"/>
        </w:rPr>
        <w:t> </w:t>
      </w:r>
      <w:r>
        <w:rPr>
          <w:sz w:val="18"/>
        </w:rPr>
        <w:t>used</w:t>
      </w:r>
      <w:r>
        <w:rPr>
          <w:spacing w:val="-3"/>
          <w:sz w:val="18"/>
        </w:rPr>
        <w:t> </w:t>
      </w:r>
      <w:r>
        <w:rPr>
          <w:sz w:val="18"/>
        </w:rPr>
        <w:t>in</w:t>
      </w:r>
      <w:r>
        <w:rPr>
          <w:spacing w:val="-3"/>
          <w:sz w:val="18"/>
        </w:rPr>
        <w:t> </w:t>
      </w:r>
      <w:r>
        <w:rPr>
          <w:sz w:val="18"/>
        </w:rPr>
        <w:t>the</w:t>
      </w:r>
      <w:r>
        <w:rPr>
          <w:spacing w:val="-2"/>
          <w:sz w:val="18"/>
        </w:rPr>
        <w:t> </w:t>
      </w:r>
      <w:r>
        <w:rPr>
          <w:sz w:val="18"/>
        </w:rPr>
        <w:t>HCH</w:t>
      </w:r>
      <w:r>
        <w:rPr>
          <w:spacing w:val="-3"/>
          <w:sz w:val="18"/>
        </w:rPr>
        <w:t> </w:t>
      </w:r>
      <w:r>
        <w:rPr>
          <w:sz w:val="18"/>
        </w:rPr>
        <w:t>program</w:t>
      </w:r>
      <w:r>
        <w:rPr>
          <w:spacing w:val="-47"/>
          <w:sz w:val="18"/>
        </w:rPr>
        <w:t> </w:t>
      </w:r>
      <w:r>
        <w:rPr>
          <w:sz w:val="18"/>
        </w:rPr>
        <w:t>implementation.</w:t>
      </w:r>
      <w:r>
        <w:rPr>
          <w:spacing w:val="-1"/>
          <w:sz w:val="18"/>
        </w:rPr>
        <w:t> </w:t>
      </w:r>
      <w:r>
        <w:rPr>
          <w:sz w:val="18"/>
        </w:rPr>
        <w:t>Initiatives</w:t>
      </w:r>
      <w:r>
        <w:rPr>
          <w:spacing w:val="-1"/>
          <w:sz w:val="18"/>
        </w:rPr>
        <w:t> </w:t>
      </w:r>
      <w:r>
        <w:rPr>
          <w:sz w:val="18"/>
        </w:rPr>
        <w:t>may</w:t>
      </w:r>
      <w:r>
        <w:rPr>
          <w:spacing w:val="-1"/>
          <w:sz w:val="18"/>
        </w:rPr>
        <w:t> </w:t>
      </w:r>
      <w:r>
        <w:rPr>
          <w:sz w:val="18"/>
        </w:rPr>
        <w:t>be</w:t>
      </w:r>
      <w:r>
        <w:rPr>
          <w:spacing w:val="-1"/>
          <w:sz w:val="18"/>
        </w:rPr>
        <w:t> </w:t>
      </w:r>
      <w:r>
        <w:rPr>
          <w:sz w:val="18"/>
        </w:rPr>
        <w:t>related</w:t>
      </w:r>
      <w:r>
        <w:rPr>
          <w:spacing w:val="1"/>
          <w:sz w:val="18"/>
        </w:rPr>
        <w:t> </w:t>
      </w:r>
      <w:r>
        <w:rPr>
          <w:sz w:val="18"/>
        </w:rPr>
        <w:t>(but</w:t>
      </w:r>
      <w:r>
        <w:rPr>
          <w:spacing w:val="-2"/>
          <w:sz w:val="18"/>
        </w:rPr>
        <w:t> </w:t>
      </w:r>
      <w:r>
        <w:rPr>
          <w:sz w:val="18"/>
        </w:rPr>
        <w:t>not</w:t>
      </w:r>
      <w:r>
        <w:rPr>
          <w:spacing w:val="-2"/>
          <w:sz w:val="18"/>
        </w:rPr>
        <w:t> </w:t>
      </w:r>
      <w:r>
        <w:rPr>
          <w:sz w:val="18"/>
        </w:rPr>
        <w:t>limited)</w:t>
      </w:r>
      <w:r>
        <w:rPr>
          <w:spacing w:val="-3"/>
          <w:sz w:val="18"/>
        </w:rPr>
        <w:t> </w:t>
      </w:r>
      <w:r>
        <w:rPr>
          <w:sz w:val="18"/>
        </w:rPr>
        <w:t>to:</w:t>
      </w:r>
    </w:p>
    <w:p>
      <w:pPr>
        <w:spacing w:after="0" w:line="276" w:lineRule="auto"/>
        <w:jc w:val="left"/>
        <w:rPr>
          <w:sz w:val="18"/>
        </w:rPr>
        <w:sectPr>
          <w:pgSz w:w="11910" w:h="16840"/>
          <w:pgMar w:header="0" w:footer="948" w:top="860" w:bottom="1140" w:left="300" w:right="0"/>
        </w:sectPr>
      </w:pPr>
    </w:p>
    <w:p>
      <w:pPr>
        <w:pStyle w:val="ListParagraph"/>
        <w:numPr>
          <w:ilvl w:val="1"/>
          <w:numId w:val="105"/>
        </w:numPr>
        <w:tabs>
          <w:tab w:pos="1140" w:val="left" w:leader="none"/>
          <w:tab w:pos="1141" w:val="left" w:leader="none"/>
        </w:tabs>
        <w:spacing w:line="240" w:lineRule="auto" w:before="75" w:after="0"/>
        <w:ind w:left="1140" w:right="0" w:hanging="361"/>
        <w:jc w:val="left"/>
        <w:rPr>
          <w:sz w:val="18"/>
        </w:rPr>
      </w:pPr>
      <w:r>
        <w:rPr>
          <w:sz w:val="18"/>
        </w:rPr>
        <w:t>improving</w:t>
      </w:r>
      <w:r>
        <w:rPr>
          <w:spacing w:val="-6"/>
          <w:sz w:val="18"/>
        </w:rPr>
        <w:t> </w:t>
      </w:r>
      <w:r>
        <w:rPr>
          <w:sz w:val="18"/>
        </w:rPr>
        <w:t>linkages</w:t>
      </w:r>
      <w:r>
        <w:rPr>
          <w:spacing w:val="-4"/>
          <w:sz w:val="18"/>
        </w:rPr>
        <w:t> </w:t>
      </w:r>
      <w:r>
        <w:rPr>
          <w:sz w:val="18"/>
        </w:rPr>
        <w:t>between</w:t>
      </w:r>
      <w:r>
        <w:rPr>
          <w:spacing w:val="-3"/>
          <w:sz w:val="18"/>
        </w:rPr>
        <w:t> </w:t>
      </w:r>
      <w:r>
        <w:rPr>
          <w:sz w:val="18"/>
        </w:rPr>
        <w:t>primary</w:t>
      </w:r>
      <w:r>
        <w:rPr>
          <w:spacing w:val="-5"/>
          <w:sz w:val="18"/>
        </w:rPr>
        <w:t> </w:t>
      </w:r>
      <w:r>
        <w:rPr>
          <w:sz w:val="18"/>
        </w:rPr>
        <w:t>and</w:t>
      </w:r>
      <w:r>
        <w:rPr>
          <w:spacing w:val="-4"/>
          <w:sz w:val="18"/>
        </w:rPr>
        <w:t> </w:t>
      </w:r>
      <w:r>
        <w:rPr>
          <w:sz w:val="18"/>
        </w:rPr>
        <w:t>other</w:t>
      </w:r>
      <w:r>
        <w:rPr>
          <w:spacing w:val="-3"/>
          <w:sz w:val="18"/>
        </w:rPr>
        <w:t> </w:t>
      </w:r>
      <w:r>
        <w:rPr>
          <w:sz w:val="18"/>
        </w:rPr>
        <w:t>health</w:t>
      </w:r>
      <w:r>
        <w:rPr>
          <w:spacing w:val="-3"/>
          <w:sz w:val="18"/>
        </w:rPr>
        <w:t> </w:t>
      </w:r>
      <w:r>
        <w:rPr>
          <w:sz w:val="18"/>
        </w:rPr>
        <w:t>services</w:t>
      </w:r>
    </w:p>
    <w:p>
      <w:pPr>
        <w:pStyle w:val="ListParagraph"/>
        <w:numPr>
          <w:ilvl w:val="1"/>
          <w:numId w:val="105"/>
        </w:numPr>
        <w:tabs>
          <w:tab w:pos="1140" w:val="left" w:leader="none"/>
          <w:tab w:pos="1141" w:val="left" w:leader="none"/>
        </w:tabs>
        <w:spacing w:line="220" w:lineRule="exact" w:before="1" w:after="0"/>
        <w:ind w:left="1140" w:right="0" w:hanging="361"/>
        <w:jc w:val="left"/>
        <w:rPr>
          <w:sz w:val="18"/>
        </w:rPr>
      </w:pPr>
      <w:r>
        <w:rPr>
          <w:sz w:val="18"/>
        </w:rPr>
        <w:t>linking</w:t>
      </w:r>
      <w:r>
        <w:rPr>
          <w:spacing w:val="-5"/>
          <w:sz w:val="18"/>
        </w:rPr>
        <w:t> </w:t>
      </w:r>
      <w:r>
        <w:rPr>
          <w:sz w:val="18"/>
        </w:rPr>
        <w:t>HCH</w:t>
      </w:r>
      <w:r>
        <w:rPr>
          <w:spacing w:val="-4"/>
          <w:sz w:val="18"/>
        </w:rPr>
        <w:t> </w:t>
      </w:r>
      <w:r>
        <w:rPr>
          <w:sz w:val="18"/>
        </w:rPr>
        <w:t>practices</w:t>
      </w:r>
      <w:r>
        <w:rPr>
          <w:spacing w:val="-5"/>
          <w:sz w:val="18"/>
        </w:rPr>
        <w:t> </w:t>
      </w:r>
      <w:r>
        <w:rPr>
          <w:sz w:val="18"/>
        </w:rPr>
        <w:t>into</w:t>
      </w:r>
      <w:r>
        <w:rPr>
          <w:spacing w:val="-3"/>
          <w:sz w:val="18"/>
        </w:rPr>
        <w:t> </w:t>
      </w:r>
      <w:r>
        <w:rPr>
          <w:sz w:val="18"/>
        </w:rPr>
        <w:t>care</w:t>
      </w:r>
      <w:r>
        <w:rPr>
          <w:spacing w:val="-2"/>
          <w:sz w:val="18"/>
        </w:rPr>
        <w:t> </w:t>
      </w:r>
      <w:r>
        <w:rPr>
          <w:sz w:val="18"/>
        </w:rPr>
        <w:t>coordination</w:t>
      </w:r>
      <w:r>
        <w:rPr>
          <w:spacing w:val="-3"/>
          <w:sz w:val="18"/>
        </w:rPr>
        <w:t> </w:t>
      </w:r>
      <w:r>
        <w:rPr>
          <w:sz w:val="18"/>
        </w:rPr>
        <w:t>services</w:t>
      </w:r>
      <w:r>
        <w:rPr>
          <w:spacing w:val="-4"/>
          <w:sz w:val="18"/>
        </w:rPr>
        <w:t> </w:t>
      </w:r>
      <w:r>
        <w:rPr>
          <w:sz w:val="18"/>
        </w:rPr>
        <w:t>commissioned</w:t>
      </w:r>
      <w:r>
        <w:rPr>
          <w:spacing w:val="-3"/>
          <w:sz w:val="18"/>
        </w:rPr>
        <w:t> </w:t>
      </w:r>
      <w:r>
        <w:rPr>
          <w:sz w:val="18"/>
        </w:rPr>
        <w:t>by</w:t>
      </w:r>
      <w:r>
        <w:rPr>
          <w:spacing w:val="-4"/>
          <w:sz w:val="18"/>
        </w:rPr>
        <w:t> </w:t>
      </w:r>
      <w:r>
        <w:rPr>
          <w:sz w:val="18"/>
        </w:rPr>
        <w:t>the</w:t>
      </w:r>
      <w:r>
        <w:rPr>
          <w:spacing w:val="-2"/>
          <w:sz w:val="18"/>
        </w:rPr>
        <w:t> </w:t>
      </w:r>
      <w:r>
        <w:rPr>
          <w:sz w:val="18"/>
        </w:rPr>
        <w:t>PHN</w:t>
      </w:r>
    </w:p>
    <w:p>
      <w:pPr>
        <w:pStyle w:val="ListParagraph"/>
        <w:numPr>
          <w:ilvl w:val="1"/>
          <w:numId w:val="105"/>
        </w:numPr>
        <w:tabs>
          <w:tab w:pos="1140" w:val="left" w:leader="none"/>
          <w:tab w:pos="1141" w:val="left" w:leader="none"/>
        </w:tabs>
        <w:spacing w:line="220" w:lineRule="exact" w:before="0" w:after="0"/>
        <w:ind w:left="1140" w:right="0" w:hanging="361"/>
        <w:jc w:val="left"/>
        <w:rPr>
          <w:sz w:val="18"/>
        </w:rPr>
      </w:pPr>
      <w:r>
        <w:rPr>
          <w:sz w:val="18"/>
        </w:rPr>
        <w:t>chronic</w:t>
      </w:r>
      <w:r>
        <w:rPr>
          <w:spacing w:val="-5"/>
          <w:sz w:val="18"/>
        </w:rPr>
        <w:t> </w:t>
      </w:r>
      <w:r>
        <w:rPr>
          <w:sz w:val="18"/>
        </w:rPr>
        <w:t>and</w:t>
      </w:r>
      <w:r>
        <w:rPr>
          <w:spacing w:val="-6"/>
          <w:sz w:val="18"/>
        </w:rPr>
        <w:t> </w:t>
      </w:r>
      <w:r>
        <w:rPr>
          <w:sz w:val="18"/>
        </w:rPr>
        <w:t>complex</w:t>
      </w:r>
      <w:r>
        <w:rPr>
          <w:spacing w:val="-4"/>
          <w:sz w:val="18"/>
        </w:rPr>
        <w:t> </w:t>
      </w:r>
      <w:r>
        <w:rPr>
          <w:sz w:val="18"/>
        </w:rPr>
        <w:t>disease</w:t>
      </w:r>
      <w:r>
        <w:rPr>
          <w:spacing w:val="-5"/>
          <w:sz w:val="18"/>
        </w:rPr>
        <w:t> </w:t>
      </w:r>
      <w:r>
        <w:rPr>
          <w:sz w:val="18"/>
        </w:rPr>
        <w:t>management</w:t>
      </w:r>
    </w:p>
    <w:p>
      <w:pPr>
        <w:pStyle w:val="ListParagraph"/>
        <w:numPr>
          <w:ilvl w:val="1"/>
          <w:numId w:val="105"/>
        </w:numPr>
        <w:tabs>
          <w:tab w:pos="1140" w:val="left" w:leader="none"/>
          <w:tab w:pos="1141" w:val="left" w:leader="none"/>
        </w:tabs>
        <w:spacing w:line="240" w:lineRule="auto" w:before="0" w:after="0"/>
        <w:ind w:left="1140" w:right="0" w:hanging="361"/>
        <w:jc w:val="left"/>
        <w:rPr>
          <w:sz w:val="18"/>
        </w:rPr>
      </w:pPr>
      <w:r>
        <w:rPr>
          <w:sz w:val="18"/>
        </w:rPr>
        <w:t>electronic</w:t>
      </w:r>
      <w:r>
        <w:rPr>
          <w:spacing w:val="-4"/>
          <w:sz w:val="18"/>
        </w:rPr>
        <w:t> </w:t>
      </w:r>
      <w:r>
        <w:rPr>
          <w:sz w:val="18"/>
        </w:rPr>
        <w:t>platforms</w:t>
      </w:r>
      <w:r>
        <w:rPr>
          <w:spacing w:val="-4"/>
          <w:sz w:val="18"/>
        </w:rPr>
        <w:t> </w:t>
      </w:r>
      <w:r>
        <w:rPr>
          <w:sz w:val="18"/>
        </w:rPr>
        <w:t>to</w:t>
      </w:r>
      <w:r>
        <w:rPr>
          <w:spacing w:val="-3"/>
          <w:sz w:val="18"/>
        </w:rPr>
        <w:t> </w:t>
      </w:r>
      <w:r>
        <w:rPr>
          <w:sz w:val="18"/>
        </w:rPr>
        <w:t>share</w:t>
      </w:r>
      <w:r>
        <w:rPr>
          <w:spacing w:val="-3"/>
          <w:sz w:val="18"/>
        </w:rPr>
        <w:t> </w:t>
      </w:r>
      <w:r>
        <w:rPr>
          <w:sz w:val="18"/>
        </w:rPr>
        <w:t>patient</w:t>
      </w:r>
      <w:r>
        <w:rPr>
          <w:spacing w:val="-5"/>
          <w:sz w:val="18"/>
        </w:rPr>
        <w:t> </w:t>
      </w:r>
      <w:r>
        <w:rPr>
          <w:sz w:val="18"/>
        </w:rPr>
        <w:t>care</w:t>
      </w:r>
      <w:r>
        <w:rPr>
          <w:spacing w:val="-3"/>
          <w:sz w:val="18"/>
        </w:rPr>
        <w:t> </w:t>
      </w:r>
      <w:r>
        <w:rPr>
          <w:sz w:val="18"/>
        </w:rPr>
        <w:t>plans</w:t>
      </w:r>
      <w:r>
        <w:rPr>
          <w:spacing w:val="-4"/>
          <w:sz w:val="18"/>
        </w:rPr>
        <w:t> </w:t>
      </w:r>
      <w:r>
        <w:rPr>
          <w:sz w:val="18"/>
        </w:rPr>
        <w:t>with</w:t>
      </w:r>
      <w:r>
        <w:rPr>
          <w:spacing w:val="-3"/>
          <w:sz w:val="18"/>
        </w:rPr>
        <w:t> </w:t>
      </w:r>
      <w:r>
        <w:rPr>
          <w:sz w:val="18"/>
        </w:rPr>
        <w:t>other</w:t>
      </w:r>
      <w:r>
        <w:rPr>
          <w:spacing w:val="-4"/>
          <w:sz w:val="18"/>
        </w:rPr>
        <w:t> </w:t>
      </w:r>
      <w:r>
        <w:rPr>
          <w:sz w:val="18"/>
        </w:rPr>
        <w:t>service</w:t>
      </w:r>
      <w:r>
        <w:rPr>
          <w:spacing w:val="-3"/>
          <w:sz w:val="18"/>
        </w:rPr>
        <w:t> </w:t>
      </w:r>
      <w:r>
        <w:rPr>
          <w:sz w:val="18"/>
        </w:rPr>
        <w:t>providers</w:t>
      </w:r>
    </w:p>
    <w:p>
      <w:pPr>
        <w:pStyle w:val="ListParagraph"/>
        <w:numPr>
          <w:ilvl w:val="1"/>
          <w:numId w:val="105"/>
        </w:numPr>
        <w:tabs>
          <w:tab w:pos="1140" w:val="left" w:leader="none"/>
          <w:tab w:pos="1141" w:val="left" w:leader="none"/>
        </w:tabs>
        <w:spacing w:line="240" w:lineRule="auto" w:before="0" w:after="0"/>
        <w:ind w:left="1140" w:right="0" w:hanging="361"/>
        <w:jc w:val="left"/>
        <w:rPr>
          <w:sz w:val="18"/>
        </w:rPr>
      </w:pPr>
      <w:r>
        <w:rPr>
          <w:sz w:val="18"/>
        </w:rPr>
        <w:t>quality</w:t>
      </w:r>
      <w:r>
        <w:rPr>
          <w:spacing w:val="-8"/>
          <w:sz w:val="18"/>
        </w:rPr>
        <w:t> </w:t>
      </w:r>
      <w:r>
        <w:rPr>
          <w:sz w:val="18"/>
        </w:rPr>
        <w:t>improvement</w:t>
      </w:r>
    </w:p>
    <w:p>
      <w:pPr>
        <w:pStyle w:val="ListParagraph"/>
        <w:numPr>
          <w:ilvl w:val="1"/>
          <w:numId w:val="105"/>
        </w:numPr>
        <w:tabs>
          <w:tab w:pos="1140" w:val="left" w:leader="none"/>
          <w:tab w:pos="1141" w:val="left" w:leader="none"/>
        </w:tabs>
        <w:spacing w:line="240" w:lineRule="auto" w:before="0" w:after="0"/>
        <w:ind w:left="1140" w:right="0" w:hanging="361"/>
        <w:jc w:val="left"/>
        <w:rPr>
          <w:sz w:val="18"/>
        </w:rPr>
      </w:pPr>
      <w:r>
        <w:rPr>
          <w:sz w:val="18"/>
        </w:rPr>
        <w:t>benchmarking</w:t>
      </w:r>
    </w:p>
    <w:p>
      <w:pPr>
        <w:pStyle w:val="ListParagraph"/>
        <w:numPr>
          <w:ilvl w:val="1"/>
          <w:numId w:val="105"/>
        </w:numPr>
        <w:tabs>
          <w:tab w:pos="1140" w:val="left" w:leader="none"/>
          <w:tab w:pos="1141" w:val="left" w:leader="none"/>
        </w:tabs>
        <w:spacing w:line="240" w:lineRule="auto" w:before="0" w:after="0"/>
        <w:ind w:left="1140" w:right="0" w:hanging="361"/>
        <w:jc w:val="left"/>
        <w:rPr>
          <w:sz w:val="18"/>
        </w:rPr>
      </w:pPr>
      <w:r>
        <w:rPr>
          <w:sz w:val="18"/>
        </w:rPr>
        <w:t>collaboratives.</w:t>
      </w:r>
    </w:p>
    <w:p>
      <w:pPr>
        <w:pStyle w:val="BodyText"/>
        <w:spacing w:before="11"/>
        <w:rPr>
          <w:sz w:val="22"/>
        </w:rPr>
      </w:pPr>
    </w:p>
    <w:p>
      <w:pPr>
        <w:spacing w:before="1"/>
        <w:ind w:left="420" w:right="0" w:firstLine="0"/>
        <w:jc w:val="left"/>
        <w:rPr>
          <w:sz w:val="18"/>
        </w:rPr>
      </w:pPr>
      <w:r>
        <w:rPr>
          <w:sz w:val="18"/>
        </w:rPr>
        <w:t>Please</w:t>
      </w:r>
      <w:r>
        <w:rPr>
          <w:spacing w:val="-4"/>
          <w:sz w:val="18"/>
        </w:rPr>
        <w:t> </w:t>
      </w:r>
      <w:r>
        <w:rPr>
          <w:sz w:val="18"/>
        </w:rPr>
        <w:t>indicate</w:t>
      </w:r>
      <w:r>
        <w:rPr>
          <w:spacing w:val="-3"/>
          <w:sz w:val="18"/>
        </w:rPr>
        <w:t> </w:t>
      </w:r>
      <w:r>
        <w:rPr>
          <w:sz w:val="18"/>
        </w:rPr>
        <w:t>whether</w:t>
      </w:r>
      <w:r>
        <w:rPr>
          <w:spacing w:val="-3"/>
          <w:sz w:val="18"/>
        </w:rPr>
        <w:t> </w:t>
      </w:r>
      <w:r>
        <w:rPr>
          <w:sz w:val="18"/>
        </w:rPr>
        <w:t>the</w:t>
      </w:r>
      <w:r>
        <w:rPr>
          <w:spacing w:val="-5"/>
          <w:sz w:val="18"/>
        </w:rPr>
        <w:t> </w:t>
      </w:r>
      <w:r>
        <w:rPr>
          <w:sz w:val="18"/>
        </w:rPr>
        <w:t>initiative</w:t>
      </w:r>
      <w:r>
        <w:rPr>
          <w:spacing w:val="-5"/>
          <w:sz w:val="18"/>
        </w:rPr>
        <w:t> </w:t>
      </w:r>
      <w:r>
        <w:rPr>
          <w:sz w:val="18"/>
        </w:rPr>
        <w:t>involves</w:t>
      </w:r>
      <w:r>
        <w:rPr>
          <w:spacing w:val="-4"/>
          <w:sz w:val="18"/>
        </w:rPr>
        <w:t> </w:t>
      </w:r>
      <w:r>
        <w:rPr>
          <w:sz w:val="18"/>
        </w:rPr>
        <w:t>local</w:t>
      </w:r>
      <w:r>
        <w:rPr>
          <w:spacing w:val="-3"/>
          <w:sz w:val="18"/>
        </w:rPr>
        <w:t> </w:t>
      </w:r>
      <w:r>
        <w:rPr>
          <w:sz w:val="18"/>
        </w:rPr>
        <w:t>hospitals</w:t>
      </w:r>
      <w:r>
        <w:rPr>
          <w:spacing w:val="-4"/>
          <w:sz w:val="18"/>
        </w:rPr>
        <w:t> </w:t>
      </w:r>
      <w:r>
        <w:rPr>
          <w:sz w:val="18"/>
        </w:rPr>
        <w:t>or</w:t>
      </w:r>
      <w:r>
        <w:rPr>
          <w:spacing w:val="-3"/>
          <w:sz w:val="18"/>
        </w:rPr>
        <w:t> </w:t>
      </w:r>
      <w:r>
        <w:rPr>
          <w:sz w:val="18"/>
        </w:rPr>
        <w:t>the</w:t>
      </w:r>
      <w:r>
        <w:rPr>
          <w:spacing w:val="-5"/>
          <w:sz w:val="18"/>
        </w:rPr>
        <w:t> </w:t>
      </w:r>
      <w:r>
        <w:rPr>
          <w:sz w:val="18"/>
        </w:rPr>
        <w:t>Local</w:t>
      </w:r>
      <w:r>
        <w:rPr>
          <w:spacing w:val="-3"/>
          <w:sz w:val="18"/>
        </w:rPr>
        <w:t> </w:t>
      </w:r>
      <w:r>
        <w:rPr>
          <w:sz w:val="18"/>
        </w:rPr>
        <w:t>Hospital</w:t>
      </w:r>
      <w:r>
        <w:rPr>
          <w:spacing w:val="-3"/>
          <w:sz w:val="18"/>
        </w:rPr>
        <w:t> </w:t>
      </w:r>
      <w:r>
        <w:rPr>
          <w:sz w:val="18"/>
        </w:rPr>
        <w:t>Network.</w:t>
      </w:r>
    </w:p>
    <w:p>
      <w:pPr>
        <w:pStyle w:val="BodyText"/>
        <w:spacing w:before="12"/>
        <w:rPr>
          <w:sz w:val="18"/>
        </w:rPr>
      </w:pPr>
    </w:p>
    <w:p>
      <w:pPr>
        <w:pStyle w:val="ListParagraph"/>
        <w:numPr>
          <w:ilvl w:val="0"/>
          <w:numId w:val="105"/>
        </w:numPr>
        <w:tabs>
          <w:tab w:pos="722" w:val="left" w:leader="none"/>
        </w:tabs>
        <w:spacing w:line="276" w:lineRule="auto" w:before="0" w:after="0"/>
        <w:ind w:left="420" w:right="1280" w:firstLine="0"/>
        <w:jc w:val="left"/>
        <w:rPr>
          <w:sz w:val="18"/>
        </w:rPr>
      </w:pPr>
      <w:r>
        <w:rPr>
          <w:sz w:val="18"/>
        </w:rPr>
        <w:t>Were there other PHN initiatives that have been used in the HCH program implementation, such as those listed</w:t>
      </w:r>
      <w:r>
        <w:rPr>
          <w:spacing w:val="-47"/>
          <w:sz w:val="18"/>
        </w:rPr>
        <w:t> </w:t>
      </w:r>
      <w:r>
        <w:rPr>
          <w:sz w:val="18"/>
        </w:rPr>
        <w:t>above?</w:t>
      </w:r>
    </w:p>
    <w:p>
      <w:pPr>
        <w:pStyle w:val="BodyText"/>
        <w:spacing w:before="2"/>
        <w:rPr>
          <w:sz w:val="8"/>
        </w:rPr>
      </w:pPr>
    </w:p>
    <w:p>
      <w:pPr>
        <w:spacing w:before="100"/>
        <w:ind w:left="1771" w:right="5585" w:firstLine="0"/>
        <w:jc w:val="left"/>
        <w:rPr>
          <w:sz w:val="18"/>
        </w:rPr>
      </w:pPr>
      <w:r>
        <w:rPr/>
        <w:drawing>
          <wp:anchor distT="0" distB="0" distL="0" distR="0" allowOverlap="1" layoutInCell="1" locked="0" behindDoc="0" simplePos="0" relativeHeight="16143872">
            <wp:simplePos x="0" y="0"/>
            <wp:positionH relativeFrom="page">
              <wp:posOffset>1102145</wp:posOffset>
            </wp:positionH>
            <wp:positionV relativeFrom="paragraph">
              <wp:posOffset>108349</wp:posOffset>
            </wp:positionV>
            <wp:extent cx="58380" cy="72151"/>
            <wp:effectExtent l="0" t="0" r="0" b="0"/>
            <wp:wrapNone/>
            <wp:docPr id="2109" name="image13.png"/>
            <wp:cNvGraphicFramePr>
              <a:graphicFrameLocks noChangeAspect="1"/>
            </wp:cNvGraphicFramePr>
            <a:graphic>
              <a:graphicData uri="http://schemas.openxmlformats.org/drawingml/2006/picture">
                <pic:pic>
                  <pic:nvPicPr>
                    <pic:cNvPr id="2110"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144384">
            <wp:simplePos x="0" y="0"/>
            <wp:positionH relativeFrom="page">
              <wp:posOffset>1102145</wp:posOffset>
            </wp:positionH>
            <wp:positionV relativeFrom="paragraph">
              <wp:posOffset>248365</wp:posOffset>
            </wp:positionV>
            <wp:extent cx="58380" cy="73867"/>
            <wp:effectExtent l="0" t="0" r="0" b="0"/>
            <wp:wrapNone/>
            <wp:docPr id="2111" name="image14.png"/>
            <wp:cNvGraphicFramePr>
              <a:graphicFrameLocks noChangeAspect="1"/>
            </wp:cNvGraphicFramePr>
            <a:graphic>
              <a:graphicData uri="http://schemas.openxmlformats.org/drawingml/2006/picture">
                <pic:pic>
                  <pic:nvPicPr>
                    <pic:cNvPr id="2112" name="image14.png"/>
                    <pic:cNvPicPr/>
                  </pic:nvPicPr>
                  <pic:blipFill>
                    <a:blip r:embed="rId43" cstate="print"/>
                    <a:stretch>
                      <a:fillRect/>
                    </a:stretch>
                  </pic:blipFill>
                  <pic:spPr>
                    <a:xfrm>
                      <a:off x="0" y="0"/>
                      <a:ext cx="58380" cy="73867"/>
                    </a:xfrm>
                    <a:prstGeom prst="rect">
                      <a:avLst/>
                    </a:prstGeom>
                  </pic:spPr>
                </pic:pic>
              </a:graphicData>
            </a:graphic>
          </wp:anchor>
        </w:drawing>
      </w:r>
      <w:r>
        <w:rPr>
          <w:sz w:val="18"/>
        </w:rPr>
        <w:t>Yes</w:t>
      </w:r>
      <w:r>
        <w:rPr>
          <w:spacing w:val="1"/>
          <w:sz w:val="18"/>
        </w:rPr>
        <w:t> </w:t>
      </w:r>
      <w:r>
        <w:rPr>
          <w:sz w:val="18"/>
        </w:rPr>
        <w:t>(4) If yes please provide details at Q 24a-g</w:t>
      </w:r>
      <w:r>
        <w:rPr>
          <w:spacing w:val="-47"/>
          <w:sz w:val="18"/>
        </w:rPr>
        <w:t> </w:t>
      </w:r>
      <w:r>
        <w:rPr>
          <w:sz w:val="18"/>
        </w:rPr>
        <w:t>No</w:t>
      </w:r>
      <w:r>
        <w:rPr>
          <w:spacing w:val="4"/>
          <w:sz w:val="18"/>
        </w:rPr>
        <w:t> </w:t>
      </w:r>
      <w:r>
        <w:rPr>
          <w:sz w:val="18"/>
        </w:rPr>
        <w:t>(5)</w:t>
      </w:r>
      <w:r>
        <w:rPr>
          <w:spacing w:val="-2"/>
          <w:sz w:val="18"/>
        </w:rPr>
        <w:t> </w:t>
      </w:r>
      <w:r>
        <w:rPr>
          <w:sz w:val="18"/>
        </w:rPr>
        <w:t>If no,</w:t>
      </w:r>
      <w:r>
        <w:rPr>
          <w:spacing w:val="-3"/>
          <w:sz w:val="18"/>
        </w:rPr>
        <w:t> </w:t>
      </w:r>
      <w:r>
        <w:rPr>
          <w:sz w:val="18"/>
        </w:rPr>
        <w:t>continue to</w:t>
      </w:r>
      <w:r>
        <w:rPr>
          <w:spacing w:val="-1"/>
          <w:sz w:val="18"/>
        </w:rPr>
        <w:t> </w:t>
      </w:r>
      <w:r>
        <w:rPr>
          <w:sz w:val="18"/>
        </w:rPr>
        <w:t>Q 25</w:t>
      </w:r>
    </w:p>
    <w:p>
      <w:pPr>
        <w:pStyle w:val="BodyText"/>
        <w:spacing w:before="7"/>
        <w:rPr>
          <w:sz w:val="14"/>
        </w:rPr>
      </w:pPr>
    </w:p>
    <w:p>
      <w:pPr>
        <w:spacing w:before="100"/>
        <w:ind w:left="420" w:right="0" w:firstLine="0"/>
        <w:jc w:val="left"/>
        <w:rPr>
          <w:sz w:val="18"/>
        </w:rPr>
      </w:pPr>
      <w:r>
        <w:rPr>
          <w:sz w:val="18"/>
        </w:rPr>
        <w:t>24a.</w:t>
      </w:r>
      <w:r>
        <w:rPr>
          <w:spacing w:val="-7"/>
          <w:sz w:val="18"/>
        </w:rPr>
        <w:t> </w:t>
      </w:r>
      <w:r>
        <w:rPr>
          <w:sz w:val="18"/>
        </w:rPr>
        <w:t>Initiative</w:t>
      </w:r>
      <w:r>
        <w:rPr>
          <w:spacing w:val="-2"/>
          <w:sz w:val="18"/>
        </w:rPr>
        <w:t> </w:t>
      </w:r>
      <w:r>
        <w:rPr>
          <w:sz w:val="18"/>
        </w:rPr>
        <w:t>name</w:t>
      </w:r>
    </w:p>
    <w:p>
      <w:pPr>
        <w:pStyle w:val="BodyText"/>
      </w:pPr>
    </w:p>
    <w:p>
      <w:pPr>
        <w:pStyle w:val="BodyText"/>
        <w:spacing w:before="6"/>
        <w:rPr>
          <w:sz w:val="13"/>
        </w:rPr>
      </w:pPr>
      <w:r>
        <w:rPr/>
        <w:pict>
          <v:shape style="position:absolute;margin-left:56.040001pt;margin-top:9.504529pt;width:287.9pt;height:.1pt;mso-position-horizontal-relative:page;mso-position-vertical-relative:paragraph;z-index:-15314432;mso-wrap-distance-left:0;mso-wrap-distance-right:0" id="docshape235" coordorigin="1121,190" coordsize="5758,0" path="m1121,190l6879,190e" filled="false" stroked="true" strokeweight=".45pt" strokecolor="#bdbdbd">
            <v:path arrowok="t"/>
            <v:stroke dashstyle="solid"/>
            <w10:wrap type="topAndBottom"/>
          </v:shape>
        </w:pict>
      </w:r>
    </w:p>
    <w:p>
      <w:pPr>
        <w:pStyle w:val="BodyText"/>
        <w:spacing w:before="2"/>
        <w:rPr>
          <w:sz w:val="12"/>
        </w:rPr>
      </w:pPr>
    </w:p>
    <w:p>
      <w:pPr>
        <w:spacing w:before="101"/>
        <w:ind w:left="420" w:right="0" w:firstLine="0"/>
        <w:jc w:val="left"/>
        <w:rPr>
          <w:sz w:val="18"/>
        </w:rPr>
      </w:pPr>
      <w:r>
        <w:rPr>
          <w:sz w:val="18"/>
        </w:rPr>
        <w:t>24b.</w:t>
      </w:r>
      <w:r>
        <w:rPr>
          <w:spacing w:val="-6"/>
          <w:sz w:val="18"/>
        </w:rPr>
        <w:t> </w:t>
      </w:r>
      <w:r>
        <w:rPr>
          <w:sz w:val="18"/>
        </w:rPr>
        <w:t>Brief</w:t>
      </w:r>
      <w:r>
        <w:rPr>
          <w:spacing w:val="-4"/>
          <w:sz w:val="18"/>
        </w:rPr>
        <w:t> </w:t>
      </w:r>
      <w:r>
        <w:rPr>
          <w:sz w:val="18"/>
        </w:rPr>
        <w:t>description</w:t>
      </w:r>
      <w:r>
        <w:rPr>
          <w:spacing w:val="-3"/>
          <w:sz w:val="18"/>
        </w:rPr>
        <w:t> </w:t>
      </w:r>
      <w:r>
        <w:rPr>
          <w:sz w:val="18"/>
        </w:rPr>
        <w:t>of</w:t>
      </w:r>
      <w:r>
        <w:rPr>
          <w:spacing w:val="-5"/>
          <w:sz w:val="18"/>
        </w:rPr>
        <w:t> </w:t>
      </w:r>
      <w:r>
        <w:rPr>
          <w:sz w:val="18"/>
        </w:rPr>
        <w:t>initiative</w:t>
      </w:r>
    </w:p>
    <w:p>
      <w:pPr>
        <w:pStyle w:val="BodyText"/>
        <w:spacing w:before="12"/>
        <w:rPr>
          <w:sz w:val="18"/>
        </w:rPr>
      </w:pPr>
    </w:p>
    <w:p>
      <w:pPr>
        <w:spacing w:before="0"/>
        <w:ind w:left="420" w:right="0" w:firstLine="0"/>
        <w:jc w:val="left"/>
        <w:rPr>
          <w:sz w:val="18"/>
        </w:rPr>
      </w:pPr>
      <w:r>
        <w:rPr>
          <w:sz w:val="18"/>
        </w:rPr>
        <w:t>24c.</w:t>
      </w:r>
      <w:r>
        <w:rPr>
          <w:spacing w:val="-3"/>
          <w:sz w:val="18"/>
        </w:rPr>
        <w:t> </w:t>
      </w:r>
      <w:r>
        <w:rPr>
          <w:sz w:val="18"/>
        </w:rPr>
        <w:t>Was</w:t>
      </w:r>
      <w:r>
        <w:rPr>
          <w:spacing w:val="-3"/>
          <w:sz w:val="18"/>
        </w:rPr>
        <w:t> </w:t>
      </w:r>
      <w:r>
        <w:rPr>
          <w:sz w:val="18"/>
        </w:rPr>
        <w:t>the</w:t>
      </w:r>
      <w:r>
        <w:rPr>
          <w:spacing w:val="-3"/>
          <w:sz w:val="18"/>
        </w:rPr>
        <w:t> </w:t>
      </w:r>
      <w:r>
        <w:rPr>
          <w:sz w:val="18"/>
        </w:rPr>
        <w:t>initiative</w:t>
      </w:r>
      <w:r>
        <w:rPr>
          <w:spacing w:val="-4"/>
          <w:sz w:val="18"/>
        </w:rPr>
        <w:t> </w:t>
      </w:r>
      <w:r>
        <w:rPr>
          <w:sz w:val="18"/>
        </w:rPr>
        <w:t>in</w:t>
      </w:r>
      <w:r>
        <w:rPr>
          <w:spacing w:val="-5"/>
          <w:sz w:val="18"/>
        </w:rPr>
        <w:t> </w:t>
      </w:r>
      <w:r>
        <w:rPr>
          <w:sz w:val="18"/>
        </w:rPr>
        <w:t>place</w:t>
      </w:r>
      <w:r>
        <w:rPr>
          <w:spacing w:val="-2"/>
          <w:sz w:val="18"/>
        </w:rPr>
        <w:t> </w:t>
      </w:r>
      <w:r>
        <w:rPr>
          <w:sz w:val="18"/>
        </w:rPr>
        <w:t>prior</w:t>
      </w:r>
      <w:r>
        <w:rPr>
          <w:spacing w:val="-3"/>
          <w:sz w:val="18"/>
        </w:rPr>
        <w:t> </w:t>
      </w:r>
      <w:r>
        <w:rPr>
          <w:sz w:val="18"/>
        </w:rPr>
        <w:t>to</w:t>
      </w:r>
      <w:r>
        <w:rPr>
          <w:spacing w:val="-3"/>
          <w:sz w:val="18"/>
        </w:rPr>
        <w:t> </w:t>
      </w:r>
      <w:r>
        <w:rPr>
          <w:sz w:val="18"/>
        </w:rPr>
        <w:t>the</w:t>
      </w:r>
      <w:r>
        <w:rPr>
          <w:spacing w:val="-3"/>
          <w:sz w:val="18"/>
        </w:rPr>
        <w:t> </w:t>
      </w:r>
      <w:r>
        <w:rPr>
          <w:sz w:val="18"/>
        </w:rPr>
        <w:t>commencement</w:t>
      </w:r>
      <w:r>
        <w:rPr>
          <w:spacing w:val="-4"/>
          <w:sz w:val="18"/>
        </w:rPr>
        <w:t> </w:t>
      </w:r>
      <w:r>
        <w:rPr>
          <w:sz w:val="18"/>
        </w:rPr>
        <w:t>of</w:t>
      </w:r>
      <w:r>
        <w:rPr>
          <w:spacing w:val="-2"/>
          <w:sz w:val="18"/>
        </w:rPr>
        <w:t> </w:t>
      </w:r>
      <w:r>
        <w:rPr>
          <w:sz w:val="18"/>
        </w:rPr>
        <w:t>the</w:t>
      </w:r>
      <w:r>
        <w:rPr>
          <w:spacing w:val="-2"/>
          <w:sz w:val="18"/>
        </w:rPr>
        <w:t> </w:t>
      </w:r>
      <w:r>
        <w:rPr>
          <w:sz w:val="18"/>
        </w:rPr>
        <w:t>HCH</w:t>
      </w:r>
      <w:r>
        <w:rPr>
          <w:spacing w:val="-3"/>
          <w:sz w:val="18"/>
        </w:rPr>
        <w:t> </w:t>
      </w:r>
      <w:r>
        <w:rPr>
          <w:sz w:val="18"/>
        </w:rPr>
        <w:t>program?</w:t>
      </w:r>
    </w:p>
    <w:p>
      <w:pPr>
        <w:pStyle w:val="BodyText"/>
        <w:spacing w:before="10"/>
        <w:rPr>
          <w:sz w:val="10"/>
        </w:rPr>
      </w:pPr>
    </w:p>
    <w:p>
      <w:pPr>
        <w:spacing w:before="100"/>
        <w:ind w:left="1771" w:right="0" w:firstLine="0"/>
        <w:jc w:val="left"/>
        <w:rPr>
          <w:sz w:val="18"/>
        </w:rPr>
      </w:pPr>
      <w:r>
        <w:rPr/>
        <w:drawing>
          <wp:anchor distT="0" distB="0" distL="0" distR="0" allowOverlap="1" layoutInCell="1" locked="0" behindDoc="0" simplePos="0" relativeHeight="16144896">
            <wp:simplePos x="0" y="0"/>
            <wp:positionH relativeFrom="page">
              <wp:posOffset>1102145</wp:posOffset>
            </wp:positionH>
            <wp:positionV relativeFrom="paragraph">
              <wp:posOffset>107968</wp:posOffset>
            </wp:positionV>
            <wp:extent cx="58380" cy="72151"/>
            <wp:effectExtent l="0" t="0" r="0" b="0"/>
            <wp:wrapNone/>
            <wp:docPr id="2113" name="image13.png"/>
            <wp:cNvGraphicFramePr>
              <a:graphicFrameLocks noChangeAspect="1"/>
            </wp:cNvGraphicFramePr>
            <a:graphic>
              <a:graphicData uri="http://schemas.openxmlformats.org/drawingml/2006/picture">
                <pic:pic>
                  <pic:nvPicPr>
                    <pic:cNvPr id="211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Yes</w:t>
      </w:r>
      <w:r>
        <w:rPr>
          <w:spacing w:val="49"/>
          <w:sz w:val="18"/>
        </w:rPr>
        <w:t> </w:t>
      </w:r>
      <w:r>
        <w:rPr>
          <w:sz w:val="18"/>
        </w:rPr>
        <w:t>(1)</w:t>
      </w:r>
    </w:p>
    <w:p>
      <w:pPr>
        <w:spacing w:before="0"/>
        <w:ind w:left="1771" w:right="0" w:firstLine="0"/>
        <w:jc w:val="left"/>
        <w:rPr>
          <w:sz w:val="18"/>
        </w:rPr>
      </w:pPr>
      <w:r>
        <w:rPr/>
        <w:drawing>
          <wp:anchor distT="0" distB="0" distL="0" distR="0" allowOverlap="1" layoutInCell="1" locked="0" behindDoc="0" simplePos="0" relativeHeight="16145408">
            <wp:simplePos x="0" y="0"/>
            <wp:positionH relativeFrom="page">
              <wp:posOffset>1102145</wp:posOffset>
            </wp:positionH>
            <wp:positionV relativeFrom="paragraph">
              <wp:posOffset>44469</wp:posOffset>
            </wp:positionV>
            <wp:extent cx="58380" cy="72151"/>
            <wp:effectExtent l="0" t="0" r="0" b="0"/>
            <wp:wrapNone/>
            <wp:docPr id="2115" name="image13.png"/>
            <wp:cNvGraphicFramePr>
              <a:graphicFrameLocks noChangeAspect="1"/>
            </wp:cNvGraphicFramePr>
            <a:graphic>
              <a:graphicData uri="http://schemas.openxmlformats.org/drawingml/2006/picture">
                <pic:pic>
                  <pic:nvPicPr>
                    <pic:cNvPr id="211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w:t>
      </w:r>
      <w:r>
        <w:rPr>
          <w:spacing w:val="49"/>
          <w:sz w:val="18"/>
        </w:rPr>
        <w:t> </w:t>
      </w:r>
      <w:r>
        <w:rPr>
          <w:sz w:val="18"/>
        </w:rPr>
        <w:t>(3)</w:t>
      </w:r>
    </w:p>
    <w:p>
      <w:pPr>
        <w:spacing w:before="0"/>
        <w:ind w:left="1771" w:right="0" w:firstLine="0"/>
        <w:jc w:val="left"/>
        <w:rPr>
          <w:sz w:val="18"/>
        </w:rPr>
      </w:pPr>
      <w:r>
        <w:rPr/>
        <w:drawing>
          <wp:anchor distT="0" distB="0" distL="0" distR="0" allowOverlap="1" layoutInCell="1" locked="0" behindDoc="0" simplePos="0" relativeHeight="16145920">
            <wp:simplePos x="0" y="0"/>
            <wp:positionH relativeFrom="page">
              <wp:posOffset>1102145</wp:posOffset>
            </wp:positionH>
            <wp:positionV relativeFrom="paragraph">
              <wp:posOffset>44468</wp:posOffset>
            </wp:positionV>
            <wp:extent cx="58380" cy="72151"/>
            <wp:effectExtent l="0" t="0" r="0" b="0"/>
            <wp:wrapNone/>
            <wp:docPr id="2117" name="image13.png"/>
            <wp:cNvGraphicFramePr>
              <a:graphicFrameLocks noChangeAspect="1"/>
            </wp:cNvGraphicFramePr>
            <a:graphic>
              <a:graphicData uri="http://schemas.openxmlformats.org/drawingml/2006/picture">
                <pic:pic>
                  <pic:nvPicPr>
                    <pic:cNvPr id="211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Don't</w:t>
      </w:r>
      <w:r>
        <w:rPr>
          <w:spacing w:val="-3"/>
          <w:sz w:val="18"/>
        </w:rPr>
        <w:t> </w:t>
      </w:r>
      <w:r>
        <w:rPr>
          <w:sz w:val="18"/>
        </w:rPr>
        <w:t>know</w:t>
      </w:r>
      <w:r>
        <w:rPr>
          <w:spacing w:val="48"/>
          <w:sz w:val="18"/>
        </w:rPr>
        <w:t> </w:t>
      </w:r>
      <w:r>
        <w:rPr>
          <w:sz w:val="18"/>
        </w:rPr>
        <w:t>(4)</w:t>
      </w:r>
    </w:p>
    <w:p>
      <w:pPr>
        <w:pStyle w:val="BodyText"/>
        <w:spacing w:before="7"/>
        <w:rPr>
          <w:sz w:val="14"/>
        </w:rPr>
      </w:pPr>
    </w:p>
    <w:p>
      <w:pPr>
        <w:spacing w:line="276" w:lineRule="auto" w:before="100"/>
        <w:ind w:left="420" w:right="1253" w:firstLine="0"/>
        <w:jc w:val="left"/>
        <w:rPr>
          <w:sz w:val="18"/>
        </w:rPr>
      </w:pPr>
      <w:r>
        <w:rPr>
          <w:sz w:val="18"/>
        </w:rPr>
        <w:t>24d. How many practices participated in the initiative prior to the commencement of the HCH program and at 31</w:t>
      </w:r>
      <w:r>
        <w:rPr>
          <w:spacing w:val="-47"/>
          <w:sz w:val="18"/>
        </w:rPr>
        <w:t> </w:t>
      </w:r>
      <w:r>
        <w:rPr>
          <w:sz w:val="18"/>
        </w:rPr>
        <w:t>March</w:t>
      </w:r>
      <w:r>
        <w:rPr>
          <w:spacing w:val="-3"/>
          <w:sz w:val="18"/>
        </w:rPr>
        <w:t> </w:t>
      </w:r>
      <w:r>
        <w:rPr>
          <w:sz w:val="18"/>
        </w:rPr>
        <w:t>2018?</w:t>
      </w:r>
    </w:p>
    <w:p>
      <w:pPr>
        <w:pStyle w:val="BodyText"/>
        <w:spacing w:before="5"/>
        <w:rPr>
          <w:sz w:val="16"/>
        </w:rPr>
      </w:pPr>
    </w:p>
    <w:tbl>
      <w:tblPr>
        <w:tblW w:w="0" w:type="auto"/>
        <w:jc w:val="left"/>
        <w:tblInd w:w="275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972"/>
        <w:gridCol w:w="2837"/>
      </w:tblGrid>
      <w:tr>
        <w:trPr>
          <w:trHeight w:val="422" w:hRule="atLeast"/>
        </w:trPr>
        <w:tc>
          <w:tcPr>
            <w:tcW w:w="2972" w:type="dxa"/>
            <w:tcBorders>
              <w:bottom w:val="single" w:sz="6" w:space="0" w:color="BEBEBE"/>
              <w:right w:val="single" w:sz="6" w:space="0" w:color="BEBEBE"/>
            </w:tcBorders>
            <w:shd w:val="clear" w:color="auto" w:fill="F1F1F1"/>
          </w:tcPr>
          <w:p>
            <w:pPr>
              <w:pStyle w:val="TableParagraph"/>
              <w:rPr>
                <w:rFonts w:ascii="Times New Roman"/>
                <w:sz w:val="16"/>
              </w:rPr>
            </w:pPr>
          </w:p>
        </w:tc>
        <w:tc>
          <w:tcPr>
            <w:tcW w:w="2837" w:type="dxa"/>
            <w:tcBorders>
              <w:left w:val="single" w:sz="6" w:space="0" w:color="BEBEBE"/>
              <w:bottom w:val="single" w:sz="6" w:space="0" w:color="BEBEBE"/>
            </w:tcBorders>
            <w:shd w:val="clear" w:color="auto" w:fill="F1F1F1"/>
          </w:tcPr>
          <w:p>
            <w:pPr>
              <w:pStyle w:val="TableParagraph"/>
              <w:spacing w:before="113"/>
              <w:ind w:left="489"/>
              <w:rPr>
                <w:sz w:val="16"/>
              </w:rPr>
            </w:pPr>
            <w:r>
              <w:rPr>
                <w:sz w:val="16"/>
              </w:rPr>
              <w:t>Number</w:t>
            </w:r>
            <w:r>
              <w:rPr>
                <w:spacing w:val="-4"/>
                <w:sz w:val="16"/>
              </w:rPr>
              <w:t> </w:t>
            </w:r>
            <w:r>
              <w:rPr>
                <w:sz w:val="16"/>
              </w:rPr>
              <w:t>of</w:t>
            </w:r>
            <w:r>
              <w:rPr>
                <w:spacing w:val="-2"/>
                <w:sz w:val="16"/>
              </w:rPr>
              <w:t> </w:t>
            </w:r>
            <w:r>
              <w:rPr>
                <w:sz w:val="16"/>
              </w:rPr>
              <w:t>practices</w:t>
            </w:r>
            <w:r>
              <w:rPr>
                <w:spacing w:val="-3"/>
                <w:sz w:val="16"/>
              </w:rPr>
              <w:t> </w:t>
            </w:r>
            <w:r>
              <w:rPr>
                <w:sz w:val="16"/>
              </w:rPr>
              <w:t>(1)</w:t>
            </w:r>
          </w:p>
        </w:tc>
      </w:tr>
      <w:tr>
        <w:trPr>
          <w:trHeight w:val="421" w:hRule="atLeast"/>
        </w:trPr>
        <w:tc>
          <w:tcPr>
            <w:tcW w:w="2972" w:type="dxa"/>
            <w:tcBorders>
              <w:top w:val="single" w:sz="6" w:space="0" w:color="BEBEBE"/>
              <w:bottom w:val="single" w:sz="6" w:space="0" w:color="BEBEBE"/>
              <w:right w:val="single" w:sz="6" w:space="0" w:color="BEBEBE"/>
            </w:tcBorders>
          </w:tcPr>
          <w:p>
            <w:pPr>
              <w:pStyle w:val="TableParagraph"/>
              <w:spacing w:before="112"/>
              <w:ind w:left="198" w:right="184"/>
              <w:jc w:val="center"/>
              <w:rPr>
                <w:sz w:val="16"/>
              </w:rPr>
            </w:pPr>
            <w:r>
              <w:rPr>
                <w:sz w:val="16"/>
              </w:rPr>
              <w:t>Prior</w:t>
            </w:r>
            <w:r>
              <w:rPr>
                <w:spacing w:val="-3"/>
                <w:sz w:val="16"/>
              </w:rPr>
              <w:t> </w:t>
            </w:r>
            <w:r>
              <w:rPr>
                <w:sz w:val="16"/>
              </w:rPr>
              <w:t>to</w:t>
            </w:r>
            <w:r>
              <w:rPr>
                <w:spacing w:val="-1"/>
                <w:sz w:val="16"/>
              </w:rPr>
              <w:t> </w:t>
            </w:r>
            <w:r>
              <w:rPr>
                <w:sz w:val="16"/>
              </w:rPr>
              <w:t>HCH</w:t>
            </w:r>
            <w:r>
              <w:rPr>
                <w:spacing w:val="-1"/>
                <w:sz w:val="16"/>
              </w:rPr>
              <w:t> </w:t>
            </w:r>
            <w:r>
              <w:rPr>
                <w:sz w:val="16"/>
              </w:rPr>
              <w:t>commencement</w:t>
            </w:r>
            <w:r>
              <w:rPr>
                <w:spacing w:val="-1"/>
                <w:sz w:val="16"/>
              </w:rPr>
              <w:t> </w:t>
            </w:r>
            <w:r>
              <w:rPr>
                <w:sz w:val="16"/>
              </w:rPr>
              <w:t>(1)</w:t>
            </w:r>
          </w:p>
        </w:tc>
        <w:tc>
          <w:tcPr>
            <w:tcW w:w="2837" w:type="dxa"/>
            <w:tcBorders>
              <w:top w:val="single" w:sz="6" w:space="0" w:color="BEBEBE"/>
              <w:left w:val="single" w:sz="6" w:space="0" w:color="BEBEBE"/>
              <w:bottom w:val="single" w:sz="6" w:space="0" w:color="BEBEBE"/>
            </w:tcBorders>
          </w:tcPr>
          <w:p>
            <w:pPr>
              <w:pStyle w:val="TableParagraph"/>
              <w:rPr>
                <w:rFonts w:ascii="Times New Roman"/>
                <w:sz w:val="16"/>
              </w:rPr>
            </w:pPr>
          </w:p>
        </w:tc>
      </w:tr>
      <w:tr>
        <w:trPr>
          <w:trHeight w:val="424" w:hRule="atLeast"/>
        </w:trPr>
        <w:tc>
          <w:tcPr>
            <w:tcW w:w="2972" w:type="dxa"/>
            <w:tcBorders>
              <w:top w:val="single" w:sz="6" w:space="0" w:color="BEBEBE"/>
              <w:right w:val="single" w:sz="6" w:space="0" w:color="BEBEBE"/>
            </w:tcBorders>
          </w:tcPr>
          <w:p>
            <w:pPr>
              <w:pStyle w:val="TableParagraph"/>
              <w:spacing w:before="112"/>
              <w:ind w:left="198" w:right="182"/>
              <w:jc w:val="center"/>
              <w:rPr>
                <w:sz w:val="16"/>
              </w:rPr>
            </w:pPr>
            <w:r>
              <w:rPr>
                <w:sz w:val="16"/>
              </w:rPr>
              <w:t>31</w:t>
            </w:r>
            <w:r>
              <w:rPr>
                <w:spacing w:val="-3"/>
                <w:sz w:val="16"/>
              </w:rPr>
              <w:t> </w:t>
            </w:r>
            <w:r>
              <w:rPr>
                <w:sz w:val="16"/>
              </w:rPr>
              <w:t>March</w:t>
            </w:r>
            <w:r>
              <w:rPr>
                <w:spacing w:val="-1"/>
                <w:sz w:val="16"/>
              </w:rPr>
              <w:t> </w:t>
            </w:r>
            <w:r>
              <w:rPr>
                <w:sz w:val="16"/>
              </w:rPr>
              <w:t>2018</w:t>
            </w:r>
            <w:r>
              <w:rPr>
                <w:spacing w:val="-3"/>
                <w:sz w:val="16"/>
              </w:rPr>
              <w:t> </w:t>
            </w:r>
            <w:r>
              <w:rPr>
                <w:sz w:val="16"/>
              </w:rPr>
              <w:t>(3)</w:t>
            </w:r>
          </w:p>
        </w:tc>
        <w:tc>
          <w:tcPr>
            <w:tcW w:w="2837" w:type="dxa"/>
            <w:tcBorders>
              <w:top w:val="single" w:sz="6" w:space="0" w:color="BEBEBE"/>
              <w:left w:val="single" w:sz="6" w:space="0" w:color="BEBEBE"/>
            </w:tcBorders>
          </w:tcPr>
          <w:p>
            <w:pPr>
              <w:pStyle w:val="TableParagraph"/>
              <w:rPr>
                <w:rFonts w:ascii="Times New Roman"/>
                <w:sz w:val="16"/>
              </w:rPr>
            </w:pPr>
          </w:p>
        </w:tc>
      </w:tr>
    </w:tbl>
    <w:p>
      <w:pPr>
        <w:pStyle w:val="BodyText"/>
        <w:spacing w:before="7"/>
        <w:rPr>
          <w:sz w:val="19"/>
        </w:rPr>
      </w:pPr>
    </w:p>
    <w:p>
      <w:pPr>
        <w:spacing w:before="0"/>
        <w:ind w:left="420" w:right="0" w:firstLine="0"/>
        <w:jc w:val="left"/>
        <w:rPr>
          <w:sz w:val="18"/>
        </w:rPr>
      </w:pPr>
      <w:r>
        <w:rPr>
          <w:sz w:val="18"/>
        </w:rPr>
        <w:t>24e.</w:t>
      </w:r>
      <w:r>
        <w:rPr>
          <w:spacing w:val="-6"/>
          <w:sz w:val="18"/>
        </w:rPr>
        <w:t> </w:t>
      </w:r>
      <w:r>
        <w:rPr>
          <w:sz w:val="18"/>
        </w:rPr>
        <w:t>Does</w:t>
      </w:r>
      <w:r>
        <w:rPr>
          <w:spacing w:val="-3"/>
          <w:sz w:val="18"/>
        </w:rPr>
        <w:t> </w:t>
      </w:r>
      <w:r>
        <w:rPr>
          <w:sz w:val="18"/>
        </w:rPr>
        <w:t>this</w:t>
      </w:r>
      <w:r>
        <w:rPr>
          <w:spacing w:val="-6"/>
          <w:sz w:val="18"/>
        </w:rPr>
        <w:t> </w:t>
      </w:r>
      <w:r>
        <w:rPr>
          <w:sz w:val="18"/>
        </w:rPr>
        <w:t>initiative</w:t>
      </w:r>
      <w:r>
        <w:rPr>
          <w:spacing w:val="-5"/>
          <w:sz w:val="18"/>
        </w:rPr>
        <w:t> </w:t>
      </w:r>
      <w:r>
        <w:rPr>
          <w:sz w:val="18"/>
        </w:rPr>
        <w:t>involve</w:t>
      </w:r>
      <w:r>
        <w:rPr>
          <w:spacing w:val="-3"/>
          <w:sz w:val="18"/>
        </w:rPr>
        <w:t> </w:t>
      </w:r>
      <w:r>
        <w:rPr>
          <w:sz w:val="18"/>
        </w:rPr>
        <w:t>a</w:t>
      </w:r>
      <w:r>
        <w:rPr>
          <w:spacing w:val="-3"/>
          <w:sz w:val="18"/>
        </w:rPr>
        <w:t> </w:t>
      </w:r>
      <w:r>
        <w:rPr>
          <w:sz w:val="18"/>
        </w:rPr>
        <w:t>local</w:t>
      </w:r>
      <w:r>
        <w:rPr>
          <w:spacing w:val="-3"/>
          <w:sz w:val="18"/>
        </w:rPr>
        <w:t> </w:t>
      </w:r>
      <w:r>
        <w:rPr>
          <w:sz w:val="18"/>
        </w:rPr>
        <w:t>hospital,</w:t>
      </w:r>
      <w:r>
        <w:rPr>
          <w:spacing w:val="-5"/>
          <w:sz w:val="18"/>
        </w:rPr>
        <w:t> </w:t>
      </w:r>
      <w:r>
        <w:rPr>
          <w:sz w:val="18"/>
        </w:rPr>
        <w:t>Local</w:t>
      </w:r>
      <w:r>
        <w:rPr>
          <w:spacing w:val="-4"/>
          <w:sz w:val="18"/>
        </w:rPr>
        <w:t> </w:t>
      </w:r>
      <w:r>
        <w:rPr>
          <w:sz w:val="18"/>
        </w:rPr>
        <w:t>Hospital</w:t>
      </w:r>
      <w:r>
        <w:rPr>
          <w:spacing w:val="-3"/>
          <w:sz w:val="18"/>
        </w:rPr>
        <w:t> </w:t>
      </w:r>
      <w:r>
        <w:rPr>
          <w:sz w:val="18"/>
        </w:rPr>
        <w:t>Network (LHN)</w:t>
      </w:r>
      <w:r>
        <w:rPr>
          <w:spacing w:val="-5"/>
          <w:sz w:val="18"/>
        </w:rPr>
        <w:t> </w:t>
      </w:r>
      <w:r>
        <w:rPr>
          <w:sz w:val="18"/>
        </w:rPr>
        <w:t>and/</w:t>
      </w:r>
      <w:r>
        <w:rPr>
          <w:spacing w:val="-3"/>
          <w:sz w:val="18"/>
        </w:rPr>
        <w:t> </w:t>
      </w:r>
      <w:r>
        <w:rPr>
          <w:sz w:val="18"/>
        </w:rPr>
        <w:t>or</w:t>
      </w:r>
      <w:r>
        <w:rPr>
          <w:spacing w:val="5"/>
          <w:sz w:val="18"/>
        </w:rPr>
        <w:t> </w:t>
      </w:r>
      <w:r>
        <w:rPr>
          <w:sz w:val="18"/>
        </w:rPr>
        <w:t>state/</w:t>
      </w:r>
      <w:r>
        <w:rPr>
          <w:spacing w:val="-3"/>
          <w:sz w:val="18"/>
        </w:rPr>
        <w:t> </w:t>
      </w:r>
      <w:r>
        <w:rPr>
          <w:sz w:val="18"/>
        </w:rPr>
        <w:t>territory</w:t>
      </w:r>
      <w:r>
        <w:rPr>
          <w:spacing w:val="-4"/>
          <w:sz w:val="18"/>
        </w:rPr>
        <w:t> </w:t>
      </w:r>
      <w:r>
        <w:rPr>
          <w:sz w:val="18"/>
        </w:rPr>
        <w:t>health</w:t>
      </w:r>
      <w:r>
        <w:rPr>
          <w:spacing w:val="-4"/>
          <w:sz w:val="18"/>
        </w:rPr>
        <w:t> </w:t>
      </w:r>
      <w:r>
        <w:rPr>
          <w:sz w:val="18"/>
        </w:rPr>
        <w:t>authority?</w:t>
      </w:r>
    </w:p>
    <w:p>
      <w:pPr>
        <w:pStyle w:val="BodyText"/>
        <w:spacing w:before="10"/>
        <w:rPr>
          <w:sz w:val="10"/>
        </w:rPr>
      </w:pPr>
    </w:p>
    <w:p>
      <w:pPr>
        <w:spacing w:before="100"/>
        <w:ind w:left="1771" w:right="0" w:firstLine="0"/>
        <w:jc w:val="left"/>
        <w:rPr>
          <w:sz w:val="18"/>
        </w:rPr>
      </w:pPr>
      <w:r>
        <w:rPr/>
        <w:drawing>
          <wp:anchor distT="0" distB="0" distL="0" distR="0" allowOverlap="1" layoutInCell="1" locked="0" behindDoc="0" simplePos="0" relativeHeight="16146432">
            <wp:simplePos x="0" y="0"/>
            <wp:positionH relativeFrom="page">
              <wp:posOffset>1102145</wp:posOffset>
            </wp:positionH>
            <wp:positionV relativeFrom="paragraph">
              <wp:posOffset>107714</wp:posOffset>
            </wp:positionV>
            <wp:extent cx="58380" cy="72151"/>
            <wp:effectExtent l="0" t="0" r="0" b="0"/>
            <wp:wrapNone/>
            <wp:docPr id="2119" name="image13.png"/>
            <wp:cNvGraphicFramePr>
              <a:graphicFrameLocks noChangeAspect="1"/>
            </wp:cNvGraphicFramePr>
            <a:graphic>
              <a:graphicData uri="http://schemas.openxmlformats.org/drawingml/2006/picture">
                <pic:pic>
                  <pic:nvPicPr>
                    <pic:cNvPr id="212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Yes</w:t>
      </w:r>
      <w:r>
        <w:rPr>
          <w:spacing w:val="49"/>
          <w:sz w:val="18"/>
        </w:rPr>
        <w:t> </w:t>
      </w:r>
      <w:r>
        <w:rPr>
          <w:sz w:val="18"/>
        </w:rPr>
        <w:t>(1)</w:t>
      </w:r>
    </w:p>
    <w:p>
      <w:pPr>
        <w:spacing w:before="0"/>
        <w:ind w:left="1771" w:right="0" w:firstLine="0"/>
        <w:jc w:val="left"/>
        <w:rPr>
          <w:sz w:val="18"/>
        </w:rPr>
      </w:pPr>
      <w:r>
        <w:rPr/>
        <w:drawing>
          <wp:anchor distT="0" distB="0" distL="0" distR="0" allowOverlap="1" layoutInCell="1" locked="0" behindDoc="0" simplePos="0" relativeHeight="16146944">
            <wp:simplePos x="0" y="0"/>
            <wp:positionH relativeFrom="page">
              <wp:posOffset>1102145</wp:posOffset>
            </wp:positionH>
            <wp:positionV relativeFrom="paragraph">
              <wp:posOffset>44214</wp:posOffset>
            </wp:positionV>
            <wp:extent cx="58380" cy="72151"/>
            <wp:effectExtent l="0" t="0" r="0" b="0"/>
            <wp:wrapNone/>
            <wp:docPr id="2121" name="image13.png"/>
            <wp:cNvGraphicFramePr>
              <a:graphicFrameLocks noChangeAspect="1"/>
            </wp:cNvGraphicFramePr>
            <a:graphic>
              <a:graphicData uri="http://schemas.openxmlformats.org/drawingml/2006/picture">
                <pic:pic>
                  <pic:nvPicPr>
                    <pic:cNvPr id="212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w:t>
      </w:r>
      <w:r>
        <w:rPr>
          <w:spacing w:val="49"/>
          <w:sz w:val="18"/>
        </w:rPr>
        <w:t> </w:t>
      </w:r>
      <w:r>
        <w:rPr>
          <w:sz w:val="18"/>
        </w:rPr>
        <w:t>(3)</w:t>
      </w:r>
    </w:p>
    <w:p>
      <w:pPr>
        <w:spacing w:before="0"/>
        <w:ind w:left="1771" w:right="0" w:firstLine="0"/>
        <w:jc w:val="left"/>
        <w:rPr>
          <w:sz w:val="18"/>
        </w:rPr>
      </w:pPr>
      <w:r>
        <w:rPr/>
        <w:drawing>
          <wp:anchor distT="0" distB="0" distL="0" distR="0" allowOverlap="1" layoutInCell="1" locked="0" behindDoc="0" simplePos="0" relativeHeight="16147456">
            <wp:simplePos x="0" y="0"/>
            <wp:positionH relativeFrom="page">
              <wp:posOffset>1102145</wp:posOffset>
            </wp:positionH>
            <wp:positionV relativeFrom="paragraph">
              <wp:posOffset>44215</wp:posOffset>
            </wp:positionV>
            <wp:extent cx="58380" cy="72151"/>
            <wp:effectExtent l="0" t="0" r="0" b="0"/>
            <wp:wrapNone/>
            <wp:docPr id="2123" name="image13.png"/>
            <wp:cNvGraphicFramePr>
              <a:graphicFrameLocks noChangeAspect="1"/>
            </wp:cNvGraphicFramePr>
            <a:graphic>
              <a:graphicData uri="http://schemas.openxmlformats.org/drawingml/2006/picture">
                <pic:pic>
                  <pic:nvPicPr>
                    <pic:cNvPr id="212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Don't</w:t>
      </w:r>
      <w:r>
        <w:rPr>
          <w:spacing w:val="-3"/>
          <w:sz w:val="18"/>
        </w:rPr>
        <w:t> </w:t>
      </w:r>
      <w:r>
        <w:rPr>
          <w:sz w:val="18"/>
        </w:rPr>
        <w:t>know</w:t>
      </w:r>
      <w:r>
        <w:rPr>
          <w:spacing w:val="48"/>
          <w:sz w:val="18"/>
        </w:rPr>
        <w:t> </w:t>
      </w:r>
      <w:r>
        <w:rPr>
          <w:sz w:val="18"/>
        </w:rPr>
        <w:t>(4)</w:t>
      </w:r>
    </w:p>
    <w:p>
      <w:pPr>
        <w:pStyle w:val="BodyText"/>
        <w:spacing w:before="7"/>
        <w:rPr>
          <w:sz w:val="14"/>
        </w:rPr>
      </w:pPr>
    </w:p>
    <w:p>
      <w:pPr>
        <w:spacing w:before="100"/>
        <w:ind w:left="420" w:right="0" w:firstLine="0"/>
        <w:jc w:val="left"/>
        <w:rPr>
          <w:sz w:val="18"/>
        </w:rPr>
      </w:pPr>
      <w:r>
        <w:rPr>
          <w:sz w:val="18"/>
        </w:rPr>
        <w:t>24f.</w:t>
      </w:r>
      <w:r>
        <w:rPr>
          <w:spacing w:val="-6"/>
          <w:sz w:val="18"/>
        </w:rPr>
        <w:t> </w:t>
      </w:r>
      <w:r>
        <w:rPr>
          <w:sz w:val="18"/>
        </w:rPr>
        <w:t>In</w:t>
      </w:r>
      <w:r>
        <w:rPr>
          <w:spacing w:val="-2"/>
          <w:sz w:val="18"/>
        </w:rPr>
        <w:t> </w:t>
      </w:r>
      <w:r>
        <w:rPr>
          <w:sz w:val="18"/>
        </w:rPr>
        <w:t>what</w:t>
      </w:r>
      <w:r>
        <w:rPr>
          <w:spacing w:val="-4"/>
          <w:sz w:val="18"/>
        </w:rPr>
        <w:t> </w:t>
      </w:r>
      <w:r>
        <w:rPr>
          <w:sz w:val="18"/>
        </w:rPr>
        <w:t>ways</w:t>
      </w:r>
      <w:r>
        <w:rPr>
          <w:spacing w:val="-2"/>
          <w:sz w:val="18"/>
        </w:rPr>
        <w:t> </w:t>
      </w:r>
      <w:r>
        <w:rPr>
          <w:sz w:val="18"/>
        </w:rPr>
        <w:t>did</w:t>
      </w:r>
      <w:r>
        <w:rPr>
          <w:spacing w:val="-3"/>
          <w:sz w:val="18"/>
        </w:rPr>
        <w:t> </w:t>
      </w:r>
      <w:r>
        <w:rPr>
          <w:sz w:val="18"/>
        </w:rPr>
        <w:t>this</w:t>
      </w:r>
      <w:r>
        <w:rPr>
          <w:spacing w:val="-7"/>
          <w:sz w:val="18"/>
        </w:rPr>
        <w:t> </w:t>
      </w:r>
      <w:r>
        <w:rPr>
          <w:sz w:val="18"/>
        </w:rPr>
        <w:t>initiative</w:t>
      </w:r>
      <w:r>
        <w:rPr>
          <w:spacing w:val="-3"/>
          <w:sz w:val="18"/>
        </w:rPr>
        <w:t> </w:t>
      </w:r>
      <w:r>
        <w:rPr>
          <w:sz w:val="18"/>
        </w:rPr>
        <w:t>contribute</w:t>
      </w:r>
      <w:r>
        <w:rPr>
          <w:spacing w:val="-2"/>
          <w:sz w:val="18"/>
        </w:rPr>
        <w:t> </w:t>
      </w:r>
      <w:r>
        <w:rPr>
          <w:sz w:val="18"/>
        </w:rPr>
        <w:t>to</w:t>
      </w:r>
      <w:r>
        <w:rPr>
          <w:spacing w:val="-3"/>
          <w:sz w:val="18"/>
        </w:rPr>
        <w:t> </w:t>
      </w:r>
      <w:r>
        <w:rPr>
          <w:sz w:val="18"/>
        </w:rPr>
        <w:t>supporting</w:t>
      </w:r>
      <w:r>
        <w:rPr>
          <w:spacing w:val="-3"/>
          <w:sz w:val="18"/>
        </w:rPr>
        <w:t> </w:t>
      </w:r>
      <w:r>
        <w:rPr>
          <w:sz w:val="18"/>
        </w:rPr>
        <w:t>HCH</w:t>
      </w:r>
      <w:r>
        <w:rPr>
          <w:spacing w:val="-3"/>
          <w:sz w:val="18"/>
        </w:rPr>
        <w:t> </w:t>
      </w:r>
      <w:r>
        <w:rPr>
          <w:sz w:val="18"/>
        </w:rPr>
        <w:t>practices</w:t>
      </w:r>
      <w:r>
        <w:rPr>
          <w:spacing w:val="-3"/>
          <w:sz w:val="18"/>
        </w:rPr>
        <w:t> </w:t>
      </w:r>
      <w:r>
        <w:rPr>
          <w:sz w:val="18"/>
        </w:rPr>
        <w:t>and</w:t>
      </w:r>
      <w:r>
        <w:rPr>
          <w:spacing w:val="-3"/>
          <w:sz w:val="18"/>
        </w:rPr>
        <w:t> </w:t>
      </w:r>
      <w:r>
        <w:rPr>
          <w:sz w:val="18"/>
        </w:rPr>
        <w:t>the</w:t>
      </w:r>
      <w:r>
        <w:rPr>
          <w:spacing w:val="-1"/>
          <w:sz w:val="18"/>
        </w:rPr>
        <w:t> </w:t>
      </w:r>
      <w:r>
        <w:rPr>
          <w:sz w:val="18"/>
        </w:rPr>
        <w:t>aims</w:t>
      </w:r>
      <w:r>
        <w:rPr>
          <w:spacing w:val="-3"/>
          <w:sz w:val="18"/>
        </w:rPr>
        <w:t> </w:t>
      </w:r>
      <w:r>
        <w:rPr>
          <w:sz w:val="18"/>
        </w:rPr>
        <w:t>of</w:t>
      </w:r>
      <w:r>
        <w:rPr>
          <w:spacing w:val="-2"/>
          <w:sz w:val="18"/>
        </w:rPr>
        <w:t> </w:t>
      </w:r>
      <w:r>
        <w:rPr>
          <w:sz w:val="18"/>
        </w:rPr>
        <w:t>the</w:t>
      </w:r>
      <w:r>
        <w:rPr>
          <w:spacing w:val="-2"/>
          <w:sz w:val="18"/>
        </w:rPr>
        <w:t> </w:t>
      </w:r>
      <w:r>
        <w:rPr>
          <w:sz w:val="18"/>
        </w:rPr>
        <w:t>HCH</w:t>
      </w:r>
      <w:r>
        <w:rPr>
          <w:spacing w:val="-2"/>
          <w:sz w:val="18"/>
        </w:rPr>
        <w:t> </w:t>
      </w:r>
      <w:r>
        <w:rPr>
          <w:sz w:val="18"/>
        </w:rPr>
        <w:t>program?</w:t>
      </w:r>
    </w:p>
    <w:p>
      <w:pPr>
        <w:pStyle w:val="BodyText"/>
      </w:pPr>
    </w:p>
    <w:p>
      <w:pPr>
        <w:pStyle w:val="BodyText"/>
        <w:spacing w:before="10"/>
        <w:rPr>
          <w:sz w:val="21"/>
        </w:rPr>
      </w:pPr>
      <w:r>
        <w:rPr/>
        <w:pict>
          <v:rect style="position:absolute;margin-left:34.560001pt;margin-top:14.605262pt;width:526.3pt;height:.48004pt;mso-position-horizontal-relative:page;mso-position-vertical-relative:paragraph;z-index:-15313920;mso-wrap-distance-left:0;mso-wrap-distance-right:0" id="docshape236" filled="true" fillcolor="#d9d9d9" stroked="false">
            <v:fill type="solid"/>
            <w10:wrap type="topAndBottom"/>
          </v:rect>
        </w:pict>
      </w:r>
    </w:p>
    <w:p>
      <w:pPr>
        <w:pStyle w:val="BodyText"/>
        <w:spacing w:before="2"/>
        <w:rPr>
          <w:sz w:val="8"/>
        </w:rPr>
      </w:pPr>
    </w:p>
    <w:p>
      <w:pPr>
        <w:spacing w:before="100"/>
        <w:ind w:left="420" w:right="0" w:firstLine="0"/>
        <w:jc w:val="left"/>
        <w:rPr>
          <w:sz w:val="18"/>
        </w:rPr>
      </w:pPr>
      <w:r>
        <w:rPr>
          <w:sz w:val="18"/>
        </w:rPr>
        <w:t>24g.</w:t>
      </w:r>
      <w:r>
        <w:rPr>
          <w:spacing w:val="-4"/>
          <w:sz w:val="18"/>
        </w:rPr>
        <w:t> </w:t>
      </w:r>
      <w:r>
        <w:rPr>
          <w:sz w:val="18"/>
        </w:rPr>
        <w:t>How</w:t>
      </w:r>
      <w:r>
        <w:rPr>
          <w:spacing w:val="-4"/>
          <w:sz w:val="18"/>
        </w:rPr>
        <w:t> </w:t>
      </w:r>
      <w:r>
        <w:rPr>
          <w:sz w:val="18"/>
        </w:rPr>
        <w:t>successful</w:t>
      </w:r>
      <w:r>
        <w:rPr>
          <w:spacing w:val="-2"/>
          <w:sz w:val="18"/>
        </w:rPr>
        <w:t> </w:t>
      </w:r>
      <w:r>
        <w:rPr>
          <w:sz w:val="18"/>
        </w:rPr>
        <w:t>has</w:t>
      </w:r>
      <w:r>
        <w:rPr>
          <w:spacing w:val="-3"/>
          <w:sz w:val="18"/>
        </w:rPr>
        <w:t> </w:t>
      </w:r>
      <w:r>
        <w:rPr>
          <w:sz w:val="18"/>
        </w:rPr>
        <w:t>this</w:t>
      </w:r>
      <w:r>
        <w:rPr>
          <w:spacing w:val="-5"/>
          <w:sz w:val="18"/>
        </w:rPr>
        <w:t> </w:t>
      </w:r>
      <w:r>
        <w:rPr>
          <w:sz w:val="18"/>
        </w:rPr>
        <w:t>initiative</w:t>
      </w:r>
      <w:r>
        <w:rPr>
          <w:spacing w:val="-2"/>
          <w:sz w:val="18"/>
        </w:rPr>
        <w:t> </w:t>
      </w:r>
      <w:r>
        <w:rPr>
          <w:sz w:val="18"/>
        </w:rPr>
        <w:t>been</w:t>
      </w:r>
      <w:r>
        <w:rPr>
          <w:spacing w:val="-4"/>
          <w:sz w:val="18"/>
        </w:rPr>
        <w:t> </w:t>
      </w:r>
      <w:r>
        <w:rPr>
          <w:sz w:val="18"/>
        </w:rPr>
        <w:t>in</w:t>
      </w:r>
      <w:r>
        <w:rPr>
          <w:spacing w:val="-4"/>
          <w:sz w:val="18"/>
        </w:rPr>
        <w:t> </w:t>
      </w:r>
      <w:r>
        <w:rPr>
          <w:sz w:val="18"/>
        </w:rPr>
        <w:t>supporting</w:t>
      </w:r>
      <w:r>
        <w:rPr>
          <w:spacing w:val="-4"/>
          <w:sz w:val="18"/>
        </w:rPr>
        <w:t> </w:t>
      </w:r>
      <w:r>
        <w:rPr>
          <w:sz w:val="18"/>
        </w:rPr>
        <w:t>the</w:t>
      </w:r>
      <w:r>
        <w:rPr>
          <w:spacing w:val="-2"/>
          <w:sz w:val="18"/>
        </w:rPr>
        <w:t> </w:t>
      </w:r>
      <w:r>
        <w:rPr>
          <w:sz w:val="18"/>
        </w:rPr>
        <w:t>aims</w:t>
      </w:r>
      <w:r>
        <w:rPr>
          <w:spacing w:val="-3"/>
          <w:sz w:val="18"/>
        </w:rPr>
        <w:t> </w:t>
      </w:r>
      <w:r>
        <w:rPr>
          <w:sz w:val="18"/>
        </w:rPr>
        <w:t>of</w:t>
      </w:r>
      <w:r>
        <w:rPr>
          <w:spacing w:val="-2"/>
          <w:sz w:val="18"/>
        </w:rPr>
        <w:t> </w:t>
      </w:r>
      <w:r>
        <w:rPr>
          <w:sz w:val="18"/>
        </w:rPr>
        <w:t>the</w:t>
      </w:r>
      <w:r>
        <w:rPr>
          <w:spacing w:val="6"/>
          <w:sz w:val="18"/>
        </w:rPr>
        <w:t> </w:t>
      </w:r>
      <w:r>
        <w:rPr>
          <w:sz w:val="18"/>
        </w:rPr>
        <w:t>HCH</w:t>
      </w:r>
      <w:r>
        <w:rPr>
          <w:spacing w:val="-2"/>
          <w:sz w:val="18"/>
        </w:rPr>
        <w:t> </w:t>
      </w:r>
      <w:r>
        <w:rPr>
          <w:sz w:val="18"/>
        </w:rPr>
        <w:t>program?</w:t>
      </w:r>
    </w:p>
    <w:p>
      <w:pPr>
        <w:pStyle w:val="BodyText"/>
        <w:spacing w:before="10"/>
        <w:rPr>
          <w:sz w:val="10"/>
        </w:rPr>
      </w:pPr>
    </w:p>
    <w:p>
      <w:pPr>
        <w:spacing w:before="100"/>
        <w:ind w:left="1771" w:right="0" w:firstLine="0"/>
        <w:jc w:val="left"/>
        <w:rPr>
          <w:sz w:val="18"/>
        </w:rPr>
      </w:pPr>
      <w:r>
        <w:rPr/>
        <w:drawing>
          <wp:anchor distT="0" distB="0" distL="0" distR="0" allowOverlap="1" layoutInCell="1" locked="0" behindDoc="0" simplePos="0" relativeHeight="16147968">
            <wp:simplePos x="0" y="0"/>
            <wp:positionH relativeFrom="page">
              <wp:posOffset>1102145</wp:posOffset>
            </wp:positionH>
            <wp:positionV relativeFrom="paragraph">
              <wp:posOffset>107333</wp:posOffset>
            </wp:positionV>
            <wp:extent cx="58380" cy="72151"/>
            <wp:effectExtent l="0" t="0" r="0" b="0"/>
            <wp:wrapNone/>
            <wp:docPr id="2125" name="image13.png"/>
            <wp:cNvGraphicFramePr>
              <a:graphicFrameLocks noChangeAspect="1"/>
            </wp:cNvGraphicFramePr>
            <a:graphic>
              <a:graphicData uri="http://schemas.openxmlformats.org/drawingml/2006/picture">
                <pic:pic>
                  <pic:nvPicPr>
                    <pic:cNvPr id="212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Very</w:t>
      </w:r>
      <w:r>
        <w:rPr>
          <w:spacing w:val="-4"/>
          <w:sz w:val="18"/>
        </w:rPr>
        <w:t> </w:t>
      </w:r>
      <w:r>
        <w:rPr>
          <w:sz w:val="18"/>
        </w:rPr>
        <w:t>successful</w:t>
      </w:r>
      <w:r>
        <w:rPr>
          <w:spacing w:val="45"/>
          <w:sz w:val="18"/>
        </w:rPr>
        <w:t> </w:t>
      </w:r>
      <w:r>
        <w:rPr>
          <w:sz w:val="18"/>
        </w:rPr>
        <w:t>(1)</w:t>
      </w:r>
    </w:p>
    <w:p>
      <w:pPr>
        <w:spacing w:before="1"/>
        <w:ind w:left="1771" w:right="0" w:firstLine="0"/>
        <w:jc w:val="left"/>
        <w:rPr>
          <w:sz w:val="18"/>
        </w:rPr>
      </w:pPr>
      <w:r>
        <w:rPr/>
        <w:drawing>
          <wp:anchor distT="0" distB="0" distL="0" distR="0" allowOverlap="1" layoutInCell="1" locked="0" behindDoc="0" simplePos="0" relativeHeight="16148480">
            <wp:simplePos x="0" y="0"/>
            <wp:positionH relativeFrom="page">
              <wp:posOffset>1102145</wp:posOffset>
            </wp:positionH>
            <wp:positionV relativeFrom="paragraph">
              <wp:posOffset>44468</wp:posOffset>
            </wp:positionV>
            <wp:extent cx="58380" cy="72151"/>
            <wp:effectExtent l="0" t="0" r="0" b="0"/>
            <wp:wrapNone/>
            <wp:docPr id="2127" name="image13.png"/>
            <wp:cNvGraphicFramePr>
              <a:graphicFrameLocks noChangeAspect="1"/>
            </wp:cNvGraphicFramePr>
            <a:graphic>
              <a:graphicData uri="http://schemas.openxmlformats.org/drawingml/2006/picture">
                <pic:pic>
                  <pic:nvPicPr>
                    <pic:cNvPr id="212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Moderately</w:t>
      </w:r>
      <w:r>
        <w:rPr>
          <w:spacing w:val="-4"/>
          <w:sz w:val="18"/>
        </w:rPr>
        <w:t> </w:t>
      </w:r>
      <w:r>
        <w:rPr>
          <w:sz w:val="18"/>
        </w:rPr>
        <w:t>successful</w:t>
      </w:r>
      <w:r>
        <w:rPr>
          <w:spacing w:val="46"/>
          <w:sz w:val="18"/>
        </w:rPr>
        <w:t> </w:t>
      </w:r>
      <w:r>
        <w:rPr>
          <w:sz w:val="18"/>
        </w:rPr>
        <w:t>(3)</w:t>
      </w:r>
    </w:p>
    <w:p>
      <w:pPr>
        <w:spacing w:before="0"/>
        <w:ind w:left="1771" w:right="0" w:firstLine="0"/>
        <w:jc w:val="left"/>
        <w:rPr>
          <w:sz w:val="18"/>
        </w:rPr>
      </w:pPr>
      <w:r>
        <w:rPr/>
        <w:drawing>
          <wp:anchor distT="0" distB="0" distL="0" distR="0" allowOverlap="1" layoutInCell="1" locked="0" behindDoc="0" simplePos="0" relativeHeight="16148992">
            <wp:simplePos x="0" y="0"/>
            <wp:positionH relativeFrom="page">
              <wp:posOffset>1102145</wp:posOffset>
            </wp:positionH>
            <wp:positionV relativeFrom="paragraph">
              <wp:posOffset>43833</wp:posOffset>
            </wp:positionV>
            <wp:extent cx="58380" cy="72151"/>
            <wp:effectExtent l="0" t="0" r="0" b="0"/>
            <wp:wrapNone/>
            <wp:docPr id="2129" name="image13.png"/>
            <wp:cNvGraphicFramePr>
              <a:graphicFrameLocks noChangeAspect="1"/>
            </wp:cNvGraphicFramePr>
            <a:graphic>
              <a:graphicData uri="http://schemas.openxmlformats.org/drawingml/2006/picture">
                <pic:pic>
                  <pic:nvPicPr>
                    <pic:cNvPr id="213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Limited</w:t>
      </w:r>
      <w:r>
        <w:rPr>
          <w:spacing w:val="-4"/>
          <w:sz w:val="18"/>
        </w:rPr>
        <w:t> </w:t>
      </w:r>
      <w:r>
        <w:rPr>
          <w:sz w:val="18"/>
        </w:rPr>
        <w:t>success</w:t>
      </w:r>
      <w:r>
        <w:rPr>
          <w:spacing w:val="46"/>
          <w:sz w:val="18"/>
        </w:rPr>
        <w:t> </w:t>
      </w:r>
      <w:r>
        <w:rPr>
          <w:sz w:val="18"/>
        </w:rPr>
        <w:t>(4)</w:t>
      </w:r>
    </w:p>
    <w:p>
      <w:pPr>
        <w:spacing w:before="0"/>
        <w:ind w:left="1771" w:right="0" w:firstLine="0"/>
        <w:jc w:val="left"/>
        <w:rPr>
          <w:sz w:val="18"/>
        </w:rPr>
      </w:pPr>
      <w:r>
        <w:rPr/>
        <w:drawing>
          <wp:anchor distT="0" distB="0" distL="0" distR="0" allowOverlap="1" layoutInCell="1" locked="0" behindDoc="0" simplePos="0" relativeHeight="16149504">
            <wp:simplePos x="0" y="0"/>
            <wp:positionH relativeFrom="page">
              <wp:posOffset>1102145</wp:posOffset>
            </wp:positionH>
            <wp:positionV relativeFrom="paragraph">
              <wp:posOffset>43833</wp:posOffset>
            </wp:positionV>
            <wp:extent cx="58380" cy="72151"/>
            <wp:effectExtent l="0" t="0" r="0" b="0"/>
            <wp:wrapNone/>
            <wp:docPr id="2131" name="image13.png"/>
            <wp:cNvGraphicFramePr>
              <a:graphicFrameLocks noChangeAspect="1"/>
            </wp:cNvGraphicFramePr>
            <a:graphic>
              <a:graphicData uri="http://schemas.openxmlformats.org/drawingml/2006/picture">
                <pic:pic>
                  <pic:nvPicPr>
                    <pic:cNvPr id="213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Not</w:t>
      </w:r>
      <w:r>
        <w:rPr>
          <w:spacing w:val="-5"/>
          <w:sz w:val="18"/>
        </w:rPr>
        <w:t> </w:t>
      </w:r>
      <w:r>
        <w:rPr>
          <w:sz w:val="18"/>
        </w:rPr>
        <w:t>successful</w:t>
      </w:r>
      <w:r>
        <w:rPr>
          <w:spacing w:val="45"/>
          <w:sz w:val="18"/>
        </w:rPr>
        <w:t> </w:t>
      </w:r>
      <w:r>
        <w:rPr>
          <w:sz w:val="18"/>
        </w:rPr>
        <w:t>(5)</w:t>
      </w:r>
    </w:p>
    <w:p>
      <w:pPr>
        <w:spacing w:before="0"/>
        <w:ind w:left="1771" w:right="0" w:firstLine="0"/>
        <w:jc w:val="left"/>
        <w:rPr>
          <w:sz w:val="18"/>
        </w:rPr>
      </w:pPr>
      <w:r>
        <w:rPr/>
        <w:drawing>
          <wp:anchor distT="0" distB="0" distL="0" distR="0" allowOverlap="1" layoutInCell="1" locked="0" behindDoc="0" simplePos="0" relativeHeight="16150016">
            <wp:simplePos x="0" y="0"/>
            <wp:positionH relativeFrom="page">
              <wp:posOffset>1102145</wp:posOffset>
            </wp:positionH>
            <wp:positionV relativeFrom="paragraph">
              <wp:posOffset>43833</wp:posOffset>
            </wp:positionV>
            <wp:extent cx="58380" cy="72151"/>
            <wp:effectExtent l="0" t="0" r="0" b="0"/>
            <wp:wrapNone/>
            <wp:docPr id="2133" name="image13.png"/>
            <wp:cNvGraphicFramePr>
              <a:graphicFrameLocks noChangeAspect="1"/>
            </wp:cNvGraphicFramePr>
            <a:graphic>
              <a:graphicData uri="http://schemas.openxmlformats.org/drawingml/2006/picture">
                <pic:pic>
                  <pic:nvPicPr>
                    <pic:cNvPr id="213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Can't</w:t>
      </w:r>
      <w:r>
        <w:rPr>
          <w:spacing w:val="-3"/>
          <w:sz w:val="18"/>
        </w:rPr>
        <w:t> </w:t>
      </w:r>
      <w:r>
        <w:rPr>
          <w:sz w:val="18"/>
        </w:rPr>
        <w:t>say</w:t>
      </w:r>
      <w:r>
        <w:rPr>
          <w:spacing w:val="49"/>
          <w:sz w:val="18"/>
        </w:rPr>
        <w:t> </w:t>
      </w:r>
      <w:r>
        <w:rPr>
          <w:sz w:val="18"/>
        </w:rPr>
        <w:t>(6)</w:t>
      </w:r>
    </w:p>
    <w:p>
      <w:pPr>
        <w:pStyle w:val="BodyText"/>
        <w:spacing w:before="7"/>
        <w:rPr>
          <w:sz w:val="14"/>
        </w:rPr>
      </w:pPr>
    </w:p>
    <w:p>
      <w:pPr>
        <w:spacing w:before="100"/>
        <w:ind w:left="420" w:right="0" w:firstLine="0"/>
        <w:jc w:val="left"/>
        <w:rPr>
          <w:sz w:val="18"/>
        </w:rPr>
      </w:pPr>
      <w:r>
        <w:rPr>
          <w:sz w:val="18"/>
        </w:rPr>
        <w:t>24h.</w:t>
      </w:r>
      <w:r>
        <w:rPr>
          <w:spacing w:val="-6"/>
          <w:sz w:val="18"/>
        </w:rPr>
        <w:t> </w:t>
      </w:r>
      <w:r>
        <w:rPr>
          <w:sz w:val="18"/>
        </w:rPr>
        <w:t>Is</w:t>
      </w:r>
      <w:r>
        <w:rPr>
          <w:spacing w:val="-3"/>
          <w:sz w:val="18"/>
        </w:rPr>
        <w:t> </w:t>
      </w:r>
      <w:r>
        <w:rPr>
          <w:sz w:val="18"/>
        </w:rPr>
        <w:t>there</w:t>
      </w:r>
      <w:r>
        <w:rPr>
          <w:spacing w:val="-1"/>
          <w:sz w:val="18"/>
        </w:rPr>
        <w:t> </w:t>
      </w:r>
      <w:r>
        <w:rPr>
          <w:sz w:val="18"/>
        </w:rPr>
        <w:t>another</w:t>
      </w:r>
      <w:r>
        <w:rPr>
          <w:spacing w:val="-2"/>
          <w:sz w:val="18"/>
        </w:rPr>
        <w:t> </w:t>
      </w:r>
      <w:r>
        <w:rPr>
          <w:sz w:val="18"/>
        </w:rPr>
        <w:t>PHN</w:t>
      </w:r>
      <w:r>
        <w:rPr>
          <w:spacing w:val="-5"/>
          <w:sz w:val="18"/>
        </w:rPr>
        <w:t> </w:t>
      </w:r>
      <w:r>
        <w:rPr>
          <w:sz w:val="18"/>
        </w:rPr>
        <w:t>initiative</w:t>
      </w:r>
      <w:r>
        <w:rPr>
          <w:spacing w:val="-1"/>
          <w:sz w:val="18"/>
        </w:rPr>
        <w:t> </w:t>
      </w:r>
      <w:r>
        <w:rPr>
          <w:sz w:val="18"/>
        </w:rPr>
        <w:t>has</w:t>
      </w:r>
      <w:r>
        <w:rPr>
          <w:spacing w:val="-3"/>
          <w:sz w:val="18"/>
        </w:rPr>
        <w:t> </w:t>
      </w:r>
      <w:r>
        <w:rPr>
          <w:sz w:val="18"/>
        </w:rPr>
        <w:t>been</w:t>
      </w:r>
      <w:r>
        <w:rPr>
          <w:spacing w:val="-2"/>
          <w:sz w:val="18"/>
        </w:rPr>
        <w:t> </w:t>
      </w:r>
      <w:r>
        <w:rPr>
          <w:sz w:val="18"/>
        </w:rPr>
        <w:t>used</w:t>
      </w:r>
      <w:r>
        <w:rPr>
          <w:spacing w:val="-4"/>
          <w:sz w:val="18"/>
        </w:rPr>
        <w:t> </w:t>
      </w:r>
      <w:r>
        <w:rPr>
          <w:sz w:val="18"/>
        </w:rPr>
        <w:t>in</w:t>
      </w:r>
      <w:r>
        <w:rPr>
          <w:spacing w:val="-4"/>
          <w:sz w:val="18"/>
        </w:rPr>
        <w:t> </w:t>
      </w:r>
      <w:r>
        <w:rPr>
          <w:sz w:val="18"/>
        </w:rPr>
        <w:t>the</w:t>
      </w:r>
      <w:r>
        <w:rPr>
          <w:spacing w:val="-3"/>
          <w:sz w:val="18"/>
        </w:rPr>
        <w:t> </w:t>
      </w:r>
      <w:r>
        <w:rPr>
          <w:sz w:val="18"/>
        </w:rPr>
        <w:t>HCH</w:t>
      </w:r>
      <w:r>
        <w:rPr>
          <w:spacing w:val="-2"/>
          <w:sz w:val="18"/>
        </w:rPr>
        <w:t> </w:t>
      </w:r>
      <w:r>
        <w:rPr>
          <w:sz w:val="18"/>
        </w:rPr>
        <w:t>program</w:t>
      </w:r>
      <w:r>
        <w:rPr>
          <w:spacing w:val="-5"/>
          <w:sz w:val="18"/>
        </w:rPr>
        <w:t> </w:t>
      </w:r>
      <w:r>
        <w:rPr>
          <w:sz w:val="18"/>
        </w:rPr>
        <w:t>implementation?</w:t>
      </w:r>
    </w:p>
    <w:p>
      <w:pPr>
        <w:pStyle w:val="BodyText"/>
        <w:spacing w:before="10"/>
        <w:rPr>
          <w:sz w:val="10"/>
        </w:rPr>
      </w:pPr>
    </w:p>
    <w:p>
      <w:pPr>
        <w:spacing w:before="100"/>
        <w:ind w:left="1771" w:right="4532" w:firstLine="0"/>
        <w:jc w:val="left"/>
        <w:rPr>
          <w:sz w:val="18"/>
        </w:rPr>
      </w:pPr>
      <w:r>
        <w:rPr/>
        <w:drawing>
          <wp:anchor distT="0" distB="0" distL="0" distR="0" allowOverlap="1" layoutInCell="1" locked="0" behindDoc="0" simplePos="0" relativeHeight="16150528">
            <wp:simplePos x="0" y="0"/>
            <wp:positionH relativeFrom="page">
              <wp:posOffset>1102145</wp:posOffset>
            </wp:positionH>
            <wp:positionV relativeFrom="paragraph">
              <wp:posOffset>107333</wp:posOffset>
            </wp:positionV>
            <wp:extent cx="58380" cy="72151"/>
            <wp:effectExtent l="0" t="0" r="0" b="0"/>
            <wp:wrapNone/>
            <wp:docPr id="2135" name="image13.png"/>
            <wp:cNvGraphicFramePr>
              <a:graphicFrameLocks noChangeAspect="1"/>
            </wp:cNvGraphicFramePr>
            <a:graphic>
              <a:graphicData uri="http://schemas.openxmlformats.org/drawingml/2006/picture">
                <pic:pic>
                  <pic:nvPicPr>
                    <pic:cNvPr id="2136"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151040">
            <wp:simplePos x="0" y="0"/>
            <wp:positionH relativeFrom="page">
              <wp:posOffset>1102145</wp:posOffset>
            </wp:positionH>
            <wp:positionV relativeFrom="paragraph">
              <wp:posOffset>247541</wp:posOffset>
            </wp:positionV>
            <wp:extent cx="58380" cy="72151"/>
            <wp:effectExtent l="0" t="0" r="0" b="0"/>
            <wp:wrapNone/>
            <wp:docPr id="2137" name="image13.png"/>
            <wp:cNvGraphicFramePr>
              <a:graphicFrameLocks noChangeAspect="1"/>
            </wp:cNvGraphicFramePr>
            <a:graphic>
              <a:graphicData uri="http://schemas.openxmlformats.org/drawingml/2006/picture">
                <pic:pic>
                  <pic:nvPicPr>
                    <pic:cNvPr id="213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Yes</w:t>
      </w:r>
      <w:r>
        <w:rPr>
          <w:spacing w:val="1"/>
          <w:sz w:val="18"/>
        </w:rPr>
        <w:t> </w:t>
      </w:r>
      <w:r>
        <w:rPr>
          <w:sz w:val="18"/>
        </w:rPr>
        <w:t>(1) please repeat Q 24a-g as many times as necessary</w:t>
      </w:r>
      <w:r>
        <w:rPr>
          <w:spacing w:val="-47"/>
          <w:sz w:val="18"/>
        </w:rPr>
        <w:t> </w:t>
      </w:r>
      <w:r>
        <w:rPr>
          <w:sz w:val="18"/>
        </w:rPr>
        <w:t>No</w:t>
      </w:r>
      <w:r>
        <w:rPr>
          <w:spacing w:val="4"/>
          <w:sz w:val="18"/>
        </w:rPr>
        <w:t> </w:t>
      </w:r>
      <w:r>
        <w:rPr>
          <w:sz w:val="18"/>
        </w:rPr>
        <w:t>(2) move to</w:t>
      </w:r>
      <w:r>
        <w:rPr>
          <w:spacing w:val="-1"/>
          <w:sz w:val="18"/>
        </w:rPr>
        <w:t> </w:t>
      </w:r>
      <w:r>
        <w:rPr>
          <w:sz w:val="18"/>
        </w:rPr>
        <w:t>Q 25.</w:t>
      </w:r>
    </w:p>
    <w:p>
      <w:pPr>
        <w:spacing w:after="0"/>
        <w:jc w:val="left"/>
        <w:rPr>
          <w:sz w:val="18"/>
        </w:rPr>
        <w:sectPr>
          <w:pgSz w:w="11910" w:h="16840"/>
          <w:pgMar w:header="0" w:footer="948" w:top="860" w:bottom="1140" w:left="300" w:right="0"/>
        </w:sectPr>
      </w:pPr>
    </w:p>
    <w:p>
      <w:pPr>
        <w:spacing w:before="75"/>
        <w:ind w:left="420" w:right="0" w:firstLine="0"/>
        <w:jc w:val="left"/>
        <w:rPr>
          <w:b/>
          <w:sz w:val="18"/>
        </w:rPr>
      </w:pPr>
      <w:r>
        <w:rPr>
          <w:b/>
          <w:sz w:val="18"/>
        </w:rPr>
        <w:t>PHN</w:t>
      </w:r>
      <w:r>
        <w:rPr>
          <w:b/>
          <w:spacing w:val="-3"/>
          <w:sz w:val="18"/>
        </w:rPr>
        <w:t> </w:t>
      </w:r>
      <w:r>
        <w:rPr>
          <w:b/>
          <w:sz w:val="18"/>
        </w:rPr>
        <w:t>staffing and resources</w:t>
      </w:r>
    </w:p>
    <w:p>
      <w:pPr>
        <w:pStyle w:val="BodyText"/>
        <w:rPr>
          <w:b/>
          <w:sz w:val="19"/>
        </w:rPr>
      </w:pPr>
    </w:p>
    <w:p>
      <w:pPr>
        <w:pStyle w:val="ListParagraph"/>
        <w:numPr>
          <w:ilvl w:val="0"/>
          <w:numId w:val="106"/>
        </w:numPr>
        <w:tabs>
          <w:tab w:pos="720" w:val="left" w:leader="none"/>
        </w:tabs>
        <w:spacing w:line="273" w:lineRule="auto" w:before="0" w:after="0"/>
        <w:ind w:left="420" w:right="832" w:firstLine="0"/>
        <w:jc w:val="left"/>
        <w:rPr>
          <w:sz w:val="18"/>
        </w:rPr>
      </w:pPr>
      <w:r>
        <w:rPr>
          <w:sz w:val="18"/>
        </w:rPr>
        <w:t>Please</w:t>
      </w:r>
      <w:r>
        <w:rPr>
          <w:spacing w:val="-3"/>
          <w:sz w:val="18"/>
        </w:rPr>
        <w:t> </w:t>
      </w:r>
      <w:r>
        <w:rPr>
          <w:sz w:val="18"/>
        </w:rPr>
        <w:t>list</w:t>
      </w:r>
      <w:r>
        <w:rPr>
          <w:spacing w:val="-4"/>
          <w:sz w:val="18"/>
        </w:rPr>
        <w:t> </w:t>
      </w:r>
      <w:r>
        <w:rPr>
          <w:sz w:val="18"/>
        </w:rPr>
        <w:t>the</w:t>
      </w:r>
      <w:r>
        <w:rPr>
          <w:spacing w:val="-3"/>
          <w:sz w:val="18"/>
        </w:rPr>
        <w:t> </w:t>
      </w:r>
      <w:r>
        <w:rPr>
          <w:sz w:val="18"/>
        </w:rPr>
        <w:t>positions</w:t>
      </w:r>
      <w:r>
        <w:rPr>
          <w:spacing w:val="-4"/>
          <w:sz w:val="18"/>
        </w:rPr>
        <w:t> </w:t>
      </w:r>
      <w:r>
        <w:rPr>
          <w:sz w:val="18"/>
        </w:rPr>
        <w:t>specifically</w:t>
      </w:r>
      <w:r>
        <w:rPr>
          <w:spacing w:val="-3"/>
          <w:sz w:val="18"/>
        </w:rPr>
        <w:t> </w:t>
      </w:r>
      <w:r>
        <w:rPr>
          <w:sz w:val="18"/>
        </w:rPr>
        <w:t>assigned</w:t>
      </w:r>
      <w:r>
        <w:rPr>
          <w:spacing w:val="-4"/>
          <w:sz w:val="18"/>
        </w:rPr>
        <w:t> </w:t>
      </w:r>
      <w:r>
        <w:rPr>
          <w:sz w:val="18"/>
        </w:rPr>
        <w:t>to</w:t>
      </w:r>
      <w:r>
        <w:rPr>
          <w:spacing w:val="-3"/>
          <w:sz w:val="18"/>
        </w:rPr>
        <w:t> </w:t>
      </w:r>
      <w:r>
        <w:rPr>
          <w:sz w:val="18"/>
        </w:rPr>
        <w:t>support</w:t>
      </w:r>
      <w:r>
        <w:rPr>
          <w:spacing w:val="-4"/>
          <w:sz w:val="18"/>
        </w:rPr>
        <w:t> </w:t>
      </w:r>
      <w:r>
        <w:rPr>
          <w:sz w:val="18"/>
        </w:rPr>
        <w:t>the</w:t>
      </w:r>
      <w:r>
        <w:rPr>
          <w:spacing w:val="-3"/>
          <w:sz w:val="18"/>
        </w:rPr>
        <w:t> </w:t>
      </w:r>
      <w:r>
        <w:rPr>
          <w:sz w:val="18"/>
        </w:rPr>
        <w:t>implementation</w:t>
      </w:r>
      <w:r>
        <w:rPr>
          <w:spacing w:val="-3"/>
          <w:sz w:val="18"/>
        </w:rPr>
        <w:t> </w:t>
      </w:r>
      <w:r>
        <w:rPr>
          <w:sz w:val="18"/>
        </w:rPr>
        <w:t>of</w:t>
      </w:r>
      <w:r>
        <w:rPr>
          <w:spacing w:val="-2"/>
          <w:sz w:val="18"/>
        </w:rPr>
        <w:t> </w:t>
      </w:r>
      <w:r>
        <w:rPr>
          <w:sz w:val="18"/>
        </w:rPr>
        <w:t>the</w:t>
      </w:r>
      <w:r>
        <w:rPr>
          <w:spacing w:val="-3"/>
          <w:sz w:val="18"/>
        </w:rPr>
        <w:t> </w:t>
      </w:r>
      <w:r>
        <w:rPr>
          <w:sz w:val="18"/>
        </w:rPr>
        <w:t>HCH</w:t>
      </w:r>
      <w:r>
        <w:rPr>
          <w:spacing w:val="-3"/>
          <w:sz w:val="18"/>
        </w:rPr>
        <w:t> </w:t>
      </w:r>
      <w:r>
        <w:rPr>
          <w:sz w:val="18"/>
        </w:rPr>
        <w:t>program</w:t>
      </w:r>
      <w:r>
        <w:rPr>
          <w:spacing w:val="-6"/>
          <w:sz w:val="18"/>
        </w:rPr>
        <w:t> </w:t>
      </w:r>
      <w:r>
        <w:rPr>
          <w:sz w:val="18"/>
        </w:rPr>
        <w:t>and</w:t>
      </w:r>
      <w:r>
        <w:rPr>
          <w:spacing w:val="-4"/>
          <w:sz w:val="18"/>
        </w:rPr>
        <w:t> </w:t>
      </w:r>
      <w:r>
        <w:rPr>
          <w:sz w:val="18"/>
        </w:rPr>
        <w:t>the</w:t>
      </w:r>
      <w:r>
        <w:rPr>
          <w:spacing w:val="-3"/>
          <w:sz w:val="18"/>
        </w:rPr>
        <w:t> </w:t>
      </w:r>
      <w:r>
        <w:rPr>
          <w:sz w:val="18"/>
        </w:rPr>
        <w:t>associated</w:t>
      </w:r>
      <w:r>
        <w:rPr>
          <w:spacing w:val="1"/>
          <w:sz w:val="18"/>
        </w:rPr>
        <w:t> </w:t>
      </w:r>
      <w:r>
        <w:rPr>
          <w:sz w:val="18"/>
        </w:rPr>
        <w:t>full-time-equivalent (FTE)</w:t>
      </w:r>
      <w:r>
        <w:rPr>
          <w:spacing w:val="-4"/>
          <w:sz w:val="18"/>
        </w:rPr>
        <w:t> </w:t>
      </w:r>
      <w:r>
        <w:rPr>
          <w:sz w:val="18"/>
        </w:rPr>
        <w:t>employed</w:t>
      </w:r>
      <w:r>
        <w:rPr>
          <w:spacing w:val="-1"/>
          <w:sz w:val="18"/>
        </w:rPr>
        <w:t> </w:t>
      </w:r>
      <w:r>
        <w:rPr>
          <w:sz w:val="18"/>
        </w:rPr>
        <w:t>against</w:t>
      </w:r>
      <w:r>
        <w:rPr>
          <w:spacing w:val="-3"/>
          <w:sz w:val="18"/>
        </w:rPr>
        <w:t> </w:t>
      </w:r>
      <w:r>
        <w:rPr>
          <w:sz w:val="18"/>
        </w:rPr>
        <w:t>these positions</w:t>
      </w:r>
      <w:r>
        <w:rPr>
          <w:spacing w:val="-2"/>
          <w:sz w:val="18"/>
        </w:rPr>
        <w:t> </w:t>
      </w:r>
      <w:r>
        <w:rPr>
          <w:sz w:val="18"/>
        </w:rPr>
        <w:t>for the</w:t>
      </w:r>
      <w:r>
        <w:rPr>
          <w:spacing w:val="-3"/>
          <w:sz w:val="18"/>
        </w:rPr>
        <w:t> </w:t>
      </w:r>
      <w:r>
        <w:rPr>
          <w:sz w:val="18"/>
        </w:rPr>
        <w:t>6-month periods</w:t>
      </w:r>
      <w:r>
        <w:rPr>
          <w:spacing w:val="-2"/>
          <w:sz w:val="18"/>
        </w:rPr>
        <w:t> </w:t>
      </w:r>
      <w:r>
        <w:rPr>
          <w:sz w:val="18"/>
        </w:rPr>
        <w:t>indicated.</w:t>
      </w:r>
    </w:p>
    <w:p>
      <w:pPr>
        <w:pStyle w:val="BodyText"/>
        <w:spacing w:before="10"/>
        <w:rPr>
          <w:sz w:val="16"/>
        </w:rPr>
      </w:pPr>
    </w:p>
    <w:tbl>
      <w:tblPr>
        <w:tblW w:w="0" w:type="auto"/>
        <w:jc w:val="left"/>
        <w:tblInd w:w="87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368"/>
        <w:gridCol w:w="1368"/>
        <w:gridCol w:w="1367"/>
        <w:gridCol w:w="1367"/>
        <w:gridCol w:w="1367"/>
        <w:gridCol w:w="1368"/>
        <w:gridCol w:w="1367"/>
      </w:tblGrid>
      <w:tr>
        <w:trPr>
          <w:trHeight w:val="616" w:hRule="atLeast"/>
        </w:trPr>
        <w:tc>
          <w:tcPr>
            <w:tcW w:w="1368" w:type="dxa"/>
            <w:vMerge w:val="restart"/>
            <w:tcBorders>
              <w:bottom w:val="single" w:sz="6" w:space="0" w:color="BEBEBE"/>
              <w:right w:val="single" w:sz="6" w:space="0" w:color="BEBEBE"/>
            </w:tcBorders>
            <w:shd w:val="clear" w:color="auto" w:fill="F1F1F1"/>
          </w:tcPr>
          <w:p>
            <w:pPr>
              <w:pStyle w:val="TableParagraph"/>
              <w:rPr>
                <w:rFonts w:ascii="Times New Roman"/>
                <w:sz w:val="16"/>
              </w:rPr>
            </w:pPr>
          </w:p>
        </w:tc>
        <w:tc>
          <w:tcPr>
            <w:tcW w:w="1368" w:type="dxa"/>
            <w:vMerge w:val="restart"/>
            <w:tcBorders>
              <w:left w:val="single" w:sz="6" w:space="0" w:color="BEBEBE"/>
              <w:bottom w:val="single" w:sz="6" w:space="0" w:color="BEBEBE"/>
              <w:right w:val="single" w:sz="6" w:space="0" w:color="BEBEBE"/>
            </w:tcBorders>
            <w:shd w:val="clear" w:color="auto" w:fill="F1F1F1"/>
          </w:tcPr>
          <w:p>
            <w:pPr>
              <w:pStyle w:val="TableParagraph"/>
              <w:rPr>
                <w:sz w:val="20"/>
              </w:rPr>
            </w:pPr>
          </w:p>
          <w:p>
            <w:pPr>
              <w:pStyle w:val="TableParagraph"/>
              <w:spacing w:before="10"/>
              <w:rPr>
                <w:sz w:val="14"/>
              </w:rPr>
            </w:pPr>
          </w:p>
          <w:p>
            <w:pPr>
              <w:pStyle w:val="TableParagraph"/>
              <w:ind w:left="578" w:right="118" w:hanging="442"/>
              <w:rPr>
                <w:sz w:val="16"/>
              </w:rPr>
            </w:pPr>
            <w:r>
              <w:rPr>
                <w:spacing w:val="-1"/>
                <w:sz w:val="16"/>
              </w:rPr>
              <w:t>Position </w:t>
            </w:r>
            <w:r>
              <w:rPr>
                <w:sz w:val="16"/>
              </w:rPr>
              <w:t>name</w:t>
            </w:r>
            <w:r>
              <w:rPr>
                <w:spacing w:val="-42"/>
                <w:sz w:val="16"/>
              </w:rPr>
              <w:t> </w:t>
            </w:r>
            <w:r>
              <w:rPr>
                <w:sz w:val="16"/>
              </w:rPr>
              <w:t>(1)</w:t>
            </w:r>
          </w:p>
        </w:tc>
        <w:tc>
          <w:tcPr>
            <w:tcW w:w="2734" w:type="dxa"/>
            <w:gridSpan w:val="2"/>
            <w:tcBorders>
              <w:left w:val="single" w:sz="6" w:space="0" w:color="BEBEBE"/>
              <w:bottom w:val="single" w:sz="6" w:space="0" w:color="BEBEBE"/>
              <w:right w:val="single" w:sz="6" w:space="0" w:color="BEBEBE"/>
            </w:tcBorders>
            <w:shd w:val="clear" w:color="auto" w:fill="F1F1F1"/>
          </w:tcPr>
          <w:p>
            <w:pPr>
              <w:pStyle w:val="TableParagraph"/>
              <w:rPr>
                <w:sz w:val="17"/>
              </w:rPr>
            </w:pPr>
          </w:p>
          <w:p>
            <w:pPr>
              <w:pStyle w:val="TableParagraph"/>
              <w:ind w:left="916" w:right="903"/>
              <w:jc w:val="center"/>
              <w:rPr>
                <w:sz w:val="16"/>
              </w:rPr>
            </w:pPr>
            <w:r>
              <w:rPr>
                <w:sz w:val="16"/>
              </w:rPr>
              <w:t>FTE</w:t>
            </w:r>
            <w:r>
              <w:rPr>
                <w:spacing w:val="-1"/>
                <w:sz w:val="16"/>
              </w:rPr>
              <w:t> </w:t>
            </w:r>
            <w:r>
              <w:rPr>
                <w:sz w:val="16"/>
              </w:rPr>
              <w:t>2017-18</w:t>
            </w:r>
          </w:p>
        </w:tc>
        <w:tc>
          <w:tcPr>
            <w:tcW w:w="2735" w:type="dxa"/>
            <w:gridSpan w:val="2"/>
            <w:tcBorders>
              <w:left w:val="single" w:sz="6" w:space="0" w:color="BEBEBE"/>
              <w:bottom w:val="single" w:sz="6" w:space="0" w:color="BEBEBE"/>
              <w:right w:val="single" w:sz="6" w:space="0" w:color="BEBEBE"/>
            </w:tcBorders>
            <w:shd w:val="clear" w:color="auto" w:fill="F1F1F1"/>
          </w:tcPr>
          <w:p>
            <w:pPr>
              <w:pStyle w:val="TableParagraph"/>
              <w:rPr>
                <w:sz w:val="17"/>
              </w:rPr>
            </w:pPr>
          </w:p>
          <w:p>
            <w:pPr>
              <w:pStyle w:val="TableParagraph"/>
              <w:ind w:left="535"/>
              <w:rPr>
                <w:sz w:val="16"/>
              </w:rPr>
            </w:pPr>
            <w:r>
              <w:rPr>
                <w:sz w:val="16"/>
              </w:rPr>
              <w:t>FTE</w:t>
            </w:r>
            <w:r>
              <w:rPr>
                <w:spacing w:val="-1"/>
                <w:sz w:val="16"/>
              </w:rPr>
              <w:t> </w:t>
            </w:r>
            <w:r>
              <w:rPr>
                <w:sz w:val="16"/>
              </w:rPr>
              <w:t>2018-19</w:t>
            </w:r>
            <w:r>
              <w:rPr>
                <w:spacing w:val="-4"/>
                <w:sz w:val="16"/>
              </w:rPr>
              <w:t> </w:t>
            </w:r>
            <w:r>
              <w:rPr>
                <w:sz w:val="16"/>
              </w:rPr>
              <w:t>(Round</w:t>
            </w:r>
            <w:r>
              <w:rPr>
                <w:spacing w:val="-2"/>
                <w:sz w:val="16"/>
              </w:rPr>
              <w:t> </w:t>
            </w:r>
            <w:r>
              <w:rPr>
                <w:sz w:val="16"/>
              </w:rPr>
              <w:t>4)</w:t>
            </w:r>
          </w:p>
        </w:tc>
        <w:tc>
          <w:tcPr>
            <w:tcW w:w="1367" w:type="dxa"/>
            <w:tcBorders>
              <w:left w:val="single" w:sz="6" w:space="0" w:color="BEBEBE"/>
              <w:bottom w:val="single" w:sz="6" w:space="0" w:color="BEBEBE"/>
            </w:tcBorders>
            <w:shd w:val="clear" w:color="auto" w:fill="F1F1F1"/>
          </w:tcPr>
          <w:p>
            <w:pPr>
              <w:pStyle w:val="TableParagraph"/>
              <w:spacing w:before="110"/>
              <w:ind w:left="254"/>
              <w:rPr>
                <w:sz w:val="16"/>
              </w:rPr>
            </w:pPr>
            <w:r>
              <w:rPr>
                <w:sz w:val="16"/>
              </w:rPr>
              <w:t>FTE</w:t>
            </w:r>
            <w:r>
              <w:rPr>
                <w:spacing w:val="-1"/>
                <w:sz w:val="16"/>
              </w:rPr>
              <w:t> </w:t>
            </w:r>
            <w:r>
              <w:rPr>
                <w:sz w:val="16"/>
              </w:rPr>
              <w:t>2019-20</w:t>
            </w:r>
          </w:p>
          <w:p>
            <w:pPr>
              <w:pStyle w:val="TableParagraph"/>
              <w:ind w:left="307"/>
              <w:rPr>
                <w:sz w:val="16"/>
              </w:rPr>
            </w:pPr>
            <w:r>
              <w:rPr>
                <w:sz w:val="16"/>
              </w:rPr>
              <w:t>(Round</w:t>
            </w:r>
            <w:r>
              <w:rPr>
                <w:spacing w:val="-2"/>
                <w:sz w:val="16"/>
              </w:rPr>
              <w:t> </w:t>
            </w:r>
            <w:r>
              <w:rPr>
                <w:sz w:val="16"/>
              </w:rPr>
              <w:t>4)</w:t>
            </w:r>
          </w:p>
        </w:tc>
      </w:tr>
      <w:tr>
        <w:trPr>
          <w:trHeight w:val="618" w:hRule="atLeast"/>
        </w:trPr>
        <w:tc>
          <w:tcPr>
            <w:tcW w:w="1368" w:type="dxa"/>
            <w:vMerge/>
            <w:tcBorders>
              <w:top w:val="nil"/>
              <w:bottom w:val="single" w:sz="6" w:space="0" w:color="BEBEBE"/>
              <w:right w:val="single" w:sz="6" w:space="0" w:color="BEBEBE"/>
            </w:tcBorders>
            <w:shd w:val="clear" w:color="auto" w:fill="F1F1F1"/>
          </w:tcPr>
          <w:p>
            <w:pPr>
              <w:rPr>
                <w:sz w:val="2"/>
                <w:szCs w:val="2"/>
              </w:rPr>
            </w:pPr>
          </w:p>
        </w:tc>
        <w:tc>
          <w:tcPr>
            <w:tcW w:w="1368" w:type="dxa"/>
            <w:vMerge/>
            <w:tcBorders>
              <w:top w:val="nil"/>
              <w:left w:val="single" w:sz="6" w:space="0" w:color="BEBEBE"/>
              <w:bottom w:val="single" w:sz="6" w:space="0" w:color="BEBEBE"/>
              <w:right w:val="single" w:sz="6" w:space="0" w:color="BEBEBE"/>
            </w:tcBorders>
            <w:shd w:val="clear" w:color="auto" w:fill="F1F1F1"/>
          </w:tcPr>
          <w:p>
            <w:pPr>
              <w:rPr>
                <w:sz w:val="2"/>
                <w:szCs w:val="2"/>
              </w:rPr>
            </w:pPr>
          </w:p>
        </w:tc>
        <w:tc>
          <w:tcPr>
            <w:tcW w:w="1367" w:type="dxa"/>
            <w:tcBorders>
              <w:top w:val="single" w:sz="6" w:space="0" w:color="BEBEBE"/>
              <w:left w:val="single" w:sz="6" w:space="0" w:color="BEBEBE"/>
              <w:bottom w:val="single" w:sz="6" w:space="0" w:color="BEBEBE"/>
              <w:right w:val="single" w:sz="6" w:space="0" w:color="BEBEBE"/>
            </w:tcBorders>
            <w:shd w:val="clear" w:color="auto" w:fill="F1F1F1"/>
          </w:tcPr>
          <w:p>
            <w:pPr>
              <w:pStyle w:val="TableParagraph"/>
              <w:spacing w:before="112"/>
              <w:ind w:left="167" w:right="157"/>
              <w:jc w:val="center"/>
              <w:rPr>
                <w:sz w:val="16"/>
              </w:rPr>
            </w:pPr>
            <w:r>
              <w:rPr>
                <w:sz w:val="16"/>
              </w:rPr>
              <w:t>Jul-Dec</w:t>
            </w:r>
            <w:r>
              <w:rPr>
                <w:spacing w:val="-2"/>
                <w:sz w:val="16"/>
              </w:rPr>
              <w:t> </w:t>
            </w:r>
            <w:r>
              <w:rPr>
                <w:sz w:val="16"/>
              </w:rPr>
              <w:t>2017</w:t>
            </w:r>
          </w:p>
          <w:p>
            <w:pPr>
              <w:pStyle w:val="TableParagraph"/>
              <w:spacing w:before="1"/>
              <w:ind w:left="169" w:right="155"/>
              <w:jc w:val="center"/>
              <w:rPr>
                <w:sz w:val="16"/>
              </w:rPr>
            </w:pPr>
            <w:r>
              <w:rPr>
                <w:sz w:val="16"/>
              </w:rPr>
              <w:t>(1)</w:t>
            </w:r>
          </w:p>
        </w:tc>
        <w:tc>
          <w:tcPr>
            <w:tcW w:w="1367" w:type="dxa"/>
            <w:tcBorders>
              <w:top w:val="single" w:sz="6" w:space="0" w:color="BEBEBE"/>
              <w:left w:val="single" w:sz="6" w:space="0" w:color="BEBEBE"/>
              <w:bottom w:val="single" w:sz="6" w:space="0" w:color="BEBEBE"/>
              <w:right w:val="single" w:sz="6" w:space="0" w:color="BEBEBE"/>
            </w:tcBorders>
            <w:shd w:val="clear" w:color="auto" w:fill="F1F1F1"/>
          </w:tcPr>
          <w:p>
            <w:pPr>
              <w:pStyle w:val="TableParagraph"/>
              <w:spacing w:before="112"/>
              <w:ind w:left="176"/>
              <w:rPr>
                <w:sz w:val="16"/>
              </w:rPr>
            </w:pPr>
            <w:r>
              <w:rPr>
                <w:sz w:val="16"/>
              </w:rPr>
              <w:t>Jan-Jun</w:t>
            </w:r>
            <w:r>
              <w:rPr>
                <w:spacing w:val="-4"/>
                <w:sz w:val="16"/>
              </w:rPr>
              <w:t> </w:t>
            </w:r>
            <w:r>
              <w:rPr>
                <w:sz w:val="16"/>
              </w:rPr>
              <w:t>2018</w:t>
            </w:r>
          </w:p>
          <w:p>
            <w:pPr>
              <w:pStyle w:val="TableParagraph"/>
              <w:spacing w:before="1"/>
              <w:ind w:left="179"/>
              <w:rPr>
                <w:sz w:val="16"/>
              </w:rPr>
            </w:pPr>
            <w:r>
              <w:rPr>
                <w:sz w:val="16"/>
              </w:rPr>
              <w:t>(Round</w:t>
            </w:r>
            <w:r>
              <w:rPr>
                <w:spacing w:val="-2"/>
                <w:sz w:val="16"/>
              </w:rPr>
              <w:t> </w:t>
            </w:r>
            <w:r>
              <w:rPr>
                <w:sz w:val="16"/>
              </w:rPr>
              <w:t>4)</w:t>
            </w:r>
            <w:r>
              <w:rPr>
                <w:spacing w:val="-5"/>
                <w:sz w:val="16"/>
              </w:rPr>
              <w:t> </w:t>
            </w:r>
            <w:r>
              <w:rPr>
                <w:sz w:val="16"/>
              </w:rPr>
              <w:t>(2)</w:t>
            </w:r>
          </w:p>
        </w:tc>
        <w:tc>
          <w:tcPr>
            <w:tcW w:w="1367" w:type="dxa"/>
            <w:tcBorders>
              <w:top w:val="single" w:sz="6" w:space="0" w:color="BEBEBE"/>
              <w:left w:val="single" w:sz="6" w:space="0" w:color="BEBEBE"/>
              <w:bottom w:val="single" w:sz="6" w:space="0" w:color="BEBEBE"/>
              <w:right w:val="single" w:sz="6" w:space="0" w:color="BEBEBE"/>
            </w:tcBorders>
            <w:shd w:val="clear" w:color="auto" w:fill="F1F1F1"/>
          </w:tcPr>
          <w:p>
            <w:pPr>
              <w:pStyle w:val="TableParagraph"/>
              <w:spacing w:before="112"/>
              <w:ind w:left="169" w:right="155"/>
              <w:jc w:val="center"/>
              <w:rPr>
                <w:sz w:val="16"/>
              </w:rPr>
            </w:pPr>
            <w:r>
              <w:rPr>
                <w:sz w:val="16"/>
              </w:rPr>
              <w:t>Jul-Dec</w:t>
            </w:r>
            <w:r>
              <w:rPr>
                <w:spacing w:val="-2"/>
                <w:sz w:val="16"/>
              </w:rPr>
              <w:t> </w:t>
            </w:r>
            <w:r>
              <w:rPr>
                <w:sz w:val="16"/>
              </w:rPr>
              <w:t>2018</w:t>
            </w:r>
          </w:p>
          <w:p>
            <w:pPr>
              <w:pStyle w:val="TableParagraph"/>
              <w:spacing w:before="1"/>
              <w:ind w:left="169" w:right="150"/>
              <w:jc w:val="center"/>
              <w:rPr>
                <w:sz w:val="16"/>
              </w:rPr>
            </w:pPr>
            <w:r>
              <w:rPr>
                <w:sz w:val="16"/>
              </w:rPr>
              <w:t>(1)</w:t>
            </w:r>
          </w:p>
        </w:tc>
        <w:tc>
          <w:tcPr>
            <w:tcW w:w="1368" w:type="dxa"/>
            <w:tcBorders>
              <w:top w:val="single" w:sz="6" w:space="0" w:color="BEBEBE"/>
              <w:left w:val="single" w:sz="6" w:space="0" w:color="BEBEBE"/>
              <w:bottom w:val="single" w:sz="6" w:space="0" w:color="BEBEBE"/>
              <w:right w:val="single" w:sz="6" w:space="0" w:color="BEBEBE"/>
            </w:tcBorders>
            <w:shd w:val="clear" w:color="auto" w:fill="F1F1F1"/>
          </w:tcPr>
          <w:p>
            <w:pPr>
              <w:pStyle w:val="TableParagraph"/>
              <w:spacing w:before="112"/>
              <w:ind w:left="161" w:right="145"/>
              <w:jc w:val="center"/>
              <w:rPr>
                <w:sz w:val="16"/>
              </w:rPr>
            </w:pPr>
            <w:r>
              <w:rPr>
                <w:sz w:val="16"/>
              </w:rPr>
              <w:t>Jan-Jun</w:t>
            </w:r>
            <w:r>
              <w:rPr>
                <w:spacing w:val="-2"/>
                <w:sz w:val="16"/>
              </w:rPr>
              <w:t> </w:t>
            </w:r>
            <w:r>
              <w:rPr>
                <w:sz w:val="16"/>
              </w:rPr>
              <w:t>2019</w:t>
            </w:r>
          </w:p>
          <w:p>
            <w:pPr>
              <w:pStyle w:val="TableParagraph"/>
              <w:spacing w:before="1"/>
              <w:ind w:left="161" w:right="141"/>
              <w:jc w:val="center"/>
              <w:rPr>
                <w:sz w:val="16"/>
              </w:rPr>
            </w:pPr>
            <w:r>
              <w:rPr>
                <w:sz w:val="16"/>
              </w:rPr>
              <w:t>(2)</w:t>
            </w:r>
          </w:p>
        </w:tc>
        <w:tc>
          <w:tcPr>
            <w:tcW w:w="1367" w:type="dxa"/>
            <w:tcBorders>
              <w:top w:val="single" w:sz="6" w:space="0" w:color="BEBEBE"/>
              <w:left w:val="single" w:sz="6" w:space="0" w:color="BEBEBE"/>
              <w:bottom w:val="single" w:sz="6" w:space="0" w:color="BEBEBE"/>
            </w:tcBorders>
            <w:shd w:val="clear" w:color="auto" w:fill="F1F1F1"/>
          </w:tcPr>
          <w:p>
            <w:pPr>
              <w:pStyle w:val="TableParagraph"/>
              <w:spacing w:before="112"/>
              <w:ind w:left="174" w:right="156"/>
              <w:jc w:val="center"/>
              <w:rPr>
                <w:sz w:val="16"/>
              </w:rPr>
            </w:pPr>
            <w:r>
              <w:rPr>
                <w:sz w:val="16"/>
              </w:rPr>
              <w:t>Jul-Dec</w:t>
            </w:r>
            <w:r>
              <w:rPr>
                <w:spacing w:val="-2"/>
                <w:sz w:val="16"/>
              </w:rPr>
              <w:t> </w:t>
            </w:r>
            <w:r>
              <w:rPr>
                <w:sz w:val="16"/>
              </w:rPr>
              <w:t>2019</w:t>
            </w:r>
          </w:p>
          <w:p>
            <w:pPr>
              <w:pStyle w:val="TableParagraph"/>
              <w:spacing w:before="1"/>
              <w:ind w:left="174" w:right="152"/>
              <w:jc w:val="center"/>
              <w:rPr>
                <w:sz w:val="16"/>
              </w:rPr>
            </w:pPr>
            <w:r>
              <w:rPr>
                <w:sz w:val="16"/>
              </w:rPr>
              <w:t>(1)</w:t>
            </w:r>
          </w:p>
        </w:tc>
      </w:tr>
      <w:tr>
        <w:trPr>
          <w:trHeight w:val="421" w:hRule="atLeast"/>
        </w:trPr>
        <w:tc>
          <w:tcPr>
            <w:tcW w:w="1368" w:type="dxa"/>
            <w:tcBorders>
              <w:top w:val="single" w:sz="6" w:space="0" w:color="BEBEBE"/>
              <w:bottom w:val="single" w:sz="6" w:space="0" w:color="BEBEBE"/>
              <w:right w:val="single" w:sz="6" w:space="0" w:color="BEBEBE"/>
            </w:tcBorders>
          </w:tcPr>
          <w:p>
            <w:pPr>
              <w:pStyle w:val="TableParagraph"/>
              <w:spacing w:before="112"/>
              <w:ind w:left="494" w:right="482"/>
              <w:jc w:val="center"/>
              <w:rPr>
                <w:sz w:val="16"/>
              </w:rPr>
            </w:pPr>
            <w:r>
              <w:rPr>
                <w:sz w:val="16"/>
              </w:rPr>
              <w:t>1</w:t>
            </w:r>
            <w:r>
              <w:rPr>
                <w:spacing w:val="-1"/>
                <w:sz w:val="16"/>
              </w:rPr>
              <w:t> </w:t>
            </w:r>
            <w:r>
              <w:rPr>
                <w:sz w:val="16"/>
              </w:rPr>
              <w:t>(1)</w:t>
            </w:r>
          </w:p>
        </w:tc>
        <w:tc>
          <w:tcPr>
            <w:tcW w:w="136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1367"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1367"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1367"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136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1367" w:type="dxa"/>
            <w:tcBorders>
              <w:top w:val="single" w:sz="6" w:space="0" w:color="BEBEBE"/>
              <w:left w:val="single" w:sz="6" w:space="0" w:color="BEBEBE"/>
              <w:bottom w:val="single" w:sz="6" w:space="0" w:color="BEBEBE"/>
            </w:tcBorders>
          </w:tcPr>
          <w:p>
            <w:pPr>
              <w:pStyle w:val="TableParagraph"/>
              <w:rPr>
                <w:rFonts w:ascii="Times New Roman"/>
                <w:sz w:val="16"/>
              </w:rPr>
            </w:pPr>
          </w:p>
        </w:tc>
      </w:tr>
      <w:tr>
        <w:trPr>
          <w:trHeight w:val="424" w:hRule="atLeast"/>
        </w:trPr>
        <w:tc>
          <w:tcPr>
            <w:tcW w:w="1368" w:type="dxa"/>
            <w:tcBorders>
              <w:top w:val="single" w:sz="6" w:space="0" w:color="BEBEBE"/>
              <w:bottom w:val="single" w:sz="6" w:space="0" w:color="BEBEBE"/>
              <w:right w:val="single" w:sz="6" w:space="0" w:color="BEBEBE"/>
            </w:tcBorders>
          </w:tcPr>
          <w:p>
            <w:pPr>
              <w:pStyle w:val="TableParagraph"/>
              <w:spacing w:before="112"/>
              <w:ind w:left="494" w:right="482"/>
              <w:jc w:val="center"/>
              <w:rPr>
                <w:sz w:val="16"/>
              </w:rPr>
            </w:pPr>
            <w:r>
              <w:rPr>
                <w:sz w:val="16"/>
              </w:rPr>
              <w:t>2</w:t>
            </w:r>
            <w:r>
              <w:rPr>
                <w:spacing w:val="-1"/>
                <w:sz w:val="16"/>
              </w:rPr>
              <w:t> </w:t>
            </w:r>
            <w:r>
              <w:rPr>
                <w:sz w:val="16"/>
              </w:rPr>
              <w:t>(2)</w:t>
            </w:r>
          </w:p>
        </w:tc>
        <w:tc>
          <w:tcPr>
            <w:tcW w:w="136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1367"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1367"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1367"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136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1367" w:type="dxa"/>
            <w:tcBorders>
              <w:top w:val="single" w:sz="6" w:space="0" w:color="BEBEBE"/>
              <w:left w:val="single" w:sz="6" w:space="0" w:color="BEBEBE"/>
              <w:bottom w:val="single" w:sz="6" w:space="0" w:color="BEBEBE"/>
            </w:tcBorders>
          </w:tcPr>
          <w:p>
            <w:pPr>
              <w:pStyle w:val="TableParagraph"/>
              <w:rPr>
                <w:rFonts w:ascii="Times New Roman"/>
                <w:sz w:val="16"/>
              </w:rPr>
            </w:pPr>
          </w:p>
        </w:tc>
      </w:tr>
      <w:tr>
        <w:trPr>
          <w:trHeight w:val="421" w:hRule="atLeast"/>
        </w:trPr>
        <w:tc>
          <w:tcPr>
            <w:tcW w:w="1368" w:type="dxa"/>
            <w:tcBorders>
              <w:top w:val="single" w:sz="6" w:space="0" w:color="BEBEBE"/>
              <w:bottom w:val="single" w:sz="6" w:space="0" w:color="BEBEBE"/>
              <w:right w:val="single" w:sz="6" w:space="0" w:color="BEBEBE"/>
            </w:tcBorders>
          </w:tcPr>
          <w:p>
            <w:pPr>
              <w:pStyle w:val="TableParagraph"/>
              <w:spacing w:before="112"/>
              <w:ind w:left="494" w:right="482"/>
              <w:jc w:val="center"/>
              <w:rPr>
                <w:sz w:val="16"/>
              </w:rPr>
            </w:pPr>
            <w:r>
              <w:rPr>
                <w:sz w:val="16"/>
              </w:rPr>
              <w:t>3</w:t>
            </w:r>
            <w:r>
              <w:rPr>
                <w:spacing w:val="-1"/>
                <w:sz w:val="16"/>
              </w:rPr>
              <w:t> </w:t>
            </w:r>
            <w:r>
              <w:rPr>
                <w:sz w:val="16"/>
              </w:rPr>
              <w:t>(3)</w:t>
            </w:r>
          </w:p>
        </w:tc>
        <w:tc>
          <w:tcPr>
            <w:tcW w:w="136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1367"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1367"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1367"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136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1367" w:type="dxa"/>
            <w:tcBorders>
              <w:top w:val="single" w:sz="6" w:space="0" w:color="BEBEBE"/>
              <w:left w:val="single" w:sz="6" w:space="0" w:color="BEBEBE"/>
              <w:bottom w:val="single" w:sz="6" w:space="0" w:color="BEBEBE"/>
            </w:tcBorders>
          </w:tcPr>
          <w:p>
            <w:pPr>
              <w:pStyle w:val="TableParagraph"/>
              <w:rPr>
                <w:rFonts w:ascii="Times New Roman"/>
                <w:sz w:val="16"/>
              </w:rPr>
            </w:pPr>
          </w:p>
        </w:tc>
      </w:tr>
      <w:tr>
        <w:trPr>
          <w:trHeight w:val="422" w:hRule="atLeast"/>
        </w:trPr>
        <w:tc>
          <w:tcPr>
            <w:tcW w:w="1368" w:type="dxa"/>
            <w:tcBorders>
              <w:top w:val="single" w:sz="6" w:space="0" w:color="BEBEBE"/>
              <w:right w:val="single" w:sz="6" w:space="0" w:color="BEBEBE"/>
            </w:tcBorders>
          </w:tcPr>
          <w:p>
            <w:pPr>
              <w:pStyle w:val="TableParagraph"/>
              <w:spacing w:before="113"/>
              <w:ind w:left="8"/>
              <w:jc w:val="center"/>
              <w:rPr>
                <w:sz w:val="16"/>
              </w:rPr>
            </w:pPr>
            <w:r>
              <w:rPr>
                <w:w w:val="100"/>
                <w:sz w:val="16"/>
              </w:rPr>
              <w:t>…</w:t>
            </w:r>
          </w:p>
        </w:tc>
        <w:tc>
          <w:tcPr>
            <w:tcW w:w="1368"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1367"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1367"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1367"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1368"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1367" w:type="dxa"/>
            <w:tcBorders>
              <w:top w:val="single" w:sz="6" w:space="0" w:color="BEBEBE"/>
              <w:left w:val="single" w:sz="6" w:space="0" w:color="BEBEBE"/>
            </w:tcBorders>
          </w:tcPr>
          <w:p>
            <w:pPr>
              <w:pStyle w:val="TableParagraph"/>
              <w:rPr>
                <w:rFonts w:ascii="Times New Roman"/>
                <w:sz w:val="16"/>
              </w:rPr>
            </w:pPr>
          </w:p>
        </w:tc>
      </w:tr>
    </w:tbl>
    <w:p>
      <w:pPr>
        <w:pStyle w:val="BodyText"/>
        <w:spacing w:before="8"/>
        <w:rPr>
          <w:sz w:val="19"/>
        </w:rPr>
      </w:pPr>
    </w:p>
    <w:p>
      <w:pPr>
        <w:pStyle w:val="ListParagraph"/>
        <w:numPr>
          <w:ilvl w:val="0"/>
          <w:numId w:val="106"/>
        </w:numPr>
        <w:tabs>
          <w:tab w:pos="720" w:val="left" w:leader="none"/>
        </w:tabs>
        <w:spacing w:line="276" w:lineRule="auto" w:before="0" w:after="0"/>
        <w:ind w:left="420" w:right="862" w:firstLine="0"/>
        <w:jc w:val="left"/>
        <w:rPr>
          <w:sz w:val="18"/>
        </w:rPr>
      </w:pPr>
      <w:r>
        <w:rPr>
          <w:sz w:val="18"/>
        </w:rPr>
        <w:t>Please estimated the contribution of staff who are indirectly involved in supporting the implementation of HCH (i.e.</w:t>
      </w:r>
      <w:r>
        <w:rPr>
          <w:spacing w:val="1"/>
          <w:sz w:val="18"/>
        </w:rPr>
        <w:t> </w:t>
      </w:r>
      <w:r>
        <w:rPr>
          <w:sz w:val="18"/>
        </w:rPr>
        <w:t>do not include the staff directly involved in supporting practices listed in the response to the previous question). Express</w:t>
      </w:r>
      <w:r>
        <w:rPr>
          <w:spacing w:val="-47"/>
          <w:sz w:val="18"/>
        </w:rPr>
        <w:t> </w:t>
      </w:r>
      <w:r>
        <w:rPr>
          <w:sz w:val="18"/>
        </w:rPr>
        <w:t>your</w:t>
      </w:r>
      <w:r>
        <w:rPr>
          <w:spacing w:val="-1"/>
          <w:sz w:val="18"/>
        </w:rPr>
        <w:t> </w:t>
      </w:r>
      <w:r>
        <w:rPr>
          <w:sz w:val="18"/>
        </w:rPr>
        <w:t>estimate as</w:t>
      </w:r>
      <w:r>
        <w:rPr>
          <w:spacing w:val="-2"/>
          <w:sz w:val="18"/>
        </w:rPr>
        <w:t> </w:t>
      </w:r>
      <w:r>
        <w:rPr>
          <w:sz w:val="18"/>
        </w:rPr>
        <w:t>full-time equivalent</w:t>
      </w:r>
      <w:r>
        <w:rPr>
          <w:spacing w:val="1"/>
          <w:sz w:val="18"/>
        </w:rPr>
        <w:t> </w:t>
      </w:r>
      <w:r>
        <w:rPr>
          <w:sz w:val="18"/>
        </w:rPr>
        <w:t>(FTE)</w:t>
      </w:r>
      <w:r>
        <w:rPr>
          <w:spacing w:val="-3"/>
          <w:sz w:val="18"/>
        </w:rPr>
        <w:t> </w:t>
      </w:r>
      <w:r>
        <w:rPr>
          <w:sz w:val="18"/>
        </w:rPr>
        <w:t>staff overall</w:t>
      </w:r>
      <w:r>
        <w:rPr>
          <w:spacing w:val="-1"/>
          <w:sz w:val="18"/>
        </w:rPr>
        <w:t> </w:t>
      </w:r>
      <w:r>
        <w:rPr>
          <w:sz w:val="18"/>
        </w:rPr>
        <w:t>for</w:t>
      </w:r>
      <w:r>
        <w:rPr>
          <w:spacing w:val="-1"/>
          <w:sz w:val="18"/>
        </w:rPr>
        <w:t> </w:t>
      </w:r>
      <w:r>
        <w:rPr>
          <w:sz w:val="18"/>
        </w:rPr>
        <w:t>the PHN.</w:t>
      </w:r>
    </w:p>
    <w:p>
      <w:pPr>
        <w:pStyle w:val="BodyText"/>
        <w:spacing w:before="6"/>
        <w:rPr>
          <w:sz w:val="16"/>
        </w:rPr>
      </w:pPr>
    </w:p>
    <w:tbl>
      <w:tblPr>
        <w:tblW w:w="0" w:type="auto"/>
        <w:jc w:val="left"/>
        <w:tblInd w:w="87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596"/>
        <w:gridCol w:w="1596"/>
        <w:gridCol w:w="1595"/>
        <w:gridCol w:w="1595"/>
        <w:gridCol w:w="1595"/>
        <w:gridCol w:w="1594"/>
      </w:tblGrid>
      <w:tr>
        <w:trPr>
          <w:trHeight w:val="616" w:hRule="atLeast"/>
        </w:trPr>
        <w:tc>
          <w:tcPr>
            <w:tcW w:w="1596" w:type="dxa"/>
            <w:vMerge w:val="restart"/>
            <w:shd w:val="clear" w:color="auto" w:fill="F1F1F1"/>
          </w:tcPr>
          <w:p>
            <w:pPr>
              <w:pStyle w:val="TableParagraph"/>
              <w:rPr>
                <w:rFonts w:ascii="Times New Roman"/>
                <w:sz w:val="16"/>
              </w:rPr>
            </w:pPr>
          </w:p>
        </w:tc>
        <w:tc>
          <w:tcPr>
            <w:tcW w:w="3191" w:type="dxa"/>
            <w:gridSpan w:val="2"/>
            <w:shd w:val="clear" w:color="auto" w:fill="F1F1F1"/>
          </w:tcPr>
          <w:p>
            <w:pPr>
              <w:pStyle w:val="TableParagraph"/>
              <w:rPr>
                <w:sz w:val="17"/>
              </w:rPr>
            </w:pPr>
          </w:p>
          <w:p>
            <w:pPr>
              <w:pStyle w:val="TableParagraph"/>
              <w:ind w:left="1146" w:right="1134"/>
              <w:jc w:val="center"/>
              <w:rPr>
                <w:sz w:val="16"/>
              </w:rPr>
            </w:pPr>
            <w:r>
              <w:rPr>
                <w:sz w:val="16"/>
              </w:rPr>
              <w:t>FTE</w:t>
            </w:r>
            <w:r>
              <w:rPr>
                <w:spacing w:val="-1"/>
                <w:sz w:val="16"/>
              </w:rPr>
              <w:t> </w:t>
            </w:r>
            <w:r>
              <w:rPr>
                <w:sz w:val="16"/>
              </w:rPr>
              <w:t>2017-18</w:t>
            </w:r>
          </w:p>
        </w:tc>
        <w:tc>
          <w:tcPr>
            <w:tcW w:w="3190" w:type="dxa"/>
            <w:gridSpan w:val="2"/>
            <w:shd w:val="clear" w:color="auto" w:fill="F1F1F1"/>
          </w:tcPr>
          <w:p>
            <w:pPr>
              <w:pStyle w:val="TableParagraph"/>
              <w:rPr>
                <w:sz w:val="17"/>
              </w:rPr>
            </w:pPr>
          </w:p>
          <w:p>
            <w:pPr>
              <w:pStyle w:val="TableParagraph"/>
              <w:ind w:left="765"/>
              <w:rPr>
                <w:sz w:val="16"/>
              </w:rPr>
            </w:pPr>
            <w:r>
              <w:rPr>
                <w:sz w:val="16"/>
              </w:rPr>
              <w:t>FTE</w:t>
            </w:r>
            <w:r>
              <w:rPr>
                <w:spacing w:val="-1"/>
                <w:sz w:val="16"/>
              </w:rPr>
              <w:t> </w:t>
            </w:r>
            <w:r>
              <w:rPr>
                <w:sz w:val="16"/>
              </w:rPr>
              <w:t>2018-19</w:t>
            </w:r>
            <w:r>
              <w:rPr>
                <w:spacing w:val="-4"/>
                <w:sz w:val="16"/>
              </w:rPr>
              <w:t> </w:t>
            </w:r>
            <w:r>
              <w:rPr>
                <w:sz w:val="16"/>
              </w:rPr>
              <w:t>(Round</w:t>
            </w:r>
            <w:r>
              <w:rPr>
                <w:spacing w:val="-2"/>
                <w:sz w:val="16"/>
              </w:rPr>
              <w:t> </w:t>
            </w:r>
            <w:r>
              <w:rPr>
                <w:sz w:val="16"/>
              </w:rPr>
              <w:t>4)</w:t>
            </w:r>
          </w:p>
        </w:tc>
        <w:tc>
          <w:tcPr>
            <w:tcW w:w="1594" w:type="dxa"/>
            <w:shd w:val="clear" w:color="auto" w:fill="F1F1F1"/>
          </w:tcPr>
          <w:p>
            <w:pPr>
              <w:pStyle w:val="TableParagraph"/>
              <w:spacing w:line="195" w:lineRule="exact" w:before="112"/>
              <w:ind w:left="371"/>
              <w:rPr>
                <w:sz w:val="16"/>
              </w:rPr>
            </w:pPr>
            <w:r>
              <w:rPr>
                <w:sz w:val="16"/>
              </w:rPr>
              <w:t>FTE</w:t>
            </w:r>
            <w:r>
              <w:rPr>
                <w:spacing w:val="-1"/>
                <w:sz w:val="16"/>
              </w:rPr>
              <w:t> </w:t>
            </w:r>
            <w:r>
              <w:rPr>
                <w:sz w:val="16"/>
              </w:rPr>
              <w:t>2019-20</w:t>
            </w:r>
          </w:p>
          <w:p>
            <w:pPr>
              <w:pStyle w:val="TableParagraph"/>
              <w:spacing w:line="195" w:lineRule="exact"/>
              <w:ind w:left="422"/>
              <w:rPr>
                <w:sz w:val="16"/>
              </w:rPr>
            </w:pPr>
            <w:r>
              <w:rPr>
                <w:sz w:val="16"/>
              </w:rPr>
              <w:t>(Round</w:t>
            </w:r>
            <w:r>
              <w:rPr>
                <w:spacing w:val="-2"/>
                <w:sz w:val="16"/>
              </w:rPr>
              <w:t> </w:t>
            </w:r>
            <w:r>
              <w:rPr>
                <w:sz w:val="16"/>
              </w:rPr>
              <w:t>4)</w:t>
            </w:r>
          </w:p>
        </w:tc>
      </w:tr>
      <w:tr>
        <w:trPr>
          <w:trHeight w:val="421" w:hRule="atLeast"/>
        </w:trPr>
        <w:tc>
          <w:tcPr>
            <w:tcW w:w="1596" w:type="dxa"/>
            <w:vMerge/>
            <w:tcBorders>
              <w:top w:val="nil"/>
            </w:tcBorders>
            <w:shd w:val="clear" w:color="auto" w:fill="F1F1F1"/>
          </w:tcPr>
          <w:p>
            <w:pPr>
              <w:rPr>
                <w:sz w:val="2"/>
                <w:szCs w:val="2"/>
              </w:rPr>
            </w:pPr>
          </w:p>
        </w:tc>
        <w:tc>
          <w:tcPr>
            <w:tcW w:w="1596" w:type="dxa"/>
            <w:shd w:val="clear" w:color="auto" w:fill="F1F1F1"/>
          </w:tcPr>
          <w:p>
            <w:pPr>
              <w:pStyle w:val="TableParagraph"/>
              <w:spacing w:before="112"/>
              <w:ind w:left="180"/>
              <w:rPr>
                <w:sz w:val="16"/>
              </w:rPr>
            </w:pPr>
            <w:r>
              <w:rPr>
                <w:sz w:val="16"/>
              </w:rPr>
              <w:t>Jul-Dec</w:t>
            </w:r>
            <w:r>
              <w:rPr>
                <w:spacing w:val="-2"/>
                <w:sz w:val="16"/>
              </w:rPr>
              <w:t> </w:t>
            </w:r>
            <w:r>
              <w:rPr>
                <w:sz w:val="16"/>
              </w:rPr>
              <w:t>2017</w:t>
            </w:r>
            <w:r>
              <w:rPr>
                <w:spacing w:val="-2"/>
                <w:sz w:val="16"/>
              </w:rPr>
              <w:t> </w:t>
            </w:r>
            <w:r>
              <w:rPr>
                <w:sz w:val="16"/>
              </w:rPr>
              <w:t>(1)</w:t>
            </w:r>
          </w:p>
        </w:tc>
        <w:tc>
          <w:tcPr>
            <w:tcW w:w="1595" w:type="dxa"/>
            <w:shd w:val="clear" w:color="auto" w:fill="F1F1F1"/>
          </w:tcPr>
          <w:p>
            <w:pPr>
              <w:pStyle w:val="TableParagraph"/>
              <w:spacing w:before="112"/>
              <w:ind w:left="168"/>
              <w:rPr>
                <w:sz w:val="16"/>
              </w:rPr>
            </w:pPr>
            <w:r>
              <w:rPr>
                <w:sz w:val="16"/>
              </w:rPr>
              <w:t>Jan-Jun</w:t>
            </w:r>
            <w:r>
              <w:rPr>
                <w:spacing w:val="-2"/>
                <w:sz w:val="16"/>
              </w:rPr>
              <w:t> </w:t>
            </w:r>
            <w:r>
              <w:rPr>
                <w:sz w:val="16"/>
              </w:rPr>
              <w:t>2018</w:t>
            </w:r>
            <w:r>
              <w:rPr>
                <w:spacing w:val="-3"/>
                <w:sz w:val="16"/>
              </w:rPr>
              <w:t> </w:t>
            </w:r>
            <w:r>
              <w:rPr>
                <w:sz w:val="16"/>
              </w:rPr>
              <w:t>(2)</w:t>
            </w:r>
          </w:p>
        </w:tc>
        <w:tc>
          <w:tcPr>
            <w:tcW w:w="1595" w:type="dxa"/>
            <w:shd w:val="clear" w:color="auto" w:fill="F1F1F1"/>
          </w:tcPr>
          <w:p>
            <w:pPr>
              <w:pStyle w:val="TableParagraph"/>
              <w:spacing w:before="112"/>
              <w:ind w:left="181"/>
              <w:rPr>
                <w:sz w:val="16"/>
              </w:rPr>
            </w:pPr>
            <w:r>
              <w:rPr>
                <w:sz w:val="16"/>
              </w:rPr>
              <w:t>Jul-Dec</w:t>
            </w:r>
            <w:r>
              <w:rPr>
                <w:spacing w:val="-2"/>
                <w:sz w:val="16"/>
              </w:rPr>
              <w:t> </w:t>
            </w:r>
            <w:r>
              <w:rPr>
                <w:sz w:val="16"/>
              </w:rPr>
              <w:t>2018</w:t>
            </w:r>
            <w:r>
              <w:rPr>
                <w:spacing w:val="-1"/>
                <w:sz w:val="16"/>
              </w:rPr>
              <w:t> </w:t>
            </w:r>
            <w:r>
              <w:rPr>
                <w:sz w:val="16"/>
              </w:rPr>
              <w:t>(1)</w:t>
            </w:r>
          </w:p>
        </w:tc>
        <w:tc>
          <w:tcPr>
            <w:tcW w:w="1595" w:type="dxa"/>
            <w:shd w:val="clear" w:color="auto" w:fill="F1F1F1"/>
          </w:tcPr>
          <w:p>
            <w:pPr>
              <w:pStyle w:val="TableParagraph"/>
              <w:spacing w:before="112"/>
              <w:ind w:left="171"/>
              <w:rPr>
                <w:sz w:val="16"/>
              </w:rPr>
            </w:pPr>
            <w:r>
              <w:rPr>
                <w:sz w:val="16"/>
              </w:rPr>
              <w:t>Jan-Jun</w:t>
            </w:r>
            <w:r>
              <w:rPr>
                <w:spacing w:val="-2"/>
                <w:sz w:val="16"/>
              </w:rPr>
              <w:t> </w:t>
            </w:r>
            <w:r>
              <w:rPr>
                <w:sz w:val="16"/>
              </w:rPr>
              <w:t>2019</w:t>
            </w:r>
            <w:r>
              <w:rPr>
                <w:spacing w:val="-3"/>
                <w:sz w:val="16"/>
              </w:rPr>
              <w:t> </w:t>
            </w:r>
            <w:r>
              <w:rPr>
                <w:sz w:val="16"/>
              </w:rPr>
              <w:t>(2)</w:t>
            </w:r>
          </w:p>
        </w:tc>
        <w:tc>
          <w:tcPr>
            <w:tcW w:w="1594" w:type="dxa"/>
            <w:shd w:val="clear" w:color="auto" w:fill="F1F1F1"/>
          </w:tcPr>
          <w:p>
            <w:pPr>
              <w:pStyle w:val="TableParagraph"/>
              <w:spacing w:before="112"/>
              <w:ind w:left="184"/>
              <w:rPr>
                <w:sz w:val="16"/>
              </w:rPr>
            </w:pPr>
            <w:r>
              <w:rPr>
                <w:sz w:val="16"/>
              </w:rPr>
              <w:t>Jul-Dec</w:t>
            </w:r>
            <w:r>
              <w:rPr>
                <w:spacing w:val="-2"/>
                <w:sz w:val="16"/>
              </w:rPr>
              <w:t> </w:t>
            </w:r>
            <w:r>
              <w:rPr>
                <w:sz w:val="16"/>
              </w:rPr>
              <w:t>2019</w:t>
            </w:r>
            <w:r>
              <w:rPr>
                <w:spacing w:val="-2"/>
                <w:sz w:val="16"/>
              </w:rPr>
              <w:t> </w:t>
            </w:r>
            <w:r>
              <w:rPr>
                <w:sz w:val="16"/>
              </w:rPr>
              <w:t>(1)</w:t>
            </w:r>
          </w:p>
        </w:tc>
      </w:tr>
      <w:tr>
        <w:trPr>
          <w:trHeight w:val="424" w:hRule="atLeast"/>
        </w:trPr>
        <w:tc>
          <w:tcPr>
            <w:tcW w:w="1596" w:type="dxa"/>
          </w:tcPr>
          <w:p>
            <w:pPr>
              <w:pStyle w:val="TableParagraph"/>
              <w:spacing w:before="112"/>
              <w:ind w:left="610" w:right="596"/>
              <w:jc w:val="center"/>
              <w:rPr>
                <w:sz w:val="16"/>
              </w:rPr>
            </w:pPr>
            <w:r>
              <w:rPr>
                <w:sz w:val="16"/>
              </w:rPr>
              <w:t>1</w:t>
            </w:r>
            <w:r>
              <w:rPr>
                <w:spacing w:val="-1"/>
                <w:sz w:val="16"/>
              </w:rPr>
              <w:t> </w:t>
            </w:r>
            <w:r>
              <w:rPr>
                <w:sz w:val="16"/>
              </w:rPr>
              <w:t>(1)</w:t>
            </w:r>
          </w:p>
        </w:tc>
        <w:tc>
          <w:tcPr>
            <w:tcW w:w="1596" w:type="dxa"/>
          </w:tcPr>
          <w:p>
            <w:pPr>
              <w:pStyle w:val="TableParagraph"/>
              <w:rPr>
                <w:rFonts w:ascii="Times New Roman"/>
                <w:sz w:val="16"/>
              </w:rPr>
            </w:pPr>
          </w:p>
        </w:tc>
        <w:tc>
          <w:tcPr>
            <w:tcW w:w="1595" w:type="dxa"/>
          </w:tcPr>
          <w:p>
            <w:pPr>
              <w:pStyle w:val="TableParagraph"/>
              <w:rPr>
                <w:rFonts w:ascii="Times New Roman"/>
                <w:sz w:val="16"/>
              </w:rPr>
            </w:pPr>
          </w:p>
        </w:tc>
        <w:tc>
          <w:tcPr>
            <w:tcW w:w="1595" w:type="dxa"/>
          </w:tcPr>
          <w:p>
            <w:pPr>
              <w:pStyle w:val="TableParagraph"/>
              <w:rPr>
                <w:rFonts w:ascii="Times New Roman"/>
                <w:sz w:val="16"/>
              </w:rPr>
            </w:pPr>
          </w:p>
        </w:tc>
        <w:tc>
          <w:tcPr>
            <w:tcW w:w="1595" w:type="dxa"/>
          </w:tcPr>
          <w:p>
            <w:pPr>
              <w:pStyle w:val="TableParagraph"/>
              <w:rPr>
                <w:rFonts w:ascii="Times New Roman"/>
                <w:sz w:val="16"/>
              </w:rPr>
            </w:pPr>
          </w:p>
        </w:tc>
        <w:tc>
          <w:tcPr>
            <w:tcW w:w="1594" w:type="dxa"/>
          </w:tcPr>
          <w:p>
            <w:pPr>
              <w:pStyle w:val="TableParagraph"/>
              <w:rPr>
                <w:rFonts w:ascii="Times New Roman"/>
                <w:sz w:val="16"/>
              </w:rPr>
            </w:pPr>
          </w:p>
        </w:tc>
      </w:tr>
      <w:tr>
        <w:trPr>
          <w:trHeight w:val="422" w:hRule="atLeast"/>
        </w:trPr>
        <w:tc>
          <w:tcPr>
            <w:tcW w:w="1596" w:type="dxa"/>
          </w:tcPr>
          <w:p>
            <w:pPr>
              <w:pStyle w:val="TableParagraph"/>
              <w:spacing w:before="112"/>
              <w:ind w:left="610" w:right="596"/>
              <w:jc w:val="center"/>
              <w:rPr>
                <w:sz w:val="16"/>
              </w:rPr>
            </w:pPr>
            <w:r>
              <w:rPr>
                <w:sz w:val="16"/>
              </w:rPr>
              <w:t>2</w:t>
            </w:r>
            <w:r>
              <w:rPr>
                <w:spacing w:val="-1"/>
                <w:sz w:val="16"/>
              </w:rPr>
              <w:t> </w:t>
            </w:r>
            <w:r>
              <w:rPr>
                <w:sz w:val="16"/>
              </w:rPr>
              <w:t>(2)</w:t>
            </w:r>
          </w:p>
        </w:tc>
        <w:tc>
          <w:tcPr>
            <w:tcW w:w="1596" w:type="dxa"/>
          </w:tcPr>
          <w:p>
            <w:pPr>
              <w:pStyle w:val="TableParagraph"/>
              <w:rPr>
                <w:rFonts w:ascii="Times New Roman"/>
                <w:sz w:val="16"/>
              </w:rPr>
            </w:pPr>
          </w:p>
        </w:tc>
        <w:tc>
          <w:tcPr>
            <w:tcW w:w="1595" w:type="dxa"/>
          </w:tcPr>
          <w:p>
            <w:pPr>
              <w:pStyle w:val="TableParagraph"/>
              <w:rPr>
                <w:rFonts w:ascii="Times New Roman"/>
                <w:sz w:val="16"/>
              </w:rPr>
            </w:pPr>
          </w:p>
        </w:tc>
        <w:tc>
          <w:tcPr>
            <w:tcW w:w="1595" w:type="dxa"/>
          </w:tcPr>
          <w:p>
            <w:pPr>
              <w:pStyle w:val="TableParagraph"/>
              <w:rPr>
                <w:rFonts w:ascii="Times New Roman"/>
                <w:sz w:val="16"/>
              </w:rPr>
            </w:pPr>
          </w:p>
        </w:tc>
        <w:tc>
          <w:tcPr>
            <w:tcW w:w="1595" w:type="dxa"/>
          </w:tcPr>
          <w:p>
            <w:pPr>
              <w:pStyle w:val="TableParagraph"/>
              <w:rPr>
                <w:rFonts w:ascii="Times New Roman"/>
                <w:sz w:val="16"/>
              </w:rPr>
            </w:pPr>
          </w:p>
        </w:tc>
        <w:tc>
          <w:tcPr>
            <w:tcW w:w="1594" w:type="dxa"/>
          </w:tcPr>
          <w:p>
            <w:pPr>
              <w:pStyle w:val="TableParagraph"/>
              <w:rPr>
                <w:rFonts w:ascii="Times New Roman"/>
                <w:sz w:val="16"/>
              </w:rPr>
            </w:pPr>
          </w:p>
        </w:tc>
      </w:tr>
      <w:tr>
        <w:trPr>
          <w:trHeight w:val="421" w:hRule="atLeast"/>
        </w:trPr>
        <w:tc>
          <w:tcPr>
            <w:tcW w:w="1596" w:type="dxa"/>
          </w:tcPr>
          <w:p>
            <w:pPr>
              <w:pStyle w:val="TableParagraph"/>
              <w:spacing w:before="112"/>
              <w:ind w:left="610" w:right="596"/>
              <w:jc w:val="center"/>
              <w:rPr>
                <w:sz w:val="16"/>
              </w:rPr>
            </w:pPr>
            <w:r>
              <w:rPr>
                <w:sz w:val="16"/>
              </w:rPr>
              <w:t>3</w:t>
            </w:r>
            <w:r>
              <w:rPr>
                <w:spacing w:val="-1"/>
                <w:sz w:val="16"/>
              </w:rPr>
              <w:t> </w:t>
            </w:r>
            <w:r>
              <w:rPr>
                <w:sz w:val="16"/>
              </w:rPr>
              <w:t>(3)</w:t>
            </w:r>
          </w:p>
        </w:tc>
        <w:tc>
          <w:tcPr>
            <w:tcW w:w="1596" w:type="dxa"/>
          </w:tcPr>
          <w:p>
            <w:pPr>
              <w:pStyle w:val="TableParagraph"/>
              <w:rPr>
                <w:rFonts w:ascii="Times New Roman"/>
                <w:sz w:val="16"/>
              </w:rPr>
            </w:pPr>
          </w:p>
        </w:tc>
        <w:tc>
          <w:tcPr>
            <w:tcW w:w="1595" w:type="dxa"/>
          </w:tcPr>
          <w:p>
            <w:pPr>
              <w:pStyle w:val="TableParagraph"/>
              <w:rPr>
                <w:rFonts w:ascii="Times New Roman"/>
                <w:sz w:val="16"/>
              </w:rPr>
            </w:pPr>
          </w:p>
        </w:tc>
        <w:tc>
          <w:tcPr>
            <w:tcW w:w="1595" w:type="dxa"/>
          </w:tcPr>
          <w:p>
            <w:pPr>
              <w:pStyle w:val="TableParagraph"/>
              <w:rPr>
                <w:rFonts w:ascii="Times New Roman"/>
                <w:sz w:val="16"/>
              </w:rPr>
            </w:pPr>
          </w:p>
        </w:tc>
        <w:tc>
          <w:tcPr>
            <w:tcW w:w="1595" w:type="dxa"/>
          </w:tcPr>
          <w:p>
            <w:pPr>
              <w:pStyle w:val="TableParagraph"/>
              <w:rPr>
                <w:rFonts w:ascii="Times New Roman"/>
                <w:sz w:val="16"/>
              </w:rPr>
            </w:pPr>
          </w:p>
        </w:tc>
        <w:tc>
          <w:tcPr>
            <w:tcW w:w="1594" w:type="dxa"/>
          </w:tcPr>
          <w:p>
            <w:pPr>
              <w:pStyle w:val="TableParagraph"/>
              <w:rPr>
                <w:rFonts w:ascii="Times New Roman"/>
                <w:sz w:val="16"/>
              </w:rPr>
            </w:pPr>
          </w:p>
        </w:tc>
      </w:tr>
      <w:tr>
        <w:trPr>
          <w:trHeight w:val="422" w:hRule="atLeast"/>
        </w:trPr>
        <w:tc>
          <w:tcPr>
            <w:tcW w:w="1596" w:type="dxa"/>
          </w:tcPr>
          <w:p>
            <w:pPr>
              <w:pStyle w:val="TableParagraph"/>
              <w:spacing w:before="112"/>
              <w:ind w:left="10"/>
              <w:jc w:val="center"/>
              <w:rPr>
                <w:sz w:val="16"/>
              </w:rPr>
            </w:pPr>
            <w:r>
              <w:rPr>
                <w:w w:val="100"/>
                <w:sz w:val="16"/>
              </w:rPr>
              <w:t>…</w:t>
            </w:r>
          </w:p>
        </w:tc>
        <w:tc>
          <w:tcPr>
            <w:tcW w:w="1596" w:type="dxa"/>
          </w:tcPr>
          <w:p>
            <w:pPr>
              <w:pStyle w:val="TableParagraph"/>
              <w:rPr>
                <w:rFonts w:ascii="Times New Roman"/>
                <w:sz w:val="16"/>
              </w:rPr>
            </w:pPr>
          </w:p>
        </w:tc>
        <w:tc>
          <w:tcPr>
            <w:tcW w:w="1595" w:type="dxa"/>
          </w:tcPr>
          <w:p>
            <w:pPr>
              <w:pStyle w:val="TableParagraph"/>
              <w:rPr>
                <w:rFonts w:ascii="Times New Roman"/>
                <w:sz w:val="16"/>
              </w:rPr>
            </w:pPr>
          </w:p>
        </w:tc>
        <w:tc>
          <w:tcPr>
            <w:tcW w:w="1595" w:type="dxa"/>
          </w:tcPr>
          <w:p>
            <w:pPr>
              <w:pStyle w:val="TableParagraph"/>
              <w:rPr>
                <w:rFonts w:ascii="Times New Roman"/>
                <w:sz w:val="16"/>
              </w:rPr>
            </w:pPr>
          </w:p>
        </w:tc>
        <w:tc>
          <w:tcPr>
            <w:tcW w:w="1595" w:type="dxa"/>
          </w:tcPr>
          <w:p>
            <w:pPr>
              <w:pStyle w:val="TableParagraph"/>
              <w:rPr>
                <w:rFonts w:ascii="Times New Roman"/>
                <w:sz w:val="16"/>
              </w:rPr>
            </w:pPr>
          </w:p>
        </w:tc>
        <w:tc>
          <w:tcPr>
            <w:tcW w:w="1594" w:type="dxa"/>
          </w:tcPr>
          <w:p>
            <w:pPr>
              <w:pStyle w:val="TableParagraph"/>
              <w:rPr>
                <w:rFonts w:ascii="Times New Roman"/>
                <w:sz w:val="16"/>
              </w:rPr>
            </w:pPr>
          </w:p>
        </w:tc>
      </w:tr>
    </w:tbl>
    <w:p>
      <w:pPr>
        <w:pStyle w:val="BodyText"/>
        <w:spacing w:before="8"/>
        <w:rPr>
          <w:sz w:val="19"/>
        </w:rPr>
      </w:pPr>
    </w:p>
    <w:p>
      <w:pPr>
        <w:pStyle w:val="ListParagraph"/>
        <w:numPr>
          <w:ilvl w:val="0"/>
          <w:numId w:val="106"/>
        </w:numPr>
        <w:tabs>
          <w:tab w:pos="773" w:val="left" w:leader="none"/>
        </w:tabs>
        <w:spacing w:line="276" w:lineRule="auto" w:before="0" w:after="0"/>
        <w:ind w:left="420" w:right="1033" w:firstLine="0"/>
        <w:jc w:val="left"/>
        <w:rPr>
          <w:sz w:val="18"/>
        </w:rPr>
      </w:pPr>
      <w:r>
        <w:rPr>
          <w:sz w:val="18"/>
        </w:rPr>
        <w:t>What</w:t>
      </w:r>
      <w:r>
        <w:rPr>
          <w:spacing w:val="-4"/>
          <w:sz w:val="18"/>
        </w:rPr>
        <w:t> </w:t>
      </w:r>
      <w:r>
        <w:rPr>
          <w:sz w:val="18"/>
        </w:rPr>
        <w:t>else</w:t>
      </w:r>
      <w:r>
        <w:rPr>
          <w:spacing w:val="-2"/>
          <w:sz w:val="18"/>
        </w:rPr>
        <w:t> </w:t>
      </w:r>
      <w:r>
        <w:rPr>
          <w:sz w:val="18"/>
        </w:rPr>
        <w:t>should</w:t>
      </w:r>
      <w:r>
        <w:rPr>
          <w:spacing w:val="-3"/>
          <w:sz w:val="18"/>
        </w:rPr>
        <w:t> </w:t>
      </w:r>
      <w:r>
        <w:rPr>
          <w:sz w:val="18"/>
        </w:rPr>
        <w:t>we</w:t>
      </w:r>
      <w:r>
        <w:rPr>
          <w:spacing w:val="-2"/>
          <w:sz w:val="18"/>
        </w:rPr>
        <w:t> </w:t>
      </w:r>
      <w:r>
        <w:rPr>
          <w:sz w:val="18"/>
        </w:rPr>
        <w:t>know</w:t>
      </w:r>
      <w:r>
        <w:rPr>
          <w:spacing w:val="-4"/>
          <w:sz w:val="18"/>
        </w:rPr>
        <w:t> </w:t>
      </w:r>
      <w:r>
        <w:rPr>
          <w:sz w:val="18"/>
        </w:rPr>
        <w:t>about</w:t>
      </w:r>
      <w:r>
        <w:rPr>
          <w:spacing w:val="-4"/>
          <w:sz w:val="18"/>
        </w:rPr>
        <w:t> </w:t>
      </w:r>
      <w:r>
        <w:rPr>
          <w:sz w:val="18"/>
        </w:rPr>
        <w:t>the</w:t>
      </w:r>
      <w:r>
        <w:rPr>
          <w:spacing w:val="-2"/>
          <w:sz w:val="18"/>
        </w:rPr>
        <w:t> </w:t>
      </w:r>
      <w:r>
        <w:rPr>
          <w:sz w:val="18"/>
        </w:rPr>
        <w:t>size</w:t>
      </w:r>
      <w:r>
        <w:rPr>
          <w:spacing w:val="-2"/>
          <w:sz w:val="18"/>
        </w:rPr>
        <w:t> </w:t>
      </w:r>
      <w:r>
        <w:rPr>
          <w:sz w:val="18"/>
        </w:rPr>
        <w:t>and</w:t>
      </w:r>
      <w:r>
        <w:rPr>
          <w:spacing w:val="-3"/>
          <w:sz w:val="18"/>
        </w:rPr>
        <w:t> </w:t>
      </w:r>
      <w:r>
        <w:rPr>
          <w:sz w:val="18"/>
        </w:rPr>
        <w:t>nature</w:t>
      </w:r>
      <w:r>
        <w:rPr>
          <w:spacing w:val="-2"/>
          <w:sz w:val="18"/>
        </w:rPr>
        <w:t> </w:t>
      </w:r>
      <w:r>
        <w:rPr>
          <w:sz w:val="18"/>
        </w:rPr>
        <w:t>of</w:t>
      </w:r>
      <w:r>
        <w:rPr>
          <w:spacing w:val="-1"/>
          <w:sz w:val="18"/>
        </w:rPr>
        <w:t> </w:t>
      </w:r>
      <w:r>
        <w:rPr>
          <w:sz w:val="18"/>
        </w:rPr>
        <w:t>the</w:t>
      </w:r>
      <w:r>
        <w:rPr>
          <w:spacing w:val="-2"/>
          <w:sz w:val="18"/>
        </w:rPr>
        <w:t> </w:t>
      </w:r>
      <w:r>
        <w:rPr>
          <w:sz w:val="18"/>
        </w:rPr>
        <w:t>PHN</w:t>
      </w:r>
      <w:r>
        <w:rPr>
          <w:spacing w:val="-4"/>
          <w:sz w:val="18"/>
        </w:rPr>
        <w:t> </w:t>
      </w:r>
      <w:r>
        <w:rPr>
          <w:sz w:val="18"/>
        </w:rPr>
        <w:t>effort</w:t>
      </w:r>
      <w:r>
        <w:rPr>
          <w:spacing w:val="-4"/>
          <w:sz w:val="18"/>
        </w:rPr>
        <w:t> </w:t>
      </w:r>
      <w:r>
        <w:rPr>
          <w:sz w:val="18"/>
        </w:rPr>
        <w:t>to</w:t>
      </w:r>
      <w:r>
        <w:rPr>
          <w:spacing w:val="-3"/>
          <w:sz w:val="18"/>
        </w:rPr>
        <w:t> </w:t>
      </w:r>
      <w:r>
        <w:rPr>
          <w:sz w:val="18"/>
        </w:rPr>
        <w:t>support</w:t>
      </w:r>
      <w:r>
        <w:rPr>
          <w:spacing w:val="-3"/>
          <w:sz w:val="18"/>
        </w:rPr>
        <w:t> </w:t>
      </w:r>
      <w:r>
        <w:rPr>
          <w:sz w:val="18"/>
        </w:rPr>
        <w:t>the</w:t>
      </w:r>
      <w:r>
        <w:rPr>
          <w:spacing w:val="-4"/>
          <w:sz w:val="18"/>
        </w:rPr>
        <w:t> </w:t>
      </w:r>
      <w:r>
        <w:rPr>
          <w:sz w:val="18"/>
        </w:rPr>
        <w:t>implementation</w:t>
      </w:r>
      <w:r>
        <w:rPr>
          <w:spacing w:val="-2"/>
          <w:sz w:val="18"/>
        </w:rPr>
        <w:t> </w:t>
      </w:r>
      <w:r>
        <w:rPr>
          <w:sz w:val="18"/>
        </w:rPr>
        <w:t>of</w:t>
      </w:r>
      <w:r>
        <w:rPr>
          <w:spacing w:val="-2"/>
          <w:sz w:val="18"/>
        </w:rPr>
        <w:t> </w:t>
      </w:r>
      <w:r>
        <w:rPr>
          <w:sz w:val="18"/>
        </w:rPr>
        <w:t>the</w:t>
      </w:r>
      <w:r>
        <w:rPr>
          <w:spacing w:val="-4"/>
          <w:sz w:val="18"/>
        </w:rPr>
        <w:t> </w:t>
      </w:r>
      <w:r>
        <w:rPr>
          <w:sz w:val="18"/>
        </w:rPr>
        <w:t>HCH</w:t>
      </w:r>
      <w:r>
        <w:rPr>
          <w:spacing w:val="1"/>
          <w:sz w:val="18"/>
        </w:rPr>
        <w:t> </w:t>
      </w:r>
      <w:r>
        <w:rPr>
          <w:sz w:val="18"/>
        </w:rPr>
        <w:t>program?</w:t>
      </w:r>
    </w:p>
    <w:p>
      <w:pPr>
        <w:pStyle w:val="BodyText"/>
      </w:pPr>
    </w:p>
    <w:p>
      <w:pPr>
        <w:pStyle w:val="BodyText"/>
        <w:rPr>
          <w:sz w:val="19"/>
        </w:rPr>
      </w:pPr>
      <w:r>
        <w:rPr/>
        <w:pict>
          <v:rect style="position:absolute;margin-left:34.560001pt;margin-top:12.851816pt;width:526.3pt;height:.47998pt;mso-position-horizontal-relative:page;mso-position-vertical-relative:paragraph;z-index:-15305728;mso-wrap-distance-left:0;mso-wrap-distance-right:0" id="docshape237" filled="true" fillcolor="#d9d9d9" stroked="false">
            <v:fill type="solid"/>
            <w10:wrap type="topAndBottom"/>
          </v:rect>
        </w:pict>
      </w:r>
    </w:p>
    <w:p>
      <w:pPr>
        <w:pStyle w:val="BodyText"/>
        <w:spacing w:before="2"/>
        <w:rPr>
          <w:sz w:val="8"/>
        </w:rPr>
      </w:pPr>
    </w:p>
    <w:p>
      <w:pPr>
        <w:spacing w:before="100"/>
        <w:ind w:left="420" w:right="0" w:firstLine="0"/>
        <w:jc w:val="left"/>
        <w:rPr>
          <w:b/>
          <w:sz w:val="18"/>
        </w:rPr>
      </w:pPr>
      <w:r>
        <w:rPr>
          <w:b/>
          <w:sz w:val="18"/>
        </w:rPr>
        <w:t>PHN</w:t>
      </w:r>
      <w:r>
        <w:rPr>
          <w:b/>
          <w:spacing w:val="-5"/>
          <w:sz w:val="18"/>
        </w:rPr>
        <w:t> </w:t>
      </w:r>
      <w:r>
        <w:rPr>
          <w:b/>
          <w:sz w:val="18"/>
        </w:rPr>
        <w:t>views</w:t>
      </w:r>
      <w:r>
        <w:rPr>
          <w:b/>
          <w:spacing w:val="-2"/>
          <w:sz w:val="18"/>
        </w:rPr>
        <w:t> </w:t>
      </w:r>
      <w:r>
        <w:rPr>
          <w:b/>
          <w:sz w:val="18"/>
        </w:rPr>
        <w:t>on</w:t>
      </w:r>
      <w:r>
        <w:rPr>
          <w:b/>
          <w:spacing w:val="-3"/>
          <w:sz w:val="18"/>
        </w:rPr>
        <w:t> </w:t>
      </w:r>
      <w:r>
        <w:rPr>
          <w:b/>
          <w:sz w:val="18"/>
        </w:rPr>
        <w:t>other</w:t>
      </w:r>
      <w:r>
        <w:rPr>
          <w:b/>
          <w:spacing w:val="-2"/>
          <w:sz w:val="18"/>
        </w:rPr>
        <w:t> </w:t>
      </w:r>
      <w:r>
        <w:rPr>
          <w:b/>
          <w:sz w:val="18"/>
        </w:rPr>
        <w:t>aspect</w:t>
      </w:r>
      <w:r>
        <w:rPr>
          <w:b/>
          <w:spacing w:val="-2"/>
          <w:sz w:val="18"/>
        </w:rPr>
        <w:t> </w:t>
      </w:r>
      <w:r>
        <w:rPr>
          <w:b/>
          <w:sz w:val="18"/>
        </w:rPr>
        <w:t>of</w:t>
      </w:r>
      <w:r>
        <w:rPr>
          <w:b/>
          <w:spacing w:val="-4"/>
          <w:sz w:val="18"/>
        </w:rPr>
        <w:t> </w:t>
      </w:r>
      <w:r>
        <w:rPr>
          <w:b/>
          <w:sz w:val="18"/>
        </w:rPr>
        <w:t>program</w:t>
      </w:r>
      <w:r>
        <w:rPr>
          <w:b/>
          <w:spacing w:val="-1"/>
          <w:sz w:val="18"/>
        </w:rPr>
        <w:t> </w:t>
      </w:r>
      <w:r>
        <w:rPr>
          <w:b/>
          <w:sz w:val="18"/>
        </w:rPr>
        <w:t>implementation</w:t>
      </w:r>
    </w:p>
    <w:p>
      <w:pPr>
        <w:pStyle w:val="BodyText"/>
        <w:rPr>
          <w:b/>
          <w:sz w:val="19"/>
        </w:rPr>
      </w:pPr>
    </w:p>
    <w:p>
      <w:pPr>
        <w:spacing w:before="0"/>
        <w:ind w:left="420" w:right="0" w:firstLine="0"/>
        <w:jc w:val="left"/>
        <w:rPr>
          <w:sz w:val="18"/>
        </w:rPr>
      </w:pPr>
      <w:r>
        <w:rPr>
          <w:sz w:val="18"/>
        </w:rPr>
        <w:t>This</w:t>
      </w:r>
      <w:r>
        <w:rPr>
          <w:spacing w:val="-3"/>
          <w:sz w:val="18"/>
        </w:rPr>
        <w:t> </w:t>
      </w:r>
      <w:r>
        <w:rPr>
          <w:sz w:val="18"/>
        </w:rPr>
        <w:t>section</w:t>
      </w:r>
      <w:r>
        <w:rPr>
          <w:spacing w:val="-2"/>
          <w:sz w:val="18"/>
        </w:rPr>
        <w:t> </w:t>
      </w:r>
      <w:r>
        <w:rPr>
          <w:sz w:val="18"/>
        </w:rPr>
        <w:t>asks</w:t>
      </w:r>
      <w:r>
        <w:rPr>
          <w:spacing w:val="-5"/>
          <w:sz w:val="18"/>
        </w:rPr>
        <w:t> </w:t>
      </w:r>
      <w:r>
        <w:rPr>
          <w:sz w:val="18"/>
        </w:rPr>
        <w:t>for</w:t>
      </w:r>
      <w:r>
        <w:rPr>
          <w:spacing w:val="-2"/>
          <w:sz w:val="18"/>
        </w:rPr>
        <w:t> </w:t>
      </w:r>
      <w:r>
        <w:rPr>
          <w:sz w:val="18"/>
        </w:rPr>
        <w:t>PHN</w:t>
      </w:r>
      <w:r>
        <w:rPr>
          <w:spacing w:val="-1"/>
          <w:sz w:val="18"/>
        </w:rPr>
        <w:t> </w:t>
      </w:r>
      <w:r>
        <w:rPr>
          <w:sz w:val="18"/>
        </w:rPr>
        <w:t>feedback</w:t>
      </w:r>
      <w:r>
        <w:rPr>
          <w:spacing w:val="-2"/>
          <w:sz w:val="18"/>
        </w:rPr>
        <w:t> </w:t>
      </w:r>
      <w:r>
        <w:rPr>
          <w:sz w:val="18"/>
        </w:rPr>
        <w:t>on</w:t>
      </w:r>
      <w:r>
        <w:rPr>
          <w:spacing w:val="-2"/>
          <w:sz w:val="18"/>
        </w:rPr>
        <w:t> </w:t>
      </w:r>
      <w:r>
        <w:rPr>
          <w:sz w:val="18"/>
        </w:rPr>
        <w:t>various</w:t>
      </w:r>
      <w:r>
        <w:rPr>
          <w:spacing w:val="-3"/>
          <w:sz w:val="18"/>
        </w:rPr>
        <w:t> </w:t>
      </w:r>
      <w:r>
        <w:rPr>
          <w:sz w:val="18"/>
        </w:rPr>
        <w:t>aspects</w:t>
      </w:r>
      <w:r>
        <w:rPr>
          <w:spacing w:val="-3"/>
          <w:sz w:val="18"/>
        </w:rPr>
        <w:t> </w:t>
      </w:r>
      <w:r>
        <w:rPr>
          <w:sz w:val="18"/>
        </w:rPr>
        <w:t>of</w:t>
      </w:r>
      <w:r>
        <w:rPr>
          <w:spacing w:val="-2"/>
          <w:sz w:val="18"/>
        </w:rPr>
        <w:t> </w:t>
      </w:r>
      <w:r>
        <w:rPr>
          <w:sz w:val="18"/>
        </w:rPr>
        <w:t>the</w:t>
      </w:r>
      <w:r>
        <w:rPr>
          <w:spacing w:val="-2"/>
          <w:sz w:val="18"/>
        </w:rPr>
        <w:t> </w:t>
      </w:r>
      <w:r>
        <w:rPr>
          <w:sz w:val="18"/>
        </w:rPr>
        <w:t>HCH</w:t>
      </w:r>
      <w:r>
        <w:rPr>
          <w:spacing w:val="-3"/>
          <w:sz w:val="18"/>
        </w:rPr>
        <w:t> </w:t>
      </w:r>
      <w:r>
        <w:rPr>
          <w:sz w:val="18"/>
        </w:rPr>
        <w:t>program</w:t>
      </w:r>
      <w:r>
        <w:rPr>
          <w:spacing w:val="-5"/>
          <w:sz w:val="18"/>
        </w:rPr>
        <w:t> </w:t>
      </w:r>
      <w:r>
        <w:rPr>
          <w:sz w:val="18"/>
        </w:rPr>
        <w:t>at</w:t>
      </w:r>
      <w:r>
        <w:rPr>
          <w:spacing w:val="-4"/>
          <w:sz w:val="18"/>
        </w:rPr>
        <w:t> </w:t>
      </w:r>
      <w:r>
        <w:rPr>
          <w:sz w:val="18"/>
        </w:rPr>
        <w:t>the</w:t>
      </w:r>
      <w:r>
        <w:rPr>
          <w:spacing w:val="-2"/>
          <w:sz w:val="18"/>
        </w:rPr>
        <w:t> </w:t>
      </w:r>
      <w:r>
        <w:rPr>
          <w:sz w:val="18"/>
        </w:rPr>
        <w:t>national</w:t>
      </w:r>
      <w:r>
        <w:rPr>
          <w:spacing w:val="-2"/>
          <w:sz w:val="18"/>
        </w:rPr>
        <w:t> </w:t>
      </w:r>
      <w:r>
        <w:rPr>
          <w:sz w:val="18"/>
        </w:rPr>
        <w:t>level.</w:t>
      </w:r>
    </w:p>
    <w:p>
      <w:pPr>
        <w:pStyle w:val="BodyText"/>
        <w:rPr>
          <w:sz w:val="19"/>
        </w:rPr>
      </w:pPr>
    </w:p>
    <w:p>
      <w:pPr>
        <w:pStyle w:val="ListParagraph"/>
        <w:numPr>
          <w:ilvl w:val="0"/>
          <w:numId w:val="106"/>
        </w:numPr>
        <w:tabs>
          <w:tab w:pos="722" w:val="left" w:leader="none"/>
        </w:tabs>
        <w:spacing w:line="276" w:lineRule="auto" w:before="1" w:after="0"/>
        <w:ind w:left="420" w:right="822" w:firstLine="0"/>
        <w:jc w:val="left"/>
        <w:rPr>
          <w:sz w:val="18"/>
        </w:rPr>
      </w:pPr>
      <w:r>
        <w:rPr>
          <w:sz w:val="18"/>
        </w:rPr>
        <w:t>What</w:t>
      </w:r>
      <w:r>
        <w:rPr>
          <w:spacing w:val="-4"/>
          <w:sz w:val="18"/>
        </w:rPr>
        <w:t> </w:t>
      </w:r>
      <w:r>
        <w:rPr>
          <w:sz w:val="18"/>
        </w:rPr>
        <w:t>are</w:t>
      </w:r>
      <w:r>
        <w:rPr>
          <w:spacing w:val="-2"/>
          <w:sz w:val="18"/>
        </w:rPr>
        <w:t> </w:t>
      </w:r>
      <w:r>
        <w:rPr>
          <w:sz w:val="18"/>
        </w:rPr>
        <w:t>the</w:t>
      </w:r>
      <w:r>
        <w:rPr>
          <w:spacing w:val="-2"/>
          <w:sz w:val="18"/>
        </w:rPr>
        <w:t> </w:t>
      </w:r>
      <w:r>
        <w:rPr>
          <w:sz w:val="18"/>
        </w:rPr>
        <w:t>three</w:t>
      </w:r>
      <w:r>
        <w:rPr>
          <w:spacing w:val="-2"/>
          <w:sz w:val="18"/>
        </w:rPr>
        <w:t> </w:t>
      </w:r>
      <w:r>
        <w:rPr>
          <w:sz w:val="18"/>
        </w:rPr>
        <w:t>top</w:t>
      </w:r>
      <w:r>
        <w:rPr>
          <w:spacing w:val="-4"/>
          <w:sz w:val="18"/>
        </w:rPr>
        <w:t> </w:t>
      </w:r>
      <w:r>
        <w:rPr>
          <w:sz w:val="18"/>
        </w:rPr>
        <w:t>changes</w:t>
      </w:r>
      <w:r>
        <w:rPr>
          <w:spacing w:val="-3"/>
          <w:sz w:val="18"/>
        </w:rPr>
        <w:t> </w:t>
      </w:r>
      <w:r>
        <w:rPr>
          <w:sz w:val="18"/>
        </w:rPr>
        <w:t>to</w:t>
      </w:r>
      <w:r>
        <w:rPr>
          <w:spacing w:val="-2"/>
          <w:sz w:val="18"/>
        </w:rPr>
        <w:t> </w:t>
      </w:r>
      <w:r>
        <w:rPr>
          <w:sz w:val="18"/>
        </w:rPr>
        <w:t>patient</w:t>
      </w:r>
      <w:r>
        <w:rPr>
          <w:spacing w:val="-4"/>
          <w:sz w:val="18"/>
        </w:rPr>
        <w:t> </w:t>
      </w:r>
      <w:r>
        <w:rPr>
          <w:sz w:val="18"/>
        </w:rPr>
        <w:t>enrolment</w:t>
      </w:r>
      <w:r>
        <w:rPr>
          <w:spacing w:val="-4"/>
          <w:sz w:val="18"/>
        </w:rPr>
        <w:t> </w:t>
      </w:r>
      <w:r>
        <w:rPr>
          <w:sz w:val="18"/>
        </w:rPr>
        <w:t>processes</w:t>
      </w:r>
      <w:r>
        <w:rPr>
          <w:spacing w:val="-2"/>
          <w:sz w:val="18"/>
        </w:rPr>
        <w:t> </w:t>
      </w:r>
      <w:r>
        <w:rPr>
          <w:sz w:val="18"/>
        </w:rPr>
        <w:t>that</w:t>
      </w:r>
      <w:r>
        <w:rPr>
          <w:spacing w:val="-4"/>
          <w:sz w:val="18"/>
        </w:rPr>
        <w:t> </w:t>
      </w:r>
      <w:r>
        <w:rPr>
          <w:sz w:val="18"/>
        </w:rPr>
        <w:t>should</w:t>
      </w:r>
      <w:r>
        <w:rPr>
          <w:spacing w:val="-3"/>
          <w:sz w:val="18"/>
        </w:rPr>
        <w:t> </w:t>
      </w:r>
      <w:r>
        <w:rPr>
          <w:sz w:val="18"/>
        </w:rPr>
        <w:t>be</w:t>
      </w:r>
      <w:r>
        <w:rPr>
          <w:spacing w:val="-4"/>
          <w:sz w:val="18"/>
        </w:rPr>
        <w:t> </w:t>
      </w:r>
      <w:r>
        <w:rPr>
          <w:sz w:val="18"/>
        </w:rPr>
        <w:t>considered</w:t>
      </w:r>
      <w:r>
        <w:rPr>
          <w:spacing w:val="-2"/>
          <w:sz w:val="18"/>
        </w:rPr>
        <w:t> </w:t>
      </w:r>
      <w:r>
        <w:rPr>
          <w:sz w:val="18"/>
        </w:rPr>
        <w:t>for</w:t>
      </w:r>
      <w:r>
        <w:rPr>
          <w:spacing w:val="-2"/>
          <w:sz w:val="18"/>
        </w:rPr>
        <w:t> </w:t>
      </w:r>
      <w:r>
        <w:rPr>
          <w:sz w:val="18"/>
        </w:rPr>
        <w:t>the</w:t>
      </w:r>
      <w:r>
        <w:rPr>
          <w:spacing w:val="-2"/>
          <w:sz w:val="18"/>
        </w:rPr>
        <w:t> </w:t>
      </w:r>
      <w:r>
        <w:rPr>
          <w:sz w:val="18"/>
        </w:rPr>
        <w:t>next</w:t>
      </w:r>
      <w:r>
        <w:rPr>
          <w:spacing w:val="-4"/>
          <w:sz w:val="18"/>
        </w:rPr>
        <w:t> </w:t>
      </w:r>
      <w:r>
        <w:rPr>
          <w:sz w:val="18"/>
        </w:rPr>
        <w:t>stage</w:t>
      </w:r>
      <w:r>
        <w:rPr>
          <w:spacing w:val="-2"/>
          <w:sz w:val="18"/>
        </w:rPr>
        <w:t> </w:t>
      </w:r>
      <w:r>
        <w:rPr>
          <w:sz w:val="18"/>
        </w:rPr>
        <w:t>of</w:t>
      </w:r>
      <w:r>
        <w:rPr>
          <w:spacing w:val="-1"/>
          <w:sz w:val="18"/>
        </w:rPr>
        <w:t> </w:t>
      </w:r>
      <w:r>
        <w:rPr>
          <w:sz w:val="18"/>
        </w:rPr>
        <w:t>the</w:t>
      </w:r>
      <w:r>
        <w:rPr>
          <w:spacing w:val="1"/>
          <w:sz w:val="18"/>
        </w:rPr>
        <w:t> </w:t>
      </w:r>
      <w:r>
        <w:rPr>
          <w:sz w:val="18"/>
        </w:rPr>
        <w:t>HCH</w:t>
      </w:r>
      <w:r>
        <w:rPr>
          <w:spacing w:val="-1"/>
          <w:sz w:val="18"/>
        </w:rPr>
        <w:t> </w:t>
      </w:r>
      <w:r>
        <w:rPr>
          <w:sz w:val="18"/>
        </w:rPr>
        <w:t>program</w:t>
      </w:r>
      <w:r>
        <w:rPr>
          <w:spacing w:val="-4"/>
          <w:sz w:val="18"/>
        </w:rPr>
        <w:t> </w:t>
      </w:r>
      <w:r>
        <w:rPr>
          <w:sz w:val="18"/>
        </w:rPr>
        <w:t>implementation?</w:t>
      </w:r>
    </w:p>
    <w:p>
      <w:pPr>
        <w:pStyle w:val="BodyText"/>
        <w:spacing w:before="2"/>
        <w:rPr>
          <w:sz w:val="8"/>
        </w:rPr>
      </w:pPr>
    </w:p>
    <w:p>
      <w:pPr>
        <w:tabs>
          <w:tab w:pos="7395" w:val="left" w:leader="none"/>
        </w:tabs>
        <w:spacing w:before="100"/>
        <w:ind w:left="1771" w:right="0" w:firstLine="0"/>
        <w:jc w:val="left"/>
        <w:rPr>
          <w:sz w:val="18"/>
        </w:rPr>
      </w:pPr>
      <w:r>
        <w:rPr/>
        <w:drawing>
          <wp:anchor distT="0" distB="0" distL="0" distR="0" allowOverlap="1" layoutInCell="1" locked="0" behindDoc="0" simplePos="0" relativeHeight="16152064">
            <wp:simplePos x="0" y="0"/>
            <wp:positionH relativeFrom="page">
              <wp:posOffset>1102145</wp:posOffset>
            </wp:positionH>
            <wp:positionV relativeFrom="paragraph">
              <wp:posOffset>107333</wp:posOffset>
            </wp:positionV>
            <wp:extent cx="58380" cy="72151"/>
            <wp:effectExtent l="0" t="0" r="0" b="0"/>
            <wp:wrapNone/>
            <wp:docPr id="2139" name="image13.png"/>
            <wp:cNvGraphicFramePr>
              <a:graphicFrameLocks noChangeAspect="1"/>
            </wp:cNvGraphicFramePr>
            <a:graphic>
              <a:graphicData uri="http://schemas.openxmlformats.org/drawingml/2006/picture">
                <pic:pic>
                  <pic:nvPicPr>
                    <pic:cNvPr id="214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Change</w:t>
      </w:r>
      <w:r>
        <w:rPr>
          <w:spacing w:val="-3"/>
          <w:sz w:val="18"/>
        </w:rPr>
        <w:t> </w:t>
      </w:r>
      <w:r>
        <w:rPr>
          <w:sz w:val="18"/>
        </w:rPr>
        <w:t>1</w:t>
      </w:r>
      <w:r>
        <w:rPr>
          <w:spacing w:val="47"/>
          <w:sz w:val="18"/>
        </w:rPr>
        <w:t> </w:t>
      </w:r>
      <w:r>
        <w:rPr>
          <w:sz w:val="18"/>
        </w:rPr>
        <w:t>(1) </w:t>
      </w:r>
      <w:r>
        <w:rPr>
          <w:sz w:val="18"/>
          <w:u w:val="single" w:color="BDBDBD"/>
        </w:rPr>
        <w:t> </w:t>
        <w:tab/>
      </w:r>
    </w:p>
    <w:p>
      <w:pPr>
        <w:tabs>
          <w:tab w:pos="7392" w:val="left" w:leader="none"/>
        </w:tabs>
        <w:spacing w:before="0"/>
        <w:ind w:left="1771" w:right="0" w:firstLine="0"/>
        <w:jc w:val="left"/>
        <w:rPr>
          <w:sz w:val="18"/>
        </w:rPr>
      </w:pPr>
      <w:r>
        <w:rPr/>
        <w:drawing>
          <wp:anchor distT="0" distB="0" distL="0" distR="0" allowOverlap="1" layoutInCell="1" locked="0" behindDoc="0" simplePos="0" relativeHeight="16152576">
            <wp:simplePos x="0" y="0"/>
            <wp:positionH relativeFrom="page">
              <wp:posOffset>1102145</wp:posOffset>
            </wp:positionH>
            <wp:positionV relativeFrom="paragraph">
              <wp:posOffset>43833</wp:posOffset>
            </wp:positionV>
            <wp:extent cx="58380" cy="72151"/>
            <wp:effectExtent l="0" t="0" r="0" b="0"/>
            <wp:wrapNone/>
            <wp:docPr id="2141" name="image13.png"/>
            <wp:cNvGraphicFramePr>
              <a:graphicFrameLocks noChangeAspect="1"/>
            </wp:cNvGraphicFramePr>
            <a:graphic>
              <a:graphicData uri="http://schemas.openxmlformats.org/drawingml/2006/picture">
                <pic:pic>
                  <pic:nvPicPr>
                    <pic:cNvPr id="214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Change</w:t>
      </w:r>
      <w:r>
        <w:rPr>
          <w:spacing w:val="-3"/>
          <w:sz w:val="18"/>
        </w:rPr>
        <w:t> </w:t>
      </w:r>
      <w:r>
        <w:rPr>
          <w:sz w:val="18"/>
        </w:rPr>
        <w:t>2</w:t>
      </w:r>
      <w:r>
        <w:rPr>
          <w:spacing w:val="47"/>
          <w:sz w:val="18"/>
        </w:rPr>
        <w:t> </w:t>
      </w:r>
      <w:r>
        <w:rPr>
          <w:sz w:val="18"/>
        </w:rPr>
        <w:t>(2) </w:t>
      </w:r>
      <w:r>
        <w:rPr>
          <w:sz w:val="18"/>
          <w:u w:val="single" w:color="BDBDBD"/>
        </w:rPr>
        <w:t> </w:t>
        <w:tab/>
      </w:r>
    </w:p>
    <w:p>
      <w:pPr>
        <w:tabs>
          <w:tab w:pos="7392" w:val="left" w:leader="none"/>
        </w:tabs>
        <w:spacing w:before="0"/>
        <w:ind w:left="1771" w:right="0" w:firstLine="0"/>
        <w:jc w:val="left"/>
        <w:rPr>
          <w:sz w:val="18"/>
        </w:rPr>
      </w:pPr>
      <w:r>
        <w:rPr/>
        <w:drawing>
          <wp:anchor distT="0" distB="0" distL="0" distR="0" allowOverlap="1" layoutInCell="1" locked="0" behindDoc="0" simplePos="0" relativeHeight="16153088">
            <wp:simplePos x="0" y="0"/>
            <wp:positionH relativeFrom="page">
              <wp:posOffset>1102145</wp:posOffset>
            </wp:positionH>
            <wp:positionV relativeFrom="paragraph">
              <wp:posOffset>43833</wp:posOffset>
            </wp:positionV>
            <wp:extent cx="58380" cy="72151"/>
            <wp:effectExtent l="0" t="0" r="0" b="0"/>
            <wp:wrapNone/>
            <wp:docPr id="2143" name="image13.png"/>
            <wp:cNvGraphicFramePr>
              <a:graphicFrameLocks noChangeAspect="1"/>
            </wp:cNvGraphicFramePr>
            <a:graphic>
              <a:graphicData uri="http://schemas.openxmlformats.org/drawingml/2006/picture">
                <pic:pic>
                  <pic:nvPicPr>
                    <pic:cNvPr id="214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Change</w:t>
      </w:r>
      <w:r>
        <w:rPr>
          <w:spacing w:val="-3"/>
          <w:sz w:val="18"/>
        </w:rPr>
        <w:t> </w:t>
      </w:r>
      <w:r>
        <w:rPr>
          <w:sz w:val="18"/>
        </w:rPr>
        <w:t>3</w:t>
      </w:r>
      <w:r>
        <w:rPr>
          <w:spacing w:val="47"/>
          <w:sz w:val="18"/>
        </w:rPr>
        <w:t> </w:t>
      </w:r>
      <w:r>
        <w:rPr>
          <w:sz w:val="18"/>
        </w:rPr>
        <w:t>(3) </w:t>
      </w:r>
      <w:r>
        <w:rPr>
          <w:sz w:val="18"/>
          <w:u w:val="single" w:color="BDBDBD"/>
        </w:rPr>
        <w:t> </w:t>
        <w:tab/>
      </w:r>
    </w:p>
    <w:p>
      <w:pPr>
        <w:pStyle w:val="BodyText"/>
        <w:spacing w:before="9"/>
        <w:rPr>
          <w:sz w:val="14"/>
        </w:rPr>
      </w:pPr>
    </w:p>
    <w:p>
      <w:pPr>
        <w:pStyle w:val="ListParagraph"/>
        <w:numPr>
          <w:ilvl w:val="0"/>
          <w:numId w:val="106"/>
        </w:numPr>
        <w:tabs>
          <w:tab w:pos="722" w:val="left" w:leader="none"/>
        </w:tabs>
        <w:spacing w:line="273" w:lineRule="auto" w:before="100" w:after="0"/>
        <w:ind w:left="420" w:right="1024" w:firstLine="0"/>
        <w:jc w:val="left"/>
        <w:rPr>
          <w:sz w:val="18"/>
        </w:rPr>
      </w:pPr>
      <w:r>
        <w:rPr>
          <w:sz w:val="18"/>
        </w:rPr>
        <w:t>What are the three top changes to risk stratification processes that should be considered for the next stage of the</w:t>
      </w:r>
      <w:r>
        <w:rPr>
          <w:spacing w:val="-47"/>
          <w:sz w:val="18"/>
        </w:rPr>
        <w:t> </w:t>
      </w:r>
      <w:r>
        <w:rPr>
          <w:sz w:val="18"/>
        </w:rPr>
        <w:t>HCH</w:t>
      </w:r>
      <w:r>
        <w:rPr>
          <w:spacing w:val="-1"/>
          <w:sz w:val="18"/>
        </w:rPr>
        <w:t> </w:t>
      </w:r>
      <w:r>
        <w:rPr>
          <w:sz w:val="18"/>
        </w:rPr>
        <w:t>program</w:t>
      </w:r>
      <w:r>
        <w:rPr>
          <w:spacing w:val="-4"/>
          <w:sz w:val="18"/>
        </w:rPr>
        <w:t> </w:t>
      </w:r>
      <w:r>
        <w:rPr>
          <w:sz w:val="18"/>
        </w:rPr>
        <w:t>implementation?</w:t>
      </w:r>
    </w:p>
    <w:p>
      <w:pPr>
        <w:pStyle w:val="BodyText"/>
        <w:spacing w:before="5"/>
        <w:rPr>
          <w:sz w:val="8"/>
        </w:rPr>
      </w:pPr>
    </w:p>
    <w:p>
      <w:pPr>
        <w:tabs>
          <w:tab w:pos="7392" w:val="left" w:leader="none"/>
        </w:tabs>
        <w:spacing w:before="100"/>
        <w:ind w:left="1771" w:right="0" w:firstLine="0"/>
        <w:jc w:val="left"/>
        <w:rPr>
          <w:sz w:val="18"/>
        </w:rPr>
      </w:pPr>
      <w:r>
        <w:rPr/>
        <w:drawing>
          <wp:anchor distT="0" distB="0" distL="0" distR="0" allowOverlap="1" layoutInCell="1" locked="0" behindDoc="0" simplePos="0" relativeHeight="16153600">
            <wp:simplePos x="0" y="0"/>
            <wp:positionH relativeFrom="page">
              <wp:posOffset>1102145</wp:posOffset>
            </wp:positionH>
            <wp:positionV relativeFrom="paragraph">
              <wp:posOffset>107333</wp:posOffset>
            </wp:positionV>
            <wp:extent cx="58380" cy="72151"/>
            <wp:effectExtent l="0" t="0" r="0" b="0"/>
            <wp:wrapNone/>
            <wp:docPr id="2145" name="image13.png"/>
            <wp:cNvGraphicFramePr>
              <a:graphicFrameLocks noChangeAspect="1"/>
            </wp:cNvGraphicFramePr>
            <a:graphic>
              <a:graphicData uri="http://schemas.openxmlformats.org/drawingml/2006/picture">
                <pic:pic>
                  <pic:nvPicPr>
                    <pic:cNvPr id="214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Change</w:t>
      </w:r>
      <w:r>
        <w:rPr>
          <w:spacing w:val="-3"/>
          <w:sz w:val="18"/>
        </w:rPr>
        <w:t> </w:t>
      </w:r>
      <w:r>
        <w:rPr>
          <w:sz w:val="18"/>
        </w:rPr>
        <w:t>1</w:t>
      </w:r>
      <w:r>
        <w:rPr>
          <w:spacing w:val="47"/>
          <w:sz w:val="18"/>
        </w:rPr>
        <w:t> </w:t>
      </w:r>
      <w:r>
        <w:rPr>
          <w:sz w:val="18"/>
        </w:rPr>
        <w:t>(1) </w:t>
      </w:r>
      <w:r>
        <w:rPr>
          <w:sz w:val="18"/>
          <w:u w:val="single" w:color="BDBDBD"/>
        </w:rPr>
        <w:t> </w:t>
        <w:tab/>
      </w:r>
    </w:p>
    <w:p>
      <w:pPr>
        <w:tabs>
          <w:tab w:pos="7392" w:val="left" w:leader="none"/>
        </w:tabs>
        <w:spacing w:before="0"/>
        <w:ind w:left="1771" w:right="0" w:firstLine="0"/>
        <w:jc w:val="left"/>
        <w:rPr>
          <w:sz w:val="18"/>
        </w:rPr>
      </w:pPr>
      <w:r>
        <w:rPr/>
        <w:drawing>
          <wp:anchor distT="0" distB="0" distL="0" distR="0" allowOverlap="1" layoutInCell="1" locked="0" behindDoc="0" simplePos="0" relativeHeight="16154112">
            <wp:simplePos x="0" y="0"/>
            <wp:positionH relativeFrom="page">
              <wp:posOffset>1102145</wp:posOffset>
            </wp:positionH>
            <wp:positionV relativeFrom="paragraph">
              <wp:posOffset>43833</wp:posOffset>
            </wp:positionV>
            <wp:extent cx="58380" cy="72151"/>
            <wp:effectExtent l="0" t="0" r="0" b="0"/>
            <wp:wrapNone/>
            <wp:docPr id="2147" name="image13.png"/>
            <wp:cNvGraphicFramePr>
              <a:graphicFrameLocks noChangeAspect="1"/>
            </wp:cNvGraphicFramePr>
            <a:graphic>
              <a:graphicData uri="http://schemas.openxmlformats.org/drawingml/2006/picture">
                <pic:pic>
                  <pic:nvPicPr>
                    <pic:cNvPr id="214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Change</w:t>
      </w:r>
      <w:r>
        <w:rPr>
          <w:spacing w:val="-3"/>
          <w:sz w:val="18"/>
        </w:rPr>
        <w:t> </w:t>
      </w:r>
      <w:r>
        <w:rPr>
          <w:sz w:val="18"/>
        </w:rPr>
        <w:t>2</w:t>
      </w:r>
      <w:r>
        <w:rPr>
          <w:spacing w:val="47"/>
          <w:sz w:val="18"/>
        </w:rPr>
        <w:t> </w:t>
      </w:r>
      <w:r>
        <w:rPr>
          <w:sz w:val="18"/>
        </w:rPr>
        <w:t>(2) </w:t>
      </w:r>
      <w:r>
        <w:rPr>
          <w:sz w:val="18"/>
          <w:u w:val="single" w:color="BDBDBD"/>
        </w:rPr>
        <w:t> </w:t>
        <w:tab/>
      </w:r>
    </w:p>
    <w:p>
      <w:pPr>
        <w:tabs>
          <w:tab w:pos="7392" w:val="left" w:leader="none"/>
        </w:tabs>
        <w:spacing w:before="0"/>
        <w:ind w:left="1771" w:right="0" w:firstLine="0"/>
        <w:jc w:val="left"/>
        <w:rPr>
          <w:sz w:val="18"/>
        </w:rPr>
      </w:pPr>
      <w:r>
        <w:rPr/>
        <w:drawing>
          <wp:anchor distT="0" distB="0" distL="0" distR="0" allowOverlap="1" layoutInCell="1" locked="0" behindDoc="0" simplePos="0" relativeHeight="16154624">
            <wp:simplePos x="0" y="0"/>
            <wp:positionH relativeFrom="page">
              <wp:posOffset>1102145</wp:posOffset>
            </wp:positionH>
            <wp:positionV relativeFrom="paragraph">
              <wp:posOffset>43833</wp:posOffset>
            </wp:positionV>
            <wp:extent cx="58380" cy="72151"/>
            <wp:effectExtent l="0" t="0" r="0" b="0"/>
            <wp:wrapNone/>
            <wp:docPr id="2149" name="image13.png"/>
            <wp:cNvGraphicFramePr>
              <a:graphicFrameLocks noChangeAspect="1"/>
            </wp:cNvGraphicFramePr>
            <a:graphic>
              <a:graphicData uri="http://schemas.openxmlformats.org/drawingml/2006/picture">
                <pic:pic>
                  <pic:nvPicPr>
                    <pic:cNvPr id="215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Change</w:t>
      </w:r>
      <w:r>
        <w:rPr>
          <w:spacing w:val="-3"/>
          <w:sz w:val="18"/>
        </w:rPr>
        <w:t> </w:t>
      </w:r>
      <w:r>
        <w:rPr>
          <w:sz w:val="18"/>
        </w:rPr>
        <w:t>3</w:t>
      </w:r>
      <w:r>
        <w:rPr>
          <w:spacing w:val="47"/>
          <w:sz w:val="18"/>
        </w:rPr>
        <w:t> </w:t>
      </w:r>
      <w:r>
        <w:rPr>
          <w:sz w:val="18"/>
        </w:rPr>
        <w:t>(3) </w:t>
      </w:r>
      <w:r>
        <w:rPr>
          <w:sz w:val="18"/>
          <w:u w:val="single" w:color="BDBDBD"/>
        </w:rPr>
        <w:t> </w:t>
        <w:tab/>
      </w:r>
    </w:p>
    <w:p>
      <w:pPr>
        <w:spacing w:after="0"/>
        <w:jc w:val="left"/>
        <w:rPr>
          <w:sz w:val="18"/>
        </w:rPr>
        <w:sectPr>
          <w:pgSz w:w="11910" w:h="16840"/>
          <w:pgMar w:header="0" w:footer="948" w:top="860" w:bottom="1140" w:left="300" w:right="0"/>
        </w:sectPr>
      </w:pPr>
    </w:p>
    <w:p>
      <w:pPr>
        <w:pStyle w:val="ListParagraph"/>
        <w:numPr>
          <w:ilvl w:val="0"/>
          <w:numId w:val="106"/>
        </w:numPr>
        <w:tabs>
          <w:tab w:pos="771" w:val="left" w:leader="none"/>
        </w:tabs>
        <w:spacing w:line="273" w:lineRule="auto" w:before="75" w:after="0"/>
        <w:ind w:left="420" w:right="1504" w:firstLine="0"/>
        <w:jc w:val="left"/>
        <w:rPr>
          <w:sz w:val="18"/>
        </w:rPr>
      </w:pPr>
      <w:r>
        <w:rPr>
          <w:sz w:val="18"/>
        </w:rPr>
        <w:t>Please</w:t>
      </w:r>
      <w:r>
        <w:rPr>
          <w:spacing w:val="-2"/>
          <w:sz w:val="18"/>
        </w:rPr>
        <w:t> </w:t>
      </w:r>
      <w:r>
        <w:rPr>
          <w:sz w:val="18"/>
        </w:rPr>
        <w:t>provide</w:t>
      </w:r>
      <w:r>
        <w:rPr>
          <w:spacing w:val="-3"/>
          <w:sz w:val="18"/>
        </w:rPr>
        <w:t> </w:t>
      </w:r>
      <w:r>
        <w:rPr>
          <w:sz w:val="18"/>
        </w:rPr>
        <w:t>any</w:t>
      </w:r>
      <w:r>
        <w:rPr>
          <w:spacing w:val="-4"/>
          <w:sz w:val="18"/>
        </w:rPr>
        <w:t> </w:t>
      </w:r>
      <w:r>
        <w:rPr>
          <w:sz w:val="18"/>
        </w:rPr>
        <w:t>additional</w:t>
      </w:r>
      <w:r>
        <w:rPr>
          <w:spacing w:val="-5"/>
          <w:sz w:val="18"/>
        </w:rPr>
        <w:t> </w:t>
      </w:r>
      <w:r>
        <w:rPr>
          <w:sz w:val="18"/>
        </w:rPr>
        <w:t>information</w:t>
      </w:r>
      <w:r>
        <w:rPr>
          <w:spacing w:val="-3"/>
          <w:sz w:val="18"/>
        </w:rPr>
        <w:t> </w:t>
      </w:r>
      <w:r>
        <w:rPr>
          <w:sz w:val="18"/>
        </w:rPr>
        <w:t>that</w:t>
      </w:r>
      <w:r>
        <w:rPr>
          <w:spacing w:val="-5"/>
          <w:sz w:val="18"/>
        </w:rPr>
        <w:t> </w:t>
      </w:r>
      <w:r>
        <w:rPr>
          <w:sz w:val="18"/>
        </w:rPr>
        <w:t>is</w:t>
      </w:r>
      <w:r>
        <w:rPr>
          <w:spacing w:val="-3"/>
          <w:sz w:val="18"/>
        </w:rPr>
        <w:t> </w:t>
      </w:r>
      <w:r>
        <w:rPr>
          <w:sz w:val="18"/>
        </w:rPr>
        <w:t>considered</w:t>
      </w:r>
      <w:r>
        <w:rPr>
          <w:spacing w:val="-6"/>
          <w:sz w:val="18"/>
        </w:rPr>
        <w:t> </w:t>
      </w:r>
      <w:r>
        <w:rPr>
          <w:sz w:val="18"/>
        </w:rPr>
        <w:t>important</w:t>
      </w:r>
      <w:r>
        <w:rPr>
          <w:spacing w:val="-5"/>
          <w:sz w:val="18"/>
        </w:rPr>
        <w:t> </w:t>
      </w:r>
      <w:r>
        <w:rPr>
          <w:sz w:val="18"/>
        </w:rPr>
        <w:t>for</w:t>
      </w:r>
      <w:r>
        <w:rPr>
          <w:spacing w:val="-2"/>
          <w:sz w:val="18"/>
        </w:rPr>
        <w:t> </w:t>
      </w:r>
      <w:r>
        <w:rPr>
          <w:sz w:val="18"/>
        </w:rPr>
        <w:t>understanding</w:t>
      </w:r>
      <w:r>
        <w:rPr>
          <w:spacing w:val="-5"/>
          <w:sz w:val="18"/>
        </w:rPr>
        <w:t> </w:t>
      </w:r>
      <w:r>
        <w:rPr>
          <w:sz w:val="18"/>
        </w:rPr>
        <w:t>the</w:t>
      </w:r>
      <w:r>
        <w:rPr>
          <w:spacing w:val="-3"/>
          <w:sz w:val="18"/>
        </w:rPr>
        <w:t> </w:t>
      </w:r>
      <w:r>
        <w:rPr>
          <w:sz w:val="18"/>
        </w:rPr>
        <w:t>HCH</w:t>
      </w:r>
      <w:r>
        <w:rPr>
          <w:spacing w:val="-4"/>
          <w:sz w:val="18"/>
        </w:rPr>
        <w:t> </w:t>
      </w:r>
      <w:r>
        <w:rPr>
          <w:sz w:val="18"/>
        </w:rPr>
        <w:t>program</w:t>
      </w:r>
      <w:r>
        <w:rPr>
          <w:spacing w:val="1"/>
          <w:sz w:val="18"/>
        </w:rPr>
        <w:t> </w:t>
      </w:r>
      <w:r>
        <w:rPr>
          <w:sz w:val="18"/>
        </w:rPr>
        <w:t>implementation</w:t>
      </w:r>
      <w:r>
        <w:rPr>
          <w:spacing w:val="-1"/>
          <w:sz w:val="18"/>
        </w:rPr>
        <w:t> </w:t>
      </w:r>
      <w:r>
        <w:rPr>
          <w:sz w:val="18"/>
        </w:rPr>
        <w:t>within your</w:t>
      </w:r>
      <w:r>
        <w:rPr>
          <w:spacing w:val="-1"/>
          <w:sz w:val="18"/>
        </w:rPr>
        <w:t> </w:t>
      </w:r>
      <w:r>
        <w:rPr>
          <w:sz w:val="18"/>
        </w:rPr>
        <w:t>PHN.</w:t>
      </w:r>
    </w:p>
    <w:p>
      <w:pPr>
        <w:pStyle w:val="BodyText"/>
      </w:pPr>
    </w:p>
    <w:p>
      <w:pPr>
        <w:pStyle w:val="BodyText"/>
        <w:spacing w:before="4"/>
        <w:rPr>
          <w:sz w:val="19"/>
        </w:rPr>
      </w:pPr>
      <w:r>
        <w:rPr/>
        <w:pict>
          <v:rect style="position:absolute;margin-left:34.560001pt;margin-top:13.090215pt;width:526.3pt;height:.48pt;mso-position-horizontal-relative:page;mso-position-vertical-relative:paragraph;z-index:-15302144;mso-wrap-distance-left:0;mso-wrap-distance-right:0" id="docshape238" filled="true" fillcolor="#d9d9d9" stroked="false">
            <v:fill type="solid"/>
            <w10:wrap type="topAndBottom"/>
          </v:rect>
        </w:pict>
      </w:r>
    </w:p>
    <w:p>
      <w:pPr>
        <w:pStyle w:val="BodyText"/>
        <w:spacing w:before="2"/>
        <w:rPr>
          <w:sz w:val="8"/>
        </w:rPr>
      </w:pPr>
    </w:p>
    <w:p>
      <w:pPr>
        <w:pStyle w:val="ListParagraph"/>
        <w:numPr>
          <w:ilvl w:val="0"/>
          <w:numId w:val="106"/>
        </w:numPr>
        <w:tabs>
          <w:tab w:pos="720" w:val="left" w:leader="none"/>
        </w:tabs>
        <w:spacing w:line="240" w:lineRule="auto" w:before="100" w:after="0"/>
        <w:ind w:left="719" w:right="0" w:hanging="300"/>
        <w:jc w:val="left"/>
        <w:rPr>
          <w:sz w:val="18"/>
        </w:rPr>
      </w:pPr>
      <w:r>
        <w:rPr>
          <w:sz w:val="18"/>
        </w:rPr>
        <w:t>Do</w:t>
      </w:r>
      <w:r>
        <w:rPr>
          <w:spacing w:val="-2"/>
          <w:sz w:val="18"/>
        </w:rPr>
        <w:t> </w:t>
      </w:r>
      <w:r>
        <w:rPr>
          <w:sz w:val="18"/>
        </w:rPr>
        <w:t>you</w:t>
      </w:r>
      <w:r>
        <w:rPr>
          <w:spacing w:val="-1"/>
          <w:sz w:val="18"/>
        </w:rPr>
        <w:t> </w:t>
      </w:r>
      <w:r>
        <w:rPr>
          <w:sz w:val="18"/>
        </w:rPr>
        <w:t>wish</w:t>
      </w:r>
      <w:r>
        <w:rPr>
          <w:spacing w:val="-2"/>
          <w:sz w:val="18"/>
        </w:rPr>
        <w:t> </w:t>
      </w:r>
      <w:r>
        <w:rPr>
          <w:sz w:val="18"/>
        </w:rPr>
        <w:t>to</w:t>
      </w:r>
      <w:r>
        <w:rPr>
          <w:spacing w:val="-1"/>
          <w:sz w:val="18"/>
        </w:rPr>
        <w:t> </w:t>
      </w:r>
      <w:r>
        <w:rPr>
          <w:sz w:val="18"/>
        </w:rPr>
        <w:t>submit</w:t>
      </w:r>
      <w:r>
        <w:rPr>
          <w:spacing w:val="-4"/>
          <w:sz w:val="18"/>
        </w:rPr>
        <w:t> </w:t>
      </w:r>
      <w:r>
        <w:rPr>
          <w:sz w:val="18"/>
        </w:rPr>
        <w:t>the</w:t>
      </w:r>
      <w:r>
        <w:rPr>
          <w:spacing w:val="-1"/>
          <w:sz w:val="18"/>
        </w:rPr>
        <w:t> </w:t>
      </w:r>
      <w:r>
        <w:rPr>
          <w:sz w:val="18"/>
        </w:rPr>
        <w:t>results</w:t>
      </w:r>
      <w:r>
        <w:rPr>
          <w:spacing w:val="-3"/>
          <w:sz w:val="18"/>
        </w:rPr>
        <w:t> </w:t>
      </w:r>
      <w:r>
        <w:rPr>
          <w:sz w:val="18"/>
        </w:rPr>
        <w:t>of</w:t>
      </w:r>
      <w:r>
        <w:rPr>
          <w:spacing w:val="-3"/>
          <w:sz w:val="18"/>
        </w:rPr>
        <w:t> </w:t>
      </w:r>
      <w:r>
        <w:rPr>
          <w:sz w:val="18"/>
        </w:rPr>
        <w:t>this</w:t>
      </w:r>
      <w:r>
        <w:rPr>
          <w:spacing w:val="-2"/>
          <w:sz w:val="18"/>
        </w:rPr>
        <w:t> </w:t>
      </w:r>
      <w:r>
        <w:rPr>
          <w:sz w:val="18"/>
        </w:rPr>
        <w:t>survey</w:t>
      </w:r>
      <w:r>
        <w:rPr>
          <w:spacing w:val="-3"/>
          <w:sz w:val="18"/>
        </w:rPr>
        <w:t> </w:t>
      </w:r>
      <w:r>
        <w:rPr>
          <w:sz w:val="18"/>
        </w:rPr>
        <w:t>now?</w:t>
      </w:r>
    </w:p>
    <w:p>
      <w:pPr>
        <w:pStyle w:val="BodyText"/>
        <w:rPr>
          <w:sz w:val="19"/>
        </w:rPr>
      </w:pPr>
    </w:p>
    <w:p>
      <w:pPr>
        <w:spacing w:line="276" w:lineRule="auto" w:before="0"/>
        <w:ind w:left="420" w:right="798" w:firstLine="0"/>
        <w:jc w:val="left"/>
        <w:rPr>
          <w:sz w:val="18"/>
        </w:rPr>
      </w:pPr>
      <w:r>
        <w:rPr>
          <w:sz w:val="18"/>
        </w:rPr>
        <w:t>If you wish to finalise and submit the survey data, select Yes below, then select the Next Arrow below.</w:t>
      </w:r>
      <w:r>
        <w:rPr>
          <w:spacing w:val="1"/>
          <w:sz w:val="18"/>
        </w:rPr>
        <w:t> </w:t>
      </w:r>
      <w:r>
        <w:rPr>
          <w:sz w:val="18"/>
        </w:rPr>
        <w:t>This will submit</w:t>
      </w:r>
      <w:r>
        <w:rPr>
          <w:spacing w:val="1"/>
          <w:sz w:val="18"/>
        </w:rPr>
        <w:t> </w:t>
      </w:r>
      <w:r>
        <w:rPr>
          <w:sz w:val="18"/>
        </w:rPr>
        <w:t>your data. If you wish to return to this survey later, </w:t>
      </w:r>
      <w:r>
        <w:rPr>
          <w:sz w:val="18"/>
          <w:u w:val="single"/>
        </w:rPr>
        <w:t>do not </w:t>
      </w:r>
      <w:r>
        <w:rPr>
          <w:sz w:val="18"/>
        </w:rPr>
        <w:t>select Yes.</w:t>
      </w:r>
      <w:r>
        <w:rPr>
          <w:spacing w:val="1"/>
          <w:sz w:val="18"/>
        </w:rPr>
        <w:t> </w:t>
      </w:r>
      <w:r>
        <w:rPr>
          <w:sz w:val="18"/>
        </w:rPr>
        <w:t>Just leave this page and return later using the URL</w:t>
      </w:r>
      <w:r>
        <w:rPr>
          <w:spacing w:val="-47"/>
          <w:sz w:val="18"/>
        </w:rPr>
        <w:t> </w:t>
      </w:r>
      <w:r>
        <w:rPr>
          <w:sz w:val="18"/>
        </w:rPr>
        <w:t>link supplied. The details you have entered above will be saved, and when you return, you can complete the survey.</w:t>
      </w:r>
      <w:r>
        <w:rPr>
          <w:spacing w:val="1"/>
          <w:sz w:val="18"/>
        </w:rPr>
        <w:t> </w:t>
      </w:r>
      <w:r>
        <w:rPr>
          <w:sz w:val="18"/>
        </w:rPr>
        <w:t>When</w:t>
      </w:r>
      <w:r>
        <w:rPr>
          <w:spacing w:val="-1"/>
          <w:sz w:val="18"/>
        </w:rPr>
        <w:t> </w:t>
      </w:r>
      <w:r>
        <w:rPr>
          <w:sz w:val="18"/>
        </w:rPr>
        <w:t>you return to</w:t>
      </w:r>
      <w:r>
        <w:rPr>
          <w:spacing w:val="-2"/>
          <w:sz w:val="18"/>
        </w:rPr>
        <w:t> </w:t>
      </w:r>
      <w:r>
        <w:rPr>
          <w:sz w:val="18"/>
        </w:rPr>
        <w:t>the survey</w:t>
      </w:r>
      <w:r>
        <w:rPr>
          <w:spacing w:val="-1"/>
          <w:sz w:val="18"/>
        </w:rPr>
        <w:t> </w:t>
      </w:r>
      <w:r>
        <w:rPr>
          <w:sz w:val="18"/>
        </w:rPr>
        <w:t>you</w:t>
      </w:r>
      <w:r>
        <w:rPr>
          <w:spacing w:val="-1"/>
          <w:sz w:val="18"/>
        </w:rPr>
        <w:t> </w:t>
      </w:r>
      <w:r>
        <w:rPr>
          <w:sz w:val="18"/>
        </w:rPr>
        <w:t>will</w:t>
      </w:r>
      <w:r>
        <w:rPr>
          <w:spacing w:val="-1"/>
          <w:sz w:val="18"/>
        </w:rPr>
        <w:t> </w:t>
      </w:r>
      <w:r>
        <w:rPr>
          <w:sz w:val="18"/>
        </w:rPr>
        <w:t>be taken to</w:t>
      </w:r>
      <w:r>
        <w:rPr>
          <w:spacing w:val="-2"/>
          <w:sz w:val="18"/>
        </w:rPr>
        <w:t> </w:t>
      </w:r>
      <w:r>
        <w:rPr>
          <w:sz w:val="18"/>
        </w:rPr>
        <w:t>the</w:t>
      </w:r>
      <w:r>
        <w:rPr>
          <w:spacing w:val="-2"/>
          <w:sz w:val="18"/>
        </w:rPr>
        <w:t> </w:t>
      </w:r>
      <w:r>
        <w:rPr>
          <w:sz w:val="18"/>
        </w:rPr>
        <w:t>first</w:t>
      </w:r>
      <w:r>
        <w:rPr>
          <w:spacing w:val="-2"/>
          <w:sz w:val="18"/>
        </w:rPr>
        <w:t> </w:t>
      </w:r>
      <w:r>
        <w:rPr>
          <w:sz w:val="18"/>
        </w:rPr>
        <w:t>missing</w:t>
      </w:r>
      <w:r>
        <w:rPr>
          <w:spacing w:val="-3"/>
          <w:sz w:val="18"/>
        </w:rPr>
        <w:t> </w:t>
      </w:r>
      <w:r>
        <w:rPr>
          <w:sz w:val="18"/>
        </w:rPr>
        <w:t>response.</w:t>
      </w:r>
    </w:p>
    <w:p>
      <w:pPr>
        <w:pStyle w:val="BodyText"/>
        <w:spacing w:before="3"/>
        <w:rPr>
          <w:sz w:val="16"/>
        </w:rPr>
      </w:pPr>
    </w:p>
    <w:p>
      <w:pPr>
        <w:spacing w:before="0"/>
        <w:ind w:left="1771" w:right="0" w:firstLine="0"/>
        <w:jc w:val="left"/>
        <w:rPr>
          <w:sz w:val="18"/>
        </w:rPr>
      </w:pPr>
      <w:r>
        <w:rPr/>
        <w:drawing>
          <wp:anchor distT="0" distB="0" distL="0" distR="0" allowOverlap="1" layoutInCell="1" locked="0" behindDoc="0" simplePos="0" relativeHeight="16156160">
            <wp:simplePos x="0" y="0"/>
            <wp:positionH relativeFrom="page">
              <wp:posOffset>1102145</wp:posOffset>
            </wp:positionH>
            <wp:positionV relativeFrom="paragraph">
              <wp:posOffset>44850</wp:posOffset>
            </wp:positionV>
            <wp:extent cx="58380" cy="72151"/>
            <wp:effectExtent l="0" t="0" r="0" b="0"/>
            <wp:wrapNone/>
            <wp:docPr id="2151" name="image13.png"/>
            <wp:cNvGraphicFramePr>
              <a:graphicFrameLocks noChangeAspect="1"/>
            </wp:cNvGraphicFramePr>
            <a:graphic>
              <a:graphicData uri="http://schemas.openxmlformats.org/drawingml/2006/picture">
                <pic:pic>
                  <pic:nvPicPr>
                    <pic:cNvPr id="215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Yes</w:t>
      </w:r>
      <w:r>
        <w:rPr>
          <w:spacing w:val="49"/>
          <w:sz w:val="18"/>
        </w:rPr>
        <w:t> </w:t>
      </w:r>
      <w:r>
        <w:rPr>
          <w:sz w:val="18"/>
        </w:rPr>
        <w:t>(4)</w:t>
      </w:r>
    </w:p>
    <w:p>
      <w:pPr>
        <w:pStyle w:val="BodyText"/>
      </w:pPr>
    </w:p>
    <w:p>
      <w:pPr>
        <w:pStyle w:val="BodyText"/>
        <w:spacing w:before="6"/>
        <w:rPr>
          <w:sz w:val="25"/>
        </w:rPr>
      </w:pPr>
      <w:r>
        <w:rPr/>
        <w:pict>
          <v:rect style="position:absolute;margin-left:34.560001pt;margin-top:16.825928pt;width:526.3pt;height:.48pt;mso-position-horizontal-relative:page;mso-position-vertical-relative:paragraph;z-index:-15301632;mso-wrap-distance-left:0;mso-wrap-distance-right:0" id="docshape239" filled="true" fillcolor="#d9d9d9" stroked="false">
            <v:fill type="solid"/>
            <w10:wrap type="topAndBottom"/>
          </v:rect>
        </w:pict>
      </w:r>
    </w:p>
    <w:p>
      <w:pPr>
        <w:spacing w:after="0"/>
        <w:rPr>
          <w:sz w:val="25"/>
        </w:rPr>
        <w:sectPr>
          <w:pgSz w:w="11910" w:h="16840"/>
          <w:pgMar w:header="0" w:footer="948" w:top="860" w:bottom="1140" w:left="300" w:right="0"/>
        </w:sectPr>
      </w:pPr>
    </w:p>
    <w:p>
      <w:pPr>
        <w:pStyle w:val="Heading4"/>
        <w:ind w:right="1471"/>
        <w:jc w:val="center"/>
      </w:pPr>
      <w:r>
        <w:rPr>
          <w:color w:val="808080"/>
        </w:rPr>
        <w:t>PHN</w:t>
      </w:r>
      <w:r>
        <w:rPr>
          <w:color w:val="808080"/>
          <w:spacing w:val="-2"/>
        </w:rPr>
        <w:t> </w:t>
      </w:r>
      <w:r>
        <w:rPr>
          <w:color w:val="808080"/>
        </w:rPr>
        <w:t>survey: Round</w:t>
      </w:r>
      <w:r>
        <w:rPr>
          <w:color w:val="808080"/>
          <w:spacing w:val="-1"/>
        </w:rPr>
        <w:t> </w:t>
      </w:r>
      <w:r>
        <w:rPr>
          <w:color w:val="808080"/>
        </w:rPr>
        <w:t>2 Part</w:t>
      </w:r>
      <w:r>
        <w:rPr>
          <w:color w:val="808080"/>
          <w:spacing w:val="-3"/>
        </w:rPr>
        <w:t> </w:t>
      </w:r>
      <w:r>
        <w:rPr>
          <w:color w:val="808080"/>
        </w:rPr>
        <w:t>B</w:t>
      </w:r>
    </w:p>
    <w:p>
      <w:pPr>
        <w:pStyle w:val="BodyText"/>
        <w:spacing w:before="7"/>
        <w:rPr>
          <w:rFonts w:ascii="Arial Black"/>
          <w:sz w:val="16"/>
        </w:rPr>
      </w:pPr>
      <w:r>
        <w:rPr/>
        <w:pict>
          <v:shape style="position:absolute;margin-left:36pt;margin-top:12.847813pt;width:523.85pt;height:241.45pt;mso-position-horizontal-relative:page;mso-position-vertical-relative:paragraph;z-index:-15300608;mso-wrap-distance-left:0;mso-wrap-distance-right:0" type="#_x0000_t202" id="docshape240" filled="true" fillcolor="#f1f1f1" stroked="false">
            <v:textbox inset="0,0,0,0">
              <w:txbxContent>
                <w:p>
                  <w:pPr>
                    <w:spacing w:line="276" w:lineRule="auto" w:before="76"/>
                    <w:ind w:left="148" w:right="138" w:firstLine="0"/>
                    <w:jc w:val="left"/>
                    <w:rPr>
                      <w:color w:val="000000"/>
                      <w:sz w:val="18"/>
                    </w:rPr>
                  </w:pPr>
                  <w:r>
                    <w:rPr>
                      <w:color w:val="000000"/>
                      <w:sz w:val="18"/>
                    </w:rPr>
                    <w:t>This survey includes questions about the support provided by your Primary Health Network (PHN) to practices/services</w:t>
                  </w:r>
                  <w:r>
                    <w:rPr>
                      <w:color w:val="000000"/>
                      <w:spacing w:val="-47"/>
                      <w:sz w:val="18"/>
                    </w:rPr>
                    <w:t> </w:t>
                  </w:r>
                  <w:r>
                    <w:rPr>
                      <w:color w:val="000000"/>
                      <w:sz w:val="18"/>
                    </w:rPr>
                    <w:t>participating in the Health Care Homes (HCH) Program. This is Part B of the survey, in which responses are requested</w:t>
                  </w:r>
                  <w:r>
                    <w:rPr>
                      <w:color w:val="000000"/>
                      <w:spacing w:val="1"/>
                      <w:sz w:val="18"/>
                    </w:rPr>
                    <w:t> </w:t>
                  </w:r>
                  <w:r>
                    <w:rPr>
                      <w:color w:val="000000"/>
                      <w:sz w:val="18"/>
                    </w:rPr>
                    <w:t>on</w:t>
                  </w:r>
                  <w:r>
                    <w:rPr>
                      <w:color w:val="000000"/>
                      <w:spacing w:val="-2"/>
                      <w:sz w:val="18"/>
                    </w:rPr>
                    <w:t> </w:t>
                  </w:r>
                  <w:r>
                    <w:rPr>
                      <w:color w:val="000000"/>
                      <w:sz w:val="18"/>
                    </w:rPr>
                    <w:t>practice</w:t>
                  </w:r>
                  <w:r>
                    <w:rPr>
                      <w:color w:val="000000"/>
                      <w:spacing w:val="-4"/>
                      <w:sz w:val="18"/>
                    </w:rPr>
                    <w:t> </w:t>
                  </w:r>
                  <w:r>
                    <w:rPr>
                      <w:color w:val="000000"/>
                      <w:sz w:val="18"/>
                    </w:rPr>
                    <w:t>facilitator</w:t>
                  </w:r>
                  <w:r>
                    <w:rPr>
                      <w:color w:val="000000"/>
                      <w:spacing w:val="-1"/>
                      <w:sz w:val="18"/>
                    </w:rPr>
                    <w:t> </w:t>
                  </w:r>
                  <w:r>
                    <w:rPr>
                      <w:color w:val="000000"/>
                      <w:sz w:val="18"/>
                    </w:rPr>
                    <w:t>assessments</w:t>
                  </w:r>
                  <w:r>
                    <w:rPr>
                      <w:color w:val="000000"/>
                      <w:spacing w:val="-3"/>
                      <w:sz w:val="18"/>
                    </w:rPr>
                    <w:t> </w:t>
                  </w:r>
                  <w:r>
                    <w:rPr>
                      <w:color w:val="000000"/>
                      <w:sz w:val="18"/>
                    </w:rPr>
                    <w:t>of</w:t>
                  </w:r>
                  <w:r>
                    <w:rPr>
                      <w:color w:val="000000"/>
                      <w:spacing w:val="-1"/>
                      <w:sz w:val="18"/>
                    </w:rPr>
                    <w:t> </w:t>
                  </w:r>
                  <w:r>
                    <w:rPr>
                      <w:color w:val="000000"/>
                      <w:sz w:val="18"/>
                    </w:rPr>
                    <w:t>participating</w:t>
                  </w:r>
                  <w:r>
                    <w:rPr>
                      <w:color w:val="000000"/>
                      <w:spacing w:val="-4"/>
                      <w:sz w:val="18"/>
                    </w:rPr>
                    <w:t> </w:t>
                  </w:r>
                  <w:r>
                    <w:rPr>
                      <w:color w:val="000000"/>
                      <w:sz w:val="18"/>
                    </w:rPr>
                    <w:t>HCH</w:t>
                  </w:r>
                  <w:r>
                    <w:rPr>
                      <w:color w:val="000000"/>
                      <w:spacing w:val="-2"/>
                      <w:sz w:val="18"/>
                    </w:rPr>
                    <w:t> </w:t>
                  </w:r>
                  <w:r>
                    <w:rPr>
                      <w:color w:val="000000"/>
                      <w:sz w:val="18"/>
                    </w:rPr>
                    <w:t>practices</w:t>
                  </w:r>
                  <w:r>
                    <w:rPr>
                      <w:color w:val="000000"/>
                      <w:spacing w:val="-3"/>
                      <w:sz w:val="18"/>
                    </w:rPr>
                    <w:t> </w:t>
                  </w:r>
                  <w:r>
                    <w:rPr>
                      <w:color w:val="000000"/>
                      <w:sz w:val="18"/>
                    </w:rPr>
                    <w:t>against</w:t>
                  </w:r>
                  <w:r>
                    <w:rPr>
                      <w:color w:val="000000"/>
                      <w:spacing w:val="-3"/>
                      <w:sz w:val="18"/>
                    </w:rPr>
                    <w:t> </w:t>
                  </w:r>
                  <w:r>
                    <w:rPr>
                      <w:color w:val="000000"/>
                      <w:sz w:val="18"/>
                    </w:rPr>
                    <w:t>the</w:t>
                  </w:r>
                  <w:r>
                    <w:rPr>
                      <w:color w:val="000000"/>
                      <w:spacing w:val="-2"/>
                      <w:sz w:val="18"/>
                    </w:rPr>
                    <w:t> </w:t>
                  </w:r>
                  <w:r>
                    <w:rPr>
                      <w:color w:val="000000"/>
                      <w:sz w:val="18"/>
                    </w:rPr>
                    <w:t>major</w:t>
                  </w:r>
                  <w:r>
                    <w:rPr>
                      <w:color w:val="000000"/>
                      <w:spacing w:val="-3"/>
                      <w:sz w:val="18"/>
                    </w:rPr>
                    <w:t> </w:t>
                  </w:r>
                  <w:r>
                    <w:rPr>
                      <w:color w:val="000000"/>
                      <w:sz w:val="18"/>
                    </w:rPr>
                    <w:t>dimensions</w:t>
                  </w:r>
                  <w:r>
                    <w:rPr>
                      <w:color w:val="000000"/>
                      <w:spacing w:val="-2"/>
                      <w:sz w:val="18"/>
                    </w:rPr>
                    <w:t> </w:t>
                  </w:r>
                  <w:r>
                    <w:rPr>
                      <w:color w:val="000000"/>
                      <w:sz w:val="18"/>
                    </w:rPr>
                    <w:t>of</w:t>
                  </w:r>
                  <w:r>
                    <w:rPr>
                      <w:color w:val="000000"/>
                      <w:spacing w:val="-4"/>
                      <w:sz w:val="18"/>
                    </w:rPr>
                    <w:t> </w:t>
                  </w:r>
                  <w:r>
                    <w:rPr>
                      <w:color w:val="000000"/>
                      <w:sz w:val="18"/>
                    </w:rPr>
                    <w:t>the</w:t>
                  </w:r>
                  <w:r>
                    <w:rPr>
                      <w:color w:val="000000"/>
                      <w:spacing w:val="-1"/>
                      <w:sz w:val="18"/>
                    </w:rPr>
                    <w:t> </w:t>
                  </w:r>
                  <w:r>
                    <w:rPr>
                      <w:color w:val="000000"/>
                      <w:sz w:val="18"/>
                    </w:rPr>
                    <w:t>HCH-A</w:t>
                  </w:r>
                  <w:r>
                    <w:rPr>
                      <w:color w:val="000000"/>
                      <w:spacing w:val="-10"/>
                      <w:sz w:val="18"/>
                    </w:rPr>
                    <w:t> </w:t>
                  </w:r>
                  <w:r>
                    <w:rPr>
                      <w:color w:val="000000"/>
                      <w:sz w:val="18"/>
                    </w:rPr>
                    <w:t>tool.</w:t>
                  </w:r>
                </w:p>
                <w:p>
                  <w:pPr>
                    <w:spacing w:line="276" w:lineRule="auto" w:before="0"/>
                    <w:ind w:left="148" w:right="161" w:firstLine="0"/>
                    <w:jc w:val="left"/>
                    <w:rPr>
                      <w:color w:val="000000"/>
                      <w:sz w:val="18"/>
                    </w:rPr>
                  </w:pPr>
                  <w:r>
                    <w:rPr>
                      <w:color w:val="000000"/>
                      <w:sz w:val="18"/>
                    </w:rPr>
                    <w:t>This would be typically provided by a practice facilitator or a PHN staff member who has worked closely with the</w:t>
                  </w:r>
                  <w:r>
                    <w:rPr>
                      <w:color w:val="000000"/>
                      <w:spacing w:val="1"/>
                      <w:sz w:val="18"/>
                    </w:rPr>
                    <w:t> </w:t>
                  </w:r>
                  <w:r>
                    <w:rPr>
                      <w:color w:val="000000"/>
                      <w:sz w:val="18"/>
                    </w:rPr>
                    <w:t>practice. This assessment will provide a means of triangulating the self-assessments conducted by the practices</w:t>
                  </w:r>
                  <w:r>
                    <w:rPr>
                      <w:color w:val="000000"/>
                      <w:spacing w:val="1"/>
                      <w:sz w:val="18"/>
                    </w:rPr>
                    <w:t> </w:t>
                  </w:r>
                  <w:r>
                    <w:rPr>
                      <w:color w:val="000000"/>
                      <w:sz w:val="18"/>
                    </w:rPr>
                    <w:t>themselves, using HCH-A tool.</w:t>
                  </w:r>
                  <w:r>
                    <w:rPr>
                      <w:color w:val="000000"/>
                      <w:spacing w:val="49"/>
                      <w:sz w:val="18"/>
                    </w:rPr>
                    <w:t> </w:t>
                  </w:r>
                  <w:r>
                    <w:rPr>
                      <w:color w:val="000000"/>
                      <w:sz w:val="18"/>
                    </w:rPr>
                    <w:t>A link has been provided to the survey. You may return to this link on several</w:t>
                  </w:r>
                  <w:r>
                    <w:rPr>
                      <w:color w:val="000000"/>
                      <w:spacing w:val="1"/>
                      <w:sz w:val="18"/>
                    </w:rPr>
                    <w:t> </w:t>
                  </w:r>
                  <w:r>
                    <w:rPr>
                      <w:color w:val="000000"/>
                      <w:sz w:val="18"/>
                    </w:rPr>
                    <w:t>occasions. The survey should be completed by 30 April 2018. The information you provide through this survey will be</w:t>
                  </w:r>
                  <w:r>
                    <w:rPr>
                      <w:color w:val="000000"/>
                      <w:spacing w:val="1"/>
                      <w:sz w:val="18"/>
                    </w:rPr>
                    <w:t> </w:t>
                  </w:r>
                  <w:r>
                    <w:rPr>
                      <w:color w:val="000000"/>
                      <w:sz w:val="18"/>
                    </w:rPr>
                    <w:t>kept</w:t>
                  </w:r>
                  <w:r>
                    <w:rPr>
                      <w:color w:val="000000"/>
                      <w:spacing w:val="-5"/>
                      <w:sz w:val="18"/>
                    </w:rPr>
                    <w:t> </w:t>
                  </w:r>
                  <w:r>
                    <w:rPr>
                      <w:color w:val="000000"/>
                      <w:sz w:val="18"/>
                    </w:rPr>
                    <w:t>strictly</w:t>
                  </w:r>
                  <w:r>
                    <w:rPr>
                      <w:color w:val="000000"/>
                      <w:spacing w:val="-3"/>
                      <w:sz w:val="18"/>
                    </w:rPr>
                    <w:t> </w:t>
                  </w:r>
                  <w:r>
                    <w:rPr>
                      <w:color w:val="000000"/>
                      <w:sz w:val="18"/>
                    </w:rPr>
                    <w:t>confidential</w:t>
                  </w:r>
                  <w:r>
                    <w:rPr>
                      <w:color w:val="000000"/>
                      <w:spacing w:val="-2"/>
                      <w:sz w:val="18"/>
                    </w:rPr>
                    <w:t> </w:t>
                  </w:r>
                  <w:r>
                    <w:rPr>
                      <w:color w:val="000000"/>
                      <w:sz w:val="18"/>
                    </w:rPr>
                    <w:t>and</w:t>
                  </w:r>
                  <w:r>
                    <w:rPr>
                      <w:color w:val="000000"/>
                      <w:spacing w:val="-3"/>
                      <w:sz w:val="18"/>
                    </w:rPr>
                    <w:t> </w:t>
                  </w:r>
                  <w:r>
                    <w:rPr>
                      <w:color w:val="000000"/>
                      <w:sz w:val="18"/>
                    </w:rPr>
                    <w:t>will</w:t>
                  </w:r>
                  <w:r>
                    <w:rPr>
                      <w:color w:val="000000"/>
                      <w:spacing w:val="-3"/>
                      <w:sz w:val="18"/>
                    </w:rPr>
                    <w:t> </w:t>
                  </w:r>
                  <w:r>
                    <w:rPr>
                      <w:color w:val="000000"/>
                      <w:sz w:val="18"/>
                    </w:rPr>
                    <w:t>not</w:t>
                  </w:r>
                  <w:r>
                    <w:rPr>
                      <w:color w:val="000000"/>
                      <w:spacing w:val="-4"/>
                      <w:sz w:val="18"/>
                    </w:rPr>
                    <w:t> </w:t>
                  </w:r>
                  <w:r>
                    <w:rPr>
                      <w:color w:val="000000"/>
                      <w:sz w:val="18"/>
                    </w:rPr>
                    <w:t>be</w:t>
                  </w:r>
                  <w:r>
                    <w:rPr>
                      <w:color w:val="000000"/>
                      <w:spacing w:val="-2"/>
                      <w:sz w:val="18"/>
                    </w:rPr>
                    <w:t> </w:t>
                  </w:r>
                  <w:r>
                    <w:rPr>
                      <w:color w:val="000000"/>
                      <w:sz w:val="18"/>
                    </w:rPr>
                    <w:t>used</w:t>
                  </w:r>
                  <w:r>
                    <w:rPr>
                      <w:color w:val="000000"/>
                      <w:spacing w:val="-3"/>
                      <w:sz w:val="18"/>
                    </w:rPr>
                    <w:t> </w:t>
                  </w:r>
                  <w:r>
                    <w:rPr>
                      <w:color w:val="000000"/>
                      <w:sz w:val="18"/>
                    </w:rPr>
                    <w:t>to</w:t>
                  </w:r>
                  <w:r>
                    <w:rPr>
                      <w:color w:val="000000"/>
                      <w:spacing w:val="-3"/>
                      <w:sz w:val="18"/>
                    </w:rPr>
                    <w:t> </w:t>
                  </w:r>
                  <w:r>
                    <w:rPr>
                      <w:color w:val="000000"/>
                      <w:sz w:val="18"/>
                    </w:rPr>
                    <w:t>any</w:t>
                  </w:r>
                  <w:r>
                    <w:rPr>
                      <w:color w:val="000000"/>
                      <w:spacing w:val="-4"/>
                      <w:sz w:val="18"/>
                    </w:rPr>
                    <w:t> </w:t>
                  </w:r>
                  <w:r>
                    <w:rPr>
                      <w:color w:val="000000"/>
                      <w:sz w:val="18"/>
                    </w:rPr>
                    <w:t>purpose</w:t>
                  </w:r>
                  <w:r>
                    <w:rPr>
                      <w:color w:val="000000"/>
                      <w:spacing w:val="-2"/>
                      <w:sz w:val="18"/>
                    </w:rPr>
                    <w:t> </w:t>
                  </w:r>
                  <w:r>
                    <w:rPr>
                      <w:color w:val="000000"/>
                      <w:sz w:val="18"/>
                    </w:rPr>
                    <w:t>other</w:t>
                  </w:r>
                  <w:r>
                    <w:rPr>
                      <w:color w:val="000000"/>
                      <w:spacing w:val="-2"/>
                      <w:sz w:val="18"/>
                    </w:rPr>
                    <w:t> </w:t>
                  </w:r>
                  <w:r>
                    <w:rPr>
                      <w:color w:val="000000"/>
                      <w:sz w:val="18"/>
                    </w:rPr>
                    <w:t>than</w:t>
                  </w:r>
                  <w:r>
                    <w:rPr>
                      <w:color w:val="000000"/>
                      <w:spacing w:val="-2"/>
                      <w:sz w:val="18"/>
                    </w:rPr>
                    <w:t> </w:t>
                  </w:r>
                  <w:r>
                    <w:rPr>
                      <w:color w:val="000000"/>
                      <w:sz w:val="18"/>
                    </w:rPr>
                    <w:t>the</w:t>
                  </w:r>
                  <w:r>
                    <w:rPr>
                      <w:color w:val="000000"/>
                      <w:spacing w:val="-4"/>
                      <w:sz w:val="18"/>
                    </w:rPr>
                    <w:t> </w:t>
                  </w:r>
                  <w:r>
                    <w:rPr>
                      <w:color w:val="000000"/>
                      <w:sz w:val="18"/>
                    </w:rPr>
                    <w:t>evaluation</w:t>
                  </w:r>
                  <w:r>
                    <w:rPr>
                      <w:color w:val="000000"/>
                      <w:spacing w:val="-2"/>
                      <w:sz w:val="18"/>
                    </w:rPr>
                    <w:t> </w:t>
                  </w:r>
                  <w:r>
                    <w:rPr>
                      <w:color w:val="000000"/>
                      <w:sz w:val="18"/>
                    </w:rPr>
                    <w:t>the</w:t>
                  </w:r>
                  <w:r>
                    <w:rPr>
                      <w:color w:val="000000"/>
                      <w:spacing w:val="-2"/>
                      <w:sz w:val="18"/>
                    </w:rPr>
                    <w:t> </w:t>
                  </w:r>
                  <w:r>
                    <w:rPr>
                      <w:color w:val="000000"/>
                      <w:sz w:val="18"/>
                    </w:rPr>
                    <w:t>CH</w:t>
                  </w:r>
                  <w:r>
                    <w:rPr>
                      <w:color w:val="000000"/>
                      <w:spacing w:val="-3"/>
                      <w:sz w:val="18"/>
                    </w:rPr>
                    <w:t> </w:t>
                  </w:r>
                  <w:r>
                    <w:rPr>
                      <w:color w:val="000000"/>
                      <w:sz w:val="18"/>
                    </w:rPr>
                    <w:t>program. All</w:t>
                  </w:r>
                  <w:r>
                    <w:rPr>
                      <w:color w:val="000000"/>
                      <w:spacing w:val="-2"/>
                      <w:sz w:val="18"/>
                    </w:rPr>
                    <w:t> </w:t>
                  </w:r>
                  <w:r>
                    <w:rPr>
                      <w:color w:val="000000"/>
                      <w:sz w:val="18"/>
                    </w:rPr>
                    <w:t>reports</w:t>
                  </w:r>
                  <w:r>
                    <w:rPr>
                      <w:color w:val="000000"/>
                      <w:spacing w:val="-3"/>
                      <w:sz w:val="18"/>
                    </w:rPr>
                    <w:t> </w:t>
                  </w:r>
                  <w:r>
                    <w:rPr>
                      <w:color w:val="000000"/>
                      <w:sz w:val="18"/>
                    </w:rPr>
                    <w:t>of</w:t>
                  </w:r>
                  <w:r>
                    <w:rPr>
                      <w:color w:val="000000"/>
                      <w:spacing w:val="1"/>
                      <w:sz w:val="18"/>
                    </w:rPr>
                    <w:t> </w:t>
                  </w:r>
                  <w:r>
                    <w:rPr>
                      <w:color w:val="000000"/>
                      <w:sz w:val="18"/>
                    </w:rPr>
                    <w:t>the evaluation will only contain description information and individual PHNs. Ratings or views requested through this</w:t>
                  </w:r>
                  <w:r>
                    <w:rPr>
                      <w:color w:val="000000"/>
                      <w:spacing w:val="1"/>
                      <w:sz w:val="18"/>
                    </w:rPr>
                    <w:t> </w:t>
                  </w:r>
                  <w:r>
                    <w:rPr>
                      <w:color w:val="000000"/>
                      <w:sz w:val="18"/>
                    </w:rPr>
                    <w:t>survey will not be attributed to an individual PHN. Your PHN may be identified in reports provided to the Department</w:t>
                  </w:r>
                  <w:r>
                    <w:rPr>
                      <w:color w:val="000000"/>
                      <w:spacing w:val="1"/>
                      <w:sz w:val="18"/>
                    </w:rPr>
                    <w:t> </w:t>
                  </w:r>
                  <w:r>
                    <w:rPr>
                      <w:color w:val="000000"/>
                      <w:sz w:val="18"/>
                    </w:rPr>
                    <w:t>of</w:t>
                  </w:r>
                  <w:r>
                    <w:rPr>
                      <w:color w:val="000000"/>
                      <w:spacing w:val="-1"/>
                      <w:sz w:val="18"/>
                    </w:rPr>
                    <w:t> </w:t>
                  </w:r>
                  <w:r>
                    <w:rPr>
                      <w:color w:val="000000"/>
                      <w:sz w:val="18"/>
                    </w:rPr>
                    <w:t>Health.</w:t>
                  </w:r>
                </w:p>
                <w:p>
                  <w:pPr>
                    <w:spacing w:line="276" w:lineRule="auto" w:before="119"/>
                    <w:ind w:left="148" w:right="553" w:firstLine="0"/>
                    <w:jc w:val="left"/>
                    <w:rPr>
                      <w:color w:val="000000"/>
                      <w:sz w:val="18"/>
                    </w:rPr>
                  </w:pPr>
                  <w:r>
                    <w:rPr>
                      <w:color w:val="000000"/>
                      <w:sz w:val="18"/>
                    </w:rPr>
                    <w:t>The evaluation is being conducted by Health Policy Analysis, on behalf of the Commonwealth Department of</w:t>
                  </w:r>
                  <w:r>
                    <w:rPr>
                      <w:color w:val="000000"/>
                      <w:spacing w:val="1"/>
                      <w:sz w:val="18"/>
                    </w:rPr>
                    <w:t> </w:t>
                  </w:r>
                  <w:r>
                    <w:rPr>
                      <w:color w:val="000000"/>
                      <w:sz w:val="18"/>
                    </w:rPr>
                    <w:t>Health. If you would like any further information about this survey or the evaluation, please contact Health Policy</w:t>
                  </w:r>
                  <w:r>
                    <w:rPr>
                      <w:color w:val="000000"/>
                      <w:spacing w:val="-47"/>
                      <w:sz w:val="18"/>
                    </w:rPr>
                    <w:t> </w:t>
                  </w:r>
                  <w:r>
                    <w:rPr>
                      <w:color w:val="000000"/>
                      <w:sz w:val="18"/>
                    </w:rPr>
                    <w:t>Analysis</w:t>
                  </w:r>
                  <w:r>
                    <w:rPr>
                      <w:color w:val="000000"/>
                      <w:spacing w:val="-2"/>
                      <w:sz w:val="18"/>
                    </w:rPr>
                    <w:t> </w:t>
                  </w:r>
                  <w:r>
                    <w:rPr>
                      <w:color w:val="000000"/>
                      <w:sz w:val="18"/>
                    </w:rPr>
                    <w:t>on</w:t>
                  </w:r>
                  <w:r>
                    <w:rPr>
                      <w:color w:val="000000"/>
                      <w:spacing w:val="3"/>
                      <w:sz w:val="18"/>
                    </w:rPr>
                    <w:t> </w:t>
                  </w:r>
                  <w:r>
                    <w:rPr>
                      <w:color w:val="000000"/>
                      <w:sz w:val="18"/>
                    </w:rPr>
                    <w:t>(02)</w:t>
                  </w:r>
                  <w:r>
                    <w:rPr>
                      <w:color w:val="000000"/>
                      <w:spacing w:val="-2"/>
                      <w:sz w:val="18"/>
                    </w:rPr>
                    <w:t> </w:t>
                  </w:r>
                  <w:r>
                    <w:rPr>
                      <w:color w:val="000000"/>
                      <w:sz w:val="18"/>
                    </w:rPr>
                    <w:t>8065</w:t>
                  </w:r>
                  <w:r>
                    <w:rPr>
                      <w:color w:val="000000"/>
                      <w:spacing w:val="-2"/>
                      <w:sz w:val="18"/>
                    </w:rPr>
                    <w:t> </w:t>
                  </w:r>
                  <w:r>
                    <w:rPr>
                      <w:color w:val="000000"/>
                      <w:sz w:val="18"/>
                    </w:rPr>
                    <w:t>6491 or</w:t>
                  </w:r>
                  <w:r>
                    <w:rPr>
                      <w:color w:val="000000"/>
                      <w:spacing w:val="-2"/>
                      <w:sz w:val="18"/>
                    </w:rPr>
                    <w:t> </w:t>
                  </w:r>
                  <w:hyperlink r:id="rId38">
                    <w:r>
                      <w:rPr>
                        <w:color w:val="000000"/>
                        <w:sz w:val="18"/>
                      </w:rPr>
                      <w:t>info@healthpolicy.com.au.</w:t>
                    </w:r>
                  </w:hyperlink>
                </w:p>
                <w:p>
                  <w:pPr>
                    <w:spacing w:line="276" w:lineRule="auto" w:before="122"/>
                    <w:ind w:left="148" w:right="321" w:firstLine="0"/>
                    <w:jc w:val="both"/>
                    <w:rPr>
                      <w:color w:val="000000"/>
                      <w:sz w:val="18"/>
                    </w:rPr>
                  </w:pPr>
                  <w:r>
                    <w:rPr>
                      <w:color w:val="000000"/>
                      <w:sz w:val="18"/>
                    </w:rPr>
                    <w:t>The HCH evaluation has been approved by the Department of Health Human Research Ethics Committee (Project</w:t>
                  </w:r>
                  <w:r>
                    <w:rPr>
                      <w:color w:val="000000"/>
                      <w:spacing w:val="1"/>
                      <w:sz w:val="18"/>
                    </w:rPr>
                    <w:t> </w:t>
                  </w:r>
                  <w:r>
                    <w:rPr>
                      <w:color w:val="000000"/>
                      <w:sz w:val="18"/>
                    </w:rPr>
                    <w:t>04-2017 – Health Care Homes Program, Part A: National Evaluation). If you have any concerns or complaints on the</w:t>
                  </w:r>
                  <w:r>
                    <w:rPr>
                      <w:color w:val="000000"/>
                      <w:spacing w:val="-47"/>
                      <w:sz w:val="18"/>
                    </w:rPr>
                    <w:t> </w:t>
                  </w:r>
                  <w:r>
                    <w:rPr>
                      <w:color w:val="000000"/>
                      <w:sz w:val="18"/>
                    </w:rPr>
                    <w:t>ethical</w:t>
                  </w:r>
                  <w:r>
                    <w:rPr>
                      <w:color w:val="000000"/>
                      <w:spacing w:val="-3"/>
                      <w:sz w:val="18"/>
                    </w:rPr>
                    <w:t> </w:t>
                  </w:r>
                  <w:r>
                    <w:rPr>
                      <w:color w:val="000000"/>
                      <w:sz w:val="18"/>
                    </w:rPr>
                    <w:t>conduct</w:t>
                  </w:r>
                  <w:r>
                    <w:rPr>
                      <w:color w:val="000000"/>
                      <w:spacing w:val="-4"/>
                      <w:sz w:val="18"/>
                    </w:rPr>
                    <w:t> </w:t>
                  </w:r>
                  <w:r>
                    <w:rPr>
                      <w:color w:val="000000"/>
                      <w:sz w:val="18"/>
                    </w:rPr>
                    <w:t>of</w:t>
                  </w:r>
                  <w:r>
                    <w:rPr>
                      <w:color w:val="000000"/>
                      <w:spacing w:val="-1"/>
                      <w:sz w:val="18"/>
                    </w:rPr>
                    <w:t> </w:t>
                  </w:r>
                  <w:r>
                    <w:rPr>
                      <w:color w:val="000000"/>
                      <w:sz w:val="18"/>
                    </w:rPr>
                    <w:t>this</w:t>
                  </w:r>
                  <w:r>
                    <w:rPr>
                      <w:color w:val="000000"/>
                      <w:spacing w:val="-3"/>
                      <w:sz w:val="18"/>
                    </w:rPr>
                    <w:t> </w:t>
                  </w:r>
                  <w:r>
                    <w:rPr>
                      <w:color w:val="000000"/>
                      <w:sz w:val="18"/>
                    </w:rPr>
                    <w:t>research,</w:t>
                  </w:r>
                  <w:r>
                    <w:rPr>
                      <w:color w:val="000000"/>
                      <w:spacing w:val="-5"/>
                      <w:sz w:val="18"/>
                    </w:rPr>
                    <w:t> </w:t>
                  </w:r>
                  <w:r>
                    <w:rPr>
                      <w:color w:val="000000"/>
                      <w:sz w:val="18"/>
                    </w:rPr>
                    <w:t>please</w:t>
                  </w:r>
                  <w:r>
                    <w:rPr>
                      <w:color w:val="000000"/>
                      <w:spacing w:val="-2"/>
                      <w:sz w:val="18"/>
                    </w:rPr>
                    <w:t> </w:t>
                  </w:r>
                  <w:r>
                    <w:rPr>
                      <w:color w:val="000000"/>
                      <w:sz w:val="18"/>
                    </w:rPr>
                    <w:t>contact</w:t>
                  </w:r>
                  <w:r>
                    <w:rPr>
                      <w:color w:val="000000"/>
                      <w:spacing w:val="-4"/>
                      <w:sz w:val="18"/>
                    </w:rPr>
                    <w:t> </w:t>
                  </w:r>
                  <w:r>
                    <w:rPr>
                      <w:color w:val="000000"/>
                      <w:sz w:val="18"/>
                    </w:rPr>
                    <w:t>the</w:t>
                  </w:r>
                  <w:r>
                    <w:rPr>
                      <w:color w:val="000000"/>
                      <w:spacing w:val="-2"/>
                      <w:sz w:val="18"/>
                    </w:rPr>
                    <w:t> </w:t>
                  </w:r>
                  <w:r>
                    <w:rPr>
                      <w:color w:val="000000"/>
                      <w:sz w:val="18"/>
                    </w:rPr>
                    <w:t>Committee</w:t>
                  </w:r>
                  <w:r>
                    <w:rPr>
                      <w:color w:val="000000"/>
                      <w:spacing w:val="-2"/>
                      <w:sz w:val="18"/>
                    </w:rPr>
                    <w:t> </w:t>
                  </w:r>
                  <w:r>
                    <w:rPr>
                      <w:color w:val="000000"/>
                      <w:sz w:val="18"/>
                    </w:rPr>
                    <w:t>Secretariat</w:t>
                  </w:r>
                  <w:r>
                    <w:rPr>
                      <w:color w:val="000000"/>
                      <w:spacing w:val="-5"/>
                      <w:sz w:val="18"/>
                    </w:rPr>
                    <w:t> </w:t>
                  </w:r>
                  <w:r>
                    <w:rPr>
                      <w:color w:val="000000"/>
                      <w:sz w:val="18"/>
                    </w:rPr>
                    <w:t>by</w:t>
                  </w:r>
                  <w:r>
                    <w:rPr>
                      <w:color w:val="000000"/>
                      <w:spacing w:val="-3"/>
                      <w:sz w:val="18"/>
                    </w:rPr>
                    <w:t> </w:t>
                  </w:r>
                  <w:r>
                    <w:rPr>
                      <w:color w:val="000000"/>
                      <w:sz w:val="18"/>
                    </w:rPr>
                    <w:t>email</w:t>
                  </w:r>
                  <w:r>
                    <w:rPr>
                      <w:color w:val="000000"/>
                      <w:spacing w:val="-2"/>
                      <w:sz w:val="18"/>
                    </w:rPr>
                    <w:t> </w:t>
                  </w:r>
                  <w:r>
                    <w:rPr>
                      <w:color w:val="000000"/>
                      <w:sz w:val="18"/>
                    </w:rPr>
                    <w:t>at</w:t>
                  </w:r>
                  <w:r>
                    <w:rPr>
                      <w:color w:val="000000"/>
                      <w:spacing w:val="-4"/>
                      <w:sz w:val="18"/>
                    </w:rPr>
                    <w:t> </w:t>
                  </w:r>
                  <w:hyperlink r:id="rId39">
                    <w:r>
                      <w:rPr>
                        <w:color w:val="000000"/>
                        <w:sz w:val="18"/>
                      </w:rPr>
                      <w:t>ethics@health.gov.au.</w:t>
                    </w:r>
                  </w:hyperlink>
                </w:p>
              </w:txbxContent>
            </v:textbox>
            <v:fill type="solid"/>
            <w10:wrap type="topAndBottom"/>
          </v:shape>
        </w:pict>
      </w:r>
    </w:p>
    <w:p>
      <w:pPr>
        <w:pStyle w:val="ListParagraph"/>
        <w:numPr>
          <w:ilvl w:val="0"/>
          <w:numId w:val="107"/>
        </w:numPr>
        <w:tabs>
          <w:tab w:pos="619" w:val="left" w:leader="none"/>
        </w:tabs>
        <w:spacing w:line="240" w:lineRule="auto" w:before="134" w:after="0"/>
        <w:ind w:left="618" w:right="0" w:hanging="199"/>
        <w:jc w:val="left"/>
        <w:rPr>
          <w:sz w:val="18"/>
        </w:rPr>
      </w:pPr>
      <w:r>
        <w:rPr>
          <w:sz w:val="18"/>
        </w:rPr>
        <w:t>PHN</w:t>
      </w:r>
      <w:r>
        <w:rPr>
          <w:spacing w:val="-4"/>
          <w:sz w:val="18"/>
        </w:rPr>
        <w:t> </w:t>
      </w:r>
      <w:r>
        <w:rPr>
          <w:sz w:val="18"/>
        </w:rPr>
        <w:t>name</w:t>
      </w:r>
    </w:p>
    <w:p>
      <w:pPr>
        <w:pStyle w:val="BodyText"/>
      </w:pPr>
    </w:p>
    <w:p>
      <w:pPr>
        <w:pStyle w:val="BodyText"/>
        <w:spacing w:before="3"/>
        <w:rPr>
          <w:sz w:val="13"/>
        </w:rPr>
      </w:pPr>
      <w:r>
        <w:rPr/>
        <w:pict>
          <v:shape style="position:absolute;margin-left:56.040001pt;margin-top:9.334585pt;width:287.9pt;height:.1pt;mso-position-horizontal-relative:page;mso-position-vertical-relative:paragraph;z-index:-15300096;mso-wrap-distance-left:0;mso-wrap-distance-right:0" id="docshape241" coordorigin="1121,187" coordsize="5758,0" path="m1121,187l6879,187e" filled="false" stroked="true" strokeweight=".45pt" strokecolor="#bdbdbd">
            <v:path arrowok="t"/>
            <v:stroke dashstyle="solid"/>
            <w10:wrap type="topAndBottom"/>
          </v:shape>
        </w:pict>
      </w:r>
    </w:p>
    <w:p>
      <w:pPr>
        <w:pStyle w:val="BodyText"/>
        <w:spacing w:before="2"/>
        <w:rPr>
          <w:sz w:val="12"/>
        </w:rPr>
      </w:pPr>
    </w:p>
    <w:p>
      <w:pPr>
        <w:spacing w:before="101"/>
        <w:ind w:left="420" w:right="0" w:firstLine="0"/>
        <w:jc w:val="left"/>
        <w:rPr>
          <w:b/>
          <w:sz w:val="18"/>
        </w:rPr>
      </w:pPr>
      <w:r>
        <w:rPr>
          <w:b/>
          <w:sz w:val="18"/>
        </w:rPr>
        <w:t>Practice</w:t>
      </w:r>
      <w:r>
        <w:rPr>
          <w:b/>
          <w:spacing w:val="-4"/>
          <w:sz w:val="18"/>
        </w:rPr>
        <w:t> </w:t>
      </w:r>
      <w:r>
        <w:rPr>
          <w:b/>
          <w:sz w:val="18"/>
        </w:rPr>
        <w:t>facilitator</w:t>
      </w:r>
      <w:r>
        <w:rPr>
          <w:b/>
          <w:spacing w:val="-2"/>
          <w:sz w:val="18"/>
        </w:rPr>
        <w:t> </w:t>
      </w:r>
      <w:r>
        <w:rPr>
          <w:b/>
          <w:sz w:val="18"/>
        </w:rPr>
        <w:t>assessments</w:t>
      </w:r>
      <w:r>
        <w:rPr>
          <w:b/>
          <w:spacing w:val="-4"/>
          <w:sz w:val="18"/>
        </w:rPr>
        <w:t> </w:t>
      </w:r>
      <w:r>
        <w:rPr>
          <w:b/>
          <w:sz w:val="18"/>
        </w:rPr>
        <w:t>of</w:t>
      </w:r>
      <w:r>
        <w:rPr>
          <w:b/>
          <w:spacing w:val="-4"/>
          <w:sz w:val="18"/>
        </w:rPr>
        <w:t> </w:t>
      </w:r>
      <w:r>
        <w:rPr>
          <w:b/>
          <w:sz w:val="18"/>
        </w:rPr>
        <w:t>practices</w:t>
      </w:r>
    </w:p>
    <w:p>
      <w:pPr>
        <w:pStyle w:val="BodyText"/>
        <w:spacing w:before="6"/>
        <w:rPr>
          <w:b/>
          <w:sz w:val="23"/>
        </w:rPr>
      </w:pPr>
    </w:p>
    <w:p>
      <w:pPr>
        <w:spacing w:line="276" w:lineRule="auto" w:before="0"/>
        <w:ind w:left="420" w:right="798" w:firstLine="0"/>
        <w:jc w:val="left"/>
        <w:rPr>
          <w:sz w:val="18"/>
        </w:rPr>
      </w:pPr>
      <w:r>
        <w:rPr>
          <w:sz w:val="18"/>
        </w:rPr>
        <w:t>The following question requests an assessment, by practice facilitators, of each HCH practice against the high-level</w:t>
      </w:r>
      <w:r>
        <w:rPr>
          <w:spacing w:val="1"/>
          <w:sz w:val="18"/>
        </w:rPr>
        <w:t> </w:t>
      </w:r>
      <w:r>
        <w:rPr>
          <w:sz w:val="18"/>
        </w:rPr>
        <w:t>dimensions of the HCH-A tool.</w:t>
      </w:r>
      <w:r>
        <w:rPr>
          <w:spacing w:val="1"/>
          <w:sz w:val="18"/>
        </w:rPr>
        <w:t> </w:t>
      </w:r>
      <w:r>
        <w:rPr>
          <w:sz w:val="18"/>
        </w:rPr>
        <w:t>The reported scores should reflect the practice facilitator's assessment of the practice at</w:t>
      </w:r>
      <w:r>
        <w:rPr>
          <w:spacing w:val="-47"/>
          <w:sz w:val="18"/>
        </w:rPr>
        <w:t> </w:t>
      </w:r>
      <w:r>
        <w:rPr>
          <w:sz w:val="18"/>
        </w:rPr>
        <w:t>the commencement of the HCH program within the practice.</w:t>
      </w:r>
      <w:r>
        <w:rPr>
          <w:spacing w:val="1"/>
          <w:sz w:val="18"/>
        </w:rPr>
        <w:t> </w:t>
      </w:r>
      <w:r>
        <w:rPr>
          <w:sz w:val="18"/>
        </w:rPr>
        <w:t>This will allow the practice self-assessment scores to be</w:t>
      </w:r>
      <w:r>
        <w:rPr>
          <w:spacing w:val="1"/>
          <w:sz w:val="18"/>
        </w:rPr>
        <w:t> </w:t>
      </w:r>
      <w:r>
        <w:rPr>
          <w:sz w:val="18"/>
        </w:rPr>
        <w:t>triangulated</w:t>
      </w:r>
      <w:r>
        <w:rPr>
          <w:spacing w:val="-2"/>
          <w:sz w:val="18"/>
        </w:rPr>
        <w:t> </w:t>
      </w:r>
      <w:r>
        <w:rPr>
          <w:sz w:val="18"/>
        </w:rPr>
        <w:t>and</w:t>
      </w:r>
      <w:r>
        <w:rPr>
          <w:spacing w:val="-1"/>
          <w:sz w:val="18"/>
        </w:rPr>
        <w:t> </w:t>
      </w:r>
      <w:r>
        <w:rPr>
          <w:sz w:val="18"/>
        </w:rPr>
        <w:t>moderated.</w:t>
      </w:r>
    </w:p>
    <w:p>
      <w:pPr>
        <w:pStyle w:val="BodyText"/>
        <w:spacing w:before="3"/>
        <w:rPr>
          <w:sz w:val="16"/>
        </w:rPr>
      </w:pPr>
    </w:p>
    <w:p>
      <w:pPr>
        <w:pStyle w:val="ListParagraph"/>
        <w:numPr>
          <w:ilvl w:val="0"/>
          <w:numId w:val="107"/>
        </w:numPr>
        <w:tabs>
          <w:tab w:pos="670" w:val="left" w:leader="none"/>
        </w:tabs>
        <w:spacing w:line="240" w:lineRule="auto" w:before="0" w:after="0"/>
        <w:ind w:left="669" w:right="0" w:hanging="250"/>
        <w:jc w:val="left"/>
        <w:rPr>
          <w:sz w:val="18"/>
        </w:rPr>
      </w:pPr>
      <w:r>
        <w:rPr>
          <w:sz w:val="18"/>
        </w:rPr>
        <w:t>Practice</w:t>
      </w:r>
      <w:r>
        <w:rPr>
          <w:spacing w:val="-5"/>
          <w:sz w:val="18"/>
        </w:rPr>
        <w:t> </w:t>
      </w:r>
      <w:r>
        <w:rPr>
          <w:sz w:val="18"/>
        </w:rPr>
        <w:t>facilitator</w:t>
      </w:r>
      <w:r>
        <w:rPr>
          <w:spacing w:val="-2"/>
          <w:sz w:val="18"/>
        </w:rPr>
        <w:t> </w:t>
      </w:r>
      <w:r>
        <w:rPr>
          <w:sz w:val="18"/>
        </w:rPr>
        <w:t>assessments</w:t>
      </w:r>
      <w:r>
        <w:rPr>
          <w:spacing w:val="-3"/>
          <w:sz w:val="18"/>
        </w:rPr>
        <w:t> </w:t>
      </w:r>
      <w:r>
        <w:rPr>
          <w:sz w:val="18"/>
        </w:rPr>
        <w:t>of</w:t>
      </w:r>
      <w:r>
        <w:rPr>
          <w:spacing w:val="-2"/>
          <w:sz w:val="18"/>
        </w:rPr>
        <w:t> </w:t>
      </w:r>
      <w:r>
        <w:rPr>
          <w:sz w:val="18"/>
        </w:rPr>
        <w:t>practices</w:t>
      </w:r>
      <w:r>
        <w:rPr>
          <w:spacing w:val="-3"/>
          <w:sz w:val="18"/>
        </w:rPr>
        <w:t> </w:t>
      </w:r>
      <w:r>
        <w:rPr>
          <w:sz w:val="18"/>
        </w:rPr>
        <w:t>on</w:t>
      </w:r>
      <w:r>
        <w:rPr>
          <w:spacing w:val="-5"/>
          <w:sz w:val="18"/>
        </w:rPr>
        <w:t> </w:t>
      </w:r>
      <w:r>
        <w:rPr>
          <w:sz w:val="18"/>
        </w:rPr>
        <w:t>the</w:t>
      </w:r>
      <w:r>
        <w:rPr>
          <w:spacing w:val="-2"/>
          <w:sz w:val="18"/>
        </w:rPr>
        <w:t> </w:t>
      </w:r>
      <w:r>
        <w:rPr>
          <w:sz w:val="18"/>
        </w:rPr>
        <w:t>HCH-A</w:t>
      </w:r>
      <w:r>
        <w:rPr>
          <w:spacing w:val="-8"/>
          <w:sz w:val="18"/>
        </w:rPr>
        <w:t> </w:t>
      </w:r>
      <w:r>
        <w:rPr>
          <w:sz w:val="18"/>
        </w:rPr>
        <w:t>dimensions,</w:t>
      </w:r>
      <w:r>
        <w:rPr>
          <w:spacing w:val="-4"/>
          <w:sz w:val="18"/>
        </w:rPr>
        <w:t> </w:t>
      </w:r>
      <w:r>
        <w:rPr>
          <w:sz w:val="18"/>
        </w:rPr>
        <w:t>at</w:t>
      </w:r>
      <w:r>
        <w:rPr>
          <w:spacing w:val="-1"/>
          <w:sz w:val="18"/>
        </w:rPr>
        <w:t> </w:t>
      </w:r>
      <w:r>
        <w:rPr>
          <w:sz w:val="18"/>
        </w:rPr>
        <w:t>commencement</w:t>
      </w:r>
      <w:r>
        <w:rPr>
          <w:spacing w:val="-4"/>
          <w:sz w:val="18"/>
        </w:rPr>
        <w:t> </w:t>
      </w:r>
      <w:r>
        <w:rPr>
          <w:sz w:val="18"/>
        </w:rPr>
        <w:t>of</w:t>
      </w:r>
      <w:r>
        <w:rPr>
          <w:spacing w:val="-1"/>
          <w:sz w:val="18"/>
        </w:rPr>
        <w:t> </w:t>
      </w:r>
      <w:r>
        <w:rPr>
          <w:sz w:val="18"/>
        </w:rPr>
        <w:t>the</w:t>
      </w:r>
      <w:r>
        <w:rPr>
          <w:spacing w:val="-3"/>
          <w:sz w:val="18"/>
        </w:rPr>
        <w:t> </w:t>
      </w:r>
      <w:r>
        <w:rPr>
          <w:sz w:val="18"/>
        </w:rPr>
        <w:t>HCH</w:t>
      </w:r>
      <w:r>
        <w:rPr>
          <w:spacing w:val="-3"/>
          <w:sz w:val="18"/>
        </w:rPr>
        <w:t> </w:t>
      </w:r>
      <w:r>
        <w:rPr>
          <w:sz w:val="18"/>
        </w:rPr>
        <w:t>program?</w:t>
      </w:r>
    </w:p>
    <w:p>
      <w:pPr>
        <w:pStyle w:val="BodyText"/>
        <w:spacing w:before="1"/>
        <w:rPr>
          <w:sz w:val="19"/>
        </w:rPr>
      </w:pPr>
    </w:p>
    <w:tbl>
      <w:tblPr>
        <w:tblW w:w="0" w:type="auto"/>
        <w:jc w:val="left"/>
        <w:tblInd w:w="43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463"/>
        <w:gridCol w:w="1104"/>
        <w:gridCol w:w="847"/>
        <w:gridCol w:w="836"/>
        <w:gridCol w:w="1020"/>
        <w:gridCol w:w="886"/>
        <w:gridCol w:w="841"/>
        <w:gridCol w:w="752"/>
        <w:gridCol w:w="961"/>
        <w:gridCol w:w="1053"/>
        <w:gridCol w:w="896"/>
        <w:gridCol w:w="805"/>
      </w:tblGrid>
      <w:tr>
        <w:trPr>
          <w:trHeight w:val="618" w:hRule="atLeast"/>
        </w:trPr>
        <w:tc>
          <w:tcPr>
            <w:tcW w:w="463" w:type="dxa"/>
            <w:vMerge w:val="restart"/>
            <w:tcBorders>
              <w:bottom w:val="single" w:sz="6" w:space="0" w:color="BEBEBE"/>
              <w:right w:val="single" w:sz="6" w:space="0" w:color="BEBEBE"/>
            </w:tcBorders>
            <w:shd w:val="clear" w:color="auto" w:fill="F1F1F1"/>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75"/>
              <w:ind w:left="8"/>
              <w:jc w:val="center"/>
              <w:rPr>
                <w:sz w:val="16"/>
              </w:rPr>
            </w:pPr>
            <w:r>
              <w:rPr>
                <w:w w:val="100"/>
                <w:sz w:val="16"/>
              </w:rPr>
              <w:t>#</w:t>
            </w:r>
          </w:p>
        </w:tc>
        <w:tc>
          <w:tcPr>
            <w:tcW w:w="1104" w:type="dxa"/>
            <w:vMerge w:val="restart"/>
            <w:tcBorders>
              <w:left w:val="single" w:sz="6" w:space="0" w:color="BEBEBE"/>
              <w:bottom w:val="single" w:sz="6" w:space="0" w:color="BEBEBE"/>
              <w:right w:val="single" w:sz="6" w:space="0" w:color="BEBEBE"/>
            </w:tcBorders>
            <w:shd w:val="clear" w:color="auto" w:fill="F1F1F1"/>
          </w:tcPr>
          <w:p>
            <w:pPr>
              <w:pStyle w:val="TableParagraph"/>
              <w:rPr>
                <w:sz w:val="20"/>
              </w:rPr>
            </w:pPr>
          </w:p>
          <w:p>
            <w:pPr>
              <w:pStyle w:val="TableParagraph"/>
              <w:rPr>
                <w:sz w:val="20"/>
              </w:rPr>
            </w:pPr>
          </w:p>
          <w:p>
            <w:pPr>
              <w:pStyle w:val="TableParagraph"/>
              <w:rPr>
                <w:sz w:val="20"/>
              </w:rPr>
            </w:pPr>
          </w:p>
          <w:p>
            <w:pPr>
              <w:pStyle w:val="TableParagraph"/>
              <w:spacing w:before="5"/>
              <w:rPr>
                <w:sz w:val="18"/>
              </w:rPr>
            </w:pPr>
          </w:p>
          <w:p>
            <w:pPr>
              <w:pStyle w:val="TableParagraph"/>
              <w:ind w:left="225" w:right="209"/>
              <w:jc w:val="center"/>
              <w:rPr>
                <w:sz w:val="16"/>
              </w:rPr>
            </w:pPr>
            <w:r>
              <w:rPr>
                <w:sz w:val="16"/>
              </w:rPr>
              <w:t>Practice</w:t>
            </w:r>
            <w:r>
              <w:rPr>
                <w:spacing w:val="-42"/>
                <w:sz w:val="16"/>
              </w:rPr>
              <w:t> </w:t>
            </w:r>
            <w:r>
              <w:rPr>
                <w:sz w:val="16"/>
              </w:rPr>
              <w:t>name</w:t>
            </w:r>
            <w:r>
              <w:rPr>
                <w:spacing w:val="1"/>
                <w:sz w:val="16"/>
              </w:rPr>
              <w:t> </w:t>
            </w:r>
            <w:r>
              <w:rPr>
                <w:sz w:val="16"/>
              </w:rPr>
              <w:t>(1)</w:t>
            </w:r>
          </w:p>
        </w:tc>
        <w:tc>
          <w:tcPr>
            <w:tcW w:w="8897" w:type="dxa"/>
            <w:gridSpan w:val="10"/>
            <w:tcBorders>
              <w:left w:val="single" w:sz="6" w:space="0" w:color="BEBEBE"/>
              <w:bottom w:val="single" w:sz="6" w:space="0" w:color="BEBEBE"/>
            </w:tcBorders>
            <w:shd w:val="clear" w:color="auto" w:fill="F1F1F1"/>
          </w:tcPr>
          <w:p>
            <w:pPr>
              <w:pStyle w:val="TableParagraph"/>
              <w:spacing w:before="112"/>
              <w:ind w:left="4174" w:right="255" w:hanging="3904"/>
              <w:rPr>
                <w:sz w:val="16"/>
              </w:rPr>
            </w:pPr>
            <w:r>
              <w:rPr>
                <w:sz w:val="16"/>
              </w:rPr>
              <w:t>Practice facilitator assessment of practice on high level dimensions of HCH-A: Please enter value between 1</w:t>
            </w:r>
            <w:r>
              <w:rPr>
                <w:spacing w:val="-42"/>
                <w:sz w:val="16"/>
              </w:rPr>
              <w:t> </w:t>
            </w:r>
            <w:r>
              <w:rPr>
                <w:sz w:val="16"/>
              </w:rPr>
              <w:t>and</w:t>
            </w:r>
            <w:r>
              <w:rPr>
                <w:spacing w:val="-1"/>
                <w:sz w:val="16"/>
              </w:rPr>
              <w:t> </w:t>
            </w:r>
            <w:r>
              <w:rPr>
                <w:sz w:val="16"/>
              </w:rPr>
              <w:t>12</w:t>
            </w:r>
          </w:p>
        </w:tc>
      </w:tr>
      <w:tr>
        <w:trPr>
          <w:trHeight w:val="1879" w:hRule="atLeast"/>
        </w:trPr>
        <w:tc>
          <w:tcPr>
            <w:tcW w:w="463" w:type="dxa"/>
            <w:vMerge/>
            <w:tcBorders>
              <w:top w:val="nil"/>
              <w:bottom w:val="single" w:sz="6" w:space="0" w:color="BEBEBE"/>
              <w:right w:val="single" w:sz="6" w:space="0" w:color="BEBEBE"/>
            </w:tcBorders>
            <w:shd w:val="clear" w:color="auto" w:fill="F1F1F1"/>
          </w:tcPr>
          <w:p>
            <w:pPr>
              <w:rPr>
                <w:sz w:val="2"/>
                <w:szCs w:val="2"/>
              </w:rPr>
            </w:pPr>
          </w:p>
        </w:tc>
        <w:tc>
          <w:tcPr>
            <w:tcW w:w="1104" w:type="dxa"/>
            <w:vMerge/>
            <w:tcBorders>
              <w:top w:val="nil"/>
              <w:left w:val="single" w:sz="6" w:space="0" w:color="BEBEBE"/>
              <w:bottom w:val="single" w:sz="6" w:space="0" w:color="BEBEBE"/>
              <w:right w:val="single" w:sz="6" w:space="0" w:color="BEBEBE"/>
            </w:tcBorders>
            <w:shd w:val="clear" w:color="auto" w:fill="F1F1F1"/>
          </w:tcPr>
          <w:p>
            <w:pPr>
              <w:rPr>
                <w:sz w:val="2"/>
                <w:szCs w:val="2"/>
              </w:rPr>
            </w:pPr>
          </w:p>
        </w:tc>
        <w:tc>
          <w:tcPr>
            <w:tcW w:w="847" w:type="dxa"/>
            <w:tcBorders>
              <w:top w:val="single" w:sz="6" w:space="0" w:color="BEBEBE"/>
              <w:left w:val="single" w:sz="6" w:space="0" w:color="BEBEBE"/>
              <w:bottom w:val="single" w:sz="6" w:space="0" w:color="BEBEBE"/>
              <w:right w:val="single" w:sz="6" w:space="0" w:color="BEBEBE"/>
            </w:tcBorders>
            <w:shd w:val="clear" w:color="auto" w:fill="F1F1F1"/>
            <w:textDirection w:val="btLr"/>
          </w:tcPr>
          <w:p>
            <w:pPr>
              <w:pStyle w:val="TableParagraph"/>
              <w:spacing w:before="2"/>
              <w:rPr>
                <w:sz w:val="18"/>
              </w:rPr>
            </w:pPr>
          </w:p>
          <w:p>
            <w:pPr>
              <w:pStyle w:val="TableParagraph"/>
              <w:spacing w:line="244" w:lineRule="auto"/>
              <w:ind w:left="407" w:right="408" w:firstLine="168"/>
              <w:rPr>
                <w:sz w:val="16"/>
              </w:rPr>
            </w:pPr>
            <w:r>
              <w:rPr>
                <w:sz w:val="16"/>
              </w:rPr>
              <w:t>Engaged</w:t>
            </w:r>
            <w:r>
              <w:rPr>
                <w:spacing w:val="1"/>
                <w:sz w:val="16"/>
              </w:rPr>
              <w:t> </w:t>
            </w:r>
            <w:r>
              <w:rPr>
                <w:spacing w:val="-1"/>
                <w:sz w:val="16"/>
              </w:rPr>
              <w:t>leadership</w:t>
            </w:r>
            <w:r>
              <w:rPr>
                <w:spacing w:val="-5"/>
                <w:sz w:val="16"/>
              </w:rPr>
              <w:t> </w:t>
            </w:r>
            <w:r>
              <w:rPr>
                <w:sz w:val="16"/>
              </w:rPr>
              <w:t>(1)</w:t>
            </w:r>
          </w:p>
        </w:tc>
        <w:tc>
          <w:tcPr>
            <w:tcW w:w="836" w:type="dxa"/>
            <w:tcBorders>
              <w:top w:val="single" w:sz="6" w:space="0" w:color="BEBEBE"/>
              <w:left w:val="single" w:sz="6" w:space="0" w:color="BEBEBE"/>
              <w:bottom w:val="single" w:sz="6" w:space="0" w:color="BEBEBE"/>
              <w:right w:val="single" w:sz="6" w:space="0" w:color="BEBEBE"/>
            </w:tcBorders>
            <w:shd w:val="clear" w:color="auto" w:fill="F1F1F1"/>
            <w:textDirection w:val="btLr"/>
          </w:tcPr>
          <w:p>
            <w:pPr>
              <w:pStyle w:val="TableParagraph"/>
              <w:spacing w:before="7"/>
              <w:rPr>
                <w:sz w:val="17"/>
              </w:rPr>
            </w:pPr>
          </w:p>
          <w:p>
            <w:pPr>
              <w:pStyle w:val="TableParagraph"/>
              <w:spacing w:line="247" w:lineRule="auto" w:before="1"/>
              <w:ind w:left="835" w:right="232" w:hanging="591"/>
              <w:rPr>
                <w:sz w:val="16"/>
              </w:rPr>
            </w:pPr>
            <w:r>
              <w:rPr>
                <w:sz w:val="16"/>
              </w:rPr>
              <w:t>Patient enrolment</w:t>
            </w:r>
            <w:r>
              <w:rPr>
                <w:spacing w:val="-42"/>
                <w:sz w:val="16"/>
              </w:rPr>
              <w:t> </w:t>
            </w:r>
            <w:r>
              <w:rPr>
                <w:sz w:val="16"/>
              </w:rPr>
              <w:t>(2)</w:t>
            </w:r>
          </w:p>
        </w:tc>
        <w:tc>
          <w:tcPr>
            <w:tcW w:w="1020" w:type="dxa"/>
            <w:tcBorders>
              <w:top w:val="single" w:sz="6" w:space="0" w:color="BEBEBE"/>
              <w:left w:val="single" w:sz="6" w:space="0" w:color="BEBEBE"/>
              <w:bottom w:val="single" w:sz="6" w:space="0" w:color="BEBEBE"/>
              <w:right w:val="single" w:sz="6" w:space="0" w:color="BEBEBE"/>
            </w:tcBorders>
            <w:shd w:val="clear" w:color="auto" w:fill="F1F1F1"/>
            <w:textDirection w:val="btLr"/>
          </w:tcPr>
          <w:p>
            <w:pPr>
              <w:pStyle w:val="TableParagraph"/>
              <w:rPr>
                <w:sz w:val="17"/>
              </w:rPr>
            </w:pPr>
          </w:p>
          <w:p>
            <w:pPr>
              <w:pStyle w:val="TableParagraph"/>
              <w:spacing w:line="244" w:lineRule="auto"/>
              <w:ind w:left="414" w:right="419" w:firstLine="2"/>
              <w:jc w:val="center"/>
              <w:rPr>
                <w:sz w:val="16"/>
              </w:rPr>
            </w:pPr>
            <w:r>
              <w:rPr>
                <w:sz w:val="16"/>
              </w:rPr>
              <w:t>Quality</w:t>
            </w:r>
            <w:r>
              <w:rPr>
                <w:spacing w:val="1"/>
                <w:sz w:val="16"/>
              </w:rPr>
              <w:t> </w:t>
            </w:r>
            <w:r>
              <w:rPr>
                <w:sz w:val="16"/>
              </w:rPr>
              <w:t>improvement</w:t>
            </w:r>
            <w:r>
              <w:rPr>
                <w:spacing w:val="-42"/>
                <w:sz w:val="16"/>
              </w:rPr>
              <w:t> </w:t>
            </w:r>
            <w:r>
              <w:rPr>
                <w:sz w:val="16"/>
              </w:rPr>
              <w:t>activities</w:t>
            </w:r>
            <w:r>
              <w:rPr>
                <w:spacing w:val="-3"/>
                <w:sz w:val="16"/>
              </w:rPr>
              <w:t> </w:t>
            </w:r>
            <w:r>
              <w:rPr>
                <w:sz w:val="16"/>
              </w:rPr>
              <w:t>(3)</w:t>
            </w:r>
          </w:p>
        </w:tc>
        <w:tc>
          <w:tcPr>
            <w:tcW w:w="886" w:type="dxa"/>
            <w:tcBorders>
              <w:top w:val="single" w:sz="6" w:space="0" w:color="BEBEBE"/>
              <w:left w:val="single" w:sz="6" w:space="0" w:color="BEBEBE"/>
              <w:bottom w:val="single" w:sz="6" w:space="0" w:color="BEBEBE"/>
              <w:right w:val="single" w:sz="6" w:space="0" w:color="BEBEBE"/>
            </w:tcBorders>
            <w:shd w:val="clear" w:color="auto" w:fill="F1F1F1"/>
            <w:textDirection w:val="btLr"/>
          </w:tcPr>
          <w:p>
            <w:pPr>
              <w:pStyle w:val="TableParagraph"/>
              <w:spacing w:line="244" w:lineRule="auto" w:before="141"/>
              <w:ind w:left="239" w:right="242"/>
              <w:jc w:val="center"/>
              <w:rPr>
                <w:sz w:val="16"/>
              </w:rPr>
            </w:pPr>
            <w:r>
              <w:rPr>
                <w:sz w:val="16"/>
              </w:rPr>
              <w:t>Continuity of care</w:t>
            </w:r>
            <w:r>
              <w:rPr>
                <w:spacing w:val="-42"/>
                <w:sz w:val="16"/>
              </w:rPr>
              <w:t> </w:t>
            </w:r>
            <w:r>
              <w:rPr>
                <w:sz w:val="16"/>
              </w:rPr>
              <w:t>with nominated</w:t>
            </w:r>
            <w:r>
              <w:rPr>
                <w:spacing w:val="1"/>
                <w:sz w:val="16"/>
              </w:rPr>
              <w:t> </w:t>
            </w:r>
            <w:r>
              <w:rPr>
                <w:sz w:val="16"/>
              </w:rPr>
              <w:t>GP and</w:t>
            </w:r>
            <w:r>
              <w:rPr>
                <w:spacing w:val="-2"/>
                <w:sz w:val="16"/>
              </w:rPr>
              <w:t> </w:t>
            </w:r>
            <w:r>
              <w:rPr>
                <w:sz w:val="16"/>
              </w:rPr>
              <w:t>team</w:t>
            </w:r>
            <w:r>
              <w:rPr>
                <w:spacing w:val="-1"/>
                <w:sz w:val="16"/>
              </w:rPr>
              <w:t> </w:t>
            </w:r>
            <w:r>
              <w:rPr>
                <w:sz w:val="16"/>
              </w:rPr>
              <w:t>(4)</w:t>
            </w:r>
          </w:p>
        </w:tc>
        <w:tc>
          <w:tcPr>
            <w:tcW w:w="841" w:type="dxa"/>
            <w:tcBorders>
              <w:top w:val="single" w:sz="6" w:space="0" w:color="BEBEBE"/>
              <w:left w:val="single" w:sz="6" w:space="0" w:color="BEBEBE"/>
              <w:bottom w:val="single" w:sz="6" w:space="0" w:color="BEBEBE"/>
              <w:right w:val="single" w:sz="6" w:space="0" w:color="BEBEBE"/>
            </w:tcBorders>
            <w:shd w:val="clear" w:color="auto" w:fill="F1F1F1"/>
            <w:textDirection w:val="btLr"/>
          </w:tcPr>
          <w:p>
            <w:pPr>
              <w:pStyle w:val="TableParagraph"/>
              <w:spacing w:before="9"/>
              <w:rPr>
                <w:sz w:val="17"/>
              </w:rPr>
            </w:pPr>
          </w:p>
          <w:p>
            <w:pPr>
              <w:pStyle w:val="TableParagraph"/>
              <w:spacing w:line="247" w:lineRule="auto"/>
              <w:ind w:left="479" w:right="279" w:hanging="188"/>
              <w:rPr>
                <w:sz w:val="16"/>
              </w:rPr>
            </w:pPr>
            <w:r>
              <w:rPr>
                <w:sz w:val="16"/>
              </w:rPr>
              <w:t>Teamwork within</w:t>
            </w:r>
            <w:r>
              <w:rPr>
                <w:spacing w:val="-42"/>
                <w:sz w:val="16"/>
              </w:rPr>
              <w:t> </w:t>
            </w:r>
            <w:r>
              <w:rPr>
                <w:sz w:val="16"/>
              </w:rPr>
              <w:t>practice</w:t>
            </w:r>
            <w:r>
              <w:rPr>
                <w:spacing w:val="-2"/>
                <w:sz w:val="16"/>
              </w:rPr>
              <w:t> </w:t>
            </w:r>
            <w:r>
              <w:rPr>
                <w:sz w:val="16"/>
              </w:rPr>
              <w:t>(5)</w:t>
            </w:r>
          </w:p>
        </w:tc>
        <w:tc>
          <w:tcPr>
            <w:tcW w:w="752" w:type="dxa"/>
            <w:tcBorders>
              <w:top w:val="single" w:sz="6" w:space="0" w:color="BEBEBE"/>
              <w:left w:val="single" w:sz="6" w:space="0" w:color="BEBEBE"/>
              <w:bottom w:val="single" w:sz="6" w:space="0" w:color="BEBEBE"/>
              <w:right w:val="single" w:sz="6" w:space="0" w:color="BEBEBE"/>
            </w:tcBorders>
            <w:shd w:val="clear" w:color="auto" w:fill="F1F1F1"/>
            <w:textDirection w:val="btLr"/>
          </w:tcPr>
          <w:p>
            <w:pPr>
              <w:pStyle w:val="TableParagraph"/>
              <w:spacing w:line="247" w:lineRule="auto" w:before="172"/>
              <w:ind w:left="376" w:right="364"/>
              <w:rPr>
                <w:sz w:val="16"/>
              </w:rPr>
            </w:pPr>
            <w:r>
              <w:rPr>
                <w:sz w:val="16"/>
              </w:rPr>
              <w:t>Care planning</w:t>
            </w:r>
            <w:r>
              <w:rPr>
                <w:spacing w:val="-42"/>
                <w:sz w:val="16"/>
              </w:rPr>
              <w:t> </w:t>
            </w:r>
            <w:r>
              <w:rPr>
                <w:sz w:val="16"/>
              </w:rPr>
              <w:t>and</w:t>
            </w:r>
            <w:r>
              <w:rPr>
                <w:spacing w:val="-7"/>
                <w:sz w:val="16"/>
              </w:rPr>
              <w:t> </w:t>
            </w:r>
            <w:r>
              <w:rPr>
                <w:sz w:val="16"/>
              </w:rPr>
              <w:t>review</w:t>
            </w:r>
            <w:r>
              <w:rPr>
                <w:spacing w:val="-7"/>
                <w:sz w:val="16"/>
              </w:rPr>
              <w:t> </w:t>
            </w:r>
            <w:r>
              <w:rPr>
                <w:sz w:val="16"/>
              </w:rPr>
              <w:t>(6)</w:t>
            </w:r>
          </w:p>
        </w:tc>
        <w:tc>
          <w:tcPr>
            <w:tcW w:w="961" w:type="dxa"/>
            <w:tcBorders>
              <w:top w:val="single" w:sz="6" w:space="0" w:color="BEBEBE"/>
              <w:left w:val="single" w:sz="6" w:space="0" w:color="BEBEBE"/>
              <w:bottom w:val="single" w:sz="6" w:space="0" w:color="BEBEBE"/>
              <w:right w:val="single" w:sz="6" w:space="0" w:color="BEBEBE"/>
            </w:tcBorders>
            <w:shd w:val="clear" w:color="auto" w:fill="F1F1F1"/>
            <w:textDirection w:val="btLr"/>
          </w:tcPr>
          <w:p>
            <w:pPr>
              <w:pStyle w:val="TableParagraph"/>
              <w:spacing w:line="247" w:lineRule="auto" w:before="113"/>
              <w:ind w:left="304" w:right="303" w:hanging="5"/>
              <w:jc w:val="center"/>
              <w:rPr>
                <w:sz w:val="16"/>
              </w:rPr>
            </w:pPr>
            <w:r>
              <w:rPr>
                <w:sz w:val="16"/>
              </w:rPr>
              <w:t>Involvement of</w:t>
            </w:r>
            <w:r>
              <w:rPr>
                <w:spacing w:val="1"/>
                <w:sz w:val="16"/>
              </w:rPr>
              <w:t> </w:t>
            </w:r>
            <w:r>
              <w:rPr>
                <w:sz w:val="16"/>
              </w:rPr>
              <w:t>patients in</w:t>
            </w:r>
            <w:r>
              <w:rPr>
                <w:spacing w:val="1"/>
                <w:sz w:val="16"/>
              </w:rPr>
              <w:t> </w:t>
            </w:r>
            <w:r>
              <w:rPr>
                <w:sz w:val="16"/>
              </w:rPr>
              <w:t>decision making</w:t>
            </w:r>
            <w:r>
              <w:rPr>
                <w:spacing w:val="-42"/>
                <w:sz w:val="16"/>
              </w:rPr>
              <w:t> </w:t>
            </w:r>
            <w:r>
              <w:rPr>
                <w:sz w:val="16"/>
              </w:rPr>
              <w:t>and</w:t>
            </w:r>
            <w:r>
              <w:rPr>
                <w:spacing w:val="-2"/>
                <w:sz w:val="16"/>
              </w:rPr>
              <w:t> </w:t>
            </w:r>
            <w:r>
              <w:rPr>
                <w:sz w:val="16"/>
              </w:rPr>
              <w:t>care</w:t>
            </w:r>
            <w:r>
              <w:rPr>
                <w:spacing w:val="-1"/>
                <w:sz w:val="16"/>
              </w:rPr>
              <w:t> </w:t>
            </w:r>
            <w:r>
              <w:rPr>
                <w:sz w:val="16"/>
              </w:rPr>
              <w:t>(7)</w:t>
            </w:r>
          </w:p>
        </w:tc>
        <w:tc>
          <w:tcPr>
            <w:tcW w:w="1053" w:type="dxa"/>
            <w:tcBorders>
              <w:top w:val="single" w:sz="6" w:space="0" w:color="BEBEBE"/>
              <w:left w:val="single" w:sz="6" w:space="0" w:color="BEBEBE"/>
              <w:bottom w:val="single" w:sz="6" w:space="0" w:color="BEBEBE"/>
              <w:right w:val="single" w:sz="6" w:space="0" w:color="BEBEBE"/>
            </w:tcBorders>
            <w:shd w:val="clear" w:color="auto" w:fill="F1F1F1"/>
            <w:textDirection w:val="btLr"/>
          </w:tcPr>
          <w:p>
            <w:pPr>
              <w:pStyle w:val="TableParagraph"/>
              <w:spacing w:before="3"/>
              <w:rPr>
                <w:sz w:val="26"/>
              </w:rPr>
            </w:pPr>
          </w:p>
          <w:p>
            <w:pPr>
              <w:pStyle w:val="TableParagraph"/>
              <w:spacing w:line="244" w:lineRule="auto"/>
              <w:ind w:left="520" w:right="222" w:hanging="286"/>
              <w:rPr>
                <w:sz w:val="16"/>
              </w:rPr>
            </w:pPr>
            <w:r>
              <w:rPr>
                <w:sz w:val="16"/>
              </w:rPr>
              <w:t>Self-management</w:t>
            </w:r>
            <w:r>
              <w:rPr>
                <w:spacing w:val="-42"/>
                <w:sz w:val="16"/>
              </w:rPr>
              <w:t> </w:t>
            </w:r>
            <w:r>
              <w:rPr>
                <w:sz w:val="16"/>
              </w:rPr>
              <w:t>support</w:t>
            </w:r>
            <w:r>
              <w:rPr>
                <w:spacing w:val="-2"/>
                <w:sz w:val="16"/>
              </w:rPr>
              <w:t> </w:t>
            </w:r>
            <w:r>
              <w:rPr>
                <w:sz w:val="16"/>
              </w:rPr>
              <w:t>(8)</w:t>
            </w:r>
          </w:p>
        </w:tc>
        <w:tc>
          <w:tcPr>
            <w:tcW w:w="896" w:type="dxa"/>
            <w:tcBorders>
              <w:top w:val="single" w:sz="6" w:space="0" w:color="BEBEBE"/>
              <w:left w:val="single" w:sz="6" w:space="0" w:color="BEBEBE"/>
              <w:bottom w:val="single" w:sz="6" w:space="0" w:color="BEBEBE"/>
              <w:right w:val="single" w:sz="6" w:space="0" w:color="BEBEBE"/>
            </w:tcBorders>
            <w:shd w:val="clear" w:color="auto" w:fill="F1F1F1"/>
            <w:textDirection w:val="btLr"/>
          </w:tcPr>
          <w:p>
            <w:pPr>
              <w:pStyle w:val="TableParagraph"/>
              <w:spacing w:line="244" w:lineRule="auto" w:before="111"/>
              <w:ind w:left="230" w:right="232" w:firstLine="2"/>
              <w:jc w:val="center"/>
              <w:rPr>
                <w:sz w:val="16"/>
              </w:rPr>
            </w:pPr>
            <w:r>
              <w:rPr>
                <w:sz w:val="16"/>
              </w:rPr>
              <w:t>Linking patients to</w:t>
            </w:r>
            <w:r>
              <w:rPr>
                <w:spacing w:val="-42"/>
                <w:sz w:val="16"/>
              </w:rPr>
              <w:t> </w:t>
            </w:r>
            <w:r>
              <w:rPr>
                <w:sz w:val="16"/>
              </w:rPr>
              <w:t>supportive</w:t>
            </w:r>
            <w:r>
              <w:rPr>
                <w:spacing w:val="1"/>
                <w:sz w:val="16"/>
              </w:rPr>
              <w:t> </w:t>
            </w:r>
            <w:r>
              <w:rPr>
                <w:spacing w:val="-1"/>
                <w:sz w:val="16"/>
              </w:rPr>
              <w:t>community</w:t>
            </w:r>
            <w:r>
              <w:rPr>
                <w:spacing w:val="-6"/>
                <w:sz w:val="16"/>
              </w:rPr>
              <w:t> </w:t>
            </w:r>
            <w:r>
              <w:rPr>
                <w:sz w:val="16"/>
              </w:rPr>
              <w:t>based</w:t>
            </w:r>
          </w:p>
          <w:p>
            <w:pPr>
              <w:pStyle w:val="TableParagraph"/>
              <w:spacing w:line="147" w:lineRule="exact" w:before="2"/>
              <w:ind w:left="239" w:right="239"/>
              <w:jc w:val="center"/>
              <w:rPr>
                <w:sz w:val="16"/>
              </w:rPr>
            </w:pPr>
            <w:r>
              <w:rPr>
                <w:sz w:val="16"/>
              </w:rPr>
              <w:t>resources</w:t>
            </w:r>
            <w:r>
              <w:rPr>
                <w:spacing w:val="-4"/>
                <w:sz w:val="16"/>
              </w:rPr>
              <w:t> </w:t>
            </w:r>
            <w:r>
              <w:rPr>
                <w:sz w:val="16"/>
              </w:rPr>
              <w:t>(9)</w:t>
            </w:r>
          </w:p>
        </w:tc>
        <w:tc>
          <w:tcPr>
            <w:tcW w:w="805" w:type="dxa"/>
            <w:tcBorders>
              <w:top w:val="single" w:sz="6" w:space="0" w:color="BEBEBE"/>
              <w:left w:val="single" w:sz="6" w:space="0" w:color="BEBEBE"/>
              <w:bottom w:val="single" w:sz="6" w:space="0" w:color="BEBEBE"/>
            </w:tcBorders>
            <w:shd w:val="clear" w:color="auto" w:fill="F1F1F1"/>
            <w:textDirection w:val="btLr"/>
          </w:tcPr>
          <w:p>
            <w:pPr>
              <w:pStyle w:val="TableParagraph"/>
              <w:spacing w:line="247" w:lineRule="auto" w:before="110"/>
              <w:ind w:left="239" w:right="242"/>
              <w:jc w:val="center"/>
              <w:rPr>
                <w:sz w:val="16"/>
              </w:rPr>
            </w:pPr>
            <w:r>
              <w:rPr>
                <w:sz w:val="16"/>
              </w:rPr>
              <w:t>Improved access</w:t>
            </w:r>
            <w:r>
              <w:rPr>
                <w:spacing w:val="-42"/>
                <w:sz w:val="16"/>
              </w:rPr>
              <w:t> </w:t>
            </w:r>
            <w:r>
              <w:rPr>
                <w:sz w:val="16"/>
              </w:rPr>
              <w:t>to primary care</w:t>
            </w:r>
            <w:r>
              <w:rPr>
                <w:spacing w:val="1"/>
                <w:sz w:val="16"/>
              </w:rPr>
              <w:t> </w:t>
            </w:r>
            <w:r>
              <w:rPr>
                <w:sz w:val="16"/>
              </w:rPr>
              <w:t>services</w:t>
            </w:r>
            <w:r>
              <w:rPr>
                <w:spacing w:val="-3"/>
                <w:sz w:val="16"/>
              </w:rPr>
              <w:t> </w:t>
            </w:r>
            <w:r>
              <w:rPr>
                <w:sz w:val="16"/>
              </w:rPr>
              <w:t>(10)</w:t>
            </w:r>
          </w:p>
        </w:tc>
      </w:tr>
      <w:tr>
        <w:trPr>
          <w:trHeight w:val="421" w:hRule="atLeast"/>
        </w:trPr>
        <w:tc>
          <w:tcPr>
            <w:tcW w:w="463" w:type="dxa"/>
            <w:tcBorders>
              <w:top w:val="single" w:sz="6" w:space="0" w:color="BEBEBE"/>
              <w:bottom w:val="single" w:sz="6" w:space="0" w:color="BEBEBE"/>
              <w:right w:val="single" w:sz="6" w:space="0" w:color="BEBEBE"/>
            </w:tcBorders>
          </w:tcPr>
          <w:p>
            <w:pPr>
              <w:pStyle w:val="TableParagraph"/>
              <w:spacing w:before="112"/>
              <w:ind w:left="10"/>
              <w:jc w:val="center"/>
              <w:rPr>
                <w:sz w:val="16"/>
              </w:rPr>
            </w:pPr>
            <w:r>
              <w:rPr>
                <w:w w:val="100"/>
                <w:sz w:val="16"/>
              </w:rPr>
              <w:t>1</w:t>
            </w:r>
          </w:p>
        </w:tc>
        <w:tc>
          <w:tcPr>
            <w:tcW w:w="1104"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847"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836"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1020"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886"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841"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752"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961"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1053"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896"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805" w:type="dxa"/>
            <w:tcBorders>
              <w:top w:val="single" w:sz="6" w:space="0" w:color="BEBEBE"/>
              <w:left w:val="single" w:sz="6" w:space="0" w:color="BEBEBE"/>
              <w:bottom w:val="single" w:sz="6" w:space="0" w:color="BEBEBE"/>
            </w:tcBorders>
          </w:tcPr>
          <w:p>
            <w:pPr>
              <w:pStyle w:val="TableParagraph"/>
              <w:rPr>
                <w:rFonts w:ascii="Times New Roman"/>
                <w:sz w:val="16"/>
              </w:rPr>
            </w:pPr>
          </w:p>
        </w:tc>
      </w:tr>
      <w:tr>
        <w:trPr>
          <w:trHeight w:val="421" w:hRule="atLeast"/>
        </w:trPr>
        <w:tc>
          <w:tcPr>
            <w:tcW w:w="463" w:type="dxa"/>
            <w:tcBorders>
              <w:top w:val="single" w:sz="6" w:space="0" w:color="BEBEBE"/>
              <w:bottom w:val="single" w:sz="6" w:space="0" w:color="BEBEBE"/>
              <w:right w:val="single" w:sz="6" w:space="0" w:color="BEBEBE"/>
            </w:tcBorders>
          </w:tcPr>
          <w:p>
            <w:pPr>
              <w:pStyle w:val="TableParagraph"/>
              <w:spacing w:before="112"/>
              <w:ind w:left="10"/>
              <w:jc w:val="center"/>
              <w:rPr>
                <w:sz w:val="16"/>
              </w:rPr>
            </w:pPr>
            <w:r>
              <w:rPr>
                <w:w w:val="100"/>
                <w:sz w:val="16"/>
              </w:rPr>
              <w:t>2</w:t>
            </w:r>
          </w:p>
        </w:tc>
        <w:tc>
          <w:tcPr>
            <w:tcW w:w="1104"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847"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836"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1020"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886"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841"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752"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961"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1053"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896"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805" w:type="dxa"/>
            <w:tcBorders>
              <w:top w:val="single" w:sz="6" w:space="0" w:color="BEBEBE"/>
              <w:left w:val="single" w:sz="6" w:space="0" w:color="BEBEBE"/>
              <w:bottom w:val="single" w:sz="6" w:space="0" w:color="BEBEBE"/>
            </w:tcBorders>
          </w:tcPr>
          <w:p>
            <w:pPr>
              <w:pStyle w:val="TableParagraph"/>
              <w:rPr>
                <w:rFonts w:ascii="Times New Roman"/>
                <w:sz w:val="16"/>
              </w:rPr>
            </w:pPr>
          </w:p>
        </w:tc>
      </w:tr>
      <w:tr>
        <w:trPr>
          <w:trHeight w:val="421" w:hRule="atLeast"/>
        </w:trPr>
        <w:tc>
          <w:tcPr>
            <w:tcW w:w="463" w:type="dxa"/>
            <w:tcBorders>
              <w:top w:val="single" w:sz="6" w:space="0" w:color="BEBEBE"/>
              <w:bottom w:val="single" w:sz="6" w:space="0" w:color="BEBEBE"/>
              <w:right w:val="single" w:sz="6" w:space="0" w:color="BEBEBE"/>
            </w:tcBorders>
          </w:tcPr>
          <w:p>
            <w:pPr>
              <w:pStyle w:val="TableParagraph"/>
              <w:spacing w:before="112"/>
              <w:ind w:left="10"/>
              <w:jc w:val="center"/>
              <w:rPr>
                <w:sz w:val="16"/>
              </w:rPr>
            </w:pPr>
            <w:r>
              <w:rPr>
                <w:w w:val="100"/>
                <w:sz w:val="16"/>
              </w:rPr>
              <w:t>3</w:t>
            </w:r>
          </w:p>
        </w:tc>
        <w:tc>
          <w:tcPr>
            <w:tcW w:w="1104"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847"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836"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1020"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886"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841"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752"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961"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1053"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896"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805" w:type="dxa"/>
            <w:tcBorders>
              <w:top w:val="single" w:sz="6" w:space="0" w:color="BEBEBE"/>
              <w:left w:val="single" w:sz="6" w:space="0" w:color="BEBEBE"/>
              <w:bottom w:val="single" w:sz="6" w:space="0" w:color="BEBEBE"/>
            </w:tcBorders>
          </w:tcPr>
          <w:p>
            <w:pPr>
              <w:pStyle w:val="TableParagraph"/>
              <w:rPr>
                <w:rFonts w:ascii="Times New Roman"/>
                <w:sz w:val="16"/>
              </w:rPr>
            </w:pPr>
          </w:p>
        </w:tc>
      </w:tr>
      <w:tr>
        <w:trPr>
          <w:trHeight w:val="421" w:hRule="atLeast"/>
        </w:trPr>
        <w:tc>
          <w:tcPr>
            <w:tcW w:w="463" w:type="dxa"/>
            <w:tcBorders>
              <w:top w:val="single" w:sz="6" w:space="0" w:color="BEBEBE"/>
              <w:right w:val="single" w:sz="6" w:space="0" w:color="BEBEBE"/>
            </w:tcBorders>
          </w:tcPr>
          <w:p>
            <w:pPr>
              <w:pStyle w:val="TableParagraph"/>
              <w:spacing w:before="112"/>
              <w:ind w:left="9"/>
              <w:jc w:val="center"/>
              <w:rPr>
                <w:sz w:val="16"/>
              </w:rPr>
            </w:pPr>
            <w:r>
              <w:rPr>
                <w:w w:val="100"/>
                <w:sz w:val="16"/>
              </w:rPr>
              <w:t>…</w:t>
            </w:r>
          </w:p>
        </w:tc>
        <w:tc>
          <w:tcPr>
            <w:tcW w:w="1104"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847"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836"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1020"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886"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841"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752"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961"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1053"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896"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805" w:type="dxa"/>
            <w:tcBorders>
              <w:top w:val="single" w:sz="6" w:space="0" w:color="BEBEBE"/>
              <w:left w:val="single" w:sz="6" w:space="0" w:color="BEBEBE"/>
            </w:tcBorders>
          </w:tcPr>
          <w:p>
            <w:pPr>
              <w:pStyle w:val="TableParagraph"/>
              <w:rPr>
                <w:rFonts w:ascii="Times New Roman"/>
                <w:sz w:val="16"/>
              </w:rPr>
            </w:pPr>
          </w:p>
        </w:tc>
      </w:tr>
    </w:tbl>
    <w:p>
      <w:pPr>
        <w:spacing w:after="0"/>
        <w:rPr>
          <w:rFonts w:ascii="Times New Roman"/>
          <w:sz w:val="16"/>
        </w:rPr>
        <w:sectPr>
          <w:pgSz w:w="11910" w:h="16840"/>
          <w:pgMar w:header="0" w:footer="948" w:top="860" w:bottom="1140" w:left="300" w:right="0"/>
        </w:sectPr>
      </w:pPr>
    </w:p>
    <w:p>
      <w:pPr>
        <w:pStyle w:val="ListParagraph"/>
        <w:numPr>
          <w:ilvl w:val="0"/>
          <w:numId w:val="107"/>
        </w:numPr>
        <w:tabs>
          <w:tab w:pos="668" w:val="left" w:leader="none"/>
        </w:tabs>
        <w:spacing w:line="273" w:lineRule="auto" w:before="75" w:after="0"/>
        <w:ind w:left="420" w:right="1987" w:firstLine="0"/>
        <w:jc w:val="left"/>
        <w:rPr>
          <w:sz w:val="18"/>
        </w:rPr>
      </w:pPr>
      <w:r>
        <w:rPr>
          <w:sz w:val="18"/>
        </w:rPr>
        <w:t>Is there other information that you consider important for the evaluators to be aware of in assessing the</w:t>
      </w:r>
      <w:r>
        <w:rPr>
          <w:spacing w:val="-47"/>
          <w:sz w:val="18"/>
        </w:rPr>
        <w:t> </w:t>
      </w:r>
      <w:r>
        <w:rPr>
          <w:sz w:val="18"/>
        </w:rPr>
        <w:t>implementation</w:t>
      </w:r>
      <w:r>
        <w:rPr>
          <w:spacing w:val="-1"/>
          <w:sz w:val="18"/>
        </w:rPr>
        <w:t> </w:t>
      </w:r>
      <w:r>
        <w:rPr>
          <w:sz w:val="18"/>
        </w:rPr>
        <w:t>of the HCH</w:t>
      </w:r>
      <w:r>
        <w:rPr>
          <w:spacing w:val="-3"/>
          <w:sz w:val="18"/>
        </w:rPr>
        <w:t> </w:t>
      </w:r>
      <w:r>
        <w:rPr>
          <w:sz w:val="18"/>
        </w:rPr>
        <w:t>program</w:t>
      </w:r>
      <w:r>
        <w:rPr>
          <w:spacing w:val="-5"/>
          <w:sz w:val="18"/>
        </w:rPr>
        <w:t> </w:t>
      </w:r>
      <w:r>
        <w:rPr>
          <w:sz w:val="18"/>
        </w:rPr>
        <w:t>in</w:t>
      </w:r>
      <w:r>
        <w:rPr>
          <w:spacing w:val="4"/>
          <w:sz w:val="18"/>
        </w:rPr>
        <w:t> </w:t>
      </w:r>
      <w:r>
        <w:rPr>
          <w:sz w:val="18"/>
        </w:rPr>
        <w:t>these practices?</w:t>
      </w:r>
    </w:p>
    <w:p>
      <w:pPr>
        <w:pStyle w:val="BodyText"/>
        <w:spacing w:before="8"/>
        <w:rPr>
          <w:sz w:val="16"/>
        </w:rPr>
      </w:pPr>
    </w:p>
    <w:tbl>
      <w:tblPr>
        <w:tblW w:w="0" w:type="auto"/>
        <w:jc w:val="left"/>
        <w:tblInd w:w="87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272"/>
        <w:gridCol w:w="2268"/>
        <w:gridCol w:w="6036"/>
      </w:tblGrid>
      <w:tr>
        <w:trPr>
          <w:trHeight w:val="618" w:hRule="atLeast"/>
        </w:trPr>
        <w:tc>
          <w:tcPr>
            <w:tcW w:w="1272" w:type="dxa"/>
            <w:tcBorders>
              <w:bottom w:val="single" w:sz="6" w:space="0" w:color="BEBEBE"/>
              <w:right w:val="single" w:sz="6" w:space="0" w:color="BEBEBE"/>
            </w:tcBorders>
            <w:shd w:val="clear" w:color="auto" w:fill="F1F1F1"/>
          </w:tcPr>
          <w:p>
            <w:pPr>
              <w:pStyle w:val="TableParagraph"/>
              <w:rPr>
                <w:rFonts w:ascii="Times New Roman"/>
                <w:sz w:val="16"/>
              </w:rPr>
            </w:pPr>
          </w:p>
        </w:tc>
        <w:tc>
          <w:tcPr>
            <w:tcW w:w="2268" w:type="dxa"/>
            <w:tcBorders>
              <w:left w:val="single" w:sz="6" w:space="0" w:color="BEBEBE"/>
              <w:bottom w:val="single" w:sz="6" w:space="0" w:color="BEBEBE"/>
              <w:right w:val="single" w:sz="6" w:space="0" w:color="BEBEBE"/>
            </w:tcBorders>
            <w:shd w:val="clear" w:color="auto" w:fill="F1F1F1"/>
          </w:tcPr>
          <w:p>
            <w:pPr>
              <w:pStyle w:val="TableParagraph"/>
              <w:spacing w:before="2"/>
              <w:rPr>
                <w:sz w:val="17"/>
              </w:rPr>
            </w:pPr>
          </w:p>
          <w:p>
            <w:pPr>
              <w:pStyle w:val="TableParagraph"/>
              <w:ind w:left="552"/>
              <w:rPr>
                <w:sz w:val="16"/>
              </w:rPr>
            </w:pPr>
            <w:r>
              <w:rPr>
                <w:sz w:val="16"/>
              </w:rPr>
              <w:t>Practice</w:t>
            </w:r>
            <w:r>
              <w:rPr>
                <w:spacing w:val="-3"/>
                <w:sz w:val="16"/>
              </w:rPr>
              <w:t> </w:t>
            </w:r>
            <w:r>
              <w:rPr>
                <w:sz w:val="16"/>
              </w:rPr>
              <w:t>name</w:t>
            </w:r>
          </w:p>
        </w:tc>
        <w:tc>
          <w:tcPr>
            <w:tcW w:w="6036" w:type="dxa"/>
            <w:tcBorders>
              <w:left w:val="single" w:sz="6" w:space="0" w:color="BEBEBE"/>
              <w:bottom w:val="single" w:sz="6" w:space="0" w:color="BEBEBE"/>
            </w:tcBorders>
            <w:shd w:val="clear" w:color="auto" w:fill="F1F1F1"/>
          </w:tcPr>
          <w:p>
            <w:pPr>
              <w:pStyle w:val="TableParagraph"/>
              <w:spacing w:before="112"/>
              <w:ind w:left="2230" w:right="155" w:hanging="2053"/>
              <w:rPr>
                <w:sz w:val="16"/>
              </w:rPr>
            </w:pPr>
            <w:r>
              <w:rPr>
                <w:sz w:val="16"/>
              </w:rPr>
              <w:t>Other information that may be important in assessing the implementation</w:t>
            </w:r>
            <w:r>
              <w:rPr>
                <w:spacing w:val="-42"/>
                <w:sz w:val="16"/>
              </w:rPr>
              <w:t> </w:t>
            </w:r>
            <w:r>
              <w:rPr>
                <w:sz w:val="16"/>
              </w:rPr>
              <w:t>of the HCH</w:t>
            </w:r>
            <w:r>
              <w:rPr>
                <w:spacing w:val="-1"/>
                <w:sz w:val="16"/>
              </w:rPr>
              <w:t> </w:t>
            </w:r>
            <w:r>
              <w:rPr>
                <w:sz w:val="16"/>
              </w:rPr>
              <w:t>program</w:t>
            </w:r>
          </w:p>
        </w:tc>
      </w:tr>
      <w:tr>
        <w:trPr>
          <w:trHeight w:val="421" w:hRule="atLeast"/>
        </w:trPr>
        <w:tc>
          <w:tcPr>
            <w:tcW w:w="1272" w:type="dxa"/>
            <w:tcBorders>
              <w:top w:val="single" w:sz="6" w:space="0" w:color="BEBEBE"/>
              <w:bottom w:val="single" w:sz="6" w:space="0" w:color="BEBEBE"/>
              <w:right w:val="single" w:sz="6" w:space="0" w:color="BEBEBE"/>
            </w:tcBorders>
          </w:tcPr>
          <w:p>
            <w:pPr>
              <w:pStyle w:val="TableParagraph"/>
              <w:spacing w:before="112"/>
              <w:ind w:left="8"/>
              <w:jc w:val="center"/>
              <w:rPr>
                <w:sz w:val="16"/>
              </w:rPr>
            </w:pPr>
            <w:r>
              <w:rPr>
                <w:w w:val="100"/>
                <w:sz w:val="16"/>
              </w:rPr>
              <w:t>1</w:t>
            </w:r>
          </w:p>
        </w:tc>
        <w:tc>
          <w:tcPr>
            <w:tcW w:w="226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036" w:type="dxa"/>
            <w:tcBorders>
              <w:top w:val="single" w:sz="6" w:space="0" w:color="BEBEBE"/>
              <w:left w:val="single" w:sz="6" w:space="0" w:color="BEBEBE"/>
              <w:bottom w:val="single" w:sz="6" w:space="0" w:color="BEBEBE"/>
            </w:tcBorders>
          </w:tcPr>
          <w:p>
            <w:pPr>
              <w:pStyle w:val="TableParagraph"/>
              <w:rPr>
                <w:rFonts w:ascii="Times New Roman"/>
                <w:sz w:val="16"/>
              </w:rPr>
            </w:pPr>
          </w:p>
        </w:tc>
      </w:tr>
      <w:tr>
        <w:trPr>
          <w:trHeight w:val="424" w:hRule="atLeast"/>
        </w:trPr>
        <w:tc>
          <w:tcPr>
            <w:tcW w:w="1272" w:type="dxa"/>
            <w:tcBorders>
              <w:top w:val="single" w:sz="6" w:space="0" w:color="BEBEBE"/>
              <w:bottom w:val="single" w:sz="6" w:space="0" w:color="BEBEBE"/>
              <w:right w:val="single" w:sz="6" w:space="0" w:color="BEBEBE"/>
            </w:tcBorders>
          </w:tcPr>
          <w:p>
            <w:pPr>
              <w:pStyle w:val="TableParagraph"/>
              <w:spacing w:before="112"/>
              <w:ind w:left="8"/>
              <w:jc w:val="center"/>
              <w:rPr>
                <w:sz w:val="16"/>
              </w:rPr>
            </w:pPr>
            <w:r>
              <w:rPr>
                <w:w w:val="100"/>
                <w:sz w:val="16"/>
              </w:rPr>
              <w:t>2</w:t>
            </w:r>
          </w:p>
        </w:tc>
        <w:tc>
          <w:tcPr>
            <w:tcW w:w="226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036" w:type="dxa"/>
            <w:tcBorders>
              <w:top w:val="single" w:sz="6" w:space="0" w:color="BEBEBE"/>
              <w:left w:val="single" w:sz="6" w:space="0" w:color="BEBEBE"/>
              <w:bottom w:val="single" w:sz="6" w:space="0" w:color="BEBEBE"/>
            </w:tcBorders>
          </w:tcPr>
          <w:p>
            <w:pPr>
              <w:pStyle w:val="TableParagraph"/>
              <w:rPr>
                <w:rFonts w:ascii="Times New Roman"/>
                <w:sz w:val="16"/>
              </w:rPr>
            </w:pPr>
          </w:p>
        </w:tc>
      </w:tr>
      <w:tr>
        <w:trPr>
          <w:trHeight w:val="421" w:hRule="atLeast"/>
        </w:trPr>
        <w:tc>
          <w:tcPr>
            <w:tcW w:w="1272" w:type="dxa"/>
            <w:tcBorders>
              <w:top w:val="single" w:sz="6" w:space="0" w:color="BEBEBE"/>
              <w:bottom w:val="single" w:sz="6" w:space="0" w:color="BEBEBE"/>
              <w:right w:val="single" w:sz="6" w:space="0" w:color="BEBEBE"/>
            </w:tcBorders>
          </w:tcPr>
          <w:p>
            <w:pPr>
              <w:pStyle w:val="TableParagraph"/>
              <w:spacing w:before="112"/>
              <w:ind w:left="8"/>
              <w:jc w:val="center"/>
              <w:rPr>
                <w:sz w:val="16"/>
              </w:rPr>
            </w:pPr>
            <w:r>
              <w:rPr>
                <w:w w:val="100"/>
                <w:sz w:val="16"/>
              </w:rPr>
              <w:t>3</w:t>
            </w:r>
          </w:p>
        </w:tc>
        <w:tc>
          <w:tcPr>
            <w:tcW w:w="226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036" w:type="dxa"/>
            <w:tcBorders>
              <w:top w:val="single" w:sz="6" w:space="0" w:color="BEBEBE"/>
              <w:left w:val="single" w:sz="6" w:space="0" w:color="BEBEBE"/>
              <w:bottom w:val="single" w:sz="6" w:space="0" w:color="BEBEBE"/>
            </w:tcBorders>
          </w:tcPr>
          <w:p>
            <w:pPr>
              <w:pStyle w:val="TableParagraph"/>
              <w:rPr>
                <w:rFonts w:ascii="Times New Roman"/>
                <w:sz w:val="16"/>
              </w:rPr>
            </w:pPr>
          </w:p>
        </w:tc>
      </w:tr>
      <w:tr>
        <w:trPr>
          <w:trHeight w:val="421" w:hRule="atLeast"/>
        </w:trPr>
        <w:tc>
          <w:tcPr>
            <w:tcW w:w="1272" w:type="dxa"/>
            <w:tcBorders>
              <w:top w:val="single" w:sz="6" w:space="0" w:color="BEBEBE"/>
              <w:right w:val="single" w:sz="6" w:space="0" w:color="BEBEBE"/>
            </w:tcBorders>
          </w:tcPr>
          <w:p>
            <w:pPr>
              <w:pStyle w:val="TableParagraph"/>
              <w:spacing w:before="112"/>
              <w:ind w:left="8"/>
              <w:jc w:val="center"/>
              <w:rPr>
                <w:sz w:val="16"/>
              </w:rPr>
            </w:pPr>
            <w:r>
              <w:rPr>
                <w:w w:val="100"/>
                <w:sz w:val="16"/>
              </w:rPr>
              <w:t>…</w:t>
            </w:r>
          </w:p>
        </w:tc>
        <w:tc>
          <w:tcPr>
            <w:tcW w:w="2268"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6036" w:type="dxa"/>
            <w:tcBorders>
              <w:top w:val="single" w:sz="6" w:space="0" w:color="BEBEBE"/>
              <w:left w:val="single" w:sz="6" w:space="0" w:color="BEBEBE"/>
            </w:tcBorders>
          </w:tcPr>
          <w:p>
            <w:pPr>
              <w:pStyle w:val="TableParagraph"/>
              <w:rPr>
                <w:rFonts w:ascii="Times New Roman"/>
                <w:sz w:val="16"/>
              </w:rPr>
            </w:pPr>
          </w:p>
        </w:tc>
      </w:tr>
    </w:tbl>
    <w:p>
      <w:pPr>
        <w:pStyle w:val="BodyText"/>
        <w:spacing w:before="9"/>
        <w:rPr>
          <w:sz w:val="19"/>
        </w:rPr>
      </w:pPr>
    </w:p>
    <w:p>
      <w:pPr>
        <w:pStyle w:val="ListParagraph"/>
        <w:numPr>
          <w:ilvl w:val="0"/>
          <w:numId w:val="107"/>
        </w:numPr>
        <w:tabs>
          <w:tab w:pos="619" w:val="left" w:leader="none"/>
        </w:tabs>
        <w:spacing w:line="240" w:lineRule="auto" w:before="0" w:after="0"/>
        <w:ind w:left="618" w:right="0" w:hanging="199"/>
        <w:jc w:val="left"/>
        <w:rPr>
          <w:sz w:val="18"/>
        </w:rPr>
      </w:pPr>
      <w:r>
        <w:rPr>
          <w:sz w:val="18"/>
        </w:rPr>
        <w:t>Do</w:t>
      </w:r>
      <w:r>
        <w:rPr>
          <w:spacing w:val="-2"/>
          <w:sz w:val="18"/>
        </w:rPr>
        <w:t> </w:t>
      </w:r>
      <w:r>
        <w:rPr>
          <w:sz w:val="18"/>
        </w:rPr>
        <w:t>you</w:t>
      </w:r>
      <w:r>
        <w:rPr>
          <w:spacing w:val="-2"/>
          <w:sz w:val="18"/>
        </w:rPr>
        <w:t> </w:t>
      </w:r>
      <w:r>
        <w:rPr>
          <w:sz w:val="18"/>
        </w:rPr>
        <w:t>wish</w:t>
      </w:r>
      <w:r>
        <w:rPr>
          <w:spacing w:val="-3"/>
          <w:sz w:val="18"/>
        </w:rPr>
        <w:t> </w:t>
      </w:r>
      <w:r>
        <w:rPr>
          <w:sz w:val="18"/>
        </w:rPr>
        <w:t>to</w:t>
      </w:r>
      <w:r>
        <w:rPr>
          <w:spacing w:val="-3"/>
          <w:sz w:val="18"/>
        </w:rPr>
        <w:t> </w:t>
      </w:r>
      <w:r>
        <w:rPr>
          <w:sz w:val="18"/>
        </w:rPr>
        <w:t>submit</w:t>
      </w:r>
      <w:r>
        <w:rPr>
          <w:spacing w:val="-1"/>
          <w:sz w:val="18"/>
        </w:rPr>
        <w:t> </w:t>
      </w:r>
      <w:r>
        <w:rPr>
          <w:sz w:val="18"/>
        </w:rPr>
        <w:t>the</w:t>
      </w:r>
      <w:r>
        <w:rPr>
          <w:spacing w:val="-1"/>
          <w:sz w:val="18"/>
        </w:rPr>
        <w:t> </w:t>
      </w:r>
      <w:r>
        <w:rPr>
          <w:sz w:val="18"/>
        </w:rPr>
        <w:t>results</w:t>
      </w:r>
      <w:r>
        <w:rPr>
          <w:spacing w:val="-3"/>
          <w:sz w:val="18"/>
        </w:rPr>
        <w:t> </w:t>
      </w:r>
      <w:r>
        <w:rPr>
          <w:sz w:val="18"/>
        </w:rPr>
        <w:t>of</w:t>
      </w:r>
      <w:r>
        <w:rPr>
          <w:spacing w:val="-1"/>
          <w:sz w:val="18"/>
        </w:rPr>
        <w:t> </w:t>
      </w:r>
      <w:r>
        <w:rPr>
          <w:sz w:val="18"/>
        </w:rPr>
        <w:t>this</w:t>
      </w:r>
      <w:r>
        <w:rPr>
          <w:spacing w:val="-3"/>
          <w:sz w:val="18"/>
        </w:rPr>
        <w:t> </w:t>
      </w:r>
      <w:r>
        <w:rPr>
          <w:sz w:val="18"/>
        </w:rPr>
        <w:t>survey</w:t>
      </w:r>
      <w:r>
        <w:rPr>
          <w:spacing w:val="-3"/>
          <w:sz w:val="18"/>
        </w:rPr>
        <w:t> </w:t>
      </w:r>
      <w:r>
        <w:rPr>
          <w:sz w:val="18"/>
        </w:rPr>
        <w:t>now?</w:t>
      </w:r>
    </w:p>
    <w:p>
      <w:pPr>
        <w:pStyle w:val="BodyText"/>
        <w:rPr>
          <w:sz w:val="19"/>
        </w:rPr>
      </w:pPr>
    </w:p>
    <w:p>
      <w:pPr>
        <w:spacing w:line="276" w:lineRule="auto" w:before="0"/>
        <w:ind w:left="420" w:right="1111" w:firstLine="0"/>
        <w:jc w:val="left"/>
        <w:rPr>
          <w:sz w:val="18"/>
        </w:rPr>
      </w:pPr>
      <w:r>
        <w:rPr>
          <w:sz w:val="18"/>
        </w:rPr>
        <w:t>If you wish to finalise and submit the survey data, select Yes below, then select the Next Arrow below. This will submit</w:t>
      </w:r>
      <w:r>
        <w:rPr>
          <w:spacing w:val="-47"/>
          <w:sz w:val="18"/>
        </w:rPr>
        <w:t> </w:t>
      </w:r>
      <w:r>
        <w:rPr>
          <w:sz w:val="18"/>
        </w:rPr>
        <w:t>your</w:t>
      </w:r>
      <w:r>
        <w:rPr>
          <w:spacing w:val="-1"/>
          <w:sz w:val="18"/>
        </w:rPr>
        <w:t> </w:t>
      </w:r>
      <w:r>
        <w:rPr>
          <w:sz w:val="18"/>
        </w:rPr>
        <w:t>data.</w:t>
      </w:r>
    </w:p>
    <w:p>
      <w:pPr>
        <w:pStyle w:val="BodyText"/>
        <w:spacing w:before="4"/>
        <w:rPr>
          <w:sz w:val="16"/>
        </w:rPr>
      </w:pPr>
    </w:p>
    <w:p>
      <w:pPr>
        <w:spacing w:line="276" w:lineRule="auto" w:before="0"/>
        <w:ind w:left="420" w:right="746" w:firstLine="0"/>
        <w:jc w:val="left"/>
        <w:rPr>
          <w:sz w:val="18"/>
        </w:rPr>
      </w:pPr>
      <w:r>
        <w:rPr>
          <w:sz w:val="18"/>
        </w:rPr>
        <w:t>If you wish to return to this survey later, do</w:t>
      </w:r>
      <w:r>
        <w:rPr>
          <w:sz w:val="18"/>
          <w:u w:val="single"/>
        </w:rPr>
        <w:t> not </w:t>
      </w:r>
      <w:r>
        <w:rPr>
          <w:sz w:val="18"/>
        </w:rPr>
        <w:t>select Yes. Just leave this page and return later using the URL link supplied.</w:t>
      </w:r>
      <w:r>
        <w:rPr>
          <w:spacing w:val="-47"/>
          <w:sz w:val="18"/>
        </w:rPr>
        <w:t> </w:t>
      </w:r>
      <w:r>
        <w:rPr>
          <w:sz w:val="18"/>
        </w:rPr>
        <w:t>The</w:t>
      </w:r>
      <w:r>
        <w:rPr>
          <w:spacing w:val="1"/>
          <w:sz w:val="18"/>
        </w:rPr>
        <w:t> </w:t>
      </w:r>
      <w:r>
        <w:rPr>
          <w:sz w:val="18"/>
        </w:rPr>
        <w:t>details you</w:t>
      </w:r>
      <w:r>
        <w:rPr>
          <w:spacing w:val="2"/>
          <w:sz w:val="18"/>
        </w:rPr>
        <w:t> </w:t>
      </w:r>
      <w:r>
        <w:rPr>
          <w:sz w:val="18"/>
        </w:rPr>
        <w:t>have</w:t>
      </w:r>
      <w:r>
        <w:rPr>
          <w:spacing w:val="1"/>
          <w:sz w:val="18"/>
        </w:rPr>
        <w:t> </w:t>
      </w:r>
      <w:r>
        <w:rPr>
          <w:sz w:val="18"/>
        </w:rPr>
        <w:t>entered</w:t>
      </w:r>
      <w:r>
        <w:rPr>
          <w:spacing w:val="1"/>
          <w:sz w:val="18"/>
        </w:rPr>
        <w:t> </w:t>
      </w:r>
      <w:r>
        <w:rPr>
          <w:sz w:val="18"/>
        </w:rPr>
        <w:t>above</w:t>
      </w:r>
      <w:r>
        <w:rPr>
          <w:spacing w:val="5"/>
          <w:sz w:val="18"/>
        </w:rPr>
        <w:t> </w:t>
      </w:r>
      <w:r>
        <w:rPr>
          <w:sz w:val="18"/>
        </w:rPr>
        <w:t>will be</w:t>
      </w:r>
      <w:r>
        <w:rPr>
          <w:spacing w:val="2"/>
          <w:sz w:val="18"/>
        </w:rPr>
        <w:t> </w:t>
      </w:r>
      <w:r>
        <w:rPr>
          <w:sz w:val="18"/>
        </w:rPr>
        <w:t>saved,</w:t>
      </w:r>
      <w:r>
        <w:rPr>
          <w:spacing w:val="-1"/>
          <w:sz w:val="18"/>
        </w:rPr>
        <w:t> </w:t>
      </w:r>
      <w:r>
        <w:rPr>
          <w:sz w:val="18"/>
        </w:rPr>
        <w:t>and when</w:t>
      </w:r>
      <w:r>
        <w:rPr>
          <w:spacing w:val="2"/>
          <w:sz w:val="18"/>
        </w:rPr>
        <w:t> </w:t>
      </w:r>
      <w:r>
        <w:rPr>
          <w:sz w:val="18"/>
        </w:rPr>
        <w:t>you</w:t>
      </w:r>
      <w:r>
        <w:rPr>
          <w:spacing w:val="1"/>
          <w:sz w:val="18"/>
        </w:rPr>
        <w:t> </w:t>
      </w:r>
      <w:r>
        <w:rPr>
          <w:sz w:val="18"/>
        </w:rPr>
        <w:t>return, you</w:t>
      </w:r>
      <w:r>
        <w:rPr>
          <w:spacing w:val="-1"/>
          <w:sz w:val="18"/>
        </w:rPr>
        <w:t> </w:t>
      </w:r>
      <w:r>
        <w:rPr>
          <w:sz w:val="18"/>
        </w:rPr>
        <w:t>can</w:t>
      </w:r>
      <w:r>
        <w:rPr>
          <w:spacing w:val="2"/>
          <w:sz w:val="18"/>
        </w:rPr>
        <w:t> </w:t>
      </w:r>
      <w:r>
        <w:rPr>
          <w:sz w:val="18"/>
        </w:rPr>
        <w:t>complete</w:t>
      </w:r>
      <w:r>
        <w:rPr>
          <w:spacing w:val="1"/>
          <w:sz w:val="18"/>
        </w:rPr>
        <w:t> </w:t>
      </w:r>
      <w:r>
        <w:rPr>
          <w:sz w:val="18"/>
        </w:rPr>
        <w:t>the</w:t>
      </w:r>
      <w:r>
        <w:rPr>
          <w:spacing w:val="1"/>
          <w:sz w:val="18"/>
        </w:rPr>
        <w:t> </w:t>
      </w:r>
      <w:r>
        <w:rPr>
          <w:sz w:val="18"/>
        </w:rPr>
        <w:t>survey.</w:t>
      </w:r>
      <w:r>
        <w:rPr>
          <w:spacing w:val="2"/>
          <w:sz w:val="18"/>
        </w:rPr>
        <w:t> </w:t>
      </w:r>
      <w:r>
        <w:rPr>
          <w:sz w:val="18"/>
        </w:rPr>
        <w:t>When</w:t>
      </w:r>
      <w:r>
        <w:rPr>
          <w:spacing w:val="1"/>
          <w:sz w:val="18"/>
        </w:rPr>
        <w:t> </w:t>
      </w:r>
      <w:r>
        <w:rPr>
          <w:sz w:val="18"/>
        </w:rPr>
        <w:t>you</w:t>
      </w:r>
      <w:r>
        <w:rPr>
          <w:spacing w:val="1"/>
          <w:sz w:val="18"/>
        </w:rPr>
        <w:t> </w:t>
      </w:r>
      <w:r>
        <w:rPr>
          <w:sz w:val="18"/>
        </w:rPr>
        <w:t>return</w:t>
      </w:r>
      <w:r>
        <w:rPr>
          <w:spacing w:val="-3"/>
          <w:sz w:val="18"/>
        </w:rPr>
        <w:t> </w:t>
      </w:r>
      <w:r>
        <w:rPr>
          <w:sz w:val="18"/>
        </w:rPr>
        <w:t>to</w:t>
      </w:r>
      <w:r>
        <w:rPr>
          <w:spacing w:val="-1"/>
          <w:sz w:val="18"/>
        </w:rPr>
        <w:t> </w:t>
      </w:r>
      <w:r>
        <w:rPr>
          <w:sz w:val="18"/>
        </w:rPr>
        <w:t>the survey</w:t>
      </w:r>
      <w:r>
        <w:rPr>
          <w:spacing w:val="-1"/>
          <w:sz w:val="18"/>
        </w:rPr>
        <w:t> </w:t>
      </w:r>
      <w:r>
        <w:rPr>
          <w:sz w:val="18"/>
        </w:rPr>
        <w:t>you will</w:t>
      </w:r>
      <w:r>
        <w:rPr>
          <w:spacing w:val="-3"/>
          <w:sz w:val="18"/>
        </w:rPr>
        <w:t> </w:t>
      </w:r>
      <w:r>
        <w:rPr>
          <w:sz w:val="18"/>
        </w:rPr>
        <w:t>be taken to</w:t>
      </w:r>
      <w:r>
        <w:rPr>
          <w:spacing w:val="-1"/>
          <w:sz w:val="18"/>
        </w:rPr>
        <w:t> </w:t>
      </w:r>
      <w:r>
        <w:rPr>
          <w:sz w:val="18"/>
        </w:rPr>
        <w:t>the first</w:t>
      </w:r>
      <w:r>
        <w:rPr>
          <w:spacing w:val="-2"/>
          <w:sz w:val="18"/>
        </w:rPr>
        <w:t> </w:t>
      </w:r>
      <w:r>
        <w:rPr>
          <w:sz w:val="18"/>
        </w:rPr>
        <w:t>missing</w:t>
      </w:r>
      <w:r>
        <w:rPr>
          <w:spacing w:val="-3"/>
          <w:sz w:val="18"/>
        </w:rPr>
        <w:t> </w:t>
      </w:r>
      <w:r>
        <w:rPr>
          <w:sz w:val="18"/>
        </w:rPr>
        <w:t>response.</w:t>
      </w:r>
    </w:p>
    <w:p>
      <w:pPr>
        <w:pStyle w:val="BodyText"/>
        <w:spacing w:before="3"/>
        <w:rPr>
          <w:sz w:val="8"/>
        </w:rPr>
      </w:pPr>
    </w:p>
    <w:p>
      <w:pPr>
        <w:spacing w:before="100"/>
        <w:ind w:left="1771" w:right="0" w:firstLine="0"/>
        <w:jc w:val="left"/>
        <w:rPr>
          <w:sz w:val="18"/>
        </w:rPr>
      </w:pPr>
      <w:r>
        <w:rPr/>
        <w:drawing>
          <wp:anchor distT="0" distB="0" distL="0" distR="0" allowOverlap="1" layoutInCell="1" locked="0" behindDoc="0" simplePos="0" relativeHeight="16157696">
            <wp:simplePos x="0" y="0"/>
            <wp:positionH relativeFrom="page">
              <wp:posOffset>1102145</wp:posOffset>
            </wp:positionH>
            <wp:positionV relativeFrom="paragraph">
              <wp:posOffset>107967</wp:posOffset>
            </wp:positionV>
            <wp:extent cx="58380" cy="72153"/>
            <wp:effectExtent l="0" t="0" r="0" b="0"/>
            <wp:wrapNone/>
            <wp:docPr id="2153" name="image13.png"/>
            <wp:cNvGraphicFramePr>
              <a:graphicFrameLocks noChangeAspect="1"/>
            </wp:cNvGraphicFramePr>
            <a:graphic>
              <a:graphicData uri="http://schemas.openxmlformats.org/drawingml/2006/picture">
                <pic:pic>
                  <pic:nvPicPr>
                    <pic:cNvPr id="2154" name="image13.png"/>
                    <pic:cNvPicPr/>
                  </pic:nvPicPr>
                  <pic:blipFill>
                    <a:blip r:embed="rId41" cstate="print"/>
                    <a:stretch>
                      <a:fillRect/>
                    </a:stretch>
                  </pic:blipFill>
                  <pic:spPr>
                    <a:xfrm>
                      <a:off x="0" y="0"/>
                      <a:ext cx="58380" cy="72153"/>
                    </a:xfrm>
                    <a:prstGeom prst="rect">
                      <a:avLst/>
                    </a:prstGeom>
                  </pic:spPr>
                </pic:pic>
              </a:graphicData>
            </a:graphic>
          </wp:anchor>
        </w:drawing>
      </w:r>
      <w:r>
        <w:rPr>
          <w:sz w:val="18"/>
        </w:rPr>
        <w:t>Yes</w:t>
      </w:r>
      <w:r>
        <w:rPr>
          <w:spacing w:val="49"/>
          <w:sz w:val="18"/>
        </w:rPr>
        <w:t> </w:t>
      </w:r>
      <w:r>
        <w:rPr>
          <w:sz w:val="18"/>
        </w:rPr>
        <w:t>(4)</w:t>
      </w:r>
    </w:p>
    <w:p>
      <w:pPr>
        <w:spacing w:after="0"/>
        <w:jc w:val="left"/>
        <w:rPr>
          <w:sz w:val="18"/>
        </w:rPr>
        <w:sectPr>
          <w:pgSz w:w="11910" w:h="16840"/>
          <w:pgMar w:header="0" w:footer="948" w:top="860" w:bottom="1140" w:left="300" w:right="0"/>
        </w:sectPr>
      </w:pPr>
    </w:p>
    <w:p>
      <w:pPr>
        <w:pStyle w:val="Heading4"/>
        <w:ind w:right="1470"/>
        <w:jc w:val="center"/>
      </w:pPr>
      <w:r>
        <w:rPr>
          <w:color w:val="808080"/>
        </w:rPr>
        <w:t>PHN</w:t>
      </w:r>
      <w:r>
        <w:rPr>
          <w:color w:val="808080"/>
          <w:spacing w:val="-2"/>
        </w:rPr>
        <w:t> </w:t>
      </w:r>
      <w:r>
        <w:rPr>
          <w:color w:val="808080"/>
        </w:rPr>
        <w:t>survey: Round</w:t>
      </w:r>
      <w:r>
        <w:rPr>
          <w:color w:val="808080"/>
          <w:spacing w:val="-1"/>
        </w:rPr>
        <w:t> </w:t>
      </w:r>
      <w:r>
        <w:rPr>
          <w:color w:val="808080"/>
        </w:rPr>
        <w:t>4</w:t>
      </w:r>
    </w:p>
    <w:p>
      <w:pPr>
        <w:pStyle w:val="BodyText"/>
        <w:spacing w:before="7"/>
        <w:rPr>
          <w:rFonts w:ascii="Arial Black"/>
          <w:sz w:val="16"/>
        </w:rPr>
      </w:pPr>
      <w:r>
        <w:rPr/>
        <w:pict>
          <v:shape style="position:absolute;margin-left:36pt;margin-top:12.847813pt;width:523.85pt;height:235.45pt;mso-position-horizontal-relative:page;mso-position-vertical-relative:paragraph;z-index:-15299072;mso-wrap-distance-left:0;mso-wrap-distance-right:0" type="#_x0000_t202" id="docshape244" filled="true" fillcolor="#f1f1f1" stroked="false">
            <v:textbox inset="0,0,0,0">
              <w:txbxContent>
                <w:p>
                  <w:pPr>
                    <w:spacing w:line="276" w:lineRule="auto" w:before="76"/>
                    <w:ind w:left="148" w:right="161" w:firstLine="0"/>
                    <w:jc w:val="left"/>
                    <w:rPr>
                      <w:color w:val="000000"/>
                      <w:sz w:val="18"/>
                    </w:rPr>
                  </w:pPr>
                  <w:r>
                    <w:rPr>
                      <w:color w:val="000000"/>
                      <w:sz w:val="18"/>
                    </w:rPr>
                    <w:t>This</w:t>
                  </w:r>
                  <w:r>
                    <w:rPr>
                      <w:color w:val="000000"/>
                      <w:spacing w:val="-5"/>
                      <w:sz w:val="18"/>
                    </w:rPr>
                    <w:t> </w:t>
                  </w:r>
                  <w:r>
                    <w:rPr>
                      <w:color w:val="000000"/>
                      <w:sz w:val="18"/>
                    </w:rPr>
                    <w:t>survey</w:t>
                  </w:r>
                  <w:r>
                    <w:rPr>
                      <w:color w:val="000000"/>
                      <w:spacing w:val="-6"/>
                      <w:sz w:val="18"/>
                    </w:rPr>
                    <w:t> </w:t>
                  </w:r>
                  <w:r>
                    <w:rPr>
                      <w:color w:val="000000"/>
                      <w:sz w:val="18"/>
                    </w:rPr>
                    <w:t>includes</w:t>
                  </w:r>
                  <w:r>
                    <w:rPr>
                      <w:color w:val="000000"/>
                      <w:spacing w:val="-4"/>
                      <w:sz w:val="18"/>
                    </w:rPr>
                    <w:t> </w:t>
                  </w:r>
                  <w:r>
                    <w:rPr>
                      <w:color w:val="000000"/>
                      <w:sz w:val="18"/>
                    </w:rPr>
                    <w:t>questions</w:t>
                  </w:r>
                  <w:r>
                    <w:rPr>
                      <w:color w:val="000000"/>
                      <w:spacing w:val="-4"/>
                      <w:sz w:val="18"/>
                    </w:rPr>
                    <w:t> </w:t>
                  </w:r>
                  <w:r>
                    <w:rPr>
                      <w:color w:val="000000"/>
                      <w:sz w:val="18"/>
                    </w:rPr>
                    <w:t>about</w:t>
                  </w:r>
                  <w:r>
                    <w:rPr>
                      <w:color w:val="000000"/>
                      <w:spacing w:val="-5"/>
                      <w:sz w:val="18"/>
                    </w:rPr>
                    <w:t> </w:t>
                  </w:r>
                  <w:r>
                    <w:rPr>
                      <w:color w:val="000000"/>
                      <w:sz w:val="18"/>
                    </w:rPr>
                    <w:t>the</w:t>
                  </w:r>
                  <w:r>
                    <w:rPr>
                      <w:color w:val="000000"/>
                      <w:spacing w:val="-3"/>
                      <w:sz w:val="18"/>
                    </w:rPr>
                    <w:t> </w:t>
                  </w:r>
                  <w:r>
                    <w:rPr>
                      <w:color w:val="000000"/>
                      <w:sz w:val="18"/>
                    </w:rPr>
                    <w:t>support</w:t>
                  </w:r>
                  <w:r>
                    <w:rPr>
                      <w:color w:val="000000"/>
                      <w:spacing w:val="-5"/>
                      <w:sz w:val="18"/>
                    </w:rPr>
                    <w:t> </w:t>
                  </w:r>
                  <w:r>
                    <w:rPr>
                      <w:color w:val="000000"/>
                      <w:sz w:val="18"/>
                    </w:rPr>
                    <w:t>provided</w:t>
                  </w:r>
                  <w:r>
                    <w:rPr>
                      <w:color w:val="000000"/>
                      <w:spacing w:val="-4"/>
                      <w:sz w:val="18"/>
                    </w:rPr>
                    <w:t> </w:t>
                  </w:r>
                  <w:r>
                    <w:rPr>
                      <w:color w:val="000000"/>
                      <w:sz w:val="18"/>
                    </w:rPr>
                    <w:t>by</w:t>
                  </w:r>
                  <w:r>
                    <w:rPr>
                      <w:color w:val="000000"/>
                      <w:spacing w:val="-4"/>
                      <w:sz w:val="18"/>
                    </w:rPr>
                    <w:t> </w:t>
                  </w:r>
                  <w:r>
                    <w:rPr>
                      <w:color w:val="000000"/>
                      <w:sz w:val="18"/>
                    </w:rPr>
                    <w:t>your</w:t>
                  </w:r>
                  <w:r>
                    <w:rPr>
                      <w:color w:val="000000"/>
                      <w:spacing w:val="-4"/>
                      <w:sz w:val="18"/>
                    </w:rPr>
                    <w:t> </w:t>
                  </w:r>
                  <w:r>
                    <w:rPr>
                      <w:color w:val="000000"/>
                      <w:sz w:val="18"/>
                    </w:rPr>
                    <w:t>Primary</w:t>
                  </w:r>
                  <w:r>
                    <w:rPr>
                      <w:color w:val="000000"/>
                      <w:spacing w:val="-4"/>
                      <w:sz w:val="18"/>
                    </w:rPr>
                    <w:t> </w:t>
                  </w:r>
                  <w:r>
                    <w:rPr>
                      <w:color w:val="000000"/>
                      <w:sz w:val="18"/>
                    </w:rPr>
                    <w:t>Health</w:t>
                  </w:r>
                  <w:r>
                    <w:rPr>
                      <w:color w:val="000000"/>
                      <w:spacing w:val="-3"/>
                      <w:sz w:val="18"/>
                    </w:rPr>
                    <w:t> </w:t>
                  </w:r>
                  <w:r>
                    <w:rPr>
                      <w:color w:val="000000"/>
                      <w:sz w:val="18"/>
                    </w:rPr>
                    <w:t>Network (PHN)</w:t>
                  </w:r>
                  <w:r>
                    <w:rPr>
                      <w:color w:val="000000"/>
                      <w:spacing w:val="-3"/>
                      <w:sz w:val="18"/>
                    </w:rPr>
                    <w:t> </w:t>
                  </w:r>
                  <w:r>
                    <w:rPr>
                      <w:color w:val="000000"/>
                      <w:sz w:val="18"/>
                    </w:rPr>
                    <w:t>to</w:t>
                  </w:r>
                  <w:r>
                    <w:rPr>
                      <w:color w:val="000000"/>
                      <w:spacing w:val="-3"/>
                      <w:sz w:val="18"/>
                    </w:rPr>
                    <w:t> </w:t>
                  </w:r>
                  <w:r>
                    <w:rPr>
                      <w:color w:val="000000"/>
                      <w:sz w:val="18"/>
                    </w:rPr>
                    <w:t>practices/services</w:t>
                  </w:r>
                  <w:r>
                    <w:rPr>
                      <w:color w:val="000000"/>
                      <w:spacing w:val="1"/>
                      <w:sz w:val="18"/>
                    </w:rPr>
                    <w:t> </w:t>
                  </w:r>
                  <w:r>
                    <w:rPr>
                      <w:color w:val="000000"/>
                      <w:sz w:val="18"/>
                    </w:rPr>
                    <w:t>participating in the Health Care Homes (HCH) Program. This is Part A of the survey, which includes questions about</w:t>
                  </w:r>
                  <w:r>
                    <w:rPr>
                      <w:color w:val="000000"/>
                      <w:spacing w:val="1"/>
                      <w:sz w:val="18"/>
                    </w:rPr>
                    <w:t> </w:t>
                  </w:r>
                  <w:r>
                    <w:rPr>
                      <w:color w:val="000000"/>
                      <w:sz w:val="18"/>
                    </w:rPr>
                    <w:t>the PHN's perspectives on the challenges and successes during in the initial phase of implementation of the HCH</w:t>
                  </w:r>
                  <w:r>
                    <w:rPr>
                      <w:color w:val="000000"/>
                      <w:spacing w:val="1"/>
                      <w:sz w:val="18"/>
                    </w:rPr>
                    <w:t> </w:t>
                  </w:r>
                  <w:r>
                    <w:rPr>
                      <w:color w:val="000000"/>
                      <w:sz w:val="18"/>
                    </w:rPr>
                    <w:t>program. Part B focuses on assessments of participating practices using the HCH-A tool.</w:t>
                  </w:r>
                  <w:r>
                    <w:rPr>
                      <w:color w:val="000000"/>
                      <w:spacing w:val="1"/>
                      <w:sz w:val="18"/>
                    </w:rPr>
                    <w:t> </w:t>
                  </w:r>
                  <w:r>
                    <w:rPr>
                      <w:color w:val="000000"/>
                      <w:sz w:val="18"/>
                    </w:rPr>
                    <w:t>A link has been provided to</w:t>
                  </w:r>
                  <w:r>
                    <w:rPr>
                      <w:color w:val="000000"/>
                      <w:spacing w:val="1"/>
                      <w:sz w:val="18"/>
                    </w:rPr>
                    <w:t> </w:t>
                  </w:r>
                  <w:r>
                    <w:rPr>
                      <w:color w:val="000000"/>
                      <w:sz w:val="18"/>
                    </w:rPr>
                    <w:t>the survey. You may return to this link on several occasions. The survey should be completed by 30 November 2019.</w:t>
                  </w:r>
                  <w:r>
                    <w:rPr>
                      <w:color w:val="000000"/>
                      <w:spacing w:val="1"/>
                      <w:sz w:val="18"/>
                    </w:rPr>
                    <w:t> </w:t>
                  </w:r>
                  <w:r>
                    <w:rPr>
                      <w:color w:val="000000"/>
                      <w:sz w:val="18"/>
                    </w:rPr>
                    <w:t>The information you provide through this survey will be kept strictly confidential and will not be used to any purpose</w:t>
                  </w:r>
                  <w:r>
                    <w:rPr>
                      <w:color w:val="000000"/>
                      <w:spacing w:val="1"/>
                      <w:sz w:val="18"/>
                    </w:rPr>
                    <w:t> </w:t>
                  </w:r>
                  <w:r>
                    <w:rPr>
                      <w:color w:val="000000"/>
                      <w:sz w:val="18"/>
                    </w:rPr>
                    <w:t>other than the evaluation the HCH program. All reports of the evaluation will only contain description information</w:t>
                  </w:r>
                  <w:r>
                    <w:rPr>
                      <w:color w:val="000000"/>
                      <w:spacing w:val="1"/>
                      <w:sz w:val="18"/>
                    </w:rPr>
                    <w:t> </w:t>
                  </w:r>
                  <w:r>
                    <w:rPr>
                      <w:color w:val="000000"/>
                      <w:sz w:val="18"/>
                    </w:rPr>
                    <w:t>and individual PHNs. Ratings or views requested through this survey will not be attributed to an individual PHN. Your</w:t>
                  </w:r>
                  <w:r>
                    <w:rPr>
                      <w:color w:val="000000"/>
                      <w:spacing w:val="1"/>
                      <w:sz w:val="18"/>
                    </w:rPr>
                    <w:t> </w:t>
                  </w:r>
                  <w:r>
                    <w:rPr>
                      <w:color w:val="000000"/>
                      <w:sz w:val="18"/>
                    </w:rPr>
                    <w:t>PHN may</w:t>
                  </w:r>
                  <w:r>
                    <w:rPr>
                      <w:color w:val="000000"/>
                      <w:spacing w:val="-1"/>
                      <w:sz w:val="18"/>
                    </w:rPr>
                    <w:t> </w:t>
                  </w:r>
                  <w:r>
                    <w:rPr>
                      <w:color w:val="000000"/>
                      <w:sz w:val="18"/>
                    </w:rPr>
                    <w:t>be identified</w:t>
                  </w:r>
                  <w:r>
                    <w:rPr>
                      <w:color w:val="000000"/>
                      <w:spacing w:val="-4"/>
                      <w:sz w:val="18"/>
                    </w:rPr>
                    <w:t> </w:t>
                  </w:r>
                  <w:r>
                    <w:rPr>
                      <w:color w:val="000000"/>
                      <w:sz w:val="18"/>
                    </w:rPr>
                    <w:t>in</w:t>
                  </w:r>
                  <w:r>
                    <w:rPr>
                      <w:color w:val="000000"/>
                      <w:spacing w:val="-2"/>
                      <w:sz w:val="18"/>
                    </w:rPr>
                    <w:t> </w:t>
                  </w:r>
                  <w:r>
                    <w:rPr>
                      <w:color w:val="000000"/>
                      <w:sz w:val="18"/>
                    </w:rPr>
                    <w:t>reports</w:t>
                  </w:r>
                  <w:r>
                    <w:rPr>
                      <w:color w:val="000000"/>
                      <w:spacing w:val="-1"/>
                      <w:sz w:val="18"/>
                    </w:rPr>
                    <w:t> </w:t>
                  </w:r>
                  <w:r>
                    <w:rPr>
                      <w:color w:val="000000"/>
                      <w:sz w:val="18"/>
                    </w:rPr>
                    <w:t>provided</w:t>
                  </w:r>
                  <w:r>
                    <w:rPr>
                      <w:color w:val="000000"/>
                      <w:spacing w:val="-1"/>
                      <w:sz w:val="18"/>
                    </w:rPr>
                    <w:t> </w:t>
                  </w:r>
                  <w:r>
                    <w:rPr>
                      <w:color w:val="000000"/>
                      <w:sz w:val="18"/>
                    </w:rPr>
                    <w:t>to</w:t>
                  </w:r>
                  <w:r>
                    <w:rPr>
                      <w:color w:val="000000"/>
                      <w:spacing w:val="-2"/>
                      <w:sz w:val="18"/>
                    </w:rPr>
                    <w:t> </w:t>
                  </w:r>
                  <w:r>
                    <w:rPr>
                      <w:color w:val="000000"/>
                      <w:sz w:val="18"/>
                    </w:rPr>
                    <w:t>the Department</w:t>
                  </w:r>
                  <w:r>
                    <w:rPr>
                      <w:color w:val="000000"/>
                      <w:spacing w:val="-2"/>
                      <w:sz w:val="18"/>
                    </w:rPr>
                    <w:t> </w:t>
                  </w:r>
                  <w:r>
                    <w:rPr>
                      <w:color w:val="000000"/>
                      <w:sz w:val="18"/>
                    </w:rPr>
                    <w:t>of</w:t>
                  </w:r>
                  <w:r>
                    <w:rPr>
                      <w:color w:val="000000"/>
                      <w:spacing w:val="1"/>
                      <w:sz w:val="18"/>
                    </w:rPr>
                    <w:t> </w:t>
                  </w:r>
                  <w:r>
                    <w:rPr>
                      <w:color w:val="000000"/>
                      <w:sz w:val="18"/>
                    </w:rPr>
                    <w:t>Health.</w:t>
                  </w:r>
                </w:p>
                <w:p>
                  <w:pPr>
                    <w:spacing w:line="276" w:lineRule="auto" w:before="120"/>
                    <w:ind w:left="148" w:right="192" w:firstLine="0"/>
                    <w:jc w:val="left"/>
                    <w:rPr>
                      <w:color w:val="000000"/>
                      <w:sz w:val="18"/>
                    </w:rPr>
                  </w:pPr>
                  <w:r>
                    <w:rPr>
                      <w:color w:val="000000"/>
                      <w:sz w:val="18"/>
                    </w:rPr>
                    <w:t>The evaluation is being conducted by Health Policy Analysis, on behalf of the Commonwealth Department of</w:t>
                  </w:r>
                  <w:r>
                    <w:rPr>
                      <w:color w:val="000000"/>
                      <w:spacing w:val="1"/>
                      <w:sz w:val="18"/>
                    </w:rPr>
                    <w:t> </w:t>
                  </w:r>
                  <w:r>
                    <w:rPr>
                      <w:color w:val="000000"/>
                      <w:sz w:val="18"/>
                    </w:rPr>
                    <w:t>Health.</w:t>
                  </w:r>
                  <w:r>
                    <w:rPr>
                      <w:color w:val="000000"/>
                      <w:spacing w:val="-5"/>
                      <w:sz w:val="18"/>
                    </w:rPr>
                    <w:t> </w:t>
                  </w:r>
                  <w:r>
                    <w:rPr>
                      <w:color w:val="000000"/>
                      <w:sz w:val="18"/>
                    </w:rPr>
                    <w:t>If</w:t>
                  </w:r>
                  <w:r>
                    <w:rPr>
                      <w:color w:val="000000"/>
                      <w:spacing w:val="-2"/>
                      <w:sz w:val="18"/>
                    </w:rPr>
                    <w:t> </w:t>
                  </w:r>
                  <w:r>
                    <w:rPr>
                      <w:color w:val="000000"/>
                      <w:sz w:val="18"/>
                    </w:rPr>
                    <w:t>you</w:t>
                  </w:r>
                  <w:r>
                    <w:rPr>
                      <w:color w:val="000000"/>
                      <w:spacing w:val="-2"/>
                      <w:sz w:val="18"/>
                    </w:rPr>
                    <w:t> </w:t>
                  </w:r>
                  <w:r>
                    <w:rPr>
                      <w:color w:val="000000"/>
                      <w:sz w:val="18"/>
                    </w:rPr>
                    <w:t>would</w:t>
                  </w:r>
                  <w:r>
                    <w:rPr>
                      <w:color w:val="000000"/>
                      <w:spacing w:val="-4"/>
                      <w:sz w:val="18"/>
                    </w:rPr>
                    <w:t> </w:t>
                  </w:r>
                  <w:r>
                    <w:rPr>
                      <w:color w:val="000000"/>
                      <w:sz w:val="18"/>
                    </w:rPr>
                    <w:t>like</w:t>
                  </w:r>
                  <w:r>
                    <w:rPr>
                      <w:color w:val="000000"/>
                      <w:spacing w:val="-4"/>
                      <w:sz w:val="18"/>
                    </w:rPr>
                    <w:t> </w:t>
                  </w:r>
                  <w:r>
                    <w:rPr>
                      <w:color w:val="000000"/>
                      <w:sz w:val="18"/>
                    </w:rPr>
                    <w:t>any</w:t>
                  </w:r>
                  <w:r>
                    <w:rPr>
                      <w:color w:val="000000"/>
                      <w:spacing w:val="-5"/>
                      <w:sz w:val="18"/>
                    </w:rPr>
                    <w:t> </w:t>
                  </w:r>
                  <w:r>
                    <w:rPr>
                      <w:color w:val="000000"/>
                      <w:sz w:val="18"/>
                    </w:rPr>
                    <w:t>further</w:t>
                  </w:r>
                  <w:r>
                    <w:rPr>
                      <w:color w:val="000000"/>
                      <w:spacing w:val="-3"/>
                      <w:sz w:val="18"/>
                    </w:rPr>
                    <w:t> </w:t>
                  </w:r>
                  <w:r>
                    <w:rPr>
                      <w:color w:val="000000"/>
                      <w:sz w:val="18"/>
                    </w:rPr>
                    <w:t>information</w:t>
                  </w:r>
                  <w:r>
                    <w:rPr>
                      <w:color w:val="000000"/>
                      <w:spacing w:val="-3"/>
                      <w:sz w:val="18"/>
                    </w:rPr>
                    <w:t> </w:t>
                  </w:r>
                  <w:r>
                    <w:rPr>
                      <w:color w:val="000000"/>
                      <w:sz w:val="18"/>
                    </w:rPr>
                    <w:t>about</w:t>
                  </w:r>
                  <w:r>
                    <w:rPr>
                      <w:color w:val="000000"/>
                      <w:spacing w:val="-4"/>
                      <w:sz w:val="18"/>
                    </w:rPr>
                    <w:t> </w:t>
                  </w:r>
                  <w:r>
                    <w:rPr>
                      <w:color w:val="000000"/>
                      <w:sz w:val="18"/>
                    </w:rPr>
                    <w:t>this</w:t>
                  </w:r>
                  <w:r>
                    <w:rPr>
                      <w:color w:val="000000"/>
                      <w:spacing w:val="-3"/>
                      <w:sz w:val="18"/>
                    </w:rPr>
                    <w:t> </w:t>
                  </w:r>
                  <w:r>
                    <w:rPr>
                      <w:color w:val="000000"/>
                      <w:sz w:val="18"/>
                    </w:rPr>
                    <w:t>survey</w:t>
                  </w:r>
                  <w:r>
                    <w:rPr>
                      <w:color w:val="000000"/>
                      <w:spacing w:val="-3"/>
                      <w:sz w:val="18"/>
                    </w:rPr>
                    <w:t> </w:t>
                  </w:r>
                  <w:r>
                    <w:rPr>
                      <w:color w:val="000000"/>
                      <w:sz w:val="18"/>
                    </w:rPr>
                    <w:t>or</w:t>
                  </w:r>
                  <w:r>
                    <w:rPr>
                      <w:color w:val="000000"/>
                      <w:spacing w:val="-3"/>
                      <w:sz w:val="18"/>
                    </w:rPr>
                    <w:t> </w:t>
                  </w:r>
                  <w:r>
                    <w:rPr>
                      <w:color w:val="000000"/>
                      <w:sz w:val="18"/>
                    </w:rPr>
                    <w:t>the</w:t>
                  </w:r>
                  <w:r>
                    <w:rPr>
                      <w:color w:val="000000"/>
                      <w:spacing w:val="-4"/>
                      <w:sz w:val="18"/>
                    </w:rPr>
                    <w:t> </w:t>
                  </w:r>
                  <w:r>
                    <w:rPr>
                      <w:color w:val="000000"/>
                      <w:sz w:val="18"/>
                    </w:rPr>
                    <w:t>evaluation,</w:t>
                  </w:r>
                  <w:r>
                    <w:rPr>
                      <w:color w:val="000000"/>
                      <w:spacing w:val="-4"/>
                      <w:sz w:val="18"/>
                    </w:rPr>
                    <w:t> </w:t>
                  </w:r>
                  <w:r>
                    <w:rPr>
                      <w:color w:val="000000"/>
                      <w:sz w:val="18"/>
                    </w:rPr>
                    <w:t>please</w:t>
                  </w:r>
                  <w:r>
                    <w:rPr>
                      <w:color w:val="000000"/>
                      <w:spacing w:val="-2"/>
                      <w:sz w:val="18"/>
                    </w:rPr>
                    <w:t> </w:t>
                  </w:r>
                  <w:r>
                    <w:rPr>
                      <w:color w:val="000000"/>
                      <w:sz w:val="18"/>
                    </w:rPr>
                    <w:t>contact</w:t>
                  </w:r>
                  <w:r>
                    <w:rPr>
                      <w:color w:val="000000"/>
                      <w:spacing w:val="-5"/>
                      <w:sz w:val="18"/>
                    </w:rPr>
                    <w:t> </w:t>
                  </w:r>
                  <w:r>
                    <w:rPr>
                      <w:color w:val="000000"/>
                      <w:sz w:val="18"/>
                    </w:rPr>
                    <w:t>Health</w:t>
                  </w:r>
                  <w:r>
                    <w:rPr>
                      <w:color w:val="000000"/>
                      <w:spacing w:val="-2"/>
                      <w:sz w:val="18"/>
                    </w:rPr>
                    <w:t> </w:t>
                  </w:r>
                  <w:r>
                    <w:rPr>
                      <w:color w:val="000000"/>
                      <w:sz w:val="18"/>
                    </w:rPr>
                    <w:t>Policy</w:t>
                  </w:r>
                  <w:r>
                    <w:rPr>
                      <w:color w:val="000000"/>
                      <w:spacing w:val="1"/>
                      <w:sz w:val="18"/>
                    </w:rPr>
                    <w:t> </w:t>
                  </w:r>
                  <w:r>
                    <w:rPr>
                      <w:color w:val="000000"/>
                      <w:sz w:val="18"/>
                    </w:rPr>
                    <w:t>Analysis</w:t>
                  </w:r>
                  <w:r>
                    <w:rPr>
                      <w:color w:val="000000"/>
                      <w:spacing w:val="-2"/>
                      <w:sz w:val="18"/>
                    </w:rPr>
                    <w:t> </w:t>
                  </w:r>
                  <w:r>
                    <w:rPr>
                      <w:color w:val="000000"/>
                      <w:sz w:val="18"/>
                    </w:rPr>
                    <w:t>on</w:t>
                  </w:r>
                  <w:r>
                    <w:rPr>
                      <w:color w:val="000000"/>
                      <w:spacing w:val="3"/>
                      <w:sz w:val="18"/>
                    </w:rPr>
                    <w:t> </w:t>
                  </w:r>
                  <w:r>
                    <w:rPr>
                      <w:color w:val="000000"/>
                      <w:sz w:val="18"/>
                    </w:rPr>
                    <w:t>(02)</w:t>
                  </w:r>
                  <w:r>
                    <w:rPr>
                      <w:color w:val="000000"/>
                      <w:spacing w:val="-2"/>
                      <w:sz w:val="18"/>
                    </w:rPr>
                    <w:t> </w:t>
                  </w:r>
                  <w:r>
                    <w:rPr>
                      <w:color w:val="000000"/>
                      <w:sz w:val="18"/>
                    </w:rPr>
                    <w:t>8065</w:t>
                  </w:r>
                  <w:r>
                    <w:rPr>
                      <w:color w:val="000000"/>
                      <w:spacing w:val="-2"/>
                      <w:sz w:val="18"/>
                    </w:rPr>
                    <w:t> </w:t>
                  </w:r>
                  <w:r>
                    <w:rPr>
                      <w:color w:val="000000"/>
                      <w:sz w:val="18"/>
                    </w:rPr>
                    <w:t>6491 or</w:t>
                  </w:r>
                  <w:r>
                    <w:rPr>
                      <w:color w:val="000000"/>
                      <w:spacing w:val="-2"/>
                      <w:sz w:val="18"/>
                    </w:rPr>
                    <w:t> </w:t>
                  </w:r>
                  <w:hyperlink r:id="rId38">
                    <w:r>
                      <w:rPr>
                        <w:color w:val="000000"/>
                        <w:sz w:val="18"/>
                      </w:rPr>
                      <w:t>info@healthpolicy.com.au.</w:t>
                    </w:r>
                  </w:hyperlink>
                </w:p>
                <w:p>
                  <w:pPr>
                    <w:spacing w:line="276" w:lineRule="auto" w:before="120"/>
                    <w:ind w:left="148" w:right="192" w:firstLine="0"/>
                    <w:jc w:val="left"/>
                    <w:rPr>
                      <w:color w:val="000000"/>
                      <w:sz w:val="18"/>
                    </w:rPr>
                  </w:pPr>
                  <w:r>
                    <w:rPr>
                      <w:color w:val="000000"/>
                      <w:sz w:val="18"/>
                    </w:rPr>
                    <w:t>The evaluation of HCH was approved by the Department of Health Human Research Ethics Committee [Project 04-</w:t>
                  </w:r>
                  <w:r>
                    <w:rPr>
                      <w:color w:val="000000"/>
                      <w:spacing w:val="1"/>
                      <w:sz w:val="18"/>
                    </w:rPr>
                    <w:t> </w:t>
                  </w:r>
                  <w:r>
                    <w:rPr>
                      <w:color w:val="000000"/>
                      <w:sz w:val="18"/>
                    </w:rPr>
                    <w:t>2017] in September 2017. This committee subsequently disbanded, and in September 2018, ethical oversight for the</w:t>
                  </w:r>
                  <w:r>
                    <w:rPr>
                      <w:color w:val="000000"/>
                      <w:spacing w:val="1"/>
                      <w:sz w:val="18"/>
                    </w:rPr>
                    <w:t> </w:t>
                  </w:r>
                  <w:r>
                    <w:rPr>
                      <w:color w:val="000000"/>
                      <w:sz w:val="18"/>
                    </w:rPr>
                    <w:t>evaluation</w:t>
                  </w:r>
                  <w:r>
                    <w:rPr>
                      <w:color w:val="000000"/>
                      <w:spacing w:val="-3"/>
                      <w:sz w:val="18"/>
                    </w:rPr>
                    <w:t> </w:t>
                  </w:r>
                  <w:r>
                    <w:rPr>
                      <w:color w:val="000000"/>
                      <w:sz w:val="18"/>
                    </w:rPr>
                    <w:t>was</w:t>
                  </w:r>
                  <w:r>
                    <w:rPr>
                      <w:color w:val="000000"/>
                      <w:spacing w:val="-4"/>
                      <w:sz w:val="18"/>
                    </w:rPr>
                    <w:t> </w:t>
                  </w:r>
                  <w:r>
                    <w:rPr>
                      <w:color w:val="000000"/>
                      <w:sz w:val="18"/>
                    </w:rPr>
                    <w:t>transferred</w:t>
                  </w:r>
                  <w:r>
                    <w:rPr>
                      <w:color w:val="000000"/>
                      <w:spacing w:val="-4"/>
                      <w:sz w:val="18"/>
                    </w:rPr>
                    <w:t> </w:t>
                  </w:r>
                  <w:r>
                    <w:rPr>
                      <w:color w:val="000000"/>
                      <w:sz w:val="18"/>
                    </w:rPr>
                    <w:t>to</w:t>
                  </w:r>
                  <w:r>
                    <w:rPr>
                      <w:color w:val="000000"/>
                      <w:spacing w:val="-3"/>
                      <w:sz w:val="18"/>
                    </w:rPr>
                    <w:t> </w:t>
                  </w:r>
                  <w:r>
                    <w:rPr>
                      <w:color w:val="000000"/>
                      <w:sz w:val="18"/>
                    </w:rPr>
                    <w:t>the</w:t>
                  </w:r>
                  <w:r>
                    <w:rPr>
                      <w:color w:val="000000"/>
                      <w:spacing w:val="2"/>
                      <w:sz w:val="18"/>
                    </w:rPr>
                    <w:t> </w:t>
                  </w:r>
                  <w:r>
                    <w:rPr>
                      <w:color w:val="000000"/>
                      <w:sz w:val="18"/>
                    </w:rPr>
                    <w:t>ACT</w:t>
                  </w:r>
                  <w:r>
                    <w:rPr>
                      <w:color w:val="000000"/>
                      <w:spacing w:val="-6"/>
                      <w:sz w:val="18"/>
                    </w:rPr>
                    <w:t> </w:t>
                  </w:r>
                  <w:r>
                    <w:rPr>
                      <w:color w:val="000000"/>
                      <w:sz w:val="18"/>
                    </w:rPr>
                    <w:t>Health</w:t>
                  </w:r>
                  <w:r>
                    <w:rPr>
                      <w:color w:val="000000"/>
                      <w:spacing w:val="-3"/>
                      <w:sz w:val="18"/>
                    </w:rPr>
                    <w:t> </w:t>
                  </w:r>
                  <w:r>
                    <w:rPr>
                      <w:color w:val="000000"/>
                      <w:sz w:val="18"/>
                    </w:rPr>
                    <w:t>Human</w:t>
                  </w:r>
                  <w:r>
                    <w:rPr>
                      <w:color w:val="000000"/>
                      <w:spacing w:val="-3"/>
                      <w:sz w:val="18"/>
                    </w:rPr>
                    <w:t> </w:t>
                  </w:r>
                  <w:r>
                    <w:rPr>
                      <w:color w:val="000000"/>
                      <w:sz w:val="18"/>
                    </w:rPr>
                    <w:t>Research</w:t>
                  </w:r>
                  <w:r>
                    <w:rPr>
                      <w:color w:val="000000"/>
                      <w:spacing w:val="-2"/>
                      <w:sz w:val="18"/>
                    </w:rPr>
                    <w:t> </w:t>
                  </w:r>
                  <w:r>
                    <w:rPr>
                      <w:color w:val="000000"/>
                      <w:sz w:val="18"/>
                    </w:rPr>
                    <w:t>Ethics</w:t>
                  </w:r>
                  <w:r>
                    <w:rPr>
                      <w:color w:val="000000"/>
                      <w:spacing w:val="-6"/>
                      <w:sz w:val="18"/>
                    </w:rPr>
                    <w:t> </w:t>
                  </w:r>
                  <w:r>
                    <w:rPr>
                      <w:color w:val="000000"/>
                      <w:sz w:val="18"/>
                    </w:rPr>
                    <w:t>Committee.</w:t>
                  </w:r>
                  <w:r>
                    <w:rPr>
                      <w:color w:val="000000"/>
                      <w:spacing w:val="-5"/>
                      <w:sz w:val="18"/>
                    </w:rPr>
                    <w:t> </w:t>
                  </w:r>
                  <w:r>
                    <w:rPr>
                      <w:color w:val="000000"/>
                      <w:sz w:val="18"/>
                    </w:rPr>
                    <w:t>Concerns</w:t>
                  </w:r>
                  <w:r>
                    <w:rPr>
                      <w:color w:val="000000"/>
                      <w:spacing w:val="-3"/>
                      <w:sz w:val="18"/>
                    </w:rPr>
                    <w:t> </w:t>
                  </w:r>
                  <w:r>
                    <w:rPr>
                      <w:color w:val="000000"/>
                      <w:sz w:val="18"/>
                    </w:rPr>
                    <w:t>or</w:t>
                  </w:r>
                  <w:r>
                    <w:rPr>
                      <w:color w:val="000000"/>
                      <w:spacing w:val="-4"/>
                      <w:sz w:val="18"/>
                    </w:rPr>
                    <w:t> </w:t>
                  </w:r>
                  <w:r>
                    <w:rPr>
                      <w:color w:val="000000"/>
                      <w:sz w:val="18"/>
                    </w:rPr>
                    <w:t>complaints</w:t>
                  </w:r>
                  <w:r>
                    <w:rPr>
                      <w:color w:val="000000"/>
                      <w:spacing w:val="-4"/>
                      <w:sz w:val="18"/>
                    </w:rPr>
                    <w:t> </w:t>
                  </w:r>
                  <w:r>
                    <w:rPr>
                      <w:color w:val="000000"/>
                      <w:sz w:val="18"/>
                    </w:rPr>
                    <w:t>about</w:t>
                  </w:r>
                  <w:r>
                    <w:rPr>
                      <w:color w:val="000000"/>
                      <w:spacing w:val="-5"/>
                      <w:sz w:val="18"/>
                    </w:rPr>
                    <w:t> </w:t>
                  </w:r>
                  <w:r>
                    <w:rPr>
                      <w:color w:val="000000"/>
                      <w:sz w:val="18"/>
                    </w:rPr>
                    <w:t>the</w:t>
                  </w:r>
                  <w:r>
                    <w:rPr>
                      <w:color w:val="000000"/>
                      <w:spacing w:val="1"/>
                      <w:sz w:val="18"/>
                    </w:rPr>
                    <w:t> </w:t>
                  </w:r>
                  <w:r>
                    <w:rPr>
                      <w:color w:val="000000"/>
                      <w:sz w:val="18"/>
                    </w:rPr>
                    <w:t>ethical conduct of the evaluation should be made in writing to the ACT Health Human Research Ethics Office</w:t>
                  </w:r>
                  <w:r>
                    <w:rPr>
                      <w:color w:val="000000"/>
                      <w:spacing w:val="1"/>
                      <w:sz w:val="18"/>
                    </w:rPr>
                    <w:t> </w:t>
                  </w:r>
                  <w:r>
                    <w:rPr>
                      <w:color w:val="000000"/>
                      <w:sz w:val="18"/>
                    </w:rPr>
                    <w:t>(</w:t>
                  </w:r>
                  <w:hyperlink r:id="rId52">
                    <w:r>
                      <w:rPr>
                        <w:color w:val="0000FF"/>
                        <w:sz w:val="18"/>
                        <w:u w:val="single" w:color="0000FF"/>
                      </w:rPr>
                      <w:t>ethics@act.gov.au</w:t>
                    </w:r>
                  </w:hyperlink>
                  <w:r>
                    <w:rPr>
                      <w:color w:val="000000"/>
                      <w:sz w:val="18"/>
                    </w:rPr>
                    <w:t>).</w:t>
                  </w:r>
                </w:p>
              </w:txbxContent>
            </v:textbox>
            <v:fill type="solid"/>
            <w10:wrap type="topAndBottom"/>
          </v:shape>
        </w:pict>
      </w:r>
    </w:p>
    <w:p>
      <w:pPr>
        <w:pStyle w:val="BodyText"/>
        <w:spacing w:before="5"/>
        <w:rPr>
          <w:rFonts w:ascii="Arial Black"/>
          <w:sz w:val="17"/>
        </w:rPr>
      </w:pPr>
    </w:p>
    <w:p>
      <w:pPr>
        <w:pStyle w:val="ListParagraph"/>
        <w:numPr>
          <w:ilvl w:val="0"/>
          <w:numId w:val="108"/>
        </w:numPr>
        <w:tabs>
          <w:tab w:pos="704" w:val="left" w:leader="none"/>
        </w:tabs>
        <w:spacing w:line="240" w:lineRule="auto" w:before="100" w:after="0"/>
        <w:ind w:left="703" w:right="0" w:hanging="284"/>
        <w:jc w:val="left"/>
        <w:rPr>
          <w:sz w:val="18"/>
        </w:rPr>
      </w:pPr>
      <w:r>
        <w:rPr>
          <w:sz w:val="18"/>
        </w:rPr>
        <w:t>PHN</w:t>
      </w:r>
      <w:r>
        <w:rPr>
          <w:spacing w:val="-3"/>
          <w:sz w:val="18"/>
        </w:rPr>
        <w:t> </w:t>
      </w:r>
      <w:r>
        <w:rPr>
          <w:sz w:val="18"/>
        </w:rPr>
        <w:t>name:</w:t>
      </w:r>
    </w:p>
    <w:p>
      <w:pPr>
        <w:pStyle w:val="BodyText"/>
      </w:pPr>
    </w:p>
    <w:p>
      <w:pPr>
        <w:pStyle w:val="BodyText"/>
        <w:spacing w:before="1"/>
        <w:rPr>
          <w:sz w:val="19"/>
        </w:rPr>
      </w:pPr>
      <w:r>
        <w:rPr/>
        <w:pict>
          <v:shape style="position:absolute;margin-left:39.360001pt;margin-top:12.934265pt;width:239.75pt;height:.1pt;mso-position-horizontal-relative:page;mso-position-vertical-relative:paragraph;z-index:-15298560;mso-wrap-distance-left:0;mso-wrap-distance-right:0" id="docshape245" coordorigin="787,259" coordsize="4795,0" path="m787,259l5582,259e" filled="false" stroked="true" strokeweight=".498pt" strokecolor="#bdbdbd">
            <v:path arrowok="t"/>
            <v:stroke dashstyle="solid"/>
            <w10:wrap type="topAndBottom"/>
          </v:shape>
        </w:pict>
      </w:r>
    </w:p>
    <w:p>
      <w:pPr>
        <w:pStyle w:val="BodyText"/>
        <w:spacing w:before="7"/>
        <w:rPr>
          <w:sz w:val="12"/>
        </w:rPr>
      </w:pPr>
    </w:p>
    <w:p>
      <w:pPr>
        <w:pStyle w:val="ListParagraph"/>
        <w:numPr>
          <w:ilvl w:val="0"/>
          <w:numId w:val="108"/>
        </w:numPr>
        <w:tabs>
          <w:tab w:pos="704" w:val="left" w:leader="none"/>
        </w:tabs>
        <w:spacing w:line="240" w:lineRule="auto" w:before="100" w:after="0"/>
        <w:ind w:left="703" w:right="0" w:hanging="284"/>
        <w:jc w:val="left"/>
        <w:rPr>
          <w:sz w:val="18"/>
        </w:rPr>
      </w:pPr>
      <w:r>
        <w:rPr>
          <w:sz w:val="18"/>
        </w:rPr>
        <w:t>Who</w:t>
      </w:r>
      <w:r>
        <w:rPr>
          <w:spacing w:val="-3"/>
          <w:sz w:val="18"/>
        </w:rPr>
        <w:t> </w:t>
      </w:r>
      <w:r>
        <w:rPr>
          <w:sz w:val="18"/>
        </w:rPr>
        <w:t>should</w:t>
      </w:r>
      <w:r>
        <w:rPr>
          <w:spacing w:val="-3"/>
          <w:sz w:val="18"/>
        </w:rPr>
        <w:t> </w:t>
      </w:r>
      <w:r>
        <w:rPr>
          <w:sz w:val="18"/>
        </w:rPr>
        <w:t>be</w:t>
      </w:r>
      <w:r>
        <w:rPr>
          <w:spacing w:val="-2"/>
          <w:sz w:val="18"/>
        </w:rPr>
        <w:t> </w:t>
      </w:r>
      <w:r>
        <w:rPr>
          <w:sz w:val="18"/>
        </w:rPr>
        <w:t>contacted</w:t>
      </w:r>
      <w:r>
        <w:rPr>
          <w:spacing w:val="-3"/>
          <w:sz w:val="18"/>
        </w:rPr>
        <w:t> </w:t>
      </w:r>
      <w:r>
        <w:rPr>
          <w:sz w:val="18"/>
        </w:rPr>
        <w:t>if</w:t>
      </w:r>
      <w:r>
        <w:rPr>
          <w:spacing w:val="-4"/>
          <w:sz w:val="18"/>
        </w:rPr>
        <w:t> </w:t>
      </w:r>
      <w:r>
        <w:rPr>
          <w:sz w:val="18"/>
        </w:rPr>
        <w:t>we</w:t>
      </w:r>
      <w:r>
        <w:rPr>
          <w:spacing w:val="-3"/>
          <w:sz w:val="18"/>
        </w:rPr>
        <w:t> </w:t>
      </w:r>
      <w:r>
        <w:rPr>
          <w:sz w:val="18"/>
        </w:rPr>
        <w:t>have</w:t>
      </w:r>
      <w:r>
        <w:rPr>
          <w:spacing w:val="-2"/>
          <w:sz w:val="18"/>
        </w:rPr>
        <w:t> </w:t>
      </w:r>
      <w:r>
        <w:rPr>
          <w:sz w:val="18"/>
        </w:rPr>
        <w:t>any</w:t>
      </w:r>
      <w:r>
        <w:rPr>
          <w:spacing w:val="-3"/>
          <w:sz w:val="18"/>
        </w:rPr>
        <w:t> </w:t>
      </w:r>
      <w:r>
        <w:rPr>
          <w:sz w:val="18"/>
        </w:rPr>
        <w:t>questions</w:t>
      </w:r>
      <w:r>
        <w:rPr>
          <w:spacing w:val="-5"/>
          <w:sz w:val="18"/>
        </w:rPr>
        <w:t> </w:t>
      </w:r>
      <w:r>
        <w:rPr>
          <w:sz w:val="18"/>
        </w:rPr>
        <w:t>about</w:t>
      </w:r>
      <w:r>
        <w:rPr>
          <w:spacing w:val="-4"/>
          <w:sz w:val="18"/>
        </w:rPr>
        <w:t> </w:t>
      </w:r>
      <w:r>
        <w:rPr>
          <w:sz w:val="18"/>
        </w:rPr>
        <w:t>your</w:t>
      </w:r>
      <w:r>
        <w:rPr>
          <w:spacing w:val="-2"/>
          <w:sz w:val="18"/>
        </w:rPr>
        <w:t> </w:t>
      </w:r>
      <w:r>
        <w:rPr>
          <w:sz w:val="18"/>
        </w:rPr>
        <w:t>responses</w:t>
      </w:r>
      <w:r>
        <w:rPr>
          <w:spacing w:val="-3"/>
          <w:sz w:val="18"/>
        </w:rPr>
        <w:t> </w:t>
      </w:r>
      <w:r>
        <w:rPr>
          <w:sz w:val="18"/>
        </w:rPr>
        <w:t>to</w:t>
      </w:r>
      <w:r>
        <w:rPr>
          <w:spacing w:val="-3"/>
          <w:sz w:val="18"/>
        </w:rPr>
        <w:t> </w:t>
      </w:r>
      <w:r>
        <w:rPr>
          <w:sz w:val="18"/>
        </w:rPr>
        <w:t>this</w:t>
      </w:r>
      <w:r>
        <w:rPr>
          <w:spacing w:val="-3"/>
          <w:sz w:val="18"/>
        </w:rPr>
        <w:t> </w:t>
      </w:r>
      <w:r>
        <w:rPr>
          <w:sz w:val="18"/>
        </w:rPr>
        <w:t>survey?</w:t>
      </w:r>
    </w:p>
    <w:p>
      <w:pPr>
        <w:pStyle w:val="BodyText"/>
        <w:spacing w:before="7"/>
        <w:rPr>
          <w:sz w:val="14"/>
        </w:rPr>
      </w:pPr>
    </w:p>
    <w:p>
      <w:pPr>
        <w:tabs>
          <w:tab w:pos="7059" w:val="left" w:leader="none"/>
        </w:tabs>
        <w:spacing w:before="101"/>
        <w:ind w:left="1771" w:right="0" w:firstLine="0"/>
        <w:jc w:val="left"/>
        <w:rPr>
          <w:sz w:val="18"/>
        </w:rPr>
      </w:pPr>
      <w:r>
        <w:rPr/>
        <w:drawing>
          <wp:anchor distT="0" distB="0" distL="0" distR="0" allowOverlap="1" layoutInCell="1" locked="0" behindDoc="0" simplePos="0" relativeHeight="16159232">
            <wp:simplePos x="0" y="0"/>
            <wp:positionH relativeFrom="page">
              <wp:posOffset>1102145</wp:posOffset>
            </wp:positionH>
            <wp:positionV relativeFrom="paragraph">
              <wp:posOffset>108156</wp:posOffset>
            </wp:positionV>
            <wp:extent cx="58380" cy="73869"/>
            <wp:effectExtent l="0" t="0" r="0" b="0"/>
            <wp:wrapNone/>
            <wp:docPr id="2155" name="image14.png"/>
            <wp:cNvGraphicFramePr>
              <a:graphicFrameLocks noChangeAspect="1"/>
            </wp:cNvGraphicFramePr>
            <a:graphic>
              <a:graphicData uri="http://schemas.openxmlformats.org/drawingml/2006/picture">
                <pic:pic>
                  <pic:nvPicPr>
                    <pic:cNvPr id="2156"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Name</w:t>
      </w:r>
      <w:r>
        <w:rPr>
          <w:spacing w:val="43"/>
          <w:sz w:val="18"/>
        </w:rPr>
        <w:t> </w:t>
      </w:r>
      <w:r>
        <w:rPr>
          <w:sz w:val="18"/>
        </w:rPr>
        <w:t>(1)</w:t>
      </w:r>
      <w:r>
        <w:rPr>
          <w:spacing w:val="-1"/>
          <w:sz w:val="18"/>
        </w:rPr>
        <w:t> </w:t>
      </w:r>
      <w:r>
        <w:rPr>
          <w:sz w:val="18"/>
          <w:u w:val="single" w:color="BDBDBD"/>
        </w:rPr>
        <w:t> </w:t>
        <w:tab/>
      </w:r>
    </w:p>
    <w:p>
      <w:pPr>
        <w:tabs>
          <w:tab w:pos="7078" w:val="left" w:leader="none"/>
        </w:tabs>
        <w:spacing w:before="0"/>
        <w:ind w:left="1771" w:right="0" w:firstLine="0"/>
        <w:jc w:val="left"/>
        <w:rPr>
          <w:sz w:val="18"/>
        </w:rPr>
      </w:pPr>
      <w:r>
        <w:rPr/>
        <w:drawing>
          <wp:anchor distT="0" distB="0" distL="0" distR="0" allowOverlap="1" layoutInCell="1" locked="0" behindDoc="0" simplePos="0" relativeHeight="16159744">
            <wp:simplePos x="0" y="0"/>
            <wp:positionH relativeFrom="page">
              <wp:posOffset>1102145</wp:posOffset>
            </wp:positionH>
            <wp:positionV relativeFrom="paragraph">
              <wp:posOffset>44214</wp:posOffset>
            </wp:positionV>
            <wp:extent cx="58380" cy="72151"/>
            <wp:effectExtent l="0" t="0" r="0" b="0"/>
            <wp:wrapNone/>
            <wp:docPr id="2157" name="image13.png"/>
            <wp:cNvGraphicFramePr>
              <a:graphicFrameLocks noChangeAspect="1"/>
            </wp:cNvGraphicFramePr>
            <a:graphic>
              <a:graphicData uri="http://schemas.openxmlformats.org/drawingml/2006/picture">
                <pic:pic>
                  <pic:nvPicPr>
                    <pic:cNvPr id="215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Phone</w:t>
      </w:r>
      <w:r>
        <w:rPr>
          <w:spacing w:val="45"/>
          <w:sz w:val="18"/>
        </w:rPr>
        <w:t> </w:t>
      </w:r>
      <w:r>
        <w:rPr>
          <w:sz w:val="18"/>
        </w:rPr>
        <w:t>(2)</w:t>
      </w:r>
      <w:r>
        <w:rPr>
          <w:spacing w:val="-1"/>
          <w:sz w:val="18"/>
        </w:rPr>
        <w:t> </w:t>
      </w:r>
      <w:r>
        <w:rPr>
          <w:sz w:val="18"/>
          <w:u w:val="single" w:color="BDBDBD"/>
        </w:rPr>
        <w:t> </w:t>
        <w:tab/>
      </w:r>
    </w:p>
    <w:p>
      <w:pPr>
        <w:tabs>
          <w:tab w:pos="6977" w:val="left" w:leader="none"/>
        </w:tabs>
        <w:spacing w:before="0"/>
        <w:ind w:left="1771" w:right="0" w:firstLine="0"/>
        <w:jc w:val="left"/>
        <w:rPr>
          <w:sz w:val="18"/>
        </w:rPr>
      </w:pPr>
      <w:r>
        <w:rPr/>
        <w:drawing>
          <wp:anchor distT="0" distB="0" distL="0" distR="0" allowOverlap="1" layoutInCell="1" locked="0" behindDoc="0" simplePos="0" relativeHeight="16160256">
            <wp:simplePos x="0" y="0"/>
            <wp:positionH relativeFrom="page">
              <wp:posOffset>1102145</wp:posOffset>
            </wp:positionH>
            <wp:positionV relativeFrom="paragraph">
              <wp:posOffset>44214</wp:posOffset>
            </wp:positionV>
            <wp:extent cx="58380" cy="72151"/>
            <wp:effectExtent l="0" t="0" r="0" b="0"/>
            <wp:wrapNone/>
            <wp:docPr id="2159" name="image13.png"/>
            <wp:cNvGraphicFramePr>
              <a:graphicFrameLocks noChangeAspect="1"/>
            </wp:cNvGraphicFramePr>
            <a:graphic>
              <a:graphicData uri="http://schemas.openxmlformats.org/drawingml/2006/picture">
                <pic:pic>
                  <pic:nvPicPr>
                    <pic:cNvPr id="216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Email</w:t>
      </w:r>
      <w:r>
        <w:rPr>
          <w:spacing w:val="47"/>
          <w:sz w:val="18"/>
        </w:rPr>
        <w:t> </w:t>
      </w:r>
      <w:r>
        <w:rPr>
          <w:sz w:val="18"/>
        </w:rPr>
        <w:t>(3)</w:t>
      </w:r>
      <w:r>
        <w:rPr>
          <w:spacing w:val="-1"/>
          <w:sz w:val="18"/>
        </w:rPr>
        <w:t> </w:t>
      </w:r>
      <w:r>
        <w:rPr>
          <w:sz w:val="18"/>
          <w:u w:val="single" w:color="BDBDBD"/>
        </w:rPr>
        <w:t> </w:t>
        <w:tab/>
      </w:r>
    </w:p>
    <w:p>
      <w:pPr>
        <w:pStyle w:val="BodyText"/>
        <w:spacing w:before="9"/>
        <w:rPr>
          <w:sz w:val="14"/>
        </w:rPr>
      </w:pPr>
    </w:p>
    <w:p>
      <w:pPr>
        <w:spacing w:before="100"/>
        <w:ind w:left="420" w:right="0" w:firstLine="0"/>
        <w:jc w:val="left"/>
        <w:rPr>
          <w:b/>
          <w:sz w:val="18"/>
        </w:rPr>
      </w:pPr>
      <w:r>
        <w:rPr>
          <w:b/>
          <w:sz w:val="18"/>
        </w:rPr>
        <w:t>Training,</w:t>
      </w:r>
      <w:r>
        <w:rPr>
          <w:b/>
          <w:spacing w:val="-2"/>
          <w:sz w:val="18"/>
        </w:rPr>
        <w:t> </w:t>
      </w:r>
      <w:r>
        <w:rPr>
          <w:b/>
          <w:sz w:val="18"/>
        </w:rPr>
        <w:t>facilitation</w:t>
      </w:r>
      <w:r>
        <w:rPr>
          <w:b/>
          <w:spacing w:val="-2"/>
          <w:sz w:val="18"/>
        </w:rPr>
        <w:t> </w:t>
      </w:r>
      <w:r>
        <w:rPr>
          <w:b/>
          <w:sz w:val="18"/>
        </w:rPr>
        <w:t>and</w:t>
      </w:r>
      <w:r>
        <w:rPr>
          <w:b/>
          <w:spacing w:val="-1"/>
          <w:sz w:val="18"/>
        </w:rPr>
        <w:t> </w:t>
      </w:r>
      <w:r>
        <w:rPr>
          <w:b/>
          <w:sz w:val="18"/>
        </w:rPr>
        <w:t>support</w:t>
      </w:r>
      <w:r>
        <w:rPr>
          <w:b/>
          <w:spacing w:val="-4"/>
          <w:sz w:val="18"/>
        </w:rPr>
        <w:t> </w:t>
      </w:r>
      <w:r>
        <w:rPr>
          <w:b/>
          <w:sz w:val="18"/>
        </w:rPr>
        <w:t>provided</w:t>
      </w:r>
      <w:r>
        <w:rPr>
          <w:b/>
          <w:spacing w:val="-4"/>
          <w:sz w:val="18"/>
        </w:rPr>
        <w:t> </w:t>
      </w:r>
      <w:r>
        <w:rPr>
          <w:b/>
          <w:sz w:val="18"/>
        </w:rPr>
        <w:t>by</w:t>
      </w:r>
      <w:r>
        <w:rPr>
          <w:b/>
          <w:spacing w:val="-1"/>
          <w:sz w:val="18"/>
        </w:rPr>
        <w:t> </w:t>
      </w:r>
      <w:r>
        <w:rPr>
          <w:b/>
          <w:sz w:val="18"/>
        </w:rPr>
        <w:t>PHN</w:t>
      </w:r>
      <w:r>
        <w:rPr>
          <w:b/>
          <w:spacing w:val="-3"/>
          <w:sz w:val="18"/>
        </w:rPr>
        <w:t> </w:t>
      </w:r>
      <w:r>
        <w:rPr>
          <w:b/>
          <w:sz w:val="18"/>
        </w:rPr>
        <w:t>staff</w:t>
      </w:r>
      <w:r>
        <w:rPr>
          <w:b/>
          <w:spacing w:val="-2"/>
          <w:sz w:val="18"/>
        </w:rPr>
        <w:t> </w:t>
      </w:r>
      <w:r>
        <w:rPr>
          <w:b/>
          <w:sz w:val="18"/>
        </w:rPr>
        <w:t>to</w:t>
      </w:r>
      <w:r>
        <w:rPr>
          <w:b/>
          <w:spacing w:val="-3"/>
          <w:sz w:val="18"/>
        </w:rPr>
        <w:t> </w:t>
      </w:r>
      <w:r>
        <w:rPr>
          <w:b/>
          <w:sz w:val="18"/>
        </w:rPr>
        <w:t>practices</w:t>
      </w:r>
      <w:r>
        <w:rPr>
          <w:b/>
          <w:spacing w:val="-2"/>
          <w:sz w:val="18"/>
        </w:rPr>
        <w:t> </w:t>
      </w:r>
      <w:r>
        <w:rPr>
          <w:b/>
          <w:sz w:val="18"/>
        </w:rPr>
        <w:t>to</w:t>
      </w:r>
      <w:r>
        <w:rPr>
          <w:b/>
          <w:spacing w:val="-3"/>
          <w:sz w:val="18"/>
        </w:rPr>
        <w:t> </w:t>
      </w:r>
      <w:r>
        <w:rPr>
          <w:b/>
          <w:sz w:val="18"/>
        </w:rPr>
        <w:t>support</w:t>
      </w:r>
      <w:r>
        <w:rPr>
          <w:b/>
          <w:spacing w:val="-4"/>
          <w:sz w:val="18"/>
        </w:rPr>
        <w:t> </w:t>
      </w:r>
      <w:r>
        <w:rPr>
          <w:b/>
          <w:sz w:val="18"/>
        </w:rPr>
        <w:t>implementation</w:t>
      </w:r>
      <w:r>
        <w:rPr>
          <w:b/>
          <w:spacing w:val="-1"/>
          <w:sz w:val="18"/>
        </w:rPr>
        <w:t> </w:t>
      </w:r>
      <w:r>
        <w:rPr>
          <w:b/>
          <w:sz w:val="18"/>
        </w:rPr>
        <w:t>of</w:t>
      </w:r>
      <w:r>
        <w:rPr>
          <w:b/>
          <w:spacing w:val="-3"/>
          <w:sz w:val="18"/>
        </w:rPr>
        <w:t> </w:t>
      </w:r>
      <w:r>
        <w:rPr>
          <w:b/>
          <w:sz w:val="18"/>
        </w:rPr>
        <w:t>HCH</w:t>
      </w:r>
    </w:p>
    <w:p>
      <w:pPr>
        <w:pStyle w:val="BodyText"/>
        <w:rPr>
          <w:b/>
          <w:sz w:val="19"/>
        </w:rPr>
      </w:pPr>
    </w:p>
    <w:p>
      <w:pPr>
        <w:pStyle w:val="ListParagraph"/>
        <w:numPr>
          <w:ilvl w:val="0"/>
          <w:numId w:val="108"/>
        </w:numPr>
        <w:tabs>
          <w:tab w:pos="704" w:val="left" w:leader="none"/>
        </w:tabs>
        <w:spacing w:line="240" w:lineRule="auto" w:before="0" w:after="0"/>
        <w:ind w:left="703" w:right="788" w:hanging="284"/>
        <w:jc w:val="left"/>
        <w:rPr>
          <w:sz w:val="18"/>
        </w:rPr>
      </w:pPr>
      <w:r>
        <w:rPr>
          <w:sz w:val="18"/>
        </w:rPr>
        <w:t>Did the PHN provide any training workshops/webinars in which HCH practices participated since the last PHN survey,</w:t>
      </w:r>
      <w:r>
        <w:rPr>
          <w:spacing w:val="-47"/>
          <w:sz w:val="18"/>
        </w:rPr>
        <w:t> </w:t>
      </w:r>
      <w:r>
        <w:rPr>
          <w:sz w:val="18"/>
        </w:rPr>
        <w:t>that</w:t>
      </w:r>
      <w:r>
        <w:rPr>
          <w:spacing w:val="-3"/>
          <w:sz w:val="18"/>
        </w:rPr>
        <w:t> </w:t>
      </w:r>
      <w:r>
        <w:rPr>
          <w:sz w:val="18"/>
        </w:rPr>
        <w:t>is,</w:t>
      </w:r>
      <w:r>
        <w:rPr>
          <w:spacing w:val="-3"/>
          <w:sz w:val="18"/>
        </w:rPr>
        <w:t> </w:t>
      </w:r>
      <w:r>
        <w:rPr>
          <w:sz w:val="18"/>
        </w:rPr>
        <w:t>from</w:t>
      </w:r>
      <w:r>
        <w:rPr>
          <w:spacing w:val="1"/>
          <w:sz w:val="18"/>
        </w:rPr>
        <w:t> </w:t>
      </w:r>
      <w:r>
        <w:rPr>
          <w:sz w:val="18"/>
        </w:rPr>
        <w:t>April 2018 to</w:t>
      </w:r>
      <w:r>
        <w:rPr>
          <w:spacing w:val="-1"/>
          <w:sz w:val="18"/>
        </w:rPr>
        <w:t> </w:t>
      </w:r>
      <w:r>
        <w:rPr>
          <w:sz w:val="18"/>
        </w:rPr>
        <w:t>November</w:t>
      </w:r>
      <w:r>
        <w:rPr>
          <w:spacing w:val="1"/>
          <w:sz w:val="18"/>
        </w:rPr>
        <w:t> </w:t>
      </w:r>
      <w:r>
        <w:rPr>
          <w:sz w:val="18"/>
        </w:rPr>
        <w:t>2019?</w:t>
      </w:r>
    </w:p>
    <w:p>
      <w:pPr>
        <w:pStyle w:val="BodyText"/>
        <w:spacing w:before="7"/>
        <w:rPr>
          <w:sz w:val="14"/>
        </w:rPr>
      </w:pPr>
    </w:p>
    <w:p>
      <w:pPr>
        <w:spacing w:before="100"/>
        <w:ind w:left="1771" w:right="0" w:firstLine="0"/>
        <w:jc w:val="left"/>
        <w:rPr>
          <w:sz w:val="18"/>
        </w:rPr>
      </w:pPr>
      <w:r>
        <w:rPr/>
        <w:drawing>
          <wp:anchor distT="0" distB="0" distL="0" distR="0" allowOverlap="1" layoutInCell="1" locked="0" behindDoc="0" simplePos="0" relativeHeight="16160768">
            <wp:simplePos x="0" y="0"/>
            <wp:positionH relativeFrom="page">
              <wp:posOffset>1102145</wp:posOffset>
            </wp:positionH>
            <wp:positionV relativeFrom="paragraph">
              <wp:posOffset>107714</wp:posOffset>
            </wp:positionV>
            <wp:extent cx="58380" cy="72151"/>
            <wp:effectExtent l="0" t="0" r="0" b="0"/>
            <wp:wrapNone/>
            <wp:docPr id="2161" name="image13.png"/>
            <wp:cNvGraphicFramePr>
              <a:graphicFrameLocks noChangeAspect="1"/>
            </wp:cNvGraphicFramePr>
            <a:graphic>
              <a:graphicData uri="http://schemas.openxmlformats.org/drawingml/2006/picture">
                <pic:pic>
                  <pic:nvPicPr>
                    <pic:cNvPr id="216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Yes</w:t>
      </w:r>
      <w:r>
        <w:rPr>
          <w:spacing w:val="49"/>
          <w:sz w:val="18"/>
        </w:rPr>
        <w:t> </w:t>
      </w:r>
      <w:r>
        <w:rPr>
          <w:sz w:val="18"/>
        </w:rPr>
        <w:t>(4)</w:t>
      </w:r>
    </w:p>
    <w:p>
      <w:pPr>
        <w:spacing w:before="0"/>
        <w:ind w:left="1771" w:right="0" w:firstLine="0"/>
        <w:jc w:val="left"/>
        <w:rPr>
          <w:sz w:val="18"/>
        </w:rPr>
      </w:pPr>
      <w:r>
        <w:rPr/>
        <w:drawing>
          <wp:anchor distT="0" distB="0" distL="0" distR="0" allowOverlap="1" layoutInCell="1" locked="0" behindDoc="0" simplePos="0" relativeHeight="16161280">
            <wp:simplePos x="0" y="0"/>
            <wp:positionH relativeFrom="page">
              <wp:posOffset>1102145</wp:posOffset>
            </wp:positionH>
            <wp:positionV relativeFrom="paragraph">
              <wp:posOffset>44214</wp:posOffset>
            </wp:positionV>
            <wp:extent cx="58380" cy="72151"/>
            <wp:effectExtent l="0" t="0" r="0" b="0"/>
            <wp:wrapNone/>
            <wp:docPr id="2163" name="image13.png"/>
            <wp:cNvGraphicFramePr>
              <a:graphicFrameLocks noChangeAspect="1"/>
            </wp:cNvGraphicFramePr>
            <a:graphic>
              <a:graphicData uri="http://schemas.openxmlformats.org/drawingml/2006/picture">
                <pic:pic>
                  <pic:nvPicPr>
                    <pic:cNvPr id="216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w:t>
      </w:r>
      <w:r>
        <w:rPr>
          <w:spacing w:val="49"/>
          <w:sz w:val="18"/>
        </w:rPr>
        <w:t> </w:t>
      </w:r>
      <w:r>
        <w:rPr>
          <w:sz w:val="18"/>
        </w:rPr>
        <w:t>(5)</w:t>
      </w:r>
    </w:p>
    <w:p>
      <w:pPr>
        <w:pStyle w:val="BodyText"/>
        <w:spacing w:before="9"/>
        <w:rPr>
          <w:sz w:val="14"/>
        </w:rPr>
      </w:pPr>
    </w:p>
    <w:p>
      <w:pPr>
        <w:spacing w:line="276" w:lineRule="auto" w:before="100"/>
        <w:ind w:left="420" w:right="863" w:firstLine="0"/>
        <w:jc w:val="left"/>
        <w:rPr>
          <w:sz w:val="18"/>
        </w:rPr>
      </w:pPr>
      <w:r>
        <w:rPr>
          <w:sz w:val="18"/>
        </w:rPr>
        <w:t>3a. If you answered yes to Q3, please provide the following details of the training workshop(s)/webinar(s) organised for</w:t>
      </w:r>
      <w:r>
        <w:rPr>
          <w:spacing w:val="-48"/>
          <w:sz w:val="18"/>
        </w:rPr>
        <w:t> </w:t>
      </w:r>
      <w:r>
        <w:rPr>
          <w:sz w:val="18"/>
        </w:rPr>
        <w:t>HCH</w:t>
      </w:r>
      <w:r>
        <w:rPr>
          <w:spacing w:val="-1"/>
          <w:sz w:val="18"/>
        </w:rPr>
        <w:t> </w:t>
      </w:r>
      <w:r>
        <w:rPr>
          <w:sz w:val="18"/>
        </w:rPr>
        <w:t>practices/practice</w:t>
      </w:r>
      <w:r>
        <w:rPr>
          <w:spacing w:val="-3"/>
          <w:sz w:val="18"/>
        </w:rPr>
        <w:t> </w:t>
      </w:r>
      <w:r>
        <w:rPr>
          <w:sz w:val="18"/>
        </w:rPr>
        <w:t>staff related</w:t>
      </w:r>
      <w:r>
        <w:rPr>
          <w:spacing w:val="-2"/>
          <w:sz w:val="18"/>
        </w:rPr>
        <w:t> </w:t>
      </w:r>
      <w:r>
        <w:rPr>
          <w:sz w:val="18"/>
        </w:rPr>
        <w:t>to</w:t>
      </w:r>
      <w:r>
        <w:rPr>
          <w:spacing w:val="-2"/>
          <w:sz w:val="18"/>
        </w:rPr>
        <w:t> </w:t>
      </w:r>
      <w:r>
        <w:rPr>
          <w:sz w:val="18"/>
        </w:rPr>
        <w:t>the HCH</w:t>
      </w:r>
      <w:r>
        <w:rPr>
          <w:spacing w:val="-2"/>
          <w:sz w:val="18"/>
        </w:rPr>
        <w:t> </w:t>
      </w:r>
      <w:r>
        <w:rPr>
          <w:sz w:val="18"/>
        </w:rPr>
        <w:t>program</w:t>
      </w:r>
      <w:r>
        <w:rPr>
          <w:spacing w:val="-4"/>
          <w:sz w:val="18"/>
        </w:rPr>
        <w:t> </w:t>
      </w:r>
      <w:r>
        <w:rPr>
          <w:sz w:val="18"/>
        </w:rPr>
        <w:t>implementation</w:t>
      </w:r>
      <w:r>
        <w:rPr>
          <w:spacing w:val="-1"/>
          <w:sz w:val="18"/>
        </w:rPr>
        <w:t> </w:t>
      </w:r>
      <w:r>
        <w:rPr>
          <w:sz w:val="18"/>
        </w:rPr>
        <w:t>in</w:t>
      </w:r>
      <w:r>
        <w:rPr>
          <w:spacing w:val="-3"/>
          <w:sz w:val="18"/>
        </w:rPr>
        <w:t> </w:t>
      </w:r>
      <w:r>
        <w:rPr>
          <w:sz w:val="18"/>
        </w:rPr>
        <w:t>the format</w:t>
      </w:r>
      <w:r>
        <w:rPr>
          <w:spacing w:val="-3"/>
          <w:sz w:val="18"/>
        </w:rPr>
        <w:t> </w:t>
      </w:r>
      <w:r>
        <w:rPr>
          <w:sz w:val="18"/>
        </w:rPr>
        <w:t>below.</w:t>
      </w:r>
    </w:p>
    <w:p>
      <w:pPr>
        <w:pStyle w:val="BodyText"/>
        <w:spacing w:before="3"/>
        <w:rPr>
          <w:sz w:val="8"/>
        </w:rPr>
      </w:pPr>
    </w:p>
    <w:p>
      <w:pPr>
        <w:tabs>
          <w:tab w:pos="8847" w:val="left" w:leader="none"/>
        </w:tabs>
        <w:spacing w:before="100"/>
        <w:ind w:left="1771" w:right="0" w:firstLine="0"/>
        <w:jc w:val="left"/>
        <w:rPr>
          <w:sz w:val="18"/>
        </w:rPr>
      </w:pPr>
      <w:r>
        <w:rPr/>
        <w:drawing>
          <wp:anchor distT="0" distB="0" distL="0" distR="0" allowOverlap="1" layoutInCell="1" locked="0" behindDoc="0" simplePos="0" relativeHeight="16161792">
            <wp:simplePos x="0" y="0"/>
            <wp:positionH relativeFrom="page">
              <wp:posOffset>1102145</wp:posOffset>
            </wp:positionH>
            <wp:positionV relativeFrom="paragraph">
              <wp:posOffset>107333</wp:posOffset>
            </wp:positionV>
            <wp:extent cx="58380" cy="72151"/>
            <wp:effectExtent l="0" t="0" r="0" b="0"/>
            <wp:wrapNone/>
            <wp:docPr id="2165" name="image13.png"/>
            <wp:cNvGraphicFramePr>
              <a:graphicFrameLocks noChangeAspect="1"/>
            </wp:cNvGraphicFramePr>
            <a:graphic>
              <a:graphicData uri="http://schemas.openxmlformats.org/drawingml/2006/picture">
                <pic:pic>
                  <pic:nvPicPr>
                    <pic:cNvPr id="216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Date</w:t>
      </w:r>
      <w:r>
        <w:rPr>
          <w:spacing w:val="-3"/>
          <w:sz w:val="18"/>
        </w:rPr>
        <w:t> </w:t>
      </w:r>
      <w:r>
        <w:rPr>
          <w:sz w:val="18"/>
        </w:rPr>
        <w:t>of</w:t>
      </w:r>
      <w:r>
        <w:rPr>
          <w:spacing w:val="-2"/>
          <w:sz w:val="18"/>
        </w:rPr>
        <w:t> </w:t>
      </w:r>
      <w:r>
        <w:rPr>
          <w:sz w:val="18"/>
        </w:rPr>
        <w:t>workshop/webinar</w:t>
      </w:r>
      <w:r>
        <w:rPr>
          <w:spacing w:val="42"/>
          <w:sz w:val="18"/>
        </w:rPr>
        <w:t> </w:t>
      </w:r>
      <w:r>
        <w:rPr>
          <w:sz w:val="18"/>
        </w:rPr>
        <w:t>(1)</w:t>
      </w:r>
      <w:r>
        <w:rPr>
          <w:spacing w:val="1"/>
          <w:sz w:val="18"/>
        </w:rPr>
        <w:t> </w:t>
      </w:r>
      <w:r>
        <w:rPr>
          <w:sz w:val="18"/>
          <w:u w:val="single" w:color="BDBDBD"/>
        </w:rPr>
        <w:t> </w:t>
        <w:tab/>
      </w:r>
    </w:p>
    <w:p>
      <w:pPr>
        <w:tabs>
          <w:tab w:pos="7906" w:val="left" w:leader="none"/>
          <w:tab w:pos="10573" w:val="left" w:leader="none"/>
        </w:tabs>
        <w:spacing w:before="0"/>
        <w:ind w:left="1771" w:right="1030" w:firstLine="0"/>
        <w:jc w:val="left"/>
        <w:rPr>
          <w:sz w:val="18"/>
        </w:rPr>
      </w:pPr>
      <w:r>
        <w:rPr/>
        <w:drawing>
          <wp:anchor distT="0" distB="0" distL="0" distR="0" allowOverlap="1" layoutInCell="1" locked="0" behindDoc="0" simplePos="0" relativeHeight="16162304">
            <wp:simplePos x="0" y="0"/>
            <wp:positionH relativeFrom="page">
              <wp:posOffset>1102145</wp:posOffset>
            </wp:positionH>
            <wp:positionV relativeFrom="paragraph">
              <wp:posOffset>43833</wp:posOffset>
            </wp:positionV>
            <wp:extent cx="58380" cy="72151"/>
            <wp:effectExtent l="0" t="0" r="0" b="0"/>
            <wp:wrapNone/>
            <wp:docPr id="2167" name="image13.png"/>
            <wp:cNvGraphicFramePr>
              <a:graphicFrameLocks noChangeAspect="1"/>
            </wp:cNvGraphicFramePr>
            <a:graphic>
              <a:graphicData uri="http://schemas.openxmlformats.org/drawingml/2006/picture">
                <pic:pic>
                  <pic:nvPicPr>
                    <pic:cNvPr id="2168"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162816">
            <wp:simplePos x="0" y="0"/>
            <wp:positionH relativeFrom="page">
              <wp:posOffset>1102145</wp:posOffset>
            </wp:positionH>
            <wp:positionV relativeFrom="paragraph">
              <wp:posOffset>184041</wp:posOffset>
            </wp:positionV>
            <wp:extent cx="58380" cy="72151"/>
            <wp:effectExtent l="0" t="0" r="0" b="0"/>
            <wp:wrapNone/>
            <wp:docPr id="2169" name="image13.png"/>
            <wp:cNvGraphicFramePr>
              <a:graphicFrameLocks noChangeAspect="1"/>
            </wp:cNvGraphicFramePr>
            <a:graphic>
              <a:graphicData uri="http://schemas.openxmlformats.org/drawingml/2006/picture">
                <pic:pic>
                  <pic:nvPicPr>
                    <pic:cNvPr id="217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What</w:t>
      </w:r>
      <w:r>
        <w:rPr>
          <w:spacing w:val="-5"/>
          <w:sz w:val="18"/>
        </w:rPr>
        <w:t> </w:t>
      </w:r>
      <w:r>
        <w:rPr>
          <w:sz w:val="18"/>
        </w:rPr>
        <w:t>was</w:t>
      </w:r>
      <w:r>
        <w:rPr>
          <w:spacing w:val="-4"/>
          <w:sz w:val="18"/>
        </w:rPr>
        <w:t> </w:t>
      </w:r>
      <w:r>
        <w:rPr>
          <w:sz w:val="18"/>
        </w:rPr>
        <w:t>the</w:t>
      </w:r>
      <w:r>
        <w:rPr>
          <w:spacing w:val="-2"/>
          <w:sz w:val="18"/>
        </w:rPr>
        <w:t> </w:t>
      </w:r>
      <w:r>
        <w:rPr>
          <w:sz w:val="18"/>
        </w:rPr>
        <w:t>focus</w:t>
      </w:r>
      <w:r>
        <w:rPr>
          <w:spacing w:val="-4"/>
          <w:sz w:val="18"/>
        </w:rPr>
        <w:t> </w:t>
      </w:r>
      <w:r>
        <w:rPr>
          <w:sz w:val="18"/>
        </w:rPr>
        <w:t>of</w:t>
      </w:r>
      <w:r>
        <w:rPr>
          <w:spacing w:val="-4"/>
          <w:sz w:val="18"/>
        </w:rPr>
        <w:t> </w:t>
      </w:r>
      <w:r>
        <w:rPr>
          <w:sz w:val="18"/>
        </w:rPr>
        <w:t>the</w:t>
      </w:r>
      <w:r>
        <w:rPr>
          <w:spacing w:val="-5"/>
          <w:sz w:val="18"/>
        </w:rPr>
        <w:t> </w:t>
      </w:r>
      <w:r>
        <w:rPr>
          <w:sz w:val="18"/>
        </w:rPr>
        <w:t>workshop/webinar?</w:t>
      </w:r>
      <w:r>
        <w:rPr>
          <w:spacing w:val="46"/>
          <w:sz w:val="18"/>
        </w:rPr>
        <w:t> </w:t>
      </w:r>
      <w:r>
        <w:rPr>
          <w:sz w:val="18"/>
        </w:rPr>
        <w:t>(2)</w:t>
      </w:r>
      <w:r>
        <w:rPr>
          <w:spacing w:val="3"/>
          <w:sz w:val="18"/>
        </w:rPr>
        <w:t> </w:t>
      </w:r>
      <w:r>
        <w:rPr>
          <w:sz w:val="18"/>
          <w:u w:val="single" w:color="BDBDBD"/>
        </w:rPr>
        <w:t> </w:t>
        <w:tab/>
        <w:tab/>
      </w:r>
      <w:r>
        <w:rPr>
          <w:sz w:val="18"/>
        </w:rPr>
        <w:t> Duration</w:t>
      </w:r>
      <w:r>
        <w:rPr>
          <w:spacing w:val="-3"/>
          <w:sz w:val="18"/>
        </w:rPr>
        <w:t> </w:t>
      </w:r>
      <w:r>
        <w:rPr>
          <w:sz w:val="18"/>
        </w:rPr>
        <w:t>(hours)</w:t>
      </w:r>
      <w:r>
        <w:rPr>
          <w:spacing w:val="41"/>
          <w:sz w:val="18"/>
        </w:rPr>
        <w:t> </w:t>
      </w:r>
      <w:r>
        <w:rPr>
          <w:sz w:val="18"/>
        </w:rPr>
        <w:t>(3)</w:t>
      </w:r>
      <w:r>
        <w:rPr>
          <w:spacing w:val="-1"/>
          <w:sz w:val="18"/>
        </w:rPr>
        <w:t> </w:t>
      </w:r>
      <w:r>
        <w:rPr>
          <w:sz w:val="18"/>
          <w:u w:val="single" w:color="BDBDBD"/>
        </w:rPr>
        <w:t> </w:t>
        <w:tab/>
      </w:r>
    </w:p>
    <w:p>
      <w:pPr>
        <w:tabs>
          <w:tab w:pos="9572" w:val="left" w:leader="none"/>
          <w:tab w:pos="9750" w:val="left" w:leader="none"/>
        </w:tabs>
        <w:spacing w:before="1"/>
        <w:ind w:left="1771" w:right="1854" w:firstLine="0"/>
        <w:jc w:val="left"/>
        <w:rPr>
          <w:sz w:val="18"/>
        </w:rPr>
      </w:pPr>
      <w:r>
        <w:rPr/>
        <w:drawing>
          <wp:anchor distT="0" distB="0" distL="0" distR="0" allowOverlap="1" layoutInCell="1" locked="0" behindDoc="0" simplePos="0" relativeHeight="16163328">
            <wp:simplePos x="0" y="0"/>
            <wp:positionH relativeFrom="page">
              <wp:posOffset>1102145</wp:posOffset>
            </wp:positionH>
            <wp:positionV relativeFrom="paragraph">
              <wp:posOffset>44468</wp:posOffset>
            </wp:positionV>
            <wp:extent cx="58380" cy="72151"/>
            <wp:effectExtent l="0" t="0" r="0" b="0"/>
            <wp:wrapNone/>
            <wp:docPr id="2171" name="image13.png"/>
            <wp:cNvGraphicFramePr>
              <a:graphicFrameLocks noChangeAspect="1"/>
            </wp:cNvGraphicFramePr>
            <a:graphic>
              <a:graphicData uri="http://schemas.openxmlformats.org/drawingml/2006/picture">
                <pic:pic>
                  <pic:nvPicPr>
                    <pic:cNvPr id="2172"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163840">
            <wp:simplePos x="0" y="0"/>
            <wp:positionH relativeFrom="page">
              <wp:posOffset>1102145</wp:posOffset>
            </wp:positionH>
            <wp:positionV relativeFrom="paragraph">
              <wp:posOffset>184676</wp:posOffset>
            </wp:positionV>
            <wp:extent cx="58380" cy="72151"/>
            <wp:effectExtent l="0" t="0" r="0" b="0"/>
            <wp:wrapNone/>
            <wp:docPr id="2173" name="image13.png"/>
            <wp:cNvGraphicFramePr>
              <a:graphicFrameLocks noChangeAspect="1"/>
            </wp:cNvGraphicFramePr>
            <a:graphic>
              <a:graphicData uri="http://schemas.openxmlformats.org/drawingml/2006/picture">
                <pic:pic>
                  <pic:nvPicPr>
                    <pic:cNvPr id="217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Number</w:t>
      </w:r>
      <w:r>
        <w:rPr>
          <w:spacing w:val="-3"/>
          <w:sz w:val="18"/>
        </w:rPr>
        <w:t> </w:t>
      </w:r>
      <w:r>
        <w:rPr>
          <w:sz w:val="18"/>
        </w:rPr>
        <w:t>of</w:t>
      </w:r>
      <w:r>
        <w:rPr>
          <w:spacing w:val="-3"/>
          <w:sz w:val="18"/>
        </w:rPr>
        <w:t> </w:t>
      </w:r>
      <w:r>
        <w:rPr>
          <w:sz w:val="18"/>
        </w:rPr>
        <w:t>practice</w:t>
      </w:r>
      <w:r>
        <w:rPr>
          <w:spacing w:val="-3"/>
          <w:sz w:val="18"/>
        </w:rPr>
        <w:t> </w:t>
      </w:r>
      <w:r>
        <w:rPr>
          <w:sz w:val="18"/>
        </w:rPr>
        <w:t>staff</w:t>
      </w:r>
      <w:r>
        <w:rPr>
          <w:spacing w:val="-4"/>
          <w:sz w:val="18"/>
        </w:rPr>
        <w:t> </w:t>
      </w:r>
      <w:r>
        <w:rPr>
          <w:sz w:val="18"/>
        </w:rPr>
        <w:t>attending</w:t>
      </w:r>
      <w:r>
        <w:rPr>
          <w:spacing w:val="42"/>
          <w:sz w:val="18"/>
        </w:rPr>
        <w:t> </w:t>
      </w:r>
      <w:r>
        <w:rPr>
          <w:sz w:val="18"/>
        </w:rPr>
        <w:t>(4)</w:t>
      </w:r>
      <w:r>
        <w:rPr>
          <w:spacing w:val="3"/>
          <w:sz w:val="18"/>
        </w:rPr>
        <w:t> </w:t>
      </w:r>
      <w:r>
        <w:rPr>
          <w:sz w:val="18"/>
          <w:u w:val="single" w:color="BDBDBD"/>
        </w:rPr>
        <w:t> </w:t>
        <w:tab/>
      </w:r>
      <w:r>
        <w:rPr>
          <w:sz w:val="18"/>
        </w:rPr>
        <w:t> Number</w:t>
      </w:r>
      <w:r>
        <w:rPr>
          <w:spacing w:val="-5"/>
          <w:sz w:val="18"/>
        </w:rPr>
        <w:t> </w:t>
      </w:r>
      <w:r>
        <w:rPr>
          <w:sz w:val="18"/>
        </w:rPr>
        <w:t>HCH</w:t>
      </w:r>
      <w:r>
        <w:rPr>
          <w:spacing w:val="-6"/>
          <w:sz w:val="18"/>
        </w:rPr>
        <w:t> </w:t>
      </w:r>
      <w:r>
        <w:rPr>
          <w:sz w:val="18"/>
        </w:rPr>
        <w:t>practices</w:t>
      </w:r>
      <w:r>
        <w:rPr>
          <w:spacing w:val="-6"/>
          <w:sz w:val="18"/>
        </w:rPr>
        <w:t> </w:t>
      </w:r>
      <w:r>
        <w:rPr>
          <w:sz w:val="18"/>
        </w:rPr>
        <w:t>represented?</w:t>
      </w:r>
      <w:r>
        <w:rPr>
          <w:spacing w:val="41"/>
          <w:sz w:val="18"/>
        </w:rPr>
        <w:t> </w:t>
      </w:r>
      <w:r>
        <w:rPr>
          <w:sz w:val="18"/>
        </w:rPr>
        <w:t>(5)</w:t>
      </w:r>
      <w:r>
        <w:rPr>
          <w:spacing w:val="3"/>
          <w:sz w:val="18"/>
        </w:rPr>
        <w:t> </w:t>
      </w:r>
      <w:r>
        <w:rPr>
          <w:sz w:val="18"/>
          <w:u w:val="single" w:color="BDBDBD"/>
        </w:rPr>
        <w:t> </w:t>
        <w:tab/>
        <w:tab/>
      </w:r>
    </w:p>
    <w:p>
      <w:pPr>
        <w:pStyle w:val="BodyText"/>
        <w:spacing w:before="6"/>
        <w:rPr>
          <w:sz w:val="14"/>
        </w:rPr>
      </w:pPr>
    </w:p>
    <w:p>
      <w:pPr>
        <w:spacing w:before="101"/>
        <w:ind w:left="420" w:right="0" w:firstLine="0"/>
        <w:jc w:val="left"/>
        <w:rPr>
          <w:sz w:val="18"/>
        </w:rPr>
      </w:pPr>
      <w:r>
        <w:rPr>
          <w:sz w:val="18"/>
        </w:rPr>
        <w:t>3b.</w:t>
      </w:r>
      <w:r>
        <w:rPr>
          <w:spacing w:val="-4"/>
          <w:sz w:val="18"/>
        </w:rPr>
        <w:t> </w:t>
      </w:r>
      <w:r>
        <w:rPr>
          <w:sz w:val="18"/>
        </w:rPr>
        <w:t>Was</w:t>
      </w:r>
      <w:r>
        <w:rPr>
          <w:spacing w:val="-4"/>
          <w:sz w:val="18"/>
        </w:rPr>
        <w:t> </w:t>
      </w:r>
      <w:r>
        <w:rPr>
          <w:sz w:val="18"/>
        </w:rPr>
        <w:t>there</w:t>
      </w:r>
      <w:r>
        <w:rPr>
          <w:spacing w:val="-3"/>
          <w:sz w:val="18"/>
        </w:rPr>
        <w:t> </w:t>
      </w:r>
      <w:r>
        <w:rPr>
          <w:sz w:val="18"/>
        </w:rPr>
        <w:t>any</w:t>
      </w:r>
      <w:r>
        <w:rPr>
          <w:spacing w:val="-3"/>
          <w:sz w:val="18"/>
        </w:rPr>
        <w:t> </w:t>
      </w:r>
      <w:r>
        <w:rPr>
          <w:sz w:val="18"/>
        </w:rPr>
        <w:t>other</w:t>
      </w:r>
      <w:r>
        <w:rPr>
          <w:spacing w:val="-3"/>
          <w:sz w:val="18"/>
        </w:rPr>
        <w:t> </w:t>
      </w:r>
      <w:r>
        <w:rPr>
          <w:sz w:val="18"/>
        </w:rPr>
        <w:t>training</w:t>
      </w:r>
      <w:r>
        <w:rPr>
          <w:spacing w:val="-5"/>
          <w:sz w:val="18"/>
        </w:rPr>
        <w:t> </w:t>
      </w:r>
      <w:r>
        <w:rPr>
          <w:sz w:val="18"/>
        </w:rPr>
        <w:t>workshop</w:t>
      </w:r>
      <w:r>
        <w:rPr>
          <w:spacing w:val="-4"/>
          <w:sz w:val="18"/>
        </w:rPr>
        <w:t> </w:t>
      </w:r>
      <w:r>
        <w:rPr>
          <w:sz w:val="18"/>
        </w:rPr>
        <w:t>or</w:t>
      </w:r>
      <w:r>
        <w:rPr>
          <w:spacing w:val="-3"/>
          <w:sz w:val="18"/>
        </w:rPr>
        <w:t> </w:t>
      </w:r>
      <w:r>
        <w:rPr>
          <w:sz w:val="18"/>
        </w:rPr>
        <w:t>webinar</w:t>
      </w:r>
      <w:r>
        <w:rPr>
          <w:spacing w:val="-5"/>
          <w:sz w:val="18"/>
        </w:rPr>
        <w:t> </w:t>
      </w:r>
      <w:r>
        <w:rPr>
          <w:sz w:val="18"/>
        </w:rPr>
        <w:t>organised</w:t>
      </w:r>
      <w:r>
        <w:rPr>
          <w:spacing w:val="-4"/>
          <w:sz w:val="18"/>
        </w:rPr>
        <w:t> </w:t>
      </w:r>
      <w:r>
        <w:rPr>
          <w:sz w:val="18"/>
        </w:rPr>
        <w:t>for</w:t>
      </w:r>
      <w:r>
        <w:rPr>
          <w:spacing w:val="-4"/>
          <w:sz w:val="18"/>
        </w:rPr>
        <w:t> </w:t>
      </w:r>
      <w:r>
        <w:rPr>
          <w:sz w:val="18"/>
        </w:rPr>
        <w:t>HCH</w:t>
      </w:r>
      <w:r>
        <w:rPr>
          <w:spacing w:val="-4"/>
          <w:sz w:val="18"/>
        </w:rPr>
        <w:t> </w:t>
      </w:r>
      <w:r>
        <w:rPr>
          <w:sz w:val="18"/>
        </w:rPr>
        <w:t>practices/practice</w:t>
      </w:r>
      <w:r>
        <w:rPr>
          <w:spacing w:val="-3"/>
          <w:sz w:val="18"/>
        </w:rPr>
        <w:t> </w:t>
      </w:r>
      <w:r>
        <w:rPr>
          <w:sz w:val="18"/>
        </w:rPr>
        <w:t>staff?</w:t>
      </w:r>
    </w:p>
    <w:p>
      <w:pPr>
        <w:pStyle w:val="BodyText"/>
        <w:spacing w:before="10"/>
        <w:rPr>
          <w:sz w:val="10"/>
        </w:rPr>
      </w:pPr>
    </w:p>
    <w:p>
      <w:pPr>
        <w:spacing w:before="100"/>
        <w:ind w:left="1771" w:right="3757" w:firstLine="0"/>
        <w:jc w:val="left"/>
        <w:rPr>
          <w:sz w:val="18"/>
        </w:rPr>
      </w:pPr>
      <w:r>
        <w:rPr/>
        <w:drawing>
          <wp:anchor distT="0" distB="0" distL="0" distR="0" allowOverlap="1" layoutInCell="1" locked="0" behindDoc="0" simplePos="0" relativeHeight="16164352">
            <wp:simplePos x="0" y="0"/>
            <wp:positionH relativeFrom="page">
              <wp:posOffset>1102145</wp:posOffset>
            </wp:positionH>
            <wp:positionV relativeFrom="paragraph">
              <wp:posOffset>107333</wp:posOffset>
            </wp:positionV>
            <wp:extent cx="58380" cy="72151"/>
            <wp:effectExtent l="0" t="0" r="0" b="0"/>
            <wp:wrapNone/>
            <wp:docPr id="2175" name="image13.png"/>
            <wp:cNvGraphicFramePr>
              <a:graphicFrameLocks noChangeAspect="1"/>
            </wp:cNvGraphicFramePr>
            <a:graphic>
              <a:graphicData uri="http://schemas.openxmlformats.org/drawingml/2006/picture">
                <pic:pic>
                  <pic:nvPicPr>
                    <pic:cNvPr id="2176" name="image13.png"/>
                    <pic:cNvPicPr/>
                  </pic:nvPicPr>
                  <pic:blipFill>
                    <a:blip r:embed="rId41" cstate="print"/>
                    <a:stretch>
                      <a:fillRect/>
                    </a:stretch>
                  </pic:blipFill>
                  <pic:spPr>
                    <a:xfrm>
                      <a:off x="0" y="0"/>
                      <a:ext cx="58380" cy="72151"/>
                    </a:xfrm>
                    <a:prstGeom prst="rect">
                      <a:avLst/>
                    </a:prstGeom>
                  </pic:spPr>
                </pic:pic>
              </a:graphicData>
            </a:graphic>
          </wp:anchor>
        </w:drawing>
      </w:r>
      <w:r>
        <w:rPr/>
        <w:drawing>
          <wp:anchor distT="0" distB="0" distL="0" distR="0" allowOverlap="1" layoutInCell="1" locked="0" behindDoc="0" simplePos="0" relativeHeight="16164864">
            <wp:simplePos x="0" y="0"/>
            <wp:positionH relativeFrom="page">
              <wp:posOffset>1102145</wp:posOffset>
            </wp:positionH>
            <wp:positionV relativeFrom="paragraph">
              <wp:posOffset>247541</wp:posOffset>
            </wp:positionV>
            <wp:extent cx="58380" cy="72151"/>
            <wp:effectExtent l="0" t="0" r="0" b="0"/>
            <wp:wrapNone/>
            <wp:docPr id="2177" name="image13.png"/>
            <wp:cNvGraphicFramePr>
              <a:graphicFrameLocks noChangeAspect="1"/>
            </wp:cNvGraphicFramePr>
            <a:graphic>
              <a:graphicData uri="http://schemas.openxmlformats.org/drawingml/2006/picture">
                <pic:pic>
                  <pic:nvPicPr>
                    <pic:cNvPr id="217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Yes</w:t>
      </w:r>
      <w:r>
        <w:rPr>
          <w:spacing w:val="1"/>
          <w:sz w:val="18"/>
        </w:rPr>
        <w:t> </w:t>
      </w:r>
      <w:r>
        <w:rPr>
          <w:sz w:val="18"/>
        </w:rPr>
        <w:t>(5)</w:t>
      </w:r>
      <w:r>
        <w:rPr>
          <w:spacing w:val="1"/>
          <w:sz w:val="18"/>
        </w:rPr>
        <w:t> </w:t>
      </w:r>
      <w:r>
        <w:rPr>
          <w:sz w:val="18"/>
        </w:rPr>
        <w:t>if yes,</w:t>
      </w:r>
      <w:r>
        <w:rPr>
          <w:spacing w:val="1"/>
          <w:sz w:val="18"/>
        </w:rPr>
        <w:t> </w:t>
      </w:r>
      <w:r>
        <w:rPr>
          <w:sz w:val="18"/>
        </w:rPr>
        <w:t>repeat Q3 for each workshop(s)/webinar(s) organised</w:t>
      </w:r>
      <w:r>
        <w:rPr>
          <w:spacing w:val="-47"/>
          <w:sz w:val="18"/>
        </w:rPr>
        <w:t> </w:t>
      </w:r>
      <w:r>
        <w:rPr>
          <w:sz w:val="18"/>
        </w:rPr>
        <w:t>No</w:t>
      </w:r>
      <w:r>
        <w:rPr>
          <w:spacing w:val="4"/>
          <w:sz w:val="18"/>
        </w:rPr>
        <w:t> </w:t>
      </w:r>
      <w:r>
        <w:rPr>
          <w:sz w:val="18"/>
        </w:rPr>
        <w:t>(6)</w:t>
      </w:r>
      <w:r>
        <w:rPr>
          <w:spacing w:val="-3"/>
          <w:sz w:val="18"/>
        </w:rPr>
        <w:t> </w:t>
      </w:r>
      <w:r>
        <w:rPr>
          <w:sz w:val="18"/>
        </w:rPr>
        <w:t>if no,</w:t>
      </w:r>
      <w:r>
        <w:rPr>
          <w:spacing w:val="-3"/>
          <w:sz w:val="18"/>
        </w:rPr>
        <w:t> </w:t>
      </w:r>
      <w:r>
        <w:rPr>
          <w:sz w:val="18"/>
        </w:rPr>
        <w:t>move to</w:t>
      </w:r>
      <w:r>
        <w:rPr>
          <w:spacing w:val="-1"/>
          <w:sz w:val="18"/>
        </w:rPr>
        <w:t> </w:t>
      </w:r>
      <w:r>
        <w:rPr>
          <w:sz w:val="18"/>
        </w:rPr>
        <w:t>Q4</w:t>
      </w:r>
    </w:p>
    <w:p>
      <w:pPr>
        <w:spacing w:after="0"/>
        <w:jc w:val="left"/>
        <w:rPr>
          <w:sz w:val="18"/>
        </w:rPr>
        <w:sectPr>
          <w:footerReference w:type="default" r:id="rId58"/>
          <w:pgSz w:w="11910" w:h="16840"/>
          <w:pgMar w:footer="948" w:header="0" w:top="860" w:bottom="1140" w:left="300" w:right="0"/>
        </w:sectPr>
      </w:pPr>
    </w:p>
    <w:p>
      <w:pPr>
        <w:pStyle w:val="ListParagraph"/>
        <w:numPr>
          <w:ilvl w:val="0"/>
          <w:numId w:val="108"/>
        </w:numPr>
        <w:tabs>
          <w:tab w:pos="704" w:val="left" w:leader="none"/>
        </w:tabs>
        <w:spacing w:line="240" w:lineRule="auto" w:before="75" w:after="0"/>
        <w:ind w:left="703" w:right="924" w:hanging="284"/>
        <w:jc w:val="left"/>
        <w:rPr>
          <w:sz w:val="18"/>
        </w:rPr>
      </w:pPr>
      <w:r>
        <w:rPr>
          <w:sz w:val="18"/>
        </w:rPr>
        <w:t>Please estimate the average level of support provided to each HCH practice, where the support was provided</w:t>
      </w:r>
      <w:r>
        <w:rPr>
          <w:spacing w:val="1"/>
          <w:sz w:val="18"/>
        </w:rPr>
        <w:t> </w:t>
      </w:r>
      <w:r>
        <w:rPr>
          <w:sz w:val="18"/>
        </w:rPr>
        <w:t>individually to the practice, using the categories specified below.</w:t>
      </w:r>
      <w:r>
        <w:rPr>
          <w:spacing w:val="1"/>
          <w:sz w:val="18"/>
        </w:rPr>
        <w:t> </w:t>
      </w:r>
      <w:r>
        <w:rPr>
          <w:sz w:val="18"/>
        </w:rPr>
        <w:t>Support may have occurred through visits to the</w:t>
      </w:r>
      <w:r>
        <w:rPr>
          <w:spacing w:val="-47"/>
          <w:sz w:val="18"/>
        </w:rPr>
        <w:t> </w:t>
      </w:r>
      <w:r>
        <w:rPr>
          <w:sz w:val="18"/>
        </w:rPr>
        <w:t>practice involving face-to-face facilitation, training or support, or through telephone/video conference-based</w:t>
      </w:r>
      <w:r>
        <w:rPr>
          <w:spacing w:val="1"/>
          <w:sz w:val="18"/>
        </w:rPr>
        <w:t> </w:t>
      </w:r>
      <w:r>
        <w:rPr>
          <w:sz w:val="18"/>
        </w:rPr>
        <w:t>support,</w:t>
      </w:r>
      <w:r>
        <w:rPr>
          <w:spacing w:val="-3"/>
          <w:sz w:val="18"/>
        </w:rPr>
        <w:t> </w:t>
      </w:r>
      <w:r>
        <w:rPr>
          <w:sz w:val="18"/>
        </w:rPr>
        <w:t>or</w:t>
      </w:r>
      <w:r>
        <w:rPr>
          <w:spacing w:val="1"/>
          <w:sz w:val="18"/>
        </w:rPr>
        <w:t> </w:t>
      </w:r>
      <w:r>
        <w:rPr>
          <w:sz w:val="18"/>
        </w:rPr>
        <w:t>through email contact.</w:t>
      </w:r>
    </w:p>
    <w:p>
      <w:pPr>
        <w:pStyle w:val="BodyText"/>
        <w:spacing w:before="10"/>
        <w:rPr>
          <w:sz w:val="22"/>
        </w:rPr>
      </w:pPr>
    </w:p>
    <w:p>
      <w:pPr>
        <w:spacing w:line="276" w:lineRule="auto" w:before="0"/>
        <w:ind w:left="703" w:right="753" w:firstLine="0"/>
        <w:jc w:val="left"/>
        <w:rPr>
          <w:i/>
          <w:sz w:val="18"/>
        </w:rPr>
      </w:pPr>
      <w:r>
        <w:rPr>
          <w:b/>
          <w:i/>
          <w:sz w:val="18"/>
        </w:rPr>
        <w:t>Note: </w:t>
      </w:r>
      <w:r>
        <w:rPr>
          <w:i/>
          <w:sz w:val="18"/>
        </w:rPr>
        <w:t>Exclude facilitation, training or support provided through training workshops, webinars or other group methods</w:t>
      </w:r>
      <w:r>
        <w:rPr>
          <w:i/>
          <w:spacing w:val="-47"/>
          <w:sz w:val="18"/>
        </w:rPr>
        <w:t> </w:t>
      </w:r>
      <w:r>
        <w:rPr>
          <w:i/>
          <w:sz w:val="18"/>
        </w:rPr>
        <w:t>which have been described above. Where activity (e.g. a visit) involved an organisation with several</w:t>
      </w:r>
      <w:r>
        <w:rPr>
          <w:i/>
          <w:spacing w:val="1"/>
          <w:sz w:val="18"/>
        </w:rPr>
        <w:t> </w:t>
      </w:r>
      <w:r>
        <w:rPr>
          <w:i/>
          <w:sz w:val="18"/>
        </w:rPr>
        <w:t>practices/clinics participating in the HCH program (e.g. a corporate group or an Aboriginal Community Controlled</w:t>
      </w:r>
      <w:r>
        <w:rPr>
          <w:i/>
          <w:spacing w:val="1"/>
          <w:sz w:val="18"/>
        </w:rPr>
        <w:t> </w:t>
      </w:r>
      <w:r>
        <w:rPr>
          <w:i/>
          <w:sz w:val="18"/>
        </w:rPr>
        <w:t>Health Service with multiple clinics), estimate the average across practices/clinics rather than the average for the</w:t>
      </w:r>
      <w:r>
        <w:rPr>
          <w:i/>
          <w:spacing w:val="1"/>
          <w:sz w:val="18"/>
        </w:rPr>
        <w:t> </w:t>
      </w:r>
      <w:r>
        <w:rPr>
          <w:i/>
          <w:sz w:val="18"/>
        </w:rPr>
        <w:t>organisation.</w:t>
      </w:r>
    </w:p>
    <w:p>
      <w:pPr>
        <w:pStyle w:val="BodyText"/>
        <w:spacing w:before="3"/>
        <w:rPr>
          <w:i/>
          <w:sz w:val="16"/>
        </w:rPr>
      </w:pPr>
    </w:p>
    <w:p>
      <w:pPr>
        <w:spacing w:line="276" w:lineRule="auto" w:before="1"/>
        <w:ind w:left="703" w:right="798" w:firstLine="0"/>
        <w:jc w:val="left"/>
        <w:rPr>
          <w:i/>
          <w:sz w:val="18"/>
        </w:rPr>
      </w:pPr>
      <w:r>
        <w:rPr>
          <w:i/>
          <w:sz w:val="18"/>
        </w:rPr>
        <w:t>For this question we are asking for your best estimates, rather than requesting a detailed analysis of all</w:t>
      </w:r>
      <w:r>
        <w:rPr>
          <w:i/>
          <w:spacing w:val="1"/>
          <w:sz w:val="18"/>
        </w:rPr>
        <w:t> </w:t>
      </w:r>
      <w:r>
        <w:rPr>
          <w:i/>
          <w:sz w:val="18"/>
        </w:rPr>
        <w:t>contacts/supports</w:t>
      </w:r>
      <w:r>
        <w:rPr>
          <w:i/>
          <w:spacing w:val="-6"/>
          <w:sz w:val="18"/>
        </w:rPr>
        <w:t> </w:t>
      </w:r>
      <w:r>
        <w:rPr>
          <w:i/>
          <w:sz w:val="18"/>
        </w:rPr>
        <w:t>undertaken.</w:t>
      </w:r>
      <w:r>
        <w:rPr>
          <w:i/>
          <w:spacing w:val="46"/>
          <w:sz w:val="18"/>
        </w:rPr>
        <w:t> </w:t>
      </w:r>
      <w:r>
        <w:rPr>
          <w:i/>
          <w:sz w:val="18"/>
        </w:rPr>
        <w:t>The</w:t>
      </w:r>
      <w:r>
        <w:rPr>
          <w:i/>
          <w:spacing w:val="-3"/>
          <w:sz w:val="18"/>
        </w:rPr>
        <w:t> </w:t>
      </w:r>
      <w:r>
        <w:rPr>
          <w:i/>
          <w:sz w:val="18"/>
        </w:rPr>
        <w:t>estimate</w:t>
      </w:r>
      <w:r>
        <w:rPr>
          <w:i/>
          <w:spacing w:val="-3"/>
          <w:sz w:val="18"/>
        </w:rPr>
        <w:t> </w:t>
      </w:r>
      <w:r>
        <w:rPr>
          <w:i/>
          <w:sz w:val="18"/>
        </w:rPr>
        <w:t>could</w:t>
      </w:r>
      <w:r>
        <w:rPr>
          <w:i/>
          <w:spacing w:val="-4"/>
          <w:sz w:val="18"/>
        </w:rPr>
        <w:t> </w:t>
      </w:r>
      <w:r>
        <w:rPr>
          <w:i/>
          <w:sz w:val="18"/>
        </w:rPr>
        <w:t>be</w:t>
      </w:r>
      <w:r>
        <w:rPr>
          <w:i/>
          <w:spacing w:val="-5"/>
          <w:sz w:val="18"/>
        </w:rPr>
        <w:t> </w:t>
      </w:r>
      <w:r>
        <w:rPr>
          <w:i/>
          <w:sz w:val="18"/>
        </w:rPr>
        <w:t>based</w:t>
      </w:r>
      <w:r>
        <w:rPr>
          <w:i/>
          <w:spacing w:val="-4"/>
          <w:sz w:val="18"/>
        </w:rPr>
        <w:t> </w:t>
      </w:r>
      <w:r>
        <w:rPr>
          <w:i/>
          <w:sz w:val="18"/>
        </w:rPr>
        <w:t>on</w:t>
      </w:r>
      <w:r>
        <w:rPr>
          <w:i/>
          <w:spacing w:val="-3"/>
          <w:sz w:val="18"/>
        </w:rPr>
        <w:t> </w:t>
      </w:r>
      <w:r>
        <w:rPr>
          <w:i/>
          <w:sz w:val="18"/>
        </w:rPr>
        <w:t>a</w:t>
      </w:r>
      <w:r>
        <w:rPr>
          <w:i/>
          <w:spacing w:val="-3"/>
          <w:sz w:val="18"/>
        </w:rPr>
        <w:t> </w:t>
      </w:r>
      <w:r>
        <w:rPr>
          <w:i/>
          <w:sz w:val="18"/>
        </w:rPr>
        <w:t>discussion/consensus</w:t>
      </w:r>
      <w:r>
        <w:rPr>
          <w:i/>
          <w:spacing w:val="-4"/>
          <w:sz w:val="18"/>
        </w:rPr>
        <w:t> </w:t>
      </w:r>
      <w:r>
        <w:rPr>
          <w:i/>
          <w:sz w:val="18"/>
        </w:rPr>
        <w:t>reached</w:t>
      </w:r>
      <w:r>
        <w:rPr>
          <w:i/>
          <w:spacing w:val="-4"/>
          <w:sz w:val="18"/>
        </w:rPr>
        <w:t> </w:t>
      </w:r>
      <w:r>
        <w:rPr>
          <w:i/>
          <w:sz w:val="18"/>
        </w:rPr>
        <w:t>between</w:t>
      </w:r>
      <w:r>
        <w:rPr>
          <w:i/>
          <w:spacing w:val="-5"/>
          <w:sz w:val="18"/>
        </w:rPr>
        <w:t> </w:t>
      </w:r>
      <w:r>
        <w:rPr>
          <w:i/>
          <w:sz w:val="18"/>
        </w:rPr>
        <w:t>PHN</w:t>
      </w:r>
      <w:r>
        <w:rPr>
          <w:i/>
          <w:spacing w:val="-46"/>
          <w:sz w:val="18"/>
        </w:rPr>
        <w:t> </w:t>
      </w:r>
      <w:r>
        <w:rPr>
          <w:i/>
          <w:sz w:val="18"/>
        </w:rPr>
        <w:t>practice</w:t>
      </w:r>
      <w:r>
        <w:rPr>
          <w:i/>
          <w:spacing w:val="-3"/>
          <w:sz w:val="18"/>
        </w:rPr>
        <w:t> </w:t>
      </w:r>
      <w:r>
        <w:rPr>
          <w:i/>
          <w:sz w:val="18"/>
        </w:rPr>
        <w:t>facilitators</w:t>
      </w:r>
      <w:r>
        <w:rPr>
          <w:i/>
          <w:spacing w:val="-1"/>
          <w:sz w:val="18"/>
        </w:rPr>
        <w:t> </w:t>
      </w:r>
      <w:r>
        <w:rPr>
          <w:i/>
          <w:sz w:val="18"/>
        </w:rPr>
        <w:t>and</w:t>
      </w:r>
      <w:r>
        <w:rPr>
          <w:i/>
          <w:spacing w:val="-1"/>
          <w:sz w:val="18"/>
        </w:rPr>
        <w:t> </w:t>
      </w:r>
      <w:r>
        <w:rPr>
          <w:i/>
          <w:sz w:val="18"/>
        </w:rPr>
        <w:t>other staff.</w:t>
      </w:r>
    </w:p>
    <w:p>
      <w:pPr>
        <w:pStyle w:val="BodyText"/>
        <w:spacing w:before="5"/>
        <w:rPr>
          <w:i/>
          <w:sz w:val="16"/>
        </w:rPr>
      </w:pPr>
    </w:p>
    <w:tbl>
      <w:tblPr>
        <w:tblW w:w="0" w:type="auto"/>
        <w:jc w:val="left"/>
        <w:tblInd w:w="103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6222"/>
        <w:gridCol w:w="3514"/>
      </w:tblGrid>
      <w:tr>
        <w:trPr>
          <w:trHeight w:val="220" w:hRule="atLeast"/>
        </w:trPr>
        <w:tc>
          <w:tcPr>
            <w:tcW w:w="6222" w:type="dxa"/>
            <w:shd w:val="clear" w:color="auto" w:fill="F1F1F1"/>
          </w:tcPr>
          <w:p>
            <w:pPr>
              <w:pStyle w:val="TableParagraph"/>
              <w:rPr>
                <w:rFonts w:ascii="Times New Roman"/>
                <w:sz w:val="14"/>
              </w:rPr>
            </w:pPr>
          </w:p>
        </w:tc>
        <w:tc>
          <w:tcPr>
            <w:tcW w:w="3514" w:type="dxa"/>
            <w:shd w:val="clear" w:color="auto" w:fill="F1F1F1"/>
          </w:tcPr>
          <w:p>
            <w:pPr>
              <w:pStyle w:val="TableParagraph"/>
              <w:spacing w:line="200" w:lineRule="exact"/>
              <w:ind w:left="399" w:right="389"/>
              <w:jc w:val="center"/>
              <w:rPr>
                <w:sz w:val="18"/>
              </w:rPr>
            </w:pPr>
            <w:r>
              <w:rPr>
                <w:sz w:val="18"/>
              </w:rPr>
              <w:t>Estimate</w:t>
            </w:r>
            <w:r>
              <w:rPr>
                <w:spacing w:val="-5"/>
                <w:sz w:val="18"/>
              </w:rPr>
              <w:t> </w:t>
            </w:r>
            <w:r>
              <w:rPr>
                <w:sz w:val="18"/>
              </w:rPr>
              <w:t>per</w:t>
            </w:r>
            <w:r>
              <w:rPr>
                <w:spacing w:val="-4"/>
                <w:sz w:val="18"/>
              </w:rPr>
              <w:t> </w:t>
            </w:r>
            <w:r>
              <w:rPr>
                <w:sz w:val="18"/>
              </w:rPr>
              <w:t>practice/</w:t>
            </w:r>
            <w:r>
              <w:rPr>
                <w:spacing w:val="-4"/>
                <w:sz w:val="18"/>
              </w:rPr>
              <w:t> </w:t>
            </w:r>
            <w:r>
              <w:rPr>
                <w:sz w:val="18"/>
              </w:rPr>
              <w:t>service</w:t>
            </w:r>
          </w:p>
        </w:tc>
      </w:tr>
      <w:tr>
        <w:trPr>
          <w:trHeight w:val="220" w:hRule="atLeast"/>
        </w:trPr>
        <w:tc>
          <w:tcPr>
            <w:tcW w:w="6222" w:type="dxa"/>
            <w:shd w:val="clear" w:color="auto" w:fill="F1F1F1"/>
          </w:tcPr>
          <w:p>
            <w:pPr>
              <w:pStyle w:val="TableParagraph"/>
              <w:rPr>
                <w:rFonts w:ascii="Times New Roman"/>
                <w:sz w:val="14"/>
              </w:rPr>
            </w:pPr>
          </w:p>
        </w:tc>
        <w:tc>
          <w:tcPr>
            <w:tcW w:w="3514" w:type="dxa"/>
            <w:shd w:val="clear" w:color="auto" w:fill="F1F1F1"/>
          </w:tcPr>
          <w:p>
            <w:pPr>
              <w:pStyle w:val="TableParagraph"/>
              <w:spacing w:line="201" w:lineRule="exact"/>
              <w:ind w:left="394" w:right="389"/>
              <w:jc w:val="center"/>
              <w:rPr>
                <w:sz w:val="18"/>
              </w:rPr>
            </w:pPr>
            <w:r>
              <w:rPr>
                <w:sz w:val="18"/>
              </w:rPr>
              <w:t>I July</w:t>
            </w:r>
            <w:r>
              <w:rPr>
                <w:spacing w:val="-3"/>
                <w:sz w:val="18"/>
              </w:rPr>
              <w:t> </w:t>
            </w:r>
            <w:r>
              <w:rPr>
                <w:sz w:val="18"/>
              </w:rPr>
              <w:t>2018</w:t>
            </w:r>
            <w:r>
              <w:rPr>
                <w:spacing w:val="-1"/>
                <w:sz w:val="18"/>
              </w:rPr>
              <w:t> </w:t>
            </w:r>
            <w:r>
              <w:rPr>
                <w:sz w:val="18"/>
              </w:rPr>
              <w:t>to</w:t>
            </w:r>
            <w:r>
              <w:rPr>
                <w:spacing w:val="-5"/>
                <w:sz w:val="18"/>
              </w:rPr>
              <w:t> </w:t>
            </w:r>
            <w:r>
              <w:rPr>
                <w:sz w:val="18"/>
              </w:rPr>
              <w:t>30</w:t>
            </w:r>
            <w:r>
              <w:rPr>
                <w:spacing w:val="-1"/>
                <w:sz w:val="18"/>
              </w:rPr>
              <w:t> </w:t>
            </w:r>
            <w:r>
              <w:rPr>
                <w:sz w:val="18"/>
              </w:rPr>
              <w:t>June</w:t>
            </w:r>
            <w:r>
              <w:rPr>
                <w:spacing w:val="-4"/>
                <w:sz w:val="18"/>
              </w:rPr>
              <w:t> </w:t>
            </w:r>
            <w:r>
              <w:rPr>
                <w:sz w:val="18"/>
              </w:rPr>
              <w:t>2019</w:t>
            </w:r>
          </w:p>
        </w:tc>
      </w:tr>
      <w:tr>
        <w:trPr>
          <w:trHeight w:val="220" w:hRule="atLeast"/>
        </w:trPr>
        <w:tc>
          <w:tcPr>
            <w:tcW w:w="6222" w:type="dxa"/>
            <w:shd w:val="clear" w:color="auto" w:fill="F1F1F1"/>
          </w:tcPr>
          <w:p>
            <w:pPr>
              <w:pStyle w:val="TableParagraph"/>
              <w:spacing w:line="200" w:lineRule="exact"/>
              <w:ind w:left="107"/>
              <w:rPr>
                <w:sz w:val="18"/>
              </w:rPr>
            </w:pPr>
            <w:r>
              <w:rPr>
                <w:sz w:val="18"/>
              </w:rPr>
              <w:t>Estimated</w:t>
            </w:r>
            <w:r>
              <w:rPr>
                <w:spacing w:val="-5"/>
                <w:sz w:val="18"/>
              </w:rPr>
              <w:t> </w:t>
            </w:r>
            <w:r>
              <w:rPr>
                <w:sz w:val="18"/>
              </w:rPr>
              <w:t>average</w:t>
            </w:r>
            <w:r>
              <w:rPr>
                <w:spacing w:val="-2"/>
                <w:sz w:val="18"/>
              </w:rPr>
              <w:t> </w:t>
            </w:r>
            <w:r>
              <w:rPr>
                <w:sz w:val="18"/>
              </w:rPr>
              <w:t>visits</w:t>
            </w:r>
            <w:r>
              <w:rPr>
                <w:spacing w:val="-5"/>
                <w:sz w:val="18"/>
              </w:rPr>
              <w:t> </w:t>
            </w:r>
            <w:r>
              <w:rPr>
                <w:sz w:val="18"/>
              </w:rPr>
              <w:t>per</w:t>
            </w:r>
            <w:r>
              <w:rPr>
                <w:spacing w:val="-6"/>
                <w:sz w:val="18"/>
              </w:rPr>
              <w:t> </w:t>
            </w:r>
            <w:r>
              <w:rPr>
                <w:sz w:val="18"/>
              </w:rPr>
              <w:t>practice</w:t>
            </w:r>
            <w:r>
              <w:rPr>
                <w:spacing w:val="-4"/>
                <w:sz w:val="18"/>
              </w:rPr>
              <w:t> </w:t>
            </w:r>
            <w:r>
              <w:rPr>
                <w:sz w:val="18"/>
              </w:rPr>
              <w:t>(1)</w:t>
            </w:r>
          </w:p>
        </w:tc>
        <w:tc>
          <w:tcPr>
            <w:tcW w:w="3514" w:type="dxa"/>
          </w:tcPr>
          <w:p>
            <w:pPr>
              <w:pStyle w:val="TableParagraph"/>
              <w:rPr>
                <w:rFonts w:ascii="Times New Roman"/>
                <w:sz w:val="14"/>
              </w:rPr>
            </w:pPr>
          </w:p>
        </w:tc>
      </w:tr>
      <w:tr>
        <w:trPr>
          <w:trHeight w:val="441" w:hRule="atLeast"/>
        </w:trPr>
        <w:tc>
          <w:tcPr>
            <w:tcW w:w="6222" w:type="dxa"/>
            <w:shd w:val="clear" w:color="auto" w:fill="F1F1F1"/>
          </w:tcPr>
          <w:p>
            <w:pPr>
              <w:pStyle w:val="TableParagraph"/>
              <w:spacing w:line="220" w:lineRule="exact"/>
              <w:ind w:left="107"/>
              <w:rPr>
                <w:sz w:val="18"/>
              </w:rPr>
            </w:pPr>
            <w:r>
              <w:rPr>
                <w:sz w:val="18"/>
              </w:rPr>
              <w:t>Estimated</w:t>
            </w:r>
            <w:r>
              <w:rPr>
                <w:spacing w:val="-6"/>
                <w:sz w:val="18"/>
              </w:rPr>
              <w:t> </w:t>
            </w:r>
            <w:r>
              <w:rPr>
                <w:sz w:val="18"/>
              </w:rPr>
              <w:t>average</w:t>
            </w:r>
            <w:r>
              <w:rPr>
                <w:spacing w:val="-6"/>
                <w:sz w:val="18"/>
              </w:rPr>
              <w:t> </w:t>
            </w:r>
            <w:r>
              <w:rPr>
                <w:sz w:val="18"/>
              </w:rPr>
              <w:t>number</w:t>
            </w:r>
            <w:r>
              <w:rPr>
                <w:spacing w:val="-4"/>
                <w:sz w:val="18"/>
              </w:rPr>
              <w:t> </w:t>
            </w:r>
            <w:r>
              <w:rPr>
                <w:sz w:val="18"/>
              </w:rPr>
              <w:t>of</w:t>
            </w:r>
            <w:r>
              <w:rPr>
                <w:spacing w:val="-4"/>
                <w:sz w:val="18"/>
              </w:rPr>
              <w:t> </w:t>
            </w:r>
            <w:r>
              <w:rPr>
                <w:sz w:val="18"/>
              </w:rPr>
              <w:t>telephone/video</w:t>
            </w:r>
            <w:r>
              <w:rPr>
                <w:spacing w:val="-5"/>
                <w:sz w:val="18"/>
              </w:rPr>
              <w:t> </w:t>
            </w:r>
            <w:r>
              <w:rPr>
                <w:sz w:val="18"/>
              </w:rPr>
              <w:t>conference</w:t>
            </w:r>
            <w:r>
              <w:rPr>
                <w:spacing w:val="-5"/>
                <w:sz w:val="18"/>
              </w:rPr>
              <w:t> </w:t>
            </w:r>
            <w:r>
              <w:rPr>
                <w:sz w:val="18"/>
              </w:rPr>
              <w:t>support</w:t>
            </w:r>
            <w:r>
              <w:rPr>
                <w:spacing w:val="-47"/>
                <w:sz w:val="18"/>
              </w:rPr>
              <w:t> </w:t>
            </w:r>
            <w:r>
              <w:rPr>
                <w:sz w:val="18"/>
              </w:rPr>
              <w:t>instances</w:t>
            </w:r>
            <w:r>
              <w:rPr>
                <w:spacing w:val="-4"/>
                <w:sz w:val="18"/>
              </w:rPr>
              <w:t> </w:t>
            </w:r>
            <w:r>
              <w:rPr>
                <w:sz w:val="18"/>
              </w:rPr>
              <w:t>per practice (2)</w:t>
            </w:r>
          </w:p>
        </w:tc>
        <w:tc>
          <w:tcPr>
            <w:tcW w:w="3514" w:type="dxa"/>
          </w:tcPr>
          <w:p>
            <w:pPr>
              <w:pStyle w:val="TableParagraph"/>
              <w:rPr>
                <w:rFonts w:ascii="Times New Roman"/>
                <w:sz w:val="16"/>
              </w:rPr>
            </w:pPr>
          </w:p>
        </w:tc>
      </w:tr>
      <w:tr>
        <w:trPr>
          <w:trHeight w:val="220" w:hRule="atLeast"/>
        </w:trPr>
        <w:tc>
          <w:tcPr>
            <w:tcW w:w="6222" w:type="dxa"/>
            <w:shd w:val="clear" w:color="auto" w:fill="F1F1F1"/>
          </w:tcPr>
          <w:p>
            <w:pPr>
              <w:pStyle w:val="TableParagraph"/>
              <w:spacing w:line="200" w:lineRule="exact"/>
              <w:ind w:left="107"/>
              <w:rPr>
                <w:sz w:val="18"/>
              </w:rPr>
            </w:pPr>
            <w:r>
              <w:rPr>
                <w:sz w:val="18"/>
              </w:rPr>
              <w:t>Estimated</w:t>
            </w:r>
            <w:r>
              <w:rPr>
                <w:spacing w:val="-6"/>
                <w:sz w:val="18"/>
              </w:rPr>
              <w:t> </w:t>
            </w:r>
            <w:r>
              <w:rPr>
                <w:sz w:val="18"/>
              </w:rPr>
              <w:t>average</w:t>
            </w:r>
            <w:r>
              <w:rPr>
                <w:spacing w:val="-4"/>
                <w:sz w:val="18"/>
              </w:rPr>
              <w:t> </w:t>
            </w:r>
            <w:r>
              <w:rPr>
                <w:sz w:val="18"/>
              </w:rPr>
              <w:t>number</w:t>
            </w:r>
            <w:r>
              <w:rPr>
                <w:spacing w:val="-3"/>
                <w:sz w:val="18"/>
              </w:rPr>
              <w:t> </w:t>
            </w:r>
            <w:r>
              <w:rPr>
                <w:sz w:val="18"/>
              </w:rPr>
              <w:t>of</w:t>
            </w:r>
            <w:r>
              <w:rPr>
                <w:spacing w:val="-3"/>
                <w:sz w:val="18"/>
              </w:rPr>
              <w:t> </w:t>
            </w:r>
            <w:r>
              <w:rPr>
                <w:sz w:val="18"/>
              </w:rPr>
              <w:t>email</w:t>
            </w:r>
            <w:r>
              <w:rPr>
                <w:spacing w:val="-5"/>
                <w:sz w:val="18"/>
              </w:rPr>
              <w:t> </w:t>
            </w:r>
            <w:r>
              <w:rPr>
                <w:sz w:val="18"/>
              </w:rPr>
              <w:t>contacts</w:t>
            </w:r>
            <w:r>
              <w:rPr>
                <w:spacing w:val="-5"/>
                <w:sz w:val="18"/>
              </w:rPr>
              <w:t> </w:t>
            </w:r>
            <w:r>
              <w:rPr>
                <w:sz w:val="18"/>
              </w:rPr>
              <w:t>per</w:t>
            </w:r>
            <w:r>
              <w:rPr>
                <w:spacing w:val="-3"/>
                <w:sz w:val="18"/>
              </w:rPr>
              <w:t> </w:t>
            </w:r>
            <w:r>
              <w:rPr>
                <w:sz w:val="18"/>
              </w:rPr>
              <w:t>practice</w:t>
            </w:r>
            <w:r>
              <w:rPr>
                <w:spacing w:val="-1"/>
                <w:sz w:val="18"/>
              </w:rPr>
              <w:t> </w:t>
            </w:r>
            <w:r>
              <w:rPr>
                <w:sz w:val="18"/>
              </w:rPr>
              <w:t>(4)</w:t>
            </w:r>
          </w:p>
        </w:tc>
        <w:tc>
          <w:tcPr>
            <w:tcW w:w="3514" w:type="dxa"/>
          </w:tcPr>
          <w:p>
            <w:pPr>
              <w:pStyle w:val="TableParagraph"/>
              <w:rPr>
                <w:rFonts w:ascii="Times New Roman"/>
                <w:sz w:val="14"/>
              </w:rPr>
            </w:pPr>
          </w:p>
        </w:tc>
      </w:tr>
      <w:tr>
        <w:trPr>
          <w:trHeight w:val="220" w:hRule="atLeast"/>
        </w:trPr>
        <w:tc>
          <w:tcPr>
            <w:tcW w:w="6222" w:type="dxa"/>
            <w:shd w:val="clear" w:color="auto" w:fill="F1F1F1"/>
          </w:tcPr>
          <w:p>
            <w:pPr>
              <w:pStyle w:val="TableParagraph"/>
              <w:spacing w:line="200" w:lineRule="exact"/>
              <w:ind w:left="107"/>
              <w:rPr>
                <w:sz w:val="18"/>
              </w:rPr>
            </w:pPr>
            <w:r>
              <w:rPr>
                <w:sz w:val="18"/>
              </w:rPr>
              <w:t>Estimated</w:t>
            </w:r>
            <w:r>
              <w:rPr>
                <w:spacing w:val="-5"/>
                <w:sz w:val="18"/>
              </w:rPr>
              <w:t> </w:t>
            </w:r>
            <w:r>
              <w:rPr>
                <w:sz w:val="18"/>
              </w:rPr>
              <w:t>average</w:t>
            </w:r>
            <w:r>
              <w:rPr>
                <w:spacing w:val="-3"/>
                <w:sz w:val="18"/>
              </w:rPr>
              <w:t> </w:t>
            </w:r>
            <w:r>
              <w:rPr>
                <w:sz w:val="18"/>
              </w:rPr>
              <w:t>PHN</w:t>
            </w:r>
            <w:r>
              <w:rPr>
                <w:spacing w:val="-5"/>
                <w:sz w:val="18"/>
              </w:rPr>
              <w:t> </w:t>
            </w:r>
            <w:r>
              <w:rPr>
                <w:sz w:val="18"/>
              </w:rPr>
              <w:t>staff</w:t>
            </w:r>
            <w:r>
              <w:rPr>
                <w:spacing w:val="-3"/>
                <w:sz w:val="18"/>
              </w:rPr>
              <w:t> </w:t>
            </w:r>
            <w:r>
              <w:rPr>
                <w:sz w:val="18"/>
              </w:rPr>
              <w:t>time (in</w:t>
            </w:r>
            <w:r>
              <w:rPr>
                <w:spacing w:val="-3"/>
                <w:sz w:val="18"/>
              </w:rPr>
              <w:t> </w:t>
            </w:r>
            <w:r>
              <w:rPr>
                <w:sz w:val="18"/>
              </w:rPr>
              <w:t>days)</w:t>
            </w:r>
            <w:r>
              <w:rPr>
                <w:spacing w:val="-5"/>
                <w:sz w:val="18"/>
              </w:rPr>
              <w:t> </w:t>
            </w:r>
            <w:r>
              <w:rPr>
                <w:sz w:val="18"/>
              </w:rPr>
              <w:t>per</w:t>
            </w:r>
            <w:r>
              <w:rPr>
                <w:spacing w:val="-4"/>
                <w:sz w:val="18"/>
              </w:rPr>
              <w:t> </w:t>
            </w:r>
            <w:r>
              <w:rPr>
                <w:sz w:val="18"/>
              </w:rPr>
              <w:t>practice</w:t>
            </w:r>
            <w:r>
              <w:rPr>
                <w:spacing w:val="-3"/>
                <w:sz w:val="18"/>
              </w:rPr>
              <w:t> </w:t>
            </w:r>
            <w:r>
              <w:rPr>
                <w:sz w:val="18"/>
              </w:rPr>
              <w:t>(3)</w:t>
            </w:r>
          </w:p>
        </w:tc>
        <w:tc>
          <w:tcPr>
            <w:tcW w:w="3514" w:type="dxa"/>
          </w:tcPr>
          <w:p>
            <w:pPr>
              <w:pStyle w:val="TableParagraph"/>
              <w:rPr>
                <w:rFonts w:ascii="Times New Roman"/>
                <w:sz w:val="14"/>
              </w:rPr>
            </w:pPr>
          </w:p>
        </w:tc>
      </w:tr>
      <w:tr>
        <w:trPr>
          <w:trHeight w:val="222" w:hRule="atLeast"/>
        </w:trPr>
        <w:tc>
          <w:tcPr>
            <w:tcW w:w="6222" w:type="dxa"/>
            <w:shd w:val="clear" w:color="auto" w:fill="F1F1F1"/>
          </w:tcPr>
          <w:p>
            <w:pPr>
              <w:pStyle w:val="TableParagraph"/>
              <w:spacing w:line="202" w:lineRule="exact" w:before="1"/>
              <w:ind w:left="107"/>
              <w:rPr>
                <w:sz w:val="18"/>
              </w:rPr>
            </w:pPr>
            <w:r>
              <w:rPr>
                <w:sz w:val="18"/>
              </w:rPr>
              <w:t>Estimated</w:t>
            </w:r>
            <w:r>
              <w:rPr>
                <w:spacing w:val="-2"/>
                <w:sz w:val="18"/>
              </w:rPr>
              <w:t> </w:t>
            </w:r>
            <w:r>
              <w:rPr>
                <w:sz w:val="18"/>
              </w:rPr>
              <w:t>maximum</w:t>
            </w:r>
            <w:r>
              <w:rPr>
                <w:spacing w:val="-7"/>
                <w:sz w:val="18"/>
              </w:rPr>
              <w:t> </w:t>
            </w:r>
            <w:r>
              <w:rPr>
                <w:sz w:val="18"/>
              </w:rPr>
              <w:t>PHN</w:t>
            </w:r>
            <w:r>
              <w:rPr>
                <w:spacing w:val="-5"/>
                <w:sz w:val="18"/>
              </w:rPr>
              <w:t> </w:t>
            </w:r>
            <w:r>
              <w:rPr>
                <w:sz w:val="18"/>
              </w:rPr>
              <w:t>staff</w:t>
            </w:r>
            <w:r>
              <w:rPr>
                <w:spacing w:val="-2"/>
                <w:sz w:val="18"/>
              </w:rPr>
              <w:t> </w:t>
            </w:r>
            <w:r>
              <w:rPr>
                <w:sz w:val="18"/>
              </w:rPr>
              <w:t>time (in</w:t>
            </w:r>
            <w:r>
              <w:rPr>
                <w:spacing w:val="-3"/>
                <w:sz w:val="18"/>
              </w:rPr>
              <w:t> </w:t>
            </w:r>
            <w:r>
              <w:rPr>
                <w:sz w:val="18"/>
              </w:rPr>
              <w:t>days)</w:t>
            </w:r>
            <w:r>
              <w:rPr>
                <w:spacing w:val="-5"/>
                <w:sz w:val="18"/>
              </w:rPr>
              <w:t> </w:t>
            </w:r>
            <w:r>
              <w:rPr>
                <w:sz w:val="18"/>
              </w:rPr>
              <w:t>for</w:t>
            </w:r>
            <w:r>
              <w:rPr>
                <w:spacing w:val="-2"/>
                <w:sz w:val="18"/>
              </w:rPr>
              <w:t> </w:t>
            </w:r>
            <w:r>
              <w:rPr>
                <w:sz w:val="18"/>
              </w:rPr>
              <w:t>any</w:t>
            </w:r>
            <w:r>
              <w:rPr>
                <w:spacing w:val="-4"/>
                <w:sz w:val="18"/>
              </w:rPr>
              <w:t> </w:t>
            </w:r>
            <w:r>
              <w:rPr>
                <w:sz w:val="18"/>
              </w:rPr>
              <w:t>practice (5)</w:t>
            </w:r>
          </w:p>
        </w:tc>
        <w:tc>
          <w:tcPr>
            <w:tcW w:w="3514" w:type="dxa"/>
          </w:tcPr>
          <w:p>
            <w:pPr>
              <w:pStyle w:val="TableParagraph"/>
              <w:rPr>
                <w:rFonts w:ascii="Times New Roman"/>
                <w:sz w:val="14"/>
              </w:rPr>
            </w:pPr>
          </w:p>
        </w:tc>
      </w:tr>
      <w:tr>
        <w:trPr>
          <w:trHeight w:val="220" w:hRule="atLeast"/>
        </w:trPr>
        <w:tc>
          <w:tcPr>
            <w:tcW w:w="6222" w:type="dxa"/>
            <w:shd w:val="clear" w:color="auto" w:fill="F1F1F1"/>
          </w:tcPr>
          <w:p>
            <w:pPr>
              <w:pStyle w:val="TableParagraph"/>
              <w:spacing w:line="200" w:lineRule="exact"/>
              <w:ind w:left="107"/>
              <w:rPr>
                <w:sz w:val="18"/>
              </w:rPr>
            </w:pPr>
            <w:r>
              <w:rPr>
                <w:sz w:val="18"/>
              </w:rPr>
              <w:t>Estimated</w:t>
            </w:r>
            <w:r>
              <w:rPr>
                <w:spacing w:val="-3"/>
                <w:sz w:val="18"/>
              </w:rPr>
              <w:t> </w:t>
            </w:r>
            <w:r>
              <w:rPr>
                <w:sz w:val="18"/>
              </w:rPr>
              <w:t>minimum</w:t>
            </w:r>
            <w:r>
              <w:rPr>
                <w:spacing w:val="-6"/>
                <w:sz w:val="18"/>
              </w:rPr>
              <w:t> </w:t>
            </w:r>
            <w:r>
              <w:rPr>
                <w:sz w:val="18"/>
              </w:rPr>
              <w:t>PHN</w:t>
            </w:r>
            <w:r>
              <w:rPr>
                <w:spacing w:val="-5"/>
                <w:sz w:val="18"/>
              </w:rPr>
              <w:t> </w:t>
            </w:r>
            <w:r>
              <w:rPr>
                <w:sz w:val="18"/>
              </w:rPr>
              <w:t>staff</w:t>
            </w:r>
            <w:r>
              <w:rPr>
                <w:spacing w:val="-3"/>
                <w:sz w:val="18"/>
              </w:rPr>
              <w:t> </w:t>
            </w:r>
            <w:r>
              <w:rPr>
                <w:sz w:val="18"/>
              </w:rPr>
              <w:t>time (in</w:t>
            </w:r>
            <w:r>
              <w:rPr>
                <w:spacing w:val="-3"/>
                <w:sz w:val="18"/>
              </w:rPr>
              <w:t> </w:t>
            </w:r>
            <w:r>
              <w:rPr>
                <w:sz w:val="18"/>
              </w:rPr>
              <w:t>days)</w:t>
            </w:r>
            <w:r>
              <w:rPr>
                <w:spacing w:val="-5"/>
                <w:sz w:val="18"/>
              </w:rPr>
              <w:t> </w:t>
            </w:r>
            <w:r>
              <w:rPr>
                <w:sz w:val="18"/>
              </w:rPr>
              <w:t>for</w:t>
            </w:r>
            <w:r>
              <w:rPr>
                <w:spacing w:val="-3"/>
                <w:sz w:val="18"/>
              </w:rPr>
              <w:t> </w:t>
            </w:r>
            <w:r>
              <w:rPr>
                <w:sz w:val="18"/>
              </w:rPr>
              <w:t>any</w:t>
            </w:r>
            <w:r>
              <w:rPr>
                <w:spacing w:val="-4"/>
                <w:sz w:val="18"/>
              </w:rPr>
              <w:t> </w:t>
            </w:r>
            <w:r>
              <w:rPr>
                <w:sz w:val="18"/>
              </w:rPr>
              <w:t>practice (6)</w:t>
            </w:r>
          </w:p>
        </w:tc>
        <w:tc>
          <w:tcPr>
            <w:tcW w:w="3514" w:type="dxa"/>
          </w:tcPr>
          <w:p>
            <w:pPr>
              <w:pStyle w:val="TableParagraph"/>
              <w:rPr>
                <w:rFonts w:ascii="Times New Roman"/>
                <w:sz w:val="14"/>
              </w:rPr>
            </w:pPr>
          </w:p>
        </w:tc>
      </w:tr>
    </w:tbl>
    <w:p>
      <w:pPr>
        <w:pStyle w:val="BodyText"/>
        <w:spacing w:before="11"/>
        <w:rPr>
          <w:i/>
        </w:rPr>
      </w:pPr>
    </w:p>
    <w:p>
      <w:pPr>
        <w:pStyle w:val="ListParagraph"/>
        <w:numPr>
          <w:ilvl w:val="0"/>
          <w:numId w:val="108"/>
        </w:numPr>
        <w:tabs>
          <w:tab w:pos="704" w:val="left" w:leader="none"/>
        </w:tabs>
        <w:spacing w:line="240" w:lineRule="auto" w:before="0" w:after="0"/>
        <w:ind w:left="703" w:right="923" w:hanging="284"/>
        <w:jc w:val="left"/>
        <w:rPr>
          <w:sz w:val="18"/>
        </w:rPr>
      </w:pPr>
      <w:r>
        <w:rPr>
          <w:sz w:val="18"/>
        </w:rPr>
        <w:t>How has the nature of facilitation, training and support provided by the PHN to assist practices in implementing the</w:t>
      </w:r>
      <w:r>
        <w:rPr>
          <w:spacing w:val="-47"/>
          <w:sz w:val="18"/>
        </w:rPr>
        <w:t> </w:t>
      </w:r>
      <w:r>
        <w:rPr>
          <w:sz w:val="18"/>
        </w:rPr>
        <w:t>HCH model change in since mid-2018? Please comment on any changes since the end of the patient enrolment</w:t>
      </w:r>
      <w:r>
        <w:rPr>
          <w:spacing w:val="1"/>
          <w:sz w:val="18"/>
        </w:rPr>
        <w:t> </w:t>
      </w:r>
      <w:r>
        <w:rPr>
          <w:sz w:val="18"/>
        </w:rPr>
        <w:t>period</w:t>
      </w:r>
      <w:r>
        <w:rPr>
          <w:spacing w:val="-3"/>
          <w:sz w:val="18"/>
        </w:rPr>
        <w:t> </w:t>
      </w:r>
      <w:r>
        <w:rPr>
          <w:sz w:val="18"/>
        </w:rPr>
        <w:t>for HCH.</w:t>
      </w:r>
    </w:p>
    <w:p>
      <w:pPr>
        <w:pStyle w:val="BodyText"/>
      </w:pPr>
    </w:p>
    <w:p>
      <w:pPr>
        <w:pStyle w:val="BodyText"/>
        <w:spacing w:before="5"/>
        <w:rPr>
          <w:sz w:val="12"/>
        </w:rPr>
      </w:pPr>
      <w:r>
        <w:rPr/>
        <w:pict>
          <v:rect style="position:absolute;margin-left:34.560001pt;margin-top:8.844542pt;width:526.3pt;height:.47998pt;mso-position-horizontal-relative:page;mso-position-vertical-relative:paragraph;z-index:-15291904;mso-wrap-distance-left:0;mso-wrap-distance-right:0" id="docshape246" filled="true" fillcolor="#d9d9d9" stroked="false">
            <v:fill type="solid"/>
            <w10:wrap type="topAndBottom"/>
          </v:rect>
        </w:pict>
      </w:r>
    </w:p>
    <w:p>
      <w:pPr>
        <w:pStyle w:val="BodyText"/>
        <w:spacing w:before="2"/>
        <w:rPr>
          <w:sz w:val="8"/>
        </w:rPr>
      </w:pPr>
    </w:p>
    <w:p>
      <w:pPr>
        <w:pStyle w:val="ListParagraph"/>
        <w:numPr>
          <w:ilvl w:val="0"/>
          <w:numId w:val="108"/>
        </w:numPr>
        <w:tabs>
          <w:tab w:pos="704" w:val="left" w:leader="none"/>
        </w:tabs>
        <w:spacing w:line="240" w:lineRule="auto" w:before="101" w:after="0"/>
        <w:ind w:left="703" w:right="1465" w:hanging="284"/>
        <w:jc w:val="left"/>
        <w:rPr>
          <w:sz w:val="18"/>
        </w:rPr>
      </w:pPr>
      <w:r>
        <w:rPr>
          <w:sz w:val="18"/>
        </w:rPr>
        <w:t>Please describe any organisational changes that have been made related to staff providing support to HCH</w:t>
      </w:r>
      <w:r>
        <w:rPr>
          <w:spacing w:val="-47"/>
          <w:sz w:val="18"/>
        </w:rPr>
        <w:t> </w:t>
      </w:r>
      <w:r>
        <w:rPr>
          <w:sz w:val="18"/>
        </w:rPr>
        <w:t>practices.</w:t>
      </w:r>
    </w:p>
    <w:p>
      <w:pPr>
        <w:pStyle w:val="BodyText"/>
      </w:pPr>
    </w:p>
    <w:p>
      <w:pPr>
        <w:pStyle w:val="BodyText"/>
        <w:spacing w:before="6"/>
        <w:rPr>
          <w:sz w:val="25"/>
        </w:rPr>
      </w:pPr>
      <w:r>
        <w:rPr/>
        <w:pict>
          <v:rect style="position:absolute;margin-left:34.560001pt;margin-top:16.835615pt;width:526.3pt;height:.48001pt;mso-position-horizontal-relative:page;mso-position-vertical-relative:paragraph;z-index:-15291392;mso-wrap-distance-left:0;mso-wrap-distance-right:0" id="docshape247" filled="true" fillcolor="#d9d9d9" stroked="false">
            <v:fill type="solid"/>
            <w10:wrap type="topAndBottom"/>
          </v:rect>
        </w:pict>
      </w:r>
    </w:p>
    <w:p>
      <w:pPr>
        <w:pStyle w:val="BodyText"/>
        <w:spacing w:before="2"/>
        <w:rPr>
          <w:sz w:val="8"/>
        </w:rPr>
      </w:pPr>
    </w:p>
    <w:p>
      <w:pPr>
        <w:spacing w:before="100"/>
        <w:ind w:left="420" w:right="0" w:firstLine="0"/>
        <w:jc w:val="left"/>
        <w:rPr>
          <w:b/>
          <w:sz w:val="18"/>
        </w:rPr>
      </w:pPr>
      <w:r>
        <w:rPr>
          <w:b/>
          <w:sz w:val="18"/>
        </w:rPr>
        <w:t>PHN</w:t>
      </w:r>
      <w:r>
        <w:rPr>
          <w:b/>
          <w:spacing w:val="-3"/>
          <w:sz w:val="18"/>
        </w:rPr>
        <w:t> </w:t>
      </w:r>
      <w:r>
        <w:rPr>
          <w:b/>
          <w:sz w:val="18"/>
        </w:rPr>
        <w:t>staffing and resources</w:t>
      </w:r>
    </w:p>
    <w:p>
      <w:pPr>
        <w:pStyle w:val="BodyText"/>
        <w:rPr>
          <w:b/>
          <w:sz w:val="19"/>
        </w:rPr>
      </w:pPr>
    </w:p>
    <w:p>
      <w:pPr>
        <w:pStyle w:val="ListParagraph"/>
        <w:numPr>
          <w:ilvl w:val="0"/>
          <w:numId w:val="108"/>
        </w:numPr>
        <w:tabs>
          <w:tab w:pos="704" w:val="left" w:leader="none"/>
        </w:tabs>
        <w:spacing w:line="240" w:lineRule="auto" w:before="0" w:after="0"/>
        <w:ind w:left="703" w:right="850" w:hanging="284"/>
        <w:jc w:val="left"/>
        <w:rPr>
          <w:sz w:val="18"/>
        </w:rPr>
      </w:pPr>
      <w:r>
        <w:rPr>
          <w:sz w:val="18"/>
        </w:rPr>
        <w:t>Please</w:t>
      </w:r>
      <w:r>
        <w:rPr>
          <w:spacing w:val="-3"/>
          <w:sz w:val="18"/>
        </w:rPr>
        <w:t> </w:t>
      </w:r>
      <w:r>
        <w:rPr>
          <w:sz w:val="18"/>
        </w:rPr>
        <w:t>list</w:t>
      </w:r>
      <w:r>
        <w:rPr>
          <w:spacing w:val="-5"/>
          <w:sz w:val="18"/>
        </w:rPr>
        <w:t> </w:t>
      </w:r>
      <w:r>
        <w:rPr>
          <w:sz w:val="18"/>
        </w:rPr>
        <w:t>the</w:t>
      </w:r>
      <w:r>
        <w:rPr>
          <w:spacing w:val="-3"/>
          <w:sz w:val="18"/>
        </w:rPr>
        <w:t> </w:t>
      </w:r>
      <w:r>
        <w:rPr>
          <w:sz w:val="18"/>
        </w:rPr>
        <w:t>positions</w:t>
      </w:r>
      <w:r>
        <w:rPr>
          <w:spacing w:val="-2"/>
          <w:sz w:val="18"/>
        </w:rPr>
        <w:t> </w:t>
      </w:r>
      <w:r>
        <w:rPr>
          <w:sz w:val="18"/>
        </w:rPr>
        <w:t>specifically</w:t>
      </w:r>
      <w:r>
        <w:rPr>
          <w:spacing w:val="-4"/>
          <w:sz w:val="18"/>
        </w:rPr>
        <w:t> </w:t>
      </w:r>
      <w:r>
        <w:rPr>
          <w:sz w:val="18"/>
        </w:rPr>
        <w:t>assigned</w:t>
      </w:r>
      <w:r>
        <w:rPr>
          <w:spacing w:val="-4"/>
          <w:sz w:val="18"/>
        </w:rPr>
        <w:t> </w:t>
      </w:r>
      <w:r>
        <w:rPr>
          <w:sz w:val="18"/>
        </w:rPr>
        <w:t>to</w:t>
      </w:r>
      <w:r>
        <w:rPr>
          <w:spacing w:val="-3"/>
          <w:sz w:val="18"/>
        </w:rPr>
        <w:t> </w:t>
      </w:r>
      <w:r>
        <w:rPr>
          <w:sz w:val="18"/>
        </w:rPr>
        <w:t>support</w:t>
      </w:r>
      <w:r>
        <w:rPr>
          <w:spacing w:val="-5"/>
          <w:sz w:val="18"/>
        </w:rPr>
        <w:t> </w:t>
      </w:r>
      <w:r>
        <w:rPr>
          <w:sz w:val="18"/>
        </w:rPr>
        <w:t>the</w:t>
      </w:r>
      <w:r>
        <w:rPr>
          <w:spacing w:val="-4"/>
          <w:sz w:val="18"/>
        </w:rPr>
        <w:t> </w:t>
      </w:r>
      <w:r>
        <w:rPr>
          <w:sz w:val="18"/>
        </w:rPr>
        <w:t>implementation</w:t>
      </w:r>
      <w:r>
        <w:rPr>
          <w:spacing w:val="-3"/>
          <w:sz w:val="18"/>
        </w:rPr>
        <w:t> </w:t>
      </w:r>
      <w:r>
        <w:rPr>
          <w:sz w:val="18"/>
        </w:rPr>
        <w:t>of</w:t>
      </w:r>
      <w:r>
        <w:rPr>
          <w:spacing w:val="-3"/>
          <w:sz w:val="18"/>
        </w:rPr>
        <w:t> </w:t>
      </w:r>
      <w:r>
        <w:rPr>
          <w:sz w:val="18"/>
        </w:rPr>
        <w:t>the</w:t>
      </w:r>
      <w:r>
        <w:rPr>
          <w:spacing w:val="-3"/>
          <w:sz w:val="18"/>
        </w:rPr>
        <w:t> </w:t>
      </w:r>
      <w:r>
        <w:rPr>
          <w:sz w:val="18"/>
        </w:rPr>
        <w:t>HCH</w:t>
      </w:r>
      <w:r>
        <w:rPr>
          <w:spacing w:val="-2"/>
          <w:sz w:val="18"/>
        </w:rPr>
        <w:t> </w:t>
      </w:r>
      <w:r>
        <w:rPr>
          <w:sz w:val="18"/>
        </w:rPr>
        <w:t>program</w:t>
      </w:r>
      <w:r>
        <w:rPr>
          <w:spacing w:val="-7"/>
          <w:sz w:val="18"/>
        </w:rPr>
        <w:t> </w:t>
      </w:r>
      <w:r>
        <w:rPr>
          <w:sz w:val="18"/>
        </w:rPr>
        <w:t>and</w:t>
      </w:r>
      <w:r>
        <w:rPr>
          <w:spacing w:val="-4"/>
          <w:sz w:val="18"/>
        </w:rPr>
        <w:t> </w:t>
      </w:r>
      <w:r>
        <w:rPr>
          <w:sz w:val="18"/>
        </w:rPr>
        <w:t>the</w:t>
      </w:r>
      <w:r>
        <w:rPr>
          <w:spacing w:val="-2"/>
          <w:sz w:val="18"/>
        </w:rPr>
        <w:t> </w:t>
      </w:r>
      <w:r>
        <w:rPr>
          <w:sz w:val="18"/>
        </w:rPr>
        <w:t>associated</w:t>
      </w:r>
      <w:r>
        <w:rPr>
          <w:spacing w:val="1"/>
          <w:sz w:val="18"/>
        </w:rPr>
        <w:t> </w:t>
      </w:r>
      <w:r>
        <w:rPr>
          <w:sz w:val="18"/>
        </w:rPr>
        <w:t>full-time-equivalent (FTE) employed against these positions for the 6-month periods indicated. The details you</w:t>
      </w:r>
      <w:r>
        <w:rPr>
          <w:spacing w:val="1"/>
          <w:sz w:val="18"/>
        </w:rPr>
        <w:t> </w:t>
      </w:r>
      <w:r>
        <w:rPr>
          <w:sz w:val="18"/>
        </w:rPr>
        <w:t>provided</w:t>
      </w:r>
      <w:r>
        <w:rPr>
          <w:spacing w:val="-2"/>
          <w:sz w:val="18"/>
        </w:rPr>
        <w:t> </w:t>
      </w:r>
      <w:r>
        <w:rPr>
          <w:sz w:val="18"/>
        </w:rPr>
        <w:t>in</w:t>
      </w:r>
      <w:r>
        <w:rPr>
          <w:spacing w:val="-1"/>
          <w:sz w:val="18"/>
        </w:rPr>
        <w:t> </w:t>
      </w:r>
      <w:r>
        <w:rPr>
          <w:sz w:val="18"/>
        </w:rPr>
        <w:t>the last</w:t>
      </w:r>
      <w:r>
        <w:rPr>
          <w:spacing w:val="-3"/>
          <w:sz w:val="18"/>
        </w:rPr>
        <w:t> </w:t>
      </w:r>
      <w:r>
        <w:rPr>
          <w:sz w:val="18"/>
        </w:rPr>
        <w:t>PHN</w:t>
      </w:r>
      <w:r>
        <w:rPr>
          <w:spacing w:val="-3"/>
          <w:sz w:val="18"/>
        </w:rPr>
        <w:t> </w:t>
      </w:r>
      <w:r>
        <w:rPr>
          <w:sz w:val="18"/>
        </w:rPr>
        <w:t>survey</w:t>
      </w:r>
      <w:r>
        <w:rPr>
          <w:spacing w:val="-1"/>
          <w:sz w:val="18"/>
        </w:rPr>
        <w:t> </w:t>
      </w:r>
      <w:r>
        <w:rPr>
          <w:sz w:val="18"/>
        </w:rPr>
        <w:t>have</w:t>
      </w:r>
      <w:r>
        <w:rPr>
          <w:spacing w:val="-1"/>
          <w:sz w:val="18"/>
        </w:rPr>
        <w:t> </w:t>
      </w:r>
      <w:r>
        <w:rPr>
          <w:sz w:val="18"/>
        </w:rPr>
        <w:t>been</w:t>
      </w:r>
      <w:r>
        <w:rPr>
          <w:spacing w:val="-1"/>
          <w:sz w:val="18"/>
        </w:rPr>
        <w:t> </w:t>
      </w:r>
      <w:r>
        <w:rPr>
          <w:sz w:val="18"/>
        </w:rPr>
        <w:t>shown here.</w:t>
      </w:r>
      <w:r>
        <w:rPr>
          <w:spacing w:val="-3"/>
          <w:sz w:val="18"/>
        </w:rPr>
        <w:t> </w:t>
      </w:r>
      <w:r>
        <w:rPr>
          <w:sz w:val="18"/>
        </w:rPr>
        <w:t>Please review</w:t>
      </w:r>
      <w:r>
        <w:rPr>
          <w:spacing w:val="-2"/>
          <w:sz w:val="18"/>
        </w:rPr>
        <w:t> </w:t>
      </w:r>
      <w:r>
        <w:rPr>
          <w:sz w:val="18"/>
        </w:rPr>
        <w:t>and</w:t>
      </w:r>
      <w:r>
        <w:rPr>
          <w:spacing w:val="-2"/>
          <w:sz w:val="18"/>
        </w:rPr>
        <w:t> </w:t>
      </w:r>
      <w:r>
        <w:rPr>
          <w:sz w:val="18"/>
        </w:rPr>
        <w:t>update if</w:t>
      </w:r>
      <w:r>
        <w:rPr>
          <w:spacing w:val="-1"/>
          <w:sz w:val="18"/>
        </w:rPr>
        <w:t> </w:t>
      </w:r>
      <w:r>
        <w:rPr>
          <w:sz w:val="18"/>
        </w:rPr>
        <w:t>necessary.</w:t>
      </w:r>
    </w:p>
    <w:p>
      <w:pPr>
        <w:pStyle w:val="BodyText"/>
        <w:spacing w:before="10"/>
        <w:rPr>
          <w:sz w:val="22"/>
        </w:rPr>
      </w:pPr>
    </w:p>
    <w:tbl>
      <w:tblPr>
        <w:tblW w:w="0" w:type="auto"/>
        <w:jc w:val="left"/>
        <w:tblInd w:w="197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422"/>
        <w:gridCol w:w="3497"/>
        <w:gridCol w:w="638"/>
        <w:gridCol w:w="638"/>
        <w:gridCol w:w="638"/>
        <w:gridCol w:w="585"/>
        <w:gridCol w:w="946"/>
      </w:tblGrid>
      <w:tr>
        <w:trPr>
          <w:trHeight w:val="421" w:hRule="atLeast"/>
        </w:trPr>
        <w:tc>
          <w:tcPr>
            <w:tcW w:w="422" w:type="dxa"/>
            <w:vMerge w:val="restart"/>
            <w:tcBorders>
              <w:bottom w:val="single" w:sz="6" w:space="0" w:color="BEBEBE"/>
              <w:right w:val="single" w:sz="6" w:space="0" w:color="BEBEBE"/>
            </w:tcBorders>
            <w:shd w:val="clear" w:color="auto" w:fill="F1F1F1"/>
          </w:tcPr>
          <w:p>
            <w:pPr>
              <w:pStyle w:val="TableParagraph"/>
              <w:rPr>
                <w:sz w:val="20"/>
              </w:rPr>
            </w:pPr>
          </w:p>
          <w:p>
            <w:pPr>
              <w:pStyle w:val="TableParagraph"/>
              <w:rPr>
                <w:sz w:val="20"/>
              </w:rPr>
            </w:pPr>
          </w:p>
          <w:p>
            <w:pPr>
              <w:pStyle w:val="TableParagraph"/>
              <w:spacing w:before="136"/>
              <w:ind w:left="10"/>
              <w:jc w:val="center"/>
              <w:rPr>
                <w:sz w:val="16"/>
              </w:rPr>
            </w:pPr>
            <w:r>
              <w:rPr>
                <w:w w:val="100"/>
                <w:sz w:val="16"/>
              </w:rPr>
              <w:t>#</w:t>
            </w:r>
          </w:p>
        </w:tc>
        <w:tc>
          <w:tcPr>
            <w:tcW w:w="3497" w:type="dxa"/>
            <w:vMerge w:val="restart"/>
            <w:tcBorders>
              <w:left w:val="single" w:sz="6" w:space="0" w:color="BEBEBE"/>
              <w:bottom w:val="single" w:sz="6" w:space="0" w:color="BEBEBE"/>
              <w:right w:val="single" w:sz="6" w:space="0" w:color="BEBEBE"/>
            </w:tcBorders>
            <w:shd w:val="clear" w:color="auto" w:fill="F1F1F1"/>
          </w:tcPr>
          <w:p>
            <w:pPr>
              <w:pStyle w:val="TableParagraph"/>
              <w:rPr>
                <w:sz w:val="20"/>
              </w:rPr>
            </w:pPr>
          </w:p>
          <w:p>
            <w:pPr>
              <w:pStyle w:val="TableParagraph"/>
              <w:rPr>
                <w:sz w:val="20"/>
              </w:rPr>
            </w:pPr>
          </w:p>
          <w:p>
            <w:pPr>
              <w:pStyle w:val="TableParagraph"/>
              <w:spacing w:before="136"/>
              <w:ind w:left="1181" w:right="1174"/>
              <w:jc w:val="center"/>
              <w:rPr>
                <w:sz w:val="16"/>
              </w:rPr>
            </w:pPr>
            <w:r>
              <w:rPr>
                <w:sz w:val="16"/>
              </w:rPr>
              <w:t>Position</w:t>
            </w:r>
            <w:r>
              <w:rPr>
                <w:spacing w:val="-4"/>
                <w:sz w:val="16"/>
              </w:rPr>
              <w:t> </w:t>
            </w:r>
            <w:r>
              <w:rPr>
                <w:sz w:val="16"/>
              </w:rPr>
              <w:t>name</w:t>
            </w:r>
          </w:p>
        </w:tc>
        <w:tc>
          <w:tcPr>
            <w:tcW w:w="1276" w:type="dxa"/>
            <w:gridSpan w:val="2"/>
            <w:tcBorders>
              <w:left w:val="single" w:sz="6" w:space="0" w:color="BEBEBE"/>
              <w:bottom w:val="single" w:sz="6" w:space="0" w:color="BEBEBE"/>
              <w:right w:val="single" w:sz="6" w:space="0" w:color="BEBEBE"/>
            </w:tcBorders>
            <w:shd w:val="clear" w:color="auto" w:fill="F1F1F1"/>
          </w:tcPr>
          <w:p>
            <w:pPr>
              <w:pStyle w:val="TableParagraph"/>
              <w:spacing w:before="112"/>
              <w:ind w:left="344"/>
              <w:rPr>
                <w:sz w:val="16"/>
              </w:rPr>
            </w:pPr>
            <w:r>
              <w:rPr>
                <w:sz w:val="16"/>
              </w:rPr>
              <w:t>2017-18</w:t>
            </w:r>
          </w:p>
        </w:tc>
        <w:tc>
          <w:tcPr>
            <w:tcW w:w="1223" w:type="dxa"/>
            <w:gridSpan w:val="2"/>
            <w:tcBorders>
              <w:left w:val="single" w:sz="6" w:space="0" w:color="BEBEBE"/>
              <w:bottom w:val="single" w:sz="6" w:space="0" w:color="BEBEBE"/>
              <w:right w:val="single" w:sz="6" w:space="0" w:color="BEBEBE"/>
            </w:tcBorders>
            <w:shd w:val="clear" w:color="auto" w:fill="F1F1F1"/>
          </w:tcPr>
          <w:p>
            <w:pPr>
              <w:pStyle w:val="TableParagraph"/>
              <w:spacing w:before="112"/>
              <w:ind w:left="318"/>
              <w:rPr>
                <w:sz w:val="16"/>
              </w:rPr>
            </w:pPr>
            <w:r>
              <w:rPr>
                <w:sz w:val="16"/>
              </w:rPr>
              <w:t>2018-19</w:t>
            </w:r>
          </w:p>
        </w:tc>
        <w:tc>
          <w:tcPr>
            <w:tcW w:w="946" w:type="dxa"/>
            <w:tcBorders>
              <w:left w:val="single" w:sz="6" w:space="0" w:color="BEBEBE"/>
              <w:bottom w:val="single" w:sz="6" w:space="0" w:color="BEBEBE"/>
            </w:tcBorders>
            <w:shd w:val="clear" w:color="auto" w:fill="F1F1F1"/>
          </w:tcPr>
          <w:p>
            <w:pPr>
              <w:pStyle w:val="TableParagraph"/>
              <w:spacing w:before="112"/>
              <w:ind w:left="180"/>
              <w:rPr>
                <w:sz w:val="16"/>
              </w:rPr>
            </w:pPr>
            <w:r>
              <w:rPr>
                <w:sz w:val="16"/>
              </w:rPr>
              <w:t>2019-20</w:t>
            </w:r>
          </w:p>
        </w:tc>
      </w:tr>
      <w:tr>
        <w:trPr>
          <w:trHeight w:val="1012" w:hRule="atLeast"/>
        </w:trPr>
        <w:tc>
          <w:tcPr>
            <w:tcW w:w="422" w:type="dxa"/>
            <w:vMerge/>
            <w:tcBorders>
              <w:top w:val="nil"/>
              <w:bottom w:val="single" w:sz="6" w:space="0" w:color="BEBEBE"/>
              <w:right w:val="single" w:sz="6" w:space="0" w:color="BEBEBE"/>
            </w:tcBorders>
            <w:shd w:val="clear" w:color="auto" w:fill="F1F1F1"/>
          </w:tcPr>
          <w:p>
            <w:pPr>
              <w:rPr>
                <w:sz w:val="2"/>
                <w:szCs w:val="2"/>
              </w:rPr>
            </w:pPr>
          </w:p>
        </w:tc>
        <w:tc>
          <w:tcPr>
            <w:tcW w:w="3497" w:type="dxa"/>
            <w:vMerge/>
            <w:tcBorders>
              <w:top w:val="nil"/>
              <w:left w:val="single" w:sz="6" w:space="0" w:color="BEBEBE"/>
              <w:bottom w:val="single" w:sz="6" w:space="0" w:color="BEBEBE"/>
              <w:right w:val="single" w:sz="6" w:space="0" w:color="BEBEBE"/>
            </w:tcBorders>
            <w:shd w:val="clear" w:color="auto" w:fill="F1F1F1"/>
          </w:tcPr>
          <w:p>
            <w:pPr>
              <w:rPr>
                <w:sz w:val="2"/>
                <w:szCs w:val="2"/>
              </w:rPr>
            </w:pPr>
          </w:p>
        </w:tc>
        <w:tc>
          <w:tcPr>
            <w:tcW w:w="638" w:type="dxa"/>
            <w:tcBorders>
              <w:top w:val="single" w:sz="6" w:space="0" w:color="BEBEBE"/>
              <w:left w:val="single" w:sz="6" w:space="0" w:color="BEBEBE"/>
              <w:bottom w:val="single" w:sz="6" w:space="0" w:color="BEBEBE"/>
              <w:right w:val="single" w:sz="6" w:space="0" w:color="BEBEBE"/>
            </w:tcBorders>
            <w:shd w:val="clear" w:color="auto" w:fill="F1F1F1"/>
          </w:tcPr>
          <w:p>
            <w:pPr>
              <w:pStyle w:val="TableParagraph"/>
              <w:spacing w:before="113"/>
              <w:ind w:left="139" w:right="126" w:firstLine="48"/>
              <w:jc w:val="both"/>
              <w:rPr>
                <w:sz w:val="16"/>
              </w:rPr>
            </w:pPr>
            <w:r>
              <w:rPr>
                <w:sz w:val="16"/>
              </w:rPr>
              <w:t>Jul-</w:t>
            </w:r>
            <w:r>
              <w:rPr>
                <w:spacing w:val="1"/>
                <w:sz w:val="16"/>
              </w:rPr>
              <w:t> </w:t>
            </w:r>
            <w:r>
              <w:rPr>
                <w:sz w:val="16"/>
              </w:rPr>
              <w:t>Dec</w:t>
            </w:r>
            <w:r>
              <w:rPr>
                <w:spacing w:val="-42"/>
                <w:sz w:val="16"/>
              </w:rPr>
              <w:t> </w:t>
            </w:r>
            <w:r>
              <w:rPr>
                <w:sz w:val="16"/>
              </w:rPr>
              <w:t>2017</w:t>
            </w:r>
            <w:r>
              <w:rPr>
                <w:spacing w:val="-42"/>
                <w:sz w:val="16"/>
              </w:rPr>
              <w:t> </w:t>
            </w:r>
            <w:r>
              <w:rPr>
                <w:sz w:val="16"/>
              </w:rPr>
              <w:t>FTE</w:t>
            </w:r>
          </w:p>
        </w:tc>
        <w:tc>
          <w:tcPr>
            <w:tcW w:w="638" w:type="dxa"/>
            <w:tcBorders>
              <w:top w:val="single" w:sz="6" w:space="0" w:color="BEBEBE"/>
              <w:left w:val="single" w:sz="6" w:space="0" w:color="BEBEBE"/>
              <w:bottom w:val="single" w:sz="6" w:space="0" w:color="BEBEBE"/>
              <w:right w:val="single" w:sz="6" w:space="0" w:color="BEBEBE"/>
            </w:tcBorders>
            <w:shd w:val="clear" w:color="auto" w:fill="F1F1F1"/>
          </w:tcPr>
          <w:p>
            <w:pPr>
              <w:pStyle w:val="TableParagraph"/>
              <w:spacing w:before="113"/>
              <w:ind w:left="140" w:right="125" w:firstLine="9"/>
              <w:jc w:val="both"/>
              <w:rPr>
                <w:sz w:val="16"/>
              </w:rPr>
            </w:pPr>
            <w:r>
              <w:rPr>
                <w:sz w:val="16"/>
              </w:rPr>
              <w:t>Jan-</w:t>
            </w:r>
            <w:r>
              <w:rPr>
                <w:spacing w:val="-42"/>
                <w:sz w:val="16"/>
              </w:rPr>
              <w:t> </w:t>
            </w:r>
            <w:r>
              <w:rPr>
                <w:sz w:val="16"/>
              </w:rPr>
              <w:t>Jun</w:t>
            </w:r>
            <w:r>
              <w:rPr>
                <w:spacing w:val="1"/>
                <w:sz w:val="16"/>
              </w:rPr>
              <w:t> </w:t>
            </w:r>
            <w:r>
              <w:rPr>
                <w:sz w:val="16"/>
              </w:rPr>
              <w:t>2018</w:t>
            </w:r>
            <w:r>
              <w:rPr>
                <w:spacing w:val="-42"/>
                <w:sz w:val="16"/>
              </w:rPr>
              <w:t> </w:t>
            </w:r>
            <w:r>
              <w:rPr>
                <w:sz w:val="16"/>
              </w:rPr>
              <w:t>FTE</w:t>
            </w:r>
          </w:p>
        </w:tc>
        <w:tc>
          <w:tcPr>
            <w:tcW w:w="638" w:type="dxa"/>
            <w:tcBorders>
              <w:top w:val="single" w:sz="6" w:space="0" w:color="BEBEBE"/>
              <w:left w:val="single" w:sz="6" w:space="0" w:color="BEBEBE"/>
              <w:bottom w:val="single" w:sz="6" w:space="0" w:color="BEBEBE"/>
              <w:right w:val="single" w:sz="6" w:space="0" w:color="BEBEBE"/>
            </w:tcBorders>
            <w:shd w:val="clear" w:color="auto" w:fill="F1F1F1"/>
          </w:tcPr>
          <w:p>
            <w:pPr>
              <w:pStyle w:val="TableParagraph"/>
              <w:spacing w:before="113"/>
              <w:ind w:left="140" w:right="125" w:firstLine="48"/>
              <w:jc w:val="both"/>
              <w:rPr>
                <w:sz w:val="16"/>
              </w:rPr>
            </w:pPr>
            <w:r>
              <w:rPr>
                <w:sz w:val="16"/>
              </w:rPr>
              <w:t>Jul-</w:t>
            </w:r>
            <w:r>
              <w:rPr>
                <w:spacing w:val="1"/>
                <w:sz w:val="16"/>
              </w:rPr>
              <w:t> </w:t>
            </w:r>
            <w:r>
              <w:rPr>
                <w:sz w:val="16"/>
              </w:rPr>
              <w:t>Dec</w:t>
            </w:r>
            <w:r>
              <w:rPr>
                <w:spacing w:val="-42"/>
                <w:sz w:val="16"/>
              </w:rPr>
              <w:t> </w:t>
            </w:r>
            <w:r>
              <w:rPr>
                <w:sz w:val="16"/>
              </w:rPr>
              <w:t>2018</w:t>
            </w:r>
            <w:r>
              <w:rPr>
                <w:spacing w:val="-42"/>
                <w:sz w:val="16"/>
              </w:rPr>
              <w:t> </w:t>
            </w:r>
            <w:r>
              <w:rPr>
                <w:sz w:val="16"/>
              </w:rPr>
              <w:t>FTE</w:t>
            </w:r>
          </w:p>
        </w:tc>
        <w:tc>
          <w:tcPr>
            <w:tcW w:w="585" w:type="dxa"/>
            <w:tcBorders>
              <w:top w:val="single" w:sz="6" w:space="0" w:color="BEBEBE"/>
              <w:left w:val="single" w:sz="6" w:space="0" w:color="BEBEBE"/>
              <w:bottom w:val="single" w:sz="6" w:space="0" w:color="BEBEBE"/>
              <w:right w:val="single" w:sz="6" w:space="0" w:color="BEBEBE"/>
            </w:tcBorders>
            <w:shd w:val="clear" w:color="auto" w:fill="F1F1F1"/>
          </w:tcPr>
          <w:p>
            <w:pPr>
              <w:pStyle w:val="TableParagraph"/>
              <w:spacing w:before="113"/>
              <w:ind w:left="114" w:right="98" w:firstLine="9"/>
              <w:jc w:val="both"/>
              <w:rPr>
                <w:sz w:val="16"/>
              </w:rPr>
            </w:pPr>
            <w:r>
              <w:rPr>
                <w:sz w:val="16"/>
              </w:rPr>
              <w:t>Jan-</w:t>
            </w:r>
            <w:r>
              <w:rPr>
                <w:spacing w:val="-42"/>
                <w:sz w:val="16"/>
              </w:rPr>
              <w:t> </w:t>
            </w:r>
            <w:r>
              <w:rPr>
                <w:sz w:val="16"/>
              </w:rPr>
              <w:t>Jun</w:t>
            </w:r>
            <w:r>
              <w:rPr>
                <w:spacing w:val="1"/>
                <w:sz w:val="16"/>
              </w:rPr>
              <w:t> </w:t>
            </w:r>
            <w:r>
              <w:rPr>
                <w:sz w:val="16"/>
              </w:rPr>
              <w:t>2019</w:t>
            </w:r>
            <w:r>
              <w:rPr>
                <w:spacing w:val="-42"/>
                <w:sz w:val="16"/>
              </w:rPr>
              <w:t> </w:t>
            </w:r>
            <w:r>
              <w:rPr>
                <w:sz w:val="16"/>
              </w:rPr>
              <w:t>FTE</w:t>
            </w:r>
          </w:p>
        </w:tc>
        <w:tc>
          <w:tcPr>
            <w:tcW w:w="946" w:type="dxa"/>
            <w:tcBorders>
              <w:top w:val="single" w:sz="6" w:space="0" w:color="BEBEBE"/>
              <w:left w:val="single" w:sz="6" w:space="0" w:color="BEBEBE"/>
              <w:bottom w:val="single" w:sz="6" w:space="0" w:color="BEBEBE"/>
            </w:tcBorders>
            <w:shd w:val="clear" w:color="auto" w:fill="F1F1F1"/>
          </w:tcPr>
          <w:p>
            <w:pPr>
              <w:pStyle w:val="TableParagraph"/>
              <w:spacing w:before="3"/>
              <w:rPr>
                <w:sz w:val="25"/>
              </w:rPr>
            </w:pPr>
          </w:p>
          <w:p>
            <w:pPr>
              <w:pStyle w:val="TableParagraph"/>
              <w:ind w:left="158" w:right="135" w:firstLine="21"/>
              <w:rPr>
                <w:sz w:val="16"/>
              </w:rPr>
            </w:pPr>
            <w:r>
              <w:rPr>
                <w:sz w:val="16"/>
              </w:rPr>
              <w:t>Jul-Dec</w:t>
            </w:r>
            <w:r>
              <w:rPr>
                <w:spacing w:val="-42"/>
                <w:sz w:val="16"/>
              </w:rPr>
              <w:t> </w:t>
            </w:r>
            <w:r>
              <w:rPr>
                <w:sz w:val="16"/>
              </w:rPr>
              <w:t>2019</w:t>
            </w:r>
            <w:r>
              <w:rPr>
                <w:spacing w:val="-10"/>
                <w:sz w:val="16"/>
              </w:rPr>
              <w:t> </w:t>
            </w:r>
            <w:r>
              <w:rPr>
                <w:sz w:val="16"/>
              </w:rPr>
              <w:t>FTE</w:t>
            </w:r>
          </w:p>
        </w:tc>
      </w:tr>
      <w:tr>
        <w:trPr>
          <w:trHeight w:val="421" w:hRule="atLeast"/>
        </w:trPr>
        <w:tc>
          <w:tcPr>
            <w:tcW w:w="422" w:type="dxa"/>
            <w:tcBorders>
              <w:top w:val="single" w:sz="6" w:space="0" w:color="BEBEBE"/>
              <w:bottom w:val="single" w:sz="6" w:space="0" w:color="BEBEBE"/>
              <w:right w:val="single" w:sz="6" w:space="0" w:color="BEBEBE"/>
            </w:tcBorders>
          </w:tcPr>
          <w:p>
            <w:pPr>
              <w:pStyle w:val="TableParagraph"/>
              <w:spacing w:before="112"/>
              <w:ind w:left="7"/>
              <w:jc w:val="center"/>
              <w:rPr>
                <w:sz w:val="16"/>
              </w:rPr>
            </w:pPr>
            <w:r>
              <w:rPr>
                <w:w w:val="100"/>
                <w:sz w:val="16"/>
              </w:rPr>
              <w:t>1</w:t>
            </w:r>
          </w:p>
        </w:tc>
        <w:tc>
          <w:tcPr>
            <w:tcW w:w="3497"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585"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946" w:type="dxa"/>
            <w:tcBorders>
              <w:top w:val="single" w:sz="6" w:space="0" w:color="BEBEBE"/>
              <w:left w:val="single" w:sz="6" w:space="0" w:color="BEBEBE"/>
              <w:bottom w:val="single" w:sz="6" w:space="0" w:color="BEBEBE"/>
            </w:tcBorders>
          </w:tcPr>
          <w:p>
            <w:pPr>
              <w:pStyle w:val="TableParagraph"/>
              <w:rPr>
                <w:rFonts w:ascii="Times New Roman"/>
                <w:sz w:val="16"/>
              </w:rPr>
            </w:pPr>
          </w:p>
        </w:tc>
      </w:tr>
      <w:tr>
        <w:trPr>
          <w:trHeight w:val="421" w:hRule="atLeast"/>
        </w:trPr>
        <w:tc>
          <w:tcPr>
            <w:tcW w:w="422" w:type="dxa"/>
            <w:tcBorders>
              <w:top w:val="single" w:sz="6" w:space="0" w:color="BEBEBE"/>
              <w:bottom w:val="single" w:sz="6" w:space="0" w:color="BEBEBE"/>
              <w:right w:val="single" w:sz="6" w:space="0" w:color="BEBEBE"/>
            </w:tcBorders>
          </w:tcPr>
          <w:p>
            <w:pPr>
              <w:pStyle w:val="TableParagraph"/>
              <w:spacing w:before="112"/>
              <w:ind w:left="7"/>
              <w:jc w:val="center"/>
              <w:rPr>
                <w:sz w:val="16"/>
              </w:rPr>
            </w:pPr>
            <w:r>
              <w:rPr>
                <w:w w:val="100"/>
                <w:sz w:val="16"/>
              </w:rPr>
              <w:t>2</w:t>
            </w:r>
          </w:p>
        </w:tc>
        <w:tc>
          <w:tcPr>
            <w:tcW w:w="3497"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585"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946" w:type="dxa"/>
            <w:tcBorders>
              <w:top w:val="single" w:sz="6" w:space="0" w:color="BEBEBE"/>
              <w:left w:val="single" w:sz="6" w:space="0" w:color="BEBEBE"/>
              <w:bottom w:val="single" w:sz="6" w:space="0" w:color="BEBEBE"/>
            </w:tcBorders>
          </w:tcPr>
          <w:p>
            <w:pPr>
              <w:pStyle w:val="TableParagraph"/>
              <w:rPr>
                <w:rFonts w:ascii="Times New Roman"/>
                <w:sz w:val="16"/>
              </w:rPr>
            </w:pPr>
          </w:p>
        </w:tc>
      </w:tr>
      <w:tr>
        <w:trPr>
          <w:trHeight w:val="421" w:hRule="atLeast"/>
        </w:trPr>
        <w:tc>
          <w:tcPr>
            <w:tcW w:w="422" w:type="dxa"/>
            <w:tcBorders>
              <w:top w:val="single" w:sz="6" w:space="0" w:color="BEBEBE"/>
              <w:bottom w:val="single" w:sz="6" w:space="0" w:color="BEBEBE"/>
              <w:right w:val="single" w:sz="6" w:space="0" w:color="BEBEBE"/>
            </w:tcBorders>
          </w:tcPr>
          <w:p>
            <w:pPr>
              <w:pStyle w:val="TableParagraph"/>
              <w:spacing w:before="112"/>
              <w:ind w:left="7"/>
              <w:jc w:val="center"/>
              <w:rPr>
                <w:sz w:val="16"/>
              </w:rPr>
            </w:pPr>
            <w:r>
              <w:rPr>
                <w:w w:val="100"/>
                <w:sz w:val="16"/>
              </w:rPr>
              <w:t>3</w:t>
            </w:r>
          </w:p>
        </w:tc>
        <w:tc>
          <w:tcPr>
            <w:tcW w:w="3497"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585"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946" w:type="dxa"/>
            <w:tcBorders>
              <w:top w:val="single" w:sz="6" w:space="0" w:color="BEBEBE"/>
              <w:left w:val="single" w:sz="6" w:space="0" w:color="BEBEBE"/>
              <w:bottom w:val="single" w:sz="6" w:space="0" w:color="BEBEBE"/>
            </w:tcBorders>
          </w:tcPr>
          <w:p>
            <w:pPr>
              <w:pStyle w:val="TableParagraph"/>
              <w:rPr>
                <w:rFonts w:ascii="Times New Roman"/>
                <w:sz w:val="16"/>
              </w:rPr>
            </w:pPr>
          </w:p>
        </w:tc>
      </w:tr>
      <w:tr>
        <w:trPr>
          <w:trHeight w:val="424" w:hRule="atLeast"/>
        </w:trPr>
        <w:tc>
          <w:tcPr>
            <w:tcW w:w="422" w:type="dxa"/>
            <w:tcBorders>
              <w:top w:val="single" w:sz="6" w:space="0" w:color="BEBEBE"/>
              <w:right w:val="single" w:sz="6" w:space="0" w:color="BEBEBE"/>
            </w:tcBorders>
          </w:tcPr>
          <w:p>
            <w:pPr>
              <w:pStyle w:val="TableParagraph"/>
              <w:spacing w:before="112"/>
              <w:ind w:left="7"/>
              <w:jc w:val="center"/>
              <w:rPr>
                <w:sz w:val="16"/>
              </w:rPr>
            </w:pPr>
            <w:r>
              <w:rPr>
                <w:w w:val="100"/>
                <w:sz w:val="16"/>
              </w:rPr>
              <w:t>…</w:t>
            </w:r>
          </w:p>
        </w:tc>
        <w:tc>
          <w:tcPr>
            <w:tcW w:w="3497"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585"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946" w:type="dxa"/>
            <w:tcBorders>
              <w:top w:val="single" w:sz="6" w:space="0" w:color="BEBEBE"/>
              <w:left w:val="single" w:sz="6" w:space="0" w:color="BEBEBE"/>
            </w:tcBorders>
          </w:tcPr>
          <w:p>
            <w:pPr>
              <w:pStyle w:val="TableParagraph"/>
              <w:rPr>
                <w:rFonts w:ascii="Times New Roman"/>
                <w:sz w:val="16"/>
              </w:rPr>
            </w:pPr>
          </w:p>
        </w:tc>
      </w:tr>
    </w:tbl>
    <w:p>
      <w:pPr>
        <w:spacing w:after="0"/>
        <w:rPr>
          <w:rFonts w:ascii="Times New Roman"/>
          <w:sz w:val="16"/>
        </w:rPr>
        <w:sectPr>
          <w:pgSz w:w="11910" w:h="16840"/>
          <w:pgMar w:header="0" w:footer="948" w:top="860" w:bottom="1140" w:left="300" w:right="0"/>
        </w:sectPr>
      </w:pPr>
    </w:p>
    <w:p>
      <w:pPr>
        <w:pStyle w:val="ListParagraph"/>
        <w:numPr>
          <w:ilvl w:val="0"/>
          <w:numId w:val="108"/>
        </w:numPr>
        <w:tabs>
          <w:tab w:pos="704" w:val="left" w:leader="none"/>
        </w:tabs>
        <w:spacing w:line="240" w:lineRule="auto" w:before="75" w:after="0"/>
        <w:ind w:left="703" w:right="960" w:hanging="284"/>
        <w:jc w:val="left"/>
        <w:rPr>
          <w:sz w:val="18"/>
        </w:rPr>
      </w:pPr>
      <w:r>
        <w:rPr>
          <w:sz w:val="18"/>
        </w:rPr>
        <w:t>Please</w:t>
      </w:r>
      <w:r>
        <w:rPr>
          <w:spacing w:val="-4"/>
          <w:sz w:val="18"/>
        </w:rPr>
        <w:t> </w:t>
      </w:r>
      <w:r>
        <w:rPr>
          <w:sz w:val="18"/>
        </w:rPr>
        <w:t>estimated</w:t>
      </w:r>
      <w:r>
        <w:rPr>
          <w:spacing w:val="-2"/>
          <w:sz w:val="18"/>
        </w:rPr>
        <w:t> </w:t>
      </w:r>
      <w:r>
        <w:rPr>
          <w:sz w:val="18"/>
        </w:rPr>
        <w:t>the</w:t>
      </w:r>
      <w:r>
        <w:rPr>
          <w:spacing w:val="-4"/>
          <w:sz w:val="18"/>
        </w:rPr>
        <w:t> </w:t>
      </w:r>
      <w:r>
        <w:rPr>
          <w:sz w:val="18"/>
        </w:rPr>
        <w:t>contribution</w:t>
      </w:r>
      <w:r>
        <w:rPr>
          <w:spacing w:val="-3"/>
          <w:sz w:val="18"/>
        </w:rPr>
        <w:t> </w:t>
      </w:r>
      <w:r>
        <w:rPr>
          <w:sz w:val="18"/>
        </w:rPr>
        <w:t>of</w:t>
      </w:r>
      <w:r>
        <w:rPr>
          <w:spacing w:val="-3"/>
          <w:sz w:val="18"/>
        </w:rPr>
        <w:t> </w:t>
      </w:r>
      <w:r>
        <w:rPr>
          <w:sz w:val="18"/>
        </w:rPr>
        <w:t>staff</w:t>
      </w:r>
      <w:r>
        <w:rPr>
          <w:spacing w:val="-4"/>
          <w:sz w:val="18"/>
        </w:rPr>
        <w:t> </w:t>
      </w:r>
      <w:r>
        <w:rPr>
          <w:sz w:val="18"/>
        </w:rPr>
        <w:t>who</w:t>
      </w:r>
      <w:r>
        <w:rPr>
          <w:spacing w:val="-3"/>
          <w:sz w:val="18"/>
        </w:rPr>
        <w:t> </w:t>
      </w:r>
      <w:r>
        <w:rPr>
          <w:sz w:val="18"/>
        </w:rPr>
        <w:t>are</w:t>
      </w:r>
      <w:r>
        <w:rPr>
          <w:spacing w:val="-5"/>
          <w:sz w:val="18"/>
        </w:rPr>
        <w:t> </w:t>
      </w:r>
      <w:r>
        <w:rPr>
          <w:sz w:val="18"/>
        </w:rPr>
        <w:t>indirectly</w:t>
      </w:r>
      <w:r>
        <w:rPr>
          <w:spacing w:val="-4"/>
          <w:sz w:val="18"/>
        </w:rPr>
        <w:t> </w:t>
      </w:r>
      <w:r>
        <w:rPr>
          <w:sz w:val="18"/>
        </w:rPr>
        <w:t>involved</w:t>
      </w:r>
      <w:r>
        <w:rPr>
          <w:spacing w:val="-5"/>
          <w:sz w:val="18"/>
        </w:rPr>
        <w:t> </w:t>
      </w:r>
      <w:r>
        <w:rPr>
          <w:sz w:val="18"/>
        </w:rPr>
        <w:t>in</w:t>
      </w:r>
      <w:r>
        <w:rPr>
          <w:spacing w:val="-3"/>
          <w:sz w:val="18"/>
        </w:rPr>
        <w:t> </w:t>
      </w:r>
      <w:r>
        <w:rPr>
          <w:sz w:val="18"/>
        </w:rPr>
        <w:t>supporting</w:t>
      </w:r>
      <w:r>
        <w:rPr>
          <w:spacing w:val="-6"/>
          <w:sz w:val="18"/>
        </w:rPr>
        <w:t> </w:t>
      </w:r>
      <w:r>
        <w:rPr>
          <w:sz w:val="18"/>
        </w:rPr>
        <w:t>the</w:t>
      </w:r>
      <w:r>
        <w:rPr>
          <w:spacing w:val="-4"/>
          <w:sz w:val="18"/>
        </w:rPr>
        <w:t> </w:t>
      </w:r>
      <w:r>
        <w:rPr>
          <w:sz w:val="18"/>
        </w:rPr>
        <w:t>implementation</w:t>
      </w:r>
      <w:r>
        <w:rPr>
          <w:spacing w:val="-3"/>
          <w:sz w:val="18"/>
        </w:rPr>
        <w:t> </w:t>
      </w:r>
      <w:r>
        <w:rPr>
          <w:sz w:val="18"/>
        </w:rPr>
        <w:t>of</w:t>
      </w:r>
      <w:r>
        <w:rPr>
          <w:spacing w:val="-3"/>
          <w:sz w:val="18"/>
        </w:rPr>
        <w:t> </w:t>
      </w:r>
      <w:r>
        <w:rPr>
          <w:sz w:val="18"/>
        </w:rPr>
        <w:t>HCH</w:t>
      </w:r>
      <w:r>
        <w:rPr>
          <w:spacing w:val="-6"/>
          <w:sz w:val="18"/>
        </w:rPr>
        <w:t> </w:t>
      </w:r>
      <w:r>
        <w:rPr>
          <w:sz w:val="18"/>
        </w:rPr>
        <w:t>(i.e.</w:t>
      </w:r>
      <w:r>
        <w:rPr>
          <w:spacing w:val="1"/>
          <w:sz w:val="18"/>
        </w:rPr>
        <w:t> </w:t>
      </w:r>
      <w:r>
        <w:rPr>
          <w:sz w:val="18"/>
        </w:rPr>
        <w:t>do not include the staff directly involved in supporting practices listed in the response to the previous question).</w:t>
      </w:r>
      <w:r>
        <w:rPr>
          <w:spacing w:val="1"/>
          <w:sz w:val="18"/>
        </w:rPr>
        <w:t> </w:t>
      </w:r>
      <w:r>
        <w:rPr>
          <w:sz w:val="18"/>
        </w:rPr>
        <w:t>Express</w:t>
      </w:r>
      <w:r>
        <w:rPr>
          <w:spacing w:val="-2"/>
          <w:sz w:val="18"/>
        </w:rPr>
        <w:t> </w:t>
      </w:r>
      <w:r>
        <w:rPr>
          <w:sz w:val="18"/>
        </w:rPr>
        <w:t>your estimate</w:t>
      </w:r>
      <w:r>
        <w:rPr>
          <w:spacing w:val="-1"/>
          <w:sz w:val="18"/>
        </w:rPr>
        <w:t> </w:t>
      </w:r>
      <w:r>
        <w:rPr>
          <w:sz w:val="18"/>
        </w:rPr>
        <w:t>as</w:t>
      </w:r>
      <w:r>
        <w:rPr>
          <w:spacing w:val="-1"/>
          <w:sz w:val="18"/>
        </w:rPr>
        <w:t> </w:t>
      </w:r>
      <w:r>
        <w:rPr>
          <w:sz w:val="18"/>
        </w:rPr>
        <w:t>full-time</w:t>
      </w:r>
      <w:r>
        <w:rPr>
          <w:spacing w:val="-1"/>
          <w:sz w:val="18"/>
        </w:rPr>
        <w:t> </w:t>
      </w:r>
      <w:r>
        <w:rPr>
          <w:sz w:val="18"/>
        </w:rPr>
        <w:t>equivalent</w:t>
      </w:r>
      <w:r>
        <w:rPr>
          <w:spacing w:val="1"/>
          <w:sz w:val="18"/>
        </w:rPr>
        <w:t> </w:t>
      </w:r>
      <w:r>
        <w:rPr>
          <w:sz w:val="18"/>
        </w:rPr>
        <w:t>(FTE)</w:t>
      </w:r>
      <w:r>
        <w:rPr>
          <w:spacing w:val="-2"/>
          <w:sz w:val="18"/>
        </w:rPr>
        <w:t> </w:t>
      </w:r>
      <w:r>
        <w:rPr>
          <w:sz w:val="18"/>
        </w:rPr>
        <w:t>staff</w:t>
      </w:r>
      <w:r>
        <w:rPr>
          <w:spacing w:val="-1"/>
          <w:sz w:val="18"/>
        </w:rPr>
        <w:t> </w:t>
      </w:r>
      <w:r>
        <w:rPr>
          <w:sz w:val="18"/>
        </w:rPr>
        <w:t>overall</w:t>
      </w:r>
      <w:r>
        <w:rPr>
          <w:spacing w:val="-1"/>
          <w:sz w:val="18"/>
        </w:rPr>
        <w:t> </w:t>
      </w:r>
      <w:r>
        <w:rPr>
          <w:sz w:val="18"/>
        </w:rPr>
        <w:t>for</w:t>
      </w:r>
      <w:r>
        <w:rPr>
          <w:spacing w:val="-1"/>
          <w:sz w:val="18"/>
        </w:rPr>
        <w:t> </w:t>
      </w:r>
      <w:r>
        <w:rPr>
          <w:sz w:val="18"/>
        </w:rPr>
        <w:t>the PHN.</w:t>
      </w:r>
    </w:p>
    <w:p>
      <w:pPr>
        <w:pStyle w:val="BodyText"/>
        <w:spacing w:before="11"/>
        <w:rPr>
          <w:sz w:val="22"/>
        </w:rPr>
      </w:pPr>
    </w:p>
    <w:tbl>
      <w:tblPr>
        <w:tblW w:w="0" w:type="auto"/>
        <w:jc w:val="left"/>
        <w:tblInd w:w="197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422"/>
        <w:gridCol w:w="3497"/>
        <w:gridCol w:w="638"/>
        <w:gridCol w:w="638"/>
        <w:gridCol w:w="638"/>
        <w:gridCol w:w="585"/>
        <w:gridCol w:w="946"/>
      </w:tblGrid>
      <w:tr>
        <w:trPr>
          <w:trHeight w:val="421" w:hRule="atLeast"/>
        </w:trPr>
        <w:tc>
          <w:tcPr>
            <w:tcW w:w="422" w:type="dxa"/>
            <w:vMerge w:val="restart"/>
            <w:tcBorders>
              <w:bottom w:val="single" w:sz="6" w:space="0" w:color="BEBEBE"/>
              <w:right w:val="single" w:sz="6" w:space="0" w:color="BEBEBE"/>
            </w:tcBorders>
            <w:shd w:val="clear" w:color="auto" w:fill="F1F1F1"/>
          </w:tcPr>
          <w:p>
            <w:pPr>
              <w:pStyle w:val="TableParagraph"/>
              <w:rPr>
                <w:sz w:val="20"/>
              </w:rPr>
            </w:pPr>
          </w:p>
          <w:p>
            <w:pPr>
              <w:pStyle w:val="TableParagraph"/>
              <w:rPr>
                <w:sz w:val="20"/>
              </w:rPr>
            </w:pPr>
          </w:p>
          <w:p>
            <w:pPr>
              <w:pStyle w:val="TableParagraph"/>
              <w:spacing w:before="135"/>
              <w:ind w:left="10"/>
              <w:jc w:val="center"/>
              <w:rPr>
                <w:sz w:val="16"/>
              </w:rPr>
            </w:pPr>
            <w:r>
              <w:rPr>
                <w:w w:val="100"/>
                <w:sz w:val="16"/>
              </w:rPr>
              <w:t>#</w:t>
            </w:r>
          </w:p>
        </w:tc>
        <w:tc>
          <w:tcPr>
            <w:tcW w:w="3497" w:type="dxa"/>
            <w:vMerge w:val="restart"/>
            <w:tcBorders>
              <w:left w:val="single" w:sz="6" w:space="0" w:color="BEBEBE"/>
              <w:bottom w:val="single" w:sz="6" w:space="0" w:color="BEBEBE"/>
              <w:right w:val="single" w:sz="6" w:space="0" w:color="BEBEBE"/>
            </w:tcBorders>
            <w:shd w:val="clear" w:color="auto" w:fill="F1F1F1"/>
          </w:tcPr>
          <w:p>
            <w:pPr>
              <w:pStyle w:val="TableParagraph"/>
              <w:rPr>
                <w:sz w:val="20"/>
              </w:rPr>
            </w:pPr>
          </w:p>
          <w:p>
            <w:pPr>
              <w:pStyle w:val="TableParagraph"/>
              <w:rPr>
                <w:sz w:val="20"/>
              </w:rPr>
            </w:pPr>
          </w:p>
          <w:p>
            <w:pPr>
              <w:pStyle w:val="TableParagraph"/>
              <w:spacing w:before="135"/>
              <w:ind w:left="1181" w:right="1174"/>
              <w:jc w:val="center"/>
              <w:rPr>
                <w:sz w:val="16"/>
              </w:rPr>
            </w:pPr>
            <w:r>
              <w:rPr>
                <w:sz w:val="16"/>
              </w:rPr>
              <w:t>Position</w:t>
            </w:r>
            <w:r>
              <w:rPr>
                <w:spacing w:val="-4"/>
                <w:sz w:val="16"/>
              </w:rPr>
              <w:t> </w:t>
            </w:r>
            <w:r>
              <w:rPr>
                <w:sz w:val="16"/>
              </w:rPr>
              <w:t>name</w:t>
            </w:r>
          </w:p>
        </w:tc>
        <w:tc>
          <w:tcPr>
            <w:tcW w:w="1276" w:type="dxa"/>
            <w:gridSpan w:val="2"/>
            <w:tcBorders>
              <w:left w:val="single" w:sz="6" w:space="0" w:color="BEBEBE"/>
              <w:bottom w:val="single" w:sz="6" w:space="0" w:color="BEBEBE"/>
              <w:right w:val="single" w:sz="6" w:space="0" w:color="BEBEBE"/>
            </w:tcBorders>
            <w:shd w:val="clear" w:color="auto" w:fill="F1F1F1"/>
          </w:tcPr>
          <w:p>
            <w:pPr>
              <w:pStyle w:val="TableParagraph"/>
              <w:spacing w:before="112"/>
              <w:ind w:left="344"/>
              <w:rPr>
                <w:sz w:val="16"/>
              </w:rPr>
            </w:pPr>
            <w:r>
              <w:rPr>
                <w:sz w:val="16"/>
              </w:rPr>
              <w:t>2017-18</w:t>
            </w:r>
          </w:p>
        </w:tc>
        <w:tc>
          <w:tcPr>
            <w:tcW w:w="1223" w:type="dxa"/>
            <w:gridSpan w:val="2"/>
            <w:tcBorders>
              <w:left w:val="single" w:sz="6" w:space="0" w:color="BEBEBE"/>
              <w:bottom w:val="single" w:sz="6" w:space="0" w:color="BEBEBE"/>
              <w:right w:val="single" w:sz="6" w:space="0" w:color="BEBEBE"/>
            </w:tcBorders>
            <w:shd w:val="clear" w:color="auto" w:fill="F1F1F1"/>
          </w:tcPr>
          <w:p>
            <w:pPr>
              <w:pStyle w:val="TableParagraph"/>
              <w:spacing w:before="112"/>
              <w:ind w:left="318"/>
              <w:rPr>
                <w:sz w:val="16"/>
              </w:rPr>
            </w:pPr>
            <w:r>
              <w:rPr>
                <w:sz w:val="16"/>
              </w:rPr>
              <w:t>2018-19</w:t>
            </w:r>
          </w:p>
        </w:tc>
        <w:tc>
          <w:tcPr>
            <w:tcW w:w="946" w:type="dxa"/>
            <w:tcBorders>
              <w:left w:val="single" w:sz="6" w:space="0" w:color="BEBEBE"/>
              <w:bottom w:val="single" w:sz="6" w:space="0" w:color="BEBEBE"/>
            </w:tcBorders>
            <w:shd w:val="clear" w:color="auto" w:fill="F1F1F1"/>
          </w:tcPr>
          <w:p>
            <w:pPr>
              <w:pStyle w:val="TableParagraph"/>
              <w:spacing w:before="112"/>
              <w:ind w:left="180"/>
              <w:rPr>
                <w:sz w:val="16"/>
              </w:rPr>
            </w:pPr>
            <w:r>
              <w:rPr>
                <w:sz w:val="16"/>
              </w:rPr>
              <w:t>2019-20</w:t>
            </w:r>
          </w:p>
        </w:tc>
      </w:tr>
      <w:tr>
        <w:trPr>
          <w:trHeight w:val="1012" w:hRule="atLeast"/>
        </w:trPr>
        <w:tc>
          <w:tcPr>
            <w:tcW w:w="422" w:type="dxa"/>
            <w:vMerge/>
            <w:tcBorders>
              <w:top w:val="nil"/>
              <w:bottom w:val="single" w:sz="6" w:space="0" w:color="BEBEBE"/>
              <w:right w:val="single" w:sz="6" w:space="0" w:color="BEBEBE"/>
            </w:tcBorders>
            <w:shd w:val="clear" w:color="auto" w:fill="F1F1F1"/>
          </w:tcPr>
          <w:p>
            <w:pPr>
              <w:rPr>
                <w:sz w:val="2"/>
                <w:szCs w:val="2"/>
              </w:rPr>
            </w:pPr>
          </w:p>
        </w:tc>
        <w:tc>
          <w:tcPr>
            <w:tcW w:w="3497" w:type="dxa"/>
            <w:vMerge/>
            <w:tcBorders>
              <w:top w:val="nil"/>
              <w:left w:val="single" w:sz="6" w:space="0" w:color="BEBEBE"/>
              <w:bottom w:val="single" w:sz="6" w:space="0" w:color="BEBEBE"/>
              <w:right w:val="single" w:sz="6" w:space="0" w:color="BEBEBE"/>
            </w:tcBorders>
            <w:shd w:val="clear" w:color="auto" w:fill="F1F1F1"/>
          </w:tcPr>
          <w:p>
            <w:pPr>
              <w:rPr>
                <w:sz w:val="2"/>
                <w:szCs w:val="2"/>
              </w:rPr>
            </w:pPr>
          </w:p>
        </w:tc>
        <w:tc>
          <w:tcPr>
            <w:tcW w:w="638" w:type="dxa"/>
            <w:tcBorders>
              <w:top w:val="single" w:sz="6" w:space="0" w:color="BEBEBE"/>
              <w:left w:val="single" w:sz="6" w:space="0" w:color="BEBEBE"/>
              <w:bottom w:val="single" w:sz="6" w:space="0" w:color="BEBEBE"/>
              <w:right w:val="single" w:sz="6" w:space="0" w:color="BEBEBE"/>
            </w:tcBorders>
            <w:shd w:val="clear" w:color="auto" w:fill="F1F1F1"/>
          </w:tcPr>
          <w:p>
            <w:pPr>
              <w:pStyle w:val="TableParagraph"/>
              <w:spacing w:before="112"/>
              <w:ind w:left="139" w:right="126" w:firstLine="48"/>
              <w:jc w:val="both"/>
              <w:rPr>
                <w:sz w:val="16"/>
              </w:rPr>
            </w:pPr>
            <w:r>
              <w:rPr>
                <w:sz w:val="16"/>
              </w:rPr>
              <w:t>Jul-</w:t>
            </w:r>
            <w:r>
              <w:rPr>
                <w:spacing w:val="1"/>
                <w:sz w:val="16"/>
              </w:rPr>
              <w:t> </w:t>
            </w:r>
            <w:r>
              <w:rPr>
                <w:sz w:val="16"/>
              </w:rPr>
              <w:t>Dec</w:t>
            </w:r>
            <w:r>
              <w:rPr>
                <w:spacing w:val="-42"/>
                <w:sz w:val="16"/>
              </w:rPr>
              <w:t> </w:t>
            </w:r>
            <w:r>
              <w:rPr>
                <w:sz w:val="16"/>
              </w:rPr>
              <w:t>2017</w:t>
            </w:r>
            <w:r>
              <w:rPr>
                <w:spacing w:val="-42"/>
                <w:sz w:val="16"/>
              </w:rPr>
              <w:t> </w:t>
            </w:r>
            <w:r>
              <w:rPr>
                <w:sz w:val="16"/>
              </w:rPr>
              <w:t>FTE</w:t>
            </w:r>
          </w:p>
        </w:tc>
        <w:tc>
          <w:tcPr>
            <w:tcW w:w="638" w:type="dxa"/>
            <w:tcBorders>
              <w:top w:val="single" w:sz="6" w:space="0" w:color="BEBEBE"/>
              <w:left w:val="single" w:sz="6" w:space="0" w:color="BEBEBE"/>
              <w:bottom w:val="single" w:sz="6" w:space="0" w:color="BEBEBE"/>
              <w:right w:val="single" w:sz="6" w:space="0" w:color="BEBEBE"/>
            </w:tcBorders>
            <w:shd w:val="clear" w:color="auto" w:fill="F1F1F1"/>
          </w:tcPr>
          <w:p>
            <w:pPr>
              <w:pStyle w:val="TableParagraph"/>
              <w:spacing w:before="112"/>
              <w:ind w:left="140" w:right="125" w:firstLine="9"/>
              <w:jc w:val="both"/>
              <w:rPr>
                <w:sz w:val="16"/>
              </w:rPr>
            </w:pPr>
            <w:r>
              <w:rPr>
                <w:sz w:val="16"/>
              </w:rPr>
              <w:t>Jan-</w:t>
            </w:r>
            <w:r>
              <w:rPr>
                <w:spacing w:val="-42"/>
                <w:sz w:val="16"/>
              </w:rPr>
              <w:t> </w:t>
            </w:r>
            <w:r>
              <w:rPr>
                <w:sz w:val="16"/>
              </w:rPr>
              <w:t>Jun</w:t>
            </w:r>
            <w:r>
              <w:rPr>
                <w:spacing w:val="1"/>
                <w:sz w:val="16"/>
              </w:rPr>
              <w:t> </w:t>
            </w:r>
            <w:r>
              <w:rPr>
                <w:sz w:val="16"/>
              </w:rPr>
              <w:t>2018</w:t>
            </w:r>
            <w:r>
              <w:rPr>
                <w:spacing w:val="-42"/>
                <w:sz w:val="16"/>
              </w:rPr>
              <w:t> </w:t>
            </w:r>
            <w:r>
              <w:rPr>
                <w:sz w:val="16"/>
              </w:rPr>
              <w:t>FTE</w:t>
            </w:r>
          </w:p>
        </w:tc>
        <w:tc>
          <w:tcPr>
            <w:tcW w:w="638" w:type="dxa"/>
            <w:tcBorders>
              <w:top w:val="single" w:sz="6" w:space="0" w:color="BEBEBE"/>
              <w:left w:val="single" w:sz="6" w:space="0" w:color="BEBEBE"/>
              <w:bottom w:val="single" w:sz="6" w:space="0" w:color="BEBEBE"/>
              <w:right w:val="single" w:sz="6" w:space="0" w:color="BEBEBE"/>
            </w:tcBorders>
            <w:shd w:val="clear" w:color="auto" w:fill="F1F1F1"/>
          </w:tcPr>
          <w:p>
            <w:pPr>
              <w:pStyle w:val="TableParagraph"/>
              <w:spacing w:before="112"/>
              <w:ind w:left="140" w:right="125" w:firstLine="48"/>
              <w:jc w:val="both"/>
              <w:rPr>
                <w:sz w:val="16"/>
              </w:rPr>
            </w:pPr>
            <w:r>
              <w:rPr>
                <w:sz w:val="16"/>
              </w:rPr>
              <w:t>Jul-</w:t>
            </w:r>
            <w:r>
              <w:rPr>
                <w:spacing w:val="1"/>
                <w:sz w:val="16"/>
              </w:rPr>
              <w:t> </w:t>
            </w:r>
            <w:r>
              <w:rPr>
                <w:sz w:val="16"/>
              </w:rPr>
              <w:t>Dec</w:t>
            </w:r>
            <w:r>
              <w:rPr>
                <w:spacing w:val="-42"/>
                <w:sz w:val="16"/>
              </w:rPr>
              <w:t> </w:t>
            </w:r>
            <w:r>
              <w:rPr>
                <w:sz w:val="16"/>
              </w:rPr>
              <w:t>2018</w:t>
            </w:r>
            <w:r>
              <w:rPr>
                <w:spacing w:val="-42"/>
                <w:sz w:val="16"/>
              </w:rPr>
              <w:t> </w:t>
            </w:r>
            <w:r>
              <w:rPr>
                <w:sz w:val="16"/>
              </w:rPr>
              <w:t>FTE</w:t>
            </w:r>
          </w:p>
        </w:tc>
        <w:tc>
          <w:tcPr>
            <w:tcW w:w="585" w:type="dxa"/>
            <w:tcBorders>
              <w:top w:val="single" w:sz="6" w:space="0" w:color="BEBEBE"/>
              <w:left w:val="single" w:sz="6" w:space="0" w:color="BEBEBE"/>
              <w:bottom w:val="single" w:sz="6" w:space="0" w:color="BEBEBE"/>
              <w:right w:val="single" w:sz="6" w:space="0" w:color="BEBEBE"/>
            </w:tcBorders>
            <w:shd w:val="clear" w:color="auto" w:fill="F1F1F1"/>
          </w:tcPr>
          <w:p>
            <w:pPr>
              <w:pStyle w:val="TableParagraph"/>
              <w:spacing w:before="112"/>
              <w:ind w:left="114" w:right="98" w:firstLine="9"/>
              <w:jc w:val="both"/>
              <w:rPr>
                <w:sz w:val="16"/>
              </w:rPr>
            </w:pPr>
            <w:r>
              <w:rPr>
                <w:sz w:val="16"/>
              </w:rPr>
              <w:t>Jan-</w:t>
            </w:r>
            <w:r>
              <w:rPr>
                <w:spacing w:val="-42"/>
                <w:sz w:val="16"/>
              </w:rPr>
              <w:t> </w:t>
            </w:r>
            <w:r>
              <w:rPr>
                <w:sz w:val="16"/>
              </w:rPr>
              <w:t>Jun</w:t>
            </w:r>
            <w:r>
              <w:rPr>
                <w:spacing w:val="1"/>
                <w:sz w:val="16"/>
              </w:rPr>
              <w:t> </w:t>
            </w:r>
            <w:r>
              <w:rPr>
                <w:sz w:val="16"/>
              </w:rPr>
              <w:t>2019</w:t>
            </w:r>
            <w:r>
              <w:rPr>
                <w:spacing w:val="-42"/>
                <w:sz w:val="16"/>
              </w:rPr>
              <w:t> </w:t>
            </w:r>
            <w:r>
              <w:rPr>
                <w:sz w:val="16"/>
              </w:rPr>
              <w:t>FTE</w:t>
            </w:r>
          </w:p>
        </w:tc>
        <w:tc>
          <w:tcPr>
            <w:tcW w:w="946" w:type="dxa"/>
            <w:tcBorders>
              <w:top w:val="single" w:sz="6" w:space="0" w:color="BEBEBE"/>
              <w:left w:val="single" w:sz="6" w:space="0" w:color="BEBEBE"/>
              <w:bottom w:val="single" w:sz="6" w:space="0" w:color="BEBEBE"/>
            </w:tcBorders>
            <w:shd w:val="clear" w:color="auto" w:fill="F1F1F1"/>
          </w:tcPr>
          <w:p>
            <w:pPr>
              <w:pStyle w:val="TableParagraph"/>
              <w:spacing w:before="2"/>
              <w:rPr>
                <w:sz w:val="25"/>
              </w:rPr>
            </w:pPr>
          </w:p>
          <w:p>
            <w:pPr>
              <w:pStyle w:val="TableParagraph"/>
              <w:ind w:left="158" w:right="135" w:firstLine="21"/>
              <w:rPr>
                <w:sz w:val="16"/>
              </w:rPr>
            </w:pPr>
            <w:r>
              <w:rPr>
                <w:sz w:val="16"/>
              </w:rPr>
              <w:t>Jul-Dec</w:t>
            </w:r>
            <w:r>
              <w:rPr>
                <w:spacing w:val="-42"/>
                <w:sz w:val="16"/>
              </w:rPr>
              <w:t> </w:t>
            </w:r>
            <w:r>
              <w:rPr>
                <w:sz w:val="16"/>
              </w:rPr>
              <w:t>2019</w:t>
            </w:r>
            <w:r>
              <w:rPr>
                <w:spacing w:val="-10"/>
                <w:sz w:val="16"/>
              </w:rPr>
              <w:t> </w:t>
            </w:r>
            <w:r>
              <w:rPr>
                <w:sz w:val="16"/>
              </w:rPr>
              <w:t>FTE</w:t>
            </w:r>
          </w:p>
        </w:tc>
      </w:tr>
      <w:tr>
        <w:trPr>
          <w:trHeight w:val="421" w:hRule="atLeast"/>
        </w:trPr>
        <w:tc>
          <w:tcPr>
            <w:tcW w:w="422" w:type="dxa"/>
            <w:tcBorders>
              <w:top w:val="single" w:sz="6" w:space="0" w:color="BEBEBE"/>
              <w:bottom w:val="single" w:sz="6" w:space="0" w:color="BEBEBE"/>
              <w:right w:val="single" w:sz="6" w:space="0" w:color="BEBEBE"/>
            </w:tcBorders>
          </w:tcPr>
          <w:p>
            <w:pPr>
              <w:pStyle w:val="TableParagraph"/>
              <w:spacing w:before="112"/>
              <w:ind w:left="7"/>
              <w:jc w:val="center"/>
              <w:rPr>
                <w:sz w:val="16"/>
              </w:rPr>
            </w:pPr>
            <w:r>
              <w:rPr>
                <w:w w:val="100"/>
                <w:sz w:val="16"/>
              </w:rPr>
              <w:t>1</w:t>
            </w:r>
          </w:p>
        </w:tc>
        <w:tc>
          <w:tcPr>
            <w:tcW w:w="3497"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585"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946" w:type="dxa"/>
            <w:tcBorders>
              <w:top w:val="single" w:sz="6" w:space="0" w:color="BEBEBE"/>
              <w:left w:val="single" w:sz="6" w:space="0" w:color="BEBEBE"/>
              <w:bottom w:val="single" w:sz="6" w:space="0" w:color="BEBEBE"/>
            </w:tcBorders>
          </w:tcPr>
          <w:p>
            <w:pPr>
              <w:pStyle w:val="TableParagraph"/>
              <w:rPr>
                <w:rFonts w:ascii="Times New Roman"/>
                <w:sz w:val="16"/>
              </w:rPr>
            </w:pPr>
          </w:p>
        </w:tc>
      </w:tr>
      <w:tr>
        <w:trPr>
          <w:trHeight w:val="421" w:hRule="atLeast"/>
        </w:trPr>
        <w:tc>
          <w:tcPr>
            <w:tcW w:w="422" w:type="dxa"/>
            <w:tcBorders>
              <w:top w:val="single" w:sz="6" w:space="0" w:color="BEBEBE"/>
              <w:bottom w:val="single" w:sz="6" w:space="0" w:color="BEBEBE"/>
              <w:right w:val="single" w:sz="6" w:space="0" w:color="BEBEBE"/>
            </w:tcBorders>
          </w:tcPr>
          <w:p>
            <w:pPr>
              <w:pStyle w:val="TableParagraph"/>
              <w:spacing w:before="112"/>
              <w:ind w:left="7"/>
              <w:jc w:val="center"/>
              <w:rPr>
                <w:sz w:val="16"/>
              </w:rPr>
            </w:pPr>
            <w:r>
              <w:rPr>
                <w:w w:val="100"/>
                <w:sz w:val="16"/>
              </w:rPr>
              <w:t>2</w:t>
            </w:r>
          </w:p>
        </w:tc>
        <w:tc>
          <w:tcPr>
            <w:tcW w:w="3497"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585"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946" w:type="dxa"/>
            <w:tcBorders>
              <w:top w:val="single" w:sz="6" w:space="0" w:color="BEBEBE"/>
              <w:left w:val="single" w:sz="6" w:space="0" w:color="BEBEBE"/>
              <w:bottom w:val="single" w:sz="6" w:space="0" w:color="BEBEBE"/>
            </w:tcBorders>
          </w:tcPr>
          <w:p>
            <w:pPr>
              <w:pStyle w:val="TableParagraph"/>
              <w:rPr>
                <w:rFonts w:ascii="Times New Roman"/>
                <w:sz w:val="16"/>
              </w:rPr>
            </w:pPr>
          </w:p>
        </w:tc>
      </w:tr>
      <w:tr>
        <w:trPr>
          <w:trHeight w:val="421" w:hRule="atLeast"/>
        </w:trPr>
        <w:tc>
          <w:tcPr>
            <w:tcW w:w="422" w:type="dxa"/>
            <w:tcBorders>
              <w:top w:val="single" w:sz="6" w:space="0" w:color="BEBEBE"/>
              <w:bottom w:val="single" w:sz="6" w:space="0" w:color="BEBEBE"/>
              <w:right w:val="single" w:sz="6" w:space="0" w:color="BEBEBE"/>
            </w:tcBorders>
          </w:tcPr>
          <w:p>
            <w:pPr>
              <w:pStyle w:val="TableParagraph"/>
              <w:spacing w:before="112"/>
              <w:ind w:left="7"/>
              <w:jc w:val="center"/>
              <w:rPr>
                <w:sz w:val="16"/>
              </w:rPr>
            </w:pPr>
            <w:r>
              <w:rPr>
                <w:w w:val="100"/>
                <w:sz w:val="16"/>
              </w:rPr>
              <w:t>3</w:t>
            </w:r>
          </w:p>
        </w:tc>
        <w:tc>
          <w:tcPr>
            <w:tcW w:w="3497"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585"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946" w:type="dxa"/>
            <w:tcBorders>
              <w:top w:val="single" w:sz="6" w:space="0" w:color="BEBEBE"/>
              <w:left w:val="single" w:sz="6" w:space="0" w:color="BEBEBE"/>
              <w:bottom w:val="single" w:sz="6" w:space="0" w:color="BEBEBE"/>
            </w:tcBorders>
          </w:tcPr>
          <w:p>
            <w:pPr>
              <w:pStyle w:val="TableParagraph"/>
              <w:rPr>
                <w:rFonts w:ascii="Times New Roman"/>
                <w:sz w:val="16"/>
              </w:rPr>
            </w:pPr>
          </w:p>
        </w:tc>
      </w:tr>
      <w:tr>
        <w:trPr>
          <w:trHeight w:val="422" w:hRule="atLeast"/>
        </w:trPr>
        <w:tc>
          <w:tcPr>
            <w:tcW w:w="422" w:type="dxa"/>
            <w:tcBorders>
              <w:top w:val="single" w:sz="6" w:space="0" w:color="BEBEBE"/>
              <w:right w:val="single" w:sz="6" w:space="0" w:color="BEBEBE"/>
            </w:tcBorders>
          </w:tcPr>
          <w:p>
            <w:pPr>
              <w:pStyle w:val="TableParagraph"/>
              <w:spacing w:before="113"/>
              <w:ind w:left="7"/>
              <w:jc w:val="center"/>
              <w:rPr>
                <w:sz w:val="16"/>
              </w:rPr>
            </w:pPr>
            <w:r>
              <w:rPr>
                <w:w w:val="100"/>
                <w:sz w:val="16"/>
              </w:rPr>
              <w:t>…</w:t>
            </w:r>
          </w:p>
        </w:tc>
        <w:tc>
          <w:tcPr>
            <w:tcW w:w="3497"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585"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946" w:type="dxa"/>
            <w:tcBorders>
              <w:top w:val="single" w:sz="6" w:space="0" w:color="BEBEBE"/>
              <w:left w:val="single" w:sz="6" w:space="0" w:color="BEBEBE"/>
            </w:tcBorders>
          </w:tcPr>
          <w:p>
            <w:pPr>
              <w:pStyle w:val="TableParagraph"/>
              <w:rPr>
                <w:rFonts w:ascii="Times New Roman"/>
                <w:sz w:val="16"/>
              </w:rPr>
            </w:pPr>
          </w:p>
        </w:tc>
      </w:tr>
    </w:tbl>
    <w:p>
      <w:pPr>
        <w:pStyle w:val="BodyText"/>
        <w:spacing w:before="11"/>
      </w:pPr>
    </w:p>
    <w:p>
      <w:pPr>
        <w:pStyle w:val="ListParagraph"/>
        <w:numPr>
          <w:ilvl w:val="0"/>
          <w:numId w:val="108"/>
        </w:numPr>
        <w:tabs>
          <w:tab w:pos="704" w:val="left" w:leader="none"/>
        </w:tabs>
        <w:spacing w:line="240" w:lineRule="auto" w:before="0" w:after="0"/>
        <w:ind w:left="703" w:right="1101" w:hanging="284"/>
        <w:jc w:val="left"/>
        <w:rPr>
          <w:sz w:val="18"/>
        </w:rPr>
      </w:pPr>
      <w:r>
        <w:rPr>
          <w:sz w:val="18"/>
        </w:rPr>
        <w:t>What</w:t>
      </w:r>
      <w:r>
        <w:rPr>
          <w:spacing w:val="-4"/>
          <w:sz w:val="18"/>
        </w:rPr>
        <w:t> </w:t>
      </w:r>
      <w:r>
        <w:rPr>
          <w:sz w:val="18"/>
        </w:rPr>
        <w:t>else</w:t>
      </w:r>
      <w:r>
        <w:rPr>
          <w:spacing w:val="-2"/>
          <w:sz w:val="18"/>
        </w:rPr>
        <w:t> </w:t>
      </w:r>
      <w:r>
        <w:rPr>
          <w:sz w:val="18"/>
        </w:rPr>
        <w:t>should</w:t>
      </w:r>
      <w:r>
        <w:rPr>
          <w:spacing w:val="-3"/>
          <w:sz w:val="18"/>
        </w:rPr>
        <w:t> </w:t>
      </w:r>
      <w:r>
        <w:rPr>
          <w:sz w:val="18"/>
        </w:rPr>
        <w:t>we</w:t>
      </w:r>
      <w:r>
        <w:rPr>
          <w:spacing w:val="-2"/>
          <w:sz w:val="18"/>
        </w:rPr>
        <w:t> </w:t>
      </w:r>
      <w:r>
        <w:rPr>
          <w:sz w:val="18"/>
        </w:rPr>
        <w:t>know</w:t>
      </w:r>
      <w:r>
        <w:rPr>
          <w:spacing w:val="-3"/>
          <w:sz w:val="18"/>
        </w:rPr>
        <w:t> </w:t>
      </w:r>
      <w:r>
        <w:rPr>
          <w:sz w:val="18"/>
        </w:rPr>
        <w:t>about</w:t>
      </w:r>
      <w:r>
        <w:rPr>
          <w:spacing w:val="-4"/>
          <w:sz w:val="18"/>
        </w:rPr>
        <w:t> </w:t>
      </w:r>
      <w:r>
        <w:rPr>
          <w:sz w:val="18"/>
        </w:rPr>
        <w:t>the</w:t>
      </w:r>
      <w:r>
        <w:rPr>
          <w:spacing w:val="-2"/>
          <w:sz w:val="18"/>
        </w:rPr>
        <w:t> </w:t>
      </w:r>
      <w:r>
        <w:rPr>
          <w:sz w:val="18"/>
        </w:rPr>
        <w:t>size</w:t>
      </w:r>
      <w:r>
        <w:rPr>
          <w:spacing w:val="-4"/>
          <w:sz w:val="18"/>
        </w:rPr>
        <w:t> </w:t>
      </w:r>
      <w:r>
        <w:rPr>
          <w:sz w:val="18"/>
        </w:rPr>
        <w:t>and</w:t>
      </w:r>
      <w:r>
        <w:rPr>
          <w:spacing w:val="-3"/>
          <w:sz w:val="18"/>
        </w:rPr>
        <w:t> </w:t>
      </w:r>
      <w:r>
        <w:rPr>
          <w:sz w:val="18"/>
        </w:rPr>
        <w:t>nature</w:t>
      </w:r>
      <w:r>
        <w:rPr>
          <w:spacing w:val="-1"/>
          <w:sz w:val="18"/>
        </w:rPr>
        <w:t> </w:t>
      </w:r>
      <w:r>
        <w:rPr>
          <w:sz w:val="18"/>
        </w:rPr>
        <w:t>of</w:t>
      </w:r>
      <w:r>
        <w:rPr>
          <w:spacing w:val="-2"/>
          <w:sz w:val="18"/>
        </w:rPr>
        <w:t> </w:t>
      </w:r>
      <w:r>
        <w:rPr>
          <w:sz w:val="18"/>
        </w:rPr>
        <w:t>the</w:t>
      </w:r>
      <w:r>
        <w:rPr>
          <w:spacing w:val="-2"/>
          <w:sz w:val="18"/>
        </w:rPr>
        <w:t> </w:t>
      </w:r>
      <w:r>
        <w:rPr>
          <w:sz w:val="18"/>
        </w:rPr>
        <w:t>PHN</w:t>
      </w:r>
      <w:r>
        <w:rPr>
          <w:spacing w:val="-4"/>
          <w:sz w:val="18"/>
        </w:rPr>
        <w:t> </w:t>
      </w:r>
      <w:r>
        <w:rPr>
          <w:sz w:val="18"/>
        </w:rPr>
        <w:t>effort</w:t>
      </w:r>
      <w:r>
        <w:rPr>
          <w:spacing w:val="-4"/>
          <w:sz w:val="18"/>
        </w:rPr>
        <w:t> </w:t>
      </w:r>
      <w:r>
        <w:rPr>
          <w:sz w:val="18"/>
        </w:rPr>
        <w:t>to</w:t>
      </w:r>
      <w:r>
        <w:rPr>
          <w:spacing w:val="-2"/>
          <w:sz w:val="18"/>
        </w:rPr>
        <w:t> </w:t>
      </w:r>
      <w:r>
        <w:rPr>
          <w:sz w:val="18"/>
        </w:rPr>
        <w:t>support</w:t>
      </w:r>
      <w:r>
        <w:rPr>
          <w:spacing w:val="-4"/>
          <w:sz w:val="18"/>
        </w:rPr>
        <w:t> </w:t>
      </w:r>
      <w:r>
        <w:rPr>
          <w:sz w:val="18"/>
        </w:rPr>
        <w:t>the</w:t>
      </w:r>
      <w:r>
        <w:rPr>
          <w:spacing w:val="-4"/>
          <w:sz w:val="18"/>
        </w:rPr>
        <w:t> </w:t>
      </w:r>
      <w:r>
        <w:rPr>
          <w:sz w:val="18"/>
        </w:rPr>
        <w:t>implementation</w:t>
      </w:r>
      <w:r>
        <w:rPr>
          <w:spacing w:val="-2"/>
          <w:sz w:val="18"/>
        </w:rPr>
        <w:t> </w:t>
      </w:r>
      <w:r>
        <w:rPr>
          <w:sz w:val="18"/>
        </w:rPr>
        <w:t>of</w:t>
      </w:r>
      <w:r>
        <w:rPr>
          <w:spacing w:val="-2"/>
          <w:sz w:val="18"/>
        </w:rPr>
        <w:t> </w:t>
      </w:r>
      <w:r>
        <w:rPr>
          <w:sz w:val="18"/>
        </w:rPr>
        <w:t>the</w:t>
      </w:r>
      <w:r>
        <w:rPr>
          <w:spacing w:val="-1"/>
          <w:sz w:val="18"/>
        </w:rPr>
        <w:t> </w:t>
      </w:r>
      <w:r>
        <w:rPr>
          <w:sz w:val="18"/>
        </w:rPr>
        <w:t>HCH</w:t>
      </w:r>
      <w:r>
        <w:rPr>
          <w:spacing w:val="1"/>
          <w:sz w:val="18"/>
        </w:rPr>
        <w:t> </w:t>
      </w:r>
      <w:r>
        <w:rPr>
          <w:sz w:val="18"/>
        </w:rPr>
        <w:t>program?</w:t>
      </w:r>
    </w:p>
    <w:p>
      <w:pPr>
        <w:pStyle w:val="BodyText"/>
      </w:pPr>
    </w:p>
    <w:p>
      <w:pPr>
        <w:pStyle w:val="BodyText"/>
        <w:spacing w:before="7"/>
        <w:rPr>
          <w:sz w:val="25"/>
        </w:rPr>
      </w:pPr>
      <w:r>
        <w:rPr/>
        <w:pict>
          <v:rect style="position:absolute;margin-left:34.560001pt;margin-top:16.879169pt;width:526.3pt;height:.48001pt;mso-position-horizontal-relative:page;mso-position-vertical-relative:paragraph;z-index:-15290880;mso-wrap-distance-left:0;mso-wrap-distance-right:0" id="docshape248" filled="true" fillcolor="#d9d9d9" stroked="false">
            <v:fill type="solid"/>
            <w10:wrap type="topAndBottom"/>
          </v:rect>
        </w:pict>
      </w:r>
    </w:p>
    <w:p>
      <w:pPr>
        <w:pStyle w:val="BodyText"/>
        <w:spacing w:before="2"/>
        <w:rPr>
          <w:sz w:val="8"/>
        </w:rPr>
      </w:pPr>
    </w:p>
    <w:p>
      <w:pPr>
        <w:spacing w:before="100"/>
        <w:ind w:left="420" w:right="0" w:firstLine="0"/>
        <w:jc w:val="left"/>
        <w:rPr>
          <w:b/>
          <w:sz w:val="18"/>
        </w:rPr>
      </w:pPr>
      <w:r>
        <w:rPr>
          <w:b/>
          <w:sz w:val="18"/>
        </w:rPr>
        <w:t>PHN</w:t>
      </w:r>
      <w:r>
        <w:rPr>
          <w:b/>
          <w:spacing w:val="-4"/>
          <w:sz w:val="18"/>
        </w:rPr>
        <w:t> </w:t>
      </w:r>
      <w:r>
        <w:rPr>
          <w:b/>
          <w:sz w:val="18"/>
        </w:rPr>
        <w:t>views</w:t>
      </w:r>
      <w:r>
        <w:rPr>
          <w:b/>
          <w:spacing w:val="-2"/>
          <w:sz w:val="18"/>
        </w:rPr>
        <w:t> </w:t>
      </w:r>
      <w:r>
        <w:rPr>
          <w:b/>
          <w:sz w:val="18"/>
        </w:rPr>
        <w:t>on</w:t>
      </w:r>
      <w:r>
        <w:rPr>
          <w:b/>
          <w:spacing w:val="-3"/>
          <w:sz w:val="18"/>
        </w:rPr>
        <w:t> </w:t>
      </w:r>
      <w:r>
        <w:rPr>
          <w:b/>
          <w:sz w:val="18"/>
        </w:rPr>
        <w:t>other</w:t>
      </w:r>
      <w:r>
        <w:rPr>
          <w:b/>
          <w:spacing w:val="-1"/>
          <w:sz w:val="18"/>
        </w:rPr>
        <w:t> </w:t>
      </w:r>
      <w:r>
        <w:rPr>
          <w:b/>
          <w:sz w:val="18"/>
        </w:rPr>
        <w:t>aspects of</w:t>
      </w:r>
      <w:r>
        <w:rPr>
          <w:b/>
          <w:spacing w:val="-2"/>
          <w:sz w:val="18"/>
        </w:rPr>
        <w:t> </w:t>
      </w:r>
      <w:r>
        <w:rPr>
          <w:b/>
          <w:sz w:val="18"/>
        </w:rPr>
        <w:t>HCH</w:t>
      </w:r>
      <w:r>
        <w:rPr>
          <w:b/>
          <w:spacing w:val="-1"/>
          <w:sz w:val="18"/>
        </w:rPr>
        <w:t> </w:t>
      </w:r>
      <w:r>
        <w:rPr>
          <w:b/>
          <w:sz w:val="18"/>
        </w:rPr>
        <w:t>program</w:t>
      </w:r>
    </w:p>
    <w:p>
      <w:pPr>
        <w:pStyle w:val="BodyText"/>
        <w:rPr>
          <w:b/>
          <w:sz w:val="19"/>
        </w:rPr>
      </w:pPr>
    </w:p>
    <w:p>
      <w:pPr>
        <w:pStyle w:val="ListParagraph"/>
        <w:numPr>
          <w:ilvl w:val="0"/>
          <w:numId w:val="108"/>
        </w:numPr>
        <w:tabs>
          <w:tab w:pos="704" w:val="left" w:leader="none"/>
        </w:tabs>
        <w:spacing w:line="240" w:lineRule="auto" w:before="0" w:after="0"/>
        <w:ind w:left="703" w:right="946" w:hanging="284"/>
        <w:jc w:val="left"/>
        <w:rPr>
          <w:sz w:val="18"/>
        </w:rPr>
      </w:pPr>
      <w:r>
        <w:rPr>
          <w:sz w:val="18"/>
        </w:rPr>
        <w:t>Please outline any further reflections you have had on the HCH program and its implementation since the previous</w:t>
      </w:r>
      <w:r>
        <w:rPr>
          <w:spacing w:val="-47"/>
          <w:sz w:val="18"/>
        </w:rPr>
        <w:t> </w:t>
      </w:r>
      <w:r>
        <w:rPr>
          <w:sz w:val="18"/>
        </w:rPr>
        <w:t>PHN</w:t>
      </w:r>
      <w:r>
        <w:rPr>
          <w:spacing w:val="-3"/>
          <w:sz w:val="18"/>
        </w:rPr>
        <w:t> </w:t>
      </w:r>
      <w:r>
        <w:rPr>
          <w:sz w:val="18"/>
        </w:rPr>
        <w:t>survey</w:t>
      </w:r>
    </w:p>
    <w:p>
      <w:pPr>
        <w:pStyle w:val="BodyText"/>
      </w:pPr>
    </w:p>
    <w:p>
      <w:pPr>
        <w:pStyle w:val="BodyText"/>
        <w:spacing w:before="6"/>
        <w:rPr>
          <w:sz w:val="25"/>
        </w:rPr>
      </w:pPr>
      <w:r>
        <w:rPr/>
        <w:pict>
          <v:rect style="position:absolute;margin-left:34.560001pt;margin-top:16.863241pt;width:526.3pt;height:.48001pt;mso-position-horizontal-relative:page;mso-position-vertical-relative:paragraph;z-index:-15290368;mso-wrap-distance-left:0;mso-wrap-distance-right:0" id="docshape249" filled="true" fillcolor="#d9d9d9" stroked="false">
            <v:fill type="solid"/>
            <w10:wrap type="topAndBottom"/>
          </v:rect>
        </w:pict>
      </w:r>
    </w:p>
    <w:p>
      <w:pPr>
        <w:pStyle w:val="BodyText"/>
        <w:spacing w:before="2"/>
        <w:rPr>
          <w:sz w:val="8"/>
        </w:rPr>
      </w:pPr>
    </w:p>
    <w:p>
      <w:pPr>
        <w:spacing w:before="101"/>
        <w:ind w:left="420" w:right="0" w:firstLine="0"/>
        <w:jc w:val="left"/>
        <w:rPr>
          <w:b/>
          <w:sz w:val="18"/>
        </w:rPr>
      </w:pPr>
      <w:r>
        <w:rPr>
          <w:b/>
          <w:sz w:val="18"/>
        </w:rPr>
        <w:t>Benchmarking</w:t>
      </w:r>
      <w:r>
        <w:rPr>
          <w:b/>
          <w:spacing w:val="-4"/>
          <w:sz w:val="18"/>
        </w:rPr>
        <w:t> </w:t>
      </w:r>
      <w:r>
        <w:rPr>
          <w:b/>
          <w:sz w:val="18"/>
        </w:rPr>
        <w:t>reports</w:t>
      </w:r>
    </w:p>
    <w:p>
      <w:pPr>
        <w:pStyle w:val="BodyText"/>
        <w:spacing w:before="12"/>
        <w:rPr>
          <w:b/>
          <w:sz w:val="18"/>
        </w:rPr>
      </w:pPr>
    </w:p>
    <w:p>
      <w:pPr>
        <w:pStyle w:val="ListParagraph"/>
        <w:numPr>
          <w:ilvl w:val="0"/>
          <w:numId w:val="108"/>
        </w:numPr>
        <w:tabs>
          <w:tab w:pos="704" w:val="left" w:leader="none"/>
        </w:tabs>
        <w:spacing w:line="240" w:lineRule="auto" w:before="0" w:after="0"/>
        <w:ind w:left="703" w:right="1565" w:hanging="284"/>
        <w:jc w:val="left"/>
        <w:rPr>
          <w:sz w:val="18"/>
        </w:rPr>
      </w:pPr>
      <w:r>
        <w:rPr>
          <w:sz w:val="18"/>
        </w:rPr>
        <w:t>How useful were the reports that you received from Health Policy Analysis/ the Centre for Big Data in Health</w:t>
      </w:r>
      <w:r>
        <w:rPr>
          <w:spacing w:val="-47"/>
          <w:sz w:val="18"/>
        </w:rPr>
        <w:t> </w:t>
      </w:r>
      <w:r>
        <w:rPr>
          <w:sz w:val="18"/>
        </w:rPr>
        <w:t>Research</w:t>
      </w:r>
      <w:r>
        <w:rPr>
          <w:spacing w:val="2"/>
          <w:sz w:val="18"/>
        </w:rPr>
        <w:t> </w:t>
      </w:r>
      <w:r>
        <w:rPr>
          <w:sz w:val="18"/>
        </w:rPr>
        <w:t>(UNSW)</w:t>
      </w:r>
      <w:r>
        <w:rPr>
          <w:spacing w:val="1"/>
          <w:sz w:val="18"/>
        </w:rPr>
        <w:t> </w:t>
      </w:r>
      <w:r>
        <w:rPr>
          <w:sz w:val="18"/>
        </w:rPr>
        <w:t>benchmarking practices</w:t>
      </w:r>
      <w:r>
        <w:rPr>
          <w:spacing w:val="-1"/>
          <w:sz w:val="18"/>
        </w:rPr>
        <w:t> </w:t>
      </w:r>
      <w:r>
        <w:rPr>
          <w:sz w:val="18"/>
        </w:rPr>
        <w:t>within</w:t>
      </w:r>
      <w:r>
        <w:rPr>
          <w:spacing w:val="-2"/>
          <w:sz w:val="18"/>
        </w:rPr>
        <w:t> </w:t>
      </w:r>
      <w:r>
        <w:rPr>
          <w:sz w:val="18"/>
        </w:rPr>
        <w:t>your</w:t>
      </w:r>
      <w:r>
        <w:rPr>
          <w:spacing w:val="-1"/>
          <w:sz w:val="18"/>
        </w:rPr>
        <w:t> </w:t>
      </w:r>
      <w:r>
        <w:rPr>
          <w:sz w:val="18"/>
        </w:rPr>
        <w:t>PHN?</w:t>
      </w:r>
    </w:p>
    <w:p>
      <w:pPr>
        <w:pStyle w:val="BodyText"/>
        <w:spacing w:before="9"/>
        <w:rPr>
          <w:sz w:val="14"/>
        </w:rPr>
      </w:pPr>
    </w:p>
    <w:p>
      <w:pPr>
        <w:pStyle w:val="ListParagraph"/>
        <w:numPr>
          <w:ilvl w:val="1"/>
          <w:numId w:val="108"/>
        </w:numPr>
        <w:tabs>
          <w:tab w:pos="1923" w:val="left" w:leader="none"/>
        </w:tabs>
        <w:spacing w:line="240" w:lineRule="auto" w:before="100" w:after="0"/>
        <w:ind w:left="1922" w:right="0" w:hanging="152"/>
        <w:jc w:val="left"/>
        <w:rPr>
          <w:sz w:val="18"/>
        </w:rPr>
      </w:pPr>
      <w:r>
        <w:rPr/>
        <w:drawing>
          <wp:anchor distT="0" distB="0" distL="0" distR="0" allowOverlap="1" layoutInCell="1" locked="0" behindDoc="0" simplePos="0" relativeHeight="16167936">
            <wp:simplePos x="0" y="0"/>
            <wp:positionH relativeFrom="page">
              <wp:posOffset>1102145</wp:posOffset>
            </wp:positionH>
            <wp:positionV relativeFrom="paragraph">
              <wp:posOffset>107521</wp:posOffset>
            </wp:positionV>
            <wp:extent cx="58380" cy="73869"/>
            <wp:effectExtent l="0" t="0" r="0" b="0"/>
            <wp:wrapNone/>
            <wp:docPr id="2179" name="image14.png"/>
            <wp:cNvGraphicFramePr>
              <a:graphicFrameLocks noChangeAspect="1"/>
            </wp:cNvGraphicFramePr>
            <a:graphic>
              <a:graphicData uri="http://schemas.openxmlformats.org/drawingml/2006/picture">
                <pic:pic>
                  <pic:nvPicPr>
                    <pic:cNvPr id="2180"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Very</w:t>
      </w:r>
      <w:r>
        <w:rPr>
          <w:spacing w:val="-4"/>
          <w:sz w:val="18"/>
        </w:rPr>
        <w:t> </w:t>
      </w:r>
      <w:r>
        <w:rPr>
          <w:sz w:val="18"/>
        </w:rPr>
        <w:t>useful</w:t>
      </w:r>
    </w:p>
    <w:p>
      <w:pPr>
        <w:pStyle w:val="ListParagraph"/>
        <w:numPr>
          <w:ilvl w:val="1"/>
          <w:numId w:val="108"/>
        </w:numPr>
        <w:tabs>
          <w:tab w:pos="1923" w:val="left" w:leader="none"/>
        </w:tabs>
        <w:spacing w:line="240" w:lineRule="auto" w:before="0" w:after="0"/>
        <w:ind w:left="1922" w:right="0" w:hanging="152"/>
        <w:jc w:val="left"/>
        <w:rPr>
          <w:sz w:val="18"/>
        </w:rPr>
      </w:pPr>
      <w:r>
        <w:rPr/>
        <w:drawing>
          <wp:anchor distT="0" distB="0" distL="0" distR="0" allowOverlap="1" layoutInCell="1" locked="0" behindDoc="0" simplePos="0" relativeHeight="16168448">
            <wp:simplePos x="0" y="0"/>
            <wp:positionH relativeFrom="page">
              <wp:posOffset>1102145</wp:posOffset>
            </wp:positionH>
            <wp:positionV relativeFrom="paragraph">
              <wp:posOffset>44214</wp:posOffset>
            </wp:positionV>
            <wp:extent cx="58380" cy="72151"/>
            <wp:effectExtent l="0" t="0" r="0" b="0"/>
            <wp:wrapNone/>
            <wp:docPr id="2181" name="image13.png"/>
            <wp:cNvGraphicFramePr>
              <a:graphicFrameLocks noChangeAspect="1"/>
            </wp:cNvGraphicFramePr>
            <a:graphic>
              <a:graphicData uri="http://schemas.openxmlformats.org/drawingml/2006/picture">
                <pic:pic>
                  <pic:nvPicPr>
                    <pic:cNvPr id="218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Moderately</w:t>
      </w:r>
      <w:r>
        <w:rPr>
          <w:spacing w:val="-6"/>
          <w:sz w:val="18"/>
        </w:rPr>
        <w:t> </w:t>
      </w:r>
      <w:r>
        <w:rPr>
          <w:sz w:val="18"/>
        </w:rPr>
        <w:t>useful</w:t>
      </w:r>
    </w:p>
    <w:p>
      <w:pPr>
        <w:pStyle w:val="ListParagraph"/>
        <w:numPr>
          <w:ilvl w:val="1"/>
          <w:numId w:val="108"/>
        </w:numPr>
        <w:tabs>
          <w:tab w:pos="1923" w:val="left" w:leader="none"/>
        </w:tabs>
        <w:spacing w:line="220" w:lineRule="exact" w:before="0" w:after="0"/>
        <w:ind w:left="1922" w:right="0" w:hanging="152"/>
        <w:jc w:val="left"/>
        <w:rPr>
          <w:sz w:val="18"/>
        </w:rPr>
      </w:pPr>
      <w:r>
        <w:rPr/>
        <w:drawing>
          <wp:anchor distT="0" distB="0" distL="0" distR="0" allowOverlap="1" layoutInCell="1" locked="0" behindDoc="0" simplePos="0" relativeHeight="16168960">
            <wp:simplePos x="0" y="0"/>
            <wp:positionH relativeFrom="page">
              <wp:posOffset>1102145</wp:posOffset>
            </wp:positionH>
            <wp:positionV relativeFrom="paragraph">
              <wp:posOffset>44214</wp:posOffset>
            </wp:positionV>
            <wp:extent cx="58380" cy="72151"/>
            <wp:effectExtent l="0" t="0" r="0" b="0"/>
            <wp:wrapNone/>
            <wp:docPr id="2183" name="image13.png"/>
            <wp:cNvGraphicFramePr>
              <a:graphicFrameLocks noChangeAspect="1"/>
            </wp:cNvGraphicFramePr>
            <a:graphic>
              <a:graphicData uri="http://schemas.openxmlformats.org/drawingml/2006/picture">
                <pic:pic>
                  <pic:nvPicPr>
                    <pic:cNvPr id="218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Limited</w:t>
      </w:r>
    </w:p>
    <w:p>
      <w:pPr>
        <w:pStyle w:val="ListParagraph"/>
        <w:numPr>
          <w:ilvl w:val="1"/>
          <w:numId w:val="108"/>
        </w:numPr>
        <w:tabs>
          <w:tab w:pos="1923" w:val="left" w:leader="none"/>
        </w:tabs>
        <w:spacing w:line="220" w:lineRule="exact" w:before="0" w:after="0"/>
        <w:ind w:left="1922" w:right="0" w:hanging="152"/>
        <w:jc w:val="left"/>
        <w:rPr>
          <w:sz w:val="18"/>
        </w:rPr>
      </w:pPr>
      <w:r>
        <w:rPr/>
        <w:drawing>
          <wp:anchor distT="0" distB="0" distL="0" distR="0" allowOverlap="1" layoutInCell="1" locked="0" behindDoc="0" simplePos="0" relativeHeight="16169472">
            <wp:simplePos x="0" y="0"/>
            <wp:positionH relativeFrom="page">
              <wp:posOffset>1102145</wp:posOffset>
            </wp:positionH>
            <wp:positionV relativeFrom="paragraph">
              <wp:posOffset>43486</wp:posOffset>
            </wp:positionV>
            <wp:extent cx="58380" cy="72151"/>
            <wp:effectExtent l="0" t="0" r="0" b="0"/>
            <wp:wrapNone/>
            <wp:docPr id="2185" name="image13.png"/>
            <wp:cNvGraphicFramePr>
              <a:graphicFrameLocks noChangeAspect="1"/>
            </wp:cNvGraphicFramePr>
            <a:graphic>
              <a:graphicData uri="http://schemas.openxmlformats.org/drawingml/2006/picture">
                <pic:pic>
                  <pic:nvPicPr>
                    <pic:cNvPr id="218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Not</w:t>
      </w:r>
      <w:r>
        <w:rPr>
          <w:spacing w:val="-3"/>
          <w:sz w:val="18"/>
        </w:rPr>
        <w:t> </w:t>
      </w:r>
      <w:r>
        <w:rPr>
          <w:sz w:val="18"/>
        </w:rPr>
        <w:t>useful</w:t>
      </w:r>
    </w:p>
    <w:p>
      <w:pPr>
        <w:pStyle w:val="ListParagraph"/>
        <w:numPr>
          <w:ilvl w:val="1"/>
          <w:numId w:val="108"/>
        </w:numPr>
        <w:tabs>
          <w:tab w:pos="1923" w:val="left" w:leader="none"/>
        </w:tabs>
        <w:spacing w:line="240" w:lineRule="auto" w:before="0" w:after="0"/>
        <w:ind w:left="1922" w:right="0" w:hanging="152"/>
        <w:jc w:val="left"/>
        <w:rPr>
          <w:sz w:val="18"/>
        </w:rPr>
      </w:pPr>
      <w:r>
        <w:rPr/>
        <w:drawing>
          <wp:anchor distT="0" distB="0" distL="0" distR="0" allowOverlap="1" layoutInCell="1" locked="0" behindDoc="0" simplePos="0" relativeHeight="16169984">
            <wp:simplePos x="0" y="0"/>
            <wp:positionH relativeFrom="page">
              <wp:posOffset>1102145</wp:posOffset>
            </wp:positionH>
            <wp:positionV relativeFrom="paragraph">
              <wp:posOffset>44214</wp:posOffset>
            </wp:positionV>
            <wp:extent cx="58380" cy="72151"/>
            <wp:effectExtent l="0" t="0" r="0" b="0"/>
            <wp:wrapNone/>
            <wp:docPr id="2187" name="image13.png"/>
            <wp:cNvGraphicFramePr>
              <a:graphicFrameLocks noChangeAspect="1"/>
            </wp:cNvGraphicFramePr>
            <a:graphic>
              <a:graphicData uri="http://schemas.openxmlformats.org/drawingml/2006/picture">
                <pic:pic>
                  <pic:nvPicPr>
                    <pic:cNvPr id="218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Can’t</w:t>
      </w:r>
      <w:r>
        <w:rPr>
          <w:spacing w:val="-4"/>
          <w:sz w:val="18"/>
        </w:rPr>
        <w:t> </w:t>
      </w:r>
      <w:r>
        <w:rPr>
          <w:sz w:val="18"/>
        </w:rPr>
        <w:t>say/don’t</w:t>
      </w:r>
      <w:r>
        <w:rPr>
          <w:spacing w:val="-4"/>
          <w:sz w:val="18"/>
        </w:rPr>
        <w:t> </w:t>
      </w:r>
      <w:r>
        <w:rPr>
          <w:sz w:val="18"/>
        </w:rPr>
        <w:t>know</w:t>
      </w:r>
    </w:p>
    <w:p>
      <w:pPr>
        <w:pStyle w:val="BodyText"/>
        <w:spacing w:before="10"/>
        <w:rPr>
          <w:sz w:val="14"/>
        </w:rPr>
      </w:pPr>
    </w:p>
    <w:p>
      <w:pPr>
        <w:pStyle w:val="ListParagraph"/>
        <w:numPr>
          <w:ilvl w:val="0"/>
          <w:numId w:val="108"/>
        </w:numPr>
        <w:tabs>
          <w:tab w:pos="704" w:val="left" w:leader="none"/>
        </w:tabs>
        <w:spacing w:line="240" w:lineRule="auto" w:before="100" w:after="0"/>
        <w:ind w:left="703" w:right="1405" w:hanging="284"/>
        <w:jc w:val="left"/>
        <w:rPr>
          <w:sz w:val="18"/>
        </w:rPr>
      </w:pPr>
      <w:r>
        <w:rPr>
          <w:sz w:val="18"/>
        </w:rPr>
        <w:t>Do</w:t>
      </w:r>
      <w:r>
        <w:rPr>
          <w:spacing w:val="-3"/>
          <w:sz w:val="18"/>
        </w:rPr>
        <w:t> </w:t>
      </w:r>
      <w:r>
        <w:rPr>
          <w:sz w:val="18"/>
        </w:rPr>
        <w:t>you</w:t>
      </w:r>
      <w:r>
        <w:rPr>
          <w:spacing w:val="-2"/>
          <w:sz w:val="18"/>
        </w:rPr>
        <w:t> </w:t>
      </w:r>
      <w:r>
        <w:rPr>
          <w:sz w:val="18"/>
        </w:rPr>
        <w:t>have</w:t>
      </w:r>
      <w:r>
        <w:rPr>
          <w:spacing w:val="-2"/>
          <w:sz w:val="18"/>
        </w:rPr>
        <w:t> </w:t>
      </w:r>
      <w:r>
        <w:rPr>
          <w:sz w:val="18"/>
        </w:rPr>
        <w:t>any</w:t>
      </w:r>
      <w:r>
        <w:rPr>
          <w:spacing w:val="-3"/>
          <w:sz w:val="18"/>
        </w:rPr>
        <w:t> </w:t>
      </w:r>
      <w:r>
        <w:rPr>
          <w:sz w:val="18"/>
        </w:rPr>
        <w:t>suggestions</w:t>
      </w:r>
      <w:r>
        <w:rPr>
          <w:spacing w:val="-3"/>
          <w:sz w:val="18"/>
        </w:rPr>
        <w:t> </w:t>
      </w:r>
      <w:r>
        <w:rPr>
          <w:sz w:val="18"/>
        </w:rPr>
        <w:t>for</w:t>
      </w:r>
      <w:r>
        <w:rPr>
          <w:spacing w:val="-4"/>
          <w:sz w:val="18"/>
        </w:rPr>
        <w:t> </w:t>
      </w:r>
      <w:r>
        <w:rPr>
          <w:sz w:val="18"/>
        </w:rPr>
        <w:t>how</w:t>
      </w:r>
      <w:r>
        <w:rPr>
          <w:spacing w:val="-4"/>
          <w:sz w:val="18"/>
        </w:rPr>
        <w:t> </w:t>
      </w:r>
      <w:r>
        <w:rPr>
          <w:sz w:val="18"/>
        </w:rPr>
        <w:t>to</w:t>
      </w:r>
      <w:r>
        <w:rPr>
          <w:spacing w:val="-3"/>
          <w:sz w:val="18"/>
        </w:rPr>
        <w:t> </w:t>
      </w:r>
      <w:r>
        <w:rPr>
          <w:sz w:val="18"/>
        </w:rPr>
        <w:t>make</w:t>
      </w:r>
      <w:r>
        <w:rPr>
          <w:spacing w:val="-2"/>
          <w:sz w:val="18"/>
        </w:rPr>
        <w:t> </w:t>
      </w:r>
      <w:r>
        <w:rPr>
          <w:sz w:val="18"/>
        </w:rPr>
        <w:t>the</w:t>
      </w:r>
      <w:r>
        <w:rPr>
          <w:spacing w:val="-2"/>
          <w:sz w:val="18"/>
        </w:rPr>
        <w:t> </w:t>
      </w:r>
      <w:r>
        <w:rPr>
          <w:sz w:val="18"/>
        </w:rPr>
        <w:t>reports</w:t>
      </w:r>
      <w:r>
        <w:rPr>
          <w:spacing w:val="-3"/>
          <w:sz w:val="18"/>
        </w:rPr>
        <w:t> </w:t>
      </w:r>
      <w:r>
        <w:rPr>
          <w:sz w:val="18"/>
        </w:rPr>
        <w:t>more</w:t>
      </w:r>
      <w:r>
        <w:rPr>
          <w:spacing w:val="-2"/>
          <w:sz w:val="18"/>
        </w:rPr>
        <w:t> </w:t>
      </w:r>
      <w:r>
        <w:rPr>
          <w:sz w:val="18"/>
        </w:rPr>
        <w:t>useful</w:t>
      </w:r>
      <w:r>
        <w:rPr>
          <w:spacing w:val="-4"/>
          <w:sz w:val="18"/>
        </w:rPr>
        <w:t> </w:t>
      </w:r>
      <w:r>
        <w:rPr>
          <w:sz w:val="18"/>
        </w:rPr>
        <w:t>for</w:t>
      </w:r>
      <w:r>
        <w:rPr>
          <w:spacing w:val="-3"/>
          <w:sz w:val="18"/>
        </w:rPr>
        <w:t> </w:t>
      </w:r>
      <w:r>
        <w:rPr>
          <w:sz w:val="18"/>
        </w:rPr>
        <w:t>your</w:t>
      </w:r>
      <w:r>
        <w:rPr>
          <w:spacing w:val="-2"/>
          <w:sz w:val="18"/>
        </w:rPr>
        <w:t> </w:t>
      </w:r>
      <w:r>
        <w:rPr>
          <w:sz w:val="18"/>
        </w:rPr>
        <w:t>PHN</w:t>
      </w:r>
      <w:r>
        <w:rPr>
          <w:spacing w:val="-4"/>
          <w:sz w:val="18"/>
        </w:rPr>
        <w:t> </w:t>
      </w:r>
      <w:r>
        <w:rPr>
          <w:sz w:val="18"/>
        </w:rPr>
        <w:t>and/</w:t>
      </w:r>
      <w:r>
        <w:rPr>
          <w:spacing w:val="-2"/>
          <w:sz w:val="18"/>
        </w:rPr>
        <w:t> </w:t>
      </w:r>
      <w:r>
        <w:rPr>
          <w:sz w:val="18"/>
        </w:rPr>
        <w:t>or</w:t>
      </w:r>
      <w:r>
        <w:rPr>
          <w:spacing w:val="-2"/>
          <w:sz w:val="18"/>
        </w:rPr>
        <w:t> </w:t>
      </w:r>
      <w:r>
        <w:rPr>
          <w:sz w:val="18"/>
        </w:rPr>
        <w:t>for</w:t>
      </w:r>
      <w:r>
        <w:rPr>
          <w:spacing w:val="-2"/>
          <w:sz w:val="18"/>
        </w:rPr>
        <w:t> </w:t>
      </w:r>
      <w:r>
        <w:rPr>
          <w:sz w:val="18"/>
        </w:rPr>
        <w:t>practices</w:t>
      </w:r>
      <w:r>
        <w:rPr>
          <w:spacing w:val="-3"/>
          <w:sz w:val="18"/>
        </w:rPr>
        <w:t> </w:t>
      </w:r>
      <w:r>
        <w:rPr>
          <w:sz w:val="18"/>
        </w:rPr>
        <w:t>(e.g.</w:t>
      </w:r>
      <w:r>
        <w:rPr>
          <w:spacing w:val="1"/>
          <w:sz w:val="18"/>
        </w:rPr>
        <w:t> </w:t>
      </w:r>
      <w:r>
        <w:rPr>
          <w:sz w:val="18"/>
        </w:rPr>
        <w:t>frequency,</w:t>
      </w:r>
      <w:r>
        <w:rPr>
          <w:spacing w:val="-4"/>
          <w:sz w:val="18"/>
        </w:rPr>
        <w:t> </w:t>
      </w:r>
      <w:r>
        <w:rPr>
          <w:sz w:val="18"/>
        </w:rPr>
        <w:t>content,</w:t>
      </w:r>
      <w:r>
        <w:rPr>
          <w:spacing w:val="-2"/>
          <w:sz w:val="18"/>
        </w:rPr>
        <w:t> </w:t>
      </w:r>
      <w:r>
        <w:rPr>
          <w:sz w:val="18"/>
        </w:rPr>
        <w:t>comparisons)?</w:t>
      </w:r>
    </w:p>
    <w:p>
      <w:pPr>
        <w:pStyle w:val="BodyText"/>
      </w:pPr>
    </w:p>
    <w:p>
      <w:pPr>
        <w:pStyle w:val="BodyText"/>
        <w:spacing w:before="6"/>
        <w:rPr>
          <w:sz w:val="25"/>
        </w:rPr>
      </w:pPr>
      <w:r>
        <w:rPr/>
        <w:pict>
          <v:rect style="position:absolute;margin-left:34.560001pt;margin-top:16.825928pt;width:526.3pt;height:.47998pt;mso-position-horizontal-relative:page;mso-position-vertical-relative:paragraph;z-index:-15289856;mso-wrap-distance-left:0;mso-wrap-distance-right:0" id="docshape250" filled="true" fillcolor="#d9d9d9" stroked="false">
            <v:fill type="solid"/>
            <w10:wrap type="topAndBottom"/>
          </v:rect>
        </w:pict>
      </w:r>
    </w:p>
    <w:p>
      <w:pPr>
        <w:spacing w:after="0"/>
        <w:rPr>
          <w:sz w:val="25"/>
        </w:rPr>
        <w:sectPr>
          <w:pgSz w:w="11910" w:h="16840"/>
          <w:pgMar w:header="0" w:footer="948" w:top="860" w:bottom="1140" w:left="300" w:right="0"/>
        </w:sectPr>
      </w:pPr>
    </w:p>
    <w:p>
      <w:pPr>
        <w:pStyle w:val="Heading4"/>
        <w:ind w:right="1471"/>
        <w:jc w:val="center"/>
      </w:pPr>
      <w:r>
        <w:rPr>
          <w:color w:val="808080"/>
        </w:rPr>
        <w:t>PHN</w:t>
      </w:r>
      <w:r>
        <w:rPr>
          <w:color w:val="808080"/>
          <w:spacing w:val="-2"/>
        </w:rPr>
        <w:t> </w:t>
      </w:r>
      <w:r>
        <w:rPr>
          <w:color w:val="808080"/>
        </w:rPr>
        <w:t>survey: Round</w:t>
      </w:r>
      <w:r>
        <w:rPr>
          <w:color w:val="808080"/>
          <w:spacing w:val="-2"/>
        </w:rPr>
        <w:t> </w:t>
      </w:r>
      <w:r>
        <w:rPr>
          <w:color w:val="808080"/>
        </w:rPr>
        <w:t>5</w:t>
      </w:r>
    </w:p>
    <w:p>
      <w:pPr>
        <w:pStyle w:val="BodyText"/>
        <w:spacing w:before="7"/>
        <w:rPr>
          <w:rFonts w:ascii="Arial Black"/>
          <w:sz w:val="16"/>
        </w:rPr>
      </w:pPr>
      <w:r>
        <w:rPr/>
        <w:pict>
          <v:shape style="position:absolute;margin-left:36pt;margin-top:12.847813pt;width:523.85pt;height:235.45pt;mso-position-horizontal-relative:page;mso-position-vertical-relative:paragraph;z-index:-15286784;mso-wrap-distance-left:0;mso-wrap-distance-right:0" type="#_x0000_t202" id="docshape251" filled="true" fillcolor="#f1f1f1" stroked="false">
            <v:textbox inset="0,0,0,0">
              <w:txbxContent>
                <w:p>
                  <w:pPr>
                    <w:spacing w:line="276" w:lineRule="auto" w:before="76"/>
                    <w:ind w:left="148" w:right="161" w:firstLine="0"/>
                    <w:jc w:val="left"/>
                    <w:rPr>
                      <w:color w:val="000000"/>
                      <w:sz w:val="18"/>
                    </w:rPr>
                  </w:pPr>
                  <w:r>
                    <w:rPr>
                      <w:color w:val="000000"/>
                      <w:sz w:val="18"/>
                    </w:rPr>
                    <w:t>This</w:t>
                  </w:r>
                  <w:r>
                    <w:rPr>
                      <w:color w:val="000000"/>
                      <w:spacing w:val="-5"/>
                      <w:sz w:val="18"/>
                    </w:rPr>
                    <w:t> </w:t>
                  </w:r>
                  <w:r>
                    <w:rPr>
                      <w:color w:val="000000"/>
                      <w:sz w:val="18"/>
                    </w:rPr>
                    <w:t>survey</w:t>
                  </w:r>
                  <w:r>
                    <w:rPr>
                      <w:color w:val="000000"/>
                      <w:spacing w:val="-6"/>
                      <w:sz w:val="18"/>
                    </w:rPr>
                    <w:t> </w:t>
                  </w:r>
                  <w:r>
                    <w:rPr>
                      <w:color w:val="000000"/>
                      <w:sz w:val="18"/>
                    </w:rPr>
                    <w:t>includes</w:t>
                  </w:r>
                  <w:r>
                    <w:rPr>
                      <w:color w:val="000000"/>
                      <w:spacing w:val="-4"/>
                      <w:sz w:val="18"/>
                    </w:rPr>
                    <w:t> </w:t>
                  </w:r>
                  <w:r>
                    <w:rPr>
                      <w:color w:val="000000"/>
                      <w:sz w:val="18"/>
                    </w:rPr>
                    <w:t>questions</w:t>
                  </w:r>
                  <w:r>
                    <w:rPr>
                      <w:color w:val="000000"/>
                      <w:spacing w:val="-4"/>
                      <w:sz w:val="18"/>
                    </w:rPr>
                    <w:t> </w:t>
                  </w:r>
                  <w:r>
                    <w:rPr>
                      <w:color w:val="000000"/>
                      <w:sz w:val="18"/>
                    </w:rPr>
                    <w:t>about</w:t>
                  </w:r>
                  <w:r>
                    <w:rPr>
                      <w:color w:val="000000"/>
                      <w:spacing w:val="-5"/>
                      <w:sz w:val="18"/>
                    </w:rPr>
                    <w:t> </w:t>
                  </w:r>
                  <w:r>
                    <w:rPr>
                      <w:color w:val="000000"/>
                      <w:sz w:val="18"/>
                    </w:rPr>
                    <w:t>the</w:t>
                  </w:r>
                  <w:r>
                    <w:rPr>
                      <w:color w:val="000000"/>
                      <w:spacing w:val="-3"/>
                      <w:sz w:val="18"/>
                    </w:rPr>
                    <w:t> </w:t>
                  </w:r>
                  <w:r>
                    <w:rPr>
                      <w:color w:val="000000"/>
                      <w:sz w:val="18"/>
                    </w:rPr>
                    <w:t>support</w:t>
                  </w:r>
                  <w:r>
                    <w:rPr>
                      <w:color w:val="000000"/>
                      <w:spacing w:val="-5"/>
                      <w:sz w:val="18"/>
                    </w:rPr>
                    <w:t> </w:t>
                  </w:r>
                  <w:r>
                    <w:rPr>
                      <w:color w:val="000000"/>
                      <w:sz w:val="18"/>
                    </w:rPr>
                    <w:t>provided</w:t>
                  </w:r>
                  <w:r>
                    <w:rPr>
                      <w:color w:val="000000"/>
                      <w:spacing w:val="-4"/>
                      <w:sz w:val="18"/>
                    </w:rPr>
                    <w:t> </w:t>
                  </w:r>
                  <w:r>
                    <w:rPr>
                      <w:color w:val="000000"/>
                      <w:sz w:val="18"/>
                    </w:rPr>
                    <w:t>by</w:t>
                  </w:r>
                  <w:r>
                    <w:rPr>
                      <w:color w:val="000000"/>
                      <w:spacing w:val="-4"/>
                      <w:sz w:val="18"/>
                    </w:rPr>
                    <w:t> </w:t>
                  </w:r>
                  <w:r>
                    <w:rPr>
                      <w:color w:val="000000"/>
                      <w:sz w:val="18"/>
                    </w:rPr>
                    <w:t>your</w:t>
                  </w:r>
                  <w:r>
                    <w:rPr>
                      <w:color w:val="000000"/>
                      <w:spacing w:val="-4"/>
                      <w:sz w:val="18"/>
                    </w:rPr>
                    <w:t> </w:t>
                  </w:r>
                  <w:r>
                    <w:rPr>
                      <w:color w:val="000000"/>
                      <w:sz w:val="18"/>
                    </w:rPr>
                    <w:t>Primary</w:t>
                  </w:r>
                  <w:r>
                    <w:rPr>
                      <w:color w:val="000000"/>
                      <w:spacing w:val="-4"/>
                      <w:sz w:val="18"/>
                    </w:rPr>
                    <w:t> </w:t>
                  </w:r>
                  <w:r>
                    <w:rPr>
                      <w:color w:val="000000"/>
                      <w:sz w:val="18"/>
                    </w:rPr>
                    <w:t>Health</w:t>
                  </w:r>
                  <w:r>
                    <w:rPr>
                      <w:color w:val="000000"/>
                      <w:spacing w:val="-3"/>
                      <w:sz w:val="18"/>
                    </w:rPr>
                    <w:t> </w:t>
                  </w:r>
                  <w:r>
                    <w:rPr>
                      <w:color w:val="000000"/>
                      <w:sz w:val="18"/>
                    </w:rPr>
                    <w:t>Network (PHN)</w:t>
                  </w:r>
                  <w:r>
                    <w:rPr>
                      <w:color w:val="000000"/>
                      <w:spacing w:val="-3"/>
                      <w:sz w:val="18"/>
                    </w:rPr>
                    <w:t> </w:t>
                  </w:r>
                  <w:r>
                    <w:rPr>
                      <w:color w:val="000000"/>
                      <w:sz w:val="18"/>
                    </w:rPr>
                    <w:t>to</w:t>
                  </w:r>
                  <w:r>
                    <w:rPr>
                      <w:color w:val="000000"/>
                      <w:spacing w:val="-3"/>
                      <w:sz w:val="18"/>
                    </w:rPr>
                    <w:t> </w:t>
                  </w:r>
                  <w:r>
                    <w:rPr>
                      <w:color w:val="000000"/>
                      <w:sz w:val="18"/>
                    </w:rPr>
                    <w:t>practices/services</w:t>
                  </w:r>
                  <w:r>
                    <w:rPr>
                      <w:color w:val="000000"/>
                      <w:spacing w:val="1"/>
                      <w:sz w:val="18"/>
                    </w:rPr>
                    <w:t> </w:t>
                  </w:r>
                  <w:r>
                    <w:rPr>
                      <w:color w:val="000000"/>
                      <w:sz w:val="18"/>
                    </w:rPr>
                    <w:t>participating in the Health Care Homes (HCH) Program. This is Part A of the survey, which includes questions about</w:t>
                  </w:r>
                  <w:r>
                    <w:rPr>
                      <w:color w:val="000000"/>
                      <w:spacing w:val="1"/>
                      <w:sz w:val="18"/>
                    </w:rPr>
                    <w:t> </w:t>
                  </w:r>
                  <w:r>
                    <w:rPr>
                      <w:color w:val="000000"/>
                      <w:sz w:val="18"/>
                    </w:rPr>
                    <w:t>the PHN's perspectives on the challenges and successes during in the initial phase of implementation of the HCH</w:t>
                  </w:r>
                  <w:r>
                    <w:rPr>
                      <w:color w:val="000000"/>
                      <w:spacing w:val="1"/>
                      <w:sz w:val="18"/>
                    </w:rPr>
                    <w:t> </w:t>
                  </w:r>
                  <w:r>
                    <w:rPr>
                      <w:color w:val="000000"/>
                      <w:sz w:val="18"/>
                    </w:rPr>
                    <w:t>program. Part B focuses on assessments of participating practices using the HCH-A tool.</w:t>
                  </w:r>
                  <w:r>
                    <w:rPr>
                      <w:color w:val="000000"/>
                      <w:spacing w:val="1"/>
                      <w:sz w:val="18"/>
                    </w:rPr>
                    <w:t> </w:t>
                  </w:r>
                  <w:r>
                    <w:rPr>
                      <w:color w:val="000000"/>
                      <w:sz w:val="18"/>
                    </w:rPr>
                    <w:t>A link has been provided to</w:t>
                  </w:r>
                  <w:r>
                    <w:rPr>
                      <w:color w:val="000000"/>
                      <w:spacing w:val="1"/>
                      <w:sz w:val="18"/>
                    </w:rPr>
                    <w:t> </w:t>
                  </w:r>
                  <w:r>
                    <w:rPr>
                      <w:color w:val="000000"/>
                      <w:sz w:val="18"/>
                    </w:rPr>
                    <w:t>the survey. You may return to this link on several occasions. The survey should be completed by 30 November 2020.</w:t>
                  </w:r>
                  <w:r>
                    <w:rPr>
                      <w:color w:val="000000"/>
                      <w:spacing w:val="1"/>
                      <w:sz w:val="18"/>
                    </w:rPr>
                    <w:t> </w:t>
                  </w:r>
                  <w:r>
                    <w:rPr>
                      <w:color w:val="000000"/>
                      <w:sz w:val="18"/>
                    </w:rPr>
                    <w:t>The information you provide through this survey will be kept strictly confidential and will not be used to any purpose</w:t>
                  </w:r>
                  <w:r>
                    <w:rPr>
                      <w:color w:val="000000"/>
                      <w:spacing w:val="1"/>
                      <w:sz w:val="18"/>
                    </w:rPr>
                    <w:t> </w:t>
                  </w:r>
                  <w:r>
                    <w:rPr>
                      <w:color w:val="000000"/>
                      <w:sz w:val="18"/>
                    </w:rPr>
                    <w:t>other than the evaluation the HCH program. All reports of the evaluation will only contain description information</w:t>
                  </w:r>
                  <w:r>
                    <w:rPr>
                      <w:color w:val="000000"/>
                      <w:spacing w:val="1"/>
                      <w:sz w:val="18"/>
                    </w:rPr>
                    <w:t> </w:t>
                  </w:r>
                  <w:r>
                    <w:rPr>
                      <w:color w:val="000000"/>
                      <w:sz w:val="18"/>
                    </w:rPr>
                    <w:t>and individual PHNs. Ratings or views requested through this survey will not be attributed to an individual PHN. Your</w:t>
                  </w:r>
                  <w:r>
                    <w:rPr>
                      <w:color w:val="000000"/>
                      <w:spacing w:val="1"/>
                      <w:sz w:val="18"/>
                    </w:rPr>
                    <w:t> </w:t>
                  </w:r>
                  <w:r>
                    <w:rPr>
                      <w:color w:val="000000"/>
                      <w:sz w:val="18"/>
                    </w:rPr>
                    <w:t>PHN may</w:t>
                  </w:r>
                  <w:r>
                    <w:rPr>
                      <w:color w:val="000000"/>
                      <w:spacing w:val="-1"/>
                      <w:sz w:val="18"/>
                    </w:rPr>
                    <w:t> </w:t>
                  </w:r>
                  <w:r>
                    <w:rPr>
                      <w:color w:val="000000"/>
                      <w:sz w:val="18"/>
                    </w:rPr>
                    <w:t>be identified</w:t>
                  </w:r>
                  <w:r>
                    <w:rPr>
                      <w:color w:val="000000"/>
                      <w:spacing w:val="-4"/>
                      <w:sz w:val="18"/>
                    </w:rPr>
                    <w:t> </w:t>
                  </w:r>
                  <w:r>
                    <w:rPr>
                      <w:color w:val="000000"/>
                      <w:sz w:val="18"/>
                    </w:rPr>
                    <w:t>in</w:t>
                  </w:r>
                  <w:r>
                    <w:rPr>
                      <w:color w:val="000000"/>
                      <w:spacing w:val="-2"/>
                      <w:sz w:val="18"/>
                    </w:rPr>
                    <w:t> </w:t>
                  </w:r>
                  <w:r>
                    <w:rPr>
                      <w:color w:val="000000"/>
                      <w:sz w:val="18"/>
                    </w:rPr>
                    <w:t>reports</w:t>
                  </w:r>
                  <w:r>
                    <w:rPr>
                      <w:color w:val="000000"/>
                      <w:spacing w:val="-1"/>
                      <w:sz w:val="18"/>
                    </w:rPr>
                    <w:t> </w:t>
                  </w:r>
                  <w:r>
                    <w:rPr>
                      <w:color w:val="000000"/>
                      <w:sz w:val="18"/>
                    </w:rPr>
                    <w:t>provided</w:t>
                  </w:r>
                  <w:r>
                    <w:rPr>
                      <w:color w:val="000000"/>
                      <w:spacing w:val="-1"/>
                      <w:sz w:val="18"/>
                    </w:rPr>
                    <w:t> </w:t>
                  </w:r>
                  <w:r>
                    <w:rPr>
                      <w:color w:val="000000"/>
                      <w:sz w:val="18"/>
                    </w:rPr>
                    <w:t>to</w:t>
                  </w:r>
                  <w:r>
                    <w:rPr>
                      <w:color w:val="000000"/>
                      <w:spacing w:val="-2"/>
                      <w:sz w:val="18"/>
                    </w:rPr>
                    <w:t> </w:t>
                  </w:r>
                  <w:r>
                    <w:rPr>
                      <w:color w:val="000000"/>
                      <w:sz w:val="18"/>
                    </w:rPr>
                    <w:t>the Department</w:t>
                  </w:r>
                  <w:r>
                    <w:rPr>
                      <w:color w:val="000000"/>
                      <w:spacing w:val="-2"/>
                      <w:sz w:val="18"/>
                    </w:rPr>
                    <w:t> </w:t>
                  </w:r>
                  <w:r>
                    <w:rPr>
                      <w:color w:val="000000"/>
                      <w:sz w:val="18"/>
                    </w:rPr>
                    <w:t>of</w:t>
                  </w:r>
                  <w:r>
                    <w:rPr>
                      <w:color w:val="000000"/>
                      <w:spacing w:val="1"/>
                      <w:sz w:val="18"/>
                    </w:rPr>
                    <w:t> </w:t>
                  </w:r>
                  <w:r>
                    <w:rPr>
                      <w:color w:val="000000"/>
                      <w:sz w:val="18"/>
                    </w:rPr>
                    <w:t>Health.</w:t>
                  </w:r>
                </w:p>
                <w:p>
                  <w:pPr>
                    <w:spacing w:line="276" w:lineRule="auto" w:before="120"/>
                    <w:ind w:left="148" w:right="192" w:firstLine="0"/>
                    <w:jc w:val="left"/>
                    <w:rPr>
                      <w:color w:val="000000"/>
                      <w:sz w:val="18"/>
                    </w:rPr>
                  </w:pPr>
                  <w:r>
                    <w:rPr>
                      <w:color w:val="000000"/>
                      <w:sz w:val="18"/>
                    </w:rPr>
                    <w:t>The evaluation is being conducted by Health Policy Analysis, on behalf of the Commonwealth Department of</w:t>
                  </w:r>
                  <w:r>
                    <w:rPr>
                      <w:color w:val="000000"/>
                      <w:spacing w:val="1"/>
                      <w:sz w:val="18"/>
                    </w:rPr>
                    <w:t> </w:t>
                  </w:r>
                  <w:r>
                    <w:rPr>
                      <w:color w:val="000000"/>
                      <w:sz w:val="18"/>
                    </w:rPr>
                    <w:t>Health.</w:t>
                  </w:r>
                  <w:r>
                    <w:rPr>
                      <w:color w:val="000000"/>
                      <w:spacing w:val="-5"/>
                      <w:sz w:val="18"/>
                    </w:rPr>
                    <w:t> </w:t>
                  </w:r>
                  <w:r>
                    <w:rPr>
                      <w:color w:val="000000"/>
                      <w:sz w:val="18"/>
                    </w:rPr>
                    <w:t>If</w:t>
                  </w:r>
                  <w:r>
                    <w:rPr>
                      <w:color w:val="000000"/>
                      <w:spacing w:val="-2"/>
                      <w:sz w:val="18"/>
                    </w:rPr>
                    <w:t> </w:t>
                  </w:r>
                  <w:r>
                    <w:rPr>
                      <w:color w:val="000000"/>
                      <w:sz w:val="18"/>
                    </w:rPr>
                    <w:t>you</w:t>
                  </w:r>
                  <w:r>
                    <w:rPr>
                      <w:color w:val="000000"/>
                      <w:spacing w:val="-2"/>
                      <w:sz w:val="18"/>
                    </w:rPr>
                    <w:t> </w:t>
                  </w:r>
                  <w:r>
                    <w:rPr>
                      <w:color w:val="000000"/>
                      <w:sz w:val="18"/>
                    </w:rPr>
                    <w:t>would</w:t>
                  </w:r>
                  <w:r>
                    <w:rPr>
                      <w:color w:val="000000"/>
                      <w:spacing w:val="-4"/>
                      <w:sz w:val="18"/>
                    </w:rPr>
                    <w:t> </w:t>
                  </w:r>
                  <w:r>
                    <w:rPr>
                      <w:color w:val="000000"/>
                      <w:sz w:val="18"/>
                    </w:rPr>
                    <w:t>like</w:t>
                  </w:r>
                  <w:r>
                    <w:rPr>
                      <w:color w:val="000000"/>
                      <w:spacing w:val="-4"/>
                      <w:sz w:val="18"/>
                    </w:rPr>
                    <w:t> </w:t>
                  </w:r>
                  <w:r>
                    <w:rPr>
                      <w:color w:val="000000"/>
                      <w:sz w:val="18"/>
                    </w:rPr>
                    <w:t>any</w:t>
                  </w:r>
                  <w:r>
                    <w:rPr>
                      <w:color w:val="000000"/>
                      <w:spacing w:val="-5"/>
                      <w:sz w:val="18"/>
                    </w:rPr>
                    <w:t> </w:t>
                  </w:r>
                  <w:r>
                    <w:rPr>
                      <w:color w:val="000000"/>
                      <w:sz w:val="18"/>
                    </w:rPr>
                    <w:t>further</w:t>
                  </w:r>
                  <w:r>
                    <w:rPr>
                      <w:color w:val="000000"/>
                      <w:spacing w:val="-3"/>
                      <w:sz w:val="18"/>
                    </w:rPr>
                    <w:t> </w:t>
                  </w:r>
                  <w:r>
                    <w:rPr>
                      <w:color w:val="000000"/>
                      <w:sz w:val="18"/>
                    </w:rPr>
                    <w:t>information</w:t>
                  </w:r>
                  <w:r>
                    <w:rPr>
                      <w:color w:val="000000"/>
                      <w:spacing w:val="-3"/>
                      <w:sz w:val="18"/>
                    </w:rPr>
                    <w:t> </w:t>
                  </w:r>
                  <w:r>
                    <w:rPr>
                      <w:color w:val="000000"/>
                      <w:sz w:val="18"/>
                    </w:rPr>
                    <w:t>about</w:t>
                  </w:r>
                  <w:r>
                    <w:rPr>
                      <w:color w:val="000000"/>
                      <w:spacing w:val="-4"/>
                      <w:sz w:val="18"/>
                    </w:rPr>
                    <w:t> </w:t>
                  </w:r>
                  <w:r>
                    <w:rPr>
                      <w:color w:val="000000"/>
                      <w:sz w:val="18"/>
                    </w:rPr>
                    <w:t>this</w:t>
                  </w:r>
                  <w:r>
                    <w:rPr>
                      <w:color w:val="000000"/>
                      <w:spacing w:val="-3"/>
                      <w:sz w:val="18"/>
                    </w:rPr>
                    <w:t> </w:t>
                  </w:r>
                  <w:r>
                    <w:rPr>
                      <w:color w:val="000000"/>
                      <w:sz w:val="18"/>
                    </w:rPr>
                    <w:t>survey</w:t>
                  </w:r>
                  <w:r>
                    <w:rPr>
                      <w:color w:val="000000"/>
                      <w:spacing w:val="-3"/>
                      <w:sz w:val="18"/>
                    </w:rPr>
                    <w:t> </w:t>
                  </w:r>
                  <w:r>
                    <w:rPr>
                      <w:color w:val="000000"/>
                      <w:sz w:val="18"/>
                    </w:rPr>
                    <w:t>or</w:t>
                  </w:r>
                  <w:r>
                    <w:rPr>
                      <w:color w:val="000000"/>
                      <w:spacing w:val="-3"/>
                      <w:sz w:val="18"/>
                    </w:rPr>
                    <w:t> </w:t>
                  </w:r>
                  <w:r>
                    <w:rPr>
                      <w:color w:val="000000"/>
                      <w:sz w:val="18"/>
                    </w:rPr>
                    <w:t>the</w:t>
                  </w:r>
                  <w:r>
                    <w:rPr>
                      <w:color w:val="000000"/>
                      <w:spacing w:val="-4"/>
                      <w:sz w:val="18"/>
                    </w:rPr>
                    <w:t> </w:t>
                  </w:r>
                  <w:r>
                    <w:rPr>
                      <w:color w:val="000000"/>
                      <w:sz w:val="18"/>
                    </w:rPr>
                    <w:t>evaluation,</w:t>
                  </w:r>
                  <w:r>
                    <w:rPr>
                      <w:color w:val="000000"/>
                      <w:spacing w:val="-4"/>
                      <w:sz w:val="18"/>
                    </w:rPr>
                    <w:t> </w:t>
                  </w:r>
                  <w:r>
                    <w:rPr>
                      <w:color w:val="000000"/>
                      <w:sz w:val="18"/>
                    </w:rPr>
                    <w:t>please</w:t>
                  </w:r>
                  <w:r>
                    <w:rPr>
                      <w:color w:val="000000"/>
                      <w:spacing w:val="-2"/>
                      <w:sz w:val="18"/>
                    </w:rPr>
                    <w:t> </w:t>
                  </w:r>
                  <w:r>
                    <w:rPr>
                      <w:color w:val="000000"/>
                      <w:sz w:val="18"/>
                    </w:rPr>
                    <w:t>contact</w:t>
                  </w:r>
                  <w:r>
                    <w:rPr>
                      <w:color w:val="000000"/>
                      <w:spacing w:val="-5"/>
                      <w:sz w:val="18"/>
                    </w:rPr>
                    <w:t> </w:t>
                  </w:r>
                  <w:r>
                    <w:rPr>
                      <w:color w:val="000000"/>
                      <w:sz w:val="18"/>
                    </w:rPr>
                    <w:t>Health</w:t>
                  </w:r>
                  <w:r>
                    <w:rPr>
                      <w:color w:val="000000"/>
                      <w:spacing w:val="-2"/>
                      <w:sz w:val="18"/>
                    </w:rPr>
                    <w:t> </w:t>
                  </w:r>
                  <w:r>
                    <w:rPr>
                      <w:color w:val="000000"/>
                      <w:sz w:val="18"/>
                    </w:rPr>
                    <w:t>Policy</w:t>
                  </w:r>
                  <w:r>
                    <w:rPr>
                      <w:color w:val="000000"/>
                      <w:spacing w:val="1"/>
                      <w:sz w:val="18"/>
                    </w:rPr>
                    <w:t> </w:t>
                  </w:r>
                  <w:r>
                    <w:rPr>
                      <w:color w:val="000000"/>
                      <w:sz w:val="18"/>
                    </w:rPr>
                    <w:t>Analysis</w:t>
                  </w:r>
                  <w:r>
                    <w:rPr>
                      <w:color w:val="000000"/>
                      <w:spacing w:val="-2"/>
                      <w:sz w:val="18"/>
                    </w:rPr>
                    <w:t> </w:t>
                  </w:r>
                  <w:r>
                    <w:rPr>
                      <w:color w:val="000000"/>
                      <w:sz w:val="18"/>
                    </w:rPr>
                    <w:t>on</w:t>
                  </w:r>
                  <w:r>
                    <w:rPr>
                      <w:color w:val="000000"/>
                      <w:spacing w:val="3"/>
                      <w:sz w:val="18"/>
                    </w:rPr>
                    <w:t> </w:t>
                  </w:r>
                  <w:r>
                    <w:rPr>
                      <w:color w:val="000000"/>
                      <w:sz w:val="18"/>
                    </w:rPr>
                    <w:t>(02)</w:t>
                  </w:r>
                  <w:r>
                    <w:rPr>
                      <w:color w:val="000000"/>
                      <w:spacing w:val="-2"/>
                      <w:sz w:val="18"/>
                    </w:rPr>
                    <w:t> </w:t>
                  </w:r>
                  <w:r>
                    <w:rPr>
                      <w:color w:val="000000"/>
                      <w:sz w:val="18"/>
                    </w:rPr>
                    <w:t>8065</w:t>
                  </w:r>
                  <w:r>
                    <w:rPr>
                      <w:color w:val="000000"/>
                      <w:spacing w:val="-2"/>
                      <w:sz w:val="18"/>
                    </w:rPr>
                    <w:t> </w:t>
                  </w:r>
                  <w:r>
                    <w:rPr>
                      <w:color w:val="000000"/>
                      <w:sz w:val="18"/>
                    </w:rPr>
                    <w:t>6491 or</w:t>
                  </w:r>
                  <w:r>
                    <w:rPr>
                      <w:color w:val="000000"/>
                      <w:spacing w:val="-2"/>
                      <w:sz w:val="18"/>
                    </w:rPr>
                    <w:t> </w:t>
                  </w:r>
                  <w:hyperlink r:id="rId38">
                    <w:r>
                      <w:rPr>
                        <w:color w:val="000000"/>
                        <w:sz w:val="18"/>
                      </w:rPr>
                      <w:t>info@healthpolicy.com.au.</w:t>
                    </w:r>
                  </w:hyperlink>
                </w:p>
                <w:p>
                  <w:pPr>
                    <w:spacing w:line="276" w:lineRule="auto" w:before="120"/>
                    <w:ind w:left="148" w:right="192" w:firstLine="0"/>
                    <w:jc w:val="left"/>
                    <w:rPr>
                      <w:color w:val="000000"/>
                      <w:sz w:val="18"/>
                    </w:rPr>
                  </w:pPr>
                  <w:r>
                    <w:rPr>
                      <w:color w:val="000000"/>
                      <w:sz w:val="18"/>
                    </w:rPr>
                    <w:t>The evaluation of HCH was approved by the Department of Health Human Research Ethics Committee [Project 04-</w:t>
                  </w:r>
                  <w:r>
                    <w:rPr>
                      <w:color w:val="000000"/>
                      <w:spacing w:val="1"/>
                      <w:sz w:val="18"/>
                    </w:rPr>
                    <w:t> </w:t>
                  </w:r>
                  <w:r>
                    <w:rPr>
                      <w:color w:val="000000"/>
                      <w:sz w:val="18"/>
                    </w:rPr>
                    <w:t>2017] in September 2017. This committee subsequently disbanded, and in September 2018, ethical oversight for the</w:t>
                  </w:r>
                  <w:r>
                    <w:rPr>
                      <w:color w:val="000000"/>
                      <w:spacing w:val="1"/>
                      <w:sz w:val="18"/>
                    </w:rPr>
                    <w:t> </w:t>
                  </w:r>
                  <w:r>
                    <w:rPr>
                      <w:color w:val="000000"/>
                      <w:sz w:val="18"/>
                    </w:rPr>
                    <w:t>evaluation</w:t>
                  </w:r>
                  <w:r>
                    <w:rPr>
                      <w:color w:val="000000"/>
                      <w:spacing w:val="-4"/>
                      <w:sz w:val="18"/>
                    </w:rPr>
                    <w:t> </w:t>
                  </w:r>
                  <w:r>
                    <w:rPr>
                      <w:color w:val="000000"/>
                      <w:sz w:val="18"/>
                    </w:rPr>
                    <w:t>was</w:t>
                  </w:r>
                  <w:r>
                    <w:rPr>
                      <w:color w:val="000000"/>
                      <w:spacing w:val="-2"/>
                      <w:sz w:val="18"/>
                    </w:rPr>
                    <w:t> </w:t>
                  </w:r>
                  <w:r>
                    <w:rPr>
                      <w:color w:val="000000"/>
                      <w:sz w:val="18"/>
                    </w:rPr>
                    <w:t>transferred</w:t>
                  </w:r>
                  <w:r>
                    <w:rPr>
                      <w:color w:val="000000"/>
                      <w:spacing w:val="-4"/>
                      <w:sz w:val="18"/>
                    </w:rPr>
                    <w:t> </w:t>
                  </w:r>
                  <w:r>
                    <w:rPr>
                      <w:color w:val="000000"/>
                      <w:sz w:val="18"/>
                    </w:rPr>
                    <w:t>to</w:t>
                  </w:r>
                  <w:r>
                    <w:rPr>
                      <w:color w:val="000000"/>
                      <w:spacing w:val="-4"/>
                      <w:sz w:val="18"/>
                    </w:rPr>
                    <w:t> </w:t>
                  </w:r>
                  <w:r>
                    <w:rPr>
                      <w:color w:val="000000"/>
                      <w:sz w:val="18"/>
                    </w:rPr>
                    <w:t>the</w:t>
                  </w:r>
                  <w:r>
                    <w:rPr>
                      <w:color w:val="000000"/>
                      <w:spacing w:val="2"/>
                      <w:sz w:val="18"/>
                    </w:rPr>
                    <w:t> </w:t>
                  </w:r>
                  <w:r>
                    <w:rPr>
                      <w:color w:val="000000"/>
                      <w:sz w:val="18"/>
                    </w:rPr>
                    <w:t>ACT</w:t>
                  </w:r>
                  <w:r>
                    <w:rPr>
                      <w:color w:val="000000"/>
                      <w:spacing w:val="-6"/>
                      <w:sz w:val="18"/>
                    </w:rPr>
                    <w:t> </w:t>
                  </w:r>
                  <w:r>
                    <w:rPr>
                      <w:color w:val="000000"/>
                      <w:sz w:val="18"/>
                    </w:rPr>
                    <w:t>Health</w:t>
                  </w:r>
                  <w:r>
                    <w:rPr>
                      <w:color w:val="000000"/>
                      <w:spacing w:val="-3"/>
                      <w:sz w:val="18"/>
                    </w:rPr>
                    <w:t> </w:t>
                  </w:r>
                  <w:r>
                    <w:rPr>
                      <w:color w:val="000000"/>
                      <w:sz w:val="18"/>
                    </w:rPr>
                    <w:t>Human</w:t>
                  </w:r>
                  <w:r>
                    <w:rPr>
                      <w:color w:val="000000"/>
                      <w:spacing w:val="-3"/>
                      <w:sz w:val="18"/>
                    </w:rPr>
                    <w:t> </w:t>
                  </w:r>
                  <w:r>
                    <w:rPr>
                      <w:color w:val="000000"/>
                      <w:sz w:val="18"/>
                    </w:rPr>
                    <w:t>Research</w:t>
                  </w:r>
                  <w:r>
                    <w:rPr>
                      <w:color w:val="000000"/>
                      <w:spacing w:val="-3"/>
                      <w:sz w:val="18"/>
                    </w:rPr>
                    <w:t> </w:t>
                  </w:r>
                  <w:r>
                    <w:rPr>
                      <w:color w:val="000000"/>
                      <w:sz w:val="18"/>
                    </w:rPr>
                    <w:t>Ethics</w:t>
                  </w:r>
                  <w:r>
                    <w:rPr>
                      <w:color w:val="000000"/>
                      <w:spacing w:val="-6"/>
                      <w:sz w:val="18"/>
                    </w:rPr>
                    <w:t> </w:t>
                  </w:r>
                  <w:r>
                    <w:rPr>
                      <w:color w:val="000000"/>
                      <w:sz w:val="18"/>
                    </w:rPr>
                    <w:t>Committee.</w:t>
                  </w:r>
                  <w:r>
                    <w:rPr>
                      <w:color w:val="000000"/>
                      <w:spacing w:val="-5"/>
                      <w:sz w:val="18"/>
                    </w:rPr>
                    <w:t> </w:t>
                  </w:r>
                  <w:r>
                    <w:rPr>
                      <w:color w:val="000000"/>
                      <w:sz w:val="18"/>
                    </w:rPr>
                    <w:t>Concerns</w:t>
                  </w:r>
                  <w:r>
                    <w:rPr>
                      <w:color w:val="000000"/>
                      <w:spacing w:val="-3"/>
                      <w:sz w:val="18"/>
                    </w:rPr>
                    <w:t> </w:t>
                  </w:r>
                  <w:r>
                    <w:rPr>
                      <w:color w:val="000000"/>
                      <w:sz w:val="18"/>
                    </w:rPr>
                    <w:t>or</w:t>
                  </w:r>
                  <w:r>
                    <w:rPr>
                      <w:color w:val="000000"/>
                      <w:spacing w:val="-4"/>
                      <w:sz w:val="18"/>
                    </w:rPr>
                    <w:t> </w:t>
                  </w:r>
                  <w:r>
                    <w:rPr>
                      <w:color w:val="000000"/>
                      <w:sz w:val="18"/>
                    </w:rPr>
                    <w:t>complaints</w:t>
                  </w:r>
                  <w:r>
                    <w:rPr>
                      <w:color w:val="000000"/>
                      <w:spacing w:val="-4"/>
                      <w:sz w:val="18"/>
                    </w:rPr>
                    <w:t> </w:t>
                  </w:r>
                  <w:r>
                    <w:rPr>
                      <w:color w:val="000000"/>
                      <w:sz w:val="18"/>
                    </w:rPr>
                    <w:t>about</w:t>
                  </w:r>
                  <w:r>
                    <w:rPr>
                      <w:color w:val="000000"/>
                      <w:spacing w:val="-5"/>
                      <w:sz w:val="18"/>
                    </w:rPr>
                    <w:t> </w:t>
                  </w:r>
                  <w:r>
                    <w:rPr>
                      <w:color w:val="000000"/>
                      <w:sz w:val="18"/>
                    </w:rPr>
                    <w:t>the</w:t>
                  </w:r>
                  <w:r>
                    <w:rPr>
                      <w:color w:val="000000"/>
                      <w:spacing w:val="-47"/>
                      <w:sz w:val="18"/>
                    </w:rPr>
                    <w:t> </w:t>
                  </w:r>
                  <w:r>
                    <w:rPr>
                      <w:color w:val="000000"/>
                      <w:sz w:val="18"/>
                    </w:rPr>
                    <w:t>ethical conduct of the evaluation should be made in writing to the ACT Health Human Research Ethics Office</w:t>
                  </w:r>
                  <w:r>
                    <w:rPr>
                      <w:color w:val="000000"/>
                      <w:spacing w:val="1"/>
                      <w:sz w:val="18"/>
                    </w:rPr>
                    <w:t> </w:t>
                  </w:r>
                  <w:r>
                    <w:rPr>
                      <w:color w:val="000000"/>
                      <w:sz w:val="18"/>
                    </w:rPr>
                    <w:t>(</w:t>
                  </w:r>
                  <w:hyperlink r:id="rId52">
                    <w:r>
                      <w:rPr>
                        <w:color w:val="0000FF"/>
                        <w:sz w:val="18"/>
                        <w:u w:val="single" w:color="0000FF"/>
                      </w:rPr>
                      <w:t>ethics@act.gov.au</w:t>
                    </w:r>
                  </w:hyperlink>
                  <w:r>
                    <w:rPr>
                      <w:color w:val="000000"/>
                      <w:sz w:val="18"/>
                    </w:rPr>
                    <w:t>).</w:t>
                  </w:r>
                </w:p>
              </w:txbxContent>
            </v:textbox>
            <v:fill type="solid"/>
            <w10:wrap type="topAndBottom"/>
          </v:shape>
        </w:pict>
      </w:r>
    </w:p>
    <w:p>
      <w:pPr>
        <w:pStyle w:val="BodyText"/>
        <w:spacing w:before="5"/>
        <w:rPr>
          <w:rFonts w:ascii="Arial Black"/>
          <w:sz w:val="17"/>
        </w:rPr>
      </w:pPr>
    </w:p>
    <w:p>
      <w:pPr>
        <w:pStyle w:val="ListParagraph"/>
        <w:numPr>
          <w:ilvl w:val="0"/>
          <w:numId w:val="109"/>
        </w:numPr>
        <w:tabs>
          <w:tab w:pos="847" w:val="left" w:leader="none"/>
          <w:tab w:pos="848" w:val="left" w:leader="none"/>
        </w:tabs>
        <w:spacing w:line="240" w:lineRule="auto" w:before="100" w:after="0"/>
        <w:ind w:left="847" w:right="0" w:hanging="361"/>
        <w:jc w:val="left"/>
        <w:rPr>
          <w:sz w:val="18"/>
        </w:rPr>
      </w:pPr>
      <w:r>
        <w:rPr>
          <w:sz w:val="18"/>
        </w:rPr>
        <w:t>PHN</w:t>
      </w:r>
      <w:r>
        <w:rPr>
          <w:spacing w:val="-3"/>
          <w:sz w:val="18"/>
        </w:rPr>
        <w:t> </w:t>
      </w:r>
      <w:r>
        <w:rPr>
          <w:sz w:val="18"/>
        </w:rPr>
        <w:t>name:</w:t>
      </w:r>
    </w:p>
    <w:p>
      <w:pPr>
        <w:pStyle w:val="BodyText"/>
      </w:pPr>
    </w:p>
    <w:p>
      <w:pPr>
        <w:pStyle w:val="BodyText"/>
        <w:spacing w:before="1"/>
        <w:rPr>
          <w:sz w:val="19"/>
        </w:rPr>
      </w:pPr>
      <w:r>
        <w:rPr/>
        <w:pict>
          <v:shape style="position:absolute;margin-left:39.360001pt;margin-top:12.934265pt;width:239.75pt;height:.1pt;mso-position-horizontal-relative:page;mso-position-vertical-relative:paragraph;z-index:-15286272;mso-wrap-distance-left:0;mso-wrap-distance-right:0" id="docshape252" coordorigin="787,259" coordsize="4795,0" path="m787,259l5582,259e" filled="false" stroked="true" strokeweight=".498pt" strokecolor="#bdbdbd">
            <v:path arrowok="t"/>
            <v:stroke dashstyle="solid"/>
            <w10:wrap type="topAndBottom"/>
          </v:shape>
        </w:pict>
      </w:r>
    </w:p>
    <w:p>
      <w:pPr>
        <w:pStyle w:val="BodyText"/>
        <w:spacing w:before="7"/>
        <w:rPr>
          <w:sz w:val="12"/>
        </w:rPr>
      </w:pPr>
    </w:p>
    <w:p>
      <w:pPr>
        <w:pStyle w:val="ListParagraph"/>
        <w:numPr>
          <w:ilvl w:val="0"/>
          <w:numId w:val="109"/>
        </w:numPr>
        <w:tabs>
          <w:tab w:pos="847" w:val="left" w:leader="none"/>
          <w:tab w:pos="848" w:val="left" w:leader="none"/>
        </w:tabs>
        <w:spacing w:line="240" w:lineRule="auto" w:before="100" w:after="0"/>
        <w:ind w:left="847" w:right="0" w:hanging="361"/>
        <w:jc w:val="left"/>
        <w:rPr>
          <w:sz w:val="18"/>
        </w:rPr>
      </w:pPr>
      <w:r>
        <w:rPr>
          <w:sz w:val="18"/>
        </w:rPr>
        <w:t>Who</w:t>
      </w:r>
      <w:r>
        <w:rPr>
          <w:spacing w:val="-3"/>
          <w:sz w:val="18"/>
        </w:rPr>
        <w:t> </w:t>
      </w:r>
      <w:r>
        <w:rPr>
          <w:sz w:val="18"/>
        </w:rPr>
        <w:t>should</w:t>
      </w:r>
      <w:r>
        <w:rPr>
          <w:spacing w:val="-3"/>
          <w:sz w:val="18"/>
        </w:rPr>
        <w:t> </w:t>
      </w:r>
      <w:r>
        <w:rPr>
          <w:sz w:val="18"/>
        </w:rPr>
        <w:t>be</w:t>
      </w:r>
      <w:r>
        <w:rPr>
          <w:spacing w:val="-2"/>
          <w:sz w:val="18"/>
        </w:rPr>
        <w:t> </w:t>
      </w:r>
      <w:r>
        <w:rPr>
          <w:sz w:val="18"/>
        </w:rPr>
        <w:t>contacted</w:t>
      </w:r>
      <w:r>
        <w:rPr>
          <w:spacing w:val="-3"/>
          <w:sz w:val="18"/>
        </w:rPr>
        <w:t> </w:t>
      </w:r>
      <w:r>
        <w:rPr>
          <w:sz w:val="18"/>
        </w:rPr>
        <w:t>if</w:t>
      </w:r>
      <w:r>
        <w:rPr>
          <w:spacing w:val="-4"/>
          <w:sz w:val="18"/>
        </w:rPr>
        <w:t> </w:t>
      </w:r>
      <w:r>
        <w:rPr>
          <w:sz w:val="18"/>
        </w:rPr>
        <w:t>we</w:t>
      </w:r>
      <w:r>
        <w:rPr>
          <w:spacing w:val="-3"/>
          <w:sz w:val="18"/>
        </w:rPr>
        <w:t> </w:t>
      </w:r>
      <w:r>
        <w:rPr>
          <w:sz w:val="18"/>
        </w:rPr>
        <w:t>have</w:t>
      </w:r>
      <w:r>
        <w:rPr>
          <w:spacing w:val="-2"/>
          <w:sz w:val="18"/>
        </w:rPr>
        <w:t> </w:t>
      </w:r>
      <w:r>
        <w:rPr>
          <w:sz w:val="18"/>
        </w:rPr>
        <w:t>any</w:t>
      </w:r>
      <w:r>
        <w:rPr>
          <w:spacing w:val="-3"/>
          <w:sz w:val="18"/>
        </w:rPr>
        <w:t> </w:t>
      </w:r>
      <w:r>
        <w:rPr>
          <w:sz w:val="18"/>
        </w:rPr>
        <w:t>questions</w:t>
      </w:r>
      <w:r>
        <w:rPr>
          <w:spacing w:val="-5"/>
          <w:sz w:val="18"/>
        </w:rPr>
        <w:t> </w:t>
      </w:r>
      <w:r>
        <w:rPr>
          <w:sz w:val="18"/>
        </w:rPr>
        <w:t>about</w:t>
      </w:r>
      <w:r>
        <w:rPr>
          <w:spacing w:val="-4"/>
          <w:sz w:val="18"/>
        </w:rPr>
        <w:t> </w:t>
      </w:r>
      <w:r>
        <w:rPr>
          <w:sz w:val="18"/>
        </w:rPr>
        <w:t>your</w:t>
      </w:r>
      <w:r>
        <w:rPr>
          <w:spacing w:val="-2"/>
          <w:sz w:val="18"/>
        </w:rPr>
        <w:t> </w:t>
      </w:r>
      <w:r>
        <w:rPr>
          <w:sz w:val="18"/>
        </w:rPr>
        <w:t>responses</w:t>
      </w:r>
      <w:r>
        <w:rPr>
          <w:spacing w:val="-3"/>
          <w:sz w:val="18"/>
        </w:rPr>
        <w:t> </w:t>
      </w:r>
      <w:r>
        <w:rPr>
          <w:sz w:val="18"/>
        </w:rPr>
        <w:t>to</w:t>
      </w:r>
      <w:r>
        <w:rPr>
          <w:spacing w:val="-3"/>
          <w:sz w:val="18"/>
        </w:rPr>
        <w:t> </w:t>
      </w:r>
      <w:r>
        <w:rPr>
          <w:sz w:val="18"/>
        </w:rPr>
        <w:t>this</w:t>
      </w:r>
      <w:r>
        <w:rPr>
          <w:spacing w:val="-3"/>
          <w:sz w:val="18"/>
        </w:rPr>
        <w:t> </w:t>
      </w:r>
      <w:r>
        <w:rPr>
          <w:sz w:val="18"/>
        </w:rPr>
        <w:t>survey?</w:t>
      </w:r>
    </w:p>
    <w:p>
      <w:pPr>
        <w:pStyle w:val="BodyText"/>
        <w:spacing w:before="7"/>
        <w:rPr>
          <w:sz w:val="14"/>
        </w:rPr>
      </w:pPr>
    </w:p>
    <w:p>
      <w:pPr>
        <w:tabs>
          <w:tab w:pos="7059" w:val="left" w:leader="none"/>
        </w:tabs>
        <w:spacing w:before="101"/>
        <w:ind w:left="1771" w:right="0" w:firstLine="0"/>
        <w:jc w:val="left"/>
        <w:rPr>
          <w:sz w:val="18"/>
        </w:rPr>
      </w:pPr>
      <w:r>
        <w:rPr/>
        <w:drawing>
          <wp:anchor distT="0" distB="0" distL="0" distR="0" allowOverlap="1" layoutInCell="1" locked="0" behindDoc="0" simplePos="0" relativeHeight="16171520">
            <wp:simplePos x="0" y="0"/>
            <wp:positionH relativeFrom="page">
              <wp:posOffset>1102145</wp:posOffset>
            </wp:positionH>
            <wp:positionV relativeFrom="paragraph">
              <wp:posOffset>108156</wp:posOffset>
            </wp:positionV>
            <wp:extent cx="58380" cy="73869"/>
            <wp:effectExtent l="0" t="0" r="0" b="0"/>
            <wp:wrapNone/>
            <wp:docPr id="2189" name="image14.png"/>
            <wp:cNvGraphicFramePr>
              <a:graphicFrameLocks noChangeAspect="1"/>
            </wp:cNvGraphicFramePr>
            <a:graphic>
              <a:graphicData uri="http://schemas.openxmlformats.org/drawingml/2006/picture">
                <pic:pic>
                  <pic:nvPicPr>
                    <pic:cNvPr id="2190"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Name</w:t>
      </w:r>
      <w:r>
        <w:rPr>
          <w:spacing w:val="43"/>
          <w:sz w:val="18"/>
        </w:rPr>
        <w:t> </w:t>
      </w:r>
      <w:r>
        <w:rPr>
          <w:sz w:val="18"/>
        </w:rPr>
        <w:t>(1)</w:t>
      </w:r>
      <w:r>
        <w:rPr>
          <w:spacing w:val="-1"/>
          <w:sz w:val="18"/>
        </w:rPr>
        <w:t> </w:t>
      </w:r>
      <w:r>
        <w:rPr>
          <w:sz w:val="18"/>
          <w:u w:val="single" w:color="BDBDBD"/>
        </w:rPr>
        <w:t> </w:t>
        <w:tab/>
      </w:r>
    </w:p>
    <w:p>
      <w:pPr>
        <w:tabs>
          <w:tab w:pos="7078" w:val="left" w:leader="none"/>
        </w:tabs>
        <w:spacing w:before="0"/>
        <w:ind w:left="1771" w:right="0" w:firstLine="0"/>
        <w:jc w:val="left"/>
        <w:rPr>
          <w:sz w:val="18"/>
        </w:rPr>
      </w:pPr>
      <w:r>
        <w:rPr/>
        <w:drawing>
          <wp:anchor distT="0" distB="0" distL="0" distR="0" allowOverlap="1" layoutInCell="1" locked="0" behindDoc="0" simplePos="0" relativeHeight="16172032">
            <wp:simplePos x="0" y="0"/>
            <wp:positionH relativeFrom="page">
              <wp:posOffset>1102145</wp:posOffset>
            </wp:positionH>
            <wp:positionV relativeFrom="paragraph">
              <wp:posOffset>44214</wp:posOffset>
            </wp:positionV>
            <wp:extent cx="58380" cy="72151"/>
            <wp:effectExtent l="0" t="0" r="0" b="0"/>
            <wp:wrapNone/>
            <wp:docPr id="2191" name="image13.png"/>
            <wp:cNvGraphicFramePr>
              <a:graphicFrameLocks noChangeAspect="1"/>
            </wp:cNvGraphicFramePr>
            <a:graphic>
              <a:graphicData uri="http://schemas.openxmlformats.org/drawingml/2006/picture">
                <pic:pic>
                  <pic:nvPicPr>
                    <pic:cNvPr id="219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Phone</w:t>
      </w:r>
      <w:r>
        <w:rPr>
          <w:spacing w:val="45"/>
          <w:sz w:val="18"/>
        </w:rPr>
        <w:t> </w:t>
      </w:r>
      <w:r>
        <w:rPr>
          <w:sz w:val="18"/>
        </w:rPr>
        <w:t>(2)</w:t>
      </w:r>
      <w:r>
        <w:rPr>
          <w:spacing w:val="-1"/>
          <w:sz w:val="18"/>
        </w:rPr>
        <w:t> </w:t>
      </w:r>
      <w:r>
        <w:rPr>
          <w:sz w:val="18"/>
          <w:u w:val="single" w:color="BDBDBD"/>
        </w:rPr>
        <w:t> </w:t>
        <w:tab/>
      </w:r>
    </w:p>
    <w:p>
      <w:pPr>
        <w:tabs>
          <w:tab w:pos="6977" w:val="left" w:leader="none"/>
        </w:tabs>
        <w:spacing w:before="0"/>
        <w:ind w:left="1771" w:right="0" w:firstLine="0"/>
        <w:jc w:val="left"/>
        <w:rPr>
          <w:sz w:val="18"/>
        </w:rPr>
      </w:pPr>
      <w:r>
        <w:rPr/>
        <w:drawing>
          <wp:anchor distT="0" distB="0" distL="0" distR="0" allowOverlap="1" layoutInCell="1" locked="0" behindDoc="0" simplePos="0" relativeHeight="16172544">
            <wp:simplePos x="0" y="0"/>
            <wp:positionH relativeFrom="page">
              <wp:posOffset>1102145</wp:posOffset>
            </wp:positionH>
            <wp:positionV relativeFrom="paragraph">
              <wp:posOffset>44214</wp:posOffset>
            </wp:positionV>
            <wp:extent cx="58380" cy="72151"/>
            <wp:effectExtent l="0" t="0" r="0" b="0"/>
            <wp:wrapNone/>
            <wp:docPr id="2193" name="image13.png"/>
            <wp:cNvGraphicFramePr>
              <a:graphicFrameLocks noChangeAspect="1"/>
            </wp:cNvGraphicFramePr>
            <a:graphic>
              <a:graphicData uri="http://schemas.openxmlformats.org/drawingml/2006/picture">
                <pic:pic>
                  <pic:nvPicPr>
                    <pic:cNvPr id="219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Email</w:t>
      </w:r>
      <w:r>
        <w:rPr>
          <w:spacing w:val="47"/>
          <w:sz w:val="18"/>
        </w:rPr>
        <w:t> </w:t>
      </w:r>
      <w:r>
        <w:rPr>
          <w:sz w:val="18"/>
        </w:rPr>
        <w:t>(3)</w:t>
      </w:r>
      <w:r>
        <w:rPr>
          <w:spacing w:val="-1"/>
          <w:sz w:val="18"/>
        </w:rPr>
        <w:t> </w:t>
      </w:r>
      <w:r>
        <w:rPr>
          <w:sz w:val="18"/>
          <w:u w:val="single" w:color="BDBDBD"/>
        </w:rPr>
        <w:t> </w:t>
        <w:tab/>
      </w:r>
    </w:p>
    <w:p>
      <w:pPr>
        <w:pStyle w:val="BodyText"/>
        <w:spacing w:before="9"/>
        <w:rPr>
          <w:sz w:val="14"/>
        </w:rPr>
      </w:pPr>
    </w:p>
    <w:p>
      <w:pPr>
        <w:spacing w:before="100"/>
        <w:ind w:left="420" w:right="0" w:firstLine="0"/>
        <w:jc w:val="left"/>
        <w:rPr>
          <w:b/>
          <w:sz w:val="18"/>
        </w:rPr>
      </w:pPr>
      <w:r>
        <w:rPr>
          <w:b/>
          <w:sz w:val="18"/>
        </w:rPr>
        <w:t>Support</w:t>
      </w:r>
      <w:r>
        <w:rPr>
          <w:b/>
          <w:spacing w:val="-4"/>
          <w:sz w:val="18"/>
        </w:rPr>
        <w:t> </w:t>
      </w:r>
      <w:r>
        <w:rPr>
          <w:b/>
          <w:sz w:val="18"/>
        </w:rPr>
        <w:t>provided</w:t>
      </w:r>
      <w:r>
        <w:rPr>
          <w:b/>
          <w:spacing w:val="-1"/>
          <w:sz w:val="18"/>
        </w:rPr>
        <w:t> </w:t>
      </w:r>
      <w:r>
        <w:rPr>
          <w:b/>
          <w:sz w:val="18"/>
        </w:rPr>
        <w:t>by</w:t>
      </w:r>
      <w:r>
        <w:rPr>
          <w:b/>
          <w:spacing w:val="-1"/>
          <w:sz w:val="18"/>
        </w:rPr>
        <w:t> </w:t>
      </w:r>
      <w:r>
        <w:rPr>
          <w:b/>
          <w:sz w:val="18"/>
        </w:rPr>
        <w:t>PHN</w:t>
      </w:r>
      <w:r>
        <w:rPr>
          <w:b/>
          <w:spacing w:val="-4"/>
          <w:sz w:val="18"/>
        </w:rPr>
        <w:t> </w:t>
      </w:r>
      <w:r>
        <w:rPr>
          <w:b/>
          <w:sz w:val="18"/>
        </w:rPr>
        <w:t>staff</w:t>
      </w:r>
      <w:r>
        <w:rPr>
          <w:b/>
          <w:spacing w:val="-2"/>
          <w:sz w:val="18"/>
        </w:rPr>
        <w:t> </w:t>
      </w:r>
      <w:r>
        <w:rPr>
          <w:b/>
          <w:sz w:val="18"/>
        </w:rPr>
        <w:t>to</w:t>
      </w:r>
      <w:r>
        <w:rPr>
          <w:b/>
          <w:spacing w:val="-3"/>
          <w:sz w:val="18"/>
        </w:rPr>
        <w:t> </w:t>
      </w:r>
      <w:r>
        <w:rPr>
          <w:b/>
          <w:sz w:val="18"/>
        </w:rPr>
        <w:t>practices for</w:t>
      </w:r>
      <w:r>
        <w:rPr>
          <w:b/>
          <w:spacing w:val="-1"/>
          <w:sz w:val="18"/>
        </w:rPr>
        <w:t> </w:t>
      </w:r>
      <w:r>
        <w:rPr>
          <w:b/>
          <w:sz w:val="18"/>
        </w:rPr>
        <w:t>HCH</w:t>
      </w:r>
      <w:r>
        <w:rPr>
          <w:b/>
          <w:spacing w:val="-2"/>
          <w:sz w:val="18"/>
        </w:rPr>
        <w:t> </w:t>
      </w:r>
      <w:r>
        <w:rPr>
          <w:b/>
          <w:sz w:val="18"/>
        </w:rPr>
        <w:t>implementation</w:t>
      </w:r>
    </w:p>
    <w:p>
      <w:pPr>
        <w:pStyle w:val="BodyText"/>
        <w:rPr>
          <w:b/>
          <w:sz w:val="19"/>
        </w:rPr>
      </w:pPr>
    </w:p>
    <w:p>
      <w:pPr>
        <w:pStyle w:val="ListParagraph"/>
        <w:numPr>
          <w:ilvl w:val="0"/>
          <w:numId w:val="109"/>
        </w:numPr>
        <w:tabs>
          <w:tab w:pos="847" w:val="left" w:leader="none"/>
          <w:tab w:pos="848" w:val="left" w:leader="none"/>
        </w:tabs>
        <w:spacing w:line="240" w:lineRule="auto" w:before="0" w:after="0"/>
        <w:ind w:left="847" w:right="780" w:hanging="360"/>
        <w:jc w:val="left"/>
        <w:rPr>
          <w:sz w:val="18"/>
        </w:rPr>
      </w:pPr>
      <w:r>
        <w:rPr>
          <w:sz w:val="18"/>
        </w:rPr>
        <w:t>Please estimate the average level of support provided to each HCH practice, where the support was provided</w:t>
      </w:r>
      <w:r>
        <w:rPr>
          <w:spacing w:val="1"/>
          <w:sz w:val="18"/>
        </w:rPr>
        <w:t> </w:t>
      </w:r>
      <w:r>
        <w:rPr>
          <w:sz w:val="18"/>
        </w:rPr>
        <w:t>individually to the practice, using the categories specified below.</w:t>
      </w:r>
      <w:r>
        <w:rPr>
          <w:spacing w:val="1"/>
          <w:sz w:val="18"/>
        </w:rPr>
        <w:t> </w:t>
      </w:r>
      <w:r>
        <w:rPr>
          <w:sz w:val="18"/>
        </w:rPr>
        <w:t>Support may have occurred through visits to the</w:t>
      </w:r>
      <w:r>
        <w:rPr>
          <w:spacing w:val="-47"/>
          <w:sz w:val="18"/>
        </w:rPr>
        <w:t> </w:t>
      </w:r>
      <w:r>
        <w:rPr>
          <w:sz w:val="18"/>
        </w:rPr>
        <w:t>practice involving face-to-face facilitation, training or support, or through telephone/video conference-based</w:t>
      </w:r>
      <w:r>
        <w:rPr>
          <w:spacing w:val="1"/>
          <w:sz w:val="18"/>
        </w:rPr>
        <w:t> </w:t>
      </w:r>
      <w:r>
        <w:rPr>
          <w:sz w:val="18"/>
        </w:rPr>
        <w:t>support,</w:t>
      </w:r>
      <w:r>
        <w:rPr>
          <w:spacing w:val="-3"/>
          <w:sz w:val="18"/>
        </w:rPr>
        <w:t> </w:t>
      </w:r>
      <w:r>
        <w:rPr>
          <w:sz w:val="18"/>
        </w:rPr>
        <w:t>or</w:t>
      </w:r>
      <w:r>
        <w:rPr>
          <w:spacing w:val="1"/>
          <w:sz w:val="18"/>
        </w:rPr>
        <w:t> </w:t>
      </w:r>
      <w:r>
        <w:rPr>
          <w:sz w:val="18"/>
        </w:rPr>
        <w:t>through email contact.</w:t>
      </w:r>
    </w:p>
    <w:p>
      <w:pPr>
        <w:pStyle w:val="BodyText"/>
        <w:spacing w:before="9"/>
        <w:rPr>
          <w:sz w:val="22"/>
        </w:rPr>
      </w:pPr>
    </w:p>
    <w:p>
      <w:pPr>
        <w:spacing w:line="276" w:lineRule="auto" w:before="0"/>
        <w:ind w:left="847" w:right="753" w:firstLine="0"/>
        <w:jc w:val="left"/>
        <w:rPr>
          <w:i/>
          <w:sz w:val="18"/>
        </w:rPr>
      </w:pPr>
      <w:r>
        <w:rPr>
          <w:b/>
          <w:i/>
          <w:sz w:val="18"/>
        </w:rPr>
        <w:t>Note:</w:t>
      </w:r>
      <w:r>
        <w:rPr>
          <w:b/>
          <w:i/>
          <w:spacing w:val="1"/>
          <w:sz w:val="18"/>
        </w:rPr>
        <w:t> </w:t>
      </w:r>
      <w:r>
        <w:rPr>
          <w:i/>
          <w:sz w:val="18"/>
        </w:rPr>
        <w:t>Exclude facilitation, training or support provided through training workshops, webinars or other group</w:t>
      </w:r>
      <w:r>
        <w:rPr>
          <w:i/>
          <w:spacing w:val="1"/>
          <w:sz w:val="18"/>
        </w:rPr>
        <w:t> </w:t>
      </w:r>
      <w:r>
        <w:rPr>
          <w:i/>
          <w:sz w:val="18"/>
        </w:rPr>
        <w:t>methods which have been described above. Where activity (e.g. a visit) involved an organisation with several</w:t>
      </w:r>
      <w:r>
        <w:rPr>
          <w:i/>
          <w:spacing w:val="1"/>
          <w:sz w:val="18"/>
        </w:rPr>
        <w:t> </w:t>
      </w:r>
      <w:r>
        <w:rPr>
          <w:i/>
          <w:sz w:val="18"/>
        </w:rPr>
        <w:t>practices/clinics participating in the HCH program (e.g. a corporate group or an Aboriginal Community Controlled</w:t>
      </w:r>
      <w:r>
        <w:rPr>
          <w:i/>
          <w:spacing w:val="-47"/>
          <w:sz w:val="18"/>
        </w:rPr>
        <w:t> </w:t>
      </w:r>
      <w:r>
        <w:rPr>
          <w:i/>
          <w:sz w:val="18"/>
        </w:rPr>
        <w:t>Health Service with multiple clinics), estimate the average across practices/clinics rather than the average for the</w:t>
      </w:r>
      <w:r>
        <w:rPr>
          <w:i/>
          <w:spacing w:val="1"/>
          <w:sz w:val="18"/>
        </w:rPr>
        <w:t> </w:t>
      </w:r>
      <w:r>
        <w:rPr>
          <w:i/>
          <w:sz w:val="18"/>
        </w:rPr>
        <w:t>organisation.</w:t>
      </w:r>
    </w:p>
    <w:p>
      <w:pPr>
        <w:pStyle w:val="BodyText"/>
        <w:spacing w:before="7"/>
        <w:rPr>
          <w:i/>
          <w:sz w:val="16"/>
        </w:rPr>
      </w:pPr>
    </w:p>
    <w:p>
      <w:pPr>
        <w:spacing w:line="276" w:lineRule="auto" w:before="0"/>
        <w:ind w:left="847" w:right="798" w:firstLine="0"/>
        <w:jc w:val="left"/>
        <w:rPr>
          <w:i/>
          <w:sz w:val="18"/>
        </w:rPr>
      </w:pPr>
      <w:r>
        <w:rPr>
          <w:i/>
          <w:sz w:val="18"/>
        </w:rPr>
        <w:t>For this question we are asking for your best estimates, rather than requesting a detailed analysis of all</w:t>
      </w:r>
      <w:r>
        <w:rPr>
          <w:i/>
          <w:spacing w:val="1"/>
          <w:sz w:val="18"/>
        </w:rPr>
        <w:t> </w:t>
      </w:r>
      <w:r>
        <w:rPr>
          <w:i/>
          <w:sz w:val="18"/>
        </w:rPr>
        <w:t>contacts/supports undertaken.</w:t>
      </w:r>
      <w:r>
        <w:rPr>
          <w:i/>
          <w:spacing w:val="1"/>
          <w:sz w:val="18"/>
        </w:rPr>
        <w:t> </w:t>
      </w:r>
      <w:r>
        <w:rPr>
          <w:i/>
          <w:sz w:val="18"/>
        </w:rPr>
        <w:t>The estimate could be based on a discussion/consensus reached between PHN</w:t>
      </w:r>
      <w:r>
        <w:rPr>
          <w:i/>
          <w:spacing w:val="-48"/>
          <w:sz w:val="18"/>
        </w:rPr>
        <w:t> </w:t>
      </w:r>
      <w:r>
        <w:rPr>
          <w:i/>
          <w:sz w:val="18"/>
        </w:rPr>
        <w:t>practice</w:t>
      </w:r>
      <w:r>
        <w:rPr>
          <w:i/>
          <w:spacing w:val="-3"/>
          <w:sz w:val="18"/>
        </w:rPr>
        <w:t> </w:t>
      </w:r>
      <w:r>
        <w:rPr>
          <w:i/>
          <w:sz w:val="18"/>
        </w:rPr>
        <w:t>facilitators</w:t>
      </w:r>
      <w:r>
        <w:rPr>
          <w:i/>
          <w:spacing w:val="-1"/>
          <w:sz w:val="18"/>
        </w:rPr>
        <w:t> </w:t>
      </w:r>
      <w:r>
        <w:rPr>
          <w:i/>
          <w:sz w:val="18"/>
        </w:rPr>
        <w:t>and</w:t>
      </w:r>
      <w:r>
        <w:rPr>
          <w:i/>
          <w:spacing w:val="-1"/>
          <w:sz w:val="18"/>
        </w:rPr>
        <w:t> </w:t>
      </w:r>
      <w:r>
        <w:rPr>
          <w:i/>
          <w:sz w:val="18"/>
        </w:rPr>
        <w:t>other staff.</w:t>
      </w:r>
    </w:p>
    <w:p>
      <w:pPr>
        <w:pStyle w:val="BodyText"/>
        <w:spacing w:before="3"/>
        <w:rPr>
          <w:i/>
          <w:sz w:val="16"/>
        </w:rPr>
      </w:pPr>
    </w:p>
    <w:tbl>
      <w:tblPr>
        <w:tblW w:w="0" w:type="auto"/>
        <w:jc w:val="left"/>
        <w:tblInd w:w="11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6222"/>
        <w:gridCol w:w="3514"/>
      </w:tblGrid>
      <w:tr>
        <w:trPr>
          <w:trHeight w:val="220" w:hRule="atLeast"/>
        </w:trPr>
        <w:tc>
          <w:tcPr>
            <w:tcW w:w="6222" w:type="dxa"/>
            <w:vMerge w:val="restart"/>
            <w:shd w:val="clear" w:color="auto" w:fill="F1F1F1"/>
          </w:tcPr>
          <w:p>
            <w:pPr>
              <w:pStyle w:val="TableParagraph"/>
              <w:rPr>
                <w:rFonts w:ascii="Times New Roman"/>
                <w:sz w:val="18"/>
              </w:rPr>
            </w:pPr>
          </w:p>
        </w:tc>
        <w:tc>
          <w:tcPr>
            <w:tcW w:w="3514" w:type="dxa"/>
            <w:shd w:val="clear" w:color="auto" w:fill="F1F1F1"/>
          </w:tcPr>
          <w:p>
            <w:pPr>
              <w:pStyle w:val="TableParagraph"/>
              <w:spacing w:line="200" w:lineRule="exact"/>
              <w:ind w:left="437" w:right="2"/>
              <w:jc w:val="center"/>
              <w:rPr>
                <w:sz w:val="18"/>
              </w:rPr>
            </w:pPr>
            <w:r>
              <w:rPr>
                <w:sz w:val="18"/>
              </w:rPr>
              <w:t>Estimate</w:t>
            </w:r>
            <w:r>
              <w:rPr>
                <w:spacing w:val="-3"/>
                <w:sz w:val="18"/>
              </w:rPr>
              <w:t> </w:t>
            </w:r>
            <w:r>
              <w:rPr>
                <w:sz w:val="18"/>
              </w:rPr>
              <w:t>per</w:t>
            </w:r>
            <w:r>
              <w:rPr>
                <w:spacing w:val="-2"/>
                <w:sz w:val="18"/>
              </w:rPr>
              <w:t> </w:t>
            </w:r>
            <w:r>
              <w:rPr>
                <w:sz w:val="18"/>
              </w:rPr>
              <w:t>practice</w:t>
            </w:r>
          </w:p>
        </w:tc>
      </w:tr>
      <w:tr>
        <w:trPr>
          <w:trHeight w:val="220" w:hRule="atLeast"/>
        </w:trPr>
        <w:tc>
          <w:tcPr>
            <w:tcW w:w="6222" w:type="dxa"/>
            <w:vMerge/>
            <w:tcBorders>
              <w:top w:val="nil"/>
            </w:tcBorders>
            <w:shd w:val="clear" w:color="auto" w:fill="F1F1F1"/>
          </w:tcPr>
          <w:p>
            <w:pPr>
              <w:rPr>
                <w:sz w:val="2"/>
                <w:szCs w:val="2"/>
              </w:rPr>
            </w:pPr>
          </w:p>
        </w:tc>
        <w:tc>
          <w:tcPr>
            <w:tcW w:w="3514" w:type="dxa"/>
            <w:shd w:val="clear" w:color="auto" w:fill="F1F1F1"/>
          </w:tcPr>
          <w:p>
            <w:pPr>
              <w:pStyle w:val="TableParagraph"/>
              <w:spacing w:line="200" w:lineRule="exact"/>
              <w:ind w:left="437" w:right="5"/>
              <w:jc w:val="center"/>
              <w:rPr>
                <w:sz w:val="18"/>
              </w:rPr>
            </w:pPr>
            <w:r>
              <w:rPr>
                <w:sz w:val="18"/>
              </w:rPr>
              <w:t>I July</w:t>
            </w:r>
            <w:r>
              <w:rPr>
                <w:spacing w:val="-3"/>
                <w:sz w:val="18"/>
              </w:rPr>
              <w:t> </w:t>
            </w:r>
            <w:r>
              <w:rPr>
                <w:sz w:val="18"/>
              </w:rPr>
              <w:t>2019</w:t>
            </w:r>
            <w:r>
              <w:rPr>
                <w:spacing w:val="-1"/>
                <w:sz w:val="18"/>
              </w:rPr>
              <w:t> </w:t>
            </w:r>
            <w:r>
              <w:rPr>
                <w:sz w:val="18"/>
              </w:rPr>
              <w:t>to</w:t>
            </w:r>
            <w:r>
              <w:rPr>
                <w:spacing w:val="-5"/>
                <w:sz w:val="18"/>
              </w:rPr>
              <w:t> </w:t>
            </w:r>
            <w:r>
              <w:rPr>
                <w:sz w:val="18"/>
              </w:rPr>
              <w:t>30</w:t>
            </w:r>
            <w:r>
              <w:rPr>
                <w:spacing w:val="-1"/>
                <w:sz w:val="18"/>
              </w:rPr>
              <w:t> </w:t>
            </w:r>
            <w:r>
              <w:rPr>
                <w:sz w:val="18"/>
              </w:rPr>
              <w:t>June</w:t>
            </w:r>
            <w:r>
              <w:rPr>
                <w:spacing w:val="-4"/>
                <w:sz w:val="18"/>
              </w:rPr>
              <w:t> </w:t>
            </w:r>
            <w:r>
              <w:rPr>
                <w:sz w:val="18"/>
              </w:rPr>
              <w:t>2020</w:t>
            </w:r>
          </w:p>
        </w:tc>
      </w:tr>
      <w:tr>
        <w:trPr>
          <w:trHeight w:val="220" w:hRule="atLeast"/>
        </w:trPr>
        <w:tc>
          <w:tcPr>
            <w:tcW w:w="6222" w:type="dxa"/>
            <w:shd w:val="clear" w:color="auto" w:fill="F1F1F1"/>
          </w:tcPr>
          <w:p>
            <w:pPr>
              <w:pStyle w:val="TableParagraph"/>
              <w:spacing w:line="200" w:lineRule="exact"/>
              <w:ind w:left="119"/>
              <w:rPr>
                <w:sz w:val="18"/>
              </w:rPr>
            </w:pPr>
            <w:r>
              <w:rPr>
                <w:sz w:val="18"/>
              </w:rPr>
              <w:t>Estimated</w:t>
            </w:r>
            <w:r>
              <w:rPr>
                <w:spacing w:val="-5"/>
                <w:sz w:val="18"/>
              </w:rPr>
              <w:t> </w:t>
            </w:r>
            <w:r>
              <w:rPr>
                <w:sz w:val="18"/>
              </w:rPr>
              <w:t>average</w:t>
            </w:r>
            <w:r>
              <w:rPr>
                <w:spacing w:val="-2"/>
                <w:sz w:val="18"/>
              </w:rPr>
              <w:t> </w:t>
            </w:r>
            <w:r>
              <w:rPr>
                <w:sz w:val="18"/>
              </w:rPr>
              <w:t>visits</w:t>
            </w:r>
            <w:r>
              <w:rPr>
                <w:spacing w:val="-5"/>
                <w:sz w:val="18"/>
              </w:rPr>
              <w:t> </w:t>
            </w:r>
            <w:r>
              <w:rPr>
                <w:sz w:val="18"/>
              </w:rPr>
              <w:t>per</w:t>
            </w:r>
            <w:r>
              <w:rPr>
                <w:spacing w:val="-6"/>
                <w:sz w:val="18"/>
              </w:rPr>
              <w:t> </w:t>
            </w:r>
            <w:r>
              <w:rPr>
                <w:sz w:val="18"/>
              </w:rPr>
              <w:t>practice</w:t>
            </w:r>
            <w:r>
              <w:rPr>
                <w:spacing w:val="-4"/>
                <w:sz w:val="18"/>
              </w:rPr>
              <w:t> </w:t>
            </w:r>
            <w:r>
              <w:rPr>
                <w:sz w:val="18"/>
              </w:rPr>
              <w:t>(1)</w:t>
            </w:r>
          </w:p>
        </w:tc>
        <w:tc>
          <w:tcPr>
            <w:tcW w:w="3514" w:type="dxa"/>
          </w:tcPr>
          <w:p>
            <w:pPr>
              <w:pStyle w:val="TableParagraph"/>
              <w:rPr>
                <w:rFonts w:ascii="Times New Roman"/>
                <w:sz w:val="14"/>
              </w:rPr>
            </w:pPr>
          </w:p>
        </w:tc>
      </w:tr>
      <w:tr>
        <w:trPr>
          <w:trHeight w:val="443" w:hRule="atLeast"/>
        </w:trPr>
        <w:tc>
          <w:tcPr>
            <w:tcW w:w="6222" w:type="dxa"/>
            <w:shd w:val="clear" w:color="auto" w:fill="F1F1F1"/>
          </w:tcPr>
          <w:p>
            <w:pPr>
              <w:pStyle w:val="TableParagraph"/>
              <w:spacing w:line="220" w:lineRule="atLeast"/>
              <w:ind w:left="107" w:firstLine="12"/>
              <w:rPr>
                <w:sz w:val="18"/>
              </w:rPr>
            </w:pPr>
            <w:r>
              <w:rPr>
                <w:sz w:val="18"/>
              </w:rPr>
              <w:t>Estimated</w:t>
            </w:r>
            <w:r>
              <w:rPr>
                <w:spacing w:val="-6"/>
                <w:sz w:val="18"/>
              </w:rPr>
              <w:t> </w:t>
            </w:r>
            <w:r>
              <w:rPr>
                <w:sz w:val="18"/>
              </w:rPr>
              <w:t>average</w:t>
            </w:r>
            <w:r>
              <w:rPr>
                <w:spacing w:val="-6"/>
                <w:sz w:val="18"/>
              </w:rPr>
              <w:t> </w:t>
            </w:r>
            <w:r>
              <w:rPr>
                <w:sz w:val="18"/>
              </w:rPr>
              <w:t>number</w:t>
            </w:r>
            <w:r>
              <w:rPr>
                <w:spacing w:val="-4"/>
                <w:sz w:val="18"/>
              </w:rPr>
              <w:t> </w:t>
            </w:r>
            <w:r>
              <w:rPr>
                <w:sz w:val="18"/>
              </w:rPr>
              <w:t>of</w:t>
            </w:r>
            <w:r>
              <w:rPr>
                <w:spacing w:val="-4"/>
                <w:sz w:val="18"/>
              </w:rPr>
              <w:t> </w:t>
            </w:r>
            <w:r>
              <w:rPr>
                <w:sz w:val="18"/>
              </w:rPr>
              <w:t>telephone/video</w:t>
            </w:r>
            <w:r>
              <w:rPr>
                <w:spacing w:val="-5"/>
                <w:sz w:val="18"/>
              </w:rPr>
              <w:t> </w:t>
            </w:r>
            <w:r>
              <w:rPr>
                <w:sz w:val="18"/>
              </w:rPr>
              <w:t>conference</w:t>
            </w:r>
            <w:r>
              <w:rPr>
                <w:spacing w:val="-5"/>
                <w:sz w:val="18"/>
              </w:rPr>
              <w:t> </w:t>
            </w:r>
            <w:r>
              <w:rPr>
                <w:sz w:val="18"/>
              </w:rPr>
              <w:t>support</w:t>
            </w:r>
            <w:r>
              <w:rPr>
                <w:spacing w:val="-47"/>
                <w:sz w:val="18"/>
              </w:rPr>
              <w:t> </w:t>
            </w:r>
            <w:r>
              <w:rPr>
                <w:sz w:val="18"/>
              </w:rPr>
              <w:t>instances</w:t>
            </w:r>
            <w:r>
              <w:rPr>
                <w:spacing w:val="-4"/>
                <w:sz w:val="18"/>
              </w:rPr>
              <w:t> </w:t>
            </w:r>
            <w:r>
              <w:rPr>
                <w:sz w:val="18"/>
              </w:rPr>
              <w:t>per practice (2)</w:t>
            </w:r>
          </w:p>
        </w:tc>
        <w:tc>
          <w:tcPr>
            <w:tcW w:w="3514" w:type="dxa"/>
          </w:tcPr>
          <w:p>
            <w:pPr>
              <w:pStyle w:val="TableParagraph"/>
              <w:rPr>
                <w:rFonts w:ascii="Times New Roman"/>
                <w:sz w:val="18"/>
              </w:rPr>
            </w:pPr>
          </w:p>
        </w:tc>
      </w:tr>
      <w:tr>
        <w:trPr>
          <w:trHeight w:val="220" w:hRule="atLeast"/>
        </w:trPr>
        <w:tc>
          <w:tcPr>
            <w:tcW w:w="6222" w:type="dxa"/>
            <w:shd w:val="clear" w:color="auto" w:fill="F1F1F1"/>
          </w:tcPr>
          <w:p>
            <w:pPr>
              <w:pStyle w:val="TableParagraph"/>
              <w:spacing w:line="200" w:lineRule="exact"/>
              <w:ind w:left="119"/>
              <w:rPr>
                <w:sz w:val="18"/>
              </w:rPr>
            </w:pPr>
            <w:r>
              <w:rPr>
                <w:sz w:val="18"/>
              </w:rPr>
              <w:t>Estimated</w:t>
            </w:r>
            <w:r>
              <w:rPr>
                <w:spacing w:val="-6"/>
                <w:sz w:val="18"/>
              </w:rPr>
              <w:t> </w:t>
            </w:r>
            <w:r>
              <w:rPr>
                <w:sz w:val="18"/>
              </w:rPr>
              <w:t>average</w:t>
            </w:r>
            <w:r>
              <w:rPr>
                <w:spacing w:val="-4"/>
                <w:sz w:val="18"/>
              </w:rPr>
              <w:t> </w:t>
            </w:r>
            <w:r>
              <w:rPr>
                <w:sz w:val="18"/>
              </w:rPr>
              <w:t>number</w:t>
            </w:r>
            <w:r>
              <w:rPr>
                <w:spacing w:val="-3"/>
                <w:sz w:val="18"/>
              </w:rPr>
              <w:t> </w:t>
            </w:r>
            <w:r>
              <w:rPr>
                <w:sz w:val="18"/>
              </w:rPr>
              <w:t>of</w:t>
            </w:r>
            <w:r>
              <w:rPr>
                <w:spacing w:val="-3"/>
                <w:sz w:val="18"/>
              </w:rPr>
              <w:t> </w:t>
            </w:r>
            <w:r>
              <w:rPr>
                <w:sz w:val="18"/>
              </w:rPr>
              <w:t>email</w:t>
            </w:r>
            <w:r>
              <w:rPr>
                <w:spacing w:val="-5"/>
                <w:sz w:val="18"/>
              </w:rPr>
              <w:t> </w:t>
            </w:r>
            <w:r>
              <w:rPr>
                <w:sz w:val="18"/>
              </w:rPr>
              <w:t>contacts</w:t>
            </w:r>
            <w:r>
              <w:rPr>
                <w:spacing w:val="-5"/>
                <w:sz w:val="18"/>
              </w:rPr>
              <w:t> </w:t>
            </w:r>
            <w:r>
              <w:rPr>
                <w:sz w:val="18"/>
              </w:rPr>
              <w:t>per</w:t>
            </w:r>
            <w:r>
              <w:rPr>
                <w:spacing w:val="-3"/>
                <w:sz w:val="18"/>
              </w:rPr>
              <w:t> </w:t>
            </w:r>
            <w:r>
              <w:rPr>
                <w:sz w:val="18"/>
              </w:rPr>
              <w:t>practice</w:t>
            </w:r>
            <w:r>
              <w:rPr>
                <w:spacing w:val="-1"/>
                <w:sz w:val="18"/>
              </w:rPr>
              <w:t> </w:t>
            </w:r>
            <w:r>
              <w:rPr>
                <w:sz w:val="18"/>
              </w:rPr>
              <w:t>(4)</w:t>
            </w:r>
          </w:p>
        </w:tc>
        <w:tc>
          <w:tcPr>
            <w:tcW w:w="3514" w:type="dxa"/>
          </w:tcPr>
          <w:p>
            <w:pPr>
              <w:pStyle w:val="TableParagraph"/>
              <w:rPr>
                <w:rFonts w:ascii="Times New Roman"/>
                <w:sz w:val="14"/>
              </w:rPr>
            </w:pPr>
          </w:p>
        </w:tc>
      </w:tr>
      <w:tr>
        <w:trPr>
          <w:trHeight w:val="220" w:hRule="atLeast"/>
        </w:trPr>
        <w:tc>
          <w:tcPr>
            <w:tcW w:w="6222" w:type="dxa"/>
            <w:shd w:val="clear" w:color="auto" w:fill="F1F1F1"/>
          </w:tcPr>
          <w:p>
            <w:pPr>
              <w:pStyle w:val="TableParagraph"/>
              <w:spacing w:line="201" w:lineRule="exact"/>
              <w:ind w:left="119"/>
              <w:rPr>
                <w:sz w:val="18"/>
              </w:rPr>
            </w:pPr>
            <w:r>
              <w:rPr>
                <w:sz w:val="18"/>
              </w:rPr>
              <w:t>Estimated</w:t>
            </w:r>
            <w:r>
              <w:rPr>
                <w:spacing w:val="-5"/>
                <w:sz w:val="18"/>
              </w:rPr>
              <w:t> </w:t>
            </w:r>
            <w:r>
              <w:rPr>
                <w:sz w:val="18"/>
              </w:rPr>
              <w:t>average</w:t>
            </w:r>
            <w:r>
              <w:rPr>
                <w:spacing w:val="-3"/>
                <w:sz w:val="18"/>
              </w:rPr>
              <w:t> </w:t>
            </w:r>
            <w:r>
              <w:rPr>
                <w:sz w:val="18"/>
              </w:rPr>
              <w:t>PHN</w:t>
            </w:r>
            <w:r>
              <w:rPr>
                <w:spacing w:val="-5"/>
                <w:sz w:val="18"/>
              </w:rPr>
              <w:t> </w:t>
            </w:r>
            <w:r>
              <w:rPr>
                <w:sz w:val="18"/>
              </w:rPr>
              <w:t>staff</w:t>
            </w:r>
            <w:r>
              <w:rPr>
                <w:spacing w:val="-3"/>
                <w:sz w:val="18"/>
              </w:rPr>
              <w:t> </w:t>
            </w:r>
            <w:r>
              <w:rPr>
                <w:sz w:val="18"/>
              </w:rPr>
              <w:t>time (in</w:t>
            </w:r>
            <w:r>
              <w:rPr>
                <w:spacing w:val="-3"/>
                <w:sz w:val="18"/>
              </w:rPr>
              <w:t> </w:t>
            </w:r>
            <w:r>
              <w:rPr>
                <w:sz w:val="18"/>
              </w:rPr>
              <w:t>days)</w:t>
            </w:r>
            <w:r>
              <w:rPr>
                <w:spacing w:val="-5"/>
                <w:sz w:val="18"/>
              </w:rPr>
              <w:t> </w:t>
            </w:r>
            <w:r>
              <w:rPr>
                <w:sz w:val="18"/>
              </w:rPr>
              <w:t>per</w:t>
            </w:r>
            <w:r>
              <w:rPr>
                <w:spacing w:val="-4"/>
                <w:sz w:val="18"/>
              </w:rPr>
              <w:t> </w:t>
            </w:r>
            <w:r>
              <w:rPr>
                <w:sz w:val="18"/>
              </w:rPr>
              <w:t>practice</w:t>
            </w:r>
            <w:r>
              <w:rPr>
                <w:spacing w:val="-3"/>
                <w:sz w:val="18"/>
              </w:rPr>
              <w:t> </w:t>
            </w:r>
            <w:r>
              <w:rPr>
                <w:sz w:val="18"/>
              </w:rPr>
              <w:t>(3)</w:t>
            </w:r>
          </w:p>
        </w:tc>
        <w:tc>
          <w:tcPr>
            <w:tcW w:w="3514" w:type="dxa"/>
          </w:tcPr>
          <w:p>
            <w:pPr>
              <w:pStyle w:val="TableParagraph"/>
              <w:rPr>
                <w:rFonts w:ascii="Times New Roman"/>
                <w:sz w:val="14"/>
              </w:rPr>
            </w:pPr>
          </w:p>
        </w:tc>
      </w:tr>
      <w:tr>
        <w:trPr>
          <w:trHeight w:val="220" w:hRule="atLeast"/>
        </w:trPr>
        <w:tc>
          <w:tcPr>
            <w:tcW w:w="6222" w:type="dxa"/>
            <w:shd w:val="clear" w:color="auto" w:fill="F1F1F1"/>
          </w:tcPr>
          <w:p>
            <w:pPr>
              <w:pStyle w:val="TableParagraph"/>
              <w:spacing w:line="200" w:lineRule="exact"/>
              <w:ind w:left="119"/>
              <w:rPr>
                <w:sz w:val="18"/>
              </w:rPr>
            </w:pPr>
            <w:r>
              <w:rPr>
                <w:sz w:val="18"/>
              </w:rPr>
              <w:t>Estimated</w:t>
            </w:r>
            <w:r>
              <w:rPr>
                <w:spacing w:val="-2"/>
                <w:sz w:val="18"/>
              </w:rPr>
              <w:t> </w:t>
            </w:r>
            <w:r>
              <w:rPr>
                <w:sz w:val="18"/>
              </w:rPr>
              <w:t>maximum</w:t>
            </w:r>
            <w:r>
              <w:rPr>
                <w:spacing w:val="-7"/>
                <w:sz w:val="18"/>
              </w:rPr>
              <w:t> </w:t>
            </w:r>
            <w:r>
              <w:rPr>
                <w:sz w:val="18"/>
              </w:rPr>
              <w:t>PHN</w:t>
            </w:r>
            <w:r>
              <w:rPr>
                <w:spacing w:val="-4"/>
                <w:sz w:val="18"/>
              </w:rPr>
              <w:t> </w:t>
            </w:r>
            <w:r>
              <w:rPr>
                <w:sz w:val="18"/>
              </w:rPr>
              <w:t>staff</w:t>
            </w:r>
            <w:r>
              <w:rPr>
                <w:spacing w:val="-3"/>
                <w:sz w:val="18"/>
              </w:rPr>
              <w:t> </w:t>
            </w:r>
            <w:r>
              <w:rPr>
                <w:sz w:val="18"/>
              </w:rPr>
              <w:t>time (in</w:t>
            </w:r>
            <w:r>
              <w:rPr>
                <w:spacing w:val="1"/>
                <w:sz w:val="18"/>
              </w:rPr>
              <w:t> </w:t>
            </w:r>
            <w:r>
              <w:rPr>
                <w:sz w:val="18"/>
              </w:rPr>
              <w:t>days)</w:t>
            </w:r>
            <w:r>
              <w:rPr>
                <w:spacing w:val="-5"/>
                <w:sz w:val="18"/>
              </w:rPr>
              <w:t> </w:t>
            </w:r>
            <w:r>
              <w:rPr>
                <w:sz w:val="18"/>
              </w:rPr>
              <w:t>for</w:t>
            </w:r>
            <w:r>
              <w:rPr>
                <w:spacing w:val="-3"/>
                <w:sz w:val="18"/>
              </w:rPr>
              <w:t> </w:t>
            </w:r>
            <w:r>
              <w:rPr>
                <w:sz w:val="18"/>
              </w:rPr>
              <w:t>any</w:t>
            </w:r>
            <w:r>
              <w:rPr>
                <w:spacing w:val="-3"/>
                <w:sz w:val="18"/>
              </w:rPr>
              <w:t> </w:t>
            </w:r>
            <w:r>
              <w:rPr>
                <w:sz w:val="18"/>
              </w:rPr>
              <w:t>practice (5)</w:t>
            </w:r>
          </w:p>
        </w:tc>
        <w:tc>
          <w:tcPr>
            <w:tcW w:w="3514" w:type="dxa"/>
          </w:tcPr>
          <w:p>
            <w:pPr>
              <w:pStyle w:val="TableParagraph"/>
              <w:rPr>
                <w:rFonts w:ascii="Times New Roman"/>
                <w:sz w:val="14"/>
              </w:rPr>
            </w:pPr>
          </w:p>
        </w:tc>
      </w:tr>
      <w:tr>
        <w:trPr>
          <w:trHeight w:val="220" w:hRule="atLeast"/>
        </w:trPr>
        <w:tc>
          <w:tcPr>
            <w:tcW w:w="6222" w:type="dxa"/>
            <w:shd w:val="clear" w:color="auto" w:fill="F1F1F1"/>
          </w:tcPr>
          <w:p>
            <w:pPr>
              <w:pStyle w:val="TableParagraph"/>
              <w:spacing w:line="200" w:lineRule="exact"/>
              <w:ind w:left="119"/>
              <w:rPr>
                <w:sz w:val="18"/>
              </w:rPr>
            </w:pPr>
            <w:r>
              <w:rPr>
                <w:sz w:val="18"/>
              </w:rPr>
              <w:t>Estimated</w:t>
            </w:r>
            <w:r>
              <w:rPr>
                <w:spacing w:val="-3"/>
                <w:sz w:val="18"/>
              </w:rPr>
              <w:t> </w:t>
            </w:r>
            <w:r>
              <w:rPr>
                <w:sz w:val="18"/>
              </w:rPr>
              <w:t>minimum</w:t>
            </w:r>
            <w:r>
              <w:rPr>
                <w:spacing w:val="-6"/>
                <w:sz w:val="18"/>
              </w:rPr>
              <w:t> </w:t>
            </w:r>
            <w:r>
              <w:rPr>
                <w:sz w:val="18"/>
              </w:rPr>
              <w:t>PHN</w:t>
            </w:r>
            <w:r>
              <w:rPr>
                <w:spacing w:val="-5"/>
                <w:sz w:val="18"/>
              </w:rPr>
              <w:t> </w:t>
            </w:r>
            <w:r>
              <w:rPr>
                <w:sz w:val="18"/>
              </w:rPr>
              <w:t>staff</w:t>
            </w:r>
            <w:r>
              <w:rPr>
                <w:spacing w:val="-3"/>
                <w:sz w:val="18"/>
              </w:rPr>
              <w:t> </w:t>
            </w:r>
            <w:r>
              <w:rPr>
                <w:sz w:val="18"/>
              </w:rPr>
              <w:t>time (in</w:t>
            </w:r>
            <w:r>
              <w:rPr>
                <w:spacing w:val="-3"/>
                <w:sz w:val="18"/>
              </w:rPr>
              <w:t> </w:t>
            </w:r>
            <w:r>
              <w:rPr>
                <w:sz w:val="18"/>
              </w:rPr>
              <w:t>days)</w:t>
            </w:r>
            <w:r>
              <w:rPr>
                <w:spacing w:val="-5"/>
                <w:sz w:val="18"/>
              </w:rPr>
              <w:t> </w:t>
            </w:r>
            <w:r>
              <w:rPr>
                <w:sz w:val="18"/>
              </w:rPr>
              <w:t>for</w:t>
            </w:r>
            <w:r>
              <w:rPr>
                <w:spacing w:val="-3"/>
                <w:sz w:val="18"/>
              </w:rPr>
              <w:t> </w:t>
            </w:r>
            <w:r>
              <w:rPr>
                <w:sz w:val="18"/>
              </w:rPr>
              <w:t>any</w:t>
            </w:r>
            <w:r>
              <w:rPr>
                <w:spacing w:val="-4"/>
                <w:sz w:val="18"/>
              </w:rPr>
              <w:t> </w:t>
            </w:r>
            <w:r>
              <w:rPr>
                <w:sz w:val="18"/>
              </w:rPr>
              <w:t>practice (6)</w:t>
            </w:r>
          </w:p>
        </w:tc>
        <w:tc>
          <w:tcPr>
            <w:tcW w:w="3514" w:type="dxa"/>
          </w:tcPr>
          <w:p>
            <w:pPr>
              <w:pStyle w:val="TableParagraph"/>
              <w:rPr>
                <w:rFonts w:ascii="Times New Roman"/>
                <w:sz w:val="14"/>
              </w:rPr>
            </w:pPr>
          </w:p>
        </w:tc>
      </w:tr>
    </w:tbl>
    <w:p>
      <w:pPr>
        <w:spacing w:after="0"/>
        <w:rPr>
          <w:rFonts w:ascii="Times New Roman"/>
          <w:sz w:val="14"/>
        </w:rPr>
        <w:sectPr>
          <w:pgSz w:w="11910" w:h="16840"/>
          <w:pgMar w:header="0" w:footer="948" w:top="860" w:bottom="1140" w:left="300" w:right="0"/>
        </w:sectPr>
      </w:pPr>
    </w:p>
    <w:p>
      <w:pPr>
        <w:pStyle w:val="ListParagraph"/>
        <w:numPr>
          <w:ilvl w:val="0"/>
          <w:numId w:val="109"/>
        </w:numPr>
        <w:tabs>
          <w:tab w:pos="844" w:val="left" w:leader="none"/>
          <w:tab w:pos="845" w:val="left" w:leader="none"/>
        </w:tabs>
        <w:spacing w:line="240" w:lineRule="auto" w:before="75" w:after="0"/>
        <w:ind w:left="844" w:right="784" w:hanging="358"/>
        <w:jc w:val="left"/>
        <w:rPr>
          <w:sz w:val="18"/>
        </w:rPr>
      </w:pPr>
      <w:r>
        <w:rPr>
          <w:sz w:val="18"/>
        </w:rPr>
        <w:t>How</w:t>
      </w:r>
      <w:r>
        <w:rPr>
          <w:spacing w:val="-4"/>
          <w:sz w:val="18"/>
        </w:rPr>
        <w:t> </w:t>
      </w:r>
      <w:r>
        <w:rPr>
          <w:sz w:val="18"/>
        </w:rPr>
        <w:t>has</w:t>
      </w:r>
      <w:r>
        <w:rPr>
          <w:spacing w:val="-3"/>
          <w:sz w:val="18"/>
        </w:rPr>
        <w:t> </w:t>
      </w:r>
      <w:r>
        <w:rPr>
          <w:sz w:val="18"/>
        </w:rPr>
        <w:t>the</w:t>
      </w:r>
      <w:r>
        <w:rPr>
          <w:spacing w:val="-1"/>
          <w:sz w:val="18"/>
        </w:rPr>
        <w:t> </w:t>
      </w:r>
      <w:r>
        <w:rPr>
          <w:sz w:val="18"/>
        </w:rPr>
        <w:t>nature</w:t>
      </w:r>
      <w:r>
        <w:rPr>
          <w:spacing w:val="-2"/>
          <w:sz w:val="18"/>
        </w:rPr>
        <w:t> </w:t>
      </w:r>
      <w:r>
        <w:rPr>
          <w:sz w:val="18"/>
        </w:rPr>
        <w:t>of facilitation,</w:t>
      </w:r>
      <w:r>
        <w:rPr>
          <w:spacing w:val="-4"/>
          <w:sz w:val="18"/>
        </w:rPr>
        <w:t> </w:t>
      </w:r>
      <w:r>
        <w:rPr>
          <w:sz w:val="18"/>
        </w:rPr>
        <w:t>training</w:t>
      </w:r>
      <w:r>
        <w:rPr>
          <w:spacing w:val="-4"/>
          <w:sz w:val="18"/>
        </w:rPr>
        <w:t> </w:t>
      </w:r>
      <w:r>
        <w:rPr>
          <w:sz w:val="18"/>
        </w:rPr>
        <w:t>and</w:t>
      </w:r>
      <w:r>
        <w:rPr>
          <w:spacing w:val="-2"/>
          <w:sz w:val="18"/>
        </w:rPr>
        <w:t> </w:t>
      </w:r>
      <w:r>
        <w:rPr>
          <w:sz w:val="18"/>
        </w:rPr>
        <w:t>support</w:t>
      </w:r>
      <w:r>
        <w:rPr>
          <w:spacing w:val="-5"/>
          <w:sz w:val="18"/>
        </w:rPr>
        <w:t> </w:t>
      </w:r>
      <w:r>
        <w:rPr>
          <w:sz w:val="18"/>
        </w:rPr>
        <w:t>provided</w:t>
      </w:r>
      <w:r>
        <w:rPr>
          <w:spacing w:val="-2"/>
          <w:sz w:val="18"/>
        </w:rPr>
        <w:t> </w:t>
      </w:r>
      <w:r>
        <w:rPr>
          <w:sz w:val="18"/>
        </w:rPr>
        <w:t>by</w:t>
      </w:r>
      <w:r>
        <w:rPr>
          <w:spacing w:val="-3"/>
          <w:sz w:val="18"/>
        </w:rPr>
        <w:t> </w:t>
      </w:r>
      <w:r>
        <w:rPr>
          <w:sz w:val="18"/>
        </w:rPr>
        <w:t>the</w:t>
      </w:r>
      <w:r>
        <w:rPr>
          <w:spacing w:val="-1"/>
          <w:sz w:val="18"/>
        </w:rPr>
        <w:t> </w:t>
      </w:r>
      <w:r>
        <w:rPr>
          <w:sz w:val="18"/>
        </w:rPr>
        <w:t>PHN</w:t>
      </w:r>
      <w:r>
        <w:rPr>
          <w:spacing w:val="-4"/>
          <w:sz w:val="18"/>
        </w:rPr>
        <w:t> </w:t>
      </w:r>
      <w:r>
        <w:rPr>
          <w:sz w:val="18"/>
        </w:rPr>
        <w:t>to</w:t>
      </w:r>
      <w:r>
        <w:rPr>
          <w:spacing w:val="-3"/>
          <w:sz w:val="18"/>
        </w:rPr>
        <w:t> </w:t>
      </w:r>
      <w:r>
        <w:rPr>
          <w:sz w:val="18"/>
        </w:rPr>
        <w:t>assist</w:t>
      </w:r>
      <w:r>
        <w:rPr>
          <w:spacing w:val="-3"/>
          <w:sz w:val="18"/>
        </w:rPr>
        <w:t> </w:t>
      </w:r>
      <w:r>
        <w:rPr>
          <w:sz w:val="18"/>
        </w:rPr>
        <w:t>practices</w:t>
      </w:r>
      <w:r>
        <w:rPr>
          <w:spacing w:val="-5"/>
          <w:sz w:val="18"/>
        </w:rPr>
        <w:t> </w:t>
      </w:r>
      <w:r>
        <w:rPr>
          <w:sz w:val="18"/>
        </w:rPr>
        <w:t>in</w:t>
      </w:r>
      <w:r>
        <w:rPr>
          <w:spacing w:val="-3"/>
          <w:sz w:val="18"/>
        </w:rPr>
        <w:t> </w:t>
      </w:r>
      <w:r>
        <w:rPr>
          <w:sz w:val="18"/>
        </w:rPr>
        <w:t>implementing</w:t>
      </w:r>
      <w:r>
        <w:rPr>
          <w:spacing w:val="-4"/>
          <w:sz w:val="18"/>
        </w:rPr>
        <w:t> </w:t>
      </w:r>
      <w:r>
        <w:rPr>
          <w:sz w:val="18"/>
        </w:rPr>
        <w:t>the</w:t>
      </w:r>
      <w:r>
        <w:rPr>
          <w:spacing w:val="1"/>
          <w:sz w:val="18"/>
        </w:rPr>
        <w:t> </w:t>
      </w:r>
      <w:r>
        <w:rPr>
          <w:sz w:val="18"/>
        </w:rPr>
        <w:t>HCH</w:t>
      </w:r>
      <w:r>
        <w:rPr>
          <w:spacing w:val="1"/>
          <w:sz w:val="18"/>
        </w:rPr>
        <w:t> </w:t>
      </w:r>
      <w:r>
        <w:rPr>
          <w:sz w:val="18"/>
        </w:rPr>
        <w:t>model</w:t>
      </w:r>
      <w:r>
        <w:rPr>
          <w:spacing w:val="1"/>
          <w:sz w:val="18"/>
        </w:rPr>
        <w:t> </w:t>
      </w:r>
      <w:r>
        <w:rPr>
          <w:sz w:val="18"/>
        </w:rPr>
        <w:t>change in</w:t>
      </w:r>
      <w:r>
        <w:rPr>
          <w:spacing w:val="-2"/>
          <w:sz w:val="18"/>
        </w:rPr>
        <w:t> </w:t>
      </w:r>
      <w:r>
        <w:rPr>
          <w:sz w:val="18"/>
        </w:rPr>
        <w:t>since mid-2019?</w:t>
      </w:r>
    </w:p>
    <w:p>
      <w:pPr>
        <w:pStyle w:val="BodyText"/>
      </w:pPr>
    </w:p>
    <w:p>
      <w:pPr>
        <w:pStyle w:val="BodyText"/>
        <w:spacing w:before="11"/>
        <w:rPr>
          <w:sz w:val="18"/>
        </w:rPr>
      </w:pPr>
      <w:r>
        <w:rPr/>
        <w:pict>
          <v:rect style="position:absolute;margin-left:34.560001pt;margin-top:12.819921pt;width:526.3pt;height:.48pt;mso-position-horizontal-relative:page;mso-position-vertical-relative:paragraph;z-index:-15284224;mso-wrap-distance-left:0;mso-wrap-distance-right:0" id="docshape253" filled="true" fillcolor="#d9d9d9" stroked="false">
            <v:fill type="solid"/>
            <w10:wrap type="topAndBottom"/>
          </v:rect>
        </w:pict>
      </w:r>
    </w:p>
    <w:p>
      <w:pPr>
        <w:pStyle w:val="BodyText"/>
        <w:spacing w:before="2"/>
        <w:rPr>
          <w:sz w:val="8"/>
        </w:rPr>
      </w:pPr>
    </w:p>
    <w:p>
      <w:pPr>
        <w:pStyle w:val="ListParagraph"/>
        <w:numPr>
          <w:ilvl w:val="0"/>
          <w:numId w:val="109"/>
        </w:numPr>
        <w:tabs>
          <w:tab w:pos="844" w:val="left" w:leader="none"/>
          <w:tab w:pos="845" w:val="left" w:leader="none"/>
        </w:tabs>
        <w:spacing w:line="240" w:lineRule="auto" w:before="100" w:after="0"/>
        <w:ind w:left="844" w:right="1324" w:hanging="358"/>
        <w:jc w:val="left"/>
        <w:rPr>
          <w:sz w:val="18"/>
        </w:rPr>
      </w:pPr>
      <w:r>
        <w:rPr>
          <w:sz w:val="18"/>
        </w:rPr>
        <w:t>Please describe any organisational changes that have been made related to staff providing support to HCH</w:t>
      </w:r>
      <w:r>
        <w:rPr>
          <w:spacing w:val="-47"/>
          <w:sz w:val="18"/>
        </w:rPr>
        <w:t> </w:t>
      </w:r>
      <w:r>
        <w:rPr>
          <w:sz w:val="18"/>
        </w:rPr>
        <w:t>practices.</w:t>
      </w:r>
    </w:p>
    <w:p>
      <w:pPr>
        <w:pStyle w:val="BodyText"/>
      </w:pPr>
    </w:p>
    <w:p>
      <w:pPr>
        <w:pStyle w:val="BodyText"/>
        <w:spacing w:before="1"/>
        <w:rPr>
          <w:sz w:val="19"/>
        </w:rPr>
      </w:pPr>
      <w:r>
        <w:rPr/>
        <w:pict>
          <v:rect style="position:absolute;margin-left:34.560001pt;margin-top:12.905625pt;width:526.3pt;height:.48pt;mso-position-horizontal-relative:page;mso-position-vertical-relative:paragraph;z-index:-15283712;mso-wrap-distance-left:0;mso-wrap-distance-right:0" id="docshape254" filled="true" fillcolor="#d9d9d9" stroked="false">
            <v:fill type="solid"/>
            <w10:wrap type="topAndBottom"/>
          </v:rect>
        </w:pict>
      </w:r>
    </w:p>
    <w:p>
      <w:pPr>
        <w:pStyle w:val="BodyText"/>
        <w:spacing w:before="2"/>
        <w:rPr>
          <w:sz w:val="8"/>
        </w:rPr>
      </w:pPr>
    </w:p>
    <w:p>
      <w:pPr>
        <w:pStyle w:val="ListParagraph"/>
        <w:numPr>
          <w:ilvl w:val="0"/>
          <w:numId w:val="109"/>
        </w:numPr>
        <w:tabs>
          <w:tab w:pos="844" w:val="left" w:leader="none"/>
          <w:tab w:pos="845" w:val="left" w:leader="none"/>
        </w:tabs>
        <w:spacing w:line="240" w:lineRule="auto" w:before="100" w:after="0"/>
        <w:ind w:left="844" w:right="1084" w:hanging="358"/>
        <w:jc w:val="left"/>
        <w:rPr>
          <w:sz w:val="18"/>
        </w:rPr>
      </w:pPr>
      <w:r>
        <w:rPr>
          <w:sz w:val="18"/>
        </w:rPr>
        <w:t>Overall, across the course of the program, how would rate the effectiveness of facilitation, training and support</w:t>
      </w:r>
      <w:r>
        <w:rPr>
          <w:spacing w:val="-47"/>
          <w:sz w:val="18"/>
        </w:rPr>
        <w:t> </w:t>
      </w:r>
      <w:r>
        <w:rPr>
          <w:sz w:val="18"/>
        </w:rPr>
        <w:t>provided</w:t>
      </w:r>
      <w:r>
        <w:rPr>
          <w:spacing w:val="-2"/>
          <w:sz w:val="18"/>
        </w:rPr>
        <w:t> </w:t>
      </w:r>
      <w:r>
        <w:rPr>
          <w:sz w:val="18"/>
        </w:rPr>
        <w:t>by</w:t>
      </w:r>
      <w:r>
        <w:rPr>
          <w:spacing w:val="-1"/>
          <w:sz w:val="18"/>
        </w:rPr>
        <w:t> </w:t>
      </w:r>
      <w:r>
        <w:rPr>
          <w:sz w:val="18"/>
        </w:rPr>
        <w:t>the PHN</w:t>
      </w:r>
      <w:r>
        <w:rPr>
          <w:spacing w:val="-3"/>
          <w:sz w:val="18"/>
        </w:rPr>
        <w:t> </w:t>
      </w:r>
      <w:r>
        <w:rPr>
          <w:sz w:val="18"/>
        </w:rPr>
        <w:t>to</w:t>
      </w:r>
      <w:r>
        <w:rPr>
          <w:spacing w:val="-1"/>
          <w:sz w:val="18"/>
        </w:rPr>
        <w:t> </w:t>
      </w:r>
      <w:r>
        <w:rPr>
          <w:sz w:val="18"/>
        </w:rPr>
        <w:t>assist</w:t>
      </w:r>
      <w:r>
        <w:rPr>
          <w:spacing w:val="-2"/>
          <w:sz w:val="18"/>
        </w:rPr>
        <w:t> </w:t>
      </w:r>
      <w:r>
        <w:rPr>
          <w:sz w:val="18"/>
        </w:rPr>
        <w:t>practices</w:t>
      </w:r>
      <w:r>
        <w:rPr>
          <w:spacing w:val="-3"/>
          <w:sz w:val="18"/>
        </w:rPr>
        <w:t> </w:t>
      </w:r>
      <w:r>
        <w:rPr>
          <w:sz w:val="18"/>
        </w:rPr>
        <w:t>in</w:t>
      </w:r>
      <w:r>
        <w:rPr>
          <w:spacing w:val="-3"/>
          <w:sz w:val="18"/>
        </w:rPr>
        <w:t> </w:t>
      </w:r>
      <w:r>
        <w:rPr>
          <w:sz w:val="18"/>
        </w:rPr>
        <w:t>implementing</w:t>
      </w:r>
      <w:r>
        <w:rPr>
          <w:spacing w:val="-2"/>
          <w:sz w:val="18"/>
        </w:rPr>
        <w:t> </w:t>
      </w:r>
      <w:r>
        <w:rPr>
          <w:sz w:val="18"/>
        </w:rPr>
        <w:t>the HCH</w:t>
      </w:r>
      <w:r>
        <w:rPr>
          <w:spacing w:val="-1"/>
          <w:sz w:val="18"/>
        </w:rPr>
        <w:t> </w:t>
      </w:r>
      <w:r>
        <w:rPr>
          <w:sz w:val="18"/>
        </w:rPr>
        <w:t>model?</w:t>
      </w:r>
    </w:p>
    <w:p>
      <w:pPr>
        <w:pStyle w:val="BodyText"/>
        <w:spacing w:before="3"/>
        <w:rPr>
          <w:sz w:val="16"/>
        </w:rPr>
      </w:pPr>
    </w:p>
    <w:p>
      <w:pPr>
        <w:spacing w:before="0"/>
        <w:ind w:left="1771" w:right="0" w:firstLine="0"/>
        <w:jc w:val="left"/>
        <w:rPr>
          <w:sz w:val="18"/>
        </w:rPr>
      </w:pPr>
      <w:r>
        <w:rPr/>
        <w:drawing>
          <wp:anchor distT="0" distB="0" distL="0" distR="0" allowOverlap="1" layoutInCell="1" locked="0" behindDoc="0" simplePos="0" relativeHeight="16174592">
            <wp:simplePos x="0" y="0"/>
            <wp:positionH relativeFrom="page">
              <wp:posOffset>1102145</wp:posOffset>
            </wp:positionH>
            <wp:positionV relativeFrom="paragraph">
              <wp:posOffset>44656</wp:posOffset>
            </wp:positionV>
            <wp:extent cx="58380" cy="73869"/>
            <wp:effectExtent l="0" t="0" r="0" b="0"/>
            <wp:wrapNone/>
            <wp:docPr id="2195" name="image14.png"/>
            <wp:cNvGraphicFramePr>
              <a:graphicFrameLocks noChangeAspect="1"/>
            </wp:cNvGraphicFramePr>
            <a:graphic>
              <a:graphicData uri="http://schemas.openxmlformats.org/drawingml/2006/picture">
                <pic:pic>
                  <pic:nvPicPr>
                    <pic:cNvPr id="2196"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Very</w:t>
      </w:r>
      <w:r>
        <w:rPr>
          <w:spacing w:val="-5"/>
          <w:sz w:val="18"/>
        </w:rPr>
        <w:t> </w:t>
      </w:r>
      <w:r>
        <w:rPr>
          <w:sz w:val="18"/>
        </w:rPr>
        <w:t>effective</w:t>
      </w:r>
      <w:r>
        <w:rPr>
          <w:spacing w:val="45"/>
          <w:sz w:val="18"/>
        </w:rPr>
        <w:t> </w:t>
      </w:r>
      <w:r>
        <w:rPr>
          <w:sz w:val="18"/>
        </w:rPr>
        <w:t>(1)</w:t>
      </w:r>
    </w:p>
    <w:p>
      <w:pPr>
        <w:spacing w:before="1"/>
        <w:ind w:left="1771" w:right="0" w:firstLine="0"/>
        <w:jc w:val="left"/>
        <w:rPr>
          <w:sz w:val="18"/>
        </w:rPr>
      </w:pPr>
      <w:r>
        <w:rPr/>
        <w:drawing>
          <wp:anchor distT="0" distB="0" distL="0" distR="0" allowOverlap="1" layoutInCell="1" locked="0" behindDoc="0" simplePos="0" relativeHeight="16175104">
            <wp:simplePos x="0" y="0"/>
            <wp:positionH relativeFrom="page">
              <wp:posOffset>1102145</wp:posOffset>
            </wp:positionH>
            <wp:positionV relativeFrom="paragraph">
              <wp:posOffset>45484</wp:posOffset>
            </wp:positionV>
            <wp:extent cx="58380" cy="72151"/>
            <wp:effectExtent l="0" t="0" r="0" b="0"/>
            <wp:wrapNone/>
            <wp:docPr id="2197" name="image13.png"/>
            <wp:cNvGraphicFramePr>
              <a:graphicFrameLocks noChangeAspect="1"/>
            </wp:cNvGraphicFramePr>
            <a:graphic>
              <a:graphicData uri="http://schemas.openxmlformats.org/drawingml/2006/picture">
                <pic:pic>
                  <pic:nvPicPr>
                    <pic:cNvPr id="219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Moderately</w:t>
      </w:r>
      <w:r>
        <w:rPr>
          <w:spacing w:val="-7"/>
          <w:sz w:val="18"/>
        </w:rPr>
        <w:t> </w:t>
      </w:r>
      <w:r>
        <w:rPr>
          <w:sz w:val="18"/>
        </w:rPr>
        <w:t>effective</w:t>
      </w:r>
      <w:r>
        <w:rPr>
          <w:spacing w:val="39"/>
          <w:sz w:val="18"/>
        </w:rPr>
        <w:t> </w:t>
      </w:r>
      <w:r>
        <w:rPr>
          <w:sz w:val="18"/>
        </w:rPr>
        <w:t>(2)</w:t>
      </w:r>
    </w:p>
    <w:p>
      <w:pPr>
        <w:spacing w:before="0"/>
        <w:ind w:left="1771" w:right="0" w:firstLine="0"/>
        <w:jc w:val="left"/>
        <w:rPr>
          <w:sz w:val="18"/>
        </w:rPr>
      </w:pPr>
      <w:r>
        <w:rPr/>
        <w:drawing>
          <wp:anchor distT="0" distB="0" distL="0" distR="0" allowOverlap="1" layoutInCell="1" locked="0" behindDoc="0" simplePos="0" relativeHeight="16175616">
            <wp:simplePos x="0" y="0"/>
            <wp:positionH relativeFrom="page">
              <wp:posOffset>1102145</wp:posOffset>
            </wp:positionH>
            <wp:positionV relativeFrom="paragraph">
              <wp:posOffset>44850</wp:posOffset>
            </wp:positionV>
            <wp:extent cx="58380" cy="72151"/>
            <wp:effectExtent l="0" t="0" r="0" b="0"/>
            <wp:wrapNone/>
            <wp:docPr id="2199" name="image13.png"/>
            <wp:cNvGraphicFramePr>
              <a:graphicFrameLocks noChangeAspect="1"/>
            </wp:cNvGraphicFramePr>
            <a:graphic>
              <a:graphicData uri="http://schemas.openxmlformats.org/drawingml/2006/picture">
                <pic:pic>
                  <pic:nvPicPr>
                    <pic:cNvPr id="2200"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Limited</w:t>
      </w:r>
      <w:r>
        <w:rPr>
          <w:spacing w:val="-7"/>
          <w:sz w:val="18"/>
        </w:rPr>
        <w:t> </w:t>
      </w:r>
      <w:r>
        <w:rPr>
          <w:sz w:val="18"/>
        </w:rPr>
        <w:t>effectiveness</w:t>
      </w:r>
      <w:r>
        <w:rPr>
          <w:spacing w:val="39"/>
          <w:sz w:val="18"/>
        </w:rPr>
        <w:t> </w:t>
      </w:r>
      <w:r>
        <w:rPr>
          <w:sz w:val="18"/>
        </w:rPr>
        <w:t>(3)</w:t>
      </w:r>
    </w:p>
    <w:p>
      <w:pPr>
        <w:spacing w:before="0"/>
        <w:ind w:left="1771" w:right="0" w:firstLine="0"/>
        <w:jc w:val="left"/>
        <w:rPr>
          <w:sz w:val="18"/>
        </w:rPr>
      </w:pPr>
      <w:r>
        <w:rPr/>
        <w:drawing>
          <wp:anchor distT="0" distB="0" distL="0" distR="0" allowOverlap="1" layoutInCell="1" locked="0" behindDoc="0" simplePos="0" relativeHeight="16176128">
            <wp:simplePos x="0" y="0"/>
            <wp:positionH relativeFrom="page">
              <wp:posOffset>1102145</wp:posOffset>
            </wp:positionH>
            <wp:positionV relativeFrom="paragraph">
              <wp:posOffset>44656</wp:posOffset>
            </wp:positionV>
            <wp:extent cx="58380" cy="73869"/>
            <wp:effectExtent l="0" t="0" r="0" b="0"/>
            <wp:wrapNone/>
            <wp:docPr id="2201" name="image14.png"/>
            <wp:cNvGraphicFramePr>
              <a:graphicFrameLocks noChangeAspect="1"/>
            </wp:cNvGraphicFramePr>
            <a:graphic>
              <a:graphicData uri="http://schemas.openxmlformats.org/drawingml/2006/picture">
                <pic:pic>
                  <pic:nvPicPr>
                    <pic:cNvPr id="2202"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Not</w:t>
      </w:r>
      <w:r>
        <w:rPr>
          <w:spacing w:val="-7"/>
          <w:sz w:val="18"/>
        </w:rPr>
        <w:t> </w:t>
      </w:r>
      <w:r>
        <w:rPr>
          <w:sz w:val="18"/>
        </w:rPr>
        <w:t>effective</w:t>
      </w:r>
      <w:r>
        <w:rPr>
          <w:spacing w:val="44"/>
          <w:sz w:val="18"/>
        </w:rPr>
        <w:t> </w:t>
      </w:r>
      <w:r>
        <w:rPr>
          <w:sz w:val="18"/>
        </w:rPr>
        <w:t>(4)</w:t>
      </w:r>
    </w:p>
    <w:p>
      <w:pPr>
        <w:pStyle w:val="BodyText"/>
        <w:spacing w:before="9"/>
        <w:rPr>
          <w:sz w:val="22"/>
        </w:rPr>
      </w:pPr>
    </w:p>
    <w:p>
      <w:pPr>
        <w:pStyle w:val="ListParagraph"/>
        <w:numPr>
          <w:ilvl w:val="0"/>
          <w:numId w:val="109"/>
        </w:numPr>
        <w:tabs>
          <w:tab w:pos="844" w:val="left" w:leader="none"/>
          <w:tab w:pos="845" w:val="left" w:leader="none"/>
        </w:tabs>
        <w:spacing w:line="240" w:lineRule="auto" w:before="0" w:after="0"/>
        <w:ind w:left="844" w:right="1223" w:hanging="358"/>
        <w:jc w:val="left"/>
        <w:rPr>
          <w:sz w:val="18"/>
        </w:rPr>
      </w:pPr>
      <w:r>
        <w:rPr>
          <w:sz w:val="18"/>
        </w:rPr>
        <w:t>What are the top three factors that contributed to effective facilitation, training and support provided to HCH</w:t>
      </w:r>
      <w:r>
        <w:rPr>
          <w:spacing w:val="-47"/>
          <w:sz w:val="18"/>
        </w:rPr>
        <w:t> </w:t>
      </w:r>
      <w:r>
        <w:rPr>
          <w:sz w:val="18"/>
        </w:rPr>
        <w:t>practices?</w:t>
      </w:r>
    </w:p>
    <w:p>
      <w:pPr>
        <w:pStyle w:val="BodyText"/>
        <w:spacing w:before="6"/>
        <w:rPr>
          <w:sz w:val="16"/>
        </w:rPr>
      </w:pPr>
    </w:p>
    <w:p>
      <w:pPr>
        <w:pStyle w:val="ListParagraph"/>
        <w:numPr>
          <w:ilvl w:val="1"/>
          <w:numId w:val="109"/>
        </w:numPr>
        <w:tabs>
          <w:tab w:pos="1860" w:val="left" w:leader="none"/>
          <w:tab w:pos="1861" w:val="left" w:leader="none"/>
          <w:tab w:pos="7313" w:val="left" w:leader="none"/>
        </w:tabs>
        <w:spacing w:line="240" w:lineRule="auto" w:before="0" w:after="0"/>
        <w:ind w:left="1860" w:right="0" w:hanging="361"/>
        <w:jc w:val="left"/>
        <w:rPr>
          <w:sz w:val="18"/>
        </w:rPr>
      </w:pPr>
      <w:r>
        <w:rPr>
          <w:sz w:val="18"/>
        </w:rPr>
        <w:t>Factor</w:t>
      </w:r>
      <w:r>
        <w:rPr>
          <w:spacing w:val="-4"/>
          <w:sz w:val="18"/>
        </w:rPr>
        <w:t> </w:t>
      </w:r>
      <w:r>
        <w:rPr>
          <w:sz w:val="18"/>
        </w:rPr>
        <w:t>1</w:t>
      </w:r>
      <w:r>
        <w:rPr>
          <w:spacing w:val="46"/>
          <w:sz w:val="18"/>
        </w:rPr>
        <w:t> </w:t>
      </w:r>
      <w:r>
        <w:rPr>
          <w:sz w:val="18"/>
        </w:rPr>
        <w:t>(1) </w:t>
      </w:r>
      <w:r>
        <w:rPr>
          <w:sz w:val="18"/>
          <w:u w:val="single" w:color="BDBDBD"/>
        </w:rPr>
        <w:t> </w:t>
        <w:tab/>
      </w:r>
    </w:p>
    <w:p>
      <w:pPr>
        <w:pStyle w:val="ListParagraph"/>
        <w:numPr>
          <w:ilvl w:val="1"/>
          <w:numId w:val="109"/>
        </w:numPr>
        <w:tabs>
          <w:tab w:pos="1860" w:val="left" w:leader="none"/>
          <w:tab w:pos="1861" w:val="left" w:leader="none"/>
          <w:tab w:pos="7313" w:val="left" w:leader="none"/>
        </w:tabs>
        <w:spacing w:line="240" w:lineRule="auto" w:before="0" w:after="0"/>
        <w:ind w:left="1860" w:right="0" w:hanging="361"/>
        <w:jc w:val="left"/>
        <w:rPr>
          <w:sz w:val="18"/>
        </w:rPr>
      </w:pPr>
      <w:r>
        <w:rPr>
          <w:sz w:val="18"/>
        </w:rPr>
        <w:t>Factor</w:t>
      </w:r>
      <w:r>
        <w:rPr>
          <w:spacing w:val="-4"/>
          <w:sz w:val="18"/>
        </w:rPr>
        <w:t> </w:t>
      </w:r>
      <w:r>
        <w:rPr>
          <w:sz w:val="18"/>
        </w:rPr>
        <w:t>2</w:t>
      </w:r>
      <w:r>
        <w:rPr>
          <w:spacing w:val="46"/>
          <w:sz w:val="18"/>
        </w:rPr>
        <w:t> </w:t>
      </w:r>
      <w:r>
        <w:rPr>
          <w:sz w:val="18"/>
        </w:rPr>
        <w:t>(2) </w:t>
      </w:r>
      <w:r>
        <w:rPr>
          <w:sz w:val="18"/>
          <w:u w:val="single" w:color="BDBDBD"/>
        </w:rPr>
        <w:t> </w:t>
        <w:tab/>
      </w:r>
    </w:p>
    <w:p>
      <w:pPr>
        <w:pStyle w:val="ListParagraph"/>
        <w:numPr>
          <w:ilvl w:val="1"/>
          <w:numId w:val="109"/>
        </w:numPr>
        <w:tabs>
          <w:tab w:pos="1860" w:val="left" w:leader="none"/>
          <w:tab w:pos="1861" w:val="left" w:leader="none"/>
          <w:tab w:pos="7313" w:val="left" w:leader="none"/>
        </w:tabs>
        <w:spacing w:line="240" w:lineRule="auto" w:before="0" w:after="0"/>
        <w:ind w:left="1860" w:right="0" w:hanging="361"/>
        <w:jc w:val="left"/>
        <w:rPr>
          <w:sz w:val="18"/>
        </w:rPr>
      </w:pPr>
      <w:r>
        <w:rPr>
          <w:sz w:val="18"/>
        </w:rPr>
        <w:t>Factor</w:t>
      </w:r>
      <w:r>
        <w:rPr>
          <w:spacing w:val="-4"/>
          <w:sz w:val="18"/>
        </w:rPr>
        <w:t> </w:t>
      </w:r>
      <w:r>
        <w:rPr>
          <w:sz w:val="18"/>
        </w:rPr>
        <w:t>3</w:t>
      </w:r>
      <w:r>
        <w:rPr>
          <w:spacing w:val="46"/>
          <w:sz w:val="18"/>
        </w:rPr>
        <w:t> </w:t>
      </w:r>
      <w:r>
        <w:rPr>
          <w:sz w:val="18"/>
        </w:rPr>
        <w:t>(3) </w:t>
      </w:r>
      <w:r>
        <w:rPr>
          <w:sz w:val="18"/>
          <w:u w:val="single" w:color="BDBDBD"/>
        </w:rPr>
        <w:t> </w:t>
        <w:tab/>
      </w:r>
    </w:p>
    <w:p>
      <w:pPr>
        <w:pStyle w:val="BodyText"/>
        <w:spacing w:before="7"/>
        <w:rPr>
          <w:sz w:val="14"/>
        </w:rPr>
      </w:pPr>
    </w:p>
    <w:p>
      <w:pPr>
        <w:pStyle w:val="ListParagraph"/>
        <w:numPr>
          <w:ilvl w:val="0"/>
          <w:numId w:val="109"/>
        </w:numPr>
        <w:tabs>
          <w:tab w:pos="844" w:val="left" w:leader="none"/>
          <w:tab w:pos="845" w:val="left" w:leader="none"/>
        </w:tabs>
        <w:spacing w:line="240" w:lineRule="auto" w:before="100" w:after="0"/>
        <w:ind w:left="844" w:right="955" w:hanging="358"/>
        <w:jc w:val="left"/>
        <w:rPr>
          <w:sz w:val="18"/>
        </w:rPr>
      </w:pPr>
      <w:r>
        <w:rPr>
          <w:sz w:val="18"/>
        </w:rPr>
        <w:t>What are the top three factors that have made it difficult to provide effective facilitation, training and support to</w:t>
      </w:r>
      <w:r>
        <w:rPr>
          <w:spacing w:val="-47"/>
          <w:sz w:val="18"/>
        </w:rPr>
        <w:t> </w:t>
      </w:r>
      <w:r>
        <w:rPr>
          <w:sz w:val="18"/>
        </w:rPr>
        <w:t>HCH</w:t>
      </w:r>
      <w:r>
        <w:rPr>
          <w:spacing w:val="-1"/>
          <w:sz w:val="18"/>
        </w:rPr>
        <w:t> </w:t>
      </w:r>
      <w:r>
        <w:rPr>
          <w:sz w:val="18"/>
        </w:rPr>
        <w:t>practices?</w:t>
      </w:r>
    </w:p>
    <w:p>
      <w:pPr>
        <w:pStyle w:val="BodyText"/>
        <w:spacing w:before="3"/>
        <w:rPr>
          <w:sz w:val="16"/>
        </w:rPr>
      </w:pPr>
    </w:p>
    <w:p>
      <w:pPr>
        <w:pStyle w:val="ListParagraph"/>
        <w:numPr>
          <w:ilvl w:val="1"/>
          <w:numId w:val="109"/>
        </w:numPr>
        <w:tabs>
          <w:tab w:pos="1860" w:val="left" w:leader="none"/>
          <w:tab w:pos="1861" w:val="left" w:leader="none"/>
          <w:tab w:pos="7313" w:val="left" w:leader="none"/>
        </w:tabs>
        <w:spacing w:line="240" w:lineRule="auto" w:before="0" w:after="0"/>
        <w:ind w:left="1860" w:right="0" w:hanging="361"/>
        <w:jc w:val="left"/>
        <w:rPr>
          <w:sz w:val="18"/>
        </w:rPr>
      </w:pPr>
      <w:r>
        <w:rPr>
          <w:sz w:val="18"/>
        </w:rPr>
        <w:t>Factor</w:t>
      </w:r>
      <w:r>
        <w:rPr>
          <w:spacing w:val="-4"/>
          <w:sz w:val="18"/>
        </w:rPr>
        <w:t> </w:t>
      </w:r>
      <w:r>
        <w:rPr>
          <w:sz w:val="18"/>
        </w:rPr>
        <w:t>1</w:t>
      </w:r>
      <w:r>
        <w:rPr>
          <w:spacing w:val="46"/>
          <w:sz w:val="18"/>
        </w:rPr>
        <w:t> </w:t>
      </w:r>
      <w:r>
        <w:rPr>
          <w:sz w:val="18"/>
        </w:rPr>
        <w:t>(1) </w:t>
      </w:r>
      <w:r>
        <w:rPr>
          <w:sz w:val="18"/>
          <w:u w:val="single" w:color="BDBDBD"/>
        </w:rPr>
        <w:t> </w:t>
        <w:tab/>
      </w:r>
    </w:p>
    <w:p>
      <w:pPr>
        <w:pStyle w:val="ListParagraph"/>
        <w:numPr>
          <w:ilvl w:val="1"/>
          <w:numId w:val="109"/>
        </w:numPr>
        <w:tabs>
          <w:tab w:pos="1860" w:val="left" w:leader="none"/>
          <w:tab w:pos="1861" w:val="left" w:leader="none"/>
          <w:tab w:pos="7313" w:val="left" w:leader="none"/>
        </w:tabs>
        <w:spacing w:line="240" w:lineRule="auto" w:before="0" w:after="0"/>
        <w:ind w:left="1860" w:right="0" w:hanging="361"/>
        <w:jc w:val="left"/>
        <w:rPr>
          <w:sz w:val="18"/>
        </w:rPr>
      </w:pPr>
      <w:r>
        <w:rPr>
          <w:sz w:val="18"/>
        </w:rPr>
        <w:t>Factor</w:t>
      </w:r>
      <w:r>
        <w:rPr>
          <w:spacing w:val="-4"/>
          <w:sz w:val="18"/>
        </w:rPr>
        <w:t> </w:t>
      </w:r>
      <w:r>
        <w:rPr>
          <w:sz w:val="18"/>
        </w:rPr>
        <w:t>2</w:t>
      </w:r>
      <w:r>
        <w:rPr>
          <w:spacing w:val="47"/>
          <w:sz w:val="18"/>
        </w:rPr>
        <w:t> </w:t>
      </w:r>
      <w:r>
        <w:rPr>
          <w:sz w:val="18"/>
        </w:rPr>
        <w:t>(2)</w:t>
      </w:r>
      <w:r>
        <w:rPr>
          <w:spacing w:val="-1"/>
          <w:sz w:val="18"/>
        </w:rPr>
        <w:t> </w:t>
      </w:r>
      <w:r>
        <w:rPr>
          <w:sz w:val="18"/>
          <w:u w:val="single" w:color="BDBDBD"/>
        </w:rPr>
        <w:t> </w:t>
        <w:tab/>
      </w:r>
    </w:p>
    <w:p>
      <w:pPr>
        <w:pStyle w:val="ListParagraph"/>
        <w:numPr>
          <w:ilvl w:val="1"/>
          <w:numId w:val="109"/>
        </w:numPr>
        <w:tabs>
          <w:tab w:pos="1860" w:val="left" w:leader="none"/>
          <w:tab w:pos="1861" w:val="left" w:leader="none"/>
          <w:tab w:pos="7313" w:val="left" w:leader="none"/>
        </w:tabs>
        <w:spacing w:line="240" w:lineRule="auto" w:before="0" w:after="0"/>
        <w:ind w:left="1860" w:right="0" w:hanging="361"/>
        <w:jc w:val="left"/>
        <w:rPr>
          <w:sz w:val="18"/>
        </w:rPr>
      </w:pPr>
      <w:r>
        <w:rPr>
          <w:sz w:val="18"/>
        </w:rPr>
        <w:t>Factor</w:t>
      </w:r>
      <w:r>
        <w:rPr>
          <w:spacing w:val="-4"/>
          <w:sz w:val="18"/>
        </w:rPr>
        <w:t> </w:t>
      </w:r>
      <w:r>
        <w:rPr>
          <w:sz w:val="18"/>
        </w:rPr>
        <w:t>3</w:t>
      </w:r>
      <w:r>
        <w:rPr>
          <w:spacing w:val="46"/>
          <w:sz w:val="18"/>
        </w:rPr>
        <w:t> </w:t>
      </w:r>
      <w:r>
        <w:rPr>
          <w:sz w:val="18"/>
        </w:rPr>
        <w:t>(3) </w:t>
      </w:r>
      <w:r>
        <w:rPr>
          <w:sz w:val="18"/>
          <w:u w:val="single" w:color="BDBDBD"/>
        </w:rPr>
        <w:t> </w:t>
        <w:tab/>
      </w:r>
    </w:p>
    <w:p>
      <w:pPr>
        <w:pStyle w:val="BodyText"/>
        <w:spacing w:before="10"/>
        <w:rPr>
          <w:sz w:val="14"/>
        </w:rPr>
      </w:pPr>
    </w:p>
    <w:p>
      <w:pPr>
        <w:spacing w:before="100"/>
        <w:ind w:left="420" w:right="0" w:firstLine="0"/>
        <w:jc w:val="left"/>
        <w:rPr>
          <w:b/>
          <w:sz w:val="18"/>
        </w:rPr>
      </w:pPr>
      <w:r>
        <w:rPr>
          <w:b/>
          <w:sz w:val="18"/>
        </w:rPr>
        <w:t>Other</w:t>
      </w:r>
      <w:r>
        <w:rPr>
          <w:b/>
          <w:spacing w:val="-3"/>
          <w:sz w:val="18"/>
        </w:rPr>
        <w:t> </w:t>
      </w:r>
      <w:r>
        <w:rPr>
          <w:b/>
          <w:sz w:val="18"/>
        </w:rPr>
        <w:t>PHN</w:t>
      </w:r>
      <w:r>
        <w:rPr>
          <w:b/>
          <w:spacing w:val="-5"/>
          <w:sz w:val="18"/>
        </w:rPr>
        <w:t> </w:t>
      </w:r>
      <w:r>
        <w:rPr>
          <w:b/>
          <w:sz w:val="18"/>
        </w:rPr>
        <w:t>initiatives</w:t>
      </w:r>
    </w:p>
    <w:p>
      <w:pPr>
        <w:pStyle w:val="BodyText"/>
        <w:rPr>
          <w:b/>
          <w:sz w:val="19"/>
        </w:rPr>
      </w:pPr>
    </w:p>
    <w:p>
      <w:pPr>
        <w:spacing w:line="276" w:lineRule="auto" w:before="0"/>
        <w:ind w:left="420" w:right="798" w:firstLine="0"/>
        <w:jc w:val="left"/>
        <w:rPr>
          <w:sz w:val="18"/>
        </w:rPr>
      </w:pPr>
      <w:r>
        <w:rPr>
          <w:sz w:val="18"/>
        </w:rPr>
        <w:t>The</w:t>
      </w:r>
      <w:r>
        <w:rPr>
          <w:spacing w:val="-3"/>
          <w:sz w:val="18"/>
        </w:rPr>
        <w:t> </w:t>
      </w:r>
      <w:r>
        <w:rPr>
          <w:sz w:val="18"/>
        </w:rPr>
        <w:t>following</w:t>
      </w:r>
      <w:r>
        <w:rPr>
          <w:spacing w:val="-4"/>
          <w:sz w:val="18"/>
        </w:rPr>
        <w:t> </w:t>
      </w:r>
      <w:r>
        <w:rPr>
          <w:sz w:val="18"/>
        </w:rPr>
        <w:t>relates</w:t>
      </w:r>
      <w:r>
        <w:rPr>
          <w:spacing w:val="-3"/>
          <w:sz w:val="18"/>
        </w:rPr>
        <w:t> </w:t>
      </w:r>
      <w:r>
        <w:rPr>
          <w:sz w:val="18"/>
        </w:rPr>
        <w:t>to</w:t>
      </w:r>
      <w:r>
        <w:rPr>
          <w:spacing w:val="-2"/>
          <w:sz w:val="18"/>
        </w:rPr>
        <w:t> </w:t>
      </w:r>
      <w:r>
        <w:rPr>
          <w:sz w:val="18"/>
        </w:rPr>
        <w:t>other</w:t>
      </w:r>
      <w:r>
        <w:rPr>
          <w:spacing w:val="-4"/>
          <w:sz w:val="18"/>
        </w:rPr>
        <w:t> </w:t>
      </w:r>
      <w:r>
        <w:rPr>
          <w:sz w:val="18"/>
        </w:rPr>
        <w:t>initiatives</w:t>
      </w:r>
      <w:r>
        <w:rPr>
          <w:spacing w:val="-3"/>
          <w:sz w:val="18"/>
        </w:rPr>
        <w:t> </w:t>
      </w:r>
      <w:r>
        <w:rPr>
          <w:sz w:val="18"/>
        </w:rPr>
        <w:t>the</w:t>
      </w:r>
      <w:r>
        <w:rPr>
          <w:spacing w:val="-2"/>
          <w:sz w:val="18"/>
        </w:rPr>
        <w:t> </w:t>
      </w:r>
      <w:r>
        <w:rPr>
          <w:sz w:val="18"/>
        </w:rPr>
        <w:t>PHN</w:t>
      </w:r>
      <w:r>
        <w:rPr>
          <w:spacing w:val="-4"/>
          <w:sz w:val="18"/>
        </w:rPr>
        <w:t> </w:t>
      </w:r>
      <w:r>
        <w:rPr>
          <w:sz w:val="18"/>
        </w:rPr>
        <w:t>has</w:t>
      </w:r>
      <w:r>
        <w:rPr>
          <w:spacing w:val="-3"/>
          <w:sz w:val="18"/>
        </w:rPr>
        <w:t> </w:t>
      </w:r>
      <w:r>
        <w:rPr>
          <w:sz w:val="18"/>
        </w:rPr>
        <w:t>implemented</w:t>
      </w:r>
      <w:r>
        <w:rPr>
          <w:spacing w:val="-4"/>
          <w:sz w:val="18"/>
        </w:rPr>
        <w:t> </w:t>
      </w:r>
      <w:r>
        <w:rPr>
          <w:sz w:val="18"/>
        </w:rPr>
        <w:t>that</w:t>
      </w:r>
      <w:r>
        <w:rPr>
          <w:spacing w:val="-4"/>
          <w:sz w:val="18"/>
        </w:rPr>
        <w:t> </w:t>
      </w:r>
      <w:r>
        <w:rPr>
          <w:sz w:val="18"/>
        </w:rPr>
        <w:t>have</w:t>
      </w:r>
      <w:r>
        <w:rPr>
          <w:spacing w:val="-2"/>
          <w:sz w:val="18"/>
        </w:rPr>
        <w:t> </w:t>
      </w:r>
      <w:r>
        <w:rPr>
          <w:sz w:val="18"/>
        </w:rPr>
        <w:t>been</w:t>
      </w:r>
      <w:r>
        <w:rPr>
          <w:spacing w:val="-2"/>
          <w:sz w:val="18"/>
        </w:rPr>
        <w:t> </w:t>
      </w:r>
      <w:r>
        <w:rPr>
          <w:sz w:val="18"/>
        </w:rPr>
        <w:t>used</w:t>
      </w:r>
      <w:r>
        <w:rPr>
          <w:spacing w:val="-3"/>
          <w:sz w:val="18"/>
        </w:rPr>
        <w:t> </w:t>
      </w:r>
      <w:r>
        <w:rPr>
          <w:sz w:val="18"/>
        </w:rPr>
        <w:t>in</w:t>
      </w:r>
      <w:r>
        <w:rPr>
          <w:spacing w:val="-3"/>
          <w:sz w:val="18"/>
        </w:rPr>
        <w:t> </w:t>
      </w:r>
      <w:r>
        <w:rPr>
          <w:sz w:val="18"/>
        </w:rPr>
        <w:t>the</w:t>
      </w:r>
      <w:r>
        <w:rPr>
          <w:spacing w:val="-2"/>
          <w:sz w:val="18"/>
        </w:rPr>
        <w:t> </w:t>
      </w:r>
      <w:r>
        <w:rPr>
          <w:sz w:val="18"/>
        </w:rPr>
        <w:t>HCH</w:t>
      </w:r>
      <w:r>
        <w:rPr>
          <w:spacing w:val="-3"/>
          <w:sz w:val="18"/>
        </w:rPr>
        <w:t> </w:t>
      </w:r>
      <w:r>
        <w:rPr>
          <w:sz w:val="18"/>
        </w:rPr>
        <w:t>program</w:t>
      </w:r>
      <w:r>
        <w:rPr>
          <w:spacing w:val="-47"/>
          <w:sz w:val="18"/>
        </w:rPr>
        <w:t> </w:t>
      </w:r>
      <w:r>
        <w:rPr>
          <w:sz w:val="18"/>
        </w:rPr>
        <w:t>implementation.</w:t>
      </w:r>
      <w:r>
        <w:rPr>
          <w:spacing w:val="-2"/>
          <w:sz w:val="18"/>
        </w:rPr>
        <w:t> </w:t>
      </w:r>
      <w:r>
        <w:rPr>
          <w:sz w:val="18"/>
        </w:rPr>
        <w:t>Initiatives</w:t>
      </w:r>
      <w:r>
        <w:rPr>
          <w:spacing w:val="-1"/>
          <w:sz w:val="18"/>
        </w:rPr>
        <w:t> </w:t>
      </w:r>
      <w:r>
        <w:rPr>
          <w:sz w:val="18"/>
        </w:rPr>
        <w:t>may</w:t>
      </w:r>
      <w:r>
        <w:rPr>
          <w:spacing w:val="-1"/>
          <w:sz w:val="18"/>
        </w:rPr>
        <w:t> </w:t>
      </w:r>
      <w:r>
        <w:rPr>
          <w:sz w:val="18"/>
        </w:rPr>
        <w:t>be</w:t>
      </w:r>
      <w:r>
        <w:rPr>
          <w:spacing w:val="-1"/>
          <w:sz w:val="18"/>
        </w:rPr>
        <w:t> </w:t>
      </w:r>
      <w:r>
        <w:rPr>
          <w:sz w:val="18"/>
        </w:rPr>
        <w:t>related</w:t>
      </w:r>
      <w:r>
        <w:rPr>
          <w:spacing w:val="1"/>
          <w:sz w:val="18"/>
        </w:rPr>
        <w:t> </w:t>
      </w:r>
      <w:r>
        <w:rPr>
          <w:sz w:val="18"/>
        </w:rPr>
        <w:t>(but</w:t>
      </w:r>
      <w:r>
        <w:rPr>
          <w:spacing w:val="-2"/>
          <w:sz w:val="18"/>
        </w:rPr>
        <w:t> </w:t>
      </w:r>
      <w:r>
        <w:rPr>
          <w:sz w:val="18"/>
        </w:rPr>
        <w:t>not</w:t>
      </w:r>
      <w:r>
        <w:rPr>
          <w:spacing w:val="-2"/>
          <w:sz w:val="18"/>
        </w:rPr>
        <w:t> </w:t>
      </w:r>
      <w:r>
        <w:rPr>
          <w:sz w:val="18"/>
        </w:rPr>
        <w:t>limited)</w:t>
      </w:r>
      <w:r>
        <w:rPr>
          <w:spacing w:val="-3"/>
          <w:sz w:val="18"/>
        </w:rPr>
        <w:t> </w:t>
      </w:r>
      <w:r>
        <w:rPr>
          <w:sz w:val="18"/>
        </w:rPr>
        <w:t>to:</w:t>
      </w:r>
    </w:p>
    <w:p>
      <w:pPr>
        <w:pStyle w:val="BodyText"/>
        <w:spacing w:before="4"/>
        <w:rPr>
          <w:sz w:val="16"/>
        </w:rPr>
      </w:pPr>
    </w:p>
    <w:p>
      <w:pPr>
        <w:pStyle w:val="ListParagraph"/>
        <w:numPr>
          <w:ilvl w:val="0"/>
          <w:numId w:val="110"/>
        </w:numPr>
        <w:tabs>
          <w:tab w:pos="1140" w:val="left" w:leader="none"/>
          <w:tab w:pos="1141" w:val="left" w:leader="none"/>
        </w:tabs>
        <w:spacing w:line="240" w:lineRule="auto" w:before="0" w:after="0"/>
        <w:ind w:left="1140" w:right="0" w:hanging="361"/>
        <w:jc w:val="left"/>
        <w:rPr>
          <w:sz w:val="18"/>
        </w:rPr>
      </w:pPr>
      <w:r>
        <w:rPr>
          <w:sz w:val="18"/>
        </w:rPr>
        <w:t>improving</w:t>
      </w:r>
      <w:r>
        <w:rPr>
          <w:spacing w:val="-6"/>
          <w:sz w:val="18"/>
        </w:rPr>
        <w:t> </w:t>
      </w:r>
      <w:r>
        <w:rPr>
          <w:sz w:val="18"/>
        </w:rPr>
        <w:t>linkages</w:t>
      </w:r>
      <w:r>
        <w:rPr>
          <w:spacing w:val="-4"/>
          <w:sz w:val="18"/>
        </w:rPr>
        <w:t> </w:t>
      </w:r>
      <w:r>
        <w:rPr>
          <w:sz w:val="18"/>
        </w:rPr>
        <w:t>between</w:t>
      </w:r>
      <w:r>
        <w:rPr>
          <w:spacing w:val="-3"/>
          <w:sz w:val="18"/>
        </w:rPr>
        <w:t> </w:t>
      </w:r>
      <w:r>
        <w:rPr>
          <w:sz w:val="18"/>
        </w:rPr>
        <w:t>primary</w:t>
      </w:r>
      <w:r>
        <w:rPr>
          <w:spacing w:val="-5"/>
          <w:sz w:val="18"/>
        </w:rPr>
        <w:t> </w:t>
      </w:r>
      <w:r>
        <w:rPr>
          <w:sz w:val="18"/>
        </w:rPr>
        <w:t>and</w:t>
      </w:r>
      <w:r>
        <w:rPr>
          <w:spacing w:val="-4"/>
          <w:sz w:val="18"/>
        </w:rPr>
        <w:t> </w:t>
      </w:r>
      <w:r>
        <w:rPr>
          <w:sz w:val="18"/>
        </w:rPr>
        <w:t>other</w:t>
      </w:r>
      <w:r>
        <w:rPr>
          <w:spacing w:val="-3"/>
          <w:sz w:val="18"/>
        </w:rPr>
        <w:t> </w:t>
      </w:r>
      <w:r>
        <w:rPr>
          <w:sz w:val="18"/>
        </w:rPr>
        <w:t>health</w:t>
      </w:r>
      <w:r>
        <w:rPr>
          <w:spacing w:val="-3"/>
          <w:sz w:val="18"/>
        </w:rPr>
        <w:t> </w:t>
      </w:r>
      <w:r>
        <w:rPr>
          <w:sz w:val="18"/>
        </w:rPr>
        <w:t>services</w:t>
      </w:r>
    </w:p>
    <w:p>
      <w:pPr>
        <w:pStyle w:val="ListParagraph"/>
        <w:numPr>
          <w:ilvl w:val="0"/>
          <w:numId w:val="110"/>
        </w:numPr>
        <w:tabs>
          <w:tab w:pos="1140" w:val="left" w:leader="none"/>
          <w:tab w:pos="1141" w:val="left" w:leader="none"/>
        </w:tabs>
        <w:spacing w:line="240" w:lineRule="auto" w:before="0" w:after="0"/>
        <w:ind w:left="1140" w:right="0" w:hanging="361"/>
        <w:jc w:val="left"/>
        <w:rPr>
          <w:sz w:val="18"/>
        </w:rPr>
      </w:pPr>
      <w:r>
        <w:rPr>
          <w:sz w:val="18"/>
        </w:rPr>
        <w:t>linking</w:t>
      </w:r>
      <w:r>
        <w:rPr>
          <w:spacing w:val="-5"/>
          <w:sz w:val="18"/>
        </w:rPr>
        <w:t> </w:t>
      </w:r>
      <w:r>
        <w:rPr>
          <w:sz w:val="18"/>
        </w:rPr>
        <w:t>HCH</w:t>
      </w:r>
      <w:r>
        <w:rPr>
          <w:spacing w:val="-4"/>
          <w:sz w:val="18"/>
        </w:rPr>
        <w:t> </w:t>
      </w:r>
      <w:r>
        <w:rPr>
          <w:sz w:val="18"/>
        </w:rPr>
        <w:t>practices</w:t>
      </w:r>
      <w:r>
        <w:rPr>
          <w:spacing w:val="-6"/>
          <w:sz w:val="18"/>
        </w:rPr>
        <w:t> </w:t>
      </w:r>
      <w:r>
        <w:rPr>
          <w:sz w:val="18"/>
        </w:rPr>
        <w:t>into</w:t>
      </w:r>
      <w:r>
        <w:rPr>
          <w:spacing w:val="-3"/>
          <w:sz w:val="18"/>
        </w:rPr>
        <w:t> </w:t>
      </w:r>
      <w:r>
        <w:rPr>
          <w:sz w:val="18"/>
        </w:rPr>
        <w:t>care</w:t>
      </w:r>
      <w:r>
        <w:rPr>
          <w:spacing w:val="-4"/>
          <w:sz w:val="18"/>
        </w:rPr>
        <w:t> </w:t>
      </w:r>
      <w:r>
        <w:rPr>
          <w:sz w:val="18"/>
        </w:rPr>
        <w:t>coordination</w:t>
      </w:r>
      <w:r>
        <w:rPr>
          <w:spacing w:val="-3"/>
          <w:sz w:val="18"/>
        </w:rPr>
        <w:t> </w:t>
      </w:r>
      <w:r>
        <w:rPr>
          <w:sz w:val="18"/>
        </w:rPr>
        <w:t>services</w:t>
      </w:r>
      <w:r>
        <w:rPr>
          <w:spacing w:val="-4"/>
          <w:sz w:val="18"/>
        </w:rPr>
        <w:t> </w:t>
      </w:r>
      <w:r>
        <w:rPr>
          <w:sz w:val="18"/>
        </w:rPr>
        <w:t>commissioned</w:t>
      </w:r>
      <w:r>
        <w:rPr>
          <w:spacing w:val="-4"/>
          <w:sz w:val="18"/>
        </w:rPr>
        <w:t> </w:t>
      </w:r>
      <w:r>
        <w:rPr>
          <w:sz w:val="18"/>
        </w:rPr>
        <w:t>by</w:t>
      </w:r>
      <w:r>
        <w:rPr>
          <w:spacing w:val="-4"/>
          <w:sz w:val="18"/>
        </w:rPr>
        <w:t> </w:t>
      </w:r>
      <w:r>
        <w:rPr>
          <w:sz w:val="18"/>
        </w:rPr>
        <w:t>the</w:t>
      </w:r>
      <w:r>
        <w:rPr>
          <w:spacing w:val="-3"/>
          <w:sz w:val="18"/>
        </w:rPr>
        <w:t> </w:t>
      </w:r>
      <w:r>
        <w:rPr>
          <w:sz w:val="18"/>
        </w:rPr>
        <w:t>PHN</w:t>
      </w:r>
    </w:p>
    <w:p>
      <w:pPr>
        <w:pStyle w:val="ListParagraph"/>
        <w:numPr>
          <w:ilvl w:val="0"/>
          <w:numId w:val="110"/>
        </w:numPr>
        <w:tabs>
          <w:tab w:pos="1140" w:val="left" w:leader="none"/>
          <w:tab w:pos="1141" w:val="left" w:leader="none"/>
        </w:tabs>
        <w:spacing w:line="240" w:lineRule="auto" w:before="0" w:after="0"/>
        <w:ind w:left="1140" w:right="0" w:hanging="361"/>
        <w:jc w:val="left"/>
        <w:rPr>
          <w:sz w:val="18"/>
        </w:rPr>
      </w:pPr>
      <w:r>
        <w:rPr>
          <w:sz w:val="18"/>
        </w:rPr>
        <w:t>chronic</w:t>
      </w:r>
      <w:r>
        <w:rPr>
          <w:spacing w:val="-5"/>
          <w:sz w:val="18"/>
        </w:rPr>
        <w:t> </w:t>
      </w:r>
      <w:r>
        <w:rPr>
          <w:sz w:val="18"/>
        </w:rPr>
        <w:t>and</w:t>
      </w:r>
      <w:r>
        <w:rPr>
          <w:spacing w:val="-6"/>
          <w:sz w:val="18"/>
        </w:rPr>
        <w:t> </w:t>
      </w:r>
      <w:r>
        <w:rPr>
          <w:sz w:val="18"/>
        </w:rPr>
        <w:t>complex</w:t>
      </w:r>
      <w:r>
        <w:rPr>
          <w:spacing w:val="-4"/>
          <w:sz w:val="18"/>
        </w:rPr>
        <w:t> </w:t>
      </w:r>
      <w:r>
        <w:rPr>
          <w:sz w:val="18"/>
        </w:rPr>
        <w:t>disease</w:t>
      </w:r>
      <w:r>
        <w:rPr>
          <w:spacing w:val="-5"/>
          <w:sz w:val="18"/>
        </w:rPr>
        <w:t> </w:t>
      </w:r>
      <w:r>
        <w:rPr>
          <w:sz w:val="18"/>
        </w:rPr>
        <w:t>management</w:t>
      </w:r>
    </w:p>
    <w:p>
      <w:pPr>
        <w:pStyle w:val="ListParagraph"/>
        <w:numPr>
          <w:ilvl w:val="0"/>
          <w:numId w:val="110"/>
        </w:numPr>
        <w:tabs>
          <w:tab w:pos="1140" w:val="left" w:leader="none"/>
          <w:tab w:pos="1141" w:val="left" w:leader="none"/>
        </w:tabs>
        <w:spacing w:line="240" w:lineRule="auto" w:before="0" w:after="0"/>
        <w:ind w:left="1140" w:right="0" w:hanging="361"/>
        <w:jc w:val="left"/>
        <w:rPr>
          <w:sz w:val="18"/>
        </w:rPr>
      </w:pPr>
      <w:r>
        <w:rPr>
          <w:sz w:val="18"/>
        </w:rPr>
        <w:t>electronic</w:t>
      </w:r>
      <w:r>
        <w:rPr>
          <w:spacing w:val="-2"/>
          <w:sz w:val="18"/>
        </w:rPr>
        <w:t> </w:t>
      </w:r>
      <w:r>
        <w:rPr>
          <w:sz w:val="18"/>
        </w:rPr>
        <w:t>platforms</w:t>
      </w:r>
      <w:r>
        <w:rPr>
          <w:spacing w:val="-5"/>
          <w:sz w:val="18"/>
        </w:rPr>
        <w:t> </w:t>
      </w:r>
      <w:r>
        <w:rPr>
          <w:sz w:val="18"/>
        </w:rPr>
        <w:t>to</w:t>
      </w:r>
      <w:r>
        <w:rPr>
          <w:spacing w:val="-4"/>
          <w:sz w:val="18"/>
        </w:rPr>
        <w:t> </w:t>
      </w:r>
      <w:r>
        <w:rPr>
          <w:sz w:val="18"/>
        </w:rPr>
        <w:t>share</w:t>
      </w:r>
      <w:r>
        <w:rPr>
          <w:spacing w:val="-3"/>
          <w:sz w:val="18"/>
        </w:rPr>
        <w:t> </w:t>
      </w:r>
      <w:r>
        <w:rPr>
          <w:sz w:val="18"/>
        </w:rPr>
        <w:t>patient</w:t>
      </w:r>
      <w:r>
        <w:rPr>
          <w:spacing w:val="-6"/>
          <w:sz w:val="18"/>
        </w:rPr>
        <w:t> </w:t>
      </w:r>
      <w:r>
        <w:rPr>
          <w:sz w:val="18"/>
        </w:rPr>
        <w:t>care</w:t>
      </w:r>
      <w:r>
        <w:rPr>
          <w:spacing w:val="-3"/>
          <w:sz w:val="18"/>
        </w:rPr>
        <w:t> </w:t>
      </w:r>
      <w:r>
        <w:rPr>
          <w:sz w:val="18"/>
        </w:rPr>
        <w:t>plans</w:t>
      </w:r>
      <w:r>
        <w:rPr>
          <w:spacing w:val="-4"/>
          <w:sz w:val="18"/>
        </w:rPr>
        <w:t> </w:t>
      </w:r>
      <w:r>
        <w:rPr>
          <w:sz w:val="18"/>
        </w:rPr>
        <w:t>with</w:t>
      </w:r>
      <w:r>
        <w:rPr>
          <w:spacing w:val="-4"/>
          <w:sz w:val="18"/>
        </w:rPr>
        <w:t> </w:t>
      </w:r>
      <w:r>
        <w:rPr>
          <w:sz w:val="18"/>
        </w:rPr>
        <w:t>other</w:t>
      </w:r>
      <w:r>
        <w:rPr>
          <w:spacing w:val="-3"/>
          <w:sz w:val="18"/>
        </w:rPr>
        <w:t> </w:t>
      </w:r>
      <w:r>
        <w:rPr>
          <w:sz w:val="18"/>
        </w:rPr>
        <w:t>service</w:t>
      </w:r>
      <w:r>
        <w:rPr>
          <w:spacing w:val="-4"/>
          <w:sz w:val="18"/>
        </w:rPr>
        <w:t> </w:t>
      </w:r>
      <w:r>
        <w:rPr>
          <w:sz w:val="18"/>
        </w:rPr>
        <w:t>providers</w:t>
      </w:r>
    </w:p>
    <w:p>
      <w:pPr>
        <w:pStyle w:val="ListParagraph"/>
        <w:numPr>
          <w:ilvl w:val="0"/>
          <w:numId w:val="110"/>
        </w:numPr>
        <w:tabs>
          <w:tab w:pos="1140" w:val="left" w:leader="none"/>
          <w:tab w:pos="1141" w:val="left" w:leader="none"/>
        </w:tabs>
        <w:spacing w:line="240" w:lineRule="auto" w:before="1" w:after="0"/>
        <w:ind w:left="1140" w:right="0" w:hanging="361"/>
        <w:jc w:val="left"/>
        <w:rPr>
          <w:sz w:val="18"/>
        </w:rPr>
      </w:pPr>
      <w:r>
        <w:rPr>
          <w:sz w:val="18"/>
        </w:rPr>
        <w:t>quality</w:t>
      </w:r>
      <w:r>
        <w:rPr>
          <w:spacing w:val="-8"/>
          <w:sz w:val="18"/>
        </w:rPr>
        <w:t> </w:t>
      </w:r>
      <w:r>
        <w:rPr>
          <w:sz w:val="18"/>
        </w:rPr>
        <w:t>improvement</w:t>
      </w:r>
    </w:p>
    <w:p>
      <w:pPr>
        <w:pStyle w:val="ListParagraph"/>
        <w:numPr>
          <w:ilvl w:val="0"/>
          <w:numId w:val="110"/>
        </w:numPr>
        <w:tabs>
          <w:tab w:pos="1140" w:val="left" w:leader="none"/>
          <w:tab w:pos="1141" w:val="left" w:leader="none"/>
        </w:tabs>
        <w:spacing w:line="240" w:lineRule="auto" w:before="0" w:after="0"/>
        <w:ind w:left="1140" w:right="0" w:hanging="361"/>
        <w:jc w:val="left"/>
        <w:rPr>
          <w:sz w:val="18"/>
        </w:rPr>
      </w:pPr>
      <w:r>
        <w:rPr>
          <w:sz w:val="18"/>
        </w:rPr>
        <w:t>benchmarking</w:t>
      </w:r>
    </w:p>
    <w:p>
      <w:pPr>
        <w:pStyle w:val="ListParagraph"/>
        <w:numPr>
          <w:ilvl w:val="0"/>
          <w:numId w:val="110"/>
        </w:numPr>
        <w:tabs>
          <w:tab w:pos="1140" w:val="left" w:leader="none"/>
          <w:tab w:pos="1141" w:val="left" w:leader="none"/>
        </w:tabs>
        <w:spacing w:line="240" w:lineRule="auto" w:before="0" w:after="0"/>
        <w:ind w:left="1140" w:right="0" w:hanging="361"/>
        <w:jc w:val="left"/>
        <w:rPr>
          <w:sz w:val="18"/>
        </w:rPr>
      </w:pPr>
      <w:r>
        <w:rPr>
          <w:sz w:val="18"/>
        </w:rPr>
        <w:t>collaboratives.</w:t>
      </w:r>
    </w:p>
    <w:p>
      <w:pPr>
        <w:pStyle w:val="BodyText"/>
        <w:spacing w:before="8"/>
        <w:rPr>
          <w:sz w:val="22"/>
        </w:rPr>
      </w:pPr>
    </w:p>
    <w:p>
      <w:pPr>
        <w:pStyle w:val="ListParagraph"/>
        <w:numPr>
          <w:ilvl w:val="0"/>
          <w:numId w:val="109"/>
        </w:numPr>
        <w:tabs>
          <w:tab w:pos="844" w:val="left" w:leader="none"/>
          <w:tab w:pos="845" w:val="left" w:leader="none"/>
        </w:tabs>
        <w:spacing w:line="240" w:lineRule="auto" w:before="1" w:after="0"/>
        <w:ind w:left="844" w:right="1352" w:hanging="358"/>
        <w:jc w:val="left"/>
        <w:rPr>
          <w:sz w:val="18"/>
        </w:rPr>
      </w:pPr>
      <w:r>
        <w:rPr>
          <w:sz w:val="18"/>
        </w:rPr>
        <w:t>Please describe other PHN initiatives – such as those listed above - that have been used in the HCH program</w:t>
      </w:r>
      <w:r>
        <w:rPr>
          <w:spacing w:val="-47"/>
          <w:sz w:val="18"/>
        </w:rPr>
        <w:t> </w:t>
      </w:r>
      <w:r>
        <w:rPr>
          <w:sz w:val="18"/>
        </w:rPr>
        <w:t>implementation</w:t>
      </w:r>
      <w:r>
        <w:rPr>
          <w:spacing w:val="-1"/>
          <w:sz w:val="18"/>
        </w:rPr>
        <w:t> </w:t>
      </w:r>
      <w:r>
        <w:rPr>
          <w:sz w:val="18"/>
        </w:rPr>
        <w:t>since</w:t>
      </w:r>
      <w:r>
        <w:rPr>
          <w:spacing w:val="-2"/>
          <w:sz w:val="18"/>
        </w:rPr>
        <w:t> </w:t>
      </w:r>
      <w:r>
        <w:rPr>
          <w:sz w:val="18"/>
        </w:rPr>
        <w:t>mid-2018</w:t>
      </w:r>
      <w:r>
        <w:rPr>
          <w:spacing w:val="-4"/>
          <w:sz w:val="18"/>
        </w:rPr>
        <w:t> </w:t>
      </w:r>
      <w:r>
        <w:rPr>
          <w:sz w:val="18"/>
        </w:rPr>
        <w:t>Please</w:t>
      </w:r>
      <w:r>
        <w:rPr>
          <w:spacing w:val="-2"/>
          <w:sz w:val="18"/>
        </w:rPr>
        <w:t> </w:t>
      </w:r>
      <w:r>
        <w:rPr>
          <w:sz w:val="18"/>
        </w:rPr>
        <w:t>describe</w:t>
      </w:r>
      <w:r>
        <w:rPr>
          <w:spacing w:val="-4"/>
          <w:sz w:val="18"/>
        </w:rPr>
        <w:t> </w:t>
      </w:r>
      <w:r>
        <w:rPr>
          <w:sz w:val="18"/>
        </w:rPr>
        <w:t>how</w:t>
      </w:r>
      <w:r>
        <w:rPr>
          <w:spacing w:val="-4"/>
          <w:sz w:val="18"/>
        </w:rPr>
        <w:t> </w:t>
      </w:r>
      <w:r>
        <w:rPr>
          <w:sz w:val="18"/>
        </w:rPr>
        <w:t>these</w:t>
      </w:r>
      <w:r>
        <w:rPr>
          <w:spacing w:val="-2"/>
          <w:sz w:val="18"/>
        </w:rPr>
        <w:t> </w:t>
      </w:r>
      <w:r>
        <w:rPr>
          <w:sz w:val="18"/>
        </w:rPr>
        <w:t>have</w:t>
      </w:r>
      <w:r>
        <w:rPr>
          <w:spacing w:val="-3"/>
          <w:sz w:val="18"/>
        </w:rPr>
        <w:t> </w:t>
      </w:r>
      <w:r>
        <w:rPr>
          <w:sz w:val="18"/>
        </w:rPr>
        <w:t>contributed</w:t>
      </w:r>
      <w:r>
        <w:rPr>
          <w:spacing w:val="-3"/>
          <w:sz w:val="18"/>
        </w:rPr>
        <w:t> </w:t>
      </w:r>
      <w:r>
        <w:rPr>
          <w:sz w:val="18"/>
        </w:rPr>
        <w:t>to</w:t>
      </w:r>
      <w:r>
        <w:rPr>
          <w:spacing w:val="-3"/>
          <w:sz w:val="18"/>
        </w:rPr>
        <w:t> </w:t>
      </w:r>
      <w:r>
        <w:rPr>
          <w:sz w:val="18"/>
        </w:rPr>
        <w:t>the</w:t>
      </w:r>
      <w:r>
        <w:rPr>
          <w:spacing w:val="-4"/>
          <w:sz w:val="18"/>
        </w:rPr>
        <w:t> </w:t>
      </w:r>
      <w:r>
        <w:rPr>
          <w:sz w:val="18"/>
        </w:rPr>
        <w:t>HCH</w:t>
      </w:r>
      <w:r>
        <w:rPr>
          <w:spacing w:val="-3"/>
          <w:sz w:val="18"/>
        </w:rPr>
        <w:t> </w:t>
      </w:r>
      <w:r>
        <w:rPr>
          <w:sz w:val="18"/>
        </w:rPr>
        <w:t>implementation.</w:t>
      </w:r>
    </w:p>
    <w:p>
      <w:pPr>
        <w:pStyle w:val="BodyText"/>
      </w:pPr>
    </w:p>
    <w:p>
      <w:pPr>
        <w:pStyle w:val="BodyText"/>
        <w:spacing w:before="1"/>
        <w:rPr>
          <w:sz w:val="19"/>
        </w:rPr>
      </w:pPr>
      <w:r>
        <w:rPr/>
        <w:pict>
          <v:rect style="position:absolute;margin-left:34.560001pt;margin-top:12.903066pt;width:526.3pt;height:.48004pt;mso-position-horizontal-relative:page;mso-position-vertical-relative:paragraph;z-index:-15283200;mso-wrap-distance-left:0;mso-wrap-distance-right:0" id="docshape255" filled="true" fillcolor="#d9d9d9" stroked="false">
            <v:fill type="solid"/>
            <w10:wrap type="topAndBottom"/>
          </v:rect>
        </w:pict>
      </w:r>
    </w:p>
    <w:p>
      <w:pPr>
        <w:spacing w:after="0"/>
        <w:rPr>
          <w:sz w:val="19"/>
        </w:rPr>
        <w:sectPr>
          <w:pgSz w:w="11910" w:h="16840"/>
          <w:pgMar w:header="0" w:footer="948" w:top="860" w:bottom="1140" w:left="300" w:right="0"/>
        </w:sectPr>
      </w:pPr>
    </w:p>
    <w:p>
      <w:pPr>
        <w:spacing w:before="75"/>
        <w:ind w:left="420" w:right="0" w:firstLine="0"/>
        <w:jc w:val="left"/>
        <w:rPr>
          <w:b/>
          <w:sz w:val="18"/>
        </w:rPr>
      </w:pPr>
      <w:r>
        <w:rPr>
          <w:b/>
          <w:sz w:val="18"/>
        </w:rPr>
        <w:t>PHN</w:t>
      </w:r>
      <w:r>
        <w:rPr>
          <w:b/>
          <w:spacing w:val="-3"/>
          <w:sz w:val="18"/>
        </w:rPr>
        <w:t> </w:t>
      </w:r>
      <w:r>
        <w:rPr>
          <w:b/>
          <w:sz w:val="18"/>
        </w:rPr>
        <w:t>staffing and resources</w:t>
      </w:r>
    </w:p>
    <w:p>
      <w:pPr>
        <w:pStyle w:val="BodyText"/>
        <w:rPr>
          <w:b/>
          <w:sz w:val="19"/>
        </w:rPr>
      </w:pPr>
    </w:p>
    <w:p>
      <w:pPr>
        <w:pStyle w:val="ListParagraph"/>
        <w:numPr>
          <w:ilvl w:val="0"/>
          <w:numId w:val="109"/>
        </w:numPr>
        <w:tabs>
          <w:tab w:pos="845" w:val="left" w:leader="none"/>
        </w:tabs>
        <w:spacing w:line="240" w:lineRule="auto" w:before="0" w:after="0"/>
        <w:ind w:left="844" w:right="884" w:hanging="358"/>
        <w:jc w:val="left"/>
        <w:rPr>
          <w:sz w:val="18"/>
        </w:rPr>
      </w:pPr>
      <w:r>
        <w:rPr>
          <w:sz w:val="18"/>
        </w:rPr>
        <w:t>Please list the positions specifically assigned to support the implementation of the HCH program and the</w:t>
      </w:r>
      <w:r>
        <w:rPr>
          <w:spacing w:val="1"/>
          <w:sz w:val="18"/>
        </w:rPr>
        <w:t> </w:t>
      </w:r>
      <w:r>
        <w:rPr>
          <w:sz w:val="18"/>
        </w:rPr>
        <w:t>associated full-time-equivalent (FTE) employed against these positions for the 6-month periods indicated. The</w:t>
      </w:r>
      <w:r>
        <w:rPr>
          <w:spacing w:val="1"/>
          <w:sz w:val="18"/>
        </w:rPr>
        <w:t> </w:t>
      </w:r>
      <w:r>
        <w:rPr>
          <w:sz w:val="18"/>
        </w:rPr>
        <w:t>details you provided in the last PHN survey have been shown here. Please review and update if necessary. Please</w:t>
      </w:r>
      <w:r>
        <w:rPr>
          <w:spacing w:val="-47"/>
          <w:sz w:val="18"/>
        </w:rPr>
        <w:t> </w:t>
      </w:r>
      <w:r>
        <w:rPr>
          <w:sz w:val="18"/>
        </w:rPr>
        <w:t>estimate</w:t>
      </w:r>
      <w:r>
        <w:rPr>
          <w:spacing w:val="-1"/>
          <w:sz w:val="18"/>
        </w:rPr>
        <w:t> </w:t>
      </w:r>
      <w:r>
        <w:rPr>
          <w:sz w:val="18"/>
        </w:rPr>
        <w:t>staffing</w:t>
      </w:r>
      <w:r>
        <w:rPr>
          <w:spacing w:val="-2"/>
          <w:sz w:val="18"/>
        </w:rPr>
        <w:t> </w:t>
      </w:r>
      <w:r>
        <w:rPr>
          <w:sz w:val="18"/>
        </w:rPr>
        <w:t>allocated</w:t>
      </w:r>
      <w:r>
        <w:rPr>
          <w:spacing w:val="-1"/>
          <w:sz w:val="18"/>
        </w:rPr>
        <w:t> </w:t>
      </w:r>
      <w:r>
        <w:rPr>
          <w:sz w:val="18"/>
        </w:rPr>
        <w:t>in the January-June</w:t>
      </w:r>
      <w:r>
        <w:rPr>
          <w:spacing w:val="-3"/>
          <w:sz w:val="18"/>
        </w:rPr>
        <w:t> </w:t>
      </w:r>
      <w:r>
        <w:rPr>
          <w:sz w:val="18"/>
        </w:rPr>
        <w:t>2020 period.</w:t>
      </w:r>
    </w:p>
    <w:p>
      <w:pPr>
        <w:pStyle w:val="BodyText"/>
        <w:spacing w:before="5"/>
        <w:rPr>
          <w:sz w:val="16"/>
        </w:rPr>
      </w:pPr>
    </w:p>
    <w:tbl>
      <w:tblPr>
        <w:tblW w:w="0" w:type="auto"/>
        <w:jc w:val="left"/>
        <w:tblInd w:w="113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422"/>
        <w:gridCol w:w="3497"/>
        <w:gridCol w:w="638"/>
        <w:gridCol w:w="638"/>
        <w:gridCol w:w="638"/>
        <w:gridCol w:w="585"/>
        <w:gridCol w:w="669"/>
        <w:gridCol w:w="586"/>
        <w:gridCol w:w="689"/>
        <w:gridCol w:w="691"/>
      </w:tblGrid>
      <w:tr>
        <w:trPr>
          <w:trHeight w:val="421" w:hRule="atLeast"/>
        </w:trPr>
        <w:tc>
          <w:tcPr>
            <w:tcW w:w="422" w:type="dxa"/>
            <w:vMerge w:val="restart"/>
            <w:tcBorders>
              <w:bottom w:val="single" w:sz="6" w:space="0" w:color="BEBEBE"/>
              <w:right w:val="single" w:sz="6" w:space="0" w:color="BEBEBE"/>
            </w:tcBorders>
            <w:shd w:val="clear" w:color="auto" w:fill="F1F1F1"/>
          </w:tcPr>
          <w:p>
            <w:pPr>
              <w:pStyle w:val="TableParagraph"/>
              <w:rPr>
                <w:sz w:val="20"/>
              </w:rPr>
            </w:pPr>
          </w:p>
          <w:p>
            <w:pPr>
              <w:pStyle w:val="TableParagraph"/>
              <w:rPr>
                <w:sz w:val="20"/>
              </w:rPr>
            </w:pPr>
          </w:p>
          <w:p>
            <w:pPr>
              <w:pStyle w:val="TableParagraph"/>
              <w:spacing w:before="133"/>
              <w:ind w:left="10"/>
              <w:jc w:val="center"/>
              <w:rPr>
                <w:sz w:val="16"/>
              </w:rPr>
            </w:pPr>
            <w:r>
              <w:rPr>
                <w:w w:val="100"/>
                <w:sz w:val="16"/>
              </w:rPr>
              <w:t>#</w:t>
            </w:r>
          </w:p>
        </w:tc>
        <w:tc>
          <w:tcPr>
            <w:tcW w:w="3497" w:type="dxa"/>
            <w:vMerge w:val="restart"/>
            <w:tcBorders>
              <w:left w:val="single" w:sz="6" w:space="0" w:color="BEBEBE"/>
              <w:bottom w:val="single" w:sz="6" w:space="0" w:color="BEBEBE"/>
              <w:right w:val="single" w:sz="6" w:space="0" w:color="BEBEBE"/>
            </w:tcBorders>
            <w:shd w:val="clear" w:color="auto" w:fill="F1F1F1"/>
          </w:tcPr>
          <w:p>
            <w:pPr>
              <w:pStyle w:val="TableParagraph"/>
              <w:rPr>
                <w:sz w:val="20"/>
              </w:rPr>
            </w:pPr>
          </w:p>
          <w:p>
            <w:pPr>
              <w:pStyle w:val="TableParagraph"/>
              <w:rPr>
                <w:sz w:val="20"/>
              </w:rPr>
            </w:pPr>
          </w:p>
          <w:p>
            <w:pPr>
              <w:pStyle w:val="TableParagraph"/>
              <w:spacing w:before="133"/>
              <w:ind w:left="1182" w:right="1172"/>
              <w:jc w:val="center"/>
              <w:rPr>
                <w:sz w:val="16"/>
              </w:rPr>
            </w:pPr>
            <w:r>
              <w:rPr>
                <w:sz w:val="16"/>
              </w:rPr>
              <w:t>Position</w:t>
            </w:r>
            <w:r>
              <w:rPr>
                <w:spacing w:val="-4"/>
                <w:sz w:val="16"/>
              </w:rPr>
              <w:t> </w:t>
            </w:r>
            <w:r>
              <w:rPr>
                <w:sz w:val="16"/>
              </w:rPr>
              <w:t>name</w:t>
            </w:r>
          </w:p>
        </w:tc>
        <w:tc>
          <w:tcPr>
            <w:tcW w:w="1276" w:type="dxa"/>
            <w:gridSpan w:val="2"/>
            <w:tcBorders>
              <w:left w:val="single" w:sz="6" w:space="0" w:color="BEBEBE"/>
              <w:bottom w:val="single" w:sz="6" w:space="0" w:color="BEBEBE"/>
              <w:right w:val="single" w:sz="6" w:space="0" w:color="BEBEBE"/>
            </w:tcBorders>
            <w:shd w:val="clear" w:color="auto" w:fill="F1F1F1"/>
          </w:tcPr>
          <w:p>
            <w:pPr>
              <w:pStyle w:val="TableParagraph"/>
              <w:spacing w:before="112"/>
              <w:ind w:left="346"/>
              <w:rPr>
                <w:sz w:val="16"/>
              </w:rPr>
            </w:pPr>
            <w:r>
              <w:rPr>
                <w:sz w:val="16"/>
              </w:rPr>
              <w:t>2017-18</w:t>
            </w:r>
          </w:p>
        </w:tc>
        <w:tc>
          <w:tcPr>
            <w:tcW w:w="1223" w:type="dxa"/>
            <w:gridSpan w:val="2"/>
            <w:tcBorders>
              <w:left w:val="single" w:sz="6" w:space="0" w:color="BEBEBE"/>
              <w:bottom w:val="single" w:sz="6" w:space="0" w:color="BEBEBE"/>
              <w:right w:val="single" w:sz="6" w:space="0" w:color="BEBEBE"/>
            </w:tcBorders>
            <w:shd w:val="clear" w:color="auto" w:fill="F1F1F1"/>
          </w:tcPr>
          <w:p>
            <w:pPr>
              <w:pStyle w:val="TableParagraph"/>
              <w:spacing w:before="112"/>
              <w:ind w:left="318"/>
              <w:rPr>
                <w:sz w:val="16"/>
              </w:rPr>
            </w:pPr>
            <w:r>
              <w:rPr>
                <w:sz w:val="16"/>
              </w:rPr>
              <w:t>2018-19</w:t>
            </w:r>
          </w:p>
        </w:tc>
        <w:tc>
          <w:tcPr>
            <w:tcW w:w="1255" w:type="dxa"/>
            <w:gridSpan w:val="2"/>
            <w:tcBorders>
              <w:left w:val="single" w:sz="6" w:space="0" w:color="BEBEBE"/>
              <w:bottom w:val="single" w:sz="6" w:space="0" w:color="BEBEBE"/>
              <w:right w:val="single" w:sz="6" w:space="0" w:color="BEBEBE"/>
            </w:tcBorders>
            <w:shd w:val="clear" w:color="auto" w:fill="F1F1F1"/>
          </w:tcPr>
          <w:p>
            <w:pPr>
              <w:pStyle w:val="TableParagraph"/>
              <w:spacing w:before="112"/>
              <w:ind w:left="333"/>
              <w:rPr>
                <w:sz w:val="16"/>
              </w:rPr>
            </w:pPr>
            <w:r>
              <w:rPr>
                <w:sz w:val="16"/>
              </w:rPr>
              <w:t>2019-20</w:t>
            </w:r>
          </w:p>
        </w:tc>
        <w:tc>
          <w:tcPr>
            <w:tcW w:w="1380" w:type="dxa"/>
            <w:gridSpan w:val="2"/>
            <w:tcBorders>
              <w:left w:val="single" w:sz="6" w:space="0" w:color="BEBEBE"/>
              <w:bottom w:val="single" w:sz="6" w:space="0" w:color="BEBEBE"/>
            </w:tcBorders>
            <w:shd w:val="clear" w:color="auto" w:fill="F1F1F1"/>
          </w:tcPr>
          <w:p>
            <w:pPr>
              <w:pStyle w:val="TableParagraph"/>
              <w:spacing w:before="112"/>
              <w:ind w:left="397"/>
              <w:rPr>
                <w:sz w:val="16"/>
              </w:rPr>
            </w:pPr>
            <w:r>
              <w:rPr>
                <w:sz w:val="16"/>
              </w:rPr>
              <w:t>2020-21</w:t>
            </w:r>
          </w:p>
        </w:tc>
      </w:tr>
      <w:tr>
        <w:trPr>
          <w:trHeight w:val="1009" w:hRule="atLeast"/>
        </w:trPr>
        <w:tc>
          <w:tcPr>
            <w:tcW w:w="422" w:type="dxa"/>
            <w:vMerge/>
            <w:tcBorders>
              <w:top w:val="nil"/>
              <w:bottom w:val="single" w:sz="6" w:space="0" w:color="BEBEBE"/>
              <w:right w:val="single" w:sz="6" w:space="0" w:color="BEBEBE"/>
            </w:tcBorders>
            <w:shd w:val="clear" w:color="auto" w:fill="F1F1F1"/>
          </w:tcPr>
          <w:p>
            <w:pPr>
              <w:rPr>
                <w:sz w:val="2"/>
                <w:szCs w:val="2"/>
              </w:rPr>
            </w:pPr>
          </w:p>
        </w:tc>
        <w:tc>
          <w:tcPr>
            <w:tcW w:w="3497" w:type="dxa"/>
            <w:vMerge/>
            <w:tcBorders>
              <w:top w:val="nil"/>
              <w:left w:val="single" w:sz="6" w:space="0" w:color="BEBEBE"/>
              <w:bottom w:val="single" w:sz="6" w:space="0" w:color="BEBEBE"/>
              <w:right w:val="single" w:sz="6" w:space="0" w:color="BEBEBE"/>
            </w:tcBorders>
            <w:shd w:val="clear" w:color="auto" w:fill="F1F1F1"/>
          </w:tcPr>
          <w:p>
            <w:pPr>
              <w:rPr>
                <w:sz w:val="2"/>
                <w:szCs w:val="2"/>
              </w:rPr>
            </w:pPr>
          </w:p>
        </w:tc>
        <w:tc>
          <w:tcPr>
            <w:tcW w:w="638" w:type="dxa"/>
            <w:tcBorders>
              <w:top w:val="single" w:sz="6" w:space="0" w:color="BEBEBE"/>
              <w:left w:val="single" w:sz="6" w:space="0" w:color="BEBEBE"/>
              <w:bottom w:val="single" w:sz="6" w:space="0" w:color="BEBEBE"/>
              <w:right w:val="single" w:sz="6" w:space="0" w:color="BEBEBE"/>
            </w:tcBorders>
            <w:shd w:val="clear" w:color="auto" w:fill="F1F1F1"/>
          </w:tcPr>
          <w:p>
            <w:pPr>
              <w:pStyle w:val="TableParagraph"/>
              <w:spacing w:before="112"/>
              <w:ind w:left="142" w:right="123" w:firstLine="48"/>
              <w:jc w:val="both"/>
              <w:rPr>
                <w:sz w:val="16"/>
              </w:rPr>
            </w:pPr>
            <w:r>
              <w:rPr>
                <w:sz w:val="16"/>
              </w:rPr>
              <w:t>Jul-</w:t>
            </w:r>
            <w:r>
              <w:rPr>
                <w:spacing w:val="1"/>
                <w:sz w:val="16"/>
              </w:rPr>
              <w:t> </w:t>
            </w:r>
            <w:r>
              <w:rPr>
                <w:sz w:val="16"/>
              </w:rPr>
              <w:t>Dec</w:t>
            </w:r>
            <w:r>
              <w:rPr>
                <w:spacing w:val="-42"/>
                <w:sz w:val="16"/>
              </w:rPr>
              <w:t> </w:t>
            </w:r>
            <w:r>
              <w:rPr>
                <w:sz w:val="16"/>
              </w:rPr>
              <w:t>2017</w:t>
            </w:r>
            <w:r>
              <w:rPr>
                <w:spacing w:val="-42"/>
                <w:sz w:val="16"/>
              </w:rPr>
              <w:t> </w:t>
            </w:r>
            <w:r>
              <w:rPr>
                <w:sz w:val="16"/>
              </w:rPr>
              <w:t>FTE</w:t>
            </w:r>
          </w:p>
        </w:tc>
        <w:tc>
          <w:tcPr>
            <w:tcW w:w="638" w:type="dxa"/>
            <w:tcBorders>
              <w:top w:val="single" w:sz="6" w:space="0" w:color="BEBEBE"/>
              <w:left w:val="single" w:sz="6" w:space="0" w:color="BEBEBE"/>
              <w:bottom w:val="single" w:sz="6" w:space="0" w:color="BEBEBE"/>
              <w:right w:val="single" w:sz="6" w:space="0" w:color="BEBEBE"/>
            </w:tcBorders>
            <w:shd w:val="clear" w:color="auto" w:fill="F1F1F1"/>
          </w:tcPr>
          <w:p>
            <w:pPr>
              <w:pStyle w:val="TableParagraph"/>
              <w:spacing w:before="112"/>
              <w:ind w:left="140" w:right="125" w:firstLine="9"/>
              <w:jc w:val="both"/>
              <w:rPr>
                <w:sz w:val="16"/>
              </w:rPr>
            </w:pPr>
            <w:r>
              <w:rPr>
                <w:sz w:val="16"/>
              </w:rPr>
              <w:t>Jan-</w:t>
            </w:r>
            <w:r>
              <w:rPr>
                <w:spacing w:val="-42"/>
                <w:sz w:val="16"/>
              </w:rPr>
              <w:t> </w:t>
            </w:r>
            <w:r>
              <w:rPr>
                <w:sz w:val="16"/>
              </w:rPr>
              <w:t>Jun</w:t>
            </w:r>
            <w:r>
              <w:rPr>
                <w:spacing w:val="1"/>
                <w:sz w:val="16"/>
              </w:rPr>
              <w:t> </w:t>
            </w:r>
            <w:r>
              <w:rPr>
                <w:sz w:val="16"/>
              </w:rPr>
              <w:t>2018</w:t>
            </w:r>
            <w:r>
              <w:rPr>
                <w:spacing w:val="-42"/>
                <w:sz w:val="16"/>
              </w:rPr>
              <w:t> </w:t>
            </w:r>
            <w:r>
              <w:rPr>
                <w:sz w:val="16"/>
              </w:rPr>
              <w:t>FTE</w:t>
            </w:r>
          </w:p>
        </w:tc>
        <w:tc>
          <w:tcPr>
            <w:tcW w:w="638" w:type="dxa"/>
            <w:tcBorders>
              <w:top w:val="single" w:sz="6" w:space="0" w:color="BEBEBE"/>
              <w:left w:val="single" w:sz="6" w:space="0" w:color="BEBEBE"/>
              <w:bottom w:val="single" w:sz="6" w:space="0" w:color="BEBEBE"/>
              <w:right w:val="single" w:sz="6" w:space="0" w:color="BEBEBE"/>
            </w:tcBorders>
            <w:shd w:val="clear" w:color="auto" w:fill="F1F1F1"/>
          </w:tcPr>
          <w:p>
            <w:pPr>
              <w:pStyle w:val="TableParagraph"/>
              <w:spacing w:before="112"/>
              <w:ind w:left="140" w:right="124" w:firstLine="48"/>
              <w:jc w:val="both"/>
              <w:rPr>
                <w:sz w:val="16"/>
              </w:rPr>
            </w:pPr>
            <w:r>
              <w:rPr>
                <w:sz w:val="16"/>
              </w:rPr>
              <w:t>Jul-</w:t>
            </w:r>
            <w:r>
              <w:rPr>
                <w:spacing w:val="1"/>
                <w:sz w:val="16"/>
              </w:rPr>
              <w:t> </w:t>
            </w:r>
            <w:r>
              <w:rPr>
                <w:sz w:val="16"/>
              </w:rPr>
              <w:t>Dec</w:t>
            </w:r>
            <w:r>
              <w:rPr>
                <w:spacing w:val="-42"/>
                <w:sz w:val="16"/>
              </w:rPr>
              <w:t> </w:t>
            </w:r>
            <w:r>
              <w:rPr>
                <w:sz w:val="16"/>
              </w:rPr>
              <w:t>2018</w:t>
            </w:r>
            <w:r>
              <w:rPr>
                <w:spacing w:val="-42"/>
                <w:sz w:val="16"/>
              </w:rPr>
              <w:t> </w:t>
            </w:r>
            <w:r>
              <w:rPr>
                <w:sz w:val="16"/>
              </w:rPr>
              <w:t>FTE</w:t>
            </w:r>
          </w:p>
        </w:tc>
        <w:tc>
          <w:tcPr>
            <w:tcW w:w="585" w:type="dxa"/>
            <w:tcBorders>
              <w:top w:val="single" w:sz="6" w:space="0" w:color="BEBEBE"/>
              <w:left w:val="single" w:sz="6" w:space="0" w:color="BEBEBE"/>
              <w:bottom w:val="single" w:sz="6" w:space="0" w:color="BEBEBE"/>
              <w:right w:val="single" w:sz="6" w:space="0" w:color="BEBEBE"/>
            </w:tcBorders>
            <w:shd w:val="clear" w:color="auto" w:fill="F1F1F1"/>
          </w:tcPr>
          <w:p>
            <w:pPr>
              <w:pStyle w:val="TableParagraph"/>
              <w:spacing w:before="112"/>
              <w:ind w:left="114" w:right="97" w:firstLine="9"/>
              <w:jc w:val="both"/>
              <w:rPr>
                <w:sz w:val="16"/>
              </w:rPr>
            </w:pPr>
            <w:r>
              <w:rPr>
                <w:sz w:val="16"/>
              </w:rPr>
              <w:t>Jan-</w:t>
            </w:r>
            <w:r>
              <w:rPr>
                <w:spacing w:val="-42"/>
                <w:sz w:val="16"/>
              </w:rPr>
              <w:t> </w:t>
            </w:r>
            <w:r>
              <w:rPr>
                <w:sz w:val="16"/>
              </w:rPr>
              <w:t>Jun</w:t>
            </w:r>
            <w:r>
              <w:rPr>
                <w:spacing w:val="1"/>
                <w:sz w:val="16"/>
              </w:rPr>
              <w:t> </w:t>
            </w:r>
            <w:r>
              <w:rPr>
                <w:sz w:val="16"/>
              </w:rPr>
              <w:t>2019</w:t>
            </w:r>
            <w:r>
              <w:rPr>
                <w:spacing w:val="-42"/>
                <w:sz w:val="16"/>
              </w:rPr>
              <w:t> </w:t>
            </w:r>
            <w:r>
              <w:rPr>
                <w:sz w:val="16"/>
              </w:rPr>
              <w:t>FTE</w:t>
            </w:r>
          </w:p>
        </w:tc>
        <w:tc>
          <w:tcPr>
            <w:tcW w:w="669" w:type="dxa"/>
            <w:tcBorders>
              <w:top w:val="single" w:sz="6" w:space="0" w:color="BEBEBE"/>
              <w:left w:val="single" w:sz="6" w:space="0" w:color="BEBEBE"/>
              <w:bottom w:val="single" w:sz="6" w:space="0" w:color="BEBEBE"/>
              <w:right w:val="single" w:sz="6" w:space="0" w:color="BEBEBE"/>
            </w:tcBorders>
            <w:shd w:val="clear" w:color="auto" w:fill="F1F1F1"/>
          </w:tcPr>
          <w:p>
            <w:pPr>
              <w:pStyle w:val="TableParagraph"/>
              <w:spacing w:before="112"/>
              <w:ind w:left="156" w:right="140" w:firstLine="48"/>
              <w:jc w:val="both"/>
              <w:rPr>
                <w:sz w:val="16"/>
              </w:rPr>
            </w:pPr>
            <w:r>
              <w:rPr>
                <w:sz w:val="16"/>
              </w:rPr>
              <w:t>Jul-</w:t>
            </w:r>
            <w:r>
              <w:rPr>
                <w:spacing w:val="1"/>
                <w:sz w:val="16"/>
              </w:rPr>
              <w:t> </w:t>
            </w:r>
            <w:r>
              <w:rPr>
                <w:sz w:val="16"/>
              </w:rPr>
              <w:t>Dec</w:t>
            </w:r>
            <w:r>
              <w:rPr>
                <w:spacing w:val="-42"/>
                <w:sz w:val="16"/>
              </w:rPr>
              <w:t> </w:t>
            </w:r>
            <w:r>
              <w:rPr>
                <w:sz w:val="16"/>
              </w:rPr>
              <w:t>2019</w:t>
            </w:r>
            <w:r>
              <w:rPr>
                <w:spacing w:val="-42"/>
                <w:sz w:val="16"/>
              </w:rPr>
              <w:t> </w:t>
            </w:r>
            <w:r>
              <w:rPr>
                <w:sz w:val="16"/>
              </w:rPr>
              <w:t>FTE</w:t>
            </w:r>
          </w:p>
        </w:tc>
        <w:tc>
          <w:tcPr>
            <w:tcW w:w="586" w:type="dxa"/>
            <w:tcBorders>
              <w:top w:val="single" w:sz="6" w:space="0" w:color="BEBEBE"/>
              <w:left w:val="single" w:sz="6" w:space="0" w:color="BEBEBE"/>
              <w:bottom w:val="single" w:sz="6" w:space="0" w:color="BEBEBE"/>
              <w:right w:val="single" w:sz="6" w:space="0" w:color="BEBEBE"/>
            </w:tcBorders>
            <w:shd w:val="clear" w:color="auto" w:fill="F1F1F1"/>
          </w:tcPr>
          <w:p>
            <w:pPr>
              <w:pStyle w:val="TableParagraph"/>
              <w:spacing w:before="112"/>
              <w:ind w:left="116" w:right="97" w:firstLine="9"/>
              <w:jc w:val="both"/>
              <w:rPr>
                <w:sz w:val="16"/>
              </w:rPr>
            </w:pPr>
            <w:r>
              <w:rPr>
                <w:sz w:val="16"/>
              </w:rPr>
              <w:t>Jan-</w:t>
            </w:r>
            <w:r>
              <w:rPr>
                <w:spacing w:val="-42"/>
                <w:sz w:val="16"/>
              </w:rPr>
              <w:t> </w:t>
            </w:r>
            <w:r>
              <w:rPr>
                <w:sz w:val="16"/>
              </w:rPr>
              <w:t>Jun</w:t>
            </w:r>
            <w:r>
              <w:rPr>
                <w:spacing w:val="1"/>
                <w:sz w:val="16"/>
              </w:rPr>
              <w:t> </w:t>
            </w:r>
            <w:r>
              <w:rPr>
                <w:sz w:val="16"/>
              </w:rPr>
              <w:t>2020</w:t>
            </w:r>
            <w:r>
              <w:rPr>
                <w:spacing w:val="-42"/>
                <w:sz w:val="16"/>
              </w:rPr>
              <w:t> </w:t>
            </w:r>
            <w:r>
              <w:rPr>
                <w:sz w:val="16"/>
              </w:rPr>
              <w:t>FTE</w:t>
            </w:r>
          </w:p>
        </w:tc>
        <w:tc>
          <w:tcPr>
            <w:tcW w:w="689" w:type="dxa"/>
            <w:tcBorders>
              <w:top w:val="single" w:sz="6" w:space="0" w:color="BEBEBE"/>
              <w:left w:val="single" w:sz="6" w:space="0" w:color="BEBEBE"/>
              <w:bottom w:val="single" w:sz="6" w:space="0" w:color="BEBEBE"/>
              <w:right w:val="single" w:sz="6" w:space="0" w:color="BEBEBE"/>
            </w:tcBorders>
            <w:shd w:val="clear" w:color="auto" w:fill="F1F1F1"/>
          </w:tcPr>
          <w:p>
            <w:pPr>
              <w:pStyle w:val="TableParagraph"/>
              <w:spacing w:before="112"/>
              <w:ind w:left="169" w:right="147" w:firstLine="48"/>
              <w:jc w:val="both"/>
              <w:rPr>
                <w:sz w:val="16"/>
              </w:rPr>
            </w:pPr>
            <w:r>
              <w:rPr>
                <w:sz w:val="16"/>
              </w:rPr>
              <w:t>Jul-</w:t>
            </w:r>
            <w:r>
              <w:rPr>
                <w:spacing w:val="1"/>
                <w:sz w:val="16"/>
              </w:rPr>
              <w:t> </w:t>
            </w:r>
            <w:r>
              <w:rPr>
                <w:sz w:val="16"/>
              </w:rPr>
              <w:t>Dec</w:t>
            </w:r>
            <w:r>
              <w:rPr>
                <w:spacing w:val="-42"/>
                <w:sz w:val="16"/>
              </w:rPr>
              <w:t> </w:t>
            </w:r>
            <w:r>
              <w:rPr>
                <w:sz w:val="16"/>
              </w:rPr>
              <w:t>2020</w:t>
            </w:r>
            <w:r>
              <w:rPr>
                <w:spacing w:val="-42"/>
                <w:sz w:val="16"/>
              </w:rPr>
              <w:t> </w:t>
            </w:r>
            <w:r>
              <w:rPr>
                <w:sz w:val="16"/>
              </w:rPr>
              <w:t>FTE</w:t>
            </w:r>
          </w:p>
        </w:tc>
        <w:tc>
          <w:tcPr>
            <w:tcW w:w="691" w:type="dxa"/>
            <w:tcBorders>
              <w:top w:val="single" w:sz="6" w:space="0" w:color="BEBEBE"/>
              <w:left w:val="single" w:sz="6" w:space="0" w:color="BEBEBE"/>
              <w:bottom w:val="single" w:sz="6" w:space="0" w:color="BEBEBE"/>
            </w:tcBorders>
            <w:shd w:val="clear" w:color="auto" w:fill="F1F1F1"/>
          </w:tcPr>
          <w:p>
            <w:pPr>
              <w:pStyle w:val="TableParagraph"/>
              <w:spacing w:before="112"/>
              <w:ind w:left="168" w:right="150" w:firstLine="9"/>
              <w:jc w:val="both"/>
              <w:rPr>
                <w:sz w:val="16"/>
              </w:rPr>
            </w:pPr>
            <w:r>
              <w:rPr>
                <w:sz w:val="16"/>
              </w:rPr>
              <w:t>Jan-</w:t>
            </w:r>
            <w:r>
              <w:rPr>
                <w:spacing w:val="-42"/>
                <w:sz w:val="16"/>
              </w:rPr>
              <w:t> </w:t>
            </w:r>
            <w:r>
              <w:rPr>
                <w:sz w:val="16"/>
              </w:rPr>
              <w:t>Jun</w:t>
            </w:r>
            <w:r>
              <w:rPr>
                <w:spacing w:val="1"/>
                <w:sz w:val="16"/>
              </w:rPr>
              <w:t> </w:t>
            </w:r>
            <w:r>
              <w:rPr>
                <w:sz w:val="16"/>
              </w:rPr>
              <w:t>2021</w:t>
            </w:r>
            <w:r>
              <w:rPr>
                <w:spacing w:val="-42"/>
                <w:sz w:val="16"/>
              </w:rPr>
              <w:t> </w:t>
            </w:r>
            <w:r>
              <w:rPr>
                <w:sz w:val="16"/>
              </w:rPr>
              <w:t>FTE</w:t>
            </w:r>
          </w:p>
        </w:tc>
      </w:tr>
      <w:tr>
        <w:trPr>
          <w:trHeight w:val="421" w:hRule="atLeast"/>
        </w:trPr>
        <w:tc>
          <w:tcPr>
            <w:tcW w:w="422" w:type="dxa"/>
            <w:tcBorders>
              <w:top w:val="single" w:sz="6" w:space="0" w:color="BEBEBE"/>
              <w:bottom w:val="single" w:sz="6" w:space="0" w:color="BEBEBE"/>
              <w:right w:val="single" w:sz="6" w:space="0" w:color="BEBEBE"/>
            </w:tcBorders>
          </w:tcPr>
          <w:p>
            <w:pPr>
              <w:pStyle w:val="TableParagraph"/>
              <w:spacing w:before="112"/>
              <w:ind w:left="162"/>
              <w:rPr>
                <w:sz w:val="16"/>
              </w:rPr>
            </w:pPr>
            <w:r>
              <w:rPr>
                <w:w w:val="100"/>
                <w:sz w:val="16"/>
              </w:rPr>
              <w:t>1</w:t>
            </w:r>
          </w:p>
        </w:tc>
        <w:tc>
          <w:tcPr>
            <w:tcW w:w="3497"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585"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69"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586"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89"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91" w:type="dxa"/>
            <w:tcBorders>
              <w:top w:val="single" w:sz="6" w:space="0" w:color="BEBEBE"/>
              <w:left w:val="single" w:sz="6" w:space="0" w:color="BEBEBE"/>
              <w:bottom w:val="single" w:sz="6" w:space="0" w:color="BEBEBE"/>
            </w:tcBorders>
          </w:tcPr>
          <w:p>
            <w:pPr>
              <w:pStyle w:val="TableParagraph"/>
              <w:rPr>
                <w:rFonts w:ascii="Times New Roman"/>
                <w:sz w:val="16"/>
              </w:rPr>
            </w:pPr>
          </w:p>
        </w:tc>
      </w:tr>
      <w:tr>
        <w:trPr>
          <w:trHeight w:val="424" w:hRule="atLeast"/>
        </w:trPr>
        <w:tc>
          <w:tcPr>
            <w:tcW w:w="422" w:type="dxa"/>
            <w:tcBorders>
              <w:top w:val="single" w:sz="6" w:space="0" w:color="BEBEBE"/>
              <w:bottom w:val="single" w:sz="6" w:space="0" w:color="BEBEBE"/>
              <w:right w:val="single" w:sz="6" w:space="0" w:color="BEBEBE"/>
            </w:tcBorders>
          </w:tcPr>
          <w:p>
            <w:pPr>
              <w:pStyle w:val="TableParagraph"/>
              <w:spacing w:before="112"/>
              <w:ind w:left="162"/>
              <w:rPr>
                <w:sz w:val="16"/>
              </w:rPr>
            </w:pPr>
            <w:r>
              <w:rPr>
                <w:w w:val="100"/>
                <w:sz w:val="16"/>
              </w:rPr>
              <w:t>2</w:t>
            </w:r>
          </w:p>
        </w:tc>
        <w:tc>
          <w:tcPr>
            <w:tcW w:w="3497"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585"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69"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586"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89"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91" w:type="dxa"/>
            <w:tcBorders>
              <w:top w:val="single" w:sz="6" w:space="0" w:color="BEBEBE"/>
              <w:left w:val="single" w:sz="6" w:space="0" w:color="BEBEBE"/>
              <w:bottom w:val="single" w:sz="6" w:space="0" w:color="BEBEBE"/>
            </w:tcBorders>
          </w:tcPr>
          <w:p>
            <w:pPr>
              <w:pStyle w:val="TableParagraph"/>
              <w:rPr>
                <w:rFonts w:ascii="Times New Roman"/>
                <w:sz w:val="16"/>
              </w:rPr>
            </w:pPr>
          </w:p>
        </w:tc>
      </w:tr>
      <w:tr>
        <w:trPr>
          <w:trHeight w:val="422" w:hRule="atLeast"/>
        </w:trPr>
        <w:tc>
          <w:tcPr>
            <w:tcW w:w="422" w:type="dxa"/>
            <w:tcBorders>
              <w:top w:val="single" w:sz="6" w:space="0" w:color="BEBEBE"/>
              <w:bottom w:val="single" w:sz="6" w:space="0" w:color="BEBEBE"/>
              <w:right w:val="single" w:sz="6" w:space="0" w:color="BEBEBE"/>
            </w:tcBorders>
          </w:tcPr>
          <w:p>
            <w:pPr>
              <w:pStyle w:val="TableParagraph"/>
              <w:spacing w:before="113"/>
              <w:ind w:left="162"/>
              <w:rPr>
                <w:sz w:val="16"/>
              </w:rPr>
            </w:pPr>
            <w:r>
              <w:rPr>
                <w:w w:val="100"/>
                <w:sz w:val="16"/>
              </w:rPr>
              <w:t>3</w:t>
            </w:r>
          </w:p>
        </w:tc>
        <w:tc>
          <w:tcPr>
            <w:tcW w:w="3497"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585"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69"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586"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89"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91" w:type="dxa"/>
            <w:tcBorders>
              <w:top w:val="single" w:sz="6" w:space="0" w:color="BEBEBE"/>
              <w:left w:val="single" w:sz="6" w:space="0" w:color="BEBEBE"/>
              <w:bottom w:val="single" w:sz="6" w:space="0" w:color="BEBEBE"/>
            </w:tcBorders>
          </w:tcPr>
          <w:p>
            <w:pPr>
              <w:pStyle w:val="TableParagraph"/>
              <w:rPr>
                <w:rFonts w:ascii="Times New Roman"/>
                <w:sz w:val="16"/>
              </w:rPr>
            </w:pPr>
          </w:p>
        </w:tc>
      </w:tr>
      <w:tr>
        <w:trPr>
          <w:trHeight w:val="421" w:hRule="atLeast"/>
        </w:trPr>
        <w:tc>
          <w:tcPr>
            <w:tcW w:w="422" w:type="dxa"/>
            <w:tcBorders>
              <w:top w:val="single" w:sz="6" w:space="0" w:color="BEBEBE"/>
              <w:right w:val="single" w:sz="6" w:space="0" w:color="BEBEBE"/>
            </w:tcBorders>
          </w:tcPr>
          <w:p>
            <w:pPr>
              <w:pStyle w:val="TableParagraph"/>
              <w:spacing w:before="112"/>
              <w:ind w:left="126"/>
              <w:rPr>
                <w:sz w:val="16"/>
              </w:rPr>
            </w:pPr>
            <w:r>
              <w:rPr>
                <w:w w:val="100"/>
                <w:sz w:val="16"/>
              </w:rPr>
              <w:t>…</w:t>
            </w:r>
          </w:p>
        </w:tc>
        <w:tc>
          <w:tcPr>
            <w:tcW w:w="3497"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585"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669"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586"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689"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691" w:type="dxa"/>
            <w:tcBorders>
              <w:top w:val="single" w:sz="6" w:space="0" w:color="BEBEBE"/>
              <w:left w:val="single" w:sz="6" w:space="0" w:color="BEBEBE"/>
            </w:tcBorders>
          </w:tcPr>
          <w:p>
            <w:pPr>
              <w:pStyle w:val="TableParagraph"/>
              <w:rPr>
                <w:rFonts w:ascii="Times New Roman"/>
                <w:sz w:val="16"/>
              </w:rPr>
            </w:pPr>
          </w:p>
        </w:tc>
      </w:tr>
    </w:tbl>
    <w:p>
      <w:pPr>
        <w:pStyle w:val="BodyText"/>
        <w:spacing w:before="11"/>
      </w:pPr>
    </w:p>
    <w:p>
      <w:pPr>
        <w:pStyle w:val="ListParagraph"/>
        <w:numPr>
          <w:ilvl w:val="0"/>
          <w:numId w:val="109"/>
        </w:numPr>
        <w:tabs>
          <w:tab w:pos="845" w:val="left" w:leader="none"/>
        </w:tabs>
        <w:spacing w:line="240" w:lineRule="auto" w:before="0" w:after="0"/>
        <w:ind w:left="844" w:right="816" w:hanging="358"/>
        <w:jc w:val="left"/>
        <w:rPr>
          <w:sz w:val="18"/>
        </w:rPr>
      </w:pPr>
      <w:r>
        <w:rPr>
          <w:sz w:val="18"/>
        </w:rPr>
        <w:t>Please</w:t>
      </w:r>
      <w:r>
        <w:rPr>
          <w:spacing w:val="-4"/>
          <w:sz w:val="18"/>
        </w:rPr>
        <w:t> </w:t>
      </w:r>
      <w:r>
        <w:rPr>
          <w:sz w:val="18"/>
        </w:rPr>
        <w:t>estimated</w:t>
      </w:r>
      <w:r>
        <w:rPr>
          <w:spacing w:val="-2"/>
          <w:sz w:val="18"/>
        </w:rPr>
        <w:t> </w:t>
      </w:r>
      <w:r>
        <w:rPr>
          <w:sz w:val="18"/>
        </w:rPr>
        <w:t>the</w:t>
      </w:r>
      <w:r>
        <w:rPr>
          <w:spacing w:val="-1"/>
          <w:sz w:val="18"/>
        </w:rPr>
        <w:t> </w:t>
      </w:r>
      <w:r>
        <w:rPr>
          <w:sz w:val="18"/>
        </w:rPr>
        <w:t>contribution</w:t>
      </w:r>
      <w:r>
        <w:rPr>
          <w:spacing w:val="-3"/>
          <w:sz w:val="18"/>
        </w:rPr>
        <w:t> </w:t>
      </w:r>
      <w:r>
        <w:rPr>
          <w:sz w:val="18"/>
        </w:rPr>
        <w:t>of</w:t>
      </w:r>
      <w:r>
        <w:rPr>
          <w:spacing w:val="-4"/>
          <w:sz w:val="18"/>
        </w:rPr>
        <w:t> </w:t>
      </w:r>
      <w:r>
        <w:rPr>
          <w:sz w:val="18"/>
        </w:rPr>
        <w:t>staff</w:t>
      </w:r>
      <w:r>
        <w:rPr>
          <w:spacing w:val="-3"/>
          <w:sz w:val="18"/>
        </w:rPr>
        <w:t> </w:t>
      </w:r>
      <w:r>
        <w:rPr>
          <w:sz w:val="18"/>
        </w:rPr>
        <w:t>who</w:t>
      </w:r>
      <w:r>
        <w:rPr>
          <w:spacing w:val="-3"/>
          <w:sz w:val="18"/>
        </w:rPr>
        <w:t> </w:t>
      </w:r>
      <w:r>
        <w:rPr>
          <w:sz w:val="18"/>
        </w:rPr>
        <w:t>are</w:t>
      </w:r>
      <w:r>
        <w:rPr>
          <w:spacing w:val="-6"/>
          <w:sz w:val="18"/>
        </w:rPr>
        <w:t> </w:t>
      </w:r>
      <w:r>
        <w:rPr>
          <w:sz w:val="18"/>
        </w:rPr>
        <w:t>indirectly</w:t>
      </w:r>
      <w:r>
        <w:rPr>
          <w:spacing w:val="-4"/>
          <w:sz w:val="18"/>
        </w:rPr>
        <w:t> </w:t>
      </w:r>
      <w:r>
        <w:rPr>
          <w:sz w:val="18"/>
        </w:rPr>
        <w:t>involved</w:t>
      </w:r>
      <w:r>
        <w:rPr>
          <w:spacing w:val="-4"/>
          <w:sz w:val="18"/>
        </w:rPr>
        <w:t> </w:t>
      </w:r>
      <w:r>
        <w:rPr>
          <w:sz w:val="18"/>
        </w:rPr>
        <w:t>in</w:t>
      </w:r>
      <w:r>
        <w:rPr>
          <w:spacing w:val="-4"/>
          <w:sz w:val="18"/>
        </w:rPr>
        <w:t> </w:t>
      </w:r>
      <w:r>
        <w:rPr>
          <w:sz w:val="18"/>
        </w:rPr>
        <w:t>supporting</w:t>
      </w:r>
      <w:r>
        <w:rPr>
          <w:spacing w:val="-6"/>
          <w:sz w:val="18"/>
        </w:rPr>
        <w:t> </w:t>
      </w:r>
      <w:r>
        <w:rPr>
          <w:sz w:val="18"/>
        </w:rPr>
        <w:t>the</w:t>
      </w:r>
      <w:r>
        <w:rPr>
          <w:spacing w:val="-3"/>
          <w:sz w:val="18"/>
        </w:rPr>
        <w:t> </w:t>
      </w:r>
      <w:r>
        <w:rPr>
          <w:sz w:val="18"/>
        </w:rPr>
        <w:t>implementation</w:t>
      </w:r>
      <w:r>
        <w:rPr>
          <w:spacing w:val="-4"/>
          <w:sz w:val="18"/>
        </w:rPr>
        <w:t> </w:t>
      </w:r>
      <w:r>
        <w:rPr>
          <w:sz w:val="18"/>
        </w:rPr>
        <w:t>of</w:t>
      </w:r>
      <w:r>
        <w:rPr>
          <w:spacing w:val="-3"/>
          <w:sz w:val="18"/>
        </w:rPr>
        <w:t> </w:t>
      </w:r>
      <w:r>
        <w:rPr>
          <w:sz w:val="18"/>
        </w:rPr>
        <w:t>HCH</w:t>
      </w:r>
      <w:r>
        <w:rPr>
          <w:spacing w:val="-6"/>
          <w:sz w:val="18"/>
        </w:rPr>
        <w:t> </w:t>
      </w:r>
      <w:r>
        <w:rPr>
          <w:sz w:val="18"/>
        </w:rPr>
        <w:t>(i.e.</w:t>
      </w:r>
      <w:r>
        <w:rPr>
          <w:spacing w:val="1"/>
          <w:sz w:val="18"/>
        </w:rPr>
        <w:t> </w:t>
      </w:r>
      <w:r>
        <w:rPr>
          <w:sz w:val="18"/>
        </w:rPr>
        <w:t>do not include the staff directly involved in supporting practices listed in the response to the previous question).</w:t>
      </w:r>
      <w:r>
        <w:rPr>
          <w:spacing w:val="1"/>
          <w:sz w:val="18"/>
        </w:rPr>
        <w:t> </w:t>
      </w:r>
      <w:r>
        <w:rPr>
          <w:sz w:val="18"/>
        </w:rPr>
        <w:t>Express your estimate as full-time equivalent (FTE) staff overall for the PHN. Please estimate the January-June 2020</w:t>
      </w:r>
      <w:r>
        <w:rPr>
          <w:spacing w:val="1"/>
          <w:sz w:val="18"/>
        </w:rPr>
        <w:t> </w:t>
      </w:r>
      <w:r>
        <w:rPr>
          <w:sz w:val="18"/>
        </w:rPr>
        <w:t>period.</w:t>
      </w:r>
    </w:p>
    <w:p>
      <w:pPr>
        <w:pStyle w:val="BodyText"/>
        <w:spacing w:before="5"/>
        <w:rPr>
          <w:sz w:val="16"/>
        </w:rPr>
      </w:pPr>
    </w:p>
    <w:tbl>
      <w:tblPr>
        <w:tblW w:w="0" w:type="auto"/>
        <w:jc w:val="left"/>
        <w:tblInd w:w="113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422"/>
        <w:gridCol w:w="3497"/>
        <w:gridCol w:w="638"/>
        <w:gridCol w:w="638"/>
        <w:gridCol w:w="638"/>
        <w:gridCol w:w="585"/>
        <w:gridCol w:w="669"/>
        <w:gridCol w:w="586"/>
        <w:gridCol w:w="689"/>
        <w:gridCol w:w="691"/>
      </w:tblGrid>
      <w:tr>
        <w:trPr>
          <w:trHeight w:val="421" w:hRule="atLeast"/>
        </w:trPr>
        <w:tc>
          <w:tcPr>
            <w:tcW w:w="422" w:type="dxa"/>
            <w:vMerge w:val="restart"/>
            <w:tcBorders>
              <w:bottom w:val="single" w:sz="6" w:space="0" w:color="BEBEBE"/>
              <w:right w:val="single" w:sz="6" w:space="0" w:color="BEBEBE"/>
            </w:tcBorders>
            <w:shd w:val="clear" w:color="auto" w:fill="F1F1F1"/>
          </w:tcPr>
          <w:p>
            <w:pPr>
              <w:pStyle w:val="TableParagraph"/>
              <w:rPr>
                <w:sz w:val="20"/>
              </w:rPr>
            </w:pPr>
          </w:p>
          <w:p>
            <w:pPr>
              <w:pStyle w:val="TableParagraph"/>
              <w:rPr>
                <w:sz w:val="20"/>
              </w:rPr>
            </w:pPr>
          </w:p>
          <w:p>
            <w:pPr>
              <w:pStyle w:val="TableParagraph"/>
              <w:spacing w:before="135"/>
              <w:ind w:left="10"/>
              <w:jc w:val="center"/>
              <w:rPr>
                <w:sz w:val="16"/>
              </w:rPr>
            </w:pPr>
            <w:r>
              <w:rPr>
                <w:w w:val="100"/>
                <w:sz w:val="16"/>
              </w:rPr>
              <w:t>#</w:t>
            </w:r>
          </w:p>
        </w:tc>
        <w:tc>
          <w:tcPr>
            <w:tcW w:w="3497" w:type="dxa"/>
            <w:vMerge w:val="restart"/>
            <w:tcBorders>
              <w:left w:val="single" w:sz="6" w:space="0" w:color="BEBEBE"/>
              <w:bottom w:val="single" w:sz="6" w:space="0" w:color="BEBEBE"/>
              <w:right w:val="single" w:sz="6" w:space="0" w:color="BEBEBE"/>
            </w:tcBorders>
            <w:shd w:val="clear" w:color="auto" w:fill="F1F1F1"/>
          </w:tcPr>
          <w:p>
            <w:pPr>
              <w:pStyle w:val="TableParagraph"/>
              <w:rPr>
                <w:sz w:val="20"/>
              </w:rPr>
            </w:pPr>
          </w:p>
          <w:p>
            <w:pPr>
              <w:pStyle w:val="TableParagraph"/>
              <w:rPr>
                <w:sz w:val="20"/>
              </w:rPr>
            </w:pPr>
          </w:p>
          <w:p>
            <w:pPr>
              <w:pStyle w:val="TableParagraph"/>
              <w:spacing w:before="135"/>
              <w:ind w:left="1182" w:right="1172"/>
              <w:jc w:val="center"/>
              <w:rPr>
                <w:sz w:val="16"/>
              </w:rPr>
            </w:pPr>
            <w:r>
              <w:rPr>
                <w:sz w:val="16"/>
              </w:rPr>
              <w:t>Position</w:t>
            </w:r>
            <w:r>
              <w:rPr>
                <w:spacing w:val="-4"/>
                <w:sz w:val="16"/>
              </w:rPr>
              <w:t> </w:t>
            </w:r>
            <w:r>
              <w:rPr>
                <w:sz w:val="16"/>
              </w:rPr>
              <w:t>name</w:t>
            </w:r>
          </w:p>
        </w:tc>
        <w:tc>
          <w:tcPr>
            <w:tcW w:w="1276" w:type="dxa"/>
            <w:gridSpan w:val="2"/>
            <w:tcBorders>
              <w:left w:val="single" w:sz="6" w:space="0" w:color="BEBEBE"/>
              <w:bottom w:val="single" w:sz="6" w:space="0" w:color="BEBEBE"/>
              <w:right w:val="single" w:sz="6" w:space="0" w:color="BEBEBE"/>
            </w:tcBorders>
            <w:shd w:val="clear" w:color="auto" w:fill="F1F1F1"/>
          </w:tcPr>
          <w:p>
            <w:pPr>
              <w:pStyle w:val="TableParagraph"/>
              <w:spacing w:before="112"/>
              <w:ind w:left="346"/>
              <w:rPr>
                <w:sz w:val="16"/>
              </w:rPr>
            </w:pPr>
            <w:r>
              <w:rPr>
                <w:sz w:val="16"/>
              </w:rPr>
              <w:t>2017-18</w:t>
            </w:r>
          </w:p>
        </w:tc>
        <w:tc>
          <w:tcPr>
            <w:tcW w:w="1223" w:type="dxa"/>
            <w:gridSpan w:val="2"/>
            <w:tcBorders>
              <w:left w:val="single" w:sz="6" w:space="0" w:color="BEBEBE"/>
              <w:bottom w:val="single" w:sz="6" w:space="0" w:color="BEBEBE"/>
              <w:right w:val="single" w:sz="6" w:space="0" w:color="BEBEBE"/>
            </w:tcBorders>
            <w:shd w:val="clear" w:color="auto" w:fill="F1F1F1"/>
          </w:tcPr>
          <w:p>
            <w:pPr>
              <w:pStyle w:val="TableParagraph"/>
              <w:spacing w:before="112"/>
              <w:ind w:left="318"/>
              <w:rPr>
                <w:sz w:val="16"/>
              </w:rPr>
            </w:pPr>
            <w:r>
              <w:rPr>
                <w:sz w:val="16"/>
              </w:rPr>
              <w:t>2018-19</w:t>
            </w:r>
          </w:p>
        </w:tc>
        <w:tc>
          <w:tcPr>
            <w:tcW w:w="1255" w:type="dxa"/>
            <w:gridSpan w:val="2"/>
            <w:tcBorders>
              <w:left w:val="single" w:sz="6" w:space="0" w:color="BEBEBE"/>
              <w:bottom w:val="single" w:sz="6" w:space="0" w:color="BEBEBE"/>
              <w:right w:val="single" w:sz="6" w:space="0" w:color="BEBEBE"/>
            </w:tcBorders>
            <w:shd w:val="clear" w:color="auto" w:fill="F1F1F1"/>
          </w:tcPr>
          <w:p>
            <w:pPr>
              <w:pStyle w:val="TableParagraph"/>
              <w:spacing w:before="112"/>
              <w:ind w:left="333"/>
              <w:rPr>
                <w:sz w:val="16"/>
              </w:rPr>
            </w:pPr>
            <w:r>
              <w:rPr>
                <w:sz w:val="16"/>
              </w:rPr>
              <w:t>2019-20</w:t>
            </w:r>
          </w:p>
        </w:tc>
        <w:tc>
          <w:tcPr>
            <w:tcW w:w="1380" w:type="dxa"/>
            <w:gridSpan w:val="2"/>
            <w:tcBorders>
              <w:left w:val="single" w:sz="6" w:space="0" w:color="BEBEBE"/>
              <w:bottom w:val="single" w:sz="6" w:space="0" w:color="BEBEBE"/>
            </w:tcBorders>
            <w:shd w:val="clear" w:color="auto" w:fill="F1F1F1"/>
          </w:tcPr>
          <w:p>
            <w:pPr>
              <w:pStyle w:val="TableParagraph"/>
              <w:spacing w:before="112"/>
              <w:ind w:left="397"/>
              <w:rPr>
                <w:sz w:val="16"/>
              </w:rPr>
            </w:pPr>
            <w:r>
              <w:rPr>
                <w:sz w:val="16"/>
              </w:rPr>
              <w:t>2020-21</w:t>
            </w:r>
          </w:p>
        </w:tc>
      </w:tr>
      <w:tr>
        <w:trPr>
          <w:trHeight w:val="1010" w:hRule="atLeast"/>
        </w:trPr>
        <w:tc>
          <w:tcPr>
            <w:tcW w:w="422" w:type="dxa"/>
            <w:vMerge/>
            <w:tcBorders>
              <w:top w:val="nil"/>
              <w:bottom w:val="single" w:sz="6" w:space="0" w:color="BEBEBE"/>
              <w:right w:val="single" w:sz="6" w:space="0" w:color="BEBEBE"/>
            </w:tcBorders>
            <w:shd w:val="clear" w:color="auto" w:fill="F1F1F1"/>
          </w:tcPr>
          <w:p>
            <w:pPr>
              <w:rPr>
                <w:sz w:val="2"/>
                <w:szCs w:val="2"/>
              </w:rPr>
            </w:pPr>
          </w:p>
        </w:tc>
        <w:tc>
          <w:tcPr>
            <w:tcW w:w="3497" w:type="dxa"/>
            <w:vMerge/>
            <w:tcBorders>
              <w:top w:val="nil"/>
              <w:left w:val="single" w:sz="6" w:space="0" w:color="BEBEBE"/>
              <w:bottom w:val="single" w:sz="6" w:space="0" w:color="BEBEBE"/>
              <w:right w:val="single" w:sz="6" w:space="0" w:color="BEBEBE"/>
            </w:tcBorders>
            <w:shd w:val="clear" w:color="auto" w:fill="F1F1F1"/>
          </w:tcPr>
          <w:p>
            <w:pPr>
              <w:rPr>
                <w:sz w:val="2"/>
                <w:szCs w:val="2"/>
              </w:rPr>
            </w:pPr>
          </w:p>
        </w:tc>
        <w:tc>
          <w:tcPr>
            <w:tcW w:w="638" w:type="dxa"/>
            <w:tcBorders>
              <w:top w:val="single" w:sz="6" w:space="0" w:color="BEBEBE"/>
              <w:left w:val="single" w:sz="6" w:space="0" w:color="BEBEBE"/>
              <w:bottom w:val="single" w:sz="6" w:space="0" w:color="BEBEBE"/>
              <w:right w:val="single" w:sz="6" w:space="0" w:color="BEBEBE"/>
            </w:tcBorders>
            <w:shd w:val="clear" w:color="auto" w:fill="F1F1F1"/>
          </w:tcPr>
          <w:p>
            <w:pPr>
              <w:pStyle w:val="TableParagraph"/>
              <w:spacing w:before="112"/>
              <w:ind w:left="142" w:right="123" w:firstLine="48"/>
              <w:jc w:val="both"/>
              <w:rPr>
                <w:sz w:val="16"/>
              </w:rPr>
            </w:pPr>
            <w:r>
              <w:rPr>
                <w:sz w:val="16"/>
              </w:rPr>
              <w:t>Jul-</w:t>
            </w:r>
            <w:r>
              <w:rPr>
                <w:spacing w:val="1"/>
                <w:sz w:val="16"/>
              </w:rPr>
              <w:t> </w:t>
            </w:r>
            <w:r>
              <w:rPr>
                <w:sz w:val="16"/>
              </w:rPr>
              <w:t>Dec</w:t>
            </w:r>
            <w:r>
              <w:rPr>
                <w:spacing w:val="-42"/>
                <w:sz w:val="16"/>
              </w:rPr>
              <w:t> </w:t>
            </w:r>
            <w:r>
              <w:rPr>
                <w:sz w:val="16"/>
              </w:rPr>
              <w:t>2017</w:t>
            </w:r>
            <w:r>
              <w:rPr>
                <w:spacing w:val="-42"/>
                <w:sz w:val="16"/>
              </w:rPr>
              <w:t> </w:t>
            </w:r>
            <w:r>
              <w:rPr>
                <w:sz w:val="16"/>
              </w:rPr>
              <w:t>FTE</w:t>
            </w:r>
          </w:p>
        </w:tc>
        <w:tc>
          <w:tcPr>
            <w:tcW w:w="638" w:type="dxa"/>
            <w:tcBorders>
              <w:top w:val="single" w:sz="6" w:space="0" w:color="BEBEBE"/>
              <w:left w:val="single" w:sz="6" w:space="0" w:color="BEBEBE"/>
              <w:bottom w:val="single" w:sz="6" w:space="0" w:color="BEBEBE"/>
              <w:right w:val="single" w:sz="6" w:space="0" w:color="BEBEBE"/>
            </w:tcBorders>
            <w:shd w:val="clear" w:color="auto" w:fill="F1F1F1"/>
          </w:tcPr>
          <w:p>
            <w:pPr>
              <w:pStyle w:val="TableParagraph"/>
              <w:spacing w:before="112"/>
              <w:ind w:left="140" w:right="125" w:firstLine="9"/>
              <w:jc w:val="both"/>
              <w:rPr>
                <w:sz w:val="16"/>
              </w:rPr>
            </w:pPr>
            <w:r>
              <w:rPr>
                <w:sz w:val="16"/>
              </w:rPr>
              <w:t>Jan-</w:t>
            </w:r>
            <w:r>
              <w:rPr>
                <w:spacing w:val="-42"/>
                <w:sz w:val="16"/>
              </w:rPr>
              <w:t> </w:t>
            </w:r>
            <w:r>
              <w:rPr>
                <w:sz w:val="16"/>
              </w:rPr>
              <w:t>Jun</w:t>
            </w:r>
            <w:r>
              <w:rPr>
                <w:spacing w:val="1"/>
                <w:sz w:val="16"/>
              </w:rPr>
              <w:t> </w:t>
            </w:r>
            <w:r>
              <w:rPr>
                <w:sz w:val="16"/>
              </w:rPr>
              <w:t>2018</w:t>
            </w:r>
            <w:r>
              <w:rPr>
                <w:spacing w:val="-42"/>
                <w:sz w:val="16"/>
              </w:rPr>
              <w:t> </w:t>
            </w:r>
            <w:r>
              <w:rPr>
                <w:sz w:val="16"/>
              </w:rPr>
              <w:t>FTE</w:t>
            </w:r>
          </w:p>
        </w:tc>
        <w:tc>
          <w:tcPr>
            <w:tcW w:w="638" w:type="dxa"/>
            <w:tcBorders>
              <w:top w:val="single" w:sz="6" w:space="0" w:color="BEBEBE"/>
              <w:left w:val="single" w:sz="6" w:space="0" w:color="BEBEBE"/>
              <w:bottom w:val="single" w:sz="6" w:space="0" w:color="BEBEBE"/>
              <w:right w:val="single" w:sz="6" w:space="0" w:color="BEBEBE"/>
            </w:tcBorders>
            <w:shd w:val="clear" w:color="auto" w:fill="F1F1F1"/>
          </w:tcPr>
          <w:p>
            <w:pPr>
              <w:pStyle w:val="TableParagraph"/>
              <w:spacing w:before="112"/>
              <w:ind w:left="140" w:right="124" w:firstLine="48"/>
              <w:jc w:val="both"/>
              <w:rPr>
                <w:sz w:val="16"/>
              </w:rPr>
            </w:pPr>
            <w:r>
              <w:rPr>
                <w:sz w:val="16"/>
              </w:rPr>
              <w:t>Jul-</w:t>
            </w:r>
            <w:r>
              <w:rPr>
                <w:spacing w:val="1"/>
                <w:sz w:val="16"/>
              </w:rPr>
              <w:t> </w:t>
            </w:r>
            <w:r>
              <w:rPr>
                <w:sz w:val="16"/>
              </w:rPr>
              <w:t>Dec</w:t>
            </w:r>
            <w:r>
              <w:rPr>
                <w:spacing w:val="-42"/>
                <w:sz w:val="16"/>
              </w:rPr>
              <w:t> </w:t>
            </w:r>
            <w:r>
              <w:rPr>
                <w:sz w:val="16"/>
              </w:rPr>
              <w:t>2018</w:t>
            </w:r>
            <w:r>
              <w:rPr>
                <w:spacing w:val="-42"/>
                <w:sz w:val="16"/>
              </w:rPr>
              <w:t> </w:t>
            </w:r>
            <w:r>
              <w:rPr>
                <w:sz w:val="16"/>
              </w:rPr>
              <w:t>FTE</w:t>
            </w:r>
          </w:p>
        </w:tc>
        <w:tc>
          <w:tcPr>
            <w:tcW w:w="585" w:type="dxa"/>
            <w:tcBorders>
              <w:top w:val="single" w:sz="6" w:space="0" w:color="BEBEBE"/>
              <w:left w:val="single" w:sz="6" w:space="0" w:color="BEBEBE"/>
              <w:bottom w:val="single" w:sz="6" w:space="0" w:color="BEBEBE"/>
              <w:right w:val="single" w:sz="6" w:space="0" w:color="BEBEBE"/>
            </w:tcBorders>
            <w:shd w:val="clear" w:color="auto" w:fill="F1F1F1"/>
          </w:tcPr>
          <w:p>
            <w:pPr>
              <w:pStyle w:val="TableParagraph"/>
              <w:spacing w:before="112"/>
              <w:ind w:left="114" w:right="97" w:firstLine="9"/>
              <w:jc w:val="both"/>
              <w:rPr>
                <w:sz w:val="16"/>
              </w:rPr>
            </w:pPr>
            <w:r>
              <w:rPr>
                <w:sz w:val="16"/>
              </w:rPr>
              <w:t>Jan-</w:t>
            </w:r>
            <w:r>
              <w:rPr>
                <w:spacing w:val="-42"/>
                <w:sz w:val="16"/>
              </w:rPr>
              <w:t> </w:t>
            </w:r>
            <w:r>
              <w:rPr>
                <w:sz w:val="16"/>
              </w:rPr>
              <w:t>Jun</w:t>
            </w:r>
            <w:r>
              <w:rPr>
                <w:spacing w:val="1"/>
                <w:sz w:val="16"/>
              </w:rPr>
              <w:t> </w:t>
            </w:r>
            <w:r>
              <w:rPr>
                <w:sz w:val="16"/>
              </w:rPr>
              <w:t>2019</w:t>
            </w:r>
            <w:r>
              <w:rPr>
                <w:spacing w:val="-42"/>
                <w:sz w:val="16"/>
              </w:rPr>
              <w:t> </w:t>
            </w:r>
            <w:r>
              <w:rPr>
                <w:sz w:val="16"/>
              </w:rPr>
              <w:t>FTE</w:t>
            </w:r>
          </w:p>
        </w:tc>
        <w:tc>
          <w:tcPr>
            <w:tcW w:w="669" w:type="dxa"/>
            <w:tcBorders>
              <w:top w:val="single" w:sz="6" w:space="0" w:color="BEBEBE"/>
              <w:left w:val="single" w:sz="6" w:space="0" w:color="BEBEBE"/>
              <w:bottom w:val="single" w:sz="6" w:space="0" w:color="BEBEBE"/>
              <w:right w:val="single" w:sz="6" w:space="0" w:color="BEBEBE"/>
            </w:tcBorders>
            <w:shd w:val="clear" w:color="auto" w:fill="F1F1F1"/>
          </w:tcPr>
          <w:p>
            <w:pPr>
              <w:pStyle w:val="TableParagraph"/>
              <w:spacing w:before="112"/>
              <w:ind w:left="156" w:right="140" w:firstLine="48"/>
              <w:jc w:val="both"/>
              <w:rPr>
                <w:sz w:val="16"/>
              </w:rPr>
            </w:pPr>
            <w:r>
              <w:rPr>
                <w:sz w:val="16"/>
              </w:rPr>
              <w:t>Jul-</w:t>
            </w:r>
            <w:r>
              <w:rPr>
                <w:spacing w:val="1"/>
                <w:sz w:val="16"/>
              </w:rPr>
              <w:t> </w:t>
            </w:r>
            <w:r>
              <w:rPr>
                <w:sz w:val="16"/>
              </w:rPr>
              <w:t>Dec</w:t>
            </w:r>
            <w:r>
              <w:rPr>
                <w:spacing w:val="-42"/>
                <w:sz w:val="16"/>
              </w:rPr>
              <w:t> </w:t>
            </w:r>
            <w:r>
              <w:rPr>
                <w:sz w:val="16"/>
              </w:rPr>
              <w:t>2019</w:t>
            </w:r>
            <w:r>
              <w:rPr>
                <w:spacing w:val="-42"/>
                <w:sz w:val="16"/>
              </w:rPr>
              <w:t> </w:t>
            </w:r>
            <w:r>
              <w:rPr>
                <w:sz w:val="16"/>
              </w:rPr>
              <w:t>FTE</w:t>
            </w:r>
          </w:p>
        </w:tc>
        <w:tc>
          <w:tcPr>
            <w:tcW w:w="586" w:type="dxa"/>
            <w:tcBorders>
              <w:top w:val="single" w:sz="6" w:space="0" w:color="BEBEBE"/>
              <w:left w:val="single" w:sz="6" w:space="0" w:color="BEBEBE"/>
              <w:bottom w:val="single" w:sz="6" w:space="0" w:color="BEBEBE"/>
              <w:right w:val="single" w:sz="6" w:space="0" w:color="BEBEBE"/>
            </w:tcBorders>
            <w:shd w:val="clear" w:color="auto" w:fill="F1F1F1"/>
          </w:tcPr>
          <w:p>
            <w:pPr>
              <w:pStyle w:val="TableParagraph"/>
              <w:spacing w:before="112"/>
              <w:ind w:left="116" w:right="97" w:firstLine="9"/>
              <w:jc w:val="both"/>
              <w:rPr>
                <w:sz w:val="16"/>
              </w:rPr>
            </w:pPr>
            <w:r>
              <w:rPr>
                <w:sz w:val="16"/>
              </w:rPr>
              <w:t>Jan-</w:t>
            </w:r>
            <w:r>
              <w:rPr>
                <w:spacing w:val="-42"/>
                <w:sz w:val="16"/>
              </w:rPr>
              <w:t> </w:t>
            </w:r>
            <w:r>
              <w:rPr>
                <w:sz w:val="16"/>
              </w:rPr>
              <w:t>Jun</w:t>
            </w:r>
            <w:r>
              <w:rPr>
                <w:spacing w:val="1"/>
                <w:sz w:val="16"/>
              </w:rPr>
              <w:t> </w:t>
            </w:r>
            <w:r>
              <w:rPr>
                <w:sz w:val="16"/>
              </w:rPr>
              <w:t>2020</w:t>
            </w:r>
            <w:r>
              <w:rPr>
                <w:spacing w:val="-42"/>
                <w:sz w:val="16"/>
              </w:rPr>
              <w:t> </w:t>
            </w:r>
            <w:r>
              <w:rPr>
                <w:sz w:val="16"/>
              </w:rPr>
              <w:t>FTE</w:t>
            </w:r>
          </w:p>
        </w:tc>
        <w:tc>
          <w:tcPr>
            <w:tcW w:w="689" w:type="dxa"/>
            <w:tcBorders>
              <w:top w:val="single" w:sz="6" w:space="0" w:color="BEBEBE"/>
              <w:left w:val="single" w:sz="6" w:space="0" w:color="BEBEBE"/>
              <w:bottom w:val="single" w:sz="6" w:space="0" w:color="BEBEBE"/>
              <w:right w:val="single" w:sz="6" w:space="0" w:color="BEBEBE"/>
            </w:tcBorders>
            <w:shd w:val="clear" w:color="auto" w:fill="F1F1F1"/>
          </w:tcPr>
          <w:p>
            <w:pPr>
              <w:pStyle w:val="TableParagraph"/>
              <w:spacing w:before="112"/>
              <w:ind w:left="169" w:right="147" w:firstLine="48"/>
              <w:jc w:val="both"/>
              <w:rPr>
                <w:sz w:val="16"/>
              </w:rPr>
            </w:pPr>
            <w:r>
              <w:rPr>
                <w:sz w:val="16"/>
              </w:rPr>
              <w:t>Jul-</w:t>
            </w:r>
            <w:r>
              <w:rPr>
                <w:spacing w:val="1"/>
                <w:sz w:val="16"/>
              </w:rPr>
              <w:t> </w:t>
            </w:r>
            <w:r>
              <w:rPr>
                <w:sz w:val="16"/>
              </w:rPr>
              <w:t>Dec</w:t>
            </w:r>
            <w:r>
              <w:rPr>
                <w:spacing w:val="-42"/>
                <w:sz w:val="16"/>
              </w:rPr>
              <w:t> </w:t>
            </w:r>
            <w:r>
              <w:rPr>
                <w:sz w:val="16"/>
              </w:rPr>
              <w:t>2020</w:t>
            </w:r>
            <w:r>
              <w:rPr>
                <w:spacing w:val="-42"/>
                <w:sz w:val="16"/>
              </w:rPr>
              <w:t> </w:t>
            </w:r>
            <w:r>
              <w:rPr>
                <w:sz w:val="16"/>
              </w:rPr>
              <w:t>FTE</w:t>
            </w:r>
          </w:p>
        </w:tc>
        <w:tc>
          <w:tcPr>
            <w:tcW w:w="691" w:type="dxa"/>
            <w:tcBorders>
              <w:top w:val="single" w:sz="6" w:space="0" w:color="BEBEBE"/>
              <w:left w:val="single" w:sz="6" w:space="0" w:color="BEBEBE"/>
              <w:bottom w:val="single" w:sz="6" w:space="0" w:color="BEBEBE"/>
            </w:tcBorders>
            <w:shd w:val="clear" w:color="auto" w:fill="F1F1F1"/>
          </w:tcPr>
          <w:p>
            <w:pPr>
              <w:pStyle w:val="TableParagraph"/>
              <w:spacing w:before="112"/>
              <w:ind w:left="168" w:right="150" w:firstLine="9"/>
              <w:jc w:val="both"/>
              <w:rPr>
                <w:sz w:val="16"/>
              </w:rPr>
            </w:pPr>
            <w:r>
              <w:rPr>
                <w:sz w:val="16"/>
              </w:rPr>
              <w:t>Jan-</w:t>
            </w:r>
            <w:r>
              <w:rPr>
                <w:spacing w:val="-42"/>
                <w:sz w:val="16"/>
              </w:rPr>
              <w:t> </w:t>
            </w:r>
            <w:r>
              <w:rPr>
                <w:sz w:val="16"/>
              </w:rPr>
              <w:t>Jun</w:t>
            </w:r>
            <w:r>
              <w:rPr>
                <w:spacing w:val="1"/>
                <w:sz w:val="16"/>
              </w:rPr>
              <w:t> </w:t>
            </w:r>
            <w:r>
              <w:rPr>
                <w:sz w:val="16"/>
              </w:rPr>
              <w:t>2021</w:t>
            </w:r>
            <w:r>
              <w:rPr>
                <w:spacing w:val="-42"/>
                <w:sz w:val="16"/>
              </w:rPr>
              <w:t> </w:t>
            </w:r>
            <w:r>
              <w:rPr>
                <w:sz w:val="16"/>
              </w:rPr>
              <w:t>FTE</w:t>
            </w:r>
          </w:p>
        </w:tc>
      </w:tr>
      <w:tr>
        <w:trPr>
          <w:trHeight w:val="424" w:hRule="atLeast"/>
        </w:trPr>
        <w:tc>
          <w:tcPr>
            <w:tcW w:w="422" w:type="dxa"/>
            <w:tcBorders>
              <w:top w:val="single" w:sz="6" w:space="0" w:color="BEBEBE"/>
              <w:bottom w:val="single" w:sz="6" w:space="0" w:color="BEBEBE"/>
              <w:right w:val="single" w:sz="6" w:space="0" w:color="BEBEBE"/>
            </w:tcBorders>
          </w:tcPr>
          <w:p>
            <w:pPr>
              <w:pStyle w:val="TableParagraph"/>
              <w:spacing w:before="112"/>
              <w:ind w:left="162"/>
              <w:rPr>
                <w:sz w:val="16"/>
              </w:rPr>
            </w:pPr>
            <w:r>
              <w:rPr>
                <w:w w:val="100"/>
                <w:sz w:val="16"/>
              </w:rPr>
              <w:t>1</w:t>
            </w:r>
          </w:p>
        </w:tc>
        <w:tc>
          <w:tcPr>
            <w:tcW w:w="3497"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585"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69"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586"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89"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91" w:type="dxa"/>
            <w:tcBorders>
              <w:top w:val="single" w:sz="6" w:space="0" w:color="BEBEBE"/>
              <w:left w:val="single" w:sz="6" w:space="0" w:color="BEBEBE"/>
              <w:bottom w:val="single" w:sz="6" w:space="0" w:color="BEBEBE"/>
            </w:tcBorders>
          </w:tcPr>
          <w:p>
            <w:pPr>
              <w:pStyle w:val="TableParagraph"/>
              <w:rPr>
                <w:rFonts w:ascii="Times New Roman"/>
                <w:sz w:val="16"/>
              </w:rPr>
            </w:pPr>
          </w:p>
        </w:tc>
      </w:tr>
      <w:tr>
        <w:trPr>
          <w:trHeight w:val="421" w:hRule="atLeast"/>
        </w:trPr>
        <w:tc>
          <w:tcPr>
            <w:tcW w:w="422" w:type="dxa"/>
            <w:tcBorders>
              <w:top w:val="single" w:sz="6" w:space="0" w:color="BEBEBE"/>
              <w:bottom w:val="single" w:sz="6" w:space="0" w:color="BEBEBE"/>
              <w:right w:val="single" w:sz="6" w:space="0" w:color="BEBEBE"/>
            </w:tcBorders>
          </w:tcPr>
          <w:p>
            <w:pPr>
              <w:pStyle w:val="TableParagraph"/>
              <w:spacing w:before="112"/>
              <w:ind w:left="162"/>
              <w:rPr>
                <w:sz w:val="16"/>
              </w:rPr>
            </w:pPr>
            <w:r>
              <w:rPr>
                <w:w w:val="100"/>
                <w:sz w:val="16"/>
              </w:rPr>
              <w:t>2</w:t>
            </w:r>
          </w:p>
        </w:tc>
        <w:tc>
          <w:tcPr>
            <w:tcW w:w="3497"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585"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69"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586"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89"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91" w:type="dxa"/>
            <w:tcBorders>
              <w:top w:val="single" w:sz="6" w:space="0" w:color="BEBEBE"/>
              <w:left w:val="single" w:sz="6" w:space="0" w:color="BEBEBE"/>
              <w:bottom w:val="single" w:sz="6" w:space="0" w:color="BEBEBE"/>
            </w:tcBorders>
          </w:tcPr>
          <w:p>
            <w:pPr>
              <w:pStyle w:val="TableParagraph"/>
              <w:rPr>
                <w:rFonts w:ascii="Times New Roman"/>
                <w:sz w:val="16"/>
              </w:rPr>
            </w:pPr>
          </w:p>
        </w:tc>
      </w:tr>
      <w:tr>
        <w:trPr>
          <w:trHeight w:val="421" w:hRule="atLeast"/>
        </w:trPr>
        <w:tc>
          <w:tcPr>
            <w:tcW w:w="422" w:type="dxa"/>
            <w:tcBorders>
              <w:top w:val="single" w:sz="6" w:space="0" w:color="BEBEBE"/>
              <w:bottom w:val="single" w:sz="6" w:space="0" w:color="BEBEBE"/>
              <w:right w:val="single" w:sz="6" w:space="0" w:color="BEBEBE"/>
            </w:tcBorders>
          </w:tcPr>
          <w:p>
            <w:pPr>
              <w:pStyle w:val="TableParagraph"/>
              <w:spacing w:before="112"/>
              <w:ind w:left="162"/>
              <w:rPr>
                <w:sz w:val="16"/>
              </w:rPr>
            </w:pPr>
            <w:r>
              <w:rPr>
                <w:w w:val="100"/>
                <w:sz w:val="16"/>
              </w:rPr>
              <w:t>3</w:t>
            </w:r>
          </w:p>
        </w:tc>
        <w:tc>
          <w:tcPr>
            <w:tcW w:w="3497"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585"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69"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586"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89" w:type="dxa"/>
            <w:tcBorders>
              <w:top w:val="single" w:sz="6" w:space="0" w:color="BEBEBE"/>
              <w:left w:val="single" w:sz="6" w:space="0" w:color="BEBEBE"/>
              <w:bottom w:val="single" w:sz="6" w:space="0" w:color="BEBEBE"/>
              <w:right w:val="single" w:sz="6" w:space="0" w:color="BEBEBE"/>
            </w:tcBorders>
          </w:tcPr>
          <w:p>
            <w:pPr>
              <w:pStyle w:val="TableParagraph"/>
              <w:rPr>
                <w:rFonts w:ascii="Times New Roman"/>
                <w:sz w:val="16"/>
              </w:rPr>
            </w:pPr>
          </w:p>
        </w:tc>
        <w:tc>
          <w:tcPr>
            <w:tcW w:w="691" w:type="dxa"/>
            <w:tcBorders>
              <w:top w:val="single" w:sz="6" w:space="0" w:color="BEBEBE"/>
              <w:left w:val="single" w:sz="6" w:space="0" w:color="BEBEBE"/>
              <w:bottom w:val="single" w:sz="6" w:space="0" w:color="BEBEBE"/>
            </w:tcBorders>
          </w:tcPr>
          <w:p>
            <w:pPr>
              <w:pStyle w:val="TableParagraph"/>
              <w:rPr>
                <w:rFonts w:ascii="Times New Roman"/>
                <w:sz w:val="16"/>
              </w:rPr>
            </w:pPr>
          </w:p>
        </w:tc>
      </w:tr>
      <w:tr>
        <w:trPr>
          <w:trHeight w:val="421" w:hRule="atLeast"/>
        </w:trPr>
        <w:tc>
          <w:tcPr>
            <w:tcW w:w="422" w:type="dxa"/>
            <w:tcBorders>
              <w:top w:val="single" w:sz="6" w:space="0" w:color="BEBEBE"/>
              <w:right w:val="single" w:sz="6" w:space="0" w:color="BEBEBE"/>
            </w:tcBorders>
          </w:tcPr>
          <w:p>
            <w:pPr>
              <w:pStyle w:val="TableParagraph"/>
              <w:spacing w:before="112"/>
              <w:ind w:left="126"/>
              <w:rPr>
                <w:sz w:val="16"/>
              </w:rPr>
            </w:pPr>
            <w:r>
              <w:rPr>
                <w:w w:val="100"/>
                <w:sz w:val="16"/>
              </w:rPr>
              <w:t>…</w:t>
            </w:r>
          </w:p>
        </w:tc>
        <w:tc>
          <w:tcPr>
            <w:tcW w:w="3497"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638"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585"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669"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586"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689" w:type="dxa"/>
            <w:tcBorders>
              <w:top w:val="single" w:sz="6" w:space="0" w:color="BEBEBE"/>
              <w:left w:val="single" w:sz="6" w:space="0" w:color="BEBEBE"/>
              <w:right w:val="single" w:sz="6" w:space="0" w:color="BEBEBE"/>
            </w:tcBorders>
          </w:tcPr>
          <w:p>
            <w:pPr>
              <w:pStyle w:val="TableParagraph"/>
              <w:rPr>
                <w:rFonts w:ascii="Times New Roman"/>
                <w:sz w:val="16"/>
              </w:rPr>
            </w:pPr>
          </w:p>
        </w:tc>
        <w:tc>
          <w:tcPr>
            <w:tcW w:w="691" w:type="dxa"/>
            <w:tcBorders>
              <w:top w:val="single" w:sz="6" w:space="0" w:color="BEBEBE"/>
              <w:left w:val="single" w:sz="6" w:space="0" w:color="BEBEBE"/>
            </w:tcBorders>
          </w:tcPr>
          <w:p>
            <w:pPr>
              <w:pStyle w:val="TableParagraph"/>
              <w:rPr>
                <w:rFonts w:ascii="Times New Roman"/>
                <w:sz w:val="16"/>
              </w:rPr>
            </w:pPr>
          </w:p>
        </w:tc>
      </w:tr>
    </w:tbl>
    <w:p>
      <w:pPr>
        <w:pStyle w:val="BodyText"/>
        <w:spacing w:before="5"/>
        <w:rPr>
          <w:sz w:val="16"/>
        </w:rPr>
      </w:pPr>
    </w:p>
    <w:p>
      <w:pPr>
        <w:pStyle w:val="ListParagraph"/>
        <w:numPr>
          <w:ilvl w:val="0"/>
          <w:numId w:val="109"/>
        </w:numPr>
        <w:tabs>
          <w:tab w:pos="845" w:val="left" w:leader="none"/>
        </w:tabs>
        <w:spacing w:line="240" w:lineRule="auto" w:before="0" w:after="0"/>
        <w:ind w:left="844" w:right="959" w:hanging="358"/>
        <w:jc w:val="left"/>
        <w:rPr>
          <w:sz w:val="18"/>
        </w:rPr>
      </w:pPr>
      <w:r>
        <w:rPr>
          <w:sz w:val="18"/>
        </w:rPr>
        <w:t>What</w:t>
      </w:r>
      <w:r>
        <w:rPr>
          <w:spacing w:val="-4"/>
          <w:sz w:val="18"/>
        </w:rPr>
        <w:t> </w:t>
      </w:r>
      <w:r>
        <w:rPr>
          <w:sz w:val="18"/>
        </w:rPr>
        <w:t>else</w:t>
      </w:r>
      <w:r>
        <w:rPr>
          <w:spacing w:val="-2"/>
          <w:sz w:val="18"/>
        </w:rPr>
        <w:t> </w:t>
      </w:r>
      <w:r>
        <w:rPr>
          <w:sz w:val="18"/>
        </w:rPr>
        <w:t>should</w:t>
      </w:r>
      <w:r>
        <w:rPr>
          <w:spacing w:val="-3"/>
          <w:sz w:val="18"/>
        </w:rPr>
        <w:t> </w:t>
      </w:r>
      <w:r>
        <w:rPr>
          <w:sz w:val="18"/>
        </w:rPr>
        <w:t>we</w:t>
      </w:r>
      <w:r>
        <w:rPr>
          <w:spacing w:val="-2"/>
          <w:sz w:val="18"/>
        </w:rPr>
        <w:t> </w:t>
      </w:r>
      <w:r>
        <w:rPr>
          <w:sz w:val="18"/>
        </w:rPr>
        <w:t>know</w:t>
      </w:r>
      <w:r>
        <w:rPr>
          <w:spacing w:val="-3"/>
          <w:sz w:val="18"/>
        </w:rPr>
        <w:t> </w:t>
      </w:r>
      <w:r>
        <w:rPr>
          <w:sz w:val="18"/>
        </w:rPr>
        <w:t>about</w:t>
      </w:r>
      <w:r>
        <w:rPr>
          <w:spacing w:val="-4"/>
          <w:sz w:val="18"/>
        </w:rPr>
        <w:t> </w:t>
      </w:r>
      <w:r>
        <w:rPr>
          <w:sz w:val="18"/>
        </w:rPr>
        <w:t>the</w:t>
      </w:r>
      <w:r>
        <w:rPr>
          <w:spacing w:val="-2"/>
          <w:sz w:val="18"/>
        </w:rPr>
        <w:t> </w:t>
      </w:r>
      <w:r>
        <w:rPr>
          <w:sz w:val="18"/>
        </w:rPr>
        <w:t>size</w:t>
      </w:r>
      <w:r>
        <w:rPr>
          <w:spacing w:val="-4"/>
          <w:sz w:val="18"/>
        </w:rPr>
        <w:t> </w:t>
      </w:r>
      <w:r>
        <w:rPr>
          <w:sz w:val="18"/>
        </w:rPr>
        <w:t>and</w:t>
      </w:r>
      <w:r>
        <w:rPr>
          <w:spacing w:val="-3"/>
          <w:sz w:val="18"/>
        </w:rPr>
        <w:t> </w:t>
      </w:r>
      <w:r>
        <w:rPr>
          <w:sz w:val="18"/>
        </w:rPr>
        <w:t>nature</w:t>
      </w:r>
      <w:r>
        <w:rPr>
          <w:spacing w:val="-1"/>
          <w:sz w:val="18"/>
        </w:rPr>
        <w:t> </w:t>
      </w:r>
      <w:r>
        <w:rPr>
          <w:sz w:val="18"/>
        </w:rPr>
        <w:t>of</w:t>
      </w:r>
      <w:r>
        <w:rPr>
          <w:spacing w:val="-2"/>
          <w:sz w:val="18"/>
        </w:rPr>
        <w:t> </w:t>
      </w:r>
      <w:r>
        <w:rPr>
          <w:sz w:val="18"/>
        </w:rPr>
        <w:t>the</w:t>
      </w:r>
      <w:r>
        <w:rPr>
          <w:spacing w:val="-2"/>
          <w:sz w:val="18"/>
        </w:rPr>
        <w:t> </w:t>
      </w:r>
      <w:r>
        <w:rPr>
          <w:sz w:val="18"/>
        </w:rPr>
        <w:t>PHN</w:t>
      </w:r>
      <w:r>
        <w:rPr>
          <w:spacing w:val="-4"/>
          <w:sz w:val="18"/>
        </w:rPr>
        <w:t> </w:t>
      </w:r>
      <w:r>
        <w:rPr>
          <w:sz w:val="18"/>
        </w:rPr>
        <w:t>effort</w:t>
      </w:r>
      <w:r>
        <w:rPr>
          <w:spacing w:val="-4"/>
          <w:sz w:val="18"/>
        </w:rPr>
        <w:t> </w:t>
      </w:r>
      <w:r>
        <w:rPr>
          <w:sz w:val="18"/>
        </w:rPr>
        <w:t>to</w:t>
      </w:r>
      <w:r>
        <w:rPr>
          <w:spacing w:val="-2"/>
          <w:sz w:val="18"/>
        </w:rPr>
        <w:t> </w:t>
      </w:r>
      <w:r>
        <w:rPr>
          <w:sz w:val="18"/>
        </w:rPr>
        <w:t>support</w:t>
      </w:r>
      <w:r>
        <w:rPr>
          <w:spacing w:val="-4"/>
          <w:sz w:val="18"/>
        </w:rPr>
        <w:t> </w:t>
      </w:r>
      <w:r>
        <w:rPr>
          <w:sz w:val="18"/>
        </w:rPr>
        <w:t>the</w:t>
      </w:r>
      <w:r>
        <w:rPr>
          <w:spacing w:val="-4"/>
          <w:sz w:val="18"/>
        </w:rPr>
        <w:t> </w:t>
      </w:r>
      <w:r>
        <w:rPr>
          <w:sz w:val="18"/>
        </w:rPr>
        <w:t>implementation</w:t>
      </w:r>
      <w:r>
        <w:rPr>
          <w:spacing w:val="-2"/>
          <w:sz w:val="18"/>
        </w:rPr>
        <w:t> </w:t>
      </w:r>
      <w:r>
        <w:rPr>
          <w:sz w:val="18"/>
        </w:rPr>
        <w:t>of</w:t>
      </w:r>
      <w:r>
        <w:rPr>
          <w:spacing w:val="-2"/>
          <w:sz w:val="18"/>
        </w:rPr>
        <w:t> </w:t>
      </w:r>
      <w:r>
        <w:rPr>
          <w:sz w:val="18"/>
        </w:rPr>
        <w:t>the</w:t>
      </w:r>
      <w:r>
        <w:rPr>
          <w:spacing w:val="-1"/>
          <w:sz w:val="18"/>
        </w:rPr>
        <w:t> </w:t>
      </w:r>
      <w:r>
        <w:rPr>
          <w:sz w:val="18"/>
        </w:rPr>
        <w:t>HCH</w:t>
      </w:r>
      <w:r>
        <w:rPr>
          <w:spacing w:val="1"/>
          <w:sz w:val="18"/>
        </w:rPr>
        <w:t> </w:t>
      </w:r>
      <w:r>
        <w:rPr>
          <w:sz w:val="18"/>
        </w:rPr>
        <w:t>program?</w:t>
      </w:r>
    </w:p>
    <w:p>
      <w:pPr>
        <w:pStyle w:val="BodyText"/>
      </w:pPr>
    </w:p>
    <w:p>
      <w:pPr>
        <w:pStyle w:val="BodyText"/>
        <w:spacing w:before="1"/>
        <w:rPr>
          <w:sz w:val="19"/>
        </w:rPr>
      </w:pPr>
      <w:r>
        <w:rPr/>
        <w:pict>
          <v:rect style="position:absolute;margin-left:34.560001pt;margin-top:12.901328pt;width:526.3pt;height:.47998pt;mso-position-horizontal-relative:page;mso-position-vertical-relative:paragraph;z-index:-15280640;mso-wrap-distance-left:0;mso-wrap-distance-right:0" id="docshape256" filled="true" fillcolor="#d9d9d9" stroked="false">
            <v:fill type="solid"/>
            <w10:wrap type="topAndBottom"/>
          </v:rect>
        </w:pict>
      </w:r>
    </w:p>
    <w:p>
      <w:pPr>
        <w:pStyle w:val="BodyText"/>
        <w:spacing w:before="3"/>
        <w:rPr>
          <w:sz w:val="8"/>
        </w:rPr>
      </w:pPr>
    </w:p>
    <w:p>
      <w:pPr>
        <w:spacing w:before="100"/>
        <w:ind w:left="420" w:right="0" w:firstLine="0"/>
        <w:jc w:val="left"/>
        <w:rPr>
          <w:b/>
          <w:sz w:val="18"/>
        </w:rPr>
      </w:pPr>
      <w:r>
        <w:rPr>
          <w:b/>
          <w:sz w:val="18"/>
        </w:rPr>
        <w:t>PHN</w:t>
      </w:r>
      <w:r>
        <w:rPr>
          <w:b/>
          <w:spacing w:val="-4"/>
          <w:sz w:val="18"/>
        </w:rPr>
        <w:t> </w:t>
      </w:r>
      <w:r>
        <w:rPr>
          <w:b/>
          <w:sz w:val="18"/>
        </w:rPr>
        <w:t>views</w:t>
      </w:r>
      <w:r>
        <w:rPr>
          <w:b/>
          <w:spacing w:val="-2"/>
          <w:sz w:val="18"/>
        </w:rPr>
        <w:t> </w:t>
      </w:r>
      <w:r>
        <w:rPr>
          <w:b/>
          <w:sz w:val="18"/>
        </w:rPr>
        <w:t>on</w:t>
      </w:r>
      <w:r>
        <w:rPr>
          <w:b/>
          <w:spacing w:val="-3"/>
          <w:sz w:val="18"/>
        </w:rPr>
        <w:t> </w:t>
      </w:r>
      <w:r>
        <w:rPr>
          <w:b/>
          <w:sz w:val="18"/>
        </w:rPr>
        <w:t>other</w:t>
      </w:r>
      <w:r>
        <w:rPr>
          <w:b/>
          <w:spacing w:val="-1"/>
          <w:sz w:val="18"/>
        </w:rPr>
        <w:t> </w:t>
      </w:r>
      <w:r>
        <w:rPr>
          <w:b/>
          <w:sz w:val="18"/>
        </w:rPr>
        <w:t>aspects of</w:t>
      </w:r>
      <w:r>
        <w:rPr>
          <w:b/>
          <w:spacing w:val="-2"/>
          <w:sz w:val="18"/>
        </w:rPr>
        <w:t> </w:t>
      </w:r>
      <w:r>
        <w:rPr>
          <w:b/>
          <w:sz w:val="18"/>
        </w:rPr>
        <w:t>HCH</w:t>
      </w:r>
      <w:r>
        <w:rPr>
          <w:b/>
          <w:spacing w:val="-1"/>
          <w:sz w:val="18"/>
        </w:rPr>
        <w:t> </w:t>
      </w:r>
      <w:r>
        <w:rPr>
          <w:b/>
          <w:sz w:val="18"/>
        </w:rPr>
        <w:t>program</w:t>
      </w:r>
    </w:p>
    <w:p>
      <w:pPr>
        <w:pStyle w:val="BodyText"/>
        <w:rPr>
          <w:b/>
          <w:sz w:val="19"/>
        </w:rPr>
      </w:pPr>
    </w:p>
    <w:p>
      <w:pPr>
        <w:pStyle w:val="ListParagraph"/>
        <w:numPr>
          <w:ilvl w:val="0"/>
          <w:numId w:val="109"/>
        </w:numPr>
        <w:tabs>
          <w:tab w:pos="845" w:val="left" w:leader="none"/>
        </w:tabs>
        <w:spacing w:line="240" w:lineRule="auto" w:before="0" w:after="0"/>
        <w:ind w:left="844" w:right="1708" w:hanging="358"/>
        <w:jc w:val="left"/>
        <w:rPr>
          <w:sz w:val="18"/>
        </w:rPr>
      </w:pPr>
      <w:r>
        <w:rPr>
          <w:sz w:val="18"/>
        </w:rPr>
        <w:t>Reflecting on the HCH program, how could governance of the HCH program within the PHN have been</w:t>
      </w:r>
      <w:r>
        <w:rPr>
          <w:spacing w:val="-47"/>
          <w:sz w:val="18"/>
        </w:rPr>
        <w:t> </w:t>
      </w:r>
      <w:r>
        <w:rPr>
          <w:sz w:val="18"/>
        </w:rPr>
        <w:t>improved?</w:t>
      </w:r>
    </w:p>
    <w:p>
      <w:pPr>
        <w:pStyle w:val="BodyText"/>
      </w:pPr>
    </w:p>
    <w:p>
      <w:pPr>
        <w:pStyle w:val="BodyText"/>
        <w:rPr>
          <w:sz w:val="19"/>
        </w:rPr>
      </w:pPr>
      <w:r>
        <w:rPr/>
        <w:pict>
          <v:rect style="position:absolute;margin-left:34.560001pt;margin-top:12.883272pt;width:526.3pt;height:.47998pt;mso-position-horizontal-relative:page;mso-position-vertical-relative:paragraph;z-index:-15280128;mso-wrap-distance-left:0;mso-wrap-distance-right:0" id="docshape257" filled="true" fillcolor="#d9d9d9" stroked="false">
            <v:fill type="solid"/>
            <w10:wrap type="topAndBottom"/>
          </v:rect>
        </w:pict>
      </w:r>
    </w:p>
    <w:p>
      <w:pPr>
        <w:pStyle w:val="BodyText"/>
        <w:spacing w:before="2"/>
        <w:rPr>
          <w:sz w:val="8"/>
        </w:rPr>
      </w:pPr>
    </w:p>
    <w:p>
      <w:pPr>
        <w:pStyle w:val="ListParagraph"/>
        <w:numPr>
          <w:ilvl w:val="0"/>
          <w:numId w:val="109"/>
        </w:numPr>
        <w:tabs>
          <w:tab w:pos="845" w:val="left" w:leader="none"/>
        </w:tabs>
        <w:spacing w:line="240" w:lineRule="auto" w:before="100" w:after="0"/>
        <w:ind w:left="844" w:right="1218" w:hanging="358"/>
        <w:jc w:val="left"/>
        <w:rPr>
          <w:sz w:val="18"/>
        </w:rPr>
      </w:pPr>
      <w:r>
        <w:rPr>
          <w:sz w:val="18"/>
        </w:rPr>
        <w:t>Reflecting on the HCH program, how could governance of the HCH program at the national level have been</w:t>
      </w:r>
      <w:r>
        <w:rPr>
          <w:spacing w:val="-47"/>
          <w:sz w:val="18"/>
        </w:rPr>
        <w:t> </w:t>
      </w:r>
      <w:r>
        <w:rPr>
          <w:sz w:val="18"/>
        </w:rPr>
        <w:t>improved?</w:t>
      </w:r>
    </w:p>
    <w:p>
      <w:pPr>
        <w:pStyle w:val="BodyText"/>
      </w:pPr>
    </w:p>
    <w:p>
      <w:pPr>
        <w:pStyle w:val="BodyText"/>
        <w:spacing w:before="11"/>
        <w:rPr>
          <w:sz w:val="18"/>
        </w:rPr>
      </w:pPr>
      <w:r>
        <w:rPr/>
        <w:pict>
          <v:rect style="position:absolute;margin-left:34.560001pt;margin-top:12.785645pt;width:526.3pt;height:.47998pt;mso-position-horizontal-relative:page;mso-position-vertical-relative:paragraph;z-index:-15279616;mso-wrap-distance-left:0;mso-wrap-distance-right:0" id="docshape258" filled="true" fillcolor="#d9d9d9" stroked="false">
            <v:fill type="solid"/>
            <w10:wrap type="topAndBottom"/>
          </v:rect>
        </w:pict>
      </w:r>
    </w:p>
    <w:p>
      <w:pPr>
        <w:pStyle w:val="BodyText"/>
        <w:spacing w:before="2"/>
        <w:rPr>
          <w:sz w:val="8"/>
        </w:rPr>
      </w:pPr>
    </w:p>
    <w:p>
      <w:pPr>
        <w:pStyle w:val="ListParagraph"/>
        <w:numPr>
          <w:ilvl w:val="0"/>
          <w:numId w:val="109"/>
        </w:numPr>
        <w:tabs>
          <w:tab w:pos="845" w:val="left" w:leader="none"/>
        </w:tabs>
        <w:spacing w:line="240" w:lineRule="auto" w:before="100" w:after="0"/>
        <w:ind w:left="844" w:right="950" w:hanging="358"/>
        <w:jc w:val="left"/>
        <w:rPr>
          <w:sz w:val="18"/>
        </w:rPr>
      </w:pPr>
      <w:r>
        <w:rPr>
          <w:sz w:val="18"/>
        </w:rPr>
        <w:t>Please outline any further reflections you have had on the HCH program design and its implementation since the</w:t>
      </w:r>
      <w:r>
        <w:rPr>
          <w:spacing w:val="-47"/>
          <w:sz w:val="18"/>
        </w:rPr>
        <w:t> </w:t>
      </w:r>
      <w:r>
        <w:rPr>
          <w:sz w:val="18"/>
        </w:rPr>
        <w:t>previous</w:t>
      </w:r>
      <w:r>
        <w:rPr>
          <w:spacing w:val="-2"/>
          <w:sz w:val="18"/>
        </w:rPr>
        <w:t> </w:t>
      </w:r>
      <w:r>
        <w:rPr>
          <w:sz w:val="18"/>
        </w:rPr>
        <w:t>PHN</w:t>
      </w:r>
      <w:r>
        <w:rPr>
          <w:spacing w:val="-2"/>
          <w:sz w:val="18"/>
        </w:rPr>
        <w:t> </w:t>
      </w:r>
      <w:r>
        <w:rPr>
          <w:sz w:val="18"/>
        </w:rPr>
        <w:t>surveys.</w:t>
      </w:r>
    </w:p>
    <w:p>
      <w:pPr>
        <w:pStyle w:val="BodyText"/>
      </w:pPr>
    </w:p>
    <w:p>
      <w:pPr>
        <w:pStyle w:val="BodyText"/>
        <w:spacing w:before="1"/>
        <w:rPr>
          <w:sz w:val="19"/>
        </w:rPr>
      </w:pPr>
      <w:r>
        <w:rPr/>
        <w:pict>
          <v:rect style="position:absolute;margin-left:34.560001pt;margin-top:12.897705pt;width:526.3pt;height:.47998pt;mso-position-horizontal-relative:page;mso-position-vertical-relative:paragraph;z-index:-15279104;mso-wrap-distance-left:0;mso-wrap-distance-right:0" id="docshape259" filled="true" fillcolor="#d9d9d9" stroked="false">
            <v:fill type="solid"/>
            <w10:wrap type="topAndBottom"/>
          </v:rect>
        </w:pict>
      </w:r>
    </w:p>
    <w:p>
      <w:pPr>
        <w:spacing w:after="0"/>
        <w:rPr>
          <w:sz w:val="19"/>
        </w:rPr>
        <w:sectPr>
          <w:pgSz w:w="11910" w:h="16840"/>
          <w:pgMar w:header="0" w:footer="948" w:top="860" w:bottom="1140" w:left="300" w:right="0"/>
        </w:sectPr>
      </w:pPr>
    </w:p>
    <w:p>
      <w:pPr>
        <w:pStyle w:val="ListParagraph"/>
        <w:numPr>
          <w:ilvl w:val="0"/>
          <w:numId w:val="109"/>
        </w:numPr>
        <w:tabs>
          <w:tab w:pos="845" w:val="left" w:leader="none"/>
        </w:tabs>
        <w:spacing w:line="240" w:lineRule="auto" w:before="75" w:after="0"/>
        <w:ind w:left="844" w:right="0" w:hanging="358"/>
        <w:jc w:val="left"/>
        <w:rPr>
          <w:sz w:val="18"/>
        </w:rPr>
      </w:pPr>
      <w:r>
        <w:rPr>
          <w:sz w:val="18"/>
        </w:rPr>
        <w:t>What</w:t>
      </w:r>
      <w:r>
        <w:rPr>
          <w:spacing w:val="-4"/>
          <w:sz w:val="18"/>
        </w:rPr>
        <w:t> </w:t>
      </w:r>
      <w:r>
        <w:rPr>
          <w:sz w:val="18"/>
        </w:rPr>
        <w:t>have</w:t>
      </w:r>
      <w:r>
        <w:rPr>
          <w:spacing w:val="-2"/>
          <w:sz w:val="18"/>
        </w:rPr>
        <w:t> </w:t>
      </w:r>
      <w:r>
        <w:rPr>
          <w:sz w:val="18"/>
        </w:rPr>
        <w:t>been</w:t>
      </w:r>
      <w:r>
        <w:rPr>
          <w:spacing w:val="-2"/>
          <w:sz w:val="18"/>
        </w:rPr>
        <w:t> </w:t>
      </w:r>
      <w:r>
        <w:rPr>
          <w:sz w:val="18"/>
        </w:rPr>
        <w:t>the</w:t>
      </w:r>
      <w:r>
        <w:rPr>
          <w:spacing w:val="-2"/>
          <w:sz w:val="18"/>
        </w:rPr>
        <w:t> </w:t>
      </w:r>
      <w:r>
        <w:rPr>
          <w:sz w:val="18"/>
        </w:rPr>
        <w:t>top</w:t>
      </w:r>
      <w:r>
        <w:rPr>
          <w:spacing w:val="-3"/>
          <w:sz w:val="18"/>
        </w:rPr>
        <w:t> </w:t>
      </w:r>
      <w:r>
        <w:rPr>
          <w:sz w:val="18"/>
        </w:rPr>
        <w:t>three</w:t>
      </w:r>
      <w:r>
        <w:rPr>
          <w:spacing w:val="-2"/>
          <w:sz w:val="18"/>
        </w:rPr>
        <w:t> </w:t>
      </w:r>
      <w:r>
        <w:rPr>
          <w:sz w:val="18"/>
        </w:rPr>
        <w:t>lesson</w:t>
      </w:r>
      <w:r>
        <w:rPr>
          <w:spacing w:val="-2"/>
          <w:sz w:val="18"/>
        </w:rPr>
        <w:t> </w:t>
      </w:r>
      <w:r>
        <w:rPr>
          <w:sz w:val="18"/>
        </w:rPr>
        <w:t>your</w:t>
      </w:r>
      <w:r>
        <w:rPr>
          <w:spacing w:val="-2"/>
          <w:sz w:val="18"/>
        </w:rPr>
        <w:t> </w:t>
      </w:r>
      <w:r>
        <w:rPr>
          <w:sz w:val="18"/>
        </w:rPr>
        <w:t>PHN</w:t>
      </w:r>
      <w:r>
        <w:rPr>
          <w:spacing w:val="-3"/>
          <w:sz w:val="18"/>
        </w:rPr>
        <w:t> </w:t>
      </w:r>
      <w:r>
        <w:rPr>
          <w:sz w:val="18"/>
        </w:rPr>
        <w:t>has</w:t>
      </w:r>
      <w:r>
        <w:rPr>
          <w:spacing w:val="-3"/>
          <w:sz w:val="18"/>
        </w:rPr>
        <w:t> </w:t>
      </w:r>
      <w:r>
        <w:rPr>
          <w:sz w:val="18"/>
        </w:rPr>
        <w:t>gained</w:t>
      </w:r>
      <w:r>
        <w:rPr>
          <w:spacing w:val="-3"/>
          <w:sz w:val="18"/>
        </w:rPr>
        <w:t> </w:t>
      </w:r>
      <w:r>
        <w:rPr>
          <w:sz w:val="18"/>
        </w:rPr>
        <w:t>from</w:t>
      </w:r>
      <w:r>
        <w:rPr>
          <w:spacing w:val="-6"/>
          <w:sz w:val="18"/>
        </w:rPr>
        <w:t> </w:t>
      </w:r>
      <w:r>
        <w:rPr>
          <w:sz w:val="18"/>
        </w:rPr>
        <w:t>participating</w:t>
      </w:r>
      <w:r>
        <w:rPr>
          <w:spacing w:val="-5"/>
          <w:sz w:val="18"/>
        </w:rPr>
        <w:t> </w:t>
      </w:r>
      <w:r>
        <w:rPr>
          <w:sz w:val="18"/>
        </w:rPr>
        <w:t>in</w:t>
      </w:r>
      <w:r>
        <w:rPr>
          <w:spacing w:val="-1"/>
          <w:sz w:val="18"/>
        </w:rPr>
        <w:t> </w:t>
      </w:r>
      <w:r>
        <w:rPr>
          <w:sz w:val="18"/>
        </w:rPr>
        <w:t>the</w:t>
      </w:r>
      <w:r>
        <w:rPr>
          <w:spacing w:val="-4"/>
          <w:sz w:val="18"/>
        </w:rPr>
        <w:t> </w:t>
      </w:r>
      <w:r>
        <w:rPr>
          <w:sz w:val="18"/>
        </w:rPr>
        <w:t>HCH</w:t>
      </w:r>
      <w:r>
        <w:rPr>
          <w:spacing w:val="-2"/>
          <w:sz w:val="18"/>
        </w:rPr>
        <w:t> </w:t>
      </w:r>
      <w:r>
        <w:rPr>
          <w:sz w:val="18"/>
        </w:rPr>
        <w:t>program.</w:t>
      </w:r>
    </w:p>
    <w:p>
      <w:pPr>
        <w:pStyle w:val="BodyText"/>
        <w:spacing w:before="3"/>
        <w:rPr>
          <w:sz w:val="16"/>
        </w:rPr>
      </w:pPr>
    </w:p>
    <w:p>
      <w:pPr>
        <w:pStyle w:val="ListParagraph"/>
        <w:numPr>
          <w:ilvl w:val="1"/>
          <w:numId w:val="109"/>
        </w:numPr>
        <w:tabs>
          <w:tab w:pos="1860" w:val="left" w:leader="none"/>
          <w:tab w:pos="1861" w:val="left" w:leader="none"/>
          <w:tab w:pos="7318" w:val="left" w:leader="none"/>
        </w:tabs>
        <w:spacing w:line="240" w:lineRule="auto" w:before="1" w:after="0"/>
        <w:ind w:left="1860" w:right="0" w:hanging="361"/>
        <w:jc w:val="left"/>
        <w:rPr>
          <w:sz w:val="18"/>
        </w:rPr>
      </w:pPr>
      <w:r>
        <w:rPr>
          <w:sz w:val="18"/>
        </w:rPr>
        <w:t>Factor</w:t>
      </w:r>
      <w:r>
        <w:rPr>
          <w:spacing w:val="-4"/>
          <w:sz w:val="18"/>
        </w:rPr>
        <w:t> </w:t>
      </w:r>
      <w:r>
        <w:rPr>
          <w:sz w:val="18"/>
        </w:rPr>
        <w:t>1</w:t>
      </w:r>
      <w:r>
        <w:rPr>
          <w:spacing w:val="46"/>
          <w:sz w:val="18"/>
        </w:rPr>
        <w:t> </w:t>
      </w:r>
      <w:r>
        <w:rPr>
          <w:sz w:val="18"/>
        </w:rPr>
        <w:t>(1) </w:t>
      </w:r>
      <w:r>
        <w:rPr>
          <w:sz w:val="18"/>
          <w:u w:val="single" w:color="BDBDBD"/>
        </w:rPr>
        <w:t> </w:t>
        <w:tab/>
      </w:r>
    </w:p>
    <w:p>
      <w:pPr>
        <w:pStyle w:val="ListParagraph"/>
        <w:numPr>
          <w:ilvl w:val="1"/>
          <w:numId w:val="109"/>
        </w:numPr>
        <w:tabs>
          <w:tab w:pos="1860" w:val="left" w:leader="none"/>
          <w:tab w:pos="1861" w:val="left" w:leader="none"/>
          <w:tab w:pos="7313" w:val="left" w:leader="none"/>
        </w:tabs>
        <w:spacing w:line="240" w:lineRule="auto" w:before="0" w:after="0"/>
        <w:ind w:left="1860" w:right="0" w:hanging="361"/>
        <w:jc w:val="left"/>
        <w:rPr>
          <w:sz w:val="18"/>
        </w:rPr>
      </w:pPr>
      <w:r>
        <w:rPr>
          <w:sz w:val="18"/>
        </w:rPr>
        <w:t>Factor</w:t>
      </w:r>
      <w:r>
        <w:rPr>
          <w:spacing w:val="-4"/>
          <w:sz w:val="18"/>
        </w:rPr>
        <w:t> </w:t>
      </w:r>
      <w:r>
        <w:rPr>
          <w:sz w:val="18"/>
        </w:rPr>
        <w:t>2</w:t>
      </w:r>
      <w:r>
        <w:rPr>
          <w:spacing w:val="46"/>
          <w:sz w:val="18"/>
        </w:rPr>
        <w:t> </w:t>
      </w:r>
      <w:r>
        <w:rPr>
          <w:sz w:val="18"/>
        </w:rPr>
        <w:t>(2) </w:t>
      </w:r>
      <w:r>
        <w:rPr>
          <w:sz w:val="18"/>
          <w:u w:val="single" w:color="BDBDBD"/>
        </w:rPr>
        <w:t> </w:t>
        <w:tab/>
      </w:r>
    </w:p>
    <w:p>
      <w:pPr>
        <w:pStyle w:val="ListParagraph"/>
        <w:numPr>
          <w:ilvl w:val="1"/>
          <w:numId w:val="109"/>
        </w:numPr>
        <w:tabs>
          <w:tab w:pos="1860" w:val="left" w:leader="none"/>
          <w:tab w:pos="1861" w:val="left" w:leader="none"/>
          <w:tab w:pos="7313" w:val="left" w:leader="none"/>
        </w:tabs>
        <w:spacing w:line="240" w:lineRule="auto" w:before="0" w:after="0"/>
        <w:ind w:left="1860" w:right="0" w:hanging="361"/>
        <w:jc w:val="left"/>
        <w:rPr>
          <w:sz w:val="18"/>
        </w:rPr>
      </w:pPr>
      <w:r>
        <w:rPr>
          <w:sz w:val="18"/>
        </w:rPr>
        <w:t>Factor</w:t>
      </w:r>
      <w:r>
        <w:rPr>
          <w:spacing w:val="-4"/>
          <w:sz w:val="18"/>
        </w:rPr>
        <w:t> </w:t>
      </w:r>
      <w:r>
        <w:rPr>
          <w:sz w:val="18"/>
        </w:rPr>
        <w:t>3</w:t>
      </w:r>
      <w:r>
        <w:rPr>
          <w:spacing w:val="46"/>
          <w:sz w:val="18"/>
        </w:rPr>
        <w:t> </w:t>
      </w:r>
      <w:r>
        <w:rPr>
          <w:sz w:val="18"/>
        </w:rPr>
        <w:t>(3) </w:t>
      </w:r>
      <w:r>
        <w:rPr>
          <w:sz w:val="18"/>
          <w:u w:val="single" w:color="BDBDBD"/>
        </w:rPr>
        <w:t> </w:t>
        <w:tab/>
      </w:r>
    </w:p>
    <w:p>
      <w:pPr>
        <w:pStyle w:val="BodyText"/>
        <w:spacing w:before="7"/>
        <w:rPr>
          <w:sz w:val="14"/>
        </w:rPr>
      </w:pPr>
    </w:p>
    <w:p>
      <w:pPr>
        <w:spacing w:before="100"/>
        <w:ind w:left="420" w:right="0" w:firstLine="0"/>
        <w:jc w:val="left"/>
        <w:rPr>
          <w:b/>
          <w:sz w:val="18"/>
        </w:rPr>
      </w:pPr>
      <w:r>
        <w:rPr>
          <w:b/>
          <w:sz w:val="18"/>
        </w:rPr>
        <w:t>Benchmarking</w:t>
      </w:r>
      <w:r>
        <w:rPr>
          <w:b/>
          <w:spacing w:val="-4"/>
          <w:sz w:val="18"/>
        </w:rPr>
        <w:t> </w:t>
      </w:r>
      <w:r>
        <w:rPr>
          <w:b/>
          <w:sz w:val="18"/>
        </w:rPr>
        <w:t>reports</w:t>
      </w:r>
    </w:p>
    <w:p>
      <w:pPr>
        <w:pStyle w:val="BodyText"/>
        <w:rPr>
          <w:b/>
          <w:sz w:val="19"/>
        </w:rPr>
      </w:pPr>
    </w:p>
    <w:p>
      <w:pPr>
        <w:pStyle w:val="ListParagraph"/>
        <w:numPr>
          <w:ilvl w:val="0"/>
          <w:numId w:val="109"/>
        </w:numPr>
        <w:tabs>
          <w:tab w:pos="845" w:val="left" w:leader="none"/>
        </w:tabs>
        <w:spacing w:line="240" w:lineRule="auto" w:before="0" w:after="0"/>
        <w:ind w:left="844" w:right="1423" w:hanging="358"/>
        <w:jc w:val="left"/>
        <w:rPr>
          <w:sz w:val="18"/>
        </w:rPr>
      </w:pPr>
      <w:r>
        <w:rPr>
          <w:sz w:val="18"/>
        </w:rPr>
        <w:t>How useful were the reports that you received from Health Policy Analysis/ the Centre for Big Data in Health</w:t>
      </w:r>
      <w:r>
        <w:rPr>
          <w:spacing w:val="-47"/>
          <w:sz w:val="18"/>
        </w:rPr>
        <w:t> </w:t>
      </w:r>
      <w:r>
        <w:rPr>
          <w:sz w:val="18"/>
        </w:rPr>
        <w:t>Research</w:t>
      </w:r>
      <w:r>
        <w:rPr>
          <w:spacing w:val="2"/>
          <w:sz w:val="18"/>
        </w:rPr>
        <w:t> </w:t>
      </w:r>
      <w:r>
        <w:rPr>
          <w:sz w:val="18"/>
        </w:rPr>
        <w:t>(UNSW)</w:t>
      </w:r>
      <w:r>
        <w:rPr>
          <w:spacing w:val="1"/>
          <w:sz w:val="18"/>
        </w:rPr>
        <w:t> </w:t>
      </w:r>
      <w:r>
        <w:rPr>
          <w:sz w:val="18"/>
        </w:rPr>
        <w:t>benchmarking</w:t>
      </w:r>
      <w:r>
        <w:rPr>
          <w:spacing w:val="1"/>
          <w:sz w:val="18"/>
        </w:rPr>
        <w:t> </w:t>
      </w:r>
      <w:r>
        <w:rPr>
          <w:sz w:val="18"/>
        </w:rPr>
        <w:t>practices</w:t>
      </w:r>
      <w:r>
        <w:rPr>
          <w:spacing w:val="-2"/>
          <w:sz w:val="18"/>
        </w:rPr>
        <w:t> </w:t>
      </w:r>
      <w:r>
        <w:rPr>
          <w:sz w:val="18"/>
        </w:rPr>
        <w:t>within</w:t>
      </w:r>
      <w:r>
        <w:rPr>
          <w:spacing w:val="-2"/>
          <w:sz w:val="18"/>
        </w:rPr>
        <w:t> </w:t>
      </w:r>
      <w:r>
        <w:rPr>
          <w:sz w:val="18"/>
        </w:rPr>
        <w:t>your PHN?</w:t>
      </w:r>
    </w:p>
    <w:p>
      <w:pPr>
        <w:pStyle w:val="BodyText"/>
        <w:spacing w:before="5"/>
        <w:rPr>
          <w:sz w:val="16"/>
        </w:rPr>
      </w:pPr>
    </w:p>
    <w:p>
      <w:pPr>
        <w:pStyle w:val="ListParagraph"/>
        <w:numPr>
          <w:ilvl w:val="0"/>
          <w:numId w:val="111"/>
        </w:numPr>
        <w:tabs>
          <w:tab w:pos="1923" w:val="left" w:leader="none"/>
        </w:tabs>
        <w:spacing w:line="240" w:lineRule="auto" w:before="1" w:after="0"/>
        <w:ind w:left="1922" w:right="0" w:hanging="152"/>
        <w:jc w:val="left"/>
        <w:rPr>
          <w:sz w:val="18"/>
        </w:rPr>
      </w:pPr>
      <w:r>
        <w:rPr/>
        <w:drawing>
          <wp:anchor distT="0" distB="0" distL="0" distR="0" allowOverlap="1" layoutInCell="1" locked="0" behindDoc="0" simplePos="0" relativeHeight="16178688">
            <wp:simplePos x="0" y="0"/>
            <wp:positionH relativeFrom="page">
              <wp:posOffset>1102145</wp:posOffset>
            </wp:positionH>
            <wp:positionV relativeFrom="paragraph">
              <wp:posOffset>45484</wp:posOffset>
            </wp:positionV>
            <wp:extent cx="58380" cy="72151"/>
            <wp:effectExtent l="0" t="0" r="0" b="0"/>
            <wp:wrapNone/>
            <wp:docPr id="2203" name="image13.png"/>
            <wp:cNvGraphicFramePr>
              <a:graphicFrameLocks noChangeAspect="1"/>
            </wp:cNvGraphicFramePr>
            <a:graphic>
              <a:graphicData uri="http://schemas.openxmlformats.org/drawingml/2006/picture">
                <pic:pic>
                  <pic:nvPicPr>
                    <pic:cNvPr id="2204"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Very</w:t>
      </w:r>
      <w:r>
        <w:rPr>
          <w:spacing w:val="-4"/>
          <w:sz w:val="18"/>
        </w:rPr>
        <w:t> </w:t>
      </w:r>
      <w:r>
        <w:rPr>
          <w:sz w:val="18"/>
        </w:rPr>
        <w:t>useful</w:t>
      </w:r>
    </w:p>
    <w:p>
      <w:pPr>
        <w:pStyle w:val="ListParagraph"/>
        <w:numPr>
          <w:ilvl w:val="0"/>
          <w:numId w:val="111"/>
        </w:numPr>
        <w:tabs>
          <w:tab w:pos="1923" w:val="left" w:leader="none"/>
        </w:tabs>
        <w:spacing w:line="240" w:lineRule="auto" w:before="0" w:after="0"/>
        <w:ind w:left="1922" w:right="0" w:hanging="152"/>
        <w:jc w:val="left"/>
        <w:rPr>
          <w:sz w:val="18"/>
        </w:rPr>
      </w:pPr>
      <w:r>
        <w:rPr/>
        <w:drawing>
          <wp:anchor distT="0" distB="0" distL="0" distR="0" allowOverlap="1" layoutInCell="1" locked="0" behindDoc="0" simplePos="0" relativeHeight="16179200">
            <wp:simplePos x="0" y="0"/>
            <wp:positionH relativeFrom="page">
              <wp:posOffset>1102145</wp:posOffset>
            </wp:positionH>
            <wp:positionV relativeFrom="paragraph">
              <wp:posOffset>44849</wp:posOffset>
            </wp:positionV>
            <wp:extent cx="58380" cy="72151"/>
            <wp:effectExtent l="0" t="0" r="0" b="0"/>
            <wp:wrapNone/>
            <wp:docPr id="2205" name="image13.png"/>
            <wp:cNvGraphicFramePr>
              <a:graphicFrameLocks noChangeAspect="1"/>
            </wp:cNvGraphicFramePr>
            <a:graphic>
              <a:graphicData uri="http://schemas.openxmlformats.org/drawingml/2006/picture">
                <pic:pic>
                  <pic:nvPicPr>
                    <pic:cNvPr id="2206"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Moderately</w:t>
      </w:r>
      <w:r>
        <w:rPr>
          <w:spacing w:val="-6"/>
          <w:sz w:val="18"/>
        </w:rPr>
        <w:t> </w:t>
      </w:r>
      <w:r>
        <w:rPr>
          <w:sz w:val="18"/>
        </w:rPr>
        <w:t>useful</w:t>
      </w:r>
    </w:p>
    <w:p>
      <w:pPr>
        <w:pStyle w:val="ListParagraph"/>
        <w:numPr>
          <w:ilvl w:val="0"/>
          <w:numId w:val="111"/>
        </w:numPr>
        <w:tabs>
          <w:tab w:pos="1923" w:val="left" w:leader="none"/>
        </w:tabs>
        <w:spacing w:line="240" w:lineRule="auto" w:before="0" w:after="0"/>
        <w:ind w:left="1922" w:right="0" w:hanging="152"/>
        <w:jc w:val="left"/>
        <w:rPr>
          <w:sz w:val="18"/>
        </w:rPr>
      </w:pPr>
      <w:r>
        <w:rPr/>
        <w:drawing>
          <wp:anchor distT="0" distB="0" distL="0" distR="0" allowOverlap="1" layoutInCell="1" locked="0" behindDoc="0" simplePos="0" relativeHeight="16179712">
            <wp:simplePos x="0" y="0"/>
            <wp:positionH relativeFrom="page">
              <wp:posOffset>1102145</wp:posOffset>
            </wp:positionH>
            <wp:positionV relativeFrom="paragraph">
              <wp:posOffset>44849</wp:posOffset>
            </wp:positionV>
            <wp:extent cx="58380" cy="72151"/>
            <wp:effectExtent l="0" t="0" r="0" b="0"/>
            <wp:wrapNone/>
            <wp:docPr id="2207" name="image13.png"/>
            <wp:cNvGraphicFramePr>
              <a:graphicFrameLocks noChangeAspect="1"/>
            </wp:cNvGraphicFramePr>
            <a:graphic>
              <a:graphicData uri="http://schemas.openxmlformats.org/drawingml/2006/picture">
                <pic:pic>
                  <pic:nvPicPr>
                    <pic:cNvPr id="2208"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Limited</w:t>
      </w:r>
    </w:p>
    <w:p>
      <w:pPr>
        <w:pStyle w:val="ListParagraph"/>
        <w:numPr>
          <w:ilvl w:val="0"/>
          <w:numId w:val="111"/>
        </w:numPr>
        <w:tabs>
          <w:tab w:pos="1923" w:val="left" w:leader="none"/>
        </w:tabs>
        <w:spacing w:line="240" w:lineRule="auto" w:before="0" w:after="0"/>
        <w:ind w:left="1922" w:right="0" w:hanging="152"/>
        <w:jc w:val="left"/>
        <w:rPr>
          <w:sz w:val="18"/>
        </w:rPr>
      </w:pPr>
      <w:r>
        <w:rPr/>
        <w:drawing>
          <wp:anchor distT="0" distB="0" distL="0" distR="0" allowOverlap="1" layoutInCell="1" locked="0" behindDoc="0" simplePos="0" relativeHeight="16180224">
            <wp:simplePos x="0" y="0"/>
            <wp:positionH relativeFrom="page">
              <wp:posOffset>1102145</wp:posOffset>
            </wp:positionH>
            <wp:positionV relativeFrom="paragraph">
              <wp:posOffset>44656</wp:posOffset>
            </wp:positionV>
            <wp:extent cx="58380" cy="73869"/>
            <wp:effectExtent l="0" t="0" r="0" b="0"/>
            <wp:wrapNone/>
            <wp:docPr id="2209" name="image14.png"/>
            <wp:cNvGraphicFramePr>
              <a:graphicFrameLocks noChangeAspect="1"/>
            </wp:cNvGraphicFramePr>
            <a:graphic>
              <a:graphicData uri="http://schemas.openxmlformats.org/drawingml/2006/picture">
                <pic:pic>
                  <pic:nvPicPr>
                    <pic:cNvPr id="2210" name="image14.png"/>
                    <pic:cNvPicPr/>
                  </pic:nvPicPr>
                  <pic:blipFill>
                    <a:blip r:embed="rId43" cstate="print"/>
                    <a:stretch>
                      <a:fillRect/>
                    </a:stretch>
                  </pic:blipFill>
                  <pic:spPr>
                    <a:xfrm>
                      <a:off x="0" y="0"/>
                      <a:ext cx="58380" cy="73869"/>
                    </a:xfrm>
                    <a:prstGeom prst="rect">
                      <a:avLst/>
                    </a:prstGeom>
                  </pic:spPr>
                </pic:pic>
              </a:graphicData>
            </a:graphic>
          </wp:anchor>
        </w:drawing>
      </w:r>
      <w:r>
        <w:rPr>
          <w:sz w:val="18"/>
        </w:rPr>
        <w:t>Not</w:t>
      </w:r>
      <w:r>
        <w:rPr>
          <w:spacing w:val="-3"/>
          <w:sz w:val="18"/>
        </w:rPr>
        <w:t> </w:t>
      </w:r>
      <w:r>
        <w:rPr>
          <w:sz w:val="18"/>
        </w:rPr>
        <w:t>useful</w:t>
      </w:r>
    </w:p>
    <w:p>
      <w:pPr>
        <w:pStyle w:val="ListParagraph"/>
        <w:numPr>
          <w:ilvl w:val="0"/>
          <w:numId w:val="111"/>
        </w:numPr>
        <w:tabs>
          <w:tab w:pos="1923" w:val="left" w:leader="none"/>
        </w:tabs>
        <w:spacing w:line="240" w:lineRule="auto" w:before="0" w:after="0"/>
        <w:ind w:left="1922" w:right="0" w:hanging="152"/>
        <w:jc w:val="left"/>
        <w:rPr>
          <w:sz w:val="18"/>
        </w:rPr>
      </w:pPr>
      <w:r>
        <w:rPr/>
        <w:drawing>
          <wp:anchor distT="0" distB="0" distL="0" distR="0" allowOverlap="1" layoutInCell="1" locked="0" behindDoc="0" simplePos="0" relativeHeight="16180736">
            <wp:simplePos x="0" y="0"/>
            <wp:positionH relativeFrom="page">
              <wp:posOffset>1102145</wp:posOffset>
            </wp:positionH>
            <wp:positionV relativeFrom="paragraph">
              <wp:posOffset>44849</wp:posOffset>
            </wp:positionV>
            <wp:extent cx="58380" cy="72151"/>
            <wp:effectExtent l="0" t="0" r="0" b="0"/>
            <wp:wrapNone/>
            <wp:docPr id="2211" name="image13.png"/>
            <wp:cNvGraphicFramePr>
              <a:graphicFrameLocks noChangeAspect="1"/>
            </wp:cNvGraphicFramePr>
            <a:graphic>
              <a:graphicData uri="http://schemas.openxmlformats.org/drawingml/2006/picture">
                <pic:pic>
                  <pic:nvPicPr>
                    <pic:cNvPr id="2212" name="image13.png"/>
                    <pic:cNvPicPr/>
                  </pic:nvPicPr>
                  <pic:blipFill>
                    <a:blip r:embed="rId41" cstate="print"/>
                    <a:stretch>
                      <a:fillRect/>
                    </a:stretch>
                  </pic:blipFill>
                  <pic:spPr>
                    <a:xfrm>
                      <a:off x="0" y="0"/>
                      <a:ext cx="58380" cy="72151"/>
                    </a:xfrm>
                    <a:prstGeom prst="rect">
                      <a:avLst/>
                    </a:prstGeom>
                  </pic:spPr>
                </pic:pic>
              </a:graphicData>
            </a:graphic>
          </wp:anchor>
        </w:drawing>
      </w:r>
      <w:r>
        <w:rPr>
          <w:sz w:val="18"/>
        </w:rPr>
        <w:t>Can’t</w:t>
      </w:r>
      <w:r>
        <w:rPr>
          <w:spacing w:val="-4"/>
          <w:sz w:val="18"/>
        </w:rPr>
        <w:t> </w:t>
      </w:r>
      <w:r>
        <w:rPr>
          <w:sz w:val="18"/>
        </w:rPr>
        <w:t>say/don’t</w:t>
      </w:r>
      <w:r>
        <w:rPr>
          <w:spacing w:val="-4"/>
          <w:sz w:val="18"/>
        </w:rPr>
        <w:t> </w:t>
      </w:r>
      <w:r>
        <w:rPr>
          <w:sz w:val="18"/>
        </w:rPr>
        <w:t>know</w:t>
      </w:r>
    </w:p>
    <w:p>
      <w:pPr>
        <w:pStyle w:val="BodyText"/>
        <w:spacing w:before="9"/>
        <w:rPr>
          <w:sz w:val="22"/>
        </w:rPr>
      </w:pPr>
    </w:p>
    <w:p>
      <w:pPr>
        <w:pStyle w:val="ListParagraph"/>
        <w:numPr>
          <w:ilvl w:val="0"/>
          <w:numId w:val="109"/>
        </w:numPr>
        <w:tabs>
          <w:tab w:pos="845" w:val="left" w:leader="none"/>
        </w:tabs>
        <w:spacing w:line="240" w:lineRule="auto" w:before="0" w:after="0"/>
        <w:ind w:left="844" w:right="1254" w:hanging="358"/>
        <w:jc w:val="left"/>
        <w:rPr>
          <w:sz w:val="18"/>
        </w:rPr>
      </w:pPr>
      <w:r>
        <w:rPr>
          <w:sz w:val="18"/>
        </w:rPr>
        <w:t>Do you have any suggestions for how to make the reports more useful for your PHN and/ or for practices (e.g.</w:t>
      </w:r>
      <w:r>
        <w:rPr>
          <w:spacing w:val="-47"/>
          <w:sz w:val="18"/>
        </w:rPr>
        <w:t> </w:t>
      </w:r>
      <w:r>
        <w:rPr>
          <w:sz w:val="18"/>
        </w:rPr>
        <w:t>frequency,</w:t>
      </w:r>
      <w:r>
        <w:rPr>
          <w:spacing w:val="-4"/>
          <w:sz w:val="18"/>
        </w:rPr>
        <w:t> </w:t>
      </w:r>
      <w:r>
        <w:rPr>
          <w:sz w:val="18"/>
        </w:rPr>
        <w:t>content,</w:t>
      </w:r>
      <w:r>
        <w:rPr>
          <w:spacing w:val="-2"/>
          <w:sz w:val="18"/>
        </w:rPr>
        <w:t> </w:t>
      </w:r>
      <w:r>
        <w:rPr>
          <w:sz w:val="18"/>
        </w:rPr>
        <w:t>comparisons)?</w:t>
      </w:r>
    </w:p>
    <w:p>
      <w:pPr>
        <w:spacing w:after="0" w:line="240" w:lineRule="auto"/>
        <w:jc w:val="left"/>
        <w:rPr>
          <w:sz w:val="18"/>
        </w:rPr>
        <w:sectPr>
          <w:pgSz w:w="11910" w:h="16840"/>
          <w:pgMar w:header="0" w:footer="948" w:top="860" w:bottom="1140" w:left="300" w:right="0"/>
        </w:sectPr>
      </w:pPr>
    </w:p>
    <w:p>
      <w:pPr>
        <w:pStyle w:val="Heading4"/>
        <w:ind w:right="1474"/>
        <w:jc w:val="center"/>
      </w:pPr>
      <w:r>
        <w:rPr>
          <w:color w:val="808080"/>
        </w:rPr>
        <w:t>PHN</w:t>
      </w:r>
      <w:r>
        <w:rPr>
          <w:color w:val="808080"/>
          <w:spacing w:val="-2"/>
        </w:rPr>
        <w:t> </w:t>
      </w:r>
      <w:r>
        <w:rPr>
          <w:color w:val="808080"/>
        </w:rPr>
        <w:t>Survey</w:t>
      </w:r>
      <w:r>
        <w:rPr>
          <w:color w:val="808080"/>
          <w:spacing w:val="-2"/>
        </w:rPr>
        <w:t> </w:t>
      </w:r>
      <w:r>
        <w:rPr>
          <w:color w:val="808080"/>
        </w:rPr>
        <w:t>-</w:t>
      </w:r>
      <w:r>
        <w:rPr>
          <w:color w:val="808080"/>
          <w:spacing w:val="-1"/>
        </w:rPr>
        <w:t> </w:t>
      </w:r>
      <w:r>
        <w:rPr>
          <w:color w:val="808080"/>
        </w:rPr>
        <w:t>Round</w:t>
      </w:r>
      <w:r>
        <w:rPr>
          <w:color w:val="808080"/>
          <w:spacing w:val="-1"/>
        </w:rPr>
        <w:t> </w:t>
      </w:r>
      <w:r>
        <w:rPr>
          <w:color w:val="808080"/>
        </w:rPr>
        <w:t>5</w:t>
      </w:r>
      <w:r>
        <w:rPr>
          <w:color w:val="808080"/>
          <w:spacing w:val="-1"/>
        </w:rPr>
        <w:t> </w:t>
      </w:r>
      <w:r>
        <w:rPr>
          <w:color w:val="808080"/>
        </w:rPr>
        <w:t>Part</w:t>
      </w:r>
      <w:r>
        <w:rPr>
          <w:color w:val="808080"/>
          <w:spacing w:val="-3"/>
        </w:rPr>
        <w:t> </w:t>
      </w:r>
      <w:r>
        <w:rPr>
          <w:color w:val="808080"/>
        </w:rPr>
        <w:t>B</w:t>
      </w:r>
      <w:r>
        <w:rPr>
          <w:color w:val="808080"/>
          <w:spacing w:val="-4"/>
        </w:rPr>
        <w:t> </w:t>
      </w:r>
      <w:r>
        <w:rPr>
          <w:color w:val="808080"/>
        </w:rPr>
        <w:t>–</w:t>
      </w:r>
      <w:r>
        <w:rPr>
          <w:color w:val="808080"/>
          <w:spacing w:val="-1"/>
        </w:rPr>
        <w:t> </w:t>
      </w:r>
      <w:r>
        <w:rPr>
          <w:color w:val="808080"/>
        </w:rPr>
        <w:t>HCH-A</w:t>
      </w:r>
      <w:r>
        <w:rPr>
          <w:color w:val="808080"/>
          <w:spacing w:val="-1"/>
        </w:rPr>
        <w:t> </w:t>
      </w:r>
      <w:r>
        <w:rPr>
          <w:color w:val="808080"/>
        </w:rPr>
        <w:t>tool</w:t>
      </w:r>
      <w:r>
        <w:rPr>
          <w:color w:val="808080"/>
          <w:spacing w:val="-1"/>
        </w:rPr>
        <w:t> </w:t>
      </w:r>
      <w:r>
        <w:rPr>
          <w:color w:val="808080"/>
        </w:rPr>
        <w:t>assessment</w:t>
      </w:r>
    </w:p>
    <w:p>
      <w:pPr>
        <w:spacing w:line="276" w:lineRule="auto" w:before="256"/>
        <w:ind w:left="420" w:right="798" w:firstLine="0"/>
        <w:jc w:val="left"/>
        <w:rPr>
          <w:sz w:val="18"/>
        </w:rPr>
      </w:pPr>
      <w:r>
        <w:rPr>
          <w:sz w:val="18"/>
        </w:rPr>
        <w:t>The following requests an assessment, by practice facilitators or other PHN staff, of each HCH practice against the</w:t>
      </w:r>
      <w:r>
        <w:rPr>
          <w:spacing w:val="1"/>
          <w:sz w:val="18"/>
        </w:rPr>
        <w:t> </w:t>
      </w:r>
      <w:r>
        <w:rPr>
          <w:sz w:val="18"/>
        </w:rPr>
        <w:t>questions within the HCH-A tool.</w:t>
      </w:r>
      <w:r>
        <w:rPr>
          <w:spacing w:val="1"/>
          <w:sz w:val="18"/>
        </w:rPr>
        <w:t> </w:t>
      </w:r>
      <w:r>
        <w:rPr>
          <w:sz w:val="18"/>
        </w:rPr>
        <w:t>The reported scores should reflect the practice facilitator's assessment of the practice</w:t>
      </w:r>
      <w:r>
        <w:rPr>
          <w:spacing w:val="-47"/>
          <w:sz w:val="18"/>
        </w:rPr>
        <w:t> </w:t>
      </w:r>
      <w:r>
        <w:rPr>
          <w:sz w:val="18"/>
        </w:rPr>
        <w:t>at the commencement of the HCH program and at around November 2020. We have also asked you to provide an</w:t>
      </w:r>
      <w:r>
        <w:rPr>
          <w:spacing w:val="1"/>
          <w:sz w:val="18"/>
        </w:rPr>
        <w:t> </w:t>
      </w:r>
      <w:r>
        <w:rPr>
          <w:sz w:val="18"/>
        </w:rPr>
        <w:t>indication</w:t>
      </w:r>
      <w:r>
        <w:rPr>
          <w:spacing w:val="-1"/>
          <w:sz w:val="18"/>
        </w:rPr>
        <w:t> </w:t>
      </w:r>
      <w:r>
        <w:rPr>
          <w:sz w:val="18"/>
        </w:rPr>
        <w:t>of</w:t>
      </w:r>
      <w:r>
        <w:rPr>
          <w:spacing w:val="-2"/>
          <w:sz w:val="18"/>
        </w:rPr>
        <w:t> </w:t>
      </w:r>
      <w:r>
        <w:rPr>
          <w:sz w:val="18"/>
        </w:rPr>
        <w:t>the</w:t>
      </w:r>
      <w:r>
        <w:rPr>
          <w:spacing w:val="-1"/>
          <w:sz w:val="18"/>
        </w:rPr>
        <w:t> </w:t>
      </w:r>
      <w:r>
        <w:rPr>
          <w:sz w:val="18"/>
        </w:rPr>
        <w:t>level of</w:t>
      </w:r>
      <w:r>
        <w:rPr>
          <w:spacing w:val="-3"/>
          <w:sz w:val="18"/>
        </w:rPr>
        <w:t> </w:t>
      </w:r>
      <w:r>
        <w:rPr>
          <w:sz w:val="18"/>
        </w:rPr>
        <w:t>progress</w:t>
      </w:r>
      <w:r>
        <w:rPr>
          <w:spacing w:val="-1"/>
          <w:sz w:val="18"/>
        </w:rPr>
        <w:t> </w:t>
      </w:r>
      <w:r>
        <w:rPr>
          <w:sz w:val="18"/>
        </w:rPr>
        <w:t>practices</w:t>
      </w:r>
      <w:r>
        <w:rPr>
          <w:spacing w:val="-1"/>
          <w:sz w:val="18"/>
        </w:rPr>
        <w:t> </w:t>
      </w:r>
      <w:r>
        <w:rPr>
          <w:sz w:val="18"/>
        </w:rPr>
        <w:t>have</w:t>
      </w:r>
      <w:r>
        <w:rPr>
          <w:spacing w:val="-1"/>
          <w:sz w:val="18"/>
        </w:rPr>
        <w:t> </w:t>
      </w:r>
      <w:r>
        <w:rPr>
          <w:sz w:val="18"/>
        </w:rPr>
        <w:t>made against</w:t>
      </w:r>
      <w:r>
        <w:rPr>
          <w:spacing w:val="-3"/>
          <w:sz w:val="18"/>
        </w:rPr>
        <w:t> </w:t>
      </w:r>
      <w:r>
        <w:rPr>
          <w:sz w:val="18"/>
        </w:rPr>
        <w:t>these</w:t>
      </w:r>
      <w:r>
        <w:rPr>
          <w:spacing w:val="7"/>
          <w:sz w:val="18"/>
        </w:rPr>
        <w:t> </w:t>
      </w:r>
      <w:r>
        <w:rPr>
          <w:sz w:val="18"/>
        </w:rPr>
        <w:t>dimensions.</w:t>
      </w:r>
    </w:p>
    <w:p>
      <w:pPr>
        <w:pStyle w:val="BodyText"/>
        <w:spacing w:before="4"/>
        <w:rPr>
          <w:sz w:val="16"/>
        </w:rPr>
      </w:pPr>
    </w:p>
    <w:tbl>
      <w:tblPr>
        <w:tblW w:w="0" w:type="auto"/>
        <w:jc w:val="left"/>
        <w:tblInd w:w="62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989"/>
        <w:gridCol w:w="1274"/>
        <w:gridCol w:w="708"/>
        <w:gridCol w:w="851"/>
        <w:gridCol w:w="6238"/>
      </w:tblGrid>
      <w:tr>
        <w:trPr>
          <w:trHeight w:val="222" w:hRule="atLeast"/>
        </w:trPr>
        <w:tc>
          <w:tcPr>
            <w:tcW w:w="3822" w:type="dxa"/>
            <w:gridSpan w:val="4"/>
          </w:tcPr>
          <w:p>
            <w:pPr>
              <w:pStyle w:val="TableParagraph"/>
              <w:spacing w:line="202" w:lineRule="exact" w:before="1"/>
              <w:ind w:left="107"/>
              <w:rPr>
                <w:sz w:val="18"/>
              </w:rPr>
            </w:pPr>
            <w:r>
              <w:rPr>
                <w:sz w:val="18"/>
              </w:rPr>
              <w:t>Practice</w:t>
            </w:r>
            <w:r>
              <w:rPr>
                <w:spacing w:val="-5"/>
                <w:sz w:val="18"/>
              </w:rPr>
              <w:t> </w:t>
            </w:r>
            <w:r>
              <w:rPr>
                <w:sz w:val="18"/>
              </w:rPr>
              <w:t>name</w:t>
            </w:r>
          </w:p>
        </w:tc>
        <w:tc>
          <w:tcPr>
            <w:tcW w:w="6238" w:type="dxa"/>
          </w:tcPr>
          <w:p>
            <w:pPr>
              <w:pStyle w:val="TableParagraph"/>
              <w:rPr>
                <w:rFonts w:ascii="Times New Roman"/>
                <w:sz w:val="14"/>
              </w:rPr>
            </w:pPr>
          </w:p>
        </w:tc>
      </w:tr>
      <w:tr>
        <w:trPr>
          <w:trHeight w:val="220" w:hRule="atLeast"/>
        </w:trPr>
        <w:tc>
          <w:tcPr>
            <w:tcW w:w="10060" w:type="dxa"/>
            <w:gridSpan w:val="5"/>
          </w:tcPr>
          <w:p>
            <w:pPr>
              <w:pStyle w:val="TableParagraph"/>
              <w:spacing w:line="200" w:lineRule="exact"/>
              <w:ind w:left="107"/>
              <w:rPr>
                <w:sz w:val="18"/>
              </w:rPr>
            </w:pPr>
            <w:r>
              <w:rPr>
                <w:sz w:val="18"/>
              </w:rPr>
              <w:t>Practice</w:t>
            </w:r>
            <w:r>
              <w:rPr>
                <w:spacing w:val="-3"/>
                <w:sz w:val="18"/>
              </w:rPr>
              <w:t> </w:t>
            </w:r>
            <w:r>
              <w:rPr>
                <w:sz w:val="18"/>
              </w:rPr>
              <w:t>facilitator</w:t>
            </w:r>
            <w:r>
              <w:rPr>
                <w:spacing w:val="-3"/>
                <w:sz w:val="18"/>
              </w:rPr>
              <w:t> </w:t>
            </w:r>
            <w:r>
              <w:rPr>
                <w:sz w:val="18"/>
              </w:rPr>
              <w:t>assessment</w:t>
            </w:r>
            <w:r>
              <w:rPr>
                <w:spacing w:val="-4"/>
                <w:sz w:val="18"/>
              </w:rPr>
              <w:t> </w:t>
            </w:r>
            <w:r>
              <w:rPr>
                <w:sz w:val="18"/>
              </w:rPr>
              <w:t>of</w:t>
            </w:r>
            <w:r>
              <w:rPr>
                <w:spacing w:val="-2"/>
                <w:sz w:val="18"/>
              </w:rPr>
              <w:t> </w:t>
            </w:r>
            <w:r>
              <w:rPr>
                <w:sz w:val="18"/>
              </w:rPr>
              <w:t>practice</w:t>
            </w:r>
            <w:r>
              <w:rPr>
                <w:spacing w:val="-2"/>
                <w:sz w:val="18"/>
              </w:rPr>
              <w:t> </w:t>
            </w:r>
            <w:r>
              <w:rPr>
                <w:sz w:val="18"/>
              </w:rPr>
              <w:t>on</w:t>
            </w:r>
            <w:r>
              <w:rPr>
                <w:spacing w:val="-4"/>
                <w:sz w:val="18"/>
              </w:rPr>
              <w:t> </w:t>
            </w:r>
            <w:r>
              <w:rPr>
                <w:sz w:val="18"/>
              </w:rPr>
              <w:t>high</w:t>
            </w:r>
            <w:r>
              <w:rPr>
                <w:spacing w:val="-3"/>
                <w:sz w:val="18"/>
              </w:rPr>
              <w:t> </w:t>
            </w:r>
            <w:r>
              <w:rPr>
                <w:sz w:val="18"/>
              </w:rPr>
              <w:t>level</w:t>
            </w:r>
            <w:r>
              <w:rPr>
                <w:spacing w:val="-2"/>
                <w:sz w:val="18"/>
              </w:rPr>
              <w:t> </w:t>
            </w:r>
            <w:r>
              <w:rPr>
                <w:sz w:val="18"/>
              </w:rPr>
              <w:t>dimensions</w:t>
            </w:r>
            <w:r>
              <w:rPr>
                <w:spacing w:val="-3"/>
                <w:sz w:val="18"/>
              </w:rPr>
              <w:t> </w:t>
            </w:r>
            <w:r>
              <w:rPr>
                <w:sz w:val="18"/>
              </w:rPr>
              <w:t>of</w:t>
            </w:r>
            <w:r>
              <w:rPr>
                <w:spacing w:val="-4"/>
                <w:sz w:val="18"/>
              </w:rPr>
              <w:t> </w:t>
            </w:r>
            <w:r>
              <w:rPr>
                <w:sz w:val="18"/>
              </w:rPr>
              <w:t>HCH-A:</w:t>
            </w:r>
            <w:r>
              <w:rPr>
                <w:spacing w:val="-2"/>
                <w:sz w:val="18"/>
              </w:rPr>
              <w:t> </w:t>
            </w:r>
            <w:r>
              <w:rPr>
                <w:sz w:val="18"/>
              </w:rPr>
              <w:t>Enter</w:t>
            </w:r>
            <w:r>
              <w:rPr>
                <w:spacing w:val="-2"/>
                <w:sz w:val="18"/>
              </w:rPr>
              <w:t> </w:t>
            </w:r>
            <w:r>
              <w:rPr>
                <w:sz w:val="18"/>
              </w:rPr>
              <w:t>value</w:t>
            </w:r>
            <w:r>
              <w:rPr>
                <w:spacing w:val="-3"/>
                <w:sz w:val="18"/>
              </w:rPr>
              <w:t> </w:t>
            </w:r>
            <w:r>
              <w:rPr>
                <w:sz w:val="18"/>
              </w:rPr>
              <w:t>between</w:t>
            </w:r>
            <w:r>
              <w:rPr>
                <w:spacing w:val="-3"/>
                <w:sz w:val="18"/>
              </w:rPr>
              <w:t> </w:t>
            </w:r>
            <w:r>
              <w:rPr>
                <w:sz w:val="18"/>
              </w:rPr>
              <w:t>1</w:t>
            </w:r>
            <w:r>
              <w:rPr>
                <w:spacing w:val="-1"/>
                <w:sz w:val="18"/>
              </w:rPr>
              <w:t> </w:t>
            </w:r>
            <w:r>
              <w:rPr>
                <w:sz w:val="18"/>
              </w:rPr>
              <w:t>and</w:t>
            </w:r>
            <w:r>
              <w:rPr>
                <w:spacing w:val="-5"/>
                <w:sz w:val="18"/>
              </w:rPr>
              <w:t> </w:t>
            </w:r>
            <w:r>
              <w:rPr>
                <w:sz w:val="18"/>
              </w:rPr>
              <w:t>12</w:t>
            </w:r>
          </w:p>
        </w:tc>
      </w:tr>
      <w:tr>
        <w:trPr>
          <w:trHeight w:val="441" w:hRule="atLeast"/>
        </w:trPr>
        <w:tc>
          <w:tcPr>
            <w:tcW w:w="989" w:type="dxa"/>
            <w:vMerge w:val="restart"/>
            <w:shd w:val="clear" w:color="auto" w:fill="F1F1F1"/>
          </w:tcPr>
          <w:p>
            <w:pPr>
              <w:pStyle w:val="TableParagraph"/>
              <w:spacing w:line="219" w:lineRule="exact"/>
              <w:ind w:left="107"/>
              <w:rPr>
                <w:sz w:val="18"/>
              </w:rPr>
            </w:pPr>
            <w:r>
              <w:rPr>
                <w:sz w:val="18"/>
              </w:rPr>
              <w:t>HCH-A</w:t>
            </w:r>
          </w:p>
          <w:p>
            <w:pPr>
              <w:pStyle w:val="TableParagraph"/>
              <w:ind w:left="107"/>
              <w:rPr>
                <w:sz w:val="18"/>
              </w:rPr>
            </w:pPr>
            <w:r>
              <w:rPr>
                <w:sz w:val="18"/>
              </w:rPr>
              <w:t>question</w:t>
            </w:r>
          </w:p>
        </w:tc>
        <w:tc>
          <w:tcPr>
            <w:tcW w:w="2833" w:type="dxa"/>
            <w:gridSpan w:val="3"/>
            <w:shd w:val="clear" w:color="auto" w:fill="F1F1F1"/>
          </w:tcPr>
          <w:p>
            <w:pPr>
              <w:pStyle w:val="TableParagraph"/>
              <w:spacing w:line="219" w:lineRule="exact"/>
              <w:ind w:left="722"/>
              <w:rPr>
                <w:sz w:val="18"/>
              </w:rPr>
            </w:pPr>
            <w:r>
              <w:rPr>
                <w:sz w:val="18"/>
              </w:rPr>
              <w:t>Estimated</w:t>
            </w:r>
            <w:r>
              <w:rPr>
                <w:spacing w:val="-5"/>
                <w:sz w:val="18"/>
              </w:rPr>
              <w:t> </w:t>
            </w:r>
            <w:r>
              <w:rPr>
                <w:sz w:val="18"/>
              </w:rPr>
              <w:t>score</w:t>
            </w:r>
          </w:p>
        </w:tc>
        <w:tc>
          <w:tcPr>
            <w:tcW w:w="6238" w:type="dxa"/>
            <w:vMerge w:val="restart"/>
            <w:shd w:val="clear" w:color="auto" w:fill="F1F1F1"/>
          </w:tcPr>
          <w:p>
            <w:pPr>
              <w:pStyle w:val="TableParagraph"/>
              <w:ind w:left="479" w:right="471"/>
              <w:jc w:val="center"/>
              <w:rPr>
                <w:sz w:val="18"/>
              </w:rPr>
            </w:pPr>
            <w:r>
              <w:rPr>
                <w:sz w:val="18"/>
              </w:rPr>
              <w:t>How</w:t>
            </w:r>
            <w:r>
              <w:rPr>
                <w:spacing w:val="-2"/>
                <w:sz w:val="18"/>
              </w:rPr>
              <w:t> </w:t>
            </w:r>
            <w:r>
              <w:rPr>
                <w:sz w:val="18"/>
              </w:rPr>
              <w:t>much</w:t>
            </w:r>
            <w:r>
              <w:rPr>
                <w:spacing w:val="-2"/>
                <w:sz w:val="18"/>
              </w:rPr>
              <w:t> </w:t>
            </w:r>
            <w:r>
              <w:rPr>
                <w:sz w:val="18"/>
              </w:rPr>
              <w:t>progress</w:t>
            </w:r>
            <w:r>
              <w:rPr>
                <w:spacing w:val="-3"/>
                <w:sz w:val="18"/>
              </w:rPr>
              <w:t> </w:t>
            </w:r>
            <w:r>
              <w:rPr>
                <w:sz w:val="18"/>
              </w:rPr>
              <w:t>has</w:t>
            </w:r>
            <w:r>
              <w:rPr>
                <w:spacing w:val="-3"/>
                <w:sz w:val="18"/>
              </w:rPr>
              <w:t> </w:t>
            </w:r>
            <w:r>
              <w:rPr>
                <w:sz w:val="18"/>
              </w:rPr>
              <w:t>the</w:t>
            </w:r>
            <w:r>
              <w:rPr>
                <w:spacing w:val="-4"/>
                <w:sz w:val="18"/>
              </w:rPr>
              <w:t> </w:t>
            </w:r>
            <w:r>
              <w:rPr>
                <w:sz w:val="18"/>
              </w:rPr>
              <w:t>practice</w:t>
            </w:r>
            <w:r>
              <w:rPr>
                <w:spacing w:val="-3"/>
                <w:sz w:val="18"/>
              </w:rPr>
              <w:t> </w:t>
            </w:r>
            <w:r>
              <w:rPr>
                <w:sz w:val="18"/>
              </w:rPr>
              <w:t>made</w:t>
            </w:r>
            <w:r>
              <w:rPr>
                <w:spacing w:val="-2"/>
                <w:sz w:val="18"/>
              </w:rPr>
              <w:t> </w:t>
            </w:r>
            <w:r>
              <w:rPr>
                <w:sz w:val="18"/>
              </w:rPr>
              <w:t>on</w:t>
            </w:r>
            <w:r>
              <w:rPr>
                <w:spacing w:val="-2"/>
                <w:sz w:val="18"/>
              </w:rPr>
              <w:t> </w:t>
            </w:r>
            <w:r>
              <w:rPr>
                <w:sz w:val="18"/>
              </w:rPr>
              <w:t>this</w:t>
            </w:r>
            <w:r>
              <w:rPr>
                <w:spacing w:val="-3"/>
                <w:sz w:val="18"/>
              </w:rPr>
              <w:t> </w:t>
            </w:r>
            <w:r>
              <w:rPr>
                <w:sz w:val="18"/>
              </w:rPr>
              <w:t>aspect</w:t>
            </w:r>
            <w:r>
              <w:rPr>
                <w:spacing w:val="-4"/>
                <w:sz w:val="18"/>
              </w:rPr>
              <w:t> </w:t>
            </w:r>
            <w:r>
              <w:rPr>
                <w:sz w:val="18"/>
              </w:rPr>
              <w:t>of</w:t>
            </w:r>
            <w:r>
              <w:rPr>
                <w:spacing w:val="-47"/>
                <w:sz w:val="18"/>
              </w:rPr>
              <w:t> </w:t>
            </w:r>
            <w:r>
              <w:rPr>
                <w:sz w:val="18"/>
              </w:rPr>
              <w:t>HCH/patient centred medical home feature, since the</w:t>
            </w:r>
            <w:r>
              <w:rPr>
                <w:spacing w:val="1"/>
                <w:sz w:val="18"/>
              </w:rPr>
              <w:t> </w:t>
            </w:r>
            <w:r>
              <w:rPr>
                <w:sz w:val="18"/>
              </w:rPr>
              <w:t>commencement</w:t>
            </w:r>
            <w:r>
              <w:rPr>
                <w:spacing w:val="-3"/>
                <w:sz w:val="18"/>
              </w:rPr>
              <w:t> </w:t>
            </w:r>
            <w:r>
              <w:rPr>
                <w:sz w:val="18"/>
              </w:rPr>
              <w:t>of</w:t>
            </w:r>
            <w:r>
              <w:rPr>
                <w:spacing w:val="1"/>
                <w:sz w:val="18"/>
              </w:rPr>
              <w:t> </w:t>
            </w:r>
            <w:r>
              <w:rPr>
                <w:sz w:val="18"/>
              </w:rPr>
              <w:t>HCH</w:t>
            </w:r>
            <w:r>
              <w:rPr>
                <w:spacing w:val="-2"/>
                <w:sz w:val="18"/>
              </w:rPr>
              <w:t> </w:t>
            </w:r>
            <w:r>
              <w:rPr>
                <w:sz w:val="18"/>
              </w:rPr>
              <w:t>implementation</w:t>
            </w:r>
          </w:p>
        </w:tc>
      </w:tr>
      <w:tr>
        <w:trPr>
          <w:trHeight w:val="662" w:hRule="atLeast"/>
        </w:trPr>
        <w:tc>
          <w:tcPr>
            <w:tcW w:w="989" w:type="dxa"/>
            <w:vMerge/>
            <w:tcBorders>
              <w:top w:val="nil"/>
            </w:tcBorders>
            <w:shd w:val="clear" w:color="auto" w:fill="F1F1F1"/>
          </w:tcPr>
          <w:p>
            <w:pPr>
              <w:rPr>
                <w:sz w:val="2"/>
                <w:szCs w:val="2"/>
              </w:rPr>
            </w:pPr>
          </w:p>
        </w:tc>
        <w:tc>
          <w:tcPr>
            <w:tcW w:w="1274" w:type="dxa"/>
            <w:shd w:val="clear" w:color="auto" w:fill="F1F1F1"/>
          </w:tcPr>
          <w:p>
            <w:pPr>
              <w:pStyle w:val="TableParagraph"/>
              <w:spacing w:before="1"/>
              <w:ind w:left="96" w:right="90"/>
              <w:jc w:val="center"/>
              <w:rPr>
                <w:sz w:val="18"/>
              </w:rPr>
            </w:pPr>
            <w:r>
              <w:rPr>
                <w:sz w:val="18"/>
              </w:rPr>
              <w:t>HCH</w:t>
            </w:r>
          </w:p>
          <w:p>
            <w:pPr>
              <w:pStyle w:val="TableParagraph"/>
              <w:spacing w:line="220" w:lineRule="exact"/>
              <w:ind w:left="96" w:right="95"/>
              <w:jc w:val="center"/>
              <w:rPr>
                <w:sz w:val="18"/>
              </w:rPr>
            </w:pPr>
            <w:r>
              <w:rPr>
                <w:sz w:val="18"/>
              </w:rPr>
              <w:t>commence</w:t>
            </w:r>
          </w:p>
          <w:p>
            <w:pPr>
              <w:pStyle w:val="TableParagraph"/>
              <w:spacing w:line="201" w:lineRule="exact"/>
              <w:ind w:left="96" w:right="93"/>
              <w:jc w:val="center"/>
              <w:rPr>
                <w:sz w:val="18"/>
              </w:rPr>
            </w:pPr>
            <w:r>
              <w:rPr>
                <w:sz w:val="18"/>
              </w:rPr>
              <w:t>-ment</w:t>
            </w:r>
          </w:p>
        </w:tc>
        <w:tc>
          <w:tcPr>
            <w:tcW w:w="708" w:type="dxa"/>
            <w:shd w:val="clear" w:color="auto" w:fill="F1F1F1"/>
          </w:tcPr>
          <w:p>
            <w:pPr>
              <w:pStyle w:val="TableParagraph"/>
              <w:spacing w:before="1"/>
              <w:ind w:left="153" w:right="125" w:firstLine="26"/>
              <w:rPr>
                <w:sz w:val="18"/>
              </w:rPr>
            </w:pPr>
            <w:r>
              <w:rPr>
                <w:sz w:val="18"/>
              </w:rPr>
              <w:t>Nov</w:t>
            </w:r>
            <w:r>
              <w:rPr>
                <w:spacing w:val="-47"/>
                <w:sz w:val="18"/>
              </w:rPr>
              <w:t> </w:t>
            </w:r>
            <w:r>
              <w:rPr>
                <w:sz w:val="18"/>
              </w:rPr>
              <w:t>2019</w:t>
            </w:r>
          </w:p>
        </w:tc>
        <w:tc>
          <w:tcPr>
            <w:tcW w:w="851" w:type="dxa"/>
            <w:shd w:val="clear" w:color="auto" w:fill="F1F1F1"/>
          </w:tcPr>
          <w:p>
            <w:pPr>
              <w:pStyle w:val="TableParagraph"/>
              <w:spacing w:before="1"/>
              <w:ind w:left="226" w:right="195" w:firstLine="24"/>
              <w:rPr>
                <w:sz w:val="18"/>
              </w:rPr>
            </w:pPr>
            <w:r>
              <w:rPr>
                <w:sz w:val="18"/>
              </w:rPr>
              <w:t>Nov</w:t>
            </w:r>
            <w:r>
              <w:rPr>
                <w:spacing w:val="-47"/>
                <w:sz w:val="18"/>
              </w:rPr>
              <w:t> </w:t>
            </w:r>
            <w:r>
              <w:rPr>
                <w:sz w:val="18"/>
              </w:rPr>
              <w:t>2020</w:t>
            </w:r>
          </w:p>
        </w:tc>
        <w:tc>
          <w:tcPr>
            <w:tcW w:w="6238" w:type="dxa"/>
            <w:vMerge/>
            <w:tcBorders>
              <w:top w:val="nil"/>
            </w:tcBorders>
            <w:shd w:val="clear" w:color="auto" w:fill="F1F1F1"/>
          </w:tcPr>
          <w:p>
            <w:pPr>
              <w:rPr>
                <w:sz w:val="2"/>
                <w:szCs w:val="2"/>
              </w:rPr>
            </w:pPr>
          </w:p>
        </w:tc>
      </w:tr>
      <w:tr>
        <w:trPr>
          <w:trHeight w:val="222" w:hRule="atLeast"/>
        </w:trPr>
        <w:tc>
          <w:tcPr>
            <w:tcW w:w="989" w:type="dxa"/>
          </w:tcPr>
          <w:p>
            <w:pPr>
              <w:pStyle w:val="TableParagraph"/>
              <w:spacing w:line="202" w:lineRule="exact" w:before="1"/>
              <w:ind w:left="107"/>
              <w:rPr>
                <w:sz w:val="18"/>
              </w:rPr>
            </w:pPr>
            <w:r>
              <w:rPr>
                <w:sz w:val="18"/>
              </w:rPr>
              <w:t>Q01</w:t>
            </w:r>
          </w:p>
        </w:tc>
        <w:tc>
          <w:tcPr>
            <w:tcW w:w="1274" w:type="dxa"/>
          </w:tcPr>
          <w:p>
            <w:pPr>
              <w:pStyle w:val="TableParagraph"/>
              <w:rPr>
                <w:rFonts w:ascii="Times New Roman"/>
                <w:sz w:val="14"/>
              </w:rPr>
            </w:pPr>
          </w:p>
        </w:tc>
        <w:tc>
          <w:tcPr>
            <w:tcW w:w="708" w:type="dxa"/>
          </w:tcPr>
          <w:p>
            <w:pPr>
              <w:pStyle w:val="TableParagraph"/>
              <w:rPr>
                <w:rFonts w:ascii="Times New Roman"/>
                <w:sz w:val="14"/>
              </w:rPr>
            </w:pPr>
          </w:p>
        </w:tc>
        <w:tc>
          <w:tcPr>
            <w:tcW w:w="851" w:type="dxa"/>
          </w:tcPr>
          <w:p>
            <w:pPr>
              <w:pStyle w:val="TableParagraph"/>
              <w:rPr>
                <w:rFonts w:ascii="Times New Roman"/>
                <w:sz w:val="14"/>
              </w:rPr>
            </w:pPr>
          </w:p>
        </w:tc>
        <w:tc>
          <w:tcPr>
            <w:tcW w:w="6238" w:type="dxa"/>
          </w:tcPr>
          <w:p>
            <w:pPr>
              <w:pStyle w:val="TableParagraph"/>
              <w:spacing w:line="202" w:lineRule="exact" w:before="1"/>
              <w:ind w:left="110"/>
              <w:rPr>
                <w:sz w:val="18"/>
              </w:rPr>
            </w:pPr>
            <w:r>
              <w:rPr>
                <w:sz w:val="18"/>
              </w:rPr>
              <w:t>□</w:t>
            </w:r>
            <w:r>
              <w:rPr>
                <w:spacing w:val="-4"/>
                <w:sz w:val="18"/>
              </w:rPr>
              <w:t> </w:t>
            </w:r>
            <w:r>
              <w:rPr>
                <w:sz w:val="18"/>
              </w:rPr>
              <w:t>Significant</w:t>
            </w:r>
            <w:r>
              <w:rPr>
                <w:spacing w:val="-4"/>
                <w:sz w:val="18"/>
              </w:rPr>
              <w:t> </w:t>
            </w:r>
            <w:r>
              <w:rPr>
                <w:sz w:val="18"/>
              </w:rPr>
              <w:t>progress</w:t>
            </w:r>
            <w:r>
              <w:rPr>
                <w:spacing w:val="-3"/>
                <w:sz w:val="18"/>
              </w:rPr>
              <w:t> </w:t>
            </w:r>
            <w:r>
              <w:rPr>
                <w:sz w:val="18"/>
              </w:rPr>
              <w:t>□</w:t>
            </w:r>
            <w:r>
              <w:rPr>
                <w:spacing w:val="-3"/>
                <w:sz w:val="18"/>
              </w:rPr>
              <w:t> </w:t>
            </w:r>
            <w:r>
              <w:rPr>
                <w:sz w:val="18"/>
              </w:rPr>
              <w:t>Some</w:t>
            </w:r>
            <w:r>
              <w:rPr>
                <w:spacing w:val="-2"/>
                <w:sz w:val="18"/>
              </w:rPr>
              <w:t> </w:t>
            </w:r>
            <w:r>
              <w:rPr>
                <w:sz w:val="18"/>
              </w:rPr>
              <w:t>progress</w:t>
            </w:r>
            <w:r>
              <w:rPr>
                <w:spacing w:val="-3"/>
                <w:sz w:val="18"/>
              </w:rPr>
              <w:t> </w:t>
            </w:r>
            <w:r>
              <w:rPr>
                <w:sz w:val="18"/>
              </w:rPr>
              <w:t>□</w:t>
            </w:r>
            <w:r>
              <w:rPr>
                <w:spacing w:val="-3"/>
                <w:sz w:val="18"/>
              </w:rPr>
              <w:t> </w:t>
            </w:r>
            <w:r>
              <w:rPr>
                <w:sz w:val="18"/>
              </w:rPr>
              <w:t>No</w:t>
            </w:r>
            <w:r>
              <w:rPr>
                <w:spacing w:val="-3"/>
                <w:sz w:val="18"/>
              </w:rPr>
              <w:t> </w:t>
            </w:r>
            <w:r>
              <w:rPr>
                <w:sz w:val="18"/>
              </w:rPr>
              <w:t>progress</w:t>
            </w:r>
            <w:r>
              <w:rPr>
                <w:spacing w:val="-3"/>
                <w:sz w:val="18"/>
              </w:rPr>
              <w:t> </w:t>
            </w:r>
            <w:r>
              <w:rPr>
                <w:sz w:val="18"/>
              </w:rPr>
              <w:t>□</w:t>
            </w:r>
            <w:r>
              <w:rPr>
                <w:spacing w:val="-5"/>
                <w:sz w:val="18"/>
              </w:rPr>
              <w:t> </w:t>
            </w:r>
            <w:r>
              <w:rPr>
                <w:sz w:val="18"/>
              </w:rPr>
              <w:t>Worse</w:t>
            </w:r>
          </w:p>
        </w:tc>
      </w:tr>
      <w:tr>
        <w:trPr>
          <w:trHeight w:val="220" w:hRule="atLeast"/>
        </w:trPr>
        <w:tc>
          <w:tcPr>
            <w:tcW w:w="989" w:type="dxa"/>
          </w:tcPr>
          <w:p>
            <w:pPr>
              <w:pStyle w:val="TableParagraph"/>
              <w:spacing w:line="200" w:lineRule="exact"/>
              <w:ind w:left="107"/>
              <w:rPr>
                <w:sz w:val="18"/>
              </w:rPr>
            </w:pPr>
            <w:r>
              <w:rPr>
                <w:sz w:val="18"/>
              </w:rPr>
              <w:t>Q02</w:t>
            </w:r>
          </w:p>
        </w:tc>
        <w:tc>
          <w:tcPr>
            <w:tcW w:w="1274" w:type="dxa"/>
          </w:tcPr>
          <w:p>
            <w:pPr>
              <w:pStyle w:val="TableParagraph"/>
              <w:rPr>
                <w:rFonts w:ascii="Times New Roman"/>
                <w:sz w:val="14"/>
              </w:rPr>
            </w:pPr>
          </w:p>
        </w:tc>
        <w:tc>
          <w:tcPr>
            <w:tcW w:w="708" w:type="dxa"/>
          </w:tcPr>
          <w:p>
            <w:pPr>
              <w:pStyle w:val="TableParagraph"/>
              <w:rPr>
                <w:rFonts w:ascii="Times New Roman"/>
                <w:sz w:val="14"/>
              </w:rPr>
            </w:pPr>
          </w:p>
        </w:tc>
        <w:tc>
          <w:tcPr>
            <w:tcW w:w="851" w:type="dxa"/>
          </w:tcPr>
          <w:p>
            <w:pPr>
              <w:pStyle w:val="TableParagraph"/>
              <w:rPr>
                <w:rFonts w:ascii="Times New Roman"/>
                <w:sz w:val="14"/>
              </w:rPr>
            </w:pPr>
          </w:p>
        </w:tc>
        <w:tc>
          <w:tcPr>
            <w:tcW w:w="6238" w:type="dxa"/>
          </w:tcPr>
          <w:p>
            <w:pPr>
              <w:pStyle w:val="TableParagraph"/>
              <w:spacing w:line="200" w:lineRule="exact"/>
              <w:ind w:left="110"/>
              <w:rPr>
                <w:sz w:val="18"/>
              </w:rPr>
            </w:pPr>
            <w:r>
              <w:rPr>
                <w:sz w:val="18"/>
              </w:rPr>
              <w:t>□</w:t>
            </w:r>
            <w:r>
              <w:rPr>
                <w:spacing w:val="-4"/>
                <w:sz w:val="18"/>
              </w:rPr>
              <w:t> </w:t>
            </w:r>
            <w:r>
              <w:rPr>
                <w:sz w:val="18"/>
              </w:rPr>
              <w:t>Significant</w:t>
            </w:r>
            <w:r>
              <w:rPr>
                <w:spacing w:val="-4"/>
                <w:sz w:val="18"/>
              </w:rPr>
              <w:t> </w:t>
            </w:r>
            <w:r>
              <w:rPr>
                <w:sz w:val="18"/>
              </w:rPr>
              <w:t>progress</w:t>
            </w:r>
            <w:r>
              <w:rPr>
                <w:spacing w:val="-3"/>
                <w:sz w:val="18"/>
              </w:rPr>
              <w:t> </w:t>
            </w:r>
            <w:r>
              <w:rPr>
                <w:sz w:val="18"/>
              </w:rPr>
              <w:t>□</w:t>
            </w:r>
            <w:r>
              <w:rPr>
                <w:spacing w:val="-3"/>
                <w:sz w:val="18"/>
              </w:rPr>
              <w:t> </w:t>
            </w:r>
            <w:r>
              <w:rPr>
                <w:sz w:val="18"/>
              </w:rPr>
              <w:t>Some</w:t>
            </w:r>
            <w:r>
              <w:rPr>
                <w:spacing w:val="-2"/>
                <w:sz w:val="18"/>
              </w:rPr>
              <w:t> </w:t>
            </w:r>
            <w:r>
              <w:rPr>
                <w:sz w:val="18"/>
              </w:rPr>
              <w:t>progress</w:t>
            </w:r>
            <w:r>
              <w:rPr>
                <w:spacing w:val="-3"/>
                <w:sz w:val="18"/>
              </w:rPr>
              <w:t> </w:t>
            </w:r>
            <w:r>
              <w:rPr>
                <w:sz w:val="18"/>
              </w:rPr>
              <w:t>□</w:t>
            </w:r>
            <w:r>
              <w:rPr>
                <w:spacing w:val="-3"/>
                <w:sz w:val="18"/>
              </w:rPr>
              <w:t> </w:t>
            </w:r>
            <w:r>
              <w:rPr>
                <w:sz w:val="18"/>
              </w:rPr>
              <w:t>No</w:t>
            </w:r>
            <w:r>
              <w:rPr>
                <w:spacing w:val="-3"/>
                <w:sz w:val="18"/>
              </w:rPr>
              <w:t> </w:t>
            </w:r>
            <w:r>
              <w:rPr>
                <w:sz w:val="18"/>
              </w:rPr>
              <w:t>progress</w:t>
            </w:r>
            <w:r>
              <w:rPr>
                <w:spacing w:val="-3"/>
                <w:sz w:val="18"/>
              </w:rPr>
              <w:t> </w:t>
            </w:r>
            <w:r>
              <w:rPr>
                <w:sz w:val="18"/>
              </w:rPr>
              <w:t>□</w:t>
            </w:r>
            <w:r>
              <w:rPr>
                <w:spacing w:val="-5"/>
                <w:sz w:val="18"/>
              </w:rPr>
              <w:t> </w:t>
            </w:r>
            <w:r>
              <w:rPr>
                <w:sz w:val="18"/>
              </w:rPr>
              <w:t>Worse</w:t>
            </w:r>
          </w:p>
        </w:tc>
      </w:tr>
      <w:tr>
        <w:trPr>
          <w:trHeight w:val="221" w:hRule="atLeast"/>
        </w:trPr>
        <w:tc>
          <w:tcPr>
            <w:tcW w:w="989" w:type="dxa"/>
          </w:tcPr>
          <w:p>
            <w:pPr>
              <w:pStyle w:val="TableParagraph"/>
              <w:spacing w:line="201" w:lineRule="exact"/>
              <w:ind w:left="107"/>
              <w:rPr>
                <w:sz w:val="18"/>
              </w:rPr>
            </w:pPr>
            <w:r>
              <w:rPr>
                <w:sz w:val="18"/>
              </w:rPr>
              <w:t>Q03</w:t>
            </w:r>
          </w:p>
        </w:tc>
        <w:tc>
          <w:tcPr>
            <w:tcW w:w="1274" w:type="dxa"/>
          </w:tcPr>
          <w:p>
            <w:pPr>
              <w:pStyle w:val="TableParagraph"/>
              <w:rPr>
                <w:rFonts w:ascii="Times New Roman"/>
                <w:sz w:val="14"/>
              </w:rPr>
            </w:pPr>
          </w:p>
        </w:tc>
        <w:tc>
          <w:tcPr>
            <w:tcW w:w="708" w:type="dxa"/>
          </w:tcPr>
          <w:p>
            <w:pPr>
              <w:pStyle w:val="TableParagraph"/>
              <w:rPr>
                <w:rFonts w:ascii="Times New Roman"/>
                <w:sz w:val="14"/>
              </w:rPr>
            </w:pPr>
          </w:p>
        </w:tc>
        <w:tc>
          <w:tcPr>
            <w:tcW w:w="851" w:type="dxa"/>
          </w:tcPr>
          <w:p>
            <w:pPr>
              <w:pStyle w:val="TableParagraph"/>
              <w:rPr>
                <w:rFonts w:ascii="Times New Roman"/>
                <w:sz w:val="14"/>
              </w:rPr>
            </w:pPr>
          </w:p>
        </w:tc>
        <w:tc>
          <w:tcPr>
            <w:tcW w:w="6238" w:type="dxa"/>
          </w:tcPr>
          <w:p>
            <w:pPr>
              <w:pStyle w:val="TableParagraph"/>
              <w:spacing w:line="201" w:lineRule="exact"/>
              <w:ind w:left="110"/>
              <w:rPr>
                <w:sz w:val="18"/>
              </w:rPr>
            </w:pPr>
            <w:r>
              <w:rPr>
                <w:sz w:val="18"/>
              </w:rPr>
              <w:t>□</w:t>
            </w:r>
            <w:r>
              <w:rPr>
                <w:spacing w:val="-4"/>
                <w:sz w:val="18"/>
              </w:rPr>
              <w:t> </w:t>
            </w:r>
            <w:r>
              <w:rPr>
                <w:sz w:val="18"/>
              </w:rPr>
              <w:t>Significant</w:t>
            </w:r>
            <w:r>
              <w:rPr>
                <w:spacing w:val="-4"/>
                <w:sz w:val="18"/>
              </w:rPr>
              <w:t> </w:t>
            </w:r>
            <w:r>
              <w:rPr>
                <w:sz w:val="18"/>
              </w:rPr>
              <w:t>progress</w:t>
            </w:r>
            <w:r>
              <w:rPr>
                <w:spacing w:val="-3"/>
                <w:sz w:val="18"/>
              </w:rPr>
              <w:t> </w:t>
            </w:r>
            <w:r>
              <w:rPr>
                <w:sz w:val="18"/>
              </w:rPr>
              <w:t>□</w:t>
            </w:r>
            <w:r>
              <w:rPr>
                <w:spacing w:val="-3"/>
                <w:sz w:val="18"/>
              </w:rPr>
              <w:t> </w:t>
            </w:r>
            <w:r>
              <w:rPr>
                <w:sz w:val="18"/>
              </w:rPr>
              <w:t>Some</w:t>
            </w:r>
            <w:r>
              <w:rPr>
                <w:spacing w:val="-2"/>
                <w:sz w:val="18"/>
              </w:rPr>
              <w:t> </w:t>
            </w:r>
            <w:r>
              <w:rPr>
                <w:sz w:val="18"/>
              </w:rPr>
              <w:t>progress</w:t>
            </w:r>
            <w:r>
              <w:rPr>
                <w:spacing w:val="-3"/>
                <w:sz w:val="18"/>
              </w:rPr>
              <w:t> </w:t>
            </w:r>
            <w:r>
              <w:rPr>
                <w:sz w:val="18"/>
              </w:rPr>
              <w:t>□</w:t>
            </w:r>
            <w:r>
              <w:rPr>
                <w:spacing w:val="-3"/>
                <w:sz w:val="18"/>
              </w:rPr>
              <w:t> </w:t>
            </w:r>
            <w:r>
              <w:rPr>
                <w:sz w:val="18"/>
              </w:rPr>
              <w:t>No</w:t>
            </w:r>
            <w:r>
              <w:rPr>
                <w:spacing w:val="-3"/>
                <w:sz w:val="18"/>
              </w:rPr>
              <w:t> </w:t>
            </w:r>
            <w:r>
              <w:rPr>
                <w:sz w:val="18"/>
              </w:rPr>
              <w:t>progress</w:t>
            </w:r>
            <w:r>
              <w:rPr>
                <w:spacing w:val="-3"/>
                <w:sz w:val="18"/>
              </w:rPr>
              <w:t> </w:t>
            </w:r>
            <w:r>
              <w:rPr>
                <w:sz w:val="18"/>
              </w:rPr>
              <w:t>□</w:t>
            </w:r>
            <w:r>
              <w:rPr>
                <w:spacing w:val="-5"/>
                <w:sz w:val="18"/>
              </w:rPr>
              <w:t> </w:t>
            </w:r>
            <w:r>
              <w:rPr>
                <w:sz w:val="18"/>
              </w:rPr>
              <w:t>Worse</w:t>
            </w:r>
          </w:p>
        </w:tc>
      </w:tr>
      <w:tr>
        <w:trPr>
          <w:trHeight w:val="220" w:hRule="atLeast"/>
        </w:trPr>
        <w:tc>
          <w:tcPr>
            <w:tcW w:w="989" w:type="dxa"/>
          </w:tcPr>
          <w:p>
            <w:pPr>
              <w:pStyle w:val="TableParagraph"/>
              <w:spacing w:line="200" w:lineRule="exact"/>
              <w:ind w:left="107"/>
              <w:rPr>
                <w:sz w:val="18"/>
              </w:rPr>
            </w:pPr>
            <w:r>
              <w:rPr>
                <w:sz w:val="18"/>
              </w:rPr>
              <w:t>Q04</w:t>
            </w:r>
          </w:p>
        </w:tc>
        <w:tc>
          <w:tcPr>
            <w:tcW w:w="1274" w:type="dxa"/>
          </w:tcPr>
          <w:p>
            <w:pPr>
              <w:pStyle w:val="TableParagraph"/>
              <w:rPr>
                <w:rFonts w:ascii="Times New Roman"/>
                <w:sz w:val="14"/>
              </w:rPr>
            </w:pPr>
          </w:p>
        </w:tc>
        <w:tc>
          <w:tcPr>
            <w:tcW w:w="708" w:type="dxa"/>
          </w:tcPr>
          <w:p>
            <w:pPr>
              <w:pStyle w:val="TableParagraph"/>
              <w:rPr>
                <w:rFonts w:ascii="Times New Roman"/>
                <w:sz w:val="14"/>
              </w:rPr>
            </w:pPr>
          </w:p>
        </w:tc>
        <w:tc>
          <w:tcPr>
            <w:tcW w:w="851" w:type="dxa"/>
          </w:tcPr>
          <w:p>
            <w:pPr>
              <w:pStyle w:val="TableParagraph"/>
              <w:rPr>
                <w:rFonts w:ascii="Times New Roman"/>
                <w:sz w:val="14"/>
              </w:rPr>
            </w:pPr>
          </w:p>
        </w:tc>
        <w:tc>
          <w:tcPr>
            <w:tcW w:w="6238" w:type="dxa"/>
          </w:tcPr>
          <w:p>
            <w:pPr>
              <w:pStyle w:val="TableParagraph"/>
              <w:spacing w:line="200" w:lineRule="exact"/>
              <w:ind w:left="110"/>
              <w:rPr>
                <w:sz w:val="18"/>
              </w:rPr>
            </w:pPr>
            <w:r>
              <w:rPr>
                <w:sz w:val="18"/>
              </w:rPr>
              <w:t>□</w:t>
            </w:r>
            <w:r>
              <w:rPr>
                <w:spacing w:val="-4"/>
                <w:sz w:val="18"/>
              </w:rPr>
              <w:t> </w:t>
            </w:r>
            <w:r>
              <w:rPr>
                <w:sz w:val="18"/>
              </w:rPr>
              <w:t>Significant</w:t>
            </w:r>
            <w:r>
              <w:rPr>
                <w:spacing w:val="-4"/>
                <w:sz w:val="18"/>
              </w:rPr>
              <w:t> </w:t>
            </w:r>
            <w:r>
              <w:rPr>
                <w:sz w:val="18"/>
              </w:rPr>
              <w:t>progress</w:t>
            </w:r>
            <w:r>
              <w:rPr>
                <w:spacing w:val="-3"/>
                <w:sz w:val="18"/>
              </w:rPr>
              <w:t> </w:t>
            </w:r>
            <w:r>
              <w:rPr>
                <w:sz w:val="18"/>
              </w:rPr>
              <w:t>□</w:t>
            </w:r>
            <w:r>
              <w:rPr>
                <w:spacing w:val="-3"/>
                <w:sz w:val="18"/>
              </w:rPr>
              <w:t> </w:t>
            </w:r>
            <w:r>
              <w:rPr>
                <w:sz w:val="18"/>
              </w:rPr>
              <w:t>Some</w:t>
            </w:r>
            <w:r>
              <w:rPr>
                <w:spacing w:val="-2"/>
                <w:sz w:val="18"/>
              </w:rPr>
              <w:t> </w:t>
            </w:r>
            <w:r>
              <w:rPr>
                <w:sz w:val="18"/>
              </w:rPr>
              <w:t>progress</w:t>
            </w:r>
            <w:r>
              <w:rPr>
                <w:spacing w:val="-3"/>
                <w:sz w:val="18"/>
              </w:rPr>
              <w:t> </w:t>
            </w:r>
            <w:r>
              <w:rPr>
                <w:sz w:val="18"/>
              </w:rPr>
              <w:t>□</w:t>
            </w:r>
            <w:r>
              <w:rPr>
                <w:spacing w:val="-3"/>
                <w:sz w:val="18"/>
              </w:rPr>
              <w:t> </w:t>
            </w:r>
            <w:r>
              <w:rPr>
                <w:sz w:val="18"/>
              </w:rPr>
              <w:t>No</w:t>
            </w:r>
            <w:r>
              <w:rPr>
                <w:spacing w:val="-3"/>
                <w:sz w:val="18"/>
              </w:rPr>
              <w:t> </w:t>
            </w:r>
            <w:r>
              <w:rPr>
                <w:sz w:val="18"/>
              </w:rPr>
              <w:t>progress</w:t>
            </w:r>
            <w:r>
              <w:rPr>
                <w:spacing w:val="-3"/>
                <w:sz w:val="18"/>
              </w:rPr>
              <w:t> </w:t>
            </w:r>
            <w:r>
              <w:rPr>
                <w:sz w:val="18"/>
              </w:rPr>
              <w:t>□</w:t>
            </w:r>
            <w:r>
              <w:rPr>
                <w:spacing w:val="-5"/>
                <w:sz w:val="18"/>
              </w:rPr>
              <w:t> </w:t>
            </w:r>
            <w:r>
              <w:rPr>
                <w:sz w:val="18"/>
              </w:rPr>
              <w:t>Worse</w:t>
            </w:r>
          </w:p>
        </w:tc>
      </w:tr>
      <w:tr>
        <w:trPr>
          <w:trHeight w:val="220" w:hRule="atLeast"/>
        </w:trPr>
        <w:tc>
          <w:tcPr>
            <w:tcW w:w="989" w:type="dxa"/>
          </w:tcPr>
          <w:p>
            <w:pPr>
              <w:pStyle w:val="TableParagraph"/>
              <w:spacing w:line="200" w:lineRule="exact"/>
              <w:ind w:left="107"/>
              <w:rPr>
                <w:sz w:val="18"/>
              </w:rPr>
            </w:pPr>
            <w:r>
              <w:rPr>
                <w:sz w:val="18"/>
              </w:rPr>
              <w:t>Q05</w:t>
            </w:r>
          </w:p>
        </w:tc>
        <w:tc>
          <w:tcPr>
            <w:tcW w:w="1274" w:type="dxa"/>
          </w:tcPr>
          <w:p>
            <w:pPr>
              <w:pStyle w:val="TableParagraph"/>
              <w:rPr>
                <w:rFonts w:ascii="Times New Roman"/>
                <w:sz w:val="14"/>
              </w:rPr>
            </w:pPr>
          </w:p>
        </w:tc>
        <w:tc>
          <w:tcPr>
            <w:tcW w:w="708" w:type="dxa"/>
          </w:tcPr>
          <w:p>
            <w:pPr>
              <w:pStyle w:val="TableParagraph"/>
              <w:rPr>
                <w:rFonts w:ascii="Times New Roman"/>
                <w:sz w:val="14"/>
              </w:rPr>
            </w:pPr>
          </w:p>
        </w:tc>
        <w:tc>
          <w:tcPr>
            <w:tcW w:w="851" w:type="dxa"/>
          </w:tcPr>
          <w:p>
            <w:pPr>
              <w:pStyle w:val="TableParagraph"/>
              <w:rPr>
                <w:rFonts w:ascii="Times New Roman"/>
                <w:sz w:val="14"/>
              </w:rPr>
            </w:pPr>
          </w:p>
        </w:tc>
        <w:tc>
          <w:tcPr>
            <w:tcW w:w="6238" w:type="dxa"/>
          </w:tcPr>
          <w:p>
            <w:pPr>
              <w:pStyle w:val="TableParagraph"/>
              <w:spacing w:line="200" w:lineRule="exact"/>
              <w:ind w:left="110"/>
              <w:rPr>
                <w:sz w:val="18"/>
              </w:rPr>
            </w:pPr>
            <w:r>
              <w:rPr>
                <w:sz w:val="18"/>
              </w:rPr>
              <w:t>□</w:t>
            </w:r>
            <w:r>
              <w:rPr>
                <w:spacing w:val="-4"/>
                <w:sz w:val="18"/>
              </w:rPr>
              <w:t> </w:t>
            </w:r>
            <w:r>
              <w:rPr>
                <w:sz w:val="18"/>
              </w:rPr>
              <w:t>Significant</w:t>
            </w:r>
            <w:r>
              <w:rPr>
                <w:spacing w:val="-4"/>
                <w:sz w:val="18"/>
              </w:rPr>
              <w:t> </w:t>
            </w:r>
            <w:r>
              <w:rPr>
                <w:sz w:val="18"/>
              </w:rPr>
              <w:t>progress</w:t>
            </w:r>
            <w:r>
              <w:rPr>
                <w:spacing w:val="-3"/>
                <w:sz w:val="18"/>
              </w:rPr>
              <w:t> </w:t>
            </w:r>
            <w:r>
              <w:rPr>
                <w:sz w:val="18"/>
              </w:rPr>
              <w:t>□</w:t>
            </w:r>
            <w:r>
              <w:rPr>
                <w:spacing w:val="-3"/>
                <w:sz w:val="18"/>
              </w:rPr>
              <w:t> </w:t>
            </w:r>
            <w:r>
              <w:rPr>
                <w:sz w:val="18"/>
              </w:rPr>
              <w:t>Some</w:t>
            </w:r>
            <w:r>
              <w:rPr>
                <w:spacing w:val="-2"/>
                <w:sz w:val="18"/>
              </w:rPr>
              <w:t> </w:t>
            </w:r>
            <w:r>
              <w:rPr>
                <w:sz w:val="18"/>
              </w:rPr>
              <w:t>progress</w:t>
            </w:r>
            <w:r>
              <w:rPr>
                <w:spacing w:val="-3"/>
                <w:sz w:val="18"/>
              </w:rPr>
              <w:t> </w:t>
            </w:r>
            <w:r>
              <w:rPr>
                <w:sz w:val="18"/>
              </w:rPr>
              <w:t>□</w:t>
            </w:r>
            <w:r>
              <w:rPr>
                <w:spacing w:val="-3"/>
                <w:sz w:val="18"/>
              </w:rPr>
              <w:t> </w:t>
            </w:r>
            <w:r>
              <w:rPr>
                <w:sz w:val="18"/>
              </w:rPr>
              <w:t>No</w:t>
            </w:r>
            <w:r>
              <w:rPr>
                <w:spacing w:val="-3"/>
                <w:sz w:val="18"/>
              </w:rPr>
              <w:t> </w:t>
            </w:r>
            <w:r>
              <w:rPr>
                <w:sz w:val="18"/>
              </w:rPr>
              <w:t>progress</w:t>
            </w:r>
            <w:r>
              <w:rPr>
                <w:spacing w:val="-3"/>
                <w:sz w:val="18"/>
              </w:rPr>
              <w:t> </w:t>
            </w:r>
            <w:r>
              <w:rPr>
                <w:sz w:val="18"/>
              </w:rPr>
              <w:t>□</w:t>
            </w:r>
            <w:r>
              <w:rPr>
                <w:spacing w:val="-5"/>
                <w:sz w:val="18"/>
              </w:rPr>
              <w:t> </w:t>
            </w:r>
            <w:r>
              <w:rPr>
                <w:sz w:val="18"/>
              </w:rPr>
              <w:t>Worse</w:t>
            </w:r>
          </w:p>
        </w:tc>
      </w:tr>
      <w:tr>
        <w:trPr>
          <w:trHeight w:val="220" w:hRule="atLeast"/>
        </w:trPr>
        <w:tc>
          <w:tcPr>
            <w:tcW w:w="989" w:type="dxa"/>
          </w:tcPr>
          <w:p>
            <w:pPr>
              <w:pStyle w:val="TableParagraph"/>
              <w:spacing w:line="200" w:lineRule="exact"/>
              <w:ind w:left="107"/>
              <w:rPr>
                <w:sz w:val="18"/>
              </w:rPr>
            </w:pPr>
            <w:r>
              <w:rPr>
                <w:sz w:val="18"/>
              </w:rPr>
              <w:t>Q06</w:t>
            </w:r>
          </w:p>
        </w:tc>
        <w:tc>
          <w:tcPr>
            <w:tcW w:w="1274" w:type="dxa"/>
          </w:tcPr>
          <w:p>
            <w:pPr>
              <w:pStyle w:val="TableParagraph"/>
              <w:rPr>
                <w:rFonts w:ascii="Times New Roman"/>
                <w:sz w:val="14"/>
              </w:rPr>
            </w:pPr>
          </w:p>
        </w:tc>
        <w:tc>
          <w:tcPr>
            <w:tcW w:w="708" w:type="dxa"/>
          </w:tcPr>
          <w:p>
            <w:pPr>
              <w:pStyle w:val="TableParagraph"/>
              <w:rPr>
                <w:rFonts w:ascii="Times New Roman"/>
                <w:sz w:val="14"/>
              </w:rPr>
            </w:pPr>
          </w:p>
        </w:tc>
        <w:tc>
          <w:tcPr>
            <w:tcW w:w="851" w:type="dxa"/>
          </w:tcPr>
          <w:p>
            <w:pPr>
              <w:pStyle w:val="TableParagraph"/>
              <w:rPr>
                <w:rFonts w:ascii="Times New Roman"/>
                <w:sz w:val="14"/>
              </w:rPr>
            </w:pPr>
          </w:p>
        </w:tc>
        <w:tc>
          <w:tcPr>
            <w:tcW w:w="6238" w:type="dxa"/>
          </w:tcPr>
          <w:p>
            <w:pPr>
              <w:pStyle w:val="TableParagraph"/>
              <w:spacing w:line="200" w:lineRule="exact"/>
              <w:ind w:left="110"/>
              <w:rPr>
                <w:sz w:val="18"/>
              </w:rPr>
            </w:pPr>
            <w:r>
              <w:rPr>
                <w:sz w:val="18"/>
              </w:rPr>
              <w:t>□</w:t>
            </w:r>
            <w:r>
              <w:rPr>
                <w:spacing w:val="-4"/>
                <w:sz w:val="18"/>
              </w:rPr>
              <w:t> </w:t>
            </w:r>
            <w:r>
              <w:rPr>
                <w:sz w:val="18"/>
              </w:rPr>
              <w:t>Significant</w:t>
            </w:r>
            <w:r>
              <w:rPr>
                <w:spacing w:val="-4"/>
                <w:sz w:val="18"/>
              </w:rPr>
              <w:t> </w:t>
            </w:r>
            <w:r>
              <w:rPr>
                <w:sz w:val="18"/>
              </w:rPr>
              <w:t>progress</w:t>
            </w:r>
            <w:r>
              <w:rPr>
                <w:spacing w:val="-3"/>
                <w:sz w:val="18"/>
              </w:rPr>
              <w:t> </w:t>
            </w:r>
            <w:r>
              <w:rPr>
                <w:sz w:val="18"/>
              </w:rPr>
              <w:t>□</w:t>
            </w:r>
            <w:r>
              <w:rPr>
                <w:spacing w:val="-3"/>
                <w:sz w:val="18"/>
              </w:rPr>
              <w:t> </w:t>
            </w:r>
            <w:r>
              <w:rPr>
                <w:sz w:val="18"/>
              </w:rPr>
              <w:t>Some</w:t>
            </w:r>
            <w:r>
              <w:rPr>
                <w:spacing w:val="-2"/>
                <w:sz w:val="18"/>
              </w:rPr>
              <w:t> </w:t>
            </w:r>
            <w:r>
              <w:rPr>
                <w:sz w:val="18"/>
              </w:rPr>
              <w:t>progress</w:t>
            </w:r>
            <w:r>
              <w:rPr>
                <w:spacing w:val="-3"/>
                <w:sz w:val="18"/>
              </w:rPr>
              <w:t> </w:t>
            </w:r>
            <w:r>
              <w:rPr>
                <w:sz w:val="18"/>
              </w:rPr>
              <w:t>□</w:t>
            </w:r>
            <w:r>
              <w:rPr>
                <w:spacing w:val="-3"/>
                <w:sz w:val="18"/>
              </w:rPr>
              <w:t> </w:t>
            </w:r>
            <w:r>
              <w:rPr>
                <w:sz w:val="18"/>
              </w:rPr>
              <w:t>No progress</w:t>
            </w:r>
            <w:r>
              <w:rPr>
                <w:spacing w:val="-3"/>
                <w:sz w:val="18"/>
              </w:rPr>
              <w:t> </w:t>
            </w:r>
            <w:r>
              <w:rPr>
                <w:sz w:val="18"/>
              </w:rPr>
              <w:t>□</w:t>
            </w:r>
            <w:r>
              <w:rPr>
                <w:spacing w:val="-5"/>
                <w:sz w:val="18"/>
              </w:rPr>
              <w:t> </w:t>
            </w:r>
            <w:r>
              <w:rPr>
                <w:sz w:val="18"/>
              </w:rPr>
              <w:t>Worse</w:t>
            </w:r>
          </w:p>
        </w:tc>
      </w:tr>
      <w:tr>
        <w:trPr>
          <w:trHeight w:val="220" w:hRule="atLeast"/>
        </w:trPr>
        <w:tc>
          <w:tcPr>
            <w:tcW w:w="989" w:type="dxa"/>
          </w:tcPr>
          <w:p>
            <w:pPr>
              <w:pStyle w:val="TableParagraph"/>
              <w:spacing w:line="200" w:lineRule="exact"/>
              <w:ind w:left="107"/>
              <w:rPr>
                <w:sz w:val="18"/>
              </w:rPr>
            </w:pPr>
            <w:r>
              <w:rPr>
                <w:sz w:val="18"/>
              </w:rPr>
              <w:t>Q07</w:t>
            </w:r>
          </w:p>
        </w:tc>
        <w:tc>
          <w:tcPr>
            <w:tcW w:w="1274" w:type="dxa"/>
          </w:tcPr>
          <w:p>
            <w:pPr>
              <w:pStyle w:val="TableParagraph"/>
              <w:rPr>
                <w:rFonts w:ascii="Times New Roman"/>
                <w:sz w:val="14"/>
              </w:rPr>
            </w:pPr>
          </w:p>
        </w:tc>
        <w:tc>
          <w:tcPr>
            <w:tcW w:w="708" w:type="dxa"/>
          </w:tcPr>
          <w:p>
            <w:pPr>
              <w:pStyle w:val="TableParagraph"/>
              <w:rPr>
                <w:rFonts w:ascii="Times New Roman"/>
                <w:sz w:val="14"/>
              </w:rPr>
            </w:pPr>
          </w:p>
        </w:tc>
        <w:tc>
          <w:tcPr>
            <w:tcW w:w="851" w:type="dxa"/>
          </w:tcPr>
          <w:p>
            <w:pPr>
              <w:pStyle w:val="TableParagraph"/>
              <w:rPr>
                <w:rFonts w:ascii="Times New Roman"/>
                <w:sz w:val="14"/>
              </w:rPr>
            </w:pPr>
          </w:p>
        </w:tc>
        <w:tc>
          <w:tcPr>
            <w:tcW w:w="6238" w:type="dxa"/>
          </w:tcPr>
          <w:p>
            <w:pPr>
              <w:pStyle w:val="TableParagraph"/>
              <w:spacing w:line="200" w:lineRule="exact"/>
              <w:ind w:left="110"/>
              <w:rPr>
                <w:sz w:val="18"/>
              </w:rPr>
            </w:pPr>
            <w:r>
              <w:rPr>
                <w:sz w:val="18"/>
              </w:rPr>
              <w:t>□</w:t>
            </w:r>
            <w:r>
              <w:rPr>
                <w:spacing w:val="-4"/>
                <w:sz w:val="18"/>
              </w:rPr>
              <w:t> </w:t>
            </w:r>
            <w:r>
              <w:rPr>
                <w:sz w:val="18"/>
              </w:rPr>
              <w:t>Significant</w:t>
            </w:r>
            <w:r>
              <w:rPr>
                <w:spacing w:val="-4"/>
                <w:sz w:val="18"/>
              </w:rPr>
              <w:t> </w:t>
            </w:r>
            <w:r>
              <w:rPr>
                <w:sz w:val="18"/>
              </w:rPr>
              <w:t>progress</w:t>
            </w:r>
            <w:r>
              <w:rPr>
                <w:spacing w:val="-3"/>
                <w:sz w:val="18"/>
              </w:rPr>
              <w:t> </w:t>
            </w:r>
            <w:r>
              <w:rPr>
                <w:sz w:val="18"/>
              </w:rPr>
              <w:t>□</w:t>
            </w:r>
            <w:r>
              <w:rPr>
                <w:spacing w:val="-3"/>
                <w:sz w:val="18"/>
              </w:rPr>
              <w:t> </w:t>
            </w:r>
            <w:r>
              <w:rPr>
                <w:sz w:val="18"/>
              </w:rPr>
              <w:t>Some</w:t>
            </w:r>
            <w:r>
              <w:rPr>
                <w:spacing w:val="-2"/>
                <w:sz w:val="18"/>
              </w:rPr>
              <w:t> </w:t>
            </w:r>
            <w:r>
              <w:rPr>
                <w:sz w:val="18"/>
              </w:rPr>
              <w:t>progress</w:t>
            </w:r>
            <w:r>
              <w:rPr>
                <w:spacing w:val="-3"/>
                <w:sz w:val="18"/>
              </w:rPr>
              <w:t> </w:t>
            </w:r>
            <w:r>
              <w:rPr>
                <w:sz w:val="18"/>
              </w:rPr>
              <w:t>□</w:t>
            </w:r>
            <w:r>
              <w:rPr>
                <w:spacing w:val="-3"/>
                <w:sz w:val="18"/>
              </w:rPr>
              <w:t> </w:t>
            </w:r>
            <w:r>
              <w:rPr>
                <w:sz w:val="18"/>
              </w:rPr>
              <w:t>No</w:t>
            </w:r>
            <w:r>
              <w:rPr>
                <w:spacing w:val="-3"/>
                <w:sz w:val="18"/>
              </w:rPr>
              <w:t> </w:t>
            </w:r>
            <w:r>
              <w:rPr>
                <w:sz w:val="18"/>
              </w:rPr>
              <w:t>progress</w:t>
            </w:r>
            <w:r>
              <w:rPr>
                <w:spacing w:val="-3"/>
                <w:sz w:val="18"/>
              </w:rPr>
              <w:t> </w:t>
            </w:r>
            <w:r>
              <w:rPr>
                <w:sz w:val="18"/>
              </w:rPr>
              <w:t>□</w:t>
            </w:r>
            <w:r>
              <w:rPr>
                <w:spacing w:val="-5"/>
                <w:sz w:val="18"/>
              </w:rPr>
              <w:t> </w:t>
            </w:r>
            <w:r>
              <w:rPr>
                <w:sz w:val="18"/>
              </w:rPr>
              <w:t>Worse</w:t>
            </w:r>
          </w:p>
        </w:tc>
      </w:tr>
      <w:tr>
        <w:trPr>
          <w:trHeight w:val="220" w:hRule="atLeast"/>
        </w:trPr>
        <w:tc>
          <w:tcPr>
            <w:tcW w:w="989" w:type="dxa"/>
          </w:tcPr>
          <w:p>
            <w:pPr>
              <w:pStyle w:val="TableParagraph"/>
              <w:spacing w:line="200" w:lineRule="exact"/>
              <w:ind w:left="107"/>
              <w:rPr>
                <w:sz w:val="18"/>
              </w:rPr>
            </w:pPr>
            <w:r>
              <w:rPr>
                <w:sz w:val="18"/>
              </w:rPr>
              <w:t>Q08</w:t>
            </w:r>
          </w:p>
        </w:tc>
        <w:tc>
          <w:tcPr>
            <w:tcW w:w="1274" w:type="dxa"/>
          </w:tcPr>
          <w:p>
            <w:pPr>
              <w:pStyle w:val="TableParagraph"/>
              <w:rPr>
                <w:rFonts w:ascii="Times New Roman"/>
                <w:sz w:val="14"/>
              </w:rPr>
            </w:pPr>
          </w:p>
        </w:tc>
        <w:tc>
          <w:tcPr>
            <w:tcW w:w="708" w:type="dxa"/>
          </w:tcPr>
          <w:p>
            <w:pPr>
              <w:pStyle w:val="TableParagraph"/>
              <w:rPr>
                <w:rFonts w:ascii="Times New Roman"/>
                <w:sz w:val="14"/>
              </w:rPr>
            </w:pPr>
          </w:p>
        </w:tc>
        <w:tc>
          <w:tcPr>
            <w:tcW w:w="851" w:type="dxa"/>
          </w:tcPr>
          <w:p>
            <w:pPr>
              <w:pStyle w:val="TableParagraph"/>
              <w:rPr>
                <w:rFonts w:ascii="Times New Roman"/>
                <w:sz w:val="14"/>
              </w:rPr>
            </w:pPr>
          </w:p>
        </w:tc>
        <w:tc>
          <w:tcPr>
            <w:tcW w:w="6238" w:type="dxa"/>
          </w:tcPr>
          <w:p>
            <w:pPr>
              <w:pStyle w:val="TableParagraph"/>
              <w:spacing w:line="200" w:lineRule="exact"/>
              <w:ind w:left="110"/>
              <w:rPr>
                <w:sz w:val="18"/>
              </w:rPr>
            </w:pPr>
            <w:r>
              <w:rPr>
                <w:sz w:val="18"/>
              </w:rPr>
              <w:t>□</w:t>
            </w:r>
            <w:r>
              <w:rPr>
                <w:spacing w:val="-4"/>
                <w:sz w:val="18"/>
              </w:rPr>
              <w:t> </w:t>
            </w:r>
            <w:r>
              <w:rPr>
                <w:sz w:val="18"/>
              </w:rPr>
              <w:t>Significant</w:t>
            </w:r>
            <w:r>
              <w:rPr>
                <w:spacing w:val="-4"/>
                <w:sz w:val="18"/>
              </w:rPr>
              <w:t> </w:t>
            </w:r>
            <w:r>
              <w:rPr>
                <w:sz w:val="18"/>
              </w:rPr>
              <w:t>progress</w:t>
            </w:r>
            <w:r>
              <w:rPr>
                <w:spacing w:val="-3"/>
                <w:sz w:val="18"/>
              </w:rPr>
              <w:t> </w:t>
            </w:r>
            <w:r>
              <w:rPr>
                <w:sz w:val="18"/>
              </w:rPr>
              <w:t>□</w:t>
            </w:r>
            <w:r>
              <w:rPr>
                <w:spacing w:val="-3"/>
                <w:sz w:val="18"/>
              </w:rPr>
              <w:t> </w:t>
            </w:r>
            <w:r>
              <w:rPr>
                <w:sz w:val="18"/>
              </w:rPr>
              <w:t>Some</w:t>
            </w:r>
            <w:r>
              <w:rPr>
                <w:spacing w:val="-2"/>
                <w:sz w:val="18"/>
              </w:rPr>
              <w:t> </w:t>
            </w:r>
            <w:r>
              <w:rPr>
                <w:sz w:val="18"/>
              </w:rPr>
              <w:t>progress</w:t>
            </w:r>
            <w:r>
              <w:rPr>
                <w:spacing w:val="-3"/>
                <w:sz w:val="18"/>
              </w:rPr>
              <w:t> </w:t>
            </w:r>
            <w:r>
              <w:rPr>
                <w:sz w:val="18"/>
              </w:rPr>
              <w:t>□</w:t>
            </w:r>
            <w:r>
              <w:rPr>
                <w:spacing w:val="-3"/>
                <w:sz w:val="18"/>
              </w:rPr>
              <w:t> </w:t>
            </w:r>
            <w:r>
              <w:rPr>
                <w:sz w:val="18"/>
              </w:rPr>
              <w:t>No</w:t>
            </w:r>
            <w:r>
              <w:rPr>
                <w:spacing w:val="-3"/>
                <w:sz w:val="18"/>
              </w:rPr>
              <w:t> </w:t>
            </w:r>
            <w:r>
              <w:rPr>
                <w:sz w:val="18"/>
              </w:rPr>
              <w:t>progress</w:t>
            </w:r>
            <w:r>
              <w:rPr>
                <w:spacing w:val="-3"/>
                <w:sz w:val="18"/>
              </w:rPr>
              <w:t> </w:t>
            </w:r>
            <w:r>
              <w:rPr>
                <w:sz w:val="18"/>
              </w:rPr>
              <w:t>□</w:t>
            </w:r>
            <w:r>
              <w:rPr>
                <w:spacing w:val="-5"/>
                <w:sz w:val="18"/>
              </w:rPr>
              <w:t> </w:t>
            </w:r>
            <w:r>
              <w:rPr>
                <w:sz w:val="18"/>
              </w:rPr>
              <w:t>Worse</w:t>
            </w:r>
          </w:p>
        </w:tc>
      </w:tr>
      <w:tr>
        <w:trPr>
          <w:trHeight w:val="222" w:hRule="atLeast"/>
        </w:trPr>
        <w:tc>
          <w:tcPr>
            <w:tcW w:w="989" w:type="dxa"/>
          </w:tcPr>
          <w:p>
            <w:pPr>
              <w:pStyle w:val="TableParagraph"/>
              <w:spacing w:line="202" w:lineRule="exact" w:before="1"/>
              <w:ind w:left="107"/>
              <w:rPr>
                <w:sz w:val="18"/>
              </w:rPr>
            </w:pPr>
            <w:r>
              <w:rPr>
                <w:sz w:val="18"/>
              </w:rPr>
              <w:t>Q09</w:t>
            </w:r>
          </w:p>
        </w:tc>
        <w:tc>
          <w:tcPr>
            <w:tcW w:w="1274" w:type="dxa"/>
          </w:tcPr>
          <w:p>
            <w:pPr>
              <w:pStyle w:val="TableParagraph"/>
              <w:rPr>
                <w:rFonts w:ascii="Times New Roman"/>
                <w:sz w:val="14"/>
              </w:rPr>
            </w:pPr>
          </w:p>
        </w:tc>
        <w:tc>
          <w:tcPr>
            <w:tcW w:w="708" w:type="dxa"/>
          </w:tcPr>
          <w:p>
            <w:pPr>
              <w:pStyle w:val="TableParagraph"/>
              <w:rPr>
                <w:rFonts w:ascii="Times New Roman"/>
                <w:sz w:val="14"/>
              </w:rPr>
            </w:pPr>
          </w:p>
        </w:tc>
        <w:tc>
          <w:tcPr>
            <w:tcW w:w="851" w:type="dxa"/>
          </w:tcPr>
          <w:p>
            <w:pPr>
              <w:pStyle w:val="TableParagraph"/>
              <w:rPr>
                <w:rFonts w:ascii="Times New Roman"/>
                <w:sz w:val="14"/>
              </w:rPr>
            </w:pPr>
          </w:p>
        </w:tc>
        <w:tc>
          <w:tcPr>
            <w:tcW w:w="6238" w:type="dxa"/>
          </w:tcPr>
          <w:p>
            <w:pPr>
              <w:pStyle w:val="TableParagraph"/>
              <w:spacing w:line="202" w:lineRule="exact" w:before="1"/>
              <w:ind w:left="110"/>
              <w:rPr>
                <w:sz w:val="18"/>
              </w:rPr>
            </w:pPr>
            <w:r>
              <w:rPr>
                <w:sz w:val="18"/>
              </w:rPr>
              <w:t>□</w:t>
            </w:r>
            <w:r>
              <w:rPr>
                <w:spacing w:val="-4"/>
                <w:sz w:val="18"/>
              </w:rPr>
              <w:t> </w:t>
            </w:r>
            <w:r>
              <w:rPr>
                <w:sz w:val="18"/>
              </w:rPr>
              <w:t>Significant</w:t>
            </w:r>
            <w:r>
              <w:rPr>
                <w:spacing w:val="-4"/>
                <w:sz w:val="18"/>
              </w:rPr>
              <w:t> </w:t>
            </w:r>
            <w:r>
              <w:rPr>
                <w:sz w:val="18"/>
              </w:rPr>
              <w:t>progress</w:t>
            </w:r>
            <w:r>
              <w:rPr>
                <w:spacing w:val="-3"/>
                <w:sz w:val="18"/>
              </w:rPr>
              <w:t> </w:t>
            </w:r>
            <w:r>
              <w:rPr>
                <w:sz w:val="18"/>
              </w:rPr>
              <w:t>□</w:t>
            </w:r>
            <w:r>
              <w:rPr>
                <w:spacing w:val="-3"/>
                <w:sz w:val="18"/>
              </w:rPr>
              <w:t> </w:t>
            </w:r>
            <w:r>
              <w:rPr>
                <w:sz w:val="18"/>
              </w:rPr>
              <w:t>Some</w:t>
            </w:r>
            <w:r>
              <w:rPr>
                <w:spacing w:val="-2"/>
                <w:sz w:val="18"/>
              </w:rPr>
              <w:t> </w:t>
            </w:r>
            <w:r>
              <w:rPr>
                <w:sz w:val="18"/>
              </w:rPr>
              <w:t>progress</w:t>
            </w:r>
            <w:r>
              <w:rPr>
                <w:spacing w:val="-3"/>
                <w:sz w:val="18"/>
              </w:rPr>
              <w:t> </w:t>
            </w:r>
            <w:r>
              <w:rPr>
                <w:sz w:val="18"/>
              </w:rPr>
              <w:t>□</w:t>
            </w:r>
            <w:r>
              <w:rPr>
                <w:spacing w:val="-3"/>
                <w:sz w:val="18"/>
              </w:rPr>
              <w:t> </w:t>
            </w:r>
            <w:r>
              <w:rPr>
                <w:sz w:val="18"/>
              </w:rPr>
              <w:t>No</w:t>
            </w:r>
            <w:r>
              <w:rPr>
                <w:spacing w:val="-3"/>
                <w:sz w:val="18"/>
              </w:rPr>
              <w:t> </w:t>
            </w:r>
            <w:r>
              <w:rPr>
                <w:sz w:val="18"/>
              </w:rPr>
              <w:t>progress</w:t>
            </w:r>
            <w:r>
              <w:rPr>
                <w:spacing w:val="-3"/>
                <w:sz w:val="18"/>
              </w:rPr>
              <w:t> </w:t>
            </w:r>
            <w:r>
              <w:rPr>
                <w:sz w:val="18"/>
              </w:rPr>
              <w:t>□</w:t>
            </w:r>
            <w:r>
              <w:rPr>
                <w:spacing w:val="-5"/>
                <w:sz w:val="18"/>
              </w:rPr>
              <w:t> </w:t>
            </w:r>
            <w:r>
              <w:rPr>
                <w:sz w:val="18"/>
              </w:rPr>
              <w:t>Worse</w:t>
            </w:r>
          </w:p>
        </w:tc>
      </w:tr>
      <w:tr>
        <w:trPr>
          <w:trHeight w:val="220" w:hRule="atLeast"/>
        </w:trPr>
        <w:tc>
          <w:tcPr>
            <w:tcW w:w="989" w:type="dxa"/>
          </w:tcPr>
          <w:p>
            <w:pPr>
              <w:pStyle w:val="TableParagraph"/>
              <w:spacing w:line="200" w:lineRule="exact"/>
              <w:ind w:left="107"/>
              <w:rPr>
                <w:sz w:val="18"/>
              </w:rPr>
            </w:pPr>
            <w:r>
              <w:rPr>
                <w:sz w:val="18"/>
              </w:rPr>
              <w:t>Q10</w:t>
            </w:r>
          </w:p>
        </w:tc>
        <w:tc>
          <w:tcPr>
            <w:tcW w:w="1274" w:type="dxa"/>
          </w:tcPr>
          <w:p>
            <w:pPr>
              <w:pStyle w:val="TableParagraph"/>
              <w:rPr>
                <w:rFonts w:ascii="Times New Roman"/>
                <w:sz w:val="14"/>
              </w:rPr>
            </w:pPr>
          </w:p>
        </w:tc>
        <w:tc>
          <w:tcPr>
            <w:tcW w:w="708" w:type="dxa"/>
          </w:tcPr>
          <w:p>
            <w:pPr>
              <w:pStyle w:val="TableParagraph"/>
              <w:rPr>
                <w:rFonts w:ascii="Times New Roman"/>
                <w:sz w:val="14"/>
              </w:rPr>
            </w:pPr>
          </w:p>
        </w:tc>
        <w:tc>
          <w:tcPr>
            <w:tcW w:w="851" w:type="dxa"/>
          </w:tcPr>
          <w:p>
            <w:pPr>
              <w:pStyle w:val="TableParagraph"/>
              <w:rPr>
                <w:rFonts w:ascii="Times New Roman"/>
                <w:sz w:val="14"/>
              </w:rPr>
            </w:pPr>
          </w:p>
        </w:tc>
        <w:tc>
          <w:tcPr>
            <w:tcW w:w="6238" w:type="dxa"/>
          </w:tcPr>
          <w:p>
            <w:pPr>
              <w:pStyle w:val="TableParagraph"/>
              <w:spacing w:line="200" w:lineRule="exact"/>
              <w:ind w:left="110"/>
              <w:rPr>
                <w:sz w:val="18"/>
              </w:rPr>
            </w:pPr>
            <w:r>
              <w:rPr>
                <w:sz w:val="18"/>
              </w:rPr>
              <w:t>□</w:t>
            </w:r>
            <w:r>
              <w:rPr>
                <w:spacing w:val="-4"/>
                <w:sz w:val="18"/>
              </w:rPr>
              <w:t> </w:t>
            </w:r>
            <w:r>
              <w:rPr>
                <w:sz w:val="18"/>
              </w:rPr>
              <w:t>Significant</w:t>
            </w:r>
            <w:r>
              <w:rPr>
                <w:spacing w:val="-4"/>
                <w:sz w:val="18"/>
              </w:rPr>
              <w:t> </w:t>
            </w:r>
            <w:r>
              <w:rPr>
                <w:sz w:val="18"/>
              </w:rPr>
              <w:t>progress</w:t>
            </w:r>
            <w:r>
              <w:rPr>
                <w:spacing w:val="-3"/>
                <w:sz w:val="18"/>
              </w:rPr>
              <w:t> </w:t>
            </w:r>
            <w:r>
              <w:rPr>
                <w:sz w:val="18"/>
              </w:rPr>
              <w:t>□</w:t>
            </w:r>
            <w:r>
              <w:rPr>
                <w:spacing w:val="-3"/>
                <w:sz w:val="18"/>
              </w:rPr>
              <w:t> </w:t>
            </w:r>
            <w:r>
              <w:rPr>
                <w:sz w:val="18"/>
              </w:rPr>
              <w:t>Some</w:t>
            </w:r>
            <w:r>
              <w:rPr>
                <w:spacing w:val="-2"/>
                <w:sz w:val="18"/>
              </w:rPr>
              <w:t> </w:t>
            </w:r>
            <w:r>
              <w:rPr>
                <w:sz w:val="18"/>
              </w:rPr>
              <w:t>progress</w:t>
            </w:r>
            <w:r>
              <w:rPr>
                <w:spacing w:val="-3"/>
                <w:sz w:val="18"/>
              </w:rPr>
              <w:t> </w:t>
            </w:r>
            <w:r>
              <w:rPr>
                <w:sz w:val="18"/>
              </w:rPr>
              <w:t>□</w:t>
            </w:r>
            <w:r>
              <w:rPr>
                <w:spacing w:val="-3"/>
                <w:sz w:val="18"/>
              </w:rPr>
              <w:t> </w:t>
            </w:r>
            <w:r>
              <w:rPr>
                <w:sz w:val="18"/>
              </w:rPr>
              <w:t>No</w:t>
            </w:r>
            <w:r>
              <w:rPr>
                <w:spacing w:val="-3"/>
                <w:sz w:val="18"/>
              </w:rPr>
              <w:t> </w:t>
            </w:r>
            <w:r>
              <w:rPr>
                <w:sz w:val="18"/>
              </w:rPr>
              <w:t>progress</w:t>
            </w:r>
            <w:r>
              <w:rPr>
                <w:spacing w:val="-3"/>
                <w:sz w:val="18"/>
              </w:rPr>
              <w:t> </w:t>
            </w:r>
            <w:r>
              <w:rPr>
                <w:sz w:val="18"/>
              </w:rPr>
              <w:t>□</w:t>
            </w:r>
            <w:r>
              <w:rPr>
                <w:spacing w:val="-5"/>
                <w:sz w:val="18"/>
              </w:rPr>
              <w:t> </w:t>
            </w:r>
            <w:r>
              <w:rPr>
                <w:sz w:val="18"/>
              </w:rPr>
              <w:t>Worse</w:t>
            </w:r>
          </w:p>
        </w:tc>
      </w:tr>
      <w:tr>
        <w:trPr>
          <w:trHeight w:val="220" w:hRule="atLeast"/>
        </w:trPr>
        <w:tc>
          <w:tcPr>
            <w:tcW w:w="989" w:type="dxa"/>
          </w:tcPr>
          <w:p>
            <w:pPr>
              <w:pStyle w:val="TableParagraph"/>
              <w:spacing w:line="200" w:lineRule="exact"/>
              <w:ind w:left="107"/>
              <w:rPr>
                <w:sz w:val="18"/>
              </w:rPr>
            </w:pPr>
            <w:r>
              <w:rPr>
                <w:sz w:val="18"/>
              </w:rPr>
              <w:t>Q11</w:t>
            </w:r>
          </w:p>
        </w:tc>
        <w:tc>
          <w:tcPr>
            <w:tcW w:w="1274" w:type="dxa"/>
          </w:tcPr>
          <w:p>
            <w:pPr>
              <w:pStyle w:val="TableParagraph"/>
              <w:rPr>
                <w:rFonts w:ascii="Times New Roman"/>
                <w:sz w:val="14"/>
              </w:rPr>
            </w:pPr>
          </w:p>
        </w:tc>
        <w:tc>
          <w:tcPr>
            <w:tcW w:w="708" w:type="dxa"/>
          </w:tcPr>
          <w:p>
            <w:pPr>
              <w:pStyle w:val="TableParagraph"/>
              <w:rPr>
                <w:rFonts w:ascii="Times New Roman"/>
                <w:sz w:val="14"/>
              </w:rPr>
            </w:pPr>
          </w:p>
        </w:tc>
        <w:tc>
          <w:tcPr>
            <w:tcW w:w="851" w:type="dxa"/>
          </w:tcPr>
          <w:p>
            <w:pPr>
              <w:pStyle w:val="TableParagraph"/>
              <w:rPr>
                <w:rFonts w:ascii="Times New Roman"/>
                <w:sz w:val="14"/>
              </w:rPr>
            </w:pPr>
          </w:p>
        </w:tc>
        <w:tc>
          <w:tcPr>
            <w:tcW w:w="6238" w:type="dxa"/>
          </w:tcPr>
          <w:p>
            <w:pPr>
              <w:pStyle w:val="TableParagraph"/>
              <w:spacing w:line="200" w:lineRule="exact"/>
              <w:ind w:left="110"/>
              <w:rPr>
                <w:sz w:val="18"/>
              </w:rPr>
            </w:pPr>
            <w:r>
              <w:rPr>
                <w:sz w:val="18"/>
              </w:rPr>
              <w:t>□</w:t>
            </w:r>
            <w:r>
              <w:rPr>
                <w:spacing w:val="-4"/>
                <w:sz w:val="18"/>
              </w:rPr>
              <w:t> </w:t>
            </w:r>
            <w:r>
              <w:rPr>
                <w:sz w:val="18"/>
              </w:rPr>
              <w:t>Significant</w:t>
            </w:r>
            <w:r>
              <w:rPr>
                <w:spacing w:val="-4"/>
                <w:sz w:val="18"/>
              </w:rPr>
              <w:t> </w:t>
            </w:r>
            <w:r>
              <w:rPr>
                <w:sz w:val="18"/>
              </w:rPr>
              <w:t>progress</w:t>
            </w:r>
            <w:r>
              <w:rPr>
                <w:spacing w:val="-3"/>
                <w:sz w:val="18"/>
              </w:rPr>
              <w:t> </w:t>
            </w:r>
            <w:r>
              <w:rPr>
                <w:sz w:val="18"/>
              </w:rPr>
              <w:t>□</w:t>
            </w:r>
            <w:r>
              <w:rPr>
                <w:spacing w:val="-3"/>
                <w:sz w:val="18"/>
              </w:rPr>
              <w:t> </w:t>
            </w:r>
            <w:r>
              <w:rPr>
                <w:sz w:val="18"/>
              </w:rPr>
              <w:t>Some</w:t>
            </w:r>
            <w:r>
              <w:rPr>
                <w:spacing w:val="-2"/>
                <w:sz w:val="18"/>
              </w:rPr>
              <w:t> </w:t>
            </w:r>
            <w:r>
              <w:rPr>
                <w:sz w:val="18"/>
              </w:rPr>
              <w:t>progress</w:t>
            </w:r>
            <w:r>
              <w:rPr>
                <w:spacing w:val="-3"/>
                <w:sz w:val="18"/>
              </w:rPr>
              <w:t> </w:t>
            </w:r>
            <w:r>
              <w:rPr>
                <w:sz w:val="18"/>
              </w:rPr>
              <w:t>□</w:t>
            </w:r>
            <w:r>
              <w:rPr>
                <w:spacing w:val="-3"/>
                <w:sz w:val="18"/>
              </w:rPr>
              <w:t> </w:t>
            </w:r>
            <w:r>
              <w:rPr>
                <w:sz w:val="18"/>
              </w:rPr>
              <w:t>No</w:t>
            </w:r>
            <w:r>
              <w:rPr>
                <w:spacing w:val="-3"/>
                <w:sz w:val="18"/>
              </w:rPr>
              <w:t> </w:t>
            </w:r>
            <w:r>
              <w:rPr>
                <w:sz w:val="18"/>
              </w:rPr>
              <w:t>progress</w:t>
            </w:r>
            <w:r>
              <w:rPr>
                <w:spacing w:val="-3"/>
                <w:sz w:val="18"/>
              </w:rPr>
              <w:t> </w:t>
            </w:r>
            <w:r>
              <w:rPr>
                <w:sz w:val="18"/>
              </w:rPr>
              <w:t>□</w:t>
            </w:r>
            <w:r>
              <w:rPr>
                <w:spacing w:val="-5"/>
                <w:sz w:val="18"/>
              </w:rPr>
              <w:t> </w:t>
            </w:r>
            <w:r>
              <w:rPr>
                <w:sz w:val="18"/>
              </w:rPr>
              <w:t>Worse</w:t>
            </w:r>
          </w:p>
        </w:tc>
      </w:tr>
      <w:tr>
        <w:trPr>
          <w:trHeight w:val="220" w:hRule="atLeast"/>
        </w:trPr>
        <w:tc>
          <w:tcPr>
            <w:tcW w:w="989" w:type="dxa"/>
          </w:tcPr>
          <w:p>
            <w:pPr>
              <w:pStyle w:val="TableParagraph"/>
              <w:spacing w:line="200" w:lineRule="exact"/>
              <w:ind w:left="107"/>
              <w:rPr>
                <w:sz w:val="18"/>
              </w:rPr>
            </w:pPr>
            <w:r>
              <w:rPr>
                <w:sz w:val="18"/>
              </w:rPr>
              <w:t>Q12</w:t>
            </w:r>
          </w:p>
        </w:tc>
        <w:tc>
          <w:tcPr>
            <w:tcW w:w="1274" w:type="dxa"/>
          </w:tcPr>
          <w:p>
            <w:pPr>
              <w:pStyle w:val="TableParagraph"/>
              <w:rPr>
                <w:rFonts w:ascii="Times New Roman"/>
                <w:sz w:val="14"/>
              </w:rPr>
            </w:pPr>
          </w:p>
        </w:tc>
        <w:tc>
          <w:tcPr>
            <w:tcW w:w="708" w:type="dxa"/>
          </w:tcPr>
          <w:p>
            <w:pPr>
              <w:pStyle w:val="TableParagraph"/>
              <w:rPr>
                <w:rFonts w:ascii="Times New Roman"/>
                <w:sz w:val="14"/>
              </w:rPr>
            </w:pPr>
          </w:p>
        </w:tc>
        <w:tc>
          <w:tcPr>
            <w:tcW w:w="851" w:type="dxa"/>
          </w:tcPr>
          <w:p>
            <w:pPr>
              <w:pStyle w:val="TableParagraph"/>
              <w:rPr>
                <w:rFonts w:ascii="Times New Roman"/>
                <w:sz w:val="14"/>
              </w:rPr>
            </w:pPr>
          </w:p>
        </w:tc>
        <w:tc>
          <w:tcPr>
            <w:tcW w:w="6238" w:type="dxa"/>
          </w:tcPr>
          <w:p>
            <w:pPr>
              <w:pStyle w:val="TableParagraph"/>
              <w:spacing w:line="200" w:lineRule="exact"/>
              <w:ind w:left="110"/>
              <w:rPr>
                <w:sz w:val="18"/>
              </w:rPr>
            </w:pPr>
            <w:r>
              <w:rPr>
                <w:sz w:val="18"/>
              </w:rPr>
              <w:t>□</w:t>
            </w:r>
            <w:r>
              <w:rPr>
                <w:spacing w:val="-4"/>
                <w:sz w:val="18"/>
              </w:rPr>
              <w:t> </w:t>
            </w:r>
            <w:r>
              <w:rPr>
                <w:sz w:val="18"/>
              </w:rPr>
              <w:t>Significant</w:t>
            </w:r>
            <w:r>
              <w:rPr>
                <w:spacing w:val="-4"/>
                <w:sz w:val="18"/>
              </w:rPr>
              <w:t> </w:t>
            </w:r>
            <w:r>
              <w:rPr>
                <w:sz w:val="18"/>
              </w:rPr>
              <w:t>progress</w:t>
            </w:r>
            <w:r>
              <w:rPr>
                <w:spacing w:val="-3"/>
                <w:sz w:val="18"/>
              </w:rPr>
              <w:t> </w:t>
            </w:r>
            <w:r>
              <w:rPr>
                <w:sz w:val="18"/>
              </w:rPr>
              <w:t>□</w:t>
            </w:r>
            <w:r>
              <w:rPr>
                <w:spacing w:val="-3"/>
                <w:sz w:val="18"/>
              </w:rPr>
              <w:t> </w:t>
            </w:r>
            <w:r>
              <w:rPr>
                <w:sz w:val="18"/>
              </w:rPr>
              <w:t>Some</w:t>
            </w:r>
            <w:r>
              <w:rPr>
                <w:spacing w:val="-2"/>
                <w:sz w:val="18"/>
              </w:rPr>
              <w:t> </w:t>
            </w:r>
            <w:r>
              <w:rPr>
                <w:sz w:val="18"/>
              </w:rPr>
              <w:t>progress</w:t>
            </w:r>
            <w:r>
              <w:rPr>
                <w:spacing w:val="-3"/>
                <w:sz w:val="18"/>
              </w:rPr>
              <w:t> </w:t>
            </w:r>
            <w:r>
              <w:rPr>
                <w:sz w:val="18"/>
              </w:rPr>
              <w:t>□</w:t>
            </w:r>
            <w:r>
              <w:rPr>
                <w:spacing w:val="-3"/>
                <w:sz w:val="18"/>
              </w:rPr>
              <w:t> </w:t>
            </w:r>
            <w:r>
              <w:rPr>
                <w:sz w:val="18"/>
              </w:rPr>
              <w:t>No</w:t>
            </w:r>
            <w:r>
              <w:rPr>
                <w:spacing w:val="-3"/>
                <w:sz w:val="18"/>
              </w:rPr>
              <w:t> </w:t>
            </w:r>
            <w:r>
              <w:rPr>
                <w:sz w:val="18"/>
              </w:rPr>
              <w:t>progress</w:t>
            </w:r>
            <w:r>
              <w:rPr>
                <w:spacing w:val="-3"/>
                <w:sz w:val="18"/>
              </w:rPr>
              <w:t> </w:t>
            </w:r>
            <w:r>
              <w:rPr>
                <w:sz w:val="18"/>
              </w:rPr>
              <w:t>□</w:t>
            </w:r>
            <w:r>
              <w:rPr>
                <w:spacing w:val="-5"/>
                <w:sz w:val="18"/>
              </w:rPr>
              <w:t> </w:t>
            </w:r>
            <w:r>
              <w:rPr>
                <w:sz w:val="18"/>
              </w:rPr>
              <w:t>Worse</w:t>
            </w:r>
          </w:p>
        </w:tc>
      </w:tr>
      <w:tr>
        <w:trPr>
          <w:trHeight w:val="220" w:hRule="atLeast"/>
        </w:trPr>
        <w:tc>
          <w:tcPr>
            <w:tcW w:w="989" w:type="dxa"/>
          </w:tcPr>
          <w:p>
            <w:pPr>
              <w:pStyle w:val="TableParagraph"/>
              <w:spacing w:line="200" w:lineRule="exact"/>
              <w:ind w:left="107"/>
              <w:rPr>
                <w:sz w:val="18"/>
              </w:rPr>
            </w:pPr>
            <w:r>
              <w:rPr>
                <w:sz w:val="18"/>
              </w:rPr>
              <w:t>Q13</w:t>
            </w:r>
          </w:p>
        </w:tc>
        <w:tc>
          <w:tcPr>
            <w:tcW w:w="1274" w:type="dxa"/>
          </w:tcPr>
          <w:p>
            <w:pPr>
              <w:pStyle w:val="TableParagraph"/>
              <w:rPr>
                <w:rFonts w:ascii="Times New Roman"/>
                <w:sz w:val="14"/>
              </w:rPr>
            </w:pPr>
          </w:p>
        </w:tc>
        <w:tc>
          <w:tcPr>
            <w:tcW w:w="708" w:type="dxa"/>
          </w:tcPr>
          <w:p>
            <w:pPr>
              <w:pStyle w:val="TableParagraph"/>
              <w:rPr>
                <w:rFonts w:ascii="Times New Roman"/>
                <w:sz w:val="14"/>
              </w:rPr>
            </w:pPr>
          </w:p>
        </w:tc>
        <w:tc>
          <w:tcPr>
            <w:tcW w:w="851" w:type="dxa"/>
          </w:tcPr>
          <w:p>
            <w:pPr>
              <w:pStyle w:val="TableParagraph"/>
              <w:rPr>
                <w:rFonts w:ascii="Times New Roman"/>
                <w:sz w:val="14"/>
              </w:rPr>
            </w:pPr>
          </w:p>
        </w:tc>
        <w:tc>
          <w:tcPr>
            <w:tcW w:w="6238" w:type="dxa"/>
          </w:tcPr>
          <w:p>
            <w:pPr>
              <w:pStyle w:val="TableParagraph"/>
              <w:spacing w:line="200" w:lineRule="exact"/>
              <w:ind w:left="110"/>
              <w:rPr>
                <w:sz w:val="18"/>
              </w:rPr>
            </w:pPr>
            <w:r>
              <w:rPr>
                <w:sz w:val="18"/>
              </w:rPr>
              <w:t>□</w:t>
            </w:r>
            <w:r>
              <w:rPr>
                <w:spacing w:val="-4"/>
                <w:sz w:val="18"/>
              </w:rPr>
              <w:t> </w:t>
            </w:r>
            <w:r>
              <w:rPr>
                <w:sz w:val="18"/>
              </w:rPr>
              <w:t>Significant</w:t>
            </w:r>
            <w:r>
              <w:rPr>
                <w:spacing w:val="-4"/>
                <w:sz w:val="18"/>
              </w:rPr>
              <w:t> </w:t>
            </w:r>
            <w:r>
              <w:rPr>
                <w:sz w:val="18"/>
              </w:rPr>
              <w:t>progress</w:t>
            </w:r>
            <w:r>
              <w:rPr>
                <w:spacing w:val="-3"/>
                <w:sz w:val="18"/>
              </w:rPr>
              <w:t> </w:t>
            </w:r>
            <w:r>
              <w:rPr>
                <w:sz w:val="18"/>
              </w:rPr>
              <w:t>□</w:t>
            </w:r>
            <w:r>
              <w:rPr>
                <w:spacing w:val="-3"/>
                <w:sz w:val="18"/>
              </w:rPr>
              <w:t> </w:t>
            </w:r>
            <w:r>
              <w:rPr>
                <w:sz w:val="18"/>
              </w:rPr>
              <w:t>Some</w:t>
            </w:r>
            <w:r>
              <w:rPr>
                <w:spacing w:val="-2"/>
                <w:sz w:val="18"/>
              </w:rPr>
              <w:t> </w:t>
            </w:r>
            <w:r>
              <w:rPr>
                <w:sz w:val="18"/>
              </w:rPr>
              <w:t>progress</w:t>
            </w:r>
            <w:r>
              <w:rPr>
                <w:spacing w:val="-3"/>
                <w:sz w:val="18"/>
              </w:rPr>
              <w:t> </w:t>
            </w:r>
            <w:r>
              <w:rPr>
                <w:sz w:val="18"/>
              </w:rPr>
              <w:t>□</w:t>
            </w:r>
            <w:r>
              <w:rPr>
                <w:spacing w:val="-3"/>
                <w:sz w:val="18"/>
              </w:rPr>
              <w:t> </w:t>
            </w:r>
            <w:r>
              <w:rPr>
                <w:sz w:val="18"/>
              </w:rPr>
              <w:t>No progress</w:t>
            </w:r>
            <w:r>
              <w:rPr>
                <w:spacing w:val="-3"/>
                <w:sz w:val="18"/>
              </w:rPr>
              <w:t> </w:t>
            </w:r>
            <w:r>
              <w:rPr>
                <w:sz w:val="18"/>
              </w:rPr>
              <w:t>□</w:t>
            </w:r>
            <w:r>
              <w:rPr>
                <w:spacing w:val="-5"/>
                <w:sz w:val="18"/>
              </w:rPr>
              <w:t> </w:t>
            </w:r>
            <w:r>
              <w:rPr>
                <w:sz w:val="18"/>
              </w:rPr>
              <w:t>Worse</w:t>
            </w:r>
          </w:p>
        </w:tc>
      </w:tr>
      <w:tr>
        <w:trPr>
          <w:trHeight w:val="220" w:hRule="atLeast"/>
        </w:trPr>
        <w:tc>
          <w:tcPr>
            <w:tcW w:w="989" w:type="dxa"/>
          </w:tcPr>
          <w:p>
            <w:pPr>
              <w:pStyle w:val="TableParagraph"/>
              <w:spacing w:line="200" w:lineRule="exact"/>
              <w:ind w:left="107"/>
              <w:rPr>
                <w:sz w:val="18"/>
              </w:rPr>
            </w:pPr>
            <w:r>
              <w:rPr>
                <w:sz w:val="18"/>
              </w:rPr>
              <w:t>Q14</w:t>
            </w:r>
          </w:p>
        </w:tc>
        <w:tc>
          <w:tcPr>
            <w:tcW w:w="1274" w:type="dxa"/>
          </w:tcPr>
          <w:p>
            <w:pPr>
              <w:pStyle w:val="TableParagraph"/>
              <w:rPr>
                <w:rFonts w:ascii="Times New Roman"/>
                <w:sz w:val="14"/>
              </w:rPr>
            </w:pPr>
          </w:p>
        </w:tc>
        <w:tc>
          <w:tcPr>
            <w:tcW w:w="708" w:type="dxa"/>
          </w:tcPr>
          <w:p>
            <w:pPr>
              <w:pStyle w:val="TableParagraph"/>
              <w:rPr>
                <w:rFonts w:ascii="Times New Roman"/>
                <w:sz w:val="14"/>
              </w:rPr>
            </w:pPr>
          </w:p>
        </w:tc>
        <w:tc>
          <w:tcPr>
            <w:tcW w:w="851" w:type="dxa"/>
          </w:tcPr>
          <w:p>
            <w:pPr>
              <w:pStyle w:val="TableParagraph"/>
              <w:rPr>
                <w:rFonts w:ascii="Times New Roman"/>
                <w:sz w:val="14"/>
              </w:rPr>
            </w:pPr>
          </w:p>
        </w:tc>
        <w:tc>
          <w:tcPr>
            <w:tcW w:w="6238" w:type="dxa"/>
          </w:tcPr>
          <w:p>
            <w:pPr>
              <w:pStyle w:val="TableParagraph"/>
              <w:spacing w:line="200" w:lineRule="exact"/>
              <w:ind w:left="110"/>
              <w:rPr>
                <w:sz w:val="18"/>
              </w:rPr>
            </w:pPr>
            <w:r>
              <w:rPr>
                <w:sz w:val="18"/>
              </w:rPr>
              <w:t>□</w:t>
            </w:r>
            <w:r>
              <w:rPr>
                <w:spacing w:val="-4"/>
                <w:sz w:val="18"/>
              </w:rPr>
              <w:t> </w:t>
            </w:r>
            <w:r>
              <w:rPr>
                <w:sz w:val="18"/>
              </w:rPr>
              <w:t>Significant</w:t>
            </w:r>
            <w:r>
              <w:rPr>
                <w:spacing w:val="-4"/>
                <w:sz w:val="18"/>
              </w:rPr>
              <w:t> </w:t>
            </w:r>
            <w:r>
              <w:rPr>
                <w:sz w:val="18"/>
              </w:rPr>
              <w:t>progress</w:t>
            </w:r>
            <w:r>
              <w:rPr>
                <w:spacing w:val="-3"/>
                <w:sz w:val="18"/>
              </w:rPr>
              <w:t> </w:t>
            </w:r>
            <w:r>
              <w:rPr>
                <w:sz w:val="18"/>
              </w:rPr>
              <w:t>□</w:t>
            </w:r>
            <w:r>
              <w:rPr>
                <w:spacing w:val="-3"/>
                <w:sz w:val="18"/>
              </w:rPr>
              <w:t> </w:t>
            </w:r>
            <w:r>
              <w:rPr>
                <w:sz w:val="18"/>
              </w:rPr>
              <w:t>Some</w:t>
            </w:r>
            <w:r>
              <w:rPr>
                <w:spacing w:val="-2"/>
                <w:sz w:val="18"/>
              </w:rPr>
              <w:t> </w:t>
            </w:r>
            <w:r>
              <w:rPr>
                <w:sz w:val="18"/>
              </w:rPr>
              <w:t>progress</w:t>
            </w:r>
            <w:r>
              <w:rPr>
                <w:spacing w:val="-3"/>
                <w:sz w:val="18"/>
              </w:rPr>
              <w:t> </w:t>
            </w:r>
            <w:r>
              <w:rPr>
                <w:sz w:val="18"/>
              </w:rPr>
              <w:t>□</w:t>
            </w:r>
            <w:r>
              <w:rPr>
                <w:spacing w:val="-3"/>
                <w:sz w:val="18"/>
              </w:rPr>
              <w:t> </w:t>
            </w:r>
            <w:r>
              <w:rPr>
                <w:sz w:val="18"/>
              </w:rPr>
              <w:t>No</w:t>
            </w:r>
            <w:r>
              <w:rPr>
                <w:spacing w:val="-3"/>
                <w:sz w:val="18"/>
              </w:rPr>
              <w:t> </w:t>
            </w:r>
            <w:r>
              <w:rPr>
                <w:sz w:val="18"/>
              </w:rPr>
              <w:t>progress</w:t>
            </w:r>
            <w:r>
              <w:rPr>
                <w:spacing w:val="-3"/>
                <w:sz w:val="18"/>
              </w:rPr>
              <w:t> </w:t>
            </w:r>
            <w:r>
              <w:rPr>
                <w:sz w:val="18"/>
              </w:rPr>
              <w:t>□</w:t>
            </w:r>
            <w:r>
              <w:rPr>
                <w:spacing w:val="-5"/>
                <w:sz w:val="18"/>
              </w:rPr>
              <w:t> </w:t>
            </w:r>
            <w:r>
              <w:rPr>
                <w:sz w:val="18"/>
              </w:rPr>
              <w:t>Worse</w:t>
            </w:r>
          </w:p>
        </w:tc>
      </w:tr>
      <w:tr>
        <w:trPr>
          <w:trHeight w:val="220" w:hRule="atLeast"/>
        </w:trPr>
        <w:tc>
          <w:tcPr>
            <w:tcW w:w="989" w:type="dxa"/>
          </w:tcPr>
          <w:p>
            <w:pPr>
              <w:pStyle w:val="TableParagraph"/>
              <w:spacing w:line="200" w:lineRule="exact"/>
              <w:ind w:left="107"/>
              <w:rPr>
                <w:sz w:val="18"/>
              </w:rPr>
            </w:pPr>
            <w:r>
              <w:rPr>
                <w:sz w:val="18"/>
              </w:rPr>
              <w:t>Q15</w:t>
            </w:r>
          </w:p>
        </w:tc>
        <w:tc>
          <w:tcPr>
            <w:tcW w:w="1274" w:type="dxa"/>
          </w:tcPr>
          <w:p>
            <w:pPr>
              <w:pStyle w:val="TableParagraph"/>
              <w:rPr>
                <w:rFonts w:ascii="Times New Roman"/>
                <w:sz w:val="14"/>
              </w:rPr>
            </w:pPr>
          </w:p>
        </w:tc>
        <w:tc>
          <w:tcPr>
            <w:tcW w:w="708" w:type="dxa"/>
          </w:tcPr>
          <w:p>
            <w:pPr>
              <w:pStyle w:val="TableParagraph"/>
              <w:rPr>
                <w:rFonts w:ascii="Times New Roman"/>
                <w:sz w:val="14"/>
              </w:rPr>
            </w:pPr>
          </w:p>
        </w:tc>
        <w:tc>
          <w:tcPr>
            <w:tcW w:w="851" w:type="dxa"/>
          </w:tcPr>
          <w:p>
            <w:pPr>
              <w:pStyle w:val="TableParagraph"/>
              <w:rPr>
                <w:rFonts w:ascii="Times New Roman"/>
                <w:sz w:val="14"/>
              </w:rPr>
            </w:pPr>
          </w:p>
        </w:tc>
        <w:tc>
          <w:tcPr>
            <w:tcW w:w="6238" w:type="dxa"/>
          </w:tcPr>
          <w:p>
            <w:pPr>
              <w:pStyle w:val="TableParagraph"/>
              <w:spacing w:line="200" w:lineRule="exact"/>
              <w:ind w:left="110"/>
              <w:rPr>
                <w:sz w:val="18"/>
              </w:rPr>
            </w:pPr>
            <w:r>
              <w:rPr>
                <w:sz w:val="18"/>
              </w:rPr>
              <w:t>□</w:t>
            </w:r>
            <w:r>
              <w:rPr>
                <w:spacing w:val="-4"/>
                <w:sz w:val="18"/>
              </w:rPr>
              <w:t> </w:t>
            </w:r>
            <w:r>
              <w:rPr>
                <w:sz w:val="18"/>
              </w:rPr>
              <w:t>Significant</w:t>
            </w:r>
            <w:r>
              <w:rPr>
                <w:spacing w:val="-4"/>
                <w:sz w:val="18"/>
              </w:rPr>
              <w:t> </w:t>
            </w:r>
            <w:r>
              <w:rPr>
                <w:sz w:val="18"/>
              </w:rPr>
              <w:t>progress</w:t>
            </w:r>
            <w:r>
              <w:rPr>
                <w:spacing w:val="-3"/>
                <w:sz w:val="18"/>
              </w:rPr>
              <w:t> </w:t>
            </w:r>
            <w:r>
              <w:rPr>
                <w:sz w:val="18"/>
              </w:rPr>
              <w:t>□</w:t>
            </w:r>
            <w:r>
              <w:rPr>
                <w:spacing w:val="-3"/>
                <w:sz w:val="18"/>
              </w:rPr>
              <w:t> </w:t>
            </w:r>
            <w:r>
              <w:rPr>
                <w:sz w:val="18"/>
              </w:rPr>
              <w:t>Some</w:t>
            </w:r>
            <w:r>
              <w:rPr>
                <w:spacing w:val="-2"/>
                <w:sz w:val="18"/>
              </w:rPr>
              <w:t> </w:t>
            </w:r>
            <w:r>
              <w:rPr>
                <w:sz w:val="18"/>
              </w:rPr>
              <w:t>progress</w:t>
            </w:r>
            <w:r>
              <w:rPr>
                <w:spacing w:val="-3"/>
                <w:sz w:val="18"/>
              </w:rPr>
              <w:t> </w:t>
            </w:r>
            <w:r>
              <w:rPr>
                <w:sz w:val="18"/>
              </w:rPr>
              <w:t>□</w:t>
            </w:r>
            <w:r>
              <w:rPr>
                <w:spacing w:val="-3"/>
                <w:sz w:val="18"/>
              </w:rPr>
              <w:t> </w:t>
            </w:r>
            <w:r>
              <w:rPr>
                <w:sz w:val="18"/>
              </w:rPr>
              <w:t>No</w:t>
            </w:r>
            <w:r>
              <w:rPr>
                <w:spacing w:val="-3"/>
                <w:sz w:val="18"/>
              </w:rPr>
              <w:t> </w:t>
            </w:r>
            <w:r>
              <w:rPr>
                <w:sz w:val="18"/>
              </w:rPr>
              <w:t>progress</w:t>
            </w:r>
            <w:r>
              <w:rPr>
                <w:spacing w:val="-3"/>
                <w:sz w:val="18"/>
              </w:rPr>
              <w:t> </w:t>
            </w:r>
            <w:r>
              <w:rPr>
                <w:sz w:val="18"/>
              </w:rPr>
              <w:t>□</w:t>
            </w:r>
            <w:r>
              <w:rPr>
                <w:spacing w:val="-5"/>
                <w:sz w:val="18"/>
              </w:rPr>
              <w:t> </w:t>
            </w:r>
            <w:r>
              <w:rPr>
                <w:sz w:val="18"/>
              </w:rPr>
              <w:t>Worse</w:t>
            </w:r>
          </w:p>
        </w:tc>
      </w:tr>
      <w:tr>
        <w:trPr>
          <w:trHeight w:val="220" w:hRule="atLeast"/>
        </w:trPr>
        <w:tc>
          <w:tcPr>
            <w:tcW w:w="989" w:type="dxa"/>
          </w:tcPr>
          <w:p>
            <w:pPr>
              <w:pStyle w:val="TableParagraph"/>
              <w:spacing w:line="200" w:lineRule="exact"/>
              <w:ind w:left="107"/>
              <w:rPr>
                <w:sz w:val="18"/>
              </w:rPr>
            </w:pPr>
            <w:r>
              <w:rPr>
                <w:sz w:val="18"/>
              </w:rPr>
              <w:t>Q16</w:t>
            </w:r>
          </w:p>
        </w:tc>
        <w:tc>
          <w:tcPr>
            <w:tcW w:w="1274" w:type="dxa"/>
          </w:tcPr>
          <w:p>
            <w:pPr>
              <w:pStyle w:val="TableParagraph"/>
              <w:rPr>
                <w:rFonts w:ascii="Times New Roman"/>
                <w:sz w:val="14"/>
              </w:rPr>
            </w:pPr>
          </w:p>
        </w:tc>
        <w:tc>
          <w:tcPr>
            <w:tcW w:w="708" w:type="dxa"/>
          </w:tcPr>
          <w:p>
            <w:pPr>
              <w:pStyle w:val="TableParagraph"/>
              <w:rPr>
                <w:rFonts w:ascii="Times New Roman"/>
                <w:sz w:val="14"/>
              </w:rPr>
            </w:pPr>
          </w:p>
        </w:tc>
        <w:tc>
          <w:tcPr>
            <w:tcW w:w="851" w:type="dxa"/>
          </w:tcPr>
          <w:p>
            <w:pPr>
              <w:pStyle w:val="TableParagraph"/>
              <w:rPr>
                <w:rFonts w:ascii="Times New Roman"/>
                <w:sz w:val="14"/>
              </w:rPr>
            </w:pPr>
          </w:p>
        </w:tc>
        <w:tc>
          <w:tcPr>
            <w:tcW w:w="6238" w:type="dxa"/>
          </w:tcPr>
          <w:p>
            <w:pPr>
              <w:pStyle w:val="TableParagraph"/>
              <w:spacing w:line="200" w:lineRule="exact"/>
              <w:ind w:left="110"/>
              <w:rPr>
                <w:sz w:val="18"/>
              </w:rPr>
            </w:pPr>
            <w:r>
              <w:rPr>
                <w:sz w:val="18"/>
              </w:rPr>
              <w:t>□</w:t>
            </w:r>
            <w:r>
              <w:rPr>
                <w:spacing w:val="-4"/>
                <w:sz w:val="18"/>
              </w:rPr>
              <w:t> </w:t>
            </w:r>
            <w:r>
              <w:rPr>
                <w:sz w:val="18"/>
              </w:rPr>
              <w:t>Significant</w:t>
            </w:r>
            <w:r>
              <w:rPr>
                <w:spacing w:val="-4"/>
                <w:sz w:val="18"/>
              </w:rPr>
              <w:t> </w:t>
            </w:r>
            <w:r>
              <w:rPr>
                <w:sz w:val="18"/>
              </w:rPr>
              <w:t>progress</w:t>
            </w:r>
            <w:r>
              <w:rPr>
                <w:spacing w:val="-3"/>
                <w:sz w:val="18"/>
              </w:rPr>
              <w:t> </w:t>
            </w:r>
            <w:r>
              <w:rPr>
                <w:sz w:val="18"/>
              </w:rPr>
              <w:t>□</w:t>
            </w:r>
            <w:r>
              <w:rPr>
                <w:spacing w:val="-3"/>
                <w:sz w:val="18"/>
              </w:rPr>
              <w:t> </w:t>
            </w:r>
            <w:r>
              <w:rPr>
                <w:sz w:val="18"/>
              </w:rPr>
              <w:t>Some</w:t>
            </w:r>
            <w:r>
              <w:rPr>
                <w:spacing w:val="-2"/>
                <w:sz w:val="18"/>
              </w:rPr>
              <w:t> </w:t>
            </w:r>
            <w:r>
              <w:rPr>
                <w:sz w:val="18"/>
              </w:rPr>
              <w:t>progress</w:t>
            </w:r>
            <w:r>
              <w:rPr>
                <w:spacing w:val="-3"/>
                <w:sz w:val="18"/>
              </w:rPr>
              <w:t> </w:t>
            </w:r>
            <w:r>
              <w:rPr>
                <w:sz w:val="18"/>
              </w:rPr>
              <w:t>□</w:t>
            </w:r>
            <w:r>
              <w:rPr>
                <w:spacing w:val="-3"/>
                <w:sz w:val="18"/>
              </w:rPr>
              <w:t> </w:t>
            </w:r>
            <w:r>
              <w:rPr>
                <w:sz w:val="18"/>
              </w:rPr>
              <w:t>No</w:t>
            </w:r>
            <w:r>
              <w:rPr>
                <w:spacing w:val="-3"/>
                <w:sz w:val="18"/>
              </w:rPr>
              <w:t> </w:t>
            </w:r>
            <w:r>
              <w:rPr>
                <w:sz w:val="18"/>
              </w:rPr>
              <w:t>progress</w:t>
            </w:r>
            <w:r>
              <w:rPr>
                <w:spacing w:val="-3"/>
                <w:sz w:val="18"/>
              </w:rPr>
              <w:t> </w:t>
            </w:r>
            <w:r>
              <w:rPr>
                <w:sz w:val="18"/>
              </w:rPr>
              <w:t>□</w:t>
            </w:r>
            <w:r>
              <w:rPr>
                <w:spacing w:val="-5"/>
                <w:sz w:val="18"/>
              </w:rPr>
              <w:t> </w:t>
            </w:r>
            <w:r>
              <w:rPr>
                <w:sz w:val="18"/>
              </w:rPr>
              <w:t>Worse</w:t>
            </w:r>
          </w:p>
        </w:tc>
      </w:tr>
      <w:tr>
        <w:trPr>
          <w:trHeight w:val="223" w:hRule="atLeast"/>
        </w:trPr>
        <w:tc>
          <w:tcPr>
            <w:tcW w:w="989" w:type="dxa"/>
          </w:tcPr>
          <w:p>
            <w:pPr>
              <w:pStyle w:val="TableParagraph"/>
              <w:spacing w:line="202" w:lineRule="exact" w:before="1"/>
              <w:ind w:left="107"/>
              <w:rPr>
                <w:sz w:val="18"/>
              </w:rPr>
            </w:pPr>
            <w:r>
              <w:rPr>
                <w:sz w:val="18"/>
              </w:rPr>
              <w:t>Q17</w:t>
            </w:r>
          </w:p>
        </w:tc>
        <w:tc>
          <w:tcPr>
            <w:tcW w:w="1274" w:type="dxa"/>
          </w:tcPr>
          <w:p>
            <w:pPr>
              <w:pStyle w:val="TableParagraph"/>
              <w:rPr>
                <w:rFonts w:ascii="Times New Roman"/>
                <w:sz w:val="14"/>
              </w:rPr>
            </w:pPr>
          </w:p>
        </w:tc>
        <w:tc>
          <w:tcPr>
            <w:tcW w:w="708" w:type="dxa"/>
          </w:tcPr>
          <w:p>
            <w:pPr>
              <w:pStyle w:val="TableParagraph"/>
              <w:rPr>
                <w:rFonts w:ascii="Times New Roman"/>
                <w:sz w:val="14"/>
              </w:rPr>
            </w:pPr>
          </w:p>
        </w:tc>
        <w:tc>
          <w:tcPr>
            <w:tcW w:w="851" w:type="dxa"/>
          </w:tcPr>
          <w:p>
            <w:pPr>
              <w:pStyle w:val="TableParagraph"/>
              <w:rPr>
                <w:rFonts w:ascii="Times New Roman"/>
                <w:sz w:val="14"/>
              </w:rPr>
            </w:pPr>
          </w:p>
        </w:tc>
        <w:tc>
          <w:tcPr>
            <w:tcW w:w="6238" w:type="dxa"/>
          </w:tcPr>
          <w:p>
            <w:pPr>
              <w:pStyle w:val="TableParagraph"/>
              <w:spacing w:line="202" w:lineRule="exact" w:before="1"/>
              <w:ind w:left="110"/>
              <w:rPr>
                <w:sz w:val="18"/>
              </w:rPr>
            </w:pPr>
            <w:r>
              <w:rPr>
                <w:sz w:val="18"/>
              </w:rPr>
              <w:t>□</w:t>
            </w:r>
            <w:r>
              <w:rPr>
                <w:spacing w:val="-4"/>
                <w:sz w:val="18"/>
              </w:rPr>
              <w:t> </w:t>
            </w:r>
            <w:r>
              <w:rPr>
                <w:sz w:val="18"/>
              </w:rPr>
              <w:t>Significant</w:t>
            </w:r>
            <w:r>
              <w:rPr>
                <w:spacing w:val="-4"/>
                <w:sz w:val="18"/>
              </w:rPr>
              <w:t> </w:t>
            </w:r>
            <w:r>
              <w:rPr>
                <w:sz w:val="18"/>
              </w:rPr>
              <w:t>progress</w:t>
            </w:r>
            <w:r>
              <w:rPr>
                <w:spacing w:val="-3"/>
                <w:sz w:val="18"/>
              </w:rPr>
              <w:t> </w:t>
            </w:r>
            <w:r>
              <w:rPr>
                <w:sz w:val="18"/>
              </w:rPr>
              <w:t>□</w:t>
            </w:r>
            <w:r>
              <w:rPr>
                <w:spacing w:val="-3"/>
                <w:sz w:val="18"/>
              </w:rPr>
              <w:t> </w:t>
            </w:r>
            <w:r>
              <w:rPr>
                <w:sz w:val="18"/>
              </w:rPr>
              <w:t>Some</w:t>
            </w:r>
            <w:r>
              <w:rPr>
                <w:spacing w:val="-2"/>
                <w:sz w:val="18"/>
              </w:rPr>
              <w:t> </w:t>
            </w:r>
            <w:r>
              <w:rPr>
                <w:sz w:val="18"/>
              </w:rPr>
              <w:t>progress</w:t>
            </w:r>
            <w:r>
              <w:rPr>
                <w:spacing w:val="-3"/>
                <w:sz w:val="18"/>
              </w:rPr>
              <w:t> </w:t>
            </w:r>
            <w:r>
              <w:rPr>
                <w:sz w:val="18"/>
              </w:rPr>
              <w:t>□</w:t>
            </w:r>
            <w:r>
              <w:rPr>
                <w:spacing w:val="-3"/>
                <w:sz w:val="18"/>
              </w:rPr>
              <w:t> </w:t>
            </w:r>
            <w:r>
              <w:rPr>
                <w:sz w:val="18"/>
              </w:rPr>
              <w:t>No</w:t>
            </w:r>
            <w:r>
              <w:rPr>
                <w:spacing w:val="-3"/>
                <w:sz w:val="18"/>
              </w:rPr>
              <w:t> </w:t>
            </w:r>
            <w:r>
              <w:rPr>
                <w:sz w:val="18"/>
              </w:rPr>
              <w:t>progress</w:t>
            </w:r>
            <w:r>
              <w:rPr>
                <w:spacing w:val="-3"/>
                <w:sz w:val="18"/>
              </w:rPr>
              <w:t> </w:t>
            </w:r>
            <w:r>
              <w:rPr>
                <w:sz w:val="18"/>
              </w:rPr>
              <w:t>□</w:t>
            </w:r>
            <w:r>
              <w:rPr>
                <w:spacing w:val="-5"/>
                <w:sz w:val="18"/>
              </w:rPr>
              <w:t> </w:t>
            </w:r>
            <w:r>
              <w:rPr>
                <w:sz w:val="18"/>
              </w:rPr>
              <w:t>Worse</w:t>
            </w:r>
          </w:p>
        </w:tc>
      </w:tr>
      <w:tr>
        <w:trPr>
          <w:trHeight w:val="220" w:hRule="atLeast"/>
        </w:trPr>
        <w:tc>
          <w:tcPr>
            <w:tcW w:w="989" w:type="dxa"/>
          </w:tcPr>
          <w:p>
            <w:pPr>
              <w:pStyle w:val="TableParagraph"/>
              <w:spacing w:line="200" w:lineRule="exact"/>
              <w:ind w:left="107"/>
              <w:rPr>
                <w:sz w:val="18"/>
              </w:rPr>
            </w:pPr>
            <w:r>
              <w:rPr>
                <w:sz w:val="18"/>
              </w:rPr>
              <w:t>Q18</w:t>
            </w:r>
          </w:p>
        </w:tc>
        <w:tc>
          <w:tcPr>
            <w:tcW w:w="1274" w:type="dxa"/>
          </w:tcPr>
          <w:p>
            <w:pPr>
              <w:pStyle w:val="TableParagraph"/>
              <w:rPr>
                <w:rFonts w:ascii="Times New Roman"/>
                <w:sz w:val="14"/>
              </w:rPr>
            </w:pPr>
          </w:p>
        </w:tc>
        <w:tc>
          <w:tcPr>
            <w:tcW w:w="708" w:type="dxa"/>
          </w:tcPr>
          <w:p>
            <w:pPr>
              <w:pStyle w:val="TableParagraph"/>
              <w:rPr>
                <w:rFonts w:ascii="Times New Roman"/>
                <w:sz w:val="14"/>
              </w:rPr>
            </w:pPr>
          </w:p>
        </w:tc>
        <w:tc>
          <w:tcPr>
            <w:tcW w:w="851" w:type="dxa"/>
          </w:tcPr>
          <w:p>
            <w:pPr>
              <w:pStyle w:val="TableParagraph"/>
              <w:rPr>
                <w:rFonts w:ascii="Times New Roman"/>
                <w:sz w:val="14"/>
              </w:rPr>
            </w:pPr>
          </w:p>
        </w:tc>
        <w:tc>
          <w:tcPr>
            <w:tcW w:w="6238" w:type="dxa"/>
          </w:tcPr>
          <w:p>
            <w:pPr>
              <w:pStyle w:val="TableParagraph"/>
              <w:spacing w:line="200" w:lineRule="exact"/>
              <w:ind w:left="110"/>
              <w:rPr>
                <w:sz w:val="18"/>
              </w:rPr>
            </w:pPr>
            <w:r>
              <w:rPr>
                <w:sz w:val="18"/>
              </w:rPr>
              <w:t>□</w:t>
            </w:r>
            <w:r>
              <w:rPr>
                <w:spacing w:val="-4"/>
                <w:sz w:val="18"/>
              </w:rPr>
              <w:t> </w:t>
            </w:r>
            <w:r>
              <w:rPr>
                <w:sz w:val="18"/>
              </w:rPr>
              <w:t>Significant</w:t>
            </w:r>
            <w:r>
              <w:rPr>
                <w:spacing w:val="-4"/>
                <w:sz w:val="18"/>
              </w:rPr>
              <w:t> </w:t>
            </w:r>
            <w:r>
              <w:rPr>
                <w:sz w:val="18"/>
              </w:rPr>
              <w:t>progress</w:t>
            </w:r>
            <w:r>
              <w:rPr>
                <w:spacing w:val="-3"/>
                <w:sz w:val="18"/>
              </w:rPr>
              <w:t> </w:t>
            </w:r>
            <w:r>
              <w:rPr>
                <w:sz w:val="18"/>
              </w:rPr>
              <w:t>□</w:t>
            </w:r>
            <w:r>
              <w:rPr>
                <w:spacing w:val="-3"/>
                <w:sz w:val="18"/>
              </w:rPr>
              <w:t> </w:t>
            </w:r>
            <w:r>
              <w:rPr>
                <w:sz w:val="18"/>
              </w:rPr>
              <w:t>Some</w:t>
            </w:r>
            <w:r>
              <w:rPr>
                <w:spacing w:val="-2"/>
                <w:sz w:val="18"/>
              </w:rPr>
              <w:t> </w:t>
            </w:r>
            <w:r>
              <w:rPr>
                <w:sz w:val="18"/>
              </w:rPr>
              <w:t>progress</w:t>
            </w:r>
            <w:r>
              <w:rPr>
                <w:spacing w:val="-3"/>
                <w:sz w:val="18"/>
              </w:rPr>
              <w:t> </w:t>
            </w:r>
            <w:r>
              <w:rPr>
                <w:sz w:val="18"/>
              </w:rPr>
              <w:t>□</w:t>
            </w:r>
            <w:r>
              <w:rPr>
                <w:spacing w:val="-3"/>
                <w:sz w:val="18"/>
              </w:rPr>
              <w:t> </w:t>
            </w:r>
            <w:r>
              <w:rPr>
                <w:sz w:val="18"/>
              </w:rPr>
              <w:t>No</w:t>
            </w:r>
            <w:r>
              <w:rPr>
                <w:spacing w:val="-3"/>
                <w:sz w:val="18"/>
              </w:rPr>
              <w:t> </w:t>
            </w:r>
            <w:r>
              <w:rPr>
                <w:sz w:val="18"/>
              </w:rPr>
              <w:t>progress</w:t>
            </w:r>
            <w:r>
              <w:rPr>
                <w:spacing w:val="-3"/>
                <w:sz w:val="18"/>
              </w:rPr>
              <w:t> </w:t>
            </w:r>
            <w:r>
              <w:rPr>
                <w:sz w:val="18"/>
              </w:rPr>
              <w:t>□</w:t>
            </w:r>
            <w:r>
              <w:rPr>
                <w:spacing w:val="-5"/>
                <w:sz w:val="18"/>
              </w:rPr>
              <w:t> </w:t>
            </w:r>
            <w:r>
              <w:rPr>
                <w:sz w:val="18"/>
              </w:rPr>
              <w:t>Worse</w:t>
            </w:r>
          </w:p>
        </w:tc>
      </w:tr>
      <w:tr>
        <w:trPr>
          <w:trHeight w:val="220" w:hRule="atLeast"/>
        </w:trPr>
        <w:tc>
          <w:tcPr>
            <w:tcW w:w="989" w:type="dxa"/>
          </w:tcPr>
          <w:p>
            <w:pPr>
              <w:pStyle w:val="TableParagraph"/>
              <w:spacing w:line="200" w:lineRule="exact"/>
              <w:ind w:left="107"/>
              <w:rPr>
                <w:sz w:val="18"/>
              </w:rPr>
            </w:pPr>
            <w:r>
              <w:rPr>
                <w:sz w:val="18"/>
              </w:rPr>
              <w:t>Q19</w:t>
            </w:r>
          </w:p>
        </w:tc>
        <w:tc>
          <w:tcPr>
            <w:tcW w:w="1274" w:type="dxa"/>
          </w:tcPr>
          <w:p>
            <w:pPr>
              <w:pStyle w:val="TableParagraph"/>
              <w:rPr>
                <w:rFonts w:ascii="Times New Roman"/>
                <w:sz w:val="14"/>
              </w:rPr>
            </w:pPr>
          </w:p>
        </w:tc>
        <w:tc>
          <w:tcPr>
            <w:tcW w:w="708" w:type="dxa"/>
          </w:tcPr>
          <w:p>
            <w:pPr>
              <w:pStyle w:val="TableParagraph"/>
              <w:rPr>
                <w:rFonts w:ascii="Times New Roman"/>
                <w:sz w:val="14"/>
              </w:rPr>
            </w:pPr>
          </w:p>
        </w:tc>
        <w:tc>
          <w:tcPr>
            <w:tcW w:w="851" w:type="dxa"/>
          </w:tcPr>
          <w:p>
            <w:pPr>
              <w:pStyle w:val="TableParagraph"/>
              <w:rPr>
                <w:rFonts w:ascii="Times New Roman"/>
                <w:sz w:val="14"/>
              </w:rPr>
            </w:pPr>
          </w:p>
        </w:tc>
        <w:tc>
          <w:tcPr>
            <w:tcW w:w="6238" w:type="dxa"/>
          </w:tcPr>
          <w:p>
            <w:pPr>
              <w:pStyle w:val="TableParagraph"/>
              <w:spacing w:line="200" w:lineRule="exact"/>
              <w:ind w:left="110"/>
              <w:rPr>
                <w:sz w:val="18"/>
              </w:rPr>
            </w:pPr>
            <w:r>
              <w:rPr>
                <w:sz w:val="18"/>
              </w:rPr>
              <w:t>□</w:t>
            </w:r>
            <w:r>
              <w:rPr>
                <w:spacing w:val="-4"/>
                <w:sz w:val="18"/>
              </w:rPr>
              <w:t> </w:t>
            </w:r>
            <w:r>
              <w:rPr>
                <w:sz w:val="18"/>
              </w:rPr>
              <w:t>Significant</w:t>
            </w:r>
            <w:r>
              <w:rPr>
                <w:spacing w:val="-4"/>
                <w:sz w:val="18"/>
              </w:rPr>
              <w:t> </w:t>
            </w:r>
            <w:r>
              <w:rPr>
                <w:sz w:val="18"/>
              </w:rPr>
              <w:t>progress</w:t>
            </w:r>
            <w:r>
              <w:rPr>
                <w:spacing w:val="-3"/>
                <w:sz w:val="18"/>
              </w:rPr>
              <w:t> </w:t>
            </w:r>
            <w:r>
              <w:rPr>
                <w:sz w:val="18"/>
              </w:rPr>
              <w:t>□</w:t>
            </w:r>
            <w:r>
              <w:rPr>
                <w:spacing w:val="-3"/>
                <w:sz w:val="18"/>
              </w:rPr>
              <w:t> </w:t>
            </w:r>
            <w:r>
              <w:rPr>
                <w:sz w:val="18"/>
              </w:rPr>
              <w:t>Some</w:t>
            </w:r>
            <w:r>
              <w:rPr>
                <w:spacing w:val="-2"/>
                <w:sz w:val="18"/>
              </w:rPr>
              <w:t> </w:t>
            </w:r>
            <w:r>
              <w:rPr>
                <w:sz w:val="18"/>
              </w:rPr>
              <w:t>progress</w:t>
            </w:r>
            <w:r>
              <w:rPr>
                <w:spacing w:val="-3"/>
                <w:sz w:val="18"/>
              </w:rPr>
              <w:t> </w:t>
            </w:r>
            <w:r>
              <w:rPr>
                <w:sz w:val="18"/>
              </w:rPr>
              <w:t>□</w:t>
            </w:r>
            <w:r>
              <w:rPr>
                <w:spacing w:val="-3"/>
                <w:sz w:val="18"/>
              </w:rPr>
              <w:t> </w:t>
            </w:r>
            <w:r>
              <w:rPr>
                <w:sz w:val="18"/>
              </w:rPr>
              <w:t>No</w:t>
            </w:r>
            <w:r>
              <w:rPr>
                <w:spacing w:val="-3"/>
                <w:sz w:val="18"/>
              </w:rPr>
              <w:t> </w:t>
            </w:r>
            <w:r>
              <w:rPr>
                <w:sz w:val="18"/>
              </w:rPr>
              <w:t>progress</w:t>
            </w:r>
            <w:r>
              <w:rPr>
                <w:spacing w:val="-3"/>
                <w:sz w:val="18"/>
              </w:rPr>
              <w:t> </w:t>
            </w:r>
            <w:r>
              <w:rPr>
                <w:sz w:val="18"/>
              </w:rPr>
              <w:t>□</w:t>
            </w:r>
            <w:r>
              <w:rPr>
                <w:spacing w:val="-5"/>
                <w:sz w:val="18"/>
              </w:rPr>
              <w:t> </w:t>
            </w:r>
            <w:r>
              <w:rPr>
                <w:sz w:val="18"/>
              </w:rPr>
              <w:t>Worse</w:t>
            </w:r>
          </w:p>
        </w:tc>
      </w:tr>
      <w:tr>
        <w:trPr>
          <w:trHeight w:val="220" w:hRule="atLeast"/>
        </w:trPr>
        <w:tc>
          <w:tcPr>
            <w:tcW w:w="989" w:type="dxa"/>
          </w:tcPr>
          <w:p>
            <w:pPr>
              <w:pStyle w:val="TableParagraph"/>
              <w:spacing w:line="200" w:lineRule="exact"/>
              <w:ind w:left="107"/>
              <w:rPr>
                <w:sz w:val="18"/>
              </w:rPr>
            </w:pPr>
            <w:r>
              <w:rPr>
                <w:sz w:val="18"/>
              </w:rPr>
              <w:t>Q20</w:t>
            </w:r>
          </w:p>
        </w:tc>
        <w:tc>
          <w:tcPr>
            <w:tcW w:w="1274" w:type="dxa"/>
          </w:tcPr>
          <w:p>
            <w:pPr>
              <w:pStyle w:val="TableParagraph"/>
              <w:rPr>
                <w:rFonts w:ascii="Times New Roman"/>
                <w:sz w:val="14"/>
              </w:rPr>
            </w:pPr>
          </w:p>
        </w:tc>
        <w:tc>
          <w:tcPr>
            <w:tcW w:w="708" w:type="dxa"/>
          </w:tcPr>
          <w:p>
            <w:pPr>
              <w:pStyle w:val="TableParagraph"/>
              <w:rPr>
                <w:rFonts w:ascii="Times New Roman"/>
                <w:sz w:val="14"/>
              </w:rPr>
            </w:pPr>
          </w:p>
        </w:tc>
        <w:tc>
          <w:tcPr>
            <w:tcW w:w="851" w:type="dxa"/>
          </w:tcPr>
          <w:p>
            <w:pPr>
              <w:pStyle w:val="TableParagraph"/>
              <w:rPr>
                <w:rFonts w:ascii="Times New Roman"/>
                <w:sz w:val="14"/>
              </w:rPr>
            </w:pPr>
          </w:p>
        </w:tc>
        <w:tc>
          <w:tcPr>
            <w:tcW w:w="6238" w:type="dxa"/>
          </w:tcPr>
          <w:p>
            <w:pPr>
              <w:pStyle w:val="TableParagraph"/>
              <w:spacing w:line="200" w:lineRule="exact"/>
              <w:ind w:left="110"/>
              <w:rPr>
                <w:sz w:val="18"/>
              </w:rPr>
            </w:pPr>
            <w:r>
              <w:rPr>
                <w:sz w:val="18"/>
              </w:rPr>
              <w:t>□</w:t>
            </w:r>
            <w:r>
              <w:rPr>
                <w:spacing w:val="-4"/>
                <w:sz w:val="18"/>
              </w:rPr>
              <w:t> </w:t>
            </w:r>
            <w:r>
              <w:rPr>
                <w:sz w:val="18"/>
              </w:rPr>
              <w:t>Significant</w:t>
            </w:r>
            <w:r>
              <w:rPr>
                <w:spacing w:val="-4"/>
                <w:sz w:val="18"/>
              </w:rPr>
              <w:t> </w:t>
            </w:r>
            <w:r>
              <w:rPr>
                <w:sz w:val="18"/>
              </w:rPr>
              <w:t>progress</w:t>
            </w:r>
            <w:r>
              <w:rPr>
                <w:spacing w:val="-3"/>
                <w:sz w:val="18"/>
              </w:rPr>
              <w:t> </w:t>
            </w:r>
            <w:r>
              <w:rPr>
                <w:sz w:val="18"/>
              </w:rPr>
              <w:t>□</w:t>
            </w:r>
            <w:r>
              <w:rPr>
                <w:spacing w:val="-3"/>
                <w:sz w:val="18"/>
              </w:rPr>
              <w:t> </w:t>
            </w:r>
            <w:r>
              <w:rPr>
                <w:sz w:val="18"/>
              </w:rPr>
              <w:t>Some</w:t>
            </w:r>
            <w:r>
              <w:rPr>
                <w:spacing w:val="-2"/>
                <w:sz w:val="18"/>
              </w:rPr>
              <w:t> </w:t>
            </w:r>
            <w:r>
              <w:rPr>
                <w:sz w:val="18"/>
              </w:rPr>
              <w:t>progress</w:t>
            </w:r>
            <w:r>
              <w:rPr>
                <w:spacing w:val="-3"/>
                <w:sz w:val="18"/>
              </w:rPr>
              <w:t> </w:t>
            </w:r>
            <w:r>
              <w:rPr>
                <w:sz w:val="18"/>
              </w:rPr>
              <w:t>□</w:t>
            </w:r>
            <w:r>
              <w:rPr>
                <w:spacing w:val="-3"/>
                <w:sz w:val="18"/>
              </w:rPr>
              <w:t> </w:t>
            </w:r>
            <w:r>
              <w:rPr>
                <w:sz w:val="18"/>
              </w:rPr>
              <w:t>No progress</w:t>
            </w:r>
            <w:r>
              <w:rPr>
                <w:spacing w:val="-3"/>
                <w:sz w:val="18"/>
              </w:rPr>
              <w:t> </w:t>
            </w:r>
            <w:r>
              <w:rPr>
                <w:sz w:val="18"/>
              </w:rPr>
              <w:t>□</w:t>
            </w:r>
            <w:r>
              <w:rPr>
                <w:spacing w:val="-5"/>
                <w:sz w:val="18"/>
              </w:rPr>
              <w:t> </w:t>
            </w:r>
            <w:r>
              <w:rPr>
                <w:sz w:val="18"/>
              </w:rPr>
              <w:t>Worse</w:t>
            </w:r>
          </w:p>
        </w:tc>
      </w:tr>
      <w:tr>
        <w:trPr>
          <w:trHeight w:val="220" w:hRule="atLeast"/>
        </w:trPr>
        <w:tc>
          <w:tcPr>
            <w:tcW w:w="989" w:type="dxa"/>
          </w:tcPr>
          <w:p>
            <w:pPr>
              <w:pStyle w:val="TableParagraph"/>
              <w:spacing w:line="200" w:lineRule="exact"/>
              <w:ind w:left="107"/>
              <w:rPr>
                <w:sz w:val="18"/>
              </w:rPr>
            </w:pPr>
            <w:r>
              <w:rPr>
                <w:sz w:val="18"/>
              </w:rPr>
              <w:t>Q21</w:t>
            </w:r>
          </w:p>
        </w:tc>
        <w:tc>
          <w:tcPr>
            <w:tcW w:w="1274" w:type="dxa"/>
          </w:tcPr>
          <w:p>
            <w:pPr>
              <w:pStyle w:val="TableParagraph"/>
              <w:rPr>
                <w:rFonts w:ascii="Times New Roman"/>
                <w:sz w:val="14"/>
              </w:rPr>
            </w:pPr>
          </w:p>
        </w:tc>
        <w:tc>
          <w:tcPr>
            <w:tcW w:w="708" w:type="dxa"/>
          </w:tcPr>
          <w:p>
            <w:pPr>
              <w:pStyle w:val="TableParagraph"/>
              <w:rPr>
                <w:rFonts w:ascii="Times New Roman"/>
                <w:sz w:val="14"/>
              </w:rPr>
            </w:pPr>
          </w:p>
        </w:tc>
        <w:tc>
          <w:tcPr>
            <w:tcW w:w="851" w:type="dxa"/>
          </w:tcPr>
          <w:p>
            <w:pPr>
              <w:pStyle w:val="TableParagraph"/>
              <w:rPr>
                <w:rFonts w:ascii="Times New Roman"/>
                <w:sz w:val="14"/>
              </w:rPr>
            </w:pPr>
          </w:p>
        </w:tc>
        <w:tc>
          <w:tcPr>
            <w:tcW w:w="6238" w:type="dxa"/>
          </w:tcPr>
          <w:p>
            <w:pPr>
              <w:pStyle w:val="TableParagraph"/>
              <w:spacing w:line="200" w:lineRule="exact"/>
              <w:ind w:left="110"/>
              <w:rPr>
                <w:sz w:val="18"/>
              </w:rPr>
            </w:pPr>
            <w:r>
              <w:rPr>
                <w:sz w:val="18"/>
              </w:rPr>
              <w:t>□</w:t>
            </w:r>
            <w:r>
              <w:rPr>
                <w:spacing w:val="-4"/>
                <w:sz w:val="18"/>
              </w:rPr>
              <w:t> </w:t>
            </w:r>
            <w:r>
              <w:rPr>
                <w:sz w:val="18"/>
              </w:rPr>
              <w:t>Significant</w:t>
            </w:r>
            <w:r>
              <w:rPr>
                <w:spacing w:val="-4"/>
                <w:sz w:val="18"/>
              </w:rPr>
              <w:t> </w:t>
            </w:r>
            <w:r>
              <w:rPr>
                <w:sz w:val="18"/>
              </w:rPr>
              <w:t>progress</w:t>
            </w:r>
            <w:r>
              <w:rPr>
                <w:spacing w:val="-3"/>
                <w:sz w:val="18"/>
              </w:rPr>
              <w:t> </w:t>
            </w:r>
            <w:r>
              <w:rPr>
                <w:sz w:val="18"/>
              </w:rPr>
              <w:t>□</w:t>
            </w:r>
            <w:r>
              <w:rPr>
                <w:spacing w:val="-3"/>
                <w:sz w:val="18"/>
              </w:rPr>
              <w:t> </w:t>
            </w:r>
            <w:r>
              <w:rPr>
                <w:sz w:val="18"/>
              </w:rPr>
              <w:t>Some</w:t>
            </w:r>
            <w:r>
              <w:rPr>
                <w:spacing w:val="-2"/>
                <w:sz w:val="18"/>
              </w:rPr>
              <w:t> </w:t>
            </w:r>
            <w:r>
              <w:rPr>
                <w:sz w:val="18"/>
              </w:rPr>
              <w:t>progress</w:t>
            </w:r>
            <w:r>
              <w:rPr>
                <w:spacing w:val="-3"/>
                <w:sz w:val="18"/>
              </w:rPr>
              <w:t> </w:t>
            </w:r>
            <w:r>
              <w:rPr>
                <w:sz w:val="18"/>
              </w:rPr>
              <w:t>□</w:t>
            </w:r>
            <w:r>
              <w:rPr>
                <w:spacing w:val="-3"/>
                <w:sz w:val="18"/>
              </w:rPr>
              <w:t> </w:t>
            </w:r>
            <w:r>
              <w:rPr>
                <w:sz w:val="18"/>
              </w:rPr>
              <w:t>No</w:t>
            </w:r>
            <w:r>
              <w:rPr>
                <w:spacing w:val="-3"/>
                <w:sz w:val="18"/>
              </w:rPr>
              <w:t> </w:t>
            </w:r>
            <w:r>
              <w:rPr>
                <w:sz w:val="18"/>
              </w:rPr>
              <w:t>progress</w:t>
            </w:r>
            <w:r>
              <w:rPr>
                <w:spacing w:val="-3"/>
                <w:sz w:val="18"/>
              </w:rPr>
              <w:t> </w:t>
            </w:r>
            <w:r>
              <w:rPr>
                <w:sz w:val="18"/>
              </w:rPr>
              <w:t>□</w:t>
            </w:r>
            <w:r>
              <w:rPr>
                <w:spacing w:val="-5"/>
                <w:sz w:val="18"/>
              </w:rPr>
              <w:t> </w:t>
            </w:r>
            <w:r>
              <w:rPr>
                <w:sz w:val="18"/>
              </w:rPr>
              <w:t>Worse</w:t>
            </w:r>
          </w:p>
        </w:tc>
      </w:tr>
      <w:tr>
        <w:trPr>
          <w:trHeight w:val="220" w:hRule="atLeast"/>
        </w:trPr>
        <w:tc>
          <w:tcPr>
            <w:tcW w:w="989" w:type="dxa"/>
          </w:tcPr>
          <w:p>
            <w:pPr>
              <w:pStyle w:val="TableParagraph"/>
              <w:spacing w:line="200" w:lineRule="exact"/>
              <w:ind w:left="107"/>
              <w:rPr>
                <w:sz w:val="18"/>
              </w:rPr>
            </w:pPr>
            <w:r>
              <w:rPr>
                <w:sz w:val="18"/>
              </w:rPr>
              <w:t>Q22</w:t>
            </w:r>
          </w:p>
        </w:tc>
        <w:tc>
          <w:tcPr>
            <w:tcW w:w="1274" w:type="dxa"/>
          </w:tcPr>
          <w:p>
            <w:pPr>
              <w:pStyle w:val="TableParagraph"/>
              <w:rPr>
                <w:rFonts w:ascii="Times New Roman"/>
                <w:sz w:val="14"/>
              </w:rPr>
            </w:pPr>
          </w:p>
        </w:tc>
        <w:tc>
          <w:tcPr>
            <w:tcW w:w="708" w:type="dxa"/>
          </w:tcPr>
          <w:p>
            <w:pPr>
              <w:pStyle w:val="TableParagraph"/>
              <w:rPr>
                <w:rFonts w:ascii="Times New Roman"/>
                <w:sz w:val="14"/>
              </w:rPr>
            </w:pPr>
          </w:p>
        </w:tc>
        <w:tc>
          <w:tcPr>
            <w:tcW w:w="851" w:type="dxa"/>
          </w:tcPr>
          <w:p>
            <w:pPr>
              <w:pStyle w:val="TableParagraph"/>
              <w:rPr>
                <w:rFonts w:ascii="Times New Roman"/>
                <w:sz w:val="14"/>
              </w:rPr>
            </w:pPr>
          </w:p>
        </w:tc>
        <w:tc>
          <w:tcPr>
            <w:tcW w:w="6238" w:type="dxa"/>
          </w:tcPr>
          <w:p>
            <w:pPr>
              <w:pStyle w:val="TableParagraph"/>
              <w:spacing w:line="200" w:lineRule="exact"/>
              <w:ind w:left="110"/>
              <w:rPr>
                <w:sz w:val="18"/>
              </w:rPr>
            </w:pPr>
            <w:r>
              <w:rPr>
                <w:sz w:val="18"/>
              </w:rPr>
              <w:t>□</w:t>
            </w:r>
            <w:r>
              <w:rPr>
                <w:spacing w:val="-4"/>
                <w:sz w:val="18"/>
              </w:rPr>
              <w:t> </w:t>
            </w:r>
            <w:r>
              <w:rPr>
                <w:sz w:val="18"/>
              </w:rPr>
              <w:t>Significant</w:t>
            </w:r>
            <w:r>
              <w:rPr>
                <w:spacing w:val="-4"/>
                <w:sz w:val="18"/>
              </w:rPr>
              <w:t> </w:t>
            </w:r>
            <w:r>
              <w:rPr>
                <w:sz w:val="18"/>
              </w:rPr>
              <w:t>progress</w:t>
            </w:r>
            <w:r>
              <w:rPr>
                <w:spacing w:val="-3"/>
                <w:sz w:val="18"/>
              </w:rPr>
              <w:t> </w:t>
            </w:r>
            <w:r>
              <w:rPr>
                <w:sz w:val="18"/>
              </w:rPr>
              <w:t>□</w:t>
            </w:r>
            <w:r>
              <w:rPr>
                <w:spacing w:val="-3"/>
                <w:sz w:val="18"/>
              </w:rPr>
              <w:t> </w:t>
            </w:r>
            <w:r>
              <w:rPr>
                <w:sz w:val="18"/>
              </w:rPr>
              <w:t>Some</w:t>
            </w:r>
            <w:r>
              <w:rPr>
                <w:spacing w:val="-2"/>
                <w:sz w:val="18"/>
              </w:rPr>
              <w:t> </w:t>
            </w:r>
            <w:r>
              <w:rPr>
                <w:sz w:val="18"/>
              </w:rPr>
              <w:t>progress</w:t>
            </w:r>
            <w:r>
              <w:rPr>
                <w:spacing w:val="-3"/>
                <w:sz w:val="18"/>
              </w:rPr>
              <w:t> </w:t>
            </w:r>
            <w:r>
              <w:rPr>
                <w:sz w:val="18"/>
              </w:rPr>
              <w:t>□</w:t>
            </w:r>
            <w:r>
              <w:rPr>
                <w:spacing w:val="-3"/>
                <w:sz w:val="18"/>
              </w:rPr>
              <w:t> </w:t>
            </w:r>
            <w:r>
              <w:rPr>
                <w:sz w:val="18"/>
              </w:rPr>
              <w:t>No</w:t>
            </w:r>
            <w:r>
              <w:rPr>
                <w:spacing w:val="-3"/>
                <w:sz w:val="18"/>
              </w:rPr>
              <w:t> </w:t>
            </w:r>
            <w:r>
              <w:rPr>
                <w:sz w:val="18"/>
              </w:rPr>
              <w:t>progress</w:t>
            </w:r>
            <w:r>
              <w:rPr>
                <w:spacing w:val="-3"/>
                <w:sz w:val="18"/>
              </w:rPr>
              <w:t> </w:t>
            </w:r>
            <w:r>
              <w:rPr>
                <w:sz w:val="18"/>
              </w:rPr>
              <w:t>□</w:t>
            </w:r>
            <w:r>
              <w:rPr>
                <w:spacing w:val="-5"/>
                <w:sz w:val="18"/>
              </w:rPr>
              <w:t> </w:t>
            </w:r>
            <w:r>
              <w:rPr>
                <w:sz w:val="18"/>
              </w:rPr>
              <w:t>Worse</w:t>
            </w:r>
          </w:p>
        </w:tc>
      </w:tr>
      <w:tr>
        <w:trPr>
          <w:trHeight w:val="220" w:hRule="atLeast"/>
        </w:trPr>
        <w:tc>
          <w:tcPr>
            <w:tcW w:w="989" w:type="dxa"/>
          </w:tcPr>
          <w:p>
            <w:pPr>
              <w:pStyle w:val="TableParagraph"/>
              <w:spacing w:line="200" w:lineRule="exact"/>
              <w:ind w:left="107"/>
              <w:rPr>
                <w:sz w:val="18"/>
              </w:rPr>
            </w:pPr>
            <w:r>
              <w:rPr>
                <w:sz w:val="18"/>
              </w:rPr>
              <w:t>Q23</w:t>
            </w:r>
          </w:p>
        </w:tc>
        <w:tc>
          <w:tcPr>
            <w:tcW w:w="1274" w:type="dxa"/>
          </w:tcPr>
          <w:p>
            <w:pPr>
              <w:pStyle w:val="TableParagraph"/>
              <w:rPr>
                <w:rFonts w:ascii="Times New Roman"/>
                <w:sz w:val="14"/>
              </w:rPr>
            </w:pPr>
          </w:p>
        </w:tc>
        <w:tc>
          <w:tcPr>
            <w:tcW w:w="708" w:type="dxa"/>
          </w:tcPr>
          <w:p>
            <w:pPr>
              <w:pStyle w:val="TableParagraph"/>
              <w:rPr>
                <w:rFonts w:ascii="Times New Roman"/>
                <w:sz w:val="14"/>
              </w:rPr>
            </w:pPr>
          </w:p>
        </w:tc>
        <w:tc>
          <w:tcPr>
            <w:tcW w:w="851" w:type="dxa"/>
          </w:tcPr>
          <w:p>
            <w:pPr>
              <w:pStyle w:val="TableParagraph"/>
              <w:rPr>
                <w:rFonts w:ascii="Times New Roman"/>
                <w:sz w:val="14"/>
              </w:rPr>
            </w:pPr>
          </w:p>
        </w:tc>
        <w:tc>
          <w:tcPr>
            <w:tcW w:w="6238" w:type="dxa"/>
          </w:tcPr>
          <w:p>
            <w:pPr>
              <w:pStyle w:val="TableParagraph"/>
              <w:spacing w:line="200" w:lineRule="exact"/>
              <w:ind w:left="110"/>
              <w:rPr>
                <w:sz w:val="18"/>
              </w:rPr>
            </w:pPr>
            <w:r>
              <w:rPr>
                <w:sz w:val="18"/>
              </w:rPr>
              <w:t>□</w:t>
            </w:r>
            <w:r>
              <w:rPr>
                <w:spacing w:val="-4"/>
                <w:sz w:val="18"/>
              </w:rPr>
              <w:t> </w:t>
            </w:r>
            <w:r>
              <w:rPr>
                <w:sz w:val="18"/>
              </w:rPr>
              <w:t>Significant</w:t>
            </w:r>
            <w:r>
              <w:rPr>
                <w:spacing w:val="-4"/>
                <w:sz w:val="18"/>
              </w:rPr>
              <w:t> </w:t>
            </w:r>
            <w:r>
              <w:rPr>
                <w:sz w:val="18"/>
              </w:rPr>
              <w:t>progress</w:t>
            </w:r>
            <w:r>
              <w:rPr>
                <w:spacing w:val="-3"/>
                <w:sz w:val="18"/>
              </w:rPr>
              <w:t> </w:t>
            </w:r>
            <w:r>
              <w:rPr>
                <w:sz w:val="18"/>
              </w:rPr>
              <w:t>□</w:t>
            </w:r>
            <w:r>
              <w:rPr>
                <w:spacing w:val="-3"/>
                <w:sz w:val="18"/>
              </w:rPr>
              <w:t> </w:t>
            </w:r>
            <w:r>
              <w:rPr>
                <w:sz w:val="18"/>
              </w:rPr>
              <w:t>Some</w:t>
            </w:r>
            <w:r>
              <w:rPr>
                <w:spacing w:val="-2"/>
                <w:sz w:val="18"/>
              </w:rPr>
              <w:t> </w:t>
            </w:r>
            <w:r>
              <w:rPr>
                <w:sz w:val="18"/>
              </w:rPr>
              <w:t>progress</w:t>
            </w:r>
            <w:r>
              <w:rPr>
                <w:spacing w:val="-3"/>
                <w:sz w:val="18"/>
              </w:rPr>
              <w:t> </w:t>
            </w:r>
            <w:r>
              <w:rPr>
                <w:sz w:val="18"/>
              </w:rPr>
              <w:t>□</w:t>
            </w:r>
            <w:r>
              <w:rPr>
                <w:spacing w:val="-3"/>
                <w:sz w:val="18"/>
              </w:rPr>
              <w:t> </w:t>
            </w:r>
            <w:r>
              <w:rPr>
                <w:sz w:val="18"/>
              </w:rPr>
              <w:t>No</w:t>
            </w:r>
            <w:r>
              <w:rPr>
                <w:spacing w:val="-3"/>
                <w:sz w:val="18"/>
              </w:rPr>
              <w:t> </w:t>
            </w:r>
            <w:r>
              <w:rPr>
                <w:sz w:val="18"/>
              </w:rPr>
              <w:t>progress</w:t>
            </w:r>
            <w:r>
              <w:rPr>
                <w:spacing w:val="-3"/>
                <w:sz w:val="18"/>
              </w:rPr>
              <w:t> </w:t>
            </w:r>
            <w:r>
              <w:rPr>
                <w:sz w:val="18"/>
              </w:rPr>
              <w:t>□</w:t>
            </w:r>
            <w:r>
              <w:rPr>
                <w:spacing w:val="-5"/>
                <w:sz w:val="18"/>
              </w:rPr>
              <w:t> </w:t>
            </w:r>
            <w:r>
              <w:rPr>
                <w:sz w:val="18"/>
              </w:rPr>
              <w:t>Worse</w:t>
            </w:r>
          </w:p>
        </w:tc>
      </w:tr>
      <w:tr>
        <w:trPr>
          <w:trHeight w:val="220" w:hRule="atLeast"/>
        </w:trPr>
        <w:tc>
          <w:tcPr>
            <w:tcW w:w="989" w:type="dxa"/>
          </w:tcPr>
          <w:p>
            <w:pPr>
              <w:pStyle w:val="TableParagraph"/>
              <w:spacing w:line="200" w:lineRule="exact"/>
              <w:ind w:left="107"/>
              <w:rPr>
                <w:sz w:val="18"/>
              </w:rPr>
            </w:pPr>
            <w:r>
              <w:rPr>
                <w:sz w:val="18"/>
              </w:rPr>
              <w:t>Q24</w:t>
            </w:r>
          </w:p>
        </w:tc>
        <w:tc>
          <w:tcPr>
            <w:tcW w:w="1274" w:type="dxa"/>
          </w:tcPr>
          <w:p>
            <w:pPr>
              <w:pStyle w:val="TableParagraph"/>
              <w:rPr>
                <w:rFonts w:ascii="Times New Roman"/>
                <w:sz w:val="14"/>
              </w:rPr>
            </w:pPr>
          </w:p>
        </w:tc>
        <w:tc>
          <w:tcPr>
            <w:tcW w:w="708" w:type="dxa"/>
          </w:tcPr>
          <w:p>
            <w:pPr>
              <w:pStyle w:val="TableParagraph"/>
              <w:rPr>
                <w:rFonts w:ascii="Times New Roman"/>
                <w:sz w:val="14"/>
              </w:rPr>
            </w:pPr>
          </w:p>
        </w:tc>
        <w:tc>
          <w:tcPr>
            <w:tcW w:w="851" w:type="dxa"/>
          </w:tcPr>
          <w:p>
            <w:pPr>
              <w:pStyle w:val="TableParagraph"/>
              <w:rPr>
                <w:rFonts w:ascii="Times New Roman"/>
                <w:sz w:val="14"/>
              </w:rPr>
            </w:pPr>
          </w:p>
        </w:tc>
        <w:tc>
          <w:tcPr>
            <w:tcW w:w="6238" w:type="dxa"/>
          </w:tcPr>
          <w:p>
            <w:pPr>
              <w:pStyle w:val="TableParagraph"/>
              <w:spacing w:line="200" w:lineRule="exact"/>
              <w:ind w:left="110"/>
              <w:rPr>
                <w:sz w:val="18"/>
              </w:rPr>
            </w:pPr>
            <w:r>
              <w:rPr>
                <w:sz w:val="18"/>
              </w:rPr>
              <w:t>□</w:t>
            </w:r>
            <w:r>
              <w:rPr>
                <w:spacing w:val="-4"/>
                <w:sz w:val="18"/>
              </w:rPr>
              <w:t> </w:t>
            </w:r>
            <w:r>
              <w:rPr>
                <w:sz w:val="18"/>
              </w:rPr>
              <w:t>Significant</w:t>
            </w:r>
            <w:r>
              <w:rPr>
                <w:spacing w:val="-4"/>
                <w:sz w:val="18"/>
              </w:rPr>
              <w:t> </w:t>
            </w:r>
            <w:r>
              <w:rPr>
                <w:sz w:val="18"/>
              </w:rPr>
              <w:t>progress</w:t>
            </w:r>
            <w:r>
              <w:rPr>
                <w:spacing w:val="-3"/>
                <w:sz w:val="18"/>
              </w:rPr>
              <w:t> </w:t>
            </w:r>
            <w:r>
              <w:rPr>
                <w:sz w:val="18"/>
              </w:rPr>
              <w:t>□</w:t>
            </w:r>
            <w:r>
              <w:rPr>
                <w:spacing w:val="-3"/>
                <w:sz w:val="18"/>
              </w:rPr>
              <w:t> </w:t>
            </w:r>
            <w:r>
              <w:rPr>
                <w:sz w:val="18"/>
              </w:rPr>
              <w:t>Some</w:t>
            </w:r>
            <w:r>
              <w:rPr>
                <w:spacing w:val="-2"/>
                <w:sz w:val="18"/>
              </w:rPr>
              <w:t> </w:t>
            </w:r>
            <w:r>
              <w:rPr>
                <w:sz w:val="18"/>
              </w:rPr>
              <w:t>progress</w:t>
            </w:r>
            <w:r>
              <w:rPr>
                <w:spacing w:val="-3"/>
                <w:sz w:val="18"/>
              </w:rPr>
              <w:t> </w:t>
            </w:r>
            <w:r>
              <w:rPr>
                <w:sz w:val="18"/>
              </w:rPr>
              <w:t>□</w:t>
            </w:r>
            <w:r>
              <w:rPr>
                <w:spacing w:val="-3"/>
                <w:sz w:val="18"/>
              </w:rPr>
              <w:t> </w:t>
            </w:r>
            <w:r>
              <w:rPr>
                <w:sz w:val="18"/>
              </w:rPr>
              <w:t>No</w:t>
            </w:r>
            <w:r>
              <w:rPr>
                <w:spacing w:val="-3"/>
                <w:sz w:val="18"/>
              </w:rPr>
              <w:t> </w:t>
            </w:r>
            <w:r>
              <w:rPr>
                <w:sz w:val="18"/>
              </w:rPr>
              <w:t>progress</w:t>
            </w:r>
            <w:r>
              <w:rPr>
                <w:spacing w:val="-3"/>
                <w:sz w:val="18"/>
              </w:rPr>
              <w:t> </w:t>
            </w:r>
            <w:r>
              <w:rPr>
                <w:sz w:val="18"/>
              </w:rPr>
              <w:t>□</w:t>
            </w:r>
            <w:r>
              <w:rPr>
                <w:spacing w:val="-5"/>
                <w:sz w:val="18"/>
              </w:rPr>
              <w:t> </w:t>
            </w:r>
            <w:r>
              <w:rPr>
                <w:sz w:val="18"/>
              </w:rPr>
              <w:t>Worse</w:t>
            </w:r>
          </w:p>
        </w:tc>
      </w:tr>
      <w:tr>
        <w:trPr>
          <w:trHeight w:val="222" w:hRule="atLeast"/>
        </w:trPr>
        <w:tc>
          <w:tcPr>
            <w:tcW w:w="989" w:type="dxa"/>
          </w:tcPr>
          <w:p>
            <w:pPr>
              <w:pStyle w:val="TableParagraph"/>
              <w:spacing w:line="202" w:lineRule="exact" w:before="1"/>
              <w:ind w:left="107"/>
              <w:rPr>
                <w:sz w:val="18"/>
              </w:rPr>
            </w:pPr>
            <w:r>
              <w:rPr>
                <w:sz w:val="18"/>
              </w:rPr>
              <w:t>Q25</w:t>
            </w:r>
          </w:p>
        </w:tc>
        <w:tc>
          <w:tcPr>
            <w:tcW w:w="1274" w:type="dxa"/>
          </w:tcPr>
          <w:p>
            <w:pPr>
              <w:pStyle w:val="TableParagraph"/>
              <w:rPr>
                <w:rFonts w:ascii="Times New Roman"/>
                <w:sz w:val="14"/>
              </w:rPr>
            </w:pPr>
          </w:p>
        </w:tc>
        <w:tc>
          <w:tcPr>
            <w:tcW w:w="708" w:type="dxa"/>
          </w:tcPr>
          <w:p>
            <w:pPr>
              <w:pStyle w:val="TableParagraph"/>
              <w:rPr>
                <w:rFonts w:ascii="Times New Roman"/>
                <w:sz w:val="14"/>
              </w:rPr>
            </w:pPr>
          </w:p>
        </w:tc>
        <w:tc>
          <w:tcPr>
            <w:tcW w:w="851" w:type="dxa"/>
          </w:tcPr>
          <w:p>
            <w:pPr>
              <w:pStyle w:val="TableParagraph"/>
              <w:rPr>
                <w:rFonts w:ascii="Times New Roman"/>
                <w:sz w:val="14"/>
              </w:rPr>
            </w:pPr>
          </w:p>
        </w:tc>
        <w:tc>
          <w:tcPr>
            <w:tcW w:w="6238" w:type="dxa"/>
          </w:tcPr>
          <w:p>
            <w:pPr>
              <w:pStyle w:val="TableParagraph"/>
              <w:spacing w:line="202" w:lineRule="exact" w:before="1"/>
              <w:ind w:left="110"/>
              <w:rPr>
                <w:sz w:val="18"/>
              </w:rPr>
            </w:pPr>
            <w:r>
              <w:rPr>
                <w:sz w:val="18"/>
              </w:rPr>
              <w:t>□</w:t>
            </w:r>
            <w:r>
              <w:rPr>
                <w:spacing w:val="-4"/>
                <w:sz w:val="18"/>
              </w:rPr>
              <w:t> </w:t>
            </w:r>
            <w:r>
              <w:rPr>
                <w:sz w:val="18"/>
              </w:rPr>
              <w:t>Significant</w:t>
            </w:r>
            <w:r>
              <w:rPr>
                <w:spacing w:val="-4"/>
                <w:sz w:val="18"/>
              </w:rPr>
              <w:t> </w:t>
            </w:r>
            <w:r>
              <w:rPr>
                <w:sz w:val="18"/>
              </w:rPr>
              <w:t>progress</w:t>
            </w:r>
            <w:r>
              <w:rPr>
                <w:spacing w:val="-3"/>
                <w:sz w:val="18"/>
              </w:rPr>
              <w:t> </w:t>
            </w:r>
            <w:r>
              <w:rPr>
                <w:sz w:val="18"/>
              </w:rPr>
              <w:t>□</w:t>
            </w:r>
            <w:r>
              <w:rPr>
                <w:spacing w:val="-3"/>
                <w:sz w:val="18"/>
              </w:rPr>
              <w:t> </w:t>
            </w:r>
            <w:r>
              <w:rPr>
                <w:sz w:val="18"/>
              </w:rPr>
              <w:t>Some</w:t>
            </w:r>
            <w:r>
              <w:rPr>
                <w:spacing w:val="-2"/>
                <w:sz w:val="18"/>
              </w:rPr>
              <w:t> </w:t>
            </w:r>
            <w:r>
              <w:rPr>
                <w:sz w:val="18"/>
              </w:rPr>
              <w:t>progress</w:t>
            </w:r>
            <w:r>
              <w:rPr>
                <w:spacing w:val="-3"/>
                <w:sz w:val="18"/>
              </w:rPr>
              <w:t> </w:t>
            </w:r>
            <w:r>
              <w:rPr>
                <w:sz w:val="18"/>
              </w:rPr>
              <w:t>□</w:t>
            </w:r>
            <w:r>
              <w:rPr>
                <w:spacing w:val="-3"/>
                <w:sz w:val="18"/>
              </w:rPr>
              <w:t> </w:t>
            </w:r>
            <w:r>
              <w:rPr>
                <w:sz w:val="18"/>
              </w:rPr>
              <w:t>No</w:t>
            </w:r>
            <w:r>
              <w:rPr>
                <w:spacing w:val="-3"/>
                <w:sz w:val="18"/>
              </w:rPr>
              <w:t> </w:t>
            </w:r>
            <w:r>
              <w:rPr>
                <w:sz w:val="18"/>
              </w:rPr>
              <w:t>progress</w:t>
            </w:r>
            <w:r>
              <w:rPr>
                <w:spacing w:val="-3"/>
                <w:sz w:val="18"/>
              </w:rPr>
              <w:t> </w:t>
            </w:r>
            <w:r>
              <w:rPr>
                <w:sz w:val="18"/>
              </w:rPr>
              <w:t>□</w:t>
            </w:r>
            <w:r>
              <w:rPr>
                <w:spacing w:val="-5"/>
                <w:sz w:val="18"/>
              </w:rPr>
              <w:t> </w:t>
            </w:r>
            <w:r>
              <w:rPr>
                <w:sz w:val="18"/>
              </w:rPr>
              <w:t>Worse</w:t>
            </w:r>
          </w:p>
        </w:tc>
      </w:tr>
      <w:tr>
        <w:trPr>
          <w:trHeight w:val="220" w:hRule="atLeast"/>
        </w:trPr>
        <w:tc>
          <w:tcPr>
            <w:tcW w:w="989" w:type="dxa"/>
          </w:tcPr>
          <w:p>
            <w:pPr>
              <w:pStyle w:val="TableParagraph"/>
              <w:spacing w:line="200" w:lineRule="exact"/>
              <w:ind w:left="107"/>
              <w:rPr>
                <w:sz w:val="18"/>
              </w:rPr>
            </w:pPr>
            <w:r>
              <w:rPr>
                <w:sz w:val="18"/>
              </w:rPr>
              <w:t>Q26</w:t>
            </w:r>
          </w:p>
        </w:tc>
        <w:tc>
          <w:tcPr>
            <w:tcW w:w="1274" w:type="dxa"/>
          </w:tcPr>
          <w:p>
            <w:pPr>
              <w:pStyle w:val="TableParagraph"/>
              <w:rPr>
                <w:rFonts w:ascii="Times New Roman"/>
                <w:sz w:val="14"/>
              </w:rPr>
            </w:pPr>
          </w:p>
        </w:tc>
        <w:tc>
          <w:tcPr>
            <w:tcW w:w="708" w:type="dxa"/>
          </w:tcPr>
          <w:p>
            <w:pPr>
              <w:pStyle w:val="TableParagraph"/>
              <w:rPr>
                <w:rFonts w:ascii="Times New Roman"/>
                <w:sz w:val="14"/>
              </w:rPr>
            </w:pPr>
          </w:p>
        </w:tc>
        <w:tc>
          <w:tcPr>
            <w:tcW w:w="851" w:type="dxa"/>
          </w:tcPr>
          <w:p>
            <w:pPr>
              <w:pStyle w:val="TableParagraph"/>
              <w:rPr>
                <w:rFonts w:ascii="Times New Roman"/>
                <w:sz w:val="14"/>
              </w:rPr>
            </w:pPr>
          </w:p>
        </w:tc>
        <w:tc>
          <w:tcPr>
            <w:tcW w:w="6238" w:type="dxa"/>
          </w:tcPr>
          <w:p>
            <w:pPr>
              <w:pStyle w:val="TableParagraph"/>
              <w:spacing w:line="200" w:lineRule="exact"/>
              <w:ind w:left="110"/>
              <w:rPr>
                <w:sz w:val="18"/>
              </w:rPr>
            </w:pPr>
            <w:r>
              <w:rPr>
                <w:sz w:val="18"/>
              </w:rPr>
              <w:t>□</w:t>
            </w:r>
            <w:r>
              <w:rPr>
                <w:spacing w:val="-4"/>
                <w:sz w:val="18"/>
              </w:rPr>
              <w:t> </w:t>
            </w:r>
            <w:r>
              <w:rPr>
                <w:sz w:val="18"/>
              </w:rPr>
              <w:t>Significant</w:t>
            </w:r>
            <w:r>
              <w:rPr>
                <w:spacing w:val="-4"/>
                <w:sz w:val="18"/>
              </w:rPr>
              <w:t> </w:t>
            </w:r>
            <w:r>
              <w:rPr>
                <w:sz w:val="18"/>
              </w:rPr>
              <w:t>progress</w:t>
            </w:r>
            <w:r>
              <w:rPr>
                <w:spacing w:val="-3"/>
                <w:sz w:val="18"/>
              </w:rPr>
              <w:t> </w:t>
            </w:r>
            <w:r>
              <w:rPr>
                <w:sz w:val="18"/>
              </w:rPr>
              <w:t>□</w:t>
            </w:r>
            <w:r>
              <w:rPr>
                <w:spacing w:val="-3"/>
                <w:sz w:val="18"/>
              </w:rPr>
              <w:t> </w:t>
            </w:r>
            <w:r>
              <w:rPr>
                <w:sz w:val="18"/>
              </w:rPr>
              <w:t>Some</w:t>
            </w:r>
            <w:r>
              <w:rPr>
                <w:spacing w:val="-2"/>
                <w:sz w:val="18"/>
              </w:rPr>
              <w:t> </w:t>
            </w:r>
            <w:r>
              <w:rPr>
                <w:sz w:val="18"/>
              </w:rPr>
              <w:t>progress</w:t>
            </w:r>
            <w:r>
              <w:rPr>
                <w:spacing w:val="-3"/>
                <w:sz w:val="18"/>
              </w:rPr>
              <w:t> </w:t>
            </w:r>
            <w:r>
              <w:rPr>
                <w:sz w:val="18"/>
              </w:rPr>
              <w:t>□</w:t>
            </w:r>
            <w:r>
              <w:rPr>
                <w:spacing w:val="-3"/>
                <w:sz w:val="18"/>
              </w:rPr>
              <w:t> </w:t>
            </w:r>
            <w:r>
              <w:rPr>
                <w:sz w:val="18"/>
              </w:rPr>
              <w:t>No</w:t>
            </w:r>
            <w:r>
              <w:rPr>
                <w:spacing w:val="-3"/>
                <w:sz w:val="18"/>
              </w:rPr>
              <w:t> </w:t>
            </w:r>
            <w:r>
              <w:rPr>
                <w:sz w:val="18"/>
              </w:rPr>
              <w:t>progress</w:t>
            </w:r>
            <w:r>
              <w:rPr>
                <w:spacing w:val="-3"/>
                <w:sz w:val="18"/>
              </w:rPr>
              <w:t> </w:t>
            </w:r>
            <w:r>
              <w:rPr>
                <w:sz w:val="18"/>
              </w:rPr>
              <w:t>□</w:t>
            </w:r>
            <w:r>
              <w:rPr>
                <w:spacing w:val="-5"/>
                <w:sz w:val="18"/>
              </w:rPr>
              <w:t> </w:t>
            </w:r>
            <w:r>
              <w:rPr>
                <w:sz w:val="18"/>
              </w:rPr>
              <w:t>Worse</w:t>
            </w:r>
          </w:p>
        </w:tc>
      </w:tr>
      <w:tr>
        <w:trPr>
          <w:trHeight w:val="220" w:hRule="atLeast"/>
        </w:trPr>
        <w:tc>
          <w:tcPr>
            <w:tcW w:w="989" w:type="dxa"/>
          </w:tcPr>
          <w:p>
            <w:pPr>
              <w:pStyle w:val="TableParagraph"/>
              <w:spacing w:line="200" w:lineRule="exact"/>
              <w:ind w:left="107"/>
              <w:rPr>
                <w:sz w:val="18"/>
              </w:rPr>
            </w:pPr>
            <w:r>
              <w:rPr>
                <w:sz w:val="18"/>
              </w:rPr>
              <w:t>Q27</w:t>
            </w:r>
          </w:p>
        </w:tc>
        <w:tc>
          <w:tcPr>
            <w:tcW w:w="1274" w:type="dxa"/>
          </w:tcPr>
          <w:p>
            <w:pPr>
              <w:pStyle w:val="TableParagraph"/>
              <w:rPr>
                <w:rFonts w:ascii="Times New Roman"/>
                <w:sz w:val="14"/>
              </w:rPr>
            </w:pPr>
          </w:p>
        </w:tc>
        <w:tc>
          <w:tcPr>
            <w:tcW w:w="708" w:type="dxa"/>
          </w:tcPr>
          <w:p>
            <w:pPr>
              <w:pStyle w:val="TableParagraph"/>
              <w:rPr>
                <w:rFonts w:ascii="Times New Roman"/>
                <w:sz w:val="14"/>
              </w:rPr>
            </w:pPr>
          </w:p>
        </w:tc>
        <w:tc>
          <w:tcPr>
            <w:tcW w:w="851" w:type="dxa"/>
          </w:tcPr>
          <w:p>
            <w:pPr>
              <w:pStyle w:val="TableParagraph"/>
              <w:rPr>
                <w:rFonts w:ascii="Times New Roman"/>
                <w:sz w:val="14"/>
              </w:rPr>
            </w:pPr>
          </w:p>
        </w:tc>
        <w:tc>
          <w:tcPr>
            <w:tcW w:w="6238" w:type="dxa"/>
          </w:tcPr>
          <w:p>
            <w:pPr>
              <w:pStyle w:val="TableParagraph"/>
              <w:spacing w:line="200" w:lineRule="exact"/>
              <w:ind w:left="110"/>
              <w:rPr>
                <w:sz w:val="18"/>
              </w:rPr>
            </w:pPr>
            <w:r>
              <w:rPr>
                <w:sz w:val="18"/>
              </w:rPr>
              <w:t>□</w:t>
            </w:r>
            <w:r>
              <w:rPr>
                <w:spacing w:val="-4"/>
                <w:sz w:val="18"/>
              </w:rPr>
              <w:t> </w:t>
            </w:r>
            <w:r>
              <w:rPr>
                <w:sz w:val="18"/>
              </w:rPr>
              <w:t>Significant</w:t>
            </w:r>
            <w:r>
              <w:rPr>
                <w:spacing w:val="-4"/>
                <w:sz w:val="18"/>
              </w:rPr>
              <w:t> </w:t>
            </w:r>
            <w:r>
              <w:rPr>
                <w:sz w:val="18"/>
              </w:rPr>
              <w:t>progress</w:t>
            </w:r>
            <w:r>
              <w:rPr>
                <w:spacing w:val="-3"/>
                <w:sz w:val="18"/>
              </w:rPr>
              <w:t> </w:t>
            </w:r>
            <w:r>
              <w:rPr>
                <w:sz w:val="18"/>
              </w:rPr>
              <w:t>□</w:t>
            </w:r>
            <w:r>
              <w:rPr>
                <w:spacing w:val="-3"/>
                <w:sz w:val="18"/>
              </w:rPr>
              <w:t> </w:t>
            </w:r>
            <w:r>
              <w:rPr>
                <w:sz w:val="18"/>
              </w:rPr>
              <w:t>Some</w:t>
            </w:r>
            <w:r>
              <w:rPr>
                <w:spacing w:val="-2"/>
                <w:sz w:val="18"/>
              </w:rPr>
              <w:t> </w:t>
            </w:r>
            <w:r>
              <w:rPr>
                <w:sz w:val="18"/>
              </w:rPr>
              <w:t>progress</w:t>
            </w:r>
            <w:r>
              <w:rPr>
                <w:spacing w:val="-3"/>
                <w:sz w:val="18"/>
              </w:rPr>
              <w:t> </w:t>
            </w:r>
            <w:r>
              <w:rPr>
                <w:sz w:val="18"/>
              </w:rPr>
              <w:t>□</w:t>
            </w:r>
            <w:r>
              <w:rPr>
                <w:spacing w:val="-3"/>
                <w:sz w:val="18"/>
              </w:rPr>
              <w:t> </w:t>
            </w:r>
            <w:r>
              <w:rPr>
                <w:sz w:val="18"/>
              </w:rPr>
              <w:t>No progress</w:t>
            </w:r>
            <w:r>
              <w:rPr>
                <w:spacing w:val="-3"/>
                <w:sz w:val="18"/>
              </w:rPr>
              <w:t> </w:t>
            </w:r>
            <w:r>
              <w:rPr>
                <w:sz w:val="18"/>
              </w:rPr>
              <w:t>□</w:t>
            </w:r>
            <w:r>
              <w:rPr>
                <w:spacing w:val="-5"/>
                <w:sz w:val="18"/>
              </w:rPr>
              <w:t> </w:t>
            </w:r>
            <w:r>
              <w:rPr>
                <w:sz w:val="18"/>
              </w:rPr>
              <w:t>Worse</w:t>
            </w:r>
          </w:p>
        </w:tc>
      </w:tr>
      <w:tr>
        <w:trPr>
          <w:trHeight w:val="220" w:hRule="atLeast"/>
        </w:trPr>
        <w:tc>
          <w:tcPr>
            <w:tcW w:w="989" w:type="dxa"/>
          </w:tcPr>
          <w:p>
            <w:pPr>
              <w:pStyle w:val="TableParagraph"/>
              <w:spacing w:line="200" w:lineRule="exact"/>
              <w:ind w:left="107"/>
              <w:rPr>
                <w:sz w:val="18"/>
              </w:rPr>
            </w:pPr>
            <w:r>
              <w:rPr>
                <w:sz w:val="18"/>
              </w:rPr>
              <w:t>Q28</w:t>
            </w:r>
          </w:p>
        </w:tc>
        <w:tc>
          <w:tcPr>
            <w:tcW w:w="1274" w:type="dxa"/>
          </w:tcPr>
          <w:p>
            <w:pPr>
              <w:pStyle w:val="TableParagraph"/>
              <w:rPr>
                <w:rFonts w:ascii="Times New Roman"/>
                <w:sz w:val="14"/>
              </w:rPr>
            </w:pPr>
          </w:p>
        </w:tc>
        <w:tc>
          <w:tcPr>
            <w:tcW w:w="708" w:type="dxa"/>
          </w:tcPr>
          <w:p>
            <w:pPr>
              <w:pStyle w:val="TableParagraph"/>
              <w:rPr>
                <w:rFonts w:ascii="Times New Roman"/>
                <w:sz w:val="14"/>
              </w:rPr>
            </w:pPr>
          </w:p>
        </w:tc>
        <w:tc>
          <w:tcPr>
            <w:tcW w:w="851" w:type="dxa"/>
          </w:tcPr>
          <w:p>
            <w:pPr>
              <w:pStyle w:val="TableParagraph"/>
              <w:rPr>
                <w:rFonts w:ascii="Times New Roman"/>
                <w:sz w:val="14"/>
              </w:rPr>
            </w:pPr>
          </w:p>
        </w:tc>
        <w:tc>
          <w:tcPr>
            <w:tcW w:w="6238" w:type="dxa"/>
          </w:tcPr>
          <w:p>
            <w:pPr>
              <w:pStyle w:val="TableParagraph"/>
              <w:spacing w:line="200" w:lineRule="exact"/>
              <w:ind w:left="110"/>
              <w:rPr>
                <w:sz w:val="18"/>
              </w:rPr>
            </w:pPr>
            <w:r>
              <w:rPr>
                <w:sz w:val="18"/>
              </w:rPr>
              <w:t>□</w:t>
            </w:r>
            <w:r>
              <w:rPr>
                <w:spacing w:val="-4"/>
                <w:sz w:val="18"/>
              </w:rPr>
              <w:t> </w:t>
            </w:r>
            <w:r>
              <w:rPr>
                <w:sz w:val="18"/>
              </w:rPr>
              <w:t>Significant</w:t>
            </w:r>
            <w:r>
              <w:rPr>
                <w:spacing w:val="-4"/>
                <w:sz w:val="18"/>
              </w:rPr>
              <w:t> </w:t>
            </w:r>
            <w:r>
              <w:rPr>
                <w:sz w:val="18"/>
              </w:rPr>
              <w:t>progress</w:t>
            </w:r>
            <w:r>
              <w:rPr>
                <w:spacing w:val="-3"/>
                <w:sz w:val="18"/>
              </w:rPr>
              <w:t> </w:t>
            </w:r>
            <w:r>
              <w:rPr>
                <w:sz w:val="18"/>
              </w:rPr>
              <w:t>□</w:t>
            </w:r>
            <w:r>
              <w:rPr>
                <w:spacing w:val="-3"/>
                <w:sz w:val="18"/>
              </w:rPr>
              <w:t> </w:t>
            </w:r>
            <w:r>
              <w:rPr>
                <w:sz w:val="18"/>
              </w:rPr>
              <w:t>Some</w:t>
            </w:r>
            <w:r>
              <w:rPr>
                <w:spacing w:val="-2"/>
                <w:sz w:val="18"/>
              </w:rPr>
              <w:t> </w:t>
            </w:r>
            <w:r>
              <w:rPr>
                <w:sz w:val="18"/>
              </w:rPr>
              <w:t>progress</w:t>
            </w:r>
            <w:r>
              <w:rPr>
                <w:spacing w:val="-3"/>
                <w:sz w:val="18"/>
              </w:rPr>
              <w:t> </w:t>
            </w:r>
            <w:r>
              <w:rPr>
                <w:sz w:val="18"/>
              </w:rPr>
              <w:t>□</w:t>
            </w:r>
            <w:r>
              <w:rPr>
                <w:spacing w:val="-3"/>
                <w:sz w:val="18"/>
              </w:rPr>
              <w:t> </w:t>
            </w:r>
            <w:r>
              <w:rPr>
                <w:sz w:val="18"/>
              </w:rPr>
              <w:t>No</w:t>
            </w:r>
            <w:r>
              <w:rPr>
                <w:spacing w:val="-3"/>
                <w:sz w:val="18"/>
              </w:rPr>
              <w:t> </w:t>
            </w:r>
            <w:r>
              <w:rPr>
                <w:sz w:val="18"/>
              </w:rPr>
              <w:t>progress</w:t>
            </w:r>
            <w:r>
              <w:rPr>
                <w:spacing w:val="-3"/>
                <w:sz w:val="18"/>
              </w:rPr>
              <w:t> </w:t>
            </w:r>
            <w:r>
              <w:rPr>
                <w:sz w:val="18"/>
              </w:rPr>
              <w:t>□</w:t>
            </w:r>
            <w:r>
              <w:rPr>
                <w:spacing w:val="-5"/>
                <w:sz w:val="18"/>
              </w:rPr>
              <w:t> </w:t>
            </w:r>
            <w:r>
              <w:rPr>
                <w:sz w:val="18"/>
              </w:rPr>
              <w:t>Worse</w:t>
            </w:r>
          </w:p>
        </w:tc>
      </w:tr>
      <w:tr>
        <w:trPr>
          <w:trHeight w:val="220" w:hRule="atLeast"/>
        </w:trPr>
        <w:tc>
          <w:tcPr>
            <w:tcW w:w="989" w:type="dxa"/>
          </w:tcPr>
          <w:p>
            <w:pPr>
              <w:pStyle w:val="TableParagraph"/>
              <w:spacing w:line="200" w:lineRule="exact"/>
              <w:ind w:left="107"/>
              <w:rPr>
                <w:sz w:val="18"/>
              </w:rPr>
            </w:pPr>
            <w:r>
              <w:rPr>
                <w:sz w:val="18"/>
              </w:rPr>
              <w:t>Q29</w:t>
            </w:r>
          </w:p>
        </w:tc>
        <w:tc>
          <w:tcPr>
            <w:tcW w:w="1274" w:type="dxa"/>
          </w:tcPr>
          <w:p>
            <w:pPr>
              <w:pStyle w:val="TableParagraph"/>
              <w:rPr>
                <w:rFonts w:ascii="Times New Roman"/>
                <w:sz w:val="14"/>
              </w:rPr>
            </w:pPr>
          </w:p>
        </w:tc>
        <w:tc>
          <w:tcPr>
            <w:tcW w:w="708" w:type="dxa"/>
          </w:tcPr>
          <w:p>
            <w:pPr>
              <w:pStyle w:val="TableParagraph"/>
              <w:rPr>
                <w:rFonts w:ascii="Times New Roman"/>
                <w:sz w:val="14"/>
              </w:rPr>
            </w:pPr>
          </w:p>
        </w:tc>
        <w:tc>
          <w:tcPr>
            <w:tcW w:w="851" w:type="dxa"/>
          </w:tcPr>
          <w:p>
            <w:pPr>
              <w:pStyle w:val="TableParagraph"/>
              <w:rPr>
                <w:rFonts w:ascii="Times New Roman"/>
                <w:sz w:val="14"/>
              </w:rPr>
            </w:pPr>
          </w:p>
        </w:tc>
        <w:tc>
          <w:tcPr>
            <w:tcW w:w="6238" w:type="dxa"/>
          </w:tcPr>
          <w:p>
            <w:pPr>
              <w:pStyle w:val="TableParagraph"/>
              <w:spacing w:line="200" w:lineRule="exact"/>
              <w:ind w:left="110"/>
              <w:rPr>
                <w:sz w:val="18"/>
              </w:rPr>
            </w:pPr>
            <w:r>
              <w:rPr>
                <w:sz w:val="18"/>
              </w:rPr>
              <w:t>□</w:t>
            </w:r>
            <w:r>
              <w:rPr>
                <w:spacing w:val="-4"/>
                <w:sz w:val="18"/>
              </w:rPr>
              <w:t> </w:t>
            </w:r>
            <w:r>
              <w:rPr>
                <w:sz w:val="18"/>
              </w:rPr>
              <w:t>Significant</w:t>
            </w:r>
            <w:r>
              <w:rPr>
                <w:spacing w:val="-4"/>
                <w:sz w:val="18"/>
              </w:rPr>
              <w:t> </w:t>
            </w:r>
            <w:r>
              <w:rPr>
                <w:sz w:val="18"/>
              </w:rPr>
              <w:t>progress</w:t>
            </w:r>
            <w:r>
              <w:rPr>
                <w:spacing w:val="-3"/>
                <w:sz w:val="18"/>
              </w:rPr>
              <w:t> </w:t>
            </w:r>
            <w:r>
              <w:rPr>
                <w:sz w:val="18"/>
              </w:rPr>
              <w:t>□</w:t>
            </w:r>
            <w:r>
              <w:rPr>
                <w:spacing w:val="-3"/>
                <w:sz w:val="18"/>
              </w:rPr>
              <w:t> </w:t>
            </w:r>
            <w:r>
              <w:rPr>
                <w:sz w:val="18"/>
              </w:rPr>
              <w:t>Some</w:t>
            </w:r>
            <w:r>
              <w:rPr>
                <w:spacing w:val="-2"/>
                <w:sz w:val="18"/>
              </w:rPr>
              <w:t> </w:t>
            </w:r>
            <w:r>
              <w:rPr>
                <w:sz w:val="18"/>
              </w:rPr>
              <w:t>progress</w:t>
            </w:r>
            <w:r>
              <w:rPr>
                <w:spacing w:val="-3"/>
                <w:sz w:val="18"/>
              </w:rPr>
              <w:t> </w:t>
            </w:r>
            <w:r>
              <w:rPr>
                <w:sz w:val="18"/>
              </w:rPr>
              <w:t>□</w:t>
            </w:r>
            <w:r>
              <w:rPr>
                <w:spacing w:val="-3"/>
                <w:sz w:val="18"/>
              </w:rPr>
              <w:t> </w:t>
            </w:r>
            <w:r>
              <w:rPr>
                <w:sz w:val="18"/>
              </w:rPr>
              <w:t>No</w:t>
            </w:r>
            <w:r>
              <w:rPr>
                <w:spacing w:val="-3"/>
                <w:sz w:val="18"/>
              </w:rPr>
              <w:t> </w:t>
            </w:r>
            <w:r>
              <w:rPr>
                <w:sz w:val="18"/>
              </w:rPr>
              <w:t>progress</w:t>
            </w:r>
            <w:r>
              <w:rPr>
                <w:spacing w:val="-3"/>
                <w:sz w:val="18"/>
              </w:rPr>
              <w:t> </w:t>
            </w:r>
            <w:r>
              <w:rPr>
                <w:sz w:val="18"/>
              </w:rPr>
              <w:t>□</w:t>
            </w:r>
            <w:r>
              <w:rPr>
                <w:spacing w:val="-5"/>
                <w:sz w:val="18"/>
              </w:rPr>
              <w:t> </w:t>
            </w:r>
            <w:r>
              <w:rPr>
                <w:sz w:val="18"/>
              </w:rPr>
              <w:t>Worse</w:t>
            </w:r>
          </w:p>
        </w:tc>
      </w:tr>
      <w:tr>
        <w:trPr>
          <w:trHeight w:val="220" w:hRule="atLeast"/>
        </w:trPr>
        <w:tc>
          <w:tcPr>
            <w:tcW w:w="989" w:type="dxa"/>
          </w:tcPr>
          <w:p>
            <w:pPr>
              <w:pStyle w:val="TableParagraph"/>
              <w:spacing w:line="200" w:lineRule="exact"/>
              <w:ind w:left="107"/>
              <w:rPr>
                <w:sz w:val="18"/>
              </w:rPr>
            </w:pPr>
            <w:r>
              <w:rPr>
                <w:sz w:val="18"/>
              </w:rPr>
              <w:t>Q30</w:t>
            </w:r>
          </w:p>
        </w:tc>
        <w:tc>
          <w:tcPr>
            <w:tcW w:w="1274" w:type="dxa"/>
          </w:tcPr>
          <w:p>
            <w:pPr>
              <w:pStyle w:val="TableParagraph"/>
              <w:rPr>
                <w:rFonts w:ascii="Times New Roman"/>
                <w:sz w:val="14"/>
              </w:rPr>
            </w:pPr>
          </w:p>
        </w:tc>
        <w:tc>
          <w:tcPr>
            <w:tcW w:w="708" w:type="dxa"/>
          </w:tcPr>
          <w:p>
            <w:pPr>
              <w:pStyle w:val="TableParagraph"/>
              <w:rPr>
                <w:rFonts w:ascii="Times New Roman"/>
                <w:sz w:val="14"/>
              </w:rPr>
            </w:pPr>
          </w:p>
        </w:tc>
        <w:tc>
          <w:tcPr>
            <w:tcW w:w="851" w:type="dxa"/>
          </w:tcPr>
          <w:p>
            <w:pPr>
              <w:pStyle w:val="TableParagraph"/>
              <w:rPr>
                <w:rFonts w:ascii="Times New Roman"/>
                <w:sz w:val="14"/>
              </w:rPr>
            </w:pPr>
          </w:p>
        </w:tc>
        <w:tc>
          <w:tcPr>
            <w:tcW w:w="6238" w:type="dxa"/>
          </w:tcPr>
          <w:p>
            <w:pPr>
              <w:pStyle w:val="TableParagraph"/>
              <w:spacing w:line="200" w:lineRule="exact"/>
              <w:ind w:left="110"/>
              <w:rPr>
                <w:sz w:val="18"/>
              </w:rPr>
            </w:pPr>
            <w:r>
              <w:rPr>
                <w:sz w:val="18"/>
              </w:rPr>
              <w:t>□</w:t>
            </w:r>
            <w:r>
              <w:rPr>
                <w:spacing w:val="-4"/>
                <w:sz w:val="18"/>
              </w:rPr>
              <w:t> </w:t>
            </w:r>
            <w:r>
              <w:rPr>
                <w:sz w:val="18"/>
              </w:rPr>
              <w:t>Significant</w:t>
            </w:r>
            <w:r>
              <w:rPr>
                <w:spacing w:val="-4"/>
                <w:sz w:val="18"/>
              </w:rPr>
              <w:t> </w:t>
            </w:r>
            <w:r>
              <w:rPr>
                <w:sz w:val="18"/>
              </w:rPr>
              <w:t>progress</w:t>
            </w:r>
            <w:r>
              <w:rPr>
                <w:spacing w:val="-3"/>
                <w:sz w:val="18"/>
              </w:rPr>
              <w:t> </w:t>
            </w:r>
            <w:r>
              <w:rPr>
                <w:sz w:val="18"/>
              </w:rPr>
              <w:t>□</w:t>
            </w:r>
            <w:r>
              <w:rPr>
                <w:spacing w:val="-3"/>
                <w:sz w:val="18"/>
              </w:rPr>
              <w:t> </w:t>
            </w:r>
            <w:r>
              <w:rPr>
                <w:sz w:val="18"/>
              </w:rPr>
              <w:t>Some</w:t>
            </w:r>
            <w:r>
              <w:rPr>
                <w:spacing w:val="-2"/>
                <w:sz w:val="18"/>
              </w:rPr>
              <w:t> </w:t>
            </w:r>
            <w:r>
              <w:rPr>
                <w:sz w:val="18"/>
              </w:rPr>
              <w:t>progress</w:t>
            </w:r>
            <w:r>
              <w:rPr>
                <w:spacing w:val="-3"/>
                <w:sz w:val="18"/>
              </w:rPr>
              <w:t> </w:t>
            </w:r>
            <w:r>
              <w:rPr>
                <w:sz w:val="18"/>
              </w:rPr>
              <w:t>□</w:t>
            </w:r>
            <w:r>
              <w:rPr>
                <w:spacing w:val="-3"/>
                <w:sz w:val="18"/>
              </w:rPr>
              <w:t> </w:t>
            </w:r>
            <w:r>
              <w:rPr>
                <w:sz w:val="18"/>
              </w:rPr>
              <w:t>No</w:t>
            </w:r>
            <w:r>
              <w:rPr>
                <w:spacing w:val="-3"/>
                <w:sz w:val="18"/>
              </w:rPr>
              <w:t> </w:t>
            </w:r>
            <w:r>
              <w:rPr>
                <w:sz w:val="18"/>
              </w:rPr>
              <w:t>progress</w:t>
            </w:r>
            <w:r>
              <w:rPr>
                <w:spacing w:val="-3"/>
                <w:sz w:val="18"/>
              </w:rPr>
              <w:t> </w:t>
            </w:r>
            <w:r>
              <w:rPr>
                <w:sz w:val="18"/>
              </w:rPr>
              <w:t>□</w:t>
            </w:r>
            <w:r>
              <w:rPr>
                <w:spacing w:val="-5"/>
                <w:sz w:val="18"/>
              </w:rPr>
              <w:t> </w:t>
            </w:r>
            <w:r>
              <w:rPr>
                <w:sz w:val="18"/>
              </w:rPr>
              <w:t>Worse</w:t>
            </w:r>
          </w:p>
        </w:tc>
      </w:tr>
      <w:tr>
        <w:trPr>
          <w:trHeight w:val="220" w:hRule="atLeast"/>
        </w:trPr>
        <w:tc>
          <w:tcPr>
            <w:tcW w:w="989" w:type="dxa"/>
          </w:tcPr>
          <w:p>
            <w:pPr>
              <w:pStyle w:val="TableParagraph"/>
              <w:spacing w:line="201" w:lineRule="exact"/>
              <w:ind w:left="107"/>
              <w:rPr>
                <w:sz w:val="18"/>
              </w:rPr>
            </w:pPr>
            <w:r>
              <w:rPr>
                <w:sz w:val="18"/>
              </w:rPr>
              <w:t>Q31</w:t>
            </w:r>
          </w:p>
        </w:tc>
        <w:tc>
          <w:tcPr>
            <w:tcW w:w="1274" w:type="dxa"/>
          </w:tcPr>
          <w:p>
            <w:pPr>
              <w:pStyle w:val="TableParagraph"/>
              <w:rPr>
                <w:rFonts w:ascii="Times New Roman"/>
                <w:sz w:val="14"/>
              </w:rPr>
            </w:pPr>
          </w:p>
        </w:tc>
        <w:tc>
          <w:tcPr>
            <w:tcW w:w="708" w:type="dxa"/>
          </w:tcPr>
          <w:p>
            <w:pPr>
              <w:pStyle w:val="TableParagraph"/>
              <w:rPr>
                <w:rFonts w:ascii="Times New Roman"/>
                <w:sz w:val="14"/>
              </w:rPr>
            </w:pPr>
          </w:p>
        </w:tc>
        <w:tc>
          <w:tcPr>
            <w:tcW w:w="851" w:type="dxa"/>
          </w:tcPr>
          <w:p>
            <w:pPr>
              <w:pStyle w:val="TableParagraph"/>
              <w:rPr>
                <w:rFonts w:ascii="Times New Roman"/>
                <w:sz w:val="14"/>
              </w:rPr>
            </w:pPr>
          </w:p>
        </w:tc>
        <w:tc>
          <w:tcPr>
            <w:tcW w:w="6238" w:type="dxa"/>
          </w:tcPr>
          <w:p>
            <w:pPr>
              <w:pStyle w:val="TableParagraph"/>
              <w:spacing w:line="201" w:lineRule="exact"/>
              <w:ind w:left="110"/>
              <w:rPr>
                <w:sz w:val="18"/>
              </w:rPr>
            </w:pPr>
            <w:r>
              <w:rPr>
                <w:sz w:val="18"/>
              </w:rPr>
              <w:t>□</w:t>
            </w:r>
            <w:r>
              <w:rPr>
                <w:spacing w:val="-4"/>
                <w:sz w:val="18"/>
              </w:rPr>
              <w:t> </w:t>
            </w:r>
            <w:r>
              <w:rPr>
                <w:sz w:val="18"/>
              </w:rPr>
              <w:t>Significant</w:t>
            </w:r>
            <w:r>
              <w:rPr>
                <w:spacing w:val="-4"/>
                <w:sz w:val="18"/>
              </w:rPr>
              <w:t> </w:t>
            </w:r>
            <w:r>
              <w:rPr>
                <w:sz w:val="18"/>
              </w:rPr>
              <w:t>progress</w:t>
            </w:r>
            <w:r>
              <w:rPr>
                <w:spacing w:val="-3"/>
                <w:sz w:val="18"/>
              </w:rPr>
              <w:t> </w:t>
            </w:r>
            <w:r>
              <w:rPr>
                <w:sz w:val="18"/>
              </w:rPr>
              <w:t>□</w:t>
            </w:r>
            <w:r>
              <w:rPr>
                <w:spacing w:val="-3"/>
                <w:sz w:val="18"/>
              </w:rPr>
              <w:t> </w:t>
            </w:r>
            <w:r>
              <w:rPr>
                <w:sz w:val="18"/>
              </w:rPr>
              <w:t>Some</w:t>
            </w:r>
            <w:r>
              <w:rPr>
                <w:spacing w:val="-2"/>
                <w:sz w:val="18"/>
              </w:rPr>
              <w:t> </w:t>
            </w:r>
            <w:r>
              <w:rPr>
                <w:sz w:val="18"/>
              </w:rPr>
              <w:t>progress</w:t>
            </w:r>
            <w:r>
              <w:rPr>
                <w:spacing w:val="-3"/>
                <w:sz w:val="18"/>
              </w:rPr>
              <w:t> </w:t>
            </w:r>
            <w:r>
              <w:rPr>
                <w:sz w:val="18"/>
              </w:rPr>
              <w:t>□</w:t>
            </w:r>
            <w:r>
              <w:rPr>
                <w:spacing w:val="-3"/>
                <w:sz w:val="18"/>
              </w:rPr>
              <w:t> </w:t>
            </w:r>
            <w:r>
              <w:rPr>
                <w:sz w:val="18"/>
              </w:rPr>
              <w:t>No</w:t>
            </w:r>
            <w:r>
              <w:rPr>
                <w:spacing w:val="-3"/>
                <w:sz w:val="18"/>
              </w:rPr>
              <w:t> </w:t>
            </w:r>
            <w:r>
              <w:rPr>
                <w:sz w:val="18"/>
              </w:rPr>
              <w:t>progress</w:t>
            </w:r>
            <w:r>
              <w:rPr>
                <w:spacing w:val="-3"/>
                <w:sz w:val="18"/>
              </w:rPr>
              <w:t> </w:t>
            </w:r>
            <w:r>
              <w:rPr>
                <w:sz w:val="18"/>
              </w:rPr>
              <w:t>□</w:t>
            </w:r>
            <w:r>
              <w:rPr>
                <w:spacing w:val="-5"/>
                <w:sz w:val="18"/>
              </w:rPr>
              <w:t> </w:t>
            </w:r>
            <w:r>
              <w:rPr>
                <w:sz w:val="18"/>
              </w:rPr>
              <w:t>Worse</w:t>
            </w:r>
          </w:p>
        </w:tc>
      </w:tr>
      <w:tr>
        <w:trPr>
          <w:trHeight w:val="220" w:hRule="atLeast"/>
        </w:trPr>
        <w:tc>
          <w:tcPr>
            <w:tcW w:w="989" w:type="dxa"/>
          </w:tcPr>
          <w:p>
            <w:pPr>
              <w:pStyle w:val="TableParagraph"/>
              <w:spacing w:line="200" w:lineRule="exact"/>
              <w:ind w:left="107"/>
              <w:rPr>
                <w:sz w:val="18"/>
              </w:rPr>
            </w:pPr>
            <w:r>
              <w:rPr>
                <w:sz w:val="18"/>
              </w:rPr>
              <w:t>Q32</w:t>
            </w:r>
          </w:p>
        </w:tc>
        <w:tc>
          <w:tcPr>
            <w:tcW w:w="1274" w:type="dxa"/>
          </w:tcPr>
          <w:p>
            <w:pPr>
              <w:pStyle w:val="TableParagraph"/>
              <w:rPr>
                <w:rFonts w:ascii="Times New Roman"/>
                <w:sz w:val="14"/>
              </w:rPr>
            </w:pPr>
          </w:p>
        </w:tc>
        <w:tc>
          <w:tcPr>
            <w:tcW w:w="708" w:type="dxa"/>
          </w:tcPr>
          <w:p>
            <w:pPr>
              <w:pStyle w:val="TableParagraph"/>
              <w:rPr>
                <w:rFonts w:ascii="Times New Roman"/>
                <w:sz w:val="14"/>
              </w:rPr>
            </w:pPr>
          </w:p>
        </w:tc>
        <w:tc>
          <w:tcPr>
            <w:tcW w:w="851" w:type="dxa"/>
          </w:tcPr>
          <w:p>
            <w:pPr>
              <w:pStyle w:val="TableParagraph"/>
              <w:rPr>
                <w:rFonts w:ascii="Times New Roman"/>
                <w:sz w:val="14"/>
              </w:rPr>
            </w:pPr>
          </w:p>
        </w:tc>
        <w:tc>
          <w:tcPr>
            <w:tcW w:w="6238" w:type="dxa"/>
          </w:tcPr>
          <w:p>
            <w:pPr>
              <w:pStyle w:val="TableParagraph"/>
              <w:spacing w:line="200" w:lineRule="exact"/>
              <w:ind w:left="110"/>
              <w:rPr>
                <w:sz w:val="18"/>
              </w:rPr>
            </w:pPr>
            <w:r>
              <w:rPr>
                <w:sz w:val="18"/>
              </w:rPr>
              <w:t>□</w:t>
            </w:r>
            <w:r>
              <w:rPr>
                <w:spacing w:val="-4"/>
                <w:sz w:val="18"/>
              </w:rPr>
              <w:t> </w:t>
            </w:r>
            <w:r>
              <w:rPr>
                <w:sz w:val="18"/>
              </w:rPr>
              <w:t>Significant</w:t>
            </w:r>
            <w:r>
              <w:rPr>
                <w:spacing w:val="-4"/>
                <w:sz w:val="18"/>
              </w:rPr>
              <w:t> </w:t>
            </w:r>
            <w:r>
              <w:rPr>
                <w:sz w:val="18"/>
              </w:rPr>
              <w:t>progress</w:t>
            </w:r>
            <w:r>
              <w:rPr>
                <w:spacing w:val="-3"/>
                <w:sz w:val="18"/>
              </w:rPr>
              <w:t> </w:t>
            </w:r>
            <w:r>
              <w:rPr>
                <w:sz w:val="18"/>
              </w:rPr>
              <w:t>□</w:t>
            </w:r>
            <w:r>
              <w:rPr>
                <w:spacing w:val="-3"/>
                <w:sz w:val="18"/>
              </w:rPr>
              <w:t> </w:t>
            </w:r>
            <w:r>
              <w:rPr>
                <w:sz w:val="18"/>
              </w:rPr>
              <w:t>Some</w:t>
            </w:r>
            <w:r>
              <w:rPr>
                <w:spacing w:val="-2"/>
                <w:sz w:val="18"/>
              </w:rPr>
              <w:t> </w:t>
            </w:r>
            <w:r>
              <w:rPr>
                <w:sz w:val="18"/>
              </w:rPr>
              <w:t>progress</w:t>
            </w:r>
            <w:r>
              <w:rPr>
                <w:spacing w:val="-3"/>
                <w:sz w:val="18"/>
              </w:rPr>
              <w:t> </w:t>
            </w:r>
            <w:r>
              <w:rPr>
                <w:sz w:val="18"/>
              </w:rPr>
              <w:t>□</w:t>
            </w:r>
            <w:r>
              <w:rPr>
                <w:spacing w:val="-3"/>
                <w:sz w:val="18"/>
              </w:rPr>
              <w:t> </w:t>
            </w:r>
            <w:r>
              <w:rPr>
                <w:sz w:val="18"/>
              </w:rPr>
              <w:t>No</w:t>
            </w:r>
            <w:r>
              <w:rPr>
                <w:spacing w:val="-3"/>
                <w:sz w:val="18"/>
              </w:rPr>
              <w:t> </w:t>
            </w:r>
            <w:r>
              <w:rPr>
                <w:sz w:val="18"/>
              </w:rPr>
              <w:t>progress</w:t>
            </w:r>
            <w:r>
              <w:rPr>
                <w:spacing w:val="-3"/>
                <w:sz w:val="18"/>
              </w:rPr>
              <w:t> </w:t>
            </w:r>
            <w:r>
              <w:rPr>
                <w:sz w:val="18"/>
              </w:rPr>
              <w:t>□</w:t>
            </w:r>
            <w:r>
              <w:rPr>
                <w:spacing w:val="-5"/>
                <w:sz w:val="18"/>
              </w:rPr>
              <w:t> </w:t>
            </w:r>
            <w:r>
              <w:rPr>
                <w:sz w:val="18"/>
              </w:rPr>
              <w:t>Worse</w:t>
            </w:r>
          </w:p>
        </w:tc>
      </w:tr>
      <w:tr>
        <w:trPr>
          <w:trHeight w:val="222" w:hRule="atLeast"/>
        </w:trPr>
        <w:tc>
          <w:tcPr>
            <w:tcW w:w="989" w:type="dxa"/>
          </w:tcPr>
          <w:p>
            <w:pPr>
              <w:pStyle w:val="TableParagraph"/>
              <w:spacing w:line="202" w:lineRule="exact" w:before="1"/>
              <w:ind w:left="107"/>
              <w:rPr>
                <w:sz w:val="18"/>
              </w:rPr>
            </w:pPr>
            <w:r>
              <w:rPr>
                <w:sz w:val="18"/>
              </w:rPr>
              <w:t>Q33</w:t>
            </w:r>
          </w:p>
        </w:tc>
        <w:tc>
          <w:tcPr>
            <w:tcW w:w="1274" w:type="dxa"/>
          </w:tcPr>
          <w:p>
            <w:pPr>
              <w:pStyle w:val="TableParagraph"/>
              <w:rPr>
                <w:rFonts w:ascii="Times New Roman"/>
                <w:sz w:val="14"/>
              </w:rPr>
            </w:pPr>
          </w:p>
        </w:tc>
        <w:tc>
          <w:tcPr>
            <w:tcW w:w="708" w:type="dxa"/>
          </w:tcPr>
          <w:p>
            <w:pPr>
              <w:pStyle w:val="TableParagraph"/>
              <w:rPr>
                <w:rFonts w:ascii="Times New Roman"/>
                <w:sz w:val="14"/>
              </w:rPr>
            </w:pPr>
          </w:p>
        </w:tc>
        <w:tc>
          <w:tcPr>
            <w:tcW w:w="851" w:type="dxa"/>
          </w:tcPr>
          <w:p>
            <w:pPr>
              <w:pStyle w:val="TableParagraph"/>
              <w:rPr>
                <w:rFonts w:ascii="Times New Roman"/>
                <w:sz w:val="14"/>
              </w:rPr>
            </w:pPr>
          </w:p>
        </w:tc>
        <w:tc>
          <w:tcPr>
            <w:tcW w:w="6238" w:type="dxa"/>
          </w:tcPr>
          <w:p>
            <w:pPr>
              <w:pStyle w:val="TableParagraph"/>
              <w:spacing w:line="202" w:lineRule="exact" w:before="1"/>
              <w:ind w:left="110"/>
              <w:rPr>
                <w:sz w:val="18"/>
              </w:rPr>
            </w:pPr>
            <w:r>
              <w:rPr>
                <w:sz w:val="18"/>
              </w:rPr>
              <w:t>□</w:t>
            </w:r>
            <w:r>
              <w:rPr>
                <w:spacing w:val="-4"/>
                <w:sz w:val="18"/>
              </w:rPr>
              <w:t> </w:t>
            </w:r>
            <w:r>
              <w:rPr>
                <w:sz w:val="18"/>
              </w:rPr>
              <w:t>Significant</w:t>
            </w:r>
            <w:r>
              <w:rPr>
                <w:spacing w:val="-4"/>
                <w:sz w:val="18"/>
              </w:rPr>
              <w:t> </w:t>
            </w:r>
            <w:r>
              <w:rPr>
                <w:sz w:val="18"/>
              </w:rPr>
              <w:t>progress</w:t>
            </w:r>
            <w:r>
              <w:rPr>
                <w:spacing w:val="-3"/>
                <w:sz w:val="18"/>
              </w:rPr>
              <w:t> </w:t>
            </w:r>
            <w:r>
              <w:rPr>
                <w:sz w:val="18"/>
              </w:rPr>
              <w:t>□</w:t>
            </w:r>
            <w:r>
              <w:rPr>
                <w:spacing w:val="-3"/>
                <w:sz w:val="18"/>
              </w:rPr>
              <w:t> </w:t>
            </w:r>
            <w:r>
              <w:rPr>
                <w:sz w:val="18"/>
              </w:rPr>
              <w:t>Some</w:t>
            </w:r>
            <w:r>
              <w:rPr>
                <w:spacing w:val="-2"/>
                <w:sz w:val="18"/>
              </w:rPr>
              <w:t> </w:t>
            </w:r>
            <w:r>
              <w:rPr>
                <w:sz w:val="18"/>
              </w:rPr>
              <w:t>progress</w:t>
            </w:r>
            <w:r>
              <w:rPr>
                <w:spacing w:val="-3"/>
                <w:sz w:val="18"/>
              </w:rPr>
              <w:t> </w:t>
            </w:r>
            <w:r>
              <w:rPr>
                <w:sz w:val="18"/>
              </w:rPr>
              <w:t>□</w:t>
            </w:r>
            <w:r>
              <w:rPr>
                <w:spacing w:val="-3"/>
                <w:sz w:val="18"/>
              </w:rPr>
              <w:t> </w:t>
            </w:r>
            <w:r>
              <w:rPr>
                <w:sz w:val="18"/>
              </w:rPr>
              <w:t>No</w:t>
            </w:r>
            <w:r>
              <w:rPr>
                <w:spacing w:val="-3"/>
                <w:sz w:val="18"/>
              </w:rPr>
              <w:t> </w:t>
            </w:r>
            <w:r>
              <w:rPr>
                <w:sz w:val="18"/>
              </w:rPr>
              <w:t>progress</w:t>
            </w:r>
            <w:r>
              <w:rPr>
                <w:spacing w:val="-3"/>
                <w:sz w:val="18"/>
              </w:rPr>
              <w:t> </w:t>
            </w:r>
            <w:r>
              <w:rPr>
                <w:sz w:val="18"/>
              </w:rPr>
              <w:t>□</w:t>
            </w:r>
            <w:r>
              <w:rPr>
                <w:spacing w:val="-5"/>
                <w:sz w:val="18"/>
              </w:rPr>
              <w:t> </w:t>
            </w:r>
            <w:r>
              <w:rPr>
                <w:sz w:val="18"/>
              </w:rPr>
              <w:t>Worse</w:t>
            </w:r>
          </w:p>
        </w:tc>
      </w:tr>
      <w:tr>
        <w:trPr>
          <w:trHeight w:val="220" w:hRule="atLeast"/>
        </w:trPr>
        <w:tc>
          <w:tcPr>
            <w:tcW w:w="989" w:type="dxa"/>
          </w:tcPr>
          <w:p>
            <w:pPr>
              <w:pStyle w:val="TableParagraph"/>
              <w:spacing w:line="200" w:lineRule="exact"/>
              <w:ind w:left="107"/>
              <w:rPr>
                <w:sz w:val="18"/>
              </w:rPr>
            </w:pPr>
            <w:r>
              <w:rPr>
                <w:sz w:val="18"/>
              </w:rPr>
              <w:t>Q34</w:t>
            </w:r>
          </w:p>
        </w:tc>
        <w:tc>
          <w:tcPr>
            <w:tcW w:w="1274" w:type="dxa"/>
          </w:tcPr>
          <w:p>
            <w:pPr>
              <w:pStyle w:val="TableParagraph"/>
              <w:rPr>
                <w:rFonts w:ascii="Times New Roman"/>
                <w:sz w:val="14"/>
              </w:rPr>
            </w:pPr>
          </w:p>
        </w:tc>
        <w:tc>
          <w:tcPr>
            <w:tcW w:w="708" w:type="dxa"/>
          </w:tcPr>
          <w:p>
            <w:pPr>
              <w:pStyle w:val="TableParagraph"/>
              <w:rPr>
                <w:rFonts w:ascii="Times New Roman"/>
                <w:sz w:val="14"/>
              </w:rPr>
            </w:pPr>
          </w:p>
        </w:tc>
        <w:tc>
          <w:tcPr>
            <w:tcW w:w="851" w:type="dxa"/>
          </w:tcPr>
          <w:p>
            <w:pPr>
              <w:pStyle w:val="TableParagraph"/>
              <w:rPr>
                <w:rFonts w:ascii="Times New Roman"/>
                <w:sz w:val="14"/>
              </w:rPr>
            </w:pPr>
          </w:p>
        </w:tc>
        <w:tc>
          <w:tcPr>
            <w:tcW w:w="6238" w:type="dxa"/>
          </w:tcPr>
          <w:p>
            <w:pPr>
              <w:pStyle w:val="TableParagraph"/>
              <w:spacing w:line="200" w:lineRule="exact"/>
              <w:ind w:left="110"/>
              <w:rPr>
                <w:sz w:val="18"/>
              </w:rPr>
            </w:pPr>
            <w:r>
              <w:rPr>
                <w:sz w:val="18"/>
              </w:rPr>
              <w:t>□</w:t>
            </w:r>
            <w:r>
              <w:rPr>
                <w:spacing w:val="-4"/>
                <w:sz w:val="18"/>
              </w:rPr>
              <w:t> </w:t>
            </w:r>
            <w:r>
              <w:rPr>
                <w:sz w:val="18"/>
              </w:rPr>
              <w:t>Significant</w:t>
            </w:r>
            <w:r>
              <w:rPr>
                <w:spacing w:val="-4"/>
                <w:sz w:val="18"/>
              </w:rPr>
              <w:t> </w:t>
            </w:r>
            <w:r>
              <w:rPr>
                <w:sz w:val="18"/>
              </w:rPr>
              <w:t>progress</w:t>
            </w:r>
            <w:r>
              <w:rPr>
                <w:spacing w:val="-3"/>
                <w:sz w:val="18"/>
              </w:rPr>
              <w:t> </w:t>
            </w:r>
            <w:r>
              <w:rPr>
                <w:sz w:val="18"/>
              </w:rPr>
              <w:t>□</w:t>
            </w:r>
            <w:r>
              <w:rPr>
                <w:spacing w:val="-3"/>
                <w:sz w:val="18"/>
              </w:rPr>
              <w:t> </w:t>
            </w:r>
            <w:r>
              <w:rPr>
                <w:sz w:val="18"/>
              </w:rPr>
              <w:t>Some</w:t>
            </w:r>
            <w:r>
              <w:rPr>
                <w:spacing w:val="-2"/>
                <w:sz w:val="18"/>
              </w:rPr>
              <w:t> </w:t>
            </w:r>
            <w:r>
              <w:rPr>
                <w:sz w:val="18"/>
              </w:rPr>
              <w:t>progress</w:t>
            </w:r>
            <w:r>
              <w:rPr>
                <w:spacing w:val="-3"/>
                <w:sz w:val="18"/>
              </w:rPr>
              <w:t> </w:t>
            </w:r>
            <w:r>
              <w:rPr>
                <w:sz w:val="18"/>
              </w:rPr>
              <w:t>□</w:t>
            </w:r>
            <w:r>
              <w:rPr>
                <w:spacing w:val="-3"/>
                <w:sz w:val="18"/>
              </w:rPr>
              <w:t> </w:t>
            </w:r>
            <w:r>
              <w:rPr>
                <w:sz w:val="18"/>
              </w:rPr>
              <w:t>No progress</w:t>
            </w:r>
            <w:r>
              <w:rPr>
                <w:spacing w:val="-3"/>
                <w:sz w:val="18"/>
              </w:rPr>
              <w:t> </w:t>
            </w:r>
            <w:r>
              <w:rPr>
                <w:sz w:val="18"/>
              </w:rPr>
              <w:t>□</w:t>
            </w:r>
            <w:r>
              <w:rPr>
                <w:spacing w:val="-5"/>
                <w:sz w:val="18"/>
              </w:rPr>
              <w:t> </w:t>
            </w:r>
            <w:r>
              <w:rPr>
                <w:sz w:val="18"/>
              </w:rPr>
              <w:t>Worse</w:t>
            </w:r>
          </w:p>
        </w:tc>
      </w:tr>
      <w:tr>
        <w:trPr>
          <w:trHeight w:val="220" w:hRule="atLeast"/>
        </w:trPr>
        <w:tc>
          <w:tcPr>
            <w:tcW w:w="989" w:type="dxa"/>
          </w:tcPr>
          <w:p>
            <w:pPr>
              <w:pStyle w:val="TableParagraph"/>
              <w:spacing w:line="200" w:lineRule="exact"/>
              <w:ind w:left="107"/>
              <w:rPr>
                <w:sz w:val="18"/>
              </w:rPr>
            </w:pPr>
            <w:r>
              <w:rPr>
                <w:sz w:val="18"/>
              </w:rPr>
              <w:t>Q35</w:t>
            </w:r>
          </w:p>
        </w:tc>
        <w:tc>
          <w:tcPr>
            <w:tcW w:w="1274" w:type="dxa"/>
          </w:tcPr>
          <w:p>
            <w:pPr>
              <w:pStyle w:val="TableParagraph"/>
              <w:rPr>
                <w:rFonts w:ascii="Times New Roman"/>
                <w:sz w:val="14"/>
              </w:rPr>
            </w:pPr>
          </w:p>
        </w:tc>
        <w:tc>
          <w:tcPr>
            <w:tcW w:w="708" w:type="dxa"/>
          </w:tcPr>
          <w:p>
            <w:pPr>
              <w:pStyle w:val="TableParagraph"/>
              <w:rPr>
                <w:rFonts w:ascii="Times New Roman"/>
                <w:sz w:val="14"/>
              </w:rPr>
            </w:pPr>
          </w:p>
        </w:tc>
        <w:tc>
          <w:tcPr>
            <w:tcW w:w="851" w:type="dxa"/>
          </w:tcPr>
          <w:p>
            <w:pPr>
              <w:pStyle w:val="TableParagraph"/>
              <w:rPr>
                <w:rFonts w:ascii="Times New Roman"/>
                <w:sz w:val="14"/>
              </w:rPr>
            </w:pPr>
          </w:p>
        </w:tc>
        <w:tc>
          <w:tcPr>
            <w:tcW w:w="6238" w:type="dxa"/>
          </w:tcPr>
          <w:p>
            <w:pPr>
              <w:pStyle w:val="TableParagraph"/>
              <w:spacing w:line="200" w:lineRule="exact"/>
              <w:ind w:left="110"/>
              <w:rPr>
                <w:sz w:val="18"/>
              </w:rPr>
            </w:pPr>
            <w:r>
              <w:rPr>
                <w:sz w:val="18"/>
              </w:rPr>
              <w:t>□</w:t>
            </w:r>
            <w:r>
              <w:rPr>
                <w:spacing w:val="-4"/>
                <w:sz w:val="18"/>
              </w:rPr>
              <w:t> </w:t>
            </w:r>
            <w:r>
              <w:rPr>
                <w:sz w:val="18"/>
              </w:rPr>
              <w:t>Significant</w:t>
            </w:r>
            <w:r>
              <w:rPr>
                <w:spacing w:val="-4"/>
                <w:sz w:val="18"/>
              </w:rPr>
              <w:t> </w:t>
            </w:r>
            <w:r>
              <w:rPr>
                <w:sz w:val="18"/>
              </w:rPr>
              <w:t>progress</w:t>
            </w:r>
            <w:r>
              <w:rPr>
                <w:spacing w:val="-3"/>
                <w:sz w:val="18"/>
              </w:rPr>
              <w:t> </w:t>
            </w:r>
            <w:r>
              <w:rPr>
                <w:sz w:val="18"/>
              </w:rPr>
              <w:t>□</w:t>
            </w:r>
            <w:r>
              <w:rPr>
                <w:spacing w:val="-3"/>
                <w:sz w:val="18"/>
              </w:rPr>
              <w:t> </w:t>
            </w:r>
            <w:r>
              <w:rPr>
                <w:sz w:val="18"/>
              </w:rPr>
              <w:t>Some</w:t>
            </w:r>
            <w:r>
              <w:rPr>
                <w:spacing w:val="-2"/>
                <w:sz w:val="18"/>
              </w:rPr>
              <w:t> </w:t>
            </w:r>
            <w:r>
              <w:rPr>
                <w:sz w:val="18"/>
              </w:rPr>
              <w:t>progress</w:t>
            </w:r>
            <w:r>
              <w:rPr>
                <w:spacing w:val="-3"/>
                <w:sz w:val="18"/>
              </w:rPr>
              <w:t> </w:t>
            </w:r>
            <w:r>
              <w:rPr>
                <w:sz w:val="18"/>
              </w:rPr>
              <w:t>□</w:t>
            </w:r>
            <w:r>
              <w:rPr>
                <w:spacing w:val="-3"/>
                <w:sz w:val="18"/>
              </w:rPr>
              <w:t> </w:t>
            </w:r>
            <w:r>
              <w:rPr>
                <w:sz w:val="18"/>
              </w:rPr>
              <w:t>No</w:t>
            </w:r>
            <w:r>
              <w:rPr>
                <w:spacing w:val="-3"/>
                <w:sz w:val="18"/>
              </w:rPr>
              <w:t> </w:t>
            </w:r>
            <w:r>
              <w:rPr>
                <w:sz w:val="18"/>
              </w:rPr>
              <w:t>progress</w:t>
            </w:r>
            <w:r>
              <w:rPr>
                <w:spacing w:val="-3"/>
                <w:sz w:val="18"/>
              </w:rPr>
              <w:t> </w:t>
            </w:r>
            <w:r>
              <w:rPr>
                <w:sz w:val="18"/>
              </w:rPr>
              <w:t>□</w:t>
            </w:r>
            <w:r>
              <w:rPr>
                <w:spacing w:val="-5"/>
                <w:sz w:val="18"/>
              </w:rPr>
              <w:t> </w:t>
            </w:r>
            <w:r>
              <w:rPr>
                <w:sz w:val="18"/>
              </w:rPr>
              <w:t>Worse</w:t>
            </w:r>
          </w:p>
        </w:tc>
      </w:tr>
      <w:tr>
        <w:trPr>
          <w:trHeight w:val="220" w:hRule="atLeast"/>
        </w:trPr>
        <w:tc>
          <w:tcPr>
            <w:tcW w:w="989" w:type="dxa"/>
          </w:tcPr>
          <w:p>
            <w:pPr>
              <w:pStyle w:val="TableParagraph"/>
              <w:spacing w:line="200" w:lineRule="exact"/>
              <w:ind w:left="107"/>
              <w:rPr>
                <w:sz w:val="18"/>
              </w:rPr>
            </w:pPr>
            <w:r>
              <w:rPr>
                <w:sz w:val="18"/>
              </w:rPr>
              <w:t>Q36</w:t>
            </w:r>
          </w:p>
        </w:tc>
        <w:tc>
          <w:tcPr>
            <w:tcW w:w="1274" w:type="dxa"/>
          </w:tcPr>
          <w:p>
            <w:pPr>
              <w:pStyle w:val="TableParagraph"/>
              <w:rPr>
                <w:rFonts w:ascii="Times New Roman"/>
                <w:sz w:val="14"/>
              </w:rPr>
            </w:pPr>
          </w:p>
        </w:tc>
        <w:tc>
          <w:tcPr>
            <w:tcW w:w="708" w:type="dxa"/>
          </w:tcPr>
          <w:p>
            <w:pPr>
              <w:pStyle w:val="TableParagraph"/>
              <w:rPr>
                <w:rFonts w:ascii="Times New Roman"/>
                <w:sz w:val="14"/>
              </w:rPr>
            </w:pPr>
          </w:p>
        </w:tc>
        <w:tc>
          <w:tcPr>
            <w:tcW w:w="851" w:type="dxa"/>
          </w:tcPr>
          <w:p>
            <w:pPr>
              <w:pStyle w:val="TableParagraph"/>
              <w:rPr>
                <w:rFonts w:ascii="Times New Roman"/>
                <w:sz w:val="14"/>
              </w:rPr>
            </w:pPr>
          </w:p>
        </w:tc>
        <w:tc>
          <w:tcPr>
            <w:tcW w:w="6238" w:type="dxa"/>
          </w:tcPr>
          <w:p>
            <w:pPr>
              <w:pStyle w:val="TableParagraph"/>
              <w:spacing w:line="200" w:lineRule="exact"/>
              <w:ind w:left="110"/>
              <w:rPr>
                <w:sz w:val="18"/>
              </w:rPr>
            </w:pPr>
            <w:r>
              <w:rPr>
                <w:sz w:val="18"/>
              </w:rPr>
              <w:t>□</w:t>
            </w:r>
            <w:r>
              <w:rPr>
                <w:spacing w:val="-4"/>
                <w:sz w:val="18"/>
              </w:rPr>
              <w:t> </w:t>
            </w:r>
            <w:r>
              <w:rPr>
                <w:sz w:val="18"/>
              </w:rPr>
              <w:t>Significant</w:t>
            </w:r>
            <w:r>
              <w:rPr>
                <w:spacing w:val="-4"/>
                <w:sz w:val="18"/>
              </w:rPr>
              <w:t> </w:t>
            </w:r>
            <w:r>
              <w:rPr>
                <w:sz w:val="18"/>
              </w:rPr>
              <w:t>progress</w:t>
            </w:r>
            <w:r>
              <w:rPr>
                <w:spacing w:val="-3"/>
                <w:sz w:val="18"/>
              </w:rPr>
              <w:t> </w:t>
            </w:r>
            <w:r>
              <w:rPr>
                <w:sz w:val="18"/>
              </w:rPr>
              <w:t>□</w:t>
            </w:r>
            <w:r>
              <w:rPr>
                <w:spacing w:val="-3"/>
                <w:sz w:val="18"/>
              </w:rPr>
              <w:t> </w:t>
            </w:r>
            <w:r>
              <w:rPr>
                <w:sz w:val="18"/>
              </w:rPr>
              <w:t>Some</w:t>
            </w:r>
            <w:r>
              <w:rPr>
                <w:spacing w:val="-2"/>
                <w:sz w:val="18"/>
              </w:rPr>
              <w:t> </w:t>
            </w:r>
            <w:r>
              <w:rPr>
                <w:sz w:val="18"/>
              </w:rPr>
              <w:t>progress</w:t>
            </w:r>
            <w:r>
              <w:rPr>
                <w:spacing w:val="-3"/>
                <w:sz w:val="18"/>
              </w:rPr>
              <w:t> </w:t>
            </w:r>
            <w:r>
              <w:rPr>
                <w:sz w:val="18"/>
              </w:rPr>
              <w:t>□</w:t>
            </w:r>
            <w:r>
              <w:rPr>
                <w:spacing w:val="-3"/>
                <w:sz w:val="18"/>
              </w:rPr>
              <w:t> </w:t>
            </w:r>
            <w:r>
              <w:rPr>
                <w:sz w:val="18"/>
              </w:rPr>
              <w:t>No</w:t>
            </w:r>
            <w:r>
              <w:rPr>
                <w:spacing w:val="-3"/>
                <w:sz w:val="18"/>
              </w:rPr>
              <w:t> </w:t>
            </w:r>
            <w:r>
              <w:rPr>
                <w:sz w:val="18"/>
              </w:rPr>
              <w:t>progress</w:t>
            </w:r>
            <w:r>
              <w:rPr>
                <w:spacing w:val="-3"/>
                <w:sz w:val="18"/>
              </w:rPr>
              <w:t> </w:t>
            </w:r>
            <w:r>
              <w:rPr>
                <w:sz w:val="18"/>
              </w:rPr>
              <w:t>□</w:t>
            </w:r>
            <w:r>
              <w:rPr>
                <w:spacing w:val="-5"/>
                <w:sz w:val="18"/>
              </w:rPr>
              <w:t> </w:t>
            </w:r>
            <w:r>
              <w:rPr>
                <w:sz w:val="18"/>
              </w:rPr>
              <w:t>Worse</w:t>
            </w:r>
          </w:p>
        </w:tc>
      </w:tr>
      <w:tr>
        <w:trPr>
          <w:trHeight w:val="661" w:hRule="atLeast"/>
        </w:trPr>
        <w:tc>
          <w:tcPr>
            <w:tcW w:w="3822" w:type="dxa"/>
            <w:gridSpan w:val="4"/>
          </w:tcPr>
          <w:p>
            <w:pPr>
              <w:pStyle w:val="TableParagraph"/>
              <w:spacing w:line="220" w:lineRule="exact"/>
              <w:ind w:left="107" w:right="25"/>
              <w:rPr>
                <w:sz w:val="18"/>
              </w:rPr>
            </w:pPr>
            <w:r>
              <w:rPr>
                <w:sz w:val="18"/>
              </w:rPr>
              <w:t>Other</w:t>
            </w:r>
            <w:r>
              <w:rPr>
                <w:spacing w:val="-6"/>
                <w:sz w:val="18"/>
              </w:rPr>
              <w:t> </w:t>
            </w:r>
            <w:r>
              <w:rPr>
                <w:sz w:val="18"/>
              </w:rPr>
              <w:t>information</w:t>
            </w:r>
            <w:r>
              <w:rPr>
                <w:spacing w:val="-5"/>
                <w:sz w:val="18"/>
              </w:rPr>
              <w:t> </w:t>
            </w:r>
            <w:r>
              <w:rPr>
                <w:sz w:val="18"/>
              </w:rPr>
              <w:t>that</w:t>
            </w:r>
            <w:r>
              <w:rPr>
                <w:spacing w:val="-3"/>
                <w:sz w:val="18"/>
              </w:rPr>
              <w:t> </w:t>
            </w:r>
            <w:r>
              <w:rPr>
                <w:sz w:val="18"/>
              </w:rPr>
              <w:t>may</w:t>
            </w:r>
            <w:r>
              <w:rPr>
                <w:spacing w:val="-3"/>
                <w:sz w:val="18"/>
              </w:rPr>
              <w:t> </w:t>
            </w:r>
            <w:r>
              <w:rPr>
                <w:sz w:val="18"/>
              </w:rPr>
              <w:t>be</w:t>
            </w:r>
            <w:r>
              <w:rPr>
                <w:spacing w:val="-5"/>
                <w:sz w:val="18"/>
              </w:rPr>
              <w:t> </w:t>
            </w:r>
            <w:r>
              <w:rPr>
                <w:sz w:val="18"/>
              </w:rPr>
              <w:t>important</w:t>
            </w:r>
            <w:r>
              <w:rPr>
                <w:spacing w:val="-46"/>
                <w:sz w:val="18"/>
              </w:rPr>
              <w:t> </w:t>
            </w:r>
            <w:r>
              <w:rPr>
                <w:sz w:val="18"/>
              </w:rPr>
              <w:t>in assessing the implementation of the</w:t>
            </w:r>
            <w:r>
              <w:rPr>
                <w:spacing w:val="1"/>
                <w:sz w:val="18"/>
              </w:rPr>
              <w:t> </w:t>
            </w:r>
            <w:r>
              <w:rPr>
                <w:sz w:val="18"/>
              </w:rPr>
              <w:t>HCH</w:t>
            </w:r>
            <w:r>
              <w:rPr>
                <w:spacing w:val="-1"/>
                <w:sz w:val="18"/>
              </w:rPr>
              <w:t> </w:t>
            </w:r>
            <w:r>
              <w:rPr>
                <w:sz w:val="18"/>
              </w:rPr>
              <w:t>program</w:t>
            </w:r>
          </w:p>
        </w:tc>
        <w:tc>
          <w:tcPr>
            <w:tcW w:w="6238" w:type="dxa"/>
          </w:tcPr>
          <w:p>
            <w:pPr>
              <w:pStyle w:val="TableParagraph"/>
              <w:rPr>
                <w:rFonts w:ascii="Times New Roman"/>
                <w:sz w:val="18"/>
              </w:rPr>
            </w:pPr>
          </w:p>
        </w:tc>
      </w:tr>
    </w:tbl>
    <w:p>
      <w:pPr>
        <w:spacing w:after="0"/>
        <w:rPr>
          <w:rFonts w:ascii="Times New Roman"/>
          <w:sz w:val="18"/>
        </w:rPr>
        <w:sectPr>
          <w:pgSz w:w="11910" w:h="16840"/>
          <w:pgMar w:header="0" w:footer="948" w:top="860" w:bottom="1140" w:left="300" w:right="0"/>
        </w:sectPr>
      </w:pPr>
    </w:p>
    <w:p>
      <w:pPr>
        <w:pStyle w:val="BodyText"/>
      </w:pPr>
    </w:p>
    <w:p>
      <w:pPr>
        <w:pStyle w:val="BodyText"/>
      </w:pPr>
    </w:p>
    <w:p>
      <w:pPr>
        <w:pStyle w:val="BodyText"/>
      </w:pPr>
    </w:p>
    <w:p>
      <w:pPr>
        <w:pStyle w:val="BodyText"/>
      </w:pPr>
    </w:p>
    <w:p>
      <w:pPr>
        <w:pStyle w:val="BodyText"/>
        <w:spacing w:before="2"/>
        <w:rPr>
          <w:sz w:val="26"/>
        </w:rPr>
      </w:pPr>
    </w:p>
    <w:p>
      <w:pPr>
        <w:pStyle w:val="Heading1"/>
        <w:spacing w:before="101"/>
        <w:ind w:left="1140" w:right="3280"/>
      </w:pPr>
      <w:r>
        <w:rPr/>
        <w:drawing>
          <wp:anchor distT="0" distB="0" distL="0" distR="0" allowOverlap="1" layoutInCell="1" locked="0" behindDoc="1" simplePos="0" relativeHeight="476213760">
            <wp:simplePos x="0" y="0"/>
            <wp:positionH relativeFrom="page">
              <wp:posOffset>251345</wp:posOffset>
            </wp:positionH>
            <wp:positionV relativeFrom="paragraph">
              <wp:posOffset>-829933</wp:posOffset>
            </wp:positionV>
            <wp:extent cx="7298169" cy="1024402"/>
            <wp:effectExtent l="0" t="0" r="0" b="0"/>
            <wp:wrapNone/>
            <wp:docPr id="2213" name="image8.jpeg"/>
            <wp:cNvGraphicFramePr>
              <a:graphicFrameLocks noChangeAspect="1"/>
            </wp:cNvGraphicFramePr>
            <a:graphic>
              <a:graphicData uri="http://schemas.openxmlformats.org/drawingml/2006/picture">
                <pic:pic>
                  <pic:nvPicPr>
                    <pic:cNvPr id="2214" name="image8.jpeg"/>
                    <pic:cNvPicPr/>
                  </pic:nvPicPr>
                  <pic:blipFill>
                    <a:blip r:embed="rId32" cstate="print"/>
                    <a:stretch>
                      <a:fillRect/>
                    </a:stretch>
                  </pic:blipFill>
                  <pic:spPr>
                    <a:xfrm>
                      <a:off x="0" y="0"/>
                      <a:ext cx="7298169" cy="1024402"/>
                    </a:xfrm>
                    <a:prstGeom prst="rect">
                      <a:avLst/>
                    </a:prstGeom>
                  </pic:spPr>
                </pic:pic>
              </a:graphicData>
            </a:graphic>
          </wp:anchor>
        </w:drawing>
      </w:r>
      <w:bookmarkStart w:name="_bookmark87" w:id="88"/>
      <w:bookmarkEnd w:id="88"/>
      <w:r>
        <w:rPr/>
      </w:r>
      <w:r>
        <w:rPr>
          <w:color w:val="003C79"/>
        </w:rPr>
        <w:t>Appendix F – Patient</w:t>
      </w:r>
      <w:r>
        <w:rPr>
          <w:color w:val="003C79"/>
          <w:spacing w:val="-197"/>
        </w:rPr>
        <w:t> </w:t>
      </w:r>
      <w:r>
        <w:rPr>
          <w:color w:val="003C79"/>
        </w:rPr>
        <w:t>survey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1"/>
        </w:rPr>
      </w:pPr>
      <w:r>
        <w:rPr/>
        <w:pict>
          <v:rect style="position:absolute;margin-left:70.584pt;margin-top:8.393408pt;width:454.27pt;height:.48004pt;mso-position-horizontal-relative:page;mso-position-vertical-relative:paragraph;z-index:-15276032;mso-wrap-distance-left:0;mso-wrap-distance-right:0" id="docshape262" filled="true" fillcolor="#d9d9d9" stroked="false">
            <v:fill type="solid"/>
            <w10:wrap type="topAndBottom"/>
          </v:rect>
        </w:pict>
      </w:r>
    </w:p>
    <w:p>
      <w:pPr>
        <w:spacing w:after="0"/>
        <w:rPr>
          <w:sz w:val="11"/>
        </w:rPr>
        <w:sectPr>
          <w:footerReference w:type="default" r:id="rId59"/>
          <w:pgSz w:w="11910" w:h="16840"/>
          <w:pgMar w:footer="730" w:header="0" w:top="20" w:bottom="920" w:left="300" w:right="0"/>
        </w:sectPr>
      </w:pPr>
    </w:p>
    <w:p>
      <w:pPr>
        <w:pStyle w:val="Heading4"/>
        <w:ind w:right="1470"/>
        <w:jc w:val="center"/>
      </w:pPr>
      <w:r>
        <w:rPr>
          <w:color w:val="808080"/>
        </w:rPr>
        <w:t>Health</w:t>
      </w:r>
      <w:r>
        <w:rPr>
          <w:color w:val="808080"/>
          <w:spacing w:val="-1"/>
        </w:rPr>
        <w:t> </w:t>
      </w:r>
      <w:r>
        <w:rPr>
          <w:color w:val="808080"/>
        </w:rPr>
        <w:t>Care Homes</w:t>
      </w:r>
      <w:r>
        <w:rPr>
          <w:color w:val="808080"/>
          <w:spacing w:val="-2"/>
        </w:rPr>
        <w:t> </w:t>
      </w:r>
      <w:r>
        <w:rPr>
          <w:color w:val="808080"/>
        </w:rPr>
        <w:t>program patient survey</w:t>
      </w:r>
    </w:p>
    <w:p>
      <w:pPr>
        <w:pStyle w:val="BodyText"/>
        <w:spacing w:before="7"/>
        <w:rPr>
          <w:rFonts w:ascii="Arial Black"/>
          <w:sz w:val="16"/>
        </w:rPr>
      </w:pPr>
    </w:p>
    <w:p>
      <w:pPr>
        <w:spacing w:before="100"/>
        <w:ind w:left="940" w:right="1478" w:firstLine="0"/>
        <w:jc w:val="center"/>
        <w:rPr>
          <w:b/>
          <w:sz w:val="18"/>
        </w:rPr>
      </w:pPr>
      <w:r>
        <w:rPr/>
        <w:pict>
          <v:rect style="position:absolute;margin-left:36pt;margin-top:1.202708pt;width:511.5pt;height:546.450pt;mso-position-horizontal-relative:page;mso-position-vertical-relative:paragraph;z-index:-27102208" id="docshape265" filled="true" fillcolor="#f1f1f1" stroked="false">
            <v:fill type="solid"/>
            <w10:wrap type="none"/>
          </v:rect>
        </w:pict>
      </w:r>
      <w:r>
        <w:rPr>
          <w:b/>
          <w:sz w:val="18"/>
        </w:rPr>
        <w:t>Introductory</w:t>
      </w:r>
      <w:r>
        <w:rPr>
          <w:b/>
          <w:spacing w:val="-5"/>
          <w:sz w:val="18"/>
        </w:rPr>
        <w:t> </w:t>
      </w:r>
      <w:r>
        <w:rPr>
          <w:b/>
          <w:sz w:val="18"/>
        </w:rPr>
        <w:t>letter</w:t>
      </w:r>
    </w:p>
    <w:p>
      <w:pPr>
        <w:pStyle w:val="BodyText"/>
        <w:spacing w:before="10"/>
        <w:rPr>
          <w:b/>
          <w:sz w:val="10"/>
        </w:rPr>
      </w:pPr>
    </w:p>
    <w:p>
      <w:pPr>
        <w:spacing w:before="100"/>
        <w:ind w:left="568" w:right="0" w:firstLine="0"/>
        <w:jc w:val="left"/>
        <w:rPr>
          <w:sz w:val="18"/>
        </w:rPr>
      </w:pPr>
      <w:r>
        <w:rPr>
          <w:sz w:val="18"/>
        </w:rPr>
        <w:t>Dear</w:t>
      </w:r>
      <w:r>
        <w:rPr>
          <w:spacing w:val="-5"/>
          <w:sz w:val="18"/>
        </w:rPr>
        <w:t> </w:t>
      </w:r>
      <w:r>
        <w:rPr>
          <w:sz w:val="18"/>
        </w:rPr>
        <w:t>«Name»,</w:t>
      </w:r>
    </w:p>
    <w:p>
      <w:pPr>
        <w:pStyle w:val="BodyText"/>
        <w:rPr>
          <w:sz w:val="19"/>
        </w:rPr>
      </w:pPr>
    </w:p>
    <w:p>
      <w:pPr>
        <w:spacing w:line="276" w:lineRule="auto" w:before="0"/>
        <w:ind w:left="568" w:right="1378" w:firstLine="0"/>
        <w:jc w:val="left"/>
        <w:rPr>
          <w:sz w:val="18"/>
        </w:rPr>
      </w:pPr>
      <w:r>
        <w:rPr>
          <w:sz w:val="18"/>
        </w:rPr>
        <w:t>Recently,</w:t>
      </w:r>
      <w:r>
        <w:rPr>
          <w:spacing w:val="-7"/>
          <w:sz w:val="18"/>
        </w:rPr>
        <w:t> </w:t>
      </w:r>
      <w:r>
        <w:rPr>
          <w:sz w:val="18"/>
        </w:rPr>
        <w:t>following</w:t>
      </w:r>
      <w:r>
        <w:rPr>
          <w:spacing w:val="-5"/>
          <w:sz w:val="18"/>
        </w:rPr>
        <w:t> </w:t>
      </w:r>
      <w:r>
        <w:rPr>
          <w:sz w:val="18"/>
        </w:rPr>
        <w:t>discussions</w:t>
      </w:r>
      <w:r>
        <w:rPr>
          <w:spacing w:val="-3"/>
          <w:sz w:val="18"/>
        </w:rPr>
        <w:t> </w:t>
      </w:r>
      <w:r>
        <w:rPr>
          <w:sz w:val="18"/>
        </w:rPr>
        <w:t>with</w:t>
      </w:r>
      <w:r>
        <w:rPr>
          <w:spacing w:val="-3"/>
          <w:sz w:val="18"/>
        </w:rPr>
        <w:t> </w:t>
      </w:r>
      <w:r>
        <w:rPr>
          <w:sz w:val="18"/>
        </w:rPr>
        <w:t>your</w:t>
      </w:r>
      <w:r>
        <w:rPr>
          <w:spacing w:val="-4"/>
          <w:sz w:val="18"/>
        </w:rPr>
        <w:t> </w:t>
      </w:r>
      <w:r>
        <w:rPr>
          <w:sz w:val="18"/>
        </w:rPr>
        <w:t>general</w:t>
      </w:r>
      <w:r>
        <w:rPr>
          <w:spacing w:val="-3"/>
          <w:sz w:val="18"/>
        </w:rPr>
        <w:t> </w:t>
      </w:r>
      <w:r>
        <w:rPr>
          <w:sz w:val="18"/>
        </w:rPr>
        <w:t>practitioner</w:t>
      </w:r>
      <w:r>
        <w:rPr>
          <w:spacing w:val="-1"/>
          <w:sz w:val="18"/>
        </w:rPr>
        <w:t> </w:t>
      </w:r>
      <w:r>
        <w:rPr>
          <w:sz w:val="18"/>
        </w:rPr>
        <w:t>(GP),</w:t>
      </w:r>
      <w:r>
        <w:rPr>
          <w:spacing w:val="-5"/>
          <w:sz w:val="18"/>
        </w:rPr>
        <w:t> </w:t>
      </w:r>
      <w:r>
        <w:rPr>
          <w:sz w:val="18"/>
        </w:rPr>
        <w:t>you</w:t>
      </w:r>
      <w:r>
        <w:rPr>
          <w:spacing w:val="-3"/>
          <w:sz w:val="18"/>
        </w:rPr>
        <w:t> </w:t>
      </w:r>
      <w:r>
        <w:rPr>
          <w:sz w:val="18"/>
        </w:rPr>
        <w:t>enrolled</w:t>
      </w:r>
      <w:r>
        <w:rPr>
          <w:spacing w:val="-6"/>
          <w:sz w:val="18"/>
        </w:rPr>
        <w:t> </w:t>
      </w:r>
      <w:r>
        <w:rPr>
          <w:sz w:val="18"/>
        </w:rPr>
        <w:t>in</w:t>
      </w:r>
      <w:r>
        <w:rPr>
          <w:spacing w:val="-4"/>
          <w:sz w:val="18"/>
        </w:rPr>
        <w:t> </w:t>
      </w:r>
      <w:r>
        <w:rPr>
          <w:sz w:val="18"/>
        </w:rPr>
        <w:t>the</w:t>
      </w:r>
      <w:r>
        <w:rPr>
          <w:spacing w:val="-3"/>
          <w:sz w:val="18"/>
        </w:rPr>
        <w:t> </w:t>
      </w:r>
      <w:r>
        <w:rPr>
          <w:sz w:val="18"/>
        </w:rPr>
        <w:t>Health</w:t>
      </w:r>
      <w:r>
        <w:rPr>
          <w:spacing w:val="-3"/>
          <w:sz w:val="18"/>
        </w:rPr>
        <w:t> </w:t>
      </w:r>
      <w:r>
        <w:rPr>
          <w:sz w:val="18"/>
        </w:rPr>
        <w:t>Care</w:t>
      </w:r>
      <w:r>
        <w:rPr>
          <w:spacing w:val="-4"/>
          <w:sz w:val="18"/>
        </w:rPr>
        <w:t> </w:t>
      </w:r>
      <w:r>
        <w:rPr>
          <w:sz w:val="18"/>
        </w:rPr>
        <w:t>Homes</w:t>
      </w:r>
      <w:r>
        <w:rPr>
          <w:spacing w:val="1"/>
          <w:sz w:val="18"/>
        </w:rPr>
        <w:t> </w:t>
      </w:r>
      <w:r>
        <w:rPr>
          <w:sz w:val="18"/>
        </w:rPr>
        <w:t>program.</w:t>
      </w:r>
      <w:r>
        <w:rPr>
          <w:spacing w:val="-2"/>
          <w:sz w:val="18"/>
        </w:rPr>
        <w:t> </w:t>
      </w:r>
      <w:r>
        <w:rPr>
          <w:sz w:val="18"/>
        </w:rPr>
        <w:t>Your</w:t>
      </w:r>
      <w:r>
        <w:rPr>
          <w:spacing w:val="-1"/>
          <w:sz w:val="18"/>
        </w:rPr>
        <w:t> </w:t>
      </w:r>
      <w:r>
        <w:rPr>
          <w:sz w:val="18"/>
        </w:rPr>
        <w:t>enrolment</w:t>
      </w:r>
      <w:r>
        <w:rPr>
          <w:spacing w:val="-3"/>
          <w:sz w:val="18"/>
        </w:rPr>
        <w:t> </w:t>
      </w:r>
      <w:r>
        <w:rPr>
          <w:sz w:val="18"/>
        </w:rPr>
        <w:t>included</w:t>
      </w:r>
      <w:r>
        <w:rPr>
          <w:spacing w:val="-3"/>
          <w:sz w:val="18"/>
        </w:rPr>
        <w:t> </w:t>
      </w:r>
      <w:r>
        <w:rPr>
          <w:sz w:val="18"/>
        </w:rPr>
        <w:t>consent</w:t>
      </w:r>
      <w:r>
        <w:rPr>
          <w:spacing w:val="-3"/>
          <w:sz w:val="18"/>
        </w:rPr>
        <w:t> </w:t>
      </w:r>
      <w:r>
        <w:rPr>
          <w:sz w:val="18"/>
        </w:rPr>
        <w:t>to</w:t>
      </w:r>
      <w:r>
        <w:rPr>
          <w:spacing w:val="-2"/>
          <w:sz w:val="18"/>
        </w:rPr>
        <w:t> </w:t>
      </w:r>
      <w:r>
        <w:rPr>
          <w:sz w:val="18"/>
        </w:rPr>
        <w:t>providing</w:t>
      </w:r>
      <w:r>
        <w:rPr>
          <w:spacing w:val="-3"/>
          <w:sz w:val="18"/>
        </w:rPr>
        <w:t> </w:t>
      </w:r>
      <w:r>
        <w:rPr>
          <w:sz w:val="18"/>
        </w:rPr>
        <w:t>information</w:t>
      </w:r>
      <w:r>
        <w:rPr>
          <w:spacing w:val="-2"/>
          <w:sz w:val="18"/>
        </w:rPr>
        <w:t> </w:t>
      </w:r>
      <w:r>
        <w:rPr>
          <w:sz w:val="18"/>
        </w:rPr>
        <w:t>for</w:t>
      </w:r>
      <w:r>
        <w:rPr>
          <w:spacing w:val="-1"/>
          <w:sz w:val="18"/>
        </w:rPr>
        <w:t> </w:t>
      </w:r>
      <w:r>
        <w:rPr>
          <w:sz w:val="18"/>
        </w:rPr>
        <w:t>evaluation</w:t>
      </w:r>
      <w:r>
        <w:rPr>
          <w:spacing w:val="-4"/>
          <w:sz w:val="18"/>
        </w:rPr>
        <w:t> </w:t>
      </w:r>
      <w:r>
        <w:rPr>
          <w:sz w:val="18"/>
        </w:rPr>
        <w:t>of the</w:t>
      </w:r>
      <w:r>
        <w:rPr>
          <w:spacing w:val="-2"/>
          <w:sz w:val="18"/>
        </w:rPr>
        <w:t> </w:t>
      </w:r>
      <w:r>
        <w:rPr>
          <w:sz w:val="18"/>
        </w:rPr>
        <w:t>program.</w:t>
      </w:r>
    </w:p>
    <w:p>
      <w:pPr>
        <w:pStyle w:val="BodyText"/>
        <w:spacing w:before="4"/>
        <w:rPr>
          <w:sz w:val="16"/>
        </w:rPr>
      </w:pPr>
    </w:p>
    <w:p>
      <w:pPr>
        <w:spacing w:line="276" w:lineRule="auto" w:before="0"/>
        <w:ind w:left="568" w:right="1103" w:firstLine="0"/>
        <w:jc w:val="left"/>
        <w:rPr>
          <w:sz w:val="18"/>
        </w:rPr>
      </w:pPr>
      <w:r>
        <w:rPr>
          <w:sz w:val="18"/>
        </w:rPr>
        <w:t>The Australian Government Department of Health has engaged my organisation, Health Policy Analysis, to</w:t>
      </w:r>
      <w:r>
        <w:rPr>
          <w:spacing w:val="1"/>
          <w:sz w:val="18"/>
        </w:rPr>
        <w:t> </w:t>
      </w:r>
      <w:r>
        <w:rPr>
          <w:sz w:val="18"/>
        </w:rPr>
        <w:t>evaluate</w:t>
      </w:r>
      <w:r>
        <w:rPr>
          <w:spacing w:val="-3"/>
          <w:sz w:val="18"/>
        </w:rPr>
        <w:t> </w:t>
      </w:r>
      <w:r>
        <w:rPr>
          <w:sz w:val="18"/>
        </w:rPr>
        <w:t>the</w:t>
      </w:r>
      <w:r>
        <w:rPr>
          <w:spacing w:val="-2"/>
          <w:sz w:val="18"/>
        </w:rPr>
        <w:t> </w:t>
      </w:r>
      <w:r>
        <w:rPr>
          <w:sz w:val="18"/>
        </w:rPr>
        <w:t>impact</w:t>
      </w:r>
      <w:r>
        <w:rPr>
          <w:spacing w:val="-5"/>
          <w:sz w:val="18"/>
        </w:rPr>
        <w:t> </w:t>
      </w:r>
      <w:r>
        <w:rPr>
          <w:sz w:val="18"/>
        </w:rPr>
        <w:t>of</w:t>
      </w:r>
      <w:r>
        <w:rPr>
          <w:spacing w:val="-1"/>
          <w:sz w:val="18"/>
        </w:rPr>
        <w:t> </w:t>
      </w:r>
      <w:r>
        <w:rPr>
          <w:sz w:val="18"/>
        </w:rPr>
        <w:t>the</w:t>
      </w:r>
      <w:r>
        <w:rPr>
          <w:spacing w:val="-2"/>
          <w:sz w:val="18"/>
        </w:rPr>
        <w:t> </w:t>
      </w:r>
      <w:r>
        <w:rPr>
          <w:sz w:val="18"/>
        </w:rPr>
        <w:t>program.</w:t>
      </w:r>
      <w:r>
        <w:rPr>
          <w:spacing w:val="-3"/>
          <w:sz w:val="18"/>
        </w:rPr>
        <w:t> </w:t>
      </w:r>
      <w:r>
        <w:rPr>
          <w:sz w:val="18"/>
        </w:rPr>
        <w:t>This</w:t>
      </w:r>
      <w:r>
        <w:rPr>
          <w:spacing w:val="-3"/>
          <w:sz w:val="18"/>
        </w:rPr>
        <w:t> </w:t>
      </w:r>
      <w:r>
        <w:rPr>
          <w:sz w:val="18"/>
        </w:rPr>
        <w:t>information</w:t>
      </w:r>
      <w:r>
        <w:rPr>
          <w:spacing w:val="-3"/>
          <w:sz w:val="18"/>
        </w:rPr>
        <w:t> </w:t>
      </w:r>
      <w:r>
        <w:rPr>
          <w:sz w:val="18"/>
        </w:rPr>
        <w:t>will</w:t>
      </w:r>
      <w:r>
        <w:rPr>
          <w:spacing w:val="-3"/>
          <w:sz w:val="18"/>
        </w:rPr>
        <w:t> </w:t>
      </w:r>
      <w:r>
        <w:rPr>
          <w:sz w:val="18"/>
        </w:rPr>
        <w:t>help</w:t>
      </w:r>
      <w:r>
        <w:rPr>
          <w:spacing w:val="-5"/>
          <w:sz w:val="18"/>
        </w:rPr>
        <w:t> </w:t>
      </w:r>
      <w:r>
        <w:rPr>
          <w:sz w:val="18"/>
        </w:rPr>
        <w:t>improve</w:t>
      </w:r>
      <w:r>
        <w:rPr>
          <w:spacing w:val="-3"/>
          <w:sz w:val="18"/>
        </w:rPr>
        <w:t> </w:t>
      </w:r>
      <w:r>
        <w:rPr>
          <w:sz w:val="18"/>
        </w:rPr>
        <w:t>the</w:t>
      </w:r>
      <w:r>
        <w:rPr>
          <w:spacing w:val="-2"/>
          <w:sz w:val="18"/>
        </w:rPr>
        <w:t> </w:t>
      </w:r>
      <w:r>
        <w:rPr>
          <w:sz w:val="18"/>
        </w:rPr>
        <w:t>program</w:t>
      </w:r>
      <w:r>
        <w:rPr>
          <w:spacing w:val="-3"/>
          <w:sz w:val="18"/>
        </w:rPr>
        <w:t> </w:t>
      </w:r>
      <w:r>
        <w:rPr>
          <w:sz w:val="18"/>
        </w:rPr>
        <w:t>and</w:t>
      </w:r>
      <w:r>
        <w:rPr>
          <w:spacing w:val="-4"/>
          <w:sz w:val="18"/>
        </w:rPr>
        <w:t> </w:t>
      </w:r>
      <w:r>
        <w:rPr>
          <w:sz w:val="18"/>
        </w:rPr>
        <w:t>the</w:t>
      </w:r>
      <w:r>
        <w:rPr>
          <w:spacing w:val="-2"/>
          <w:sz w:val="18"/>
        </w:rPr>
        <w:t> </w:t>
      </w:r>
      <w:r>
        <w:rPr>
          <w:sz w:val="18"/>
        </w:rPr>
        <w:t>services</w:t>
      </w:r>
      <w:r>
        <w:rPr>
          <w:spacing w:val="-4"/>
          <w:sz w:val="18"/>
        </w:rPr>
        <w:t> </w:t>
      </w:r>
      <w:r>
        <w:rPr>
          <w:sz w:val="18"/>
        </w:rPr>
        <w:t>provided</w:t>
      </w:r>
      <w:r>
        <w:rPr>
          <w:spacing w:val="-5"/>
          <w:sz w:val="18"/>
        </w:rPr>
        <w:t> </w:t>
      </w:r>
      <w:r>
        <w:rPr>
          <w:sz w:val="18"/>
        </w:rPr>
        <w:t>by</w:t>
      </w:r>
      <w:r>
        <w:rPr>
          <w:spacing w:val="1"/>
          <w:sz w:val="18"/>
        </w:rPr>
        <w:t> </w:t>
      </w:r>
      <w:r>
        <w:rPr>
          <w:sz w:val="18"/>
        </w:rPr>
        <w:t>GPs</w:t>
      </w:r>
      <w:r>
        <w:rPr>
          <w:spacing w:val="-2"/>
          <w:sz w:val="18"/>
        </w:rPr>
        <w:t> </w:t>
      </w:r>
      <w:r>
        <w:rPr>
          <w:sz w:val="18"/>
        </w:rPr>
        <w:t>to people in circumstances</w:t>
      </w:r>
      <w:r>
        <w:rPr>
          <w:spacing w:val="-1"/>
          <w:sz w:val="18"/>
        </w:rPr>
        <w:t> </w:t>
      </w:r>
      <w:r>
        <w:rPr>
          <w:sz w:val="18"/>
        </w:rPr>
        <w:t>like</w:t>
      </w:r>
      <w:r>
        <w:rPr>
          <w:spacing w:val="-2"/>
          <w:sz w:val="18"/>
        </w:rPr>
        <w:t> </w:t>
      </w:r>
      <w:r>
        <w:rPr>
          <w:sz w:val="18"/>
        </w:rPr>
        <w:t>yours.</w:t>
      </w:r>
    </w:p>
    <w:p>
      <w:pPr>
        <w:pStyle w:val="BodyText"/>
        <w:spacing w:before="5"/>
        <w:rPr>
          <w:sz w:val="16"/>
        </w:rPr>
      </w:pPr>
    </w:p>
    <w:p>
      <w:pPr>
        <w:spacing w:line="276" w:lineRule="auto" w:before="0"/>
        <w:ind w:left="568" w:right="1151" w:firstLine="0"/>
        <w:jc w:val="left"/>
        <w:rPr>
          <w:sz w:val="18"/>
        </w:rPr>
      </w:pPr>
      <w:r>
        <w:rPr>
          <w:sz w:val="18"/>
        </w:rPr>
        <w:t>We would like to invite you to participate in a 15-minute telephone survey to help us understand your experience.</w:t>
      </w:r>
      <w:r>
        <w:rPr>
          <w:spacing w:val="-47"/>
          <w:sz w:val="18"/>
        </w:rPr>
        <w:t> </w:t>
      </w:r>
      <w:r>
        <w:rPr>
          <w:sz w:val="18"/>
        </w:rPr>
        <w:t>Someone</w:t>
      </w:r>
      <w:r>
        <w:rPr>
          <w:spacing w:val="-2"/>
          <w:sz w:val="18"/>
        </w:rPr>
        <w:t> </w:t>
      </w:r>
      <w:r>
        <w:rPr>
          <w:sz w:val="18"/>
        </w:rPr>
        <w:t>from</w:t>
      </w:r>
      <w:r>
        <w:rPr>
          <w:spacing w:val="-6"/>
          <w:sz w:val="18"/>
        </w:rPr>
        <w:t> </w:t>
      </w:r>
      <w:r>
        <w:rPr>
          <w:sz w:val="18"/>
        </w:rPr>
        <w:t>the</w:t>
      </w:r>
      <w:r>
        <w:rPr>
          <w:spacing w:val="-1"/>
          <w:sz w:val="18"/>
        </w:rPr>
        <w:t> </w:t>
      </w:r>
      <w:r>
        <w:rPr>
          <w:sz w:val="18"/>
        </w:rPr>
        <w:t>Social</w:t>
      </w:r>
      <w:r>
        <w:rPr>
          <w:spacing w:val="-2"/>
          <w:sz w:val="18"/>
        </w:rPr>
        <w:t> </w:t>
      </w:r>
      <w:r>
        <w:rPr>
          <w:sz w:val="18"/>
        </w:rPr>
        <w:t>Research</w:t>
      </w:r>
      <w:r>
        <w:rPr>
          <w:spacing w:val="-4"/>
          <w:sz w:val="18"/>
        </w:rPr>
        <w:t> </w:t>
      </w:r>
      <w:r>
        <w:rPr>
          <w:sz w:val="18"/>
        </w:rPr>
        <w:t>Centre</w:t>
      </w:r>
      <w:r>
        <w:rPr>
          <w:spacing w:val="-3"/>
          <w:sz w:val="18"/>
        </w:rPr>
        <w:t> </w:t>
      </w:r>
      <w:r>
        <w:rPr>
          <w:sz w:val="18"/>
        </w:rPr>
        <w:t>at</w:t>
      </w:r>
      <w:r>
        <w:rPr>
          <w:spacing w:val="-4"/>
          <w:sz w:val="18"/>
        </w:rPr>
        <w:t> </w:t>
      </w:r>
      <w:r>
        <w:rPr>
          <w:sz w:val="18"/>
        </w:rPr>
        <w:t>the</w:t>
      </w:r>
      <w:r>
        <w:rPr>
          <w:spacing w:val="3"/>
          <w:sz w:val="18"/>
        </w:rPr>
        <w:t> </w:t>
      </w:r>
      <w:r>
        <w:rPr>
          <w:sz w:val="18"/>
        </w:rPr>
        <w:t>Australian</w:t>
      </w:r>
      <w:r>
        <w:rPr>
          <w:spacing w:val="-1"/>
          <w:sz w:val="18"/>
        </w:rPr>
        <w:t> </w:t>
      </w:r>
      <w:r>
        <w:rPr>
          <w:sz w:val="18"/>
        </w:rPr>
        <w:t>National</w:t>
      </w:r>
      <w:r>
        <w:rPr>
          <w:spacing w:val="-2"/>
          <w:sz w:val="18"/>
        </w:rPr>
        <w:t> </w:t>
      </w:r>
      <w:r>
        <w:rPr>
          <w:sz w:val="18"/>
        </w:rPr>
        <w:t>University</w:t>
      </w:r>
      <w:r>
        <w:rPr>
          <w:spacing w:val="-3"/>
          <w:sz w:val="18"/>
        </w:rPr>
        <w:t> </w:t>
      </w:r>
      <w:r>
        <w:rPr>
          <w:sz w:val="18"/>
        </w:rPr>
        <w:t>will</w:t>
      </w:r>
      <w:r>
        <w:rPr>
          <w:spacing w:val="-6"/>
          <w:sz w:val="18"/>
        </w:rPr>
        <w:t> </w:t>
      </w:r>
      <w:r>
        <w:rPr>
          <w:sz w:val="18"/>
        </w:rPr>
        <w:t>call</w:t>
      </w:r>
      <w:r>
        <w:rPr>
          <w:spacing w:val="-3"/>
          <w:sz w:val="18"/>
        </w:rPr>
        <w:t> </w:t>
      </w:r>
      <w:r>
        <w:rPr>
          <w:sz w:val="18"/>
        </w:rPr>
        <w:t>you</w:t>
      </w:r>
      <w:r>
        <w:rPr>
          <w:spacing w:val="-4"/>
          <w:sz w:val="18"/>
        </w:rPr>
        <w:t> </w:t>
      </w:r>
      <w:r>
        <w:rPr>
          <w:sz w:val="18"/>
        </w:rPr>
        <w:t>in</w:t>
      </w:r>
      <w:r>
        <w:rPr>
          <w:spacing w:val="-1"/>
          <w:sz w:val="18"/>
        </w:rPr>
        <w:t> </w:t>
      </w:r>
      <w:r>
        <w:rPr>
          <w:sz w:val="18"/>
        </w:rPr>
        <w:t>the</w:t>
      </w:r>
      <w:r>
        <w:rPr>
          <w:spacing w:val="-4"/>
          <w:sz w:val="18"/>
        </w:rPr>
        <w:t> </w:t>
      </w:r>
      <w:r>
        <w:rPr>
          <w:sz w:val="18"/>
        </w:rPr>
        <w:t>next</w:t>
      </w:r>
      <w:r>
        <w:rPr>
          <w:spacing w:val="-3"/>
          <w:sz w:val="18"/>
        </w:rPr>
        <w:t> </w:t>
      </w:r>
      <w:r>
        <w:rPr>
          <w:sz w:val="18"/>
        </w:rPr>
        <w:t>few</w:t>
      </w:r>
      <w:r>
        <w:rPr>
          <w:spacing w:val="-3"/>
          <w:sz w:val="18"/>
        </w:rPr>
        <w:t> </w:t>
      </w:r>
      <w:r>
        <w:rPr>
          <w:sz w:val="18"/>
        </w:rPr>
        <w:t>days</w:t>
      </w:r>
      <w:r>
        <w:rPr>
          <w:spacing w:val="-3"/>
          <w:sz w:val="18"/>
        </w:rPr>
        <w:t> </w:t>
      </w:r>
      <w:r>
        <w:rPr>
          <w:sz w:val="18"/>
        </w:rPr>
        <w:t>to</w:t>
      </w:r>
      <w:r>
        <w:rPr>
          <w:spacing w:val="1"/>
          <w:sz w:val="18"/>
        </w:rPr>
        <w:t> </w:t>
      </w:r>
      <w:r>
        <w:rPr>
          <w:sz w:val="18"/>
        </w:rPr>
        <w:t>ask for your help. The survey includes questions about your health condition(s), how these have impacted your</w:t>
      </w:r>
      <w:r>
        <w:rPr>
          <w:spacing w:val="1"/>
          <w:sz w:val="18"/>
        </w:rPr>
        <w:t> </w:t>
      </w:r>
      <w:r>
        <w:rPr>
          <w:sz w:val="18"/>
        </w:rPr>
        <w:t>life,</w:t>
      </w:r>
      <w:r>
        <w:rPr>
          <w:spacing w:val="-3"/>
          <w:sz w:val="18"/>
        </w:rPr>
        <w:t> </w:t>
      </w:r>
      <w:r>
        <w:rPr>
          <w:sz w:val="18"/>
        </w:rPr>
        <w:t>and</w:t>
      </w:r>
      <w:r>
        <w:rPr>
          <w:spacing w:val="-1"/>
          <w:sz w:val="18"/>
        </w:rPr>
        <w:t> </w:t>
      </w:r>
      <w:r>
        <w:rPr>
          <w:sz w:val="18"/>
        </w:rPr>
        <w:t>the services</w:t>
      </w:r>
      <w:r>
        <w:rPr>
          <w:spacing w:val="-1"/>
          <w:sz w:val="18"/>
        </w:rPr>
        <w:t> </w:t>
      </w:r>
      <w:r>
        <w:rPr>
          <w:sz w:val="18"/>
        </w:rPr>
        <w:t>you</w:t>
      </w:r>
      <w:r>
        <w:rPr>
          <w:spacing w:val="-3"/>
          <w:sz w:val="18"/>
        </w:rPr>
        <w:t> </w:t>
      </w:r>
      <w:r>
        <w:rPr>
          <w:sz w:val="18"/>
        </w:rPr>
        <w:t>have received</w:t>
      </w:r>
      <w:r>
        <w:rPr>
          <w:spacing w:val="-1"/>
          <w:sz w:val="18"/>
        </w:rPr>
        <w:t> </w:t>
      </w:r>
      <w:r>
        <w:rPr>
          <w:sz w:val="18"/>
        </w:rPr>
        <w:t>from</w:t>
      </w:r>
      <w:r>
        <w:rPr>
          <w:spacing w:val="-4"/>
          <w:sz w:val="18"/>
        </w:rPr>
        <w:t> </w:t>
      </w:r>
      <w:r>
        <w:rPr>
          <w:sz w:val="18"/>
        </w:rPr>
        <w:t>your GP</w:t>
      </w:r>
      <w:r>
        <w:rPr>
          <w:spacing w:val="-3"/>
          <w:sz w:val="18"/>
        </w:rPr>
        <w:t> </w:t>
      </w:r>
      <w:r>
        <w:rPr>
          <w:sz w:val="18"/>
        </w:rPr>
        <w:t>practice.</w:t>
      </w:r>
    </w:p>
    <w:p>
      <w:pPr>
        <w:pStyle w:val="BodyText"/>
        <w:spacing w:before="4"/>
        <w:rPr>
          <w:sz w:val="16"/>
        </w:rPr>
      </w:pPr>
    </w:p>
    <w:p>
      <w:pPr>
        <w:spacing w:line="276" w:lineRule="auto" w:before="0"/>
        <w:ind w:left="568" w:right="1174" w:firstLine="0"/>
        <w:jc w:val="left"/>
        <w:rPr>
          <w:sz w:val="18"/>
        </w:rPr>
      </w:pPr>
      <w:r>
        <w:rPr>
          <w:sz w:val="18"/>
        </w:rPr>
        <w:t>Any information you provide is confidential and will be stored separately to any identifying information about you</w:t>
      </w:r>
      <w:r>
        <w:rPr>
          <w:spacing w:val="-47"/>
          <w:sz w:val="18"/>
        </w:rPr>
        <w:t> </w:t>
      </w:r>
      <w:r>
        <w:rPr>
          <w:sz w:val="18"/>
        </w:rPr>
        <w:t>so that the researchers analysing the information will not have access to your personal details. The information</w:t>
      </w:r>
      <w:r>
        <w:rPr>
          <w:spacing w:val="1"/>
          <w:sz w:val="18"/>
        </w:rPr>
        <w:t> </w:t>
      </w:r>
      <w:r>
        <w:rPr>
          <w:sz w:val="18"/>
        </w:rPr>
        <w:t>you provide may also be used for other research and if this occurs, the research project will be subject to a</w:t>
      </w:r>
      <w:r>
        <w:rPr>
          <w:spacing w:val="1"/>
          <w:sz w:val="18"/>
        </w:rPr>
        <w:t> </w:t>
      </w:r>
      <w:r>
        <w:rPr>
          <w:sz w:val="18"/>
        </w:rPr>
        <w:t>separate</w:t>
      </w:r>
      <w:r>
        <w:rPr>
          <w:spacing w:val="-1"/>
          <w:sz w:val="18"/>
        </w:rPr>
        <w:t> </w:t>
      </w:r>
      <w:r>
        <w:rPr>
          <w:sz w:val="18"/>
        </w:rPr>
        <w:t>ethics</w:t>
      </w:r>
      <w:r>
        <w:rPr>
          <w:spacing w:val="2"/>
          <w:sz w:val="18"/>
        </w:rPr>
        <w:t> </w:t>
      </w:r>
      <w:r>
        <w:rPr>
          <w:sz w:val="18"/>
        </w:rPr>
        <w:t>approval.</w:t>
      </w:r>
    </w:p>
    <w:p>
      <w:pPr>
        <w:pStyle w:val="BodyText"/>
        <w:spacing w:before="3"/>
        <w:rPr>
          <w:sz w:val="16"/>
        </w:rPr>
      </w:pPr>
    </w:p>
    <w:p>
      <w:pPr>
        <w:spacing w:before="0"/>
        <w:ind w:left="568" w:right="0" w:firstLine="0"/>
        <w:jc w:val="left"/>
        <w:rPr>
          <w:sz w:val="18"/>
        </w:rPr>
      </w:pPr>
      <w:r>
        <w:rPr>
          <w:sz w:val="18"/>
        </w:rPr>
        <w:t>You</w:t>
      </w:r>
      <w:r>
        <w:rPr>
          <w:spacing w:val="-2"/>
          <w:sz w:val="18"/>
        </w:rPr>
        <w:t> </w:t>
      </w:r>
      <w:r>
        <w:rPr>
          <w:sz w:val="18"/>
        </w:rPr>
        <w:t>don’t</w:t>
      </w:r>
      <w:r>
        <w:rPr>
          <w:spacing w:val="-3"/>
          <w:sz w:val="18"/>
        </w:rPr>
        <w:t> </w:t>
      </w:r>
      <w:r>
        <w:rPr>
          <w:sz w:val="18"/>
        </w:rPr>
        <w:t>have</w:t>
      </w:r>
      <w:r>
        <w:rPr>
          <w:spacing w:val="-1"/>
          <w:sz w:val="18"/>
        </w:rPr>
        <w:t> </w:t>
      </w:r>
      <w:r>
        <w:rPr>
          <w:sz w:val="18"/>
        </w:rPr>
        <w:t>to</w:t>
      </w:r>
      <w:r>
        <w:rPr>
          <w:spacing w:val="-2"/>
          <w:sz w:val="18"/>
        </w:rPr>
        <w:t> </w:t>
      </w:r>
      <w:r>
        <w:rPr>
          <w:sz w:val="18"/>
        </w:rPr>
        <w:t>answer</w:t>
      </w:r>
      <w:r>
        <w:rPr>
          <w:spacing w:val="-1"/>
          <w:sz w:val="18"/>
        </w:rPr>
        <w:t> </w:t>
      </w:r>
      <w:r>
        <w:rPr>
          <w:sz w:val="18"/>
        </w:rPr>
        <w:t>any</w:t>
      </w:r>
      <w:r>
        <w:rPr>
          <w:spacing w:val="-2"/>
          <w:sz w:val="18"/>
        </w:rPr>
        <w:t> </w:t>
      </w:r>
      <w:r>
        <w:rPr>
          <w:sz w:val="18"/>
        </w:rPr>
        <w:t>question</w:t>
      </w:r>
      <w:r>
        <w:rPr>
          <w:spacing w:val="-4"/>
          <w:sz w:val="18"/>
        </w:rPr>
        <w:t> </w:t>
      </w:r>
      <w:r>
        <w:rPr>
          <w:sz w:val="18"/>
        </w:rPr>
        <w:t>you</w:t>
      </w:r>
      <w:r>
        <w:rPr>
          <w:spacing w:val="-1"/>
          <w:sz w:val="18"/>
        </w:rPr>
        <w:t> </w:t>
      </w:r>
      <w:r>
        <w:rPr>
          <w:sz w:val="18"/>
        </w:rPr>
        <w:t>don’t</w:t>
      </w:r>
      <w:r>
        <w:rPr>
          <w:spacing w:val="-3"/>
          <w:sz w:val="18"/>
        </w:rPr>
        <w:t> </w:t>
      </w:r>
      <w:r>
        <w:rPr>
          <w:sz w:val="18"/>
        </w:rPr>
        <w:t>want</w:t>
      </w:r>
      <w:r>
        <w:rPr>
          <w:spacing w:val="-3"/>
          <w:sz w:val="18"/>
        </w:rPr>
        <w:t> </w:t>
      </w:r>
      <w:r>
        <w:rPr>
          <w:sz w:val="18"/>
        </w:rPr>
        <w:t>to,</w:t>
      </w:r>
      <w:r>
        <w:rPr>
          <w:spacing w:val="-3"/>
          <w:sz w:val="18"/>
        </w:rPr>
        <w:t> </w:t>
      </w:r>
      <w:r>
        <w:rPr>
          <w:sz w:val="18"/>
        </w:rPr>
        <w:t>and</w:t>
      </w:r>
      <w:r>
        <w:rPr>
          <w:spacing w:val="-3"/>
          <w:sz w:val="18"/>
        </w:rPr>
        <w:t> </w:t>
      </w:r>
      <w:r>
        <w:rPr>
          <w:sz w:val="18"/>
        </w:rPr>
        <w:t>you</w:t>
      </w:r>
      <w:r>
        <w:rPr>
          <w:spacing w:val="-1"/>
          <w:sz w:val="18"/>
        </w:rPr>
        <w:t> </w:t>
      </w:r>
      <w:r>
        <w:rPr>
          <w:sz w:val="18"/>
        </w:rPr>
        <w:t>can</w:t>
      </w:r>
      <w:r>
        <w:rPr>
          <w:spacing w:val="-1"/>
          <w:sz w:val="18"/>
        </w:rPr>
        <w:t> </w:t>
      </w:r>
      <w:r>
        <w:rPr>
          <w:sz w:val="18"/>
        </w:rPr>
        <w:t>end</w:t>
      </w:r>
      <w:r>
        <w:rPr>
          <w:spacing w:val="-2"/>
          <w:sz w:val="18"/>
        </w:rPr>
        <w:t> </w:t>
      </w:r>
      <w:r>
        <w:rPr>
          <w:sz w:val="18"/>
        </w:rPr>
        <w:t>the</w:t>
      </w:r>
      <w:r>
        <w:rPr>
          <w:spacing w:val="-5"/>
          <w:sz w:val="18"/>
        </w:rPr>
        <w:t> </w:t>
      </w:r>
      <w:r>
        <w:rPr>
          <w:sz w:val="18"/>
        </w:rPr>
        <w:t>interview</w:t>
      </w:r>
      <w:r>
        <w:rPr>
          <w:spacing w:val="-2"/>
          <w:sz w:val="18"/>
        </w:rPr>
        <w:t> </w:t>
      </w:r>
      <w:r>
        <w:rPr>
          <w:sz w:val="18"/>
        </w:rPr>
        <w:t>at</w:t>
      </w:r>
      <w:r>
        <w:rPr>
          <w:spacing w:val="-3"/>
          <w:sz w:val="18"/>
        </w:rPr>
        <w:t> </w:t>
      </w:r>
      <w:r>
        <w:rPr>
          <w:sz w:val="18"/>
        </w:rPr>
        <w:t>any</w:t>
      </w:r>
      <w:r>
        <w:rPr>
          <w:spacing w:val="-2"/>
          <w:sz w:val="18"/>
        </w:rPr>
        <w:t> </w:t>
      </w:r>
      <w:r>
        <w:rPr>
          <w:sz w:val="18"/>
        </w:rPr>
        <w:t>time.</w:t>
      </w:r>
    </w:p>
    <w:p>
      <w:pPr>
        <w:pStyle w:val="BodyText"/>
        <w:rPr>
          <w:sz w:val="19"/>
        </w:rPr>
      </w:pPr>
    </w:p>
    <w:p>
      <w:pPr>
        <w:spacing w:line="276" w:lineRule="auto" w:before="0"/>
        <w:ind w:left="568" w:right="1269" w:firstLine="0"/>
        <w:jc w:val="left"/>
        <w:rPr>
          <w:sz w:val="18"/>
        </w:rPr>
      </w:pPr>
      <w:r>
        <w:rPr>
          <w:sz w:val="18"/>
        </w:rPr>
        <w:t>To book a time for an interview, or to opt out, please call the Social Research Centre on 1800 023 040. If you</w:t>
      </w:r>
      <w:r>
        <w:rPr>
          <w:spacing w:val="1"/>
          <w:sz w:val="18"/>
        </w:rPr>
        <w:t> </w:t>
      </w:r>
      <w:r>
        <w:rPr>
          <w:sz w:val="18"/>
        </w:rPr>
        <w:t>would like any further information about the research, please contact Health Policy Analysis on (02) 8065 6491 or</w:t>
      </w:r>
      <w:r>
        <w:rPr>
          <w:spacing w:val="-47"/>
          <w:sz w:val="18"/>
        </w:rPr>
        <w:t> </w:t>
      </w:r>
      <w:r>
        <w:rPr>
          <w:sz w:val="18"/>
        </w:rPr>
        <w:t>me</w:t>
      </w:r>
      <w:r>
        <w:rPr>
          <w:spacing w:val="-1"/>
          <w:sz w:val="18"/>
        </w:rPr>
        <w:t> </w:t>
      </w:r>
      <w:r>
        <w:rPr>
          <w:sz w:val="18"/>
        </w:rPr>
        <w:t>at</w:t>
      </w:r>
      <w:r>
        <w:rPr>
          <w:spacing w:val="-2"/>
          <w:sz w:val="18"/>
        </w:rPr>
        <w:t> </w:t>
      </w:r>
      <w:hyperlink r:id="rId61">
        <w:r>
          <w:rPr>
            <w:sz w:val="18"/>
          </w:rPr>
          <w:t>jpearse@healthpolicy.com.au.</w:t>
        </w:r>
      </w:hyperlink>
    </w:p>
    <w:p>
      <w:pPr>
        <w:pStyle w:val="BodyText"/>
        <w:spacing w:before="5"/>
        <w:rPr>
          <w:sz w:val="16"/>
        </w:rPr>
      </w:pPr>
    </w:p>
    <w:p>
      <w:pPr>
        <w:spacing w:line="276" w:lineRule="auto" w:before="0"/>
        <w:ind w:left="568" w:right="1122" w:firstLine="0"/>
        <w:jc w:val="left"/>
        <w:rPr>
          <w:sz w:val="18"/>
        </w:rPr>
      </w:pPr>
      <w:r>
        <w:rPr>
          <w:sz w:val="18"/>
        </w:rPr>
        <w:t>The evaluation of HCH was approved by the Department of Health Human Research Ethics Committee [Project</w:t>
      </w:r>
      <w:r>
        <w:rPr>
          <w:spacing w:val="1"/>
          <w:sz w:val="18"/>
        </w:rPr>
        <w:t> </w:t>
      </w:r>
      <w:r>
        <w:rPr>
          <w:sz w:val="18"/>
        </w:rPr>
        <w:t>04-2017] in September 2017. This committee subsequently disbanded, and in September 2018, ethical oversight for</w:t>
      </w:r>
      <w:r>
        <w:rPr>
          <w:spacing w:val="-47"/>
          <w:sz w:val="18"/>
        </w:rPr>
        <w:t> </w:t>
      </w:r>
      <w:r>
        <w:rPr>
          <w:sz w:val="18"/>
        </w:rPr>
        <w:t>the evaluation was transferred to the ACT Health Human Research Ethics Committee. If you have any concerns or</w:t>
      </w:r>
      <w:r>
        <w:rPr>
          <w:spacing w:val="-47"/>
          <w:sz w:val="18"/>
        </w:rPr>
        <w:t> </w:t>
      </w:r>
      <w:r>
        <w:rPr>
          <w:sz w:val="18"/>
        </w:rPr>
        <w:t>complaints on the ethical conduct of this research, please contact the Committee Secretariat by email at</w:t>
      </w:r>
      <w:r>
        <w:rPr>
          <w:spacing w:val="1"/>
          <w:sz w:val="18"/>
        </w:rPr>
        <w:t> </w:t>
      </w:r>
      <w:hyperlink r:id="rId52">
        <w:r>
          <w:rPr>
            <w:color w:val="0000FF"/>
            <w:sz w:val="18"/>
            <w:u w:val="single" w:color="0000FF"/>
          </w:rPr>
          <w:t>ethics@act.gov.au</w:t>
        </w:r>
        <w:r>
          <w:rPr>
            <w:sz w:val="18"/>
          </w:rPr>
          <w:t>. </w:t>
        </w:r>
      </w:hyperlink>
      <w:r>
        <w:rPr>
          <w:sz w:val="18"/>
        </w:rPr>
        <w:t>Information about the Health Care Homes program itself is available in the patient handbook,</w:t>
      </w:r>
      <w:r>
        <w:rPr>
          <w:spacing w:val="-47"/>
          <w:sz w:val="18"/>
        </w:rPr>
        <w:t> </w:t>
      </w:r>
      <w:r>
        <w:rPr>
          <w:sz w:val="18"/>
        </w:rPr>
        <w:t>which your GP gave you when you enrolled or from the Department of Health’s website at:</w:t>
      </w:r>
      <w:r>
        <w:rPr>
          <w:spacing w:val="1"/>
          <w:sz w:val="18"/>
        </w:rPr>
        <w:t> </w:t>
      </w:r>
      <w:hyperlink r:id="rId62">
        <w:r>
          <w:rPr>
            <w:sz w:val="18"/>
          </w:rPr>
          <w:t>www.health.gov.au/internet/main/publishing.nsf/content/health-care-homes.</w:t>
        </w:r>
      </w:hyperlink>
    </w:p>
    <w:p>
      <w:pPr>
        <w:pStyle w:val="BodyText"/>
        <w:spacing w:before="5"/>
        <w:rPr>
          <w:sz w:val="16"/>
        </w:rPr>
      </w:pPr>
    </w:p>
    <w:p>
      <w:pPr>
        <w:spacing w:line="273" w:lineRule="auto" w:before="0"/>
        <w:ind w:left="568" w:right="1103" w:firstLine="0"/>
        <w:jc w:val="left"/>
        <w:rPr>
          <w:sz w:val="18"/>
        </w:rPr>
      </w:pPr>
      <w:r>
        <w:rPr>
          <w:sz w:val="18"/>
        </w:rPr>
        <w:t>As</w:t>
      </w:r>
      <w:r>
        <w:rPr>
          <w:spacing w:val="1"/>
          <w:sz w:val="18"/>
        </w:rPr>
        <w:t> </w:t>
      </w:r>
      <w:r>
        <w:rPr>
          <w:sz w:val="18"/>
        </w:rPr>
        <w:t>a</w:t>
      </w:r>
      <w:r>
        <w:rPr>
          <w:spacing w:val="-3"/>
          <w:sz w:val="18"/>
        </w:rPr>
        <w:t> </w:t>
      </w:r>
      <w:r>
        <w:rPr>
          <w:sz w:val="18"/>
        </w:rPr>
        <w:t>token</w:t>
      </w:r>
      <w:r>
        <w:rPr>
          <w:spacing w:val="-2"/>
          <w:sz w:val="18"/>
        </w:rPr>
        <w:t> </w:t>
      </w:r>
      <w:r>
        <w:rPr>
          <w:sz w:val="18"/>
        </w:rPr>
        <w:t>of</w:t>
      </w:r>
      <w:r>
        <w:rPr>
          <w:spacing w:val="-1"/>
          <w:sz w:val="18"/>
        </w:rPr>
        <w:t> </w:t>
      </w:r>
      <w:r>
        <w:rPr>
          <w:sz w:val="18"/>
        </w:rPr>
        <w:t>our</w:t>
      </w:r>
      <w:r>
        <w:rPr>
          <w:spacing w:val="-4"/>
          <w:sz w:val="18"/>
        </w:rPr>
        <w:t> </w:t>
      </w:r>
      <w:r>
        <w:rPr>
          <w:sz w:val="18"/>
        </w:rPr>
        <w:t>appreciation,</w:t>
      </w:r>
      <w:r>
        <w:rPr>
          <w:spacing w:val="-4"/>
          <w:sz w:val="18"/>
        </w:rPr>
        <w:t> </w:t>
      </w:r>
      <w:r>
        <w:rPr>
          <w:sz w:val="18"/>
        </w:rPr>
        <w:t>and</w:t>
      </w:r>
      <w:r>
        <w:rPr>
          <w:spacing w:val="-3"/>
          <w:sz w:val="18"/>
        </w:rPr>
        <w:t> </w:t>
      </w:r>
      <w:r>
        <w:rPr>
          <w:sz w:val="18"/>
        </w:rPr>
        <w:t>to</w:t>
      </w:r>
      <w:r>
        <w:rPr>
          <w:spacing w:val="-3"/>
          <w:sz w:val="18"/>
        </w:rPr>
        <w:t> </w:t>
      </w:r>
      <w:r>
        <w:rPr>
          <w:sz w:val="18"/>
        </w:rPr>
        <w:t>say</w:t>
      </w:r>
      <w:r>
        <w:rPr>
          <w:spacing w:val="-1"/>
          <w:sz w:val="18"/>
        </w:rPr>
        <w:t> </w:t>
      </w:r>
      <w:r>
        <w:rPr>
          <w:sz w:val="18"/>
        </w:rPr>
        <w:t>thank</w:t>
      </w:r>
      <w:r>
        <w:rPr>
          <w:spacing w:val="-2"/>
          <w:sz w:val="18"/>
        </w:rPr>
        <w:t> </w:t>
      </w:r>
      <w:r>
        <w:rPr>
          <w:sz w:val="18"/>
        </w:rPr>
        <w:t>you</w:t>
      </w:r>
      <w:r>
        <w:rPr>
          <w:spacing w:val="-2"/>
          <w:sz w:val="18"/>
        </w:rPr>
        <w:t> </w:t>
      </w:r>
      <w:r>
        <w:rPr>
          <w:sz w:val="18"/>
        </w:rPr>
        <w:t>for</w:t>
      </w:r>
      <w:r>
        <w:rPr>
          <w:spacing w:val="-4"/>
          <w:sz w:val="18"/>
        </w:rPr>
        <w:t> </w:t>
      </w:r>
      <w:r>
        <w:rPr>
          <w:sz w:val="18"/>
        </w:rPr>
        <w:t>your</w:t>
      </w:r>
      <w:r>
        <w:rPr>
          <w:spacing w:val="-2"/>
          <w:sz w:val="18"/>
        </w:rPr>
        <w:t> </w:t>
      </w:r>
      <w:r>
        <w:rPr>
          <w:sz w:val="18"/>
        </w:rPr>
        <w:t>time,</w:t>
      </w:r>
      <w:r>
        <w:rPr>
          <w:spacing w:val="-4"/>
          <w:sz w:val="18"/>
        </w:rPr>
        <w:t> </w:t>
      </w:r>
      <w:r>
        <w:rPr>
          <w:sz w:val="18"/>
        </w:rPr>
        <w:t>we</w:t>
      </w:r>
      <w:r>
        <w:rPr>
          <w:spacing w:val="-2"/>
          <w:sz w:val="18"/>
        </w:rPr>
        <w:t> </w:t>
      </w:r>
      <w:r>
        <w:rPr>
          <w:sz w:val="18"/>
        </w:rPr>
        <w:t>have</w:t>
      </w:r>
      <w:r>
        <w:rPr>
          <w:spacing w:val="-2"/>
          <w:sz w:val="18"/>
        </w:rPr>
        <w:t> </w:t>
      </w:r>
      <w:r>
        <w:rPr>
          <w:sz w:val="18"/>
        </w:rPr>
        <w:t>included</w:t>
      </w:r>
      <w:r>
        <w:rPr>
          <w:spacing w:val="-3"/>
          <w:sz w:val="18"/>
        </w:rPr>
        <w:t> </w:t>
      </w:r>
      <w:r>
        <w:rPr>
          <w:sz w:val="18"/>
        </w:rPr>
        <w:t>a</w:t>
      </w:r>
      <w:r>
        <w:rPr>
          <w:spacing w:val="-2"/>
          <w:sz w:val="18"/>
        </w:rPr>
        <w:t> </w:t>
      </w:r>
      <w:r>
        <w:rPr>
          <w:sz w:val="18"/>
        </w:rPr>
        <w:t>$10</w:t>
      </w:r>
      <w:r>
        <w:rPr>
          <w:spacing w:val="-2"/>
          <w:sz w:val="18"/>
        </w:rPr>
        <w:t> </w:t>
      </w:r>
      <w:r>
        <w:rPr>
          <w:sz w:val="18"/>
        </w:rPr>
        <w:t>Coles</w:t>
      </w:r>
      <w:r>
        <w:rPr>
          <w:spacing w:val="-3"/>
          <w:sz w:val="18"/>
        </w:rPr>
        <w:t> </w:t>
      </w:r>
      <w:r>
        <w:rPr>
          <w:sz w:val="18"/>
        </w:rPr>
        <w:t>Myer</w:t>
      </w:r>
      <w:r>
        <w:rPr>
          <w:spacing w:val="-2"/>
          <w:sz w:val="18"/>
        </w:rPr>
        <w:t> </w:t>
      </w:r>
      <w:r>
        <w:rPr>
          <w:sz w:val="18"/>
        </w:rPr>
        <w:t>gift</w:t>
      </w:r>
      <w:r>
        <w:rPr>
          <w:spacing w:val="-5"/>
          <w:sz w:val="18"/>
        </w:rPr>
        <w:t> </w:t>
      </w:r>
      <w:r>
        <w:rPr>
          <w:sz w:val="18"/>
        </w:rPr>
        <w:t>card.</w:t>
      </w:r>
      <w:r>
        <w:rPr>
          <w:spacing w:val="1"/>
          <w:sz w:val="18"/>
        </w:rPr>
        <w:t> </w:t>
      </w:r>
      <w:r>
        <w:rPr>
          <w:sz w:val="18"/>
        </w:rPr>
        <w:t>The</w:t>
      </w:r>
      <w:r>
        <w:rPr>
          <w:spacing w:val="-2"/>
          <w:sz w:val="18"/>
        </w:rPr>
        <w:t> </w:t>
      </w:r>
      <w:r>
        <w:rPr>
          <w:sz w:val="18"/>
        </w:rPr>
        <w:t>gift</w:t>
      </w:r>
      <w:r>
        <w:rPr>
          <w:spacing w:val="-2"/>
          <w:sz w:val="18"/>
        </w:rPr>
        <w:t> </w:t>
      </w:r>
      <w:r>
        <w:rPr>
          <w:sz w:val="18"/>
        </w:rPr>
        <w:t>card</w:t>
      </w:r>
      <w:r>
        <w:rPr>
          <w:spacing w:val="-4"/>
          <w:sz w:val="18"/>
        </w:rPr>
        <w:t> </w:t>
      </w:r>
      <w:r>
        <w:rPr>
          <w:sz w:val="18"/>
        </w:rPr>
        <w:t>is</w:t>
      </w:r>
      <w:r>
        <w:rPr>
          <w:spacing w:val="-2"/>
          <w:sz w:val="18"/>
        </w:rPr>
        <w:t> </w:t>
      </w:r>
      <w:r>
        <w:rPr>
          <w:sz w:val="18"/>
        </w:rPr>
        <w:t>yours</w:t>
      </w:r>
      <w:r>
        <w:rPr>
          <w:spacing w:val="-2"/>
          <w:sz w:val="18"/>
        </w:rPr>
        <w:t> </w:t>
      </w:r>
      <w:r>
        <w:rPr>
          <w:sz w:val="18"/>
        </w:rPr>
        <w:t>to</w:t>
      </w:r>
      <w:r>
        <w:rPr>
          <w:spacing w:val="-1"/>
          <w:sz w:val="18"/>
        </w:rPr>
        <w:t> </w:t>
      </w:r>
      <w:r>
        <w:rPr>
          <w:sz w:val="18"/>
        </w:rPr>
        <w:t>keep</w:t>
      </w:r>
      <w:r>
        <w:rPr>
          <w:spacing w:val="-2"/>
          <w:sz w:val="18"/>
        </w:rPr>
        <w:t> </w:t>
      </w:r>
      <w:r>
        <w:rPr>
          <w:sz w:val="18"/>
        </w:rPr>
        <w:t>and use,</w:t>
      </w:r>
      <w:r>
        <w:rPr>
          <w:spacing w:val="-3"/>
          <w:sz w:val="18"/>
        </w:rPr>
        <w:t> </w:t>
      </w:r>
      <w:r>
        <w:rPr>
          <w:sz w:val="18"/>
        </w:rPr>
        <w:t>regardless</w:t>
      </w:r>
      <w:r>
        <w:rPr>
          <w:spacing w:val="-2"/>
          <w:sz w:val="18"/>
        </w:rPr>
        <w:t> </w:t>
      </w:r>
      <w:r>
        <w:rPr>
          <w:sz w:val="18"/>
        </w:rPr>
        <w:t>of</w:t>
      </w:r>
      <w:r>
        <w:rPr>
          <w:spacing w:val="-1"/>
          <w:sz w:val="18"/>
        </w:rPr>
        <w:t> </w:t>
      </w:r>
      <w:r>
        <w:rPr>
          <w:sz w:val="18"/>
        </w:rPr>
        <w:t>whether</w:t>
      </w:r>
      <w:r>
        <w:rPr>
          <w:spacing w:val="-1"/>
          <w:sz w:val="18"/>
        </w:rPr>
        <w:t> </w:t>
      </w:r>
      <w:r>
        <w:rPr>
          <w:sz w:val="18"/>
        </w:rPr>
        <w:t>you</w:t>
      </w:r>
      <w:r>
        <w:rPr>
          <w:spacing w:val="-3"/>
          <w:sz w:val="18"/>
        </w:rPr>
        <w:t> </w:t>
      </w:r>
      <w:r>
        <w:rPr>
          <w:sz w:val="18"/>
        </w:rPr>
        <w:t>choose</w:t>
      </w:r>
      <w:r>
        <w:rPr>
          <w:spacing w:val="-1"/>
          <w:sz w:val="18"/>
        </w:rPr>
        <w:t> </w:t>
      </w:r>
      <w:r>
        <w:rPr>
          <w:sz w:val="18"/>
        </w:rPr>
        <w:t>to</w:t>
      </w:r>
      <w:r>
        <w:rPr>
          <w:spacing w:val="-1"/>
          <w:sz w:val="18"/>
        </w:rPr>
        <w:t> </w:t>
      </w:r>
      <w:r>
        <w:rPr>
          <w:sz w:val="18"/>
        </w:rPr>
        <w:t>participate</w:t>
      </w:r>
      <w:r>
        <w:rPr>
          <w:spacing w:val="-1"/>
          <w:sz w:val="18"/>
        </w:rPr>
        <w:t> </w:t>
      </w:r>
      <w:r>
        <w:rPr>
          <w:sz w:val="18"/>
        </w:rPr>
        <w:t>in</w:t>
      </w:r>
      <w:r>
        <w:rPr>
          <w:spacing w:val="-1"/>
          <w:sz w:val="18"/>
        </w:rPr>
        <w:t> </w:t>
      </w:r>
      <w:r>
        <w:rPr>
          <w:sz w:val="18"/>
        </w:rPr>
        <w:t>the</w:t>
      </w:r>
      <w:r>
        <w:rPr>
          <w:spacing w:val="-1"/>
          <w:sz w:val="18"/>
        </w:rPr>
        <w:t> </w:t>
      </w:r>
      <w:r>
        <w:rPr>
          <w:sz w:val="18"/>
        </w:rPr>
        <w:t>survey.</w:t>
      </w:r>
    </w:p>
    <w:p>
      <w:pPr>
        <w:pStyle w:val="BodyText"/>
        <w:spacing w:before="6"/>
        <w:rPr>
          <w:sz w:val="16"/>
        </w:rPr>
      </w:pPr>
    </w:p>
    <w:p>
      <w:pPr>
        <w:spacing w:line="494" w:lineRule="auto" w:before="0"/>
        <w:ind w:left="568" w:right="9863" w:firstLine="0"/>
        <w:jc w:val="left"/>
        <w:rPr>
          <w:sz w:val="18"/>
        </w:rPr>
      </w:pPr>
      <w:r>
        <w:rPr>
          <w:sz w:val="18"/>
        </w:rPr>
        <w:t>Many thanks.</w:t>
      </w:r>
      <w:r>
        <w:rPr>
          <w:spacing w:val="-47"/>
          <w:sz w:val="18"/>
        </w:rPr>
        <w:t> </w:t>
      </w:r>
      <w:r>
        <w:rPr>
          <w:sz w:val="18"/>
        </w:rPr>
        <w:t>Jim</w:t>
      </w:r>
      <w:r>
        <w:rPr>
          <w:spacing w:val="-5"/>
          <w:sz w:val="18"/>
        </w:rPr>
        <w:t> </w:t>
      </w:r>
      <w:r>
        <w:rPr>
          <w:sz w:val="18"/>
        </w:rPr>
        <w:t>Pearse</w:t>
      </w:r>
    </w:p>
    <w:p>
      <w:pPr>
        <w:spacing w:line="273" w:lineRule="auto" w:before="1"/>
        <w:ind w:left="568" w:right="7797" w:firstLine="0"/>
        <w:jc w:val="left"/>
        <w:rPr>
          <w:sz w:val="18"/>
        </w:rPr>
      </w:pPr>
      <w:r>
        <w:rPr>
          <w:sz w:val="18"/>
        </w:rPr>
        <w:t>Director Health Policy Analysis Pty Ltd</w:t>
      </w:r>
      <w:r>
        <w:rPr>
          <w:spacing w:val="-47"/>
          <w:sz w:val="18"/>
        </w:rPr>
        <w:t> </w:t>
      </w:r>
      <w:r>
        <w:rPr>
          <w:sz w:val="18"/>
        </w:rPr>
        <w:t>Suite</w:t>
      </w:r>
      <w:r>
        <w:rPr>
          <w:spacing w:val="-3"/>
          <w:sz w:val="18"/>
        </w:rPr>
        <w:t> </w:t>
      </w:r>
      <w:r>
        <w:rPr>
          <w:sz w:val="18"/>
        </w:rPr>
        <w:t>101,</w:t>
      </w:r>
      <w:r>
        <w:rPr>
          <w:spacing w:val="-3"/>
          <w:sz w:val="18"/>
        </w:rPr>
        <w:t> </w:t>
      </w:r>
      <w:r>
        <w:rPr>
          <w:sz w:val="18"/>
        </w:rPr>
        <w:t>30</w:t>
      </w:r>
      <w:r>
        <w:rPr>
          <w:spacing w:val="5"/>
          <w:sz w:val="18"/>
        </w:rPr>
        <w:t> </w:t>
      </w:r>
      <w:r>
        <w:rPr>
          <w:sz w:val="18"/>
        </w:rPr>
        <w:t>Atchison Street</w:t>
      </w:r>
    </w:p>
    <w:p>
      <w:pPr>
        <w:spacing w:before="3"/>
        <w:ind w:left="568" w:right="0" w:firstLine="0"/>
        <w:jc w:val="left"/>
        <w:rPr>
          <w:sz w:val="18"/>
        </w:rPr>
      </w:pPr>
      <w:r>
        <w:rPr>
          <w:sz w:val="18"/>
        </w:rPr>
        <w:t>St</w:t>
      </w:r>
      <w:r>
        <w:rPr>
          <w:spacing w:val="-2"/>
          <w:sz w:val="18"/>
        </w:rPr>
        <w:t> </w:t>
      </w:r>
      <w:r>
        <w:rPr>
          <w:sz w:val="18"/>
        </w:rPr>
        <w:t>Leonards,</w:t>
      </w:r>
      <w:r>
        <w:rPr>
          <w:spacing w:val="-3"/>
          <w:sz w:val="18"/>
        </w:rPr>
        <w:t> </w:t>
      </w:r>
      <w:r>
        <w:rPr>
          <w:sz w:val="18"/>
        </w:rPr>
        <w:t>NSW</w:t>
      </w:r>
      <w:r>
        <w:rPr>
          <w:spacing w:val="-5"/>
          <w:sz w:val="18"/>
        </w:rPr>
        <w:t> </w:t>
      </w:r>
      <w:r>
        <w:rPr>
          <w:sz w:val="18"/>
        </w:rPr>
        <w:t>2065</w:t>
      </w:r>
    </w:p>
    <w:p>
      <w:pPr>
        <w:pStyle w:val="BodyText"/>
        <w:spacing w:before="2"/>
        <w:rPr>
          <w:sz w:val="16"/>
        </w:rPr>
      </w:pPr>
    </w:p>
    <w:p>
      <w:pPr>
        <w:spacing w:before="100"/>
        <w:ind w:left="420" w:right="0" w:firstLine="0"/>
        <w:jc w:val="left"/>
        <w:rPr>
          <w:sz w:val="18"/>
        </w:rPr>
      </w:pPr>
      <w:r>
        <w:rPr>
          <w:sz w:val="18"/>
        </w:rPr>
        <w:t>The</w:t>
      </w:r>
      <w:r>
        <w:rPr>
          <w:spacing w:val="-2"/>
          <w:sz w:val="18"/>
        </w:rPr>
        <w:t> </w:t>
      </w:r>
      <w:r>
        <w:rPr>
          <w:sz w:val="18"/>
        </w:rPr>
        <w:t>questions</w:t>
      </w:r>
      <w:r>
        <w:rPr>
          <w:spacing w:val="-1"/>
          <w:sz w:val="18"/>
        </w:rPr>
        <w:t> </w:t>
      </w:r>
      <w:r>
        <w:rPr>
          <w:sz w:val="18"/>
        </w:rPr>
        <w:t>below</w:t>
      </w:r>
      <w:r>
        <w:rPr>
          <w:spacing w:val="-4"/>
          <w:sz w:val="18"/>
        </w:rPr>
        <w:t> </w:t>
      </w:r>
      <w:r>
        <w:rPr>
          <w:sz w:val="18"/>
        </w:rPr>
        <w:t>apply</w:t>
      </w:r>
      <w:r>
        <w:rPr>
          <w:spacing w:val="-2"/>
          <w:sz w:val="18"/>
        </w:rPr>
        <w:t> </w:t>
      </w:r>
      <w:r>
        <w:rPr>
          <w:sz w:val="18"/>
        </w:rPr>
        <w:t>to</w:t>
      </w:r>
      <w:r>
        <w:rPr>
          <w:spacing w:val="-2"/>
          <w:sz w:val="18"/>
        </w:rPr>
        <w:t> </w:t>
      </w:r>
      <w:r>
        <w:rPr>
          <w:sz w:val="18"/>
        </w:rPr>
        <w:t>all</w:t>
      </w:r>
      <w:r>
        <w:rPr>
          <w:spacing w:val="-3"/>
          <w:sz w:val="18"/>
        </w:rPr>
        <w:t> </w:t>
      </w:r>
      <w:r>
        <w:rPr>
          <w:sz w:val="18"/>
        </w:rPr>
        <w:t>interview</w:t>
      </w:r>
      <w:r>
        <w:rPr>
          <w:spacing w:val="-3"/>
          <w:sz w:val="18"/>
        </w:rPr>
        <w:t> </w:t>
      </w:r>
      <w:r>
        <w:rPr>
          <w:sz w:val="18"/>
        </w:rPr>
        <w:t>rounds</w:t>
      </w:r>
      <w:r>
        <w:rPr>
          <w:spacing w:val="1"/>
          <w:sz w:val="18"/>
        </w:rPr>
        <w:t> </w:t>
      </w:r>
      <w:r>
        <w:rPr>
          <w:sz w:val="18"/>
        </w:rPr>
        <w:t>(1,</w:t>
      </w:r>
      <w:r>
        <w:rPr>
          <w:spacing w:val="-5"/>
          <w:sz w:val="18"/>
        </w:rPr>
        <w:t> </w:t>
      </w:r>
      <w:r>
        <w:rPr>
          <w:sz w:val="18"/>
        </w:rPr>
        <w:t>2,</w:t>
      </w:r>
      <w:r>
        <w:rPr>
          <w:spacing w:val="-4"/>
          <w:sz w:val="18"/>
        </w:rPr>
        <w:t> </w:t>
      </w:r>
      <w:r>
        <w:rPr>
          <w:sz w:val="18"/>
        </w:rPr>
        <w:t>3)</w:t>
      </w:r>
      <w:r>
        <w:rPr>
          <w:spacing w:val="-4"/>
          <w:sz w:val="18"/>
        </w:rPr>
        <w:t> </w:t>
      </w:r>
      <w:r>
        <w:rPr>
          <w:sz w:val="18"/>
        </w:rPr>
        <w:t>unless</w:t>
      </w:r>
      <w:r>
        <w:rPr>
          <w:spacing w:val="-2"/>
          <w:sz w:val="18"/>
        </w:rPr>
        <w:t> </w:t>
      </w:r>
      <w:r>
        <w:rPr>
          <w:sz w:val="18"/>
        </w:rPr>
        <w:t>stated</w:t>
      </w:r>
      <w:r>
        <w:rPr>
          <w:spacing w:val="-3"/>
          <w:sz w:val="18"/>
        </w:rPr>
        <w:t> </w:t>
      </w:r>
      <w:r>
        <w:rPr>
          <w:sz w:val="18"/>
        </w:rPr>
        <w:t>otherwise.</w:t>
      </w:r>
    </w:p>
    <w:p>
      <w:pPr>
        <w:spacing w:after="0"/>
        <w:jc w:val="left"/>
        <w:rPr>
          <w:sz w:val="18"/>
        </w:rPr>
        <w:sectPr>
          <w:footerReference w:type="default" r:id="rId60"/>
          <w:pgSz w:w="11910" w:h="16840"/>
          <w:pgMar w:footer="948" w:header="0" w:top="860" w:bottom="1140" w:left="300" w:right="0"/>
        </w:sectPr>
      </w:pPr>
    </w:p>
    <w:p>
      <w:pPr>
        <w:pStyle w:val="BodyText"/>
        <w:ind w:left="420"/>
      </w:pPr>
      <w:r>
        <w:rPr/>
        <w:pict>
          <v:shape style="width:523.85pt;height:149.2pt;mso-position-horizontal-relative:char;mso-position-vertical-relative:line" type="#_x0000_t202" id="docshape268" filled="true" fillcolor="#f1f1f1" stroked="false">
            <w10:anchorlock/>
            <v:textbox inset="0,0,0,0">
              <w:txbxContent>
                <w:p>
                  <w:pPr>
                    <w:spacing w:before="76"/>
                    <w:ind w:left="2588" w:right="2590" w:firstLine="0"/>
                    <w:jc w:val="center"/>
                    <w:rPr>
                      <w:b/>
                      <w:color w:val="000000"/>
                      <w:sz w:val="18"/>
                    </w:rPr>
                  </w:pPr>
                  <w:r>
                    <w:rPr>
                      <w:b/>
                      <w:color w:val="000000"/>
                      <w:sz w:val="18"/>
                    </w:rPr>
                    <w:t>Computer</w:t>
                  </w:r>
                  <w:r>
                    <w:rPr>
                      <w:b/>
                      <w:color w:val="000000"/>
                      <w:spacing w:val="-6"/>
                      <w:sz w:val="18"/>
                    </w:rPr>
                    <w:t> </w:t>
                  </w:r>
                  <w:r>
                    <w:rPr>
                      <w:b/>
                      <w:color w:val="000000"/>
                      <w:sz w:val="18"/>
                    </w:rPr>
                    <w:t>assisted</w:t>
                  </w:r>
                  <w:r>
                    <w:rPr>
                      <w:b/>
                      <w:color w:val="000000"/>
                      <w:spacing w:val="-4"/>
                      <w:sz w:val="18"/>
                    </w:rPr>
                    <w:t> </w:t>
                  </w:r>
                  <w:r>
                    <w:rPr>
                      <w:b/>
                      <w:color w:val="000000"/>
                      <w:sz w:val="18"/>
                    </w:rPr>
                    <w:t>telephone</w:t>
                  </w:r>
                  <w:r>
                    <w:rPr>
                      <w:b/>
                      <w:color w:val="000000"/>
                      <w:spacing w:val="-5"/>
                      <w:sz w:val="18"/>
                    </w:rPr>
                    <w:t> </w:t>
                  </w:r>
                  <w:r>
                    <w:rPr>
                      <w:b/>
                      <w:color w:val="000000"/>
                      <w:sz w:val="18"/>
                    </w:rPr>
                    <w:t>interview</w:t>
                  </w:r>
                  <w:r>
                    <w:rPr>
                      <w:b/>
                      <w:color w:val="000000"/>
                      <w:spacing w:val="-6"/>
                      <w:sz w:val="18"/>
                    </w:rPr>
                    <w:t> </w:t>
                  </w:r>
                  <w:r>
                    <w:rPr>
                      <w:b/>
                      <w:color w:val="000000"/>
                      <w:sz w:val="18"/>
                    </w:rPr>
                    <w:t>operator</w:t>
                  </w:r>
                  <w:r>
                    <w:rPr>
                      <w:b/>
                      <w:color w:val="000000"/>
                      <w:spacing w:val="-6"/>
                      <w:sz w:val="18"/>
                    </w:rPr>
                    <w:t> </w:t>
                  </w:r>
                  <w:r>
                    <w:rPr>
                      <w:b/>
                      <w:color w:val="000000"/>
                      <w:sz w:val="18"/>
                    </w:rPr>
                    <w:t>introduction</w:t>
                  </w:r>
                </w:p>
                <w:p>
                  <w:pPr>
                    <w:pStyle w:val="BodyText"/>
                    <w:spacing w:before="1"/>
                    <w:rPr>
                      <w:b/>
                      <w:color w:val="000000"/>
                      <w:sz w:val="19"/>
                    </w:rPr>
                  </w:pPr>
                </w:p>
                <w:p>
                  <w:pPr>
                    <w:spacing w:line="273" w:lineRule="auto" w:before="0"/>
                    <w:ind w:left="148" w:right="364" w:firstLine="0"/>
                    <w:jc w:val="left"/>
                    <w:rPr>
                      <w:color w:val="000000"/>
                      <w:sz w:val="18"/>
                    </w:rPr>
                  </w:pPr>
                  <w:r>
                    <w:rPr>
                      <w:color w:val="000000"/>
                      <w:sz w:val="18"/>
                    </w:rPr>
                    <w:t>Good &lt;morning/afternoon&gt; My name is &lt;Interviewer name&gt; from the Social Research Centre, calling on behalf of</w:t>
                  </w:r>
                  <w:r>
                    <w:rPr>
                      <w:color w:val="000000"/>
                      <w:spacing w:val="-47"/>
                      <w:sz w:val="18"/>
                    </w:rPr>
                    <w:t> </w:t>
                  </w:r>
                  <w:r>
                    <w:rPr>
                      <w:color w:val="000000"/>
                      <w:sz w:val="18"/>
                    </w:rPr>
                    <w:t>the</w:t>
                  </w:r>
                  <w:r>
                    <w:rPr>
                      <w:color w:val="000000"/>
                      <w:spacing w:val="5"/>
                      <w:sz w:val="18"/>
                    </w:rPr>
                    <w:t> </w:t>
                  </w:r>
                  <w:r>
                    <w:rPr>
                      <w:color w:val="000000"/>
                      <w:sz w:val="18"/>
                    </w:rPr>
                    <w:t>Australian</w:t>
                  </w:r>
                  <w:r>
                    <w:rPr>
                      <w:color w:val="000000"/>
                      <w:spacing w:val="1"/>
                      <w:sz w:val="18"/>
                    </w:rPr>
                    <w:t> </w:t>
                  </w:r>
                  <w:r>
                    <w:rPr>
                      <w:color w:val="000000"/>
                      <w:sz w:val="18"/>
                    </w:rPr>
                    <w:t>Government</w:t>
                  </w:r>
                  <w:r>
                    <w:rPr>
                      <w:color w:val="000000"/>
                      <w:spacing w:val="1"/>
                      <w:sz w:val="18"/>
                    </w:rPr>
                    <w:t> </w:t>
                  </w:r>
                  <w:r>
                    <w:rPr>
                      <w:color w:val="000000"/>
                      <w:sz w:val="18"/>
                    </w:rPr>
                    <w:t>Department of</w:t>
                  </w:r>
                  <w:r>
                    <w:rPr>
                      <w:color w:val="000000"/>
                      <w:spacing w:val="1"/>
                      <w:sz w:val="18"/>
                    </w:rPr>
                    <w:t> </w:t>
                  </w:r>
                  <w:r>
                    <w:rPr>
                      <w:color w:val="000000"/>
                      <w:sz w:val="18"/>
                    </w:rPr>
                    <w:t>Health and</w:t>
                  </w:r>
                  <w:r>
                    <w:rPr>
                      <w:color w:val="000000"/>
                      <w:spacing w:val="1"/>
                      <w:sz w:val="18"/>
                    </w:rPr>
                    <w:t> </w:t>
                  </w:r>
                  <w:r>
                    <w:rPr>
                      <w:color w:val="000000"/>
                      <w:sz w:val="18"/>
                    </w:rPr>
                    <w:t>Health Policy</w:t>
                  </w:r>
                  <w:r>
                    <w:rPr>
                      <w:color w:val="000000"/>
                      <w:spacing w:val="5"/>
                      <w:sz w:val="18"/>
                    </w:rPr>
                    <w:t> </w:t>
                  </w:r>
                  <w:r>
                    <w:rPr>
                      <w:color w:val="000000"/>
                      <w:sz w:val="18"/>
                    </w:rPr>
                    <w:t>Analysis.</w:t>
                  </w:r>
                </w:p>
                <w:p>
                  <w:pPr>
                    <w:spacing w:before="123"/>
                    <w:ind w:left="148" w:right="0" w:firstLine="0"/>
                    <w:jc w:val="left"/>
                    <w:rPr>
                      <w:color w:val="000000"/>
                      <w:sz w:val="18"/>
                    </w:rPr>
                  </w:pPr>
                  <w:r>
                    <w:rPr>
                      <w:color w:val="000000"/>
                      <w:sz w:val="18"/>
                    </w:rPr>
                    <w:t>Can</w:t>
                  </w:r>
                  <w:r>
                    <w:rPr>
                      <w:color w:val="000000"/>
                      <w:spacing w:val="-4"/>
                      <w:sz w:val="18"/>
                    </w:rPr>
                    <w:t> </w:t>
                  </w:r>
                  <w:r>
                    <w:rPr>
                      <w:color w:val="000000"/>
                      <w:sz w:val="18"/>
                    </w:rPr>
                    <w:t>I</w:t>
                  </w:r>
                  <w:r>
                    <w:rPr>
                      <w:color w:val="000000"/>
                      <w:spacing w:val="1"/>
                      <w:sz w:val="18"/>
                    </w:rPr>
                    <w:t> </w:t>
                  </w:r>
                  <w:r>
                    <w:rPr>
                      <w:color w:val="000000"/>
                      <w:sz w:val="18"/>
                    </w:rPr>
                    <w:t>confirm</w:t>
                  </w:r>
                  <w:r>
                    <w:rPr>
                      <w:color w:val="000000"/>
                      <w:spacing w:val="-7"/>
                      <w:sz w:val="18"/>
                    </w:rPr>
                    <w:t> </w:t>
                  </w:r>
                  <w:r>
                    <w:rPr>
                      <w:color w:val="000000"/>
                      <w:sz w:val="18"/>
                    </w:rPr>
                    <w:t>I</w:t>
                  </w:r>
                  <w:r>
                    <w:rPr>
                      <w:color w:val="000000"/>
                      <w:spacing w:val="3"/>
                      <w:sz w:val="18"/>
                    </w:rPr>
                    <w:t> </w:t>
                  </w:r>
                  <w:r>
                    <w:rPr>
                      <w:color w:val="000000"/>
                      <w:sz w:val="18"/>
                    </w:rPr>
                    <w:t>am</w:t>
                  </w:r>
                  <w:r>
                    <w:rPr>
                      <w:color w:val="000000"/>
                      <w:spacing w:val="-5"/>
                      <w:sz w:val="18"/>
                    </w:rPr>
                    <w:t> </w:t>
                  </w:r>
                  <w:r>
                    <w:rPr>
                      <w:color w:val="000000"/>
                      <w:sz w:val="18"/>
                    </w:rPr>
                    <w:t>speaking</w:t>
                  </w:r>
                  <w:r>
                    <w:rPr>
                      <w:color w:val="000000"/>
                      <w:spacing w:val="-4"/>
                      <w:sz w:val="18"/>
                    </w:rPr>
                    <w:t> </w:t>
                  </w:r>
                  <w:r>
                    <w:rPr>
                      <w:color w:val="000000"/>
                      <w:sz w:val="18"/>
                    </w:rPr>
                    <w:t>with</w:t>
                  </w:r>
                  <w:r>
                    <w:rPr>
                      <w:color w:val="000000"/>
                      <w:spacing w:val="-1"/>
                      <w:sz w:val="18"/>
                    </w:rPr>
                    <w:t> </w:t>
                  </w:r>
                  <w:r>
                    <w:rPr>
                      <w:color w:val="000000"/>
                      <w:sz w:val="18"/>
                    </w:rPr>
                    <w:t>&lt;Patient</w:t>
                  </w:r>
                  <w:r>
                    <w:rPr>
                      <w:color w:val="000000"/>
                      <w:spacing w:val="-2"/>
                      <w:sz w:val="18"/>
                    </w:rPr>
                    <w:t> </w:t>
                  </w:r>
                  <w:r>
                    <w:rPr>
                      <w:color w:val="000000"/>
                      <w:sz w:val="18"/>
                    </w:rPr>
                    <w:t>name&gt;?</w:t>
                  </w:r>
                </w:p>
                <w:p>
                  <w:pPr>
                    <w:spacing w:before="154"/>
                    <w:ind w:left="148" w:right="0" w:firstLine="0"/>
                    <w:jc w:val="left"/>
                    <w:rPr>
                      <w:color w:val="000000"/>
                      <w:sz w:val="18"/>
                    </w:rPr>
                  </w:pPr>
                  <w:r>
                    <w:rPr>
                      <w:color w:val="000000"/>
                      <w:sz w:val="18"/>
                    </w:rPr>
                    <w:t>You</w:t>
                  </w:r>
                  <w:r>
                    <w:rPr>
                      <w:color w:val="000000"/>
                      <w:spacing w:val="-3"/>
                      <w:sz w:val="18"/>
                    </w:rPr>
                    <w:t> </w:t>
                  </w:r>
                  <w:r>
                    <w:rPr>
                      <w:color w:val="000000"/>
                      <w:sz w:val="18"/>
                    </w:rPr>
                    <w:t>may</w:t>
                  </w:r>
                  <w:r>
                    <w:rPr>
                      <w:color w:val="000000"/>
                      <w:spacing w:val="-3"/>
                      <w:sz w:val="18"/>
                    </w:rPr>
                    <w:t> </w:t>
                  </w:r>
                  <w:r>
                    <w:rPr>
                      <w:color w:val="000000"/>
                      <w:sz w:val="18"/>
                    </w:rPr>
                    <w:t>recall</w:t>
                  </w:r>
                  <w:r>
                    <w:rPr>
                      <w:color w:val="000000"/>
                      <w:spacing w:val="-3"/>
                      <w:sz w:val="18"/>
                    </w:rPr>
                    <w:t> </w:t>
                  </w:r>
                  <w:r>
                    <w:rPr>
                      <w:color w:val="000000"/>
                      <w:sz w:val="18"/>
                    </w:rPr>
                    <w:t>we</w:t>
                  </w:r>
                  <w:r>
                    <w:rPr>
                      <w:color w:val="000000"/>
                      <w:spacing w:val="-2"/>
                      <w:sz w:val="18"/>
                    </w:rPr>
                    <w:t> </w:t>
                  </w:r>
                  <w:r>
                    <w:rPr>
                      <w:color w:val="000000"/>
                      <w:sz w:val="18"/>
                    </w:rPr>
                    <w:t>recently</w:t>
                  </w:r>
                  <w:r>
                    <w:rPr>
                      <w:color w:val="000000"/>
                      <w:spacing w:val="-3"/>
                      <w:sz w:val="18"/>
                    </w:rPr>
                    <w:t> </w:t>
                  </w:r>
                  <w:r>
                    <w:rPr>
                      <w:color w:val="000000"/>
                      <w:sz w:val="18"/>
                    </w:rPr>
                    <w:t>sent</w:t>
                  </w:r>
                  <w:r>
                    <w:rPr>
                      <w:color w:val="000000"/>
                      <w:spacing w:val="-5"/>
                      <w:sz w:val="18"/>
                    </w:rPr>
                    <w:t> </w:t>
                  </w:r>
                  <w:r>
                    <w:rPr>
                      <w:color w:val="000000"/>
                      <w:sz w:val="18"/>
                    </w:rPr>
                    <w:t>you</w:t>
                  </w:r>
                  <w:r>
                    <w:rPr>
                      <w:color w:val="000000"/>
                      <w:spacing w:val="-1"/>
                      <w:sz w:val="18"/>
                    </w:rPr>
                    <w:t> </w:t>
                  </w:r>
                  <w:r>
                    <w:rPr>
                      <w:color w:val="000000"/>
                      <w:sz w:val="18"/>
                    </w:rPr>
                    <w:t>&lt;email/letter&gt;</w:t>
                  </w:r>
                  <w:r>
                    <w:rPr>
                      <w:color w:val="000000"/>
                      <w:spacing w:val="-4"/>
                      <w:sz w:val="18"/>
                    </w:rPr>
                    <w:t> </w:t>
                  </w:r>
                  <w:r>
                    <w:rPr>
                      <w:color w:val="000000"/>
                      <w:sz w:val="18"/>
                    </w:rPr>
                    <w:t>about</w:t>
                  </w:r>
                  <w:r>
                    <w:rPr>
                      <w:color w:val="000000"/>
                      <w:spacing w:val="-3"/>
                      <w:sz w:val="18"/>
                    </w:rPr>
                    <w:t> </w:t>
                  </w:r>
                  <w:r>
                    <w:rPr>
                      <w:color w:val="000000"/>
                      <w:sz w:val="18"/>
                    </w:rPr>
                    <w:t>the</w:t>
                  </w:r>
                  <w:r>
                    <w:rPr>
                      <w:color w:val="000000"/>
                      <w:spacing w:val="-2"/>
                      <w:sz w:val="18"/>
                    </w:rPr>
                    <w:t> </w:t>
                  </w:r>
                  <w:r>
                    <w:rPr>
                      <w:color w:val="000000"/>
                      <w:sz w:val="18"/>
                    </w:rPr>
                    <w:t>Health</w:t>
                  </w:r>
                  <w:r>
                    <w:rPr>
                      <w:color w:val="000000"/>
                      <w:spacing w:val="-3"/>
                      <w:sz w:val="18"/>
                    </w:rPr>
                    <w:t> </w:t>
                  </w:r>
                  <w:r>
                    <w:rPr>
                      <w:color w:val="000000"/>
                      <w:sz w:val="18"/>
                    </w:rPr>
                    <w:t>Care</w:t>
                  </w:r>
                  <w:r>
                    <w:rPr>
                      <w:color w:val="000000"/>
                      <w:spacing w:val="-2"/>
                      <w:sz w:val="18"/>
                    </w:rPr>
                    <w:t> </w:t>
                  </w:r>
                  <w:r>
                    <w:rPr>
                      <w:color w:val="000000"/>
                      <w:sz w:val="18"/>
                    </w:rPr>
                    <w:t>Homes</w:t>
                  </w:r>
                  <w:r>
                    <w:rPr>
                      <w:color w:val="000000"/>
                      <w:spacing w:val="-3"/>
                      <w:sz w:val="18"/>
                    </w:rPr>
                    <w:t> </w:t>
                  </w:r>
                  <w:r>
                    <w:rPr>
                      <w:color w:val="000000"/>
                      <w:sz w:val="18"/>
                    </w:rPr>
                    <w:t>survey.</w:t>
                  </w:r>
                </w:p>
                <w:p>
                  <w:pPr>
                    <w:spacing w:line="273" w:lineRule="auto" w:before="153"/>
                    <w:ind w:left="148" w:right="305" w:firstLine="0"/>
                    <w:jc w:val="left"/>
                    <w:rPr>
                      <w:color w:val="000000"/>
                      <w:sz w:val="18"/>
                    </w:rPr>
                  </w:pPr>
                  <w:r>
                    <w:rPr>
                      <w:color w:val="000000"/>
                      <w:sz w:val="18"/>
                    </w:rPr>
                    <w:t>The survey will take 15-20 minutes and will help us understand the experiences of people like yourself with long-term</w:t>
                  </w:r>
                  <w:r>
                    <w:rPr>
                      <w:color w:val="000000"/>
                      <w:spacing w:val="-47"/>
                      <w:sz w:val="18"/>
                    </w:rPr>
                    <w:t> </w:t>
                  </w:r>
                  <w:r>
                    <w:rPr>
                      <w:color w:val="000000"/>
                      <w:sz w:val="18"/>
                    </w:rPr>
                    <w:t>health</w:t>
                  </w:r>
                  <w:r>
                    <w:rPr>
                      <w:color w:val="000000"/>
                      <w:spacing w:val="1"/>
                      <w:sz w:val="18"/>
                    </w:rPr>
                    <w:t> </w:t>
                  </w:r>
                  <w:r>
                    <w:rPr>
                      <w:color w:val="000000"/>
                      <w:sz w:val="18"/>
                    </w:rPr>
                    <w:t>conditions</w:t>
                  </w:r>
                  <w:r>
                    <w:rPr>
                      <w:color w:val="000000"/>
                      <w:spacing w:val="1"/>
                      <w:sz w:val="18"/>
                    </w:rPr>
                    <w:t> </w:t>
                  </w:r>
                  <w:r>
                    <w:rPr>
                      <w:color w:val="000000"/>
                      <w:sz w:val="18"/>
                    </w:rPr>
                    <w:t>to</w:t>
                  </w:r>
                  <w:r>
                    <w:rPr>
                      <w:color w:val="000000"/>
                      <w:spacing w:val="-3"/>
                      <w:sz w:val="18"/>
                    </w:rPr>
                    <w:t> </w:t>
                  </w:r>
                  <w:r>
                    <w:rPr>
                      <w:color w:val="000000"/>
                      <w:sz w:val="18"/>
                    </w:rPr>
                    <w:t>improve</w:t>
                  </w:r>
                  <w:r>
                    <w:rPr>
                      <w:color w:val="000000"/>
                      <w:spacing w:val="1"/>
                      <w:sz w:val="18"/>
                    </w:rPr>
                    <w:t> </w:t>
                  </w:r>
                  <w:r>
                    <w:rPr>
                      <w:color w:val="000000"/>
                      <w:sz w:val="18"/>
                    </w:rPr>
                    <w:t>the care</w:t>
                  </w:r>
                  <w:r>
                    <w:rPr>
                      <w:color w:val="000000"/>
                      <w:spacing w:val="2"/>
                      <w:sz w:val="18"/>
                    </w:rPr>
                    <w:t> </w:t>
                  </w:r>
                  <w:r>
                    <w:rPr>
                      <w:color w:val="000000"/>
                      <w:sz w:val="18"/>
                    </w:rPr>
                    <w:t>and</w:t>
                  </w:r>
                  <w:r>
                    <w:rPr>
                      <w:color w:val="000000"/>
                      <w:spacing w:val="-1"/>
                      <w:sz w:val="18"/>
                    </w:rPr>
                    <w:t> </w:t>
                  </w:r>
                  <w:r>
                    <w:rPr>
                      <w:color w:val="000000"/>
                      <w:sz w:val="18"/>
                    </w:rPr>
                    <w:t>service you</w:t>
                  </w:r>
                  <w:r>
                    <w:rPr>
                      <w:color w:val="000000"/>
                      <w:spacing w:val="-1"/>
                      <w:sz w:val="18"/>
                    </w:rPr>
                    <w:t> </w:t>
                  </w:r>
                  <w:r>
                    <w:rPr>
                      <w:color w:val="000000"/>
                      <w:sz w:val="18"/>
                    </w:rPr>
                    <w:t>receive.</w:t>
                  </w:r>
                </w:p>
                <w:p>
                  <w:pPr>
                    <w:spacing w:before="124"/>
                    <w:ind w:left="148" w:right="0" w:firstLine="0"/>
                    <w:jc w:val="left"/>
                    <w:rPr>
                      <w:color w:val="000000"/>
                      <w:sz w:val="18"/>
                    </w:rPr>
                  </w:pPr>
                  <w:r>
                    <w:rPr>
                      <w:color w:val="000000"/>
                      <w:sz w:val="18"/>
                    </w:rPr>
                    <w:t>All</w:t>
                  </w:r>
                  <w:r>
                    <w:rPr>
                      <w:color w:val="000000"/>
                      <w:spacing w:val="-4"/>
                      <w:sz w:val="18"/>
                    </w:rPr>
                    <w:t> </w:t>
                  </w:r>
                  <w:r>
                    <w:rPr>
                      <w:color w:val="000000"/>
                      <w:sz w:val="18"/>
                    </w:rPr>
                    <w:t>responses</w:t>
                  </w:r>
                  <w:r>
                    <w:rPr>
                      <w:color w:val="000000"/>
                      <w:spacing w:val="-3"/>
                      <w:sz w:val="18"/>
                    </w:rPr>
                    <w:t> </w:t>
                  </w:r>
                  <w:r>
                    <w:rPr>
                      <w:color w:val="000000"/>
                      <w:sz w:val="18"/>
                    </w:rPr>
                    <w:t>are</w:t>
                  </w:r>
                  <w:r>
                    <w:rPr>
                      <w:color w:val="000000"/>
                      <w:spacing w:val="-2"/>
                      <w:sz w:val="18"/>
                    </w:rPr>
                    <w:t> </w:t>
                  </w:r>
                  <w:r>
                    <w:rPr>
                      <w:color w:val="000000"/>
                      <w:sz w:val="18"/>
                    </w:rPr>
                    <w:t>completely</w:t>
                  </w:r>
                  <w:r>
                    <w:rPr>
                      <w:color w:val="000000"/>
                      <w:spacing w:val="-4"/>
                      <w:sz w:val="18"/>
                    </w:rPr>
                    <w:t> </w:t>
                  </w:r>
                  <w:r>
                    <w:rPr>
                      <w:color w:val="000000"/>
                      <w:sz w:val="18"/>
                    </w:rPr>
                    <w:t>confidential</w:t>
                  </w:r>
                  <w:r>
                    <w:rPr>
                      <w:color w:val="000000"/>
                      <w:spacing w:val="-1"/>
                      <w:sz w:val="18"/>
                    </w:rPr>
                    <w:t> </w:t>
                  </w:r>
                  <w:r>
                    <w:rPr>
                      <w:color w:val="000000"/>
                      <w:sz w:val="18"/>
                    </w:rPr>
                    <w:t>and</w:t>
                  </w:r>
                  <w:r>
                    <w:rPr>
                      <w:color w:val="000000"/>
                      <w:spacing w:val="-5"/>
                      <w:sz w:val="18"/>
                    </w:rPr>
                    <w:t> </w:t>
                  </w:r>
                  <w:r>
                    <w:rPr>
                      <w:color w:val="000000"/>
                      <w:sz w:val="18"/>
                    </w:rPr>
                    <w:t>your</w:t>
                  </w:r>
                  <w:r>
                    <w:rPr>
                      <w:color w:val="000000"/>
                      <w:spacing w:val="-4"/>
                      <w:sz w:val="18"/>
                    </w:rPr>
                    <w:t> </w:t>
                  </w:r>
                  <w:r>
                    <w:rPr>
                      <w:color w:val="000000"/>
                      <w:sz w:val="18"/>
                    </w:rPr>
                    <w:t>information</w:t>
                  </w:r>
                  <w:r>
                    <w:rPr>
                      <w:color w:val="000000"/>
                      <w:spacing w:val="-2"/>
                      <w:sz w:val="18"/>
                    </w:rPr>
                    <w:t> </w:t>
                  </w:r>
                  <w:r>
                    <w:rPr>
                      <w:color w:val="000000"/>
                      <w:sz w:val="18"/>
                    </w:rPr>
                    <w:t>is</w:t>
                  </w:r>
                  <w:r>
                    <w:rPr>
                      <w:color w:val="000000"/>
                      <w:spacing w:val="-3"/>
                      <w:sz w:val="18"/>
                    </w:rPr>
                    <w:t> </w:t>
                  </w:r>
                  <w:r>
                    <w:rPr>
                      <w:color w:val="000000"/>
                      <w:sz w:val="18"/>
                    </w:rPr>
                    <w:t>protected</w:t>
                  </w:r>
                  <w:r>
                    <w:rPr>
                      <w:color w:val="000000"/>
                      <w:spacing w:val="-4"/>
                      <w:sz w:val="18"/>
                    </w:rPr>
                    <w:t> </w:t>
                  </w:r>
                  <w:r>
                    <w:rPr>
                      <w:color w:val="000000"/>
                      <w:sz w:val="18"/>
                    </w:rPr>
                    <w:t>by</w:t>
                  </w:r>
                  <w:r>
                    <w:rPr>
                      <w:color w:val="000000"/>
                      <w:spacing w:val="1"/>
                      <w:sz w:val="18"/>
                    </w:rPr>
                    <w:t> </w:t>
                  </w:r>
                  <w:r>
                    <w:rPr>
                      <w:color w:val="000000"/>
                      <w:sz w:val="18"/>
                    </w:rPr>
                    <w:t>Australian</w:t>
                  </w:r>
                  <w:r>
                    <w:rPr>
                      <w:color w:val="000000"/>
                      <w:spacing w:val="-2"/>
                      <w:sz w:val="18"/>
                    </w:rPr>
                    <w:t> </w:t>
                  </w:r>
                  <w:r>
                    <w:rPr>
                      <w:color w:val="000000"/>
                      <w:sz w:val="18"/>
                    </w:rPr>
                    <w:t>Privacy</w:t>
                  </w:r>
                  <w:r>
                    <w:rPr>
                      <w:color w:val="000000"/>
                      <w:spacing w:val="-5"/>
                      <w:sz w:val="18"/>
                    </w:rPr>
                    <w:t> </w:t>
                  </w:r>
                  <w:r>
                    <w:rPr>
                      <w:color w:val="000000"/>
                      <w:sz w:val="18"/>
                    </w:rPr>
                    <w:t>Laws.</w:t>
                  </w:r>
                </w:p>
              </w:txbxContent>
            </v:textbox>
            <v:fill type="solid"/>
          </v:shape>
        </w:pict>
      </w:r>
      <w:r>
        <w:rPr/>
      </w:r>
    </w:p>
    <w:p>
      <w:pPr>
        <w:pStyle w:val="BodyText"/>
        <w:spacing w:before="2"/>
        <w:rPr>
          <w:sz w:val="16"/>
        </w:rPr>
      </w:pPr>
    </w:p>
    <w:p>
      <w:pPr>
        <w:spacing w:before="100"/>
        <w:ind w:left="420" w:right="0" w:firstLine="0"/>
        <w:jc w:val="left"/>
        <w:rPr>
          <w:b/>
          <w:sz w:val="18"/>
        </w:rPr>
      </w:pPr>
      <w:r>
        <w:rPr>
          <w:b/>
          <w:sz w:val="18"/>
        </w:rPr>
        <w:t>Survey</w:t>
      </w:r>
      <w:r>
        <w:rPr>
          <w:b/>
          <w:spacing w:val="-1"/>
          <w:sz w:val="18"/>
        </w:rPr>
        <w:t> </w:t>
      </w:r>
      <w:r>
        <w:rPr>
          <w:b/>
          <w:sz w:val="18"/>
        </w:rPr>
        <w:t>–</w:t>
      </w:r>
      <w:r>
        <w:rPr>
          <w:b/>
          <w:spacing w:val="-1"/>
          <w:sz w:val="18"/>
        </w:rPr>
        <w:t> </w:t>
      </w:r>
      <w:r>
        <w:rPr>
          <w:b/>
          <w:sz w:val="18"/>
        </w:rPr>
        <w:t>Introduction</w:t>
      </w:r>
    </w:p>
    <w:p>
      <w:pPr>
        <w:pStyle w:val="BodyText"/>
        <w:rPr>
          <w:b/>
          <w:sz w:val="19"/>
        </w:rPr>
      </w:pPr>
    </w:p>
    <w:p>
      <w:pPr>
        <w:spacing w:before="0"/>
        <w:ind w:left="420" w:right="0" w:firstLine="0"/>
        <w:jc w:val="left"/>
        <w:rPr>
          <w:sz w:val="18"/>
        </w:rPr>
      </w:pPr>
      <w:r>
        <w:rPr>
          <w:sz w:val="18"/>
        </w:rPr>
        <w:t>Would</w:t>
      </w:r>
      <w:r>
        <w:rPr>
          <w:spacing w:val="-3"/>
          <w:sz w:val="18"/>
        </w:rPr>
        <w:t> </w:t>
      </w:r>
      <w:r>
        <w:rPr>
          <w:sz w:val="18"/>
        </w:rPr>
        <w:t>you</w:t>
      </w:r>
      <w:r>
        <w:rPr>
          <w:spacing w:val="-1"/>
          <w:sz w:val="18"/>
        </w:rPr>
        <w:t> </w:t>
      </w:r>
      <w:r>
        <w:rPr>
          <w:sz w:val="18"/>
        </w:rPr>
        <w:t>be</w:t>
      </w:r>
      <w:r>
        <w:rPr>
          <w:spacing w:val="-2"/>
          <w:sz w:val="18"/>
        </w:rPr>
        <w:t> </w:t>
      </w:r>
      <w:r>
        <w:rPr>
          <w:sz w:val="18"/>
        </w:rPr>
        <w:t>willing</w:t>
      </w:r>
      <w:r>
        <w:rPr>
          <w:spacing w:val="-3"/>
          <w:sz w:val="18"/>
        </w:rPr>
        <w:t> </w:t>
      </w:r>
      <w:r>
        <w:rPr>
          <w:sz w:val="18"/>
        </w:rPr>
        <w:t>to</w:t>
      </w:r>
      <w:r>
        <w:rPr>
          <w:spacing w:val="-3"/>
          <w:sz w:val="18"/>
        </w:rPr>
        <w:t> </w:t>
      </w:r>
      <w:r>
        <w:rPr>
          <w:sz w:val="18"/>
        </w:rPr>
        <w:t>help</w:t>
      </w:r>
      <w:r>
        <w:rPr>
          <w:spacing w:val="-2"/>
          <w:sz w:val="18"/>
        </w:rPr>
        <w:t> </w:t>
      </w:r>
      <w:r>
        <w:rPr>
          <w:sz w:val="18"/>
        </w:rPr>
        <w:t>us</w:t>
      </w:r>
      <w:r>
        <w:rPr>
          <w:spacing w:val="-3"/>
          <w:sz w:val="18"/>
        </w:rPr>
        <w:t> </w:t>
      </w:r>
      <w:r>
        <w:rPr>
          <w:sz w:val="18"/>
        </w:rPr>
        <w:t>out</w:t>
      </w:r>
      <w:r>
        <w:rPr>
          <w:spacing w:val="-3"/>
          <w:sz w:val="18"/>
        </w:rPr>
        <w:t> </w:t>
      </w:r>
      <w:r>
        <w:rPr>
          <w:sz w:val="18"/>
        </w:rPr>
        <w:t>by</w:t>
      </w:r>
      <w:r>
        <w:rPr>
          <w:spacing w:val="-2"/>
          <w:sz w:val="18"/>
        </w:rPr>
        <w:t> </w:t>
      </w:r>
      <w:r>
        <w:rPr>
          <w:sz w:val="18"/>
        </w:rPr>
        <w:t>completing</w:t>
      </w:r>
      <w:r>
        <w:rPr>
          <w:spacing w:val="-3"/>
          <w:sz w:val="18"/>
        </w:rPr>
        <w:t> </w:t>
      </w:r>
      <w:r>
        <w:rPr>
          <w:sz w:val="18"/>
        </w:rPr>
        <w:t>the</w:t>
      </w:r>
      <w:r>
        <w:rPr>
          <w:spacing w:val="-3"/>
          <w:sz w:val="18"/>
        </w:rPr>
        <w:t> </w:t>
      </w:r>
      <w:r>
        <w:rPr>
          <w:sz w:val="18"/>
        </w:rPr>
        <w:t>survey</w:t>
      </w:r>
      <w:r>
        <w:rPr>
          <w:spacing w:val="-3"/>
          <w:sz w:val="18"/>
        </w:rPr>
        <w:t> </w:t>
      </w:r>
      <w:r>
        <w:rPr>
          <w:sz w:val="18"/>
        </w:rPr>
        <w:t>today?</w:t>
      </w:r>
    </w:p>
    <w:p>
      <w:pPr>
        <w:pStyle w:val="BodyText"/>
        <w:rPr>
          <w:sz w:val="19"/>
        </w:rPr>
      </w:pPr>
    </w:p>
    <w:p>
      <w:pPr>
        <w:pStyle w:val="ListParagraph"/>
        <w:numPr>
          <w:ilvl w:val="1"/>
          <w:numId w:val="109"/>
        </w:numPr>
        <w:tabs>
          <w:tab w:pos="1273" w:val="left" w:leader="none"/>
        </w:tabs>
        <w:spacing w:line="240" w:lineRule="auto" w:before="1" w:after="0"/>
        <w:ind w:left="1272" w:right="0" w:hanging="287"/>
        <w:jc w:val="left"/>
        <w:rPr>
          <w:sz w:val="18"/>
        </w:rPr>
      </w:pPr>
      <w:r>
        <w:rPr>
          <w:sz w:val="18"/>
        </w:rPr>
        <w:t>Continue</w:t>
      </w:r>
      <w:r>
        <w:rPr>
          <w:spacing w:val="-1"/>
          <w:sz w:val="18"/>
        </w:rPr>
        <w:t> </w:t>
      </w:r>
      <w:r>
        <w:rPr>
          <w:sz w:val="18"/>
        </w:rPr>
        <w:t>to</w:t>
      </w:r>
      <w:r>
        <w:rPr>
          <w:spacing w:val="-2"/>
          <w:sz w:val="18"/>
        </w:rPr>
        <w:t> </w:t>
      </w:r>
      <w:r>
        <w:rPr>
          <w:sz w:val="18"/>
        </w:rPr>
        <w:t>survey</w:t>
      </w:r>
    </w:p>
    <w:p>
      <w:pPr>
        <w:pStyle w:val="ListParagraph"/>
        <w:numPr>
          <w:ilvl w:val="1"/>
          <w:numId w:val="109"/>
        </w:numPr>
        <w:tabs>
          <w:tab w:pos="1273" w:val="left" w:leader="none"/>
        </w:tabs>
        <w:spacing w:line="240" w:lineRule="auto" w:before="0" w:after="0"/>
        <w:ind w:left="1272" w:right="0" w:hanging="287"/>
        <w:jc w:val="left"/>
        <w:rPr>
          <w:sz w:val="18"/>
        </w:rPr>
      </w:pPr>
      <w:r>
        <w:rPr>
          <w:sz w:val="18"/>
        </w:rPr>
        <w:t>Household</w:t>
      </w:r>
      <w:r>
        <w:rPr>
          <w:spacing w:val="-5"/>
          <w:sz w:val="18"/>
        </w:rPr>
        <w:t> </w:t>
      </w:r>
      <w:r>
        <w:rPr>
          <w:sz w:val="18"/>
        </w:rPr>
        <w:t>refusal</w:t>
      </w:r>
    </w:p>
    <w:p>
      <w:pPr>
        <w:pStyle w:val="ListParagraph"/>
        <w:numPr>
          <w:ilvl w:val="1"/>
          <w:numId w:val="109"/>
        </w:numPr>
        <w:tabs>
          <w:tab w:pos="1273" w:val="left" w:leader="none"/>
        </w:tabs>
        <w:spacing w:line="240" w:lineRule="auto" w:before="0" w:after="0"/>
        <w:ind w:left="1272" w:right="0" w:hanging="287"/>
        <w:jc w:val="left"/>
        <w:rPr>
          <w:sz w:val="18"/>
        </w:rPr>
      </w:pPr>
      <w:r>
        <w:rPr>
          <w:sz w:val="18"/>
        </w:rPr>
        <w:t>Respondent</w:t>
      </w:r>
      <w:r>
        <w:rPr>
          <w:spacing w:val="-7"/>
          <w:sz w:val="18"/>
        </w:rPr>
        <w:t> </w:t>
      </w:r>
      <w:r>
        <w:rPr>
          <w:sz w:val="18"/>
        </w:rPr>
        <w:t>refusal</w:t>
      </w:r>
    </w:p>
    <w:p>
      <w:pPr>
        <w:pStyle w:val="ListParagraph"/>
        <w:numPr>
          <w:ilvl w:val="1"/>
          <w:numId w:val="109"/>
        </w:numPr>
        <w:tabs>
          <w:tab w:pos="1273" w:val="left" w:leader="none"/>
        </w:tabs>
        <w:spacing w:line="240" w:lineRule="auto" w:before="0" w:after="0"/>
        <w:ind w:left="1272" w:right="0" w:hanging="287"/>
        <w:jc w:val="left"/>
        <w:rPr>
          <w:sz w:val="18"/>
        </w:rPr>
      </w:pPr>
      <w:r>
        <w:rPr>
          <w:sz w:val="18"/>
        </w:rPr>
        <w:t>Language</w:t>
      </w:r>
      <w:r>
        <w:rPr>
          <w:spacing w:val="-9"/>
          <w:sz w:val="18"/>
        </w:rPr>
        <w:t> </w:t>
      </w:r>
      <w:r>
        <w:rPr>
          <w:sz w:val="18"/>
        </w:rPr>
        <w:t>difficulty</w:t>
      </w:r>
    </w:p>
    <w:p>
      <w:pPr>
        <w:pStyle w:val="ListParagraph"/>
        <w:numPr>
          <w:ilvl w:val="2"/>
          <w:numId w:val="109"/>
        </w:numPr>
        <w:tabs>
          <w:tab w:pos="1554" w:val="left" w:leader="none"/>
        </w:tabs>
        <w:spacing w:line="240" w:lineRule="auto" w:before="0" w:after="0"/>
        <w:ind w:left="1553" w:right="0" w:hanging="282"/>
        <w:jc w:val="left"/>
        <w:rPr>
          <w:sz w:val="18"/>
        </w:rPr>
      </w:pPr>
      <w:r>
        <w:rPr>
          <w:sz w:val="18"/>
        </w:rPr>
        <w:t>What</w:t>
      </w:r>
      <w:r>
        <w:rPr>
          <w:spacing w:val="-4"/>
          <w:sz w:val="18"/>
        </w:rPr>
        <w:t> </w:t>
      </w:r>
      <w:r>
        <w:rPr>
          <w:sz w:val="18"/>
        </w:rPr>
        <w:t>language</w:t>
      </w:r>
      <w:r>
        <w:rPr>
          <w:spacing w:val="-2"/>
          <w:sz w:val="18"/>
        </w:rPr>
        <w:t> </w:t>
      </w:r>
      <w:r>
        <w:rPr>
          <w:sz w:val="18"/>
        </w:rPr>
        <w:t>do</w:t>
      </w:r>
      <w:r>
        <w:rPr>
          <w:spacing w:val="-3"/>
          <w:sz w:val="18"/>
        </w:rPr>
        <w:t> </w:t>
      </w:r>
      <w:r>
        <w:rPr>
          <w:sz w:val="18"/>
        </w:rPr>
        <w:t>you</w:t>
      </w:r>
      <w:r>
        <w:rPr>
          <w:spacing w:val="-1"/>
          <w:sz w:val="18"/>
        </w:rPr>
        <w:t> </w:t>
      </w:r>
      <w:r>
        <w:rPr>
          <w:sz w:val="18"/>
        </w:rPr>
        <w:t>speak?</w:t>
      </w:r>
    </w:p>
    <w:p>
      <w:pPr>
        <w:pStyle w:val="ListParagraph"/>
        <w:numPr>
          <w:ilvl w:val="3"/>
          <w:numId w:val="109"/>
        </w:numPr>
        <w:tabs>
          <w:tab w:pos="1839" w:val="left" w:leader="none"/>
        </w:tabs>
        <w:spacing w:line="240" w:lineRule="auto" w:before="0" w:after="0"/>
        <w:ind w:left="1838" w:right="0" w:hanging="286"/>
        <w:jc w:val="left"/>
        <w:rPr>
          <w:sz w:val="18"/>
        </w:rPr>
      </w:pPr>
      <w:r>
        <w:rPr>
          <w:sz w:val="18"/>
        </w:rPr>
        <w:t>Arabic</w:t>
      </w:r>
    </w:p>
    <w:p>
      <w:pPr>
        <w:pStyle w:val="ListParagraph"/>
        <w:numPr>
          <w:ilvl w:val="3"/>
          <w:numId w:val="109"/>
        </w:numPr>
        <w:tabs>
          <w:tab w:pos="1839" w:val="left" w:leader="none"/>
        </w:tabs>
        <w:spacing w:line="240" w:lineRule="auto" w:before="0" w:after="0"/>
        <w:ind w:left="1838" w:right="0" w:hanging="286"/>
        <w:jc w:val="left"/>
        <w:rPr>
          <w:sz w:val="18"/>
        </w:rPr>
      </w:pPr>
      <w:r>
        <w:rPr>
          <w:sz w:val="18"/>
        </w:rPr>
        <w:t>Italian</w:t>
      </w:r>
    </w:p>
    <w:p>
      <w:pPr>
        <w:pStyle w:val="ListParagraph"/>
        <w:numPr>
          <w:ilvl w:val="3"/>
          <w:numId w:val="109"/>
        </w:numPr>
        <w:tabs>
          <w:tab w:pos="1839" w:val="left" w:leader="none"/>
        </w:tabs>
        <w:spacing w:line="240" w:lineRule="auto" w:before="0" w:after="0"/>
        <w:ind w:left="1838" w:right="0" w:hanging="286"/>
        <w:jc w:val="left"/>
        <w:rPr>
          <w:sz w:val="18"/>
        </w:rPr>
      </w:pPr>
      <w:r>
        <w:rPr>
          <w:sz w:val="18"/>
        </w:rPr>
        <w:t>Greek</w:t>
      </w:r>
    </w:p>
    <w:p>
      <w:pPr>
        <w:pStyle w:val="ListParagraph"/>
        <w:numPr>
          <w:ilvl w:val="3"/>
          <w:numId w:val="109"/>
        </w:numPr>
        <w:tabs>
          <w:tab w:pos="1839" w:val="left" w:leader="none"/>
        </w:tabs>
        <w:spacing w:line="220" w:lineRule="exact" w:before="0" w:after="0"/>
        <w:ind w:left="1838" w:right="0" w:hanging="286"/>
        <w:jc w:val="left"/>
        <w:rPr>
          <w:sz w:val="18"/>
        </w:rPr>
      </w:pPr>
      <w:r>
        <w:rPr>
          <w:sz w:val="18"/>
        </w:rPr>
        <w:t>Mandarin</w:t>
      </w:r>
    </w:p>
    <w:p>
      <w:pPr>
        <w:pStyle w:val="ListParagraph"/>
        <w:numPr>
          <w:ilvl w:val="3"/>
          <w:numId w:val="109"/>
        </w:numPr>
        <w:tabs>
          <w:tab w:pos="1839" w:val="left" w:leader="none"/>
        </w:tabs>
        <w:spacing w:line="220" w:lineRule="exact" w:before="0" w:after="0"/>
        <w:ind w:left="1838" w:right="0" w:hanging="286"/>
        <w:jc w:val="left"/>
        <w:rPr>
          <w:sz w:val="18"/>
        </w:rPr>
      </w:pPr>
      <w:r>
        <w:rPr>
          <w:sz w:val="18"/>
        </w:rPr>
        <w:t>Tamil</w:t>
      </w:r>
    </w:p>
    <w:p>
      <w:pPr>
        <w:pStyle w:val="ListParagraph"/>
        <w:numPr>
          <w:ilvl w:val="3"/>
          <w:numId w:val="109"/>
        </w:numPr>
        <w:tabs>
          <w:tab w:pos="1839" w:val="left" w:leader="none"/>
        </w:tabs>
        <w:spacing w:line="240" w:lineRule="auto" w:before="1" w:after="0"/>
        <w:ind w:left="1838" w:right="0" w:hanging="286"/>
        <w:jc w:val="left"/>
        <w:rPr>
          <w:sz w:val="18"/>
        </w:rPr>
      </w:pPr>
      <w:r>
        <w:rPr>
          <w:sz w:val="18"/>
        </w:rPr>
        <w:t>Some</w:t>
      </w:r>
      <w:r>
        <w:rPr>
          <w:spacing w:val="-4"/>
          <w:sz w:val="18"/>
        </w:rPr>
        <w:t> </w:t>
      </w:r>
      <w:r>
        <w:rPr>
          <w:sz w:val="18"/>
        </w:rPr>
        <w:t>other</w:t>
      </w:r>
      <w:r>
        <w:rPr>
          <w:spacing w:val="-2"/>
          <w:sz w:val="18"/>
        </w:rPr>
        <w:t> </w:t>
      </w:r>
      <w:r>
        <w:rPr>
          <w:sz w:val="18"/>
        </w:rPr>
        <w:t>language</w:t>
      </w:r>
      <w:r>
        <w:rPr>
          <w:spacing w:val="-3"/>
          <w:sz w:val="18"/>
        </w:rPr>
        <w:t> </w:t>
      </w:r>
      <w:r>
        <w:rPr>
          <w:sz w:val="18"/>
        </w:rPr>
        <w:t>&lt;please</w:t>
      </w:r>
      <w:r>
        <w:rPr>
          <w:spacing w:val="-3"/>
          <w:sz w:val="18"/>
        </w:rPr>
        <w:t> </w:t>
      </w:r>
      <w:r>
        <w:rPr>
          <w:sz w:val="18"/>
        </w:rPr>
        <w:t>specify&gt;</w:t>
      </w:r>
    </w:p>
    <w:p>
      <w:pPr>
        <w:spacing w:before="0"/>
        <w:ind w:left="1838" w:right="0" w:firstLine="0"/>
        <w:jc w:val="left"/>
        <w:rPr>
          <w:sz w:val="18"/>
        </w:rPr>
      </w:pPr>
      <w:r>
        <w:rPr>
          <w:sz w:val="18"/>
        </w:rPr>
        <w:t>Can</w:t>
      </w:r>
      <w:r>
        <w:rPr>
          <w:spacing w:val="-3"/>
          <w:sz w:val="18"/>
        </w:rPr>
        <w:t> </w:t>
      </w:r>
      <w:r>
        <w:rPr>
          <w:sz w:val="18"/>
        </w:rPr>
        <w:t>you</w:t>
      </w:r>
      <w:r>
        <w:rPr>
          <w:spacing w:val="-1"/>
          <w:sz w:val="18"/>
        </w:rPr>
        <w:t> </w:t>
      </w:r>
      <w:r>
        <w:rPr>
          <w:sz w:val="18"/>
        </w:rPr>
        <w:t>do</w:t>
      </w:r>
      <w:r>
        <w:rPr>
          <w:spacing w:val="-2"/>
          <w:sz w:val="18"/>
        </w:rPr>
        <w:t> </w:t>
      </w:r>
      <w:r>
        <w:rPr>
          <w:sz w:val="18"/>
        </w:rPr>
        <w:t>the</w:t>
      </w:r>
      <w:r>
        <w:rPr>
          <w:spacing w:val="-1"/>
          <w:sz w:val="18"/>
        </w:rPr>
        <w:t> </w:t>
      </w:r>
      <w:r>
        <w:rPr>
          <w:sz w:val="18"/>
        </w:rPr>
        <w:t>survey</w:t>
      </w:r>
      <w:r>
        <w:rPr>
          <w:spacing w:val="-4"/>
          <w:sz w:val="18"/>
        </w:rPr>
        <w:t> </w:t>
      </w:r>
      <w:r>
        <w:rPr>
          <w:sz w:val="18"/>
        </w:rPr>
        <w:t>in</w:t>
      </w:r>
      <w:r>
        <w:rPr>
          <w:spacing w:val="-4"/>
          <w:sz w:val="18"/>
        </w:rPr>
        <w:t> </w:t>
      </w:r>
      <w:r>
        <w:rPr>
          <w:sz w:val="18"/>
        </w:rPr>
        <w:t>English</w:t>
      </w:r>
      <w:r>
        <w:rPr>
          <w:spacing w:val="-1"/>
          <w:sz w:val="18"/>
        </w:rPr>
        <w:t> </w:t>
      </w:r>
      <w:r>
        <w:rPr>
          <w:sz w:val="18"/>
        </w:rPr>
        <w:t>or</w:t>
      </w:r>
      <w:r>
        <w:rPr>
          <w:spacing w:val="-1"/>
          <w:sz w:val="18"/>
        </w:rPr>
        <w:t> </w:t>
      </w:r>
      <w:r>
        <w:rPr>
          <w:sz w:val="18"/>
        </w:rPr>
        <w:t>do</w:t>
      </w:r>
      <w:r>
        <w:rPr>
          <w:spacing w:val="-2"/>
          <w:sz w:val="18"/>
        </w:rPr>
        <w:t> </w:t>
      </w:r>
      <w:r>
        <w:rPr>
          <w:sz w:val="18"/>
        </w:rPr>
        <w:t>you</w:t>
      </w:r>
      <w:r>
        <w:rPr>
          <w:spacing w:val="-3"/>
          <w:sz w:val="18"/>
        </w:rPr>
        <w:t> </w:t>
      </w:r>
      <w:r>
        <w:rPr>
          <w:sz w:val="18"/>
        </w:rPr>
        <w:t>need</w:t>
      </w:r>
      <w:r>
        <w:rPr>
          <w:spacing w:val="-2"/>
          <w:sz w:val="18"/>
        </w:rPr>
        <w:t> </w:t>
      </w:r>
      <w:r>
        <w:rPr>
          <w:sz w:val="18"/>
        </w:rPr>
        <w:t>to</w:t>
      </w:r>
      <w:r>
        <w:rPr>
          <w:spacing w:val="-3"/>
          <w:sz w:val="18"/>
        </w:rPr>
        <w:t> </w:t>
      </w:r>
      <w:r>
        <w:rPr>
          <w:sz w:val="18"/>
        </w:rPr>
        <w:t>speak</w:t>
      </w:r>
      <w:r>
        <w:rPr>
          <w:spacing w:val="-1"/>
          <w:sz w:val="18"/>
        </w:rPr>
        <w:t> </w:t>
      </w:r>
      <w:r>
        <w:rPr>
          <w:sz w:val="18"/>
        </w:rPr>
        <w:t>&lt;language</w:t>
      </w:r>
      <w:r>
        <w:rPr>
          <w:spacing w:val="-1"/>
          <w:sz w:val="18"/>
        </w:rPr>
        <w:t> </w:t>
      </w:r>
      <w:r>
        <w:rPr>
          <w:sz w:val="18"/>
        </w:rPr>
        <w:t>specified</w:t>
      </w:r>
      <w:r>
        <w:rPr>
          <w:spacing w:val="-1"/>
          <w:sz w:val="18"/>
        </w:rPr>
        <w:t> </w:t>
      </w:r>
      <w:r>
        <w:rPr>
          <w:sz w:val="18"/>
        </w:rPr>
        <w:t>at</w:t>
      </w:r>
      <w:r>
        <w:rPr>
          <w:spacing w:val="-3"/>
          <w:sz w:val="18"/>
        </w:rPr>
        <w:t> </w:t>
      </w:r>
      <w:r>
        <w:rPr>
          <w:sz w:val="18"/>
        </w:rPr>
        <w:t>vi&gt;</w:t>
      </w:r>
    </w:p>
    <w:p>
      <w:pPr>
        <w:pStyle w:val="ListParagraph"/>
        <w:numPr>
          <w:ilvl w:val="1"/>
          <w:numId w:val="109"/>
        </w:numPr>
        <w:tabs>
          <w:tab w:pos="1273" w:val="left" w:leader="none"/>
        </w:tabs>
        <w:spacing w:line="240" w:lineRule="auto" w:before="0" w:after="0"/>
        <w:ind w:left="1272" w:right="0" w:hanging="287"/>
        <w:jc w:val="left"/>
        <w:rPr>
          <w:sz w:val="18"/>
        </w:rPr>
      </w:pPr>
      <w:r>
        <w:rPr>
          <w:sz w:val="18"/>
        </w:rPr>
        <w:t>Queried</w:t>
      </w:r>
      <w:r>
        <w:rPr>
          <w:spacing w:val="-4"/>
          <w:sz w:val="18"/>
        </w:rPr>
        <w:t> </w:t>
      </w:r>
      <w:r>
        <w:rPr>
          <w:sz w:val="18"/>
        </w:rPr>
        <w:t>about</w:t>
      </w:r>
      <w:r>
        <w:rPr>
          <w:spacing w:val="-4"/>
          <w:sz w:val="18"/>
        </w:rPr>
        <w:t> </w:t>
      </w:r>
      <w:r>
        <w:rPr>
          <w:sz w:val="18"/>
        </w:rPr>
        <w:t>how</w:t>
      </w:r>
      <w:r>
        <w:rPr>
          <w:spacing w:val="-3"/>
          <w:sz w:val="18"/>
        </w:rPr>
        <w:t> </w:t>
      </w:r>
      <w:r>
        <w:rPr>
          <w:sz w:val="18"/>
        </w:rPr>
        <w:t>telephone</w:t>
      </w:r>
      <w:r>
        <w:rPr>
          <w:spacing w:val="-2"/>
          <w:sz w:val="18"/>
        </w:rPr>
        <w:t> </w:t>
      </w:r>
      <w:r>
        <w:rPr>
          <w:sz w:val="18"/>
        </w:rPr>
        <w:t>number</w:t>
      </w:r>
      <w:r>
        <w:rPr>
          <w:spacing w:val="-1"/>
          <w:sz w:val="18"/>
        </w:rPr>
        <w:t> </w:t>
      </w:r>
      <w:r>
        <w:rPr>
          <w:sz w:val="18"/>
        </w:rPr>
        <w:t>was</w:t>
      </w:r>
      <w:r>
        <w:rPr>
          <w:spacing w:val="-3"/>
          <w:sz w:val="18"/>
        </w:rPr>
        <w:t> </w:t>
      </w:r>
      <w:r>
        <w:rPr>
          <w:sz w:val="18"/>
        </w:rPr>
        <w:t>obtained</w:t>
      </w:r>
    </w:p>
    <w:p>
      <w:pPr>
        <w:pStyle w:val="ListParagraph"/>
        <w:numPr>
          <w:ilvl w:val="2"/>
          <w:numId w:val="109"/>
        </w:numPr>
        <w:tabs>
          <w:tab w:pos="1554" w:val="left" w:leader="none"/>
        </w:tabs>
        <w:spacing w:line="240" w:lineRule="auto" w:before="0" w:after="0"/>
        <w:ind w:left="1553" w:right="908" w:hanging="281"/>
        <w:jc w:val="left"/>
        <w:rPr>
          <w:sz w:val="18"/>
        </w:rPr>
      </w:pPr>
      <w:r>
        <w:rPr>
          <w:sz w:val="18"/>
        </w:rPr>
        <w:t>We were given your details from your GP practice purely for the purpose of conducting this survey for the</w:t>
      </w:r>
      <w:r>
        <w:rPr>
          <w:spacing w:val="-47"/>
          <w:sz w:val="18"/>
        </w:rPr>
        <w:t> </w:t>
      </w:r>
      <w:r>
        <w:rPr>
          <w:sz w:val="18"/>
        </w:rPr>
        <w:t>evaluation of</w:t>
      </w:r>
      <w:r>
        <w:rPr>
          <w:spacing w:val="1"/>
          <w:sz w:val="18"/>
        </w:rPr>
        <w:t> </w:t>
      </w:r>
      <w:r>
        <w:rPr>
          <w:sz w:val="18"/>
        </w:rPr>
        <w:t>the</w:t>
      </w:r>
      <w:r>
        <w:rPr>
          <w:spacing w:val="1"/>
          <w:sz w:val="18"/>
        </w:rPr>
        <w:t> </w:t>
      </w:r>
      <w:r>
        <w:rPr>
          <w:sz w:val="18"/>
        </w:rPr>
        <w:t>program.</w:t>
      </w:r>
    </w:p>
    <w:p>
      <w:pPr>
        <w:pStyle w:val="ListParagraph"/>
        <w:numPr>
          <w:ilvl w:val="1"/>
          <w:numId w:val="109"/>
        </w:numPr>
        <w:tabs>
          <w:tab w:pos="1273" w:val="left" w:leader="none"/>
        </w:tabs>
        <w:spacing w:line="240" w:lineRule="auto" w:before="0" w:after="0"/>
        <w:ind w:left="1272" w:right="0" w:hanging="287"/>
        <w:jc w:val="left"/>
        <w:rPr>
          <w:sz w:val="18"/>
        </w:rPr>
      </w:pPr>
      <w:r>
        <w:rPr>
          <w:sz w:val="18"/>
        </w:rPr>
        <w:t>Wants</w:t>
      </w:r>
      <w:r>
        <w:rPr>
          <w:spacing w:val="-1"/>
          <w:sz w:val="18"/>
        </w:rPr>
        <w:t> </w:t>
      </w:r>
      <w:r>
        <w:rPr>
          <w:sz w:val="18"/>
        </w:rPr>
        <w:t>more</w:t>
      </w:r>
      <w:r>
        <w:rPr>
          <w:spacing w:val="-2"/>
          <w:sz w:val="18"/>
        </w:rPr>
        <w:t> </w:t>
      </w:r>
      <w:r>
        <w:rPr>
          <w:sz w:val="18"/>
        </w:rPr>
        <w:t>information</w:t>
      </w:r>
      <w:r>
        <w:rPr>
          <w:spacing w:val="-2"/>
          <w:sz w:val="18"/>
        </w:rPr>
        <w:t> </w:t>
      </w:r>
      <w:r>
        <w:rPr>
          <w:sz w:val="18"/>
        </w:rPr>
        <w:t>about</w:t>
      </w:r>
      <w:r>
        <w:rPr>
          <w:spacing w:val="-3"/>
          <w:sz w:val="18"/>
        </w:rPr>
        <w:t> </w:t>
      </w:r>
      <w:r>
        <w:rPr>
          <w:sz w:val="18"/>
        </w:rPr>
        <w:t>the</w:t>
      </w:r>
      <w:r>
        <w:rPr>
          <w:spacing w:val="-3"/>
          <w:sz w:val="18"/>
        </w:rPr>
        <w:t> </w:t>
      </w:r>
      <w:r>
        <w:rPr>
          <w:sz w:val="18"/>
        </w:rPr>
        <w:t>survey</w:t>
      </w:r>
    </w:p>
    <w:p>
      <w:pPr>
        <w:pStyle w:val="ListParagraph"/>
        <w:numPr>
          <w:ilvl w:val="2"/>
          <w:numId w:val="109"/>
        </w:numPr>
        <w:tabs>
          <w:tab w:pos="1554" w:val="left" w:leader="none"/>
        </w:tabs>
        <w:spacing w:line="240" w:lineRule="auto" w:before="1" w:after="0"/>
        <w:ind w:left="1553" w:right="890" w:hanging="281"/>
        <w:jc w:val="left"/>
        <w:rPr>
          <w:sz w:val="18"/>
        </w:rPr>
      </w:pPr>
      <w:r>
        <w:rPr>
          <w:sz w:val="18"/>
        </w:rPr>
        <w:t>The survey asks questions about the care being provided to you by your GP and a few questions about</w:t>
      </w:r>
      <w:r>
        <w:rPr>
          <w:spacing w:val="1"/>
          <w:sz w:val="18"/>
        </w:rPr>
        <w:t> </w:t>
      </w:r>
      <w:r>
        <w:rPr>
          <w:sz w:val="18"/>
        </w:rPr>
        <w:t>you to help us interpret your responses. You are under no obligation to complete it. If you do complete it,</w:t>
      </w:r>
      <w:r>
        <w:rPr>
          <w:spacing w:val="-47"/>
          <w:sz w:val="18"/>
        </w:rPr>
        <w:t> </w:t>
      </w:r>
      <w:r>
        <w:rPr>
          <w:sz w:val="18"/>
        </w:rPr>
        <w:t>your answers will be used to help us learn more about people’s experiences with Health Care Homes and</w:t>
      </w:r>
      <w:r>
        <w:rPr>
          <w:spacing w:val="-47"/>
          <w:sz w:val="18"/>
        </w:rPr>
        <w:t> </w:t>
      </w:r>
      <w:r>
        <w:rPr>
          <w:sz w:val="18"/>
        </w:rPr>
        <w:t>will</w:t>
      </w:r>
      <w:r>
        <w:rPr>
          <w:spacing w:val="-1"/>
          <w:sz w:val="18"/>
        </w:rPr>
        <w:t> </w:t>
      </w:r>
      <w:r>
        <w:rPr>
          <w:sz w:val="18"/>
        </w:rPr>
        <w:t>be</w:t>
      </w:r>
      <w:r>
        <w:rPr>
          <w:spacing w:val="-2"/>
          <w:sz w:val="18"/>
        </w:rPr>
        <w:t> </w:t>
      </w:r>
      <w:r>
        <w:rPr>
          <w:sz w:val="18"/>
        </w:rPr>
        <w:t>kept</w:t>
      </w:r>
      <w:r>
        <w:rPr>
          <w:spacing w:val="-1"/>
          <w:sz w:val="18"/>
        </w:rPr>
        <w:t> </w:t>
      </w:r>
      <w:r>
        <w:rPr>
          <w:sz w:val="18"/>
        </w:rPr>
        <w:t>entirely</w:t>
      </w:r>
      <w:r>
        <w:rPr>
          <w:spacing w:val="-2"/>
          <w:sz w:val="18"/>
        </w:rPr>
        <w:t> </w:t>
      </w:r>
      <w:r>
        <w:rPr>
          <w:sz w:val="18"/>
        </w:rPr>
        <w:t>confidential.</w:t>
      </w:r>
    </w:p>
    <w:p>
      <w:pPr>
        <w:pStyle w:val="BodyText"/>
        <w:spacing w:before="11"/>
        <w:rPr>
          <w:sz w:val="22"/>
        </w:rPr>
      </w:pPr>
    </w:p>
    <w:p>
      <w:pPr>
        <w:spacing w:line="273" w:lineRule="auto" w:before="0"/>
        <w:ind w:left="420" w:right="917" w:firstLine="0"/>
        <w:jc w:val="left"/>
        <w:rPr>
          <w:sz w:val="18"/>
        </w:rPr>
      </w:pPr>
      <w:r>
        <w:rPr>
          <w:sz w:val="18"/>
        </w:rPr>
        <w:t>May I just check whether it is safe for you to take this call at the moment? If not, we’d be happy to call back when it is</w:t>
      </w:r>
      <w:r>
        <w:rPr>
          <w:spacing w:val="-47"/>
          <w:sz w:val="18"/>
        </w:rPr>
        <w:t> </w:t>
      </w:r>
      <w:r>
        <w:rPr>
          <w:sz w:val="18"/>
        </w:rPr>
        <w:t>more convenient</w:t>
      </w:r>
      <w:r>
        <w:rPr>
          <w:spacing w:val="1"/>
          <w:sz w:val="18"/>
        </w:rPr>
        <w:t> </w:t>
      </w:r>
      <w:r>
        <w:rPr>
          <w:sz w:val="18"/>
        </w:rPr>
        <w:t>for</w:t>
      </w:r>
      <w:r>
        <w:rPr>
          <w:spacing w:val="1"/>
          <w:sz w:val="18"/>
        </w:rPr>
        <w:t> </w:t>
      </w:r>
      <w:r>
        <w:rPr>
          <w:sz w:val="18"/>
        </w:rPr>
        <w:t>you.</w:t>
      </w:r>
    </w:p>
    <w:p>
      <w:pPr>
        <w:pStyle w:val="BodyText"/>
        <w:spacing w:before="6"/>
        <w:rPr>
          <w:sz w:val="16"/>
        </w:rPr>
      </w:pPr>
    </w:p>
    <w:p>
      <w:pPr>
        <w:pStyle w:val="ListParagraph"/>
        <w:numPr>
          <w:ilvl w:val="0"/>
          <w:numId w:val="112"/>
        </w:numPr>
        <w:tabs>
          <w:tab w:pos="1273" w:val="left" w:leader="none"/>
        </w:tabs>
        <w:spacing w:line="240" w:lineRule="auto" w:before="0" w:after="0"/>
        <w:ind w:left="1272" w:right="0" w:hanging="287"/>
        <w:jc w:val="left"/>
        <w:rPr>
          <w:sz w:val="18"/>
        </w:rPr>
      </w:pPr>
      <w:r>
        <w:rPr>
          <w:sz w:val="18"/>
        </w:rPr>
        <w:t>Safe</w:t>
      </w:r>
      <w:r>
        <w:rPr>
          <w:spacing w:val="-2"/>
          <w:sz w:val="18"/>
        </w:rPr>
        <w:t> </w:t>
      </w:r>
      <w:r>
        <w:rPr>
          <w:sz w:val="18"/>
        </w:rPr>
        <w:t>to</w:t>
      </w:r>
      <w:r>
        <w:rPr>
          <w:spacing w:val="-2"/>
          <w:sz w:val="18"/>
        </w:rPr>
        <w:t> </w:t>
      </w:r>
      <w:r>
        <w:rPr>
          <w:sz w:val="18"/>
        </w:rPr>
        <w:t>take</w:t>
      </w:r>
      <w:r>
        <w:rPr>
          <w:spacing w:val="-1"/>
          <w:sz w:val="18"/>
        </w:rPr>
        <w:t> </w:t>
      </w:r>
      <w:r>
        <w:rPr>
          <w:sz w:val="18"/>
        </w:rPr>
        <w:t>call</w:t>
      </w:r>
    </w:p>
    <w:p>
      <w:pPr>
        <w:pStyle w:val="ListParagraph"/>
        <w:numPr>
          <w:ilvl w:val="0"/>
          <w:numId w:val="112"/>
        </w:numPr>
        <w:tabs>
          <w:tab w:pos="1273" w:val="left" w:leader="none"/>
        </w:tabs>
        <w:spacing w:line="240" w:lineRule="auto" w:before="0" w:after="0"/>
        <w:ind w:left="1272" w:right="0" w:hanging="287"/>
        <w:jc w:val="left"/>
        <w:rPr>
          <w:sz w:val="18"/>
        </w:rPr>
      </w:pPr>
      <w:r>
        <w:rPr>
          <w:sz w:val="18"/>
        </w:rPr>
        <w:t>Not</w:t>
      </w:r>
      <w:r>
        <w:rPr>
          <w:spacing w:val="-4"/>
          <w:sz w:val="18"/>
        </w:rPr>
        <w:t> </w:t>
      </w:r>
      <w:r>
        <w:rPr>
          <w:sz w:val="18"/>
        </w:rPr>
        <w:t>safe</w:t>
      </w:r>
      <w:r>
        <w:rPr>
          <w:spacing w:val="-1"/>
          <w:sz w:val="18"/>
        </w:rPr>
        <w:t> </w:t>
      </w:r>
      <w:r>
        <w:rPr>
          <w:sz w:val="18"/>
        </w:rPr>
        <w:t>to</w:t>
      </w:r>
      <w:r>
        <w:rPr>
          <w:spacing w:val="-2"/>
          <w:sz w:val="18"/>
        </w:rPr>
        <w:t> </w:t>
      </w:r>
      <w:r>
        <w:rPr>
          <w:sz w:val="18"/>
        </w:rPr>
        <w:t>take</w:t>
      </w:r>
      <w:r>
        <w:rPr>
          <w:spacing w:val="-1"/>
          <w:sz w:val="18"/>
        </w:rPr>
        <w:t> </w:t>
      </w:r>
      <w:r>
        <w:rPr>
          <w:sz w:val="18"/>
        </w:rPr>
        <w:t>call</w:t>
      </w:r>
    </w:p>
    <w:p>
      <w:pPr>
        <w:pStyle w:val="ListParagraph"/>
        <w:numPr>
          <w:ilvl w:val="0"/>
          <w:numId w:val="112"/>
        </w:numPr>
        <w:tabs>
          <w:tab w:pos="1273" w:val="left" w:leader="none"/>
        </w:tabs>
        <w:spacing w:line="240" w:lineRule="auto" w:before="1" w:after="0"/>
        <w:ind w:left="1272" w:right="0" w:hanging="287"/>
        <w:jc w:val="left"/>
        <w:rPr>
          <w:sz w:val="18"/>
        </w:rPr>
      </w:pPr>
      <w:r>
        <w:rPr>
          <w:sz w:val="18"/>
        </w:rPr>
        <w:t>(MAKE</w:t>
      </w:r>
      <w:r>
        <w:rPr>
          <w:spacing w:val="-2"/>
          <w:sz w:val="18"/>
        </w:rPr>
        <w:t> </w:t>
      </w:r>
      <w:r>
        <w:rPr>
          <w:sz w:val="18"/>
        </w:rPr>
        <w:t>AN APPOINTMENT)</w:t>
      </w:r>
    </w:p>
    <w:p>
      <w:pPr>
        <w:pStyle w:val="ListParagraph"/>
        <w:numPr>
          <w:ilvl w:val="0"/>
          <w:numId w:val="112"/>
        </w:numPr>
        <w:tabs>
          <w:tab w:pos="1273" w:val="left" w:leader="none"/>
        </w:tabs>
        <w:spacing w:line="240" w:lineRule="auto" w:before="0" w:after="0"/>
        <w:ind w:left="1272" w:right="0" w:hanging="287"/>
        <w:jc w:val="left"/>
        <w:rPr>
          <w:sz w:val="18"/>
        </w:rPr>
      </w:pPr>
      <w:r>
        <w:rPr>
          <w:sz w:val="18"/>
        </w:rPr>
        <w:t>(Respondent</w:t>
      </w:r>
      <w:r>
        <w:rPr>
          <w:spacing w:val="-2"/>
          <w:sz w:val="18"/>
        </w:rPr>
        <w:t> </w:t>
      </w:r>
      <w:r>
        <w:rPr>
          <w:sz w:val="18"/>
        </w:rPr>
        <w:t>refusal) (GO</w:t>
      </w:r>
      <w:r>
        <w:rPr>
          <w:spacing w:val="-2"/>
          <w:sz w:val="18"/>
        </w:rPr>
        <w:t> </w:t>
      </w:r>
      <w:r>
        <w:rPr>
          <w:sz w:val="18"/>
        </w:rPr>
        <w:t>TO</w:t>
      </w:r>
      <w:r>
        <w:rPr>
          <w:spacing w:val="-2"/>
          <w:sz w:val="18"/>
        </w:rPr>
        <w:t> </w:t>
      </w:r>
      <w:r>
        <w:rPr>
          <w:sz w:val="18"/>
        </w:rPr>
        <w:t>RR1)</w:t>
      </w:r>
    </w:p>
    <w:p>
      <w:pPr>
        <w:spacing w:after="0" w:line="240" w:lineRule="auto"/>
        <w:jc w:val="left"/>
        <w:rPr>
          <w:sz w:val="18"/>
        </w:rPr>
        <w:sectPr>
          <w:footerReference w:type="default" r:id="rId63"/>
          <w:pgSz w:w="11910" w:h="16840"/>
          <w:pgMar w:footer="948" w:header="0" w:top="940" w:bottom="1140" w:left="300" w:right="0"/>
          <w:pgNumType w:start="161"/>
        </w:sectPr>
      </w:pPr>
    </w:p>
    <w:p>
      <w:pPr>
        <w:spacing w:before="75"/>
        <w:ind w:left="420" w:right="0" w:firstLine="0"/>
        <w:jc w:val="left"/>
        <w:rPr>
          <w:b/>
          <w:sz w:val="18"/>
        </w:rPr>
      </w:pPr>
      <w:r>
        <w:rPr>
          <w:b/>
          <w:sz w:val="18"/>
        </w:rPr>
        <w:t>Questionnaire body</w:t>
      </w:r>
    </w:p>
    <w:p>
      <w:pPr>
        <w:pStyle w:val="BodyText"/>
        <w:spacing w:before="2"/>
        <w:rPr>
          <w:b/>
          <w:sz w:val="17"/>
        </w:rPr>
      </w:pPr>
      <w:r>
        <w:rPr/>
        <w:pict>
          <v:group style="position:absolute;margin-left:36pt;margin-top:11.735332pt;width:523.4500pt;height:366.8pt;mso-position-horizontal-relative:page;mso-position-vertical-relative:paragraph;z-index:-15273984;mso-wrap-distance-left:0;mso-wrap-distance-right:0" id="docshapegroup269" coordorigin="720,235" coordsize="10469,7336">
            <v:shape style="position:absolute;left:720;top:234;width:10469;height:7336" id="docshape270" coordorigin="720,235" coordsize="10469,7336" path="m11188,7561l11179,7561,730,7561,720,7561,720,7571,730,7571,11179,7571,11188,7571,11188,7561xm11188,235l11179,235,730,235,720,235,720,244,720,7561,730,7561,730,244,11179,244,11179,7561,11188,7561,11188,244,11188,235xe" filled="true" fillcolor="#bebebe" stroked="false">
              <v:path arrowok="t"/>
              <v:fill type="solid"/>
            </v:shape>
            <v:shape style="position:absolute;left:832;top:243;width:959;height:221" type="#_x0000_t202" id="docshape271" filled="false" stroked="false">
              <v:textbox inset="0,0,0,0">
                <w:txbxContent>
                  <w:p>
                    <w:pPr>
                      <w:spacing w:before="0"/>
                      <w:ind w:left="0" w:right="0" w:firstLine="0"/>
                      <w:jc w:val="left"/>
                      <w:rPr>
                        <w:b/>
                        <w:sz w:val="18"/>
                      </w:rPr>
                    </w:pPr>
                    <w:r>
                      <w:rPr>
                        <w:b/>
                        <w:sz w:val="18"/>
                      </w:rPr>
                      <w:t>Interview</w:t>
                    </w:r>
                    <w:r>
                      <w:rPr>
                        <w:b/>
                        <w:spacing w:val="-5"/>
                        <w:sz w:val="18"/>
                      </w:rPr>
                      <w:t> </w:t>
                    </w:r>
                    <w:r>
                      <w:rPr>
                        <w:b/>
                        <w:sz w:val="18"/>
                      </w:rPr>
                      <w:t>1</w:t>
                    </w:r>
                  </w:p>
                </w:txbxContent>
              </v:textbox>
              <w10:wrap type="none"/>
            </v:shape>
            <v:shape style="position:absolute;left:832;top:584;width:275;height:221" type="#_x0000_t202" id="docshape272" filled="false" stroked="false">
              <v:textbox inset="0,0,0,0">
                <w:txbxContent>
                  <w:p>
                    <w:pPr>
                      <w:spacing w:before="0"/>
                      <w:ind w:left="0" w:right="0" w:firstLine="0"/>
                      <w:jc w:val="left"/>
                      <w:rPr>
                        <w:sz w:val="18"/>
                      </w:rPr>
                    </w:pPr>
                    <w:r>
                      <w:rPr>
                        <w:sz w:val="18"/>
                      </w:rPr>
                      <w:t>Q1</w:t>
                    </w:r>
                  </w:p>
                </w:txbxContent>
              </v:textbox>
              <w10:wrap type="none"/>
            </v:shape>
            <v:shape style="position:absolute;left:1541;top:584;width:8461;height:221" type="#_x0000_t202" id="docshape273" filled="false" stroked="false">
              <v:textbox inset="0,0,0,0">
                <w:txbxContent>
                  <w:p>
                    <w:pPr>
                      <w:spacing w:before="0"/>
                      <w:ind w:left="0" w:right="0" w:firstLine="0"/>
                      <w:jc w:val="left"/>
                      <w:rPr>
                        <w:sz w:val="18"/>
                      </w:rPr>
                    </w:pPr>
                    <w:r>
                      <w:rPr>
                        <w:sz w:val="18"/>
                      </w:rPr>
                      <w:t>Our</w:t>
                    </w:r>
                    <w:r>
                      <w:rPr>
                        <w:spacing w:val="-2"/>
                        <w:sz w:val="18"/>
                      </w:rPr>
                      <w:t> </w:t>
                    </w:r>
                    <w:r>
                      <w:rPr>
                        <w:sz w:val="18"/>
                      </w:rPr>
                      <w:t>records</w:t>
                    </w:r>
                    <w:r>
                      <w:rPr>
                        <w:spacing w:val="-3"/>
                        <w:sz w:val="18"/>
                      </w:rPr>
                      <w:t> </w:t>
                    </w:r>
                    <w:r>
                      <w:rPr>
                        <w:sz w:val="18"/>
                      </w:rPr>
                      <w:t>show</w:t>
                    </w:r>
                    <w:r>
                      <w:rPr>
                        <w:spacing w:val="-4"/>
                        <w:sz w:val="18"/>
                      </w:rPr>
                      <w:t> </w:t>
                    </w:r>
                    <w:r>
                      <w:rPr>
                        <w:sz w:val="18"/>
                      </w:rPr>
                      <w:t>that</w:t>
                    </w:r>
                    <w:r>
                      <w:rPr>
                        <w:spacing w:val="-3"/>
                        <w:sz w:val="18"/>
                      </w:rPr>
                      <w:t> </w:t>
                    </w:r>
                    <w:r>
                      <w:rPr>
                        <w:sz w:val="18"/>
                      </w:rPr>
                      <w:t>you</w:t>
                    </w:r>
                    <w:r>
                      <w:rPr>
                        <w:spacing w:val="-1"/>
                        <w:sz w:val="18"/>
                      </w:rPr>
                      <w:t> </w:t>
                    </w:r>
                    <w:r>
                      <w:rPr>
                        <w:sz w:val="18"/>
                      </w:rPr>
                      <w:t>recently</w:t>
                    </w:r>
                    <w:r>
                      <w:rPr>
                        <w:spacing w:val="-2"/>
                        <w:sz w:val="18"/>
                      </w:rPr>
                      <w:t> </w:t>
                    </w:r>
                    <w:r>
                      <w:rPr>
                        <w:sz w:val="18"/>
                      </w:rPr>
                      <w:t>saw</w:t>
                    </w:r>
                    <w:r>
                      <w:rPr>
                        <w:spacing w:val="-3"/>
                        <w:sz w:val="18"/>
                      </w:rPr>
                      <w:t> </w:t>
                    </w:r>
                    <w:r>
                      <w:rPr>
                        <w:sz w:val="18"/>
                      </w:rPr>
                      <w:t>a</w:t>
                    </w:r>
                    <w:r>
                      <w:rPr>
                        <w:spacing w:val="-3"/>
                        <w:sz w:val="18"/>
                      </w:rPr>
                      <w:t> </w:t>
                    </w:r>
                    <w:r>
                      <w:rPr>
                        <w:sz w:val="18"/>
                      </w:rPr>
                      <w:t>general</w:t>
                    </w:r>
                    <w:r>
                      <w:rPr>
                        <w:spacing w:val="-2"/>
                        <w:sz w:val="18"/>
                      </w:rPr>
                      <w:t> </w:t>
                    </w:r>
                    <w:r>
                      <w:rPr>
                        <w:sz w:val="18"/>
                      </w:rPr>
                      <w:t>practitioner,</w:t>
                    </w:r>
                    <w:r>
                      <w:rPr>
                        <w:spacing w:val="-2"/>
                        <w:sz w:val="18"/>
                      </w:rPr>
                      <w:t> </w:t>
                    </w:r>
                    <w:r>
                      <w:rPr>
                        <w:sz w:val="18"/>
                      </w:rPr>
                      <w:t>or</w:t>
                    </w:r>
                    <w:r>
                      <w:rPr>
                        <w:spacing w:val="-2"/>
                        <w:sz w:val="18"/>
                      </w:rPr>
                      <w:t> </w:t>
                    </w:r>
                    <w:r>
                      <w:rPr>
                        <w:sz w:val="18"/>
                      </w:rPr>
                      <w:t>GP,</w:t>
                    </w:r>
                    <w:r>
                      <w:rPr>
                        <w:spacing w:val="-5"/>
                        <w:sz w:val="18"/>
                      </w:rPr>
                      <w:t> </w:t>
                    </w:r>
                    <w:r>
                      <w:rPr>
                        <w:sz w:val="18"/>
                      </w:rPr>
                      <w:t>at</w:t>
                    </w:r>
                    <w:r>
                      <w:rPr>
                        <w:spacing w:val="-3"/>
                        <w:sz w:val="18"/>
                      </w:rPr>
                      <w:t> </w:t>
                    </w:r>
                    <w:r>
                      <w:rPr>
                        <w:sz w:val="18"/>
                      </w:rPr>
                      <w:t>&lt;practice&gt;,</w:t>
                    </w:r>
                    <w:r>
                      <w:rPr>
                        <w:spacing w:val="-3"/>
                        <w:sz w:val="18"/>
                      </w:rPr>
                      <w:t> </w:t>
                    </w:r>
                    <w:r>
                      <w:rPr>
                        <w:sz w:val="18"/>
                      </w:rPr>
                      <w:t>is</w:t>
                    </w:r>
                    <w:r>
                      <w:rPr>
                        <w:spacing w:val="-3"/>
                        <w:sz w:val="18"/>
                      </w:rPr>
                      <w:t> </w:t>
                    </w:r>
                    <w:r>
                      <w:rPr>
                        <w:sz w:val="18"/>
                      </w:rPr>
                      <w:t>that</w:t>
                    </w:r>
                    <w:r>
                      <w:rPr>
                        <w:spacing w:val="-3"/>
                        <w:sz w:val="18"/>
                      </w:rPr>
                      <w:t> </w:t>
                    </w:r>
                    <w:r>
                      <w:rPr>
                        <w:sz w:val="18"/>
                      </w:rPr>
                      <w:t>right?</w:t>
                    </w:r>
                  </w:p>
                </w:txbxContent>
              </v:textbox>
              <w10:wrap type="none"/>
            </v:shape>
            <v:shape style="position:absolute;left:1553;top:1038;width:273;height:663" type="#_x0000_t202" id="docshape274" filled="false" stroked="false">
              <v:textbox inset="0,0,0,0">
                <w:txbxContent>
                  <w:p>
                    <w:pPr>
                      <w:spacing w:before="0"/>
                      <w:ind w:left="0" w:right="0" w:firstLine="0"/>
                      <w:jc w:val="left"/>
                      <w:rPr>
                        <w:sz w:val="18"/>
                      </w:rPr>
                    </w:pPr>
                    <w:r>
                      <w:rPr>
                        <w:sz w:val="18"/>
                      </w:rPr>
                      <w:t>1.</w:t>
                    </w:r>
                  </w:p>
                  <w:p>
                    <w:pPr>
                      <w:spacing w:before="0"/>
                      <w:ind w:left="0" w:right="0" w:firstLine="0"/>
                      <w:jc w:val="left"/>
                      <w:rPr>
                        <w:sz w:val="18"/>
                      </w:rPr>
                    </w:pPr>
                    <w:r>
                      <w:rPr>
                        <w:sz w:val="18"/>
                      </w:rPr>
                      <w:t>2.</w:t>
                    </w:r>
                  </w:p>
                  <w:p>
                    <w:pPr>
                      <w:spacing w:before="0"/>
                      <w:ind w:left="0" w:right="0" w:firstLine="0"/>
                      <w:jc w:val="left"/>
                      <w:rPr>
                        <w:sz w:val="18"/>
                      </w:rPr>
                    </w:pPr>
                    <w:r>
                      <w:rPr>
                        <w:sz w:val="18"/>
                      </w:rPr>
                      <w:t>99.</w:t>
                    </w:r>
                  </w:p>
                </w:txbxContent>
              </v:textbox>
              <w10:wrap type="none"/>
            </v:shape>
            <v:shape style="position:absolute;left:2273;top:1038;width:2612;height:663" type="#_x0000_t202" id="docshape275" filled="false" stroked="false">
              <v:textbox inset="0,0,0,0">
                <w:txbxContent>
                  <w:p>
                    <w:pPr>
                      <w:spacing w:before="0"/>
                      <w:ind w:left="0" w:right="0" w:firstLine="0"/>
                      <w:jc w:val="left"/>
                      <w:rPr>
                        <w:sz w:val="18"/>
                      </w:rPr>
                    </w:pPr>
                    <w:r>
                      <w:rPr>
                        <w:sz w:val="18"/>
                      </w:rPr>
                      <w:t>Yes</w:t>
                    </w:r>
                  </w:p>
                  <w:p>
                    <w:pPr>
                      <w:spacing w:before="0"/>
                      <w:ind w:left="0" w:right="0" w:firstLine="0"/>
                      <w:jc w:val="left"/>
                      <w:rPr>
                        <w:sz w:val="18"/>
                      </w:rPr>
                    </w:pPr>
                    <w:r>
                      <w:rPr>
                        <w:sz w:val="18"/>
                      </w:rPr>
                      <w:t>No</w:t>
                    </w:r>
                    <w:r>
                      <w:rPr>
                        <w:spacing w:val="-2"/>
                        <w:sz w:val="18"/>
                      </w:rPr>
                      <w:t> </w:t>
                    </w:r>
                    <w:r>
                      <w:rPr>
                        <w:sz w:val="18"/>
                      </w:rPr>
                      <w:t>(SPECIFY</w:t>
                    </w:r>
                    <w:r>
                      <w:rPr>
                        <w:spacing w:val="-5"/>
                        <w:sz w:val="18"/>
                      </w:rPr>
                      <w:t> </w:t>
                    </w:r>
                    <w:r>
                      <w:rPr>
                        <w:sz w:val="18"/>
                      </w:rPr>
                      <w:t>PRACTICE</w:t>
                    </w:r>
                    <w:r>
                      <w:rPr>
                        <w:spacing w:val="-3"/>
                        <w:sz w:val="18"/>
                      </w:rPr>
                      <w:t> </w:t>
                    </w:r>
                    <w:r>
                      <w:rPr>
                        <w:sz w:val="18"/>
                      </w:rPr>
                      <w:t>NAME)</w:t>
                    </w:r>
                  </w:p>
                  <w:p>
                    <w:pPr>
                      <w:spacing w:before="0"/>
                      <w:ind w:left="0" w:right="0" w:firstLine="0"/>
                      <w:jc w:val="left"/>
                      <w:rPr>
                        <w:sz w:val="18"/>
                      </w:rPr>
                    </w:pPr>
                    <w:r>
                      <w:rPr>
                        <w:sz w:val="18"/>
                      </w:rPr>
                      <w:t>(Refused)</w:t>
                    </w:r>
                  </w:p>
                </w:txbxContent>
              </v:textbox>
              <w10:wrap type="none"/>
            </v:shape>
            <v:shape style="position:absolute;left:832;top:1933;width:275;height:221" type="#_x0000_t202" id="docshape276" filled="false" stroked="false">
              <v:textbox inset="0,0,0,0">
                <w:txbxContent>
                  <w:p>
                    <w:pPr>
                      <w:spacing w:before="0"/>
                      <w:ind w:left="0" w:right="0" w:firstLine="0"/>
                      <w:jc w:val="left"/>
                      <w:rPr>
                        <w:sz w:val="18"/>
                      </w:rPr>
                    </w:pPr>
                    <w:r>
                      <w:rPr>
                        <w:sz w:val="18"/>
                      </w:rPr>
                      <w:t>Q2</w:t>
                    </w:r>
                  </w:p>
                </w:txbxContent>
              </v:textbox>
              <w10:wrap type="none"/>
            </v:shape>
            <v:shape style="position:absolute;left:1541;top:1933;width:8786;height:476" type="#_x0000_t202" id="docshape277" filled="false" stroked="false">
              <v:textbox inset="0,0,0,0">
                <w:txbxContent>
                  <w:p>
                    <w:pPr>
                      <w:spacing w:before="0"/>
                      <w:ind w:left="0" w:right="0" w:firstLine="0"/>
                      <w:jc w:val="left"/>
                      <w:rPr>
                        <w:sz w:val="18"/>
                      </w:rPr>
                    </w:pPr>
                    <w:r>
                      <w:rPr>
                        <w:sz w:val="18"/>
                      </w:rPr>
                      <w:t>Is</w:t>
                    </w:r>
                    <w:r>
                      <w:rPr>
                        <w:spacing w:val="-3"/>
                        <w:sz w:val="18"/>
                      </w:rPr>
                      <w:t> </w:t>
                    </w:r>
                    <w:r>
                      <w:rPr>
                        <w:sz w:val="18"/>
                      </w:rPr>
                      <w:t>&lt;practice&gt;</w:t>
                    </w:r>
                    <w:r>
                      <w:rPr>
                        <w:spacing w:val="-2"/>
                        <w:sz w:val="18"/>
                      </w:rPr>
                      <w:t> </w:t>
                    </w:r>
                    <w:r>
                      <w:rPr>
                        <w:sz w:val="18"/>
                      </w:rPr>
                      <w:t>the</w:t>
                    </w:r>
                    <w:r>
                      <w:rPr>
                        <w:spacing w:val="-1"/>
                        <w:sz w:val="18"/>
                      </w:rPr>
                      <w:t> </w:t>
                    </w:r>
                    <w:r>
                      <w:rPr>
                        <w:sz w:val="18"/>
                      </w:rPr>
                      <w:t>GP</w:t>
                    </w:r>
                    <w:r>
                      <w:rPr>
                        <w:spacing w:val="-3"/>
                        <w:sz w:val="18"/>
                      </w:rPr>
                      <w:t> </w:t>
                    </w:r>
                    <w:r>
                      <w:rPr>
                        <w:sz w:val="18"/>
                      </w:rPr>
                      <w:t>practice you</w:t>
                    </w:r>
                    <w:r>
                      <w:rPr>
                        <w:spacing w:val="-1"/>
                        <w:sz w:val="18"/>
                      </w:rPr>
                      <w:t> </w:t>
                    </w:r>
                    <w:r>
                      <w:rPr>
                        <w:sz w:val="18"/>
                      </w:rPr>
                      <w:t>usually</w:t>
                    </w:r>
                    <w:r>
                      <w:rPr>
                        <w:spacing w:val="-2"/>
                        <w:sz w:val="18"/>
                      </w:rPr>
                      <w:t> </w:t>
                    </w:r>
                    <w:r>
                      <w:rPr>
                        <w:sz w:val="18"/>
                      </w:rPr>
                      <w:t>go</w:t>
                    </w:r>
                    <w:r>
                      <w:rPr>
                        <w:spacing w:val="-2"/>
                        <w:sz w:val="18"/>
                      </w:rPr>
                      <w:t> </w:t>
                    </w:r>
                    <w:r>
                      <w:rPr>
                        <w:sz w:val="18"/>
                      </w:rPr>
                      <w:t>to</w:t>
                    </w:r>
                    <w:r>
                      <w:rPr>
                        <w:spacing w:val="-5"/>
                        <w:sz w:val="18"/>
                      </w:rPr>
                      <w:t> </w:t>
                    </w:r>
                    <w:r>
                      <w:rPr>
                        <w:sz w:val="18"/>
                      </w:rPr>
                      <w:t>if</w:t>
                    </w:r>
                    <w:r>
                      <w:rPr>
                        <w:spacing w:val="-1"/>
                        <w:sz w:val="18"/>
                      </w:rPr>
                      <w:t> </w:t>
                    </w:r>
                    <w:r>
                      <w:rPr>
                        <w:sz w:val="18"/>
                      </w:rPr>
                      <w:t>you</w:t>
                    </w:r>
                    <w:r>
                      <w:rPr>
                        <w:spacing w:val="-3"/>
                        <w:sz w:val="18"/>
                      </w:rPr>
                      <w:t> </w:t>
                    </w:r>
                    <w:r>
                      <w:rPr>
                        <w:sz w:val="18"/>
                      </w:rPr>
                      <w:t>need</w:t>
                    </w:r>
                    <w:r>
                      <w:rPr>
                        <w:spacing w:val="-3"/>
                        <w:sz w:val="18"/>
                      </w:rPr>
                      <w:t> </w:t>
                    </w:r>
                    <w:r>
                      <w:rPr>
                        <w:sz w:val="18"/>
                      </w:rPr>
                      <w:t>a</w:t>
                    </w:r>
                    <w:r>
                      <w:rPr>
                        <w:spacing w:val="-2"/>
                        <w:sz w:val="18"/>
                      </w:rPr>
                      <w:t> </w:t>
                    </w:r>
                    <w:r>
                      <w:rPr>
                        <w:sz w:val="18"/>
                      </w:rPr>
                      <w:t>check-up,</w:t>
                    </w:r>
                    <w:r>
                      <w:rPr>
                        <w:spacing w:val="-4"/>
                        <w:sz w:val="18"/>
                      </w:rPr>
                      <w:t> </w:t>
                    </w:r>
                    <w:r>
                      <w:rPr>
                        <w:sz w:val="18"/>
                      </w:rPr>
                      <w:t>want</w:t>
                    </w:r>
                    <w:r>
                      <w:rPr>
                        <w:spacing w:val="-3"/>
                        <w:sz w:val="18"/>
                      </w:rPr>
                      <w:t> </w:t>
                    </w:r>
                    <w:r>
                      <w:rPr>
                        <w:sz w:val="18"/>
                      </w:rPr>
                      <w:t>advice about</w:t>
                    </w:r>
                    <w:r>
                      <w:rPr>
                        <w:spacing w:val="-3"/>
                        <w:sz w:val="18"/>
                      </w:rPr>
                      <w:t> </w:t>
                    </w:r>
                    <w:r>
                      <w:rPr>
                        <w:sz w:val="18"/>
                      </w:rPr>
                      <w:t>a</w:t>
                    </w:r>
                    <w:r>
                      <w:rPr>
                        <w:spacing w:val="-2"/>
                        <w:sz w:val="18"/>
                      </w:rPr>
                      <w:t> </w:t>
                    </w:r>
                    <w:r>
                      <w:rPr>
                        <w:sz w:val="18"/>
                      </w:rPr>
                      <w:t>health</w:t>
                    </w:r>
                  </w:p>
                  <w:p>
                    <w:pPr>
                      <w:spacing w:before="33"/>
                      <w:ind w:left="0" w:right="0" w:firstLine="0"/>
                      <w:jc w:val="left"/>
                      <w:rPr>
                        <w:sz w:val="18"/>
                      </w:rPr>
                    </w:pPr>
                    <w:r>
                      <w:rPr>
                        <w:sz w:val="18"/>
                      </w:rPr>
                      <w:t>problem,</w:t>
                    </w:r>
                    <w:r>
                      <w:rPr>
                        <w:spacing w:val="-4"/>
                        <w:sz w:val="18"/>
                      </w:rPr>
                      <w:t> </w:t>
                    </w:r>
                    <w:r>
                      <w:rPr>
                        <w:sz w:val="18"/>
                      </w:rPr>
                      <w:t>or</w:t>
                    </w:r>
                    <w:r>
                      <w:rPr>
                        <w:spacing w:val="-1"/>
                        <w:sz w:val="18"/>
                      </w:rPr>
                      <w:t> </w:t>
                    </w:r>
                    <w:r>
                      <w:rPr>
                        <w:sz w:val="18"/>
                      </w:rPr>
                      <w:t>get</w:t>
                    </w:r>
                    <w:r>
                      <w:rPr>
                        <w:spacing w:val="-3"/>
                        <w:sz w:val="18"/>
                      </w:rPr>
                      <w:t> </w:t>
                    </w:r>
                    <w:r>
                      <w:rPr>
                        <w:sz w:val="18"/>
                      </w:rPr>
                      <w:t>sick</w:t>
                    </w:r>
                    <w:r>
                      <w:rPr>
                        <w:spacing w:val="-1"/>
                        <w:sz w:val="18"/>
                      </w:rPr>
                      <w:t> </w:t>
                    </w:r>
                    <w:r>
                      <w:rPr>
                        <w:sz w:val="18"/>
                      </w:rPr>
                      <w:t>or</w:t>
                    </w:r>
                    <w:r>
                      <w:rPr>
                        <w:spacing w:val="-2"/>
                        <w:sz w:val="18"/>
                      </w:rPr>
                      <w:t> </w:t>
                    </w:r>
                    <w:r>
                      <w:rPr>
                        <w:sz w:val="18"/>
                      </w:rPr>
                      <w:t>hurt?</w:t>
                    </w:r>
                  </w:p>
                </w:txbxContent>
              </v:textbox>
              <w10:wrap type="none"/>
            </v:shape>
            <v:shape style="position:absolute;left:1553;top:2641;width:273;height:663" type="#_x0000_t202" id="docshape278" filled="false" stroked="false">
              <v:textbox inset="0,0,0,0">
                <w:txbxContent>
                  <w:p>
                    <w:pPr>
                      <w:spacing w:before="0"/>
                      <w:ind w:left="0" w:right="0" w:firstLine="0"/>
                      <w:jc w:val="left"/>
                      <w:rPr>
                        <w:sz w:val="18"/>
                      </w:rPr>
                    </w:pPr>
                    <w:r>
                      <w:rPr>
                        <w:sz w:val="18"/>
                      </w:rPr>
                      <w:t>1.</w:t>
                    </w:r>
                  </w:p>
                  <w:p>
                    <w:pPr>
                      <w:spacing w:before="0"/>
                      <w:ind w:left="0" w:right="0" w:firstLine="0"/>
                      <w:jc w:val="left"/>
                      <w:rPr>
                        <w:sz w:val="18"/>
                      </w:rPr>
                    </w:pPr>
                    <w:r>
                      <w:rPr>
                        <w:sz w:val="18"/>
                      </w:rPr>
                      <w:t>2.</w:t>
                    </w:r>
                  </w:p>
                  <w:p>
                    <w:pPr>
                      <w:spacing w:before="0"/>
                      <w:ind w:left="0" w:right="0" w:firstLine="0"/>
                      <w:jc w:val="left"/>
                      <w:rPr>
                        <w:sz w:val="18"/>
                      </w:rPr>
                    </w:pPr>
                    <w:r>
                      <w:rPr>
                        <w:sz w:val="18"/>
                      </w:rPr>
                      <w:t>99.</w:t>
                    </w:r>
                  </w:p>
                </w:txbxContent>
              </v:textbox>
              <w10:wrap type="none"/>
            </v:shape>
            <v:shape style="position:absolute;left:2273;top:2641;width:854;height:663" type="#_x0000_t202" id="docshape279" filled="false" stroked="false">
              <v:textbox inset="0,0,0,0">
                <w:txbxContent>
                  <w:p>
                    <w:pPr>
                      <w:spacing w:before="0"/>
                      <w:ind w:left="0" w:right="543" w:firstLine="0"/>
                      <w:jc w:val="left"/>
                      <w:rPr>
                        <w:sz w:val="18"/>
                      </w:rPr>
                    </w:pPr>
                    <w:r>
                      <w:rPr>
                        <w:spacing w:val="-1"/>
                        <w:sz w:val="18"/>
                      </w:rPr>
                      <w:t>Yes</w:t>
                    </w:r>
                    <w:r>
                      <w:rPr>
                        <w:spacing w:val="-48"/>
                        <w:sz w:val="18"/>
                      </w:rPr>
                      <w:t> </w:t>
                    </w:r>
                    <w:r>
                      <w:rPr>
                        <w:sz w:val="18"/>
                      </w:rPr>
                      <w:t>No</w:t>
                    </w:r>
                  </w:p>
                  <w:p>
                    <w:pPr>
                      <w:spacing w:before="0"/>
                      <w:ind w:left="0" w:right="0" w:firstLine="0"/>
                      <w:jc w:val="left"/>
                      <w:rPr>
                        <w:sz w:val="18"/>
                      </w:rPr>
                    </w:pPr>
                    <w:r>
                      <w:rPr>
                        <w:sz w:val="18"/>
                      </w:rPr>
                      <w:t>(Refused)</w:t>
                    </w:r>
                  </w:p>
                </w:txbxContent>
              </v:textbox>
              <w10:wrap type="none"/>
            </v:shape>
            <v:shape style="position:absolute;left:832;top:3536;width:275;height:221" type="#_x0000_t202" id="docshape280" filled="false" stroked="false">
              <v:textbox inset="0,0,0,0">
                <w:txbxContent>
                  <w:p>
                    <w:pPr>
                      <w:spacing w:before="0"/>
                      <w:ind w:left="0" w:right="0" w:firstLine="0"/>
                      <w:jc w:val="left"/>
                      <w:rPr>
                        <w:sz w:val="18"/>
                      </w:rPr>
                    </w:pPr>
                    <w:r>
                      <w:rPr>
                        <w:sz w:val="18"/>
                      </w:rPr>
                      <w:t>Q3</w:t>
                    </w:r>
                  </w:p>
                </w:txbxContent>
              </v:textbox>
              <w10:wrap type="none"/>
            </v:shape>
            <v:shape style="position:absolute;left:1541;top:3536;width:4142;height:221" type="#_x0000_t202" id="docshape281" filled="false" stroked="false">
              <v:textbox inset="0,0,0,0">
                <w:txbxContent>
                  <w:p>
                    <w:pPr>
                      <w:spacing w:before="0"/>
                      <w:ind w:left="0" w:right="0" w:firstLine="0"/>
                      <w:jc w:val="left"/>
                      <w:rPr>
                        <w:sz w:val="18"/>
                      </w:rPr>
                    </w:pPr>
                    <w:r>
                      <w:rPr>
                        <w:sz w:val="18"/>
                      </w:rPr>
                      <w:t>How</w:t>
                    </w:r>
                    <w:r>
                      <w:rPr>
                        <w:spacing w:val="-4"/>
                        <w:sz w:val="18"/>
                      </w:rPr>
                      <w:t> </w:t>
                    </w:r>
                    <w:r>
                      <w:rPr>
                        <w:sz w:val="18"/>
                      </w:rPr>
                      <w:t>long</w:t>
                    </w:r>
                    <w:r>
                      <w:rPr>
                        <w:spacing w:val="-4"/>
                        <w:sz w:val="18"/>
                      </w:rPr>
                      <w:t> </w:t>
                    </w:r>
                    <w:r>
                      <w:rPr>
                        <w:sz w:val="18"/>
                      </w:rPr>
                      <w:t>have</w:t>
                    </w:r>
                    <w:r>
                      <w:rPr>
                        <w:spacing w:val="-1"/>
                        <w:sz w:val="18"/>
                      </w:rPr>
                      <w:t> </w:t>
                    </w:r>
                    <w:r>
                      <w:rPr>
                        <w:sz w:val="18"/>
                      </w:rPr>
                      <w:t>you</w:t>
                    </w:r>
                    <w:r>
                      <w:rPr>
                        <w:spacing w:val="-2"/>
                        <w:sz w:val="18"/>
                      </w:rPr>
                      <w:t> </w:t>
                    </w:r>
                    <w:r>
                      <w:rPr>
                        <w:sz w:val="18"/>
                      </w:rPr>
                      <w:t>been</w:t>
                    </w:r>
                    <w:r>
                      <w:rPr>
                        <w:spacing w:val="-1"/>
                        <w:sz w:val="18"/>
                      </w:rPr>
                      <w:t> </w:t>
                    </w:r>
                    <w:r>
                      <w:rPr>
                        <w:sz w:val="18"/>
                      </w:rPr>
                      <w:t>going</w:t>
                    </w:r>
                    <w:r>
                      <w:rPr>
                        <w:spacing w:val="-4"/>
                        <w:sz w:val="18"/>
                      </w:rPr>
                      <w:t> </w:t>
                    </w:r>
                    <w:r>
                      <w:rPr>
                        <w:sz w:val="18"/>
                      </w:rPr>
                      <w:t>to</w:t>
                    </w:r>
                    <w:r>
                      <w:rPr>
                        <w:spacing w:val="-2"/>
                        <w:sz w:val="18"/>
                      </w:rPr>
                      <w:t> </w:t>
                    </w:r>
                    <w:r>
                      <w:rPr>
                        <w:sz w:val="18"/>
                      </w:rPr>
                      <w:t>&lt;practice&gt;?</w:t>
                    </w:r>
                  </w:p>
                </w:txbxContent>
              </v:textbox>
              <w10:wrap type="none"/>
            </v:shape>
            <v:shape style="position:absolute;left:1553;top:3990;width:273;height:884" type="#_x0000_t202" id="docshape282" filled="false" stroked="false">
              <v:textbox inset="0,0,0,0">
                <w:txbxContent>
                  <w:p>
                    <w:pPr>
                      <w:spacing w:before="0"/>
                      <w:ind w:left="0" w:right="0" w:firstLine="0"/>
                      <w:jc w:val="left"/>
                      <w:rPr>
                        <w:sz w:val="18"/>
                      </w:rPr>
                    </w:pPr>
                    <w:r>
                      <w:rPr>
                        <w:sz w:val="18"/>
                      </w:rPr>
                      <w:t>1.</w:t>
                    </w:r>
                  </w:p>
                  <w:p>
                    <w:pPr>
                      <w:spacing w:before="0"/>
                      <w:ind w:left="0" w:right="0" w:firstLine="0"/>
                      <w:jc w:val="left"/>
                      <w:rPr>
                        <w:sz w:val="18"/>
                      </w:rPr>
                    </w:pPr>
                    <w:r>
                      <w:rPr>
                        <w:sz w:val="18"/>
                      </w:rPr>
                      <w:t>2.</w:t>
                    </w:r>
                  </w:p>
                  <w:p>
                    <w:pPr>
                      <w:spacing w:before="0"/>
                      <w:ind w:left="0" w:right="0" w:firstLine="0"/>
                      <w:jc w:val="left"/>
                      <w:rPr>
                        <w:sz w:val="18"/>
                      </w:rPr>
                    </w:pPr>
                    <w:r>
                      <w:rPr>
                        <w:sz w:val="18"/>
                      </w:rPr>
                      <w:t>98.</w:t>
                    </w:r>
                  </w:p>
                  <w:p>
                    <w:pPr>
                      <w:spacing w:before="0"/>
                      <w:ind w:left="0" w:right="0" w:firstLine="0"/>
                      <w:jc w:val="left"/>
                      <w:rPr>
                        <w:sz w:val="18"/>
                      </w:rPr>
                    </w:pPr>
                    <w:r>
                      <w:rPr>
                        <w:sz w:val="18"/>
                      </w:rPr>
                      <w:t>99.</w:t>
                    </w:r>
                  </w:p>
                </w:txbxContent>
              </v:textbox>
              <w10:wrap type="none"/>
            </v:shape>
            <v:shape style="position:absolute;left:2273;top:3990;width:4733;height:884" type="#_x0000_t202" id="docshape283" filled="false" stroked="false">
              <v:textbox inset="0,0,0,0">
                <w:txbxContent>
                  <w:p>
                    <w:pPr>
                      <w:tabs>
                        <w:tab w:pos="1156" w:val="left" w:leader="none"/>
                        <w:tab w:pos="1408" w:val="left" w:leader="none"/>
                      </w:tabs>
                      <w:spacing w:before="0"/>
                      <w:ind w:left="0" w:right="18" w:firstLine="0"/>
                      <w:jc w:val="left"/>
                      <w:rPr>
                        <w:sz w:val="18"/>
                      </w:rPr>
                    </w:pPr>
                    <w:r>
                      <w:rPr>
                        <w:sz w:val="18"/>
                      </w:rPr>
                      <w:t>Months:</w:t>
                    </w:r>
                    <w:r>
                      <w:rPr>
                        <w:sz w:val="18"/>
                        <w:u w:val="single"/>
                      </w:rPr>
                      <w:tab/>
                      <w:tab/>
                    </w:r>
                    <w:r>
                      <w:rPr>
                        <w:sz w:val="18"/>
                      </w:rPr>
                      <w:t>(WHOLE NUMBERS ONLY, RANGE 0-24)</w:t>
                    </w:r>
                    <w:r>
                      <w:rPr>
                        <w:spacing w:val="-47"/>
                        <w:sz w:val="18"/>
                      </w:rPr>
                      <w:t> </w:t>
                    </w:r>
                    <w:r>
                      <w:rPr>
                        <w:sz w:val="18"/>
                      </w:rPr>
                      <w:t>Years:</w:t>
                    </w:r>
                    <w:r>
                      <w:rPr>
                        <w:sz w:val="18"/>
                        <w:u w:val="single"/>
                      </w:rPr>
                      <w:tab/>
                    </w:r>
                    <w:r>
                      <w:rPr>
                        <w:sz w:val="18"/>
                      </w:rPr>
                      <w:t>(WHOLE</w:t>
                    </w:r>
                    <w:r>
                      <w:rPr>
                        <w:spacing w:val="1"/>
                        <w:sz w:val="18"/>
                      </w:rPr>
                      <w:t> </w:t>
                    </w:r>
                    <w:r>
                      <w:rPr>
                        <w:sz w:val="18"/>
                      </w:rPr>
                      <w:t>NUMBERS</w:t>
                    </w:r>
                    <w:r>
                      <w:rPr>
                        <w:spacing w:val="-1"/>
                        <w:sz w:val="18"/>
                      </w:rPr>
                      <w:t> </w:t>
                    </w:r>
                    <w:r>
                      <w:rPr>
                        <w:sz w:val="18"/>
                      </w:rPr>
                      <w:t>ONLY,</w:t>
                    </w:r>
                    <w:r>
                      <w:rPr>
                        <w:spacing w:val="-2"/>
                        <w:sz w:val="18"/>
                      </w:rPr>
                      <w:t> </w:t>
                    </w:r>
                    <w:r>
                      <w:rPr>
                        <w:sz w:val="18"/>
                      </w:rPr>
                      <w:t>RANGE</w:t>
                    </w:r>
                    <w:r>
                      <w:rPr>
                        <w:spacing w:val="-2"/>
                        <w:sz w:val="18"/>
                      </w:rPr>
                      <w:t> </w:t>
                    </w:r>
                    <w:r>
                      <w:rPr>
                        <w:sz w:val="18"/>
                      </w:rPr>
                      <w:t>0-80)</w:t>
                    </w:r>
                  </w:p>
                  <w:p>
                    <w:pPr>
                      <w:spacing w:before="0"/>
                      <w:ind w:left="0" w:right="3055" w:firstLine="0"/>
                      <w:jc w:val="left"/>
                      <w:rPr>
                        <w:sz w:val="18"/>
                      </w:rPr>
                    </w:pPr>
                    <w:r>
                      <w:rPr>
                        <w:sz w:val="18"/>
                      </w:rPr>
                      <w:t>(Don’t</w:t>
                    </w:r>
                    <w:r>
                      <w:rPr>
                        <w:spacing w:val="-7"/>
                        <w:sz w:val="18"/>
                      </w:rPr>
                      <w:t> </w:t>
                    </w:r>
                    <w:r>
                      <w:rPr>
                        <w:sz w:val="18"/>
                      </w:rPr>
                      <w:t>know</w:t>
                    </w:r>
                    <w:r>
                      <w:rPr>
                        <w:spacing w:val="-6"/>
                        <w:sz w:val="18"/>
                      </w:rPr>
                      <w:t> </w:t>
                    </w:r>
                    <w:r>
                      <w:rPr>
                        <w:sz w:val="18"/>
                      </w:rPr>
                      <w:t>)-</w:t>
                    </w:r>
                    <w:r>
                      <w:rPr>
                        <w:spacing w:val="-5"/>
                        <w:sz w:val="18"/>
                      </w:rPr>
                      <w:t> </w:t>
                    </w:r>
                    <w:r>
                      <w:rPr>
                        <w:sz w:val="18"/>
                      </w:rPr>
                      <w:t>Q3a</w:t>
                    </w:r>
                    <w:r>
                      <w:rPr>
                        <w:spacing w:val="-47"/>
                        <w:sz w:val="18"/>
                      </w:rPr>
                      <w:t> </w:t>
                    </w:r>
                    <w:r>
                      <w:rPr>
                        <w:sz w:val="18"/>
                      </w:rPr>
                      <w:t>(Refused)</w:t>
                    </w:r>
                    <w:r>
                      <w:rPr>
                        <w:spacing w:val="-2"/>
                        <w:sz w:val="18"/>
                      </w:rPr>
                      <w:t> </w:t>
                    </w:r>
                    <w:r>
                      <w:rPr>
                        <w:sz w:val="18"/>
                      </w:rPr>
                      <w:t>-</w:t>
                    </w:r>
                    <w:r>
                      <w:rPr>
                        <w:spacing w:val="-1"/>
                        <w:sz w:val="18"/>
                      </w:rPr>
                      <w:t> </w:t>
                    </w:r>
                    <w:r>
                      <w:rPr>
                        <w:sz w:val="18"/>
                      </w:rPr>
                      <w:t>Q3a</w:t>
                    </w:r>
                  </w:p>
                </w:txbxContent>
              </v:textbox>
              <w10:wrap type="none"/>
            </v:shape>
            <v:shape style="position:absolute;left:832;top:5106;width:8831;height:442" type="#_x0000_t202" id="docshape284" filled="false" stroked="false">
              <v:textbox inset="0,0,0,0">
                <w:txbxContent>
                  <w:p>
                    <w:pPr>
                      <w:spacing w:before="0"/>
                      <w:ind w:left="0" w:right="0" w:firstLine="0"/>
                      <w:jc w:val="left"/>
                      <w:rPr>
                        <w:sz w:val="18"/>
                      </w:rPr>
                    </w:pPr>
                    <w:r>
                      <w:rPr>
                        <w:sz w:val="18"/>
                      </w:rPr>
                      <w:t>If</w:t>
                    </w:r>
                    <w:r>
                      <w:rPr>
                        <w:spacing w:val="-3"/>
                        <w:sz w:val="18"/>
                      </w:rPr>
                      <w:t> </w:t>
                    </w:r>
                    <w:r>
                      <w:rPr>
                        <w:sz w:val="18"/>
                      </w:rPr>
                      <w:t>participant</w:t>
                    </w:r>
                    <w:r>
                      <w:rPr>
                        <w:spacing w:val="-2"/>
                        <w:sz w:val="18"/>
                      </w:rPr>
                      <w:t> </w:t>
                    </w:r>
                    <w:r>
                      <w:rPr>
                        <w:sz w:val="18"/>
                      </w:rPr>
                      <w:t>unsure</w:t>
                    </w:r>
                    <w:r>
                      <w:rPr>
                        <w:spacing w:val="-1"/>
                        <w:sz w:val="18"/>
                      </w:rPr>
                      <w:t> </w:t>
                    </w:r>
                    <w:r>
                      <w:rPr>
                        <w:sz w:val="18"/>
                      </w:rPr>
                      <w:t>go</w:t>
                    </w:r>
                    <w:r>
                      <w:rPr>
                        <w:spacing w:val="-2"/>
                        <w:sz w:val="18"/>
                      </w:rPr>
                      <w:t> </w:t>
                    </w:r>
                    <w:r>
                      <w:rPr>
                        <w:sz w:val="18"/>
                      </w:rPr>
                      <w:t>to</w:t>
                    </w:r>
                    <w:r>
                      <w:rPr>
                        <w:spacing w:val="-5"/>
                        <w:sz w:val="18"/>
                      </w:rPr>
                      <w:t> </w:t>
                    </w:r>
                    <w:r>
                      <w:rPr>
                        <w:sz w:val="18"/>
                      </w:rPr>
                      <w:t>Q3a</w:t>
                    </w:r>
                  </w:p>
                  <w:p>
                    <w:pPr>
                      <w:tabs>
                        <w:tab w:pos="708" w:val="left" w:leader="none"/>
                      </w:tabs>
                      <w:spacing w:before="0"/>
                      <w:ind w:left="0" w:right="0" w:firstLine="0"/>
                      <w:jc w:val="left"/>
                      <w:rPr>
                        <w:sz w:val="18"/>
                      </w:rPr>
                    </w:pPr>
                    <w:r>
                      <w:rPr>
                        <w:sz w:val="18"/>
                      </w:rPr>
                      <w:t>Q3a</w:t>
                      <w:tab/>
                      <w:t>That’s</w:t>
                    </w:r>
                    <w:r>
                      <w:rPr>
                        <w:spacing w:val="-3"/>
                        <w:sz w:val="18"/>
                      </w:rPr>
                      <w:t> </w:t>
                    </w:r>
                    <w:r>
                      <w:rPr>
                        <w:sz w:val="18"/>
                      </w:rPr>
                      <w:t>okay,</w:t>
                    </w:r>
                    <w:r>
                      <w:rPr>
                        <w:spacing w:val="-3"/>
                        <w:sz w:val="18"/>
                      </w:rPr>
                      <w:t> </w:t>
                    </w:r>
                    <w:r>
                      <w:rPr>
                        <w:sz w:val="18"/>
                      </w:rPr>
                      <w:t>do</w:t>
                    </w:r>
                    <w:r>
                      <w:rPr>
                        <w:spacing w:val="-2"/>
                        <w:sz w:val="18"/>
                      </w:rPr>
                      <w:t> </w:t>
                    </w:r>
                    <w:r>
                      <w:rPr>
                        <w:sz w:val="18"/>
                      </w:rPr>
                      <w:t>you</w:t>
                    </w:r>
                    <w:r>
                      <w:rPr>
                        <w:spacing w:val="-1"/>
                        <w:sz w:val="18"/>
                      </w:rPr>
                      <w:t> </w:t>
                    </w:r>
                    <w:r>
                      <w:rPr>
                        <w:sz w:val="18"/>
                      </w:rPr>
                      <w:t>know</w:t>
                    </w:r>
                    <w:r>
                      <w:rPr>
                        <w:spacing w:val="-2"/>
                        <w:sz w:val="18"/>
                      </w:rPr>
                      <w:t> </w:t>
                    </w:r>
                    <w:r>
                      <w:rPr>
                        <w:sz w:val="18"/>
                      </w:rPr>
                      <w:t>roughly</w:t>
                    </w:r>
                    <w:r>
                      <w:rPr>
                        <w:spacing w:val="-2"/>
                        <w:sz w:val="18"/>
                      </w:rPr>
                      <w:t> </w:t>
                    </w:r>
                    <w:r>
                      <w:rPr>
                        <w:sz w:val="18"/>
                      </w:rPr>
                      <w:t>how</w:t>
                    </w:r>
                    <w:r>
                      <w:rPr>
                        <w:spacing w:val="-3"/>
                        <w:sz w:val="18"/>
                      </w:rPr>
                      <w:t> </w:t>
                    </w:r>
                    <w:r>
                      <w:rPr>
                        <w:sz w:val="18"/>
                      </w:rPr>
                      <w:t>long</w:t>
                    </w:r>
                    <w:r>
                      <w:rPr>
                        <w:spacing w:val="-3"/>
                        <w:sz w:val="18"/>
                      </w:rPr>
                      <w:t> </w:t>
                    </w:r>
                    <w:r>
                      <w:rPr>
                        <w:sz w:val="18"/>
                      </w:rPr>
                      <w:t>you’ve</w:t>
                    </w:r>
                    <w:r>
                      <w:rPr>
                        <w:spacing w:val="-1"/>
                        <w:sz w:val="18"/>
                      </w:rPr>
                      <w:t> </w:t>
                    </w:r>
                    <w:r>
                      <w:rPr>
                        <w:sz w:val="18"/>
                      </w:rPr>
                      <w:t>been</w:t>
                    </w:r>
                    <w:r>
                      <w:rPr>
                        <w:spacing w:val="-2"/>
                        <w:sz w:val="18"/>
                      </w:rPr>
                      <w:t> </w:t>
                    </w:r>
                    <w:r>
                      <w:rPr>
                        <w:sz w:val="18"/>
                      </w:rPr>
                      <w:t>going</w:t>
                    </w:r>
                    <w:r>
                      <w:rPr>
                        <w:spacing w:val="-3"/>
                        <w:sz w:val="18"/>
                      </w:rPr>
                      <w:t> </w:t>
                    </w:r>
                    <w:r>
                      <w:rPr>
                        <w:sz w:val="18"/>
                      </w:rPr>
                      <w:t>to</w:t>
                    </w:r>
                    <w:r>
                      <w:rPr>
                        <w:spacing w:val="-2"/>
                        <w:sz w:val="18"/>
                      </w:rPr>
                      <w:t> </w:t>
                    </w:r>
                    <w:r>
                      <w:rPr>
                        <w:sz w:val="18"/>
                      </w:rPr>
                      <w:t>&lt;practice&gt;,</w:t>
                    </w:r>
                    <w:r>
                      <w:rPr>
                        <w:spacing w:val="-3"/>
                        <w:sz w:val="18"/>
                      </w:rPr>
                      <w:t> </w:t>
                    </w:r>
                    <w:r>
                      <w:rPr>
                        <w:sz w:val="18"/>
                      </w:rPr>
                      <w:t>would</w:t>
                    </w:r>
                    <w:r>
                      <w:rPr>
                        <w:spacing w:val="-2"/>
                        <w:sz w:val="18"/>
                      </w:rPr>
                      <w:t> </w:t>
                    </w:r>
                    <w:r>
                      <w:rPr>
                        <w:sz w:val="18"/>
                      </w:rPr>
                      <w:t>it</w:t>
                    </w:r>
                    <w:r>
                      <w:rPr>
                        <w:spacing w:val="-3"/>
                        <w:sz w:val="18"/>
                      </w:rPr>
                      <w:t> </w:t>
                    </w:r>
                    <w:r>
                      <w:rPr>
                        <w:sz w:val="18"/>
                      </w:rPr>
                      <w:t>be…?</w:t>
                    </w:r>
                  </w:p>
                </w:txbxContent>
              </v:textbox>
              <w10:wrap type="none"/>
            </v:shape>
            <v:shape style="position:absolute;left:1553;top:5781;width:273;height:1546" type="#_x0000_t202" id="docshape285" filled="false" stroked="false">
              <v:textbox inset="0,0,0,0">
                <w:txbxContent>
                  <w:p>
                    <w:pPr>
                      <w:spacing w:before="0"/>
                      <w:ind w:left="0" w:right="0" w:firstLine="0"/>
                      <w:jc w:val="left"/>
                      <w:rPr>
                        <w:sz w:val="18"/>
                      </w:rPr>
                    </w:pPr>
                    <w:r>
                      <w:rPr>
                        <w:sz w:val="18"/>
                      </w:rPr>
                      <w:t>1.</w:t>
                    </w:r>
                  </w:p>
                  <w:p>
                    <w:pPr>
                      <w:spacing w:before="0"/>
                      <w:ind w:left="0" w:right="0" w:firstLine="0"/>
                      <w:jc w:val="left"/>
                      <w:rPr>
                        <w:sz w:val="18"/>
                      </w:rPr>
                    </w:pPr>
                    <w:r>
                      <w:rPr>
                        <w:sz w:val="18"/>
                      </w:rPr>
                      <w:t>2.</w:t>
                    </w:r>
                  </w:p>
                  <w:p>
                    <w:pPr>
                      <w:spacing w:before="0"/>
                      <w:ind w:left="0" w:right="0" w:firstLine="0"/>
                      <w:jc w:val="left"/>
                      <w:rPr>
                        <w:sz w:val="18"/>
                      </w:rPr>
                    </w:pPr>
                    <w:r>
                      <w:rPr>
                        <w:sz w:val="18"/>
                      </w:rPr>
                      <w:t>3.</w:t>
                    </w:r>
                  </w:p>
                  <w:p>
                    <w:pPr>
                      <w:spacing w:before="0"/>
                      <w:ind w:left="0" w:right="0" w:firstLine="0"/>
                      <w:jc w:val="left"/>
                      <w:rPr>
                        <w:sz w:val="18"/>
                      </w:rPr>
                    </w:pPr>
                    <w:r>
                      <w:rPr>
                        <w:sz w:val="18"/>
                      </w:rPr>
                      <w:t>4.</w:t>
                    </w:r>
                  </w:p>
                  <w:p>
                    <w:pPr>
                      <w:spacing w:before="0"/>
                      <w:ind w:left="0" w:right="0" w:firstLine="0"/>
                      <w:jc w:val="left"/>
                      <w:rPr>
                        <w:sz w:val="18"/>
                      </w:rPr>
                    </w:pPr>
                    <w:r>
                      <w:rPr>
                        <w:sz w:val="18"/>
                      </w:rPr>
                      <w:t>5.</w:t>
                    </w:r>
                  </w:p>
                  <w:p>
                    <w:pPr>
                      <w:spacing w:before="1"/>
                      <w:ind w:left="0" w:right="0" w:firstLine="0"/>
                      <w:jc w:val="left"/>
                      <w:rPr>
                        <w:sz w:val="18"/>
                      </w:rPr>
                    </w:pPr>
                    <w:r>
                      <w:rPr>
                        <w:sz w:val="18"/>
                      </w:rPr>
                      <w:t>98.</w:t>
                    </w:r>
                  </w:p>
                  <w:p>
                    <w:pPr>
                      <w:spacing w:before="0"/>
                      <w:ind w:left="0" w:right="0" w:firstLine="0"/>
                      <w:jc w:val="left"/>
                      <w:rPr>
                        <w:sz w:val="18"/>
                      </w:rPr>
                    </w:pPr>
                    <w:r>
                      <w:rPr>
                        <w:sz w:val="18"/>
                      </w:rPr>
                      <w:t>99.</w:t>
                    </w:r>
                  </w:p>
                </w:txbxContent>
              </v:textbox>
              <w10:wrap type="none"/>
            </v:shape>
            <v:shape style="position:absolute;left:2273;top:5781;width:3239;height:1546" type="#_x0000_t202" id="docshape286" filled="false" stroked="false">
              <v:textbox inset="0,0,0,0">
                <w:txbxContent>
                  <w:p>
                    <w:pPr>
                      <w:spacing w:before="0"/>
                      <w:ind w:left="0" w:right="0" w:firstLine="0"/>
                      <w:jc w:val="left"/>
                      <w:rPr>
                        <w:sz w:val="18"/>
                      </w:rPr>
                    </w:pPr>
                    <w:r>
                      <w:rPr>
                        <w:sz w:val="18"/>
                      </w:rPr>
                      <w:t>Less</w:t>
                    </w:r>
                    <w:r>
                      <w:rPr>
                        <w:spacing w:val="-3"/>
                        <w:sz w:val="18"/>
                      </w:rPr>
                      <w:t> </w:t>
                    </w:r>
                    <w:r>
                      <w:rPr>
                        <w:sz w:val="18"/>
                      </w:rPr>
                      <w:t>than</w:t>
                    </w:r>
                    <w:r>
                      <w:rPr>
                        <w:spacing w:val="-1"/>
                        <w:sz w:val="18"/>
                      </w:rPr>
                      <w:t> </w:t>
                    </w:r>
                    <w:r>
                      <w:rPr>
                        <w:sz w:val="18"/>
                      </w:rPr>
                      <w:t>6</w:t>
                    </w:r>
                    <w:r>
                      <w:rPr>
                        <w:spacing w:val="-1"/>
                        <w:sz w:val="18"/>
                      </w:rPr>
                      <w:t> </w:t>
                    </w:r>
                    <w:r>
                      <w:rPr>
                        <w:sz w:val="18"/>
                      </w:rPr>
                      <w:t>months</w:t>
                    </w:r>
                  </w:p>
                  <w:p>
                    <w:pPr>
                      <w:spacing w:before="0"/>
                      <w:ind w:left="0" w:right="18" w:firstLine="0"/>
                      <w:jc w:val="left"/>
                      <w:rPr>
                        <w:sz w:val="18"/>
                      </w:rPr>
                    </w:pPr>
                    <w:r>
                      <w:rPr>
                        <w:sz w:val="18"/>
                      </w:rPr>
                      <w:t>At least 6 months but less than 1 year</w:t>
                    </w:r>
                    <w:r>
                      <w:rPr>
                        <w:spacing w:val="-47"/>
                        <w:sz w:val="18"/>
                      </w:rPr>
                      <w:t> </w:t>
                    </w:r>
                    <w:r>
                      <w:rPr>
                        <w:sz w:val="18"/>
                      </w:rPr>
                      <w:t>At least 1 year but less than 3 years</w:t>
                    </w:r>
                    <w:r>
                      <w:rPr>
                        <w:spacing w:val="1"/>
                        <w:sz w:val="18"/>
                      </w:rPr>
                      <w:t> </w:t>
                    </w:r>
                    <w:r>
                      <w:rPr>
                        <w:sz w:val="18"/>
                      </w:rPr>
                      <w:t>At</w:t>
                    </w:r>
                    <w:r>
                      <w:rPr>
                        <w:spacing w:val="4"/>
                        <w:sz w:val="18"/>
                      </w:rPr>
                      <w:t> </w:t>
                    </w:r>
                    <w:r>
                      <w:rPr>
                        <w:sz w:val="18"/>
                      </w:rPr>
                      <w:t>least 3</w:t>
                    </w:r>
                    <w:r>
                      <w:rPr>
                        <w:spacing w:val="2"/>
                        <w:sz w:val="18"/>
                      </w:rPr>
                      <w:t> </w:t>
                    </w:r>
                    <w:r>
                      <w:rPr>
                        <w:sz w:val="18"/>
                      </w:rPr>
                      <w:t>years but</w:t>
                    </w:r>
                    <w:r>
                      <w:rPr>
                        <w:spacing w:val="1"/>
                        <w:sz w:val="18"/>
                      </w:rPr>
                      <w:t> </w:t>
                    </w:r>
                    <w:r>
                      <w:rPr>
                        <w:sz w:val="18"/>
                      </w:rPr>
                      <w:t>less</w:t>
                    </w:r>
                    <w:r>
                      <w:rPr>
                        <w:spacing w:val="1"/>
                        <w:sz w:val="18"/>
                      </w:rPr>
                      <w:t> </w:t>
                    </w:r>
                    <w:r>
                      <w:rPr>
                        <w:sz w:val="18"/>
                      </w:rPr>
                      <w:t>than</w:t>
                    </w:r>
                    <w:r>
                      <w:rPr>
                        <w:spacing w:val="1"/>
                        <w:sz w:val="18"/>
                      </w:rPr>
                      <w:t> </w:t>
                    </w:r>
                    <w:r>
                      <w:rPr>
                        <w:sz w:val="18"/>
                      </w:rPr>
                      <w:t>5</w:t>
                    </w:r>
                    <w:r>
                      <w:rPr>
                        <w:spacing w:val="2"/>
                        <w:sz w:val="18"/>
                      </w:rPr>
                      <w:t> </w:t>
                    </w:r>
                    <w:r>
                      <w:rPr>
                        <w:sz w:val="18"/>
                      </w:rPr>
                      <w:t>years</w:t>
                    </w:r>
                    <w:r>
                      <w:rPr>
                        <w:spacing w:val="1"/>
                        <w:sz w:val="18"/>
                      </w:rPr>
                      <w:t> </w:t>
                    </w:r>
                    <w:r>
                      <w:rPr>
                        <w:sz w:val="18"/>
                      </w:rPr>
                      <w:t>5 years or</w:t>
                    </w:r>
                    <w:r>
                      <w:rPr>
                        <w:spacing w:val="-1"/>
                        <w:sz w:val="18"/>
                      </w:rPr>
                      <w:t> </w:t>
                    </w:r>
                    <w:r>
                      <w:rPr>
                        <w:sz w:val="18"/>
                      </w:rPr>
                      <w:t>more</w:t>
                    </w:r>
                  </w:p>
                  <w:p>
                    <w:pPr>
                      <w:spacing w:before="1"/>
                      <w:ind w:left="0" w:right="2089" w:firstLine="0"/>
                      <w:jc w:val="left"/>
                      <w:rPr>
                        <w:sz w:val="18"/>
                      </w:rPr>
                    </w:pPr>
                    <w:r>
                      <w:rPr>
                        <w:spacing w:val="-1"/>
                        <w:sz w:val="18"/>
                      </w:rPr>
                      <w:t>(Don’t </w:t>
                    </w:r>
                    <w:r>
                      <w:rPr>
                        <w:sz w:val="18"/>
                      </w:rPr>
                      <w:t>know)</w:t>
                    </w:r>
                    <w:r>
                      <w:rPr>
                        <w:spacing w:val="-47"/>
                        <w:sz w:val="18"/>
                      </w:rPr>
                      <w:t> </w:t>
                    </w:r>
                    <w:r>
                      <w:rPr>
                        <w:sz w:val="18"/>
                      </w:rPr>
                      <w:t>(Refused)</w:t>
                    </w:r>
                  </w:p>
                </w:txbxContent>
              </v:textbox>
              <w10:wrap type="none"/>
            </v:shape>
            <w10:wrap type="topAndBottom"/>
          </v:group>
        </w:pict>
      </w:r>
    </w:p>
    <w:p>
      <w:pPr>
        <w:pStyle w:val="BodyText"/>
        <w:rPr>
          <w:b/>
        </w:rPr>
      </w:pPr>
    </w:p>
    <w:p>
      <w:pPr>
        <w:pStyle w:val="BodyText"/>
        <w:rPr>
          <w:b/>
          <w:sz w:val="15"/>
        </w:rPr>
      </w:pPr>
      <w:r>
        <w:rPr/>
        <w:pict>
          <v:group style="position:absolute;margin-left:36pt;margin-top:10.419278pt;width:523.4500pt;height:172.35pt;mso-position-horizontal-relative:page;mso-position-vertical-relative:paragraph;z-index:-15273472;mso-wrap-distance-left:0;mso-wrap-distance-right:0" id="docshapegroup287" coordorigin="720,208" coordsize="10469,3447">
            <v:shape style="position:absolute;left:720;top:208;width:10469;height:3447" id="docshape288" coordorigin="720,208" coordsize="10469,3447" path="m730,218l720,218,720,3646,730,3646,730,218xm11188,3646l11179,3646,730,3646,720,3646,720,3655,730,3655,11179,3655,11188,3655,11188,3646xm11188,218l11179,218,11179,3646,11188,3646,11188,218xm11188,208l11179,208,730,208,720,208,720,218,730,218,11179,218,11188,218,11188,208xe" filled="true" fillcolor="#bebebe" stroked="false">
              <v:path arrowok="t"/>
              <v:fill type="solid"/>
            </v:shape>
            <v:shape style="position:absolute;left:832;top:216;width:10000;height:696" type="#_x0000_t202" id="docshape289" filled="false" stroked="false">
              <v:textbox inset="0,0,0,0">
                <w:txbxContent>
                  <w:p>
                    <w:pPr>
                      <w:spacing w:before="0"/>
                      <w:ind w:left="0" w:right="0" w:firstLine="0"/>
                      <w:jc w:val="left"/>
                      <w:rPr>
                        <w:b/>
                        <w:sz w:val="18"/>
                      </w:rPr>
                    </w:pPr>
                    <w:r>
                      <w:rPr>
                        <w:b/>
                        <w:sz w:val="18"/>
                      </w:rPr>
                      <w:t>Interviews</w:t>
                    </w:r>
                    <w:r>
                      <w:rPr>
                        <w:b/>
                        <w:spacing w:val="-2"/>
                        <w:sz w:val="18"/>
                      </w:rPr>
                      <w:t> </w:t>
                    </w:r>
                    <w:r>
                      <w:rPr>
                        <w:b/>
                        <w:sz w:val="18"/>
                      </w:rPr>
                      <w:t>2</w:t>
                    </w:r>
                    <w:r>
                      <w:rPr>
                        <w:b/>
                        <w:spacing w:val="-2"/>
                        <w:sz w:val="18"/>
                      </w:rPr>
                      <w:t> </w:t>
                    </w:r>
                    <w:r>
                      <w:rPr>
                        <w:b/>
                        <w:sz w:val="18"/>
                      </w:rPr>
                      <w:t>and</w:t>
                    </w:r>
                    <w:r>
                      <w:rPr>
                        <w:b/>
                        <w:spacing w:val="-1"/>
                        <w:sz w:val="18"/>
                      </w:rPr>
                      <w:t> </w:t>
                    </w:r>
                    <w:r>
                      <w:rPr>
                        <w:b/>
                        <w:sz w:val="18"/>
                      </w:rPr>
                      <w:t>3</w:t>
                    </w:r>
                  </w:p>
                  <w:p>
                    <w:pPr>
                      <w:tabs>
                        <w:tab w:pos="708" w:val="left" w:leader="none"/>
                      </w:tabs>
                      <w:spacing w:before="0"/>
                      <w:ind w:left="0" w:right="0" w:firstLine="0"/>
                      <w:jc w:val="left"/>
                      <w:rPr>
                        <w:sz w:val="18"/>
                      </w:rPr>
                    </w:pPr>
                    <w:r>
                      <w:rPr>
                        <w:sz w:val="18"/>
                      </w:rPr>
                      <w:t>Q1A</w:t>
                      <w:tab/>
                      <w:t>We interviewed</w:t>
                    </w:r>
                    <w:r>
                      <w:rPr>
                        <w:spacing w:val="-3"/>
                        <w:sz w:val="18"/>
                      </w:rPr>
                      <w:t> </w:t>
                    </w:r>
                    <w:r>
                      <w:rPr>
                        <w:sz w:val="18"/>
                      </w:rPr>
                      <w:t>you</w:t>
                    </w:r>
                    <w:r>
                      <w:rPr>
                        <w:spacing w:val="-1"/>
                        <w:sz w:val="18"/>
                      </w:rPr>
                      <w:t> </w:t>
                    </w:r>
                    <w:r>
                      <w:rPr>
                        <w:sz w:val="18"/>
                      </w:rPr>
                      <w:t>around</w:t>
                    </w:r>
                    <w:r>
                      <w:rPr>
                        <w:spacing w:val="-3"/>
                        <w:sz w:val="18"/>
                      </w:rPr>
                      <w:t> </w:t>
                    </w:r>
                    <w:r>
                      <w:rPr>
                        <w:sz w:val="18"/>
                      </w:rPr>
                      <w:t>12</w:t>
                    </w:r>
                    <w:r>
                      <w:rPr>
                        <w:spacing w:val="-1"/>
                        <w:sz w:val="18"/>
                      </w:rPr>
                      <w:t> </w:t>
                    </w:r>
                    <w:r>
                      <w:rPr>
                        <w:sz w:val="18"/>
                      </w:rPr>
                      <w:t>months</w:t>
                    </w:r>
                    <w:r>
                      <w:rPr>
                        <w:spacing w:val="-3"/>
                        <w:sz w:val="18"/>
                      </w:rPr>
                      <w:t> </w:t>
                    </w:r>
                    <w:r>
                      <w:rPr>
                        <w:sz w:val="18"/>
                      </w:rPr>
                      <w:t>ago,</w:t>
                    </w:r>
                    <w:r>
                      <w:rPr>
                        <w:spacing w:val="-4"/>
                        <w:sz w:val="18"/>
                      </w:rPr>
                      <w:t> </w:t>
                    </w:r>
                    <w:r>
                      <w:rPr>
                        <w:sz w:val="18"/>
                      </w:rPr>
                      <w:t>soon</w:t>
                    </w:r>
                    <w:r>
                      <w:rPr>
                        <w:spacing w:val="-2"/>
                        <w:sz w:val="18"/>
                      </w:rPr>
                      <w:t> </w:t>
                    </w:r>
                    <w:r>
                      <w:rPr>
                        <w:sz w:val="18"/>
                      </w:rPr>
                      <w:t>after</w:t>
                    </w:r>
                    <w:r>
                      <w:rPr>
                        <w:spacing w:val="-3"/>
                        <w:sz w:val="18"/>
                      </w:rPr>
                      <w:t> </w:t>
                    </w:r>
                    <w:r>
                      <w:rPr>
                        <w:sz w:val="18"/>
                      </w:rPr>
                      <w:t>you</w:t>
                    </w:r>
                    <w:r>
                      <w:rPr>
                        <w:spacing w:val="-1"/>
                        <w:sz w:val="18"/>
                      </w:rPr>
                      <w:t> </w:t>
                    </w:r>
                    <w:r>
                      <w:rPr>
                        <w:sz w:val="18"/>
                      </w:rPr>
                      <w:t>joined</w:t>
                    </w:r>
                    <w:r>
                      <w:rPr>
                        <w:spacing w:val="-2"/>
                        <w:sz w:val="18"/>
                      </w:rPr>
                      <w:t> </w:t>
                    </w:r>
                    <w:r>
                      <w:rPr>
                        <w:sz w:val="18"/>
                      </w:rPr>
                      <w:t>the</w:t>
                    </w:r>
                    <w:r>
                      <w:rPr>
                        <w:spacing w:val="-4"/>
                        <w:sz w:val="18"/>
                      </w:rPr>
                      <w:t> </w:t>
                    </w:r>
                    <w:r>
                      <w:rPr>
                        <w:sz w:val="18"/>
                      </w:rPr>
                      <w:t>HCH</w:t>
                    </w:r>
                    <w:r>
                      <w:rPr>
                        <w:spacing w:val="-2"/>
                        <w:sz w:val="18"/>
                      </w:rPr>
                      <w:t> </w:t>
                    </w:r>
                    <w:r>
                      <w:rPr>
                        <w:sz w:val="18"/>
                      </w:rPr>
                      <w:t>program.</w:t>
                    </w:r>
                    <w:r>
                      <w:rPr>
                        <w:spacing w:val="-4"/>
                        <w:sz w:val="18"/>
                      </w:rPr>
                      <w:t> </w:t>
                    </w:r>
                    <w:r>
                      <w:rPr>
                        <w:sz w:val="18"/>
                      </w:rPr>
                      <w:t>I</w:t>
                    </w:r>
                    <w:r>
                      <w:rPr>
                        <w:spacing w:val="1"/>
                        <w:sz w:val="18"/>
                      </w:rPr>
                      <w:t> </w:t>
                    </w:r>
                    <w:r>
                      <w:rPr>
                        <w:sz w:val="18"/>
                      </w:rPr>
                      <w:t>understand</w:t>
                    </w:r>
                    <w:r>
                      <w:rPr>
                        <w:spacing w:val="-3"/>
                        <w:sz w:val="18"/>
                      </w:rPr>
                      <w:t> </w:t>
                    </w:r>
                    <w:r>
                      <w:rPr>
                        <w:sz w:val="18"/>
                      </w:rPr>
                      <w:t>that</w:t>
                    </w:r>
                    <w:r>
                      <w:rPr>
                        <w:spacing w:val="-3"/>
                        <w:sz w:val="18"/>
                      </w:rPr>
                      <w:t> </w:t>
                    </w:r>
                    <w:r>
                      <w:rPr>
                        <w:sz w:val="18"/>
                      </w:rPr>
                      <w:t>you</w:t>
                    </w:r>
                  </w:p>
                  <w:p>
                    <w:pPr>
                      <w:spacing w:before="34"/>
                      <w:ind w:left="708" w:right="0" w:firstLine="0"/>
                      <w:jc w:val="left"/>
                      <w:rPr>
                        <w:sz w:val="18"/>
                      </w:rPr>
                    </w:pPr>
                    <w:r>
                      <w:rPr>
                        <w:sz w:val="18"/>
                      </w:rPr>
                      <w:t>usually</w:t>
                    </w:r>
                    <w:r>
                      <w:rPr>
                        <w:spacing w:val="-3"/>
                        <w:sz w:val="18"/>
                      </w:rPr>
                      <w:t> </w:t>
                    </w:r>
                    <w:r>
                      <w:rPr>
                        <w:sz w:val="18"/>
                      </w:rPr>
                      <w:t>see</w:t>
                    </w:r>
                    <w:r>
                      <w:rPr>
                        <w:spacing w:val="-1"/>
                        <w:sz w:val="18"/>
                      </w:rPr>
                      <w:t> </w:t>
                    </w:r>
                    <w:r>
                      <w:rPr>
                        <w:sz w:val="18"/>
                      </w:rPr>
                      <w:t>GP,</w:t>
                    </w:r>
                    <w:r>
                      <w:rPr>
                        <w:spacing w:val="-5"/>
                        <w:sz w:val="18"/>
                      </w:rPr>
                      <w:t> </w:t>
                    </w:r>
                    <w:r>
                      <w:rPr>
                        <w:sz w:val="18"/>
                      </w:rPr>
                      <w:t>at</w:t>
                    </w:r>
                    <w:r>
                      <w:rPr>
                        <w:spacing w:val="-3"/>
                        <w:sz w:val="18"/>
                      </w:rPr>
                      <w:t> </w:t>
                    </w:r>
                    <w:r>
                      <w:rPr>
                        <w:sz w:val="18"/>
                      </w:rPr>
                      <w:t>&lt;practice&gt;,</w:t>
                    </w:r>
                    <w:r>
                      <w:rPr>
                        <w:spacing w:val="-3"/>
                        <w:sz w:val="18"/>
                      </w:rPr>
                      <w:t> </w:t>
                    </w:r>
                    <w:r>
                      <w:rPr>
                        <w:sz w:val="18"/>
                      </w:rPr>
                      <w:t>is</w:t>
                    </w:r>
                    <w:r>
                      <w:rPr>
                        <w:spacing w:val="-2"/>
                        <w:sz w:val="18"/>
                      </w:rPr>
                      <w:t> </w:t>
                    </w:r>
                    <w:r>
                      <w:rPr>
                        <w:sz w:val="18"/>
                      </w:rPr>
                      <w:t>that</w:t>
                    </w:r>
                    <w:r>
                      <w:rPr>
                        <w:spacing w:val="-4"/>
                        <w:sz w:val="18"/>
                      </w:rPr>
                      <w:t> </w:t>
                    </w:r>
                    <w:r>
                      <w:rPr>
                        <w:sz w:val="18"/>
                      </w:rPr>
                      <w:t>right?</w:t>
                    </w:r>
                  </w:p>
                </w:txbxContent>
              </v:textbox>
              <w10:wrap type="none"/>
            </v:shape>
            <v:shape style="position:absolute;left:1553;top:1145;width:273;height:663" type="#_x0000_t202" id="docshape290" filled="false" stroked="false">
              <v:textbox inset="0,0,0,0">
                <w:txbxContent>
                  <w:p>
                    <w:pPr>
                      <w:spacing w:before="0"/>
                      <w:ind w:left="0" w:right="0" w:firstLine="0"/>
                      <w:jc w:val="left"/>
                      <w:rPr>
                        <w:sz w:val="18"/>
                      </w:rPr>
                    </w:pPr>
                    <w:r>
                      <w:rPr>
                        <w:sz w:val="18"/>
                      </w:rPr>
                      <w:t>1.</w:t>
                    </w:r>
                  </w:p>
                  <w:p>
                    <w:pPr>
                      <w:spacing w:before="0"/>
                      <w:ind w:left="0" w:right="0" w:firstLine="0"/>
                      <w:jc w:val="left"/>
                      <w:rPr>
                        <w:sz w:val="18"/>
                      </w:rPr>
                    </w:pPr>
                    <w:r>
                      <w:rPr>
                        <w:sz w:val="18"/>
                      </w:rPr>
                      <w:t>2.</w:t>
                    </w:r>
                  </w:p>
                  <w:p>
                    <w:pPr>
                      <w:spacing w:before="0"/>
                      <w:ind w:left="0" w:right="0" w:firstLine="0"/>
                      <w:jc w:val="left"/>
                      <w:rPr>
                        <w:sz w:val="18"/>
                      </w:rPr>
                    </w:pPr>
                    <w:r>
                      <w:rPr>
                        <w:sz w:val="18"/>
                      </w:rPr>
                      <w:t>99.</w:t>
                    </w:r>
                  </w:p>
                </w:txbxContent>
              </v:textbox>
              <w10:wrap type="none"/>
            </v:shape>
            <v:shape style="position:absolute;left:2273;top:1145;width:2612;height:663" type="#_x0000_t202" id="docshape291" filled="false" stroked="false">
              <v:textbox inset="0,0,0,0">
                <w:txbxContent>
                  <w:p>
                    <w:pPr>
                      <w:spacing w:before="0"/>
                      <w:ind w:left="0" w:right="0" w:firstLine="0"/>
                      <w:jc w:val="left"/>
                      <w:rPr>
                        <w:sz w:val="18"/>
                      </w:rPr>
                    </w:pPr>
                    <w:r>
                      <w:rPr>
                        <w:sz w:val="18"/>
                      </w:rPr>
                      <w:t>Yes</w:t>
                    </w:r>
                  </w:p>
                  <w:p>
                    <w:pPr>
                      <w:spacing w:before="0"/>
                      <w:ind w:left="0" w:right="0" w:firstLine="0"/>
                      <w:jc w:val="left"/>
                      <w:rPr>
                        <w:sz w:val="18"/>
                      </w:rPr>
                    </w:pPr>
                    <w:r>
                      <w:rPr>
                        <w:sz w:val="18"/>
                      </w:rPr>
                      <w:t>No</w:t>
                    </w:r>
                    <w:r>
                      <w:rPr>
                        <w:spacing w:val="-2"/>
                        <w:sz w:val="18"/>
                      </w:rPr>
                      <w:t> </w:t>
                    </w:r>
                    <w:r>
                      <w:rPr>
                        <w:sz w:val="18"/>
                      </w:rPr>
                      <w:t>(SPECIFY</w:t>
                    </w:r>
                    <w:r>
                      <w:rPr>
                        <w:spacing w:val="-5"/>
                        <w:sz w:val="18"/>
                      </w:rPr>
                      <w:t> </w:t>
                    </w:r>
                    <w:r>
                      <w:rPr>
                        <w:sz w:val="18"/>
                      </w:rPr>
                      <w:t>PRACTICE</w:t>
                    </w:r>
                    <w:r>
                      <w:rPr>
                        <w:spacing w:val="-3"/>
                        <w:sz w:val="18"/>
                      </w:rPr>
                      <w:t> </w:t>
                    </w:r>
                    <w:r>
                      <w:rPr>
                        <w:sz w:val="18"/>
                      </w:rPr>
                      <w:t>NAME)</w:t>
                    </w:r>
                  </w:p>
                  <w:p>
                    <w:pPr>
                      <w:spacing w:before="0"/>
                      <w:ind w:left="0" w:right="0" w:firstLine="0"/>
                      <w:jc w:val="left"/>
                      <w:rPr>
                        <w:sz w:val="18"/>
                      </w:rPr>
                    </w:pPr>
                    <w:r>
                      <w:rPr>
                        <w:sz w:val="18"/>
                      </w:rPr>
                      <w:t>(Refused)</w:t>
                    </w:r>
                  </w:p>
                </w:txbxContent>
              </v:textbox>
              <w10:wrap type="none"/>
            </v:shape>
            <v:shape style="position:absolute;left:832;top:2040;width:9494;height:476" type="#_x0000_t202" id="docshape292" filled="false" stroked="false">
              <v:textbox inset="0,0,0,0">
                <w:txbxContent>
                  <w:p>
                    <w:pPr>
                      <w:tabs>
                        <w:tab w:pos="708" w:val="left" w:leader="none"/>
                      </w:tabs>
                      <w:spacing w:before="0"/>
                      <w:ind w:left="0" w:right="0" w:firstLine="0"/>
                      <w:jc w:val="left"/>
                      <w:rPr>
                        <w:sz w:val="18"/>
                      </w:rPr>
                    </w:pPr>
                    <w:r>
                      <w:rPr>
                        <w:sz w:val="18"/>
                      </w:rPr>
                      <w:t>Q2A</w:t>
                      <w:tab/>
                      <w:t>Is</w:t>
                    </w:r>
                    <w:r>
                      <w:rPr>
                        <w:spacing w:val="-3"/>
                        <w:sz w:val="18"/>
                      </w:rPr>
                      <w:t> </w:t>
                    </w:r>
                    <w:r>
                      <w:rPr>
                        <w:sz w:val="18"/>
                      </w:rPr>
                      <w:t>&lt;practice&gt;</w:t>
                    </w:r>
                    <w:r>
                      <w:rPr>
                        <w:spacing w:val="-2"/>
                        <w:sz w:val="18"/>
                      </w:rPr>
                      <w:t> </w:t>
                    </w:r>
                    <w:r>
                      <w:rPr>
                        <w:sz w:val="18"/>
                      </w:rPr>
                      <w:t>the</w:t>
                    </w:r>
                    <w:r>
                      <w:rPr>
                        <w:spacing w:val="-1"/>
                        <w:sz w:val="18"/>
                      </w:rPr>
                      <w:t> </w:t>
                    </w:r>
                    <w:r>
                      <w:rPr>
                        <w:sz w:val="18"/>
                      </w:rPr>
                      <w:t>GP</w:t>
                    </w:r>
                    <w:r>
                      <w:rPr>
                        <w:spacing w:val="-3"/>
                        <w:sz w:val="18"/>
                      </w:rPr>
                      <w:t> </w:t>
                    </w:r>
                    <w:r>
                      <w:rPr>
                        <w:sz w:val="18"/>
                      </w:rPr>
                      <w:t>practice you</w:t>
                    </w:r>
                    <w:r>
                      <w:rPr>
                        <w:spacing w:val="-1"/>
                        <w:sz w:val="18"/>
                      </w:rPr>
                      <w:t> </w:t>
                    </w:r>
                    <w:r>
                      <w:rPr>
                        <w:sz w:val="18"/>
                      </w:rPr>
                      <w:t>usually</w:t>
                    </w:r>
                    <w:r>
                      <w:rPr>
                        <w:spacing w:val="-2"/>
                        <w:sz w:val="18"/>
                      </w:rPr>
                      <w:t> </w:t>
                    </w:r>
                    <w:r>
                      <w:rPr>
                        <w:sz w:val="18"/>
                      </w:rPr>
                      <w:t>go</w:t>
                    </w:r>
                    <w:r>
                      <w:rPr>
                        <w:spacing w:val="-2"/>
                        <w:sz w:val="18"/>
                      </w:rPr>
                      <w:t> </w:t>
                    </w:r>
                    <w:r>
                      <w:rPr>
                        <w:sz w:val="18"/>
                      </w:rPr>
                      <w:t>to</w:t>
                    </w:r>
                    <w:r>
                      <w:rPr>
                        <w:spacing w:val="-5"/>
                        <w:sz w:val="18"/>
                      </w:rPr>
                      <w:t> </w:t>
                    </w:r>
                    <w:r>
                      <w:rPr>
                        <w:sz w:val="18"/>
                      </w:rPr>
                      <w:t>if</w:t>
                    </w:r>
                    <w:r>
                      <w:rPr>
                        <w:spacing w:val="-1"/>
                        <w:sz w:val="18"/>
                      </w:rPr>
                      <w:t> </w:t>
                    </w:r>
                    <w:r>
                      <w:rPr>
                        <w:sz w:val="18"/>
                      </w:rPr>
                      <w:t>you</w:t>
                    </w:r>
                    <w:r>
                      <w:rPr>
                        <w:spacing w:val="-3"/>
                        <w:sz w:val="18"/>
                      </w:rPr>
                      <w:t> </w:t>
                    </w:r>
                    <w:r>
                      <w:rPr>
                        <w:sz w:val="18"/>
                      </w:rPr>
                      <w:t>need</w:t>
                    </w:r>
                    <w:r>
                      <w:rPr>
                        <w:spacing w:val="-3"/>
                        <w:sz w:val="18"/>
                      </w:rPr>
                      <w:t> </w:t>
                    </w:r>
                    <w:r>
                      <w:rPr>
                        <w:sz w:val="18"/>
                      </w:rPr>
                      <w:t>a</w:t>
                    </w:r>
                    <w:r>
                      <w:rPr>
                        <w:spacing w:val="-2"/>
                        <w:sz w:val="18"/>
                      </w:rPr>
                      <w:t> </w:t>
                    </w:r>
                    <w:r>
                      <w:rPr>
                        <w:sz w:val="18"/>
                      </w:rPr>
                      <w:t>check-up,</w:t>
                    </w:r>
                    <w:r>
                      <w:rPr>
                        <w:spacing w:val="-4"/>
                        <w:sz w:val="18"/>
                      </w:rPr>
                      <w:t> </w:t>
                    </w:r>
                    <w:r>
                      <w:rPr>
                        <w:sz w:val="18"/>
                      </w:rPr>
                      <w:t>want</w:t>
                    </w:r>
                    <w:r>
                      <w:rPr>
                        <w:spacing w:val="-3"/>
                        <w:sz w:val="18"/>
                      </w:rPr>
                      <w:t> </w:t>
                    </w:r>
                    <w:r>
                      <w:rPr>
                        <w:sz w:val="18"/>
                      </w:rPr>
                      <w:t>advice about</w:t>
                    </w:r>
                    <w:r>
                      <w:rPr>
                        <w:spacing w:val="-3"/>
                        <w:sz w:val="18"/>
                      </w:rPr>
                      <w:t> </w:t>
                    </w:r>
                    <w:r>
                      <w:rPr>
                        <w:sz w:val="18"/>
                      </w:rPr>
                      <w:t>a</w:t>
                    </w:r>
                    <w:r>
                      <w:rPr>
                        <w:spacing w:val="-2"/>
                        <w:sz w:val="18"/>
                      </w:rPr>
                      <w:t> </w:t>
                    </w:r>
                    <w:r>
                      <w:rPr>
                        <w:sz w:val="18"/>
                      </w:rPr>
                      <w:t>health</w:t>
                    </w:r>
                  </w:p>
                  <w:p>
                    <w:pPr>
                      <w:spacing w:before="34"/>
                      <w:ind w:left="708" w:right="0" w:firstLine="0"/>
                      <w:jc w:val="left"/>
                      <w:rPr>
                        <w:sz w:val="18"/>
                      </w:rPr>
                    </w:pPr>
                    <w:r>
                      <w:rPr>
                        <w:sz w:val="18"/>
                      </w:rPr>
                      <w:t>problem,</w:t>
                    </w:r>
                    <w:r>
                      <w:rPr>
                        <w:spacing w:val="-4"/>
                        <w:sz w:val="18"/>
                      </w:rPr>
                      <w:t> </w:t>
                    </w:r>
                    <w:r>
                      <w:rPr>
                        <w:sz w:val="18"/>
                      </w:rPr>
                      <w:t>or</w:t>
                    </w:r>
                    <w:r>
                      <w:rPr>
                        <w:spacing w:val="-1"/>
                        <w:sz w:val="18"/>
                      </w:rPr>
                      <w:t> </w:t>
                    </w:r>
                    <w:r>
                      <w:rPr>
                        <w:sz w:val="18"/>
                      </w:rPr>
                      <w:t>get</w:t>
                    </w:r>
                    <w:r>
                      <w:rPr>
                        <w:spacing w:val="-3"/>
                        <w:sz w:val="18"/>
                      </w:rPr>
                      <w:t> </w:t>
                    </w:r>
                    <w:r>
                      <w:rPr>
                        <w:sz w:val="18"/>
                      </w:rPr>
                      <w:t>sick</w:t>
                    </w:r>
                    <w:r>
                      <w:rPr>
                        <w:spacing w:val="-1"/>
                        <w:sz w:val="18"/>
                      </w:rPr>
                      <w:t> </w:t>
                    </w:r>
                    <w:r>
                      <w:rPr>
                        <w:sz w:val="18"/>
                      </w:rPr>
                      <w:t>or</w:t>
                    </w:r>
                    <w:r>
                      <w:rPr>
                        <w:spacing w:val="-2"/>
                        <w:sz w:val="18"/>
                      </w:rPr>
                      <w:t> </w:t>
                    </w:r>
                    <w:r>
                      <w:rPr>
                        <w:sz w:val="18"/>
                      </w:rPr>
                      <w:t>hurt?</w:t>
                    </w:r>
                  </w:p>
                </w:txbxContent>
              </v:textbox>
              <w10:wrap type="none"/>
            </v:shape>
            <v:shape style="position:absolute;left:1553;top:2749;width:273;height:663" type="#_x0000_t202" id="docshape293" filled="false" stroked="false">
              <v:textbox inset="0,0,0,0">
                <w:txbxContent>
                  <w:p>
                    <w:pPr>
                      <w:spacing w:before="0"/>
                      <w:ind w:left="0" w:right="0" w:firstLine="0"/>
                      <w:jc w:val="left"/>
                      <w:rPr>
                        <w:sz w:val="18"/>
                      </w:rPr>
                    </w:pPr>
                    <w:r>
                      <w:rPr>
                        <w:sz w:val="18"/>
                      </w:rPr>
                      <w:t>1.</w:t>
                    </w:r>
                  </w:p>
                  <w:p>
                    <w:pPr>
                      <w:spacing w:before="0"/>
                      <w:ind w:left="0" w:right="0" w:firstLine="0"/>
                      <w:jc w:val="left"/>
                      <w:rPr>
                        <w:sz w:val="18"/>
                      </w:rPr>
                    </w:pPr>
                    <w:r>
                      <w:rPr>
                        <w:sz w:val="18"/>
                      </w:rPr>
                      <w:t>2.</w:t>
                    </w:r>
                  </w:p>
                  <w:p>
                    <w:pPr>
                      <w:spacing w:before="0"/>
                      <w:ind w:left="0" w:right="0" w:firstLine="0"/>
                      <w:jc w:val="left"/>
                      <w:rPr>
                        <w:sz w:val="18"/>
                      </w:rPr>
                    </w:pPr>
                    <w:r>
                      <w:rPr>
                        <w:sz w:val="18"/>
                      </w:rPr>
                      <w:t>99.</w:t>
                    </w:r>
                  </w:p>
                </w:txbxContent>
              </v:textbox>
              <w10:wrap type="none"/>
            </v:shape>
            <v:shape style="position:absolute;left:2273;top:2749;width:854;height:663" type="#_x0000_t202" id="docshape294" filled="false" stroked="false">
              <v:textbox inset="0,0,0,0">
                <w:txbxContent>
                  <w:p>
                    <w:pPr>
                      <w:spacing w:before="0"/>
                      <w:ind w:left="0" w:right="543" w:firstLine="0"/>
                      <w:jc w:val="left"/>
                      <w:rPr>
                        <w:sz w:val="18"/>
                      </w:rPr>
                    </w:pPr>
                    <w:r>
                      <w:rPr>
                        <w:spacing w:val="-1"/>
                        <w:sz w:val="18"/>
                      </w:rPr>
                      <w:t>Yes</w:t>
                    </w:r>
                    <w:r>
                      <w:rPr>
                        <w:spacing w:val="-48"/>
                        <w:sz w:val="18"/>
                      </w:rPr>
                      <w:t> </w:t>
                    </w:r>
                    <w:r>
                      <w:rPr>
                        <w:sz w:val="18"/>
                      </w:rPr>
                      <w:t>No</w:t>
                    </w:r>
                  </w:p>
                  <w:p>
                    <w:pPr>
                      <w:spacing w:before="0"/>
                      <w:ind w:left="0" w:right="0" w:firstLine="0"/>
                      <w:jc w:val="left"/>
                      <w:rPr>
                        <w:sz w:val="18"/>
                      </w:rPr>
                    </w:pPr>
                    <w:r>
                      <w:rPr>
                        <w:sz w:val="18"/>
                      </w:rPr>
                      <w:t>(Refused)</w:t>
                    </w:r>
                  </w:p>
                </w:txbxContent>
              </v:textbox>
              <w10:wrap type="none"/>
            </v:shape>
            <w10:wrap type="topAndBottom"/>
          </v:group>
        </w:pict>
      </w:r>
    </w:p>
    <w:p>
      <w:pPr>
        <w:pStyle w:val="BodyText"/>
        <w:spacing w:before="6"/>
        <w:rPr>
          <w:b/>
          <w:sz w:val="12"/>
        </w:rPr>
      </w:pPr>
    </w:p>
    <w:p>
      <w:pPr>
        <w:tabs>
          <w:tab w:pos="1128" w:val="left" w:leader="none"/>
        </w:tabs>
        <w:spacing w:before="100"/>
        <w:ind w:left="420" w:right="0" w:firstLine="0"/>
        <w:jc w:val="left"/>
        <w:rPr>
          <w:sz w:val="18"/>
        </w:rPr>
      </w:pPr>
      <w:r>
        <w:rPr>
          <w:sz w:val="18"/>
        </w:rPr>
        <w:t>Q4</w:t>
        <w:tab/>
        <w:t>In</w:t>
      </w:r>
      <w:r>
        <w:rPr>
          <w:spacing w:val="-5"/>
          <w:sz w:val="18"/>
        </w:rPr>
        <w:t> </w:t>
      </w:r>
      <w:r>
        <w:rPr>
          <w:sz w:val="18"/>
        </w:rPr>
        <w:t>the</w:t>
      </w:r>
      <w:r>
        <w:rPr>
          <w:spacing w:val="-1"/>
          <w:sz w:val="18"/>
        </w:rPr>
        <w:t> </w:t>
      </w:r>
      <w:r>
        <w:rPr>
          <w:sz w:val="18"/>
        </w:rPr>
        <w:t>last</w:t>
      </w:r>
      <w:r>
        <w:rPr>
          <w:spacing w:val="-3"/>
          <w:sz w:val="18"/>
        </w:rPr>
        <w:t> </w:t>
      </w:r>
      <w:r>
        <w:rPr>
          <w:sz w:val="18"/>
        </w:rPr>
        <w:t>6</w:t>
      </w:r>
      <w:r>
        <w:rPr>
          <w:spacing w:val="-1"/>
          <w:sz w:val="18"/>
        </w:rPr>
        <w:t> </w:t>
      </w:r>
      <w:r>
        <w:rPr>
          <w:sz w:val="18"/>
        </w:rPr>
        <w:t>months,</w:t>
      </w:r>
      <w:r>
        <w:rPr>
          <w:spacing w:val="-4"/>
          <w:sz w:val="18"/>
        </w:rPr>
        <w:t> </w:t>
      </w:r>
      <w:r>
        <w:rPr>
          <w:sz w:val="18"/>
        </w:rPr>
        <w:t>how many</w:t>
      </w:r>
      <w:r>
        <w:rPr>
          <w:spacing w:val="-2"/>
          <w:sz w:val="18"/>
        </w:rPr>
        <w:t> </w:t>
      </w:r>
      <w:r>
        <w:rPr>
          <w:sz w:val="18"/>
        </w:rPr>
        <w:t>times</w:t>
      </w:r>
      <w:r>
        <w:rPr>
          <w:spacing w:val="-3"/>
          <w:sz w:val="18"/>
        </w:rPr>
        <w:t> </w:t>
      </w:r>
      <w:r>
        <w:rPr>
          <w:sz w:val="18"/>
        </w:rPr>
        <w:t>did</w:t>
      </w:r>
      <w:r>
        <w:rPr>
          <w:spacing w:val="-3"/>
          <w:sz w:val="18"/>
        </w:rPr>
        <w:t> </w:t>
      </w:r>
      <w:r>
        <w:rPr>
          <w:sz w:val="18"/>
        </w:rPr>
        <w:t>you</w:t>
      </w:r>
      <w:r>
        <w:rPr>
          <w:spacing w:val="-1"/>
          <w:sz w:val="18"/>
        </w:rPr>
        <w:t> </w:t>
      </w:r>
      <w:r>
        <w:rPr>
          <w:sz w:val="18"/>
        </w:rPr>
        <w:t>visit</w:t>
      </w:r>
      <w:r>
        <w:rPr>
          <w:spacing w:val="-2"/>
          <w:sz w:val="18"/>
        </w:rPr>
        <w:t> </w:t>
      </w:r>
      <w:r>
        <w:rPr>
          <w:sz w:val="18"/>
        </w:rPr>
        <w:t>&lt;practice&gt;?</w:t>
      </w:r>
    </w:p>
    <w:p>
      <w:pPr>
        <w:pStyle w:val="BodyText"/>
        <w:rPr>
          <w:sz w:val="19"/>
        </w:rPr>
      </w:pPr>
    </w:p>
    <w:p>
      <w:pPr>
        <w:pStyle w:val="ListParagraph"/>
        <w:numPr>
          <w:ilvl w:val="1"/>
          <w:numId w:val="112"/>
        </w:numPr>
        <w:tabs>
          <w:tab w:pos="1860" w:val="left" w:leader="none"/>
          <w:tab w:pos="1861" w:val="left" w:leader="none"/>
          <w:tab w:pos="3033" w:val="left" w:leader="none"/>
        </w:tabs>
        <w:spacing w:line="240" w:lineRule="auto" w:before="0" w:after="0"/>
        <w:ind w:left="1860" w:right="0" w:hanging="721"/>
        <w:jc w:val="left"/>
        <w:rPr>
          <w:sz w:val="18"/>
        </w:rPr>
      </w:pPr>
      <w:r>
        <w:rPr>
          <w:sz w:val="18"/>
        </w:rPr>
        <w:t>Visits:</w:t>
      </w:r>
      <w:r>
        <w:rPr>
          <w:sz w:val="18"/>
          <w:u w:val="single"/>
        </w:rPr>
        <w:tab/>
      </w:r>
      <w:r>
        <w:rPr>
          <w:sz w:val="18"/>
        </w:rPr>
        <w:t>(WHOLE</w:t>
      </w:r>
      <w:r>
        <w:rPr>
          <w:spacing w:val="-1"/>
          <w:sz w:val="18"/>
        </w:rPr>
        <w:t> </w:t>
      </w:r>
      <w:r>
        <w:rPr>
          <w:sz w:val="18"/>
        </w:rPr>
        <w:t>NUMBERS</w:t>
      </w:r>
      <w:r>
        <w:rPr>
          <w:spacing w:val="-2"/>
          <w:sz w:val="18"/>
        </w:rPr>
        <w:t> </w:t>
      </w:r>
      <w:r>
        <w:rPr>
          <w:sz w:val="18"/>
        </w:rPr>
        <w:t>ONLY,</w:t>
      </w:r>
      <w:r>
        <w:rPr>
          <w:spacing w:val="-2"/>
          <w:sz w:val="18"/>
        </w:rPr>
        <w:t> </w:t>
      </w:r>
      <w:r>
        <w:rPr>
          <w:sz w:val="18"/>
        </w:rPr>
        <w:t>RANGE</w:t>
      </w:r>
      <w:r>
        <w:rPr>
          <w:spacing w:val="-2"/>
          <w:sz w:val="18"/>
        </w:rPr>
        <w:t> </w:t>
      </w:r>
      <w:r>
        <w:rPr>
          <w:sz w:val="18"/>
        </w:rPr>
        <w:t>0-100)</w:t>
      </w:r>
    </w:p>
    <w:p>
      <w:pPr>
        <w:pStyle w:val="ListParagraph"/>
        <w:numPr>
          <w:ilvl w:val="0"/>
          <w:numId w:val="113"/>
        </w:numPr>
        <w:tabs>
          <w:tab w:pos="1860" w:val="left" w:leader="none"/>
          <w:tab w:pos="1861" w:val="left" w:leader="none"/>
        </w:tabs>
        <w:spacing w:line="240" w:lineRule="auto" w:before="31" w:after="0"/>
        <w:ind w:left="1860" w:right="0" w:hanging="721"/>
        <w:jc w:val="left"/>
        <w:rPr>
          <w:sz w:val="18"/>
        </w:rPr>
      </w:pPr>
      <w:r>
        <w:rPr>
          <w:sz w:val="18"/>
        </w:rPr>
        <w:t>(Don’t</w:t>
      </w:r>
      <w:r>
        <w:rPr>
          <w:spacing w:val="-3"/>
          <w:sz w:val="18"/>
        </w:rPr>
        <w:t> </w:t>
      </w:r>
      <w:r>
        <w:rPr>
          <w:sz w:val="18"/>
        </w:rPr>
        <w:t>know)</w:t>
      </w:r>
      <w:r>
        <w:rPr>
          <w:spacing w:val="-2"/>
          <w:sz w:val="18"/>
        </w:rPr>
        <w:t> </w:t>
      </w:r>
      <w:r>
        <w:rPr>
          <w:sz w:val="18"/>
        </w:rPr>
        <w:t>– Q4a</w:t>
      </w:r>
    </w:p>
    <w:p>
      <w:pPr>
        <w:pStyle w:val="ListParagraph"/>
        <w:numPr>
          <w:ilvl w:val="0"/>
          <w:numId w:val="113"/>
        </w:numPr>
        <w:tabs>
          <w:tab w:pos="1860" w:val="left" w:leader="none"/>
          <w:tab w:pos="1861" w:val="left" w:leader="none"/>
        </w:tabs>
        <w:spacing w:line="240" w:lineRule="auto" w:before="34" w:after="0"/>
        <w:ind w:left="1860" w:right="0" w:hanging="721"/>
        <w:jc w:val="left"/>
        <w:rPr>
          <w:sz w:val="18"/>
        </w:rPr>
      </w:pPr>
      <w:r>
        <w:rPr>
          <w:sz w:val="18"/>
        </w:rPr>
        <w:t>(Refused)</w:t>
      </w:r>
      <w:r>
        <w:rPr>
          <w:spacing w:val="-4"/>
          <w:sz w:val="18"/>
        </w:rPr>
        <w:t> </w:t>
      </w:r>
      <w:r>
        <w:rPr>
          <w:sz w:val="18"/>
        </w:rPr>
        <w:t>–</w:t>
      </w:r>
      <w:r>
        <w:rPr>
          <w:spacing w:val="-1"/>
          <w:sz w:val="18"/>
        </w:rPr>
        <w:t> </w:t>
      </w:r>
      <w:r>
        <w:rPr>
          <w:sz w:val="18"/>
        </w:rPr>
        <w:t>Q4a</w:t>
      </w:r>
    </w:p>
    <w:p>
      <w:pPr>
        <w:pStyle w:val="BodyText"/>
        <w:rPr>
          <w:sz w:val="19"/>
        </w:rPr>
      </w:pPr>
    </w:p>
    <w:p>
      <w:pPr>
        <w:spacing w:before="0"/>
        <w:ind w:left="420" w:right="0" w:firstLine="0"/>
        <w:jc w:val="left"/>
        <w:rPr>
          <w:sz w:val="18"/>
        </w:rPr>
      </w:pPr>
      <w:r>
        <w:rPr>
          <w:sz w:val="18"/>
        </w:rPr>
        <w:t>*if</w:t>
      </w:r>
      <w:r>
        <w:rPr>
          <w:spacing w:val="-2"/>
          <w:sz w:val="18"/>
        </w:rPr>
        <w:t> </w:t>
      </w:r>
      <w:r>
        <w:rPr>
          <w:sz w:val="18"/>
        </w:rPr>
        <w:t>participant</w:t>
      </w:r>
      <w:r>
        <w:rPr>
          <w:spacing w:val="-2"/>
          <w:sz w:val="18"/>
        </w:rPr>
        <w:t> </w:t>
      </w:r>
      <w:r>
        <w:rPr>
          <w:sz w:val="18"/>
        </w:rPr>
        <w:t>unsure</w:t>
      </w:r>
      <w:r>
        <w:rPr>
          <w:spacing w:val="-1"/>
          <w:sz w:val="18"/>
        </w:rPr>
        <w:t> </w:t>
      </w:r>
      <w:r>
        <w:rPr>
          <w:sz w:val="18"/>
        </w:rPr>
        <w:t>go</w:t>
      </w:r>
      <w:r>
        <w:rPr>
          <w:spacing w:val="-3"/>
          <w:sz w:val="18"/>
        </w:rPr>
        <w:t> </w:t>
      </w:r>
      <w:r>
        <w:rPr>
          <w:sz w:val="18"/>
        </w:rPr>
        <w:t>to</w:t>
      </w:r>
      <w:r>
        <w:rPr>
          <w:spacing w:val="-5"/>
          <w:sz w:val="18"/>
        </w:rPr>
        <w:t> </w:t>
      </w:r>
      <w:r>
        <w:rPr>
          <w:sz w:val="18"/>
        </w:rPr>
        <w:t>Q4a</w:t>
      </w:r>
    </w:p>
    <w:p>
      <w:pPr>
        <w:spacing w:after="0"/>
        <w:jc w:val="left"/>
        <w:rPr>
          <w:sz w:val="18"/>
        </w:rPr>
        <w:sectPr>
          <w:pgSz w:w="11910" w:h="16840"/>
          <w:pgMar w:header="0" w:footer="948" w:top="860" w:bottom="1140" w:left="300" w:right="0"/>
        </w:sectPr>
      </w:pPr>
    </w:p>
    <w:p>
      <w:pPr>
        <w:tabs>
          <w:tab w:pos="1128" w:val="left" w:leader="none"/>
        </w:tabs>
        <w:spacing w:before="75"/>
        <w:ind w:left="420" w:right="0" w:firstLine="0"/>
        <w:jc w:val="left"/>
        <w:rPr>
          <w:sz w:val="18"/>
        </w:rPr>
      </w:pPr>
      <w:r>
        <w:rPr>
          <w:sz w:val="18"/>
        </w:rPr>
        <w:t>Q4a</w:t>
        <w:tab/>
        <w:t>That’s</w:t>
      </w:r>
      <w:r>
        <w:rPr>
          <w:spacing w:val="-2"/>
          <w:sz w:val="18"/>
        </w:rPr>
        <w:t> </w:t>
      </w:r>
      <w:r>
        <w:rPr>
          <w:sz w:val="18"/>
        </w:rPr>
        <w:t>okay,</w:t>
      </w:r>
      <w:r>
        <w:rPr>
          <w:spacing w:val="-4"/>
          <w:sz w:val="18"/>
        </w:rPr>
        <w:t> </w:t>
      </w:r>
      <w:r>
        <w:rPr>
          <w:sz w:val="18"/>
        </w:rPr>
        <w:t>do</w:t>
      </w:r>
      <w:r>
        <w:rPr>
          <w:spacing w:val="-2"/>
          <w:sz w:val="18"/>
        </w:rPr>
        <w:t> </w:t>
      </w:r>
      <w:r>
        <w:rPr>
          <w:sz w:val="18"/>
        </w:rPr>
        <w:t>you know</w:t>
      </w:r>
      <w:r>
        <w:rPr>
          <w:spacing w:val="-3"/>
          <w:sz w:val="18"/>
        </w:rPr>
        <w:t> </w:t>
      </w:r>
      <w:r>
        <w:rPr>
          <w:sz w:val="18"/>
        </w:rPr>
        <w:t>roughly</w:t>
      </w:r>
      <w:r>
        <w:rPr>
          <w:spacing w:val="-1"/>
          <w:sz w:val="18"/>
        </w:rPr>
        <w:t> </w:t>
      </w:r>
      <w:r>
        <w:rPr>
          <w:sz w:val="18"/>
        </w:rPr>
        <w:t>how</w:t>
      </w:r>
      <w:r>
        <w:rPr>
          <w:spacing w:val="-3"/>
          <w:sz w:val="18"/>
        </w:rPr>
        <w:t> </w:t>
      </w:r>
      <w:r>
        <w:rPr>
          <w:sz w:val="18"/>
        </w:rPr>
        <w:t>many</w:t>
      </w:r>
      <w:r>
        <w:rPr>
          <w:spacing w:val="-1"/>
          <w:sz w:val="18"/>
        </w:rPr>
        <w:t> </w:t>
      </w:r>
      <w:r>
        <w:rPr>
          <w:sz w:val="18"/>
        </w:rPr>
        <w:t>times</w:t>
      </w:r>
      <w:r>
        <w:rPr>
          <w:spacing w:val="-2"/>
          <w:sz w:val="18"/>
        </w:rPr>
        <w:t> </w:t>
      </w:r>
      <w:r>
        <w:rPr>
          <w:sz w:val="18"/>
        </w:rPr>
        <w:t>you’ve</w:t>
      </w:r>
      <w:r>
        <w:rPr>
          <w:spacing w:val="-1"/>
          <w:sz w:val="18"/>
        </w:rPr>
        <w:t> </w:t>
      </w:r>
      <w:r>
        <w:rPr>
          <w:sz w:val="18"/>
        </w:rPr>
        <w:t>visited</w:t>
      </w:r>
      <w:r>
        <w:rPr>
          <w:spacing w:val="-4"/>
          <w:sz w:val="18"/>
        </w:rPr>
        <w:t> </w:t>
      </w:r>
      <w:r>
        <w:rPr>
          <w:sz w:val="18"/>
        </w:rPr>
        <w:t>in</w:t>
      </w:r>
      <w:r>
        <w:rPr>
          <w:spacing w:val="-1"/>
          <w:sz w:val="18"/>
        </w:rPr>
        <w:t> </w:t>
      </w:r>
      <w:r>
        <w:rPr>
          <w:sz w:val="18"/>
        </w:rPr>
        <w:t>the</w:t>
      </w:r>
      <w:r>
        <w:rPr>
          <w:spacing w:val="-3"/>
          <w:sz w:val="18"/>
        </w:rPr>
        <w:t> </w:t>
      </w:r>
      <w:r>
        <w:rPr>
          <w:sz w:val="18"/>
        </w:rPr>
        <w:t>last</w:t>
      </w:r>
      <w:r>
        <w:rPr>
          <w:spacing w:val="-3"/>
          <w:sz w:val="18"/>
        </w:rPr>
        <w:t> </w:t>
      </w:r>
      <w:r>
        <w:rPr>
          <w:sz w:val="18"/>
        </w:rPr>
        <w:t>6 months,</w:t>
      </w:r>
      <w:r>
        <w:rPr>
          <w:spacing w:val="-4"/>
          <w:sz w:val="18"/>
        </w:rPr>
        <w:t> </w:t>
      </w:r>
      <w:r>
        <w:rPr>
          <w:sz w:val="18"/>
        </w:rPr>
        <w:t>would</w:t>
      </w:r>
      <w:r>
        <w:rPr>
          <w:spacing w:val="-2"/>
          <w:sz w:val="18"/>
        </w:rPr>
        <w:t> </w:t>
      </w:r>
      <w:r>
        <w:rPr>
          <w:sz w:val="18"/>
        </w:rPr>
        <w:t>it</w:t>
      </w:r>
      <w:r>
        <w:rPr>
          <w:spacing w:val="-2"/>
          <w:sz w:val="18"/>
        </w:rPr>
        <w:t> </w:t>
      </w:r>
      <w:r>
        <w:rPr>
          <w:sz w:val="18"/>
        </w:rPr>
        <w:t>be…?</w:t>
      </w:r>
    </w:p>
    <w:p>
      <w:pPr>
        <w:pStyle w:val="BodyText"/>
        <w:rPr>
          <w:sz w:val="19"/>
        </w:rPr>
      </w:pPr>
    </w:p>
    <w:p>
      <w:pPr>
        <w:pStyle w:val="ListParagraph"/>
        <w:numPr>
          <w:ilvl w:val="0"/>
          <w:numId w:val="114"/>
        </w:numPr>
        <w:tabs>
          <w:tab w:pos="1860" w:val="left" w:leader="none"/>
          <w:tab w:pos="1861" w:val="left" w:leader="none"/>
        </w:tabs>
        <w:spacing w:line="240" w:lineRule="auto" w:before="0" w:after="0"/>
        <w:ind w:left="1860" w:right="0" w:hanging="721"/>
        <w:jc w:val="left"/>
        <w:rPr>
          <w:sz w:val="18"/>
        </w:rPr>
      </w:pPr>
      <w:r>
        <w:rPr>
          <w:sz w:val="18"/>
        </w:rPr>
        <w:t>Once</w:t>
      </w:r>
    </w:p>
    <w:p>
      <w:pPr>
        <w:pStyle w:val="ListParagraph"/>
        <w:numPr>
          <w:ilvl w:val="0"/>
          <w:numId w:val="114"/>
        </w:numPr>
        <w:tabs>
          <w:tab w:pos="1860" w:val="left" w:leader="none"/>
          <w:tab w:pos="1861" w:val="left" w:leader="none"/>
        </w:tabs>
        <w:spacing w:line="240" w:lineRule="auto" w:before="32" w:after="0"/>
        <w:ind w:left="1860" w:right="0" w:hanging="721"/>
        <w:jc w:val="left"/>
        <w:rPr>
          <w:sz w:val="18"/>
        </w:rPr>
      </w:pPr>
      <w:r>
        <w:rPr>
          <w:sz w:val="18"/>
        </w:rPr>
        <w:t>Twice</w:t>
      </w:r>
    </w:p>
    <w:p>
      <w:pPr>
        <w:pStyle w:val="ListParagraph"/>
        <w:numPr>
          <w:ilvl w:val="0"/>
          <w:numId w:val="114"/>
        </w:numPr>
        <w:tabs>
          <w:tab w:pos="1860" w:val="left" w:leader="none"/>
          <w:tab w:pos="1861" w:val="left" w:leader="none"/>
        </w:tabs>
        <w:spacing w:line="240" w:lineRule="auto" w:before="34" w:after="0"/>
        <w:ind w:left="1860" w:right="0" w:hanging="721"/>
        <w:jc w:val="left"/>
        <w:rPr>
          <w:sz w:val="18"/>
        </w:rPr>
      </w:pPr>
      <w:r>
        <w:rPr>
          <w:sz w:val="18"/>
        </w:rPr>
        <w:t>3</w:t>
      </w:r>
      <w:r>
        <w:rPr>
          <w:spacing w:val="-3"/>
          <w:sz w:val="18"/>
        </w:rPr>
        <w:t> </w:t>
      </w:r>
      <w:r>
        <w:rPr>
          <w:sz w:val="18"/>
        </w:rPr>
        <w:t>times</w:t>
      </w:r>
    </w:p>
    <w:p>
      <w:pPr>
        <w:pStyle w:val="ListParagraph"/>
        <w:numPr>
          <w:ilvl w:val="0"/>
          <w:numId w:val="114"/>
        </w:numPr>
        <w:tabs>
          <w:tab w:pos="1860" w:val="left" w:leader="none"/>
          <w:tab w:pos="1861" w:val="left" w:leader="none"/>
        </w:tabs>
        <w:spacing w:line="240" w:lineRule="auto" w:before="34" w:after="0"/>
        <w:ind w:left="1860" w:right="0" w:hanging="721"/>
        <w:jc w:val="left"/>
        <w:rPr>
          <w:sz w:val="18"/>
        </w:rPr>
      </w:pPr>
      <w:r>
        <w:rPr>
          <w:sz w:val="18"/>
        </w:rPr>
        <w:t>4</w:t>
      </w:r>
      <w:r>
        <w:rPr>
          <w:spacing w:val="-3"/>
          <w:sz w:val="18"/>
        </w:rPr>
        <w:t> </w:t>
      </w:r>
      <w:r>
        <w:rPr>
          <w:sz w:val="18"/>
        </w:rPr>
        <w:t>times</w:t>
      </w:r>
    </w:p>
    <w:p>
      <w:pPr>
        <w:pStyle w:val="ListParagraph"/>
        <w:numPr>
          <w:ilvl w:val="0"/>
          <w:numId w:val="114"/>
        </w:numPr>
        <w:tabs>
          <w:tab w:pos="1860" w:val="left" w:leader="none"/>
          <w:tab w:pos="1861" w:val="left" w:leader="none"/>
        </w:tabs>
        <w:spacing w:line="240" w:lineRule="auto" w:before="33" w:after="0"/>
        <w:ind w:left="1860" w:right="0" w:hanging="721"/>
        <w:jc w:val="left"/>
        <w:rPr>
          <w:sz w:val="18"/>
        </w:rPr>
      </w:pPr>
      <w:r>
        <w:rPr>
          <w:sz w:val="18"/>
        </w:rPr>
        <w:t>5-9</w:t>
      </w:r>
      <w:r>
        <w:rPr>
          <w:spacing w:val="-2"/>
          <w:sz w:val="18"/>
        </w:rPr>
        <w:t> </w:t>
      </w:r>
      <w:r>
        <w:rPr>
          <w:sz w:val="18"/>
        </w:rPr>
        <w:t>times</w:t>
      </w:r>
    </w:p>
    <w:p>
      <w:pPr>
        <w:pStyle w:val="ListParagraph"/>
        <w:numPr>
          <w:ilvl w:val="0"/>
          <w:numId w:val="114"/>
        </w:numPr>
        <w:tabs>
          <w:tab w:pos="1860" w:val="left" w:leader="none"/>
          <w:tab w:pos="1861" w:val="left" w:leader="none"/>
        </w:tabs>
        <w:spacing w:line="240" w:lineRule="auto" w:before="32" w:after="0"/>
        <w:ind w:left="1860" w:right="0" w:hanging="721"/>
        <w:jc w:val="left"/>
        <w:rPr>
          <w:sz w:val="18"/>
        </w:rPr>
      </w:pPr>
      <w:r>
        <w:rPr>
          <w:sz w:val="18"/>
        </w:rPr>
        <w:t>10</w:t>
      </w:r>
      <w:r>
        <w:rPr>
          <w:spacing w:val="-1"/>
          <w:sz w:val="18"/>
        </w:rPr>
        <w:t> </w:t>
      </w:r>
      <w:r>
        <w:rPr>
          <w:sz w:val="18"/>
        </w:rPr>
        <w:t>or</w:t>
      </w:r>
      <w:r>
        <w:rPr>
          <w:spacing w:val="-3"/>
          <w:sz w:val="18"/>
        </w:rPr>
        <w:t> </w:t>
      </w:r>
      <w:r>
        <w:rPr>
          <w:sz w:val="18"/>
        </w:rPr>
        <w:t>more</w:t>
      </w:r>
      <w:r>
        <w:rPr>
          <w:spacing w:val="-1"/>
          <w:sz w:val="18"/>
        </w:rPr>
        <w:t> </w:t>
      </w:r>
      <w:r>
        <w:rPr>
          <w:sz w:val="18"/>
        </w:rPr>
        <w:t>times</w:t>
      </w:r>
    </w:p>
    <w:p>
      <w:pPr>
        <w:pStyle w:val="ListParagraph"/>
        <w:numPr>
          <w:ilvl w:val="0"/>
          <w:numId w:val="114"/>
        </w:numPr>
        <w:tabs>
          <w:tab w:pos="1860" w:val="left" w:leader="none"/>
          <w:tab w:pos="1861" w:val="left" w:leader="none"/>
        </w:tabs>
        <w:spacing w:line="240" w:lineRule="auto" w:before="33" w:after="0"/>
        <w:ind w:left="1860" w:right="0" w:hanging="721"/>
        <w:jc w:val="left"/>
        <w:rPr>
          <w:sz w:val="18"/>
        </w:rPr>
      </w:pPr>
      <w:r>
        <w:rPr>
          <w:sz w:val="18"/>
        </w:rPr>
        <w:t>Never</w:t>
      </w:r>
    </w:p>
    <w:p>
      <w:pPr>
        <w:pStyle w:val="ListParagraph"/>
        <w:numPr>
          <w:ilvl w:val="0"/>
          <w:numId w:val="115"/>
        </w:numPr>
        <w:tabs>
          <w:tab w:pos="1860" w:val="left" w:leader="none"/>
          <w:tab w:pos="1861" w:val="left" w:leader="none"/>
        </w:tabs>
        <w:spacing w:line="240" w:lineRule="auto" w:before="34" w:after="0"/>
        <w:ind w:left="1860" w:right="0" w:hanging="721"/>
        <w:jc w:val="left"/>
        <w:rPr>
          <w:sz w:val="18"/>
        </w:rPr>
      </w:pPr>
      <w:r>
        <w:rPr>
          <w:sz w:val="18"/>
        </w:rPr>
        <w:t>(Don’t</w:t>
      </w:r>
      <w:r>
        <w:rPr>
          <w:spacing w:val="-3"/>
          <w:sz w:val="18"/>
        </w:rPr>
        <w:t> </w:t>
      </w:r>
      <w:r>
        <w:rPr>
          <w:sz w:val="18"/>
        </w:rPr>
        <w:t>know)</w:t>
      </w:r>
    </w:p>
    <w:p>
      <w:pPr>
        <w:pStyle w:val="ListParagraph"/>
        <w:numPr>
          <w:ilvl w:val="0"/>
          <w:numId w:val="115"/>
        </w:numPr>
        <w:tabs>
          <w:tab w:pos="1860" w:val="left" w:leader="none"/>
          <w:tab w:pos="1861" w:val="left" w:leader="none"/>
        </w:tabs>
        <w:spacing w:line="240" w:lineRule="auto" w:before="34" w:after="0"/>
        <w:ind w:left="1860" w:right="0" w:hanging="721"/>
        <w:jc w:val="left"/>
        <w:rPr>
          <w:sz w:val="18"/>
        </w:rPr>
      </w:pPr>
      <w:r>
        <w:rPr>
          <w:sz w:val="18"/>
        </w:rPr>
        <w:t>(Refused)</w:t>
      </w:r>
    </w:p>
    <w:p>
      <w:pPr>
        <w:pStyle w:val="BodyText"/>
        <w:spacing w:before="12"/>
        <w:rPr>
          <w:sz w:val="18"/>
        </w:rPr>
      </w:pPr>
    </w:p>
    <w:p>
      <w:pPr>
        <w:tabs>
          <w:tab w:pos="1128" w:val="left" w:leader="none"/>
        </w:tabs>
        <w:spacing w:line="276" w:lineRule="auto" w:before="0"/>
        <w:ind w:left="1128" w:right="962" w:hanging="709"/>
        <w:jc w:val="left"/>
        <w:rPr>
          <w:sz w:val="18"/>
        </w:rPr>
      </w:pPr>
      <w:r>
        <w:rPr>
          <w:sz w:val="18"/>
        </w:rPr>
        <w:t>Q5</w:t>
        <w:tab/>
        <w:t>In the past 6 months, apart from scheduling appointments, how many times did you contact your GP or other</w:t>
      </w:r>
      <w:r>
        <w:rPr>
          <w:spacing w:val="-47"/>
          <w:sz w:val="18"/>
        </w:rPr>
        <w:t> </w:t>
      </w:r>
      <w:r>
        <w:rPr>
          <w:sz w:val="18"/>
        </w:rPr>
        <w:t>professional</w:t>
      </w:r>
      <w:r>
        <w:rPr>
          <w:spacing w:val="-3"/>
          <w:sz w:val="18"/>
        </w:rPr>
        <w:t> </w:t>
      </w:r>
      <w:r>
        <w:rPr>
          <w:sz w:val="18"/>
        </w:rPr>
        <w:t>in &lt;practice&gt; about</w:t>
      </w:r>
      <w:r>
        <w:rPr>
          <w:spacing w:val="-1"/>
          <w:sz w:val="18"/>
        </w:rPr>
        <w:t> </w:t>
      </w:r>
      <w:r>
        <w:rPr>
          <w:sz w:val="18"/>
        </w:rPr>
        <w:t>your</w:t>
      </w:r>
      <w:r>
        <w:rPr>
          <w:spacing w:val="1"/>
          <w:sz w:val="18"/>
        </w:rPr>
        <w:t> </w:t>
      </w:r>
      <w:r>
        <w:rPr>
          <w:sz w:val="18"/>
        </w:rPr>
        <w:t>health —</w:t>
      </w:r>
      <w:r>
        <w:rPr>
          <w:spacing w:val="-3"/>
          <w:sz w:val="18"/>
        </w:rPr>
        <w:t> </w:t>
      </w:r>
      <w:r>
        <w:rPr>
          <w:sz w:val="18"/>
        </w:rPr>
        <w:t>for</w:t>
      </w:r>
      <w:r>
        <w:rPr>
          <w:spacing w:val="-1"/>
          <w:sz w:val="18"/>
        </w:rPr>
        <w:t> </w:t>
      </w:r>
      <w:r>
        <w:rPr>
          <w:sz w:val="18"/>
        </w:rPr>
        <w:t>example,</w:t>
      </w:r>
      <w:r>
        <w:rPr>
          <w:spacing w:val="-2"/>
          <w:sz w:val="18"/>
        </w:rPr>
        <w:t> </w:t>
      </w:r>
      <w:r>
        <w:rPr>
          <w:sz w:val="18"/>
        </w:rPr>
        <w:t>by email</w:t>
      </w:r>
      <w:r>
        <w:rPr>
          <w:spacing w:val="-1"/>
          <w:sz w:val="18"/>
        </w:rPr>
        <w:t> </w:t>
      </w:r>
      <w:r>
        <w:rPr>
          <w:sz w:val="18"/>
        </w:rPr>
        <w:t>or phone</w:t>
      </w:r>
      <w:r>
        <w:rPr>
          <w:spacing w:val="-1"/>
          <w:sz w:val="18"/>
        </w:rPr>
        <w:t> </w:t>
      </w:r>
      <w:r>
        <w:rPr>
          <w:sz w:val="18"/>
        </w:rPr>
        <w:t>call?</w:t>
      </w:r>
    </w:p>
    <w:p>
      <w:pPr>
        <w:pStyle w:val="BodyText"/>
        <w:spacing w:before="4"/>
        <w:rPr>
          <w:sz w:val="16"/>
        </w:rPr>
      </w:pPr>
    </w:p>
    <w:p>
      <w:pPr>
        <w:tabs>
          <w:tab w:pos="1860" w:val="left" w:leader="none"/>
          <w:tab w:pos="3441" w:val="left" w:leader="none"/>
        </w:tabs>
        <w:spacing w:before="0"/>
        <w:ind w:left="1140" w:right="0" w:firstLine="0"/>
        <w:jc w:val="left"/>
        <w:rPr>
          <w:sz w:val="18"/>
        </w:rPr>
      </w:pPr>
      <w:r>
        <w:rPr>
          <w:sz w:val="18"/>
        </w:rPr>
        <w:t>1.</w:t>
        <w:tab/>
        <w:t>Contacts:</w:t>
      </w:r>
      <w:r>
        <w:rPr>
          <w:sz w:val="18"/>
          <w:u w:val="single"/>
        </w:rPr>
        <w:tab/>
      </w:r>
      <w:r>
        <w:rPr>
          <w:sz w:val="18"/>
        </w:rPr>
        <w:t>(WHOLE NUMBERS</w:t>
      </w:r>
      <w:r>
        <w:rPr>
          <w:spacing w:val="-3"/>
          <w:sz w:val="18"/>
        </w:rPr>
        <w:t> </w:t>
      </w:r>
      <w:r>
        <w:rPr>
          <w:sz w:val="18"/>
        </w:rPr>
        <w:t>ONLY,</w:t>
      </w:r>
      <w:r>
        <w:rPr>
          <w:spacing w:val="-4"/>
          <w:sz w:val="18"/>
        </w:rPr>
        <w:t> </w:t>
      </w:r>
      <w:r>
        <w:rPr>
          <w:sz w:val="18"/>
        </w:rPr>
        <w:t>RANGE</w:t>
      </w:r>
      <w:r>
        <w:rPr>
          <w:spacing w:val="-2"/>
          <w:sz w:val="18"/>
        </w:rPr>
        <w:t> </w:t>
      </w:r>
      <w:r>
        <w:rPr>
          <w:sz w:val="18"/>
        </w:rPr>
        <w:t>0-50)</w:t>
      </w:r>
    </w:p>
    <w:p>
      <w:pPr>
        <w:pStyle w:val="ListParagraph"/>
        <w:numPr>
          <w:ilvl w:val="0"/>
          <w:numId w:val="116"/>
        </w:numPr>
        <w:tabs>
          <w:tab w:pos="1860" w:val="left" w:leader="none"/>
          <w:tab w:pos="1861" w:val="left" w:leader="none"/>
        </w:tabs>
        <w:spacing w:line="240" w:lineRule="auto" w:before="32" w:after="0"/>
        <w:ind w:left="1860" w:right="0" w:hanging="721"/>
        <w:jc w:val="left"/>
        <w:rPr>
          <w:sz w:val="18"/>
        </w:rPr>
      </w:pPr>
      <w:r>
        <w:rPr>
          <w:sz w:val="18"/>
        </w:rPr>
        <w:t>(Don’t</w:t>
      </w:r>
      <w:r>
        <w:rPr>
          <w:spacing w:val="-3"/>
          <w:sz w:val="18"/>
        </w:rPr>
        <w:t> </w:t>
      </w:r>
      <w:r>
        <w:rPr>
          <w:sz w:val="18"/>
        </w:rPr>
        <w:t>know)</w:t>
      </w:r>
      <w:r>
        <w:rPr>
          <w:spacing w:val="-2"/>
          <w:sz w:val="18"/>
        </w:rPr>
        <w:t> </w:t>
      </w:r>
      <w:r>
        <w:rPr>
          <w:sz w:val="18"/>
        </w:rPr>
        <w:t>– Q5a</w:t>
      </w:r>
    </w:p>
    <w:p>
      <w:pPr>
        <w:pStyle w:val="ListParagraph"/>
        <w:numPr>
          <w:ilvl w:val="0"/>
          <w:numId w:val="116"/>
        </w:numPr>
        <w:tabs>
          <w:tab w:pos="1860" w:val="left" w:leader="none"/>
          <w:tab w:pos="1861" w:val="left" w:leader="none"/>
        </w:tabs>
        <w:spacing w:line="240" w:lineRule="auto" w:before="34" w:after="0"/>
        <w:ind w:left="1860" w:right="0" w:hanging="721"/>
        <w:jc w:val="left"/>
        <w:rPr>
          <w:sz w:val="18"/>
        </w:rPr>
      </w:pPr>
      <w:r>
        <w:rPr>
          <w:sz w:val="18"/>
        </w:rPr>
        <w:t>(Refused)</w:t>
      </w:r>
      <w:r>
        <w:rPr>
          <w:spacing w:val="-4"/>
          <w:sz w:val="18"/>
        </w:rPr>
        <w:t> </w:t>
      </w:r>
      <w:r>
        <w:rPr>
          <w:sz w:val="18"/>
        </w:rPr>
        <w:t>–</w:t>
      </w:r>
      <w:r>
        <w:rPr>
          <w:spacing w:val="-1"/>
          <w:sz w:val="18"/>
        </w:rPr>
        <w:t> </w:t>
      </w:r>
      <w:r>
        <w:rPr>
          <w:sz w:val="18"/>
        </w:rPr>
        <w:t>Q5a</w:t>
      </w:r>
    </w:p>
    <w:p>
      <w:pPr>
        <w:pStyle w:val="BodyText"/>
        <w:spacing w:before="12"/>
        <w:rPr>
          <w:sz w:val="18"/>
        </w:rPr>
      </w:pPr>
    </w:p>
    <w:p>
      <w:pPr>
        <w:spacing w:before="0"/>
        <w:ind w:left="420" w:right="0" w:firstLine="0"/>
        <w:jc w:val="left"/>
        <w:rPr>
          <w:sz w:val="18"/>
        </w:rPr>
      </w:pPr>
      <w:r>
        <w:rPr>
          <w:sz w:val="18"/>
        </w:rPr>
        <w:t>*if</w:t>
      </w:r>
      <w:r>
        <w:rPr>
          <w:spacing w:val="-2"/>
          <w:sz w:val="18"/>
        </w:rPr>
        <w:t> </w:t>
      </w:r>
      <w:r>
        <w:rPr>
          <w:sz w:val="18"/>
        </w:rPr>
        <w:t>participant</w:t>
      </w:r>
      <w:r>
        <w:rPr>
          <w:spacing w:val="-2"/>
          <w:sz w:val="18"/>
        </w:rPr>
        <w:t> </w:t>
      </w:r>
      <w:r>
        <w:rPr>
          <w:sz w:val="18"/>
        </w:rPr>
        <w:t>unsure</w:t>
      </w:r>
      <w:r>
        <w:rPr>
          <w:spacing w:val="-1"/>
          <w:sz w:val="18"/>
        </w:rPr>
        <w:t> </w:t>
      </w:r>
      <w:r>
        <w:rPr>
          <w:sz w:val="18"/>
        </w:rPr>
        <w:t>go</w:t>
      </w:r>
      <w:r>
        <w:rPr>
          <w:spacing w:val="-3"/>
          <w:sz w:val="18"/>
        </w:rPr>
        <w:t> </w:t>
      </w:r>
      <w:r>
        <w:rPr>
          <w:sz w:val="18"/>
        </w:rPr>
        <w:t>to</w:t>
      </w:r>
      <w:r>
        <w:rPr>
          <w:spacing w:val="-5"/>
          <w:sz w:val="18"/>
        </w:rPr>
        <w:t> </w:t>
      </w:r>
      <w:r>
        <w:rPr>
          <w:sz w:val="18"/>
        </w:rPr>
        <w:t>Q5a</w:t>
      </w:r>
    </w:p>
    <w:p>
      <w:pPr>
        <w:pStyle w:val="BodyText"/>
        <w:rPr>
          <w:sz w:val="19"/>
        </w:rPr>
      </w:pPr>
    </w:p>
    <w:p>
      <w:pPr>
        <w:tabs>
          <w:tab w:pos="1128" w:val="left" w:leader="none"/>
        </w:tabs>
        <w:spacing w:before="0"/>
        <w:ind w:left="420" w:right="0" w:firstLine="0"/>
        <w:jc w:val="left"/>
        <w:rPr>
          <w:sz w:val="18"/>
        </w:rPr>
      </w:pPr>
      <w:r>
        <w:rPr>
          <w:sz w:val="18"/>
        </w:rPr>
        <w:t>Q5a</w:t>
        <w:tab/>
        <w:t>That’s</w:t>
      </w:r>
      <w:r>
        <w:rPr>
          <w:spacing w:val="-2"/>
          <w:sz w:val="18"/>
        </w:rPr>
        <w:t> </w:t>
      </w:r>
      <w:r>
        <w:rPr>
          <w:sz w:val="18"/>
        </w:rPr>
        <w:t>okay,</w:t>
      </w:r>
      <w:r>
        <w:rPr>
          <w:spacing w:val="-4"/>
          <w:sz w:val="18"/>
        </w:rPr>
        <w:t> </w:t>
      </w:r>
      <w:r>
        <w:rPr>
          <w:sz w:val="18"/>
        </w:rPr>
        <w:t>do</w:t>
      </w:r>
      <w:r>
        <w:rPr>
          <w:spacing w:val="-2"/>
          <w:sz w:val="18"/>
        </w:rPr>
        <w:t> </w:t>
      </w:r>
      <w:r>
        <w:rPr>
          <w:sz w:val="18"/>
        </w:rPr>
        <w:t>you</w:t>
      </w:r>
      <w:r>
        <w:rPr>
          <w:spacing w:val="-1"/>
          <w:sz w:val="18"/>
        </w:rPr>
        <w:t> </w:t>
      </w:r>
      <w:r>
        <w:rPr>
          <w:sz w:val="18"/>
        </w:rPr>
        <w:t>know</w:t>
      </w:r>
      <w:r>
        <w:rPr>
          <w:spacing w:val="-2"/>
          <w:sz w:val="18"/>
        </w:rPr>
        <w:t> </w:t>
      </w:r>
      <w:r>
        <w:rPr>
          <w:sz w:val="18"/>
        </w:rPr>
        <w:t>roughly</w:t>
      </w:r>
      <w:r>
        <w:rPr>
          <w:spacing w:val="-1"/>
          <w:sz w:val="18"/>
        </w:rPr>
        <w:t> </w:t>
      </w:r>
      <w:r>
        <w:rPr>
          <w:sz w:val="18"/>
        </w:rPr>
        <w:t>how</w:t>
      </w:r>
      <w:r>
        <w:rPr>
          <w:spacing w:val="-3"/>
          <w:sz w:val="18"/>
        </w:rPr>
        <w:t> </w:t>
      </w:r>
      <w:r>
        <w:rPr>
          <w:sz w:val="18"/>
        </w:rPr>
        <w:t>many</w:t>
      </w:r>
      <w:r>
        <w:rPr>
          <w:spacing w:val="-2"/>
          <w:sz w:val="18"/>
        </w:rPr>
        <w:t> </w:t>
      </w:r>
      <w:r>
        <w:rPr>
          <w:sz w:val="18"/>
        </w:rPr>
        <w:t>times</w:t>
      </w:r>
      <w:r>
        <w:rPr>
          <w:spacing w:val="-2"/>
          <w:sz w:val="18"/>
        </w:rPr>
        <w:t> </w:t>
      </w:r>
      <w:r>
        <w:rPr>
          <w:sz w:val="18"/>
        </w:rPr>
        <w:t>you contacted</w:t>
      </w:r>
      <w:r>
        <w:rPr>
          <w:spacing w:val="-2"/>
          <w:sz w:val="18"/>
        </w:rPr>
        <w:t> </w:t>
      </w:r>
      <w:r>
        <w:rPr>
          <w:sz w:val="18"/>
        </w:rPr>
        <w:t>them</w:t>
      </w:r>
      <w:r>
        <w:rPr>
          <w:spacing w:val="-5"/>
          <w:sz w:val="18"/>
        </w:rPr>
        <w:t> </w:t>
      </w:r>
      <w:r>
        <w:rPr>
          <w:sz w:val="18"/>
        </w:rPr>
        <w:t>in</w:t>
      </w:r>
      <w:r>
        <w:rPr>
          <w:spacing w:val="-1"/>
          <w:sz w:val="18"/>
        </w:rPr>
        <w:t> </w:t>
      </w:r>
      <w:r>
        <w:rPr>
          <w:sz w:val="18"/>
        </w:rPr>
        <w:t>the last</w:t>
      </w:r>
      <w:r>
        <w:rPr>
          <w:spacing w:val="-3"/>
          <w:sz w:val="18"/>
        </w:rPr>
        <w:t> </w:t>
      </w:r>
      <w:r>
        <w:rPr>
          <w:sz w:val="18"/>
        </w:rPr>
        <w:t>6</w:t>
      </w:r>
      <w:r>
        <w:rPr>
          <w:spacing w:val="-1"/>
          <w:sz w:val="18"/>
        </w:rPr>
        <w:t> </w:t>
      </w:r>
      <w:r>
        <w:rPr>
          <w:sz w:val="18"/>
        </w:rPr>
        <w:t>months,</w:t>
      </w:r>
      <w:r>
        <w:rPr>
          <w:spacing w:val="-3"/>
          <w:sz w:val="18"/>
        </w:rPr>
        <w:t> </w:t>
      </w:r>
      <w:r>
        <w:rPr>
          <w:sz w:val="18"/>
        </w:rPr>
        <w:t>would</w:t>
      </w:r>
      <w:r>
        <w:rPr>
          <w:spacing w:val="-3"/>
          <w:sz w:val="18"/>
        </w:rPr>
        <w:t> </w:t>
      </w:r>
      <w:r>
        <w:rPr>
          <w:sz w:val="18"/>
        </w:rPr>
        <w:t>it</w:t>
      </w:r>
      <w:r>
        <w:rPr>
          <w:spacing w:val="-2"/>
          <w:sz w:val="18"/>
        </w:rPr>
        <w:t> </w:t>
      </w:r>
      <w:r>
        <w:rPr>
          <w:sz w:val="18"/>
        </w:rPr>
        <w:t>be…?</w:t>
      </w:r>
    </w:p>
    <w:p>
      <w:pPr>
        <w:pStyle w:val="BodyText"/>
        <w:rPr>
          <w:sz w:val="19"/>
        </w:rPr>
      </w:pPr>
    </w:p>
    <w:p>
      <w:pPr>
        <w:pStyle w:val="ListParagraph"/>
        <w:numPr>
          <w:ilvl w:val="0"/>
          <w:numId w:val="117"/>
        </w:numPr>
        <w:tabs>
          <w:tab w:pos="1860" w:val="left" w:leader="none"/>
          <w:tab w:pos="1861" w:val="left" w:leader="none"/>
        </w:tabs>
        <w:spacing w:line="240" w:lineRule="auto" w:before="0" w:after="0"/>
        <w:ind w:left="1860" w:right="0" w:hanging="721"/>
        <w:jc w:val="left"/>
        <w:rPr>
          <w:sz w:val="18"/>
        </w:rPr>
      </w:pPr>
      <w:r>
        <w:rPr>
          <w:sz w:val="18"/>
        </w:rPr>
        <w:t>Once</w:t>
      </w:r>
    </w:p>
    <w:p>
      <w:pPr>
        <w:pStyle w:val="ListParagraph"/>
        <w:numPr>
          <w:ilvl w:val="0"/>
          <w:numId w:val="117"/>
        </w:numPr>
        <w:tabs>
          <w:tab w:pos="1860" w:val="left" w:leader="none"/>
          <w:tab w:pos="1861" w:val="left" w:leader="none"/>
        </w:tabs>
        <w:spacing w:line="240" w:lineRule="auto" w:before="34" w:after="0"/>
        <w:ind w:left="1860" w:right="0" w:hanging="721"/>
        <w:jc w:val="left"/>
        <w:rPr>
          <w:sz w:val="18"/>
        </w:rPr>
      </w:pPr>
      <w:r>
        <w:rPr>
          <w:sz w:val="18"/>
        </w:rPr>
        <w:t>Twice</w:t>
      </w:r>
    </w:p>
    <w:p>
      <w:pPr>
        <w:pStyle w:val="ListParagraph"/>
        <w:numPr>
          <w:ilvl w:val="0"/>
          <w:numId w:val="117"/>
        </w:numPr>
        <w:tabs>
          <w:tab w:pos="1860" w:val="left" w:leader="none"/>
          <w:tab w:pos="1861" w:val="left" w:leader="none"/>
        </w:tabs>
        <w:spacing w:line="240" w:lineRule="auto" w:before="33" w:after="0"/>
        <w:ind w:left="1860" w:right="0" w:hanging="721"/>
        <w:jc w:val="left"/>
        <w:rPr>
          <w:sz w:val="18"/>
        </w:rPr>
      </w:pPr>
      <w:r>
        <w:rPr>
          <w:sz w:val="18"/>
        </w:rPr>
        <w:t>3</w:t>
      </w:r>
      <w:r>
        <w:rPr>
          <w:spacing w:val="-3"/>
          <w:sz w:val="18"/>
        </w:rPr>
        <w:t> </w:t>
      </w:r>
      <w:r>
        <w:rPr>
          <w:sz w:val="18"/>
        </w:rPr>
        <w:t>times</w:t>
      </w:r>
    </w:p>
    <w:p>
      <w:pPr>
        <w:pStyle w:val="ListParagraph"/>
        <w:numPr>
          <w:ilvl w:val="0"/>
          <w:numId w:val="117"/>
        </w:numPr>
        <w:tabs>
          <w:tab w:pos="1860" w:val="left" w:leader="none"/>
          <w:tab w:pos="1861" w:val="left" w:leader="none"/>
        </w:tabs>
        <w:spacing w:line="240" w:lineRule="auto" w:before="34" w:after="0"/>
        <w:ind w:left="1860" w:right="0" w:hanging="721"/>
        <w:jc w:val="left"/>
        <w:rPr>
          <w:sz w:val="18"/>
        </w:rPr>
      </w:pPr>
      <w:r>
        <w:rPr>
          <w:sz w:val="18"/>
        </w:rPr>
        <w:t>4</w:t>
      </w:r>
      <w:r>
        <w:rPr>
          <w:spacing w:val="-3"/>
          <w:sz w:val="18"/>
        </w:rPr>
        <w:t> </w:t>
      </w:r>
      <w:r>
        <w:rPr>
          <w:sz w:val="18"/>
        </w:rPr>
        <w:t>times</w:t>
      </w:r>
    </w:p>
    <w:p>
      <w:pPr>
        <w:pStyle w:val="ListParagraph"/>
        <w:numPr>
          <w:ilvl w:val="0"/>
          <w:numId w:val="117"/>
        </w:numPr>
        <w:tabs>
          <w:tab w:pos="1860" w:val="left" w:leader="none"/>
          <w:tab w:pos="1861" w:val="left" w:leader="none"/>
        </w:tabs>
        <w:spacing w:line="240" w:lineRule="auto" w:before="31" w:after="0"/>
        <w:ind w:left="1860" w:right="0" w:hanging="721"/>
        <w:jc w:val="left"/>
        <w:rPr>
          <w:sz w:val="18"/>
        </w:rPr>
      </w:pPr>
      <w:r>
        <w:rPr>
          <w:sz w:val="18"/>
        </w:rPr>
        <w:t>5-9</w:t>
      </w:r>
      <w:r>
        <w:rPr>
          <w:spacing w:val="-2"/>
          <w:sz w:val="18"/>
        </w:rPr>
        <w:t> </w:t>
      </w:r>
      <w:r>
        <w:rPr>
          <w:sz w:val="18"/>
        </w:rPr>
        <w:t>times</w:t>
      </w:r>
    </w:p>
    <w:p>
      <w:pPr>
        <w:pStyle w:val="ListParagraph"/>
        <w:numPr>
          <w:ilvl w:val="0"/>
          <w:numId w:val="117"/>
        </w:numPr>
        <w:tabs>
          <w:tab w:pos="1860" w:val="left" w:leader="none"/>
          <w:tab w:pos="1861" w:val="left" w:leader="none"/>
        </w:tabs>
        <w:spacing w:line="240" w:lineRule="auto" w:before="34" w:after="0"/>
        <w:ind w:left="1860" w:right="0" w:hanging="721"/>
        <w:jc w:val="left"/>
        <w:rPr>
          <w:sz w:val="18"/>
        </w:rPr>
      </w:pPr>
      <w:r>
        <w:rPr>
          <w:sz w:val="18"/>
        </w:rPr>
        <w:t>10</w:t>
      </w:r>
      <w:r>
        <w:rPr>
          <w:spacing w:val="-1"/>
          <w:sz w:val="18"/>
        </w:rPr>
        <w:t> </w:t>
      </w:r>
      <w:r>
        <w:rPr>
          <w:sz w:val="18"/>
        </w:rPr>
        <w:t>or</w:t>
      </w:r>
      <w:r>
        <w:rPr>
          <w:spacing w:val="-3"/>
          <w:sz w:val="18"/>
        </w:rPr>
        <w:t> </w:t>
      </w:r>
      <w:r>
        <w:rPr>
          <w:sz w:val="18"/>
        </w:rPr>
        <w:t>more times</w:t>
      </w:r>
    </w:p>
    <w:p>
      <w:pPr>
        <w:pStyle w:val="ListParagraph"/>
        <w:numPr>
          <w:ilvl w:val="0"/>
          <w:numId w:val="117"/>
        </w:numPr>
        <w:tabs>
          <w:tab w:pos="1860" w:val="left" w:leader="none"/>
          <w:tab w:pos="1861" w:val="left" w:leader="none"/>
        </w:tabs>
        <w:spacing w:line="240" w:lineRule="auto" w:before="34" w:after="0"/>
        <w:ind w:left="1860" w:right="0" w:hanging="721"/>
        <w:jc w:val="left"/>
        <w:rPr>
          <w:sz w:val="18"/>
        </w:rPr>
      </w:pPr>
      <w:r>
        <w:rPr>
          <w:sz w:val="18"/>
        </w:rPr>
        <w:t>Never</w:t>
      </w:r>
    </w:p>
    <w:p>
      <w:pPr>
        <w:pStyle w:val="ListParagraph"/>
        <w:numPr>
          <w:ilvl w:val="0"/>
          <w:numId w:val="118"/>
        </w:numPr>
        <w:tabs>
          <w:tab w:pos="1860" w:val="left" w:leader="none"/>
          <w:tab w:pos="1861" w:val="left" w:leader="none"/>
        </w:tabs>
        <w:spacing w:line="240" w:lineRule="auto" w:before="34" w:after="0"/>
        <w:ind w:left="1860" w:right="0" w:hanging="721"/>
        <w:jc w:val="left"/>
        <w:rPr>
          <w:sz w:val="18"/>
        </w:rPr>
      </w:pPr>
      <w:r>
        <w:rPr>
          <w:sz w:val="18"/>
        </w:rPr>
        <w:t>(Don’t</w:t>
      </w:r>
      <w:r>
        <w:rPr>
          <w:spacing w:val="-3"/>
          <w:sz w:val="18"/>
        </w:rPr>
        <w:t> </w:t>
      </w:r>
      <w:r>
        <w:rPr>
          <w:sz w:val="18"/>
        </w:rPr>
        <w:t>know)</w:t>
      </w:r>
    </w:p>
    <w:p>
      <w:pPr>
        <w:pStyle w:val="ListParagraph"/>
        <w:numPr>
          <w:ilvl w:val="0"/>
          <w:numId w:val="118"/>
        </w:numPr>
        <w:tabs>
          <w:tab w:pos="1860" w:val="left" w:leader="none"/>
          <w:tab w:pos="1861" w:val="left" w:leader="none"/>
        </w:tabs>
        <w:spacing w:line="240" w:lineRule="auto" w:before="31" w:after="0"/>
        <w:ind w:left="1860" w:right="0" w:hanging="721"/>
        <w:jc w:val="left"/>
        <w:rPr>
          <w:sz w:val="18"/>
        </w:rPr>
      </w:pPr>
      <w:r>
        <w:rPr>
          <w:sz w:val="18"/>
        </w:rPr>
        <w:t>(Refused)</w:t>
      </w:r>
    </w:p>
    <w:p>
      <w:pPr>
        <w:pStyle w:val="BodyText"/>
        <w:rPr>
          <w:sz w:val="19"/>
        </w:rPr>
      </w:pPr>
    </w:p>
    <w:p>
      <w:pPr>
        <w:tabs>
          <w:tab w:pos="1128" w:val="left" w:leader="none"/>
        </w:tabs>
        <w:spacing w:before="0"/>
        <w:ind w:left="420" w:right="0" w:firstLine="0"/>
        <w:jc w:val="left"/>
        <w:rPr>
          <w:sz w:val="18"/>
        </w:rPr>
      </w:pPr>
      <w:r>
        <w:rPr>
          <w:sz w:val="18"/>
        </w:rPr>
        <w:t>Q6</w:t>
        <w:tab/>
        <w:t>Have</w:t>
      </w:r>
      <w:r>
        <w:rPr>
          <w:spacing w:val="-2"/>
          <w:sz w:val="18"/>
        </w:rPr>
        <w:t> </w:t>
      </w:r>
      <w:r>
        <w:rPr>
          <w:sz w:val="18"/>
        </w:rPr>
        <w:t>you</w:t>
      </w:r>
      <w:r>
        <w:rPr>
          <w:spacing w:val="-1"/>
          <w:sz w:val="18"/>
        </w:rPr>
        <w:t> </w:t>
      </w:r>
      <w:r>
        <w:rPr>
          <w:sz w:val="18"/>
        </w:rPr>
        <w:t>registered</w:t>
      </w:r>
      <w:r>
        <w:rPr>
          <w:spacing w:val="-4"/>
          <w:sz w:val="18"/>
        </w:rPr>
        <w:t> </w:t>
      </w:r>
      <w:r>
        <w:rPr>
          <w:sz w:val="18"/>
        </w:rPr>
        <w:t>for</w:t>
      </w:r>
      <w:r>
        <w:rPr>
          <w:spacing w:val="-1"/>
          <w:sz w:val="18"/>
        </w:rPr>
        <w:t> </w:t>
      </w:r>
      <w:r>
        <w:rPr>
          <w:sz w:val="18"/>
        </w:rPr>
        <w:t>My</w:t>
      </w:r>
      <w:r>
        <w:rPr>
          <w:spacing w:val="-4"/>
          <w:sz w:val="18"/>
        </w:rPr>
        <w:t> </w:t>
      </w:r>
      <w:r>
        <w:rPr>
          <w:sz w:val="18"/>
        </w:rPr>
        <w:t>Health</w:t>
      </w:r>
      <w:r>
        <w:rPr>
          <w:spacing w:val="-1"/>
          <w:sz w:val="18"/>
        </w:rPr>
        <w:t> </w:t>
      </w:r>
      <w:r>
        <w:rPr>
          <w:sz w:val="18"/>
        </w:rPr>
        <w:t>Record?</w:t>
      </w:r>
    </w:p>
    <w:p>
      <w:pPr>
        <w:pStyle w:val="BodyText"/>
        <w:rPr>
          <w:sz w:val="19"/>
        </w:rPr>
      </w:pPr>
    </w:p>
    <w:p>
      <w:pPr>
        <w:spacing w:line="276" w:lineRule="auto" w:before="0"/>
        <w:ind w:left="420" w:right="1074" w:firstLine="0"/>
        <w:jc w:val="both"/>
        <w:rPr>
          <w:sz w:val="18"/>
        </w:rPr>
      </w:pPr>
      <w:r>
        <w:rPr>
          <w:b/>
          <w:sz w:val="18"/>
        </w:rPr>
        <w:t>If participant unsure please read: </w:t>
      </w:r>
      <w:r>
        <w:rPr>
          <w:sz w:val="18"/>
        </w:rPr>
        <w:t>My Health Record is a secure online summary of your health information run by the</w:t>
      </w:r>
      <w:r>
        <w:rPr>
          <w:spacing w:val="-47"/>
          <w:sz w:val="18"/>
        </w:rPr>
        <w:t> </w:t>
      </w:r>
      <w:r>
        <w:rPr>
          <w:sz w:val="18"/>
        </w:rPr>
        <w:t>Australian government. You can control what goes into it, and who is allowed to access it. You can choose to share</w:t>
      </w:r>
      <w:r>
        <w:rPr>
          <w:spacing w:val="-47"/>
          <w:sz w:val="18"/>
        </w:rPr>
        <w:t> </w:t>
      </w:r>
      <w:r>
        <w:rPr>
          <w:sz w:val="18"/>
        </w:rPr>
        <w:t>your health</w:t>
      </w:r>
      <w:r>
        <w:rPr>
          <w:spacing w:val="-2"/>
          <w:sz w:val="18"/>
        </w:rPr>
        <w:t> </w:t>
      </w:r>
      <w:r>
        <w:rPr>
          <w:sz w:val="18"/>
        </w:rPr>
        <w:t>information</w:t>
      </w:r>
      <w:r>
        <w:rPr>
          <w:spacing w:val="1"/>
          <w:sz w:val="18"/>
        </w:rPr>
        <w:t> </w:t>
      </w:r>
      <w:r>
        <w:rPr>
          <w:sz w:val="18"/>
        </w:rPr>
        <w:t>with</w:t>
      </w:r>
      <w:r>
        <w:rPr>
          <w:spacing w:val="-2"/>
          <w:sz w:val="18"/>
        </w:rPr>
        <w:t> </w:t>
      </w:r>
      <w:r>
        <w:rPr>
          <w:sz w:val="18"/>
        </w:rPr>
        <w:t>your doctors,</w:t>
      </w:r>
      <w:r>
        <w:rPr>
          <w:spacing w:val="-1"/>
          <w:sz w:val="18"/>
        </w:rPr>
        <w:t> </w:t>
      </w:r>
      <w:r>
        <w:rPr>
          <w:sz w:val="18"/>
        </w:rPr>
        <w:t>hospitals,</w:t>
      </w:r>
      <w:r>
        <w:rPr>
          <w:spacing w:val="-3"/>
          <w:sz w:val="18"/>
        </w:rPr>
        <w:t> </w:t>
      </w:r>
      <w:r>
        <w:rPr>
          <w:sz w:val="18"/>
        </w:rPr>
        <w:t>and</w:t>
      </w:r>
      <w:r>
        <w:rPr>
          <w:spacing w:val="1"/>
          <w:sz w:val="18"/>
        </w:rPr>
        <w:t> </w:t>
      </w:r>
      <w:r>
        <w:rPr>
          <w:sz w:val="18"/>
        </w:rPr>
        <w:t>other</w:t>
      </w:r>
      <w:r>
        <w:rPr>
          <w:spacing w:val="2"/>
          <w:sz w:val="18"/>
        </w:rPr>
        <w:t> </w:t>
      </w:r>
      <w:r>
        <w:rPr>
          <w:sz w:val="18"/>
        </w:rPr>
        <w:t>healthcare</w:t>
      </w:r>
      <w:r>
        <w:rPr>
          <w:spacing w:val="1"/>
          <w:sz w:val="18"/>
        </w:rPr>
        <w:t> </w:t>
      </w:r>
      <w:r>
        <w:rPr>
          <w:sz w:val="18"/>
        </w:rPr>
        <w:t>providers.)</w:t>
      </w:r>
    </w:p>
    <w:p>
      <w:pPr>
        <w:pStyle w:val="BodyText"/>
        <w:spacing w:before="5"/>
        <w:rPr>
          <w:sz w:val="16"/>
        </w:rPr>
      </w:pPr>
    </w:p>
    <w:p>
      <w:pPr>
        <w:pStyle w:val="ListParagraph"/>
        <w:numPr>
          <w:ilvl w:val="0"/>
          <w:numId w:val="119"/>
        </w:numPr>
        <w:tabs>
          <w:tab w:pos="1860" w:val="left" w:leader="none"/>
          <w:tab w:pos="1861" w:val="left" w:leader="none"/>
        </w:tabs>
        <w:spacing w:line="240" w:lineRule="auto" w:before="0" w:after="0"/>
        <w:ind w:left="1860" w:right="0" w:hanging="721"/>
        <w:jc w:val="left"/>
        <w:rPr>
          <w:sz w:val="18"/>
        </w:rPr>
      </w:pPr>
      <w:r>
        <w:rPr>
          <w:sz w:val="18"/>
        </w:rPr>
        <w:t>Yes</w:t>
      </w:r>
    </w:p>
    <w:p>
      <w:pPr>
        <w:pStyle w:val="ListParagraph"/>
        <w:numPr>
          <w:ilvl w:val="0"/>
          <w:numId w:val="119"/>
        </w:numPr>
        <w:tabs>
          <w:tab w:pos="1860" w:val="left" w:leader="none"/>
          <w:tab w:pos="1861" w:val="left" w:leader="none"/>
        </w:tabs>
        <w:spacing w:line="240" w:lineRule="auto" w:before="34" w:after="0"/>
        <w:ind w:left="1860" w:right="0" w:hanging="721"/>
        <w:jc w:val="left"/>
        <w:rPr>
          <w:sz w:val="18"/>
        </w:rPr>
      </w:pPr>
      <w:r>
        <w:rPr>
          <w:sz w:val="18"/>
        </w:rPr>
        <w:t>No</w:t>
      </w:r>
    </w:p>
    <w:p>
      <w:pPr>
        <w:pStyle w:val="ListParagraph"/>
        <w:numPr>
          <w:ilvl w:val="0"/>
          <w:numId w:val="120"/>
        </w:numPr>
        <w:tabs>
          <w:tab w:pos="1860" w:val="left" w:leader="none"/>
          <w:tab w:pos="1861" w:val="left" w:leader="none"/>
        </w:tabs>
        <w:spacing w:line="240" w:lineRule="auto" w:before="33" w:after="0"/>
        <w:ind w:left="1860" w:right="0" w:hanging="721"/>
        <w:jc w:val="left"/>
        <w:rPr>
          <w:sz w:val="18"/>
        </w:rPr>
      </w:pPr>
      <w:r>
        <w:rPr>
          <w:sz w:val="18"/>
        </w:rPr>
        <w:t>(Don’t</w:t>
      </w:r>
      <w:r>
        <w:rPr>
          <w:spacing w:val="-4"/>
          <w:sz w:val="18"/>
        </w:rPr>
        <w:t> </w:t>
      </w:r>
      <w:r>
        <w:rPr>
          <w:sz w:val="18"/>
        </w:rPr>
        <w:t>know</w:t>
      </w:r>
      <w:r>
        <w:rPr>
          <w:spacing w:val="-3"/>
          <w:sz w:val="18"/>
        </w:rPr>
        <w:t> </w:t>
      </w:r>
      <w:r>
        <w:rPr>
          <w:sz w:val="18"/>
        </w:rPr>
        <w:t>–</w:t>
      </w:r>
      <w:r>
        <w:rPr>
          <w:spacing w:val="-2"/>
          <w:sz w:val="18"/>
        </w:rPr>
        <w:t> </w:t>
      </w:r>
      <w:r>
        <w:rPr>
          <w:sz w:val="18"/>
        </w:rPr>
        <w:t>USE</w:t>
      </w:r>
      <w:r>
        <w:rPr>
          <w:spacing w:val="-3"/>
          <w:sz w:val="18"/>
        </w:rPr>
        <w:t> </w:t>
      </w:r>
      <w:r>
        <w:rPr>
          <w:sz w:val="18"/>
        </w:rPr>
        <w:t>ONLY</w:t>
      </w:r>
      <w:r>
        <w:rPr>
          <w:spacing w:val="-1"/>
          <w:sz w:val="18"/>
        </w:rPr>
        <w:t> </w:t>
      </w:r>
      <w:r>
        <w:rPr>
          <w:sz w:val="18"/>
        </w:rPr>
        <w:t>AFTER</w:t>
      </w:r>
      <w:r>
        <w:rPr>
          <w:spacing w:val="-1"/>
          <w:sz w:val="18"/>
        </w:rPr>
        <w:t> </w:t>
      </w:r>
      <w:r>
        <w:rPr>
          <w:sz w:val="18"/>
        </w:rPr>
        <w:t>READING</w:t>
      </w:r>
      <w:r>
        <w:rPr>
          <w:spacing w:val="-3"/>
          <w:sz w:val="18"/>
        </w:rPr>
        <w:t> </w:t>
      </w:r>
      <w:r>
        <w:rPr>
          <w:sz w:val="18"/>
        </w:rPr>
        <w:t>DETAILS)</w:t>
      </w:r>
    </w:p>
    <w:p>
      <w:pPr>
        <w:pStyle w:val="ListParagraph"/>
        <w:numPr>
          <w:ilvl w:val="0"/>
          <w:numId w:val="120"/>
        </w:numPr>
        <w:tabs>
          <w:tab w:pos="1860" w:val="left" w:leader="none"/>
          <w:tab w:pos="1861" w:val="left" w:leader="none"/>
        </w:tabs>
        <w:spacing w:line="240" w:lineRule="auto" w:before="32" w:after="0"/>
        <w:ind w:left="1860" w:right="0" w:hanging="721"/>
        <w:jc w:val="left"/>
        <w:rPr>
          <w:sz w:val="18"/>
        </w:rPr>
      </w:pPr>
      <w:r>
        <w:rPr>
          <w:sz w:val="18"/>
        </w:rPr>
        <w:t>(Refused)</w:t>
      </w:r>
    </w:p>
    <w:p>
      <w:pPr>
        <w:spacing w:after="0" w:line="240" w:lineRule="auto"/>
        <w:jc w:val="left"/>
        <w:rPr>
          <w:sz w:val="18"/>
        </w:rPr>
        <w:sectPr>
          <w:pgSz w:w="11910" w:h="16840"/>
          <w:pgMar w:header="0" w:footer="948" w:top="860" w:bottom="1140" w:left="300" w:right="0"/>
        </w:sectPr>
      </w:pPr>
    </w:p>
    <w:p>
      <w:pPr>
        <w:spacing w:before="75"/>
        <w:ind w:left="420" w:right="0" w:firstLine="0"/>
        <w:jc w:val="left"/>
        <w:rPr>
          <w:b/>
          <w:sz w:val="18"/>
        </w:rPr>
      </w:pPr>
      <w:r>
        <w:rPr>
          <w:b/>
          <w:sz w:val="18"/>
        </w:rPr>
        <w:t>MODULE</w:t>
      </w:r>
      <w:r>
        <w:rPr>
          <w:b/>
          <w:spacing w:val="-2"/>
          <w:sz w:val="18"/>
        </w:rPr>
        <w:t> </w:t>
      </w:r>
      <w:r>
        <w:rPr>
          <w:b/>
          <w:sz w:val="18"/>
        </w:rPr>
        <w:t>B</w:t>
      </w:r>
      <w:r>
        <w:rPr>
          <w:b/>
          <w:spacing w:val="-4"/>
          <w:sz w:val="18"/>
        </w:rPr>
        <w:t> </w:t>
      </w:r>
      <w:r>
        <w:rPr>
          <w:b/>
          <w:sz w:val="18"/>
        </w:rPr>
        <w:t>– Health</w:t>
      </w:r>
      <w:r>
        <w:rPr>
          <w:b/>
          <w:spacing w:val="-2"/>
          <w:sz w:val="18"/>
        </w:rPr>
        <w:t> </w:t>
      </w:r>
      <w:r>
        <w:rPr>
          <w:b/>
          <w:sz w:val="18"/>
        </w:rPr>
        <w:t>Care</w:t>
      </w:r>
      <w:r>
        <w:rPr>
          <w:b/>
          <w:spacing w:val="-2"/>
          <w:sz w:val="18"/>
        </w:rPr>
        <w:t> </w:t>
      </w:r>
      <w:r>
        <w:rPr>
          <w:b/>
          <w:sz w:val="18"/>
        </w:rPr>
        <w:t>Homes</w:t>
      </w:r>
      <w:r>
        <w:rPr>
          <w:b/>
          <w:spacing w:val="-1"/>
          <w:sz w:val="18"/>
        </w:rPr>
        <w:t> </w:t>
      </w:r>
      <w:r>
        <w:rPr>
          <w:b/>
          <w:sz w:val="18"/>
        </w:rPr>
        <w:t>questions</w:t>
      </w:r>
    </w:p>
    <w:p>
      <w:pPr>
        <w:pStyle w:val="BodyText"/>
        <w:rPr>
          <w:b/>
          <w:sz w:val="19"/>
        </w:rPr>
      </w:pPr>
    </w:p>
    <w:p>
      <w:pPr>
        <w:spacing w:before="0"/>
        <w:ind w:left="420" w:right="0" w:firstLine="0"/>
        <w:jc w:val="left"/>
        <w:rPr>
          <w:sz w:val="18"/>
        </w:rPr>
      </w:pPr>
      <w:r>
        <w:rPr>
          <w:sz w:val="18"/>
        </w:rPr>
        <w:t>Introductory</w:t>
      </w:r>
      <w:r>
        <w:rPr>
          <w:spacing w:val="-6"/>
          <w:sz w:val="18"/>
        </w:rPr>
        <w:t> </w:t>
      </w:r>
      <w:r>
        <w:rPr>
          <w:sz w:val="18"/>
        </w:rPr>
        <w:t>statement</w:t>
      </w:r>
    </w:p>
    <w:p>
      <w:pPr>
        <w:pStyle w:val="BodyText"/>
        <w:spacing w:before="1"/>
        <w:rPr>
          <w:sz w:val="19"/>
        </w:rPr>
      </w:pPr>
    </w:p>
    <w:p>
      <w:pPr>
        <w:spacing w:line="276" w:lineRule="auto" w:before="0"/>
        <w:ind w:left="420" w:right="798" w:firstLine="0"/>
        <w:jc w:val="left"/>
        <w:rPr>
          <w:sz w:val="18"/>
        </w:rPr>
      </w:pPr>
      <w:r>
        <w:rPr>
          <w:sz w:val="18"/>
        </w:rPr>
        <w:t>The following questions are about your experiences with your GP, or staff at &lt;practice&gt;, &lt;&lt;</w:t>
      </w:r>
      <w:r>
        <w:rPr>
          <w:b/>
          <w:sz w:val="18"/>
        </w:rPr>
        <w:t>Interview 1 only: </w:t>
      </w:r>
      <w:r>
        <w:rPr>
          <w:sz w:val="18"/>
        </w:rPr>
        <w:t>prior to</w:t>
      </w:r>
      <w:r>
        <w:rPr>
          <w:spacing w:val="1"/>
          <w:sz w:val="18"/>
        </w:rPr>
        <w:t> </w:t>
      </w:r>
      <w:r>
        <w:rPr>
          <w:sz w:val="18"/>
        </w:rPr>
        <w:t>enrolling</w:t>
      </w:r>
      <w:r>
        <w:rPr>
          <w:spacing w:val="-3"/>
          <w:sz w:val="18"/>
        </w:rPr>
        <w:t> </w:t>
      </w:r>
      <w:r>
        <w:rPr>
          <w:sz w:val="18"/>
        </w:rPr>
        <w:t>in the</w:t>
      </w:r>
      <w:r>
        <w:rPr>
          <w:spacing w:val="-1"/>
          <w:sz w:val="18"/>
        </w:rPr>
        <w:t> </w:t>
      </w:r>
      <w:r>
        <w:rPr>
          <w:sz w:val="18"/>
        </w:rPr>
        <w:t>Health Care</w:t>
      </w:r>
      <w:r>
        <w:rPr>
          <w:spacing w:val="-1"/>
          <w:sz w:val="18"/>
        </w:rPr>
        <w:t> </w:t>
      </w:r>
      <w:r>
        <w:rPr>
          <w:sz w:val="18"/>
        </w:rPr>
        <w:t>Homes</w:t>
      </w:r>
      <w:r>
        <w:rPr>
          <w:spacing w:val="-1"/>
          <w:sz w:val="18"/>
        </w:rPr>
        <w:t> </w:t>
      </w:r>
      <w:r>
        <w:rPr>
          <w:sz w:val="18"/>
        </w:rPr>
        <w:t>program&gt;&gt;</w:t>
      </w:r>
      <w:r>
        <w:rPr>
          <w:spacing w:val="-1"/>
          <w:sz w:val="18"/>
        </w:rPr>
        <w:t> </w:t>
      </w:r>
      <w:r>
        <w:rPr>
          <w:sz w:val="18"/>
        </w:rPr>
        <w:t>&lt;&lt;</w:t>
      </w:r>
      <w:r>
        <w:rPr>
          <w:spacing w:val="-2"/>
          <w:sz w:val="18"/>
        </w:rPr>
        <w:t> </w:t>
      </w:r>
      <w:r>
        <w:rPr>
          <w:sz w:val="18"/>
        </w:rPr>
        <w:t>Interviews 2</w:t>
      </w:r>
      <w:r>
        <w:rPr>
          <w:spacing w:val="-2"/>
          <w:sz w:val="18"/>
        </w:rPr>
        <w:t> </w:t>
      </w:r>
      <w:r>
        <w:rPr>
          <w:sz w:val="18"/>
        </w:rPr>
        <w:t>and 3:</w:t>
      </w:r>
      <w:r>
        <w:rPr>
          <w:spacing w:val="-3"/>
          <w:sz w:val="18"/>
        </w:rPr>
        <w:t> </w:t>
      </w:r>
      <w:r>
        <w:rPr>
          <w:sz w:val="18"/>
        </w:rPr>
        <w:t>over</w:t>
      </w:r>
      <w:r>
        <w:rPr>
          <w:spacing w:val="1"/>
          <w:sz w:val="18"/>
        </w:rPr>
        <w:t> </w:t>
      </w:r>
      <w:r>
        <w:rPr>
          <w:sz w:val="18"/>
        </w:rPr>
        <w:t>the last</w:t>
      </w:r>
      <w:r>
        <w:rPr>
          <w:spacing w:val="-1"/>
          <w:sz w:val="18"/>
        </w:rPr>
        <w:t> </w:t>
      </w:r>
      <w:r>
        <w:rPr>
          <w:sz w:val="18"/>
        </w:rPr>
        <w:t>6</w:t>
      </w:r>
      <w:r>
        <w:rPr>
          <w:spacing w:val="-2"/>
          <w:sz w:val="18"/>
        </w:rPr>
        <w:t> </w:t>
      </w:r>
      <w:r>
        <w:rPr>
          <w:sz w:val="18"/>
        </w:rPr>
        <w:t>months&gt;&gt;.</w:t>
      </w:r>
    </w:p>
    <w:p>
      <w:pPr>
        <w:pStyle w:val="BodyText"/>
        <w:spacing w:before="5"/>
        <w:rPr>
          <w:sz w:val="14"/>
        </w:rPr>
      </w:pPr>
      <w:r>
        <w:rPr/>
        <w:pict>
          <v:group style="position:absolute;margin-left:36pt;margin-top:10.075518pt;width:523.4500pt;height:164.35pt;mso-position-horizontal-relative:page;mso-position-vertical-relative:paragraph;z-index:-15272960;mso-wrap-distance-left:0;mso-wrap-distance-right:0" id="docshapegroup295" coordorigin="720,202" coordsize="10469,3287">
            <v:shape style="position:absolute;left:720;top:201;width:10469;height:3287" id="docshape296" coordorigin="720,202" coordsize="10469,3287" path="m730,211l720,211,720,3478,730,3478,730,211xm11188,3478l11179,3478,730,3478,720,3478,720,3488,730,3488,11179,3488,11188,3488,11188,3478xm11188,211l11179,211,11179,3478,11188,3478,11188,211xm11188,202l11179,202,730,202,720,202,720,211,730,211,11179,211,11188,211,11188,202xe" filled="true" fillcolor="#bebebe" stroked="false">
              <v:path arrowok="t"/>
              <v:fill type="solid"/>
            </v:shape>
            <v:shape style="position:absolute;left:832;top:210;width:959;height:221" type="#_x0000_t202" id="docshape297" filled="false" stroked="false">
              <v:textbox inset="0,0,0,0">
                <w:txbxContent>
                  <w:p>
                    <w:pPr>
                      <w:spacing w:before="0"/>
                      <w:ind w:left="0" w:right="0" w:firstLine="0"/>
                      <w:jc w:val="left"/>
                      <w:rPr>
                        <w:b/>
                        <w:sz w:val="18"/>
                      </w:rPr>
                    </w:pPr>
                    <w:r>
                      <w:rPr>
                        <w:b/>
                        <w:sz w:val="18"/>
                      </w:rPr>
                      <w:t>Interview</w:t>
                    </w:r>
                    <w:r>
                      <w:rPr>
                        <w:b/>
                        <w:spacing w:val="-5"/>
                        <w:sz w:val="18"/>
                      </w:rPr>
                      <w:t> </w:t>
                    </w:r>
                    <w:r>
                      <w:rPr>
                        <w:b/>
                        <w:sz w:val="18"/>
                      </w:rPr>
                      <w:t>1</w:t>
                    </w:r>
                  </w:p>
                </w:txbxContent>
              </v:textbox>
              <w10:wrap type="none"/>
            </v:shape>
            <v:shape style="position:absolute;left:832;top:550;width:275;height:221" type="#_x0000_t202" id="docshape298" filled="false" stroked="false">
              <v:textbox inset="0,0,0,0">
                <w:txbxContent>
                  <w:p>
                    <w:pPr>
                      <w:spacing w:before="0"/>
                      <w:ind w:left="0" w:right="0" w:firstLine="0"/>
                      <w:jc w:val="left"/>
                      <w:rPr>
                        <w:sz w:val="18"/>
                      </w:rPr>
                    </w:pPr>
                    <w:r>
                      <w:rPr>
                        <w:sz w:val="18"/>
                      </w:rPr>
                      <w:t>Q7</w:t>
                    </w:r>
                  </w:p>
                </w:txbxContent>
              </v:textbox>
              <w10:wrap type="none"/>
            </v:shape>
            <v:shape style="position:absolute;left:1541;top:550;width:9043;height:473" type="#_x0000_t202" id="docshape299" filled="false" stroked="false">
              <v:textbox inset="0,0,0,0">
                <w:txbxContent>
                  <w:p>
                    <w:pPr>
                      <w:spacing w:before="0"/>
                      <w:ind w:left="0" w:right="0" w:firstLine="0"/>
                      <w:jc w:val="left"/>
                      <w:rPr>
                        <w:sz w:val="18"/>
                      </w:rPr>
                    </w:pPr>
                    <w:r>
                      <w:rPr>
                        <w:sz w:val="18"/>
                      </w:rPr>
                      <w:t>Before</w:t>
                    </w:r>
                    <w:r>
                      <w:rPr>
                        <w:spacing w:val="-4"/>
                        <w:sz w:val="18"/>
                      </w:rPr>
                      <w:t> </w:t>
                    </w:r>
                    <w:r>
                      <w:rPr>
                        <w:sz w:val="18"/>
                      </w:rPr>
                      <w:t>enrolling</w:t>
                    </w:r>
                    <w:r>
                      <w:rPr>
                        <w:spacing w:val="-5"/>
                        <w:sz w:val="18"/>
                      </w:rPr>
                      <w:t> </w:t>
                    </w:r>
                    <w:r>
                      <w:rPr>
                        <w:sz w:val="18"/>
                      </w:rPr>
                      <w:t>in</w:t>
                    </w:r>
                    <w:r>
                      <w:rPr>
                        <w:spacing w:val="-2"/>
                        <w:sz w:val="18"/>
                      </w:rPr>
                      <w:t> </w:t>
                    </w:r>
                    <w:r>
                      <w:rPr>
                        <w:sz w:val="18"/>
                      </w:rPr>
                      <w:t>the</w:t>
                    </w:r>
                    <w:r>
                      <w:rPr>
                        <w:spacing w:val="-1"/>
                        <w:sz w:val="18"/>
                      </w:rPr>
                      <w:t> </w:t>
                    </w:r>
                    <w:r>
                      <w:rPr>
                        <w:sz w:val="18"/>
                      </w:rPr>
                      <w:t>Health</w:t>
                    </w:r>
                    <w:r>
                      <w:rPr>
                        <w:spacing w:val="-1"/>
                        <w:sz w:val="18"/>
                      </w:rPr>
                      <w:t> </w:t>
                    </w:r>
                    <w:r>
                      <w:rPr>
                        <w:sz w:val="18"/>
                      </w:rPr>
                      <w:t>Care</w:t>
                    </w:r>
                    <w:r>
                      <w:rPr>
                        <w:spacing w:val="-1"/>
                        <w:sz w:val="18"/>
                      </w:rPr>
                      <w:t> </w:t>
                    </w:r>
                    <w:r>
                      <w:rPr>
                        <w:sz w:val="18"/>
                      </w:rPr>
                      <w:t>Homes</w:t>
                    </w:r>
                    <w:r>
                      <w:rPr>
                        <w:spacing w:val="-3"/>
                        <w:sz w:val="18"/>
                      </w:rPr>
                      <w:t> </w:t>
                    </w:r>
                    <w:r>
                      <w:rPr>
                        <w:sz w:val="18"/>
                      </w:rPr>
                      <w:t>program,</w:t>
                    </w:r>
                    <w:r>
                      <w:rPr>
                        <w:spacing w:val="-1"/>
                        <w:sz w:val="18"/>
                      </w:rPr>
                      <w:t> </w:t>
                    </w:r>
                    <w:r>
                      <w:rPr>
                        <w:sz w:val="18"/>
                      </w:rPr>
                      <w:t>did</w:t>
                    </w:r>
                    <w:r>
                      <w:rPr>
                        <w:spacing w:val="-3"/>
                        <w:sz w:val="18"/>
                      </w:rPr>
                      <w:t> </w:t>
                    </w:r>
                    <w:r>
                      <w:rPr>
                        <w:sz w:val="18"/>
                      </w:rPr>
                      <w:t>you</w:t>
                    </w:r>
                    <w:r>
                      <w:rPr>
                        <w:spacing w:val="-1"/>
                        <w:sz w:val="18"/>
                      </w:rPr>
                      <w:t> </w:t>
                    </w:r>
                    <w:r>
                      <w:rPr>
                        <w:sz w:val="18"/>
                      </w:rPr>
                      <w:t>have</w:t>
                    </w:r>
                    <w:r>
                      <w:rPr>
                        <w:spacing w:val="-2"/>
                        <w:sz w:val="18"/>
                      </w:rPr>
                      <w:t> </w:t>
                    </w:r>
                    <w:r>
                      <w:rPr>
                        <w:sz w:val="18"/>
                      </w:rPr>
                      <w:t>a</w:t>
                    </w:r>
                    <w:r>
                      <w:rPr>
                        <w:spacing w:val="-2"/>
                        <w:sz w:val="18"/>
                      </w:rPr>
                      <w:t> </w:t>
                    </w:r>
                    <w:r>
                      <w:rPr>
                        <w:sz w:val="18"/>
                      </w:rPr>
                      <w:t>treatment</w:t>
                    </w:r>
                    <w:r>
                      <w:rPr>
                        <w:spacing w:val="-3"/>
                        <w:sz w:val="18"/>
                      </w:rPr>
                      <w:t> </w:t>
                    </w:r>
                    <w:r>
                      <w:rPr>
                        <w:sz w:val="18"/>
                      </w:rPr>
                      <w:t>plan</w:t>
                    </w:r>
                    <w:r>
                      <w:rPr>
                        <w:spacing w:val="1"/>
                        <w:sz w:val="18"/>
                      </w:rPr>
                      <w:t> </w:t>
                    </w:r>
                    <w:r>
                      <w:rPr>
                        <w:sz w:val="18"/>
                      </w:rPr>
                      <w:t>or</w:t>
                    </w:r>
                    <w:r>
                      <w:rPr>
                        <w:spacing w:val="-1"/>
                        <w:sz w:val="18"/>
                      </w:rPr>
                      <w:t> </w:t>
                    </w:r>
                    <w:r>
                      <w:rPr>
                        <w:sz w:val="18"/>
                      </w:rPr>
                      <w:t>shared</w:t>
                    </w:r>
                    <w:r>
                      <w:rPr>
                        <w:spacing w:val="-5"/>
                        <w:sz w:val="18"/>
                      </w:rPr>
                      <w:t> </w:t>
                    </w:r>
                    <w:r>
                      <w:rPr>
                        <w:sz w:val="18"/>
                      </w:rPr>
                      <w:t>care</w:t>
                    </w:r>
                    <w:r>
                      <w:rPr>
                        <w:spacing w:val="-2"/>
                        <w:sz w:val="18"/>
                      </w:rPr>
                      <w:t> </w:t>
                    </w:r>
                    <w:r>
                      <w:rPr>
                        <w:sz w:val="18"/>
                      </w:rPr>
                      <w:t>plan</w:t>
                    </w:r>
                  </w:p>
                  <w:p>
                    <w:pPr>
                      <w:spacing w:before="31"/>
                      <w:ind w:left="0" w:right="0" w:firstLine="0"/>
                      <w:jc w:val="left"/>
                      <w:rPr>
                        <w:sz w:val="18"/>
                      </w:rPr>
                    </w:pPr>
                    <w:r>
                      <w:rPr>
                        <w:sz w:val="18"/>
                      </w:rPr>
                      <w:t>which</w:t>
                    </w:r>
                    <w:r>
                      <w:rPr>
                        <w:spacing w:val="-2"/>
                        <w:sz w:val="18"/>
                      </w:rPr>
                      <w:t> </w:t>
                    </w:r>
                    <w:r>
                      <w:rPr>
                        <w:sz w:val="18"/>
                      </w:rPr>
                      <w:t>your</w:t>
                    </w:r>
                    <w:r>
                      <w:rPr>
                        <w:spacing w:val="-4"/>
                        <w:sz w:val="18"/>
                      </w:rPr>
                      <w:t> </w:t>
                    </w:r>
                    <w:r>
                      <w:rPr>
                        <w:sz w:val="18"/>
                      </w:rPr>
                      <w:t>GP</w:t>
                    </w:r>
                    <w:r>
                      <w:rPr>
                        <w:spacing w:val="-3"/>
                        <w:sz w:val="18"/>
                      </w:rPr>
                      <w:t> </w:t>
                    </w:r>
                    <w:r>
                      <w:rPr>
                        <w:sz w:val="18"/>
                      </w:rPr>
                      <w:t>or</w:t>
                    </w:r>
                    <w:r>
                      <w:rPr>
                        <w:spacing w:val="-2"/>
                        <w:sz w:val="18"/>
                      </w:rPr>
                      <w:t> </w:t>
                    </w:r>
                    <w:r>
                      <w:rPr>
                        <w:sz w:val="18"/>
                      </w:rPr>
                      <w:t>staff</w:t>
                    </w:r>
                    <w:r>
                      <w:rPr>
                        <w:spacing w:val="-2"/>
                        <w:sz w:val="18"/>
                      </w:rPr>
                      <w:t> </w:t>
                    </w:r>
                    <w:r>
                      <w:rPr>
                        <w:sz w:val="18"/>
                      </w:rPr>
                      <w:t>at</w:t>
                    </w:r>
                    <w:r>
                      <w:rPr>
                        <w:spacing w:val="-4"/>
                        <w:sz w:val="18"/>
                      </w:rPr>
                      <w:t> </w:t>
                    </w:r>
                    <w:r>
                      <w:rPr>
                        <w:sz w:val="18"/>
                      </w:rPr>
                      <w:t>&lt;practice&gt;</w:t>
                    </w:r>
                    <w:r>
                      <w:rPr>
                        <w:spacing w:val="-1"/>
                        <w:sz w:val="18"/>
                      </w:rPr>
                      <w:t> </w:t>
                    </w:r>
                    <w:r>
                      <w:rPr>
                        <w:sz w:val="18"/>
                      </w:rPr>
                      <w:t>had</w:t>
                    </w:r>
                    <w:r>
                      <w:rPr>
                        <w:spacing w:val="-4"/>
                        <w:sz w:val="18"/>
                      </w:rPr>
                      <w:t> </w:t>
                    </w:r>
                    <w:r>
                      <w:rPr>
                        <w:sz w:val="18"/>
                      </w:rPr>
                      <w:t>developed</w:t>
                    </w:r>
                    <w:r>
                      <w:rPr>
                        <w:spacing w:val="-3"/>
                        <w:sz w:val="18"/>
                      </w:rPr>
                      <w:t> </w:t>
                    </w:r>
                    <w:r>
                      <w:rPr>
                        <w:sz w:val="18"/>
                      </w:rPr>
                      <w:t>with</w:t>
                    </w:r>
                    <w:r>
                      <w:rPr>
                        <w:spacing w:val="-1"/>
                        <w:sz w:val="18"/>
                      </w:rPr>
                      <w:t> </w:t>
                    </w:r>
                    <w:r>
                      <w:rPr>
                        <w:sz w:val="18"/>
                      </w:rPr>
                      <w:t>you?</w:t>
                    </w:r>
                  </w:p>
                </w:txbxContent>
              </v:textbox>
              <w10:wrap type="none"/>
            </v:shape>
            <v:shape style="position:absolute;left:832;top:1258;width:10178;height:982" type="#_x0000_t202" id="docshape300" filled="false" stroked="false">
              <v:textbox inset="0,0,0,0">
                <w:txbxContent>
                  <w:p>
                    <w:pPr>
                      <w:spacing w:line="276" w:lineRule="auto" w:before="0"/>
                      <w:ind w:left="0" w:right="0" w:firstLine="0"/>
                      <w:jc w:val="left"/>
                      <w:rPr>
                        <w:sz w:val="18"/>
                      </w:rPr>
                    </w:pPr>
                    <w:r>
                      <w:rPr>
                        <w:b/>
                        <w:sz w:val="18"/>
                      </w:rPr>
                      <w:t>If participant unsure please read: </w:t>
                    </w:r>
                    <w:r>
                      <w:rPr>
                        <w:sz w:val="18"/>
                      </w:rPr>
                      <w:t>A treatment plan or shared care plan is a document that brings together all the</w:t>
                    </w:r>
                    <w:r>
                      <w:rPr>
                        <w:spacing w:val="1"/>
                        <w:sz w:val="18"/>
                      </w:rPr>
                      <w:t> </w:t>
                    </w:r>
                    <w:r>
                      <w:rPr>
                        <w:sz w:val="18"/>
                      </w:rPr>
                      <w:t>relevant health and medical information related to your long-term health condition(s) and ongoing treatment.</w:t>
                    </w:r>
                    <w:r>
                      <w:rPr>
                        <w:spacing w:val="1"/>
                        <w:sz w:val="18"/>
                      </w:rPr>
                      <w:t> </w:t>
                    </w:r>
                    <w:r>
                      <w:rPr>
                        <w:sz w:val="18"/>
                      </w:rPr>
                      <w:t>You</w:t>
                    </w:r>
                    <w:r>
                      <w:rPr>
                        <w:spacing w:val="1"/>
                        <w:sz w:val="18"/>
                      </w:rPr>
                      <w:t> </w:t>
                    </w:r>
                    <w:r>
                      <w:rPr>
                        <w:sz w:val="18"/>
                      </w:rPr>
                      <w:t>can</w:t>
                    </w:r>
                    <w:r>
                      <w:rPr>
                        <w:spacing w:val="-2"/>
                        <w:sz w:val="18"/>
                      </w:rPr>
                      <w:t> </w:t>
                    </w:r>
                    <w:r>
                      <w:rPr>
                        <w:sz w:val="18"/>
                      </w:rPr>
                      <w:t>take</w:t>
                    </w:r>
                    <w:r>
                      <w:rPr>
                        <w:spacing w:val="-4"/>
                        <w:sz w:val="18"/>
                      </w:rPr>
                      <w:t> </w:t>
                    </w:r>
                    <w:r>
                      <w:rPr>
                        <w:sz w:val="18"/>
                      </w:rPr>
                      <w:t>it</w:t>
                    </w:r>
                    <w:r>
                      <w:rPr>
                        <w:spacing w:val="-3"/>
                        <w:sz w:val="18"/>
                      </w:rPr>
                      <w:t> </w:t>
                    </w:r>
                    <w:r>
                      <w:rPr>
                        <w:sz w:val="18"/>
                      </w:rPr>
                      <w:t>to</w:t>
                    </w:r>
                    <w:r>
                      <w:rPr>
                        <w:spacing w:val="-3"/>
                        <w:sz w:val="18"/>
                      </w:rPr>
                      <w:t> </w:t>
                    </w:r>
                    <w:r>
                      <w:rPr>
                        <w:sz w:val="18"/>
                      </w:rPr>
                      <w:t>all</w:t>
                    </w:r>
                    <w:r>
                      <w:rPr>
                        <w:spacing w:val="-2"/>
                        <w:sz w:val="18"/>
                      </w:rPr>
                      <w:t> </w:t>
                    </w:r>
                    <w:r>
                      <w:rPr>
                        <w:sz w:val="18"/>
                      </w:rPr>
                      <w:t>your</w:t>
                    </w:r>
                    <w:r>
                      <w:rPr>
                        <w:spacing w:val="-2"/>
                        <w:sz w:val="18"/>
                      </w:rPr>
                      <w:t> </w:t>
                    </w:r>
                    <w:r>
                      <w:rPr>
                        <w:sz w:val="18"/>
                      </w:rPr>
                      <w:t>appointments</w:t>
                    </w:r>
                    <w:r>
                      <w:rPr>
                        <w:spacing w:val="-2"/>
                        <w:sz w:val="18"/>
                      </w:rPr>
                      <w:t> </w:t>
                    </w:r>
                    <w:r>
                      <w:rPr>
                        <w:sz w:val="18"/>
                      </w:rPr>
                      <w:t>so</w:t>
                    </w:r>
                    <w:r>
                      <w:rPr>
                        <w:spacing w:val="-2"/>
                        <w:sz w:val="18"/>
                      </w:rPr>
                      <w:t> </w:t>
                    </w:r>
                    <w:r>
                      <w:rPr>
                        <w:sz w:val="18"/>
                      </w:rPr>
                      <w:t>that</w:t>
                    </w:r>
                    <w:r>
                      <w:rPr>
                        <w:spacing w:val="-4"/>
                        <w:sz w:val="18"/>
                      </w:rPr>
                      <w:t> </w:t>
                    </w:r>
                    <w:r>
                      <w:rPr>
                        <w:sz w:val="18"/>
                      </w:rPr>
                      <w:t>all</w:t>
                    </w:r>
                    <w:r>
                      <w:rPr>
                        <w:spacing w:val="-1"/>
                        <w:sz w:val="18"/>
                      </w:rPr>
                      <w:t> </w:t>
                    </w:r>
                    <w:r>
                      <w:rPr>
                        <w:sz w:val="18"/>
                      </w:rPr>
                      <w:t>medical</w:t>
                    </w:r>
                    <w:r>
                      <w:rPr>
                        <w:spacing w:val="-1"/>
                        <w:sz w:val="18"/>
                      </w:rPr>
                      <w:t> </w:t>
                    </w:r>
                    <w:r>
                      <w:rPr>
                        <w:sz w:val="18"/>
                      </w:rPr>
                      <w:t>staff</w:t>
                    </w:r>
                    <w:r>
                      <w:rPr>
                        <w:spacing w:val="-2"/>
                        <w:sz w:val="18"/>
                      </w:rPr>
                      <w:t> </w:t>
                    </w:r>
                    <w:r>
                      <w:rPr>
                        <w:sz w:val="18"/>
                      </w:rPr>
                      <w:t>have</w:t>
                    </w:r>
                    <w:r>
                      <w:rPr>
                        <w:spacing w:val="-2"/>
                        <w:sz w:val="18"/>
                      </w:rPr>
                      <w:t> </w:t>
                    </w:r>
                    <w:r>
                      <w:rPr>
                        <w:sz w:val="18"/>
                      </w:rPr>
                      <w:t>access</w:t>
                    </w:r>
                    <w:r>
                      <w:rPr>
                        <w:spacing w:val="-2"/>
                        <w:sz w:val="18"/>
                      </w:rPr>
                      <w:t> </w:t>
                    </w:r>
                    <w:r>
                      <w:rPr>
                        <w:sz w:val="18"/>
                      </w:rPr>
                      <w:t>to</w:t>
                    </w:r>
                    <w:r>
                      <w:rPr>
                        <w:spacing w:val="-3"/>
                        <w:sz w:val="18"/>
                      </w:rPr>
                      <w:t> </w:t>
                    </w:r>
                    <w:r>
                      <w:rPr>
                        <w:sz w:val="18"/>
                      </w:rPr>
                      <w:t>the</w:t>
                    </w:r>
                    <w:r>
                      <w:rPr>
                        <w:spacing w:val="-1"/>
                        <w:sz w:val="18"/>
                      </w:rPr>
                      <w:t> </w:t>
                    </w:r>
                    <w:r>
                      <w:rPr>
                        <w:sz w:val="18"/>
                      </w:rPr>
                      <w:t>same</w:t>
                    </w:r>
                    <w:r>
                      <w:rPr>
                        <w:spacing w:val="-2"/>
                        <w:sz w:val="18"/>
                      </w:rPr>
                      <w:t> </w:t>
                    </w:r>
                    <w:r>
                      <w:rPr>
                        <w:sz w:val="18"/>
                      </w:rPr>
                      <w:t>information</w:t>
                    </w:r>
                    <w:r>
                      <w:rPr>
                        <w:spacing w:val="-1"/>
                        <w:sz w:val="18"/>
                      </w:rPr>
                      <w:t> </w:t>
                    </w:r>
                    <w:r>
                      <w:rPr>
                        <w:sz w:val="18"/>
                      </w:rPr>
                      <w:t>and</w:t>
                    </w:r>
                    <w:r>
                      <w:rPr>
                        <w:spacing w:val="-3"/>
                        <w:sz w:val="18"/>
                      </w:rPr>
                      <w:t> </w:t>
                    </w:r>
                    <w:r>
                      <w:rPr>
                        <w:sz w:val="18"/>
                      </w:rPr>
                      <w:t>you</w:t>
                    </w:r>
                    <w:r>
                      <w:rPr>
                        <w:spacing w:val="-2"/>
                        <w:sz w:val="18"/>
                      </w:rPr>
                      <w:t> </w:t>
                    </w:r>
                    <w:r>
                      <w:rPr>
                        <w:sz w:val="18"/>
                      </w:rPr>
                      <w:t>can</w:t>
                    </w:r>
                    <w:r>
                      <w:rPr>
                        <w:spacing w:val="-2"/>
                        <w:sz w:val="18"/>
                      </w:rPr>
                      <w:t> </w:t>
                    </w:r>
                    <w:r>
                      <w:rPr>
                        <w:sz w:val="18"/>
                      </w:rPr>
                      <w:t>track</w:t>
                    </w:r>
                  </w:p>
                  <w:p>
                    <w:pPr>
                      <w:spacing w:line="220" w:lineRule="exact" w:before="0"/>
                      <w:ind w:left="0" w:right="0" w:firstLine="0"/>
                      <w:jc w:val="left"/>
                      <w:rPr>
                        <w:sz w:val="18"/>
                      </w:rPr>
                    </w:pPr>
                    <w:r>
                      <w:rPr>
                        <w:sz w:val="18"/>
                      </w:rPr>
                      <w:t>your</w:t>
                    </w:r>
                    <w:r>
                      <w:rPr>
                        <w:spacing w:val="-3"/>
                        <w:sz w:val="18"/>
                      </w:rPr>
                      <w:t> </w:t>
                    </w:r>
                    <w:r>
                      <w:rPr>
                        <w:sz w:val="18"/>
                      </w:rPr>
                      <w:t>progress</w:t>
                    </w:r>
                    <w:r>
                      <w:rPr>
                        <w:spacing w:val="-3"/>
                        <w:sz w:val="18"/>
                      </w:rPr>
                      <w:t> </w:t>
                    </w:r>
                    <w:r>
                      <w:rPr>
                        <w:sz w:val="18"/>
                      </w:rPr>
                      <w:t>against</w:t>
                    </w:r>
                    <w:r>
                      <w:rPr>
                        <w:spacing w:val="-4"/>
                        <w:sz w:val="18"/>
                      </w:rPr>
                      <w:t> </w:t>
                    </w:r>
                    <w:r>
                      <w:rPr>
                        <w:sz w:val="18"/>
                      </w:rPr>
                      <w:t>the</w:t>
                    </w:r>
                    <w:r>
                      <w:rPr>
                        <w:spacing w:val="-2"/>
                        <w:sz w:val="18"/>
                      </w:rPr>
                      <w:t> </w:t>
                    </w:r>
                    <w:r>
                      <w:rPr>
                        <w:sz w:val="18"/>
                      </w:rPr>
                      <w:t>plan.</w:t>
                    </w:r>
                  </w:p>
                </w:txbxContent>
              </v:textbox>
              <w10:wrap type="none"/>
            </v:shape>
            <v:shape style="position:absolute;left:1553;top:2473;width:273;height:884" type="#_x0000_t202" id="docshape301" filled="false" stroked="false">
              <v:textbox inset="0,0,0,0">
                <w:txbxContent>
                  <w:p>
                    <w:pPr>
                      <w:spacing w:before="0"/>
                      <w:ind w:left="0" w:right="0" w:firstLine="0"/>
                      <w:jc w:val="left"/>
                      <w:rPr>
                        <w:sz w:val="18"/>
                      </w:rPr>
                    </w:pPr>
                    <w:r>
                      <w:rPr>
                        <w:sz w:val="18"/>
                      </w:rPr>
                      <w:t>1.</w:t>
                    </w:r>
                  </w:p>
                  <w:p>
                    <w:pPr>
                      <w:spacing w:before="0"/>
                      <w:ind w:left="0" w:right="0" w:firstLine="0"/>
                      <w:jc w:val="left"/>
                      <w:rPr>
                        <w:sz w:val="18"/>
                      </w:rPr>
                    </w:pPr>
                    <w:r>
                      <w:rPr>
                        <w:sz w:val="18"/>
                      </w:rPr>
                      <w:t>2.</w:t>
                    </w:r>
                  </w:p>
                  <w:p>
                    <w:pPr>
                      <w:spacing w:before="0"/>
                      <w:ind w:left="0" w:right="0" w:firstLine="0"/>
                      <w:jc w:val="left"/>
                      <w:rPr>
                        <w:sz w:val="18"/>
                      </w:rPr>
                    </w:pPr>
                    <w:r>
                      <w:rPr>
                        <w:sz w:val="18"/>
                      </w:rPr>
                      <w:t>98.</w:t>
                    </w:r>
                  </w:p>
                  <w:p>
                    <w:pPr>
                      <w:spacing w:before="0"/>
                      <w:ind w:left="0" w:right="0" w:firstLine="0"/>
                      <w:jc w:val="left"/>
                      <w:rPr>
                        <w:sz w:val="18"/>
                      </w:rPr>
                    </w:pPr>
                    <w:r>
                      <w:rPr>
                        <w:sz w:val="18"/>
                      </w:rPr>
                      <w:t>99.</w:t>
                    </w:r>
                  </w:p>
                </w:txbxContent>
              </v:textbox>
              <w10:wrap type="none"/>
            </v:shape>
            <v:shape style="position:absolute;left:2273;top:2473;width:4287;height:884" type="#_x0000_t202" id="docshape302" filled="false" stroked="false">
              <v:textbox inset="0,0,0,0">
                <w:txbxContent>
                  <w:p>
                    <w:pPr>
                      <w:spacing w:before="0"/>
                      <w:ind w:left="0" w:right="3976" w:firstLine="0"/>
                      <w:jc w:val="left"/>
                      <w:rPr>
                        <w:sz w:val="18"/>
                      </w:rPr>
                    </w:pPr>
                    <w:r>
                      <w:rPr>
                        <w:spacing w:val="-1"/>
                        <w:sz w:val="18"/>
                      </w:rPr>
                      <w:t>Yes</w:t>
                    </w:r>
                    <w:r>
                      <w:rPr>
                        <w:spacing w:val="-47"/>
                        <w:sz w:val="18"/>
                      </w:rPr>
                      <w:t> </w:t>
                    </w:r>
                    <w:r>
                      <w:rPr>
                        <w:sz w:val="18"/>
                      </w:rPr>
                      <w:t>No</w:t>
                    </w:r>
                  </w:p>
                  <w:p>
                    <w:pPr>
                      <w:spacing w:before="0"/>
                      <w:ind w:left="0" w:right="0" w:firstLine="0"/>
                      <w:jc w:val="left"/>
                      <w:rPr>
                        <w:sz w:val="18"/>
                      </w:rPr>
                    </w:pPr>
                    <w:r>
                      <w:rPr>
                        <w:sz w:val="18"/>
                      </w:rPr>
                      <w:t>(Don’t</w:t>
                    </w:r>
                    <w:r>
                      <w:rPr>
                        <w:spacing w:val="-4"/>
                        <w:sz w:val="18"/>
                      </w:rPr>
                      <w:t> </w:t>
                    </w:r>
                    <w:r>
                      <w:rPr>
                        <w:sz w:val="18"/>
                      </w:rPr>
                      <w:t>know</w:t>
                    </w:r>
                    <w:r>
                      <w:rPr>
                        <w:spacing w:val="-4"/>
                        <w:sz w:val="18"/>
                      </w:rPr>
                      <w:t> </w:t>
                    </w:r>
                    <w:r>
                      <w:rPr>
                        <w:sz w:val="18"/>
                      </w:rPr>
                      <w:t>–</w:t>
                    </w:r>
                    <w:r>
                      <w:rPr>
                        <w:spacing w:val="-1"/>
                        <w:sz w:val="18"/>
                      </w:rPr>
                      <w:t> </w:t>
                    </w:r>
                    <w:r>
                      <w:rPr>
                        <w:sz w:val="18"/>
                      </w:rPr>
                      <w:t>USE</w:t>
                    </w:r>
                    <w:r>
                      <w:rPr>
                        <w:spacing w:val="-3"/>
                        <w:sz w:val="18"/>
                      </w:rPr>
                      <w:t> </w:t>
                    </w:r>
                    <w:r>
                      <w:rPr>
                        <w:sz w:val="18"/>
                      </w:rPr>
                      <w:t>ONLY AFTER</w:t>
                    </w:r>
                    <w:r>
                      <w:rPr>
                        <w:spacing w:val="-2"/>
                        <w:sz w:val="18"/>
                      </w:rPr>
                      <w:t> </w:t>
                    </w:r>
                    <w:r>
                      <w:rPr>
                        <w:sz w:val="18"/>
                      </w:rPr>
                      <w:t>READING</w:t>
                    </w:r>
                    <w:r>
                      <w:rPr>
                        <w:spacing w:val="-3"/>
                        <w:sz w:val="18"/>
                      </w:rPr>
                      <w:t> </w:t>
                    </w:r>
                    <w:r>
                      <w:rPr>
                        <w:sz w:val="18"/>
                      </w:rPr>
                      <w:t>DETAILS)</w:t>
                    </w:r>
                  </w:p>
                  <w:p>
                    <w:pPr>
                      <w:spacing w:before="0"/>
                      <w:ind w:left="0" w:right="0" w:firstLine="0"/>
                      <w:jc w:val="left"/>
                      <w:rPr>
                        <w:sz w:val="18"/>
                      </w:rPr>
                    </w:pPr>
                    <w:r>
                      <w:rPr>
                        <w:sz w:val="18"/>
                      </w:rPr>
                      <w:t>(Refused)</w:t>
                    </w:r>
                  </w:p>
                </w:txbxContent>
              </v:textbox>
              <w10:wrap type="none"/>
            </v:shape>
            <w10:wrap type="topAndBottom"/>
          </v:group>
        </w:pict>
      </w:r>
    </w:p>
    <w:p>
      <w:pPr>
        <w:pStyle w:val="BodyText"/>
      </w:pPr>
    </w:p>
    <w:p>
      <w:pPr>
        <w:pStyle w:val="BodyText"/>
        <w:rPr>
          <w:sz w:val="15"/>
        </w:rPr>
      </w:pPr>
      <w:r>
        <w:rPr/>
        <w:pict>
          <v:group style="position:absolute;margin-left:36pt;margin-top:10.419278pt;width:523.4500pt;height:164.3pt;mso-position-horizontal-relative:page;mso-position-vertical-relative:paragraph;z-index:-15272448;mso-wrap-distance-left:0;mso-wrap-distance-right:0" id="docshapegroup303" coordorigin="720,208" coordsize="10469,3286">
            <v:shape style="position:absolute;left:720;top:208;width:10469;height:3286" id="docshape304" coordorigin="720,208" coordsize="10469,3286" path="m11188,208l11179,208,11179,218,11179,3485,730,3485,730,218,11179,218,11179,208,730,208,720,208,720,218,720,3485,720,3494,730,3494,11179,3494,11188,3494,11188,3485,11188,218,11188,208xe" filled="true" fillcolor="#bebebe" stroked="false">
              <v:path arrowok="t"/>
              <v:fill type="solid"/>
            </v:shape>
            <v:shape style="position:absolute;left:832;top:216;width:10200;height:2031" type="#_x0000_t202" id="docshape305" filled="false" stroked="false">
              <v:textbox inset="0,0,0,0">
                <w:txbxContent>
                  <w:p>
                    <w:pPr>
                      <w:spacing w:before="0"/>
                      <w:ind w:left="0" w:right="0" w:firstLine="0"/>
                      <w:jc w:val="left"/>
                      <w:rPr>
                        <w:b/>
                        <w:sz w:val="18"/>
                      </w:rPr>
                    </w:pPr>
                    <w:r>
                      <w:rPr>
                        <w:b/>
                        <w:sz w:val="18"/>
                      </w:rPr>
                      <w:t>Interviews</w:t>
                    </w:r>
                    <w:r>
                      <w:rPr>
                        <w:b/>
                        <w:spacing w:val="-2"/>
                        <w:sz w:val="18"/>
                      </w:rPr>
                      <w:t> </w:t>
                    </w:r>
                    <w:r>
                      <w:rPr>
                        <w:b/>
                        <w:sz w:val="18"/>
                      </w:rPr>
                      <w:t>2</w:t>
                    </w:r>
                    <w:r>
                      <w:rPr>
                        <w:b/>
                        <w:spacing w:val="-2"/>
                        <w:sz w:val="18"/>
                      </w:rPr>
                      <w:t> </w:t>
                    </w:r>
                    <w:r>
                      <w:rPr>
                        <w:b/>
                        <w:sz w:val="18"/>
                      </w:rPr>
                      <w:t>and</w:t>
                    </w:r>
                    <w:r>
                      <w:rPr>
                        <w:b/>
                        <w:spacing w:val="-1"/>
                        <w:sz w:val="18"/>
                      </w:rPr>
                      <w:t> </w:t>
                    </w:r>
                    <w:r>
                      <w:rPr>
                        <w:b/>
                        <w:sz w:val="18"/>
                      </w:rPr>
                      <w:t>3</w:t>
                    </w:r>
                  </w:p>
                  <w:p>
                    <w:pPr>
                      <w:tabs>
                        <w:tab w:pos="708" w:val="left" w:leader="none"/>
                      </w:tabs>
                      <w:spacing w:line="276" w:lineRule="auto" w:before="120"/>
                      <w:ind w:left="708" w:right="18" w:hanging="709"/>
                      <w:jc w:val="left"/>
                      <w:rPr>
                        <w:sz w:val="18"/>
                      </w:rPr>
                    </w:pPr>
                    <w:r>
                      <w:rPr>
                        <w:sz w:val="18"/>
                      </w:rPr>
                      <w:t>Q7A</w:t>
                      <w:tab/>
                      <w:t>Do you have a treatment plan or shared care plan which your GP or staff at &lt;practice&gt; had developed with</w:t>
                    </w:r>
                    <w:r>
                      <w:rPr>
                        <w:spacing w:val="-47"/>
                        <w:sz w:val="18"/>
                      </w:rPr>
                      <w:t> </w:t>
                    </w:r>
                    <w:r>
                      <w:rPr>
                        <w:sz w:val="18"/>
                      </w:rPr>
                      <w:t>you?</w:t>
                    </w:r>
                  </w:p>
                  <w:p>
                    <w:pPr>
                      <w:spacing w:line="240" w:lineRule="auto" w:before="4"/>
                      <w:rPr>
                        <w:sz w:val="16"/>
                      </w:rPr>
                    </w:pPr>
                  </w:p>
                  <w:p>
                    <w:pPr>
                      <w:spacing w:line="276" w:lineRule="auto" w:before="0"/>
                      <w:ind w:left="0" w:right="0" w:firstLine="0"/>
                      <w:jc w:val="left"/>
                      <w:rPr>
                        <w:sz w:val="18"/>
                      </w:rPr>
                    </w:pPr>
                    <w:r>
                      <w:rPr>
                        <w:b/>
                        <w:sz w:val="18"/>
                      </w:rPr>
                      <w:t>If participant unsure please read: </w:t>
                    </w:r>
                    <w:r>
                      <w:rPr>
                        <w:sz w:val="18"/>
                      </w:rPr>
                      <w:t>A treatment plan or shared care plan is a document that brings together all the</w:t>
                    </w:r>
                    <w:r>
                      <w:rPr>
                        <w:spacing w:val="1"/>
                        <w:sz w:val="18"/>
                      </w:rPr>
                      <w:t> </w:t>
                    </w:r>
                    <w:r>
                      <w:rPr>
                        <w:sz w:val="18"/>
                      </w:rPr>
                      <w:t>relevant health and medical information related to your long-term health condition(s) and ongoing treatment.</w:t>
                    </w:r>
                    <w:r>
                      <w:rPr>
                        <w:spacing w:val="1"/>
                        <w:sz w:val="18"/>
                      </w:rPr>
                      <w:t> </w:t>
                    </w:r>
                    <w:r>
                      <w:rPr>
                        <w:sz w:val="18"/>
                      </w:rPr>
                      <w:t>You</w:t>
                    </w:r>
                    <w:r>
                      <w:rPr>
                        <w:spacing w:val="1"/>
                        <w:sz w:val="18"/>
                      </w:rPr>
                      <w:t> </w:t>
                    </w:r>
                    <w:r>
                      <w:rPr>
                        <w:sz w:val="18"/>
                      </w:rPr>
                      <w:t>can</w:t>
                    </w:r>
                    <w:r>
                      <w:rPr>
                        <w:spacing w:val="-2"/>
                        <w:sz w:val="18"/>
                      </w:rPr>
                      <w:t> </w:t>
                    </w:r>
                    <w:r>
                      <w:rPr>
                        <w:sz w:val="18"/>
                      </w:rPr>
                      <w:t>take</w:t>
                    </w:r>
                    <w:r>
                      <w:rPr>
                        <w:spacing w:val="-4"/>
                        <w:sz w:val="18"/>
                      </w:rPr>
                      <w:t> </w:t>
                    </w:r>
                    <w:r>
                      <w:rPr>
                        <w:sz w:val="18"/>
                      </w:rPr>
                      <w:t>it</w:t>
                    </w:r>
                    <w:r>
                      <w:rPr>
                        <w:spacing w:val="-3"/>
                        <w:sz w:val="18"/>
                      </w:rPr>
                      <w:t> </w:t>
                    </w:r>
                    <w:r>
                      <w:rPr>
                        <w:sz w:val="18"/>
                      </w:rPr>
                      <w:t>to</w:t>
                    </w:r>
                    <w:r>
                      <w:rPr>
                        <w:spacing w:val="-3"/>
                        <w:sz w:val="18"/>
                      </w:rPr>
                      <w:t> </w:t>
                    </w:r>
                    <w:r>
                      <w:rPr>
                        <w:sz w:val="18"/>
                      </w:rPr>
                      <w:t>all</w:t>
                    </w:r>
                    <w:r>
                      <w:rPr>
                        <w:spacing w:val="-2"/>
                        <w:sz w:val="18"/>
                      </w:rPr>
                      <w:t> </w:t>
                    </w:r>
                    <w:r>
                      <w:rPr>
                        <w:sz w:val="18"/>
                      </w:rPr>
                      <w:t>your</w:t>
                    </w:r>
                    <w:r>
                      <w:rPr>
                        <w:spacing w:val="-2"/>
                        <w:sz w:val="18"/>
                      </w:rPr>
                      <w:t> </w:t>
                    </w:r>
                    <w:r>
                      <w:rPr>
                        <w:sz w:val="18"/>
                      </w:rPr>
                      <w:t>appointments</w:t>
                    </w:r>
                    <w:r>
                      <w:rPr>
                        <w:spacing w:val="-2"/>
                        <w:sz w:val="18"/>
                      </w:rPr>
                      <w:t> </w:t>
                    </w:r>
                    <w:r>
                      <w:rPr>
                        <w:sz w:val="18"/>
                      </w:rPr>
                      <w:t>so</w:t>
                    </w:r>
                    <w:r>
                      <w:rPr>
                        <w:spacing w:val="-2"/>
                        <w:sz w:val="18"/>
                      </w:rPr>
                      <w:t> </w:t>
                    </w:r>
                    <w:r>
                      <w:rPr>
                        <w:sz w:val="18"/>
                      </w:rPr>
                      <w:t>that</w:t>
                    </w:r>
                    <w:r>
                      <w:rPr>
                        <w:spacing w:val="-4"/>
                        <w:sz w:val="18"/>
                      </w:rPr>
                      <w:t> </w:t>
                    </w:r>
                    <w:r>
                      <w:rPr>
                        <w:sz w:val="18"/>
                      </w:rPr>
                      <w:t>all</w:t>
                    </w:r>
                    <w:r>
                      <w:rPr>
                        <w:spacing w:val="-1"/>
                        <w:sz w:val="18"/>
                      </w:rPr>
                      <w:t> </w:t>
                    </w:r>
                    <w:r>
                      <w:rPr>
                        <w:sz w:val="18"/>
                      </w:rPr>
                      <w:t>medical</w:t>
                    </w:r>
                    <w:r>
                      <w:rPr>
                        <w:spacing w:val="-1"/>
                        <w:sz w:val="18"/>
                      </w:rPr>
                      <w:t> </w:t>
                    </w:r>
                    <w:r>
                      <w:rPr>
                        <w:sz w:val="18"/>
                      </w:rPr>
                      <w:t>staff</w:t>
                    </w:r>
                    <w:r>
                      <w:rPr>
                        <w:spacing w:val="-2"/>
                        <w:sz w:val="18"/>
                      </w:rPr>
                      <w:t> </w:t>
                    </w:r>
                    <w:r>
                      <w:rPr>
                        <w:sz w:val="18"/>
                      </w:rPr>
                      <w:t>have</w:t>
                    </w:r>
                    <w:r>
                      <w:rPr>
                        <w:spacing w:val="-2"/>
                        <w:sz w:val="18"/>
                      </w:rPr>
                      <w:t> </w:t>
                    </w:r>
                    <w:r>
                      <w:rPr>
                        <w:sz w:val="18"/>
                      </w:rPr>
                      <w:t>access</w:t>
                    </w:r>
                    <w:r>
                      <w:rPr>
                        <w:spacing w:val="-2"/>
                        <w:sz w:val="18"/>
                      </w:rPr>
                      <w:t> </w:t>
                    </w:r>
                    <w:r>
                      <w:rPr>
                        <w:sz w:val="18"/>
                      </w:rPr>
                      <w:t>to</w:t>
                    </w:r>
                    <w:r>
                      <w:rPr>
                        <w:spacing w:val="-3"/>
                        <w:sz w:val="18"/>
                      </w:rPr>
                      <w:t> </w:t>
                    </w:r>
                    <w:r>
                      <w:rPr>
                        <w:sz w:val="18"/>
                      </w:rPr>
                      <w:t>the</w:t>
                    </w:r>
                    <w:r>
                      <w:rPr>
                        <w:spacing w:val="-1"/>
                        <w:sz w:val="18"/>
                      </w:rPr>
                      <w:t> </w:t>
                    </w:r>
                    <w:r>
                      <w:rPr>
                        <w:sz w:val="18"/>
                      </w:rPr>
                      <w:t>same</w:t>
                    </w:r>
                    <w:r>
                      <w:rPr>
                        <w:spacing w:val="-2"/>
                        <w:sz w:val="18"/>
                      </w:rPr>
                      <w:t> </w:t>
                    </w:r>
                    <w:r>
                      <w:rPr>
                        <w:sz w:val="18"/>
                      </w:rPr>
                      <w:t>information</w:t>
                    </w:r>
                    <w:r>
                      <w:rPr>
                        <w:spacing w:val="-1"/>
                        <w:sz w:val="18"/>
                      </w:rPr>
                      <w:t> </w:t>
                    </w:r>
                    <w:r>
                      <w:rPr>
                        <w:sz w:val="18"/>
                      </w:rPr>
                      <w:t>and</w:t>
                    </w:r>
                    <w:r>
                      <w:rPr>
                        <w:spacing w:val="-3"/>
                        <w:sz w:val="18"/>
                      </w:rPr>
                      <w:t> </w:t>
                    </w:r>
                    <w:r>
                      <w:rPr>
                        <w:sz w:val="18"/>
                      </w:rPr>
                      <w:t>you</w:t>
                    </w:r>
                    <w:r>
                      <w:rPr>
                        <w:spacing w:val="-2"/>
                        <w:sz w:val="18"/>
                      </w:rPr>
                      <w:t> </w:t>
                    </w:r>
                    <w:r>
                      <w:rPr>
                        <w:sz w:val="18"/>
                      </w:rPr>
                      <w:t>can</w:t>
                    </w:r>
                    <w:r>
                      <w:rPr>
                        <w:spacing w:val="-2"/>
                        <w:sz w:val="18"/>
                      </w:rPr>
                      <w:t> </w:t>
                    </w:r>
                    <w:r>
                      <w:rPr>
                        <w:sz w:val="18"/>
                      </w:rPr>
                      <w:t>track</w:t>
                    </w:r>
                  </w:p>
                  <w:p>
                    <w:pPr>
                      <w:spacing w:before="0"/>
                      <w:ind w:left="0" w:right="0" w:firstLine="0"/>
                      <w:jc w:val="left"/>
                      <w:rPr>
                        <w:sz w:val="18"/>
                      </w:rPr>
                    </w:pPr>
                    <w:r>
                      <w:rPr>
                        <w:sz w:val="18"/>
                      </w:rPr>
                      <w:t>your</w:t>
                    </w:r>
                    <w:r>
                      <w:rPr>
                        <w:spacing w:val="-3"/>
                        <w:sz w:val="18"/>
                      </w:rPr>
                      <w:t> </w:t>
                    </w:r>
                    <w:r>
                      <w:rPr>
                        <w:sz w:val="18"/>
                      </w:rPr>
                      <w:t>progress</w:t>
                    </w:r>
                    <w:r>
                      <w:rPr>
                        <w:spacing w:val="-3"/>
                        <w:sz w:val="18"/>
                      </w:rPr>
                      <w:t> </w:t>
                    </w:r>
                    <w:r>
                      <w:rPr>
                        <w:sz w:val="18"/>
                      </w:rPr>
                      <w:t>against</w:t>
                    </w:r>
                    <w:r>
                      <w:rPr>
                        <w:spacing w:val="-4"/>
                        <w:sz w:val="18"/>
                      </w:rPr>
                      <w:t> </w:t>
                    </w:r>
                    <w:r>
                      <w:rPr>
                        <w:sz w:val="18"/>
                      </w:rPr>
                      <w:t>the</w:t>
                    </w:r>
                    <w:r>
                      <w:rPr>
                        <w:spacing w:val="-2"/>
                        <w:sz w:val="18"/>
                      </w:rPr>
                      <w:t> </w:t>
                    </w:r>
                    <w:r>
                      <w:rPr>
                        <w:sz w:val="18"/>
                      </w:rPr>
                      <w:t>plan.</w:t>
                    </w:r>
                  </w:p>
                </w:txbxContent>
              </v:textbox>
              <w10:wrap type="none"/>
            </v:shape>
            <v:shape style="position:absolute;left:1553;top:2480;width:273;height:884" type="#_x0000_t202" id="docshape306" filled="false" stroked="false">
              <v:textbox inset="0,0,0,0">
                <w:txbxContent>
                  <w:p>
                    <w:pPr>
                      <w:spacing w:before="0"/>
                      <w:ind w:left="0" w:right="0" w:firstLine="0"/>
                      <w:jc w:val="left"/>
                      <w:rPr>
                        <w:sz w:val="18"/>
                      </w:rPr>
                    </w:pPr>
                    <w:r>
                      <w:rPr>
                        <w:sz w:val="18"/>
                      </w:rPr>
                      <w:t>1.</w:t>
                    </w:r>
                  </w:p>
                  <w:p>
                    <w:pPr>
                      <w:spacing w:before="0"/>
                      <w:ind w:left="0" w:right="0" w:firstLine="0"/>
                      <w:jc w:val="left"/>
                      <w:rPr>
                        <w:sz w:val="18"/>
                      </w:rPr>
                    </w:pPr>
                    <w:r>
                      <w:rPr>
                        <w:sz w:val="18"/>
                      </w:rPr>
                      <w:t>2.</w:t>
                    </w:r>
                  </w:p>
                  <w:p>
                    <w:pPr>
                      <w:spacing w:before="0"/>
                      <w:ind w:left="0" w:right="0" w:firstLine="0"/>
                      <w:jc w:val="left"/>
                      <w:rPr>
                        <w:sz w:val="18"/>
                      </w:rPr>
                    </w:pPr>
                    <w:r>
                      <w:rPr>
                        <w:sz w:val="18"/>
                      </w:rPr>
                      <w:t>98.</w:t>
                    </w:r>
                  </w:p>
                  <w:p>
                    <w:pPr>
                      <w:spacing w:before="0"/>
                      <w:ind w:left="0" w:right="0" w:firstLine="0"/>
                      <w:jc w:val="left"/>
                      <w:rPr>
                        <w:sz w:val="18"/>
                      </w:rPr>
                    </w:pPr>
                    <w:r>
                      <w:rPr>
                        <w:sz w:val="18"/>
                      </w:rPr>
                      <w:t>99.</w:t>
                    </w:r>
                  </w:p>
                </w:txbxContent>
              </v:textbox>
              <w10:wrap type="none"/>
            </v:shape>
            <v:shape style="position:absolute;left:2273;top:2480;width:4287;height:884" type="#_x0000_t202" id="docshape307" filled="false" stroked="false">
              <v:textbox inset="0,0,0,0">
                <w:txbxContent>
                  <w:p>
                    <w:pPr>
                      <w:spacing w:before="0"/>
                      <w:ind w:left="0" w:right="3976" w:firstLine="0"/>
                      <w:jc w:val="left"/>
                      <w:rPr>
                        <w:sz w:val="18"/>
                      </w:rPr>
                    </w:pPr>
                    <w:r>
                      <w:rPr>
                        <w:spacing w:val="-1"/>
                        <w:sz w:val="18"/>
                      </w:rPr>
                      <w:t>Yes</w:t>
                    </w:r>
                    <w:r>
                      <w:rPr>
                        <w:spacing w:val="-47"/>
                        <w:sz w:val="18"/>
                      </w:rPr>
                      <w:t> </w:t>
                    </w:r>
                    <w:r>
                      <w:rPr>
                        <w:sz w:val="18"/>
                      </w:rPr>
                      <w:t>No</w:t>
                    </w:r>
                  </w:p>
                  <w:p>
                    <w:pPr>
                      <w:spacing w:before="0"/>
                      <w:ind w:left="0" w:right="0" w:firstLine="0"/>
                      <w:jc w:val="left"/>
                      <w:rPr>
                        <w:sz w:val="18"/>
                      </w:rPr>
                    </w:pPr>
                    <w:r>
                      <w:rPr>
                        <w:sz w:val="18"/>
                      </w:rPr>
                      <w:t>(Don’t</w:t>
                    </w:r>
                    <w:r>
                      <w:rPr>
                        <w:spacing w:val="-4"/>
                        <w:sz w:val="18"/>
                      </w:rPr>
                      <w:t> </w:t>
                    </w:r>
                    <w:r>
                      <w:rPr>
                        <w:sz w:val="18"/>
                      </w:rPr>
                      <w:t>know</w:t>
                    </w:r>
                    <w:r>
                      <w:rPr>
                        <w:spacing w:val="-4"/>
                        <w:sz w:val="18"/>
                      </w:rPr>
                      <w:t> </w:t>
                    </w:r>
                    <w:r>
                      <w:rPr>
                        <w:sz w:val="18"/>
                      </w:rPr>
                      <w:t>–</w:t>
                    </w:r>
                    <w:r>
                      <w:rPr>
                        <w:spacing w:val="-1"/>
                        <w:sz w:val="18"/>
                      </w:rPr>
                      <w:t> </w:t>
                    </w:r>
                    <w:r>
                      <w:rPr>
                        <w:sz w:val="18"/>
                      </w:rPr>
                      <w:t>USE</w:t>
                    </w:r>
                    <w:r>
                      <w:rPr>
                        <w:spacing w:val="-3"/>
                        <w:sz w:val="18"/>
                      </w:rPr>
                      <w:t> </w:t>
                    </w:r>
                    <w:r>
                      <w:rPr>
                        <w:sz w:val="18"/>
                      </w:rPr>
                      <w:t>ONLY AFTER</w:t>
                    </w:r>
                    <w:r>
                      <w:rPr>
                        <w:spacing w:val="-2"/>
                        <w:sz w:val="18"/>
                      </w:rPr>
                      <w:t> </w:t>
                    </w:r>
                    <w:r>
                      <w:rPr>
                        <w:sz w:val="18"/>
                      </w:rPr>
                      <w:t>READING</w:t>
                    </w:r>
                    <w:r>
                      <w:rPr>
                        <w:spacing w:val="-3"/>
                        <w:sz w:val="18"/>
                      </w:rPr>
                      <w:t> </w:t>
                    </w:r>
                    <w:r>
                      <w:rPr>
                        <w:sz w:val="18"/>
                      </w:rPr>
                      <w:t>DETAILS)</w:t>
                    </w:r>
                  </w:p>
                  <w:p>
                    <w:pPr>
                      <w:spacing w:before="0"/>
                      <w:ind w:left="0" w:right="0" w:firstLine="0"/>
                      <w:jc w:val="left"/>
                      <w:rPr>
                        <w:sz w:val="18"/>
                      </w:rPr>
                    </w:pPr>
                    <w:r>
                      <w:rPr>
                        <w:sz w:val="18"/>
                      </w:rPr>
                      <w:t>(Refused)</w:t>
                    </w:r>
                  </w:p>
                </w:txbxContent>
              </v:textbox>
              <w10:wrap type="none"/>
            </v:shape>
            <w10:wrap type="topAndBottom"/>
          </v:group>
        </w:pict>
      </w:r>
    </w:p>
    <w:p>
      <w:pPr>
        <w:pStyle w:val="BodyText"/>
        <w:spacing w:before="6"/>
        <w:rPr>
          <w:sz w:val="12"/>
        </w:rPr>
      </w:pPr>
    </w:p>
    <w:p>
      <w:pPr>
        <w:spacing w:before="100"/>
        <w:ind w:left="420" w:right="0" w:firstLine="0"/>
        <w:jc w:val="left"/>
        <w:rPr>
          <w:sz w:val="18"/>
        </w:rPr>
      </w:pPr>
      <w:r>
        <w:rPr>
          <w:sz w:val="18"/>
        </w:rPr>
        <w:t>Go</w:t>
      </w:r>
      <w:r>
        <w:rPr>
          <w:spacing w:val="-2"/>
          <w:sz w:val="18"/>
        </w:rPr>
        <w:t> </w:t>
      </w:r>
      <w:r>
        <w:rPr>
          <w:sz w:val="18"/>
        </w:rPr>
        <w:t>to</w:t>
      </w:r>
      <w:r>
        <w:rPr>
          <w:spacing w:val="-1"/>
          <w:sz w:val="18"/>
        </w:rPr>
        <w:t> </w:t>
      </w:r>
      <w:r>
        <w:rPr>
          <w:sz w:val="18"/>
        </w:rPr>
        <w:t>Q8 if participant</w:t>
      </w:r>
      <w:r>
        <w:rPr>
          <w:spacing w:val="-2"/>
          <w:sz w:val="18"/>
        </w:rPr>
        <w:t> </w:t>
      </w:r>
      <w:r>
        <w:rPr>
          <w:sz w:val="18"/>
        </w:rPr>
        <w:t>answered</w:t>
      </w:r>
      <w:r>
        <w:rPr>
          <w:spacing w:val="-1"/>
          <w:sz w:val="18"/>
        </w:rPr>
        <w:t> </w:t>
      </w:r>
      <w:r>
        <w:rPr>
          <w:sz w:val="18"/>
        </w:rPr>
        <w:t>yes to</w:t>
      </w:r>
      <w:r>
        <w:rPr>
          <w:spacing w:val="-1"/>
          <w:sz w:val="18"/>
        </w:rPr>
        <w:t> </w:t>
      </w:r>
      <w:r>
        <w:rPr>
          <w:sz w:val="18"/>
        </w:rPr>
        <w:t>Q7,</w:t>
      </w:r>
      <w:r>
        <w:rPr>
          <w:spacing w:val="-3"/>
          <w:sz w:val="18"/>
        </w:rPr>
        <w:t> </w:t>
      </w:r>
      <w:r>
        <w:rPr>
          <w:sz w:val="18"/>
        </w:rPr>
        <w:t>if</w:t>
      </w:r>
      <w:r>
        <w:rPr>
          <w:spacing w:val="-2"/>
          <w:sz w:val="18"/>
        </w:rPr>
        <w:t> </w:t>
      </w:r>
      <w:r>
        <w:rPr>
          <w:sz w:val="18"/>
        </w:rPr>
        <w:t>no</w:t>
      </w:r>
      <w:r>
        <w:rPr>
          <w:spacing w:val="-2"/>
          <w:sz w:val="18"/>
        </w:rPr>
        <w:t> </w:t>
      </w:r>
      <w:r>
        <w:rPr>
          <w:sz w:val="18"/>
        </w:rPr>
        <w:t>go</w:t>
      </w:r>
      <w:r>
        <w:rPr>
          <w:spacing w:val="-1"/>
          <w:sz w:val="18"/>
        </w:rPr>
        <w:t> </w:t>
      </w:r>
      <w:r>
        <w:rPr>
          <w:sz w:val="18"/>
        </w:rPr>
        <w:t>to</w:t>
      </w:r>
      <w:r>
        <w:rPr>
          <w:spacing w:val="-1"/>
          <w:sz w:val="18"/>
        </w:rPr>
        <w:t> </w:t>
      </w:r>
      <w:r>
        <w:rPr>
          <w:sz w:val="18"/>
        </w:rPr>
        <w:t>Q11.</w:t>
      </w:r>
    </w:p>
    <w:p>
      <w:pPr>
        <w:pStyle w:val="BodyText"/>
        <w:rPr>
          <w:sz w:val="19"/>
        </w:rPr>
      </w:pPr>
    </w:p>
    <w:p>
      <w:pPr>
        <w:tabs>
          <w:tab w:pos="1128" w:val="left" w:leader="none"/>
        </w:tabs>
        <w:spacing w:line="276" w:lineRule="auto" w:before="0"/>
        <w:ind w:left="1128" w:right="1005" w:hanging="709"/>
        <w:jc w:val="left"/>
        <w:rPr>
          <w:sz w:val="18"/>
        </w:rPr>
      </w:pPr>
      <w:r>
        <w:rPr>
          <w:sz w:val="18"/>
        </w:rPr>
        <w:t>Q8</w:t>
        <w:tab/>
        <w:t>Over the last six months &lt;&lt;</w:t>
      </w:r>
      <w:r>
        <w:rPr>
          <w:b/>
          <w:sz w:val="18"/>
        </w:rPr>
        <w:t>Interview 1 only:</w:t>
      </w:r>
      <w:r>
        <w:rPr>
          <w:b/>
          <w:spacing w:val="1"/>
          <w:sz w:val="18"/>
        </w:rPr>
        <w:t> </w:t>
      </w:r>
      <w:r>
        <w:rPr>
          <w:sz w:val="18"/>
        </w:rPr>
        <w:t>prior to enrolling in the Health Care Homes program&gt;&gt; how often</w:t>
      </w:r>
      <w:r>
        <w:rPr>
          <w:spacing w:val="-47"/>
          <w:sz w:val="18"/>
        </w:rPr>
        <w:t> </w:t>
      </w:r>
      <w:r>
        <w:rPr>
          <w:sz w:val="18"/>
        </w:rPr>
        <w:t>did</w:t>
      </w:r>
      <w:r>
        <w:rPr>
          <w:spacing w:val="-3"/>
          <w:sz w:val="18"/>
        </w:rPr>
        <w:t> </w:t>
      </w:r>
      <w:r>
        <w:rPr>
          <w:sz w:val="18"/>
        </w:rPr>
        <w:t>you discuss</w:t>
      </w:r>
      <w:r>
        <w:rPr>
          <w:spacing w:val="-1"/>
          <w:sz w:val="18"/>
        </w:rPr>
        <w:t> </w:t>
      </w:r>
      <w:r>
        <w:rPr>
          <w:sz w:val="18"/>
        </w:rPr>
        <w:t>your treatment plan or shared</w:t>
      </w:r>
      <w:r>
        <w:rPr>
          <w:spacing w:val="-1"/>
          <w:sz w:val="18"/>
        </w:rPr>
        <w:t> </w:t>
      </w:r>
      <w:r>
        <w:rPr>
          <w:sz w:val="18"/>
        </w:rPr>
        <w:t>care</w:t>
      </w:r>
      <w:r>
        <w:rPr>
          <w:spacing w:val="-2"/>
          <w:sz w:val="18"/>
        </w:rPr>
        <w:t> </w:t>
      </w:r>
      <w:r>
        <w:rPr>
          <w:sz w:val="18"/>
        </w:rPr>
        <w:t>plan with your GP</w:t>
      </w:r>
      <w:r>
        <w:rPr>
          <w:spacing w:val="-2"/>
          <w:sz w:val="18"/>
        </w:rPr>
        <w:t> </w:t>
      </w:r>
      <w:r>
        <w:rPr>
          <w:sz w:val="18"/>
        </w:rPr>
        <w:t>or staff at</w:t>
      </w:r>
      <w:r>
        <w:rPr>
          <w:spacing w:val="-2"/>
          <w:sz w:val="18"/>
        </w:rPr>
        <w:t> </w:t>
      </w:r>
      <w:r>
        <w:rPr>
          <w:sz w:val="18"/>
        </w:rPr>
        <w:t>&lt;practice&gt;?</w:t>
      </w:r>
    </w:p>
    <w:p>
      <w:pPr>
        <w:pStyle w:val="BodyText"/>
        <w:spacing w:before="4"/>
        <w:rPr>
          <w:sz w:val="16"/>
        </w:rPr>
      </w:pPr>
    </w:p>
    <w:p>
      <w:pPr>
        <w:pStyle w:val="ListParagraph"/>
        <w:numPr>
          <w:ilvl w:val="0"/>
          <w:numId w:val="121"/>
        </w:numPr>
        <w:tabs>
          <w:tab w:pos="1860" w:val="left" w:leader="none"/>
          <w:tab w:pos="1861" w:val="left" w:leader="none"/>
        </w:tabs>
        <w:spacing w:line="240" w:lineRule="auto" w:before="0" w:after="0"/>
        <w:ind w:left="1860" w:right="0" w:hanging="721"/>
        <w:jc w:val="left"/>
        <w:rPr>
          <w:sz w:val="18"/>
        </w:rPr>
      </w:pPr>
      <w:r>
        <w:rPr>
          <w:sz w:val="18"/>
        </w:rPr>
        <w:t>At most</w:t>
      </w:r>
      <w:r>
        <w:rPr>
          <w:spacing w:val="-4"/>
          <w:sz w:val="18"/>
        </w:rPr>
        <w:t> </w:t>
      </w:r>
      <w:r>
        <w:rPr>
          <w:sz w:val="18"/>
        </w:rPr>
        <w:t>or</w:t>
      </w:r>
      <w:r>
        <w:rPr>
          <w:spacing w:val="-2"/>
          <w:sz w:val="18"/>
        </w:rPr>
        <w:t> </w:t>
      </w:r>
      <w:r>
        <w:rPr>
          <w:sz w:val="18"/>
        </w:rPr>
        <w:t>all</w:t>
      </w:r>
      <w:r>
        <w:rPr>
          <w:spacing w:val="-3"/>
          <w:sz w:val="18"/>
        </w:rPr>
        <w:t> </w:t>
      </w:r>
      <w:r>
        <w:rPr>
          <w:sz w:val="18"/>
        </w:rPr>
        <w:t>consultations</w:t>
      </w:r>
    </w:p>
    <w:p>
      <w:pPr>
        <w:pStyle w:val="ListParagraph"/>
        <w:numPr>
          <w:ilvl w:val="0"/>
          <w:numId w:val="121"/>
        </w:numPr>
        <w:tabs>
          <w:tab w:pos="1860" w:val="left" w:leader="none"/>
          <w:tab w:pos="1861" w:val="left" w:leader="none"/>
        </w:tabs>
        <w:spacing w:line="240" w:lineRule="auto" w:before="34" w:after="0"/>
        <w:ind w:left="1860" w:right="0" w:hanging="721"/>
        <w:jc w:val="left"/>
        <w:rPr>
          <w:sz w:val="18"/>
        </w:rPr>
      </w:pPr>
      <w:r>
        <w:rPr>
          <w:sz w:val="18"/>
        </w:rPr>
        <w:t>It</w:t>
      </w:r>
      <w:r>
        <w:rPr>
          <w:spacing w:val="-5"/>
          <w:sz w:val="18"/>
        </w:rPr>
        <w:t> </w:t>
      </w:r>
      <w:r>
        <w:rPr>
          <w:sz w:val="18"/>
        </w:rPr>
        <w:t>was</w:t>
      </w:r>
      <w:r>
        <w:rPr>
          <w:spacing w:val="-4"/>
          <w:sz w:val="18"/>
        </w:rPr>
        <w:t> </w:t>
      </w:r>
      <w:r>
        <w:rPr>
          <w:sz w:val="18"/>
        </w:rPr>
        <w:t>sometimes</w:t>
      </w:r>
      <w:r>
        <w:rPr>
          <w:spacing w:val="-3"/>
          <w:sz w:val="18"/>
        </w:rPr>
        <w:t> </w:t>
      </w:r>
      <w:r>
        <w:rPr>
          <w:sz w:val="18"/>
        </w:rPr>
        <w:t>discussed</w:t>
      </w:r>
    </w:p>
    <w:p>
      <w:pPr>
        <w:pStyle w:val="ListParagraph"/>
        <w:numPr>
          <w:ilvl w:val="0"/>
          <w:numId w:val="121"/>
        </w:numPr>
        <w:tabs>
          <w:tab w:pos="1860" w:val="left" w:leader="none"/>
          <w:tab w:pos="1861" w:val="left" w:leader="none"/>
        </w:tabs>
        <w:spacing w:line="240" w:lineRule="auto" w:before="32" w:after="0"/>
        <w:ind w:left="1860" w:right="0" w:hanging="721"/>
        <w:jc w:val="left"/>
        <w:rPr>
          <w:sz w:val="18"/>
        </w:rPr>
      </w:pPr>
      <w:r>
        <w:rPr>
          <w:sz w:val="18"/>
        </w:rPr>
        <w:t>It</w:t>
      </w:r>
      <w:r>
        <w:rPr>
          <w:spacing w:val="-4"/>
          <w:sz w:val="18"/>
        </w:rPr>
        <w:t> </w:t>
      </w:r>
      <w:r>
        <w:rPr>
          <w:sz w:val="18"/>
        </w:rPr>
        <w:t>was</w:t>
      </w:r>
      <w:r>
        <w:rPr>
          <w:spacing w:val="-3"/>
          <w:sz w:val="18"/>
        </w:rPr>
        <w:t> </w:t>
      </w:r>
      <w:r>
        <w:rPr>
          <w:sz w:val="18"/>
        </w:rPr>
        <w:t>never discussed</w:t>
      </w:r>
    </w:p>
    <w:p>
      <w:pPr>
        <w:pStyle w:val="ListParagraph"/>
        <w:numPr>
          <w:ilvl w:val="0"/>
          <w:numId w:val="122"/>
        </w:numPr>
        <w:tabs>
          <w:tab w:pos="1860" w:val="left" w:leader="none"/>
          <w:tab w:pos="1861" w:val="left" w:leader="none"/>
        </w:tabs>
        <w:spacing w:line="240" w:lineRule="auto" w:before="33" w:after="0"/>
        <w:ind w:left="1860" w:right="0" w:hanging="721"/>
        <w:jc w:val="left"/>
        <w:rPr>
          <w:sz w:val="18"/>
        </w:rPr>
      </w:pPr>
      <w:r>
        <w:rPr>
          <w:sz w:val="18"/>
        </w:rPr>
        <w:t>(Don’t</w:t>
      </w:r>
      <w:r>
        <w:rPr>
          <w:spacing w:val="-3"/>
          <w:sz w:val="18"/>
        </w:rPr>
        <w:t> </w:t>
      </w:r>
      <w:r>
        <w:rPr>
          <w:sz w:val="18"/>
        </w:rPr>
        <w:t>know)</w:t>
      </w:r>
    </w:p>
    <w:p>
      <w:pPr>
        <w:pStyle w:val="ListParagraph"/>
        <w:numPr>
          <w:ilvl w:val="0"/>
          <w:numId w:val="122"/>
        </w:numPr>
        <w:tabs>
          <w:tab w:pos="1860" w:val="left" w:leader="none"/>
          <w:tab w:pos="1861" w:val="left" w:leader="none"/>
        </w:tabs>
        <w:spacing w:line="240" w:lineRule="auto" w:before="34" w:after="0"/>
        <w:ind w:left="1860" w:right="0" w:hanging="721"/>
        <w:jc w:val="left"/>
        <w:rPr>
          <w:sz w:val="18"/>
        </w:rPr>
      </w:pPr>
      <w:r>
        <w:rPr>
          <w:sz w:val="18"/>
        </w:rPr>
        <w:t>(Refused)</w:t>
      </w:r>
    </w:p>
    <w:p>
      <w:pPr>
        <w:pStyle w:val="BodyText"/>
        <w:rPr>
          <w:sz w:val="19"/>
        </w:rPr>
      </w:pPr>
    </w:p>
    <w:p>
      <w:pPr>
        <w:spacing w:before="0"/>
        <w:ind w:left="420" w:right="0" w:firstLine="0"/>
        <w:jc w:val="left"/>
        <w:rPr>
          <w:sz w:val="18"/>
        </w:rPr>
      </w:pPr>
      <w:r>
        <w:rPr>
          <w:sz w:val="18"/>
        </w:rPr>
        <w:t>*Q9</w:t>
      </w:r>
      <w:r>
        <w:rPr>
          <w:spacing w:val="-1"/>
          <w:sz w:val="18"/>
        </w:rPr>
        <w:t> </w:t>
      </w:r>
      <w:r>
        <w:rPr>
          <w:sz w:val="18"/>
        </w:rPr>
        <w:t>if</w:t>
      </w:r>
      <w:r>
        <w:rPr>
          <w:spacing w:val="-1"/>
          <w:sz w:val="18"/>
        </w:rPr>
        <w:t> </w:t>
      </w:r>
      <w:r>
        <w:rPr>
          <w:sz w:val="18"/>
        </w:rPr>
        <w:t>participant</w:t>
      </w:r>
      <w:r>
        <w:rPr>
          <w:spacing w:val="-2"/>
          <w:sz w:val="18"/>
        </w:rPr>
        <w:t> </w:t>
      </w:r>
      <w:r>
        <w:rPr>
          <w:sz w:val="18"/>
        </w:rPr>
        <w:t>answered</w:t>
      </w:r>
      <w:r>
        <w:rPr>
          <w:spacing w:val="-3"/>
          <w:sz w:val="18"/>
        </w:rPr>
        <w:t> </w:t>
      </w:r>
      <w:r>
        <w:rPr>
          <w:sz w:val="18"/>
        </w:rPr>
        <w:t>yes</w:t>
      </w:r>
      <w:r>
        <w:rPr>
          <w:spacing w:val="-2"/>
          <w:sz w:val="18"/>
        </w:rPr>
        <w:t> </w:t>
      </w:r>
      <w:r>
        <w:rPr>
          <w:sz w:val="18"/>
        </w:rPr>
        <w:t>to</w:t>
      </w:r>
      <w:r>
        <w:rPr>
          <w:spacing w:val="-2"/>
          <w:sz w:val="18"/>
        </w:rPr>
        <w:t> </w:t>
      </w:r>
      <w:r>
        <w:rPr>
          <w:sz w:val="18"/>
        </w:rPr>
        <w:t>Q7 if no</w:t>
      </w:r>
      <w:r>
        <w:rPr>
          <w:spacing w:val="-2"/>
          <w:sz w:val="18"/>
        </w:rPr>
        <w:t> </w:t>
      </w:r>
      <w:r>
        <w:rPr>
          <w:sz w:val="18"/>
        </w:rPr>
        <w:t>go</w:t>
      </w:r>
      <w:r>
        <w:rPr>
          <w:spacing w:val="-2"/>
          <w:sz w:val="18"/>
        </w:rPr>
        <w:t> </w:t>
      </w:r>
      <w:r>
        <w:rPr>
          <w:sz w:val="18"/>
        </w:rPr>
        <w:t>to</w:t>
      </w:r>
      <w:r>
        <w:rPr>
          <w:spacing w:val="-1"/>
          <w:sz w:val="18"/>
        </w:rPr>
        <w:t> </w:t>
      </w:r>
      <w:r>
        <w:rPr>
          <w:sz w:val="18"/>
        </w:rPr>
        <w:t>Q11</w:t>
      </w:r>
    </w:p>
    <w:p>
      <w:pPr>
        <w:pStyle w:val="BodyText"/>
        <w:rPr>
          <w:sz w:val="19"/>
        </w:rPr>
      </w:pPr>
    </w:p>
    <w:p>
      <w:pPr>
        <w:tabs>
          <w:tab w:pos="1140" w:val="left" w:leader="none"/>
        </w:tabs>
        <w:spacing w:before="0"/>
        <w:ind w:left="420" w:right="0" w:firstLine="0"/>
        <w:jc w:val="left"/>
        <w:rPr>
          <w:sz w:val="18"/>
        </w:rPr>
      </w:pPr>
      <w:r>
        <w:rPr>
          <w:sz w:val="18"/>
        </w:rPr>
        <w:t>Q9</w:t>
        <w:tab/>
        <w:t>Were</w:t>
      </w:r>
      <w:r>
        <w:rPr>
          <w:spacing w:val="-2"/>
          <w:sz w:val="18"/>
        </w:rPr>
        <w:t> </w:t>
      </w:r>
      <w:r>
        <w:rPr>
          <w:sz w:val="18"/>
        </w:rPr>
        <w:t>you</w:t>
      </w:r>
      <w:r>
        <w:rPr>
          <w:spacing w:val="-2"/>
          <w:sz w:val="18"/>
        </w:rPr>
        <w:t> </w:t>
      </w:r>
      <w:r>
        <w:rPr>
          <w:sz w:val="18"/>
        </w:rPr>
        <w:t>given</w:t>
      </w:r>
      <w:r>
        <w:rPr>
          <w:spacing w:val="-1"/>
          <w:sz w:val="18"/>
        </w:rPr>
        <w:t> </w:t>
      </w:r>
      <w:r>
        <w:rPr>
          <w:sz w:val="18"/>
        </w:rPr>
        <w:t>a</w:t>
      </w:r>
      <w:r>
        <w:rPr>
          <w:spacing w:val="-3"/>
          <w:sz w:val="18"/>
        </w:rPr>
        <w:t> </w:t>
      </w:r>
      <w:r>
        <w:rPr>
          <w:sz w:val="18"/>
        </w:rPr>
        <w:t>copy</w:t>
      </w:r>
      <w:r>
        <w:rPr>
          <w:spacing w:val="-2"/>
          <w:sz w:val="18"/>
        </w:rPr>
        <w:t> </w:t>
      </w:r>
      <w:r>
        <w:rPr>
          <w:sz w:val="18"/>
        </w:rPr>
        <w:t>of</w:t>
      </w:r>
      <w:r>
        <w:rPr>
          <w:spacing w:val="-2"/>
          <w:sz w:val="18"/>
        </w:rPr>
        <w:t> </w:t>
      </w:r>
      <w:r>
        <w:rPr>
          <w:sz w:val="18"/>
        </w:rPr>
        <w:t>your treatment</w:t>
      </w:r>
      <w:r>
        <w:rPr>
          <w:spacing w:val="-3"/>
          <w:sz w:val="18"/>
        </w:rPr>
        <w:t> </w:t>
      </w:r>
      <w:r>
        <w:rPr>
          <w:sz w:val="18"/>
        </w:rPr>
        <w:t>plan</w:t>
      </w:r>
      <w:r>
        <w:rPr>
          <w:spacing w:val="-1"/>
          <w:sz w:val="18"/>
        </w:rPr>
        <w:t> </w:t>
      </w:r>
      <w:r>
        <w:rPr>
          <w:sz w:val="18"/>
        </w:rPr>
        <w:t>or</w:t>
      </w:r>
      <w:r>
        <w:rPr>
          <w:spacing w:val="-2"/>
          <w:sz w:val="18"/>
        </w:rPr>
        <w:t> </w:t>
      </w:r>
      <w:r>
        <w:rPr>
          <w:sz w:val="18"/>
        </w:rPr>
        <w:t>shared</w:t>
      </w:r>
      <w:r>
        <w:rPr>
          <w:spacing w:val="-3"/>
          <w:sz w:val="18"/>
        </w:rPr>
        <w:t> </w:t>
      </w:r>
      <w:r>
        <w:rPr>
          <w:sz w:val="18"/>
        </w:rPr>
        <w:t>care</w:t>
      </w:r>
      <w:r>
        <w:rPr>
          <w:spacing w:val="-1"/>
          <w:sz w:val="18"/>
        </w:rPr>
        <w:t> </w:t>
      </w:r>
      <w:r>
        <w:rPr>
          <w:sz w:val="18"/>
        </w:rPr>
        <w:t>plan</w:t>
      </w:r>
      <w:r>
        <w:rPr>
          <w:spacing w:val="-4"/>
          <w:sz w:val="18"/>
        </w:rPr>
        <w:t> </w:t>
      </w:r>
      <w:r>
        <w:rPr>
          <w:sz w:val="18"/>
        </w:rPr>
        <w:t>in</w:t>
      </w:r>
      <w:r>
        <w:rPr>
          <w:spacing w:val="-5"/>
          <w:sz w:val="18"/>
        </w:rPr>
        <w:t> </w:t>
      </w:r>
      <w:r>
        <w:rPr>
          <w:sz w:val="18"/>
        </w:rPr>
        <w:t>the</w:t>
      </w:r>
      <w:r>
        <w:rPr>
          <w:spacing w:val="-1"/>
          <w:sz w:val="18"/>
        </w:rPr>
        <w:t> </w:t>
      </w:r>
      <w:r>
        <w:rPr>
          <w:sz w:val="18"/>
        </w:rPr>
        <w:t>last</w:t>
      </w:r>
      <w:r>
        <w:rPr>
          <w:spacing w:val="-4"/>
          <w:sz w:val="18"/>
        </w:rPr>
        <w:t> </w:t>
      </w:r>
      <w:r>
        <w:rPr>
          <w:sz w:val="18"/>
        </w:rPr>
        <w:t>6</w:t>
      </w:r>
      <w:r>
        <w:rPr>
          <w:spacing w:val="-1"/>
          <w:sz w:val="18"/>
        </w:rPr>
        <w:t> </w:t>
      </w:r>
      <w:r>
        <w:rPr>
          <w:sz w:val="18"/>
        </w:rPr>
        <w:t>months?</w:t>
      </w:r>
    </w:p>
    <w:p>
      <w:pPr>
        <w:pStyle w:val="BodyText"/>
        <w:rPr>
          <w:sz w:val="19"/>
        </w:rPr>
      </w:pPr>
    </w:p>
    <w:p>
      <w:pPr>
        <w:pStyle w:val="ListParagraph"/>
        <w:numPr>
          <w:ilvl w:val="0"/>
          <w:numId w:val="123"/>
        </w:numPr>
        <w:tabs>
          <w:tab w:pos="1860" w:val="left" w:leader="none"/>
          <w:tab w:pos="1861" w:val="left" w:leader="none"/>
        </w:tabs>
        <w:spacing w:line="240" w:lineRule="auto" w:before="0" w:after="0"/>
        <w:ind w:left="1860" w:right="0" w:hanging="721"/>
        <w:jc w:val="left"/>
        <w:rPr>
          <w:sz w:val="18"/>
        </w:rPr>
      </w:pPr>
      <w:r>
        <w:rPr>
          <w:sz w:val="18"/>
        </w:rPr>
        <w:t>Yes</w:t>
      </w:r>
    </w:p>
    <w:p>
      <w:pPr>
        <w:pStyle w:val="ListParagraph"/>
        <w:numPr>
          <w:ilvl w:val="0"/>
          <w:numId w:val="123"/>
        </w:numPr>
        <w:tabs>
          <w:tab w:pos="1860" w:val="left" w:leader="none"/>
          <w:tab w:pos="1861" w:val="left" w:leader="none"/>
        </w:tabs>
        <w:spacing w:line="240" w:lineRule="auto" w:before="34" w:after="0"/>
        <w:ind w:left="1860" w:right="0" w:hanging="721"/>
        <w:jc w:val="left"/>
        <w:rPr>
          <w:sz w:val="18"/>
        </w:rPr>
      </w:pPr>
      <w:r>
        <w:rPr>
          <w:sz w:val="18"/>
        </w:rPr>
        <w:t>No</w:t>
      </w:r>
    </w:p>
    <w:p>
      <w:pPr>
        <w:pStyle w:val="ListParagraph"/>
        <w:numPr>
          <w:ilvl w:val="0"/>
          <w:numId w:val="124"/>
        </w:numPr>
        <w:tabs>
          <w:tab w:pos="1860" w:val="left" w:leader="none"/>
          <w:tab w:pos="1861" w:val="left" w:leader="none"/>
        </w:tabs>
        <w:spacing w:line="240" w:lineRule="auto" w:before="33" w:after="0"/>
        <w:ind w:left="1860" w:right="0" w:hanging="721"/>
        <w:jc w:val="left"/>
        <w:rPr>
          <w:sz w:val="18"/>
        </w:rPr>
      </w:pPr>
      <w:r>
        <w:rPr>
          <w:sz w:val="18"/>
        </w:rPr>
        <w:t>(Don’t</w:t>
      </w:r>
      <w:r>
        <w:rPr>
          <w:spacing w:val="-3"/>
          <w:sz w:val="18"/>
        </w:rPr>
        <w:t> </w:t>
      </w:r>
      <w:r>
        <w:rPr>
          <w:sz w:val="18"/>
        </w:rPr>
        <w:t>know)</w:t>
      </w:r>
    </w:p>
    <w:p>
      <w:pPr>
        <w:pStyle w:val="ListParagraph"/>
        <w:numPr>
          <w:ilvl w:val="0"/>
          <w:numId w:val="124"/>
        </w:numPr>
        <w:tabs>
          <w:tab w:pos="1860" w:val="left" w:leader="none"/>
          <w:tab w:pos="1861" w:val="left" w:leader="none"/>
        </w:tabs>
        <w:spacing w:line="240" w:lineRule="auto" w:before="32" w:after="0"/>
        <w:ind w:left="1860" w:right="0" w:hanging="721"/>
        <w:jc w:val="left"/>
        <w:rPr>
          <w:sz w:val="18"/>
        </w:rPr>
      </w:pPr>
      <w:r>
        <w:rPr>
          <w:sz w:val="18"/>
        </w:rPr>
        <w:t>(Refused)</w:t>
      </w:r>
    </w:p>
    <w:p>
      <w:pPr>
        <w:pStyle w:val="BodyText"/>
        <w:rPr>
          <w:sz w:val="19"/>
        </w:rPr>
      </w:pPr>
    </w:p>
    <w:p>
      <w:pPr>
        <w:spacing w:before="0"/>
        <w:ind w:left="420" w:right="0" w:firstLine="0"/>
        <w:jc w:val="left"/>
        <w:rPr>
          <w:sz w:val="18"/>
        </w:rPr>
      </w:pPr>
      <w:r>
        <w:rPr>
          <w:sz w:val="18"/>
        </w:rPr>
        <w:t>*(Q10</w:t>
      </w:r>
      <w:r>
        <w:rPr>
          <w:spacing w:val="-2"/>
          <w:sz w:val="18"/>
        </w:rPr>
        <w:t> </w:t>
      </w:r>
      <w:r>
        <w:rPr>
          <w:sz w:val="18"/>
        </w:rPr>
        <w:t>if participant</w:t>
      </w:r>
      <w:r>
        <w:rPr>
          <w:spacing w:val="-2"/>
          <w:sz w:val="18"/>
        </w:rPr>
        <w:t> </w:t>
      </w:r>
      <w:r>
        <w:rPr>
          <w:sz w:val="18"/>
        </w:rPr>
        <w:t>answered</w:t>
      </w:r>
      <w:r>
        <w:rPr>
          <w:spacing w:val="-2"/>
          <w:sz w:val="18"/>
        </w:rPr>
        <w:t> </w:t>
      </w:r>
      <w:r>
        <w:rPr>
          <w:sz w:val="18"/>
        </w:rPr>
        <w:t>yes</w:t>
      </w:r>
      <w:r>
        <w:rPr>
          <w:spacing w:val="-2"/>
          <w:sz w:val="18"/>
        </w:rPr>
        <w:t> </w:t>
      </w:r>
      <w:r>
        <w:rPr>
          <w:sz w:val="18"/>
        </w:rPr>
        <w:t>to</w:t>
      </w:r>
      <w:r>
        <w:rPr>
          <w:spacing w:val="-1"/>
          <w:sz w:val="18"/>
        </w:rPr>
        <w:t> </w:t>
      </w:r>
      <w:r>
        <w:rPr>
          <w:sz w:val="18"/>
        </w:rPr>
        <w:t>Q7</w:t>
      </w:r>
      <w:r>
        <w:rPr>
          <w:spacing w:val="1"/>
          <w:sz w:val="18"/>
        </w:rPr>
        <w:t> </w:t>
      </w:r>
      <w:r>
        <w:rPr>
          <w:sz w:val="18"/>
        </w:rPr>
        <w:t>(has</w:t>
      </w:r>
      <w:r>
        <w:rPr>
          <w:spacing w:val="-2"/>
          <w:sz w:val="18"/>
        </w:rPr>
        <w:t> </w:t>
      </w:r>
      <w:r>
        <w:rPr>
          <w:sz w:val="18"/>
        </w:rPr>
        <w:t>care</w:t>
      </w:r>
      <w:r>
        <w:rPr>
          <w:spacing w:val="-1"/>
          <w:sz w:val="18"/>
        </w:rPr>
        <w:t> </w:t>
      </w:r>
      <w:r>
        <w:rPr>
          <w:sz w:val="18"/>
        </w:rPr>
        <w:t>plan)</w:t>
      </w:r>
      <w:r>
        <w:rPr>
          <w:spacing w:val="-3"/>
          <w:sz w:val="18"/>
        </w:rPr>
        <w:t> </w:t>
      </w:r>
      <w:r>
        <w:rPr>
          <w:sz w:val="18"/>
        </w:rPr>
        <w:t>and</w:t>
      </w:r>
      <w:r>
        <w:rPr>
          <w:spacing w:val="-3"/>
          <w:sz w:val="18"/>
        </w:rPr>
        <w:t> </w:t>
      </w:r>
      <w:r>
        <w:rPr>
          <w:sz w:val="18"/>
        </w:rPr>
        <w:t>yes</w:t>
      </w:r>
      <w:r>
        <w:rPr>
          <w:spacing w:val="-2"/>
          <w:sz w:val="18"/>
        </w:rPr>
        <w:t> </w:t>
      </w:r>
      <w:r>
        <w:rPr>
          <w:sz w:val="18"/>
        </w:rPr>
        <w:t>to</w:t>
      </w:r>
      <w:r>
        <w:rPr>
          <w:spacing w:val="-1"/>
          <w:sz w:val="18"/>
        </w:rPr>
        <w:t> </w:t>
      </w:r>
      <w:r>
        <w:rPr>
          <w:sz w:val="18"/>
        </w:rPr>
        <w:t>Q6(has</w:t>
      </w:r>
      <w:r>
        <w:rPr>
          <w:spacing w:val="-2"/>
          <w:sz w:val="18"/>
        </w:rPr>
        <w:t> </w:t>
      </w:r>
      <w:r>
        <w:rPr>
          <w:sz w:val="18"/>
        </w:rPr>
        <w:t>MY</w:t>
      </w:r>
      <w:r>
        <w:rPr>
          <w:spacing w:val="-5"/>
          <w:sz w:val="18"/>
        </w:rPr>
        <w:t> </w:t>
      </w:r>
      <w:r>
        <w:rPr>
          <w:sz w:val="18"/>
        </w:rPr>
        <w:t>Health</w:t>
      </w:r>
      <w:r>
        <w:rPr>
          <w:spacing w:val="-1"/>
          <w:sz w:val="18"/>
        </w:rPr>
        <w:t> </w:t>
      </w:r>
      <w:r>
        <w:rPr>
          <w:sz w:val="18"/>
        </w:rPr>
        <w:t>Record)</w:t>
      </w:r>
      <w:r>
        <w:rPr>
          <w:spacing w:val="-5"/>
          <w:sz w:val="18"/>
        </w:rPr>
        <w:t> </w:t>
      </w:r>
      <w:r>
        <w:rPr>
          <w:sz w:val="18"/>
        </w:rPr>
        <w:t>If</w:t>
      </w:r>
      <w:r>
        <w:rPr>
          <w:spacing w:val="-1"/>
          <w:sz w:val="18"/>
        </w:rPr>
        <w:t> </w:t>
      </w:r>
      <w:r>
        <w:rPr>
          <w:sz w:val="18"/>
        </w:rPr>
        <w:t>no</w:t>
      </w:r>
      <w:r>
        <w:rPr>
          <w:spacing w:val="-2"/>
          <w:sz w:val="18"/>
        </w:rPr>
        <w:t> </w:t>
      </w:r>
      <w:r>
        <w:rPr>
          <w:sz w:val="18"/>
        </w:rPr>
        <w:t>to</w:t>
      </w:r>
      <w:r>
        <w:rPr>
          <w:spacing w:val="-2"/>
          <w:sz w:val="18"/>
        </w:rPr>
        <w:t> </w:t>
      </w:r>
      <w:r>
        <w:rPr>
          <w:sz w:val="18"/>
        </w:rPr>
        <w:t>either go</w:t>
      </w:r>
      <w:r>
        <w:rPr>
          <w:spacing w:val="-5"/>
          <w:sz w:val="18"/>
        </w:rPr>
        <w:t> </w:t>
      </w:r>
      <w:r>
        <w:rPr>
          <w:sz w:val="18"/>
        </w:rPr>
        <w:t>to</w:t>
      </w:r>
      <w:r>
        <w:rPr>
          <w:spacing w:val="-2"/>
          <w:sz w:val="18"/>
        </w:rPr>
        <w:t> </w:t>
      </w:r>
      <w:r>
        <w:rPr>
          <w:sz w:val="18"/>
        </w:rPr>
        <w:t>Q11.</w:t>
      </w:r>
    </w:p>
    <w:p>
      <w:pPr>
        <w:spacing w:after="0"/>
        <w:jc w:val="left"/>
        <w:rPr>
          <w:sz w:val="18"/>
        </w:rPr>
        <w:sectPr>
          <w:pgSz w:w="11910" w:h="16840"/>
          <w:pgMar w:header="0" w:footer="948" w:top="860" w:bottom="1140" w:left="300" w:right="0"/>
        </w:sectPr>
      </w:pPr>
    </w:p>
    <w:p>
      <w:pPr>
        <w:tabs>
          <w:tab w:pos="1128" w:val="left" w:leader="none"/>
        </w:tabs>
        <w:spacing w:before="75"/>
        <w:ind w:left="420" w:right="0" w:firstLine="0"/>
        <w:jc w:val="left"/>
        <w:rPr>
          <w:sz w:val="18"/>
        </w:rPr>
      </w:pPr>
      <w:r>
        <w:rPr>
          <w:sz w:val="18"/>
        </w:rPr>
        <w:t>Q10</w:t>
        <w:tab/>
        <w:t>Was</w:t>
      </w:r>
      <w:r>
        <w:rPr>
          <w:spacing w:val="-3"/>
          <w:sz w:val="18"/>
        </w:rPr>
        <w:t> </w:t>
      </w:r>
      <w:r>
        <w:rPr>
          <w:sz w:val="18"/>
        </w:rPr>
        <w:t>a</w:t>
      </w:r>
      <w:r>
        <w:rPr>
          <w:spacing w:val="-3"/>
          <w:sz w:val="18"/>
        </w:rPr>
        <w:t> </w:t>
      </w:r>
      <w:r>
        <w:rPr>
          <w:sz w:val="18"/>
        </w:rPr>
        <w:t>copy</w:t>
      </w:r>
      <w:r>
        <w:rPr>
          <w:spacing w:val="-2"/>
          <w:sz w:val="18"/>
        </w:rPr>
        <w:t> </w:t>
      </w:r>
      <w:r>
        <w:rPr>
          <w:sz w:val="18"/>
        </w:rPr>
        <w:t>of</w:t>
      </w:r>
      <w:r>
        <w:rPr>
          <w:spacing w:val="-1"/>
          <w:sz w:val="18"/>
        </w:rPr>
        <w:t> </w:t>
      </w:r>
      <w:r>
        <w:rPr>
          <w:sz w:val="18"/>
        </w:rPr>
        <w:t>this</w:t>
      </w:r>
      <w:r>
        <w:rPr>
          <w:spacing w:val="-3"/>
          <w:sz w:val="18"/>
        </w:rPr>
        <w:t> </w:t>
      </w:r>
      <w:r>
        <w:rPr>
          <w:sz w:val="18"/>
        </w:rPr>
        <w:t>treatment</w:t>
      </w:r>
      <w:r>
        <w:rPr>
          <w:spacing w:val="-1"/>
          <w:sz w:val="18"/>
        </w:rPr>
        <w:t> </w:t>
      </w:r>
      <w:r>
        <w:rPr>
          <w:sz w:val="18"/>
        </w:rPr>
        <w:t>or</w:t>
      </w:r>
      <w:r>
        <w:rPr>
          <w:spacing w:val="-1"/>
          <w:sz w:val="18"/>
        </w:rPr>
        <w:t> </w:t>
      </w:r>
      <w:r>
        <w:rPr>
          <w:sz w:val="18"/>
        </w:rPr>
        <w:t>shared</w:t>
      </w:r>
      <w:r>
        <w:rPr>
          <w:spacing w:val="-2"/>
          <w:sz w:val="18"/>
        </w:rPr>
        <w:t> </w:t>
      </w:r>
      <w:r>
        <w:rPr>
          <w:sz w:val="18"/>
        </w:rPr>
        <w:t>care</w:t>
      </w:r>
      <w:r>
        <w:rPr>
          <w:spacing w:val="-2"/>
          <w:sz w:val="18"/>
        </w:rPr>
        <w:t> </w:t>
      </w:r>
      <w:r>
        <w:rPr>
          <w:sz w:val="18"/>
        </w:rPr>
        <w:t>plan</w:t>
      </w:r>
      <w:r>
        <w:rPr>
          <w:spacing w:val="-4"/>
          <w:sz w:val="18"/>
        </w:rPr>
        <w:t> </w:t>
      </w:r>
      <w:r>
        <w:rPr>
          <w:sz w:val="18"/>
        </w:rPr>
        <w:t>included</w:t>
      </w:r>
      <w:r>
        <w:rPr>
          <w:spacing w:val="-1"/>
          <w:sz w:val="18"/>
        </w:rPr>
        <w:t> </w:t>
      </w:r>
      <w:r>
        <w:rPr>
          <w:sz w:val="18"/>
        </w:rPr>
        <w:t>in</w:t>
      </w:r>
      <w:r>
        <w:rPr>
          <w:spacing w:val="-4"/>
          <w:sz w:val="18"/>
        </w:rPr>
        <w:t> </w:t>
      </w:r>
      <w:r>
        <w:rPr>
          <w:sz w:val="18"/>
        </w:rPr>
        <w:t>My</w:t>
      </w:r>
      <w:r>
        <w:rPr>
          <w:spacing w:val="-3"/>
          <w:sz w:val="18"/>
        </w:rPr>
        <w:t> </w:t>
      </w:r>
      <w:r>
        <w:rPr>
          <w:sz w:val="18"/>
        </w:rPr>
        <w:t>Health</w:t>
      </w:r>
      <w:r>
        <w:rPr>
          <w:spacing w:val="-1"/>
          <w:sz w:val="18"/>
        </w:rPr>
        <w:t> </w:t>
      </w:r>
      <w:r>
        <w:rPr>
          <w:sz w:val="18"/>
        </w:rPr>
        <w:t>Record?</w:t>
      </w:r>
    </w:p>
    <w:p>
      <w:pPr>
        <w:pStyle w:val="BodyText"/>
        <w:rPr>
          <w:sz w:val="19"/>
        </w:rPr>
      </w:pPr>
    </w:p>
    <w:p>
      <w:pPr>
        <w:pStyle w:val="ListParagraph"/>
        <w:numPr>
          <w:ilvl w:val="0"/>
          <w:numId w:val="125"/>
        </w:numPr>
        <w:tabs>
          <w:tab w:pos="1860" w:val="left" w:leader="none"/>
          <w:tab w:pos="1861" w:val="left" w:leader="none"/>
        </w:tabs>
        <w:spacing w:line="240" w:lineRule="auto" w:before="0" w:after="0"/>
        <w:ind w:left="1860" w:right="0" w:hanging="721"/>
        <w:jc w:val="left"/>
        <w:rPr>
          <w:sz w:val="18"/>
        </w:rPr>
      </w:pPr>
      <w:r>
        <w:rPr>
          <w:sz w:val="18"/>
        </w:rPr>
        <w:t>Yes</w:t>
      </w:r>
    </w:p>
    <w:p>
      <w:pPr>
        <w:pStyle w:val="ListParagraph"/>
        <w:numPr>
          <w:ilvl w:val="0"/>
          <w:numId w:val="125"/>
        </w:numPr>
        <w:tabs>
          <w:tab w:pos="1860" w:val="left" w:leader="none"/>
          <w:tab w:pos="1861" w:val="left" w:leader="none"/>
        </w:tabs>
        <w:spacing w:line="240" w:lineRule="auto" w:before="32" w:after="0"/>
        <w:ind w:left="1860" w:right="0" w:hanging="721"/>
        <w:jc w:val="left"/>
        <w:rPr>
          <w:sz w:val="18"/>
        </w:rPr>
      </w:pPr>
      <w:r>
        <w:rPr>
          <w:sz w:val="18"/>
        </w:rPr>
        <w:t>No</w:t>
      </w:r>
    </w:p>
    <w:p>
      <w:pPr>
        <w:pStyle w:val="ListParagraph"/>
        <w:numPr>
          <w:ilvl w:val="0"/>
          <w:numId w:val="126"/>
        </w:numPr>
        <w:tabs>
          <w:tab w:pos="1860" w:val="left" w:leader="none"/>
          <w:tab w:pos="1861" w:val="left" w:leader="none"/>
        </w:tabs>
        <w:spacing w:line="240" w:lineRule="auto" w:before="34" w:after="0"/>
        <w:ind w:left="1860" w:right="0" w:hanging="721"/>
        <w:jc w:val="left"/>
        <w:rPr>
          <w:sz w:val="18"/>
        </w:rPr>
      </w:pPr>
      <w:r>
        <w:rPr>
          <w:sz w:val="18"/>
        </w:rPr>
        <w:t>(Don’t</w:t>
      </w:r>
      <w:r>
        <w:rPr>
          <w:spacing w:val="-3"/>
          <w:sz w:val="18"/>
        </w:rPr>
        <w:t> </w:t>
      </w:r>
      <w:r>
        <w:rPr>
          <w:sz w:val="18"/>
        </w:rPr>
        <w:t>know)</w:t>
      </w:r>
    </w:p>
    <w:p>
      <w:pPr>
        <w:pStyle w:val="ListParagraph"/>
        <w:numPr>
          <w:ilvl w:val="0"/>
          <w:numId w:val="126"/>
        </w:numPr>
        <w:tabs>
          <w:tab w:pos="1860" w:val="left" w:leader="none"/>
          <w:tab w:pos="1861" w:val="left" w:leader="none"/>
        </w:tabs>
        <w:spacing w:line="240" w:lineRule="auto" w:before="34" w:after="0"/>
        <w:ind w:left="1860" w:right="0" w:hanging="721"/>
        <w:jc w:val="left"/>
        <w:rPr>
          <w:sz w:val="18"/>
        </w:rPr>
      </w:pPr>
      <w:r>
        <w:rPr>
          <w:sz w:val="18"/>
        </w:rPr>
        <w:t>(Refused)</w:t>
      </w:r>
    </w:p>
    <w:p>
      <w:pPr>
        <w:pStyle w:val="BodyText"/>
        <w:spacing w:before="12"/>
        <w:rPr>
          <w:sz w:val="18"/>
        </w:rPr>
      </w:pPr>
    </w:p>
    <w:p>
      <w:pPr>
        <w:tabs>
          <w:tab w:pos="1128" w:val="left" w:leader="none"/>
        </w:tabs>
        <w:spacing w:line="276" w:lineRule="auto" w:before="0"/>
        <w:ind w:left="1128" w:right="1039" w:hanging="709"/>
        <w:jc w:val="left"/>
        <w:rPr>
          <w:sz w:val="18"/>
        </w:rPr>
      </w:pPr>
      <w:r>
        <w:rPr>
          <w:sz w:val="18"/>
        </w:rPr>
        <w:t>Q11</w:t>
        <w:tab/>
        <w:t>Over the past 6 months &lt;&lt;</w:t>
      </w:r>
      <w:r>
        <w:rPr>
          <w:b/>
          <w:sz w:val="18"/>
        </w:rPr>
        <w:t>Interview 1 only:</w:t>
      </w:r>
      <w:r>
        <w:rPr>
          <w:b/>
          <w:spacing w:val="1"/>
          <w:sz w:val="18"/>
        </w:rPr>
        <w:t> </w:t>
      </w:r>
      <w:r>
        <w:rPr>
          <w:sz w:val="18"/>
        </w:rPr>
        <w:t>prior to enrolling in the Health Care Homes program&gt;&gt; when you</w:t>
      </w:r>
      <w:r>
        <w:rPr>
          <w:spacing w:val="-47"/>
          <w:sz w:val="18"/>
        </w:rPr>
        <w:t> </w:t>
      </w:r>
      <w:r>
        <w:rPr>
          <w:sz w:val="18"/>
        </w:rPr>
        <w:t>discussed your health and treatment options with your GP and other staff in &lt;practice&gt;, how often did the</w:t>
      </w:r>
      <w:r>
        <w:rPr>
          <w:spacing w:val="1"/>
          <w:sz w:val="18"/>
        </w:rPr>
        <w:t> </w:t>
      </w:r>
      <w:r>
        <w:rPr>
          <w:sz w:val="18"/>
        </w:rPr>
        <w:t>following</w:t>
      </w:r>
      <w:r>
        <w:rPr>
          <w:spacing w:val="-2"/>
          <w:sz w:val="18"/>
        </w:rPr>
        <w:t> </w:t>
      </w:r>
      <w:r>
        <w:rPr>
          <w:sz w:val="18"/>
        </w:rPr>
        <w:t>occur:</w:t>
      </w:r>
    </w:p>
    <w:p>
      <w:pPr>
        <w:pStyle w:val="BodyText"/>
        <w:spacing w:before="4"/>
        <w:rPr>
          <w:sz w:val="16"/>
        </w:rPr>
      </w:pPr>
    </w:p>
    <w:p>
      <w:pPr>
        <w:pStyle w:val="ListParagraph"/>
        <w:numPr>
          <w:ilvl w:val="1"/>
          <w:numId w:val="126"/>
        </w:numPr>
        <w:tabs>
          <w:tab w:pos="1886" w:val="left" w:leader="none"/>
          <w:tab w:pos="1887" w:val="left" w:leader="none"/>
        </w:tabs>
        <w:spacing w:line="273" w:lineRule="auto" w:before="1" w:after="0"/>
        <w:ind w:left="1838" w:right="749" w:hanging="699"/>
        <w:jc w:val="left"/>
        <w:rPr>
          <w:sz w:val="18"/>
        </w:rPr>
      </w:pPr>
      <w:r>
        <w:rPr/>
        <w:tab/>
      </w:r>
      <w:r>
        <w:rPr>
          <w:sz w:val="18"/>
        </w:rPr>
        <w:t>I was asked for my ideas when we made the treatment or shared care plan, or discussed this plan. OR I</w:t>
      </w:r>
      <w:r>
        <w:rPr>
          <w:spacing w:val="-47"/>
          <w:sz w:val="18"/>
        </w:rPr>
        <w:t> </w:t>
      </w:r>
      <w:r>
        <w:rPr>
          <w:sz w:val="18"/>
        </w:rPr>
        <w:t>was</w:t>
      </w:r>
      <w:r>
        <w:rPr>
          <w:spacing w:val="-1"/>
          <w:sz w:val="18"/>
        </w:rPr>
        <w:t> </w:t>
      </w:r>
      <w:r>
        <w:rPr>
          <w:sz w:val="18"/>
        </w:rPr>
        <w:t>asked for my ideas</w:t>
      </w:r>
      <w:r>
        <w:rPr>
          <w:spacing w:val="1"/>
          <w:sz w:val="18"/>
        </w:rPr>
        <w:t> </w:t>
      </w:r>
      <w:r>
        <w:rPr>
          <w:sz w:val="18"/>
        </w:rPr>
        <w:t>when we</w:t>
      </w:r>
      <w:r>
        <w:rPr>
          <w:spacing w:val="1"/>
          <w:sz w:val="18"/>
        </w:rPr>
        <w:t> </w:t>
      </w:r>
      <w:r>
        <w:rPr>
          <w:sz w:val="18"/>
        </w:rPr>
        <w:t>made decisions</w:t>
      </w:r>
      <w:r>
        <w:rPr>
          <w:spacing w:val="-1"/>
          <w:sz w:val="18"/>
        </w:rPr>
        <w:t> </w:t>
      </w:r>
      <w:r>
        <w:rPr>
          <w:sz w:val="18"/>
        </w:rPr>
        <w:t>about</w:t>
      </w:r>
      <w:r>
        <w:rPr>
          <w:spacing w:val="-1"/>
          <w:sz w:val="18"/>
        </w:rPr>
        <w:t> </w:t>
      </w:r>
      <w:r>
        <w:rPr>
          <w:sz w:val="18"/>
        </w:rPr>
        <w:t>my</w:t>
      </w:r>
      <w:r>
        <w:rPr>
          <w:spacing w:val="1"/>
          <w:sz w:val="18"/>
        </w:rPr>
        <w:t> </w:t>
      </w:r>
      <w:r>
        <w:rPr>
          <w:sz w:val="18"/>
        </w:rPr>
        <w:t>treatment.</w:t>
      </w:r>
    </w:p>
    <w:p>
      <w:pPr>
        <w:pStyle w:val="BodyText"/>
        <w:spacing w:before="6"/>
        <w:rPr>
          <w:sz w:val="16"/>
        </w:rPr>
      </w:pPr>
    </w:p>
    <w:p>
      <w:pPr>
        <w:pStyle w:val="ListParagraph"/>
        <w:numPr>
          <w:ilvl w:val="2"/>
          <w:numId w:val="126"/>
        </w:numPr>
        <w:tabs>
          <w:tab w:pos="2580" w:val="left" w:leader="none"/>
          <w:tab w:pos="2581" w:val="left" w:leader="none"/>
        </w:tabs>
        <w:spacing w:line="240" w:lineRule="auto" w:before="0" w:after="0"/>
        <w:ind w:left="2580" w:right="0" w:hanging="721"/>
        <w:jc w:val="left"/>
        <w:rPr>
          <w:sz w:val="18"/>
        </w:rPr>
      </w:pPr>
      <w:r>
        <w:rPr>
          <w:sz w:val="18"/>
        </w:rPr>
        <w:t>None</w:t>
      </w:r>
      <w:r>
        <w:rPr>
          <w:spacing w:val="-2"/>
          <w:sz w:val="18"/>
        </w:rPr>
        <w:t> </w:t>
      </w:r>
      <w:r>
        <w:rPr>
          <w:sz w:val="18"/>
        </w:rPr>
        <w:t>of</w:t>
      </w:r>
      <w:r>
        <w:rPr>
          <w:spacing w:val="-2"/>
          <w:sz w:val="18"/>
        </w:rPr>
        <w:t> </w:t>
      </w:r>
      <w:r>
        <w:rPr>
          <w:sz w:val="18"/>
        </w:rPr>
        <w:t>the time</w:t>
      </w:r>
    </w:p>
    <w:p>
      <w:pPr>
        <w:pStyle w:val="ListParagraph"/>
        <w:numPr>
          <w:ilvl w:val="2"/>
          <w:numId w:val="126"/>
        </w:numPr>
        <w:tabs>
          <w:tab w:pos="2580" w:val="left" w:leader="none"/>
          <w:tab w:pos="2581" w:val="left" w:leader="none"/>
        </w:tabs>
        <w:spacing w:line="240" w:lineRule="auto" w:before="34" w:after="0"/>
        <w:ind w:left="2580" w:right="0" w:hanging="721"/>
        <w:jc w:val="left"/>
        <w:rPr>
          <w:sz w:val="18"/>
        </w:rPr>
      </w:pPr>
      <w:r>
        <w:rPr>
          <w:sz w:val="18"/>
        </w:rPr>
        <w:t>A</w:t>
      </w:r>
      <w:r>
        <w:rPr>
          <w:spacing w:val="-6"/>
          <w:sz w:val="18"/>
        </w:rPr>
        <w:t> </w:t>
      </w:r>
      <w:r>
        <w:rPr>
          <w:sz w:val="18"/>
        </w:rPr>
        <w:t>little</w:t>
      </w:r>
      <w:r>
        <w:rPr>
          <w:spacing w:val="-2"/>
          <w:sz w:val="18"/>
        </w:rPr>
        <w:t> </w:t>
      </w:r>
      <w:r>
        <w:rPr>
          <w:sz w:val="18"/>
        </w:rPr>
        <w:t>of</w:t>
      </w:r>
      <w:r>
        <w:rPr>
          <w:spacing w:val="-2"/>
          <w:sz w:val="18"/>
        </w:rPr>
        <w:t> </w:t>
      </w:r>
      <w:r>
        <w:rPr>
          <w:sz w:val="18"/>
        </w:rPr>
        <w:t>the time</w:t>
      </w:r>
    </w:p>
    <w:p>
      <w:pPr>
        <w:pStyle w:val="ListParagraph"/>
        <w:numPr>
          <w:ilvl w:val="2"/>
          <w:numId w:val="126"/>
        </w:numPr>
        <w:tabs>
          <w:tab w:pos="2580" w:val="left" w:leader="none"/>
          <w:tab w:pos="2581" w:val="left" w:leader="none"/>
        </w:tabs>
        <w:spacing w:line="240" w:lineRule="auto" w:before="34" w:after="0"/>
        <w:ind w:left="2580" w:right="0" w:hanging="721"/>
        <w:jc w:val="left"/>
        <w:rPr>
          <w:sz w:val="18"/>
        </w:rPr>
      </w:pPr>
      <w:r>
        <w:rPr>
          <w:sz w:val="18"/>
        </w:rPr>
        <w:t>Some</w:t>
      </w:r>
      <w:r>
        <w:rPr>
          <w:spacing w:val="-3"/>
          <w:sz w:val="18"/>
        </w:rPr>
        <w:t> </w:t>
      </w:r>
      <w:r>
        <w:rPr>
          <w:sz w:val="18"/>
        </w:rPr>
        <w:t>of</w:t>
      </w:r>
      <w:r>
        <w:rPr>
          <w:spacing w:val="-2"/>
          <w:sz w:val="18"/>
        </w:rPr>
        <w:t> </w:t>
      </w:r>
      <w:r>
        <w:rPr>
          <w:sz w:val="18"/>
        </w:rPr>
        <w:t>the</w:t>
      </w:r>
      <w:r>
        <w:rPr>
          <w:spacing w:val="-1"/>
          <w:sz w:val="18"/>
        </w:rPr>
        <w:t> </w:t>
      </w:r>
      <w:r>
        <w:rPr>
          <w:sz w:val="18"/>
        </w:rPr>
        <w:t>time</w:t>
      </w:r>
    </w:p>
    <w:p>
      <w:pPr>
        <w:pStyle w:val="ListParagraph"/>
        <w:numPr>
          <w:ilvl w:val="2"/>
          <w:numId w:val="126"/>
        </w:numPr>
        <w:tabs>
          <w:tab w:pos="2580" w:val="left" w:leader="none"/>
          <w:tab w:pos="2581" w:val="left" w:leader="none"/>
        </w:tabs>
        <w:spacing w:line="240" w:lineRule="auto" w:before="34" w:after="0"/>
        <w:ind w:left="2580" w:right="0" w:hanging="721"/>
        <w:jc w:val="left"/>
        <w:rPr>
          <w:sz w:val="18"/>
        </w:rPr>
      </w:pPr>
      <w:r>
        <w:rPr>
          <w:sz w:val="18"/>
        </w:rPr>
        <w:t>Most</w:t>
      </w:r>
      <w:r>
        <w:rPr>
          <w:spacing w:val="-3"/>
          <w:sz w:val="18"/>
        </w:rPr>
        <w:t> </w:t>
      </w:r>
      <w:r>
        <w:rPr>
          <w:sz w:val="18"/>
        </w:rPr>
        <w:t>of</w:t>
      </w:r>
      <w:r>
        <w:rPr>
          <w:spacing w:val="-1"/>
          <w:sz w:val="18"/>
        </w:rPr>
        <w:t> </w:t>
      </w:r>
      <w:r>
        <w:rPr>
          <w:sz w:val="18"/>
        </w:rPr>
        <w:t>the time</w:t>
      </w:r>
    </w:p>
    <w:p>
      <w:pPr>
        <w:pStyle w:val="ListParagraph"/>
        <w:numPr>
          <w:ilvl w:val="2"/>
          <w:numId w:val="126"/>
        </w:numPr>
        <w:tabs>
          <w:tab w:pos="2580" w:val="left" w:leader="none"/>
          <w:tab w:pos="2581" w:val="left" w:leader="none"/>
        </w:tabs>
        <w:spacing w:line="240" w:lineRule="auto" w:before="31" w:after="0"/>
        <w:ind w:left="2580" w:right="0" w:hanging="721"/>
        <w:jc w:val="left"/>
        <w:rPr>
          <w:sz w:val="18"/>
        </w:rPr>
      </w:pPr>
      <w:r>
        <w:rPr>
          <w:sz w:val="18"/>
        </w:rPr>
        <w:t>Always</w:t>
      </w:r>
    </w:p>
    <w:p>
      <w:pPr>
        <w:pStyle w:val="ListParagraph"/>
        <w:numPr>
          <w:ilvl w:val="0"/>
          <w:numId w:val="127"/>
        </w:numPr>
        <w:tabs>
          <w:tab w:pos="2580" w:val="left" w:leader="none"/>
          <w:tab w:pos="2581" w:val="left" w:leader="none"/>
        </w:tabs>
        <w:spacing w:line="240" w:lineRule="auto" w:before="34" w:after="0"/>
        <w:ind w:left="2580" w:right="0" w:hanging="721"/>
        <w:jc w:val="left"/>
        <w:rPr>
          <w:sz w:val="18"/>
        </w:rPr>
      </w:pPr>
      <w:r>
        <w:rPr>
          <w:sz w:val="18"/>
        </w:rPr>
        <w:t>(Don’t</w:t>
      </w:r>
      <w:r>
        <w:rPr>
          <w:spacing w:val="-3"/>
          <w:sz w:val="18"/>
        </w:rPr>
        <w:t> </w:t>
      </w:r>
      <w:r>
        <w:rPr>
          <w:sz w:val="18"/>
        </w:rPr>
        <w:t>know)</w:t>
      </w:r>
    </w:p>
    <w:p>
      <w:pPr>
        <w:pStyle w:val="ListParagraph"/>
        <w:numPr>
          <w:ilvl w:val="0"/>
          <w:numId w:val="127"/>
        </w:numPr>
        <w:tabs>
          <w:tab w:pos="2580" w:val="left" w:leader="none"/>
          <w:tab w:pos="2581" w:val="left" w:leader="none"/>
        </w:tabs>
        <w:spacing w:line="240" w:lineRule="auto" w:before="33" w:after="0"/>
        <w:ind w:left="2580" w:right="0" w:hanging="721"/>
        <w:jc w:val="left"/>
        <w:rPr>
          <w:sz w:val="18"/>
        </w:rPr>
      </w:pPr>
      <w:r>
        <w:rPr>
          <w:sz w:val="18"/>
        </w:rPr>
        <w:t>(Refused)</w:t>
      </w:r>
    </w:p>
    <w:p>
      <w:pPr>
        <w:pStyle w:val="BodyText"/>
        <w:rPr>
          <w:sz w:val="19"/>
        </w:rPr>
      </w:pPr>
    </w:p>
    <w:p>
      <w:pPr>
        <w:pStyle w:val="ListParagraph"/>
        <w:numPr>
          <w:ilvl w:val="1"/>
          <w:numId w:val="126"/>
        </w:numPr>
        <w:tabs>
          <w:tab w:pos="1838" w:val="left" w:leader="none"/>
          <w:tab w:pos="1839" w:val="left" w:leader="none"/>
        </w:tabs>
        <w:spacing w:line="240" w:lineRule="auto" w:before="0" w:after="0"/>
        <w:ind w:left="1838" w:right="0" w:hanging="699"/>
        <w:jc w:val="left"/>
        <w:rPr>
          <w:sz w:val="18"/>
        </w:rPr>
      </w:pPr>
      <w:r>
        <w:rPr>
          <w:sz w:val="18"/>
        </w:rPr>
        <w:t>I was</w:t>
      </w:r>
      <w:r>
        <w:rPr>
          <w:spacing w:val="-3"/>
          <w:sz w:val="18"/>
        </w:rPr>
        <w:t> </w:t>
      </w:r>
      <w:r>
        <w:rPr>
          <w:sz w:val="18"/>
        </w:rPr>
        <w:t>given</w:t>
      </w:r>
      <w:r>
        <w:rPr>
          <w:spacing w:val="-4"/>
          <w:sz w:val="18"/>
        </w:rPr>
        <w:t> </w:t>
      </w:r>
      <w:r>
        <w:rPr>
          <w:sz w:val="18"/>
        </w:rPr>
        <w:t>choices</w:t>
      </w:r>
      <w:r>
        <w:rPr>
          <w:spacing w:val="-1"/>
          <w:sz w:val="18"/>
        </w:rPr>
        <w:t> </w:t>
      </w:r>
      <w:r>
        <w:rPr>
          <w:sz w:val="18"/>
        </w:rPr>
        <w:t>about</w:t>
      </w:r>
      <w:r>
        <w:rPr>
          <w:spacing w:val="-4"/>
          <w:sz w:val="18"/>
        </w:rPr>
        <w:t> </w:t>
      </w:r>
      <w:r>
        <w:rPr>
          <w:sz w:val="18"/>
        </w:rPr>
        <w:t>treatment</w:t>
      </w:r>
      <w:r>
        <w:rPr>
          <w:spacing w:val="-3"/>
          <w:sz w:val="18"/>
        </w:rPr>
        <w:t> </w:t>
      </w:r>
      <w:r>
        <w:rPr>
          <w:sz w:val="18"/>
        </w:rPr>
        <w:t>to</w:t>
      </w:r>
      <w:r>
        <w:rPr>
          <w:spacing w:val="-2"/>
          <w:sz w:val="18"/>
        </w:rPr>
        <w:t> </w:t>
      </w:r>
      <w:r>
        <w:rPr>
          <w:sz w:val="18"/>
        </w:rPr>
        <w:t>think</w:t>
      </w:r>
      <w:r>
        <w:rPr>
          <w:spacing w:val="-1"/>
          <w:sz w:val="18"/>
        </w:rPr>
        <w:t> </w:t>
      </w:r>
      <w:r>
        <w:rPr>
          <w:sz w:val="18"/>
        </w:rPr>
        <w:t>about.</w:t>
      </w:r>
    </w:p>
    <w:p>
      <w:pPr>
        <w:pStyle w:val="BodyText"/>
        <w:rPr>
          <w:sz w:val="19"/>
        </w:rPr>
      </w:pPr>
    </w:p>
    <w:p>
      <w:pPr>
        <w:pStyle w:val="ListParagraph"/>
        <w:numPr>
          <w:ilvl w:val="2"/>
          <w:numId w:val="126"/>
        </w:numPr>
        <w:tabs>
          <w:tab w:pos="2580" w:val="left" w:leader="none"/>
          <w:tab w:pos="2581" w:val="left" w:leader="none"/>
        </w:tabs>
        <w:spacing w:line="240" w:lineRule="auto" w:before="0" w:after="0"/>
        <w:ind w:left="2580" w:right="0" w:hanging="721"/>
        <w:jc w:val="left"/>
        <w:rPr>
          <w:sz w:val="18"/>
        </w:rPr>
      </w:pPr>
      <w:r>
        <w:rPr>
          <w:sz w:val="18"/>
        </w:rPr>
        <w:t>None</w:t>
      </w:r>
      <w:r>
        <w:rPr>
          <w:spacing w:val="-2"/>
          <w:sz w:val="18"/>
        </w:rPr>
        <w:t> </w:t>
      </w:r>
      <w:r>
        <w:rPr>
          <w:sz w:val="18"/>
        </w:rPr>
        <w:t>of</w:t>
      </w:r>
      <w:r>
        <w:rPr>
          <w:spacing w:val="-2"/>
          <w:sz w:val="18"/>
        </w:rPr>
        <w:t> </w:t>
      </w:r>
      <w:r>
        <w:rPr>
          <w:sz w:val="18"/>
        </w:rPr>
        <w:t>the time</w:t>
      </w:r>
    </w:p>
    <w:p>
      <w:pPr>
        <w:pStyle w:val="ListParagraph"/>
        <w:numPr>
          <w:ilvl w:val="2"/>
          <w:numId w:val="126"/>
        </w:numPr>
        <w:tabs>
          <w:tab w:pos="2580" w:val="left" w:leader="none"/>
          <w:tab w:pos="2581" w:val="left" w:leader="none"/>
        </w:tabs>
        <w:spacing w:line="240" w:lineRule="auto" w:before="34" w:after="0"/>
        <w:ind w:left="2580" w:right="0" w:hanging="721"/>
        <w:jc w:val="left"/>
        <w:rPr>
          <w:sz w:val="18"/>
        </w:rPr>
      </w:pPr>
      <w:r>
        <w:rPr>
          <w:sz w:val="18"/>
        </w:rPr>
        <w:t>A</w:t>
      </w:r>
      <w:r>
        <w:rPr>
          <w:spacing w:val="-6"/>
          <w:sz w:val="18"/>
        </w:rPr>
        <w:t> </w:t>
      </w:r>
      <w:r>
        <w:rPr>
          <w:sz w:val="18"/>
        </w:rPr>
        <w:t>little</w:t>
      </w:r>
      <w:r>
        <w:rPr>
          <w:spacing w:val="-2"/>
          <w:sz w:val="18"/>
        </w:rPr>
        <w:t> </w:t>
      </w:r>
      <w:r>
        <w:rPr>
          <w:sz w:val="18"/>
        </w:rPr>
        <w:t>of</w:t>
      </w:r>
      <w:r>
        <w:rPr>
          <w:spacing w:val="-2"/>
          <w:sz w:val="18"/>
        </w:rPr>
        <w:t> </w:t>
      </w:r>
      <w:r>
        <w:rPr>
          <w:sz w:val="18"/>
        </w:rPr>
        <w:t>the time</w:t>
      </w:r>
    </w:p>
    <w:p>
      <w:pPr>
        <w:pStyle w:val="ListParagraph"/>
        <w:numPr>
          <w:ilvl w:val="2"/>
          <w:numId w:val="126"/>
        </w:numPr>
        <w:tabs>
          <w:tab w:pos="2580" w:val="left" w:leader="none"/>
          <w:tab w:pos="2581" w:val="left" w:leader="none"/>
        </w:tabs>
        <w:spacing w:line="240" w:lineRule="auto" w:before="34" w:after="0"/>
        <w:ind w:left="2580" w:right="0" w:hanging="721"/>
        <w:jc w:val="left"/>
        <w:rPr>
          <w:sz w:val="18"/>
        </w:rPr>
      </w:pPr>
      <w:r>
        <w:rPr>
          <w:sz w:val="18"/>
        </w:rPr>
        <w:t>Some</w:t>
      </w:r>
      <w:r>
        <w:rPr>
          <w:spacing w:val="-3"/>
          <w:sz w:val="18"/>
        </w:rPr>
        <w:t> </w:t>
      </w:r>
      <w:r>
        <w:rPr>
          <w:sz w:val="18"/>
        </w:rPr>
        <w:t>of</w:t>
      </w:r>
      <w:r>
        <w:rPr>
          <w:spacing w:val="-2"/>
          <w:sz w:val="18"/>
        </w:rPr>
        <w:t> </w:t>
      </w:r>
      <w:r>
        <w:rPr>
          <w:sz w:val="18"/>
        </w:rPr>
        <w:t>the</w:t>
      </w:r>
      <w:r>
        <w:rPr>
          <w:spacing w:val="-1"/>
          <w:sz w:val="18"/>
        </w:rPr>
        <w:t> </w:t>
      </w:r>
      <w:r>
        <w:rPr>
          <w:sz w:val="18"/>
        </w:rPr>
        <w:t>time</w:t>
      </w:r>
    </w:p>
    <w:p>
      <w:pPr>
        <w:pStyle w:val="ListParagraph"/>
        <w:numPr>
          <w:ilvl w:val="2"/>
          <w:numId w:val="126"/>
        </w:numPr>
        <w:tabs>
          <w:tab w:pos="2580" w:val="left" w:leader="none"/>
          <w:tab w:pos="2581" w:val="left" w:leader="none"/>
        </w:tabs>
        <w:spacing w:line="240" w:lineRule="auto" w:before="31" w:after="0"/>
        <w:ind w:left="2580" w:right="0" w:hanging="721"/>
        <w:jc w:val="left"/>
        <w:rPr>
          <w:sz w:val="18"/>
        </w:rPr>
      </w:pPr>
      <w:r>
        <w:rPr>
          <w:sz w:val="18"/>
        </w:rPr>
        <w:t>Most</w:t>
      </w:r>
      <w:r>
        <w:rPr>
          <w:spacing w:val="-3"/>
          <w:sz w:val="18"/>
        </w:rPr>
        <w:t> </w:t>
      </w:r>
      <w:r>
        <w:rPr>
          <w:sz w:val="18"/>
        </w:rPr>
        <w:t>of</w:t>
      </w:r>
      <w:r>
        <w:rPr>
          <w:spacing w:val="-1"/>
          <w:sz w:val="18"/>
        </w:rPr>
        <w:t> </w:t>
      </w:r>
      <w:r>
        <w:rPr>
          <w:sz w:val="18"/>
        </w:rPr>
        <w:t>the time</w:t>
      </w:r>
    </w:p>
    <w:p>
      <w:pPr>
        <w:pStyle w:val="ListParagraph"/>
        <w:numPr>
          <w:ilvl w:val="2"/>
          <w:numId w:val="126"/>
        </w:numPr>
        <w:tabs>
          <w:tab w:pos="2580" w:val="left" w:leader="none"/>
          <w:tab w:pos="2581" w:val="left" w:leader="none"/>
        </w:tabs>
        <w:spacing w:line="240" w:lineRule="auto" w:before="34" w:after="0"/>
        <w:ind w:left="2580" w:right="0" w:hanging="721"/>
        <w:jc w:val="left"/>
        <w:rPr>
          <w:sz w:val="18"/>
        </w:rPr>
      </w:pPr>
      <w:r>
        <w:rPr>
          <w:sz w:val="18"/>
        </w:rPr>
        <w:t>Always</w:t>
      </w:r>
    </w:p>
    <w:p>
      <w:pPr>
        <w:pStyle w:val="ListParagraph"/>
        <w:numPr>
          <w:ilvl w:val="0"/>
          <w:numId w:val="128"/>
        </w:numPr>
        <w:tabs>
          <w:tab w:pos="2580" w:val="left" w:leader="none"/>
          <w:tab w:pos="2581" w:val="left" w:leader="none"/>
        </w:tabs>
        <w:spacing w:line="240" w:lineRule="auto" w:before="34" w:after="0"/>
        <w:ind w:left="2580" w:right="0" w:hanging="721"/>
        <w:jc w:val="left"/>
        <w:rPr>
          <w:sz w:val="18"/>
        </w:rPr>
      </w:pPr>
      <w:r>
        <w:rPr>
          <w:sz w:val="18"/>
        </w:rPr>
        <w:t>(Don’t</w:t>
      </w:r>
      <w:r>
        <w:rPr>
          <w:spacing w:val="-3"/>
          <w:sz w:val="18"/>
        </w:rPr>
        <w:t> </w:t>
      </w:r>
      <w:r>
        <w:rPr>
          <w:sz w:val="18"/>
        </w:rPr>
        <w:t>know)</w:t>
      </w:r>
    </w:p>
    <w:p>
      <w:pPr>
        <w:pStyle w:val="ListParagraph"/>
        <w:numPr>
          <w:ilvl w:val="0"/>
          <w:numId w:val="128"/>
        </w:numPr>
        <w:tabs>
          <w:tab w:pos="2580" w:val="left" w:leader="none"/>
          <w:tab w:pos="2581" w:val="left" w:leader="none"/>
        </w:tabs>
        <w:spacing w:line="240" w:lineRule="auto" w:before="33" w:after="0"/>
        <w:ind w:left="2580" w:right="0" w:hanging="721"/>
        <w:jc w:val="left"/>
        <w:rPr>
          <w:sz w:val="18"/>
        </w:rPr>
      </w:pPr>
      <w:r>
        <w:rPr>
          <w:sz w:val="18"/>
        </w:rPr>
        <w:t>(Refused)</w:t>
      </w:r>
    </w:p>
    <w:p>
      <w:pPr>
        <w:pStyle w:val="BodyText"/>
        <w:rPr>
          <w:sz w:val="19"/>
        </w:rPr>
      </w:pPr>
    </w:p>
    <w:p>
      <w:pPr>
        <w:pStyle w:val="ListParagraph"/>
        <w:numPr>
          <w:ilvl w:val="1"/>
          <w:numId w:val="126"/>
        </w:numPr>
        <w:tabs>
          <w:tab w:pos="1838" w:val="left" w:leader="none"/>
          <w:tab w:pos="1839" w:val="left" w:leader="none"/>
        </w:tabs>
        <w:spacing w:line="273" w:lineRule="auto" w:before="0" w:after="0"/>
        <w:ind w:left="1838" w:right="1671" w:hanging="699"/>
        <w:jc w:val="left"/>
        <w:rPr>
          <w:sz w:val="18"/>
        </w:rPr>
      </w:pPr>
      <w:r>
        <w:rPr>
          <w:sz w:val="18"/>
        </w:rPr>
        <w:t>I was sure that my doctor or nurse thought about my values, beliefs, and traditions when they</w:t>
      </w:r>
      <w:r>
        <w:rPr>
          <w:spacing w:val="-47"/>
          <w:sz w:val="18"/>
        </w:rPr>
        <w:t> </w:t>
      </w:r>
      <w:r>
        <w:rPr>
          <w:sz w:val="18"/>
        </w:rPr>
        <w:t>recommended</w:t>
      </w:r>
      <w:r>
        <w:rPr>
          <w:spacing w:val="-1"/>
          <w:sz w:val="18"/>
        </w:rPr>
        <w:t> </w:t>
      </w:r>
      <w:r>
        <w:rPr>
          <w:sz w:val="18"/>
        </w:rPr>
        <w:t>treatments</w:t>
      </w:r>
      <w:r>
        <w:rPr>
          <w:spacing w:val="1"/>
          <w:sz w:val="18"/>
        </w:rPr>
        <w:t> </w:t>
      </w:r>
      <w:r>
        <w:rPr>
          <w:sz w:val="18"/>
        </w:rPr>
        <w:t>to me.</w:t>
      </w:r>
    </w:p>
    <w:p>
      <w:pPr>
        <w:pStyle w:val="BodyText"/>
        <w:spacing w:before="6"/>
        <w:rPr>
          <w:sz w:val="16"/>
        </w:rPr>
      </w:pPr>
    </w:p>
    <w:p>
      <w:pPr>
        <w:pStyle w:val="ListParagraph"/>
        <w:numPr>
          <w:ilvl w:val="2"/>
          <w:numId w:val="126"/>
        </w:numPr>
        <w:tabs>
          <w:tab w:pos="2580" w:val="left" w:leader="none"/>
          <w:tab w:pos="2581" w:val="left" w:leader="none"/>
        </w:tabs>
        <w:spacing w:line="240" w:lineRule="auto" w:before="1" w:after="0"/>
        <w:ind w:left="2580" w:right="0" w:hanging="721"/>
        <w:jc w:val="left"/>
        <w:rPr>
          <w:sz w:val="18"/>
        </w:rPr>
      </w:pPr>
      <w:r>
        <w:rPr>
          <w:sz w:val="18"/>
        </w:rPr>
        <w:t>None</w:t>
      </w:r>
      <w:r>
        <w:rPr>
          <w:spacing w:val="-2"/>
          <w:sz w:val="18"/>
        </w:rPr>
        <w:t> </w:t>
      </w:r>
      <w:r>
        <w:rPr>
          <w:sz w:val="18"/>
        </w:rPr>
        <w:t>of</w:t>
      </w:r>
      <w:r>
        <w:rPr>
          <w:spacing w:val="-2"/>
          <w:sz w:val="18"/>
        </w:rPr>
        <w:t> </w:t>
      </w:r>
      <w:r>
        <w:rPr>
          <w:sz w:val="18"/>
        </w:rPr>
        <w:t>the time</w:t>
      </w:r>
    </w:p>
    <w:p>
      <w:pPr>
        <w:pStyle w:val="ListParagraph"/>
        <w:numPr>
          <w:ilvl w:val="2"/>
          <w:numId w:val="126"/>
        </w:numPr>
        <w:tabs>
          <w:tab w:pos="2580" w:val="left" w:leader="none"/>
          <w:tab w:pos="2581" w:val="left" w:leader="none"/>
        </w:tabs>
        <w:spacing w:line="240" w:lineRule="auto" w:before="33" w:after="0"/>
        <w:ind w:left="2580" w:right="0" w:hanging="721"/>
        <w:jc w:val="left"/>
        <w:rPr>
          <w:sz w:val="18"/>
        </w:rPr>
      </w:pPr>
      <w:r>
        <w:rPr>
          <w:sz w:val="18"/>
        </w:rPr>
        <w:t>A</w:t>
      </w:r>
      <w:r>
        <w:rPr>
          <w:spacing w:val="-6"/>
          <w:sz w:val="18"/>
        </w:rPr>
        <w:t> </w:t>
      </w:r>
      <w:r>
        <w:rPr>
          <w:sz w:val="18"/>
        </w:rPr>
        <w:t>little</w:t>
      </w:r>
      <w:r>
        <w:rPr>
          <w:spacing w:val="-2"/>
          <w:sz w:val="18"/>
        </w:rPr>
        <w:t> </w:t>
      </w:r>
      <w:r>
        <w:rPr>
          <w:sz w:val="18"/>
        </w:rPr>
        <w:t>of</w:t>
      </w:r>
      <w:r>
        <w:rPr>
          <w:spacing w:val="-2"/>
          <w:sz w:val="18"/>
        </w:rPr>
        <w:t> </w:t>
      </w:r>
      <w:r>
        <w:rPr>
          <w:sz w:val="18"/>
        </w:rPr>
        <w:t>the time</w:t>
      </w:r>
    </w:p>
    <w:p>
      <w:pPr>
        <w:pStyle w:val="ListParagraph"/>
        <w:numPr>
          <w:ilvl w:val="2"/>
          <w:numId w:val="126"/>
        </w:numPr>
        <w:tabs>
          <w:tab w:pos="2580" w:val="left" w:leader="none"/>
          <w:tab w:pos="2581" w:val="left" w:leader="none"/>
        </w:tabs>
        <w:spacing w:line="240" w:lineRule="auto" w:before="34" w:after="0"/>
        <w:ind w:left="2580" w:right="0" w:hanging="721"/>
        <w:jc w:val="left"/>
        <w:rPr>
          <w:sz w:val="18"/>
        </w:rPr>
      </w:pPr>
      <w:r>
        <w:rPr>
          <w:sz w:val="18"/>
        </w:rPr>
        <w:t>Some</w:t>
      </w:r>
      <w:r>
        <w:rPr>
          <w:spacing w:val="-3"/>
          <w:sz w:val="18"/>
        </w:rPr>
        <w:t> </w:t>
      </w:r>
      <w:r>
        <w:rPr>
          <w:sz w:val="18"/>
        </w:rPr>
        <w:t>of</w:t>
      </w:r>
      <w:r>
        <w:rPr>
          <w:spacing w:val="-2"/>
          <w:sz w:val="18"/>
        </w:rPr>
        <w:t> </w:t>
      </w:r>
      <w:r>
        <w:rPr>
          <w:sz w:val="18"/>
        </w:rPr>
        <w:t>the</w:t>
      </w:r>
      <w:r>
        <w:rPr>
          <w:spacing w:val="-1"/>
          <w:sz w:val="18"/>
        </w:rPr>
        <w:t> </w:t>
      </w:r>
      <w:r>
        <w:rPr>
          <w:sz w:val="18"/>
        </w:rPr>
        <w:t>time</w:t>
      </w:r>
    </w:p>
    <w:p>
      <w:pPr>
        <w:pStyle w:val="ListParagraph"/>
        <w:numPr>
          <w:ilvl w:val="2"/>
          <w:numId w:val="126"/>
        </w:numPr>
        <w:tabs>
          <w:tab w:pos="2580" w:val="left" w:leader="none"/>
          <w:tab w:pos="2581" w:val="left" w:leader="none"/>
        </w:tabs>
        <w:spacing w:line="240" w:lineRule="auto" w:before="34" w:after="0"/>
        <w:ind w:left="2580" w:right="0" w:hanging="721"/>
        <w:jc w:val="left"/>
        <w:rPr>
          <w:sz w:val="18"/>
        </w:rPr>
      </w:pPr>
      <w:r>
        <w:rPr>
          <w:sz w:val="18"/>
        </w:rPr>
        <w:t>Most</w:t>
      </w:r>
      <w:r>
        <w:rPr>
          <w:spacing w:val="-3"/>
          <w:sz w:val="18"/>
        </w:rPr>
        <w:t> </w:t>
      </w:r>
      <w:r>
        <w:rPr>
          <w:sz w:val="18"/>
        </w:rPr>
        <w:t>of</w:t>
      </w:r>
      <w:r>
        <w:rPr>
          <w:spacing w:val="-1"/>
          <w:sz w:val="18"/>
        </w:rPr>
        <w:t> </w:t>
      </w:r>
      <w:r>
        <w:rPr>
          <w:sz w:val="18"/>
        </w:rPr>
        <w:t>the time</w:t>
      </w:r>
    </w:p>
    <w:p>
      <w:pPr>
        <w:pStyle w:val="ListParagraph"/>
        <w:numPr>
          <w:ilvl w:val="2"/>
          <w:numId w:val="126"/>
        </w:numPr>
        <w:tabs>
          <w:tab w:pos="2580" w:val="left" w:leader="none"/>
          <w:tab w:pos="2581" w:val="left" w:leader="none"/>
        </w:tabs>
        <w:spacing w:line="240" w:lineRule="auto" w:before="31" w:after="0"/>
        <w:ind w:left="2580" w:right="0" w:hanging="721"/>
        <w:jc w:val="left"/>
        <w:rPr>
          <w:sz w:val="18"/>
        </w:rPr>
      </w:pPr>
      <w:r>
        <w:rPr>
          <w:sz w:val="18"/>
        </w:rPr>
        <w:t>Always</w:t>
      </w:r>
    </w:p>
    <w:p>
      <w:pPr>
        <w:pStyle w:val="ListParagraph"/>
        <w:numPr>
          <w:ilvl w:val="0"/>
          <w:numId w:val="129"/>
        </w:numPr>
        <w:tabs>
          <w:tab w:pos="2580" w:val="left" w:leader="none"/>
          <w:tab w:pos="2581" w:val="left" w:leader="none"/>
        </w:tabs>
        <w:spacing w:line="240" w:lineRule="auto" w:before="34" w:after="0"/>
        <w:ind w:left="2580" w:right="0" w:hanging="721"/>
        <w:jc w:val="left"/>
        <w:rPr>
          <w:sz w:val="18"/>
        </w:rPr>
      </w:pPr>
      <w:r>
        <w:rPr>
          <w:sz w:val="18"/>
        </w:rPr>
        <w:t>(Don’t</w:t>
      </w:r>
      <w:r>
        <w:rPr>
          <w:spacing w:val="-3"/>
          <w:sz w:val="18"/>
        </w:rPr>
        <w:t> </w:t>
      </w:r>
      <w:r>
        <w:rPr>
          <w:sz w:val="18"/>
        </w:rPr>
        <w:t>know)</w:t>
      </w:r>
    </w:p>
    <w:p>
      <w:pPr>
        <w:pStyle w:val="ListParagraph"/>
        <w:numPr>
          <w:ilvl w:val="0"/>
          <w:numId w:val="129"/>
        </w:numPr>
        <w:tabs>
          <w:tab w:pos="2580" w:val="left" w:leader="none"/>
          <w:tab w:pos="2581" w:val="left" w:leader="none"/>
        </w:tabs>
        <w:spacing w:line="240" w:lineRule="auto" w:before="33" w:after="0"/>
        <w:ind w:left="2580" w:right="0" w:hanging="721"/>
        <w:jc w:val="left"/>
        <w:rPr>
          <w:sz w:val="18"/>
        </w:rPr>
      </w:pPr>
      <w:r>
        <w:rPr>
          <w:sz w:val="18"/>
        </w:rPr>
        <w:t>(Refused)</w:t>
      </w:r>
    </w:p>
    <w:p>
      <w:pPr>
        <w:pStyle w:val="BodyText"/>
        <w:spacing w:before="1"/>
        <w:rPr>
          <w:sz w:val="19"/>
        </w:rPr>
      </w:pPr>
    </w:p>
    <w:p>
      <w:pPr>
        <w:pStyle w:val="ListParagraph"/>
        <w:numPr>
          <w:ilvl w:val="1"/>
          <w:numId w:val="126"/>
        </w:numPr>
        <w:tabs>
          <w:tab w:pos="1838" w:val="left" w:leader="none"/>
          <w:tab w:pos="1839" w:val="left" w:leader="none"/>
        </w:tabs>
        <w:spacing w:line="240" w:lineRule="auto" w:before="0" w:after="0"/>
        <w:ind w:left="1838" w:right="0" w:hanging="699"/>
        <w:jc w:val="left"/>
        <w:rPr>
          <w:sz w:val="18"/>
        </w:rPr>
      </w:pPr>
      <w:r>
        <w:rPr>
          <w:sz w:val="18"/>
        </w:rPr>
        <w:t>I</w:t>
      </w:r>
      <w:r>
        <w:rPr>
          <w:spacing w:val="1"/>
          <w:sz w:val="18"/>
        </w:rPr>
        <w:t> </w:t>
      </w:r>
      <w:r>
        <w:rPr>
          <w:sz w:val="18"/>
        </w:rPr>
        <w:t>was</w:t>
      </w:r>
      <w:r>
        <w:rPr>
          <w:spacing w:val="-2"/>
          <w:sz w:val="18"/>
        </w:rPr>
        <w:t> </w:t>
      </w:r>
      <w:r>
        <w:rPr>
          <w:sz w:val="18"/>
        </w:rPr>
        <w:t>shown</w:t>
      </w:r>
      <w:r>
        <w:rPr>
          <w:spacing w:val="-1"/>
          <w:sz w:val="18"/>
        </w:rPr>
        <w:t> </w:t>
      </w:r>
      <w:r>
        <w:rPr>
          <w:sz w:val="18"/>
        </w:rPr>
        <w:t>how</w:t>
      </w:r>
      <w:r>
        <w:rPr>
          <w:spacing w:val="-3"/>
          <w:sz w:val="18"/>
        </w:rPr>
        <w:t> </w:t>
      </w:r>
      <w:r>
        <w:rPr>
          <w:sz w:val="18"/>
        </w:rPr>
        <w:t>what</w:t>
      </w:r>
      <w:r>
        <w:rPr>
          <w:spacing w:val="-5"/>
          <w:sz w:val="18"/>
        </w:rPr>
        <w:t> </w:t>
      </w:r>
      <w:r>
        <w:rPr>
          <w:sz w:val="18"/>
        </w:rPr>
        <w:t>I</w:t>
      </w:r>
      <w:r>
        <w:rPr>
          <w:spacing w:val="1"/>
          <w:sz w:val="18"/>
        </w:rPr>
        <w:t> </w:t>
      </w:r>
      <w:r>
        <w:rPr>
          <w:sz w:val="18"/>
        </w:rPr>
        <w:t>did</w:t>
      </w:r>
      <w:r>
        <w:rPr>
          <w:spacing w:val="-5"/>
          <w:sz w:val="18"/>
        </w:rPr>
        <w:t> </w:t>
      </w:r>
      <w:r>
        <w:rPr>
          <w:sz w:val="18"/>
        </w:rPr>
        <w:t>to</w:t>
      </w:r>
      <w:r>
        <w:rPr>
          <w:spacing w:val="-2"/>
          <w:sz w:val="18"/>
        </w:rPr>
        <w:t> </w:t>
      </w:r>
      <w:r>
        <w:rPr>
          <w:sz w:val="18"/>
        </w:rPr>
        <w:t>care for</w:t>
      </w:r>
      <w:r>
        <w:rPr>
          <w:spacing w:val="-1"/>
          <w:sz w:val="18"/>
        </w:rPr>
        <w:t> </w:t>
      </w:r>
      <w:r>
        <w:rPr>
          <w:sz w:val="18"/>
        </w:rPr>
        <w:t>myself</w:t>
      </w:r>
      <w:r>
        <w:rPr>
          <w:spacing w:val="-1"/>
          <w:sz w:val="18"/>
        </w:rPr>
        <w:t> </w:t>
      </w:r>
      <w:r>
        <w:rPr>
          <w:sz w:val="18"/>
        </w:rPr>
        <w:t>influenced</w:t>
      </w:r>
      <w:r>
        <w:rPr>
          <w:spacing w:val="1"/>
          <w:sz w:val="18"/>
        </w:rPr>
        <w:t> </w:t>
      </w:r>
      <w:r>
        <w:rPr>
          <w:sz w:val="18"/>
        </w:rPr>
        <w:t>my</w:t>
      </w:r>
      <w:r>
        <w:rPr>
          <w:spacing w:val="-2"/>
          <w:sz w:val="18"/>
        </w:rPr>
        <w:t> </w:t>
      </w:r>
      <w:r>
        <w:rPr>
          <w:sz w:val="18"/>
        </w:rPr>
        <w:t>condition.</w:t>
      </w:r>
    </w:p>
    <w:p>
      <w:pPr>
        <w:pStyle w:val="BodyText"/>
        <w:rPr>
          <w:sz w:val="19"/>
        </w:rPr>
      </w:pPr>
    </w:p>
    <w:p>
      <w:pPr>
        <w:pStyle w:val="ListParagraph"/>
        <w:numPr>
          <w:ilvl w:val="2"/>
          <w:numId w:val="126"/>
        </w:numPr>
        <w:tabs>
          <w:tab w:pos="2580" w:val="left" w:leader="none"/>
          <w:tab w:pos="2581" w:val="left" w:leader="none"/>
        </w:tabs>
        <w:spacing w:line="240" w:lineRule="auto" w:before="0" w:after="0"/>
        <w:ind w:left="2580" w:right="0" w:hanging="721"/>
        <w:jc w:val="left"/>
        <w:rPr>
          <w:sz w:val="18"/>
        </w:rPr>
      </w:pPr>
      <w:r>
        <w:rPr>
          <w:sz w:val="18"/>
        </w:rPr>
        <w:t>None</w:t>
      </w:r>
      <w:r>
        <w:rPr>
          <w:spacing w:val="-2"/>
          <w:sz w:val="18"/>
        </w:rPr>
        <w:t> </w:t>
      </w:r>
      <w:r>
        <w:rPr>
          <w:sz w:val="18"/>
        </w:rPr>
        <w:t>of</w:t>
      </w:r>
      <w:r>
        <w:rPr>
          <w:spacing w:val="-2"/>
          <w:sz w:val="18"/>
        </w:rPr>
        <w:t> </w:t>
      </w:r>
      <w:r>
        <w:rPr>
          <w:sz w:val="18"/>
        </w:rPr>
        <w:t>the time</w:t>
      </w:r>
    </w:p>
    <w:p>
      <w:pPr>
        <w:pStyle w:val="ListParagraph"/>
        <w:numPr>
          <w:ilvl w:val="2"/>
          <w:numId w:val="126"/>
        </w:numPr>
        <w:tabs>
          <w:tab w:pos="2580" w:val="left" w:leader="none"/>
          <w:tab w:pos="2581" w:val="left" w:leader="none"/>
        </w:tabs>
        <w:spacing w:line="240" w:lineRule="auto" w:before="34" w:after="0"/>
        <w:ind w:left="2580" w:right="0" w:hanging="721"/>
        <w:jc w:val="left"/>
        <w:rPr>
          <w:sz w:val="18"/>
        </w:rPr>
      </w:pPr>
      <w:r>
        <w:rPr>
          <w:sz w:val="18"/>
        </w:rPr>
        <w:t>A</w:t>
      </w:r>
      <w:r>
        <w:rPr>
          <w:spacing w:val="-6"/>
          <w:sz w:val="18"/>
        </w:rPr>
        <w:t> </w:t>
      </w:r>
      <w:r>
        <w:rPr>
          <w:sz w:val="18"/>
        </w:rPr>
        <w:t>little</w:t>
      </w:r>
      <w:r>
        <w:rPr>
          <w:spacing w:val="-2"/>
          <w:sz w:val="18"/>
        </w:rPr>
        <w:t> </w:t>
      </w:r>
      <w:r>
        <w:rPr>
          <w:sz w:val="18"/>
        </w:rPr>
        <w:t>of</w:t>
      </w:r>
      <w:r>
        <w:rPr>
          <w:spacing w:val="-2"/>
          <w:sz w:val="18"/>
        </w:rPr>
        <w:t> </w:t>
      </w:r>
      <w:r>
        <w:rPr>
          <w:sz w:val="18"/>
        </w:rPr>
        <w:t>the time</w:t>
      </w:r>
    </w:p>
    <w:p>
      <w:pPr>
        <w:pStyle w:val="ListParagraph"/>
        <w:numPr>
          <w:ilvl w:val="2"/>
          <w:numId w:val="126"/>
        </w:numPr>
        <w:tabs>
          <w:tab w:pos="2580" w:val="left" w:leader="none"/>
          <w:tab w:pos="2581" w:val="left" w:leader="none"/>
        </w:tabs>
        <w:spacing w:line="240" w:lineRule="auto" w:before="33" w:after="0"/>
        <w:ind w:left="2580" w:right="0" w:hanging="721"/>
        <w:jc w:val="left"/>
        <w:rPr>
          <w:sz w:val="18"/>
        </w:rPr>
      </w:pPr>
      <w:r>
        <w:rPr>
          <w:sz w:val="18"/>
        </w:rPr>
        <w:t>Some</w:t>
      </w:r>
      <w:r>
        <w:rPr>
          <w:spacing w:val="-3"/>
          <w:sz w:val="18"/>
        </w:rPr>
        <w:t> </w:t>
      </w:r>
      <w:r>
        <w:rPr>
          <w:sz w:val="18"/>
        </w:rPr>
        <w:t>of</w:t>
      </w:r>
      <w:r>
        <w:rPr>
          <w:spacing w:val="-2"/>
          <w:sz w:val="18"/>
        </w:rPr>
        <w:t> </w:t>
      </w:r>
      <w:r>
        <w:rPr>
          <w:sz w:val="18"/>
        </w:rPr>
        <w:t>the</w:t>
      </w:r>
      <w:r>
        <w:rPr>
          <w:spacing w:val="-1"/>
          <w:sz w:val="18"/>
        </w:rPr>
        <w:t> </w:t>
      </w:r>
      <w:r>
        <w:rPr>
          <w:sz w:val="18"/>
        </w:rPr>
        <w:t>time</w:t>
      </w:r>
    </w:p>
    <w:p>
      <w:pPr>
        <w:pStyle w:val="ListParagraph"/>
        <w:numPr>
          <w:ilvl w:val="2"/>
          <w:numId w:val="126"/>
        </w:numPr>
        <w:tabs>
          <w:tab w:pos="2580" w:val="left" w:leader="none"/>
          <w:tab w:pos="2581" w:val="left" w:leader="none"/>
        </w:tabs>
        <w:spacing w:line="240" w:lineRule="auto" w:before="32" w:after="0"/>
        <w:ind w:left="2580" w:right="0" w:hanging="721"/>
        <w:jc w:val="left"/>
        <w:rPr>
          <w:sz w:val="18"/>
        </w:rPr>
      </w:pPr>
      <w:r>
        <w:rPr>
          <w:sz w:val="18"/>
        </w:rPr>
        <w:t>Most</w:t>
      </w:r>
      <w:r>
        <w:rPr>
          <w:spacing w:val="-3"/>
          <w:sz w:val="18"/>
        </w:rPr>
        <w:t> </w:t>
      </w:r>
      <w:r>
        <w:rPr>
          <w:sz w:val="18"/>
        </w:rPr>
        <w:t>of the time</w:t>
      </w:r>
    </w:p>
    <w:p>
      <w:pPr>
        <w:pStyle w:val="ListParagraph"/>
        <w:numPr>
          <w:ilvl w:val="2"/>
          <w:numId w:val="126"/>
        </w:numPr>
        <w:tabs>
          <w:tab w:pos="2580" w:val="left" w:leader="none"/>
          <w:tab w:pos="2581" w:val="left" w:leader="none"/>
        </w:tabs>
        <w:spacing w:line="240" w:lineRule="auto" w:before="33" w:after="0"/>
        <w:ind w:left="2580" w:right="0" w:hanging="721"/>
        <w:jc w:val="left"/>
        <w:rPr>
          <w:sz w:val="18"/>
        </w:rPr>
      </w:pPr>
      <w:r>
        <w:rPr>
          <w:sz w:val="18"/>
        </w:rPr>
        <w:t>Always</w:t>
      </w:r>
    </w:p>
    <w:p>
      <w:pPr>
        <w:pStyle w:val="ListParagraph"/>
        <w:numPr>
          <w:ilvl w:val="0"/>
          <w:numId w:val="130"/>
        </w:numPr>
        <w:tabs>
          <w:tab w:pos="2580" w:val="left" w:leader="none"/>
          <w:tab w:pos="2581" w:val="left" w:leader="none"/>
        </w:tabs>
        <w:spacing w:line="240" w:lineRule="auto" w:before="34" w:after="0"/>
        <w:ind w:left="2580" w:right="0" w:hanging="721"/>
        <w:jc w:val="left"/>
        <w:rPr>
          <w:sz w:val="18"/>
        </w:rPr>
      </w:pPr>
      <w:r>
        <w:rPr>
          <w:sz w:val="18"/>
        </w:rPr>
        <w:t>(Don’t</w:t>
      </w:r>
      <w:r>
        <w:rPr>
          <w:spacing w:val="-3"/>
          <w:sz w:val="18"/>
        </w:rPr>
        <w:t> </w:t>
      </w:r>
      <w:r>
        <w:rPr>
          <w:sz w:val="18"/>
        </w:rPr>
        <w:t>know)</w:t>
      </w:r>
    </w:p>
    <w:p>
      <w:pPr>
        <w:pStyle w:val="ListParagraph"/>
        <w:numPr>
          <w:ilvl w:val="0"/>
          <w:numId w:val="130"/>
        </w:numPr>
        <w:tabs>
          <w:tab w:pos="2580" w:val="left" w:leader="none"/>
          <w:tab w:pos="2581" w:val="left" w:leader="none"/>
        </w:tabs>
        <w:spacing w:line="240" w:lineRule="auto" w:before="34" w:after="0"/>
        <w:ind w:left="2580" w:right="0" w:hanging="721"/>
        <w:jc w:val="left"/>
        <w:rPr>
          <w:sz w:val="18"/>
        </w:rPr>
      </w:pPr>
      <w:r>
        <w:rPr>
          <w:sz w:val="18"/>
        </w:rPr>
        <w:t>(Refused)</w:t>
      </w:r>
    </w:p>
    <w:p>
      <w:pPr>
        <w:pStyle w:val="BodyText"/>
        <w:rPr>
          <w:sz w:val="19"/>
        </w:rPr>
      </w:pPr>
    </w:p>
    <w:p>
      <w:pPr>
        <w:pStyle w:val="ListParagraph"/>
        <w:numPr>
          <w:ilvl w:val="1"/>
          <w:numId w:val="126"/>
        </w:numPr>
        <w:tabs>
          <w:tab w:pos="1860" w:val="left" w:leader="none"/>
          <w:tab w:pos="1861" w:val="left" w:leader="none"/>
        </w:tabs>
        <w:spacing w:line="240" w:lineRule="auto" w:before="0" w:after="0"/>
        <w:ind w:left="1860" w:right="0" w:hanging="721"/>
        <w:jc w:val="left"/>
        <w:rPr>
          <w:sz w:val="18"/>
        </w:rPr>
      </w:pPr>
      <w:r>
        <w:rPr>
          <w:sz w:val="18"/>
        </w:rPr>
        <w:t>I</w:t>
      </w:r>
      <w:r>
        <w:rPr>
          <w:spacing w:val="1"/>
          <w:sz w:val="18"/>
        </w:rPr>
        <w:t> </w:t>
      </w:r>
      <w:r>
        <w:rPr>
          <w:sz w:val="18"/>
        </w:rPr>
        <w:t>was</w:t>
      </w:r>
      <w:r>
        <w:rPr>
          <w:spacing w:val="-2"/>
          <w:sz w:val="18"/>
        </w:rPr>
        <w:t> </w:t>
      </w:r>
      <w:r>
        <w:rPr>
          <w:sz w:val="18"/>
        </w:rPr>
        <w:t>asked</w:t>
      </w:r>
      <w:r>
        <w:rPr>
          <w:spacing w:val="-2"/>
          <w:sz w:val="18"/>
        </w:rPr>
        <w:t> </w:t>
      </w:r>
      <w:r>
        <w:rPr>
          <w:sz w:val="18"/>
        </w:rPr>
        <w:t>to</w:t>
      </w:r>
      <w:r>
        <w:rPr>
          <w:spacing w:val="-2"/>
          <w:sz w:val="18"/>
        </w:rPr>
        <w:t> </w:t>
      </w:r>
      <w:r>
        <w:rPr>
          <w:sz w:val="18"/>
        </w:rPr>
        <w:t>talk about</w:t>
      </w:r>
      <w:r>
        <w:rPr>
          <w:spacing w:val="-3"/>
          <w:sz w:val="18"/>
        </w:rPr>
        <w:t> </w:t>
      </w:r>
      <w:r>
        <w:rPr>
          <w:sz w:val="18"/>
        </w:rPr>
        <w:t>my</w:t>
      </w:r>
      <w:r>
        <w:rPr>
          <w:spacing w:val="-2"/>
          <w:sz w:val="18"/>
        </w:rPr>
        <w:t> </w:t>
      </w:r>
      <w:r>
        <w:rPr>
          <w:sz w:val="18"/>
        </w:rPr>
        <w:t>goals</w:t>
      </w:r>
      <w:r>
        <w:rPr>
          <w:spacing w:val="-2"/>
          <w:sz w:val="18"/>
        </w:rPr>
        <w:t> </w:t>
      </w:r>
      <w:r>
        <w:rPr>
          <w:sz w:val="18"/>
        </w:rPr>
        <w:t>in</w:t>
      </w:r>
      <w:r>
        <w:rPr>
          <w:spacing w:val="-1"/>
          <w:sz w:val="18"/>
        </w:rPr>
        <w:t> </w:t>
      </w:r>
      <w:r>
        <w:rPr>
          <w:sz w:val="18"/>
        </w:rPr>
        <w:t>caring</w:t>
      </w:r>
      <w:r>
        <w:rPr>
          <w:spacing w:val="-1"/>
          <w:sz w:val="18"/>
        </w:rPr>
        <w:t> </w:t>
      </w:r>
      <w:r>
        <w:rPr>
          <w:sz w:val="18"/>
        </w:rPr>
        <w:t>for</w:t>
      </w:r>
      <w:r>
        <w:rPr>
          <w:spacing w:val="-1"/>
          <w:sz w:val="18"/>
        </w:rPr>
        <w:t> </w:t>
      </w:r>
      <w:r>
        <w:rPr>
          <w:sz w:val="18"/>
        </w:rPr>
        <w:t>my</w:t>
      </w:r>
      <w:r>
        <w:rPr>
          <w:spacing w:val="-2"/>
          <w:sz w:val="18"/>
        </w:rPr>
        <w:t> </w:t>
      </w:r>
      <w:r>
        <w:rPr>
          <w:sz w:val="18"/>
        </w:rPr>
        <w:t>condition.</w:t>
      </w:r>
    </w:p>
    <w:p>
      <w:pPr>
        <w:pStyle w:val="BodyText"/>
        <w:spacing w:before="12"/>
        <w:rPr>
          <w:sz w:val="18"/>
        </w:rPr>
      </w:pPr>
    </w:p>
    <w:p>
      <w:pPr>
        <w:pStyle w:val="ListParagraph"/>
        <w:numPr>
          <w:ilvl w:val="2"/>
          <w:numId w:val="126"/>
        </w:numPr>
        <w:tabs>
          <w:tab w:pos="2580" w:val="left" w:leader="none"/>
          <w:tab w:pos="2581" w:val="left" w:leader="none"/>
        </w:tabs>
        <w:spacing w:line="240" w:lineRule="auto" w:before="0" w:after="0"/>
        <w:ind w:left="2580" w:right="0" w:hanging="721"/>
        <w:jc w:val="left"/>
        <w:rPr>
          <w:sz w:val="18"/>
        </w:rPr>
      </w:pPr>
      <w:r>
        <w:rPr>
          <w:sz w:val="18"/>
        </w:rPr>
        <w:t>None</w:t>
      </w:r>
      <w:r>
        <w:rPr>
          <w:spacing w:val="-2"/>
          <w:sz w:val="18"/>
        </w:rPr>
        <w:t> </w:t>
      </w:r>
      <w:r>
        <w:rPr>
          <w:sz w:val="18"/>
        </w:rPr>
        <w:t>of</w:t>
      </w:r>
      <w:r>
        <w:rPr>
          <w:spacing w:val="-2"/>
          <w:sz w:val="18"/>
        </w:rPr>
        <w:t> </w:t>
      </w:r>
      <w:r>
        <w:rPr>
          <w:sz w:val="18"/>
        </w:rPr>
        <w:t>the time</w:t>
      </w:r>
    </w:p>
    <w:p>
      <w:pPr>
        <w:pStyle w:val="ListParagraph"/>
        <w:numPr>
          <w:ilvl w:val="2"/>
          <w:numId w:val="126"/>
        </w:numPr>
        <w:tabs>
          <w:tab w:pos="2580" w:val="left" w:leader="none"/>
          <w:tab w:pos="2581" w:val="left" w:leader="none"/>
        </w:tabs>
        <w:spacing w:line="240" w:lineRule="auto" w:before="34" w:after="0"/>
        <w:ind w:left="2580" w:right="0" w:hanging="721"/>
        <w:jc w:val="left"/>
        <w:rPr>
          <w:sz w:val="18"/>
        </w:rPr>
      </w:pPr>
      <w:r>
        <w:rPr>
          <w:sz w:val="18"/>
        </w:rPr>
        <w:t>A</w:t>
      </w:r>
      <w:r>
        <w:rPr>
          <w:spacing w:val="-6"/>
          <w:sz w:val="18"/>
        </w:rPr>
        <w:t> </w:t>
      </w:r>
      <w:r>
        <w:rPr>
          <w:sz w:val="18"/>
        </w:rPr>
        <w:t>little</w:t>
      </w:r>
      <w:r>
        <w:rPr>
          <w:spacing w:val="-2"/>
          <w:sz w:val="18"/>
        </w:rPr>
        <w:t> </w:t>
      </w:r>
      <w:r>
        <w:rPr>
          <w:sz w:val="18"/>
        </w:rPr>
        <w:t>of</w:t>
      </w:r>
      <w:r>
        <w:rPr>
          <w:spacing w:val="-2"/>
          <w:sz w:val="18"/>
        </w:rPr>
        <w:t> </w:t>
      </w:r>
      <w:r>
        <w:rPr>
          <w:sz w:val="18"/>
        </w:rPr>
        <w:t>the time</w:t>
      </w:r>
    </w:p>
    <w:p>
      <w:pPr>
        <w:pStyle w:val="ListParagraph"/>
        <w:numPr>
          <w:ilvl w:val="2"/>
          <w:numId w:val="126"/>
        </w:numPr>
        <w:tabs>
          <w:tab w:pos="2580" w:val="left" w:leader="none"/>
          <w:tab w:pos="2581" w:val="left" w:leader="none"/>
        </w:tabs>
        <w:spacing w:line="240" w:lineRule="auto" w:before="31" w:after="0"/>
        <w:ind w:left="2580" w:right="0" w:hanging="721"/>
        <w:jc w:val="left"/>
        <w:rPr>
          <w:sz w:val="18"/>
        </w:rPr>
      </w:pPr>
      <w:r>
        <w:rPr>
          <w:sz w:val="18"/>
        </w:rPr>
        <w:t>Some</w:t>
      </w:r>
      <w:r>
        <w:rPr>
          <w:spacing w:val="-3"/>
          <w:sz w:val="18"/>
        </w:rPr>
        <w:t> </w:t>
      </w:r>
      <w:r>
        <w:rPr>
          <w:sz w:val="18"/>
        </w:rPr>
        <w:t>of</w:t>
      </w:r>
      <w:r>
        <w:rPr>
          <w:spacing w:val="-2"/>
          <w:sz w:val="18"/>
        </w:rPr>
        <w:t> </w:t>
      </w:r>
      <w:r>
        <w:rPr>
          <w:sz w:val="18"/>
        </w:rPr>
        <w:t>the</w:t>
      </w:r>
      <w:r>
        <w:rPr>
          <w:spacing w:val="-1"/>
          <w:sz w:val="18"/>
        </w:rPr>
        <w:t> </w:t>
      </w:r>
      <w:r>
        <w:rPr>
          <w:sz w:val="18"/>
        </w:rPr>
        <w:t>time</w:t>
      </w:r>
    </w:p>
    <w:p>
      <w:pPr>
        <w:pStyle w:val="ListParagraph"/>
        <w:numPr>
          <w:ilvl w:val="2"/>
          <w:numId w:val="126"/>
        </w:numPr>
        <w:tabs>
          <w:tab w:pos="2580" w:val="left" w:leader="none"/>
          <w:tab w:pos="2581" w:val="left" w:leader="none"/>
        </w:tabs>
        <w:spacing w:line="240" w:lineRule="auto" w:before="34" w:after="0"/>
        <w:ind w:left="2580" w:right="0" w:hanging="721"/>
        <w:jc w:val="left"/>
        <w:rPr>
          <w:sz w:val="18"/>
        </w:rPr>
      </w:pPr>
      <w:r>
        <w:rPr>
          <w:sz w:val="18"/>
        </w:rPr>
        <w:t>Most</w:t>
      </w:r>
      <w:r>
        <w:rPr>
          <w:spacing w:val="-3"/>
          <w:sz w:val="18"/>
        </w:rPr>
        <w:t> </w:t>
      </w:r>
      <w:r>
        <w:rPr>
          <w:sz w:val="18"/>
        </w:rPr>
        <w:t>of</w:t>
      </w:r>
      <w:r>
        <w:rPr>
          <w:spacing w:val="-1"/>
          <w:sz w:val="18"/>
        </w:rPr>
        <w:t> </w:t>
      </w:r>
      <w:r>
        <w:rPr>
          <w:sz w:val="18"/>
        </w:rPr>
        <w:t>the time</w:t>
      </w:r>
    </w:p>
    <w:p>
      <w:pPr>
        <w:pStyle w:val="ListParagraph"/>
        <w:numPr>
          <w:ilvl w:val="2"/>
          <w:numId w:val="126"/>
        </w:numPr>
        <w:tabs>
          <w:tab w:pos="2580" w:val="left" w:leader="none"/>
          <w:tab w:pos="2581" w:val="left" w:leader="none"/>
        </w:tabs>
        <w:spacing w:line="240" w:lineRule="auto" w:before="34" w:after="0"/>
        <w:ind w:left="2580" w:right="0" w:hanging="721"/>
        <w:jc w:val="left"/>
        <w:rPr>
          <w:sz w:val="18"/>
        </w:rPr>
      </w:pPr>
      <w:r>
        <w:rPr>
          <w:sz w:val="18"/>
        </w:rPr>
        <w:t>Always</w:t>
      </w:r>
    </w:p>
    <w:p>
      <w:pPr>
        <w:spacing w:after="0" w:line="240" w:lineRule="auto"/>
        <w:jc w:val="left"/>
        <w:rPr>
          <w:sz w:val="18"/>
        </w:rPr>
        <w:sectPr>
          <w:pgSz w:w="11910" w:h="16840"/>
          <w:pgMar w:header="0" w:footer="948" w:top="860" w:bottom="1140" w:left="300" w:right="0"/>
        </w:sectPr>
      </w:pPr>
    </w:p>
    <w:p>
      <w:pPr>
        <w:pStyle w:val="ListParagraph"/>
        <w:numPr>
          <w:ilvl w:val="0"/>
          <w:numId w:val="131"/>
        </w:numPr>
        <w:tabs>
          <w:tab w:pos="2580" w:val="left" w:leader="none"/>
          <w:tab w:pos="2581" w:val="left" w:leader="none"/>
        </w:tabs>
        <w:spacing w:line="240" w:lineRule="auto" w:before="75" w:after="0"/>
        <w:ind w:left="2580" w:right="0" w:hanging="721"/>
        <w:jc w:val="left"/>
        <w:rPr>
          <w:sz w:val="18"/>
        </w:rPr>
      </w:pPr>
      <w:r>
        <w:rPr>
          <w:sz w:val="18"/>
        </w:rPr>
        <w:t>(Don’t</w:t>
      </w:r>
      <w:r>
        <w:rPr>
          <w:spacing w:val="-3"/>
          <w:sz w:val="18"/>
        </w:rPr>
        <w:t> </w:t>
      </w:r>
      <w:r>
        <w:rPr>
          <w:sz w:val="18"/>
        </w:rPr>
        <w:t>know)</w:t>
      </w:r>
    </w:p>
    <w:p>
      <w:pPr>
        <w:pStyle w:val="ListParagraph"/>
        <w:numPr>
          <w:ilvl w:val="0"/>
          <w:numId w:val="131"/>
        </w:numPr>
        <w:tabs>
          <w:tab w:pos="2580" w:val="left" w:leader="none"/>
          <w:tab w:pos="2581" w:val="left" w:leader="none"/>
        </w:tabs>
        <w:spacing w:line="240" w:lineRule="auto" w:before="32" w:after="0"/>
        <w:ind w:left="2580" w:right="0" w:hanging="721"/>
        <w:jc w:val="left"/>
        <w:rPr>
          <w:sz w:val="18"/>
        </w:rPr>
      </w:pPr>
      <w:r>
        <w:rPr>
          <w:sz w:val="18"/>
        </w:rPr>
        <w:t>(Refused)</w:t>
      </w:r>
    </w:p>
    <w:p>
      <w:pPr>
        <w:pStyle w:val="BodyText"/>
        <w:rPr>
          <w:sz w:val="19"/>
        </w:rPr>
      </w:pPr>
    </w:p>
    <w:p>
      <w:pPr>
        <w:pStyle w:val="ListParagraph"/>
        <w:numPr>
          <w:ilvl w:val="1"/>
          <w:numId w:val="126"/>
        </w:numPr>
        <w:tabs>
          <w:tab w:pos="1838" w:val="left" w:leader="none"/>
          <w:tab w:pos="1839" w:val="left" w:leader="none"/>
        </w:tabs>
        <w:spacing w:line="240" w:lineRule="auto" w:before="0" w:after="0"/>
        <w:ind w:left="1838" w:right="0" w:hanging="699"/>
        <w:jc w:val="left"/>
        <w:rPr>
          <w:sz w:val="18"/>
        </w:rPr>
      </w:pPr>
      <w:r>
        <w:rPr>
          <w:sz w:val="18"/>
        </w:rPr>
        <w:t>I was</w:t>
      </w:r>
      <w:r>
        <w:rPr>
          <w:spacing w:val="-2"/>
          <w:sz w:val="18"/>
        </w:rPr>
        <w:t> </w:t>
      </w:r>
      <w:r>
        <w:rPr>
          <w:sz w:val="18"/>
        </w:rPr>
        <w:t>helped</w:t>
      </w:r>
      <w:r>
        <w:rPr>
          <w:spacing w:val="-3"/>
          <w:sz w:val="18"/>
        </w:rPr>
        <w:t> </w:t>
      </w:r>
      <w:r>
        <w:rPr>
          <w:sz w:val="18"/>
        </w:rPr>
        <w:t>to</w:t>
      </w:r>
      <w:r>
        <w:rPr>
          <w:spacing w:val="-2"/>
          <w:sz w:val="18"/>
        </w:rPr>
        <w:t> </w:t>
      </w:r>
      <w:r>
        <w:rPr>
          <w:sz w:val="18"/>
        </w:rPr>
        <w:t>set</w:t>
      </w:r>
      <w:r>
        <w:rPr>
          <w:spacing w:val="-2"/>
          <w:sz w:val="18"/>
        </w:rPr>
        <w:t> </w:t>
      </w:r>
      <w:r>
        <w:rPr>
          <w:sz w:val="18"/>
        </w:rPr>
        <w:t>specific</w:t>
      </w:r>
      <w:r>
        <w:rPr>
          <w:spacing w:val="-4"/>
          <w:sz w:val="18"/>
        </w:rPr>
        <w:t> </w:t>
      </w:r>
      <w:r>
        <w:rPr>
          <w:sz w:val="18"/>
        </w:rPr>
        <w:t>goals</w:t>
      </w:r>
      <w:r>
        <w:rPr>
          <w:spacing w:val="-2"/>
          <w:sz w:val="18"/>
        </w:rPr>
        <w:t> </w:t>
      </w:r>
      <w:r>
        <w:rPr>
          <w:sz w:val="18"/>
        </w:rPr>
        <w:t>to</w:t>
      </w:r>
      <w:r>
        <w:rPr>
          <w:spacing w:val="-2"/>
          <w:sz w:val="18"/>
        </w:rPr>
        <w:t> </w:t>
      </w:r>
      <w:r>
        <w:rPr>
          <w:sz w:val="18"/>
        </w:rPr>
        <w:t>improve</w:t>
      </w:r>
      <w:r>
        <w:rPr>
          <w:spacing w:val="1"/>
          <w:sz w:val="18"/>
        </w:rPr>
        <w:t> </w:t>
      </w:r>
      <w:r>
        <w:rPr>
          <w:sz w:val="18"/>
        </w:rPr>
        <w:t>my</w:t>
      </w:r>
      <w:r>
        <w:rPr>
          <w:spacing w:val="-2"/>
          <w:sz w:val="18"/>
        </w:rPr>
        <w:t> </w:t>
      </w:r>
      <w:r>
        <w:rPr>
          <w:sz w:val="18"/>
        </w:rPr>
        <w:t>eating</w:t>
      </w:r>
      <w:r>
        <w:rPr>
          <w:spacing w:val="-2"/>
          <w:sz w:val="18"/>
        </w:rPr>
        <w:t> </w:t>
      </w:r>
      <w:r>
        <w:rPr>
          <w:sz w:val="18"/>
        </w:rPr>
        <w:t>or</w:t>
      </w:r>
      <w:r>
        <w:rPr>
          <w:spacing w:val="-2"/>
          <w:sz w:val="18"/>
        </w:rPr>
        <w:t> </w:t>
      </w:r>
      <w:r>
        <w:rPr>
          <w:sz w:val="18"/>
        </w:rPr>
        <w:t>exercise.</w:t>
      </w:r>
    </w:p>
    <w:p>
      <w:pPr>
        <w:pStyle w:val="BodyText"/>
        <w:spacing w:before="2"/>
        <w:rPr>
          <w:sz w:val="19"/>
        </w:rPr>
      </w:pPr>
    </w:p>
    <w:p>
      <w:pPr>
        <w:pStyle w:val="ListParagraph"/>
        <w:numPr>
          <w:ilvl w:val="2"/>
          <w:numId w:val="126"/>
        </w:numPr>
        <w:tabs>
          <w:tab w:pos="2580" w:val="left" w:leader="none"/>
          <w:tab w:pos="2581" w:val="left" w:leader="none"/>
        </w:tabs>
        <w:spacing w:line="240" w:lineRule="auto" w:before="0" w:after="0"/>
        <w:ind w:left="2580" w:right="0" w:hanging="721"/>
        <w:jc w:val="left"/>
        <w:rPr>
          <w:sz w:val="18"/>
        </w:rPr>
      </w:pPr>
      <w:r>
        <w:rPr>
          <w:sz w:val="18"/>
        </w:rPr>
        <w:t>None</w:t>
      </w:r>
      <w:r>
        <w:rPr>
          <w:spacing w:val="-2"/>
          <w:sz w:val="18"/>
        </w:rPr>
        <w:t> </w:t>
      </w:r>
      <w:r>
        <w:rPr>
          <w:sz w:val="18"/>
        </w:rPr>
        <w:t>of</w:t>
      </w:r>
      <w:r>
        <w:rPr>
          <w:spacing w:val="-2"/>
          <w:sz w:val="18"/>
        </w:rPr>
        <w:t> </w:t>
      </w:r>
      <w:r>
        <w:rPr>
          <w:sz w:val="18"/>
        </w:rPr>
        <w:t>the time</w:t>
      </w:r>
    </w:p>
    <w:p>
      <w:pPr>
        <w:pStyle w:val="ListParagraph"/>
        <w:numPr>
          <w:ilvl w:val="2"/>
          <w:numId w:val="126"/>
        </w:numPr>
        <w:tabs>
          <w:tab w:pos="2580" w:val="left" w:leader="none"/>
          <w:tab w:pos="2581" w:val="left" w:leader="none"/>
        </w:tabs>
        <w:spacing w:line="240" w:lineRule="auto" w:before="32" w:after="0"/>
        <w:ind w:left="2580" w:right="0" w:hanging="721"/>
        <w:jc w:val="left"/>
        <w:rPr>
          <w:sz w:val="18"/>
        </w:rPr>
      </w:pPr>
      <w:r>
        <w:rPr>
          <w:sz w:val="18"/>
        </w:rPr>
        <w:t>A</w:t>
      </w:r>
      <w:r>
        <w:rPr>
          <w:spacing w:val="-6"/>
          <w:sz w:val="18"/>
        </w:rPr>
        <w:t> </w:t>
      </w:r>
      <w:r>
        <w:rPr>
          <w:sz w:val="18"/>
        </w:rPr>
        <w:t>little</w:t>
      </w:r>
      <w:r>
        <w:rPr>
          <w:spacing w:val="-2"/>
          <w:sz w:val="18"/>
        </w:rPr>
        <w:t> </w:t>
      </w:r>
      <w:r>
        <w:rPr>
          <w:sz w:val="18"/>
        </w:rPr>
        <w:t>of</w:t>
      </w:r>
      <w:r>
        <w:rPr>
          <w:spacing w:val="-2"/>
          <w:sz w:val="18"/>
        </w:rPr>
        <w:t> </w:t>
      </w:r>
      <w:r>
        <w:rPr>
          <w:sz w:val="18"/>
        </w:rPr>
        <w:t>the time</w:t>
      </w:r>
    </w:p>
    <w:p>
      <w:pPr>
        <w:pStyle w:val="ListParagraph"/>
        <w:numPr>
          <w:ilvl w:val="2"/>
          <w:numId w:val="126"/>
        </w:numPr>
        <w:tabs>
          <w:tab w:pos="2580" w:val="left" w:leader="none"/>
          <w:tab w:pos="2581" w:val="left" w:leader="none"/>
        </w:tabs>
        <w:spacing w:line="240" w:lineRule="auto" w:before="33" w:after="0"/>
        <w:ind w:left="2580" w:right="0" w:hanging="721"/>
        <w:jc w:val="left"/>
        <w:rPr>
          <w:sz w:val="18"/>
        </w:rPr>
      </w:pPr>
      <w:r>
        <w:rPr>
          <w:sz w:val="18"/>
        </w:rPr>
        <w:t>Some</w:t>
      </w:r>
      <w:r>
        <w:rPr>
          <w:spacing w:val="-3"/>
          <w:sz w:val="18"/>
        </w:rPr>
        <w:t> </w:t>
      </w:r>
      <w:r>
        <w:rPr>
          <w:sz w:val="18"/>
        </w:rPr>
        <w:t>of</w:t>
      </w:r>
      <w:r>
        <w:rPr>
          <w:spacing w:val="-2"/>
          <w:sz w:val="18"/>
        </w:rPr>
        <w:t> </w:t>
      </w:r>
      <w:r>
        <w:rPr>
          <w:sz w:val="18"/>
        </w:rPr>
        <w:t>the</w:t>
      </w:r>
      <w:r>
        <w:rPr>
          <w:spacing w:val="-1"/>
          <w:sz w:val="18"/>
        </w:rPr>
        <w:t> </w:t>
      </w:r>
      <w:r>
        <w:rPr>
          <w:sz w:val="18"/>
        </w:rPr>
        <w:t>time</w:t>
      </w:r>
    </w:p>
    <w:p>
      <w:pPr>
        <w:pStyle w:val="ListParagraph"/>
        <w:numPr>
          <w:ilvl w:val="2"/>
          <w:numId w:val="126"/>
        </w:numPr>
        <w:tabs>
          <w:tab w:pos="2580" w:val="left" w:leader="none"/>
          <w:tab w:pos="2581" w:val="left" w:leader="none"/>
        </w:tabs>
        <w:spacing w:line="240" w:lineRule="auto" w:before="34" w:after="0"/>
        <w:ind w:left="2580" w:right="0" w:hanging="721"/>
        <w:jc w:val="left"/>
        <w:rPr>
          <w:sz w:val="18"/>
        </w:rPr>
      </w:pPr>
      <w:r>
        <w:rPr>
          <w:sz w:val="18"/>
        </w:rPr>
        <w:t>Most</w:t>
      </w:r>
      <w:r>
        <w:rPr>
          <w:spacing w:val="-3"/>
          <w:sz w:val="18"/>
        </w:rPr>
        <w:t> </w:t>
      </w:r>
      <w:r>
        <w:rPr>
          <w:sz w:val="18"/>
        </w:rPr>
        <w:t>of</w:t>
      </w:r>
      <w:r>
        <w:rPr>
          <w:spacing w:val="-1"/>
          <w:sz w:val="18"/>
        </w:rPr>
        <w:t> </w:t>
      </w:r>
      <w:r>
        <w:rPr>
          <w:sz w:val="18"/>
        </w:rPr>
        <w:t>the time</w:t>
      </w:r>
    </w:p>
    <w:p>
      <w:pPr>
        <w:pStyle w:val="ListParagraph"/>
        <w:numPr>
          <w:ilvl w:val="2"/>
          <w:numId w:val="126"/>
        </w:numPr>
        <w:tabs>
          <w:tab w:pos="2580" w:val="left" w:leader="none"/>
          <w:tab w:pos="2581" w:val="left" w:leader="none"/>
        </w:tabs>
        <w:spacing w:line="240" w:lineRule="auto" w:before="34" w:after="0"/>
        <w:ind w:left="2580" w:right="0" w:hanging="721"/>
        <w:jc w:val="left"/>
        <w:rPr>
          <w:sz w:val="18"/>
        </w:rPr>
      </w:pPr>
      <w:r>
        <w:rPr>
          <w:sz w:val="18"/>
        </w:rPr>
        <w:t>Always</w:t>
      </w:r>
    </w:p>
    <w:p>
      <w:pPr>
        <w:pStyle w:val="ListParagraph"/>
        <w:numPr>
          <w:ilvl w:val="0"/>
          <w:numId w:val="132"/>
        </w:numPr>
        <w:tabs>
          <w:tab w:pos="2580" w:val="left" w:leader="none"/>
          <w:tab w:pos="2581" w:val="left" w:leader="none"/>
        </w:tabs>
        <w:spacing w:line="240" w:lineRule="auto" w:before="31" w:after="0"/>
        <w:ind w:left="2580" w:right="0" w:hanging="721"/>
        <w:jc w:val="left"/>
        <w:rPr>
          <w:sz w:val="18"/>
        </w:rPr>
      </w:pPr>
      <w:r>
        <w:rPr>
          <w:sz w:val="18"/>
        </w:rPr>
        <w:t>(Don’t</w:t>
      </w:r>
      <w:r>
        <w:rPr>
          <w:spacing w:val="-3"/>
          <w:sz w:val="18"/>
        </w:rPr>
        <w:t> </w:t>
      </w:r>
      <w:r>
        <w:rPr>
          <w:sz w:val="18"/>
        </w:rPr>
        <w:t>know)</w:t>
      </w:r>
    </w:p>
    <w:p>
      <w:pPr>
        <w:pStyle w:val="ListParagraph"/>
        <w:numPr>
          <w:ilvl w:val="0"/>
          <w:numId w:val="132"/>
        </w:numPr>
        <w:tabs>
          <w:tab w:pos="2580" w:val="left" w:leader="none"/>
          <w:tab w:pos="2581" w:val="left" w:leader="none"/>
        </w:tabs>
        <w:spacing w:line="240" w:lineRule="auto" w:before="34" w:after="0"/>
        <w:ind w:left="2580" w:right="0" w:hanging="721"/>
        <w:jc w:val="left"/>
        <w:rPr>
          <w:sz w:val="18"/>
        </w:rPr>
      </w:pPr>
      <w:r>
        <w:rPr>
          <w:sz w:val="18"/>
        </w:rPr>
        <w:t>(Refused)</w:t>
      </w:r>
    </w:p>
    <w:p>
      <w:pPr>
        <w:pStyle w:val="BodyText"/>
        <w:rPr>
          <w:sz w:val="19"/>
        </w:rPr>
      </w:pPr>
    </w:p>
    <w:p>
      <w:pPr>
        <w:tabs>
          <w:tab w:pos="1128" w:val="left" w:leader="none"/>
        </w:tabs>
        <w:spacing w:line="276" w:lineRule="auto" w:before="0"/>
        <w:ind w:left="1128" w:right="1039" w:hanging="709"/>
        <w:jc w:val="left"/>
        <w:rPr>
          <w:sz w:val="18"/>
        </w:rPr>
      </w:pPr>
      <w:r>
        <w:rPr>
          <w:sz w:val="18"/>
        </w:rPr>
        <w:t>Q12</w:t>
        <w:tab/>
        <w:t>Over the past 6 months&lt;&lt;</w:t>
      </w:r>
      <w:r>
        <w:rPr>
          <w:b/>
          <w:sz w:val="18"/>
        </w:rPr>
        <w:t>Interview 1 only:</w:t>
      </w:r>
      <w:r>
        <w:rPr>
          <w:b/>
          <w:spacing w:val="1"/>
          <w:sz w:val="18"/>
        </w:rPr>
        <w:t> </w:t>
      </w:r>
      <w:r>
        <w:rPr>
          <w:sz w:val="18"/>
        </w:rPr>
        <w:t>prior to enrolling in the Health Care Homes program&gt;&gt;, when you</w:t>
      </w:r>
      <w:r>
        <w:rPr>
          <w:spacing w:val="-47"/>
          <w:sz w:val="18"/>
        </w:rPr>
        <w:t> </w:t>
      </w:r>
      <w:r>
        <w:rPr>
          <w:sz w:val="18"/>
        </w:rPr>
        <w:t>attended</w:t>
      </w:r>
      <w:r>
        <w:rPr>
          <w:spacing w:val="-1"/>
          <w:sz w:val="18"/>
        </w:rPr>
        <w:t> </w:t>
      </w:r>
      <w:r>
        <w:rPr>
          <w:sz w:val="18"/>
        </w:rPr>
        <w:t>&lt;practice&gt;,</w:t>
      </w:r>
      <w:r>
        <w:rPr>
          <w:spacing w:val="-1"/>
          <w:sz w:val="18"/>
        </w:rPr>
        <w:t> </w:t>
      </w:r>
      <w:r>
        <w:rPr>
          <w:sz w:val="18"/>
        </w:rPr>
        <w:t>how often</w:t>
      </w:r>
      <w:r>
        <w:rPr>
          <w:spacing w:val="1"/>
          <w:sz w:val="18"/>
        </w:rPr>
        <w:t> </w:t>
      </w:r>
      <w:r>
        <w:rPr>
          <w:sz w:val="18"/>
        </w:rPr>
        <w:t>did</w:t>
      </w:r>
      <w:r>
        <w:rPr>
          <w:spacing w:val="-2"/>
          <w:sz w:val="18"/>
        </w:rPr>
        <w:t> </w:t>
      </w:r>
      <w:r>
        <w:rPr>
          <w:sz w:val="18"/>
        </w:rPr>
        <w:t>the</w:t>
      </w:r>
      <w:r>
        <w:rPr>
          <w:spacing w:val="-1"/>
          <w:sz w:val="18"/>
        </w:rPr>
        <w:t> </w:t>
      </w:r>
      <w:r>
        <w:rPr>
          <w:sz w:val="18"/>
        </w:rPr>
        <w:t>following</w:t>
      </w:r>
      <w:r>
        <w:rPr>
          <w:spacing w:val="-1"/>
          <w:sz w:val="18"/>
        </w:rPr>
        <w:t> </w:t>
      </w:r>
      <w:r>
        <w:rPr>
          <w:sz w:val="18"/>
        </w:rPr>
        <w:t>occur:</w:t>
      </w:r>
    </w:p>
    <w:p>
      <w:pPr>
        <w:pStyle w:val="BodyText"/>
        <w:spacing w:before="4"/>
        <w:rPr>
          <w:sz w:val="16"/>
        </w:rPr>
      </w:pPr>
    </w:p>
    <w:p>
      <w:pPr>
        <w:pStyle w:val="ListParagraph"/>
        <w:numPr>
          <w:ilvl w:val="0"/>
          <w:numId w:val="133"/>
        </w:numPr>
        <w:tabs>
          <w:tab w:pos="1838" w:val="left" w:leader="none"/>
          <w:tab w:pos="1839" w:val="left" w:leader="none"/>
        </w:tabs>
        <w:spacing w:line="240" w:lineRule="auto" w:before="1" w:after="0"/>
        <w:ind w:left="1838" w:right="0" w:hanging="699"/>
        <w:jc w:val="left"/>
        <w:rPr>
          <w:sz w:val="18"/>
        </w:rPr>
      </w:pPr>
      <w:r>
        <w:rPr>
          <w:sz w:val="18"/>
        </w:rPr>
        <w:t>I was</w:t>
      </w:r>
      <w:r>
        <w:rPr>
          <w:spacing w:val="-2"/>
          <w:sz w:val="18"/>
        </w:rPr>
        <w:t> </w:t>
      </w:r>
      <w:r>
        <w:rPr>
          <w:sz w:val="18"/>
        </w:rPr>
        <w:t>given</w:t>
      </w:r>
      <w:r>
        <w:rPr>
          <w:spacing w:val="-3"/>
          <w:sz w:val="18"/>
        </w:rPr>
        <w:t> </w:t>
      </w:r>
      <w:r>
        <w:rPr>
          <w:sz w:val="18"/>
        </w:rPr>
        <w:t>a</w:t>
      </w:r>
      <w:r>
        <w:rPr>
          <w:spacing w:val="-2"/>
          <w:sz w:val="18"/>
        </w:rPr>
        <w:t> </w:t>
      </w:r>
      <w:r>
        <w:rPr>
          <w:sz w:val="18"/>
        </w:rPr>
        <w:t>written list</w:t>
      </w:r>
      <w:r>
        <w:rPr>
          <w:spacing w:val="-3"/>
          <w:sz w:val="18"/>
        </w:rPr>
        <w:t> </w:t>
      </w:r>
      <w:r>
        <w:rPr>
          <w:sz w:val="18"/>
        </w:rPr>
        <w:t>of</w:t>
      </w:r>
      <w:r>
        <w:rPr>
          <w:spacing w:val="-1"/>
          <w:sz w:val="18"/>
        </w:rPr>
        <w:t> </w:t>
      </w:r>
      <w:r>
        <w:rPr>
          <w:sz w:val="18"/>
        </w:rPr>
        <w:t>things</w:t>
      </w:r>
      <w:r>
        <w:rPr>
          <w:spacing w:val="-4"/>
          <w:sz w:val="18"/>
        </w:rPr>
        <w:t> </w:t>
      </w:r>
      <w:r>
        <w:rPr>
          <w:sz w:val="18"/>
        </w:rPr>
        <w:t>I</w:t>
      </w:r>
      <w:r>
        <w:rPr>
          <w:spacing w:val="1"/>
          <w:sz w:val="18"/>
        </w:rPr>
        <w:t> </w:t>
      </w:r>
      <w:r>
        <w:rPr>
          <w:sz w:val="18"/>
        </w:rPr>
        <w:t>should</w:t>
      </w:r>
      <w:r>
        <w:rPr>
          <w:spacing w:val="-2"/>
          <w:sz w:val="18"/>
        </w:rPr>
        <w:t> </w:t>
      </w:r>
      <w:r>
        <w:rPr>
          <w:sz w:val="18"/>
        </w:rPr>
        <w:t>do</w:t>
      </w:r>
      <w:r>
        <w:rPr>
          <w:spacing w:val="-2"/>
          <w:sz w:val="18"/>
        </w:rPr>
        <w:t> </w:t>
      </w:r>
      <w:r>
        <w:rPr>
          <w:sz w:val="18"/>
        </w:rPr>
        <w:t>to</w:t>
      </w:r>
      <w:r>
        <w:rPr>
          <w:spacing w:val="-2"/>
          <w:sz w:val="18"/>
        </w:rPr>
        <w:t> </w:t>
      </w:r>
      <w:r>
        <w:rPr>
          <w:sz w:val="18"/>
        </w:rPr>
        <w:t>improve</w:t>
      </w:r>
      <w:r>
        <w:rPr>
          <w:spacing w:val="-1"/>
          <w:sz w:val="18"/>
        </w:rPr>
        <w:t> </w:t>
      </w:r>
      <w:r>
        <w:rPr>
          <w:sz w:val="18"/>
        </w:rPr>
        <w:t>my</w:t>
      </w:r>
      <w:r>
        <w:rPr>
          <w:spacing w:val="-2"/>
          <w:sz w:val="18"/>
        </w:rPr>
        <w:t> </w:t>
      </w:r>
      <w:r>
        <w:rPr>
          <w:sz w:val="18"/>
        </w:rPr>
        <w:t>health.</w:t>
      </w:r>
    </w:p>
    <w:p>
      <w:pPr>
        <w:pStyle w:val="BodyText"/>
        <w:spacing w:before="12"/>
        <w:rPr>
          <w:sz w:val="18"/>
        </w:rPr>
      </w:pPr>
    </w:p>
    <w:p>
      <w:pPr>
        <w:pStyle w:val="ListParagraph"/>
        <w:numPr>
          <w:ilvl w:val="1"/>
          <w:numId w:val="133"/>
        </w:numPr>
        <w:tabs>
          <w:tab w:pos="2580" w:val="left" w:leader="none"/>
          <w:tab w:pos="2581" w:val="left" w:leader="none"/>
        </w:tabs>
        <w:spacing w:line="240" w:lineRule="auto" w:before="0" w:after="0"/>
        <w:ind w:left="2580" w:right="0" w:hanging="721"/>
        <w:jc w:val="left"/>
        <w:rPr>
          <w:sz w:val="18"/>
        </w:rPr>
      </w:pPr>
      <w:r>
        <w:rPr>
          <w:sz w:val="18"/>
        </w:rPr>
        <w:t>None</w:t>
      </w:r>
      <w:r>
        <w:rPr>
          <w:spacing w:val="-2"/>
          <w:sz w:val="18"/>
        </w:rPr>
        <w:t> </w:t>
      </w:r>
      <w:r>
        <w:rPr>
          <w:sz w:val="18"/>
        </w:rPr>
        <w:t>of</w:t>
      </w:r>
      <w:r>
        <w:rPr>
          <w:spacing w:val="-2"/>
          <w:sz w:val="18"/>
        </w:rPr>
        <w:t> </w:t>
      </w:r>
      <w:r>
        <w:rPr>
          <w:sz w:val="18"/>
        </w:rPr>
        <w:t>the time</w:t>
      </w:r>
    </w:p>
    <w:p>
      <w:pPr>
        <w:pStyle w:val="ListParagraph"/>
        <w:numPr>
          <w:ilvl w:val="1"/>
          <w:numId w:val="133"/>
        </w:numPr>
        <w:tabs>
          <w:tab w:pos="2580" w:val="left" w:leader="none"/>
          <w:tab w:pos="2581" w:val="left" w:leader="none"/>
        </w:tabs>
        <w:spacing w:line="240" w:lineRule="auto" w:before="34" w:after="0"/>
        <w:ind w:left="2580" w:right="0" w:hanging="721"/>
        <w:jc w:val="left"/>
        <w:rPr>
          <w:sz w:val="18"/>
        </w:rPr>
      </w:pPr>
      <w:r>
        <w:rPr>
          <w:sz w:val="18"/>
        </w:rPr>
        <w:t>A</w:t>
      </w:r>
      <w:r>
        <w:rPr>
          <w:spacing w:val="-6"/>
          <w:sz w:val="18"/>
        </w:rPr>
        <w:t> </w:t>
      </w:r>
      <w:r>
        <w:rPr>
          <w:sz w:val="18"/>
        </w:rPr>
        <w:t>little</w:t>
      </w:r>
      <w:r>
        <w:rPr>
          <w:spacing w:val="-2"/>
          <w:sz w:val="18"/>
        </w:rPr>
        <w:t> </w:t>
      </w:r>
      <w:r>
        <w:rPr>
          <w:sz w:val="18"/>
        </w:rPr>
        <w:t>of</w:t>
      </w:r>
      <w:r>
        <w:rPr>
          <w:spacing w:val="-2"/>
          <w:sz w:val="18"/>
        </w:rPr>
        <w:t> </w:t>
      </w:r>
      <w:r>
        <w:rPr>
          <w:sz w:val="18"/>
        </w:rPr>
        <w:t>the time</w:t>
      </w:r>
    </w:p>
    <w:p>
      <w:pPr>
        <w:pStyle w:val="ListParagraph"/>
        <w:numPr>
          <w:ilvl w:val="1"/>
          <w:numId w:val="133"/>
        </w:numPr>
        <w:tabs>
          <w:tab w:pos="2580" w:val="left" w:leader="none"/>
          <w:tab w:pos="2581" w:val="left" w:leader="none"/>
        </w:tabs>
        <w:spacing w:line="240" w:lineRule="auto" w:before="31" w:after="0"/>
        <w:ind w:left="2580" w:right="0" w:hanging="721"/>
        <w:jc w:val="left"/>
        <w:rPr>
          <w:sz w:val="18"/>
        </w:rPr>
      </w:pPr>
      <w:r>
        <w:rPr>
          <w:sz w:val="18"/>
        </w:rPr>
        <w:t>Some</w:t>
      </w:r>
      <w:r>
        <w:rPr>
          <w:spacing w:val="-4"/>
          <w:sz w:val="18"/>
        </w:rPr>
        <w:t> </w:t>
      </w:r>
      <w:r>
        <w:rPr>
          <w:sz w:val="18"/>
        </w:rPr>
        <w:t>of</w:t>
      </w:r>
      <w:r>
        <w:rPr>
          <w:spacing w:val="-3"/>
          <w:sz w:val="18"/>
        </w:rPr>
        <w:t> </w:t>
      </w:r>
      <w:r>
        <w:rPr>
          <w:sz w:val="18"/>
        </w:rPr>
        <w:t>the</w:t>
      </w:r>
      <w:r>
        <w:rPr>
          <w:spacing w:val="-2"/>
          <w:sz w:val="18"/>
        </w:rPr>
        <w:t> </w:t>
      </w:r>
      <w:r>
        <w:rPr>
          <w:sz w:val="18"/>
        </w:rPr>
        <w:t>time</w:t>
      </w:r>
    </w:p>
    <w:p>
      <w:pPr>
        <w:pStyle w:val="ListParagraph"/>
        <w:numPr>
          <w:ilvl w:val="1"/>
          <w:numId w:val="133"/>
        </w:numPr>
        <w:tabs>
          <w:tab w:pos="2580" w:val="left" w:leader="none"/>
          <w:tab w:pos="2581" w:val="left" w:leader="none"/>
        </w:tabs>
        <w:spacing w:line="240" w:lineRule="auto" w:before="34" w:after="0"/>
        <w:ind w:left="2580" w:right="0" w:hanging="721"/>
        <w:jc w:val="left"/>
        <w:rPr>
          <w:sz w:val="18"/>
        </w:rPr>
      </w:pPr>
      <w:r>
        <w:rPr>
          <w:sz w:val="18"/>
        </w:rPr>
        <w:t>Most</w:t>
      </w:r>
      <w:r>
        <w:rPr>
          <w:spacing w:val="-3"/>
          <w:sz w:val="18"/>
        </w:rPr>
        <w:t> </w:t>
      </w:r>
      <w:r>
        <w:rPr>
          <w:sz w:val="18"/>
        </w:rPr>
        <w:t>of</w:t>
      </w:r>
      <w:r>
        <w:rPr>
          <w:spacing w:val="-1"/>
          <w:sz w:val="18"/>
        </w:rPr>
        <w:t> </w:t>
      </w:r>
      <w:r>
        <w:rPr>
          <w:sz w:val="18"/>
        </w:rPr>
        <w:t>the time</w:t>
      </w:r>
    </w:p>
    <w:p>
      <w:pPr>
        <w:pStyle w:val="ListParagraph"/>
        <w:numPr>
          <w:ilvl w:val="1"/>
          <w:numId w:val="133"/>
        </w:numPr>
        <w:tabs>
          <w:tab w:pos="2580" w:val="left" w:leader="none"/>
          <w:tab w:pos="2581" w:val="left" w:leader="none"/>
        </w:tabs>
        <w:spacing w:line="240" w:lineRule="auto" w:before="33" w:after="0"/>
        <w:ind w:left="2580" w:right="0" w:hanging="721"/>
        <w:jc w:val="left"/>
        <w:rPr>
          <w:sz w:val="18"/>
        </w:rPr>
      </w:pPr>
      <w:r>
        <w:rPr>
          <w:sz w:val="18"/>
        </w:rPr>
        <w:t>Always</w:t>
      </w:r>
    </w:p>
    <w:p>
      <w:pPr>
        <w:pStyle w:val="ListParagraph"/>
        <w:numPr>
          <w:ilvl w:val="0"/>
          <w:numId w:val="134"/>
        </w:numPr>
        <w:tabs>
          <w:tab w:pos="2580" w:val="left" w:leader="none"/>
          <w:tab w:pos="2581" w:val="left" w:leader="none"/>
        </w:tabs>
        <w:spacing w:line="240" w:lineRule="auto" w:before="34" w:after="0"/>
        <w:ind w:left="2580" w:right="0" w:hanging="721"/>
        <w:jc w:val="left"/>
        <w:rPr>
          <w:sz w:val="18"/>
        </w:rPr>
      </w:pPr>
      <w:r>
        <w:rPr>
          <w:sz w:val="18"/>
        </w:rPr>
        <w:t>(Don’t</w:t>
      </w:r>
      <w:r>
        <w:rPr>
          <w:spacing w:val="-3"/>
          <w:sz w:val="18"/>
        </w:rPr>
        <w:t> </w:t>
      </w:r>
      <w:r>
        <w:rPr>
          <w:sz w:val="18"/>
        </w:rPr>
        <w:t>know)</w:t>
      </w:r>
    </w:p>
    <w:p>
      <w:pPr>
        <w:pStyle w:val="ListParagraph"/>
        <w:numPr>
          <w:ilvl w:val="0"/>
          <w:numId w:val="134"/>
        </w:numPr>
        <w:tabs>
          <w:tab w:pos="2580" w:val="left" w:leader="none"/>
          <w:tab w:pos="2581" w:val="left" w:leader="none"/>
        </w:tabs>
        <w:spacing w:line="240" w:lineRule="auto" w:before="31" w:after="0"/>
        <w:ind w:left="2580" w:right="0" w:hanging="721"/>
        <w:jc w:val="left"/>
        <w:rPr>
          <w:sz w:val="18"/>
        </w:rPr>
      </w:pPr>
      <w:r>
        <w:rPr>
          <w:sz w:val="18"/>
        </w:rPr>
        <w:t>(Refused)</w:t>
      </w:r>
    </w:p>
    <w:p>
      <w:pPr>
        <w:pStyle w:val="BodyText"/>
        <w:spacing w:before="2"/>
        <w:rPr>
          <w:sz w:val="19"/>
        </w:rPr>
      </w:pPr>
    </w:p>
    <w:p>
      <w:pPr>
        <w:pStyle w:val="ListParagraph"/>
        <w:numPr>
          <w:ilvl w:val="0"/>
          <w:numId w:val="133"/>
        </w:numPr>
        <w:tabs>
          <w:tab w:pos="1838" w:val="left" w:leader="none"/>
          <w:tab w:pos="1839" w:val="left" w:leader="none"/>
        </w:tabs>
        <w:spacing w:line="240" w:lineRule="auto" w:before="1" w:after="0"/>
        <w:ind w:left="1838" w:right="0" w:hanging="699"/>
        <w:jc w:val="left"/>
        <w:rPr>
          <w:sz w:val="18"/>
        </w:rPr>
      </w:pPr>
      <w:r>
        <w:rPr>
          <w:sz w:val="18"/>
        </w:rPr>
        <w:t>I was</w:t>
      </w:r>
      <w:r>
        <w:rPr>
          <w:spacing w:val="-3"/>
          <w:sz w:val="18"/>
        </w:rPr>
        <w:t> </w:t>
      </w:r>
      <w:r>
        <w:rPr>
          <w:sz w:val="18"/>
        </w:rPr>
        <w:t>asked</w:t>
      </w:r>
      <w:r>
        <w:rPr>
          <w:spacing w:val="-3"/>
          <w:sz w:val="18"/>
        </w:rPr>
        <w:t> </w:t>
      </w:r>
      <w:r>
        <w:rPr>
          <w:sz w:val="18"/>
        </w:rPr>
        <w:t>questions,</w:t>
      </w:r>
      <w:r>
        <w:rPr>
          <w:spacing w:val="-2"/>
          <w:sz w:val="18"/>
        </w:rPr>
        <w:t> </w:t>
      </w:r>
      <w:r>
        <w:rPr>
          <w:sz w:val="18"/>
        </w:rPr>
        <w:t>either</w:t>
      </w:r>
      <w:r>
        <w:rPr>
          <w:spacing w:val="-1"/>
          <w:sz w:val="18"/>
        </w:rPr>
        <w:t> </w:t>
      </w:r>
      <w:r>
        <w:rPr>
          <w:sz w:val="18"/>
        </w:rPr>
        <w:t>directly</w:t>
      </w:r>
      <w:r>
        <w:rPr>
          <w:spacing w:val="-3"/>
          <w:sz w:val="18"/>
        </w:rPr>
        <w:t> </w:t>
      </w:r>
      <w:r>
        <w:rPr>
          <w:sz w:val="18"/>
        </w:rPr>
        <w:t>or</w:t>
      </w:r>
      <w:r>
        <w:rPr>
          <w:spacing w:val="-3"/>
          <w:sz w:val="18"/>
        </w:rPr>
        <w:t> </w:t>
      </w:r>
      <w:r>
        <w:rPr>
          <w:sz w:val="18"/>
        </w:rPr>
        <w:t>on</w:t>
      </w:r>
      <w:r>
        <w:rPr>
          <w:spacing w:val="-2"/>
          <w:sz w:val="18"/>
        </w:rPr>
        <w:t> </w:t>
      </w:r>
      <w:r>
        <w:rPr>
          <w:sz w:val="18"/>
        </w:rPr>
        <w:t>a</w:t>
      </w:r>
      <w:r>
        <w:rPr>
          <w:spacing w:val="-3"/>
          <w:sz w:val="18"/>
        </w:rPr>
        <w:t> </w:t>
      </w:r>
      <w:r>
        <w:rPr>
          <w:sz w:val="18"/>
        </w:rPr>
        <w:t>survey,</w:t>
      </w:r>
      <w:r>
        <w:rPr>
          <w:spacing w:val="-4"/>
          <w:sz w:val="18"/>
        </w:rPr>
        <w:t> </w:t>
      </w:r>
      <w:r>
        <w:rPr>
          <w:sz w:val="18"/>
        </w:rPr>
        <w:t>about</w:t>
      </w:r>
      <w:r>
        <w:rPr>
          <w:spacing w:val="-4"/>
          <w:sz w:val="18"/>
        </w:rPr>
        <w:t> </w:t>
      </w:r>
      <w:r>
        <w:rPr>
          <w:sz w:val="18"/>
        </w:rPr>
        <w:t>my</w:t>
      </w:r>
      <w:r>
        <w:rPr>
          <w:spacing w:val="-3"/>
          <w:sz w:val="18"/>
        </w:rPr>
        <w:t> </w:t>
      </w:r>
      <w:r>
        <w:rPr>
          <w:sz w:val="18"/>
        </w:rPr>
        <w:t>health</w:t>
      </w:r>
      <w:r>
        <w:rPr>
          <w:spacing w:val="-1"/>
          <w:sz w:val="18"/>
        </w:rPr>
        <w:t> </w:t>
      </w:r>
      <w:r>
        <w:rPr>
          <w:sz w:val="18"/>
        </w:rPr>
        <w:t>habits.</w:t>
      </w:r>
    </w:p>
    <w:p>
      <w:pPr>
        <w:pStyle w:val="BodyText"/>
        <w:spacing w:before="12"/>
        <w:rPr>
          <w:sz w:val="18"/>
        </w:rPr>
      </w:pPr>
    </w:p>
    <w:p>
      <w:pPr>
        <w:pStyle w:val="ListParagraph"/>
        <w:numPr>
          <w:ilvl w:val="1"/>
          <w:numId w:val="133"/>
        </w:numPr>
        <w:tabs>
          <w:tab w:pos="2580" w:val="left" w:leader="none"/>
          <w:tab w:pos="2581" w:val="left" w:leader="none"/>
        </w:tabs>
        <w:spacing w:line="240" w:lineRule="auto" w:before="0" w:after="0"/>
        <w:ind w:left="2580" w:right="0" w:hanging="721"/>
        <w:jc w:val="left"/>
        <w:rPr>
          <w:sz w:val="18"/>
        </w:rPr>
      </w:pPr>
      <w:r>
        <w:rPr>
          <w:sz w:val="18"/>
        </w:rPr>
        <w:t>None</w:t>
      </w:r>
      <w:r>
        <w:rPr>
          <w:spacing w:val="-2"/>
          <w:sz w:val="18"/>
        </w:rPr>
        <w:t> </w:t>
      </w:r>
      <w:r>
        <w:rPr>
          <w:sz w:val="18"/>
        </w:rPr>
        <w:t>of</w:t>
      </w:r>
      <w:r>
        <w:rPr>
          <w:spacing w:val="-2"/>
          <w:sz w:val="18"/>
        </w:rPr>
        <w:t> </w:t>
      </w:r>
      <w:r>
        <w:rPr>
          <w:sz w:val="18"/>
        </w:rPr>
        <w:t>the time</w:t>
      </w:r>
    </w:p>
    <w:p>
      <w:pPr>
        <w:pStyle w:val="ListParagraph"/>
        <w:numPr>
          <w:ilvl w:val="1"/>
          <w:numId w:val="133"/>
        </w:numPr>
        <w:tabs>
          <w:tab w:pos="2580" w:val="left" w:leader="none"/>
          <w:tab w:pos="2581" w:val="left" w:leader="none"/>
        </w:tabs>
        <w:spacing w:line="240" w:lineRule="auto" w:before="31" w:after="0"/>
        <w:ind w:left="2580" w:right="0" w:hanging="721"/>
        <w:jc w:val="left"/>
        <w:rPr>
          <w:sz w:val="18"/>
        </w:rPr>
      </w:pPr>
      <w:r>
        <w:rPr>
          <w:sz w:val="18"/>
        </w:rPr>
        <w:t>A</w:t>
      </w:r>
      <w:r>
        <w:rPr>
          <w:spacing w:val="-6"/>
          <w:sz w:val="18"/>
        </w:rPr>
        <w:t> </w:t>
      </w:r>
      <w:r>
        <w:rPr>
          <w:sz w:val="18"/>
        </w:rPr>
        <w:t>little</w:t>
      </w:r>
      <w:r>
        <w:rPr>
          <w:spacing w:val="-2"/>
          <w:sz w:val="18"/>
        </w:rPr>
        <w:t> </w:t>
      </w:r>
      <w:r>
        <w:rPr>
          <w:sz w:val="18"/>
        </w:rPr>
        <w:t>of</w:t>
      </w:r>
      <w:r>
        <w:rPr>
          <w:spacing w:val="-2"/>
          <w:sz w:val="18"/>
        </w:rPr>
        <w:t> </w:t>
      </w:r>
      <w:r>
        <w:rPr>
          <w:sz w:val="18"/>
        </w:rPr>
        <w:t>the time</w:t>
      </w:r>
    </w:p>
    <w:p>
      <w:pPr>
        <w:pStyle w:val="ListParagraph"/>
        <w:numPr>
          <w:ilvl w:val="1"/>
          <w:numId w:val="133"/>
        </w:numPr>
        <w:tabs>
          <w:tab w:pos="2580" w:val="left" w:leader="none"/>
          <w:tab w:pos="2581" w:val="left" w:leader="none"/>
        </w:tabs>
        <w:spacing w:line="240" w:lineRule="auto" w:before="34" w:after="0"/>
        <w:ind w:left="2580" w:right="0" w:hanging="721"/>
        <w:jc w:val="left"/>
        <w:rPr>
          <w:sz w:val="18"/>
        </w:rPr>
      </w:pPr>
      <w:r>
        <w:rPr>
          <w:sz w:val="18"/>
        </w:rPr>
        <w:t>Some</w:t>
      </w:r>
      <w:r>
        <w:rPr>
          <w:spacing w:val="-3"/>
          <w:sz w:val="18"/>
        </w:rPr>
        <w:t> </w:t>
      </w:r>
      <w:r>
        <w:rPr>
          <w:sz w:val="18"/>
        </w:rPr>
        <w:t>of</w:t>
      </w:r>
      <w:r>
        <w:rPr>
          <w:spacing w:val="-2"/>
          <w:sz w:val="18"/>
        </w:rPr>
        <w:t> </w:t>
      </w:r>
      <w:r>
        <w:rPr>
          <w:sz w:val="18"/>
        </w:rPr>
        <w:t>the</w:t>
      </w:r>
      <w:r>
        <w:rPr>
          <w:spacing w:val="-1"/>
          <w:sz w:val="18"/>
        </w:rPr>
        <w:t> </w:t>
      </w:r>
      <w:r>
        <w:rPr>
          <w:sz w:val="18"/>
        </w:rPr>
        <w:t>time</w:t>
      </w:r>
    </w:p>
    <w:p>
      <w:pPr>
        <w:pStyle w:val="ListParagraph"/>
        <w:numPr>
          <w:ilvl w:val="1"/>
          <w:numId w:val="133"/>
        </w:numPr>
        <w:tabs>
          <w:tab w:pos="2580" w:val="left" w:leader="none"/>
          <w:tab w:pos="2581" w:val="left" w:leader="none"/>
        </w:tabs>
        <w:spacing w:line="240" w:lineRule="auto" w:before="34" w:after="0"/>
        <w:ind w:left="2580" w:right="0" w:hanging="721"/>
        <w:jc w:val="left"/>
        <w:rPr>
          <w:sz w:val="18"/>
        </w:rPr>
      </w:pPr>
      <w:r>
        <w:rPr>
          <w:sz w:val="18"/>
        </w:rPr>
        <w:t>Most</w:t>
      </w:r>
      <w:r>
        <w:rPr>
          <w:spacing w:val="-3"/>
          <w:sz w:val="18"/>
        </w:rPr>
        <w:t> </w:t>
      </w:r>
      <w:r>
        <w:rPr>
          <w:sz w:val="18"/>
        </w:rPr>
        <w:t>of</w:t>
      </w:r>
      <w:r>
        <w:rPr>
          <w:spacing w:val="-1"/>
          <w:sz w:val="18"/>
        </w:rPr>
        <w:t> </w:t>
      </w:r>
      <w:r>
        <w:rPr>
          <w:sz w:val="18"/>
        </w:rPr>
        <w:t>the time</w:t>
      </w:r>
    </w:p>
    <w:p>
      <w:pPr>
        <w:pStyle w:val="ListParagraph"/>
        <w:numPr>
          <w:ilvl w:val="1"/>
          <w:numId w:val="133"/>
        </w:numPr>
        <w:tabs>
          <w:tab w:pos="2580" w:val="left" w:leader="none"/>
          <w:tab w:pos="2581" w:val="left" w:leader="none"/>
        </w:tabs>
        <w:spacing w:line="240" w:lineRule="auto" w:before="34" w:after="0"/>
        <w:ind w:left="2580" w:right="0" w:hanging="721"/>
        <w:jc w:val="left"/>
        <w:rPr>
          <w:sz w:val="18"/>
        </w:rPr>
      </w:pPr>
      <w:r>
        <w:rPr>
          <w:sz w:val="18"/>
        </w:rPr>
        <w:t>Always</w:t>
      </w:r>
    </w:p>
    <w:p>
      <w:pPr>
        <w:pStyle w:val="ListParagraph"/>
        <w:numPr>
          <w:ilvl w:val="0"/>
          <w:numId w:val="135"/>
        </w:numPr>
        <w:tabs>
          <w:tab w:pos="2580" w:val="left" w:leader="none"/>
          <w:tab w:pos="2581" w:val="left" w:leader="none"/>
        </w:tabs>
        <w:spacing w:line="240" w:lineRule="auto" w:before="31" w:after="0"/>
        <w:ind w:left="2580" w:right="0" w:hanging="721"/>
        <w:jc w:val="left"/>
        <w:rPr>
          <w:sz w:val="18"/>
        </w:rPr>
      </w:pPr>
      <w:r>
        <w:rPr>
          <w:sz w:val="18"/>
        </w:rPr>
        <w:t>(Don’t</w:t>
      </w:r>
      <w:r>
        <w:rPr>
          <w:spacing w:val="-3"/>
          <w:sz w:val="18"/>
        </w:rPr>
        <w:t> </w:t>
      </w:r>
      <w:r>
        <w:rPr>
          <w:sz w:val="18"/>
        </w:rPr>
        <w:t>know)</w:t>
      </w:r>
    </w:p>
    <w:p>
      <w:pPr>
        <w:pStyle w:val="ListParagraph"/>
        <w:numPr>
          <w:ilvl w:val="0"/>
          <w:numId w:val="135"/>
        </w:numPr>
        <w:tabs>
          <w:tab w:pos="2580" w:val="left" w:leader="none"/>
          <w:tab w:pos="2581" w:val="left" w:leader="none"/>
        </w:tabs>
        <w:spacing w:line="240" w:lineRule="auto" w:before="34" w:after="0"/>
        <w:ind w:left="2580" w:right="0" w:hanging="721"/>
        <w:jc w:val="left"/>
        <w:rPr>
          <w:sz w:val="18"/>
        </w:rPr>
      </w:pPr>
      <w:r>
        <w:rPr>
          <w:sz w:val="18"/>
        </w:rPr>
        <w:t>(Refused)</w:t>
      </w:r>
    </w:p>
    <w:p>
      <w:pPr>
        <w:pStyle w:val="BodyText"/>
        <w:spacing w:before="12"/>
        <w:rPr>
          <w:sz w:val="18"/>
        </w:rPr>
      </w:pPr>
    </w:p>
    <w:p>
      <w:pPr>
        <w:pStyle w:val="ListParagraph"/>
        <w:numPr>
          <w:ilvl w:val="0"/>
          <w:numId w:val="133"/>
        </w:numPr>
        <w:tabs>
          <w:tab w:pos="1838" w:val="left" w:leader="none"/>
          <w:tab w:pos="1839" w:val="left" w:leader="none"/>
        </w:tabs>
        <w:spacing w:line="240" w:lineRule="auto" w:before="0" w:after="0"/>
        <w:ind w:left="1838" w:right="0" w:hanging="699"/>
        <w:jc w:val="left"/>
        <w:rPr>
          <w:sz w:val="18"/>
        </w:rPr>
      </w:pPr>
      <w:r>
        <w:rPr>
          <w:sz w:val="18"/>
        </w:rPr>
        <w:t>I was</w:t>
      </w:r>
      <w:r>
        <w:rPr>
          <w:spacing w:val="-2"/>
          <w:sz w:val="18"/>
        </w:rPr>
        <w:t> </w:t>
      </w:r>
      <w:r>
        <w:rPr>
          <w:sz w:val="18"/>
        </w:rPr>
        <w:t>satisfied</w:t>
      </w:r>
      <w:r>
        <w:rPr>
          <w:spacing w:val="-2"/>
          <w:sz w:val="18"/>
        </w:rPr>
        <w:t> </w:t>
      </w:r>
      <w:r>
        <w:rPr>
          <w:sz w:val="18"/>
        </w:rPr>
        <w:t>that</w:t>
      </w:r>
      <w:r>
        <w:rPr>
          <w:spacing w:val="-4"/>
          <w:sz w:val="18"/>
        </w:rPr>
        <w:t> </w:t>
      </w:r>
      <w:r>
        <w:rPr>
          <w:sz w:val="18"/>
        </w:rPr>
        <w:t>my</w:t>
      </w:r>
      <w:r>
        <w:rPr>
          <w:spacing w:val="-2"/>
          <w:sz w:val="18"/>
        </w:rPr>
        <w:t> </w:t>
      </w:r>
      <w:r>
        <w:rPr>
          <w:sz w:val="18"/>
        </w:rPr>
        <w:t>care</w:t>
      </w:r>
      <w:r>
        <w:rPr>
          <w:spacing w:val="-3"/>
          <w:sz w:val="18"/>
        </w:rPr>
        <w:t> </w:t>
      </w:r>
      <w:r>
        <w:rPr>
          <w:sz w:val="18"/>
        </w:rPr>
        <w:t>was</w:t>
      </w:r>
      <w:r>
        <w:rPr>
          <w:spacing w:val="-2"/>
          <w:sz w:val="18"/>
        </w:rPr>
        <w:t> </w:t>
      </w:r>
      <w:r>
        <w:rPr>
          <w:sz w:val="18"/>
        </w:rPr>
        <w:t>well</w:t>
      </w:r>
      <w:r>
        <w:rPr>
          <w:spacing w:val="-3"/>
          <w:sz w:val="18"/>
        </w:rPr>
        <w:t> </w:t>
      </w:r>
      <w:r>
        <w:rPr>
          <w:sz w:val="18"/>
        </w:rPr>
        <w:t>organised.</w:t>
      </w:r>
    </w:p>
    <w:p>
      <w:pPr>
        <w:pStyle w:val="BodyText"/>
        <w:rPr>
          <w:sz w:val="19"/>
        </w:rPr>
      </w:pPr>
    </w:p>
    <w:p>
      <w:pPr>
        <w:pStyle w:val="ListParagraph"/>
        <w:numPr>
          <w:ilvl w:val="1"/>
          <w:numId w:val="133"/>
        </w:numPr>
        <w:tabs>
          <w:tab w:pos="2580" w:val="left" w:leader="none"/>
          <w:tab w:pos="2581" w:val="left" w:leader="none"/>
        </w:tabs>
        <w:spacing w:line="240" w:lineRule="auto" w:before="0" w:after="0"/>
        <w:ind w:left="2580" w:right="0" w:hanging="721"/>
        <w:jc w:val="left"/>
        <w:rPr>
          <w:sz w:val="18"/>
        </w:rPr>
      </w:pPr>
      <w:r>
        <w:rPr>
          <w:sz w:val="18"/>
        </w:rPr>
        <w:t>None</w:t>
      </w:r>
      <w:r>
        <w:rPr>
          <w:spacing w:val="-2"/>
          <w:sz w:val="18"/>
        </w:rPr>
        <w:t> </w:t>
      </w:r>
      <w:r>
        <w:rPr>
          <w:sz w:val="18"/>
        </w:rPr>
        <w:t>of</w:t>
      </w:r>
      <w:r>
        <w:rPr>
          <w:spacing w:val="-2"/>
          <w:sz w:val="18"/>
        </w:rPr>
        <w:t> </w:t>
      </w:r>
      <w:r>
        <w:rPr>
          <w:sz w:val="18"/>
        </w:rPr>
        <w:t>the time</w:t>
      </w:r>
    </w:p>
    <w:p>
      <w:pPr>
        <w:pStyle w:val="ListParagraph"/>
        <w:numPr>
          <w:ilvl w:val="1"/>
          <w:numId w:val="133"/>
        </w:numPr>
        <w:tabs>
          <w:tab w:pos="2580" w:val="left" w:leader="none"/>
          <w:tab w:pos="2581" w:val="left" w:leader="none"/>
        </w:tabs>
        <w:spacing w:line="240" w:lineRule="auto" w:before="34" w:after="0"/>
        <w:ind w:left="2580" w:right="0" w:hanging="721"/>
        <w:jc w:val="left"/>
        <w:rPr>
          <w:sz w:val="18"/>
        </w:rPr>
      </w:pPr>
      <w:r>
        <w:rPr>
          <w:sz w:val="18"/>
        </w:rPr>
        <w:t>A</w:t>
      </w:r>
      <w:r>
        <w:rPr>
          <w:spacing w:val="-6"/>
          <w:sz w:val="18"/>
        </w:rPr>
        <w:t> </w:t>
      </w:r>
      <w:r>
        <w:rPr>
          <w:sz w:val="18"/>
        </w:rPr>
        <w:t>little</w:t>
      </w:r>
      <w:r>
        <w:rPr>
          <w:spacing w:val="-2"/>
          <w:sz w:val="18"/>
        </w:rPr>
        <w:t> </w:t>
      </w:r>
      <w:r>
        <w:rPr>
          <w:sz w:val="18"/>
        </w:rPr>
        <w:t>of</w:t>
      </w:r>
      <w:r>
        <w:rPr>
          <w:spacing w:val="-2"/>
          <w:sz w:val="18"/>
        </w:rPr>
        <w:t> </w:t>
      </w:r>
      <w:r>
        <w:rPr>
          <w:sz w:val="18"/>
        </w:rPr>
        <w:t>the time</w:t>
      </w:r>
    </w:p>
    <w:p>
      <w:pPr>
        <w:pStyle w:val="ListParagraph"/>
        <w:numPr>
          <w:ilvl w:val="1"/>
          <w:numId w:val="133"/>
        </w:numPr>
        <w:tabs>
          <w:tab w:pos="2580" w:val="left" w:leader="none"/>
          <w:tab w:pos="2581" w:val="left" w:leader="none"/>
        </w:tabs>
        <w:spacing w:line="240" w:lineRule="auto" w:before="33" w:after="0"/>
        <w:ind w:left="2580" w:right="0" w:hanging="721"/>
        <w:jc w:val="left"/>
        <w:rPr>
          <w:sz w:val="18"/>
        </w:rPr>
      </w:pPr>
      <w:r>
        <w:rPr>
          <w:sz w:val="18"/>
        </w:rPr>
        <w:t>Some</w:t>
      </w:r>
      <w:r>
        <w:rPr>
          <w:spacing w:val="-3"/>
          <w:sz w:val="18"/>
        </w:rPr>
        <w:t> </w:t>
      </w:r>
      <w:r>
        <w:rPr>
          <w:sz w:val="18"/>
        </w:rPr>
        <w:t>of</w:t>
      </w:r>
      <w:r>
        <w:rPr>
          <w:spacing w:val="-2"/>
          <w:sz w:val="18"/>
        </w:rPr>
        <w:t> </w:t>
      </w:r>
      <w:r>
        <w:rPr>
          <w:sz w:val="18"/>
        </w:rPr>
        <w:t>the</w:t>
      </w:r>
      <w:r>
        <w:rPr>
          <w:spacing w:val="-1"/>
          <w:sz w:val="18"/>
        </w:rPr>
        <w:t> </w:t>
      </w:r>
      <w:r>
        <w:rPr>
          <w:sz w:val="18"/>
        </w:rPr>
        <w:t>time</w:t>
      </w:r>
    </w:p>
    <w:p>
      <w:pPr>
        <w:pStyle w:val="ListParagraph"/>
        <w:numPr>
          <w:ilvl w:val="1"/>
          <w:numId w:val="133"/>
        </w:numPr>
        <w:tabs>
          <w:tab w:pos="2580" w:val="left" w:leader="none"/>
          <w:tab w:pos="2581" w:val="left" w:leader="none"/>
        </w:tabs>
        <w:spacing w:line="240" w:lineRule="auto" w:before="34" w:after="0"/>
        <w:ind w:left="2580" w:right="0" w:hanging="721"/>
        <w:jc w:val="left"/>
        <w:rPr>
          <w:sz w:val="18"/>
        </w:rPr>
      </w:pPr>
      <w:r>
        <w:rPr>
          <w:sz w:val="18"/>
        </w:rPr>
        <w:t>Most</w:t>
      </w:r>
      <w:r>
        <w:rPr>
          <w:spacing w:val="-3"/>
          <w:sz w:val="18"/>
        </w:rPr>
        <w:t> </w:t>
      </w:r>
      <w:r>
        <w:rPr>
          <w:sz w:val="18"/>
        </w:rPr>
        <w:t>of</w:t>
      </w:r>
      <w:r>
        <w:rPr>
          <w:spacing w:val="-1"/>
          <w:sz w:val="18"/>
        </w:rPr>
        <w:t> </w:t>
      </w:r>
      <w:r>
        <w:rPr>
          <w:sz w:val="18"/>
        </w:rPr>
        <w:t>the time</w:t>
      </w:r>
    </w:p>
    <w:p>
      <w:pPr>
        <w:pStyle w:val="ListParagraph"/>
        <w:numPr>
          <w:ilvl w:val="1"/>
          <w:numId w:val="133"/>
        </w:numPr>
        <w:tabs>
          <w:tab w:pos="2580" w:val="left" w:leader="none"/>
          <w:tab w:pos="2581" w:val="left" w:leader="none"/>
        </w:tabs>
        <w:spacing w:line="240" w:lineRule="auto" w:before="31" w:after="0"/>
        <w:ind w:left="2580" w:right="0" w:hanging="721"/>
        <w:jc w:val="left"/>
        <w:rPr>
          <w:sz w:val="18"/>
        </w:rPr>
      </w:pPr>
      <w:r>
        <w:rPr>
          <w:sz w:val="18"/>
        </w:rPr>
        <w:t>Always</w:t>
      </w:r>
    </w:p>
    <w:p>
      <w:pPr>
        <w:pStyle w:val="ListParagraph"/>
        <w:numPr>
          <w:ilvl w:val="0"/>
          <w:numId w:val="136"/>
        </w:numPr>
        <w:tabs>
          <w:tab w:pos="2580" w:val="left" w:leader="none"/>
          <w:tab w:pos="2581" w:val="left" w:leader="none"/>
        </w:tabs>
        <w:spacing w:line="240" w:lineRule="auto" w:before="35" w:after="0"/>
        <w:ind w:left="2580" w:right="0" w:hanging="721"/>
        <w:jc w:val="left"/>
        <w:rPr>
          <w:sz w:val="18"/>
        </w:rPr>
      </w:pPr>
      <w:r>
        <w:rPr>
          <w:sz w:val="18"/>
        </w:rPr>
        <w:t>(Don’t</w:t>
      </w:r>
      <w:r>
        <w:rPr>
          <w:spacing w:val="-3"/>
          <w:sz w:val="18"/>
        </w:rPr>
        <w:t> </w:t>
      </w:r>
      <w:r>
        <w:rPr>
          <w:sz w:val="18"/>
        </w:rPr>
        <w:t>know)</w:t>
      </w:r>
    </w:p>
    <w:p>
      <w:pPr>
        <w:pStyle w:val="ListParagraph"/>
        <w:numPr>
          <w:ilvl w:val="0"/>
          <w:numId w:val="136"/>
        </w:numPr>
        <w:tabs>
          <w:tab w:pos="2580" w:val="left" w:leader="none"/>
          <w:tab w:pos="2581" w:val="left" w:leader="none"/>
        </w:tabs>
        <w:spacing w:line="240" w:lineRule="auto" w:before="33" w:after="0"/>
        <w:ind w:left="2580" w:right="0" w:hanging="721"/>
        <w:jc w:val="left"/>
        <w:rPr>
          <w:sz w:val="18"/>
        </w:rPr>
      </w:pPr>
      <w:r>
        <w:rPr>
          <w:sz w:val="18"/>
        </w:rPr>
        <w:t>(Refused)</w:t>
      </w:r>
    </w:p>
    <w:p>
      <w:pPr>
        <w:pStyle w:val="BodyText"/>
        <w:rPr>
          <w:sz w:val="19"/>
        </w:rPr>
      </w:pPr>
    </w:p>
    <w:p>
      <w:pPr>
        <w:pStyle w:val="ListParagraph"/>
        <w:numPr>
          <w:ilvl w:val="0"/>
          <w:numId w:val="133"/>
        </w:numPr>
        <w:tabs>
          <w:tab w:pos="1860" w:val="left" w:leader="none"/>
          <w:tab w:pos="1861" w:val="left" w:leader="none"/>
        </w:tabs>
        <w:spacing w:line="240" w:lineRule="auto" w:before="0" w:after="0"/>
        <w:ind w:left="1860" w:right="0" w:hanging="721"/>
        <w:jc w:val="left"/>
        <w:rPr>
          <w:sz w:val="18"/>
        </w:rPr>
      </w:pPr>
      <w:r>
        <w:rPr>
          <w:sz w:val="18"/>
        </w:rPr>
        <w:t>I was</w:t>
      </w:r>
      <w:r>
        <w:rPr>
          <w:spacing w:val="-2"/>
          <w:sz w:val="18"/>
        </w:rPr>
        <w:t> </w:t>
      </w:r>
      <w:r>
        <w:rPr>
          <w:sz w:val="18"/>
        </w:rPr>
        <w:t>contacted</w:t>
      </w:r>
      <w:r>
        <w:rPr>
          <w:spacing w:val="-2"/>
          <w:sz w:val="18"/>
        </w:rPr>
        <w:t> </w:t>
      </w:r>
      <w:r>
        <w:rPr>
          <w:sz w:val="18"/>
        </w:rPr>
        <w:t>after</w:t>
      </w:r>
      <w:r>
        <w:rPr>
          <w:spacing w:val="-2"/>
          <w:sz w:val="18"/>
        </w:rPr>
        <w:t> </w:t>
      </w:r>
      <w:r>
        <w:rPr>
          <w:sz w:val="18"/>
        </w:rPr>
        <w:t>a</w:t>
      </w:r>
      <w:r>
        <w:rPr>
          <w:spacing w:val="-3"/>
          <w:sz w:val="18"/>
        </w:rPr>
        <w:t> </w:t>
      </w:r>
      <w:r>
        <w:rPr>
          <w:sz w:val="18"/>
        </w:rPr>
        <w:t>visit</w:t>
      </w:r>
      <w:r>
        <w:rPr>
          <w:spacing w:val="-5"/>
          <w:sz w:val="18"/>
        </w:rPr>
        <w:t> </w:t>
      </w:r>
      <w:r>
        <w:rPr>
          <w:sz w:val="18"/>
        </w:rPr>
        <w:t>to</w:t>
      </w:r>
      <w:r>
        <w:rPr>
          <w:spacing w:val="-2"/>
          <w:sz w:val="18"/>
        </w:rPr>
        <w:t> </w:t>
      </w:r>
      <w:r>
        <w:rPr>
          <w:sz w:val="18"/>
        </w:rPr>
        <w:t>see</w:t>
      </w:r>
      <w:r>
        <w:rPr>
          <w:spacing w:val="-1"/>
          <w:sz w:val="18"/>
        </w:rPr>
        <w:t> </w:t>
      </w:r>
      <w:r>
        <w:rPr>
          <w:sz w:val="18"/>
        </w:rPr>
        <w:t>how</w:t>
      </w:r>
      <w:r>
        <w:rPr>
          <w:spacing w:val="-3"/>
          <w:sz w:val="18"/>
        </w:rPr>
        <w:t> </w:t>
      </w:r>
      <w:r>
        <w:rPr>
          <w:sz w:val="18"/>
        </w:rPr>
        <w:t>things</w:t>
      </w:r>
      <w:r>
        <w:rPr>
          <w:spacing w:val="-3"/>
          <w:sz w:val="18"/>
        </w:rPr>
        <w:t> </w:t>
      </w:r>
      <w:r>
        <w:rPr>
          <w:sz w:val="18"/>
        </w:rPr>
        <w:t>were</w:t>
      </w:r>
      <w:r>
        <w:rPr>
          <w:spacing w:val="-1"/>
          <w:sz w:val="18"/>
        </w:rPr>
        <w:t> </w:t>
      </w:r>
      <w:r>
        <w:rPr>
          <w:sz w:val="18"/>
        </w:rPr>
        <w:t>going.</w:t>
      </w:r>
    </w:p>
    <w:p>
      <w:pPr>
        <w:pStyle w:val="BodyText"/>
        <w:rPr>
          <w:sz w:val="19"/>
        </w:rPr>
      </w:pPr>
    </w:p>
    <w:p>
      <w:pPr>
        <w:pStyle w:val="ListParagraph"/>
        <w:numPr>
          <w:ilvl w:val="1"/>
          <w:numId w:val="133"/>
        </w:numPr>
        <w:tabs>
          <w:tab w:pos="2580" w:val="left" w:leader="none"/>
          <w:tab w:pos="2581" w:val="left" w:leader="none"/>
        </w:tabs>
        <w:spacing w:line="240" w:lineRule="auto" w:before="0" w:after="0"/>
        <w:ind w:left="2580" w:right="0" w:hanging="721"/>
        <w:jc w:val="left"/>
        <w:rPr>
          <w:sz w:val="18"/>
        </w:rPr>
      </w:pPr>
      <w:r>
        <w:rPr>
          <w:sz w:val="18"/>
        </w:rPr>
        <w:t>None</w:t>
      </w:r>
      <w:r>
        <w:rPr>
          <w:spacing w:val="-2"/>
          <w:sz w:val="18"/>
        </w:rPr>
        <w:t> </w:t>
      </w:r>
      <w:r>
        <w:rPr>
          <w:sz w:val="18"/>
        </w:rPr>
        <w:t>of</w:t>
      </w:r>
      <w:r>
        <w:rPr>
          <w:spacing w:val="-2"/>
          <w:sz w:val="18"/>
        </w:rPr>
        <w:t> </w:t>
      </w:r>
      <w:r>
        <w:rPr>
          <w:sz w:val="18"/>
        </w:rPr>
        <w:t>the time</w:t>
      </w:r>
    </w:p>
    <w:p>
      <w:pPr>
        <w:pStyle w:val="ListParagraph"/>
        <w:numPr>
          <w:ilvl w:val="1"/>
          <w:numId w:val="133"/>
        </w:numPr>
        <w:tabs>
          <w:tab w:pos="2580" w:val="left" w:leader="none"/>
          <w:tab w:pos="2581" w:val="left" w:leader="none"/>
        </w:tabs>
        <w:spacing w:line="240" w:lineRule="auto" w:before="34" w:after="0"/>
        <w:ind w:left="2580" w:right="0" w:hanging="721"/>
        <w:jc w:val="left"/>
        <w:rPr>
          <w:sz w:val="18"/>
        </w:rPr>
      </w:pPr>
      <w:r>
        <w:rPr>
          <w:sz w:val="18"/>
        </w:rPr>
        <w:t>A</w:t>
      </w:r>
      <w:r>
        <w:rPr>
          <w:spacing w:val="-6"/>
          <w:sz w:val="18"/>
        </w:rPr>
        <w:t> </w:t>
      </w:r>
      <w:r>
        <w:rPr>
          <w:sz w:val="18"/>
        </w:rPr>
        <w:t>little</w:t>
      </w:r>
      <w:r>
        <w:rPr>
          <w:spacing w:val="-2"/>
          <w:sz w:val="18"/>
        </w:rPr>
        <w:t> </w:t>
      </w:r>
      <w:r>
        <w:rPr>
          <w:sz w:val="18"/>
        </w:rPr>
        <w:t>of</w:t>
      </w:r>
      <w:r>
        <w:rPr>
          <w:spacing w:val="-2"/>
          <w:sz w:val="18"/>
        </w:rPr>
        <w:t> </w:t>
      </w:r>
      <w:r>
        <w:rPr>
          <w:sz w:val="18"/>
        </w:rPr>
        <w:t>the time</w:t>
      </w:r>
    </w:p>
    <w:p>
      <w:pPr>
        <w:pStyle w:val="ListParagraph"/>
        <w:numPr>
          <w:ilvl w:val="1"/>
          <w:numId w:val="133"/>
        </w:numPr>
        <w:tabs>
          <w:tab w:pos="2580" w:val="left" w:leader="none"/>
          <w:tab w:pos="2581" w:val="left" w:leader="none"/>
        </w:tabs>
        <w:spacing w:line="240" w:lineRule="auto" w:before="31" w:after="0"/>
        <w:ind w:left="2580" w:right="0" w:hanging="721"/>
        <w:jc w:val="left"/>
        <w:rPr>
          <w:sz w:val="18"/>
        </w:rPr>
      </w:pPr>
      <w:r>
        <w:rPr>
          <w:sz w:val="18"/>
        </w:rPr>
        <w:t>Some</w:t>
      </w:r>
      <w:r>
        <w:rPr>
          <w:spacing w:val="-3"/>
          <w:sz w:val="18"/>
        </w:rPr>
        <w:t> </w:t>
      </w:r>
      <w:r>
        <w:rPr>
          <w:sz w:val="18"/>
        </w:rPr>
        <w:t>of</w:t>
      </w:r>
      <w:r>
        <w:rPr>
          <w:spacing w:val="-2"/>
          <w:sz w:val="18"/>
        </w:rPr>
        <w:t> </w:t>
      </w:r>
      <w:r>
        <w:rPr>
          <w:sz w:val="18"/>
        </w:rPr>
        <w:t>the</w:t>
      </w:r>
      <w:r>
        <w:rPr>
          <w:spacing w:val="-1"/>
          <w:sz w:val="18"/>
        </w:rPr>
        <w:t> </w:t>
      </w:r>
      <w:r>
        <w:rPr>
          <w:sz w:val="18"/>
        </w:rPr>
        <w:t>time</w:t>
      </w:r>
    </w:p>
    <w:p>
      <w:pPr>
        <w:pStyle w:val="ListParagraph"/>
        <w:numPr>
          <w:ilvl w:val="1"/>
          <w:numId w:val="133"/>
        </w:numPr>
        <w:tabs>
          <w:tab w:pos="2580" w:val="left" w:leader="none"/>
          <w:tab w:pos="2581" w:val="left" w:leader="none"/>
        </w:tabs>
        <w:spacing w:line="240" w:lineRule="auto" w:before="34" w:after="0"/>
        <w:ind w:left="2580" w:right="0" w:hanging="721"/>
        <w:jc w:val="left"/>
        <w:rPr>
          <w:sz w:val="18"/>
        </w:rPr>
      </w:pPr>
      <w:r>
        <w:rPr>
          <w:sz w:val="18"/>
        </w:rPr>
        <w:t>Most</w:t>
      </w:r>
      <w:r>
        <w:rPr>
          <w:spacing w:val="-3"/>
          <w:sz w:val="18"/>
        </w:rPr>
        <w:t> </w:t>
      </w:r>
      <w:r>
        <w:rPr>
          <w:sz w:val="18"/>
        </w:rPr>
        <w:t>of</w:t>
      </w:r>
      <w:r>
        <w:rPr>
          <w:spacing w:val="-1"/>
          <w:sz w:val="18"/>
        </w:rPr>
        <w:t> </w:t>
      </w:r>
      <w:r>
        <w:rPr>
          <w:sz w:val="18"/>
        </w:rPr>
        <w:t>the time</w:t>
      </w:r>
    </w:p>
    <w:p>
      <w:pPr>
        <w:pStyle w:val="ListParagraph"/>
        <w:numPr>
          <w:ilvl w:val="1"/>
          <w:numId w:val="133"/>
        </w:numPr>
        <w:tabs>
          <w:tab w:pos="2580" w:val="left" w:leader="none"/>
          <w:tab w:pos="2581" w:val="left" w:leader="none"/>
        </w:tabs>
        <w:spacing w:line="240" w:lineRule="auto" w:before="34" w:after="0"/>
        <w:ind w:left="2580" w:right="0" w:hanging="721"/>
        <w:jc w:val="left"/>
        <w:rPr>
          <w:sz w:val="18"/>
        </w:rPr>
      </w:pPr>
      <w:r>
        <w:rPr>
          <w:sz w:val="18"/>
        </w:rPr>
        <w:t>Always</w:t>
      </w:r>
    </w:p>
    <w:p>
      <w:pPr>
        <w:pStyle w:val="ListParagraph"/>
        <w:numPr>
          <w:ilvl w:val="0"/>
          <w:numId w:val="137"/>
        </w:numPr>
        <w:tabs>
          <w:tab w:pos="2580" w:val="left" w:leader="none"/>
          <w:tab w:pos="2581" w:val="left" w:leader="none"/>
        </w:tabs>
        <w:spacing w:line="240" w:lineRule="auto" w:before="33" w:after="0"/>
        <w:ind w:left="2580" w:right="0" w:hanging="721"/>
        <w:jc w:val="left"/>
        <w:rPr>
          <w:sz w:val="18"/>
        </w:rPr>
      </w:pPr>
      <w:r>
        <w:rPr>
          <w:sz w:val="18"/>
        </w:rPr>
        <w:t>(Don’t</w:t>
      </w:r>
      <w:r>
        <w:rPr>
          <w:spacing w:val="-3"/>
          <w:sz w:val="18"/>
        </w:rPr>
        <w:t> </w:t>
      </w:r>
      <w:r>
        <w:rPr>
          <w:sz w:val="18"/>
        </w:rPr>
        <w:t>know)</w:t>
      </w:r>
    </w:p>
    <w:p>
      <w:pPr>
        <w:pStyle w:val="ListParagraph"/>
        <w:numPr>
          <w:ilvl w:val="0"/>
          <w:numId w:val="137"/>
        </w:numPr>
        <w:tabs>
          <w:tab w:pos="2580" w:val="left" w:leader="none"/>
          <w:tab w:pos="2581" w:val="left" w:leader="none"/>
        </w:tabs>
        <w:spacing w:line="240" w:lineRule="auto" w:before="32" w:after="0"/>
        <w:ind w:left="2580" w:right="0" w:hanging="721"/>
        <w:jc w:val="left"/>
        <w:rPr>
          <w:sz w:val="18"/>
        </w:rPr>
      </w:pPr>
      <w:r>
        <w:rPr>
          <w:sz w:val="18"/>
        </w:rPr>
        <w:t>(Refused)</w:t>
      </w:r>
    </w:p>
    <w:p>
      <w:pPr>
        <w:spacing w:after="0" w:line="240" w:lineRule="auto"/>
        <w:jc w:val="left"/>
        <w:rPr>
          <w:sz w:val="18"/>
        </w:rPr>
        <w:sectPr>
          <w:pgSz w:w="11910" w:h="16840"/>
          <w:pgMar w:header="0" w:footer="948" w:top="860" w:bottom="1140" w:left="300" w:right="0"/>
        </w:sectPr>
      </w:pPr>
    </w:p>
    <w:p>
      <w:pPr>
        <w:pStyle w:val="ListParagraph"/>
        <w:numPr>
          <w:ilvl w:val="0"/>
          <w:numId w:val="133"/>
        </w:numPr>
        <w:tabs>
          <w:tab w:pos="1838" w:val="left" w:leader="none"/>
          <w:tab w:pos="1839" w:val="left" w:leader="none"/>
        </w:tabs>
        <w:spacing w:line="240" w:lineRule="auto" w:before="75" w:after="0"/>
        <w:ind w:left="1838" w:right="0" w:hanging="699"/>
        <w:jc w:val="left"/>
        <w:rPr>
          <w:sz w:val="18"/>
        </w:rPr>
      </w:pPr>
      <w:r>
        <w:rPr>
          <w:sz w:val="18"/>
        </w:rPr>
        <w:t>I was</w:t>
      </w:r>
      <w:r>
        <w:rPr>
          <w:spacing w:val="-3"/>
          <w:sz w:val="18"/>
        </w:rPr>
        <w:t> </w:t>
      </w:r>
      <w:r>
        <w:rPr>
          <w:sz w:val="18"/>
        </w:rPr>
        <w:t>encouraged</w:t>
      </w:r>
      <w:r>
        <w:rPr>
          <w:spacing w:val="-3"/>
          <w:sz w:val="18"/>
        </w:rPr>
        <w:t> </w:t>
      </w:r>
      <w:r>
        <w:rPr>
          <w:sz w:val="18"/>
        </w:rPr>
        <w:t>to</w:t>
      </w:r>
      <w:r>
        <w:rPr>
          <w:spacing w:val="-2"/>
          <w:sz w:val="18"/>
        </w:rPr>
        <w:t> </w:t>
      </w:r>
      <w:r>
        <w:rPr>
          <w:sz w:val="18"/>
        </w:rPr>
        <w:t>attend</w:t>
      </w:r>
      <w:r>
        <w:rPr>
          <w:spacing w:val="-3"/>
          <w:sz w:val="18"/>
        </w:rPr>
        <w:t> </w:t>
      </w:r>
      <w:r>
        <w:rPr>
          <w:sz w:val="18"/>
        </w:rPr>
        <w:t>programs</w:t>
      </w:r>
      <w:r>
        <w:rPr>
          <w:spacing w:val="-2"/>
          <w:sz w:val="18"/>
        </w:rPr>
        <w:t> </w:t>
      </w:r>
      <w:r>
        <w:rPr>
          <w:sz w:val="18"/>
        </w:rPr>
        <w:t>in</w:t>
      </w:r>
      <w:r>
        <w:rPr>
          <w:spacing w:val="-2"/>
          <w:sz w:val="18"/>
        </w:rPr>
        <w:t> </w:t>
      </w:r>
      <w:r>
        <w:rPr>
          <w:sz w:val="18"/>
        </w:rPr>
        <w:t>the</w:t>
      </w:r>
      <w:r>
        <w:rPr>
          <w:spacing w:val="-4"/>
          <w:sz w:val="18"/>
        </w:rPr>
        <w:t> </w:t>
      </w:r>
      <w:r>
        <w:rPr>
          <w:sz w:val="18"/>
        </w:rPr>
        <w:t>community</w:t>
      </w:r>
      <w:r>
        <w:rPr>
          <w:spacing w:val="-1"/>
          <w:sz w:val="18"/>
        </w:rPr>
        <w:t> </w:t>
      </w:r>
      <w:r>
        <w:rPr>
          <w:sz w:val="18"/>
        </w:rPr>
        <w:t>that</w:t>
      </w:r>
      <w:r>
        <w:rPr>
          <w:spacing w:val="-4"/>
          <w:sz w:val="18"/>
        </w:rPr>
        <w:t> </w:t>
      </w:r>
      <w:r>
        <w:rPr>
          <w:sz w:val="18"/>
        </w:rPr>
        <w:t>could</w:t>
      </w:r>
      <w:r>
        <w:rPr>
          <w:spacing w:val="-3"/>
          <w:sz w:val="18"/>
        </w:rPr>
        <w:t> </w:t>
      </w:r>
      <w:r>
        <w:rPr>
          <w:sz w:val="18"/>
        </w:rPr>
        <w:t>help</w:t>
      </w:r>
      <w:r>
        <w:rPr>
          <w:spacing w:val="-2"/>
          <w:sz w:val="18"/>
        </w:rPr>
        <w:t> </w:t>
      </w:r>
      <w:r>
        <w:rPr>
          <w:sz w:val="18"/>
        </w:rPr>
        <w:t>me.</w:t>
      </w:r>
    </w:p>
    <w:p>
      <w:pPr>
        <w:pStyle w:val="BodyText"/>
        <w:rPr>
          <w:sz w:val="19"/>
        </w:rPr>
      </w:pPr>
    </w:p>
    <w:p>
      <w:pPr>
        <w:pStyle w:val="ListParagraph"/>
        <w:numPr>
          <w:ilvl w:val="1"/>
          <w:numId w:val="133"/>
        </w:numPr>
        <w:tabs>
          <w:tab w:pos="2580" w:val="left" w:leader="none"/>
          <w:tab w:pos="2581" w:val="left" w:leader="none"/>
        </w:tabs>
        <w:spacing w:line="240" w:lineRule="auto" w:before="0" w:after="0"/>
        <w:ind w:left="2580" w:right="0" w:hanging="721"/>
        <w:jc w:val="left"/>
        <w:rPr>
          <w:sz w:val="18"/>
        </w:rPr>
      </w:pPr>
      <w:r>
        <w:rPr>
          <w:sz w:val="18"/>
        </w:rPr>
        <w:t>None</w:t>
      </w:r>
      <w:r>
        <w:rPr>
          <w:spacing w:val="-2"/>
          <w:sz w:val="18"/>
        </w:rPr>
        <w:t> </w:t>
      </w:r>
      <w:r>
        <w:rPr>
          <w:sz w:val="18"/>
        </w:rPr>
        <w:t>of</w:t>
      </w:r>
      <w:r>
        <w:rPr>
          <w:spacing w:val="-2"/>
          <w:sz w:val="18"/>
        </w:rPr>
        <w:t> </w:t>
      </w:r>
      <w:r>
        <w:rPr>
          <w:sz w:val="18"/>
        </w:rPr>
        <w:t>the time</w:t>
      </w:r>
    </w:p>
    <w:p>
      <w:pPr>
        <w:pStyle w:val="ListParagraph"/>
        <w:numPr>
          <w:ilvl w:val="1"/>
          <w:numId w:val="133"/>
        </w:numPr>
        <w:tabs>
          <w:tab w:pos="2580" w:val="left" w:leader="none"/>
          <w:tab w:pos="2581" w:val="left" w:leader="none"/>
        </w:tabs>
        <w:spacing w:line="240" w:lineRule="auto" w:before="32" w:after="0"/>
        <w:ind w:left="2580" w:right="0" w:hanging="721"/>
        <w:jc w:val="left"/>
        <w:rPr>
          <w:sz w:val="18"/>
        </w:rPr>
      </w:pPr>
      <w:r>
        <w:rPr>
          <w:sz w:val="18"/>
        </w:rPr>
        <w:t>A</w:t>
      </w:r>
      <w:r>
        <w:rPr>
          <w:spacing w:val="-6"/>
          <w:sz w:val="18"/>
        </w:rPr>
        <w:t> </w:t>
      </w:r>
      <w:r>
        <w:rPr>
          <w:sz w:val="18"/>
        </w:rPr>
        <w:t>little</w:t>
      </w:r>
      <w:r>
        <w:rPr>
          <w:spacing w:val="-2"/>
          <w:sz w:val="18"/>
        </w:rPr>
        <w:t> </w:t>
      </w:r>
      <w:r>
        <w:rPr>
          <w:sz w:val="18"/>
        </w:rPr>
        <w:t>of</w:t>
      </w:r>
      <w:r>
        <w:rPr>
          <w:spacing w:val="-2"/>
          <w:sz w:val="18"/>
        </w:rPr>
        <w:t> </w:t>
      </w:r>
      <w:r>
        <w:rPr>
          <w:sz w:val="18"/>
        </w:rPr>
        <w:t>the time</w:t>
      </w:r>
    </w:p>
    <w:p>
      <w:pPr>
        <w:pStyle w:val="ListParagraph"/>
        <w:numPr>
          <w:ilvl w:val="1"/>
          <w:numId w:val="133"/>
        </w:numPr>
        <w:tabs>
          <w:tab w:pos="2580" w:val="left" w:leader="none"/>
          <w:tab w:pos="2581" w:val="left" w:leader="none"/>
        </w:tabs>
        <w:spacing w:line="240" w:lineRule="auto" w:before="34" w:after="0"/>
        <w:ind w:left="2580" w:right="0" w:hanging="721"/>
        <w:jc w:val="left"/>
        <w:rPr>
          <w:sz w:val="18"/>
        </w:rPr>
      </w:pPr>
      <w:r>
        <w:rPr>
          <w:sz w:val="18"/>
        </w:rPr>
        <w:t>Some</w:t>
      </w:r>
      <w:r>
        <w:rPr>
          <w:spacing w:val="-3"/>
          <w:sz w:val="18"/>
        </w:rPr>
        <w:t> </w:t>
      </w:r>
      <w:r>
        <w:rPr>
          <w:sz w:val="18"/>
        </w:rPr>
        <w:t>of</w:t>
      </w:r>
      <w:r>
        <w:rPr>
          <w:spacing w:val="-2"/>
          <w:sz w:val="18"/>
        </w:rPr>
        <w:t> </w:t>
      </w:r>
      <w:r>
        <w:rPr>
          <w:sz w:val="18"/>
        </w:rPr>
        <w:t>the</w:t>
      </w:r>
      <w:r>
        <w:rPr>
          <w:spacing w:val="-1"/>
          <w:sz w:val="18"/>
        </w:rPr>
        <w:t> </w:t>
      </w:r>
      <w:r>
        <w:rPr>
          <w:sz w:val="18"/>
        </w:rPr>
        <w:t>time</w:t>
      </w:r>
    </w:p>
    <w:p>
      <w:pPr>
        <w:pStyle w:val="ListParagraph"/>
        <w:numPr>
          <w:ilvl w:val="1"/>
          <w:numId w:val="133"/>
        </w:numPr>
        <w:tabs>
          <w:tab w:pos="2580" w:val="left" w:leader="none"/>
          <w:tab w:pos="2581" w:val="left" w:leader="none"/>
        </w:tabs>
        <w:spacing w:line="240" w:lineRule="auto" w:before="34" w:after="0"/>
        <w:ind w:left="2580" w:right="0" w:hanging="721"/>
        <w:jc w:val="left"/>
        <w:rPr>
          <w:sz w:val="18"/>
        </w:rPr>
      </w:pPr>
      <w:r>
        <w:rPr>
          <w:sz w:val="18"/>
        </w:rPr>
        <w:t>Most</w:t>
      </w:r>
      <w:r>
        <w:rPr>
          <w:spacing w:val="-3"/>
          <w:sz w:val="18"/>
        </w:rPr>
        <w:t> </w:t>
      </w:r>
      <w:r>
        <w:rPr>
          <w:sz w:val="18"/>
        </w:rPr>
        <w:t>of</w:t>
      </w:r>
      <w:r>
        <w:rPr>
          <w:spacing w:val="-1"/>
          <w:sz w:val="18"/>
        </w:rPr>
        <w:t> </w:t>
      </w:r>
      <w:r>
        <w:rPr>
          <w:sz w:val="18"/>
        </w:rPr>
        <w:t>the time</w:t>
      </w:r>
    </w:p>
    <w:p>
      <w:pPr>
        <w:pStyle w:val="ListParagraph"/>
        <w:numPr>
          <w:ilvl w:val="1"/>
          <w:numId w:val="133"/>
        </w:numPr>
        <w:tabs>
          <w:tab w:pos="2580" w:val="left" w:leader="none"/>
          <w:tab w:pos="2581" w:val="left" w:leader="none"/>
        </w:tabs>
        <w:spacing w:line="240" w:lineRule="auto" w:before="33" w:after="0"/>
        <w:ind w:left="2580" w:right="0" w:hanging="721"/>
        <w:jc w:val="left"/>
        <w:rPr>
          <w:sz w:val="18"/>
        </w:rPr>
      </w:pPr>
      <w:r>
        <w:rPr>
          <w:sz w:val="18"/>
        </w:rPr>
        <w:t>Always</w:t>
      </w:r>
    </w:p>
    <w:p>
      <w:pPr>
        <w:pStyle w:val="ListParagraph"/>
        <w:numPr>
          <w:ilvl w:val="0"/>
          <w:numId w:val="138"/>
        </w:numPr>
        <w:tabs>
          <w:tab w:pos="2580" w:val="left" w:leader="none"/>
          <w:tab w:pos="2581" w:val="left" w:leader="none"/>
        </w:tabs>
        <w:spacing w:line="240" w:lineRule="auto" w:before="32" w:after="0"/>
        <w:ind w:left="2580" w:right="0" w:hanging="721"/>
        <w:jc w:val="left"/>
        <w:rPr>
          <w:sz w:val="18"/>
        </w:rPr>
      </w:pPr>
      <w:r>
        <w:rPr>
          <w:sz w:val="18"/>
        </w:rPr>
        <w:t>(Don’t</w:t>
      </w:r>
      <w:r>
        <w:rPr>
          <w:spacing w:val="-3"/>
          <w:sz w:val="18"/>
        </w:rPr>
        <w:t> </w:t>
      </w:r>
      <w:r>
        <w:rPr>
          <w:sz w:val="18"/>
        </w:rPr>
        <w:t>know)</w:t>
      </w:r>
    </w:p>
    <w:p>
      <w:pPr>
        <w:pStyle w:val="ListParagraph"/>
        <w:numPr>
          <w:ilvl w:val="0"/>
          <w:numId w:val="138"/>
        </w:numPr>
        <w:tabs>
          <w:tab w:pos="2580" w:val="left" w:leader="none"/>
          <w:tab w:pos="2581" w:val="left" w:leader="none"/>
        </w:tabs>
        <w:spacing w:line="240" w:lineRule="auto" w:before="33" w:after="0"/>
        <w:ind w:left="2580" w:right="0" w:hanging="721"/>
        <w:jc w:val="left"/>
        <w:rPr>
          <w:sz w:val="18"/>
        </w:rPr>
      </w:pPr>
      <w:r>
        <w:rPr>
          <w:sz w:val="18"/>
        </w:rPr>
        <w:t>(Refused)</w:t>
      </w:r>
    </w:p>
    <w:p>
      <w:pPr>
        <w:pStyle w:val="BodyText"/>
        <w:rPr>
          <w:sz w:val="19"/>
        </w:rPr>
      </w:pPr>
    </w:p>
    <w:p>
      <w:pPr>
        <w:pStyle w:val="ListParagraph"/>
        <w:numPr>
          <w:ilvl w:val="0"/>
          <w:numId w:val="133"/>
        </w:numPr>
        <w:tabs>
          <w:tab w:pos="1860" w:val="left" w:leader="none"/>
          <w:tab w:pos="1861" w:val="left" w:leader="none"/>
        </w:tabs>
        <w:spacing w:line="240" w:lineRule="auto" w:before="0" w:after="0"/>
        <w:ind w:left="1860" w:right="0" w:hanging="721"/>
        <w:jc w:val="left"/>
        <w:rPr>
          <w:sz w:val="18"/>
        </w:rPr>
      </w:pPr>
      <w:r>
        <w:rPr>
          <w:sz w:val="18"/>
        </w:rPr>
        <w:t>I was</w:t>
      </w:r>
      <w:r>
        <w:rPr>
          <w:spacing w:val="-2"/>
          <w:sz w:val="18"/>
        </w:rPr>
        <w:t> </w:t>
      </w:r>
      <w:r>
        <w:rPr>
          <w:sz w:val="18"/>
        </w:rPr>
        <w:t>asked</w:t>
      </w:r>
      <w:r>
        <w:rPr>
          <w:spacing w:val="-2"/>
          <w:sz w:val="18"/>
        </w:rPr>
        <w:t> </w:t>
      </w:r>
      <w:r>
        <w:rPr>
          <w:sz w:val="18"/>
        </w:rPr>
        <w:t>how</w:t>
      </w:r>
      <w:r>
        <w:rPr>
          <w:spacing w:val="-3"/>
          <w:sz w:val="18"/>
        </w:rPr>
        <w:t> </w:t>
      </w:r>
      <w:r>
        <w:rPr>
          <w:sz w:val="18"/>
        </w:rPr>
        <w:t>my</w:t>
      </w:r>
      <w:r>
        <w:rPr>
          <w:spacing w:val="-2"/>
          <w:sz w:val="18"/>
        </w:rPr>
        <w:t> </w:t>
      </w:r>
      <w:r>
        <w:rPr>
          <w:sz w:val="18"/>
        </w:rPr>
        <w:t>visits</w:t>
      </w:r>
      <w:r>
        <w:rPr>
          <w:spacing w:val="-2"/>
          <w:sz w:val="18"/>
        </w:rPr>
        <w:t> </w:t>
      </w:r>
      <w:r>
        <w:rPr>
          <w:sz w:val="18"/>
        </w:rPr>
        <w:t>with</w:t>
      </w:r>
      <w:r>
        <w:rPr>
          <w:spacing w:val="-2"/>
          <w:sz w:val="18"/>
        </w:rPr>
        <w:t> </w:t>
      </w:r>
      <w:r>
        <w:rPr>
          <w:sz w:val="18"/>
        </w:rPr>
        <w:t>other doctors</w:t>
      </w:r>
      <w:r>
        <w:rPr>
          <w:spacing w:val="-2"/>
          <w:sz w:val="18"/>
        </w:rPr>
        <w:t> </w:t>
      </w:r>
      <w:r>
        <w:rPr>
          <w:sz w:val="18"/>
        </w:rPr>
        <w:t>were</w:t>
      </w:r>
      <w:r>
        <w:rPr>
          <w:spacing w:val="-3"/>
          <w:sz w:val="18"/>
        </w:rPr>
        <w:t> </w:t>
      </w:r>
      <w:r>
        <w:rPr>
          <w:sz w:val="18"/>
        </w:rPr>
        <w:t>going.</w:t>
      </w:r>
    </w:p>
    <w:p>
      <w:pPr>
        <w:pStyle w:val="BodyText"/>
        <w:rPr>
          <w:sz w:val="19"/>
        </w:rPr>
      </w:pPr>
    </w:p>
    <w:p>
      <w:pPr>
        <w:pStyle w:val="ListParagraph"/>
        <w:numPr>
          <w:ilvl w:val="1"/>
          <w:numId w:val="133"/>
        </w:numPr>
        <w:tabs>
          <w:tab w:pos="2580" w:val="left" w:leader="none"/>
          <w:tab w:pos="2581" w:val="left" w:leader="none"/>
        </w:tabs>
        <w:spacing w:line="240" w:lineRule="auto" w:before="0" w:after="0"/>
        <w:ind w:left="2580" w:right="0" w:hanging="721"/>
        <w:jc w:val="left"/>
        <w:rPr>
          <w:sz w:val="18"/>
        </w:rPr>
      </w:pPr>
      <w:r>
        <w:rPr>
          <w:sz w:val="18"/>
        </w:rPr>
        <w:t>None</w:t>
      </w:r>
      <w:r>
        <w:rPr>
          <w:spacing w:val="-2"/>
          <w:sz w:val="18"/>
        </w:rPr>
        <w:t> </w:t>
      </w:r>
      <w:r>
        <w:rPr>
          <w:sz w:val="18"/>
        </w:rPr>
        <w:t>of</w:t>
      </w:r>
      <w:r>
        <w:rPr>
          <w:spacing w:val="-2"/>
          <w:sz w:val="18"/>
        </w:rPr>
        <w:t> </w:t>
      </w:r>
      <w:r>
        <w:rPr>
          <w:sz w:val="18"/>
        </w:rPr>
        <w:t>the time</w:t>
      </w:r>
    </w:p>
    <w:p>
      <w:pPr>
        <w:pStyle w:val="ListParagraph"/>
        <w:numPr>
          <w:ilvl w:val="1"/>
          <w:numId w:val="133"/>
        </w:numPr>
        <w:tabs>
          <w:tab w:pos="2580" w:val="left" w:leader="none"/>
          <w:tab w:pos="2581" w:val="left" w:leader="none"/>
        </w:tabs>
        <w:spacing w:line="240" w:lineRule="auto" w:before="34" w:after="0"/>
        <w:ind w:left="2580" w:right="0" w:hanging="721"/>
        <w:jc w:val="left"/>
        <w:rPr>
          <w:sz w:val="18"/>
        </w:rPr>
      </w:pPr>
      <w:r>
        <w:rPr>
          <w:sz w:val="18"/>
        </w:rPr>
        <w:t>A</w:t>
      </w:r>
      <w:r>
        <w:rPr>
          <w:spacing w:val="-6"/>
          <w:sz w:val="18"/>
        </w:rPr>
        <w:t> </w:t>
      </w:r>
      <w:r>
        <w:rPr>
          <w:sz w:val="18"/>
        </w:rPr>
        <w:t>little</w:t>
      </w:r>
      <w:r>
        <w:rPr>
          <w:spacing w:val="-2"/>
          <w:sz w:val="18"/>
        </w:rPr>
        <w:t> </w:t>
      </w:r>
      <w:r>
        <w:rPr>
          <w:sz w:val="18"/>
        </w:rPr>
        <w:t>of</w:t>
      </w:r>
      <w:r>
        <w:rPr>
          <w:spacing w:val="-2"/>
          <w:sz w:val="18"/>
        </w:rPr>
        <w:t> </w:t>
      </w:r>
      <w:r>
        <w:rPr>
          <w:sz w:val="18"/>
        </w:rPr>
        <w:t>the time</w:t>
      </w:r>
    </w:p>
    <w:p>
      <w:pPr>
        <w:pStyle w:val="ListParagraph"/>
        <w:numPr>
          <w:ilvl w:val="1"/>
          <w:numId w:val="133"/>
        </w:numPr>
        <w:tabs>
          <w:tab w:pos="2580" w:val="left" w:leader="none"/>
          <w:tab w:pos="2581" w:val="left" w:leader="none"/>
        </w:tabs>
        <w:spacing w:line="240" w:lineRule="auto" w:before="34" w:after="0"/>
        <w:ind w:left="2580" w:right="0" w:hanging="721"/>
        <w:jc w:val="left"/>
        <w:rPr>
          <w:sz w:val="18"/>
        </w:rPr>
      </w:pPr>
      <w:r>
        <w:rPr>
          <w:sz w:val="18"/>
        </w:rPr>
        <w:t>Some</w:t>
      </w:r>
      <w:r>
        <w:rPr>
          <w:spacing w:val="-3"/>
          <w:sz w:val="18"/>
        </w:rPr>
        <w:t> </w:t>
      </w:r>
      <w:r>
        <w:rPr>
          <w:sz w:val="18"/>
        </w:rPr>
        <w:t>of</w:t>
      </w:r>
      <w:r>
        <w:rPr>
          <w:spacing w:val="-2"/>
          <w:sz w:val="18"/>
        </w:rPr>
        <w:t> </w:t>
      </w:r>
      <w:r>
        <w:rPr>
          <w:sz w:val="18"/>
        </w:rPr>
        <w:t>the</w:t>
      </w:r>
      <w:r>
        <w:rPr>
          <w:spacing w:val="-1"/>
          <w:sz w:val="18"/>
        </w:rPr>
        <w:t> </w:t>
      </w:r>
      <w:r>
        <w:rPr>
          <w:sz w:val="18"/>
        </w:rPr>
        <w:t>time</w:t>
      </w:r>
    </w:p>
    <w:p>
      <w:pPr>
        <w:pStyle w:val="ListParagraph"/>
        <w:numPr>
          <w:ilvl w:val="1"/>
          <w:numId w:val="133"/>
        </w:numPr>
        <w:tabs>
          <w:tab w:pos="2580" w:val="left" w:leader="none"/>
          <w:tab w:pos="2581" w:val="left" w:leader="none"/>
        </w:tabs>
        <w:spacing w:line="240" w:lineRule="auto" w:before="33" w:after="0"/>
        <w:ind w:left="2580" w:right="0" w:hanging="721"/>
        <w:jc w:val="left"/>
        <w:rPr>
          <w:sz w:val="18"/>
        </w:rPr>
      </w:pPr>
      <w:r>
        <w:rPr>
          <w:sz w:val="18"/>
        </w:rPr>
        <w:t>Most</w:t>
      </w:r>
      <w:r>
        <w:rPr>
          <w:spacing w:val="-3"/>
          <w:sz w:val="18"/>
        </w:rPr>
        <w:t> </w:t>
      </w:r>
      <w:r>
        <w:rPr>
          <w:sz w:val="18"/>
        </w:rPr>
        <w:t>of</w:t>
      </w:r>
      <w:r>
        <w:rPr>
          <w:spacing w:val="-1"/>
          <w:sz w:val="18"/>
        </w:rPr>
        <w:t> </w:t>
      </w:r>
      <w:r>
        <w:rPr>
          <w:sz w:val="18"/>
        </w:rPr>
        <w:t>the time</w:t>
      </w:r>
    </w:p>
    <w:p>
      <w:pPr>
        <w:pStyle w:val="ListParagraph"/>
        <w:numPr>
          <w:ilvl w:val="1"/>
          <w:numId w:val="133"/>
        </w:numPr>
        <w:tabs>
          <w:tab w:pos="2580" w:val="left" w:leader="none"/>
          <w:tab w:pos="2581" w:val="left" w:leader="none"/>
        </w:tabs>
        <w:spacing w:line="240" w:lineRule="auto" w:before="32" w:after="0"/>
        <w:ind w:left="2580" w:right="0" w:hanging="721"/>
        <w:jc w:val="left"/>
        <w:rPr>
          <w:sz w:val="18"/>
        </w:rPr>
      </w:pPr>
      <w:r>
        <w:rPr>
          <w:sz w:val="18"/>
        </w:rPr>
        <w:t>Always</w:t>
      </w:r>
    </w:p>
    <w:p>
      <w:pPr>
        <w:pStyle w:val="ListParagraph"/>
        <w:numPr>
          <w:ilvl w:val="0"/>
          <w:numId w:val="139"/>
        </w:numPr>
        <w:tabs>
          <w:tab w:pos="2580" w:val="left" w:leader="none"/>
          <w:tab w:pos="2581" w:val="left" w:leader="none"/>
        </w:tabs>
        <w:spacing w:line="240" w:lineRule="auto" w:before="34" w:after="0"/>
        <w:ind w:left="2580" w:right="0" w:hanging="721"/>
        <w:jc w:val="left"/>
        <w:rPr>
          <w:sz w:val="18"/>
        </w:rPr>
      </w:pPr>
      <w:r>
        <w:rPr>
          <w:sz w:val="18"/>
        </w:rPr>
        <w:t>(Don’t</w:t>
      </w:r>
      <w:r>
        <w:rPr>
          <w:spacing w:val="-3"/>
          <w:sz w:val="18"/>
        </w:rPr>
        <w:t> </w:t>
      </w:r>
      <w:r>
        <w:rPr>
          <w:sz w:val="18"/>
        </w:rPr>
        <w:t>know)</w:t>
      </w:r>
    </w:p>
    <w:p>
      <w:pPr>
        <w:pStyle w:val="ListParagraph"/>
        <w:numPr>
          <w:ilvl w:val="0"/>
          <w:numId w:val="139"/>
        </w:numPr>
        <w:tabs>
          <w:tab w:pos="2580" w:val="left" w:leader="none"/>
          <w:tab w:pos="2581" w:val="left" w:leader="none"/>
        </w:tabs>
        <w:spacing w:line="240" w:lineRule="auto" w:before="34" w:after="0"/>
        <w:ind w:left="2580" w:right="0" w:hanging="721"/>
        <w:jc w:val="left"/>
        <w:rPr>
          <w:sz w:val="18"/>
        </w:rPr>
      </w:pPr>
      <w:r>
        <w:rPr>
          <w:sz w:val="18"/>
        </w:rPr>
        <w:t>(Refused)</w:t>
      </w:r>
    </w:p>
    <w:p>
      <w:pPr>
        <w:pStyle w:val="BodyText"/>
        <w:spacing w:before="12"/>
        <w:rPr>
          <w:sz w:val="18"/>
        </w:rPr>
      </w:pPr>
    </w:p>
    <w:p>
      <w:pPr>
        <w:tabs>
          <w:tab w:pos="1128" w:val="left" w:leader="none"/>
        </w:tabs>
        <w:spacing w:line="276" w:lineRule="auto" w:before="0"/>
        <w:ind w:left="1128" w:right="1513" w:hanging="709"/>
        <w:jc w:val="left"/>
        <w:rPr>
          <w:sz w:val="18"/>
        </w:rPr>
      </w:pPr>
      <w:r>
        <w:rPr>
          <w:sz w:val="18"/>
        </w:rPr>
        <w:t>Q13</w:t>
        <w:tab/>
        <w:t>Over the last 6 months, how often did you and your GP, or someone from &lt;practice&gt;, talk about all the</w:t>
      </w:r>
      <w:r>
        <w:rPr>
          <w:spacing w:val="-47"/>
          <w:sz w:val="18"/>
        </w:rPr>
        <w:t> </w:t>
      </w:r>
      <w:r>
        <w:rPr>
          <w:sz w:val="18"/>
        </w:rPr>
        <w:t>prescription</w:t>
      </w:r>
      <w:r>
        <w:rPr>
          <w:spacing w:val="1"/>
          <w:sz w:val="18"/>
        </w:rPr>
        <w:t> </w:t>
      </w:r>
      <w:r>
        <w:rPr>
          <w:sz w:val="18"/>
        </w:rPr>
        <w:t>medicines</w:t>
      </w:r>
      <w:r>
        <w:rPr>
          <w:spacing w:val="1"/>
          <w:sz w:val="18"/>
        </w:rPr>
        <w:t> </w:t>
      </w:r>
      <w:r>
        <w:rPr>
          <w:sz w:val="18"/>
        </w:rPr>
        <w:t>you</w:t>
      </w:r>
      <w:r>
        <w:rPr>
          <w:spacing w:val="-1"/>
          <w:sz w:val="18"/>
        </w:rPr>
        <w:t> </w:t>
      </w:r>
      <w:r>
        <w:rPr>
          <w:sz w:val="18"/>
        </w:rPr>
        <w:t>were</w:t>
      </w:r>
      <w:r>
        <w:rPr>
          <w:spacing w:val="1"/>
          <w:sz w:val="18"/>
        </w:rPr>
        <w:t> </w:t>
      </w:r>
      <w:r>
        <w:rPr>
          <w:sz w:val="18"/>
        </w:rPr>
        <w:t>taking?</w:t>
      </w:r>
    </w:p>
    <w:p>
      <w:pPr>
        <w:pStyle w:val="BodyText"/>
        <w:spacing w:before="4"/>
        <w:rPr>
          <w:sz w:val="16"/>
        </w:rPr>
      </w:pPr>
    </w:p>
    <w:p>
      <w:pPr>
        <w:pStyle w:val="ListParagraph"/>
        <w:numPr>
          <w:ilvl w:val="0"/>
          <w:numId w:val="140"/>
        </w:numPr>
        <w:tabs>
          <w:tab w:pos="1860" w:val="left" w:leader="none"/>
          <w:tab w:pos="1861" w:val="left" w:leader="none"/>
        </w:tabs>
        <w:spacing w:line="240" w:lineRule="auto" w:before="0" w:after="0"/>
        <w:ind w:left="1860" w:right="0" w:hanging="721"/>
        <w:jc w:val="left"/>
        <w:rPr>
          <w:sz w:val="18"/>
        </w:rPr>
      </w:pPr>
      <w:r>
        <w:rPr>
          <w:sz w:val="18"/>
        </w:rPr>
        <w:t>Never</w:t>
      </w:r>
    </w:p>
    <w:p>
      <w:pPr>
        <w:pStyle w:val="ListParagraph"/>
        <w:numPr>
          <w:ilvl w:val="0"/>
          <w:numId w:val="140"/>
        </w:numPr>
        <w:tabs>
          <w:tab w:pos="1860" w:val="left" w:leader="none"/>
          <w:tab w:pos="1861" w:val="left" w:leader="none"/>
        </w:tabs>
        <w:spacing w:line="240" w:lineRule="auto" w:before="31" w:after="0"/>
        <w:ind w:left="1860" w:right="0" w:hanging="721"/>
        <w:jc w:val="left"/>
        <w:rPr>
          <w:sz w:val="18"/>
        </w:rPr>
      </w:pPr>
      <w:r>
        <w:rPr>
          <w:sz w:val="18"/>
        </w:rPr>
        <w:t>Some</w:t>
      </w:r>
      <w:r>
        <w:rPr>
          <w:spacing w:val="-3"/>
          <w:sz w:val="18"/>
        </w:rPr>
        <w:t> </w:t>
      </w:r>
      <w:r>
        <w:rPr>
          <w:sz w:val="18"/>
        </w:rPr>
        <w:t>of</w:t>
      </w:r>
      <w:r>
        <w:rPr>
          <w:spacing w:val="-2"/>
          <w:sz w:val="18"/>
        </w:rPr>
        <w:t> </w:t>
      </w:r>
      <w:r>
        <w:rPr>
          <w:sz w:val="18"/>
        </w:rPr>
        <w:t>the</w:t>
      </w:r>
      <w:r>
        <w:rPr>
          <w:spacing w:val="-2"/>
          <w:sz w:val="18"/>
        </w:rPr>
        <w:t> </w:t>
      </w:r>
      <w:r>
        <w:rPr>
          <w:sz w:val="18"/>
        </w:rPr>
        <w:t>times</w:t>
      </w:r>
      <w:r>
        <w:rPr>
          <w:spacing w:val="-5"/>
          <w:sz w:val="18"/>
        </w:rPr>
        <w:t> </w:t>
      </w:r>
      <w:r>
        <w:rPr>
          <w:sz w:val="18"/>
        </w:rPr>
        <w:t>I</w:t>
      </w:r>
      <w:r>
        <w:rPr>
          <w:spacing w:val="3"/>
          <w:sz w:val="18"/>
        </w:rPr>
        <w:t> </w:t>
      </w:r>
      <w:r>
        <w:rPr>
          <w:sz w:val="18"/>
        </w:rPr>
        <w:t>attended</w:t>
      </w:r>
      <w:r>
        <w:rPr>
          <w:spacing w:val="-3"/>
          <w:sz w:val="18"/>
        </w:rPr>
        <w:t> </w:t>
      </w:r>
      <w:r>
        <w:rPr>
          <w:sz w:val="18"/>
        </w:rPr>
        <w:t>the</w:t>
      </w:r>
      <w:r>
        <w:rPr>
          <w:spacing w:val="-2"/>
          <w:sz w:val="18"/>
        </w:rPr>
        <w:t> </w:t>
      </w:r>
      <w:r>
        <w:rPr>
          <w:sz w:val="18"/>
        </w:rPr>
        <w:t>practice</w:t>
      </w:r>
    </w:p>
    <w:p>
      <w:pPr>
        <w:pStyle w:val="ListParagraph"/>
        <w:numPr>
          <w:ilvl w:val="0"/>
          <w:numId w:val="140"/>
        </w:numPr>
        <w:tabs>
          <w:tab w:pos="1860" w:val="left" w:leader="none"/>
          <w:tab w:pos="1861" w:val="left" w:leader="none"/>
        </w:tabs>
        <w:spacing w:line="240" w:lineRule="auto" w:before="34" w:after="0"/>
        <w:ind w:left="1860" w:right="0" w:hanging="721"/>
        <w:jc w:val="left"/>
        <w:rPr>
          <w:sz w:val="18"/>
        </w:rPr>
      </w:pPr>
      <w:r>
        <w:rPr>
          <w:sz w:val="18"/>
        </w:rPr>
        <w:t>Most</w:t>
      </w:r>
      <w:r>
        <w:rPr>
          <w:spacing w:val="-4"/>
          <w:sz w:val="18"/>
        </w:rPr>
        <w:t> </w:t>
      </w:r>
      <w:r>
        <w:rPr>
          <w:sz w:val="18"/>
        </w:rPr>
        <w:t>of</w:t>
      </w:r>
      <w:r>
        <w:rPr>
          <w:spacing w:val="-1"/>
          <w:sz w:val="18"/>
        </w:rPr>
        <w:t> </w:t>
      </w:r>
      <w:r>
        <w:rPr>
          <w:sz w:val="18"/>
        </w:rPr>
        <w:t>the</w:t>
      </w:r>
      <w:r>
        <w:rPr>
          <w:spacing w:val="-1"/>
          <w:sz w:val="18"/>
        </w:rPr>
        <w:t> </w:t>
      </w:r>
      <w:r>
        <w:rPr>
          <w:sz w:val="18"/>
        </w:rPr>
        <w:t>times</w:t>
      </w:r>
      <w:r>
        <w:rPr>
          <w:spacing w:val="-5"/>
          <w:sz w:val="18"/>
        </w:rPr>
        <w:t> </w:t>
      </w:r>
      <w:r>
        <w:rPr>
          <w:sz w:val="18"/>
        </w:rPr>
        <w:t>I</w:t>
      </w:r>
      <w:r>
        <w:rPr>
          <w:spacing w:val="3"/>
          <w:sz w:val="18"/>
        </w:rPr>
        <w:t> </w:t>
      </w:r>
      <w:r>
        <w:rPr>
          <w:sz w:val="18"/>
        </w:rPr>
        <w:t>attended</w:t>
      </w:r>
      <w:r>
        <w:rPr>
          <w:spacing w:val="-1"/>
          <w:sz w:val="18"/>
        </w:rPr>
        <w:t> </w:t>
      </w:r>
      <w:r>
        <w:rPr>
          <w:sz w:val="18"/>
        </w:rPr>
        <w:t>the</w:t>
      </w:r>
      <w:r>
        <w:rPr>
          <w:spacing w:val="-2"/>
          <w:sz w:val="18"/>
        </w:rPr>
        <w:t> </w:t>
      </w:r>
      <w:r>
        <w:rPr>
          <w:sz w:val="18"/>
        </w:rPr>
        <w:t>practice</w:t>
      </w:r>
    </w:p>
    <w:p>
      <w:pPr>
        <w:pStyle w:val="ListParagraph"/>
        <w:numPr>
          <w:ilvl w:val="0"/>
          <w:numId w:val="141"/>
        </w:numPr>
        <w:tabs>
          <w:tab w:pos="1860" w:val="left" w:leader="none"/>
          <w:tab w:pos="1861" w:val="left" w:leader="none"/>
        </w:tabs>
        <w:spacing w:line="240" w:lineRule="auto" w:before="34" w:after="0"/>
        <w:ind w:left="1860" w:right="0" w:hanging="721"/>
        <w:jc w:val="left"/>
        <w:rPr>
          <w:sz w:val="18"/>
        </w:rPr>
      </w:pPr>
      <w:r>
        <w:rPr>
          <w:sz w:val="18"/>
        </w:rPr>
        <w:t>(Not</w:t>
      </w:r>
      <w:r>
        <w:rPr>
          <w:spacing w:val="-4"/>
          <w:sz w:val="18"/>
        </w:rPr>
        <w:t> </w:t>
      </w:r>
      <w:r>
        <w:rPr>
          <w:sz w:val="18"/>
        </w:rPr>
        <w:t>applicable</w:t>
      </w:r>
      <w:r>
        <w:rPr>
          <w:spacing w:val="-2"/>
          <w:sz w:val="18"/>
        </w:rPr>
        <w:t> </w:t>
      </w:r>
      <w:r>
        <w:rPr>
          <w:sz w:val="18"/>
        </w:rPr>
        <w:t>–</w:t>
      </w:r>
      <w:r>
        <w:rPr>
          <w:spacing w:val="-4"/>
          <w:sz w:val="18"/>
        </w:rPr>
        <w:t> </w:t>
      </w:r>
      <w:r>
        <w:rPr>
          <w:sz w:val="18"/>
        </w:rPr>
        <w:t>respondent</w:t>
      </w:r>
      <w:r>
        <w:rPr>
          <w:spacing w:val="-3"/>
          <w:sz w:val="18"/>
        </w:rPr>
        <w:t> </w:t>
      </w:r>
      <w:r>
        <w:rPr>
          <w:sz w:val="18"/>
        </w:rPr>
        <w:t>not</w:t>
      </w:r>
      <w:r>
        <w:rPr>
          <w:spacing w:val="-3"/>
          <w:sz w:val="18"/>
        </w:rPr>
        <w:t> </w:t>
      </w:r>
      <w:r>
        <w:rPr>
          <w:sz w:val="18"/>
        </w:rPr>
        <w:t>taking</w:t>
      </w:r>
      <w:r>
        <w:rPr>
          <w:spacing w:val="-3"/>
          <w:sz w:val="18"/>
        </w:rPr>
        <w:t> </w:t>
      </w:r>
      <w:r>
        <w:rPr>
          <w:sz w:val="18"/>
        </w:rPr>
        <w:t>prescription</w:t>
      </w:r>
      <w:r>
        <w:rPr>
          <w:spacing w:val="-1"/>
          <w:sz w:val="18"/>
        </w:rPr>
        <w:t> </w:t>
      </w:r>
      <w:r>
        <w:rPr>
          <w:sz w:val="18"/>
        </w:rPr>
        <w:t>medication)</w:t>
      </w:r>
    </w:p>
    <w:p>
      <w:pPr>
        <w:pStyle w:val="ListParagraph"/>
        <w:numPr>
          <w:ilvl w:val="0"/>
          <w:numId w:val="141"/>
        </w:numPr>
        <w:tabs>
          <w:tab w:pos="1860" w:val="left" w:leader="none"/>
          <w:tab w:pos="1861" w:val="left" w:leader="none"/>
        </w:tabs>
        <w:spacing w:line="240" w:lineRule="auto" w:before="33" w:after="0"/>
        <w:ind w:left="1860" w:right="0" w:hanging="721"/>
        <w:jc w:val="left"/>
        <w:rPr>
          <w:sz w:val="18"/>
        </w:rPr>
      </w:pPr>
      <w:r>
        <w:rPr>
          <w:sz w:val="18"/>
        </w:rPr>
        <w:t>(Don’t</w:t>
      </w:r>
      <w:r>
        <w:rPr>
          <w:spacing w:val="-3"/>
          <w:sz w:val="18"/>
        </w:rPr>
        <w:t> </w:t>
      </w:r>
      <w:r>
        <w:rPr>
          <w:sz w:val="18"/>
        </w:rPr>
        <w:t>know)</w:t>
      </w:r>
    </w:p>
    <w:p>
      <w:pPr>
        <w:pStyle w:val="ListParagraph"/>
        <w:numPr>
          <w:ilvl w:val="0"/>
          <w:numId w:val="141"/>
        </w:numPr>
        <w:tabs>
          <w:tab w:pos="1860" w:val="left" w:leader="none"/>
          <w:tab w:pos="1861" w:val="left" w:leader="none"/>
        </w:tabs>
        <w:spacing w:line="240" w:lineRule="auto" w:before="32" w:after="0"/>
        <w:ind w:left="1860" w:right="0" w:hanging="721"/>
        <w:jc w:val="left"/>
        <w:rPr>
          <w:sz w:val="18"/>
        </w:rPr>
      </w:pPr>
      <w:r>
        <w:rPr>
          <w:sz w:val="18"/>
        </w:rPr>
        <w:t>(Refused)</w:t>
      </w:r>
    </w:p>
    <w:p>
      <w:pPr>
        <w:pStyle w:val="BodyText"/>
        <w:spacing w:before="4"/>
        <w:rPr>
          <w:sz w:val="17"/>
        </w:rPr>
      </w:pPr>
      <w:r>
        <w:rPr/>
        <w:pict>
          <v:group style="position:absolute;margin-left:36pt;margin-top:11.82163pt;width:523.4500pt;height:361.85pt;mso-position-horizontal-relative:page;mso-position-vertical-relative:paragraph;z-index:-15271936;mso-wrap-distance-left:0;mso-wrap-distance-right:0" id="docshapegroup308" coordorigin="720,236" coordsize="10469,7237">
            <v:shape style="position:absolute;left:720;top:236;width:10469;height:7237" id="docshape309" coordorigin="720,236" coordsize="10469,7237" path="m730,246l720,246,720,7464,730,7464,730,246xm11188,7464l11179,7464,730,7464,720,7464,720,7473,730,7473,11179,7473,11188,7473,11188,7464xm11188,246l11179,246,11179,7464,11188,7464,11188,246xm11188,236l11179,236,730,236,720,236,720,246,730,246,11179,246,11188,246,11188,236xe" filled="true" fillcolor="#bebebe" stroked="false">
              <v:path arrowok="t"/>
              <v:fill type="solid"/>
            </v:shape>
            <v:shape style="position:absolute;left:832;top:244;width:10215;height:814" type="#_x0000_t202" id="docshape310" filled="false" stroked="false">
              <v:textbox inset="0,0,0,0">
                <w:txbxContent>
                  <w:p>
                    <w:pPr>
                      <w:spacing w:before="0"/>
                      <w:ind w:left="0" w:right="0" w:firstLine="0"/>
                      <w:jc w:val="left"/>
                      <w:rPr>
                        <w:b/>
                        <w:sz w:val="18"/>
                      </w:rPr>
                    </w:pPr>
                    <w:r>
                      <w:rPr>
                        <w:b/>
                        <w:sz w:val="18"/>
                      </w:rPr>
                      <w:t>Interviews</w:t>
                    </w:r>
                    <w:r>
                      <w:rPr>
                        <w:b/>
                        <w:spacing w:val="-2"/>
                        <w:sz w:val="18"/>
                      </w:rPr>
                      <w:t> </w:t>
                    </w:r>
                    <w:r>
                      <w:rPr>
                        <w:b/>
                        <w:sz w:val="18"/>
                      </w:rPr>
                      <w:t>2</w:t>
                    </w:r>
                    <w:r>
                      <w:rPr>
                        <w:b/>
                        <w:spacing w:val="-2"/>
                        <w:sz w:val="18"/>
                      </w:rPr>
                      <w:t> </w:t>
                    </w:r>
                    <w:r>
                      <w:rPr>
                        <w:b/>
                        <w:sz w:val="18"/>
                      </w:rPr>
                      <w:t>and</w:t>
                    </w:r>
                    <w:r>
                      <w:rPr>
                        <w:b/>
                        <w:spacing w:val="-1"/>
                        <w:sz w:val="18"/>
                      </w:rPr>
                      <w:t> </w:t>
                    </w:r>
                    <w:r>
                      <w:rPr>
                        <w:b/>
                        <w:sz w:val="18"/>
                      </w:rPr>
                      <w:t>3</w:t>
                    </w:r>
                  </w:p>
                  <w:p>
                    <w:pPr>
                      <w:tabs>
                        <w:tab w:pos="708" w:val="left" w:leader="none"/>
                      </w:tabs>
                      <w:spacing w:line="250" w:lineRule="atLeast" w:before="90"/>
                      <w:ind w:left="708" w:right="18" w:hanging="709"/>
                      <w:jc w:val="left"/>
                      <w:rPr>
                        <w:sz w:val="18"/>
                      </w:rPr>
                    </w:pPr>
                    <w:r>
                      <w:rPr>
                        <w:sz w:val="18"/>
                      </w:rPr>
                      <w:t>Q13A</w:t>
                      <w:tab/>
                      <w:t>In the last 12 months have you had a consultation with a pharmacist who reviewed all the medicines you are</w:t>
                    </w:r>
                    <w:r>
                      <w:rPr>
                        <w:spacing w:val="-47"/>
                        <w:sz w:val="18"/>
                      </w:rPr>
                      <w:t> </w:t>
                    </w:r>
                    <w:r>
                      <w:rPr>
                        <w:sz w:val="18"/>
                      </w:rPr>
                      <w:t>taking</w:t>
                    </w:r>
                    <w:r>
                      <w:rPr>
                        <w:spacing w:val="-1"/>
                        <w:sz w:val="18"/>
                      </w:rPr>
                      <w:t> </w:t>
                    </w:r>
                    <w:r>
                      <w:rPr>
                        <w:sz w:val="18"/>
                      </w:rPr>
                      <w:t>and</w:t>
                    </w:r>
                    <w:r>
                      <w:rPr>
                        <w:spacing w:val="-1"/>
                        <w:sz w:val="18"/>
                      </w:rPr>
                      <w:t> </w:t>
                    </w:r>
                    <w:r>
                      <w:rPr>
                        <w:sz w:val="18"/>
                      </w:rPr>
                      <w:t>spent time with</w:t>
                    </w:r>
                    <w:r>
                      <w:rPr>
                        <w:spacing w:val="-1"/>
                        <w:sz w:val="18"/>
                      </w:rPr>
                      <w:t> </w:t>
                    </w:r>
                    <w:r>
                      <w:rPr>
                        <w:sz w:val="18"/>
                      </w:rPr>
                      <w:t>you</w:t>
                    </w:r>
                    <w:r>
                      <w:rPr>
                        <w:spacing w:val="1"/>
                        <w:sz w:val="18"/>
                      </w:rPr>
                      <w:t> </w:t>
                    </w:r>
                    <w:r>
                      <w:rPr>
                        <w:sz w:val="18"/>
                      </w:rPr>
                      <w:t>to explain</w:t>
                    </w:r>
                    <w:r>
                      <w:rPr>
                        <w:spacing w:val="-2"/>
                        <w:sz w:val="18"/>
                      </w:rPr>
                      <w:t> </w:t>
                    </w:r>
                    <w:r>
                      <w:rPr>
                        <w:sz w:val="18"/>
                      </w:rPr>
                      <w:t>each</w:t>
                    </w:r>
                    <w:r>
                      <w:rPr>
                        <w:spacing w:val="1"/>
                        <w:sz w:val="18"/>
                      </w:rPr>
                      <w:t> </w:t>
                    </w:r>
                    <w:r>
                      <w:rPr>
                        <w:sz w:val="18"/>
                      </w:rPr>
                      <w:t>of</w:t>
                    </w:r>
                    <w:r>
                      <w:rPr>
                        <w:spacing w:val="1"/>
                        <w:sz w:val="18"/>
                      </w:rPr>
                      <w:t> </w:t>
                    </w:r>
                    <w:r>
                      <w:rPr>
                        <w:sz w:val="18"/>
                      </w:rPr>
                      <w:t>your</w:t>
                    </w:r>
                    <w:r>
                      <w:rPr>
                        <w:spacing w:val="-3"/>
                        <w:sz w:val="18"/>
                      </w:rPr>
                      <w:t> </w:t>
                    </w:r>
                    <w:r>
                      <w:rPr>
                        <w:sz w:val="18"/>
                      </w:rPr>
                      <w:t>medications?</w:t>
                    </w:r>
                  </w:p>
                </w:txbxContent>
              </v:textbox>
              <w10:wrap type="none"/>
            </v:shape>
            <v:shape style="position:absolute;left:1553;top:1291;width:273;height:884" type="#_x0000_t202" id="docshape311" filled="false" stroked="false">
              <v:textbox inset="0,0,0,0">
                <w:txbxContent>
                  <w:p>
                    <w:pPr>
                      <w:spacing w:before="0"/>
                      <w:ind w:left="0" w:right="0" w:firstLine="0"/>
                      <w:jc w:val="left"/>
                      <w:rPr>
                        <w:sz w:val="18"/>
                      </w:rPr>
                    </w:pPr>
                    <w:r>
                      <w:rPr>
                        <w:sz w:val="18"/>
                      </w:rPr>
                      <w:t>1.</w:t>
                    </w:r>
                  </w:p>
                  <w:p>
                    <w:pPr>
                      <w:spacing w:before="0"/>
                      <w:ind w:left="0" w:right="0" w:firstLine="0"/>
                      <w:jc w:val="left"/>
                      <w:rPr>
                        <w:sz w:val="18"/>
                      </w:rPr>
                    </w:pPr>
                    <w:r>
                      <w:rPr>
                        <w:sz w:val="18"/>
                      </w:rPr>
                      <w:t>2.</w:t>
                    </w:r>
                  </w:p>
                  <w:p>
                    <w:pPr>
                      <w:spacing w:before="0"/>
                      <w:ind w:left="0" w:right="0" w:firstLine="0"/>
                      <w:jc w:val="left"/>
                      <w:rPr>
                        <w:sz w:val="18"/>
                      </w:rPr>
                    </w:pPr>
                    <w:r>
                      <w:rPr>
                        <w:sz w:val="18"/>
                      </w:rPr>
                      <w:t>98.</w:t>
                    </w:r>
                  </w:p>
                  <w:p>
                    <w:pPr>
                      <w:spacing w:before="0"/>
                      <w:ind w:left="0" w:right="0" w:firstLine="0"/>
                      <w:jc w:val="left"/>
                      <w:rPr>
                        <w:sz w:val="18"/>
                      </w:rPr>
                    </w:pPr>
                    <w:r>
                      <w:rPr>
                        <w:sz w:val="18"/>
                      </w:rPr>
                      <w:t>99.</w:t>
                    </w:r>
                  </w:p>
                </w:txbxContent>
              </v:textbox>
              <w10:wrap type="none"/>
            </v:shape>
            <v:shape style="position:absolute;left:2273;top:1291;width:1155;height:884" type="#_x0000_t202" id="docshape312" filled="false" stroked="false">
              <v:textbox inset="0,0,0,0">
                <w:txbxContent>
                  <w:p>
                    <w:pPr>
                      <w:spacing w:before="0"/>
                      <w:ind w:left="0" w:right="844" w:firstLine="0"/>
                      <w:jc w:val="left"/>
                      <w:rPr>
                        <w:sz w:val="18"/>
                      </w:rPr>
                    </w:pPr>
                    <w:r>
                      <w:rPr>
                        <w:sz w:val="18"/>
                      </w:rPr>
                      <w:t>No</w:t>
                    </w:r>
                    <w:r>
                      <w:rPr>
                        <w:spacing w:val="-47"/>
                        <w:sz w:val="18"/>
                      </w:rPr>
                      <w:t> </w:t>
                    </w:r>
                    <w:r>
                      <w:rPr>
                        <w:spacing w:val="-1"/>
                        <w:sz w:val="18"/>
                      </w:rPr>
                      <w:t>Yes</w:t>
                    </w:r>
                  </w:p>
                  <w:p>
                    <w:pPr>
                      <w:spacing w:before="0"/>
                      <w:ind w:left="0" w:right="5" w:firstLine="0"/>
                      <w:jc w:val="left"/>
                      <w:rPr>
                        <w:sz w:val="18"/>
                      </w:rPr>
                    </w:pPr>
                    <w:r>
                      <w:rPr>
                        <w:spacing w:val="-1"/>
                        <w:sz w:val="18"/>
                      </w:rPr>
                      <w:t>(Don’t </w:t>
                    </w:r>
                    <w:r>
                      <w:rPr>
                        <w:sz w:val="18"/>
                      </w:rPr>
                      <w:t>know)</w:t>
                    </w:r>
                    <w:r>
                      <w:rPr>
                        <w:spacing w:val="-47"/>
                        <w:sz w:val="18"/>
                      </w:rPr>
                      <w:t> </w:t>
                    </w:r>
                    <w:r>
                      <w:rPr>
                        <w:sz w:val="18"/>
                      </w:rPr>
                      <w:t>(Refused)</w:t>
                    </w:r>
                  </w:p>
                </w:txbxContent>
              </v:textbox>
              <w10:wrap type="none"/>
            </v:shape>
            <v:shape style="position:absolute;left:832;top:2376;width:9934;height:4249" type="#_x0000_t202" id="docshape313" filled="false" stroked="false">
              <v:textbox inset="0,0,0,0">
                <w:txbxContent>
                  <w:p>
                    <w:pPr>
                      <w:spacing w:line="273" w:lineRule="auto" w:before="0"/>
                      <w:ind w:left="0" w:right="7482" w:firstLine="0"/>
                      <w:jc w:val="left"/>
                      <w:rPr>
                        <w:i/>
                        <w:sz w:val="18"/>
                      </w:rPr>
                    </w:pPr>
                    <w:r>
                      <w:rPr>
                        <w:i/>
                        <w:sz w:val="18"/>
                      </w:rPr>
                      <w:t>If 1 No Display questions 13B</w:t>
                    </w:r>
                    <w:r>
                      <w:rPr>
                        <w:i/>
                        <w:spacing w:val="-47"/>
                        <w:sz w:val="18"/>
                      </w:rPr>
                      <w:t> </w:t>
                    </w:r>
                    <w:r>
                      <w:rPr>
                        <w:i/>
                        <w:sz w:val="18"/>
                      </w:rPr>
                      <w:t>If</w:t>
                    </w:r>
                    <w:r>
                      <w:rPr>
                        <w:i/>
                        <w:spacing w:val="-1"/>
                        <w:sz w:val="18"/>
                      </w:rPr>
                      <w:t> </w:t>
                    </w:r>
                    <w:r>
                      <w:rPr>
                        <w:i/>
                        <w:sz w:val="18"/>
                      </w:rPr>
                      <w:t>2 Yes</w:t>
                    </w:r>
                    <w:r>
                      <w:rPr>
                        <w:i/>
                        <w:spacing w:val="-3"/>
                        <w:sz w:val="18"/>
                      </w:rPr>
                      <w:t> </w:t>
                    </w:r>
                    <w:r>
                      <w:rPr>
                        <w:i/>
                        <w:sz w:val="18"/>
                      </w:rPr>
                      <w:t>skip</w:t>
                    </w:r>
                    <w:r>
                      <w:rPr>
                        <w:i/>
                        <w:spacing w:val="-4"/>
                        <w:sz w:val="18"/>
                      </w:rPr>
                      <w:t> </w:t>
                    </w:r>
                    <w:r>
                      <w:rPr>
                        <w:i/>
                        <w:sz w:val="18"/>
                      </w:rPr>
                      <w:t>to</w:t>
                    </w:r>
                    <w:r>
                      <w:rPr>
                        <w:i/>
                        <w:spacing w:val="-1"/>
                        <w:sz w:val="18"/>
                      </w:rPr>
                      <w:t> </w:t>
                    </w:r>
                    <w:r>
                      <w:rPr>
                        <w:i/>
                        <w:sz w:val="18"/>
                      </w:rPr>
                      <w:t>question</w:t>
                    </w:r>
                    <w:r>
                      <w:rPr>
                        <w:i/>
                        <w:spacing w:val="-2"/>
                        <w:sz w:val="18"/>
                      </w:rPr>
                      <w:t> </w:t>
                    </w:r>
                    <w:r>
                      <w:rPr>
                        <w:i/>
                        <w:sz w:val="18"/>
                      </w:rPr>
                      <w:t>13C</w:t>
                    </w:r>
                  </w:p>
                  <w:p>
                    <w:pPr>
                      <w:spacing w:line="240" w:lineRule="auto" w:before="6"/>
                      <w:rPr>
                        <w:i/>
                        <w:sz w:val="16"/>
                      </w:rPr>
                    </w:pPr>
                  </w:p>
                  <w:p>
                    <w:pPr>
                      <w:tabs>
                        <w:tab w:pos="713" w:val="left" w:leader="none"/>
                      </w:tabs>
                      <w:spacing w:before="0"/>
                      <w:ind w:left="708" w:right="18" w:hanging="709"/>
                      <w:jc w:val="left"/>
                      <w:rPr>
                        <w:sz w:val="18"/>
                      </w:rPr>
                    </w:pPr>
                    <w:r>
                      <w:rPr>
                        <w:sz w:val="18"/>
                      </w:rPr>
                      <w:t>Q13B</w:t>
                      <w:tab/>
                      <w:tab/>
                      <w:t>Would</w:t>
                    </w:r>
                    <w:r>
                      <w:rPr>
                        <w:spacing w:val="-4"/>
                        <w:sz w:val="18"/>
                      </w:rPr>
                      <w:t> </w:t>
                    </w:r>
                    <w:r>
                      <w:rPr>
                        <w:sz w:val="18"/>
                      </w:rPr>
                      <w:t>it</w:t>
                    </w:r>
                    <w:r>
                      <w:rPr>
                        <w:spacing w:val="-4"/>
                        <w:sz w:val="18"/>
                      </w:rPr>
                      <w:t> </w:t>
                    </w:r>
                    <w:r>
                      <w:rPr>
                        <w:sz w:val="18"/>
                      </w:rPr>
                      <w:t>be</w:t>
                    </w:r>
                    <w:r>
                      <w:rPr>
                        <w:spacing w:val="-1"/>
                        <w:sz w:val="18"/>
                      </w:rPr>
                      <w:t> </w:t>
                    </w:r>
                    <w:r>
                      <w:rPr>
                        <w:sz w:val="18"/>
                      </w:rPr>
                      <w:t>helpful</w:t>
                    </w:r>
                    <w:r>
                      <w:rPr>
                        <w:spacing w:val="-4"/>
                        <w:sz w:val="18"/>
                      </w:rPr>
                      <w:t> </w:t>
                    </w:r>
                    <w:r>
                      <w:rPr>
                        <w:sz w:val="18"/>
                      </w:rPr>
                      <w:t>if</w:t>
                    </w:r>
                    <w:r>
                      <w:rPr>
                        <w:spacing w:val="-2"/>
                        <w:sz w:val="18"/>
                      </w:rPr>
                      <w:t> </w:t>
                    </w:r>
                    <w:r>
                      <w:rPr>
                        <w:sz w:val="18"/>
                      </w:rPr>
                      <w:t>you</w:t>
                    </w:r>
                    <w:r>
                      <w:rPr>
                        <w:spacing w:val="-1"/>
                        <w:sz w:val="18"/>
                      </w:rPr>
                      <w:t> </w:t>
                    </w:r>
                    <w:r>
                      <w:rPr>
                        <w:sz w:val="18"/>
                      </w:rPr>
                      <w:t>could</w:t>
                    </w:r>
                    <w:r>
                      <w:rPr>
                        <w:spacing w:val="-3"/>
                        <w:sz w:val="18"/>
                      </w:rPr>
                      <w:t> </w:t>
                    </w:r>
                    <w:r>
                      <w:rPr>
                        <w:sz w:val="18"/>
                      </w:rPr>
                      <w:t>have</w:t>
                    </w:r>
                    <w:r>
                      <w:rPr>
                        <w:spacing w:val="-2"/>
                        <w:sz w:val="18"/>
                      </w:rPr>
                      <w:t> </w:t>
                    </w:r>
                    <w:r>
                      <w:rPr>
                        <w:sz w:val="18"/>
                      </w:rPr>
                      <w:t>a</w:t>
                    </w:r>
                    <w:r>
                      <w:rPr>
                        <w:spacing w:val="-2"/>
                        <w:sz w:val="18"/>
                      </w:rPr>
                      <w:t> </w:t>
                    </w:r>
                    <w:r>
                      <w:rPr>
                        <w:sz w:val="18"/>
                      </w:rPr>
                      <w:t>consultation</w:t>
                    </w:r>
                    <w:r>
                      <w:rPr>
                        <w:spacing w:val="-2"/>
                        <w:sz w:val="18"/>
                      </w:rPr>
                      <w:t> </w:t>
                    </w:r>
                    <w:r>
                      <w:rPr>
                        <w:sz w:val="18"/>
                      </w:rPr>
                      <w:t>with</w:t>
                    </w:r>
                    <w:r>
                      <w:rPr>
                        <w:spacing w:val="-2"/>
                        <w:sz w:val="18"/>
                      </w:rPr>
                      <w:t> </w:t>
                    </w:r>
                    <w:r>
                      <w:rPr>
                        <w:sz w:val="18"/>
                      </w:rPr>
                      <w:t>a</w:t>
                    </w:r>
                    <w:r>
                      <w:rPr>
                        <w:spacing w:val="-2"/>
                        <w:sz w:val="18"/>
                      </w:rPr>
                      <w:t> </w:t>
                    </w:r>
                    <w:r>
                      <w:rPr>
                        <w:sz w:val="18"/>
                      </w:rPr>
                      <w:t>pharmacist</w:t>
                    </w:r>
                    <w:r>
                      <w:rPr>
                        <w:spacing w:val="-3"/>
                        <w:sz w:val="18"/>
                      </w:rPr>
                      <w:t> </w:t>
                    </w:r>
                    <w:r>
                      <w:rPr>
                        <w:sz w:val="18"/>
                      </w:rPr>
                      <w:t>to</w:t>
                    </w:r>
                    <w:r>
                      <w:rPr>
                        <w:spacing w:val="-3"/>
                        <w:sz w:val="18"/>
                      </w:rPr>
                      <w:t> </w:t>
                    </w:r>
                    <w:r>
                      <w:rPr>
                        <w:sz w:val="18"/>
                      </w:rPr>
                      <w:t>review</w:t>
                    </w:r>
                    <w:r>
                      <w:rPr>
                        <w:spacing w:val="-2"/>
                        <w:sz w:val="18"/>
                      </w:rPr>
                      <w:t> </w:t>
                    </w:r>
                    <w:r>
                      <w:rPr>
                        <w:sz w:val="18"/>
                      </w:rPr>
                      <w:t>all</w:t>
                    </w:r>
                    <w:r>
                      <w:rPr>
                        <w:spacing w:val="-3"/>
                        <w:sz w:val="18"/>
                      </w:rPr>
                      <w:t> </w:t>
                    </w:r>
                    <w:r>
                      <w:rPr>
                        <w:sz w:val="18"/>
                      </w:rPr>
                      <w:t>the</w:t>
                    </w:r>
                    <w:r>
                      <w:rPr>
                        <w:spacing w:val="-1"/>
                        <w:sz w:val="18"/>
                      </w:rPr>
                      <w:t> </w:t>
                    </w:r>
                    <w:r>
                      <w:rPr>
                        <w:sz w:val="18"/>
                      </w:rPr>
                      <w:t>medicines</w:t>
                    </w:r>
                    <w:r>
                      <w:rPr>
                        <w:spacing w:val="-1"/>
                        <w:sz w:val="18"/>
                      </w:rPr>
                      <w:t> </w:t>
                    </w:r>
                    <w:r>
                      <w:rPr>
                        <w:sz w:val="18"/>
                      </w:rPr>
                      <w:t>you</w:t>
                    </w:r>
                    <w:r>
                      <w:rPr>
                        <w:spacing w:val="-4"/>
                        <w:sz w:val="18"/>
                      </w:rPr>
                      <w:t> </w:t>
                    </w:r>
                    <w:r>
                      <w:rPr>
                        <w:sz w:val="18"/>
                      </w:rPr>
                      <w:t>are</w:t>
                    </w:r>
                    <w:r>
                      <w:rPr>
                        <w:spacing w:val="-47"/>
                        <w:sz w:val="18"/>
                      </w:rPr>
                      <w:t> </w:t>
                    </w:r>
                    <w:r>
                      <w:rPr>
                        <w:sz w:val="18"/>
                      </w:rPr>
                      <w:t>taking</w:t>
                    </w:r>
                    <w:r>
                      <w:rPr>
                        <w:spacing w:val="-1"/>
                        <w:sz w:val="18"/>
                      </w:rPr>
                      <w:t> </w:t>
                    </w:r>
                    <w:r>
                      <w:rPr>
                        <w:sz w:val="18"/>
                      </w:rPr>
                      <w:t>and</w:t>
                    </w:r>
                    <w:r>
                      <w:rPr>
                        <w:spacing w:val="-1"/>
                        <w:sz w:val="18"/>
                      </w:rPr>
                      <w:t> </w:t>
                    </w:r>
                    <w:r>
                      <w:rPr>
                        <w:sz w:val="18"/>
                      </w:rPr>
                      <w:t>be</w:t>
                    </w:r>
                    <w:r>
                      <w:rPr>
                        <w:spacing w:val="1"/>
                        <w:sz w:val="18"/>
                      </w:rPr>
                      <w:t> </w:t>
                    </w:r>
                    <w:r>
                      <w:rPr>
                        <w:sz w:val="18"/>
                      </w:rPr>
                      <w:t>able to</w:t>
                    </w:r>
                    <w:r>
                      <w:rPr>
                        <w:spacing w:val="-1"/>
                        <w:sz w:val="18"/>
                      </w:rPr>
                      <w:t> </w:t>
                    </w:r>
                    <w:r>
                      <w:rPr>
                        <w:sz w:val="18"/>
                      </w:rPr>
                      <w:t>ask</w:t>
                    </w:r>
                    <w:r>
                      <w:rPr>
                        <w:spacing w:val="1"/>
                        <w:sz w:val="18"/>
                      </w:rPr>
                      <w:t> </w:t>
                    </w:r>
                    <w:r>
                      <w:rPr>
                        <w:sz w:val="18"/>
                      </w:rPr>
                      <w:t>questions</w:t>
                    </w:r>
                    <w:r>
                      <w:rPr>
                        <w:spacing w:val="1"/>
                        <w:sz w:val="18"/>
                      </w:rPr>
                      <w:t> </w:t>
                    </w:r>
                    <w:r>
                      <w:rPr>
                        <w:sz w:val="18"/>
                      </w:rPr>
                      <w:t>about</w:t>
                    </w:r>
                    <w:r>
                      <w:rPr>
                        <w:spacing w:val="-1"/>
                        <w:sz w:val="18"/>
                      </w:rPr>
                      <w:t> </w:t>
                    </w:r>
                    <w:r>
                      <w:rPr>
                        <w:sz w:val="18"/>
                      </w:rPr>
                      <w:t>them?</w:t>
                    </w:r>
                  </w:p>
                  <w:p>
                    <w:pPr>
                      <w:numPr>
                        <w:ilvl w:val="0"/>
                        <w:numId w:val="142"/>
                      </w:numPr>
                      <w:tabs>
                        <w:tab w:pos="1440" w:val="left" w:leader="none"/>
                        <w:tab w:pos="1441" w:val="left" w:leader="none"/>
                      </w:tabs>
                      <w:spacing w:before="1"/>
                      <w:ind w:left="1440" w:right="0" w:hanging="721"/>
                      <w:jc w:val="left"/>
                      <w:rPr>
                        <w:sz w:val="18"/>
                      </w:rPr>
                    </w:pPr>
                    <w:r>
                      <w:rPr>
                        <w:sz w:val="18"/>
                      </w:rPr>
                      <w:t>Yes</w:t>
                    </w:r>
                  </w:p>
                  <w:p>
                    <w:pPr>
                      <w:numPr>
                        <w:ilvl w:val="0"/>
                        <w:numId w:val="142"/>
                      </w:numPr>
                      <w:tabs>
                        <w:tab w:pos="1440" w:val="left" w:leader="none"/>
                        <w:tab w:pos="1441" w:val="left" w:leader="none"/>
                      </w:tabs>
                      <w:spacing w:before="17"/>
                      <w:ind w:left="1440" w:right="0" w:hanging="721"/>
                      <w:jc w:val="left"/>
                      <w:rPr>
                        <w:sz w:val="18"/>
                      </w:rPr>
                    </w:pPr>
                    <w:r>
                      <w:rPr>
                        <w:sz w:val="18"/>
                      </w:rPr>
                      <w:t>No</w:t>
                    </w:r>
                  </w:p>
                  <w:p>
                    <w:pPr>
                      <w:numPr>
                        <w:ilvl w:val="0"/>
                        <w:numId w:val="143"/>
                      </w:numPr>
                      <w:tabs>
                        <w:tab w:pos="1440" w:val="left" w:leader="none"/>
                        <w:tab w:pos="1441" w:val="left" w:leader="none"/>
                      </w:tabs>
                      <w:spacing w:before="14"/>
                      <w:ind w:left="1440" w:right="0" w:hanging="721"/>
                      <w:jc w:val="left"/>
                      <w:rPr>
                        <w:sz w:val="18"/>
                      </w:rPr>
                    </w:pPr>
                    <w:r>
                      <w:rPr>
                        <w:sz w:val="18"/>
                      </w:rPr>
                      <w:t>(Don’t</w:t>
                    </w:r>
                    <w:r>
                      <w:rPr>
                        <w:spacing w:val="-4"/>
                        <w:sz w:val="18"/>
                      </w:rPr>
                      <w:t> </w:t>
                    </w:r>
                    <w:r>
                      <w:rPr>
                        <w:sz w:val="18"/>
                      </w:rPr>
                      <w:t>know)</w:t>
                    </w:r>
                  </w:p>
                  <w:p>
                    <w:pPr>
                      <w:numPr>
                        <w:ilvl w:val="0"/>
                        <w:numId w:val="143"/>
                      </w:numPr>
                      <w:tabs>
                        <w:tab w:pos="1440" w:val="left" w:leader="none"/>
                        <w:tab w:pos="1441" w:val="left" w:leader="none"/>
                      </w:tabs>
                      <w:spacing w:before="15"/>
                      <w:ind w:left="1440" w:right="0" w:hanging="721"/>
                      <w:jc w:val="left"/>
                      <w:rPr>
                        <w:sz w:val="18"/>
                      </w:rPr>
                    </w:pPr>
                    <w:r>
                      <w:rPr>
                        <w:sz w:val="18"/>
                      </w:rPr>
                      <w:t>(Refused)</w:t>
                    </w:r>
                  </w:p>
                  <w:p>
                    <w:pPr>
                      <w:spacing w:before="173"/>
                      <w:ind w:left="0" w:right="0" w:firstLine="0"/>
                      <w:jc w:val="left"/>
                      <w:rPr>
                        <w:i/>
                        <w:sz w:val="18"/>
                      </w:rPr>
                    </w:pPr>
                    <w:r>
                      <w:rPr>
                        <w:i/>
                        <w:sz w:val="18"/>
                      </w:rPr>
                      <w:t>Skip</w:t>
                    </w:r>
                    <w:r>
                      <w:rPr>
                        <w:i/>
                        <w:spacing w:val="-4"/>
                        <w:sz w:val="18"/>
                      </w:rPr>
                      <w:t> </w:t>
                    </w:r>
                    <w:r>
                      <w:rPr>
                        <w:i/>
                        <w:sz w:val="18"/>
                      </w:rPr>
                      <w:t>to question</w:t>
                    </w:r>
                    <w:r>
                      <w:rPr>
                        <w:i/>
                        <w:spacing w:val="-2"/>
                        <w:sz w:val="18"/>
                      </w:rPr>
                      <w:t> </w:t>
                    </w:r>
                    <w:r>
                      <w:rPr>
                        <w:i/>
                        <w:sz w:val="18"/>
                      </w:rPr>
                      <w:t>14</w:t>
                    </w:r>
                  </w:p>
                  <w:p>
                    <w:pPr>
                      <w:spacing w:line="240" w:lineRule="auto" w:before="12"/>
                      <w:rPr>
                        <w:i/>
                        <w:sz w:val="18"/>
                      </w:rPr>
                    </w:pPr>
                  </w:p>
                  <w:p>
                    <w:pPr>
                      <w:spacing w:before="0"/>
                      <w:ind w:left="0" w:right="0" w:firstLine="0"/>
                      <w:jc w:val="left"/>
                      <w:rPr>
                        <w:sz w:val="18"/>
                      </w:rPr>
                    </w:pPr>
                    <w:r>
                      <w:rPr>
                        <w:sz w:val="18"/>
                      </w:rPr>
                      <w:t>Q13C Where</w:t>
                    </w:r>
                    <w:r>
                      <w:rPr>
                        <w:spacing w:val="-2"/>
                        <w:sz w:val="18"/>
                      </w:rPr>
                      <w:t> </w:t>
                    </w:r>
                    <w:r>
                      <w:rPr>
                        <w:sz w:val="18"/>
                      </w:rPr>
                      <w:t>did</w:t>
                    </w:r>
                    <w:r>
                      <w:rPr>
                        <w:spacing w:val="-4"/>
                        <w:sz w:val="18"/>
                      </w:rPr>
                      <w:t> </w:t>
                    </w:r>
                    <w:r>
                      <w:rPr>
                        <w:sz w:val="18"/>
                      </w:rPr>
                      <w:t>you</w:t>
                    </w:r>
                    <w:r>
                      <w:rPr>
                        <w:spacing w:val="-2"/>
                        <w:sz w:val="18"/>
                      </w:rPr>
                      <w:t> </w:t>
                    </w:r>
                    <w:r>
                      <w:rPr>
                        <w:sz w:val="18"/>
                      </w:rPr>
                      <w:t>see</w:t>
                    </w:r>
                    <w:r>
                      <w:rPr>
                        <w:spacing w:val="-4"/>
                        <w:sz w:val="18"/>
                      </w:rPr>
                      <w:t> </w:t>
                    </w:r>
                    <w:r>
                      <w:rPr>
                        <w:sz w:val="18"/>
                      </w:rPr>
                      <w:t>your</w:t>
                    </w:r>
                    <w:r>
                      <w:rPr>
                        <w:spacing w:val="-1"/>
                        <w:sz w:val="18"/>
                      </w:rPr>
                      <w:t> </w:t>
                    </w:r>
                    <w:r>
                      <w:rPr>
                        <w:sz w:val="18"/>
                      </w:rPr>
                      <w:t>pharmacist</w:t>
                    </w:r>
                    <w:r>
                      <w:rPr>
                        <w:spacing w:val="-3"/>
                        <w:sz w:val="18"/>
                      </w:rPr>
                      <w:t> </w:t>
                    </w:r>
                    <w:r>
                      <w:rPr>
                        <w:sz w:val="18"/>
                      </w:rPr>
                      <w:t>when</w:t>
                    </w:r>
                    <w:r>
                      <w:rPr>
                        <w:spacing w:val="-4"/>
                        <w:sz w:val="18"/>
                      </w:rPr>
                      <w:t> </w:t>
                    </w:r>
                    <w:r>
                      <w:rPr>
                        <w:sz w:val="18"/>
                      </w:rPr>
                      <w:t>you</w:t>
                    </w:r>
                    <w:r>
                      <w:rPr>
                        <w:spacing w:val="-2"/>
                        <w:sz w:val="18"/>
                      </w:rPr>
                      <w:t> </w:t>
                    </w:r>
                    <w:r>
                      <w:rPr>
                        <w:sz w:val="18"/>
                      </w:rPr>
                      <w:t>had</w:t>
                    </w:r>
                    <w:r>
                      <w:rPr>
                        <w:spacing w:val="-3"/>
                        <w:sz w:val="18"/>
                      </w:rPr>
                      <w:t> </w:t>
                    </w:r>
                    <w:r>
                      <w:rPr>
                        <w:sz w:val="18"/>
                      </w:rPr>
                      <w:t>this</w:t>
                    </w:r>
                    <w:r>
                      <w:rPr>
                        <w:spacing w:val="-3"/>
                        <w:sz w:val="18"/>
                      </w:rPr>
                      <w:t> </w:t>
                    </w:r>
                    <w:r>
                      <w:rPr>
                        <w:sz w:val="18"/>
                      </w:rPr>
                      <w:t>consultation?</w:t>
                    </w:r>
                  </w:p>
                  <w:p>
                    <w:pPr>
                      <w:numPr>
                        <w:ilvl w:val="0"/>
                        <w:numId w:val="144"/>
                      </w:numPr>
                      <w:tabs>
                        <w:tab w:pos="1440" w:val="left" w:leader="none"/>
                        <w:tab w:pos="1441" w:val="left" w:leader="none"/>
                      </w:tabs>
                      <w:spacing w:before="0"/>
                      <w:ind w:left="1440" w:right="0" w:hanging="721"/>
                      <w:jc w:val="left"/>
                      <w:rPr>
                        <w:sz w:val="18"/>
                      </w:rPr>
                    </w:pPr>
                    <w:r>
                      <w:rPr>
                        <w:sz w:val="18"/>
                      </w:rPr>
                      <w:t>In</w:t>
                    </w:r>
                    <w:r>
                      <w:rPr>
                        <w:spacing w:val="-4"/>
                        <w:sz w:val="18"/>
                      </w:rPr>
                      <w:t> </w:t>
                    </w:r>
                    <w:r>
                      <w:rPr>
                        <w:sz w:val="18"/>
                      </w:rPr>
                      <w:t>your</w:t>
                    </w:r>
                    <w:r>
                      <w:rPr>
                        <w:spacing w:val="-1"/>
                        <w:sz w:val="18"/>
                      </w:rPr>
                      <w:t> </w:t>
                    </w:r>
                    <w:r>
                      <w:rPr>
                        <w:sz w:val="18"/>
                      </w:rPr>
                      <w:t>GP’s</w:t>
                    </w:r>
                    <w:r>
                      <w:rPr>
                        <w:spacing w:val="-2"/>
                        <w:sz w:val="18"/>
                      </w:rPr>
                      <w:t> </w:t>
                    </w:r>
                    <w:r>
                      <w:rPr>
                        <w:sz w:val="18"/>
                      </w:rPr>
                      <w:t>practice</w:t>
                    </w:r>
                  </w:p>
                  <w:p>
                    <w:pPr>
                      <w:numPr>
                        <w:ilvl w:val="0"/>
                        <w:numId w:val="144"/>
                      </w:numPr>
                      <w:tabs>
                        <w:tab w:pos="1440" w:val="left" w:leader="none"/>
                        <w:tab w:pos="1441" w:val="left" w:leader="none"/>
                      </w:tabs>
                      <w:spacing w:before="0"/>
                      <w:ind w:left="1440" w:right="0" w:hanging="721"/>
                      <w:jc w:val="left"/>
                      <w:rPr>
                        <w:sz w:val="18"/>
                      </w:rPr>
                    </w:pPr>
                    <w:r>
                      <w:rPr>
                        <w:sz w:val="18"/>
                      </w:rPr>
                      <w:t>At</w:t>
                    </w:r>
                    <w:r>
                      <w:rPr>
                        <w:spacing w:val="-1"/>
                        <w:sz w:val="18"/>
                      </w:rPr>
                      <w:t> </w:t>
                    </w:r>
                    <w:r>
                      <w:rPr>
                        <w:sz w:val="18"/>
                      </w:rPr>
                      <w:t>a</w:t>
                    </w:r>
                    <w:r>
                      <w:rPr>
                        <w:spacing w:val="-3"/>
                        <w:sz w:val="18"/>
                      </w:rPr>
                      <w:t> </w:t>
                    </w:r>
                    <w:r>
                      <w:rPr>
                        <w:sz w:val="18"/>
                      </w:rPr>
                      <w:t>community</w:t>
                    </w:r>
                    <w:r>
                      <w:rPr>
                        <w:spacing w:val="-3"/>
                        <w:sz w:val="18"/>
                      </w:rPr>
                      <w:t> </w:t>
                    </w:r>
                    <w:r>
                      <w:rPr>
                        <w:sz w:val="18"/>
                      </w:rPr>
                      <w:t>pharmacy</w:t>
                    </w:r>
                  </w:p>
                  <w:p>
                    <w:pPr>
                      <w:numPr>
                        <w:ilvl w:val="0"/>
                        <w:numId w:val="144"/>
                      </w:numPr>
                      <w:tabs>
                        <w:tab w:pos="1440" w:val="left" w:leader="none"/>
                        <w:tab w:pos="1441" w:val="left" w:leader="none"/>
                      </w:tabs>
                      <w:spacing w:before="0"/>
                      <w:ind w:left="1440" w:right="0" w:hanging="721"/>
                      <w:jc w:val="left"/>
                      <w:rPr>
                        <w:sz w:val="18"/>
                      </w:rPr>
                    </w:pPr>
                    <w:r>
                      <w:rPr>
                        <w:sz w:val="18"/>
                      </w:rPr>
                      <w:t>At</w:t>
                    </w:r>
                    <w:r>
                      <w:rPr>
                        <w:spacing w:val="-2"/>
                        <w:sz w:val="18"/>
                      </w:rPr>
                      <w:t> </w:t>
                    </w:r>
                    <w:r>
                      <w:rPr>
                        <w:sz w:val="18"/>
                      </w:rPr>
                      <w:t>home</w:t>
                    </w:r>
                  </w:p>
                  <w:p>
                    <w:pPr>
                      <w:numPr>
                        <w:ilvl w:val="0"/>
                        <w:numId w:val="144"/>
                      </w:numPr>
                      <w:tabs>
                        <w:tab w:pos="1440" w:val="left" w:leader="none"/>
                        <w:tab w:pos="1441" w:val="left" w:leader="none"/>
                      </w:tabs>
                      <w:spacing w:before="0"/>
                      <w:ind w:left="1440" w:right="0" w:hanging="721"/>
                      <w:jc w:val="left"/>
                      <w:rPr>
                        <w:sz w:val="18"/>
                      </w:rPr>
                    </w:pPr>
                    <w:r>
                      <w:rPr>
                        <w:sz w:val="18"/>
                      </w:rPr>
                      <w:t>Somewhere</w:t>
                    </w:r>
                    <w:r>
                      <w:rPr>
                        <w:spacing w:val="-2"/>
                        <w:sz w:val="18"/>
                      </w:rPr>
                      <w:t> </w:t>
                    </w:r>
                    <w:r>
                      <w:rPr>
                        <w:sz w:val="18"/>
                      </w:rPr>
                      <w:t>else</w:t>
                    </w:r>
                  </w:p>
                  <w:p>
                    <w:pPr>
                      <w:numPr>
                        <w:ilvl w:val="0"/>
                        <w:numId w:val="145"/>
                      </w:numPr>
                      <w:tabs>
                        <w:tab w:pos="1440" w:val="left" w:leader="none"/>
                        <w:tab w:pos="1441" w:val="left" w:leader="none"/>
                      </w:tabs>
                      <w:spacing w:before="0"/>
                      <w:ind w:left="1440" w:right="0" w:hanging="721"/>
                      <w:jc w:val="left"/>
                      <w:rPr>
                        <w:sz w:val="18"/>
                      </w:rPr>
                    </w:pPr>
                    <w:r>
                      <w:rPr>
                        <w:sz w:val="18"/>
                      </w:rPr>
                      <w:t>(Don’t</w:t>
                    </w:r>
                    <w:r>
                      <w:rPr>
                        <w:spacing w:val="-3"/>
                        <w:sz w:val="18"/>
                      </w:rPr>
                      <w:t> </w:t>
                    </w:r>
                    <w:r>
                      <w:rPr>
                        <w:sz w:val="18"/>
                      </w:rPr>
                      <w:t>know)</w:t>
                    </w:r>
                  </w:p>
                  <w:p>
                    <w:pPr>
                      <w:numPr>
                        <w:ilvl w:val="0"/>
                        <w:numId w:val="145"/>
                      </w:numPr>
                      <w:tabs>
                        <w:tab w:pos="1440" w:val="left" w:leader="none"/>
                        <w:tab w:pos="1441" w:val="left" w:leader="none"/>
                      </w:tabs>
                      <w:spacing w:before="0"/>
                      <w:ind w:left="1440" w:right="0" w:hanging="721"/>
                      <w:jc w:val="left"/>
                      <w:rPr>
                        <w:sz w:val="18"/>
                      </w:rPr>
                    </w:pPr>
                    <w:r>
                      <w:rPr>
                        <w:sz w:val="18"/>
                      </w:rPr>
                      <w:t>(Refused)</w:t>
                    </w:r>
                  </w:p>
                </w:txbxContent>
              </v:textbox>
              <w10:wrap type="none"/>
            </v:shape>
            <w10:wrap type="topAndBottom"/>
          </v:group>
        </w:pict>
      </w:r>
    </w:p>
    <w:p>
      <w:pPr>
        <w:spacing w:after="0"/>
        <w:rPr>
          <w:sz w:val="17"/>
        </w:rPr>
        <w:sectPr>
          <w:pgSz w:w="11910" w:h="16840"/>
          <w:pgMar w:header="0" w:footer="948" w:top="860" w:bottom="1140" w:left="300" w:right="0"/>
        </w:sectPr>
      </w:pPr>
    </w:p>
    <w:p>
      <w:pPr>
        <w:pStyle w:val="BodyText"/>
        <w:ind w:left="419"/>
      </w:pPr>
      <w:r>
        <w:rPr/>
        <w:pict>
          <v:shape style="width:522.9500pt;height:66.75pt;mso-position-horizontal-relative:char;mso-position-vertical-relative:line" type="#_x0000_t202" id="docshape314" filled="false" stroked="true" strokeweight=".47998pt" strokecolor="#bebebe">
            <w10:anchorlock/>
            <v:textbox inset="0,0,0,0">
              <w:txbxContent>
                <w:p>
                  <w:pPr>
                    <w:spacing w:line="220" w:lineRule="exact" w:before="0"/>
                    <w:ind w:left="103" w:right="0" w:firstLine="0"/>
                    <w:jc w:val="left"/>
                    <w:rPr>
                      <w:sz w:val="18"/>
                    </w:rPr>
                  </w:pPr>
                  <w:r>
                    <w:rPr>
                      <w:sz w:val="18"/>
                    </w:rPr>
                    <w:t>Q13D</w:t>
                  </w:r>
                  <w:r>
                    <w:rPr>
                      <w:spacing w:val="1"/>
                      <w:sz w:val="18"/>
                    </w:rPr>
                    <w:t> </w:t>
                  </w:r>
                  <w:r>
                    <w:rPr>
                      <w:sz w:val="18"/>
                    </w:rPr>
                    <w:t>When</w:t>
                  </w:r>
                  <w:r>
                    <w:rPr>
                      <w:spacing w:val="-1"/>
                      <w:sz w:val="18"/>
                    </w:rPr>
                    <w:t> </w:t>
                  </w:r>
                  <w:r>
                    <w:rPr>
                      <w:sz w:val="18"/>
                    </w:rPr>
                    <w:t>you</w:t>
                  </w:r>
                  <w:r>
                    <w:rPr>
                      <w:spacing w:val="-2"/>
                      <w:sz w:val="18"/>
                    </w:rPr>
                    <w:t> </w:t>
                  </w:r>
                  <w:r>
                    <w:rPr>
                      <w:sz w:val="18"/>
                    </w:rPr>
                    <w:t>had</w:t>
                  </w:r>
                  <w:r>
                    <w:rPr>
                      <w:spacing w:val="-3"/>
                      <w:sz w:val="18"/>
                    </w:rPr>
                    <w:t> </w:t>
                  </w:r>
                  <w:r>
                    <w:rPr>
                      <w:sz w:val="18"/>
                    </w:rPr>
                    <w:t>this</w:t>
                  </w:r>
                  <w:r>
                    <w:rPr>
                      <w:spacing w:val="-4"/>
                      <w:sz w:val="18"/>
                    </w:rPr>
                    <w:t> </w:t>
                  </w:r>
                  <w:r>
                    <w:rPr>
                      <w:sz w:val="18"/>
                    </w:rPr>
                    <w:t>consultation,</w:t>
                  </w:r>
                  <w:r>
                    <w:rPr>
                      <w:spacing w:val="-3"/>
                      <w:sz w:val="18"/>
                    </w:rPr>
                    <w:t> </w:t>
                  </w:r>
                  <w:r>
                    <w:rPr>
                      <w:sz w:val="18"/>
                    </w:rPr>
                    <w:t>did</w:t>
                  </w:r>
                  <w:r>
                    <w:rPr>
                      <w:spacing w:val="-3"/>
                      <w:sz w:val="18"/>
                    </w:rPr>
                    <w:t> </w:t>
                  </w:r>
                  <w:r>
                    <w:rPr>
                      <w:sz w:val="18"/>
                    </w:rPr>
                    <w:t>your</w:t>
                  </w:r>
                  <w:r>
                    <w:rPr>
                      <w:spacing w:val="-1"/>
                      <w:sz w:val="18"/>
                    </w:rPr>
                    <w:t> </w:t>
                  </w:r>
                  <w:r>
                    <w:rPr>
                      <w:sz w:val="18"/>
                    </w:rPr>
                    <w:t>pharmacist</w:t>
                  </w:r>
                  <w:r>
                    <w:rPr>
                      <w:spacing w:val="-3"/>
                      <w:sz w:val="18"/>
                    </w:rPr>
                    <w:t> </w:t>
                  </w:r>
                  <w:r>
                    <w:rPr>
                      <w:sz w:val="18"/>
                    </w:rPr>
                    <w:t>give</w:t>
                  </w:r>
                  <w:r>
                    <w:rPr>
                      <w:spacing w:val="-1"/>
                      <w:sz w:val="18"/>
                    </w:rPr>
                    <w:t> </w:t>
                  </w:r>
                  <w:r>
                    <w:rPr>
                      <w:sz w:val="18"/>
                    </w:rPr>
                    <w:t>you</w:t>
                  </w:r>
                  <w:r>
                    <w:rPr>
                      <w:spacing w:val="-1"/>
                      <w:sz w:val="18"/>
                    </w:rPr>
                    <w:t> </w:t>
                  </w:r>
                  <w:r>
                    <w:rPr>
                      <w:sz w:val="18"/>
                    </w:rPr>
                    <w:t>a</w:t>
                  </w:r>
                  <w:r>
                    <w:rPr>
                      <w:spacing w:val="-3"/>
                      <w:sz w:val="18"/>
                    </w:rPr>
                    <w:t> </w:t>
                  </w:r>
                  <w:r>
                    <w:rPr>
                      <w:sz w:val="18"/>
                    </w:rPr>
                    <w:t>list</w:t>
                  </w:r>
                  <w:r>
                    <w:rPr>
                      <w:spacing w:val="-3"/>
                      <w:sz w:val="18"/>
                    </w:rPr>
                    <w:t> </w:t>
                  </w:r>
                  <w:r>
                    <w:rPr>
                      <w:sz w:val="18"/>
                    </w:rPr>
                    <w:t>of</w:t>
                  </w:r>
                  <w:r>
                    <w:rPr>
                      <w:spacing w:val="-1"/>
                      <w:sz w:val="18"/>
                    </w:rPr>
                    <w:t> </w:t>
                  </w:r>
                  <w:r>
                    <w:rPr>
                      <w:sz w:val="18"/>
                    </w:rPr>
                    <w:t>all</w:t>
                  </w:r>
                  <w:r>
                    <w:rPr>
                      <w:spacing w:val="-3"/>
                      <w:sz w:val="18"/>
                    </w:rPr>
                    <w:t> </w:t>
                  </w:r>
                  <w:r>
                    <w:rPr>
                      <w:sz w:val="18"/>
                    </w:rPr>
                    <w:t>the</w:t>
                  </w:r>
                  <w:r>
                    <w:rPr>
                      <w:spacing w:val="-3"/>
                      <w:sz w:val="18"/>
                    </w:rPr>
                    <w:t> </w:t>
                  </w:r>
                  <w:r>
                    <w:rPr>
                      <w:sz w:val="18"/>
                    </w:rPr>
                    <w:t>medicines</w:t>
                  </w:r>
                  <w:r>
                    <w:rPr>
                      <w:spacing w:val="-3"/>
                      <w:sz w:val="18"/>
                    </w:rPr>
                    <w:t> </w:t>
                  </w:r>
                  <w:r>
                    <w:rPr>
                      <w:sz w:val="18"/>
                    </w:rPr>
                    <w:t>you</w:t>
                  </w:r>
                  <w:r>
                    <w:rPr>
                      <w:spacing w:val="-1"/>
                      <w:sz w:val="18"/>
                    </w:rPr>
                    <w:t> </w:t>
                  </w:r>
                  <w:r>
                    <w:rPr>
                      <w:sz w:val="18"/>
                    </w:rPr>
                    <w:t>are</w:t>
                  </w:r>
                  <w:r>
                    <w:rPr>
                      <w:spacing w:val="-5"/>
                      <w:sz w:val="18"/>
                    </w:rPr>
                    <w:t> </w:t>
                  </w:r>
                  <w:r>
                    <w:rPr>
                      <w:sz w:val="18"/>
                    </w:rPr>
                    <w:t>taking?</w:t>
                  </w:r>
                </w:p>
                <w:p>
                  <w:pPr>
                    <w:numPr>
                      <w:ilvl w:val="0"/>
                      <w:numId w:val="146"/>
                    </w:numPr>
                    <w:tabs>
                      <w:tab w:pos="1543" w:val="left" w:leader="none"/>
                      <w:tab w:pos="1544" w:val="left" w:leader="none"/>
                    </w:tabs>
                    <w:spacing w:before="0"/>
                    <w:ind w:left="1543" w:right="0" w:hanging="721"/>
                    <w:jc w:val="left"/>
                    <w:rPr>
                      <w:sz w:val="18"/>
                    </w:rPr>
                  </w:pPr>
                  <w:r>
                    <w:rPr>
                      <w:sz w:val="18"/>
                    </w:rPr>
                    <w:t>No</w:t>
                  </w:r>
                </w:p>
                <w:p>
                  <w:pPr>
                    <w:numPr>
                      <w:ilvl w:val="0"/>
                      <w:numId w:val="146"/>
                    </w:numPr>
                    <w:tabs>
                      <w:tab w:pos="1543" w:val="left" w:leader="none"/>
                      <w:tab w:pos="1544" w:val="left" w:leader="none"/>
                    </w:tabs>
                    <w:spacing w:before="0"/>
                    <w:ind w:left="1543" w:right="0" w:hanging="721"/>
                    <w:jc w:val="left"/>
                    <w:rPr>
                      <w:sz w:val="18"/>
                    </w:rPr>
                  </w:pPr>
                  <w:r>
                    <w:rPr>
                      <w:sz w:val="18"/>
                    </w:rPr>
                    <w:t>Yes</w:t>
                  </w:r>
                </w:p>
                <w:p>
                  <w:pPr>
                    <w:numPr>
                      <w:ilvl w:val="0"/>
                      <w:numId w:val="147"/>
                    </w:numPr>
                    <w:tabs>
                      <w:tab w:pos="1543" w:val="left" w:leader="none"/>
                      <w:tab w:pos="1544" w:val="left" w:leader="none"/>
                    </w:tabs>
                    <w:spacing w:before="0"/>
                    <w:ind w:left="1543" w:right="0" w:hanging="721"/>
                    <w:jc w:val="left"/>
                    <w:rPr>
                      <w:sz w:val="18"/>
                    </w:rPr>
                  </w:pPr>
                  <w:r>
                    <w:rPr>
                      <w:sz w:val="18"/>
                    </w:rPr>
                    <w:t>(Don’t</w:t>
                  </w:r>
                  <w:r>
                    <w:rPr>
                      <w:spacing w:val="-3"/>
                      <w:sz w:val="18"/>
                    </w:rPr>
                    <w:t> </w:t>
                  </w:r>
                  <w:r>
                    <w:rPr>
                      <w:sz w:val="18"/>
                    </w:rPr>
                    <w:t>know)</w:t>
                  </w:r>
                </w:p>
                <w:p>
                  <w:pPr>
                    <w:numPr>
                      <w:ilvl w:val="0"/>
                      <w:numId w:val="147"/>
                    </w:numPr>
                    <w:tabs>
                      <w:tab w:pos="1543" w:val="left" w:leader="none"/>
                      <w:tab w:pos="1544" w:val="left" w:leader="none"/>
                    </w:tabs>
                    <w:spacing w:before="1"/>
                    <w:ind w:left="1543" w:right="0" w:hanging="721"/>
                    <w:jc w:val="left"/>
                    <w:rPr>
                      <w:sz w:val="18"/>
                    </w:rPr>
                  </w:pPr>
                  <w:r>
                    <w:rPr>
                      <w:sz w:val="18"/>
                    </w:rPr>
                    <w:t>(Refused)</w:t>
                  </w:r>
                </w:p>
              </w:txbxContent>
            </v:textbox>
            <v:stroke dashstyle="solid"/>
          </v:shape>
        </w:pict>
      </w:r>
      <w:r>
        <w:rPr/>
      </w:r>
    </w:p>
    <w:p>
      <w:pPr>
        <w:pStyle w:val="BodyText"/>
        <w:spacing w:before="6"/>
        <w:rPr>
          <w:sz w:val="9"/>
        </w:rPr>
      </w:pPr>
    </w:p>
    <w:p>
      <w:pPr>
        <w:tabs>
          <w:tab w:pos="1128" w:val="left" w:leader="none"/>
        </w:tabs>
        <w:spacing w:line="276" w:lineRule="auto" w:before="100"/>
        <w:ind w:left="1128" w:right="763" w:hanging="709"/>
        <w:jc w:val="left"/>
        <w:rPr>
          <w:sz w:val="18"/>
        </w:rPr>
      </w:pPr>
      <w:r>
        <w:rPr>
          <w:sz w:val="18"/>
        </w:rPr>
        <w:t>Q14</w:t>
        <w:tab/>
        <w:t>Over the last 6 months, did you contact &lt;practice&gt; to get an appointment for an illness, injury, or condition that</w:t>
      </w:r>
      <w:r>
        <w:rPr>
          <w:spacing w:val="-47"/>
          <w:sz w:val="18"/>
        </w:rPr>
        <w:t> </w:t>
      </w:r>
      <w:r>
        <w:rPr>
          <w:sz w:val="18"/>
        </w:rPr>
        <w:t>needed</w:t>
      </w:r>
      <w:r>
        <w:rPr>
          <w:spacing w:val="-1"/>
          <w:sz w:val="18"/>
        </w:rPr>
        <w:t> </w:t>
      </w:r>
      <w:r>
        <w:rPr>
          <w:sz w:val="18"/>
        </w:rPr>
        <w:t>care</w:t>
      </w:r>
      <w:r>
        <w:rPr>
          <w:spacing w:val="-1"/>
          <w:sz w:val="18"/>
        </w:rPr>
        <w:t> </w:t>
      </w:r>
      <w:r>
        <w:rPr>
          <w:sz w:val="18"/>
        </w:rPr>
        <w:t>right away?</w:t>
      </w:r>
    </w:p>
    <w:p>
      <w:pPr>
        <w:pStyle w:val="BodyText"/>
        <w:spacing w:before="4"/>
        <w:rPr>
          <w:sz w:val="16"/>
        </w:rPr>
      </w:pPr>
    </w:p>
    <w:p>
      <w:pPr>
        <w:pStyle w:val="ListParagraph"/>
        <w:numPr>
          <w:ilvl w:val="0"/>
          <w:numId w:val="148"/>
        </w:numPr>
        <w:tabs>
          <w:tab w:pos="1860" w:val="left" w:leader="none"/>
          <w:tab w:pos="1861" w:val="left" w:leader="none"/>
        </w:tabs>
        <w:spacing w:line="240" w:lineRule="auto" w:before="0" w:after="0"/>
        <w:ind w:left="1860" w:right="0" w:hanging="721"/>
        <w:jc w:val="left"/>
        <w:rPr>
          <w:sz w:val="18"/>
        </w:rPr>
      </w:pPr>
      <w:r>
        <w:rPr>
          <w:sz w:val="18"/>
        </w:rPr>
        <w:t>Yes</w:t>
      </w:r>
    </w:p>
    <w:p>
      <w:pPr>
        <w:pStyle w:val="ListParagraph"/>
        <w:numPr>
          <w:ilvl w:val="0"/>
          <w:numId w:val="148"/>
        </w:numPr>
        <w:tabs>
          <w:tab w:pos="1860" w:val="left" w:leader="none"/>
          <w:tab w:pos="1861" w:val="left" w:leader="none"/>
        </w:tabs>
        <w:spacing w:line="240" w:lineRule="auto" w:before="34" w:after="0"/>
        <w:ind w:left="1860" w:right="0" w:hanging="721"/>
        <w:jc w:val="left"/>
        <w:rPr>
          <w:sz w:val="18"/>
        </w:rPr>
      </w:pPr>
      <w:r>
        <w:rPr>
          <w:sz w:val="18"/>
        </w:rPr>
        <w:t>No</w:t>
      </w:r>
    </w:p>
    <w:p>
      <w:pPr>
        <w:pStyle w:val="ListParagraph"/>
        <w:numPr>
          <w:ilvl w:val="0"/>
          <w:numId w:val="149"/>
        </w:numPr>
        <w:tabs>
          <w:tab w:pos="1860" w:val="left" w:leader="none"/>
          <w:tab w:pos="1861" w:val="left" w:leader="none"/>
        </w:tabs>
        <w:spacing w:line="240" w:lineRule="auto" w:before="34" w:after="0"/>
        <w:ind w:left="1860" w:right="0" w:hanging="721"/>
        <w:jc w:val="left"/>
        <w:rPr>
          <w:sz w:val="18"/>
        </w:rPr>
      </w:pPr>
      <w:r>
        <w:rPr>
          <w:sz w:val="18"/>
        </w:rPr>
        <w:t>(Don’t</w:t>
      </w:r>
      <w:r>
        <w:rPr>
          <w:spacing w:val="-3"/>
          <w:sz w:val="18"/>
        </w:rPr>
        <w:t> </w:t>
      </w:r>
      <w:r>
        <w:rPr>
          <w:sz w:val="18"/>
        </w:rPr>
        <w:t>know)</w:t>
      </w:r>
    </w:p>
    <w:p>
      <w:pPr>
        <w:pStyle w:val="ListParagraph"/>
        <w:numPr>
          <w:ilvl w:val="0"/>
          <w:numId w:val="149"/>
        </w:numPr>
        <w:tabs>
          <w:tab w:pos="1860" w:val="left" w:leader="none"/>
          <w:tab w:pos="1861" w:val="left" w:leader="none"/>
        </w:tabs>
        <w:spacing w:line="240" w:lineRule="auto" w:before="31" w:after="0"/>
        <w:ind w:left="1860" w:right="0" w:hanging="721"/>
        <w:jc w:val="left"/>
        <w:rPr>
          <w:sz w:val="18"/>
        </w:rPr>
      </w:pPr>
      <w:r>
        <w:rPr>
          <w:sz w:val="18"/>
        </w:rPr>
        <w:t>(Refused)</w:t>
      </w:r>
    </w:p>
    <w:p>
      <w:pPr>
        <w:pStyle w:val="BodyText"/>
        <w:spacing w:before="2"/>
        <w:rPr>
          <w:sz w:val="19"/>
        </w:rPr>
      </w:pPr>
    </w:p>
    <w:p>
      <w:pPr>
        <w:spacing w:before="0"/>
        <w:ind w:left="420" w:right="0" w:firstLine="0"/>
        <w:jc w:val="left"/>
        <w:rPr>
          <w:sz w:val="18"/>
        </w:rPr>
      </w:pPr>
      <w:r>
        <w:rPr>
          <w:sz w:val="18"/>
        </w:rPr>
        <w:t>IF</w:t>
      </w:r>
      <w:r>
        <w:rPr>
          <w:spacing w:val="-2"/>
          <w:sz w:val="18"/>
        </w:rPr>
        <w:t> </w:t>
      </w:r>
      <w:r>
        <w:rPr>
          <w:sz w:val="18"/>
        </w:rPr>
        <w:t>yes</w:t>
      </w:r>
      <w:r>
        <w:rPr>
          <w:spacing w:val="-1"/>
          <w:sz w:val="18"/>
        </w:rPr>
        <w:t> </w:t>
      </w:r>
      <w:r>
        <w:rPr>
          <w:sz w:val="18"/>
        </w:rPr>
        <w:t>to</w:t>
      </w:r>
      <w:r>
        <w:rPr>
          <w:spacing w:val="-1"/>
          <w:sz w:val="18"/>
        </w:rPr>
        <w:t> </w:t>
      </w:r>
      <w:r>
        <w:rPr>
          <w:sz w:val="18"/>
        </w:rPr>
        <w:t>Q14</w:t>
      </w:r>
      <w:r>
        <w:rPr>
          <w:spacing w:val="-2"/>
          <w:sz w:val="18"/>
        </w:rPr>
        <w:t> </w:t>
      </w:r>
      <w:r>
        <w:rPr>
          <w:sz w:val="18"/>
        </w:rPr>
        <w:t>go</w:t>
      </w:r>
      <w:r>
        <w:rPr>
          <w:spacing w:val="-1"/>
          <w:sz w:val="18"/>
        </w:rPr>
        <w:t> </w:t>
      </w:r>
      <w:r>
        <w:rPr>
          <w:sz w:val="18"/>
        </w:rPr>
        <w:t>to</w:t>
      </w:r>
      <w:r>
        <w:rPr>
          <w:spacing w:val="-1"/>
          <w:sz w:val="18"/>
        </w:rPr>
        <w:t> </w:t>
      </w:r>
      <w:r>
        <w:rPr>
          <w:sz w:val="18"/>
        </w:rPr>
        <w:t>Q15,</w:t>
      </w:r>
      <w:r>
        <w:rPr>
          <w:spacing w:val="-3"/>
          <w:sz w:val="18"/>
        </w:rPr>
        <w:t> </w:t>
      </w:r>
      <w:r>
        <w:rPr>
          <w:sz w:val="18"/>
        </w:rPr>
        <w:t>else go</w:t>
      </w:r>
      <w:r>
        <w:rPr>
          <w:spacing w:val="-1"/>
          <w:sz w:val="18"/>
        </w:rPr>
        <w:t> </w:t>
      </w:r>
      <w:r>
        <w:rPr>
          <w:sz w:val="18"/>
        </w:rPr>
        <w:t>to Q16.</w:t>
      </w:r>
    </w:p>
    <w:p>
      <w:pPr>
        <w:pStyle w:val="BodyText"/>
        <w:spacing w:before="1"/>
        <w:rPr>
          <w:sz w:val="19"/>
        </w:rPr>
      </w:pPr>
    </w:p>
    <w:p>
      <w:pPr>
        <w:tabs>
          <w:tab w:pos="1128" w:val="left" w:leader="none"/>
        </w:tabs>
        <w:spacing w:line="273" w:lineRule="auto" w:before="0"/>
        <w:ind w:left="1128" w:right="981" w:hanging="709"/>
        <w:jc w:val="left"/>
        <w:rPr>
          <w:sz w:val="18"/>
        </w:rPr>
      </w:pPr>
      <w:r>
        <w:rPr>
          <w:sz w:val="18"/>
        </w:rPr>
        <w:t>Q15</w:t>
        <w:tab/>
        <w:t>When you contacted &lt;practice&gt; to get an appointment for care you needed right away, how often did you</w:t>
      </w:r>
      <w:r>
        <w:rPr>
          <w:spacing w:val="-47"/>
          <w:sz w:val="18"/>
        </w:rPr>
        <w:t> </w:t>
      </w:r>
      <w:r>
        <w:rPr>
          <w:sz w:val="18"/>
        </w:rPr>
        <w:t>get</w:t>
      </w:r>
      <w:r>
        <w:rPr>
          <w:spacing w:val="-2"/>
          <w:sz w:val="18"/>
        </w:rPr>
        <w:t> </w:t>
      </w:r>
      <w:r>
        <w:rPr>
          <w:sz w:val="18"/>
        </w:rPr>
        <w:t>an</w:t>
      </w:r>
      <w:r>
        <w:rPr>
          <w:spacing w:val="1"/>
          <w:sz w:val="18"/>
        </w:rPr>
        <w:t> </w:t>
      </w:r>
      <w:r>
        <w:rPr>
          <w:sz w:val="18"/>
        </w:rPr>
        <w:t>appointment as soon</w:t>
      </w:r>
      <w:r>
        <w:rPr>
          <w:spacing w:val="1"/>
          <w:sz w:val="18"/>
        </w:rPr>
        <w:t> </w:t>
      </w:r>
      <w:r>
        <w:rPr>
          <w:sz w:val="18"/>
        </w:rPr>
        <w:t>as you</w:t>
      </w:r>
      <w:r>
        <w:rPr>
          <w:spacing w:val="1"/>
          <w:sz w:val="18"/>
        </w:rPr>
        <w:t> </w:t>
      </w:r>
      <w:r>
        <w:rPr>
          <w:sz w:val="18"/>
        </w:rPr>
        <w:t>needed?</w:t>
      </w:r>
    </w:p>
    <w:p>
      <w:pPr>
        <w:pStyle w:val="BodyText"/>
        <w:spacing w:before="6"/>
        <w:rPr>
          <w:sz w:val="16"/>
        </w:rPr>
      </w:pPr>
    </w:p>
    <w:p>
      <w:pPr>
        <w:pStyle w:val="ListParagraph"/>
        <w:numPr>
          <w:ilvl w:val="0"/>
          <w:numId w:val="150"/>
        </w:numPr>
        <w:tabs>
          <w:tab w:pos="1860" w:val="left" w:leader="none"/>
          <w:tab w:pos="1861" w:val="left" w:leader="none"/>
        </w:tabs>
        <w:spacing w:line="240" w:lineRule="auto" w:before="0" w:after="0"/>
        <w:ind w:left="1860" w:right="0" w:hanging="721"/>
        <w:jc w:val="left"/>
        <w:rPr>
          <w:sz w:val="18"/>
        </w:rPr>
      </w:pPr>
      <w:r>
        <w:rPr>
          <w:sz w:val="18"/>
        </w:rPr>
        <w:t>None</w:t>
      </w:r>
      <w:r>
        <w:rPr>
          <w:spacing w:val="-2"/>
          <w:sz w:val="18"/>
        </w:rPr>
        <w:t> </w:t>
      </w:r>
      <w:r>
        <w:rPr>
          <w:sz w:val="18"/>
        </w:rPr>
        <w:t>of</w:t>
      </w:r>
      <w:r>
        <w:rPr>
          <w:spacing w:val="-2"/>
          <w:sz w:val="18"/>
        </w:rPr>
        <w:t> </w:t>
      </w:r>
      <w:r>
        <w:rPr>
          <w:sz w:val="18"/>
        </w:rPr>
        <w:t>the</w:t>
      </w:r>
      <w:r>
        <w:rPr>
          <w:spacing w:val="-1"/>
          <w:sz w:val="18"/>
        </w:rPr>
        <w:t> </w:t>
      </w:r>
      <w:r>
        <w:rPr>
          <w:sz w:val="18"/>
        </w:rPr>
        <w:t>time</w:t>
      </w:r>
    </w:p>
    <w:p>
      <w:pPr>
        <w:pStyle w:val="ListParagraph"/>
        <w:numPr>
          <w:ilvl w:val="0"/>
          <w:numId w:val="150"/>
        </w:numPr>
        <w:tabs>
          <w:tab w:pos="1860" w:val="left" w:leader="none"/>
          <w:tab w:pos="1861" w:val="left" w:leader="none"/>
        </w:tabs>
        <w:spacing w:line="240" w:lineRule="auto" w:before="34" w:after="0"/>
        <w:ind w:left="1860" w:right="0" w:hanging="721"/>
        <w:jc w:val="left"/>
        <w:rPr>
          <w:sz w:val="18"/>
        </w:rPr>
      </w:pPr>
      <w:r>
        <w:rPr>
          <w:sz w:val="18"/>
        </w:rPr>
        <w:t>A</w:t>
      </w:r>
      <w:r>
        <w:rPr>
          <w:spacing w:val="-6"/>
          <w:sz w:val="18"/>
        </w:rPr>
        <w:t> </w:t>
      </w:r>
      <w:r>
        <w:rPr>
          <w:sz w:val="18"/>
        </w:rPr>
        <w:t>little</w:t>
      </w:r>
      <w:r>
        <w:rPr>
          <w:spacing w:val="-2"/>
          <w:sz w:val="18"/>
        </w:rPr>
        <w:t> </w:t>
      </w:r>
      <w:r>
        <w:rPr>
          <w:sz w:val="18"/>
        </w:rPr>
        <w:t>of</w:t>
      </w:r>
      <w:r>
        <w:rPr>
          <w:spacing w:val="-2"/>
          <w:sz w:val="18"/>
        </w:rPr>
        <w:t> </w:t>
      </w:r>
      <w:r>
        <w:rPr>
          <w:sz w:val="18"/>
        </w:rPr>
        <w:t>the</w:t>
      </w:r>
      <w:r>
        <w:rPr>
          <w:spacing w:val="-1"/>
          <w:sz w:val="18"/>
        </w:rPr>
        <w:t> </w:t>
      </w:r>
      <w:r>
        <w:rPr>
          <w:sz w:val="18"/>
        </w:rPr>
        <w:t>time</w:t>
      </w:r>
    </w:p>
    <w:p>
      <w:pPr>
        <w:pStyle w:val="ListParagraph"/>
        <w:numPr>
          <w:ilvl w:val="0"/>
          <w:numId w:val="150"/>
        </w:numPr>
        <w:tabs>
          <w:tab w:pos="1860" w:val="left" w:leader="none"/>
          <w:tab w:pos="1861" w:val="left" w:leader="none"/>
        </w:tabs>
        <w:spacing w:line="240" w:lineRule="auto" w:before="34" w:after="0"/>
        <w:ind w:left="1860" w:right="0" w:hanging="721"/>
        <w:jc w:val="left"/>
        <w:rPr>
          <w:sz w:val="18"/>
        </w:rPr>
      </w:pPr>
      <w:r>
        <w:rPr>
          <w:sz w:val="18"/>
        </w:rPr>
        <w:t>Some</w:t>
      </w:r>
      <w:r>
        <w:rPr>
          <w:spacing w:val="-3"/>
          <w:sz w:val="18"/>
        </w:rPr>
        <w:t> </w:t>
      </w:r>
      <w:r>
        <w:rPr>
          <w:sz w:val="18"/>
        </w:rPr>
        <w:t>of</w:t>
      </w:r>
      <w:r>
        <w:rPr>
          <w:spacing w:val="-2"/>
          <w:sz w:val="18"/>
        </w:rPr>
        <w:t> </w:t>
      </w:r>
      <w:r>
        <w:rPr>
          <w:sz w:val="18"/>
        </w:rPr>
        <w:t>the</w:t>
      </w:r>
      <w:r>
        <w:rPr>
          <w:spacing w:val="-2"/>
          <w:sz w:val="18"/>
        </w:rPr>
        <w:t> </w:t>
      </w:r>
      <w:r>
        <w:rPr>
          <w:sz w:val="18"/>
        </w:rPr>
        <w:t>time</w:t>
      </w:r>
    </w:p>
    <w:p>
      <w:pPr>
        <w:pStyle w:val="ListParagraph"/>
        <w:numPr>
          <w:ilvl w:val="0"/>
          <w:numId w:val="150"/>
        </w:numPr>
        <w:tabs>
          <w:tab w:pos="1860" w:val="left" w:leader="none"/>
          <w:tab w:pos="1861" w:val="left" w:leader="none"/>
        </w:tabs>
        <w:spacing w:line="240" w:lineRule="auto" w:before="33" w:after="0"/>
        <w:ind w:left="1860" w:right="0" w:hanging="721"/>
        <w:jc w:val="left"/>
        <w:rPr>
          <w:sz w:val="18"/>
        </w:rPr>
      </w:pPr>
      <w:r>
        <w:rPr>
          <w:sz w:val="18"/>
        </w:rPr>
        <w:t>Most</w:t>
      </w:r>
      <w:r>
        <w:rPr>
          <w:spacing w:val="-3"/>
          <w:sz w:val="18"/>
        </w:rPr>
        <w:t> </w:t>
      </w:r>
      <w:r>
        <w:rPr>
          <w:sz w:val="18"/>
        </w:rPr>
        <w:t>of</w:t>
      </w:r>
      <w:r>
        <w:rPr>
          <w:spacing w:val="-1"/>
          <w:sz w:val="18"/>
        </w:rPr>
        <w:t> </w:t>
      </w:r>
      <w:r>
        <w:rPr>
          <w:sz w:val="18"/>
        </w:rPr>
        <w:t>the time</w:t>
      </w:r>
    </w:p>
    <w:p>
      <w:pPr>
        <w:pStyle w:val="ListParagraph"/>
        <w:numPr>
          <w:ilvl w:val="0"/>
          <w:numId w:val="150"/>
        </w:numPr>
        <w:tabs>
          <w:tab w:pos="1860" w:val="left" w:leader="none"/>
          <w:tab w:pos="1861" w:val="left" w:leader="none"/>
        </w:tabs>
        <w:spacing w:line="240" w:lineRule="auto" w:before="32" w:after="0"/>
        <w:ind w:left="1860" w:right="0" w:hanging="721"/>
        <w:jc w:val="left"/>
        <w:rPr>
          <w:sz w:val="18"/>
        </w:rPr>
      </w:pPr>
      <w:r>
        <w:rPr>
          <w:sz w:val="18"/>
        </w:rPr>
        <w:t>Always</w:t>
      </w:r>
    </w:p>
    <w:p>
      <w:pPr>
        <w:pStyle w:val="ListParagraph"/>
        <w:numPr>
          <w:ilvl w:val="0"/>
          <w:numId w:val="151"/>
        </w:numPr>
        <w:tabs>
          <w:tab w:pos="1860" w:val="left" w:leader="none"/>
          <w:tab w:pos="1861" w:val="left" w:leader="none"/>
        </w:tabs>
        <w:spacing w:line="240" w:lineRule="auto" w:before="33" w:after="0"/>
        <w:ind w:left="1860" w:right="0" w:hanging="721"/>
        <w:jc w:val="left"/>
        <w:rPr>
          <w:sz w:val="18"/>
        </w:rPr>
      </w:pPr>
      <w:r>
        <w:rPr>
          <w:sz w:val="18"/>
        </w:rPr>
        <w:t>(Don’t</w:t>
      </w:r>
      <w:r>
        <w:rPr>
          <w:spacing w:val="-3"/>
          <w:sz w:val="18"/>
        </w:rPr>
        <w:t> </w:t>
      </w:r>
      <w:r>
        <w:rPr>
          <w:sz w:val="18"/>
        </w:rPr>
        <w:t>know)</w:t>
      </w:r>
    </w:p>
    <w:p>
      <w:pPr>
        <w:pStyle w:val="ListParagraph"/>
        <w:numPr>
          <w:ilvl w:val="0"/>
          <w:numId w:val="151"/>
        </w:numPr>
        <w:tabs>
          <w:tab w:pos="1860" w:val="left" w:leader="none"/>
          <w:tab w:pos="1861" w:val="left" w:leader="none"/>
        </w:tabs>
        <w:spacing w:line="240" w:lineRule="auto" w:before="34" w:after="0"/>
        <w:ind w:left="1860" w:right="0" w:hanging="721"/>
        <w:jc w:val="left"/>
        <w:rPr>
          <w:sz w:val="18"/>
        </w:rPr>
      </w:pPr>
      <w:r>
        <w:rPr>
          <w:sz w:val="18"/>
        </w:rPr>
        <w:t>(Refused)</w:t>
      </w:r>
    </w:p>
    <w:p>
      <w:pPr>
        <w:pStyle w:val="BodyText"/>
        <w:rPr>
          <w:sz w:val="19"/>
        </w:rPr>
      </w:pPr>
    </w:p>
    <w:p>
      <w:pPr>
        <w:tabs>
          <w:tab w:pos="1128" w:val="left" w:leader="none"/>
        </w:tabs>
        <w:spacing w:before="0"/>
        <w:ind w:left="420" w:right="0" w:firstLine="0"/>
        <w:jc w:val="left"/>
        <w:rPr>
          <w:sz w:val="18"/>
        </w:rPr>
      </w:pPr>
      <w:r>
        <w:rPr>
          <w:sz w:val="18"/>
        </w:rPr>
        <w:t>Q16</w:t>
        <w:tab/>
        <w:t>Over</w:t>
      </w:r>
      <w:r>
        <w:rPr>
          <w:spacing w:val="-2"/>
          <w:sz w:val="18"/>
        </w:rPr>
        <w:t> </w:t>
      </w:r>
      <w:r>
        <w:rPr>
          <w:sz w:val="18"/>
        </w:rPr>
        <w:t>the</w:t>
      </w:r>
      <w:r>
        <w:rPr>
          <w:spacing w:val="-1"/>
          <w:sz w:val="18"/>
        </w:rPr>
        <w:t> </w:t>
      </w:r>
      <w:r>
        <w:rPr>
          <w:sz w:val="18"/>
        </w:rPr>
        <w:t>last</w:t>
      </w:r>
      <w:r>
        <w:rPr>
          <w:spacing w:val="-3"/>
          <w:sz w:val="18"/>
        </w:rPr>
        <w:t> </w:t>
      </w:r>
      <w:r>
        <w:rPr>
          <w:sz w:val="18"/>
        </w:rPr>
        <w:t>6</w:t>
      </w:r>
      <w:r>
        <w:rPr>
          <w:spacing w:val="-1"/>
          <w:sz w:val="18"/>
        </w:rPr>
        <w:t> </w:t>
      </w:r>
      <w:r>
        <w:rPr>
          <w:sz w:val="18"/>
        </w:rPr>
        <w:t>months,</w:t>
      </w:r>
      <w:r>
        <w:rPr>
          <w:spacing w:val="-3"/>
          <w:sz w:val="18"/>
        </w:rPr>
        <w:t> </w:t>
      </w:r>
      <w:r>
        <w:rPr>
          <w:sz w:val="18"/>
        </w:rPr>
        <w:t>did</w:t>
      </w:r>
      <w:r>
        <w:rPr>
          <w:spacing w:val="-3"/>
          <w:sz w:val="18"/>
        </w:rPr>
        <w:t> </w:t>
      </w:r>
      <w:r>
        <w:rPr>
          <w:sz w:val="18"/>
        </w:rPr>
        <w:t>you make</w:t>
      </w:r>
      <w:r>
        <w:rPr>
          <w:spacing w:val="-1"/>
          <w:sz w:val="18"/>
        </w:rPr>
        <w:t> </w:t>
      </w:r>
      <w:r>
        <w:rPr>
          <w:sz w:val="18"/>
        </w:rPr>
        <w:t>any</w:t>
      </w:r>
      <w:r>
        <w:rPr>
          <w:spacing w:val="-2"/>
          <w:sz w:val="18"/>
        </w:rPr>
        <w:t> </w:t>
      </w:r>
      <w:r>
        <w:rPr>
          <w:sz w:val="18"/>
        </w:rPr>
        <w:t>appointments</w:t>
      </w:r>
      <w:r>
        <w:rPr>
          <w:spacing w:val="-1"/>
          <w:sz w:val="18"/>
        </w:rPr>
        <w:t> </w:t>
      </w:r>
      <w:r>
        <w:rPr>
          <w:sz w:val="18"/>
        </w:rPr>
        <w:t>for</w:t>
      </w:r>
      <w:r>
        <w:rPr>
          <w:spacing w:val="-1"/>
          <w:sz w:val="18"/>
        </w:rPr>
        <w:t> </w:t>
      </w:r>
      <w:r>
        <w:rPr>
          <w:sz w:val="18"/>
        </w:rPr>
        <w:t>a</w:t>
      </w:r>
      <w:r>
        <w:rPr>
          <w:spacing w:val="-5"/>
          <w:sz w:val="18"/>
        </w:rPr>
        <w:t> </w:t>
      </w:r>
      <w:r>
        <w:rPr>
          <w:sz w:val="18"/>
        </w:rPr>
        <w:t>check-up</w:t>
      </w:r>
      <w:r>
        <w:rPr>
          <w:spacing w:val="-5"/>
          <w:sz w:val="18"/>
        </w:rPr>
        <w:t> </w:t>
      </w:r>
      <w:r>
        <w:rPr>
          <w:sz w:val="18"/>
        </w:rPr>
        <w:t>or</w:t>
      </w:r>
      <w:r>
        <w:rPr>
          <w:spacing w:val="-3"/>
          <w:sz w:val="18"/>
        </w:rPr>
        <w:t> </w:t>
      </w:r>
      <w:r>
        <w:rPr>
          <w:sz w:val="18"/>
        </w:rPr>
        <w:t>routine</w:t>
      </w:r>
      <w:r>
        <w:rPr>
          <w:spacing w:val="-3"/>
          <w:sz w:val="18"/>
        </w:rPr>
        <w:t> </w:t>
      </w:r>
      <w:r>
        <w:rPr>
          <w:sz w:val="18"/>
        </w:rPr>
        <w:t>care</w:t>
      </w:r>
      <w:r>
        <w:rPr>
          <w:spacing w:val="-1"/>
          <w:sz w:val="18"/>
        </w:rPr>
        <w:t> </w:t>
      </w:r>
      <w:r>
        <w:rPr>
          <w:sz w:val="18"/>
        </w:rPr>
        <w:t>with</w:t>
      </w:r>
      <w:r>
        <w:rPr>
          <w:spacing w:val="-1"/>
          <w:sz w:val="18"/>
        </w:rPr>
        <w:t> </w:t>
      </w:r>
      <w:r>
        <w:rPr>
          <w:sz w:val="18"/>
        </w:rPr>
        <w:t>your</w:t>
      </w:r>
      <w:r>
        <w:rPr>
          <w:spacing w:val="-1"/>
          <w:sz w:val="18"/>
        </w:rPr>
        <w:t> </w:t>
      </w:r>
      <w:r>
        <w:rPr>
          <w:sz w:val="18"/>
        </w:rPr>
        <w:t>GP's</w:t>
      </w:r>
      <w:r>
        <w:rPr>
          <w:spacing w:val="-2"/>
          <w:sz w:val="18"/>
        </w:rPr>
        <w:t> </w:t>
      </w:r>
      <w:r>
        <w:rPr>
          <w:sz w:val="18"/>
        </w:rPr>
        <w:t>practice?</w:t>
      </w:r>
    </w:p>
    <w:p>
      <w:pPr>
        <w:pStyle w:val="BodyText"/>
        <w:rPr>
          <w:sz w:val="19"/>
        </w:rPr>
      </w:pPr>
    </w:p>
    <w:p>
      <w:pPr>
        <w:pStyle w:val="ListParagraph"/>
        <w:numPr>
          <w:ilvl w:val="0"/>
          <w:numId w:val="152"/>
        </w:numPr>
        <w:tabs>
          <w:tab w:pos="1860" w:val="left" w:leader="none"/>
          <w:tab w:pos="1861" w:val="left" w:leader="none"/>
        </w:tabs>
        <w:spacing w:line="240" w:lineRule="auto" w:before="0" w:after="0"/>
        <w:ind w:left="1860" w:right="0" w:hanging="721"/>
        <w:jc w:val="left"/>
        <w:rPr>
          <w:sz w:val="18"/>
        </w:rPr>
      </w:pPr>
      <w:r>
        <w:rPr>
          <w:sz w:val="18"/>
        </w:rPr>
        <w:t>Yes</w:t>
      </w:r>
    </w:p>
    <w:p>
      <w:pPr>
        <w:pStyle w:val="ListParagraph"/>
        <w:numPr>
          <w:ilvl w:val="0"/>
          <w:numId w:val="152"/>
        </w:numPr>
        <w:tabs>
          <w:tab w:pos="1860" w:val="left" w:leader="none"/>
          <w:tab w:pos="1861" w:val="left" w:leader="none"/>
        </w:tabs>
        <w:spacing w:line="240" w:lineRule="auto" w:before="34" w:after="0"/>
        <w:ind w:left="1860" w:right="0" w:hanging="721"/>
        <w:jc w:val="left"/>
        <w:rPr>
          <w:sz w:val="18"/>
        </w:rPr>
      </w:pPr>
      <w:r>
        <w:rPr>
          <w:sz w:val="18"/>
        </w:rPr>
        <w:t>No</w:t>
      </w:r>
    </w:p>
    <w:p>
      <w:pPr>
        <w:pStyle w:val="ListParagraph"/>
        <w:numPr>
          <w:ilvl w:val="0"/>
          <w:numId w:val="153"/>
        </w:numPr>
        <w:tabs>
          <w:tab w:pos="1860" w:val="left" w:leader="none"/>
          <w:tab w:pos="1861" w:val="left" w:leader="none"/>
        </w:tabs>
        <w:spacing w:line="240" w:lineRule="auto" w:before="34" w:after="0"/>
        <w:ind w:left="1860" w:right="0" w:hanging="721"/>
        <w:jc w:val="left"/>
        <w:rPr>
          <w:sz w:val="18"/>
        </w:rPr>
      </w:pPr>
      <w:r>
        <w:rPr>
          <w:sz w:val="18"/>
        </w:rPr>
        <w:t>(Don’t</w:t>
      </w:r>
      <w:r>
        <w:rPr>
          <w:spacing w:val="-3"/>
          <w:sz w:val="18"/>
        </w:rPr>
        <w:t> </w:t>
      </w:r>
      <w:r>
        <w:rPr>
          <w:sz w:val="18"/>
        </w:rPr>
        <w:t>know)</w:t>
      </w:r>
    </w:p>
    <w:p>
      <w:pPr>
        <w:pStyle w:val="ListParagraph"/>
        <w:numPr>
          <w:ilvl w:val="0"/>
          <w:numId w:val="153"/>
        </w:numPr>
        <w:tabs>
          <w:tab w:pos="1860" w:val="left" w:leader="none"/>
          <w:tab w:pos="1861" w:val="left" w:leader="none"/>
        </w:tabs>
        <w:spacing w:line="240" w:lineRule="auto" w:before="31" w:after="0"/>
        <w:ind w:left="1860" w:right="0" w:hanging="721"/>
        <w:jc w:val="left"/>
        <w:rPr>
          <w:sz w:val="18"/>
        </w:rPr>
      </w:pPr>
      <w:r>
        <w:rPr>
          <w:sz w:val="18"/>
        </w:rPr>
        <w:t>(Refused)</w:t>
      </w:r>
    </w:p>
    <w:p>
      <w:pPr>
        <w:pStyle w:val="BodyText"/>
        <w:rPr>
          <w:sz w:val="19"/>
        </w:rPr>
      </w:pPr>
    </w:p>
    <w:p>
      <w:pPr>
        <w:spacing w:before="0"/>
        <w:ind w:left="420" w:right="0" w:firstLine="0"/>
        <w:jc w:val="left"/>
        <w:rPr>
          <w:sz w:val="18"/>
        </w:rPr>
      </w:pPr>
      <w:r>
        <w:rPr>
          <w:sz w:val="18"/>
        </w:rPr>
        <w:t>If</w:t>
      </w:r>
      <w:r>
        <w:rPr>
          <w:spacing w:val="-3"/>
          <w:sz w:val="18"/>
        </w:rPr>
        <w:t> </w:t>
      </w:r>
      <w:r>
        <w:rPr>
          <w:sz w:val="18"/>
        </w:rPr>
        <w:t>yes</w:t>
      </w:r>
      <w:r>
        <w:rPr>
          <w:spacing w:val="-1"/>
          <w:sz w:val="18"/>
        </w:rPr>
        <w:t> </w:t>
      </w:r>
      <w:r>
        <w:rPr>
          <w:sz w:val="18"/>
        </w:rPr>
        <w:t>to</w:t>
      </w:r>
      <w:r>
        <w:rPr>
          <w:spacing w:val="-1"/>
          <w:sz w:val="18"/>
        </w:rPr>
        <w:t> </w:t>
      </w:r>
      <w:r>
        <w:rPr>
          <w:sz w:val="18"/>
        </w:rPr>
        <w:t>Q16 go</w:t>
      </w:r>
      <w:r>
        <w:rPr>
          <w:spacing w:val="-1"/>
          <w:sz w:val="18"/>
        </w:rPr>
        <w:t> </w:t>
      </w:r>
      <w:r>
        <w:rPr>
          <w:sz w:val="18"/>
        </w:rPr>
        <w:t>to</w:t>
      </w:r>
      <w:r>
        <w:rPr>
          <w:spacing w:val="-1"/>
          <w:sz w:val="18"/>
        </w:rPr>
        <w:t> </w:t>
      </w:r>
      <w:r>
        <w:rPr>
          <w:sz w:val="18"/>
        </w:rPr>
        <w:t>Q17,</w:t>
      </w:r>
      <w:r>
        <w:rPr>
          <w:spacing w:val="-2"/>
          <w:sz w:val="18"/>
        </w:rPr>
        <w:t> </w:t>
      </w:r>
      <w:r>
        <w:rPr>
          <w:sz w:val="18"/>
        </w:rPr>
        <w:t>else</w:t>
      </w:r>
      <w:r>
        <w:rPr>
          <w:spacing w:val="-3"/>
          <w:sz w:val="18"/>
        </w:rPr>
        <w:t> </w:t>
      </w:r>
      <w:r>
        <w:rPr>
          <w:sz w:val="18"/>
        </w:rPr>
        <w:t>go</w:t>
      </w:r>
      <w:r>
        <w:rPr>
          <w:spacing w:val="-1"/>
          <w:sz w:val="18"/>
        </w:rPr>
        <w:t> </w:t>
      </w:r>
      <w:r>
        <w:rPr>
          <w:sz w:val="18"/>
        </w:rPr>
        <w:t>to</w:t>
      </w:r>
      <w:r>
        <w:rPr>
          <w:spacing w:val="-1"/>
          <w:sz w:val="18"/>
        </w:rPr>
        <w:t> </w:t>
      </w:r>
      <w:r>
        <w:rPr>
          <w:sz w:val="18"/>
        </w:rPr>
        <w:t>Q18.</w:t>
      </w:r>
    </w:p>
    <w:p>
      <w:pPr>
        <w:pStyle w:val="BodyText"/>
        <w:spacing w:before="2"/>
        <w:rPr>
          <w:sz w:val="19"/>
        </w:rPr>
      </w:pPr>
    </w:p>
    <w:p>
      <w:pPr>
        <w:tabs>
          <w:tab w:pos="1128" w:val="left" w:leader="none"/>
        </w:tabs>
        <w:spacing w:line="273" w:lineRule="auto" w:before="0"/>
        <w:ind w:left="1128" w:right="1098" w:hanging="709"/>
        <w:jc w:val="left"/>
        <w:rPr>
          <w:sz w:val="18"/>
        </w:rPr>
      </w:pPr>
      <w:r>
        <w:rPr>
          <w:sz w:val="18"/>
        </w:rPr>
        <w:t>Q17</w:t>
        <w:tab/>
        <w:t>When you made an appointment for a check-up or routine care with &lt;practice&gt;, how often did you get an</w:t>
      </w:r>
      <w:r>
        <w:rPr>
          <w:spacing w:val="-47"/>
          <w:sz w:val="18"/>
        </w:rPr>
        <w:t> </w:t>
      </w:r>
      <w:r>
        <w:rPr>
          <w:sz w:val="18"/>
        </w:rPr>
        <w:t>appointment</w:t>
      </w:r>
      <w:r>
        <w:rPr>
          <w:spacing w:val="-1"/>
          <w:sz w:val="18"/>
        </w:rPr>
        <w:t> </w:t>
      </w:r>
      <w:r>
        <w:rPr>
          <w:sz w:val="18"/>
        </w:rPr>
        <w:t>as soon</w:t>
      </w:r>
      <w:r>
        <w:rPr>
          <w:spacing w:val="1"/>
          <w:sz w:val="18"/>
        </w:rPr>
        <w:t> </w:t>
      </w:r>
      <w:r>
        <w:rPr>
          <w:sz w:val="18"/>
        </w:rPr>
        <w:t>as you</w:t>
      </w:r>
      <w:r>
        <w:rPr>
          <w:spacing w:val="2"/>
          <w:sz w:val="18"/>
        </w:rPr>
        <w:t> </w:t>
      </w:r>
      <w:r>
        <w:rPr>
          <w:sz w:val="18"/>
        </w:rPr>
        <w:t>needed?</w:t>
      </w:r>
    </w:p>
    <w:p>
      <w:pPr>
        <w:pStyle w:val="BodyText"/>
        <w:spacing w:before="6"/>
        <w:rPr>
          <w:sz w:val="16"/>
        </w:rPr>
      </w:pPr>
    </w:p>
    <w:p>
      <w:pPr>
        <w:pStyle w:val="ListParagraph"/>
        <w:numPr>
          <w:ilvl w:val="0"/>
          <w:numId w:val="154"/>
        </w:numPr>
        <w:tabs>
          <w:tab w:pos="1860" w:val="left" w:leader="none"/>
          <w:tab w:pos="1861" w:val="left" w:leader="none"/>
        </w:tabs>
        <w:spacing w:line="240" w:lineRule="auto" w:before="1" w:after="0"/>
        <w:ind w:left="1860" w:right="0" w:hanging="721"/>
        <w:jc w:val="left"/>
        <w:rPr>
          <w:sz w:val="18"/>
        </w:rPr>
      </w:pPr>
      <w:r>
        <w:rPr>
          <w:sz w:val="18"/>
        </w:rPr>
        <w:t>None</w:t>
      </w:r>
      <w:r>
        <w:rPr>
          <w:spacing w:val="-2"/>
          <w:sz w:val="18"/>
        </w:rPr>
        <w:t> </w:t>
      </w:r>
      <w:r>
        <w:rPr>
          <w:sz w:val="18"/>
        </w:rPr>
        <w:t>of</w:t>
      </w:r>
      <w:r>
        <w:rPr>
          <w:spacing w:val="-2"/>
          <w:sz w:val="18"/>
        </w:rPr>
        <w:t> </w:t>
      </w:r>
      <w:r>
        <w:rPr>
          <w:sz w:val="18"/>
        </w:rPr>
        <w:t>the</w:t>
      </w:r>
      <w:r>
        <w:rPr>
          <w:spacing w:val="-1"/>
          <w:sz w:val="18"/>
        </w:rPr>
        <w:t> </w:t>
      </w:r>
      <w:r>
        <w:rPr>
          <w:sz w:val="18"/>
        </w:rPr>
        <w:t>time</w:t>
      </w:r>
    </w:p>
    <w:p>
      <w:pPr>
        <w:pStyle w:val="ListParagraph"/>
        <w:numPr>
          <w:ilvl w:val="0"/>
          <w:numId w:val="154"/>
        </w:numPr>
        <w:tabs>
          <w:tab w:pos="1860" w:val="left" w:leader="none"/>
          <w:tab w:pos="1861" w:val="left" w:leader="none"/>
        </w:tabs>
        <w:spacing w:line="240" w:lineRule="auto" w:before="33" w:after="0"/>
        <w:ind w:left="1860" w:right="0" w:hanging="721"/>
        <w:jc w:val="left"/>
        <w:rPr>
          <w:sz w:val="18"/>
        </w:rPr>
      </w:pPr>
      <w:r>
        <w:rPr>
          <w:sz w:val="18"/>
        </w:rPr>
        <w:t>A</w:t>
      </w:r>
      <w:r>
        <w:rPr>
          <w:spacing w:val="-6"/>
          <w:sz w:val="18"/>
        </w:rPr>
        <w:t> </w:t>
      </w:r>
      <w:r>
        <w:rPr>
          <w:sz w:val="18"/>
        </w:rPr>
        <w:t>little</w:t>
      </w:r>
      <w:r>
        <w:rPr>
          <w:spacing w:val="-2"/>
          <w:sz w:val="18"/>
        </w:rPr>
        <w:t> </w:t>
      </w:r>
      <w:r>
        <w:rPr>
          <w:sz w:val="18"/>
        </w:rPr>
        <w:t>of</w:t>
      </w:r>
      <w:r>
        <w:rPr>
          <w:spacing w:val="-2"/>
          <w:sz w:val="18"/>
        </w:rPr>
        <w:t> </w:t>
      </w:r>
      <w:r>
        <w:rPr>
          <w:sz w:val="18"/>
        </w:rPr>
        <w:t>the</w:t>
      </w:r>
      <w:r>
        <w:rPr>
          <w:spacing w:val="-1"/>
          <w:sz w:val="18"/>
        </w:rPr>
        <w:t> </w:t>
      </w:r>
      <w:r>
        <w:rPr>
          <w:sz w:val="18"/>
        </w:rPr>
        <w:t>time</w:t>
      </w:r>
    </w:p>
    <w:p>
      <w:pPr>
        <w:pStyle w:val="ListParagraph"/>
        <w:numPr>
          <w:ilvl w:val="0"/>
          <w:numId w:val="154"/>
        </w:numPr>
        <w:tabs>
          <w:tab w:pos="1860" w:val="left" w:leader="none"/>
          <w:tab w:pos="1861" w:val="left" w:leader="none"/>
        </w:tabs>
        <w:spacing w:line="240" w:lineRule="auto" w:before="34" w:after="0"/>
        <w:ind w:left="1860" w:right="0" w:hanging="721"/>
        <w:jc w:val="left"/>
        <w:rPr>
          <w:sz w:val="18"/>
        </w:rPr>
      </w:pPr>
      <w:r>
        <w:rPr>
          <w:sz w:val="18"/>
        </w:rPr>
        <w:t>Some</w:t>
      </w:r>
      <w:r>
        <w:rPr>
          <w:spacing w:val="-3"/>
          <w:sz w:val="18"/>
        </w:rPr>
        <w:t> </w:t>
      </w:r>
      <w:r>
        <w:rPr>
          <w:sz w:val="18"/>
        </w:rPr>
        <w:t>of</w:t>
      </w:r>
      <w:r>
        <w:rPr>
          <w:spacing w:val="-2"/>
          <w:sz w:val="18"/>
        </w:rPr>
        <w:t> </w:t>
      </w:r>
      <w:r>
        <w:rPr>
          <w:sz w:val="18"/>
        </w:rPr>
        <w:t>the</w:t>
      </w:r>
      <w:r>
        <w:rPr>
          <w:spacing w:val="-2"/>
          <w:sz w:val="18"/>
        </w:rPr>
        <w:t> </w:t>
      </w:r>
      <w:r>
        <w:rPr>
          <w:sz w:val="18"/>
        </w:rPr>
        <w:t>time</w:t>
      </w:r>
    </w:p>
    <w:p>
      <w:pPr>
        <w:pStyle w:val="ListParagraph"/>
        <w:numPr>
          <w:ilvl w:val="0"/>
          <w:numId w:val="154"/>
        </w:numPr>
        <w:tabs>
          <w:tab w:pos="1860" w:val="left" w:leader="none"/>
          <w:tab w:pos="1861" w:val="left" w:leader="none"/>
        </w:tabs>
        <w:spacing w:line="240" w:lineRule="auto" w:before="34" w:after="0"/>
        <w:ind w:left="1860" w:right="0" w:hanging="721"/>
        <w:jc w:val="left"/>
        <w:rPr>
          <w:sz w:val="18"/>
        </w:rPr>
      </w:pPr>
      <w:r>
        <w:rPr>
          <w:sz w:val="18"/>
        </w:rPr>
        <w:t>Most</w:t>
      </w:r>
      <w:r>
        <w:rPr>
          <w:spacing w:val="-3"/>
          <w:sz w:val="18"/>
        </w:rPr>
        <w:t> </w:t>
      </w:r>
      <w:r>
        <w:rPr>
          <w:sz w:val="18"/>
        </w:rPr>
        <w:t>of</w:t>
      </w:r>
      <w:r>
        <w:rPr>
          <w:spacing w:val="-1"/>
          <w:sz w:val="18"/>
        </w:rPr>
        <w:t> </w:t>
      </w:r>
      <w:r>
        <w:rPr>
          <w:sz w:val="18"/>
        </w:rPr>
        <w:t>the time</w:t>
      </w:r>
    </w:p>
    <w:p>
      <w:pPr>
        <w:pStyle w:val="ListParagraph"/>
        <w:numPr>
          <w:ilvl w:val="0"/>
          <w:numId w:val="154"/>
        </w:numPr>
        <w:tabs>
          <w:tab w:pos="1860" w:val="left" w:leader="none"/>
          <w:tab w:pos="1861" w:val="left" w:leader="none"/>
        </w:tabs>
        <w:spacing w:line="240" w:lineRule="auto" w:before="32" w:after="0"/>
        <w:ind w:left="1860" w:right="0" w:hanging="721"/>
        <w:jc w:val="left"/>
        <w:rPr>
          <w:sz w:val="18"/>
        </w:rPr>
      </w:pPr>
      <w:r>
        <w:rPr>
          <w:sz w:val="18"/>
        </w:rPr>
        <w:t>Always</w:t>
      </w:r>
    </w:p>
    <w:p>
      <w:pPr>
        <w:pStyle w:val="ListParagraph"/>
        <w:numPr>
          <w:ilvl w:val="0"/>
          <w:numId w:val="155"/>
        </w:numPr>
        <w:tabs>
          <w:tab w:pos="1860" w:val="left" w:leader="none"/>
          <w:tab w:pos="1861" w:val="left" w:leader="none"/>
        </w:tabs>
        <w:spacing w:line="240" w:lineRule="auto" w:before="33" w:after="0"/>
        <w:ind w:left="1860" w:right="0" w:hanging="721"/>
        <w:jc w:val="left"/>
        <w:rPr>
          <w:sz w:val="18"/>
        </w:rPr>
      </w:pPr>
      <w:r>
        <w:rPr>
          <w:sz w:val="18"/>
        </w:rPr>
        <w:t>(Don’t</w:t>
      </w:r>
      <w:r>
        <w:rPr>
          <w:spacing w:val="-3"/>
          <w:sz w:val="18"/>
        </w:rPr>
        <w:t> </w:t>
      </w:r>
      <w:r>
        <w:rPr>
          <w:sz w:val="18"/>
        </w:rPr>
        <w:t>know)</w:t>
      </w:r>
    </w:p>
    <w:p>
      <w:pPr>
        <w:pStyle w:val="ListParagraph"/>
        <w:numPr>
          <w:ilvl w:val="0"/>
          <w:numId w:val="155"/>
        </w:numPr>
        <w:tabs>
          <w:tab w:pos="1860" w:val="left" w:leader="none"/>
          <w:tab w:pos="1861" w:val="left" w:leader="none"/>
        </w:tabs>
        <w:spacing w:line="240" w:lineRule="auto" w:before="34" w:after="0"/>
        <w:ind w:left="1860" w:right="0" w:hanging="721"/>
        <w:jc w:val="left"/>
        <w:rPr>
          <w:sz w:val="18"/>
        </w:rPr>
      </w:pPr>
      <w:r>
        <w:rPr>
          <w:sz w:val="18"/>
        </w:rPr>
        <w:t>(Refused)</w:t>
      </w:r>
    </w:p>
    <w:p>
      <w:pPr>
        <w:pStyle w:val="BodyText"/>
        <w:rPr>
          <w:sz w:val="19"/>
        </w:rPr>
      </w:pPr>
    </w:p>
    <w:p>
      <w:pPr>
        <w:tabs>
          <w:tab w:pos="1128" w:val="left" w:leader="none"/>
        </w:tabs>
        <w:spacing w:line="276" w:lineRule="auto" w:before="0"/>
        <w:ind w:left="1128" w:right="1777" w:hanging="709"/>
        <w:jc w:val="left"/>
        <w:rPr>
          <w:sz w:val="18"/>
        </w:rPr>
      </w:pPr>
      <w:r>
        <w:rPr>
          <w:sz w:val="18"/>
        </w:rPr>
        <w:t>Q18</w:t>
        <w:tab/>
        <w:t>When you made an appointment or attended &lt;practice&gt; for any reason, how often did you get an</w:t>
      </w:r>
      <w:r>
        <w:rPr>
          <w:spacing w:val="-47"/>
          <w:sz w:val="18"/>
        </w:rPr>
        <w:t> </w:t>
      </w:r>
      <w:r>
        <w:rPr>
          <w:sz w:val="18"/>
        </w:rPr>
        <w:t>appointment</w:t>
      </w:r>
      <w:r>
        <w:rPr>
          <w:spacing w:val="-1"/>
          <w:sz w:val="18"/>
        </w:rPr>
        <w:t> </w:t>
      </w:r>
      <w:r>
        <w:rPr>
          <w:sz w:val="18"/>
        </w:rPr>
        <w:t>with</w:t>
      </w:r>
      <w:r>
        <w:rPr>
          <w:spacing w:val="1"/>
          <w:sz w:val="18"/>
        </w:rPr>
        <w:t> </w:t>
      </w:r>
      <w:r>
        <w:rPr>
          <w:sz w:val="18"/>
        </w:rPr>
        <w:t>your</w:t>
      </w:r>
      <w:r>
        <w:rPr>
          <w:spacing w:val="1"/>
          <w:sz w:val="18"/>
        </w:rPr>
        <w:t> </w:t>
      </w:r>
      <w:r>
        <w:rPr>
          <w:sz w:val="18"/>
        </w:rPr>
        <w:t>own</w:t>
      </w:r>
      <w:r>
        <w:rPr>
          <w:spacing w:val="1"/>
          <w:sz w:val="18"/>
        </w:rPr>
        <w:t> </w:t>
      </w:r>
      <w:r>
        <w:rPr>
          <w:sz w:val="18"/>
        </w:rPr>
        <w:t>personal</w:t>
      </w:r>
      <w:r>
        <w:rPr>
          <w:spacing w:val="1"/>
          <w:sz w:val="18"/>
        </w:rPr>
        <w:t> </w:t>
      </w:r>
      <w:r>
        <w:rPr>
          <w:sz w:val="18"/>
        </w:rPr>
        <w:t>GP?</w:t>
      </w:r>
    </w:p>
    <w:p>
      <w:pPr>
        <w:pStyle w:val="BodyText"/>
        <w:spacing w:before="4"/>
        <w:rPr>
          <w:sz w:val="16"/>
        </w:rPr>
      </w:pPr>
    </w:p>
    <w:p>
      <w:pPr>
        <w:pStyle w:val="ListParagraph"/>
        <w:numPr>
          <w:ilvl w:val="0"/>
          <w:numId w:val="156"/>
        </w:numPr>
        <w:tabs>
          <w:tab w:pos="1860" w:val="left" w:leader="none"/>
          <w:tab w:pos="1861" w:val="left" w:leader="none"/>
        </w:tabs>
        <w:spacing w:line="240" w:lineRule="auto" w:before="0" w:after="0"/>
        <w:ind w:left="1860" w:right="0" w:hanging="721"/>
        <w:jc w:val="left"/>
        <w:rPr>
          <w:sz w:val="18"/>
        </w:rPr>
      </w:pPr>
      <w:r>
        <w:rPr>
          <w:sz w:val="18"/>
        </w:rPr>
        <w:t>None</w:t>
      </w:r>
      <w:r>
        <w:rPr>
          <w:spacing w:val="-2"/>
          <w:sz w:val="18"/>
        </w:rPr>
        <w:t> </w:t>
      </w:r>
      <w:r>
        <w:rPr>
          <w:sz w:val="18"/>
        </w:rPr>
        <w:t>of</w:t>
      </w:r>
      <w:r>
        <w:rPr>
          <w:spacing w:val="-2"/>
          <w:sz w:val="18"/>
        </w:rPr>
        <w:t> </w:t>
      </w:r>
      <w:r>
        <w:rPr>
          <w:sz w:val="18"/>
        </w:rPr>
        <w:t>the</w:t>
      </w:r>
      <w:r>
        <w:rPr>
          <w:spacing w:val="-1"/>
          <w:sz w:val="18"/>
        </w:rPr>
        <w:t> </w:t>
      </w:r>
      <w:r>
        <w:rPr>
          <w:sz w:val="18"/>
        </w:rPr>
        <w:t>time</w:t>
      </w:r>
    </w:p>
    <w:p>
      <w:pPr>
        <w:pStyle w:val="ListParagraph"/>
        <w:numPr>
          <w:ilvl w:val="0"/>
          <w:numId w:val="156"/>
        </w:numPr>
        <w:tabs>
          <w:tab w:pos="1860" w:val="left" w:leader="none"/>
          <w:tab w:pos="1861" w:val="left" w:leader="none"/>
        </w:tabs>
        <w:spacing w:line="240" w:lineRule="auto" w:before="34" w:after="0"/>
        <w:ind w:left="1860" w:right="0" w:hanging="721"/>
        <w:jc w:val="left"/>
        <w:rPr>
          <w:sz w:val="18"/>
        </w:rPr>
      </w:pPr>
      <w:r>
        <w:rPr>
          <w:sz w:val="18"/>
        </w:rPr>
        <w:t>A</w:t>
      </w:r>
      <w:r>
        <w:rPr>
          <w:spacing w:val="-6"/>
          <w:sz w:val="18"/>
        </w:rPr>
        <w:t> </w:t>
      </w:r>
      <w:r>
        <w:rPr>
          <w:sz w:val="18"/>
        </w:rPr>
        <w:t>little</w:t>
      </w:r>
      <w:r>
        <w:rPr>
          <w:spacing w:val="-2"/>
          <w:sz w:val="18"/>
        </w:rPr>
        <w:t> </w:t>
      </w:r>
      <w:r>
        <w:rPr>
          <w:sz w:val="18"/>
        </w:rPr>
        <w:t>of</w:t>
      </w:r>
      <w:r>
        <w:rPr>
          <w:spacing w:val="-2"/>
          <w:sz w:val="18"/>
        </w:rPr>
        <w:t> </w:t>
      </w:r>
      <w:r>
        <w:rPr>
          <w:sz w:val="18"/>
        </w:rPr>
        <w:t>the</w:t>
      </w:r>
      <w:r>
        <w:rPr>
          <w:spacing w:val="-1"/>
          <w:sz w:val="18"/>
        </w:rPr>
        <w:t> </w:t>
      </w:r>
      <w:r>
        <w:rPr>
          <w:sz w:val="18"/>
        </w:rPr>
        <w:t>time</w:t>
      </w:r>
    </w:p>
    <w:p>
      <w:pPr>
        <w:pStyle w:val="ListParagraph"/>
        <w:numPr>
          <w:ilvl w:val="0"/>
          <w:numId w:val="156"/>
        </w:numPr>
        <w:tabs>
          <w:tab w:pos="1860" w:val="left" w:leader="none"/>
          <w:tab w:pos="1861" w:val="left" w:leader="none"/>
        </w:tabs>
        <w:spacing w:line="240" w:lineRule="auto" w:before="31" w:after="0"/>
        <w:ind w:left="1860" w:right="0" w:hanging="721"/>
        <w:jc w:val="left"/>
        <w:rPr>
          <w:sz w:val="18"/>
        </w:rPr>
      </w:pPr>
      <w:r>
        <w:rPr>
          <w:sz w:val="18"/>
        </w:rPr>
        <w:t>Some</w:t>
      </w:r>
      <w:r>
        <w:rPr>
          <w:spacing w:val="-3"/>
          <w:sz w:val="18"/>
        </w:rPr>
        <w:t> </w:t>
      </w:r>
      <w:r>
        <w:rPr>
          <w:sz w:val="18"/>
        </w:rPr>
        <w:t>of</w:t>
      </w:r>
      <w:r>
        <w:rPr>
          <w:spacing w:val="-2"/>
          <w:sz w:val="18"/>
        </w:rPr>
        <w:t> </w:t>
      </w:r>
      <w:r>
        <w:rPr>
          <w:sz w:val="18"/>
        </w:rPr>
        <w:t>the</w:t>
      </w:r>
      <w:r>
        <w:rPr>
          <w:spacing w:val="-2"/>
          <w:sz w:val="18"/>
        </w:rPr>
        <w:t> </w:t>
      </w:r>
      <w:r>
        <w:rPr>
          <w:sz w:val="18"/>
        </w:rPr>
        <w:t>time</w:t>
      </w:r>
    </w:p>
    <w:p>
      <w:pPr>
        <w:pStyle w:val="ListParagraph"/>
        <w:numPr>
          <w:ilvl w:val="0"/>
          <w:numId w:val="156"/>
        </w:numPr>
        <w:tabs>
          <w:tab w:pos="1860" w:val="left" w:leader="none"/>
          <w:tab w:pos="1861" w:val="left" w:leader="none"/>
        </w:tabs>
        <w:spacing w:line="240" w:lineRule="auto" w:before="34" w:after="0"/>
        <w:ind w:left="1860" w:right="0" w:hanging="721"/>
        <w:jc w:val="left"/>
        <w:rPr>
          <w:sz w:val="18"/>
        </w:rPr>
      </w:pPr>
      <w:r>
        <w:rPr>
          <w:sz w:val="18"/>
        </w:rPr>
        <w:t>Most</w:t>
      </w:r>
      <w:r>
        <w:rPr>
          <w:spacing w:val="-3"/>
          <w:sz w:val="18"/>
        </w:rPr>
        <w:t> </w:t>
      </w:r>
      <w:r>
        <w:rPr>
          <w:sz w:val="18"/>
        </w:rPr>
        <w:t>of</w:t>
      </w:r>
      <w:r>
        <w:rPr>
          <w:spacing w:val="-1"/>
          <w:sz w:val="18"/>
        </w:rPr>
        <w:t> </w:t>
      </w:r>
      <w:r>
        <w:rPr>
          <w:sz w:val="18"/>
        </w:rPr>
        <w:t>the time</w:t>
      </w:r>
    </w:p>
    <w:p>
      <w:pPr>
        <w:pStyle w:val="ListParagraph"/>
        <w:numPr>
          <w:ilvl w:val="0"/>
          <w:numId w:val="156"/>
        </w:numPr>
        <w:tabs>
          <w:tab w:pos="1860" w:val="left" w:leader="none"/>
          <w:tab w:pos="1861" w:val="left" w:leader="none"/>
        </w:tabs>
        <w:spacing w:line="240" w:lineRule="auto" w:before="34" w:after="0"/>
        <w:ind w:left="1860" w:right="0" w:hanging="721"/>
        <w:jc w:val="left"/>
        <w:rPr>
          <w:sz w:val="18"/>
        </w:rPr>
      </w:pPr>
      <w:r>
        <w:rPr>
          <w:sz w:val="18"/>
        </w:rPr>
        <w:t>Always</w:t>
      </w:r>
    </w:p>
    <w:p>
      <w:pPr>
        <w:pStyle w:val="ListParagraph"/>
        <w:numPr>
          <w:ilvl w:val="0"/>
          <w:numId w:val="157"/>
        </w:numPr>
        <w:tabs>
          <w:tab w:pos="1860" w:val="left" w:leader="none"/>
          <w:tab w:pos="1861" w:val="left" w:leader="none"/>
        </w:tabs>
        <w:spacing w:line="240" w:lineRule="auto" w:before="33" w:after="0"/>
        <w:ind w:left="1860" w:right="0" w:hanging="721"/>
        <w:jc w:val="left"/>
        <w:rPr>
          <w:sz w:val="18"/>
        </w:rPr>
      </w:pPr>
      <w:r>
        <w:rPr>
          <w:sz w:val="18"/>
        </w:rPr>
        <w:t>(Don’t</w:t>
      </w:r>
      <w:r>
        <w:rPr>
          <w:spacing w:val="-3"/>
          <w:sz w:val="18"/>
        </w:rPr>
        <w:t> </w:t>
      </w:r>
      <w:r>
        <w:rPr>
          <w:sz w:val="18"/>
        </w:rPr>
        <w:t>know)</w:t>
      </w:r>
    </w:p>
    <w:p>
      <w:pPr>
        <w:pStyle w:val="ListParagraph"/>
        <w:numPr>
          <w:ilvl w:val="0"/>
          <w:numId w:val="157"/>
        </w:numPr>
        <w:tabs>
          <w:tab w:pos="1860" w:val="left" w:leader="none"/>
          <w:tab w:pos="1861" w:val="left" w:leader="none"/>
        </w:tabs>
        <w:spacing w:line="240" w:lineRule="auto" w:before="32" w:after="0"/>
        <w:ind w:left="1860" w:right="0" w:hanging="721"/>
        <w:jc w:val="left"/>
        <w:rPr>
          <w:sz w:val="18"/>
        </w:rPr>
      </w:pPr>
      <w:r>
        <w:rPr>
          <w:sz w:val="18"/>
        </w:rPr>
        <w:t>(Refused)</w:t>
      </w:r>
    </w:p>
    <w:p>
      <w:pPr>
        <w:spacing w:after="0" w:line="240" w:lineRule="auto"/>
        <w:jc w:val="left"/>
        <w:rPr>
          <w:sz w:val="18"/>
        </w:rPr>
        <w:sectPr>
          <w:pgSz w:w="11910" w:h="16840"/>
          <w:pgMar w:header="0" w:footer="948" w:top="940" w:bottom="1140" w:left="300" w:right="0"/>
        </w:sectPr>
      </w:pPr>
    </w:p>
    <w:p>
      <w:pPr>
        <w:tabs>
          <w:tab w:pos="1128" w:val="left" w:leader="none"/>
        </w:tabs>
        <w:spacing w:line="273" w:lineRule="auto" w:before="75"/>
        <w:ind w:left="1128" w:right="716" w:hanging="709"/>
        <w:jc w:val="left"/>
        <w:rPr>
          <w:sz w:val="18"/>
        </w:rPr>
      </w:pPr>
      <w:r>
        <w:rPr>
          <w:sz w:val="18"/>
        </w:rPr>
        <w:t>Q19</w:t>
        <w:tab/>
        <w:t>Using any number from 0 to 10, where 0 is the worst GP practice possible and 10 is the best GP practice possible,</w:t>
      </w:r>
      <w:r>
        <w:rPr>
          <w:spacing w:val="-47"/>
          <w:sz w:val="18"/>
        </w:rPr>
        <w:t> </w:t>
      </w:r>
      <w:r>
        <w:rPr>
          <w:sz w:val="18"/>
        </w:rPr>
        <w:t>what</w:t>
      </w:r>
      <w:r>
        <w:rPr>
          <w:spacing w:val="-2"/>
          <w:sz w:val="18"/>
        </w:rPr>
        <w:t> </w:t>
      </w:r>
      <w:r>
        <w:rPr>
          <w:sz w:val="18"/>
        </w:rPr>
        <w:t>number</w:t>
      </w:r>
      <w:r>
        <w:rPr>
          <w:spacing w:val="2"/>
          <w:sz w:val="18"/>
        </w:rPr>
        <w:t> </w:t>
      </w:r>
      <w:r>
        <w:rPr>
          <w:sz w:val="18"/>
        </w:rPr>
        <w:t>would</w:t>
      </w:r>
      <w:r>
        <w:rPr>
          <w:spacing w:val="-1"/>
          <w:sz w:val="18"/>
        </w:rPr>
        <w:t> </w:t>
      </w:r>
      <w:r>
        <w:rPr>
          <w:sz w:val="18"/>
        </w:rPr>
        <w:t>you use</w:t>
      </w:r>
      <w:r>
        <w:rPr>
          <w:spacing w:val="1"/>
          <w:sz w:val="18"/>
        </w:rPr>
        <w:t> </w:t>
      </w:r>
      <w:r>
        <w:rPr>
          <w:sz w:val="18"/>
        </w:rPr>
        <w:t>to rate</w:t>
      </w:r>
      <w:r>
        <w:rPr>
          <w:spacing w:val="1"/>
          <w:sz w:val="18"/>
        </w:rPr>
        <w:t> </w:t>
      </w:r>
      <w:r>
        <w:rPr>
          <w:sz w:val="18"/>
        </w:rPr>
        <w:t>&lt;practice&gt;</w:t>
      </w:r>
      <w:r>
        <w:rPr>
          <w:spacing w:val="-1"/>
          <w:sz w:val="18"/>
        </w:rPr>
        <w:t> </w:t>
      </w:r>
      <w:r>
        <w:rPr>
          <w:sz w:val="18"/>
        </w:rPr>
        <w:t>overall?</w:t>
      </w:r>
    </w:p>
    <w:p>
      <w:pPr>
        <w:pStyle w:val="BodyText"/>
        <w:spacing w:before="7"/>
        <w:rPr>
          <w:sz w:val="16"/>
        </w:rPr>
      </w:pPr>
    </w:p>
    <w:p>
      <w:pPr>
        <w:tabs>
          <w:tab w:pos="1860" w:val="left" w:leader="none"/>
        </w:tabs>
        <w:spacing w:line="276" w:lineRule="auto" w:before="0"/>
        <w:ind w:left="1140" w:right="7414" w:firstLine="0"/>
        <w:jc w:val="left"/>
        <w:rPr>
          <w:sz w:val="18"/>
        </w:rPr>
      </w:pPr>
      <w:r>
        <w:rPr>
          <w:sz w:val="18"/>
        </w:rPr>
        <w:t>0.</w:t>
        <w:tab/>
        <w:t>Worst GP practice possible</w:t>
      </w:r>
      <w:r>
        <w:rPr>
          <w:spacing w:val="-47"/>
          <w:sz w:val="18"/>
        </w:rPr>
        <w:t> </w:t>
      </w:r>
      <w:r>
        <w:rPr>
          <w:sz w:val="18"/>
        </w:rPr>
        <w:t>1.</w:t>
      </w:r>
    </w:p>
    <w:p>
      <w:pPr>
        <w:spacing w:before="1"/>
        <w:ind w:left="1140" w:right="0" w:firstLine="0"/>
        <w:jc w:val="left"/>
        <w:rPr>
          <w:sz w:val="18"/>
        </w:rPr>
      </w:pPr>
      <w:r>
        <w:rPr>
          <w:sz w:val="18"/>
        </w:rPr>
        <w:t>2.</w:t>
      </w:r>
    </w:p>
    <w:p>
      <w:pPr>
        <w:spacing w:before="34"/>
        <w:ind w:left="1140" w:right="0" w:firstLine="0"/>
        <w:jc w:val="left"/>
        <w:rPr>
          <w:sz w:val="18"/>
        </w:rPr>
      </w:pPr>
      <w:r>
        <w:rPr>
          <w:sz w:val="18"/>
        </w:rPr>
        <w:t>3.</w:t>
      </w:r>
    </w:p>
    <w:p>
      <w:pPr>
        <w:spacing w:before="31"/>
        <w:ind w:left="1140" w:right="0" w:firstLine="0"/>
        <w:jc w:val="left"/>
        <w:rPr>
          <w:sz w:val="18"/>
        </w:rPr>
      </w:pPr>
      <w:r>
        <w:rPr>
          <w:sz w:val="18"/>
        </w:rPr>
        <w:t>4.</w:t>
      </w:r>
    </w:p>
    <w:p>
      <w:pPr>
        <w:spacing w:before="34"/>
        <w:ind w:left="1140" w:right="0" w:firstLine="0"/>
        <w:jc w:val="left"/>
        <w:rPr>
          <w:sz w:val="18"/>
        </w:rPr>
      </w:pPr>
      <w:r>
        <w:rPr>
          <w:sz w:val="18"/>
        </w:rPr>
        <w:t>5.</w:t>
      </w:r>
    </w:p>
    <w:p>
      <w:pPr>
        <w:spacing w:before="34"/>
        <w:ind w:left="1140" w:right="0" w:firstLine="0"/>
        <w:jc w:val="left"/>
        <w:rPr>
          <w:sz w:val="18"/>
        </w:rPr>
      </w:pPr>
      <w:r>
        <w:rPr>
          <w:sz w:val="18"/>
        </w:rPr>
        <w:t>6.</w:t>
      </w:r>
    </w:p>
    <w:p>
      <w:pPr>
        <w:spacing w:before="33"/>
        <w:ind w:left="1140" w:right="0" w:firstLine="0"/>
        <w:jc w:val="left"/>
        <w:rPr>
          <w:sz w:val="18"/>
        </w:rPr>
      </w:pPr>
      <w:r>
        <w:rPr>
          <w:sz w:val="18"/>
        </w:rPr>
        <w:t>7.</w:t>
      </w:r>
    </w:p>
    <w:p>
      <w:pPr>
        <w:spacing w:before="32"/>
        <w:ind w:left="1140" w:right="0" w:firstLine="0"/>
        <w:jc w:val="left"/>
        <w:rPr>
          <w:sz w:val="18"/>
        </w:rPr>
      </w:pPr>
      <w:r>
        <w:rPr>
          <w:sz w:val="18"/>
        </w:rPr>
        <w:t>8.</w:t>
      </w:r>
    </w:p>
    <w:p>
      <w:pPr>
        <w:spacing w:before="33"/>
        <w:ind w:left="1140" w:right="0" w:firstLine="0"/>
        <w:jc w:val="left"/>
        <w:rPr>
          <w:sz w:val="18"/>
        </w:rPr>
      </w:pPr>
      <w:r>
        <w:rPr>
          <w:sz w:val="18"/>
        </w:rPr>
        <w:t>9.</w:t>
      </w:r>
    </w:p>
    <w:p>
      <w:pPr>
        <w:tabs>
          <w:tab w:pos="1860" w:val="left" w:leader="none"/>
        </w:tabs>
        <w:spacing w:before="34"/>
        <w:ind w:left="1140" w:right="0" w:firstLine="0"/>
        <w:jc w:val="left"/>
        <w:rPr>
          <w:sz w:val="18"/>
        </w:rPr>
      </w:pPr>
      <w:r>
        <w:rPr>
          <w:sz w:val="18"/>
        </w:rPr>
        <w:t>10.</w:t>
        <w:tab/>
        <w:t>Best</w:t>
      </w:r>
      <w:r>
        <w:rPr>
          <w:spacing w:val="-5"/>
          <w:sz w:val="18"/>
        </w:rPr>
        <w:t> </w:t>
      </w:r>
      <w:r>
        <w:rPr>
          <w:sz w:val="18"/>
        </w:rPr>
        <w:t>GP</w:t>
      </w:r>
      <w:r>
        <w:rPr>
          <w:spacing w:val="-4"/>
          <w:sz w:val="18"/>
        </w:rPr>
        <w:t> </w:t>
      </w:r>
      <w:r>
        <w:rPr>
          <w:sz w:val="18"/>
        </w:rPr>
        <w:t>practice</w:t>
      </w:r>
      <w:r>
        <w:rPr>
          <w:spacing w:val="-1"/>
          <w:sz w:val="18"/>
        </w:rPr>
        <w:t> </w:t>
      </w:r>
      <w:r>
        <w:rPr>
          <w:sz w:val="18"/>
        </w:rPr>
        <w:t>possible</w:t>
      </w:r>
    </w:p>
    <w:p>
      <w:pPr>
        <w:pStyle w:val="ListParagraph"/>
        <w:numPr>
          <w:ilvl w:val="0"/>
          <w:numId w:val="158"/>
        </w:numPr>
        <w:tabs>
          <w:tab w:pos="1860" w:val="left" w:leader="none"/>
          <w:tab w:pos="1861" w:val="left" w:leader="none"/>
        </w:tabs>
        <w:spacing w:line="240" w:lineRule="auto" w:before="34" w:after="0"/>
        <w:ind w:left="1860" w:right="0" w:hanging="721"/>
        <w:jc w:val="left"/>
        <w:rPr>
          <w:sz w:val="18"/>
        </w:rPr>
      </w:pPr>
      <w:r>
        <w:rPr>
          <w:sz w:val="18"/>
        </w:rPr>
        <w:t>(Don’t</w:t>
      </w:r>
      <w:r>
        <w:rPr>
          <w:spacing w:val="-3"/>
          <w:sz w:val="18"/>
        </w:rPr>
        <w:t> </w:t>
      </w:r>
      <w:r>
        <w:rPr>
          <w:sz w:val="18"/>
        </w:rPr>
        <w:t>know)</w:t>
      </w:r>
    </w:p>
    <w:p>
      <w:pPr>
        <w:pStyle w:val="ListParagraph"/>
        <w:numPr>
          <w:ilvl w:val="0"/>
          <w:numId w:val="158"/>
        </w:numPr>
        <w:tabs>
          <w:tab w:pos="1860" w:val="left" w:leader="none"/>
          <w:tab w:pos="1861" w:val="left" w:leader="none"/>
        </w:tabs>
        <w:spacing w:line="240" w:lineRule="auto" w:before="31" w:after="0"/>
        <w:ind w:left="1860" w:right="0" w:hanging="721"/>
        <w:jc w:val="left"/>
        <w:rPr>
          <w:sz w:val="18"/>
        </w:rPr>
      </w:pPr>
      <w:r>
        <w:rPr>
          <w:sz w:val="18"/>
        </w:rPr>
        <w:t>(Refused)</w:t>
      </w:r>
    </w:p>
    <w:p>
      <w:pPr>
        <w:pStyle w:val="BodyText"/>
        <w:spacing w:before="1"/>
        <w:rPr>
          <w:sz w:val="19"/>
        </w:rPr>
      </w:pPr>
    </w:p>
    <w:p>
      <w:pPr>
        <w:spacing w:before="0"/>
        <w:ind w:left="420" w:right="0" w:firstLine="0"/>
        <w:jc w:val="left"/>
        <w:rPr>
          <w:b/>
          <w:sz w:val="18"/>
        </w:rPr>
      </w:pPr>
      <w:r>
        <w:rPr>
          <w:b/>
          <w:sz w:val="18"/>
        </w:rPr>
        <w:t>MODULE</w:t>
      </w:r>
      <w:r>
        <w:rPr>
          <w:b/>
          <w:spacing w:val="-3"/>
          <w:sz w:val="18"/>
        </w:rPr>
        <w:t> </w:t>
      </w:r>
      <w:r>
        <w:rPr>
          <w:b/>
          <w:sz w:val="18"/>
        </w:rPr>
        <w:t>C</w:t>
      </w:r>
      <w:r>
        <w:rPr>
          <w:b/>
          <w:spacing w:val="-4"/>
          <w:sz w:val="18"/>
        </w:rPr>
        <w:t> </w:t>
      </w:r>
      <w:r>
        <w:rPr>
          <w:b/>
          <w:sz w:val="18"/>
        </w:rPr>
        <w:t>–</w:t>
      </w:r>
      <w:r>
        <w:rPr>
          <w:b/>
          <w:spacing w:val="-1"/>
          <w:sz w:val="18"/>
        </w:rPr>
        <w:t> </w:t>
      </w:r>
      <w:r>
        <w:rPr>
          <w:b/>
          <w:sz w:val="18"/>
        </w:rPr>
        <w:t>Health</w:t>
      </w:r>
      <w:r>
        <w:rPr>
          <w:b/>
          <w:spacing w:val="-3"/>
          <w:sz w:val="18"/>
        </w:rPr>
        <w:t> </w:t>
      </w:r>
      <w:r>
        <w:rPr>
          <w:b/>
          <w:sz w:val="18"/>
        </w:rPr>
        <w:t>statements</w:t>
      </w:r>
    </w:p>
    <w:p>
      <w:pPr>
        <w:pStyle w:val="BodyText"/>
        <w:spacing w:before="2"/>
        <w:rPr>
          <w:b/>
          <w:sz w:val="19"/>
        </w:rPr>
      </w:pPr>
    </w:p>
    <w:p>
      <w:pPr>
        <w:tabs>
          <w:tab w:pos="1128" w:val="left" w:leader="none"/>
        </w:tabs>
        <w:spacing w:line="273" w:lineRule="auto" w:before="0"/>
        <w:ind w:left="1128" w:right="883" w:hanging="709"/>
        <w:jc w:val="left"/>
        <w:rPr>
          <w:sz w:val="18"/>
        </w:rPr>
      </w:pPr>
      <w:r>
        <w:rPr>
          <w:sz w:val="18"/>
        </w:rPr>
        <w:t>Q20</w:t>
        <w:tab/>
        <w:t>I’d now like to read you some statements people sometimes make when they talk about their health. Can you</w:t>
      </w:r>
      <w:r>
        <w:rPr>
          <w:spacing w:val="-47"/>
          <w:sz w:val="18"/>
        </w:rPr>
        <w:t> </w:t>
      </w:r>
      <w:r>
        <w:rPr>
          <w:sz w:val="18"/>
        </w:rPr>
        <w:t>tell</w:t>
      </w:r>
      <w:r>
        <w:rPr>
          <w:spacing w:val="-1"/>
          <w:sz w:val="18"/>
        </w:rPr>
        <w:t> </w:t>
      </w:r>
      <w:r>
        <w:rPr>
          <w:sz w:val="18"/>
        </w:rPr>
        <w:t>me how</w:t>
      </w:r>
      <w:r>
        <w:rPr>
          <w:spacing w:val="2"/>
          <w:sz w:val="18"/>
        </w:rPr>
        <w:t> </w:t>
      </w:r>
      <w:r>
        <w:rPr>
          <w:sz w:val="18"/>
        </w:rPr>
        <w:t>much you</w:t>
      </w:r>
      <w:r>
        <w:rPr>
          <w:spacing w:val="1"/>
          <w:sz w:val="18"/>
        </w:rPr>
        <w:t> </w:t>
      </w:r>
      <w:r>
        <w:rPr>
          <w:sz w:val="18"/>
        </w:rPr>
        <w:t>personally</w:t>
      </w:r>
      <w:r>
        <w:rPr>
          <w:spacing w:val="-1"/>
          <w:sz w:val="18"/>
        </w:rPr>
        <w:t> </w:t>
      </w:r>
      <w:r>
        <w:rPr>
          <w:sz w:val="18"/>
        </w:rPr>
        <w:t>agree or</w:t>
      </w:r>
      <w:r>
        <w:rPr>
          <w:spacing w:val="1"/>
          <w:sz w:val="18"/>
        </w:rPr>
        <w:t> </w:t>
      </w:r>
      <w:r>
        <w:rPr>
          <w:sz w:val="18"/>
        </w:rPr>
        <w:t>disagree with</w:t>
      </w:r>
      <w:r>
        <w:rPr>
          <w:spacing w:val="1"/>
          <w:sz w:val="18"/>
        </w:rPr>
        <w:t> </w:t>
      </w:r>
      <w:r>
        <w:rPr>
          <w:sz w:val="18"/>
        </w:rPr>
        <w:t>each statement?</w:t>
      </w:r>
    </w:p>
    <w:p>
      <w:pPr>
        <w:pStyle w:val="BodyText"/>
        <w:spacing w:before="6"/>
        <w:rPr>
          <w:sz w:val="16"/>
        </w:rPr>
      </w:pPr>
    </w:p>
    <w:p>
      <w:pPr>
        <w:pStyle w:val="ListParagraph"/>
        <w:numPr>
          <w:ilvl w:val="1"/>
          <w:numId w:val="158"/>
        </w:numPr>
        <w:tabs>
          <w:tab w:pos="1838" w:val="left" w:leader="none"/>
          <w:tab w:pos="1839" w:val="left" w:leader="none"/>
        </w:tabs>
        <w:spacing w:line="240" w:lineRule="auto" w:before="0" w:after="0"/>
        <w:ind w:left="1838" w:right="0" w:hanging="699"/>
        <w:jc w:val="left"/>
        <w:rPr>
          <w:sz w:val="18"/>
        </w:rPr>
      </w:pPr>
      <w:r>
        <w:rPr>
          <w:sz w:val="18"/>
        </w:rPr>
        <w:t>When</w:t>
      </w:r>
      <w:r>
        <w:rPr>
          <w:spacing w:val="-1"/>
          <w:sz w:val="18"/>
        </w:rPr>
        <w:t> </w:t>
      </w:r>
      <w:r>
        <w:rPr>
          <w:sz w:val="18"/>
        </w:rPr>
        <w:t>all</w:t>
      </w:r>
      <w:r>
        <w:rPr>
          <w:spacing w:val="-2"/>
          <w:sz w:val="18"/>
        </w:rPr>
        <w:t> </w:t>
      </w:r>
      <w:r>
        <w:rPr>
          <w:sz w:val="18"/>
        </w:rPr>
        <w:t>is</w:t>
      </w:r>
      <w:r>
        <w:rPr>
          <w:spacing w:val="-2"/>
          <w:sz w:val="18"/>
        </w:rPr>
        <w:t> </w:t>
      </w:r>
      <w:r>
        <w:rPr>
          <w:sz w:val="18"/>
        </w:rPr>
        <w:t>said</w:t>
      </w:r>
      <w:r>
        <w:rPr>
          <w:spacing w:val="-3"/>
          <w:sz w:val="18"/>
        </w:rPr>
        <w:t> </w:t>
      </w:r>
      <w:r>
        <w:rPr>
          <w:sz w:val="18"/>
        </w:rPr>
        <w:t>and</w:t>
      </w:r>
      <w:r>
        <w:rPr>
          <w:spacing w:val="-2"/>
          <w:sz w:val="18"/>
        </w:rPr>
        <w:t> </w:t>
      </w:r>
      <w:r>
        <w:rPr>
          <w:sz w:val="18"/>
        </w:rPr>
        <w:t>done,</w:t>
      </w:r>
      <w:r>
        <w:rPr>
          <w:spacing w:val="-5"/>
          <w:sz w:val="18"/>
        </w:rPr>
        <w:t> </w:t>
      </w:r>
      <w:r>
        <w:rPr>
          <w:sz w:val="18"/>
        </w:rPr>
        <w:t>I</w:t>
      </w:r>
      <w:r>
        <w:rPr>
          <w:spacing w:val="1"/>
          <w:sz w:val="18"/>
        </w:rPr>
        <w:t> </w:t>
      </w:r>
      <w:r>
        <w:rPr>
          <w:sz w:val="18"/>
        </w:rPr>
        <w:t>am</w:t>
      </w:r>
      <w:r>
        <w:rPr>
          <w:spacing w:val="-5"/>
          <w:sz w:val="18"/>
        </w:rPr>
        <w:t> </w:t>
      </w:r>
      <w:r>
        <w:rPr>
          <w:sz w:val="18"/>
        </w:rPr>
        <w:t>the</w:t>
      </w:r>
      <w:r>
        <w:rPr>
          <w:spacing w:val="-1"/>
          <w:sz w:val="18"/>
        </w:rPr>
        <w:t> </w:t>
      </w:r>
      <w:r>
        <w:rPr>
          <w:sz w:val="18"/>
        </w:rPr>
        <w:t>person</w:t>
      </w:r>
      <w:r>
        <w:rPr>
          <w:spacing w:val="-1"/>
          <w:sz w:val="18"/>
        </w:rPr>
        <w:t> </w:t>
      </w:r>
      <w:r>
        <w:rPr>
          <w:sz w:val="18"/>
        </w:rPr>
        <w:t>who</w:t>
      </w:r>
      <w:r>
        <w:rPr>
          <w:spacing w:val="-3"/>
          <w:sz w:val="18"/>
        </w:rPr>
        <w:t> </w:t>
      </w:r>
      <w:r>
        <w:rPr>
          <w:sz w:val="18"/>
        </w:rPr>
        <w:t>is</w:t>
      </w:r>
      <w:r>
        <w:rPr>
          <w:spacing w:val="-2"/>
          <w:sz w:val="18"/>
        </w:rPr>
        <w:t> </w:t>
      </w:r>
      <w:r>
        <w:rPr>
          <w:sz w:val="18"/>
        </w:rPr>
        <w:t>responsible</w:t>
      </w:r>
      <w:r>
        <w:rPr>
          <w:spacing w:val="-4"/>
          <w:sz w:val="18"/>
        </w:rPr>
        <w:t> </w:t>
      </w:r>
      <w:r>
        <w:rPr>
          <w:sz w:val="18"/>
        </w:rPr>
        <w:t>for</w:t>
      </w:r>
      <w:r>
        <w:rPr>
          <w:spacing w:val="-1"/>
          <w:sz w:val="18"/>
        </w:rPr>
        <w:t> </w:t>
      </w:r>
      <w:r>
        <w:rPr>
          <w:sz w:val="18"/>
        </w:rPr>
        <w:t>managing</w:t>
      </w:r>
      <w:r>
        <w:rPr>
          <w:spacing w:val="-2"/>
          <w:sz w:val="18"/>
        </w:rPr>
        <w:t> </w:t>
      </w:r>
      <w:r>
        <w:rPr>
          <w:sz w:val="18"/>
        </w:rPr>
        <w:t>my</w:t>
      </w:r>
      <w:r>
        <w:rPr>
          <w:spacing w:val="-1"/>
          <w:sz w:val="18"/>
        </w:rPr>
        <w:t> </w:t>
      </w:r>
      <w:r>
        <w:rPr>
          <w:sz w:val="18"/>
        </w:rPr>
        <w:t>health condition(s).</w:t>
      </w:r>
    </w:p>
    <w:p>
      <w:pPr>
        <w:pStyle w:val="BodyText"/>
        <w:rPr>
          <w:sz w:val="19"/>
        </w:rPr>
      </w:pPr>
    </w:p>
    <w:p>
      <w:pPr>
        <w:pStyle w:val="ListParagraph"/>
        <w:numPr>
          <w:ilvl w:val="2"/>
          <w:numId w:val="158"/>
        </w:numPr>
        <w:tabs>
          <w:tab w:pos="2580" w:val="left" w:leader="none"/>
          <w:tab w:pos="2581" w:val="left" w:leader="none"/>
        </w:tabs>
        <w:spacing w:line="240" w:lineRule="auto" w:before="0" w:after="0"/>
        <w:ind w:left="2580" w:right="0" w:hanging="721"/>
        <w:jc w:val="left"/>
        <w:rPr>
          <w:sz w:val="18"/>
        </w:rPr>
      </w:pPr>
      <w:r>
        <w:rPr>
          <w:sz w:val="18"/>
        </w:rPr>
        <w:t>Strongly</w:t>
      </w:r>
      <w:r>
        <w:rPr>
          <w:spacing w:val="-4"/>
          <w:sz w:val="18"/>
        </w:rPr>
        <w:t> </w:t>
      </w:r>
      <w:r>
        <w:rPr>
          <w:sz w:val="18"/>
        </w:rPr>
        <w:t>disagree</w:t>
      </w:r>
    </w:p>
    <w:p>
      <w:pPr>
        <w:pStyle w:val="ListParagraph"/>
        <w:numPr>
          <w:ilvl w:val="2"/>
          <w:numId w:val="158"/>
        </w:numPr>
        <w:tabs>
          <w:tab w:pos="2580" w:val="left" w:leader="none"/>
          <w:tab w:pos="2581" w:val="left" w:leader="none"/>
        </w:tabs>
        <w:spacing w:line="240" w:lineRule="auto" w:before="34" w:after="0"/>
        <w:ind w:left="2580" w:right="0" w:hanging="721"/>
        <w:jc w:val="left"/>
        <w:rPr>
          <w:sz w:val="18"/>
        </w:rPr>
      </w:pPr>
      <w:r>
        <w:rPr>
          <w:sz w:val="18"/>
        </w:rPr>
        <w:t>Disagree</w:t>
      </w:r>
    </w:p>
    <w:p>
      <w:pPr>
        <w:pStyle w:val="ListParagraph"/>
        <w:numPr>
          <w:ilvl w:val="2"/>
          <w:numId w:val="158"/>
        </w:numPr>
        <w:tabs>
          <w:tab w:pos="2580" w:val="left" w:leader="none"/>
          <w:tab w:pos="2581" w:val="left" w:leader="none"/>
        </w:tabs>
        <w:spacing w:line="240" w:lineRule="auto" w:before="34" w:after="0"/>
        <w:ind w:left="2580" w:right="0" w:hanging="721"/>
        <w:jc w:val="left"/>
        <w:rPr>
          <w:sz w:val="18"/>
        </w:rPr>
      </w:pPr>
      <w:r>
        <w:rPr>
          <w:sz w:val="18"/>
        </w:rPr>
        <w:t>Agree</w:t>
      </w:r>
    </w:p>
    <w:p>
      <w:pPr>
        <w:pStyle w:val="ListParagraph"/>
        <w:numPr>
          <w:ilvl w:val="2"/>
          <w:numId w:val="158"/>
        </w:numPr>
        <w:tabs>
          <w:tab w:pos="2580" w:val="left" w:leader="none"/>
          <w:tab w:pos="2581" w:val="left" w:leader="none"/>
        </w:tabs>
        <w:spacing w:line="240" w:lineRule="auto" w:before="33" w:after="0"/>
        <w:ind w:left="2580" w:right="0" w:hanging="721"/>
        <w:jc w:val="left"/>
        <w:rPr>
          <w:sz w:val="18"/>
        </w:rPr>
      </w:pPr>
      <w:r>
        <w:rPr>
          <w:sz w:val="18"/>
        </w:rPr>
        <w:t>Strongly</w:t>
      </w:r>
      <w:r>
        <w:rPr>
          <w:spacing w:val="-4"/>
          <w:sz w:val="18"/>
        </w:rPr>
        <w:t> </w:t>
      </w:r>
      <w:r>
        <w:rPr>
          <w:sz w:val="18"/>
        </w:rPr>
        <w:t>agree</w:t>
      </w:r>
    </w:p>
    <w:p>
      <w:pPr>
        <w:pStyle w:val="ListParagraph"/>
        <w:numPr>
          <w:ilvl w:val="0"/>
          <w:numId w:val="159"/>
        </w:numPr>
        <w:tabs>
          <w:tab w:pos="2580" w:val="left" w:leader="none"/>
          <w:tab w:pos="2581" w:val="left" w:leader="none"/>
        </w:tabs>
        <w:spacing w:line="240" w:lineRule="auto" w:before="32" w:after="0"/>
        <w:ind w:left="2580" w:right="0" w:hanging="721"/>
        <w:jc w:val="left"/>
        <w:rPr>
          <w:sz w:val="18"/>
        </w:rPr>
      </w:pPr>
      <w:r>
        <w:rPr>
          <w:sz w:val="18"/>
        </w:rPr>
        <w:t>(Don’t</w:t>
      </w:r>
      <w:r>
        <w:rPr>
          <w:spacing w:val="-3"/>
          <w:sz w:val="18"/>
        </w:rPr>
        <w:t> </w:t>
      </w:r>
      <w:r>
        <w:rPr>
          <w:sz w:val="18"/>
        </w:rPr>
        <w:t>know)</w:t>
      </w:r>
    </w:p>
    <w:p>
      <w:pPr>
        <w:pStyle w:val="ListParagraph"/>
        <w:numPr>
          <w:ilvl w:val="0"/>
          <w:numId w:val="159"/>
        </w:numPr>
        <w:tabs>
          <w:tab w:pos="2580" w:val="left" w:leader="none"/>
          <w:tab w:pos="2581" w:val="left" w:leader="none"/>
        </w:tabs>
        <w:spacing w:line="240" w:lineRule="auto" w:before="34" w:after="0"/>
        <w:ind w:left="2580" w:right="0" w:hanging="721"/>
        <w:jc w:val="left"/>
        <w:rPr>
          <w:sz w:val="18"/>
        </w:rPr>
      </w:pPr>
      <w:r>
        <w:rPr>
          <w:sz w:val="18"/>
        </w:rPr>
        <w:t>(Refused)</w:t>
      </w:r>
    </w:p>
    <w:p>
      <w:pPr>
        <w:pStyle w:val="BodyText"/>
        <w:rPr>
          <w:sz w:val="19"/>
        </w:rPr>
      </w:pPr>
    </w:p>
    <w:p>
      <w:pPr>
        <w:pStyle w:val="ListParagraph"/>
        <w:numPr>
          <w:ilvl w:val="1"/>
          <w:numId w:val="158"/>
        </w:numPr>
        <w:tabs>
          <w:tab w:pos="1838" w:val="left" w:leader="none"/>
          <w:tab w:pos="1839" w:val="left" w:leader="none"/>
        </w:tabs>
        <w:spacing w:line="276" w:lineRule="auto" w:before="0" w:after="0"/>
        <w:ind w:left="1838" w:right="868" w:hanging="699"/>
        <w:jc w:val="left"/>
        <w:rPr>
          <w:sz w:val="18"/>
        </w:rPr>
      </w:pPr>
      <w:r>
        <w:rPr>
          <w:sz w:val="18"/>
        </w:rPr>
        <w:t>Taking an active role in my own health care is the most important factor in determining my health and</w:t>
      </w:r>
      <w:r>
        <w:rPr>
          <w:spacing w:val="-47"/>
          <w:sz w:val="18"/>
        </w:rPr>
        <w:t> </w:t>
      </w:r>
      <w:r>
        <w:rPr>
          <w:sz w:val="18"/>
        </w:rPr>
        <w:t>ability</w:t>
      </w:r>
      <w:r>
        <w:rPr>
          <w:spacing w:val="-1"/>
          <w:sz w:val="18"/>
        </w:rPr>
        <w:t> </w:t>
      </w:r>
      <w:r>
        <w:rPr>
          <w:sz w:val="18"/>
        </w:rPr>
        <w:t>to function.</w:t>
      </w:r>
    </w:p>
    <w:p>
      <w:pPr>
        <w:pStyle w:val="BodyText"/>
        <w:spacing w:before="4"/>
        <w:rPr>
          <w:sz w:val="16"/>
        </w:rPr>
      </w:pPr>
    </w:p>
    <w:p>
      <w:pPr>
        <w:pStyle w:val="ListParagraph"/>
        <w:numPr>
          <w:ilvl w:val="2"/>
          <w:numId w:val="158"/>
        </w:numPr>
        <w:tabs>
          <w:tab w:pos="2580" w:val="left" w:leader="none"/>
          <w:tab w:pos="2581" w:val="left" w:leader="none"/>
        </w:tabs>
        <w:spacing w:line="240" w:lineRule="auto" w:before="0" w:after="0"/>
        <w:ind w:left="2580" w:right="0" w:hanging="721"/>
        <w:jc w:val="left"/>
        <w:rPr>
          <w:sz w:val="18"/>
        </w:rPr>
      </w:pPr>
      <w:r>
        <w:rPr>
          <w:sz w:val="18"/>
        </w:rPr>
        <w:t>Strongly</w:t>
      </w:r>
      <w:r>
        <w:rPr>
          <w:spacing w:val="-4"/>
          <w:sz w:val="18"/>
        </w:rPr>
        <w:t> </w:t>
      </w:r>
      <w:r>
        <w:rPr>
          <w:sz w:val="18"/>
        </w:rPr>
        <w:t>disagree</w:t>
      </w:r>
    </w:p>
    <w:p>
      <w:pPr>
        <w:pStyle w:val="ListParagraph"/>
        <w:numPr>
          <w:ilvl w:val="2"/>
          <w:numId w:val="158"/>
        </w:numPr>
        <w:tabs>
          <w:tab w:pos="2580" w:val="left" w:leader="none"/>
          <w:tab w:pos="2581" w:val="left" w:leader="none"/>
        </w:tabs>
        <w:spacing w:line="240" w:lineRule="auto" w:before="34" w:after="0"/>
        <w:ind w:left="2580" w:right="0" w:hanging="721"/>
        <w:jc w:val="left"/>
        <w:rPr>
          <w:sz w:val="18"/>
        </w:rPr>
      </w:pPr>
      <w:r>
        <w:rPr>
          <w:sz w:val="18"/>
        </w:rPr>
        <w:t>Disagree</w:t>
      </w:r>
    </w:p>
    <w:p>
      <w:pPr>
        <w:pStyle w:val="ListParagraph"/>
        <w:numPr>
          <w:ilvl w:val="2"/>
          <w:numId w:val="158"/>
        </w:numPr>
        <w:tabs>
          <w:tab w:pos="2580" w:val="left" w:leader="none"/>
          <w:tab w:pos="2581" w:val="left" w:leader="none"/>
        </w:tabs>
        <w:spacing w:line="240" w:lineRule="auto" w:before="33" w:after="0"/>
        <w:ind w:left="2580" w:right="0" w:hanging="721"/>
        <w:jc w:val="left"/>
        <w:rPr>
          <w:sz w:val="18"/>
        </w:rPr>
      </w:pPr>
      <w:r>
        <w:rPr>
          <w:sz w:val="18"/>
        </w:rPr>
        <w:t>Agree</w:t>
      </w:r>
    </w:p>
    <w:p>
      <w:pPr>
        <w:pStyle w:val="ListParagraph"/>
        <w:numPr>
          <w:ilvl w:val="2"/>
          <w:numId w:val="158"/>
        </w:numPr>
        <w:tabs>
          <w:tab w:pos="2580" w:val="left" w:leader="none"/>
          <w:tab w:pos="2581" w:val="left" w:leader="none"/>
        </w:tabs>
        <w:spacing w:line="240" w:lineRule="auto" w:before="32" w:after="0"/>
        <w:ind w:left="2580" w:right="0" w:hanging="721"/>
        <w:jc w:val="left"/>
        <w:rPr>
          <w:sz w:val="18"/>
        </w:rPr>
      </w:pPr>
      <w:r>
        <w:rPr>
          <w:sz w:val="18"/>
        </w:rPr>
        <w:t>Strongly</w:t>
      </w:r>
      <w:r>
        <w:rPr>
          <w:spacing w:val="-4"/>
          <w:sz w:val="18"/>
        </w:rPr>
        <w:t> </w:t>
      </w:r>
      <w:r>
        <w:rPr>
          <w:sz w:val="18"/>
        </w:rPr>
        <w:t>agree</w:t>
      </w:r>
    </w:p>
    <w:p>
      <w:pPr>
        <w:pStyle w:val="ListParagraph"/>
        <w:numPr>
          <w:ilvl w:val="0"/>
          <w:numId w:val="160"/>
        </w:numPr>
        <w:tabs>
          <w:tab w:pos="2580" w:val="left" w:leader="none"/>
          <w:tab w:pos="2581" w:val="left" w:leader="none"/>
        </w:tabs>
        <w:spacing w:line="240" w:lineRule="auto" w:before="33" w:after="0"/>
        <w:ind w:left="2580" w:right="0" w:hanging="721"/>
        <w:jc w:val="left"/>
        <w:rPr>
          <w:sz w:val="18"/>
        </w:rPr>
      </w:pPr>
      <w:r>
        <w:rPr>
          <w:sz w:val="18"/>
        </w:rPr>
        <w:t>(Don’t</w:t>
      </w:r>
      <w:r>
        <w:rPr>
          <w:spacing w:val="-3"/>
          <w:sz w:val="18"/>
        </w:rPr>
        <w:t> </w:t>
      </w:r>
      <w:r>
        <w:rPr>
          <w:sz w:val="18"/>
        </w:rPr>
        <w:t>know)</w:t>
      </w:r>
    </w:p>
    <w:p>
      <w:pPr>
        <w:pStyle w:val="ListParagraph"/>
        <w:numPr>
          <w:ilvl w:val="0"/>
          <w:numId w:val="160"/>
        </w:numPr>
        <w:tabs>
          <w:tab w:pos="2580" w:val="left" w:leader="none"/>
          <w:tab w:pos="2581" w:val="left" w:leader="none"/>
        </w:tabs>
        <w:spacing w:line="240" w:lineRule="auto" w:before="34" w:after="0"/>
        <w:ind w:left="2580" w:right="0" w:hanging="721"/>
        <w:jc w:val="left"/>
        <w:rPr>
          <w:sz w:val="18"/>
        </w:rPr>
      </w:pPr>
      <w:r>
        <w:rPr>
          <w:sz w:val="18"/>
        </w:rPr>
        <w:t>(Refused)</w:t>
      </w:r>
    </w:p>
    <w:p>
      <w:pPr>
        <w:pStyle w:val="BodyText"/>
        <w:rPr>
          <w:sz w:val="19"/>
        </w:rPr>
      </w:pPr>
    </w:p>
    <w:p>
      <w:pPr>
        <w:pStyle w:val="ListParagraph"/>
        <w:numPr>
          <w:ilvl w:val="1"/>
          <w:numId w:val="158"/>
        </w:numPr>
        <w:tabs>
          <w:tab w:pos="1838" w:val="left" w:leader="none"/>
          <w:tab w:pos="1839" w:val="left" w:leader="none"/>
        </w:tabs>
        <w:spacing w:line="240" w:lineRule="auto" w:before="0" w:after="0"/>
        <w:ind w:left="1838" w:right="0" w:hanging="699"/>
        <w:jc w:val="left"/>
        <w:rPr>
          <w:sz w:val="18"/>
        </w:rPr>
      </w:pPr>
      <w:r>
        <w:rPr>
          <w:sz w:val="18"/>
        </w:rPr>
        <w:t>I</w:t>
      </w:r>
      <w:r>
        <w:rPr>
          <w:spacing w:val="-2"/>
          <w:sz w:val="18"/>
        </w:rPr>
        <w:t> </w:t>
      </w:r>
      <w:r>
        <w:rPr>
          <w:sz w:val="18"/>
        </w:rPr>
        <w:t>know</w:t>
      </w:r>
      <w:r>
        <w:rPr>
          <w:spacing w:val="-3"/>
          <w:sz w:val="18"/>
        </w:rPr>
        <w:t> </w:t>
      </w:r>
      <w:r>
        <w:rPr>
          <w:sz w:val="18"/>
        </w:rPr>
        <w:t>what</w:t>
      </w:r>
      <w:r>
        <w:rPr>
          <w:spacing w:val="-3"/>
          <w:sz w:val="18"/>
        </w:rPr>
        <w:t> </w:t>
      </w:r>
      <w:r>
        <w:rPr>
          <w:sz w:val="18"/>
        </w:rPr>
        <w:t>each</w:t>
      </w:r>
      <w:r>
        <w:rPr>
          <w:spacing w:val="-1"/>
          <w:sz w:val="18"/>
        </w:rPr>
        <w:t> </w:t>
      </w:r>
      <w:r>
        <w:rPr>
          <w:sz w:val="18"/>
        </w:rPr>
        <w:t>of</w:t>
      </w:r>
      <w:r>
        <w:rPr>
          <w:spacing w:val="-3"/>
          <w:sz w:val="18"/>
        </w:rPr>
        <w:t> </w:t>
      </w:r>
      <w:r>
        <w:rPr>
          <w:sz w:val="18"/>
        </w:rPr>
        <w:t>my</w:t>
      </w:r>
      <w:r>
        <w:rPr>
          <w:spacing w:val="-1"/>
          <w:sz w:val="18"/>
        </w:rPr>
        <w:t> </w:t>
      </w:r>
      <w:r>
        <w:rPr>
          <w:sz w:val="18"/>
        </w:rPr>
        <w:t>prescribed</w:t>
      </w:r>
      <w:r>
        <w:rPr>
          <w:spacing w:val="-2"/>
          <w:sz w:val="18"/>
        </w:rPr>
        <w:t> </w:t>
      </w:r>
      <w:r>
        <w:rPr>
          <w:sz w:val="18"/>
        </w:rPr>
        <w:t>medications do.</w:t>
      </w:r>
    </w:p>
    <w:p>
      <w:pPr>
        <w:pStyle w:val="BodyText"/>
        <w:rPr>
          <w:sz w:val="19"/>
        </w:rPr>
      </w:pPr>
    </w:p>
    <w:p>
      <w:pPr>
        <w:pStyle w:val="ListParagraph"/>
        <w:numPr>
          <w:ilvl w:val="2"/>
          <w:numId w:val="158"/>
        </w:numPr>
        <w:tabs>
          <w:tab w:pos="2580" w:val="left" w:leader="none"/>
          <w:tab w:pos="2581" w:val="left" w:leader="none"/>
        </w:tabs>
        <w:spacing w:line="240" w:lineRule="auto" w:before="1" w:after="0"/>
        <w:ind w:left="2580" w:right="0" w:hanging="721"/>
        <w:jc w:val="left"/>
        <w:rPr>
          <w:sz w:val="18"/>
        </w:rPr>
      </w:pPr>
      <w:r>
        <w:rPr>
          <w:sz w:val="18"/>
        </w:rPr>
        <w:t>Strongly</w:t>
      </w:r>
      <w:r>
        <w:rPr>
          <w:spacing w:val="-4"/>
          <w:sz w:val="18"/>
        </w:rPr>
        <w:t> </w:t>
      </w:r>
      <w:r>
        <w:rPr>
          <w:sz w:val="18"/>
        </w:rPr>
        <w:t>disagree</w:t>
      </w:r>
    </w:p>
    <w:p>
      <w:pPr>
        <w:pStyle w:val="ListParagraph"/>
        <w:numPr>
          <w:ilvl w:val="2"/>
          <w:numId w:val="158"/>
        </w:numPr>
        <w:tabs>
          <w:tab w:pos="2580" w:val="left" w:leader="none"/>
          <w:tab w:pos="2581" w:val="left" w:leader="none"/>
        </w:tabs>
        <w:spacing w:line="240" w:lineRule="auto" w:before="33" w:after="0"/>
        <w:ind w:left="2580" w:right="0" w:hanging="721"/>
        <w:jc w:val="left"/>
        <w:rPr>
          <w:sz w:val="18"/>
        </w:rPr>
      </w:pPr>
      <w:r>
        <w:rPr>
          <w:sz w:val="18"/>
        </w:rPr>
        <w:t>Disagree</w:t>
      </w:r>
    </w:p>
    <w:p>
      <w:pPr>
        <w:pStyle w:val="ListParagraph"/>
        <w:numPr>
          <w:ilvl w:val="2"/>
          <w:numId w:val="158"/>
        </w:numPr>
        <w:tabs>
          <w:tab w:pos="2580" w:val="left" w:leader="none"/>
          <w:tab w:pos="2581" w:val="left" w:leader="none"/>
        </w:tabs>
        <w:spacing w:line="240" w:lineRule="auto" w:before="34" w:after="0"/>
        <w:ind w:left="2580" w:right="0" w:hanging="721"/>
        <w:jc w:val="left"/>
        <w:rPr>
          <w:sz w:val="18"/>
        </w:rPr>
      </w:pPr>
      <w:r>
        <w:rPr>
          <w:sz w:val="18"/>
        </w:rPr>
        <w:t>Agree</w:t>
      </w:r>
    </w:p>
    <w:p>
      <w:pPr>
        <w:pStyle w:val="ListParagraph"/>
        <w:numPr>
          <w:ilvl w:val="2"/>
          <w:numId w:val="158"/>
        </w:numPr>
        <w:tabs>
          <w:tab w:pos="2580" w:val="left" w:leader="none"/>
          <w:tab w:pos="2581" w:val="left" w:leader="none"/>
        </w:tabs>
        <w:spacing w:line="240" w:lineRule="auto" w:before="31" w:after="0"/>
        <w:ind w:left="2580" w:right="0" w:hanging="721"/>
        <w:jc w:val="left"/>
        <w:rPr>
          <w:sz w:val="18"/>
        </w:rPr>
      </w:pPr>
      <w:r>
        <w:rPr>
          <w:sz w:val="18"/>
        </w:rPr>
        <w:t>Strongly</w:t>
      </w:r>
      <w:r>
        <w:rPr>
          <w:spacing w:val="-4"/>
          <w:sz w:val="18"/>
        </w:rPr>
        <w:t> </w:t>
      </w:r>
      <w:r>
        <w:rPr>
          <w:sz w:val="18"/>
        </w:rPr>
        <w:t>agree</w:t>
      </w:r>
    </w:p>
    <w:p>
      <w:pPr>
        <w:pStyle w:val="ListParagraph"/>
        <w:numPr>
          <w:ilvl w:val="0"/>
          <w:numId w:val="161"/>
        </w:numPr>
        <w:tabs>
          <w:tab w:pos="2580" w:val="left" w:leader="none"/>
          <w:tab w:pos="2581" w:val="left" w:leader="none"/>
        </w:tabs>
        <w:spacing w:line="240" w:lineRule="auto" w:before="34" w:after="0"/>
        <w:ind w:left="2580" w:right="0" w:hanging="721"/>
        <w:jc w:val="left"/>
        <w:rPr>
          <w:sz w:val="18"/>
        </w:rPr>
      </w:pPr>
      <w:r>
        <w:rPr>
          <w:sz w:val="18"/>
        </w:rPr>
        <w:t>(Don’t</w:t>
      </w:r>
      <w:r>
        <w:rPr>
          <w:spacing w:val="-3"/>
          <w:sz w:val="18"/>
        </w:rPr>
        <w:t> </w:t>
      </w:r>
      <w:r>
        <w:rPr>
          <w:sz w:val="18"/>
        </w:rPr>
        <w:t>know)</w:t>
      </w:r>
    </w:p>
    <w:p>
      <w:pPr>
        <w:pStyle w:val="ListParagraph"/>
        <w:numPr>
          <w:ilvl w:val="0"/>
          <w:numId w:val="161"/>
        </w:numPr>
        <w:tabs>
          <w:tab w:pos="2580" w:val="left" w:leader="none"/>
          <w:tab w:pos="2581" w:val="left" w:leader="none"/>
        </w:tabs>
        <w:spacing w:line="240" w:lineRule="auto" w:before="34" w:after="0"/>
        <w:ind w:left="2580" w:right="0" w:hanging="721"/>
        <w:jc w:val="left"/>
        <w:rPr>
          <w:sz w:val="18"/>
        </w:rPr>
      </w:pPr>
      <w:r>
        <w:rPr>
          <w:sz w:val="18"/>
        </w:rPr>
        <w:t>(Refused)</w:t>
      </w:r>
    </w:p>
    <w:p>
      <w:pPr>
        <w:pStyle w:val="BodyText"/>
        <w:rPr>
          <w:sz w:val="19"/>
        </w:rPr>
      </w:pPr>
    </w:p>
    <w:p>
      <w:pPr>
        <w:pStyle w:val="ListParagraph"/>
        <w:numPr>
          <w:ilvl w:val="1"/>
          <w:numId w:val="158"/>
        </w:numPr>
        <w:tabs>
          <w:tab w:pos="1838" w:val="left" w:leader="none"/>
          <w:tab w:pos="1839" w:val="left" w:leader="none"/>
        </w:tabs>
        <w:spacing w:line="240" w:lineRule="auto" w:before="0" w:after="0"/>
        <w:ind w:left="1838" w:right="0" w:hanging="699"/>
        <w:jc w:val="left"/>
        <w:rPr>
          <w:sz w:val="18"/>
        </w:rPr>
      </w:pPr>
      <w:r>
        <w:rPr>
          <w:sz w:val="18"/>
        </w:rPr>
        <w:t>I</w:t>
      </w:r>
      <w:r>
        <w:rPr>
          <w:spacing w:val="-4"/>
          <w:sz w:val="18"/>
        </w:rPr>
        <w:t> </w:t>
      </w:r>
      <w:r>
        <w:rPr>
          <w:sz w:val="18"/>
        </w:rPr>
        <w:t>understand</w:t>
      </w:r>
      <w:r>
        <w:rPr>
          <w:spacing w:val="-3"/>
          <w:sz w:val="18"/>
        </w:rPr>
        <w:t> </w:t>
      </w:r>
      <w:r>
        <w:rPr>
          <w:sz w:val="18"/>
        </w:rPr>
        <w:t>the</w:t>
      </w:r>
      <w:r>
        <w:rPr>
          <w:spacing w:val="-3"/>
          <w:sz w:val="18"/>
        </w:rPr>
        <w:t> </w:t>
      </w:r>
      <w:r>
        <w:rPr>
          <w:sz w:val="18"/>
        </w:rPr>
        <w:t>nature</w:t>
      </w:r>
      <w:r>
        <w:rPr>
          <w:spacing w:val="-1"/>
          <w:sz w:val="18"/>
        </w:rPr>
        <w:t> </w:t>
      </w:r>
      <w:r>
        <w:rPr>
          <w:sz w:val="18"/>
        </w:rPr>
        <w:t>and</w:t>
      </w:r>
      <w:r>
        <w:rPr>
          <w:spacing w:val="-5"/>
          <w:sz w:val="18"/>
        </w:rPr>
        <w:t> </w:t>
      </w:r>
      <w:r>
        <w:rPr>
          <w:sz w:val="18"/>
        </w:rPr>
        <w:t>causes</w:t>
      </w:r>
      <w:r>
        <w:rPr>
          <w:spacing w:val="-2"/>
          <w:sz w:val="18"/>
        </w:rPr>
        <w:t> </w:t>
      </w:r>
      <w:r>
        <w:rPr>
          <w:sz w:val="18"/>
        </w:rPr>
        <w:t>of</w:t>
      </w:r>
      <w:r>
        <w:rPr>
          <w:spacing w:val="-2"/>
          <w:sz w:val="18"/>
        </w:rPr>
        <w:t> </w:t>
      </w:r>
      <w:r>
        <w:rPr>
          <w:sz w:val="18"/>
        </w:rPr>
        <w:t>my</w:t>
      </w:r>
      <w:r>
        <w:rPr>
          <w:spacing w:val="-4"/>
          <w:sz w:val="18"/>
        </w:rPr>
        <w:t> </w:t>
      </w:r>
      <w:r>
        <w:rPr>
          <w:sz w:val="18"/>
        </w:rPr>
        <w:t>health</w:t>
      </w:r>
      <w:r>
        <w:rPr>
          <w:spacing w:val="-1"/>
          <w:sz w:val="18"/>
        </w:rPr>
        <w:t> </w:t>
      </w:r>
      <w:r>
        <w:rPr>
          <w:sz w:val="18"/>
        </w:rPr>
        <w:t>condition(s).</w:t>
      </w:r>
    </w:p>
    <w:p>
      <w:pPr>
        <w:pStyle w:val="BodyText"/>
        <w:spacing w:before="12"/>
        <w:rPr>
          <w:sz w:val="18"/>
        </w:rPr>
      </w:pPr>
    </w:p>
    <w:p>
      <w:pPr>
        <w:pStyle w:val="ListParagraph"/>
        <w:numPr>
          <w:ilvl w:val="2"/>
          <w:numId w:val="158"/>
        </w:numPr>
        <w:tabs>
          <w:tab w:pos="2580" w:val="left" w:leader="none"/>
          <w:tab w:pos="2581" w:val="left" w:leader="none"/>
        </w:tabs>
        <w:spacing w:line="240" w:lineRule="auto" w:before="0" w:after="0"/>
        <w:ind w:left="2580" w:right="0" w:hanging="721"/>
        <w:jc w:val="left"/>
        <w:rPr>
          <w:sz w:val="18"/>
        </w:rPr>
      </w:pPr>
      <w:r>
        <w:rPr>
          <w:sz w:val="18"/>
        </w:rPr>
        <w:t>Strongly</w:t>
      </w:r>
      <w:r>
        <w:rPr>
          <w:spacing w:val="-4"/>
          <w:sz w:val="18"/>
        </w:rPr>
        <w:t> </w:t>
      </w:r>
      <w:r>
        <w:rPr>
          <w:sz w:val="18"/>
        </w:rPr>
        <w:t>disagree</w:t>
      </w:r>
    </w:p>
    <w:p>
      <w:pPr>
        <w:pStyle w:val="ListParagraph"/>
        <w:numPr>
          <w:ilvl w:val="2"/>
          <w:numId w:val="158"/>
        </w:numPr>
        <w:tabs>
          <w:tab w:pos="2580" w:val="left" w:leader="none"/>
          <w:tab w:pos="2581" w:val="left" w:leader="none"/>
        </w:tabs>
        <w:spacing w:line="240" w:lineRule="auto" w:before="34" w:after="0"/>
        <w:ind w:left="2580" w:right="0" w:hanging="721"/>
        <w:jc w:val="left"/>
        <w:rPr>
          <w:sz w:val="18"/>
        </w:rPr>
      </w:pPr>
      <w:r>
        <w:rPr>
          <w:sz w:val="18"/>
        </w:rPr>
        <w:t>Disagree</w:t>
      </w:r>
    </w:p>
    <w:p>
      <w:pPr>
        <w:pStyle w:val="ListParagraph"/>
        <w:numPr>
          <w:ilvl w:val="2"/>
          <w:numId w:val="158"/>
        </w:numPr>
        <w:tabs>
          <w:tab w:pos="2580" w:val="left" w:leader="none"/>
          <w:tab w:pos="2581" w:val="left" w:leader="none"/>
        </w:tabs>
        <w:spacing w:line="240" w:lineRule="auto" w:before="31" w:after="0"/>
        <w:ind w:left="2580" w:right="0" w:hanging="721"/>
        <w:jc w:val="left"/>
        <w:rPr>
          <w:sz w:val="18"/>
        </w:rPr>
      </w:pPr>
      <w:r>
        <w:rPr>
          <w:sz w:val="18"/>
        </w:rPr>
        <w:t>Agree</w:t>
      </w:r>
    </w:p>
    <w:p>
      <w:pPr>
        <w:pStyle w:val="ListParagraph"/>
        <w:numPr>
          <w:ilvl w:val="2"/>
          <w:numId w:val="158"/>
        </w:numPr>
        <w:tabs>
          <w:tab w:pos="2580" w:val="left" w:leader="none"/>
          <w:tab w:pos="2581" w:val="left" w:leader="none"/>
        </w:tabs>
        <w:spacing w:line="240" w:lineRule="auto" w:before="34" w:after="0"/>
        <w:ind w:left="2580" w:right="0" w:hanging="721"/>
        <w:jc w:val="left"/>
        <w:rPr>
          <w:sz w:val="18"/>
        </w:rPr>
      </w:pPr>
      <w:r>
        <w:rPr>
          <w:sz w:val="18"/>
        </w:rPr>
        <w:t>Strongly</w:t>
      </w:r>
      <w:r>
        <w:rPr>
          <w:spacing w:val="-4"/>
          <w:sz w:val="18"/>
        </w:rPr>
        <w:t> </w:t>
      </w:r>
      <w:r>
        <w:rPr>
          <w:sz w:val="18"/>
        </w:rPr>
        <w:t>agree</w:t>
      </w:r>
    </w:p>
    <w:p>
      <w:pPr>
        <w:pStyle w:val="ListParagraph"/>
        <w:numPr>
          <w:ilvl w:val="0"/>
          <w:numId w:val="162"/>
        </w:numPr>
        <w:tabs>
          <w:tab w:pos="2580" w:val="left" w:leader="none"/>
          <w:tab w:pos="2581" w:val="left" w:leader="none"/>
        </w:tabs>
        <w:spacing w:line="240" w:lineRule="auto" w:before="34" w:after="0"/>
        <w:ind w:left="2580" w:right="0" w:hanging="721"/>
        <w:jc w:val="left"/>
        <w:rPr>
          <w:sz w:val="18"/>
        </w:rPr>
      </w:pPr>
      <w:r>
        <w:rPr>
          <w:sz w:val="18"/>
        </w:rPr>
        <w:t>(Don’t</w:t>
      </w:r>
      <w:r>
        <w:rPr>
          <w:spacing w:val="-3"/>
          <w:sz w:val="18"/>
        </w:rPr>
        <w:t> </w:t>
      </w:r>
      <w:r>
        <w:rPr>
          <w:sz w:val="18"/>
        </w:rPr>
        <w:t>know)</w:t>
      </w:r>
    </w:p>
    <w:p>
      <w:pPr>
        <w:pStyle w:val="ListParagraph"/>
        <w:numPr>
          <w:ilvl w:val="0"/>
          <w:numId w:val="162"/>
        </w:numPr>
        <w:tabs>
          <w:tab w:pos="2580" w:val="left" w:leader="none"/>
          <w:tab w:pos="2581" w:val="left" w:leader="none"/>
        </w:tabs>
        <w:spacing w:line="240" w:lineRule="auto" w:before="33" w:after="0"/>
        <w:ind w:left="2580" w:right="0" w:hanging="721"/>
        <w:jc w:val="left"/>
        <w:rPr>
          <w:sz w:val="18"/>
        </w:rPr>
      </w:pPr>
      <w:r>
        <w:rPr>
          <w:sz w:val="18"/>
        </w:rPr>
        <w:t>(Refused)</w:t>
      </w:r>
    </w:p>
    <w:p>
      <w:pPr>
        <w:pStyle w:val="BodyText"/>
        <w:rPr>
          <w:sz w:val="19"/>
        </w:rPr>
      </w:pPr>
    </w:p>
    <w:p>
      <w:pPr>
        <w:pStyle w:val="ListParagraph"/>
        <w:numPr>
          <w:ilvl w:val="1"/>
          <w:numId w:val="158"/>
        </w:numPr>
        <w:tabs>
          <w:tab w:pos="1838" w:val="left" w:leader="none"/>
          <w:tab w:pos="1839" w:val="left" w:leader="none"/>
        </w:tabs>
        <w:spacing w:line="240" w:lineRule="auto" w:before="0" w:after="0"/>
        <w:ind w:left="1838" w:right="0" w:hanging="699"/>
        <w:jc w:val="left"/>
        <w:rPr>
          <w:sz w:val="18"/>
        </w:rPr>
      </w:pPr>
      <w:r>
        <w:rPr>
          <w:sz w:val="18"/>
        </w:rPr>
        <w:t>I</w:t>
      </w:r>
      <w:r>
        <w:rPr>
          <w:spacing w:val="-4"/>
          <w:sz w:val="18"/>
        </w:rPr>
        <w:t> </w:t>
      </w:r>
      <w:r>
        <w:rPr>
          <w:sz w:val="18"/>
        </w:rPr>
        <w:t>know</w:t>
      </w:r>
      <w:r>
        <w:rPr>
          <w:spacing w:val="-4"/>
          <w:sz w:val="18"/>
        </w:rPr>
        <w:t> </w:t>
      </w:r>
      <w:r>
        <w:rPr>
          <w:sz w:val="18"/>
        </w:rPr>
        <w:t>the</w:t>
      </w:r>
      <w:r>
        <w:rPr>
          <w:spacing w:val="-3"/>
          <w:sz w:val="18"/>
        </w:rPr>
        <w:t> </w:t>
      </w:r>
      <w:r>
        <w:rPr>
          <w:sz w:val="18"/>
        </w:rPr>
        <w:t>different</w:t>
      </w:r>
      <w:r>
        <w:rPr>
          <w:spacing w:val="-2"/>
          <w:sz w:val="18"/>
        </w:rPr>
        <w:t> </w:t>
      </w:r>
      <w:r>
        <w:rPr>
          <w:sz w:val="18"/>
        </w:rPr>
        <w:t>medical</w:t>
      </w:r>
      <w:r>
        <w:rPr>
          <w:spacing w:val="-3"/>
          <w:sz w:val="18"/>
        </w:rPr>
        <w:t> </w:t>
      </w:r>
      <w:r>
        <w:rPr>
          <w:sz w:val="18"/>
        </w:rPr>
        <w:t>treatment</w:t>
      </w:r>
      <w:r>
        <w:rPr>
          <w:spacing w:val="-3"/>
          <w:sz w:val="18"/>
        </w:rPr>
        <w:t> </w:t>
      </w:r>
      <w:r>
        <w:rPr>
          <w:sz w:val="18"/>
        </w:rPr>
        <w:t>options</w:t>
      </w:r>
      <w:r>
        <w:rPr>
          <w:spacing w:val="-4"/>
          <w:sz w:val="18"/>
        </w:rPr>
        <w:t> </w:t>
      </w:r>
      <w:r>
        <w:rPr>
          <w:sz w:val="18"/>
        </w:rPr>
        <w:t>available</w:t>
      </w:r>
      <w:r>
        <w:rPr>
          <w:spacing w:val="-2"/>
          <w:sz w:val="18"/>
        </w:rPr>
        <w:t> </w:t>
      </w:r>
      <w:r>
        <w:rPr>
          <w:sz w:val="18"/>
        </w:rPr>
        <w:t>for</w:t>
      </w:r>
      <w:r>
        <w:rPr>
          <w:spacing w:val="-2"/>
          <w:sz w:val="18"/>
        </w:rPr>
        <w:t> </w:t>
      </w:r>
      <w:r>
        <w:rPr>
          <w:sz w:val="18"/>
        </w:rPr>
        <w:t>my</w:t>
      </w:r>
      <w:r>
        <w:rPr>
          <w:spacing w:val="-4"/>
          <w:sz w:val="18"/>
        </w:rPr>
        <w:t> </w:t>
      </w:r>
      <w:r>
        <w:rPr>
          <w:sz w:val="18"/>
        </w:rPr>
        <w:t>health</w:t>
      </w:r>
      <w:r>
        <w:rPr>
          <w:spacing w:val="-2"/>
          <w:sz w:val="18"/>
        </w:rPr>
        <w:t> </w:t>
      </w:r>
      <w:r>
        <w:rPr>
          <w:sz w:val="18"/>
        </w:rPr>
        <w:t>condition(s).</w:t>
      </w:r>
    </w:p>
    <w:p>
      <w:pPr>
        <w:spacing w:after="0" w:line="240" w:lineRule="auto"/>
        <w:jc w:val="left"/>
        <w:rPr>
          <w:sz w:val="18"/>
        </w:rPr>
        <w:sectPr>
          <w:pgSz w:w="11910" w:h="16840"/>
          <w:pgMar w:header="0" w:footer="948" w:top="860" w:bottom="1140" w:left="300" w:right="0"/>
        </w:sectPr>
      </w:pPr>
    </w:p>
    <w:p>
      <w:pPr>
        <w:pStyle w:val="ListParagraph"/>
        <w:numPr>
          <w:ilvl w:val="2"/>
          <w:numId w:val="158"/>
        </w:numPr>
        <w:tabs>
          <w:tab w:pos="2580" w:val="left" w:leader="none"/>
          <w:tab w:pos="2581" w:val="left" w:leader="none"/>
        </w:tabs>
        <w:spacing w:line="240" w:lineRule="auto" w:before="75" w:after="0"/>
        <w:ind w:left="2580" w:right="0" w:hanging="721"/>
        <w:jc w:val="left"/>
        <w:rPr>
          <w:sz w:val="18"/>
        </w:rPr>
      </w:pPr>
      <w:r>
        <w:rPr>
          <w:sz w:val="18"/>
        </w:rPr>
        <w:t>Strongly</w:t>
      </w:r>
      <w:r>
        <w:rPr>
          <w:spacing w:val="-4"/>
          <w:sz w:val="18"/>
        </w:rPr>
        <w:t> </w:t>
      </w:r>
      <w:r>
        <w:rPr>
          <w:sz w:val="18"/>
        </w:rPr>
        <w:t>disagree</w:t>
      </w:r>
    </w:p>
    <w:p>
      <w:pPr>
        <w:pStyle w:val="ListParagraph"/>
        <w:numPr>
          <w:ilvl w:val="2"/>
          <w:numId w:val="158"/>
        </w:numPr>
        <w:tabs>
          <w:tab w:pos="2580" w:val="left" w:leader="none"/>
          <w:tab w:pos="2581" w:val="left" w:leader="none"/>
        </w:tabs>
        <w:spacing w:line="240" w:lineRule="auto" w:before="32" w:after="0"/>
        <w:ind w:left="2580" w:right="0" w:hanging="721"/>
        <w:jc w:val="left"/>
        <w:rPr>
          <w:sz w:val="18"/>
        </w:rPr>
      </w:pPr>
      <w:r>
        <w:rPr>
          <w:sz w:val="18"/>
        </w:rPr>
        <w:t>Disagree</w:t>
      </w:r>
    </w:p>
    <w:p>
      <w:pPr>
        <w:pStyle w:val="ListParagraph"/>
        <w:numPr>
          <w:ilvl w:val="2"/>
          <w:numId w:val="158"/>
        </w:numPr>
        <w:tabs>
          <w:tab w:pos="2580" w:val="left" w:leader="none"/>
          <w:tab w:pos="2581" w:val="left" w:leader="none"/>
        </w:tabs>
        <w:spacing w:line="240" w:lineRule="auto" w:before="34" w:after="0"/>
        <w:ind w:left="2580" w:right="0" w:hanging="721"/>
        <w:jc w:val="left"/>
        <w:rPr>
          <w:sz w:val="18"/>
        </w:rPr>
      </w:pPr>
      <w:r>
        <w:rPr>
          <w:sz w:val="18"/>
        </w:rPr>
        <w:t>Agree</w:t>
      </w:r>
    </w:p>
    <w:p>
      <w:pPr>
        <w:pStyle w:val="ListParagraph"/>
        <w:numPr>
          <w:ilvl w:val="2"/>
          <w:numId w:val="158"/>
        </w:numPr>
        <w:tabs>
          <w:tab w:pos="2580" w:val="left" w:leader="none"/>
          <w:tab w:pos="2581" w:val="left" w:leader="none"/>
        </w:tabs>
        <w:spacing w:line="240" w:lineRule="auto" w:before="34" w:after="0"/>
        <w:ind w:left="2580" w:right="0" w:hanging="721"/>
        <w:jc w:val="left"/>
        <w:rPr>
          <w:sz w:val="18"/>
        </w:rPr>
      </w:pPr>
      <w:r>
        <w:rPr>
          <w:sz w:val="18"/>
        </w:rPr>
        <w:t>Strongly</w:t>
      </w:r>
      <w:r>
        <w:rPr>
          <w:spacing w:val="-4"/>
          <w:sz w:val="18"/>
        </w:rPr>
        <w:t> </w:t>
      </w:r>
      <w:r>
        <w:rPr>
          <w:sz w:val="18"/>
        </w:rPr>
        <w:t>agree</w:t>
      </w:r>
    </w:p>
    <w:p>
      <w:pPr>
        <w:pStyle w:val="ListParagraph"/>
        <w:numPr>
          <w:ilvl w:val="0"/>
          <w:numId w:val="163"/>
        </w:numPr>
        <w:tabs>
          <w:tab w:pos="2580" w:val="left" w:leader="none"/>
          <w:tab w:pos="2581" w:val="left" w:leader="none"/>
        </w:tabs>
        <w:spacing w:line="240" w:lineRule="auto" w:before="33" w:after="0"/>
        <w:ind w:left="2580" w:right="0" w:hanging="721"/>
        <w:jc w:val="left"/>
        <w:rPr>
          <w:sz w:val="18"/>
        </w:rPr>
      </w:pPr>
      <w:r>
        <w:rPr>
          <w:sz w:val="18"/>
        </w:rPr>
        <w:t>(Don’t</w:t>
      </w:r>
      <w:r>
        <w:rPr>
          <w:spacing w:val="-3"/>
          <w:sz w:val="18"/>
        </w:rPr>
        <w:t> </w:t>
      </w:r>
      <w:r>
        <w:rPr>
          <w:sz w:val="18"/>
        </w:rPr>
        <w:t>know)</w:t>
      </w:r>
    </w:p>
    <w:p>
      <w:pPr>
        <w:pStyle w:val="ListParagraph"/>
        <w:numPr>
          <w:ilvl w:val="0"/>
          <w:numId w:val="163"/>
        </w:numPr>
        <w:tabs>
          <w:tab w:pos="2580" w:val="left" w:leader="none"/>
          <w:tab w:pos="2581" w:val="left" w:leader="none"/>
        </w:tabs>
        <w:spacing w:line="240" w:lineRule="auto" w:before="32" w:after="0"/>
        <w:ind w:left="2580" w:right="0" w:hanging="721"/>
        <w:jc w:val="left"/>
        <w:rPr>
          <w:sz w:val="18"/>
        </w:rPr>
      </w:pPr>
      <w:r>
        <w:rPr>
          <w:sz w:val="18"/>
        </w:rPr>
        <w:t>(Refused)</w:t>
      </w:r>
    </w:p>
    <w:p>
      <w:pPr>
        <w:pStyle w:val="BodyText"/>
        <w:spacing w:before="12"/>
        <w:rPr>
          <w:sz w:val="18"/>
        </w:rPr>
      </w:pPr>
    </w:p>
    <w:p>
      <w:pPr>
        <w:pStyle w:val="ListParagraph"/>
        <w:numPr>
          <w:ilvl w:val="1"/>
          <w:numId w:val="158"/>
        </w:numPr>
        <w:tabs>
          <w:tab w:pos="1838" w:val="left" w:leader="none"/>
          <w:tab w:pos="1839" w:val="left" w:leader="none"/>
        </w:tabs>
        <w:spacing w:line="240" w:lineRule="auto" w:before="0" w:after="0"/>
        <w:ind w:left="1838" w:right="0" w:hanging="699"/>
        <w:jc w:val="left"/>
        <w:rPr>
          <w:sz w:val="18"/>
        </w:rPr>
      </w:pPr>
      <w:r>
        <w:rPr>
          <w:sz w:val="18"/>
        </w:rPr>
        <w:t>I</w:t>
      </w:r>
      <w:r>
        <w:rPr>
          <w:spacing w:val="-4"/>
          <w:sz w:val="18"/>
        </w:rPr>
        <w:t> </w:t>
      </w:r>
      <w:r>
        <w:rPr>
          <w:sz w:val="18"/>
        </w:rPr>
        <w:t>have</w:t>
      </w:r>
      <w:r>
        <w:rPr>
          <w:spacing w:val="-2"/>
          <w:sz w:val="18"/>
        </w:rPr>
        <w:t> </w:t>
      </w:r>
      <w:r>
        <w:rPr>
          <w:sz w:val="18"/>
        </w:rPr>
        <w:t>been</w:t>
      </w:r>
      <w:r>
        <w:rPr>
          <w:spacing w:val="-2"/>
          <w:sz w:val="18"/>
        </w:rPr>
        <w:t> </w:t>
      </w:r>
      <w:r>
        <w:rPr>
          <w:sz w:val="18"/>
        </w:rPr>
        <w:t>able</w:t>
      </w:r>
      <w:r>
        <w:rPr>
          <w:spacing w:val="-3"/>
          <w:sz w:val="18"/>
        </w:rPr>
        <w:t> </w:t>
      </w:r>
      <w:r>
        <w:rPr>
          <w:sz w:val="18"/>
        </w:rPr>
        <w:t>to</w:t>
      </w:r>
      <w:r>
        <w:rPr>
          <w:spacing w:val="-3"/>
          <w:sz w:val="18"/>
        </w:rPr>
        <w:t> </w:t>
      </w:r>
      <w:r>
        <w:rPr>
          <w:sz w:val="18"/>
        </w:rPr>
        <w:t>maintain</w:t>
      </w:r>
      <w:r>
        <w:rPr>
          <w:spacing w:val="-2"/>
          <w:sz w:val="18"/>
        </w:rPr>
        <w:t> </w:t>
      </w:r>
      <w:r>
        <w:rPr>
          <w:sz w:val="18"/>
        </w:rPr>
        <w:t>the</w:t>
      </w:r>
      <w:r>
        <w:rPr>
          <w:spacing w:val="-2"/>
          <w:sz w:val="18"/>
        </w:rPr>
        <w:t> </w:t>
      </w:r>
      <w:r>
        <w:rPr>
          <w:sz w:val="18"/>
        </w:rPr>
        <w:t>lifestyle</w:t>
      </w:r>
      <w:r>
        <w:rPr>
          <w:spacing w:val="-5"/>
          <w:sz w:val="18"/>
        </w:rPr>
        <w:t> </w:t>
      </w:r>
      <w:r>
        <w:rPr>
          <w:sz w:val="18"/>
        </w:rPr>
        <w:t>changes</w:t>
      </w:r>
      <w:r>
        <w:rPr>
          <w:spacing w:val="-2"/>
          <w:sz w:val="18"/>
        </w:rPr>
        <w:t> </w:t>
      </w:r>
      <w:r>
        <w:rPr>
          <w:sz w:val="18"/>
        </w:rPr>
        <w:t>for</w:t>
      </w:r>
      <w:r>
        <w:rPr>
          <w:spacing w:val="-2"/>
          <w:sz w:val="18"/>
        </w:rPr>
        <w:t> </w:t>
      </w:r>
      <w:r>
        <w:rPr>
          <w:sz w:val="18"/>
        </w:rPr>
        <w:t>my</w:t>
      </w:r>
      <w:r>
        <w:rPr>
          <w:spacing w:val="-3"/>
          <w:sz w:val="18"/>
        </w:rPr>
        <w:t> </w:t>
      </w:r>
      <w:r>
        <w:rPr>
          <w:sz w:val="18"/>
        </w:rPr>
        <w:t>health</w:t>
      </w:r>
      <w:r>
        <w:rPr>
          <w:spacing w:val="-2"/>
          <w:sz w:val="18"/>
        </w:rPr>
        <w:t> </w:t>
      </w:r>
      <w:r>
        <w:rPr>
          <w:sz w:val="18"/>
        </w:rPr>
        <w:t>that</w:t>
      </w:r>
      <w:r>
        <w:rPr>
          <w:spacing w:val="-6"/>
          <w:sz w:val="18"/>
        </w:rPr>
        <w:t> </w:t>
      </w:r>
      <w:r>
        <w:rPr>
          <w:sz w:val="18"/>
        </w:rPr>
        <w:t>I</w:t>
      </w:r>
      <w:r>
        <w:rPr>
          <w:spacing w:val="1"/>
          <w:sz w:val="18"/>
        </w:rPr>
        <w:t> </w:t>
      </w:r>
      <w:r>
        <w:rPr>
          <w:sz w:val="18"/>
        </w:rPr>
        <w:t>have</w:t>
      </w:r>
      <w:r>
        <w:rPr>
          <w:spacing w:val="-2"/>
          <w:sz w:val="18"/>
        </w:rPr>
        <w:t> </w:t>
      </w:r>
      <w:r>
        <w:rPr>
          <w:sz w:val="18"/>
        </w:rPr>
        <w:t>made.</w:t>
      </w:r>
    </w:p>
    <w:p>
      <w:pPr>
        <w:pStyle w:val="BodyText"/>
        <w:spacing w:before="2"/>
        <w:rPr>
          <w:sz w:val="19"/>
        </w:rPr>
      </w:pPr>
    </w:p>
    <w:p>
      <w:pPr>
        <w:pStyle w:val="ListParagraph"/>
        <w:numPr>
          <w:ilvl w:val="2"/>
          <w:numId w:val="158"/>
        </w:numPr>
        <w:tabs>
          <w:tab w:pos="2580" w:val="left" w:leader="none"/>
          <w:tab w:pos="2581" w:val="left" w:leader="none"/>
        </w:tabs>
        <w:spacing w:line="240" w:lineRule="auto" w:before="0" w:after="0"/>
        <w:ind w:left="2580" w:right="0" w:hanging="721"/>
        <w:jc w:val="left"/>
        <w:rPr>
          <w:sz w:val="18"/>
        </w:rPr>
      </w:pPr>
      <w:r>
        <w:rPr>
          <w:sz w:val="18"/>
        </w:rPr>
        <w:t>Strongly</w:t>
      </w:r>
      <w:r>
        <w:rPr>
          <w:spacing w:val="-4"/>
          <w:sz w:val="18"/>
        </w:rPr>
        <w:t> </w:t>
      </w:r>
      <w:r>
        <w:rPr>
          <w:sz w:val="18"/>
        </w:rPr>
        <w:t>disagree</w:t>
      </w:r>
    </w:p>
    <w:p>
      <w:pPr>
        <w:pStyle w:val="ListParagraph"/>
        <w:numPr>
          <w:ilvl w:val="2"/>
          <w:numId w:val="158"/>
        </w:numPr>
        <w:tabs>
          <w:tab w:pos="2580" w:val="left" w:leader="none"/>
          <w:tab w:pos="2581" w:val="left" w:leader="none"/>
        </w:tabs>
        <w:spacing w:line="240" w:lineRule="auto" w:before="31" w:after="0"/>
        <w:ind w:left="2580" w:right="0" w:hanging="721"/>
        <w:jc w:val="left"/>
        <w:rPr>
          <w:sz w:val="18"/>
        </w:rPr>
      </w:pPr>
      <w:r>
        <w:rPr>
          <w:sz w:val="18"/>
        </w:rPr>
        <w:t>Disagree</w:t>
      </w:r>
    </w:p>
    <w:p>
      <w:pPr>
        <w:pStyle w:val="ListParagraph"/>
        <w:numPr>
          <w:ilvl w:val="2"/>
          <w:numId w:val="158"/>
        </w:numPr>
        <w:tabs>
          <w:tab w:pos="2580" w:val="left" w:leader="none"/>
          <w:tab w:pos="2581" w:val="left" w:leader="none"/>
        </w:tabs>
        <w:spacing w:line="240" w:lineRule="auto" w:before="34" w:after="0"/>
        <w:ind w:left="2580" w:right="0" w:hanging="721"/>
        <w:jc w:val="left"/>
        <w:rPr>
          <w:sz w:val="18"/>
        </w:rPr>
      </w:pPr>
      <w:r>
        <w:rPr>
          <w:sz w:val="18"/>
        </w:rPr>
        <w:t>Agree</w:t>
      </w:r>
    </w:p>
    <w:p>
      <w:pPr>
        <w:pStyle w:val="ListParagraph"/>
        <w:numPr>
          <w:ilvl w:val="2"/>
          <w:numId w:val="158"/>
        </w:numPr>
        <w:tabs>
          <w:tab w:pos="2580" w:val="left" w:leader="none"/>
          <w:tab w:pos="2581" w:val="left" w:leader="none"/>
        </w:tabs>
        <w:spacing w:line="240" w:lineRule="auto" w:before="34" w:after="0"/>
        <w:ind w:left="2580" w:right="0" w:hanging="721"/>
        <w:jc w:val="left"/>
        <w:rPr>
          <w:sz w:val="18"/>
        </w:rPr>
      </w:pPr>
      <w:r>
        <w:rPr>
          <w:sz w:val="18"/>
        </w:rPr>
        <w:t>Strongly</w:t>
      </w:r>
      <w:r>
        <w:rPr>
          <w:spacing w:val="-4"/>
          <w:sz w:val="18"/>
        </w:rPr>
        <w:t> </w:t>
      </w:r>
      <w:r>
        <w:rPr>
          <w:sz w:val="18"/>
        </w:rPr>
        <w:t>agree</w:t>
      </w:r>
    </w:p>
    <w:p>
      <w:pPr>
        <w:pStyle w:val="ListParagraph"/>
        <w:numPr>
          <w:ilvl w:val="0"/>
          <w:numId w:val="164"/>
        </w:numPr>
        <w:tabs>
          <w:tab w:pos="2580" w:val="left" w:leader="none"/>
          <w:tab w:pos="2581" w:val="left" w:leader="none"/>
        </w:tabs>
        <w:spacing w:line="240" w:lineRule="auto" w:before="34" w:after="0"/>
        <w:ind w:left="2580" w:right="0" w:hanging="721"/>
        <w:jc w:val="left"/>
        <w:rPr>
          <w:sz w:val="18"/>
        </w:rPr>
      </w:pPr>
      <w:r>
        <w:rPr>
          <w:sz w:val="18"/>
        </w:rPr>
        <w:t>(Don’t</w:t>
      </w:r>
      <w:r>
        <w:rPr>
          <w:spacing w:val="-3"/>
          <w:sz w:val="18"/>
        </w:rPr>
        <w:t> </w:t>
      </w:r>
      <w:r>
        <w:rPr>
          <w:sz w:val="18"/>
        </w:rPr>
        <w:t>know)</w:t>
      </w:r>
    </w:p>
    <w:p>
      <w:pPr>
        <w:pStyle w:val="ListParagraph"/>
        <w:numPr>
          <w:ilvl w:val="0"/>
          <w:numId w:val="164"/>
        </w:numPr>
        <w:tabs>
          <w:tab w:pos="2580" w:val="left" w:leader="none"/>
          <w:tab w:pos="2581" w:val="left" w:leader="none"/>
        </w:tabs>
        <w:spacing w:line="240" w:lineRule="auto" w:before="31" w:after="0"/>
        <w:ind w:left="2580" w:right="0" w:hanging="721"/>
        <w:jc w:val="left"/>
        <w:rPr>
          <w:sz w:val="18"/>
        </w:rPr>
      </w:pPr>
      <w:r>
        <w:rPr>
          <w:sz w:val="18"/>
        </w:rPr>
        <w:t>(Refused)</w:t>
      </w:r>
    </w:p>
    <w:p>
      <w:pPr>
        <w:pStyle w:val="BodyText"/>
        <w:rPr>
          <w:sz w:val="19"/>
        </w:rPr>
      </w:pPr>
    </w:p>
    <w:p>
      <w:pPr>
        <w:pStyle w:val="ListParagraph"/>
        <w:numPr>
          <w:ilvl w:val="1"/>
          <w:numId w:val="158"/>
        </w:numPr>
        <w:tabs>
          <w:tab w:pos="1118" w:val="left" w:leader="none"/>
          <w:tab w:pos="1119" w:val="left" w:leader="none"/>
        </w:tabs>
        <w:spacing w:line="240" w:lineRule="auto" w:before="0" w:after="0"/>
        <w:ind w:left="1118" w:right="0" w:hanging="699"/>
        <w:jc w:val="left"/>
        <w:rPr>
          <w:sz w:val="18"/>
        </w:rPr>
      </w:pPr>
      <w:r>
        <w:rPr>
          <w:sz w:val="18"/>
        </w:rPr>
        <w:t>I</w:t>
      </w:r>
      <w:r>
        <w:rPr>
          <w:spacing w:val="-3"/>
          <w:sz w:val="18"/>
        </w:rPr>
        <w:t> </w:t>
      </w:r>
      <w:r>
        <w:rPr>
          <w:sz w:val="18"/>
        </w:rPr>
        <w:t>know</w:t>
      </w:r>
      <w:r>
        <w:rPr>
          <w:spacing w:val="-3"/>
          <w:sz w:val="18"/>
        </w:rPr>
        <w:t> </w:t>
      </w:r>
      <w:r>
        <w:rPr>
          <w:sz w:val="18"/>
        </w:rPr>
        <w:t>how</w:t>
      </w:r>
      <w:r>
        <w:rPr>
          <w:spacing w:val="-4"/>
          <w:sz w:val="18"/>
        </w:rPr>
        <w:t> </w:t>
      </w:r>
      <w:r>
        <w:rPr>
          <w:sz w:val="18"/>
        </w:rPr>
        <w:t>to</w:t>
      </w:r>
      <w:r>
        <w:rPr>
          <w:spacing w:val="-2"/>
          <w:sz w:val="18"/>
        </w:rPr>
        <w:t> </w:t>
      </w:r>
      <w:r>
        <w:rPr>
          <w:sz w:val="18"/>
        </w:rPr>
        <w:t>prevent</w:t>
      </w:r>
      <w:r>
        <w:rPr>
          <w:spacing w:val="-2"/>
          <w:sz w:val="18"/>
        </w:rPr>
        <w:t> </w:t>
      </w:r>
      <w:r>
        <w:rPr>
          <w:sz w:val="18"/>
        </w:rPr>
        <w:t>further</w:t>
      </w:r>
      <w:r>
        <w:rPr>
          <w:spacing w:val="-1"/>
          <w:sz w:val="18"/>
        </w:rPr>
        <w:t> </w:t>
      </w:r>
      <w:r>
        <w:rPr>
          <w:sz w:val="18"/>
        </w:rPr>
        <w:t>problems</w:t>
      </w:r>
      <w:r>
        <w:rPr>
          <w:spacing w:val="-2"/>
          <w:sz w:val="18"/>
        </w:rPr>
        <w:t> </w:t>
      </w:r>
      <w:r>
        <w:rPr>
          <w:sz w:val="18"/>
        </w:rPr>
        <w:t>with</w:t>
      </w:r>
      <w:r>
        <w:rPr>
          <w:spacing w:val="-2"/>
          <w:sz w:val="18"/>
        </w:rPr>
        <w:t> </w:t>
      </w:r>
      <w:r>
        <w:rPr>
          <w:sz w:val="18"/>
        </w:rPr>
        <w:t>my</w:t>
      </w:r>
      <w:r>
        <w:rPr>
          <w:spacing w:val="-2"/>
          <w:sz w:val="18"/>
        </w:rPr>
        <w:t> </w:t>
      </w:r>
      <w:r>
        <w:rPr>
          <w:sz w:val="18"/>
        </w:rPr>
        <w:t>health</w:t>
      </w:r>
      <w:r>
        <w:rPr>
          <w:spacing w:val="-2"/>
          <w:sz w:val="18"/>
        </w:rPr>
        <w:t> </w:t>
      </w:r>
      <w:r>
        <w:rPr>
          <w:sz w:val="18"/>
        </w:rPr>
        <w:t>condition.</w:t>
      </w:r>
    </w:p>
    <w:p>
      <w:pPr>
        <w:pStyle w:val="BodyText"/>
        <w:rPr>
          <w:sz w:val="19"/>
        </w:rPr>
      </w:pPr>
    </w:p>
    <w:p>
      <w:pPr>
        <w:pStyle w:val="ListParagraph"/>
        <w:numPr>
          <w:ilvl w:val="2"/>
          <w:numId w:val="158"/>
        </w:numPr>
        <w:tabs>
          <w:tab w:pos="2580" w:val="left" w:leader="none"/>
          <w:tab w:pos="2581" w:val="left" w:leader="none"/>
        </w:tabs>
        <w:spacing w:line="240" w:lineRule="auto" w:before="0" w:after="0"/>
        <w:ind w:left="2580" w:right="0" w:hanging="721"/>
        <w:jc w:val="left"/>
        <w:rPr>
          <w:sz w:val="18"/>
        </w:rPr>
      </w:pPr>
      <w:r>
        <w:rPr>
          <w:sz w:val="18"/>
        </w:rPr>
        <w:t>Strongly</w:t>
      </w:r>
      <w:r>
        <w:rPr>
          <w:spacing w:val="-4"/>
          <w:sz w:val="18"/>
        </w:rPr>
        <w:t> </w:t>
      </w:r>
      <w:r>
        <w:rPr>
          <w:sz w:val="18"/>
        </w:rPr>
        <w:t>disagree</w:t>
      </w:r>
    </w:p>
    <w:p>
      <w:pPr>
        <w:pStyle w:val="ListParagraph"/>
        <w:numPr>
          <w:ilvl w:val="2"/>
          <w:numId w:val="158"/>
        </w:numPr>
        <w:tabs>
          <w:tab w:pos="2580" w:val="left" w:leader="none"/>
          <w:tab w:pos="2581" w:val="left" w:leader="none"/>
        </w:tabs>
        <w:spacing w:line="240" w:lineRule="auto" w:before="34" w:after="0"/>
        <w:ind w:left="2580" w:right="0" w:hanging="721"/>
        <w:jc w:val="left"/>
        <w:rPr>
          <w:sz w:val="18"/>
        </w:rPr>
      </w:pPr>
      <w:r>
        <w:rPr>
          <w:sz w:val="18"/>
        </w:rPr>
        <w:t>Disagree</w:t>
      </w:r>
    </w:p>
    <w:p>
      <w:pPr>
        <w:pStyle w:val="ListParagraph"/>
        <w:numPr>
          <w:ilvl w:val="2"/>
          <w:numId w:val="158"/>
        </w:numPr>
        <w:tabs>
          <w:tab w:pos="2580" w:val="left" w:leader="none"/>
          <w:tab w:pos="2581" w:val="left" w:leader="none"/>
        </w:tabs>
        <w:spacing w:line="240" w:lineRule="auto" w:before="34" w:after="0"/>
        <w:ind w:left="2580" w:right="0" w:hanging="721"/>
        <w:jc w:val="left"/>
        <w:rPr>
          <w:sz w:val="18"/>
        </w:rPr>
      </w:pPr>
      <w:r>
        <w:rPr>
          <w:sz w:val="18"/>
        </w:rPr>
        <w:t>Agree</w:t>
      </w:r>
    </w:p>
    <w:p>
      <w:pPr>
        <w:pStyle w:val="ListParagraph"/>
        <w:numPr>
          <w:ilvl w:val="2"/>
          <w:numId w:val="158"/>
        </w:numPr>
        <w:tabs>
          <w:tab w:pos="2580" w:val="left" w:leader="none"/>
          <w:tab w:pos="2581" w:val="left" w:leader="none"/>
        </w:tabs>
        <w:spacing w:line="240" w:lineRule="auto" w:before="34" w:after="0"/>
        <w:ind w:left="2580" w:right="0" w:hanging="721"/>
        <w:jc w:val="left"/>
        <w:rPr>
          <w:sz w:val="18"/>
        </w:rPr>
      </w:pPr>
      <w:r>
        <w:rPr>
          <w:sz w:val="18"/>
        </w:rPr>
        <w:t>Strongly</w:t>
      </w:r>
      <w:r>
        <w:rPr>
          <w:spacing w:val="-4"/>
          <w:sz w:val="18"/>
        </w:rPr>
        <w:t> </w:t>
      </w:r>
      <w:r>
        <w:rPr>
          <w:sz w:val="18"/>
        </w:rPr>
        <w:t>agree</w:t>
      </w:r>
    </w:p>
    <w:p>
      <w:pPr>
        <w:pStyle w:val="ListParagraph"/>
        <w:numPr>
          <w:ilvl w:val="0"/>
          <w:numId w:val="165"/>
        </w:numPr>
        <w:tabs>
          <w:tab w:pos="2580" w:val="left" w:leader="none"/>
          <w:tab w:pos="2581" w:val="left" w:leader="none"/>
        </w:tabs>
        <w:spacing w:line="240" w:lineRule="auto" w:before="31" w:after="0"/>
        <w:ind w:left="2580" w:right="0" w:hanging="721"/>
        <w:jc w:val="left"/>
        <w:rPr>
          <w:sz w:val="18"/>
        </w:rPr>
      </w:pPr>
      <w:r>
        <w:rPr>
          <w:sz w:val="18"/>
        </w:rPr>
        <w:t>(Don’t</w:t>
      </w:r>
      <w:r>
        <w:rPr>
          <w:spacing w:val="-3"/>
          <w:sz w:val="18"/>
        </w:rPr>
        <w:t> </w:t>
      </w:r>
      <w:r>
        <w:rPr>
          <w:sz w:val="18"/>
        </w:rPr>
        <w:t>know)</w:t>
      </w:r>
    </w:p>
    <w:p>
      <w:pPr>
        <w:pStyle w:val="ListParagraph"/>
        <w:numPr>
          <w:ilvl w:val="0"/>
          <w:numId w:val="165"/>
        </w:numPr>
        <w:tabs>
          <w:tab w:pos="2580" w:val="left" w:leader="none"/>
          <w:tab w:pos="2581" w:val="left" w:leader="none"/>
        </w:tabs>
        <w:spacing w:line="240" w:lineRule="auto" w:before="34" w:after="0"/>
        <w:ind w:left="2580" w:right="0" w:hanging="721"/>
        <w:jc w:val="left"/>
        <w:rPr>
          <w:sz w:val="18"/>
        </w:rPr>
      </w:pPr>
      <w:r>
        <w:rPr>
          <w:sz w:val="18"/>
        </w:rPr>
        <w:t>(Refused)</w:t>
      </w:r>
    </w:p>
    <w:p>
      <w:pPr>
        <w:pStyle w:val="BodyText"/>
        <w:spacing w:before="12"/>
        <w:rPr>
          <w:sz w:val="18"/>
        </w:rPr>
      </w:pPr>
    </w:p>
    <w:p>
      <w:pPr>
        <w:tabs>
          <w:tab w:pos="1128" w:val="left" w:leader="none"/>
        </w:tabs>
        <w:spacing w:line="276" w:lineRule="auto" w:before="0"/>
        <w:ind w:left="1128" w:right="1174" w:hanging="709"/>
        <w:jc w:val="left"/>
        <w:rPr>
          <w:sz w:val="18"/>
        </w:rPr>
      </w:pPr>
      <w:r>
        <w:rPr>
          <w:sz w:val="18"/>
        </w:rPr>
        <w:t>Q21</w:t>
        <w:tab/>
        <w:t>I’ll now read some statements people sometimes make when they talk about how confident they are in</w:t>
      </w:r>
      <w:r>
        <w:rPr>
          <w:spacing w:val="1"/>
          <w:sz w:val="18"/>
        </w:rPr>
        <w:t> </w:t>
      </w:r>
      <w:r>
        <w:rPr>
          <w:sz w:val="18"/>
        </w:rPr>
        <w:t>managing</w:t>
      </w:r>
      <w:r>
        <w:rPr>
          <w:spacing w:val="-4"/>
          <w:sz w:val="18"/>
        </w:rPr>
        <w:t> </w:t>
      </w:r>
      <w:r>
        <w:rPr>
          <w:sz w:val="18"/>
        </w:rPr>
        <w:t>their</w:t>
      </w:r>
      <w:r>
        <w:rPr>
          <w:spacing w:val="-3"/>
          <w:sz w:val="18"/>
        </w:rPr>
        <w:t> </w:t>
      </w:r>
      <w:r>
        <w:rPr>
          <w:sz w:val="18"/>
        </w:rPr>
        <w:t>health.</w:t>
      </w:r>
      <w:r>
        <w:rPr>
          <w:spacing w:val="-4"/>
          <w:sz w:val="18"/>
        </w:rPr>
        <w:t> </w:t>
      </w:r>
      <w:r>
        <w:rPr>
          <w:sz w:val="18"/>
        </w:rPr>
        <w:t>Can</w:t>
      </w:r>
      <w:r>
        <w:rPr>
          <w:spacing w:val="-2"/>
          <w:sz w:val="18"/>
        </w:rPr>
        <w:t> </w:t>
      </w:r>
      <w:r>
        <w:rPr>
          <w:sz w:val="18"/>
        </w:rPr>
        <w:t>you</w:t>
      </w:r>
      <w:r>
        <w:rPr>
          <w:spacing w:val="-3"/>
          <w:sz w:val="18"/>
        </w:rPr>
        <w:t> </w:t>
      </w:r>
      <w:r>
        <w:rPr>
          <w:sz w:val="18"/>
        </w:rPr>
        <w:t>tell</w:t>
      </w:r>
      <w:r>
        <w:rPr>
          <w:spacing w:val="-3"/>
          <w:sz w:val="18"/>
        </w:rPr>
        <w:t> </w:t>
      </w:r>
      <w:r>
        <w:rPr>
          <w:sz w:val="18"/>
        </w:rPr>
        <w:t>me</w:t>
      </w:r>
      <w:r>
        <w:rPr>
          <w:spacing w:val="-2"/>
          <w:sz w:val="18"/>
        </w:rPr>
        <w:t> </w:t>
      </w:r>
      <w:r>
        <w:rPr>
          <w:sz w:val="18"/>
        </w:rPr>
        <w:t>how</w:t>
      </w:r>
      <w:r>
        <w:rPr>
          <w:spacing w:val="-2"/>
          <w:sz w:val="18"/>
        </w:rPr>
        <w:t> </w:t>
      </w:r>
      <w:r>
        <w:rPr>
          <w:sz w:val="18"/>
        </w:rPr>
        <w:t>much</w:t>
      </w:r>
      <w:r>
        <w:rPr>
          <w:spacing w:val="-2"/>
          <w:sz w:val="18"/>
        </w:rPr>
        <w:t> </w:t>
      </w:r>
      <w:r>
        <w:rPr>
          <w:sz w:val="18"/>
        </w:rPr>
        <w:t>you</w:t>
      </w:r>
      <w:r>
        <w:rPr>
          <w:spacing w:val="-4"/>
          <w:sz w:val="18"/>
        </w:rPr>
        <w:t> </w:t>
      </w:r>
      <w:r>
        <w:rPr>
          <w:sz w:val="18"/>
        </w:rPr>
        <w:t>personally</w:t>
      </w:r>
      <w:r>
        <w:rPr>
          <w:spacing w:val="-3"/>
          <w:sz w:val="18"/>
        </w:rPr>
        <w:t> </w:t>
      </w:r>
      <w:r>
        <w:rPr>
          <w:sz w:val="18"/>
        </w:rPr>
        <w:t>agree</w:t>
      </w:r>
      <w:r>
        <w:rPr>
          <w:spacing w:val="-2"/>
          <w:sz w:val="18"/>
        </w:rPr>
        <w:t> </w:t>
      </w:r>
      <w:r>
        <w:rPr>
          <w:sz w:val="18"/>
        </w:rPr>
        <w:t>or</w:t>
      </w:r>
      <w:r>
        <w:rPr>
          <w:spacing w:val="-2"/>
          <w:sz w:val="18"/>
        </w:rPr>
        <w:t> </w:t>
      </w:r>
      <w:r>
        <w:rPr>
          <w:sz w:val="18"/>
        </w:rPr>
        <w:t>disagree</w:t>
      </w:r>
      <w:r>
        <w:rPr>
          <w:spacing w:val="-2"/>
          <w:sz w:val="18"/>
        </w:rPr>
        <w:t> </w:t>
      </w:r>
      <w:r>
        <w:rPr>
          <w:sz w:val="18"/>
        </w:rPr>
        <w:t>with</w:t>
      </w:r>
      <w:r>
        <w:rPr>
          <w:spacing w:val="-2"/>
          <w:sz w:val="18"/>
        </w:rPr>
        <w:t> </w:t>
      </w:r>
      <w:r>
        <w:rPr>
          <w:sz w:val="18"/>
        </w:rPr>
        <w:t>each</w:t>
      </w:r>
      <w:r>
        <w:rPr>
          <w:spacing w:val="-2"/>
          <w:sz w:val="18"/>
        </w:rPr>
        <w:t> </w:t>
      </w:r>
      <w:r>
        <w:rPr>
          <w:sz w:val="18"/>
        </w:rPr>
        <w:t>statement?</w:t>
      </w:r>
    </w:p>
    <w:p>
      <w:pPr>
        <w:pStyle w:val="BodyText"/>
        <w:spacing w:before="4"/>
        <w:rPr>
          <w:sz w:val="16"/>
        </w:rPr>
      </w:pPr>
    </w:p>
    <w:p>
      <w:pPr>
        <w:pStyle w:val="ListParagraph"/>
        <w:numPr>
          <w:ilvl w:val="0"/>
          <w:numId w:val="166"/>
        </w:numPr>
        <w:tabs>
          <w:tab w:pos="1838" w:val="left" w:leader="none"/>
          <w:tab w:pos="1839" w:val="left" w:leader="none"/>
        </w:tabs>
        <w:spacing w:line="276" w:lineRule="auto" w:before="0" w:after="0"/>
        <w:ind w:left="1838" w:right="1045" w:hanging="699"/>
        <w:jc w:val="left"/>
        <w:rPr>
          <w:sz w:val="18"/>
        </w:rPr>
      </w:pPr>
      <w:r>
        <w:rPr>
          <w:sz w:val="18"/>
        </w:rPr>
        <w:t>I am confident that I can take actions that will help prevent or minimise some symptoms or problems</w:t>
      </w:r>
      <w:r>
        <w:rPr>
          <w:spacing w:val="-47"/>
          <w:sz w:val="18"/>
        </w:rPr>
        <w:t> </w:t>
      </w:r>
      <w:r>
        <w:rPr>
          <w:sz w:val="18"/>
        </w:rPr>
        <w:t>associated</w:t>
      </w:r>
      <w:r>
        <w:rPr>
          <w:spacing w:val="-1"/>
          <w:sz w:val="18"/>
        </w:rPr>
        <w:t> </w:t>
      </w:r>
      <w:r>
        <w:rPr>
          <w:sz w:val="18"/>
        </w:rPr>
        <w:t>with</w:t>
      </w:r>
      <w:r>
        <w:rPr>
          <w:spacing w:val="1"/>
          <w:sz w:val="18"/>
        </w:rPr>
        <w:t> </w:t>
      </w:r>
      <w:r>
        <w:rPr>
          <w:sz w:val="18"/>
        </w:rPr>
        <w:t>my health</w:t>
      </w:r>
      <w:r>
        <w:rPr>
          <w:spacing w:val="1"/>
          <w:sz w:val="18"/>
        </w:rPr>
        <w:t> </w:t>
      </w:r>
      <w:r>
        <w:rPr>
          <w:sz w:val="18"/>
        </w:rPr>
        <w:t>condition.</w:t>
      </w:r>
    </w:p>
    <w:p>
      <w:pPr>
        <w:pStyle w:val="BodyText"/>
        <w:spacing w:before="4"/>
        <w:rPr>
          <w:sz w:val="16"/>
        </w:rPr>
      </w:pPr>
    </w:p>
    <w:p>
      <w:pPr>
        <w:pStyle w:val="ListParagraph"/>
        <w:numPr>
          <w:ilvl w:val="1"/>
          <w:numId w:val="166"/>
        </w:numPr>
        <w:tabs>
          <w:tab w:pos="2580" w:val="left" w:leader="none"/>
          <w:tab w:pos="2581" w:val="left" w:leader="none"/>
        </w:tabs>
        <w:spacing w:line="240" w:lineRule="auto" w:before="1" w:after="0"/>
        <w:ind w:left="2580" w:right="0" w:hanging="721"/>
        <w:jc w:val="left"/>
        <w:rPr>
          <w:sz w:val="18"/>
        </w:rPr>
      </w:pPr>
      <w:r>
        <w:rPr>
          <w:sz w:val="18"/>
        </w:rPr>
        <w:t>Strongly</w:t>
      </w:r>
      <w:r>
        <w:rPr>
          <w:spacing w:val="-4"/>
          <w:sz w:val="18"/>
        </w:rPr>
        <w:t> </w:t>
      </w:r>
      <w:r>
        <w:rPr>
          <w:sz w:val="18"/>
        </w:rPr>
        <w:t>disagree</w:t>
      </w:r>
    </w:p>
    <w:p>
      <w:pPr>
        <w:pStyle w:val="ListParagraph"/>
        <w:numPr>
          <w:ilvl w:val="1"/>
          <w:numId w:val="166"/>
        </w:numPr>
        <w:tabs>
          <w:tab w:pos="2580" w:val="left" w:leader="none"/>
          <w:tab w:pos="2581" w:val="left" w:leader="none"/>
        </w:tabs>
        <w:spacing w:line="240" w:lineRule="auto" w:before="33" w:after="0"/>
        <w:ind w:left="2580" w:right="0" w:hanging="721"/>
        <w:jc w:val="left"/>
        <w:rPr>
          <w:sz w:val="18"/>
        </w:rPr>
      </w:pPr>
      <w:r>
        <w:rPr>
          <w:sz w:val="18"/>
        </w:rPr>
        <w:t>Disagree</w:t>
      </w:r>
    </w:p>
    <w:p>
      <w:pPr>
        <w:pStyle w:val="ListParagraph"/>
        <w:numPr>
          <w:ilvl w:val="1"/>
          <w:numId w:val="166"/>
        </w:numPr>
        <w:tabs>
          <w:tab w:pos="2580" w:val="left" w:leader="none"/>
          <w:tab w:pos="2581" w:val="left" w:leader="none"/>
        </w:tabs>
        <w:spacing w:line="240" w:lineRule="auto" w:before="32" w:after="0"/>
        <w:ind w:left="2580" w:right="0" w:hanging="721"/>
        <w:jc w:val="left"/>
        <w:rPr>
          <w:sz w:val="18"/>
        </w:rPr>
      </w:pPr>
      <w:r>
        <w:rPr>
          <w:sz w:val="18"/>
        </w:rPr>
        <w:t>Agree</w:t>
      </w:r>
    </w:p>
    <w:p>
      <w:pPr>
        <w:pStyle w:val="ListParagraph"/>
        <w:numPr>
          <w:ilvl w:val="1"/>
          <w:numId w:val="166"/>
        </w:numPr>
        <w:tabs>
          <w:tab w:pos="2580" w:val="left" w:leader="none"/>
          <w:tab w:pos="2581" w:val="left" w:leader="none"/>
        </w:tabs>
        <w:spacing w:line="240" w:lineRule="auto" w:before="33" w:after="0"/>
        <w:ind w:left="2580" w:right="0" w:hanging="721"/>
        <w:jc w:val="left"/>
        <w:rPr>
          <w:sz w:val="18"/>
        </w:rPr>
      </w:pPr>
      <w:r>
        <w:rPr>
          <w:sz w:val="18"/>
        </w:rPr>
        <w:t>Strongly</w:t>
      </w:r>
      <w:r>
        <w:rPr>
          <w:spacing w:val="-4"/>
          <w:sz w:val="18"/>
        </w:rPr>
        <w:t> </w:t>
      </w:r>
      <w:r>
        <w:rPr>
          <w:sz w:val="18"/>
        </w:rPr>
        <w:t>agree</w:t>
      </w:r>
    </w:p>
    <w:p>
      <w:pPr>
        <w:pStyle w:val="ListParagraph"/>
        <w:numPr>
          <w:ilvl w:val="0"/>
          <w:numId w:val="167"/>
        </w:numPr>
        <w:tabs>
          <w:tab w:pos="2580" w:val="left" w:leader="none"/>
          <w:tab w:pos="2581" w:val="left" w:leader="none"/>
        </w:tabs>
        <w:spacing w:line="240" w:lineRule="auto" w:before="34" w:after="0"/>
        <w:ind w:left="2580" w:right="0" w:hanging="721"/>
        <w:jc w:val="left"/>
        <w:rPr>
          <w:sz w:val="18"/>
        </w:rPr>
      </w:pPr>
      <w:r>
        <w:rPr>
          <w:sz w:val="18"/>
        </w:rPr>
        <w:t>(Don’t</w:t>
      </w:r>
      <w:r>
        <w:rPr>
          <w:spacing w:val="-3"/>
          <w:sz w:val="18"/>
        </w:rPr>
        <w:t> </w:t>
      </w:r>
      <w:r>
        <w:rPr>
          <w:sz w:val="18"/>
        </w:rPr>
        <w:t>know)</w:t>
      </w:r>
    </w:p>
    <w:p>
      <w:pPr>
        <w:pStyle w:val="ListParagraph"/>
        <w:numPr>
          <w:ilvl w:val="0"/>
          <w:numId w:val="167"/>
        </w:numPr>
        <w:tabs>
          <w:tab w:pos="2580" w:val="left" w:leader="none"/>
          <w:tab w:pos="2581" w:val="left" w:leader="none"/>
        </w:tabs>
        <w:spacing w:line="240" w:lineRule="auto" w:before="34" w:after="0"/>
        <w:ind w:left="2580" w:right="0" w:hanging="721"/>
        <w:jc w:val="left"/>
        <w:rPr>
          <w:sz w:val="18"/>
        </w:rPr>
      </w:pPr>
      <w:r>
        <w:rPr>
          <w:sz w:val="18"/>
        </w:rPr>
        <w:t>(Refused)</w:t>
      </w:r>
    </w:p>
    <w:p>
      <w:pPr>
        <w:pStyle w:val="BodyText"/>
        <w:spacing w:before="12"/>
        <w:rPr>
          <w:sz w:val="18"/>
        </w:rPr>
      </w:pPr>
    </w:p>
    <w:p>
      <w:pPr>
        <w:pStyle w:val="ListParagraph"/>
        <w:numPr>
          <w:ilvl w:val="0"/>
          <w:numId w:val="166"/>
        </w:numPr>
        <w:tabs>
          <w:tab w:pos="1838" w:val="left" w:leader="none"/>
          <w:tab w:pos="1839" w:val="left" w:leader="none"/>
        </w:tabs>
        <w:spacing w:line="273" w:lineRule="auto" w:before="0" w:after="0"/>
        <w:ind w:left="1838" w:right="1170" w:hanging="699"/>
        <w:jc w:val="left"/>
        <w:rPr>
          <w:sz w:val="18"/>
        </w:rPr>
      </w:pPr>
      <w:r>
        <w:rPr>
          <w:sz w:val="18"/>
        </w:rPr>
        <w:t>I am confident that I can tell when I need to go get medical care and when I can handle a health</w:t>
      </w:r>
      <w:r>
        <w:rPr>
          <w:spacing w:val="-47"/>
          <w:sz w:val="18"/>
        </w:rPr>
        <w:t> </w:t>
      </w:r>
      <w:r>
        <w:rPr>
          <w:sz w:val="18"/>
        </w:rPr>
        <w:t>problem</w:t>
      </w:r>
      <w:r>
        <w:rPr>
          <w:spacing w:val="-1"/>
          <w:sz w:val="18"/>
        </w:rPr>
        <w:t> </w:t>
      </w:r>
      <w:r>
        <w:rPr>
          <w:sz w:val="18"/>
        </w:rPr>
        <w:t>myself.</w:t>
      </w:r>
    </w:p>
    <w:p>
      <w:pPr>
        <w:pStyle w:val="BodyText"/>
        <w:spacing w:before="8"/>
        <w:rPr>
          <w:sz w:val="16"/>
        </w:rPr>
      </w:pPr>
    </w:p>
    <w:p>
      <w:pPr>
        <w:pStyle w:val="ListParagraph"/>
        <w:numPr>
          <w:ilvl w:val="1"/>
          <w:numId w:val="166"/>
        </w:numPr>
        <w:tabs>
          <w:tab w:pos="2580" w:val="left" w:leader="none"/>
          <w:tab w:pos="2581" w:val="left" w:leader="none"/>
        </w:tabs>
        <w:spacing w:line="240" w:lineRule="auto" w:before="1" w:after="0"/>
        <w:ind w:left="2580" w:right="0" w:hanging="721"/>
        <w:jc w:val="left"/>
        <w:rPr>
          <w:sz w:val="18"/>
        </w:rPr>
      </w:pPr>
      <w:r>
        <w:rPr>
          <w:sz w:val="18"/>
        </w:rPr>
        <w:t>Strongly</w:t>
      </w:r>
      <w:r>
        <w:rPr>
          <w:spacing w:val="-4"/>
          <w:sz w:val="18"/>
        </w:rPr>
        <w:t> </w:t>
      </w:r>
      <w:r>
        <w:rPr>
          <w:sz w:val="18"/>
        </w:rPr>
        <w:t>disagree</w:t>
      </w:r>
    </w:p>
    <w:p>
      <w:pPr>
        <w:pStyle w:val="ListParagraph"/>
        <w:numPr>
          <w:ilvl w:val="1"/>
          <w:numId w:val="166"/>
        </w:numPr>
        <w:tabs>
          <w:tab w:pos="2580" w:val="left" w:leader="none"/>
          <w:tab w:pos="2581" w:val="left" w:leader="none"/>
        </w:tabs>
        <w:spacing w:line="240" w:lineRule="auto" w:before="31" w:after="0"/>
        <w:ind w:left="2580" w:right="0" w:hanging="721"/>
        <w:jc w:val="left"/>
        <w:rPr>
          <w:sz w:val="18"/>
        </w:rPr>
      </w:pPr>
      <w:r>
        <w:rPr>
          <w:sz w:val="18"/>
        </w:rPr>
        <w:t>Disagree</w:t>
      </w:r>
    </w:p>
    <w:p>
      <w:pPr>
        <w:pStyle w:val="ListParagraph"/>
        <w:numPr>
          <w:ilvl w:val="1"/>
          <w:numId w:val="166"/>
        </w:numPr>
        <w:tabs>
          <w:tab w:pos="2580" w:val="left" w:leader="none"/>
          <w:tab w:pos="2581" w:val="left" w:leader="none"/>
        </w:tabs>
        <w:spacing w:line="240" w:lineRule="auto" w:before="34" w:after="0"/>
        <w:ind w:left="2580" w:right="0" w:hanging="721"/>
        <w:jc w:val="left"/>
        <w:rPr>
          <w:sz w:val="18"/>
        </w:rPr>
      </w:pPr>
      <w:r>
        <w:rPr>
          <w:sz w:val="18"/>
        </w:rPr>
        <w:t>Agree</w:t>
      </w:r>
    </w:p>
    <w:p>
      <w:pPr>
        <w:pStyle w:val="ListParagraph"/>
        <w:numPr>
          <w:ilvl w:val="1"/>
          <w:numId w:val="166"/>
        </w:numPr>
        <w:tabs>
          <w:tab w:pos="2580" w:val="left" w:leader="none"/>
          <w:tab w:pos="2581" w:val="left" w:leader="none"/>
        </w:tabs>
        <w:spacing w:line="240" w:lineRule="auto" w:before="34" w:after="0"/>
        <w:ind w:left="2580" w:right="0" w:hanging="721"/>
        <w:jc w:val="left"/>
        <w:rPr>
          <w:sz w:val="18"/>
        </w:rPr>
      </w:pPr>
      <w:r>
        <w:rPr>
          <w:sz w:val="18"/>
        </w:rPr>
        <w:t>Strongly</w:t>
      </w:r>
      <w:r>
        <w:rPr>
          <w:spacing w:val="-4"/>
          <w:sz w:val="18"/>
        </w:rPr>
        <w:t> </w:t>
      </w:r>
      <w:r>
        <w:rPr>
          <w:sz w:val="18"/>
        </w:rPr>
        <w:t>agree</w:t>
      </w:r>
    </w:p>
    <w:p>
      <w:pPr>
        <w:pStyle w:val="ListParagraph"/>
        <w:numPr>
          <w:ilvl w:val="0"/>
          <w:numId w:val="168"/>
        </w:numPr>
        <w:tabs>
          <w:tab w:pos="2580" w:val="left" w:leader="none"/>
          <w:tab w:pos="2581" w:val="left" w:leader="none"/>
        </w:tabs>
        <w:spacing w:line="240" w:lineRule="auto" w:before="34" w:after="0"/>
        <w:ind w:left="2580" w:right="0" w:hanging="721"/>
        <w:jc w:val="left"/>
        <w:rPr>
          <w:sz w:val="18"/>
        </w:rPr>
      </w:pPr>
      <w:r>
        <w:rPr>
          <w:sz w:val="18"/>
        </w:rPr>
        <w:t>(Don’t</w:t>
      </w:r>
      <w:r>
        <w:rPr>
          <w:spacing w:val="-3"/>
          <w:sz w:val="18"/>
        </w:rPr>
        <w:t> </w:t>
      </w:r>
      <w:r>
        <w:rPr>
          <w:sz w:val="18"/>
        </w:rPr>
        <w:t>know)</w:t>
      </w:r>
    </w:p>
    <w:p>
      <w:pPr>
        <w:pStyle w:val="ListParagraph"/>
        <w:numPr>
          <w:ilvl w:val="0"/>
          <w:numId w:val="168"/>
        </w:numPr>
        <w:tabs>
          <w:tab w:pos="2580" w:val="left" w:leader="none"/>
          <w:tab w:pos="2581" w:val="left" w:leader="none"/>
        </w:tabs>
        <w:spacing w:line="240" w:lineRule="auto" w:before="31" w:after="0"/>
        <w:ind w:left="2580" w:right="0" w:hanging="721"/>
        <w:jc w:val="left"/>
        <w:rPr>
          <w:sz w:val="18"/>
        </w:rPr>
      </w:pPr>
      <w:r>
        <w:rPr>
          <w:sz w:val="18"/>
        </w:rPr>
        <w:t>(Refused)</w:t>
      </w:r>
    </w:p>
    <w:p>
      <w:pPr>
        <w:pStyle w:val="BodyText"/>
        <w:rPr>
          <w:sz w:val="19"/>
        </w:rPr>
      </w:pPr>
    </w:p>
    <w:p>
      <w:pPr>
        <w:pStyle w:val="ListParagraph"/>
        <w:numPr>
          <w:ilvl w:val="0"/>
          <w:numId w:val="166"/>
        </w:numPr>
        <w:tabs>
          <w:tab w:pos="1838" w:val="left" w:leader="none"/>
          <w:tab w:pos="1839" w:val="left" w:leader="none"/>
        </w:tabs>
        <w:spacing w:line="240" w:lineRule="auto" w:before="0" w:after="0"/>
        <w:ind w:left="1838" w:right="0" w:hanging="699"/>
        <w:jc w:val="left"/>
        <w:rPr>
          <w:sz w:val="18"/>
        </w:rPr>
      </w:pPr>
      <w:r>
        <w:rPr>
          <w:sz w:val="18"/>
        </w:rPr>
        <w:t>I</w:t>
      </w:r>
      <w:r>
        <w:rPr>
          <w:spacing w:val="1"/>
          <w:sz w:val="18"/>
        </w:rPr>
        <w:t> </w:t>
      </w:r>
      <w:r>
        <w:rPr>
          <w:sz w:val="18"/>
        </w:rPr>
        <w:t>am</w:t>
      </w:r>
      <w:r>
        <w:rPr>
          <w:spacing w:val="-5"/>
          <w:sz w:val="18"/>
        </w:rPr>
        <w:t> </w:t>
      </w:r>
      <w:r>
        <w:rPr>
          <w:sz w:val="18"/>
        </w:rPr>
        <w:t>confident</w:t>
      </w:r>
      <w:r>
        <w:rPr>
          <w:spacing w:val="-4"/>
          <w:sz w:val="18"/>
        </w:rPr>
        <w:t> </w:t>
      </w:r>
      <w:r>
        <w:rPr>
          <w:sz w:val="18"/>
        </w:rPr>
        <w:t>I</w:t>
      </w:r>
      <w:r>
        <w:rPr>
          <w:spacing w:val="-2"/>
          <w:sz w:val="18"/>
        </w:rPr>
        <w:t> </w:t>
      </w:r>
      <w:r>
        <w:rPr>
          <w:sz w:val="18"/>
        </w:rPr>
        <w:t>can tell</w:t>
      </w:r>
      <w:r>
        <w:rPr>
          <w:spacing w:val="-2"/>
          <w:sz w:val="18"/>
        </w:rPr>
        <w:t> </w:t>
      </w:r>
      <w:r>
        <w:rPr>
          <w:sz w:val="18"/>
        </w:rPr>
        <w:t>my</w:t>
      </w:r>
      <w:r>
        <w:rPr>
          <w:spacing w:val="-2"/>
          <w:sz w:val="18"/>
        </w:rPr>
        <w:t> </w:t>
      </w:r>
      <w:r>
        <w:rPr>
          <w:sz w:val="18"/>
        </w:rPr>
        <w:t>health</w:t>
      </w:r>
      <w:r>
        <w:rPr>
          <w:spacing w:val="-1"/>
          <w:sz w:val="18"/>
        </w:rPr>
        <w:t> </w:t>
      </w:r>
      <w:r>
        <w:rPr>
          <w:sz w:val="18"/>
        </w:rPr>
        <w:t>care provider</w:t>
      </w:r>
      <w:r>
        <w:rPr>
          <w:spacing w:val="-2"/>
          <w:sz w:val="18"/>
        </w:rPr>
        <w:t> </w:t>
      </w:r>
      <w:r>
        <w:rPr>
          <w:sz w:val="18"/>
        </w:rPr>
        <w:t>concerns</w:t>
      </w:r>
      <w:r>
        <w:rPr>
          <w:spacing w:val="-4"/>
          <w:sz w:val="18"/>
        </w:rPr>
        <w:t> </w:t>
      </w:r>
      <w:r>
        <w:rPr>
          <w:sz w:val="18"/>
        </w:rPr>
        <w:t>I</w:t>
      </w:r>
      <w:r>
        <w:rPr>
          <w:spacing w:val="1"/>
          <w:sz w:val="18"/>
        </w:rPr>
        <w:t> </w:t>
      </w:r>
      <w:r>
        <w:rPr>
          <w:sz w:val="18"/>
        </w:rPr>
        <w:t>have</w:t>
      </w:r>
      <w:r>
        <w:rPr>
          <w:spacing w:val="-1"/>
          <w:sz w:val="18"/>
        </w:rPr>
        <w:t> </w:t>
      </w:r>
      <w:r>
        <w:rPr>
          <w:sz w:val="18"/>
        </w:rPr>
        <w:t>even</w:t>
      </w:r>
      <w:r>
        <w:rPr>
          <w:spacing w:val="-1"/>
          <w:sz w:val="18"/>
        </w:rPr>
        <w:t> </w:t>
      </w:r>
      <w:r>
        <w:rPr>
          <w:sz w:val="18"/>
        </w:rPr>
        <w:t>when</w:t>
      </w:r>
      <w:r>
        <w:rPr>
          <w:spacing w:val="-1"/>
          <w:sz w:val="18"/>
        </w:rPr>
        <w:t> </w:t>
      </w:r>
      <w:r>
        <w:rPr>
          <w:sz w:val="18"/>
        </w:rPr>
        <w:t>he</w:t>
      </w:r>
      <w:r>
        <w:rPr>
          <w:spacing w:val="-1"/>
          <w:sz w:val="18"/>
        </w:rPr>
        <w:t> </w:t>
      </w:r>
      <w:r>
        <w:rPr>
          <w:sz w:val="18"/>
        </w:rPr>
        <w:t>or</w:t>
      </w:r>
      <w:r>
        <w:rPr>
          <w:spacing w:val="-3"/>
          <w:sz w:val="18"/>
        </w:rPr>
        <w:t> </w:t>
      </w:r>
      <w:r>
        <w:rPr>
          <w:sz w:val="18"/>
        </w:rPr>
        <w:t>she</w:t>
      </w:r>
      <w:r>
        <w:rPr>
          <w:spacing w:val="-1"/>
          <w:sz w:val="18"/>
        </w:rPr>
        <w:t> </w:t>
      </w:r>
      <w:r>
        <w:rPr>
          <w:sz w:val="18"/>
        </w:rPr>
        <w:t>does</w:t>
      </w:r>
      <w:r>
        <w:rPr>
          <w:spacing w:val="-1"/>
          <w:sz w:val="18"/>
        </w:rPr>
        <w:t> </w:t>
      </w:r>
      <w:r>
        <w:rPr>
          <w:sz w:val="18"/>
        </w:rPr>
        <w:t>not</w:t>
      </w:r>
      <w:r>
        <w:rPr>
          <w:spacing w:val="-3"/>
          <w:sz w:val="18"/>
        </w:rPr>
        <w:t> </w:t>
      </w:r>
      <w:r>
        <w:rPr>
          <w:sz w:val="18"/>
        </w:rPr>
        <w:t>ask.</w:t>
      </w:r>
    </w:p>
    <w:p>
      <w:pPr>
        <w:pStyle w:val="BodyText"/>
        <w:rPr>
          <w:sz w:val="19"/>
        </w:rPr>
      </w:pPr>
    </w:p>
    <w:p>
      <w:pPr>
        <w:pStyle w:val="ListParagraph"/>
        <w:numPr>
          <w:ilvl w:val="1"/>
          <w:numId w:val="166"/>
        </w:numPr>
        <w:tabs>
          <w:tab w:pos="2580" w:val="left" w:leader="none"/>
          <w:tab w:pos="2581" w:val="left" w:leader="none"/>
        </w:tabs>
        <w:spacing w:line="240" w:lineRule="auto" w:before="0" w:after="0"/>
        <w:ind w:left="2580" w:right="0" w:hanging="721"/>
        <w:jc w:val="left"/>
        <w:rPr>
          <w:sz w:val="18"/>
        </w:rPr>
      </w:pPr>
      <w:r>
        <w:rPr>
          <w:sz w:val="18"/>
        </w:rPr>
        <w:t>Strongly</w:t>
      </w:r>
      <w:r>
        <w:rPr>
          <w:spacing w:val="-4"/>
          <w:sz w:val="18"/>
        </w:rPr>
        <w:t> </w:t>
      </w:r>
      <w:r>
        <w:rPr>
          <w:sz w:val="18"/>
        </w:rPr>
        <w:t>disagree</w:t>
      </w:r>
    </w:p>
    <w:p>
      <w:pPr>
        <w:pStyle w:val="ListParagraph"/>
        <w:numPr>
          <w:ilvl w:val="1"/>
          <w:numId w:val="166"/>
        </w:numPr>
        <w:tabs>
          <w:tab w:pos="2580" w:val="left" w:leader="none"/>
          <w:tab w:pos="2581" w:val="left" w:leader="none"/>
        </w:tabs>
        <w:spacing w:line="240" w:lineRule="auto" w:before="34" w:after="0"/>
        <w:ind w:left="2580" w:right="0" w:hanging="721"/>
        <w:jc w:val="left"/>
        <w:rPr>
          <w:sz w:val="18"/>
        </w:rPr>
      </w:pPr>
      <w:r>
        <w:rPr>
          <w:sz w:val="18"/>
        </w:rPr>
        <w:t>Disagree</w:t>
      </w:r>
    </w:p>
    <w:p>
      <w:pPr>
        <w:pStyle w:val="ListParagraph"/>
        <w:numPr>
          <w:ilvl w:val="1"/>
          <w:numId w:val="166"/>
        </w:numPr>
        <w:tabs>
          <w:tab w:pos="2580" w:val="left" w:leader="none"/>
          <w:tab w:pos="2581" w:val="left" w:leader="none"/>
        </w:tabs>
        <w:spacing w:line="240" w:lineRule="auto" w:before="33" w:after="0"/>
        <w:ind w:left="2580" w:right="0" w:hanging="721"/>
        <w:jc w:val="left"/>
        <w:rPr>
          <w:sz w:val="18"/>
        </w:rPr>
      </w:pPr>
      <w:r>
        <w:rPr>
          <w:sz w:val="18"/>
        </w:rPr>
        <w:t>Agree</w:t>
      </w:r>
    </w:p>
    <w:p>
      <w:pPr>
        <w:pStyle w:val="ListParagraph"/>
        <w:numPr>
          <w:ilvl w:val="1"/>
          <w:numId w:val="166"/>
        </w:numPr>
        <w:tabs>
          <w:tab w:pos="2580" w:val="left" w:leader="none"/>
          <w:tab w:pos="2581" w:val="left" w:leader="none"/>
        </w:tabs>
        <w:spacing w:line="240" w:lineRule="auto" w:before="34" w:after="0"/>
        <w:ind w:left="2580" w:right="0" w:hanging="721"/>
        <w:jc w:val="left"/>
        <w:rPr>
          <w:sz w:val="18"/>
        </w:rPr>
      </w:pPr>
      <w:r>
        <w:rPr>
          <w:sz w:val="18"/>
        </w:rPr>
        <w:t>Strongly</w:t>
      </w:r>
      <w:r>
        <w:rPr>
          <w:spacing w:val="-4"/>
          <w:sz w:val="18"/>
        </w:rPr>
        <w:t> </w:t>
      </w:r>
      <w:r>
        <w:rPr>
          <w:sz w:val="18"/>
        </w:rPr>
        <w:t>agree</w:t>
      </w:r>
    </w:p>
    <w:p>
      <w:pPr>
        <w:pStyle w:val="ListParagraph"/>
        <w:numPr>
          <w:ilvl w:val="0"/>
          <w:numId w:val="169"/>
        </w:numPr>
        <w:tabs>
          <w:tab w:pos="2580" w:val="left" w:leader="none"/>
          <w:tab w:pos="2581" w:val="left" w:leader="none"/>
        </w:tabs>
        <w:spacing w:line="240" w:lineRule="auto" w:before="31" w:after="0"/>
        <w:ind w:left="2580" w:right="0" w:hanging="721"/>
        <w:jc w:val="left"/>
        <w:rPr>
          <w:sz w:val="18"/>
        </w:rPr>
      </w:pPr>
      <w:r>
        <w:rPr>
          <w:sz w:val="18"/>
        </w:rPr>
        <w:t>(Don’t</w:t>
      </w:r>
      <w:r>
        <w:rPr>
          <w:spacing w:val="-3"/>
          <w:sz w:val="18"/>
        </w:rPr>
        <w:t> </w:t>
      </w:r>
      <w:r>
        <w:rPr>
          <w:sz w:val="18"/>
        </w:rPr>
        <w:t>know)</w:t>
      </w:r>
    </w:p>
    <w:p>
      <w:pPr>
        <w:pStyle w:val="ListParagraph"/>
        <w:numPr>
          <w:ilvl w:val="0"/>
          <w:numId w:val="169"/>
        </w:numPr>
        <w:tabs>
          <w:tab w:pos="2580" w:val="left" w:leader="none"/>
          <w:tab w:pos="2581" w:val="left" w:leader="none"/>
        </w:tabs>
        <w:spacing w:line="240" w:lineRule="auto" w:before="34" w:after="0"/>
        <w:ind w:left="2580" w:right="0" w:hanging="721"/>
        <w:jc w:val="left"/>
        <w:rPr>
          <w:sz w:val="18"/>
        </w:rPr>
      </w:pPr>
      <w:r>
        <w:rPr>
          <w:sz w:val="18"/>
        </w:rPr>
        <w:t>(Refused)</w:t>
      </w:r>
    </w:p>
    <w:p>
      <w:pPr>
        <w:spacing w:after="0" w:line="240" w:lineRule="auto"/>
        <w:jc w:val="left"/>
        <w:rPr>
          <w:sz w:val="18"/>
        </w:rPr>
        <w:sectPr>
          <w:pgSz w:w="11910" w:h="16840"/>
          <w:pgMar w:header="0" w:footer="948" w:top="860" w:bottom="1140" w:left="300" w:right="0"/>
        </w:sectPr>
      </w:pPr>
    </w:p>
    <w:p>
      <w:pPr>
        <w:pStyle w:val="ListParagraph"/>
        <w:numPr>
          <w:ilvl w:val="0"/>
          <w:numId w:val="166"/>
        </w:numPr>
        <w:tabs>
          <w:tab w:pos="1838" w:val="left" w:leader="none"/>
          <w:tab w:pos="1839" w:val="left" w:leader="none"/>
        </w:tabs>
        <w:spacing w:line="240" w:lineRule="auto" w:before="75" w:after="0"/>
        <w:ind w:left="1838" w:right="0" w:hanging="699"/>
        <w:jc w:val="left"/>
        <w:rPr>
          <w:sz w:val="18"/>
        </w:rPr>
      </w:pPr>
      <w:r>
        <w:rPr>
          <w:sz w:val="18"/>
        </w:rPr>
        <w:t>I am</w:t>
      </w:r>
      <w:r>
        <w:rPr>
          <w:spacing w:val="-5"/>
          <w:sz w:val="18"/>
        </w:rPr>
        <w:t> </w:t>
      </w:r>
      <w:r>
        <w:rPr>
          <w:sz w:val="18"/>
        </w:rPr>
        <w:t>confident</w:t>
      </w:r>
      <w:r>
        <w:rPr>
          <w:spacing w:val="-2"/>
          <w:sz w:val="18"/>
        </w:rPr>
        <w:t> </w:t>
      </w:r>
      <w:r>
        <w:rPr>
          <w:sz w:val="18"/>
        </w:rPr>
        <w:t>that</w:t>
      </w:r>
      <w:r>
        <w:rPr>
          <w:spacing w:val="-3"/>
          <w:sz w:val="18"/>
        </w:rPr>
        <w:t> </w:t>
      </w:r>
      <w:r>
        <w:rPr>
          <w:sz w:val="18"/>
        </w:rPr>
        <w:t>I can</w:t>
      </w:r>
      <w:r>
        <w:rPr>
          <w:spacing w:val="-3"/>
          <w:sz w:val="18"/>
        </w:rPr>
        <w:t> </w:t>
      </w:r>
      <w:r>
        <w:rPr>
          <w:sz w:val="18"/>
        </w:rPr>
        <w:t>follow</w:t>
      </w:r>
      <w:r>
        <w:rPr>
          <w:spacing w:val="-3"/>
          <w:sz w:val="18"/>
        </w:rPr>
        <w:t> </w:t>
      </w:r>
      <w:r>
        <w:rPr>
          <w:sz w:val="18"/>
        </w:rPr>
        <w:t>through</w:t>
      </w:r>
      <w:r>
        <w:rPr>
          <w:spacing w:val="-1"/>
          <w:sz w:val="18"/>
        </w:rPr>
        <w:t> </w:t>
      </w:r>
      <w:r>
        <w:rPr>
          <w:sz w:val="18"/>
        </w:rPr>
        <w:t>on</w:t>
      </w:r>
      <w:r>
        <w:rPr>
          <w:spacing w:val="-1"/>
          <w:sz w:val="18"/>
        </w:rPr>
        <w:t> </w:t>
      </w:r>
      <w:r>
        <w:rPr>
          <w:sz w:val="18"/>
        </w:rPr>
        <w:t>medical</w:t>
      </w:r>
      <w:r>
        <w:rPr>
          <w:spacing w:val="-1"/>
          <w:sz w:val="18"/>
        </w:rPr>
        <w:t> </w:t>
      </w:r>
      <w:r>
        <w:rPr>
          <w:sz w:val="18"/>
        </w:rPr>
        <w:t>treatments</w:t>
      </w:r>
      <w:r>
        <w:rPr>
          <w:spacing w:val="-1"/>
          <w:sz w:val="18"/>
        </w:rPr>
        <w:t> </w:t>
      </w:r>
      <w:r>
        <w:rPr>
          <w:sz w:val="18"/>
        </w:rPr>
        <w:t>I</w:t>
      </w:r>
      <w:r>
        <w:rPr>
          <w:spacing w:val="1"/>
          <w:sz w:val="18"/>
        </w:rPr>
        <w:t> </w:t>
      </w:r>
      <w:r>
        <w:rPr>
          <w:sz w:val="18"/>
        </w:rPr>
        <w:t>need</w:t>
      </w:r>
      <w:r>
        <w:rPr>
          <w:spacing w:val="-3"/>
          <w:sz w:val="18"/>
        </w:rPr>
        <w:t> </w:t>
      </w:r>
      <w:r>
        <w:rPr>
          <w:sz w:val="18"/>
        </w:rPr>
        <w:t>to</w:t>
      </w:r>
      <w:r>
        <w:rPr>
          <w:spacing w:val="-2"/>
          <w:sz w:val="18"/>
        </w:rPr>
        <w:t> </w:t>
      </w:r>
      <w:r>
        <w:rPr>
          <w:sz w:val="18"/>
        </w:rPr>
        <w:t>do</w:t>
      </w:r>
      <w:r>
        <w:rPr>
          <w:spacing w:val="-2"/>
          <w:sz w:val="18"/>
        </w:rPr>
        <w:t> </w:t>
      </w:r>
      <w:r>
        <w:rPr>
          <w:sz w:val="18"/>
        </w:rPr>
        <w:t>at</w:t>
      </w:r>
      <w:r>
        <w:rPr>
          <w:spacing w:val="-2"/>
          <w:sz w:val="18"/>
        </w:rPr>
        <w:t> </w:t>
      </w:r>
      <w:r>
        <w:rPr>
          <w:sz w:val="18"/>
        </w:rPr>
        <w:t>home.</w:t>
      </w:r>
    </w:p>
    <w:p>
      <w:pPr>
        <w:pStyle w:val="BodyText"/>
        <w:rPr>
          <w:sz w:val="19"/>
        </w:rPr>
      </w:pPr>
    </w:p>
    <w:p>
      <w:pPr>
        <w:pStyle w:val="ListParagraph"/>
        <w:numPr>
          <w:ilvl w:val="1"/>
          <w:numId w:val="166"/>
        </w:numPr>
        <w:tabs>
          <w:tab w:pos="2580" w:val="left" w:leader="none"/>
          <w:tab w:pos="2581" w:val="left" w:leader="none"/>
        </w:tabs>
        <w:spacing w:line="240" w:lineRule="auto" w:before="0" w:after="0"/>
        <w:ind w:left="2580" w:right="0" w:hanging="721"/>
        <w:jc w:val="left"/>
        <w:rPr>
          <w:sz w:val="18"/>
        </w:rPr>
      </w:pPr>
      <w:r>
        <w:rPr>
          <w:sz w:val="18"/>
        </w:rPr>
        <w:t>Strongly</w:t>
      </w:r>
      <w:r>
        <w:rPr>
          <w:spacing w:val="-4"/>
          <w:sz w:val="18"/>
        </w:rPr>
        <w:t> </w:t>
      </w:r>
      <w:r>
        <w:rPr>
          <w:sz w:val="18"/>
        </w:rPr>
        <w:t>disagree</w:t>
      </w:r>
    </w:p>
    <w:p>
      <w:pPr>
        <w:pStyle w:val="ListParagraph"/>
        <w:numPr>
          <w:ilvl w:val="1"/>
          <w:numId w:val="166"/>
        </w:numPr>
        <w:tabs>
          <w:tab w:pos="2580" w:val="left" w:leader="none"/>
          <w:tab w:pos="2581" w:val="left" w:leader="none"/>
        </w:tabs>
        <w:spacing w:line="240" w:lineRule="auto" w:before="32" w:after="0"/>
        <w:ind w:left="2580" w:right="0" w:hanging="721"/>
        <w:jc w:val="left"/>
        <w:rPr>
          <w:sz w:val="18"/>
        </w:rPr>
      </w:pPr>
      <w:r>
        <w:rPr>
          <w:sz w:val="18"/>
        </w:rPr>
        <w:t>Disagree</w:t>
      </w:r>
    </w:p>
    <w:p>
      <w:pPr>
        <w:pStyle w:val="ListParagraph"/>
        <w:numPr>
          <w:ilvl w:val="1"/>
          <w:numId w:val="166"/>
        </w:numPr>
        <w:tabs>
          <w:tab w:pos="2580" w:val="left" w:leader="none"/>
          <w:tab w:pos="2581" w:val="left" w:leader="none"/>
        </w:tabs>
        <w:spacing w:line="240" w:lineRule="auto" w:before="34" w:after="0"/>
        <w:ind w:left="2580" w:right="0" w:hanging="721"/>
        <w:jc w:val="left"/>
        <w:rPr>
          <w:sz w:val="18"/>
        </w:rPr>
      </w:pPr>
      <w:r>
        <w:rPr>
          <w:sz w:val="18"/>
        </w:rPr>
        <w:t>Agree</w:t>
      </w:r>
    </w:p>
    <w:p>
      <w:pPr>
        <w:pStyle w:val="ListParagraph"/>
        <w:numPr>
          <w:ilvl w:val="1"/>
          <w:numId w:val="166"/>
        </w:numPr>
        <w:tabs>
          <w:tab w:pos="2580" w:val="left" w:leader="none"/>
          <w:tab w:pos="2581" w:val="left" w:leader="none"/>
        </w:tabs>
        <w:spacing w:line="240" w:lineRule="auto" w:before="34" w:after="0"/>
        <w:ind w:left="2580" w:right="0" w:hanging="721"/>
        <w:jc w:val="left"/>
        <w:rPr>
          <w:sz w:val="18"/>
        </w:rPr>
      </w:pPr>
      <w:r>
        <w:rPr>
          <w:sz w:val="18"/>
        </w:rPr>
        <w:t>Strongly</w:t>
      </w:r>
      <w:r>
        <w:rPr>
          <w:spacing w:val="-4"/>
          <w:sz w:val="18"/>
        </w:rPr>
        <w:t> </w:t>
      </w:r>
      <w:r>
        <w:rPr>
          <w:sz w:val="18"/>
        </w:rPr>
        <w:t>agree</w:t>
      </w:r>
    </w:p>
    <w:p>
      <w:pPr>
        <w:pStyle w:val="ListParagraph"/>
        <w:numPr>
          <w:ilvl w:val="0"/>
          <w:numId w:val="170"/>
        </w:numPr>
        <w:tabs>
          <w:tab w:pos="2580" w:val="left" w:leader="none"/>
          <w:tab w:pos="2581" w:val="left" w:leader="none"/>
        </w:tabs>
        <w:spacing w:line="240" w:lineRule="auto" w:before="33" w:after="0"/>
        <w:ind w:left="2580" w:right="0" w:hanging="721"/>
        <w:jc w:val="left"/>
        <w:rPr>
          <w:sz w:val="18"/>
        </w:rPr>
      </w:pPr>
      <w:r>
        <w:rPr>
          <w:sz w:val="18"/>
        </w:rPr>
        <w:t>(Don’t</w:t>
      </w:r>
      <w:r>
        <w:rPr>
          <w:spacing w:val="-3"/>
          <w:sz w:val="18"/>
        </w:rPr>
        <w:t> </w:t>
      </w:r>
      <w:r>
        <w:rPr>
          <w:sz w:val="18"/>
        </w:rPr>
        <w:t>know)</w:t>
      </w:r>
    </w:p>
    <w:p>
      <w:pPr>
        <w:pStyle w:val="ListParagraph"/>
        <w:numPr>
          <w:ilvl w:val="0"/>
          <w:numId w:val="170"/>
        </w:numPr>
        <w:tabs>
          <w:tab w:pos="2580" w:val="left" w:leader="none"/>
          <w:tab w:pos="2581" w:val="left" w:leader="none"/>
        </w:tabs>
        <w:spacing w:line="240" w:lineRule="auto" w:before="32" w:after="0"/>
        <w:ind w:left="2580" w:right="0" w:hanging="721"/>
        <w:jc w:val="left"/>
        <w:rPr>
          <w:sz w:val="18"/>
        </w:rPr>
      </w:pPr>
      <w:r>
        <w:rPr>
          <w:sz w:val="18"/>
        </w:rPr>
        <w:t>(Refused)</w:t>
      </w:r>
    </w:p>
    <w:p>
      <w:pPr>
        <w:pStyle w:val="BodyText"/>
        <w:spacing w:before="2"/>
        <w:rPr>
          <w:sz w:val="19"/>
        </w:rPr>
      </w:pPr>
    </w:p>
    <w:p>
      <w:pPr>
        <w:pStyle w:val="ListParagraph"/>
        <w:numPr>
          <w:ilvl w:val="0"/>
          <w:numId w:val="166"/>
        </w:numPr>
        <w:tabs>
          <w:tab w:pos="1838" w:val="left" w:leader="none"/>
          <w:tab w:pos="1839" w:val="left" w:leader="none"/>
        </w:tabs>
        <w:spacing w:line="240" w:lineRule="auto" w:before="0" w:after="0"/>
        <w:ind w:left="1838" w:right="0" w:hanging="699"/>
        <w:jc w:val="left"/>
        <w:rPr>
          <w:sz w:val="18"/>
        </w:rPr>
      </w:pPr>
      <w:r>
        <w:rPr>
          <w:sz w:val="18"/>
        </w:rPr>
        <w:t>I</w:t>
      </w:r>
      <w:r>
        <w:rPr>
          <w:spacing w:val="1"/>
          <w:sz w:val="18"/>
        </w:rPr>
        <w:t> </w:t>
      </w:r>
      <w:r>
        <w:rPr>
          <w:sz w:val="18"/>
        </w:rPr>
        <w:t>am</w:t>
      </w:r>
      <w:r>
        <w:rPr>
          <w:spacing w:val="-5"/>
          <w:sz w:val="18"/>
        </w:rPr>
        <w:t> </w:t>
      </w:r>
      <w:r>
        <w:rPr>
          <w:sz w:val="18"/>
        </w:rPr>
        <w:t>confident</w:t>
      </w:r>
      <w:r>
        <w:rPr>
          <w:spacing w:val="-4"/>
          <w:sz w:val="18"/>
        </w:rPr>
        <w:t> </w:t>
      </w:r>
      <w:r>
        <w:rPr>
          <w:sz w:val="18"/>
        </w:rPr>
        <w:t>I</w:t>
      </w:r>
      <w:r>
        <w:rPr>
          <w:spacing w:val="-2"/>
          <w:sz w:val="18"/>
        </w:rPr>
        <w:t> </w:t>
      </w:r>
      <w:r>
        <w:rPr>
          <w:sz w:val="18"/>
        </w:rPr>
        <w:t>can figure</w:t>
      </w:r>
      <w:r>
        <w:rPr>
          <w:spacing w:val="-3"/>
          <w:sz w:val="18"/>
        </w:rPr>
        <w:t> </w:t>
      </w:r>
      <w:r>
        <w:rPr>
          <w:sz w:val="18"/>
        </w:rPr>
        <w:t>out</w:t>
      </w:r>
      <w:r>
        <w:rPr>
          <w:spacing w:val="-2"/>
          <w:sz w:val="18"/>
        </w:rPr>
        <w:t> </w:t>
      </w:r>
      <w:r>
        <w:rPr>
          <w:sz w:val="18"/>
        </w:rPr>
        <w:t>solutions</w:t>
      </w:r>
      <w:r>
        <w:rPr>
          <w:spacing w:val="-1"/>
          <w:sz w:val="18"/>
        </w:rPr>
        <w:t> </w:t>
      </w:r>
      <w:r>
        <w:rPr>
          <w:sz w:val="18"/>
        </w:rPr>
        <w:t>when</w:t>
      </w:r>
      <w:r>
        <w:rPr>
          <w:spacing w:val="-1"/>
          <w:sz w:val="18"/>
        </w:rPr>
        <w:t> </w:t>
      </w:r>
      <w:r>
        <w:rPr>
          <w:sz w:val="18"/>
        </w:rPr>
        <w:t>new</w:t>
      </w:r>
      <w:r>
        <w:rPr>
          <w:spacing w:val="-2"/>
          <w:sz w:val="18"/>
        </w:rPr>
        <w:t> </w:t>
      </w:r>
      <w:r>
        <w:rPr>
          <w:sz w:val="18"/>
        </w:rPr>
        <w:t>situations</w:t>
      </w:r>
      <w:r>
        <w:rPr>
          <w:spacing w:val="-1"/>
          <w:sz w:val="18"/>
        </w:rPr>
        <w:t> </w:t>
      </w:r>
      <w:r>
        <w:rPr>
          <w:sz w:val="18"/>
        </w:rPr>
        <w:t>or</w:t>
      </w:r>
      <w:r>
        <w:rPr>
          <w:spacing w:val="-1"/>
          <w:sz w:val="18"/>
        </w:rPr>
        <w:t> </w:t>
      </w:r>
      <w:r>
        <w:rPr>
          <w:sz w:val="18"/>
        </w:rPr>
        <w:t>problems</w:t>
      </w:r>
      <w:r>
        <w:rPr>
          <w:spacing w:val="-2"/>
          <w:sz w:val="18"/>
        </w:rPr>
        <w:t> </w:t>
      </w:r>
      <w:r>
        <w:rPr>
          <w:sz w:val="18"/>
        </w:rPr>
        <w:t>arise</w:t>
      </w:r>
      <w:r>
        <w:rPr>
          <w:spacing w:val="-3"/>
          <w:sz w:val="18"/>
        </w:rPr>
        <w:t> </w:t>
      </w:r>
      <w:r>
        <w:rPr>
          <w:sz w:val="18"/>
        </w:rPr>
        <w:t>with</w:t>
      </w:r>
      <w:r>
        <w:rPr>
          <w:spacing w:val="-3"/>
          <w:sz w:val="18"/>
        </w:rPr>
        <w:t> </w:t>
      </w:r>
      <w:r>
        <w:rPr>
          <w:sz w:val="18"/>
        </w:rPr>
        <w:t>my</w:t>
      </w:r>
      <w:r>
        <w:rPr>
          <w:spacing w:val="-2"/>
          <w:sz w:val="18"/>
        </w:rPr>
        <w:t> </w:t>
      </w:r>
      <w:r>
        <w:rPr>
          <w:sz w:val="18"/>
        </w:rPr>
        <w:t>health</w:t>
      </w:r>
      <w:r>
        <w:rPr>
          <w:spacing w:val="-1"/>
          <w:sz w:val="18"/>
        </w:rPr>
        <w:t> </w:t>
      </w:r>
      <w:r>
        <w:rPr>
          <w:sz w:val="18"/>
        </w:rPr>
        <w:t>condition.</w:t>
      </w:r>
    </w:p>
    <w:p>
      <w:pPr>
        <w:pStyle w:val="BodyText"/>
        <w:rPr>
          <w:sz w:val="19"/>
        </w:rPr>
      </w:pPr>
    </w:p>
    <w:p>
      <w:pPr>
        <w:pStyle w:val="ListParagraph"/>
        <w:numPr>
          <w:ilvl w:val="1"/>
          <w:numId w:val="166"/>
        </w:numPr>
        <w:tabs>
          <w:tab w:pos="2580" w:val="left" w:leader="none"/>
          <w:tab w:pos="2581" w:val="left" w:leader="none"/>
        </w:tabs>
        <w:spacing w:line="240" w:lineRule="auto" w:before="0" w:after="0"/>
        <w:ind w:left="2580" w:right="0" w:hanging="721"/>
        <w:jc w:val="left"/>
        <w:rPr>
          <w:sz w:val="18"/>
        </w:rPr>
      </w:pPr>
      <w:r>
        <w:rPr>
          <w:sz w:val="18"/>
        </w:rPr>
        <w:t>Strongly</w:t>
      </w:r>
      <w:r>
        <w:rPr>
          <w:spacing w:val="-4"/>
          <w:sz w:val="18"/>
        </w:rPr>
        <w:t> </w:t>
      </w:r>
      <w:r>
        <w:rPr>
          <w:sz w:val="18"/>
        </w:rPr>
        <w:t>disagree</w:t>
      </w:r>
    </w:p>
    <w:p>
      <w:pPr>
        <w:pStyle w:val="ListParagraph"/>
        <w:numPr>
          <w:ilvl w:val="1"/>
          <w:numId w:val="166"/>
        </w:numPr>
        <w:tabs>
          <w:tab w:pos="2580" w:val="left" w:leader="none"/>
          <w:tab w:pos="2581" w:val="left" w:leader="none"/>
        </w:tabs>
        <w:spacing w:line="240" w:lineRule="auto" w:before="31" w:after="0"/>
        <w:ind w:left="2580" w:right="0" w:hanging="721"/>
        <w:jc w:val="left"/>
        <w:rPr>
          <w:sz w:val="18"/>
        </w:rPr>
      </w:pPr>
      <w:r>
        <w:rPr>
          <w:sz w:val="18"/>
        </w:rPr>
        <w:t>Disagree</w:t>
      </w:r>
    </w:p>
    <w:p>
      <w:pPr>
        <w:pStyle w:val="ListParagraph"/>
        <w:numPr>
          <w:ilvl w:val="1"/>
          <w:numId w:val="166"/>
        </w:numPr>
        <w:tabs>
          <w:tab w:pos="2580" w:val="left" w:leader="none"/>
          <w:tab w:pos="2581" w:val="left" w:leader="none"/>
        </w:tabs>
        <w:spacing w:line="240" w:lineRule="auto" w:before="34" w:after="0"/>
        <w:ind w:left="2580" w:right="0" w:hanging="721"/>
        <w:jc w:val="left"/>
        <w:rPr>
          <w:sz w:val="18"/>
        </w:rPr>
      </w:pPr>
      <w:r>
        <w:rPr>
          <w:sz w:val="18"/>
        </w:rPr>
        <w:t>Agree</w:t>
      </w:r>
    </w:p>
    <w:p>
      <w:pPr>
        <w:pStyle w:val="ListParagraph"/>
        <w:numPr>
          <w:ilvl w:val="1"/>
          <w:numId w:val="166"/>
        </w:numPr>
        <w:tabs>
          <w:tab w:pos="2580" w:val="left" w:leader="none"/>
          <w:tab w:pos="2581" w:val="left" w:leader="none"/>
        </w:tabs>
        <w:spacing w:line="240" w:lineRule="auto" w:before="34" w:after="0"/>
        <w:ind w:left="2580" w:right="0" w:hanging="721"/>
        <w:jc w:val="left"/>
        <w:rPr>
          <w:sz w:val="18"/>
        </w:rPr>
      </w:pPr>
      <w:r>
        <w:rPr>
          <w:sz w:val="18"/>
        </w:rPr>
        <w:t>Strongly</w:t>
      </w:r>
      <w:r>
        <w:rPr>
          <w:spacing w:val="-4"/>
          <w:sz w:val="18"/>
        </w:rPr>
        <w:t> </w:t>
      </w:r>
      <w:r>
        <w:rPr>
          <w:sz w:val="18"/>
        </w:rPr>
        <w:t>agree</w:t>
      </w:r>
    </w:p>
    <w:p>
      <w:pPr>
        <w:pStyle w:val="ListParagraph"/>
        <w:numPr>
          <w:ilvl w:val="0"/>
          <w:numId w:val="171"/>
        </w:numPr>
        <w:tabs>
          <w:tab w:pos="2580" w:val="left" w:leader="none"/>
          <w:tab w:pos="2581" w:val="left" w:leader="none"/>
        </w:tabs>
        <w:spacing w:line="240" w:lineRule="auto" w:before="33" w:after="0"/>
        <w:ind w:left="2580" w:right="0" w:hanging="721"/>
        <w:jc w:val="left"/>
        <w:rPr>
          <w:sz w:val="18"/>
        </w:rPr>
      </w:pPr>
      <w:r>
        <w:rPr>
          <w:sz w:val="18"/>
        </w:rPr>
        <w:t>(Don’t</w:t>
      </w:r>
      <w:r>
        <w:rPr>
          <w:spacing w:val="-3"/>
          <w:sz w:val="18"/>
        </w:rPr>
        <w:t> </w:t>
      </w:r>
      <w:r>
        <w:rPr>
          <w:sz w:val="18"/>
        </w:rPr>
        <w:t>know)</w:t>
      </w:r>
    </w:p>
    <w:p>
      <w:pPr>
        <w:pStyle w:val="ListParagraph"/>
        <w:numPr>
          <w:ilvl w:val="0"/>
          <w:numId w:val="171"/>
        </w:numPr>
        <w:tabs>
          <w:tab w:pos="2580" w:val="left" w:leader="none"/>
          <w:tab w:pos="2581" w:val="left" w:leader="none"/>
        </w:tabs>
        <w:spacing w:line="240" w:lineRule="auto" w:before="32" w:after="0"/>
        <w:ind w:left="2580" w:right="0" w:hanging="721"/>
        <w:jc w:val="left"/>
        <w:rPr>
          <w:sz w:val="18"/>
        </w:rPr>
      </w:pPr>
      <w:r>
        <w:rPr>
          <w:sz w:val="18"/>
        </w:rPr>
        <w:t>(Refused)</w:t>
      </w:r>
    </w:p>
    <w:p>
      <w:pPr>
        <w:pStyle w:val="BodyText"/>
        <w:rPr>
          <w:sz w:val="19"/>
        </w:rPr>
      </w:pPr>
    </w:p>
    <w:p>
      <w:pPr>
        <w:pStyle w:val="ListParagraph"/>
        <w:numPr>
          <w:ilvl w:val="0"/>
          <w:numId w:val="166"/>
        </w:numPr>
        <w:tabs>
          <w:tab w:pos="1860" w:val="left" w:leader="none"/>
          <w:tab w:pos="1861" w:val="left" w:leader="none"/>
        </w:tabs>
        <w:spacing w:line="240" w:lineRule="auto" w:before="0" w:after="0"/>
        <w:ind w:left="1860" w:right="0" w:hanging="721"/>
        <w:jc w:val="left"/>
        <w:rPr>
          <w:sz w:val="18"/>
        </w:rPr>
      </w:pPr>
      <w:r>
        <w:rPr>
          <w:sz w:val="18"/>
        </w:rPr>
        <w:t>I am</w:t>
      </w:r>
      <w:r>
        <w:rPr>
          <w:spacing w:val="-5"/>
          <w:sz w:val="18"/>
        </w:rPr>
        <w:t> </w:t>
      </w:r>
      <w:r>
        <w:rPr>
          <w:sz w:val="18"/>
        </w:rPr>
        <w:t>confident</w:t>
      </w:r>
      <w:r>
        <w:rPr>
          <w:spacing w:val="-3"/>
          <w:sz w:val="18"/>
        </w:rPr>
        <w:t> </w:t>
      </w:r>
      <w:r>
        <w:rPr>
          <w:sz w:val="18"/>
        </w:rPr>
        <w:t>that</w:t>
      </w:r>
      <w:r>
        <w:rPr>
          <w:spacing w:val="-4"/>
          <w:sz w:val="18"/>
        </w:rPr>
        <w:t> </w:t>
      </w:r>
      <w:r>
        <w:rPr>
          <w:sz w:val="18"/>
        </w:rPr>
        <w:t>I</w:t>
      </w:r>
      <w:r>
        <w:rPr>
          <w:spacing w:val="1"/>
          <w:sz w:val="18"/>
        </w:rPr>
        <w:t> </w:t>
      </w:r>
      <w:r>
        <w:rPr>
          <w:sz w:val="18"/>
        </w:rPr>
        <w:t>can</w:t>
      </w:r>
      <w:r>
        <w:rPr>
          <w:spacing w:val="-2"/>
          <w:sz w:val="18"/>
        </w:rPr>
        <w:t> </w:t>
      </w:r>
      <w:r>
        <w:rPr>
          <w:sz w:val="18"/>
        </w:rPr>
        <w:t>maintain</w:t>
      </w:r>
      <w:r>
        <w:rPr>
          <w:spacing w:val="-1"/>
          <w:sz w:val="18"/>
        </w:rPr>
        <w:t> </w:t>
      </w:r>
      <w:r>
        <w:rPr>
          <w:sz w:val="18"/>
        </w:rPr>
        <w:t>lifestyle</w:t>
      </w:r>
      <w:r>
        <w:rPr>
          <w:spacing w:val="-4"/>
          <w:sz w:val="18"/>
        </w:rPr>
        <w:t> </w:t>
      </w:r>
      <w:r>
        <w:rPr>
          <w:sz w:val="18"/>
        </w:rPr>
        <w:t>changes</w:t>
      </w:r>
      <w:r>
        <w:rPr>
          <w:spacing w:val="-2"/>
          <w:sz w:val="18"/>
        </w:rPr>
        <w:t> </w:t>
      </w:r>
      <w:r>
        <w:rPr>
          <w:sz w:val="18"/>
        </w:rPr>
        <w:t>like</w:t>
      </w:r>
      <w:r>
        <w:rPr>
          <w:spacing w:val="-3"/>
          <w:sz w:val="18"/>
        </w:rPr>
        <w:t> </w:t>
      </w:r>
      <w:r>
        <w:rPr>
          <w:sz w:val="18"/>
        </w:rPr>
        <w:t>diet</w:t>
      </w:r>
      <w:r>
        <w:rPr>
          <w:spacing w:val="-2"/>
          <w:sz w:val="18"/>
        </w:rPr>
        <w:t> </w:t>
      </w:r>
      <w:r>
        <w:rPr>
          <w:sz w:val="18"/>
        </w:rPr>
        <w:t>and</w:t>
      </w:r>
      <w:r>
        <w:rPr>
          <w:spacing w:val="-4"/>
          <w:sz w:val="18"/>
        </w:rPr>
        <w:t> </w:t>
      </w:r>
      <w:r>
        <w:rPr>
          <w:sz w:val="18"/>
        </w:rPr>
        <w:t>exercise</w:t>
      </w:r>
      <w:r>
        <w:rPr>
          <w:spacing w:val="-3"/>
          <w:sz w:val="18"/>
        </w:rPr>
        <w:t> </w:t>
      </w:r>
      <w:r>
        <w:rPr>
          <w:sz w:val="18"/>
        </w:rPr>
        <w:t>even</w:t>
      </w:r>
      <w:r>
        <w:rPr>
          <w:spacing w:val="-1"/>
          <w:sz w:val="18"/>
        </w:rPr>
        <w:t> </w:t>
      </w:r>
      <w:r>
        <w:rPr>
          <w:sz w:val="18"/>
        </w:rPr>
        <w:t>during</w:t>
      </w:r>
      <w:r>
        <w:rPr>
          <w:spacing w:val="-2"/>
          <w:sz w:val="18"/>
        </w:rPr>
        <w:t> </w:t>
      </w:r>
      <w:r>
        <w:rPr>
          <w:sz w:val="18"/>
        </w:rPr>
        <w:t>times</w:t>
      </w:r>
      <w:r>
        <w:rPr>
          <w:spacing w:val="-2"/>
          <w:sz w:val="18"/>
        </w:rPr>
        <w:t> </w:t>
      </w:r>
      <w:r>
        <w:rPr>
          <w:sz w:val="18"/>
        </w:rPr>
        <w:t>of</w:t>
      </w:r>
      <w:r>
        <w:rPr>
          <w:spacing w:val="-2"/>
          <w:sz w:val="18"/>
        </w:rPr>
        <w:t> </w:t>
      </w:r>
      <w:r>
        <w:rPr>
          <w:sz w:val="18"/>
        </w:rPr>
        <w:t>stress.</w:t>
      </w:r>
    </w:p>
    <w:p>
      <w:pPr>
        <w:pStyle w:val="BodyText"/>
        <w:rPr>
          <w:sz w:val="19"/>
        </w:rPr>
      </w:pPr>
    </w:p>
    <w:p>
      <w:pPr>
        <w:pStyle w:val="ListParagraph"/>
        <w:numPr>
          <w:ilvl w:val="1"/>
          <w:numId w:val="166"/>
        </w:numPr>
        <w:tabs>
          <w:tab w:pos="2580" w:val="left" w:leader="none"/>
          <w:tab w:pos="2581" w:val="left" w:leader="none"/>
        </w:tabs>
        <w:spacing w:line="240" w:lineRule="auto" w:before="0" w:after="0"/>
        <w:ind w:left="2580" w:right="0" w:hanging="721"/>
        <w:jc w:val="left"/>
        <w:rPr>
          <w:sz w:val="18"/>
        </w:rPr>
      </w:pPr>
      <w:r>
        <w:rPr>
          <w:sz w:val="18"/>
        </w:rPr>
        <w:t>Strongly</w:t>
      </w:r>
      <w:r>
        <w:rPr>
          <w:spacing w:val="-4"/>
          <w:sz w:val="18"/>
        </w:rPr>
        <w:t> </w:t>
      </w:r>
      <w:r>
        <w:rPr>
          <w:sz w:val="18"/>
        </w:rPr>
        <w:t>disagree</w:t>
      </w:r>
    </w:p>
    <w:p>
      <w:pPr>
        <w:pStyle w:val="ListParagraph"/>
        <w:numPr>
          <w:ilvl w:val="1"/>
          <w:numId w:val="166"/>
        </w:numPr>
        <w:tabs>
          <w:tab w:pos="2580" w:val="left" w:leader="none"/>
          <w:tab w:pos="2581" w:val="left" w:leader="none"/>
        </w:tabs>
        <w:spacing w:line="240" w:lineRule="auto" w:before="34" w:after="0"/>
        <w:ind w:left="2580" w:right="0" w:hanging="721"/>
        <w:jc w:val="left"/>
        <w:rPr>
          <w:sz w:val="18"/>
        </w:rPr>
      </w:pPr>
      <w:r>
        <w:rPr>
          <w:sz w:val="18"/>
        </w:rPr>
        <w:t>Disagree</w:t>
      </w:r>
    </w:p>
    <w:p>
      <w:pPr>
        <w:pStyle w:val="ListParagraph"/>
        <w:numPr>
          <w:ilvl w:val="1"/>
          <w:numId w:val="166"/>
        </w:numPr>
        <w:tabs>
          <w:tab w:pos="2580" w:val="left" w:leader="none"/>
          <w:tab w:pos="2581" w:val="left" w:leader="none"/>
        </w:tabs>
        <w:spacing w:line="240" w:lineRule="auto" w:before="33" w:after="0"/>
        <w:ind w:left="2580" w:right="0" w:hanging="721"/>
        <w:jc w:val="left"/>
        <w:rPr>
          <w:sz w:val="18"/>
        </w:rPr>
      </w:pPr>
      <w:r>
        <w:rPr>
          <w:sz w:val="18"/>
        </w:rPr>
        <w:t>Agree</w:t>
      </w:r>
    </w:p>
    <w:p>
      <w:pPr>
        <w:pStyle w:val="ListParagraph"/>
        <w:numPr>
          <w:ilvl w:val="1"/>
          <w:numId w:val="166"/>
        </w:numPr>
        <w:tabs>
          <w:tab w:pos="2580" w:val="left" w:leader="none"/>
          <w:tab w:pos="2581" w:val="left" w:leader="none"/>
        </w:tabs>
        <w:spacing w:line="240" w:lineRule="auto" w:before="34" w:after="0"/>
        <w:ind w:left="2580" w:right="0" w:hanging="721"/>
        <w:jc w:val="left"/>
        <w:rPr>
          <w:sz w:val="18"/>
        </w:rPr>
      </w:pPr>
      <w:r>
        <w:rPr>
          <w:sz w:val="18"/>
        </w:rPr>
        <w:t>Strongly</w:t>
      </w:r>
      <w:r>
        <w:rPr>
          <w:spacing w:val="-4"/>
          <w:sz w:val="18"/>
        </w:rPr>
        <w:t> </w:t>
      </w:r>
      <w:r>
        <w:rPr>
          <w:sz w:val="18"/>
        </w:rPr>
        <w:t>agree</w:t>
      </w:r>
    </w:p>
    <w:p>
      <w:pPr>
        <w:pStyle w:val="ListParagraph"/>
        <w:numPr>
          <w:ilvl w:val="0"/>
          <w:numId w:val="172"/>
        </w:numPr>
        <w:tabs>
          <w:tab w:pos="2580" w:val="left" w:leader="none"/>
          <w:tab w:pos="2581" w:val="left" w:leader="none"/>
        </w:tabs>
        <w:spacing w:line="240" w:lineRule="auto" w:before="32" w:after="0"/>
        <w:ind w:left="2580" w:right="0" w:hanging="721"/>
        <w:jc w:val="left"/>
        <w:rPr>
          <w:sz w:val="18"/>
        </w:rPr>
      </w:pPr>
      <w:r>
        <w:rPr>
          <w:sz w:val="18"/>
        </w:rPr>
        <w:t>(Don’t</w:t>
      </w:r>
      <w:r>
        <w:rPr>
          <w:spacing w:val="-3"/>
          <w:sz w:val="18"/>
        </w:rPr>
        <w:t> </w:t>
      </w:r>
      <w:r>
        <w:rPr>
          <w:sz w:val="18"/>
        </w:rPr>
        <w:t>know)</w:t>
      </w:r>
    </w:p>
    <w:p>
      <w:pPr>
        <w:pStyle w:val="ListParagraph"/>
        <w:numPr>
          <w:ilvl w:val="0"/>
          <w:numId w:val="172"/>
        </w:numPr>
        <w:tabs>
          <w:tab w:pos="2580" w:val="left" w:leader="none"/>
          <w:tab w:pos="2581" w:val="left" w:leader="none"/>
        </w:tabs>
        <w:spacing w:line="240" w:lineRule="auto" w:before="33" w:after="0"/>
        <w:ind w:left="2580" w:right="0" w:hanging="721"/>
        <w:jc w:val="left"/>
        <w:rPr>
          <w:sz w:val="18"/>
        </w:rPr>
      </w:pPr>
      <w:r>
        <w:rPr>
          <w:sz w:val="18"/>
        </w:rPr>
        <w:t>(Refused)</w:t>
      </w:r>
    </w:p>
    <w:p>
      <w:pPr>
        <w:pStyle w:val="BodyText"/>
        <w:rPr>
          <w:sz w:val="19"/>
        </w:rPr>
      </w:pPr>
    </w:p>
    <w:p>
      <w:pPr>
        <w:spacing w:before="0"/>
        <w:ind w:left="420" w:right="0" w:firstLine="0"/>
        <w:jc w:val="left"/>
        <w:rPr>
          <w:b/>
          <w:sz w:val="18"/>
        </w:rPr>
      </w:pPr>
      <w:r>
        <w:rPr>
          <w:b/>
          <w:sz w:val="18"/>
        </w:rPr>
        <w:t>MODULE</w:t>
      </w:r>
      <w:r>
        <w:rPr>
          <w:b/>
          <w:spacing w:val="-1"/>
          <w:sz w:val="18"/>
        </w:rPr>
        <w:t> </w:t>
      </w:r>
      <w:r>
        <w:rPr>
          <w:b/>
          <w:sz w:val="18"/>
        </w:rPr>
        <w:t>D</w:t>
      </w:r>
      <w:r>
        <w:rPr>
          <w:b/>
          <w:spacing w:val="-3"/>
          <w:sz w:val="18"/>
        </w:rPr>
        <w:t> </w:t>
      </w:r>
      <w:r>
        <w:rPr>
          <w:b/>
          <w:sz w:val="18"/>
        </w:rPr>
        <w:t>– Overall</w:t>
      </w:r>
      <w:r>
        <w:rPr>
          <w:b/>
          <w:spacing w:val="-2"/>
          <w:sz w:val="18"/>
        </w:rPr>
        <w:t> </w:t>
      </w:r>
      <w:r>
        <w:rPr>
          <w:b/>
          <w:sz w:val="18"/>
        </w:rPr>
        <w:t>health</w:t>
      </w:r>
      <w:r>
        <w:rPr>
          <w:b/>
          <w:spacing w:val="-1"/>
          <w:sz w:val="18"/>
        </w:rPr>
        <w:t> </w:t>
      </w:r>
      <w:r>
        <w:rPr>
          <w:b/>
          <w:sz w:val="18"/>
        </w:rPr>
        <w:t>today</w:t>
      </w:r>
    </w:p>
    <w:p>
      <w:pPr>
        <w:pStyle w:val="BodyText"/>
        <w:rPr>
          <w:b/>
          <w:sz w:val="19"/>
        </w:rPr>
      </w:pPr>
    </w:p>
    <w:p>
      <w:pPr>
        <w:tabs>
          <w:tab w:pos="1128" w:val="left" w:leader="none"/>
        </w:tabs>
        <w:spacing w:before="0"/>
        <w:ind w:left="420" w:right="0" w:firstLine="0"/>
        <w:jc w:val="left"/>
        <w:rPr>
          <w:sz w:val="18"/>
        </w:rPr>
      </w:pPr>
      <w:r>
        <w:rPr>
          <w:sz w:val="18"/>
        </w:rPr>
        <w:t>Q22</w:t>
        <w:tab/>
        <w:t>Can</w:t>
      </w:r>
      <w:r>
        <w:rPr>
          <w:spacing w:val="-3"/>
          <w:sz w:val="18"/>
        </w:rPr>
        <w:t> </w:t>
      </w:r>
      <w:r>
        <w:rPr>
          <w:sz w:val="18"/>
        </w:rPr>
        <w:t>you</w:t>
      </w:r>
      <w:r>
        <w:rPr>
          <w:spacing w:val="-1"/>
          <w:sz w:val="18"/>
        </w:rPr>
        <w:t> </w:t>
      </w:r>
      <w:r>
        <w:rPr>
          <w:sz w:val="18"/>
        </w:rPr>
        <w:t>please</w:t>
      </w:r>
      <w:r>
        <w:rPr>
          <w:spacing w:val="-2"/>
          <w:sz w:val="18"/>
        </w:rPr>
        <w:t> </w:t>
      </w:r>
      <w:r>
        <w:rPr>
          <w:sz w:val="18"/>
        </w:rPr>
        <w:t>tell</w:t>
      </w:r>
      <w:r>
        <w:rPr>
          <w:spacing w:val="-2"/>
          <w:sz w:val="18"/>
        </w:rPr>
        <w:t> </w:t>
      </w:r>
      <w:r>
        <w:rPr>
          <w:sz w:val="18"/>
        </w:rPr>
        <w:t>me</w:t>
      </w:r>
      <w:r>
        <w:rPr>
          <w:spacing w:val="-2"/>
          <w:sz w:val="18"/>
        </w:rPr>
        <w:t> </w:t>
      </w:r>
      <w:r>
        <w:rPr>
          <w:sz w:val="18"/>
        </w:rPr>
        <w:t>whether</w:t>
      </w:r>
      <w:r>
        <w:rPr>
          <w:spacing w:val="1"/>
          <w:sz w:val="18"/>
        </w:rPr>
        <w:t> </w:t>
      </w:r>
      <w:r>
        <w:rPr>
          <w:sz w:val="18"/>
        </w:rPr>
        <w:t>you</w:t>
      </w:r>
      <w:r>
        <w:rPr>
          <w:spacing w:val="-2"/>
          <w:sz w:val="18"/>
        </w:rPr>
        <w:t> </w:t>
      </w:r>
      <w:r>
        <w:rPr>
          <w:sz w:val="18"/>
        </w:rPr>
        <w:t>have</w:t>
      </w:r>
      <w:r>
        <w:rPr>
          <w:spacing w:val="-1"/>
          <w:sz w:val="18"/>
        </w:rPr>
        <w:t> </w:t>
      </w:r>
      <w:r>
        <w:rPr>
          <w:sz w:val="18"/>
        </w:rPr>
        <w:t>ever</w:t>
      </w:r>
      <w:r>
        <w:rPr>
          <w:spacing w:val="-4"/>
          <w:sz w:val="18"/>
        </w:rPr>
        <w:t> </w:t>
      </w:r>
      <w:r>
        <w:rPr>
          <w:sz w:val="18"/>
        </w:rPr>
        <w:t>been</w:t>
      </w:r>
      <w:r>
        <w:rPr>
          <w:spacing w:val="-1"/>
          <w:sz w:val="18"/>
        </w:rPr>
        <w:t> </w:t>
      </w:r>
      <w:r>
        <w:rPr>
          <w:sz w:val="18"/>
        </w:rPr>
        <w:t>told</w:t>
      </w:r>
      <w:r>
        <w:rPr>
          <w:spacing w:val="-3"/>
          <w:sz w:val="18"/>
        </w:rPr>
        <w:t> </w:t>
      </w:r>
      <w:r>
        <w:rPr>
          <w:sz w:val="18"/>
        </w:rPr>
        <w:t>by</w:t>
      </w:r>
      <w:r>
        <w:rPr>
          <w:spacing w:val="-2"/>
          <w:sz w:val="18"/>
        </w:rPr>
        <w:t> </w:t>
      </w:r>
      <w:r>
        <w:rPr>
          <w:sz w:val="18"/>
        </w:rPr>
        <w:t>a</w:t>
      </w:r>
      <w:r>
        <w:rPr>
          <w:spacing w:val="-3"/>
          <w:sz w:val="18"/>
        </w:rPr>
        <w:t> </w:t>
      </w:r>
      <w:r>
        <w:rPr>
          <w:sz w:val="18"/>
        </w:rPr>
        <w:t>doctor</w:t>
      </w:r>
      <w:r>
        <w:rPr>
          <w:spacing w:val="-1"/>
          <w:sz w:val="18"/>
        </w:rPr>
        <w:t> </w:t>
      </w:r>
      <w:r>
        <w:rPr>
          <w:sz w:val="18"/>
        </w:rPr>
        <w:t>that</w:t>
      </w:r>
      <w:r>
        <w:rPr>
          <w:spacing w:val="-4"/>
          <w:sz w:val="18"/>
        </w:rPr>
        <w:t> </w:t>
      </w:r>
      <w:r>
        <w:rPr>
          <w:sz w:val="18"/>
        </w:rPr>
        <w:t>you…?</w:t>
      </w:r>
    </w:p>
    <w:p>
      <w:pPr>
        <w:pStyle w:val="BodyText"/>
        <w:rPr>
          <w:sz w:val="19"/>
        </w:rPr>
      </w:pPr>
    </w:p>
    <w:p>
      <w:pPr>
        <w:pStyle w:val="ListParagraph"/>
        <w:numPr>
          <w:ilvl w:val="0"/>
          <w:numId w:val="173"/>
        </w:numPr>
        <w:tabs>
          <w:tab w:pos="1838" w:val="left" w:leader="none"/>
          <w:tab w:pos="1839" w:val="left" w:leader="none"/>
        </w:tabs>
        <w:spacing w:line="276" w:lineRule="auto" w:before="0" w:after="0"/>
        <w:ind w:left="1838" w:right="837" w:hanging="699"/>
        <w:jc w:val="left"/>
        <w:rPr>
          <w:sz w:val="18"/>
        </w:rPr>
      </w:pPr>
      <w:r>
        <w:rPr>
          <w:sz w:val="18"/>
        </w:rPr>
        <w:t>Have heart disease (includes coronary heart disease, angina, cardiomyopathy, ischaemic heart</w:t>
      </w:r>
      <w:r>
        <w:rPr>
          <w:spacing w:val="1"/>
          <w:sz w:val="18"/>
        </w:rPr>
        <w:t> </w:t>
      </w:r>
      <w:r>
        <w:rPr>
          <w:sz w:val="18"/>
        </w:rPr>
        <w:t>disease, heart failure, hypertensive heart disease, inflammatory heart disease, disease affecting one or</w:t>
      </w:r>
      <w:r>
        <w:rPr>
          <w:spacing w:val="-47"/>
          <w:sz w:val="18"/>
        </w:rPr>
        <w:t> </w:t>
      </w:r>
      <w:r>
        <w:rPr>
          <w:sz w:val="18"/>
        </w:rPr>
        <w:t>more valves of</w:t>
      </w:r>
      <w:r>
        <w:rPr>
          <w:spacing w:val="1"/>
          <w:sz w:val="18"/>
        </w:rPr>
        <w:t> </w:t>
      </w:r>
      <w:r>
        <w:rPr>
          <w:sz w:val="18"/>
        </w:rPr>
        <w:t>the</w:t>
      </w:r>
      <w:r>
        <w:rPr>
          <w:spacing w:val="1"/>
          <w:sz w:val="18"/>
        </w:rPr>
        <w:t> </w:t>
      </w:r>
      <w:r>
        <w:rPr>
          <w:sz w:val="18"/>
        </w:rPr>
        <w:t>heart,</w:t>
      </w:r>
      <w:r>
        <w:rPr>
          <w:spacing w:val="-1"/>
          <w:sz w:val="18"/>
        </w:rPr>
        <w:t> </w:t>
      </w:r>
      <w:r>
        <w:rPr>
          <w:sz w:val="18"/>
        </w:rPr>
        <w:t>heart</w:t>
      </w:r>
      <w:r>
        <w:rPr>
          <w:spacing w:val="-1"/>
          <w:sz w:val="18"/>
        </w:rPr>
        <w:t> </w:t>
      </w:r>
      <w:r>
        <w:rPr>
          <w:sz w:val="18"/>
        </w:rPr>
        <w:t>murmur,</w:t>
      </w:r>
      <w:r>
        <w:rPr>
          <w:spacing w:val="-2"/>
          <w:sz w:val="18"/>
        </w:rPr>
        <w:t> </w:t>
      </w:r>
      <w:r>
        <w:rPr>
          <w:sz w:val="18"/>
        </w:rPr>
        <w:t>having a pacemaker)</w:t>
      </w:r>
    </w:p>
    <w:p>
      <w:pPr>
        <w:pStyle w:val="BodyText"/>
        <w:spacing w:before="5"/>
        <w:rPr>
          <w:sz w:val="16"/>
        </w:rPr>
      </w:pPr>
    </w:p>
    <w:p>
      <w:pPr>
        <w:pStyle w:val="ListParagraph"/>
        <w:numPr>
          <w:ilvl w:val="1"/>
          <w:numId w:val="173"/>
        </w:numPr>
        <w:tabs>
          <w:tab w:pos="2580" w:val="left" w:leader="none"/>
          <w:tab w:pos="2581" w:val="left" w:leader="none"/>
        </w:tabs>
        <w:spacing w:line="240" w:lineRule="auto" w:before="0" w:after="0"/>
        <w:ind w:left="2580" w:right="0" w:hanging="721"/>
        <w:jc w:val="left"/>
        <w:rPr>
          <w:sz w:val="18"/>
        </w:rPr>
      </w:pPr>
      <w:r>
        <w:rPr>
          <w:sz w:val="18"/>
        </w:rPr>
        <w:t>Yes</w:t>
      </w:r>
    </w:p>
    <w:p>
      <w:pPr>
        <w:pStyle w:val="ListParagraph"/>
        <w:numPr>
          <w:ilvl w:val="1"/>
          <w:numId w:val="173"/>
        </w:numPr>
        <w:tabs>
          <w:tab w:pos="2580" w:val="left" w:leader="none"/>
          <w:tab w:pos="2581" w:val="left" w:leader="none"/>
        </w:tabs>
        <w:spacing w:line="240" w:lineRule="auto" w:before="34" w:after="0"/>
        <w:ind w:left="2580" w:right="0" w:hanging="721"/>
        <w:jc w:val="left"/>
        <w:rPr>
          <w:sz w:val="18"/>
        </w:rPr>
      </w:pPr>
      <w:r>
        <w:rPr>
          <w:sz w:val="18"/>
        </w:rPr>
        <w:t>No</w:t>
      </w:r>
    </w:p>
    <w:p>
      <w:pPr>
        <w:pStyle w:val="ListParagraph"/>
        <w:numPr>
          <w:ilvl w:val="0"/>
          <w:numId w:val="174"/>
        </w:numPr>
        <w:tabs>
          <w:tab w:pos="2580" w:val="left" w:leader="none"/>
          <w:tab w:pos="2581" w:val="left" w:leader="none"/>
        </w:tabs>
        <w:spacing w:line="240" w:lineRule="auto" w:before="34" w:after="0"/>
        <w:ind w:left="2580" w:right="0" w:hanging="721"/>
        <w:jc w:val="left"/>
        <w:rPr>
          <w:sz w:val="18"/>
        </w:rPr>
      </w:pPr>
      <w:r>
        <w:rPr>
          <w:sz w:val="18"/>
        </w:rPr>
        <w:t>(Don’t</w:t>
      </w:r>
      <w:r>
        <w:rPr>
          <w:spacing w:val="-3"/>
          <w:sz w:val="18"/>
        </w:rPr>
        <w:t> </w:t>
      </w:r>
      <w:r>
        <w:rPr>
          <w:sz w:val="18"/>
        </w:rPr>
        <w:t>know)</w:t>
      </w:r>
    </w:p>
    <w:p>
      <w:pPr>
        <w:pStyle w:val="ListParagraph"/>
        <w:numPr>
          <w:ilvl w:val="0"/>
          <w:numId w:val="174"/>
        </w:numPr>
        <w:tabs>
          <w:tab w:pos="2580" w:val="left" w:leader="none"/>
          <w:tab w:pos="2581" w:val="left" w:leader="none"/>
        </w:tabs>
        <w:spacing w:line="240" w:lineRule="auto" w:before="31" w:after="0"/>
        <w:ind w:left="2580" w:right="0" w:hanging="721"/>
        <w:jc w:val="left"/>
        <w:rPr>
          <w:sz w:val="18"/>
        </w:rPr>
      </w:pPr>
      <w:r>
        <w:rPr>
          <w:sz w:val="18"/>
        </w:rPr>
        <w:t>(Refused)</w:t>
      </w:r>
    </w:p>
    <w:p>
      <w:pPr>
        <w:pStyle w:val="BodyText"/>
        <w:rPr>
          <w:sz w:val="19"/>
        </w:rPr>
      </w:pPr>
    </w:p>
    <w:p>
      <w:pPr>
        <w:pStyle w:val="ListParagraph"/>
        <w:numPr>
          <w:ilvl w:val="0"/>
          <w:numId w:val="173"/>
        </w:numPr>
        <w:tabs>
          <w:tab w:pos="1838" w:val="left" w:leader="none"/>
          <w:tab w:pos="1839" w:val="left" w:leader="none"/>
        </w:tabs>
        <w:spacing w:line="240" w:lineRule="auto" w:before="0" w:after="0"/>
        <w:ind w:left="1838" w:right="0" w:hanging="699"/>
        <w:jc w:val="left"/>
        <w:rPr>
          <w:sz w:val="18"/>
        </w:rPr>
      </w:pPr>
      <w:r>
        <w:rPr>
          <w:sz w:val="18"/>
        </w:rPr>
        <w:t>Have</w:t>
      </w:r>
      <w:r>
        <w:rPr>
          <w:spacing w:val="-4"/>
          <w:sz w:val="18"/>
        </w:rPr>
        <w:t> </w:t>
      </w:r>
      <w:r>
        <w:rPr>
          <w:sz w:val="18"/>
        </w:rPr>
        <w:t>had</w:t>
      </w:r>
      <w:r>
        <w:rPr>
          <w:spacing w:val="-4"/>
          <w:sz w:val="18"/>
        </w:rPr>
        <w:t> </w:t>
      </w:r>
      <w:r>
        <w:rPr>
          <w:sz w:val="18"/>
        </w:rPr>
        <w:t>a</w:t>
      </w:r>
      <w:r>
        <w:rPr>
          <w:spacing w:val="-4"/>
          <w:sz w:val="18"/>
        </w:rPr>
        <w:t> </w:t>
      </w:r>
      <w:r>
        <w:rPr>
          <w:sz w:val="18"/>
        </w:rPr>
        <w:t>stroke</w:t>
      </w:r>
      <w:r>
        <w:rPr>
          <w:spacing w:val="-1"/>
          <w:sz w:val="18"/>
        </w:rPr>
        <w:t> </w:t>
      </w:r>
      <w:r>
        <w:rPr>
          <w:sz w:val="18"/>
        </w:rPr>
        <w:t>(this</w:t>
      </w:r>
      <w:r>
        <w:rPr>
          <w:spacing w:val="-4"/>
          <w:sz w:val="18"/>
        </w:rPr>
        <w:t> </w:t>
      </w:r>
      <w:r>
        <w:rPr>
          <w:sz w:val="18"/>
        </w:rPr>
        <w:t>includes</w:t>
      </w:r>
      <w:r>
        <w:rPr>
          <w:spacing w:val="-3"/>
          <w:sz w:val="18"/>
        </w:rPr>
        <w:t> </w:t>
      </w:r>
      <w:r>
        <w:rPr>
          <w:sz w:val="18"/>
        </w:rPr>
        <w:t>mini</w:t>
      </w:r>
      <w:r>
        <w:rPr>
          <w:spacing w:val="-1"/>
          <w:sz w:val="18"/>
        </w:rPr>
        <w:t> </w:t>
      </w:r>
      <w:r>
        <w:rPr>
          <w:sz w:val="18"/>
        </w:rPr>
        <w:t>strokes,</w:t>
      </w:r>
      <w:r>
        <w:rPr>
          <w:spacing w:val="-5"/>
          <w:sz w:val="18"/>
        </w:rPr>
        <w:t> </w:t>
      </w:r>
      <w:r>
        <w:rPr>
          <w:sz w:val="18"/>
        </w:rPr>
        <w:t>aneurisms,</w:t>
      </w:r>
      <w:r>
        <w:rPr>
          <w:spacing w:val="-2"/>
          <w:sz w:val="18"/>
        </w:rPr>
        <w:t> </w:t>
      </w:r>
      <w:r>
        <w:rPr>
          <w:sz w:val="18"/>
        </w:rPr>
        <w:t>trans-ischemic</w:t>
      </w:r>
      <w:r>
        <w:rPr>
          <w:spacing w:val="-2"/>
          <w:sz w:val="18"/>
        </w:rPr>
        <w:t> </w:t>
      </w:r>
      <w:r>
        <w:rPr>
          <w:sz w:val="18"/>
        </w:rPr>
        <w:t>attacks)</w:t>
      </w:r>
    </w:p>
    <w:p>
      <w:pPr>
        <w:pStyle w:val="BodyText"/>
        <w:rPr>
          <w:sz w:val="19"/>
        </w:rPr>
      </w:pPr>
    </w:p>
    <w:p>
      <w:pPr>
        <w:pStyle w:val="ListParagraph"/>
        <w:numPr>
          <w:ilvl w:val="1"/>
          <w:numId w:val="173"/>
        </w:numPr>
        <w:tabs>
          <w:tab w:pos="2580" w:val="left" w:leader="none"/>
          <w:tab w:pos="2581" w:val="left" w:leader="none"/>
        </w:tabs>
        <w:spacing w:line="240" w:lineRule="auto" w:before="0" w:after="0"/>
        <w:ind w:left="2580" w:right="0" w:hanging="721"/>
        <w:jc w:val="left"/>
        <w:rPr>
          <w:sz w:val="18"/>
        </w:rPr>
      </w:pPr>
      <w:r>
        <w:rPr>
          <w:sz w:val="18"/>
        </w:rPr>
        <w:t>Yes</w:t>
      </w:r>
    </w:p>
    <w:p>
      <w:pPr>
        <w:pStyle w:val="ListParagraph"/>
        <w:numPr>
          <w:ilvl w:val="1"/>
          <w:numId w:val="173"/>
        </w:numPr>
        <w:tabs>
          <w:tab w:pos="2580" w:val="left" w:leader="none"/>
          <w:tab w:pos="2581" w:val="left" w:leader="none"/>
        </w:tabs>
        <w:spacing w:line="240" w:lineRule="auto" w:before="34" w:after="0"/>
        <w:ind w:left="2580" w:right="0" w:hanging="721"/>
        <w:jc w:val="left"/>
        <w:rPr>
          <w:sz w:val="18"/>
        </w:rPr>
      </w:pPr>
      <w:r>
        <w:rPr>
          <w:sz w:val="18"/>
        </w:rPr>
        <w:t>No</w:t>
      </w:r>
    </w:p>
    <w:p>
      <w:pPr>
        <w:pStyle w:val="ListParagraph"/>
        <w:numPr>
          <w:ilvl w:val="0"/>
          <w:numId w:val="175"/>
        </w:numPr>
        <w:tabs>
          <w:tab w:pos="2580" w:val="left" w:leader="none"/>
          <w:tab w:pos="2581" w:val="left" w:leader="none"/>
        </w:tabs>
        <w:spacing w:line="240" w:lineRule="auto" w:before="34" w:after="0"/>
        <w:ind w:left="2580" w:right="0" w:hanging="721"/>
        <w:jc w:val="left"/>
        <w:rPr>
          <w:sz w:val="18"/>
        </w:rPr>
      </w:pPr>
      <w:r>
        <w:rPr>
          <w:sz w:val="18"/>
        </w:rPr>
        <w:t>(Don’t</w:t>
      </w:r>
      <w:r>
        <w:rPr>
          <w:spacing w:val="-3"/>
          <w:sz w:val="18"/>
        </w:rPr>
        <w:t> </w:t>
      </w:r>
      <w:r>
        <w:rPr>
          <w:sz w:val="18"/>
        </w:rPr>
        <w:t>know)</w:t>
      </w:r>
    </w:p>
    <w:p>
      <w:pPr>
        <w:pStyle w:val="ListParagraph"/>
        <w:numPr>
          <w:ilvl w:val="0"/>
          <w:numId w:val="175"/>
        </w:numPr>
        <w:tabs>
          <w:tab w:pos="2580" w:val="left" w:leader="none"/>
          <w:tab w:pos="2581" w:val="left" w:leader="none"/>
        </w:tabs>
        <w:spacing w:line="240" w:lineRule="auto" w:before="34" w:after="0"/>
        <w:ind w:left="2580" w:right="0" w:hanging="721"/>
        <w:jc w:val="left"/>
        <w:rPr>
          <w:sz w:val="18"/>
        </w:rPr>
      </w:pPr>
      <w:r>
        <w:rPr>
          <w:sz w:val="18"/>
        </w:rPr>
        <w:t>(Refused)</w:t>
      </w:r>
    </w:p>
    <w:p>
      <w:pPr>
        <w:pStyle w:val="BodyText"/>
        <w:spacing w:before="12"/>
        <w:rPr>
          <w:sz w:val="18"/>
        </w:rPr>
      </w:pPr>
    </w:p>
    <w:p>
      <w:pPr>
        <w:pStyle w:val="ListParagraph"/>
        <w:numPr>
          <w:ilvl w:val="0"/>
          <w:numId w:val="173"/>
        </w:numPr>
        <w:tabs>
          <w:tab w:pos="1838" w:val="left" w:leader="none"/>
          <w:tab w:pos="1839" w:val="left" w:leader="none"/>
        </w:tabs>
        <w:spacing w:line="240" w:lineRule="auto" w:before="0" w:after="0"/>
        <w:ind w:left="1838" w:right="0" w:hanging="699"/>
        <w:jc w:val="left"/>
        <w:rPr>
          <w:sz w:val="18"/>
        </w:rPr>
      </w:pPr>
      <w:r>
        <w:rPr>
          <w:sz w:val="18"/>
        </w:rPr>
        <w:t>Have</w:t>
      </w:r>
      <w:r>
        <w:rPr>
          <w:spacing w:val="-3"/>
          <w:sz w:val="18"/>
        </w:rPr>
        <w:t> </w:t>
      </w:r>
      <w:r>
        <w:rPr>
          <w:sz w:val="18"/>
        </w:rPr>
        <w:t>cancer</w:t>
      </w:r>
      <w:r>
        <w:rPr>
          <w:spacing w:val="-1"/>
          <w:sz w:val="18"/>
        </w:rPr>
        <w:t> </w:t>
      </w:r>
      <w:r>
        <w:rPr>
          <w:sz w:val="18"/>
        </w:rPr>
        <w:t>(includes</w:t>
      </w:r>
      <w:r>
        <w:rPr>
          <w:spacing w:val="-1"/>
          <w:sz w:val="18"/>
        </w:rPr>
        <w:t> </w:t>
      </w:r>
      <w:r>
        <w:rPr>
          <w:sz w:val="18"/>
        </w:rPr>
        <w:t>skin</w:t>
      </w:r>
      <w:r>
        <w:rPr>
          <w:spacing w:val="-4"/>
          <w:sz w:val="18"/>
        </w:rPr>
        <w:t> </w:t>
      </w:r>
      <w:r>
        <w:rPr>
          <w:sz w:val="18"/>
        </w:rPr>
        <w:t>cancer)</w:t>
      </w:r>
    </w:p>
    <w:p>
      <w:pPr>
        <w:pStyle w:val="BodyText"/>
        <w:rPr>
          <w:sz w:val="19"/>
        </w:rPr>
      </w:pPr>
    </w:p>
    <w:p>
      <w:pPr>
        <w:pStyle w:val="ListParagraph"/>
        <w:numPr>
          <w:ilvl w:val="1"/>
          <w:numId w:val="173"/>
        </w:numPr>
        <w:tabs>
          <w:tab w:pos="2580" w:val="left" w:leader="none"/>
          <w:tab w:pos="2581" w:val="left" w:leader="none"/>
        </w:tabs>
        <w:spacing w:line="240" w:lineRule="auto" w:before="0" w:after="0"/>
        <w:ind w:left="2580" w:right="0" w:hanging="721"/>
        <w:jc w:val="left"/>
        <w:rPr>
          <w:sz w:val="18"/>
        </w:rPr>
      </w:pPr>
      <w:r>
        <w:rPr>
          <w:sz w:val="18"/>
        </w:rPr>
        <w:t>Yes</w:t>
      </w:r>
    </w:p>
    <w:p>
      <w:pPr>
        <w:pStyle w:val="ListParagraph"/>
        <w:numPr>
          <w:ilvl w:val="1"/>
          <w:numId w:val="173"/>
        </w:numPr>
        <w:tabs>
          <w:tab w:pos="2580" w:val="left" w:leader="none"/>
          <w:tab w:pos="2581" w:val="left" w:leader="none"/>
        </w:tabs>
        <w:spacing w:line="240" w:lineRule="auto" w:before="34" w:after="0"/>
        <w:ind w:left="2580" w:right="0" w:hanging="721"/>
        <w:jc w:val="left"/>
        <w:rPr>
          <w:sz w:val="18"/>
        </w:rPr>
      </w:pPr>
      <w:r>
        <w:rPr>
          <w:sz w:val="18"/>
        </w:rPr>
        <w:t>No</w:t>
      </w:r>
    </w:p>
    <w:p>
      <w:pPr>
        <w:pStyle w:val="ListParagraph"/>
        <w:numPr>
          <w:ilvl w:val="0"/>
          <w:numId w:val="176"/>
        </w:numPr>
        <w:tabs>
          <w:tab w:pos="2580" w:val="left" w:leader="none"/>
          <w:tab w:pos="2581" w:val="left" w:leader="none"/>
        </w:tabs>
        <w:spacing w:line="240" w:lineRule="auto" w:before="31" w:after="0"/>
        <w:ind w:left="2580" w:right="0" w:hanging="721"/>
        <w:jc w:val="left"/>
        <w:rPr>
          <w:sz w:val="18"/>
        </w:rPr>
      </w:pPr>
      <w:r>
        <w:rPr>
          <w:sz w:val="18"/>
        </w:rPr>
        <w:t>(Don’t</w:t>
      </w:r>
      <w:r>
        <w:rPr>
          <w:spacing w:val="-3"/>
          <w:sz w:val="18"/>
        </w:rPr>
        <w:t> </w:t>
      </w:r>
      <w:r>
        <w:rPr>
          <w:sz w:val="18"/>
        </w:rPr>
        <w:t>know)</w:t>
      </w:r>
    </w:p>
    <w:p>
      <w:pPr>
        <w:pStyle w:val="ListParagraph"/>
        <w:numPr>
          <w:ilvl w:val="0"/>
          <w:numId w:val="176"/>
        </w:numPr>
        <w:tabs>
          <w:tab w:pos="2580" w:val="left" w:leader="none"/>
          <w:tab w:pos="2581" w:val="left" w:leader="none"/>
        </w:tabs>
        <w:spacing w:line="240" w:lineRule="auto" w:before="34" w:after="0"/>
        <w:ind w:left="2580" w:right="0" w:hanging="721"/>
        <w:jc w:val="left"/>
        <w:rPr>
          <w:sz w:val="18"/>
        </w:rPr>
      </w:pPr>
      <w:r>
        <w:rPr>
          <w:sz w:val="18"/>
        </w:rPr>
        <w:t>(Refused)</w:t>
      </w:r>
    </w:p>
    <w:p>
      <w:pPr>
        <w:pStyle w:val="BodyText"/>
        <w:spacing w:before="12"/>
        <w:rPr>
          <w:sz w:val="18"/>
        </w:rPr>
      </w:pPr>
    </w:p>
    <w:p>
      <w:pPr>
        <w:pStyle w:val="ListParagraph"/>
        <w:numPr>
          <w:ilvl w:val="0"/>
          <w:numId w:val="173"/>
        </w:numPr>
        <w:tabs>
          <w:tab w:pos="1838" w:val="left" w:leader="none"/>
          <w:tab w:pos="1839" w:val="left" w:leader="none"/>
        </w:tabs>
        <w:spacing w:line="240" w:lineRule="auto" w:before="0" w:after="0"/>
        <w:ind w:left="1838" w:right="0" w:hanging="699"/>
        <w:jc w:val="left"/>
        <w:rPr>
          <w:sz w:val="18"/>
        </w:rPr>
      </w:pPr>
      <w:r>
        <w:rPr>
          <w:sz w:val="18"/>
        </w:rPr>
        <w:t>Have</w:t>
      </w:r>
      <w:r>
        <w:rPr>
          <w:spacing w:val="-4"/>
          <w:sz w:val="18"/>
        </w:rPr>
        <w:t> </w:t>
      </w:r>
      <w:r>
        <w:rPr>
          <w:sz w:val="18"/>
        </w:rPr>
        <w:t>osteoporosis</w:t>
      </w:r>
      <w:r>
        <w:rPr>
          <w:spacing w:val="-1"/>
          <w:sz w:val="18"/>
        </w:rPr>
        <w:t> </w:t>
      </w:r>
      <w:r>
        <w:rPr>
          <w:sz w:val="18"/>
        </w:rPr>
        <w:t>(not</w:t>
      </w:r>
      <w:r>
        <w:rPr>
          <w:spacing w:val="-4"/>
          <w:sz w:val="18"/>
        </w:rPr>
        <w:t> </w:t>
      </w:r>
      <w:r>
        <w:rPr>
          <w:sz w:val="18"/>
        </w:rPr>
        <w:t>osteoarthritis)</w:t>
      </w:r>
    </w:p>
    <w:p>
      <w:pPr>
        <w:pStyle w:val="BodyText"/>
        <w:spacing w:before="12"/>
        <w:rPr>
          <w:sz w:val="18"/>
        </w:rPr>
      </w:pPr>
    </w:p>
    <w:p>
      <w:pPr>
        <w:pStyle w:val="ListParagraph"/>
        <w:numPr>
          <w:ilvl w:val="1"/>
          <w:numId w:val="173"/>
        </w:numPr>
        <w:tabs>
          <w:tab w:pos="2580" w:val="left" w:leader="none"/>
          <w:tab w:pos="2581" w:val="left" w:leader="none"/>
        </w:tabs>
        <w:spacing w:line="240" w:lineRule="auto" w:before="0" w:after="0"/>
        <w:ind w:left="2580" w:right="0" w:hanging="721"/>
        <w:jc w:val="left"/>
        <w:rPr>
          <w:sz w:val="18"/>
        </w:rPr>
      </w:pPr>
      <w:r>
        <w:rPr>
          <w:sz w:val="18"/>
        </w:rPr>
        <w:t>Yes</w:t>
      </w:r>
    </w:p>
    <w:p>
      <w:pPr>
        <w:pStyle w:val="ListParagraph"/>
        <w:numPr>
          <w:ilvl w:val="1"/>
          <w:numId w:val="173"/>
        </w:numPr>
        <w:tabs>
          <w:tab w:pos="2580" w:val="left" w:leader="none"/>
          <w:tab w:pos="2581" w:val="left" w:leader="none"/>
        </w:tabs>
        <w:spacing w:line="240" w:lineRule="auto" w:before="34" w:after="0"/>
        <w:ind w:left="2580" w:right="0" w:hanging="721"/>
        <w:jc w:val="left"/>
        <w:rPr>
          <w:sz w:val="18"/>
        </w:rPr>
      </w:pPr>
      <w:r>
        <w:rPr>
          <w:sz w:val="18"/>
        </w:rPr>
        <w:t>No</w:t>
      </w:r>
    </w:p>
    <w:p>
      <w:pPr>
        <w:pStyle w:val="ListParagraph"/>
        <w:numPr>
          <w:ilvl w:val="0"/>
          <w:numId w:val="177"/>
        </w:numPr>
        <w:tabs>
          <w:tab w:pos="2580" w:val="left" w:leader="none"/>
          <w:tab w:pos="2581" w:val="left" w:leader="none"/>
        </w:tabs>
        <w:spacing w:line="240" w:lineRule="auto" w:before="34" w:after="0"/>
        <w:ind w:left="2580" w:right="0" w:hanging="721"/>
        <w:jc w:val="left"/>
        <w:rPr>
          <w:sz w:val="18"/>
        </w:rPr>
      </w:pPr>
      <w:r>
        <w:rPr>
          <w:sz w:val="18"/>
        </w:rPr>
        <w:t>(Don’t</w:t>
      </w:r>
      <w:r>
        <w:rPr>
          <w:spacing w:val="-3"/>
          <w:sz w:val="18"/>
        </w:rPr>
        <w:t> </w:t>
      </w:r>
      <w:r>
        <w:rPr>
          <w:sz w:val="18"/>
        </w:rPr>
        <w:t>know)</w:t>
      </w:r>
    </w:p>
    <w:p>
      <w:pPr>
        <w:pStyle w:val="ListParagraph"/>
        <w:numPr>
          <w:ilvl w:val="0"/>
          <w:numId w:val="177"/>
        </w:numPr>
        <w:tabs>
          <w:tab w:pos="2580" w:val="left" w:leader="none"/>
          <w:tab w:pos="2581" w:val="left" w:leader="none"/>
        </w:tabs>
        <w:spacing w:line="240" w:lineRule="auto" w:before="33" w:after="0"/>
        <w:ind w:left="2580" w:right="0" w:hanging="721"/>
        <w:jc w:val="left"/>
        <w:rPr>
          <w:sz w:val="18"/>
        </w:rPr>
      </w:pPr>
      <w:r>
        <w:rPr>
          <w:sz w:val="18"/>
        </w:rPr>
        <w:t>(Refused)</w:t>
      </w:r>
    </w:p>
    <w:p>
      <w:pPr>
        <w:spacing w:after="0" w:line="240" w:lineRule="auto"/>
        <w:jc w:val="left"/>
        <w:rPr>
          <w:sz w:val="18"/>
        </w:rPr>
        <w:sectPr>
          <w:pgSz w:w="11910" w:h="16840"/>
          <w:pgMar w:header="0" w:footer="948" w:top="860" w:bottom="1140" w:left="300" w:right="0"/>
        </w:sectPr>
      </w:pPr>
    </w:p>
    <w:tbl>
      <w:tblPr>
        <w:tblW w:w="0" w:type="auto"/>
        <w:jc w:val="left"/>
        <w:tblInd w:w="10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3"/>
        <w:gridCol w:w="751"/>
        <w:gridCol w:w="2967"/>
      </w:tblGrid>
      <w:tr>
        <w:trPr>
          <w:trHeight w:val="337" w:hRule="atLeast"/>
        </w:trPr>
        <w:tc>
          <w:tcPr>
            <w:tcW w:w="483" w:type="dxa"/>
          </w:tcPr>
          <w:p>
            <w:pPr>
              <w:pStyle w:val="TableParagraph"/>
              <w:spacing w:line="216" w:lineRule="exact"/>
              <w:ind w:left="50"/>
              <w:rPr>
                <w:sz w:val="18"/>
              </w:rPr>
            </w:pPr>
            <w:r>
              <w:rPr>
                <w:sz w:val="18"/>
              </w:rPr>
              <w:t>e.</w:t>
            </w:r>
          </w:p>
        </w:tc>
        <w:tc>
          <w:tcPr>
            <w:tcW w:w="751" w:type="dxa"/>
          </w:tcPr>
          <w:p>
            <w:pPr>
              <w:pStyle w:val="TableParagraph"/>
              <w:spacing w:line="216" w:lineRule="exact"/>
              <w:ind w:left="265"/>
              <w:rPr>
                <w:sz w:val="18"/>
              </w:rPr>
            </w:pPr>
            <w:r>
              <w:rPr>
                <w:sz w:val="18"/>
              </w:rPr>
              <w:t>Have</w:t>
            </w:r>
          </w:p>
        </w:tc>
        <w:tc>
          <w:tcPr>
            <w:tcW w:w="2967" w:type="dxa"/>
          </w:tcPr>
          <w:p>
            <w:pPr>
              <w:pStyle w:val="TableParagraph"/>
              <w:spacing w:line="216" w:lineRule="exact"/>
              <w:ind w:left="25"/>
              <w:rPr>
                <w:sz w:val="18"/>
              </w:rPr>
            </w:pPr>
            <w:r>
              <w:rPr>
                <w:sz w:val="18"/>
              </w:rPr>
              <w:t>depression</w:t>
            </w:r>
            <w:r>
              <w:rPr>
                <w:spacing w:val="-2"/>
                <w:sz w:val="18"/>
              </w:rPr>
              <w:t> </w:t>
            </w:r>
            <w:r>
              <w:rPr>
                <w:sz w:val="18"/>
              </w:rPr>
              <w:t>or</w:t>
            </w:r>
            <w:r>
              <w:rPr>
                <w:spacing w:val="-3"/>
                <w:sz w:val="18"/>
              </w:rPr>
              <w:t> </w:t>
            </w:r>
            <w:r>
              <w:rPr>
                <w:sz w:val="18"/>
              </w:rPr>
              <w:t>anxiety</w:t>
            </w:r>
          </w:p>
        </w:tc>
      </w:tr>
      <w:tr>
        <w:trPr>
          <w:trHeight w:val="352" w:hRule="atLeast"/>
        </w:trPr>
        <w:tc>
          <w:tcPr>
            <w:tcW w:w="483" w:type="dxa"/>
          </w:tcPr>
          <w:p>
            <w:pPr>
              <w:pStyle w:val="TableParagraph"/>
              <w:rPr>
                <w:rFonts w:ascii="Times New Roman"/>
                <w:sz w:val="18"/>
              </w:rPr>
            </w:pPr>
          </w:p>
        </w:tc>
        <w:tc>
          <w:tcPr>
            <w:tcW w:w="751" w:type="dxa"/>
          </w:tcPr>
          <w:p>
            <w:pPr>
              <w:pStyle w:val="TableParagraph"/>
              <w:spacing w:before="112"/>
              <w:ind w:left="286"/>
              <w:rPr>
                <w:sz w:val="18"/>
              </w:rPr>
            </w:pPr>
            <w:r>
              <w:rPr>
                <w:sz w:val="18"/>
              </w:rPr>
              <w:t>1.</w:t>
            </w:r>
          </w:p>
        </w:tc>
        <w:tc>
          <w:tcPr>
            <w:tcW w:w="2967" w:type="dxa"/>
          </w:tcPr>
          <w:p>
            <w:pPr>
              <w:pStyle w:val="TableParagraph"/>
              <w:spacing w:before="112"/>
              <w:ind w:left="255"/>
              <w:rPr>
                <w:sz w:val="18"/>
              </w:rPr>
            </w:pPr>
            <w:r>
              <w:rPr>
                <w:sz w:val="18"/>
              </w:rPr>
              <w:t>Yes</w:t>
            </w:r>
          </w:p>
        </w:tc>
      </w:tr>
      <w:tr>
        <w:trPr>
          <w:trHeight w:val="253" w:hRule="atLeast"/>
        </w:trPr>
        <w:tc>
          <w:tcPr>
            <w:tcW w:w="483" w:type="dxa"/>
          </w:tcPr>
          <w:p>
            <w:pPr>
              <w:pStyle w:val="TableParagraph"/>
              <w:rPr>
                <w:rFonts w:ascii="Times New Roman"/>
                <w:sz w:val="18"/>
              </w:rPr>
            </w:pPr>
          </w:p>
        </w:tc>
        <w:tc>
          <w:tcPr>
            <w:tcW w:w="751" w:type="dxa"/>
          </w:tcPr>
          <w:p>
            <w:pPr>
              <w:pStyle w:val="TableParagraph"/>
              <w:spacing w:before="11"/>
              <w:ind w:left="286"/>
              <w:rPr>
                <w:sz w:val="18"/>
              </w:rPr>
            </w:pPr>
            <w:r>
              <w:rPr>
                <w:sz w:val="18"/>
              </w:rPr>
              <w:t>2.</w:t>
            </w:r>
          </w:p>
        </w:tc>
        <w:tc>
          <w:tcPr>
            <w:tcW w:w="2967" w:type="dxa"/>
          </w:tcPr>
          <w:p>
            <w:pPr>
              <w:pStyle w:val="TableParagraph"/>
              <w:spacing w:before="11"/>
              <w:ind w:left="255"/>
              <w:rPr>
                <w:sz w:val="18"/>
              </w:rPr>
            </w:pPr>
            <w:r>
              <w:rPr>
                <w:sz w:val="18"/>
              </w:rPr>
              <w:t>No</w:t>
            </w:r>
          </w:p>
        </w:tc>
      </w:tr>
      <w:tr>
        <w:trPr>
          <w:trHeight w:val="254" w:hRule="atLeast"/>
        </w:trPr>
        <w:tc>
          <w:tcPr>
            <w:tcW w:w="483" w:type="dxa"/>
          </w:tcPr>
          <w:p>
            <w:pPr>
              <w:pStyle w:val="TableParagraph"/>
              <w:rPr>
                <w:rFonts w:ascii="Times New Roman"/>
                <w:sz w:val="18"/>
              </w:rPr>
            </w:pPr>
          </w:p>
        </w:tc>
        <w:tc>
          <w:tcPr>
            <w:tcW w:w="751" w:type="dxa"/>
          </w:tcPr>
          <w:p>
            <w:pPr>
              <w:pStyle w:val="TableParagraph"/>
              <w:spacing w:before="12"/>
              <w:ind w:left="286"/>
              <w:rPr>
                <w:sz w:val="18"/>
              </w:rPr>
            </w:pPr>
            <w:r>
              <w:rPr>
                <w:sz w:val="18"/>
              </w:rPr>
              <w:t>98.</w:t>
            </w:r>
          </w:p>
        </w:tc>
        <w:tc>
          <w:tcPr>
            <w:tcW w:w="2967" w:type="dxa"/>
          </w:tcPr>
          <w:p>
            <w:pPr>
              <w:pStyle w:val="TableParagraph"/>
              <w:spacing w:before="12"/>
              <w:ind w:left="255"/>
              <w:rPr>
                <w:sz w:val="18"/>
              </w:rPr>
            </w:pPr>
            <w:r>
              <w:rPr>
                <w:sz w:val="18"/>
              </w:rPr>
              <w:t>(Don’t</w:t>
            </w:r>
            <w:r>
              <w:rPr>
                <w:spacing w:val="-3"/>
                <w:sz w:val="18"/>
              </w:rPr>
              <w:t> </w:t>
            </w:r>
            <w:r>
              <w:rPr>
                <w:sz w:val="18"/>
              </w:rPr>
              <w:t>know)</w:t>
            </w:r>
          </w:p>
        </w:tc>
      </w:tr>
      <w:tr>
        <w:trPr>
          <w:trHeight w:val="354" w:hRule="atLeast"/>
        </w:trPr>
        <w:tc>
          <w:tcPr>
            <w:tcW w:w="483" w:type="dxa"/>
          </w:tcPr>
          <w:p>
            <w:pPr>
              <w:pStyle w:val="TableParagraph"/>
              <w:rPr>
                <w:rFonts w:ascii="Times New Roman"/>
                <w:sz w:val="18"/>
              </w:rPr>
            </w:pPr>
          </w:p>
        </w:tc>
        <w:tc>
          <w:tcPr>
            <w:tcW w:w="751" w:type="dxa"/>
          </w:tcPr>
          <w:p>
            <w:pPr>
              <w:pStyle w:val="TableParagraph"/>
              <w:spacing w:before="12"/>
              <w:ind w:left="286"/>
              <w:rPr>
                <w:sz w:val="18"/>
              </w:rPr>
            </w:pPr>
            <w:r>
              <w:rPr>
                <w:sz w:val="18"/>
              </w:rPr>
              <w:t>99.</w:t>
            </w:r>
          </w:p>
        </w:tc>
        <w:tc>
          <w:tcPr>
            <w:tcW w:w="2967" w:type="dxa"/>
          </w:tcPr>
          <w:p>
            <w:pPr>
              <w:pStyle w:val="TableParagraph"/>
              <w:spacing w:before="12"/>
              <w:ind w:left="255"/>
              <w:rPr>
                <w:sz w:val="18"/>
              </w:rPr>
            </w:pPr>
            <w:r>
              <w:rPr>
                <w:sz w:val="18"/>
              </w:rPr>
              <w:t>(Refused)</w:t>
            </w:r>
          </w:p>
        </w:tc>
      </w:tr>
      <w:tr>
        <w:trPr>
          <w:trHeight w:val="453" w:hRule="atLeast"/>
        </w:trPr>
        <w:tc>
          <w:tcPr>
            <w:tcW w:w="483" w:type="dxa"/>
          </w:tcPr>
          <w:p>
            <w:pPr>
              <w:pStyle w:val="TableParagraph"/>
              <w:spacing w:before="112"/>
              <w:ind w:left="50"/>
              <w:rPr>
                <w:sz w:val="18"/>
              </w:rPr>
            </w:pPr>
            <w:r>
              <w:rPr>
                <w:sz w:val="18"/>
              </w:rPr>
              <w:t>f.</w:t>
            </w:r>
          </w:p>
        </w:tc>
        <w:tc>
          <w:tcPr>
            <w:tcW w:w="751" w:type="dxa"/>
          </w:tcPr>
          <w:p>
            <w:pPr>
              <w:pStyle w:val="TableParagraph"/>
              <w:spacing w:before="112"/>
              <w:ind w:left="265"/>
              <w:rPr>
                <w:sz w:val="18"/>
              </w:rPr>
            </w:pPr>
            <w:r>
              <w:rPr>
                <w:sz w:val="18"/>
              </w:rPr>
              <w:t>Have</w:t>
            </w:r>
          </w:p>
        </w:tc>
        <w:tc>
          <w:tcPr>
            <w:tcW w:w="2967" w:type="dxa"/>
          </w:tcPr>
          <w:p>
            <w:pPr>
              <w:pStyle w:val="TableParagraph"/>
              <w:spacing w:before="112"/>
              <w:ind w:left="25"/>
              <w:rPr>
                <w:sz w:val="18"/>
              </w:rPr>
            </w:pPr>
            <w:r>
              <w:rPr>
                <w:sz w:val="18"/>
              </w:rPr>
              <w:t>arthritis</w:t>
            </w:r>
          </w:p>
        </w:tc>
      </w:tr>
      <w:tr>
        <w:trPr>
          <w:trHeight w:val="353" w:hRule="atLeast"/>
        </w:trPr>
        <w:tc>
          <w:tcPr>
            <w:tcW w:w="483" w:type="dxa"/>
          </w:tcPr>
          <w:p>
            <w:pPr>
              <w:pStyle w:val="TableParagraph"/>
              <w:rPr>
                <w:rFonts w:ascii="Times New Roman"/>
                <w:sz w:val="18"/>
              </w:rPr>
            </w:pPr>
          </w:p>
        </w:tc>
        <w:tc>
          <w:tcPr>
            <w:tcW w:w="751" w:type="dxa"/>
          </w:tcPr>
          <w:p>
            <w:pPr>
              <w:pStyle w:val="TableParagraph"/>
              <w:spacing w:before="112"/>
              <w:ind w:left="286"/>
              <w:rPr>
                <w:sz w:val="18"/>
              </w:rPr>
            </w:pPr>
            <w:r>
              <w:rPr>
                <w:sz w:val="18"/>
              </w:rPr>
              <w:t>1.</w:t>
            </w:r>
          </w:p>
        </w:tc>
        <w:tc>
          <w:tcPr>
            <w:tcW w:w="2967" w:type="dxa"/>
          </w:tcPr>
          <w:p>
            <w:pPr>
              <w:pStyle w:val="TableParagraph"/>
              <w:spacing w:before="112"/>
              <w:ind w:left="255"/>
              <w:rPr>
                <w:sz w:val="18"/>
              </w:rPr>
            </w:pPr>
            <w:r>
              <w:rPr>
                <w:sz w:val="18"/>
              </w:rPr>
              <w:t>Yes</w:t>
            </w:r>
          </w:p>
        </w:tc>
      </w:tr>
      <w:tr>
        <w:trPr>
          <w:trHeight w:val="254" w:hRule="atLeast"/>
        </w:trPr>
        <w:tc>
          <w:tcPr>
            <w:tcW w:w="483" w:type="dxa"/>
          </w:tcPr>
          <w:p>
            <w:pPr>
              <w:pStyle w:val="TableParagraph"/>
              <w:rPr>
                <w:rFonts w:ascii="Times New Roman"/>
                <w:sz w:val="18"/>
              </w:rPr>
            </w:pPr>
          </w:p>
        </w:tc>
        <w:tc>
          <w:tcPr>
            <w:tcW w:w="751" w:type="dxa"/>
          </w:tcPr>
          <w:p>
            <w:pPr>
              <w:pStyle w:val="TableParagraph"/>
              <w:spacing w:before="12"/>
              <w:ind w:left="286"/>
              <w:rPr>
                <w:sz w:val="18"/>
              </w:rPr>
            </w:pPr>
            <w:r>
              <w:rPr>
                <w:sz w:val="18"/>
              </w:rPr>
              <w:t>2.</w:t>
            </w:r>
          </w:p>
        </w:tc>
        <w:tc>
          <w:tcPr>
            <w:tcW w:w="2967" w:type="dxa"/>
          </w:tcPr>
          <w:p>
            <w:pPr>
              <w:pStyle w:val="TableParagraph"/>
              <w:spacing w:before="12"/>
              <w:ind w:left="255"/>
              <w:rPr>
                <w:sz w:val="18"/>
              </w:rPr>
            </w:pPr>
            <w:r>
              <w:rPr>
                <w:sz w:val="18"/>
              </w:rPr>
              <w:t>No</w:t>
            </w:r>
          </w:p>
        </w:tc>
      </w:tr>
      <w:tr>
        <w:trPr>
          <w:trHeight w:val="253" w:hRule="atLeast"/>
        </w:trPr>
        <w:tc>
          <w:tcPr>
            <w:tcW w:w="483" w:type="dxa"/>
          </w:tcPr>
          <w:p>
            <w:pPr>
              <w:pStyle w:val="TableParagraph"/>
              <w:rPr>
                <w:rFonts w:ascii="Times New Roman"/>
                <w:sz w:val="18"/>
              </w:rPr>
            </w:pPr>
          </w:p>
        </w:tc>
        <w:tc>
          <w:tcPr>
            <w:tcW w:w="751" w:type="dxa"/>
          </w:tcPr>
          <w:p>
            <w:pPr>
              <w:pStyle w:val="TableParagraph"/>
              <w:spacing w:before="12"/>
              <w:ind w:left="286"/>
              <w:rPr>
                <w:sz w:val="18"/>
              </w:rPr>
            </w:pPr>
            <w:r>
              <w:rPr>
                <w:sz w:val="18"/>
              </w:rPr>
              <w:t>98.</w:t>
            </w:r>
          </w:p>
        </w:tc>
        <w:tc>
          <w:tcPr>
            <w:tcW w:w="2967" w:type="dxa"/>
          </w:tcPr>
          <w:p>
            <w:pPr>
              <w:pStyle w:val="TableParagraph"/>
              <w:spacing w:before="12"/>
              <w:ind w:left="255"/>
              <w:rPr>
                <w:sz w:val="18"/>
              </w:rPr>
            </w:pPr>
            <w:r>
              <w:rPr>
                <w:sz w:val="18"/>
              </w:rPr>
              <w:t>(Don’t</w:t>
            </w:r>
            <w:r>
              <w:rPr>
                <w:spacing w:val="-3"/>
                <w:sz w:val="18"/>
              </w:rPr>
              <w:t> </w:t>
            </w:r>
            <w:r>
              <w:rPr>
                <w:sz w:val="18"/>
              </w:rPr>
              <w:t>know)</w:t>
            </w:r>
          </w:p>
        </w:tc>
      </w:tr>
      <w:tr>
        <w:trPr>
          <w:trHeight w:val="352" w:hRule="atLeast"/>
        </w:trPr>
        <w:tc>
          <w:tcPr>
            <w:tcW w:w="483" w:type="dxa"/>
          </w:tcPr>
          <w:p>
            <w:pPr>
              <w:pStyle w:val="TableParagraph"/>
              <w:rPr>
                <w:rFonts w:ascii="Times New Roman"/>
                <w:sz w:val="18"/>
              </w:rPr>
            </w:pPr>
          </w:p>
        </w:tc>
        <w:tc>
          <w:tcPr>
            <w:tcW w:w="751" w:type="dxa"/>
          </w:tcPr>
          <w:p>
            <w:pPr>
              <w:pStyle w:val="TableParagraph"/>
              <w:spacing w:before="11"/>
              <w:ind w:left="286"/>
              <w:rPr>
                <w:sz w:val="18"/>
              </w:rPr>
            </w:pPr>
            <w:r>
              <w:rPr>
                <w:sz w:val="18"/>
              </w:rPr>
              <w:t>99.</w:t>
            </w:r>
          </w:p>
        </w:tc>
        <w:tc>
          <w:tcPr>
            <w:tcW w:w="2967" w:type="dxa"/>
          </w:tcPr>
          <w:p>
            <w:pPr>
              <w:pStyle w:val="TableParagraph"/>
              <w:spacing w:before="11"/>
              <w:ind w:left="255"/>
              <w:rPr>
                <w:sz w:val="18"/>
              </w:rPr>
            </w:pPr>
            <w:r>
              <w:rPr>
                <w:sz w:val="18"/>
              </w:rPr>
              <w:t>(Refused)</w:t>
            </w:r>
          </w:p>
        </w:tc>
      </w:tr>
      <w:tr>
        <w:trPr>
          <w:trHeight w:val="455" w:hRule="atLeast"/>
        </w:trPr>
        <w:tc>
          <w:tcPr>
            <w:tcW w:w="483" w:type="dxa"/>
          </w:tcPr>
          <w:p>
            <w:pPr>
              <w:pStyle w:val="TableParagraph"/>
              <w:rPr>
                <w:rFonts w:ascii="Times New Roman"/>
                <w:sz w:val="18"/>
              </w:rPr>
            </w:pPr>
          </w:p>
        </w:tc>
        <w:tc>
          <w:tcPr>
            <w:tcW w:w="751" w:type="dxa"/>
          </w:tcPr>
          <w:p>
            <w:pPr>
              <w:pStyle w:val="TableParagraph"/>
              <w:spacing w:before="112"/>
              <w:ind w:left="286"/>
              <w:rPr>
                <w:sz w:val="18"/>
              </w:rPr>
            </w:pPr>
            <w:r>
              <w:rPr>
                <w:sz w:val="18"/>
              </w:rPr>
              <w:t>g.</w:t>
            </w:r>
          </w:p>
        </w:tc>
        <w:tc>
          <w:tcPr>
            <w:tcW w:w="2967" w:type="dxa"/>
          </w:tcPr>
          <w:p>
            <w:pPr>
              <w:pStyle w:val="TableParagraph"/>
              <w:spacing w:before="112"/>
              <w:ind w:left="255"/>
              <w:rPr>
                <w:sz w:val="18"/>
              </w:rPr>
            </w:pPr>
            <w:r>
              <w:rPr>
                <w:sz w:val="18"/>
              </w:rPr>
              <w:t>Have</w:t>
            </w:r>
            <w:r>
              <w:rPr>
                <w:spacing w:val="-3"/>
                <w:sz w:val="18"/>
              </w:rPr>
              <w:t> </w:t>
            </w:r>
            <w:r>
              <w:rPr>
                <w:sz w:val="18"/>
              </w:rPr>
              <w:t>diabetes</w:t>
            </w:r>
          </w:p>
        </w:tc>
      </w:tr>
      <w:tr>
        <w:trPr>
          <w:trHeight w:val="354" w:hRule="atLeast"/>
        </w:trPr>
        <w:tc>
          <w:tcPr>
            <w:tcW w:w="483" w:type="dxa"/>
          </w:tcPr>
          <w:p>
            <w:pPr>
              <w:pStyle w:val="TableParagraph"/>
              <w:rPr>
                <w:rFonts w:ascii="Times New Roman"/>
                <w:sz w:val="18"/>
              </w:rPr>
            </w:pPr>
          </w:p>
        </w:tc>
        <w:tc>
          <w:tcPr>
            <w:tcW w:w="751" w:type="dxa"/>
          </w:tcPr>
          <w:p>
            <w:pPr>
              <w:pStyle w:val="TableParagraph"/>
              <w:spacing w:before="113"/>
              <w:ind w:left="286"/>
              <w:rPr>
                <w:sz w:val="18"/>
              </w:rPr>
            </w:pPr>
            <w:r>
              <w:rPr>
                <w:sz w:val="18"/>
              </w:rPr>
              <w:t>1.</w:t>
            </w:r>
          </w:p>
        </w:tc>
        <w:tc>
          <w:tcPr>
            <w:tcW w:w="2967" w:type="dxa"/>
          </w:tcPr>
          <w:p>
            <w:pPr>
              <w:pStyle w:val="TableParagraph"/>
              <w:spacing w:before="113"/>
              <w:ind w:left="255"/>
              <w:rPr>
                <w:sz w:val="18"/>
              </w:rPr>
            </w:pPr>
            <w:r>
              <w:rPr>
                <w:sz w:val="18"/>
              </w:rPr>
              <w:t>Yes</w:t>
            </w:r>
          </w:p>
        </w:tc>
      </w:tr>
      <w:tr>
        <w:trPr>
          <w:trHeight w:val="253" w:hRule="atLeast"/>
        </w:trPr>
        <w:tc>
          <w:tcPr>
            <w:tcW w:w="483" w:type="dxa"/>
          </w:tcPr>
          <w:p>
            <w:pPr>
              <w:pStyle w:val="TableParagraph"/>
              <w:rPr>
                <w:rFonts w:ascii="Times New Roman"/>
                <w:sz w:val="18"/>
              </w:rPr>
            </w:pPr>
          </w:p>
        </w:tc>
        <w:tc>
          <w:tcPr>
            <w:tcW w:w="751" w:type="dxa"/>
          </w:tcPr>
          <w:p>
            <w:pPr>
              <w:pStyle w:val="TableParagraph"/>
              <w:spacing w:before="11"/>
              <w:ind w:left="286"/>
              <w:rPr>
                <w:sz w:val="18"/>
              </w:rPr>
            </w:pPr>
            <w:r>
              <w:rPr>
                <w:sz w:val="18"/>
              </w:rPr>
              <w:t>2.</w:t>
            </w:r>
          </w:p>
        </w:tc>
        <w:tc>
          <w:tcPr>
            <w:tcW w:w="2967" w:type="dxa"/>
          </w:tcPr>
          <w:p>
            <w:pPr>
              <w:pStyle w:val="TableParagraph"/>
              <w:spacing w:before="11"/>
              <w:ind w:left="255"/>
              <w:rPr>
                <w:sz w:val="18"/>
              </w:rPr>
            </w:pPr>
            <w:r>
              <w:rPr>
                <w:sz w:val="18"/>
              </w:rPr>
              <w:t>No</w:t>
            </w:r>
          </w:p>
        </w:tc>
      </w:tr>
      <w:tr>
        <w:trPr>
          <w:trHeight w:val="254" w:hRule="atLeast"/>
        </w:trPr>
        <w:tc>
          <w:tcPr>
            <w:tcW w:w="483" w:type="dxa"/>
          </w:tcPr>
          <w:p>
            <w:pPr>
              <w:pStyle w:val="TableParagraph"/>
              <w:rPr>
                <w:rFonts w:ascii="Times New Roman"/>
                <w:sz w:val="18"/>
              </w:rPr>
            </w:pPr>
          </w:p>
        </w:tc>
        <w:tc>
          <w:tcPr>
            <w:tcW w:w="751" w:type="dxa"/>
          </w:tcPr>
          <w:p>
            <w:pPr>
              <w:pStyle w:val="TableParagraph"/>
              <w:spacing w:before="12"/>
              <w:ind w:left="286"/>
              <w:rPr>
                <w:sz w:val="18"/>
              </w:rPr>
            </w:pPr>
            <w:r>
              <w:rPr>
                <w:sz w:val="18"/>
              </w:rPr>
              <w:t>98.</w:t>
            </w:r>
          </w:p>
        </w:tc>
        <w:tc>
          <w:tcPr>
            <w:tcW w:w="2967" w:type="dxa"/>
          </w:tcPr>
          <w:p>
            <w:pPr>
              <w:pStyle w:val="TableParagraph"/>
              <w:spacing w:before="12"/>
              <w:ind w:left="255"/>
              <w:rPr>
                <w:sz w:val="18"/>
              </w:rPr>
            </w:pPr>
            <w:r>
              <w:rPr>
                <w:sz w:val="18"/>
              </w:rPr>
              <w:t>(Don’t</w:t>
            </w:r>
            <w:r>
              <w:rPr>
                <w:spacing w:val="-3"/>
                <w:sz w:val="18"/>
              </w:rPr>
              <w:t> </w:t>
            </w:r>
            <w:r>
              <w:rPr>
                <w:sz w:val="18"/>
              </w:rPr>
              <w:t>know)</w:t>
            </w:r>
          </w:p>
        </w:tc>
      </w:tr>
      <w:tr>
        <w:trPr>
          <w:trHeight w:val="354" w:hRule="atLeast"/>
        </w:trPr>
        <w:tc>
          <w:tcPr>
            <w:tcW w:w="483" w:type="dxa"/>
          </w:tcPr>
          <w:p>
            <w:pPr>
              <w:pStyle w:val="TableParagraph"/>
              <w:rPr>
                <w:rFonts w:ascii="Times New Roman"/>
                <w:sz w:val="18"/>
              </w:rPr>
            </w:pPr>
          </w:p>
        </w:tc>
        <w:tc>
          <w:tcPr>
            <w:tcW w:w="751" w:type="dxa"/>
          </w:tcPr>
          <w:p>
            <w:pPr>
              <w:pStyle w:val="TableParagraph"/>
              <w:spacing w:before="12"/>
              <w:ind w:left="286"/>
              <w:rPr>
                <w:sz w:val="18"/>
              </w:rPr>
            </w:pPr>
            <w:r>
              <w:rPr>
                <w:sz w:val="18"/>
              </w:rPr>
              <w:t>99.</w:t>
            </w:r>
          </w:p>
        </w:tc>
        <w:tc>
          <w:tcPr>
            <w:tcW w:w="2967" w:type="dxa"/>
          </w:tcPr>
          <w:p>
            <w:pPr>
              <w:pStyle w:val="TableParagraph"/>
              <w:spacing w:before="12"/>
              <w:ind w:left="255"/>
              <w:rPr>
                <w:sz w:val="18"/>
              </w:rPr>
            </w:pPr>
            <w:r>
              <w:rPr>
                <w:sz w:val="18"/>
              </w:rPr>
              <w:t>(Refused)</w:t>
            </w:r>
          </w:p>
        </w:tc>
      </w:tr>
      <w:tr>
        <w:trPr>
          <w:trHeight w:val="453" w:hRule="atLeast"/>
        </w:trPr>
        <w:tc>
          <w:tcPr>
            <w:tcW w:w="483" w:type="dxa"/>
          </w:tcPr>
          <w:p>
            <w:pPr>
              <w:pStyle w:val="TableParagraph"/>
              <w:spacing w:before="112"/>
              <w:ind w:left="50"/>
              <w:rPr>
                <w:sz w:val="18"/>
              </w:rPr>
            </w:pPr>
            <w:r>
              <w:rPr>
                <w:sz w:val="18"/>
              </w:rPr>
              <w:t>h.</w:t>
            </w:r>
          </w:p>
        </w:tc>
        <w:tc>
          <w:tcPr>
            <w:tcW w:w="751" w:type="dxa"/>
          </w:tcPr>
          <w:p>
            <w:pPr>
              <w:pStyle w:val="TableParagraph"/>
              <w:spacing w:before="112"/>
              <w:ind w:left="265"/>
              <w:rPr>
                <w:sz w:val="18"/>
              </w:rPr>
            </w:pPr>
            <w:r>
              <w:rPr>
                <w:sz w:val="18"/>
              </w:rPr>
              <w:t>Have</w:t>
            </w:r>
          </w:p>
        </w:tc>
        <w:tc>
          <w:tcPr>
            <w:tcW w:w="2967" w:type="dxa"/>
          </w:tcPr>
          <w:p>
            <w:pPr>
              <w:pStyle w:val="TableParagraph"/>
              <w:spacing w:before="112"/>
              <w:ind w:left="25"/>
              <w:rPr>
                <w:sz w:val="18"/>
              </w:rPr>
            </w:pPr>
            <w:r>
              <w:rPr>
                <w:sz w:val="18"/>
              </w:rPr>
              <w:t>high</w:t>
            </w:r>
            <w:r>
              <w:rPr>
                <w:spacing w:val="-2"/>
                <w:sz w:val="18"/>
              </w:rPr>
              <w:t> </w:t>
            </w:r>
            <w:r>
              <w:rPr>
                <w:sz w:val="18"/>
              </w:rPr>
              <w:t>blood</w:t>
            </w:r>
            <w:r>
              <w:rPr>
                <w:spacing w:val="-3"/>
                <w:sz w:val="18"/>
              </w:rPr>
              <w:t> </w:t>
            </w:r>
            <w:r>
              <w:rPr>
                <w:sz w:val="18"/>
              </w:rPr>
              <w:t>pressure</w:t>
            </w:r>
          </w:p>
        </w:tc>
      </w:tr>
      <w:tr>
        <w:trPr>
          <w:trHeight w:val="354" w:hRule="atLeast"/>
        </w:trPr>
        <w:tc>
          <w:tcPr>
            <w:tcW w:w="483" w:type="dxa"/>
          </w:tcPr>
          <w:p>
            <w:pPr>
              <w:pStyle w:val="TableParagraph"/>
              <w:rPr>
                <w:rFonts w:ascii="Times New Roman"/>
                <w:sz w:val="18"/>
              </w:rPr>
            </w:pPr>
          </w:p>
        </w:tc>
        <w:tc>
          <w:tcPr>
            <w:tcW w:w="751" w:type="dxa"/>
          </w:tcPr>
          <w:p>
            <w:pPr>
              <w:pStyle w:val="TableParagraph"/>
              <w:spacing w:before="112"/>
              <w:ind w:left="286"/>
              <w:rPr>
                <w:sz w:val="18"/>
              </w:rPr>
            </w:pPr>
            <w:r>
              <w:rPr>
                <w:sz w:val="18"/>
              </w:rPr>
              <w:t>1.</w:t>
            </w:r>
          </w:p>
        </w:tc>
        <w:tc>
          <w:tcPr>
            <w:tcW w:w="2967" w:type="dxa"/>
          </w:tcPr>
          <w:p>
            <w:pPr>
              <w:pStyle w:val="TableParagraph"/>
              <w:spacing w:before="112"/>
              <w:ind w:left="255"/>
              <w:rPr>
                <w:sz w:val="18"/>
              </w:rPr>
            </w:pPr>
            <w:r>
              <w:rPr>
                <w:sz w:val="18"/>
              </w:rPr>
              <w:t>Yes</w:t>
            </w:r>
          </w:p>
        </w:tc>
      </w:tr>
      <w:tr>
        <w:trPr>
          <w:trHeight w:val="253" w:hRule="atLeast"/>
        </w:trPr>
        <w:tc>
          <w:tcPr>
            <w:tcW w:w="483" w:type="dxa"/>
          </w:tcPr>
          <w:p>
            <w:pPr>
              <w:pStyle w:val="TableParagraph"/>
              <w:rPr>
                <w:rFonts w:ascii="Times New Roman"/>
                <w:sz w:val="18"/>
              </w:rPr>
            </w:pPr>
          </w:p>
        </w:tc>
        <w:tc>
          <w:tcPr>
            <w:tcW w:w="751" w:type="dxa"/>
          </w:tcPr>
          <w:p>
            <w:pPr>
              <w:pStyle w:val="TableParagraph"/>
              <w:spacing w:before="12"/>
              <w:ind w:left="286"/>
              <w:rPr>
                <w:sz w:val="18"/>
              </w:rPr>
            </w:pPr>
            <w:r>
              <w:rPr>
                <w:sz w:val="18"/>
              </w:rPr>
              <w:t>2.</w:t>
            </w:r>
          </w:p>
        </w:tc>
        <w:tc>
          <w:tcPr>
            <w:tcW w:w="2967" w:type="dxa"/>
          </w:tcPr>
          <w:p>
            <w:pPr>
              <w:pStyle w:val="TableParagraph"/>
              <w:spacing w:before="12"/>
              <w:ind w:left="255"/>
              <w:rPr>
                <w:sz w:val="18"/>
              </w:rPr>
            </w:pPr>
            <w:r>
              <w:rPr>
                <w:sz w:val="18"/>
              </w:rPr>
              <w:t>No</w:t>
            </w:r>
          </w:p>
        </w:tc>
      </w:tr>
      <w:tr>
        <w:trPr>
          <w:trHeight w:val="253" w:hRule="atLeast"/>
        </w:trPr>
        <w:tc>
          <w:tcPr>
            <w:tcW w:w="483" w:type="dxa"/>
          </w:tcPr>
          <w:p>
            <w:pPr>
              <w:pStyle w:val="TableParagraph"/>
              <w:rPr>
                <w:rFonts w:ascii="Times New Roman"/>
                <w:sz w:val="18"/>
              </w:rPr>
            </w:pPr>
          </w:p>
        </w:tc>
        <w:tc>
          <w:tcPr>
            <w:tcW w:w="751" w:type="dxa"/>
          </w:tcPr>
          <w:p>
            <w:pPr>
              <w:pStyle w:val="TableParagraph"/>
              <w:spacing w:before="11"/>
              <w:ind w:left="286"/>
              <w:rPr>
                <w:sz w:val="18"/>
              </w:rPr>
            </w:pPr>
            <w:r>
              <w:rPr>
                <w:sz w:val="18"/>
              </w:rPr>
              <w:t>98.</w:t>
            </w:r>
          </w:p>
        </w:tc>
        <w:tc>
          <w:tcPr>
            <w:tcW w:w="2967" w:type="dxa"/>
          </w:tcPr>
          <w:p>
            <w:pPr>
              <w:pStyle w:val="TableParagraph"/>
              <w:spacing w:before="11"/>
              <w:ind w:left="255"/>
              <w:rPr>
                <w:sz w:val="18"/>
              </w:rPr>
            </w:pPr>
            <w:r>
              <w:rPr>
                <w:sz w:val="18"/>
              </w:rPr>
              <w:t>(Don’t</w:t>
            </w:r>
            <w:r>
              <w:rPr>
                <w:spacing w:val="-3"/>
                <w:sz w:val="18"/>
              </w:rPr>
              <w:t> </w:t>
            </w:r>
            <w:r>
              <w:rPr>
                <w:sz w:val="18"/>
              </w:rPr>
              <w:t>know)</w:t>
            </w:r>
          </w:p>
        </w:tc>
      </w:tr>
      <w:tr>
        <w:trPr>
          <w:trHeight w:val="353" w:hRule="atLeast"/>
        </w:trPr>
        <w:tc>
          <w:tcPr>
            <w:tcW w:w="483" w:type="dxa"/>
          </w:tcPr>
          <w:p>
            <w:pPr>
              <w:pStyle w:val="TableParagraph"/>
              <w:rPr>
                <w:rFonts w:ascii="Times New Roman"/>
                <w:sz w:val="18"/>
              </w:rPr>
            </w:pPr>
          </w:p>
        </w:tc>
        <w:tc>
          <w:tcPr>
            <w:tcW w:w="751" w:type="dxa"/>
          </w:tcPr>
          <w:p>
            <w:pPr>
              <w:pStyle w:val="TableParagraph"/>
              <w:spacing w:before="12"/>
              <w:ind w:left="286"/>
              <w:rPr>
                <w:sz w:val="18"/>
              </w:rPr>
            </w:pPr>
            <w:r>
              <w:rPr>
                <w:sz w:val="18"/>
              </w:rPr>
              <w:t>99.</w:t>
            </w:r>
          </w:p>
        </w:tc>
        <w:tc>
          <w:tcPr>
            <w:tcW w:w="2967" w:type="dxa"/>
          </w:tcPr>
          <w:p>
            <w:pPr>
              <w:pStyle w:val="TableParagraph"/>
              <w:spacing w:before="12"/>
              <w:ind w:left="255"/>
              <w:rPr>
                <w:sz w:val="18"/>
              </w:rPr>
            </w:pPr>
            <w:r>
              <w:rPr>
                <w:sz w:val="18"/>
              </w:rPr>
              <w:t>(Refused)</w:t>
            </w:r>
          </w:p>
        </w:tc>
      </w:tr>
      <w:tr>
        <w:trPr>
          <w:trHeight w:val="453" w:hRule="atLeast"/>
        </w:trPr>
        <w:tc>
          <w:tcPr>
            <w:tcW w:w="483" w:type="dxa"/>
          </w:tcPr>
          <w:p>
            <w:pPr>
              <w:pStyle w:val="TableParagraph"/>
              <w:spacing w:before="112"/>
              <w:ind w:left="50"/>
              <w:rPr>
                <w:sz w:val="18"/>
              </w:rPr>
            </w:pPr>
            <w:r>
              <w:rPr>
                <w:sz w:val="18"/>
              </w:rPr>
              <w:t>i.</w:t>
            </w:r>
          </w:p>
        </w:tc>
        <w:tc>
          <w:tcPr>
            <w:tcW w:w="751" w:type="dxa"/>
          </w:tcPr>
          <w:p>
            <w:pPr>
              <w:pStyle w:val="TableParagraph"/>
              <w:spacing w:before="112"/>
              <w:ind w:left="265"/>
              <w:rPr>
                <w:sz w:val="18"/>
              </w:rPr>
            </w:pPr>
            <w:r>
              <w:rPr>
                <w:sz w:val="18"/>
              </w:rPr>
              <w:t>Have</w:t>
            </w:r>
          </w:p>
        </w:tc>
        <w:tc>
          <w:tcPr>
            <w:tcW w:w="2967" w:type="dxa"/>
          </w:tcPr>
          <w:p>
            <w:pPr>
              <w:pStyle w:val="TableParagraph"/>
              <w:spacing w:before="112"/>
              <w:ind w:left="25"/>
              <w:rPr>
                <w:sz w:val="18"/>
              </w:rPr>
            </w:pPr>
            <w:r>
              <w:rPr>
                <w:sz w:val="18"/>
              </w:rPr>
              <w:t>asthma</w:t>
            </w:r>
          </w:p>
        </w:tc>
      </w:tr>
      <w:tr>
        <w:trPr>
          <w:trHeight w:val="354" w:hRule="atLeast"/>
        </w:trPr>
        <w:tc>
          <w:tcPr>
            <w:tcW w:w="483" w:type="dxa"/>
          </w:tcPr>
          <w:p>
            <w:pPr>
              <w:pStyle w:val="TableParagraph"/>
              <w:rPr>
                <w:rFonts w:ascii="Times New Roman"/>
                <w:sz w:val="18"/>
              </w:rPr>
            </w:pPr>
          </w:p>
        </w:tc>
        <w:tc>
          <w:tcPr>
            <w:tcW w:w="751" w:type="dxa"/>
          </w:tcPr>
          <w:p>
            <w:pPr>
              <w:pStyle w:val="TableParagraph"/>
              <w:spacing w:before="112"/>
              <w:ind w:left="286"/>
              <w:rPr>
                <w:sz w:val="18"/>
              </w:rPr>
            </w:pPr>
            <w:r>
              <w:rPr>
                <w:sz w:val="18"/>
              </w:rPr>
              <w:t>1.</w:t>
            </w:r>
          </w:p>
        </w:tc>
        <w:tc>
          <w:tcPr>
            <w:tcW w:w="2967" w:type="dxa"/>
          </w:tcPr>
          <w:p>
            <w:pPr>
              <w:pStyle w:val="TableParagraph"/>
              <w:spacing w:before="112"/>
              <w:ind w:left="255"/>
              <w:rPr>
                <w:sz w:val="18"/>
              </w:rPr>
            </w:pPr>
            <w:r>
              <w:rPr>
                <w:sz w:val="18"/>
              </w:rPr>
              <w:t>Yes</w:t>
            </w:r>
          </w:p>
        </w:tc>
      </w:tr>
      <w:tr>
        <w:trPr>
          <w:trHeight w:val="254" w:hRule="atLeast"/>
        </w:trPr>
        <w:tc>
          <w:tcPr>
            <w:tcW w:w="483" w:type="dxa"/>
          </w:tcPr>
          <w:p>
            <w:pPr>
              <w:pStyle w:val="TableParagraph"/>
              <w:rPr>
                <w:rFonts w:ascii="Times New Roman"/>
                <w:sz w:val="18"/>
              </w:rPr>
            </w:pPr>
          </w:p>
        </w:tc>
        <w:tc>
          <w:tcPr>
            <w:tcW w:w="751" w:type="dxa"/>
          </w:tcPr>
          <w:p>
            <w:pPr>
              <w:pStyle w:val="TableParagraph"/>
              <w:spacing w:before="12"/>
              <w:ind w:left="286"/>
              <w:rPr>
                <w:sz w:val="18"/>
              </w:rPr>
            </w:pPr>
            <w:r>
              <w:rPr>
                <w:sz w:val="18"/>
              </w:rPr>
              <w:t>2.</w:t>
            </w:r>
          </w:p>
        </w:tc>
        <w:tc>
          <w:tcPr>
            <w:tcW w:w="2967" w:type="dxa"/>
          </w:tcPr>
          <w:p>
            <w:pPr>
              <w:pStyle w:val="TableParagraph"/>
              <w:spacing w:before="12"/>
              <w:ind w:left="255"/>
              <w:rPr>
                <w:sz w:val="18"/>
              </w:rPr>
            </w:pPr>
            <w:r>
              <w:rPr>
                <w:sz w:val="18"/>
              </w:rPr>
              <w:t>No</w:t>
            </w:r>
          </w:p>
        </w:tc>
      </w:tr>
      <w:tr>
        <w:trPr>
          <w:trHeight w:val="254" w:hRule="atLeast"/>
        </w:trPr>
        <w:tc>
          <w:tcPr>
            <w:tcW w:w="483" w:type="dxa"/>
          </w:tcPr>
          <w:p>
            <w:pPr>
              <w:pStyle w:val="TableParagraph"/>
              <w:rPr>
                <w:rFonts w:ascii="Times New Roman"/>
                <w:sz w:val="18"/>
              </w:rPr>
            </w:pPr>
          </w:p>
        </w:tc>
        <w:tc>
          <w:tcPr>
            <w:tcW w:w="751" w:type="dxa"/>
          </w:tcPr>
          <w:p>
            <w:pPr>
              <w:pStyle w:val="TableParagraph"/>
              <w:spacing w:before="12"/>
              <w:ind w:left="286"/>
              <w:rPr>
                <w:sz w:val="18"/>
              </w:rPr>
            </w:pPr>
            <w:r>
              <w:rPr>
                <w:sz w:val="18"/>
              </w:rPr>
              <w:t>98.</w:t>
            </w:r>
          </w:p>
        </w:tc>
        <w:tc>
          <w:tcPr>
            <w:tcW w:w="2967" w:type="dxa"/>
          </w:tcPr>
          <w:p>
            <w:pPr>
              <w:pStyle w:val="TableParagraph"/>
              <w:spacing w:before="12"/>
              <w:ind w:left="255"/>
              <w:rPr>
                <w:sz w:val="18"/>
              </w:rPr>
            </w:pPr>
            <w:r>
              <w:rPr>
                <w:sz w:val="18"/>
              </w:rPr>
              <w:t>(Don’t</w:t>
            </w:r>
            <w:r>
              <w:rPr>
                <w:spacing w:val="-3"/>
                <w:sz w:val="18"/>
              </w:rPr>
              <w:t> </w:t>
            </w:r>
            <w:r>
              <w:rPr>
                <w:sz w:val="18"/>
              </w:rPr>
              <w:t>know)</w:t>
            </w:r>
          </w:p>
        </w:tc>
      </w:tr>
      <w:tr>
        <w:trPr>
          <w:trHeight w:val="353" w:hRule="atLeast"/>
        </w:trPr>
        <w:tc>
          <w:tcPr>
            <w:tcW w:w="483" w:type="dxa"/>
          </w:tcPr>
          <w:p>
            <w:pPr>
              <w:pStyle w:val="TableParagraph"/>
              <w:rPr>
                <w:rFonts w:ascii="Times New Roman"/>
                <w:sz w:val="18"/>
              </w:rPr>
            </w:pPr>
          </w:p>
        </w:tc>
        <w:tc>
          <w:tcPr>
            <w:tcW w:w="751" w:type="dxa"/>
          </w:tcPr>
          <w:p>
            <w:pPr>
              <w:pStyle w:val="TableParagraph"/>
              <w:spacing w:before="12"/>
              <w:ind w:left="286"/>
              <w:rPr>
                <w:sz w:val="18"/>
              </w:rPr>
            </w:pPr>
            <w:r>
              <w:rPr>
                <w:sz w:val="18"/>
              </w:rPr>
              <w:t>99.</w:t>
            </w:r>
          </w:p>
        </w:tc>
        <w:tc>
          <w:tcPr>
            <w:tcW w:w="2967" w:type="dxa"/>
          </w:tcPr>
          <w:p>
            <w:pPr>
              <w:pStyle w:val="TableParagraph"/>
              <w:spacing w:before="12"/>
              <w:ind w:left="255"/>
              <w:rPr>
                <w:sz w:val="18"/>
              </w:rPr>
            </w:pPr>
            <w:r>
              <w:rPr>
                <w:sz w:val="18"/>
              </w:rPr>
              <w:t>(Refused)</w:t>
            </w:r>
          </w:p>
        </w:tc>
      </w:tr>
      <w:tr>
        <w:trPr>
          <w:trHeight w:val="453" w:hRule="atLeast"/>
        </w:trPr>
        <w:tc>
          <w:tcPr>
            <w:tcW w:w="483" w:type="dxa"/>
          </w:tcPr>
          <w:p>
            <w:pPr>
              <w:pStyle w:val="TableParagraph"/>
              <w:spacing w:before="112"/>
              <w:ind w:left="50"/>
              <w:rPr>
                <w:sz w:val="18"/>
              </w:rPr>
            </w:pPr>
            <w:r>
              <w:rPr>
                <w:sz w:val="18"/>
              </w:rPr>
              <w:t>j.</w:t>
            </w:r>
          </w:p>
        </w:tc>
        <w:tc>
          <w:tcPr>
            <w:tcW w:w="751" w:type="dxa"/>
          </w:tcPr>
          <w:p>
            <w:pPr>
              <w:pStyle w:val="TableParagraph"/>
              <w:spacing w:before="112"/>
              <w:ind w:left="265"/>
              <w:rPr>
                <w:sz w:val="18"/>
              </w:rPr>
            </w:pPr>
            <w:r>
              <w:rPr>
                <w:sz w:val="18"/>
              </w:rPr>
              <w:t>Have</w:t>
            </w:r>
          </w:p>
        </w:tc>
        <w:tc>
          <w:tcPr>
            <w:tcW w:w="2967" w:type="dxa"/>
          </w:tcPr>
          <w:p>
            <w:pPr>
              <w:pStyle w:val="TableParagraph"/>
              <w:spacing w:before="112"/>
              <w:ind w:left="25"/>
              <w:rPr>
                <w:sz w:val="18"/>
              </w:rPr>
            </w:pPr>
            <w:r>
              <w:rPr>
                <w:sz w:val="18"/>
              </w:rPr>
              <w:t>another</w:t>
            </w:r>
            <w:r>
              <w:rPr>
                <w:spacing w:val="-2"/>
                <w:sz w:val="18"/>
              </w:rPr>
              <w:t> </w:t>
            </w:r>
            <w:r>
              <w:rPr>
                <w:sz w:val="18"/>
              </w:rPr>
              <w:t>chronic</w:t>
            </w:r>
            <w:r>
              <w:rPr>
                <w:spacing w:val="-2"/>
                <w:sz w:val="18"/>
              </w:rPr>
              <w:t> </w:t>
            </w:r>
            <w:r>
              <w:rPr>
                <w:sz w:val="18"/>
              </w:rPr>
              <w:t>health</w:t>
            </w:r>
            <w:r>
              <w:rPr>
                <w:spacing w:val="-2"/>
                <w:sz w:val="18"/>
              </w:rPr>
              <w:t> </w:t>
            </w:r>
            <w:r>
              <w:rPr>
                <w:sz w:val="18"/>
              </w:rPr>
              <w:t>condition</w:t>
            </w:r>
          </w:p>
        </w:tc>
      </w:tr>
      <w:tr>
        <w:trPr>
          <w:trHeight w:val="352" w:hRule="atLeast"/>
        </w:trPr>
        <w:tc>
          <w:tcPr>
            <w:tcW w:w="483" w:type="dxa"/>
          </w:tcPr>
          <w:p>
            <w:pPr>
              <w:pStyle w:val="TableParagraph"/>
              <w:rPr>
                <w:rFonts w:ascii="Times New Roman"/>
                <w:sz w:val="18"/>
              </w:rPr>
            </w:pPr>
          </w:p>
        </w:tc>
        <w:tc>
          <w:tcPr>
            <w:tcW w:w="751" w:type="dxa"/>
          </w:tcPr>
          <w:p>
            <w:pPr>
              <w:pStyle w:val="TableParagraph"/>
              <w:spacing w:before="112"/>
              <w:ind w:left="286"/>
              <w:rPr>
                <w:sz w:val="18"/>
              </w:rPr>
            </w:pPr>
            <w:r>
              <w:rPr>
                <w:sz w:val="18"/>
              </w:rPr>
              <w:t>1.</w:t>
            </w:r>
          </w:p>
        </w:tc>
        <w:tc>
          <w:tcPr>
            <w:tcW w:w="2967" w:type="dxa"/>
          </w:tcPr>
          <w:p>
            <w:pPr>
              <w:pStyle w:val="TableParagraph"/>
              <w:spacing w:before="112"/>
              <w:ind w:left="255"/>
              <w:rPr>
                <w:sz w:val="18"/>
              </w:rPr>
            </w:pPr>
            <w:r>
              <w:rPr>
                <w:sz w:val="18"/>
              </w:rPr>
              <w:t>Yes</w:t>
            </w:r>
          </w:p>
        </w:tc>
      </w:tr>
      <w:tr>
        <w:trPr>
          <w:trHeight w:val="253" w:hRule="atLeast"/>
        </w:trPr>
        <w:tc>
          <w:tcPr>
            <w:tcW w:w="483" w:type="dxa"/>
          </w:tcPr>
          <w:p>
            <w:pPr>
              <w:pStyle w:val="TableParagraph"/>
              <w:rPr>
                <w:rFonts w:ascii="Times New Roman"/>
                <w:sz w:val="18"/>
              </w:rPr>
            </w:pPr>
          </w:p>
        </w:tc>
        <w:tc>
          <w:tcPr>
            <w:tcW w:w="751" w:type="dxa"/>
          </w:tcPr>
          <w:p>
            <w:pPr>
              <w:pStyle w:val="TableParagraph"/>
              <w:spacing w:before="11"/>
              <w:ind w:left="286"/>
              <w:rPr>
                <w:sz w:val="18"/>
              </w:rPr>
            </w:pPr>
            <w:r>
              <w:rPr>
                <w:sz w:val="18"/>
              </w:rPr>
              <w:t>2.</w:t>
            </w:r>
          </w:p>
        </w:tc>
        <w:tc>
          <w:tcPr>
            <w:tcW w:w="2967" w:type="dxa"/>
          </w:tcPr>
          <w:p>
            <w:pPr>
              <w:pStyle w:val="TableParagraph"/>
              <w:spacing w:before="11"/>
              <w:ind w:left="255"/>
              <w:rPr>
                <w:sz w:val="18"/>
              </w:rPr>
            </w:pPr>
            <w:r>
              <w:rPr>
                <w:sz w:val="18"/>
              </w:rPr>
              <w:t>No</w:t>
            </w:r>
          </w:p>
        </w:tc>
      </w:tr>
      <w:tr>
        <w:trPr>
          <w:trHeight w:val="254" w:hRule="atLeast"/>
        </w:trPr>
        <w:tc>
          <w:tcPr>
            <w:tcW w:w="483" w:type="dxa"/>
          </w:tcPr>
          <w:p>
            <w:pPr>
              <w:pStyle w:val="TableParagraph"/>
              <w:rPr>
                <w:rFonts w:ascii="Times New Roman"/>
                <w:sz w:val="18"/>
              </w:rPr>
            </w:pPr>
          </w:p>
        </w:tc>
        <w:tc>
          <w:tcPr>
            <w:tcW w:w="751" w:type="dxa"/>
          </w:tcPr>
          <w:p>
            <w:pPr>
              <w:pStyle w:val="TableParagraph"/>
              <w:spacing w:before="12"/>
              <w:ind w:left="286"/>
              <w:rPr>
                <w:sz w:val="18"/>
              </w:rPr>
            </w:pPr>
            <w:r>
              <w:rPr>
                <w:sz w:val="18"/>
              </w:rPr>
              <w:t>98.</w:t>
            </w:r>
          </w:p>
        </w:tc>
        <w:tc>
          <w:tcPr>
            <w:tcW w:w="2967" w:type="dxa"/>
          </w:tcPr>
          <w:p>
            <w:pPr>
              <w:pStyle w:val="TableParagraph"/>
              <w:spacing w:before="12"/>
              <w:ind w:left="255"/>
              <w:rPr>
                <w:sz w:val="18"/>
              </w:rPr>
            </w:pPr>
            <w:r>
              <w:rPr>
                <w:sz w:val="18"/>
              </w:rPr>
              <w:t>(Don’t</w:t>
            </w:r>
            <w:r>
              <w:rPr>
                <w:spacing w:val="-3"/>
                <w:sz w:val="18"/>
              </w:rPr>
              <w:t> </w:t>
            </w:r>
            <w:r>
              <w:rPr>
                <w:sz w:val="18"/>
              </w:rPr>
              <w:t>know)</w:t>
            </w:r>
          </w:p>
        </w:tc>
      </w:tr>
      <w:tr>
        <w:trPr>
          <w:trHeight w:val="237" w:hRule="atLeast"/>
        </w:trPr>
        <w:tc>
          <w:tcPr>
            <w:tcW w:w="483" w:type="dxa"/>
          </w:tcPr>
          <w:p>
            <w:pPr>
              <w:pStyle w:val="TableParagraph"/>
              <w:rPr>
                <w:rFonts w:ascii="Times New Roman"/>
                <w:sz w:val="16"/>
              </w:rPr>
            </w:pPr>
          </w:p>
        </w:tc>
        <w:tc>
          <w:tcPr>
            <w:tcW w:w="751" w:type="dxa"/>
          </w:tcPr>
          <w:p>
            <w:pPr>
              <w:pStyle w:val="TableParagraph"/>
              <w:spacing w:line="205" w:lineRule="exact" w:before="12"/>
              <w:ind w:left="286"/>
              <w:rPr>
                <w:sz w:val="18"/>
              </w:rPr>
            </w:pPr>
            <w:r>
              <w:rPr>
                <w:sz w:val="18"/>
              </w:rPr>
              <w:t>99.</w:t>
            </w:r>
          </w:p>
        </w:tc>
        <w:tc>
          <w:tcPr>
            <w:tcW w:w="2967" w:type="dxa"/>
          </w:tcPr>
          <w:p>
            <w:pPr>
              <w:pStyle w:val="TableParagraph"/>
              <w:spacing w:line="205" w:lineRule="exact" w:before="12"/>
              <w:ind w:left="255"/>
              <w:rPr>
                <w:sz w:val="18"/>
              </w:rPr>
            </w:pPr>
            <w:r>
              <w:rPr>
                <w:sz w:val="18"/>
              </w:rPr>
              <w:t>(Refused)</w:t>
            </w:r>
          </w:p>
        </w:tc>
      </w:tr>
    </w:tbl>
    <w:p>
      <w:pPr>
        <w:pStyle w:val="BodyText"/>
        <w:spacing w:before="7"/>
        <w:rPr>
          <w:sz w:val="11"/>
        </w:rPr>
      </w:pPr>
    </w:p>
    <w:p>
      <w:pPr>
        <w:tabs>
          <w:tab w:pos="1128" w:val="left" w:leader="none"/>
        </w:tabs>
        <w:spacing w:line="276" w:lineRule="auto" w:before="100"/>
        <w:ind w:left="1128" w:right="783" w:hanging="709"/>
        <w:jc w:val="left"/>
        <w:rPr>
          <w:sz w:val="18"/>
        </w:rPr>
      </w:pPr>
      <w:r>
        <w:rPr>
          <w:sz w:val="18"/>
        </w:rPr>
        <w:t>Q23</w:t>
        <w:tab/>
        <w:t>In the last 12 months, have you attended a hospital emergency department (or casualty) for your own medical</w:t>
      </w:r>
      <w:r>
        <w:rPr>
          <w:spacing w:val="-47"/>
          <w:sz w:val="18"/>
        </w:rPr>
        <w:t> </w:t>
      </w:r>
      <w:r>
        <w:rPr>
          <w:sz w:val="18"/>
        </w:rPr>
        <w:t>care?</w:t>
      </w:r>
    </w:p>
    <w:p>
      <w:pPr>
        <w:pStyle w:val="BodyText"/>
        <w:spacing w:before="4"/>
        <w:rPr>
          <w:sz w:val="16"/>
        </w:rPr>
      </w:pPr>
    </w:p>
    <w:p>
      <w:pPr>
        <w:pStyle w:val="ListParagraph"/>
        <w:numPr>
          <w:ilvl w:val="0"/>
          <w:numId w:val="178"/>
        </w:numPr>
        <w:tabs>
          <w:tab w:pos="1860" w:val="left" w:leader="none"/>
          <w:tab w:pos="1861" w:val="left" w:leader="none"/>
        </w:tabs>
        <w:spacing w:line="240" w:lineRule="auto" w:before="1" w:after="0"/>
        <w:ind w:left="1860" w:right="0" w:hanging="721"/>
        <w:jc w:val="left"/>
        <w:rPr>
          <w:sz w:val="18"/>
        </w:rPr>
      </w:pPr>
      <w:r>
        <w:rPr>
          <w:sz w:val="18"/>
        </w:rPr>
        <w:t>Yes</w:t>
      </w:r>
    </w:p>
    <w:p>
      <w:pPr>
        <w:pStyle w:val="ListParagraph"/>
        <w:numPr>
          <w:ilvl w:val="0"/>
          <w:numId w:val="178"/>
        </w:numPr>
        <w:tabs>
          <w:tab w:pos="1860" w:val="left" w:leader="none"/>
          <w:tab w:pos="1861" w:val="left" w:leader="none"/>
        </w:tabs>
        <w:spacing w:line="240" w:lineRule="auto" w:before="33" w:after="0"/>
        <w:ind w:left="1860" w:right="0" w:hanging="721"/>
        <w:jc w:val="left"/>
        <w:rPr>
          <w:sz w:val="18"/>
        </w:rPr>
      </w:pPr>
      <w:r>
        <w:rPr>
          <w:sz w:val="18"/>
        </w:rPr>
        <w:t>No</w:t>
      </w:r>
    </w:p>
    <w:p>
      <w:pPr>
        <w:tabs>
          <w:tab w:pos="1860" w:val="left" w:leader="none"/>
        </w:tabs>
        <w:spacing w:before="32"/>
        <w:ind w:left="1140" w:right="0" w:firstLine="0"/>
        <w:jc w:val="left"/>
        <w:rPr>
          <w:sz w:val="18"/>
        </w:rPr>
      </w:pPr>
      <w:r>
        <w:rPr>
          <w:sz w:val="18"/>
        </w:rPr>
        <w:t>99.</w:t>
        <w:tab/>
        <w:t>(Refused)</w:t>
      </w:r>
    </w:p>
    <w:p>
      <w:pPr>
        <w:pStyle w:val="BodyText"/>
        <w:spacing w:before="12"/>
        <w:rPr>
          <w:sz w:val="18"/>
        </w:rPr>
      </w:pPr>
    </w:p>
    <w:p>
      <w:pPr>
        <w:tabs>
          <w:tab w:pos="1128" w:val="left" w:leader="none"/>
        </w:tabs>
        <w:spacing w:before="0"/>
        <w:ind w:left="420" w:right="0" w:firstLine="0"/>
        <w:jc w:val="left"/>
        <w:rPr>
          <w:sz w:val="18"/>
        </w:rPr>
      </w:pPr>
      <w:r>
        <w:rPr>
          <w:sz w:val="18"/>
        </w:rPr>
        <w:t>Q24</w:t>
        <w:tab/>
        <w:t>In</w:t>
      </w:r>
      <w:r>
        <w:rPr>
          <w:spacing w:val="-5"/>
          <w:sz w:val="18"/>
        </w:rPr>
        <w:t> </w:t>
      </w:r>
      <w:r>
        <w:rPr>
          <w:sz w:val="18"/>
        </w:rPr>
        <w:t>the</w:t>
      </w:r>
      <w:r>
        <w:rPr>
          <w:spacing w:val="-1"/>
          <w:sz w:val="18"/>
        </w:rPr>
        <w:t> </w:t>
      </w:r>
      <w:r>
        <w:rPr>
          <w:sz w:val="18"/>
        </w:rPr>
        <w:t>last</w:t>
      </w:r>
      <w:r>
        <w:rPr>
          <w:spacing w:val="-3"/>
          <w:sz w:val="18"/>
        </w:rPr>
        <w:t> </w:t>
      </w:r>
      <w:r>
        <w:rPr>
          <w:sz w:val="18"/>
        </w:rPr>
        <w:t>12</w:t>
      </w:r>
      <w:r>
        <w:rPr>
          <w:spacing w:val="-1"/>
          <w:sz w:val="18"/>
        </w:rPr>
        <w:t> </w:t>
      </w:r>
      <w:r>
        <w:rPr>
          <w:sz w:val="18"/>
        </w:rPr>
        <w:t>months,</w:t>
      </w:r>
      <w:r>
        <w:rPr>
          <w:spacing w:val="-5"/>
          <w:sz w:val="18"/>
        </w:rPr>
        <w:t> </w:t>
      </w:r>
      <w:r>
        <w:rPr>
          <w:sz w:val="18"/>
        </w:rPr>
        <w:t>have</w:t>
      </w:r>
      <w:r>
        <w:rPr>
          <w:spacing w:val="1"/>
          <w:sz w:val="18"/>
        </w:rPr>
        <w:t> </w:t>
      </w:r>
      <w:r>
        <w:rPr>
          <w:sz w:val="18"/>
        </w:rPr>
        <w:t>you stayed</w:t>
      </w:r>
      <w:r>
        <w:rPr>
          <w:spacing w:val="-3"/>
          <w:sz w:val="18"/>
        </w:rPr>
        <w:t> </w:t>
      </w:r>
      <w:r>
        <w:rPr>
          <w:sz w:val="18"/>
        </w:rPr>
        <w:t>one</w:t>
      </w:r>
      <w:r>
        <w:rPr>
          <w:spacing w:val="-2"/>
          <w:sz w:val="18"/>
        </w:rPr>
        <w:t> </w:t>
      </w:r>
      <w:r>
        <w:rPr>
          <w:sz w:val="18"/>
        </w:rPr>
        <w:t>or</w:t>
      </w:r>
      <w:r>
        <w:rPr>
          <w:spacing w:val="-1"/>
          <w:sz w:val="18"/>
        </w:rPr>
        <w:t> </w:t>
      </w:r>
      <w:r>
        <w:rPr>
          <w:sz w:val="18"/>
        </w:rPr>
        <w:t>more</w:t>
      </w:r>
      <w:r>
        <w:rPr>
          <w:spacing w:val="-1"/>
          <w:sz w:val="18"/>
        </w:rPr>
        <w:t> </w:t>
      </w:r>
      <w:r>
        <w:rPr>
          <w:sz w:val="18"/>
        </w:rPr>
        <w:t>nights</w:t>
      </w:r>
      <w:r>
        <w:rPr>
          <w:spacing w:val="-2"/>
          <w:sz w:val="18"/>
        </w:rPr>
        <w:t> </w:t>
      </w:r>
      <w:r>
        <w:rPr>
          <w:sz w:val="18"/>
        </w:rPr>
        <w:t>in</w:t>
      </w:r>
      <w:r>
        <w:rPr>
          <w:spacing w:val="-4"/>
          <w:sz w:val="18"/>
        </w:rPr>
        <w:t> </w:t>
      </w:r>
      <w:r>
        <w:rPr>
          <w:sz w:val="18"/>
        </w:rPr>
        <w:t>hospital?</w:t>
      </w:r>
    </w:p>
    <w:p>
      <w:pPr>
        <w:pStyle w:val="BodyText"/>
        <w:spacing w:before="2"/>
        <w:rPr>
          <w:sz w:val="19"/>
        </w:rPr>
      </w:pPr>
    </w:p>
    <w:p>
      <w:pPr>
        <w:pStyle w:val="ListParagraph"/>
        <w:numPr>
          <w:ilvl w:val="0"/>
          <w:numId w:val="179"/>
        </w:numPr>
        <w:tabs>
          <w:tab w:pos="1860" w:val="left" w:leader="none"/>
          <w:tab w:pos="1861" w:val="left" w:leader="none"/>
        </w:tabs>
        <w:spacing w:line="240" w:lineRule="auto" w:before="0" w:after="0"/>
        <w:ind w:left="1860" w:right="0" w:hanging="721"/>
        <w:jc w:val="left"/>
        <w:rPr>
          <w:sz w:val="18"/>
        </w:rPr>
      </w:pPr>
      <w:r>
        <w:rPr>
          <w:sz w:val="18"/>
        </w:rPr>
        <w:t>Yes</w:t>
      </w:r>
    </w:p>
    <w:p>
      <w:pPr>
        <w:pStyle w:val="ListParagraph"/>
        <w:numPr>
          <w:ilvl w:val="0"/>
          <w:numId w:val="179"/>
        </w:numPr>
        <w:tabs>
          <w:tab w:pos="1860" w:val="left" w:leader="none"/>
          <w:tab w:pos="1861" w:val="left" w:leader="none"/>
        </w:tabs>
        <w:spacing w:line="240" w:lineRule="auto" w:before="31" w:after="0"/>
        <w:ind w:left="1860" w:right="0" w:hanging="721"/>
        <w:jc w:val="left"/>
        <w:rPr>
          <w:sz w:val="18"/>
        </w:rPr>
      </w:pPr>
      <w:r>
        <w:rPr>
          <w:sz w:val="18"/>
        </w:rPr>
        <w:t>No</w:t>
      </w:r>
    </w:p>
    <w:p>
      <w:pPr>
        <w:tabs>
          <w:tab w:pos="1860" w:val="left" w:leader="none"/>
        </w:tabs>
        <w:spacing w:before="34"/>
        <w:ind w:left="1140" w:right="0" w:firstLine="0"/>
        <w:jc w:val="left"/>
        <w:rPr>
          <w:sz w:val="18"/>
        </w:rPr>
      </w:pPr>
      <w:r>
        <w:rPr>
          <w:sz w:val="18"/>
        </w:rPr>
        <w:t>99.</w:t>
        <w:tab/>
        <w:t>(Refused)</w:t>
      </w:r>
    </w:p>
    <w:p>
      <w:pPr>
        <w:spacing w:after="0"/>
        <w:jc w:val="left"/>
        <w:rPr>
          <w:sz w:val="18"/>
        </w:rPr>
        <w:sectPr>
          <w:pgSz w:w="11910" w:h="16840"/>
          <w:pgMar w:header="0" w:footer="948" w:top="940" w:bottom="1140" w:left="300" w:right="0"/>
        </w:sectPr>
      </w:pPr>
    </w:p>
    <w:p>
      <w:pPr>
        <w:tabs>
          <w:tab w:pos="1140" w:val="left" w:leader="none"/>
        </w:tabs>
        <w:spacing w:before="75"/>
        <w:ind w:left="420" w:right="0" w:firstLine="0"/>
        <w:jc w:val="left"/>
        <w:rPr>
          <w:sz w:val="18"/>
        </w:rPr>
      </w:pPr>
      <w:r>
        <w:rPr>
          <w:sz w:val="18"/>
        </w:rPr>
        <w:t>Q25</w:t>
        <w:tab/>
        <w:t>In</w:t>
      </w:r>
      <w:r>
        <w:rPr>
          <w:spacing w:val="-4"/>
          <w:sz w:val="18"/>
        </w:rPr>
        <w:t> </w:t>
      </w:r>
      <w:r>
        <w:rPr>
          <w:sz w:val="18"/>
        </w:rPr>
        <w:t>general,</w:t>
      </w:r>
      <w:r>
        <w:rPr>
          <w:spacing w:val="-3"/>
          <w:sz w:val="18"/>
        </w:rPr>
        <w:t> </w:t>
      </w:r>
      <w:r>
        <w:rPr>
          <w:sz w:val="18"/>
        </w:rPr>
        <w:t>how</w:t>
      </w:r>
      <w:r>
        <w:rPr>
          <w:spacing w:val="-3"/>
          <w:sz w:val="18"/>
        </w:rPr>
        <w:t> </w:t>
      </w:r>
      <w:r>
        <w:rPr>
          <w:sz w:val="18"/>
        </w:rPr>
        <w:t>would</w:t>
      </w:r>
      <w:r>
        <w:rPr>
          <w:spacing w:val="-3"/>
          <w:sz w:val="18"/>
        </w:rPr>
        <w:t> </w:t>
      </w:r>
      <w:r>
        <w:rPr>
          <w:sz w:val="18"/>
        </w:rPr>
        <w:t>you rate</w:t>
      </w:r>
      <w:r>
        <w:rPr>
          <w:spacing w:val="-1"/>
          <w:sz w:val="18"/>
        </w:rPr>
        <w:t> </w:t>
      </w:r>
      <w:r>
        <w:rPr>
          <w:sz w:val="18"/>
        </w:rPr>
        <w:t>your</w:t>
      </w:r>
      <w:r>
        <w:rPr>
          <w:spacing w:val="-1"/>
          <w:sz w:val="18"/>
        </w:rPr>
        <w:t> </w:t>
      </w:r>
      <w:r>
        <w:rPr>
          <w:sz w:val="18"/>
        </w:rPr>
        <w:t>overall</w:t>
      </w:r>
      <w:r>
        <w:rPr>
          <w:spacing w:val="-2"/>
          <w:sz w:val="18"/>
        </w:rPr>
        <w:t> </w:t>
      </w:r>
      <w:r>
        <w:rPr>
          <w:sz w:val="18"/>
        </w:rPr>
        <w:t>health,</w:t>
      </w:r>
      <w:r>
        <w:rPr>
          <w:spacing w:val="-2"/>
          <w:sz w:val="18"/>
        </w:rPr>
        <w:t> </w:t>
      </w:r>
      <w:r>
        <w:rPr>
          <w:sz w:val="18"/>
        </w:rPr>
        <w:t>is</w:t>
      </w:r>
      <w:r>
        <w:rPr>
          <w:spacing w:val="-5"/>
          <w:sz w:val="18"/>
        </w:rPr>
        <w:t> </w:t>
      </w:r>
      <w:r>
        <w:rPr>
          <w:sz w:val="18"/>
        </w:rPr>
        <w:t>it…?</w:t>
      </w:r>
    </w:p>
    <w:p>
      <w:pPr>
        <w:pStyle w:val="BodyText"/>
        <w:rPr>
          <w:sz w:val="19"/>
        </w:rPr>
      </w:pPr>
    </w:p>
    <w:p>
      <w:pPr>
        <w:pStyle w:val="ListParagraph"/>
        <w:numPr>
          <w:ilvl w:val="0"/>
          <w:numId w:val="180"/>
        </w:numPr>
        <w:tabs>
          <w:tab w:pos="1860" w:val="left" w:leader="none"/>
          <w:tab w:pos="1861" w:val="left" w:leader="none"/>
        </w:tabs>
        <w:spacing w:line="240" w:lineRule="auto" w:before="0" w:after="0"/>
        <w:ind w:left="1860" w:right="0" w:hanging="721"/>
        <w:jc w:val="left"/>
        <w:rPr>
          <w:sz w:val="18"/>
        </w:rPr>
      </w:pPr>
      <w:r>
        <w:rPr>
          <w:sz w:val="18"/>
        </w:rPr>
        <w:t>Excellent</w:t>
      </w:r>
    </w:p>
    <w:p>
      <w:pPr>
        <w:pStyle w:val="ListParagraph"/>
        <w:numPr>
          <w:ilvl w:val="0"/>
          <w:numId w:val="180"/>
        </w:numPr>
        <w:tabs>
          <w:tab w:pos="1860" w:val="left" w:leader="none"/>
          <w:tab w:pos="1861" w:val="left" w:leader="none"/>
        </w:tabs>
        <w:spacing w:line="240" w:lineRule="auto" w:before="32" w:after="0"/>
        <w:ind w:left="1860" w:right="0" w:hanging="721"/>
        <w:jc w:val="left"/>
        <w:rPr>
          <w:sz w:val="18"/>
        </w:rPr>
      </w:pPr>
      <w:r>
        <w:rPr>
          <w:sz w:val="18"/>
        </w:rPr>
        <w:t>Very</w:t>
      </w:r>
      <w:r>
        <w:rPr>
          <w:spacing w:val="-2"/>
          <w:sz w:val="18"/>
        </w:rPr>
        <w:t> </w:t>
      </w:r>
      <w:r>
        <w:rPr>
          <w:sz w:val="18"/>
        </w:rPr>
        <w:t>good</w:t>
      </w:r>
    </w:p>
    <w:p>
      <w:pPr>
        <w:pStyle w:val="ListParagraph"/>
        <w:numPr>
          <w:ilvl w:val="0"/>
          <w:numId w:val="180"/>
        </w:numPr>
        <w:tabs>
          <w:tab w:pos="1860" w:val="left" w:leader="none"/>
          <w:tab w:pos="1861" w:val="left" w:leader="none"/>
        </w:tabs>
        <w:spacing w:line="240" w:lineRule="auto" w:before="34" w:after="0"/>
        <w:ind w:left="1860" w:right="0" w:hanging="721"/>
        <w:jc w:val="left"/>
        <w:rPr>
          <w:sz w:val="18"/>
        </w:rPr>
      </w:pPr>
      <w:r>
        <w:rPr>
          <w:sz w:val="18"/>
        </w:rPr>
        <w:t>Good</w:t>
      </w:r>
    </w:p>
    <w:p>
      <w:pPr>
        <w:pStyle w:val="ListParagraph"/>
        <w:numPr>
          <w:ilvl w:val="0"/>
          <w:numId w:val="180"/>
        </w:numPr>
        <w:tabs>
          <w:tab w:pos="1860" w:val="left" w:leader="none"/>
          <w:tab w:pos="1861" w:val="left" w:leader="none"/>
        </w:tabs>
        <w:spacing w:line="240" w:lineRule="auto" w:before="34" w:after="0"/>
        <w:ind w:left="1860" w:right="0" w:hanging="721"/>
        <w:jc w:val="left"/>
        <w:rPr>
          <w:sz w:val="18"/>
        </w:rPr>
      </w:pPr>
      <w:r>
        <w:rPr>
          <w:sz w:val="18"/>
        </w:rPr>
        <w:t>Fair</w:t>
      </w:r>
    </w:p>
    <w:p>
      <w:pPr>
        <w:pStyle w:val="ListParagraph"/>
        <w:numPr>
          <w:ilvl w:val="0"/>
          <w:numId w:val="180"/>
        </w:numPr>
        <w:tabs>
          <w:tab w:pos="1860" w:val="left" w:leader="none"/>
          <w:tab w:pos="1861" w:val="left" w:leader="none"/>
        </w:tabs>
        <w:spacing w:line="240" w:lineRule="auto" w:before="33" w:after="0"/>
        <w:ind w:left="1860" w:right="0" w:hanging="721"/>
        <w:jc w:val="left"/>
        <w:rPr>
          <w:sz w:val="18"/>
        </w:rPr>
      </w:pPr>
      <w:r>
        <w:rPr>
          <w:sz w:val="18"/>
        </w:rPr>
        <w:t>Poor</w:t>
      </w:r>
    </w:p>
    <w:p>
      <w:pPr>
        <w:pStyle w:val="ListParagraph"/>
        <w:numPr>
          <w:ilvl w:val="0"/>
          <w:numId w:val="181"/>
        </w:numPr>
        <w:tabs>
          <w:tab w:pos="1860" w:val="left" w:leader="none"/>
          <w:tab w:pos="1861" w:val="left" w:leader="none"/>
        </w:tabs>
        <w:spacing w:line="240" w:lineRule="auto" w:before="32" w:after="0"/>
        <w:ind w:left="1860" w:right="0" w:hanging="721"/>
        <w:jc w:val="left"/>
        <w:rPr>
          <w:sz w:val="18"/>
        </w:rPr>
      </w:pPr>
      <w:r>
        <w:rPr>
          <w:sz w:val="18"/>
        </w:rPr>
        <w:t>(Don’t</w:t>
      </w:r>
      <w:r>
        <w:rPr>
          <w:spacing w:val="-3"/>
          <w:sz w:val="18"/>
        </w:rPr>
        <w:t> </w:t>
      </w:r>
      <w:r>
        <w:rPr>
          <w:sz w:val="18"/>
        </w:rPr>
        <w:t>know)</w:t>
      </w:r>
    </w:p>
    <w:p>
      <w:pPr>
        <w:pStyle w:val="ListParagraph"/>
        <w:numPr>
          <w:ilvl w:val="0"/>
          <w:numId w:val="181"/>
        </w:numPr>
        <w:tabs>
          <w:tab w:pos="1860" w:val="left" w:leader="none"/>
          <w:tab w:pos="1861" w:val="left" w:leader="none"/>
        </w:tabs>
        <w:spacing w:line="240" w:lineRule="auto" w:before="33" w:after="0"/>
        <w:ind w:left="1860" w:right="0" w:hanging="721"/>
        <w:jc w:val="left"/>
        <w:rPr>
          <w:sz w:val="18"/>
        </w:rPr>
      </w:pPr>
      <w:r>
        <w:rPr>
          <w:sz w:val="18"/>
        </w:rPr>
        <w:t>(Refused)</w:t>
      </w:r>
    </w:p>
    <w:p>
      <w:pPr>
        <w:pStyle w:val="BodyText"/>
        <w:rPr>
          <w:sz w:val="19"/>
        </w:rPr>
      </w:pPr>
    </w:p>
    <w:p>
      <w:pPr>
        <w:tabs>
          <w:tab w:pos="1128" w:val="left" w:leader="none"/>
        </w:tabs>
        <w:spacing w:before="0"/>
        <w:ind w:left="420" w:right="0" w:firstLine="0"/>
        <w:jc w:val="left"/>
        <w:rPr>
          <w:sz w:val="18"/>
        </w:rPr>
      </w:pPr>
      <w:r>
        <w:rPr>
          <w:sz w:val="18"/>
        </w:rPr>
        <w:t>Q26</w:t>
        <w:tab/>
        <w:t>In</w:t>
      </w:r>
      <w:r>
        <w:rPr>
          <w:spacing w:val="-4"/>
          <w:sz w:val="18"/>
        </w:rPr>
        <w:t> </w:t>
      </w:r>
      <w:r>
        <w:rPr>
          <w:sz w:val="18"/>
        </w:rPr>
        <w:t>general,</w:t>
      </w:r>
      <w:r>
        <w:rPr>
          <w:spacing w:val="-3"/>
          <w:sz w:val="18"/>
        </w:rPr>
        <w:t> </w:t>
      </w:r>
      <w:r>
        <w:rPr>
          <w:sz w:val="18"/>
        </w:rPr>
        <w:t>how</w:t>
      </w:r>
      <w:r>
        <w:rPr>
          <w:spacing w:val="-3"/>
          <w:sz w:val="18"/>
        </w:rPr>
        <w:t> </w:t>
      </w:r>
      <w:r>
        <w:rPr>
          <w:sz w:val="18"/>
        </w:rPr>
        <w:t>would</w:t>
      </w:r>
      <w:r>
        <w:rPr>
          <w:spacing w:val="-3"/>
          <w:sz w:val="18"/>
        </w:rPr>
        <w:t> </w:t>
      </w:r>
      <w:r>
        <w:rPr>
          <w:sz w:val="18"/>
        </w:rPr>
        <w:t>you</w:t>
      </w:r>
      <w:r>
        <w:rPr>
          <w:spacing w:val="-2"/>
          <w:sz w:val="18"/>
        </w:rPr>
        <w:t> </w:t>
      </w:r>
      <w:r>
        <w:rPr>
          <w:sz w:val="18"/>
        </w:rPr>
        <w:t>rate</w:t>
      </w:r>
      <w:r>
        <w:rPr>
          <w:spacing w:val="-1"/>
          <w:sz w:val="18"/>
        </w:rPr>
        <w:t> </w:t>
      </w:r>
      <w:r>
        <w:rPr>
          <w:sz w:val="18"/>
        </w:rPr>
        <w:t>your</w:t>
      </w:r>
      <w:r>
        <w:rPr>
          <w:spacing w:val="-1"/>
          <w:sz w:val="18"/>
        </w:rPr>
        <w:t> </w:t>
      </w:r>
      <w:r>
        <w:rPr>
          <w:sz w:val="18"/>
        </w:rPr>
        <w:t>overall</w:t>
      </w:r>
      <w:r>
        <w:rPr>
          <w:spacing w:val="-2"/>
          <w:sz w:val="18"/>
        </w:rPr>
        <w:t> </w:t>
      </w:r>
      <w:r>
        <w:rPr>
          <w:sz w:val="18"/>
        </w:rPr>
        <w:t>mental</w:t>
      </w:r>
      <w:r>
        <w:rPr>
          <w:spacing w:val="-1"/>
          <w:sz w:val="18"/>
        </w:rPr>
        <w:t> </w:t>
      </w:r>
      <w:r>
        <w:rPr>
          <w:sz w:val="18"/>
        </w:rPr>
        <w:t>or</w:t>
      </w:r>
      <w:r>
        <w:rPr>
          <w:spacing w:val="-1"/>
          <w:sz w:val="18"/>
        </w:rPr>
        <w:t> </w:t>
      </w:r>
      <w:r>
        <w:rPr>
          <w:sz w:val="18"/>
        </w:rPr>
        <w:t>emotional</w:t>
      </w:r>
      <w:r>
        <w:rPr>
          <w:spacing w:val="-1"/>
          <w:sz w:val="18"/>
        </w:rPr>
        <w:t> </w:t>
      </w:r>
      <w:r>
        <w:rPr>
          <w:sz w:val="18"/>
        </w:rPr>
        <w:t>health,</w:t>
      </w:r>
      <w:r>
        <w:rPr>
          <w:spacing w:val="-3"/>
          <w:sz w:val="18"/>
        </w:rPr>
        <w:t> </w:t>
      </w:r>
      <w:r>
        <w:rPr>
          <w:sz w:val="18"/>
        </w:rPr>
        <w:t>is</w:t>
      </w:r>
      <w:r>
        <w:rPr>
          <w:spacing w:val="-5"/>
          <w:sz w:val="18"/>
        </w:rPr>
        <w:t> </w:t>
      </w:r>
      <w:r>
        <w:rPr>
          <w:sz w:val="18"/>
        </w:rPr>
        <w:t>it…?</w:t>
      </w:r>
    </w:p>
    <w:p>
      <w:pPr>
        <w:pStyle w:val="BodyText"/>
        <w:rPr>
          <w:sz w:val="19"/>
        </w:rPr>
      </w:pPr>
    </w:p>
    <w:p>
      <w:pPr>
        <w:pStyle w:val="ListParagraph"/>
        <w:numPr>
          <w:ilvl w:val="0"/>
          <w:numId w:val="182"/>
        </w:numPr>
        <w:tabs>
          <w:tab w:pos="1860" w:val="left" w:leader="none"/>
          <w:tab w:pos="1861" w:val="left" w:leader="none"/>
        </w:tabs>
        <w:spacing w:line="240" w:lineRule="auto" w:before="0" w:after="0"/>
        <w:ind w:left="1860" w:right="0" w:hanging="721"/>
        <w:jc w:val="left"/>
        <w:rPr>
          <w:sz w:val="18"/>
        </w:rPr>
      </w:pPr>
      <w:r>
        <w:rPr>
          <w:sz w:val="18"/>
        </w:rPr>
        <w:t>Excellent</w:t>
      </w:r>
    </w:p>
    <w:p>
      <w:pPr>
        <w:pStyle w:val="ListParagraph"/>
        <w:numPr>
          <w:ilvl w:val="0"/>
          <w:numId w:val="182"/>
        </w:numPr>
        <w:tabs>
          <w:tab w:pos="1860" w:val="left" w:leader="none"/>
          <w:tab w:pos="1861" w:val="left" w:leader="none"/>
        </w:tabs>
        <w:spacing w:line="240" w:lineRule="auto" w:before="34" w:after="0"/>
        <w:ind w:left="1860" w:right="0" w:hanging="721"/>
        <w:jc w:val="left"/>
        <w:rPr>
          <w:sz w:val="18"/>
        </w:rPr>
      </w:pPr>
      <w:r>
        <w:rPr>
          <w:sz w:val="18"/>
        </w:rPr>
        <w:t>Very</w:t>
      </w:r>
      <w:r>
        <w:rPr>
          <w:spacing w:val="-2"/>
          <w:sz w:val="18"/>
        </w:rPr>
        <w:t> </w:t>
      </w:r>
      <w:r>
        <w:rPr>
          <w:sz w:val="18"/>
        </w:rPr>
        <w:t>good</w:t>
      </w:r>
    </w:p>
    <w:p>
      <w:pPr>
        <w:pStyle w:val="ListParagraph"/>
        <w:numPr>
          <w:ilvl w:val="0"/>
          <w:numId w:val="182"/>
        </w:numPr>
        <w:tabs>
          <w:tab w:pos="1860" w:val="left" w:leader="none"/>
          <w:tab w:pos="1861" w:val="left" w:leader="none"/>
        </w:tabs>
        <w:spacing w:line="240" w:lineRule="auto" w:before="34" w:after="0"/>
        <w:ind w:left="1860" w:right="0" w:hanging="721"/>
        <w:jc w:val="left"/>
        <w:rPr>
          <w:sz w:val="18"/>
        </w:rPr>
      </w:pPr>
      <w:r>
        <w:rPr>
          <w:sz w:val="18"/>
        </w:rPr>
        <w:t>Good</w:t>
      </w:r>
    </w:p>
    <w:p>
      <w:pPr>
        <w:pStyle w:val="ListParagraph"/>
        <w:numPr>
          <w:ilvl w:val="0"/>
          <w:numId w:val="182"/>
        </w:numPr>
        <w:tabs>
          <w:tab w:pos="1860" w:val="left" w:leader="none"/>
          <w:tab w:pos="1861" w:val="left" w:leader="none"/>
        </w:tabs>
        <w:spacing w:line="240" w:lineRule="auto" w:before="33" w:after="0"/>
        <w:ind w:left="1860" w:right="0" w:hanging="721"/>
        <w:jc w:val="left"/>
        <w:rPr>
          <w:sz w:val="18"/>
        </w:rPr>
      </w:pPr>
      <w:r>
        <w:rPr>
          <w:sz w:val="18"/>
        </w:rPr>
        <w:t>Fair</w:t>
      </w:r>
    </w:p>
    <w:p>
      <w:pPr>
        <w:pStyle w:val="ListParagraph"/>
        <w:numPr>
          <w:ilvl w:val="0"/>
          <w:numId w:val="182"/>
        </w:numPr>
        <w:tabs>
          <w:tab w:pos="1860" w:val="left" w:leader="none"/>
          <w:tab w:pos="1861" w:val="left" w:leader="none"/>
        </w:tabs>
        <w:spacing w:line="240" w:lineRule="auto" w:before="32" w:after="0"/>
        <w:ind w:left="1860" w:right="0" w:hanging="721"/>
        <w:jc w:val="left"/>
        <w:rPr>
          <w:sz w:val="18"/>
        </w:rPr>
      </w:pPr>
      <w:r>
        <w:rPr>
          <w:sz w:val="18"/>
        </w:rPr>
        <w:t>Poor</w:t>
      </w:r>
    </w:p>
    <w:p>
      <w:pPr>
        <w:pStyle w:val="ListParagraph"/>
        <w:numPr>
          <w:ilvl w:val="0"/>
          <w:numId w:val="183"/>
        </w:numPr>
        <w:tabs>
          <w:tab w:pos="1860" w:val="left" w:leader="none"/>
          <w:tab w:pos="1861" w:val="left" w:leader="none"/>
        </w:tabs>
        <w:spacing w:line="240" w:lineRule="auto" w:before="34" w:after="0"/>
        <w:ind w:left="1860" w:right="0" w:hanging="721"/>
        <w:jc w:val="left"/>
        <w:rPr>
          <w:sz w:val="18"/>
        </w:rPr>
      </w:pPr>
      <w:r>
        <w:rPr>
          <w:sz w:val="18"/>
        </w:rPr>
        <w:t>(Don’t</w:t>
      </w:r>
      <w:r>
        <w:rPr>
          <w:spacing w:val="-3"/>
          <w:sz w:val="18"/>
        </w:rPr>
        <w:t> </w:t>
      </w:r>
      <w:r>
        <w:rPr>
          <w:sz w:val="18"/>
        </w:rPr>
        <w:t>know)</w:t>
      </w:r>
    </w:p>
    <w:p>
      <w:pPr>
        <w:pStyle w:val="ListParagraph"/>
        <w:numPr>
          <w:ilvl w:val="0"/>
          <w:numId w:val="183"/>
        </w:numPr>
        <w:tabs>
          <w:tab w:pos="1860" w:val="left" w:leader="none"/>
          <w:tab w:pos="1861" w:val="left" w:leader="none"/>
        </w:tabs>
        <w:spacing w:line="240" w:lineRule="auto" w:before="34" w:after="0"/>
        <w:ind w:left="1860" w:right="0" w:hanging="721"/>
        <w:jc w:val="left"/>
        <w:rPr>
          <w:sz w:val="18"/>
        </w:rPr>
      </w:pPr>
      <w:r>
        <w:rPr>
          <w:sz w:val="18"/>
        </w:rPr>
        <w:t>(Refused)</w:t>
      </w:r>
    </w:p>
    <w:p>
      <w:pPr>
        <w:pStyle w:val="BodyText"/>
        <w:spacing w:before="12"/>
        <w:rPr>
          <w:sz w:val="18"/>
        </w:rPr>
      </w:pPr>
    </w:p>
    <w:p>
      <w:pPr>
        <w:tabs>
          <w:tab w:pos="1128" w:val="left" w:leader="none"/>
        </w:tabs>
        <w:spacing w:before="0"/>
        <w:ind w:left="420" w:right="0" w:firstLine="0"/>
        <w:jc w:val="left"/>
        <w:rPr>
          <w:sz w:val="18"/>
        </w:rPr>
      </w:pPr>
      <w:r>
        <w:rPr>
          <w:sz w:val="18"/>
        </w:rPr>
        <w:t>Q27</w:t>
        <w:tab/>
        <w:t>Which</w:t>
      </w:r>
      <w:r>
        <w:rPr>
          <w:spacing w:val="-2"/>
          <w:sz w:val="18"/>
        </w:rPr>
        <w:t> </w:t>
      </w:r>
      <w:r>
        <w:rPr>
          <w:sz w:val="18"/>
        </w:rPr>
        <w:t>of</w:t>
      </w:r>
      <w:r>
        <w:rPr>
          <w:spacing w:val="-1"/>
          <w:sz w:val="18"/>
        </w:rPr>
        <w:t> </w:t>
      </w:r>
      <w:r>
        <w:rPr>
          <w:sz w:val="18"/>
        </w:rPr>
        <w:t>the</w:t>
      </w:r>
      <w:r>
        <w:rPr>
          <w:spacing w:val="-4"/>
          <w:sz w:val="18"/>
        </w:rPr>
        <w:t> </w:t>
      </w:r>
      <w:r>
        <w:rPr>
          <w:sz w:val="18"/>
        </w:rPr>
        <w:t>following</w:t>
      </w:r>
      <w:r>
        <w:rPr>
          <w:spacing w:val="-3"/>
          <w:sz w:val="18"/>
        </w:rPr>
        <w:t> </w:t>
      </w:r>
      <w:r>
        <w:rPr>
          <w:sz w:val="18"/>
        </w:rPr>
        <w:t>best</w:t>
      </w:r>
      <w:r>
        <w:rPr>
          <w:spacing w:val="-5"/>
          <w:sz w:val="18"/>
        </w:rPr>
        <w:t> </w:t>
      </w:r>
      <w:r>
        <w:rPr>
          <w:sz w:val="18"/>
        </w:rPr>
        <w:t>describes</w:t>
      </w:r>
      <w:r>
        <w:rPr>
          <w:spacing w:val="-2"/>
          <w:sz w:val="18"/>
        </w:rPr>
        <w:t> </w:t>
      </w:r>
      <w:r>
        <w:rPr>
          <w:sz w:val="18"/>
        </w:rPr>
        <w:t>your</w:t>
      </w:r>
      <w:r>
        <w:rPr>
          <w:spacing w:val="-3"/>
          <w:sz w:val="18"/>
        </w:rPr>
        <w:t> </w:t>
      </w:r>
      <w:r>
        <w:rPr>
          <w:sz w:val="18"/>
        </w:rPr>
        <w:t>mobility</w:t>
      </w:r>
      <w:r>
        <w:rPr>
          <w:spacing w:val="-3"/>
          <w:sz w:val="18"/>
        </w:rPr>
        <w:t> </w:t>
      </w:r>
      <w:r>
        <w:rPr>
          <w:sz w:val="18"/>
        </w:rPr>
        <w:t>today,</w:t>
      </w:r>
      <w:r>
        <w:rPr>
          <w:spacing w:val="-4"/>
          <w:sz w:val="18"/>
        </w:rPr>
        <w:t> </w:t>
      </w:r>
      <w:r>
        <w:rPr>
          <w:sz w:val="18"/>
        </w:rPr>
        <w:t>would</w:t>
      </w:r>
      <w:r>
        <w:rPr>
          <w:spacing w:val="-3"/>
          <w:sz w:val="18"/>
        </w:rPr>
        <w:t> </w:t>
      </w:r>
      <w:r>
        <w:rPr>
          <w:sz w:val="18"/>
        </w:rPr>
        <w:t>you</w:t>
      </w:r>
      <w:r>
        <w:rPr>
          <w:spacing w:val="-2"/>
          <w:sz w:val="18"/>
        </w:rPr>
        <w:t> </w:t>
      </w:r>
      <w:r>
        <w:rPr>
          <w:sz w:val="18"/>
        </w:rPr>
        <w:t>say…?</w:t>
      </w:r>
    </w:p>
    <w:p>
      <w:pPr>
        <w:pStyle w:val="BodyText"/>
        <w:rPr>
          <w:sz w:val="19"/>
        </w:rPr>
      </w:pPr>
    </w:p>
    <w:p>
      <w:pPr>
        <w:pStyle w:val="ListParagraph"/>
        <w:numPr>
          <w:ilvl w:val="0"/>
          <w:numId w:val="184"/>
        </w:numPr>
        <w:tabs>
          <w:tab w:pos="1860" w:val="left" w:leader="none"/>
          <w:tab w:pos="1861" w:val="left" w:leader="none"/>
        </w:tabs>
        <w:spacing w:line="240" w:lineRule="auto" w:before="0" w:after="0"/>
        <w:ind w:left="1860" w:right="0" w:hanging="721"/>
        <w:jc w:val="left"/>
        <w:rPr>
          <w:sz w:val="18"/>
        </w:rPr>
      </w:pPr>
      <w:r>
        <w:rPr>
          <w:sz w:val="18"/>
        </w:rPr>
        <w:t>I</w:t>
      </w:r>
      <w:r>
        <w:rPr>
          <w:spacing w:val="-3"/>
          <w:sz w:val="18"/>
        </w:rPr>
        <w:t> </w:t>
      </w:r>
      <w:r>
        <w:rPr>
          <w:sz w:val="18"/>
        </w:rPr>
        <w:t>have</w:t>
      </w:r>
      <w:r>
        <w:rPr>
          <w:spacing w:val="-1"/>
          <w:sz w:val="18"/>
        </w:rPr>
        <w:t> </w:t>
      </w:r>
      <w:r>
        <w:rPr>
          <w:sz w:val="18"/>
        </w:rPr>
        <w:t>no</w:t>
      </w:r>
      <w:r>
        <w:rPr>
          <w:spacing w:val="-3"/>
          <w:sz w:val="18"/>
        </w:rPr>
        <w:t> </w:t>
      </w:r>
      <w:r>
        <w:rPr>
          <w:sz w:val="18"/>
        </w:rPr>
        <w:t>problems</w:t>
      </w:r>
      <w:r>
        <w:rPr>
          <w:spacing w:val="-1"/>
          <w:sz w:val="18"/>
        </w:rPr>
        <w:t> </w:t>
      </w:r>
      <w:r>
        <w:rPr>
          <w:sz w:val="18"/>
        </w:rPr>
        <w:t>in</w:t>
      </w:r>
      <w:r>
        <w:rPr>
          <w:spacing w:val="-1"/>
          <w:sz w:val="18"/>
        </w:rPr>
        <w:t> </w:t>
      </w:r>
      <w:r>
        <w:rPr>
          <w:sz w:val="18"/>
        </w:rPr>
        <w:t>walking</w:t>
      </w:r>
      <w:r>
        <w:rPr>
          <w:spacing w:val="-4"/>
          <w:sz w:val="18"/>
        </w:rPr>
        <w:t> </w:t>
      </w:r>
      <w:r>
        <w:rPr>
          <w:sz w:val="18"/>
        </w:rPr>
        <w:t>about</w:t>
      </w:r>
    </w:p>
    <w:p>
      <w:pPr>
        <w:pStyle w:val="ListParagraph"/>
        <w:numPr>
          <w:ilvl w:val="0"/>
          <w:numId w:val="184"/>
        </w:numPr>
        <w:tabs>
          <w:tab w:pos="1860" w:val="left" w:leader="none"/>
          <w:tab w:pos="1861" w:val="left" w:leader="none"/>
        </w:tabs>
        <w:spacing w:line="240" w:lineRule="auto" w:before="33" w:after="0"/>
        <w:ind w:left="1860" w:right="0" w:hanging="721"/>
        <w:jc w:val="left"/>
        <w:rPr>
          <w:sz w:val="18"/>
        </w:rPr>
      </w:pPr>
      <w:r>
        <w:rPr>
          <w:sz w:val="18"/>
        </w:rPr>
        <w:t>I</w:t>
      </w:r>
      <w:r>
        <w:rPr>
          <w:spacing w:val="-3"/>
          <w:sz w:val="18"/>
        </w:rPr>
        <w:t> </w:t>
      </w:r>
      <w:r>
        <w:rPr>
          <w:sz w:val="18"/>
        </w:rPr>
        <w:t>have</w:t>
      </w:r>
      <w:r>
        <w:rPr>
          <w:spacing w:val="-2"/>
          <w:sz w:val="18"/>
        </w:rPr>
        <w:t> </w:t>
      </w:r>
      <w:r>
        <w:rPr>
          <w:sz w:val="18"/>
        </w:rPr>
        <w:t>slight</w:t>
      </w:r>
      <w:r>
        <w:rPr>
          <w:spacing w:val="-4"/>
          <w:sz w:val="18"/>
        </w:rPr>
        <w:t> </w:t>
      </w:r>
      <w:r>
        <w:rPr>
          <w:sz w:val="18"/>
        </w:rPr>
        <w:t>problems</w:t>
      </w:r>
      <w:r>
        <w:rPr>
          <w:spacing w:val="-2"/>
          <w:sz w:val="18"/>
        </w:rPr>
        <w:t> </w:t>
      </w:r>
      <w:r>
        <w:rPr>
          <w:sz w:val="18"/>
        </w:rPr>
        <w:t>in</w:t>
      </w:r>
      <w:r>
        <w:rPr>
          <w:spacing w:val="-1"/>
          <w:sz w:val="18"/>
        </w:rPr>
        <w:t> </w:t>
      </w:r>
      <w:r>
        <w:rPr>
          <w:sz w:val="18"/>
        </w:rPr>
        <w:t>walking</w:t>
      </w:r>
      <w:r>
        <w:rPr>
          <w:spacing w:val="-4"/>
          <w:sz w:val="18"/>
        </w:rPr>
        <w:t> </w:t>
      </w:r>
      <w:r>
        <w:rPr>
          <w:sz w:val="18"/>
        </w:rPr>
        <w:t>about</w:t>
      </w:r>
    </w:p>
    <w:p>
      <w:pPr>
        <w:pStyle w:val="ListParagraph"/>
        <w:numPr>
          <w:ilvl w:val="0"/>
          <w:numId w:val="184"/>
        </w:numPr>
        <w:tabs>
          <w:tab w:pos="1860" w:val="left" w:leader="none"/>
          <w:tab w:pos="1861" w:val="left" w:leader="none"/>
        </w:tabs>
        <w:spacing w:line="240" w:lineRule="auto" w:before="32" w:after="0"/>
        <w:ind w:left="1860" w:right="0" w:hanging="721"/>
        <w:jc w:val="left"/>
        <w:rPr>
          <w:sz w:val="18"/>
        </w:rPr>
      </w:pPr>
      <w:r>
        <w:rPr>
          <w:sz w:val="18"/>
        </w:rPr>
        <w:t>I</w:t>
      </w:r>
      <w:r>
        <w:rPr>
          <w:spacing w:val="-3"/>
          <w:sz w:val="18"/>
        </w:rPr>
        <w:t> </w:t>
      </w:r>
      <w:r>
        <w:rPr>
          <w:sz w:val="18"/>
        </w:rPr>
        <w:t>have</w:t>
      </w:r>
      <w:r>
        <w:rPr>
          <w:spacing w:val="-1"/>
          <w:sz w:val="18"/>
        </w:rPr>
        <w:t> </w:t>
      </w:r>
      <w:r>
        <w:rPr>
          <w:sz w:val="18"/>
        </w:rPr>
        <w:t>moderate</w:t>
      </w:r>
      <w:r>
        <w:rPr>
          <w:spacing w:val="-2"/>
          <w:sz w:val="18"/>
        </w:rPr>
        <w:t> </w:t>
      </w:r>
      <w:r>
        <w:rPr>
          <w:sz w:val="18"/>
        </w:rPr>
        <w:t>problems</w:t>
      </w:r>
      <w:r>
        <w:rPr>
          <w:spacing w:val="-2"/>
          <w:sz w:val="18"/>
        </w:rPr>
        <w:t> </w:t>
      </w:r>
      <w:r>
        <w:rPr>
          <w:sz w:val="18"/>
        </w:rPr>
        <w:t>in</w:t>
      </w:r>
      <w:r>
        <w:rPr>
          <w:spacing w:val="-1"/>
          <w:sz w:val="18"/>
        </w:rPr>
        <w:t> </w:t>
      </w:r>
      <w:r>
        <w:rPr>
          <w:sz w:val="18"/>
        </w:rPr>
        <w:t>walking</w:t>
      </w:r>
      <w:r>
        <w:rPr>
          <w:spacing w:val="-3"/>
          <w:sz w:val="18"/>
        </w:rPr>
        <w:t> </w:t>
      </w:r>
      <w:r>
        <w:rPr>
          <w:sz w:val="18"/>
        </w:rPr>
        <w:t>about</w:t>
      </w:r>
    </w:p>
    <w:p>
      <w:pPr>
        <w:pStyle w:val="ListParagraph"/>
        <w:numPr>
          <w:ilvl w:val="0"/>
          <w:numId w:val="184"/>
        </w:numPr>
        <w:tabs>
          <w:tab w:pos="1860" w:val="left" w:leader="none"/>
          <w:tab w:pos="1861" w:val="left" w:leader="none"/>
        </w:tabs>
        <w:spacing w:line="240" w:lineRule="auto" w:before="33" w:after="0"/>
        <w:ind w:left="1860" w:right="0" w:hanging="721"/>
        <w:jc w:val="left"/>
        <w:rPr>
          <w:sz w:val="18"/>
        </w:rPr>
      </w:pPr>
      <w:r>
        <w:rPr>
          <w:sz w:val="18"/>
        </w:rPr>
        <w:t>I</w:t>
      </w:r>
      <w:r>
        <w:rPr>
          <w:spacing w:val="-3"/>
          <w:sz w:val="18"/>
        </w:rPr>
        <w:t> </w:t>
      </w:r>
      <w:r>
        <w:rPr>
          <w:sz w:val="18"/>
        </w:rPr>
        <w:t>have</w:t>
      </w:r>
      <w:r>
        <w:rPr>
          <w:spacing w:val="-1"/>
          <w:sz w:val="18"/>
        </w:rPr>
        <w:t> </w:t>
      </w:r>
      <w:r>
        <w:rPr>
          <w:sz w:val="18"/>
        </w:rPr>
        <w:t>severe</w:t>
      </w:r>
      <w:r>
        <w:rPr>
          <w:spacing w:val="-2"/>
          <w:sz w:val="18"/>
        </w:rPr>
        <w:t> </w:t>
      </w:r>
      <w:r>
        <w:rPr>
          <w:sz w:val="18"/>
        </w:rPr>
        <w:t>problems</w:t>
      </w:r>
      <w:r>
        <w:rPr>
          <w:spacing w:val="-2"/>
          <w:sz w:val="18"/>
        </w:rPr>
        <w:t> </w:t>
      </w:r>
      <w:r>
        <w:rPr>
          <w:sz w:val="18"/>
        </w:rPr>
        <w:t>in</w:t>
      </w:r>
      <w:r>
        <w:rPr>
          <w:spacing w:val="-1"/>
          <w:sz w:val="18"/>
        </w:rPr>
        <w:t> </w:t>
      </w:r>
      <w:r>
        <w:rPr>
          <w:sz w:val="18"/>
        </w:rPr>
        <w:t>walking</w:t>
      </w:r>
      <w:r>
        <w:rPr>
          <w:spacing w:val="-3"/>
          <w:sz w:val="18"/>
        </w:rPr>
        <w:t> </w:t>
      </w:r>
      <w:r>
        <w:rPr>
          <w:sz w:val="18"/>
        </w:rPr>
        <w:t>about</w:t>
      </w:r>
    </w:p>
    <w:p>
      <w:pPr>
        <w:pStyle w:val="ListParagraph"/>
        <w:numPr>
          <w:ilvl w:val="0"/>
          <w:numId w:val="184"/>
        </w:numPr>
        <w:tabs>
          <w:tab w:pos="1860" w:val="left" w:leader="none"/>
          <w:tab w:pos="1861" w:val="left" w:leader="none"/>
        </w:tabs>
        <w:spacing w:line="240" w:lineRule="auto" w:before="34" w:after="0"/>
        <w:ind w:left="1860" w:right="0" w:hanging="721"/>
        <w:jc w:val="left"/>
        <w:rPr>
          <w:sz w:val="18"/>
        </w:rPr>
      </w:pPr>
      <w:r>
        <w:rPr>
          <w:sz w:val="18"/>
        </w:rPr>
        <w:t>I</w:t>
      </w:r>
      <w:r>
        <w:rPr>
          <w:spacing w:val="1"/>
          <w:sz w:val="18"/>
        </w:rPr>
        <w:t> </w:t>
      </w:r>
      <w:r>
        <w:rPr>
          <w:sz w:val="18"/>
        </w:rPr>
        <w:t>am</w:t>
      </w:r>
      <w:r>
        <w:rPr>
          <w:spacing w:val="-5"/>
          <w:sz w:val="18"/>
        </w:rPr>
        <w:t> </w:t>
      </w:r>
      <w:r>
        <w:rPr>
          <w:sz w:val="18"/>
        </w:rPr>
        <w:t>unable</w:t>
      </w:r>
      <w:r>
        <w:rPr>
          <w:spacing w:val="-2"/>
          <w:sz w:val="18"/>
        </w:rPr>
        <w:t> </w:t>
      </w:r>
      <w:r>
        <w:rPr>
          <w:sz w:val="18"/>
        </w:rPr>
        <w:t>to</w:t>
      </w:r>
      <w:r>
        <w:rPr>
          <w:spacing w:val="-2"/>
          <w:sz w:val="18"/>
        </w:rPr>
        <w:t> </w:t>
      </w:r>
      <w:r>
        <w:rPr>
          <w:sz w:val="18"/>
        </w:rPr>
        <w:t>walk about</w:t>
      </w:r>
    </w:p>
    <w:p>
      <w:pPr>
        <w:pStyle w:val="ListParagraph"/>
        <w:numPr>
          <w:ilvl w:val="0"/>
          <w:numId w:val="185"/>
        </w:numPr>
        <w:tabs>
          <w:tab w:pos="1860" w:val="left" w:leader="none"/>
          <w:tab w:pos="1861" w:val="left" w:leader="none"/>
        </w:tabs>
        <w:spacing w:line="240" w:lineRule="auto" w:before="34" w:after="0"/>
        <w:ind w:left="1860" w:right="0" w:hanging="721"/>
        <w:jc w:val="left"/>
        <w:rPr>
          <w:sz w:val="18"/>
        </w:rPr>
      </w:pPr>
      <w:r>
        <w:rPr>
          <w:sz w:val="18"/>
        </w:rPr>
        <w:t>(Don’t</w:t>
      </w:r>
      <w:r>
        <w:rPr>
          <w:spacing w:val="-3"/>
          <w:sz w:val="18"/>
        </w:rPr>
        <w:t> </w:t>
      </w:r>
      <w:r>
        <w:rPr>
          <w:sz w:val="18"/>
        </w:rPr>
        <w:t>know)</w:t>
      </w:r>
    </w:p>
    <w:p>
      <w:pPr>
        <w:pStyle w:val="ListParagraph"/>
        <w:numPr>
          <w:ilvl w:val="0"/>
          <w:numId w:val="185"/>
        </w:numPr>
        <w:tabs>
          <w:tab w:pos="1860" w:val="left" w:leader="none"/>
          <w:tab w:pos="1861" w:val="left" w:leader="none"/>
        </w:tabs>
        <w:spacing w:line="240" w:lineRule="auto" w:before="31" w:after="0"/>
        <w:ind w:left="1860" w:right="0" w:hanging="721"/>
        <w:jc w:val="left"/>
        <w:rPr>
          <w:sz w:val="18"/>
        </w:rPr>
      </w:pPr>
      <w:r>
        <w:rPr>
          <w:sz w:val="18"/>
        </w:rPr>
        <w:t>(Refused)</w:t>
      </w:r>
    </w:p>
    <w:p>
      <w:pPr>
        <w:pStyle w:val="BodyText"/>
        <w:spacing w:before="3"/>
        <w:rPr>
          <w:sz w:val="19"/>
        </w:rPr>
      </w:pPr>
    </w:p>
    <w:p>
      <w:pPr>
        <w:tabs>
          <w:tab w:pos="1128" w:val="left" w:leader="none"/>
        </w:tabs>
        <w:spacing w:before="0"/>
        <w:ind w:left="420" w:right="0" w:firstLine="0"/>
        <w:jc w:val="left"/>
        <w:rPr>
          <w:sz w:val="18"/>
        </w:rPr>
      </w:pPr>
      <w:r>
        <w:rPr>
          <w:sz w:val="18"/>
        </w:rPr>
        <w:t>Q28</w:t>
        <w:tab/>
        <w:t>Which</w:t>
      </w:r>
      <w:r>
        <w:rPr>
          <w:spacing w:val="-2"/>
          <w:sz w:val="18"/>
        </w:rPr>
        <w:t> </w:t>
      </w:r>
      <w:r>
        <w:rPr>
          <w:sz w:val="18"/>
        </w:rPr>
        <w:t>of</w:t>
      </w:r>
      <w:r>
        <w:rPr>
          <w:spacing w:val="-1"/>
          <w:sz w:val="18"/>
        </w:rPr>
        <w:t> </w:t>
      </w:r>
      <w:r>
        <w:rPr>
          <w:sz w:val="18"/>
        </w:rPr>
        <w:t>the</w:t>
      </w:r>
      <w:r>
        <w:rPr>
          <w:spacing w:val="-4"/>
          <w:sz w:val="18"/>
        </w:rPr>
        <w:t> </w:t>
      </w:r>
      <w:r>
        <w:rPr>
          <w:sz w:val="18"/>
        </w:rPr>
        <w:t>following</w:t>
      </w:r>
      <w:r>
        <w:rPr>
          <w:spacing w:val="-3"/>
          <w:sz w:val="18"/>
        </w:rPr>
        <w:t> </w:t>
      </w:r>
      <w:r>
        <w:rPr>
          <w:sz w:val="18"/>
        </w:rPr>
        <w:t>best</w:t>
      </w:r>
      <w:r>
        <w:rPr>
          <w:spacing w:val="-6"/>
          <w:sz w:val="18"/>
        </w:rPr>
        <w:t> </w:t>
      </w:r>
      <w:r>
        <w:rPr>
          <w:sz w:val="18"/>
        </w:rPr>
        <w:t>describes</w:t>
      </w:r>
      <w:r>
        <w:rPr>
          <w:spacing w:val="-1"/>
          <w:sz w:val="18"/>
        </w:rPr>
        <w:t> </w:t>
      </w:r>
      <w:r>
        <w:rPr>
          <w:sz w:val="18"/>
        </w:rPr>
        <w:t>your</w:t>
      </w:r>
      <w:r>
        <w:rPr>
          <w:spacing w:val="-3"/>
          <w:sz w:val="18"/>
        </w:rPr>
        <w:t> </w:t>
      </w:r>
      <w:r>
        <w:rPr>
          <w:sz w:val="18"/>
        </w:rPr>
        <w:t>self-care</w:t>
      </w:r>
      <w:r>
        <w:rPr>
          <w:spacing w:val="-2"/>
          <w:sz w:val="18"/>
        </w:rPr>
        <w:t> </w:t>
      </w:r>
      <w:r>
        <w:rPr>
          <w:sz w:val="18"/>
        </w:rPr>
        <w:t>today,</w:t>
      </w:r>
      <w:r>
        <w:rPr>
          <w:spacing w:val="-4"/>
          <w:sz w:val="18"/>
        </w:rPr>
        <w:t> </w:t>
      </w:r>
      <w:r>
        <w:rPr>
          <w:sz w:val="18"/>
        </w:rPr>
        <w:t>would</w:t>
      </w:r>
      <w:r>
        <w:rPr>
          <w:spacing w:val="-4"/>
          <w:sz w:val="18"/>
        </w:rPr>
        <w:t> </w:t>
      </w:r>
      <w:r>
        <w:rPr>
          <w:sz w:val="18"/>
        </w:rPr>
        <w:t>you</w:t>
      </w:r>
      <w:r>
        <w:rPr>
          <w:spacing w:val="-1"/>
          <w:sz w:val="18"/>
        </w:rPr>
        <w:t> </w:t>
      </w:r>
      <w:r>
        <w:rPr>
          <w:sz w:val="18"/>
        </w:rPr>
        <w:t>say</w:t>
      </w:r>
      <w:r>
        <w:rPr>
          <w:spacing w:val="-3"/>
          <w:sz w:val="18"/>
        </w:rPr>
        <w:t> </w:t>
      </w:r>
      <w:r>
        <w:rPr>
          <w:sz w:val="18"/>
        </w:rPr>
        <w:t>…?</w:t>
      </w:r>
    </w:p>
    <w:p>
      <w:pPr>
        <w:pStyle w:val="BodyText"/>
        <w:rPr>
          <w:sz w:val="19"/>
        </w:rPr>
      </w:pPr>
    </w:p>
    <w:p>
      <w:pPr>
        <w:pStyle w:val="ListParagraph"/>
        <w:numPr>
          <w:ilvl w:val="0"/>
          <w:numId w:val="186"/>
        </w:numPr>
        <w:tabs>
          <w:tab w:pos="1860" w:val="left" w:leader="none"/>
          <w:tab w:pos="1861" w:val="left" w:leader="none"/>
        </w:tabs>
        <w:spacing w:line="240" w:lineRule="auto" w:before="0" w:after="0"/>
        <w:ind w:left="1860" w:right="0" w:hanging="721"/>
        <w:jc w:val="left"/>
        <w:rPr>
          <w:sz w:val="18"/>
        </w:rPr>
      </w:pPr>
      <w:r>
        <w:rPr>
          <w:sz w:val="18"/>
        </w:rPr>
        <w:t>I</w:t>
      </w:r>
      <w:r>
        <w:rPr>
          <w:spacing w:val="-3"/>
          <w:sz w:val="18"/>
        </w:rPr>
        <w:t> </w:t>
      </w:r>
      <w:r>
        <w:rPr>
          <w:sz w:val="18"/>
        </w:rPr>
        <w:t>have</w:t>
      </w:r>
      <w:r>
        <w:rPr>
          <w:spacing w:val="-2"/>
          <w:sz w:val="18"/>
        </w:rPr>
        <w:t> </w:t>
      </w:r>
      <w:r>
        <w:rPr>
          <w:sz w:val="18"/>
        </w:rPr>
        <w:t>no</w:t>
      </w:r>
      <w:r>
        <w:rPr>
          <w:spacing w:val="-3"/>
          <w:sz w:val="18"/>
        </w:rPr>
        <w:t> </w:t>
      </w:r>
      <w:r>
        <w:rPr>
          <w:sz w:val="18"/>
        </w:rPr>
        <w:t>problems</w:t>
      </w:r>
      <w:r>
        <w:rPr>
          <w:spacing w:val="-2"/>
          <w:sz w:val="18"/>
        </w:rPr>
        <w:t> </w:t>
      </w:r>
      <w:r>
        <w:rPr>
          <w:sz w:val="18"/>
        </w:rPr>
        <w:t>washing</w:t>
      </w:r>
      <w:r>
        <w:rPr>
          <w:spacing w:val="-4"/>
          <w:sz w:val="18"/>
        </w:rPr>
        <w:t> </w:t>
      </w:r>
      <w:r>
        <w:rPr>
          <w:sz w:val="18"/>
        </w:rPr>
        <w:t>or</w:t>
      </w:r>
      <w:r>
        <w:rPr>
          <w:spacing w:val="-2"/>
          <w:sz w:val="18"/>
        </w:rPr>
        <w:t> </w:t>
      </w:r>
      <w:r>
        <w:rPr>
          <w:sz w:val="18"/>
        </w:rPr>
        <w:t>dressing</w:t>
      </w:r>
      <w:r>
        <w:rPr>
          <w:spacing w:val="-3"/>
          <w:sz w:val="18"/>
        </w:rPr>
        <w:t> </w:t>
      </w:r>
      <w:r>
        <w:rPr>
          <w:sz w:val="18"/>
        </w:rPr>
        <w:t>myself</w:t>
      </w:r>
    </w:p>
    <w:p>
      <w:pPr>
        <w:pStyle w:val="ListParagraph"/>
        <w:numPr>
          <w:ilvl w:val="0"/>
          <w:numId w:val="186"/>
        </w:numPr>
        <w:tabs>
          <w:tab w:pos="1860" w:val="left" w:leader="none"/>
          <w:tab w:pos="1861" w:val="left" w:leader="none"/>
        </w:tabs>
        <w:spacing w:line="240" w:lineRule="auto" w:before="31" w:after="0"/>
        <w:ind w:left="1860" w:right="0" w:hanging="721"/>
        <w:jc w:val="left"/>
        <w:rPr>
          <w:sz w:val="18"/>
        </w:rPr>
      </w:pPr>
      <w:r>
        <w:rPr>
          <w:sz w:val="18"/>
        </w:rPr>
        <w:t>I</w:t>
      </w:r>
      <w:r>
        <w:rPr>
          <w:spacing w:val="-4"/>
          <w:sz w:val="18"/>
        </w:rPr>
        <w:t> </w:t>
      </w:r>
      <w:r>
        <w:rPr>
          <w:sz w:val="18"/>
        </w:rPr>
        <w:t>have</w:t>
      </w:r>
      <w:r>
        <w:rPr>
          <w:spacing w:val="-2"/>
          <w:sz w:val="18"/>
        </w:rPr>
        <w:t> </w:t>
      </w:r>
      <w:r>
        <w:rPr>
          <w:sz w:val="18"/>
        </w:rPr>
        <w:t>slight</w:t>
      </w:r>
      <w:r>
        <w:rPr>
          <w:spacing w:val="-4"/>
          <w:sz w:val="18"/>
        </w:rPr>
        <w:t> </w:t>
      </w:r>
      <w:r>
        <w:rPr>
          <w:sz w:val="18"/>
        </w:rPr>
        <w:t>problems</w:t>
      </w:r>
      <w:r>
        <w:rPr>
          <w:spacing w:val="-3"/>
          <w:sz w:val="18"/>
        </w:rPr>
        <w:t> </w:t>
      </w:r>
      <w:r>
        <w:rPr>
          <w:sz w:val="18"/>
        </w:rPr>
        <w:t>washing</w:t>
      </w:r>
      <w:r>
        <w:rPr>
          <w:spacing w:val="-4"/>
          <w:sz w:val="18"/>
        </w:rPr>
        <w:t> </w:t>
      </w:r>
      <w:r>
        <w:rPr>
          <w:sz w:val="18"/>
        </w:rPr>
        <w:t>or</w:t>
      </w:r>
      <w:r>
        <w:rPr>
          <w:spacing w:val="-2"/>
          <w:sz w:val="18"/>
        </w:rPr>
        <w:t> </w:t>
      </w:r>
      <w:r>
        <w:rPr>
          <w:sz w:val="18"/>
        </w:rPr>
        <w:t>dressing</w:t>
      </w:r>
      <w:r>
        <w:rPr>
          <w:spacing w:val="-4"/>
          <w:sz w:val="18"/>
        </w:rPr>
        <w:t> </w:t>
      </w:r>
      <w:r>
        <w:rPr>
          <w:sz w:val="18"/>
        </w:rPr>
        <w:t>myself</w:t>
      </w:r>
    </w:p>
    <w:p>
      <w:pPr>
        <w:pStyle w:val="ListParagraph"/>
        <w:numPr>
          <w:ilvl w:val="0"/>
          <w:numId w:val="186"/>
        </w:numPr>
        <w:tabs>
          <w:tab w:pos="1860" w:val="left" w:leader="none"/>
          <w:tab w:pos="1861" w:val="left" w:leader="none"/>
        </w:tabs>
        <w:spacing w:line="240" w:lineRule="auto" w:before="34" w:after="0"/>
        <w:ind w:left="1860" w:right="0" w:hanging="721"/>
        <w:jc w:val="left"/>
        <w:rPr>
          <w:sz w:val="18"/>
        </w:rPr>
      </w:pPr>
      <w:r>
        <w:rPr>
          <w:sz w:val="18"/>
        </w:rPr>
        <w:t>I</w:t>
      </w:r>
      <w:r>
        <w:rPr>
          <w:spacing w:val="-4"/>
          <w:sz w:val="18"/>
        </w:rPr>
        <w:t> </w:t>
      </w:r>
      <w:r>
        <w:rPr>
          <w:sz w:val="18"/>
        </w:rPr>
        <w:t>have</w:t>
      </w:r>
      <w:r>
        <w:rPr>
          <w:spacing w:val="-3"/>
          <w:sz w:val="18"/>
        </w:rPr>
        <w:t> </w:t>
      </w:r>
      <w:r>
        <w:rPr>
          <w:sz w:val="18"/>
        </w:rPr>
        <w:t>moderate</w:t>
      </w:r>
      <w:r>
        <w:rPr>
          <w:spacing w:val="-2"/>
          <w:sz w:val="18"/>
        </w:rPr>
        <w:t> </w:t>
      </w:r>
      <w:r>
        <w:rPr>
          <w:sz w:val="18"/>
        </w:rPr>
        <w:t>problems</w:t>
      </w:r>
      <w:r>
        <w:rPr>
          <w:spacing w:val="-2"/>
          <w:sz w:val="18"/>
        </w:rPr>
        <w:t> </w:t>
      </w:r>
      <w:r>
        <w:rPr>
          <w:sz w:val="18"/>
        </w:rPr>
        <w:t>washing</w:t>
      </w:r>
      <w:r>
        <w:rPr>
          <w:spacing w:val="-4"/>
          <w:sz w:val="18"/>
        </w:rPr>
        <w:t> </w:t>
      </w:r>
      <w:r>
        <w:rPr>
          <w:sz w:val="18"/>
        </w:rPr>
        <w:t>or</w:t>
      </w:r>
      <w:r>
        <w:rPr>
          <w:spacing w:val="-3"/>
          <w:sz w:val="18"/>
        </w:rPr>
        <w:t> </w:t>
      </w:r>
      <w:r>
        <w:rPr>
          <w:sz w:val="18"/>
        </w:rPr>
        <w:t>dressing</w:t>
      </w:r>
      <w:r>
        <w:rPr>
          <w:spacing w:val="-3"/>
          <w:sz w:val="18"/>
        </w:rPr>
        <w:t> </w:t>
      </w:r>
      <w:r>
        <w:rPr>
          <w:sz w:val="18"/>
        </w:rPr>
        <w:t>myself</w:t>
      </w:r>
    </w:p>
    <w:p>
      <w:pPr>
        <w:pStyle w:val="ListParagraph"/>
        <w:numPr>
          <w:ilvl w:val="0"/>
          <w:numId w:val="186"/>
        </w:numPr>
        <w:tabs>
          <w:tab w:pos="1860" w:val="left" w:leader="none"/>
          <w:tab w:pos="1861" w:val="left" w:leader="none"/>
        </w:tabs>
        <w:spacing w:line="240" w:lineRule="auto" w:before="34" w:after="0"/>
        <w:ind w:left="1860" w:right="0" w:hanging="721"/>
        <w:jc w:val="left"/>
        <w:rPr>
          <w:sz w:val="18"/>
        </w:rPr>
      </w:pPr>
      <w:r>
        <w:rPr>
          <w:sz w:val="18"/>
        </w:rPr>
        <w:t>I</w:t>
      </w:r>
      <w:r>
        <w:rPr>
          <w:spacing w:val="-4"/>
          <w:sz w:val="18"/>
        </w:rPr>
        <w:t> </w:t>
      </w:r>
      <w:r>
        <w:rPr>
          <w:sz w:val="18"/>
        </w:rPr>
        <w:t>have</w:t>
      </w:r>
      <w:r>
        <w:rPr>
          <w:spacing w:val="-2"/>
          <w:sz w:val="18"/>
        </w:rPr>
        <w:t> </w:t>
      </w:r>
      <w:r>
        <w:rPr>
          <w:sz w:val="18"/>
        </w:rPr>
        <w:t>severe</w:t>
      </w:r>
      <w:r>
        <w:rPr>
          <w:spacing w:val="-2"/>
          <w:sz w:val="18"/>
        </w:rPr>
        <w:t> </w:t>
      </w:r>
      <w:r>
        <w:rPr>
          <w:sz w:val="18"/>
        </w:rPr>
        <w:t>problems</w:t>
      </w:r>
      <w:r>
        <w:rPr>
          <w:spacing w:val="-2"/>
          <w:sz w:val="18"/>
        </w:rPr>
        <w:t> </w:t>
      </w:r>
      <w:r>
        <w:rPr>
          <w:sz w:val="18"/>
        </w:rPr>
        <w:t>washing</w:t>
      </w:r>
      <w:r>
        <w:rPr>
          <w:spacing w:val="-3"/>
          <w:sz w:val="18"/>
        </w:rPr>
        <w:t> </w:t>
      </w:r>
      <w:r>
        <w:rPr>
          <w:sz w:val="18"/>
        </w:rPr>
        <w:t>or</w:t>
      </w:r>
      <w:r>
        <w:rPr>
          <w:spacing w:val="-3"/>
          <w:sz w:val="18"/>
        </w:rPr>
        <w:t> </w:t>
      </w:r>
      <w:r>
        <w:rPr>
          <w:sz w:val="18"/>
        </w:rPr>
        <w:t>dressing</w:t>
      </w:r>
      <w:r>
        <w:rPr>
          <w:spacing w:val="-3"/>
          <w:sz w:val="18"/>
        </w:rPr>
        <w:t> </w:t>
      </w:r>
      <w:r>
        <w:rPr>
          <w:sz w:val="18"/>
        </w:rPr>
        <w:t>myself</w:t>
      </w:r>
    </w:p>
    <w:p>
      <w:pPr>
        <w:pStyle w:val="ListParagraph"/>
        <w:numPr>
          <w:ilvl w:val="0"/>
          <w:numId w:val="186"/>
        </w:numPr>
        <w:tabs>
          <w:tab w:pos="1860" w:val="left" w:leader="none"/>
          <w:tab w:pos="1861" w:val="left" w:leader="none"/>
        </w:tabs>
        <w:spacing w:line="240" w:lineRule="auto" w:before="33" w:after="0"/>
        <w:ind w:left="1860" w:right="0" w:hanging="721"/>
        <w:jc w:val="left"/>
        <w:rPr>
          <w:sz w:val="18"/>
        </w:rPr>
      </w:pPr>
      <w:r>
        <w:rPr>
          <w:sz w:val="18"/>
        </w:rPr>
        <w:t>I am</w:t>
      </w:r>
      <w:r>
        <w:rPr>
          <w:spacing w:val="-5"/>
          <w:sz w:val="18"/>
        </w:rPr>
        <w:t> </w:t>
      </w:r>
      <w:r>
        <w:rPr>
          <w:sz w:val="18"/>
        </w:rPr>
        <w:t>unable</w:t>
      </w:r>
      <w:r>
        <w:rPr>
          <w:spacing w:val="-2"/>
          <w:sz w:val="18"/>
        </w:rPr>
        <w:t> </w:t>
      </w:r>
      <w:r>
        <w:rPr>
          <w:sz w:val="18"/>
        </w:rPr>
        <w:t>to</w:t>
      </w:r>
      <w:r>
        <w:rPr>
          <w:spacing w:val="-2"/>
          <w:sz w:val="18"/>
        </w:rPr>
        <w:t> </w:t>
      </w:r>
      <w:r>
        <w:rPr>
          <w:sz w:val="18"/>
        </w:rPr>
        <w:t>wash</w:t>
      </w:r>
      <w:r>
        <w:rPr>
          <w:spacing w:val="-2"/>
          <w:sz w:val="18"/>
        </w:rPr>
        <w:t> </w:t>
      </w:r>
      <w:r>
        <w:rPr>
          <w:sz w:val="18"/>
        </w:rPr>
        <w:t>or</w:t>
      </w:r>
      <w:r>
        <w:rPr>
          <w:spacing w:val="-1"/>
          <w:sz w:val="18"/>
        </w:rPr>
        <w:t> </w:t>
      </w:r>
      <w:r>
        <w:rPr>
          <w:sz w:val="18"/>
        </w:rPr>
        <w:t>dress</w:t>
      </w:r>
      <w:r>
        <w:rPr>
          <w:spacing w:val="-3"/>
          <w:sz w:val="18"/>
        </w:rPr>
        <w:t> </w:t>
      </w:r>
      <w:r>
        <w:rPr>
          <w:sz w:val="18"/>
        </w:rPr>
        <w:t>myself</w:t>
      </w:r>
    </w:p>
    <w:p>
      <w:pPr>
        <w:pStyle w:val="ListParagraph"/>
        <w:numPr>
          <w:ilvl w:val="0"/>
          <w:numId w:val="187"/>
        </w:numPr>
        <w:tabs>
          <w:tab w:pos="1860" w:val="left" w:leader="none"/>
          <w:tab w:pos="1861" w:val="left" w:leader="none"/>
        </w:tabs>
        <w:spacing w:line="240" w:lineRule="auto" w:before="32" w:after="0"/>
        <w:ind w:left="1860" w:right="0" w:hanging="721"/>
        <w:jc w:val="left"/>
        <w:rPr>
          <w:sz w:val="18"/>
        </w:rPr>
      </w:pPr>
      <w:r>
        <w:rPr>
          <w:sz w:val="18"/>
        </w:rPr>
        <w:t>(Don’t</w:t>
      </w:r>
      <w:r>
        <w:rPr>
          <w:spacing w:val="-3"/>
          <w:sz w:val="18"/>
        </w:rPr>
        <w:t> </w:t>
      </w:r>
      <w:r>
        <w:rPr>
          <w:sz w:val="18"/>
        </w:rPr>
        <w:t>know)</w:t>
      </w:r>
    </w:p>
    <w:p>
      <w:pPr>
        <w:pStyle w:val="ListParagraph"/>
        <w:numPr>
          <w:ilvl w:val="0"/>
          <w:numId w:val="187"/>
        </w:numPr>
        <w:tabs>
          <w:tab w:pos="1860" w:val="left" w:leader="none"/>
          <w:tab w:pos="1861" w:val="left" w:leader="none"/>
        </w:tabs>
        <w:spacing w:line="240" w:lineRule="auto" w:before="33" w:after="0"/>
        <w:ind w:left="1860" w:right="0" w:hanging="721"/>
        <w:jc w:val="left"/>
        <w:rPr>
          <w:sz w:val="18"/>
        </w:rPr>
      </w:pPr>
      <w:r>
        <w:rPr>
          <w:sz w:val="18"/>
        </w:rPr>
        <w:t>(Refused)</w:t>
      </w:r>
    </w:p>
    <w:p>
      <w:pPr>
        <w:pStyle w:val="BodyText"/>
        <w:rPr>
          <w:sz w:val="19"/>
        </w:rPr>
      </w:pPr>
    </w:p>
    <w:p>
      <w:pPr>
        <w:tabs>
          <w:tab w:pos="1128" w:val="left" w:leader="none"/>
        </w:tabs>
        <w:spacing w:line="276" w:lineRule="auto" w:before="0"/>
        <w:ind w:left="1128" w:right="923" w:hanging="709"/>
        <w:jc w:val="left"/>
        <w:rPr>
          <w:sz w:val="18"/>
        </w:rPr>
      </w:pPr>
      <w:r>
        <w:rPr>
          <w:sz w:val="18"/>
        </w:rPr>
        <w:t>Q29</w:t>
        <w:tab/>
        <w:t>Which of the following best describes your usual activities today (e.g. Work, study, housework, family, or leisure</w:t>
      </w:r>
      <w:r>
        <w:rPr>
          <w:spacing w:val="-47"/>
          <w:sz w:val="18"/>
        </w:rPr>
        <w:t> </w:t>
      </w:r>
      <w:r>
        <w:rPr>
          <w:sz w:val="18"/>
        </w:rPr>
        <w:t>activities),</w:t>
      </w:r>
      <w:r>
        <w:rPr>
          <w:spacing w:val="-2"/>
          <w:sz w:val="18"/>
        </w:rPr>
        <w:t> </w:t>
      </w:r>
      <w:r>
        <w:rPr>
          <w:sz w:val="18"/>
        </w:rPr>
        <w:t>would</w:t>
      </w:r>
      <w:r>
        <w:rPr>
          <w:spacing w:val="-1"/>
          <w:sz w:val="18"/>
        </w:rPr>
        <w:t> </w:t>
      </w:r>
      <w:r>
        <w:rPr>
          <w:sz w:val="18"/>
        </w:rPr>
        <w:t>you</w:t>
      </w:r>
      <w:r>
        <w:rPr>
          <w:spacing w:val="1"/>
          <w:sz w:val="18"/>
        </w:rPr>
        <w:t> </w:t>
      </w:r>
      <w:r>
        <w:rPr>
          <w:sz w:val="18"/>
        </w:rPr>
        <w:t>say …?</w:t>
      </w:r>
    </w:p>
    <w:p>
      <w:pPr>
        <w:pStyle w:val="BodyText"/>
        <w:spacing w:before="5"/>
        <w:rPr>
          <w:sz w:val="16"/>
        </w:rPr>
      </w:pPr>
    </w:p>
    <w:p>
      <w:pPr>
        <w:pStyle w:val="ListParagraph"/>
        <w:numPr>
          <w:ilvl w:val="0"/>
          <w:numId w:val="188"/>
        </w:numPr>
        <w:tabs>
          <w:tab w:pos="1860" w:val="left" w:leader="none"/>
          <w:tab w:pos="1861" w:val="left" w:leader="none"/>
        </w:tabs>
        <w:spacing w:line="240" w:lineRule="auto" w:before="0" w:after="0"/>
        <w:ind w:left="1860" w:right="0" w:hanging="721"/>
        <w:jc w:val="left"/>
        <w:rPr>
          <w:sz w:val="18"/>
        </w:rPr>
      </w:pPr>
      <w:r>
        <w:rPr>
          <w:sz w:val="18"/>
        </w:rPr>
        <w:t>I</w:t>
      </w:r>
      <w:r>
        <w:rPr>
          <w:spacing w:val="-3"/>
          <w:sz w:val="18"/>
        </w:rPr>
        <w:t> </w:t>
      </w:r>
      <w:r>
        <w:rPr>
          <w:sz w:val="18"/>
        </w:rPr>
        <w:t>have</w:t>
      </w:r>
      <w:r>
        <w:rPr>
          <w:spacing w:val="-1"/>
          <w:sz w:val="18"/>
        </w:rPr>
        <w:t> </w:t>
      </w:r>
      <w:r>
        <w:rPr>
          <w:sz w:val="18"/>
        </w:rPr>
        <w:t>no</w:t>
      </w:r>
      <w:r>
        <w:rPr>
          <w:spacing w:val="-2"/>
          <w:sz w:val="18"/>
        </w:rPr>
        <w:t> </w:t>
      </w:r>
      <w:r>
        <w:rPr>
          <w:sz w:val="18"/>
        </w:rPr>
        <w:t>problems</w:t>
      </w:r>
      <w:r>
        <w:rPr>
          <w:spacing w:val="-1"/>
          <w:sz w:val="18"/>
        </w:rPr>
        <w:t> </w:t>
      </w:r>
      <w:r>
        <w:rPr>
          <w:sz w:val="18"/>
        </w:rPr>
        <w:t>doing</w:t>
      </w:r>
      <w:r>
        <w:rPr>
          <w:spacing w:val="-3"/>
          <w:sz w:val="18"/>
        </w:rPr>
        <w:t> </w:t>
      </w:r>
      <w:r>
        <w:rPr>
          <w:sz w:val="18"/>
        </w:rPr>
        <w:t>my</w:t>
      </w:r>
      <w:r>
        <w:rPr>
          <w:spacing w:val="-3"/>
          <w:sz w:val="18"/>
        </w:rPr>
        <w:t> </w:t>
      </w:r>
      <w:r>
        <w:rPr>
          <w:sz w:val="18"/>
        </w:rPr>
        <w:t>usual</w:t>
      </w:r>
      <w:r>
        <w:rPr>
          <w:spacing w:val="-1"/>
          <w:sz w:val="18"/>
        </w:rPr>
        <w:t> </w:t>
      </w:r>
      <w:r>
        <w:rPr>
          <w:sz w:val="18"/>
        </w:rPr>
        <w:t>activities</w:t>
      </w:r>
    </w:p>
    <w:p>
      <w:pPr>
        <w:pStyle w:val="ListParagraph"/>
        <w:numPr>
          <w:ilvl w:val="0"/>
          <w:numId w:val="188"/>
        </w:numPr>
        <w:tabs>
          <w:tab w:pos="1860" w:val="left" w:leader="none"/>
          <w:tab w:pos="1861" w:val="left" w:leader="none"/>
        </w:tabs>
        <w:spacing w:line="240" w:lineRule="auto" w:before="34" w:after="0"/>
        <w:ind w:left="1860" w:right="0" w:hanging="721"/>
        <w:jc w:val="left"/>
        <w:rPr>
          <w:sz w:val="18"/>
        </w:rPr>
      </w:pPr>
      <w:r>
        <w:rPr>
          <w:sz w:val="18"/>
        </w:rPr>
        <w:t>I</w:t>
      </w:r>
      <w:r>
        <w:rPr>
          <w:spacing w:val="-3"/>
          <w:sz w:val="18"/>
        </w:rPr>
        <w:t> </w:t>
      </w:r>
      <w:r>
        <w:rPr>
          <w:sz w:val="18"/>
        </w:rPr>
        <w:t>have</w:t>
      </w:r>
      <w:r>
        <w:rPr>
          <w:spacing w:val="-2"/>
          <w:sz w:val="18"/>
        </w:rPr>
        <w:t> </w:t>
      </w:r>
      <w:r>
        <w:rPr>
          <w:sz w:val="18"/>
        </w:rPr>
        <w:t>slight</w:t>
      </w:r>
      <w:r>
        <w:rPr>
          <w:spacing w:val="-4"/>
          <w:sz w:val="18"/>
        </w:rPr>
        <w:t> </w:t>
      </w:r>
      <w:r>
        <w:rPr>
          <w:sz w:val="18"/>
        </w:rPr>
        <w:t>problems</w:t>
      </w:r>
      <w:r>
        <w:rPr>
          <w:spacing w:val="-1"/>
          <w:sz w:val="18"/>
        </w:rPr>
        <w:t> </w:t>
      </w:r>
      <w:r>
        <w:rPr>
          <w:sz w:val="18"/>
        </w:rPr>
        <w:t>doing</w:t>
      </w:r>
      <w:r>
        <w:rPr>
          <w:spacing w:val="-4"/>
          <w:sz w:val="18"/>
        </w:rPr>
        <w:t> </w:t>
      </w:r>
      <w:r>
        <w:rPr>
          <w:sz w:val="18"/>
        </w:rPr>
        <w:t>my</w:t>
      </w:r>
      <w:r>
        <w:rPr>
          <w:spacing w:val="-3"/>
          <w:sz w:val="18"/>
        </w:rPr>
        <w:t> </w:t>
      </w:r>
      <w:r>
        <w:rPr>
          <w:sz w:val="18"/>
        </w:rPr>
        <w:t>usual</w:t>
      </w:r>
      <w:r>
        <w:rPr>
          <w:spacing w:val="-1"/>
          <w:sz w:val="18"/>
        </w:rPr>
        <w:t> </w:t>
      </w:r>
      <w:r>
        <w:rPr>
          <w:sz w:val="18"/>
        </w:rPr>
        <w:t>activities</w:t>
      </w:r>
    </w:p>
    <w:p>
      <w:pPr>
        <w:pStyle w:val="ListParagraph"/>
        <w:numPr>
          <w:ilvl w:val="0"/>
          <w:numId w:val="188"/>
        </w:numPr>
        <w:tabs>
          <w:tab w:pos="1860" w:val="left" w:leader="none"/>
          <w:tab w:pos="1861" w:val="left" w:leader="none"/>
        </w:tabs>
        <w:spacing w:line="240" w:lineRule="auto" w:before="34" w:after="0"/>
        <w:ind w:left="1860" w:right="0" w:hanging="721"/>
        <w:jc w:val="left"/>
        <w:rPr>
          <w:sz w:val="18"/>
        </w:rPr>
      </w:pPr>
      <w:r>
        <w:rPr>
          <w:sz w:val="18"/>
        </w:rPr>
        <w:t>I</w:t>
      </w:r>
      <w:r>
        <w:rPr>
          <w:spacing w:val="-3"/>
          <w:sz w:val="18"/>
        </w:rPr>
        <w:t> </w:t>
      </w:r>
      <w:r>
        <w:rPr>
          <w:sz w:val="18"/>
        </w:rPr>
        <w:t>have</w:t>
      </w:r>
      <w:r>
        <w:rPr>
          <w:spacing w:val="-2"/>
          <w:sz w:val="18"/>
        </w:rPr>
        <w:t> </w:t>
      </w:r>
      <w:r>
        <w:rPr>
          <w:sz w:val="18"/>
        </w:rPr>
        <w:t>moderate</w:t>
      </w:r>
      <w:r>
        <w:rPr>
          <w:spacing w:val="-2"/>
          <w:sz w:val="18"/>
        </w:rPr>
        <w:t> </w:t>
      </w:r>
      <w:r>
        <w:rPr>
          <w:sz w:val="18"/>
        </w:rPr>
        <w:t>problems doing</w:t>
      </w:r>
      <w:r>
        <w:rPr>
          <w:spacing w:val="-4"/>
          <w:sz w:val="18"/>
        </w:rPr>
        <w:t> </w:t>
      </w:r>
      <w:r>
        <w:rPr>
          <w:sz w:val="18"/>
        </w:rPr>
        <w:t>my</w:t>
      </w:r>
      <w:r>
        <w:rPr>
          <w:spacing w:val="-3"/>
          <w:sz w:val="18"/>
        </w:rPr>
        <w:t> </w:t>
      </w:r>
      <w:r>
        <w:rPr>
          <w:sz w:val="18"/>
        </w:rPr>
        <w:t>usual</w:t>
      </w:r>
      <w:r>
        <w:rPr>
          <w:spacing w:val="-2"/>
          <w:sz w:val="18"/>
        </w:rPr>
        <w:t> </w:t>
      </w:r>
      <w:r>
        <w:rPr>
          <w:sz w:val="18"/>
        </w:rPr>
        <w:t>activities</w:t>
      </w:r>
    </w:p>
    <w:p>
      <w:pPr>
        <w:pStyle w:val="ListParagraph"/>
        <w:numPr>
          <w:ilvl w:val="0"/>
          <w:numId w:val="188"/>
        </w:numPr>
        <w:tabs>
          <w:tab w:pos="1860" w:val="left" w:leader="none"/>
          <w:tab w:pos="1861" w:val="left" w:leader="none"/>
        </w:tabs>
        <w:spacing w:line="240" w:lineRule="auto" w:before="31" w:after="0"/>
        <w:ind w:left="1860" w:right="0" w:hanging="721"/>
        <w:jc w:val="left"/>
        <w:rPr>
          <w:sz w:val="18"/>
        </w:rPr>
      </w:pPr>
      <w:r>
        <w:rPr>
          <w:sz w:val="18"/>
        </w:rPr>
        <w:t>I</w:t>
      </w:r>
      <w:r>
        <w:rPr>
          <w:spacing w:val="-3"/>
          <w:sz w:val="18"/>
        </w:rPr>
        <w:t> </w:t>
      </w:r>
      <w:r>
        <w:rPr>
          <w:sz w:val="18"/>
        </w:rPr>
        <w:t>have</w:t>
      </w:r>
      <w:r>
        <w:rPr>
          <w:spacing w:val="-1"/>
          <w:sz w:val="18"/>
        </w:rPr>
        <w:t> </w:t>
      </w:r>
      <w:r>
        <w:rPr>
          <w:sz w:val="18"/>
        </w:rPr>
        <w:t>severe</w:t>
      </w:r>
      <w:r>
        <w:rPr>
          <w:spacing w:val="-1"/>
          <w:sz w:val="18"/>
        </w:rPr>
        <w:t> </w:t>
      </w:r>
      <w:r>
        <w:rPr>
          <w:sz w:val="18"/>
        </w:rPr>
        <w:t>problems</w:t>
      </w:r>
      <w:r>
        <w:rPr>
          <w:spacing w:val="-2"/>
          <w:sz w:val="18"/>
        </w:rPr>
        <w:t> </w:t>
      </w:r>
      <w:r>
        <w:rPr>
          <w:sz w:val="18"/>
        </w:rPr>
        <w:t>doing</w:t>
      </w:r>
      <w:r>
        <w:rPr>
          <w:spacing w:val="-3"/>
          <w:sz w:val="18"/>
        </w:rPr>
        <w:t> </w:t>
      </w:r>
      <w:r>
        <w:rPr>
          <w:sz w:val="18"/>
        </w:rPr>
        <w:t>my</w:t>
      </w:r>
      <w:r>
        <w:rPr>
          <w:spacing w:val="-2"/>
          <w:sz w:val="18"/>
        </w:rPr>
        <w:t> </w:t>
      </w:r>
      <w:r>
        <w:rPr>
          <w:sz w:val="18"/>
        </w:rPr>
        <w:t>usual</w:t>
      </w:r>
      <w:r>
        <w:rPr>
          <w:spacing w:val="-2"/>
          <w:sz w:val="18"/>
        </w:rPr>
        <w:t> </w:t>
      </w:r>
      <w:r>
        <w:rPr>
          <w:sz w:val="18"/>
        </w:rPr>
        <w:t>activities</w:t>
      </w:r>
    </w:p>
    <w:p>
      <w:pPr>
        <w:pStyle w:val="ListParagraph"/>
        <w:numPr>
          <w:ilvl w:val="0"/>
          <w:numId w:val="188"/>
        </w:numPr>
        <w:tabs>
          <w:tab w:pos="1860" w:val="left" w:leader="none"/>
          <w:tab w:pos="1861" w:val="left" w:leader="none"/>
        </w:tabs>
        <w:spacing w:line="240" w:lineRule="auto" w:before="34" w:after="0"/>
        <w:ind w:left="1860" w:right="0" w:hanging="721"/>
        <w:jc w:val="left"/>
        <w:rPr>
          <w:sz w:val="18"/>
        </w:rPr>
      </w:pPr>
      <w:r>
        <w:rPr>
          <w:sz w:val="18"/>
        </w:rPr>
        <w:t>I</w:t>
      </w:r>
      <w:r>
        <w:rPr>
          <w:spacing w:val="1"/>
          <w:sz w:val="18"/>
        </w:rPr>
        <w:t> </w:t>
      </w:r>
      <w:r>
        <w:rPr>
          <w:sz w:val="18"/>
        </w:rPr>
        <w:t>am</w:t>
      </w:r>
      <w:r>
        <w:rPr>
          <w:spacing w:val="-5"/>
          <w:sz w:val="18"/>
        </w:rPr>
        <w:t> </w:t>
      </w:r>
      <w:r>
        <w:rPr>
          <w:sz w:val="18"/>
        </w:rPr>
        <w:t>unable</w:t>
      </w:r>
      <w:r>
        <w:rPr>
          <w:spacing w:val="-1"/>
          <w:sz w:val="18"/>
        </w:rPr>
        <w:t> </w:t>
      </w:r>
      <w:r>
        <w:rPr>
          <w:sz w:val="18"/>
        </w:rPr>
        <w:t>to</w:t>
      </w:r>
      <w:r>
        <w:rPr>
          <w:spacing w:val="-2"/>
          <w:sz w:val="18"/>
        </w:rPr>
        <w:t> </w:t>
      </w:r>
      <w:r>
        <w:rPr>
          <w:sz w:val="18"/>
        </w:rPr>
        <w:t>do</w:t>
      </w:r>
      <w:r>
        <w:rPr>
          <w:spacing w:val="-2"/>
          <w:sz w:val="18"/>
        </w:rPr>
        <w:t> </w:t>
      </w:r>
      <w:r>
        <w:rPr>
          <w:sz w:val="18"/>
        </w:rPr>
        <w:t>my</w:t>
      </w:r>
      <w:r>
        <w:rPr>
          <w:spacing w:val="-1"/>
          <w:sz w:val="18"/>
        </w:rPr>
        <w:t> </w:t>
      </w:r>
      <w:r>
        <w:rPr>
          <w:sz w:val="18"/>
        </w:rPr>
        <w:t>usual</w:t>
      </w:r>
      <w:r>
        <w:rPr>
          <w:spacing w:val="1"/>
          <w:sz w:val="18"/>
        </w:rPr>
        <w:t> </w:t>
      </w:r>
      <w:r>
        <w:rPr>
          <w:sz w:val="18"/>
        </w:rPr>
        <w:t>activities</w:t>
      </w:r>
    </w:p>
    <w:p>
      <w:pPr>
        <w:pStyle w:val="ListParagraph"/>
        <w:numPr>
          <w:ilvl w:val="0"/>
          <w:numId w:val="189"/>
        </w:numPr>
        <w:tabs>
          <w:tab w:pos="1860" w:val="left" w:leader="none"/>
          <w:tab w:pos="1861" w:val="left" w:leader="none"/>
        </w:tabs>
        <w:spacing w:line="240" w:lineRule="auto" w:before="33" w:after="0"/>
        <w:ind w:left="1860" w:right="0" w:hanging="721"/>
        <w:jc w:val="left"/>
        <w:rPr>
          <w:sz w:val="18"/>
        </w:rPr>
      </w:pPr>
      <w:r>
        <w:rPr>
          <w:sz w:val="18"/>
        </w:rPr>
        <w:t>(Don’t</w:t>
      </w:r>
      <w:r>
        <w:rPr>
          <w:spacing w:val="-3"/>
          <w:sz w:val="18"/>
        </w:rPr>
        <w:t> </w:t>
      </w:r>
      <w:r>
        <w:rPr>
          <w:sz w:val="18"/>
        </w:rPr>
        <w:t>know)</w:t>
      </w:r>
    </w:p>
    <w:p>
      <w:pPr>
        <w:pStyle w:val="ListParagraph"/>
        <w:numPr>
          <w:ilvl w:val="0"/>
          <w:numId w:val="189"/>
        </w:numPr>
        <w:tabs>
          <w:tab w:pos="1860" w:val="left" w:leader="none"/>
          <w:tab w:pos="1861" w:val="left" w:leader="none"/>
        </w:tabs>
        <w:spacing w:line="240" w:lineRule="auto" w:before="34" w:after="0"/>
        <w:ind w:left="1860" w:right="0" w:hanging="721"/>
        <w:jc w:val="left"/>
        <w:rPr>
          <w:sz w:val="18"/>
        </w:rPr>
      </w:pPr>
      <w:r>
        <w:rPr>
          <w:sz w:val="18"/>
        </w:rPr>
        <w:t>(Refused)</w:t>
      </w:r>
    </w:p>
    <w:p>
      <w:pPr>
        <w:pStyle w:val="BodyText"/>
        <w:rPr>
          <w:sz w:val="19"/>
        </w:rPr>
      </w:pPr>
    </w:p>
    <w:p>
      <w:pPr>
        <w:tabs>
          <w:tab w:pos="1128" w:val="left" w:leader="none"/>
        </w:tabs>
        <w:spacing w:before="0"/>
        <w:ind w:left="420" w:right="0" w:firstLine="0"/>
        <w:jc w:val="left"/>
        <w:rPr>
          <w:sz w:val="18"/>
        </w:rPr>
      </w:pPr>
      <w:r>
        <w:rPr>
          <w:sz w:val="18"/>
        </w:rPr>
        <w:t>Q30</w:t>
        <w:tab/>
        <w:t>Which</w:t>
      </w:r>
      <w:r>
        <w:rPr>
          <w:spacing w:val="-2"/>
          <w:sz w:val="18"/>
        </w:rPr>
        <w:t> </w:t>
      </w:r>
      <w:r>
        <w:rPr>
          <w:sz w:val="18"/>
        </w:rPr>
        <w:t>of</w:t>
      </w:r>
      <w:r>
        <w:rPr>
          <w:spacing w:val="-1"/>
          <w:sz w:val="18"/>
        </w:rPr>
        <w:t> </w:t>
      </w:r>
      <w:r>
        <w:rPr>
          <w:sz w:val="18"/>
        </w:rPr>
        <w:t>the</w:t>
      </w:r>
      <w:r>
        <w:rPr>
          <w:spacing w:val="-3"/>
          <w:sz w:val="18"/>
        </w:rPr>
        <w:t> </w:t>
      </w:r>
      <w:r>
        <w:rPr>
          <w:sz w:val="18"/>
        </w:rPr>
        <w:t>following</w:t>
      </w:r>
      <w:r>
        <w:rPr>
          <w:spacing w:val="-4"/>
          <w:sz w:val="18"/>
        </w:rPr>
        <w:t> </w:t>
      </w:r>
      <w:r>
        <w:rPr>
          <w:sz w:val="18"/>
        </w:rPr>
        <w:t>best</w:t>
      </w:r>
      <w:r>
        <w:rPr>
          <w:spacing w:val="-5"/>
          <w:sz w:val="18"/>
        </w:rPr>
        <w:t> </w:t>
      </w:r>
      <w:r>
        <w:rPr>
          <w:sz w:val="18"/>
        </w:rPr>
        <w:t>describes</w:t>
      </w:r>
      <w:r>
        <w:rPr>
          <w:spacing w:val="-1"/>
          <w:sz w:val="18"/>
        </w:rPr>
        <w:t> </w:t>
      </w:r>
      <w:r>
        <w:rPr>
          <w:sz w:val="18"/>
        </w:rPr>
        <w:t>your</w:t>
      </w:r>
      <w:r>
        <w:rPr>
          <w:spacing w:val="-3"/>
          <w:sz w:val="18"/>
        </w:rPr>
        <w:t> </w:t>
      </w:r>
      <w:r>
        <w:rPr>
          <w:sz w:val="18"/>
        </w:rPr>
        <w:t>pain</w:t>
      </w:r>
      <w:r>
        <w:rPr>
          <w:spacing w:val="-3"/>
          <w:sz w:val="18"/>
        </w:rPr>
        <w:t> </w:t>
      </w:r>
      <w:r>
        <w:rPr>
          <w:sz w:val="18"/>
        </w:rPr>
        <w:t>or</w:t>
      </w:r>
      <w:r>
        <w:rPr>
          <w:spacing w:val="-2"/>
          <w:sz w:val="18"/>
        </w:rPr>
        <w:t> </w:t>
      </w:r>
      <w:r>
        <w:rPr>
          <w:sz w:val="18"/>
        </w:rPr>
        <w:t>discomfort</w:t>
      </w:r>
      <w:r>
        <w:rPr>
          <w:spacing w:val="-2"/>
          <w:sz w:val="18"/>
        </w:rPr>
        <w:t> </w:t>
      </w:r>
      <w:r>
        <w:rPr>
          <w:sz w:val="18"/>
        </w:rPr>
        <w:t>today,</w:t>
      </w:r>
      <w:r>
        <w:rPr>
          <w:spacing w:val="-3"/>
          <w:sz w:val="18"/>
        </w:rPr>
        <w:t> </w:t>
      </w:r>
      <w:r>
        <w:rPr>
          <w:sz w:val="18"/>
        </w:rPr>
        <w:t>would</w:t>
      </w:r>
      <w:r>
        <w:rPr>
          <w:spacing w:val="-3"/>
          <w:sz w:val="18"/>
        </w:rPr>
        <w:t> </w:t>
      </w:r>
      <w:r>
        <w:rPr>
          <w:sz w:val="18"/>
        </w:rPr>
        <w:t>you</w:t>
      </w:r>
      <w:r>
        <w:rPr>
          <w:spacing w:val="-2"/>
          <w:sz w:val="18"/>
        </w:rPr>
        <w:t> </w:t>
      </w:r>
      <w:r>
        <w:rPr>
          <w:sz w:val="18"/>
        </w:rPr>
        <w:t>say?</w:t>
      </w:r>
    </w:p>
    <w:p>
      <w:pPr>
        <w:pStyle w:val="BodyText"/>
        <w:rPr>
          <w:sz w:val="19"/>
        </w:rPr>
      </w:pPr>
    </w:p>
    <w:p>
      <w:pPr>
        <w:pStyle w:val="ListParagraph"/>
        <w:numPr>
          <w:ilvl w:val="0"/>
          <w:numId w:val="190"/>
        </w:numPr>
        <w:tabs>
          <w:tab w:pos="1860" w:val="left" w:leader="none"/>
          <w:tab w:pos="1861" w:val="left" w:leader="none"/>
        </w:tabs>
        <w:spacing w:line="240" w:lineRule="auto" w:before="0" w:after="0"/>
        <w:ind w:left="1860" w:right="0" w:hanging="721"/>
        <w:jc w:val="left"/>
        <w:rPr>
          <w:sz w:val="18"/>
        </w:rPr>
      </w:pPr>
      <w:r>
        <w:rPr>
          <w:sz w:val="18"/>
        </w:rPr>
        <w:t>I</w:t>
      </w:r>
      <w:r>
        <w:rPr>
          <w:spacing w:val="-2"/>
          <w:sz w:val="18"/>
        </w:rPr>
        <w:t> </w:t>
      </w:r>
      <w:r>
        <w:rPr>
          <w:sz w:val="18"/>
        </w:rPr>
        <w:t>have</w:t>
      </w:r>
      <w:r>
        <w:rPr>
          <w:spacing w:val="-1"/>
          <w:sz w:val="18"/>
        </w:rPr>
        <w:t> </w:t>
      </w:r>
      <w:r>
        <w:rPr>
          <w:sz w:val="18"/>
        </w:rPr>
        <w:t>no</w:t>
      </w:r>
      <w:r>
        <w:rPr>
          <w:spacing w:val="-2"/>
          <w:sz w:val="18"/>
        </w:rPr>
        <w:t> </w:t>
      </w:r>
      <w:r>
        <w:rPr>
          <w:sz w:val="18"/>
        </w:rPr>
        <w:t>pain</w:t>
      </w:r>
      <w:r>
        <w:rPr>
          <w:spacing w:val="-3"/>
          <w:sz w:val="18"/>
        </w:rPr>
        <w:t> </w:t>
      </w:r>
      <w:r>
        <w:rPr>
          <w:sz w:val="18"/>
        </w:rPr>
        <w:t>or discomfort</w:t>
      </w:r>
    </w:p>
    <w:p>
      <w:pPr>
        <w:pStyle w:val="ListParagraph"/>
        <w:numPr>
          <w:ilvl w:val="0"/>
          <w:numId w:val="190"/>
        </w:numPr>
        <w:tabs>
          <w:tab w:pos="1860" w:val="left" w:leader="none"/>
          <w:tab w:pos="1861" w:val="left" w:leader="none"/>
        </w:tabs>
        <w:spacing w:line="240" w:lineRule="auto" w:before="31" w:after="0"/>
        <w:ind w:left="1860" w:right="0" w:hanging="721"/>
        <w:jc w:val="left"/>
        <w:rPr>
          <w:sz w:val="18"/>
        </w:rPr>
      </w:pPr>
      <w:r>
        <w:rPr>
          <w:sz w:val="18"/>
        </w:rPr>
        <w:t>I</w:t>
      </w:r>
      <w:r>
        <w:rPr>
          <w:spacing w:val="-3"/>
          <w:sz w:val="18"/>
        </w:rPr>
        <w:t> </w:t>
      </w:r>
      <w:r>
        <w:rPr>
          <w:sz w:val="18"/>
        </w:rPr>
        <w:t>have</w:t>
      </w:r>
      <w:r>
        <w:rPr>
          <w:spacing w:val="-2"/>
          <w:sz w:val="18"/>
        </w:rPr>
        <w:t> </w:t>
      </w:r>
      <w:r>
        <w:rPr>
          <w:sz w:val="18"/>
        </w:rPr>
        <w:t>slight</w:t>
      </w:r>
      <w:r>
        <w:rPr>
          <w:spacing w:val="-4"/>
          <w:sz w:val="18"/>
        </w:rPr>
        <w:t> </w:t>
      </w:r>
      <w:r>
        <w:rPr>
          <w:sz w:val="18"/>
        </w:rPr>
        <w:t>pain</w:t>
      </w:r>
      <w:r>
        <w:rPr>
          <w:spacing w:val="-1"/>
          <w:sz w:val="18"/>
        </w:rPr>
        <w:t> </w:t>
      </w:r>
      <w:r>
        <w:rPr>
          <w:sz w:val="18"/>
        </w:rPr>
        <w:t>or</w:t>
      </w:r>
      <w:r>
        <w:rPr>
          <w:spacing w:val="-1"/>
          <w:sz w:val="18"/>
        </w:rPr>
        <w:t> </w:t>
      </w:r>
      <w:r>
        <w:rPr>
          <w:sz w:val="18"/>
        </w:rPr>
        <w:t>discomfort</w:t>
      </w:r>
    </w:p>
    <w:p>
      <w:pPr>
        <w:pStyle w:val="ListParagraph"/>
        <w:numPr>
          <w:ilvl w:val="0"/>
          <w:numId w:val="190"/>
        </w:numPr>
        <w:tabs>
          <w:tab w:pos="1860" w:val="left" w:leader="none"/>
          <w:tab w:pos="1861" w:val="left" w:leader="none"/>
        </w:tabs>
        <w:spacing w:line="240" w:lineRule="auto" w:before="34" w:after="0"/>
        <w:ind w:left="1860" w:right="0" w:hanging="721"/>
        <w:jc w:val="left"/>
        <w:rPr>
          <w:sz w:val="18"/>
        </w:rPr>
      </w:pPr>
      <w:r>
        <w:rPr>
          <w:sz w:val="18"/>
        </w:rPr>
        <w:t>I</w:t>
      </w:r>
      <w:r>
        <w:rPr>
          <w:spacing w:val="-3"/>
          <w:sz w:val="18"/>
        </w:rPr>
        <w:t> </w:t>
      </w:r>
      <w:r>
        <w:rPr>
          <w:sz w:val="18"/>
        </w:rPr>
        <w:t>have</w:t>
      </w:r>
      <w:r>
        <w:rPr>
          <w:spacing w:val="-2"/>
          <w:sz w:val="18"/>
        </w:rPr>
        <w:t> </w:t>
      </w:r>
      <w:r>
        <w:rPr>
          <w:sz w:val="18"/>
        </w:rPr>
        <w:t>moderate</w:t>
      </w:r>
      <w:r>
        <w:rPr>
          <w:spacing w:val="-1"/>
          <w:sz w:val="18"/>
        </w:rPr>
        <w:t> </w:t>
      </w:r>
      <w:r>
        <w:rPr>
          <w:sz w:val="18"/>
        </w:rPr>
        <w:t>pain</w:t>
      </w:r>
      <w:r>
        <w:rPr>
          <w:spacing w:val="-1"/>
          <w:sz w:val="18"/>
        </w:rPr>
        <w:t> </w:t>
      </w:r>
      <w:r>
        <w:rPr>
          <w:sz w:val="18"/>
        </w:rPr>
        <w:t>or</w:t>
      </w:r>
      <w:r>
        <w:rPr>
          <w:spacing w:val="-3"/>
          <w:sz w:val="18"/>
        </w:rPr>
        <w:t> </w:t>
      </w:r>
      <w:r>
        <w:rPr>
          <w:sz w:val="18"/>
        </w:rPr>
        <w:t>discomfort</w:t>
      </w:r>
    </w:p>
    <w:p>
      <w:pPr>
        <w:pStyle w:val="ListParagraph"/>
        <w:numPr>
          <w:ilvl w:val="0"/>
          <w:numId w:val="190"/>
        </w:numPr>
        <w:tabs>
          <w:tab w:pos="1860" w:val="left" w:leader="none"/>
          <w:tab w:pos="1861" w:val="left" w:leader="none"/>
        </w:tabs>
        <w:spacing w:line="240" w:lineRule="auto" w:before="34" w:after="0"/>
        <w:ind w:left="1860" w:right="0" w:hanging="721"/>
        <w:jc w:val="left"/>
        <w:rPr>
          <w:sz w:val="18"/>
        </w:rPr>
      </w:pPr>
      <w:r>
        <w:rPr>
          <w:sz w:val="18"/>
        </w:rPr>
        <w:t>I</w:t>
      </w:r>
      <w:r>
        <w:rPr>
          <w:spacing w:val="-3"/>
          <w:sz w:val="18"/>
        </w:rPr>
        <w:t> </w:t>
      </w:r>
      <w:r>
        <w:rPr>
          <w:sz w:val="18"/>
        </w:rPr>
        <w:t>have</w:t>
      </w:r>
      <w:r>
        <w:rPr>
          <w:spacing w:val="-2"/>
          <w:sz w:val="18"/>
        </w:rPr>
        <w:t> </w:t>
      </w:r>
      <w:r>
        <w:rPr>
          <w:sz w:val="18"/>
        </w:rPr>
        <w:t>severe</w:t>
      </w:r>
      <w:r>
        <w:rPr>
          <w:spacing w:val="-1"/>
          <w:sz w:val="18"/>
        </w:rPr>
        <w:t> </w:t>
      </w:r>
      <w:r>
        <w:rPr>
          <w:sz w:val="18"/>
        </w:rPr>
        <w:t>pain</w:t>
      </w:r>
      <w:r>
        <w:rPr>
          <w:spacing w:val="-2"/>
          <w:sz w:val="18"/>
        </w:rPr>
        <w:t> </w:t>
      </w:r>
      <w:r>
        <w:rPr>
          <w:sz w:val="18"/>
        </w:rPr>
        <w:t>or</w:t>
      </w:r>
      <w:r>
        <w:rPr>
          <w:spacing w:val="-3"/>
          <w:sz w:val="18"/>
        </w:rPr>
        <w:t> </w:t>
      </w:r>
      <w:r>
        <w:rPr>
          <w:sz w:val="18"/>
        </w:rPr>
        <w:t>discomfort</w:t>
      </w:r>
    </w:p>
    <w:p>
      <w:pPr>
        <w:pStyle w:val="ListParagraph"/>
        <w:numPr>
          <w:ilvl w:val="0"/>
          <w:numId w:val="190"/>
        </w:numPr>
        <w:tabs>
          <w:tab w:pos="1860" w:val="left" w:leader="none"/>
          <w:tab w:pos="1861" w:val="left" w:leader="none"/>
        </w:tabs>
        <w:spacing w:line="240" w:lineRule="auto" w:before="34" w:after="0"/>
        <w:ind w:left="1860" w:right="0" w:hanging="721"/>
        <w:jc w:val="left"/>
        <w:rPr>
          <w:sz w:val="18"/>
        </w:rPr>
      </w:pPr>
      <w:r>
        <w:rPr>
          <w:sz w:val="18"/>
        </w:rPr>
        <w:t>I</w:t>
      </w:r>
      <w:r>
        <w:rPr>
          <w:spacing w:val="-3"/>
          <w:sz w:val="18"/>
        </w:rPr>
        <w:t> </w:t>
      </w:r>
      <w:r>
        <w:rPr>
          <w:sz w:val="18"/>
        </w:rPr>
        <w:t>have</w:t>
      </w:r>
      <w:r>
        <w:rPr>
          <w:spacing w:val="-2"/>
          <w:sz w:val="18"/>
        </w:rPr>
        <w:t> </w:t>
      </w:r>
      <w:r>
        <w:rPr>
          <w:sz w:val="18"/>
        </w:rPr>
        <w:t>extreme</w:t>
      </w:r>
      <w:r>
        <w:rPr>
          <w:spacing w:val="-1"/>
          <w:sz w:val="18"/>
        </w:rPr>
        <w:t> </w:t>
      </w:r>
      <w:r>
        <w:rPr>
          <w:sz w:val="18"/>
        </w:rPr>
        <w:t>pain</w:t>
      </w:r>
      <w:r>
        <w:rPr>
          <w:spacing w:val="-1"/>
          <w:sz w:val="18"/>
        </w:rPr>
        <w:t> </w:t>
      </w:r>
      <w:r>
        <w:rPr>
          <w:sz w:val="18"/>
        </w:rPr>
        <w:t>or</w:t>
      </w:r>
      <w:r>
        <w:rPr>
          <w:spacing w:val="-3"/>
          <w:sz w:val="18"/>
        </w:rPr>
        <w:t> </w:t>
      </w:r>
      <w:r>
        <w:rPr>
          <w:sz w:val="18"/>
        </w:rPr>
        <w:t>discomfort</w:t>
      </w:r>
    </w:p>
    <w:p>
      <w:pPr>
        <w:pStyle w:val="ListParagraph"/>
        <w:numPr>
          <w:ilvl w:val="0"/>
          <w:numId w:val="191"/>
        </w:numPr>
        <w:tabs>
          <w:tab w:pos="1860" w:val="left" w:leader="none"/>
          <w:tab w:pos="1861" w:val="left" w:leader="none"/>
        </w:tabs>
        <w:spacing w:line="240" w:lineRule="auto" w:before="31" w:after="0"/>
        <w:ind w:left="1860" w:right="0" w:hanging="721"/>
        <w:jc w:val="left"/>
        <w:rPr>
          <w:sz w:val="18"/>
        </w:rPr>
      </w:pPr>
      <w:r>
        <w:rPr>
          <w:sz w:val="18"/>
        </w:rPr>
        <w:t>(Don’t</w:t>
      </w:r>
      <w:r>
        <w:rPr>
          <w:spacing w:val="-3"/>
          <w:sz w:val="18"/>
        </w:rPr>
        <w:t> </w:t>
      </w:r>
      <w:r>
        <w:rPr>
          <w:sz w:val="18"/>
        </w:rPr>
        <w:t>know)</w:t>
      </w:r>
    </w:p>
    <w:p>
      <w:pPr>
        <w:pStyle w:val="ListParagraph"/>
        <w:numPr>
          <w:ilvl w:val="0"/>
          <w:numId w:val="191"/>
        </w:numPr>
        <w:tabs>
          <w:tab w:pos="1860" w:val="left" w:leader="none"/>
          <w:tab w:pos="1861" w:val="left" w:leader="none"/>
        </w:tabs>
        <w:spacing w:line="240" w:lineRule="auto" w:before="34" w:after="0"/>
        <w:ind w:left="1860" w:right="0" w:hanging="721"/>
        <w:jc w:val="left"/>
        <w:rPr>
          <w:sz w:val="18"/>
        </w:rPr>
      </w:pPr>
      <w:r>
        <w:rPr>
          <w:sz w:val="18"/>
        </w:rPr>
        <w:t>(Refused)</w:t>
      </w:r>
    </w:p>
    <w:p>
      <w:pPr>
        <w:spacing w:after="0" w:line="240" w:lineRule="auto"/>
        <w:jc w:val="left"/>
        <w:rPr>
          <w:sz w:val="18"/>
        </w:rPr>
        <w:sectPr>
          <w:pgSz w:w="11910" w:h="16840"/>
          <w:pgMar w:header="0" w:footer="948" w:top="860" w:bottom="1140" w:left="300" w:right="0"/>
        </w:sectPr>
      </w:pPr>
    </w:p>
    <w:p>
      <w:pPr>
        <w:tabs>
          <w:tab w:pos="1128" w:val="left" w:leader="none"/>
        </w:tabs>
        <w:spacing w:before="75"/>
        <w:ind w:left="420" w:right="0" w:firstLine="0"/>
        <w:jc w:val="left"/>
        <w:rPr>
          <w:sz w:val="18"/>
        </w:rPr>
      </w:pPr>
      <w:r>
        <w:rPr>
          <w:sz w:val="18"/>
        </w:rPr>
        <w:t>Q31</w:t>
        <w:tab/>
        <w:t>Which</w:t>
      </w:r>
      <w:r>
        <w:rPr>
          <w:spacing w:val="-2"/>
          <w:sz w:val="18"/>
        </w:rPr>
        <w:t> </w:t>
      </w:r>
      <w:r>
        <w:rPr>
          <w:sz w:val="18"/>
        </w:rPr>
        <w:t>of</w:t>
      </w:r>
      <w:r>
        <w:rPr>
          <w:spacing w:val="-2"/>
          <w:sz w:val="18"/>
        </w:rPr>
        <w:t> </w:t>
      </w:r>
      <w:r>
        <w:rPr>
          <w:sz w:val="18"/>
        </w:rPr>
        <w:t>the</w:t>
      </w:r>
      <w:r>
        <w:rPr>
          <w:spacing w:val="-4"/>
          <w:sz w:val="18"/>
        </w:rPr>
        <w:t> </w:t>
      </w:r>
      <w:r>
        <w:rPr>
          <w:sz w:val="18"/>
        </w:rPr>
        <w:t>following</w:t>
      </w:r>
      <w:r>
        <w:rPr>
          <w:spacing w:val="-4"/>
          <w:sz w:val="18"/>
        </w:rPr>
        <w:t> </w:t>
      </w:r>
      <w:r>
        <w:rPr>
          <w:sz w:val="18"/>
        </w:rPr>
        <w:t>best</w:t>
      </w:r>
      <w:r>
        <w:rPr>
          <w:spacing w:val="-5"/>
          <w:sz w:val="18"/>
        </w:rPr>
        <w:t> </w:t>
      </w:r>
      <w:r>
        <w:rPr>
          <w:sz w:val="18"/>
        </w:rPr>
        <w:t>describes</w:t>
      </w:r>
      <w:r>
        <w:rPr>
          <w:spacing w:val="-2"/>
          <w:sz w:val="18"/>
        </w:rPr>
        <w:t> </w:t>
      </w:r>
      <w:r>
        <w:rPr>
          <w:sz w:val="18"/>
        </w:rPr>
        <w:t>your</w:t>
      </w:r>
      <w:r>
        <w:rPr>
          <w:spacing w:val="-4"/>
          <w:sz w:val="18"/>
        </w:rPr>
        <w:t> </w:t>
      </w:r>
      <w:r>
        <w:rPr>
          <w:sz w:val="18"/>
        </w:rPr>
        <w:t>anxiety</w:t>
      </w:r>
      <w:r>
        <w:rPr>
          <w:spacing w:val="-2"/>
          <w:sz w:val="18"/>
        </w:rPr>
        <w:t> </w:t>
      </w:r>
      <w:r>
        <w:rPr>
          <w:sz w:val="18"/>
        </w:rPr>
        <w:t>or</w:t>
      </w:r>
      <w:r>
        <w:rPr>
          <w:spacing w:val="-2"/>
          <w:sz w:val="18"/>
        </w:rPr>
        <w:t> </w:t>
      </w:r>
      <w:r>
        <w:rPr>
          <w:sz w:val="18"/>
        </w:rPr>
        <w:t>depression</w:t>
      </w:r>
      <w:r>
        <w:rPr>
          <w:spacing w:val="-4"/>
          <w:sz w:val="18"/>
        </w:rPr>
        <w:t> </w:t>
      </w:r>
      <w:r>
        <w:rPr>
          <w:sz w:val="18"/>
        </w:rPr>
        <w:t>today,</w:t>
      </w:r>
      <w:r>
        <w:rPr>
          <w:spacing w:val="-3"/>
          <w:sz w:val="18"/>
        </w:rPr>
        <w:t> </w:t>
      </w:r>
      <w:r>
        <w:rPr>
          <w:sz w:val="18"/>
        </w:rPr>
        <w:t>would</w:t>
      </w:r>
      <w:r>
        <w:rPr>
          <w:spacing w:val="-3"/>
          <w:sz w:val="18"/>
        </w:rPr>
        <w:t> </w:t>
      </w:r>
      <w:r>
        <w:rPr>
          <w:sz w:val="18"/>
        </w:rPr>
        <w:t>you</w:t>
      </w:r>
      <w:r>
        <w:rPr>
          <w:spacing w:val="-2"/>
          <w:sz w:val="18"/>
        </w:rPr>
        <w:t> </w:t>
      </w:r>
      <w:r>
        <w:rPr>
          <w:sz w:val="18"/>
        </w:rPr>
        <w:t>say?</w:t>
      </w:r>
    </w:p>
    <w:p>
      <w:pPr>
        <w:pStyle w:val="BodyText"/>
        <w:rPr>
          <w:sz w:val="19"/>
        </w:rPr>
      </w:pPr>
    </w:p>
    <w:p>
      <w:pPr>
        <w:pStyle w:val="ListParagraph"/>
        <w:numPr>
          <w:ilvl w:val="0"/>
          <w:numId w:val="192"/>
        </w:numPr>
        <w:tabs>
          <w:tab w:pos="1860" w:val="left" w:leader="none"/>
          <w:tab w:pos="1861" w:val="left" w:leader="none"/>
        </w:tabs>
        <w:spacing w:line="240" w:lineRule="auto" w:before="0" w:after="0"/>
        <w:ind w:left="1860" w:right="0" w:hanging="721"/>
        <w:jc w:val="left"/>
        <w:rPr>
          <w:sz w:val="18"/>
        </w:rPr>
      </w:pPr>
      <w:r>
        <w:rPr>
          <w:sz w:val="18"/>
        </w:rPr>
        <w:t>I</w:t>
      </w:r>
      <w:r>
        <w:rPr>
          <w:spacing w:val="1"/>
          <w:sz w:val="18"/>
        </w:rPr>
        <w:t> </w:t>
      </w:r>
      <w:r>
        <w:rPr>
          <w:sz w:val="18"/>
        </w:rPr>
        <w:t>am</w:t>
      </w:r>
      <w:r>
        <w:rPr>
          <w:spacing w:val="-4"/>
          <w:sz w:val="18"/>
        </w:rPr>
        <w:t> </w:t>
      </w:r>
      <w:r>
        <w:rPr>
          <w:sz w:val="18"/>
        </w:rPr>
        <w:t>not</w:t>
      </w:r>
      <w:r>
        <w:rPr>
          <w:spacing w:val="-3"/>
          <w:sz w:val="18"/>
        </w:rPr>
        <w:t> </w:t>
      </w:r>
      <w:r>
        <w:rPr>
          <w:sz w:val="18"/>
        </w:rPr>
        <w:t>anxious</w:t>
      </w:r>
      <w:r>
        <w:rPr>
          <w:spacing w:val="-1"/>
          <w:sz w:val="18"/>
        </w:rPr>
        <w:t> </w:t>
      </w:r>
      <w:r>
        <w:rPr>
          <w:sz w:val="18"/>
        </w:rPr>
        <w:t>or depressed</w:t>
      </w:r>
    </w:p>
    <w:p>
      <w:pPr>
        <w:pStyle w:val="ListParagraph"/>
        <w:numPr>
          <w:ilvl w:val="0"/>
          <w:numId w:val="192"/>
        </w:numPr>
        <w:tabs>
          <w:tab w:pos="1860" w:val="left" w:leader="none"/>
          <w:tab w:pos="1861" w:val="left" w:leader="none"/>
        </w:tabs>
        <w:spacing w:line="240" w:lineRule="auto" w:before="32" w:after="0"/>
        <w:ind w:left="1860" w:right="0" w:hanging="721"/>
        <w:jc w:val="left"/>
        <w:rPr>
          <w:sz w:val="18"/>
        </w:rPr>
      </w:pPr>
      <w:r>
        <w:rPr>
          <w:sz w:val="18"/>
        </w:rPr>
        <w:t>I am</w:t>
      </w:r>
      <w:r>
        <w:rPr>
          <w:spacing w:val="-5"/>
          <w:sz w:val="18"/>
        </w:rPr>
        <w:t> </w:t>
      </w:r>
      <w:r>
        <w:rPr>
          <w:sz w:val="18"/>
        </w:rPr>
        <w:t>slightly</w:t>
      </w:r>
      <w:r>
        <w:rPr>
          <w:spacing w:val="-3"/>
          <w:sz w:val="18"/>
        </w:rPr>
        <w:t> </w:t>
      </w:r>
      <w:r>
        <w:rPr>
          <w:sz w:val="18"/>
        </w:rPr>
        <w:t>anxious</w:t>
      </w:r>
      <w:r>
        <w:rPr>
          <w:spacing w:val="-3"/>
          <w:sz w:val="18"/>
        </w:rPr>
        <w:t> </w:t>
      </w:r>
      <w:r>
        <w:rPr>
          <w:sz w:val="18"/>
        </w:rPr>
        <w:t>or</w:t>
      </w:r>
      <w:r>
        <w:rPr>
          <w:spacing w:val="-2"/>
          <w:sz w:val="18"/>
        </w:rPr>
        <w:t> </w:t>
      </w:r>
      <w:r>
        <w:rPr>
          <w:sz w:val="18"/>
        </w:rPr>
        <w:t>depressed</w:t>
      </w:r>
    </w:p>
    <w:p>
      <w:pPr>
        <w:pStyle w:val="ListParagraph"/>
        <w:numPr>
          <w:ilvl w:val="0"/>
          <w:numId w:val="192"/>
        </w:numPr>
        <w:tabs>
          <w:tab w:pos="1860" w:val="left" w:leader="none"/>
          <w:tab w:pos="1861" w:val="left" w:leader="none"/>
        </w:tabs>
        <w:spacing w:line="240" w:lineRule="auto" w:before="34" w:after="0"/>
        <w:ind w:left="1860" w:right="0" w:hanging="721"/>
        <w:jc w:val="left"/>
        <w:rPr>
          <w:sz w:val="18"/>
        </w:rPr>
      </w:pPr>
      <w:r>
        <w:rPr>
          <w:sz w:val="18"/>
        </w:rPr>
        <w:t>I am</w:t>
      </w:r>
      <w:r>
        <w:rPr>
          <w:spacing w:val="-5"/>
          <w:sz w:val="18"/>
        </w:rPr>
        <w:t> </w:t>
      </w:r>
      <w:r>
        <w:rPr>
          <w:sz w:val="18"/>
        </w:rPr>
        <w:t>moderately</w:t>
      </w:r>
      <w:r>
        <w:rPr>
          <w:spacing w:val="-2"/>
          <w:sz w:val="18"/>
        </w:rPr>
        <w:t> </w:t>
      </w:r>
      <w:r>
        <w:rPr>
          <w:sz w:val="18"/>
        </w:rPr>
        <w:t>anxious</w:t>
      </w:r>
      <w:r>
        <w:rPr>
          <w:spacing w:val="-2"/>
          <w:sz w:val="18"/>
        </w:rPr>
        <w:t> </w:t>
      </w:r>
      <w:r>
        <w:rPr>
          <w:sz w:val="18"/>
        </w:rPr>
        <w:t>or</w:t>
      </w:r>
      <w:r>
        <w:rPr>
          <w:spacing w:val="-3"/>
          <w:sz w:val="18"/>
        </w:rPr>
        <w:t> </w:t>
      </w:r>
      <w:r>
        <w:rPr>
          <w:sz w:val="18"/>
        </w:rPr>
        <w:t>depressed</w:t>
      </w:r>
    </w:p>
    <w:p>
      <w:pPr>
        <w:pStyle w:val="ListParagraph"/>
        <w:numPr>
          <w:ilvl w:val="0"/>
          <w:numId w:val="192"/>
        </w:numPr>
        <w:tabs>
          <w:tab w:pos="1860" w:val="left" w:leader="none"/>
          <w:tab w:pos="1861" w:val="left" w:leader="none"/>
        </w:tabs>
        <w:spacing w:line="240" w:lineRule="auto" w:before="34" w:after="0"/>
        <w:ind w:left="1860" w:right="0" w:hanging="721"/>
        <w:jc w:val="left"/>
        <w:rPr>
          <w:sz w:val="18"/>
        </w:rPr>
      </w:pPr>
      <w:r>
        <w:rPr>
          <w:sz w:val="18"/>
        </w:rPr>
        <w:t>I am</w:t>
      </w:r>
      <w:r>
        <w:rPr>
          <w:spacing w:val="-6"/>
          <w:sz w:val="18"/>
        </w:rPr>
        <w:t> </w:t>
      </w:r>
      <w:r>
        <w:rPr>
          <w:sz w:val="18"/>
        </w:rPr>
        <w:t>severely</w:t>
      </w:r>
      <w:r>
        <w:rPr>
          <w:spacing w:val="-2"/>
          <w:sz w:val="18"/>
        </w:rPr>
        <w:t> </w:t>
      </w:r>
      <w:r>
        <w:rPr>
          <w:sz w:val="18"/>
        </w:rPr>
        <w:t>anxious</w:t>
      </w:r>
      <w:r>
        <w:rPr>
          <w:spacing w:val="-2"/>
          <w:sz w:val="18"/>
        </w:rPr>
        <w:t> </w:t>
      </w:r>
      <w:r>
        <w:rPr>
          <w:sz w:val="18"/>
        </w:rPr>
        <w:t>or</w:t>
      </w:r>
      <w:r>
        <w:rPr>
          <w:spacing w:val="-1"/>
          <w:sz w:val="18"/>
        </w:rPr>
        <w:t> </w:t>
      </w:r>
      <w:r>
        <w:rPr>
          <w:sz w:val="18"/>
        </w:rPr>
        <w:t>depressed</w:t>
      </w:r>
    </w:p>
    <w:p>
      <w:pPr>
        <w:pStyle w:val="ListParagraph"/>
        <w:numPr>
          <w:ilvl w:val="0"/>
          <w:numId w:val="192"/>
        </w:numPr>
        <w:tabs>
          <w:tab w:pos="1860" w:val="left" w:leader="none"/>
          <w:tab w:pos="1861" w:val="left" w:leader="none"/>
        </w:tabs>
        <w:spacing w:line="240" w:lineRule="auto" w:before="33" w:after="0"/>
        <w:ind w:left="1860" w:right="0" w:hanging="721"/>
        <w:jc w:val="left"/>
        <w:rPr>
          <w:sz w:val="18"/>
        </w:rPr>
      </w:pPr>
      <w:r>
        <w:rPr>
          <w:sz w:val="18"/>
        </w:rPr>
        <w:t>I am</w:t>
      </w:r>
      <w:r>
        <w:rPr>
          <w:spacing w:val="-6"/>
          <w:sz w:val="18"/>
        </w:rPr>
        <w:t> </w:t>
      </w:r>
      <w:r>
        <w:rPr>
          <w:sz w:val="18"/>
        </w:rPr>
        <w:t>extremely</w:t>
      </w:r>
      <w:r>
        <w:rPr>
          <w:spacing w:val="-3"/>
          <w:sz w:val="18"/>
        </w:rPr>
        <w:t> </w:t>
      </w:r>
      <w:r>
        <w:rPr>
          <w:sz w:val="18"/>
        </w:rPr>
        <w:t>anxious</w:t>
      </w:r>
      <w:r>
        <w:rPr>
          <w:spacing w:val="-1"/>
          <w:sz w:val="18"/>
        </w:rPr>
        <w:t> </w:t>
      </w:r>
      <w:r>
        <w:rPr>
          <w:sz w:val="18"/>
        </w:rPr>
        <w:t>or</w:t>
      </w:r>
      <w:r>
        <w:rPr>
          <w:spacing w:val="-2"/>
          <w:sz w:val="18"/>
        </w:rPr>
        <w:t> </w:t>
      </w:r>
      <w:r>
        <w:rPr>
          <w:sz w:val="18"/>
        </w:rPr>
        <w:t>depressed</w:t>
      </w:r>
    </w:p>
    <w:p>
      <w:pPr>
        <w:pStyle w:val="ListParagraph"/>
        <w:numPr>
          <w:ilvl w:val="0"/>
          <w:numId w:val="193"/>
        </w:numPr>
        <w:tabs>
          <w:tab w:pos="1860" w:val="left" w:leader="none"/>
          <w:tab w:pos="1861" w:val="left" w:leader="none"/>
        </w:tabs>
        <w:spacing w:line="240" w:lineRule="auto" w:before="32" w:after="0"/>
        <w:ind w:left="1860" w:right="0" w:hanging="721"/>
        <w:jc w:val="left"/>
        <w:rPr>
          <w:sz w:val="18"/>
        </w:rPr>
      </w:pPr>
      <w:r>
        <w:rPr>
          <w:sz w:val="18"/>
        </w:rPr>
        <w:t>(Don’t</w:t>
      </w:r>
      <w:r>
        <w:rPr>
          <w:spacing w:val="-3"/>
          <w:sz w:val="18"/>
        </w:rPr>
        <w:t> </w:t>
      </w:r>
      <w:r>
        <w:rPr>
          <w:sz w:val="18"/>
        </w:rPr>
        <w:t>know)</w:t>
      </w:r>
    </w:p>
    <w:p>
      <w:pPr>
        <w:pStyle w:val="ListParagraph"/>
        <w:numPr>
          <w:ilvl w:val="0"/>
          <w:numId w:val="193"/>
        </w:numPr>
        <w:tabs>
          <w:tab w:pos="1860" w:val="left" w:leader="none"/>
          <w:tab w:pos="1861" w:val="left" w:leader="none"/>
        </w:tabs>
        <w:spacing w:line="240" w:lineRule="auto" w:before="33" w:after="0"/>
        <w:ind w:left="1860" w:right="0" w:hanging="721"/>
        <w:jc w:val="left"/>
        <w:rPr>
          <w:sz w:val="18"/>
        </w:rPr>
      </w:pPr>
      <w:r>
        <w:rPr>
          <w:sz w:val="18"/>
        </w:rPr>
        <w:t>(Refused)</w:t>
      </w:r>
    </w:p>
    <w:p>
      <w:pPr>
        <w:pStyle w:val="BodyText"/>
        <w:rPr>
          <w:sz w:val="19"/>
        </w:rPr>
      </w:pPr>
    </w:p>
    <w:p>
      <w:pPr>
        <w:tabs>
          <w:tab w:pos="1140" w:val="left" w:leader="none"/>
        </w:tabs>
        <w:spacing w:line="276" w:lineRule="auto" w:before="0"/>
        <w:ind w:left="420" w:right="803" w:firstLine="0"/>
        <w:jc w:val="left"/>
        <w:rPr>
          <w:sz w:val="18"/>
        </w:rPr>
      </w:pPr>
      <w:r>
        <w:rPr>
          <w:sz w:val="18"/>
        </w:rPr>
        <w:t>Q32</w:t>
        <w:tab/>
        <w:t>We would like to know how good or bad your health is today. On a scale of 0 to 100 where 100 means the best</w:t>
      </w:r>
      <w:r>
        <w:rPr>
          <w:spacing w:val="-47"/>
          <w:sz w:val="18"/>
        </w:rPr>
        <w:t> </w:t>
      </w:r>
      <w:r>
        <w:rPr>
          <w:sz w:val="18"/>
        </w:rPr>
        <w:t>health you can imagine and 0 means the worst health you can imagine, what number best describes your health</w:t>
      </w:r>
      <w:r>
        <w:rPr>
          <w:spacing w:val="1"/>
          <w:sz w:val="18"/>
        </w:rPr>
        <w:t> </w:t>
      </w:r>
      <w:r>
        <w:rPr>
          <w:sz w:val="18"/>
        </w:rPr>
        <w:t>today?</w:t>
      </w:r>
    </w:p>
    <w:p>
      <w:pPr>
        <w:pStyle w:val="BodyText"/>
        <w:spacing w:before="5"/>
        <w:rPr>
          <w:sz w:val="16"/>
        </w:rPr>
      </w:pPr>
    </w:p>
    <w:p>
      <w:pPr>
        <w:tabs>
          <w:tab w:pos="1860" w:val="left" w:leader="none"/>
          <w:tab w:pos="3105" w:val="left" w:leader="none"/>
        </w:tabs>
        <w:spacing w:before="0"/>
        <w:ind w:left="1140" w:right="0" w:firstLine="0"/>
        <w:jc w:val="left"/>
        <w:rPr>
          <w:sz w:val="18"/>
        </w:rPr>
      </w:pPr>
      <w:r>
        <w:rPr>
          <w:sz w:val="18"/>
        </w:rPr>
        <w:t>1.</w:t>
        <w:tab/>
        <w:t>Rating:</w:t>
      </w:r>
      <w:r>
        <w:rPr>
          <w:sz w:val="18"/>
          <w:u w:val="single"/>
        </w:rPr>
        <w:tab/>
      </w:r>
      <w:r>
        <w:rPr>
          <w:sz w:val="18"/>
        </w:rPr>
        <w:t>(RANGE</w:t>
      </w:r>
      <w:r>
        <w:rPr>
          <w:spacing w:val="-4"/>
          <w:sz w:val="18"/>
        </w:rPr>
        <w:t> </w:t>
      </w:r>
      <w:r>
        <w:rPr>
          <w:sz w:val="18"/>
        </w:rPr>
        <w:t>0-100,</w:t>
      </w:r>
      <w:r>
        <w:rPr>
          <w:spacing w:val="-2"/>
          <w:sz w:val="18"/>
        </w:rPr>
        <w:t> </w:t>
      </w:r>
      <w:r>
        <w:rPr>
          <w:sz w:val="18"/>
        </w:rPr>
        <w:t>WHOLE</w:t>
      </w:r>
      <w:r>
        <w:rPr>
          <w:spacing w:val="-4"/>
          <w:sz w:val="18"/>
        </w:rPr>
        <w:t> </w:t>
      </w:r>
      <w:r>
        <w:rPr>
          <w:sz w:val="18"/>
        </w:rPr>
        <w:t>NUMBERS)</w:t>
      </w:r>
    </w:p>
    <w:p>
      <w:pPr>
        <w:pStyle w:val="ListParagraph"/>
        <w:numPr>
          <w:ilvl w:val="0"/>
          <w:numId w:val="194"/>
        </w:numPr>
        <w:tabs>
          <w:tab w:pos="1860" w:val="left" w:leader="none"/>
          <w:tab w:pos="1861" w:val="left" w:leader="none"/>
        </w:tabs>
        <w:spacing w:line="240" w:lineRule="auto" w:before="34" w:after="0"/>
        <w:ind w:left="1860" w:right="0" w:hanging="721"/>
        <w:jc w:val="left"/>
        <w:rPr>
          <w:sz w:val="18"/>
        </w:rPr>
      </w:pPr>
      <w:r>
        <w:rPr>
          <w:sz w:val="18"/>
        </w:rPr>
        <w:t>(Don’t</w:t>
      </w:r>
      <w:r>
        <w:rPr>
          <w:spacing w:val="-3"/>
          <w:sz w:val="18"/>
        </w:rPr>
        <w:t> </w:t>
      </w:r>
      <w:r>
        <w:rPr>
          <w:sz w:val="18"/>
        </w:rPr>
        <w:t>know)</w:t>
      </w:r>
    </w:p>
    <w:p>
      <w:pPr>
        <w:pStyle w:val="ListParagraph"/>
        <w:numPr>
          <w:ilvl w:val="0"/>
          <w:numId w:val="194"/>
        </w:numPr>
        <w:tabs>
          <w:tab w:pos="1860" w:val="left" w:leader="none"/>
          <w:tab w:pos="1861" w:val="left" w:leader="none"/>
        </w:tabs>
        <w:spacing w:line="240" w:lineRule="auto" w:before="32" w:after="0"/>
        <w:ind w:left="1860" w:right="0" w:hanging="721"/>
        <w:jc w:val="left"/>
        <w:rPr>
          <w:sz w:val="18"/>
        </w:rPr>
      </w:pPr>
      <w:r>
        <w:rPr>
          <w:sz w:val="18"/>
        </w:rPr>
        <w:t>(Refused)</w:t>
      </w:r>
    </w:p>
    <w:p>
      <w:pPr>
        <w:pStyle w:val="BodyText"/>
        <w:spacing w:before="12"/>
        <w:rPr>
          <w:sz w:val="18"/>
        </w:rPr>
      </w:pPr>
    </w:p>
    <w:p>
      <w:pPr>
        <w:spacing w:before="0"/>
        <w:ind w:left="420" w:right="0" w:firstLine="0"/>
        <w:jc w:val="left"/>
        <w:rPr>
          <w:b/>
          <w:sz w:val="18"/>
        </w:rPr>
      </w:pPr>
      <w:r>
        <w:rPr>
          <w:b/>
          <w:sz w:val="18"/>
        </w:rPr>
        <w:t>MODULE</w:t>
      </w:r>
      <w:r>
        <w:rPr>
          <w:b/>
          <w:spacing w:val="-2"/>
          <w:sz w:val="18"/>
        </w:rPr>
        <w:t> </w:t>
      </w:r>
      <w:r>
        <w:rPr>
          <w:b/>
          <w:sz w:val="18"/>
        </w:rPr>
        <w:t>E</w:t>
      </w:r>
      <w:r>
        <w:rPr>
          <w:b/>
          <w:spacing w:val="-1"/>
          <w:sz w:val="18"/>
        </w:rPr>
        <w:t> </w:t>
      </w:r>
      <w:r>
        <w:rPr>
          <w:b/>
          <w:sz w:val="18"/>
        </w:rPr>
        <w:t>–</w:t>
      </w:r>
      <w:r>
        <w:rPr>
          <w:b/>
          <w:spacing w:val="-4"/>
          <w:sz w:val="18"/>
        </w:rPr>
        <w:t> </w:t>
      </w:r>
      <w:r>
        <w:rPr>
          <w:b/>
          <w:sz w:val="18"/>
        </w:rPr>
        <w:t>Demographics</w:t>
      </w:r>
    </w:p>
    <w:p>
      <w:pPr>
        <w:pStyle w:val="BodyText"/>
        <w:rPr>
          <w:b/>
          <w:sz w:val="19"/>
        </w:rPr>
      </w:pPr>
    </w:p>
    <w:p>
      <w:pPr>
        <w:tabs>
          <w:tab w:pos="1128" w:val="left" w:leader="none"/>
        </w:tabs>
        <w:spacing w:line="496" w:lineRule="auto" w:before="0"/>
        <w:ind w:left="420" w:right="5767" w:firstLine="0"/>
        <w:jc w:val="left"/>
        <w:rPr>
          <w:sz w:val="18"/>
        </w:rPr>
      </w:pPr>
      <w:r>
        <w:rPr>
          <w:sz w:val="18"/>
        </w:rPr>
        <w:t>Q33</w:t>
        <w:tab/>
        <w:t>Finally, just a few questions to help us with our analysis.</w:t>
      </w:r>
      <w:r>
        <w:rPr>
          <w:spacing w:val="-47"/>
          <w:sz w:val="18"/>
        </w:rPr>
        <w:t> </w:t>
      </w:r>
      <w:r>
        <w:rPr>
          <w:sz w:val="18"/>
        </w:rPr>
        <w:t>Which of</w:t>
      </w:r>
      <w:r>
        <w:rPr>
          <w:spacing w:val="-1"/>
          <w:sz w:val="18"/>
        </w:rPr>
        <w:t> </w:t>
      </w:r>
      <w:r>
        <w:rPr>
          <w:sz w:val="18"/>
        </w:rPr>
        <w:t>the</w:t>
      </w:r>
      <w:r>
        <w:rPr>
          <w:spacing w:val="-2"/>
          <w:sz w:val="18"/>
        </w:rPr>
        <w:t> </w:t>
      </w:r>
      <w:r>
        <w:rPr>
          <w:sz w:val="18"/>
        </w:rPr>
        <w:t>following</w:t>
      </w:r>
      <w:r>
        <w:rPr>
          <w:spacing w:val="-3"/>
          <w:sz w:val="18"/>
        </w:rPr>
        <w:t> </w:t>
      </w:r>
      <w:r>
        <w:rPr>
          <w:sz w:val="18"/>
        </w:rPr>
        <w:t>best</w:t>
      </w:r>
      <w:r>
        <w:rPr>
          <w:spacing w:val="-4"/>
          <w:sz w:val="18"/>
        </w:rPr>
        <w:t> </w:t>
      </w:r>
      <w:r>
        <w:rPr>
          <w:sz w:val="18"/>
        </w:rPr>
        <w:t>describes your</w:t>
      </w:r>
      <w:r>
        <w:rPr>
          <w:spacing w:val="-3"/>
          <w:sz w:val="18"/>
        </w:rPr>
        <w:t> </w:t>
      </w:r>
      <w:r>
        <w:rPr>
          <w:sz w:val="18"/>
        </w:rPr>
        <w:t>household,</w:t>
      </w:r>
      <w:r>
        <w:rPr>
          <w:spacing w:val="-2"/>
          <w:sz w:val="18"/>
        </w:rPr>
        <w:t> </w:t>
      </w:r>
      <w:r>
        <w:rPr>
          <w:sz w:val="18"/>
        </w:rPr>
        <w:t>is</w:t>
      </w:r>
      <w:r>
        <w:rPr>
          <w:spacing w:val="-2"/>
          <w:sz w:val="18"/>
        </w:rPr>
        <w:t> </w:t>
      </w:r>
      <w:r>
        <w:rPr>
          <w:sz w:val="18"/>
        </w:rPr>
        <w:t>it…?</w:t>
      </w:r>
    </w:p>
    <w:p>
      <w:pPr>
        <w:pStyle w:val="ListParagraph"/>
        <w:numPr>
          <w:ilvl w:val="0"/>
          <w:numId w:val="195"/>
        </w:numPr>
        <w:tabs>
          <w:tab w:pos="1860" w:val="left" w:leader="none"/>
          <w:tab w:pos="1861" w:val="left" w:leader="none"/>
        </w:tabs>
        <w:spacing w:line="217" w:lineRule="exact" w:before="0" w:after="0"/>
        <w:ind w:left="1860" w:right="0" w:hanging="721"/>
        <w:jc w:val="left"/>
        <w:rPr>
          <w:sz w:val="18"/>
        </w:rPr>
      </w:pPr>
      <w:r>
        <w:rPr>
          <w:sz w:val="18"/>
        </w:rPr>
        <w:t>Person</w:t>
      </w:r>
      <w:r>
        <w:rPr>
          <w:spacing w:val="-2"/>
          <w:sz w:val="18"/>
        </w:rPr>
        <w:t> </w:t>
      </w:r>
      <w:r>
        <w:rPr>
          <w:sz w:val="18"/>
        </w:rPr>
        <w:t>living</w:t>
      </w:r>
      <w:r>
        <w:rPr>
          <w:spacing w:val="-3"/>
          <w:sz w:val="18"/>
        </w:rPr>
        <w:t> </w:t>
      </w:r>
      <w:r>
        <w:rPr>
          <w:sz w:val="18"/>
        </w:rPr>
        <w:t>alone</w:t>
      </w:r>
    </w:p>
    <w:p>
      <w:pPr>
        <w:pStyle w:val="ListParagraph"/>
        <w:numPr>
          <w:ilvl w:val="0"/>
          <w:numId w:val="195"/>
        </w:numPr>
        <w:tabs>
          <w:tab w:pos="1860" w:val="left" w:leader="none"/>
          <w:tab w:pos="1861" w:val="left" w:leader="none"/>
        </w:tabs>
        <w:spacing w:line="240" w:lineRule="auto" w:before="31" w:after="0"/>
        <w:ind w:left="1860" w:right="0" w:hanging="721"/>
        <w:jc w:val="left"/>
        <w:rPr>
          <w:sz w:val="18"/>
        </w:rPr>
      </w:pPr>
      <w:r>
        <w:rPr>
          <w:sz w:val="18"/>
        </w:rPr>
        <w:t>Couple only</w:t>
      </w:r>
    </w:p>
    <w:p>
      <w:pPr>
        <w:pStyle w:val="ListParagraph"/>
        <w:numPr>
          <w:ilvl w:val="0"/>
          <w:numId w:val="195"/>
        </w:numPr>
        <w:tabs>
          <w:tab w:pos="1860" w:val="left" w:leader="none"/>
          <w:tab w:pos="1861" w:val="left" w:leader="none"/>
        </w:tabs>
        <w:spacing w:line="240" w:lineRule="auto" w:before="34" w:after="0"/>
        <w:ind w:left="1860" w:right="0" w:hanging="721"/>
        <w:jc w:val="left"/>
        <w:rPr>
          <w:sz w:val="18"/>
        </w:rPr>
      </w:pPr>
      <w:r>
        <w:rPr>
          <w:sz w:val="18"/>
        </w:rPr>
        <w:t>Couple</w:t>
      </w:r>
      <w:r>
        <w:rPr>
          <w:spacing w:val="-2"/>
          <w:sz w:val="18"/>
        </w:rPr>
        <w:t> </w:t>
      </w:r>
      <w:r>
        <w:rPr>
          <w:sz w:val="18"/>
        </w:rPr>
        <w:t>with</w:t>
      </w:r>
      <w:r>
        <w:rPr>
          <w:spacing w:val="-3"/>
          <w:sz w:val="18"/>
        </w:rPr>
        <w:t> </w:t>
      </w:r>
      <w:r>
        <w:rPr>
          <w:sz w:val="18"/>
        </w:rPr>
        <w:t>non-dependent</w:t>
      </w:r>
      <w:r>
        <w:rPr>
          <w:spacing w:val="-3"/>
          <w:sz w:val="18"/>
        </w:rPr>
        <w:t> </w:t>
      </w:r>
      <w:r>
        <w:rPr>
          <w:sz w:val="18"/>
        </w:rPr>
        <w:t>child</w:t>
      </w:r>
      <w:r>
        <w:rPr>
          <w:spacing w:val="-2"/>
          <w:sz w:val="18"/>
        </w:rPr>
        <w:t> </w:t>
      </w:r>
      <w:r>
        <w:rPr>
          <w:sz w:val="18"/>
        </w:rPr>
        <w:t>or</w:t>
      </w:r>
      <w:r>
        <w:rPr>
          <w:spacing w:val="-2"/>
          <w:sz w:val="18"/>
        </w:rPr>
        <w:t> </w:t>
      </w:r>
      <w:r>
        <w:rPr>
          <w:sz w:val="18"/>
        </w:rPr>
        <w:t>children</w:t>
      </w:r>
    </w:p>
    <w:p>
      <w:pPr>
        <w:pStyle w:val="ListParagraph"/>
        <w:numPr>
          <w:ilvl w:val="0"/>
          <w:numId w:val="195"/>
        </w:numPr>
        <w:tabs>
          <w:tab w:pos="1860" w:val="left" w:leader="none"/>
          <w:tab w:pos="1861" w:val="left" w:leader="none"/>
        </w:tabs>
        <w:spacing w:line="240" w:lineRule="auto" w:before="34" w:after="0"/>
        <w:ind w:left="1860" w:right="0" w:hanging="721"/>
        <w:jc w:val="left"/>
        <w:rPr>
          <w:sz w:val="18"/>
        </w:rPr>
      </w:pPr>
      <w:r>
        <w:rPr>
          <w:sz w:val="18"/>
        </w:rPr>
        <w:t>Couple</w:t>
      </w:r>
      <w:r>
        <w:rPr>
          <w:spacing w:val="-2"/>
          <w:sz w:val="18"/>
        </w:rPr>
        <w:t> </w:t>
      </w:r>
      <w:r>
        <w:rPr>
          <w:sz w:val="18"/>
        </w:rPr>
        <w:t>with</w:t>
      </w:r>
      <w:r>
        <w:rPr>
          <w:spacing w:val="-2"/>
          <w:sz w:val="18"/>
        </w:rPr>
        <w:t> </w:t>
      </w:r>
      <w:r>
        <w:rPr>
          <w:sz w:val="18"/>
        </w:rPr>
        <w:t>dependent</w:t>
      </w:r>
      <w:r>
        <w:rPr>
          <w:spacing w:val="-2"/>
          <w:sz w:val="18"/>
        </w:rPr>
        <w:t> </w:t>
      </w:r>
      <w:r>
        <w:rPr>
          <w:sz w:val="18"/>
        </w:rPr>
        <w:t>child</w:t>
      </w:r>
      <w:r>
        <w:rPr>
          <w:spacing w:val="-3"/>
          <w:sz w:val="18"/>
        </w:rPr>
        <w:t> </w:t>
      </w:r>
      <w:r>
        <w:rPr>
          <w:sz w:val="18"/>
        </w:rPr>
        <w:t>or</w:t>
      </w:r>
      <w:r>
        <w:rPr>
          <w:spacing w:val="-2"/>
          <w:sz w:val="18"/>
        </w:rPr>
        <w:t> </w:t>
      </w:r>
      <w:r>
        <w:rPr>
          <w:sz w:val="18"/>
        </w:rPr>
        <w:t>children</w:t>
      </w:r>
    </w:p>
    <w:p>
      <w:pPr>
        <w:pStyle w:val="ListParagraph"/>
        <w:numPr>
          <w:ilvl w:val="0"/>
          <w:numId w:val="195"/>
        </w:numPr>
        <w:tabs>
          <w:tab w:pos="1860" w:val="left" w:leader="none"/>
          <w:tab w:pos="1861" w:val="left" w:leader="none"/>
        </w:tabs>
        <w:spacing w:line="240" w:lineRule="auto" w:before="33" w:after="0"/>
        <w:ind w:left="1860" w:right="0" w:hanging="721"/>
        <w:jc w:val="left"/>
        <w:rPr>
          <w:sz w:val="18"/>
        </w:rPr>
      </w:pPr>
      <w:r>
        <w:rPr>
          <w:sz w:val="18"/>
        </w:rPr>
        <w:t>Couple</w:t>
      </w:r>
      <w:r>
        <w:rPr>
          <w:spacing w:val="-2"/>
          <w:sz w:val="18"/>
        </w:rPr>
        <w:t> </w:t>
      </w:r>
      <w:r>
        <w:rPr>
          <w:sz w:val="18"/>
        </w:rPr>
        <w:t>with</w:t>
      </w:r>
      <w:r>
        <w:rPr>
          <w:spacing w:val="-2"/>
          <w:sz w:val="18"/>
        </w:rPr>
        <w:t> </w:t>
      </w:r>
      <w:r>
        <w:rPr>
          <w:sz w:val="18"/>
        </w:rPr>
        <w:t>dependent</w:t>
      </w:r>
      <w:r>
        <w:rPr>
          <w:spacing w:val="-2"/>
          <w:sz w:val="18"/>
        </w:rPr>
        <w:t> </w:t>
      </w:r>
      <w:r>
        <w:rPr>
          <w:sz w:val="18"/>
        </w:rPr>
        <w:t>and</w:t>
      </w:r>
      <w:r>
        <w:rPr>
          <w:spacing w:val="-3"/>
          <w:sz w:val="18"/>
        </w:rPr>
        <w:t> </w:t>
      </w:r>
      <w:r>
        <w:rPr>
          <w:sz w:val="18"/>
        </w:rPr>
        <w:t>non-dependent</w:t>
      </w:r>
      <w:r>
        <w:rPr>
          <w:spacing w:val="-3"/>
          <w:sz w:val="18"/>
        </w:rPr>
        <w:t> </w:t>
      </w:r>
      <w:r>
        <w:rPr>
          <w:sz w:val="18"/>
        </w:rPr>
        <w:t>child</w:t>
      </w:r>
      <w:r>
        <w:rPr>
          <w:spacing w:val="-3"/>
          <w:sz w:val="18"/>
        </w:rPr>
        <w:t> </w:t>
      </w:r>
      <w:r>
        <w:rPr>
          <w:sz w:val="18"/>
        </w:rPr>
        <w:t>or</w:t>
      </w:r>
      <w:r>
        <w:rPr>
          <w:spacing w:val="-3"/>
          <w:sz w:val="18"/>
        </w:rPr>
        <w:t> </w:t>
      </w:r>
      <w:r>
        <w:rPr>
          <w:sz w:val="18"/>
        </w:rPr>
        <w:t>children</w:t>
      </w:r>
    </w:p>
    <w:p>
      <w:pPr>
        <w:pStyle w:val="ListParagraph"/>
        <w:numPr>
          <w:ilvl w:val="0"/>
          <w:numId w:val="195"/>
        </w:numPr>
        <w:tabs>
          <w:tab w:pos="1860" w:val="left" w:leader="none"/>
          <w:tab w:pos="1861" w:val="left" w:leader="none"/>
        </w:tabs>
        <w:spacing w:line="240" w:lineRule="auto" w:before="32" w:after="0"/>
        <w:ind w:left="1860" w:right="0" w:hanging="721"/>
        <w:jc w:val="left"/>
        <w:rPr>
          <w:sz w:val="18"/>
        </w:rPr>
      </w:pPr>
      <w:r>
        <w:rPr>
          <w:sz w:val="18"/>
        </w:rPr>
        <w:t>Single</w:t>
      </w:r>
      <w:r>
        <w:rPr>
          <w:spacing w:val="-2"/>
          <w:sz w:val="18"/>
        </w:rPr>
        <w:t> </w:t>
      </w:r>
      <w:r>
        <w:rPr>
          <w:sz w:val="18"/>
        </w:rPr>
        <w:t>parent</w:t>
      </w:r>
      <w:r>
        <w:rPr>
          <w:spacing w:val="-3"/>
          <w:sz w:val="18"/>
        </w:rPr>
        <w:t> </w:t>
      </w:r>
      <w:r>
        <w:rPr>
          <w:sz w:val="18"/>
        </w:rPr>
        <w:t>with</w:t>
      </w:r>
      <w:r>
        <w:rPr>
          <w:spacing w:val="-1"/>
          <w:sz w:val="18"/>
        </w:rPr>
        <w:t> </w:t>
      </w:r>
      <w:r>
        <w:rPr>
          <w:sz w:val="18"/>
        </w:rPr>
        <w:t>non-dependent</w:t>
      </w:r>
      <w:r>
        <w:rPr>
          <w:spacing w:val="-3"/>
          <w:sz w:val="18"/>
        </w:rPr>
        <w:t> </w:t>
      </w:r>
      <w:r>
        <w:rPr>
          <w:sz w:val="18"/>
        </w:rPr>
        <w:t>child</w:t>
      </w:r>
      <w:r>
        <w:rPr>
          <w:spacing w:val="-2"/>
          <w:sz w:val="18"/>
        </w:rPr>
        <w:t> </w:t>
      </w:r>
      <w:r>
        <w:rPr>
          <w:sz w:val="18"/>
        </w:rPr>
        <w:t>or</w:t>
      </w:r>
      <w:r>
        <w:rPr>
          <w:spacing w:val="-3"/>
          <w:sz w:val="18"/>
        </w:rPr>
        <w:t> </w:t>
      </w:r>
      <w:r>
        <w:rPr>
          <w:sz w:val="18"/>
        </w:rPr>
        <w:t>children</w:t>
      </w:r>
    </w:p>
    <w:p>
      <w:pPr>
        <w:pStyle w:val="ListParagraph"/>
        <w:numPr>
          <w:ilvl w:val="0"/>
          <w:numId w:val="195"/>
        </w:numPr>
        <w:tabs>
          <w:tab w:pos="1860" w:val="left" w:leader="none"/>
          <w:tab w:pos="1861" w:val="left" w:leader="none"/>
        </w:tabs>
        <w:spacing w:line="240" w:lineRule="auto" w:before="34" w:after="0"/>
        <w:ind w:left="1860" w:right="0" w:hanging="721"/>
        <w:jc w:val="left"/>
        <w:rPr>
          <w:sz w:val="18"/>
        </w:rPr>
      </w:pPr>
      <w:r>
        <w:rPr>
          <w:sz w:val="18"/>
        </w:rPr>
        <w:t>Single</w:t>
      </w:r>
      <w:r>
        <w:rPr>
          <w:spacing w:val="-2"/>
          <w:sz w:val="18"/>
        </w:rPr>
        <w:t> </w:t>
      </w:r>
      <w:r>
        <w:rPr>
          <w:sz w:val="18"/>
        </w:rPr>
        <w:t>parent</w:t>
      </w:r>
      <w:r>
        <w:rPr>
          <w:spacing w:val="-3"/>
          <w:sz w:val="18"/>
        </w:rPr>
        <w:t> </w:t>
      </w:r>
      <w:r>
        <w:rPr>
          <w:sz w:val="18"/>
        </w:rPr>
        <w:t>with</w:t>
      </w:r>
      <w:r>
        <w:rPr>
          <w:spacing w:val="-1"/>
          <w:sz w:val="18"/>
        </w:rPr>
        <w:t> </w:t>
      </w:r>
      <w:r>
        <w:rPr>
          <w:sz w:val="18"/>
        </w:rPr>
        <w:t>dependent</w:t>
      </w:r>
      <w:r>
        <w:rPr>
          <w:spacing w:val="-3"/>
          <w:sz w:val="18"/>
        </w:rPr>
        <w:t> </w:t>
      </w:r>
      <w:r>
        <w:rPr>
          <w:sz w:val="18"/>
        </w:rPr>
        <w:t>child</w:t>
      </w:r>
      <w:r>
        <w:rPr>
          <w:spacing w:val="-2"/>
          <w:sz w:val="18"/>
        </w:rPr>
        <w:t> </w:t>
      </w:r>
      <w:r>
        <w:rPr>
          <w:sz w:val="18"/>
        </w:rPr>
        <w:t>or</w:t>
      </w:r>
      <w:r>
        <w:rPr>
          <w:spacing w:val="-3"/>
          <w:sz w:val="18"/>
        </w:rPr>
        <w:t> </w:t>
      </w:r>
      <w:r>
        <w:rPr>
          <w:sz w:val="18"/>
        </w:rPr>
        <w:t>children</w:t>
      </w:r>
    </w:p>
    <w:p>
      <w:pPr>
        <w:pStyle w:val="ListParagraph"/>
        <w:numPr>
          <w:ilvl w:val="0"/>
          <w:numId w:val="195"/>
        </w:numPr>
        <w:tabs>
          <w:tab w:pos="1860" w:val="left" w:leader="none"/>
          <w:tab w:pos="1861" w:val="left" w:leader="none"/>
        </w:tabs>
        <w:spacing w:line="240" w:lineRule="auto" w:before="33" w:after="0"/>
        <w:ind w:left="1860" w:right="0" w:hanging="721"/>
        <w:jc w:val="left"/>
        <w:rPr>
          <w:sz w:val="18"/>
        </w:rPr>
      </w:pPr>
      <w:r>
        <w:rPr>
          <w:sz w:val="18"/>
        </w:rPr>
        <w:t>Single</w:t>
      </w:r>
      <w:r>
        <w:rPr>
          <w:spacing w:val="-2"/>
          <w:sz w:val="18"/>
        </w:rPr>
        <w:t> </w:t>
      </w:r>
      <w:r>
        <w:rPr>
          <w:sz w:val="18"/>
        </w:rPr>
        <w:t>parent</w:t>
      </w:r>
      <w:r>
        <w:rPr>
          <w:spacing w:val="-3"/>
          <w:sz w:val="18"/>
        </w:rPr>
        <w:t> </w:t>
      </w:r>
      <w:r>
        <w:rPr>
          <w:sz w:val="18"/>
        </w:rPr>
        <w:t>with</w:t>
      </w:r>
      <w:r>
        <w:rPr>
          <w:spacing w:val="-2"/>
          <w:sz w:val="18"/>
        </w:rPr>
        <w:t> </w:t>
      </w:r>
      <w:r>
        <w:rPr>
          <w:sz w:val="18"/>
        </w:rPr>
        <w:t>dependent</w:t>
      </w:r>
      <w:r>
        <w:rPr>
          <w:spacing w:val="-3"/>
          <w:sz w:val="18"/>
        </w:rPr>
        <w:t> </w:t>
      </w:r>
      <w:r>
        <w:rPr>
          <w:sz w:val="18"/>
        </w:rPr>
        <w:t>and</w:t>
      </w:r>
      <w:r>
        <w:rPr>
          <w:spacing w:val="-4"/>
          <w:sz w:val="18"/>
        </w:rPr>
        <w:t> </w:t>
      </w:r>
      <w:r>
        <w:rPr>
          <w:sz w:val="18"/>
        </w:rPr>
        <w:t>non-dependent</w:t>
      </w:r>
      <w:r>
        <w:rPr>
          <w:spacing w:val="-3"/>
          <w:sz w:val="18"/>
        </w:rPr>
        <w:t> </w:t>
      </w:r>
      <w:r>
        <w:rPr>
          <w:sz w:val="18"/>
        </w:rPr>
        <w:t>child</w:t>
      </w:r>
      <w:r>
        <w:rPr>
          <w:spacing w:val="-3"/>
          <w:sz w:val="18"/>
        </w:rPr>
        <w:t> </w:t>
      </w:r>
      <w:r>
        <w:rPr>
          <w:sz w:val="18"/>
        </w:rPr>
        <w:t>or</w:t>
      </w:r>
      <w:r>
        <w:rPr>
          <w:spacing w:val="-2"/>
          <w:sz w:val="18"/>
        </w:rPr>
        <w:t> </w:t>
      </w:r>
      <w:r>
        <w:rPr>
          <w:sz w:val="18"/>
        </w:rPr>
        <w:t>children</w:t>
      </w:r>
    </w:p>
    <w:p>
      <w:pPr>
        <w:pStyle w:val="ListParagraph"/>
        <w:numPr>
          <w:ilvl w:val="0"/>
          <w:numId w:val="195"/>
        </w:numPr>
        <w:tabs>
          <w:tab w:pos="1860" w:val="left" w:leader="none"/>
          <w:tab w:pos="1861" w:val="left" w:leader="none"/>
        </w:tabs>
        <w:spacing w:line="240" w:lineRule="auto" w:before="34" w:after="0"/>
        <w:ind w:left="1860" w:right="0" w:hanging="721"/>
        <w:jc w:val="left"/>
        <w:rPr>
          <w:sz w:val="18"/>
        </w:rPr>
      </w:pPr>
      <w:r>
        <w:rPr>
          <w:sz w:val="18"/>
        </w:rPr>
        <w:t>Non-related</w:t>
      </w:r>
      <w:r>
        <w:rPr>
          <w:spacing w:val="-7"/>
          <w:sz w:val="18"/>
        </w:rPr>
        <w:t> </w:t>
      </w:r>
      <w:r>
        <w:rPr>
          <w:sz w:val="18"/>
        </w:rPr>
        <w:t>adults</w:t>
      </w:r>
      <w:r>
        <w:rPr>
          <w:spacing w:val="-5"/>
          <w:sz w:val="18"/>
        </w:rPr>
        <w:t> </w:t>
      </w:r>
      <w:r>
        <w:rPr>
          <w:sz w:val="18"/>
        </w:rPr>
        <w:t>sharing</w:t>
      </w:r>
      <w:r>
        <w:rPr>
          <w:spacing w:val="-9"/>
          <w:sz w:val="18"/>
        </w:rPr>
        <w:t> </w:t>
      </w:r>
      <w:r>
        <w:rPr>
          <w:sz w:val="18"/>
        </w:rPr>
        <w:t>house/apartment/flat</w:t>
      </w:r>
    </w:p>
    <w:p>
      <w:pPr>
        <w:pStyle w:val="ListParagraph"/>
        <w:numPr>
          <w:ilvl w:val="0"/>
          <w:numId w:val="195"/>
        </w:numPr>
        <w:tabs>
          <w:tab w:pos="1860" w:val="left" w:leader="none"/>
          <w:tab w:pos="1861" w:val="left" w:leader="none"/>
        </w:tabs>
        <w:spacing w:line="240" w:lineRule="auto" w:before="31" w:after="0"/>
        <w:ind w:left="1860" w:right="0" w:hanging="721"/>
        <w:jc w:val="left"/>
        <w:rPr>
          <w:sz w:val="18"/>
        </w:rPr>
      </w:pPr>
      <w:r>
        <w:rPr>
          <w:sz w:val="18"/>
        </w:rPr>
        <w:t>Other</w:t>
      </w:r>
      <w:r>
        <w:rPr>
          <w:spacing w:val="-2"/>
          <w:sz w:val="18"/>
        </w:rPr>
        <w:t> </w:t>
      </w:r>
      <w:r>
        <w:rPr>
          <w:sz w:val="18"/>
        </w:rPr>
        <w:t>household</w:t>
      </w:r>
      <w:r>
        <w:rPr>
          <w:spacing w:val="-4"/>
          <w:sz w:val="18"/>
        </w:rPr>
        <w:t> </w:t>
      </w:r>
      <w:r>
        <w:rPr>
          <w:sz w:val="18"/>
        </w:rPr>
        <w:t>type</w:t>
      </w:r>
    </w:p>
    <w:p>
      <w:pPr>
        <w:pStyle w:val="ListParagraph"/>
        <w:numPr>
          <w:ilvl w:val="0"/>
          <w:numId w:val="196"/>
        </w:numPr>
        <w:tabs>
          <w:tab w:pos="1860" w:val="left" w:leader="none"/>
          <w:tab w:pos="1861" w:val="left" w:leader="none"/>
        </w:tabs>
        <w:spacing w:line="240" w:lineRule="auto" w:before="34" w:after="0"/>
        <w:ind w:left="1860" w:right="0" w:hanging="721"/>
        <w:jc w:val="left"/>
        <w:rPr>
          <w:sz w:val="18"/>
        </w:rPr>
      </w:pPr>
      <w:r>
        <w:rPr>
          <w:sz w:val="18"/>
        </w:rPr>
        <w:t>(Don’t</w:t>
      </w:r>
      <w:r>
        <w:rPr>
          <w:spacing w:val="-3"/>
          <w:sz w:val="18"/>
        </w:rPr>
        <w:t> </w:t>
      </w:r>
      <w:r>
        <w:rPr>
          <w:sz w:val="18"/>
        </w:rPr>
        <w:t>know)</w:t>
      </w:r>
    </w:p>
    <w:p>
      <w:pPr>
        <w:pStyle w:val="ListParagraph"/>
        <w:numPr>
          <w:ilvl w:val="0"/>
          <w:numId w:val="196"/>
        </w:numPr>
        <w:tabs>
          <w:tab w:pos="1860" w:val="left" w:leader="none"/>
          <w:tab w:pos="1861" w:val="left" w:leader="none"/>
        </w:tabs>
        <w:spacing w:line="240" w:lineRule="auto" w:before="34" w:after="0"/>
        <w:ind w:left="1860" w:right="0" w:hanging="721"/>
        <w:jc w:val="left"/>
        <w:rPr>
          <w:sz w:val="18"/>
        </w:rPr>
      </w:pPr>
      <w:r>
        <w:rPr>
          <w:sz w:val="18"/>
        </w:rPr>
        <w:t>(Refused)</w:t>
      </w:r>
    </w:p>
    <w:p>
      <w:pPr>
        <w:pStyle w:val="BodyText"/>
        <w:rPr>
          <w:sz w:val="19"/>
        </w:rPr>
      </w:pPr>
    </w:p>
    <w:p>
      <w:pPr>
        <w:tabs>
          <w:tab w:pos="1128" w:val="left" w:leader="none"/>
        </w:tabs>
        <w:spacing w:before="0"/>
        <w:ind w:left="420" w:right="0" w:firstLine="0"/>
        <w:jc w:val="left"/>
        <w:rPr>
          <w:sz w:val="18"/>
        </w:rPr>
      </w:pPr>
      <w:r>
        <w:rPr>
          <w:sz w:val="18"/>
        </w:rPr>
        <w:t>Q34</w:t>
        <w:tab/>
        <w:t>Are</w:t>
      </w:r>
      <w:r>
        <w:rPr>
          <w:spacing w:val="-3"/>
          <w:sz w:val="18"/>
        </w:rPr>
        <w:t> </w:t>
      </w:r>
      <w:r>
        <w:rPr>
          <w:sz w:val="18"/>
        </w:rPr>
        <w:t>you</w:t>
      </w:r>
      <w:r>
        <w:rPr>
          <w:spacing w:val="-2"/>
          <w:sz w:val="18"/>
        </w:rPr>
        <w:t> </w:t>
      </w:r>
      <w:r>
        <w:rPr>
          <w:sz w:val="18"/>
        </w:rPr>
        <w:t>of</w:t>
      </w:r>
      <w:r>
        <w:rPr>
          <w:spacing w:val="3"/>
          <w:sz w:val="18"/>
        </w:rPr>
        <w:t> </w:t>
      </w:r>
      <w:r>
        <w:rPr>
          <w:sz w:val="18"/>
        </w:rPr>
        <w:t>Aboriginal</w:t>
      </w:r>
      <w:r>
        <w:rPr>
          <w:spacing w:val="-2"/>
          <w:sz w:val="18"/>
        </w:rPr>
        <w:t> </w:t>
      </w:r>
      <w:r>
        <w:rPr>
          <w:sz w:val="18"/>
        </w:rPr>
        <w:t>or</w:t>
      </w:r>
      <w:r>
        <w:rPr>
          <w:spacing w:val="-2"/>
          <w:sz w:val="18"/>
        </w:rPr>
        <w:t> </w:t>
      </w:r>
      <w:r>
        <w:rPr>
          <w:sz w:val="18"/>
        </w:rPr>
        <w:t>Torres</w:t>
      </w:r>
      <w:r>
        <w:rPr>
          <w:spacing w:val="-2"/>
          <w:sz w:val="18"/>
        </w:rPr>
        <w:t> </w:t>
      </w:r>
      <w:r>
        <w:rPr>
          <w:sz w:val="18"/>
        </w:rPr>
        <w:t>Strait</w:t>
      </w:r>
      <w:r>
        <w:rPr>
          <w:spacing w:val="-6"/>
          <w:sz w:val="18"/>
        </w:rPr>
        <w:t> </w:t>
      </w:r>
      <w:r>
        <w:rPr>
          <w:sz w:val="18"/>
        </w:rPr>
        <w:t>Islander</w:t>
      </w:r>
      <w:r>
        <w:rPr>
          <w:spacing w:val="-1"/>
          <w:sz w:val="18"/>
        </w:rPr>
        <w:t> </w:t>
      </w:r>
      <w:r>
        <w:rPr>
          <w:sz w:val="18"/>
        </w:rPr>
        <w:t>origin?</w:t>
      </w:r>
    </w:p>
    <w:p>
      <w:pPr>
        <w:pStyle w:val="BodyText"/>
        <w:spacing w:before="12"/>
        <w:rPr>
          <w:sz w:val="18"/>
        </w:rPr>
      </w:pPr>
    </w:p>
    <w:p>
      <w:pPr>
        <w:pStyle w:val="ListParagraph"/>
        <w:numPr>
          <w:ilvl w:val="0"/>
          <w:numId w:val="197"/>
        </w:numPr>
        <w:tabs>
          <w:tab w:pos="1860" w:val="left" w:leader="none"/>
          <w:tab w:pos="1861" w:val="left" w:leader="none"/>
        </w:tabs>
        <w:spacing w:line="240" w:lineRule="auto" w:before="0" w:after="0"/>
        <w:ind w:left="1860" w:right="0" w:hanging="721"/>
        <w:jc w:val="left"/>
        <w:rPr>
          <w:sz w:val="18"/>
        </w:rPr>
      </w:pPr>
      <w:r>
        <w:rPr>
          <w:sz w:val="18"/>
        </w:rPr>
        <w:t>Yes</w:t>
      </w:r>
      <w:r>
        <w:rPr>
          <w:spacing w:val="-4"/>
          <w:sz w:val="18"/>
        </w:rPr>
        <w:t> </w:t>
      </w:r>
      <w:r>
        <w:rPr>
          <w:sz w:val="18"/>
        </w:rPr>
        <w:t>–</w:t>
      </w:r>
      <w:r>
        <w:rPr>
          <w:spacing w:val="2"/>
          <w:sz w:val="18"/>
        </w:rPr>
        <w:t> </w:t>
      </w:r>
      <w:r>
        <w:rPr>
          <w:sz w:val="18"/>
        </w:rPr>
        <w:t>Aboriginal</w:t>
      </w:r>
    </w:p>
    <w:p>
      <w:pPr>
        <w:pStyle w:val="ListParagraph"/>
        <w:numPr>
          <w:ilvl w:val="0"/>
          <w:numId w:val="197"/>
        </w:numPr>
        <w:tabs>
          <w:tab w:pos="1860" w:val="left" w:leader="none"/>
          <w:tab w:pos="1861" w:val="left" w:leader="none"/>
        </w:tabs>
        <w:spacing w:line="240" w:lineRule="auto" w:before="34" w:after="0"/>
        <w:ind w:left="1860" w:right="0" w:hanging="721"/>
        <w:jc w:val="left"/>
        <w:rPr>
          <w:sz w:val="18"/>
        </w:rPr>
      </w:pPr>
      <w:r>
        <w:rPr>
          <w:sz w:val="18"/>
        </w:rPr>
        <w:t>Yes</w:t>
      </w:r>
      <w:r>
        <w:rPr>
          <w:spacing w:val="-2"/>
          <w:sz w:val="18"/>
        </w:rPr>
        <w:t> </w:t>
      </w:r>
      <w:r>
        <w:rPr>
          <w:sz w:val="18"/>
        </w:rPr>
        <w:t>–</w:t>
      </w:r>
      <w:r>
        <w:rPr>
          <w:spacing w:val="-1"/>
          <w:sz w:val="18"/>
        </w:rPr>
        <w:t> </w:t>
      </w:r>
      <w:r>
        <w:rPr>
          <w:sz w:val="18"/>
        </w:rPr>
        <w:t>Torres</w:t>
      </w:r>
      <w:r>
        <w:rPr>
          <w:spacing w:val="-2"/>
          <w:sz w:val="18"/>
        </w:rPr>
        <w:t> </w:t>
      </w:r>
      <w:r>
        <w:rPr>
          <w:sz w:val="18"/>
        </w:rPr>
        <w:t>Strait</w:t>
      </w:r>
      <w:r>
        <w:rPr>
          <w:spacing w:val="-4"/>
          <w:sz w:val="18"/>
        </w:rPr>
        <w:t> </w:t>
      </w:r>
      <w:r>
        <w:rPr>
          <w:sz w:val="18"/>
        </w:rPr>
        <w:t>Islander</w:t>
      </w:r>
    </w:p>
    <w:p>
      <w:pPr>
        <w:pStyle w:val="ListParagraph"/>
        <w:numPr>
          <w:ilvl w:val="0"/>
          <w:numId w:val="197"/>
        </w:numPr>
        <w:tabs>
          <w:tab w:pos="1860" w:val="left" w:leader="none"/>
          <w:tab w:pos="1861" w:val="left" w:leader="none"/>
        </w:tabs>
        <w:spacing w:line="240" w:lineRule="auto" w:before="33" w:after="0"/>
        <w:ind w:left="1860" w:right="0" w:hanging="721"/>
        <w:jc w:val="left"/>
        <w:rPr>
          <w:sz w:val="18"/>
        </w:rPr>
      </w:pPr>
      <w:r>
        <w:rPr>
          <w:sz w:val="18"/>
        </w:rPr>
        <w:t>Yes</w:t>
      </w:r>
      <w:r>
        <w:rPr>
          <w:spacing w:val="-3"/>
          <w:sz w:val="18"/>
        </w:rPr>
        <w:t> </w:t>
      </w:r>
      <w:r>
        <w:rPr>
          <w:sz w:val="18"/>
        </w:rPr>
        <w:t>–</w:t>
      </w:r>
      <w:r>
        <w:rPr>
          <w:spacing w:val="-2"/>
          <w:sz w:val="18"/>
        </w:rPr>
        <w:t> </w:t>
      </w:r>
      <w:r>
        <w:rPr>
          <w:sz w:val="18"/>
        </w:rPr>
        <w:t>both</w:t>
      </w:r>
    </w:p>
    <w:p>
      <w:pPr>
        <w:pStyle w:val="ListParagraph"/>
        <w:numPr>
          <w:ilvl w:val="0"/>
          <w:numId w:val="197"/>
        </w:numPr>
        <w:tabs>
          <w:tab w:pos="1860" w:val="left" w:leader="none"/>
          <w:tab w:pos="1861" w:val="left" w:leader="none"/>
        </w:tabs>
        <w:spacing w:line="240" w:lineRule="auto" w:before="32" w:after="0"/>
        <w:ind w:left="1860" w:right="0" w:hanging="721"/>
        <w:jc w:val="left"/>
        <w:rPr>
          <w:sz w:val="18"/>
        </w:rPr>
      </w:pPr>
      <w:r>
        <w:rPr>
          <w:sz w:val="18"/>
        </w:rPr>
        <w:t>No</w:t>
      </w:r>
    </w:p>
    <w:p>
      <w:pPr>
        <w:pStyle w:val="ListParagraph"/>
        <w:numPr>
          <w:ilvl w:val="0"/>
          <w:numId w:val="198"/>
        </w:numPr>
        <w:tabs>
          <w:tab w:pos="1860" w:val="left" w:leader="none"/>
          <w:tab w:pos="1861" w:val="left" w:leader="none"/>
        </w:tabs>
        <w:spacing w:line="240" w:lineRule="auto" w:before="34" w:after="0"/>
        <w:ind w:left="1860" w:right="0" w:hanging="721"/>
        <w:jc w:val="left"/>
        <w:rPr>
          <w:sz w:val="18"/>
        </w:rPr>
      </w:pPr>
      <w:r>
        <w:rPr>
          <w:sz w:val="18"/>
        </w:rPr>
        <w:t>(Don’t</w:t>
      </w:r>
      <w:r>
        <w:rPr>
          <w:spacing w:val="-3"/>
          <w:sz w:val="18"/>
        </w:rPr>
        <w:t> </w:t>
      </w:r>
      <w:r>
        <w:rPr>
          <w:sz w:val="18"/>
        </w:rPr>
        <w:t>know)</w:t>
      </w:r>
    </w:p>
    <w:p>
      <w:pPr>
        <w:pStyle w:val="ListParagraph"/>
        <w:numPr>
          <w:ilvl w:val="0"/>
          <w:numId w:val="198"/>
        </w:numPr>
        <w:tabs>
          <w:tab w:pos="1860" w:val="left" w:leader="none"/>
          <w:tab w:pos="1861" w:val="left" w:leader="none"/>
        </w:tabs>
        <w:spacing w:line="240" w:lineRule="auto" w:before="34" w:after="0"/>
        <w:ind w:left="1860" w:right="0" w:hanging="721"/>
        <w:jc w:val="left"/>
        <w:rPr>
          <w:sz w:val="18"/>
        </w:rPr>
      </w:pPr>
      <w:r>
        <w:rPr>
          <w:sz w:val="18"/>
        </w:rPr>
        <w:t>(Refused)</w:t>
      </w:r>
    </w:p>
    <w:p>
      <w:pPr>
        <w:pStyle w:val="BodyText"/>
        <w:spacing w:before="1"/>
        <w:rPr>
          <w:sz w:val="17"/>
        </w:rPr>
      </w:pPr>
      <w:r>
        <w:rPr/>
        <w:pict>
          <v:group style="position:absolute;margin-left:36pt;margin-top:11.671631pt;width:523.4500pt;height:173.8pt;mso-position-horizontal-relative:page;mso-position-vertical-relative:paragraph;z-index:-15270912;mso-wrap-distance-left:0;mso-wrap-distance-right:0" id="docshapegroup315" coordorigin="720,233" coordsize="10469,3476">
            <v:shape style="position:absolute;left:720;top:233;width:10469;height:3476" id="docshape316" coordorigin="720,233" coordsize="10469,3476" path="m11188,3699l11179,3699,730,3699,720,3699,720,3709,730,3709,11179,3709,11188,3709,11188,3699xm11188,233l11179,233,730,233,720,233,720,243,720,3699,730,3699,730,243,11179,243,11179,3699,11188,3699,11188,243,11188,233xe" filled="true" fillcolor="#bebebe" stroked="false">
              <v:path arrowok="t"/>
              <v:fill type="solid"/>
            </v:shape>
            <v:shape style="position:absolute;left:832;top:241;width:3588;height:562" type="#_x0000_t202" id="docshape317" filled="false" stroked="false">
              <v:textbox inset="0,0,0,0">
                <w:txbxContent>
                  <w:p>
                    <w:pPr>
                      <w:spacing w:before="0"/>
                      <w:ind w:left="0" w:right="0" w:firstLine="0"/>
                      <w:jc w:val="left"/>
                      <w:rPr>
                        <w:b/>
                        <w:sz w:val="18"/>
                      </w:rPr>
                    </w:pPr>
                    <w:r>
                      <w:rPr>
                        <w:b/>
                        <w:sz w:val="18"/>
                      </w:rPr>
                      <w:t>Interview</w:t>
                    </w:r>
                    <w:r>
                      <w:rPr>
                        <w:b/>
                        <w:spacing w:val="-4"/>
                        <w:sz w:val="18"/>
                      </w:rPr>
                      <w:t> </w:t>
                    </w:r>
                    <w:r>
                      <w:rPr>
                        <w:b/>
                        <w:sz w:val="18"/>
                      </w:rPr>
                      <w:t>1</w:t>
                    </w:r>
                    <w:r>
                      <w:rPr>
                        <w:b/>
                        <w:spacing w:val="-3"/>
                        <w:sz w:val="18"/>
                      </w:rPr>
                      <w:t> </w:t>
                    </w:r>
                    <w:r>
                      <w:rPr>
                        <w:b/>
                        <w:sz w:val="18"/>
                      </w:rPr>
                      <w:t>only</w:t>
                    </w:r>
                  </w:p>
                  <w:p>
                    <w:pPr>
                      <w:tabs>
                        <w:tab w:pos="708" w:val="left" w:leader="none"/>
                      </w:tabs>
                      <w:spacing w:before="120"/>
                      <w:ind w:left="0" w:right="0" w:firstLine="0"/>
                      <w:jc w:val="left"/>
                      <w:rPr>
                        <w:sz w:val="18"/>
                      </w:rPr>
                    </w:pPr>
                    <w:r>
                      <w:rPr>
                        <w:sz w:val="18"/>
                      </w:rPr>
                      <w:t>Q35</w:t>
                      <w:tab/>
                      <w:t>In</w:t>
                    </w:r>
                    <w:r>
                      <w:rPr>
                        <w:spacing w:val="-4"/>
                        <w:sz w:val="18"/>
                      </w:rPr>
                      <w:t> </w:t>
                    </w:r>
                    <w:r>
                      <w:rPr>
                        <w:sz w:val="18"/>
                      </w:rPr>
                      <w:t>which</w:t>
                    </w:r>
                    <w:r>
                      <w:rPr>
                        <w:spacing w:val="-3"/>
                        <w:sz w:val="18"/>
                      </w:rPr>
                      <w:t> </w:t>
                    </w:r>
                    <w:r>
                      <w:rPr>
                        <w:sz w:val="18"/>
                      </w:rPr>
                      <w:t>country</w:t>
                    </w:r>
                    <w:r>
                      <w:rPr>
                        <w:spacing w:val="-1"/>
                        <w:sz w:val="18"/>
                      </w:rPr>
                      <w:t> </w:t>
                    </w:r>
                    <w:r>
                      <w:rPr>
                        <w:sz w:val="18"/>
                      </w:rPr>
                      <w:t>were</w:t>
                    </w:r>
                    <w:r>
                      <w:rPr>
                        <w:spacing w:val="-1"/>
                        <w:sz w:val="18"/>
                      </w:rPr>
                      <w:t> </w:t>
                    </w:r>
                    <w:r>
                      <w:rPr>
                        <w:sz w:val="18"/>
                      </w:rPr>
                      <w:t>you</w:t>
                    </w:r>
                    <w:r>
                      <w:rPr>
                        <w:spacing w:val="-4"/>
                        <w:sz w:val="18"/>
                      </w:rPr>
                      <w:t> </w:t>
                    </w:r>
                    <w:r>
                      <w:rPr>
                        <w:sz w:val="18"/>
                      </w:rPr>
                      <w:t>born?</w:t>
                    </w:r>
                  </w:p>
                </w:txbxContent>
              </v:textbox>
              <w10:wrap type="none"/>
            </v:shape>
            <v:shape style="position:absolute;left:1553;top:1036;width:273;height:2430" type="#_x0000_t202" id="docshape318" filled="false" stroked="false">
              <v:textbox inset="0,0,0,0">
                <w:txbxContent>
                  <w:p>
                    <w:pPr>
                      <w:spacing w:before="0"/>
                      <w:ind w:left="0" w:right="0" w:firstLine="0"/>
                      <w:jc w:val="left"/>
                      <w:rPr>
                        <w:sz w:val="18"/>
                      </w:rPr>
                    </w:pPr>
                    <w:r>
                      <w:rPr>
                        <w:sz w:val="18"/>
                      </w:rPr>
                      <w:t>1.</w:t>
                    </w:r>
                  </w:p>
                  <w:p>
                    <w:pPr>
                      <w:spacing w:before="0"/>
                      <w:ind w:left="0" w:right="0" w:firstLine="0"/>
                      <w:jc w:val="left"/>
                      <w:rPr>
                        <w:sz w:val="18"/>
                      </w:rPr>
                    </w:pPr>
                    <w:r>
                      <w:rPr>
                        <w:sz w:val="18"/>
                      </w:rPr>
                      <w:t>2.</w:t>
                    </w:r>
                  </w:p>
                  <w:p>
                    <w:pPr>
                      <w:spacing w:before="0"/>
                      <w:ind w:left="0" w:right="0" w:firstLine="0"/>
                      <w:jc w:val="left"/>
                      <w:rPr>
                        <w:sz w:val="18"/>
                      </w:rPr>
                    </w:pPr>
                    <w:r>
                      <w:rPr>
                        <w:sz w:val="18"/>
                      </w:rPr>
                      <w:t>3.</w:t>
                    </w:r>
                  </w:p>
                  <w:p>
                    <w:pPr>
                      <w:spacing w:before="0"/>
                      <w:ind w:left="0" w:right="0" w:firstLine="0"/>
                      <w:jc w:val="left"/>
                      <w:rPr>
                        <w:sz w:val="18"/>
                      </w:rPr>
                    </w:pPr>
                    <w:r>
                      <w:rPr>
                        <w:sz w:val="18"/>
                      </w:rPr>
                      <w:t>4.</w:t>
                    </w:r>
                  </w:p>
                  <w:p>
                    <w:pPr>
                      <w:spacing w:before="0"/>
                      <w:ind w:left="0" w:right="0" w:firstLine="0"/>
                      <w:jc w:val="left"/>
                      <w:rPr>
                        <w:sz w:val="18"/>
                      </w:rPr>
                    </w:pPr>
                    <w:r>
                      <w:rPr>
                        <w:sz w:val="18"/>
                      </w:rPr>
                      <w:t>5.</w:t>
                    </w:r>
                  </w:p>
                  <w:p>
                    <w:pPr>
                      <w:spacing w:before="0"/>
                      <w:ind w:left="0" w:right="0" w:firstLine="0"/>
                      <w:jc w:val="left"/>
                      <w:rPr>
                        <w:sz w:val="18"/>
                      </w:rPr>
                    </w:pPr>
                    <w:r>
                      <w:rPr>
                        <w:sz w:val="18"/>
                      </w:rPr>
                      <w:t>6.</w:t>
                    </w:r>
                  </w:p>
                  <w:p>
                    <w:pPr>
                      <w:spacing w:before="0"/>
                      <w:ind w:left="0" w:right="0" w:firstLine="0"/>
                      <w:jc w:val="left"/>
                      <w:rPr>
                        <w:sz w:val="18"/>
                      </w:rPr>
                    </w:pPr>
                    <w:r>
                      <w:rPr>
                        <w:sz w:val="18"/>
                      </w:rPr>
                      <w:t>7.</w:t>
                    </w:r>
                  </w:p>
                  <w:p>
                    <w:pPr>
                      <w:spacing w:before="0"/>
                      <w:ind w:left="0" w:right="0" w:firstLine="0"/>
                      <w:jc w:val="left"/>
                      <w:rPr>
                        <w:sz w:val="18"/>
                      </w:rPr>
                    </w:pPr>
                    <w:r>
                      <w:rPr>
                        <w:sz w:val="18"/>
                      </w:rPr>
                      <w:t>8.</w:t>
                    </w:r>
                  </w:p>
                  <w:p>
                    <w:pPr>
                      <w:spacing w:before="1"/>
                      <w:ind w:left="0" w:right="0" w:firstLine="0"/>
                      <w:jc w:val="left"/>
                      <w:rPr>
                        <w:sz w:val="18"/>
                      </w:rPr>
                    </w:pPr>
                    <w:r>
                      <w:rPr>
                        <w:sz w:val="18"/>
                      </w:rPr>
                      <w:t>9.</w:t>
                    </w:r>
                  </w:p>
                  <w:p>
                    <w:pPr>
                      <w:spacing w:before="0"/>
                      <w:ind w:left="0" w:right="0" w:firstLine="0"/>
                      <w:jc w:val="left"/>
                      <w:rPr>
                        <w:sz w:val="18"/>
                      </w:rPr>
                    </w:pPr>
                    <w:r>
                      <w:rPr>
                        <w:sz w:val="18"/>
                      </w:rPr>
                      <w:t>10.</w:t>
                    </w:r>
                  </w:p>
                  <w:p>
                    <w:pPr>
                      <w:spacing w:before="0"/>
                      <w:ind w:left="0" w:right="0" w:firstLine="0"/>
                      <w:jc w:val="left"/>
                      <w:rPr>
                        <w:sz w:val="18"/>
                      </w:rPr>
                    </w:pPr>
                    <w:r>
                      <w:rPr>
                        <w:sz w:val="18"/>
                      </w:rPr>
                      <w:t>99.</w:t>
                    </w:r>
                  </w:p>
                </w:txbxContent>
              </v:textbox>
              <w10:wrap type="none"/>
            </v:shape>
            <v:shape style="position:absolute;left:2273;top:1036;width:5494;height:2430" type="#_x0000_t202" id="docshape319" filled="false" stroked="false">
              <v:textbox inset="0,0,0,0">
                <w:txbxContent>
                  <w:p>
                    <w:pPr>
                      <w:spacing w:before="0"/>
                      <w:ind w:left="0" w:right="0" w:firstLine="0"/>
                      <w:jc w:val="left"/>
                      <w:rPr>
                        <w:sz w:val="18"/>
                      </w:rPr>
                    </w:pPr>
                    <w:r>
                      <w:rPr>
                        <w:sz w:val="18"/>
                      </w:rPr>
                      <w:t>Australia</w:t>
                    </w:r>
                  </w:p>
                  <w:p>
                    <w:pPr>
                      <w:spacing w:before="0"/>
                      <w:ind w:left="0" w:right="0" w:firstLine="0"/>
                      <w:jc w:val="left"/>
                      <w:rPr>
                        <w:sz w:val="18"/>
                      </w:rPr>
                    </w:pPr>
                    <w:r>
                      <w:rPr>
                        <w:sz w:val="18"/>
                      </w:rPr>
                      <w:t>England</w:t>
                    </w:r>
                    <w:r>
                      <w:rPr>
                        <w:spacing w:val="-4"/>
                        <w:sz w:val="18"/>
                      </w:rPr>
                      <w:t> </w:t>
                    </w:r>
                    <w:r>
                      <w:rPr>
                        <w:sz w:val="18"/>
                      </w:rPr>
                      <w:t>(including</w:t>
                    </w:r>
                    <w:r>
                      <w:rPr>
                        <w:spacing w:val="-4"/>
                        <w:sz w:val="18"/>
                      </w:rPr>
                      <w:t> </w:t>
                    </w:r>
                    <w:r>
                      <w:rPr>
                        <w:sz w:val="18"/>
                      </w:rPr>
                      <w:t>England,</w:t>
                    </w:r>
                    <w:r>
                      <w:rPr>
                        <w:spacing w:val="-5"/>
                        <w:sz w:val="18"/>
                      </w:rPr>
                      <w:t> </w:t>
                    </w:r>
                    <w:r>
                      <w:rPr>
                        <w:sz w:val="18"/>
                      </w:rPr>
                      <w:t>Scotland,</w:t>
                    </w:r>
                    <w:r>
                      <w:rPr>
                        <w:spacing w:val="-4"/>
                        <w:sz w:val="18"/>
                      </w:rPr>
                      <w:t> </w:t>
                    </w:r>
                    <w:r>
                      <w:rPr>
                        <w:sz w:val="18"/>
                      </w:rPr>
                      <w:t>Northern</w:t>
                    </w:r>
                    <w:r>
                      <w:rPr>
                        <w:spacing w:val="-5"/>
                        <w:sz w:val="18"/>
                      </w:rPr>
                      <w:t> </w:t>
                    </w:r>
                    <w:r>
                      <w:rPr>
                        <w:sz w:val="18"/>
                      </w:rPr>
                      <w:t>Ireland,</w:t>
                    </w:r>
                    <w:r>
                      <w:rPr>
                        <w:spacing w:val="-6"/>
                        <w:sz w:val="18"/>
                      </w:rPr>
                      <w:t> </w:t>
                    </w:r>
                    <w:r>
                      <w:rPr>
                        <w:sz w:val="18"/>
                      </w:rPr>
                      <w:t>Wales)</w:t>
                    </w:r>
                    <w:r>
                      <w:rPr>
                        <w:spacing w:val="-47"/>
                        <w:sz w:val="18"/>
                      </w:rPr>
                      <w:t> </w:t>
                    </w:r>
                    <w:r>
                      <w:rPr>
                        <w:sz w:val="18"/>
                      </w:rPr>
                      <w:t>India</w:t>
                    </w:r>
                  </w:p>
                  <w:p>
                    <w:pPr>
                      <w:spacing w:before="0"/>
                      <w:ind w:left="0" w:right="4317" w:firstLine="0"/>
                      <w:jc w:val="left"/>
                      <w:rPr>
                        <w:sz w:val="18"/>
                      </w:rPr>
                    </w:pPr>
                    <w:r>
                      <w:rPr>
                        <w:spacing w:val="-1"/>
                        <w:sz w:val="18"/>
                      </w:rPr>
                      <w:t>New Zealand</w:t>
                    </w:r>
                    <w:r>
                      <w:rPr>
                        <w:spacing w:val="-47"/>
                        <w:sz w:val="18"/>
                      </w:rPr>
                      <w:t> </w:t>
                    </w:r>
                    <w:r>
                      <w:rPr>
                        <w:sz w:val="18"/>
                      </w:rPr>
                      <w:t>Italy</w:t>
                    </w:r>
                  </w:p>
                  <w:p>
                    <w:pPr>
                      <w:spacing w:before="0"/>
                      <w:ind w:left="0" w:right="4732" w:firstLine="0"/>
                      <w:jc w:val="left"/>
                      <w:rPr>
                        <w:sz w:val="18"/>
                      </w:rPr>
                    </w:pPr>
                    <w:r>
                      <w:rPr>
                        <w:sz w:val="18"/>
                      </w:rPr>
                      <w:t>Greece</w:t>
                    </w:r>
                    <w:r>
                      <w:rPr>
                        <w:spacing w:val="1"/>
                        <w:sz w:val="18"/>
                      </w:rPr>
                      <w:t> </w:t>
                    </w:r>
                    <w:r>
                      <w:rPr>
                        <w:sz w:val="18"/>
                      </w:rPr>
                      <w:t>Vietnam</w:t>
                    </w:r>
                    <w:r>
                      <w:rPr>
                        <w:spacing w:val="-48"/>
                        <w:sz w:val="18"/>
                      </w:rPr>
                      <w:t> </w:t>
                    </w:r>
                    <w:r>
                      <w:rPr>
                        <w:sz w:val="18"/>
                      </w:rPr>
                      <w:t>Ireland</w:t>
                    </w:r>
                    <w:r>
                      <w:rPr>
                        <w:spacing w:val="1"/>
                        <w:sz w:val="18"/>
                      </w:rPr>
                      <w:t> </w:t>
                    </w:r>
                    <w:r>
                      <w:rPr>
                        <w:sz w:val="18"/>
                      </w:rPr>
                      <w:t>China</w:t>
                    </w:r>
                  </w:p>
                  <w:p>
                    <w:pPr>
                      <w:spacing w:before="1"/>
                      <w:ind w:left="0" w:right="3542" w:firstLine="0"/>
                      <w:jc w:val="left"/>
                      <w:rPr>
                        <w:sz w:val="18"/>
                      </w:rPr>
                    </w:pPr>
                    <w:r>
                      <w:rPr>
                        <w:sz w:val="18"/>
                      </w:rPr>
                      <w:t>Other (please specify)</w:t>
                    </w:r>
                    <w:r>
                      <w:rPr>
                        <w:spacing w:val="-47"/>
                        <w:sz w:val="18"/>
                      </w:rPr>
                      <w:t> </w:t>
                    </w:r>
                    <w:r>
                      <w:rPr>
                        <w:sz w:val="18"/>
                      </w:rPr>
                      <w:t>(Refused)</w:t>
                    </w:r>
                  </w:p>
                </w:txbxContent>
              </v:textbox>
              <w10:wrap type="none"/>
            </v:shape>
            <w10:wrap type="topAndBottom"/>
          </v:group>
        </w:pict>
      </w:r>
    </w:p>
    <w:p>
      <w:pPr>
        <w:spacing w:after="0"/>
        <w:rPr>
          <w:sz w:val="17"/>
        </w:rPr>
        <w:sectPr>
          <w:pgSz w:w="11910" w:h="16840"/>
          <w:pgMar w:header="0" w:footer="948" w:top="860" w:bottom="1140" w:left="300" w:right="0"/>
        </w:sectPr>
      </w:pPr>
    </w:p>
    <w:p>
      <w:pPr>
        <w:pStyle w:val="BodyText"/>
        <w:ind w:left="420"/>
      </w:pPr>
      <w:r>
        <w:rPr/>
        <w:pict>
          <v:group style="width:523.4500pt;height:167.8pt;mso-position-horizontal-relative:char;mso-position-vertical-relative:line" id="docshapegroup320" coordorigin="0,0" coordsize="10469,3356">
            <v:shape style="position:absolute;left:0;top:0;width:10469;height:3356" id="docshape321" coordorigin="0,0" coordsize="10469,3356" path="m10468,0l10459,0,10459,10,10459,3346,10,3346,10,10,10459,10,10459,0,10,0,0,0,0,10,0,3346,0,3356,10,3356,10459,3356,10468,3356,10468,3346,10468,10,10468,0xe" filled="true" fillcolor="#bebebe" stroked="false">
              <v:path arrowok="t"/>
              <v:fill type="solid"/>
            </v:shape>
            <v:shape style="position:absolute;left:112;top:8;width:6015;height:221" type="#_x0000_t202" id="docshape322" filled="false" stroked="false">
              <v:textbox inset="0,0,0,0">
                <w:txbxContent>
                  <w:p>
                    <w:pPr>
                      <w:tabs>
                        <w:tab w:pos="708" w:val="left" w:leader="none"/>
                      </w:tabs>
                      <w:spacing w:before="0"/>
                      <w:ind w:left="0" w:right="0" w:firstLine="0"/>
                      <w:jc w:val="left"/>
                      <w:rPr>
                        <w:sz w:val="18"/>
                      </w:rPr>
                    </w:pPr>
                    <w:r>
                      <w:rPr>
                        <w:sz w:val="18"/>
                      </w:rPr>
                      <w:t>Q36</w:t>
                      <w:tab/>
                      <w:t>What</w:t>
                    </w:r>
                    <w:r>
                      <w:rPr>
                        <w:spacing w:val="-4"/>
                        <w:sz w:val="18"/>
                      </w:rPr>
                      <w:t> </w:t>
                    </w:r>
                    <w:r>
                      <w:rPr>
                        <w:sz w:val="18"/>
                      </w:rPr>
                      <w:t>is</w:t>
                    </w:r>
                    <w:r>
                      <w:rPr>
                        <w:spacing w:val="-3"/>
                        <w:sz w:val="18"/>
                      </w:rPr>
                      <w:t> </w:t>
                    </w:r>
                    <w:r>
                      <w:rPr>
                        <w:sz w:val="18"/>
                      </w:rPr>
                      <w:t>the</w:t>
                    </w:r>
                    <w:r>
                      <w:rPr>
                        <w:spacing w:val="-2"/>
                        <w:sz w:val="18"/>
                      </w:rPr>
                      <w:t> </w:t>
                    </w:r>
                    <w:r>
                      <w:rPr>
                        <w:sz w:val="18"/>
                      </w:rPr>
                      <w:t>highest</w:t>
                    </w:r>
                    <w:r>
                      <w:rPr>
                        <w:spacing w:val="-4"/>
                        <w:sz w:val="18"/>
                      </w:rPr>
                      <w:t> </w:t>
                    </w:r>
                    <w:r>
                      <w:rPr>
                        <w:sz w:val="18"/>
                      </w:rPr>
                      <w:t>level</w:t>
                    </w:r>
                    <w:r>
                      <w:rPr>
                        <w:spacing w:val="-2"/>
                        <w:sz w:val="18"/>
                      </w:rPr>
                      <w:t> </w:t>
                    </w:r>
                    <w:r>
                      <w:rPr>
                        <w:sz w:val="18"/>
                      </w:rPr>
                      <w:t>of</w:t>
                    </w:r>
                    <w:r>
                      <w:rPr>
                        <w:spacing w:val="-4"/>
                        <w:sz w:val="18"/>
                      </w:rPr>
                      <w:t> </w:t>
                    </w:r>
                    <w:r>
                      <w:rPr>
                        <w:sz w:val="18"/>
                      </w:rPr>
                      <w:t>education</w:t>
                    </w:r>
                    <w:r>
                      <w:rPr>
                        <w:spacing w:val="-2"/>
                        <w:sz w:val="18"/>
                      </w:rPr>
                      <w:t> </w:t>
                    </w:r>
                    <w:r>
                      <w:rPr>
                        <w:sz w:val="18"/>
                      </w:rPr>
                      <w:t>you</w:t>
                    </w:r>
                    <w:r>
                      <w:rPr>
                        <w:spacing w:val="-3"/>
                        <w:sz w:val="18"/>
                      </w:rPr>
                      <w:t> </w:t>
                    </w:r>
                    <w:r>
                      <w:rPr>
                        <w:sz w:val="18"/>
                      </w:rPr>
                      <w:t>have</w:t>
                    </w:r>
                    <w:r>
                      <w:rPr>
                        <w:spacing w:val="-2"/>
                        <w:sz w:val="18"/>
                      </w:rPr>
                      <w:t> </w:t>
                    </w:r>
                    <w:r>
                      <w:rPr>
                        <w:sz w:val="18"/>
                      </w:rPr>
                      <w:t>completed?</w:t>
                    </w:r>
                  </w:p>
                </w:txbxContent>
              </v:textbox>
              <w10:wrap type="none"/>
            </v:shape>
            <v:shape style="position:absolute;left:833;top:462;width:273;height:2648" type="#_x0000_t202" id="docshape323" filled="false" stroked="false">
              <v:textbox inset="0,0,0,0">
                <w:txbxContent>
                  <w:p>
                    <w:pPr>
                      <w:spacing w:before="0"/>
                      <w:ind w:left="0" w:right="0" w:firstLine="0"/>
                      <w:jc w:val="left"/>
                      <w:rPr>
                        <w:sz w:val="18"/>
                      </w:rPr>
                    </w:pPr>
                    <w:r>
                      <w:rPr>
                        <w:sz w:val="18"/>
                      </w:rPr>
                      <w:t>1.</w:t>
                    </w:r>
                  </w:p>
                  <w:p>
                    <w:pPr>
                      <w:spacing w:before="0"/>
                      <w:ind w:left="0" w:right="0" w:firstLine="0"/>
                      <w:jc w:val="left"/>
                      <w:rPr>
                        <w:sz w:val="18"/>
                      </w:rPr>
                    </w:pPr>
                    <w:r>
                      <w:rPr>
                        <w:sz w:val="18"/>
                      </w:rPr>
                      <w:t>2.</w:t>
                    </w:r>
                  </w:p>
                  <w:p>
                    <w:pPr>
                      <w:spacing w:before="0"/>
                      <w:ind w:left="0" w:right="0" w:firstLine="0"/>
                      <w:jc w:val="left"/>
                      <w:rPr>
                        <w:sz w:val="18"/>
                      </w:rPr>
                    </w:pPr>
                    <w:r>
                      <w:rPr>
                        <w:sz w:val="18"/>
                      </w:rPr>
                      <w:t>3.</w:t>
                    </w:r>
                  </w:p>
                  <w:p>
                    <w:pPr>
                      <w:spacing w:before="0"/>
                      <w:ind w:left="0" w:right="0" w:firstLine="0"/>
                      <w:jc w:val="left"/>
                      <w:rPr>
                        <w:sz w:val="18"/>
                      </w:rPr>
                    </w:pPr>
                    <w:r>
                      <w:rPr>
                        <w:sz w:val="18"/>
                      </w:rPr>
                      <w:t>4.</w:t>
                    </w:r>
                  </w:p>
                  <w:p>
                    <w:pPr>
                      <w:spacing w:before="1"/>
                      <w:ind w:left="0" w:right="0" w:firstLine="0"/>
                      <w:jc w:val="left"/>
                      <w:rPr>
                        <w:sz w:val="18"/>
                      </w:rPr>
                    </w:pPr>
                    <w:r>
                      <w:rPr>
                        <w:sz w:val="18"/>
                      </w:rPr>
                      <w:t>5.</w:t>
                    </w:r>
                  </w:p>
                  <w:p>
                    <w:pPr>
                      <w:spacing w:before="0"/>
                      <w:ind w:left="0" w:right="0" w:firstLine="0"/>
                      <w:jc w:val="left"/>
                      <w:rPr>
                        <w:sz w:val="18"/>
                      </w:rPr>
                    </w:pPr>
                    <w:r>
                      <w:rPr>
                        <w:sz w:val="18"/>
                      </w:rPr>
                      <w:t>6.</w:t>
                    </w:r>
                  </w:p>
                  <w:p>
                    <w:pPr>
                      <w:spacing w:line="220" w:lineRule="exact" w:before="0"/>
                      <w:ind w:left="0" w:right="0" w:firstLine="0"/>
                      <w:jc w:val="left"/>
                      <w:rPr>
                        <w:sz w:val="18"/>
                      </w:rPr>
                    </w:pPr>
                    <w:r>
                      <w:rPr>
                        <w:sz w:val="18"/>
                      </w:rPr>
                      <w:t>7.</w:t>
                    </w:r>
                  </w:p>
                  <w:p>
                    <w:pPr>
                      <w:spacing w:line="220" w:lineRule="exact" w:before="0"/>
                      <w:ind w:left="0" w:right="0" w:firstLine="0"/>
                      <w:jc w:val="left"/>
                      <w:rPr>
                        <w:sz w:val="18"/>
                      </w:rPr>
                    </w:pPr>
                    <w:r>
                      <w:rPr>
                        <w:sz w:val="18"/>
                      </w:rPr>
                      <w:t>8.</w:t>
                    </w:r>
                  </w:p>
                  <w:p>
                    <w:pPr>
                      <w:spacing w:before="0"/>
                      <w:ind w:left="0" w:right="0" w:firstLine="0"/>
                      <w:jc w:val="left"/>
                      <w:rPr>
                        <w:sz w:val="18"/>
                      </w:rPr>
                    </w:pPr>
                    <w:r>
                      <w:rPr>
                        <w:sz w:val="18"/>
                      </w:rPr>
                      <w:t>9.</w:t>
                    </w:r>
                  </w:p>
                  <w:p>
                    <w:pPr>
                      <w:spacing w:before="0"/>
                      <w:ind w:left="0" w:right="0" w:firstLine="0"/>
                      <w:jc w:val="left"/>
                      <w:rPr>
                        <w:sz w:val="18"/>
                      </w:rPr>
                    </w:pPr>
                    <w:r>
                      <w:rPr>
                        <w:sz w:val="18"/>
                      </w:rPr>
                      <w:t>10.</w:t>
                    </w:r>
                  </w:p>
                  <w:p>
                    <w:pPr>
                      <w:spacing w:before="0"/>
                      <w:ind w:left="0" w:right="0" w:firstLine="0"/>
                      <w:jc w:val="left"/>
                      <w:rPr>
                        <w:sz w:val="18"/>
                      </w:rPr>
                    </w:pPr>
                    <w:r>
                      <w:rPr>
                        <w:sz w:val="18"/>
                      </w:rPr>
                      <w:t>11.</w:t>
                    </w:r>
                  </w:p>
                  <w:p>
                    <w:pPr>
                      <w:spacing w:before="0"/>
                      <w:ind w:left="0" w:right="0" w:firstLine="0"/>
                      <w:jc w:val="left"/>
                      <w:rPr>
                        <w:sz w:val="18"/>
                      </w:rPr>
                    </w:pPr>
                    <w:r>
                      <w:rPr>
                        <w:sz w:val="18"/>
                      </w:rPr>
                      <w:t>99.</w:t>
                    </w:r>
                  </w:p>
                </w:txbxContent>
              </v:textbox>
              <w10:wrap type="none"/>
            </v:shape>
            <v:shape style="position:absolute;left:1553;top:462;width:3933;height:2648" type="#_x0000_t202" id="docshape324" filled="false" stroked="false">
              <v:textbox inset="0,0,0,0">
                <w:txbxContent>
                  <w:p>
                    <w:pPr>
                      <w:spacing w:before="0"/>
                      <w:ind w:left="0" w:right="2188" w:firstLine="0"/>
                      <w:jc w:val="both"/>
                      <w:rPr>
                        <w:sz w:val="18"/>
                      </w:rPr>
                    </w:pPr>
                    <w:r>
                      <w:rPr>
                        <w:sz w:val="18"/>
                      </w:rPr>
                      <w:t>No formal schooling</w:t>
                    </w:r>
                    <w:r>
                      <w:rPr>
                        <w:spacing w:val="-47"/>
                        <w:sz w:val="18"/>
                      </w:rPr>
                      <w:t> </w:t>
                    </w:r>
                    <w:r>
                      <w:rPr>
                        <w:sz w:val="18"/>
                      </w:rPr>
                      <w:t>Primary</w:t>
                    </w:r>
                    <w:r>
                      <w:rPr>
                        <w:spacing w:val="-1"/>
                        <w:sz w:val="18"/>
                      </w:rPr>
                      <w:t> </w:t>
                    </w:r>
                    <w:r>
                      <w:rPr>
                        <w:sz w:val="18"/>
                      </w:rPr>
                      <w:t>school</w:t>
                    </w:r>
                  </w:p>
                  <w:p>
                    <w:pPr>
                      <w:spacing w:before="0"/>
                      <w:ind w:left="0" w:right="0" w:firstLine="0"/>
                      <w:jc w:val="both"/>
                      <w:rPr>
                        <w:sz w:val="18"/>
                      </w:rPr>
                    </w:pPr>
                    <w:r>
                      <w:rPr>
                        <w:sz w:val="18"/>
                      </w:rPr>
                      <w:t>Year</w:t>
                    </w:r>
                    <w:r>
                      <w:rPr>
                        <w:spacing w:val="-2"/>
                        <w:sz w:val="18"/>
                      </w:rPr>
                      <w:t> </w:t>
                    </w:r>
                    <w:r>
                      <w:rPr>
                        <w:sz w:val="18"/>
                      </w:rPr>
                      <w:t>9</w:t>
                    </w:r>
                    <w:r>
                      <w:rPr>
                        <w:spacing w:val="-2"/>
                        <w:sz w:val="18"/>
                      </w:rPr>
                      <w:t> </w:t>
                    </w:r>
                    <w:r>
                      <w:rPr>
                        <w:sz w:val="18"/>
                      </w:rPr>
                      <w:t>or</w:t>
                    </w:r>
                    <w:r>
                      <w:rPr>
                        <w:spacing w:val="-1"/>
                        <w:sz w:val="18"/>
                      </w:rPr>
                      <w:t> </w:t>
                    </w:r>
                    <w:r>
                      <w:rPr>
                        <w:sz w:val="18"/>
                      </w:rPr>
                      <w:t>below</w:t>
                    </w:r>
                  </w:p>
                  <w:p>
                    <w:pPr>
                      <w:spacing w:before="0"/>
                      <w:ind w:left="0" w:right="2075" w:firstLine="0"/>
                      <w:jc w:val="both"/>
                      <w:rPr>
                        <w:sz w:val="18"/>
                      </w:rPr>
                    </w:pPr>
                    <w:r>
                      <w:rPr>
                        <w:sz w:val="18"/>
                      </w:rPr>
                      <w:t>Year 10 or equivalent</w:t>
                    </w:r>
                    <w:r>
                      <w:rPr>
                        <w:spacing w:val="-47"/>
                        <w:sz w:val="18"/>
                      </w:rPr>
                      <w:t> </w:t>
                    </w:r>
                    <w:r>
                      <w:rPr>
                        <w:sz w:val="18"/>
                      </w:rPr>
                      <w:t>Year 11 or equivalent</w:t>
                    </w:r>
                    <w:r>
                      <w:rPr>
                        <w:spacing w:val="-47"/>
                        <w:sz w:val="18"/>
                      </w:rPr>
                      <w:t> </w:t>
                    </w:r>
                    <w:r>
                      <w:rPr>
                        <w:sz w:val="18"/>
                      </w:rPr>
                      <w:t>Year</w:t>
                    </w:r>
                    <w:r>
                      <w:rPr>
                        <w:spacing w:val="-3"/>
                        <w:sz w:val="18"/>
                      </w:rPr>
                      <w:t> </w:t>
                    </w:r>
                    <w:r>
                      <w:rPr>
                        <w:sz w:val="18"/>
                      </w:rPr>
                      <w:t>12</w:t>
                    </w:r>
                    <w:r>
                      <w:rPr>
                        <w:spacing w:val="-2"/>
                        <w:sz w:val="18"/>
                      </w:rPr>
                      <w:t> </w:t>
                    </w:r>
                    <w:r>
                      <w:rPr>
                        <w:sz w:val="18"/>
                      </w:rPr>
                      <w:t>or</w:t>
                    </w:r>
                    <w:r>
                      <w:rPr>
                        <w:spacing w:val="-2"/>
                        <w:sz w:val="18"/>
                      </w:rPr>
                      <w:t> </w:t>
                    </w:r>
                    <w:r>
                      <w:rPr>
                        <w:sz w:val="18"/>
                      </w:rPr>
                      <w:t>equivalent</w:t>
                    </w:r>
                  </w:p>
                  <w:p>
                    <w:pPr>
                      <w:spacing w:line="237" w:lineRule="auto" w:before="3"/>
                      <w:ind w:left="0" w:right="0" w:firstLine="0"/>
                      <w:jc w:val="left"/>
                      <w:rPr>
                        <w:sz w:val="18"/>
                      </w:rPr>
                    </w:pPr>
                    <w:r>
                      <w:rPr>
                        <w:sz w:val="18"/>
                      </w:rPr>
                      <w:t>Certificate</w:t>
                    </w:r>
                    <w:r>
                      <w:rPr>
                        <w:spacing w:val="-5"/>
                        <w:sz w:val="18"/>
                      </w:rPr>
                      <w:t> </w:t>
                    </w:r>
                    <w:r>
                      <w:rPr>
                        <w:sz w:val="18"/>
                      </w:rPr>
                      <w:t>I</w:t>
                    </w:r>
                    <w:r>
                      <w:rPr>
                        <w:spacing w:val="-1"/>
                        <w:sz w:val="18"/>
                      </w:rPr>
                      <w:t> </w:t>
                    </w:r>
                    <w:r>
                      <w:rPr>
                        <w:sz w:val="18"/>
                      </w:rPr>
                      <w:t>to</w:t>
                    </w:r>
                    <w:r>
                      <w:rPr>
                        <w:spacing w:val="-6"/>
                        <w:sz w:val="18"/>
                      </w:rPr>
                      <w:t> </w:t>
                    </w:r>
                    <w:r>
                      <w:rPr>
                        <w:sz w:val="18"/>
                      </w:rPr>
                      <w:t>IV</w:t>
                    </w:r>
                    <w:r>
                      <w:rPr>
                        <w:spacing w:val="-5"/>
                        <w:sz w:val="18"/>
                      </w:rPr>
                      <w:t> </w:t>
                    </w:r>
                    <w:r>
                      <w:rPr>
                        <w:sz w:val="18"/>
                      </w:rPr>
                      <w:t>(including</w:t>
                    </w:r>
                    <w:r>
                      <w:rPr>
                        <w:spacing w:val="-5"/>
                        <w:sz w:val="18"/>
                      </w:rPr>
                      <w:t> </w:t>
                    </w:r>
                    <w:r>
                      <w:rPr>
                        <w:sz w:val="18"/>
                      </w:rPr>
                      <w:t>trade</w:t>
                    </w:r>
                    <w:r>
                      <w:rPr>
                        <w:spacing w:val="-3"/>
                        <w:sz w:val="18"/>
                      </w:rPr>
                      <w:t> </w:t>
                    </w:r>
                    <w:r>
                      <w:rPr>
                        <w:sz w:val="18"/>
                      </w:rPr>
                      <w:t>certificate)</w:t>
                    </w:r>
                    <w:r>
                      <w:rPr>
                        <w:spacing w:val="-47"/>
                        <w:sz w:val="18"/>
                      </w:rPr>
                      <w:t> </w:t>
                    </w:r>
                    <w:r>
                      <w:rPr>
                        <w:sz w:val="18"/>
                      </w:rPr>
                      <w:t>Advanced</w:t>
                    </w:r>
                    <w:r>
                      <w:rPr>
                        <w:spacing w:val="-1"/>
                        <w:sz w:val="18"/>
                      </w:rPr>
                      <w:t> </w:t>
                    </w:r>
                    <w:r>
                      <w:rPr>
                        <w:sz w:val="18"/>
                      </w:rPr>
                      <w:t>diploma/Diploma</w:t>
                    </w:r>
                  </w:p>
                  <w:p>
                    <w:pPr>
                      <w:spacing w:before="0"/>
                      <w:ind w:left="0" w:right="0" w:firstLine="0"/>
                      <w:jc w:val="left"/>
                      <w:rPr>
                        <w:sz w:val="18"/>
                      </w:rPr>
                    </w:pPr>
                    <w:r>
                      <w:rPr>
                        <w:sz w:val="18"/>
                      </w:rPr>
                      <w:t>Bachelor</w:t>
                    </w:r>
                    <w:r>
                      <w:rPr>
                        <w:spacing w:val="-2"/>
                        <w:sz w:val="18"/>
                      </w:rPr>
                      <w:t> </w:t>
                    </w:r>
                    <w:r>
                      <w:rPr>
                        <w:sz w:val="18"/>
                      </w:rPr>
                      <w:t>Degree</w:t>
                    </w:r>
                  </w:p>
                  <w:p>
                    <w:pPr>
                      <w:spacing w:before="0"/>
                      <w:ind w:left="0" w:right="1920" w:firstLine="0"/>
                      <w:jc w:val="left"/>
                      <w:rPr>
                        <w:sz w:val="18"/>
                      </w:rPr>
                    </w:pPr>
                    <w:r>
                      <w:rPr>
                        <w:sz w:val="18"/>
                      </w:rPr>
                      <w:t>Post-Graduate Degree</w:t>
                    </w:r>
                    <w:r>
                      <w:rPr>
                        <w:spacing w:val="-47"/>
                        <w:sz w:val="18"/>
                      </w:rPr>
                      <w:t> </w:t>
                    </w:r>
                    <w:r>
                      <w:rPr>
                        <w:sz w:val="18"/>
                      </w:rPr>
                      <w:t>Other</w:t>
                    </w:r>
                  </w:p>
                  <w:p>
                    <w:pPr>
                      <w:spacing w:before="0"/>
                      <w:ind w:left="0" w:right="0" w:firstLine="0"/>
                      <w:jc w:val="left"/>
                      <w:rPr>
                        <w:sz w:val="18"/>
                      </w:rPr>
                    </w:pPr>
                    <w:r>
                      <w:rPr>
                        <w:sz w:val="18"/>
                      </w:rPr>
                      <w:t>(Refused)</w:t>
                    </w:r>
                  </w:p>
                </w:txbxContent>
              </v:textbox>
              <w10:wrap type="none"/>
            </v:shape>
          </v:group>
        </w:pict>
      </w:r>
      <w:r>
        <w:rPr/>
      </w:r>
    </w:p>
    <w:p>
      <w:pPr>
        <w:pStyle w:val="BodyText"/>
        <w:spacing w:before="8"/>
        <w:rPr>
          <w:sz w:val="9"/>
        </w:rPr>
      </w:pPr>
    </w:p>
    <w:p>
      <w:pPr>
        <w:spacing w:before="100"/>
        <w:ind w:left="420" w:right="0" w:firstLine="0"/>
        <w:jc w:val="left"/>
        <w:rPr>
          <w:b/>
          <w:sz w:val="18"/>
        </w:rPr>
      </w:pPr>
      <w:r>
        <w:rPr>
          <w:b/>
          <w:sz w:val="18"/>
        </w:rPr>
        <w:t>Computer</w:t>
      </w:r>
      <w:r>
        <w:rPr>
          <w:b/>
          <w:spacing w:val="-3"/>
          <w:sz w:val="18"/>
        </w:rPr>
        <w:t> </w:t>
      </w:r>
      <w:r>
        <w:rPr>
          <w:b/>
          <w:sz w:val="18"/>
        </w:rPr>
        <w:t>assisted</w:t>
      </w:r>
      <w:r>
        <w:rPr>
          <w:b/>
          <w:spacing w:val="-3"/>
          <w:sz w:val="18"/>
        </w:rPr>
        <w:t> </w:t>
      </w:r>
      <w:r>
        <w:rPr>
          <w:b/>
          <w:sz w:val="18"/>
        </w:rPr>
        <w:t>telephone</w:t>
      </w:r>
      <w:r>
        <w:rPr>
          <w:b/>
          <w:spacing w:val="-4"/>
          <w:sz w:val="18"/>
        </w:rPr>
        <w:t> </w:t>
      </w:r>
      <w:r>
        <w:rPr>
          <w:b/>
          <w:sz w:val="18"/>
        </w:rPr>
        <w:t>interview</w:t>
      </w:r>
      <w:r>
        <w:rPr>
          <w:b/>
          <w:spacing w:val="-3"/>
          <w:sz w:val="18"/>
        </w:rPr>
        <w:t> </w:t>
      </w:r>
      <w:r>
        <w:rPr>
          <w:b/>
          <w:sz w:val="18"/>
        </w:rPr>
        <w:t>operator</w:t>
      </w:r>
      <w:r>
        <w:rPr>
          <w:b/>
          <w:spacing w:val="-4"/>
          <w:sz w:val="18"/>
        </w:rPr>
        <w:t> </w:t>
      </w:r>
      <w:r>
        <w:rPr>
          <w:b/>
          <w:sz w:val="18"/>
        </w:rPr>
        <w:t>closing</w:t>
      </w:r>
      <w:r>
        <w:rPr>
          <w:b/>
          <w:spacing w:val="-3"/>
          <w:sz w:val="18"/>
        </w:rPr>
        <w:t> </w:t>
      </w:r>
      <w:r>
        <w:rPr>
          <w:b/>
          <w:sz w:val="18"/>
        </w:rPr>
        <w:t>questions</w:t>
      </w:r>
      <w:r>
        <w:rPr>
          <w:b/>
          <w:spacing w:val="-3"/>
          <w:sz w:val="18"/>
        </w:rPr>
        <w:t> </w:t>
      </w:r>
      <w:r>
        <w:rPr>
          <w:b/>
          <w:sz w:val="18"/>
        </w:rPr>
        <w:t>and</w:t>
      </w:r>
      <w:r>
        <w:rPr>
          <w:b/>
          <w:spacing w:val="-3"/>
          <w:sz w:val="18"/>
        </w:rPr>
        <w:t> </w:t>
      </w:r>
      <w:r>
        <w:rPr>
          <w:b/>
          <w:sz w:val="18"/>
        </w:rPr>
        <w:t>script</w:t>
      </w:r>
    </w:p>
    <w:p>
      <w:pPr>
        <w:pStyle w:val="BodyText"/>
        <w:rPr>
          <w:b/>
          <w:sz w:val="19"/>
        </w:rPr>
      </w:pPr>
    </w:p>
    <w:p>
      <w:pPr>
        <w:spacing w:before="0"/>
        <w:ind w:left="420" w:right="0" w:firstLine="0"/>
        <w:jc w:val="left"/>
        <w:rPr>
          <w:sz w:val="18"/>
        </w:rPr>
      </w:pPr>
      <w:r>
        <w:rPr>
          <w:sz w:val="18"/>
        </w:rPr>
        <w:t>Close</w:t>
      </w:r>
      <w:r>
        <w:rPr>
          <w:spacing w:val="-1"/>
          <w:sz w:val="18"/>
        </w:rPr>
        <w:t> </w:t>
      </w:r>
      <w:r>
        <w:rPr>
          <w:sz w:val="18"/>
        </w:rPr>
        <w:t>Q1</w:t>
      </w:r>
    </w:p>
    <w:p>
      <w:pPr>
        <w:spacing w:line="300" w:lineRule="auto" w:before="56"/>
        <w:ind w:left="1030" w:right="729" w:firstLine="0"/>
        <w:jc w:val="left"/>
        <w:rPr>
          <w:sz w:val="18"/>
        </w:rPr>
      </w:pPr>
      <w:r>
        <w:rPr>
          <w:sz w:val="18"/>
        </w:rPr>
        <w:t>Health Policy Analysis may like to invite you to participate in a follow up Face-to-face interview to help them</w:t>
      </w:r>
      <w:r>
        <w:rPr>
          <w:spacing w:val="1"/>
          <w:sz w:val="18"/>
        </w:rPr>
        <w:t> </w:t>
      </w:r>
      <w:r>
        <w:rPr>
          <w:sz w:val="18"/>
        </w:rPr>
        <w:t>understand</w:t>
      </w:r>
      <w:r>
        <w:rPr>
          <w:spacing w:val="-4"/>
          <w:sz w:val="18"/>
        </w:rPr>
        <w:t> </w:t>
      </w:r>
      <w:r>
        <w:rPr>
          <w:sz w:val="18"/>
        </w:rPr>
        <w:t>your</w:t>
      </w:r>
      <w:r>
        <w:rPr>
          <w:spacing w:val="-2"/>
          <w:sz w:val="18"/>
        </w:rPr>
        <w:t> </w:t>
      </w:r>
      <w:r>
        <w:rPr>
          <w:sz w:val="18"/>
        </w:rPr>
        <w:t>experience.</w:t>
      </w:r>
      <w:r>
        <w:rPr>
          <w:spacing w:val="-4"/>
          <w:sz w:val="18"/>
        </w:rPr>
        <w:t> </w:t>
      </w:r>
      <w:r>
        <w:rPr>
          <w:sz w:val="18"/>
        </w:rPr>
        <w:t>The</w:t>
      </w:r>
      <w:r>
        <w:rPr>
          <w:spacing w:val="-2"/>
          <w:sz w:val="18"/>
        </w:rPr>
        <w:t> </w:t>
      </w:r>
      <w:r>
        <w:rPr>
          <w:sz w:val="18"/>
        </w:rPr>
        <w:t>interview</w:t>
      </w:r>
      <w:r>
        <w:rPr>
          <w:spacing w:val="-3"/>
          <w:sz w:val="18"/>
        </w:rPr>
        <w:t> </w:t>
      </w:r>
      <w:r>
        <w:rPr>
          <w:sz w:val="18"/>
        </w:rPr>
        <w:t>will</w:t>
      </w:r>
      <w:r>
        <w:rPr>
          <w:spacing w:val="-3"/>
          <w:sz w:val="18"/>
        </w:rPr>
        <w:t> </w:t>
      </w:r>
      <w:r>
        <w:rPr>
          <w:sz w:val="18"/>
        </w:rPr>
        <w:t>take</w:t>
      </w:r>
      <w:r>
        <w:rPr>
          <w:spacing w:val="-4"/>
          <w:sz w:val="18"/>
        </w:rPr>
        <w:t> </w:t>
      </w:r>
      <w:r>
        <w:rPr>
          <w:sz w:val="18"/>
        </w:rPr>
        <w:t>about</w:t>
      </w:r>
      <w:r>
        <w:rPr>
          <w:spacing w:val="-4"/>
          <w:sz w:val="18"/>
        </w:rPr>
        <w:t> </w:t>
      </w:r>
      <w:r>
        <w:rPr>
          <w:sz w:val="18"/>
        </w:rPr>
        <w:t>30</w:t>
      </w:r>
      <w:r>
        <w:rPr>
          <w:spacing w:val="-2"/>
          <w:sz w:val="18"/>
        </w:rPr>
        <w:t> </w:t>
      </w:r>
      <w:r>
        <w:rPr>
          <w:sz w:val="18"/>
        </w:rPr>
        <w:t>minutes.</w:t>
      </w:r>
      <w:r>
        <w:rPr>
          <w:spacing w:val="-6"/>
          <w:sz w:val="18"/>
        </w:rPr>
        <w:t> </w:t>
      </w:r>
      <w:r>
        <w:rPr>
          <w:sz w:val="18"/>
        </w:rPr>
        <w:t>If</w:t>
      </w:r>
      <w:r>
        <w:rPr>
          <w:spacing w:val="-2"/>
          <w:sz w:val="18"/>
        </w:rPr>
        <w:t> </w:t>
      </w:r>
      <w:r>
        <w:rPr>
          <w:sz w:val="18"/>
        </w:rPr>
        <w:t>this</w:t>
      </w:r>
      <w:r>
        <w:rPr>
          <w:spacing w:val="-3"/>
          <w:sz w:val="18"/>
        </w:rPr>
        <w:t> </w:t>
      </w:r>
      <w:r>
        <w:rPr>
          <w:sz w:val="18"/>
        </w:rPr>
        <w:t>goes</w:t>
      </w:r>
      <w:r>
        <w:rPr>
          <w:spacing w:val="-3"/>
          <w:sz w:val="18"/>
        </w:rPr>
        <w:t> </w:t>
      </w:r>
      <w:r>
        <w:rPr>
          <w:sz w:val="18"/>
        </w:rPr>
        <w:t>ahead,</w:t>
      </w:r>
      <w:r>
        <w:rPr>
          <w:spacing w:val="-4"/>
          <w:sz w:val="18"/>
        </w:rPr>
        <w:t> </w:t>
      </w:r>
      <w:r>
        <w:rPr>
          <w:sz w:val="18"/>
        </w:rPr>
        <w:t>would</w:t>
      </w:r>
      <w:r>
        <w:rPr>
          <w:spacing w:val="-3"/>
          <w:sz w:val="18"/>
        </w:rPr>
        <w:t> </w:t>
      </w:r>
      <w:r>
        <w:rPr>
          <w:sz w:val="18"/>
        </w:rPr>
        <w:t>you</w:t>
      </w:r>
      <w:r>
        <w:rPr>
          <w:spacing w:val="-2"/>
          <w:sz w:val="18"/>
        </w:rPr>
        <w:t> </w:t>
      </w:r>
      <w:r>
        <w:rPr>
          <w:sz w:val="18"/>
        </w:rPr>
        <w:t>be</w:t>
      </w:r>
      <w:r>
        <w:rPr>
          <w:spacing w:val="-2"/>
          <w:sz w:val="18"/>
        </w:rPr>
        <w:t> </w:t>
      </w:r>
      <w:r>
        <w:rPr>
          <w:sz w:val="18"/>
        </w:rPr>
        <w:t>happy for</w:t>
      </w:r>
      <w:r>
        <w:rPr>
          <w:spacing w:val="1"/>
          <w:sz w:val="18"/>
        </w:rPr>
        <w:t> </w:t>
      </w:r>
      <w:r>
        <w:rPr>
          <w:sz w:val="18"/>
        </w:rPr>
        <w:t>us</w:t>
      </w:r>
      <w:r>
        <w:rPr>
          <w:spacing w:val="-2"/>
          <w:sz w:val="18"/>
        </w:rPr>
        <w:t> </w:t>
      </w:r>
      <w:r>
        <w:rPr>
          <w:sz w:val="18"/>
        </w:rPr>
        <w:t>to re-contact</w:t>
      </w:r>
      <w:r>
        <w:rPr>
          <w:spacing w:val="-2"/>
          <w:sz w:val="18"/>
        </w:rPr>
        <w:t> </w:t>
      </w:r>
      <w:r>
        <w:rPr>
          <w:sz w:val="18"/>
        </w:rPr>
        <w:t>you?</w:t>
      </w:r>
    </w:p>
    <w:p>
      <w:pPr>
        <w:pStyle w:val="ListParagraph"/>
        <w:numPr>
          <w:ilvl w:val="1"/>
          <w:numId w:val="198"/>
        </w:numPr>
        <w:tabs>
          <w:tab w:pos="1860" w:val="left" w:leader="none"/>
          <w:tab w:pos="1861" w:val="left" w:leader="none"/>
        </w:tabs>
        <w:spacing w:line="240" w:lineRule="auto" w:before="0" w:after="0"/>
        <w:ind w:left="1860" w:right="0" w:hanging="450"/>
        <w:jc w:val="left"/>
        <w:rPr>
          <w:sz w:val="18"/>
        </w:rPr>
      </w:pPr>
      <w:r>
        <w:rPr>
          <w:sz w:val="18"/>
        </w:rPr>
        <w:t>Yes</w:t>
      </w:r>
    </w:p>
    <w:p>
      <w:pPr>
        <w:pStyle w:val="ListParagraph"/>
        <w:numPr>
          <w:ilvl w:val="1"/>
          <w:numId w:val="198"/>
        </w:numPr>
        <w:tabs>
          <w:tab w:pos="1860" w:val="left" w:leader="none"/>
          <w:tab w:pos="1861" w:val="left" w:leader="none"/>
        </w:tabs>
        <w:spacing w:line="240" w:lineRule="auto" w:before="0" w:after="0"/>
        <w:ind w:left="1860" w:right="0" w:hanging="450"/>
        <w:jc w:val="left"/>
        <w:rPr>
          <w:sz w:val="18"/>
        </w:rPr>
      </w:pPr>
      <w:r>
        <w:rPr>
          <w:sz w:val="18"/>
        </w:rPr>
        <w:t>No</w:t>
      </w:r>
    </w:p>
    <w:p>
      <w:pPr>
        <w:pStyle w:val="BodyText"/>
        <w:spacing w:before="7"/>
        <w:rPr>
          <w:sz w:val="19"/>
        </w:rPr>
      </w:pPr>
    </w:p>
    <w:p>
      <w:pPr>
        <w:spacing w:before="0"/>
        <w:ind w:left="420" w:right="0" w:firstLine="0"/>
        <w:jc w:val="left"/>
        <w:rPr>
          <w:sz w:val="18"/>
        </w:rPr>
      </w:pPr>
      <w:r>
        <w:rPr>
          <w:sz w:val="18"/>
        </w:rPr>
        <w:t>If</w:t>
      </w:r>
      <w:r>
        <w:rPr>
          <w:spacing w:val="-4"/>
          <w:sz w:val="18"/>
        </w:rPr>
        <w:t> </w:t>
      </w:r>
      <w:r>
        <w:rPr>
          <w:sz w:val="18"/>
        </w:rPr>
        <w:t>yes</w:t>
      </w:r>
      <w:r>
        <w:rPr>
          <w:spacing w:val="-3"/>
          <w:sz w:val="18"/>
        </w:rPr>
        <w:t> </w:t>
      </w:r>
      <w:r>
        <w:rPr>
          <w:sz w:val="18"/>
        </w:rPr>
        <w:t>to</w:t>
      </w:r>
      <w:r>
        <w:rPr>
          <w:spacing w:val="-1"/>
          <w:sz w:val="18"/>
        </w:rPr>
        <w:t> </w:t>
      </w:r>
      <w:r>
        <w:rPr>
          <w:sz w:val="18"/>
        </w:rPr>
        <w:t>close</w:t>
      </w:r>
      <w:r>
        <w:rPr>
          <w:spacing w:val="-2"/>
          <w:sz w:val="18"/>
        </w:rPr>
        <w:t> </w:t>
      </w:r>
      <w:r>
        <w:rPr>
          <w:sz w:val="18"/>
        </w:rPr>
        <w:t>Q1,</w:t>
      </w:r>
      <w:r>
        <w:rPr>
          <w:spacing w:val="-3"/>
          <w:sz w:val="18"/>
        </w:rPr>
        <w:t> </w:t>
      </w:r>
      <w:r>
        <w:rPr>
          <w:sz w:val="18"/>
        </w:rPr>
        <w:t>else</w:t>
      </w:r>
      <w:r>
        <w:rPr>
          <w:spacing w:val="-4"/>
          <w:sz w:val="18"/>
        </w:rPr>
        <w:t> </w:t>
      </w:r>
      <w:r>
        <w:rPr>
          <w:sz w:val="18"/>
        </w:rPr>
        <w:t>closing</w:t>
      </w:r>
      <w:r>
        <w:rPr>
          <w:spacing w:val="-4"/>
          <w:sz w:val="18"/>
        </w:rPr>
        <w:t> </w:t>
      </w:r>
      <w:r>
        <w:rPr>
          <w:sz w:val="18"/>
        </w:rPr>
        <w:t>script.</w:t>
      </w:r>
    </w:p>
    <w:p>
      <w:pPr>
        <w:pStyle w:val="BodyText"/>
        <w:spacing w:before="1"/>
        <w:rPr>
          <w:sz w:val="24"/>
        </w:rPr>
      </w:pPr>
    </w:p>
    <w:p>
      <w:pPr>
        <w:spacing w:before="0"/>
        <w:ind w:left="420" w:right="0" w:firstLine="0"/>
        <w:jc w:val="left"/>
        <w:rPr>
          <w:sz w:val="18"/>
        </w:rPr>
      </w:pPr>
      <w:r>
        <w:rPr>
          <w:sz w:val="18"/>
        </w:rPr>
        <w:t>Close</w:t>
      </w:r>
      <w:r>
        <w:rPr>
          <w:spacing w:val="-3"/>
          <w:sz w:val="18"/>
        </w:rPr>
        <w:t> </w:t>
      </w:r>
      <w:r>
        <w:rPr>
          <w:sz w:val="18"/>
        </w:rPr>
        <w:t>Q2.</w:t>
      </w:r>
      <w:r>
        <w:rPr>
          <w:spacing w:val="-4"/>
          <w:sz w:val="18"/>
        </w:rPr>
        <w:t> </w:t>
      </w:r>
      <w:r>
        <w:rPr>
          <w:sz w:val="18"/>
        </w:rPr>
        <w:t>Great.</w:t>
      </w:r>
      <w:r>
        <w:rPr>
          <w:spacing w:val="-4"/>
          <w:sz w:val="18"/>
        </w:rPr>
        <w:t> </w:t>
      </w:r>
      <w:r>
        <w:rPr>
          <w:sz w:val="18"/>
        </w:rPr>
        <w:t>Just</w:t>
      </w:r>
      <w:r>
        <w:rPr>
          <w:spacing w:val="-2"/>
          <w:sz w:val="18"/>
        </w:rPr>
        <w:t> </w:t>
      </w:r>
      <w:r>
        <w:rPr>
          <w:sz w:val="18"/>
        </w:rPr>
        <w:t>to</w:t>
      </w:r>
      <w:r>
        <w:rPr>
          <w:spacing w:val="-2"/>
          <w:sz w:val="18"/>
        </w:rPr>
        <w:t> </w:t>
      </w:r>
      <w:r>
        <w:rPr>
          <w:sz w:val="18"/>
        </w:rPr>
        <w:t>confirm,</w:t>
      </w:r>
      <w:r>
        <w:rPr>
          <w:spacing w:val="-4"/>
          <w:sz w:val="18"/>
        </w:rPr>
        <w:t> </w:t>
      </w:r>
      <w:r>
        <w:rPr>
          <w:sz w:val="18"/>
        </w:rPr>
        <w:t>what’s</w:t>
      </w:r>
      <w:r>
        <w:rPr>
          <w:spacing w:val="-4"/>
          <w:sz w:val="18"/>
        </w:rPr>
        <w:t> </w:t>
      </w:r>
      <w:r>
        <w:rPr>
          <w:sz w:val="18"/>
        </w:rPr>
        <w:t>your</w:t>
      </w:r>
      <w:r>
        <w:rPr>
          <w:spacing w:val="-1"/>
          <w:sz w:val="18"/>
        </w:rPr>
        <w:t> </w:t>
      </w:r>
      <w:r>
        <w:rPr>
          <w:sz w:val="18"/>
        </w:rPr>
        <w:t>preferred</w:t>
      </w:r>
      <w:r>
        <w:rPr>
          <w:spacing w:val="-3"/>
          <w:sz w:val="18"/>
        </w:rPr>
        <w:t> </w:t>
      </w:r>
      <w:r>
        <w:rPr>
          <w:sz w:val="18"/>
        </w:rPr>
        <w:t>contact</w:t>
      </w:r>
      <w:r>
        <w:rPr>
          <w:spacing w:val="-5"/>
          <w:sz w:val="18"/>
        </w:rPr>
        <w:t> </w:t>
      </w:r>
      <w:r>
        <w:rPr>
          <w:sz w:val="18"/>
        </w:rPr>
        <w:t>number?</w:t>
      </w:r>
    </w:p>
    <w:p>
      <w:pPr>
        <w:pStyle w:val="BodyText"/>
        <w:spacing w:before="9"/>
      </w:pPr>
    </w:p>
    <w:p>
      <w:pPr>
        <w:spacing w:before="1"/>
        <w:ind w:left="1411" w:right="0" w:firstLine="0"/>
        <w:jc w:val="left"/>
        <w:rPr>
          <w:sz w:val="18"/>
        </w:rPr>
      </w:pPr>
      <w:r>
        <w:rPr>
          <w:sz w:val="18"/>
        </w:rPr>
        <w:t>Main:</w:t>
      </w:r>
      <w:r>
        <w:rPr>
          <w:spacing w:val="-6"/>
          <w:sz w:val="18"/>
        </w:rPr>
        <w:t> </w:t>
      </w:r>
      <w:r>
        <w:rPr>
          <w:sz w:val="18"/>
        </w:rPr>
        <w:t>[DISPLAY</w:t>
      </w:r>
      <w:r>
        <w:rPr>
          <w:spacing w:val="-4"/>
          <w:sz w:val="18"/>
        </w:rPr>
        <w:t> </w:t>
      </w:r>
      <w:r>
        <w:rPr>
          <w:sz w:val="18"/>
        </w:rPr>
        <w:t>PHONENUMBER]</w:t>
      </w:r>
    </w:p>
    <w:p>
      <w:pPr>
        <w:pStyle w:val="BodyText"/>
        <w:rPr>
          <w:sz w:val="19"/>
        </w:rPr>
      </w:pPr>
    </w:p>
    <w:p>
      <w:pPr>
        <w:spacing w:before="0"/>
        <w:ind w:left="1411" w:right="0" w:firstLine="0"/>
        <w:jc w:val="left"/>
        <w:rPr>
          <w:sz w:val="18"/>
        </w:rPr>
      </w:pPr>
      <w:r>
        <w:rPr>
          <w:sz w:val="18"/>
        </w:rPr>
        <w:t>Secondary:</w:t>
      </w:r>
      <w:r>
        <w:rPr>
          <w:spacing w:val="-9"/>
          <w:sz w:val="18"/>
        </w:rPr>
        <w:t> </w:t>
      </w:r>
      <w:r>
        <w:rPr>
          <w:sz w:val="18"/>
        </w:rPr>
        <w:t>[DISPLAY</w:t>
      </w:r>
      <w:r>
        <w:rPr>
          <w:spacing w:val="-1"/>
          <w:sz w:val="18"/>
        </w:rPr>
        <w:t> </w:t>
      </w:r>
      <w:r>
        <w:rPr>
          <w:sz w:val="18"/>
        </w:rPr>
        <w:t>ALTNUM1]</w:t>
      </w:r>
    </w:p>
    <w:p>
      <w:pPr>
        <w:pStyle w:val="BodyText"/>
        <w:spacing w:before="2"/>
        <w:rPr>
          <w:sz w:val="19"/>
        </w:rPr>
      </w:pPr>
    </w:p>
    <w:p>
      <w:pPr>
        <w:spacing w:before="0"/>
        <w:ind w:left="420" w:right="0" w:firstLine="0"/>
        <w:jc w:val="left"/>
        <w:rPr>
          <w:b/>
          <w:sz w:val="18"/>
        </w:rPr>
      </w:pPr>
      <w:r>
        <w:rPr>
          <w:b/>
          <w:sz w:val="18"/>
        </w:rPr>
        <w:t>Closing</w:t>
      </w:r>
      <w:r>
        <w:rPr>
          <w:b/>
          <w:spacing w:val="-1"/>
          <w:sz w:val="18"/>
        </w:rPr>
        <w:t> </w:t>
      </w:r>
      <w:r>
        <w:rPr>
          <w:b/>
          <w:sz w:val="18"/>
        </w:rPr>
        <w:t>script</w:t>
      </w:r>
    </w:p>
    <w:p>
      <w:pPr>
        <w:pStyle w:val="BodyText"/>
        <w:rPr>
          <w:b/>
          <w:sz w:val="19"/>
        </w:rPr>
      </w:pPr>
    </w:p>
    <w:p>
      <w:pPr>
        <w:spacing w:line="276" w:lineRule="auto" w:before="0"/>
        <w:ind w:left="420" w:right="921" w:firstLine="0"/>
        <w:jc w:val="left"/>
        <w:rPr>
          <w:sz w:val="18"/>
        </w:rPr>
      </w:pPr>
      <w:r>
        <w:rPr>
          <w:sz w:val="18"/>
        </w:rPr>
        <w:t>That is the end of the survey, thank very much for your time. Just in case you missed it, my name is [INT] from the Social</w:t>
      </w:r>
      <w:r>
        <w:rPr>
          <w:spacing w:val="-47"/>
          <w:sz w:val="18"/>
        </w:rPr>
        <w:t> </w:t>
      </w:r>
      <w:r>
        <w:rPr>
          <w:sz w:val="18"/>
        </w:rPr>
        <w:t>Research Centre and this survey was conducted on behalf of Health Policy Analysis and the Australian Government’s</w:t>
      </w:r>
      <w:r>
        <w:rPr>
          <w:spacing w:val="1"/>
          <w:sz w:val="18"/>
        </w:rPr>
        <w:t> </w:t>
      </w:r>
      <w:r>
        <w:rPr>
          <w:sz w:val="18"/>
        </w:rPr>
        <w:t>Department</w:t>
      </w:r>
      <w:r>
        <w:rPr>
          <w:spacing w:val="-3"/>
          <w:sz w:val="18"/>
        </w:rPr>
        <w:t> </w:t>
      </w:r>
      <w:r>
        <w:rPr>
          <w:sz w:val="18"/>
        </w:rPr>
        <w:t>of</w:t>
      </w:r>
      <w:r>
        <w:rPr>
          <w:spacing w:val="1"/>
          <w:sz w:val="18"/>
        </w:rPr>
        <w:t> </w:t>
      </w:r>
      <w:r>
        <w:rPr>
          <w:sz w:val="18"/>
        </w:rPr>
        <w:t>Health.</w:t>
      </w:r>
    </w:p>
    <w:p>
      <w:pPr>
        <w:pStyle w:val="BodyText"/>
        <w:spacing w:before="2"/>
        <w:rPr>
          <w:sz w:val="16"/>
        </w:rPr>
      </w:pPr>
    </w:p>
    <w:p>
      <w:pPr>
        <w:spacing w:line="276" w:lineRule="auto" w:before="1"/>
        <w:ind w:left="420" w:right="798" w:firstLine="0"/>
        <w:jc w:val="left"/>
        <w:rPr>
          <w:sz w:val="18"/>
        </w:rPr>
      </w:pPr>
      <w:r>
        <w:rPr/>
        <w:pict>
          <v:rect style="position:absolute;margin-left:60.959999pt;margin-top:35.382683pt;width:130.610000pt;height:.48004pt;mso-position-horizontal-relative:page;mso-position-vertical-relative:paragraph;z-index:-27097088" id="docshape325" filled="true" fillcolor="#0000ff" stroked="false">
            <v:fill type="solid"/>
            <w10:wrap type="none"/>
          </v:rect>
        </w:pict>
      </w:r>
      <w:r>
        <w:rPr>
          <w:sz w:val="18"/>
        </w:rPr>
        <w:t>If you would like any further information about this survey or the evaluation, please contact Health Policy Analysis.</w:t>
      </w:r>
      <w:r>
        <w:rPr>
          <w:spacing w:val="1"/>
          <w:sz w:val="18"/>
        </w:rPr>
        <w:t> </w:t>
      </w:r>
      <w:r>
        <w:rPr>
          <w:sz w:val="18"/>
        </w:rPr>
        <w:t>Would</w:t>
      </w:r>
      <w:r>
        <w:rPr>
          <w:spacing w:val="-3"/>
          <w:sz w:val="18"/>
        </w:rPr>
        <w:t> </w:t>
      </w:r>
      <w:r>
        <w:rPr>
          <w:sz w:val="18"/>
        </w:rPr>
        <w:t>you</w:t>
      </w:r>
      <w:r>
        <w:rPr>
          <w:spacing w:val="-2"/>
          <w:sz w:val="18"/>
        </w:rPr>
        <w:t> </w:t>
      </w:r>
      <w:r>
        <w:rPr>
          <w:sz w:val="18"/>
        </w:rPr>
        <w:t>like</w:t>
      </w:r>
      <w:r>
        <w:rPr>
          <w:spacing w:val="-2"/>
          <w:sz w:val="18"/>
        </w:rPr>
        <w:t> </w:t>
      </w:r>
      <w:r>
        <w:rPr>
          <w:sz w:val="18"/>
        </w:rPr>
        <w:t>a</w:t>
      </w:r>
      <w:r>
        <w:rPr>
          <w:spacing w:val="-4"/>
          <w:sz w:val="18"/>
        </w:rPr>
        <w:t> </w:t>
      </w:r>
      <w:r>
        <w:rPr>
          <w:sz w:val="18"/>
        </w:rPr>
        <w:t>contact</w:t>
      </w:r>
      <w:r>
        <w:rPr>
          <w:spacing w:val="-4"/>
          <w:sz w:val="18"/>
        </w:rPr>
        <w:t> </w:t>
      </w:r>
      <w:r>
        <w:rPr>
          <w:sz w:val="18"/>
        </w:rPr>
        <w:t>number</w:t>
      </w:r>
      <w:r>
        <w:rPr>
          <w:spacing w:val="-1"/>
          <w:sz w:val="18"/>
        </w:rPr>
        <w:t> </w:t>
      </w:r>
      <w:r>
        <w:rPr>
          <w:sz w:val="18"/>
        </w:rPr>
        <w:t>or</w:t>
      </w:r>
      <w:r>
        <w:rPr>
          <w:spacing w:val="-1"/>
          <w:sz w:val="18"/>
        </w:rPr>
        <w:t> </w:t>
      </w:r>
      <w:r>
        <w:rPr>
          <w:sz w:val="18"/>
        </w:rPr>
        <w:t>email</w:t>
      </w:r>
      <w:r>
        <w:rPr>
          <w:spacing w:val="-2"/>
          <w:sz w:val="18"/>
        </w:rPr>
        <w:t> </w:t>
      </w:r>
      <w:r>
        <w:rPr>
          <w:sz w:val="18"/>
        </w:rPr>
        <w:t>address</w:t>
      </w:r>
      <w:r>
        <w:rPr>
          <w:spacing w:val="-3"/>
          <w:sz w:val="18"/>
        </w:rPr>
        <w:t> </w:t>
      </w:r>
      <w:r>
        <w:rPr>
          <w:sz w:val="18"/>
        </w:rPr>
        <w:t>to</w:t>
      </w:r>
      <w:r>
        <w:rPr>
          <w:spacing w:val="-2"/>
          <w:sz w:val="18"/>
        </w:rPr>
        <w:t> </w:t>
      </w:r>
      <w:r>
        <w:rPr>
          <w:sz w:val="18"/>
        </w:rPr>
        <w:t>contact</w:t>
      </w:r>
      <w:r>
        <w:rPr>
          <w:spacing w:val="-4"/>
          <w:sz w:val="18"/>
        </w:rPr>
        <w:t> </w:t>
      </w:r>
      <w:r>
        <w:rPr>
          <w:sz w:val="18"/>
        </w:rPr>
        <w:t>them</w:t>
      </w:r>
      <w:r>
        <w:rPr>
          <w:spacing w:val="-6"/>
          <w:sz w:val="18"/>
        </w:rPr>
        <w:t> </w:t>
      </w:r>
      <w:r>
        <w:rPr>
          <w:sz w:val="18"/>
        </w:rPr>
        <w:t>on?</w:t>
      </w:r>
      <w:r>
        <w:rPr>
          <w:spacing w:val="2"/>
          <w:sz w:val="18"/>
        </w:rPr>
        <w:t> </w:t>
      </w:r>
      <w:r>
        <w:rPr>
          <w:sz w:val="18"/>
        </w:rPr>
        <w:t>(READ OUT AS</w:t>
      </w:r>
      <w:r>
        <w:rPr>
          <w:spacing w:val="-3"/>
          <w:sz w:val="18"/>
        </w:rPr>
        <w:t> </w:t>
      </w:r>
      <w:r>
        <w:rPr>
          <w:sz w:val="18"/>
        </w:rPr>
        <w:t>REQUIRED:</w:t>
      </w:r>
      <w:r>
        <w:rPr>
          <w:spacing w:val="-4"/>
          <w:sz w:val="18"/>
        </w:rPr>
        <w:t> </w:t>
      </w:r>
      <w:r>
        <w:rPr>
          <w:sz w:val="18"/>
        </w:rPr>
        <w:t>Jim</w:t>
      </w:r>
      <w:r>
        <w:rPr>
          <w:spacing w:val="-6"/>
          <w:sz w:val="18"/>
        </w:rPr>
        <w:t> </w:t>
      </w:r>
      <w:r>
        <w:rPr>
          <w:sz w:val="18"/>
        </w:rPr>
        <w:t>Pearse,</w:t>
      </w:r>
      <w:r>
        <w:rPr>
          <w:spacing w:val="-1"/>
          <w:sz w:val="18"/>
        </w:rPr>
        <w:t> </w:t>
      </w:r>
      <w:r>
        <w:rPr>
          <w:sz w:val="18"/>
        </w:rPr>
        <w:t>(02)</w:t>
      </w:r>
      <w:r>
        <w:rPr>
          <w:spacing w:val="-3"/>
          <w:sz w:val="18"/>
        </w:rPr>
        <w:t> </w:t>
      </w:r>
      <w:r>
        <w:rPr>
          <w:sz w:val="18"/>
        </w:rPr>
        <w:t>8065</w:t>
      </w:r>
      <w:r>
        <w:rPr>
          <w:spacing w:val="1"/>
          <w:sz w:val="18"/>
        </w:rPr>
        <w:t> </w:t>
      </w:r>
      <w:r>
        <w:rPr>
          <w:sz w:val="18"/>
        </w:rPr>
        <w:t>6491,</w:t>
      </w:r>
      <w:r>
        <w:rPr>
          <w:spacing w:val="-2"/>
          <w:sz w:val="18"/>
        </w:rPr>
        <w:t> </w:t>
      </w:r>
      <w:hyperlink r:id="rId61">
        <w:r>
          <w:rPr>
            <w:color w:val="0000FF"/>
            <w:sz w:val="18"/>
          </w:rPr>
          <w:t>jpearse@healthpolicy.com.au</w:t>
        </w:r>
      </w:hyperlink>
      <w:r>
        <w:rPr>
          <w:sz w:val="18"/>
        </w:rPr>
        <w:t>)</w:t>
      </w:r>
    </w:p>
    <w:p>
      <w:pPr>
        <w:pStyle w:val="BodyText"/>
        <w:spacing w:before="2"/>
        <w:rPr>
          <w:sz w:val="8"/>
        </w:rPr>
      </w:pPr>
    </w:p>
    <w:p>
      <w:pPr>
        <w:spacing w:line="278" w:lineRule="auto" w:before="101"/>
        <w:ind w:left="420" w:right="798" w:firstLine="0"/>
        <w:jc w:val="left"/>
        <w:rPr>
          <w:sz w:val="18"/>
        </w:rPr>
      </w:pPr>
      <w:r>
        <w:rPr>
          <w:sz w:val="18"/>
        </w:rPr>
        <w:t>If</w:t>
      </w:r>
      <w:r>
        <w:rPr>
          <w:spacing w:val="-5"/>
          <w:sz w:val="18"/>
        </w:rPr>
        <w:t> </w:t>
      </w:r>
      <w:r>
        <w:rPr>
          <w:sz w:val="18"/>
        </w:rPr>
        <w:t>you</w:t>
      </w:r>
      <w:r>
        <w:rPr>
          <w:spacing w:val="-2"/>
          <w:sz w:val="18"/>
        </w:rPr>
        <w:t> </w:t>
      </w:r>
      <w:r>
        <w:rPr>
          <w:sz w:val="18"/>
        </w:rPr>
        <w:t>have</w:t>
      </w:r>
      <w:r>
        <w:rPr>
          <w:spacing w:val="-3"/>
          <w:sz w:val="18"/>
        </w:rPr>
        <w:t> </w:t>
      </w:r>
      <w:r>
        <w:rPr>
          <w:sz w:val="18"/>
        </w:rPr>
        <w:t>any</w:t>
      </w:r>
      <w:r>
        <w:rPr>
          <w:spacing w:val="-3"/>
          <w:sz w:val="18"/>
        </w:rPr>
        <w:t> </w:t>
      </w:r>
      <w:r>
        <w:rPr>
          <w:sz w:val="18"/>
        </w:rPr>
        <w:t>questions</w:t>
      </w:r>
      <w:r>
        <w:rPr>
          <w:spacing w:val="-5"/>
          <w:sz w:val="18"/>
        </w:rPr>
        <w:t> </w:t>
      </w:r>
      <w:r>
        <w:rPr>
          <w:sz w:val="18"/>
        </w:rPr>
        <w:t>regarding</w:t>
      </w:r>
      <w:r>
        <w:rPr>
          <w:spacing w:val="-4"/>
          <w:sz w:val="18"/>
        </w:rPr>
        <w:t> </w:t>
      </w:r>
      <w:r>
        <w:rPr>
          <w:sz w:val="18"/>
        </w:rPr>
        <w:t>the</w:t>
      </w:r>
      <w:r>
        <w:rPr>
          <w:spacing w:val="-2"/>
          <w:sz w:val="18"/>
        </w:rPr>
        <w:t> </w:t>
      </w:r>
      <w:r>
        <w:rPr>
          <w:sz w:val="18"/>
        </w:rPr>
        <w:t>Health</w:t>
      </w:r>
      <w:r>
        <w:rPr>
          <w:spacing w:val="-3"/>
          <w:sz w:val="18"/>
        </w:rPr>
        <w:t> </w:t>
      </w:r>
      <w:r>
        <w:rPr>
          <w:sz w:val="18"/>
        </w:rPr>
        <w:t>Care</w:t>
      </w:r>
      <w:r>
        <w:rPr>
          <w:spacing w:val="-2"/>
          <w:sz w:val="18"/>
        </w:rPr>
        <w:t> </w:t>
      </w:r>
      <w:r>
        <w:rPr>
          <w:sz w:val="18"/>
        </w:rPr>
        <w:t>Homes</w:t>
      </w:r>
      <w:r>
        <w:rPr>
          <w:spacing w:val="-4"/>
          <w:sz w:val="18"/>
        </w:rPr>
        <w:t> </w:t>
      </w:r>
      <w:r>
        <w:rPr>
          <w:sz w:val="18"/>
        </w:rPr>
        <w:t>program,</w:t>
      </w:r>
      <w:r>
        <w:rPr>
          <w:spacing w:val="-4"/>
          <w:sz w:val="18"/>
        </w:rPr>
        <w:t> </w:t>
      </w:r>
      <w:r>
        <w:rPr>
          <w:sz w:val="18"/>
        </w:rPr>
        <w:t>I can</w:t>
      </w:r>
      <w:r>
        <w:rPr>
          <w:spacing w:val="-2"/>
          <w:sz w:val="18"/>
        </w:rPr>
        <w:t> </w:t>
      </w:r>
      <w:r>
        <w:rPr>
          <w:sz w:val="18"/>
        </w:rPr>
        <w:t>give</w:t>
      </w:r>
      <w:r>
        <w:rPr>
          <w:spacing w:val="-3"/>
          <w:sz w:val="18"/>
        </w:rPr>
        <w:t> </w:t>
      </w:r>
      <w:r>
        <w:rPr>
          <w:sz w:val="18"/>
        </w:rPr>
        <w:t>you</w:t>
      </w:r>
      <w:r>
        <w:rPr>
          <w:spacing w:val="-2"/>
          <w:sz w:val="18"/>
        </w:rPr>
        <w:t> </w:t>
      </w:r>
      <w:r>
        <w:rPr>
          <w:sz w:val="18"/>
        </w:rPr>
        <w:t>an</w:t>
      </w:r>
      <w:r>
        <w:rPr>
          <w:spacing w:val="-3"/>
          <w:sz w:val="18"/>
        </w:rPr>
        <w:t> </w:t>
      </w:r>
      <w:r>
        <w:rPr>
          <w:sz w:val="18"/>
        </w:rPr>
        <w:t>email</w:t>
      </w:r>
      <w:r>
        <w:rPr>
          <w:spacing w:val="-2"/>
          <w:sz w:val="18"/>
        </w:rPr>
        <w:t> </w:t>
      </w:r>
      <w:r>
        <w:rPr>
          <w:sz w:val="18"/>
        </w:rPr>
        <w:t>address?</w:t>
      </w:r>
      <w:r>
        <w:rPr>
          <w:spacing w:val="-2"/>
          <w:sz w:val="18"/>
        </w:rPr>
        <w:t> </w:t>
      </w:r>
      <w:r>
        <w:rPr>
          <w:sz w:val="18"/>
        </w:rPr>
        <w:t>(READ</w:t>
      </w:r>
      <w:r>
        <w:rPr>
          <w:spacing w:val="1"/>
          <w:sz w:val="18"/>
        </w:rPr>
        <w:t> </w:t>
      </w:r>
      <w:r>
        <w:rPr>
          <w:sz w:val="18"/>
        </w:rPr>
        <w:t>OUT</w:t>
      </w:r>
      <w:r>
        <w:rPr>
          <w:spacing w:val="-6"/>
          <w:sz w:val="18"/>
        </w:rPr>
        <w:t> </w:t>
      </w:r>
      <w:r>
        <w:rPr>
          <w:sz w:val="18"/>
        </w:rPr>
        <w:t>IF</w:t>
      </w:r>
      <w:r>
        <w:rPr>
          <w:spacing w:val="1"/>
          <w:sz w:val="18"/>
        </w:rPr>
        <w:t> </w:t>
      </w:r>
      <w:r>
        <w:rPr>
          <w:sz w:val="18"/>
        </w:rPr>
        <w:t>REQUIRED:</w:t>
      </w:r>
      <w:r>
        <w:rPr>
          <w:spacing w:val="-2"/>
          <w:sz w:val="18"/>
        </w:rPr>
        <w:t> </w:t>
      </w:r>
      <w:hyperlink r:id="rId40">
        <w:r>
          <w:rPr>
            <w:color w:val="0000FF"/>
            <w:sz w:val="18"/>
            <w:u w:val="single" w:color="0000FF"/>
          </w:rPr>
          <w:t>healthcarehomes@health.gov.au</w:t>
        </w:r>
      </w:hyperlink>
      <w:r>
        <w:rPr>
          <w:sz w:val="18"/>
        </w:rPr>
        <w:t>)</w:t>
      </w:r>
    </w:p>
    <w:p>
      <w:pPr>
        <w:spacing w:line="276" w:lineRule="auto" w:before="196"/>
        <w:ind w:left="420" w:right="798" w:firstLine="0"/>
        <w:jc w:val="left"/>
        <w:rPr>
          <w:sz w:val="18"/>
        </w:rPr>
      </w:pPr>
      <w:r>
        <w:rPr>
          <w:sz w:val="18"/>
        </w:rPr>
        <w:t>This</w:t>
      </w:r>
      <w:r>
        <w:rPr>
          <w:spacing w:val="-4"/>
          <w:sz w:val="18"/>
        </w:rPr>
        <w:t> </w:t>
      </w:r>
      <w:r>
        <w:rPr>
          <w:sz w:val="18"/>
        </w:rPr>
        <w:t>research</w:t>
      </w:r>
      <w:r>
        <w:rPr>
          <w:spacing w:val="-2"/>
          <w:sz w:val="18"/>
        </w:rPr>
        <w:t> </w:t>
      </w:r>
      <w:r>
        <w:rPr>
          <w:sz w:val="18"/>
        </w:rPr>
        <w:t>study</w:t>
      </w:r>
      <w:r>
        <w:rPr>
          <w:spacing w:val="-4"/>
          <w:sz w:val="18"/>
        </w:rPr>
        <w:t> </w:t>
      </w:r>
      <w:r>
        <w:rPr>
          <w:sz w:val="18"/>
        </w:rPr>
        <w:t>has</w:t>
      </w:r>
      <w:r>
        <w:rPr>
          <w:spacing w:val="-3"/>
          <w:sz w:val="18"/>
        </w:rPr>
        <w:t> </w:t>
      </w:r>
      <w:r>
        <w:rPr>
          <w:sz w:val="18"/>
        </w:rPr>
        <w:t>been</w:t>
      </w:r>
      <w:r>
        <w:rPr>
          <w:spacing w:val="-3"/>
          <w:sz w:val="18"/>
        </w:rPr>
        <w:t> </w:t>
      </w:r>
      <w:r>
        <w:rPr>
          <w:sz w:val="18"/>
        </w:rPr>
        <w:t>carried</w:t>
      </w:r>
      <w:r>
        <w:rPr>
          <w:spacing w:val="-3"/>
          <w:sz w:val="18"/>
        </w:rPr>
        <w:t> </w:t>
      </w:r>
      <w:r>
        <w:rPr>
          <w:sz w:val="18"/>
        </w:rPr>
        <w:t>out</w:t>
      </w:r>
      <w:r>
        <w:rPr>
          <w:spacing w:val="-6"/>
          <w:sz w:val="18"/>
        </w:rPr>
        <w:t> </w:t>
      </w:r>
      <w:r>
        <w:rPr>
          <w:sz w:val="18"/>
        </w:rPr>
        <w:t>in</w:t>
      </w:r>
      <w:r>
        <w:rPr>
          <w:spacing w:val="-4"/>
          <w:sz w:val="18"/>
        </w:rPr>
        <w:t> </w:t>
      </w:r>
      <w:r>
        <w:rPr>
          <w:sz w:val="18"/>
        </w:rPr>
        <w:t>compliance</w:t>
      </w:r>
      <w:r>
        <w:rPr>
          <w:spacing w:val="-4"/>
          <w:sz w:val="18"/>
        </w:rPr>
        <w:t> </w:t>
      </w:r>
      <w:r>
        <w:rPr>
          <w:sz w:val="18"/>
        </w:rPr>
        <w:t>with</w:t>
      </w:r>
      <w:r>
        <w:rPr>
          <w:spacing w:val="-3"/>
          <w:sz w:val="18"/>
        </w:rPr>
        <w:t> </w:t>
      </w:r>
      <w:r>
        <w:rPr>
          <w:sz w:val="18"/>
        </w:rPr>
        <w:t>the</w:t>
      </w:r>
      <w:r>
        <w:rPr>
          <w:spacing w:val="-2"/>
          <w:sz w:val="18"/>
        </w:rPr>
        <w:t> </w:t>
      </w:r>
      <w:r>
        <w:rPr>
          <w:sz w:val="18"/>
        </w:rPr>
        <w:t>Privacy</w:t>
      </w:r>
      <w:r>
        <w:rPr>
          <w:spacing w:val="-1"/>
          <w:sz w:val="18"/>
        </w:rPr>
        <w:t> </w:t>
      </w:r>
      <w:r>
        <w:rPr>
          <w:sz w:val="18"/>
        </w:rPr>
        <w:t>Act</w:t>
      </w:r>
      <w:r>
        <w:rPr>
          <w:spacing w:val="-4"/>
          <w:sz w:val="18"/>
        </w:rPr>
        <w:t> </w:t>
      </w:r>
      <w:r>
        <w:rPr>
          <w:sz w:val="18"/>
        </w:rPr>
        <w:t>and</w:t>
      </w:r>
      <w:r>
        <w:rPr>
          <w:spacing w:val="-4"/>
          <w:sz w:val="18"/>
        </w:rPr>
        <w:t> </w:t>
      </w:r>
      <w:r>
        <w:rPr>
          <w:sz w:val="18"/>
        </w:rPr>
        <w:t>the</w:t>
      </w:r>
      <w:r>
        <w:rPr>
          <w:spacing w:val="3"/>
          <w:sz w:val="18"/>
        </w:rPr>
        <w:t> </w:t>
      </w:r>
      <w:r>
        <w:rPr>
          <w:sz w:val="18"/>
        </w:rPr>
        <w:t>Australian</w:t>
      </w:r>
      <w:r>
        <w:rPr>
          <w:spacing w:val="-3"/>
          <w:sz w:val="18"/>
        </w:rPr>
        <w:t> </w:t>
      </w:r>
      <w:r>
        <w:rPr>
          <w:sz w:val="18"/>
        </w:rPr>
        <w:t>Privacy</w:t>
      </w:r>
      <w:r>
        <w:rPr>
          <w:spacing w:val="-3"/>
          <w:sz w:val="18"/>
        </w:rPr>
        <w:t> </w:t>
      </w:r>
      <w:r>
        <w:rPr>
          <w:sz w:val="18"/>
        </w:rPr>
        <w:t>Principles,</w:t>
      </w:r>
      <w:r>
        <w:rPr>
          <w:spacing w:val="-6"/>
          <w:sz w:val="18"/>
        </w:rPr>
        <w:t> </w:t>
      </w:r>
      <w:r>
        <w:rPr>
          <w:sz w:val="18"/>
        </w:rPr>
        <w:t>and</w:t>
      </w:r>
      <w:r>
        <w:rPr>
          <w:spacing w:val="1"/>
          <w:sz w:val="18"/>
        </w:rPr>
        <w:t> </w:t>
      </w:r>
      <w:r>
        <w:rPr>
          <w:sz w:val="18"/>
        </w:rPr>
        <w:t>the information you have provided will only be used for research purposes. You will not be identified in any of the</w:t>
      </w:r>
      <w:r>
        <w:rPr>
          <w:spacing w:val="1"/>
          <w:sz w:val="18"/>
        </w:rPr>
        <w:t> </w:t>
      </w:r>
      <w:r>
        <w:rPr>
          <w:sz w:val="18"/>
        </w:rPr>
        <w:t>documents</w:t>
      </w:r>
      <w:r>
        <w:rPr>
          <w:spacing w:val="-2"/>
          <w:sz w:val="18"/>
        </w:rPr>
        <w:t> </w:t>
      </w:r>
      <w:r>
        <w:rPr>
          <w:sz w:val="18"/>
        </w:rPr>
        <w:t>reporting</w:t>
      </w:r>
      <w:r>
        <w:rPr>
          <w:spacing w:val="-2"/>
          <w:sz w:val="18"/>
        </w:rPr>
        <w:t> </w:t>
      </w:r>
      <w:r>
        <w:rPr>
          <w:sz w:val="18"/>
        </w:rPr>
        <w:t>the results</w:t>
      </w:r>
      <w:r>
        <w:rPr>
          <w:spacing w:val="-1"/>
          <w:sz w:val="18"/>
        </w:rPr>
        <w:t> </w:t>
      </w:r>
      <w:r>
        <w:rPr>
          <w:sz w:val="18"/>
        </w:rPr>
        <w:t>of this</w:t>
      </w:r>
      <w:r>
        <w:rPr>
          <w:spacing w:val="-1"/>
          <w:sz w:val="18"/>
        </w:rPr>
        <w:t> </w:t>
      </w:r>
      <w:r>
        <w:rPr>
          <w:sz w:val="18"/>
        </w:rPr>
        <w:t>survey.</w:t>
      </w:r>
    </w:p>
    <w:p>
      <w:pPr>
        <w:pStyle w:val="BodyText"/>
        <w:spacing w:before="2"/>
        <w:rPr>
          <w:sz w:val="16"/>
        </w:rPr>
      </w:pPr>
    </w:p>
    <w:p>
      <w:pPr>
        <w:spacing w:before="1"/>
        <w:ind w:left="420" w:right="0" w:firstLine="0"/>
        <w:jc w:val="left"/>
        <w:rPr>
          <w:b/>
          <w:i/>
          <w:sz w:val="18"/>
        </w:rPr>
      </w:pPr>
      <w:r>
        <w:rPr>
          <w:b/>
          <w:i/>
          <w:sz w:val="18"/>
        </w:rPr>
        <w:t>[INTERVIEWER NOTES]</w:t>
      </w:r>
    </w:p>
    <w:p>
      <w:pPr>
        <w:pStyle w:val="BodyText"/>
        <w:spacing w:before="12"/>
        <w:rPr>
          <w:b/>
          <w:i/>
          <w:sz w:val="18"/>
        </w:rPr>
      </w:pPr>
    </w:p>
    <w:p>
      <w:pPr>
        <w:spacing w:line="276" w:lineRule="auto" w:before="0"/>
        <w:ind w:left="420" w:right="798" w:firstLine="0"/>
        <w:jc w:val="left"/>
        <w:rPr>
          <w:sz w:val="18"/>
        </w:rPr>
      </w:pPr>
      <w:r>
        <w:rPr>
          <w:sz w:val="18"/>
        </w:rPr>
        <w:t>The evaluation is being conducted by Health Policy Analysis on behalf of the Commonwealth Department of Health. If</w:t>
      </w:r>
      <w:r>
        <w:rPr>
          <w:spacing w:val="1"/>
          <w:sz w:val="18"/>
        </w:rPr>
        <w:t> </w:t>
      </w:r>
      <w:r>
        <w:rPr>
          <w:sz w:val="18"/>
        </w:rPr>
        <w:t>you</w:t>
      </w:r>
      <w:r>
        <w:rPr>
          <w:spacing w:val="-4"/>
          <w:sz w:val="18"/>
        </w:rPr>
        <w:t> </w:t>
      </w:r>
      <w:r>
        <w:rPr>
          <w:sz w:val="18"/>
        </w:rPr>
        <w:t>have</w:t>
      </w:r>
      <w:r>
        <w:rPr>
          <w:spacing w:val="-4"/>
          <w:sz w:val="18"/>
        </w:rPr>
        <w:t> </w:t>
      </w:r>
      <w:r>
        <w:rPr>
          <w:sz w:val="18"/>
        </w:rPr>
        <w:t>any</w:t>
      </w:r>
      <w:r>
        <w:rPr>
          <w:spacing w:val="-4"/>
          <w:sz w:val="18"/>
        </w:rPr>
        <w:t> </w:t>
      </w:r>
      <w:r>
        <w:rPr>
          <w:sz w:val="18"/>
        </w:rPr>
        <w:t>questions</w:t>
      </w:r>
      <w:r>
        <w:rPr>
          <w:spacing w:val="-5"/>
          <w:sz w:val="18"/>
        </w:rPr>
        <w:t> </w:t>
      </w:r>
      <w:r>
        <w:rPr>
          <w:sz w:val="18"/>
        </w:rPr>
        <w:t>regarding</w:t>
      </w:r>
      <w:r>
        <w:rPr>
          <w:spacing w:val="-6"/>
          <w:sz w:val="18"/>
        </w:rPr>
        <w:t> </w:t>
      </w:r>
      <w:r>
        <w:rPr>
          <w:sz w:val="18"/>
        </w:rPr>
        <w:t>the</w:t>
      </w:r>
      <w:r>
        <w:rPr>
          <w:spacing w:val="-3"/>
          <w:sz w:val="18"/>
        </w:rPr>
        <w:t> </w:t>
      </w:r>
      <w:r>
        <w:rPr>
          <w:sz w:val="18"/>
        </w:rPr>
        <w:t>Health</w:t>
      </w:r>
      <w:r>
        <w:rPr>
          <w:spacing w:val="-4"/>
          <w:sz w:val="18"/>
        </w:rPr>
        <w:t> </w:t>
      </w:r>
      <w:r>
        <w:rPr>
          <w:sz w:val="18"/>
        </w:rPr>
        <w:t>Care</w:t>
      </w:r>
      <w:r>
        <w:rPr>
          <w:spacing w:val="-5"/>
          <w:sz w:val="18"/>
        </w:rPr>
        <w:t> </w:t>
      </w:r>
      <w:r>
        <w:rPr>
          <w:sz w:val="18"/>
        </w:rPr>
        <w:t>Homes</w:t>
      </w:r>
      <w:r>
        <w:rPr>
          <w:spacing w:val="-4"/>
          <w:sz w:val="18"/>
        </w:rPr>
        <w:t> </w:t>
      </w:r>
      <w:r>
        <w:rPr>
          <w:sz w:val="18"/>
        </w:rPr>
        <w:t>program,</w:t>
      </w:r>
      <w:r>
        <w:rPr>
          <w:spacing w:val="-6"/>
          <w:sz w:val="18"/>
        </w:rPr>
        <w:t> </w:t>
      </w:r>
      <w:r>
        <w:rPr>
          <w:sz w:val="18"/>
        </w:rPr>
        <w:t>please</w:t>
      </w:r>
      <w:r>
        <w:rPr>
          <w:spacing w:val="-3"/>
          <w:sz w:val="18"/>
        </w:rPr>
        <w:t> </w:t>
      </w:r>
      <w:r>
        <w:rPr>
          <w:sz w:val="18"/>
        </w:rPr>
        <w:t>contact</w:t>
      </w:r>
      <w:r>
        <w:rPr>
          <w:spacing w:val="2"/>
          <w:sz w:val="18"/>
        </w:rPr>
        <w:t> </w:t>
      </w:r>
      <w:hyperlink r:id="rId40">
        <w:r>
          <w:rPr>
            <w:color w:val="0000FF"/>
            <w:sz w:val="18"/>
            <w:u w:val="single" w:color="0000FF"/>
          </w:rPr>
          <w:t>healthcarehomes@health.gov.au</w:t>
        </w:r>
        <w:r>
          <w:rPr>
            <w:sz w:val="18"/>
          </w:rPr>
          <w:t>.</w:t>
        </w:r>
      </w:hyperlink>
    </w:p>
    <w:p>
      <w:pPr>
        <w:pStyle w:val="BodyText"/>
        <w:spacing w:before="2"/>
        <w:rPr>
          <w:sz w:val="8"/>
        </w:rPr>
      </w:pPr>
    </w:p>
    <w:p>
      <w:pPr>
        <w:spacing w:before="100"/>
        <w:ind w:left="420" w:right="0" w:firstLine="0"/>
        <w:jc w:val="left"/>
        <w:rPr>
          <w:sz w:val="18"/>
        </w:rPr>
      </w:pPr>
      <w:r>
        <w:rPr>
          <w:sz w:val="18"/>
        </w:rPr>
        <w:t>If</w:t>
      </w:r>
      <w:r>
        <w:rPr>
          <w:spacing w:val="-5"/>
          <w:sz w:val="18"/>
        </w:rPr>
        <w:t> </w:t>
      </w:r>
      <w:r>
        <w:rPr>
          <w:sz w:val="18"/>
        </w:rPr>
        <w:t>you</w:t>
      </w:r>
      <w:r>
        <w:rPr>
          <w:spacing w:val="-2"/>
          <w:sz w:val="18"/>
        </w:rPr>
        <w:t> </w:t>
      </w:r>
      <w:r>
        <w:rPr>
          <w:sz w:val="18"/>
        </w:rPr>
        <w:t>would</w:t>
      </w:r>
      <w:r>
        <w:rPr>
          <w:spacing w:val="-3"/>
          <w:sz w:val="18"/>
        </w:rPr>
        <w:t> </w:t>
      </w:r>
      <w:r>
        <w:rPr>
          <w:sz w:val="18"/>
        </w:rPr>
        <w:t>like</w:t>
      </w:r>
      <w:r>
        <w:rPr>
          <w:spacing w:val="-4"/>
          <w:sz w:val="18"/>
        </w:rPr>
        <w:t> </w:t>
      </w:r>
      <w:r>
        <w:rPr>
          <w:sz w:val="18"/>
        </w:rPr>
        <w:t>any</w:t>
      </w:r>
      <w:r>
        <w:rPr>
          <w:spacing w:val="-4"/>
          <w:sz w:val="18"/>
        </w:rPr>
        <w:t> </w:t>
      </w:r>
      <w:r>
        <w:rPr>
          <w:sz w:val="18"/>
        </w:rPr>
        <w:t>further</w:t>
      </w:r>
      <w:r>
        <w:rPr>
          <w:spacing w:val="-3"/>
          <w:sz w:val="18"/>
        </w:rPr>
        <w:t> </w:t>
      </w:r>
      <w:r>
        <w:rPr>
          <w:sz w:val="18"/>
        </w:rPr>
        <w:t>information</w:t>
      </w:r>
      <w:r>
        <w:rPr>
          <w:spacing w:val="-2"/>
          <w:sz w:val="18"/>
        </w:rPr>
        <w:t> </w:t>
      </w:r>
      <w:r>
        <w:rPr>
          <w:sz w:val="18"/>
        </w:rPr>
        <w:t>about</w:t>
      </w:r>
      <w:r>
        <w:rPr>
          <w:spacing w:val="-4"/>
          <w:sz w:val="18"/>
        </w:rPr>
        <w:t> </w:t>
      </w:r>
      <w:r>
        <w:rPr>
          <w:sz w:val="18"/>
        </w:rPr>
        <w:t>this</w:t>
      </w:r>
      <w:r>
        <w:rPr>
          <w:spacing w:val="-4"/>
          <w:sz w:val="18"/>
        </w:rPr>
        <w:t> </w:t>
      </w:r>
      <w:r>
        <w:rPr>
          <w:sz w:val="18"/>
        </w:rPr>
        <w:t>survey</w:t>
      </w:r>
      <w:r>
        <w:rPr>
          <w:spacing w:val="-3"/>
          <w:sz w:val="18"/>
        </w:rPr>
        <w:t> </w:t>
      </w:r>
      <w:r>
        <w:rPr>
          <w:sz w:val="18"/>
        </w:rPr>
        <w:t>or</w:t>
      </w:r>
      <w:r>
        <w:rPr>
          <w:spacing w:val="-2"/>
          <w:sz w:val="18"/>
        </w:rPr>
        <w:t> </w:t>
      </w:r>
      <w:r>
        <w:rPr>
          <w:sz w:val="18"/>
        </w:rPr>
        <w:t>the</w:t>
      </w:r>
      <w:r>
        <w:rPr>
          <w:spacing w:val="-2"/>
          <w:sz w:val="18"/>
        </w:rPr>
        <w:t> </w:t>
      </w:r>
      <w:r>
        <w:rPr>
          <w:sz w:val="18"/>
        </w:rPr>
        <w:t>evaluation,</w:t>
      </w:r>
      <w:r>
        <w:rPr>
          <w:spacing w:val="-4"/>
          <w:sz w:val="18"/>
        </w:rPr>
        <w:t> </w:t>
      </w:r>
      <w:r>
        <w:rPr>
          <w:sz w:val="18"/>
        </w:rPr>
        <w:t>please</w:t>
      </w:r>
      <w:r>
        <w:rPr>
          <w:spacing w:val="-5"/>
          <w:sz w:val="18"/>
        </w:rPr>
        <w:t> </w:t>
      </w:r>
      <w:r>
        <w:rPr>
          <w:sz w:val="18"/>
        </w:rPr>
        <w:t>contact</w:t>
      </w:r>
      <w:r>
        <w:rPr>
          <w:spacing w:val="-4"/>
          <w:sz w:val="18"/>
        </w:rPr>
        <w:t> </w:t>
      </w:r>
      <w:r>
        <w:rPr>
          <w:sz w:val="18"/>
        </w:rPr>
        <w:t>Health</w:t>
      </w:r>
      <w:r>
        <w:rPr>
          <w:spacing w:val="-2"/>
          <w:sz w:val="18"/>
        </w:rPr>
        <w:t> </w:t>
      </w:r>
      <w:r>
        <w:rPr>
          <w:sz w:val="18"/>
        </w:rPr>
        <w:t>Policy</w:t>
      </w:r>
      <w:r>
        <w:rPr>
          <w:spacing w:val="-1"/>
          <w:sz w:val="18"/>
        </w:rPr>
        <w:t> </w:t>
      </w:r>
      <w:r>
        <w:rPr>
          <w:sz w:val="18"/>
        </w:rPr>
        <w:t>Analysis</w:t>
      </w:r>
      <w:r>
        <w:rPr>
          <w:spacing w:val="-3"/>
          <w:sz w:val="18"/>
        </w:rPr>
        <w:t> </w:t>
      </w:r>
      <w:r>
        <w:rPr>
          <w:sz w:val="18"/>
        </w:rPr>
        <w:t>on</w:t>
      </w:r>
    </w:p>
    <w:p>
      <w:pPr>
        <w:pStyle w:val="ListParagraph"/>
        <w:numPr>
          <w:ilvl w:val="0"/>
          <w:numId w:val="199"/>
        </w:numPr>
        <w:tabs>
          <w:tab w:pos="801" w:val="left" w:leader="none"/>
        </w:tabs>
        <w:spacing w:line="240" w:lineRule="auto" w:before="34" w:after="0"/>
        <w:ind w:left="800" w:right="0" w:hanging="381"/>
        <w:jc w:val="left"/>
        <w:rPr>
          <w:sz w:val="18"/>
        </w:rPr>
      </w:pPr>
      <w:r>
        <w:rPr>
          <w:sz w:val="18"/>
        </w:rPr>
        <w:t>8065</w:t>
      </w:r>
      <w:r>
        <w:rPr>
          <w:spacing w:val="-6"/>
          <w:sz w:val="18"/>
        </w:rPr>
        <w:t> </w:t>
      </w:r>
      <w:r>
        <w:rPr>
          <w:sz w:val="18"/>
        </w:rPr>
        <w:t>6491</w:t>
      </w:r>
      <w:r>
        <w:rPr>
          <w:spacing w:val="-6"/>
          <w:sz w:val="18"/>
        </w:rPr>
        <w:t> </w:t>
      </w:r>
      <w:r>
        <w:rPr>
          <w:sz w:val="18"/>
        </w:rPr>
        <w:t>or</w:t>
      </w:r>
      <w:r>
        <w:rPr>
          <w:spacing w:val="-4"/>
          <w:sz w:val="18"/>
        </w:rPr>
        <w:t> </w:t>
      </w:r>
      <w:hyperlink r:id="rId38">
        <w:r>
          <w:rPr>
            <w:sz w:val="18"/>
          </w:rPr>
          <w:t>info@healthpolicy.com.au.</w:t>
        </w:r>
      </w:hyperlink>
    </w:p>
    <w:p>
      <w:pPr>
        <w:pStyle w:val="BodyText"/>
        <w:rPr>
          <w:sz w:val="19"/>
        </w:rPr>
      </w:pPr>
    </w:p>
    <w:p>
      <w:pPr>
        <w:spacing w:line="276" w:lineRule="auto" w:before="0"/>
        <w:ind w:left="420" w:right="811" w:firstLine="0"/>
        <w:jc w:val="left"/>
        <w:rPr>
          <w:sz w:val="18"/>
        </w:rPr>
      </w:pPr>
      <w:r>
        <w:rPr>
          <w:sz w:val="18"/>
        </w:rPr>
        <w:t>This study has been approved by the Department of Health Human Research Ethics Committee &lt;reference number&gt;. If</w:t>
      </w:r>
      <w:r>
        <w:rPr>
          <w:spacing w:val="-47"/>
          <w:sz w:val="18"/>
        </w:rPr>
        <w:t> </w:t>
      </w:r>
      <w:r>
        <w:rPr>
          <w:sz w:val="18"/>
        </w:rPr>
        <w:t>you have any concerns or complaints on the ethical conduct of this research, please contact the Committee</w:t>
      </w:r>
      <w:r>
        <w:rPr>
          <w:spacing w:val="1"/>
          <w:sz w:val="18"/>
        </w:rPr>
        <w:t> </w:t>
      </w:r>
      <w:r>
        <w:rPr>
          <w:sz w:val="18"/>
        </w:rPr>
        <w:t>Secretariat, Department of Health Human Research Ethics Committee, Department of Health, by email at</w:t>
      </w:r>
      <w:r>
        <w:rPr>
          <w:spacing w:val="1"/>
          <w:sz w:val="18"/>
        </w:rPr>
        <w:t> </w:t>
      </w:r>
      <w:hyperlink r:id="rId39">
        <w:r>
          <w:rPr>
            <w:sz w:val="18"/>
          </w:rPr>
          <w:t>ethics@health.gov.au.</w:t>
        </w:r>
        <w:r>
          <w:rPr>
            <w:spacing w:val="-3"/>
            <w:sz w:val="18"/>
          </w:rPr>
          <w:t> </w:t>
        </w:r>
      </w:hyperlink>
      <w:r>
        <w:rPr>
          <w:sz w:val="18"/>
        </w:rPr>
        <w:t>The issue</w:t>
      </w:r>
      <w:r>
        <w:rPr>
          <w:spacing w:val="-1"/>
          <w:sz w:val="18"/>
        </w:rPr>
        <w:t> </w:t>
      </w:r>
      <w:r>
        <w:rPr>
          <w:sz w:val="18"/>
        </w:rPr>
        <w:t>will</w:t>
      </w:r>
      <w:r>
        <w:rPr>
          <w:spacing w:val="-3"/>
          <w:sz w:val="18"/>
        </w:rPr>
        <w:t> </w:t>
      </w:r>
      <w:r>
        <w:rPr>
          <w:sz w:val="18"/>
        </w:rPr>
        <w:t>then</w:t>
      </w:r>
      <w:r>
        <w:rPr>
          <w:spacing w:val="-1"/>
          <w:sz w:val="18"/>
        </w:rPr>
        <w:t> </w:t>
      </w:r>
      <w:r>
        <w:rPr>
          <w:sz w:val="18"/>
        </w:rPr>
        <w:t>be</w:t>
      </w:r>
      <w:r>
        <w:rPr>
          <w:spacing w:val="-2"/>
          <w:sz w:val="18"/>
        </w:rPr>
        <w:t> </w:t>
      </w:r>
      <w:r>
        <w:rPr>
          <w:sz w:val="18"/>
        </w:rPr>
        <w:t>referred</w:t>
      </w:r>
      <w:r>
        <w:rPr>
          <w:spacing w:val="-1"/>
          <w:sz w:val="18"/>
        </w:rPr>
        <w:t> </w:t>
      </w:r>
      <w:r>
        <w:rPr>
          <w:sz w:val="18"/>
        </w:rPr>
        <w:t>to</w:t>
      </w:r>
      <w:r>
        <w:rPr>
          <w:spacing w:val="-2"/>
          <w:sz w:val="18"/>
        </w:rPr>
        <w:t> </w:t>
      </w:r>
      <w:r>
        <w:rPr>
          <w:sz w:val="18"/>
        </w:rPr>
        <w:t>the Chair</w:t>
      </w:r>
      <w:r>
        <w:rPr>
          <w:spacing w:val="-1"/>
          <w:sz w:val="18"/>
        </w:rPr>
        <w:t> </w:t>
      </w:r>
      <w:r>
        <w:rPr>
          <w:sz w:val="18"/>
        </w:rPr>
        <w:t>of the Committee.</w:t>
      </w:r>
    </w:p>
    <w:p>
      <w:pPr>
        <w:spacing w:after="0" w:line="276" w:lineRule="auto"/>
        <w:jc w:val="left"/>
        <w:rPr>
          <w:sz w:val="18"/>
        </w:rPr>
        <w:sectPr>
          <w:pgSz w:w="11910" w:h="16840"/>
          <w:pgMar w:header="0" w:footer="948" w:top="940" w:bottom="1140" w:left="300" w:right="0"/>
        </w:sectPr>
      </w:pPr>
    </w:p>
    <w:p>
      <w:pPr>
        <w:spacing w:before="75"/>
        <w:ind w:left="420" w:right="0" w:firstLine="0"/>
        <w:jc w:val="left"/>
        <w:rPr>
          <w:b/>
          <w:sz w:val="18"/>
        </w:rPr>
      </w:pPr>
      <w:r>
        <w:rPr>
          <w:sz w:val="18"/>
        </w:rPr>
        <w:t>Interviewer</w:t>
      </w:r>
      <w:r>
        <w:rPr>
          <w:spacing w:val="-2"/>
          <w:sz w:val="18"/>
        </w:rPr>
        <w:t> </w:t>
      </w:r>
      <w:r>
        <w:rPr>
          <w:sz w:val="18"/>
        </w:rPr>
        <w:t>close</w:t>
      </w:r>
      <w:r>
        <w:rPr>
          <w:spacing w:val="-4"/>
          <w:sz w:val="18"/>
        </w:rPr>
        <w:t> </w:t>
      </w:r>
      <w:r>
        <w:rPr>
          <w:sz w:val="18"/>
        </w:rPr>
        <w:t>Q1.</w:t>
      </w:r>
      <w:r>
        <w:rPr>
          <w:spacing w:val="-2"/>
          <w:sz w:val="18"/>
        </w:rPr>
        <w:t> </w:t>
      </w:r>
      <w:r>
        <w:rPr>
          <w:b/>
          <w:sz w:val="18"/>
        </w:rPr>
        <w:t>Not</w:t>
      </w:r>
      <w:r>
        <w:rPr>
          <w:b/>
          <w:spacing w:val="-4"/>
          <w:sz w:val="18"/>
        </w:rPr>
        <w:t> </w:t>
      </w:r>
      <w:r>
        <w:rPr>
          <w:b/>
          <w:sz w:val="18"/>
        </w:rPr>
        <w:t>to be</w:t>
      </w:r>
      <w:r>
        <w:rPr>
          <w:b/>
          <w:spacing w:val="-3"/>
          <w:sz w:val="18"/>
        </w:rPr>
        <w:t> </w:t>
      </w:r>
      <w:r>
        <w:rPr>
          <w:b/>
          <w:sz w:val="18"/>
        </w:rPr>
        <w:t>asked</w:t>
      </w:r>
      <w:r>
        <w:rPr>
          <w:b/>
          <w:spacing w:val="-1"/>
          <w:sz w:val="18"/>
        </w:rPr>
        <w:t> </w:t>
      </w:r>
      <w:r>
        <w:rPr>
          <w:b/>
          <w:sz w:val="18"/>
        </w:rPr>
        <w:t>of</w:t>
      </w:r>
      <w:r>
        <w:rPr>
          <w:b/>
          <w:spacing w:val="-3"/>
          <w:sz w:val="18"/>
        </w:rPr>
        <w:t> </w:t>
      </w:r>
      <w:r>
        <w:rPr>
          <w:b/>
          <w:sz w:val="18"/>
        </w:rPr>
        <w:t>the</w:t>
      </w:r>
      <w:r>
        <w:rPr>
          <w:b/>
          <w:spacing w:val="-2"/>
          <w:sz w:val="18"/>
        </w:rPr>
        <w:t> </w:t>
      </w:r>
      <w:r>
        <w:rPr>
          <w:b/>
          <w:sz w:val="18"/>
        </w:rPr>
        <w:t>participant</w:t>
      </w:r>
    </w:p>
    <w:p>
      <w:pPr>
        <w:spacing w:before="56"/>
        <w:ind w:left="1313" w:right="0" w:firstLine="0"/>
        <w:jc w:val="left"/>
        <w:rPr>
          <w:sz w:val="18"/>
        </w:rPr>
      </w:pPr>
      <w:r>
        <w:rPr>
          <w:sz w:val="18"/>
        </w:rPr>
        <w:t>Did</w:t>
      </w:r>
      <w:r>
        <w:rPr>
          <w:spacing w:val="-3"/>
          <w:sz w:val="18"/>
        </w:rPr>
        <w:t> </w:t>
      </w:r>
      <w:r>
        <w:rPr>
          <w:sz w:val="18"/>
        </w:rPr>
        <w:t>someone</w:t>
      </w:r>
      <w:r>
        <w:rPr>
          <w:spacing w:val="-2"/>
          <w:sz w:val="18"/>
        </w:rPr>
        <w:t> </w:t>
      </w:r>
      <w:r>
        <w:rPr>
          <w:sz w:val="18"/>
        </w:rPr>
        <w:t>help</w:t>
      </w:r>
      <w:r>
        <w:rPr>
          <w:spacing w:val="-3"/>
          <w:sz w:val="18"/>
        </w:rPr>
        <w:t> </w:t>
      </w:r>
      <w:r>
        <w:rPr>
          <w:sz w:val="18"/>
        </w:rPr>
        <w:t>the</w:t>
      </w:r>
      <w:r>
        <w:rPr>
          <w:spacing w:val="-1"/>
          <w:sz w:val="18"/>
        </w:rPr>
        <w:t> </w:t>
      </w:r>
      <w:r>
        <w:rPr>
          <w:sz w:val="18"/>
        </w:rPr>
        <w:t>QR</w:t>
      </w:r>
      <w:r>
        <w:rPr>
          <w:spacing w:val="-4"/>
          <w:sz w:val="18"/>
        </w:rPr>
        <w:t> </w:t>
      </w:r>
      <w:r>
        <w:rPr>
          <w:sz w:val="18"/>
        </w:rPr>
        <w:t>answer</w:t>
      </w:r>
      <w:r>
        <w:rPr>
          <w:spacing w:val="-2"/>
          <w:sz w:val="18"/>
        </w:rPr>
        <w:t> </w:t>
      </w:r>
      <w:r>
        <w:rPr>
          <w:sz w:val="18"/>
        </w:rPr>
        <w:t>this</w:t>
      </w:r>
      <w:r>
        <w:rPr>
          <w:spacing w:val="-2"/>
          <w:sz w:val="18"/>
        </w:rPr>
        <w:t> </w:t>
      </w:r>
      <w:r>
        <w:rPr>
          <w:sz w:val="18"/>
        </w:rPr>
        <w:t>survey</w:t>
      </w:r>
      <w:r>
        <w:rPr>
          <w:spacing w:val="-5"/>
          <w:sz w:val="18"/>
        </w:rPr>
        <w:t> </w:t>
      </w:r>
      <w:r>
        <w:rPr>
          <w:sz w:val="18"/>
        </w:rPr>
        <w:t>in</w:t>
      </w:r>
      <w:r>
        <w:rPr>
          <w:spacing w:val="-4"/>
          <w:sz w:val="18"/>
        </w:rPr>
        <w:t> </w:t>
      </w:r>
      <w:r>
        <w:rPr>
          <w:sz w:val="18"/>
        </w:rPr>
        <w:t>any</w:t>
      </w:r>
      <w:r>
        <w:rPr>
          <w:spacing w:val="-2"/>
          <w:sz w:val="18"/>
        </w:rPr>
        <w:t> </w:t>
      </w:r>
      <w:r>
        <w:rPr>
          <w:sz w:val="18"/>
        </w:rPr>
        <w:t>way?</w:t>
      </w:r>
    </w:p>
    <w:p>
      <w:pPr>
        <w:pStyle w:val="ListParagraph"/>
        <w:numPr>
          <w:ilvl w:val="1"/>
          <w:numId w:val="199"/>
        </w:numPr>
        <w:tabs>
          <w:tab w:pos="2685" w:val="left" w:leader="none"/>
          <w:tab w:pos="2686" w:val="left" w:leader="none"/>
        </w:tabs>
        <w:spacing w:line="240" w:lineRule="auto" w:before="53" w:after="0"/>
        <w:ind w:left="2686" w:right="0" w:hanging="720"/>
        <w:jc w:val="left"/>
        <w:rPr>
          <w:sz w:val="18"/>
        </w:rPr>
      </w:pPr>
      <w:r>
        <w:rPr>
          <w:sz w:val="18"/>
        </w:rPr>
        <w:t>Yes</w:t>
      </w:r>
      <w:r>
        <w:rPr>
          <w:spacing w:val="-3"/>
          <w:sz w:val="18"/>
        </w:rPr>
        <w:t> </w:t>
      </w:r>
      <w:r>
        <w:rPr>
          <w:sz w:val="18"/>
        </w:rPr>
        <w:t>–</w:t>
      </w:r>
      <w:r>
        <w:rPr>
          <w:spacing w:val="-1"/>
          <w:sz w:val="18"/>
        </w:rPr>
        <w:t> </w:t>
      </w:r>
      <w:r>
        <w:rPr>
          <w:sz w:val="18"/>
        </w:rPr>
        <w:t>answered</w:t>
      </w:r>
      <w:r>
        <w:rPr>
          <w:spacing w:val="-3"/>
          <w:sz w:val="18"/>
        </w:rPr>
        <w:t> </w:t>
      </w:r>
      <w:r>
        <w:rPr>
          <w:sz w:val="18"/>
        </w:rPr>
        <w:t>for</w:t>
      </w:r>
      <w:r>
        <w:rPr>
          <w:spacing w:val="-2"/>
          <w:sz w:val="18"/>
        </w:rPr>
        <w:t> </w:t>
      </w:r>
      <w:r>
        <w:rPr>
          <w:sz w:val="18"/>
        </w:rPr>
        <w:t>them</w:t>
      </w:r>
      <w:r>
        <w:rPr>
          <w:spacing w:val="-3"/>
          <w:sz w:val="18"/>
        </w:rPr>
        <w:t> </w:t>
      </w:r>
      <w:r>
        <w:rPr>
          <w:sz w:val="18"/>
        </w:rPr>
        <w:t>(proxy)</w:t>
      </w:r>
    </w:p>
    <w:p>
      <w:pPr>
        <w:pStyle w:val="ListParagraph"/>
        <w:numPr>
          <w:ilvl w:val="1"/>
          <w:numId w:val="199"/>
        </w:numPr>
        <w:tabs>
          <w:tab w:pos="2685" w:val="left" w:leader="none"/>
          <w:tab w:pos="2686" w:val="left" w:leader="none"/>
        </w:tabs>
        <w:spacing w:line="240" w:lineRule="auto" w:before="0" w:after="0"/>
        <w:ind w:left="2686" w:right="0" w:hanging="720"/>
        <w:jc w:val="left"/>
        <w:rPr>
          <w:sz w:val="18"/>
        </w:rPr>
      </w:pPr>
      <w:r>
        <w:rPr>
          <w:sz w:val="18"/>
        </w:rPr>
        <w:t>Yes</w:t>
      </w:r>
      <w:r>
        <w:rPr>
          <w:spacing w:val="-3"/>
          <w:sz w:val="18"/>
        </w:rPr>
        <w:t> </w:t>
      </w:r>
      <w:r>
        <w:rPr>
          <w:sz w:val="18"/>
        </w:rPr>
        <w:t>–</w:t>
      </w:r>
      <w:r>
        <w:rPr>
          <w:spacing w:val="-2"/>
          <w:sz w:val="18"/>
        </w:rPr>
        <w:t> </w:t>
      </w:r>
      <w:r>
        <w:rPr>
          <w:sz w:val="18"/>
        </w:rPr>
        <w:t>helped</w:t>
      </w:r>
      <w:r>
        <w:rPr>
          <w:spacing w:val="-3"/>
          <w:sz w:val="18"/>
        </w:rPr>
        <w:t> </w:t>
      </w:r>
      <w:r>
        <w:rPr>
          <w:sz w:val="18"/>
        </w:rPr>
        <w:t>them</w:t>
      </w:r>
      <w:r>
        <w:rPr>
          <w:spacing w:val="-7"/>
          <w:sz w:val="18"/>
        </w:rPr>
        <w:t> </w:t>
      </w:r>
      <w:r>
        <w:rPr>
          <w:sz w:val="18"/>
        </w:rPr>
        <w:t>answer</w:t>
      </w:r>
      <w:r>
        <w:rPr>
          <w:spacing w:val="-3"/>
          <w:sz w:val="18"/>
        </w:rPr>
        <w:t> </w:t>
      </w:r>
      <w:r>
        <w:rPr>
          <w:sz w:val="18"/>
        </w:rPr>
        <w:t>some</w:t>
      </w:r>
      <w:r>
        <w:rPr>
          <w:spacing w:val="1"/>
          <w:sz w:val="18"/>
        </w:rPr>
        <w:t> </w:t>
      </w:r>
      <w:r>
        <w:rPr>
          <w:sz w:val="18"/>
        </w:rPr>
        <w:t>questions</w:t>
      </w:r>
    </w:p>
    <w:p>
      <w:pPr>
        <w:pStyle w:val="ListParagraph"/>
        <w:numPr>
          <w:ilvl w:val="1"/>
          <w:numId w:val="199"/>
        </w:numPr>
        <w:tabs>
          <w:tab w:pos="2685" w:val="left" w:leader="none"/>
          <w:tab w:pos="2686" w:val="left" w:leader="none"/>
        </w:tabs>
        <w:spacing w:line="240" w:lineRule="auto" w:before="0" w:after="0"/>
        <w:ind w:left="2686" w:right="0" w:hanging="720"/>
        <w:jc w:val="left"/>
        <w:rPr>
          <w:sz w:val="18"/>
        </w:rPr>
      </w:pPr>
      <w:r>
        <w:rPr>
          <w:sz w:val="18"/>
        </w:rPr>
        <w:t>No</w:t>
      </w:r>
      <w:r>
        <w:rPr>
          <w:spacing w:val="-1"/>
          <w:sz w:val="18"/>
        </w:rPr>
        <w:t> </w:t>
      </w:r>
      <w:r>
        <w:rPr>
          <w:sz w:val="18"/>
        </w:rPr>
        <w:t>– did</w:t>
      </w:r>
      <w:r>
        <w:rPr>
          <w:spacing w:val="-2"/>
          <w:sz w:val="18"/>
        </w:rPr>
        <w:t> </w:t>
      </w:r>
      <w:r>
        <w:rPr>
          <w:sz w:val="18"/>
        </w:rPr>
        <w:t>not</w:t>
      </w:r>
      <w:r>
        <w:rPr>
          <w:spacing w:val="-3"/>
          <w:sz w:val="18"/>
        </w:rPr>
        <w:t> </w:t>
      </w:r>
      <w:r>
        <w:rPr>
          <w:sz w:val="18"/>
        </w:rPr>
        <w:t>need</w:t>
      </w:r>
      <w:r>
        <w:rPr>
          <w:spacing w:val="-2"/>
          <w:sz w:val="18"/>
        </w:rPr>
        <w:t> </w:t>
      </w:r>
      <w:r>
        <w:rPr>
          <w:sz w:val="18"/>
        </w:rPr>
        <w:t>any</w:t>
      </w:r>
      <w:r>
        <w:rPr>
          <w:spacing w:val="-1"/>
          <w:sz w:val="18"/>
        </w:rPr>
        <w:t> </w:t>
      </w:r>
      <w:r>
        <w:rPr>
          <w:sz w:val="18"/>
        </w:rPr>
        <w:t>help</w:t>
      </w:r>
    </w:p>
    <w:p>
      <w:pPr>
        <w:spacing w:after="0" w:line="240" w:lineRule="auto"/>
        <w:jc w:val="left"/>
        <w:rPr>
          <w:sz w:val="18"/>
        </w:rPr>
        <w:sectPr>
          <w:pgSz w:w="11910" w:h="16840"/>
          <w:pgMar w:header="0" w:footer="948" w:top="860" w:bottom="1140" w:left="300" w:right="0"/>
        </w:sectPr>
      </w:pPr>
    </w:p>
    <w:p>
      <w:pPr>
        <w:pStyle w:val="BodyText"/>
      </w:pPr>
    </w:p>
    <w:p>
      <w:pPr>
        <w:pStyle w:val="BodyText"/>
      </w:pPr>
    </w:p>
    <w:p>
      <w:pPr>
        <w:pStyle w:val="BodyText"/>
      </w:pPr>
    </w:p>
    <w:p>
      <w:pPr>
        <w:pStyle w:val="BodyText"/>
      </w:pPr>
    </w:p>
    <w:p>
      <w:pPr>
        <w:pStyle w:val="BodyText"/>
        <w:spacing w:before="2"/>
        <w:rPr>
          <w:sz w:val="26"/>
        </w:rPr>
      </w:pPr>
    </w:p>
    <w:p>
      <w:pPr>
        <w:pStyle w:val="Heading1"/>
        <w:spacing w:before="101"/>
        <w:ind w:left="1140" w:right="2319"/>
      </w:pPr>
      <w:r>
        <w:rPr/>
        <w:drawing>
          <wp:anchor distT="0" distB="0" distL="0" distR="0" allowOverlap="1" layoutInCell="1" locked="0" behindDoc="1" simplePos="0" relativeHeight="476219904">
            <wp:simplePos x="0" y="0"/>
            <wp:positionH relativeFrom="page">
              <wp:posOffset>256083</wp:posOffset>
            </wp:positionH>
            <wp:positionV relativeFrom="paragraph">
              <wp:posOffset>-829933</wp:posOffset>
            </wp:positionV>
            <wp:extent cx="7302956" cy="1024402"/>
            <wp:effectExtent l="0" t="0" r="0" b="0"/>
            <wp:wrapNone/>
            <wp:docPr id="2215" name="image8.jpeg"/>
            <wp:cNvGraphicFramePr>
              <a:graphicFrameLocks noChangeAspect="1"/>
            </wp:cNvGraphicFramePr>
            <a:graphic>
              <a:graphicData uri="http://schemas.openxmlformats.org/drawingml/2006/picture">
                <pic:pic>
                  <pic:nvPicPr>
                    <pic:cNvPr id="2216" name="image8.jpeg"/>
                    <pic:cNvPicPr/>
                  </pic:nvPicPr>
                  <pic:blipFill>
                    <a:blip r:embed="rId32" cstate="print"/>
                    <a:stretch>
                      <a:fillRect/>
                    </a:stretch>
                  </pic:blipFill>
                  <pic:spPr>
                    <a:xfrm>
                      <a:off x="0" y="0"/>
                      <a:ext cx="7302956" cy="1024402"/>
                    </a:xfrm>
                    <a:prstGeom prst="rect">
                      <a:avLst/>
                    </a:prstGeom>
                  </pic:spPr>
                </pic:pic>
              </a:graphicData>
            </a:graphic>
          </wp:anchor>
        </w:drawing>
      </w:r>
      <w:bookmarkStart w:name="_bookmark88" w:id="89"/>
      <w:bookmarkEnd w:id="89"/>
      <w:r>
        <w:rPr/>
      </w:r>
      <w:r>
        <w:rPr>
          <w:color w:val="003C79"/>
        </w:rPr>
        <w:t>Appendix G – Interview</w:t>
      </w:r>
      <w:r>
        <w:rPr>
          <w:color w:val="003C79"/>
          <w:spacing w:val="-197"/>
        </w:rPr>
        <w:t> </w:t>
      </w:r>
      <w:r>
        <w:rPr>
          <w:color w:val="003C79"/>
        </w:rPr>
        <w:t>and focus group</w:t>
      </w:r>
      <w:r>
        <w:rPr>
          <w:color w:val="003C79"/>
          <w:spacing w:val="1"/>
        </w:rPr>
        <w:t> </w:t>
      </w:r>
      <w:r>
        <w:rPr>
          <w:color w:val="003C79"/>
        </w:rPr>
        <w:t>questions</w:t>
      </w:r>
    </w:p>
    <w:p>
      <w:pPr>
        <w:spacing w:line="276" w:lineRule="auto" w:before="200"/>
        <w:ind w:left="1178" w:right="1478" w:firstLine="0"/>
        <w:jc w:val="center"/>
        <w:rPr>
          <w:i/>
          <w:sz w:val="20"/>
        </w:rPr>
      </w:pPr>
      <w:r>
        <w:rPr>
          <w:i/>
          <w:sz w:val="20"/>
        </w:rPr>
        <w:t>Note: Interviews with all groups will be conducted in Round 2 (</w:t>
      </w:r>
      <w:r>
        <w:rPr>
          <w:b/>
          <w:i/>
          <w:sz w:val="20"/>
        </w:rPr>
        <w:t>R2</w:t>
      </w:r>
      <w:r>
        <w:rPr>
          <w:i/>
          <w:sz w:val="20"/>
        </w:rPr>
        <w:t>), Round 4 (</w:t>
      </w:r>
      <w:r>
        <w:rPr>
          <w:b/>
          <w:i/>
          <w:sz w:val="20"/>
        </w:rPr>
        <w:t>R4</w:t>
      </w:r>
      <w:r>
        <w:rPr>
          <w:i/>
          <w:sz w:val="20"/>
        </w:rPr>
        <w:t>) and Round 5</w:t>
      </w:r>
      <w:r>
        <w:rPr>
          <w:i/>
          <w:spacing w:val="-53"/>
          <w:sz w:val="20"/>
        </w:rPr>
        <w:t> </w:t>
      </w:r>
      <w:r>
        <w:rPr>
          <w:i/>
          <w:sz w:val="20"/>
        </w:rPr>
        <w:t>(</w:t>
      </w:r>
      <w:r>
        <w:rPr>
          <w:b/>
          <w:i/>
          <w:sz w:val="20"/>
        </w:rPr>
        <w:t>R5</w:t>
      </w:r>
      <w:r>
        <w:rPr>
          <w:i/>
          <w:sz w:val="20"/>
        </w:rPr>
        <w:t>)</w:t>
      </w:r>
      <w:r>
        <w:rPr>
          <w:i/>
          <w:spacing w:val="-4"/>
          <w:sz w:val="20"/>
        </w:rPr>
        <w:t> </w:t>
      </w:r>
      <w:r>
        <w:rPr>
          <w:i/>
          <w:sz w:val="20"/>
        </w:rPr>
        <w:t>of</w:t>
      </w:r>
      <w:r>
        <w:rPr>
          <w:i/>
          <w:spacing w:val="-1"/>
          <w:sz w:val="20"/>
        </w:rPr>
        <w:t> </w:t>
      </w:r>
      <w:r>
        <w:rPr>
          <w:i/>
          <w:sz w:val="20"/>
        </w:rPr>
        <w:t>the</w:t>
      </w:r>
      <w:r>
        <w:rPr>
          <w:i/>
          <w:spacing w:val="-2"/>
          <w:sz w:val="20"/>
        </w:rPr>
        <w:t> </w:t>
      </w:r>
      <w:r>
        <w:rPr>
          <w:i/>
          <w:sz w:val="20"/>
        </w:rPr>
        <w:t>evaluation.</w:t>
      </w:r>
      <w:r>
        <w:rPr>
          <w:i/>
          <w:spacing w:val="-3"/>
          <w:sz w:val="20"/>
        </w:rPr>
        <w:t> </w:t>
      </w:r>
      <w:r>
        <w:rPr>
          <w:i/>
          <w:sz w:val="20"/>
        </w:rPr>
        <w:t>Some</w:t>
      </w:r>
      <w:r>
        <w:rPr>
          <w:i/>
          <w:spacing w:val="-2"/>
          <w:sz w:val="20"/>
        </w:rPr>
        <w:t> </w:t>
      </w:r>
      <w:r>
        <w:rPr>
          <w:i/>
          <w:sz w:val="20"/>
        </w:rPr>
        <w:t>questions</w:t>
      </w:r>
      <w:r>
        <w:rPr>
          <w:i/>
          <w:spacing w:val="-3"/>
          <w:sz w:val="20"/>
        </w:rPr>
        <w:t> </w:t>
      </w:r>
      <w:r>
        <w:rPr>
          <w:i/>
          <w:sz w:val="20"/>
        </w:rPr>
        <w:t>pertain</w:t>
      </w:r>
      <w:r>
        <w:rPr>
          <w:i/>
          <w:spacing w:val="-4"/>
          <w:sz w:val="20"/>
        </w:rPr>
        <w:t> </w:t>
      </w:r>
      <w:r>
        <w:rPr>
          <w:i/>
          <w:sz w:val="20"/>
        </w:rPr>
        <w:t>to</w:t>
      </w:r>
      <w:r>
        <w:rPr>
          <w:i/>
          <w:spacing w:val="-2"/>
          <w:sz w:val="20"/>
        </w:rPr>
        <w:t> </w:t>
      </w:r>
      <w:r>
        <w:rPr>
          <w:i/>
          <w:sz w:val="20"/>
        </w:rPr>
        <w:t>one</w:t>
      </w:r>
      <w:r>
        <w:rPr>
          <w:i/>
          <w:spacing w:val="-3"/>
          <w:sz w:val="20"/>
        </w:rPr>
        <w:t> </w:t>
      </w:r>
      <w:r>
        <w:rPr>
          <w:i/>
          <w:sz w:val="20"/>
        </w:rPr>
        <w:t>round</w:t>
      </w:r>
      <w:r>
        <w:rPr>
          <w:i/>
          <w:spacing w:val="-2"/>
          <w:sz w:val="20"/>
        </w:rPr>
        <w:t> </w:t>
      </w:r>
      <w:r>
        <w:rPr>
          <w:i/>
          <w:sz w:val="20"/>
        </w:rPr>
        <w:t>only, and</w:t>
      </w:r>
      <w:r>
        <w:rPr>
          <w:i/>
          <w:spacing w:val="-3"/>
          <w:sz w:val="20"/>
        </w:rPr>
        <w:t> </w:t>
      </w:r>
      <w:r>
        <w:rPr>
          <w:i/>
          <w:sz w:val="20"/>
        </w:rPr>
        <w:t>are</w:t>
      </w:r>
      <w:r>
        <w:rPr>
          <w:i/>
          <w:spacing w:val="5"/>
          <w:sz w:val="20"/>
        </w:rPr>
        <w:t> </w:t>
      </w:r>
      <w:r>
        <w:rPr>
          <w:i/>
          <w:sz w:val="20"/>
        </w:rPr>
        <w:t>marked</w:t>
      </w:r>
      <w:r>
        <w:rPr>
          <w:i/>
          <w:spacing w:val="-3"/>
          <w:sz w:val="20"/>
        </w:rPr>
        <w:t> </w:t>
      </w:r>
      <w:r>
        <w:rPr>
          <w:i/>
          <w:sz w:val="20"/>
        </w:rPr>
        <w:t>as</w:t>
      </w:r>
      <w:r>
        <w:rPr>
          <w:i/>
          <w:spacing w:val="-3"/>
          <w:sz w:val="20"/>
        </w:rPr>
        <w:t> </w:t>
      </w:r>
      <w:r>
        <w:rPr>
          <w:i/>
          <w:sz w:val="20"/>
        </w:rPr>
        <w:t>such.</w:t>
      </w:r>
    </w:p>
    <w:p>
      <w:pPr>
        <w:spacing w:before="1"/>
        <w:ind w:left="1177" w:right="1478" w:firstLine="0"/>
        <w:jc w:val="center"/>
        <w:rPr>
          <w:i/>
          <w:sz w:val="20"/>
        </w:rPr>
      </w:pPr>
      <w:r>
        <w:rPr>
          <w:i/>
          <w:sz w:val="20"/>
        </w:rPr>
        <w:t>Where</w:t>
      </w:r>
      <w:r>
        <w:rPr>
          <w:i/>
          <w:spacing w:val="-4"/>
          <w:sz w:val="20"/>
        </w:rPr>
        <w:t> </w:t>
      </w:r>
      <w:r>
        <w:rPr>
          <w:i/>
          <w:sz w:val="20"/>
        </w:rPr>
        <w:t>questions</w:t>
      </w:r>
      <w:r>
        <w:rPr>
          <w:i/>
          <w:spacing w:val="-3"/>
          <w:sz w:val="20"/>
        </w:rPr>
        <w:t> </w:t>
      </w:r>
      <w:r>
        <w:rPr>
          <w:i/>
          <w:sz w:val="20"/>
        </w:rPr>
        <w:t>are</w:t>
      </w:r>
      <w:r>
        <w:rPr>
          <w:i/>
          <w:spacing w:val="-3"/>
          <w:sz w:val="20"/>
        </w:rPr>
        <w:t> </w:t>
      </w:r>
      <w:r>
        <w:rPr>
          <w:i/>
          <w:sz w:val="20"/>
        </w:rPr>
        <w:t>not</w:t>
      </w:r>
      <w:r>
        <w:rPr>
          <w:i/>
          <w:spacing w:val="-1"/>
          <w:sz w:val="20"/>
        </w:rPr>
        <w:t> </w:t>
      </w:r>
      <w:r>
        <w:rPr>
          <w:i/>
          <w:sz w:val="20"/>
        </w:rPr>
        <w:t>marked, they</w:t>
      </w:r>
      <w:r>
        <w:rPr>
          <w:i/>
          <w:spacing w:val="-4"/>
          <w:sz w:val="20"/>
        </w:rPr>
        <w:t> </w:t>
      </w:r>
      <w:r>
        <w:rPr>
          <w:i/>
          <w:sz w:val="20"/>
        </w:rPr>
        <w:t>pertain</w:t>
      </w:r>
      <w:r>
        <w:rPr>
          <w:i/>
          <w:spacing w:val="-4"/>
          <w:sz w:val="20"/>
        </w:rPr>
        <w:t> </w:t>
      </w:r>
      <w:r>
        <w:rPr>
          <w:i/>
          <w:sz w:val="20"/>
        </w:rPr>
        <w:t>to</w:t>
      </w:r>
      <w:r>
        <w:rPr>
          <w:i/>
          <w:spacing w:val="1"/>
          <w:sz w:val="20"/>
        </w:rPr>
        <w:t> </w:t>
      </w:r>
      <w:r>
        <w:rPr>
          <w:i/>
          <w:sz w:val="20"/>
        </w:rPr>
        <w:t>all</w:t>
      </w:r>
      <w:r>
        <w:rPr>
          <w:i/>
          <w:spacing w:val="-1"/>
          <w:sz w:val="20"/>
        </w:rPr>
        <w:t> </w:t>
      </w:r>
      <w:r>
        <w:rPr>
          <w:i/>
          <w:sz w:val="20"/>
        </w:rPr>
        <w:t>rounds.</w:t>
      </w:r>
    </w:p>
    <w:p>
      <w:pPr>
        <w:pStyle w:val="BodyText"/>
        <w:spacing w:before="3"/>
        <w:rPr>
          <w:i/>
          <w:sz w:val="19"/>
        </w:rPr>
      </w:pPr>
    </w:p>
    <w:p>
      <w:pPr>
        <w:pStyle w:val="Heading2"/>
        <w:ind w:left="1140"/>
      </w:pPr>
      <w:bookmarkStart w:name="_bookmark89" w:id="90"/>
      <w:bookmarkEnd w:id="90"/>
      <w:r>
        <w:rPr/>
      </w:r>
      <w:r>
        <w:rPr>
          <w:color w:val="003C79"/>
        </w:rPr>
        <w:t>Topic</w:t>
      </w:r>
      <w:r>
        <w:rPr>
          <w:color w:val="003C79"/>
          <w:spacing w:val="-2"/>
        </w:rPr>
        <w:t> </w:t>
      </w:r>
      <w:r>
        <w:rPr>
          <w:color w:val="003C79"/>
        </w:rPr>
        <w:t>guide</w:t>
      </w:r>
      <w:r>
        <w:rPr>
          <w:color w:val="003C79"/>
          <w:spacing w:val="-5"/>
        </w:rPr>
        <w:t> </w:t>
      </w:r>
      <w:r>
        <w:rPr>
          <w:color w:val="003C79"/>
        </w:rPr>
        <w:t>–</w:t>
      </w:r>
      <w:r>
        <w:rPr>
          <w:color w:val="003C79"/>
          <w:spacing w:val="-3"/>
        </w:rPr>
        <w:t> </w:t>
      </w:r>
      <w:r>
        <w:rPr>
          <w:color w:val="003C79"/>
        </w:rPr>
        <w:t>Patient*</w:t>
      </w:r>
      <w:r>
        <w:rPr>
          <w:color w:val="003C79"/>
          <w:spacing w:val="-8"/>
        </w:rPr>
        <w:t> </w:t>
      </w:r>
      <w:r>
        <w:rPr>
          <w:color w:val="003C79"/>
        </w:rPr>
        <w:t>interviews</w:t>
      </w:r>
    </w:p>
    <w:p>
      <w:pPr>
        <w:pStyle w:val="BodyText"/>
        <w:spacing w:before="1"/>
        <w:rPr>
          <w:sz w:val="21"/>
        </w:rPr>
      </w:pPr>
    </w:p>
    <w:tbl>
      <w:tblPr>
        <w:tblW w:w="0" w:type="auto"/>
        <w:jc w:val="left"/>
        <w:tblInd w:w="11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980"/>
        <w:gridCol w:w="7038"/>
      </w:tblGrid>
      <w:tr>
        <w:trPr>
          <w:trHeight w:val="225" w:hRule="atLeast"/>
        </w:trPr>
        <w:tc>
          <w:tcPr>
            <w:tcW w:w="1980" w:type="dxa"/>
            <w:shd w:val="clear" w:color="auto" w:fill="003C79"/>
          </w:tcPr>
          <w:p>
            <w:pPr>
              <w:pStyle w:val="TableParagraph"/>
              <w:spacing w:line="196" w:lineRule="exact"/>
              <w:ind w:left="107"/>
              <w:rPr>
                <w:b/>
                <w:sz w:val="16"/>
              </w:rPr>
            </w:pPr>
            <w:r>
              <w:rPr>
                <w:b/>
                <w:color w:val="FFFFFF"/>
                <w:sz w:val="16"/>
              </w:rPr>
              <w:t>Topic</w:t>
            </w:r>
          </w:p>
        </w:tc>
        <w:tc>
          <w:tcPr>
            <w:tcW w:w="7038" w:type="dxa"/>
            <w:shd w:val="clear" w:color="auto" w:fill="003C79"/>
          </w:tcPr>
          <w:p>
            <w:pPr>
              <w:pStyle w:val="TableParagraph"/>
              <w:spacing w:line="196" w:lineRule="exact"/>
              <w:ind w:left="107"/>
              <w:rPr>
                <w:b/>
                <w:sz w:val="16"/>
              </w:rPr>
            </w:pPr>
            <w:r>
              <w:rPr>
                <w:b/>
                <w:color w:val="FFFFFF"/>
                <w:sz w:val="16"/>
              </w:rPr>
              <w:t>Question</w:t>
            </w:r>
          </w:p>
        </w:tc>
      </w:tr>
      <w:tr>
        <w:trPr>
          <w:trHeight w:val="5530" w:hRule="atLeast"/>
        </w:trPr>
        <w:tc>
          <w:tcPr>
            <w:tcW w:w="1980" w:type="dxa"/>
          </w:tcPr>
          <w:p>
            <w:pPr>
              <w:pStyle w:val="TableParagraph"/>
              <w:spacing w:line="196" w:lineRule="exact"/>
              <w:ind w:left="107"/>
              <w:rPr>
                <w:sz w:val="16"/>
              </w:rPr>
            </w:pPr>
            <w:r>
              <w:rPr>
                <w:sz w:val="16"/>
              </w:rPr>
              <w:t>Introduction</w:t>
            </w:r>
          </w:p>
        </w:tc>
        <w:tc>
          <w:tcPr>
            <w:tcW w:w="7038" w:type="dxa"/>
          </w:tcPr>
          <w:p>
            <w:pPr>
              <w:pStyle w:val="TableParagraph"/>
              <w:numPr>
                <w:ilvl w:val="0"/>
                <w:numId w:val="200"/>
              </w:numPr>
              <w:tabs>
                <w:tab w:pos="279" w:val="left" w:leader="none"/>
              </w:tabs>
              <w:spacing w:line="219" w:lineRule="exact" w:before="0" w:after="0"/>
              <w:ind w:left="278" w:right="0" w:hanging="172"/>
              <w:jc w:val="left"/>
              <w:rPr>
                <w:sz w:val="18"/>
              </w:rPr>
            </w:pPr>
            <w:r>
              <w:rPr>
                <w:sz w:val="18"/>
              </w:rPr>
              <w:t>Introduction</w:t>
            </w:r>
            <w:r>
              <w:rPr>
                <w:spacing w:val="-7"/>
                <w:sz w:val="18"/>
              </w:rPr>
              <w:t> </w:t>
            </w:r>
            <w:r>
              <w:rPr>
                <w:sz w:val="18"/>
              </w:rPr>
              <w:t>of</w:t>
            </w:r>
            <w:r>
              <w:rPr>
                <w:spacing w:val="-4"/>
                <w:sz w:val="18"/>
              </w:rPr>
              <w:t> </w:t>
            </w:r>
            <w:r>
              <w:rPr>
                <w:sz w:val="18"/>
              </w:rPr>
              <w:t>researcher</w:t>
            </w:r>
            <w:r>
              <w:rPr>
                <w:spacing w:val="-3"/>
                <w:sz w:val="18"/>
              </w:rPr>
              <w:t> </w:t>
            </w:r>
            <w:r>
              <w:rPr>
                <w:sz w:val="18"/>
              </w:rPr>
              <w:t>and</w:t>
            </w:r>
            <w:r>
              <w:rPr>
                <w:spacing w:val="-4"/>
                <w:sz w:val="18"/>
              </w:rPr>
              <w:t> </w:t>
            </w:r>
            <w:r>
              <w:rPr>
                <w:sz w:val="18"/>
              </w:rPr>
              <w:t>describe</w:t>
            </w:r>
            <w:r>
              <w:rPr>
                <w:spacing w:val="-3"/>
                <w:sz w:val="18"/>
              </w:rPr>
              <w:t> </w:t>
            </w:r>
            <w:r>
              <w:rPr>
                <w:sz w:val="18"/>
              </w:rPr>
              <w:t>the</w:t>
            </w:r>
            <w:r>
              <w:rPr>
                <w:spacing w:val="2"/>
                <w:sz w:val="18"/>
              </w:rPr>
              <w:t> </w:t>
            </w:r>
            <w:r>
              <w:rPr>
                <w:sz w:val="18"/>
              </w:rPr>
              <w:t>project</w:t>
            </w:r>
            <w:r>
              <w:rPr>
                <w:spacing w:val="-5"/>
                <w:sz w:val="18"/>
              </w:rPr>
              <w:t> </w:t>
            </w:r>
            <w:r>
              <w:rPr>
                <w:sz w:val="18"/>
              </w:rPr>
              <w:t>and</w:t>
            </w:r>
            <w:r>
              <w:rPr>
                <w:spacing w:val="-4"/>
                <w:sz w:val="18"/>
              </w:rPr>
              <w:t> </w:t>
            </w:r>
            <w:r>
              <w:rPr>
                <w:sz w:val="18"/>
              </w:rPr>
              <w:t>its</w:t>
            </w:r>
            <w:r>
              <w:rPr>
                <w:spacing w:val="-5"/>
                <w:sz w:val="18"/>
              </w:rPr>
              <w:t> </w:t>
            </w:r>
            <w:r>
              <w:rPr>
                <w:sz w:val="18"/>
              </w:rPr>
              <w:t>purpose.</w:t>
            </w:r>
          </w:p>
          <w:p>
            <w:pPr>
              <w:pStyle w:val="TableParagraph"/>
              <w:numPr>
                <w:ilvl w:val="0"/>
                <w:numId w:val="200"/>
              </w:numPr>
              <w:tabs>
                <w:tab w:pos="279" w:val="left" w:leader="none"/>
              </w:tabs>
              <w:spacing w:line="240" w:lineRule="auto" w:before="33" w:after="0"/>
              <w:ind w:left="278" w:right="0" w:hanging="172"/>
              <w:jc w:val="left"/>
              <w:rPr>
                <w:sz w:val="18"/>
              </w:rPr>
            </w:pPr>
            <w:r>
              <w:rPr>
                <w:sz w:val="18"/>
              </w:rPr>
              <w:t>Provide</w:t>
            </w:r>
            <w:r>
              <w:rPr>
                <w:spacing w:val="-3"/>
                <w:sz w:val="18"/>
              </w:rPr>
              <w:t> </w:t>
            </w:r>
            <w:r>
              <w:rPr>
                <w:sz w:val="18"/>
              </w:rPr>
              <w:t>written</w:t>
            </w:r>
            <w:r>
              <w:rPr>
                <w:spacing w:val="-3"/>
                <w:sz w:val="18"/>
              </w:rPr>
              <w:t> </w:t>
            </w:r>
            <w:r>
              <w:rPr>
                <w:sz w:val="18"/>
              </w:rPr>
              <w:t>plain</w:t>
            </w:r>
            <w:r>
              <w:rPr>
                <w:spacing w:val="-4"/>
                <w:sz w:val="18"/>
              </w:rPr>
              <w:t> </w:t>
            </w:r>
            <w:r>
              <w:rPr>
                <w:sz w:val="18"/>
              </w:rPr>
              <w:t>language</w:t>
            </w:r>
            <w:r>
              <w:rPr>
                <w:spacing w:val="-3"/>
                <w:sz w:val="18"/>
              </w:rPr>
              <w:t> </w:t>
            </w:r>
            <w:r>
              <w:rPr>
                <w:sz w:val="18"/>
              </w:rPr>
              <w:t>statement</w:t>
            </w:r>
            <w:r>
              <w:rPr>
                <w:spacing w:val="-4"/>
                <w:sz w:val="18"/>
              </w:rPr>
              <w:t> </w:t>
            </w:r>
            <w:r>
              <w:rPr>
                <w:sz w:val="18"/>
              </w:rPr>
              <w:t>and</w:t>
            </w:r>
            <w:r>
              <w:rPr>
                <w:spacing w:val="-4"/>
                <w:sz w:val="18"/>
              </w:rPr>
              <w:t> </w:t>
            </w:r>
            <w:r>
              <w:rPr>
                <w:sz w:val="18"/>
              </w:rPr>
              <w:t>consent</w:t>
            </w:r>
            <w:r>
              <w:rPr>
                <w:spacing w:val="-4"/>
                <w:sz w:val="18"/>
              </w:rPr>
              <w:t> </w:t>
            </w:r>
            <w:r>
              <w:rPr>
                <w:sz w:val="18"/>
              </w:rPr>
              <w:t>form.</w:t>
            </w:r>
          </w:p>
          <w:p>
            <w:pPr>
              <w:pStyle w:val="TableParagraph"/>
              <w:numPr>
                <w:ilvl w:val="0"/>
                <w:numId w:val="200"/>
              </w:numPr>
              <w:tabs>
                <w:tab w:pos="279" w:val="left" w:leader="none"/>
              </w:tabs>
              <w:spacing w:line="240" w:lineRule="auto" w:before="34" w:after="0"/>
              <w:ind w:left="278" w:right="0" w:hanging="172"/>
              <w:jc w:val="left"/>
              <w:rPr>
                <w:sz w:val="18"/>
              </w:rPr>
            </w:pPr>
            <w:r>
              <w:rPr>
                <w:sz w:val="18"/>
              </w:rPr>
              <w:t>From</w:t>
            </w:r>
            <w:r>
              <w:rPr>
                <w:spacing w:val="-6"/>
                <w:sz w:val="18"/>
              </w:rPr>
              <w:t> </w:t>
            </w:r>
            <w:r>
              <w:rPr>
                <w:sz w:val="18"/>
              </w:rPr>
              <w:t>plain</w:t>
            </w:r>
            <w:r>
              <w:rPr>
                <w:spacing w:val="-2"/>
                <w:sz w:val="18"/>
              </w:rPr>
              <w:t> </w:t>
            </w:r>
            <w:r>
              <w:rPr>
                <w:sz w:val="18"/>
              </w:rPr>
              <w:t>language</w:t>
            </w:r>
            <w:r>
              <w:rPr>
                <w:spacing w:val="-2"/>
                <w:sz w:val="18"/>
              </w:rPr>
              <w:t> </w:t>
            </w:r>
            <w:r>
              <w:rPr>
                <w:sz w:val="18"/>
              </w:rPr>
              <w:t>statement</w:t>
            </w:r>
            <w:r>
              <w:rPr>
                <w:spacing w:val="-4"/>
                <w:sz w:val="18"/>
              </w:rPr>
              <w:t> </w:t>
            </w:r>
            <w:r>
              <w:rPr>
                <w:sz w:val="18"/>
              </w:rPr>
              <w:t>and</w:t>
            </w:r>
            <w:r>
              <w:rPr>
                <w:spacing w:val="-3"/>
                <w:sz w:val="18"/>
              </w:rPr>
              <w:t> </w:t>
            </w:r>
            <w:r>
              <w:rPr>
                <w:sz w:val="18"/>
              </w:rPr>
              <w:t>consent</w:t>
            </w:r>
            <w:r>
              <w:rPr>
                <w:spacing w:val="-4"/>
                <w:sz w:val="18"/>
              </w:rPr>
              <w:t> </w:t>
            </w:r>
            <w:r>
              <w:rPr>
                <w:sz w:val="18"/>
              </w:rPr>
              <w:t>form:</w:t>
            </w:r>
          </w:p>
          <w:p>
            <w:pPr>
              <w:pStyle w:val="TableParagraph"/>
              <w:numPr>
                <w:ilvl w:val="0"/>
                <w:numId w:val="200"/>
              </w:numPr>
              <w:tabs>
                <w:tab w:pos="279" w:val="left" w:leader="none"/>
              </w:tabs>
              <w:spacing w:line="276" w:lineRule="auto" w:before="34" w:after="0"/>
              <w:ind w:left="278" w:right="124" w:hanging="171"/>
              <w:jc w:val="both"/>
              <w:rPr>
                <w:sz w:val="18"/>
              </w:rPr>
            </w:pPr>
            <w:r>
              <w:rPr>
                <w:sz w:val="18"/>
              </w:rPr>
              <w:t>Remind the participant that participation is voluntary; that they do not have</w:t>
            </w:r>
            <w:r>
              <w:rPr>
                <w:spacing w:val="-47"/>
                <w:sz w:val="18"/>
              </w:rPr>
              <w:t> </w:t>
            </w:r>
            <w:r>
              <w:rPr>
                <w:sz w:val="18"/>
              </w:rPr>
              <w:t>to take part, and that there will be no repercussions if they choose not to do</w:t>
            </w:r>
            <w:r>
              <w:rPr>
                <w:spacing w:val="-47"/>
                <w:sz w:val="18"/>
              </w:rPr>
              <w:t> </w:t>
            </w:r>
            <w:r>
              <w:rPr>
                <w:sz w:val="18"/>
              </w:rPr>
              <w:t>so.</w:t>
            </w:r>
          </w:p>
          <w:p>
            <w:pPr>
              <w:pStyle w:val="TableParagraph"/>
              <w:numPr>
                <w:ilvl w:val="0"/>
                <w:numId w:val="200"/>
              </w:numPr>
              <w:tabs>
                <w:tab w:pos="279" w:val="left" w:leader="none"/>
              </w:tabs>
              <w:spacing w:line="220" w:lineRule="exact" w:before="0" w:after="0"/>
              <w:ind w:left="278" w:right="0" w:hanging="172"/>
              <w:jc w:val="both"/>
              <w:rPr>
                <w:sz w:val="18"/>
              </w:rPr>
            </w:pPr>
            <w:r>
              <w:rPr>
                <w:sz w:val="18"/>
              </w:rPr>
              <w:t>Describe</w:t>
            </w:r>
            <w:r>
              <w:rPr>
                <w:spacing w:val="-5"/>
                <w:sz w:val="18"/>
              </w:rPr>
              <w:t> </w:t>
            </w:r>
            <w:r>
              <w:rPr>
                <w:sz w:val="18"/>
              </w:rPr>
              <w:t>what</w:t>
            </w:r>
            <w:r>
              <w:rPr>
                <w:spacing w:val="-4"/>
                <w:sz w:val="18"/>
              </w:rPr>
              <w:t> </w:t>
            </w:r>
            <w:r>
              <w:rPr>
                <w:sz w:val="18"/>
              </w:rPr>
              <w:t>participation</w:t>
            </w:r>
            <w:r>
              <w:rPr>
                <w:spacing w:val="-4"/>
                <w:sz w:val="18"/>
              </w:rPr>
              <w:t> </w:t>
            </w:r>
            <w:r>
              <w:rPr>
                <w:sz w:val="18"/>
              </w:rPr>
              <w:t>in</w:t>
            </w:r>
            <w:r>
              <w:rPr>
                <w:spacing w:val="-4"/>
                <w:sz w:val="18"/>
              </w:rPr>
              <w:t> </w:t>
            </w:r>
            <w:r>
              <w:rPr>
                <w:sz w:val="18"/>
              </w:rPr>
              <w:t>the</w:t>
            </w:r>
            <w:r>
              <w:rPr>
                <w:spacing w:val="-3"/>
                <w:sz w:val="18"/>
              </w:rPr>
              <w:t> </w:t>
            </w:r>
            <w:r>
              <w:rPr>
                <w:sz w:val="18"/>
              </w:rPr>
              <w:t>interview</w:t>
            </w:r>
            <w:r>
              <w:rPr>
                <w:spacing w:val="-5"/>
                <w:sz w:val="18"/>
              </w:rPr>
              <w:t> </w:t>
            </w:r>
            <w:r>
              <w:rPr>
                <w:sz w:val="18"/>
              </w:rPr>
              <w:t>involves.</w:t>
            </w:r>
          </w:p>
          <w:p>
            <w:pPr>
              <w:pStyle w:val="TableParagraph"/>
              <w:numPr>
                <w:ilvl w:val="0"/>
                <w:numId w:val="200"/>
              </w:numPr>
              <w:tabs>
                <w:tab w:pos="279" w:val="left" w:leader="none"/>
              </w:tabs>
              <w:spacing w:line="273" w:lineRule="auto" w:before="34" w:after="0"/>
              <w:ind w:left="278" w:right="414" w:hanging="171"/>
              <w:jc w:val="left"/>
              <w:rPr>
                <w:sz w:val="18"/>
              </w:rPr>
            </w:pPr>
            <w:r>
              <w:rPr>
                <w:sz w:val="18"/>
              </w:rPr>
              <w:t>Remind</w:t>
            </w:r>
            <w:r>
              <w:rPr>
                <w:spacing w:val="-3"/>
                <w:sz w:val="18"/>
              </w:rPr>
              <w:t> </w:t>
            </w:r>
            <w:r>
              <w:rPr>
                <w:sz w:val="18"/>
              </w:rPr>
              <w:t>the</w:t>
            </w:r>
            <w:r>
              <w:rPr>
                <w:spacing w:val="-2"/>
                <w:sz w:val="18"/>
              </w:rPr>
              <w:t> </w:t>
            </w:r>
            <w:r>
              <w:rPr>
                <w:sz w:val="18"/>
              </w:rPr>
              <w:t>participant</w:t>
            </w:r>
            <w:r>
              <w:rPr>
                <w:spacing w:val="-4"/>
                <w:sz w:val="18"/>
              </w:rPr>
              <w:t> </w:t>
            </w:r>
            <w:r>
              <w:rPr>
                <w:sz w:val="18"/>
              </w:rPr>
              <w:t>that</w:t>
            </w:r>
            <w:r>
              <w:rPr>
                <w:spacing w:val="-3"/>
                <w:sz w:val="18"/>
              </w:rPr>
              <w:t> </w:t>
            </w:r>
            <w:r>
              <w:rPr>
                <w:sz w:val="18"/>
              </w:rPr>
              <w:t>they</w:t>
            </w:r>
            <w:r>
              <w:rPr>
                <w:spacing w:val="-3"/>
                <w:sz w:val="18"/>
              </w:rPr>
              <w:t> </w:t>
            </w:r>
            <w:r>
              <w:rPr>
                <w:sz w:val="18"/>
              </w:rPr>
              <w:t>can</w:t>
            </w:r>
            <w:r>
              <w:rPr>
                <w:spacing w:val="-2"/>
                <w:sz w:val="18"/>
              </w:rPr>
              <w:t> </w:t>
            </w:r>
            <w:r>
              <w:rPr>
                <w:sz w:val="18"/>
              </w:rPr>
              <w:t>withdraw</w:t>
            </w:r>
            <w:r>
              <w:rPr>
                <w:spacing w:val="-3"/>
                <w:sz w:val="18"/>
              </w:rPr>
              <w:t> </w:t>
            </w:r>
            <w:r>
              <w:rPr>
                <w:sz w:val="18"/>
              </w:rPr>
              <w:t>from</w:t>
            </w:r>
            <w:r>
              <w:rPr>
                <w:spacing w:val="-5"/>
                <w:sz w:val="18"/>
              </w:rPr>
              <w:t> </w:t>
            </w:r>
            <w:r>
              <w:rPr>
                <w:sz w:val="18"/>
              </w:rPr>
              <w:t>the</w:t>
            </w:r>
            <w:r>
              <w:rPr>
                <w:spacing w:val="-2"/>
                <w:sz w:val="18"/>
              </w:rPr>
              <w:t> </w:t>
            </w:r>
            <w:r>
              <w:rPr>
                <w:sz w:val="18"/>
              </w:rPr>
              <w:t>interview</w:t>
            </w:r>
            <w:r>
              <w:rPr>
                <w:spacing w:val="-3"/>
                <w:sz w:val="18"/>
              </w:rPr>
              <w:t> </w:t>
            </w:r>
            <w:r>
              <w:rPr>
                <w:sz w:val="18"/>
              </w:rPr>
              <w:t>at</w:t>
            </w:r>
            <w:r>
              <w:rPr>
                <w:spacing w:val="-3"/>
                <w:sz w:val="18"/>
              </w:rPr>
              <w:t> </w:t>
            </w:r>
            <w:r>
              <w:rPr>
                <w:sz w:val="18"/>
              </w:rPr>
              <w:t>any</w:t>
            </w:r>
            <w:r>
              <w:rPr>
                <w:spacing w:val="-47"/>
                <w:sz w:val="18"/>
              </w:rPr>
              <w:t> </w:t>
            </w:r>
            <w:r>
              <w:rPr>
                <w:sz w:val="18"/>
              </w:rPr>
              <w:t>time,</w:t>
            </w:r>
            <w:r>
              <w:rPr>
                <w:spacing w:val="-3"/>
                <w:sz w:val="18"/>
              </w:rPr>
              <w:t> </w:t>
            </w:r>
            <w:r>
              <w:rPr>
                <w:sz w:val="18"/>
              </w:rPr>
              <w:t>and that</w:t>
            </w:r>
            <w:r>
              <w:rPr>
                <w:spacing w:val="-3"/>
                <w:sz w:val="18"/>
              </w:rPr>
              <w:t> </w:t>
            </w:r>
            <w:r>
              <w:rPr>
                <w:sz w:val="18"/>
              </w:rPr>
              <w:t>they</w:t>
            </w:r>
            <w:r>
              <w:rPr>
                <w:spacing w:val="-2"/>
                <w:sz w:val="18"/>
              </w:rPr>
              <w:t> </w:t>
            </w:r>
            <w:r>
              <w:rPr>
                <w:sz w:val="18"/>
              </w:rPr>
              <w:t>do</w:t>
            </w:r>
            <w:r>
              <w:rPr>
                <w:spacing w:val="-1"/>
                <w:sz w:val="18"/>
              </w:rPr>
              <w:t> </w:t>
            </w:r>
            <w:r>
              <w:rPr>
                <w:sz w:val="18"/>
              </w:rPr>
              <w:t>not have</w:t>
            </w:r>
            <w:r>
              <w:rPr>
                <w:spacing w:val="-1"/>
                <w:sz w:val="18"/>
              </w:rPr>
              <w:t> </w:t>
            </w:r>
            <w:r>
              <w:rPr>
                <w:sz w:val="18"/>
              </w:rPr>
              <w:t>to</w:t>
            </w:r>
            <w:r>
              <w:rPr>
                <w:spacing w:val="-1"/>
                <w:sz w:val="18"/>
              </w:rPr>
              <w:t> </w:t>
            </w:r>
            <w:r>
              <w:rPr>
                <w:sz w:val="18"/>
              </w:rPr>
              <w:t>answer</w:t>
            </w:r>
            <w:r>
              <w:rPr>
                <w:spacing w:val="-1"/>
                <w:sz w:val="18"/>
              </w:rPr>
              <w:t> </w:t>
            </w:r>
            <w:r>
              <w:rPr>
                <w:sz w:val="18"/>
              </w:rPr>
              <w:t>any</w:t>
            </w:r>
            <w:r>
              <w:rPr>
                <w:spacing w:val="-2"/>
                <w:sz w:val="18"/>
              </w:rPr>
              <w:t> </w:t>
            </w:r>
            <w:r>
              <w:rPr>
                <w:sz w:val="18"/>
              </w:rPr>
              <w:t>further</w:t>
            </w:r>
            <w:r>
              <w:rPr>
                <w:spacing w:val="-2"/>
                <w:sz w:val="18"/>
              </w:rPr>
              <w:t> </w:t>
            </w:r>
            <w:r>
              <w:rPr>
                <w:sz w:val="18"/>
              </w:rPr>
              <w:t>questions.</w:t>
            </w:r>
          </w:p>
          <w:p>
            <w:pPr>
              <w:pStyle w:val="TableParagraph"/>
              <w:numPr>
                <w:ilvl w:val="0"/>
                <w:numId w:val="200"/>
              </w:numPr>
              <w:tabs>
                <w:tab w:pos="279" w:val="left" w:leader="none"/>
              </w:tabs>
              <w:spacing w:line="276" w:lineRule="auto" w:before="3" w:after="0"/>
              <w:ind w:left="278" w:right="229" w:hanging="171"/>
              <w:jc w:val="left"/>
              <w:rPr>
                <w:sz w:val="18"/>
              </w:rPr>
            </w:pPr>
            <w:r>
              <w:rPr>
                <w:sz w:val="18"/>
              </w:rPr>
              <w:t>Outline confidentiality/anonymity provisions, that is, that the participant will</w:t>
            </w:r>
            <w:r>
              <w:rPr>
                <w:spacing w:val="-48"/>
                <w:sz w:val="18"/>
              </w:rPr>
              <w:t> </w:t>
            </w:r>
            <w:r>
              <w:rPr>
                <w:sz w:val="18"/>
              </w:rPr>
              <w:t>not be named in any reporting of results to any parties, that any personal</w:t>
            </w:r>
            <w:r>
              <w:rPr>
                <w:spacing w:val="1"/>
                <w:sz w:val="18"/>
              </w:rPr>
              <w:t> </w:t>
            </w:r>
            <w:r>
              <w:rPr>
                <w:sz w:val="18"/>
              </w:rPr>
              <w:t>information gathered will not be disclosed to any other party, and that the</w:t>
            </w:r>
            <w:r>
              <w:rPr>
                <w:spacing w:val="-47"/>
                <w:sz w:val="18"/>
              </w:rPr>
              <w:t> </w:t>
            </w:r>
            <w:r>
              <w:rPr>
                <w:sz w:val="18"/>
              </w:rPr>
              <w:t>information provided will not be shared with the GP, other staff in the</w:t>
            </w:r>
            <w:r>
              <w:rPr>
                <w:spacing w:val="1"/>
                <w:sz w:val="18"/>
              </w:rPr>
              <w:t> </w:t>
            </w:r>
            <w:r>
              <w:rPr>
                <w:sz w:val="18"/>
              </w:rPr>
              <w:t>practice,</w:t>
            </w:r>
            <w:r>
              <w:rPr>
                <w:spacing w:val="-3"/>
                <w:sz w:val="18"/>
              </w:rPr>
              <w:t> </w:t>
            </w:r>
            <w:r>
              <w:rPr>
                <w:sz w:val="18"/>
              </w:rPr>
              <w:t>or</w:t>
            </w:r>
            <w:r>
              <w:rPr>
                <w:spacing w:val="1"/>
                <w:sz w:val="18"/>
              </w:rPr>
              <w:t> </w:t>
            </w:r>
            <w:r>
              <w:rPr>
                <w:sz w:val="18"/>
              </w:rPr>
              <w:t>any</w:t>
            </w:r>
            <w:r>
              <w:rPr>
                <w:spacing w:val="-1"/>
                <w:sz w:val="18"/>
              </w:rPr>
              <w:t> </w:t>
            </w:r>
            <w:r>
              <w:rPr>
                <w:sz w:val="18"/>
              </w:rPr>
              <w:t>other</w:t>
            </w:r>
            <w:r>
              <w:rPr>
                <w:spacing w:val="-3"/>
                <w:sz w:val="18"/>
              </w:rPr>
              <w:t> </w:t>
            </w:r>
            <w:r>
              <w:rPr>
                <w:sz w:val="18"/>
              </w:rPr>
              <w:t>healthcare provider.</w:t>
            </w:r>
          </w:p>
          <w:p>
            <w:pPr>
              <w:pStyle w:val="TableParagraph"/>
              <w:numPr>
                <w:ilvl w:val="0"/>
                <w:numId w:val="200"/>
              </w:numPr>
              <w:tabs>
                <w:tab w:pos="279" w:val="left" w:leader="none"/>
              </w:tabs>
              <w:spacing w:line="276" w:lineRule="auto" w:before="1" w:after="0"/>
              <w:ind w:left="278" w:right="413" w:hanging="171"/>
              <w:jc w:val="left"/>
              <w:rPr>
                <w:sz w:val="18"/>
              </w:rPr>
            </w:pPr>
            <w:r>
              <w:rPr>
                <w:sz w:val="18"/>
              </w:rPr>
              <w:t>Outline</w:t>
            </w:r>
            <w:r>
              <w:rPr>
                <w:spacing w:val="-4"/>
                <w:sz w:val="18"/>
              </w:rPr>
              <w:t> </w:t>
            </w:r>
            <w:r>
              <w:rPr>
                <w:sz w:val="18"/>
              </w:rPr>
              <w:t>how</w:t>
            </w:r>
            <w:r>
              <w:rPr>
                <w:spacing w:val="-4"/>
                <w:sz w:val="18"/>
              </w:rPr>
              <w:t> </w:t>
            </w:r>
            <w:r>
              <w:rPr>
                <w:sz w:val="18"/>
              </w:rPr>
              <w:t>the</w:t>
            </w:r>
            <w:r>
              <w:rPr>
                <w:spacing w:val="-2"/>
                <w:sz w:val="18"/>
              </w:rPr>
              <w:t> </w:t>
            </w:r>
            <w:r>
              <w:rPr>
                <w:sz w:val="18"/>
              </w:rPr>
              <w:t>participant</w:t>
            </w:r>
            <w:r>
              <w:rPr>
                <w:spacing w:val="-5"/>
                <w:sz w:val="18"/>
              </w:rPr>
              <w:t> </w:t>
            </w:r>
            <w:r>
              <w:rPr>
                <w:sz w:val="18"/>
              </w:rPr>
              <w:t>will</w:t>
            </w:r>
            <w:r>
              <w:rPr>
                <w:spacing w:val="-3"/>
                <w:sz w:val="18"/>
              </w:rPr>
              <w:t> </w:t>
            </w:r>
            <w:r>
              <w:rPr>
                <w:sz w:val="18"/>
              </w:rPr>
              <w:t>be</w:t>
            </w:r>
            <w:r>
              <w:rPr>
                <w:spacing w:val="-4"/>
                <w:sz w:val="18"/>
              </w:rPr>
              <w:t> </w:t>
            </w:r>
            <w:r>
              <w:rPr>
                <w:sz w:val="18"/>
              </w:rPr>
              <w:t>informed</w:t>
            </w:r>
            <w:r>
              <w:rPr>
                <w:spacing w:val="-3"/>
                <w:sz w:val="18"/>
              </w:rPr>
              <w:t> </w:t>
            </w:r>
            <w:r>
              <w:rPr>
                <w:sz w:val="18"/>
              </w:rPr>
              <w:t>of</w:t>
            </w:r>
            <w:r>
              <w:rPr>
                <w:spacing w:val="-1"/>
                <w:sz w:val="18"/>
              </w:rPr>
              <w:t> </w:t>
            </w:r>
            <w:r>
              <w:rPr>
                <w:sz w:val="18"/>
              </w:rPr>
              <w:t>the</w:t>
            </w:r>
            <w:r>
              <w:rPr>
                <w:spacing w:val="-2"/>
                <w:sz w:val="18"/>
              </w:rPr>
              <w:t> </w:t>
            </w:r>
            <w:r>
              <w:rPr>
                <w:sz w:val="18"/>
              </w:rPr>
              <w:t>results</w:t>
            </w:r>
            <w:r>
              <w:rPr>
                <w:spacing w:val="-3"/>
                <w:sz w:val="18"/>
              </w:rPr>
              <w:t> </w:t>
            </w:r>
            <w:r>
              <w:rPr>
                <w:sz w:val="18"/>
              </w:rPr>
              <w:t>of</w:t>
            </w:r>
            <w:r>
              <w:rPr>
                <w:spacing w:val="-2"/>
                <w:sz w:val="18"/>
              </w:rPr>
              <w:t> </w:t>
            </w:r>
            <w:r>
              <w:rPr>
                <w:sz w:val="18"/>
              </w:rPr>
              <w:t>the</w:t>
            </w:r>
            <w:r>
              <w:rPr>
                <w:spacing w:val="-2"/>
                <w:sz w:val="18"/>
              </w:rPr>
              <w:t> </w:t>
            </w:r>
            <w:r>
              <w:rPr>
                <w:sz w:val="18"/>
              </w:rPr>
              <w:t>research</w:t>
            </w:r>
            <w:r>
              <w:rPr>
                <w:spacing w:val="-47"/>
                <w:sz w:val="18"/>
              </w:rPr>
              <w:t> </w:t>
            </w:r>
            <w:r>
              <w:rPr>
                <w:sz w:val="18"/>
              </w:rPr>
              <w:t>when</w:t>
            </w:r>
            <w:r>
              <w:rPr>
                <w:spacing w:val="-2"/>
                <w:sz w:val="18"/>
              </w:rPr>
              <w:t> </w:t>
            </w:r>
            <w:r>
              <w:rPr>
                <w:sz w:val="18"/>
              </w:rPr>
              <w:t>it</w:t>
            </w:r>
            <w:r>
              <w:rPr>
                <w:spacing w:val="-3"/>
                <w:sz w:val="18"/>
              </w:rPr>
              <w:t> </w:t>
            </w:r>
            <w:r>
              <w:rPr>
                <w:sz w:val="18"/>
              </w:rPr>
              <w:t>is</w:t>
            </w:r>
            <w:r>
              <w:rPr>
                <w:spacing w:val="-3"/>
                <w:sz w:val="18"/>
              </w:rPr>
              <w:t> </w:t>
            </w:r>
            <w:r>
              <w:rPr>
                <w:sz w:val="18"/>
              </w:rPr>
              <w:t>finished.</w:t>
            </w:r>
          </w:p>
          <w:p>
            <w:pPr>
              <w:pStyle w:val="TableParagraph"/>
              <w:numPr>
                <w:ilvl w:val="0"/>
                <w:numId w:val="200"/>
              </w:numPr>
              <w:tabs>
                <w:tab w:pos="279" w:val="left" w:leader="none"/>
              </w:tabs>
              <w:spacing w:line="276" w:lineRule="auto" w:before="0" w:after="0"/>
              <w:ind w:left="278" w:right="647" w:hanging="171"/>
              <w:jc w:val="left"/>
              <w:rPr>
                <w:sz w:val="18"/>
              </w:rPr>
            </w:pPr>
            <w:r>
              <w:rPr>
                <w:sz w:val="18"/>
              </w:rPr>
              <w:t>Point</w:t>
            </w:r>
            <w:r>
              <w:rPr>
                <w:spacing w:val="-3"/>
                <w:sz w:val="18"/>
              </w:rPr>
              <w:t> </w:t>
            </w:r>
            <w:r>
              <w:rPr>
                <w:sz w:val="18"/>
              </w:rPr>
              <w:t>out</w:t>
            </w:r>
            <w:r>
              <w:rPr>
                <w:spacing w:val="-4"/>
                <w:sz w:val="18"/>
              </w:rPr>
              <w:t> </w:t>
            </w:r>
            <w:r>
              <w:rPr>
                <w:sz w:val="18"/>
              </w:rPr>
              <w:t>section</w:t>
            </w:r>
            <w:r>
              <w:rPr>
                <w:spacing w:val="-3"/>
                <w:sz w:val="18"/>
              </w:rPr>
              <w:t> </w:t>
            </w:r>
            <w:r>
              <w:rPr>
                <w:sz w:val="18"/>
              </w:rPr>
              <w:t>in</w:t>
            </w:r>
            <w:r>
              <w:rPr>
                <w:spacing w:val="-3"/>
                <w:sz w:val="18"/>
              </w:rPr>
              <w:t> </w:t>
            </w:r>
            <w:r>
              <w:rPr>
                <w:sz w:val="18"/>
              </w:rPr>
              <w:t>the</w:t>
            </w:r>
            <w:r>
              <w:rPr>
                <w:spacing w:val="-1"/>
                <w:sz w:val="18"/>
              </w:rPr>
              <w:t> </w:t>
            </w:r>
            <w:r>
              <w:rPr>
                <w:sz w:val="18"/>
              </w:rPr>
              <w:t>statement</w:t>
            </w:r>
            <w:r>
              <w:rPr>
                <w:spacing w:val="-3"/>
                <w:sz w:val="18"/>
              </w:rPr>
              <w:t> </w:t>
            </w:r>
            <w:r>
              <w:rPr>
                <w:sz w:val="18"/>
              </w:rPr>
              <w:t>on</w:t>
            </w:r>
            <w:r>
              <w:rPr>
                <w:spacing w:val="-1"/>
                <w:sz w:val="18"/>
              </w:rPr>
              <w:t> </w:t>
            </w:r>
            <w:r>
              <w:rPr>
                <w:sz w:val="18"/>
              </w:rPr>
              <w:t>who</w:t>
            </w:r>
            <w:r>
              <w:rPr>
                <w:spacing w:val="-1"/>
                <w:sz w:val="18"/>
              </w:rPr>
              <w:t> </w:t>
            </w:r>
            <w:r>
              <w:rPr>
                <w:sz w:val="18"/>
              </w:rPr>
              <w:t>to</w:t>
            </w:r>
            <w:r>
              <w:rPr>
                <w:spacing w:val="-1"/>
                <w:sz w:val="18"/>
              </w:rPr>
              <w:t> </w:t>
            </w:r>
            <w:r>
              <w:rPr>
                <w:sz w:val="18"/>
              </w:rPr>
              <w:t>contact</w:t>
            </w:r>
            <w:r>
              <w:rPr>
                <w:spacing w:val="-3"/>
                <w:sz w:val="18"/>
              </w:rPr>
              <w:t> </w:t>
            </w:r>
            <w:r>
              <w:rPr>
                <w:sz w:val="18"/>
              </w:rPr>
              <w:t>in</w:t>
            </w:r>
            <w:r>
              <w:rPr>
                <w:spacing w:val="-1"/>
                <w:sz w:val="18"/>
              </w:rPr>
              <w:t> </w:t>
            </w:r>
            <w:r>
              <w:rPr>
                <w:sz w:val="18"/>
              </w:rPr>
              <w:t>case</w:t>
            </w:r>
            <w:r>
              <w:rPr>
                <w:spacing w:val="-1"/>
                <w:sz w:val="18"/>
              </w:rPr>
              <w:t> </w:t>
            </w:r>
            <w:r>
              <w:rPr>
                <w:sz w:val="18"/>
              </w:rPr>
              <w:t>of</w:t>
            </w:r>
            <w:r>
              <w:rPr>
                <w:spacing w:val="-3"/>
                <w:sz w:val="18"/>
              </w:rPr>
              <w:t> </w:t>
            </w:r>
            <w:r>
              <w:rPr>
                <w:sz w:val="18"/>
              </w:rPr>
              <w:t>any</w:t>
            </w:r>
            <w:r>
              <w:rPr>
                <w:spacing w:val="-2"/>
                <w:sz w:val="18"/>
              </w:rPr>
              <w:t> </w:t>
            </w:r>
            <w:r>
              <w:rPr>
                <w:sz w:val="18"/>
              </w:rPr>
              <w:t>or</w:t>
            </w:r>
            <w:r>
              <w:rPr>
                <w:spacing w:val="-47"/>
                <w:sz w:val="18"/>
              </w:rPr>
              <w:t> </w:t>
            </w:r>
            <w:r>
              <w:rPr>
                <w:sz w:val="18"/>
              </w:rPr>
              <w:t>concerns</w:t>
            </w:r>
            <w:r>
              <w:rPr>
                <w:spacing w:val="-2"/>
                <w:sz w:val="18"/>
              </w:rPr>
              <w:t> </w:t>
            </w:r>
            <w:r>
              <w:rPr>
                <w:sz w:val="18"/>
              </w:rPr>
              <w:t>or</w:t>
            </w:r>
            <w:r>
              <w:rPr>
                <w:spacing w:val="-3"/>
                <w:sz w:val="18"/>
              </w:rPr>
              <w:t> </w:t>
            </w:r>
            <w:r>
              <w:rPr>
                <w:sz w:val="18"/>
              </w:rPr>
              <w:t>questions</w:t>
            </w:r>
            <w:r>
              <w:rPr>
                <w:spacing w:val="2"/>
                <w:sz w:val="18"/>
              </w:rPr>
              <w:t> </w:t>
            </w:r>
            <w:r>
              <w:rPr>
                <w:sz w:val="18"/>
              </w:rPr>
              <w:t>that</w:t>
            </w:r>
            <w:r>
              <w:rPr>
                <w:spacing w:val="-3"/>
                <w:sz w:val="18"/>
              </w:rPr>
              <w:t> </w:t>
            </w:r>
            <w:r>
              <w:rPr>
                <w:sz w:val="18"/>
              </w:rPr>
              <w:t>may</w:t>
            </w:r>
            <w:r>
              <w:rPr>
                <w:spacing w:val="-1"/>
                <w:sz w:val="18"/>
              </w:rPr>
              <w:t> </w:t>
            </w:r>
            <w:r>
              <w:rPr>
                <w:sz w:val="18"/>
              </w:rPr>
              <w:t>arise</w:t>
            </w:r>
            <w:r>
              <w:rPr>
                <w:spacing w:val="-1"/>
                <w:sz w:val="18"/>
              </w:rPr>
              <w:t> </w:t>
            </w:r>
            <w:r>
              <w:rPr>
                <w:sz w:val="18"/>
              </w:rPr>
              <w:t>after</w:t>
            </w:r>
            <w:r>
              <w:rPr>
                <w:spacing w:val="-2"/>
                <w:sz w:val="18"/>
              </w:rPr>
              <w:t> </w:t>
            </w:r>
            <w:r>
              <w:rPr>
                <w:sz w:val="18"/>
              </w:rPr>
              <w:t>the</w:t>
            </w:r>
            <w:r>
              <w:rPr>
                <w:spacing w:val="-3"/>
                <w:sz w:val="18"/>
              </w:rPr>
              <w:t> </w:t>
            </w:r>
            <w:r>
              <w:rPr>
                <w:sz w:val="18"/>
              </w:rPr>
              <w:t>interview.</w:t>
            </w:r>
          </w:p>
          <w:p>
            <w:pPr>
              <w:pStyle w:val="TableParagraph"/>
              <w:numPr>
                <w:ilvl w:val="0"/>
                <w:numId w:val="200"/>
              </w:numPr>
              <w:tabs>
                <w:tab w:pos="279" w:val="left" w:leader="none"/>
              </w:tabs>
              <w:spacing w:line="240" w:lineRule="auto" w:before="0" w:after="0"/>
              <w:ind w:left="278" w:right="0" w:hanging="172"/>
              <w:jc w:val="left"/>
              <w:rPr>
                <w:sz w:val="18"/>
              </w:rPr>
            </w:pPr>
            <w:r>
              <w:rPr>
                <w:sz w:val="18"/>
              </w:rPr>
              <w:t>Seek</w:t>
            </w:r>
            <w:r>
              <w:rPr>
                <w:spacing w:val="-2"/>
                <w:sz w:val="18"/>
              </w:rPr>
              <w:t> </w:t>
            </w:r>
            <w:r>
              <w:rPr>
                <w:sz w:val="18"/>
              </w:rPr>
              <w:t>permission</w:t>
            </w:r>
            <w:r>
              <w:rPr>
                <w:spacing w:val="-2"/>
                <w:sz w:val="18"/>
              </w:rPr>
              <w:t> </w:t>
            </w:r>
            <w:r>
              <w:rPr>
                <w:sz w:val="18"/>
              </w:rPr>
              <w:t>to</w:t>
            </w:r>
            <w:r>
              <w:rPr>
                <w:spacing w:val="-2"/>
                <w:sz w:val="18"/>
              </w:rPr>
              <w:t> </w:t>
            </w:r>
            <w:r>
              <w:rPr>
                <w:sz w:val="18"/>
              </w:rPr>
              <w:t>audio</w:t>
            </w:r>
            <w:r>
              <w:rPr>
                <w:spacing w:val="-5"/>
                <w:sz w:val="18"/>
              </w:rPr>
              <w:t> </w:t>
            </w:r>
            <w:r>
              <w:rPr>
                <w:sz w:val="18"/>
              </w:rPr>
              <w:t>record</w:t>
            </w:r>
            <w:r>
              <w:rPr>
                <w:spacing w:val="-5"/>
                <w:sz w:val="18"/>
              </w:rPr>
              <w:t> </w:t>
            </w:r>
            <w:r>
              <w:rPr>
                <w:sz w:val="18"/>
              </w:rPr>
              <w:t>interview.</w:t>
            </w:r>
          </w:p>
          <w:p>
            <w:pPr>
              <w:pStyle w:val="TableParagraph"/>
              <w:numPr>
                <w:ilvl w:val="0"/>
                <w:numId w:val="200"/>
              </w:numPr>
              <w:tabs>
                <w:tab w:pos="279" w:val="left" w:leader="none"/>
              </w:tabs>
              <w:spacing w:line="240" w:lineRule="auto" w:before="33" w:after="0"/>
              <w:ind w:left="278" w:right="0" w:hanging="172"/>
              <w:jc w:val="left"/>
              <w:rPr>
                <w:sz w:val="18"/>
              </w:rPr>
            </w:pPr>
            <w:r>
              <w:rPr>
                <w:sz w:val="18"/>
              </w:rPr>
              <w:t>Check</w:t>
            </w:r>
            <w:r>
              <w:rPr>
                <w:spacing w:val="-5"/>
                <w:sz w:val="18"/>
              </w:rPr>
              <w:t> </w:t>
            </w:r>
            <w:r>
              <w:rPr>
                <w:sz w:val="18"/>
              </w:rPr>
              <w:t>whether</w:t>
            </w:r>
            <w:r>
              <w:rPr>
                <w:spacing w:val="-4"/>
                <w:sz w:val="18"/>
              </w:rPr>
              <w:t> </w:t>
            </w:r>
            <w:r>
              <w:rPr>
                <w:sz w:val="18"/>
              </w:rPr>
              <w:t>the</w:t>
            </w:r>
            <w:r>
              <w:rPr>
                <w:spacing w:val="-2"/>
                <w:sz w:val="18"/>
              </w:rPr>
              <w:t> </w:t>
            </w:r>
            <w:r>
              <w:rPr>
                <w:sz w:val="18"/>
              </w:rPr>
              <w:t>participant</w:t>
            </w:r>
            <w:r>
              <w:rPr>
                <w:spacing w:val="-4"/>
                <w:sz w:val="18"/>
              </w:rPr>
              <w:t> </w:t>
            </w:r>
            <w:r>
              <w:rPr>
                <w:sz w:val="18"/>
              </w:rPr>
              <w:t>has</w:t>
            </w:r>
            <w:r>
              <w:rPr>
                <w:spacing w:val="-4"/>
                <w:sz w:val="18"/>
              </w:rPr>
              <w:t> </w:t>
            </w:r>
            <w:r>
              <w:rPr>
                <w:sz w:val="18"/>
              </w:rPr>
              <w:t>any</w:t>
            </w:r>
            <w:r>
              <w:rPr>
                <w:spacing w:val="-3"/>
                <w:sz w:val="18"/>
              </w:rPr>
              <w:t> </w:t>
            </w:r>
            <w:r>
              <w:rPr>
                <w:sz w:val="18"/>
              </w:rPr>
              <w:t>questions.</w:t>
            </w:r>
          </w:p>
          <w:p>
            <w:pPr>
              <w:pStyle w:val="TableParagraph"/>
              <w:numPr>
                <w:ilvl w:val="0"/>
                <w:numId w:val="200"/>
              </w:numPr>
              <w:tabs>
                <w:tab w:pos="279" w:val="left" w:leader="none"/>
              </w:tabs>
              <w:spacing w:line="240" w:lineRule="auto" w:before="32" w:after="0"/>
              <w:ind w:left="278" w:right="0" w:hanging="172"/>
              <w:jc w:val="left"/>
              <w:rPr>
                <w:sz w:val="18"/>
              </w:rPr>
            </w:pPr>
            <w:r>
              <w:rPr>
                <w:sz w:val="18"/>
              </w:rPr>
              <w:t>Obtain</w:t>
            </w:r>
            <w:r>
              <w:rPr>
                <w:spacing w:val="-3"/>
                <w:sz w:val="18"/>
              </w:rPr>
              <w:t> </w:t>
            </w:r>
            <w:r>
              <w:rPr>
                <w:sz w:val="18"/>
              </w:rPr>
              <w:t>signature</w:t>
            </w:r>
            <w:r>
              <w:rPr>
                <w:spacing w:val="-2"/>
                <w:sz w:val="18"/>
              </w:rPr>
              <w:t> </w:t>
            </w:r>
            <w:r>
              <w:rPr>
                <w:sz w:val="18"/>
              </w:rPr>
              <w:t>on</w:t>
            </w:r>
            <w:r>
              <w:rPr>
                <w:spacing w:val="-4"/>
                <w:sz w:val="18"/>
              </w:rPr>
              <w:t> </w:t>
            </w:r>
            <w:r>
              <w:rPr>
                <w:sz w:val="18"/>
              </w:rPr>
              <w:t>consent</w:t>
            </w:r>
            <w:r>
              <w:rPr>
                <w:spacing w:val="-4"/>
                <w:sz w:val="18"/>
              </w:rPr>
              <w:t> </w:t>
            </w:r>
            <w:r>
              <w:rPr>
                <w:sz w:val="18"/>
              </w:rPr>
              <w:t>form.</w:t>
            </w:r>
          </w:p>
        </w:tc>
      </w:tr>
      <w:tr>
        <w:trPr>
          <w:trHeight w:val="1670" w:hRule="atLeast"/>
        </w:trPr>
        <w:tc>
          <w:tcPr>
            <w:tcW w:w="1980" w:type="dxa"/>
          </w:tcPr>
          <w:p>
            <w:pPr>
              <w:pStyle w:val="TableParagraph"/>
              <w:spacing w:line="276" w:lineRule="auto" w:before="2"/>
              <w:ind w:left="107" w:right="523"/>
              <w:rPr>
                <w:sz w:val="16"/>
              </w:rPr>
            </w:pPr>
            <w:r>
              <w:rPr>
                <w:sz w:val="16"/>
              </w:rPr>
              <w:t>Conditions being</w:t>
            </w:r>
            <w:r>
              <w:rPr>
                <w:spacing w:val="-42"/>
                <w:sz w:val="16"/>
              </w:rPr>
              <w:t> </w:t>
            </w:r>
            <w:r>
              <w:rPr>
                <w:sz w:val="16"/>
              </w:rPr>
              <w:t>managed</w:t>
            </w:r>
            <w:r>
              <w:rPr>
                <w:spacing w:val="-2"/>
                <w:sz w:val="16"/>
              </w:rPr>
              <w:t> </w:t>
            </w:r>
            <w:r>
              <w:rPr>
                <w:sz w:val="16"/>
              </w:rPr>
              <w:t>by</w:t>
            </w:r>
            <w:r>
              <w:rPr>
                <w:spacing w:val="-2"/>
                <w:sz w:val="16"/>
              </w:rPr>
              <w:t> </w:t>
            </w:r>
            <w:r>
              <w:rPr>
                <w:sz w:val="16"/>
              </w:rPr>
              <w:t>GP</w:t>
            </w:r>
          </w:p>
        </w:tc>
        <w:tc>
          <w:tcPr>
            <w:tcW w:w="7038" w:type="dxa"/>
          </w:tcPr>
          <w:p>
            <w:pPr>
              <w:pStyle w:val="TableParagraph"/>
              <w:numPr>
                <w:ilvl w:val="0"/>
                <w:numId w:val="201"/>
              </w:numPr>
              <w:tabs>
                <w:tab w:pos="279" w:val="left" w:leader="none"/>
              </w:tabs>
              <w:spacing w:line="273" w:lineRule="auto" w:before="1" w:after="0"/>
              <w:ind w:left="278" w:right="260" w:hanging="171"/>
              <w:jc w:val="left"/>
              <w:rPr>
                <w:sz w:val="18"/>
              </w:rPr>
            </w:pPr>
            <w:r>
              <w:rPr>
                <w:sz w:val="18"/>
              </w:rPr>
              <w:t>(</w:t>
            </w:r>
            <w:r>
              <w:rPr>
                <w:b/>
                <w:sz w:val="18"/>
              </w:rPr>
              <w:t>R2</w:t>
            </w:r>
            <w:r>
              <w:rPr>
                <w:sz w:val="18"/>
              </w:rPr>
              <w:t>) Could you tell me about the health conditions you are seeing your GP</w:t>
            </w:r>
            <w:r>
              <w:rPr>
                <w:spacing w:val="-47"/>
                <w:sz w:val="18"/>
              </w:rPr>
              <w:t> </w:t>
            </w:r>
            <w:r>
              <w:rPr>
                <w:sz w:val="18"/>
              </w:rPr>
              <w:t>for</w:t>
            </w:r>
            <w:r>
              <w:rPr>
                <w:spacing w:val="-1"/>
                <w:sz w:val="18"/>
              </w:rPr>
              <w:t> </w:t>
            </w:r>
            <w:r>
              <w:rPr>
                <w:sz w:val="18"/>
              </w:rPr>
              <w:t>at</w:t>
            </w:r>
            <w:r>
              <w:rPr>
                <w:spacing w:val="-2"/>
                <w:sz w:val="18"/>
              </w:rPr>
              <w:t> </w:t>
            </w:r>
            <w:r>
              <w:rPr>
                <w:sz w:val="18"/>
              </w:rPr>
              <w:t>the moment?</w:t>
            </w:r>
          </w:p>
          <w:p>
            <w:pPr>
              <w:pStyle w:val="TableParagraph"/>
              <w:spacing w:before="6"/>
              <w:rPr>
                <w:sz w:val="16"/>
              </w:rPr>
            </w:pPr>
          </w:p>
          <w:p>
            <w:pPr>
              <w:pStyle w:val="TableParagraph"/>
              <w:numPr>
                <w:ilvl w:val="0"/>
                <w:numId w:val="201"/>
              </w:numPr>
              <w:tabs>
                <w:tab w:pos="279" w:val="left" w:leader="none"/>
              </w:tabs>
              <w:spacing w:line="276" w:lineRule="auto" w:before="0" w:after="0"/>
              <w:ind w:left="278" w:right="289" w:hanging="171"/>
              <w:jc w:val="left"/>
              <w:rPr>
                <w:sz w:val="18"/>
              </w:rPr>
            </w:pPr>
            <w:r>
              <w:rPr>
                <w:sz w:val="18"/>
              </w:rPr>
              <w:t>(</w:t>
            </w:r>
            <w:r>
              <w:rPr>
                <w:b/>
                <w:sz w:val="18"/>
              </w:rPr>
              <w:t>R4/R5</w:t>
            </w:r>
            <w:r>
              <w:rPr>
                <w:sz w:val="18"/>
              </w:rPr>
              <w:t>)</w:t>
            </w:r>
            <w:r>
              <w:rPr>
                <w:spacing w:val="-5"/>
                <w:sz w:val="18"/>
              </w:rPr>
              <w:t> </w:t>
            </w:r>
            <w:r>
              <w:rPr>
                <w:sz w:val="18"/>
              </w:rPr>
              <w:t>Could</w:t>
            </w:r>
            <w:r>
              <w:rPr>
                <w:spacing w:val="-3"/>
                <w:sz w:val="18"/>
              </w:rPr>
              <w:t> </w:t>
            </w:r>
            <w:r>
              <w:rPr>
                <w:sz w:val="18"/>
              </w:rPr>
              <w:t>you</w:t>
            </w:r>
            <w:r>
              <w:rPr>
                <w:spacing w:val="-2"/>
                <w:sz w:val="18"/>
              </w:rPr>
              <w:t> </w:t>
            </w:r>
            <w:r>
              <w:rPr>
                <w:sz w:val="18"/>
              </w:rPr>
              <w:t>tell</w:t>
            </w:r>
            <w:r>
              <w:rPr>
                <w:spacing w:val="-1"/>
                <w:sz w:val="18"/>
              </w:rPr>
              <w:t> </w:t>
            </w:r>
            <w:r>
              <w:rPr>
                <w:sz w:val="18"/>
              </w:rPr>
              <w:t>me</w:t>
            </w:r>
            <w:r>
              <w:rPr>
                <w:spacing w:val="-2"/>
                <w:sz w:val="18"/>
              </w:rPr>
              <w:t> </w:t>
            </w:r>
            <w:r>
              <w:rPr>
                <w:sz w:val="18"/>
              </w:rPr>
              <w:t>about</w:t>
            </w:r>
            <w:r>
              <w:rPr>
                <w:spacing w:val="-4"/>
                <w:sz w:val="18"/>
              </w:rPr>
              <w:t> </w:t>
            </w:r>
            <w:r>
              <w:rPr>
                <w:sz w:val="18"/>
              </w:rPr>
              <w:t>the</w:t>
            </w:r>
            <w:r>
              <w:rPr>
                <w:spacing w:val="-2"/>
                <w:sz w:val="18"/>
              </w:rPr>
              <w:t> </w:t>
            </w:r>
            <w:r>
              <w:rPr>
                <w:sz w:val="18"/>
              </w:rPr>
              <w:t>health</w:t>
            </w:r>
            <w:r>
              <w:rPr>
                <w:spacing w:val="-3"/>
                <w:sz w:val="18"/>
              </w:rPr>
              <w:t> </w:t>
            </w:r>
            <w:r>
              <w:rPr>
                <w:sz w:val="18"/>
              </w:rPr>
              <w:t>conditions</w:t>
            </w:r>
            <w:r>
              <w:rPr>
                <w:spacing w:val="-3"/>
                <w:sz w:val="18"/>
              </w:rPr>
              <w:t> </w:t>
            </w:r>
            <w:r>
              <w:rPr>
                <w:sz w:val="18"/>
              </w:rPr>
              <w:t>you</w:t>
            </w:r>
            <w:r>
              <w:rPr>
                <w:spacing w:val="-2"/>
                <w:sz w:val="18"/>
              </w:rPr>
              <w:t> </w:t>
            </w:r>
            <w:r>
              <w:rPr>
                <w:sz w:val="18"/>
              </w:rPr>
              <w:t>are</w:t>
            </w:r>
            <w:r>
              <w:rPr>
                <w:spacing w:val="-3"/>
                <w:sz w:val="18"/>
              </w:rPr>
              <w:t> </w:t>
            </w:r>
            <w:r>
              <w:rPr>
                <w:sz w:val="18"/>
              </w:rPr>
              <w:t>seeing</w:t>
            </w:r>
            <w:r>
              <w:rPr>
                <w:spacing w:val="-4"/>
                <w:sz w:val="18"/>
              </w:rPr>
              <w:t> </w:t>
            </w:r>
            <w:r>
              <w:rPr>
                <w:sz w:val="18"/>
              </w:rPr>
              <w:t>your</w:t>
            </w:r>
            <w:r>
              <w:rPr>
                <w:spacing w:val="-47"/>
                <w:sz w:val="18"/>
              </w:rPr>
              <w:t> </w:t>
            </w:r>
            <w:r>
              <w:rPr>
                <w:sz w:val="18"/>
              </w:rPr>
              <w:t>GP for at the moment? Has this changed from when you were last</w:t>
            </w:r>
            <w:r>
              <w:rPr>
                <w:spacing w:val="1"/>
                <w:sz w:val="18"/>
              </w:rPr>
              <w:t> </w:t>
            </w:r>
            <w:r>
              <w:rPr>
                <w:sz w:val="18"/>
              </w:rPr>
              <w:t>interviewed?</w:t>
            </w:r>
          </w:p>
        </w:tc>
      </w:tr>
      <w:tr>
        <w:trPr>
          <w:trHeight w:val="570" w:hRule="atLeast"/>
        </w:trPr>
        <w:tc>
          <w:tcPr>
            <w:tcW w:w="1980" w:type="dxa"/>
          </w:tcPr>
          <w:p>
            <w:pPr>
              <w:pStyle w:val="TableParagraph"/>
              <w:spacing w:line="276" w:lineRule="auto"/>
              <w:ind w:left="107" w:right="347"/>
              <w:rPr>
                <w:sz w:val="16"/>
              </w:rPr>
            </w:pPr>
            <w:r>
              <w:rPr>
                <w:sz w:val="16"/>
              </w:rPr>
              <w:t>Decision to enroll in</w:t>
            </w:r>
            <w:r>
              <w:rPr>
                <w:spacing w:val="-42"/>
                <w:sz w:val="16"/>
              </w:rPr>
              <w:t> </w:t>
            </w:r>
            <w:r>
              <w:rPr>
                <w:sz w:val="16"/>
              </w:rPr>
              <w:t>HCH</w:t>
            </w:r>
          </w:p>
        </w:tc>
        <w:tc>
          <w:tcPr>
            <w:tcW w:w="7038" w:type="dxa"/>
          </w:tcPr>
          <w:p>
            <w:pPr>
              <w:pStyle w:val="TableParagraph"/>
              <w:numPr>
                <w:ilvl w:val="0"/>
                <w:numId w:val="202"/>
              </w:numPr>
              <w:tabs>
                <w:tab w:pos="279" w:val="left" w:leader="none"/>
              </w:tabs>
              <w:spacing w:line="219" w:lineRule="exact" w:before="0" w:after="0"/>
              <w:ind w:left="278" w:right="0" w:hanging="172"/>
              <w:jc w:val="left"/>
              <w:rPr>
                <w:sz w:val="18"/>
              </w:rPr>
            </w:pPr>
            <w:r>
              <w:rPr>
                <w:sz w:val="18"/>
              </w:rPr>
              <w:t>(</w:t>
            </w:r>
            <w:r>
              <w:rPr>
                <w:b/>
                <w:sz w:val="18"/>
              </w:rPr>
              <w:t>R2</w:t>
            </w:r>
            <w:r>
              <w:rPr>
                <w:sz w:val="18"/>
              </w:rPr>
              <w:t>)</w:t>
            </w:r>
            <w:r>
              <w:rPr>
                <w:spacing w:val="1"/>
                <w:sz w:val="18"/>
              </w:rPr>
              <w:t> </w:t>
            </w:r>
            <w:r>
              <w:rPr>
                <w:sz w:val="18"/>
              </w:rPr>
              <w:t>What</w:t>
            </w:r>
            <w:r>
              <w:rPr>
                <w:spacing w:val="-4"/>
                <w:sz w:val="18"/>
              </w:rPr>
              <w:t> </w:t>
            </w:r>
            <w:r>
              <w:rPr>
                <w:sz w:val="18"/>
              </w:rPr>
              <w:t>led</w:t>
            </w:r>
            <w:r>
              <w:rPr>
                <w:spacing w:val="-3"/>
                <w:sz w:val="18"/>
              </w:rPr>
              <w:t> </w:t>
            </w:r>
            <w:r>
              <w:rPr>
                <w:sz w:val="18"/>
              </w:rPr>
              <w:t>you</w:t>
            </w:r>
            <w:r>
              <w:rPr>
                <w:spacing w:val="-2"/>
                <w:sz w:val="18"/>
              </w:rPr>
              <w:t> </w:t>
            </w:r>
            <w:r>
              <w:rPr>
                <w:sz w:val="18"/>
              </w:rPr>
              <w:t>decide</w:t>
            </w:r>
            <w:r>
              <w:rPr>
                <w:spacing w:val="-1"/>
                <w:sz w:val="18"/>
              </w:rPr>
              <w:t> </w:t>
            </w:r>
            <w:r>
              <w:rPr>
                <w:sz w:val="18"/>
              </w:rPr>
              <w:t>to</w:t>
            </w:r>
            <w:r>
              <w:rPr>
                <w:spacing w:val="-1"/>
                <w:sz w:val="18"/>
              </w:rPr>
              <w:t> </w:t>
            </w:r>
            <w:r>
              <w:rPr>
                <w:sz w:val="18"/>
              </w:rPr>
              <w:t>enroll</w:t>
            </w:r>
            <w:r>
              <w:rPr>
                <w:spacing w:val="-5"/>
                <w:sz w:val="18"/>
              </w:rPr>
              <w:t> </w:t>
            </w:r>
            <w:r>
              <w:rPr>
                <w:sz w:val="18"/>
              </w:rPr>
              <w:t>in</w:t>
            </w:r>
            <w:r>
              <w:rPr>
                <w:spacing w:val="-3"/>
                <w:sz w:val="18"/>
              </w:rPr>
              <w:t> </w:t>
            </w:r>
            <w:r>
              <w:rPr>
                <w:sz w:val="18"/>
              </w:rPr>
              <w:t>HCH?</w:t>
            </w:r>
          </w:p>
        </w:tc>
      </w:tr>
      <w:tr>
        <w:trPr>
          <w:trHeight w:val="1135" w:hRule="atLeast"/>
        </w:trPr>
        <w:tc>
          <w:tcPr>
            <w:tcW w:w="1980" w:type="dxa"/>
          </w:tcPr>
          <w:p>
            <w:pPr>
              <w:pStyle w:val="TableParagraph"/>
              <w:spacing w:line="196" w:lineRule="exact"/>
              <w:ind w:left="107"/>
              <w:rPr>
                <w:sz w:val="16"/>
              </w:rPr>
            </w:pPr>
            <w:r>
              <w:rPr>
                <w:sz w:val="16"/>
              </w:rPr>
              <w:t>Care</w:t>
            </w:r>
            <w:r>
              <w:rPr>
                <w:spacing w:val="-3"/>
                <w:sz w:val="16"/>
              </w:rPr>
              <w:t> </w:t>
            </w:r>
            <w:r>
              <w:rPr>
                <w:sz w:val="16"/>
              </w:rPr>
              <w:t>process</w:t>
            </w:r>
          </w:p>
        </w:tc>
        <w:tc>
          <w:tcPr>
            <w:tcW w:w="7038" w:type="dxa"/>
          </w:tcPr>
          <w:p>
            <w:pPr>
              <w:pStyle w:val="TableParagraph"/>
              <w:numPr>
                <w:ilvl w:val="0"/>
                <w:numId w:val="203"/>
              </w:numPr>
              <w:tabs>
                <w:tab w:pos="279" w:val="left" w:leader="none"/>
              </w:tabs>
              <w:spacing w:line="219" w:lineRule="exact" w:before="0" w:after="0"/>
              <w:ind w:left="278" w:right="0" w:hanging="172"/>
              <w:jc w:val="left"/>
              <w:rPr>
                <w:sz w:val="18"/>
              </w:rPr>
            </w:pPr>
            <w:r>
              <w:rPr>
                <w:sz w:val="18"/>
              </w:rPr>
              <w:t>How</w:t>
            </w:r>
            <w:r>
              <w:rPr>
                <w:spacing w:val="-4"/>
                <w:sz w:val="18"/>
              </w:rPr>
              <w:t> </w:t>
            </w:r>
            <w:r>
              <w:rPr>
                <w:sz w:val="18"/>
              </w:rPr>
              <w:t>is</w:t>
            </w:r>
            <w:r>
              <w:rPr>
                <w:spacing w:val="-4"/>
                <w:sz w:val="18"/>
              </w:rPr>
              <w:t> </w:t>
            </w:r>
            <w:r>
              <w:rPr>
                <w:sz w:val="18"/>
              </w:rPr>
              <w:t>your</w:t>
            </w:r>
            <w:r>
              <w:rPr>
                <w:spacing w:val="-1"/>
                <w:sz w:val="18"/>
              </w:rPr>
              <w:t> </w:t>
            </w:r>
            <w:r>
              <w:rPr>
                <w:sz w:val="18"/>
              </w:rPr>
              <w:t>GP</w:t>
            </w:r>
            <w:r>
              <w:rPr>
                <w:spacing w:val="-4"/>
                <w:sz w:val="18"/>
              </w:rPr>
              <w:t> </w:t>
            </w:r>
            <w:r>
              <w:rPr>
                <w:sz w:val="18"/>
              </w:rPr>
              <w:t>or</w:t>
            </w:r>
            <w:r>
              <w:rPr>
                <w:spacing w:val="-1"/>
                <w:sz w:val="18"/>
              </w:rPr>
              <w:t> </w:t>
            </w:r>
            <w:r>
              <w:rPr>
                <w:sz w:val="18"/>
              </w:rPr>
              <w:t>others</w:t>
            </w:r>
            <w:r>
              <w:rPr>
                <w:spacing w:val="-3"/>
                <w:sz w:val="18"/>
              </w:rPr>
              <w:t> </w:t>
            </w:r>
            <w:r>
              <w:rPr>
                <w:sz w:val="18"/>
              </w:rPr>
              <w:t>at</w:t>
            </w:r>
            <w:r>
              <w:rPr>
                <w:spacing w:val="-6"/>
                <w:sz w:val="18"/>
              </w:rPr>
              <w:t> </w:t>
            </w:r>
            <w:r>
              <w:rPr>
                <w:sz w:val="18"/>
              </w:rPr>
              <w:t>your</w:t>
            </w:r>
            <w:r>
              <w:rPr>
                <w:spacing w:val="-2"/>
                <w:sz w:val="18"/>
              </w:rPr>
              <w:t> </w:t>
            </w:r>
            <w:r>
              <w:rPr>
                <w:sz w:val="18"/>
              </w:rPr>
              <w:t>GP’s</w:t>
            </w:r>
            <w:r>
              <w:rPr>
                <w:spacing w:val="-3"/>
                <w:sz w:val="18"/>
              </w:rPr>
              <w:t> </w:t>
            </w:r>
            <w:r>
              <w:rPr>
                <w:sz w:val="18"/>
              </w:rPr>
              <w:t>practice</w:t>
            </w:r>
            <w:r>
              <w:rPr>
                <w:spacing w:val="1"/>
                <w:sz w:val="18"/>
              </w:rPr>
              <w:t> </w:t>
            </w:r>
            <w:r>
              <w:rPr>
                <w:sz w:val="18"/>
              </w:rPr>
              <w:t>(such</w:t>
            </w:r>
            <w:r>
              <w:rPr>
                <w:spacing w:val="-2"/>
                <w:sz w:val="18"/>
              </w:rPr>
              <w:t> </w:t>
            </w:r>
            <w:r>
              <w:rPr>
                <w:sz w:val="18"/>
              </w:rPr>
              <w:t>as</w:t>
            </w:r>
            <w:r>
              <w:rPr>
                <w:spacing w:val="-3"/>
                <w:sz w:val="18"/>
              </w:rPr>
              <w:t> </w:t>
            </w:r>
            <w:r>
              <w:rPr>
                <w:sz w:val="18"/>
              </w:rPr>
              <w:t>a</w:t>
            </w:r>
            <w:r>
              <w:rPr>
                <w:spacing w:val="-3"/>
                <w:sz w:val="18"/>
              </w:rPr>
              <w:t> </w:t>
            </w:r>
            <w:r>
              <w:rPr>
                <w:sz w:val="18"/>
              </w:rPr>
              <w:t>nurse)</w:t>
            </w:r>
            <w:r>
              <w:rPr>
                <w:spacing w:val="-4"/>
                <w:sz w:val="18"/>
              </w:rPr>
              <w:t> </w:t>
            </w:r>
            <w:r>
              <w:rPr>
                <w:sz w:val="18"/>
              </w:rPr>
              <w:t>helping</w:t>
            </w:r>
            <w:r>
              <w:rPr>
                <w:spacing w:val="-4"/>
                <w:sz w:val="18"/>
              </w:rPr>
              <w:t> </w:t>
            </w:r>
            <w:r>
              <w:rPr>
                <w:sz w:val="18"/>
              </w:rPr>
              <w:t>you</w:t>
            </w:r>
          </w:p>
          <w:p>
            <w:pPr>
              <w:pStyle w:val="TableParagraph"/>
              <w:spacing w:before="33"/>
              <w:ind w:left="278"/>
              <w:rPr>
                <w:sz w:val="18"/>
              </w:rPr>
            </w:pPr>
            <w:r>
              <w:rPr>
                <w:sz w:val="18"/>
              </w:rPr>
              <w:t>to</w:t>
            </w:r>
            <w:r>
              <w:rPr>
                <w:spacing w:val="-3"/>
                <w:sz w:val="18"/>
              </w:rPr>
              <w:t> </w:t>
            </w:r>
            <w:r>
              <w:rPr>
                <w:sz w:val="18"/>
              </w:rPr>
              <w:t>manage</w:t>
            </w:r>
            <w:r>
              <w:rPr>
                <w:spacing w:val="-5"/>
                <w:sz w:val="18"/>
              </w:rPr>
              <w:t> </w:t>
            </w:r>
            <w:r>
              <w:rPr>
                <w:sz w:val="18"/>
              </w:rPr>
              <w:t>your</w:t>
            </w:r>
            <w:r>
              <w:rPr>
                <w:spacing w:val="-5"/>
                <w:sz w:val="18"/>
              </w:rPr>
              <w:t> </w:t>
            </w:r>
            <w:r>
              <w:rPr>
                <w:sz w:val="18"/>
              </w:rPr>
              <w:t>health</w:t>
            </w:r>
            <w:r>
              <w:rPr>
                <w:spacing w:val="-5"/>
                <w:sz w:val="18"/>
              </w:rPr>
              <w:t> </w:t>
            </w:r>
            <w:r>
              <w:rPr>
                <w:sz w:val="18"/>
              </w:rPr>
              <w:t>condition(s)?</w:t>
            </w:r>
          </w:p>
          <w:p>
            <w:pPr>
              <w:pStyle w:val="TableParagraph"/>
              <w:spacing w:before="1"/>
              <w:rPr>
                <w:sz w:val="19"/>
              </w:rPr>
            </w:pPr>
          </w:p>
          <w:p>
            <w:pPr>
              <w:pStyle w:val="TableParagraph"/>
              <w:spacing w:before="1"/>
              <w:ind w:left="107"/>
              <w:rPr>
                <w:sz w:val="16"/>
              </w:rPr>
            </w:pPr>
            <w:r>
              <w:rPr>
                <w:sz w:val="16"/>
              </w:rPr>
              <w:t>Prompts</w:t>
            </w:r>
            <w:r>
              <w:rPr>
                <w:spacing w:val="-3"/>
                <w:sz w:val="16"/>
              </w:rPr>
              <w:t> </w:t>
            </w:r>
            <w:r>
              <w:rPr>
                <w:sz w:val="16"/>
              </w:rPr>
              <w:t>–</w:t>
            </w:r>
            <w:r>
              <w:rPr>
                <w:spacing w:val="-1"/>
                <w:sz w:val="16"/>
              </w:rPr>
              <w:t> </w:t>
            </w:r>
            <w:r>
              <w:rPr>
                <w:sz w:val="16"/>
              </w:rPr>
              <w:t>assistance</w:t>
            </w:r>
            <w:r>
              <w:rPr>
                <w:spacing w:val="-4"/>
                <w:sz w:val="16"/>
              </w:rPr>
              <w:t> </w:t>
            </w:r>
            <w:r>
              <w:rPr>
                <w:sz w:val="16"/>
              </w:rPr>
              <w:t>with/</w:t>
            </w:r>
            <w:r>
              <w:rPr>
                <w:spacing w:val="-3"/>
                <w:sz w:val="16"/>
              </w:rPr>
              <w:t> </w:t>
            </w:r>
            <w:r>
              <w:rPr>
                <w:sz w:val="16"/>
              </w:rPr>
              <w:t>how assistance</w:t>
            </w:r>
            <w:r>
              <w:rPr>
                <w:spacing w:val="-4"/>
                <w:sz w:val="16"/>
              </w:rPr>
              <w:t> </w:t>
            </w:r>
            <w:r>
              <w:rPr>
                <w:sz w:val="16"/>
              </w:rPr>
              <w:t>is</w:t>
            </w:r>
            <w:r>
              <w:rPr>
                <w:spacing w:val="-3"/>
                <w:sz w:val="16"/>
              </w:rPr>
              <w:t> </w:t>
            </w:r>
            <w:r>
              <w:rPr>
                <w:sz w:val="16"/>
              </w:rPr>
              <w:t>being</w:t>
            </w:r>
            <w:r>
              <w:rPr>
                <w:spacing w:val="-3"/>
                <w:sz w:val="16"/>
              </w:rPr>
              <w:t> </w:t>
            </w:r>
            <w:r>
              <w:rPr>
                <w:sz w:val="16"/>
              </w:rPr>
              <w:t>provided:</w:t>
            </w:r>
          </w:p>
        </w:tc>
      </w:tr>
    </w:tbl>
    <w:p>
      <w:pPr>
        <w:spacing w:after="0"/>
        <w:rPr>
          <w:sz w:val="16"/>
        </w:rPr>
        <w:sectPr>
          <w:footerReference w:type="default" r:id="rId64"/>
          <w:pgSz w:w="11910" w:h="16840"/>
          <w:pgMar w:footer="948" w:header="0" w:top="20" w:bottom="1569" w:left="300" w:right="0"/>
        </w:sectPr>
      </w:pPr>
    </w:p>
    <w:tbl>
      <w:tblPr>
        <w:tblW w:w="0" w:type="auto"/>
        <w:jc w:val="left"/>
        <w:tblInd w:w="11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980"/>
        <w:gridCol w:w="7038"/>
      </w:tblGrid>
      <w:tr>
        <w:trPr>
          <w:trHeight w:val="225" w:hRule="atLeast"/>
        </w:trPr>
        <w:tc>
          <w:tcPr>
            <w:tcW w:w="1980" w:type="dxa"/>
            <w:shd w:val="clear" w:color="auto" w:fill="003C79"/>
          </w:tcPr>
          <w:p>
            <w:pPr>
              <w:pStyle w:val="TableParagraph"/>
              <w:spacing w:line="196" w:lineRule="exact"/>
              <w:ind w:left="107"/>
              <w:rPr>
                <w:b/>
                <w:sz w:val="16"/>
              </w:rPr>
            </w:pPr>
            <w:r>
              <w:rPr>
                <w:b/>
                <w:color w:val="FFFFFF"/>
                <w:sz w:val="16"/>
              </w:rPr>
              <w:t>Topic</w:t>
            </w:r>
          </w:p>
        </w:tc>
        <w:tc>
          <w:tcPr>
            <w:tcW w:w="7038" w:type="dxa"/>
            <w:shd w:val="clear" w:color="auto" w:fill="003C79"/>
          </w:tcPr>
          <w:p>
            <w:pPr>
              <w:pStyle w:val="TableParagraph"/>
              <w:spacing w:line="196" w:lineRule="exact"/>
              <w:ind w:left="107"/>
              <w:rPr>
                <w:b/>
                <w:sz w:val="16"/>
              </w:rPr>
            </w:pPr>
            <w:r>
              <w:rPr>
                <w:b/>
                <w:color w:val="FFFFFF"/>
                <w:sz w:val="16"/>
              </w:rPr>
              <w:t>Question</w:t>
            </w:r>
          </w:p>
        </w:tc>
      </w:tr>
      <w:tr>
        <w:trPr>
          <w:trHeight w:val="2992" w:hRule="atLeast"/>
        </w:trPr>
        <w:tc>
          <w:tcPr>
            <w:tcW w:w="1980" w:type="dxa"/>
          </w:tcPr>
          <w:p>
            <w:pPr>
              <w:pStyle w:val="TableParagraph"/>
              <w:rPr>
                <w:rFonts w:ascii="Times New Roman"/>
                <w:sz w:val="16"/>
              </w:rPr>
            </w:pPr>
          </w:p>
        </w:tc>
        <w:tc>
          <w:tcPr>
            <w:tcW w:w="7038" w:type="dxa"/>
          </w:tcPr>
          <w:p>
            <w:pPr>
              <w:pStyle w:val="TableParagraph"/>
              <w:numPr>
                <w:ilvl w:val="0"/>
                <w:numId w:val="204"/>
              </w:numPr>
              <w:tabs>
                <w:tab w:pos="821" w:val="left" w:leader="none"/>
                <w:tab w:pos="822" w:val="left" w:leader="none"/>
              </w:tabs>
              <w:spacing w:line="219" w:lineRule="exact" w:before="0" w:after="0"/>
              <w:ind w:left="821" w:right="0" w:hanging="357"/>
              <w:jc w:val="left"/>
              <w:rPr>
                <w:sz w:val="18"/>
              </w:rPr>
            </w:pPr>
            <w:r>
              <w:rPr>
                <w:sz w:val="18"/>
              </w:rPr>
              <w:t>Understanding</w:t>
            </w:r>
            <w:r>
              <w:rPr>
                <w:spacing w:val="-6"/>
                <w:sz w:val="18"/>
              </w:rPr>
              <w:t> </w:t>
            </w:r>
            <w:r>
              <w:rPr>
                <w:sz w:val="18"/>
              </w:rPr>
              <w:t>nature</w:t>
            </w:r>
            <w:r>
              <w:rPr>
                <w:spacing w:val="-3"/>
                <w:sz w:val="18"/>
              </w:rPr>
              <w:t> </w:t>
            </w:r>
            <w:r>
              <w:rPr>
                <w:sz w:val="18"/>
              </w:rPr>
              <w:t>and</w:t>
            </w:r>
            <w:r>
              <w:rPr>
                <w:spacing w:val="-5"/>
                <w:sz w:val="18"/>
              </w:rPr>
              <w:t> </w:t>
            </w:r>
            <w:r>
              <w:rPr>
                <w:sz w:val="18"/>
              </w:rPr>
              <w:t>cause</w:t>
            </w:r>
            <w:r>
              <w:rPr>
                <w:spacing w:val="-3"/>
                <w:sz w:val="18"/>
              </w:rPr>
              <w:t> </w:t>
            </w:r>
            <w:r>
              <w:rPr>
                <w:sz w:val="18"/>
              </w:rPr>
              <w:t>of</w:t>
            </w:r>
            <w:r>
              <w:rPr>
                <w:spacing w:val="-6"/>
                <w:sz w:val="18"/>
              </w:rPr>
              <w:t> </w:t>
            </w:r>
            <w:r>
              <w:rPr>
                <w:sz w:val="18"/>
              </w:rPr>
              <w:t>health</w:t>
            </w:r>
            <w:r>
              <w:rPr>
                <w:spacing w:val="1"/>
                <w:sz w:val="18"/>
              </w:rPr>
              <w:t> </w:t>
            </w:r>
            <w:r>
              <w:rPr>
                <w:sz w:val="18"/>
              </w:rPr>
              <w:t>conditions(s)?</w:t>
            </w:r>
          </w:p>
          <w:p>
            <w:pPr>
              <w:pStyle w:val="TableParagraph"/>
              <w:numPr>
                <w:ilvl w:val="0"/>
                <w:numId w:val="204"/>
              </w:numPr>
              <w:tabs>
                <w:tab w:pos="821" w:val="left" w:leader="none"/>
                <w:tab w:pos="822" w:val="left" w:leader="none"/>
              </w:tabs>
              <w:spacing w:line="240" w:lineRule="auto" w:before="33" w:after="0"/>
              <w:ind w:left="821" w:right="0" w:hanging="357"/>
              <w:jc w:val="left"/>
              <w:rPr>
                <w:sz w:val="18"/>
              </w:rPr>
            </w:pPr>
            <w:r>
              <w:rPr>
                <w:sz w:val="18"/>
              </w:rPr>
              <w:t>Understanding</w:t>
            </w:r>
            <w:r>
              <w:rPr>
                <w:spacing w:val="-5"/>
                <w:sz w:val="18"/>
              </w:rPr>
              <w:t> </w:t>
            </w:r>
            <w:r>
              <w:rPr>
                <w:sz w:val="18"/>
              </w:rPr>
              <w:t>the</w:t>
            </w:r>
            <w:r>
              <w:rPr>
                <w:spacing w:val="-2"/>
                <w:sz w:val="18"/>
              </w:rPr>
              <w:t> </w:t>
            </w:r>
            <w:r>
              <w:rPr>
                <w:sz w:val="18"/>
              </w:rPr>
              <w:t>role</w:t>
            </w:r>
            <w:r>
              <w:rPr>
                <w:spacing w:val="-6"/>
                <w:sz w:val="18"/>
              </w:rPr>
              <w:t> </w:t>
            </w:r>
            <w:r>
              <w:rPr>
                <w:sz w:val="18"/>
              </w:rPr>
              <w:t>of</w:t>
            </w:r>
            <w:r>
              <w:rPr>
                <w:spacing w:val="-1"/>
                <w:sz w:val="18"/>
              </w:rPr>
              <w:t> </w:t>
            </w:r>
            <w:r>
              <w:rPr>
                <w:sz w:val="18"/>
              </w:rPr>
              <w:t>medications</w:t>
            </w:r>
            <w:r>
              <w:rPr>
                <w:spacing w:val="-3"/>
                <w:sz w:val="18"/>
              </w:rPr>
              <w:t> </w:t>
            </w:r>
            <w:r>
              <w:rPr>
                <w:sz w:val="18"/>
              </w:rPr>
              <w:t>and</w:t>
            </w:r>
            <w:r>
              <w:rPr>
                <w:spacing w:val="-3"/>
                <w:sz w:val="18"/>
              </w:rPr>
              <w:t> </w:t>
            </w:r>
            <w:r>
              <w:rPr>
                <w:sz w:val="18"/>
              </w:rPr>
              <w:t>other</w:t>
            </w:r>
            <w:r>
              <w:rPr>
                <w:spacing w:val="-3"/>
                <w:sz w:val="18"/>
              </w:rPr>
              <w:t> </w:t>
            </w:r>
            <w:r>
              <w:rPr>
                <w:sz w:val="18"/>
              </w:rPr>
              <w:t>treatments?</w:t>
            </w:r>
          </w:p>
          <w:p>
            <w:pPr>
              <w:pStyle w:val="TableParagraph"/>
              <w:numPr>
                <w:ilvl w:val="0"/>
                <w:numId w:val="204"/>
              </w:numPr>
              <w:tabs>
                <w:tab w:pos="821" w:val="left" w:leader="none"/>
                <w:tab w:pos="822" w:val="left" w:leader="none"/>
              </w:tabs>
              <w:spacing w:line="240" w:lineRule="auto" w:before="34" w:after="0"/>
              <w:ind w:left="821" w:right="0" w:hanging="357"/>
              <w:jc w:val="left"/>
              <w:rPr>
                <w:sz w:val="18"/>
              </w:rPr>
            </w:pPr>
            <w:r>
              <w:rPr>
                <w:sz w:val="18"/>
              </w:rPr>
              <w:t>Skills</w:t>
            </w:r>
            <w:r>
              <w:rPr>
                <w:spacing w:val="-7"/>
                <w:sz w:val="18"/>
              </w:rPr>
              <w:t> </w:t>
            </w:r>
            <w:r>
              <w:rPr>
                <w:sz w:val="18"/>
              </w:rPr>
              <w:t>for</w:t>
            </w:r>
            <w:r>
              <w:rPr>
                <w:spacing w:val="-4"/>
                <w:sz w:val="18"/>
              </w:rPr>
              <w:t> </w:t>
            </w:r>
            <w:r>
              <w:rPr>
                <w:sz w:val="18"/>
              </w:rPr>
              <w:t>day-to-day</w:t>
            </w:r>
            <w:r>
              <w:rPr>
                <w:spacing w:val="-2"/>
                <w:sz w:val="18"/>
              </w:rPr>
              <w:t> </w:t>
            </w:r>
            <w:r>
              <w:rPr>
                <w:sz w:val="18"/>
              </w:rPr>
              <w:t>management?</w:t>
            </w:r>
          </w:p>
          <w:p>
            <w:pPr>
              <w:pStyle w:val="TableParagraph"/>
              <w:numPr>
                <w:ilvl w:val="0"/>
                <w:numId w:val="204"/>
              </w:numPr>
              <w:tabs>
                <w:tab w:pos="821" w:val="left" w:leader="none"/>
                <w:tab w:pos="822" w:val="left" w:leader="none"/>
              </w:tabs>
              <w:spacing w:line="240" w:lineRule="auto" w:before="34" w:after="0"/>
              <w:ind w:left="821" w:right="0" w:hanging="357"/>
              <w:jc w:val="left"/>
              <w:rPr>
                <w:sz w:val="18"/>
              </w:rPr>
            </w:pPr>
            <w:r>
              <w:rPr>
                <w:sz w:val="18"/>
              </w:rPr>
              <w:t>Identifying</w:t>
            </w:r>
            <w:r>
              <w:rPr>
                <w:spacing w:val="-6"/>
                <w:sz w:val="18"/>
              </w:rPr>
              <w:t> </w:t>
            </w:r>
            <w:r>
              <w:rPr>
                <w:sz w:val="18"/>
              </w:rPr>
              <w:t>and</w:t>
            </w:r>
            <w:r>
              <w:rPr>
                <w:spacing w:val="-4"/>
                <w:sz w:val="18"/>
              </w:rPr>
              <w:t> </w:t>
            </w:r>
            <w:r>
              <w:rPr>
                <w:sz w:val="18"/>
              </w:rPr>
              <w:t>preventing</w:t>
            </w:r>
            <w:r>
              <w:rPr>
                <w:spacing w:val="-6"/>
                <w:sz w:val="18"/>
              </w:rPr>
              <w:t> </w:t>
            </w:r>
            <w:r>
              <w:rPr>
                <w:sz w:val="18"/>
              </w:rPr>
              <w:t>further</w:t>
            </w:r>
            <w:r>
              <w:rPr>
                <w:spacing w:val="-5"/>
                <w:sz w:val="18"/>
              </w:rPr>
              <w:t> </w:t>
            </w:r>
            <w:r>
              <w:rPr>
                <w:sz w:val="18"/>
              </w:rPr>
              <w:t>problems?</w:t>
            </w:r>
          </w:p>
          <w:p>
            <w:pPr>
              <w:pStyle w:val="TableParagraph"/>
              <w:numPr>
                <w:ilvl w:val="0"/>
                <w:numId w:val="204"/>
              </w:numPr>
              <w:tabs>
                <w:tab w:pos="821" w:val="left" w:leader="none"/>
                <w:tab w:pos="822" w:val="left" w:leader="none"/>
              </w:tabs>
              <w:spacing w:line="240" w:lineRule="auto" w:before="31" w:after="0"/>
              <w:ind w:left="821" w:right="0" w:hanging="357"/>
              <w:jc w:val="left"/>
              <w:rPr>
                <w:sz w:val="18"/>
              </w:rPr>
            </w:pPr>
            <w:r>
              <w:rPr>
                <w:sz w:val="18"/>
              </w:rPr>
              <w:t>Role</w:t>
            </w:r>
            <w:r>
              <w:rPr>
                <w:spacing w:val="-3"/>
                <w:sz w:val="18"/>
              </w:rPr>
              <w:t> </w:t>
            </w:r>
            <w:r>
              <w:rPr>
                <w:sz w:val="18"/>
              </w:rPr>
              <w:t>of</w:t>
            </w:r>
            <w:r>
              <w:rPr>
                <w:spacing w:val="-3"/>
                <w:sz w:val="18"/>
              </w:rPr>
              <w:t> </w:t>
            </w:r>
            <w:r>
              <w:rPr>
                <w:sz w:val="18"/>
              </w:rPr>
              <w:t>lifestyle</w:t>
            </w:r>
            <w:r>
              <w:rPr>
                <w:spacing w:val="-2"/>
                <w:sz w:val="18"/>
              </w:rPr>
              <w:t> </w:t>
            </w:r>
            <w:r>
              <w:rPr>
                <w:sz w:val="18"/>
              </w:rPr>
              <w:t>factors</w:t>
            </w:r>
            <w:r>
              <w:rPr>
                <w:spacing w:val="-5"/>
                <w:sz w:val="18"/>
              </w:rPr>
              <w:t> </w:t>
            </w:r>
            <w:r>
              <w:rPr>
                <w:sz w:val="18"/>
              </w:rPr>
              <w:t>and</w:t>
            </w:r>
            <w:r>
              <w:rPr>
                <w:spacing w:val="-4"/>
                <w:sz w:val="18"/>
              </w:rPr>
              <w:t> </w:t>
            </w:r>
            <w:r>
              <w:rPr>
                <w:sz w:val="18"/>
              </w:rPr>
              <w:t>skills</w:t>
            </w:r>
            <w:r>
              <w:rPr>
                <w:spacing w:val="-3"/>
                <w:sz w:val="18"/>
              </w:rPr>
              <w:t> </w:t>
            </w:r>
            <w:r>
              <w:rPr>
                <w:sz w:val="18"/>
              </w:rPr>
              <w:t>to</w:t>
            </w:r>
            <w:r>
              <w:rPr>
                <w:spacing w:val="-3"/>
                <w:sz w:val="18"/>
              </w:rPr>
              <w:t> </w:t>
            </w:r>
            <w:r>
              <w:rPr>
                <w:sz w:val="18"/>
              </w:rPr>
              <w:t>make</w:t>
            </w:r>
            <w:r>
              <w:rPr>
                <w:spacing w:val="-2"/>
                <w:sz w:val="18"/>
              </w:rPr>
              <w:t> </w:t>
            </w:r>
            <w:r>
              <w:rPr>
                <w:sz w:val="18"/>
              </w:rPr>
              <w:t>changes?</w:t>
            </w:r>
          </w:p>
          <w:p>
            <w:pPr>
              <w:pStyle w:val="TableParagraph"/>
              <w:numPr>
                <w:ilvl w:val="0"/>
                <w:numId w:val="204"/>
              </w:numPr>
              <w:tabs>
                <w:tab w:pos="821" w:val="left" w:leader="none"/>
                <w:tab w:pos="822" w:val="left" w:leader="none"/>
              </w:tabs>
              <w:spacing w:line="240" w:lineRule="auto" w:before="34" w:after="0"/>
              <w:ind w:left="821" w:right="0" w:hanging="357"/>
              <w:jc w:val="left"/>
              <w:rPr>
                <w:sz w:val="18"/>
              </w:rPr>
            </w:pPr>
            <w:r>
              <w:rPr>
                <w:sz w:val="18"/>
              </w:rPr>
              <w:t>Emotional</w:t>
            </w:r>
            <w:r>
              <w:rPr>
                <w:spacing w:val="-4"/>
                <w:sz w:val="18"/>
              </w:rPr>
              <w:t> </w:t>
            </w:r>
            <w:r>
              <w:rPr>
                <w:sz w:val="18"/>
              </w:rPr>
              <w:t>support?</w:t>
            </w:r>
          </w:p>
          <w:p>
            <w:pPr>
              <w:pStyle w:val="TableParagraph"/>
              <w:numPr>
                <w:ilvl w:val="0"/>
                <w:numId w:val="204"/>
              </w:numPr>
              <w:tabs>
                <w:tab w:pos="821" w:val="left" w:leader="none"/>
                <w:tab w:pos="822" w:val="left" w:leader="none"/>
              </w:tabs>
              <w:spacing w:line="276" w:lineRule="auto" w:before="34" w:after="0"/>
              <w:ind w:left="821" w:right="737" w:hanging="356"/>
              <w:jc w:val="left"/>
              <w:rPr>
                <w:sz w:val="18"/>
              </w:rPr>
            </w:pPr>
            <w:r>
              <w:rPr>
                <w:sz w:val="18"/>
              </w:rPr>
              <w:t>Referrals</w:t>
            </w:r>
            <w:r>
              <w:rPr>
                <w:spacing w:val="-5"/>
                <w:sz w:val="18"/>
              </w:rPr>
              <w:t> </w:t>
            </w:r>
            <w:r>
              <w:rPr>
                <w:sz w:val="18"/>
              </w:rPr>
              <w:t>to</w:t>
            </w:r>
            <w:r>
              <w:rPr>
                <w:spacing w:val="-3"/>
                <w:sz w:val="18"/>
              </w:rPr>
              <w:t> </w:t>
            </w:r>
            <w:r>
              <w:rPr>
                <w:sz w:val="18"/>
              </w:rPr>
              <w:t>other</w:t>
            </w:r>
            <w:r>
              <w:rPr>
                <w:spacing w:val="-6"/>
                <w:sz w:val="18"/>
              </w:rPr>
              <w:t> </w:t>
            </w:r>
            <w:r>
              <w:rPr>
                <w:sz w:val="18"/>
              </w:rPr>
              <w:t>services</w:t>
            </w:r>
            <w:r>
              <w:rPr>
                <w:spacing w:val="-4"/>
                <w:sz w:val="18"/>
              </w:rPr>
              <w:t> </w:t>
            </w:r>
            <w:r>
              <w:rPr>
                <w:sz w:val="18"/>
              </w:rPr>
              <w:t>(e.g.</w:t>
            </w:r>
            <w:r>
              <w:rPr>
                <w:spacing w:val="-6"/>
                <w:sz w:val="18"/>
              </w:rPr>
              <w:t> </w:t>
            </w:r>
            <w:r>
              <w:rPr>
                <w:sz w:val="18"/>
              </w:rPr>
              <w:t>specialists,</w:t>
            </w:r>
            <w:r>
              <w:rPr>
                <w:spacing w:val="-6"/>
                <w:sz w:val="18"/>
              </w:rPr>
              <w:t> </w:t>
            </w:r>
            <w:r>
              <w:rPr>
                <w:sz w:val="18"/>
              </w:rPr>
              <w:t>allied</w:t>
            </w:r>
            <w:r>
              <w:rPr>
                <w:spacing w:val="-4"/>
                <w:sz w:val="18"/>
              </w:rPr>
              <w:t> </w:t>
            </w:r>
            <w:r>
              <w:rPr>
                <w:sz w:val="18"/>
              </w:rPr>
              <w:t>health,</w:t>
            </w:r>
            <w:r>
              <w:rPr>
                <w:spacing w:val="-6"/>
                <w:sz w:val="18"/>
              </w:rPr>
              <w:t> </w:t>
            </w:r>
            <w:r>
              <w:rPr>
                <w:sz w:val="18"/>
              </w:rPr>
              <w:t>lifestyle</w:t>
            </w:r>
            <w:r>
              <w:rPr>
                <w:spacing w:val="-46"/>
                <w:sz w:val="18"/>
              </w:rPr>
              <w:t> </w:t>
            </w:r>
            <w:r>
              <w:rPr>
                <w:sz w:val="18"/>
              </w:rPr>
              <w:t>programs)?</w:t>
            </w:r>
          </w:p>
          <w:p>
            <w:pPr>
              <w:pStyle w:val="TableParagraph"/>
              <w:numPr>
                <w:ilvl w:val="0"/>
                <w:numId w:val="204"/>
              </w:numPr>
              <w:tabs>
                <w:tab w:pos="821" w:val="left" w:leader="none"/>
                <w:tab w:pos="822" w:val="left" w:leader="none"/>
              </w:tabs>
              <w:spacing w:line="219" w:lineRule="exact" w:before="0" w:after="0"/>
              <w:ind w:left="821" w:right="0" w:hanging="357"/>
              <w:jc w:val="left"/>
              <w:rPr>
                <w:sz w:val="18"/>
              </w:rPr>
            </w:pPr>
            <w:r>
              <w:rPr>
                <w:sz w:val="18"/>
              </w:rPr>
              <w:t>Access</w:t>
            </w:r>
            <w:r>
              <w:rPr>
                <w:spacing w:val="-4"/>
                <w:sz w:val="18"/>
              </w:rPr>
              <w:t> </w:t>
            </w:r>
            <w:r>
              <w:rPr>
                <w:sz w:val="18"/>
              </w:rPr>
              <w:t>to</w:t>
            </w:r>
            <w:r>
              <w:rPr>
                <w:spacing w:val="-2"/>
                <w:sz w:val="18"/>
              </w:rPr>
              <w:t> </w:t>
            </w:r>
            <w:r>
              <w:rPr>
                <w:sz w:val="18"/>
              </w:rPr>
              <w:t>aides/</w:t>
            </w:r>
            <w:r>
              <w:rPr>
                <w:spacing w:val="-3"/>
                <w:sz w:val="18"/>
              </w:rPr>
              <w:t> </w:t>
            </w:r>
            <w:r>
              <w:rPr>
                <w:sz w:val="18"/>
              </w:rPr>
              <w:t>devices?</w:t>
            </w:r>
          </w:p>
          <w:p>
            <w:pPr>
              <w:pStyle w:val="TableParagraph"/>
              <w:numPr>
                <w:ilvl w:val="0"/>
                <w:numId w:val="204"/>
              </w:numPr>
              <w:tabs>
                <w:tab w:pos="821" w:val="left" w:leader="none"/>
                <w:tab w:pos="822" w:val="left" w:leader="none"/>
              </w:tabs>
              <w:spacing w:line="276" w:lineRule="auto" w:before="33" w:after="0"/>
              <w:ind w:left="821" w:right="357" w:hanging="356"/>
              <w:jc w:val="left"/>
              <w:rPr>
                <w:sz w:val="18"/>
              </w:rPr>
            </w:pPr>
            <w:r>
              <w:rPr>
                <w:sz w:val="18"/>
              </w:rPr>
              <w:t>How</w:t>
            </w:r>
            <w:r>
              <w:rPr>
                <w:spacing w:val="-4"/>
                <w:sz w:val="18"/>
              </w:rPr>
              <w:t> </w:t>
            </w:r>
            <w:r>
              <w:rPr>
                <w:sz w:val="18"/>
              </w:rPr>
              <w:t>has</w:t>
            </w:r>
            <w:r>
              <w:rPr>
                <w:spacing w:val="-2"/>
                <w:sz w:val="18"/>
              </w:rPr>
              <w:t> </w:t>
            </w:r>
            <w:r>
              <w:rPr>
                <w:sz w:val="18"/>
              </w:rPr>
              <w:t>this</w:t>
            </w:r>
            <w:r>
              <w:rPr>
                <w:spacing w:val="-3"/>
                <w:sz w:val="18"/>
              </w:rPr>
              <w:t> </w:t>
            </w:r>
            <w:r>
              <w:rPr>
                <w:sz w:val="18"/>
              </w:rPr>
              <w:t>help</w:t>
            </w:r>
            <w:r>
              <w:rPr>
                <w:spacing w:val="-4"/>
                <w:sz w:val="18"/>
              </w:rPr>
              <w:t> </w:t>
            </w:r>
            <w:r>
              <w:rPr>
                <w:sz w:val="18"/>
              </w:rPr>
              <w:t>impacted</w:t>
            </w:r>
            <w:r>
              <w:rPr>
                <w:spacing w:val="-1"/>
                <w:sz w:val="18"/>
              </w:rPr>
              <w:t> </w:t>
            </w:r>
            <w:r>
              <w:rPr>
                <w:sz w:val="18"/>
              </w:rPr>
              <w:t>on</w:t>
            </w:r>
            <w:r>
              <w:rPr>
                <w:spacing w:val="-1"/>
                <w:sz w:val="18"/>
              </w:rPr>
              <w:t> </w:t>
            </w:r>
            <w:r>
              <w:rPr>
                <w:sz w:val="18"/>
              </w:rPr>
              <w:t>how</w:t>
            </w:r>
            <w:r>
              <w:rPr>
                <w:spacing w:val="-4"/>
                <w:sz w:val="18"/>
              </w:rPr>
              <w:t> </w:t>
            </w:r>
            <w:r>
              <w:rPr>
                <w:sz w:val="18"/>
              </w:rPr>
              <w:t>confident</w:t>
            </w:r>
            <w:r>
              <w:rPr>
                <w:spacing w:val="-3"/>
                <w:sz w:val="18"/>
              </w:rPr>
              <w:t> </w:t>
            </w:r>
            <w:r>
              <w:rPr>
                <w:sz w:val="18"/>
              </w:rPr>
              <w:t>you</w:t>
            </w:r>
            <w:r>
              <w:rPr>
                <w:spacing w:val="-2"/>
                <w:sz w:val="18"/>
              </w:rPr>
              <w:t> </w:t>
            </w:r>
            <w:r>
              <w:rPr>
                <w:sz w:val="18"/>
              </w:rPr>
              <w:t>feel</w:t>
            </w:r>
            <w:r>
              <w:rPr>
                <w:spacing w:val="-3"/>
                <w:sz w:val="18"/>
              </w:rPr>
              <w:t> </w:t>
            </w:r>
            <w:r>
              <w:rPr>
                <w:sz w:val="18"/>
              </w:rPr>
              <w:t>about</w:t>
            </w:r>
            <w:r>
              <w:rPr>
                <w:spacing w:val="-4"/>
                <w:sz w:val="18"/>
              </w:rPr>
              <w:t> </w:t>
            </w:r>
            <w:r>
              <w:rPr>
                <w:sz w:val="18"/>
              </w:rPr>
              <w:t>what</w:t>
            </w:r>
            <w:r>
              <w:rPr>
                <w:spacing w:val="-46"/>
                <w:sz w:val="18"/>
              </w:rPr>
              <w:t> </w:t>
            </w:r>
            <w:r>
              <w:rPr>
                <w:sz w:val="18"/>
              </w:rPr>
              <w:t>you</w:t>
            </w:r>
            <w:r>
              <w:rPr>
                <w:spacing w:val="-1"/>
                <w:sz w:val="18"/>
              </w:rPr>
              <w:t> </w:t>
            </w:r>
            <w:r>
              <w:rPr>
                <w:sz w:val="18"/>
              </w:rPr>
              <w:t>need</w:t>
            </w:r>
            <w:r>
              <w:rPr>
                <w:spacing w:val="-1"/>
                <w:sz w:val="18"/>
              </w:rPr>
              <w:t> </w:t>
            </w:r>
            <w:r>
              <w:rPr>
                <w:sz w:val="18"/>
              </w:rPr>
              <w:t>to</w:t>
            </w:r>
            <w:r>
              <w:rPr>
                <w:spacing w:val="-1"/>
                <w:sz w:val="18"/>
              </w:rPr>
              <w:t> </w:t>
            </w:r>
            <w:r>
              <w:rPr>
                <w:sz w:val="18"/>
              </w:rPr>
              <w:t>do</w:t>
            </w:r>
            <w:r>
              <w:rPr>
                <w:spacing w:val="-1"/>
                <w:sz w:val="18"/>
              </w:rPr>
              <w:t> </w:t>
            </w:r>
            <w:r>
              <w:rPr>
                <w:sz w:val="18"/>
              </w:rPr>
              <w:t>to</w:t>
            </w:r>
            <w:r>
              <w:rPr>
                <w:spacing w:val="-2"/>
                <w:sz w:val="18"/>
              </w:rPr>
              <w:t> </w:t>
            </w:r>
            <w:r>
              <w:rPr>
                <w:sz w:val="18"/>
              </w:rPr>
              <w:t>look after yourself?</w:t>
            </w:r>
          </w:p>
        </w:tc>
      </w:tr>
      <w:tr>
        <w:trPr>
          <w:trHeight w:val="7035" w:hRule="atLeast"/>
        </w:trPr>
        <w:tc>
          <w:tcPr>
            <w:tcW w:w="1980" w:type="dxa"/>
          </w:tcPr>
          <w:p>
            <w:pPr>
              <w:pStyle w:val="TableParagraph"/>
              <w:spacing w:line="196" w:lineRule="exact"/>
              <w:ind w:left="107"/>
              <w:rPr>
                <w:sz w:val="16"/>
              </w:rPr>
            </w:pPr>
            <w:r>
              <w:rPr>
                <w:sz w:val="16"/>
              </w:rPr>
              <w:t>Shared</w:t>
            </w:r>
            <w:r>
              <w:rPr>
                <w:spacing w:val="-1"/>
                <w:sz w:val="16"/>
              </w:rPr>
              <w:t> </w:t>
            </w:r>
            <w:r>
              <w:rPr>
                <w:sz w:val="16"/>
              </w:rPr>
              <w:t>care</w:t>
            </w:r>
            <w:r>
              <w:rPr>
                <w:spacing w:val="-2"/>
                <w:sz w:val="16"/>
              </w:rPr>
              <w:t> </w:t>
            </w:r>
            <w:r>
              <w:rPr>
                <w:sz w:val="16"/>
              </w:rPr>
              <w:t>plan</w:t>
            </w:r>
          </w:p>
        </w:tc>
        <w:tc>
          <w:tcPr>
            <w:tcW w:w="7038" w:type="dxa"/>
          </w:tcPr>
          <w:p>
            <w:pPr>
              <w:pStyle w:val="TableParagraph"/>
              <w:numPr>
                <w:ilvl w:val="0"/>
                <w:numId w:val="205"/>
              </w:numPr>
              <w:tabs>
                <w:tab w:pos="279" w:val="left" w:leader="none"/>
              </w:tabs>
              <w:spacing w:line="276" w:lineRule="auto" w:before="0" w:after="0"/>
              <w:ind w:left="278" w:right="562" w:hanging="171"/>
              <w:jc w:val="left"/>
              <w:rPr>
                <w:sz w:val="18"/>
              </w:rPr>
            </w:pPr>
            <w:r>
              <w:rPr>
                <w:sz w:val="18"/>
              </w:rPr>
              <w:t>(</w:t>
            </w:r>
            <w:r>
              <w:rPr>
                <w:b/>
                <w:sz w:val="18"/>
              </w:rPr>
              <w:t>R2</w:t>
            </w:r>
            <w:r>
              <w:rPr>
                <w:sz w:val="18"/>
              </w:rPr>
              <w:t>) Do you have a written plan or a plan you access online that shows</w:t>
            </w:r>
            <w:r>
              <w:rPr>
                <w:spacing w:val="-47"/>
                <w:sz w:val="18"/>
              </w:rPr>
              <w:t> </w:t>
            </w:r>
            <w:r>
              <w:rPr>
                <w:sz w:val="18"/>
              </w:rPr>
              <w:t>what treatments you and your GP have agreed on and what other</w:t>
            </w:r>
            <w:r>
              <w:rPr>
                <w:spacing w:val="1"/>
                <w:sz w:val="18"/>
              </w:rPr>
              <w:t> </w:t>
            </w:r>
            <w:r>
              <w:rPr>
                <w:sz w:val="18"/>
              </w:rPr>
              <w:t>appointments</w:t>
            </w:r>
            <w:r>
              <w:rPr>
                <w:spacing w:val="-2"/>
                <w:sz w:val="18"/>
              </w:rPr>
              <w:t> </w:t>
            </w:r>
            <w:r>
              <w:rPr>
                <w:sz w:val="18"/>
              </w:rPr>
              <w:t>you</w:t>
            </w:r>
            <w:r>
              <w:rPr>
                <w:spacing w:val="3"/>
                <w:sz w:val="18"/>
              </w:rPr>
              <w:t> </w:t>
            </w:r>
            <w:r>
              <w:rPr>
                <w:sz w:val="18"/>
              </w:rPr>
              <w:t>might</w:t>
            </w:r>
            <w:r>
              <w:rPr>
                <w:spacing w:val="-2"/>
                <w:sz w:val="18"/>
              </w:rPr>
              <w:t> </w:t>
            </w:r>
            <w:r>
              <w:rPr>
                <w:sz w:val="18"/>
              </w:rPr>
              <w:t>need?</w:t>
            </w:r>
          </w:p>
          <w:p>
            <w:pPr>
              <w:pStyle w:val="TableParagraph"/>
              <w:spacing w:before="5"/>
              <w:rPr>
                <w:sz w:val="16"/>
              </w:rPr>
            </w:pPr>
          </w:p>
          <w:p>
            <w:pPr>
              <w:pStyle w:val="TableParagraph"/>
              <w:ind w:left="107"/>
              <w:rPr>
                <w:sz w:val="16"/>
              </w:rPr>
            </w:pPr>
            <w:r>
              <w:rPr>
                <w:sz w:val="16"/>
              </w:rPr>
              <w:t>If</w:t>
            </w:r>
            <w:r>
              <w:rPr>
                <w:spacing w:val="-3"/>
                <w:sz w:val="16"/>
              </w:rPr>
              <w:t> </w:t>
            </w:r>
            <w:r>
              <w:rPr>
                <w:sz w:val="16"/>
              </w:rPr>
              <w:t>yes:</w:t>
            </w:r>
          </w:p>
          <w:p>
            <w:pPr>
              <w:pStyle w:val="TableParagraph"/>
              <w:spacing w:before="7"/>
              <w:rPr>
                <w:sz w:val="18"/>
              </w:rPr>
            </w:pPr>
          </w:p>
          <w:p>
            <w:pPr>
              <w:pStyle w:val="TableParagraph"/>
              <w:numPr>
                <w:ilvl w:val="1"/>
                <w:numId w:val="205"/>
              </w:numPr>
              <w:tabs>
                <w:tab w:pos="821" w:val="left" w:leader="none"/>
                <w:tab w:pos="822" w:val="left" w:leader="none"/>
              </w:tabs>
              <w:spacing w:line="240" w:lineRule="auto" w:before="0" w:after="0"/>
              <w:ind w:left="821" w:right="0" w:hanging="357"/>
              <w:jc w:val="left"/>
              <w:rPr>
                <w:sz w:val="18"/>
              </w:rPr>
            </w:pPr>
            <w:r>
              <w:rPr>
                <w:sz w:val="18"/>
              </w:rPr>
              <w:t>What</w:t>
            </w:r>
            <w:r>
              <w:rPr>
                <w:spacing w:val="-5"/>
                <w:sz w:val="18"/>
              </w:rPr>
              <w:t> </w:t>
            </w:r>
            <w:r>
              <w:rPr>
                <w:sz w:val="18"/>
              </w:rPr>
              <w:t>was</w:t>
            </w:r>
            <w:r>
              <w:rPr>
                <w:spacing w:val="-3"/>
                <w:sz w:val="18"/>
              </w:rPr>
              <w:t> </w:t>
            </w:r>
            <w:r>
              <w:rPr>
                <w:sz w:val="18"/>
              </w:rPr>
              <w:t>your</w:t>
            </w:r>
            <w:r>
              <w:rPr>
                <w:spacing w:val="-2"/>
                <w:sz w:val="18"/>
              </w:rPr>
              <w:t> </w:t>
            </w:r>
            <w:r>
              <w:rPr>
                <w:sz w:val="18"/>
              </w:rPr>
              <w:t>involvement</w:t>
            </w:r>
            <w:r>
              <w:rPr>
                <w:spacing w:val="-1"/>
                <w:sz w:val="18"/>
              </w:rPr>
              <w:t> </w:t>
            </w:r>
            <w:r>
              <w:rPr>
                <w:sz w:val="18"/>
              </w:rPr>
              <w:t>in</w:t>
            </w:r>
            <w:r>
              <w:rPr>
                <w:spacing w:val="-5"/>
                <w:sz w:val="18"/>
              </w:rPr>
              <w:t> </w:t>
            </w:r>
            <w:r>
              <w:rPr>
                <w:sz w:val="18"/>
              </w:rPr>
              <w:t>developing</w:t>
            </w:r>
            <w:r>
              <w:rPr>
                <w:spacing w:val="-4"/>
                <w:sz w:val="18"/>
              </w:rPr>
              <w:t> </w:t>
            </w:r>
            <w:r>
              <w:rPr>
                <w:sz w:val="18"/>
              </w:rPr>
              <w:t>this</w:t>
            </w:r>
            <w:r>
              <w:rPr>
                <w:spacing w:val="-4"/>
                <w:sz w:val="18"/>
              </w:rPr>
              <w:t> </w:t>
            </w:r>
            <w:r>
              <w:rPr>
                <w:sz w:val="18"/>
              </w:rPr>
              <w:t>plan?</w:t>
            </w:r>
          </w:p>
          <w:p>
            <w:pPr>
              <w:pStyle w:val="TableParagraph"/>
              <w:numPr>
                <w:ilvl w:val="1"/>
                <w:numId w:val="205"/>
              </w:numPr>
              <w:tabs>
                <w:tab w:pos="821" w:val="left" w:leader="none"/>
                <w:tab w:pos="822" w:val="left" w:leader="none"/>
              </w:tabs>
              <w:spacing w:line="240" w:lineRule="auto" w:before="34" w:after="0"/>
              <w:ind w:left="821" w:right="0" w:hanging="357"/>
              <w:jc w:val="left"/>
              <w:rPr>
                <w:sz w:val="18"/>
              </w:rPr>
            </w:pPr>
            <w:r>
              <w:rPr>
                <w:sz w:val="18"/>
              </w:rPr>
              <w:t>How</w:t>
            </w:r>
            <w:r>
              <w:rPr>
                <w:spacing w:val="-4"/>
                <w:sz w:val="18"/>
              </w:rPr>
              <w:t> </w:t>
            </w:r>
            <w:r>
              <w:rPr>
                <w:sz w:val="18"/>
              </w:rPr>
              <w:t>often</w:t>
            </w:r>
            <w:r>
              <w:rPr>
                <w:spacing w:val="-3"/>
                <w:sz w:val="18"/>
              </w:rPr>
              <w:t> </w:t>
            </w:r>
            <w:r>
              <w:rPr>
                <w:sz w:val="18"/>
              </w:rPr>
              <w:t>do</w:t>
            </w:r>
            <w:r>
              <w:rPr>
                <w:spacing w:val="-3"/>
                <w:sz w:val="18"/>
              </w:rPr>
              <w:t> </w:t>
            </w:r>
            <w:r>
              <w:rPr>
                <w:sz w:val="18"/>
              </w:rPr>
              <w:t>you</w:t>
            </w:r>
            <w:r>
              <w:rPr>
                <w:spacing w:val="-2"/>
                <w:sz w:val="18"/>
              </w:rPr>
              <w:t> </w:t>
            </w:r>
            <w:r>
              <w:rPr>
                <w:sz w:val="18"/>
              </w:rPr>
              <w:t>discuss</w:t>
            </w:r>
            <w:r>
              <w:rPr>
                <w:spacing w:val="-3"/>
                <w:sz w:val="18"/>
              </w:rPr>
              <w:t> </w:t>
            </w:r>
            <w:r>
              <w:rPr>
                <w:sz w:val="18"/>
              </w:rPr>
              <w:t>the</w:t>
            </w:r>
            <w:r>
              <w:rPr>
                <w:spacing w:val="-2"/>
                <w:sz w:val="18"/>
              </w:rPr>
              <w:t> </w:t>
            </w:r>
            <w:r>
              <w:rPr>
                <w:sz w:val="18"/>
              </w:rPr>
              <w:t>plan</w:t>
            </w:r>
            <w:r>
              <w:rPr>
                <w:spacing w:val="-2"/>
                <w:sz w:val="18"/>
              </w:rPr>
              <w:t> </w:t>
            </w:r>
            <w:r>
              <w:rPr>
                <w:sz w:val="18"/>
              </w:rPr>
              <w:t>with</w:t>
            </w:r>
            <w:r>
              <w:rPr>
                <w:spacing w:val="-2"/>
                <w:sz w:val="18"/>
              </w:rPr>
              <w:t> </w:t>
            </w:r>
            <w:r>
              <w:rPr>
                <w:sz w:val="18"/>
              </w:rPr>
              <w:t>your</w:t>
            </w:r>
            <w:r>
              <w:rPr>
                <w:spacing w:val="-2"/>
                <w:sz w:val="18"/>
              </w:rPr>
              <w:t> </w:t>
            </w:r>
            <w:r>
              <w:rPr>
                <w:sz w:val="18"/>
              </w:rPr>
              <w:t>GP?</w:t>
            </w:r>
          </w:p>
          <w:p>
            <w:pPr>
              <w:pStyle w:val="TableParagraph"/>
              <w:numPr>
                <w:ilvl w:val="1"/>
                <w:numId w:val="205"/>
              </w:numPr>
              <w:tabs>
                <w:tab w:pos="821" w:val="left" w:leader="none"/>
                <w:tab w:pos="822" w:val="left" w:leader="none"/>
              </w:tabs>
              <w:spacing w:line="276" w:lineRule="auto" w:before="31" w:after="0"/>
              <w:ind w:left="821" w:right="599" w:hanging="356"/>
              <w:jc w:val="left"/>
              <w:rPr>
                <w:sz w:val="18"/>
              </w:rPr>
            </w:pPr>
            <w:r>
              <w:rPr>
                <w:sz w:val="18"/>
              </w:rPr>
              <w:t>Do</w:t>
            </w:r>
            <w:r>
              <w:rPr>
                <w:spacing w:val="-3"/>
                <w:sz w:val="18"/>
              </w:rPr>
              <w:t> </w:t>
            </w:r>
            <w:r>
              <w:rPr>
                <w:sz w:val="18"/>
              </w:rPr>
              <w:t>you</w:t>
            </w:r>
            <w:r>
              <w:rPr>
                <w:spacing w:val="-3"/>
                <w:sz w:val="18"/>
              </w:rPr>
              <w:t> </w:t>
            </w:r>
            <w:r>
              <w:rPr>
                <w:sz w:val="18"/>
              </w:rPr>
              <w:t>discuss</w:t>
            </w:r>
            <w:r>
              <w:rPr>
                <w:spacing w:val="-6"/>
                <w:sz w:val="18"/>
              </w:rPr>
              <w:t> </w:t>
            </w:r>
            <w:r>
              <w:rPr>
                <w:sz w:val="18"/>
              </w:rPr>
              <w:t>it</w:t>
            </w:r>
            <w:r>
              <w:rPr>
                <w:spacing w:val="-4"/>
                <w:sz w:val="18"/>
              </w:rPr>
              <w:t> </w:t>
            </w:r>
            <w:r>
              <w:rPr>
                <w:sz w:val="18"/>
              </w:rPr>
              <w:t>with</w:t>
            </w:r>
            <w:r>
              <w:rPr>
                <w:spacing w:val="-5"/>
                <w:sz w:val="18"/>
              </w:rPr>
              <w:t> </w:t>
            </w:r>
            <w:r>
              <w:rPr>
                <w:sz w:val="18"/>
              </w:rPr>
              <w:t>other</w:t>
            </w:r>
            <w:r>
              <w:rPr>
                <w:spacing w:val="-2"/>
                <w:sz w:val="18"/>
              </w:rPr>
              <w:t> </w:t>
            </w:r>
            <w:r>
              <w:rPr>
                <w:sz w:val="18"/>
              </w:rPr>
              <w:t>healthcare</w:t>
            </w:r>
            <w:r>
              <w:rPr>
                <w:spacing w:val="-3"/>
                <w:sz w:val="18"/>
              </w:rPr>
              <w:t> </w:t>
            </w:r>
            <w:r>
              <w:rPr>
                <w:sz w:val="18"/>
              </w:rPr>
              <w:t>providers</w:t>
            </w:r>
            <w:r>
              <w:rPr>
                <w:spacing w:val="-4"/>
                <w:sz w:val="18"/>
              </w:rPr>
              <w:t> </w:t>
            </w:r>
            <w:r>
              <w:rPr>
                <w:sz w:val="18"/>
              </w:rPr>
              <w:t>(e.g.</w:t>
            </w:r>
            <w:r>
              <w:rPr>
                <w:spacing w:val="-4"/>
                <w:sz w:val="18"/>
              </w:rPr>
              <w:t> </w:t>
            </w:r>
            <w:r>
              <w:rPr>
                <w:sz w:val="18"/>
              </w:rPr>
              <w:t>specialists,</w:t>
            </w:r>
            <w:r>
              <w:rPr>
                <w:spacing w:val="-47"/>
                <w:sz w:val="18"/>
              </w:rPr>
              <w:t> </w:t>
            </w:r>
            <w:r>
              <w:rPr>
                <w:sz w:val="18"/>
              </w:rPr>
              <w:t>allied</w:t>
            </w:r>
            <w:r>
              <w:rPr>
                <w:spacing w:val="-2"/>
                <w:sz w:val="18"/>
              </w:rPr>
              <w:t> </w:t>
            </w:r>
            <w:r>
              <w:rPr>
                <w:sz w:val="18"/>
              </w:rPr>
              <w:t>health)?</w:t>
            </w:r>
          </w:p>
          <w:p>
            <w:pPr>
              <w:pStyle w:val="TableParagraph"/>
              <w:numPr>
                <w:ilvl w:val="1"/>
                <w:numId w:val="205"/>
              </w:numPr>
              <w:tabs>
                <w:tab w:pos="821" w:val="left" w:leader="none"/>
                <w:tab w:pos="822" w:val="left" w:leader="none"/>
              </w:tabs>
              <w:spacing w:line="276" w:lineRule="auto" w:before="1" w:after="0"/>
              <w:ind w:left="821" w:right="506" w:hanging="356"/>
              <w:jc w:val="left"/>
              <w:rPr>
                <w:sz w:val="18"/>
              </w:rPr>
            </w:pPr>
            <w:r>
              <w:rPr>
                <w:sz w:val="18"/>
              </w:rPr>
              <w:t>In</w:t>
            </w:r>
            <w:r>
              <w:rPr>
                <w:spacing w:val="-4"/>
                <w:sz w:val="18"/>
              </w:rPr>
              <w:t> </w:t>
            </w:r>
            <w:r>
              <w:rPr>
                <w:sz w:val="18"/>
              </w:rPr>
              <w:t>what</w:t>
            </w:r>
            <w:r>
              <w:rPr>
                <w:spacing w:val="-3"/>
                <w:sz w:val="18"/>
              </w:rPr>
              <w:t> </w:t>
            </w:r>
            <w:r>
              <w:rPr>
                <w:sz w:val="18"/>
              </w:rPr>
              <w:t>ways</w:t>
            </w:r>
            <w:r>
              <w:rPr>
                <w:spacing w:val="-3"/>
                <w:sz w:val="18"/>
              </w:rPr>
              <w:t> </w:t>
            </w:r>
            <w:r>
              <w:rPr>
                <w:sz w:val="18"/>
              </w:rPr>
              <w:t>have</w:t>
            </w:r>
            <w:r>
              <w:rPr>
                <w:spacing w:val="-1"/>
                <w:sz w:val="18"/>
              </w:rPr>
              <w:t> </w:t>
            </w:r>
            <w:r>
              <w:rPr>
                <w:sz w:val="18"/>
              </w:rPr>
              <w:t>you</w:t>
            </w:r>
            <w:r>
              <w:rPr>
                <w:spacing w:val="-2"/>
                <w:sz w:val="18"/>
              </w:rPr>
              <w:t> </w:t>
            </w:r>
            <w:r>
              <w:rPr>
                <w:sz w:val="18"/>
              </w:rPr>
              <w:t>and your</w:t>
            </w:r>
            <w:r>
              <w:rPr>
                <w:spacing w:val="-2"/>
                <w:sz w:val="18"/>
              </w:rPr>
              <w:t> </w:t>
            </w:r>
            <w:r>
              <w:rPr>
                <w:sz w:val="18"/>
              </w:rPr>
              <w:t>GP</w:t>
            </w:r>
            <w:r>
              <w:rPr>
                <w:spacing w:val="-3"/>
                <w:sz w:val="18"/>
              </w:rPr>
              <w:t> </w:t>
            </w:r>
            <w:r>
              <w:rPr>
                <w:sz w:val="18"/>
              </w:rPr>
              <w:t>been</w:t>
            </w:r>
            <w:r>
              <w:rPr>
                <w:spacing w:val="-2"/>
                <w:sz w:val="18"/>
              </w:rPr>
              <w:t> </w:t>
            </w:r>
            <w:r>
              <w:rPr>
                <w:sz w:val="18"/>
              </w:rPr>
              <w:t>able</w:t>
            </w:r>
            <w:r>
              <w:rPr>
                <w:spacing w:val="-2"/>
                <w:sz w:val="18"/>
              </w:rPr>
              <w:t> </w:t>
            </w:r>
            <w:r>
              <w:rPr>
                <w:sz w:val="18"/>
              </w:rPr>
              <w:t>to</w:t>
            </w:r>
            <w:r>
              <w:rPr>
                <w:spacing w:val="-1"/>
                <w:sz w:val="18"/>
              </w:rPr>
              <w:t> </w:t>
            </w:r>
            <w:r>
              <w:rPr>
                <w:sz w:val="18"/>
              </w:rPr>
              <w:t>use</w:t>
            </w:r>
            <w:r>
              <w:rPr>
                <w:spacing w:val="-2"/>
                <w:sz w:val="18"/>
              </w:rPr>
              <w:t> </w:t>
            </w:r>
            <w:r>
              <w:rPr>
                <w:sz w:val="18"/>
              </w:rPr>
              <w:t>the</w:t>
            </w:r>
            <w:r>
              <w:rPr>
                <w:spacing w:val="-1"/>
                <w:sz w:val="18"/>
              </w:rPr>
              <w:t> </w:t>
            </w:r>
            <w:r>
              <w:rPr>
                <w:sz w:val="18"/>
              </w:rPr>
              <w:t>plan</w:t>
            </w:r>
            <w:r>
              <w:rPr>
                <w:spacing w:val="-2"/>
                <w:sz w:val="18"/>
              </w:rPr>
              <w:t> </w:t>
            </w:r>
            <w:r>
              <w:rPr>
                <w:sz w:val="18"/>
              </w:rPr>
              <w:t>to</w:t>
            </w:r>
            <w:r>
              <w:rPr>
                <w:spacing w:val="-46"/>
                <w:sz w:val="18"/>
              </w:rPr>
              <w:t> </w:t>
            </w:r>
            <w:r>
              <w:rPr>
                <w:sz w:val="18"/>
              </w:rPr>
              <w:t>manage</w:t>
            </w:r>
            <w:r>
              <w:rPr>
                <w:spacing w:val="-1"/>
                <w:sz w:val="18"/>
              </w:rPr>
              <w:t> </w:t>
            </w:r>
            <w:r>
              <w:rPr>
                <w:sz w:val="18"/>
              </w:rPr>
              <w:t>your health condition(s)?</w:t>
            </w:r>
          </w:p>
          <w:p>
            <w:pPr>
              <w:pStyle w:val="TableParagraph"/>
              <w:numPr>
                <w:ilvl w:val="1"/>
                <w:numId w:val="205"/>
              </w:numPr>
              <w:tabs>
                <w:tab w:pos="821" w:val="left" w:leader="none"/>
                <w:tab w:pos="822" w:val="left" w:leader="none"/>
              </w:tabs>
              <w:spacing w:line="276" w:lineRule="auto" w:before="0" w:after="0"/>
              <w:ind w:left="821" w:right="546" w:hanging="356"/>
              <w:jc w:val="left"/>
              <w:rPr>
                <w:sz w:val="18"/>
              </w:rPr>
            </w:pPr>
            <w:r>
              <w:rPr>
                <w:sz w:val="18"/>
              </w:rPr>
              <w:t>Has your plan been uploaded in </w:t>
            </w:r>
            <w:r>
              <w:rPr>
                <w:i/>
                <w:sz w:val="18"/>
              </w:rPr>
              <w:t>My Health Record</w:t>
            </w:r>
            <w:r>
              <w:rPr>
                <w:sz w:val="18"/>
              </w:rPr>
              <w:t>? If so, has this</w:t>
            </w:r>
            <w:r>
              <w:rPr>
                <w:spacing w:val="-48"/>
                <w:sz w:val="18"/>
              </w:rPr>
              <w:t> </w:t>
            </w:r>
            <w:r>
              <w:rPr>
                <w:sz w:val="18"/>
              </w:rPr>
              <w:t>been</w:t>
            </w:r>
            <w:r>
              <w:rPr>
                <w:spacing w:val="-1"/>
                <w:sz w:val="18"/>
              </w:rPr>
              <w:t> </w:t>
            </w:r>
            <w:r>
              <w:rPr>
                <w:sz w:val="18"/>
              </w:rPr>
              <w:t>useful?</w:t>
            </w:r>
            <w:r>
              <w:rPr>
                <w:spacing w:val="-3"/>
                <w:sz w:val="18"/>
              </w:rPr>
              <w:t> </w:t>
            </w:r>
            <w:r>
              <w:rPr>
                <w:sz w:val="18"/>
              </w:rPr>
              <w:t>If</w:t>
            </w:r>
            <w:r>
              <w:rPr>
                <w:spacing w:val="-2"/>
                <w:sz w:val="18"/>
              </w:rPr>
              <w:t> </w:t>
            </w:r>
            <w:r>
              <w:rPr>
                <w:sz w:val="18"/>
              </w:rPr>
              <w:t>not</w:t>
            </w:r>
            <w:r>
              <w:rPr>
                <w:spacing w:val="-2"/>
                <w:sz w:val="18"/>
              </w:rPr>
              <w:t> </w:t>
            </w:r>
            <w:r>
              <w:rPr>
                <w:sz w:val="18"/>
              </w:rPr>
              <w:t>uploaded,</w:t>
            </w:r>
            <w:r>
              <w:rPr>
                <w:spacing w:val="-3"/>
                <w:sz w:val="18"/>
              </w:rPr>
              <w:t> </w:t>
            </w:r>
            <w:r>
              <w:rPr>
                <w:sz w:val="18"/>
              </w:rPr>
              <w:t>why not?</w:t>
            </w:r>
          </w:p>
          <w:p>
            <w:pPr>
              <w:pStyle w:val="TableParagraph"/>
              <w:numPr>
                <w:ilvl w:val="1"/>
                <w:numId w:val="205"/>
              </w:numPr>
              <w:tabs>
                <w:tab w:pos="873" w:val="left" w:leader="none"/>
                <w:tab w:pos="874" w:val="left" w:leader="none"/>
              </w:tabs>
              <w:spacing w:line="276" w:lineRule="auto" w:before="0" w:after="0"/>
              <w:ind w:left="821" w:right="210" w:hanging="356"/>
              <w:jc w:val="left"/>
              <w:rPr>
                <w:sz w:val="18"/>
              </w:rPr>
            </w:pPr>
            <w:r>
              <w:rPr/>
              <w:tab/>
            </w:r>
            <w:r>
              <w:rPr>
                <w:sz w:val="18"/>
              </w:rPr>
              <w:t>(</w:t>
            </w:r>
            <w:r>
              <w:rPr>
                <w:b/>
                <w:sz w:val="18"/>
              </w:rPr>
              <w:t>R4/R5</w:t>
            </w:r>
            <w:r>
              <w:rPr>
                <w:sz w:val="18"/>
              </w:rPr>
              <w:t>)</w:t>
            </w:r>
            <w:r>
              <w:rPr>
                <w:spacing w:val="-6"/>
                <w:sz w:val="18"/>
              </w:rPr>
              <w:t> </w:t>
            </w:r>
            <w:r>
              <w:rPr>
                <w:sz w:val="18"/>
              </w:rPr>
              <w:t>In</w:t>
            </w:r>
            <w:r>
              <w:rPr>
                <w:spacing w:val="-2"/>
                <w:sz w:val="18"/>
              </w:rPr>
              <w:t> </w:t>
            </w:r>
            <w:r>
              <w:rPr>
                <w:sz w:val="18"/>
              </w:rPr>
              <w:t>what</w:t>
            </w:r>
            <w:r>
              <w:rPr>
                <w:spacing w:val="-4"/>
                <w:sz w:val="18"/>
              </w:rPr>
              <w:t> </w:t>
            </w:r>
            <w:r>
              <w:rPr>
                <w:sz w:val="18"/>
              </w:rPr>
              <w:t>ways</w:t>
            </w:r>
            <w:r>
              <w:rPr>
                <w:spacing w:val="-3"/>
                <w:sz w:val="18"/>
              </w:rPr>
              <w:t> </w:t>
            </w:r>
            <w:r>
              <w:rPr>
                <w:sz w:val="18"/>
              </w:rPr>
              <w:t>has</w:t>
            </w:r>
            <w:r>
              <w:rPr>
                <w:spacing w:val="-3"/>
                <w:sz w:val="18"/>
              </w:rPr>
              <w:t> </w:t>
            </w:r>
            <w:r>
              <w:rPr>
                <w:sz w:val="18"/>
              </w:rPr>
              <w:t>the</w:t>
            </w:r>
            <w:r>
              <w:rPr>
                <w:spacing w:val="-1"/>
                <w:sz w:val="18"/>
              </w:rPr>
              <w:t> </w:t>
            </w:r>
            <w:r>
              <w:rPr>
                <w:sz w:val="18"/>
              </w:rPr>
              <w:t>plan</w:t>
            </w:r>
            <w:r>
              <w:rPr>
                <w:spacing w:val="-2"/>
                <w:sz w:val="18"/>
              </w:rPr>
              <w:t> </w:t>
            </w:r>
            <w:r>
              <w:rPr>
                <w:sz w:val="18"/>
              </w:rPr>
              <w:t>that</w:t>
            </w:r>
            <w:r>
              <w:rPr>
                <w:spacing w:val="-4"/>
                <w:sz w:val="18"/>
              </w:rPr>
              <w:t> </w:t>
            </w:r>
            <w:r>
              <w:rPr>
                <w:sz w:val="18"/>
              </w:rPr>
              <w:t>you</w:t>
            </w:r>
            <w:r>
              <w:rPr>
                <w:spacing w:val="-2"/>
                <w:sz w:val="18"/>
              </w:rPr>
              <w:t> </w:t>
            </w:r>
            <w:r>
              <w:rPr>
                <w:sz w:val="18"/>
              </w:rPr>
              <w:t>have</w:t>
            </w:r>
            <w:r>
              <w:rPr>
                <w:spacing w:val="-2"/>
                <w:sz w:val="18"/>
              </w:rPr>
              <w:t> </w:t>
            </w:r>
            <w:r>
              <w:rPr>
                <w:sz w:val="18"/>
              </w:rPr>
              <w:t>with</w:t>
            </w:r>
            <w:r>
              <w:rPr>
                <w:spacing w:val="-2"/>
                <w:sz w:val="18"/>
              </w:rPr>
              <w:t> </w:t>
            </w:r>
            <w:r>
              <w:rPr>
                <w:sz w:val="18"/>
              </w:rPr>
              <w:t>your</w:t>
            </w:r>
            <w:r>
              <w:rPr>
                <w:spacing w:val="-1"/>
                <w:sz w:val="18"/>
              </w:rPr>
              <w:t> </w:t>
            </w:r>
            <w:r>
              <w:rPr>
                <w:sz w:val="18"/>
              </w:rPr>
              <w:t>GP</w:t>
            </w:r>
            <w:r>
              <w:rPr>
                <w:spacing w:val="-4"/>
                <w:sz w:val="18"/>
              </w:rPr>
              <w:t> </w:t>
            </w:r>
            <w:r>
              <w:rPr>
                <w:sz w:val="18"/>
              </w:rPr>
              <w:t>about</w:t>
            </w:r>
            <w:r>
              <w:rPr>
                <w:spacing w:val="-47"/>
                <w:sz w:val="18"/>
              </w:rPr>
              <w:t> </w:t>
            </w:r>
            <w:r>
              <w:rPr>
                <w:sz w:val="18"/>
              </w:rPr>
              <w:t>the care that you are getting from the GP and other healthcare</w:t>
            </w:r>
            <w:r>
              <w:rPr>
                <w:spacing w:val="1"/>
                <w:sz w:val="18"/>
              </w:rPr>
              <w:t> </w:t>
            </w:r>
            <w:r>
              <w:rPr>
                <w:sz w:val="18"/>
              </w:rPr>
              <w:t>providers</w:t>
            </w:r>
            <w:r>
              <w:rPr>
                <w:spacing w:val="-2"/>
                <w:sz w:val="18"/>
              </w:rPr>
              <w:t> </w:t>
            </w:r>
            <w:r>
              <w:rPr>
                <w:sz w:val="18"/>
              </w:rPr>
              <w:t>been useful?</w:t>
            </w:r>
          </w:p>
          <w:p>
            <w:pPr>
              <w:pStyle w:val="TableParagraph"/>
              <w:spacing w:before="6"/>
              <w:rPr>
                <w:sz w:val="16"/>
              </w:rPr>
            </w:pPr>
          </w:p>
          <w:p>
            <w:pPr>
              <w:pStyle w:val="TableParagraph"/>
              <w:ind w:left="107"/>
              <w:rPr>
                <w:sz w:val="16"/>
              </w:rPr>
            </w:pPr>
            <w:r>
              <w:rPr>
                <w:sz w:val="16"/>
              </w:rPr>
              <w:t>Prompts:</w:t>
            </w:r>
          </w:p>
          <w:p>
            <w:pPr>
              <w:pStyle w:val="TableParagraph"/>
              <w:spacing w:before="7"/>
              <w:rPr>
                <w:sz w:val="18"/>
              </w:rPr>
            </w:pPr>
          </w:p>
          <w:p>
            <w:pPr>
              <w:pStyle w:val="TableParagraph"/>
              <w:numPr>
                <w:ilvl w:val="1"/>
                <w:numId w:val="205"/>
              </w:numPr>
              <w:tabs>
                <w:tab w:pos="821" w:val="left" w:leader="none"/>
                <w:tab w:pos="822" w:val="left" w:leader="none"/>
              </w:tabs>
              <w:spacing w:line="240" w:lineRule="auto" w:before="0" w:after="0"/>
              <w:ind w:left="821" w:right="0" w:hanging="357"/>
              <w:jc w:val="left"/>
              <w:rPr>
                <w:sz w:val="18"/>
              </w:rPr>
            </w:pPr>
            <w:r>
              <w:rPr>
                <w:sz w:val="18"/>
              </w:rPr>
              <w:t>Has</w:t>
            </w:r>
            <w:r>
              <w:rPr>
                <w:spacing w:val="-4"/>
                <w:sz w:val="18"/>
              </w:rPr>
              <w:t> </w:t>
            </w:r>
            <w:r>
              <w:rPr>
                <w:sz w:val="18"/>
              </w:rPr>
              <w:t>the</w:t>
            </w:r>
            <w:r>
              <w:rPr>
                <w:spacing w:val="-2"/>
                <w:sz w:val="18"/>
              </w:rPr>
              <w:t> </w:t>
            </w:r>
            <w:r>
              <w:rPr>
                <w:sz w:val="18"/>
              </w:rPr>
              <w:t>plan</w:t>
            </w:r>
            <w:r>
              <w:rPr>
                <w:spacing w:val="-2"/>
                <w:sz w:val="18"/>
              </w:rPr>
              <w:t> </w:t>
            </w:r>
            <w:r>
              <w:rPr>
                <w:sz w:val="18"/>
              </w:rPr>
              <w:t>been</w:t>
            </w:r>
            <w:r>
              <w:rPr>
                <w:spacing w:val="-3"/>
                <w:sz w:val="18"/>
              </w:rPr>
              <w:t> </w:t>
            </w:r>
            <w:r>
              <w:rPr>
                <w:sz w:val="18"/>
              </w:rPr>
              <w:t>reviewed</w:t>
            </w:r>
            <w:r>
              <w:rPr>
                <w:spacing w:val="-3"/>
                <w:sz w:val="18"/>
              </w:rPr>
              <w:t> </w:t>
            </w:r>
            <w:r>
              <w:rPr>
                <w:sz w:val="18"/>
              </w:rPr>
              <w:t>since</w:t>
            </w:r>
            <w:r>
              <w:rPr>
                <w:spacing w:val="-4"/>
                <w:sz w:val="18"/>
              </w:rPr>
              <w:t> </w:t>
            </w:r>
            <w:r>
              <w:rPr>
                <w:sz w:val="18"/>
              </w:rPr>
              <w:t>it</w:t>
            </w:r>
            <w:r>
              <w:rPr>
                <w:spacing w:val="-4"/>
                <w:sz w:val="18"/>
              </w:rPr>
              <w:t> </w:t>
            </w:r>
            <w:r>
              <w:rPr>
                <w:sz w:val="18"/>
              </w:rPr>
              <w:t>was</w:t>
            </w:r>
            <w:r>
              <w:rPr>
                <w:spacing w:val="-3"/>
                <w:sz w:val="18"/>
              </w:rPr>
              <w:t> </w:t>
            </w:r>
            <w:r>
              <w:rPr>
                <w:sz w:val="18"/>
              </w:rPr>
              <w:t>initially</w:t>
            </w:r>
            <w:r>
              <w:rPr>
                <w:spacing w:val="-4"/>
                <w:sz w:val="18"/>
              </w:rPr>
              <w:t> </w:t>
            </w:r>
            <w:r>
              <w:rPr>
                <w:sz w:val="18"/>
              </w:rPr>
              <w:t>developed?</w:t>
            </w:r>
          </w:p>
          <w:p>
            <w:pPr>
              <w:pStyle w:val="TableParagraph"/>
              <w:numPr>
                <w:ilvl w:val="1"/>
                <w:numId w:val="205"/>
              </w:numPr>
              <w:tabs>
                <w:tab w:pos="821" w:val="left" w:leader="none"/>
                <w:tab w:pos="822" w:val="left" w:leader="none"/>
              </w:tabs>
              <w:spacing w:line="240" w:lineRule="auto" w:before="34" w:after="0"/>
              <w:ind w:left="821" w:right="0" w:hanging="357"/>
              <w:jc w:val="left"/>
              <w:rPr>
                <w:sz w:val="18"/>
              </w:rPr>
            </w:pPr>
            <w:r>
              <w:rPr>
                <w:sz w:val="18"/>
              </w:rPr>
              <w:t>What</w:t>
            </w:r>
            <w:r>
              <w:rPr>
                <w:spacing w:val="-4"/>
                <w:sz w:val="18"/>
              </w:rPr>
              <w:t> </w:t>
            </w:r>
            <w:r>
              <w:rPr>
                <w:sz w:val="18"/>
              </w:rPr>
              <w:t>involvement</w:t>
            </w:r>
            <w:r>
              <w:rPr>
                <w:spacing w:val="-4"/>
                <w:sz w:val="18"/>
              </w:rPr>
              <w:t> </w:t>
            </w:r>
            <w:r>
              <w:rPr>
                <w:sz w:val="18"/>
              </w:rPr>
              <w:t>have</w:t>
            </w:r>
            <w:r>
              <w:rPr>
                <w:spacing w:val="-2"/>
                <w:sz w:val="18"/>
              </w:rPr>
              <w:t> </w:t>
            </w:r>
            <w:r>
              <w:rPr>
                <w:sz w:val="18"/>
              </w:rPr>
              <w:t>you</w:t>
            </w:r>
            <w:r>
              <w:rPr>
                <w:spacing w:val="-2"/>
                <w:sz w:val="18"/>
              </w:rPr>
              <w:t> </w:t>
            </w:r>
            <w:r>
              <w:rPr>
                <w:sz w:val="18"/>
              </w:rPr>
              <w:t>had</w:t>
            </w:r>
            <w:r>
              <w:rPr>
                <w:spacing w:val="-3"/>
                <w:sz w:val="18"/>
              </w:rPr>
              <w:t> </w:t>
            </w:r>
            <w:r>
              <w:rPr>
                <w:sz w:val="18"/>
              </w:rPr>
              <w:t>in</w:t>
            </w:r>
            <w:r>
              <w:rPr>
                <w:spacing w:val="-2"/>
                <w:sz w:val="18"/>
              </w:rPr>
              <w:t> </w:t>
            </w:r>
            <w:r>
              <w:rPr>
                <w:sz w:val="18"/>
              </w:rPr>
              <w:t>reviewing</w:t>
            </w:r>
            <w:r>
              <w:rPr>
                <w:spacing w:val="-4"/>
                <w:sz w:val="18"/>
              </w:rPr>
              <w:t> </w:t>
            </w:r>
            <w:r>
              <w:rPr>
                <w:sz w:val="18"/>
              </w:rPr>
              <w:t>the</w:t>
            </w:r>
            <w:r>
              <w:rPr>
                <w:spacing w:val="-2"/>
                <w:sz w:val="18"/>
              </w:rPr>
              <w:t> </w:t>
            </w:r>
            <w:r>
              <w:rPr>
                <w:sz w:val="18"/>
              </w:rPr>
              <w:t>plan?</w:t>
            </w:r>
          </w:p>
          <w:p>
            <w:pPr>
              <w:pStyle w:val="TableParagraph"/>
              <w:numPr>
                <w:ilvl w:val="1"/>
                <w:numId w:val="205"/>
              </w:numPr>
              <w:tabs>
                <w:tab w:pos="821" w:val="left" w:leader="none"/>
                <w:tab w:pos="822" w:val="left" w:leader="none"/>
              </w:tabs>
              <w:spacing w:line="240" w:lineRule="auto" w:before="31" w:after="0"/>
              <w:ind w:left="821" w:right="0" w:hanging="357"/>
              <w:jc w:val="left"/>
              <w:rPr>
                <w:sz w:val="18"/>
              </w:rPr>
            </w:pPr>
            <w:r>
              <w:rPr>
                <w:sz w:val="18"/>
              </w:rPr>
              <w:t>How</w:t>
            </w:r>
            <w:r>
              <w:rPr>
                <w:spacing w:val="-4"/>
                <w:sz w:val="18"/>
              </w:rPr>
              <w:t> </w:t>
            </w:r>
            <w:r>
              <w:rPr>
                <w:sz w:val="18"/>
              </w:rPr>
              <w:t>often</w:t>
            </w:r>
            <w:r>
              <w:rPr>
                <w:spacing w:val="-3"/>
                <w:sz w:val="18"/>
              </w:rPr>
              <w:t> </w:t>
            </w:r>
            <w:r>
              <w:rPr>
                <w:sz w:val="18"/>
              </w:rPr>
              <w:t>do</w:t>
            </w:r>
            <w:r>
              <w:rPr>
                <w:spacing w:val="-3"/>
                <w:sz w:val="18"/>
              </w:rPr>
              <w:t> </w:t>
            </w:r>
            <w:r>
              <w:rPr>
                <w:sz w:val="18"/>
              </w:rPr>
              <w:t>you</w:t>
            </w:r>
            <w:r>
              <w:rPr>
                <w:spacing w:val="-2"/>
                <w:sz w:val="18"/>
              </w:rPr>
              <w:t> </w:t>
            </w:r>
            <w:r>
              <w:rPr>
                <w:sz w:val="18"/>
              </w:rPr>
              <w:t>discuss</w:t>
            </w:r>
            <w:r>
              <w:rPr>
                <w:spacing w:val="-3"/>
                <w:sz w:val="18"/>
              </w:rPr>
              <w:t> </w:t>
            </w:r>
            <w:r>
              <w:rPr>
                <w:sz w:val="18"/>
              </w:rPr>
              <w:t>the</w:t>
            </w:r>
            <w:r>
              <w:rPr>
                <w:spacing w:val="-2"/>
                <w:sz w:val="18"/>
              </w:rPr>
              <w:t> </w:t>
            </w:r>
            <w:r>
              <w:rPr>
                <w:sz w:val="18"/>
              </w:rPr>
              <w:t>plan</w:t>
            </w:r>
            <w:r>
              <w:rPr>
                <w:spacing w:val="-2"/>
                <w:sz w:val="18"/>
              </w:rPr>
              <w:t> </w:t>
            </w:r>
            <w:r>
              <w:rPr>
                <w:sz w:val="18"/>
              </w:rPr>
              <w:t>with</w:t>
            </w:r>
            <w:r>
              <w:rPr>
                <w:spacing w:val="-2"/>
                <w:sz w:val="18"/>
              </w:rPr>
              <w:t> </w:t>
            </w:r>
            <w:r>
              <w:rPr>
                <w:sz w:val="18"/>
              </w:rPr>
              <w:t>your</w:t>
            </w:r>
            <w:r>
              <w:rPr>
                <w:spacing w:val="-2"/>
                <w:sz w:val="18"/>
              </w:rPr>
              <w:t> </w:t>
            </w:r>
            <w:r>
              <w:rPr>
                <w:sz w:val="18"/>
              </w:rPr>
              <w:t>GP?</w:t>
            </w:r>
          </w:p>
          <w:p>
            <w:pPr>
              <w:pStyle w:val="TableParagraph"/>
              <w:numPr>
                <w:ilvl w:val="1"/>
                <w:numId w:val="205"/>
              </w:numPr>
              <w:tabs>
                <w:tab w:pos="821" w:val="left" w:leader="none"/>
                <w:tab w:pos="822" w:val="left" w:leader="none"/>
              </w:tabs>
              <w:spacing w:line="240" w:lineRule="auto" w:before="34" w:after="0"/>
              <w:ind w:left="821" w:right="0" w:hanging="357"/>
              <w:jc w:val="left"/>
              <w:rPr>
                <w:sz w:val="18"/>
              </w:rPr>
            </w:pPr>
            <w:r>
              <w:rPr>
                <w:sz w:val="18"/>
              </w:rPr>
              <w:t>Do</w:t>
            </w:r>
            <w:r>
              <w:rPr>
                <w:spacing w:val="-3"/>
                <w:sz w:val="18"/>
              </w:rPr>
              <w:t> </w:t>
            </w:r>
            <w:r>
              <w:rPr>
                <w:sz w:val="18"/>
              </w:rPr>
              <w:t>you</w:t>
            </w:r>
            <w:r>
              <w:rPr>
                <w:spacing w:val="-2"/>
                <w:sz w:val="18"/>
              </w:rPr>
              <w:t> </w:t>
            </w:r>
            <w:r>
              <w:rPr>
                <w:sz w:val="18"/>
              </w:rPr>
              <w:t>discuss</w:t>
            </w:r>
            <w:r>
              <w:rPr>
                <w:spacing w:val="-5"/>
                <w:sz w:val="18"/>
              </w:rPr>
              <w:t> </w:t>
            </w:r>
            <w:r>
              <w:rPr>
                <w:sz w:val="18"/>
              </w:rPr>
              <w:t>it</w:t>
            </w:r>
            <w:r>
              <w:rPr>
                <w:spacing w:val="-4"/>
                <w:sz w:val="18"/>
              </w:rPr>
              <w:t> </w:t>
            </w:r>
            <w:r>
              <w:rPr>
                <w:sz w:val="18"/>
              </w:rPr>
              <w:t>with</w:t>
            </w:r>
            <w:r>
              <w:rPr>
                <w:spacing w:val="-4"/>
                <w:sz w:val="18"/>
              </w:rPr>
              <w:t> </w:t>
            </w:r>
            <w:r>
              <w:rPr>
                <w:sz w:val="18"/>
              </w:rPr>
              <w:t>other</w:t>
            </w:r>
            <w:r>
              <w:rPr>
                <w:spacing w:val="-4"/>
                <w:sz w:val="18"/>
              </w:rPr>
              <w:t> </w:t>
            </w:r>
            <w:r>
              <w:rPr>
                <w:sz w:val="18"/>
              </w:rPr>
              <w:t>healthcare</w:t>
            </w:r>
            <w:r>
              <w:rPr>
                <w:spacing w:val="-2"/>
                <w:sz w:val="18"/>
              </w:rPr>
              <w:t> </w:t>
            </w:r>
            <w:r>
              <w:rPr>
                <w:sz w:val="18"/>
              </w:rPr>
              <w:t>providers?</w:t>
            </w:r>
          </w:p>
          <w:p>
            <w:pPr>
              <w:pStyle w:val="TableParagraph"/>
              <w:numPr>
                <w:ilvl w:val="1"/>
                <w:numId w:val="205"/>
              </w:numPr>
              <w:tabs>
                <w:tab w:pos="821" w:val="left" w:leader="none"/>
                <w:tab w:pos="822" w:val="left" w:leader="none"/>
              </w:tabs>
              <w:spacing w:line="276" w:lineRule="auto" w:before="34" w:after="0"/>
              <w:ind w:left="821" w:right="506" w:hanging="356"/>
              <w:jc w:val="left"/>
              <w:rPr>
                <w:sz w:val="18"/>
              </w:rPr>
            </w:pPr>
            <w:r>
              <w:rPr>
                <w:sz w:val="18"/>
              </w:rPr>
              <w:t>In</w:t>
            </w:r>
            <w:r>
              <w:rPr>
                <w:spacing w:val="-4"/>
                <w:sz w:val="18"/>
              </w:rPr>
              <w:t> </w:t>
            </w:r>
            <w:r>
              <w:rPr>
                <w:sz w:val="18"/>
              </w:rPr>
              <w:t>what</w:t>
            </w:r>
            <w:r>
              <w:rPr>
                <w:spacing w:val="-3"/>
                <w:sz w:val="18"/>
              </w:rPr>
              <w:t> </w:t>
            </w:r>
            <w:r>
              <w:rPr>
                <w:sz w:val="18"/>
              </w:rPr>
              <w:t>ways</w:t>
            </w:r>
            <w:r>
              <w:rPr>
                <w:spacing w:val="-3"/>
                <w:sz w:val="18"/>
              </w:rPr>
              <w:t> </w:t>
            </w:r>
            <w:r>
              <w:rPr>
                <w:sz w:val="18"/>
              </w:rPr>
              <w:t>have</w:t>
            </w:r>
            <w:r>
              <w:rPr>
                <w:spacing w:val="-1"/>
                <w:sz w:val="18"/>
              </w:rPr>
              <w:t> </w:t>
            </w:r>
            <w:r>
              <w:rPr>
                <w:sz w:val="18"/>
              </w:rPr>
              <w:t>you</w:t>
            </w:r>
            <w:r>
              <w:rPr>
                <w:spacing w:val="-2"/>
                <w:sz w:val="18"/>
              </w:rPr>
              <w:t> </w:t>
            </w:r>
            <w:r>
              <w:rPr>
                <w:sz w:val="18"/>
              </w:rPr>
              <w:t>and your</w:t>
            </w:r>
            <w:r>
              <w:rPr>
                <w:spacing w:val="-2"/>
                <w:sz w:val="18"/>
              </w:rPr>
              <w:t> </w:t>
            </w:r>
            <w:r>
              <w:rPr>
                <w:sz w:val="18"/>
              </w:rPr>
              <w:t>GP</w:t>
            </w:r>
            <w:r>
              <w:rPr>
                <w:spacing w:val="-3"/>
                <w:sz w:val="18"/>
              </w:rPr>
              <w:t> </w:t>
            </w:r>
            <w:r>
              <w:rPr>
                <w:sz w:val="18"/>
              </w:rPr>
              <w:t>been</w:t>
            </w:r>
            <w:r>
              <w:rPr>
                <w:spacing w:val="-2"/>
                <w:sz w:val="18"/>
              </w:rPr>
              <w:t> </w:t>
            </w:r>
            <w:r>
              <w:rPr>
                <w:sz w:val="18"/>
              </w:rPr>
              <w:t>able</w:t>
            </w:r>
            <w:r>
              <w:rPr>
                <w:spacing w:val="-2"/>
                <w:sz w:val="18"/>
              </w:rPr>
              <w:t> </w:t>
            </w:r>
            <w:r>
              <w:rPr>
                <w:sz w:val="18"/>
              </w:rPr>
              <w:t>to</w:t>
            </w:r>
            <w:r>
              <w:rPr>
                <w:spacing w:val="-1"/>
                <w:sz w:val="18"/>
              </w:rPr>
              <w:t> </w:t>
            </w:r>
            <w:r>
              <w:rPr>
                <w:sz w:val="18"/>
              </w:rPr>
              <w:t>use</w:t>
            </w:r>
            <w:r>
              <w:rPr>
                <w:spacing w:val="-2"/>
                <w:sz w:val="18"/>
              </w:rPr>
              <w:t> </w:t>
            </w:r>
            <w:r>
              <w:rPr>
                <w:sz w:val="18"/>
              </w:rPr>
              <w:t>the</w:t>
            </w:r>
            <w:r>
              <w:rPr>
                <w:spacing w:val="-1"/>
                <w:sz w:val="18"/>
              </w:rPr>
              <w:t> </w:t>
            </w:r>
            <w:r>
              <w:rPr>
                <w:sz w:val="18"/>
              </w:rPr>
              <w:t>plan</w:t>
            </w:r>
            <w:r>
              <w:rPr>
                <w:spacing w:val="-2"/>
                <w:sz w:val="18"/>
              </w:rPr>
              <w:t> </w:t>
            </w:r>
            <w:r>
              <w:rPr>
                <w:sz w:val="18"/>
              </w:rPr>
              <w:t>to</w:t>
            </w:r>
            <w:r>
              <w:rPr>
                <w:spacing w:val="-46"/>
                <w:sz w:val="18"/>
              </w:rPr>
              <w:t> </w:t>
            </w:r>
            <w:r>
              <w:rPr>
                <w:sz w:val="18"/>
              </w:rPr>
              <w:t>manage</w:t>
            </w:r>
            <w:r>
              <w:rPr>
                <w:spacing w:val="-1"/>
                <w:sz w:val="18"/>
              </w:rPr>
              <w:t> </w:t>
            </w:r>
            <w:r>
              <w:rPr>
                <w:sz w:val="18"/>
              </w:rPr>
              <w:t>your health condition(s)?</w:t>
            </w:r>
          </w:p>
          <w:p>
            <w:pPr>
              <w:pStyle w:val="TableParagraph"/>
              <w:numPr>
                <w:ilvl w:val="1"/>
                <w:numId w:val="205"/>
              </w:numPr>
              <w:tabs>
                <w:tab w:pos="821" w:val="left" w:leader="none"/>
                <w:tab w:pos="822" w:val="left" w:leader="none"/>
              </w:tabs>
              <w:spacing w:line="278" w:lineRule="auto" w:before="0" w:after="0"/>
              <w:ind w:left="821" w:right="546" w:hanging="356"/>
              <w:jc w:val="left"/>
              <w:rPr>
                <w:sz w:val="18"/>
              </w:rPr>
            </w:pPr>
            <w:r>
              <w:rPr>
                <w:sz w:val="18"/>
              </w:rPr>
              <w:t>Has your plan been uploaded in My Health Record? If so, has this</w:t>
            </w:r>
            <w:r>
              <w:rPr>
                <w:spacing w:val="-48"/>
                <w:sz w:val="18"/>
              </w:rPr>
              <w:t> </w:t>
            </w:r>
            <w:r>
              <w:rPr>
                <w:sz w:val="18"/>
              </w:rPr>
              <w:t>been</w:t>
            </w:r>
            <w:r>
              <w:rPr>
                <w:spacing w:val="-1"/>
                <w:sz w:val="18"/>
              </w:rPr>
              <w:t> </w:t>
            </w:r>
            <w:r>
              <w:rPr>
                <w:sz w:val="18"/>
              </w:rPr>
              <w:t>useful?</w:t>
            </w:r>
            <w:r>
              <w:rPr>
                <w:spacing w:val="-3"/>
                <w:sz w:val="18"/>
              </w:rPr>
              <w:t> </w:t>
            </w:r>
            <w:r>
              <w:rPr>
                <w:sz w:val="18"/>
              </w:rPr>
              <w:t>If</w:t>
            </w:r>
            <w:r>
              <w:rPr>
                <w:spacing w:val="-2"/>
                <w:sz w:val="18"/>
              </w:rPr>
              <w:t> </w:t>
            </w:r>
            <w:r>
              <w:rPr>
                <w:sz w:val="18"/>
              </w:rPr>
              <w:t>not</w:t>
            </w:r>
            <w:r>
              <w:rPr>
                <w:spacing w:val="-2"/>
                <w:sz w:val="18"/>
              </w:rPr>
              <w:t> </w:t>
            </w:r>
            <w:r>
              <w:rPr>
                <w:sz w:val="18"/>
              </w:rPr>
              <w:t>uploaded,</w:t>
            </w:r>
            <w:r>
              <w:rPr>
                <w:spacing w:val="-3"/>
                <w:sz w:val="18"/>
              </w:rPr>
              <w:t> </w:t>
            </w:r>
            <w:r>
              <w:rPr>
                <w:sz w:val="18"/>
              </w:rPr>
              <w:t>why not?</w:t>
            </w:r>
          </w:p>
        </w:tc>
      </w:tr>
      <w:tr>
        <w:trPr>
          <w:trHeight w:val="3228" w:hRule="atLeast"/>
        </w:trPr>
        <w:tc>
          <w:tcPr>
            <w:tcW w:w="1980" w:type="dxa"/>
          </w:tcPr>
          <w:p>
            <w:pPr>
              <w:pStyle w:val="TableParagraph"/>
              <w:spacing w:line="196" w:lineRule="exact"/>
              <w:ind w:left="107"/>
              <w:rPr>
                <w:sz w:val="16"/>
              </w:rPr>
            </w:pPr>
            <w:r>
              <w:rPr>
                <w:sz w:val="16"/>
              </w:rPr>
              <w:t>Expectations</w:t>
            </w:r>
          </w:p>
        </w:tc>
        <w:tc>
          <w:tcPr>
            <w:tcW w:w="7038" w:type="dxa"/>
          </w:tcPr>
          <w:p>
            <w:pPr>
              <w:pStyle w:val="TableParagraph"/>
              <w:numPr>
                <w:ilvl w:val="0"/>
                <w:numId w:val="206"/>
              </w:numPr>
              <w:tabs>
                <w:tab w:pos="279" w:val="left" w:leader="none"/>
              </w:tabs>
              <w:spacing w:line="276" w:lineRule="auto" w:before="0" w:after="0"/>
              <w:ind w:left="278" w:right="353" w:hanging="171"/>
              <w:jc w:val="left"/>
              <w:rPr>
                <w:sz w:val="18"/>
              </w:rPr>
            </w:pPr>
            <w:r>
              <w:rPr>
                <w:sz w:val="18"/>
              </w:rPr>
              <w:t>(</w:t>
            </w:r>
            <w:r>
              <w:rPr>
                <w:b/>
                <w:sz w:val="18"/>
              </w:rPr>
              <w:t>R2</w:t>
            </w:r>
            <w:r>
              <w:rPr>
                <w:sz w:val="18"/>
              </w:rPr>
              <w:t>)</w:t>
            </w:r>
            <w:r>
              <w:rPr>
                <w:spacing w:val="-4"/>
                <w:sz w:val="18"/>
              </w:rPr>
              <w:t> </w:t>
            </w:r>
            <w:r>
              <w:rPr>
                <w:sz w:val="18"/>
              </w:rPr>
              <w:t>How</w:t>
            </w:r>
            <w:r>
              <w:rPr>
                <w:spacing w:val="-3"/>
                <w:sz w:val="18"/>
              </w:rPr>
              <w:t> </w:t>
            </w:r>
            <w:r>
              <w:rPr>
                <w:sz w:val="18"/>
              </w:rPr>
              <w:t>does</w:t>
            </w:r>
            <w:r>
              <w:rPr>
                <w:spacing w:val="-1"/>
                <w:sz w:val="18"/>
              </w:rPr>
              <w:t> </w:t>
            </w:r>
            <w:r>
              <w:rPr>
                <w:sz w:val="18"/>
              </w:rPr>
              <w:t>the</w:t>
            </w:r>
            <w:r>
              <w:rPr>
                <w:spacing w:val="-2"/>
                <w:sz w:val="18"/>
              </w:rPr>
              <w:t> </w:t>
            </w:r>
            <w:r>
              <w:rPr>
                <w:sz w:val="18"/>
              </w:rPr>
              <w:t>care</w:t>
            </w:r>
            <w:r>
              <w:rPr>
                <w:spacing w:val="-1"/>
                <w:sz w:val="18"/>
              </w:rPr>
              <w:t> </w:t>
            </w:r>
            <w:r>
              <w:rPr>
                <w:sz w:val="18"/>
              </w:rPr>
              <w:t>that</w:t>
            </w:r>
            <w:r>
              <w:rPr>
                <w:spacing w:val="-3"/>
                <w:sz w:val="18"/>
              </w:rPr>
              <w:t> </w:t>
            </w:r>
            <w:r>
              <w:rPr>
                <w:sz w:val="18"/>
              </w:rPr>
              <w:t>you</w:t>
            </w:r>
            <w:r>
              <w:rPr>
                <w:spacing w:val="-2"/>
                <w:sz w:val="18"/>
              </w:rPr>
              <w:t> </w:t>
            </w:r>
            <w:r>
              <w:rPr>
                <w:sz w:val="18"/>
              </w:rPr>
              <w:t>get</w:t>
            </w:r>
            <w:r>
              <w:rPr>
                <w:spacing w:val="-3"/>
                <w:sz w:val="18"/>
              </w:rPr>
              <w:t> </w:t>
            </w:r>
            <w:r>
              <w:rPr>
                <w:sz w:val="18"/>
              </w:rPr>
              <w:t>now</w:t>
            </w:r>
            <w:r>
              <w:rPr>
                <w:spacing w:val="-3"/>
                <w:sz w:val="18"/>
              </w:rPr>
              <w:t> </w:t>
            </w:r>
            <w:r>
              <w:rPr>
                <w:sz w:val="18"/>
              </w:rPr>
              <w:t>align</w:t>
            </w:r>
            <w:r>
              <w:rPr>
                <w:spacing w:val="-2"/>
                <w:sz w:val="18"/>
              </w:rPr>
              <w:t> </w:t>
            </w:r>
            <w:r>
              <w:rPr>
                <w:sz w:val="18"/>
              </w:rPr>
              <w:t>what</w:t>
            </w:r>
            <w:r>
              <w:rPr>
                <w:spacing w:val="-3"/>
                <w:sz w:val="18"/>
              </w:rPr>
              <w:t> </w:t>
            </w:r>
            <w:r>
              <w:rPr>
                <w:sz w:val="18"/>
              </w:rPr>
              <w:t>you</w:t>
            </w:r>
            <w:r>
              <w:rPr>
                <w:spacing w:val="-1"/>
                <w:sz w:val="18"/>
              </w:rPr>
              <w:t> </w:t>
            </w:r>
            <w:r>
              <w:rPr>
                <w:sz w:val="18"/>
              </w:rPr>
              <w:t>expected</w:t>
            </w:r>
            <w:r>
              <w:rPr>
                <w:spacing w:val="-3"/>
                <w:sz w:val="18"/>
              </w:rPr>
              <w:t> </w:t>
            </w:r>
            <w:r>
              <w:rPr>
                <w:sz w:val="18"/>
              </w:rPr>
              <w:t>when</w:t>
            </w:r>
            <w:r>
              <w:rPr>
                <w:spacing w:val="-47"/>
                <w:sz w:val="18"/>
              </w:rPr>
              <w:t> </w:t>
            </w:r>
            <w:r>
              <w:rPr>
                <w:sz w:val="18"/>
              </w:rPr>
              <w:t>you</w:t>
            </w:r>
            <w:r>
              <w:rPr>
                <w:spacing w:val="-1"/>
                <w:sz w:val="18"/>
              </w:rPr>
              <w:t> </w:t>
            </w:r>
            <w:r>
              <w:rPr>
                <w:sz w:val="18"/>
              </w:rPr>
              <w:t>enrolled</w:t>
            </w:r>
            <w:r>
              <w:rPr>
                <w:spacing w:val="-3"/>
                <w:sz w:val="18"/>
              </w:rPr>
              <w:t> </w:t>
            </w:r>
            <w:r>
              <w:rPr>
                <w:sz w:val="18"/>
              </w:rPr>
              <w:t>in</w:t>
            </w:r>
            <w:r>
              <w:rPr>
                <w:spacing w:val="-2"/>
                <w:sz w:val="18"/>
              </w:rPr>
              <w:t> </w:t>
            </w:r>
            <w:r>
              <w:rPr>
                <w:sz w:val="18"/>
              </w:rPr>
              <w:t>HCH?</w:t>
            </w:r>
          </w:p>
          <w:p>
            <w:pPr>
              <w:pStyle w:val="TableParagraph"/>
              <w:spacing w:before="3"/>
              <w:rPr>
                <w:sz w:val="16"/>
              </w:rPr>
            </w:pPr>
          </w:p>
          <w:p>
            <w:pPr>
              <w:pStyle w:val="TableParagraph"/>
              <w:spacing w:before="1"/>
              <w:ind w:left="107"/>
              <w:rPr>
                <w:sz w:val="16"/>
              </w:rPr>
            </w:pPr>
            <w:r>
              <w:rPr>
                <w:sz w:val="16"/>
              </w:rPr>
              <w:t>Prompts:</w:t>
            </w:r>
          </w:p>
          <w:p>
            <w:pPr>
              <w:pStyle w:val="TableParagraph"/>
              <w:spacing w:before="9"/>
              <w:rPr>
                <w:sz w:val="18"/>
              </w:rPr>
            </w:pPr>
          </w:p>
          <w:p>
            <w:pPr>
              <w:pStyle w:val="TableParagraph"/>
              <w:numPr>
                <w:ilvl w:val="1"/>
                <w:numId w:val="206"/>
              </w:numPr>
              <w:tabs>
                <w:tab w:pos="821" w:val="left" w:leader="none"/>
                <w:tab w:pos="822" w:val="left" w:leader="none"/>
              </w:tabs>
              <w:spacing w:line="240" w:lineRule="auto" w:before="0" w:after="0"/>
              <w:ind w:left="821" w:right="0" w:hanging="357"/>
              <w:jc w:val="left"/>
              <w:rPr>
                <w:sz w:val="18"/>
              </w:rPr>
            </w:pPr>
            <w:r>
              <w:rPr>
                <w:sz w:val="18"/>
              </w:rPr>
              <w:t>What</w:t>
            </w:r>
            <w:r>
              <w:rPr>
                <w:spacing w:val="-5"/>
                <w:sz w:val="18"/>
              </w:rPr>
              <w:t> </w:t>
            </w:r>
            <w:r>
              <w:rPr>
                <w:sz w:val="18"/>
              </w:rPr>
              <w:t>were</w:t>
            </w:r>
            <w:r>
              <w:rPr>
                <w:spacing w:val="-3"/>
                <w:sz w:val="18"/>
              </w:rPr>
              <w:t> </w:t>
            </w:r>
            <w:r>
              <w:rPr>
                <w:sz w:val="18"/>
              </w:rPr>
              <w:t>your</w:t>
            </w:r>
            <w:r>
              <w:rPr>
                <w:spacing w:val="-3"/>
                <w:sz w:val="18"/>
              </w:rPr>
              <w:t> </w:t>
            </w:r>
            <w:r>
              <w:rPr>
                <w:sz w:val="18"/>
              </w:rPr>
              <w:t>expectations?</w:t>
            </w:r>
          </w:p>
          <w:p>
            <w:pPr>
              <w:pStyle w:val="TableParagraph"/>
              <w:numPr>
                <w:ilvl w:val="1"/>
                <w:numId w:val="206"/>
              </w:numPr>
              <w:tabs>
                <w:tab w:pos="821" w:val="left" w:leader="none"/>
                <w:tab w:pos="822" w:val="left" w:leader="none"/>
              </w:tabs>
              <w:spacing w:line="276" w:lineRule="auto" w:before="31" w:after="0"/>
              <w:ind w:left="821" w:right="299" w:hanging="356"/>
              <w:jc w:val="left"/>
              <w:rPr>
                <w:sz w:val="18"/>
              </w:rPr>
            </w:pPr>
            <w:r>
              <w:rPr>
                <w:sz w:val="18"/>
              </w:rPr>
              <w:t>Is</w:t>
            </w:r>
            <w:r>
              <w:rPr>
                <w:spacing w:val="-3"/>
                <w:sz w:val="18"/>
              </w:rPr>
              <w:t> </w:t>
            </w:r>
            <w:r>
              <w:rPr>
                <w:sz w:val="18"/>
              </w:rPr>
              <w:t>what</w:t>
            </w:r>
            <w:r>
              <w:rPr>
                <w:spacing w:val="-4"/>
                <w:sz w:val="18"/>
              </w:rPr>
              <w:t> </w:t>
            </w:r>
            <w:r>
              <w:rPr>
                <w:sz w:val="18"/>
              </w:rPr>
              <w:t>you</w:t>
            </w:r>
            <w:r>
              <w:rPr>
                <w:spacing w:val="-2"/>
                <w:sz w:val="18"/>
              </w:rPr>
              <w:t> </w:t>
            </w:r>
            <w:r>
              <w:rPr>
                <w:sz w:val="18"/>
              </w:rPr>
              <w:t>are</w:t>
            </w:r>
            <w:r>
              <w:rPr>
                <w:spacing w:val="-4"/>
                <w:sz w:val="18"/>
              </w:rPr>
              <w:t> </w:t>
            </w:r>
            <w:r>
              <w:rPr>
                <w:sz w:val="18"/>
              </w:rPr>
              <w:t>getting</w:t>
            </w:r>
            <w:r>
              <w:rPr>
                <w:spacing w:val="-4"/>
                <w:sz w:val="18"/>
              </w:rPr>
              <w:t> </w:t>
            </w:r>
            <w:r>
              <w:rPr>
                <w:sz w:val="18"/>
              </w:rPr>
              <w:t>now</w:t>
            </w:r>
            <w:r>
              <w:rPr>
                <w:spacing w:val="-4"/>
                <w:sz w:val="18"/>
              </w:rPr>
              <w:t> </w:t>
            </w:r>
            <w:r>
              <w:rPr>
                <w:sz w:val="18"/>
              </w:rPr>
              <w:t>better/</w:t>
            </w:r>
            <w:r>
              <w:rPr>
                <w:spacing w:val="-2"/>
                <w:sz w:val="18"/>
              </w:rPr>
              <w:t> </w:t>
            </w:r>
            <w:r>
              <w:rPr>
                <w:sz w:val="18"/>
              </w:rPr>
              <w:t>the</w:t>
            </w:r>
            <w:r>
              <w:rPr>
                <w:spacing w:val="-2"/>
                <w:sz w:val="18"/>
              </w:rPr>
              <w:t> </w:t>
            </w:r>
            <w:r>
              <w:rPr>
                <w:sz w:val="18"/>
              </w:rPr>
              <w:t>same/</w:t>
            </w:r>
            <w:r>
              <w:rPr>
                <w:spacing w:val="-2"/>
                <w:sz w:val="18"/>
              </w:rPr>
              <w:t> </w:t>
            </w:r>
            <w:r>
              <w:rPr>
                <w:sz w:val="18"/>
              </w:rPr>
              <w:t>worse</w:t>
            </w:r>
            <w:r>
              <w:rPr>
                <w:spacing w:val="-2"/>
                <w:sz w:val="18"/>
              </w:rPr>
              <w:t> </w:t>
            </w:r>
            <w:r>
              <w:rPr>
                <w:sz w:val="18"/>
              </w:rPr>
              <w:t>than</w:t>
            </w:r>
            <w:r>
              <w:rPr>
                <w:spacing w:val="-2"/>
                <w:sz w:val="18"/>
              </w:rPr>
              <w:t> </w:t>
            </w:r>
            <w:r>
              <w:rPr>
                <w:sz w:val="18"/>
              </w:rPr>
              <w:t>what</w:t>
            </w:r>
            <w:r>
              <w:rPr>
                <w:spacing w:val="-4"/>
                <w:sz w:val="18"/>
              </w:rPr>
              <w:t> </w:t>
            </w:r>
            <w:r>
              <w:rPr>
                <w:sz w:val="18"/>
              </w:rPr>
              <w:t>you</w:t>
            </w:r>
            <w:r>
              <w:rPr>
                <w:spacing w:val="-47"/>
                <w:sz w:val="18"/>
              </w:rPr>
              <w:t> </w:t>
            </w:r>
            <w:r>
              <w:rPr>
                <w:sz w:val="18"/>
              </w:rPr>
              <w:t>expected?</w:t>
            </w:r>
            <w:r>
              <w:rPr>
                <w:spacing w:val="-2"/>
                <w:sz w:val="18"/>
              </w:rPr>
              <w:t> </w:t>
            </w:r>
            <w:r>
              <w:rPr>
                <w:sz w:val="18"/>
              </w:rPr>
              <w:t>How</w:t>
            </w:r>
            <w:r>
              <w:rPr>
                <w:spacing w:val="-2"/>
                <w:sz w:val="18"/>
              </w:rPr>
              <w:t> </w:t>
            </w:r>
            <w:r>
              <w:rPr>
                <w:sz w:val="18"/>
              </w:rPr>
              <w:t>is</w:t>
            </w:r>
            <w:r>
              <w:rPr>
                <w:spacing w:val="-4"/>
                <w:sz w:val="18"/>
              </w:rPr>
              <w:t> </w:t>
            </w:r>
            <w:r>
              <w:rPr>
                <w:sz w:val="18"/>
              </w:rPr>
              <w:t>it</w:t>
            </w:r>
            <w:r>
              <w:rPr>
                <w:spacing w:val="-2"/>
                <w:sz w:val="18"/>
              </w:rPr>
              <w:t> </w:t>
            </w:r>
            <w:r>
              <w:rPr>
                <w:sz w:val="18"/>
              </w:rPr>
              <w:t>better/</w:t>
            </w:r>
            <w:r>
              <w:rPr>
                <w:spacing w:val="-2"/>
                <w:sz w:val="18"/>
              </w:rPr>
              <w:t> </w:t>
            </w:r>
            <w:r>
              <w:rPr>
                <w:sz w:val="18"/>
              </w:rPr>
              <w:t>the</w:t>
            </w:r>
            <w:r>
              <w:rPr>
                <w:spacing w:val="-1"/>
                <w:sz w:val="18"/>
              </w:rPr>
              <w:t> </w:t>
            </w:r>
            <w:r>
              <w:rPr>
                <w:sz w:val="18"/>
              </w:rPr>
              <w:t>same/ worse?</w:t>
            </w:r>
          </w:p>
          <w:p>
            <w:pPr>
              <w:pStyle w:val="TableParagraph"/>
              <w:spacing w:before="4"/>
              <w:rPr>
                <w:sz w:val="16"/>
              </w:rPr>
            </w:pPr>
          </w:p>
          <w:p>
            <w:pPr>
              <w:pStyle w:val="TableParagraph"/>
              <w:numPr>
                <w:ilvl w:val="0"/>
                <w:numId w:val="206"/>
              </w:numPr>
              <w:tabs>
                <w:tab w:pos="279" w:val="left" w:leader="none"/>
              </w:tabs>
              <w:spacing w:line="276" w:lineRule="auto" w:before="1" w:after="0"/>
              <w:ind w:left="278" w:right="860" w:hanging="171"/>
              <w:jc w:val="left"/>
              <w:rPr>
                <w:sz w:val="18"/>
              </w:rPr>
            </w:pPr>
            <w:r>
              <w:rPr>
                <w:sz w:val="18"/>
              </w:rPr>
              <w:t>(</w:t>
            </w:r>
            <w:r>
              <w:rPr>
                <w:b/>
                <w:sz w:val="18"/>
              </w:rPr>
              <w:t>R4/R5</w:t>
            </w:r>
            <w:r>
              <w:rPr>
                <w:sz w:val="18"/>
              </w:rPr>
              <w:t>)</w:t>
            </w:r>
            <w:r>
              <w:rPr>
                <w:spacing w:val="-4"/>
                <w:sz w:val="18"/>
              </w:rPr>
              <w:t> </w:t>
            </w:r>
            <w:r>
              <w:rPr>
                <w:sz w:val="18"/>
              </w:rPr>
              <w:t>How does</w:t>
            </w:r>
            <w:r>
              <w:rPr>
                <w:spacing w:val="-1"/>
                <w:sz w:val="18"/>
              </w:rPr>
              <w:t> </w:t>
            </w:r>
            <w:r>
              <w:rPr>
                <w:sz w:val="18"/>
              </w:rPr>
              <w:t>the</w:t>
            </w:r>
            <w:r>
              <w:rPr>
                <w:spacing w:val="-2"/>
                <w:sz w:val="18"/>
              </w:rPr>
              <w:t> </w:t>
            </w:r>
            <w:r>
              <w:rPr>
                <w:sz w:val="18"/>
              </w:rPr>
              <w:t>care</w:t>
            </w:r>
            <w:r>
              <w:rPr>
                <w:spacing w:val="-1"/>
                <w:sz w:val="18"/>
              </w:rPr>
              <w:t> </w:t>
            </w:r>
            <w:r>
              <w:rPr>
                <w:sz w:val="18"/>
              </w:rPr>
              <w:t>that</w:t>
            </w:r>
            <w:r>
              <w:rPr>
                <w:spacing w:val="-3"/>
                <w:sz w:val="18"/>
              </w:rPr>
              <w:t> </w:t>
            </w:r>
            <w:r>
              <w:rPr>
                <w:sz w:val="18"/>
              </w:rPr>
              <w:t>you</w:t>
            </w:r>
            <w:r>
              <w:rPr>
                <w:spacing w:val="-1"/>
                <w:sz w:val="18"/>
              </w:rPr>
              <w:t> </w:t>
            </w:r>
            <w:r>
              <w:rPr>
                <w:sz w:val="18"/>
              </w:rPr>
              <w:t>get</w:t>
            </w:r>
            <w:r>
              <w:rPr>
                <w:spacing w:val="-4"/>
                <w:sz w:val="18"/>
              </w:rPr>
              <w:t> </w:t>
            </w:r>
            <w:r>
              <w:rPr>
                <w:sz w:val="18"/>
              </w:rPr>
              <w:t>now</w:t>
            </w:r>
            <w:r>
              <w:rPr>
                <w:spacing w:val="-3"/>
                <w:sz w:val="18"/>
              </w:rPr>
              <w:t> </w:t>
            </w:r>
            <w:r>
              <w:rPr>
                <w:sz w:val="18"/>
              </w:rPr>
              <w:t>changed</w:t>
            </w:r>
            <w:r>
              <w:rPr>
                <w:spacing w:val="-2"/>
                <w:sz w:val="18"/>
              </w:rPr>
              <w:t> </w:t>
            </w:r>
            <w:r>
              <w:rPr>
                <w:sz w:val="18"/>
              </w:rPr>
              <w:t>in</w:t>
            </w:r>
            <w:r>
              <w:rPr>
                <w:spacing w:val="-1"/>
                <w:sz w:val="18"/>
              </w:rPr>
              <w:t> </w:t>
            </w:r>
            <w:r>
              <w:rPr>
                <w:sz w:val="18"/>
              </w:rPr>
              <w:t>the</w:t>
            </w:r>
            <w:r>
              <w:rPr>
                <w:spacing w:val="-2"/>
                <w:sz w:val="18"/>
              </w:rPr>
              <w:t> </w:t>
            </w:r>
            <w:r>
              <w:rPr>
                <w:sz w:val="18"/>
              </w:rPr>
              <w:t>last</w:t>
            </w:r>
            <w:r>
              <w:rPr>
                <w:spacing w:val="-3"/>
                <w:sz w:val="18"/>
              </w:rPr>
              <w:t> </w:t>
            </w:r>
            <w:r>
              <w:rPr>
                <w:sz w:val="18"/>
              </w:rPr>
              <w:t>12</w:t>
            </w:r>
            <w:r>
              <w:rPr>
                <w:spacing w:val="-47"/>
                <w:sz w:val="18"/>
              </w:rPr>
              <w:t> </w:t>
            </w:r>
            <w:r>
              <w:rPr>
                <w:sz w:val="18"/>
              </w:rPr>
              <w:t>months?</w:t>
            </w:r>
            <w:r>
              <w:rPr>
                <w:spacing w:val="-1"/>
                <w:sz w:val="18"/>
              </w:rPr>
              <w:t> </w:t>
            </w:r>
            <w:r>
              <w:rPr>
                <w:sz w:val="18"/>
              </w:rPr>
              <w:t>How</w:t>
            </w:r>
            <w:r>
              <w:rPr>
                <w:spacing w:val="-3"/>
                <w:sz w:val="18"/>
              </w:rPr>
              <w:t> </w:t>
            </w:r>
            <w:r>
              <w:rPr>
                <w:sz w:val="18"/>
              </w:rPr>
              <w:t>has</w:t>
            </w:r>
            <w:r>
              <w:rPr>
                <w:spacing w:val="-1"/>
                <w:sz w:val="18"/>
              </w:rPr>
              <w:t> </w:t>
            </w:r>
            <w:r>
              <w:rPr>
                <w:sz w:val="18"/>
              </w:rPr>
              <w:t>it</w:t>
            </w:r>
            <w:r>
              <w:rPr>
                <w:spacing w:val="-3"/>
                <w:sz w:val="18"/>
              </w:rPr>
              <w:t> </w:t>
            </w:r>
            <w:r>
              <w:rPr>
                <w:sz w:val="18"/>
              </w:rPr>
              <w:t>changes</w:t>
            </w:r>
            <w:r>
              <w:rPr>
                <w:spacing w:val="-1"/>
                <w:sz w:val="18"/>
              </w:rPr>
              <w:t> </w:t>
            </w:r>
            <w:r>
              <w:rPr>
                <w:sz w:val="18"/>
              </w:rPr>
              <w:t>since</w:t>
            </w:r>
            <w:r>
              <w:rPr>
                <w:spacing w:val="-1"/>
                <w:sz w:val="18"/>
              </w:rPr>
              <w:t> </w:t>
            </w:r>
            <w:r>
              <w:rPr>
                <w:sz w:val="18"/>
              </w:rPr>
              <w:t>you</w:t>
            </w:r>
            <w:r>
              <w:rPr>
                <w:spacing w:val="-2"/>
                <w:sz w:val="18"/>
              </w:rPr>
              <w:t> </w:t>
            </w:r>
            <w:r>
              <w:rPr>
                <w:sz w:val="18"/>
              </w:rPr>
              <w:t>enrolled</w:t>
            </w:r>
            <w:r>
              <w:rPr>
                <w:spacing w:val="-2"/>
                <w:sz w:val="18"/>
              </w:rPr>
              <w:t> </w:t>
            </w:r>
            <w:r>
              <w:rPr>
                <w:sz w:val="18"/>
              </w:rPr>
              <w:t>in</w:t>
            </w:r>
            <w:r>
              <w:rPr>
                <w:spacing w:val="-1"/>
                <w:sz w:val="18"/>
              </w:rPr>
              <w:t> </w:t>
            </w:r>
            <w:r>
              <w:rPr>
                <w:sz w:val="18"/>
              </w:rPr>
              <w:t>HCH?</w:t>
            </w:r>
          </w:p>
          <w:p>
            <w:pPr>
              <w:pStyle w:val="TableParagraph"/>
              <w:spacing w:before="5"/>
              <w:rPr>
                <w:sz w:val="16"/>
              </w:rPr>
            </w:pPr>
          </w:p>
          <w:p>
            <w:pPr>
              <w:pStyle w:val="TableParagraph"/>
              <w:ind w:left="107"/>
              <w:rPr>
                <w:sz w:val="16"/>
              </w:rPr>
            </w:pPr>
            <w:r>
              <w:rPr>
                <w:sz w:val="16"/>
              </w:rPr>
              <w:t>Prompts:</w:t>
            </w:r>
          </w:p>
        </w:tc>
      </w:tr>
    </w:tbl>
    <w:p>
      <w:pPr>
        <w:spacing w:after="0"/>
        <w:rPr>
          <w:sz w:val="16"/>
        </w:rPr>
        <w:sectPr>
          <w:type w:val="continuous"/>
          <w:pgSz w:w="11910" w:h="16840"/>
          <w:pgMar w:header="0" w:footer="948" w:top="1420" w:bottom="1776" w:left="300" w:right="0"/>
        </w:sectPr>
      </w:pPr>
    </w:p>
    <w:tbl>
      <w:tblPr>
        <w:tblW w:w="0" w:type="auto"/>
        <w:jc w:val="left"/>
        <w:tblInd w:w="11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980"/>
        <w:gridCol w:w="7038"/>
      </w:tblGrid>
      <w:tr>
        <w:trPr>
          <w:trHeight w:val="225" w:hRule="atLeast"/>
        </w:trPr>
        <w:tc>
          <w:tcPr>
            <w:tcW w:w="1980" w:type="dxa"/>
            <w:shd w:val="clear" w:color="auto" w:fill="003C79"/>
          </w:tcPr>
          <w:p>
            <w:pPr>
              <w:pStyle w:val="TableParagraph"/>
              <w:spacing w:line="196" w:lineRule="exact"/>
              <w:ind w:left="107"/>
              <w:rPr>
                <w:b/>
                <w:sz w:val="16"/>
              </w:rPr>
            </w:pPr>
            <w:r>
              <w:rPr>
                <w:b/>
                <w:color w:val="FFFFFF"/>
                <w:sz w:val="16"/>
              </w:rPr>
              <w:t>Topic</w:t>
            </w:r>
          </w:p>
        </w:tc>
        <w:tc>
          <w:tcPr>
            <w:tcW w:w="7038" w:type="dxa"/>
            <w:shd w:val="clear" w:color="auto" w:fill="003C79"/>
          </w:tcPr>
          <w:p>
            <w:pPr>
              <w:pStyle w:val="TableParagraph"/>
              <w:spacing w:line="196" w:lineRule="exact"/>
              <w:ind w:left="107"/>
              <w:rPr>
                <w:b/>
                <w:sz w:val="16"/>
              </w:rPr>
            </w:pPr>
            <w:r>
              <w:rPr>
                <w:b/>
                <w:color w:val="FFFFFF"/>
                <w:sz w:val="16"/>
              </w:rPr>
              <w:t>Question</w:t>
            </w:r>
          </w:p>
        </w:tc>
      </w:tr>
      <w:tr>
        <w:trPr>
          <w:trHeight w:val="707" w:hRule="atLeast"/>
        </w:trPr>
        <w:tc>
          <w:tcPr>
            <w:tcW w:w="1980" w:type="dxa"/>
          </w:tcPr>
          <w:p>
            <w:pPr>
              <w:pStyle w:val="TableParagraph"/>
              <w:rPr>
                <w:rFonts w:ascii="Times New Roman"/>
                <w:sz w:val="16"/>
              </w:rPr>
            </w:pPr>
          </w:p>
        </w:tc>
        <w:tc>
          <w:tcPr>
            <w:tcW w:w="7038" w:type="dxa"/>
          </w:tcPr>
          <w:p>
            <w:pPr>
              <w:pStyle w:val="TableParagraph"/>
              <w:numPr>
                <w:ilvl w:val="0"/>
                <w:numId w:val="207"/>
              </w:numPr>
              <w:tabs>
                <w:tab w:pos="821" w:val="left" w:leader="none"/>
                <w:tab w:pos="822" w:val="left" w:leader="none"/>
              </w:tabs>
              <w:spacing w:line="276" w:lineRule="auto" w:before="0" w:after="0"/>
              <w:ind w:left="821" w:right="420" w:hanging="356"/>
              <w:jc w:val="left"/>
              <w:rPr>
                <w:sz w:val="18"/>
              </w:rPr>
            </w:pPr>
            <w:r>
              <w:rPr>
                <w:sz w:val="18"/>
              </w:rPr>
              <w:t>Is what you are getting now better/ the same/ worse than before?</w:t>
            </w:r>
            <w:r>
              <w:rPr>
                <w:spacing w:val="-48"/>
                <w:sz w:val="18"/>
              </w:rPr>
              <w:t> </w:t>
            </w:r>
            <w:r>
              <w:rPr>
                <w:sz w:val="18"/>
              </w:rPr>
              <w:t>How</w:t>
            </w:r>
            <w:r>
              <w:rPr>
                <w:spacing w:val="-3"/>
                <w:sz w:val="18"/>
              </w:rPr>
              <w:t> </w:t>
            </w:r>
            <w:r>
              <w:rPr>
                <w:sz w:val="18"/>
              </w:rPr>
              <w:t>is</w:t>
            </w:r>
            <w:r>
              <w:rPr>
                <w:spacing w:val="-3"/>
                <w:sz w:val="18"/>
              </w:rPr>
              <w:t> </w:t>
            </w:r>
            <w:r>
              <w:rPr>
                <w:sz w:val="18"/>
              </w:rPr>
              <w:t>it</w:t>
            </w:r>
            <w:r>
              <w:rPr>
                <w:spacing w:val="-2"/>
                <w:sz w:val="18"/>
              </w:rPr>
              <w:t> </w:t>
            </w:r>
            <w:r>
              <w:rPr>
                <w:sz w:val="18"/>
              </w:rPr>
              <w:t>better/ the</w:t>
            </w:r>
            <w:r>
              <w:rPr>
                <w:spacing w:val="-1"/>
                <w:sz w:val="18"/>
              </w:rPr>
              <w:t> </w:t>
            </w:r>
            <w:r>
              <w:rPr>
                <w:sz w:val="18"/>
              </w:rPr>
              <w:t>same/ worse?</w:t>
            </w:r>
          </w:p>
        </w:tc>
      </w:tr>
      <w:tr>
        <w:trPr>
          <w:trHeight w:val="1216" w:hRule="atLeast"/>
        </w:trPr>
        <w:tc>
          <w:tcPr>
            <w:tcW w:w="1980" w:type="dxa"/>
          </w:tcPr>
          <w:p>
            <w:pPr>
              <w:pStyle w:val="TableParagraph"/>
              <w:spacing w:line="196" w:lineRule="exact"/>
              <w:ind w:left="107"/>
              <w:rPr>
                <w:sz w:val="16"/>
              </w:rPr>
            </w:pPr>
            <w:r>
              <w:rPr>
                <w:sz w:val="16"/>
              </w:rPr>
              <w:t>What</w:t>
            </w:r>
            <w:r>
              <w:rPr>
                <w:spacing w:val="-3"/>
                <w:sz w:val="16"/>
              </w:rPr>
              <w:t> </w:t>
            </w:r>
            <w:r>
              <w:rPr>
                <w:sz w:val="16"/>
              </w:rPr>
              <w:t>works?</w:t>
            </w:r>
          </w:p>
        </w:tc>
        <w:tc>
          <w:tcPr>
            <w:tcW w:w="7038" w:type="dxa"/>
          </w:tcPr>
          <w:p>
            <w:pPr>
              <w:pStyle w:val="TableParagraph"/>
              <w:numPr>
                <w:ilvl w:val="0"/>
                <w:numId w:val="208"/>
              </w:numPr>
              <w:tabs>
                <w:tab w:pos="279" w:val="left" w:leader="none"/>
              </w:tabs>
              <w:spacing w:line="276" w:lineRule="auto" w:before="0" w:after="0"/>
              <w:ind w:left="278" w:right="533" w:hanging="171"/>
              <w:jc w:val="left"/>
              <w:rPr>
                <w:sz w:val="18"/>
              </w:rPr>
            </w:pPr>
            <w:r>
              <w:rPr>
                <w:sz w:val="18"/>
              </w:rPr>
              <w:t>What</w:t>
            </w:r>
            <w:r>
              <w:rPr>
                <w:spacing w:val="-4"/>
                <w:sz w:val="18"/>
              </w:rPr>
              <w:t> </w:t>
            </w:r>
            <w:r>
              <w:rPr>
                <w:sz w:val="18"/>
              </w:rPr>
              <w:t>has</w:t>
            </w:r>
            <w:r>
              <w:rPr>
                <w:spacing w:val="-2"/>
                <w:sz w:val="18"/>
              </w:rPr>
              <w:t> </w:t>
            </w:r>
            <w:r>
              <w:rPr>
                <w:sz w:val="18"/>
              </w:rPr>
              <w:t>been</w:t>
            </w:r>
            <w:r>
              <w:rPr>
                <w:spacing w:val="-2"/>
                <w:sz w:val="18"/>
              </w:rPr>
              <w:t> </w:t>
            </w:r>
            <w:r>
              <w:rPr>
                <w:sz w:val="18"/>
              </w:rPr>
              <w:t>the</w:t>
            </w:r>
            <w:r>
              <w:rPr>
                <w:spacing w:val="-1"/>
                <w:sz w:val="18"/>
              </w:rPr>
              <w:t> </w:t>
            </w:r>
            <w:r>
              <w:rPr>
                <w:sz w:val="18"/>
              </w:rPr>
              <w:t>most</w:t>
            </w:r>
            <w:r>
              <w:rPr>
                <w:spacing w:val="-1"/>
                <w:sz w:val="18"/>
              </w:rPr>
              <w:t> </w:t>
            </w:r>
            <w:r>
              <w:rPr>
                <w:sz w:val="18"/>
              </w:rPr>
              <w:t>helpful</w:t>
            </w:r>
            <w:r>
              <w:rPr>
                <w:spacing w:val="-1"/>
                <w:sz w:val="18"/>
              </w:rPr>
              <w:t> </w:t>
            </w:r>
            <w:r>
              <w:rPr>
                <w:sz w:val="18"/>
              </w:rPr>
              <w:t>for</w:t>
            </w:r>
            <w:r>
              <w:rPr>
                <w:spacing w:val="-2"/>
                <w:sz w:val="18"/>
              </w:rPr>
              <w:t> </w:t>
            </w:r>
            <w:r>
              <w:rPr>
                <w:sz w:val="18"/>
              </w:rPr>
              <w:t>you</w:t>
            </w:r>
            <w:r>
              <w:rPr>
                <w:spacing w:val="-3"/>
                <w:sz w:val="18"/>
              </w:rPr>
              <w:t> </w:t>
            </w:r>
            <w:r>
              <w:rPr>
                <w:sz w:val="18"/>
              </w:rPr>
              <w:t>in</w:t>
            </w:r>
            <w:r>
              <w:rPr>
                <w:spacing w:val="-3"/>
                <w:sz w:val="18"/>
              </w:rPr>
              <w:t> </w:t>
            </w:r>
            <w:r>
              <w:rPr>
                <w:sz w:val="18"/>
              </w:rPr>
              <w:t>the</w:t>
            </w:r>
            <w:r>
              <w:rPr>
                <w:spacing w:val="-4"/>
                <w:sz w:val="18"/>
              </w:rPr>
              <w:t> </w:t>
            </w:r>
            <w:r>
              <w:rPr>
                <w:sz w:val="18"/>
              </w:rPr>
              <w:t>care</w:t>
            </w:r>
            <w:r>
              <w:rPr>
                <w:spacing w:val="-1"/>
                <w:sz w:val="18"/>
              </w:rPr>
              <w:t> </w:t>
            </w:r>
            <w:r>
              <w:rPr>
                <w:sz w:val="18"/>
              </w:rPr>
              <w:t>that</w:t>
            </w:r>
            <w:r>
              <w:rPr>
                <w:spacing w:val="-6"/>
                <w:sz w:val="18"/>
              </w:rPr>
              <w:t> </w:t>
            </w:r>
            <w:r>
              <w:rPr>
                <w:sz w:val="18"/>
              </w:rPr>
              <w:t>you</w:t>
            </w:r>
            <w:r>
              <w:rPr>
                <w:spacing w:val="-1"/>
                <w:sz w:val="18"/>
              </w:rPr>
              <w:t> </w:t>
            </w:r>
            <w:r>
              <w:rPr>
                <w:sz w:val="18"/>
              </w:rPr>
              <w:t>have</w:t>
            </w:r>
            <w:r>
              <w:rPr>
                <w:spacing w:val="-2"/>
                <w:sz w:val="18"/>
              </w:rPr>
              <w:t> </w:t>
            </w:r>
            <w:r>
              <w:rPr>
                <w:sz w:val="18"/>
              </w:rPr>
              <w:t>been</w:t>
            </w:r>
            <w:r>
              <w:rPr>
                <w:spacing w:val="-46"/>
                <w:sz w:val="18"/>
              </w:rPr>
              <w:t> </w:t>
            </w:r>
            <w:r>
              <w:rPr>
                <w:sz w:val="18"/>
              </w:rPr>
              <w:t>getting</w:t>
            </w:r>
            <w:r>
              <w:rPr>
                <w:spacing w:val="-4"/>
                <w:sz w:val="18"/>
              </w:rPr>
              <w:t> </w:t>
            </w:r>
            <w:r>
              <w:rPr>
                <w:sz w:val="18"/>
              </w:rPr>
              <w:t>through</w:t>
            </w:r>
            <w:r>
              <w:rPr>
                <w:spacing w:val="-2"/>
                <w:sz w:val="18"/>
              </w:rPr>
              <w:t> </w:t>
            </w:r>
            <w:r>
              <w:rPr>
                <w:sz w:val="18"/>
              </w:rPr>
              <w:t>HCH</w:t>
            </w:r>
            <w:r>
              <w:rPr>
                <w:spacing w:val="-2"/>
                <w:sz w:val="18"/>
              </w:rPr>
              <w:t> </w:t>
            </w:r>
            <w:r>
              <w:rPr>
                <w:sz w:val="18"/>
              </w:rPr>
              <w:t>to</w:t>
            </w:r>
            <w:r>
              <w:rPr>
                <w:spacing w:val="-2"/>
                <w:sz w:val="18"/>
              </w:rPr>
              <w:t> </w:t>
            </w:r>
            <w:r>
              <w:rPr>
                <w:sz w:val="18"/>
              </w:rPr>
              <w:t>manage</w:t>
            </w:r>
            <w:r>
              <w:rPr>
                <w:spacing w:val="-1"/>
                <w:sz w:val="18"/>
              </w:rPr>
              <w:t> </w:t>
            </w:r>
            <w:r>
              <w:rPr>
                <w:sz w:val="18"/>
              </w:rPr>
              <w:t>your</w:t>
            </w:r>
            <w:r>
              <w:rPr>
                <w:spacing w:val="-2"/>
                <w:sz w:val="18"/>
              </w:rPr>
              <w:t> </w:t>
            </w:r>
            <w:r>
              <w:rPr>
                <w:sz w:val="18"/>
              </w:rPr>
              <w:t>conditions?</w:t>
            </w:r>
            <w:r>
              <w:rPr>
                <w:spacing w:val="-3"/>
                <w:sz w:val="18"/>
              </w:rPr>
              <w:t> </w:t>
            </w:r>
            <w:r>
              <w:rPr>
                <w:sz w:val="18"/>
              </w:rPr>
              <w:t>How</w:t>
            </w:r>
            <w:r>
              <w:rPr>
                <w:spacing w:val="-3"/>
                <w:sz w:val="18"/>
              </w:rPr>
              <w:t> </w:t>
            </w:r>
            <w:r>
              <w:rPr>
                <w:sz w:val="18"/>
              </w:rPr>
              <w:t>is</w:t>
            </w:r>
            <w:r>
              <w:rPr>
                <w:spacing w:val="-3"/>
                <w:sz w:val="18"/>
              </w:rPr>
              <w:t> </w:t>
            </w:r>
            <w:r>
              <w:rPr>
                <w:sz w:val="18"/>
              </w:rPr>
              <w:t>this</w:t>
            </w:r>
            <w:r>
              <w:rPr>
                <w:spacing w:val="-2"/>
                <w:sz w:val="18"/>
              </w:rPr>
              <w:t> </w:t>
            </w:r>
            <w:r>
              <w:rPr>
                <w:sz w:val="18"/>
              </w:rPr>
              <w:t>helpful?</w:t>
            </w:r>
          </w:p>
          <w:p>
            <w:pPr>
              <w:pStyle w:val="TableParagraph"/>
              <w:numPr>
                <w:ilvl w:val="0"/>
                <w:numId w:val="208"/>
              </w:numPr>
              <w:tabs>
                <w:tab w:pos="279" w:val="left" w:leader="none"/>
              </w:tabs>
              <w:spacing w:line="240" w:lineRule="auto" w:before="0" w:after="0"/>
              <w:ind w:left="278" w:right="0" w:hanging="172"/>
              <w:jc w:val="left"/>
              <w:rPr>
                <w:sz w:val="18"/>
              </w:rPr>
            </w:pPr>
            <w:r>
              <w:rPr>
                <w:sz w:val="18"/>
              </w:rPr>
              <w:t>What</w:t>
            </w:r>
            <w:r>
              <w:rPr>
                <w:spacing w:val="-6"/>
                <w:sz w:val="18"/>
              </w:rPr>
              <w:t> </w:t>
            </w:r>
            <w:r>
              <w:rPr>
                <w:sz w:val="18"/>
              </w:rPr>
              <w:t>else</w:t>
            </w:r>
            <w:r>
              <w:rPr>
                <w:spacing w:val="-3"/>
                <w:sz w:val="18"/>
              </w:rPr>
              <w:t> </w:t>
            </w:r>
            <w:r>
              <w:rPr>
                <w:sz w:val="18"/>
              </w:rPr>
              <w:t>has</w:t>
            </w:r>
            <w:r>
              <w:rPr>
                <w:spacing w:val="-4"/>
                <w:sz w:val="18"/>
              </w:rPr>
              <w:t> </w:t>
            </w:r>
            <w:r>
              <w:rPr>
                <w:sz w:val="18"/>
              </w:rPr>
              <w:t>been</w:t>
            </w:r>
            <w:r>
              <w:rPr>
                <w:spacing w:val="-3"/>
                <w:sz w:val="18"/>
              </w:rPr>
              <w:t> </w:t>
            </w:r>
            <w:r>
              <w:rPr>
                <w:sz w:val="18"/>
              </w:rPr>
              <w:t>helpful?</w:t>
            </w:r>
            <w:r>
              <w:rPr>
                <w:spacing w:val="-5"/>
                <w:sz w:val="18"/>
              </w:rPr>
              <w:t> </w:t>
            </w:r>
            <w:r>
              <w:rPr>
                <w:sz w:val="18"/>
              </w:rPr>
              <w:t>How?</w:t>
            </w:r>
          </w:p>
          <w:p>
            <w:pPr>
              <w:pStyle w:val="TableParagraph"/>
              <w:numPr>
                <w:ilvl w:val="0"/>
                <w:numId w:val="208"/>
              </w:numPr>
              <w:tabs>
                <w:tab w:pos="279" w:val="left" w:leader="none"/>
              </w:tabs>
              <w:spacing w:line="240" w:lineRule="auto" w:before="33" w:after="0"/>
              <w:ind w:left="278" w:right="0" w:hanging="172"/>
              <w:jc w:val="left"/>
              <w:rPr>
                <w:sz w:val="18"/>
              </w:rPr>
            </w:pPr>
            <w:r>
              <w:rPr>
                <w:sz w:val="18"/>
              </w:rPr>
              <w:t>What</w:t>
            </w:r>
            <w:r>
              <w:rPr>
                <w:spacing w:val="-4"/>
                <w:sz w:val="18"/>
              </w:rPr>
              <w:t> </w:t>
            </w:r>
            <w:r>
              <w:rPr>
                <w:sz w:val="18"/>
              </w:rPr>
              <w:t>hasn’t</w:t>
            </w:r>
            <w:r>
              <w:rPr>
                <w:spacing w:val="-4"/>
                <w:sz w:val="18"/>
              </w:rPr>
              <w:t> </w:t>
            </w:r>
            <w:r>
              <w:rPr>
                <w:sz w:val="18"/>
              </w:rPr>
              <w:t>been</w:t>
            </w:r>
            <w:r>
              <w:rPr>
                <w:spacing w:val="-1"/>
                <w:sz w:val="18"/>
              </w:rPr>
              <w:t> </w:t>
            </w:r>
            <w:r>
              <w:rPr>
                <w:sz w:val="18"/>
              </w:rPr>
              <w:t>helpful?</w:t>
            </w:r>
            <w:r>
              <w:rPr>
                <w:spacing w:val="-5"/>
                <w:sz w:val="18"/>
              </w:rPr>
              <w:t> </w:t>
            </w:r>
            <w:r>
              <w:rPr>
                <w:sz w:val="18"/>
              </w:rPr>
              <w:t>How</w:t>
            </w:r>
            <w:r>
              <w:rPr>
                <w:spacing w:val="-3"/>
                <w:sz w:val="18"/>
              </w:rPr>
              <w:t> </w:t>
            </w:r>
            <w:r>
              <w:rPr>
                <w:sz w:val="18"/>
              </w:rPr>
              <w:t>is</w:t>
            </w:r>
            <w:r>
              <w:rPr>
                <w:spacing w:val="-3"/>
                <w:sz w:val="18"/>
              </w:rPr>
              <w:t> </w:t>
            </w:r>
            <w:r>
              <w:rPr>
                <w:sz w:val="18"/>
              </w:rPr>
              <w:t>this</w:t>
            </w:r>
            <w:r>
              <w:rPr>
                <w:spacing w:val="-5"/>
                <w:sz w:val="18"/>
              </w:rPr>
              <w:t> </w:t>
            </w:r>
            <w:r>
              <w:rPr>
                <w:sz w:val="18"/>
              </w:rPr>
              <w:t>not</w:t>
            </w:r>
            <w:r>
              <w:rPr>
                <w:spacing w:val="-3"/>
                <w:sz w:val="18"/>
              </w:rPr>
              <w:t> </w:t>
            </w:r>
            <w:r>
              <w:rPr>
                <w:sz w:val="18"/>
              </w:rPr>
              <w:t>helpful</w:t>
            </w:r>
            <w:r>
              <w:rPr>
                <w:spacing w:val="-2"/>
                <w:sz w:val="18"/>
              </w:rPr>
              <w:t> </w:t>
            </w:r>
            <w:r>
              <w:rPr>
                <w:sz w:val="18"/>
              </w:rPr>
              <w:t>to</w:t>
            </w:r>
            <w:r>
              <w:rPr>
                <w:spacing w:val="-2"/>
                <w:sz w:val="18"/>
              </w:rPr>
              <w:t> </w:t>
            </w:r>
            <w:r>
              <w:rPr>
                <w:sz w:val="18"/>
              </w:rPr>
              <w:t>you?</w:t>
            </w:r>
          </w:p>
        </w:tc>
      </w:tr>
      <w:tr>
        <w:trPr>
          <w:trHeight w:val="1223" w:hRule="atLeast"/>
        </w:trPr>
        <w:tc>
          <w:tcPr>
            <w:tcW w:w="1980" w:type="dxa"/>
          </w:tcPr>
          <w:p>
            <w:pPr>
              <w:pStyle w:val="TableParagraph"/>
              <w:spacing w:line="196" w:lineRule="exact"/>
              <w:ind w:left="107"/>
              <w:rPr>
                <w:sz w:val="16"/>
              </w:rPr>
            </w:pPr>
            <w:r>
              <w:rPr>
                <w:sz w:val="16"/>
              </w:rPr>
              <w:t>Medications</w:t>
            </w:r>
          </w:p>
        </w:tc>
        <w:tc>
          <w:tcPr>
            <w:tcW w:w="7038" w:type="dxa"/>
          </w:tcPr>
          <w:p>
            <w:pPr>
              <w:pStyle w:val="TableParagraph"/>
              <w:numPr>
                <w:ilvl w:val="0"/>
                <w:numId w:val="209"/>
              </w:numPr>
              <w:tabs>
                <w:tab w:pos="329" w:val="left" w:leader="none"/>
              </w:tabs>
              <w:spacing w:line="240" w:lineRule="auto" w:before="0" w:after="0"/>
              <w:ind w:left="278" w:right="777" w:hanging="171"/>
              <w:jc w:val="left"/>
              <w:rPr>
                <w:sz w:val="18"/>
              </w:rPr>
            </w:pPr>
            <w:r>
              <w:rPr/>
              <w:tab/>
            </w:r>
            <w:r>
              <w:rPr>
                <w:sz w:val="18"/>
              </w:rPr>
              <w:t>Has</w:t>
            </w:r>
            <w:r>
              <w:rPr>
                <w:spacing w:val="-4"/>
                <w:sz w:val="18"/>
              </w:rPr>
              <w:t> </w:t>
            </w:r>
            <w:r>
              <w:rPr>
                <w:sz w:val="18"/>
              </w:rPr>
              <w:t>a</w:t>
            </w:r>
            <w:r>
              <w:rPr>
                <w:spacing w:val="-3"/>
                <w:sz w:val="18"/>
              </w:rPr>
              <w:t> </w:t>
            </w:r>
            <w:r>
              <w:rPr>
                <w:sz w:val="18"/>
              </w:rPr>
              <w:t>GP</w:t>
            </w:r>
            <w:r>
              <w:rPr>
                <w:spacing w:val="-3"/>
                <w:sz w:val="18"/>
              </w:rPr>
              <w:t> </w:t>
            </w:r>
            <w:r>
              <w:rPr>
                <w:sz w:val="18"/>
              </w:rPr>
              <w:t>or</w:t>
            </w:r>
            <w:r>
              <w:rPr>
                <w:spacing w:val="-1"/>
                <w:sz w:val="18"/>
              </w:rPr>
              <w:t> </w:t>
            </w:r>
            <w:r>
              <w:rPr>
                <w:sz w:val="18"/>
              </w:rPr>
              <w:t>pharmacist</w:t>
            </w:r>
            <w:r>
              <w:rPr>
                <w:spacing w:val="-5"/>
                <w:sz w:val="18"/>
              </w:rPr>
              <w:t> </w:t>
            </w:r>
            <w:r>
              <w:rPr>
                <w:sz w:val="18"/>
              </w:rPr>
              <w:t>recently</w:t>
            </w:r>
            <w:r>
              <w:rPr>
                <w:spacing w:val="-3"/>
                <w:sz w:val="18"/>
              </w:rPr>
              <w:t> </w:t>
            </w:r>
            <w:r>
              <w:rPr>
                <w:sz w:val="18"/>
              </w:rPr>
              <w:t>reviewed</w:t>
            </w:r>
            <w:r>
              <w:rPr>
                <w:spacing w:val="-3"/>
                <w:sz w:val="18"/>
              </w:rPr>
              <w:t> </w:t>
            </w:r>
            <w:r>
              <w:rPr>
                <w:sz w:val="18"/>
              </w:rPr>
              <w:t>all</w:t>
            </w:r>
            <w:r>
              <w:rPr>
                <w:spacing w:val="-2"/>
                <w:sz w:val="18"/>
              </w:rPr>
              <w:t> </w:t>
            </w:r>
            <w:r>
              <w:rPr>
                <w:sz w:val="18"/>
              </w:rPr>
              <w:t>the</w:t>
            </w:r>
            <w:r>
              <w:rPr>
                <w:spacing w:val="-5"/>
                <w:sz w:val="18"/>
              </w:rPr>
              <w:t> </w:t>
            </w:r>
            <w:r>
              <w:rPr>
                <w:sz w:val="18"/>
              </w:rPr>
              <w:t>medicines</w:t>
            </w:r>
            <w:r>
              <w:rPr>
                <w:spacing w:val="-3"/>
                <w:sz w:val="18"/>
              </w:rPr>
              <w:t> </w:t>
            </w:r>
            <w:r>
              <w:rPr>
                <w:sz w:val="18"/>
              </w:rPr>
              <w:t>you</w:t>
            </w:r>
            <w:r>
              <w:rPr>
                <w:spacing w:val="-2"/>
                <w:sz w:val="18"/>
              </w:rPr>
              <w:t> </w:t>
            </w:r>
            <w:r>
              <w:rPr>
                <w:sz w:val="18"/>
              </w:rPr>
              <w:t>are</w:t>
            </w:r>
            <w:r>
              <w:rPr>
                <w:spacing w:val="-47"/>
                <w:sz w:val="18"/>
              </w:rPr>
              <w:t> </w:t>
            </w:r>
            <w:r>
              <w:rPr>
                <w:sz w:val="18"/>
              </w:rPr>
              <w:t>taking?</w:t>
            </w:r>
            <w:r>
              <w:rPr>
                <w:spacing w:val="-4"/>
                <w:sz w:val="18"/>
              </w:rPr>
              <w:t> </w:t>
            </w:r>
            <w:r>
              <w:rPr>
                <w:sz w:val="18"/>
              </w:rPr>
              <w:t>If so:</w:t>
            </w:r>
          </w:p>
          <w:p>
            <w:pPr>
              <w:pStyle w:val="TableParagraph"/>
              <w:numPr>
                <w:ilvl w:val="1"/>
                <w:numId w:val="209"/>
              </w:numPr>
              <w:tabs>
                <w:tab w:pos="421" w:val="left" w:leader="none"/>
              </w:tabs>
              <w:spacing w:line="240" w:lineRule="auto" w:before="0" w:after="0"/>
              <w:ind w:left="420" w:right="0" w:hanging="146"/>
              <w:jc w:val="left"/>
              <w:rPr>
                <w:sz w:val="18"/>
              </w:rPr>
            </w:pPr>
            <w:r>
              <w:rPr>
                <w:sz w:val="18"/>
              </w:rPr>
              <w:t>Can</w:t>
            </w:r>
            <w:r>
              <w:rPr>
                <w:spacing w:val="-2"/>
                <w:sz w:val="18"/>
              </w:rPr>
              <w:t> </w:t>
            </w:r>
            <w:r>
              <w:rPr>
                <w:sz w:val="18"/>
              </w:rPr>
              <w:t>you</w:t>
            </w:r>
            <w:r>
              <w:rPr>
                <w:spacing w:val="-1"/>
                <w:sz w:val="18"/>
              </w:rPr>
              <w:t> </w:t>
            </w:r>
            <w:r>
              <w:rPr>
                <w:sz w:val="18"/>
              </w:rPr>
              <w:t>tell</w:t>
            </w:r>
            <w:r>
              <w:rPr>
                <w:spacing w:val="-2"/>
                <w:sz w:val="18"/>
              </w:rPr>
              <w:t> </w:t>
            </w:r>
            <w:r>
              <w:rPr>
                <w:sz w:val="18"/>
              </w:rPr>
              <w:t>me</w:t>
            </w:r>
            <w:r>
              <w:rPr>
                <w:spacing w:val="-1"/>
                <w:sz w:val="18"/>
              </w:rPr>
              <w:t> </w:t>
            </w:r>
            <w:r>
              <w:rPr>
                <w:sz w:val="18"/>
              </w:rPr>
              <w:t>about</w:t>
            </w:r>
            <w:r>
              <w:rPr>
                <w:spacing w:val="-3"/>
                <w:sz w:val="18"/>
              </w:rPr>
              <w:t> </w:t>
            </w:r>
            <w:r>
              <w:rPr>
                <w:sz w:val="18"/>
              </w:rPr>
              <w:t>how</w:t>
            </w:r>
            <w:r>
              <w:rPr>
                <w:spacing w:val="-4"/>
                <w:sz w:val="18"/>
              </w:rPr>
              <w:t> </w:t>
            </w:r>
            <w:r>
              <w:rPr>
                <w:sz w:val="18"/>
              </w:rPr>
              <w:t>this</w:t>
            </w:r>
            <w:r>
              <w:rPr>
                <w:spacing w:val="-2"/>
                <w:sz w:val="18"/>
              </w:rPr>
              <w:t> </w:t>
            </w:r>
            <w:r>
              <w:rPr>
                <w:sz w:val="18"/>
              </w:rPr>
              <w:t>happened?</w:t>
            </w:r>
          </w:p>
          <w:p>
            <w:pPr>
              <w:pStyle w:val="TableParagraph"/>
              <w:numPr>
                <w:ilvl w:val="1"/>
                <w:numId w:val="209"/>
              </w:numPr>
              <w:tabs>
                <w:tab w:pos="421" w:val="left" w:leader="none"/>
              </w:tabs>
              <w:spacing w:line="240" w:lineRule="auto" w:before="0" w:after="0"/>
              <w:ind w:left="420" w:right="0" w:hanging="146"/>
              <w:jc w:val="left"/>
              <w:rPr>
                <w:sz w:val="18"/>
              </w:rPr>
            </w:pPr>
            <w:r>
              <w:rPr>
                <w:sz w:val="18"/>
              </w:rPr>
              <w:t>Was</w:t>
            </w:r>
            <w:r>
              <w:rPr>
                <w:spacing w:val="-3"/>
                <w:sz w:val="18"/>
              </w:rPr>
              <w:t> </w:t>
            </w:r>
            <w:r>
              <w:rPr>
                <w:sz w:val="18"/>
              </w:rPr>
              <w:t>it</w:t>
            </w:r>
            <w:r>
              <w:rPr>
                <w:spacing w:val="-4"/>
                <w:sz w:val="18"/>
              </w:rPr>
              <w:t> </w:t>
            </w:r>
            <w:r>
              <w:rPr>
                <w:sz w:val="18"/>
              </w:rPr>
              <w:t>helpful?</w:t>
            </w:r>
          </w:p>
          <w:p>
            <w:pPr>
              <w:pStyle w:val="TableParagraph"/>
              <w:numPr>
                <w:ilvl w:val="1"/>
                <w:numId w:val="209"/>
              </w:numPr>
              <w:tabs>
                <w:tab w:pos="421" w:val="left" w:leader="none"/>
              </w:tabs>
              <w:spacing w:line="240" w:lineRule="auto" w:before="0" w:after="0"/>
              <w:ind w:left="420" w:right="0" w:hanging="143"/>
              <w:jc w:val="left"/>
              <w:rPr>
                <w:sz w:val="18"/>
              </w:rPr>
            </w:pPr>
            <w:r>
              <w:rPr>
                <w:sz w:val="18"/>
              </w:rPr>
              <w:t>How</w:t>
            </w:r>
            <w:r>
              <w:rPr>
                <w:spacing w:val="-4"/>
                <w:sz w:val="18"/>
              </w:rPr>
              <w:t> </w:t>
            </w:r>
            <w:r>
              <w:rPr>
                <w:sz w:val="18"/>
              </w:rPr>
              <w:t>well</w:t>
            </w:r>
            <w:r>
              <w:rPr>
                <w:spacing w:val="-2"/>
                <w:sz w:val="18"/>
              </w:rPr>
              <w:t> </w:t>
            </w:r>
            <w:r>
              <w:rPr>
                <w:sz w:val="18"/>
              </w:rPr>
              <w:t>do</w:t>
            </w:r>
            <w:r>
              <w:rPr>
                <w:spacing w:val="-2"/>
                <w:sz w:val="18"/>
              </w:rPr>
              <w:t> </w:t>
            </w:r>
            <w:r>
              <w:rPr>
                <w:sz w:val="18"/>
              </w:rPr>
              <w:t>you</w:t>
            </w:r>
            <w:r>
              <w:rPr>
                <w:spacing w:val="-2"/>
                <w:sz w:val="18"/>
              </w:rPr>
              <w:t> </w:t>
            </w:r>
            <w:r>
              <w:rPr>
                <w:sz w:val="18"/>
              </w:rPr>
              <w:t>think</w:t>
            </w:r>
            <w:r>
              <w:rPr>
                <w:spacing w:val="-1"/>
                <w:sz w:val="18"/>
              </w:rPr>
              <w:t> </w:t>
            </w:r>
            <w:r>
              <w:rPr>
                <w:sz w:val="18"/>
              </w:rPr>
              <w:t>your</w:t>
            </w:r>
            <w:r>
              <w:rPr>
                <w:spacing w:val="-3"/>
                <w:sz w:val="18"/>
              </w:rPr>
              <w:t> </w:t>
            </w:r>
            <w:r>
              <w:rPr>
                <w:sz w:val="18"/>
              </w:rPr>
              <w:t>GP</w:t>
            </w:r>
            <w:r>
              <w:rPr>
                <w:spacing w:val="-3"/>
                <w:sz w:val="18"/>
              </w:rPr>
              <w:t> </w:t>
            </w:r>
            <w:r>
              <w:rPr>
                <w:sz w:val="18"/>
              </w:rPr>
              <w:t>and</w:t>
            </w:r>
            <w:r>
              <w:rPr>
                <w:spacing w:val="-3"/>
                <w:sz w:val="18"/>
              </w:rPr>
              <w:t> </w:t>
            </w:r>
            <w:r>
              <w:rPr>
                <w:sz w:val="18"/>
              </w:rPr>
              <w:t>pharmacist</w:t>
            </w:r>
            <w:r>
              <w:rPr>
                <w:spacing w:val="-4"/>
                <w:sz w:val="18"/>
              </w:rPr>
              <w:t> </w:t>
            </w:r>
            <w:r>
              <w:rPr>
                <w:sz w:val="18"/>
              </w:rPr>
              <w:t>work</w:t>
            </w:r>
            <w:r>
              <w:rPr>
                <w:spacing w:val="-1"/>
                <w:sz w:val="18"/>
              </w:rPr>
              <w:t> </w:t>
            </w:r>
            <w:r>
              <w:rPr>
                <w:sz w:val="18"/>
              </w:rPr>
              <w:t>together?</w:t>
            </w:r>
          </w:p>
        </w:tc>
      </w:tr>
      <w:tr>
        <w:trPr>
          <w:trHeight w:val="5594" w:hRule="atLeast"/>
        </w:trPr>
        <w:tc>
          <w:tcPr>
            <w:tcW w:w="1980" w:type="dxa"/>
          </w:tcPr>
          <w:p>
            <w:pPr>
              <w:pStyle w:val="TableParagraph"/>
              <w:ind w:left="107" w:right="81"/>
              <w:rPr>
                <w:sz w:val="16"/>
              </w:rPr>
            </w:pPr>
            <w:r>
              <w:rPr>
                <w:sz w:val="16"/>
              </w:rPr>
              <w:t>For patients referred to</w:t>
            </w:r>
            <w:r>
              <w:rPr>
                <w:spacing w:val="-42"/>
                <w:sz w:val="16"/>
              </w:rPr>
              <w:t> </w:t>
            </w:r>
            <w:r>
              <w:rPr>
                <w:sz w:val="16"/>
              </w:rPr>
              <w:t>a community</w:t>
            </w:r>
            <w:r>
              <w:rPr>
                <w:spacing w:val="1"/>
                <w:sz w:val="16"/>
              </w:rPr>
              <w:t> </w:t>
            </w:r>
            <w:r>
              <w:rPr>
                <w:sz w:val="16"/>
              </w:rPr>
              <w:t>pharmacist</w:t>
            </w:r>
          </w:p>
        </w:tc>
        <w:tc>
          <w:tcPr>
            <w:tcW w:w="7038" w:type="dxa"/>
          </w:tcPr>
          <w:p>
            <w:pPr>
              <w:pStyle w:val="TableParagraph"/>
              <w:numPr>
                <w:ilvl w:val="0"/>
                <w:numId w:val="210"/>
              </w:numPr>
              <w:tabs>
                <w:tab w:pos="279" w:val="left" w:leader="none"/>
              </w:tabs>
              <w:spacing w:line="240" w:lineRule="auto" w:before="0" w:after="0"/>
              <w:ind w:left="278" w:right="432" w:hanging="171"/>
              <w:jc w:val="left"/>
              <w:rPr>
                <w:sz w:val="18"/>
              </w:rPr>
            </w:pPr>
            <w:r>
              <w:rPr>
                <w:b/>
                <w:sz w:val="18"/>
              </w:rPr>
              <w:t>(R4/R5)</w:t>
            </w:r>
            <w:r>
              <w:rPr>
                <w:b/>
                <w:spacing w:val="-4"/>
                <w:sz w:val="18"/>
              </w:rPr>
              <w:t> </w:t>
            </w:r>
            <w:r>
              <w:rPr>
                <w:sz w:val="18"/>
              </w:rPr>
              <w:t>How</w:t>
            </w:r>
            <w:r>
              <w:rPr>
                <w:spacing w:val="-4"/>
                <w:sz w:val="18"/>
              </w:rPr>
              <w:t> </w:t>
            </w:r>
            <w:r>
              <w:rPr>
                <w:sz w:val="18"/>
              </w:rPr>
              <w:t>many</w:t>
            </w:r>
            <w:r>
              <w:rPr>
                <w:spacing w:val="-3"/>
                <w:sz w:val="18"/>
              </w:rPr>
              <w:t> </w:t>
            </w:r>
            <w:r>
              <w:rPr>
                <w:sz w:val="18"/>
              </w:rPr>
              <w:t>consultations</w:t>
            </w:r>
            <w:r>
              <w:rPr>
                <w:spacing w:val="-2"/>
                <w:sz w:val="18"/>
              </w:rPr>
              <w:t> </w:t>
            </w:r>
            <w:r>
              <w:rPr>
                <w:sz w:val="18"/>
              </w:rPr>
              <w:t>did</w:t>
            </w:r>
            <w:r>
              <w:rPr>
                <w:spacing w:val="-4"/>
                <w:sz w:val="18"/>
              </w:rPr>
              <w:t> </w:t>
            </w:r>
            <w:r>
              <w:rPr>
                <w:sz w:val="18"/>
              </w:rPr>
              <w:t>you</w:t>
            </w:r>
            <w:r>
              <w:rPr>
                <w:spacing w:val="-4"/>
                <w:sz w:val="18"/>
              </w:rPr>
              <w:t> </w:t>
            </w:r>
            <w:r>
              <w:rPr>
                <w:sz w:val="18"/>
              </w:rPr>
              <w:t>have</w:t>
            </w:r>
            <w:r>
              <w:rPr>
                <w:spacing w:val="-2"/>
                <w:sz w:val="18"/>
              </w:rPr>
              <w:t> </w:t>
            </w:r>
            <w:r>
              <w:rPr>
                <w:sz w:val="18"/>
              </w:rPr>
              <w:t>with</w:t>
            </w:r>
            <w:r>
              <w:rPr>
                <w:spacing w:val="-3"/>
                <w:sz w:val="18"/>
              </w:rPr>
              <w:t> </w:t>
            </w:r>
            <w:r>
              <w:rPr>
                <w:sz w:val="18"/>
              </w:rPr>
              <w:t>your</w:t>
            </w:r>
            <w:r>
              <w:rPr>
                <w:spacing w:val="-4"/>
                <w:sz w:val="18"/>
              </w:rPr>
              <w:t> </w:t>
            </w:r>
            <w:r>
              <w:rPr>
                <w:sz w:val="18"/>
              </w:rPr>
              <w:t>pharmacist</w:t>
            </w:r>
            <w:r>
              <w:rPr>
                <w:spacing w:val="-4"/>
                <w:sz w:val="18"/>
              </w:rPr>
              <w:t> </w:t>
            </w:r>
            <w:r>
              <w:rPr>
                <w:sz w:val="18"/>
              </w:rPr>
              <w:t>over</w:t>
            </w:r>
            <w:r>
              <w:rPr>
                <w:spacing w:val="-47"/>
                <w:sz w:val="18"/>
              </w:rPr>
              <w:t> </w:t>
            </w:r>
            <w:r>
              <w:rPr>
                <w:sz w:val="18"/>
              </w:rPr>
              <w:t>the</w:t>
            </w:r>
            <w:r>
              <w:rPr>
                <w:spacing w:val="-1"/>
                <w:sz w:val="18"/>
              </w:rPr>
              <w:t> </w:t>
            </w:r>
            <w:r>
              <w:rPr>
                <w:sz w:val="18"/>
              </w:rPr>
              <w:t>last</w:t>
            </w:r>
            <w:r>
              <w:rPr>
                <w:spacing w:val="-2"/>
                <w:sz w:val="18"/>
              </w:rPr>
              <w:t> </w:t>
            </w:r>
            <w:r>
              <w:rPr>
                <w:sz w:val="18"/>
              </w:rPr>
              <w:t>12 months?</w:t>
            </w:r>
          </w:p>
          <w:p>
            <w:pPr>
              <w:pStyle w:val="TableParagraph"/>
              <w:numPr>
                <w:ilvl w:val="0"/>
                <w:numId w:val="210"/>
              </w:numPr>
              <w:tabs>
                <w:tab w:pos="279" w:val="left" w:leader="none"/>
              </w:tabs>
              <w:spacing w:line="240" w:lineRule="auto" w:before="0" w:after="0"/>
              <w:ind w:left="278" w:right="1000" w:hanging="171"/>
              <w:jc w:val="left"/>
              <w:rPr>
                <w:sz w:val="18"/>
              </w:rPr>
            </w:pPr>
            <w:r>
              <w:rPr>
                <w:sz w:val="18"/>
              </w:rPr>
              <w:t>How</w:t>
            </w:r>
            <w:r>
              <w:rPr>
                <w:spacing w:val="-5"/>
                <w:sz w:val="18"/>
              </w:rPr>
              <w:t> </w:t>
            </w:r>
            <w:r>
              <w:rPr>
                <w:sz w:val="18"/>
              </w:rPr>
              <w:t>adequate</w:t>
            </w:r>
            <w:r>
              <w:rPr>
                <w:spacing w:val="-2"/>
                <w:sz w:val="18"/>
              </w:rPr>
              <w:t> </w:t>
            </w:r>
            <w:r>
              <w:rPr>
                <w:sz w:val="18"/>
              </w:rPr>
              <w:t>was</w:t>
            </w:r>
            <w:r>
              <w:rPr>
                <w:spacing w:val="-1"/>
                <w:sz w:val="18"/>
              </w:rPr>
              <w:t> </w:t>
            </w:r>
            <w:r>
              <w:rPr>
                <w:sz w:val="18"/>
              </w:rPr>
              <w:t>the</w:t>
            </w:r>
            <w:r>
              <w:rPr>
                <w:spacing w:val="-3"/>
                <w:sz w:val="18"/>
              </w:rPr>
              <w:t> </w:t>
            </w:r>
            <w:r>
              <w:rPr>
                <w:sz w:val="18"/>
              </w:rPr>
              <w:t>number</w:t>
            </w:r>
            <w:r>
              <w:rPr>
                <w:spacing w:val="-1"/>
                <w:sz w:val="18"/>
              </w:rPr>
              <w:t> </w:t>
            </w:r>
            <w:r>
              <w:rPr>
                <w:sz w:val="18"/>
              </w:rPr>
              <w:t>of</w:t>
            </w:r>
            <w:r>
              <w:rPr>
                <w:spacing w:val="-2"/>
                <w:sz w:val="18"/>
              </w:rPr>
              <w:t> </w:t>
            </w:r>
            <w:r>
              <w:rPr>
                <w:sz w:val="18"/>
              </w:rPr>
              <w:t>sessions</w:t>
            </w:r>
            <w:r>
              <w:rPr>
                <w:spacing w:val="-2"/>
                <w:sz w:val="18"/>
              </w:rPr>
              <w:t> </w:t>
            </w:r>
            <w:r>
              <w:rPr>
                <w:sz w:val="18"/>
              </w:rPr>
              <w:t>that</w:t>
            </w:r>
            <w:r>
              <w:rPr>
                <w:spacing w:val="-5"/>
                <w:sz w:val="18"/>
              </w:rPr>
              <w:t> </w:t>
            </w:r>
            <w:r>
              <w:rPr>
                <w:sz w:val="18"/>
              </w:rPr>
              <w:t>you</w:t>
            </w:r>
            <w:r>
              <w:rPr>
                <w:spacing w:val="-2"/>
                <w:sz w:val="18"/>
              </w:rPr>
              <w:t> </w:t>
            </w:r>
            <w:r>
              <w:rPr>
                <w:sz w:val="18"/>
              </w:rPr>
              <w:t>had</w:t>
            </w:r>
            <w:r>
              <w:rPr>
                <w:spacing w:val="-4"/>
                <w:sz w:val="18"/>
              </w:rPr>
              <w:t> </w:t>
            </w:r>
            <w:r>
              <w:rPr>
                <w:sz w:val="18"/>
              </w:rPr>
              <w:t>with</w:t>
            </w:r>
            <w:r>
              <w:rPr>
                <w:spacing w:val="-2"/>
                <w:sz w:val="18"/>
              </w:rPr>
              <w:t> </w:t>
            </w:r>
            <w:r>
              <w:rPr>
                <w:sz w:val="18"/>
              </w:rPr>
              <w:t>your</w:t>
            </w:r>
            <w:r>
              <w:rPr>
                <w:spacing w:val="-47"/>
                <w:sz w:val="18"/>
              </w:rPr>
              <w:t> </w:t>
            </w:r>
            <w:r>
              <w:rPr>
                <w:sz w:val="18"/>
              </w:rPr>
              <w:t>pharmacist</w:t>
            </w:r>
            <w:r>
              <w:rPr>
                <w:spacing w:val="-3"/>
                <w:sz w:val="18"/>
              </w:rPr>
              <w:t> </w:t>
            </w:r>
            <w:r>
              <w:rPr>
                <w:sz w:val="18"/>
              </w:rPr>
              <w:t>for your</w:t>
            </w:r>
            <w:r>
              <w:rPr>
                <w:spacing w:val="-2"/>
                <w:sz w:val="18"/>
              </w:rPr>
              <w:t> </w:t>
            </w:r>
            <w:r>
              <w:rPr>
                <w:sz w:val="18"/>
              </w:rPr>
              <w:t>needs?</w:t>
            </w:r>
          </w:p>
          <w:p>
            <w:pPr>
              <w:pStyle w:val="TableParagraph"/>
              <w:numPr>
                <w:ilvl w:val="0"/>
                <w:numId w:val="210"/>
              </w:numPr>
              <w:tabs>
                <w:tab w:pos="279" w:val="left" w:leader="none"/>
              </w:tabs>
              <w:spacing w:line="240" w:lineRule="auto" w:before="0" w:after="0"/>
              <w:ind w:left="278" w:right="0" w:hanging="172"/>
              <w:jc w:val="left"/>
              <w:rPr>
                <w:sz w:val="18"/>
              </w:rPr>
            </w:pPr>
            <w:r>
              <w:rPr>
                <w:sz w:val="18"/>
              </w:rPr>
              <w:t>How</w:t>
            </w:r>
            <w:r>
              <w:rPr>
                <w:spacing w:val="-5"/>
                <w:sz w:val="18"/>
              </w:rPr>
              <w:t> </w:t>
            </w:r>
            <w:r>
              <w:rPr>
                <w:sz w:val="18"/>
              </w:rPr>
              <w:t>is</w:t>
            </w:r>
            <w:r>
              <w:rPr>
                <w:spacing w:val="-4"/>
                <w:sz w:val="18"/>
              </w:rPr>
              <w:t> </w:t>
            </w:r>
            <w:r>
              <w:rPr>
                <w:sz w:val="18"/>
              </w:rPr>
              <w:t>your</w:t>
            </w:r>
            <w:r>
              <w:rPr>
                <w:spacing w:val="-1"/>
                <w:sz w:val="18"/>
              </w:rPr>
              <w:t> </w:t>
            </w:r>
            <w:r>
              <w:rPr>
                <w:sz w:val="18"/>
              </w:rPr>
              <w:t>pharmacist</w:t>
            </w:r>
            <w:r>
              <w:rPr>
                <w:spacing w:val="-5"/>
                <w:sz w:val="18"/>
              </w:rPr>
              <w:t> </w:t>
            </w:r>
            <w:r>
              <w:rPr>
                <w:sz w:val="18"/>
              </w:rPr>
              <w:t>helping</w:t>
            </w:r>
            <w:r>
              <w:rPr>
                <w:spacing w:val="-5"/>
                <w:sz w:val="18"/>
              </w:rPr>
              <w:t> </w:t>
            </w:r>
            <w:r>
              <w:rPr>
                <w:sz w:val="18"/>
              </w:rPr>
              <w:t>you</w:t>
            </w:r>
            <w:r>
              <w:rPr>
                <w:spacing w:val="-2"/>
                <w:sz w:val="18"/>
              </w:rPr>
              <w:t> </w:t>
            </w:r>
            <w:r>
              <w:rPr>
                <w:sz w:val="18"/>
              </w:rPr>
              <w:t>to</w:t>
            </w:r>
            <w:r>
              <w:rPr>
                <w:spacing w:val="-4"/>
                <w:sz w:val="18"/>
              </w:rPr>
              <w:t> </w:t>
            </w:r>
            <w:r>
              <w:rPr>
                <w:sz w:val="18"/>
              </w:rPr>
              <w:t>manage</w:t>
            </w:r>
            <w:r>
              <w:rPr>
                <w:spacing w:val="-3"/>
                <w:sz w:val="18"/>
              </w:rPr>
              <w:t> </w:t>
            </w:r>
            <w:r>
              <w:rPr>
                <w:sz w:val="18"/>
              </w:rPr>
              <w:t>your</w:t>
            </w:r>
            <w:r>
              <w:rPr>
                <w:spacing w:val="-2"/>
                <w:sz w:val="18"/>
              </w:rPr>
              <w:t> </w:t>
            </w:r>
            <w:r>
              <w:rPr>
                <w:sz w:val="18"/>
              </w:rPr>
              <w:t>medication?</w:t>
            </w:r>
          </w:p>
          <w:p>
            <w:pPr>
              <w:pStyle w:val="TableParagraph"/>
              <w:spacing w:before="2"/>
              <w:rPr>
                <w:sz w:val="16"/>
              </w:rPr>
            </w:pPr>
          </w:p>
          <w:p>
            <w:pPr>
              <w:pStyle w:val="TableParagraph"/>
              <w:spacing w:before="1"/>
              <w:ind w:left="107"/>
              <w:rPr>
                <w:sz w:val="18"/>
              </w:rPr>
            </w:pPr>
            <w:r>
              <w:rPr>
                <w:sz w:val="18"/>
              </w:rPr>
              <w:t>Prompts</w:t>
            </w:r>
            <w:r>
              <w:rPr>
                <w:spacing w:val="-4"/>
                <w:sz w:val="18"/>
              </w:rPr>
              <w:t> </w:t>
            </w:r>
            <w:r>
              <w:rPr>
                <w:sz w:val="18"/>
              </w:rPr>
              <w:t>–</w:t>
            </w:r>
            <w:r>
              <w:rPr>
                <w:spacing w:val="-2"/>
                <w:sz w:val="18"/>
              </w:rPr>
              <w:t> </w:t>
            </w:r>
            <w:r>
              <w:rPr>
                <w:sz w:val="18"/>
              </w:rPr>
              <w:t>assistance</w:t>
            </w:r>
            <w:r>
              <w:rPr>
                <w:spacing w:val="-3"/>
                <w:sz w:val="18"/>
              </w:rPr>
              <w:t> </w:t>
            </w:r>
            <w:r>
              <w:rPr>
                <w:sz w:val="18"/>
              </w:rPr>
              <w:t>with/</w:t>
            </w:r>
            <w:r>
              <w:rPr>
                <w:spacing w:val="-3"/>
                <w:sz w:val="18"/>
              </w:rPr>
              <w:t> </w:t>
            </w:r>
            <w:r>
              <w:rPr>
                <w:sz w:val="18"/>
              </w:rPr>
              <w:t>how</w:t>
            </w:r>
            <w:r>
              <w:rPr>
                <w:spacing w:val="-5"/>
                <w:sz w:val="18"/>
              </w:rPr>
              <w:t> </w:t>
            </w:r>
            <w:r>
              <w:rPr>
                <w:sz w:val="18"/>
              </w:rPr>
              <w:t>assistance</w:t>
            </w:r>
            <w:r>
              <w:rPr>
                <w:spacing w:val="-5"/>
                <w:sz w:val="18"/>
              </w:rPr>
              <w:t> </w:t>
            </w:r>
            <w:r>
              <w:rPr>
                <w:sz w:val="18"/>
              </w:rPr>
              <w:t>is</w:t>
            </w:r>
            <w:r>
              <w:rPr>
                <w:spacing w:val="-5"/>
                <w:sz w:val="18"/>
              </w:rPr>
              <w:t> </w:t>
            </w:r>
            <w:r>
              <w:rPr>
                <w:sz w:val="18"/>
              </w:rPr>
              <w:t>being</w:t>
            </w:r>
            <w:r>
              <w:rPr>
                <w:spacing w:val="-5"/>
                <w:sz w:val="18"/>
              </w:rPr>
              <w:t> </w:t>
            </w:r>
            <w:r>
              <w:rPr>
                <w:sz w:val="18"/>
              </w:rPr>
              <w:t>provided:</w:t>
            </w:r>
          </w:p>
          <w:p>
            <w:pPr>
              <w:pStyle w:val="TableParagraph"/>
              <w:numPr>
                <w:ilvl w:val="1"/>
                <w:numId w:val="210"/>
              </w:numPr>
              <w:tabs>
                <w:tab w:pos="821" w:val="left" w:leader="none"/>
                <w:tab w:pos="822" w:val="left" w:leader="none"/>
              </w:tabs>
              <w:spacing w:line="240" w:lineRule="auto" w:before="0" w:after="0"/>
              <w:ind w:left="821" w:right="173" w:hanging="356"/>
              <w:jc w:val="left"/>
              <w:rPr>
                <w:sz w:val="18"/>
              </w:rPr>
            </w:pPr>
            <w:r>
              <w:rPr>
                <w:sz w:val="18"/>
              </w:rPr>
              <w:t>Understand</w:t>
            </w:r>
            <w:r>
              <w:rPr>
                <w:spacing w:val="-4"/>
                <w:sz w:val="18"/>
              </w:rPr>
              <w:t> </w:t>
            </w:r>
            <w:r>
              <w:rPr>
                <w:sz w:val="18"/>
              </w:rPr>
              <w:t>the</w:t>
            </w:r>
            <w:r>
              <w:rPr>
                <w:spacing w:val="-2"/>
                <w:sz w:val="18"/>
              </w:rPr>
              <w:t> </w:t>
            </w:r>
            <w:r>
              <w:rPr>
                <w:sz w:val="18"/>
              </w:rPr>
              <w:t>role</w:t>
            </w:r>
            <w:r>
              <w:rPr>
                <w:spacing w:val="-2"/>
                <w:sz w:val="18"/>
              </w:rPr>
              <w:t> </w:t>
            </w:r>
            <w:r>
              <w:rPr>
                <w:sz w:val="18"/>
              </w:rPr>
              <w:t>of</w:t>
            </w:r>
            <w:r>
              <w:rPr>
                <w:spacing w:val="-3"/>
                <w:sz w:val="18"/>
              </w:rPr>
              <w:t> </w:t>
            </w:r>
            <w:r>
              <w:rPr>
                <w:sz w:val="18"/>
              </w:rPr>
              <w:t>medications</w:t>
            </w:r>
            <w:r>
              <w:rPr>
                <w:spacing w:val="-4"/>
                <w:sz w:val="18"/>
              </w:rPr>
              <w:t> </w:t>
            </w:r>
            <w:r>
              <w:rPr>
                <w:sz w:val="18"/>
              </w:rPr>
              <w:t>for</w:t>
            </w:r>
            <w:r>
              <w:rPr>
                <w:spacing w:val="-2"/>
                <w:sz w:val="18"/>
              </w:rPr>
              <w:t> </w:t>
            </w:r>
            <w:r>
              <w:rPr>
                <w:sz w:val="18"/>
              </w:rPr>
              <w:t>the</w:t>
            </w:r>
            <w:r>
              <w:rPr>
                <w:spacing w:val="-2"/>
                <w:sz w:val="18"/>
              </w:rPr>
              <w:t> </w:t>
            </w:r>
            <w:r>
              <w:rPr>
                <w:sz w:val="18"/>
              </w:rPr>
              <w:t>treatment</w:t>
            </w:r>
            <w:r>
              <w:rPr>
                <w:spacing w:val="-5"/>
                <w:sz w:val="18"/>
              </w:rPr>
              <w:t> </w:t>
            </w:r>
            <w:r>
              <w:rPr>
                <w:sz w:val="18"/>
              </w:rPr>
              <w:t>of</w:t>
            </w:r>
            <w:r>
              <w:rPr>
                <w:spacing w:val="-1"/>
                <w:sz w:val="18"/>
              </w:rPr>
              <w:t> </w:t>
            </w:r>
            <w:r>
              <w:rPr>
                <w:sz w:val="18"/>
              </w:rPr>
              <w:t>your</w:t>
            </w:r>
            <w:r>
              <w:rPr>
                <w:spacing w:val="-2"/>
                <w:sz w:val="18"/>
              </w:rPr>
              <w:t> </w:t>
            </w:r>
            <w:r>
              <w:rPr>
                <w:sz w:val="18"/>
              </w:rPr>
              <w:t>medical</w:t>
            </w:r>
            <w:r>
              <w:rPr>
                <w:spacing w:val="-47"/>
                <w:sz w:val="18"/>
              </w:rPr>
              <w:t> </w:t>
            </w:r>
            <w:r>
              <w:rPr>
                <w:sz w:val="18"/>
              </w:rPr>
              <w:t>conditions?</w:t>
            </w:r>
          </w:p>
          <w:p>
            <w:pPr>
              <w:pStyle w:val="TableParagraph"/>
              <w:numPr>
                <w:ilvl w:val="1"/>
                <w:numId w:val="210"/>
              </w:numPr>
              <w:tabs>
                <w:tab w:pos="821" w:val="left" w:leader="none"/>
                <w:tab w:pos="822" w:val="left" w:leader="none"/>
              </w:tabs>
              <w:spacing w:line="240" w:lineRule="auto" w:before="0" w:after="0"/>
              <w:ind w:left="821" w:right="0" w:hanging="357"/>
              <w:jc w:val="left"/>
              <w:rPr>
                <w:sz w:val="18"/>
              </w:rPr>
            </w:pPr>
            <w:r>
              <w:rPr>
                <w:sz w:val="18"/>
              </w:rPr>
              <w:t>Safety</w:t>
            </w:r>
            <w:r>
              <w:rPr>
                <w:spacing w:val="-4"/>
                <w:sz w:val="18"/>
              </w:rPr>
              <w:t> </w:t>
            </w:r>
            <w:r>
              <w:rPr>
                <w:sz w:val="18"/>
              </w:rPr>
              <w:t>in</w:t>
            </w:r>
            <w:r>
              <w:rPr>
                <w:spacing w:val="-2"/>
                <w:sz w:val="18"/>
              </w:rPr>
              <w:t> </w:t>
            </w:r>
            <w:r>
              <w:rPr>
                <w:sz w:val="18"/>
              </w:rPr>
              <w:t>taking</w:t>
            </w:r>
            <w:r>
              <w:rPr>
                <w:spacing w:val="-5"/>
                <w:sz w:val="18"/>
              </w:rPr>
              <w:t> </w:t>
            </w:r>
            <w:r>
              <w:rPr>
                <w:sz w:val="18"/>
              </w:rPr>
              <w:t>medication?</w:t>
            </w:r>
          </w:p>
          <w:p>
            <w:pPr>
              <w:pStyle w:val="TableParagraph"/>
              <w:numPr>
                <w:ilvl w:val="1"/>
                <w:numId w:val="210"/>
              </w:numPr>
              <w:tabs>
                <w:tab w:pos="821" w:val="left" w:leader="none"/>
                <w:tab w:pos="822" w:val="left" w:leader="none"/>
              </w:tabs>
              <w:spacing w:line="240" w:lineRule="auto" w:before="0" w:after="0"/>
              <w:ind w:left="821" w:right="0" w:hanging="357"/>
              <w:jc w:val="left"/>
              <w:rPr>
                <w:sz w:val="18"/>
              </w:rPr>
            </w:pPr>
            <w:r>
              <w:rPr>
                <w:sz w:val="18"/>
              </w:rPr>
              <w:t>Best</w:t>
            </w:r>
            <w:r>
              <w:rPr>
                <w:spacing w:val="-3"/>
                <w:sz w:val="18"/>
              </w:rPr>
              <w:t> </w:t>
            </w:r>
            <w:r>
              <w:rPr>
                <w:sz w:val="18"/>
              </w:rPr>
              <w:t>ways</w:t>
            </w:r>
            <w:r>
              <w:rPr>
                <w:spacing w:val="-3"/>
                <w:sz w:val="18"/>
              </w:rPr>
              <w:t> </w:t>
            </w:r>
            <w:r>
              <w:rPr>
                <w:sz w:val="18"/>
              </w:rPr>
              <w:t>to</w:t>
            </w:r>
            <w:r>
              <w:rPr>
                <w:spacing w:val="-3"/>
                <w:sz w:val="18"/>
              </w:rPr>
              <w:t> </w:t>
            </w:r>
            <w:r>
              <w:rPr>
                <w:sz w:val="18"/>
              </w:rPr>
              <w:t>take</w:t>
            </w:r>
            <w:r>
              <w:rPr>
                <w:spacing w:val="-2"/>
                <w:sz w:val="18"/>
              </w:rPr>
              <w:t> </w:t>
            </w:r>
            <w:r>
              <w:rPr>
                <w:sz w:val="18"/>
              </w:rPr>
              <w:t>medications (e.g.</w:t>
            </w:r>
            <w:r>
              <w:rPr>
                <w:spacing w:val="-4"/>
                <w:sz w:val="18"/>
              </w:rPr>
              <w:t> </w:t>
            </w:r>
            <w:r>
              <w:rPr>
                <w:sz w:val="18"/>
              </w:rPr>
              <w:t>time,</w:t>
            </w:r>
            <w:r>
              <w:rPr>
                <w:spacing w:val="-3"/>
                <w:sz w:val="18"/>
              </w:rPr>
              <w:t> </w:t>
            </w:r>
            <w:r>
              <w:rPr>
                <w:sz w:val="18"/>
              </w:rPr>
              <w:t>does,</w:t>
            </w:r>
            <w:r>
              <w:rPr>
                <w:spacing w:val="-4"/>
                <w:sz w:val="18"/>
              </w:rPr>
              <w:t> </w:t>
            </w:r>
            <w:r>
              <w:rPr>
                <w:sz w:val="18"/>
              </w:rPr>
              <w:t>storage)?</w:t>
            </w:r>
          </w:p>
          <w:p>
            <w:pPr>
              <w:pStyle w:val="TableParagraph"/>
              <w:numPr>
                <w:ilvl w:val="1"/>
                <w:numId w:val="210"/>
              </w:numPr>
              <w:tabs>
                <w:tab w:pos="821" w:val="left" w:leader="none"/>
                <w:tab w:pos="822" w:val="left" w:leader="none"/>
              </w:tabs>
              <w:spacing w:line="240" w:lineRule="auto" w:before="0" w:after="0"/>
              <w:ind w:left="821" w:right="0" w:hanging="357"/>
              <w:jc w:val="left"/>
              <w:rPr>
                <w:sz w:val="18"/>
              </w:rPr>
            </w:pPr>
            <w:r>
              <w:rPr>
                <w:sz w:val="18"/>
              </w:rPr>
              <w:t>Collaborating</w:t>
            </w:r>
            <w:r>
              <w:rPr>
                <w:spacing w:val="-5"/>
                <w:sz w:val="18"/>
              </w:rPr>
              <w:t> </w:t>
            </w:r>
            <w:r>
              <w:rPr>
                <w:sz w:val="18"/>
              </w:rPr>
              <w:t>with</w:t>
            </w:r>
            <w:r>
              <w:rPr>
                <w:spacing w:val="-2"/>
                <w:sz w:val="18"/>
              </w:rPr>
              <w:t> </w:t>
            </w:r>
            <w:r>
              <w:rPr>
                <w:sz w:val="18"/>
              </w:rPr>
              <w:t>your</w:t>
            </w:r>
            <w:r>
              <w:rPr>
                <w:spacing w:val="-5"/>
                <w:sz w:val="18"/>
              </w:rPr>
              <w:t> </w:t>
            </w:r>
            <w:r>
              <w:rPr>
                <w:sz w:val="18"/>
              </w:rPr>
              <w:t>GP?</w:t>
            </w:r>
          </w:p>
          <w:p>
            <w:pPr>
              <w:pStyle w:val="TableParagraph"/>
              <w:numPr>
                <w:ilvl w:val="1"/>
                <w:numId w:val="210"/>
              </w:numPr>
              <w:tabs>
                <w:tab w:pos="821" w:val="left" w:leader="none"/>
                <w:tab w:pos="822" w:val="left" w:leader="none"/>
              </w:tabs>
              <w:spacing w:line="240" w:lineRule="auto" w:before="0" w:after="0"/>
              <w:ind w:left="821" w:right="0" w:hanging="357"/>
              <w:jc w:val="left"/>
              <w:rPr>
                <w:sz w:val="18"/>
              </w:rPr>
            </w:pPr>
            <w:r>
              <w:rPr>
                <w:sz w:val="18"/>
              </w:rPr>
              <w:t>Improved</w:t>
            </w:r>
            <w:r>
              <w:rPr>
                <w:spacing w:val="-3"/>
                <w:sz w:val="18"/>
              </w:rPr>
              <w:t> </w:t>
            </w:r>
            <w:r>
              <w:rPr>
                <w:sz w:val="18"/>
              </w:rPr>
              <w:t>confidence</w:t>
            </w:r>
            <w:r>
              <w:rPr>
                <w:spacing w:val="-6"/>
                <w:sz w:val="18"/>
              </w:rPr>
              <w:t> </w:t>
            </w:r>
            <w:r>
              <w:rPr>
                <w:sz w:val="18"/>
              </w:rPr>
              <w:t>in</w:t>
            </w:r>
            <w:r>
              <w:rPr>
                <w:spacing w:val="-2"/>
                <w:sz w:val="18"/>
              </w:rPr>
              <w:t> </w:t>
            </w:r>
            <w:r>
              <w:rPr>
                <w:sz w:val="18"/>
              </w:rPr>
              <w:t>taking</w:t>
            </w:r>
            <w:r>
              <w:rPr>
                <w:spacing w:val="-3"/>
                <w:sz w:val="18"/>
              </w:rPr>
              <w:t> </w:t>
            </w:r>
            <w:r>
              <w:rPr>
                <w:sz w:val="18"/>
              </w:rPr>
              <w:t>your</w:t>
            </w:r>
            <w:r>
              <w:rPr>
                <w:spacing w:val="-2"/>
                <w:sz w:val="18"/>
              </w:rPr>
              <w:t> </w:t>
            </w:r>
            <w:r>
              <w:rPr>
                <w:sz w:val="18"/>
              </w:rPr>
              <w:t>medications?</w:t>
            </w:r>
          </w:p>
          <w:p>
            <w:pPr>
              <w:pStyle w:val="TableParagraph"/>
              <w:numPr>
                <w:ilvl w:val="1"/>
                <w:numId w:val="210"/>
              </w:numPr>
              <w:tabs>
                <w:tab w:pos="821" w:val="left" w:leader="none"/>
                <w:tab w:pos="822" w:val="left" w:leader="none"/>
              </w:tabs>
              <w:spacing w:line="220" w:lineRule="exact" w:before="0" w:after="0"/>
              <w:ind w:left="821" w:right="0" w:hanging="357"/>
              <w:jc w:val="left"/>
              <w:rPr>
                <w:sz w:val="18"/>
              </w:rPr>
            </w:pPr>
            <w:r>
              <w:rPr>
                <w:sz w:val="18"/>
              </w:rPr>
              <w:t>Reminds</w:t>
            </w:r>
            <w:r>
              <w:rPr>
                <w:spacing w:val="-3"/>
                <w:sz w:val="18"/>
              </w:rPr>
              <w:t> </w:t>
            </w:r>
            <w:r>
              <w:rPr>
                <w:sz w:val="18"/>
              </w:rPr>
              <w:t>me</w:t>
            </w:r>
            <w:r>
              <w:rPr>
                <w:spacing w:val="-2"/>
                <w:sz w:val="18"/>
              </w:rPr>
              <w:t> </w:t>
            </w:r>
            <w:r>
              <w:rPr>
                <w:sz w:val="18"/>
              </w:rPr>
              <w:t>when</w:t>
            </w:r>
            <w:r>
              <w:rPr>
                <w:spacing w:val="-1"/>
                <w:sz w:val="18"/>
              </w:rPr>
              <w:t> </w:t>
            </w:r>
            <w:r>
              <w:rPr>
                <w:sz w:val="18"/>
              </w:rPr>
              <w:t>to</w:t>
            </w:r>
            <w:r>
              <w:rPr>
                <w:spacing w:val="-3"/>
                <w:sz w:val="18"/>
              </w:rPr>
              <w:t> </w:t>
            </w:r>
            <w:r>
              <w:rPr>
                <w:sz w:val="18"/>
              </w:rPr>
              <w:t>take</w:t>
            </w:r>
            <w:r>
              <w:rPr>
                <w:spacing w:val="-2"/>
                <w:sz w:val="18"/>
              </w:rPr>
              <w:t> </w:t>
            </w:r>
            <w:r>
              <w:rPr>
                <w:sz w:val="18"/>
              </w:rPr>
              <w:t>my</w:t>
            </w:r>
            <w:r>
              <w:rPr>
                <w:spacing w:val="1"/>
                <w:sz w:val="18"/>
              </w:rPr>
              <w:t> </w:t>
            </w:r>
            <w:r>
              <w:rPr>
                <w:sz w:val="18"/>
              </w:rPr>
              <w:t>medications?</w:t>
            </w:r>
          </w:p>
          <w:p>
            <w:pPr>
              <w:pStyle w:val="TableParagraph"/>
              <w:numPr>
                <w:ilvl w:val="1"/>
                <w:numId w:val="210"/>
              </w:numPr>
              <w:tabs>
                <w:tab w:pos="821" w:val="left" w:leader="none"/>
                <w:tab w:pos="822" w:val="left" w:leader="none"/>
              </w:tabs>
              <w:spacing w:line="220" w:lineRule="exact" w:before="0" w:after="0"/>
              <w:ind w:left="821" w:right="0" w:hanging="357"/>
              <w:jc w:val="left"/>
              <w:rPr>
                <w:sz w:val="18"/>
              </w:rPr>
            </w:pPr>
            <w:r>
              <w:rPr>
                <w:sz w:val="18"/>
              </w:rPr>
              <w:t>Helps</w:t>
            </w:r>
            <w:r>
              <w:rPr>
                <w:spacing w:val="-3"/>
                <w:sz w:val="18"/>
              </w:rPr>
              <w:t> </w:t>
            </w:r>
            <w:r>
              <w:rPr>
                <w:sz w:val="18"/>
              </w:rPr>
              <w:t>me</w:t>
            </w:r>
            <w:r>
              <w:rPr>
                <w:spacing w:val="-1"/>
                <w:sz w:val="18"/>
              </w:rPr>
              <w:t> </w:t>
            </w:r>
            <w:r>
              <w:rPr>
                <w:sz w:val="18"/>
              </w:rPr>
              <w:t>to</w:t>
            </w:r>
            <w:r>
              <w:rPr>
                <w:spacing w:val="-3"/>
                <w:sz w:val="18"/>
              </w:rPr>
              <w:t> </w:t>
            </w:r>
            <w:r>
              <w:rPr>
                <w:sz w:val="18"/>
              </w:rPr>
              <w:t>organize</w:t>
            </w:r>
            <w:r>
              <w:rPr>
                <w:spacing w:val="-1"/>
                <w:sz w:val="18"/>
              </w:rPr>
              <w:t> </w:t>
            </w:r>
            <w:r>
              <w:rPr>
                <w:sz w:val="18"/>
              </w:rPr>
              <w:t>my</w:t>
            </w:r>
            <w:r>
              <w:rPr>
                <w:spacing w:val="-3"/>
                <w:sz w:val="18"/>
              </w:rPr>
              <w:t> </w:t>
            </w:r>
            <w:r>
              <w:rPr>
                <w:sz w:val="18"/>
              </w:rPr>
              <w:t>medications?</w:t>
            </w:r>
          </w:p>
          <w:p>
            <w:pPr>
              <w:pStyle w:val="TableParagraph"/>
              <w:numPr>
                <w:ilvl w:val="1"/>
                <w:numId w:val="210"/>
              </w:numPr>
              <w:tabs>
                <w:tab w:pos="821" w:val="left" w:leader="none"/>
                <w:tab w:pos="822" w:val="left" w:leader="none"/>
              </w:tabs>
              <w:spacing w:line="240" w:lineRule="auto" w:before="1" w:after="0"/>
              <w:ind w:left="821" w:right="0" w:hanging="357"/>
              <w:jc w:val="left"/>
              <w:rPr>
                <w:sz w:val="18"/>
              </w:rPr>
            </w:pPr>
            <w:r>
              <w:rPr>
                <w:sz w:val="18"/>
              </w:rPr>
              <w:t>Shows</w:t>
            </w:r>
            <w:r>
              <w:rPr>
                <w:spacing w:val="-1"/>
                <w:sz w:val="18"/>
              </w:rPr>
              <w:t> </w:t>
            </w:r>
            <w:r>
              <w:rPr>
                <w:sz w:val="18"/>
              </w:rPr>
              <w:t>me</w:t>
            </w:r>
            <w:r>
              <w:rPr>
                <w:spacing w:val="-3"/>
                <w:sz w:val="18"/>
              </w:rPr>
              <w:t> </w:t>
            </w:r>
            <w:r>
              <w:rPr>
                <w:sz w:val="18"/>
              </w:rPr>
              <w:t>how</w:t>
            </w:r>
            <w:r>
              <w:rPr>
                <w:spacing w:val="-5"/>
                <w:sz w:val="18"/>
              </w:rPr>
              <w:t> </w:t>
            </w:r>
            <w:r>
              <w:rPr>
                <w:sz w:val="18"/>
              </w:rPr>
              <w:t>to</w:t>
            </w:r>
            <w:r>
              <w:rPr>
                <w:spacing w:val="-3"/>
                <w:sz w:val="18"/>
              </w:rPr>
              <w:t> </w:t>
            </w:r>
            <w:r>
              <w:rPr>
                <w:sz w:val="18"/>
              </w:rPr>
              <w:t>use</w:t>
            </w:r>
            <w:r>
              <w:rPr>
                <w:spacing w:val="-3"/>
                <w:sz w:val="18"/>
              </w:rPr>
              <w:t> </w:t>
            </w:r>
            <w:r>
              <w:rPr>
                <w:sz w:val="18"/>
              </w:rPr>
              <w:t>my</w:t>
            </w:r>
            <w:r>
              <w:rPr>
                <w:spacing w:val="-1"/>
                <w:sz w:val="18"/>
              </w:rPr>
              <w:t> </w:t>
            </w:r>
            <w:r>
              <w:rPr>
                <w:sz w:val="18"/>
              </w:rPr>
              <w:t>medical</w:t>
            </w:r>
            <w:r>
              <w:rPr>
                <w:spacing w:val="-2"/>
                <w:sz w:val="18"/>
              </w:rPr>
              <w:t> </w:t>
            </w:r>
            <w:r>
              <w:rPr>
                <w:sz w:val="18"/>
              </w:rPr>
              <w:t>device</w:t>
            </w:r>
            <w:r>
              <w:rPr>
                <w:spacing w:val="-3"/>
                <w:sz w:val="18"/>
              </w:rPr>
              <w:t> </w:t>
            </w:r>
            <w:r>
              <w:rPr>
                <w:sz w:val="18"/>
              </w:rPr>
              <w:t>(i.e.</w:t>
            </w:r>
            <w:r>
              <w:rPr>
                <w:spacing w:val="-4"/>
                <w:sz w:val="18"/>
              </w:rPr>
              <w:t> </w:t>
            </w:r>
            <w:r>
              <w:rPr>
                <w:sz w:val="18"/>
              </w:rPr>
              <w:t>asthma</w:t>
            </w:r>
            <w:r>
              <w:rPr>
                <w:spacing w:val="-1"/>
                <w:sz w:val="18"/>
              </w:rPr>
              <w:t> </w:t>
            </w:r>
            <w:r>
              <w:rPr>
                <w:sz w:val="18"/>
              </w:rPr>
              <w:t>puffer)?</w:t>
            </w:r>
          </w:p>
          <w:p>
            <w:pPr>
              <w:pStyle w:val="TableParagraph"/>
              <w:rPr>
                <w:sz w:val="18"/>
              </w:rPr>
            </w:pPr>
          </w:p>
          <w:p>
            <w:pPr>
              <w:pStyle w:val="TableParagraph"/>
              <w:numPr>
                <w:ilvl w:val="0"/>
                <w:numId w:val="210"/>
              </w:numPr>
              <w:tabs>
                <w:tab w:pos="279" w:val="left" w:leader="none"/>
              </w:tabs>
              <w:spacing w:line="240" w:lineRule="auto" w:before="0" w:after="0"/>
              <w:ind w:left="278" w:right="730" w:hanging="171"/>
              <w:jc w:val="left"/>
              <w:rPr>
                <w:sz w:val="18"/>
              </w:rPr>
            </w:pPr>
            <w:r>
              <w:rPr>
                <w:b/>
                <w:sz w:val="18"/>
              </w:rPr>
              <w:t>(R4/R5)</w:t>
            </w:r>
            <w:r>
              <w:rPr>
                <w:b/>
                <w:spacing w:val="-6"/>
                <w:sz w:val="18"/>
              </w:rPr>
              <w:t> </w:t>
            </w:r>
            <w:r>
              <w:rPr>
                <w:sz w:val="18"/>
              </w:rPr>
              <w:t>How</w:t>
            </w:r>
            <w:r>
              <w:rPr>
                <w:spacing w:val="-5"/>
                <w:sz w:val="18"/>
              </w:rPr>
              <w:t> </w:t>
            </w:r>
            <w:r>
              <w:rPr>
                <w:sz w:val="18"/>
              </w:rPr>
              <w:t>is</w:t>
            </w:r>
            <w:r>
              <w:rPr>
                <w:spacing w:val="-4"/>
                <w:sz w:val="18"/>
              </w:rPr>
              <w:t> </w:t>
            </w:r>
            <w:r>
              <w:rPr>
                <w:sz w:val="18"/>
              </w:rPr>
              <w:t>your</w:t>
            </w:r>
            <w:r>
              <w:rPr>
                <w:spacing w:val="-3"/>
                <w:sz w:val="18"/>
              </w:rPr>
              <w:t> </w:t>
            </w:r>
            <w:r>
              <w:rPr>
                <w:sz w:val="18"/>
              </w:rPr>
              <w:t>pharmacist</w:t>
            </w:r>
            <w:r>
              <w:rPr>
                <w:spacing w:val="-5"/>
                <w:sz w:val="18"/>
              </w:rPr>
              <w:t> </w:t>
            </w:r>
            <w:r>
              <w:rPr>
                <w:sz w:val="18"/>
              </w:rPr>
              <w:t>helping</w:t>
            </w:r>
            <w:r>
              <w:rPr>
                <w:spacing w:val="-4"/>
                <w:sz w:val="18"/>
              </w:rPr>
              <w:t> </w:t>
            </w:r>
            <w:r>
              <w:rPr>
                <w:sz w:val="18"/>
              </w:rPr>
              <w:t>you</w:t>
            </w:r>
            <w:r>
              <w:rPr>
                <w:spacing w:val="-4"/>
                <w:sz w:val="18"/>
              </w:rPr>
              <w:t> </w:t>
            </w:r>
            <w:r>
              <w:rPr>
                <w:sz w:val="18"/>
              </w:rPr>
              <w:t>achieve</w:t>
            </w:r>
            <w:r>
              <w:rPr>
                <w:spacing w:val="-3"/>
                <w:sz w:val="18"/>
              </w:rPr>
              <w:t> </w:t>
            </w:r>
            <w:r>
              <w:rPr>
                <w:sz w:val="18"/>
              </w:rPr>
              <w:t>your</w:t>
            </w:r>
            <w:r>
              <w:rPr>
                <w:spacing w:val="-3"/>
                <w:sz w:val="18"/>
              </w:rPr>
              <w:t> </w:t>
            </w:r>
            <w:r>
              <w:rPr>
                <w:sz w:val="18"/>
              </w:rPr>
              <w:t>medication</w:t>
            </w:r>
            <w:r>
              <w:rPr>
                <w:spacing w:val="-47"/>
                <w:sz w:val="18"/>
              </w:rPr>
              <w:t> </w:t>
            </w:r>
            <w:r>
              <w:rPr>
                <w:sz w:val="18"/>
              </w:rPr>
              <w:t>management</w:t>
            </w:r>
            <w:r>
              <w:rPr>
                <w:spacing w:val="-3"/>
                <w:sz w:val="18"/>
              </w:rPr>
              <w:t> </w:t>
            </w:r>
            <w:r>
              <w:rPr>
                <w:sz w:val="18"/>
              </w:rPr>
              <w:t>goals?</w:t>
            </w:r>
          </w:p>
          <w:p>
            <w:pPr>
              <w:pStyle w:val="TableParagraph"/>
              <w:spacing w:before="6"/>
              <w:rPr>
                <w:sz w:val="16"/>
              </w:rPr>
            </w:pPr>
          </w:p>
          <w:p>
            <w:pPr>
              <w:pStyle w:val="TableParagraph"/>
              <w:ind w:left="107"/>
              <w:rPr>
                <w:sz w:val="18"/>
              </w:rPr>
            </w:pPr>
            <w:r>
              <w:rPr>
                <w:sz w:val="18"/>
              </w:rPr>
              <w:t>Prompts</w:t>
            </w:r>
            <w:r>
              <w:rPr>
                <w:spacing w:val="-4"/>
                <w:sz w:val="18"/>
              </w:rPr>
              <w:t> </w:t>
            </w:r>
            <w:r>
              <w:rPr>
                <w:sz w:val="18"/>
              </w:rPr>
              <w:t>–</w:t>
            </w:r>
            <w:r>
              <w:rPr>
                <w:spacing w:val="-2"/>
                <w:sz w:val="18"/>
              </w:rPr>
              <w:t> </w:t>
            </w:r>
            <w:r>
              <w:rPr>
                <w:sz w:val="18"/>
              </w:rPr>
              <w:t>assistance</w:t>
            </w:r>
            <w:r>
              <w:rPr>
                <w:spacing w:val="-3"/>
                <w:sz w:val="18"/>
              </w:rPr>
              <w:t> </w:t>
            </w:r>
            <w:r>
              <w:rPr>
                <w:sz w:val="18"/>
              </w:rPr>
              <w:t>with/</w:t>
            </w:r>
            <w:r>
              <w:rPr>
                <w:spacing w:val="-3"/>
                <w:sz w:val="18"/>
              </w:rPr>
              <w:t> </w:t>
            </w:r>
            <w:r>
              <w:rPr>
                <w:sz w:val="18"/>
              </w:rPr>
              <w:t>how</w:t>
            </w:r>
            <w:r>
              <w:rPr>
                <w:spacing w:val="-5"/>
                <w:sz w:val="18"/>
              </w:rPr>
              <w:t> </w:t>
            </w:r>
            <w:r>
              <w:rPr>
                <w:sz w:val="18"/>
              </w:rPr>
              <w:t>assistance</w:t>
            </w:r>
            <w:r>
              <w:rPr>
                <w:spacing w:val="-5"/>
                <w:sz w:val="18"/>
              </w:rPr>
              <w:t> </w:t>
            </w:r>
            <w:r>
              <w:rPr>
                <w:sz w:val="18"/>
              </w:rPr>
              <w:t>is</w:t>
            </w:r>
            <w:r>
              <w:rPr>
                <w:spacing w:val="-5"/>
                <w:sz w:val="18"/>
              </w:rPr>
              <w:t> </w:t>
            </w:r>
            <w:r>
              <w:rPr>
                <w:sz w:val="18"/>
              </w:rPr>
              <w:t>being</w:t>
            </w:r>
            <w:r>
              <w:rPr>
                <w:spacing w:val="-5"/>
                <w:sz w:val="18"/>
              </w:rPr>
              <w:t> </w:t>
            </w:r>
            <w:r>
              <w:rPr>
                <w:sz w:val="18"/>
              </w:rPr>
              <w:t>provided:</w:t>
            </w:r>
          </w:p>
          <w:p>
            <w:pPr>
              <w:pStyle w:val="TableParagraph"/>
              <w:numPr>
                <w:ilvl w:val="1"/>
                <w:numId w:val="210"/>
              </w:numPr>
              <w:tabs>
                <w:tab w:pos="821" w:val="left" w:leader="none"/>
                <w:tab w:pos="822" w:val="left" w:leader="none"/>
              </w:tabs>
              <w:spacing w:line="240" w:lineRule="auto" w:before="0" w:after="0"/>
              <w:ind w:left="821" w:right="0" w:hanging="357"/>
              <w:jc w:val="left"/>
              <w:rPr>
                <w:sz w:val="18"/>
              </w:rPr>
            </w:pPr>
            <w:r>
              <w:rPr>
                <w:sz w:val="18"/>
              </w:rPr>
              <w:t>Blood</w:t>
            </w:r>
            <w:r>
              <w:rPr>
                <w:spacing w:val="-7"/>
                <w:sz w:val="18"/>
              </w:rPr>
              <w:t> </w:t>
            </w:r>
            <w:r>
              <w:rPr>
                <w:sz w:val="18"/>
              </w:rPr>
              <w:t>pressure</w:t>
            </w:r>
            <w:r>
              <w:rPr>
                <w:spacing w:val="-5"/>
                <w:sz w:val="18"/>
              </w:rPr>
              <w:t> </w:t>
            </w:r>
            <w:r>
              <w:rPr>
                <w:sz w:val="18"/>
              </w:rPr>
              <w:t>monitoring?</w:t>
            </w:r>
          </w:p>
          <w:p>
            <w:pPr>
              <w:pStyle w:val="TableParagraph"/>
              <w:numPr>
                <w:ilvl w:val="1"/>
                <w:numId w:val="210"/>
              </w:numPr>
              <w:tabs>
                <w:tab w:pos="821" w:val="left" w:leader="none"/>
                <w:tab w:pos="822" w:val="left" w:leader="none"/>
              </w:tabs>
              <w:spacing w:line="220" w:lineRule="exact" w:before="0" w:after="0"/>
              <w:ind w:left="821" w:right="0" w:hanging="357"/>
              <w:jc w:val="left"/>
              <w:rPr>
                <w:sz w:val="18"/>
              </w:rPr>
            </w:pPr>
            <w:r>
              <w:rPr>
                <w:sz w:val="18"/>
              </w:rPr>
              <w:t>Blood</w:t>
            </w:r>
            <w:r>
              <w:rPr>
                <w:spacing w:val="-6"/>
                <w:sz w:val="18"/>
              </w:rPr>
              <w:t> </w:t>
            </w:r>
            <w:r>
              <w:rPr>
                <w:sz w:val="18"/>
              </w:rPr>
              <w:t>glucose</w:t>
            </w:r>
            <w:r>
              <w:rPr>
                <w:spacing w:val="-5"/>
                <w:sz w:val="18"/>
              </w:rPr>
              <w:t> </w:t>
            </w:r>
            <w:r>
              <w:rPr>
                <w:sz w:val="18"/>
              </w:rPr>
              <w:t>monitoring?</w:t>
            </w:r>
          </w:p>
          <w:p>
            <w:pPr>
              <w:pStyle w:val="TableParagraph"/>
              <w:numPr>
                <w:ilvl w:val="1"/>
                <w:numId w:val="210"/>
              </w:numPr>
              <w:tabs>
                <w:tab w:pos="821" w:val="left" w:leader="none"/>
                <w:tab w:pos="822" w:val="left" w:leader="none"/>
              </w:tabs>
              <w:spacing w:line="220" w:lineRule="exact" w:before="0" w:after="0"/>
              <w:ind w:left="821" w:right="0" w:hanging="357"/>
              <w:jc w:val="left"/>
              <w:rPr>
                <w:sz w:val="18"/>
              </w:rPr>
            </w:pPr>
            <w:r>
              <w:rPr>
                <w:sz w:val="18"/>
              </w:rPr>
              <w:t>Asthma</w:t>
            </w:r>
            <w:r>
              <w:rPr>
                <w:spacing w:val="-3"/>
                <w:sz w:val="18"/>
              </w:rPr>
              <w:t> </w:t>
            </w:r>
            <w:r>
              <w:rPr>
                <w:sz w:val="18"/>
              </w:rPr>
              <w:t>management</w:t>
            </w:r>
            <w:r>
              <w:rPr>
                <w:spacing w:val="-6"/>
                <w:sz w:val="18"/>
              </w:rPr>
              <w:t> </w:t>
            </w:r>
            <w:r>
              <w:rPr>
                <w:sz w:val="18"/>
              </w:rPr>
              <w:t>plan?</w:t>
            </w:r>
          </w:p>
          <w:p>
            <w:pPr>
              <w:pStyle w:val="TableParagraph"/>
              <w:numPr>
                <w:ilvl w:val="1"/>
                <w:numId w:val="210"/>
              </w:numPr>
              <w:tabs>
                <w:tab w:pos="821" w:val="left" w:leader="none"/>
                <w:tab w:pos="822" w:val="left" w:leader="none"/>
              </w:tabs>
              <w:spacing w:line="240" w:lineRule="auto" w:before="0" w:after="0"/>
              <w:ind w:left="821" w:right="0" w:hanging="357"/>
              <w:jc w:val="left"/>
              <w:rPr>
                <w:sz w:val="18"/>
              </w:rPr>
            </w:pPr>
            <w:r>
              <w:rPr>
                <w:sz w:val="18"/>
              </w:rPr>
              <w:t>Dose</w:t>
            </w:r>
            <w:r>
              <w:rPr>
                <w:spacing w:val="-2"/>
                <w:sz w:val="18"/>
              </w:rPr>
              <w:t> </w:t>
            </w:r>
            <w:r>
              <w:rPr>
                <w:sz w:val="18"/>
              </w:rPr>
              <w:t>Administration</w:t>
            </w:r>
            <w:r>
              <w:rPr>
                <w:spacing w:val="-6"/>
                <w:sz w:val="18"/>
              </w:rPr>
              <w:t> </w:t>
            </w:r>
            <w:r>
              <w:rPr>
                <w:sz w:val="18"/>
              </w:rPr>
              <w:t>aids?</w:t>
            </w:r>
          </w:p>
        </w:tc>
      </w:tr>
      <w:tr>
        <w:trPr>
          <w:trHeight w:val="959" w:hRule="atLeast"/>
        </w:trPr>
        <w:tc>
          <w:tcPr>
            <w:tcW w:w="1980" w:type="dxa"/>
            <w:tcBorders>
              <w:bottom w:val="single" w:sz="6" w:space="0" w:color="BEBEBE"/>
            </w:tcBorders>
          </w:tcPr>
          <w:p>
            <w:pPr>
              <w:pStyle w:val="TableParagraph"/>
              <w:spacing w:before="2"/>
              <w:ind w:left="107"/>
              <w:rPr>
                <w:sz w:val="16"/>
              </w:rPr>
            </w:pPr>
            <w:r>
              <w:rPr>
                <w:sz w:val="16"/>
              </w:rPr>
              <w:t>Message</w:t>
            </w:r>
            <w:r>
              <w:rPr>
                <w:spacing w:val="-3"/>
                <w:sz w:val="16"/>
              </w:rPr>
              <w:t> </w:t>
            </w:r>
            <w:r>
              <w:rPr>
                <w:sz w:val="16"/>
              </w:rPr>
              <w:t>for</w:t>
            </w:r>
            <w:r>
              <w:rPr>
                <w:spacing w:val="-4"/>
                <w:sz w:val="16"/>
              </w:rPr>
              <w:t> </w:t>
            </w:r>
            <w:r>
              <w:rPr>
                <w:sz w:val="16"/>
              </w:rPr>
              <w:t>practice</w:t>
            </w:r>
          </w:p>
        </w:tc>
        <w:tc>
          <w:tcPr>
            <w:tcW w:w="7038" w:type="dxa"/>
            <w:tcBorders>
              <w:bottom w:val="single" w:sz="6" w:space="0" w:color="BEBEBE"/>
            </w:tcBorders>
          </w:tcPr>
          <w:p>
            <w:pPr>
              <w:pStyle w:val="TableParagraph"/>
              <w:numPr>
                <w:ilvl w:val="0"/>
                <w:numId w:val="211"/>
              </w:numPr>
              <w:tabs>
                <w:tab w:pos="279" w:val="left" w:leader="none"/>
              </w:tabs>
              <w:spacing w:line="276" w:lineRule="auto" w:before="1" w:after="0"/>
              <w:ind w:left="278" w:right="312" w:hanging="171"/>
              <w:jc w:val="left"/>
              <w:rPr>
                <w:sz w:val="18"/>
              </w:rPr>
            </w:pPr>
            <w:r>
              <w:rPr>
                <w:sz w:val="18"/>
              </w:rPr>
              <w:t>What advice would you give your GP and/ or other providers within the</w:t>
            </w:r>
            <w:r>
              <w:rPr>
                <w:spacing w:val="1"/>
                <w:sz w:val="18"/>
              </w:rPr>
              <w:t> </w:t>
            </w:r>
            <w:r>
              <w:rPr>
                <w:sz w:val="18"/>
              </w:rPr>
              <w:t>practice</w:t>
            </w:r>
            <w:r>
              <w:rPr>
                <w:spacing w:val="-3"/>
                <w:sz w:val="18"/>
              </w:rPr>
              <w:t> </w:t>
            </w:r>
            <w:r>
              <w:rPr>
                <w:sz w:val="18"/>
              </w:rPr>
              <w:t>about</w:t>
            </w:r>
            <w:r>
              <w:rPr>
                <w:spacing w:val="-4"/>
                <w:sz w:val="18"/>
              </w:rPr>
              <w:t> </w:t>
            </w:r>
            <w:r>
              <w:rPr>
                <w:sz w:val="18"/>
              </w:rPr>
              <w:t>how</w:t>
            </w:r>
            <w:r>
              <w:rPr>
                <w:spacing w:val="-4"/>
                <w:sz w:val="18"/>
              </w:rPr>
              <w:t> </w:t>
            </w:r>
            <w:r>
              <w:rPr>
                <w:sz w:val="18"/>
              </w:rPr>
              <w:t>to</w:t>
            </w:r>
            <w:r>
              <w:rPr>
                <w:spacing w:val="-3"/>
                <w:sz w:val="18"/>
              </w:rPr>
              <w:t> </w:t>
            </w:r>
            <w:r>
              <w:rPr>
                <w:sz w:val="18"/>
              </w:rPr>
              <w:t>be</w:t>
            </w:r>
            <w:r>
              <w:rPr>
                <w:spacing w:val="-4"/>
                <w:sz w:val="18"/>
              </w:rPr>
              <w:t> </w:t>
            </w:r>
            <w:r>
              <w:rPr>
                <w:sz w:val="18"/>
              </w:rPr>
              <w:t>most</w:t>
            </w:r>
            <w:r>
              <w:rPr>
                <w:spacing w:val="-4"/>
                <w:sz w:val="18"/>
              </w:rPr>
              <w:t> </w:t>
            </w:r>
            <w:r>
              <w:rPr>
                <w:sz w:val="18"/>
              </w:rPr>
              <w:t>helpful</w:t>
            </w:r>
            <w:r>
              <w:rPr>
                <w:spacing w:val="-3"/>
                <w:sz w:val="18"/>
              </w:rPr>
              <w:t> </w:t>
            </w:r>
            <w:r>
              <w:rPr>
                <w:sz w:val="18"/>
              </w:rPr>
              <w:t>to</w:t>
            </w:r>
            <w:r>
              <w:rPr>
                <w:spacing w:val="-2"/>
                <w:sz w:val="18"/>
              </w:rPr>
              <w:t> </w:t>
            </w:r>
            <w:r>
              <w:rPr>
                <w:sz w:val="18"/>
              </w:rPr>
              <w:t>you</w:t>
            </w:r>
            <w:r>
              <w:rPr>
                <w:spacing w:val="-2"/>
                <w:sz w:val="18"/>
              </w:rPr>
              <w:t> </w:t>
            </w:r>
            <w:r>
              <w:rPr>
                <w:sz w:val="18"/>
              </w:rPr>
              <w:t>to</w:t>
            </w:r>
            <w:r>
              <w:rPr>
                <w:spacing w:val="-3"/>
                <w:sz w:val="18"/>
              </w:rPr>
              <w:t> </w:t>
            </w:r>
            <w:r>
              <w:rPr>
                <w:sz w:val="18"/>
              </w:rPr>
              <w:t>manage</w:t>
            </w:r>
            <w:r>
              <w:rPr>
                <w:spacing w:val="-2"/>
                <w:sz w:val="18"/>
              </w:rPr>
              <w:t> </w:t>
            </w:r>
            <w:r>
              <w:rPr>
                <w:sz w:val="18"/>
              </w:rPr>
              <w:t>or</w:t>
            </w:r>
            <w:r>
              <w:rPr>
                <w:spacing w:val="-2"/>
                <w:sz w:val="18"/>
              </w:rPr>
              <w:t> </w:t>
            </w:r>
            <w:r>
              <w:rPr>
                <w:sz w:val="18"/>
              </w:rPr>
              <w:t>improve</w:t>
            </w:r>
            <w:r>
              <w:rPr>
                <w:spacing w:val="-2"/>
                <w:sz w:val="18"/>
              </w:rPr>
              <w:t> </w:t>
            </w:r>
            <w:r>
              <w:rPr>
                <w:sz w:val="18"/>
              </w:rPr>
              <w:t>your</w:t>
            </w:r>
            <w:r>
              <w:rPr>
                <w:spacing w:val="-47"/>
                <w:sz w:val="18"/>
              </w:rPr>
              <w:t> </w:t>
            </w:r>
            <w:r>
              <w:rPr>
                <w:sz w:val="18"/>
              </w:rPr>
              <w:t>health?</w:t>
            </w:r>
          </w:p>
        </w:tc>
      </w:tr>
      <w:tr>
        <w:trPr>
          <w:trHeight w:val="705" w:hRule="atLeast"/>
        </w:trPr>
        <w:tc>
          <w:tcPr>
            <w:tcW w:w="1980" w:type="dxa"/>
            <w:tcBorders>
              <w:top w:val="single" w:sz="6" w:space="0" w:color="BEBEBE"/>
            </w:tcBorders>
          </w:tcPr>
          <w:p>
            <w:pPr>
              <w:pStyle w:val="TableParagraph"/>
              <w:spacing w:line="276" w:lineRule="auto"/>
              <w:ind w:left="107" w:right="446"/>
              <w:rPr>
                <w:sz w:val="16"/>
              </w:rPr>
            </w:pPr>
            <w:r>
              <w:rPr>
                <w:sz w:val="16"/>
              </w:rPr>
              <w:t>Message for other</w:t>
            </w:r>
            <w:r>
              <w:rPr>
                <w:spacing w:val="-42"/>
                <w:sz w:val="16"/>
              </w:rPr>
              <w:t> </w:t>
            </w:r>
            <w:r>
              <w:rPr>
                <w:sz w:val="16"/>
              </w:rPr>
              <w:t>patients</w:t>
            </w:r>
          </w:p>
        </w:tc>
        <w:tc>
          <w:tcPr>
            <w:tcW w:w="7038" w:type="dxa"/>
            <w:tcBorders>
              <w:top w:val="single" w:sz="6" w:space="0" w:color="BEBEBE"/>
            </w:tcBorders>
          </w:tcPr>
          <w:p>
            <w:pPr>
              <w:pStyle w:val="TableParagraph"/>
              <w:numPr>
                <w:ilvl w:val="0"/>
                <w:numId w:val="212"/>
              </w:numPr>
              <w:tabs>
                <w:tab w:pos="279" w:val="left" w:leader="none"/>
              </w:tabs>
              <w:spacing w:line="276" w:lineRule="auto" w:before="0" w:after="0"/>
              <w:ind w:left="278" w:right="672" w:hanging="171"/>
              <w:jc w:val="left"/>
              <w:rPr>
                <w:sz w:val="18"/>
              </w:rPr>
            </w:pPr>
            <w:r>
              <w:rPr>
                <w:b/>
                <w:sz w:val="18"/>
              </w:rPr>
              <w:t>(R4/R5)</w:t>
            </w:r>
            <w:r>
              <w:rPr>
                <w:b/>
                <w:spacing w:val="-2"/>
                <w:sz w:val="18"/>
              </w:rPr>
              <w:t> </w:t>
            </w:r>
            <w:r>
              <w:rPr>
                <w:sz w:val="18"/>
              </w:rPr>
              <w:t>Would</w:t>
            </w:r>
            <w:r>
              <w:rPr>
                <w:spacing w:val="-3"/>
                <w:sz w:val="18"/>
              </w:rPr>
              <w:t> </w:t>
            </w:r>
            <w:r>
              <w:rPr>
                <w:sz w:val="18"/>
              </w:rPr>
              <w:t>you</w:t>
            </w:r>
            <w:r>
              <w:rPr>
                <w:spacing w:val="-2"/>
                <w:sz w:val="18"/>
              </w:rPr>
              <w:t> </w:t>
            </w:r>
            <w:r>
              <w:rPr>
                <w:sz w:val="18"/>
              </w:rPr>
              <w:t>recommend</w:t>
            </w:r>
            <w:r>
              <w:rPr>
                <w:spacing w:val="-3"/>
                <w:sz w:val="18"/>
              </w:rPr>
              <w:t> </w:t>
            </w:r>
            <w:r>
              <w:rPr>
                <w:sz w:val="18"/>
              </w:rPr>
              <w:t>enrolling</w:t>
            </w:r>
            <w:r>
              <w:rPr>
                <w:spacing w:val="-5"/>
                <w:sz w:val="18"/>
              </w:rPr>
              <w:t> </w:t>
            </w:r>
            <w:r>
              <w:rPr>
                <w:sz w:val="18"/>
              </w:rPr>
              <w:t>in</w:t>
            </w:r>
            <w:r>
              <w:rPr>
                <w:spacing w:val="-4"/>
                <w:sz w:val="18"/>
              </w:rPr>
              <w:t> </w:t>
            </w:r>
            <w:r>
              <w:rPr>
                <w:sz w:val="18"/>
              </w:rPr>
              <w:t>HCH</w:t>
            </w:r>
            <w:r>
              <w:rPr>
                <w:spacing w:val="-3"/>
                <w:sz w:val="18"/>
              </w:rPr>
              <w:t> </w:t>
            </w:r>
            <w:r>
              <w:rPr>
                <w:sz w:val="18"/>
              </w:rPr>
              <w:t>to</w:t>
            </w:r>
            <w:r>
              <w:rPr>
                <w:spacing w:val="-2"/>
                <w:sz w:val="18"/>
              </w:rPr>
              <w:t> </w:t>
            </w:r>
            <w:r>
              <w:rPr>
                <w:sz w:val="18"/>
              </w:rPr>
              <w:t>other</w:t>
            </w:r>
            <w:r>
              <w:rPr>
                <w:spacing w:val="-2"/>
                <w:sz w:val="18"/>
              </w:rPr>
              <w:t> </w:t>
            </w:r>
            <w:r>
              <w:rPr>
                <w:sz w:val="18"/>
              </w:rPr>
              <w:t>patients</w:t>
            </w:r>
            <w:r>
              <w:rPr>
                <w:spacing w:val="-3"/>
                <w:sz w:val="18"/>
              </w:rPr>
              <w:t> </w:t>
            </w:r>
            <w:r>
              <w:rPr>
                <w:sz w:val="18"/>
              </w:rPr>
              <w:t>with</w:t>
            </w:r>
            <w:r>
              <w:rPr>
                <w:spacing w:val="-47"/>
                <w:sz w:val="18"/>
              </w:rPr>
              <w:t> </w:t>
            </w:r>
            <w:r>
              <w:rPr>
                <w:sz w:val="18"/>
              </w:rPr>
              <w:t>conditions</w:t>
            </w:r>
            <w:r>
              <w:rPr>
                <w:spacing w:val="-1"/>
                <w:sz w:val="18"/>
              </w:rPr>
              <w:t> </w:t>
            </w:r>
            <w:r>
              <w:rPr>
                <w:sz w:val="18"/>
              </w:rPr>
              <w:t>similar</w:t>
            </w:r>
            <w:r>
              <w:rPr>
                <w:spacing w:val="-1"/>
                <w:sz w:val="18"/>
              </w:rPr>
              <w:t> </w:t>
            </w:r>
            <w:r>
              <w:rPr>
                <w:sz w:val="18"/>
              </w:rPr>
              <w:t>to</w:t>
            </w:r>
            <w:r>
              <w:rPr>
                <w:spacing w:val="-1"/>
                <w:sz w:val="18"/>
              </w:rPr>
              <w:t> </w:t>
            </w:r>
            <w:r>
              <w:rPr>
                <w:sz w:val="18"/>
              </w:rPr>
              <w:t>yours?</w:t>
            </w:r>
            <w:r>
              <w:rPr>
                <w:spacing w:val="-4"/>
                <w:sz w:val="18"/>
              </w:rPr>
              <w:t> </w:t>
            </w:r>
            <w:r>
              <w:rPr>
                <w:sz w:val="18"/>
              </w:rPr>
              <w:t>If</w:t>
            </w:r>
            <w:r>
              <w:rPr>
                <w:spacing w:val="-2"/>
                <w:sz w:val="18"/>
              </w:rPr>
              <w:t> </w:t>
            </w:r>
            <w:r>
              <w:rPr>
                <w:sz w:val="18"/>
              </w:rPr>
              <w:t>yes,</w:t>
            </w:r>
            <w:r>
              <w:rPr>
                <w:spacing w:val="-4"/>
                <w:sz w:val="18"/>
              </w:rPr>
              <w:t> </w:t>
            </w:r>
            <w:r>
              <w:rPr>
                <w:sz w:val="18"/>
              </w:rPr>
              <w:t>on what</w:t>
            </w:r>
            <w:r>
              <w:rPr>
                <w:spacing w:val="-3"/>
                <w:sz w:val="18"/>
              </w:rPr>
              <w:t> </w:t>
            </w:r>
            <w:r>
              <w:rPr>
                <w:sz w:val="18"/>
              </w:rPr>
              <w:t>basis?</w:t>
            </w:r>
            <w:r>
              <w:rPr>
                <w:spacing w:val="-4"/>
                <w:sz w:val="18"/>
              </w:rPr>
              <w:t> </w:t>
            </w:r>
            <w:r>
              <w:rPr>
                <w:sz w:val="18"/>
              </w:rPr>
              <w:t>If</w:t>
            </w:r>
            <w:r>
              <w:rPr>
                <w:spacing w:val="-2"/>
                <w:sz w:val="18"/>
              </w:rPr>
              <w:t> </w:t>
            </w:r>
            <w:r>
              <w:rPr>
                <w:sz w:val="18"/>
              </w:rPr>
              <w:t>not,</w:t>
            </w:r>
            <w:r>
              <w:rPr>
                <w:spacing w:val="-3"/>
                <w:sz w:val="18"/>
              </w:rPr>
              <w:t> </w:t>
            </w:r>
            <w:r>
              <w:rPr>
                <w:sz w:val="18"/>
              </w:rPr>
              <w:t>why not?</w:t>
            </w:r>
          </w:p>
        </w:tc>
      </w:tr>
      <w:tr>
        <w:trPr>
          <w:trHeight w:val="455" w:hRule="atLeast"/>
        </w:trPr>
        <w:tc>
          <w:tcPr>
            <w:tcW w:w="1980" w:type="dxa"/>
          </w:tcPr>
          <w:p>
            <w:pPr>
              <w:pStyle w:val="TableParagraph"/>
              <w:spacing w:line="196" w:lineRule="exact"/>
              <w:ind w:left="107"/>
              <w:rPr>
                <w:sz w:val="16"/>
              </w:rPr>
            </w:pPr>
            <w:r>
              <w:rPr>
                <w:sz w:val="16"/>
              </w:rPr>
              <w:t>Anything</w:t>
            </w:r>
            <w:r>
              <w:rPr>
                <w:spacing w:val="-3"/>
                <w:sz w:val="16"/>
              </w:rPr>
              <w:t> </w:t>
            </w:r>
            <w:r>
              <w:rPr>
                <w:sz w:val="16"/>
              </w:rPr>
              <w:t>else?</w:t>
            </w:r>
          </w:p>
        </w:tc>
        <w:tc>
          <w:tcPr>
            <w:tcW w:w="7038" w:type="dxa"/>
          </w:tcPr>
          <w:p>
            <w:pPr>
              <w:pStyle w:val="TableParagraph"/>
              <w:numPr>
                <w:ilvl w:val="0"/>
                <w:numId w:val="213"/>
              </w:numPr>
              <w:tabs>
                <w:tab w:pos="279" w:val="left" w:leader="none"/>
              </w:tabs>
              <w:spacing w:line="219" w:lineRule="exact" w:before="0" w:after="0"/>
              <w:ind w:left="278" w:right="0" w:hanging="172"/>
              <w:jc w:val="left"/>
              <w:rPr>
                <w:sz w:val="18"/>
              </w:rPr>
            </w:pPr>
            <w:r>
              <w:rPr>
                <w:sz w:val="18"/>
              </w:rPr>
              <w:t>Is</w:t>
            </w:r>
            <w:r>
              <w:rPr>
                <w:spacing w:val="-3"/>
                <w:sz w:val="18"/>
              </w:rPr>
              <w:t> </w:t>
            </w:r>
            <w:r>
              <w:rPr>
                <w:sz w:val="18"/>
              </w:rPr>
              <w:t>there</w:t>
            </w:r>
            <w:r>
              <w:rPr>
                <w:spacing w:val="-2"/>
                <w:sz w:val="18"/>
              </w:rPr>
              <w:t> </w:t>
            </w:r>
            <w:r>
              <w:rPr>
                <w:sz w:val="18"/>
              </w:rPr>
              <w:t>anything</w:t>
            </w:r>
            <w:r>
              <w:rPr>
                <w:spacing w:val="-4"/>
                <w:sz w:val="18"/>
              </w:rPr>
              <w:t> </w:t>
            </w:r>
            <w:r>
              <w:rPr>
                <w:sz w:val="18"/>
              </w:rPr>
              <w:t>else</w:t>
            </w:r>
            <w:r>
              <w:rPr>
                <w:spacing w:val="-2"/>
                <w:sz w:val="18"/>
              </w:rPr>
              <w:t> </w:t>
            </w:r>
            <w:r>
              <w:rPr>
                <w:sz w:val="18"/>
              </w:rPr>
              <w:t>that</w:t>
            </w:r>
            <w:r>
              <w:rPr>
                <w:spacing w:val="-4"/>
                <w:sz w:val="18"/>
              </w:rPr>
              <w:t> </w:t>
            </w:r>
            <w:r>
              <w:rPr>
                <w:sz w:val="18"/>
              </w:rPr>
              <w:t>you</w:t>
            </w:r>
            <w:r>
              <w:rPr>
                <w:spacing w:val="-2"/>
                <w:sz w:val="18"/>
              </w:rPr>
              <w:t> </w:t>
            </w:r>
            <w:r>
              <w:rPr>
                <w:sz w:val="18"/>
              </w:rPr>
              <w:t>would</w:t>
            </w:r>
            <w:r>
              <w:rPr>
                <w:spacing w:val="-2"/>
                <w:sz w:val="18"/>
              </w:rPr>
              <w:t> </w:t>
            </w:r>
            <w:r>
              <w:rPr>
                <w:sz w:val="18"/>
              </w:rPr>
              <w:t>like</w:t>
            </w:r>
            <w:r>
              <w:rPr>
                <w:spacing w:val="-2"/>
                <w:sz w:val="18"/>
              </w:rPr>
              <w:t> </w:t>
            </w:r>
            <w:r>
              <w:rPr>
                <w:sz w:val="18"/>
              </w:rPr>
              <w:t>to</w:t>
            </w:r>
            <w:r>
              <w:rPr>
                <w:spacing w:val="-3"/>
                <w:sz w:val="18"/>
              </w:rPr>
              <w:t> </w:t>
            </w:r>
            <w:r>
              <w:rPr>
                <w:sz w:val="18"/>
              </w:rPr>
              <w:t>mention?</w:t>
            </w:r>
          </w:p>
        </w:tc>
      </w:tr>
    </w:tbl>
    <w:p>
      <w:pPr>
        <w:spacing w:line="276" w:lineRule="auto" w:before="5"/>
        <w:ind w:left="1140" w:right="1606" w:firstLine="0"/>
        <w:jc w:val="left"/>
        <w:rPr>
          <w:i/>
          <w:sz w:val="14"/>
        </w:rPr>
      </w:pPr>
      <w:r>
        <w:rPr>
          <w:i/>
          <w:sz w:val="14"/>
        </w:rPr>
        <w:t>*</w:t>
      </w:r>
      <w:r>
        <w:rPr>
          <w:i/>
          <w:spacing w:val="-3"/>
          <w:sz w:val="14"/>
        </w:rPr>
        <w:t> </w:t>
      </w:r>
      <w:r>
        <w:rPr>
          <w:i/>
          <w:sz w:val="14"/>
        </w:rPr>
        <w:t>‘Patient’</w:t>
      </w:r>
      <w:r>
        <w:rPr>
          <w:i/>
          <w:spacing w:val="-4"/>
          <w:sz w:val="14"/>
        </w:rPr>
        <w:t> </w:t>
      </w:r>
      <w:r>
        <w:rPr>
          <w:i/>
          <w:sz w:val="14"/>
        </w:rPr>
        <w:t>includes</w:t>
      </w:r>
      <w:r>
        <w:rPr>
          <w:i/>
          <w:spacing w:val="-2"/>
          <w:sz w:val="14"/>
        </w:rPr>
        <w:t> </w:t>
      </w:r>
      <w:r>
        <w:rPr>
          <w:i/>
          <w:sz w:val="14"/>
        </w:rPr>
        <w:t>carers</w:t>
      </w:r>
      <w:r>
        <w:rPr>
          <w:i/>
          <w:spacing w:val="-3"/>
          <w:sz w:val="14"/>
        </w:rPr>
        <w:t> </w:t>
      </w:r>
      <w:r>
        <w:rPr>
          <w:i/>
          <w:sz w:val="14"/>
        </w:rPr>
        <w:t>and/</w:t>
      </w:r>
      <w:r>
        <w:rPr>
          <w:i/>
          <w:spacing w:val="-4"/>
          <w:sz w:val="14"/>
        </w:rPr>
        <w:t> </w:t>
      </w:r>
      <w:r>
        <w:rPr>
          <w:i/>
          <w:sz w:val="14"/>
        </w:rPr>
        <w:t>or</w:t>
      </w:r>
      <w:r>
        <w:rPr>
          <w:i/>
          <w:spacing w:val="-4"/>
          <w:sz w:val="14"/>
        </w:rPr>
        <w:t> </w:t>
      </w:r>
      <w:r>
        <w:rPr>
          <w:i/>
          <w:sz w:val="14"/>
        </w:rPr>
        <w:t>family</w:t>
      </w:r>
      <w:r>
        <w:rPr>
          <w:i/>
          <w:spacing w:val="-2"/>
          <w:sz w:val="14"/>
        </w:rPr>
        <w:t> </w:t>
      </w:r>
      <w:r>
        <w:rPr>
          <w:i/>
          <w:sz w:val="14"/>
        </w:rPr>
        <w:t>members</w:t>
      </w:r>
      <w:r>
        <w:rPr>
          <w:i/>
          <w:spacing w:val="-3"/>
          <w:sz w:val="14"/>
        </w:rPr>
        <w:t> </w:t>
      </w:r>
      <w:r>
        <w:rPr>
          <w:i/>
          <w:sz w:val="14"/>
        </w:rPr>
        <w:t>of</w:t>
      </w:r>
      <w:r>
        <w:rPr>
          <w:i/>
          <w:spacing w:val="-1"/>
          <w:sz w:val="14"/>
        </w:rPr>
        <w:t> </w:t>
      </w:r>
      <w:r>
        <w:rPr>
          <w:i/>
          <w:sz w:val="14"/>
        </w:rPr>
        <w:t>enrolled</w:t>
      </w:r>
      <w:r>
        <w:rPr>
          <w:i/>
          <w:spacing w:val="-2"/>
          <w:sz w:val="14"/>
        </w:rPr>
        <w:t> </w:t>
      </w:r>
      <w:r>
        <w:rPr>
          <w:i/>
          <w:sz w:val="14"/>
        </w:rPr>
        <w:t>patients</w:t>
      </w:r>
      <w:r>
        <w:rPr>
          <w:i/>
          <w:spacing w:val="-4"/>
          <w:sz w:val="14"/>
        </w:rPr>
        <w:t> </w:t>
      </w:r>
      <w:r>
        <w:rPr>
          <w:i/>
          <w:sz w:val="14"/>
        </w:rPr>
        <w:t>that</w:t>
      </w:r>
      <w:r>
        <w:rPr>
          <w:i/>
          <w:spacing w:val="-1"/>
          <w:sz w:val="14"/>
        </w:rPr>
        <w:t> </w:t>
      </w:r>
      <w:r>
        <w:rPr>
          <w:i/>
          <w:sz w:val="14"/>
        </w:rPr>
        <w:t>may</w:t>
      </w:r>
      <w:r>
        <w:rPr>
          <w:i/>
          <w:spacing w:val="-5"/>
          <w:sz w:val="14"/>
        </w:rPr>
        <w:t> </w:t>
      </w:r>
      <w:r>
        <w:rPr>
          <w:i/>
          <w:sz w:val="14"/>
        </w:rPr>
        <w:t>be</w:t>
      </w:r>
      <w:r>
        <w:rPr>
          <w:i/>
          <w:spacing w:val="-2"/>
          <w:sz w:val="14"/>
        </w:rPr>
        <w:t> </w:t>
      </w:r>
      <w:r>
        <w:rPr>
          <w:i/>
          <w:sz w:val="14"/>
        </w:rPr>
        <w:t>involved</w:t>
      </w:r>
      <w:r>
        <w:rPr>
          <w:i/>
          <w:spacing w:val="-2"/>
          <w:sz w:val="14"/>
        </w:rPr>
        <w:t> </w:t>
      </w:r>
      <w:r>
        <w:rPr>
          <w:i/>
          <w:sz w:val="14"/>
        </w:rPr>
        <w:t>in</w:t>
      </w:r>
      <w:r>
        <w:rPr>
          <w:i/>
          <w:spacing w:val="-5"/>
          <w:sz w:val="14"/>
        </w:rPr>
        <w:t> </w:t>
      </w:r>
      <w:r>
        <w:rPr>
          <w:i/>
          <w:sz w:val="14"/>
        </w:rPr>
        <w:t>interviews</w:t>
      </w:r>
      <w:r>
        <w:rPr>
          <w:i/>
          <w:spacing w:val="-2"/>
          <w:sz w:val="14"/>
        </w:rPr>
        <w:t> </w:t>
      </w:r>
      <w:r>
        <w:rPr>
          <w:i/>
          <w:sz w:val="14"/>
        </w:rPr>
        <w:t>as</w:t>
      </w:r>
      <w:r>
        <w:rPr>
          <w:i/>
          <w:spacing w:val="-2"/>
          <w:sz w:val="14"/>
        </w:rPr>
        <w:t> </w:t>
      </w:r>
      <w:r>
        <w:rPr>
          <w:i/>
          <w:sz w:val="14"/>
        </w:rPr>
        <w:t>a</w:t>
      </w:r>
      <w:r>
        <w:rPr>
          <w:i/>
          <w:spacing w:val="-3"/>
          <w:sz w:val="14"/>
        </w:rPr>
        <w:t> </w:t>
      </w:r>
      <w:r>
        <w:rPr>
          <w:i/>
          <w:sz w:val="14"/>
        </w:rPr>
        <w:t>proxy</w:t>
      </w:r>
      <w:r>
        <w:rPr>
          <w:i/>
          <w:spacing w:val="-5"/>
          <w:sz w:val="14"/>
        </w:rPr>
        <w:t> </w:t>
      </w:r>
      <w:r>
        <w:rPr>
          <w:i/>
          <w:sz w:val="14"/>
        </w:rPr>
        <w:t>for</w:t>
      </w:r>
      <w:r>
        <w:rPr>
          <w:i/>
          <w:spacing w:val="-4"/>
          <w:sz w:val="14"/>
        </w:rPr>
        <w:t> </w:t>
      </w:r>
      <w:r>
        <w:rPr>
          <w:i/>
          <w:sz w:val="14"/>
        </w:rPr>
        <w:t>the</w:t>
      </w:r>
      <w:r>
        <w:rPr>
          <w:i/>
          <w:spacing w:val="-2"/>
          <w:sz w:val="14"/>
        </w:rPr>
        <w:t> </w:t>
      </w:r>
      <w:r>
        <w:rPr>
          <w:i/>
          <w:sz w:val="14"/>
        </w:rPr>
        <w:t>patient,</w:t>
      </w:r>
      <w:r>
        <w:rPr>
          <w:i/>
          <w:spacing w:val="1"/>
          <w:sz w:val="14"/>
        </w:rPr>
        <w:t> </w:t>
      </w:r>
      <w:r>
        <w:rPr>
          <w:i/>
          <w:sz w:val="14"/>
        </w:rPr>
        <w:t>or</w:t>
      </w:r>
      <w:r>
        <w:rPr>
          <w:i/>
          <w:spacing w:val="-3"/>
          <w:sz w:val="14"/>
        </w:rPr>
        <w:t> </w:t>
      </w:r>
      <w:r>
        <w:rPr>
          <w:i/>
          <w:sz w:val="14"/>
        </w:rPr>
        <w:t>to</w:t>
      </w:r>
      <w:r>
        <w:rPr>
          <w:i/>
          <w:spacing w:val="-1"/>
          <w:sz w:val="14"/>
        </w:rPr>
        <w:t> </w:t>
      </w:r>
      <w:r>
        <w:rPr>
          <w:i/>
          <w:sz w:val="14"/>
        </w:rPr>
        <w:t>voice their</w:t>
      </w:r>
      <w:r>
        <w:rPr>
          <w:i/>
          <w:spacing w:val="-2"/>
          <w:sz w:val="14"/>
        </w:rPr>
        <w:t> </w:t>
      </w:r>
      <w:r>
        <w:rPr>
          <w:i/>
          <w:sz w:val="14"/>
        </w:rPr>
        <w:t>own</w:t>
      </w:r>
      <w:r>
        <w:rPr>
          <w:i/>
          <w:spacing w:val="-2"/>
          <w:sz w:val="14"/>
        </w:rPr>
        <w:t> </w:t>
      </w:r>
      <w:r>
        <w:rPr>
          <w:i/>
          <w:sz w:val="14"/>
        </w:rPr>
        <w:t>views.</w:t>
      </w:r>
    </w:p>
    <w:p>
      <w:pPr>
        <w:pStyle w:val="BodyText"/>
        <w:spacing w:before="1"/>
        <w:rPr>
          <w:i/>
          <w:sz w:val="16"/>
        </w:rPr>
      </w:pPr>
    </w:p>
    <w:p>
      <w:pPr>
        <w:pStyle w:val="Heading2"/>
        <w:ind w:left="1140"/>
      </w:pPr>
      <w:bookmarkStart w:name="_bookmark90" w:id="91"/>
      <w:bookmarkEnd w:id="91"/>
      <w:r>
        <w:rPr/>
      </w:r>
      <w:r>
        <w:rPr>
          <w:color w:val="003C79"/>
        </w:rPr>
        <w:t>Topic</w:t>
      </w:r>
      <w:r>
        <w:rPr>
          <w:color w:val="003C79"/>
          <w:spacing w:val="-1"/>
        </w:rPr>
        <w:t> </w:t>
      </w:r>
      <w:r>
        <w:rPr>
          <w:color w:val="003C79"/>
        </w:rPr>
        <w:t>guide</w:t>
      </w:r>
      <w:r>
        <w:rPr>
          <w:color w:val="003C79"/>
          <w:spacing w:val="-4"/>
        </w:rPr>
        <w:t> </w:t>
      </w:r>
      <w:r>
        <w:rPr>
          <w:color w:val="003C79"/>
        </w:rPr>
        <w:t>–</w:t>
      </w:r>
      <w:r>
        <w:rPr>
          <w:color w:val="003C79"/>
          <w:spacing w:val="-2"/>
        </w:rPr>
        <w:t> </w:t>
      </w:r>
      <w:r>
        <w:rPr>
          <w:color w:val="003C79"/>
        </w:rPr>
        <w:t>Patient*</w:t>
      </w:r>
      <w:r>
        <w:rPr>
          <w:color w:val="003C79"/>
          <w:spacing w:val="-6"/>
        </w:rPr>
        <w:t> </w:t>
      </w:r>
      <w:r>
        <w:rPr>
          <w:color w:val="003C79"/>
        </w:rPr>
        <w:t>focus groups</w:t>
      </w:r>
    </w:p>
    <w:p>
      <w:pPr>
        <w:pStyle w:val="BodyText"/>
        <w:spacing w:before="3"/>
        <w:rPr>
          <w:sz w:val="21"/>
        </w:rPr>
      </w:pPr>
    </w:p>
    <w:tbl>
      <w:tblPr>
        <w:tblW w:w="0" w:type="auto"/>
        <w:jc w:val="left"/>
        <w:tblInd w:w="11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980"/>
        <w:gridCol w:w="7038"/>
      </w:tblGrid>
      <w:tr>
        <w:trPr>
          <w:trHeight w:val="196" w:hRule="atLeast"/>
        </w:trPr>
        <w:tc>
          <w:tcPr>
            <w:tcW w:w="1980" w:type="dxa"/>
            <w:shd w:val="clear" w:color="auto" w:fill="003C79"/>
          </w:tcPr>
          <w:p>
            <w:pPr>
              <w:pStyle w:val="TableParagraph"/>
              <w:spacing w:line="176" w:lineRule="exact"/>
              <w:ind w:left="107"/>
              <w:rPr>
                <w:b/>
                <w:sz w:val="16"/>
              </w:rPr>
            </w:pPr>
            <w:r>
              <w:rPr>
                <w:b/>
                <w:color w:val="FFFFFF"/>
                <w:sz w:val="16"/>
              </w:rPr>
              <w:t>Topic</w:t>
            </w:r>
          </w:p>
        </w:tc>
        <w:tc>
          <w:tcPr>
            <w:tcW w:w="7038" w:type="dxa"/>
            <w:shd w:val="clear" w:color="auto" w:fill="003C79"/>
          </w:tcPr>
          <w:p>
            <w:pPr>
              <w:pStyle w:val="TableParagraph"/>
              <w:spacing w:line="176" w:lineRule="exact"/>
              <w:ind w:left="107"/>
              <w:rPr>
                <w:b/>
                <w:sz w:val="16"/>
              </w:rPr>
            </w:pPr>
            <w:r>
              <w:rPr>
                <w:b/>
                <w:color w:val="FFFFFF"/>
                <w:sz w:val="16"/>
              </w:rPr>
              <w:t>Question</w:t>
            </w:r>
          </w:p>
        </w:tc>
      </w:tr>
      <w:tr>
        <w:trPr>
          <w:trHeight w:val="760" w:hRule="atLeast"/>
        </w:trPr>
        <w:tc>
          <w:tcPr>
            <w:tcW w:w="1980" w:type="dxa"/>
          </w:tcPr>
          <w:p>
            <w:pPr>
              <w:pStyle w:val="TableParagraph"/>
              <w:spacing w:line="196" w:lineRule="exact"/>
              <w:ind w:left="107"/>
              <w:rPr>
                <w:sz w:val="16"/>
              </w:rPr>
            </w:pPr>
            <w:r>
              <w:rPr>
                <w:sz w:val="16"/>
              </w:rPr>
              <w:t>Introduction</w:t>
            </w:r>
          </w:p>
        </w:tc>
        <w:tc>
          <w:tcPr>
            <w:tcW w:w="7038" w:type="dxa"/>
          </w:tcPr>
          <w:p>
            <w:pPr>
              <w:pStyle w:val="TableParagraph"/>
              <w:numPr>
                <w:ilvl w:val="0"/>
                <w:numId w:val="214"/>
              </w:numPr>
              <w:tabs>
                <w:tab w:pos="279" w:val="left" w:leader="none"/>
              </w:tabs>
              <w:spacing w:line="219" w:lineRule="exact" w:before="0" w:after="0"/>
              <w:ind w:left="278" w:right="0" w:hanging="172"/>
              <w:jc w:val="left"/>
              <w:rPr>
                <w:sz w:val="18"/>
              </w:rPr>
            </w:pPr>
            <w:r>
              <w:rPr>
                <w:sz w:val="18"/>
              </w:rPr>
              <w:t>Introduction</w:t>
            </w:r>
            <w:r>
              <w:rPr>
                <w:spacing w:val="-7"/>
                <w:sz w:val="18"/>
              </w:rPr>
              <w:t> </w:t>
            </w:r>
            <w:r>
              <w:rPr>
                <w:sz w:val="18"/>
              </w:rPr>
              <w:t>of</w:t>
            </w:r>
            <w:r>
              <w:rPr>
                <w:spacing w:val="-4"/>
                <w:sz w:val="18"/>
              </w:rPr>
              <w:t> </w:t>
            </w:r>
            <w:r>
              <w:rPr>
                <w:sz w:val="18"/>
              </w:rPr>
              <w:t>researcher</w:t>
            </w:r>
            <w:r>
              <w:rPr>
                <w:spacing w:val="-3"/>
                <w:sz w:val="18"/>
              </w:rPr>
              <w:t> </w:t>
            </w:r>
            <w:r>
              <w:rPr>
                <w:sz w:val="18"/>
              </w:rPr>
              <w:t>and</w:t>
            </w:r>
            <w:r>
              <w:rPr>
                <w:spacing w:val="-4"/>
                <w:sz w:val="18"/>
              </w:rPr>
              <w:t> </w:t>
            </w:r>
            <w:r>
              <w:rPr>
                <w:sz w:val="18"/>
              </w:rPr>
              <w:t>describe</w:t>
            </w:r>
            <w:r>
              <w:rPr>
                <w:spacing w:val="-3"/>
                <w:sz w:val="18"/>
              </w:rPr>
              <w:t> </w:t>
            </w:r>
            <w:r>
              <w:rPr>
                <w:sz w:val="18"/>
              </w:rPr>
              <w:t>the</w:t>
            </w:r>
            <w:r>
              <w:rPr>
                <w:spacing w:val="-4"/>
                <w:sz w:val="18"/>
              </w:rPr>
              <w:t> </w:t>
            </w:r>
            <w:r>
              <w:rPr>
                <w:sz w:val="18"/>
              </w:rPr>
              <w:t>project</w:t>
            </w:r>
            <w:r>
              <w:rPr>
                <w:spacing w:val="-5"/>
                <w:sz w:val="18"/>
              </w:rPr>
              <w:t> </w:t>
            </w:r>
            <w:r>
              <w:rPr>
                <w:sz w:val="18"/>
              </w:rPr>
              <w:t>and</w:t>
            </w:r>
            <w:r>
              <w:rPr>
                <w:spacing w:val="-4"/>
                <w:sz w:val="18"/>
              </w:rPr>
              <w:t> </w:t>
            </w:r>
            <w:r>
              <w:rPr>
                <w:sz w:val="18"/>
              </w:rPr>
              <w:t>its</w:t>
            </w:r>
            <w:r>
              <w:rPr>
                <w:spacing w:val="2"/>
                <w:sz w:val="18"/>
              </w:rPr>
              <w:t> </w:t>
            </w:r>
            <w:r>
              <w:rPr>
                <w:sz w:val="18"/>
              </w:rPr>
              <w:t>purpose.</w:t>
            </w:r>
          </w:p>
          <w:p>
            <w:pPr>
              <w:pStyle w:val="TableParagraph"/>
              <w:numPr>
                <w:ilvl w:val="0"/>
                <w:numId w:val="214"/>
              </w:numPr>
              <w:tabs>
                <w:tab w:pos="279" w:val="left" w:leader="none"/>
              </w:tabs>
              <w:spacing w:line="240" w:lineRule="auto" w:before="33" w:after="0"/>
              <w:ind w:left="278" w:right="0" w:hanging="172"/>
              <w:jc w:val="left"/>
              <w:rPr>
                <w:sz w:val="18"/>
              </w:rPr>
            </w:pPr>
            <w:r>
              <w:rPr>
                <w:sz w:val="18"/>
              </w:rPr>
              <w:t>Provide</w:t>
            </w:r>
            <w:r>
              <w:rPr>
                <w:spacing w:val="-3"/>
                <w:sz w:val="18"/>
              </w:rPr>
              <w:t> </w:t>
            </w:r>
            <w:r>
              <w:rPr>
                <w:sz w:val="18"/>
              </w:rPr>
              <w:t>written</w:t>
            </w:r>
            <w:r>
              <w:rPr>
                <w:spacing w:val="-3"/>
                <w:sz w:val="18"/>
              </w:rPr>
              <w:t> </w:t>
            </w:r>
            <w:r>
              <w:rPr>
                <w:sz w:val="18"/>
              </w:rPr>
              <w:t>plain</w:t>
            </w:r>
            <w:r>
              <w:rPr>
                <w:spacing w:val="-4"/>
                <w:sz w:val="18"/>
              </w:rPr>
              <w:t> </w:t>
            </w:r>
            <w:r>
              <w:rPr>
                <w:sz w:val="18"/>
              </w:rPr>
              <w:t>language</w:t>
            </w:r>
            <w:r>
              <w:rPr>
                <w:spacing w:val="-3"/>
                <w:sz w:val="18"/>
              </w:rPr>
              <w:t> </w:t>
            </w:r>
            <w:r>
              <w:rPr>
                <w:sz w:val="18"/>
              </w:rPr>
              <w:t>statement</w:t>
            </w:r>
            <w:r>
              <w:rPr>
                <w:spacing w:val="-4"/>
                <w:sz w:val="18"/>
              </w:rPr>
              <w:t> </w:t>
            </w:r>
            <w:r>
              <w:rPr>
                <w:sz w:val="18"/>
              </w:rPr>
              <w:t>and</w:t>
            </w:r>
            <w:r>
              <w:rPr>
                <w:spacing w:val="-4"/>
                <w:sz w:val="18"/>
              </w:rPr>
              <w:t> </w:t>
            </w:r>
            <w:r>
              <w:rPr>
                <w:sz w:val="18"/>
              </w:rPr>
              <w:t>consent</w:t>
            </w:r>
            <w:r>
              <w:rPr>
                <w:spacing w:val="-4"/>
                <w:sz w:val="18"/>
              </w:rPr>
              <w:t> </w:t>
            </w:r>
            <w:r>
              <w:rPr>
                <w:sz w:val="18"/>
              </w:rPr>
              <w:t>form.</w:t>
            </w:r>
          </w:p>
          <w:p>
            <w:pPr>
              <w:pStyle w:val="TableParagraph"/>
              <w:numPr>
                <w:ilvl w:val="0"/>
                <w:numId w:val="214"/>
              </w:numPr>
              <w:tabs>
                <w:tab w:pos="279" w:val="left" w:leader="none"/>
              </w:tabs>
              <w:spacing w:line="240" w:lineRule="auto" w:before="32" w:after="0"/>
              <w:ind w:left="278" w:right="0" w:hanging="172"/>
              <w:jc w:val="left"/>
              <w:rPr>
                <w:sz w:val="18"/>
              </w:rPr>
            </w:pPr>
            <w:r>
              <w:rPr>
                <w:sz w:val="18"/>
              </w:rPr>
              <w:t>From</w:t>
            </w:r>
            <w:r>
              <w:rPr>
                <w:spacing w:val="-6"/>
                <w:sz w:val="18"/>
              </w:rPr>
              <w:t> </w:t>
            </w:r>
            <w:r>
              <w:rPr>
                <w:sz w:val="18"/>
              </w:rPr>
              <w:t>plain</w:t>
            </w:r>
            <w:r>
              <w:rPr>
                <w:spacing w:val="-2"/>
                <w:sz w:val="18"/>
              </w:rPr>
              <w:t> </w:t>
            </w:r>
            <w:r>
              <w:rPr>
                <w:sz w:val="18"/>
              </w:rPr>
              <w:t>language</w:t>
            </w:r>
            <w:r>
              <w:rPr>
                <w:spacing w:val="-2"/>
                <w:sz w:val="18"/>
              </w:rPr>
              <w:t> </w:t>
            </w:r>
            <w:r>
              <w:rPr>
                <w:sz w:val="18"/>
              </w:rPr>
              <w:t>statement</w:t>
            </w:r>
            <w:r>
              <w:rPr>
                <w:spacing w:val="-4"/>
                <w:sz w:val="18"/>
              </w:rPr>
              <w:t> </w:t>
            </w:r>
            <w:r>
              <w:rPr>
                <w:sz w:val="18"/>
              </w:rPr>
              <w:t>and</w:t>
            </w:r>
            <w:r>
              <w:rPr>
                <w:spacing w:val="-3"/>
                <w:sz w:val="18"/>
              </w:rPr>
              <w:t> </w:t>
            </w:r>
            <w:r>
              <w:rPr>
                <w:sz w:val="18"/>
              </w:rPr>
              <w:t>consent</w:t>
            </w:r>
            <w:r>
              <w:rPr>
                <w:spacing w:val="-4"/>
                <w:sz w:val="18"/>
              </w:rPr>
              <w:t> </w:t>
            </w:r>
            <w:r>
              <w:rPr>
                <w:sz w:val="18"/>
              </w:rPr>
              <w:t>form:</w:t>
            </w:r>
          </w:p>
        </w:tc>
      </w:tr>
    </w:tbl>
    <w:p>
      <w:pPr>
        <w:spacing w:after="0" w:line="240" w:lineRule="auto"/>
        <w:jc w:val="left"/>
        <w:rPr>
          <w:sz w:val="18"/>
        </w:rPr>
        <w:sectPr>
          <w:type w:val="continuous"/>
          <w:pgSz w:w="11910" w:h="16840"/>
          <w:pgMar w:header="0" w:footer="948" w:top="1420" w:bottom="1905" w:left="300" w:right="0"/>
        </w:sectPr>
      </w:pPr>
    </w:p>
    <w:tbl>
      <w:tblPr>
        <w:tblW w:w="0" w:type="auto"/>
        <w:jc w:val="left"/>
        <w:tblInd w:w="11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980"/>
        <w:gridCol w:w="7038"/>
      </w:tblGrid>
      <w:tr>
        <w:trPr>
          <w:trHeight w:val="196" w:hRule="atLeast"/>
        </w:trPr>
        <w:tc>
          <w:tcPr>
            <w:tcW w:w="1980" w:type="dxa"/>
            <w:shd w:val="clear" w:color="auto" w:fill="003C79"/>
          </w:tcPr>
          <w:p>
            <w:pPr>
              <w:pStyle w:val="TableParagraph"/>
              <w:spacing w:line="177" w:lineRule="exact"/>
              <w:ind w:left="107"/>
              <w:rPr>
                <w:b/>
                <w:sz w:val="16"/>
              </w:rPr>
            </w:pPr>
            <w:r>
              <w:rPr>
                <w:b/>
                <w:color w:val="FFFFFF"/>
                <w:sz w:val="16"/>
              </w:rPr>
              <w:t>Topic</w:t>
            </w:r>
          </w:p>
        </w:tc>
        <w:tc>
          <w:tcPr>
            <w:tcW w:w="7038" w:type="dxa"/>
            <w:shd w:val="clear" w:color="auto" w:fill="003C79"/>
          </w:tcPr>
          <w:p>
            <w:pPr>
              <w:pStyle w:val="TableParagraph"/>
              <w:spacing w:line="177" w:lineRule="exact"/>
              <w:ind w:left="107"/>
              <w:rPr>
                <w:b/>
                <w:sz w:val="16"/>
              </w:rPr>
            </w:pPr>
            <w:r>
              <w:rPr>
                <w:b/>
                <w:color w:val="FFFFFF"/>
                <w:sz w:val="16"/>
              </w:rPr>
              <w:t>Question</w:t>
            </w:r>
          </w:p>
        </w:tc>
      </w:tr>
      <w:tr>
        <w:trPr>
          <w:trHeight w:val="5275" w:hRule="atLeast"/>
        </w:trPr>
        <w:tc>
          <w:tcPr>
            <w:tcW w:w="1980" w:type="dxa"/>
          </w:tcPr>
          <w:p>
            <w:pPr>
              <w:pStyle w:val="TableParagraph"/>
              <w:rPr>
                <w:rFonts w:ascii="Times New Roman"/>
                <w:sz w:val="16"/>
              </w:rPr>
            </w:pPr>
          </w:p>
        </w:tc>
        <w:tc>
          <w:tcPr>
            <w:tcW w:w="7038" w:type="dxa"/>
          </w:tcPr>
          <w:p>
            <w:pPr>
              <w:pStyle w:val="TableParagraph"/>
              <w:numPr>
                <w:ilvl w:val="0"/>
                <w:numId w:val="215"/>
              </w:numPr>
              <w:tabs>
                <w:tab w:pos="279" w:val="left" w:leader="none"/>
              </w:tabs>
              <w:spacing w:line="276" w:lineRule="auto" w:before="0" w:after="0"/>
              <w:ind w:left="278" w:right="169" w:hanging="171"/>
              <w:jc w:val="left"/>
              <w:rPr>
                <w:sz w:val="18"/>
              </w:rPr>
            </w:pPr>
            <w:r>
              <w:rPr>
                <w:sz w:val="18"/>
              </w:rPr>
              <w:t>Remind</w:t>
            </w:r>
            <w:r>
              <w:rPr>
                <w:spacing w:val="-4"/>
                <w:sz w:val="18"/>
              </w:rPr>
              <w:t> </w:t>
            </w:r>
            <w:r>
              <w:rPr>
                <w:sz w:val="18"/>
              </w:rPr>
              <w:t>participants</w:t>
            </w:r>
            <w:r>
              <w:rPr>
                <w:spacing w:val="-3"/>
                <w:sz w:val="18"/>
              </w:rPr>
              <w:t> </w:t>
            </w:r>
            <w:r>
              <w:rPr>
                <w:sz w:val="18"/>
              </w:rPr>
              <w:t>that</w:t>
            </w:r>
            <w:r>
              <w:rPr>
                <w:spacing w:val="-4"/>
                <w:sz w:val="18"/>
              </w:rPr>
              <w:t> </w:t>
            </w:r>
            <w:r>
              <w:rPr>
                <w:sz w:val="18"/>
              </w:rPr>
              <w:t>participation</w:t>
            </w:r>
            <w:r>
              <w:rPr>
                <w:spacing w:val="-4"/>
                <w:sz w:val="18"/>
              </w:rPr>
              <w:t> </w:t>
            </w:r>
            <w:r>
              <w:rPr>
                <w:sz w:val="18"/>
              </w:rPr>
              <w:t>is</w:t>
            </w:r>
            <w:r>
              <w:rPr>
                <w:spacing w:val="-3"/>
                <w:sz w:val="18"/>
              </w:rPr>
              <w:t> </w:t>
            </w:r>
            <w:r>
              <w:rPr>
                <w:sz w:val="18"/>
              </w:rPr>
              <w:t>voluntary;</w:t>
            </w:r>
            <w:r>
              <w:rPr>
                <w:spacing w:val="-5"/>
                <w:sz w:val="18"/>
              </w:rPr>
              <w:t> </w:t>
            </w:r>
            <w:r>
              <w:rPr>
                <w:sz w:val="18"/>
              </w:rPr>
              <w:t>that</w:t>
            </w:r>
            <w:r>
              <w:rPr>
                <w:spacing w:val="-4"/>
                <w:sz w:val="18"/>
              </w:rPr>
              <w:t> </w:t>
            </w:r>
            <w:r>
              <w:rPr>
                <w:sz w:val="18"/>
              </w:rPr>
              <w:t>they</w:t>
            </w:r>
            <w:r>
              <w:rPr>
                <w:spacing w:val="-3"/>
                <w:sz w:val="18"/>
              </w:rPr>
              <w:t> </w:t>
            </w:r>
            <w:r>
              <w:rPr>
                <w:sz w:val="18"/>
              </w:rPr>
              <w:t>do</w:t>
            </w:r>
            <w:r>
              <w:rPr>
                <w:spacing w:val="-2"/>
                <w:sz w:val="18"/>
              </w:rPr>
              <w:t> </w:t>
            </w:r>
            <w:r>
              <w:rPr>
                <w:sz w:val="18"/>
              </w:rPr>
              <w:t>not</w:t>
            </w:r>
            <w:r>
              <w:rPr>
                <w:spacing w:val="-4"/>
                <w:sz w:val="18"/>
              </w:rPr>
              <w:t> </w:t>
            </w:r>
            <w:r>
              <w:rPr>
                <w:sz w:val="18"/>
              </w:rPr>
              <w:t>have</w:t>
            </w:r>
            <w:r>
              <w:rPr>
                <w:spacing w:val="-2"/>
                <w:sz w:val="18"/>
              </w:rPr>
              <w:t> </w:t>
            </w:r>
            <w:r>
              <w:rPr>
                <w:sz w:val="18"/>
              </w:rPr>
              <w:t>to</w:t>
            </w:r>
            <w:r>
              <w:rPr>
                <w:spacing w:val="-47"/>
                <w:sz w:val="18"/>
              </w:rPr>
              <w:t> </w:t>
            </w:r>
            <w:r>
              <w:rPr>
                <w:sz w:val="18"/>
              </w:rPr>
              <w:t>take part, and that there will be no repercussions if they choose not to do</w:t>
            </w:r>
            <w:r>
              <w:rPr>
                <w:spacing w:val="1"/>
                <w:sz w:val="18"/>
              </w:rPr>
              <w:t> </w:t>
            </w:r>
            <w:r>
              <w:rPr>
                <w:sz w:val="18"/>
              </w:rPr>
              <w:t>so.</w:t>
            </w:r>
          </w:p>
          <w:p>
            <w:pPr>
              <w:pStyle w:val="TableParagraph"/>
              <w:numPr>
                <w:ilvl w:val="0"/>
                <w:numId w:val="215"/>
              </w:numPr>
              <w:tabs>
                <w:tab w:pos="279" w:val="left" w:leader="none"/>
              </w:tabs>
              <w:spacing w:line="276" w:lineRule="auto" w:before="0" w:after="0"/>
              <w:ind w:left="278" w:right="138" w:hanging="171"/>
              <w:jc w:val="left"/>
              <w:rPr>
                <w:sz w:val="18"/>
              </w:rPr>
            </w:pPr>
            <w:r>
              <w:rPr>
                <w:sz w:val="18"/>
              </w:rPr>
              <w:t>Describe what participation in the focus group involves, including ‘ground</w:t>
            </w:r>
            <w:r>
              <w:rPr>
                <w:spacing w:val="1"/>
                <w:sz w:val="18"/>
              </w:rPr>
              <w:t> </w:t>
            </w:r>
            <w:r>
              <w:rPr>
                <w:sz w:val="18"/>
              </w:rPr>
              <w:t>rules’,</w:t>
            </w:r>
            <w:r>
              <w:rPr>
                <w:spacing w:val="-6"/>
                <w:sz w:val="18"/>
              </w:rPr>
              <w:t> </w:t>
            </w:r>
            <w:r>
              <w:rPr>
                <w:sz w:val="18"/>
              </w:rPr>
              <w:t>particularly</w:t>
            </w:r>
            <w:r>
              <w:rPr>
                <w:spacing w:val="-4"/>
                <w:sz w:val="18"/>
              </w:rPr>
              <w:t> </w:t>
            </w:r>
            <w:r>
              <w:rPr>
                <w:sz w:val="18"/>
              </w:rPr>
              <w:t>keeping</w:t>
            </w:r>
            <w:r>
              <w:rPr>
                <w:spacing w:val="-5"/>
                <w:sz w:val="18"/>
              </w:rPr>
              <w:t> </w:t>
            </w:r>
            <w:r>
              <w:rPr>
                <w:sz w:val="18"/>
              </w:rPr>
              <w:t>confidential</w:t>
            </w:r>
            <w:r>
              <w:rPr>
                <w:spacing w:val="-5"/>
                <w:sz w:val="18"/>
              </w:rPr>
              <w:t> </w:t>
            </w:r>
            <w:r>
              <w:rPr>
                <w:sz w:val="18"/>
              </w:rPr>
              <w:t>information</w:t>
            </w:r>
            <w:r>
              <w:rPr>
                <w:spacing w:val="-4"/>
                <w:sz w:val="18"/>
              </w:rPr>
              <w:t> </w:t>
            </w:r>
            <w:r>
              <w:rPr>
                <w:sz w:val="18"/>
              </w:rPr>
              <w:t>that</w:t>
            </w:r>
            <w:r>
              <w:rPr>
                <w:spacing w:val="-5"/>
                <w:sz w:val="18"/>
              </w:rPr>
              <w:t> </w:t>
            </w:r>
            <w:r>
              <w:rPr>
                <w:sz w:val="18"/>
              </w:rPr>
              <w:t>is</w:t>
            </w:r>
            <w:r>
              <w:rPr>
                <w:spacing w:val="-5"/>
                <w:sz w:val="18"/>
              </w:rPr>
              <w:t> </w:t>
            </w:r>
            <w:r>
              <w:rPr>
                <w:sz w:val="18"/>
              </w:rPr>
              <w:t>disclosed</w:t>
            </w:r>
            <w:r>
              <w:rPr>
                <w:spacing w:val="-4"/>
                <w:sz w:val="18"/>
              </w:rPr>
              <w:t> </w:t>
            </w:r>
            <w:r>
              <w:rPr>
                <w:sz w:val="18"/>
              </w:rPr>
              <w:t>by</w:t>
            </w:r>
            <w:r>
              <w:rPr>
                <w:spacing w:val="-4"/>
                <w:sz w:val="18"/>
              </w:rPr>
              <w:t> </w:t>
            </w:r>
            <w:r>
              <w:rPr>
                <w:sz w:val="18"/>
              </w:rPr>
              <w:t>other</w:t>
            </w:r>
            <w:r>
              <w:rPr>
                <w:spacing w:val="-47"/>
                <w:sz w:val="18"/>
              </w:rPr>
              <w:t> </w:t>
            </w:r>
            <w:r>
              <w:rPr>
                <w:sz w:val="18"/>
              </w:rPr>
              <w:t>participants.</w:t>
            </w:r>
          </w:p>
          <w:p>
            <w:pPr>
              <w:pStyle w:val="TableParagraph"/>
              <w:numPr>
                <w:ilvl w:val="0"/>
                <w:numId w:val="215"/>
              </w:numPr>
              <w:tabs>
                <w:tab w:pos="279" w:val="left" w:leader="none"/>
              </w:tabs>
              <w:spacing w:line="273" w:lineRule="auto" w:before="0" w:after="0"/>
              <w:ind w:left="278" w:right="447" w:hanging="171"/>
              <w:jc w:val="left"/>
              <w:rPr>
                <w:sz w:val="18"/>
              </w:rPr>
            </w:pPr>
            <w:r>
              <w:rPr>
                <w:sz w:val="18"/>
              </w:rPr>
              <w:t>Remind the participants that they can withdraw from the focus group at</w:t>
            </w:r>
            <w:r>
              <w:rPr>
                <w:spacing w:val="-47"/>
                <w:sz w:val="18"/>
              </w:rPr>
              <w:t> </w:t>
            </w:r>
            <w:r>
              <w:rPr>
                <w:sz w:val="18"/>
              </w:rPr>
              <w:t>any</w:t>
            </w:r>
            <w:r>
              <w:rPr>
                <w:spacing w:val="-3"/>
                <w:sz w:val="18"/>
              </w:rPr>
              <w:t> </w:t>
            </w:r>
            <w:r>
              <w:rPr>
                <w:sz w:val="18"/>
              </w:rPr>
              <w:t>time,</w:t>
            </w:r>
            <w:r>
              <w:rPr>
                <w:spacing w:val="-3"/>
                <w:sz w:val="18"/>
              </w:rPr>
              <w:t> </w:t>
            </w:r>
            <w:r>
              <w:rPr>
                <w:sz w:val="18"/>
              </w:rPr>
              <w:t>and that</w:t>
            </w:r>
            <w:r>
              <w:rPr>
                <w:spacing w:val="-4"/>
                <w:sz w:val="18"/>
              </w:rPr>
              <w:t> </w:t>
            </w:r>
            <w:r>
              <w:rPr>
                <w:sz w:val="18"/>
              </w:rPr>
              <w:t>they</w:t>
            </w:r>
            <w:r>
              <w:rPr>
                <w:spacing w:val="-2"/>
                <w:sz w:val="18"/>
              </w:rPr>
              <w:t> </w:t>
            </w:r>
            <w:r>
              <w:rPr>
                <w:sz w:val="18"/>
              </w:rPr>
              <w:t>do</w:t>
            </w:r>
            <w:r>
              <w:rPr>
                <w:spacing w:val="1"/>
                <w:sz w:val="18"/>
              </w:rPr>
              <w:t> </w:t>
            </w:r>
            <w:r>
              <w:rPr>
                <w:sz w:val="18"/>
              </w:rPr>
              <w:t>not</w:t>
            </w:r>
            <w:r>
              <w:rPr>
                <w:spacing w:val="-4"/>
                <w:sz w:val="18"/>
              </w:rPr>
              <w:t> </w:t>
            </w:r>
            <w:r>
              <w:rPr>
                <w:sz w:val="18"/>
              </w:rPr>
              <w:t>have</w:t>
            </w:r>
            <w:r>
              <w:rPr>
                <w:spacing w:val="-1"/>
                <w:sz w:val="18"/>
              </w:rPr>
              <w:t> </w:t>
            </w:r>
            <w:r>
              <w:rPr>
                <w:sz w:val="18"/>
              </w:rPr>
              <w:t>to</w:t>
            </w:r>
            <w:r>
              <w:rPr>
                <w:spacing w:val="-2"/>
                <w:sz w:val="18"/>
              </w:rPr>
              <w:t> </w:t>
            </w:r>
            <w:r>
              <w:rPr>
                <w:sz w:val="18"/>
              </w:rPr>
              <w:t>answer</w:t>
            </w:r>
            <w:r>
              <w:rPr>
                <w:spacing w:val="-2"/>
                <w:sz w:val="18"/>
              </w:rPr>
              <w:t> </w:t>
            </w:r>
            <w:r>
              <w:rPr>
                <w:sz w:val="18"/>
              </w:rPr>
              <w:t>any</w:t>
            </w:r>
            <w:r>
              <w:rPr>
                <w:spacing w:val="-2"/>
                <w:sz w:val="18"/>
              </w:rPr>
              <w:t> </w:t>
            </w:r>
            <w:r>
              <w:rPr>
                <w:sz w:val="18"/>
              </w:rPr>
              <w:t>further</w:t>
            </w:r>
            <w:r>
              <w:rPr>
                <w:spacing w:val="-1"/>
                <w:sz w:val="18"/>
              </w:rPr>
              <w:t> </w:t>
            </w:r>
            <w:r>
              <w:rPr>
                <w:sz w:val="18"/>
              </w:rPr>
              <w:t>questions.</w:t>
            </w:r>
          </w:p>
          <w:p>
            <w:pPr>
              <w:pStyle w:val="TableParagraph"/>
              <w:numPr>
                <w:ilvl w:val="0"/>
                <w:numId w:val="215"/>
              </w:numPr>
              <w:tabs>
                <w:tab w:pos="279" w:val="left" w:leader="none"/>
              </w:tabs>
              <w:spacing w:line="276" w:lineRule="auto" w:before="3" w:after="0"/>
              <w:ind w:left="278" w:right="232" w:hanging="171"/>
              <w:jc w:val="left"/>
              <w:rPr>
                <w:sz w:val="18"/>
              </w:rPr>
            </w:pPr>
            <w:r>
              <w:rPr>
                <w:sz w:val="18"/>
              </w:rPr>
              <w:t>Outline</w:t>
            </w:r>
            <w:r>
              <w:rPr>
                <w:spacing w:val="-6"/>
                <w:sz w:val="18"/>
              </w:rPr>
              <w:t> </w:t>
            </w:r>
            <w:r>
              <w:rPr>
                <w:sz w:val="18"/>
              </w:rPr>
              <w:t>confidentiality/anonymity</w:t>
            </w:r>
            <w:r>
              <w:rPr>
                <w:spacing w:val="-4"/>
                <w:sz w:val="18"/>
              </w:rPr>
              <w:t> </w:t>
            </w:r>
            <w:r>
              <w:rPr>
                <w:sz w:val="18"/>
              </w:rPr>
              <w:t>provisions,</w:t>
            </w:r>
            <w:r>
              <w:rPr>
                <w:spacing w:val="-7"/>
                <w:sz w:val="18"/>
              </w:rPr>
              <w:t> </w:t>
            </w:r>
            <w:r>
              <w:rPr>
                <w:sz w:val="18"/>
              </w:rPr>
              <w:t>that</w:t>
            </w:r>
            <w:r>
              <w:rPr>
                <w:spacing w:val="-5"/>
                <w:sz w:val="18"/>
              </w:rPr>
              <w:t> </w:t>
            </w:r>
            <w:r>
              <w:rPr>
                <w:sz w:val="18"/>
              </w:rPr>
              <w:t>is,</w:t>
            </w:r>
            <w:r>
              <w:rPr>
                <w:spacing w:val="-7"/>
                <w:sz w:val="18"/>
              </w:rPr>
              <w:t> </w:t>
            </w:r>
            <w:r>
              <w:rPr>
                <w:sz w:val="18"/>
              </w:rPr>
              <w:t>that</w:t>
            </w:r>
            <w:r>
              <w:rPr>
                <w:spacing w:val="-3"/>
                <w:sz w:val="18"/>
              </w:rPr>
              <w:t> </w:t>
            </w:r>
            <w:r>
              <w:rPr>
                <w:sz w:val="18"/>
              </w:rPr>
              <w:t>the</w:t>
            </w:r>
            <w:r>
              <w:rPr>
                <w:spacing w:val="-4"/>
                <w:sz w:val="18"/>
              </w:rPr>
              <w:t> </w:t>
            </w:r>
            <w:r>
              <w:rPr>
                <w:sz w:val="18"/>
              </w:rPr>
              <w:t>participant</w:t>
            </w:r>
            <w:r>
              <w:rPr>
                <w:spacing w:val="-5"/>
                <w:sz w:val="18"/>
              </w:rPr>
              <w:t> </w:t>
            </w:r>
            <w:r>
              <w:rPr>
                <w:sz w:val="18"/>
              </w:rPr>
              <w:t>will</w:t>
            </w:r>
            <w:r>
              <w:rPr>
                <w:spacing w:val="-47"/>
                <w:sz w:val="18"/>
              </w:rPr>
              <w:t> </w:t>
            </w:r>
            <w:r>
              <w:rPr>
                <w:sz w:val="18"/>
              </w:rPr>
              <w:t>not be named in any reporting of results to any parties, that any personal</w:t>
            </w:r>
            <w:r>
              <w:rPr>
                <w:spacing w:val="1"/>
                <w:sz w:val="18"/>
              </w:rPr>
              <w:t> </w:t>
            </w:r>
            <w:r>
              <w:rPr>
                <w:sz w:val="18"/>
              </w:rPr>
              <w:t>information gathered will not be disclosed to any other party, and that the</w:t>
            </w:r>
            <w:r>
              <w:rPr>
                <w:spacing w:val="-47"/>
                <w:sz w:val="18"/>
              </w:rPr>
              <w:t> </w:t>
            </w:r>
            <w:r>
              <w:rPr>
                <w:sz w:val="18"/>
              </w:rPr>
              <w:t>information provided will not be shared with the GP, other staff in the</w:t>
            </w:r>
            <w:r>
              <w:rPr>
                <w:spacing w:val="1"/>
                <w:sz w:val="18"/>
              </w:rPr>
              <w:t> </w:t>
            </w:r>
            <w:r>
              <w:rPr>
                <w:sz w:val="18"/>
              </w:rPr>
              <w:t>practice,</w:t>
            </w:r>
            <w:r>
              <w:rPr>
                <w:spacing w:val="-3"/>
                <w:sz w:val="18"/>
              </w:rPr>
              <w:t> </w:t>
            </w:r>
            <w:r>
              <w:rPr>
                <w:sz w:val="18"/>
              </w:rPr>
              <w:t>or</w:t>
            </w:r>
            <w:r>
              <w:rPr>
                <w:spacing w:val="1"/>
                <w:sz w:val="18"/>
              </w:rPr>
              <w:t> </w:t>
            </w:r>
            <w:r>
              <w:rPr>
                <w:sz w:val="18"/>
              </w:rPr>
              <w:t>any</w:t>
            </w:r>
            <w:r>
              <w:rPr>
                <w:spacing w:val="-1"/>
                <w:sz w:val="18"/>
              </w:rPr>
              <w:t> </w:t>
            </w:r>
            <w:r>
              <w:rPr>
                <w:sz w:val="18"/>
              </w:rPr>
              <w:t>other</w:t>
            </w:r>
            <w:r>
              <w:rPr>
                <w:spacing w:val="-3"/>
                <w:sz w:val="18"/>
              </w:rPr>
              <w:t> </w:t>
            </w:r>
            <w:r>
              <w:rPr>
                <w:sz w:val="18"/>
              </w:rPr>
              <w:t>healthcare provider.</w:t>
            </w:r>
          </w:p>
          <w:p>
            <w:pPr>
              <w:pStyle w:val="TableParagraph"/>
              <w:numPr>
                <w:ilvl w:val="0"/>
                <w:numId w:val="215"/>
              </w:numPr>
              <w:tabs>
                <w:tab w:pos="279" w:val="left" w:leader="none"/>
              </w:tabs>
              <w:spacing w:line="276" w:lineRule="auto" w:before="1" w:after="0"/>
              <w:ind w:left="278" w:right="343" w:hanging="171"/>
              <w:jc w:val="left"/>
              <w:rPr>
                <w:sz w:val="18"/>
              </w:rPr>
            </w:pPr>
            <w:r>
              <w:rPr>
                <w:sz w:val="18"/>
              </w:rPr>
              <w:t>Outline</w:t>
            </w:r>
            <w:r>
              <w:rPr>
                <w:spacing w:val="-5"/>
                <w:sz w:val="18"/>
              </w:rPr>
              <w:t> </w:t>
            </w:r>
            <w:r>
              <w:rPr>
                <w:sz w:val="18"/>
              </w:rPr>
              <w:t>how</w:t>
            </w:r>
            <w:r>
              <w:rPr>
                <w:spacing w:val="-4"/>
                <w:sz w:val="18"/>
              </w:rPr>
              <w:t> </w:t>
            </w:r>
            <w:r>
              <w:rPr>
                <w:sz w:val="18"/>
              </w:rPr>
              <w:t>the</w:t>
            </w:r>
            <w:r>
              <w:rPr>
                <w:spacing w:val="-2"/>
                <w:sz w:val="18"/>
              </w:rPr>
              <w:t> </w:t>
            </w:r>
            <w:r>
              <w:rPr>
                <w:sz w:val="18"/>
              </w:rPr>
              <w:t>participants</w:t>
            </w:r>
            <w:r>
              <w:rPr>
                <w:spacing w:val="-4"/>
                <w:sz w:val="18"/>
              </w:rPr>
              <w:t> </w:t>
            </w:r>
            <w:r>
              <w:rPr>
                <w:sz w:val="18"/>
              </w:rPr>
              <w:t>will</w:t>
            </w:r>
            <w:r>
              <w:rPr>
                <w:spacing w:val="-3"/>
                <w:sz w:val="18"/>
              </w:rPr>
              <w:t> </w:t>
            </w:r>
            <w:r>
              <w:rPr>
                <w:sz w:val="18"/>
              </w:rPr>
              <w:t>be</w:t>
            </w:r>
            <w:r>
              <w:rPr>
                <w:spacing w:val="-4"/>
                <w:sz w:val="18"/>
              </w:rPr>
              <w:t> </w:t>
            </w:r>
            <w:r>
              <w:rPr>
                <w:sz w:val="18"/>
              </w:rPr>
              <w:t>informed</w:t>
            </w:r>
            <w:r>
              <w:rPr>
                <w:spacing w:val="-4"/>
                <w:sz w:val="18"/>
              </w:rPr>
              <w:t> </w:t>
            </w:r>
            <w:r>
              <w:rPr>
                <w:sz w:val="18"/>
              </w:rPr>
              <w:t>of</w:t>
            </w:r>
            <w:r>
              <w:rPr>
                <w:spacing w:val="-1"/>
                <w:sz w:val="18"/>
              </w:rPr>
              <w:t> </w:t>
            </w:r>
            <w:r>
              <w:rPr>
                <w:sz w:val="18"/>
              </w:rPr>
              <w:t>the</w:t>
            </w:r>
            <w:r>
              <w:rPr>
                <w:spacing w:val="-3"/>
                <w:sz w:val="18"/>
              </w:rPr>
              <w:t> </w:t>
            </w:r>
            <w:r>
              <w:rPr>
                <w:sz w:val="18"/>
              </w:rPr>
              <w:t>results</w:t>
            </w:r>
            <w:r>
              <w:rPr>
                <w:spacing w:val="-3"/>
                <w:sz w:val="18"/>
              </w:rPr>
              <w:t> </w:t>
            </w:r>
            <w:r>
              <w:rPr>
                <w:sz w:val="18"/>
              </w:rPr>
              <w:t>of</w:t>
            </w:r>
            <w:r>
              <w:rPr>
                <w:spacing w:val="-2"/>
                <w:sz w:val="18"/>
              </w:rPr>
              <w:t> </w:t>
            </w:r>
            <w:r>
              <w:rPr>
                <w:sz w:val="18"/>
              </w:rPr>
              <w:t>the</w:t>
            </w:r>
            <w:r>
              <w:rPr>
                <w:spacing w:val="-3"/>
                <w:sz w:val="18"/>
              </w:rPr>
              <w:t> </w:t>
            </w:r>
            <w:r>
              <w:rPr>
                <w:sz w:val="18"/>
              </w:rPr>
              <w:t>research</w:t>
            </w:r>
            <w:r>
              <w:rPr>
                <w:spacing w:val="-47"/>
                <w:sz w:val="18"/>
              </w:rPr>
              <w:t> </w:t>
            </w:r>
            <w:r>
              <w:rPr>
                <w:sz w:val="18"/>
              </w:rPr>
              <w:t>when</w:t>
            </w:r>
            <w:r>
              <w:rPr>
                <w:spacing w:val="-2"/>
                <w:sz w:val="18"/>
              </w:rPr>
              <w:t> </w:t>
            </w:r>
            <w:r>
              <w:rPr>
                <w:sz w:val="18"/>
              </w:rPr>
              <w:t>it</w:t>
            </w:r>
            <w:r>
              <w:rPr>
                <w:spacing w:val="-2"/>
                <w:sz w:val="18"/>
              </w:rPr>
              <w:t> </w:t>
            </w:r>
            <w:r>
              <w:rPr>
                <w:sz w:val="18"/>
              </w:rPr>
              <w:t>is</w:t>
            </w:r>
            <w:r>
              <w:rPr>
                <w:spacing w:val="-3"/>
                <w:sz w:val="18"/>
              </w:rPr>
              <w:t> </w:t>
            </w:r>
            <w:r>
              <w:rPr>
                <w:sz w:val="18"/>
              </w:rPr>
              <w:t>finished.</w:t>
            </w:r>
          </w:p>
          <w:p>
            <w:pPr>
              <w:pStyle w:val="TableParagraph"/>
              <w:numPr>
                <w:ilvl w:val="0"/>
                <w:numId w:val="215"/>
              </w:numPr>
              <w:tabs>
                <w:tab w:pos="279" w:val="left" w:leader="none"/>
              </w:tabs>
              <w:spacing w:line="276" w:lineRule="auto" w:before="0" w:after="0"/>
              <w:ind w:left="278" w:right="647" w:hanging="171"/>
              <w:jc w:val="left"/>
              <w:rPr>
                <w:sz w:val="18"/>
              </w:rPr>
            </w:pPr>
            <w:r>
              <w:rPr>
                <w:sz w:val="18"/>
              </w:rPr>
              <w:t>Point</w:t>
            </w:r>
            <w:r>
              <w:rPr>
                <w:spacing w:val="-3"/>
                <w:sz w:val="18"/>
              </w:rPr>
              <w:t> </w:t>
            </w:r>
            <w:r>
              <w:rPr>
                <w:sz w:val="18"/>
              </w:rPr>
              <w:t>out</w:t>
            </w:r>
            <w:r>
              <w:rPr>
                <w:spacing w:val="-4"/>
                <w:sz w:val="18"/>
              </w:rPr>
              <w:t> </w:t>
            </w:r>
            <w:r>
              <w:rPr>
                <w:sz w:val="18"/>
              </w:rPr>
              <w:t>section</w:t>
            </w:r>
            <w:r>
              <w:rPr>
                <w:spacing w:val="-3"/>
                <w:sz w:val="18"/>
              </w:rPr>
              <w:t> </w:t>
            </w:r>
            <w:r>
              <w:rPr>
                <w:sz w:val="18"/>
              </w:rPr>
              <w:t>in</w:t>
            </w:r>
            <w:r>
              <w:rPr>
                <w:spacing w:val="-3"/>
                <w:sz w:val="18"/>
              </w:rPr>
              <w:t> </w:t>
            </w:r>
            <w:r>
              <w:rPr>
                <w:sz w:val="18"/>
              </w:rPr>
              <w:t>the</w:t>
            </w:r>
            <w:r>
              <w:rPr>
                <w:spacing w:val="-1"/>
                <w:sz w:val="18"/>
              </w:rPr>
              <w:t> </w:t>
            </w:r>
            <w:r>
              <w:rPr>
                <w:sz w:val="18"/>
              </w:rPr>
              <w:t>statement</w:t>
            </w:r>
            <w:r>
              <w:rPr>
                <w:spacing w:val="-3"/>
                <w:sz w:val="18"/>
              </w:rPr>
              <w:t> </w:t>
            </w:r>
            <w:r>
              <w:rPr>
                <w:sz w:val="18"/>
              </w:rPr>
              <w:t>on</w:t>
            </w:r>
            <w:r>
              <w:rPr>
                <w:spacing w:val="-1"/>
                <w:sz w:val="18"/>
              </w:rPr>
              <w:t> </w:t>
            </w:r>
            <w:r>
              <w:rPr>
                <w:sz w:val="18"/>
              </w:rPr>
              <w:t>who</w:t>
            </w:r>
            <w:r>
              <w:rPr>
                <w:spacing w:val="-1"/>
                <w:sz w:val="18"/>
              </w:rPr>
              <w:t> </w:t>
            </w:r>
            <w:r>
              <w:rPr>
                <w:sz w:val="18"/>
              </w:rPr>
              <w:t>to</w:t>
            </w:r>
            <w:r>
              <w:rPr>
                <w:spacing w:val="-1"/>
                <w:sz w:val="18"/>
              </w:rPr>
              <w:t> </w:t>
            </w:r>
            <w:r>
              <w:rPr>
                <w:sz w:val="18"/>
              </w:rPr>
              <w:t>contact</w:t>
            </w:r>
            <w:r>
              <w:rPr>
                <w:spacing w:val="-3"/>
                <w:sz w:val="18"/>
              </w:rPr>
              <w:t> </w:t>
            </w:r>
            <w:r>
              <w:rPr>
                <w:sz w:val="18"/>
              </w:rPr>
              <w:t>in</w:t>
            </w:r>
            <w:r>
              <w:rPr>
                <w:spacing w:val="-1"/>
                <w:sz w:val="18"/>
              </w:rPr>
              <w:t> </w:t>
            </w:r>
            <w:r>
              <w:rPr>
                <w:sz w:val="18"/>
              </w:rPr>
              <w:t>case</w:t>
            </w:r>
            <w:r>
              <w:rPr>
                <w:spacing w:val="-1"/>
                <w:sz w:val="18"/>
              </w:rPr>
              <w:t> </w:t>
            </w:r>
            <w:r>
              <w:rPr>
                <w:sz w:val="18"/>
              </w:rPr>
              <w:t>of</w:t>
            </w:r>
            <w:r>
              <w:rPr>
                <w:spacing w:val="-3"/>
                <w:sz w:val="18"/>
              </w:rPr>
              <w:t> </w:t>
            </w:r>
            <w:r>
              <w:rPr>
                <w:sz w:val="18"/>
              </w:rPr>
              <w:t>any</w:t>
            </w:r>
            <w:r>
              <w:rPr>
                <w:spacing w:val="-2"/>
                <w:sz w:val="18"/>
              </w:rPr>
              <w:t> </w:t>
            </w:r>
            <w:r>
              <w:rPr>
                <w:sz w:val="18"/>
              </w:rPr>
              <w:t>or</w:t>
            </w:r>
            <w:r>
              <w:rPr>
                <w:spacing w:val="-47"/>
                <w:sz w:val="18"/>
              </w:rPr>
              <w:t> </w:t>
            </w:r>
            <w:r>
              <w:rPr>
                <w:sz w:val="18"/>
              </w:rPr>
              <w:t>concerns</w:t>
            </w:r>
            <w:r>
              <w:rPr>
                <w:spacing w:val="-2"/>
                <w:sz w:val="18"/>
              </w:rPr>
              <w:t> </w:t>
            </w:r>
            <w:r>
              <w:rPr>
                <w:sz w:val="18"/>
              </w:rPr>
              <w:t>or</w:t>
            </w:r>
            <w:r>
              <w:rPr>
                <w:spacing w:val="-3"/>
                <w:sz w:val="18"/>
              </w:rPr>
              <w:t> </w:t>
            </w:r>
            <w:r>
              <w:rPr>
                <w:sz w:val="18"/>
              </w:rPr>
              <w:t>questions</w:t>
            </w:r>
            <w:r>
              <w:rPr>
                <w:spacing w:val="-1"/>
                <w:sz w:val="18"/>
              </w:rPr>
              <w:t> </w:t>
            </w:r>
            <w:r>
              <w:rPr>
                <w:sz w:val="18"/>
              </w:rPr>
              <w:t>that</w:t>
            </w:r>
            <w:r>
              <w:rPr>
                <w:spacing w:val="-2"/>
                <w:sz w:val="18"/>
              </w:rPr>
              <w:t> </w:t>
            </w:r>
            <w:r>
              <w:rPr>
                <w:sz w:val="18"/>
              </w:rPr>
              <w:t>may</w:t>
            </w:r>
            <w:r>
              <w:rPr>
                <w:spacing w:val="-2"/>
                <w:sz w:val="18"/>
              </w:rPr>
              <w:t> </w:t>
            </w:r>
            <w:r>
              <w:rPr>
                <w:sz w:val="18"/>
              </w:rPr>
              <w:t>arise</w:t>
            </w:r>
            <w:r>
              <w:rPr>
                <w:spacing w:val="-1"/>
                <w:sz w:val="18"/>
              </w:rPr>
              <w:t> </w:t>
            </w:r>
            <w:r>
              <w:rPr>
                <w:sz w:val="18"/>
              </w:rPr>
              <w:t>after</w:t>
            </w:r>
            <w:r>
              <w:rPr>
                <w:spacing w:val="-2"/>
                <w:sz w:val="18"/>
              </w:rPr>
              <w:t> </w:t>
            </w:r>
            <w:r>
              <w:rPr>
                <w:sz w:val="18"/>
              </w:rPr>
              <w:t>the</w:t>
            </w:r>
            <w:r>
              <w:rPr>
                <w:spacing w:val="-1"/>
                <w:sz w:val="18"/>
              </w:rPr>
              <w:t> </w:t>
            </w:r>
            <w:r>
              <w:rPr>
                <w:sz w:val="18"/>
              </w:rPr>
              <w:t>focus</w:t>
            </w:r>
            <w:r>
              <w:rPr>
                <w:spacing w:val="-2"/>
                <w:sz w:val="18"/>
              </w:rPr>
              <w:t> </w:t>
            </w:r>
            <w:r>
              <w:rPr>
                <w:sz w:val="18"/>
              </w:rPr>
              <w:t>group.</w:t>
            </w:r>
          </w:p>
          <w:p>
            <w:pPr>
              <w:pStyle w:val="TableParagraph"/>
              <w:numPr>
                <w:ilvl w:val="0"/>
                <w:numId w:val="215"/>
              </w:numPr>
              <w:tabs>
                <w:tab w:pos="279" w:val="left" w:leader="none"/>
              </w:tabs>
              <w:spacing w:line="240" w:lineRule="auto" w:before="0" w:after="0"/>
              <w:ind w:left="278" w:right="0" w:hanging="172"/>
              <w:jc w:val="left"/>
              <w:rPr>
                <w:sz w:val="18"/>
              </w:rPr>
            </w:pPr>
            <w:r>
              <w:rPr>
                <w:sz w:val="18"/>
              </w:rPr>
              <w:t>Seek</w:t>
            </w:r>
            <w:r>
              <w:rPr>
                <w:spacing w:val="-3"/>
                <w:sz w:val="18"/>
              </w:rPr>
              <w:t> </w:t>
            </w:r>
            <w:r>
              <w:rPr>
                <w:sz w:val="18"/>
              </w:rPr>
              <w:t>permission</w:t>
            </w:r>
            <w:r>
              <w:rPr>
                <w:spacing w:val="-2"/>
                <w:sz w:val="18"/>
              </w:rPr>
              <w:t> </w:t>
            </w:r>
            <w:r>
              <w:rPr>
                <w:sz w:val="18"/>
              </w:rPr>
              <w:t>to</w:t>
            </w:r>
            <w:r>
              <w:rPr>
                <w:spacing w:val="-2"/>
                <w:sz w:val="18"/>
              </w:rPr>
              <w:t> </w:t>
            </w:r>
            <w:r>
              <w:rPr>
                <w:sz w:val="18"/>
              </w:rPr>
              <w:t>audio</w:t>
            </w:r>
            <w:r>
              <w:rPr>
                <w:spacing w:val="-5"/>
                <w:sz w:val="18"/>
              </w:rPr>
              <w:t> </w:t>
            </w:r>
            <w:r>
              <w:rPr>
                <w:sz w:val="18"/>
              </w:rPr>
              <w:t>record</w:t>
            </w:r>
            <w:r>
              <w:rPr>
                <w:spacing w:val="-3"/>
                <w:sz w:val="18"/>
              </w:rPr>
              <w:t> </w:t>
            </w:r>
            <w:r>
              <w:rPr>
                <w:sz w:val="18"/>
              </w:rPr>
              <w:t>the</w:t>
            </w:r>
            <w:r>
              <w:rPr>
                <w:spacing w:val="-2"/>
                <w:sz w:val="18"/>
              </w:rPr>
              <w:t> </w:t>
            </w:r>
            <w:r>
              <w:rPr>
                <w:sz w:val="18"/>
              </w:rPr>
              <w:t>focus</w:t>
            </w:r>
            <w:r>
              <w:rPr>
                <w:spacing w:val="-3"/>
                <w:sz w:val="18"/>
              </w:rPr>
              <w:t> </w:t>
            </w:r>
            <w:r>
              <w:rPr>
                <w:sz w:val="18"/>
              </w:rPr>
              <w:t>group.</w:t>
            </w:r>
          </w:p>
          <w:p>
            <w:pPr>
              <w:pStyle w:val="TableParagraph"/>
              <w:numPr>
                <w:ilvl w:val="0"/>
                <w:numId w:val="215"/>
              </w:numPr>
              <w:tabs>
                <w:tab w:pos="279" w:val="left" w:leader="none"/>
              </w:tabs>
              <w:spacing w:line="240" w:lineRule="auto" w:before="34" w:after="0"/>
              <w:ind w:left="278" w:right="0" w:hanging="172"/>
              <w:jc w:val="left"/>
              <w:rPr>
                <w:sz w:val="18"/>
              </w:rPr>
            </w:pPr>
            <w:r>
              <w:rPr>
                <w:sz w:val="18"/>
              </w:rPr>
              <w:t>Check</w:t>
            </w:r>
            <w:r>
              <w:rPr>
                <w:spacing w:val="-5"/>
                <w:sz w:val="18"/>
              </w:rPr>
              <w:t> </w:t>
            </w:r>
            <w:r>
              <w:rPr>
                <w:sz w:val="18"/>
              </w:rPr>
              <w:t>whether</w:t>
            </w:r>
            <w:r>
              <w:rPr>
                <w:spacing w:val="-5"/>
                <w:sz w:val="18"/>
              </w:rPr>
              <w:t> </w:t>
            </w:r>
            <w:r>
              <w:rPr>
                <w:sz w:val="18"/>
              </w:rPr>
              <w:t>participants</w:t>
            </w:r>
            <w:r>
              <w:rPr>
                <w:spacing w:val="-4"/>
                <w:sz w:val="18"/>
              </w:rPr>
              <w:t> </w:t>
            </w:r>
            <w:r>
              <w:rPr>
                <w:sz w:val="18"/>
              </w:rPr>
              <w:t>have</w:t>
            </w:r>
            <w:r>
              <w:rPr>
                <w:spacing w:val="-2"/>
                <w:sz w:val="18"/>
              </w:rPr>
              <w:t> </w:t>
            </w:r>
            <w:r>
              <w:rPr>
                <w:sz w:val="18"/>
              </w:rPr>
              <w:t>any</w:t>
            </w:r>
            <w:r>
              <w:rPr>
                <w:spacing w:val="-4"/>
                <w:sz w:val="18"/>
              </w:rPr>
              <w:t> </w:t>
            </w:r>
            <w:r>
              <w:rPr>
                <w:sz w:val="18"/>
              </w:rPr>
              <w:t>questions.</w:t>
            </w:r>
          </w:p>
          <w:p>
            <w:pPr>
              <w:pStyle w:val="TableParagraph"/>
              <w:numPr>
                <w:ilvl w:val="0"/>
                <w:numId w:val="215"/>
              </w:numPr>
              <w:tabs>
                <w:tab w:pos="279" w:val="left" w:leader="none"/>
              </w:tabs>
              <w:spacing w:line="240" w:lineRule="auto" w:before="31" w:after="0"/>
              <w:ind w:left="278" w:right="0" w:hanging="172"/>
              <w:jc w:val="left"/>
              <w:rPr>
                <w:sz w:val="18"/>
              </w:rPr>
            </w:pPr>
            <w:r>
              <w:rPr>
                <w:sz w:val="18"/>
              </w:rPr>
              <w:t>Obtain</w:t>
            </w:r>
            <w:r>
              <w:rPr>
                <w:spacing w:val="-3"/>
                <w:sz w:val="18"/>
              </w:rPr>
              <w:t> </w:t>
            </w:r>
            <w:r>
              <w:rPr>
                <w:sz w:val="18"/>
              </w:rPr>
              <w:t>signatures</w:t>
            </w:r>
            <w:r>
              <w:rPr>
                <w:spacing w:val="-4"/>
                <w:sz w:val="18"/>
              </w:rPr>
              <w:t> </w:t>
            </w:r>
            <w:r>
              <w:rPr>
                <w:sz w:val="18"/>
              </w:rPr>
              <w:t>on</w:t>
            </w:r>
            <w:r>
              <w:rPr>
                <w:spacing w:val="-3"/>
                <w:sz w:val="18"/>
              </w:rPr>
              <w:t> </w:t>
            </w:r>
            <w:r>
              <w:rPr>
                <w:sz w:val="18"/>
              </w:rPr>
              <w:t>consent</w:t>
            </w:r>
            <w:r>
              <w:rPr>
                <w:spacing w:val="-4"/>
                <w:sz w:val="18"/>
              </w:rPr>
              <w:t> </w:t>
            </w:r>
            <w:r>
              <w:rPr>
                <w:sz w:val="18"/>
              </w:rPr>
              <w:t>form.</w:t>
            </w:r>
          </w:p>
        </w:tc>
      </w:tr>
      <w:tr>
        <w:trPr>
          <w:trHeight w:val="513" w:hRule="atLeast"/>
        </w:trPr>
        <w:tc>
          <w:tcPr>
            <w:tcW w:w="1980" w:type="dxa"/>
          </w:tcPr>
          <w:p>
            <w:pPr>
              <w:pStyle w:val="TableParagraph"/>
              <w:ind w:left="107" w:right="347"/>
              <w:rPr>
                <w:sz w:val="16"/>
              </w:rPr>
            </w:pPr>
            <w:r>
              <w:rPr>
                <w:sz w:val="16"/>
              </w:rPr>
              <w:t>Decision to enroll in</w:t>
            </w:r>
            <w:r>
              <w:rPr>
                <w:spacing w:val="-42"/>
                <w:sz w:val="16"/>
              </w:rPr>
              <w:t> </w:t>
            </w:r>
            <w:r>
              <w:rPr>
                <w:sz w:val="16"/>
              </w:rPr>
              <w:t>HCH</w:t>
            </w:r>
          </w:p>
        </w:tc>
        <w:tc>
          <w:tcPr>
            <w:tcW w:w="7038" w:type="dxa"/>
          </w:tcPr>
          <w:p>
            <w:pPr>
              <w:pStyle w:val="TableParagraph"/>
              <w:numPr>
                <w:ilvl w:val="0"/>
                <w:numId w:val="216"/>
              </w:numPr>
              <w:tabs>
                <w:tab w:pos="279" w:val="left" w:leader="none"/>
              </w:tabs>
              <w:spacing w:line="240" w:lineRule="auto" w:before="1" w:after="0"/>
              <w:ind w:left="278" w:right="0" w:hanging="172"/>
              <w:jc w:val="left"/>
              <w:rPr>
                <w:sz w:val="18"/>
              </w:rPr>
            </w:pPr>
            <w:r>
              <w:rPr>
                <w:b/>
                <w:sz w:val="18"/>
              </w:rPr>
              <w:t>(R2) </w:t>
            </w:r>
            <w:r>
              <w:rPr>
                <w:sz w:val="18"/>
              </w:rPr>
              <w:t>What</w:t>
            </w:r>
            <w:r>
              <w:rPr>
                <w:spacing w:val="-3"/>
                <w:sz w:val="18"/>
              </w:rPr>
              <w:t> </w:t>
            </w:r>
            <w:r>
              <w:rPr>
                <w:sz w:val="18"/>
              </w:rPr>
              <w:t>led</w:t>
            </w:r>
            <w:r>
              <w:rPr>
                <w:spacing w:val="-3"/>
                <w:sz w:val="18"/>
              </w:rPr>
              <w:t> </w:t>
            </w:r>
            <w:r>
              <w:rPr>
                <w:sz w:val="18"/>
              </w:rPr>
              <w:t>you</w:t>
            </w:r>
            <w:r>
              <w:rPr>
                <w:spacing w:val="-1"/>
                <w:sz w:val="18"/>
              </w:rPr>
              <w:t> </w:t>
            </w:r>
            <w:r>
              <w:rPr>
                <w:sz w:val="18"/>
              </w:rPr>
              <w:t>decide</w:t>
            </w:r>
            <w:r>
              <w:rPr>
                <w:spacing w:val="-2"/>
                <w:sz w:val="18"/>
              </w:rPr>
              <w:t> </w:t>
            </w:r>
            <w:r>
              <w:rPr>
                <w:sz w:val="18"/>
              </w:rPr>
              <w:t>to</w:t>
            </w:r>
            <w:r>
              <w:rPr>
                <w:spacing w:val="-1"/>
                <w:sz w:val="18"/>
              </w:rPr>
              <w:t> </w:t>
            </w:r>
            <w:r>
              <w:rPr>
                <w:sz w:val="18"/>
              </w:rPr>
              <w:t>enroll</w:t>
            </w:r>
            <w:r>
              <w:rPr>
                <w:spacing w:val="-4"/>
                <w:sz w:val="18"/>
              </w:rPr>
              <w:t> </w:t>
            </w:r>
            <w:r>
              <w:rPr>
                <w:sz w:val="18"/>
              </w:rPr>
              <w:t>in</w:t>
            </w:r>
            <w:r>
              <w:rPr>
                <w:spacing w:val="-4"/>
                <w:sz w:val="18"/>
              </w:rPr>
              <w:t> </w:t>
            </w:r>
            <w:r>
              <w:rPr>
                <w:sz w:val="18"/>
              </w:rPr>
              <w:t>HCH?</w:t>
            </w:r>
          </w:p>
        </w:tc>
      </w:tr>
      <w:tr>
        <w:trPr>
          <w:trHeight w:val="4579" w:hRule="atLeast"/>
        </w:trPr>
        <w:tc>
          <w:tcPr>
            <w:tcW w:w="1980" w:type="dxa"/>
          </w:tcPr>
          <w:p>
            <w:pPr>
              <w:pStyle w:val="TableParagraph"/>
              <w:ind w:left="107" w:right="140"/>
              <w:rPr>
                <w:sz w:val="16"/>
              </w:rPr>
            </w:pPr>
            <w:r>
              <w:rPr>
                <w:sz w:val="16"/>
              </w:rPr>
              <w:t>Care process/ impact</w:t>
            </w:r>
            <w:r>
              <w:rPr>
                <w:spacing w:val="-42"/>
                <w:sz w:val="16"/>
              </w:rPr>
              <w:t> </w:t>
            </w:r>
            <w:r>
              <w:rPr>
                <w:sz w:val="16"/>
              </w:rPr>
              <w:t>of HCH</w:t>
            </w:r>
          </w:p>
        </w:tc>
        <w:tc>
          <w:tcPr>
            <w:tcW w:w="7038" w:type="dxa"/>
          </w:tcPr>
          <w:p>
            <w:pPr>
              <w:pStyle w:val="TableParagraph"/>
              <w:numPr>
                <w:ilvl w:val="0"/>
                <w:numId w:val="217"/>
              </w:numPr>
              <w:tabs>
                <w:tab w:pos="276" w:val="left" w:leader="none"/>
              </w:tabs>
              <w:spacing w:line="276" w:lineRule="auto" w:before="0" w:after="0"/>
              <w:ind w:left="275" w:right="195" w:hanging="168"/>
              <w:jc w:val="left"/>
              <w:rPr>
                <w:sz w:val="18"/>
              </w:rPr>
            </w:pPr>
            <w:r>
              <w:rPr>
                <w:sz w:val="18"/>
              </w:rPr>
              <w:t>In what ways, if any, has the care that you have been receiving from your</w:t>
            </w:r>
            <w:r>
              <w:rPr>
                <w:spacing w:val="1"/>
                <w:sz w:val="18"/>
              </w:rPr>
              <w:t> </w:t>
            </w:r>
            <w:r>
              <w:rPr>
                <w:sz w:val="18"/>
              </w:rPr>
              <w:t>GP and other care providers at the practice changed since you enrolled in</w:t>
            </w:r>
            <w:r>
              <w:rPr>
                <w:spacing w:val="-47"/>
                <w:sz w:val="18"/>
              </w:rPr>
              <w:t> </w:t>
            </w:r>
            <w:r>
              <w:rPr>
                <w:sz w:val="18"/>
              </w:rPr>
              <w:t>HCH</w:t>
            </w:r>
            <w:r>
              <w:rPr>
                <w:spacing w:val="1"/>
                <w:sz w:val="18"/>
              </w:rPr>
              <w:t> </w:t>
            </w:r>
            <w:r>
              <w:rPr>
                <w:sz w:val="18"/>
              </w:rPr>
              <w:t>(</w:t>
            </w:r>
            <w:r>
              <w:rPr>
                <w:b/>
                <w:sz w:val="18"/>
              </w:rPr>
              <w:t>R2/R4/R5</w:t>
            </w:r>
            <w:r>
              <w:rPr>
                <w:sz w:val="18"/>
              </w:rPr>
              <w:t>)/ in</w:t>
            </w:r>
            <w:r>
              <w:rPr>
                <w:spacing w:val="-1"/>
                <w:sz w:val="18"/>
              </w:rPr>
              <w:t> </w:t>
            </w:r>
            <w:r>
              <w:rPr>
                <w:sz w:val="18"/>
              </w:rPr>
              <w:t>the last</w:t>
            </w:r>
            <w:r>
              <w:rPr>
                <w:spacing w:val="-4"/>
                <w:sz w:val="18"/>
              </w:rPr>
              <w:t> </w:t>
            </w:r>
            <w:r>
              <w:rPr>
                <w:sz w:val="18"/>
              </w:rPr>
              <w:t>12</w:t>
            </w:r>
            <w:r>
              <w:rPr>
                <w:spacing w:val="-1"/>
                <w:sz w:val="18"/>
              </w:rPr>
              <w:t> </w:t>
            </w:r>
            <w:r>
              <w:rPr>
                <w:sz w:val="18"/>
              </w:rPr>
              <w:t>months</w:t>
            </w:r>
            <w:r>
              <w:rPr>
                <w:spacing w:val="2"/>
                <w:sz w:val="18"/>
              </w:rPr>
              <w:t> </w:t>
            </w:r>
            <w:r>
              <w:rPr>
                <w:sz w:val="18"/>
              </w:rPr>
              <w:t>(</w:t>
            </w:r>
            <w:r>
              <w:rPr>
                <w:b/>
                <w:sz w:val="18"/>
              </w:rPr>
              <w:t>R4/R5</w:t>
            </w:r>
            <w:r>
              <w:rPr>
                <w:sz w:val="18"/>
              </w:rPr>
              <w:t>)?</w:t>
            </w:r>
          </w:p>
          <w:p>
            <w:pPr>
              <w:pStyle w:val="TableParagraph"/>
              <w:spacing w:before="4"/>
              <w:rPr>
                <w:sz w:val="16"/>
              </w:rPr>
            </w:pPr>
          </w:p>
          <w:p>
            <w:pPr>
              <w:pStyle w:val="TableParagraph"/>
              <w:spacing w:before="1"/>
              <w:ind w:left="107"/>
              <w:rPr>
                <w:sz w:val="16"/>
              </w:rPr>
            </w:pPr>
            <w:r>
              <w:rPr>
                <w:sz w:val="16"/>
              </w:rPr>
              <w:t>Prompts</w:t>
            </w:r>
            <w:r>
              <w:rPr>
                <w:spacing w:val="-1"/>
                <w:sz w:val="16"/>
              </w:rPr>
              <w:t> </w:t>
            </w:r>
            <w:r>
              <w:rPr>
                <w:sz w:val="16"/>
              </w:rPr>
              <w:t>– any</w:t>
            </w:r>
            <w:r>
              <w:rPr>
                <w:spacing w:val="-3"/>
                <w:sz w:val="16"/>
              </w:rPr>
              <w:t> </w:t>
            </w:r>
            <w:r>
              <w:rPr>
                <w:sz w:val="16"/>
              </w:rPr>
              <w:t>improvements</w:t>
            </w:r>
            <w:r>
              <w:rPr>
                <w:spacing w:val="-2"/>
                <w:sz w:val="16"/>
              </w:rPr>
              <w:t> </w:t>
            </w:r>
            <w:r>
              <w:rPr>
                <w:sz w:val="16"/>
              </w:rPr>
              <w:t>in:</w:t>
            </w:r>
          </w:p>
          <w:p>
            <w:pPr>
              <w:pStyle w:val="TableParagraph"/>
              <w:spacing w:before="6"/>
              <w:rPr>
                <w:sz w:val="18"/>
              </w:rPr>
            </w:pPr>
          </w:p>
          <w:p>
            <w:pPr>
              <w:pStyle w:val="TableParagraph"/>
              <w:numPr>
                <w:ilvl w:val="1"/>
                <w:numId w:val="217"/>
              </w:numPr>
              <w:tabs>
                <w:tab w:pos="828" w:val="left" w:leader="none"/>
                <w:tab w:pos="829" w:val="left" w:leader="none"/>
              </w:tabs>
              <w:spacing w:line="240" w:lineRule="auto" w:before="1" w:after="0"/>
              <w:ind w:left="828" w:right="0" w:hanging="361"/>
              <w:jc w:val="left"/>
              <w:rPr>
                <w:sz w:val="18"/>
              </w:rPr>
            </w:pPr>
            <w:r>
              <w:rPr>
                <w:sz w:val="18"/>
              </w:rPr>
              <w:t>Understanding</w:t>
            </w:r>
            <w:r>
              <w:rPr>
                <w:spacing w:val="-6"/>
                <w:sz w:val="18"/>
              </w:rPr>
              <w:t> </w:t>
            </w:r>
            <w:r>
              <w:rPr>
                <w:sz w:val="18"/>
              </w:rPr>
              <w:t>nature</w:t>
            </w:r>
            <w:r>
              <w:rPr>
                <w:spacing w:val="-3"/>
                <w:sz w:val="18"/>
              </w:rPr>
              <w:t> </w:t>
            </w:r>
            <w:r>
              <w:rPr>
                <w:sz w:val="18"/>
              </w:rPr>
              <w:t>and</w:t>
            </w:r>
            <w:r>
              <w:rPr>
                <w:spacing w:val="-4"/>
                <w:sz w:val="18"/>
              </w:rPr>
              <w:t> </w:t>
            </w:r>
            <w:r>
              <w:rPr>
                <w:sz w:val="18"/>
              </w:rPr>
              <w:t>cause</w:t>
            </w:r>
            <w:r>
              <w:rPr>
                <w:spacing w:val="-4"/>
                <w:sz w:val="18"/>
              </w:rPr>
              <w:t> </w:t>
            </w:r>
            <w:r>
              <w:rPr>
                <w:sz w:val="18"/>
              </w:rPr>
              <w:t>of</w:t>
            </w:r>
            <w:r>
              <w:rPr>
                <w:spacing w:val="-5"/>
                <w:sz w:val="18"/>
              </w:rPr>
              <w:t> </w:t>
            </w:r>
            <w:r>
              <w:rPr>
                <w:sz w:val="18"/>
              </w:rPr>
              <w:t>health</w:t>
            </w:r>
            <w:r>
              <w:rPr>
                <w:spacing w:val="-3"/>
                <w:sz w:val="18"/>
              </w:rPr>
              <w:t> </w:t>
            </w:r>
            <w:r>
              <w:rPr>
                <w:sz w:val="18"/>
              </w:rPr>
              <w:t>conditions(s)?</w:t>
            </w:r>
          </w:p>
          <w:p>
            <w:pPr>
              <w:pStyle w:val="TableParagraph"/>
              <w:numPr>
                <w:ilvl w:val="1"/>
                <w:numId w:val="217"/>
              </w:numPr>
              <w:tabs>
                <w:tab w:pos="828" w:val="left" w:leader="none"/>
                <w:tab w:pos="829" w:val="left" w:leader="none"/>
              </w:tabs>
              <w:spacing w:line="240" w:lineRule="auto" w:before="33" w:after="0"/>
              <w:ind w:left="828" w:right="0" w:hanging="361"/>
              <w:jc w:val="left"/>
              <w:rPr>
                <w:sz w:val="18"/>
              </w:rPr>
            </w:pPr>
            <w:r>
              <w:rPr>
                <w:sz w:val="18"/>
              </w:rPr>
              <w:t>Understanding</w:t>
            </w:r>
            <w:r>
              <w:rPr>
                <w:spacing w:val="-5"/>
                <w:sz w:val="18"/>
              </w:rPr>
              <w:t> </w:t>
            </w:r>
            <w:r>
              <w:rPr>
                <w:sz w:val="18"/>
              </w:rPr>
              <w:t>the</w:t>
            </w:r>
            <w:r>
              <w:rPr>
                <w:spacing w:val="-2"/>
                <w:sz w:val="18"/>
              </w:rPr>
              <w:t> </w:t>
            </w:r>
            <w:r>
              <w:rPr>
                <w:sz w:val="18"/>
              </w:rPr>
              <w:t>role</w:t>
            </w:r>
            <w:r>
              <w:rPr>
                <w:spacing w:val="-6"/>
                <w:sz w:val="18"/>
              </w:rPr>
              <w:t> </w:t>
            </w:r>
            <w:r>
              <w:rPr>
                <w:sz w:val="18"/>
              </w:rPr>
              <w:t>of</w:t>
            </w:r>
            <w:r>
              <w:rPr>
                <w:spacing w:val="-1"/>
                <w:sz w:val="18"/>
              </w:rPr>
              <w:t> </w:t>
            </w:r>
            <w:r>
              <w:rPr>
                <w:sz w:val="18"/>
              </w:rPr>
              <w:t>medications</w:t>
            </w:r>
            <w:r>
              <w:rPr>
                <w:spacing w:val="-3"/>
                <w:sz w:val="18"/>
              </w:rPr>
              <w:t> </w:t>
            </w:r>
            <w:r>
              <w:rPr>
                <w:sz w:val="18"/>
              </w:rPr>
              <w:t>and</w:t>
            </w:r>
            <w:r>
              <w:rPr>
                <w:spacing w:val="-3"/>
                <w:sz w:val="18"/>
              </w:rPr>
              <w:t> </w:t>
            </w:r>
            <w:r>
              <w:rPr>
                <w:sz w:val="18"/>
              </w:rPr>
              <w:t>other</w:t>
            </w:r>
            <w:r>
              <w:rPr>
                <w:spacing w:val="-3"/>
                <w:sz w:val="18"/>
              </w:rPr>
              <w:t> </w:t>
            </w:r>
            <w:r>
              <w:rPr>
                <w:sz w:val="18"/>
              </w:rPr>
              <w:t>treatments?</w:t>
            </w:r>
          </w:p>
          <w:p>
            <w:pPr>
              <w:pStyle w:val="TableParagraph"/>
              <w:numPr>
                <w:ilvl w:val="1"/>
                <w:numId w:val="217"/>
              </w:numPr>
              <w:tabs>
                <w:tab w:pos="828" w:val="left" w:leader="none"/>
                <w:tab w:pos="829" w:val="left" w:leader="none"/>
              </w:tabs>
              <w:spacing w:line="240" w:lineRule="auto" w:before="34" w:after="0"/>
              <w:ind w:left="828" w:right="0" w:hanging="361"/>
              <w:jc w:val="left"/>
              <w:rPr>
                <w:sz w:val="18"/>
              </w:rPr>
            </w:pPr>
            <w:r>
              <w:rPr>
                <w:sz w:val="18"/>
              </w:rPr>
              <w:t>Skills</w:t>
            </w:r>
            <w:r>
              <w:rPr>
                <w:spacing w:val="-7"/>
                <w:sz w:val="18"/>
              </w:rPr>
              <w:t> </w:t>
            </w:r>
            <w:r>
              <w:rPr>
                <w:sz w:val="18"/>
              </w:rPr>
              <w:t>for</w:t>
            </w:r>
            <w:r>
              <w:rPr>
                <w:spacing w:val="-4"/>
                <w:sz w:val="18"/>
              </w:rPr>
              <w:t> </w:t>
            </w:r>
            <w:r>
              <w:rPr>
                <w:sz w:val="18"/>
              </w:rPr>
              <w:t>day-to-day</w:t>
            </w:r>
            <w:r>
              <w:rPr>
                <w:spacing w:val="-2"/>
                <w:sz w:val="18"/>
              </w:rPr>
              <w:t> </w:t>
            </w:r>
            <w:r>
              <w:rPr>
                <w:sz w:val="18"/>
              </w:rPr>
              <w:t>management?</w:t>
            </w:r>
          </w:p>
          <w:p>
            <w:pPr>
              <w:pStyle w:val="TableParagraph"/>
              <w:numPr>
                <w:ilvl w:val="1"/>
                <w:numId w:val="217"/>
              </w:numPr>
              <w:tabs>
                <w:tab w:pos="828" w:val="left" w:leader="none"/>
                <w:tab w:pos="829" w:val="left" w:leader="none"/>
              </w:tabs>
              <w:spacing w:line="240" w:lineRule="auto" w:before="31" w:after="0"/>
              <w:ind w:left="828" w:right="0" w:hanging="361"/>
              <w:jc w:val="left"/>
              <w:rPr>
                <w:sz w:val="18"/>
              </w:rPr>
            </w:pPr>
            <w:r>
              <w:rPr>
                <w:sz w:val="18"/>
              </w:rPr>
              <w:t>Identifying</w:t>
            </w:r>
            <w:r>
              <w:rPr>
                <w:spacing w:val="-6"/>
                <w:sz w:val="18"/>
              </w:rPr>
              <w:t> </w:t>
            </w:r>
            <w:r>
              <w:rPr>
                <w:sz w:val="18"/>
              </w:rPr>
              <w:t>and</w:t>
            </w:r>
            <w:r>
              <w:rPr>
                <w:spacing w:val="-4"/>
                <w:sz w:val="18"/>
              </w:rPr>
              <w:t> </w:t>
            </w:r>
            <w:r>
              <w:rPr>
                <w:sz w:val="18"/>
              </w:rPr>
              <w:t>preventing</w:t>
            </w:r>
            <w:r>
              <w:rPr>
                <w:spacing w:val="-6"/>
                <w:sz w:val="18"/>
              </w:rPr>
              <w:t> </w:t>
            </w:r>
            <w:r>
              <w:rPr>
                <w:sz w:val="18"/>
              </w:rPr>
              <w:t>further</w:t>
            </w:r>
            <w:r>
              <w:rPr>
                <w:spacing w:val="-5"/>
                <w:sz w:val="18"/>
              </w:rPr>
              <w:t> </w:t>
            </w:r>
            <w:r>
              <w:rPr>
                <w:sz w:val="18"/>
              </w:rPr>
              <w:t>problems?</w:t>
            </w:r>
          </w:p>
          <w:p>
            <w:pPr>
              <w:pStyle w:val="TableParagraph"/>
              <w:numPr>
                <w:ilvl w:val="1"/>
                <w:numId w:val="217"/>
              </w:numPr>
              <w:tabs>
                <w:tab w:pos="828" w:val="left" w:leader="none"/>
                <w:tab w:pos="829" w:val="left" w:leader="none"/>
              </w:tabs>
              <w:spacing w:line="240" w:lineRule="auto" w:before="34" w:after="0"/>
              <w:ind w:left="828" w:right="0" w:hanging="361"/>
              <w:jc w:val="left"/>
              <w:rPr>
                <w:sz w:val="18"/>
              </w:rPr>
            </w:pPr>
            <w:r>
              <w:rPr>
                <w:sz w:val="18"/>
              </w:rPr>
              <w:t>Role</w:t>
            </w:r>
            <w:r>
              <w:rPr>
                <w:spacing w:val="-3"/>
                <w:sz w:val="18"/>
              </w:rPr>
              <w:t> </w:t>
            </w:r>
            <w:r>
              <w:rPr>
                <w:sz w:val="18"/>
              </w:rPr>
              <w:t>of</w:t>
            </w:r>
            <w:r>
              <w:rPr>
                <w:spacing w:val="-3"/>
                <w:sz w:val="18"/>
              </w:rPr>
              <w:t> </w:t>
            </w:r>
            <w:r>
              <w:rPr>
                <w:sz w:val="18"/>
              </w:rPr>
              <w:t>lifestyle</w:t>
            </w:r>
            <w:r>
              <w:rPr>
                <w:spacing w:val="-2"/>
                <w:sz w:val="18"/>
              </w:rPr>
              <w:t> </w:t>
            </w:r>
            <w:r>
              <w:rPr>
                <w:sz w:val="18"/>
              </w:rPr>
              <w:t>factors</w:t>
            </w:r>
            <w:r>
              <w:rPr>
                <w:spacing w:val="-5"/>
                <w:sz w:val="18"/>
              </w:rPr>
              <w:t> </w:t>
            </w:r>
            <w:r>
              <w:rPr>
                <w:sz w:val="18"/>
              </w:rPr>
              <w:t>and</w:t>
            </w:r>
            <w:r>
              <w:rPr>
                <w:spacing w:val="-4"/>
                <w:sz w:val="18"/>
              </w:rPr>
              <w:t> </w:t>
            </w:r>
            <w:r>
              <w:rPr>
                <w:sz w:val="18"/>
              </w:rPr>
              <w:t>skills</w:t>
            </w:r>
            <w:r>
              <w:rPr>
                <w:spacing w:val="-3"/>
                <w:sz w:val="18"/>
              </w:rPr>
              <w:t> </w:t>
            </w:r>
            <w:r>
              <w:rPr>
                <w:sz w:val="18"/>
              </w:rPr>
              <w:t>to</w:t>
            </w:r>
            <w:r>
              <w:rPr>
                <w:spacing w:val="-3"/>
                <w:sz w:val="18"/>
              </w:rPr>
              <w:t> </w:t>
            </w:r>
            <w:r>
              <w:rPr>
                <w:sz w:val="18"/>
              </w:rPr>
              <w:t>make</w:t>
            </w:r>
            <w:r>
              <w:rPr>
                <w:spacing w:val="-2"/>
                <w:sz w:val="18"/>
              </w:rPr>
              <w:t> </w:t>
            </w:r>
            <w:r>
              <w:rPr>
                <w:sz w:val="18"/>
              </w:rPr>
              <w:t>changes?</w:t>
            </w:r>
          </w:p>
          <w:p>
            <w:pPr>
              <w:pStyle w:val="TableParagraph"/>
              <w:numPr>
                <w:ilvl w:val="1"/>
                <w:numId w:val="217"/>
              </w:numPr>
              <w:tabs>
                <w:tab w:pos="828" w:val="left" w:leader="none"/>
                <w:tab w:pos="829" w:val="left" w:leader="none"/>
              </w:tabs>
              <w:spacing w:line="240" w:lineRule="auto" w:before="34" w:after="0"/>
              <w:ind w:left="828" w:right="0" w:hanging="361"/>
              <w:jc w:val="left"/>
              <w:rPr>
                <w:sz w:val="18"/>
              </w:rPr>
            </w:pPr>
            <w:r>
              <w:rPr>
                <w:sz w:val="18"/>
              </w:rPr>
              <w:t>Emotional</w:t>
            </w:r>
            <w:r>
              <w:rPr>
                <w:spacing w:val="-4"/>
                <w:sz w:val="18"/>
              </w:rPr>
              <w:t> </w:t>
            </w:r>
            <w:r>
              <w:rPr>
                <w:sz w:val="18"/>
              </w:rPr>
              <w:t>support?</w:t>
            </w:r>
          </w:p>
          <w:p>
            <w:pPr>
              <w:pStyle w:val="TableParagraph"/>
              <w:numPr>
                <w:ilvl w:val="1"/>
                <w:numId w:val="217"/>
              </w:numPr>
              <w:tabs>
                <w:tab w:pos="828" w:val="left" w:leader="none"/>
                <w:tab w:pos="829" w:val="left" w:leader="none"/>
              </w:tabs>
              <w:spacing w:line="273" w:lineRule="auto" w:before="33" w:after="0"/>
              <w:ind w:left="828" w:right="733" w:hanging="360"/>
              <w:jc w:val="left"/>
              <w:rPr>
                <w:sz w:val="18"/>
              </w:rPr>
            </w:pPr>
            <w:r>
              <w:rPr>
                <w:sz w:val="18"/>
              </w:rPr>
              <w:t>Referrals</w:t>
            </w:r>
            <w:r>
              <w:rPr>
                <w:spacing w:val="-5"/>
                <w:sz w:val="18"/>
              </w:rPr>
              <w:t> </w:t>
            </w:r>
            <w:r>
              <w:rPr>
                <w:sz w:val="18"/>
              </w:rPr>
              <w:t>to</w:t>
            </w:r>
            <w:r>
              <w:rPr>
                <w:spacing w:val="-4"/>
                <w:sz w:val="18"/>
              </w:rPr>
              <w:t> </w:t>
            </w:r>
            <w:r>
              <w:rPr>
                <w:sz w:val="18"/>
              </w:rPr>
              <w:t>other</w:t>
            </w:r>
            <w:r>
              <w:rPr>
                <w:spacing w:val="-6"/>
                <w:sz w:val="18"/>
              </w:rPr>
              <w:t> </w:t>
            </w:r>
            <w:r>
              <w:rPr>
                <w:sz w:val="18"/>
              </w:rPr>
              <w:t>services</w:t>
            </w:r>
            <w:r>
              <w:rPr>
                <w:spacing w:val="-5"/>
                <w:sz w:val="18"/>
              </w:rPr>
              <w:t> </w:t>
            </w:r>
            <w:r>
              <w:rPr>
                <w:sz w:val="18"/>
              </w:rPr>
              <w:t>(e.g.</w:t>
            </w:r>
            <w:r>
              <w:rPr>
                <w:spacing w:val="-5"/>
                <w:sz w:val="18"/>
              </w:rPr>
              <w:t> </w:t>
            </w:r>
            <w:r>
              <w:rPr>
                <w:sz w:val="18"/>
              </w:rPr>
              <w:t>specialists,</w:t>
            </w:r>
            <w:r>
              <w:rPr>
                <w:spacing w:val="-7"/>
                <w:sz w:val="18"/>
              </w:rPr>
              <w:t> </w:t>
            </w:r>
            <w:r>
              <w:rPr>
                <w:sz w:val="18"/>
              </w:rPr>
              <w:t>allied</w:t>
            </w:r>
            <w:r>
              <w:rPr>
                <w:spacing w:val="-5"/>
                <w:sz w:val="18"/>
              </w:rPr>
              <w:t> </w:t>
            </w:r>
            <w:r>
              <w:rPr>
                <w:sz w:val="18"/>
              </w:rPr>
              <w:t>health,</w:t>
            </w:r>
            <w:r>
              <w:rPr>
                <w:spacing w:val="-5"/>
                <w:sz w:val="18"/>
              </w:rPr>
              <w:t> </w:t>
            </w:r>
            <w:r>
              <w:rPr>
                <w:sz w:val="18"/>
              </w:rPr>
              <w:t>lifestyle</w:t>
            </w:r>
            <w:r>
              <w:rPr>
                <w:spacing w:val="-47"/>
                <w:sz w:val="18"/>
              </w:rPr>
              <w:t> </w:t>
            </w:r>
            <w:r>
              <w:rPr>
                <w:sz w:val="18"/>
              </w:rPr>
              <w:t>programs)?</w:t>
            </w:r>
          </w:p>
          <w:p>
            <w:pPr>
              <w:pStyle w:val="TableParagraph"/>
              <w:numPr>
                <w:ilvl w:val="1"/>
                <w:numId w:val="217"/>
              </w:numPr>
              <w:tabs>
                <w:tab w:pos="821" w:val="left" w:leader="none"/>
                <w:tab w:pos="822" w:val="left" w:leader="none"/>
              </w:tabs>
              <w:spacing w:line="240" w:lineRule="auto" w:before="4" w:after="0"/>
              <w:ind w:left="821" w:right="0" w:hanging="357"/>
              <w:jc w:val="left"/>
              <w:rPr>
                <w:sz w:val="18"/>
              </w:rPr>
            </w:pPr>
            <w:r>
              <w:rPr>
                <w:sz w:val="18"/>
              </w:rPr>
              <w:t>Access</w:t>
            </w:r>
            <w:r>
              <w:rPr>
                <w:spacing w:val="-4"/>
                <w:sz w:val="18"/>
              </w:rPr>
              <w:t> </w:t>
            </w:r>
            <w:r>
              <w:rPr>
                <w:sz w:val="18"/>
              </w:rPr>
              <w:t>to</w:t>
            </w:r>
            <w:r>
              <w:rPr>
                <w:spacing w:val="-2"/>
                <w:sz w:val="18"/>
              </w:rPr>
              <w:t> </w:t>
            </w:r>
            <w:r>
              <w:rPr>
                <w:sz w:val="18"/>
              </w:rPr>
              <w:t>aides/</w:t>
            </w:r>
            <w:r>
              <w:rPr>
                <w:spacing w:val="-3"/>
                <w:sz w:val="18"/>
              </w:rPr>
              <w:t> </w:t>
            </w:r>
            <w:r>
              <w:rPr>
                <w:sz w:val="18"/>
              </w:rPr>
              <w:t>devices?</w:t>
            </w:r>
          </w:p>
          <w:p>
            <w:pPr>
              <w:pStyle w:val="TableParagraph"/>
              <w:rPr>
                <w:sz w:val="19"/>
              </w:rPr>
            </w:pPr>
          </w:p>
          <w:p>
            <w:pPr>
              <w:pStyle w:val="TableParagraph"/>
              <w:numPr>
                <w:ilvl w:val="0"/>
                <w:numId w:val="217"/>
              </w:numPr>
              <w:tabs>
                <w:tab w:pos="276" w:val="left" w:leader="none"/>
              </w:tabs>
              <w:spacing w:line="276" w:lineRule="auto" w:before="0" w:after="0"/>
              <w:ind w:left="275" w:right="222" w:hanging="168"/>
              <w:jc w:val="left"/>
              <w:rPr>
                <w:sz w:val="18"/>
              </w:rPr>
            </w:pPr>
            <w:r>
              <w:rPr>
                <w:sz w:val="18"/>
              </w:rPr>
              <w:t>Is what you are getting now better/ the same/ worse than before? How is it</w:t>
            </w:r>
            <w:r>
              <w:rPr>
                <w:spacing w:val="-47"/>
                <w:sz w:val="18"/>
              </w:rPr>
              <w:t> </w:t>
            </w:r>
            <w:r>
              <w:rPr>
                <w:sz w:val="18"/>
              </w:rPr>
              <w:t>better/</w:t>
            </w:r>
            <w:r>
              <w:rPr>
                <w:spacing w:val="-1"/>
                <w:sz w:val="18"/>
              </w:rPr>
              <w:t> </w:t>
            </w:r>
            <w:r>
              <w:rPr>
                <w:sz w:val="18"/>
              </w:rPr>
              <w:t>the same/ worse?</w:t>
            </w:r>
          </w:p>
        </w:tc>
      </w:tr>
      <w:tr>
        <w:trPr>
          <w:trHeight w:val="2094" w:hRule="atLeast"/>
        </w:trPr>
        <w:tc>
          <w:tcPr>
            <w:tcW w:w="1980" w:type="dxa"/>
          </w:tcPr>
          <w:p>
            <w:pPr>
              <w:pStyle w:val="TableParagraph"/>
              <w:spacing w:line="196" w:lineRule="exact"/>
              <w:ind w:left="107"/>
              <w:rPr>
                <w:sz w:val="16"/>
              </w:rPr>
            </w:pPr>
            <w:r>
              <w:rPr>
                <w:sz w:val="16"/>
              </w:rPr>
              <w:t>Expectations</w:t>
            </w:r>
          </w:p>
        </w:tc>
        <w:tc>
          <w:tcPr>
            <w:tcW w:w="7038" w:type="dxa"/>
          </w:tcPr>
          <w:p>
            <w:pPr>
              <w:pStyle w:val="TableParagraph"/>
              <w:numPr>
                <w:ilvl w:val="0"/>
                <w:numId w:val="218"/>
              </w:numPr>
              <w:tabs>
                <w:tab w:pos="276" w:val="left" w:leader="none"/>
              </w:tabs>
              <w:spacing w:line="276" w:lineRule="auto" w:before="0" w:after="0"/>
              <w:ind w:left="275" w:right="368" w:hanging="168"/>
              <w:jc w:val="left"/>
              <w:rPr>
                <w:sz w:val="18"/>
              </w:rPr>
            </w:pPr>
            <w:r>
              <w:rPr>
                <w:sz w:val="18"/>
              </w:rPr>
              <w:t>How</w:t>
            </w:r>
            <w:r>
              <w:rPr>
                <w:spacing w:val="-4"/>
                <w:sz w:val="18"/>
              </w:rPr>
              <w:t> </w:t>
            </w:r>
            <w:r>
              <w:rPr>
                <w:sz w:val="18"/>
              </w:rPr>
              <w:t>does</w:t>
            </w:r>
            <w:r>
              <w:rPr>
                <w:spacing w:val="-2"/>
                <w:sz w:val="18"/>
              </w:rPr>
              <w:t> </w:t>
            </w:r>
            <w:r>
              <w:rPr>
                <w:sz w:val="18"/>
              </w:rPr>
              <w:t>the</w:t>
            </w:r>
            <w:r>
              <w:rPr>
                <w:spacing w:val="-2"/>
                <w:sz w:val="18"/>
              </w:rPr>
              <w:t> </w:t>
            </w:r>
            <w:r>
              <w:rPr>
                <w:sz w:val="18"/>
              </w:rPr>
              <w:t>care</w:t>
            </w:r>
            <w:r>
              <w:rPr>
                <w:spacing w:val="-1"/>
                <w:sz w:val="18"/>
              </w:rPr>
              <w:t> </w:t>
            </w:r>
            <w:r>
              <w:rPr>
                <w:sz w:val="18"/>
              </w:rPr>
              <w:t>that</w:t>
            </w:r>
            <w:r>
              <w:rPr>
                <w:spacing w:val="-4"/>
                <w:sz w:val="18"/>
              </w:rPr>
              <w:t> </w:t>
            </w:r>
            <w:r>
              <w:rPr>
                <w:sz w:val="18"/>
              </w:rPr>
              <w:t>you</w:t>
            </w:r>
            <w:r>
              <w:rPr>
                <w:spacing w:val="-1"/>
                <w:sz w:val="18"/>
              </w:rPr>
              <w:t> </w:t>
            </w:r>
            <w:r>
              <w:rPr>
                <w:sz w:val="18"/>
              </w:rPr>
              <w:t>get</w:t>
            </w:r>
            <w:r>
              <w:rPr>
                <w:spacing w:val="-4"/>
                <w:sz w:val="18"/>
              </w:rPr>
              <w:t> </w:t>
            </w:r>
            <w:r>
              <w:rPr>
                <w:sz w:val="18"/>
              </w:rPr>
              <w:t>now</w:t>
            </w:r>
            <w:r>
              <w:rPr>
                <w:spacing w:val="-3"/>
                <w:sz w:val="18"/>
              </w:rPr>
              <w:t> </w:t>
            </w:r>
            <w:r>
              <w:rPr>
                <w:sz w:val="18"/>
              </w:rPr>
              <w:t>align</w:t>
            </w:r>
            <w:r>
              <w:rPr>
                <w:spacing w:val="-2"/>
                <w:sz w:val="18"/>
              </w:rPr>
              <w:t> </w:t>
            </w:r>
            <w:r>
              <w:rPr>
                <w:sz w:val="18"/>
              </w:rPr>
              <w:t>what</w:t>
            </w:r>
            <w:r>
              <w:rPr>
                <w:spacing w:val="-3"/>
                <w:sz w:val="18"/>
              </w:rPr>
              <w:t> </w:t>
            </w:r>
            <w:r>
              <w:rPr>
                <w:sz w:val="18"/>
              </w:rPr>
              <w:t>you</w:t>
            </w:r>
            <w:r>
              <w:rPr>
                <w:spacing w:val="-2"/>
                <w:sz w:val="18"/>
              </w:rPr>
              <w:t> </w:t>
            </w:r>
            <w:r>
              <w:rPr>
                <w:sz w:val="18"/>
              </w:rPr>
              <w:t>expected</w:t>
            </w:r>
            <w:r>
              <w:rPr>
                <w:spacing w:val="-2"/>
                <w:sz w:val="18"/>
              </w:rPr>
              <w:t> </w:t>
            </w:r>
            <w:r>
              <w:rPr>
                <w:sz w:val="18"/>
              </w:rPr>
              <w:t>when</w:t>
            </w:r>
            <w:r>
              <w:rPr>
                <w:spacing w:val="-1"/>
                <w:sz w:val="18"/>
              </w:rPr>
              <w:t> </w:t>
            </w:r>
            <w:r>
              <w:rPr>
                <w:sz w:val="18"/>
              </w:rPr>
              <w:t>you</w:t>
            </w:r>
            <w:r>
              <w:rPr>
                <w:spacing w:val="-47"/>
                <w:sz w:val="18"/>
              </w:rPr>
              <w:t> </w:t>
            </w:r>
            <w:r>
              <w:rPr>
                <w:sz w:val="18"/>
              </w:rPr>
              <w:t>enrolled</w:t>
            </w:r>
            <w:r>
              <w:rPr>
                <w:spacing w:val="-4"/>
                <w:sz w:val="18"/>
              </w:rPr>
              <w:t> </w:t>
            </w:r>
            <w:r>
              <w:rPr>
                <w:sz w:val="18"/>
              </w:rPr>
              <w:t>in HCH?</w:t>
            </w:r>
          </w:p>
          <w:p>
            <w:pPr>
              <w:pStyle w:val="TableParagraph"/>
              <w:spacing w:before="3"/>
              <w:rPr>
                <w:sz w:val="16"/>
              </w:rPr>
            </w:pPr>
          </w:p>
          <w:p>
            <w:pPr>
              <w:pStyle w:val="TableParagraph"/>
              <w:spacing w:before="1"/>
              <w:ind w:left="107"/>
              <w:rPr>
                <w:sz w:val="16"/>
              </w:rPr>
            </w:pPr>
            <w:r>
              <w:rPr>
                <w:sz w:val="16"/>
              </w:rPr>
              <w:t>Prompts:</w:t>
            </w:r>
          </w:p>
          <w:p>
            <w:pPr>
              <w:pStyle w:val="TableParagraph"/>
              <w:spacing w:before="6"/>
              <w:rPr>
                <w:sz w:val="18"/>
              </w:rPr>
            </w:pPr>
          </w:p>
          <w:p>
            <w:pPr>
              <w:pStyle w:val="TableParagraph"/>
              <w:numPr>
                <w:ilvl w:val="1"/>
                <w:numId w:val="218"/>
              </w:numPr>
              <w:tabs>
                <w:tab w:pos="828" w:val="left" w:leader="none"/>
                <w:tab w:pos="829" w:val="left" w:leader="none"/>
              </w:tabs>
              <w:spacing w:line="240" w:lineRule="auto" w:before="1" w:after="0"/>
              <w:ind w:left="828" w:right="0" w:hanging="361"/>
              <w:jc w:val="left"/>
              <w:rPr>
                <w:sz w:val="18"/>
              </w:rPr>
            </w:pPr>
            <w:r>
              <w:rPr>
                <w:sz w:val="18"/>
              </w:rPr>
              <w:t>What</w:t>
            </w:r>
            <w:r>
              <w:rPr>
                <w:spacing w:val="-5"/>
                <w:sz w:val="18"/>
              </w:rPr>
              <w:t> </w:t>
            </w:r>
            <w:r>
              <w:rPr>
                <w:sz w:val="18"/>
              </w:rPr>
              <w:t>were</w:t>
            </w:r>
            <w:r>
              <w:rPr>
                <w:spacing w:val="-3"/>
                <w:sz w:val="18"/>
              </w:rPr>
              <w:t> </w:t>
            </w:r>
            <w:r>
              <w:rPr>
                <w:sz w:val="18"/>
              </w:rPr>
              <w:t>your</w:t>
            </w:r>
            <w:r>
              <w:rPr>
                <w:spacing w:val="-3"/>
                <w:sz w:val="18"/>
              </w:rPr>
              <w:t> </w:t>
            </w:r>
            <w:r>
              <w:rPr>
                <w:sz w:val="18"/>
              </w:rPr>
              <w:t>expectations?</w:t>
            </w:r>
          </w:p>
          <w:p>
            <w:pPr>
              <w:pStyle w:val="TableParagraph"/>
              <w:numPr>
                <w:ilvl w:val="1"/>
                <w:numId w:val="218"/>
              </w:numPr>
              <w:tabs>
                <w:tab w:pos="828" w:val="left" w:leader="none"/>
                <w:tab w:pos="829" w:val="left" w:leader="none"/>
              </w:tabs>
              <w:spacing w:line="276" w:lineRule="auto" w:before="33" w:after="0"/>
              <w:ind w:left="828" w:right="288" w:hanging="360"/>
              <w:jc w:val="left"/>
              <w:rPr>
                <w:sz w:val="18"/>
              </w:rPr>
            </w:pPr>
            <w:r>
              <w:rPr>
                <w:sz w:val="18"/>
              </w:rPr>
              <w:t>Is what you are getting now better/ the same/ worse than what you</w:t>
            </w:r>
            <w:r>
              <w:rPr>
                <w:spacing w:val="-48"/>
                <w:sz w:val="18"/>
              </w:rPr>
              <w:t> </w:t>
            </w:r>
            <w:r>
              <w:rPr>
                <w:sz w:val="18"/>
              </w:rPr>
              <w:t>expected?</w:t>
            </w:r>
            <w:r>
              <w:rPr>
                <w:spacing w:val="-2"/>
                <w:sz w:val="18"/>
              </w:rPr>
              <w:t> </w:t>
            </w:r>
            <w:r>
              <w:rPr>
                <w:sz w:val="18"/>
              </w:rPr>
              <w:t>How</w:t>
            </w:r>
            <w:r>
              <w:rPr>
                <w:spacing w:val="-2"/>
                <w:sz w:val="18"/>
              </w:rPr>
              <w:t> </w:t>
            </w:r>
            <w:r>
              <w:rPr>
                <w:sz w:val="18"/>
              </w:rPr>
              <w:t>is</w:t>
            </w:r>
            <w:r>
              <w:rPr>
                <w:spacing w:val="-4"/>
                <w:sz w:val="18"/>
              </w:rPr>
              <w:t> </w:t>
            </w:r>
            <w:r>
              <w:rPr>
                <w:sz w:val="18"/>
              </w:rPr>
              <w:t>it</w:t>
            </w:r>
            <w:r>
              <w:rPr>
                <w:spacing w:val="-2"/>
                <w:sz w:val="18"/>
              </w:rPr>
              <w:t> </w:t>
            </w:r>
            <w:r>
              <w:rPr>
                <w:sz w:val="18"/>
              </w:rPr>
              <w:t>better/</w:t>
            </w:r>
            <w:r>
              <w:rPr>
                <w:spacing w:val="-2"/>
                <w:sz w:val="18"/>
              </w:rPr>
              <w:t> </w:t>
            </w:r>
            <w:r>
              <w:rPr>
                <w:sz w:val="18"/>
              </w:rPr>
              <w:t>the</w:t>
            </w:r>
            <w:r>
              <w:rPr>
                <w:spacing w:val="-1"/>
                <w:sz w:val="18"/>
              </w:rPr>
              <w:t> </w:t>
            </w:r>
            <w:r>
              <w:rPr>
                <w:sz w:val="18"/>
              </w:rPr>
              <w:t>same/ worse?</w:t>
            </w:r>
          </w:p>
        </w:tc>
      </w:tr>
      <w:tr>
        <w:trPr>
          <w:trHeight w:val="763" w:hRule="atLeast"/>
        </w:trPr>
        <w:tc>
          <w:tcPr>
            <w:tcW w:w="1980" w:type="dxa"/>
          </w:tcPr>
          <w:p>
            <w:pPr>
              <w:pStyle w:val="TableParagraph"/>
              <w:spacing w:line="196" w:lineRule="exact"/>
              <w:ind w:left="107"/>
              <w:rPr>
                <w:sz w:val="16"/>
              </w:rPr>
            </w:pPr>
            <w:r>
              <w:rPr>
                <w:sz w:val="16"/>
              </w:rPr>
              <w:t>Shared</w:t>
            </w:r>
            <w:r>
              <w:rPr>
                <w:spacing w:val="-1"/>
                <w:sz w:val="16"/>
              </w:rPr>
              <w:t> </w:t>
            </w:r>
            <w:r>
              <w:rPr>
                <w:sz w:val="16"/>
              </w:rPr>
              <w:t>care</w:t>
            </w:r>
            <w:r>
              <w:rPr>
                <w:spacing w:val="-2"/>
                <w:sz w:val="16"/>
              </w:rPr>
              <w:t> </w:t>
            </w:r>
            <w:r>
              <w:rPr>
                <w:sz w:val="16"/>
              </w:rPr>
              <w:t>plan</w:t>
            </w:r>
          </w:p>
        </w:tc>
        <w:tc>
          <w:tcPr>
            <w:tcW w:w="7038" w:type="dxa"/>
          </w:tcPr>
          <w:p>
            <w:pPr>
              <w:pStyle w:val="TableParagraph"/>
              <w:numPr>
                <w:ilvl w:val="0"/>
                <w:numId w:val="219"/>
              </w:numPr>
              <w:tabs>
                <w:tab w:pos="276" w:val="left" w:leader="none"/>
              </w:tabs>
              <w:spacing w:line="276" w:lineRule="auto" w:before="0" w:after="0"/>
              <w:ind w:left="275" w:right="290" w:hanging="168"/>
              <w:jc w:val="left"/>
              <w:rPr>
                <w:sz w:val="18"/>
              </w:rPr>
            </w:pPr>
            <w:r>
              <w:rPr>
                <w:sz w:val="18"/>
              </w:rPr>
              <w:t>(</w:t>
            </w:r>
            <w:r>
              <w:rPr>
                <w:b/>
                <w:sz w:val="18"/>
              </w:rPr>
              <w:t>R2</w:t>
            </w:r>
            <w:r>
              <w:rPr>
                <w:sz w:val="18"/>
              </w:rPr>
              <w:t>) What</w:t>
            </w:r>
            <w:r>
              <w:rPr>
                <w:spacing w:val="-4"/>
                <w:sz w:val="18"/>
              </w:rPr>
              <w:t> </w:t>
            </w:r>
            <w:r>
              <w:rPr>
                <w:sz w:val="18"/>
              </w:rPr>
              <w:t>experiences</w:t>
            </w:r>
            <w:r>
              <w:rPr>
                <w:spacing w:val="-6"/>
                <w:sz w:val="18"/>
              </w:rPr>
              <w:t> </w:t>
            </w:r>
            <w:r>
              <w:rPr>
                <w:sz w:val="18"/>
              </w:rPr>
              <w:t>have</w:t>
            </w:r>
            <w:r>
              <w:rPr>
                <w:spacing w:val="-2"/>
                <w:sz w:val="18"/>
              </w:rPr>
              <w:t> </w:t>
            </w:r>
            <w:r>
              <w:rPr>
                <w:sz w:val="18"/>
              </w:rPr>
              <w:t>you</w:t>
            </w:r>
            <w:r>
              <w:rPr>
                <w:spacing w:val="-3"/>
                <w:sz w:val="18"/>
              </w:rPr>
              <w:t> </w:t>
            </w:r>
            <w:r>
              <w:rPr>
                <w:sz w:val="18"/>
              </w:rPr>
              <w:t>had</w:t>
            </w:r>
            <w:r>
              <w:rPr>
                <w:spacing w:val="-3"/>
                <w:sz w:val="18"/>
              </w:rPr>
              <w:t> </w:t>
            </w:r>
            <w:r>
              <w:rPr>
                <w:sz w:val="18"/>
              </w:rPr>
              <w:t>with</w:t>
            </w:r>
            <w:r>
              <w:rPr>
                <w:spacing w:val="-3"/>
                <w:sz w:val="18"/>
              </w:rPr>
              <w:t> </w:t>
            </w:r>
            <w:r>
              <w:rPr>
                <w:sz w:val="18"/>
              </w:rPr>
              <w:t>developing</w:t>
            </w:r>
            <w:r>
              <w:rPr>
                <w:spacing w:val="-5"/>
                <w:sz w:val="18"/>
              </w:rPr>
              <w:t> </w:t>
            </w:r>
            <w:r>
              <w:rPr>
                <w:sz w:val="18"/>
              </w:rPr>
              <w:t>a</w:t>
            </w:r>
            <w:r>
              <w:rPr>
                <w:spacing w:val="-3"/>
                <w:sz w:val="18"/>
              </w:rPr>
              <w:t> </w:t>
            </w:r>
            <w:r>
              <w:rPr>
                <w:sz w:val="18"/>
              </w:rPr>
              <w:t>plan</w:t>
            </w:r>
            <w:r>
              <w:rPr>
                <w:spacing w:val="-3"/>
                <w:sz w:val="18"/>
              </w:rPr>
              <w:t> </w:t>
            </w:r>
            <w:r>
              <w:rPr>
                <w:sz w:val="18"/>
              </w:rPr>
              <w:t>with</w:t>
            </w:r>
            <w:r>
              <w:rPr>
                <w:spacing w:val="-2"/>
                <w:sz w:val="18"/>
              </w:rPr>
              <w:t> </w:t>
            </w:r>
            <w:r>
              <w:rPr>
                <w:sz w:val="18"/>
              </w:rPr>
              <w:t>your</w:t>
            </w:r>
            <w:r>
              <w:rPr>
                <w:spacing w:val="-5"/>
                <w:sz w:val="18"/>
              </w:rPr>
              <w:t> </w:t>
            </w:r>
            <w:r>
              <w:rPr>
                <w:sz w:val="18"/>
              </w:rPr>
              <w:t>GP</w:t>
            </w:r>
            <w:r>
              <w:rPr>
                <w:spacing w:val="-46"/>
                <w:sz w:val="18"/>
              </w:rPr>
              <w:t> </w:t>
            </w:r>
            <w:r>
              <w:rPr>
                <w:sz w:val="18"/>
              </w:rPr>
              <w:t>for</w:t>
            </w:r>
            <w:r>
              <w:rPr>
                <w:spacing w:val="-2"/>
                <w:sz w:val="18"/>
              </w:rPr>
              <w:t> </w:t>
            </w:r>
            <w:r>
              <w:rPr>
                <w:sz w:val="18"/>
              </w:rPr>
              <w:t>the</w:t>
            </w:r>
            <w:r>
              <w:rPr>
                <w:spacing w:val="-3"/>
                <w:sz w:val="18"/>
              </w:rPr>
              <w:t> </w:t>
            </w:r>
            <w:r>
              <w:rPr>
                <w:sz w:val="18"/>
              </w:rPr>
              <w:t>care</w:t>
            </w:r>
            <w:r>
              <w:rPr>
                <w:spacing w:val="-3"/>
                <w:sz w:val="18"/>
              </w:rPr>
              <w:t> </w:t>
            </w:r>
            <w:r>
              <w:rPr>
                <w:sz w:val="18"/>
              </w:rPr>
              <w:t>that</w:t>
            </w:r>
            <w:r>
              <w:rPr>
                <w:spacing w:val="-3"/>
                <w:sz w:val="18"/>
              </w:rPr>
              <w:t> </w:t>
            </w:r>
            <w:r>
              <w:rPr>
                <w:sz w:val="18"/>
              </w:rPr>
              <w:t>you</w:t>
            </w:r>
            <w:r>
              <w:rPr>
                <w:spacing w:val="-1"/>
                <w:sz w:val="18"/>
              </w:rPr>
              <w:t> </w:t>
            </w:r>
            <w:r>
              <w:rPr>
                <w:sz w:val="18"/>
              </w:rPr>
              <w:t>are</w:t>
            </w:r>
            <w:r>
              <w:rPr>
                <w:spacing w:val="-1"/>
                <w:sz w:val="18"/>
              </w:rPr>
              <w:t> </w:t>
            </w:r>
            <w:r>
              <w:rPr>
                <w:sz w:val="18"/>
              </w:rPr>
              <w:t>getting</w:t>
            </w:r>
            <w:r>
              <w:rPr>
                <w:spacing w:val="-3"/>
                <w:sz w:val="18"/>
              </w:rPr>
              <w:t> </w:t>
            </w:r>
            <w:r>
              <w:rPr>
                <w:sz w:val="18"/>
              </w:rPr>
              <w:t>from</w:t>
            </w:r>
            <w:r>
              <w:rPr>
                <w:spacing w:val="-5"/>
                <w:sz w:val="18"/>
              </w:rPr>
              <w:t> </w:t>
            </w:r>
            <w:r>
              <w:rPr>
                <w:sz w:val="18"/>
              </w:rPr>
              <w:t>the</w:t>
            </w:r>
            <w:r>
              <w:rPr>
                <w:spacing w:val="-1"/>
                <w:sz w:val="18"/>
              </w:rPr>
              <w:t> </w:t>
            </w:r>
            <w:r>
              <w:rPr>
                <w:sz w:val="18"/>
              </w:rPr>
              <w:t>GP</w:t>
            </w:r>
            <w:r>
              <w:rPr>
                <w:spacing w:val="-3"/>
                <w:sz w:val="18"/>
              </w:rPr>
              <w:t> </w:t>
            </w:r>
            <w:r>
              <w:rPr>
                <w:sz w:val="18"/>
              </w:rPr>
              <w:t>and</w:t>
            </w:r>
            <w:r>
              <w:rPr>
                <w:spacing w:val="-2"/>
                <w:sz w:val="18"/>
              </w:rPr>
              <w:t> </w:t>
            </w:r>
            <w:r>
              <w:rPr>
                <w:sz w:val="18"/>
              </w:rPr>
              <w:t>from</w:t>
            </w:r>
            <w:r>
              <w:rPr>
                <w:spacing w:val="-2"/>
                <w:sz w:val="18"/>
              </w:rPr>
              <w:t> </w:t>
            </w:r>
            <w:r>
              <w:rPr>
                <w:sz w:val="18"/>
              </w:rPr>
              <w:t>other</w:t>
            </w:r>
            <w:r>
              <w:rPr>
                <w:spacing w:val="-1"/>
                <w:sz w:val="18"/>
              </w:rPr>
              <w:t> </w:t>
            </w:r>
            <w:r>
              <w:rPr>
                <w:sz w:val="18"/>
              </w:rPr>
              <w:t>healthcare</w:t>
            </w:r>
          </w:p>
          <w:p>
            <w:pPr>
              <w:pStyle w:val="TableParagraph"/>
              <w:ind w:left="275"/>
              <w:rPr>
                <w:sz w:val="18"/>
              </w:rPr>
            </w:pPr>
            <w:r>
              <w:rPr>
                <w:sz w:val="18"/>
              </w:rPr>
              <w:t>providers?</w:t>
            </w:r>
          </w:p>
        </w:tc>
      </w:tr>
    </w:tbl>
    <w:p>
      <w:pPr>
        <w:spacing w:after="0"/>
        <w:rPr>
          <w:sz w:val="18"/>
        </w:rPr>
        <w:sectPr>
          <w:type w:val="continuous"/>
          <w:pgSz w:w="11910" w:h="16840"/>
          <w:pgMar w:header="0" w:footer="948" w:top="1420" w:bottom="1830" w:left="300" w:right="0"/>
        </w:sectPr>
      </w:pPr>
    </w:p>
    <w:tbl>
      <w:tblPr>
        <w:tblW w:w="0" w:type="auto"/>
        <w:jc w:val="left"/>
        <w:tblInd w:w="11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980"/>
        <w:gridCol w:w="7038"/>
      </w:tblGrid>
      <w:tr>
        <w:trPr>
          <w:trHeight w:val="196" w:hRule="atLeast"/>
        </w:trPr>
        <w:tc>
          <w:tcPr>
            <w:tcW w:w="1980" w:type="dxa"/>
            <w:shd w:val="clear" w:color="auto" w:fill="003C79"/>
          </w:tcPr>
          <w:p>
            <w:pPr>
              <w:pStyle w:val="TableParagraph"/>
              <w:spacing w:line="177" w:lineRule="exact"/>
              <w:ind w:left="107"/>
              <w:rPr>
                <w:b/>
                <w:sz w:val="16"/>
              </w:rPr>
            </w:pPr>
            <w:r>
              <w:rPr>
                <w:b/>
                <w:color w:val="FFFFFF"/>
                <w:sz w:val="16"/>
              </w:rPr>
              <w:t>Topic</w:t>
            </w:r>
          </w:p>
        </w:tc>
        <w:tc>
          <w:tcPr>
            <w:tcW w:w="7038" w:type="dxa"/>
            <w:shd w:val="clear" w:color="auto" w:fill="003C79"/>
          </w:tcPr>
          <w:p>
            <w:pPr>
              <w:pStyle w:val="TableParagraph"/>
              <w:spacing w:line="177" w:lineRule="exact"/>
              <w:ind w:left="107"/>
              <w:rPr>
                <w:b/>
                <w:sz w:val="16"/>
              </w:rPr>
            </w:pPr>
            <w:r>
              <w:rPr>
                <w:b/>
                <w:color w:val="FFFFFF"/>
                <w:sz w:val="16"/>
              </w:rPr>
              <w:t>Question</w:t>
            </w:r>
          </w:p>
        </w:tc>
      </w:tr>
      <w:tr>
        <w:trPr>
          <w:trHeight w:val="1468" w:hRule="atLeast"/>
        </w:trPr>
        <w:tc>
          <w:tcPr>
            <w:tcW w:w="1980" w:type="dxa"/>
          </w:tcPr>
          <w:p>
            <w:pPr>
              <w:pStyle w:val="TableParagraph"/>
              <w:rPr>
                <w:rFonts w:ascii="Times New Roman"/>
                <w:sz w:val="16"/>
              </w:rPr>
            </w:pPr>
          </w:p>
        </w:tc>
        <w:tc>
          <w:tcPr>
            <w:tcW w:w="7038" w:type="dxa"/>
          </w:tcPr>
          <w:p>
            <w:pPr>
              <w:pStyle w:val="TableParagraph"/>
              <w:numPr>
                <w:ilvl w:val="0"/>
                <w:numId w:val="220"/>
              </w:numPr>
              <w:tabs>
                <w:tab w:pos="276" w:val="left" w:leader="none"/>
              </w:tabs>
              <w:spacing w:line="276" w:lineRule="auto" w:before="0" w:after="0"/>
              <w:ind w:left="275" w:right="220" w:hanging="168"/>
              <w:jc w:val="left"/>
              <w:rPr>
                <w:sz w:val="18"/>
              </w:rPr>
            </w:pPr>
            <w:r>
              <w:rPr>
                <w:sz w:val="18"/>
              </w:rPr>
              <w:t>(</w:t>
            </w:r>
            <w:r>
              <w:rPr>
                <w:b/>
                <w:sz w:val="18"/>
              </w:rPr>
              <w:t>R4/R5</w:t>
            </w:r>
            <w:r>
              <w:rPr>
                <w:sz w:val="18"/>
              </w:rPr>
              <w:t>) In what ways has the plan that you have with your GP about the</w:t>
            </w:r>
            <w:r>
              <w:rPr>
                <w:spacing w:val="1"/>
                <w:sz w:val="18"/>
              </w:rPr>
              <w:t> </w:t>
            </w:r>
            <w:r>
              <w:rPr>
                <w:sz w:val="18"/>
              </w:rPr>
              <w:t>care</w:t>
            </w:r>
            <w:r>
              <w:rPr>
                <w:spacing w:val="-2"/>
                <w:sz w:val="18"/>
              </w:rPr>
              <w:t> </w:t>
            </w:r>
            <w:r>
              <w:rPr>
                <w:sz w:val="18"/>
              </w:rPr>
              <w:t>that</w:t>
            </w:r>
            <w:r>
              <w:rPr>
                <w:spacing w:val="-4"/>
                <w:sz w:val="18"/>
              </w:rPr>
              <w:t> </w:t>
            </w:r>
            <w:r>
              <w:rPr>
                <w:sz w:val="18"/>
              </w:rPr>
              <w:t>you</w:t>
            </w:r>
            <w:r>
              <w:rPr>
                <w:spacing w:val="-1"/>
                <w:sz w:val="18"/>
              </w:rPr>
              <w:t> </w:t>
            </w:r>
            <w:r>
              <w:rPr>
                <w:sz w:val="18"/>
              </w:rPr>
              <w:t>are</w:t>
            </w:r>
            <w:r>
              <w:rPr>
                <w:spacing w:val="-4"/>
                <w:sz w:val="18"/>
              </w:rPr>
              <w:t> </w:t>
            </w:r>
            <w:r>
              <w:rPr>
                <w:sz w:val="18"/>
              </w:rPr>
              <w:t>getting</w:t>
            </w:r>
            <w:r>
              <w:rPr>
                <w:spacing w:val="-4"/>
                <w:sz w:val="18"/>
              </w:rPr>
              <w:t> </w:t>
            </w:r>
            <w:r>
              <w:rPr>
                <w:sz w:val="18"/>
              </w:rPr>
              <w:t>from</w:t>
            </w:r>
            <w:r>
              <w:rPr>
                <w:spacing w:val="-2"/>
                <w:sz w:val="18"/>
              </w:rPr>
              <w:t> </w:t>
            </w:r>
            <w:r>
              <w:rPr>
                <w:sz w:val="18"/>
              </w:rPr>
              <w:t>the</w:t>
            </w:r>
            <w:r>
              <w:rPr>
                <w:spacing w:val="-2"/>
                <w:sz w:val="18"/>
              </w:rPr>
              <w:t> </w:t>
            </w:r>
            <w:r>
              <w:rPr>
                <w:sz w:val="18"/>
              </w:rPr>
              <w:t>GP</w:t>
            </w:r>
            <w:r>
              <w:rPr>
                <w:spacing w:val="-4"/>
                <w:sz w:val="18"/>
              </w:rPr>
              <w:t> </w:t>
            </w:r>
            <w:r>
              <w:rPr>
                <w:sz w:val="18"/>
              </w:rPr>
              <w:t>and</w:t>
            </w:r>
            <w:r>
              <w:rPr>
                <w:spacing w:val="-2"/>
                <w:sz w:val="18"/>
              </w:rPr>
              <w:t> </w:t>
            </w:r>
            <w:r>
              <w:rPr>
                <w:sz w:val="18"/>
              </w:rPr>
              <w:t>from</w:t>
            </w:r>
            <w:r>
              <w:rPr>
                <w:spacing w:val="-6"/>
                <w:sz w:val="18"/>
              </w:rPr>
              <w:t> </w:t>
            </w:r>
            <w:r>
              <w:rPr>
                <w:sz w:val="18"/>
              </w:rPr>
              <w:t>other</w:t>
            </w:r>
            <w:r>
              <w:rPr>
                <w:spacing w:val="-2"/>
                <w:sz w:val="18"/>
              </w:rPr>
              <w:t> </w:t>
            </w:r>
            <w:r>
              <w:rPr>
                <w:sz w:val="18"/>
              </w:rPr>
              <w:t>healthcare</w:t>
            </w:r>
            <w:r>
              <w:rPr>
                <w:spacing w:val="-1"/>
                <w:sz w:val="18"/>
              </w:rPr>
              <w:t> </w:t>
            </w:r>
            <w:r>
              <w:rPr>
                <w:sz w:val="18"/>
              </w:rPr>
              <w:t>providers</w:t>
            </w:r>
            <w:r>
              <w:rPr>
                <w:spacing w:val="-47"/>
                <w:sz w:val="18"/>
              </w:rPr>
              <w:t> </w:t>
            </w:r>
            <w:r>
              <w:rPr>
                <w:sz w:val="18"/>
              </w:rPr>
              <w:t>been</w:t>
            </w:r>
            <w:r>
              <w:rPr>
                <w:spacing w:val="-1"/>
                <w:sz w:val="18"/>
              </w:rPr>
              <w:t> </w:t>
            </w:r>
            <w:r>
              <w:rPr>
                <w:sz w:val="18"/>
              </w:rPr>
              <w:t>useful?</w:t>
            </w:r>
          </w:p>
          <w:p>
            <w:pPr>
              <w:pStyle w:val="TableParagraph"/>
              <w:numPr>
                <w:ilvl w:val="0"/>
                <w:numId w:val="220"/>
              </w:numPr>
              <w:tabs>
                <w:tab w:pos="276" w:val="left" w:leader="none"/>
              </w:tabs>
              <w:spacing w:line="276" w:lineRule="auto" w:before="0" w:after="0"/>
              <w:ind w:left="275" w:right="573" w:hanging="168"/>
              <w:jc w:val="left"/>
              <w:rPr>
                <w:sz w:val="18"/>
              </w:rPr>
            </w:pPr>
            <w:r>
              <w:rPr>
                <w:sz w:val="18"/>
              </w:rPr>
              <w:t>Has your plan been uploaded in </w:t>
            </w:r>
            <w:r>
              <w:rPr>
                <w:i/>
                <w:sz w:val="18"/>
              </w:rPr>
              <w:t>My Health Record</w:t>
            </w:r>
            <w:r>
              <w:rPr>
                <w:sz w:val="18"/>
              </w:rPr>
              <w:t>? If so, has this been</w:t>
            </w:r>
            <w:r>
              <w:rPr>
                <w:spacing w:val="-47"/>
                <w:sz w:val="18"/>
              </w:rPr>
              <w:t> </w:t>
            </w:r>
            <w:r>
              <w:rPr>
                <w:sz w:val="18"/>
              </w:rPr>
              <w:t>useful?</w:t>
            </w:r>
            <w:r>
              <w:rPr>
                <w:spacing w:val="-4"/>
                <w:sz w:val="18"/>
              </w:rPr>
              <w:t> </w:t>
            </w:r>
            <w:r>
              <w:rPr>
                <w:sz w:val="18"/>
              </w:rPr>
              <w:t>If</w:t>
            </w:r>
            <w:r>
              <w:rPr>
                <w:spacing w:val="-2"/>
                <w:sz w:val="18"/>
              </w:rPr>
              <w:t> </w:t>
            </w:r>
            <w:r>
              <w:rPr>
                <w:sz w:val="18"/>
              </w:rPr>
              <w:t>not</w:t>
            </w:r>
            <w:r>
              <w:rPr>
                <w:spacing w:val="-2"/>
                <w:sz w:val="18"/>
              </w:rPr>
              <w:t> </w:t>
            </w:r>
            <w:r>
              <w:rPr>
                <w:sz w:val="18"/>
              </w:rPr>
              <w:t>uploaded,</w:t>
            </w:r>
            <w:r>
              <w:rPr>
                <w:spacing w:val="-2"/>
                <w:sz w:val="18"/>
              </w:rPr>
              <w:t> </w:t>
            </w:r>
            <w:r>
              <w:rPr>
                <w:sz w:val="18"/>
              </w:rPr>
              <w:t>why not?</w:t>
            </w:r>
          </w:p>
        </w:tc>
      </w:tr>
      <w:tr>
        <w:trPr>
          <w:trHeight w:val="1216" w:hRule="atLeast"/>
        </w:trPr>
        <w:tc>
          <w:tcPr>
            <w:tcW w:w="1980" w:type="dxa"/>
          </w:tcPr>
          <w:p>
            <w:pPr>
              <w:pStyle w:val="TableParagraph"/>
              <w:spacing w:line="196" w:lineRule="exact"/>
              <w:ind w:left="107"/>
              <w:rPr>
                <w:sz w:val="16"/>
              </w:rPr>
            </w:pPr>
            <w:r>
              <w:rPr>
                <w:sz w:val="16"/>
              </w:rPr>
              <w:t>What</w:t>
            </w:r>
            <w:r>
              <w:rPr>
                <w:spacing w:val="-3"/>
                <w:sz w:val="16"/>
              </w:rPr>
              <w:t> </w:t>
            </w:r>
            <w:r>
              <w:rPr>
                <w:sz w:val="16"/>
              </w:rPr>
              <w:t>works?</w:t>
            </w:r>
          </w:p>
        </w:tc>
        <w:tc>
          <w:tcPr>
            <w:tcW w:w="7038" w:type="dxa"/>
          </w:tcPr>
          <w:p>
            <w:pPr>
              <w:pStyle w:val="TableParagraph"/>
              <w:numPr>
                <w:ilvl w:val="0"/>
                <w:numId w:val="221"/>
              </w:numPr>
              <w:tabs>
                <w:tab w:pos="276" w:val="left" w:leader="none"/>
              </w:tabs>
              <w:spacing w:line="276" w:lineRule="auto" w:before="0" w:after="0"/>
              <w:ind w:left="275" w:right="537" w:hanging="168"/>
              <w:jc w:val="left"/>
              <w:rPr>
                <w:sz w:val="18"/>
              </w:rPr>
            </w:pPr>
            <w:r>
              <w:rPr>
                <w:sz w:val="18"/>
              </w:rPr>
              <w:t>What</w:t>
            </w:r>
            <w:r>
              <w:rPr>
                <w:spacing w:val="-4"/>
                <w:sz w:val="18"/>
              </w:rPr>
              <w:t> </w:t>
            </w:r>
            <w:r>
              <w:rPr>
                <w:sz w:val="18"/>
              </w:rPr>
              <w:t>has</w:t>
            </w:r>
            <w:r>
              <w:rPr>
                <w:spacing w:val="-2"/>
                <w:sz w:val="18"/>
              </w:rPr>
              <w:t> </w:t>
            </w:r>
            <w:r>
              <w:rPr>
                <w:sz w:val="18"/>
              </w:rPr>
              <w:t>been</w:t>
            </w:r>
            <w:r>
              <w:rPr>
                <w:spacing w:val="-2"/>
                <w:sz w:val="18"/>
              </w:rPr>
              <w:t> </w:t>
            </w:r>
            <w:r>
              <w:rPr>
                <w:sz w:val="18"/>
              </w:rPr>
              <w:t>the</w:t>
            </w:r>
            <w:r>
              <w:rPr>
                <w:spacing w:val="-1"/>
                <w:sz w:val="18"/>
              </w:rPr>
              <w:t> </w:t>
            </w:r>
            <w:r>
              <w:rPr>
                <w:sz w:val="18"/>
              </w:rPr>
              <w:t>most</w:t>
            </w:r>
            <w:r>
              <w:rPr>
                <w:spacing w:val="-4"/>
                <w:sz w:val="18"/>
              </w:rPr>
              <w:t> </w:t>
            </w:r>
            <w:r>
              <w:rPr>
                <w:sz w:val="18"/>
              </w:rPr>
              <w:t>helpful</w:t>
            </w:r>
            <w:r>
              <w:rPr>
                <w:spacing w:val="-1"/>
                <w:sz w:val="18"/>
              </w:rPr>
              <w:t> </w:t>
            </w:r>
            <w:r>
              <w:rPr>
                <w:sz w:val="18"/>
              </w:rPr>
              <w:t>for</w:t>
            </w:r>
            <w:r>
              <w:rPr>
                <w:spacing w:val="-2"/>
                <w:sz w:val="18"/>
              </w:rPr>
              <w:t> </w:t>
            </w:r>
            <w:r>
              <w:rPr>
                <w:sz w:val="18"/>
              </w:rPr>
              <w:t>you</w:t>
            </w:r>
            <w:r>
              <w:rPr>
                <w:spacing w:val="-3"/>
                <w:sz w:val="18"/>
              </w:rPr>
              <w:t> </w:t>
            </w:r>
            <w:r>
              <w:rPr>
                <w:sz w:val="18"/>
              </w:rPr>
              <w:t>in</w:t>
            </w:r>
            <w:r>
              <w:rPr>
                <w:spacing w:val="-3"/>
                <w:sz w:val="18"/>
              </w:rPr>
              <w:t> </w:t>
            </w:r>
            <w:r>
              <w:rPr>
                <w:sz w:val="18"/>
              </w:rPr>
              <w:t>the</w:t>
            </w:r>
            <w:r>
              <w:rPr>
                <w:spacing w:val="-4"/>
                <w:sz w:val="18"/>
              </w:rPr>
              <w:t> </w:t>
            </w:r>
            <w:r>
              <w:rPr>
                <w:sz w:val="18"/>
              </w:rPr>
              <w:t>care</w:t>
            </w:r>
            <w:r>
              <w:rPr>
                <w:spacing w:val="-1"/>
                <w:sz w:val="18"/>
              </w:rPr>
              <w:t> </w:t>
            </w:r>
            <w:r>
              <w:rPr>
                <w:sz w:val="18"/>
              </w:rPr>
              <w:t>that</w:t>
            </w:r>
            <w:r>
              <w:rPr>
                <w:spacing w:val="-6"/>
                <w:sz w:val="18"/>
              </w:rPr>
              <w:t> </w:t>
            </w:r>
            <w:r>
              <w:rPr>
                <w:sz w:val="18"/>
              </w:rPr>
              <w:t>you</w:t>
            </w:r>
            <w:r>
              <w:rPr>
                <w:spacing w:val="-1"/>
                <w:sz w:val="18"/>
              </w:rPr>
              <w:t> </w:t>
            </w:r>
            <w:r>
              <w:rPr>
                <w:sz w:val="18"/>
              </w:rPr>
              <w:t>have</w:t>
            </w:r>
            <w:r>
              <w:rPr>
                <w:spacing w:val="-1"/>
                <w:sz w:val="18"/>
              </w:rPr>
              <w:t> </w:t>
            </w:r>
            <w:r>
              <w:rPr>
                <w:sz w:val="18"/>
              </w:rPr>
              <w:t>been</w:t>
            </w:r>
            <w:r>
              <w:rPr>
                <w:spacing w:val="-47"/>
                <w:sz w:val="18"/>
              </w:rPr>
              <w:t> </w:t>
            </w:r>
            <w:r>
              <w:rPr>
                <w:sz w:val="18"/>
              </w:rPr>
              <w:t>getting</w:t>
            </w:r>
            <w:r>
              <w:rPr>
                <w:spacing w:val="-4"/>
                <w:sz w:val="18"/>
              </w:rPr>
              <w:t> </w:t>
            </w:r>
            <w:r>
              <w:rPr>
                <w:sz w:val="18"/>
              </w:rPr>
              <w:t>through</w:t>
            </w:r>
            <w:r>
              <w:rPr>
                <w:spacing w:val="-2"/>
                <w:sz w:val="18"/>
              </w:rPr>
              <w:t> </w:t>
            </w:r>
            <w:r>
              <w:rPr>
                <w:sz w:val="18"/>
              </w:rPr>
              <w:t>HCH</w:t>
            </w:r>
            <w:r>
              <w:rPr>
                <w:spacing w:val="-2"/>
                <w:sz w:val="18"/>
              </w:rPr>
              <w:t> </w:t>
            </w:r>
            <w:r>
              <w:rPr>
                <w:sz w:val="18"/>
              </w:rPr>
              <w:t>to</w:t>
            </w:r>
            <w:r>
              <w:rPr>
                <w:spacing w:val="-2"/>
                <w:sz w:val="18"/>
              </w:rPr>
              <w:t> </w:t>
            </w:r>
            <w:r>
              <w:rPr>
                <w:sz w:val="18"/>
              </w:rPr>
              <w:t>manage</w:t>
            </w:r>
            <w:r>
              <w:rPr>
                <w:spacing w:val="-1"/>
                <w:sz w:val="18"/>
              </w:rPr>
              <w:t> </w:t>
            </w:r>
            <w:r>
              <w:rPr>
                <w:sz w:val="18"/>
              </w:rPr>
              <w:t>your</w:t>
            </w:r>
            <w:r>
              <w:rPr>
                <w:spacing w:val="-2"/>
                <w:sz w:val="18"/>
              </w:rPr>
              <w:t> </w:t>
            </w:r>
            <w:r>
              <w:rPr>
                <w:sz w:val="18"/>
              </w:rPr>
              <w:t>conditions?</w:t>
            </w:r>
            <w:r>
              <w:rPr>
                <w:spacing w:val="-3"/>
                <w:sz w:val="18"/>
              </w:rPr>
              <w:t> </w:t>
            </w:r>
            <w:r>
              <w:rPr>
                <w:sz w:val="18"/>
              </w:rPr>
              <w:t>How</w:t>
            </w:r>
            <w:r>
              <w:rPr>
                <w:spacing w:val="-3"/>
                <w:sz w:val="18"/>
              </w:rPr>
              <w:t> </w:t>
            </w:r>
            <w:r>
              <w:rPr>
                <w:sz w:val="18"/>
              </w:rPr>
              <w:t>is</w:t>
            </w:r>
            <w:r>
              <w:rPr>
                <w:spacing w:val="-3"/>
                <w:sz w:val="18"/>
              </w:rPr>
              <w:t> </w:t>
            </w:r>
            <w:r>
              <w:rPr>
                <w:sz w:val="18"/>
              </w:rPr>
              <w:t>this</w:t>
            </w:r>
            <w:r>
              <w:rPr>
                <w:spacing w:val="-2"/>
                <w:sz w:val="18"/>
              </w:rPr>
              <w:t> </w:t>
            </w:r>
            <w:r>
              <w:rPr>
                <w:sz w:val="18"/>
              </w:rPr>
              <w:t>helpful?</w:t>
            </w:r>
          </w:p>
          <w:p>
            <w:pPr>
              <w:pStyle w:val="TableParagraph"/>
              <w:numPr>
                <w:ilvl w:val="0"/>
                <w:numId w:val="221"/>
              </w:numPr>
              <w:tabs>
                <w:tab w:pos="276" w:val="left" w:leader="none"/>
              </w:tabs>
              <w:spacing w:line="240" w:lineRule="auto" w:before="0" w:after="0"/>
              <w:ind w:left="275" w:right="0" w:hanging="169"/>
              <w:jc w:val="left"/>
              <w:rPr>
                <w:sz w:val="18"/>
              </w:rPr>
            </w:pPr>
            <w:r>
              <w:rPr>
                <w:sz w:val="18"/>
              </w:rPr>
              <w:t>What</w:t>
            </w:r>
            <w:r>
              <w:rPr>
                <w:spacing w:val="-6"/>
                <w:sz w:val="18"/>
              </w:rPr>
              <w:t> </w:t>
            </w:r>
            <w:r>
              <w:rPr>
                <w:sz w:val="18"/>
              </w:rPr>
              <w:t>else</w:t>
            </w:r>
            <w:r>
              <w:rPr>
                <w:spacing w:val="-3"/>
                <w:sz w:val="18"/>
              </w:rPr>
              <w:t> </w:t>
            </w:r>
            <w:r>
              <w:rPr>
                <w:sz w:val="18"/>
              </w:rPr>
              <w:t>has</w:t>
            </w:r>
            <w:r>
              <w:rPr>
                <w:spacing w:val="-4"/>
                <w:sz w:val="18"/>
              </w:rPr>
              <w:t> </w:t>
            </w:r>
            <w:r>
              <w:rPr>
                <w:sz w:val="18"/>
              </w:rPr>
              <w:t>been</w:t>
            </w:r>
            <w:r>
              <w:rPr>
                <w:spacing w:val="-3"/>
                <w:sz w:val="18"/>
              </w:rPr>
              <w:t> </w:t>
            </w:r>
            <w:r>
              <w:rPr>
                <w:sz w:val="18"/>
              </w:rPr>
              <w:t>helpful?</w:t>
            </w:r>
            <w:r>
              <w:rPr>
                <w:spacing w:val="-5"/>
                <w:sz w:val="18"/>
              </w:rPr>
              <w:t> </w:t>
            </w:r>
            <w:r>
              <w:rPr>
                <w:sz w:val="18"/>
              </w:rPr>
              <w:t>How?</w:t>
            </w:r>
          </w:p>
          <w:p>
            <w:pPr>
              <w:pStyle w:val="TableParagraph"/>
              <w:numPr>
                <w:ilvl w:val="0"/>
                <w:numId w:val="221"/>
              </w:numPr>
              <w:tabs>
                <w:tab w:pos="276" w:val="left" w:leader="none"/>
              </w:tabs>
              <w:spacing w:line="240" w:lineRule="auto" w:before="33" w:after="0"/>
              <w:ind w:left="275" w:right="0" w:hanging="169"/>
              <w:jc w:val="left"/>
              <w:rPr>
                <w:sz w:val="18"/>
              </w:rPr>
            </w:pPr>
            <w:r>
              <w:rPr>
                <w:sz w:val="18"/>
              </w:rPr>
              <w:t>What</w:t>
            </w:r>
            <w:r>
              <w:rPr>
                <w:spacing w:val="-4"/>
                <w:sz w:val="18"/>
              </w:rPr>
              <w:t> </w:t>
            </w:r>
            <w:r>
              <w:rPr>
                <w:sz w:val="18"/>
              </w:rPr>
              <w:t>hasn’t</w:t>
            </w:r>
            <w:r>
              <w:rPr>
                <w:spacing w:val="-4"/>
                <w:sz w:val="18"/>
              </w:rPr>
              <w:t> </w:t>
            </w:r>
            <w:r>
              <w:rPr>
                <w:sz w:val="18"/>
              </w:rPr>
              <w:t>been</w:t>
            </w:r>
            <w:r>
              <w:rPr>
                <w:spacing w:val="-1"/>
                <w:sz w:val="18"/>
              </w:rPr>
              <w:t> </w:t>
            </w:r>
            <w:r>
              <w:rPr>
                <w:sz w:val="18"/>
              </w:rPr>
              <w:t>helpful?</w:t>
            </w:r>
            <w:r>
              <w:rPr>
                <w:spacing w:val="-5"/>
                <w:sz w:val="18"/>
              </w:rPr>
              <w:t> </w:t>
            </w:r>
            <w:r>
              <w:rPr>
                <w:sz w:val="18"/>
              </w:rPr>
              <w:t>How</w:t>
            </w:r>
            <w:r>
              <w:rPr>
                <w:spacing w:val="-3"/>
                <w:sz w:val="18"/>
              </w:rPr>
              <w:t> </w:t>
            </w:r>
            <w:r>
              <w:rPr>
                <w:sz w:val="18"/>
              </w:rPr>
              <w:t>is</w:t>
            </w:r>
            <w:r>
              <w:rPr>
                <w:spacing w:val="-3"/>
                <w:sz w:val="18"/>
              </w:rPr>
              <w:t> </w:t>
            </w:r>
            <w:r>
              <w:rPr>
                <w:sz w:val="18"/>
              </w:rPr>
              <w:t>this</w:t>
            </w:r>
            <w:r>
              <w:rPr>
                <w:spacing w:val="-5"/>
                <w:sz w:val="18"/>
              </w:rPr>
              <w:t> </w:t>
            </w:r>
            <w:r>
              <w:rPr>
                <w:sz w:val="18"/>
              </w:rPr>
              <w:t>not</w:t>
            </w:r>
            <w:r>
              <w:rPr>
                <w:spacing w:val="-3"/>
                <w:sz w:val="18"/>
              </w:rPr>
              <w:t> </w:t>
            </w:r>
            <w:r>
              <w:rPr>
                <w:sz w:val="18"/>
              </w:rPr>
              <w:t>helpful</w:t>
            </w:r>
            <w:r>
              <w:rPr>
                <w:spacing w:val="-2"/>
                <w:sz w:val="18"/>
              </w:rPr>
              <w:t> </w:t>
            </w:r>
            <w:r>
              <w:rPr>
                <w:sz w:val="18"/>
              </w:rPr>
              <w:t>to</w:t>
            </w:r>
            <w:r>
              <w:rPr>
                <w:spacing w:val="-2"/>
                <w:sz w:val="18"/>
              </w:rPr>
              <w:t> </w:t>
            </w:r>
            <w:r>
              <w:rPr>
                <w:sz w:val="18"/>
              </w:rPr>
              <w:t>you?</w:t>
            </w:r>
          </w:p>
        </w:tc>
      </w:tr>
      <w:tr>
        <w:trPr>
          <w:trHeight w:val="1303" w:hRule="atLeast"/>
        </w:trPr>
        <w:tc>
          <w:tcPr>
            <w:tcW w:w="1980" w:type="dxa"/>
          </w:tcPr>
          <w:p>
            <w:pPr>
              <w:pStyle w:val="TableParagraph"/>
              <w:spacing w:line="196" w:lineRule="exact"/>
              <w:ind w:left="107"/>
              <w:rPr>
                <w:sz w:val="16"/>
              </w:rPr>
            </w:pPr>
            <w:r>
              <w:rPr>
                <w:sz w:val="16"/>
              </w:rPr>
              <w:t>Medications</w:t>
            </w:r>
          </w:p>
        </w:tc>
        <w:tc>
          <w:tcPr>
            <w:tcW w:w="7038" w:type="dxa"/>
          </w:tcPr>
          <w:p>
            <w:pPr>
              <w:pStyle w:val="TableParagraph"/>
              <w:numPr>
                <w:ilvl w:val="0"/>
                <w:numId w:val="222"/>
              </w:numPr>
              <w:tabs>
                <w:tab w:pos="329" w:val="left" w:leader="none"/>
              </w:tabs>
              <w:spacing w:line="240" w:lineRule="auto" w:before="0" w:after="0"/>
              <w:ind w:left="278" w:right="777" w:hanging="171"/>
              <w:jc w:val="left"/>
              <w:rPr>
                <w:sz w:val="18"/>
              </w:rPr>
            </w:pPr>
            <w:r>
              <w:rPr/>
              <w:tab/>
            </w:r>
            <w:r>
              <w:rPr>
                <w:sz w:val="18"/>
              </w:rPr>
              <w:t>Has</w:t>
            </w:r>
            <w:r>
              <w:rPr>
                <w:spacing w:val="-4"/>
                <w:sz w:val="18"/>
              </w:rPr>
              <w:t> </w:t>
            </w:r>
            <w:r>
              <w:rPr>
                <w:sz w:val="18"/>
              </w:rPr>
              <w:t>a</w:t>
            </w:r>
            <w:r>
              <w:rPr>
                <w:spacing w:val="-3"/>
                <w:sz w:val="18"/>
              </w:rPr>
              <w:t> </w:t>
            </w:r>
            <w:r>
              <w:rPr>
                <w:sz w:val="18"/>
              </w:rPr>
              <w:t>GP</w:t>
            </w:r>
            <w:r>
              <w:rPr>
                <w:spacing w:val="-3"/>
                <w:sz w:val="18"/>
              </w:rPr>
              <w:t> </w:t>
            </w:r>
            <w:r>
              <w:rPr>
                <w:sz w:val="18"/>
              </w:rPr>
              <w:t>or</w:t>
            </w:r>
            <w:r>
              <w:rPr>
                <w:spacing w:val="-1"/>
                <w:sz w:val="18"/>
              </w:rPr>
              <w:t> </w:t>
            </w:r>
            <w:r>
              <w:rPr>
                <w:sz w:val="18"/>
              </w:rPr>
              <w:t>pharmacist</w:t>
            </w:r>
            <w:r>
              <w:rPr>
                <w:spacing w:val="-5"/>
                <w:sz w:val="18"/>
              </w:rPr>
              <w:t> </w:t>
            </w:r>
            <w:r>
              <w:rPr>
                <w:sz w:val="18"/>
              </w:rPr>
              <w:t>recently</w:t>
            </w:r>
            <w:r>
              <w:rPr>
                <w:spacing w:val="-3"/>
                <w:sz w:val="18"/>
              </w:rPr>
              <w:t> </w:t>
            </w:r>
            <w:r>
              <w:rPr>
                <w:sz w:val="18"/>
              </w:rPr>
              <w:t>reviewed</w:t>
            </w:r>
            <w:r>
              <w:rPr>
                <w:spacing w:val="-3"/>
                <w:sz w:val="18"/>
              </w:rPr>
              <w:t> </w:t>
            </w:r>
            <w:r>
              <w:rPr>
                <w:sz w:val="18"/>
              </w:rPr>
              <w:t>all</w:t>
            </w:r>
            <w:r>
              <w:rPr>
                <w:spacing w:val="-2"/>
                <w:sz w:val="18"/>
              </w:rPr>
              <w:t> </w:t>
            </w:r>
            <w:r>
              <w:rPr>
                <w:sz w:val="18"/>
              </w:rPr>
              <w:t>the</w:t>
            </w:r>
            <w:r>
              <w:rPr>
                <w:spacing w:val="-5"/>
                <w:sz w:val="18"/>
              </w:rPr>
              <w:t> </w:t>
            </w:r>
            <w:r>
              <w:rPr>
                <w:sz w:val="18"/>
              </w:rPr>
              <w:t>medicines</w:t>
            </w:r>
            <w:r>
              <w:rPr>
                <w:spacing w:val="-3"/>
                <w:sz w:val="18"/>
              </w:rPr>
              <w:t> </w:t>
            </w:r>
            <w:r>
              <w:rPr>
                <w:sz w:val="18"/>
              </w:rPr>
              <w:t>you</w:t>
            </w:r>
            <w:r>
              <w:rPr>
                <w:spacing w:val="-2"/>
                <w:sz w:val="18"/>
              </w:rPr>
              <w:t> </w:t>
            </w:r>
            <w:r>
              <w:rPr>
                <w:sz w:val="18"/>
              </w:rPr>
              <w:t>are</w:t>
            </w:r>
            <w:r>
              <w:rPr>
                <w:spacing w:val="-47"/>
                <w:sz w:val="18"/>
              </w:rPr>
              <w:t> </w:t>
            </w:r>
            <w:r>
              <w:rPr>
                <w:sz w:val="18"/>
              </w:rPr>
              <w:t>taking?</w:t>
            </w:r>
            <w:r>
              <w:rPr>
                <w:spacing w:val="-4"/>
                <w:sz w:val="18"/>
              </w:rPr>
              <w:t> </w:t>
            </w:r>
            <w:r>
              <w:rPr>
                <w:sz w:val="18"/>
              </w:rPr>
              <w:t>If so:</w:t>
            </w:r>
          </w:p>
          <w:p>
            <w:pPr>
              <w:pStyle w:val="TableParagraph"/>
              <w:numPr>
                <w:ilvl w:val="1"/>
                <w:numId w:val="222"/>
              </w:numPr>
              <w:tabs>
                <w:tab w:pos="421" w:val="left" w:leader="none"/>
              </w:tabs>
              <w:spacing w:line="240" w:lineRule="auto" w:before="0" w:after="0"/>
              <w:ind w:left="420" w:right="0" w:hanging="146"/>
              <w:jc w:val="left"/>
              <w:rPr>
                <w:sz w:val="18"/>
              </w:rPr>
            </w:pPr>
            <w:r>
              <w:rPr>
                <w:sz w:val="18"/>
              </w:rPr>
              <w:t>Can</w:t>
            </w:r>
            <w:r>
              <w:rPr>
                <w:spacing w:val="-2"/>
                <w:sz w:val="18"/>
              </w:rPr>
              <w:t> </w:t>
            </w:r>
            <w:r>
              <w:rPr>
                <w:sz w:val="18"/>
              </w:rPr>
              <w:t>you</w:t>
            </w:r>
            <w:r>
              <w:rPr>
                <w:spacing w:val="-1"/>
                <w:sz w:val="18"/>
              </w:rPr>
              <w:t> </w:t>
            </w:r>
            <w:r>
              <w:rPr>
                <w:sz w:val="18"/>
              </w:rPr>
              <w:t>tell</w:t>
            </w:r>
            <w:r>
              <w:rPr>
                <w:spacing w:val="-2"/>
                <w:sz w:val="18"/>
              </w:rPr>
              <w:t> </w:t>
            </w:r>
            <w:r>
              <w:rPr>
                <w:sz w:val="18"/>
              </w:rPr>
              <w:t>me</w:t>
            </w:r>
            <w:r>
              <w:rPr>
                <w:spacing w:val="-1"/>
                <w:sz w:val="18"/>
              </w:rPr>
              <w:t> </w:t>
            </w:r>
            <w:r>
              <w:rPr>
                <w:sz w:val="18"/>
              </w:rPr>
              <w:t>about</w:t>
            </w:r>
            <w:r>
              <w:rPr>
                <w:spacing w:val="-3"/>
                <w:sz w:val="18"/>
              </w:rPr>
              <w:t> </w:t>
            </w:r>
            <w:r>
              <w:rPr>
                <w:sz w:val="18"/>
              </w:rPr>
              <w:t>how</w:t>
            </w:r>
            <w:r>
              <w:rPr>
                <w:spacing w:val="-4"/>
                <w:sz w:val="18"/>
              </w:rPr>
              <w:t> </w:t>
            </w:r>
            <w:r>
              <w:rPr>
                <w:sz w:val="18"/>
              </w:rPr>
              <w:t>this</w:t>
            </w:r>
            <w:r>
              <w:rPr>
                <w:spacing w:val="-2"/>
                <w:sz w:val="18"/>
              </w:rPr>
              <w:t> </w:t>
            </w:r>
            <w:r>
              <w:rPr>
                <w:sz w:val="18"/>
              </w:rPr>
              <w:t>happened?</w:t>
            </w:r>
          </w:p>
          <w:p>
            <w:pPr>
              <w:pStyle w:val="TableParagraph"/>
              <w:numPr>
                <w:ilvl w:val="1"/>
                <w:numId w:val="222"/>
              </w:numPr>
              <w:tabs>
                <w:tab w:pos="421" w:val="left" w:leader="none"/>
              </w:tabs>
              <w:spacing w:line="240" w:lineRule="auto" w:before="0" w:after="0"/>
              <w:ind w:left="420" w:right="0" w:hanging="146"/>
              <w:jc w:val="left"/>
              <w:rPr>
                <w:sz w:val="18"/>
              </w:rPr>
            </w:pPr>
            <w:r>
              <w:rPr>
                <w:sz w:val="18"/>
              </w:rPr>
              <w:t>Was</w:t>
            </w:r>
            <w:r>
              <w:rPr>
                <w:spacing w:val="-3"/>
                <w:sz w:val="18"/>
              </w:rPr>
              <w:t> </w:t>
            </w:r>
            <w:r>
              <w:rPr>
                <w:sz w:val="18"/>
              </w:rPr>
              <w:t>it</w:t>
            </w:r>
            <w:r>
              <w:rPr>
                <w:spacing w:val="-4"/>
                <w:sz w:val="18"/>
              </w:rPr>
              <w:t> </w:t>
            </w:r>
            <w:r>
              <w:rPr>
                <w:sz w:val="18"/>
              </w:rPr>
              <w:t>helpful?</w:t>
            </w:r>
          </w:p>
          <w:p>
            <w:pPr>
              <w:pStyle w:val="TableParagraph"/>
              <w:numPr>
                <w:ilvl w:val="0"/>
                <w:numId w:val="222"/>
              </w:numPr>
              <w:tabs>
                <w:tab w:pos="279" w:val="left" w:leader="none"/>
              </w:tabs>
              <w:spacing w:line="240" w:lineRule="auto" w:before="0" w:after="0"/>
              <w:ind w:left="278" w:right="0" w:hanging="172"/>
              <w:jc w:val="left"/>
              <w:rPr>
                <w:sz w:val="18"/>
              </w:rPr>
            </w:pPr>
            <w:r>
              <w:rPr>
                <w:sz w:val="18"/>
              </w:rPr>
              <w:t>How</w:t>
            </w:r>
            <w:r>
              <w:rPr>
                <w:spacing w:val="-4"/>
                <w:sz w:val="18"/>
              </w:rPr>
              <w:t> </w:t>
            </w:r>
            <w:r>
              <w:rPr>
                <w:sz w:val="18"/>
              </w:rPr>
              <w:t>well</w:t>
            </w:r>
            <w:r>
              <w:rPr>
                <w:spacing w:val="-2"/>
                <w:sz w:val="18"/>
              </w:rPr>
              <w:t> </w:t>
            </w:r>
            <w:r>
              <w:rPr>
                <w:sz w:val="18"/>
              </w:rPr>
              <w:t>do</w:t>
            </w:r>
            <w:r>
              <w:rPr>
                <w:spacing w:val="-2"/>
                <w:sz w:val="18"/>
              </w:rPr>
              <w:t> </w:t>
            </w:r>
            <w:r>
              <w:rPr>
                <w:sz w:val="18"/>
              </w:rPr>
              <w:t>you</w:t>
            </w:r>
            <w:r>
              <w:rPr>
                <w:spacing w:val="-2"/>
                <w:sz w:val="18"/>
              </w:rPr>
              <w:t> </w:t>
            </w:r>
            <w:r>
              <w:rPr>
                <w:sz w:val="18"/>
              </w:rPr>
              <w:t>think</w:t>
            </w:r>
            <w:r>
              <w:rPr>
                <w:spacing w:val="-1"/>
                <w:sz w:val="18"/>
              </w:rPr>
              <w:t> </w:t>
            </w:r>
            <w:r>
              <w:rPr>
                <w:sz w:val="18"/>
              </w:rPr>
              <w:t>your</w:t>
            </w:r>
            <w:r>
              <w:rPr>
                <w:spacing w:val="-3"/>
                <w:sz w:val="18"/>
              </w:rPr>
              <w:t> </w:t>
            </w:r>
            <w:r>
              <w:rPr>
                <w:sz w:val="18"/>
              </w:rPr>
              <w:t>GP</w:t>
            </w:r>
            <w:r>
              <w:rPr>
                <w:spacing w:val="-3"/>
                <w:sz w:val="18"/>
              </w:rPr>
              <w:t> </w:t>
            </w:r>
            <w:r>
              <w:rPr>
                <w:sz w:val="18"/>
              </w:rPr>
              <w:t>and</w:t>
            </w:r>
            <w:r>
              <w:rPr>
                <w:spacing w:val="-3"/>
                <w:sz w:val="18"/>
              </w:rPr>
              <w:t> </w:t>
            </w:r>
            <w:r>
              <w:rPr>
                <w:sz w:val="18"/>
              </w:rPr>
              <w:t>pharmacist</w:t>
            </w:r>
            <w:r>
              <w:rPr>
                <w:spacing w:val="-4"/>
                <w:sz w:val="18"/>
              </w:rPr>
              <w:t> </w:t>
            </w:r>
            <w:r>
              <w:rPr>
                <w:sz w:val="18"/>
              </w:rPr>
              <w:t>work</w:t>
            </w:r>
            <w:r>
              <w:rPr>
                <w:spacing w:val="-1"/>
                <w:sz w:val="18"/>
              </w:rPr>
              <w:t> </w:t>
            </w:r>
            <w:r>
              <w:rPr>
                <w:sz w:val="18"/>
              </w:rPr>
              <w:t>together?</w:t>
            </w:r>
          </w:p>
        </w:tc>
      </w:tr>
      <w:tr>
        <w:trPr>
          <w:trHeight w:val="4792" w:hRule="atLeast"/>
        </w:trPr>
        <w:tc>
          <w:tcPr>
            <w:tcW w:w="1980" w:type="dxa"/>
          </w:tcPr>
          <w:p>
            <w:pPr>
              <w:pStyle w:val="TableParagraph"/>
              <w:ind w:left="107" w:right="81"/>
              <w:rPr>
                <w:sz w:val="16"/>
              </w:rPr>
            </w:pPr>
            <w:r>
              <w:rPr>
                <w:sz w:val="16"/>
              </w:rPr>
              <w:t>For patients referred to</w:t>
            </w:r>
            <w:r>
              <w:rPr>
                <w:spacing w:val="-42"/>
                <w:sz w:val="16"/>
              </w:rPr>
              <w:t> </w:t>
            </w:r>
            <w:r>
              <w:rPr>
                <w:sz w:val="16"/>
              </w:rPr>
              <w:t>a community</w:t>
            </w:r>
            <w:r>
              <w:rPr>
                <w:spacing w:val="1"/>
                <w:sz w:val="16"/>
              </w:rPr>
              <w:t> </w:t>
            </w:r>
            <w:r>
              <w:rPr>
                <w:sz w:val="16"/>
              </w:rPr>
              <w:t>pharmacist</w:t>
            </w:r>
          </w:p>
        </w:tc>
        <w:tc>
          <w:tcPr>
            <w:tcW w:w="7038" w:type="dxa"/>
          </w:tcPr>
          <w:p>
            <w:pPr>
              <w:pStyle w:val="TableParagraph"/>
              <w:numPr>
                <w:ilvl w:val="0"/>
                <w:numId w:val="223"/>
              </w:numPr>
              <w:tabs>
                <w:tab w:pos="279" w:val="left" w:leader="none"/>
              </w:tabs>
              <w:spacing w:line="219" w:lineRule="exact" w:before="0" w:after="0"/>
              <w:ind w:left="278" w:right="0" w:hanging="172"/>
              <w:jc w:val="left"/>
              <w:rPr>
                <w:sz w:val="18"/>
              </w:rPr>
            </w:pPr>
            <w:r>
              <w:rPr>
                <w:b/>
                <w:sz w:val="18"/>
              </w:rPr>
              <w:t>(R4)</w:t>
            </w:r>
            <w:r>
              <w:rPr>
                <w:b/>
                <w:spacing w:val="-4"/>
                <w:sz w:val="18"/>
              </w:rPr>
              <w:t> </w:t>
            </w:r>
            <w:r>
              <w:rPr>
                <w:sz w:val="18"/>
              </w:rPr>
              <w:t>How</w:t>
            </w:r>
            <w:r>
              <w:rPr>
                <w:spacing w:val="-4"/>
                <w:sz w:val="18"/>
              </w:rPr>
              <w:t> </w:t>
            </w:r>
            <w:r>
              <w:rPr>
                <w:sz w:val="18"/>
              </w:rPr>
              <w:t>is</w:t>
            </w:r>
            <w:r>
              <w:rPr>
                <w:spacing w:val="-3"/>
                <w:sz w:val="18"/>
              </w:rPr>
              <w:t> </w:t>
            </w:r>
            <w:r>
              <w:rPr>
                <w:sz w:val="18"/>
              </w:rPr>
              <w:t>your</w:t>
            </w:r>
            <w:r>
              <w:rPr>
                <w:spacing w:val="-2"/>
                <w:sz w:val="18"/>
              </w:rPr>
              <w:t> </w:t>
            </w:r>
            <w:r>
              <w:rPr>
                <w:sz w:val="18"/>
              </w:rPr>
              <w:t>pharmacist</w:t>
            </w:r>
            <w:r>
              <w:rPr>
                <w:spacing w:val="-6"/>
                <w:sz w:val="18"/>
              </w:rPr>
              <w:t> </w:t>
            </w:r>
            <w:r>
              <w:rPr>
                <w:sz w:val="18"/>
              </w:rPr>
              <w:t>helping</w:t>
            </w:r>
            <w:r>
              <w:rPr>
                <w:spacing w:val="-3"/>
                <w:sz w:val="18"/>
              </w:rPr>
              <w:t> </w:t>
            </w:r>
            <w:r>
              <w:rPr>
                <w:sz w:val="18"/>
              </w:rPr>
              <w:t>you</w:t>
            </w:r>
            <w:r>
              <w:rPr>
                <w:spacing w:val="-3"/>
                <w:sz w:val="18"/>
              </w:rPr>
              <w:t> </w:t>
            </w:r>
            <w:r>
              <w:rPr>
                <w:sz w:val="18"/>
              </w:rPr>
              <w:t>to</w:t>
            </w:r>
            <w:r>
              <w:rPr>
                <w:spacing w:val="-3"/>
                <w:sz w:val="18"/>
              </w:rPr>
              <w:t> </w:t>
            </w:r>
            <w:r>
              <w:rPr>
                <w:sz w:val="18"/>
              </w:rPr>
              <w:t>manage</w:t>
            </w:r>
            <w:r>
              <w:rPr>
                <w:spacing w:val="-2"/>
                <w:sz w:val="18"/>
              </w:rPr>
              <w:t> </w:t>
            </w:r>
            <w:r>
              <w:rPr>
                <w:sz w:val="18"/>
              </w:rPr>
              <w:t>your</w:t>
            </w:r>
            <w:r>
              <w:rPr>
                <w:spacing w:val="-3"/>
                <w:sz w:val="18"/>
              </w:rPr>
              <w:t> </w:t>
            </w:r>
            <w:r>
              <w:rPr>
                <w:sz w:val="18"/>
              </w:rPr>
              <w:t>medication?</w:t>
            </w:r>
          </w:p>
          <w:p>
            <w:pPr>
              <w:pStyle w:val="TableParagraph"/>
              <w:spacing w:before="3"/>
              <w:rPr>
                <w:sz w:val="16"/>
              </w:rPr>
            </w:pPr>
          </w:p>
          <w:p>
            <w:pPr>
              <w:pStyle w:val="TableParagraph"/>
              <w:ind w:left="107"/>
              <w:rPr>
                <w:sz w:val="18"/>
              </w:rPr>
            </w:pPr>
            <w:r>
              <w:rPr>
                <w:sz w:val="18"/>
              </w:rPr>
              <w:t>Prompts</w:t>
            </w:r>
            <w:r>
              <w:rPr>
                <w:spacing w:val="-4"/>
                <w:sz w:val="18"/>
              </w:rPr>
              <w:t> </w:t>
            </w:r>
            <w:r>
              <w:rPr>
                <w:sz w:val="18"/>
              </w:rPr>
              <w:t>–</w:t>
            </w:r>
            <w:r>
              <w:rPr>
                <w:spacing w:val="-2"/>
                <w:sz w:val="18"/>
              </w:rPr>
              <w:t> </w:t>
            </w:r>
            <w:r>
              <w:rPr>
                <w:sz w:val="18"/>
              </w:rPr>
              <w:t>assistance</w:t>
            </w:r>
            <w:r>
              <w:rPr>
                <w:spacing w:val="-3"/>
                <w:sz w:val="18"/>
              </w:rPr>
              <w:t> </w:t>
            </w:r>
            <w:r>
              <w:rPr>
                <w:sz w:val="18"/>
              </w:rPr>
              <w:t>with/</w:t>
            </w:r>
            <w:r>
              <w:rPr>
                <w:spacing w:val="-3"/>
                <w:sz w:val="18"/>
              </w:rPr>
              <w:t> </w:t>
            </w:r>
            <w:r>
              <w:rPr>
                <w:sz w:val="18"/>
              </w:rPr>
              <w:t>how</w:t>
            </w:r>
            <w:r>
              <w:rPr>
                <w:spacing w:val="-5"/>
                <w:sz w:val="18"/>
              </w:rPr>
              <w:t> </w:t>
            </w:r>
            <w:r>
              <w:rPr>
                <w:sz w:val="18"/>
              </w:rPr>
              <w:t>assistance</w:t>
            </w:r>
            <w:r>
              <w:rPr>
                <w:spacing w:val="-5"/>
                <w:sz w:val="18"/>
              </w:rPr>
              <w:t> </w:t>
            </w:r>
            <w:r>
              <w:rPr>
                <w:sz w:val="18"/>
              </w:rPr>
              <w:t>is</w:t>
            </w:r>
            <w:r>
              <w:rPr>
                <w:spacing w:val="-5"/>
                <w:sz w:val="18"/>
              </w:rPr>
              <w:t> </w:t>
            </w:r>
            <w:r>
              <w:rPr>
                <w:sz w:val="18"/>
              </w:rPr>
              <w:t>being</w:t>
            </w:r>
            <w:r>
              <w:rPr>
                <w:spacing w:val="-5"/>
                <w:sz w:val="18"/>
              </w:rPr>
              <w:t> </w:t>
            </w:r>
            <w:r>
              <w:rPr>
                <w:sz w:val="18"/>
              </w:rPr>
              <w:t>provided:</w:t>
            </w:r>
          </w:p>
          <w:p>
            <w:pPr>
              <w:pStyle w:val="TableParagraph"/>
              <w:numPr>
                <w:ilvl w:val="1"/>
                <w:numId w:val="223"/>
              </w:numPr>
              <w:tabs>
                <w:tab w:pos="821" w:val="left" w:leader="none"/>
                <w:tab w:pos="822" w:val="left" w:leader="none"/>
              </w:tabs>
              <w:spacing w:line="240" w:lineRule="auto" w:before="0" w:after="0"/>
              <w:ind w:left="821" w:right="173" w:hanging="356"/>
              <w:jc w:val="left"/>
              <w:rPr>
                <w:sz w:val="18"/>
              </w:rPr>
            </w:pPr>
            <w:r>
              <w:rPr>
                <w:sz w:val="18"/>
              </w:rPr>
              <w:t>Understand</w:t>
            </w:r>
            <w:r>
              <w:rPr>
                <w:spacing w:val="-4"/>
                <w:sz w:val="18"/>
              </w:rPr>
              <w:t> </w:t>
            </w:r>
            <w:r>
              <w:rPr>
                <w:sz w:val="18"/>
              </w:rPr>
              <w:t>the</w:t>
            </w:r>
            <w:r>
              <w:rPr>
                <w:spacing w:val="-2"/>
                <w:sz w:val="18"/>
              </w:rPr>
              <w:t> </w:t>
            </w:r>
            <w:r>
              <w:rPr>
                <w:sz w:val="18"/>
              </w:rPr>
              <w:t>role</w:t>
            </w:r>
            <w:r>
              <w:rPr>
                <w:spacing w:val="-2"/>
                <w:sz w:val="18"/>
              </w:rPr>
              <w:t> </w:t>
            </w:r>
            <w:r>
              <w:rPr>
                <w:sz w:val="18"/>
              </w:rPr>
              <w:t>of</w:t>
            </w:r>
            <w:r>
              <w:rPr>
                <w:spacing w:val="-3"/>
                <w:sz w:val="18"/>
              </w:rPr>
              <w:t> </w:t>
            </w:r>
            <w:r>
              <w:rPr>
                <w:sz w:val="18"/>
              </w:rPr>
              <w:t>medications</w:t>
            </w:r>
            <w:r>
              <w:rPr>
                <w:spacing w:val="-4"/>
                <w:sz w:val="18"/>
              </w:rPr>
              <w:t> </w:t>
            </w:r>
            <w:r>
              <w:rPr>
                <w:sz w:val="18"/>
              </w:rPr>
              <w:t>for</w:t>
            </w:r>
            <w:r>
              <w:rPr>
                <w:spacing w:val="-2"/>
                <w:sz w:val="18"/>
              </w:rPr>
              <w:t> </w:t>
            </w:r>
            <w:r>
              <w:rPr>
                <w:sz w:val="18"/>
              </w:rPr>
              <w:t>the</w:t>
            </w:r>
            <w:r>
              <w:rPr>
                <w:spacing w:val="-2"/>
                <w:sz w:val="18"/>
              </w:rPr>
              <w:t> </w:t>
            </w:r>
            <w:r>
              <w:rPr>
                <w:sz w:val="18"/>
              </w:rPr>
              <w:t>treatment</w:t>
            </w:r>
            <w:r>
              <w:rPr>
                <w:spacing w:val="-5"/>
                <w:sz w:val="18"/>
              </w:rPr>
              <w:t> </w:t>
            </w:r>
            <w:r>
              <w:rPr>
                <w:sz w:val="18"/>
              </w:rPr>
              <w:t>of</w:t>
            </w:r>
            <w:r>
              <w:rPr>
                <w:spacing w:val="-1"/>
                <w:sz w:val="18"/>
              </w:rPr>
              <w:t> </w:t>
            </w:r>
            <w:r>
              <w:rPr>
                <w:sz w:val="18"/>
              </w:rPr>
              <w:t>your</w:t>
            </w:r>
            <w:r>
              <w:rPr>
                <w:spacing w:val="-2"/>
                <w:sz w:val="18"/>
              </w:rPr>
              <w:t> </w:t>
            </w:r>
            <w:r>
              <w:rPr>
                <w:sz w:val="18"/>
              </w:rPr>
              <w:t>medical</w:t>
            </w:r>
            <w:r>
              <w:rPr>
                <w:spacing w:val="-47"/>
                <w:sz w:val="18"/>
              </w:rPr>
              <w:t> </w:t>
            </w:r>
            <w:r>
              <w:rPr>
                <w:sz w:val="18"/>
              </w:rPr>
              <w:t>conditions?</w:t>
            </w:r>
          </w:p>
          <w:p>
            <w:pPr>
              <w:pStyle w:val="TableParagraph"/>
              <w:numPr>
                <w:ilvl w:val="1"/>
                <w:numId w:val="223"/>
              </w:numPr>
              <w:tabs>
                <w:tab w:pos="821" w:val="left" w:leader="none"/>
                <w:tab w:pos="822" w:val="left" w:leader="none"/>
              </w:tabs>
              <w:spacing w:line="240" w:lineRule="auto" w:before="0" w:after="0"/>
              <w:ind w:left="821" w:right="0" w:hanging="357"/>
              <w:jc w:val="left"/>
              <w:rPr>
                <w:sz w:val="18"/>
              </w:rPr>
            </w:pPr>
            <w:r>
              <w:rPr>
                <w:sz w:val="18"/>
              </w:rPr>
              <w:t>Safety</w:t>
            </w:r>
            <w:r>
              <w:rPr>
                <w:spacing w:val="-4"/>
                <w:sz w:val="18"/>
              </w:rPr>
              <w:t> </w:t>
            </w:r>
            <w:r>
              <w:rPr>
                <w:sz w:val="18"/>
              </w:rPr>
              <w:t>in</w:t>
            </w:r>
            <w:r>
              <w:rPr>
                <w:spacing w:val="-3"/>
                <w:sz w:val="18"/>
              </w:rPr>
              <w:t> </w:t>
            </w:r>
            <w:r>
              <w:rPr>
                <w:sz w:val="18"/>
              </w:rPr>
              <w:t>taking</w:t>
            </w:r>
            <w:r>
              <w:rPr>
                <w:spacing w:val="-2"/>
                <w:sz w:val="18"/>
              </w:rPr>
              <w:t> </w:t>
            </w:r>
            <w:r>
              <w:rPr>
                <w:sz w:val="18"/>
              </w:rPr>
              <w:t>medication?</w:t>
            </w:r>
          </w:p>
          <w:p>
            <w:pPr>
              <w:pStyle w:val="TableParagraph"/>
              <w:numPr>
                <w:ilvl w:val="1"/>
                <w:numId w:val="223"/>
              </w:numPr>
              <w:tabs>
                <w:tab w:pos="821" w:val="left" w:leader="none"/>
                <w:tab w:pos="822" w:val="left" w:leader="none"/>
              </w:tabs>
              <w:spacing w:line="240" w:lineRule="auto" w:before="0" w:after="0"/>
              <w:ind w:left="821" w:right="0" w:hanging="357"/>
              <w:jc w:val="left"/>
              <w:rPr>
                <w:sz w:val="18"/>
              </w:rPr>
            </w:pPr>
            <w:r>
              <w:rPr>
                <w:sz w:val="18"/>
              </w:rPr>
              <w:t>Best</w:t>
            </w:r>
            <w:r>
              <w:rPr>
                <w:spacing w:val="-3"/>
                <w:sz w:val="18"/>
              </w:rPr>
              <w:t> </w:t>
            </w:r>
            <w:r>
              <w:rPr>
                <w:sz w:val="18"/>
              </w:rPr>
              <w:t>ways</w:t>
            </w:r>
            <w:r>
              <w:rPr>
                <w:spacing w:val="-3"/>
                <w:sz w:val="18"/>
              </w:rPr>
              <w:t> </w:t>
            </w:r>
            <w:r>
              <w:rPr>
                <w:sz w:val="18"/>
              </w:rPr>
              <w:t>to</w:t>
            </w:r>
            <w:r>
              <w:rPr>
                <w:spacing w:val="-3"/>
                <w:sz w:val="18"/>
              </w:rPr>
              <w:t> </w:t>
            </w:r>
            <w:r>
              <w:rPr>
                <w:sz w:val="18"/>
              </w:rPr>
              <w:t>take</w:t>
            </w:r>
            <w:r>
              <w:rPr>
                <w:spacing w:val="-2"/>
                <w:sz w:val="18"/>
              </w:rPr>
              <w:t> </w:t>
            </w:r>
            <w:r>
              <w:rPr>
                <w:sz w:val="18"/>
              </w:rPr>
              <w:t>medications (e.g.</w:t>
            </w:r>
            <w:r>
              <w:rPr>
                <w:spacing w:val="-4"/>
                <w:sz w:val="18"/>
              </w:rPr>
              <w:t> </w:t>
            </w:r>
            <w:r>
              <w:rPr>
                <w:sz w:val="18"/>
              </w:rPr>
              <w:t>time,</w:t>
            </w:r>
            <w:r>
              <w:rPr>
                <w:spacing w:val="-3"/>
                <w:sz w:val="18"/>
              </w:rPr>
              <w:t> </w:t>
            </w:r>
            <w:r>
              <w:rPr>
                <w:sz w:val="18"/>
              </w:rPr>
              <w:t>does,</w:t>
            </w:r>
            <w:r>
              <w:rPr>
                <w:spacing w:val="-4"/>
                <w:sz w:val="18"/>
              </w:rPr>
              <w:t> </w:t>
            </w:r>
            <w:r>
              <w:rPr>
                <w:sz w:val="18"/>
              </w:rPr>
              <w:t>storage)?</w:t>
            </w:r>
          </w:p>
          <w:p>
            <w:pPr>
              <w:pStyle w:val="TableParagraph"/>
              <w:numPr>
                <w:ilvl w:val="1"/>
                <w:numId w:val="223"/>
              </w:numPr>
              <w:tabs>
                <w:tab w:pos="821" w:val="left" w:leader="none"/>
                <w:tab w:pos="822" w:val="left" w:leader="none"/>
              </w:tabs>
              <w:spacing w:line="240" w:lineRule="auto" w:before="0" w:after="0"/>
              <w:ind w:left="821" w:right="0" w:hanging="357"/>
              <w:jc w:val="left"/>
              <w:rPr>
                <w:sz w:val="18"/>
              </w:rPr>
            </w:pPr>
            <w:r>
              <w:rPr>
                <w:sz w:val="18"/>
              </w:rPr>
              <w:t>Collaborating</w:t>
            </w:r>
            <w:r>
              <w:rPr>
                <w:spacing w:val="-5"/>
                <w:sz w:val="18"/>
              </w:rPr>
              <w:t> </w:t>
            </w:r>
            <w:r>
              <w:rPr>
                <w:sz w:val="18"/>
              </w:rPr>
              <w:t>with</w:t>
            </w:r>
            <w:r>
              <w:rPr>
                <w:spacing w:val="-2"/>
                <w:sz w:val="18"/>
              </w:rPr>
              <w:t> </w:t>
            </w:r>
            <w:r>
              <w:rPr>
                <w:sz w:val="18"/>
              </w:rPr>
              <w:t>your</w:t>
            </w:r>
            <w:r>
              <w:rPr>
                <w:spacing w:val="-5"/>
                <w:sz w:val="18"/>
              </w:rPr>
              <w:t> </w:t>
            </w:r>
            <w:r>
              <w:rPr>
                <w:sz w:val="18"/>
              </w:rPr>
              <w:t>GP?</w:t>
            </w:r>
          </w:p>
          <w:p>
            <w:pPr>
              <w:pStyle w:val="TableParagraph"/>
              <w:numPr>
                <w:ilvl w:val="1"/>
                <w:numId w:val="223"/>
              </w:numPr>
              <w:tabs>
                <w:tab w:pos="821" w:val="left" w:leader="none"/>
                <w:tab w:pos="822" w:val="left" w:leader="none"/>
              </w:tabs>
              <w:spacing w:line="240" w:lineRule="auto" w:before="0" w:after="0"/>
              <w:ind w:left="821" w:right="0" w:hanging="357"/>
              <w:jc w:val="left"/>
              <w:rPr>
                <w:sz w:val="18"/>
              </w:rPr>
            </w:pPr>
            <w:r>
              <w:rPr>
                <w:sz w:val="18"/>
              </w:rPr>
              <w:t>Improved</w:t>
            </w:r>
            <w:r>
              <w:rPr>
                <w:spacing w:val="-3"/>
                <w:sz w:val="18"/>
              </w:rPr>
              <w:t> </w:t>
            </w:r>
            <w:r>
              <w:rPr>
                <w:sz w:val="18"/>
              </w:rPr>
              <w:t>confidence</w:t>
            </w:r>
            <w:r>
              <w:rPr>
                <w:spacing w:val="-6"/>
                <w:sz w:val="18"/>
              </w:rPr>
              <w:t> </w:t>
            </w:r>
            <w:r>
              <w:rPr>
                <w:sz w:val="18"/>
              </w:rPr>
              <w:t>in</w:t>
            </w:r>
            <w:r>
              <w:rPr>
                <w:spacing w:val="-2"/>
                <w:sz w:val="18"/>
              </w:rPr>
              <w:t> </w:t>
            </w:r>
            <w:r>
              <w:rPr>
                <w:sz w:val="18"/>
              </w:rPr>
              <w:t>taking</w:t>
            </w:r>
            <w:r>
              <w:rPr>
                <w:spacing w:val="-4"/>
                <w:sz w:val="18"/>
              </w:rPr>
              <w:t> </w:t>
            </w:r>
            <w:r>
              <w:rPr>
                <w:sz w:val="18"/>
              </w:rPr>
              <w:t>your</w:t>
            </w:r>
            <w:r>
              <w:rPr>
                <w:spacing w:val="-2"/>
                <w:sz w:val="18"/>
              </w:rPr>
              <w:t> </w:t>
            </w:r>
            <w:r>
              <w:rPr>
                <w:sz w:val="18"/>
              </w:rPr>
              <w:t>medications?</w:t>
            </w:r>
          </w:p>
          <w:p>
            <w:pPr>
              <w:pStyle w:val="TableParagraph"/>
              <w:numPr>
                <w:ilvl w:val="1"/>
                <w:numId w:val="223"/>
              </w:numPr>
              <w:tabs>
                <w:tab w:pos="821" w:val="left" w:leader="none"/>
                <w:tab w:pos="822" w:val="left" w:leader="none"/>
              </w:tabs>
              <w:spacing w:line="240" w:lineRule="auto" w:before="1" w:after="0"/>
              <w:ind w:left="821" w:right="0" w:hanging="357"/>
              <w:jc w:val="left"/>
              <w:rPr>
                <w:sz w:val="18"/>
              </w:rPr>
            </w:pPr>
            <w:r>
              <w:rPr>
                <w:sz w:val="18"/>
              </w:rPr>
              <w:t>Reminds</w:t>
            </w:r>
            <w:r>
              <w:rPr>
                <w:spacing w:val="-3"/>
                <w:sz w:val="18"/>
              </w:rPr>
              <w:t> </w:t>
            </w:r>
            <w:r>
              <w:rPr>
                <w:sz w:val="18"/>
              </w:rPr>
              <w:t>me</w:t>
            </w:r>
            <w:r>
              <w:rPr>
                <w:spacing w:val="-2"/>
                <w:sz w:val="18"/>
              </w:rPr>
              <w:t> </w:t>
            </w:r>
            <w:r>
              <w:rPr>
                <w:sz w:val="18"/>
              </w:rPr>
              <w:t>when</w:t>
            </w:r>
            <w:r>
              <w:rPr>
                <w:spacing w:val="-1"/>
                <w:sz w:val="18"/>
              </w:rPr>
              <w:t> </w:t>
            </w:r>
            <w:r>
              <w:rPr>
                <w:sz w:val="18"/>
              </w:rPr>
              <w:t>to</w:t>
            </w:r>
            <w:r>
              <w:rPr>
                <w:spacing w:val="-3"/>
                <w:sz w:val="18"/>
              </w:rPr>
              <w:t> </w:t>
            </w:r>
            <w:r>
              <w:rPr>
                <w:sz w:val="18"/>
              </w:rPr>
              <w:t>take</w:t>
            </w:r>
            <w:r>
              <w:rPr>
                <w:spacing w:val="-2"/>
                <w:sz w:val="18"/>
              </w:rPr>
              <w:t> </w:t>
            </w:r>
            <w:r>
              <w:rPr>
                <w:sz w:val="18"/>
              </w:rPr>
              <w:t>my</w:t>
            </w:r>
            <w:r>
              <w:rPr>
                <w:spacing w:val="1"/>
                <w:sz w:val="18"/>
              </w:rPr>
              <w:t> </w:t>
            </w:r>
            <w:r>
              <w:rPr>
                <w:sz w:val="18"/>
              </w:rPr>
              <w:t>medications?</w:t>
            </w:r>
          </w:p>
          <w:p>
            <w:pPr>
              <w:pStyle w:val="TableParagraph"/>
              <w:numPr>
                <w:ilvl w:val="1"/>
                <w:numId w:val="223"/>
              </w:numPr>
              <w:tabs>
                <w:tab w:pos="821" w:val="left" w:leader="none"/>
                <w:tab w:pos="822" w:val="left" w:leader="none"/>
              </w:tabs>
              <w:spacing w:line="240" w:lineRule="auto" w:before="0" w:after="0"/>
              <w:ind w:left="821" w:right="0" w:hanging="357"/>
              <w:jc w:val="left"/>
              <w:rPr>
                <w:sz w:val="18"/>
              </w:rPr>
            </w:pPr>
            <w:r>
              <w:rPr>
                <w:sz w:val="18"/>
              </w:rPr>
              <w:t>Helps</w:t>
            </w:r>
            <w:r>
              <w:rPr>
                <w:spacing w:val="-3"/>
                <w:sz w:val="18"/>
              </w:rPr>
              <w:t> </w:t>
            </w:r>
            <w:r>
              <w:rPr>
                <w:sz w:val="18"/>
              </w:rPr>
              <w:t>me</w:t>
            </w:r>
            <w:r>
              <w:rPr>
                <w:spacing w:val="-1"/>
                <w:sz w:val="18"/>
              </w:rPr>
              <w:t> </w:t>
            </w:r>
            <w:r>
              <w:rPr>
                <w:sz w:val="18"/>
              </w:rPr>
              <w:t>to</w:t>
            </w:r>
            <w:r>
              <w:rPr>
                <w:spacing w:val="-3"/>
                <w:sz w:val="18"/>
              </w:rPr>
              <w:t> </w:t>
            </w:r>
            <w:r>
              <w:rPr>
                <w:sz w:val="18"/>
              </w:rPr>
              <w:t>organize</w:t>
            </w:r>
            <w:r>
              <w:rPr>
                <w:spacing w:val="-1"/>
                <w:sz w:val="18"/>
              </w:rPr>
              <w:t> </w:t>
            </w:r>
            <w:r>
              <w:rPr>
                <w:sz w:val="18"/>
              </w:rPr>
              <w:t>my</w:t>
            </w:r>
            <w:r>
              <w:rPr>
                <w:spacing w:val="-3"/>
                <w:sz w:val="18"/>
              </w:rPr>
              <w:t> </w:t>
            </w:r>
            <w:r>
              <w:rPr>
                <w:sz w:val="18"/>
              </w:rPr>
              <w:t>medications?</w:t>
            </w:r>
          </w:p>
          <w:p>
            <w:pPr>
              <w:pStyle w:val="TableParagraph"/>
              <w:numPr>
                <w:ilvl w:val="1"/>
                <w:numId w:val="223"/>
              </w:numPr>
              <w:tabs>
                <w:tab w:pos="821" w:val="left" w:leader="none"/>
                <w:tab w:pos="822" w:val="left" w:leader="none"/>
              </w:tabs>
              <w:spacing w:line="240" w:lineRule="auto" w:before="0" w:after="0"/>
              <w:ind w:left="821" w:right="0" w:hanging="357"/>
              <w:jc w:val="left"/>
              <w:rPr>
                <w:sz w:val="18"/>
              </w:rPr>
            </w:pPr>
            <w:r>
              <w:rPr>
                <w:sz w:val="18"/>
              </w:rPr>
              <w:t>Shows</w:t>
            </w:r>
            <w:r>
              <w:rPr>
                <w:spacing w:val="-1"/>
                <w:sz w:val="18"/>
              </w:rPr>
              <w:t> </w:t>
            </w:r>
            <w:r>
              <w:rPr>
                <w:sz w:val="18"/>
              </w:rPr>
              <w:t>me</w:t>
            </w:r>
            <w:r>
              <w:rPr>
                <w:spacing w:val="-2"/>
                <w:sz w:val="18"/>
              </w:rPr>
              <w:t> </w:t>
            </w:r>
            <w:r>
              <w:rPr>
                <w:sz w:val="18"/>
              </w:rPr>
              <w:t>how</w:t>
            </w:r>
            <w:r>
              <w:rPr>
                <w:spacing w:val="-5"/>
                <w:sz w:val="18"/>
              </w:rPr>
              <w:t> </w:t>
            </w:r>
            <w:r>
              <w:rPr>
                <w:sz w:val="18"/>
              </w:rPr>
              <w:t>to</w:t>
            </w:r>
            <w:r>
              <w:rPr>
                <w:spacing w:val="-3"/>
                <w:sz w:val="18"/>
              </w:rPr>
              <w:t> </w:t>
            </w:r>
            <w:r>
              <w:rPr>
                <w:sz w:val="18"/>
              </w:rPr>
              <w:t>use</w:t>
            </w:r>
            <w:r>
              <w:rPr>
                <w:spacing w:val="-2"/>
                <w:sz w:val="18"/>
              </w:rPr>
              <w:t> </w:t>
            </w:r>
            <w:r>
              <w:rPr>
                <w:sz w:val="18"/>
              </w:rPr>
              <w:t>my</w:t>
            </w:r>
            <w:r>
              <w:rPr>
                <w:spacing w:val="-1"/>
                <w:sz w:val="18"/>
              </w:rPr>
              <w:t> </w:t>
            </w:r>
            <w:r>
              <w:rPr>
                <w:sz w:val="18"/>
              </w:rPr>
              <w:t>medical</w:t>
            </w:r>
            <w:r>
              <w:rPr>
                <w:spacing w:val="-2"/>
                <w:sz w:val="18"/>
              </w:rPr>
              <w:t> </w:t>
            </w:r>
            <w:r>
              <w:rPr>
                <w:sz w:val="18"/>
              </w:rPr>
              <w:t>device</w:t>
            </w:r>
            <w:r>
              <w:rPr>
                <w:spacing w:val="-3"/>
                <w:sz w:val="18"/>
              </w:rPr>
              <w:t> </w:t>
            </w:r>
            <w:r>
              <w:rPr>
                <w:sz w:val="18"/>
              </w:rPr>
              <w:t>(i.e.</w:t>
            </w:r>
            <w:r>
              <w:rPr>
                <w:spacing w:val="-4"/>
                <w:sz w:val="18"/>
              </w:rPr>
              <w:t> </w:t>
            </w:r>
            <w:r>
              <w:rPr>
                <w:sz w:val="18"/>
              </w:rPr>
              <w:t>asthma</w:t>
            </w:r>
            <w:r>
              <w:rPr>
                <w:spacing w:val="-1"/>
                <w:sz w:val="18"/>
              </w:rPr>
              <w:t> </w:t>
            </w:r>
            <w:r>
              <w:rPr>
                <w:sz w:val="18"/>
              </w:rPr>
              <w:t>puffer)?</w:t>
            </w:r>
          </w:p>
          <w:p>
            <w:pPr>
              <w:pStyle w:val="TableParagraph"/>
              <w:rPr>
                <w:sz w:val="18"/>
              </w:rPr>
            </w:pPr>
          </w:p>
          <w:p>
            <w:pPr>
              <w:pStyle w:val="TableParagraph"/>
              <w:numPr>
                <w:ilvl w:val="0"/>
                <w:numId w:val="223"/>
              </w:numPr>
              <w:tabs>
                <w:tab w:pos="279" w:val="left" w:leader="none"/>
              </w:tabs>
              <w:spacing w:line="240" w:lineRule="auto" w:before="0" w:after="0"/>
              <w:ind w:left="278" w:right="1018" w:hanging="171"/>
              <w:jc w:val="left"/>
              <w:rPr>
                <w:sz w:val="18"/>
              </w:rPr>
            </w:pPr>
            <w:r>
              <w:rPr>
                <w:b/>
                <w:sz w:val="18"/>
              </w:rPr>
              <w:t>(R5)</w:t>
            </w:r>
            <w:r>
              <w:rPr>
                <w:b/>
                <w:spacing w:val="-4"/>
                <w:sz w:val="18"/>
              </w:rPr>
              <w:t> </w:t>
            </w:r>
            <w:r>
              <w:rPr>
                <w:sz w:val="18"/>
              </w:rPr>
              <w:t>How</w:t>
            </w:r>
            <w:r>
              <w:rPr>
                <w:spacing w:val="-5"/>
                <w:sz w:val="18"/>
              </w:rPr>
              <w:t> </w:t>
            </w:r>
            <w:r>
              <w:rPr>
                <w:sz w:val="18"/>
              </w:rPr>
              <w:t>is</w:t>
            </w:r>
            <w:r>
              <w:rPr>
                <w:spacing w:val="-4"/>
                <w:sz w:val="18"/>
              </w:rPr>
              <w:t> </w:t>
            </w:r>
            <w:r>
              <w:rPr>
                <w:sz w:val="18"/>
              </w:rPr>
              <w:t>your</w:t>
            </w:r>
            <w:r>
              <w:rPr>
                <w:spacing w:val="-2"/>
                <w:sz w:val="18"/>
              </w:rPr>
              <w:t> </w:t>
            </w:r>
            <w:r>
              <w:rPr>
                <w:sz w:val="18"/>
              </w:rPr>
              <w:t>pharmacist</w:t>
            </w:r>
            <w:r>
              <w:rPr>
                <w:spacing w:val="-7"/>
                <w:sz w:val="18"/>
              </w:rPr>
              <w:t> </w:t>
            </w:r>
            <w:r>
              <w:rPr>
                <w:sz w:val="18"/>
              </w:rPr>
              <w:t>helping</w:t>
            </w:r>
            <w:r>
              <w:rPr>
                <w:spacing w:val="-4"/>
                <w:sz w:val="18"/>
              </w:rPr>
              <w:t> </w:t>
            </w:r>
            <w:r>
              <w:rPr>
                <w:sz w:val="18"/>
              </w:rPr>
              <w:t>you</w:t>
            </w:r>
            <w:r>
              <w:rPr>
                <w:spacing w:val="-3"/>
                <w:sz w:val="18"/>
              </w:rPr>
              <w:t> </w:t>
            </w:r>
            <w:r>
              <w:rPr>
                <w:sz w:val="18"/>
              </w:rPr>
              <w:t>achieve</w:t>
            </w:r>
            <w:r>
              <w:rPr>
                <w:spacing w:val="-2"/>
                <w:sz w:val="18"/>
              </w:rPr>
              <w:t> </w:t>
            </w:r>
            <w:r>
              <w:rPr>
                <w:sz w:val="18"/>
              </w:rPr>
              <w:t>your</w:t>
            </w:r>
            <w:r>
              <w:rPr>
                <w:spacing w:val="-3"/>
                <w:sz w:val="18"/>
              </w:rPr>
              <w:t> </w:t>
            </w:r>
            <w:r>
              <w:rPr>
                <w:sz w:val="18"/>
              </w:rPr>
              <w:t>medication</w:t>
            </w:r>
            <w:r>
              <w:rPr>
                <w:spacing w:val="-47"/>
                <w:sz w:val="18"/>
              </w:rPr>
              <w:t> </w:t>
            </w:r>
            <w:r>
              <w:rPr>
                <w:sz w:val="18"/>
              </w:rPr>
              <w:t>management</w:t>
            </w:r>
            <w:r>
              <w:rPr>
                <w:spacing w:val="-3"/>
                <w:sz w:val="18"/>
              </w:rPr>
              <w:t> </w:t>
            </w:r>
            <w:r>
              <w:rPr>
                <w:sz w:val="18"/>
              </w:rPr>
              <w:t>goals?</w:t>
            </w:r>
          </w:p>
          <w:p>
            <w:pPr>
              <w:pStyle w:val="TableParagraph"/>
              <w:spacing w:before="3"/>
              <w:rPr>
                <w:sz w:val="16"/>
              </w:rPr>
            </w:pPr>
          </w:p>
          <w:p>
            <w:pPr>
              <w:pStyle w:val="TableParagraph"/>
              <w:spacing w:before="1"/>
              <w:ind w:left="107"/>
              <w:rPr>
                <w:sz w:val="18"/>
              </w:rPr>
            </w:pPr>
            <w:r>
              <w:rPr>
                <w:sz w:val="18"/>
              </w:rPr>
              <w:t>Prompts</w:t>
            </w:r>
            <w:r>
              <w:rPr>
                <w:spacing w:val="-4"/>
                <w:sz w:val="18"/>
              </w:rPr>
              <w:t> </w:t>
            </w:r>
            <w:r>
              <w:rPr>
                <w:sz w:val="18"/>
              </w:rPr>
              <w:t>–</w:t>
            </w:r>
            <w:r>
              <w:rPr>
                <w:spacing w:val="-2"/>
                <w:sz w:val="18"/>
              </w:rPr>
              <w:t> </w:t>
            </w:r>
            <w:r>
              <w:rPr>
                <w:sz w:val="18"/>
              </w:rPr>
              <w:t>assistance</w:t>
            </w:r>
            <w:r>
              <w:rPr>
                <w:spacing w:val="-3"/>
                <w:sz w:val="18"/>
              </w:rPr>
              <w:t> </w:t>
            </w:r>
            <w:r>
              <w:rPr>
                <w:sz w:val="18"/>
              </w:rPr>
              <w:t>with/</w:t>
            </w:r>
            <w:r>
              <w:rPr>
                <w:spacing w:val="-3"/>
                <w:sz w:val="18"/>
              </w:rPr>
              <w:t> </w:t>
            </w:r>
            <w:r>
              <w:rPr>
                <w:sz w:val="18"/>
              </w:rPr>
              <w:t>how</w:t>
            </w:r>
            <w:r>
              <w:rPr>
                <w:spacing w:val="-5"/>
                <w:sz w:val="18"/>
              </w:rPr>
              <w:t> </w:t>
            </w:r>
            <w:r>
              <w:rPr>
                <w:sz w:val="18"/>
              </w:rPr>
              <w:t>assistance</w:t>
            </w:r>
            <w:r>
              <w:rPr>
                <w:spacing w:val="-5"/>
                <w:sz w:val="18"/>
              </w:rPr>
              <w:t> </w:t>
            </w:r>
            <w:r>
              <w:rPr>
                <w:sz w:val="18"/>
              </w:rPr>
              <w:t>is</w:t>
            </w:r>
            <w:r>
              <w:rPr>
                <w:spacing w:val="-5"/>
                <w:sz w:val="18"/>
              </w:rPr>
              <w:t> </w:t>
            </w:r>
            <w:r>
              <w:rPr>
                <w:sz w:val="18"/>
              </w:rPr>
              <w:t>being</w:t>
            </w:r>
            <w:r>
              <w:rPr>
                <w:spacing w:val="-5"/>
                <w:sz w:val="18"/>
              </w:rPr>
              <w:t> </w:t>
            </w:r>
            <w:r>
              <w:rPr>
                <w:sz w:val="18"/>
              </w:rPr>
              <w:t>provided:</w:t>
            </w:r>
          </w:p>
          <w:p>
            <w:pPr>
              <w:pStyle w:val="TableParagraph"/>
              <w:numPr>
                <w:ilvl w:val="1"/>
                <w:numId w:val="223"/>
              </w:numPr>
              <w:tabs>
                <w:tab w:pos="821" w:val="left" w:leader="none"/>
                <w:tab w:pos="822" w:val="left" w:leader="none"/>
              </w:tabs>
              <w:spacing w:line="240" w:lineRule="auto" w:before="0" w:after="0"/>
              <w:ind w:left="821" w:right="0" w:hanging="357"/>
              <w:jc w:val="left"/>
              <w:rPr>
                <w:sz w:val="18"/>
              </w:rPr>
            </w:pPr>
            <w:r>
              <w:rPr>
                <w:sz w:val="18"/>
              </w:rPr>
              <w:t>Blood</w:t>
            </w:r>
            <w:r>
              <w:rPr>
                <w:spacing w:val="-7"/>
                <w:sz w:val="18"/>
              </w:rPr>
              <w:t> </w:t>
            </w:r>
            <w:r>
              <w:rPr>
                <w:sz w:val="18"/>
              </w:rPr>
              <w:t>pressure</w:t>
            </w:r>
            <w:r>
              <w:rPr>
                <w:spacing w:val="-5"/>
                <w:sz w:val="18"/>
              </w:rPr>
              <w:t> </w:t>
            </w:r>
            <w:r>
              <w:rPr>
                <w:sz w:val="18"/>
              </w:rPr>
              <w:t>monitoring?</w:t>
            </w:r>
          </w:p>
          <w:p>
            <w:pPr>
              <w:pStyle w:val="TableParagraph"/>
              <w:numPr>
                <w:ilvl w:val="1"/>
                <w:numId w:val="223"/>
              </w:numPr>
              <w:tabs>
                <w:tab w:pos="821" w:val="left" w:leader="none"/>
                <w:tab w:pos="822" w:val="left" w:leader="none"/>
              </w:tabs>
              <w:spacing w:line="240" w:lineRule="auto" w:before="0" w:after="0"/>
              <w:ind w:left="821" w:right="0" w:hanging="357"/>
              <w:jc w:val="left"/>
              <w:rPr>
                <w:sz w:val="18"/>
              </w:rPr>
            </w:pPr>
            <w:r>
              <w:rPr>
                <w:sz w:val="18"/>
              </w:rPr>
              <w:t>Blood</w:t>
            </w:r>
            <w:r>
              <w:rPr>
                <w:spacing w:val="-6"/>
                <w:sz w:val="18"/>
              </w:rPr>
              <w:t> </w:t>
            </w:r>
            <w:r>
              <w:rPr>
                <w:sz w:val="18"/>
              </w:rPr>
              <w:t>glucose</w:t>
            </w:r>
            <w:r>
              <w:rPr>
                <w:spacing w:val="-5"/>
                <w:sz w:val="18"/>
              </w:rPr>
              <w:t> </w:t>
            </w:r>
            <w:r>
              <w:rPr>
                <w:sz w:val="18"/>
              </w:rPr>
              <w:t>monitoring?</w:t>
            </w:r>
          </w:p>
          <w:p>
            <w:pPr>
              <w:pStyle w:val="TableParagraph"/>
              <w:numPr>
                <w:ilvl w:val="1"/>
                <w:numId w:val="223"/>
              </w:numPr>
              <w:tabs>
                <w:tab w:pos="821" w:val="left" w:leader="none"/>
                <w:tab w:pos="822" w:val="left" w:leader="none"/>
              </w:tabs>
              <w:spacing w:line="240" w:lineRule="auto" w:before="0" w:after="0"/>
              <w:ind w:left="821" w:right="0" w:hanging="357"/>
              <w:jc w:val="left"/>
              <w:rPr>
                <w:sz w:val="18"/>
              </w:rPr>
            </w:pPr>
            <w:r>
              <w:rPr>
                <w:sz w:val="18"/>
              </w:rPr>
              <w:t>Asthma</w:t>
            </w:r>
            <w:r>
              <w:rPr>
                <w:spacing w:val="-3"/>
                <w:sz w:val="18"/>
              </w:rPr>
              <w:t> </w:t>
            </w:r>
            <w:r>
              <w:rPr>
                <w:sz w:val="18"/>
              </w:rPr>
              <w:t>management</w:t>
            </w:r>
            <w:r>
              <w:rPr>
                <w:spacing w:val="-6"/>
                <w:sz w:val="18"/>
              </w:rPr>
              <w:t> </w:t>
            </w:r>
            <w:r>
              <w:rPr>
                <w:sz w:val="18"/>
              </w:rPr>
              <w:t>plan?</w:t>
            </w:r>
          </w:p>
          <w:p>
            <w:pPr>
              <w:pStyle w:val="TableParagraph"/>
              <w:numPr>
                <w:ilvl w:val="1"/>
                <w:numId w:val="223"/>
              </w:numPr>
              <w:tabs>
                <w:tab w:pos="821" w:val="left" w:leader="none"/>
                <w:tab w:pos="822" w:val="left" w:leader="none"/>
              </w:tabs>
              <w:spacing w:line="240" w:lineRule="auto" w:before="0" w:after="0"/>
              <w:ind w:left="821" w:right="0" w:hanging="357"/>
              <w:jc w:val="left"/>
              <w:rPr>
                <w:sz w:val="18"/>
              </w:rPr>
            </w:pPr>
            <w:r>
              <w:rPr>
                <w:sz w:val="18"/>
              </w:rPr>
              <w:t>Dose</w:t>
            </w:r>
            <w:r>
              <w:rPr>
                <w:spacing w:val="-1"/>
                <w:sz w:val="18"/>
              </w:rPr>
              <w:t> </w:t>
            </w:r>
            <w:r>
              <w:rPr>
                <w:sz w:val="18"/>
              </w:rPr>
              <w:t>Administration</w:t>
            </w:r>
            <w:r>
              <w:rPr>
                <w:spacing w:val="-6"/>
                <w:sz w:val="18"/>
              </w:rPr>
              <w:t> </w:t>
            </w:r>
            <w:r>
              <w:rPr>
                <w:sz w:val="18"/>
              </w:rPr>
              <w:t>aids?</w:t>
            </w:r>
          </w:p>
        </w:tc>
      </w:tr>
      <w:tr>
        <w:trPr>
          <w:trHeight w:val="962" w:hRule="atLeast"/>
        </w:trPr>
        <w:tc>
          <w:tcPr>
            <w:tcW w:w="1980" w:type="dxa"/>
          </w:tcPr>
          <w:p>
            <w:pPr>
              <w:pStyle w:val="TableParagraph"/>
              <w:spacing w:line="196" w:lineRule="exact"/>
              <w:ind w:left="107"/>
              <w:rPr>
                <w:sz w:val="16"/>
              </w:rPr>
            </w:pPr>
            <w:r>
              <w:rPr>
                <w:sz w:val="16"/>
              </w:rPr>
              <w:t>Message</w:t>
            </w:r>
            <w:r>
              <w:rPr>
                <w:spacing w:val="-3"/>
                <w:sz w:val="16"/>
              </w:rPr>
              <w:t> </w:t>
            </w:r>
            <w:r>
              <w:rPr>
                <w:sz w:val="16"/>
              </w:rPr>
              <w:t>for</w:t>
            </w:r>
            <w:r>
              <w:rPr>
                <w:spacing w:val="-4"/>
                <w:sz w:val="16"/>
              </w:rPr>
              <w:t> </w:t>
            </w:r>
            <w:r>
              <w:rPr>
                <w:sz w:val="16"/>
              </w:rPr>
              <w:t>practice</w:t>
            </w:r>
          </w:p>
        </w:tc>
        <w:tc>
          <w:tcPr>
            <w:tcW w:w="7038" w:type="dxa"/>
          </w:tcPr>
          <w:p>
            <w:pPr>
              <w:pStyle w:val="TableParagraph"/>
              <w:numPr>
                <w:ilvl w:val="0"/>
                <w:numId w:val="224"/>
              </w:numPr>
              <w:tabs>
                <w:tab w:pos="276" w:val="left" w:leader="none"/>
              </w:tabs>
              <w:spacing w:line="276" w:lineRule="auto" w:before="0" w:after="0"/>
              <w:ind w:left="275" w:right="172" w:hanging="168"/>
              <w:jc w:val="left"/>
              <w:rPr>
                <w:sz w:val="18"/>
              </w:rPr>
            </w:pPr>
            <w:r>
              <w:rPr>
                <w:sz w:val="18"/>
              </w:rPr>
              <w:t>What advice would you give your GP and/ or other providers within the</w:t>
            </w:r>
            <w:r>
              <w:rPr>
                <w:spacing w:val="1"/>
                <w:sz w:val="18"/>
              </w:rPr>
              <w:t> </w:t>
            </w:r>
            <w:r>
              <w:rPr>
                <w:sz w:val="18"/>
              </w:rPr>
              <w:t>practice</w:t>
            </w:r>
            <w:r>
              <w:rPr>
                <w:spacing w:val="-3"/>
                <w:sz w:val="18"/>
              </w:rPr>
              <w:t> </w:t>
            </w:r>
            <w:r>
              <w:rPr>
                <w:sz w:val="18"/>
              </w:rPr>
              <w:t>about</w:t>
            </w:r>
            <w:r>
              <w:rPr>
                <w:spacing w:val="-4"/>
                <w:sz w:val="18"/>
              </w:rPr>
              <w:t> </w:t>
            </w:r>
            <w:r>
              <w:rPr>
                <w:sz w:val="18"/>
              </w:rPr>
              <w:t>how</w:t>
            </w:r>
            <w:r>
              <w:rPr>
                <w:spacing w:val="-3"/>
                <w:sz w:val="18"/>
              </w:rPr>
              <w:t> </w:t>
            </w:r>
            <w:r>
              <w:rPr>
                <w:sz w:val="18"/>
              </w:rPr>
              <w:t>to</w:t>
            </w:r>
            <w:r>
              <w:rPr>
                <w:spacing w:val="-3"/>
                <w:sz w:val="18"/>
              </w:rPr>
              <w:t> </w:t>
            </w:r>
            <w:r>
              <w:rPr>
                <w:sz w:val="18"/>
              </w:rPr>
              <w:t>be</w:t>
            </w:r>
            <w:r>
              <w:rPr>
                <w:spacing w:val="-4"/>
                <w:sz w:val="18"/>
              </w:rPr>
              <w:t> </w:t>
            </w:r>
            <w:r>
              <w:rPr>
                <w:sz w:val="18"/>
              </w:rPr>
              <w:t>most</w:t>
            </w:r>
            <w:r>
              <w:rPr>
                <w:spacing w:val="-4"/>
                <w:sz w:val="18"/>
              </w:rPr>
              <w:t> </w:t>
            </w:r>
            <w:r>
              <w:rPr>
                <w:sz w:val="18"/>
              </w:rPr>
              <w:t>helpful</w:t>
            </w:r>
            <w:r>
              <w:rPr>
                <w:spacing w:val="-2"/>
                <w:sz w:val="18"/>
              </w:rPr>
              <w:t> </w:t>
            </w:r>
            <w:r>
              <w:rPr>
                <w:sz w:val="18"/>
              </w:rPr>
              <w:t>to</w:t>
            </w:r>
            <w:r>
              <w:rPr>
                <w:spacing w:val="-3"/>
                <w:sz w:val="18"/>
              </w:rPr>
              <w:t> </w:t>
            </w:r>
            <w:r>
              <w:rPr>
                <w:sz w:val="18"/>
              </w:rPr>
              <w:t>you</w:t>
            </w:r>
            <w:r>
              <w:rPr>
                <w:spacing w:val="-2"/>
                <w:sz w:val="18"/>
              </w:rPr>
              <w:t> </w:t>
            </w:r>
            <w:r>
              <w:rPr>
                <w:sz w:val="18"/>
              </w:rPr>
              <w:t>and</w:t>
            </w:r>
            <w:r>
              <w:rPr>
                <w:spacing w:val="-3"/>
                <w:sz w:val="18"/>
              </w:rPr>
              <w:t> </w:t>
            </w:r>
            <w:r>
              <w:rPr>
                <w:sz w:val="18"/>
              </w:rPr>
              <w:t>other</w:t>
            </w:r>
            <w:r>
              <w:rPr>
                <w:spacing w:val="-2"/>
                <w:sz w:val="18"/>
              </w:rPr>
              <w:t> </w:t>
            </w:r>
            <w:r>
              <w:rPr>
                <w:sz w:val="18"/>
              </w:rPr>
              <w:t>patients</w:t>
            </w:r>
            <w:r>
              <w:rPr>
                <w:spacing w:val="-3"/>
                <w:sz w:val="18"/>
              </w:rPr>
              <w:t> </w:t>
            </w:r>
            <w:r>
              <w:rPr>
                <w:sz w:val="18"/>
              </w:rPr>
              <w:t>like</w:t>
            </w:r>
            <w:r>
              <w:rPr>
                <w:spacing w:val="-2"/>
                <w:sz w:val="18"/>
              </w:rPr>
              <w:t> </w:t>
            </w:r>
            <w:r>
              <w:rPr>
                <w:sz w:val="18"/>
              </w:rPr>
              <w:t>you</w:t>
            </w:r>
            <w:r>
              <w:rPr>
                <w:spacing w:val="-2"/>
                <w:sz w:val="18"/>
              </w:rPr>
              <w:t> </w:t>
            </w:r>
            <w:r>
              <w:rPr>
                <w:sz w:val="18"/>
              </w:rPr>
              <w:t>to</w:t>
            </w:r>
            <w:r>
              <w:rPr>
                <w:spacing w:val="-47"/>
                <w:sz w:val="18"/>
              </w:rPr>
              <w:t> </w:t>
            </w:r>
            <w:r>
              <w:rPr>
                <w:sz w:val="18"/>
              </w:rPr>
              <w:t>manage</w:t>
            </w:r>
            <w:r>
              <w:rPr>
                <w:spacing w:val="-1"/>
                <w:sz w:val="18"/>
              </w:rPr>
              <w:t> </w:t>
            </w:r>
            <w:r>
              <w:rPr>
                <w:sz w:val="18"/>
              </w:rPr>
              <w:t>or</w:t>
            </w:r>
            <w:r>
              <w:rPr>
                <w:spacing w:val="1"/>
                <w:sz w:val="18"/>
              </w:rPr>
              <w:t> </w:t>
            </w:r>
            <w:r>
              <w:rPr>
                <w:sz w:val="18"/>
              </w:rPr>
              <w:t>improve your health?</w:t>
            </w:r>
          </w:p>
        </w:tc>
      </w:tr>
      <w:tr>
        <w:trPr>
          <w:trHeight w:val="707" w:hRule="atLeast"/>
        </w:trPr>
        <w:tc>
          <w:tcPr>
            <w:tcW w:w="1980" w:type="dxa"/>
          </w:tcPr>
          <w:p>
            <w:pPr>
              <w:pStyle w:val="TableParagraph"/>
              <w:ind w:left="107" w:right="446"/>
              <w:rPr>
                <w:sz w:val="16"/>
              </w:rPr>
            </w:pPr>
            <w:r>
              <w:rPr>
                <w:sz w:val="16"/>
              </w:rPr>
              <w:t>Message for other</w:t>
            </w:r>
            <w:r>
              <w:rPr>
                <w:spacing w:val="-42"/>
                <w:sz w:val="16"/>
              </w:rPr>
              <w:t> </w:t>
            </w:r>
            <w:r>
              <w:rPr>
                <w:sz w:val="16"/>
              </w:rPr>
              <w:t>patients</w:t>
            </w:r>
          </w:p>
        </w:tc>
        <w:tc>
          <w:tcPr>
            <w:tcW w:w="7038" w:type="dxa"/>
          </w:tcPr>
          <w:p>
            <w:pPr>
              <w:pStyle w:val="TableParagraph"/>
              <w:numPr>
                <w:ilvl w:val="0"/>
                <w:numId w:val="225"/>
              </w:numPr>
              <w:tabs>
                <w:tab w:pos="276" w:val="left" w:leader="none"/>
              </w:tabs>
              <w:spacing w:line="276" w:lineRule="auto" w:before="0" w:after="0"/>
              <w:ind w:left="275" w:right="679" w:hanging="168"/>
              <w:jc w:val="left"/>
              <w:rPr>
                <w:sz w:val="18"/>
              </w:rPr>
            </w:pPr>
            <w:r>
              <w:rPr>
                <w:sz w:val="18"/>
              </w:rPr>
              <w:t>(</w:t>
            </w:r>
            <w:r>
              <w:rPr>
                <w:b/>
                <w:sz w:val="18"/>
              </w:rPr>
              <w:t>R4/R5</w:t>
            </w:r>
            <w:r>
              <w:rPr>
                <w:sz w:val="18"/>
              </w:rPr>
              <w:t>) Would</w:t>
            </w:r>
            <w:r>
              <w:rPr>
                <w:spacing w:val="-3"/>
                <w:sz w:val="18"/>
              </w:rPr>
              <w:t> </w:t>
            </w:r>
            <w:r>
              <w:rPr>
                <w:sz w:val="18"/>
              </w:rPr>
              <w:t>you</w:t>
            </w:r>
            <w:r>
              <w:rPr>
                <w:spacing w:val="-2"/>
                <w:sz w:val="18"/>
              </w:rPr>
              <w:t> </w:t>
            </w:r>
            <w:r>
              <w:rPr>
                <w:sz w:val="18"/>
              </w:rPr>
              <w:t>recommend</w:t>
            </w:r>
            <w:r>
              <w:rPr>
                <w:spacing w:val="-4"/>
                <w:sz w:val="18"/>
              </w:rPr>
              <w:t> </w:t>
            </w:r>
            <w:r>
              <w:rPr>
                <w:sz w:val="18"/>
              </w:rPr>
              <w:t>enrolling</w:t>
            </w:r>
            <w:r>
              <w:rPr>
                <w:spacing w:val="-5"/>
                <w:sz w:val="18"/>
              </w:rPr>
              <w:t> </w:t>
            </w:r>
            <w:r>
              <w:rPr>
                <w:sz w:val="18"/>
              </w:rPr>
              <w:t>in</w:t>
            </w:r>
            <w:r>
              <w:rPr>
                <w:spacing w:val="-4"/>
                <w:sz w:val="18"/>
              </w:rPr>
              <w:t> </w:t>
            </w:r>
            <w:r>
              <w:rPr>
                <w:sz w:val="18"/>
              </w:rPr>
              <w:t>HCH</w:t>
            </w:r>
            <w:r>
              <w:rPr>
                <w:spacing w:val="-3"/>
                <w:sz w:val="18"/>
              </w:rPr>
              <w:t> </w:t>
            </w:r>
            <w:r>
              <w:rPr>
                <w:sz w:val="18"/>
              </w:rPr>
              <w:t>to</w:t>
            </w:r>
            <w:r>
              <w:rPr>
                <w:spacing w:val="-3"/>
                <w:sz w:val="18"/>
              </w:rPr>
              <w:t> </w:t>
            </w:r>
            <w:r>
              <w:rPr>
                <w:sz w:val="18"/>
              </w:rPr>
              <w:t>other</w:t>
            </w:r>
            <w:r>
              <w:rPr>
                <w:spacing w:val="-2"/>
                <w:sz w:val="18"/>
              </w:rPr>
              <w:t> </w:t>
            </w:r>
            <w:r>
              <w:rPr>
                <w:sz w:val="18"/>
              </w:rPr>
              <w:t>patients</w:t>
            </w:r>
            <w:r>
              <w:rPr>
                <w:spacing w:val="-3"/>
                <w:sz w:val="18"/>
              </w:rPr>
              <w:t> </w:t>
            </w:r>
            <w:r>
              <w:rPr>
                <w:sz w:val="18"/>
              </w:rPr>
              <w:t>with</w:t>
            </w:r>
            <w:r>
              <w:rPr>
                <w:spacing w:val="-47"/>
                <w:sz w:val="18"/>
              </w:rPr>
              <w:t> </w:t>
            </w:r>
            <w:r>
              <w:rPr>
                <w:sz w:val="18"/>
              </w:rPr>
              <w:t>conditions</w:t>
            </w:r>
            <w:r>
              <w:rPr>
                <w:spacing w:val="-1"/>
                <w:sz w:val="18"/>
              </w:rPr>
              <w:t> </w:t>
            </w:r>
            <w:r>
              <w:rPr>
                <w:sz w:val="18"/>
              </w:rPr>
              <w:t>similar</w:t>
            </w:r>
            <w:r>
              <w:rPr>
                <w:spacing w:val="-1"/>
                <w:sz w:val="18"/>
              </w:rPr>
              <w:t> </w:t>
            </w:r>
            <w:r>
              <w:rPr>
                <w:sz w:val="18"/>
              </w:rPr>
              <w:t>to</w:t>
            </w:r>
            <w:r>
              <w:rPr>
                <w:spacing w:val="-1"/>
                <w:sz w:val="18"/>
              </w:rPr>
              <w:t> </w:t>
            </w:r>
            <w:r>
              <w:rPr>
                <w:sz w:val="18"/>
              </w:rPr>
              <w:t>yours?</w:t>
            </w:r>
            <w:r>
              <w:rPr>
                <w:spacing w:val="-4"/>
                <w:sz w:val="18"/>
              </w:rPr>
              <w:t> </w:t>
            </w:r>
            <w:r>
              <w:rPr>
                <w:sz w:val="18"/>
              </w:rPr>
              <w:t>If</w:t>
            </w:r>
            <w:r>
              <w:rPr>
                <w:spacing w:val="-2"/>
                <w:sz w:val="18"/>
              </w:rPr>
              <w:t> </w:t>
            </w:r>
            <w:r>
              <w:rPr>
                <w:sz w:val="18"/>
              </w:rPr>
              <w:t>yes,</w:t>
            </w:r>
            <w:r>
              <w:rPr>
                <w:spacing w:val="-4"/>
                <w:sz w:val="18"/>
              </w:rPr>
              <w:t> </w:t>
            </w:r>
            <w:r>
              <w:rPr>
                <w:sz w:val="18"/>
              </w:rPr>
              <w:t>on what</w:t>
            </w:r>
            <w:r>
              <w:rPr>
                <w:spacing w:val="-3"/>
                <w:sz w:val="18"/>
              </w:rPr>
              <w:t> </w:t>
            </w:r>
            <w:r>
              <w:rPr>
                <w:sz w:val="18"/>
              </w:rPr>
              <w:t>basis?</w:t>
            </w:r>
            <w:r>
              <w:rPr>
                <w:spacing w:val="-4"/>
                <w:sz w:val="18"/>
              </w:rPr>
              <w:t> </w:t>
            </w:r>
            <w:r>
              <w:rPr>
                <w:sz w:val="18"/>
              </w:rPr>
              <w:t>If</w:t>
            </w:r>
            <w:r>
              <w:rPr>
                <w:spacing w:val="-2"/>
                <w:sz w:val="18"/>
              </w:rPr>
              <w:t> </w:t>
            </w:r>
            <w:r>
              <w:rPr>
                <w:sz w:val="18"/>
              </w:rPr>
              <w:t>not,</w:t>
            </w:r>
            <w:r>
              <w:rPr>
                <w:spacing w:val="-3"/>
                <w:sz w:val="18"/>
              </w:rPr>
              <w:t> </w:t>
            </w:r>
            <w:r>
              <w:rPr>
                <w:sz w:val="18"/>
              </w:rPr>
              <w:t>why not?</w:t>
            </w:r>
          </w:p>
        </w:tc>
      </w:tr>
      <w:tr>
        <w:trPr>
          <w:trHeight w:val="707" w:hRule="atLeast"/>
        </w:trPr>
        <w:tc>
          <w:tcPr>
            <w:tcW w:w="1980" w:type="dxa"/>
          </w:tcPr>
          <w:p>
            <w:pPr>
              <w:pStyle w:val="TableParagraph"/>
              <w:spacing w:line="196" w:lineRule="exact"/>
              <w:ind w:left="107"/>
              <w:rPr>
                <w:sz w:val="16"/>
              </w:rPr>
            </w:pPr>
            <w:r>
              <w:rPr>
                <w:sz w:val="16"/>
              </w:rPr>
              <w:t>Anything</w:t>
            </w:r>
            <w:r>
              <w:rPr>
                <w:spacing w:val="-3"/>
                <w:sz w:val="16"/>
              </w:rPr>
              <w:t> </w:t>
            </w:r>
            <w:r>
              <w:rPr>
                <w:sz w:val="16"/>
              </w:rPr>
              <w:t>else?</w:t>
            </w:r>
          </w:p>
        </w:tc>
        <w:tc>
          <w:tcPr>
            <w:tcW w:w="7038" w:type="dxa"/>
          </w:tcPr>
          <w:p>
            <w:pPr>
              <w:pStyle w:val="TableParagraph"/>
              <w:numPr>
                <w:ilvl w:val="0"/>
                <w:numId w:val="226"/>
              </w:numPr>
              <w:tabs>
                <w:tab w:pos="276" w:val="left" w:leader="none"/>
              </w:tabs>
              <w:spacing w:line="219" w:lineRule="exact" w:before="0" w:after="0"/>
              <w:ind w:left="275" w:right="0" w:hanging="169"/>
              <w:jc w:val="left"/>
              <w:rPr>
                <w:sz w:val="18"/>
              </w:rPr>
            </w:pPr>
            <w:r>
              <w:rPr>
                <w:sz w:val="18"/>
              </w:rPr>
              <w:t>Is</w:t>
            </w:r>
            <w:r>
              <w:rPr>
                <w:spacing w:val="-3"/>
                <w:sz w:val="18"/>
              </w:rPr>
              <w:t> </w:t>
            </w:r>
            <w:r>
              <w:rPr>
                <w:sz w:val="18"/>
              </w:rPr>
              <w:t>there</w:t>
            </w:r>
            <w:r>
              <w:rPr>
                <w:spacing w:val="-2"/>
                <w:sz w:val="18"/>
              </w:rPr>
              <w:t> </w:t>
            </w:r>
            <w:r>
              <w:rPr>
                <w:sz w:val="18"/>
              </w:rPr>
              <w:t>anything</w:t>
            </w:r>
            <w:r>
              <w:rPr>
                <w:spacing w:val="-4"/>
                <w:sz w:val="18"/>
              </w:rPr>
              <w:t> </w:t>
            </w:r>
            <w:r>
              <w:rPr>
                <w:sz w:val="18"/>
              </w:rPr>
              <w:t>else</w:t>
            </w:r>
            <w:r>
              <w:rPr>
                <w:spacing w:val="-2"/>
                <w:sz w:val="18"/>
              </w:rPr>
              <w:t> </w:t>
            </w:r>
            <w:r>
              <w:rPr>
                <w:sz w:val="18"/>
              </w:rPr>
              <w:t>that</w:t>
            </w:r>
            <w:r>
              <w:rPr>
                <w:spacing w:val="-4"/>
                <w:sz w:val="18"/>
              </w:rPr>
              <w:t> </w:t>
            </w:r>
            <w:r>
              <w:rPr>
                <w:sz w:val="18"/>
              </w:rPr>
              <w:t>we</w:t>
            </w:r>
            <w:r>
              <w:rPr>
                <w:spacing w:val="-2"/>
                <w:sz w:val="18"/>
              </w:rPr>
              <w:t> </w:t>
            </w:r>
            <w:r>
              <w:rPr>
                <w:sz w:val="18"/>
              </w:rPr>
              <w:t>haven’t</w:t>
            </w:r>
            <w:r>
              <w:rPr>
                <w:spacing w:val="-4"/>
                <w:sz w:val="18"/>
              </w:rPr>
              <w:t> </w:t>
            </w:r>
            <w:r>
              <w:rPr>
                <w:sz w:val="18"/>
              </w:rPr>
              <w:t>discussed</w:t>
            </w:r>
            <w:r>
              <w:rPr>
                <w:spacing w:val="-3"/>
                <w:sz w:val="18"/>
              </w:rPr>
              <w:t> </w:t>
            </w:r>
            <w:r>
              <w:rPr>
                <w:sz w:val="18"/>
              </w:rPr>
              <w:t>that</w:t>
            </w:r>
            <w:r>
              <w:rPr>
                <w:spacing w:val="-4"/>
                <w:sz w:val="18"/>
              </w:rPr>
              <w:t> </w:t>
            </w:r>
            <w:r>
              <w:rPr>
                <w:sz w:val="18"/>
              </w:rPr>
              <w:t>you</w:t>
            </w:r>
            <w:r>
              <w:rPr>
                <w:spacing w:val="-2"/>
                <w:sz w:val="18"/>
              </w:rPr>
              <w:t> </w:t>
            </w:r>
            <w:r>
              <w:rPr>
                <w:sz w:val="18"/>
              </w:rPr>
              <w:t>would</w:t>
            </w:r>
            <w:r>
              <w:rPr>
                <w:spacing w:val="-3"/>
                <w:sz w:val="18"/>
              </w:rPr>
              <w:t> </w:t>
            </w:r>
            <w:r>
              <w:rPr>
                <w:sz w:val="18"/>
              </w:rPr>
              <w:t>like</w:t>
            </w:r>
            <w:r>
              <w:rPr>
                <w:spacing w:val="-2"/>
                <w:sz w:val="18"/>
              </w:rPr>
              <w:t> </w:t>
            </w:r>
            <w:r>
              <w:rPr>
                <w:sz w:val="18"/>
              </w:rPr>
              <w:t>to</w:t>
            </w:r>
          </w:p>
          <w:p>
            <w:pPr>
              <w:pStyle w:val="TableParagraph"/>
              <w:spacing w:before="33"/>
              <w:ind w:left="275"/>
              <w:rPr>
                <w:sz w:val="18"/>
              </w:rPr>
            </w:pPr>
            <w:r>
              <w:rPr>
                <w:sz w:val="18"/>
              </w:rPr>
              <w:t>mention?</w:t>
            </w:r>
          </w:p>
        </w:tc>
      </w:tr>
    </w:tbl>
    <w:p>
      <w:pPr>
        <w:spacing w:line="276" w:lineRule="auto" w:before="5"/>
        <w:ind w:left="1140" w:right="1675" w:firstLine="0"/>
        <w:jc w:val="left"/>
        <w:rPr>
          <w:i/>
          <w:sz w:val="14"/>
        </w:rPr>
      </w:pPr>
      <w:r>
        <w:rPr>
          <w:i/>
          <w:sz w:val="14"/>
        </w:rPr>
        <w:t>*</w:t>
      </w:r>
      <w:r>
        <w:rPr>
          <w:i/>
          <w:spacing w:val="-3"/>
          <w:sz w:val="14"/>
        </w:rPr>
        <w:t> </w:t>
      </w:r>
      <w:r>
        <w:rPr>
          <w:i/>
          <w:sz w:val="14"/>
        </w:rPr>
        <w:t>‘Patient’</w:t>
      </w:r>
      <w:r>
        <w:rPr>
          <w:i/>
          <w:spacing w:val="-4"/>
          <w:sz w:val="14"/>
        </w:rPr>
        <w:t> </w:t>
      </w:r>
      <w:r>
        <w:rPr>
          <w:i/>
          <w:sz w:val="14"/>
        </w:rPr>
        <w:t>includes carers</w:t>
      </w:r>
      <w:r>
        <w:rPr>
          <w:i/>
          <w:spacing w:val="-2"/>
          <w:sz w:val="14"/>
        </w:rPr>
        <w:t> </w:t>
      </w:r>
      <w:r>
        <w:rPr>
          <w:i/>
          <w:sz w:val="14"/>
        </w:rPr>
        <w:t>and/</w:t>
      </w:r>
      <w:r>
        <w:rPr>
          <w:i/>
          <w:spacing w:val="-4"/>
          <w:sz w:val="14"/>
        </w:rPr>
        <w:t> </w:t>
      </w:r>
      <w:r>
        <w:rPr>
          <w:i/>
          <w:sz w:val="14"/>
        </w:rPr>
        <w:t>or</w:t>
      </w:r>
      <w:r>
        <w:rPr>
          <w:i/>
          <w:spacing w:val="-4"/>
          <w:sz w:val="14"/>
        </w:rPr>
        <w:t> </w:t>
      </w:r>
      <w:r>
        <w:rPr>
          <w:i/>
          <w:sz w:val="14"/>
        </w:rPr>
        <w:t>family</w:t>
      </w:r>
      <w:r>
        <w:rPr>
          <w:i/>
          <w:spacing w:val="-5"/>
          <w:sz w:val="14"/>
        </w:rPr>
        <w:t> </w:t>
      </w:r>
      <w:r>
        <w:rPr>
          <w:i/>
          <w:sz w:val="14"/>
        </w:rPr>
        <w:t>members</w:t>
      </w:r>
      <w:r>
        <w:rPr>
          <w:i/>
          <w:spacing w:val="-2"/>
          <w:sz w:val="14"/>
        </w:rPr>
        <w:t> </w:t>
      </w:r>
      <w:r>
        <w:rPr>
          <w:i/>
          <w:sz w:val="14"/>
        </w:rPr>
        <w:t>of</w:t>
      </w:r>
      <w:r>
        <w:rPr>
          <w:i/>
          <w:spacing w:val="-1"/>
          <w:sz w:val="14"/>
        </w:rPr>
        <w:t> </w:t>
      </w:r>
      <w:r>
        <w:rPr>
          <w:i/>
          <w:sz w:val="14"/>
        </w:rPr>
        <w:t>enrolled</w:t>
      </w:r>
      <w:r>
        <w:rPr>
          <w:i/>
          <w:spacing w:val="-3"/>
          <w:sz w:val="14"/>
        </w:rPr>
        <w:t> </w:t>
      </w:r>
      <w:r>
        <w:rPr>
          <w:i/>
          <w:sz w:val="14"/>
        </w:rPr>
        <w:t>patients</w:t>
      </w:r>
      <w:r>
        <w:rPr>
          <w:i/>
          <w:spacing w:val="-4"/>
          <w:sz w:val="14"/>
        </w:rPr>
        <w:t> </w:t>
      </w:r>
      <w:r>
        <w:rPr>
          <w:i/>
          <w:sz w:val="14"/>
        </w:rPr>
        <w:t>that may</w:t>
      </w:r>
      <w:r>
        <w:rPr>
          <w:i/>
          <w:spacing w:val="-5"/>
          <w:sz w:val="14"/>
        </w:rPr>
        <w:t> </w:t>
      </w:r>
      <w:r>
        <w:rPr>
          <w:i/>
          <w:sz w:val="14"/>
        </w:rPr>
        <w:t>be</w:t>
      </w:r>
      <w:r>
        <w:rPr>
          <w:i/>
          <w:spacing w:val="-2"/>
          <w:sz w:val="14"/>
        </w:rPr>
        <w:t> </w:t>
      </w:r>
      <w:r>
        <w:rPr>
          <w:i/>
          <w:sz w:val="14"/>
        </w:rPr>
        <w:t>involved</w:t>
      </w:r>
      <w:r>
        <w:rPr>
          <w:i/>
          <w:spacing w:val="-2"/>
          <w:sz w:val="14"/>
        </w:rPr>
        <w:t> </w:t>
      </w:r>
      <w:r>
        <w:rPr>
          <w:i/>
          <w:sz w:val="14"/>
        </w:rPr>
        <w:t>in</w:t>
      </w:r>
      <w:r>
        <w:rPr>
          <w:i/>
          <w:spacing w:val="-4"/>
          <w:sz w:val="14"/>
        </w:rPr>
        <w:t> </w:t>
      </w:r>
      <w:r>
        <w:rPr>
          <w:i/>
          <w:sz w:val="14"/>
        </w:rPr>
        <w:t>focus</w:t>
      </w:r>
      <w:r>
        <w:rPr>
          <w:i/>
          <w:spacing w:val="-2"/>
          <w:sz w:val="14"/>
        </w:rPr>
        <w:t> </w:t>
      </w:r>
      <w:r>
        <w:rPr>
          <w:i/>
          <w:sz w:val="14"/>
        </w:rPr>
        <w:t>groups</w:t>
      </w:r>
      <w:r>
        <w:rPr>
          <w:i/>
          <w:spacing w:val="-2"/>
          <w:sz w:val="14"/>
        </w:rPr>
        <w:t> </w:t>
      </w:r>
      <w:r>
        <w:rPr>
          <w:i/>
          <w:sz w:val="14"/>
        </w:rPr>
        <w:t>as</w:t>
      </w:r>
      <w:r>
        <w:rPr>
          <w:i/>
          <w:spacing w:val="-3"/>
          <w:sz w:val="14"/>
        </w:rPr>
        <w:t> </w:t>
      </w:r>
      <w:r>
        <w:rPr>
          <w:i/>
          <w:sz w:val="14"/>
        </w:rPr>
        <w:t>a</w:t>
      </w:r>
      <w:r>
        <w:rPr>
          <w:i/>
          <w:spacing w:val="-2"/>
          <w:sz w:val="14"/>
        </w:rPr>
        <w:t> </w:t>
      </w:r>
      <w:r>
        <w:rPr>
          <w:i/>
          <w:sz w:val="14"/>
        </w:rPr>
        <w:t>proxy</w:t>
      </w:r>
      <w:r>
        <w:rPr>
          <w:i/>
          <w:spacing w:val="-5"/>
          <w:sz w:val="14"/>
        </w:rPr>
        <w:t> </w:t>
      </w:r>
      <w:r>
        <w:rPr>
          <w:i/>
          <w:sz w:val="14"/>
        </w:rPr>
        <w:t>for</w:t>
      </w:r>
      <w:r>
        <w:rPr>
          <w:i/>
          <w:spacing w:val="-1"/>
          <w:sz w:val="14"/>
        </w:rPr>
        <w:t> </w:t>
      </w:r>
      <w:r>
        <w:rPr>
          <w:i/>
          <w:sz w:val="14"/>
        </w:rPr>
        <w:t>the</w:t>
      </w:r>
      <w:r>
        <w:rPr>
          <w:i/>
          <w:spacing w:val="1"/>
          <w:sz w:val="14"/>
        </w:rPr>
        <w:t> </w:t>
      </w:r>
      <w:r>
        <w:rPr>
          <w:i/>
          <w:sz w:val="14"/>
        </w:rPr>
        <w:t>patient, or</w:t>
      </w:r>
      <w:r>
        <w:rPr>
          <w:i/>
          <w:spacing w:val="-4"/>
          <w:sz w:val="14"/>
        </w:rPr>
        <w:t> </w:t>
      </w:r>
      <w:r>
        <w:rPr>
          <w:i/>
          <w:sz w:val="14"/>
        </w:rPr>
        <w:t>to</w:t>
      </w:r>
      <w:r>
        <w:rPr>
          <w:i/>
          <w:spacing w:val="-1"/>
          <w:sz w:val="14"/>
        </w:rPr>
        <w:t> </w:t>
      </w:r>
      <w:r>
        <w:rPr>
          <w:i/>
          <w:sz w:val="14"/>
        </w:rPr>
        <w:t>voice</w:t>
      </w:r>
      <w:r>
        <w:rPr>
          <w:i/>
          <w:spacing w:val="-3"/>
          <w:sz w:val="14"/>
        </w:rPr>
        <w:t> </w:t>
      </w:r>
      <w:r>
        <w:rPr>
          <w:i/>
          <w:sz w:val="14"/>
        </w:rPr>
        <w:t>their</w:t>
      </w:r>
      <w:r>
        <w:rPr>
          <w:i/>
          <w:spacing w:val="-2"/>
          <w:sz w:val="14"/>
        </w:rPr>
        <w:t> </w:t>
      </w:r>
      <w:r>
        <w:rPr>
          <w:i/>
          <w:sz w:val="14"/>
        </w:rPr>
        <w:t>own</w:t>
      </w:r>
      <w:r>
        <w:rPr>
          <w:i/>
          <w:spacing w:val="-2"/>
          <w:sz w:val="14"/>
        </w:rPr>
        <w:t> </w:t>
      </w:r>
      <w:r>
        <w:rPr>
          <w:i/>
          <w:sz w:val="14"/>
        </w:rPr>
        <w:t>views.</w:t>
      </w:r>
    </w:p>
    <w:p>
      <w:pPr>
        <w:spacing w:after="0" w:line="276" w:lineRule="auto"/>
        <w:jc w:val="left"/>
        <w:rPr>
          <w:sz w:val="14"/>
        </w:rPr>
        <w:sectPr>
          <w:type w:val="continuous"/>
          <w:pgSz w:w="11910" w:h="16840"/>
          <w:pgMar w:header="0" w:footer="948" w:top="1420" w:bottom="1140" w:left="300" w:right="0"/>
        </w:sectPr>
      </w:pPr>
    </w:p>
    <w:p>
      <w:pPr>
        <w:pStyle w:val="Heading2"/>
        <w:spacing w:before="81"/>
        <w:ind w:left="1140"/>
      </w:pPr>
      <w:bookmarkStart w:name="_bookmark91" w:id="92"/>
      <w:bookmarkEnd w:id="92"/>
      <w:r>
        <w:rPr/>
      </w:r>
      <w:r>
        <w:rPr>
          <w:color w:val="003C79"/>
        </w:rPr>
        <w:t>Topic</w:t>
      </w:r>
      <w:r>
        <w:rPr>
          <w:color w:val="003C79"/>
          <w:spacing w:val="-3"/>
        </w:rPr>
        <w:t> </w:t>
      </w:r>
      <w:r>
        <w:rPr>
          <w:color w:val="003C79"/>
        </w:rPr>
        <w:t>guide</w:t>
      </w:r>
      <w:r>
        <w:rPr>
          <w:color w:val="003C79"/>
          <w:spacing w:val="-5"/>
        </w:rPr>
        <w:t> </w:t>
      </w:r>
      <w:r>
        <w:rPr>
          <w:color w:val="003C79"/>
        </w:rPr>
        <w:t>–</w:t>
      </w:r>
      <w:r>
        <w:rPr>
          <w:color w:val="003C79"/>
          <w:spacing w:val="-3"/>
        </w:rPr>
        <w:t> </w:t>
      </w:r>
      <w:r>
        <w:rPr>
          <w:color w:val="003C79"/>
        </w:rPr>
        <w:t>Practice*</w:t>
      </w:r>
      <w:r>
        <w:rPr>
          <w:color w:val="003C79"/>
          <w:spacing w:val="-7"/>
        </w:rPr>
        <w:t> </w:t>
      </w:r>
      <w:r>
        <w:rPr>
          <w:color w:val="003C79"/>
        </w:rPr>
        <w:t>interviews</w:t>
      </w:r>
    </w:p>
    <w:p>
      <w:pPr>
        <w:pStyle w:val="BodyText"/>
        <w:spacing w:before="1"/>
        <w:rPr>
          <w:sz w:val="21"/>
        </w:rPr>
      </w:pPr>
    </w:p>
    <w:tbl>
      <w:tblPr>
        <w:tblW w:w="0" w:type="auto"/>
        <w:jc w:val="left"/>
        <w:tblInd w:w="11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980"/>
        <w:gridCol w:w="7038"/>
      </w:tblGrid>
      <w:tr>
        <w:trPr>
          <w:trHeight w:val="225" w:hRule="atLeast"/>
        </w:trPr>
        <w:tc>
          <w:tcPr>
            <w:tcW w:w="1980" w:type="dxa"/>
            <w:shd w:val="clear" w:color="auto" w:fill="003C79"/>
          </w:tcPr>
          <w:p>
            <w:pPr>
              <w:pStyle w:val="TableParagraph"/>
              <w:spacing w:line="196" w:lineRule="exact"/>
              <w:ind w:left="107"/>
              <w:rPr>
                <w:b/>
                <w:sz w:val="16"/>
              </w:rPr>
            </w:pPr>
            <w:r>
              <w:rPr>
                <w:b/>
                <w:color w:val="FFFFFF"/>
                <w:sz w:val="16"/>
              </w:rPr>
              <w:t>Topic</w:t>
            </w:r>
          </w:p>
        </w:tc>
        <w:tc>
          <w:tcPr>
            <w:tcW w:w="7038" w:type="dxa"/>
            <w:shd w:val="clear" w:color="auto" w:fill="003C79"/>
          </w:tcPr>
          <w:p>
            <w:pPr>
              <w:pStyle w:val="TableParagraph"/>
              <w:spacing w:line="196" w:lineRule="exact"/>
              <w:ind w:left="107"/>
              <w:rPr>
                <w:b/>
                <w:sz w:val="16"/>
              </w:rPr>
            </w:pPr>
            <w:r>
              <w:rPr>
                <w:b/>
                <w:color w:val="FFFFFF"/>
                <w:sz w:val="16"/>
              </w:rPr>
              <w:t>Question</w:t>
            </w:r>
          </w:p>
        </w:tc>
      </w:tr>
      <w:tr>
        <w:trPr>
          <w:trHeight w:val="4769" w:hRule="atLeast"/>
        </w:trPr>
        <w:tc>
          <w:tcPr>
            <w:tcW w:w="1980" w:type="dxa"/>
          </w:tcPr>
          <w:p>
            <w:pPr>
              <w:pStyle w:val="TableParagraph"/>
              <w:spacing w:before="2"/>
              <w:ind w:left="107"/>
              <w:rPr>
                <w:sz w:val="16"/>
              </w:rPr>
            </w:pPr>
            <w:r>
              <w:rPr>
                <w:sz w:val="16"/>
              </w:rPr>
              <w:t>Introduction</w:t>
            </w:r>
          </w:p>
        </w:tc>
        <w:tc>
          <w:tcPr>
            <w:tcW w:w="7038" w:type="dxa"/>
          </w:tcPr>
          <w:p>
            <w:pPr>
              <w:pStyle w:val="TableParagraph"/>
              <w:numPr>
                <w:ilvl w:val="0"/>
                <w:numId w:val="227"/>
              </w:numPr>
              <w:tabs>
                <w:tab w:pos="276" w:val="left" w:leader="none"/>
              </w:tabs>
              <w:spacing w:line="240" w:lineRule="auto" w:before="1" w:after="0"/>
              <w:ind w:left="275" w:right="0" w:hanging="169"/>
              <w:jc w:val="left"/>
              <w:rPr>
                <w:sz w:val="18"/>
              </w:rPr>
            </w:pPr>
            <w:r>
              <w:rPr>
                <w:sz w:val="18"/>
              </w:rPr>
              <w:t>Introduction</w:t>
            </w:r>
            <w:r>
              <w:rPr>
                <w:spacing w:val="-6"/>
                <w:sz w:val="18"/>
              </w:rPr>
              <w:t> </w:t>
            </w:r>
            <w:r>
              <w:rPr>
                <w:sz w:val="18"/>
              </w:rPr>
              <w:t>of</w:t>
            </w:r>
            <w:r>
              <w:rPr>
                <w:spacing w:val="-5"/>
                <w:sz w:val="18"/>
              </w:rPr>
              <w:t> </w:t>
            </w:r>
            <w:r>
              <w:rPr>
                <w:sz w:val="18"/>
              </w:rPr>
              <w:t>researcher</w:t>
            </w:r>
            <w:r>
              <w:rPr>
                <w:spacing w:val="-3"/>
                <w:sz w:val="18"/>
              </w:rPr>
              <w:t> </w:t>
            </w:r>
            <w:r>
              <w:rPr>
                <w:sz w:val="18"/>
              </w:rPr>
              <w:t>and describe</w:t>
            </w:r>
            <w:r>
              <w:rPr>
                <w:spacing w:val="-3"/>
                <w:sz w:val="18"/>
              </w:rPr>
              <w:t> </w:t>
            </w:r>
            <w:r>
              <w:rPr>
                <w:sz w:val="18"/>
              </w:rPr>
              <w:t>the</w:t>
            </w:r>
            <w:r>
              <w:rPr>
                <w:spacing w:val="-3"/>
                <w:sz w:val="18"/>
              </w:rPr>
              <w:t> </w:t>
            </w:r>
            <w:r>
              <w:rPr>
                <w:sz w:val="18"/>
              </w:rPr>
              <w:t>project</w:t>
            </w:r>
            <w:r>
              <w:rPr>
                <w:spacing w:val="-5"/>
                <w:sz w:val="18"/>
              </w:rPr>
              <w:t> </w:t>
            </w:r>
            <w:r>
              <w:rPr>
                <w:sz w:val="18"/>
              </w:rPr>
              <w:t>and</w:t>
            </w:r>
            <w:r>
              <w:rPr>
                <w:spacing w:val="-5"/>
                <w:sz w:val="18"/>
              </w:rPr>
              <w:t> </w:t>
            </w:r>
            <w:r>
              <w:rPr>
                <w:sz w:val="18"/>
              </w:rPr>
              <w:t>its</w:t>
            </w:r>
            <w:r>
              <w:rPr>
                <w:spacing w:val="-4"/>
                <w:sz w:val="18"/>
              </w:rPr>
              <w:t> </w:t>
            </w:r>
            <w:r>
              <w:rPr>
                <w:sz w:val="18"/>
              </w:rPr>
              <w:t>purpose.</w:t>
            </w:r>
          </w:p>
          <w:p>
            <w:pPr>
              <w:pStyle w:val="TableParagraph"/>
              <w:numPr>
                <w:ilvl w:val="0"/>
                <w:numId w:val="227"/>
              </w:numPr>
              <w:tabs>
                <w:tab w:pos="276" w:val="left" w:leader="none"/>
              </w:tabs>
              <w:spacing w:line="240" w:lineRule="auto" w:before="31" w:after="0"/>
              <w:ind w:left="275" w:right="0" w:hanging="169"/>
              <w:jc w:val="left"/>
              <w:rPr>
                <w:sz w:val="18"/>
              </w:rPr>
            </w:pPr>
            <w:r>
              <w:rPr>
                <w:sz w:val="18"/>
              </w:rPr>
              <w:t>Outline:</w:t>
            </w:r>
          </w:p>
          <w:p>
            <w:pPr>
              <w:pStyle w:val="TableParagraph"/>
              <w:numPr>
                <w:ilvl w:val="0"/>
                <w:numId w:val="227"/>
              </w:numPr>
              <w:tabs>
                <w:tab w:pos="276" w:val="left" w:leader="none"/>
              </w:tabs>
              <w:spacing w:line="276" w:lineRule="auto" w:before="34" w:after="0"/>
              <w:ind w:left="275" w:right="150" w:hanging="168"/>
              <w:jc w:val="left"/>
              <w:rPr>
                <w:sz w:val="18"/>
              </w:rPr>
            </w:pPr>
            <w:r>
              <w:rPr>
                <w:sz w:val="18"/>
              </w:rPr>
              <w:t>Remind the participant(s) that participation is voluntary; that they do not</w:t>
            </w:r>
            <w:r>
              <w:rPr>
                <w:spacing w:val="1"/>
                <w:sz w:val="18"/>
              </w:rPr>
              <w:t> </w:t>
            </w:r>
            <w:r>
              <w:rPr>
                <w:sz w:val="18"/>
              </w:rPr>
              <w:t>have</w:t>
            </w:r>
            <w:r>
              <w:rPr>
                <w:spacing w:val="-3"/>
                <w:sz w:val="18"/>
              </w:rPr>
              <w:t> </w:t>
            </w:r>
            <w:r>
              <w:rPr>
                <w:sz w:val="18"/>
              </w:rPr>
              <w:t>to</w:t>
            </w:r>
            <w:r>
              <w:rPr>
                <w:spacing w:val="-3"/>
                <w:sz w:val="18"/>
              </w:rPr>
              <w:t> </w:t>
            </w:r>
            <w:r>
              <w:rPr>
                <w:sz w:val="18"/>
              </w:rPr>
              <w:t>take</w:t>
            </w:r>
            <w:r>
              <w:rPr>
                <w:spacing w:val="-2"/>
                <w:sz w:val="18"/>
              </w:rPr>
              <w:t> </w:t>
            </w:r>
            <w:r>
              <w:rPr>
                <w:sz w:val="18"/>
              </w:rPr>
              <w:t>part,</w:t>
            </w:r>
            <w:r>
              <w:rPr>
                <w:spacing w:val="-4"/>
                <w:sz w:val="18"/>
              </w:rPr>
              <w:t> </w:t>
            </w:r>
            <w:r>
              <w:rPr>
                <w:sz w:val="18"/>
              </w:rPr>
              <w:t>and</w:t>
            </w:r>
            <w:r>
              <w:rPr>
                <w:spacing w:val="-1"/>
                <w:sz w:val="18"/>
              </w:rPr>
              <w:t> </w:t>
            </w:r>
            <w:r>
              <w:rPr>
                <w:sz w:val="18"/>
              </w:rPr>
              <w:t>that</w:t>
            </w:r>
            <w:r>
              <w:rPr>
                <w:spacing w:val="-1"/>
                <w:sz w:val="18"/>
              </w:rPr>
              <w:t> </w:t>
            </w:r>
            <w:r>
              <w:rPr>
                <w:sz w:val="18"/>
              </w:rPr>
              <w:t>there</w:t>
            </w:r>
            <w:r>
              <w:rPr>
                <w:spacing w:val="-2"/>
                <w:sz w:val="18"/>
              </w:rPr>
              <w:t> </w:t>
            </w:r>
            <w:r>
              <w:rPr>
                <w:sz w:val="18"/>
              </w:rPr>
              <w:t>will</w:t>
            </w:r>
            <w:r>
              <w:rPr>
                <w:spacing w:val="-3"/>
                <w:sz w:val="18"/>
              </w:rPr>
              <w:t> </w:t>
            </w:r>
            <w:r>
              <w:rPr>
                <w:sz w:val="18"/>
              </w:rPr>
              <w:t>be</w:t>
            </w:r>
            <w:r>
              <w:rPr>
                <w:spacing w:val="-2"/>
                <w:sz w:val="18"/>
              </w:rPr>
              <w:t> </w:t>
            </w:r>
            <w:r>
              <w:rPr>
                <w:sz w:val="18"/>
              </w:rPr>
              <w:t>no</w:t>
            </w:r>
            <w:r>
              <w:rPr>
                <w:spacing w:val="-5"/>
                <w:sz w:val="18"/>
              </w:rPr>
              <w:t> </w:t>
            </w:r>
            <w:r>
              <w:rPr>
                <w:sz w:val="18"/>
              </w:rPr>
              <w:t>repercussions</w:t>
            </w:r>
            <w:r>
              <w:rPr>
                <w:spacing w:val="-3"/>
                <w:sz w:val="18"/>
              </w:rPr>
              <w:t> </w:t>
            </w:r>
            <w:r>
              <w:rPr>
                <w:sz w:val="18"/>
              </w:rPr>
              <w:t>if</w:t>
            </w:r>
            <w:r>
              <w:rPr>
                <w:spacing w:val="-1"/>
                <w:sz w:val="18"/>
              </w:rPr>
              <w:t> </w:t>
            </w:r>
            <w:r>
              <w:rPr>
                <w:sz w:val="18"/>
              </w:rPr>
              <w:t>they</w:t>
            </w:r>
            <w:r>
              <w:rPr>
                <w:spacing w:val="-5"/>
                <w:sz w:val="18"/>
              </w:rPr>
              <w:t> </w:t>
            </w:r>
            <w:r>
              <w:rPr>
                <w:sz w:val="18"/>
              </w:rPr>
              <w:t>choose</w:t>
            </w:r>
            <w:r>
              <w:rPr>
                <w:spacing w:val="-2"/>
                <w:sz w:val="18"/>
              </w:rPr>
              <w:t> </w:t>
            </w:r>
            <w:r>
              <w:rPr>
                <w:sz w:val="18"/>
              </w:rPr>
              <w:t>not</w:t>
            </w:r>
            <w:r>
              <w:rPr>
                <w:spacing w:val="-47"/>
                <w:sz w:val="18"/>
              </w:rPr>
              <w:t> </w:t>
            </w:r>
            <w:r>
              <w:rPr>
                <w:sz w:val="18"/>
              </w:rPr>
              <w:t>to</w:t>
            </w:r>
            <w:r>
              <w:rPr>
                <w:spacing w:val="-1"/>
                <w:sz w:val="18"/>
              </w:rPr>
              <w:t> </w:t>
            </w:r>
            <w:r>
              <w:rPr>
                <w:sz w:val="18"/>
              </w:rPr>
              <w:t>do so.</w:t>
            </w:r>
          </w:p>
          <w:p>
            <w:pPr>
              <w:pStyle w:val="TableParagraph"/>
              <w:numPr>
                <w:ilvl w:val="0"/>
                <w:numId w:val="227"/>
              </w:numPr>
              <w:tabs>
                <w:tab w:pos="276" w:val="left" w:leader="none"/>
              </w:tabs>
              <w:spacing w:line="220" w:lineRule="exact" w:before="0" w:after="0"/>
              <w:ind w:left="275" w:right="0" w:hanging="169"/>
              <w:jc w:val="left"/>
              <w:rPr>
                <w:sz w:val="18"/>
              </w:rPr>
            </w:pPr>
            <w:r>
              <w:rPr>
                <w:sz w:val="18"/>
              </w:rPr>
              <w:t>Describe</w:t>
            </w:r>
            <w:r>
              <w:rPr>
                <w:spacing w:val="-5"/>
                <w:sz w:val="18"/>
              </w:rPr>
              <w:t> </w:t>
            </w:r>
            <w:r>
              <w:rPr>
                <w:sz w:val="18"/>
              </w:rPr>
              <w:t>what</w:t>
            </w:r>
            <w:r>
              <w:rPr>
                <w:spacing w:val="-3"/>
                <w:sz w:val="18"/>
              </w:rPr>
              <w:t> </w:t>
            </w:r>
            <w:r>
              <w:rPr>
                <w:sz w:val="18"/>
              </w:rPr>
              <w:t>participation</w:t>
            </w:r>
            <w:r>
              <w:rPr>
                <w:spacing w:val="-5"/>
                <w:sz w:val="18"/>
              </w:rPr>
              <w:t> </w:t>
            </w:r>
            <w:r>
              <w:rPr>
                <w:sz w:val="18"/>
              </w:rPr>
              <w:t>in</w:t>
            </w:r>
            <w:r>
              <w:rPr>
                <w:spacing w:val="-3"/>
                <w:sz w:val="18"/>
              </w:rPr>
              <w:t> </w:t>
            </w:r>
            <w:r>
              <w:rPr>
                <w:sz w:val="18"/>
              </w:rPr>
              <w:t>the</w:t>
            </w:r>
            <w:r>
              <w:rPr>
                <w:spacing w:val="-4"/>
                <w:sz w:val="18"/>
              </w:rPr>
              <w:t> </w:t>
            </w:r>
            <w:r>
              <w:rPr>
                <w:sz w:val="18"/>
              </w:rPr>
              <w:t>interview</w:t>
            </w:r>
            <w:r>
              <w:rPr>
                <w:spacing w:val="-1"/>
                <w:sz w:val="18"/>
              </w:rPr>
              <w:t> </w:t>
            </w:r>
            <w:r>
              <w:rPr>
                <w:sz w:val="18"/>
              </w:rPr>
              <w:t>involves.</w:t>
            </w:r>
          </w:p>
          <w:p>
            <w:pPr>
              <w:pStyle w:val="TableParagraph"/>
              <w:numPr>
                <w:ilvl w:val="0"/>
                <w:numId w:val="227"/>
              </w:numPr>
              <w:tabs>
                <w:tab w:pos="276" w:val="left" w:leader="none"/>
              </w:tabs>
              <w:spacing w:line="276" w:lineRule="auto" w:before="34" w:after="0"/>
              <w:ind w:left="275" w:right="416" w:hanging="168"/>
              <w:jc w:val="both"/>
              <w:rPr>
                <w:sz w:val="18"/>
              </w:rPr>
            </w:pPr>
            <w:r>
              <w:rPr>
                <w:sz w:val="18"/>
              </w:rPr>
              <w:t>Remind</w:t>
            </w:r>
            <w:r>
              <w:rPr>
                <w:spacing w:val="-3"/>
                <w:sz w:val="18"/>
              </w:rPr>
              <w:t> </w:t>
            </w:r>
            <w:r>
              <w:rPr>
                <w:sz w:val="18"/>
              </w:rPr>
              <w:t>the</w:t>
            </w:r>
            <w:r>
              <w:rPr>
                <w:spacing w:val="-2"/>
                <w:sz w:val="18"/>
              </w:rPr>
              <w:t> </w:t>
            </w:r>
            <w:r>
              <w:rPr>
                <w:sz w:val="18"/>
              </w:rPr>
              <w:t>participant</w:t>
            </w:r>
            <w:r>
              <w:rPr>
                <w:spacing w:val="-4"/>
                <w:sz w:val="18"/>
              </w:rPr>
              <w:t> </w:t>
            </w:r>
            <w:r>
              <w:rPr>
                <w:sz w:val="18"/>
              </w:rPr>
              <w:t>that</w:t>
            </w:r>
            <w:r>
              <w:rPr>
                <w:spacing w:val="-3"/>
                <w:sz w:val="18"/>
              </w:rPr>
              <w:t> </w:t>
            </w:r>
            <w:r>
              <w:rPr>
                <w:sz w:val="18"/>
              </w:rPr>
              <w:t>they</w:t>
            </w:r>
            <w:r>
              <w:rPr>
                <w:spacing w:val="-3"/>
                <w:sz w:val="18"/>
              </w:rPr>
              <w:t> </w:t>
            </w:r>
            <w:r>
              <w:rPr>
                <w:sz w:val="18"/>
              </w:rPr>
              <w:t>can</w:t>
            </w:r>
            <w:r>
              <w:rPr>
                <w:spacing w:val="-2"/>
                <w:sz w:val="18"/>
              </w:rPr>
              <w:t> </w:t>
            </w:r>
            <w:r>
              <w:rPr>
                <w:sz w:val="18"/>
              </w:rPr>
              <w:t>withdraw</w:t>
            </w:r>
            <w:r>
              <w:rPr>
                <w:spacing w:val="-3"/>
                <w:sz w:val="18"/>
              </w:rPr>
              <w:t> </w:t>
            </w:r>
            <w:r>
              <w:rPr>
                <w:sz w:val="18"/>
              </w:rPr>
              <w:t>from</w:t>
            </w:r>
            <w:r>
              <w:rPr>
                <w:spacing w:val="-5"/>
                <w:sz w:val="18"/>
              </w:rPr>
              <w:t> </w:t>
            </w:r>
            <w:r>
              <w:rPr>
                <w:sz w:val="18"/>
              </w:rPr>
              <w:t>the</w:t>
            </w:r>
            <w:r>
              <w:rPr>
                <w:spacing w:val="-2"/>
                <w:sz w:val="18"/>
              </w:rPr>
              <w:t> </w:t>
            </w:r>
            <w:r>
              <w:rPr>
                <w:sz w:val="18"/>
              </w:rPr>
              <w:t>interview</w:t>
            </w:r>
            <w:r>
              <w:rPr>
                <w:spacing w:val="-3"/>
                <w:sz w:val="18"/>
              </w:rPr>
              <w:t> </w:t>
            </w:r>
            <w:r>
              <w:rPr>
                <w:sz w:val="18"/>
              </w:rPr>
              <w:t>at</w:t>
            </w:r>
            <w:r>
              <w:rPr>
                <w:spacing w:val="-3"/>
                <w:sz w:val="18"/>
              </w:rPr>
              <w:t> </w:t>
            </w:r>
            <w:r>
              <w:rPr>
                <w:sz w:val="18"/>
              </w:rPr>
              <w:t>any</w:t>
            </w:r>
            <w:r>
              <w:rPr>
                <w:spacing w:val="-48"/>
                <w:sz w:val="18"/>
              </w:rPr>
              <w:t> </w:t>
            </w:r>
            <w:r>
              <w:rPr>
                <w:sz w:val="18"/>
              </w:rPr>
              <w:t>time,</w:t>
            </w:r>
            <w:r>
              <w:rPr>
                <w:spacing w:val="-3"/>
                <w:sz w:val="18"/>
              </w:rPr>
              <w:t> </w:t>
            </w:r>
            <w:r>
              <w:rPr>
                <w:sz w:val="18"/>
              </w:rPr>
              <w:t>and that</w:t>
            </w:r>
            <w:r>
              <w:rPr>
                <w:spacing w:val="-3"/>
                <w:sz w:val="18"/>
              </w:rPr>
              <w:t> </w:t>
            </w:r>
            <w:r>
              <w:rPr>
                <w:sz w:val="18"/>
              </w:rPr>
              <w:t>they</w:t>
            </w:r>
            <w:r>
              <w:rPr>
                <w:spacing w:val="-2"/>
                <w:sz w:val="18"/>
              </w:rPr>
              <w:t> </w:t>
            </w:r>
            <w:r>
              <w:rPr>
                <w:sz w:val="18"/>
              </w:rPr>
              <w:t>do</w:t>
            </w:r>
            <w:r>
              <w:rPr>
                <w:spacing w:val="-1"/>
                <w:sz w:val="18"/>
              </w:rPr>
              <w:t> </w:t>
            </w:r>
            <w:r>
              <w:rPr>
                <w:sz w:val="18"/>
              </w:rPr>
              <w:t>not have</w:t>
            </w:r>
            <w:r>
              <w:rPr>
                <w:spacing w:val="-1"/>
                <w:sz w:val="18"/>
              </w:rPr>
              <w:t> </w:t>
            </w:r>
            <w:r>
              <w:rPr>
                <w:sz w:val="18"/>
              </w:rPr>
              <w:t>to</w:t>
            </w:r>
            <w:r>
              <w:rPr>
                <w:spacing w:val="-1"/>
                <w:sz w:val="18"/>
              </w:rPr>
              <w:t> </w:t>
            </w:r>
            <w:r>
              <w:rPr>
                <w:sz w:val="18"/>
              </w:rPr>
              <w:t>answer</w:t>
            </w:r>
            <w:r>
              <w:rPr>
                <w:spacing w:val="-1"/>
                <w:sz w:val="18"/>
              </w:rPr>
              <w:t> </w:t>
            </w:r>
            <w:r>
              <w:rPr>
                <w:sz w:val="18"/>
              </w:rPr>
              <w:t>any</w:t>
            </w:r>
            <w:r>
              <w:rPr>
                <w:spacing w:val="-2"/>
                <w:sz w:val="18"/>
              </w:rPr>
              <w:t> </w:t>
            </w:r>
            <w:r>
              <w:rPr>
                <w:sz w:val="18"/>
              </w:rPr>
              <w:t>further</w:t>
            </w:r>
            <w:r>
              <w:rPr>
                <w:spacing w:val="-2"/>
                <w:sz w:val="18"/>
              </w:rPr>
              <w:t> </w:t>
            </w:r>
            <w:r>
              <w:rPr>
                <w:sz w:val="18"/>
              </w:rPr>
              <w:t>questions.</w:t>
            </w:r>
          </w:p>
          <w:p>
            <w:pPr>
              <w:pStyle w:val="TableParagraph"/>
              <w:numPr>
                <w:ilvl w:val="0"/>
                <w:numId w:val="227"/>
              </w:numPr>
              <w:tabs>
                <w:tab w:pos="276" w:val="left" w:leader="none"/>
              </w:tabs>
              <w:spacing w:line="276" w:lineRule="auto" w:before="1" w:after="0"/>
              <w:ind w:left="275" w:right="356" w:hanging="168"/>
              <w:jc w:val="both"/>
              <w:rPr>
                <w:sz w:val="18"/>
              </w:rPr>
            </w:pPr>
            <w:r>
              <w:rPr>
                <w:sz w:val="18"/>
              </w:rPr>
              <w:t>Outline</w:t>
            </w:r>
            <w:r>
              <w:rPr>
                <w:spacing w:val="-6"/>
                <w:sz w:val="18"/>
              </w:rPr>
              <w:t> </w:t>
            </w:r>
            <w:r>
              <w:rPr>
                <w:sz w:val="18"/>
              </w:rPr>
              <w:t>confidentiality/anonymity</w:t>
            </w:r>
            <w:r>
              <w:rPr>
                <w:spacing w:val="-4"/>
                <w:sz w:val="18"/>
              </w:rPr>
              <w:t> </w:t>
            </w:r>
            <w:r>
              <w:rPr>
                <w:sz w:val="18"/>
              </w:rPr>
              <w:t>provisions,</w:t>
            </w:r>
            <w:r>
              <w:rPr>
                <w:spacing w:val="-6"/>
                <w:sz w:val="18"/>
              </w:rPr>
              <w:t> </w:t>
            </w:r>
            <w:r>
              <w:rPr>
                <w:sz w:val="18"/>
              </w:rPr>
              <w:t>that</w:t>
            </w:r>
            <w:r>
              <w:rPr>
                <w:spacing w:val="-5"/>
                <w:sz w:val="18"/>
              </w:rPr>
              <w:t> </w:t>
            </w:r>
            <w:r>
              <w:rPr>
                <w:sz w:val="18"/>
              </w:rPr>
              <w:t>is,</w:t>
            </w:r>
            <w:r>
              <w:rPr>
                <w:spacing w:val="-6"/>
                <w:sz w:val="18"/>
              </w:rPr>
              <w:t> </w:t>
            </w:r>
            <w:r>
              <w:rPr>
                <w:sz w:val="18"/>
              </w:rPr>
              <w:t>that</w:t>
            </w:r>
            <w:r>
              <w:rPr>
                <w:spacing w:val="-3"/>
                <w:sz w:val="18"/>
              </w:rPr>
              <w:t> </w:t>
            </w:r>
            <w:r>
              <w:rPr>
                <w:sz w:val="18"/>
              </w:rPr>
              <w:t>the</w:t>
            </w:r>
            <w:r>
              <w:rPr>
                <w:spacing w:val="-3"/>
                <w:sz w:val="18"/>
              </w:rPr>
              <w:t> </w:t>
            </w:r>
            <w:r>
              <w:rPr>
                <w:sz w:val="18"/>
              </w:rPr>
              <w:t>practice</w:t>
            </w:r>
            <w:r>
              <w:rPr>
                <w:spacing w:val="-5"/>
                <w:sz w:val="18"/>
              </w:rPr>
              <w:t> </w:t>
            </w:r>
            <w:r>
              <w:rPr>
                <w:sz w:val="18"/>
              </w:rPr>
              <w:t>and</w:t>
            </w:r>
            <w:r>
              <w:rPr>
                <w:spacing w:val="-47"/>
                <w:sz w:val="18"/>
              </w:rPr>
              <w:t> </w:t>
            </w:r>
            <w:r>
              <w:rPr>
                <w:sz w:val="18"/>
              </w:rPr>
              <w:t>individuals responding on behalf of the practice will not be named in any</w:t>
            </w:r>
            <w:r>
              <w:rPr>
                <w:spacing w:val="-47"/>
                <w:sz w:val="18"/>
              </w:rPr>
              <w:t> </w:t>
            </w:r>
            <w:r>
              <w:rPr>
                <w:sz w:val="18"/>
              </w:rPr>
              <w:t>reporting</w:t>
            </w:r>
            <w:r>
              <w:rPr>
                <w:spacing w:val="-3"/>
                <w:sz w:val="18"/>
              </w:rPr>
              <w:t> </w:t>
            </w:r>
            <w:r>
              <w:rPr>
                <w:sz w:val="18"/>
              </w:rPr>
              <w:t>of</w:t>
            </w:r>
            <w:r>
              <w:rPr>
                <w:spacing w:val="1"/>
                <w:sz w:val="18"/>
              </w:rPr>
              <w:t> </w:t>
            </w:r>
            <w:r>
              <w:rPr>
                <w:sz w:val="18"/>
              </w:rPr>
              <w:t>results</w:t>
            </w:r>
            <w:r>
              <w:rPr>
                <w:spacing w:val="-1"/>
                <w:sz w:val="18"/>
              </w:rPr>
              <w:t> </w:t>
            </w:r>
            <w:r>
              <w:rPr>
                <w:sz w:val="18"/>
              </w:rPr>
              <w:t>to any</w:t>
            </w:r>
            <w:r>
              <w:rPr>
                <w:spacing w:val="-2"/>
                <w:sz w:val="18"/>
              </w:rPr>
              <w:t> </w:t>
            </w:r>
            <w:r>
              <w:rPr>
                <w:sz w:val="18"/>
              </w:rPr>
              <w:t>parties.</w:t>
            </w:r>
          </w:p>
          <w:p>
            <w:pPr>
              <w:pStyle w:val="TableParagraph"/>
              <w:numPr>
                <w:ilvl w:val="0"/>
                <w:numId w:val="227"/>
              </w:numPr>
              <w:tabs>
                <w:tab w:pos="276" w:val="left" w:leader="none"/>
              </w:tabs>
              <w:spacing w:line="276" w:lineRule="auto" w:before="0" w:after="0"/>
              <w:ind w:left="275" w:right="636" w:hanging="168"/>
              <w:jc w:val="left"/>
              <w:rPr>
                <w:sz w:val="18"/>
              </w:rPr>
            </w:pPr>
            <w:r>
              <w:rPr>
                <w:sz w:val="18"/>
              </w:rPr>
              <w:t>Outline</w:t>
            </w:r>
            <w:r>
              <w:rPr>
                <w:spacing w:val="-5"/>
                <w:sz w:val="18"/>
              </w:rPr>
              <w:t> </w:t>
            </w:r>
            <w:r>
              <w:rPr>
                <w:sz w:val="18"/>
              </w:rPr>
              <w:t>how</w:t>
            </w:r>
            <w:r>
              <w:rPr>
                <w:spacing w:val="-4"/>
                <w:sz w:val="18"/>
              </w:rPr>
              <w:t> </w:t>
            </w:r>
            <w:r>
              <w:rPr>
                <w:sz w:val="18"/>
              </w:rPr>
              <w:t>the</w:t>
            </w:r>
            <w:r>
              <w:rPr>
                <w:spacing w:val="-2"/>
                <w:sz w:val="18"/>
              </w:rPr>
              <w:t> </w:t>
            </w:r>
            <w:r>
              <w:rPr>
                <w:sz w:val="18"/>
              </w:rPr>
              <w:t>practice</w:t>
            </w:r>
            <w:r>
              <w:rPr>
                <w:spacing w:val="-2"/>
                <w:sz w:val="18"/>
              </w:rPr>
              <w:t> </w:t>
            </w:r>
            <w:r>
              <w:rPr>
                <w:sz w:val="18"/>
              </w:rPr>
              <w:t>will</w:t>
            </w:r>
            <w:r>
              <w:rPr>
                <w:spacing w:val="-3"/>
                <w:sz w:val="18"/>
              </w:rPr>
              <w:t> </w:t>
            </w:r>
            <w:r>
              <w:rPr>
                <w:sz w:val="18"/>
              </w:rPr>
              <w:t>be</w:t>
            </w:r>
            <w:r>
              <w:rPr>
                <w:spacing w:val="-4"/>
                <w:sz w:val="18"/>
              </w:rPr>
              <w:t> </w:t>
            </w:r>
            <w:r>
              <w:rPr>
                <w:sz w:val="18"/>
              </w:rPr>
              <w:t>informed</w:t>
            </w:r>
            <w:r>
              <w:rPr>
                <w:spacing w:val="-3"/>
                <w:sz w:val="18"/>
              </w:rPr>
              <w:t> </w:t>
            </w:r>
            <w:r>
              <w:rPr>
                <w:sz w:val="18"/>
              </w:rPr>
              <w:t>of</w:t>
            </w:r>
            <w:r>
              <w:rPr>
                <w:spacing w:val="-1"/>
                <w:sz w:val="18"/>
              </w:rPr>
              <w:t> </w:t>
            </w:r>
            <w:r>
              <w:rPr>
                <w:sz w:val="18"/>
              </w:rPr>
              <w:t>the</w:t>
            </w:r>
            <w:r>
              <w:rPr>
                <w:spacing w:val="-3"/>
                <w:sz w:val="18"/>
              </w:rPr>
              <w:t> </w:t>
            </w:r>
            <w:r>
              <w:rPr>
                <w:sz w:val="18"/>
              </w:rPr>
              <w:t>results</w:t>
            </w:r>
            <w:r>
              <w:rPr>
                <w:spacing w:val="-5"/>
                <w:sz w:val="18"/>
              </w:rPr>
              <w:t> </w:t>
            </w:r>
            <w:r>
              <w:rPr>
                <w:sz w:val="18"/>
              </w:rPr>
              <w:t>of</w:t>
            </w:r>
            <w:r>
              <w:rPr>
                <w:spacing w:val="-2"/>
                <w:sz w:val="18"/>
              </w:rPr>
              <w:t> </w:t>
            </w:r>
            <w:r>
              <w:rPr>
                <w:sz w:val="18"/>
              </w:rPr>
              <w:t>the</w:t>
            </w:r>
            <w:r>
              <w:rPr>
                <w:spacing w:val="-2"/>
                <w:sz w:val="18"/>
              </w:rPr>
              <w:t> </w:t>
            </w:r>
            <w:r>
              <w:rPr>
                <w:sz w:val="18"/>
              </w:rPr>
              <w:t>research</w:t>
            </w:r>
            <w:r>
              <w:rPr>
                <w:spacing w:val="-47"/>
                <w:sz w:val="18"/>
              </w:rPr>
              <w:t> </w:t>
            </w:r>
            <w:r>
              <w:rPr>
                <w:sz w:val="18"/>
              </w:rPr>
              <w:t>when</w:t>
            </w:r>
            <w:r>
              <w:rPr>
                <w:spacing w:val="-3"/>
                <w:sz w:val="18"/>
              </w:rPr>
              <w:t> </w:t>
            </w:r>
            <w:r>
              <w:rPr>
                <w:sz w:val="18"/>
              </w:rPr>
              <w:t>it</w:t>
            </w:r>
            <w:r>
              <w:rPr>
                <w:spacing w:val="-2"/>
                <w:sz w:val="18"/>
              </w:rPr>
              <w:t> </w:t>
            </w:r>
            <w:r>
              <w:rPr>
                <w:sz w:val="18"/>
              </w:rPr>
              <w:t>is</w:t>
            </w:r>
            <w:r>
              <w:rPr>
                <w:spacing w:val="-3"/>
                <w:sz w:val="18"/>
              </w:rPr>
              <w:t> </w:t>
            </w:r>
            <w:r>
              <w:rPr>
                <w:sz w:val="18"/>
              </w:rPr>
              <w:t>finished.</w:t>
            </w:r>
          </w:p>
          <w:p>
            <w:pPr>
              <w:pStyle w:val="TableParagraph"/>
              <w:numPr>
                <w:ilvl w:val="0"/>
                <w:numId w:val="227"/>
              </w:numPr>
              <w:tabs>
                <w:tab w:pos="276" w:val="left" w:leader="none"/>
              </w:tabs>
              <w:spacing w:line="276" w:lineRule="auto" w:before="0" w:after="0"/>
              <w:ind w:left="275" w:right="347" w:hanging="168"/>
              <w:jc w:val="left"/>
              <w:rPr>
                <w:sz w:val="18"/>
              </w:rPr>
            </w:pPr>
            <w:r>
              <w:rPr>
                <w:sz w:val="18"/>
              </w:rPr>
              <w:t>Provide details on who to contact in case of any or concerns or questions</w:t>
            </w:r>
            <w:r>
              <w:rPr>
                <w:spacing w:val="-47"/>
                <w:sz w:val="18"/>
              </w:rPr>
              <w:t> </w:t>
            </w:r>
            <w:r>
              <w:rPr>
                <w:sz w:val="18"/>
              </w:rPr>
              <w:t>that may</w:t>
            </w:r>
            <w:r>
              <w:rPr>
                <w:spacing w:val="-1"/>
                <w:sz w:val="18"/>
              </w:rPr>
              <w:t> </w:t>
            </w:r>
            <w:r>
              <w:rPr>
                <w:sz w:val="18"/>
              </w:rPr>
              <w:t>arise after the</w:t>
            </w:r>
            <w:r>
              <w:rPr>
                <w:spacing w:val="-3"/>
                <w:sz w:val="18"/>
              </w:rPr>
              <w:t> </w:t>
            </w:r>
            <w:r>
              <w:rPr>
                <w:sz w:val="18"/>
              </w:rPr>
              <w:t>interview.</w:t>
            </w:r>
          </w:p>
          <w:p>
            <w:pPr>
              <w:pStyle w:val="TableParagraph"/>
              <w:numPr>
                <w:ilvl w:val="0"/>
                <w:numId w:val="227"/>
              </w:numPr>
              <w:tabs>
                <w:tab w:pos="276" w:val="left" w:leader="none"/>
              </w:tabs>
              <w:spacing w:line="240" w:lineRule="auto" w:before="0" w:after="0"/>
              <w:ind w:left="275" w:right="0" w:hanging="169"/>
              <w:jc w:val="left"/>
              <w:rPr>
                <w:sz w:val="18"/>
              </w:rPr>
            </w:pPr>
            <w:r>
              <w:rPr>
                <w:sz w:val="18"/>
              </w:rPr>
              <w:t>Seek</w:t>
            </w:r>
            <w:r>
              <w:rPr>
                <w:spacing w:val="-2"/>
                <w:sz w:val="18"/>
              </w:rPr>
              <w:t> </w:t>
            </w:r>
            <w:r>
              <w:rPr>
                <w:sz w:val="18"/>
              </w:rPr>
              <w:t>permission</w:t>
            </w:r>
            <w:r>
              <w:rPr>
                <w:spacing w:val="-2"/>
                <w:sz w:val="18"/>
              </w:rPr>
              <w:t> </w:t>
            </w:r>
            <w:r>
              <w:rPr>
                <w:sz w:val="18"/>
              </w:rPr>
              <w:t>to</w:t>
            </w:r>
            <w:r>
              <w:rPr>
                <w:spacing w:val="-2"/>
                <w:sz w:val="18"/>
              </w:rPr>
              <w:t> </w:t>
            </w:r>
            <w:r>
              <w:rPr>
                <w:sz w:val="18"/>
              </w:rPr>
              <w:t>audio</w:t>
            </w:r>
            <w:r>
              <w:rPr>
                <w:spacing w:val="-4"/>
                <w:sz w:val="18"/>
              </w:rPr>
              <w:t> </w:t>
            </w:r>
            <w:r>
              <w:rPr>
                <w:sz w:val="18"/>
              </w:rPr>
              <w:t>record</w:t>
            </w:r>
            <w:r>
              <w:rPr>
                <w:spacing w:val="-3"/>
                <w:sz w:val="18"/>
              </w:rPr>
              <w:t> </w:t>
            </w:r>
            <w:r>
              <w:rPr>
                <w:sz w:val="18"/>
              </w:rPr>
              <w:t>the</w:t>
            </w:r>
            <w:r>
              <w:rPr>
                <w:spacing w:val="-3"/>
                <w:sz w:val="18"/>
              </w:rPr>
              <w:t> </w:t>
            </w:r>
            <w:r>
              <w:rPr>
                <w:sz w:val="18"/>
              </w:rPr>
              <w:t>interview.</w:t>
            </w:r>
          </w:p>
          <w:p>
            <w:pPr>
              <w:pStyle w:val="TableParagraph"/>
              <w:numPr>
                <w:ilvl w:val="0"/>
                <w:numId w:val="227"/>
              </w:numPr>
              <w:tabs>
                <w:tab w:pos="276" w:val="left" w:leader="none"/>
              </w:tabs>
              <w:spacing w:line="240" w:lineRule="auto" w:before="33" w:after="0"/>
              <w:ind w:left="275" w:right="0" w:hanging="169"/>
              <w:jc w:val="left"/>
              <w:rPr>
                <w:sz w:val="18"/>
              </w:rPr>
            </w:pPr>
            <w:r>
              <w:rPr>
                <w:sz w:val="18"/>
              </w:rPr>
              <w:t>Check</w:t>
            </w:r>
            <w:r>
              <w:rPr>
                <w:spacing w:val="-5"/>
                <w:sz w:val="18"/>
              </w:rPr>
              <w:t> </w:t>
            </w:r>
            <w:r>
              <w:rPr>
                <w:sz w:val="18"/>
              </w:rPr>
              <w:t>whether</w:t>
            </w:r>
            <w:r>
              <w:rPr>
                <w:spacing w:val="-5"/>
                <w:sz w:val="18"/>
              </w:rPr>
              <w:t> </w:t>
            </w:r>
            <w:r>
              <w:rPr>
                <w:sz w:val="18"/>
              </w:rPr>
              <w:t>the</w:t>
            </w:r>
            <w:r>
              <w:rPr>
                <w:spacing w:val="-3"/>
                <w:sz w:val="18"/>
              </w:rPr>
              <w:t> </w:t>
            </w:r>
            <w:r>
              <w:rPr>
                <w:sz w:val="18"/>
              </w:rPr>
              <w:t>participant(s)</w:t>
            </w:r>
            <w:r>
              <w:rPr>
                <w:spacing w:val="-5"/>
                <w:sz w:val="18"/>
              </w:rPr>
              <w:t> </w:t>
            </w:r>
            <w:r>
              <w:rPr>
                <w:sz w:val="18"/>
              </w:rPr>
              <w:t>has(ve)</w:t>
            </w:r>
            <w:r>
              <w:rPr>
                <w:spacing w:val="-4"/>
                <w:sz w:val="18"/>
              </w:rPr>
              <w:t> </w:t>
            </w:r>
            <w:r>
              <w:rPr>
                <w:sz w:val="18"/>
              </w:rPr>
              <w:t>any</w:t>
            </w:r>
            <w:r>
              <w:rPr>
                <w:spacing w:val="-4"/>
                <w:sz w:val="18"/>
              </w:rPr>
              <w:t> </w:t>
            </w:r>
            <w:r>
              <w:rPr>
                <w:sz w:val="18"/>
              </w:rPr>
              <w:t>questions.</w:t>
            </w:r>
          </w:p>
          <w:p>
            <w:pPr>
              <w:pStyle w:val="TableParagraph"/>
              <w:numPr>
                <w:ilvl w:val="0"/>
                <w:numId w:val="227"/>
              </w:numPr>
              <w:tabs>
                <w:tab w:pos="276" w:val="left" w:leader="none"/>
              </w:tabs>
              <w:spacing w:line="240" w:lineRule="auto" w:before="32" w:after="0"/>
              <w:ind w:left="275" w:right="0" w:hanging="169"/>
              <w:jc w:val="left"/>
              <w:rPr>
                <w:sz w:val="18"/>
              </w:rPr>
            </w:pPr>
            <w:r>
              <w:rPr>
                <w:sz w:val="18"/>
              </w:rPr>
              <w:t>Seek</w:t>
            </w:r>
            <w:r>
              <w:rPr>
                <w:spacing w:val="-3"/>
                <w:sz w:val="18"/>
              </w:rPr>
              <w:t> </w:t>
            </w:r>
            <w:r>
              <w:rPr>
                <w:sz w:val="18"/>
              </w:rPr>
              <w:t>verbal</w:t>
            </w:r>
            <w:r>
              <w:rPr>
                <w:spacing w:val="-2"/>
                <w:sz w:val="18"/>
              </w:rPr>
              <w:t> </w:t>
            </w:r>
            <w:r>
              <w:rPr>
                <w:sz w:val="18"/>
              </w:rPr>
              <w:t>consent</w:t>
            </w:r>
            <w:r>
              <w:rPr>
                <w:spacing w:val="-4"/>
                <w:sz w:val="18"/>
              </w:rPr>
              <w:t> </w:t>
            </w:r>
            <w:r>
              <w:rPr>
                <w:sz w:val="18"/>
              </w:rPr>
              <w:t>for</w:t>
            </w:r>
            <w:r>
              <w:rPr>
                <w:spacing w:val="-4"/>
                <w:sz w:val="18"/>
              </w:rPr>
              <w:t> </w:t>
            </w:r>
            <w:r>
              <w:rPr>
                <w:sz w:val="18"/>
              </w:rPr>
              <w:t>participation.</w:t>
            </w:r>
          </w:p>
        </w:tc>
      </w:tr>
      <w:tr>
        <w:trPr>
          <w:trHeight w:val="2738" w:hRule="atLeast"/>
        </w:trPr>
        <w:tc>
          <w:tcPr>
            <w:tcW w:w="1980" w:type="dxa"/>
          </w:tcPr>
          <w:p>
            <w:pPr>
              <w:pStyle w:val="TableParagraph"/>
              <w:spacing w:before="2"/>
              <w:ind w:left="107"/>
              <w:rPr>
                <w:sz w:val="16"/>
              </w:rPr>
            </w:pPr>
            <w:r>
              <w:rPr>
                <w:sz w:val="16"/>
              </w:rPr>
              <w:t>Initiatives</w:t>
            </w:r>
            <w:r>
              <w:rPr>
                <w:spacing w:val="-4"/>
                <w:sz w:val="16"/>
              </w:rPr>
              <w:t> </w:t>
            </w:r>
            <w:r>
              <w:rPr>
                <w:sz w:val="16"/>
              </w:rPr>
              <w:t>under</w:t>
            </w:r>
            <w:r>
              <w:rPr>
                <w:spacing w:val="-4"/>
                <w:sz w:val="16"/>
              </w:rPr>
              <w:t> </w:t>
            </w:r>
            <w:r>
              <w:rPr>
                <w:sz w:val="16"/>
              </w:rPr>
              <w:t>HCH</w:t>
            </w:r>
          </w:p>
        </w:tc>
        <w:tc>
          <w:tcPr>
            <w:tcW w:w="7038" w:type="dxa"/>
          </w:tcPr>
          <w:p>
            <w:pPr>
              <w:pStyle w:val="TableParagraph"/>
              <w:numPr>
                <w:ilvl w:val="0"/>
                <w:numId w:val="228"/>
              </w:numPr>
              <w:tabs>
                <w:tab w:pos="276" w:val="left" w:leader="none"/>
              </w:tabs>
              <w:spacing w:line="273" w:lineRule="auto" w:before="1" w:after="0"/>
              <w:ind w:left="275" w:right="816" w:hanging="168"/>
              <w:jc w:val="left"/>
              <w:rPr>
                <w:sz w:val="18"/>
              </w:rPr>
            </w:pPr>
            <w:r>
              <w:rPr>
                <w:sz w:val="18"/>
              </w:rPr>
              <w:t>(</w:t>
            </w:r>
            <w:r>
              <w:rPr>
                <w:b/>
                <w:sz w:val="18"/>
              </w:rPr>
              <w:t>R2</w:t>
            </w:r>
            <w:r>
              <w:rPr>
                <w:sz w:val="18"/>
              </w:rPr>
              <w:t>) When you agreed to participate in HCH, what changes did you</w:t>
            </w:r>
            <w:r>
              <w:rPr>
                <w:spacing w:val="-47"/>
                <w:sz w:val="18"/>
              </w:rPr>
              <w:t> </w:t>
            </w:r>
            <w:r>
              <w:rPr>
                <w:sz w:val="18"/>
              </w:rPr>
              <w:t>anticipate</w:t>
            </w:r>
            <w:r>
              <w:rPr>
                <w:spacing w:val="-1"/>
                <w:sz w:val="18"/>
              </w:rPr>
              <w:t> </w:t>
            </w:r>
            <w:r>
              <w:rPr>
                <w:sz w:val="18"/>
              </w:rPr>
              <w:t>making</w:t>
            </w:r>
            <w:r>
              <w:rPr>
                <w:spacing w:val="-2"/>
                <w:sz w:val="18"/>
              </w:rPr>
              <w:t> </w:t>
            </w:r>
            <w:r>
              <w:rPr>
                <w:sz w:val="18"/>
              </w:rPr>
              <w:t>within the practice?</w:t>
            </w:r>
          </w:p>
          <w:p>
            <w:pPr>
              <w:pStyle w:val="TableParagraph"/>
              <w:numPr>
                <w:ilvl w:val="0"/>
                <w:numId w:val="228"/>
              </w:numPr>
              <w:tabs>
                <w:tab w:pos="276" w:val="left" w:leader="none"/>
              </w:tabs>
              <w:spacing w:line="276" w:lineRule="auto" w:before="3" w:after="0"/>
              <w:ind w:left="275" w:right="119" w:hanging="168"/>
              <w:jc w:val="left"/>
              <w:rPr>
                <w:sz w:val="18"/>
              </w:rPr>
            </w:pPr>
            <w:r>
              <w:rPr>
                <w:sz w:val="18"/>
              </w:rPr>
              <w:t>What</w:t>
            </w:r>
            <w:r>
              <w:rPr>
                <w:spacing w:val="-5"/>
                <w:sz w:val="18"/>
              </w:rPr>
              <w:t> </w:t>
            </w:r>
            <w:r>
              <w:rPr>
                <w:sz w:val="18"/>
              </w:rPr>
              <w:t>were</w:t>
            </w:r>
            <w:r>
              <w:rPr>
                <w:spacing w:val="-3"/>
                <w:sz w:val="18"/>
              </w:rPr>
              <w:t> </w:t>
            </w:r>
            <w:r>
              <w:rPr>
                <w:sz w:val="18"/>
              </w:rPr>
              <w:t>the</w:t>
            </w:r>
            <w:r>
              <w:rPr>
                <w:spacing w:val="-3"/>
                <w:sz w:val="18"/>
              </w:rPr>
              <w:t> </w:t>
            </w:r>
            <w:r>
              <w:rPr>
                <w:sz w:val="18"/>
              </w:rPr>
              <w:t>aims</w:t>
            </w:r>
            <w:r>
              <w:rPr>
                <w:spacing w:val="-4"/>
                <w:sz w:val="18"/>
              </w:rPr>
              <w:t> </w:t>
            </w:r>
            <w:r>
              <w:rPr>
                <w:sz w:val="18"/>
              </w:rPr>
              <w:t>of</w:t>
            </w:r>
            <w:r>
              <w:rPr>
                <w:spacing w:val="-3"/>
                <w:sz w:val="18"/>
              </w:rPr>
              <w:t> </w:t>
            </w:r>
            <w:r>
              <w:rPr>
                <w:sz w:val="18"/>
              </w:rPr>
              <w:t>these?</w:t>
            </w:r>
            <w:r>
              <w:rPr>
                <w:spacing w:val="-1"/>
                <w:sz w:val="18"/>
              </w:rPr>
              <w:t> </w:t>
            </w:r>
            <w:r>
              <w:rPr>
                <w:sz w:val="18"/>
              </w:rPr>
              <w:t>(E.g.</w:t>
            </w:r>
            <w:r>
              <w:rPr>
                <w:spacing w:val="-5"/>
                <w:sz w:val="18"/>
              </w:rPr>
              <w:t> </w:t>
            </w:r>
            <w:r>
              <w:rPr>
                <w:sz w:val="18"/>
              </w:rPr>
              <w:t>care</w:t>
            </w:r>
            <w:r>
              <w:rPr>
                <w:spacing w:val="-3"/>
                <w:sz w:val="18"/>
              </w:rPr>
              <w:t> </w:t>
            </w:r>
            <w:r>
              <w:rPr>
                <w:sz w:val="18"/>
              </w:rPr>
              <w:t>planning,</w:t>
            </w:r>
            <w:r>
              <w:rPr>
                <w:spacing w:val="-4"/>
                <w:sz w:val="18"/>
              </w:rPr>
              <w:t> </w:t>
            </w:r>
            <w:r>
              <w:rPr>
                <w:sz w:val="18"/>
              </w:rPr>
              <w:t>improve</w:t>
            </w:r>
            <w:r>
              <w:rPr>
                <w:spacing w:val="-3"/>
                <w:sz w:val="18"/>
              </w:rPr>
              <w:t> </w:t>
            </w:r>
            <w:r>
              <w:rPr>
                <w:sz w:val="18"/>
              </w:rPr>
              <w:t>access/</w:t>
            </w:r>
            <w:r>
              <w:rPr>
                <w:spacing w:val="-3"/>
                <w:sz w:val="18"/>
              </w:rPr>
              <w:t> </w:t>
            </w:r>
            <w:r>
              <w:rPr>
                <w:sz w:val="18"/>
              </w:rPr>
              <w:t>flexibility</w:t>
            </w:r>
            <w:r>
              <w:rPr>
                <w:spacing w:val="-47"/>
                <w:sz w:val="18"/>
              </w:rPr>
              <w:t> </w:t>
            </w:r>
            <w:r>
              <w:rPr>
                <w:sz w:val="18"/>
              </w:rPr>
              <w:t>of access, patient engagement, patient self-management, improved</w:t>
            </w:r>
            <w:r>
              <w:rPr>
                <w:spacing w:val="1"/>
                <w:sz w:val="18"/>
              </w:rPr>
              <w:t> </w:t>
            </w:r>
            <w:r>
              <w:rPr>
                <w:sz w:val="18"/>
              </w:rPr>
              <w:t>chronic</w:t>
            </w:r>
            <w:r>
              <w:rPr>
                <w:spacing w:val="-1"/>
                <w:sz w:val="18"/>
              </w:rPr>
              <w:t> </w:t>
            </w:r>
            <w:r>
              <w:rPr>
                <w:sz w:val="18"/>
              </w:rPr>
              <w:t>disease management).</w:t>
            </w:r>
          </w:p>
          <w:p>
            <w:pPr>
              <w:pStyle w:val="TableParagraph"/>
              <w:numPr>
                <w:ilvl w:val="0"/>
                <w:numId w:val="228"/>
              </w:numPr>
              <w:tabs>
                <w:tab w:pos="276" w:val="left" w:leader="none"/>
              </w:tabs>
              <w:spacing w:line="240" w:lineRule="auto" w:before="0" w:after="0"/>
              <w:ind w:left="275" w:right="0" w:hanging="169"/>
              <w:jc w:val="left"/>
              <w:rPr>
                <w:sz w:val="18"/>
              </w:rPr>
            </w:pPr>
            <w:r>
              <w:rPr>
                <w:sz w:val="18"/>
              </w:rPr>
              <w:t>Which</w:t>
            </w:r>
            <w:r>
              <w:rPr>
                <w:spacing w:val="-3"/>
                <w:sz w:val="18"/>
              </w:rPr>
              <w:t> </w:t>
            </w:r>
            <w:r>
              <w:rPr>
                <w:sz w:val="18"/>
              </w:rPr>
              <w:t>of</w:t>
            </w:r>
            <w:r>
              <w:rPr>
                <w:spacing w:val="-1"/>
                <w:sz w:val="18"/>
              </w:rPr>
              <w:t> </w:t>
            </w:r>
            <w:r>
              <w:rPr>
                <w:sz w:val="18"/>
              </w:rPr>
              <w:t>the</w:t>
            </w:r>
            <w:r>
              <w:rPr>
                <w:spacing w:val="-4"/>
                <w:sz w:val="18"/>
              </w:rPr>
              <w:t> </w:t>
            </w:r>
            <w:r>
              <w:rPr>
                <w:sz w:val="18"/>
              </w:rPr>
              <w:t>changes</w:t>
            </w:r>
            <w:r>
              <w:rPr>
                <w:spacing w:val="-4"/>
                <w:sz w:val="18"/>
              </w:rPr>
              <w:t> </w:t>
            </w:r>
            <w:r>
              <w:rPr>
                <w:sz w:val="18"/>
              </w:rPr>
              <w:t>that</w:t>
            </w:r>
            <w:r>
              <w:rPr>
                <w:spacing w:val="-4"/>
                <w:sz w:val="18"/>
              </w:rPr>
              <w:t> </w:t>
            </w:r>
            <w:r>
              <w:rPr>
                <w:sz w:val="18"/>
              </w:rPr>
              <w:t>you</w:t>
            </w:r>
            <w:r>
              <w:rPr>
                <w:spacing w:val="2"/>
                <w:sz w:val="18"/>
              </w:rPr>
              <w:t> </w:t>
            </w:r>
            <w:r>
              <w:rPr>
                <w:sz w:val="18"/>
              </w:rPr>
              <w:t>mentioned</w:t>
            </w:r>
            <w:r>
              <w:rPr>
                <w:spacing w:val="-3"/>
                <w:sz w:val="18"/>
              </w:rPr>
              <w:t> </w:t>
            </w:r>
            <w:r>
              <w:rPr>
                <w:sz w:val="18"/>
              </w:rPr>
              <w:t>have</w:t>
            </w:r>
            <w:r>
              <w:rPr>
                <w:spacing w:val="-3"/>
                <w:sz w:val="18"/>
              </w:rPr>
              <w:t> </w:t>
            </w:r>
            <w:r>
              <w:rPr>
                <w:sz w:val="18"/>
              </w:rPr>
              <w:t>you</w:t>
            </w:r>
            <w:r>
              <w:rPr>
                <w:spacing w:val="-2"/>
                <w:sz w:val="18"/>
              </w:rPr>
              <w:t> </w:t>
            </w:r>
            <w:r>
              <w:rPr>
                <w:sz w:val="18"/>
              </w:rPr>
              <w:t>been</w:t>
            </w:r>
            <w:r>
              <w:rPr>
                <w:spacing w:val="-2"/>
                <w:sz w:val="18"/>
              </w:rPr>
              <w:t> </w:t>
            </w:r>
            <w:r>
              <w:rPr>
                <w:sz w:val="18"/>
              </w:rPr>
              <w:t>able</w:t>
            </w:r>
            <w:r>
              <w:rPr>
                <w:spacing w:val="-2"/>
                <w:sz w:val="18"/>
              </w:rPr>
              <w:t> </w:t>
            </w:r>
            <w:r>
              <w:rPr>
                <w:sz w:val="18"/>
              </w:rPr>
              <w:t>to</w:t>
            </w:r>
            <w:r>
              <w:rPr>
                <w:spacing w:val="-3"/>
                <w:sz w:val="18"/>
              </w:rPr>
              <w:t> </w:t>
            </w:r>
            <w:r>
              <w:rPr>
                <w:sz w:val="18"/>
              </w:rPr>
              <w:t>make?</w:t>
            </w:r>
          </w:p>
          <w:p>
            <w:pPr>
              <w:pStyle w:val="TableParagraph"/>
              <w:numPr>
                <w:ilvl w:val="0"/>
                <w:numId w:val="228"/>
              </w:numPr>
              <w:tabs>
                <w:tab w:pos="276" w:val="left" w:leader="none"/>
              </w:tabs>
              <w:spacing w:line="240" w:lineRule="auto" w:before="34" w:after="0"/>
              <w:ind w:left="275" w:right="0" w:hanging="169"/>
              <w:jc w:val="left"/>
              <w:rPr>
                <w:sz w:val="18"/>
              </w:rPr>
            </w:pPr>
            <w:r>
              <w:rPr>
                <w:sz w:val="18"/>
              </w:rPr>
              <w:t>How</w:t>
            </w:r>
            <w:r>
              <w:rPr>
                <w:spacing w:val="-5"/>
                <w:sz w:val="18"/>
              </w:rPr>
              <w:t> </w:t>
            </w:r>
            <w:r>
              <w:rPr>
                <w:sz w:val="18"/>
              </w:rPr>
              <w:t>did</w:t>
            </w:r>
            <w:r>
              <w:rPr>
                <w:spacing w:val="-3"/>
                <w:sz w:val="18"/>
              </w:rPr>
              <w:t> </w:t>
            </w:r>
            <w:r>
              <w:rPr>
                <w:sz w:val="18"/>
              </w:rPr>
              <w:t>you</w:t>
            </w:r>
            <w:r>
              <w:rPr>
                <w:spacing w:val="-3"/>
                <w:sz w:val="18"/>
              </w:rPr>
              <w:t> </w:t>
            </w:r>
            <w:r>
              <w:rPr>
                <w:sz w:val="18"/>
              </w:rPr>
              <w:t>make</w:t>
            </w:r>
            <w:r>
              <w:rPr>
                <w:spacing w:val="-2"/>
                <w:sz w:val="18"/>
              </w:rPr>
              <w:t> </w:t>
            </w:r>
            <w:r>
              <w:rPr>
                <w:sz w:val="18"/>
              </w:rPr>
              <w:t>these</w:t>
            </w:r>
            <w:r>
              <w:rPr>
                <w:spacing w:val="-3"/>
                <w:sz w:val="18"/>
              </w:rPr>
              <w:t> </w:t>
            </w:r>
            <w:r>
              <w:rPr>
                <w:sz w:val="18"/>
              </w:rPr>
              <w:t>changes?</w:t>
            </w:r>
          </w:p>
          <w:p>
            <w:pPr>
              <w:pStyle w:val="TableParagraph"/>
              <w:numPr>
                <w:ilvl w:val="0"/>
                <w:numId w:val="228"/>
              </w:numPr>
              <w:tabs>
                <w:tab w:pos="276" w:val="left" w:leader="none"/>
              </w:tabs>
              <w:spacing w:line="240" w:lineRule="auto" w:before="33" w:after="0"/>
              <w:ind w:left="275" w:right="0" w:hanging="169"/>
              <w:jc w:val="left"/>
              <w:rPr>
                <w:sz w:val="18"/>
              </w:rPr>
            </w:pPr>
            <w:r>
              <w:rPr>
                <w:b/>
                <w:sz w:val="18"/>
              </w:rPr>
              <w:t>(R4/R5)</w:t>
            </w:r>
            <w:r>
              <w:rPr>
                <w:b/>
                <w:spacing w:val="-2"/>
                <w:sz w:val="18"/>
              </w:rPr>
              <w:t> </w:t>
            </w:r>
            <w:r>
              <w:rPr>
                <w:sz w:val="18"/>
              </w:rPr>
              <w:t>What</w:t>
            </w:r>
            <w:r>
              <w:rPr>
                <w:spacing w:val="-3"/>
                <w:sz w:val="18"/>
              </w:rPr>
              <w:t> </w:t>
            </w:r>
            <w:r>
              <w:rPr>
                <w:sz w:val="18"/>
              </w:rPr>
              <w:t>changes</w:t>
            </w:r>
            <w:r>
              <w:rPr>
                <w:spacing w:val="-3"/>
                <w:sz w:val="18"/>
              </w:rPr>
              <w:t> </w:t>
            </w:r>
            <w:r>
              <w:rPr>
                <w:sz w:val="18"/>
              </w:rPr>
              <w:t>have</w:t>
            </w:r>
            <w:r>
              <w:rPr>
                <w:spacing w:val="-2"/>
                <w:sz w:val="18"/>
              </w:rPr>
              <w:t> </w:t>
            </w:r>
            <w:r>
              <w:rPr>
                <w:sz w:val="18"/>
              </w:rPr>
              <w:t>occurred</w:t>
            </w:r>
            <w:r>
              <w:rPr>
                <w:spacing w:val="-5"/>
                <w:sz w:val="18"/>
              </w:rPr>
              <w:t> </w:t>
            </w:r>
            <w:r>
              <w:rPr>
                <w:sz w:val="18"/>
              </w:rPr>
              <w:t>in</w:t>
            </w:r>
            <w:r>
              <w:rPr>
                <w:spacing w:val="-2"/>
                <w:sz w:val="18"/>
              </w:rPr>
              <w:t> </w:t>
            </w:r>
            <w:r>
              <w:rPr>
                <w:sz w:val="18"/>
              </w:rPr>
              <w:t>the</w:t>
            </w:r>
            <w:r>
              <w:rPr>
                <w:spacing w:val="-4"/>
                <w:sz w:val="18"/>
              </w:rPr>
              <w:t> </w:t>
            </w:r>
            <w:r>
              <w:rPr>
                <w:sz w:val="18"/>
              </w:rPr>
              <w:t>practice</w:t>
            </w:r>
            <w:r>
              <w:rPr>
                <w:spacing w:val="-6"/>
                <w:sz w:val="18"/>
              </w:rPr>
              <w:t> </w:t>
            </w:r>
            <w:r>
              <w:rPr>
                <w:sz w:val="18"/>
              </w:rPr>
              <w:t>in</w:t>
            </w:r>
            <w:r>
              <w:rPr>
                <w:spacing w:val="-2"/>
                <w:sz w:val="18"/>
              </w:rPr>
              <w:t> </w:t>
            </w:r>
            <w:r>
              <w:rPr>
                <w:sz w:val="18"/>
              </w:rPr>
              <w:t>last</w:t>
            </w:r>
            <w:r>
              <w:rPr>
                <w:spacing w:val="-4"/>
                <w:sz w:val="18"/>
              </w:rPr>
              <w:t> </w:t>
            </w:r>
            <w:r>
              <w:rPr>
                <w:sz w:val="18"/>
              </w:rPr>
              <w:t>12</w:t>
            </w:r>
            <w:r>
              <w:rPr>
                <w:spacing w:val="-2"/>
                <w:sz w:val="18"/>
              </w:rPr>
              <w:t> </w:t>
            </w:r>
            <w:r>
              <w:rPr>
                <w:sz w:val="18"/>
              </w:rPr>
              <w:t>months?</w:t>
            </w:r>
          </w:p>
          <w:p>
            <w:pPr>
              <w:pStyle w:val="TableParagraph"/>
              <w:numPr>
                <w:ilvl w:val="0"/>
                <w:numId w:val="228"/>
              </w:numPr>
              <w:tabs>
                <w:tab w:pos="276" w:val="left" w:leader="none"/>
              </w:tabs>
              <w:spacing w:line="273" w:lineRule="auto" w:before="34" w:after="0"/>
              <w:ind w:left="275" w:right="353" w:hanging="168"/>
              <w:jc w:val="left"/>
              <w:rPr>
                <w:sz w:val="18"/>
              </w:rPr>
            </w:pPr>
            <w:r>
              <w:rPr>
                <w:sz w:val="18"/>
              </w:rPr>
              <w:t>How</w:t>
            </w:r>
            <w:r>
              <w:rPr>
                <w:spacing w:val="-2"/>
                <w:sz w:val="18"/>
              </w:rPr>
              <w:t> </w:t>
            </w:r>
            <w:r>
              <w:rPr>
                <w:sz w:val="18"/>
              </w:rPr>
              <w:t>much</w:t>
            </w:r>
            <w:r>
              <w:rPr>
                <w:spacing w:val="-2"/>
                <w:sz w:val="18"/>
              </w:rPr>
              <w:t> </w:t>
            </w:r>
            <w:r>
              <w:rPr>
                <w:sz w:val="18"/>
              </w:rPr>
              <w:t>of</w:t>
            </w:r>
            <w:r>
              <w:rPr>
                <w:spacing w:val="-1"/>
                <w:sz w:val="18"/>
              </w:rPr>
              <w:t> </w:t>
            </w:r>
            <w:r>
              <w:rPr>
                <w:sz w:val="18"/>
              </w:rPr>
              <w:t>the</w:t>
            </w:r>
            <w:r>
              <w:rPr>
                <w:spacing w:val="-4"/>
                <w:sz w:val="18"/>
              </w:rPr>
              <w:t> </w:t>
            </w:r>
            <w:r>
              <w:rPr>
                <w:sz w:val="18"/>
              </w:rPr>
              <w:t>change</w:t>
            </w:r>
            <w:r>
              <w:rPr>
                <w:spacing w:val="-2"/>
                <w:sz w:val="18"/>
              </w:rPr>
              <w:t> </w:t>
            </w:r>
            <w:r>
              <w:rPr>
                <w:sz w:val="18"/>
              </w:rPr>
              <w:t>that</w:t>
            </w:r>
            <w:r>
              <w:rPr>
                <w:spacing w:val="-3"/>
                <w:sz w:val="18"/>
              </w:rPr>
              <w:t> </w:t>
            </w:r>
            <w:r>
              <w:rPr>
                <w:sz w:val="18"/>
              </w:rPr>
              <w:t>you</w:t>
            </w:r>
            <w:r>
              <w:rPr>
                <w:spacing w:val="-2"/>
                <w:sz w:val="18"/>
              </w:rPr>
              <w:t> </w:t>
            </w:r>
            <w:r>
              <w:rPr>
                <w:sz w:val="18"/>
              </w:rPr>
              <w:t>expected</w:t>
            </w:r>
            <w:r>
              <w:rPr>
                <w:spacing w:val="-3"/>
                <w:sz w:val="18"/>
              </w:rPr>
              <w:t> </w:t>
            </w:r>
            <w:r>
              <w:rPr>
                <w:sz w:val="18"/>
              </w:rPr>
              <w:t>to</w:t>
            </w:r>
            <w:r>
              <w:rPr>
                <w:spacing w:val="-3"/>
                <w:sz w:val="18"/>
              </w:rPr>
              <w:t> </w:t>
            </w:r>
            <w:r>
              <w:rPr>
                <w:sz w:val="18"/>
              </w:rPr>
              <w:t>make</w:t>
            </w:r>
            <w:r>
              <w:rPr>
                <w:spacing w:val="-2"/>
                <w:sz w:val="18"/>
              </w:rPr>
              <w:t> </w:t>
            </w:r>
            <w:r>
              <w:rPr>
                <w:sz w:val="18"/>
              </w:rPr>
              <w:t>have</w:t>
            </w:r>
            <w:r>
              <w:rPr>
                <w:spacing w:val="-2"/>
                <w:sz w:val="18"/>
              </w:rPr>
              <w:t> </w:t>
            </w:r>
            <w:r>
              <w:rPr>
                <w:sz w:val="18"/>
              </w:rPr>
              <w:t>you</w:t>
            </w:r>
            <w:r>
              <w:rPr>
                <w:spacing w:val="-2"/>
                <w:sz w:val="18"/>
              </w:rPr>
              <w:t> </w:t>
            </w:r>
            <w:r>
              <w:rPr>
                <w:sz w:val="18"/>
              </w:rPr>
              <w:t>made</w:t>
            </w:r>
            <w:r>
              <w:rPr>
                <w:spacing w:val="-2"/>
                <w:sz w:val="18"/>
              </w:rPr>
              <w:t> </w:t>
            </w:r>
            <w:r>
              <w:rPr>
                <w:sz w:val="18"/>
              </w:rPr>
              <w:t>to</w:t>
            </w:r>
            <w:r>
              <w:rPr>
                <w:spacing w:val="-47"/>
                <w:sz w:val="18"/>
              </w:rPr>
              <w:t> </w:t>
            </w:r>
            <w:r>
              <w:rPr>
                <w:sz w:val="18"/>
              </w:rPr>
              <w:t>date?</w:t>
            </w:r>
          </w:p>
        </w:tc>
      </w:tr>
      <w:tr>
        <w:trPr>
          <w:trHeight w:val="4380" w:hRule="atLeast"/>
        </w:trPr>
        <w:tc>
          <w:tcPr>
            <w:tcW w:w="1980" w:type="dxa"/>
          </w:tcPr>
          <w:p>
            <w:pPr>
              <w:pStyle w:val="TableParagraph"/>
              <w:spacing w:line="276" w:lineRule="auto" w:before="2"/>
              <w:ind w:left="107" w:right="361"/>
              <w:rPr>
                <w:sz w:val="16"/>
              </w:rPr>
            </w:pPr>
            <w:r>
              <w:rPr>
                <w:sz w:val="16"/>
              </w:rPr>
              <w:t>Shared care plans/</w:t>
            </w:r>
            <w:r>
              <w:rPr>
                <w:spacing w:val="-42"/>
                <w:sz w:val="16"/>
              </w:rPr>
              <w:t> </w:t>
            </w:r>
            <w:r>
              <w:rPr>
                <w:sz w:val="16"/>
              </w:rPr>
              <w:t>planning</w:t>
            </w:r>
            <w:r>
              <w:rPr>
                <w:spacing w:val="-4"/>
                <w:sz w:val="16"/>
              </w:rPr>
              <w:t> </w:t>
            </w:r>
            <w:r>
              <w:rPr>
                <w:sz w:val="16"/>
              </w:rPr>
              <w:t>process</w:t>
            </w:r>
          </w:p>
        </w:tc>
        <w:tc>
          <w:tcPr>
            <w:tcW w:w="7038" w:type="dxa"/>
          </w:tcPr>
          <w:p>
            <w:pPr>
              <w:pStyle w:val="TableParagraph"/>
              <w:numPr>
                <w:ilvl w:val="0"/>
                <w:numId w:val="229"/>
              </w:numPr>
              <w:tabs>
                <w:tab w:pos="276" w:val="left" w:leader="none"/>
              </w:tabs>
              <w:spacing w:line="273" w:lineRule="auto" w:before="1" w:after="0"/>
              <w:ind w:left="275" w:right="499" w:hanging="168"/>
              <w:jc w:val="left"/>
              <w:rPr>
                <w:sz w:val="18"/>
              </w:rPr>
            </w:pPr>
            <w:r>
              <w:rPr>
                <w:sz w:val="18"/>
              </w:rPr>
              <w:t>What</w:t>
            </w:r>
            <w:r>
              <w:rPr>
                <w:spacing w:val="-4"/>
                <w:sz w:val="18"/>
              </w:rPr>
              <w:t> </w:t>
            </w:r>
            <w:r>
              <w:rPr>
                <w:sz w:val="18"/>
              </w:rPr>
              <w:t>changes,</w:t>
            </w:r>
            <w:r>
              <w:rPr>
                <w:spacing w:val="-4"/>
                <w:sz w:val="18"/>
              </w:rPr>
              <w:t> </w:t>
            </w:r>
            <w:r>
              <w:rPr>
                <w:sz w:val="18"/>
              </w:rPr>
              <w:t>if</w:t>
            </w:r>
            <w:r>
              <w:rPr>
                <w:spacing w:val="-2"/>
                <w:sz w:val="18"/>
              </w:rPr>
              <w:t> </w:t>
            </w:r>
            <w:r>
              <w:rPr>
                <w:sz w:val="18"/>
              </w:rPr>
              <w:t>any,</w:t>
            </w:r>
            <w:r>
              <w:rPr>
                <w:spacing w:val="-5"/>
                <w:sz w:val="18"/>
              </w:rPr>
              <w:t> </w:t>
            </w:r>
            <w:r>
              <w:rPr>
                <w:sz w:val="18"/>
              </w:rPr>
              <w:t>have</w:t>
            </w:r>
            <w:r>
              <w:rPr>
                <w:spacing w:val="-4"/>
                <w:sz w:val="18"/>
              </w:rPr>
              <w:t> </w:t>
            </w:r>
            <w:r>
              <w:rPr>
                <w:sz w:val="18"/>
              </w:rPr>
              <w:t>there</w:t>
            </w:r>
            <w:r>
              <w:rPr>
                <w:spacing w:val="-2"/>
                <w:sz w:val="18"/>
              </w:rPr>
              <w:t> </w:t>
            </w:r>
            <w:r>
              <w:rPr>
                <w:sz w:val="18"/>
              </w:rPr>
              <w:t>been</w:t>
            </w:r>
            <w:r>
              <w:rPr>
                <w:spacing w:val="-2"/>
                <w:sz w:val="18"/>
              </w:rPr>
              <w:t> </w:t>
            </w:r>
            <w:r>
              <w:rPr>
                <w:sz w:val="18"/>
              </w:rPr>
              <w:t>to</w:t>
            </w:r>
            <w:r>
              <w:rPr>
                <w:spacing w:val="-3"/>
                <w:sz w:val="18"/>
              </w:rPr>
              <w:t> </w:t>
            </w:r>
            <w:r>
              <w:rPr>
                <w:sz w:val="18"/>
              </w:rPr>
              <w:t>the</w:t>
            </w:r>
            <w:r>
              <w:rPr>
                <w:spacing w:val="-2"/>
                <w:sz w:val="18"/>
              </w:rPr>
              <w:t> </w:t>
            </w:r>
            <w:r>
              <w:rPr>
                <w:sz w:val="18"/>
              </w:rPr>
              <w:t>care</w:t>
            </w:r>
            <w:r>
              <w:rPr>
                <w:spacing w:val="-2"/>
                <w:sz w:val="18"/>
              </w:rPr>
              <w:t> </w:t>
            </w:r>
            <w:r>
              <w:rPr>
                <w:sz w:val="18"/>
              </w:rPr>
              <w:t>plan/</w:t>
            </w:r>
            <w:r>
              <w:rPr>
                <w:spacing w:val="-2"/>
                <w:sz w:val="18"/>
              </w:rPr>
              <w:t> </w:t>
            </w:r>
            <w:r>
              <w:rPr>
                <w:sz w:val="18"/>
              </w:rPr>
              <w:t>care</w:t>
            </w:r>
            <w:r>
              <w:rPr>
                <w:spacing w:val="-4"/>
                <w:sz w:val="18"/>
              </w:rPr>
              <w:t> </w:t>
            </w:r>
            <w:r>
              <w:rPr>
                <w:sz w:val="18"/>
              </w:rPr>
              <w:t>planning</w:t>
            </w:r>
            <w:r>
              <w:rPr>
                <w:spacing w:val="-47"/>
                <w:sz w:val="18"/>
              </w:rPr>
              <w:t> </w:t>
            </w:r>
            <w:r>
              <w:rPr>
                <w:sz w:val="18"/>
              </w:rPr>
              <w:t>process</w:t>
            </w:r>
            <w:r>
              <w:rPr>
                <w:spacing w:val="-2"/>
                <w:sz w:val="18"/>
              </w:rPr>
              <w:t> </w:t>
            </w:r>
            <w:r>
              <w:rPr>
                <w:sz w:val="18"/>
              </w:rPr>
              <w:t>for enrolled</w:t>
            </w:r>
            <w:r>
              <w:rPr>
                <w:spacing w:val="-1"/>
                <w:sz w:val="18"/>
              </w:rPr>
              <w:t> </w:t>
            </w:r>
            <w:r>
              <w:rPr>
                <w:sz w:val="18"/>
              </w:rPr>
              <w:t>patients?</w:t>
            </w:r>
          </w:p>
          <w:p>
            <w:pPr>
              <w:pStyle w:val="TableParagraph"/>
              <w:spacing w:before="7"/>
              <w:rPr>
                <w:sz w:val="16"/>
              </w:rPr>
            </w:pPr>
          </w:p>
          <w:p>
            <w:pPr>
              <w:pStyle w:val="TableParagraph"/>
              <w:ind w:left="107"/>
              <w:rPr>
                <w:sz w:val="16"/>
              </w:rPr>
            </w:pPr>
            <w:r>
              <w:rPr>
                <w:sz w:val="16"/>
              </w:rPr>
              <w:t>Prompts:</w:t>
            </w:r>
          </w:p>
          <w:p>
            <w:pPr>
              <w:pStyle w:val="TableParagraph"/>
              <w:spacing w:before="9"/>
              <w:rPr>
                <w:sz w:val="18"/>
              </w:rPr>
            </w:pPr>
          </w:p>
          <w:p>
            <w:pPr>
              <w:pStyle w:val="TableParagraph"/>
              <w:numPr>
                <w:ilvl w:val="1"/>
                <w:numId w:val="229"/>
              </w:numPr>
              <w:tabs>
                <w:tab w:pos="828" w:val="left" w:leader="none"/>
                <w:tab w:pos="829" w:val="left" w:leader="none"/>
              </w:tabs>
              <w:spacing w:line="240" w:lineRule="auto" w:before="0" w:after="0"/>
              <w:ind w:left="828" w:right="0" w:hanging="361"/>
              <w:jc w:val="left"/>
              <w:rPr>
                <w:sz w:val="18"/>
              </w:rPr>
            </w:pPr>
            <w:r>
              <w:rPr>
                <w:sz w:val="18"/>
              </w:rPr>
              <w:t>Changes</w:t>
            </w:r>
            <w:r>
              <w:rPr>
                <w:spacing w:val="-4"/>
                <w:sz w:val="18"/>
              </w:rPr>
              <w:t> </w:t>
            </w:r>
            <w:r>
              <w:rPr>
                <w:sz w:val="18"/>
              </w:rPr>
              <w:t>in</w:t>
            </w:r>
            <w:r>
              <w:rPr>
                <w:spacing w:val="-4"/>
                <w:sz w:val="18"/>
              </w:rPr>
              <w:t> </w:t>
            </w:r>
            <w:r>
              <w:rPr>
                <w:sz w:val="18"/>
              </w:rPr>
              <w:t>patient</w:t>
            </w:r>
            <w:r>
              <w:rPr>
                <w:spacing w:val="-6"/>
                <w:sz w:val="18"/>
              </w:rPr>
              <w:t> </w:t>
            </w:r>
            <w:r>
              <w:rPr>
                <w:sz w:val="18"/>
              </w:rPr>
              <w:t>involvement</w:t>
            </w:r>
            <w:r>
              <w:rPr>
                <w:spacing w:val="-4"/>
                <w:sz w:val="18"/>
              </w:rPr>
              <w:t> </w:t>
            </w:r>
            <w:r>
              <w:rPr>
                <w:sz w:val="18"/>
              </w:rPr>
              <w:t>in</w:t>
            </w:r>
            <w:r>
              <w:rPr>
                <w:spacing w:val="-3"/>
                <w:sz w:val="18"/>
              </w:rPr>
              <w:t> </w:t>
            </w:r>
            <w:r>
              <w:rPr>
                <w:sz w:val="18"/>
              </w:rPr>
              <w:t>development/</w:t>
            </w:r>
            <w:r>
              <w:rPr>
                <w:spacing w:val="-2"/>
                <w:sz w:val="18"/>
              </w:rPr>
              <w:t> </w:t>
            </w:r>
            <w:r>
              <w:rPr>
                <w:sz w:val="18"/>
              </w:rPr>
              <w:t>review</w:t>
            </w:r>
            <w:r>
              <w:rPr>
                <w:spacing w:val="-3"/>
                <w:sz w:val="18"/>
              </w:rPr>
              <w:t> </w:t>
            </w:r>
            <w:r>
              <w:rPr>
                <w:sz w:val="18"/>
              </w:rPr>
              <w:t>of</w:t>
            </w:r>
            <w:r>
              <w:rPr>
                <w:spacing w:val="-2"/>
                <w:sz w:val="18"/>
              </w:rPr>
              <w:t> </w:t>
            </w:r>
            <w:r>
              <w:rPr>
                <w:sz w:val="18"/>
              </w:rPr>
              <w:t>the</w:t>
            </w:r>
            <w:r>
              <w:rPr>
                <w:spacing w:val="-2"/>
                <w:sz w:val="18"/>
              </w:rPr>
              <w:t> </w:t>
            </w:r>
            <w:r>
              <w:rPr>
                <w:sz w:val="18"/>
              </w:rPr>
              <w:t>plan?</w:t>
            </w:r>
          </w:p>
          <w:p>
            <w:pPr>
              <w:pStyle w:val="TableParagraph"/>
              <w:numPr>
                <w:ilvl w:val="1"/>
                <w:numId w:val="229"/>
              </w:numPr>
              <w:tabs>
                <w:tab w:pos="828" w:val="left" w:leader="none"/>
                <w:tab w:pos="829" w:val="left" w:leader="none"/>
              </w:tabs>
              <w:spacing w:line="240" w:lineRule="auto" w:before="34" w:after="0"/>
              <w:ind w:left="828" w:right="0" w:hanging="361"/>
              <w:jc w:val="left"/>
              <w:rPr>
                <w:sz w:val="18"/>
              </w:rPr>
            </w:pPr>
            <w:r>
              <w:rPr>
                <w:sz w:val="18"/>
              </w:rPr>
              <w:t>Contents</w:t>
            </w:r>
            <w:r>
              <w:rPr>
                <w:spacing w:val="-3"/>
                <w:sz w:val="18"/>
              </w:rPr>
              <w:t> </w:t>
            </w:r>
            <w:r>
              <w:rPr>
                <w:sz w:val="18"/>
              </w:rPr>
              <w:t>of</w:t>
            </w:r>
            <w:r>
              <w:rPr>
                <w:spacing w:val="-2"/>
                <w:sz w:val="18"/>
              </w:rPr>
              <w:t> </w:t>
            </w:r>
            <w:r>
              <w:rPr>
                <w:sz w:val="18"/>
              </w:rPr>
              <w:t>the</w:t>
            </w:r>
            <w:r>
              <w:rPr>
                <w:spacing w:val="-2"/>
                <w:sz w:val="18"/>
              </w:rPr>
              <w:t> </w:t>
            </w:r>
            <w:r>
              <w:rPr>
                <w:sz w:val="18"/>
              </w:rPr>
              <w:t>care</w:t>
            </w:r>
            <w:r>
              <w:rPr>
                <w:spacing w:val="-2"/>
                <w:sz w:val="18"/>
              </w:rPr>
              <w:t> </w:t>
            </w:r>
            <w:r>
              <w:rPr>
                <w:sz w:val="18"/>
              </w:rPr>
              <w:t>plan?</w:t>
            </w:r>
          </w:p>
          <w:p>
            <w:pPr>
              <w:pStyle w:val="TableParagraph"/>
              <w:numPr>
                <w:ilvl w:val="1"/>
                <w:numId w:val="229"/>
              </w:numPr>
              <w:tabs>
                <w:tab w:pos="828" w:val="left" w:leader="none"/>
                <w:tab w:pos="829" w:val="left" w:leader="none"/>
              </w:tabs>
              <w:spacing w:line="240" w:lineRule="auto" w:before="32" w:after="0"/>
              <w:ind w:left="828" w:right="0" w:hanging="361"/>
              <w:jc w:val="left"/>
              <w:rPr>
                <w:sz w:val="18"/>
              </w:rPr>
            </w:pPr>
            <w:r>
              <w:rPr>
                <w:sz w:val="18"/>
              </w:rPr>
              <w:t>The</w:t>
            </w:r>
            <w:r>
              <w:rPr>
                <w:spacing w:val="-2"/>
                <w:sz w:val="18"/>
              </w:rPr>
              <w:t> </w:t>
            </w:r>
            <w:r>
              <w:rPr>
                <w:sz w:val="18"/>
              </w:rPr>
              <w:t>way</w:t>
            </w:r>
            <w:r>
              <w:rPr>
                <w:spacing w:val="-2"/>
                <w:sz w:val="18"/>
              </w:rPr>
              <w:t> </w:t>
            </w:r>
            <w:r>
              <w:rPr>
                <w:sz w:val="18"/>
              </w:rPr>
              <w:t>in</w:t>
            </w:r>
            <w:r>
              <w:rPr>
                <w:spacing w:val="-2"/>
                <w:sz w:val="18"/>
              </w:rPr>
              <w:t> </w:t>
            </w:r>
            <w:r>
              <w:rPr>
                <w:sz w:val="18"/>
              </w:rPr>
              <w:t>which</w:t>
            </w:r>
            <w:r>
              <w:rPr>
                <w:spacing w:val="-3"/>
                <w:sz w:val="18"/>
              </w:rPr>
              <w:t> </w:t>
            </w:r>
            <w:r>
              <w:rPr>
                <w:sz w:val="18"/>
              </w:rPr>
              <w:t>the</w:t>
            </w:r>
            <w:r>
              <w:rPr>
                <w:spacing w:val="-2"/>
                <w:sz w:val="18"/>
              </w:rPr>
              <w:t> </w:t>
            </w:r>
            <w:r>
              <w:rPr>
                <w:sz w:val="18"/>
              </w:rPr>
              <w:t>plan</w:t>
            </w:r>
            <w:r>
              <w:rPr>
                <w:spacing w:val="-3"/>
                <w:sz w:val="18"/>
              </w:rPr>
              <w:t> </w:t>
            </w:r>
            <w:r>
              <w:rPr>
                <w:sz w:val="18"/>
              </w:rPr>
              <w:t>is</w:t>
            </w:r>
            <w:r>
              <w:rPr>
                <w:spacing w:val="-4"/>
                <w:sz w:val="18"/>
              </w:rPr>
              <w:t> </w:t>
            </w:r>
            <w:r>
              <w:rPr>
                <w:sz w:val="18"/>
              </w:rPr>
              <w:t>communicated</w:t>
            </w:r>
            <w:r>
              <w:rPr>
                <w:spacing w:val="-3"/>
                <w:sz w:val="18"/>
              </w:rPr>
              <w:t> </w:t>
            </w:r>
            <w:r>
              <w:rPr>
                <w:sz w:val="18"/>
              </w:rPr>
              <w:t>to</w:t>
            </w:r>
            <w:r>
              <w:rPr>
                <w:spacing w:val="-2"/>
                <w:sz w:val="18"/>
              </w:rPr>
              <w:t> </w:t>
            </w:r>
            <w:r>
              <w:rPr>
                <w:sz w:val="18"/>
              </w:rPr>
              <w:t>the</w:t>
            </w:r>
            <w:r>
              <w:rPr>
                <w:spacing w:val="2"/>
                <w:sz w:val="18"/>
              </w:rPr>
              <w:t> </w:t>
            </w:r>
            <w:r>
              <w:rPr>
                <w:sz w:val="18"/>
              </w:rPr>
              <w:t>patient?</w:t>
            </w:r>
          </w:p>
          <w:p>
            <w:pPr>
              <w:pStyle w:val="TableParagraph"/>
              <w:numPr>
                <w:ilvl w:val="1"/>
                <w:numId w:val="229"/>
              </w:numPr>
              <w:tabs>
                <w:tab w:pos="828" w:val="left" w:leader="none"/>
                <w:tab w:pos="829" w:val="left" w:leader="none"/>
              </w:tabs>
              <w:spacing w:line="240" w:lineRule="auto" w:before="34" w:after="0"/>
              <w:ind w:left="828" w:right="0" w:hanging="361"/>
              <w:jc w:val="left"/>
              <w:rPr>
                <w:sz w:val="18"/>
              </w:rPr>
            </w:pPr>
            <w:r>
              <w:rPr>
                <w:sz w:val="18"/>
              </w:rPr>
              <w:t>Regularity</w:t>
            </w:r>
            <w:r>
              <w:rPr>
                <w:spacing w:val="-4"/>
                <w:sz w:val="18"/>
              </w:rPr>
              <w:t> </w:t>
            </w:r>
            <w:r>
              <w:rPr>
                <w:sz w:val="18"/>
              </w:rPr>
              <w:t>of</w:t>
            </w:r>
            <w:r>
              <w:rPr>
                <w:spacing w:val="-2"/>
                <w:sz w:val="18"/>
              </w:rPr>
              <w:t> </w:t>
            </w:r>
            <w:r>
              <w:rPr>
                <w:sz w:val="18"/>
              </w:rPr>
              <w:t>discussion</w:t>
            </w:r>
            <w:r>
              <w:rPr>
                <w:spacing w:val="-5"/>
                <w:sz w:val="18"/>
              </w:rPr>
              <w:t> </w:t>
            </w:r>
            <w:r>
              <w:rPr>
                <w:sz w:val="18"/>
              </w:rPr>
              <w:t>of</w:t>
            </w:r>
            <w:r>
              <w:rPr>
                <w:spacing w:val="-2"/>
                <w:sz w:val="18"/>
              </w:rPr>
              <w:t> </w:t>
            </w:r>
            <w:r>
              <w:rPr>
                <w:sz w:val="18"/>
              </w:rPr>
              <w:t>the</w:t>
            </w:r>
            <w:r>
              <w:rPr>
                <w:spacing w:val="-2"/>
                <w:sz w:val="18"/>
              </w:rPr>
              <w:t> </w:t>
            </w:r>
            <w:r>
              <w:rPr>
                <w:sz w:val="18"/>
              </w:rPr>
              <w:t>plan</w:t>
            </w:r>
            <w:r>
              <w:rPr>
                <w:spacing w:val="-2"/>
                <w:sz w:val="18"/>
              </w:rPr>
              <w:t> </w:t>
            </w:r>
            <w:r>
              <w:rPr>
                <w:sz w:val="18"/>
              </w:rPr>
              <w:t>with</w:t>
            </w:r>
            <w:r>
              <w:rPr>
                <w:spacing w:val="-2"/>
                <w:sz w:val="18"/>
              </w:rPr>
              <w:t> </w:t>
            </w:r>
            <w:r>
              <w:rPr>
                <w:sz w:val="18"/>
              </w:rPr>
              <w:t>the</w:t>
            </w:r>
            <w:r>
              <w:rPr>
                <w:spacing w:val="-5"/>
                <w:sz w:val="18"/>
              </w:rPr>
              <w:t> </w:t>
            </w:r>
            <w:r>
              <w:rPr>
                <w:sz w:val="18"/>
              </w:rPr>
              <w:t>patient?</w:t>
            </w:r>
          </w:p>
          <w:p>
            <w:pPr>
              <w:pStyle w:val="TableParagraph"/>
              <w:numPr>
                <w:ilvl w:val="1"/>
                <w:numId w:val="229"/>
              </w:numPr>
              <w:tabs>
                <w:tab w:pos="828" w:val="left" w:leader="none"/>
                <w:tab w:pos="829" w:val="left" w:leader="none"/>
              </w:tabs>
              <w:spacing w:line="240" w:lineRule="auto" w:before="33" w:after="0"/>
              <w:ind w:left="828" w:right="0" w:hanging="361"/>
              <w:jc w:val="left"/>
              <w:rPr>
                <w:sz w:val="18"/>
              </w:rPr>
            </w:pPr>
            <w:r>
              <w:rPr>
                <w:sz w:val="18"/>
              </w:rPr>
              <w:t>Regularity</w:t>
            </w:r>
            <w:r>
              <w:rPr>
                <w:spacing w:val="-4"/>
                <w:sz w:val="18"/>
              </w:rPr>
              <w:t> </w:t>
            </w:r>
            <w:r>
              <w:rPr>
                <w:sz w:val="18"/>
              </w:rPr>
              <w:t>of</w:t>
            </w:r>
            <w:r>
              <w:rPr>
                <w:spacing w:val="-3"/>
                <w:sz w:val="18"/>
              </w:rPr>
              <w:t> </w:t>
            </w:r>
            <w:r>
              <w:rPr>
                <w:sz w:val="18"/>
              </w:rPr>
              <w:t>discussion</w:t>
            </w:r>
            <w:r>
              <w:rPr>
                <w:spacing w:val="-6"/>
                <w:sz w:val="18"/>
              </w:rPr>
              <w:t> </w:t>
            </w:r>
            <w:r>
              <w:rPr>
                <w:sz w:val="18"/>
              </w:rPr>
              <w:t>of</w:t>
            </w:r>
            <w:r>
              <w:rPr>
                <w:spacing w:val="-2"/>
                <w:sz w:val="18"/>
              </w:rPr>
              <w:t> </w:t>
            </w:r>
            <w:r>
              <w:rPr>
                <w:sz w:val="18"/>
              </w:rPr>
              <w:t>the</w:t>
            </w:r>
            <w:r>
              <w:rPr>
                <w:spacing w:val="-2"/>
                <w:sz w:val="18"/>
              </w:rPr>
              <w:t> </w:t>
            </w:r>
            <w:r>
              <w:rPr>
                <w:sz w:val="18"/>
              </w:rPr>
              <w:t>plan</w:t>
            </w:r>
            <w:r>
              <w:rPr>
                <w:spacing w:val="-3"/>
                <w:sz w:val="18"/>
              </w:rPr>
              <w:t> </w:t>
            </w:r>
            <w:r>
              <w:rPr>
                <w:sz w:val="18"/>
              </w:rPr>
              <w:t>with</w:t>
            </w:r>
            <w:r>
              <w:rPr>
                <w:spacing w:val="-3"/>
                <w:sz w:val="18"/>
              </w:rPr>
              <w:t> </w:t>
            </w:r>
            <w:r>
              <w:rPr>
                <w:sz w:val="18"/>
              </w:rPr>
              <w:t>the</w:t>
            </w:r>
            <w:r>
              <w:rPr>
                <w:spacing w:val="-5"/>
                <w:sz w:val="18"/>
              </w:rPr>
              <w:t> </w:t>
            </w:r>
            <w:r>
              <w:rPr>
                <w:sz w:val="18"/>
              </w:rPr>
              <w:t>patient’s</w:t>
            </w:r>
            <w:r>
              <w:rPr>
                <w:spacing w:val="-3"/>
                <w:sz w:val="18"/>
              </w:rPr>
              <w:t> </w:t>
            </w:r>
            <w:r>
              <w:rPr>
                <w:sz w:val="18"/>
              </w:rPr>
              <w:t>other</w:t>
            </w:r>
            <w:r>
              <w:rPr>
                <w:spacing w:val="-3"/>
                <w:sz w:val="18"/>
              </w:rPr>
              <w:t> </w:t>
            </w:r>
            <w:r>
              <w:rPr>
                <w:sz w:val="18"/>
              </w:rPr>
              <w:t>healthcare</w:t>
            </w:r>
          </w:p>
          <w:p>
            <w:pPr>
              <w:pStyle w:val="TableParagraph"/>
              <w:spacing w:before="34"/>
              <w:ind w:left="828"/>
              <w:rPr>
                <w:sz w:val="18"/>
              </w:rPr>
            </w:pPr>
            <w:r>
              <w:rPr>
                <w:sz w:val="18"/>
              </w:rPr>
              <w:t>providers?</w:t>
            </w:r>
          </w:p>
          <w:p>
            <w:pPr>
              <w:pStyle w:val="TableParagraph"/>
              <w:numPr>
                <w:ilvl w:val="1"/>
                <w:numId w:val="229"/>
              </w:numPr>
              <w:tabs>
                <w:tab w:pos="828" w:val="left" w:leader="none"/>
                <w:tab w:pos="829" w:val="left" w:leader="none"/>
              </w:tabs>
              <w:spacing w:line="240" w:lineRule="auto" w:before="31" w:after="0"/>
              <w:ind w:left="828" w:right="0" w:hanging="361"/>
              <w:jc w:val="left"/>
              <w:rPr>
                <w:sz w:val="18"/>
              </w:rPr>
            </w:pPr>
            <w:r>
              <w:rPr>
                <w:sz w:val="18"/>
              </w:rPr>
              <w:t>Frequency</w:t>
            </w:r>
            <w:r>
              <w:rPr>
                <w:spacing w:val="-5"/>
                <w:sz w:val="18"/>
              </w:rPr>
              <w:t> </w:t>
            </w:r>
            <w:r>
              <w:rPr>
                <w:sz w:val="18"/>
              </w:rPr>
              <w:t>of</w:t>
            </w:r>
            <w:r>
              <w:rPr>
                <w:spacing w:val="-5"/>
                <w:sz w:val="18"/>
              </w:rPr>
              <w:t> </w:t>
            </w:r>
            <w:r>
              <w:rPr>
                <w:sz w:val="18"/>
              </w:rPr>
              <w:t>reviews?</w:t>
            </w:r>
          </w:p>
          <w:p>
            <w:pPr>
              <w:pStyle w:val="TableParagraph"/>
              <w:numPr>
                <w:ilvl w:val="1"/>
                <w:numId w:val="229"/>
              </w:numPr>
              <w:tabs>
                <w:tab w:pos="828" w:val="left" w:leader="none"/>
                <w:tab w:pos="829" w:val="left" w:leader="none"/>
              </w:tabs>
              <w:spacing w:line="276" w:lineRule="auto" w:before="34" w:after="0"/>
              <w:ind w:left="828" w:right="198" w:hanging="360"/>
              <w:jc w:val="left"/>
              <w:rPr>
                <w:sz w:val="18"/>
              </w:rPr>
            </w:pPr>
            <w:r>
              <w:rPr>
                <w:sz w:val="18"/>
              </w:rPr>
              <w:t>Has</w:t>
            </w:r>
            <w:r>
              <w:rPr>
                <w:spacing w:val="-1"/>
                <w:sz w:val="18"/>
              </w:rPr>
              <w:t> </w:t>
            </w:r>
            <w:r>
              <w:rPr>
                <w:i/>
                <w:sz w:val="18"/>
              </w:rPr>
              <w:t>My</w:t>
            </w:r>
            <w:r>
              <w:rPr>
                <w:i/>
                <w:spacing w:val="-3"/>
                <w:sz w:val="18"/>
              </w:rPr>
              <w:t> </w:t>
            </w:r>
            <w:r>
              <w:rPr>
                <w:i/>
                <w:sz w:val="18"/>
              </w:rPr>
              <w:t>Health</w:t>
            </w:r>
            <w:r>
              <w:rPr>
                <w:i/>
                <w:spacing w:val="-4"/>
                <w:sz w:val="18"/>
              </w:rPr>
              <w:t> </w:t>
            </w:r>
            <w:r>
              <w:rPr>
                <w:i/>
                <w:sz w:val="18"/>
              </w:rPr>
              <w:t>Record</w:t>
            </w:r>
            <w:r>
              <w:rPr>
                <w:i/>
                <w:spacing w:val="-2"/>
                <w:sz w:val="18"/>
              </w:rPr>
              <w:t> </w:t>
            </w:r>
            <w:r>
              <w:rPr>
                <w:sz w:val="18"/>
              </w:rPr>
              <w:t>been</w:t>
            </w:r>
            <w:r>
              <w:rPr>
                <w:spacing w:val="-4"/>
                <w:sz w:val="18"/>
              </w:rPr>
              <w:t> </w:t>
            </w:r>
            <w:r>
              <w:rPr>
                <w:sz w:val="18"/>
              </w:rPr>
              <w:t>used</w:t>
            </w:r>
            <w:r>
              <w:rPr>
                <w:spacing w:val="-3"/>
                <w:sz w:val="18"/>
              </w:rPr>
              <w:t> </w:t>
            </w:r>
            <w:r>
              <w:rPr>
                <w:sz w:val="18"/>
              </w:rPr>
              <w:t>for</w:t>
            </w:r>
            <w:r>
              <w:rPr>
                <w:spacing w:val="-4"/>
                <w:sz w:val="18"/>
              </w:rPr>
              <w:t> </w:t>
            </w:r>
            <w:r>
              <w:rPr>
                <w:sz w:val="18"/>
              </w:rPr>
              <w:t>sharing</w:t>
            </w:r>
            <w:r>
              <w:rPr>
                <w:spacing w:val="-4"/>
                <w:sz w:val="18"/>
              </w:rPr>
              <w:t> </w:t>
            </w:r>
            <w:r>
              <w:rPr>
                <w:sz w:val="18"/>
              </w:rPr>
              <w:t>care</w:t>
            </w:r>
            <w:r>
              <w:rPr>
                <w:spacing w:val="-2"/>
                <w:sz w:val="18"/>
              </w:rPr>
              <w:t> </w:t>
            </w:r>
            <w:r>
              <w:rPr>
                <w:sz w:val="18"/>
              </w:rPr>
              <w:t>plans</w:t>
            </w:r>
            <w:r>
              <w:rPr>
                <w:spacing w:val="-4"/>
                <w:sz w:val="18"/>
              </w:rPr>
              <w:t> </w:t>
            </w:r>
            <w:r>
              <w:rPr>
                <w:sz w:val="18"/>
              </w:rPr>
              <w:t>with</w:t>
            </w:r>
            <w:r>
              <w:rPr>
                <w:spacing w:val="-2"/>
                <w:sz w:val="18"/>
              </w:rPr>
              <w:t> </w:t>
            </w:r>
            <w:r>
              <w:rPr>
                <w:sz w:val="18"/>
              </w:rPr>
              <w:t>patients</w:t>
            </w:r>
            <w:r>
              <w:rPr>
                <w:spacing w:val="-47"/>
                <w:sz w:val="18"/>
              </w:rPr>
              <w:t> </w:t>
            </w:r>
            <w:r>
              <w:rPr>
                <w:sz w:val="18"/>
              </w:rPr>
              <w:t>and/ or their carer/ family and/ or other clinical staff outside the</w:t>
            </w:r>
            <w:r>
              <w:rPr>
                <w:spacing w:val="1"/>
                <w:sz w:val="18"/>
              </w:rPr>
              <w:t> </w:t>
            </w:r>
            <w:r>
              <w:rPr>
                <w:sz w:val="18"/>
              </w:rPr>
              <w:t>practice involved with the clinical care of the patient? If so, has this</w:t>
            </w:r>
            <w:r>
              <w:rPr>
                <w:spacing w:val="1"/>
                <w:sz w:val="18"/>
              </w:rPr>
              <w:t> </w:t>
            </w:r>
            <w:r>
              <w:rPr>
                <w:sz w:val="18"/>
              </w:rPr>
              <w:t>been useful? If </w:t>
            </w:r>
            <w:r>
              <w:rPr>
                <w:i/>
                <w:sz w:val="18"/>
              </w:rPr>
              <w:t>My Health Record </w:t>
            </w:r>
            <w:r>
              <w:rPr>
                <w:sz w:val="18"/>
              </w:rPr>
              <w:t>has not been used, what are the</w:t>
            </w:r>
            <w:r>
              <w:rPr>
                <w:spacing w:val="1"/>
                <w:sz w:val="18"/>
              </w:rPr>
              <w:t> </w:t>
            </w:r>
            <w:r>
              <w:rPr>
                <w:sz w:val="18"/>
              </w:rPr>
              <w:t>main</w:t>
            </w:r>
            <w:r>
              <w:rPr>
                <w:spacing w:val="-1"/>
                <w:sz w:val="18"/>
              </w:rPr>
              <w:t> </w:t>
            </w:r>
            <w:r>
              <w:rPr>
                <w:sz w:val="18"/>
              </w:rPr>
              <w:t>reasons</w:t>
            </w:r>
            <w:r>
              <w:rPr>
                <w:spacing w:val="-1"/>
                <w:sz w:val="18"/>
              </w:rPr>
              <w:t> </w:t>
            </w:r>
            <w:r>
              <w:rPr>
                <w:sz w:val="18"/>
              </w:rPr>
              <w:t>for this?</w:t>
            </w:r>
          </w:p>
        </w:tc>
      </w:tr>
      <w:tr>
        <w:trPr>
          <w:trHeight w:val="763" w:hRule="atLeast"/>
        </w:trPr>
        <w:tc>
          <w:tcPr>
            <w:tcW w:w="1980" w:type="dxa"/>
          </w:tcPr>
          <w:p>
            <w:pPr>
              <w:pStyle w:val="TableParagraph"/>
              <w:spacing w:line="276" w:lineRule="auto"/>
              <w:ind w:left="107" w:right="330"/>
              <w:rPr>
                <w:sz w:val="16"/>
              </w:rPr>
            </w:pPr>
            <w:r>
              <w:rPr>
                <w:sz w:val="16"/>
              </w:rPr>
              <w:t>Contextual</w:t>
            </w:r>
            <w:r>
              <w:rPr>
                <w:spacing w:val="1"/>
                <w:sz w:val="16"/>
              </w:rPr>
              <w:t> </w:t>
            </w:r>
            <w:r>
              <w:rPr>
                <w:spacing w:val="-1"/>
                <w:sz w:val="16"/>
              </w:rPr>
              <w:t>information/</w:t>
            </w:r>
            <w:r>
              <w:rPr>
                <w:spacing w:val="-3"/>
                <w:sz w:val="16"/>
              </w:rPr>
              <w:t> </w:t>
            </w:r>
            <w:r>
              <w:rPr>
                <w:sz w:val="16"/>
              </w:rPr>
              <w:t>factors</w:t>
            </w:r>
          </w:p>
        </w:tc>
        <w:tc>
          <w:tcPr>
            <w:tcW w:w="7038" w:type="dxa"/>
          </w:tcPr>
          <w:p>
            <w:pPr>
              <w:pStyle w:val="TableParagraph"/>
              <w:numPr>
                <w:ilvl w:val="0"/>
                <w:numId w:val="230"/>
              </w:numPr>
              <w:tabs>
                <w:tab w:pos="276" w:val="left" w:leader="none"/>
              </w:tabs>
              <w:spacing w:line="276" w:lineRule="auto" w:before="0" w:after="0"/>
              <w:ind w:left="275" w:right="280" w:hanging="168"/>
              <w:jc w:val="left"/>
              <w:rPr>
                <w:sz w:val="18"/>
              </w:rPr>
            </w:pPr>
            <w:r>
              <w:rPr>
                <w:sz w:val="18"/>
              </w:rPr>
              <w:t>What changes/ initiatives, if any, are occurring/ have occurred </w:t>
            </w:r>
            <w:r>
              <w:rPr>
                <w:sz w:val="18"/>
                <w:u w:val="single"/>
              </w:rPr>
              <w:t>within your</w:t>
            </w:r>
            <w:r>
              <w:rPr>
                <w:spacing w:val="-47"/>
                <w:sz w:val="18"/>
              </w:rPr>
              <w:t> </w:t>
            </w:r>
            <w:r>
              <w:rPr>
                <w:sz w:val="18"/>
                <w:u w:val="single"/>
              </w:rPr>
              <w:t>practice</w:t>
            </w:r>
            <w:r>
              <w:rPr>
                <w:spacing w:val="-3"/>
                <w:sz w:val="18"/>
                <w:u w:val="single"/>
              </w:rPr>
              <w:t> </w:t>
            </w:r>
            <w:r>
              <w:rPr>
                <w:sz w:val="18"/>
                <w:u w:val="single"/>
              </w:rPr>
              <w:t>not</w:t>
            </w:r>
            <w:r>
              <w:rPr>
                <w:spacing w:val="-4"/>
                <w:sz w:val="18"/>
                <w:u w:val="single"/>
              </w:rPr>
              <w:t> </w:t>
            </w:r>
            <w:r>
              <w:rPr>
                <w:sz w:val="18"/>
                <w:u w:val="single"/>
              </w:rPr>
              <w:t>related</w:t>
            </w:r>
            <w:r>
              <w:rPr>
                <w:spacing w:val="-4"/>
                <w:sz w:val="18"/>
                <w:u w:val="single"/>
              </w:rPr>
              <w:t> </w:t>
            </w:r>
            <w:r>
              <w:rPr>
                <w:sz w:val="18"/>
                <w:u w:val="single"/>
              </w:rPr>
              <w:t>to</w:t>
            </w:r>
            <w:r>
              <w:rPr>
                <w:spacing w:val="-3"/>
                <w:sz w:val="18"/>
                <w:u w:val="single"/>
              </w:rPr>
              <w:t> </w:t>
            </w:r>
            <w:r>
              <w:rPr>
                <w:sz w:val="18"/>
                <w:u w:val="single"/>
              </w:rPr>
              <w:t>HCH</w:t>
            </w:r>
            <w:r>
              <w:rPr>
                <w:spacing w:val="1"/>
                <w:sz w:val="18"/>
              </w:rPr>
              <w:t> </w:t>
            </w:r>
            <w:r>
              <w:rPr>
                <w:sz w:val="18"/>
              </w:rPr>
              <w:t>that</w:t>
            </w:r>
            <w:r>
              <w:rPr>
                <w:spacing w:val="-4"/>
                <w:sz w:val="18"/>
              </w:rPr>
              <w:t> </w:t>
            </w:r>
            <w:r>
              <w:rPr>
                <w:sz w:val="18"/>
              </w:rPr>
              <w:t>have</w:t>
            </w:r>
            <w:r>
              <w:rPr>
                <w:spacing w:val="-2"/>
                <w:sz w:val="18"/>
              </w:rPr>
              <w:t> </w:t>
            </w:r>
            <w:r>
              <w:rPr>
                <w:sz w:val="18"/>
              </w:rPr>
              <w:t>impacted</w:t>
            </w:r>
            <w:r>
              <w:rPr>
                <w:spacing w:val="-4"/>
                <w:sz w:val="18"/>
              </w:rPr>
              <w:t> </w:t>
            </w:r>
            <w:r>
              <w:rPr>
                <w:sz w:val="18"/>
              </w:rPr>
              <w:t>on</w:t>
            </w:r>
            <w:r>
              <w:rPr>
                <w:spacing w:val="-2"/>
                <w:sz w:val="18"/>
              </w:rPr>
              <w:t> </w:t>
            </w:r>
            <w:r>
              <w:rPr>
                <w:sz w:val="18"/>
              </w:rPr>
              <w:t>the</w:t>
            </w:r>
            <w:r>
              <w:rPr>
                <w:spacing w:val="-1"/>
                <w:sz w:val="18"/>
              </w:rPr>
              <w:t> </w:t>
            </w:r>
            <w:r>
              <w:rPr>
                <w:sz w:val="18"/>
              </w:rPr>
              <w:t>changes</w:t>
            </w:r>
            <w:r>
              <w:rPr>
                <w:spacing w:val="-3"/>
                <w:sz w:val="18"/>
              </w:rPr>
              <w:t> </w:t>
            </w:r>
            <w:r>
              <w:rPr>
                <w:sz w:val="18"/>
              </w:rPr>
              <w:t>that</w:t>
            </w:r>
            <w:r>
              <w:rPr>
                <w:spacing w:val="-5"/>
                <w:sz w:val="18"/>
              </w:rPr>
              <w:t> </w:t>
            </w:r>
            <w:r>
              <w:rPr>
                <w:sz w:val="18"/>
              </w:rPr>
              <w:t>you</w:t>
            </w:r>
          </w:p>
          <w:p>
            <w:pPr>
              <w:pStyle w:val="TableParagraph"/>
              <w:ind w:left="275"/>
              <w:rPr>
                <w:sz w:val="18"/>
              </w:rPr>
            </w:pPr>
            <w:r>
              <w:rPr>
                <w:sz w:val="18"/>
              </w:rPr>
              <w:t>set</w:t>
            </w:r>
            <w:r>
              <w:rPr>
                <w:spacing w:val="-4"/>
                <w:sz w:val="18"/>
              </w:rPr>
              <w:t> </w:t>
            </w:r>
            <w:r>
              <w:rPr>
                <w:sz w:val="18"/>
              </w:rPr>
              <w:t>out</w:t>
            </w:r>
            <w:r>
              <w:rPr>
                <w:spacing w:val="-4"/>
                <w:sz w:val="18"/>
              </w:rPr>
              <w:t> </w:t>
            </w:r>
            <w:r>
              <w:rPr>
                <w:sz w:val="18"/>
              </w:rPr>
              <w:t>to make</w:t>
            </w:r>
            <w:r>
              <w:rPr>
                <w:spacing w:val="-2"/>
                <w:sz w:val="18"/>
              </w:rPr>
              <w:t> </w:t>
            </w:r>
            <w:r>
              <w:rPr>
                <w:sz w:val="18"/>
              </w:rPr>
              <w:t>in</w:t>
            </w:r>
            <w:r>
              <w:rPr>
                <w:spacing w:val="-4"/>
                <w:sz w:val="18"/>
              </w:rPr>
              <w:t> </w:t>
            </w:r>
            <w:r>
              <w:rPr>
                <w:sz w:val="18"/>
              </w:rPr>
              <w:t>implementing</w:t>
            </w:r>
            <w:r>
              <w:rPr>
                <w:spacing w:val="-4"/>
                <w:sz w:val="18"/>
              </w:rPr>
              <w:t> </w:t>
            </w:r>
            <w:r>
              <w:rPr>
                <w:sz w:val="18"/>
              </w:rPr>
              <w:t>HCH?</w:t>
            </w:r>
          </w:p>
        </w:tc>
      </w:tr>
    </w:tbl>
    <w:p>
      <w:pPr>
        <w:spacing w:after="0"/>
        <w:rPr>
          <w:sz w:val="18"/>
        </w:rPr>
        <w:sectPr>
          <w:pgSz w:w="11910" w:h="16840"/>
          <w:pgMar w:header="0" w:footer="948" w:top="1340" w:bottom="1720" w:left="300" w:right="0"/>
        </w:sectPr>
      </w:pPr>
    </w:p>
    <w:tbl>
      <w:tblPr>
        <w:tblW w:w="0" w:type="auto"/>
        <w:jc w:val="left"/>
        <w:tblInd w:w="11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980"/>
        <w:gridCol w:w="7038"/>
      </w:tblGrid>
      <w:tr>
        <w:trPr>
          <w:trHeight w:val="225" w:hRule="atLeast"/>
        </w:trPr>
        <w:tc>
          <w:tcPr>
            <w:tcW w:w="1980" w:type="dxa"/>
            <w:shd w:val="clear" w:color="auto" w:fill="003C79"/>
          </w:tcPr>
          <w:p>
            <w:pPr>
              <w:pStyle w:val="TableParagraph"/>
              <w:spacing w:line="196" w:lineRule="exact"/>
              <w:ind w:left="107"/>
              <w:rPr>
                <w:b/>
                <w:sz w:val="16"/>
              </w:rPr>
            </w:pPr>
            <w:r>
              <w:rPr>
                <w:b/>
                <w:color w:val="FFFFFF"/>
                <w:sz w:val="16"/>
              </w:rPr>
              <w:t>Topic</w:t>
            </w:r>
          </w:p>
        </w:tc>
        <w:tc>
          <w:tcPr>
            <w:tcW w:w="7038" w:type="dxa"/>
            <w:shd w:val="clear" w:color="auto" w:fill="003C79"/>
          </w:tcPr>
          <w:p>
            <w:pPr>
              <w:pStyle w:val="TableParagraph"/>
              <w:spacing w:line="196" w:lineRule="exact"/>
              <w:ind w:left="107"/>
              <w:rPr>
                <w:b/>
                <w:sz w:val="16"/>
              </w:rPr>
            </w:pPr>
            <w:r>
              <w:rPr>
                <w:b/>
                <w:color w:val="FFFFFF"/>
                <w:sz w:val="16"/>
              </w:rPr>
              <w:t>Question</w:t>
            </w:r>
          </w:p>
        </w:tc>
      </w:tr>
      <w:tr>
        <w:trPr>
          <w:trHeight w:val="962" w:hRule="atLeast"/>
        </w:trPr>
        <w:tc>
          <w:tcPr>
            <w:tcW w:w="1980" w:type="dxa"/>
          </w:tcPr>
          <w:p>
            <w:pPr>
              <w:pStyle w:val="TableParagraph"/>
              <w:rPr>
                <w:rFonts w:ascii="Times New Roman"/>
                <w:sz w:val="16"/>
              </w:rPr>
            </w:pPr>
          </w:p>
        </w:tc>
        <w:tc>
          <w:tcPr>
            <w:tcW w:w="7038" w:type="dxa"/>
          </w:tcPr>
          <w:p>
            <w:pPr>
              <w:pStyle w:val="TableParagraph"/>
              <w:numPr>
                <w:ilvl w:val="0"/>
                <w:numId w:val="231"/>
              </w:numPr>
              <w:tabs>
                <w:tab w:pos="276" w:val="left" w:leader="none"/>
              </w:tabs>
              <w:spacing w:line="276" w:lineRule="auto" w:before="0" w:after="0"/>
              <w:ind w:left="275" w:right="228" w:hanging="168"/>
              <w:jc w:val="left"/>
              <w:rPr>
                <w:sz w:val="18"/>
              </w:rPr>
            </w:pPr>
            <w:r>
              <w:rPr>
                <w:sz w:val="18"/>
              </w:rPr>
              <w:t>What changes/ initiatives, if any, are occurring/ have occurred </w:t>
            </w:r>
            <w:r>
              <w:rPr>
                <w:sz w:val="18"/>
                <w:u w:val="single"/>
              </w:rPr>
              <w:t>outside of</w:t>
            </w:r>
            <w:r>
              <w:rPr>
                <w:spacing w:val="1"/>
                <w:sz w:val="18"/>
              </w:rPr>
              <w:t> </w:t>
            </w:r>
            <w:r>
              <w:rPr>
                <w:sz w:val="18"/>
                <w:u w:val="single"/>
              </w:rPr>
              <w:t>your</w:t>
            </w:r>
            <w:r>
              <w:rPr>
                <w:spacing w:val="-3"/>
                <w:sz w:val="18"/>
                <w:u w:val="single"/>
              </w:rPr>
              <w:t> </w:t>
            </w:r>
            <w:r>
              <w:rPr>
                <w:sz w:val="18"/>
                <w:u w:val="single"/>
              </w:rPr>
              <w:t>practice</w:t>
            </w:r>
            <w:r>
              <w:rPr>
                <w:spacing w:val="-2"/>
                <w:sz w:val="18"/>
                <w:u w:val="single"/>
              </w:rPr>
              <w:t> </w:t>
            </w:r>
            <w:r>
              <w:rPr>
                <w:sz w:val="18"/>
                <w:u w:val="single"/>
              </w:rPr>
              <w:t>not</w:t>
            </w:r>
            <w:r>
              <w:rPr>
                <w:spacing w:val="-4"/>
                <w:sz w:val="18"/>
                <w:u w:val="single"/>
              </w:rPr>
              <w:t> </w:t>
            </w:r>
            <w:r>
              <w:rPr>
                <w:sz w:val="18"/>
                <w:u w:val="single"/>
              </w:rPr>
              <w:t>related</w:t>
            </w:r>
            <w:r>
              <w:rPr>
                <w:spacing w:val="-3"/>
                <w:sz w:val="18"/>
                <w:u w:val="single"/>
              </w:rPr>
              <w:t> </w:t>
            </w:r>
            <w:r>
              <w:rPr>
                <w:sz w:val="18"/>
                <w:u w:val="single"/>
              </w:rPr>
              <w:t>to</w:t>
            </w:r>
            <w:r>
              <w:rPr>
                <w:spacing w:val="-3"/>
                <w:sz w:val="18"/>
                <w:u w:val="single"/>
              </w:rPr>
              <w:t> </w:t>
            </w:r>
            <w:r>
              <w:rPr>
                <w:sz w:val="18"/>
                <w:u w:val="single"/>
              </w:rPr>
              <w:t>HCH</w:t>
            </w:r>
            <w:r>
              <w:rPr>
                <w:sz w:val="18"/>
              </w:rPr>
              <w:t> that</w:t>
            </w:r>
            <w:r>
              <w:rPr>
                <w:spacing w:val="-4"/>
                <w:sz w:val="18"/>
              </w:rPr>
              <w:t> </w:t>
            </w:r>
            <w:r>
              <w:rPr>
                <w:sz w:val="18"/>
              </w:rPr>
              <w:t>have</w:t>
            </w:r>
            <w:r>
              <w:rPr>
                <w:spacing w:val="-2"/>
                <w:sz w:val="18"/>
              </w:rPr>
              <w:t> </w:t>
            </w:r>
            <w:r>
              <w:rPr>
                <w:sz w:val="18"/>
              </w:rPr>
              <w:t>impacted</w:t>
            </w:r>
            <w:r>
              <w:rPr>
                <w:spacing w:val="-4"/>
                <w:sz w:val="18"/>
              </w:rPr>
              <w:t> </w:t>
            </w:r>
            <w:r>
              <w:rPr>
                <w:sz w:val="18"/>
              </w:rPr>
              <w:t>on</w:t>
            </w:r>
            <w:r>
              <w:rPr>
                <w:spacing w:val="-2"/>
                <w:sz w:val="18"/>
              </w:rPr>
              <w:t> </w:t>
            </w:r>
            <w:r>
              <w:rPr>
                <w:sz w:val="18"/>
              </w:rPr>
              <w:t>the</w:t>
            </w:r>
            <w:r>
              <w:rPr>
                <w:spacing w:val="-2"/>
                <w:sz w:val="18"/>
              </w:rPr>
              <w:t> </w:t>
            </w:r>
            <w:r>
              <w:rPr>
                <w:sz w:val="18"/>
              </w:rPr>
              <w:t>changes</w:t>
            </w:r>
            <w:r>
              <w:rPr>
                <w:spacing w:val="-3"/>
                <w:sz w:val="18"/>
              </w:rPr>
              <w:t> </w:t>
            </w:r>
            <w:r>
              <w:rPr>
                <w:sz w:val="18"/>
              </w:rPr>
              <w:t>that</w:t>
            </w:r>
            <w:r>
              <w:rPr>
                <w:spacing w:val="-47"/>
                <w:sz w:val="18"/>
              </w:rPr>
              <w:t> </w:t>
            </w:r>
            <w:r>
              <w:rPr>
                <w:sz w:val="18"/>
              </w:rPr>
              <w:t>you</w:t>
            </w:r>
            <w:r>
              <w:rPr>
                <w:spacing w:val="-1"/>
                <w:sz w:val="18"/>
              </w:rPr>
              <w:t> </w:t>
            </w:r>
            <w:r>
              <w:rPr>
                <w:sz w:val="18"/>
              </w:rPr>
              <w:t>set</w:t>
            </w:r>
            <w:r>
              <w:rPr>
                <w:spacing w:val="-2"/>
                <w:sz w:val="18"/>
              </w:rPr>
              <w:t> </w:t>
            </w:r>
            <w:r>
              <w:rPr>
                <w:sz w:val="18"/>
              </w:rPr>
              <w:t>out</w:t>
            </w:r>
            <w:r>
              <w:rPr>
                <w:spacing w:val="-2"/>
                <w:sz w:val="18"/>
              </w:rPr>
              <w:t> </w:t>
            </w:r>
            <w:r>
              <w:rPr>
                <w:sz w:val="18"/>
              </w:rPr>
              <w:t>to</w:t>
            </w:r>
            <w:r>
              <w:rPr>
                <w:spacing w:val="-1"/>
                <w:sz w:val="18"/>
              </w:rPr>
              <w:t> </w:t>
            </w:r>
            <w:r>
              <w:rPr>
                <w:sz w:val="18"/>
              </w:rPr>
              <w:t>make in</w:t>
            </w:r>
            <w:r>
              <w:rPr>
                <w:spacing w:val="-3"/>
                <w:sz w:val="18"/>
              </w:rPr>
              <w:t> </w:t>
            </w:r>
            <w:r>
              <w:rPr>
                <w:sz w:val="18"/>
              </w:rPr>
              <w:t>implementing</w:t>
            </w:r>
            <w:r>
              <w:rPr>
                <w:spacing w:val="-2"/>
                <w:sz w:val="18"/>
              </w:rPr>
              <w:t> </w:t>
            </w:r>
            <w:r>
              <w:rPr>
                <w:sz w:val="18"/>
              </w:rPr>
              <w:t>HCH?</w:t>
            </w:r>
          </w:p>
        </w:tc>
      </w:tr>
      <w:tr>
        <w:trPr>
          <w:trHeight w:val="707" w:hRule="atLeast"/>
        </w:trPr>
        <w:tc>
          <w:tcPr>
            <w:tcW w:w="1980" w:type="dxa"/>
          </w:tcPr>
          <w:p>
            <w:pPr>
              <w:pStyle w:val="TableParagraph"/>
              <w:spacing w:line="196" w:lineRule="exact"/>
              <w:ind w:left="107"/>
              <w:rPr>
                <w:sz w:val="16"/>
              </w:rPr>
            </w:pPr>
            <w:r>
              <w:rPr>
                <w:sz w:val="16"/>
              </w:rPr>
              <w:t>HCH</w:t>
            </w:r>
            <w:r>
              <w:rPr>
                <w:spacing w:val="-3"/>
                <w:sz w:val="16"/>
              </w:rPr>
              <w:t> </w:t>
            </w:r>
            <w:r>
              <w:rPr>
                <w:sz w:val="16"/>
              </w:rPr>
              <w:t>enrollees</w:t>
            </w:r>
          </w:p>
        </w:tc>
        <w:tc>
          <w:tcPr>
            <w:tcW w:w="7038" w:type="dxa"/>
          </w:tcPr>
          <w:p>
            <w:pPr>
              <w:pStyle w:val="TableParagraph"/>
              <w:numPr>
                <w:ilvl w:val="0"/>
                <w:numId w:val="232"/>
              </w:numPr>
              <w:tabs>
                <w:tab w:pos="276" w:val="left" w:leader="none"/>
              </w:tabs>
              <w:spacing w:line="276" w:lineRule="auto" w:before="0" w:after="0"/>
              <w:ind w:left="275" w:right="208" w:hanging="168"/>
              <w:jc w:val="left"/>
              <w:rPr>
                <w:sz w:val="18"/>
              </w:rPr>
            </w:pPr>
            <w:r>
              <w:rPr>
                <w:sz w:val="18"/>
              </w:rPr>
              <w:t>Did</w:t>
            </w:r>
            <w:r>
              <w:rPr>
                <w:spacing w:val="-2"/>
                <w:sz w:val="18"/>
              </w:rPr>
              <w:t> </w:t>
            </w:r>
            <w:r>
              <w:rPr>
                <w:sz w:val="18"/>
              </w:rPr>
              <w:t>you</w:t>
            </w:r>
            <w:r>
              <w:rPr>
                <w:spacing w:val="-1"/>
                <w:sz w:val="18"/>
              </w:rPr>
              <w:t> </w:t>
            </w:r>
            <w:r>
              <w:rPr>
                <w:sz w:val="18"/>
              </w:rPr>
              <w:t>select</w:t>
            </w:r>
            <w:r>
              <w:rPr>
                <w:spacing w:val="-3"/>
                <w:sz w:val="18"/>
              </w:rPr>
              <w:t> </w:t>
            </w:r>
            <w:r>
              <w:rPr>
                <w:sz w:val="18"/>
              </w:rPr>
              <w:t>the</w:t>
            </w:r>
            <w:r>
              <w:rPr>
                <w:spacing w:val="-3"/>
                <w:sz w:val="18"/>
              </w:rPr>
              <w:t> </w:t>
            </w:r>
            <w:r>
              <w:rPr>
                <w:sz w:val="18"/>
              </w:rPr>
              <w:t>right</w:t>
            </w:r>
            <w:r>
              <w:rPr>
                <w:spacing w:val="-3"/>
                <w:sz w:val="18"/>
              </w:rPr>
              <w:t> </w:t>
            </w:r>
            <w:r>
              <w:rPr>
                <w:sz w:val="18"/>
              </w:rPr>
              <w:t>patients</w:t>
            </w:r>
            <w:r>
              <w:rPr>
                <w:spacing w:val="-2"/>
                <w:sz w:val="18"/>
              </w:rPr>
              <w:t> </w:t>
            </w:r>
            <w:r>
              <w:rPr>
                <w:sz w:val="18"/>
              </w:rPr>
              <w:t>to</w:t>
            </w:r>
            <w:r>
              <w:rPr>
                <w:spacing w:val="-1"/>
                <w:sz w:val="18"/>
              </w:rPr>
              <w:t> </w:t>
            </w:r>
            <w:r>
              <w:rPr>
                <w:sz w:val="18"/>
              </w:rPr>
              <w:t>enroll</w:t>
            </w:r>
            <w:r>
              <w:rPr>
                <w:spacing w:val="-4"/>
                <w:sz w:val="18"/>
              </w:rPr>
              <w:t> </w:t>
            </w:r>
            <w:r>
              <w:rPr>
                <w:sz w:val="18"/>
              </w:rPr>
              <w:t>in</w:t>
            </w:r>
            <w:r>
              <w:rPr>
                <w:spacing w:val="-1"/>
                <w:sz w:val="18"/>
              </w:rPr>
              <w:t> </w:t>
            </w:r>
            <w:r>
              <w:rPr>
                <w:sz w:val="18"/>
              </w:rPr>
              <w:t>HCH?</w:t>
            </w:r>
            <w:r>
              <w:rPr>
                <w:spacing w:val="-5"/>
                <w:sz w:val="18"/>
              </w:rPr>
              <w:t> </w:t>
            </w:r>
            <w:r>
              <w:rPr>
                <w:sz w:val="18"/>
              </w:rPr>
              <w:t>If</w:t>
            </w:r>
            <w:r>
              <w:rPr>
                <w:spacing w:val="-3"/>
                <w:sz w:val="18"/>
              </w:rPr>
              <w:t> </w:t>
            </w:r>
            <w:r>
              <w:rPr>
                <w:sz w:val="18"/>
              </w:rPr>
              <w:t>so,</w:t>
            </w:r>
            <w:r>
              <w:rPr>
                <w:spacing w:val="-3"/>
                <w:sz w:val="18"/>
              </w:rPr>
              <w:t> </w:t>
            </w:r>
            <w:r>
              <w:rPr>
                <w:sz w:val="18"/>
              </w:rPr>
              <w:t>how</w:t>
            </w:r>
            <w:r>
              <w:rPr>
                <w:spacing w:val="-3"/>
                <w:sz w:val="18"/>
              </w:rPr>
              <w:t> </w:t>
            </w:r>
            <w:r>
              <w:rPr>
                <w:sz w:val="18"/>
              </w:rPr>
              <w:t>do</w:t>
            </w:r>
            <w:r>
              <w:rPr>
                <w:spacing w:val="-2"/>
                <w:sz w:val="18"/>
              </w:rPr>
              <w:t> </w:t>
            </w:r>
            <w:r>
              <w:rPr>
                <w:sz w:val="18"/>
              </w:rPr>
              <w:t>you</w:t>
            </w:r>
            <w:r>
              <w:rPr>
                <w:spacing w:val="-1"/>
                <w:sz w:val="18"/>
              </w:rPr>
              <w:t> </w:t>
            </w:r>
            <w:r>
              <w:rPr>
                <w:sz w:val="18"/>
              </w:rPr>
              <w:t>know?</w:t>
            </w:r>
            <w:r>
              <w:rPr>
                <w:spacing w:val="-4"/>
                <w:sz w:val="18"/>
              </w:rPr>
              <w:t> </w:t>
            </w:r>
            <w:r>
              <w:rPr>
                <w:sz w:val="18"/>
              </w:rPr>
              <w:t>If</w:t>
            </w:r>
            <w:r>
              <w:rPr>
                <w:spacing w:val="-47"/>
                <w:sz w:val="18"/>
              </w:rPr>
              <w:t> </w:t>
            </w:r>
            <w:r>
              <w:rPr>
                <w:sz w:val="18"/>
              </w:rPr>
              <w:t>not,</w:t>
            </w:r>
            <w:r>
              <w:rPr>
                <w:spacing w:val="-3"/>
                <w:sz w:val="18"/>
              </w:rPr>
              <w:t> </w:t>
            </w:r>
            <w:r>
              <w:rPr>
                <w:sz w:val="18"/>
              </w:rPr>
              <w:t>what</w:t>
            </w:r>
            <w:r>
              <w:rPr>
                <w:spacing w:val="-3"/>
                <w:sz w:val="18"/>
              </w:rPr>
              <w:t> </w:t>
            </w:r>
            <w:r>
              <w:rPr>
                <w:sz w:val="18"/>
              </w:rPr>
              <w:t>type of</w:t>
            </w:r>
            <w:r>
              <w:rPr>
                <w:spacing w:val="-1"/>
                <w:sz w:val="18"/>
              </w:rPr>
              <w:t> </w:t>
            </w:r>
            <w:r>
              <w:rPr>
                <w:sz w:val="18"/>
              </w:rPr>
              <w:t>patients</w:t>
            </w:r>
            <w:r>
              <w:rPr>
                <w:spacing w:val="-1"/>
                <w:sz w:val="18"/>
              </w:rPr>
              <w:t> </w:t>
            </w:r>
            <w:r>
              <w:rPr>
                <w:sz w:val="18"/>
              </w:rPr>
              <w:t>are</w:t>
            </w:r>
            <w:r>
              <w:rPr>
                <w:spacing w:val="-1"/>
                <w:sz w:val="18"/>
              </w:rPr>
              <w:t> </w:t>
            </w:r>
            <w:r>
              <w:rPr>
                <w:sz w:val="18"/>
              </w:rPr>
              <w:t>better suited</w:t>
            </w:r>
            <w:r>
              <w:rPr>
                <w:spacing w:val="-2"/>
                <w:sz w:val="18"/>
              </w:rPr>
              <w:t> </w:t>
            </w:r>
            <w:r>
              <w:rPr>
                <w:sz w:val="18"/>
              </w:rPr>
              <w:t>to</w:t>
            </w:r>
            <w:r>
              <w:rPr>
                <w:spacing w:val="-1"/>
                <w:sz w:val="18"/>
              </w:rPr>
              <w:t> </w:t>
            </w:r>
            <w:r>
              <w:rPr>
                <w:sz w:val="18"/>
              </w:rPr>
              <w:t>HCH</w:t>
            </w:r>
            <w:r>
              <w:rPr>
                <w:spacing w:val="3"/>
                <w:sz w:val="18"/>
              </w:rPr>
              <w:t> </w:t>
            </w:r>
            <w:r>
              <w:rPr>
                <w:sz w:val="18"/>
              </w:rPr>
              <w:t>and</w:t>
            </w:r>
            <w:r>
              <w:rPr>
                <w:spacing w:val="-1"/>
                <w:sz w:val="18"/>
              </w:rPr>
              <w:t> </w:t>
            </w:r>
            <w:r>
              <w:rPr>
                <w:sz w:val="18"/>
              </w:rPr>
              <w:t>why?</w:t>
            </w:r>
          </w:p>
        </w:tc>
      </w:tr>
      <w:tr>
        <w:trPr>
          <w:trHeight w:val="650" w:hRule="atLeast"/>
        </w:trPr>
        <w:tc>
          <w:tcPr>
            <w:tcW w:w="1980" w:type="dxa"/>
          </w:tcPr>
          <w:p>
            <w:pPr>
              <w:pStyle w:val="TableParagraph"/>
              <w:spacing w:line="276" w:lineRule="auto"/>
              <w:ind w:left="107" w:right="320"/>
              <w:rPr>
                <w:sz w:val="16"/>
              </w:rPr>
            </w:pPr>
            <w:r>
              <w:rPr>
                <w:sz w:val="16"/>
              </w:rPr>
              <w:t>Movement towards</w:t>
            </w:r>
            <w:r>
              <w:rPr>
                <w:spacing w:val="-42"/>
                <w:sz w:val="16"/>
              </w:rPr>
              <w:t> </w:t>
            </w:r>
            <w:r>
              <w:rPr>
                <w:sz w:val="16"/>
              </w:rPr>
              <w:t>intended</w:t>
            </w:r>
            <w:r>
              <w:rPr>
                <w:spacing w:val="-11"/>
                <w:sz w:val="16"/>
              </w:rPr>
              <w:t> </w:t>
            </w:r>
            <w:r>
              <w:rPr>
                <w:sz w:val="16"/>
              </w:rPr>
              <w:t>outcomes</w:t>
            </w:r>
          </w:p>
        </w:tc>
        <w:tc>
          <w:tcPr>
            <w:tcW w:w="7038" w:type="dxa"/>
          </w:tcPr>
          <w:p>
            <w:pPr>
              <w:pStyle w:val="TableParagraph"/>
              <w:numPr>
                <w:ilvl w:val="0"/>
                <w:numId w:val="233"/>
              </w:numPr>
              <w:tabs>
                <w:tab w:pos="276" w:val="left" w:leader="none"/>
              </w:tabs>
              <w:spacing w:line="219" w:lineRule="exact" w:before="0" w:after="0"/>
              <w:ind w:left="275" w:right="0" w:hanging="169"/>
              <w:jc w:val="left"/>
              <w:rPr>
                <w:sz w:val="18"/>
              </w:rPr>
            </w:pPr>
            <w:r>
              <w:rPr>
                <w:sz w:val="18"/>
              </w:rPr>
              <w:t>Is</w:t>
            </w:r>
            <w:r>
              <w:rPr>
                <w:spacing w:val="-3"/>
                <w:sz w:val="18"/>
              </w:rPr>
              <w:t> </w:t>
            </w:r>
            <w:r>
              <w:rPr>
                <w:sz w:val="18"/>
              </w:rPr>
              <w:t>what</w:t>
            </w:r>
            <w:r>
              <w:rPr>
                <w:spacing w:val="-4"/>
                <w:sz w:val="18"/>
              </w:rPr>
              <w:t> </w:t>
            </w:r>
            <w:r>
              <w:rPr>
                <w:sz w:val="18"/>
              </w:rPr>
              <w:t>you</w:t>
            </w:r>
            <w:r>
              <w:rPr>
                <w:spacing w:val="-1"/>
                <w:sz w:val="18"/>
              </w:rPr>
              <w:t> </w:t>
            </w:r>
            <w:r>
              <w:rPr>
                <w:sz w:val="18"/>
              </w:rPr>
              <w:t>have</w:t>
            </w:r>
            <w:r>
              <w:rPr>
                <w:spacing w:val="-2"/>
                <w:sz w:val="18"/>
              </w:rPr>
              <w:t> </w:t>
            </w:r>
            <w:r>
              <w:rPr>
                <w:sz w:val="18"/>
              </w:rPr>
              <w:t>done</w:t>
            </w:r>
            <w:r>
              <w:rPr>
                <w:spacing w:val="-2"/>
                <w:sz w:val="18"/>
              </w:rPr>
              <w:t> </w:t>
            </w:r>
            <w:r>
              <w:rPr>
                <w:sz w:val="18"/>
              </w:rPr>
              <w:t>so</w:t>
            </w:r>
            <w:r>
              <w:rPr>
                <w:spacing w:val="-3"/>
                <w:sz w:val="18"/>
              </w:rPr>
              <w:t> </w:t>
            </w:r>
            <w:r>
              <w:rPr>
                <w:sz w:val="18"/>
              </w:rPr>
              <w:t>far</w:t>
            </w:r>
            <w:r>
              <w:rPr>
                <w:spacing w:val="-2"/>
                <w:sz w:val="18"/>
              </w:rPr>
              <w:t> </w:t>
            </w:r>
            <w:r>
              <w:rPr>
                <w:sz w:val="18"/>
              </w:rPr>
              <w:t>working?</w:t>
            </w:r>
            <w:r>
              <w:rPr>
                <w:spacing w:val="-3"/>
                <w:sz w:val="18"/>
              </w:rPr>
              <w:t> </w:t>
            </w:r>
            <w:r>
              <w:rPr>
                <w:sz w:val="18"/>
              </w:rPr>
              <w:t>How</w:t>
            </w:r>
            <w:r>
              <w:rPr>
                <w:spacing w:val="-3"/>
                <w:sz w:val="18"/>
              </w:rPr>
              <w:t> </w:t>
            </w:r>
            <w:r>
              <w:rPr>
                <w:sz w:val="18"/>
              </w:rPr>
              <w:t>do</w:t>
            </w:r>
            <w:r>
              <w:rPr>
                <w:spacing w:val="-3"/>
                <w:sz w:val="18"/>
              </w:rPr>
              <w:t> </w:t>
            </w:r>
            <w:r>
              <w:rPr>
                <w:sz w:val="18"/>
              </w:rPr>
              <w:t>you</w:t>
            </w:r>
            <w:r>
              <w:rPr>
                <w:spacing w:val="-1"/>
                <w:sz w:val="18"/>
              </w:rPr>
              <w:t> </w:t>
            </w:r>
            <w:r>
              <w:rPr>
                <w:sz w:val="18"/>
              </w:rPr>
              <w:t>know?</w:t>
            </w:r>
          </w:p>
        </w:tc>
      </w:tr>
      <w:tr>
        <w:trPr>
          <w:trHeight w:val="2349" w:hRule="atLeast"/>
        </w:trPr>
        <w:tc>
          <w:tcPr>
            <w:tcW w:w="1980" w:type="dxa"/>
          </w:tcPr>
          <w:p>
            <w:pPr>
              <w:pStyle w:val="TableParagraph"/>
              <w:spacing w:line="276" w:lineRule="auto" w:before="2"/>
              <w:ind w:left="107" w:right="325"/>
              <w:rPr>
                <w:sz w:val="16"/>
              </w:rPr>
            </w:pPr>
            <w:r>
              <w:rPr>
                <w:sz w:val="16"/>
              </w:rPr>
              <w:t>Impact on practice</w:t>
            </w:r>
            <w:r>
              <w:rPr>
                <w:spacing w:val="-42"/>
                <w:sz w:val="16"/>
              </w:rPr>
              <w:t> </w:t>
            </w:r>
            <w:r>
              <w:rPr>
                <w:sz w:val="16"/>
              </w:rPr>
              <w:t>staff</w:t>
            </w:r>
          </w:p>
        </w:tc>
        <w:tc>
          <w:tcPr>
            <w:tcW w:w="7038" w:type="dxa"/>
          </w:tcPr>
          <w:p>
            <w:pPr>
              <w:pStyle w:val="TableParagraph"/>
              <w:numPr>
                <w:ilvl w:val="0"/>
                <w:numId w:val="234"/>
              </w:numPr>
              <w:tabs>
                <w:tab w:pos="276" w:val="left" w:leader="none"/>
              </w:tabs>
              <w:spacing w:line="240" w:lineRule="auto" w:before="1" w:after="0"/>
              <w:ind w:left="275" w:right="0" w:hanging="169"/>
              <w:jc w:val="left"/>
              <w:rPr>
                <w:sz w:val="18"/>
              </w:rPr>
            </w:pPr>
            <w:r>
              <w:rPr>
                <w:sz w:val="18"/>
              </w:rPr>
              <w:t>What</w:t>
            </w:r>
            <w:r>
              <w:rPr>
                <w:spacing w:val="-5"/>
                <w:sz w:val="18"/>
              </w:rPr>
              <w:t> </w:t>
            </w:r>
            <w:r>
              <w:rPr>
                <w:sz w:val="18"/>
              </w:rPr>
              <w:t>have</w:t>
            </w:r>
            <w:r>
              <w:rPr>
                <w:spacing w:val="-2"/>
                <w:sz w:val="18"/>
              </w:rPr>
              <w:t> </w:t>
            </w:r>
            <w:r>
              <w:rPr>
                <w:sz w:val="18"/>
              </w:rPr>
              <w:t>been</w:t>
            </w:r>
            <w:r>
              <w:rPr>
                <w:spacing w:val="-2"/>
                <w:sz w:val="18"/>
              </w:rPr>
              <w:t> </w:t>
            </w:r>
            <w:r>
              <w:rPr>
                <w:sz w:val="18"/>
              </w:rPr>
              <w:t>the</w:t>
            </w:r>
            <w:r>
              <w:rPr>
                <w:spacing w:val="-4"/>
                <w:sz w:val="18"/>
              </w:rPr>
              <w:t> </w:t>
            </w:r>
            <w:r>
              <w:rPr>
                <w:sz w:val="18"/>
              </w:rPr>
              <w:t>impacts</w:t>
            </w:r>
            <w:r>
              <w:rPr>
                <w:spacing w:val="-3"/>
                <w:sz w:val="18"/>
              </w:rPr>
              <w:t> </w:t>
            </w:r>
            <w:r>
              <w:rPr>
                <w:sz w:val="18"/>
              </w:rPr>
              <w:t>of</w:t>
            </w:r>
            <w:r>
              <w:rPr>
                <w:spacing w:val="-2"/>
                <w:sz w:val="18"/>
              </w:rPr>
              <w:t> </w:t>
            </w:r>
            <w:r>
              <w:rPr>
                <w:sz w:val="18"/>
              </w:rPr>
              <w:t>the</w:t>
            </w:r>
            <w:r>
              <w:rPr>
                <w:spacing w:val="-2"/>
                <w:sz w:val="18"/>
              </w:rPr>
              <w:t> </w:t>
            </w:r>
            <w:r>
              <w:rPr>
                <w:sz w:val="18"/>
              </w:rPr>
              <w:t>changes</w:t>
            </w:r>
            <w:r>
              <w:rPr>
                <w:spacing w:val="-4"/>
                <w:sz w:val="18"/>
              </w:rPr>
              <w:t> </w:t>
            </w:r>
            <w:r>
              <w:rPr>
                <w:sz w:val="18"/>
              </w:rPr>
              <w:t>that</w:t>
            </w:r>
            <w:r>
              <w:rPr>
                <w:spacing w:val="-4"/>
                <w:sz w:val="18"/>
              </w:rPr>
              <w:t> </w:t>
            </w:r>
            <w:r>
              <w:rPr>
                <w:sz w:val="18"/>
              </w:rPr>
              <w:t>you’ve</w:t>
            </w:r>
            <w:r>
              <w:rPr>
                <w:spacing w:val="-2"/>
                <w:sz w:val="18"/>
              </w:rPr>
              <w:t> </w:t>
            </w:r>
            <w:r>
              <w:rPr>
                <w:sz w:val="18"/>
              </w:rPr>
              <w:t>made</w:t>
            </w:r>
            <w:r>
              <w:rPr>
                <w:spacing w:val="-2"/>
                <w:sz w:val="18"/>
              </w:rPr>
              <w:t> </w:t>
            </w:r>
            <w:r>
              <w:rPr>
                <w:sz w:val="18"/>
              </w:rPr>
              <w:t>on</w:t>
            </w:r>
          </w:p>
          <w:p>
            <w:pPr>
              <w:pStyle w:val="TableParagraph"/>
              <w:spacing w:before="31"/>
              <w:ind w:left="275"/>
              <w:rPr>
                <w:sz w:val="18"/>
              </w:rPr>
            </w:pPr>
            <w:r>
              <w:rPr>
                <w:sz w:val="18"/>
              </w:rPr>
              <w:t>practice</w:t>
            </w:r>
            <w:r>
              <w:rPr>
                <w:spacing w:val="-4"/>
                <w:sz w:val="18"/>
              </w:rPr>
              <w:t> </w:t>
            </w:r>
            <w:r>
              <w:rPr>
                <w:sz w:val="18"/>
              </w:rPr>
              <w:t>staff?</w:t>
            </w:r>
          </w:p>
          <w:p>
            <w:pPr>
              <w:pStyle w:val="TableParagraph"/>
              <w:spacing w:before="1"/>
              <w:rPr>
                <w:sz w:val="19"/>
              </w:rPr>
            </w:pPr>
          </w:p>
          <w:p>
            <w:pPr>
              <w:pStyle w:val="TableParagraph"/>
              <w:spacing w:before="1"/>
              <w:ind w:left="107"/>
              <w:rPr>
                <w:sz w:val="16"/>
              </w:rPr>
            </w:pPr>
            <w:r>
              <w:rPr>
                <w:sz w:val="16"/>
              </w:rPr>
              <w:t>Prompts:</w:t>
            </w:r>
          </w:p>
          <w:p>
            <w:pPr>
              <w:pStyle w:val="TableParagraph"/>
              <w:spacing w:before="9"/>
              <w:rPr>
                <w:sz w:val="18"/>
              </w:rPr>
            </w:pPr>
          </w:p>
          <w:p>
            <w:pPr>
              <w:pStyle w:val="TableParagraph"/>
              <w:numPr>
                <w:ilvl w:val="1"/>
                <w:numId w:val="234"/>
              </w:numPr>
              <w:tabs>
                <w:tab w:pos="828" w:val="left" w:leader="none"/>
                <w:tab w:pos="829" w:val="left" w:leader="none"/>
              </w:tabs>
              <w:spacing w:line="240" w:lineRule="auto" w:before="0" w:after="0"/>
              <w:ind w:left="828" w:right="0" w:hanging="361"/>
              <w:jc w:val="left"/>
              <w:rPr>
                <w:sz w:val="18"/>
              </w:rPr>
            </w:pPr>
            <w:r>
              <w:rPr>
                <w:sz w:val="18"/>
              </w:rPr>
              <w:t>Employed</w:t>
            </w:r>
            <w:r>
              <w:rPr>
                <w:spacing w:val="-4"/>
                <w:sz w:val="18"/>
              </w:rPr>
              <w:t> </w:t>
            </w:r>
            <w:r>
              <w:rPr>
                <w:sz w:val="18"/>
              </w:rPr>
              <w:t>new</w:t>
            </w:r>
            <w:r>
              <w:rPr>
                <w:spacing w:val="-3"/>
                <w:sz w:val="18"/>
              </w:rPr>
              <w:t> </w:t>
            </w:r>
            <w:r>
              <w:rPr>
                <w:sz w:val="18"/>
              </w:rPr>
              <w:t>staff</w:t>
            </w:r>
            <w:r>
              <w:rPr>
                <w:spacing w:val="1"/>
                <w:sz w:val="18"/>
              </w:rPr>
              <w:t> </w:t>
            </w:r>
            <w:r>
              <w:rPr>
                <w:sz w:val="18"/>
              </w:rPr>
              <w:t>(if</w:t>
            </w:r>
            <w:r>
              <w:rPr>
                <w:spacing w:val="-2"/>
                <w:sz w:val="18"/>
              </w:rPr>
              <w:t> </w:t>
            </w:r>
            <w:r>
              <w:rPr>
                <w:sz w:val="18"/>
              </w:rPr>
              <w:t>so,</w:t>
            </w:r>
            <w:r>
              <w:rPr>
                <w:spacing w:val="-4"/>
                <w:sz w:val="18"/>
              </w:rPr>
              <w:t> </w:t>
            </w:r>
            <w:r>
              <w:rPr>
                <w:sz w:val="18"/>
              </w:rPr>
              <w:t>in</w:t>
            </w:r>
            <w:r>
              <w:rPr>
                <w:spacing w:val="-2"/>
                <w:sz w:val="18"/>
              </w:rPr>
              <w:t> </w:t>
            </w:r>
            <w:r>
              <w:rPr>
                <w:sz w:val="18"/>
              </w:rPr>
              <w:t>what</w:t>
            </w:r>
            <w:r>
              <w:rPr>
                <w:spacing w:val="-4"/>
                <w:sz w:val="18"/>
              </w:rPr>
              <w:t> </w:t>
            </w:r>
            <w:r>
              <w:rPr>
                <w:sz w:val="18"/>
              </w:rPr>
              <w:t>roles)?</w:t>
            </w:r>
          </w:p>
          <w:p>
            <w:pPr>
              <w:pStyle w:val="TableParagraph"/>
              <w:numPr>
                <w:ilvl w:val="1"/>
                <w:numId w:val="234"/>
              </w:numPr>
              <w:tabs>
                <w:tab w:pos="828" w:val="left" w:leader="none"/>
                <w:tab w:pos="829" w:val="left" w:leader="none"/>
              </w:tabs>
              <w:spacing w:line="276" w:lineRule="auto" w:before="31" w:after="0"/>
              <w:ind w:left="828" w:right="306" w:hanging="360"/>
              <w:jc w:val="left"/>
              <w:rPr>
                <w:sz w:val="18"/>
              </w:rPr>
            </w:pPr>
            <w:r>
              <w:rPr>
                <w:sz w:val="18"/>
              </w:rPr>
              <w:t>Staff</w:t>
            </w:r>
            <w:r>
              <w:rPr>
                <w:spacing w:val="-3"/>
                <w:sz w:val="18"/>
              </w:rPr>
              <w:t> </w:t>
            </w:r>
            <w:r>
              <w:rPr>
                <w:sz w:val="18"/>
              </w:rPr>
              <w:t>changed</w:t>
            </w:r>
            <w:r>
              <w:rPr>
                <w:spacing w:val="-4"/>
                <w:sz w:val="18"/>
              </w:rPr>
              <w:t> </w:t>
            </w:r>
            <w:r>
              <w:rPr>
                <w:sz w:val="18"/>
              </w:rPr>
              <w:t>the</w:t>
            </w:r>
            <w:r>
              <w:rPr>
                <w:spacing w:val="-3"/>
                <w:sz w:val="18"/>
              </w:rPr>
              <w:t> </w:t>
            </w:r>
            <w:r>
              <w:rPr>
                <w:sz w:val="18"/>
              </w:rPr>
              <w:t>scope/</w:t>
            </w:r>
            <w:r>
              <w:rPr>
                <w:spacing w:val="-4"/>
                <w:sz w:val="18"/>
              </w:rPr>
              <w:t> </w:t>
            </w:r>
            <w:r>
              <w:rPr>
                <w:sz w:val="18"/>
              </w:rPr>
              <w:t>breadth/</w:t>
            </w:r>
            <w:r>
              <w:rPr>
                <w:spacing w:val="-3"/>
                <w:sz w:val="18"/>
              </w:rPr>
              <w:t> </w:t>
            </w:r>
            <w:r>
              <w:rPr>
                <w:sz w:val="18"/>
              </w:rPr>
              <w:t>ability</w:t>
            </w:r>
            <w:r>
              <w:rPr>
                <w:spacing w:val="-4"/>
                <w:sz w:val="18"/>
              </w:rPr>
              <w:t> </w:t>
            </w:r>
            <w:r>
              <w:rPr>
                <w:sz w:val="18"/>
              </w:rPr>
              <w:t>to</w:t>
            </w:r>
            <w:r>
              <w:rPr>
                <w:spacing w:val="-2"/>
                <w:sz w:val="18"/>
              </w:rPr>
              <w:t> </w:t>
            </w:r>
            <w:r>
              <w:rPr>
                <w:sz w:val="18"/>
              </w:rPr>
              <w:t>delegate</w:t>
            </w:r>
            <w:r>
              <w:rPr>
                <w:spacing w:val="-3"/>
                <w:sz w:val="18"/>
              </w:rPr>
              <w:t> </w:t>
            </w:r>
            <w:r>
              <w:rPr>
                <w:sz w:val="18"/>
              </w:rPr>
              <w:t>parts</w:t>
            </w:r>
            <w:r>
              <w:rPr>
                <w:spacing w:val="-4"/>
                <w:sz w:val="18"/>
              </w:rPr>
              <w:t> </w:t>
            </w:r>
            <w:r>
              <w:rPr>
                <w:sz w:val="18"/>
              </w:rPr>
              <w:t>of</w:t>
            </w:r>
            <w:r>
              <w:rPr>
                <w:spacing w:val="-3"/>
                <w:sz w:val="18"/>
              </w:rPr>
              <w:t> </w:t>
            </w:r>
            <w:r>
              <w:rPr>
                <w:sz w:val="18"/>
              </w:rPr>
              <w:t>their</w:t>
            </w:r>
            <w:r>
              <w:rPr>
                <w:spacing w:val="-46"/>
                <w:sz w:val="18"/>
              </w:rPr>
              <w:t> </w:t>
            </w:r>
            <w:r>
              <w:rPr>
                <w:sz w:val="18"/>
              </w:rPr>
              <w:t>job?</w:t>
            </w:r>
          </w:p>
          <w:p>
            <w:pPr>
              <w:pStyle w:val="TableParagraph"/>
              <w:numPr>
                <w:ilvl w:val="1"/>
                <w:numId w:val="234"/>
              </w:numPr>
              <w:tabs>
                <w:tab w:pos="828" w:val="left" w:leader="none"/>
                <w:tab w:pos="829" w:val="left" w:leader="none"/>
              </w:tabs>
              <w:spacing w:line="240" w:lineRule="auto" w:before="2" w:after="0"/>
              <w:ind w:left="828" w:right="0" w:hanging="361"/>
              <w:jc w:val="left"/>
              <w:rPr>
                <w:sz w:val="18"/>
              </w:rPr>
            </w:pPr>
            <w:r>
              <w:rPr>
                <w:sz w:val="18"/>
              </w:rPr>
              <w:t>Changes</w:t>
            </w:r>
            <w:r>
              <w:rPr>
                <w:spacing w:val="-5"/>
                <w:sz w:val="18"/>
              </w:rPr>
              <w:t> </w:t>
            </w:r>
            <w:r>
              <w:rPr>
                <w:sz w:val="18"/>
              </w:rPr>
              <w:t>to</w:t>
            </w:r>
            <w:r>
              <w:rPr>
                <w:spacing w:val="-3"/>
                <w:sz w:val="18"/>
              </w:rPr>
              <w:t> </w:t>
            </w:r>
            <w:r>
              <w:rPr>
                <w:sz w:val="18"/>
              </w:rPr>
              <w:t>staff</w:t>
            </w:r>
            <w:r>
              <w:rPr>
                <w:spacing w:val="-4"/>
                <w:sz w:val="18"/>
              </w:rPr>
              <w:t> </w:t>
            </w:r>
            <w:r>
              <w:rPr>
                <w:sz w:val="18"/>
              </w:rPr>
              <w:t>experience/</w:t>
            </w:r>
            <w:r>
              <w:rPr>
                <w:spacing w:val="-3"/>
                <w:sz w:val="18"/>
              </w:rPr>
              <w:t> </w:t>
            </w:r>
            <w:r>
              <w:rPr>
                <w:sz w:val="18"/>
              </w:rPr>
              <w:t>satisfaction.</w:t>
            </w:r>
          </w:p>
        </w:tc>
      </w:tr>
      <w:tr>
        <w:trPr>
          <w:trHeight w:val="961" w:hRule="atLeast"/>
        </w:trPr>
        <w:tc>
          <w:tcPr>
            <w:tcW w:w="1980" w:type="dxa"/>
          </w:tcPr>
          <w:p>
            <w:pPr>
              <w:pStyle w:val="TableParagraph"/>
              <w:spacing w:line="276" w:lineRule="auto"/>
              <w:ind w:left="107" w:right="197"/>
              <w:rPr>
                <w:sz w:val="16"/>
              </w:rPr>
            </w:pPr>
            <w:r>
              <w:rPr>
                <w:sz w:val="16"/>
              </w:rPr>
              <w:t>Unintended impacts/</w:t>
            </w:r>
            <w:r>
              <w:rPr>
                <w:spacing w:val="-42"/>
                <w:sz w:val="16"/>
              </w:rPr>
              <w:t> </w:t>
            </w:r>
            <w:r>
              <w:rPr>
                <w:sz w:val="16"/>
              </w:rPr>
              <w:t>outcomes</w:t>
            </w:r>
          </w:p>
        </w:tc>
        <w:tc>
          <w:tcPr>
            <w:tcW w:w="7038" w:type="dxa"/>
          </w:tcPr>
          <w:p>
            <w:pPr>
              <w:pStyle w:val="TableParagraph"/>
              <w:numPr>
                <w:ilvl w:val="0"/>
                <w:numId w:val="235"/>
              </w:numPr>
              <w:tabs>
                <w:tab w:pos="276" w:val="left" w:leader="none"/>
              </w:tabs>
              <w:spacing w:line="276" w:lineRule="auto" w:before="0" w:after="0"/>
              <w:ind w:left="275" w:right="275" w:hanging="168"/>
              <w:jc w:val="left"/>
              <w:rPr>
                <w:sz w:val="18"/>
              </w:rPr>
            </w:pPr>
            <w:r>
              <w:rPr>
                <w:sz w:val="18"/>
              </w:rPr>
              <w:t>What</w:t>
            </w:r>
            <w:r>
              <w:rPr>
                <w:spacing w:val="-5"/>
                <w:sz w:val="18"/>
              </w:rPr>
              <w:t> </w:t>
            </w:r>
            <w:r>
              <w:rPr>
                <w:sz w:val="18"/>
              </w:rPr>
              <w:t>have</w:t>
            </w:r>
            <w:r>
              <w:rPr>
                <w:spacing w:val="-3"/>
                <w:sz w:val="18"/>
              </w:rPr>
              <w:t> </w:t>
            </w:r>
            <w:r>
              <w:rPr>
                <w:sz w:val="18"/>
              </w:rPr>
              <w:t>been</w:t>
            </w:r>
            <w:r>
              <w:rPr>
                <w:spacing w:val="-3"/>
                <w:sz w:val="18"/>
              </w:rPr>
              <w:t> </w:t>
            </w:r>
            <w:r>
              <w:rPr>
                <w:sz w:val="18"/>
              </w:rPr>
              <w:t>unintended</w:t>
            </w:r>
            <w:r>
              <w:rPr>
                <w:spacing w:val="-4"/>
                <w:sz w:val="18"/>
              </w:rPr>
              <w:t> </w:t>
            </w:r>
            <w:r>
              <w:rPr>
                <w:sz w:val="18"/>
              </w:rPr>
              <w:t>impacts/</w:t>
            </w:r>
            <w:r>
              <w:rPr>
                <w:spacing w:val="-2"/>
                <w:sz w:val="18"/>
              </w:rPr>
              <w:t> </w:t>
            </w:r>
            <w:r>
              <w:rPr>
                <w:sz w:val="18"/>
              </w:rPr>
              <w:t>outcomes</w:t>
            </w:r>
            <w:r>
              <w:rPr>
                <w:spacing w:val="-4"/>
                <w:sz w:val="18"/>
              </w:rPr>
              <w:t> </w:t>
            </w:r>
            <w:r>
              <w:rPr>
                <w:sz w:val="18"/>
              </w:rPr>
              <w:t>of</w:t>
            </w:r>
            <w:r>
              <w:rPr>
                <w:spacing w:val="-3"/>
                <w:sz w:val="18"/>
              </w:rPr>
              <w:t> </w:t>
            </w:r>
            <w:r>
              <w:rPr>
                <w:sz w:val="18"/>
              </w:rPr>
              <w:t>the</w:t>
            </w:r>
            <w:r>
              <w:rPr>
                <w:spacing w:val="-3"/>
                <w:sz w:val="18"/>
              </w:rPr>
              <w:t> </w:t>
            </w:r>
            <w:r>
              <w:rPr>
                <w:sz w:val="18"/>
              </w:rPr>
              <w:t>initiatives</w:t>
            </w:r>
            <w:r>
              <w:rPr>
                <w:spacing w:val="-4"/>
                <w:sz w:val="18"/>
              </w:rPr>
              <w:t> </w:t>
            </w:r>
            <w:r>
              <w:rPr>
                <w:sz w:val="18"/>
              </w:rPr>
              <w:t>that</w:t>
            </w:r>
            <w:r>
              <w:rPr>
                <w:spacing w:val="-4"/>
                <w:sz w:val="18"/>
              </w:rPr>
              <w:t> </w:t>
            </w:r>
            <w:r>
              <w:rPr>
                <w:sz w:val="18"/>
              </w:rPr>
              <w:t>you</w:t>
            </w:r>
            <w:r>
              <w:rPr>
                <w:spacing w:val="-47"/>
                <w:sz w:val="18"/>
              </w:rPr>
              <w:t> </w:t>
            </w:r>
            <w:r>
              <w:rPr>
                <w:sz w:val="18"/>
              </w:rPr>
              <w:t>implemented, if any (on enrolled patients, other patients of the practice</w:t>
            </w:r>
            <w:r>
              <w:rPr>
                <w:spacing w:val="1"/>
                <w:sz w:val="18"/>
              </w:rPr>
              <w:t> </w:t>
            </w:r>
            <w:r>
              <w:rPr>
                <w:sz w:val="18"/>
              </w:rPr>
              <w:t>and/</w:t>
            </w:r>
            <w:r>
              <w:rPr>
                <w:spacing w:val="-1"/>
                <w:sz w:val="18"/>
              </w:rPr>
              <w:t> </w:t>
            </w:r>
            <w:r>
              <w:rPr>
                <w:sz w:val="18"/>
              </w:rPr>
              <w:t>or staff)?</w:t>
            </w:r>
          </w:p>
        </w:tc>
      </w:tr>
      <w:tr>
        <w:trPr>
          <w:trHeight w:val="3110" w:hRule="atLeast"/>
        </w:trPr>
        <w:tc>
          <w:tcPr>
            <w:tcW w:w="1980" w:type="dxa"/>
          </w:tcPr>
          <w:p>
            <w:pPr>
              <w:pStyle w:val="TableParagraph"/>
              <w:spacing w:line="196" w:lineRule="exact"/>
              <w:ind w:left="107"/>
              <w:rPr>
                <w:sz w:val="16"/>
              </w:rPr>
            </w:pPr>
            <w:r>
              <w:rPr>
                <w:sz w:val="16"/>
              </w:rPr>
              <w:t>Enablers</w:t>
            </w:r>
            <w:r>
              <w:rPr>
                <w:spacing w:val="-3"/>
                <w:sz w:val="16"/>
              </w:rPr>
              <w:t> </w:t>
            </w:r>
            <w:r>
              <w:rPr>
                <w:sz w:val="16"/>
              </w:rPr>
              <w:t>and</w:t>
            </w:r>
            <w:r>
              <w:rPr>
                <w:spacing w:val="-2"/>
                <w:sz w:val="16"/>
              </w:rPr>
              <w:t> </w:t>
            </w:r>
            <w:r>
              <w:rPr>
                <w:sz w:val="16"/>
              </w:rPr>
              <w:t>barriers</w:t>
            </w:r>
          </w:p>
        </w:tc>
        <w:tc>
          <w:tcPr>
            <w:tcW w:w="7038" w:type="dxa"/>
          </w:tcPr>
          <w:p>
            <w:pPr>
              <w:pStyle w:val="TableParagraph"/>
              <w:numPr>
                <w:ilvl w:val="0"/>
                <w:numId w:val="236"/>
              </w:numPr>
              <w:tabs>
                <w:tab w:pos="276" w:val="left" w:leader="none"/>
              </w:tabs>
              <w:spacing w:line="276" w:lineRule="auto" w:before="0" w:after="0"/>
              <w:ind w:left="275" w:right="141" w:hanging="168"/>
              <w:jc w:val="left"/>
              <w:rPr>
                <w:sz w:val="18"/>
              </w:rPr>
            </w:pPr>
            <w:r>
              <w:rPr>
                <w:sz w:val="18"/>
              </w:rPr>
              <w:t>What</w:t>
            </w:r>
            <w:r>
              <w:rPr>
                <w:spacing w:val="-4"/>
                <w:sz w:val="18"/>
              </w:rPr>
              <w:t> </w:t>
            </w:r>
            <w:r>
              <w:rPr>
                <w:sz w:val="18"/>
              </w:rPr>
              <w:t>factors</w:t>
            </w:r>
            <w:r>
              <w:rPr>
                <w:spacing w:val="-4"/>
                <w:sz w:val="18"/>
              </w:rPr>
              <w:t> </w:t>
            </w:r>
            <w:r>
              <w:rPr>
                <w:sz w:val="18"/>
              </w:rPr>
              <w:t>contributed</w:t>
            </w:r>
            <w:r>
              <w:rPr>
                <w:spacing w:val="-3"/>
                <w:sz w:val="18"/>
              </w:rPr>
              <w:t> </w:t>
            </w:r>
            <w:r>
              <w:rPr>
                <w:sz w:val="18"/>
              </w:rPr>
              <w:t>to</w:t>
            </w:r>
            <w:r>
              <w:rPr>
                <w:spacing w:val="-5"/>
                <w:sz w:val="18"/>
              </w:rPr>
              <w:t> </w:t>
            </w:r>
            <w:r>
              <w:rPr>
                <w:sz w:val="18"/>
              </w:rPr>
              <w:t>being</w:t>
            </w:r>
            <w:r>
              <w:rPr>
                <w:spacing w:val="-4"/>
                <w:sz w:val="18"/>
              </w:rPr>
              <w:t> </w:t>
            </w:r>
            <w:r>
              <w:rPr>
                <w:sz w:val="18"/>
              </w:rPr>
              <w:t>able</w:t>
            </w:r>
            <w:r>
              <w:rPr>
                <w:spacing w:val="-3"/>
                <w:sz w:val="18"/>
              </w:rPr>
              <w:t> </w:t>
            </w:r>
            <w:r>
              <w:rPr>
                <w:sz w:val="18"/>
              </w:rPr>
              <w:t>to</w:t>
            </w:r>
            <w:r>
              <w:rPr>
                <w:spacing w:val="-2"/>
                <w:sz w:val="18"/>
              </w:rPr>
              <w:t> </w:t>
            </w:r>
            <w:r>
              <w:rPr>
                <w:sz w:val="18"/>
              </w:rPr>
              <w:t>make</w:t>
            </w:r>
            <w:r>
              <w:rPr>
                <w:spacing w:val="-2"/>
                <w:sz w:val="18"/>
              </w:rPr>
              <w:t> </w:t>
            </w:r>
            <w:r>
              <w:rPr>
                <w:sz w:val="18"/>
              </w:rPr>
              <w:t>the</w:t>
            </w:r>
            <w:r>
              <w:rPr>
                <w:spacing w:val="-2"/>
                <w:sz w:val="18"/>
              </w:rPr>
              <w:t> </w:t>
            </w:r>
            <w:r>
              <w:rPr>
                <w:sz w:val="18"/>
              </w:rPr>
              <w:t>changes</w:t>
            </w:r>
            <w:r>
              <w:rPr>
                <w:spacing w:val="-3"/>
                <w:sz w:val="18"/>
              </w:rPr>
              <w:t> </w:t>
            </w:r>
            <w:r>
              <w:rPr>
                <w:sz w:val="18"/>
              </w:rPr>
              <w:t>you</w:t>
            </w:r>
            <w:r>
              <w:rPr>
                <w:spacing w:val="-2"/>
                <w:sz w:val="18"/>
              </w:rPr>
              <w:t> </w:t>
            </w:r>
            <w:r>
              <w:rPr>
                <w:sz w:val="18"/>
              </w:rPr>
              <w:t>did</w:t>
            </w:r>
            <w:r>
              <w:rPr>
                <w:spacing w:val="-3"/>
                <w:sz w:val="18"/>
              </w:rPr>
              <w:t> </w:t>
            </w:r>
            <w:r>
              <w:rPr>
                <w:sz w:val="18"/>
              </w:rPr>
              <w:t>make</w:t>
            </w:r>
            <w:r>
              <w:rPr>
                <w:spacing w:val="-47"/>
                <w:sz w:val="18"/>
              </w:rPr>
              <w:t> </w:t>
            </w:r>
            <w:r>
              <w:rPr>
                <w:sz w:val="18"/>
              </w:rPr>
              <w:t>and/</w:t>
            </w:r>
            <w:r>
              <w:rPr>
                <w:spacing w:val="-1"/>
                <w:sz w:val="18"/>
              </w:rPr>
              <w:t> </w:t>
            </w:r>
            <w:r>
              <w:rPr>
                <w:sz w:val="18"/>
              </w:rPr>
              <w:t>or</w:t>
            </w:r>
            <w:r>
              <w:rPr>
                <w:spacing w:val="-1"/>
                <w:sz w:val="18"/>
              </w:rPr>
              <w:t> </w:t>
            </w:r>
            <w:r>
              <w:rPr>
                <w:sz w:val="18"/>
              </w:rPr>
              <w:t>achieving</w:t>
            </w:r>
            <w:r>
              <w:rPr>
                <w:spacing w:val="-3"/>
                <w:sz w:val="18"/>
              </w:rPr>
              <w:t> </w:t>
            </w:r>
            <w:r>
              <w:rPr>
                <w:sz w:val="18"/>
              </w:rPr>
              <w:t>the</w:t>
            </w:r>
            <w:r>
              <w:rPr>
                <w:spacing w:val="-3"/>
                <w:sz w:val="18"/>
              </w:rPr>
              <w:t> </w:t>
            </w:r>
            <w:r>
              <w:rPr>
                <w:sz w:val="18"/>
              </w:rPr>
              <w:t>results</w:t>
            </w:r>
            <w:r>
              <w:rPr>
                <w:spacing w:val="-1"/>
                <w:sz w:val="18"/>
              </w:rPr>
              <w:t> </w:t>
            </w:r>
            <w:r>
              <w:rPr>
                <w:sz w:val="18"/>
              </w:rPr>
              <w:t>that</w:t>
            </w:r>
            <w:r>
              <w:rPr>
                <w:spacing w:val="-3"/>
                <w:sz w:val="18"/>
              </w:rPr>
              <w:t> </w:t>
            </w:r>
            <w:r>
              <w:rPr>
                <w:sz w:val="18"/>
              </w:rPr>
              <w:t>you</w:t>
            </w:r>
            <w:r>
              <w:rPr>
                <w:spacing w:val="-1"/>
                <w:sz w:val="18"/>
              </w:rPr>
              <w:t> </w:t>
            </w:r>
            <w:r>
              <w:rPr>
                <w:sz w:val="18"/>
              </w:rPr>
              <w:t>have</w:t>
            </w:r>
            <w:r>
              <w:rPr>
                <w:spacing w:val="-1"/>
                <w:sz w:val="18"/>
              </w:rPr>
              <w:t> </w:t>
            </w:r>
            <w:r>
              <w:rPr>
                <w:sz w:val="18"/>
              </w:rPr>
              <w:t>from</w:t>
            </w:r>
            <w:r>
              <w:rPr>
                <w:spacing w:val="-4"/>
                <w:sz w:val="18"/>
              </w:rPr>
              <w:t> </w:t>
            </w:r>
            <w:r>
              <w:rPr>
                <w:sz w:val="18"/>
              </w:rPr>
              <w:t>these</w:t>
            </w:r>
            <w:r>
              <w:rPr>
                <w:spacing w:val="-1"/>
                <w:sz w:val="18"/>
              </w:rPr>
              <w:t> </w:t>
            </w:r>
            <w:r>
              <w:rPr>
                <w:sz w:val="18"/>
              </w:rPr>
              <w:t>changes?</w:t>
            </w:r>
          </w:p>
          <w:p>
            <w:pPr>
              <w:pStyle w:val="TableParagraph"/>
              <w:numPr>
                <w:ilvl w:val="0"/>
                <w:numId w:val="236"/>
              </w:numPr>
              <w:tabs>
                <w:tab w:pos="276" w:val="left" w:leader="none"/>
              </w:tabs>
              <w:spacing w:line="276" w:lineRule="auto" w:before="0" w:after="0"/>
              <w:ind w:left="275" w:right="507" w:hanging="168"/>
              <w:jc w:val="left"/>
              <w:rPr>
                <w:sz w:val="18"/>
              </w:rPr>
            </w:pPr>
            <w:r>
              <w:rPr>
                <w:sz w:val="18"/>
              </w:rPr>
              <w:t>What</w:t>
            </w:r>
            <w:r>
              <w:rPr>
                <w:spacing w:val="-4"/>
                <w:sz w:val="18"/>
              </w:rPr>
              <w:t> </w:t>
            </w:r>
            <w:r>
              <w:rPr>
                <w:sz w:val="18"/>
              </w:rPr>
              <w:t>factors</w:t>
            </w:r>
            <w:r>
              <w:rPr>
                <w:spacing w:val="-2"/>
                <w:sz w:val="18"/>
              </w:rPr>
              <w:t> </w:t>
            </w:r>
            <w:r>
              <w:rPr>
                <w:sz w:val="18"/>
              </w:rPr>
              <w:t>have</w:t>
            </w:r>
            <w:r>
              <w:rPr>
                <w:spacing w:val="-1"/>
                <w:sz w:val="18"/>
              </w:rPr>
              <w:t> </w:t>
            </w:r>
            <w:r>
              <w:rPr>
                <w:sz w:val="18"/>
              </w:rPr>
              <w:t>prevented</w:t>
            </w:r>
            <w:r>
              <w:rPr>
                <w:spacing w:val="-2"/>
                <w:sz w:val="18"/>
              </w:rPr>
              <w:t> </w:t>
            </w:r>
            <w:r>
              <w:rPr>
                <w:sz w:val="18"/>
              </w:rPr>
              <w:t>you</w:t>
            </w:r>
            <w:r>
              <w:rPr>
                <w:spacing w:val="-2"/>
                <w:sz w:val="18"/>
              </w:rPr>
              <w:t> </w:t>
            </w:r>
            <w:r>
              <w:rPr>
                <w:sz w:val="18"/>
              </w:rPr>
              <w:t>doing</w:t>
            </w:r>
            <w:r>
              <w:rPr>
                <w:spacing w:val="-3"/>
                <w:sz w:val="18"/>
              </w:rPr>
              <w:t> </w:t>
            </w:r>
            <w:r>
              <w:rPr>
                <w:sz w:val="18"/>
              </w:rPr>
              <w:t>what</w:t>
            </w:r>
            <w:r>
              <w:rPr>
                <w:spacing w:val="-3"/>
                <w:sz w:val="18"/>
              </w:rPr>
              <w:t> </w:t>
            </w:r>
            <w:r>
              <w:rPr>
                <w:sz w:val="18"/>
              </w:rPr>
              <w:t>you</w:t>
            </w:r>
            <w:r>
              <w:rPr>
                <w:spacing w:val="-1"/>
                <w:sz w:val="18"/>
              </w:rPr>
              <w:t> </w:t>
            </w:r>
            <w:r>
              <w:rPr>
                <w:sz w:val="18"/>
              </w:rPr>
              <w:t>set</w:t>
            </w:r>
            <w:r>
              <w:rPr>
                <w:spacing w:val="-5"/>
                <w:sz w:val="18"/>
              </w:rPr>
              <w:t> </w:t>
            </w:r>
            <w:r>
              <w:rPr>
                <w:sz w:val="18"/>
              </w:rPr>
              <w:t>out</w:t>
            </w:r>
            <w:r>
              <w:rPr>
                <w:spacing w:val="-3"/>
                <w:sz w:val="18"/>
              </w:rPr>
              <w:t> </w:t>
            </w:r>
            <w:r>
              <w:rPr>
                <w:sz w:val="18"/>
              </w:rPr>
              <w:t>to</w:t>
            </w:r>
            <w:r>
              <w:rPr>
                <w:spacing w:val="-2"/>
                <w:sz w:val="18"/>
              </w:rPr>
              <w:t> </w:t>
            </w:r>
            <w:r>
              <w:rPr>
                <w:sz w:val="18"/>
              </w:rPr>
              <w:t>do</w:t>
            </w:r>
            <w:r>
              <w:rPr>
                <w:spacing w:val="-2"/>
                <w:sz w:val="18"/>
              </w:rPr>
              <w:t> </w:t>
            </w:r>
            <w:r>
              <w:rPr>
                <w:sz w:val="18"/>
              </w:rPr>
              <w:t>and/</w:t>
            </w:r>
            <w:r>
              <w:rPr>
                <w:spacing w:val="-2"/>
                <w:sz w:val="18"/>
              </w:rPr>
              <w:t> </w:t>
            </w:r>
            <w:r>
              <w:rPr>
                <w:sz w:val="18"/>
              </w:rPr>
              <w:t>or</w:t>
            </w:r>
            <w:r>
              <w:rPr>
                <w:spacing w:val="-47"/>
                <w:sz w:val="18"/>
              </w:rPr>
              <w:t> </w:t>
            </w:r>
            <w:r>
              <w:rPr>
                <w:sz w:val="18"/>
              </w:rPr>
              <w:t>from</w:t>
            </w:r>
            <w:r>
              <w:rPr>
                <w:spacing w:val="-2"/>
                <w:sz w:val="18"/>
              </w:rPr>
              <w:t> </w:t>
            </w:r>
            <w:r>
              <w:rPr>
                <w:sz w:val="18"/>
              </w:rPr>
              <w:t>making</w:t>
            </w:r>
            <w:r>
              <w:rPr>
                <w:spacing w:val="-2"/>
                <w:sz w:val="18"/>
              </w:rPr>
              <w:t> </w:t>
            </w:r>
            <w:r>
              <w:rPr>
                <w:sz w:val="18"/>
              </w:rPr>
              <w:t>the gains</w:t>
            </w:r>
            <w:r>
              <w:rPr>
                <w:spacing w:val="-2"/>
                <w:sz w:val="18"/>
              </w:rPr>
              <w:t> </w:t>
            </w:r>
            <w:r>
              <w:rPr>
                <w:sz w:val="18"/>
              </w:rPr>
              <w:t>you</w:t>
            </w:r>
            <w:r>
              <w:rPr>
                <w:spacing w:val="-4"/>
                <w:sz w:val="18"/>
              </w:rPr>
              <w:t> </w:t>
            </w:r>
            <w:r>
              <w:rPr>
                <w:sz w:val="18"/>
              </w:rPr>
              <w:t>expected</w:t>
            </w:r>
            <w:r>
              <w:rPr>
                <w:spacing w:val="-1"/>
                <w:sz w:val="18"/>
              </w:rPr>
              <w:t> </w:t>
            </w:r>
            <w:r>
              <w:rPr>
                <w:sz w:val="18"/>
              </w:rPr>
              <w:t>to</w:t>
            </w:r>
            <w:r>
              <w:rPr>
                <w:spacing w:val="-1"/>
                <w:sz w:val="18"/>
              </w:rPr>
              <w:t> </w:t>
            </w:r>
            <w:r>
              <w:rPr>
                <w:sz w:val="18"/>
              </w:rPr>
              <w:t>make</w:t>
            </w:r>
            <w:r>
              <w:rPr>
                <w:spacing w:val="-1"/>
                <w:sz w:val="18"/>
              </w:rPr>
              <w:t> </w:t>
            </w:r>
            <w:r>
              <w:rPr>
                <w:sz w:val="18"/>
              </w:rPr>
              <w:t>so far?</w:t>
            </w:r>
          </w:p>
          <w:p>
            <w:pPr>
              <w:pStyle w:val="TableParagraph"/>
              <w:spacing w:before="3"/>
              <w:rPr>
                <w:sz w:val="16"/>
              </w:rPr>
            </w:pPr>
          </w:p>
          <w:p>
            <w:pPr>
              <w:pStyle w:val="TableParagraph"/>
              <w:ind w:left="107"/>
              <w:rPr>
                <w:sz w:val="16"/>
              </w:rPr>
            </w:pPr>
            <w:r>
              <w:rPr>
                <w:sz w:val="16"/>
              </w:rPr>
              <w:t>Prompts:</w:t>
            </w:r>
          </w:p>
          <w:p>
            <w:pPr>
              <w:pStyle w:val="TableParagraph"/>
              <w:spacing w:before="9"/>
              <w:rPr>
                <w:sz w:val="18"/>
              </w:rPr>
            </w:pPr>
          </w:p>
          <w:p>
            <w:pPr>
              <w:pStyle w:val="TableParagraph"/>
              <w:numPr>
                <w:ilvl w:val="1"/>
                <w:numId w:val="236"/>
              </w:numPr>
              <w:tabs>
                <w:tab w:pos="828" w:val="left" w:leader="none"/>
                <w:tab w:pos="829" w:val="left" w:leader="none"/>
              </w:tabs>
              <w:spacing w:line="276" w:lineRule="auto" w:before="0" w:after="0"/>
              <w:ind w:left="828" w:right="237" w:hanging="360"/>
              <w:jc w:val="left"/>
              <w:rPr>
                <w:sz w:val="18"/>
              </w:rPr>
            </w:pPr>
            <w:r>
              <w:rPr>
                <w:sz w:val="18"/>
              </w:rPr>
              <w:t>Internal (within the practice). For example, physical space/ layout to</w:t>
            </w:r>
            <w:r>
              <w:rPr>
                <w:spacing w:val="-48"/>
                <w:sz w:val="18"/>
              </w:rPr>
              <w:t> </w:t>
            </w:r>
            <w:r>
              <w:rPr>
                <w:sz w:val="18"/>
              </w:rPr>
              <w:t>facilitate team care or other activities, working together across</w:t>
            </w:r>
            <w:r>
              <w:rPr>
                <w:spacing w:val="1"/>
                <w:sz w:val="18"/>
              </w:rPr>
              <w:t> </w:t>
            </w:r>
            <w:r>
              <w:rPr>
                <w:sz w:val="18"/>
              </w:rPr>
              <w:t>professional boundaries or within teams to implement the</w:t>
            </w:r>
            <w:r>
              <w:rPr>
                <w:spacing w:val="1"/>
                <w:sz w:val="18"/>
              </w:rPr>
              <w:t> </w:t>
            </w:r>
            <w:r>
              <w:rPr>
                <w:sz w:val="18"/>
              </w:rPr>
              <w:t>intervention.</w:t>
            </w:r>
          </w:p>
          <w:p>
            <w:pPr>
              <w:pStyle w:val="TableParagraph"/>
              <w:numPr>
                <w:ilvl w:val="1"/>
                <w:numId w:val="236"/>
              </w:numPr>
              <w:tabs>
                <w:tab w:pos="828" w:val="left" w:leader="none"/>
                <w:tab w:pos="829" w:val="left" w:leader="none"/>
              </w:tabs>
              <w:spacing w:line="240" w:lineRule="auto" w:before="0" w:after="0"/>
              <w:ind w:left="828" w:right="0" w:hanging="361"/>
              <w:jc w:val="left"/>
              <w:rPr>
                <w:sz w:val="18"/>
              </w:rPr>
            </w:pPr>
            <w:r>
              <w:rPr>
                <w:sz w:val="18"/>
              </w:rPr>
              <w:t>External</w:t>
            </w:r>
            <w:r>
              <w:rPr>
                <w:spacing w:val="-1"/>
                <w:sz w:val="18"/>
              </w:rPr>
              <w:t> </w:t>
            </w:r>
            <w:r>
              <w:rPr>
                <w:sz w:val="18"/>
              </w:rPr>
              <w:t>(e.g.</w:t>
            </w:r>
            <w:r>
              <w:rPr>
                <w:spacing w:val="-4"/>
                <w:sz w:val="18"/>
              </w:rPr>
              <w:t> </w:t>
            </w:r>
            <w:r>
              <w:rPr>
                <w:sz w:val="18"/>
              </w:rPr>
              <w:t>PHN,</w:t>
            </w:r>
            <w:r>
              <w:rPr>
                <w:spacing w:val="-5"/>
                <w:sz w:val="18"/>
              </w:rPr>
              <w:t> </w:t>
            </w:r>
            <w:r>
              <w:rPr>
                <w:sz w:val="18"/>
              </w:rPr>
              <w:t>LHN,</w:t>
            </w:r>
            <w:r>
              <w:rPr>
                <w:spacing w:val="-4"/>
                <w:sz w:val="18"/>
              </w:rPr>
              <w:t> </w:t>
            </w:r>
            <w:r>
              <w:rPr>
                <w:sz w:val="18"/>
              </w:rPr>
              <w:t>state/</w:t>
            </w:r>
            <w:r>
              <w:rPr>
                <w:spacing w:val="-2"/>
                <w:sz w:val="18"/>
              </w:rPr>
              <w:t> </w:t>
            </w:r>
            <w:r>
              <w:rPr>
                <w:sz w:val="18"/>
              </w:rPr>
              <w:t>territory,</w:t>
            </w:r>
            <w:r>
              <w:rPr>
                <w:spacing w:val="-6"/>
                <w:sz w:val="18"/>
              </w:rPr>
              <w:t> </w:t>
            </w:r>
            <w:r>
              <w:rPr>
                <w:sz w:val="18"/>
              </w:rPr>
              <w:t>national).</w:t>
            </w:r>
          </w:p>
        </w:tc>
      </w:tr>
      <w:tr>
        <w:trPr>
          <w:trHeight w:val="1723" w:hRule="atLeast"/>
        </w:trPr>
        <w:tc>
          <w:tcPr>
            <w:tcW w:w="1980" w:type="dxa"/>
          </w:tcPr>
          <w:p>
            <w:pPr>
              <w:pStyle w:val="TableParagraph"/>
              <w:spacing w:line="196" w:lineRule="exact"/>
              <w:ind w:left="107"/>
              <w:rPr>
                <w:sz w:val="16"/>
              </w:rPr>
            </w:pPr>
            <w:r>
              <w:rPr>
                <w:sz w:val="16"/>
              </w:rPr>
              <w:t>Benchmark</w:t>
            </w:r>
            <w:r>
              <w:rPr>
                <w:spacing w:val="-2"/>
                <w:sz w:val="16"/>
              </w:rPr>
              <w:t> </w:t>
            </w:r>
            <w:r>
              <w:rPr>
                <w:sz w:val="16"/>
              </w:rPr>
              <w:t>reports</w:t>
            </w:r>
          </w:p>
        </w:tc>
        <w:tc>
          <w:tcPr>
            <w:tcW w:w="7038" w:type="dxa"/>
          </w:tcPr>
          <w:p>
            <w:pPr>
              <w:pStyle w:val="TableParagraph"/>
              <w:numPr>
                <w:ilvl w:val="0"/>
                <w:numId w:val="237"/>
              </w:numPr>
              <w:tabs>
                <w:tab w:pos="276" w:val="left" w:leader="none"/>
              </w:tabs>
              <w:spacing w:line="276" w:lineRule="auto" w:before="0" w:after="0"/>
              <w:ind w:left="275" w:right="297" w:hanging="168"/>
              <w:jc w:val="left"/>
              <w:rPr>
                <w:sz w:val="18"/>
              </w:rPr>
            </w:pPr>
            <w:r>
              <w:rPr>
                <w:sz w:val="18"/>
              </w:rPr>
              <w:t>Do</w:t>
            </w:r>
            <w:r>
              <w:rPr>
                <w:spacing w:val="-3"/>
                <w:sz w:val="18"/>
              </w:rPr>
              <w:t> </w:t>
            </w:r>
            <w:r>
              <w:rPr>
                <w:sz w:val="18"/>
              </w:rPr>
              <w:t>you</w:t>
            </w:r>
            <w:r>
              <w:rPr>
                <w:spacing w:val="-3"/>
                <w:sz w:val="18"/>
              </w:rPr>
              <w:t> </w:t>
            </w:r>
            <w:r>
              <w:rPr>
                <w:sz w:val="18"/>
              </w:rPr>
              <w:t>recall</w:t>
            </w:r>
            <w:r>
              <w:rPr>
                <w:spacing w:val="-4"/>
                <w:sz w:val="18"/>
              </w:rPr>
              <w:t> </w:t>
            </w:r>
            <w:r>
              <w:rPr>
                <w:sz w:val="18"/>
              </w:rPr>
              <w:t>receiving</w:t>
            </w:r>
            <w:r>
              <w:rPr>
                <w:spacing w:val="-4"/>
                <w:sz w:val="18"/>
              </w:rPr>
              <w:t> </w:t>
            </w:r>
            <w:r>
              <w:rPr>
                <w:sz w:val="18"/>
              </w:rPr>
              <w:t>a</w:t>
            </w:r>
            <w:r>
              <w:rPr>
                <w:spacing w:val="-3"/>
                <w:sz w:val="18"/>
              </w:rPr>
              <w:t> </w:t>
            </w:r>
            <w:r>
              <w:rPr>
                <w:sz w:val="18"/>
              </w:rPr>
              <w:t>report</w:t>
            </w:r>
            <w:r>
              <w:rPr>
                <w:spacing w:val="-5"/>
                <w:sz w:val="18"/>
              </w:rPr>
              <w:t> </w:t>
            </w:r>
            <w:r>
              <w:rPr>
                <w:sz w:val="18"/>
              </w:rPr>
              <w:t>from</w:t>
            </w:r>
            <w:r>
              <w:rPr>
                <w:spacing w:val="-6"/>
                <w:sz w:val="18"/>
              </w:rPr>
              <w:t> </w:t>
            </w:r>
            <w:r>
              <w:rPr>
                <w:sz w:val="18"/>
              </w:rPr>
              <w:t>Health</w:t>
            </w:r>
            <w:r>
              <w:rPr>
                <w:spacing w:val="-3"/>
                <w:sz w:val="18"/>
              </w:rPr>
              <w:t> </w:t>
            </w:r>
            <w:r>
              <w:rPr>
                <w:sz w:val="18"/>
              </w:rPr>
              <w:t>Policy</w:t>
            </w:r>
            <w:r>
              <w:rPr>
                <w:spacing w:val="1"/>
                <w:sz w:val="18"/>
              </w:rPr>
              <w:t> </w:t>
            </w:r>
            <w:r>
              <w:rPr>
                <w:sz w:val="18"/>
              </w:rPr>
              <w:t>Analysis</w:t>
            </w:r>
            <w:r>
              <w:rPr>
                <w:spacing w:val="-4"/>
                <w:sz w:val="18"/>
              </w:rPr>
              <w:t> </w:t>
            </w:r>
            <w:r>
              <w:rPr>
                <w:sz w:val="18"/>
              </w:rPr>
              <w:t>that</w:t>
            </w:r>
            <w:r>
              <w:rPr>
                <w:spacing w:val="-4"/>
                <w:sz w:val="18"/>
              </w:rPr>
              <w:t> </w:t>
            </w:r>
            <w:r>
              <w:rPr>
                <w:sz w:val="18"/>
              </w:rPr>
              <w:t>compares</w:t>
            </w:r>
            <w:r>
              <w:rPr>
                <w:spacing w:val="-47"/>
                <w:sz w:val="18"/>
              </w:rPr>
              <w:t> </w:t>
            </w:r>
            <w:r>
              <w:rPr>
                <w:sz w:val="18"/>
              </w:rPr>
              <w:t>the patient enrolled in HCH at your practice with patients from other</w:t>
            </w:r>
            <w:r>
              <w:rPr>
                <w:spacing w:val="1"/>
                <w:sz w:val="18"/>
              </w:rPr>
              <w:t> </w:t>
            </w:r>
            <w:r>
              <w:rPr>
                <w:sz w:val="18"/>
              </w:rPr>
              <w:t>practices? How</w:t>
            </w:r>
            <w:r>
              <w:rPr>
                <w:spacing w:val="-1"/>
                <w:sz w:val="18"/>
              </w:rPr>
              <w:t> </w:t>
            </w:r>
            <w:r>
              <w:rPr>
                <w:sz w:val="18"/>
              </w:rPr>
              <w:t>did</w:t>
            </w:r>
            <w:r>
              <w:rPr>
                <w:spacing w:val="-1"/>
                <w:sz w:val="18"/>
              </w:rPr>
              <w:t> </w:t>
            </w:r>
            <w:r>
              <w:rPr>
                <w:sz w:val="18"/>
              </w:rPr>
              <w:t>you use</w:t>
            </w:r>
            <w:r>
              <w:rPr>
                <w:spacing w:val="-2"/>
                <w:sz w:val="18"/>
              </w:rPr>
              <w:t> </w:t>
            </w:r>
            <w:r>
              <w:rPr>
                <w:sz w:val="18"/>
              </w:rPr>
              <w:t>that report?</w:t>
            </w:r>
          </w:p>
          <w:p>
            <w:pPr>
              <w:pStyle w:val="TableParagraph"/>
              <w:numPr>
                <w:ilvl w:val="0"/>
                <w:numId w:val="237"/>
              </w:numPr>
              <w:tabs>
                <w:tab w:pos="276" w:val="left" w:leader="none"/>
              </w:tabs>
              <w:spacing w:line="220" w:lineRule="exact" w:before="0" w:after="0"/>
              <w:ind w:left="275" w:right="0" w:hanging="169"/>
              <w:jc w:val="left"/>
              <w:rPr>
                <w:sz w:val="18"/>
              </w:rPr>
            </w:pPr>
            <w:r>
              <w:rPr>
                <w:sz w:val="18"/>
              </w:rPr>
              <w:t>Was</w:t>
            </w:r>
            <w:r>
              <w:rPr>
                <w:spacing w:val="-4"/>
                <w:sz w:val="18"/>
              </w:rPr>
              <w:t> </w:t>
            </w:r>
            <w:r>
              <w:rPr>
                <w:sz w:val="18"/>
              </w:rPr>
              <w:t>it</w:t>
            </w:r>
            <w:r>
              <w:rPr>
                <w:spacing w:val="-2"/>
                <w:sz w:val="18"/>
              </w:rPr>
              <w:t> </w:t>
            </w:r>
            <w:r>
              <w:rPr>
                <w:sz w:val="18"/>
              </w:rPr>
              <w:t>useful?</w:t>
            </w:r>
            <w:r>
              <w:rPr>
                <w:spacing w:val="-1"/>
                <w:sz w:val="18"/>
              </w:rPr>
              <w:t> </w:t>
            </w:r>
            <w:r>
              <w:rPr>
                <w:sz w:val="18"/>
              </w:rPr>
              <w:t>Why</w:t>
            </w:r>
            <w:r>
              <w:rPr>
                <w:spacing w:val="-3"/>
                <w:sz w:val="18"/>
              </w:rPr>
              <w:t> </w:t>
            </w:r>
            <w:r>
              <w:rPr>
                <w:sz w:val="18"/>
              </w:rPr>
              <w:t>or</w:t>
            </w:r>
            <w:r>
              <w:rPr>
                <w:spacing w:val="-3"/>
                <w:sz w:val="18"/>
              </w:rPr>
              <w:t> </w:t>
            </w:r>
            <w:r>
              <w:rPr>
                <w:sz w:val="18"/>
              </w:rPr>
              <w:t>why</w:t>
            </w:r>
            <w:r>
              <w:rPr>
                <w:spacing w:val="-2"/>
                <w:sz w:val="18"/>
              </w:rPr>
              <w:t> </w:t>
            </w:r>
            <w:r>
              <w:rPr>
                <w:sz w:val="18"/>
              </w:rPr>
              <w:t>not?</w:t>
            </w:r>
          </w:p>
          <w:p>
            <w:pPr>
              <w:pStyle w:val="TableParagraph"/>
              <w:numPr>
                <w:ilvl w:val="0"/>
                <w:numId w:val="237"/>
              </w:numPr>
              <w:tabs>
                <w:tab w:pos="276" w:val="left" w:leader="none"/>
              </w:tabs>
              <w:spacing w:line="276" w:lineRule="auto" w:before="33" w:after="0"/>
              <w:ind w:left="275" w:right="392" w:hanging="168"/>
              <w:jc w:val="left"/>
              <w:rPr>
                <w:sz w:val="18"/>
              </w:rPr>
            </w:pPr>
            <w:r>
              <w:rPr>
                <w:sz w:val="18"/>
              </w:rPr>
              <w:t>Do you have any suggestions for how to make the reports more useful for</w:t>
            </w:r>
            <w:r>
              <w:rPr>
                <w:spacing w:val="-47"/>
                <w:sz w:val="18"/>
              </w:rPr>
              <w:t> </w:t>
            </w:r>
            <w:r>
              <w:rPr>
                <w:sz w:val="18"/>
              </w:rPr>
              <w:t>your</w:t>
            </w:r>
            <w:r>
              <w:rPr>
                <w:spacing w:val="-1"/>
                <w:sz w:val="18"/>
              </w:rPr>
              <w:t> </w:t>
            </w:r>
            <w:r>
              <w:rPr>
                <w:sz w:val="18"/>
              </w:rPr>
              <w:t>practice</w:t>
            </w:r>
            <w:r>
              <w:rPr>
                <w:spacing w:val="2"/>
                <w:sz w:val="18"/>
              </w:rPr>
              <w:t> </w:t>
            </w:r>
            <w:r>
              <w:rPr>
                <w:sz w:val="18"/>
              </w:rPr>
              <w:t>(e.g.</w:t>
            </w:r>
            <w:r>
              <w:rPr>
                <w:spacing w:val="-2"/>
                <w:sz w:val="18"/>
              </w:rPr>
              <w:t> </w:t>
            </w:r>
            <w:r>
              <w:rPr>
                <w:sz w:val="18"/>
              </w:rPr>
              <w:t>frequency,</w:t>
            </w:r>
            <w:r>
              <w:rPr>
                <w:spacing w:val="-4"/>
                <w:sz w:val="18"/>
              </w:rPr>
              <w:t> </w:t>
            </w:r>
            <w:r>
              <w:rPr>
                <w:sz w:val="18"/>
              </w:rPr>
              <w:t>content,</w:t>
            </w:r>
            <w:r>
              <w:rPr>
                <w:spacing w:val="-3"/>
                <w:sz w:val="18"/>
              </w:rPr>
              <w:t> </w:t>
            </w:r>
            <w:r>
              <w:rPr>
                <w:sz w:val="18"/>
              </w:rPr>
              <w:t>comparisons)?</w:t>
            </w:r>
          </w:p>
        </w:tc>
      </w:tr>
      <w:tr>
        <w:trPr>
          <w:trHeight w:val="1722" w:hRule="atLeast"/>
        </w:trPr>
        <w:tc>
          <w:tcPr>
            <w:tcW w:w="1980" w:type="dxa"/>
          </w:tcPr>
          <w:p>
            <w:pPr>
              <w:pStyle w:val="TableParagraph"/>
              <w:spacing w:line="276" w:lineRule="auto"/>
              <w:ind w:left="107" w:right="384"/>
              <w:rPr>
                <w:sz w:val="16"/>
              </w:rPr>
            </w:pPr>
            <w:r>
              <w:rPr>
                <w:sz w:val="16"/>
              </w:rPr>
              <w:t>Messages for other</w:t>
            </w:r>
            <w:r>
              <w:rPr>
                <w:spacing w:val="-42"/>
                <w:sz w:val="16"/>
              </w:rPr>
              <w:t> </w:t>
            </w:r>
            <w:r>
              <w:rPr>
                <w:sz w:val="16"/>
              </w:rPr>
              <w:t>practices</w:t>
            </w:r>
          </w:p>
        </w:tc>
        <w:tc>
          <w:tcPr>
            <w:tcW w:w="7038" w:type="dxa"/>
          </w:tcPr>
          <w:p>
            <w:pPr>
              <w:pStyle w:val="TableParagraph"/>
              <w:numPr>
                <w:ilvl w:val="0"/>
                <w:numId w:val="238"/>
              </w:numPr>
              <w:tabs>
                <w:tab w:pos="276" w:val="left" w:leader="none"/>
              </w:tabs>
              <w:spacing w:line="219" w:lineRule="exact" w:before="0" w:after="0"/>
              <w:ind w:left="275" w:right="0" w:hanging="169"/>
              <w:jc w:val="left"/>
              <w:rPr>
                <w:sz w:val="18"/>
              </w:rPr>
            </w:pPr>
            <w:r>
              <w:rPr>
                <w:sz w:val="18"/>
              </w:rPr>
              <w:t>(</w:t>
            </w:r>
            <w:r>
              <w:rPr>
                <w:b/>
                <w:sz w:val="18"/>
              </w:rPr>
              <w:t>R2</w:t>
            </w:r>
            <w:r>
              <w:rPr>
                <w:sz w:val="18"/>
              </w:rPr>
              <w:t>)</w:t>
            </w:r>
            <w:r>
              <w:rPr>
                <w:spacing w:val="-4"/>
                <w:sz w:val="18"/>
              </w:rPr>
              <w:t> </w:t>
            </w:r>
            <w:r>
              <w:rPr>
                <w:sz w:val="18"/>
              </w:rPr>
              <w:t>Given</w:t>
            </w:r>
            <w:r>
              <w:rPr>
                <w:spacing w:val="-2"/>
                <w:sz w:val="18"/>
              </w:rPr>
              <w:t> </w:t>
            </w:r>
            <w:r>
              <w:rPr>
                <w:sz w:val="18"/>
              </w:rPr>
              <w:t>what</w:t>
            </w:r>
            <w:r>
              <w:rPr>
                <w:spacing w:val="-4"/>
                <w:sz w:val="18"/>
              </w:rPr>
              <w:t> </w:t>
            </w:r>
            <w:r>
              <w:rPr>
                <w:sz w:val="18"/>
              </w:rPr>
              <w:t>you’ve</w:t>
            </w:r>
            <w:r>
              <w:rPr>
                <w:spacing w:val="-2"/>
                <w:sz w:val="18"/>
              </w:rPr>
              <w:t> </w:t>
            </w:r>
            <w:r>
              <w:rPr>
                <w:sz w:val="18"/>
              </w:rPr>
              <w:t>learned</w:t>
            </w:r>
            <w:r>
              <w:rPr>
                <w:spacing w:val="-3"/>
                <w:sz w:val="18"/>
              </w:rPr>
              <w:t> </w:t>
            </w:r>
            <w:r>
              <w:rPr>
                <w:sz w:val="18"/>
              </w:rPr>
              <w:t>so</w:t>
            </w:r>
            <w:r>
              <w:rPr>
                <w:spacing w:val="-1"/>
                <w:sz w:val="18"/>
              </w:rPr>
              <w:t> </w:t>
            </w:r>
            <w:r>
              <w:rPr>
                <w:sz w:val="18"/>
              </w:rPr>
              <w:t>far,</w:t>
            </w:r>
            <w:r>
              <w:rPr>
                <w:spacing w:val="-4"/>
                <w:sz w:val="18"/>
              </w:rPr>
              <w:t> </w:t>
            </w:r>
            <w:r>
              <w:rPr>
                <w:sz w:val="18"/>
              </w:rPr>
              <w:t>what</w:t>
            </w:r>
            <w:r>
              <w:rPr>
                <w:spacing w:val="-4"/>
                <w:sz w:val="18"/>
              </w:rPr>
              <w:t> </w:t>
            </w:r>
            <w:r>
              <w:rPr>
                <w:sz w:val="18"/>
              </w:rPr>
              <w:t>messages would</w:t>
            </w:r>
            <w:r>
              <w:rPr>
                <w:spacing w:val="-3"/>
                <w:sz w:val="18"/>
              </w:rPr>
              <w:t> </w:t>
            </w:r>
            <w:r>
              <w:rPr>
                <w:sz w:val="18"/>
              </w:rPr>
              <w:t>you</w:t>
            </w:r>
            <w:r>
              <w:rPr>
                <w:spacing w:val="-1"/>
                <w:sz w:val="18"/>
              </w:rPr>
              <w:t> </w:t>
            </w:r>
            <w:r>
              <w:rPr>
                <w:sz w:val="18"/>
              </w:rPr>
              <w:t>give</w:t>
            </w:r>
            <w:r>
              <w:rPr>
                <w:spacing w:val="-2"/>
                <w:sz w:val="18"/>
              </w:rPr>
              <w:t> </w:t>
            </w:r>
            <w:r>
              <w:rPr>
                <w:sz w:val="18"/>
              </w:rPr>
              <w:t>other</w:t>
            </w:r>
          </w:p>
          <w:p>
            <w:pPr>
              <w:pStyle w:val="TableParagraph"/>
              <w:spacing w:before="33"/>
              <w:ind w:left="275"/>
              <w:rPr>
                <w:sz w:val="18"/>
              </w:rPr>
            </w:pPr>
            <w:r>
              <w:rPr>
                <w:sz w:val="18"/>
              </w:rPr>
              <w:t>practices</w:t>
            </w:r>
            <w:r>
              <w:rPr>
                <w:spacing w:val="-3"/>
                <w:sz w:val="18"/>
              </w:rPr>
              <w:t> </w:t>
            </w:r>
            <w:r>
              <w:rPr>
                <w:sz w:val="18"/>
              </w:rPr>
              <w:t>embarking</w:t>
            </w:r>
            <w:r>
              <w:rPr>
                <w:spacing w:val="-4"/>
                <w:sz w:val="18"/>
              </w:rPr>
              <w:t> </w:t>
            </w:r>
            <w:r>
              <w:rPr>
                <w:sz w:val="18"/>
              </w:rPr>
              <w:t>on</w:t>
            </w:r>
            <w:r>
              <w:rPr>
                <w:spacing w:val="-6"/>
                <w:sz w:val="18"/>
              </w:rPr>
              <w:t> </w:t>
            </w:r>
            <w:r>
              <w:rPr>
                <w:sz w:val="18"/>
              </w:rPr>
              <w:t>implementing</w:t>
            </w:r>
            <w:r>
              <w:rPr>
                <w:spacing w:val="-4"/>
                <w:sz w:val="18"/>
              </w:rPr>
              <w:t> </w:t>
            </w:r>
            <w:r>
              <w:rPr>
                <w:sz w:val="18"/>
              </w:rPr>
              <w:t>HCH</w:t>
            </w:r>
            <w:r>
              <w:rPr>
                <w:spacing w:val="-3"/>
                <w:sz w:val="18"/>
              </w:rPr>
              <w:t> </w:t>
            </w:r>
            <w:r>
              <w:rPr>
                <w:sz w:val="18"/>
              </w:rPr>
              <w:t>about</w:t>
            </w:r>
            <w:r>
              <w:rPr>
                <w:spacing w:val="-4"/>
                <w:sz w:val="18"/>
              </w:rPr>
              <w:t> </w:t>
            </w:r>
            <w:r>
              <w:rPr>
                <w:sz w:val="18"/>
              </w:rPr>
              <w:t>how</w:t>
            </w:r>
            <w:r>
              <w:rPr>
                <w:spacing w:val="-1"/>
                <w:sz w:val="18"/>
              </w:rPr>
              <w:t> </w:t>
            </w:r>
            <w:r>
              <w:rPr>
                <w:sz w:val="18"/>
              </w:rPr>
              <w:t>to</w:t>
            </w:r>
            <w:r>
              <w:rPr>
                <w:spacing w:val="-3"/>
                <w:sz w:val="18"/>
              </w:rPr>
              <w:t> </w:t>
            </w:r>
            <w:r>
              <w:rPr>
                <w:sz w:val="18"/>
              </w:rPr>
              <w:t>go</w:t>
            </w:r>
            <w:r>
              <w:rPr>
                <w:spacing w:val="-2"/>
                <w:sz w:val="18"/>
              </w:rPr>
              <w:t> </w:t>
            </w:r>
            <w:r>
              <w:rPr>
                <w:sz w:val="18"/>
              </w:rPr>
              <w:t>about</w:t>
            </w:r>
            <w:r>
              <w:rPr>
                <w:spacing w:val="-4"/>
                <w:sz w:val="18"/>
              </w:rPr>
              <w:t> </w:t>
            </w:r>
            <w:r>
              <w:rPr>
                <w:sz w:val="18"/>
              </w:rPr>
              <w:t>it?</w:t>
            </w:r>
          </w:p>
          <w:p>
            <w:pPr>
              <w:pStyle w:val="TableParagraph"/>
              <w:numPr>
                <w:ilvl w:val="0"/>
                <w:numId w:val="238"/>
              </w:numPr>
              <w:tabs>
                <w:tab w:pos="276" w:val="left" w:leader="none"/>
              </w:tabs>
              <w:spacing w:line="276" w:lineRule="auto" w:before="32" w:after="0"/>
              <w:ind w:left="275" w:right="310" w:hanging="168"/>
              <w:jc w:val="left"/>
              <w:rPr>
                <w:sz w:val="18"/>
              </w:rPr>
            </w:pPr>
            <w:r>
              <w:rPr>
                <w:sz w:val="18"/>
              </w:rPr>
              <w:t>(</w:t>
            </w:r>
            <w:r>
              <w:rPr>
                <w:b/>
                <w:sz w:val="18"/>
              </w:rPr>
              <w:t>R4/R5</w:t>
            </w:r>
            <w:r>
              <w:rPr>
                <w:sz w:val="18"/>
              </w:rPr>
              <w:t>) Given what you’ve learned since implementing HCH, what</w:t>
            </w:r>
            <w:r>
              <w:rPr>
                <w:spacing w:val="1"/>
                <w:sz w:val="18"/>
              </w:rPr>
              <w:t> </w:t>
            </w:r>
            <w:r>
              <w:rPr>
                <w:sz w:val="18"/>
              </w:rPr>
              <w:t>messages</w:t>
            </w:r>
            <w:r>
              <w:rPr>
                <w:spacing w:val="-4"/>
                <w:sz w:val="18"/>
              </w:rPr>
              <w:t> </w:t>
            </w:r>
            <w:r>
              <w:rPr>
                <w:sz w:val="18"/>
              </w:rPr>
              <w:t>would</w:t>
            </w:r>
            <w:r>
              <w:rPr>
                <w:spacing w:val="-4"/>
                <w:sz w:val="18"/>
              </w:rPr>
              <w:t> </w:t>
            </w:r>
            <w:r>
              <w:rPr>
                <w:sz w:val="18"/>
              </w:rPr>
              <w:t>you</w:t>
            </w:r>
            <w:r>
              <w:rPr>
                <w:spacing w:val="-3"/>
                <w:sz w:val="18"/>
              </w:rPr>
              <w:t> </w:t>
            </w:r>
            <w:r>
              <w:rPr>
                <w:sz w:val="18"/>
              </w:rPr>
              <w:t>give</w:t>
            </w:r>
            <w:r>
              <w:rPr>
                <w:spacing w:val="-3"/>
                <w:sz w:val="18"/>
              </w:rPr>
              <w:t> </w:t>
            </w:r>
            <w:r>
              <w:rPr>
                <w:sz w:val="18"/>
              </w:rPr>
              <w:t>other</w:t>
            </w:r>
            <w:r>
              <w:rPr>
                <w:spacing w:val="-3"/>
                <w:sz w:val="18"/>
              </w:rPr>
              <w:t> </w:t>
            </w:r>
            <w:r>
              <w:rPr>
                <w:sz w:val="18"/>
              </w:rPr>
              <w:t>practices</w:t>
            </w:r>
            <w:r>
              <w:rPr>
                <w:spacing w:val="-4"/>
                <w:sz w:val="18"/>
              </w:rPr>
              <w:t> </w:t>
            </w:r>
            <w:r>
              <w:rPr>
                <w:sz w:val="18"/>
              </w:rPr>
              <w:t>embarking</w:t>
            </w:r>
            <w:r>
              <w:rPr>
                <w:spacing w:val="-5"/>
                <w:sz w:val="18"/>
              </w:rPr>
              <w:t> </w:t>
            </w:r>
            <w:r>
              <w:rPr>
                <w:sz w:val="18"/>
              </w:rPr>
              <w:t>on</w:t>
            </w:r>
            <w:r>
              <w:rPr>
                <w:spacing w:val="-3"/>
                <w:sz w:val="18"/>
              </w:rPr>
              <w:t> </w:t>
            </w:r>
            <w:r>
              <w:rPr>
                <w:sz w:val="18"/>
              </w:rPr>
              <w:t>the</w:t>
            </w:r>
            <w:r>
              <w:rPr>
                <w:spacing w:val="-2"/>
                <w:sz w:val="18"/>
              </w:rPr>
              <w:t> </w:t>
            </w:r>
            <w:r>
              <w:rPr>
                <w:sz w:val="18"/>
              </w:rPr>
              <w:t>same</w:t>
            </w:r>
            <w:r>
              <w:rPr>
                <w:spacing w:val="-3"/>
                <w:sz w:val="18"/>
              </w:rPr>
              <w:t> </w:t>
            </w:r>
            <w:r>
              <w:rPr>
                <w:sz w:val="18"/>
              </w:rPr>
              <w:t>journey</w:t>
            </w:r>
            <w:r>
              <w:rPr>
                <w:spacing w:val="-47"/>
                <w:sz w:val="18"/>
              </w:rPr>
              <w:t> </w:t>
            </w:r>
            <w:r>
              <w:rPr>
                <w:sz w:val="18"/>
              </w:rPr>
              <w:t>about</w:t>
            </w:r>
            <w:r>
              <w:rPr>
                <w:spacing w:val="-3"/>
                <w:sz w:val="18"/>
              </w:rPr>
              <w:t> </w:t>
            </w:r>
            <w:r>
              <w:rPr>
                <w:sz w:val="18"/>
              </w:rPr>
              <w:t>how</w:t>
            </w:r>
            <w:r>
              <w:rPr>
                <w:spacing w:val="-2"/>
                <w:sz w:val="18"/>
              </w:rPr>
              <w:t> </w:t>
            </w:r>
            <w:r>
              <w:rPr>
                <w:sz w:val="18"/>
              </w:rPr>
              <w:t>to</w:t>
            </w:r>
            <w:r>
              <w:rPr>
                <w:spacing w:val="-1"/>
                <w:sz w:val="18"/>
              </w:rPr>
              <w:t> </w:t>
            </w:r>
            <w:r>
              <w:rPr>
                <w:sz w:val="18"/>
              </w:rPr>
              <w:t>go about</w:t>
            </w:r>
            <w:r>
              <w:rPr>
                <w:spacing w:val="-2"/>
                <w:sz w:val="18"/>
              </w:rPr>
              <w:t> </w:t>
            </w:r>
            <w:r>
              <w:rPr>
                <w:sz w:val="18"/>
              </w:rPr>
              <w:t>it?</w:t>
            </w:r>
          </w:p>
          <w:p>
            <w:pPr>
              <w:pStyle w:val="TableParagraph"/>
              <w:numPr>
                <w:ilvl w:val="0"/>
                <w:numId w:val="238"/>
              </w:numPr>
              <w:tabs>
                <w:tab w:pos="276" w:val="left" w:leader="none"/>
              </w:tabs>
              <w:spacing w:line="240" w:lineRule="auto" w:before="2" w:after="0"/>
              <w:ind w:left="275" w:right="0" w:hanging="169"/>
              <w:jc w:val="left"/>
              <w:rPr>
                <w:sz w:val="18"/>
              </w:rPr>
            </w:pPr>
            <w:r>
              <w:rPr>
                <w:sz w:val="18"/>
              </w:rPr>
              <w:t>(</w:t>
            </w:r>
            <w:r>
              <w:rPr>
                <w:b/>
                <w:sz w:val="18"/>
              </w:rPr>
              <w:t>R4/R5</w:t>
            </w:r>
            <w:r>
              <w:rPr>
                <w:sz w:val="18"/>
              </w:rPr>
              <w:t>)</w:t>
            </w:r>
            <w:r>
              <w:rPr>
                <w:spacing w:val="-1"/>
                <w:sz w:val="18"/>
              </w:rPr>
              <w:t> </w:t>
            </w:r>
            <w:r>
              <w:rPr>
                <w:sz w:val="18"/>
              </w:rPr>
              <w:t>Would</w:t>
            </w:r>
            <w:r>
              <w:rPr>
                <w:spacing w:val="-4"/>
                <w:sz w:val="18"/>
              </w:rPr>
              <w:t> </w:t>
            </w:r>
            <w:r>
              <w:rPr>
                <w:sz w:val="18"/>
              </w:rPr>
              <w:t>you</w:t>
            </w:r>
            <w:r>
              <w:rPr>
                <w:spacing w:val="-2"/>
                <w:sz w:val="18"/>
              </w:rPr>
              <w:t> </w:t>
            </w:r>
            <w:r>
              <w:rPr>
                <w:sz w:val="18"/>
              </w:rPr>
              <w:t>recommend</w:t>
            </w:r>
            <w:r>
              <w:rPr>
                <w:spacing w:val="-4"/>
                <w:sz w:val="18"/>
              </w:rPr>
              <w:t> </w:t>
            </w:r>
            <w:r>
              <w:rPr>
                <w:sz w:val="18"/>
              </w:rPr>
              <w:t>to</w:t>
            </w:r>
            <w:r>
              <w:rPr>
                <w:spacing w:val="-4"/>
                <w:sz w:val="18"/>
              </w:rPr>
              <w:t> </w:t>
            </w:r>
            <w:r>
              <w:rPr>
                <w:sz w:val="18"/>
              </w:rPr>
              <w:t>other</w:t>
            </w:r>
            <w:r>
              <w:rPr>
                <w:spacing w:val="-3"/>
                <w:sz w:val="18"/>
              </w:rPr>
              <w:t> </w:t>
            </w:r>
            <w:r>
              <w:rPr>
                <w:sz w:val="18"/>
              </w:rPr>
              <w:t>practices</w:t>
            </w:r>
            <w:r>
              <w:rPr>
                <w:spacing w:val="-4"/>
                <w:sz w:val="18"/>
              </w:rPr>
              <w:t> </w:t>
            </w:r>
            <w:r>
              <w:rPr>
                <w:sz w:val="18"/>
              </w:rPr>
              <w:t>to</w:t>
            </w:r>
            <w:r>
              <w:rPr>
                <w:spacing w:val="-3"/>
                <w:sz w:val="18"/>
              </w:rPr>
              <w:t> </w:t>
            </w:r>
            <w:r>
              <w:rPr>
                <w:sz w:val="18"/>
              </w:rPr>
              <w:t>implement</w:t>
            </w:r>
            <w:r>
              <w:rPr>
                <w:spacing w:val="-5"/>
                <w:sz w:val="18"/>
              </w:rPr>
              <w:t> </w:t>
            </w:r>
            <w:r>
              <w:rPr>
                <w:sz w:val="18"/>
              </w:rPr>
              <w:t>HCH?</w:t>
            </w:r>
          </w:p>
        </w:tc>
      </w:tr>
      <w:tr>
        <w:trPr>
          <w:trHeight w:val="707" w:hRule="atLeast"/>
        </w:trPr>
        <w:tc>
          <w:tcPr>
            <w:tcW w:w="1980" w:type="dxa"/>
          </w:tcPr>
          <w:p>
            <w:pPr>
              <w:pStyle w:val="TableParagraph"/>
              <w:spacing w:line="196" w:lineRule="exact"/>
              <w:ind w:left="107"/>
              <w:rPr>
                <w:sz w:val="16"/>
              </w:rPr>
            </w:pPr>
            <w:r>
              <w:rPr>
                <w:sz w:val="16"/>
              </w:rPr>
              <w:t>Anything</w:t>
            </w:r>
            <w:r>
              <w:rPr>
                <w:spacing w:val="-3"/>
                <w:sz w:val="16"/>
              </w:rPr>
              <w:t> </w:t>
            </w:r>
            <w:r>
              <w:rPr>
                <w:sz w:val="16"/>
              </w:rPr>
              <w:t>else?</w:t>
            </w:r>
          </w:p>
        </w:tc>
        <w:tc>
          <w:tcPr>
            <w:tcW w:w="7038" w:type="dxa"/>
          </w:tcPr>
          <w:p>
            <w:pPr>
              <w:pStyle w:val="TableParagraph"/>
              <w:numPr>
                <w:ilvl w:val="0"/>
                <w:numId w:val="239"/>
              </w:numPr>
              <w:tabs>
                <w:tab w:pos="276" w:val="left" w:leader="none"/>
              </w:tabs>
              <w:spacing w:line="219" w:lineRule="exact" w:before="0" w:after="0"/>
              <w:ind w:left="275" w:right="0" w:hanging="169"/>
              <w:jc w:val="left"/>
              <w:rPr>
                <w:sz w:val="18"/>
              </w:rPr>
            </w:pPr>
            <w:r>
              <w:rPr>
                <w:sz w:val="18"/>
              </w:rPr>
              <w:t>Is</w:t>
            </w:r>
            <w:r>
              <w:rPr>
                <w:spacing w:val="-3"/>
                <w:sz w:val="18"/>
              </w:rPr>
              <w:t> </w:t>
            </w:r>
            <w:r>
              <w:rPr>
                <w:sz w:val="18"/>
              </w:rPr>
              <w:t>there</w:t>
            </w:r>
            <w:r>
              <w:rPr>
                <w:spacing w:val="-2"/>
                <w:sz w:val="18"/>
              </w:rPr>
              <w:t> </w:t>
            </w:r>
            <w:r>
              <w:rPr>
                <w:sz w:val="18"/>
              </w:rPr>
              <w:t>anything</w:t>
            </w:r>
            <w:r>
              <w:rPr>
                <w:spacing w:val="-4"/>
                <w:sz w:val="18"/>
              </w:rPr>
              <w:t> </w:t>
            </w:r>
            <w:r>
              <w:rPr>
                <w:sz w:val="18"/>
              </w:rPr>
              <w:t>else</w:t>
            </w:r>
            <w:r>
              <w:rPr>
                <w:spacing w:val="-2"/>
                <w:sz w:val="18"/>
              </w:rPr>
              <w:t> </w:t>
            </w:r>
            <w:r>
              <w:rPr>
                <w:sz w:val="18"/>
              </w:rPr>
              <w:t>that</w:t>
            </w:r>
            <w:r>
              <w:rPr>
                <w:spacing w:val="-4"/>
                <w:sz w:val="18"/>
              </w:rPr>
              <w:t> </w:t>
            </w:r>
            <w:r>
              <w:rPr>
                <w:sz w:val="18"/>
              </w:rPr>
              <w:t>we</w:t>
            </w:r>
            <w:r>
              <w:rPr>
                <w:spacing w:val="-1"/>
                <w:sz w:val="18"/>
              </w:rPr>
              <w:t> </w:t>
            </w:r>
            <w:r>
              <w:rPr>
                <w:sz w:val="18"/>
              </w:rPr>
              <w:t>haven’t</w:t>
            </w:r>
            <w:r>
              <w:rPr>
                <w:spacing w:val="-4"/>
                <w:sz w:val="18"/>
              </w:rPr>
              <w:t> </w:t>
            </w:r>
            <w:r>
              <w:rPr>
                <w:sz w:val="18"/>
              </w:rPr>
              <w:t>discussed</w:t>
            </w:r>
            <w:r>
              <w:rPr>
                <w:spacing w:val="-3"/>
                <w:sz w:val="18"/>
              </w:rPr>
              <w:t> </w:t>
            </w:r>
            <w:r>
              <w:rPr>
                <w:sz w:val="18"/>
              </w:rPr>
              <w:t>that</w:t>
            </w:r>
            <w:r>
              <w:rPr>
                <w:spacing w:val="-4"/>
                <w:sz w:val="18"/>
              </w:rPr>
              <w:t> </w:t>
            </w:r>
            <w:r>
              <w:rPr>
                <w:sz w:val="18"/>
              </w:rPr>
              <w:t>you</w:t>
            </w:r>
            <w:r>
              <w:rPr>
                <w:spacing w:val="-2"/>
                <w:sz w:val="18"/>
              </w:rPr>
              <w:t> </w:t>
            </w:r>
            <w:r>
              <w:rPr>
                <w:sz w:val="18"/>
              </w:rPr>
              <w:t>would</w:t>
            </w:r>
            <w:r>
              <w:rPr>
                <w:spacing w:val="-2"/>
                <w:sz w:val="18"/>
              </w:rPr>
              <w:t> </w:t>
            </w:r>
            <w:r>
              <w:rPr>
                <w:sz w:val="18"/>
              </w:rPr>
              <w:t>like</w:t>
            </w:r>
            <w:r>
              <w:rPr>
                <w:spacing w:val="-2"/>
                <w:sz w:val="18"/>
              </w:rPr>
              <w:t> </w:t>
            </w:r>
            <w:r>
              <w:rPr>
                <w:sz w:val="18"/>
              </w:rPr>
              <w:t>to</w:t>
            </w:r>
          </w:p>
          <w:p>
            <w:pPr>
              <w:pStyle w:val="TableParagraph"/>
              <w:spacing w:before="33"/>
              <w:ind w:left="275"/>
              <w:rPr>
                <w:sz w:val="18"/>
              </w:rPr>
            </w:pPr>
            <w:r>
              <w:rPr>
                <w:sz w:val="18"/>
              </w:rPr>
              <w:t>mention?</w:t>
            </w:r>
          </w:p>
        </w:tc>
      </w:tr>
    </w:tbl>
    <w:p>
      <w:pPr>
        <w:spacing w:line="276" w:lineRule="auto" w:before="6"/>
        <w:ind w:left="1140" w:right="1523" w:firstLine="0"/>
        <w:jc w:val="left"/>
        <w:rPr>
          <w:i/>
          <w:sz w:val="14"/>
        </w:rPr>
      </w:pPr>
      <w:r>
        <w:rPr>
          <w:i/>
          <w:sz w:val="14"/>
        </w:rPr>
        <w:t>* ‘Practice’ is used as a general term to encompass all primary care entities participating in HCH. Alternative terms include ‘service’,</w:t>
      </w:r>
      <w:r>
        <w:rPr>
          <w:i/>
          <w:spacing w:val="-36"/>
          <w:sz w:val="14"/>
        </w:rPr>
        <w:t> </w:t>
      </w:r>
      <w:r>
        <w:rPr>
          <w:i/>
          <w:sz w:val="14"/>
        </w:rPr>
        <w:t>‘organisation’, and ‘clinic’.</w:t>
      </w:r>
    </w:p>
    <w:p>
      <w:pPr>
        <w:spacing w:after="0" w:line="276" w:lineRule="auto"/>
        <w:jc w:val="left"/>
        <w:rPr>
          <w:sz w:val="14"/>
        </w:rPr>
        <w:sectPr>
          <w:type w:val="continuous"/>
          <w:pgSz w:w="11910" w:h="16840"/>
          <w:pgMar w:header="0" w:footer="948" w:top="1420" w:bottom="1140" w:left="300" w:right="0"/>
        </w:sectPr>
      </w:pPr>
    </w:p>
    <w:p>
      <w:pPr>
        <w:pStyle w:val="Heading2"/>
        <w:spacing w:before="81"/>
        <w:ind w:left="1140"/>
      </w:pPr>
      <w:bookmarkStart w:name="_bookmark92" w:id="93"/>
      <w:bookmarkEnd w:id="93"/>
      <w:r>
        <w:rPr/>
      </w:r>
      <w:r>
        <w:rPr>
          <w:color w:val="003C79"/>
        </w:rPr>
        <w:t>Topic</w:t>
      </w:r>
      <w:r>
        <w:rPr>
          <w:color w:val="003C79"/>
          <w:spacing w:val="-2"/>
        </w:rPr>
        <w:t> </w:t>
      </w:r>
      <w:r>
        <w:rPr>
          <w:color w:val="003C79"/>
        </w:rPr>
        <w:t>guide</w:t>
      </w:r>
      <w:r>
        <w:rPr>
          <w:color w:val="003C79"/>
          <w:spacing w:val="-5"/>
        </w:rPr>
        <w:t> </w:t>
      </w:r>
      <w:r>
        <w:rPr>
          <w:color w:val="003C79"/>
        </w:rPr>
        <w:t>–</w:t>
      </w:r>
      <w:r>
        <w:rPr>
          <w:color w:val="003C79"/>
          <w:spacing w:val="-3"/>
        </w:rPr>
        <w:t> </w:t>
      </w:r>
      <w:r>
        <w:rPr>
          <w:color w:val="003C79"/>
        </w:rPr>
        <w:t>Practice*</w:t>
      </w:r>
      <w:r>
        <w:rPr>
          <w:color w:val="003C79"/>
          <w:spacing w:val="-6"/>
        </w:rPr>
        <w:t> </w:t>
      </w:r>
      <w:r>
        <w:rPr>
          <w:color w:val="003C79"/>
        </w:rPr>
        <w:t>staff**</w:t>
      </w:r>
      <w:r>
        <w:rPr>
          <w:color w:val="003C79"/>
          <w:spacing w:val="-7"/>
        </w:rPr>
        <w:t> </w:t>
      </w:r>
      <w:r>
        <w:rPr>
          <w:color w:val="003C79"/>
        </w:rPr>
        <w:t>interviews</w:t>
      </w:r>
    </w:p>
    <w:p>
      <w:pPr>
        <w:pStyle w:val="BodyText"/>
        <w:spacing w:before="1"/>
        <w:rPr>
          <w:sz w:val="21"/>
        </w:rPr>
      </w:pPr>
    </w:p>
    <w:tbl>
      <w:tblPr>
        <w:tblW w:w="0" w:type="auto"/>
        <w:jc w:val="left"/>
        <w:tblInd w:w="11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980"/>
        <w:gridCol w:w="7038"/>
      </w:tblGrid>
      <w:tr>
        <w:trPr>
          <w:trHeight w:val="225" w:hRule="atLeast"/>
        </w:trPr>
        <w:tc>
          <w:tcPr>
            <w:tcW w:w="1980" w:type="dxa"/>
            <w:shd w:val="clear" w:color="auto" w:fill="003C79"/>
          </w:tcPr>
          <w:p>
            <w:pPr>
              <w:pStyle w:val="TableParagraph"/>
              <w:spacing w:line="196" w:lineRule="exact"/>
              <w:ind w:left="107"/>
              <w:rPr>
                <w:b/>
                <w:sz w:val="16"/>
              </w:rPr>
            </w:pPr>
            <w:r>
              <w:rPr>
                <w:b/>
                <w:color w:val="FFFFFF"/>
                <w:sz w:val="16"/>
              </w:rPr>
              <w:t>Topic</w:t>
            </w:r>
          </w:p>
        </w:tc>
        <w:tc>
          <w:tcPr>
            <w:tcW w:w="7038" w:type="dxa"/>
            <w:shd w:val="clear" w:color="auto" w:fill="003C79"/>
          </w:tcPr>
          <w:p>
            <w:pPr>
              <w:pStyle w:val="TableParagraph"/>
              <w:spacing w:line="196" w:lineRule="exact"/>
              <w:ind w:left="107"/>
              <w:rPr>
                <w:b/>
                <w:sz w:val="16"/>
              </w:rPr>
            </w:pPr>
            <w:r>
              <w:rPr>
                <w:b/>
                <w:color w:val="FFFFFF"/>
                <w:sz w:val="16"/>
              </w:rPr>
              <w:t>Question</w:t>
            </w:r>
          </w:p>
        </w:tc>
      </w:tr>
      <w:tr>
        <w:trPr>
          <w:trHeight w:val="5023" w:hRule="atLeast"/>
        </w:trPr>
        <w:tc>
          <w:tcPr>
            <w:tcW w:w="1980" w:type="dxa"/>
          </w:tcPr>
          <w:p>
            <w:pPr>
              <w:pStyle w:val="TableParagraph"/>
              <w:spacing w:before="2"/>
              <w:ind w:left="107"/>
              <w:rPr>
                <w:sz w:val="16"/>
              </w:rPr>
            </w:pPr>
            <w:r>
              <w:rPr>
                <w:sz w:val="16"/>
              </w:rPr>
              <w:t>Introduction</w:t>
            </w:r>
          </w:p>
        </w:tc>
        <w:tc>
          <w:tcPr>
            <w:tcW w:w="7038" w:type="dxa"/>
          </w:tcPr>
          <w:p>
            <w:pPr>
              <w:pStyle w:val="TableParagraph"/>
              <w:numPr>
                <w:ilvl w:val="0"/>
                <w:numId w:val="240"/>
              </w:numPr>
              <w:tabs>
                <w:tab w:pos="276" w:val="left" w:leader="none"/>
              </w:tabs>
              <w:spacing w:line="240" w:lineRule="auto" w:before="1" w:after="0"/>
              <w:ind w:left="275" w:right="0" w:hanging="169"/>
              <w:jc w:val="both"/>
              <w:rPr>
                <w:sz w:val="18"/>
              </w:rPr>
            </w:pPr>
            <w:r>
              <w:rPr>
                <w:sz w:val="18"/>
              </w:rPr>
              <w:t>Introduction</w:t>
            </w:r>
            <w:r>
              <w:rPr>
                <w:spacing w:val="-7"/>
                <w:sz w:val="18"/>
              </w:rPr>
              <w:t> </w:t>
            </w:r>
            <w:r>
              <w:rPr>
                <w:sz w:val="18"/>
              </w:rPr>
              <w:t>of</w:t>
            </w:r>
            <w:r>
              <w:rPr>
                <w:spacing w:val="-4"/>
                <w:sz w:val="18"/>
              </w:rPr>
              <w:t> </w:t>
            </w:r>
            <w:r>
              <w:rPr>
                <w:sz w:val="18"/>
              </w:rPr>
              <w:t>researcher</w:t>
            </w:r>
            <w:r>
              <w:rPr>
                <w:spacing w:val="-3"/>
                <w:sz w:val="18"/>
              </w:rPr>
              <w:t> </w:t>
            </w:r>
            <w:r>
              <w:rPr>
                <w:sz w:val="18"/>
              </w:rPr>
              <w:t>and</w:t>
            </w:r>
            <w:r>
              <w:rPr>
                <w:spacing w:val="-4"/>
                <w:sz w:val="18"/>
              </w:rPr>
              <w:t> </w:t>
            </w:r>
            <w:r>
              <w:rPr>
                <w:sz w:val="18"/>
              </w:rPr>
              <w:t>describe</w:t>
            </w:r>
            <w:r>
              <w:rPr>
                <w:spacing w:val="-4"/>
                <w:sz w:val="18"/>
              </w:rPr>
              <w:t> </w:t>
            </w:r>
            <w:r>
              <w:rPr>
                <w:sz w:val="18"/>
              </w:rPr>
              <w:t>the</w:t>
            </w:r>
            <w:r>
              <w:rPr>
                <w:spacing w:val="-3"/>
                <w:sz w:val="18"/>
              </w:rPr>
              <w:t> </w:t>
            </w:r>
            <w:r>
              <w:rPr>
                <w:sz w:val="18"/>
              </w:rPr>
              <w:t>project</w:t>
            </w:r>
            <w:r>
              <w:rPr>
                <w:spacing w:val="-5"/>
                <w:sz w:val="18"/>
              </w:rPr>
              <w:t> </w:t>
            </w:r>
            <w:r>
              <w:rPr>
                <w:sz w:val="18"/>
              </w:rPr>
              <w:t>and</w:t>
            </w:r>
            <w:r>
              <w:rPr>
                <w:spacing w:val="-4"/>
                <w:sz w:val="18"/>
              </w:rPr>
              <w:t> </w:t>
            </w:r>
            <w:r>
              <w:rPr>
                <w:sz w:val="18"/>
              </w:rPr>
              <w:t>its</w:t>
            </w:r>
            <w:r>
              <w:rPr>
                <w:spacing w:val="-5"/>
                <w:sz w:val="18"/>
              </w:rPr>
              <w:t> </w:t>
            </w:r>
            <w:r>
              <w:rPr>
                <w:sz w:val="18"/>
              </w:rPr>
              <w:t>purpose.</w:t>
            </w:r>
          </w:p>
          <w:p>
            <w:pPr>
              <w:pStyle w:val="TableParagraph"/>
              <w:numPr>
                <w:ilvl w:val="0"/>
                <w:numId w:val="240"/>
              </w:numPr>
              <w:tabs>
                <w:tab w:pos="276" w:val="left" w:leader="none"/>
              </w:tabs>
              <w:spacing w:line="240" w:lineRule="auto" w:before="31" w:after="0"/>
              <w:ind w:left="275" w:right="0" w:hanging="169"/>
              <w:jc w:val="both"/>
              <w:rPr>
                <w:sz w:val="18"/>
              </w:rPr>
            </w:pPr>
            <w:r>
              <w:rPr>
                <w:sz w:val="18"/>
              </w:rPr>
              <w:t>Outline:</w:t>
            </w:r>
          </w:p>
          <w:p>
            <w:pPr>
              <w:pStyle w:val="TableParagraph"/>
              <w:numPr>
                <w:ilvl w:val="0"/>
                <w:numId w:val="240"/>
              </w:numPr>
              <w:tabs>
                <w:tab w:pos="276" w:val="left" w:leader="none"/>
              </w:tabs>
              <w:spacing w:line="276" w:lineRule="auto" w:before="34" w:after="0"/>
              <w:ind w:left="275" w:right="129" w:hanging="168"/>
              <w:jc w:val="both"/>
              <w:rPr>
                <w:sz w:val="18"/>
              </w:rPr>
            </w:pPr>
            <w:r>
              <w:rPr>
                <w:sz w:val="18"/>
              </w:rPr>
              <w:t>Remind the participant that participation is voluntary; that they do not have</w:t>
            </w:r>
            <w:r>
              <w:rPr>
                <w:spacing w:val="-48"/>
                <w:sz w:val="18"/>
              </w:rPr>
              <w:t> </w:t>
            </w:r>
            <w:r>
              <w:rPr>
                <w:sz w:val="18"/>
              </w:rPr>
              <w:t>to take part, and that there will be no repercussions if they choose not to do</w:t>
            </w:r>
            <w:r>
              <w:rPr>
                <w:spacing w:val="-48"/>
                <w:sz w:val="18"/>
              </w:rPr>
              <w:t> </w:t>
            </w:r>
            <w:r>
              <w:rPr>
                <w:sz w:val="18"/>
              </w:rPr>
              <w:t>so.</w:t>
            </w:r>
          </w:p>
          <w:p>
            <w:pPr>
              <w:pStyle w:val="TableParagraph"/>
              <w:numPr>
                <w:ilvl w:val="0"/>
                <w:numId w:val="240"/>
              </w:numPr>
              <w:tabs>
                <w:tab w:pos="276" w:val="left" w:leader="none"/>
              </w:tabs>
              <w:spacing w:line="220" w:lineRule="exact" w:before="0" w:after="0"/>
              <w:ind w:left="275" w:right="0" w:hanging="169"/>
              <w:jc w:val="both"/>
              <w:rPr>
                <w:sz w:val="18"/>
              </w:rPr>
            </w:pPr>
            <w:r>
              <w:rPr>
                <w:sz w:val="18"/>
              </w:rPr>
              <w:t>Describe</w:t>
            </w:r>
            <w:r>
              <w:rPr>
                <w:spacing w:val="-5"/>
                <w:sz w:val="18"/>
              </w:rPr>
              <w:t> </w:t>
            </w:r>
            <w:r>
              <w:rPr>
                <w:sz w:val="18"/>
              </w:rPr>
              <w:t>what</w:t>
            </w:r>
            <w:r>
              <w:rPr>
                <w:spacing w:val="-4"/>
                <w:sz w:val="18"/>
              </w:rPr>
              <w:t> </w:t>
            </w:r>
            <w:r>
              <w:rPr>
                <w:sz w:val="18"/>
              </w:rPr>
              <w:t>participation</w:t>
            </w:r>
            <w:r>
              <w:rPr>
                <w:spacing w:val="-4"/>
                <w:sz w:val="18"/>
              </w:rPr>
              <w:t> </w:t>
            </w:r>
            <w:r>
              <w:rPr>
                <w:sz w:val="18"/>
              </w:rPr>
              <w:t>in</w:t>
            </w:r>
            <w:r>
              <w:rPr>
                <w:spacing w:val="-4"/>
                <w:sz w:val="18"/>
              </w:rPr>
              <w:t> </w:t>
            </w:r>
            <w:r>
              <w:rPr>
                <w:sz w:val="18"/>
              </w:rPr>
              <w:t>the</w:t>
            </w:r>
            <w:r>
              <w:rPr>
                <w:spacing w:val="-3"/>
                <w:sz w:val="18"/>
              </w:rPr>
              <w:t> </w:t>
            </w:r>
            <w:r>
              <w:rPr>
                <w:sz w:val="18"/>
              </w:rPr>
              <w:t>interview</w:t>
            </w:r>
            <w:r>
              <w:rPr>
                <w:spacing w:val="-5"/>
                <w:sz w:val="18"/>
              </w:rPr>
              <w:t> </w:t>
            </w:r>
            <w:r>
              <w:rPr>
                <w:sz w:val="18"/>
              </w:rPr>
              <w:t>involves.</w:t>
            </w:r>
          </w:p>
          <w:p>
            <w:pPr>
              <w:pStyle w:val="TableParagraph"/>
              <w:numPr>
                <w:ilvl w:val="0"/>
                <w:numId w:val="240"/>
              </w:numPr>
              <w:tabs>
                <w:tab w:pos="276" w:val="left" w:leader="none"/>
              </w:tabs>
              <w:spacing w:line="276" w:lineRule="auto" w:before="34" w:after="0"/>
              <w:ind w:left="275" w:right="416" w:hanging="168"/>
              <w:jc w:val="left"/>
              <w:rPr>
                <w:sz w:val="18"/>
              </w:rPr>
            </w:pPr>
            <w:r>
              <w:rPr>
                <w:sz w:val="18"/>
              </w:rPr>
              <w:t>Remind</w:t>
            </w:r>
            <w:r>
              <w:rPr>
                <w:spacing w:val="-3"/>
                <w:sz w:val="18"/>
              </w:rPr>
              <w:t> </w:t>
            </w:r>
            <w:r>
              <w:rPr>
                <w:sz w:val="18"/>
              </w:rPr>
              <w:t>the</w:t>
            </w:r>
            <w:r>
              <w:rPr>
                <w:spacing w:val="-2"/>
                <w:sz w:val="18"/>
              </w:rPr>
              <w:t> </w:t>
            </w:r>
            <w:r>
              <w:rPr>
                <w:sz w:val="18"/>
              </w:rPr>
              <w:t>participant</w:t>
            </w:r>
            <w:r>
              <w:rPr>
                <w:spacing w:val="-4"/>
                <w:sz w:val="18"/>
              </w:rPr>
              <w:t> </w:t>
            </w:r>
            <w:r>
              <w:rPr>
                <w:sz w:val="18"/>
              </w:rPr>
              <w:t>that</w:t>
            </w:r>
            <w:r>
              <w:rPr>
                <w:spacing w:val="-3"/>
                <w:sz w:val="18"/>
              </w:rPr>
              <w:t> </w:t>
            </w:r>
            <w:r>
              <w:rPr>
                <w:sz w:val="18"/>
              </w:rPr>
              <w:t>they</w:t>
            </w:r>
            <w:r>
              <w:rPr>
                <w:spacing w:val="-3"/>
                <w:sz w:val="18"/>
              </w:rPr>
              <w:t> </w:t>
            </w:r>
            <w:r>
              <w:rPr>
                <w:sz w:val="18"/>
              </w:rPr>
              <w:t>can</w:t>
            </w:r>
            <w:r>
              <w:rPr>
                <w:spacing w:val="-2"/>
                <w:sz w:val="18"/>
              </w:rPr>
              <w:t> </w:t>
            </w:r>
            <w:r>
              <w:rPr>
                <w:sz w:val="18"/>
              </w:rPr>
              <w:t>withdraw</w:t>
            </w:r>
            <w:r>
              <w:rPr>
                <w:spacing w:val="-3"/>
                <w:sz w:val="18"/>
              </w:rPr>
              <w:t> </w:t>
            </w:r>
            <w:r>
              <w:rPr>
                <w:sz w:val="18"/>
              </w:rPr>
              <w:t>from</w:t>
            </w:r>
            <w:r>
              <w:rPr>
                <w:spacing w:val="-5"/>
                <w:sz w:val="18"/>
              </w:rPr>
              <w:t> </w:t>
            </w:r>
            <w:r>
              <w:rPr>
                <w:sz w:val="18"/>
              </w:rPr>
              <w:t>the</w:t>
            </w:r>
            <w:r>
              <w:rPr>
                <w:spacing w:val="-2"/>
                <w:sz w:val="18"/>
              </w:rPr>
              <w:t> </w:t>
            </w:r>
            <w:r>
              <w:rPr>
                <w:sz w:val="18"/>
              </w:rPr>
              <w:t>interview</w:t>
            </w:r>
            <w:r>
              <w:rPr>
                <w:spacing w:val="-3"/>
                <w:sz w:val="18"/>
              </w:rPr>
              <w:t> </w:t>
            </w:r>
            <w:r>
              <w:rPr>
                <w:sz w:val="18"/>
              </w:rPr>
              <w:t>at</w:t>
            </w:r>
            <w:r>
              <w:rPr>
                <w:spacing w:val="-3"/>
                <w:sz w:val="18"/>
              </w:rPr>
              <w:t> </w:t>
            </w:r>
            <w:r>
              <w:rPr>
                <w:sz w:val="18"/>
              </w:rPr>
              <w:t>any</w:t>
            </w:r>
            <w:r>
              <w:rPr>
                <w:spacing w:val="-47"/>
                <w:sz w:val="18"/>
              </w:rPr>
              <w:t> </w:t>
            </w:r>
            <w:r>
              <w:rPr>
                <w:sz w:val="18"/>
              </w:rPr>
              <w:t>time,</w:t>
            </w:r>
            <w:r>
              <w:rPr>
                <w:spacing w:val="-3"/>
                <w:sz w:val="18"/>
              </w:rPr>
              <w:t> </w:t>
            </w:r>
            <w:r>
              <w:rPr>
                <w:sz w:val="18"/>
              </w:rPr>
              <w:t>and that</w:t>
            </w:r>
            <w:r>
              <w:rPr>
                <w:spacing w:val="-3"/>
                <w:sz w:val="18"/>
              </w:rPr>
              <w:t> </w:t>
            </w:r>
            <w:r>
              <w:rPr>
                <w:sz w:val="18"/>
              </w:rPr>
              <w:t>they</w:t>
            </w:r>
            <w:r>
              <w:rPr>
                <w:spacing w:val="-2"/>
                <w:sz w:val="18"/>
              </w:rPr>
              <w:t> </w:t>
            </w:r>
            <w:r>
              <w:rPr>
                <w:sz w:val="18"/>
              </w:rPr>
              <w:t>do</w:t>
            </w:r>
            <w:r>
              <w:rPr>
                <w:spacing w:val="-1"/>
                <w:sz w:val="18"/>
              </w:rPr>
              <w:t> </w:t>
            </w:r>
            <w:r>
              <w:rPr>
                <w:sz w:val="18"/>
              </w:rPr>
              <w:t>not have</w:t>
            </w:r>
            <w:r>
              <w:rPr>
                <w:spacing w:val="-1"/>
                <w:sz w:val="18"/>
              </w:rPr>
              <w:t> </w:t>
            </w:r>
            <w:r>
              <w:rPr>
                <w:sz w:val="18"/>
              </w:rPr>
              <w:t>to</w:t>
            </w:r>
            <w:r>
              <w:rPr>
                <w:spacing w:val="-1"/>
                <w:sz w:val="18"/>
              </w:rPr>
              <w:t> </w:t>
            </w:r>
            <w:r>
              <w:rPr>
                <w:sz w:val="18"/>
              </w:rPr>
              <w:t>answer</w:t>
            </w:r>
            <w:r>
              <w:rPr>
                <w:spacing w:val="-1"/>
                <w:sz w:val="18"/>
              </w:rPr>
              <w:t> </w:t>
            </w:r>
            <w:r>
              <w:rPr>
                <w:sz w:val="18"/>
              </w:rPr>
              <w:t>any</w:t>
            </w:r>
            <w:r>
              <w:rPr>
                <w:spacing w:val="-2"/>
                <w:sz w:val="18"/>
              </w:rPr>
              <w:t> </w:t>
            </w:r>
            <w:r>
              <w:rPr>
                <w:sz w:val="18"/>
              </w:rPr>
              <w:t>further</w:t>
            </w:r>
            <w:r>
              <w:rPr>
                <w:spacing w:val="-2"/>
                <w:sz w:val="18"/>
              </w:rPr>
              <w:t> </w:t>
            </w:r>
            <w:r>
              <w:rPr>
                <w:sz w:val="18"/>
              </w:rPr>
              <w:t>questions.</w:t>
            </w:r>
          </w:p>
          <w:p>
            <w:pPr>
              <w:pStyle w:val="TableParagraph"/>
              <w:numPr>
                <w:ilvl w:val="0"/>
                <w:numId w:val="240"/>
              </w:numPr>
              <w:tabs>
                <w:tab w:pos="276" w:val="left" w:leader="none"/>
              </w:tabs>
              <w:spacing w:line="276" w:lineRule="auto" w:before="1" w:after="0"/>
              <w:ind w:left="275" w:right="255" w:hanging="168"/>
              <w:jc w:val="left"/>
              <w:rPr>
                <w:sz w:val="18"/>
              </w:rPr>
            </w:pPr>
            <w:r>
              <w:rPr>
                <w:sz w:val="18"/>
              </w:rPr>
              <w:t>Outline confidentiality/anonymity provisions, that is, that the practice and</w:t>
            </w:r>
            <w:r>
              <w:rPr>
                <w:spacing w:val="1"/>
                <w:sz w:val="18"/>
              </w:rPr>
              <w:t> </w:t>
            </w:r>
            <w:r>
              <w:rPr>
                <w:sz w:val="18"/>
              </w:rPr>
              <w:t>participant</w:t>
            </w:r>
            <w:r>
              <w:rPr>
                <w:spacing w:val="-4"/>
                <w:sz w:val="18"/>
              </w:rPr>
              <w:t> </w:t>
            </w:r>
            <w:r>
              <w:rPr>
                <w:sz w:val="18"/>
              </w:rPr>
              <w:t>will</w:t>
            </w:r>
            <w:r>
              <w:rPr>
                <w:spacing w:val="-5"/>
                <w:sz w:val="18"/>
              </w:rPr>
              <w:t> </w:t>
            </w:r>
            <w:r>
              <w:rPr>
                <w:sz w:val="18"/>
              </w:rPr>
              <w:t>not</w:t>
            </w:r>
            <w:r>
              <w:rPr>
                <w:spacing w:val="-4"/>
                <w:sz w:val="18"/>
              </w:rPr>
              <w:t> </w:t>
            </w:r>
            <w:r>
              <w:rPr>
                <w:sz w:val="18"/>
              </w:rPr>
              <w:t>be</w:t>
            </w:r>
            <w:r>
              <w:rPr>
                <w:spacing w:val="-2"/>
                <w:sz w:val="18"/>
              </w:rPr>
              <w:t> </w:t>
            </w:r>
            <w:r>
              <w:rPr>
                <w:sz w:val="18"/>
              </w:rPr>
              <w:t>named</w:t>
            </w:r>
            <w:r>
              <w:rPr>
                <w:spacing w:val="-2"/>
                <w:sz w:val="18"/>
              </w:rPr>
              <w:t> </w:t>
            </w:r>
            <w:r>
              <w:rPr>
                <w:sz w:val="18"/>
              </w:rPr>
              <w:t>in</w:t>
            </w:r>
            <w:r>
              <w:rPr>
                <w:spacing w:val="-4"/>
                <w:sz w:val="18"/>
              </w:rPr>
              <w:t> </w:t>
            </w:r>
            <w:r>
              <w:rPr>
                <w:sz w:val="18"/>
              </w:rPr>
              <w:t>any</w:t>
            </w:r>
            <w:r>
              <w:rPr>
                <w:spacing w:val="-3"/>
                <w:sz w:val="18"/>
              </w:rPr>
              <w:t> </w:t>
            </w:r>
            <w:r>
              <w:rPr>
                <w:sz w:val="18"/>
              </w:rPr>
              <w:t>reporting</w:t>
            </w:r>
            <w:r>
              <w:rPr>
                <w:spacing w:val="-4"/>
                <w:sz w:val="18"/>
              </w:rPr>
              <w:t> </w:t>
            </w:r>
            <w:r>
              <w:rPr>
                <w:sz w:val="18"/>
              </w:rPr>
              <w:t>of</w:t>
            </w:r>
            <w:r>
              <w:rPr>
                <w:spacing w:val="-4"/>
                <w:sz w:val="18"/>
              </w:rPr>
              <w:t> </w:t>
            </w:r>
            <w:r>
              <w:rPr>
                <w:sz w:val="18"/>
              </w:rPr>
              <w:t>results</w:t>
            </w:r>
            <w:r>
              <w:rPr>
                <w:spacing w:val="-2"/>
                <w:sz w:val="18"/>
              </w:rPr>
              <w:t> </w:t>
            </w:r>
            <w:r>
              <w:rPr>
                <w:sz w:val="18"/>
              </w:rPr>
              <w:t>to</w:t>
            </w:r>
            <w:r>
              <w:rPr>
                <w:spacing w:val="-2"/>
                <w:sz w:val="18"/>
              </w:rPr>
              <w:t> </w:t>
            </w:r>
            <w:r>
              <w:rPr>
                <w:sz w:val="18"/>
              </w:rPr>
              <w:t>any</w:t>
            </w:r>
            <w:r>
              <w:rPr>
                <w:spacing w:val="-3"/>
                <w:sz w:val="18"/>
              </w:rPr>
              <w:t> </w:t>
            </w:r>
            <w:r>
              <w:rPr>
                <w:sz w:val="18"/>
              </w:rPr>
              <w:t>parties,</w:t>
            </w:r>
            <w:r>
              <w:rPr>
                <w:spacing w:val="-5"/>
                <w:sz w:val="18"/>
              </w:rPr>
              <w:t> </w:t>
            </w:r>
            <w:r>
              <w:rPr>
                <w:sz w:val="18"/>
              </w:rPr>
              <w:t>and</w:t>
            </w:r>
            <w:r>
              <w:rPr>
                <w:spacing w:val="-47"/>
                <w:sz w:val="18"/>
              </w:rPr>
              <w:t> </w:t>
            </w:r>
            <w:r>
              <w:rPr>
                <w:sz w:val="18"/>
              </w:rPr>
              <w:t>that the participants responses will not be shared with / disclosed to any</w:t>
            </w:r>
            <w:r>
              <w:rPr>
                <w:spacing w:val="1"/>
                <w:sz w:val="18"/>
              </w:rPr>
              <w:t> </w:t>
            </w:r>
            <w:r>
              <w:rPr>
                <w:sz w:val="18"/>
              </w:rPr>
              <w:t>other</w:t>
            </w:r>
            <w:r>
              <w:rPr>
                <w:spacing w:val="-1"/>
                <w:sz w:val="18"/>
              </w:rPr>
              <w:t> </w:t>
            </w:r>
            <w:r>
              <w:rPr>
                <w:sz w:val="18"/>
              </w:rPr>
              <w:t>person</w:t>
            </w:r>
            <w:r>
              <w:rPr>
                <w:spacing w:val="-2"/>
                <w:sz w:val="18"/>
              </w:rPr>
              <w:t> </w:t>
            </w:r>
            <w:r>
              <w:rPr>
                <w:sz w:val="18"/>
              </w:rPr>
              <w:t>in the practice.</w:t>
            </w:r>
          </w:p>
          <w:p>
            <w:pPr>
              <w:pStyle w:val="TableParagraph"/>
              <w:numPr>
                <w:ilvl w:val="0"/>
                <w:numId w:val="240"/>
              </w:numPr>
              <w:tabs>
                <w:tab w:pos="276" w:val="left" w:leader="none"/>
              </w:tabs>
              <w:spacing w:line="273" w:lineRule="auto" w:before="0" w:after="0"/>
              <w:ind w:left="275" w:right="636" w:hanging="168"/>
              <w:jc w:val="left"/>
              <w:rPr>
                <w:sz w:val="18"/>
              </w:rPr>
            </w:pPr>
            <w:r>
              <w:rPr>
                <w:sz w:val="18"/>
              </w:rPr>
              <w:t>Outline</w:t>
            </w:r>
            <w:r>
              <w:rPr>
                <w:spacing w:val="-5"/>
                <w:sz w:val="18"/>
              </w:rPr>
              <w:t> </w:t>
            </w:r>
            <w:r>
              <w:rPr>
                <w:sz w:val="18"/>
              </w:rPr>
              <w:t>how</w:t>
            </w:r>
            <w:r>
              <w:rPr>
                <w:spacing w:val="-4"/>
                <w:sz w:val="18"/>
              </w:rPr>
              <w:t> </w:t>
            </w:r>
            <w:r>
              <w:rPr>
                <w:sz w:val="18"/>
              </w:rPr>
              <w:t>the</w:t>
            </w:r>
            <w:r>
              <w:rPr>
                <w:spacing w:val="-2"/>
                <w:sz w:val="18"/>
              </w:rPr>
              <w:t> </w:t>
            </w:r>
            <w:r>
              <w:rPr>
                <w:sz w:val="18"/>
              </w:rPr>
              <w:t>practice</w:t>
            </w:r>
            <w:r>
              <w:rPr>
                <w:spacing w:val="-2"/>
                <w:sz w:val="18"/>
              </w:rPr>
              <w:t> </w:t>
            </w:r>
            <w:r>
              <w:rPr>
                <w:sz w:val="18"/>
              </w:rPr>
              <w:t>will</w:t>
            </w:r>
            <w:r>
              <w:rPr>
                <w:spacing w:val="-3"/>
                <w:sz w:val="18"/>
              </w:rPr>
              <w:t> </w:t>
            </w:r>
            <w:r>
              <w:rPr>
                <w:sz w:val="18"/>
              </w:rPr>
              <w:t>be</w:t>
            </w:r>
            <w:r>
              <w:rPr>
                <w:spacing w:val="-4"/>
                <w:sz w:val="18"/>
              </w:rPr>
              <w:t> </w:t>
            </w:r>
            <w:r>
              <w:rPr>
                <w:sz w:val="18"/>
              </w:rPr>
              <w:t>informed</w:t>
            </w:r>
            <w:r>
              <w:rPr>
                <w:spacing w:val="-3"/>
                <w:sz w:val="18"/>
              </w:rPr>
              <w:t> </w:t>
            </w:r>
            <w:r>
              <w:rPr>
                <w:sz w:val="18"/>
              </w:rPr>
              <w:t>of</w:t>
            </w:r>
            <w:r>
              <w:rPr>
                <w:spacing w:val="-1"/>
                <w:sz w:val="18"/>
              </w:rPr>
              <w:t> </w:t>
            </w:r>
            <w:r>
              <w:rPr>
                <w:sz w:val="18"/>
              </w:rPr>
              <w:t>the</w:t>
            </w:r>
            <w:r>
              <w:rPr>
                <w:spacing w:val="-3"/>
                <w:sz w:val="18"/>
              </w:rPr>
              <w:t> </w:t>
            </w:r>
            <w:r>
              <w:rPr>
                <w:sz w:val="18"/>
              </w:rPr>
              <w:t>results</w:t>
            </w:r>
            <w:r>
              <w:rPr>
                <w:spacing w:val="-5"/>
                <w:sz w:val="18"/>
              </w:rPr>
              <w:t> </w:t>
            </w:r>
            <w:r>
              <w:rPr>
                <w:sz w:val="18"/>
              </w:rPr>
              <w:t>of</w:t>
            </w:r>
            <w:r>
              <w:rPr>
                <w:spacing w:val="-2"/>
                <w:sz w:val="18"/>
              </w:rPr>
              <w:t> </w:t>
            </w:r>
            <w:r>
              <w:rPr>
                <w:sz w:val="18"/>
              </w:rPr>
              <w:t>the</w:t>
            </w:r>
            <w:r>
              <w:rPr>
                <w:spacing w:val="-2"/>
                <w:sz w:val="18"/>
              </w:rPr>
              <w:t> </w:t>
            </w:r>
            <w:r>
              <w:rPr>
                <w:sz w:val="18"/>
              </w:rPr>
              <w:t>research</w:t>
            </w:r>
            <w:r>
              <w:rPr>
                <w:spacing w:val="-47"/>
                <w:sz w:val="18"/>
              </w:rPr>
              <w:t> </w:t>
            </w:r>
            <w:r>
              <w:rPr>
                <w:sz w:val="18"/>
              </w:rPr>
              <w:t>when</w:t>
            </w:r>
            <w:r>
              <w:rPr>
                <w:spacing w:val="-3"/>
                <w:sz w:val="18"/>
              </w:rPr>
              <w:t> </w:t>
            </w:r>
            <w:r>
              <w:rPr>
                <w:sz w:val="18"/>
              </w:rPr>
              <w:t>it</w:t>
            </w:r>
            <w:r>
              <w:rPr>
                <w:spacing w:val="-2"/>
                <w:sz w:val="18"/>
              </w:rPr>
              <w:t> </w:t>
            </w:r>
            <w:r>
              <w:rPr>
                <w:sz w:val="18"/>
              </w:rPr>
              <w:t>is</w:t>
            </w:r>
            <w:r>
              <w:rPr>
                <w:spacing w:val="-3"/>
                <w:sz w:val="18"/>
              </w:rPr>
              <w:t> </w:t>
            </w:r>
            <w:r>
              <w:rPr>
                <w:sz w:val="18"/>
              </w:rPr>
              <w:t>finished.</w:t>
            </w:r>
          </w:p>
          <w:p>
            <w:pPr>
              <w:pStyle w:val="TableParagraph"/>
              <w:numPr>
                <w:ilvl w:val="0"/>
                <w:numId w:val="240"/>
              </w:numPr>
              <w:tabs>
                <w:tab w:pos="276" w:val="left" w:leader="none"/>
              </w:tabs>
              <w:spacing w:line="276" w:lineRule="auto" w:before="4" w:after="0"/>
              <w:ind w:left="275" w:right="347" w:hanging="168"/>
              <w:jc w:val="left"/>
              <w:rPr>
                <w:sz w:val="18"/>
              </w:rPr>
            </w:pPr>
            <w:r>
              <w:rPr>
                <w:sz w:val="18"/>
              </w:rPr>
              <w:t>Provide details on who to contact in case of any or concerns or questions</w:t>
            </w:r>
            <w:r>
              <w:rPr>
                <w:spacing w:val="-47"/>
                <w:sz w:val="18"/>
              </w:rPr>
              <w:t> </w:t>
            </w:r>
            <w:r>
              <w:rPr>
                <w:sz w:val="18"/>
              </w:rPr>
              <w:t>that may</w:t>
            </w:r>
            <w:r>
              <w:rPr>
                <w:spacing w:val="-1"/>
                <w:sz w:val="18"/>
              </w:rPr>
              <w:t> </w:t>
            </w:r>
            <w:r>
              <w:rPr>
                <w:sz w:val="18"/>
              </w:rPr>
              <w:t>arise after the</w:t>
            </w:r>
            <w:r>
              <w:rPr>
                <w:spacing w:val="-3"/>
                <w:sz w:val="18"/>
              </w:rPr>
              <w:t> </w:t>
            </w:r>
            <w:r>
              <w:rPr>
                <w:sz w:val="18"/>
              </w:rPr>
              <w:t>interview.</w:t>
            </w:r>
          </w:p>
          <w:p>
            <w:pPr>
              <w:pStyle w:val="TableParagraph"/>
              <w:numPr>
                <w:ilvl w:val="0"/>
                <w:numId w:val="240"/>
              </w:numPr>
              <w:tabs>
                <w:tab w:pos="276" w:val="left" w:leader="none"/>
              </w:tabs>
              <w:spacing w:line="240" w:lineRule="auto" w:before="1" w:after="0"/>
              <w:ind w:left="275" w:right="0" w:hanging="169"/>
              <w:jc w:val="left"/>
              <w:rPr>
                <w:sz w:val="18"/>
              </w:rPr>
            </w:pPr>
            <w:r>
              <w:rPr>
                <w:sz w:val="18"/>
              </w:rPr>
              <w:t>Seek</w:t>
            </w:r>
            <w:r>
              <w:rPr>
                <w:spacing w:val="-2"/>
                <w:sz w:val="18"/>
              </w:rPr>
              <w:t> </w:t>
            </w:r>
            <w:r>
              <w:rPr>
                <w:sz w:val="18"/>
              </w:rPr>
              <w:t>permission</w:t>
            </w:r>
            <w:r>
              <w:rPr>
                <w:spacing w:val="-2"/>
                <w:sz w:val="18"/>
              </w:rPr>
              <w:t> </w:t>
            </w:r>
            <w:r>
              <w:rPr>
                <w:sz w:val="18"/>
              </w:rPr>
              <w:t>to</w:t>
            </w:r>
            <w:r>
              <w:rPr>
                <w:spacing w:val="-2"/>
                <w:sz w:val="18"/>
              </w:rPr>
              <w:t> </w:t>
            </w:r>
            <w:r>
              <w:rPr>
                <w:sz w:val="18"/>
              </w:rPr>
              <w:t>audio</w:t>
            </w:r>
            <w:r>
              <w:rPr>
                <w:spacing w:val="-4"/>
                <w:sz w:val="18"/>
              </w:rPr>
              <w:t> </w:t>
            </w:r>
            <w:r>
              <w:rPr>
                <w:sz w:val="18"/>
              </w:rPr>
              <w:t>record</w:t>
            </w:r>
            <w:r>
              <w:rPr>
                <w:spacing w:val="-3"/>
                <w:sz w:val="18"/>
              </w:rPr>
              <w:t> </w:t>
            </w:r>
            <w:r>
              <w:rPr>
                <w:sz w:val="18"/>
              </w:rPr>
              <w:t>the</w:t>
            </w:r>
            <w:r>
              <w:rPr>
                <w:spacing w:val="-3"/>
                <w:sz w:val="18"/>
              </w:rPr>
              <w:t> </w:t>
            </w:r>
            <w:r>
              <w:rPr>
                <w:sz w:val="18"/>
              </w:rPr>
              <w:t>interview.</w:t>
            </w:r>
          </w:p>
          <w:p>
            <w:pPr>
              <w:pStyle w:val="TableParagraph"/>
              <w:numPr>
                <w:ilvl w:val="0"/>
                <w:numId w:val="240"/>
              </w:numPr>
              <w:tabs>
                <w:tab w:pos="276" w:val="left" w:leader="none"/>
              </w:tabs>
              <w:spacing w:line="240" w:lineRule="auto" w:before="31" w:after="0"/>
              <w:ind w:left="275" w:right="0" w:hanging="169"/>
              <w:jc w:val="left"/>
              <w:rPr>
                <w:sz w:val="18"/>
              </w:rPr>
            </w:pPr>
            <w:r>
              <w:rPr>
                <w:sz w:val="18"/>
              </w:rPr>
              <w:t>Check</w:t>
            </w:r>
            <w:r>
              <w:rPr>
                <w:spacing w:val="-4"/>
                <w:sz w:val="18"/>
              </w:rPr>
              <w:t> </w:t>
            </w:r>
            <w:r>
              <w:rPr>
                <w:sz w:val="18"/>
              </w:rPr>
              <w:t>whether</w:t>
            </w:r>
            <w:r>
              <w:rPr>
                <w:spacing w:val="-4"/>
                <w:sz w:val="18"/>
              </w:rPr>
              <w:t> </w:t>
            </w:r>
            <w:r>
              <w:rPr>
                <w:sz w:val="18"/>
              </w:rPr>
              <w:t>the</w:t>
            </w:r>
            <w:r>
              <w:rPr>
                <w:spacing w:val="-2"/>
                <w:sz w:val="18"/>
              </w:rPr>
              <w:t> </w:t>
            </w:r>
            <w:r>
              <w:rPr>
                <w:sz w:val="18"/>
              </w:rPr>
              <w:t>participant</w:t>
            </w:r>
            <w:r>
              <w:rPr>
                <w:spacing w:val="-4"/>
                <w:sz w:val="18"/>
              </w:rPr>
              <w:t> </w:t>
            </w:r>
            <w:r>
              <w:rPr>
                <w:sz w:val="18"/>
              </w:rPr>
              <w:t>has</w:t>
            </w:r>
            <w:r>
              <w:rPr>
                <w:spacing w:val="-3"/>
                <w:sz w:val="18"/>
              </w:rPr>
              <w:t> </w:t>
            </w:r>
            <w:r>
              <w:rPr>
                <w:sz w:val="18"/>
              </w:rPr>
              <w:t>any</w:t>
            </w:r>
            <w:r>
              <w:rPr>
                <w:spacing w:val="-3"/>
                <w:sz w:val="18"/>
              </w:rPr>
              <w:t> </w:t>
            </w:r>
            <w:r>
              <w:rPr>
                <w:sz w:val="18"/>
              </w:rPr>
              <w:t>questions.</w:t>
            </w:r>
          </w:p>
          <w:p>
            <w:pPr>
              <w:pStyle w:val="TableParagraph"/>
              <w:numPr>
                <w:ilvl w:val="0"/>
                <w:numId w:val="240"/>
              </w:numPr>
              <w:tabs>
                <w:tab w:pos="276" w:val="left" w:leader="none"/>
              </w:tabs>
              <w:spacing w:line="240" w:lineRule="auto" w:before="34" w:after="0"/>
              <w:ind w:left="275" w:right="0" w:hanging="169"/>
              <w:jc w:val="left"/>
              <w:rPr>
                <w:sz w:val="18"/>
              </w:rPr>
            </w:pPr>
            <w:r>
              <w:rPr>
                <w:sz w:val="18"/>
              </w:rPr>
              <w:t>Seek</w:t>
            </w:r>
            <w:r>
              <w:rPr>
                <w:spacing w:val="-3"/>
                <w:sz w:val="18"/>
              </w:rPr>
              <w:t> </w:t>
            </w:r>
            <w:r>
              <w:rPr>
                <w:sz w:val="18"/>
              </w:rPr>
              <w:t>verbal</w:t>
            </w:r>
            <w:r>
              <w:rPr>
                <w:spacing w:val="-2"/>
                <w:sz w:val="18"/>
              </w:rPr>
              <w:t> </w:t>
            </w:r>
            <w:r>
              <w:rPr>
                <w:sz w:val="18"/>
              </w:rPr>
              <w:t>consent</w:t>
            </w:r>
            <w:r>
              <w:rPr>
                <w:spacing w:val="-4"/>
                <w:sz w:val="18"/>
              </w:rPr>
              <w:t> </w:t>
            </w:r>
            <w:r>
              <w:rPr>
                <w:sz w:val="18"/>
              </w:rPr>
              <w:t>for</w:t>
            </w:r>
            <w:r>
              <w:rPr>
                <w:spacing w:val="-4"/>
                <w:sz w:val="18"/>
              </w:rPr>
              <w:t> </w:t>
            </w:r>
            <w:r>
              <w:rPr>
                <w:sz w:val="18"/>
              </w:rPr>
              <w:t>participation.</w:t>
            </w:r>
          </w:p>
        </w:tc>
      </w:tr>
      <w:tr>
        <w:trPr>
          <w:trHeight w:val="962" w:hRule="atLeast"/>
        </w:trPr>
        <w:tc>
          <w:tcPr>
            <w:tcW w:w="1980" w:type="dxa"/>
          </w:tcPr>
          <w:p>
            <w:pPr>
              <w:pStyle w:val="TableParagraph"/>
              <w:spacing w:line="196" w:lineRule="exact"/>
              <w:ind w:left="107"/>
              <w:rPr>
                <w:sz w:val="16"/>
              </w:rPr>
            </w:pPr>
            <w:r>
              <w:rPr>
                <w:sz w:val="16"/>
              </w:rPr>
              <w:t>Role</w:t>
            </w:r>
          </w:p>
        </w:tc>
        <w:tc>
          <w:tcPr>
            <w:tcW w:w="7038" w:type="dxa"/>
          </w:tcPr>
          <w:p>
            <w:pPr>
              <w:pStyle w:val="TableParagraph"/>
              <w:numPr>
                <w:ilvl w:val="0"/>
                <w:numId w:val="241"/>
              </w:numPr>
              <w:tabs>
                <w:tab w:pos="276" w:val="left" w:leader="none"/>
              </w:tabs>
              <w:spacing w:line="219" w:lineRule="exact" w:before="0" w:after="0"/>
              <w:ind w:left="275" w:right="0" w:hanging="169"/>
              <w:jc w:val="left"/>
              <w:rPr>
                <w:sz w:val="18"/>
              </w:rPr>
            </w:pPr>
            <w:r>
              <w:rPr>
                <w:sz w:val="18"/>
              </w:rPr>
              <w:t>What</w:t>
            </w:r>
            <w:r>
              <w:rPr>
                <w:spacing w:val="-5"/>
                <w:sz w:val="18"/>
              </w:rPr>
              <w:t> </w:t>
            </w:r>
            <w:r>
              <w:rPr>
                <w:sz w:val="18"/>
              </w:rPr>
              <w:t>is</w:t>
            </w:r>
            <w:r>
              <w:rPr>
                <w:spacing w:val="-3"/>
                <w:sz w:val="18"/>
              </w:rPr>
              <w:t> </w:t>
            </w:r>
            <w:r>
              <w:rPr>
                <w:sz w:val="18"/>
              </w:rPr>
              <w:t>your</w:t>
            </w:r>
            <w:r>
              <w:rPr>
                <w:spacing w:val="-1"/>
                <w:sz w:val="18"/>
              </w:rPr>
              <w:t> </w:t>
            </w:r>
            <w:r>
              <w:rPr>
                <w:sz w:val="18"/>
              </w:rPr>
              <w:t>role</w:t>
            </w:r>
            <w:r>
              <w:rPr>
                <w:spacing w:val="-2"/>
                <w:sz w:val="18"/>
              </w:rPr>
              <w:t> </w:t>
            </w:r>
            <w:r>
              <w:rPr>
                <w:sz w:val="18"/>
              </w:rPr>
              <w:t>within</w:t>
            </w:r>
            <w:r>
              <w:rPr>
                <w:spacing w:val="-3"/>
                <w:sz w:val="18"/>
              </w:rPr>
              <w:t> </w:t>
            </w:r>
            <w:r>
              <w:rPr>
                <w:sz w:val="18"/>
              </w:rPr>
              <w:t>the</w:t>
            </w:r>
            <w:r>
              <w:rPr>
                <w:spacing w:val="-4"/>
                <w:sz w:val="18"/>
              </w:rPr>
              <w:t> </w:t>
            </w:r>
            <w:r>
              <w:rPr>
                <w:sz w:val="18"/>
              </w:rPr>
              <w:t>practice?</w:t>
            </w:r>
          </w:p>
          <w:p>
            <w:pPr>
              <w:pStyle w:val="TableParagraph"/>
              <w:numPr>
                <w:ilvl w:val="0"/>
                <w:numId w:val="241"/>
              </w:numPr>
              <w:tabs>
                <w:tab w:pos="276" w:val="left" w:leader="none"/>
              </w:tabs>
              <w:spacing w:line="276" w:lineRule="auto" w:before="33" w:after="0"/>
              <w:ind w:left="275" w:right="424" w:hanging="168"/>
              <w:jc w:val="left"/>
              <w:rPr>
                <w:sz w:val="18"/>
              </w:rPr>
            </w:pPr>
            <w:r>
              <w:rPr>
                <w:sz w:val="18"/>
              </w:rPr>
              <w:t>How</w:t>
            </w:r>
            <w:r>
              <w:rPr>
                <w:spacing w:val="-4"/>
                <w:sz w:val="18"/>
              </w:rPr>
              <w:t> </w:t>
            </w:r>
            <w:r>
              <w:rPr>
                <w:sz w:val="18"/>
              </w:rPr>
              <w:t>long</w:t>
            </w:r>
            <w:r>
              <w:rPr>
                <w:spacing w:val="-2"/>
                <w:sz w:val="18"/>
              </w:rPr>
              <w:t> </w:t>
            </w:r>
            <w:r>
              <w:rPr>
                <w:sz w:val="18"/>
              </w:rPr>
              <w:t>have</w:t>
            </w:r>
            <w:r>
              <w:rPr>
                <w:spacing w:val="-2"/>
                <w:sz w:val="18"/>
              </w:rPr>
              <w:t> </w:t>
            </w:r>
            <w:r>
              <w:rPr>
                <w:sz w:val="18"/>
              </w:rPr>
              <w:t>you</w:t>
            </w:r>
            <w:r>
              <w:rPr>
                <w:spacing w:val="-2"/>
                <w:sz w:val="18"/>
              </w:rPr>
              <w:t> </w:t>
            </w:r>
            <w:r>
              <w:rPr>
                <w:sz w:val="18"/>
              </w:rPr>
              <w:t>been</w:t>
            </w:r>
            <w:r>
              <w:rPr>
                <w:spacing w:val="-1"/>
                <w:sz w:val="18"/>
              </w:rPr>
              <w:t> </w:t>
            </w:r>
            <w:r>
              <w:rPr>
                <w:sz w:val="18"/>
              </w:rPr>
              <w:t>working</w:t>
            </w:r>
            <w:r>
              <w:rPr>
                <w:spacing w:val="-4"/>
                <w:sz w:val="18"/>
              </w:rPr>
              <w:t> </w:t>
            </w:r>
            <w:r>
              <w:rPr>
                <w:sz w:val="18"/>
              </w:rPr>
              <w:t>in</w:t>
            </w:r>
            <w:r>
              <w:rPr>
                <w:spacing w:val="-2"/>
                <w:sz w:val="18"/>
              </w:rPr>
              <w:t> </w:t>
            </w:r>
            <w:r>
              <w:rPr>
                <w:sz w:val="18"/>
              </w:rPr>
              <w:t>the</w:t>
            </w:r>
            <w:r>
              <w:rPr>
                <w:spacing w:val="-2"/>
                <w:sz w:val="18"/>
              </w:rPr>
              <w:t> </w:t>
            </w:r>
            <w:r>
              <w:rPr>
                <w:sz w:val="18"/>
              </w:rPr>
              <w:t>practice?</w:t>
            </w:r>
            <w:r>
              <w:rPr>
                <w:spacing w:val="-2"/>
                <w:sz w:val="18"/>
              </w:rPr>
              <w:t> </w:t>
            </w:r>
            <w:r>
              <w:rPr>
                <w:sz w:val="18"/>
              </w:rPr>
              <w:t>(In</w:t>
            </w:r>
            <w:r>
              <w:rPr>
                <w:spacing w:val="-2"/>
                <w:sz w:val="18"/>
              </w:rPr>
              <w:t> </w:t>
            </w:r>
            <w:r>
              <w:rPr>
                <w:sz w:val="18"/>
              </w:rPr>
              <w:t>the</w:t>
            </w:r>
            <w:r>
              <w:rPr>
                <w:spacing w:val="-1"/>
                <w:sz w:val="18"/>
              </w:rPr>
              <w:t> </w:t>
            </w:r>
            <w:r>
              <w:rPr>
                <w:sz w:val="18"/>
              </w:rPr>
              <w:t>same</w:t>
            </w:r>
            <w:r>
              <w:rPr>
                <w:spacing w:val="-2"/>
                <w:sz w:val="18"/>
              </w:rPr>
              <w:t> </w:t>
            </w:r>
            <w:r>
              <w:rPr>
                <w:sz w:val="18"/>
              </w:rPr>
              <w:t>role,</w:t>
            </w:r>
            <w:r>
              <w:rPr>
                <w:spacing w:val="-3"/>
                <w:sz w:val="18"/>
              </w:rPr>
              <w:t> </w:t>
            </w:r>
            <w:r>
              <w:rPr>
                <w:sz w:val="18"/>
              </w:rPr>
              <w:t>or</w:t>
            </w:r>
            <w:r>
              <w:rPr>
                <w:spacing w:val="-1"/>
                <w:sz w:val="18"/>
              </w:rPr>
              <w:t> </w:t>
            </w:r>
            <w:r>
              <w:rPr>
                <w:sz w:val="18"/>
              </w:rPr>
              <w:t>a</w:t>
            </w:r>
            <w:r>
              <w:rPr>
                <w:spacing w:val="-46"/>
                <w:sz w:val="18"/>
              </w:rPr>
              <w:t> </w:t>
            </w:r>
            <w:r>
              <w:rPr>
                <w:sz w:val="18"/>
              </w:rPr>
              <w:t>different</w:t>
            </w:r>
            <w:r>
              <w:rPr>
                <w:spacing w:val="-3"/>
                <w:sz w:val="18"/>
              </w:rPr>
              <w:t> </w:t>
            </w:r>
            <w:r>
              <w:rPr>
                <w:sz w:val="18"/>
              </w:rPr>
              <w:t>role?)</w:t>
            </w:r>
          </w:p>
        </w:tc>
      </w:tr>
      <w:tr>
        <w:trPr>
          <w:trHeight w:val="4886" w:hRule="atLeast"/>
        </w:trPr>
        <w:tc>
          <w:tcPr>
            <w:tcW w:w="1980" w:type="dxa"/>
          </w:tcPr>
          <w:p>
            <w:pPr>
              <w:pStyle w:val="TableParagraph"/>
              <w:spacing w:line="196" w:lineRule="exact"/>
              <w:ind w:left="107"/>
              <w:rPr>
                <w:sz w:val="16"/>
              </w:rPr>
            </w:pPr>
            <w:r>
              <w:rPr>
                <w:sz w:val="16"/>
              </w:rPr>
              <w:t>Initiatives</w:t>
            </w:r>
            <w:r>
              <w:rPr>
                <w:spacing w:val="-4"/>
                <w:sz w:val="16"/>
              </w:rPr>
              <w:t> </w:t>
            </w:r>
            <w:r>
              <w:rPr>
                <w:sz w:val="16"/>
              </w:rPr>
              <w:t>under</w:t>
            </w:r>
            <w:r>
              <w:rPr>
                <w:spacing w:val="-4"/>
                <w:sz w:val="16"/>
              </w:rPr>
              <w:t> </w:t>
            </w:r>
            <w:r>
              <w:rPr>
                <w:sz w:val="16"/>
              </w:rPr>
              <w:t>HCH</w:t>
            </w:r>
          </w:p>
        </w:tc>
        <w:tc>
          <w:tcPr>
            <w:tcW w:w="7038" w:type="dxa"/>
          </w:tcPr>
          <w:p>
            <w:pPr>
              <w:pStyle w:val="TableParagraph"/>
              <w:numPr>
                <w:ilvl w:val="0"/>
                <w:numId w:val="242"/>
              </w:numPr>
              <w:tabs>
                <w:tab w:pos="276" w:val="left" w:leader="none"/>
              </w:tabs>
              <w:spacing w:line="276" w:lineRule="auto" w:before="0" w:after="0"/>
              <w:ind w:left="275" w:right="435" w:hanging="168"/>
              <w:jc w:val="left"/>
              <w:rPr>
                <w:sz w:val="18"/>
              </w:rPr>
            </w:pPr>
            <w:r>
              <w:rPr>
                <w:sz w:val="18"/>
              </w:rPr>
              <w:t>What</w:t>
            </w:r>
            <w:r>
              <w:rPr>
                <w:spacing w:val="-5"/>
                <w:sz w:val="18"/>
              </w:rPr>
              <w:t> </w:t>
            </w:r>
            <w:r>
              <w:rPr>
                <w:sz w:val="18"/>
              </w:rPr>
              <w:t>involvement</w:t>
            </w:r>
            <w:r>
              <w:rPr>
                <w:spacing w:val="-4"/>
                <w:sz w:val="18"/>
              </w:rPr>
              <w:t> </w:t>
            </w:r>
            <w:r>
              <w:rPr>
                <w:sz w:val="18"/>
              </w:rPr>
              <w:t>did</w:t>
            </w:r>
            <w:r>
              <w:rPr>
                <w:spacing w:val="-3"/>
                <w:sz w:val="18"/>
              </w:rPr>
              <w:t> </w:t>
            </w:r>
            <w:r>
              <w:rPr>
                <w:sz w:val="18"/>
              </w:rPr>
              <w:t>you</w:t>
            </w:r>
            <w:r>
              <w:rPr>
                <w:spacing w:val="-3"/>
                <w:sz w:val="18"/>
              </w:rPr>
              <w:t> </w:t>
            </w:r>
            <w:r>
              <w:rPr>
                <w:sz w:val="18"/>
              </w:rPr>
              <w:t>have</w:t>
            </w:r>
            <w:r>
              <w:rPr>
                <w:spacing w:val="-2"/>
                <w:sz w:val="18"/>
              </w:rPr>
              <w:t> </w:t>
            </w:r>
            <w:r>
              <w:rPr>
                <w:sz w:val="18"/>
              </w:rPr>
              <w:t>in</w:t>
            </w:r>
            <w:r>
              <w:rPr>
                <w:spacing w:val="-2"/>
                <w:sz w:val="18"/>
              </w:rPr>
              <w:t> </w:t>
            </w:r>
            <w:r>
              <w:rPr>
                <w:sz w:val="18"/>
              </w:rPr>
              <w:t>establishing</w:t>
            </w:r>
            <w:r>
              <w:rPr>
                <w:spacing w:val="-5"/>
                <w:sz w:val="18"/>
              </w:rPr>
              <w:t> </w:t>
            </w:r>
            <w:r>
              <w:rPr>
                <w:sz w:val="18"/>
              </w:rPr>
              <w:t>the</w:t>
            </w:r>
            <w:r>
              <w:rPr>
                <w:spacing w:val="-2"/>
                <w:sz w:val="18"/>
              </w:rPr>
              <w:t> </w:t>
            </w:r>
            <w:r>
              <w:rPr>
                <w:sz w:val="18"/>
              </w:rPr>
              <w:t>changes/</w:t>
            </w:r>
            <w:r>
              <w:rPr>
                <w:spacing w:val="-3"/>
                <w:sz w:val="18"/>
              </w:rPr>
              <w:t> </w:t>
            </w:r>
            <w:r>
              <w:rPr>
                <w:sz w:val="18"/>
              </w:rPr>
              <w:t>initiatives</w:t>
            </w:r>
            <w:r>
              <w:rPr>
                <w:spacing w:val="-5"/>
                <w:sz w:val="18"/>
              </w:rPr>
              <w:t> </w:t>
            </w:r>
            <w:r>
              <w:rPr>
                <w:sz w:val="18"/>
              </w:rPr>
              <w:t>in</w:t>
            </w:r>
            <w:r>
              <w:rPr>
                <w:spacing w:val="-47"/>
                <w:sz w:val="18"/>
              </w:rPr>
              <w:t> </w:t>
            </w:r>
            <w:r>
              <w:rPr>
                <w:sz w:val="18"/>
              </w:rPr>
              <w:t>relation</w:t>
            </w:r>
            <w:r>
              <w:rPr>
                <w:spacing w:val="-1"/>
                <w:sz w:val="18"/>
              </w:rPr>
              <w:t> </w:t>
            </w:r>
            <w:r>
              <w:rPr>
                <w:sz w:val="18"/>
              </w:rPr>
              <w:t>to HCH</w:t>
            </w:r>
            <w:r>
              <w:rPr>
                <w:spacing w:val="-1"/>
                <w:sz w:val="18"/>
              </w:rPr>
              <w:t> </w:t>
            </w:r>
            <w:r>
              <w:rPr>
                <w:sz w:val="18"/>
              </w:rPr>
              <w:t>at</w:t>
            </w:r>
            <w:r>
              <w:rPr>
                <w:spacing w:val="-2"/>
                <w:sz w:val="18"/>
              </w:rPr>
              <w:t> </w:t>
            </w:r>
            <w:r>
              <w:rPr>
                <w:sz w:val="18"/>
              </w:rPr>
              <w:t>your practice?</w:t>
            </w:r>
          </w:p>
          <w:p>
            <w:pPr>
              <w:pStyle w:val="TableParagraph"/>
              <w:numPr>
                <w:ilvl w:val="0"/>
                <w:numId w:val="242"/>
              </w:numPr>
              <w:tabs>
                <w:tab w:pos="276" w:val="left" w:leader="none"/>
              </w:tabs>
              <w:spacing w:line="273" w:lineRule="auto" w:before="0" w:after="0"/>
              <w:ind w:left="275" w:right="224" w:hanging="168"/>
              <w:jc w:val="left"/>
              <w:rPr>
                <w:sz w:val="18"/>
              </w:rPr>
            </w:pPr>
            <w:r>
              <w:rPr>
                <w:sz w:val="18"/>
              </w:rPr>
              <w:t>If</w:t>
            </w:r>
            <w:r>
              <w:rPr>
                <w:spacing w:val="-4"/>
                <w:sz w:val="18"/>
              </w:rPr>
              <w:t> </w:t>
            </w:r>
            <w:r>
              <w:rPr>
                <w:sz w:val="18"/>
              </w:rPr>
              <w:t>no</w:t>
            </w:r>
            <w:r>
              <w:rPr>
                <w:spacing w:val="-5"/>
                <w:sz w:val="18"/>
              </w:rPr>
              <w:t> </w:t>
            </w:r>
            <w:r>
              <w:rPr>
                <w:sz w:val="18"/>
              </w:rPr>
              <w:t>involvement,</w:t>
            </w:r>
            <w:r>
              <w:rPr>
                <w:spacing w:val="-3"/>
                <w:sz w:val="18"/>
              </w:rPr>
              <w:t> </w:t>
            </w:r>
            <w:r>
              <w:rPr>
                <w:sz w:val="18"/>
              </w:rPr>
              <w:t>what</w:t>
            </w:r>
            <w:r>
              <w:rPr>
                <w:spacing w:val="-4"/>
                <w:sz w:val="18"/>
              </w:rPr>
              <w:t> </w:t>
            </w:r>
            <w:r>
              <w:rPr>
                <w:sz w:val="18"/>
              </w:rPr>
              <w:t>changes</w:t>
            </w:r>
            <w:r>
              <w:rPr>
                <w:spacing w:val="-2"/>
                <w:sz w:val="18"/>
              </w:rPr>
              <w:t> </w:t>
            </w:r>
            <w:r>
              <w:rPr>
                <w:sz w:val="18"/>
              </w:rPr>
              <w:t>were</w:t>
            </w:r>
            <w:r>
              <w:rPr>
                <w:spacing w:val="-2"/>
                <w:sz w:val="18"/>
              </w:rPr>
              <w:t> </w:t>
            </w:r>
            <w:r>
              <w:rPr>
                <w:sz w:val="18"/>
              </w:rPr>
              <w:t>you</w:t>
            </w:r>
            <w:r>
              <w:rPr>
                <w:spacing w:val="-2"/>
                <w:sz w:val="18"/>
              </w:rPr>
              <w:t> </w:t>
            </w:r>
            <w:r>
              <w:rPr>
                <w:sz w:val="18"/>
              </w:rPr>
              <w:t>told</w:t>
            </w:r>
            <w:r>
              <w:rPr>
                <w:spacing w:val="-2"/>
                <w:sz w:val="18"/>
              </w:rPr>
              <w:t> </w:t>
            </w:r>
            <w:r>
              <w:rPr>
                <w:sz w:val="18"/>
              </w:rPr>
              <w:t>about</w:t>
            </w:r>
            <w:r>
              <w:rPr>
                <w:spacing w:val="-4"/>
                <w:sz w:val="18"/>
              </w:rPr>
              <w:t> </w:t>
            </w:r>
            <w:r>
              <w:rPr>
                <w:sz w:val="18"/>
              </w:rPr>
              <w:t>or</w:t>
            </w:r>
            <w:r>
              <w:rPr>
                <w:spacing w:val="-1"/>
                <w:sz w:val="18"/>
              </w:rPr>
              <w:t> </w:t>
            </w:r>
            <w:r>
              <w:rPr>
                <w:sz w:val="18"/>
              </w:rPr>
              <w:t>noticed</w:t>
            </w:r>
            <w:r>
              <w:rPr>
                <w:spacing w:val="-2"/>
                <w:sz w:val="18"/>
              </w:rPr>
              <w:t> </w:t>
            </w:r>
            <w:r>
              <w:rPr>
                <w:sz w:val="18"/>
              </w:rPr>
              <w:t>occurring</w:t>
            </w:r>
            <w:r>
              <w:rPr>
                <w:spacing w:val="-47"/>
                <w:sz w:val="18"/>
              </w:rPr>
              <w:t> </w:t>
            </w:r>
            <w:r>
              <w:rPr>
                <w:sz w:val="18"/>
              </w:rPr>
              <w:t>at</w:t>
            </w:r>
            <w:r>
              <w:rPr>
                <w:spacing w:val="-3"/>
                <w:sz w:val="18"/>
              </w:rPr>
              <w:t> </w:t>
            </w:r>
            <w:r>
              <w:rPr>
                <w:sz w:val="18"/>
              </w:rPr>
              <w:t>the practice?</w:t>
            </w:r>
          </w:p>
          <w:p>
            <w:pPr>
              <w:pStyle w:val="TableParagraph"/>
              <w:numPr>
                <w:ilvl w:val="0"/>
                <w:numId w:val="242"/>
              </w:numPr>
              <w:tabs>
                <w:tab w:pos="276" w:val="left" w:leader="none"/>
              </w:tabs>
              <w:spacing w:line="276" w:lineRule="auto" w:before="3" w:after="0"/>
              <w:ind w:left="275" w:right="750" w:hanging="168"/>
              <w:jc w:val="left"/>
              <w:rPr>
                <w:sz w:val="18"/>
              </w:rPr>
            </w:pPr>
            <w:r>
              <w:rPr>
                <w:b/>
                <w:sz w:val="18"/>
              </w:rPr>
              <w:t>(</w:t>
            </w:r>
            <w:r>
              <w:rPr>
                <w:sz w:val="18"/>
              </w:rPr>
              <w:t>How have the changes/ initiatives impacted on the way that care is</w:t>
            </w:r>
            <w:r>
              <w:rPr>
                <w:spacing w:val="-47"/>
                <w:sz w:val="18"/>
              </w:rPr>
              <w:t> </w:t>
            </w:r>
            <w:r>
              <w:rPr>
                <w:sz w:val="18"/>
              </w:rPr>
              <w:t>delivered</w:t>
            </w:r>
            <w:r>
              <w:rPr>
                <w:spacing w:val="-2"/>
                <w:sz w:val="18"/>
              </w:rPr>
              <w:t> </w:t>
            </w:r>
            <w:r>
              <w:rPr>
                <w:sz w:val="18"/>
              </w:rPr>
              <w:t>to</w:t>
            </w:r>
            <w:r>
              <w:rPr>
                <w:spacing w:val="-1"/>
                <w:sz w:val="18"/>
              </w:rPr>
              <w:t> </w:t>
            </w:r>
            <w:r>
              <w:rPr>
                <w:sz w:val="18"/>
              </w:rPr>
              <w:t>HCH</w:t>
            </w:r>
            <w:r>
              <w:rPr>
                <w:spacing w:val="-1"/>
                <w:sz w:val="18"/>
              </w:rPr>
              <w:t> </w:t>
            </w:r>
            <w:r>
              <w:rPr>
                <w:sz w:val="18"/>
              </w:rPr>
              <w:t>patients?</w:t>
            </w:r>
          </w:p>
          <w:p>
            <w:pPr>
              <w:pStyle w:val="TableParagraph"/>
              <w:numPr>
                <w:ilvl w:val="0"/>
                <w:numId w:val="242"/>
              </w:numPr>
              <w:tabs>
                <w:tab w:pos="276" w:val="left" w:leader="none"/>
              </w:tabs>
              <w:spacing w:line="273" w:lineRule="auto" w:before="1" w:after="0"/>
              <w:ind w:left="275" w:right="120" w:hanging="168"/>
              <w:jc w:val="left"/>
              <w:rPr>
                <w:sz w:val="18"/>
              </w:rPr>
            </w:pPr>
            <w:r>
              <w:rPr>
                <w:b/>
                <w:sz w:val="18"/>
              </w:rPr>
              <w:t>R5</w:t>
            </w:r>
            <w:r>
              <w:rPr>
                <w:b/>
                <w:spacing w:val="-3"/>
                <w:sz w:val="18"/>
              </w:rPr>
              <w:t> </w:t>
            </w:r>
            <w:r>
              <w:rPr>
                <w:sz w:val="18"/>
              </w:rPr>
              <w:t>From</w:t>
            </w:r>
            <w:r>
              <w:rPr>
                <w:spacing w:val="-6"/>
                <w:sz w:val="18"/>
              </w:rPr>
              <w:t> </w:t>
            </w:r>
            <w:r>
              <w:rPr>
                <w:sz w:val="18"/>
              </w:rPr>
              <w:t>your</w:t>
            </w:r>
            <w:r>
              <w:rPr>
                <w:spacing w:val="-2"/>
                <w:sz w:val="18"/>
              </w:rPr>
              <w:t> </w:t>
            </w:r>
            <w:r>
              <w:rPr>
                <w:sz w:val="18"/>
              </w:rPr>
              <w:t>perspective</w:t>
            </w:r>
            <w:r>
              <w:rPr>
                <w:spacing w:val="-2"/>
                <w:sz w:val="18"/>
              </w:rPr>
              <w:t> </w:t>
            </w:r>
            <w:r>
              <w:rPr>
                <w:sz w:val="18"/>
              </w:rPr>
              <w:t>what</w:t>
            </w:r>
            <w:r>
              <w:rPr>
                <w:spacing w:val="-4"/>
                <w:sz w:val="18"/>
              </w:rPr>
              <w:t> </w:t>
            </w:r>
            <w:r>
              <w:rPr>
                <w:sz w:val="18"/>
              </w:rPr>
              <w:t>have</w:t>
            </w:r>
            <w:r>
              <w:rPr>
                <w:spacing w:val="-2"/>
                <w:sz w:val="18"/>
              </w:rPr>
              <w:t> </w:t>
            </w:r>
            <w:r>
              <w:rPr>
                <w:sz w:val="18"/>
              </w:rPr>
              <w:t>been</w:t>
            </w:r>
            <w:r>
              <w:rPr>
                <w:spacing w:val="-2"/>
                <w:sz w:val="18"/>
              </w:rPr>
              <w:t> </w:t>
            </w:r>
            <w:r>
              <w:rPr>
                <w:sz w:val="18"/>
              </w:rPr>
              <w:t>the</w:t>
            </w:r>
            <w:r>
              <w:rPr>
                <w:spacing w:val="-3"/>
                <w:sz w:val="18"/>
              </w:rPr>
              <w:t> </w:t>
            </w:r>
            <w:r>
              <w:rPr>
                <w:sz w:val="18"/>
              </w:rPr>
              <w:t>most</w:t>
            </w:r>
            <w:r>
              <w:rPr>
                <w:spacing w:val="-4"/>
                <w:sz w:val="18"/>
              </w:rPr>
              <w:t> </w:t>
            </w:r>
            <w:r>
              <w:rPr>
                <w:sz w:val="18"/>
              </w:rPr>
              <w:t>important</w:t>
            </w:r>
            <w:r>
              <w:rPr>
                <w:spacing w:val="-4"/>
                <w:sz w:val="18"/>
              </w:rPr>
              <w:t> </w:t>
            </w:r>
            <w:r>
              <w:rPr>
                <w:sz w:val="18"/>
              </w:rPr>
              <w:t>changes</w:t>
            </w:r>
            <w:r>
              <w:rPr>
                <w:spacing w:val="-3"/>
                <w:sz w:val="18"/>
              </w:rPr>
              <w:t> </w:t>
            </w:r>
            <w:r>
              <w:rPr>
                <w:sz w:val="18"/>
              </w:rPr>
              <w:t>that</w:t>
            </w:r>
            <w:r>
              <w:rPr>
                <w:spacing w:val="-47"/>
                <w:sz w:val="18"/>
              </w:rPr>
              <w:t> </w:t>
            </w:r>
            <w:r>
              <w:rPr>
                <w:sz w:val="18"/>
              </w:rPr>
              <w:t>have</w:t>
            </w:r>
            <w:r>
              <w:rPr>
                <w:spacing w:val="-1"/>
                <w:sz w:val="18"/>
              </w:rPr>
              <w:t> </w:t>
            </w:r>
            <w:r>
              <w:rPr>
                <w:sz w:val="18"/>
              </w:rPr>
              <w:t>occurred</w:t>
            </w:r>
            <w:r>
              <w:rPr>
                <w:spacing w:val="-3"/>
                <w:sz w:val="18"/>
              </w:rPr>
              <w:t> </w:t>
            </w:r>
            <w:r>
              <w:rPr>
                <w:sz w:val="18"/>
              </w:rPr>
              <w:t>in</w:t>
            </w:r>
            <w:r>
              <w:rPr>
                <w:spacing w:val="-3"/>
                <w:sz w:val="18"/>
              </w:rPr>
              <w:t> </w:t>
            </w:r>
            <w:r>
              <w:rPr>
                <w:sz w:val="18"/>
              </w:rPr>
              <w:t>this</w:t>
            </w:r>
            <w:r>
              <w:rPr>
                <w:spacing w:val="-3"/>
                <w:sz w:val="18"/>
              </w:rPr>
              <w:t> </w:t>
            </w:r>
            <w:r>
              <w:rPr>
                <w:sz w:val="18"/>
              </w:rPr>
              <w:t>practice since</w:t>
            </w:r>
            <w:r>
              <w:rPr>
                <w:spacing w:val="-3"/>
                <w:sz w:val="18"/>
              </w:rPr>
              <w:t> </w:t>
            </w:r>
            <w:r>
              <w:rPr>
                <w:sz w:val="18"/>
              </w:rPr>
              <w:t>it</w:t>
            </w:r>
            <w:r>
              <w:rPr>
                <w:spacing w:val="-2"/>
                <w:sz w:val="18"/>
              </w:rPr>
              <w:t> </w:t>
            </w:r>
            <w:r>
              <w:rPr>
                <w:sz w:val="18"/>
              </w:rPr>
              <w:t>started</w:t>
            </w:r>
            <w:r>
              <w:rPr>
                <w:spacing w:val="-1"/>
                <w:sz w:val="18"/>
              </w:rPr>
              <w:t> </w:t>
            </w:r>
            <w:r>
              <w:rPr>
                <w:sz w:val="18"/>
              </w:rPr>
              <w:t>with</w:t>
            </w:r>
            <w:r>
              <w:rPr>
                <w:spacing w:val="-1"/>
                <w:sz w:val="18"/>
              </w:rPr>
              <w:t> </w:t>
            </w:r>
            <w:r>
              <w:rPr>
                <w:sz w:val="18"/>
              </w:rPr>
              <w:t>HCH?</w:t>
            </w:r>
          </w:p>
          <w:p>
            <w:pPr>
              <w:pStyle w:val="TableParagraph"/>
              <w:spacing w:before="7"/>
              <w:rPr>
                <w:sz w:val="16"/>
              </w:rPr>
            </w:pPr>
          </w:p>
          <w:p>
            <w:pPr>
              <w:pStyle w:val="TableParagraph"/>
              <w:ind w:left="107"/>
              <w:rPr>
                <w:sz w:val="16"/>
              </w:rPr>
            </w:pPr>
            <w:r>
              <w:rPr>
                <w:sz w:val="16"/>
              </w:rPr>
              <w:t>Prompts:</w:t>
            </w:r>
          </w:p>
          <w:p>
            <w:pPr>
              <w:pStyle w:val="TableParagraph"/>
              <w:spacing w:before="9"/>
              <w:rPr>
                <w:sz w:val="18"/>
              </w:rPr>
            </w:pPr>
          </w:p>
          <w:p>
            <w:pPr>
              <w:pStyle w:val="TableParagraph"/>
              <w:numPr>
                <w:ilvl w:val="1"/>
                <w:numId w:val="242"/>
              </w:numPr>
              <w:tabs>
                <w:tab w:pos="828" w:val="left" w:leader="none"/>
                <w:tab w:pos="829" w:val="left" w:leader="none"/>
              </w:tabs>
              <w:spacing w:line="240" w:lineRule="auto" w:before="1" w:after="0"/>
              <w:ind w:left="828" w:right="0" w:hanging="361"/>
              <w:jc w:val="left"/>
              <w:rPr>
                <w:sz w:val="18"/>
              </w:rPr>
            </w:pPr>
            <w:r>
              <w:rPr>
                <w:sz w:val="18"/>
              </w:rPr>
              <w:t>Changes</w:t>
            </w:r>
            <w:r>
              <w:rPr>
                <w:spacing w:val="-4"/>
                <w:sz w:val="18"/>
              </w:rPr>
              <w:t> </w:t>
            </w:r>
            <w:r>
              <w:rPr>
                <w:sz w:val="18"/>
              </w:rPr>
              <w:t>to</w:t>
            </w:r>
            <w:r>
              <w:rPr>
                <w:spacing w:val="-3"/>
                <w:sz w:val="18"/>
              </w:rPr>
              <w:t> </w:t>
            </w:r>
            <w:r>
              <w:rPr>
                <w:sz w:val="18"/>
              </w:rPr>
              <w:t>care</w:t>
            </w:r>
            <w:r>
              <w:rPr>
                <w:spacing w:val="-3"/>
                <w:sz w:val="18"/>
              </w:rPr>
              <w:t> </w:t>
            </w:r>
            <w:r>
              <w:rPr>
                <w:sz w:val="18"/>
              </w:rPr>
              <w:t>plan/</w:t>
            </w:r>
            <w:r>
              <w:rPr>
                <w:spacing w:val="-3"/>
                <w:sz w:val="18"/>
              </w:rPr>
              <w:t> </w:t>
            </w:r>
            <w:r>
              <w:rPr>
                <w:sz w:val="18"/>
              </w:rPr>
              <w:t>planning</w:t>
            </w:r>
            <w:r>
              <w:rPr>
                <w:spacing w:val="-5"/>
                <w:sz w:val="18"/>
              </w:rPr>
              <w:t> </w:t>
            </w:r>
            <w:r>
              <w:rPr>
                <w:sz w:val="18"/>
              </w:rPr>
              <w:t>process.</w:t>
            </w:r>
          </w:p>
          <w:p>
            <w:pPr>
              <w:pStyle w:val="TableParagraph"/>
              <w:numPr>
                <w:ilvl w:val="1"/>
                <w:numId w:val="242"/>
              </w:numPr>
              <w:tabs>
                <w:tab w:pos="828" w:val="left" w:leader="none"/>
                <w:tab w:pos="829" w:val="left" w:leader="none"/>
              </w:tabs>
              <w:spacing w:line="273" w:lineRule="auto" w:before="33" w:after="0"/>
              <w:ind w:left="828" w:right="747" w:hanging="360"/>
              <w:jc w:val="left"/>
              <w:rPr>
                <w:sz w:val="18"/>
              </w:rPr>
            </w:pPr>
            <w:r>
              <w:rPr>
                <w:sz w:val="18"/>
              </w:rPr>
              <w:t>Changes to access/ flexibility of access to practice services by</w:t>
            </w:r>
            <w:r>
              <w:rPr>
                <w:spacing w:val="-47"/>
                <w:sz w:val="18"/>
              </w:rPr>
              <w:t> </w:t>
            </w:r>
            <w:r>
              <w:rPr>
                <w:sz w:val="18"/>
              </w:rPr>
              <w:t>patients.</w:t>
            </w:r>
          </w:p>
          <w:p>
            <w:pPr>
              <w:pStyle w:val="TableParagraph"/>
              <w:numPr>
                <w:ilvl w:val="1"/>
                <w:numId w:val="242"/>
              </w:numPr>
              <w:tabs>
                <w:tab w:pos="828" w:val="left" w:leader="none"/>
                <w:tab w:pos="829" w:val="left" w:leader="none"/>
              </w:tabs>
              <w:spacing w:line="240" w:lineRule="auto" w:before="4" w:after="0"/>
              <w:ind w:left="828" w:right="0" w:hanging="361"/>
              <w:jc w:val="left"/>
              <w:rPr>
                <w:sz w:val="18"/>
              </w:rPr>
            </w:pPr>
            <w:r>
              <w:rPr>
                <w:sz w:val="18"/>
              </w:rPr>
              <w:t>Patient</w:t>
            </w:r>
            <w:r>
              <w:rPr>
                <w:spacing w:val="-5"/>
                <w:sz w:val="18"/>
              </w:rPr>
              <w:t> </w:t>
            </w:r>
            <w:r>
              <w:rPr>
                <w:sz w:val="18"/>
              </w:rPr>
              <w:t>engagement</w:t>
            </w:r>
            <w:r>
              <w:rPr>
                <w:spacing w:val="-4"/>
                <w:sz w:val="18"/>
              </w:rPr>
              <w:t> </w:t>
            </w:r>
            <w:r>
              <w:rPr>
                <w:sz w:val="18"/>
              </w:rPr>
              <w:t>in</w:t>
            </w:r>
            <w:r>
              <w:rPr>
                <w:spacing w:val="-3"/>
                <w:sz w:val="18"/>
              </w:rPr>
              <w:t> </w:t>
            </w:r>
            <w:r>
              <w:rPr>
                <w:sz w:val="18"/>
              </w:rPr>
              <w:t>their</w:t>
            </w:r>
            <w:r>
              <w:rPr>
                <w:spacing w:val="-4"/>
                <w:sz w:val="18"/>
              </w:rPr>
              <w:t> </w:t>
            </w:r>
            <w:r>
              <w:rPr>
                <w:sz w:val="18"/>
              </w:rPr>
              <w:t>care/</w:t>
            </w:r>
            <w:r>
              <w:rPr>
                <w:spacing w:val="-5"/>
                <w:sz w:val="18"/>
              </w:rPr>
              <w:t> </w:t>
            </w:r>
            <w:r>
              <w:rPr>
                <w:sz w:val="18"/>
              </w:rPr>
              <w:t>care</w:t>
            </w:r>
            <w:r>
              <w:rPr>
                <w:spacing w:val="-2"/>
                <w:sz w:val="18"/>
              </w:rPr>
              <w:t> </w:t>
            </w:r>
            <w:r>
              <w:rPr>
                <w:sz w:val="18"/>
              </w:rPr>
              <w:t>planning.</w:t>
            </w:r>
          </w:p>
          <w:p>
            <w:pPr>
              <w:pStyle w:val="TableParagraph"/>
              <w:numPr>
                <w:ilvl w:val="1"/>
                <w:numId w:val="242"/>
              </w:numPr>
              <w:tabs>
                <w:tab w:pos="828" w:val="left" w:leader="none"/>
                <w:tab w:pos="829" w:val="left" w:leader="none"/>
              </w:tabs>
              <w:spacing w:line="240" w:lineRule="auto" w:before="34" w:after="0"/>
              <w:ind w:left="828" w:right="0" w:hanging="361"/>
              <w:jc w:val="left"/>
              <w:rPr>
                <w:sz w:val="18"/>
              </w:rPr>
            </w:pPr>
            <w:r>
              <w:rPr>
                <w:sz w:val="18"/>
              </w:rPr>
              <w:t>Assistance</w:t>
            </w:r>
            <w:r>
              <w:rPr>
                <w:spacing w:val="-4"/>
                <w:sz w:val="18"/>
              </w:rPr>
              <w:t> </w:t>
            </w:r>
            <w:r>
              <w:rPr>
                <w:sz w:val="18"/>
              </w:rPr>
              <w:t>provided</w:t>
            </w:r>
            <w:r>
              <w:rPr>
                <w:spacing w:val="-4"/>
                <w:sz w:val="18"/>
              </w:rPr>
              <w:t> </w:t>
            </w:r>
            <w:r>
              <w:rPr>
                <w:sz w:val="18"/>
              </w:rPr>
              <w:t>to</w:t>
            </w:r>
            <w:r>
              <w:rPr>
                <w:spacing w:val="-4"/>
                <w:sz w:val="18"/>
              </w:rPr>
              <w:t> </w:t>
            </w:r>
            <w:r>
              <w:rPr>
                <w:sz w:val="18"/>
              </w:rPr>
              <w:t>patients</w:t>
            </w:r>
            <w:r>
              <w:rPr>
                <w:spacing w:val="-4"/>
                <w:sz w:val="18"/>
              </w:rPr>
              <w:t> </w:t>
            </w:r>
            <w:r>
              <w:rPr>
                <w:sz w:val="18"/>
              </w:rPr>
              <w:t>to</w:t>
            </w:r>
            <w:r>
              <w:rPr>
                <w:spacing w:val="-4"/>
                <w:sz w:val="18"/>
              </w:rPr>
              <w:t> </w:t>
            </w:r>
            <w:r>
              <w:rPr>
                <w:sz w:val="18"/>
              </w:rPr>
              <w:t>self-manage.</w:t>
            </w:r>
          </w:p>
          <w:p>
            <w:pPr>
              <w:pStyle w:val="TableParagraph"/>
              <w:numPr>
                <w:ilvl w:val="1"/>
                <w:numId w:val="242"/>
              </w:numPr>
              <w:tabs>
                <w:tab w:pos="828" w:val="left" w:leader="none"/>
                <w:tab w:pos="829" w:val="left" w:leader="none"/>
              </w:tabs>
              <w:spacing w:line="240" w:lineRule="auto" w:before="34" w:after="0"/>
              <w:ind w:left="828" w:right="0" w:hanging="361"/>
              <w:jc w:val="left"/>
              <w:rPr>
                <w:sz w:val="18"/>
              </w:rPr>
            </w:pPr>
            <w:r>
              <w:rPr>
                <w:sz w:val="18"/>
              </w:rPr>
              <w:t>Approach</w:t>
            </w:r>
            <w:r>
              <w:rPr>
                <w:spacing w:val="-5"/>
                <w:sz w:val="18"/>
              </w:rPr>
              <w:t> </w:t>
            </w:r>
            <w:r>
              <w:rPr>
                <w:sz w:val="18"/>
              </w:rPr>
              <w:t>to</w:t>
            </w:r>
            <w:r>
              <w:rPr>
                <w:spacing w:val="-5"/>
                <w:sz w:val="18"/>
              </w:rPr>
              <w:t> </w:t>
            </w:r>
            <w:r>
              <w:rPr>
                <w:sz w:val="18"/>
              </w:rPr>
              <w:t>chronic</w:t>
            </w:r>
            <w:r>
              <w:rPr>
                <w:spacing w:val="-5"/>
                <w:sz w:val="18"/>
              </w:rPr>
              <w:t> </w:t>
            </w:r>
            <w:r>
              <w:rPr>
                <w:sz w:val="18"/>
              </w:rPr>
              <w:t>disease</w:t>
            </w:r>
            <w:r>
              <w:rPr>
                <w:spacing w:val="-4"/>
                <w:sz w:val="18"/>
              </w:rPr>
              <w:t> </w:t>
            </w:r>
            <w:r>
              <w:rPr>
                <w:sz w:val="18"/>
              </w:rPr>
              <w:t>management.</w:t>
            </w:r>
          </w:p>
          <w:p>
            <w:pPr>
              <w:pStyle w:val="TableParagraph"/>
              <w:numPr>
                <w:ilvl w:val="1"/>
                <w:numId w:val="242"/>
              </w:numPr>
              <w:tabs>
                <w:tab w:pos="828" w:val="left" w:leader="none"/>
                <w:tab w:pos="829" w:val="left" w:leader="none"/>
              </w:tabs>
              <w:spacing w:line="240" w:lineRule="auto" w:before="31" w:after="0"/>
              <w:ind w:left="828" w:right="0" w:hanging="361"/>
              <w:jc w:val="left"/>
              <w:rPr>
                <w:sz w:val="18"/>
              </w:rPr>
            </w:pPr>
            <w:r>
              <w:rPr>
                <w:sz w:val="18"/>
              </w:rPr>
              <w:t>Changes</w:t>
            </w:r>
            <w:r>
              <w:rPr>
                <w:spacing w:val="-4"/>
                <w:sz w:val="18"/>
              </w:rPr>
              <w:t> </w:t>
            </w:r>
            <w:r>
              <w:rPr>
                <w:sz w:val="18"/>
              </w:rPr>
              <w:t>to</w:t>
            </w:r>
            <w:r>
              <w:rPr>
                <w:spacing w:val="-2"/>
                <w:sz w:val="18"/>
              </w:rPr>
              <w:t> </w:t>
            </w:r>
            <w:r>
              <w:rPr>
                <w:sz w:val="18"/>
              </w:rPr>
              <w:t>referrals</w:t>
            </w:r>
            <w:r>
              <w:rPr>
                <w:spacing w:val="-3"/>
                <w:sz w:val="18"/>
              </w:rPr>
              <w:t> </w:t>
            </w:r>
            <w:r>
              <w:rPr>
                <w:sz w:val="18"/>
              </w:rPr>
              <w:t>/</w:t>
            </w:r>
            <w:r>
              <w:rPr>
                <w:spacing w:val="-4"/>
                <w:sz w:val="18"/>
              </w:rPr>
              <w:t> </w:t>
            </w:r>
            <w:r>
              <w:rPr>
                <w:sz w:val="18"/>
              </w:rPr>
              <w:t>use</w:t>
            </w:r>
            <w:r>
              <w:rPr>
                <w:spacing w:val="-2"/>
                <w:sz w:val="18"/>
              </w:rPr>
              <w:t> </w:t>
            </w:r>
            <w:r>
              <w:rPr>
                <w:sz w:val="18"/>
              </w:rPr>
              <w:t>of</w:t>
            </w:r>
            <w:r>
              <w:rPr>
                <w:spacing w:val="-5"/>
                <w:sz w:val="18"/>
              </w:rPr>
              <w:t> </w:t>
            </w:r>
            <w:r>
              <w:rPr>
                <w:sz w:val="18"/>
              </w:rPr>
              <w:t>other</w:t>
            </w:r>
            <w:r>
              <w:rPr>
                <w:spacing w:val="-2"/>
                <w:sz w:val="18"/>
              </w:rPr>
              <w:t> </w:t>
            </w:r>
            <w:r>
              <w:rPr>
                <w:sz w:val="18"/>
              </w:rPr>
              <w:t>services?</w:t>
            </w:r>
          </w:p>
          <w:p>
            <w:pPr>
              <w:pStyle w:val="TableParagraph"/>
              <w:numPr>
                <w:ilvl w:val="1"/>
                <w:numId w:val="242"/>
              </w:numPr>
              <w:tabs>
                <w:tab w:pos="828" w:val="left" w:leader="none"/>
                <w:tab w:pos="829" w:val="left" w:leader="none"/>
              </w:tabs>
              <w:spacing w:line="240" w:lineRule="auto" w:before="34" w:after="0"/>
              <w:ind w:left="828" w:right="0" w:hanging="361"/>
              <w:jc w:val="left"/>
              <w:rPr>
                <w:sz w:val="18"/>
              </w:rPr>
            </w:pPr>
            <w:r>
              <w:rPr>
                <w:sz w:val="18"/>
              </w:rPr>
              <w:t>Changes</w:t>
            </w:r>
            <w:r>
              <w:rPr>
                <w:spacing w:val="-4"/>
                <w:sz w:val="18"/>
              </w:rPr>
              <w:t> </w:t>
            </w:r>
            <w:r>
              <w:rPr>
                <w:sz w:val="18"/>
              </w:rPr>
              <w:t>to</w:t>
            </w:r>
            <w:r>
              <w:rPr>
                <w:spacing w:val="-2"/>
                <w:sz w:val="18"/>
              </w:rPr>
              <w:t> </w:t>
            </w:r>
            <w:r>
              <w:rPr>
                <w:sz w:val="18"/>
              </w:rPr>
              <w:t>patients’</w:t>
            </w:r>
            <w:r>
              <w:rPr>
                <w:spacing w:val="-5"/>
                <w:sz w:val="18"/>
              </w:rPr>
              <w:t> </w:t>
            </w:r>
            <w:r>
              <w:rPr>
                <w:sz w:val="18"/>
              </w:rPr>
              <w:t>access</w:t>
            </w:r>
            <w:r>
              <w:rPr>
                <w:spacing w:val="-3"/>
                <w:sz w:val="18"/>
              </w:rPr>
              <w:t> </w:t>
            </w:r>
            <w:r>
              <w:rPr>
                <w:sz w:val="18"/>
              </w:rPr>
              <w:t>to</w:t>
            </w:r>
            <w:r>
              <w:rPr>
                <w:spacing w:val="-3"/>
                <w:sz w:val="18"/>
              </w:rPr>
              <w:t> </w:t>
            </w:r>
            <w:r>
              <w:rPr>
                <w:sz w:val="18"/>
              </w:rPr>
              <w:t>aides/</w:t>
            </w:r>
            <w:r>
              <w:rPr>
                <w:spacing w:val="-2"/>
                <w:sz w:val="18"/>
              </w:rPr>
              <w:t> </w:t>
            </w:r>
            <w:r>
              <w:rPr>
                <w:sz w:val="18"/>
              </w:rPr>
              <w:t>devices?</w:t>
            </w:r>
          </w:p>
        </w:tc>
      </w:tr>
      <w:tr>
        <w:trPr>
          <w:trHeight w:val="1216" w:hRule="atLeast"/>
        </w:trPr>
        <w:tc>
          <w:tcPr>
            <w:tcW w:w="1980" w:type="dxa"/>
          </w:tcPr>
          <w:p>
            <w:pPr>
              <w:pStyle w:val="TableParagraph"/>
              <w:spacing w:line="196" w:lineRule="exact"/>
              <w:ind w:left="107"/>
              <w:rPr>
                <w:sz w:val="16"/>
              </w:rPr>
            </w:pPr>
            <w:r>
              <w:rPr>
                <w:sz w:val="16"/>
              </w:rPr>
              <w:t>Impact</w:t>
            </w:r>
            <w:r>
              <w:rPr>
                <w:spacing w:val="-4"/>
                <w:sz w:val="16"/>
              </w:rPr>
              <w:t> </w:t>
            </w:r>
            <w:r>
              <w:rPr>
                <w:sz w:val="16"/>
              </w:rPr>
              <w:t>on</w:t>
            </w:r>
            <w:r>
              <w:rPr>
                <w:spacing w:val="-2"/>
                <w:sz w:val="16"/>
              </w:rPr>
              <w:t> </w:t>
            </w:r>
            <w:r>
              <w:rPr>
                <w:sz w:val="16"/>
              </w:rPr>
              <w:t>patients</w:t>
            </w:r>
          </w:p>
        </w:tc>
        <w:tc>
          <w:tcPr>
            <w:tcW w:w="7038" w:type="dxa"/>
          </w:tcPr>
          <w:p>
            <w:pPr>
              <w:pStyle w:val="TableParagraph"/>
              <w:numPr>
                <w:ilvl w:val="0"/>
                <w:numId w:val="243"/>
              </w:numPr>
              <w:tabs>
                <w:tab w:pos="276" w:val="left" w:leader="none"/>
              </w:tabs>
              <w:spacing w:line="219" w:lineRule="exact" w:before="0" w:after="0"/>
              <w:ind w:left="275" w:right="0" w:hanging="169"/>
              <w:jc w:val="left"/>
              <w:rPr>
                <w:sz w:val="18"/>
              </w:rPr>
            </w:pPr>
            <w:r>
              <w:rPr>
                <w:sz w:val="18"/>
              </w:rPr>
              <w:t>How</w:t>
            </w:r>
            <w:r>
              <w:rPr>
                <w:spacing w:val="-5"/>
                <w:sz w:val="18"/>
              </w:rPr>
              <w:t> </w:t>
            </w:r>
            <w:r>
              <w:rPr>
                <w:sz w:val="18"/>
              </w:rPr>
              <w:t>effective</w:t>
            </w:r>
            <w:r>
              <w:rPr>
                <w:spacing w:val="-4"/>
                <w:sz w:val="18"/>
              </w:rPr>
              <w:t> </w:t>
            </w:r>
            <w:r>
              <w:rPr>
                <w:sz w:val="18"/>
              </w:rPr>
              <w:t>have</w:t>
            </w:r>
            <w:r>
              <w:rPr>
                <w:spacing w:val="-3"/>
                <w:sz w:val="18"/>
              </w:rPr>
              <w:t> </w:t>
            </w:r>
            <w:r>
              <w:rPr>
                <w:sz w:val="18"/>
              </w:rPr>
              <w:t>the</w:t>
            </w:r>
            <w:r>
              <w:rPr>
                <w:spacing w:val="-5"/>
                <w:sz w:val="18"/>
              </w:rPr>
              <w:t> </w:t>
            </w:r>
            <w:r>
              <w:rPr>
                <w:sz w:val="18"/>
              </w:rPr>
              <w:t>changes</w:t>
            </w:r>
            <w:r>
              <w:rPr>
                <w:spacing w:val="-4"/>
                <w:sz w:val="18"/>
              </w:rPr>
              <w:t> </w:t>
            </w:r>
            <w:r>
              <w:rPr>
                <w:sz w:val="18"/>
              </w:rPr>
              <w:t>implemented</w:t>
            </w:r>
            <w:r>
              <w:rPr>
                <w:spacing w:val="-4"/>
                <w:sz w:val="18"/>
              </w:rPr>
              <w:t> </w:t>
            </w:r>
            <w:r>
              <w:rPr>
                <w:sz w:val="18"/>
              </w:rPr>
              <w:t>been</w:t>
            </w:r>
            <w:r>
              <w:rPr>
                <w:spacing w:val="-3"/>
                <w:sz w:val="18"/>
              </w:rPr>
              <w:t> </w:t>
            </w:r>
            <w:r>
              <w:rPr>
                <w:sz w:val="18"/>
              </w:rPr>
              <w:t>for</w:t>
            </w:r>
            <w:r>
              <w:rPr>
                <w:spacing w:val="-5"/>
                <w:sz w:val="18"/>
              </w:rPr>
              <w:t> </w:t>
            </w:r>
            <w:r>
              <w:rPr>
                <w:sz w:val="18"/>
              </w:rPr>
              <w:t>patients?</w:t>
            </w:r>
          </w:p>
          <w:p>
            <w:pPr>
              <w:pStyle w:val="TableParagraph"/>
              <w:numPr>
                <w:ilvl w:val="0"/>
                <w:numId w:val="243"/>
              </w:numPr>
              <w:tabs>
                <w:tab w:pos="276" w:val="left" w:leader="none"/>
              </w:tabs>
              <w:spacing w:line="240" w:lineRule="auto" w:before="33" w:after="0"/>
              <w:ind w:left="275" w:right="0" w:hanging="169"/>
              <w:jc w:val="left"/>
              <w:rPr>
                <w:sz w:val="18"/>
              </w:rPr>
            </w:pPr>
            <w:r>
              <w:rPr>
                <w:sz w:val="18"/>
              </w:rPr>
              <w:t>If</w:t>
            </w:r>
            <w:r>
              <w:rPr>
                <w:spacing w:val="-4"/>
                <w:sz w:val="18"/>
              </w:rPr>
              <w:t> </w:t>
            </w:r>
            <w:r>
              <w:rPr>
                <w:sz w:val="18"/>
              </w:rPr>
              <w:t>effective,</w:t>
            </w:r>
            <w:r>
              <w:rPr>
                <w:spacing w:val="-4"/>
                <w:sz w:val="18"/>
              </w:rPr>
              <w:t> </w:t>
            </w:r>
            <w:r>
              <w:rPr>
                <w:sz w:val="18"/>
              </w:rPr>
              <w:t>in</w:t>
            </w:r>
            <w:r>
              <w:rPr>
                <w:spacing w:val="-2"/>
                <w:sz w:val="18"/>
              </w:rPr>
              <w:t> </w:t>
            </w:r>
            <w:r>
              <w:rPr>
                <w:sz w:val="18"/>
              </w:rPr>
              <w:t>what</w:t>
            </w:r>
            <w:r>
              <w:rPr>
                <w:spacing w:val="-4"/>
                <w:sz w:val="18"/>
              </w:rPr>
              <w:t> </w:t>
            </w:r>
            <w:r>
              <w:rPr>
                <w:sz w:val="18"/>
              </w:rPr>
              <w:t>way</w:t>
            </w:r>
            <w:r>
              <w:rPr>
                <w:spacing w:val="-2"/>
                <w:sz w:val="18"/>
              </w:rPr>
              <w:t> </w:t>
            </w:r>
            <w:r>
              <w:rPr>
                <w:sz w:val="18"/>
              </w:rPr>
              <w:t>have</w:t>
            </w:r>
            <w:r>
              <w:rPr>
                <w:spacing w:val="-2"/>
                <w:sz w:val="18"/>
              </w:rPr>
              <w:t> </w:t>
            </w:r>
            <w:r>
              <w:rPr>
                <w:sz w:val="18"/>
              </w:rPr>
              <w:t>they</w:t>
            </w:r>
            <w:r>
              <w:rPr>
                <w:spacing w:val="-3"/>
                <w:sz w:val="18"/>
              </w:rPr>
              <w:t> </w:t>
            </w:r>
            <w:r>
              <w:rPr>
                <w:sz w:val="18"/>
              </w:rPr>
              <w:t>been</w:t>
            </w:r>
            <w:r>
              <w:rPr>
                <w:spacing w:val="-2"/>
                <w:sz w:val="18"/>
              </w:rPr>
              <w:t> </w:t>
            </w:r>
            <w:r>
              <w:rPr>
                <w:sz w:val="18"/>
              </w:rPr>
              <w:t>effective?</w:t>
            </w:r>
            <w:r>
              <w:rPr>
                <w:spacing w:val="-3"/>
                <w:sz w:val="18"/>
              </w:rPr>
              <w:t> </w:t>
            </w:r>
            <w:r>
              <w:rPr>
                <w:sz w:val="18"/>
              </w:rPr>
              <w:t>How</w:t>
            </w:r>
            <w:r>
              <w:rPr>
                <w:spacing w:val="-3"/>
                <w:sz w:val="18"/>
              </w:rPr>
              <w:t> </w:t>
            </w:r>
            <w:r>
              <w:rPr>
                <w:sz w:val="18"/>
              </w:rPr>
              <w:t>do</w:t>
            </w:r>
            <w:r>
              <w:rPr>
                <w:spacing w:val="-2"/>
                <w:sz w:val="18"/>
              </w:rPr>
              <w:t> </w:t>
            </w:r>
            <w:r>
              <w:rPr>
                <w:sz w:val="18"/>
              </w:rPr>
              <w:t>you</w:t>
            </w:r>
            <w:r>
              <w:rPr>
                <w:spacing w:val="-2"/>
                <w:sz w:val="18"/>
              </w:rPr>
              <w:t> </w:t>
            </w:r>
            <w:r>
              <w:rPr>
                <w:sz w:val="18"/>
              </w:rPr>
              <w:t>know?</w:t>
            </w:r>
          </w:p>
          <w:p>
            <w:pPr>
              <w:pStyle w:val="TableParagraph"/>
              <w:numPr>
                <w:ilvl w:val="0"/>
                <w:numId w:val="243"/>
              </w:numPr>
              <w:tabs>
                <w:tab w:pos="276" w:val="left" w:leader="none"/>
              </w:tabs>
              <w:spacing w:line="240" w:lineRule="auto" w:before="34" w:after="0"/>
              <w:ind w:left="275" w:right="0" w:hanging="169"/>
              <w:jc w:val="left"/>
              <w:rPr>
                <w:sz w:val="18"/>
              </w:rPr>
            </w:pPr>
            <w:r>
              <w:rPr>
                <w:sz w:val="18"/>
              </w:rPr>
              <w:t>If</w:t>
            </w:r>
            <w:r>
              <w:rPr>
                <w:spacing w:val="-4"/>
                <w:sz w:val="18"/>
              </w:rPr>
              <w:t> </w:t>
            </w:r>
            <w:r>
              <w:rPr>
                <w:sz w:val="18"/>
              </w:rPr>
              <w:t>not</w:t>
            </w:r>
            <w:r>
              <w:rPr>
                <w:spacing w:val="-4"/>
                <w:sz w:val="18"/>
              </w:rPr>
              <w:t> </w:t>
            </w:r>
            <w:r>
              <w:rPr>
                <w:sz w:val="18"/>
              </w:rPr>
              <w:t>effective,</w:t>
            </w:r>
            <w:r>
              <w:rPr>
                <w:spacing w:val="-4"/>
                <w:sz w:val="18"/>
              </w:rPr>
              <w:t> </w:t>
            </w:r>
            <w:r>
              <w:rPr>
                <w:sz w:val="18"/>
              </w:rPr>
              <w:t>what</w:t>
            </w:r>
            <w:r>
              <w:rPr>
                <w:spacing w:val="-3"/>
                <w:sz w:val="18"/>
              </w:rPr>
              <w:t> </w:t>
            </w:r>
            <w:r>
              <w:rPr>
                <w:sz w:val="18"/>
              </w:rPr>
              <w:t>are</w:t>
            </w:r>
            <w:r>
              <w:rPr>
                <w:spacing w:val="-2"/>
                <w:sz w:val="18"/>
              </w:rPr>
              <w:t> </w:t>
            </w:r>
            <w:r>
              <w:rPr>
                <w:sz w:val="18"/>
              </w:rPr>
              <w:t>your</w:t>
            </w:r>
            <w:r>
              <w:rPr>
                <w:spacing w:val="-2"/>
                <w:sz w:val="18"/>
              </w:rPr>
              <w:t> </w:t>
            </w:r>
            <w:r>
              <w:rPr>
                <w:sz w:val="18"/>
              </w:rPr>
              <w:t>thoughts</w:t>
            </w:r>
            <w:r>
              <w:rPr>
                <w:spacing w:val="-3"/>
                <w:sz w:val="18"/>
              </w:rPr>
              <w:t> </w:t>
            </w:r>
            <w:r>
              <w:rPr>
                <w:sz w:val="18"/>
              </w:rPr>
              <w:t>about</w:t>
            </w:r>
            <w:r>
              <w:rPr>
                <w:spacing w:val="-3"/>
                <w:sz w:val="18"/>
              </w:rPr>
              <w:t> </w:t>
            </w:r>
            <w:r>
              <w:rPr>
                <w:sz w:val="18"/>
              </w:rPr>
              <w:t>why</w:t>
            </w:r>
            <w:r>
              <w:rPr>
                <w:spacing w:val="-2"/>
                <w:sz w:val="18"/>
              </w:rPr>
              <w:t> </w:t>
            </w:r>
            <w:r>
              <w:rPr>
                <w:sz w:val="18"/>
              </w:rPr>
              <w:t>they</w:t>
            </w:r>
            <w:r>
              <w:rPr>
                <w:spacing w:val="-3"/>
                <w:sz w:val="18"/>
              </w:rPr>
              <w:t> </w:t>
            </w:r>
            <w:r>
              <w:rPr>
                <w:sz w:val="18"/>
              </w:rPr>
              <w:t>haven’t</w:t>
            </w:r>
            <w:r>
              <w:rPr>
                <w:spacing w:val="-3"/>
                <w:sz w:val="18"/>
              </w:rPr>
              <w:t> </w:t>
            </w:r>
            <w:r>
              <w:rPr>
                <w:sz w:val="18"/>
              </w:rPr>
              <w:t>been</w:t>
            </w:r>
          </w:p>
          <w:p>
            <w:pPr>
              <w:pStyle w:val="TableParagraph"/>
              <w:spacing w:before="34"/>
              <w:ind w:left="275"/>
              <w:rPr>
                <w:sz w:val="18"/>
              </w:rPr>
            </w:pPr>
            <w:r>
              <w:rPr>
                <w:sz w:val="18"/>
              </w:rPr>
              <w:t>effective?</w:t>
            </w:r>
          </w:p>
        </w:tc>
      </w:tr>
      <w:tr>
        <w:trPr>
          <w:trHeight w:val="650" w:hRule="atLeast"/>
        </w:trPr>
        <w:tc>
          <w:tcPr>
            <w:tcW w:w="1980" w:type="dxa"/>
          </w:tcPr>
          <w:p>
            <w:pPr>
              <w:pStyle w:val="TableParagraph"/>
              <w:spacing w:line="276" w:lineRule="auto"/>
              <w:ind w:left="107" w:right="663"/>
              <w:rPr>
                <w:sz w:val="16"/>
              </w:rPr>
            </w:pPr>
            <w:r>
              <w:rPr>
                <w:sz w:val="16"/>
              </w:rPr>
              <w:t>Impact on staff</w:t>
            </w:r>
            <w:r>
              <w:rPr>
                <w:spacing w:val="-42"/>
                <w:sz w:val="16"/>
              </w:rPr>
              <w:t> </w:t>
            </w:r>
            <w:r>
              <w:rPr>
                <w:sz w:val="16"/>
              </w:rPr>
              <w:t>member</w:t>
            </w:r>
          </w:p>
        </w:tc>
        <w:tc>
          <w:tcPr>
            <w:tcW w:w="7038" w:type="dxa"/>
          </w:tcPr>
          <w:p>
            <w:pPr>
              <w:pStyle w:val="TableParagraph"/>
              <w:numPr>
                <w:ilvl w:val="0"/>
                <w:numId w:val="244"/>
              </w:numPr>
              <w:tabs>
                <w:tab w:pos="279" w:val="left" w:leader="none"/>
              </w:tabs>
              <w:spacing w:line="276" w:lineRule="auto" w:before="0" w:after="0"/>
              <w:ind w:left="278" w:right="162" w:hanging="171"/>
              <w:jc w:val="left"/>
              <w:rPr>
                <w:sz w:val="18"/>
              </w:rPr>
            </w:pPr>
            <w:r>
              <w:rPr>
                <w:sz w:val="18"/>
              </w:rPr>
              <w:t>Have</w:t>
            </w:r>
            <w:r>
              <w:rPr>
                <w:spacing w:val="-3"/>
                <w:sz w:val="18"/>
              </w:rPr>
              <w:t> </w:t>
            </w:r>
            <w:r>
              <w:rPr>
                <w:sz w:val="18"/>
              </w:rPr>
              <w:t>the</w:t>
            </w:r>
            <w:r>
              <w:rPr>
                <w:spacing w:val="-2"/>
                <w:sz w:val="18"/>
              </w:rPr>
              <w:t> </w:t>
            </w:r>
            <w:r>
              <w:rPr>
                <w:sz w:val="18"/>
              </w:rPr>
              <w:t>changes/</w:t>
            </w:r>
            <w:r>
              <w:rPr>
                <w:spacing w:val="-5"/>
                <w:sz w:val="18"/>
              </w:rPr>
              <w:t> </w:t>
            </w:r>
            <w:r>
              <w:rPr>
                <w:sz w:val="18"/>
              </w:rPr>
              <w:t>initiatives</w:t>
            </w:r>
            <w:r>
              <w:rPr>
                <w:spacing w:val="-3"/>
                <w:sz w:val="18"/>
              </w:rPr>
              <w:t> </w:t>
            </w:r>
            <w:r>
              <w:rPr>
                <w:sz w:val="18"/>
              </w:rPr>
              <w:t>impacted</w:t>
            </w:r>
            <w:r>
              <w:rPr>
                <w:spacing w:val="-3"/>
                <w:sz w:val="18"/>
              </w:rPr>
              <w:t> </w:t>
            </w:r>
            <w:r>
              <w:rPr>
                <w:sz w:val="18"/>
              </w:rPr>
              <w:t>on</w:t>
            </w:r>
            <w:r>
              <w:rPr>
                <w:spacing w:val="-3"/>
                <w:sz w:val="18"/>
              </w:rPr>
              <w:t> </w:t>
            </w:r>
            <w:r>
              <w:rPr>
                <w:sz w:val="18"/>
              </w:rPr>
              <w:t>how</w:t>
            </w:r>
            <w:r>
              <w:rPr>
                <w:spacing w:val="-4"/>
                <w:sz w:val="18"/>
              </w:rPr>
              <w:t> </w:t>
            </w:r>
            <w:r>
              <w:rPr>
                <w:sz w:val="18"/>
              </w:rPr>
              <w:t>you</w:t>
            </w:r>
            <w:r>
              <w:rPr>
                <w:spacing w:val="-3"/>
                <w:sz w:val="18"/>
              </w:rPr>
              <w:t> </w:t>
            </w:r>
            <w:r>
              <w:rPr>
                <w:sz w:val="18"/>
              </w:rPr>
              <w:t>interact</w:t>
            </w:r>
            <w:r>
              <w:rPr>
                <w:spacing w:val="-4"/>
                <w:sz w:val="18"/>
              </w:rPr>
              <w:t> </w:t>
            </w:r>
            <w:r>
              <w:rPr>
                <w:sz w:val="18"/>
              </w:rPr>
              <w:t>with</w:t>
            </w:r>
            <w:r>
              <w:rPr>
                <w:spacing w:val="-2"/>
                <w:sz w:val="18"/>
              </w:rPr>
              <w:t> </w:t>
            </w:r>
            <w:r>
              <w:rPr>
                <w:sz w:val="18"/>
              </w:rPr>
              <w:t>other</w:t>
            </w:r>
            <w:r>
              <w:rPr>
                <w:spacing w:val="-3"/>
                <w:sz w:val="18"/>
              </w:rPr>
              <w:t> </w:t>
            </w:r>
            <w:r>
              <w:rPr>
                <w:sz w:val="18"/>
              </w:rPr>
              <w:t>staff</w:t>
            </w:r>
            <w:r>
              <w:rPr>
                <w:spacing w:val="-47"/>
                <w:sz w:val="18"/>
              </w:rPr>
              <w:t> </w:t>
            </w:r>
            <w:r>
              <w:rPr>
                <w:sz w:val="18"/>
              </w:rPr>
              <w:t>at</w:t>
            </w:r>
            <w:r>
              <w:rPr>
                <w:spacing w:val="-3"/>
                <w:sz w:val="18"/>
              </w:rPr>
              <w:t> </w:t>
            </w:r>
            <w:r>
              <w:rPr>
                <w:sz w:val="18"/>
              </w:rPr>
              <w:t>the practice?</w:t>
            </w:r>
            <w:r>
              <w:rPr>
                <w:spacing w:val="-3"/>
                <w:sz w:val="18"/>
              </w:rPr>
              <w:t> </w:t>
            </w:r>
            <w:r>
              <w:rPr>
                <w:sz w:val="18"/>
              </w:rPr>
              <w:t>If</w:t>
            </w:r>
            <w:r>
              <w:rPr>
                <w:spacing w:val="-1"/>
                <w:sz w:val="18"/>
              </w:rPr>
              <w:t> </w:t>
            </w:r>
            <w:r>
              <w:rPr>
                <w:sz w:val="18"/>
              </w:rPr>
              <w:t>so,</w:t>
            </w:r>
            <w:r>
              <w:rPr>
                <w:spacing w:val="-2"/>
                <w:sz w:val="18"/>
              </w:rPr>
              <w:t> </w:t>
            </w:r>
            <w:r>
              <w:rPr>
                <w:sz w:val="18"/>
              </w:rPr>
              <w:t>what</w:t>
            </w:r>
            <w:r>
              <w:rPr>
                <w:spacing w:val="-2"/>
                <w:sz w:val="18"/>
              </w:rPr>
              <w:t> </w:t>
            </w:r>
            <w:r>
              <w:rPr>
                <w:sz w:val="18"/>
              </w:rPr>
              <w:t>have</w:t>
            </w:r>
            <w:r>
              <w:rPr>
                <w:spacing w:val="-1"/>
                <w:sz w:val="18"/>
              </w:rPr>
              <w:t> </w:t>
            </w:r>
            <w:r>
              <w:rPr>
                <w:sz w:val="18"/>
              </w:rPr>
              <w:t>been the</w:t>
            </w:r>
            <w:r>
              <w:rPr>
                <w:spacing w:val="-2"/>
                <w:sz w:val="18"/>
              </w:rPr>
              <w:t> </w:t>
            </w:r>
            <w:r>
              <w:rPr>
                <w:sz w:val="18"/>
              </w:rPr>
              <w:t>impacts?</w:t>
            </w:r>
          </w:p>
        </w:tc>
      </w:tr>
    </w:tbl>
    <w:p>
      <w:pPr>
        <w:spacing w:after="0" w:line="276" w:lineRule="auto"/>
        <w:jc w:val="left"/>
        <w:rPr>
          <w:sz w:val="18"/>
        </w:rPr>
        <w:sectPr>
          <w:pgSz w:w="11910" w:h="16840"/>
          <w:pgMar w:header="0" w:footer="948" w:top="1340" w:bottom="1623" w:left="300" w:right="0"/>
        </w:sectPr>
      </w:pPr>
    </w:p>
    <w:tbl>
      <w:tblPr>
        <w:tblW w:w="0" w:type="auto"/>
        <w:jc w:val="left"/>
        <w:tblInd w:w="11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980"/>
        <w:gridCol w:w="7038"/>
      </w:tblGrid>
      <w:tr>
        <w:trPr>
          <w:trHeight w:val="225" w:hRule="atLeast"/>
        </w:trPr>
        <w:tc>
          <w:tcPr>
            <w:tcW w:w="1980" w:type="dxa"/>
            <w:shd w:val="clear" w:color="auto" w:fill="003C79"/>
          </w:tcPr>
          <w:p>
            <w:pPr>
              <w:pStyle w:val="TableParagraph"/>
              <w:spacing w:line="196" w:lineRule="exact"/>
              <w:ind w:left="107"/>
              <w:rPr>
                <w:b/>
                <w:sz w:val="16"/>
              </w:rPr>
            </w:pPr>
            <w:r>
              <w:rPr>
                <w:b/>
                <w:color w:val="FFFFFF"/>
                <w:sz w:val="16"/>
              </w:rPr>
              <w:t>Topic</w:t>
            </w:r>
          </w:p>
        </w:tc>
        <w:tc>
          <w:tcPr>
            <w:tcW w:w="7038" w:type="dxa"/>
            <w:shd w:val="clear" w:color="auto" w:fill="003C79"/>
          </w:tcPr>
          <w:p>
            <w:pPr>
              <w:pStyle w:val="TableParagraph"/>
              <w:spacing w:line="196" w:lineRule="exact"/>
              <w:ind w:left="107"/>
              <w:rPr>
                <w:b/>
                <w:sz w:val="16"/>
              </w:rPr>
            </w:pPr>
            <w:r>
              <w:rPr>
                <w:b/>
                <w:color w:val="FFFFFF"/>
                <w:sz w:val="16"/>
              </w:rPr>
              <w:t>Question</w:t>
            </w:r>
          </w:p>
        </w:tc>
      </w:tr>
      <w:tr>
        <w:trPr>
          <w:trHeight w:val="2802" w:hRule="atLeast"/>
        </w:trPr>
        <w:tc>
          <w:tcPr>
            <w:tcW w:w="1980" w:type="dxa"/>
          </w:tcPr>
          <w:p>
            <w:pPr>
              <w:pStyle w:val="TableParagraph"/>
              <w:rPr>
                <w:rFonts w:ascii="Times New Roman"/>
                <w:sz w:val="16"/>
              </w:rPr>
            </w:pPr>
          </w:p>
        </w:tc>
        <w:tc>
          <w:tcPr>
            <w:tcW w:w="7038" w:type="dxa"/>
          </w:tcPr>
          <w:p>
            <w:pPr>
              <w:pStyle w:val="TableParagraph"/>
              <w:numPr>
                <w:ilvl w:val="0"/>
                <w:numId w:val="245"/>
              </w:numPr>
              <w:tabs>
                <w:tab w:pos="279" w:val="left" w:leader="none"/>
              </w:tabs>
              <w:spacing w:line="219" w:lineRule="exact" w:before="0" w:after="0"/>
              <w:ind w:left="278" w:right="0" w:hanging="172"/>
              <w:jc w:val="left"/>
              <w:rPr>
                <w:sz w:val="18"/>
              </w:rPr>
            </w:pPr>
            <w:r>
              <w:rPr>
                <w:sz w:val="18"/>
              </w:rPr>
              <w:t>What</w:t>
            </w:r>
            <w:r>
              <w:rPr>
                <w:spacing w:val="-4"/>
                <w:sz w:val="18"/>
              </w:rPr>
              <w:t> </w:t>
            </w:r>
            <w:r>
              <w:rPr>
                <w:sz w:val="18"/>
              </w:rPr>
              <w:t>impacts,</w:t>
            </w:r>
            <w:r>
              <w:rPr>
                <w:spacing w:val="-3"/>
                <w:sz w:val="18"/>
              </w:rPr>
              <w:t> </w:t>
            </w:r>
            <w:r>
              <w:rPr>
                <w:sz w:val="18"/>
              </w:rPr>
              <w:t>if</w:t>
            </w:r>
            <w:r>
              <w:rPr>
                <w:spacing w:val="-2"/>
                <w:sz w:val="18"/>
              </w:rPr>
              <w:t> </w:t>
            </w:r>
            <w:r>
              <w:rPr>
                <w:sz w:val="18"/>
              </w:rPr>
              <w:t>any,</w:t>
            </w:r>
            <w:r>
              <w:rPr>
                <w:spacing w:val="-4"/>
                <w:sz w:val="18"/>
              </w:rPr>
              <w:t> </w:t>
            </w:r>
            <w:r>
              <w:rPr>
                <w:sz w:val="18"/>
              </w:rPr>
              <w:t>have</w:t>
            </w:r>
            <w:r>
              <w:rPr>
                <w:spacing w:val="-2"/>
                <w:sz w:val="18"/>
              </w:rPr>
              <w:t> </w:t>
            </w:r>
            <w:r>
              <w:rPr>
                <w:sz w:val="18"/>
              </w:rPr>
              <w:t>the</w:t>
            </w:r>
            <w:r>
              <w:rPr>
                <w:spacing w:val="-2"/>
                <w:sz w:val="18"/>
              </w:rPr>
              <w:t> </w:t>
            </w:r>
            <w:r>
              <w:rPr>
                <w:sz w:val="18"/>
              </w:rPr>
              <w:t>changes</w:t>
            </w:r>
            <w:r>
              <w:rPr>
                <w:spacing w:val="-4"/>
                <w:sz w:val="18"/>
              </w:rPr>
              <w:t> </w:t>
            </w:r>
            <w:r>
              <w:rPr>
                <w:sz w:val="18"/>
              </w:rPr>
              <w:t>had</w:t>
            </w:r>
            <w:r>
              <w:rPr>
                <w:spacing w:val="-3"/>
                <w:sz w:val="18"/>
              </w:rPr>
              <w:t> </w:t>
            </w:r>
            <w:r>
              <w:rPr>
                <w:sz w:val="18"/>
              </w:rPr>
              <w:t>on</w:t>
            </w:r>
            <w:r>
              <w:rPr>
                <w:spacing w:val="-1"/>
                <w:sz w:val="18"/>
              </w:rPr>
              <w:t> </w:t>
            </w:r>
            <w:r>
              <w:rPr>
                <w:sz w:val="18"/>
              </w:rPr>
              <w:t>your</w:t>
            </w:r>
            <w:r>
              <w:rPr>
                <w:spacing w:val="-3"/>
                <w:sz w:val="18"/>
              </w:rPr>
              <w:t> </w:t>
            </w:r>
            <w:r>
              <w:rPr>
                <w:sz w:val="18"/>
              </w:rPr>
              <w:t>role?</w:t>
            </w:r>
          </w:p>
          <w:p>
            <w:pPr>
              <w:pStyle w:val="TableParagraph"/>
              <w:rPr>
                <w:sz w:val="19"/>
              </w:rPr>
            </w:pPr>
          </w:p>
          <w:p>
            <w:pPr>
              <w:pStyle w:val="TableParagraph"/>
              <w:spacing w:before="1"/>
              <w:ind w:left="107"/>
              <w:rPr>
                <w:sz w:val="16"/>
              </w:rPr>
            </w:pPr>
            <w:r>
              <w:rPr>
                <w:sz w:val="16"/>
              </w:rPr>
              <w:t>Prompts:</w:t>
            </w:r>
          </w:p>
          <w:p>
            <w:pPr>
              <w:pStyle w:val="TableParagraph"/>
              <w:spacing w:before="9"/>
              <w:rPr>
                <w:sz w:val="18"/>
              </w:rPr>
            </w:pPr>
          </w:p>
          <w:p>
            <w:pPr>
              <w:pStyle w:val="TableParagraph"/>
              <w:numPr>
                <w:ilvl w:val="1"/>
                <w:numId w:val="245"/>
              </w:numPr>
              <w:tabs>
                <w:tab w:pos="821" w:val="left" w:leader="none"/>
                <w:tab w:pos="822" w:val="left" w:leader="none"/>
              </w:tabs>
              <w:spacing w:line="240" w:lineRule="auto" w:before="0" w:after="0"/>
              <w:ind w:left="821" w:right="0" w:hanging="357"/>
              <w:jc w:val="left"/>
              <w:rPr>
                <w:sz w:val="18"/>
              </w:rPr>
            </w:pPr>
            <w:r>
              <w:rPr>
                <w:sz w:val="18"/>
              </w:rPr>
              <w:t>Depth</w:t>
            </w:r>
            <w:r>
              <w:rPr>
                <w:spacing w:val="-1"/>
                <w:sz w:val="18"/>
              </w:rPr>
              <w:t> </w:t>
            </w:r>
            <w:r>
              <w:rPr>
                <w:sz w:val="18"/>
              </w:rPr>
              <w:t>(e.g.</w:t>
            </w:r>
            <w:r>
              <w:rPr>
                <w:spacing w:val="-6"/>
                <w:sz w:val="18"/>
              </w:rPr>
              <w:t> </w:t>
            </w:r>
            <w:r>
              <w:rPr>
                <w:sz w:val="18"/>
              </w:rPr>
              <w:t>extending</w:t>
            </w:r>
            <w:r>
              <w:rPr>
                <w:spacing w:val="-5"/>
                <w:sz w:val="18"/>
              </w:rPr>
              <w:t> </w:t>
            </w:r>
            <w:r>
              <w:rPr>
                <w:sz w:val="18"/>
              </w:rPr>
              <w:t>skills).</w:t>
            </w:r>
          </w:p>
          <w:p>
            <w:pPr>
              <w:pStyle w:val="TableParagraph"/>
              <w:numPr>
                <w:ilvl w:val="1"/>
                <w:numId w:val="245"/>
              </w:numPr>
              <w:tabs>
                <w:tab w:pos="821" w:val="left" w:leader="none"/>
                <w:tab w:pos="822" w:val="left" w:leader="none"/>
              </w:tabs>
              <w:spacing w:line="276" w:lineRule="auto" w:before="31" w:after="0"/>
              <w:ind w:left="821" w:right="492" w:hanging="356"/>
              <w:jc w:val="left"/>
              <w:rPr>
                <w:sz w:val="18"/>
              </w:rPr>
            </w:pPr>
            <w:r>
              <w:rPr>
                <w:sz w:val="18"/>
              </w:rPr>
              <w:t>Breadth (e.g.</w:t>
            </w:r>
            <w:r>
              <w:rPr>
                <w:spacing w:val="-3"/>
                <w:sz w:val="18"/>
              </w:rPr>
              <w:t> </w:t>
            </w:r>
            <w:r>
              <w:rPr>
                <w:sz w:val="18"/>
              </w:rPr>
              <w:t>wider</w:t>
            </w:r>
            <w:r>
              <w:rPr>
                <w:spacing w:val="-2"/>
                <w:sz w:val="18"/>
              </w:rPr>
              <w:t> </w:t>
            </w:r>
            <w:r>
              <w:rPr>
                <w:sz w:val="18"/>
              </w:rPr>
              <w:t>range</w:t>
            </w:r>
            <w:r>
              <w:rPr>
                <w:spacing w:val="-3"/>
                <w:sz w:val="18"/>
              </w:rPr>
              <w:t> </w:t>
            </w:r>
            <w:r>
              <w:rPr>
                <w:sz w:val="18"/>
              </w:rPr>
              <w:t>of</w:t>
            </w:r>
            <w:r>
              <w:rPr>
                <w:spacing w:val="-1"/>
                <w:sz w:val="18"/>
              </w:rPr>
              <w:t> </w:t>
            </w:r>
            <w:r>
              <w:rPr>
                <w:sz w:val="18"/>
              </w:rPr>
              <w:t>tasks,</w:t>
            </w:r>
            <w:r>
              <w:rPr>
                <w:spacing w:val="-5"/>
                <w:sz w:val="18"/>
              </w:rPr>
              <w:t> </w:t>
            </w:r>
            <w:r>
              <w:rPr>
                <w:sz w:val="18"/>
              </w:rPr>
              <w:t>and/or</w:t>
            </w:r>
            <w:r>
              <w:rPr>
                <w:spacing w:val="-2"/>
                <w:sz w:val="18"/>
              </w:rPr>
              <w:t> </w:t>
            </w:r>
            <w:r>
              <w:rPr>
                <w:sz w:val="18"/>
              </w:rPr>
              <w:t>working</w:t>
            </w:r>
            <w:r>
              <w:rPr>
                <w:spacing w:val="-4"/>
                <w:sz w:val="18"/>
              </w:rPr>
              <w:t> </w:t>
            </w:r>
            <w:r>
              <w:rPr>
                <w:sz w:val="18"/>
              </w:rPr>
              <w:t>with</w:t>
            </w:r>
            <w:r>
              <w:rPr>
                <w:spacing w:val="-4"/>
                <w:sz w:val="18"/>
              </w:rPr>
              <w:t> </w:t>
            </w:r>
            <w:r>
              <w:rPr>
                <w:sz w:val="18"/>
              </w:rPr>
              <w:t>a</w:t>
            </w:r>
            <w:r>
              <w:rPr>
                <w:spacing w:val="-3"/>
                <w:sz w:val="18"/>
              </w:rPr>
              <w:t> </w:t>
            </w:r>
            <w:r>
              <w:rPr>
                <w:sz w:val="18"/>
              </w:rPr>
              <w:t>broader</w:t>
            </w:r>
            <w:r>
              <w:rPr>
                <w:spacing w:val="-47"/>
                <w:sz w:val="18"/>
              </w:rPr>
              <w:t> </w:t>
            </w:r>
            <w:r>
              <w:rPr>
                <w:sz w:val="18"/>
              </w:rPr>
              <w:t>range</w:t>
            </w:r>
            <w:r>
              <w:rPr>
                <w:spacing w:val="-1"/>
                <w:sz w:val="18"/>
              </w:rPr>
              <w:t> </w:t>
            </w:r>
            <w:r>
              <w:rPr>
                <w:sz w:val="18"/>
              </w:rPr>
              <w:t>of</w:t>
            </w:r>
            <w:r>
              <w:rPr>
                <w:spacing w:val="1"/>
                <w:sz w:val="18"/>
              </w:rPr>
              <w:t> </w:t>
            </w:r>
            <w:r>
              <w:rPr>
                <w:sz w:val="18"/>
              </w:rPr>
              <w:t>organisations).</w:t>
            </w:r>
          </w:p>
          <w:p>
            <w:pPr>
              <w:pStyle w:val="TableParagraph"/>
              <w:numPr>
                <w:ilvl w:val="1"/>
                <w:numId w:val="245"/>
              </w:numPr>
              <w:tabs>
                <w:tab w:pos="821" w:val="left" w:leader="none"/>
                <w:tab w:pos="822" w:val="left" w:leader="none"/>
              </w:tabs>
              <w:spacing w:line="240" w:lineRule="auto" w:before="1" w:after="0"/>
              <w:ind w:left="821" w:right="0" w:hanging="357"/>
              <w:jc w:val="left"/>
              <w:rPr>
                <w:sz w:val="18"/>
              </w:rPr>
            </w:pPr>
            <w:r>
              <w:rPr>
                <w:sz w:val="18"/>
              </w:rPr>
              <w:t>Ability</w:t>
            </w:r>
            <w:r>
              <w:rPr>
                <w:spacing w:val="-4"/>
                <w:sz w:val="18"/>
              </w:rPr>
              <w:t> </w:t>
            </w:r>
            <w:r>
              <w:rPr>
                <w:sz w:val="18"/>
              </w:rPr>
              <w:t>to</w:t>
            </w:r>
            <w:r>
              <w:rPr>
                <w:spacing w:val="-3"/>
                <w:sz w:val="18"/>
              </w:rPr>
              <w:t> </w:t>
            </w:r>
            <w:r>
              <w:rPr>
                <w:sz w:val="18"/>
              </w:rPr>
              <w:t>delegate</w:t>
            </w:r>
            <w:r>
              <w:rPr>
                <w:spacing w:val="-3"/>
                <w:sz w:val="18"/>
              </w:rPr>
              <w:t> </w:t>
            </w:r>
            <w:r>
              <w:rPr>
                <w:sz w:val="18"/>
              </w:rPr>
              <w:t>to</w:t>
            </w:r>
            <w:r>
              <w:rPr>
                <w:spacing w:val="-3"/>
                <w:sz w:val="18"/>
              </w:rPr>
              <w:t> </w:t>
            </w:r>
            <w:r>
              <w:rPr>
                <w:sz w:val="18"/>
              </w:rPr>
              <w:t>others.</w:t>
            </w:r>
          </w:p>
          <w:p>
            <w:pPr>
              <w:pStyle w:val="TableParagraph"/>
              <w:numPr>
                <w:ilvl w:val="1"/>
                <w:numId w:val="245"/>
              </w:numPr>
              <w:tabs>
                <w:tab w:pos="821" w:val="left" w:leader="none"/>
                <w:tab w:pos="822" w:val="left" w:leader="none"/>
              </w:tabs>
              <w:spacing w:line="240" w:lineRule="auto" w:before="34" w:after="0"/>
              <w:ind w:left="821" w:right="0" w:hanging="357"/>
              <w:jc w:val="left"/>
              <w:rPr>
                <w:sz w:val="18"/>
              </w:rPr>
            </w:pPr>
            <w:r>
              <w:rPr>
                <w:sz w:val="18"/>
              </w:rPr>
              <w:t>Having</w:t>
            </w:r>
            <w:r>
              <w:rPr>
                <w:spacing w:val="-6"/>
                <w:sz w:val="18"/>
              </w:rPr>
              <w:t> </w:t>
            </w:r>
            <w:r>
              <w:rPr>
                <w:sz w:val="18"/>
              </w:rPr>
              <w:t>more</w:t>
            </w:r>
            <w:r>
              <w:rPr>
                <w:spacing w:val="-4"/>
                <w:sz w:val="18"/>
              </w:rPr>
              <w:t> </w:t>
            </w:r>
            <w:r>
              <w:rPr>
                <w:sz w:val="18"/>
              </w:rPr>
              <w:t>responsibility</w:t>
            </w:r>
            <w:r>
              <w:rPr>
                <w:spacing w:val="-4"/>
                <w:sz w:val="18"/>
              </w:rPr>
              <w:t> </w:t>
            </w:r>
            <w:r>
              <w:rPr>
                <w:sz w:val="18"/>
              </w:rPr>
              <w:t>delegated.</w:t>
            </w:r>
          </w:p>
          <w:p>
            <w:pPr>
              <w:pStyle w:val="TableParagraph"/>
              <w:rPr>
                <w:sz w:val="19"/>
              </w:rPr>
            </w:pPr>
          </w:p>
          <w:p>
            <w:pPr>
              <w:pStyle w:val="TableParagraph"/>
              <w:numPr>
                <w:ilvl w:val="0"/>
                <w:numId w:val="245"/>
              </w:numPr>
              <w:tabs>
                <w:tab w:pos="276" w:val="left" w:leader="none"/>
              </w:tabs>
              <w:spacing w:line="240" w:lineRule="auto" w:before="0" w:after="0"/>
              <w:ind w:left="275" w:right="0" w:hanging="169"/>
              <w:jc w:val="left"/>
              <w:rPr>
                <w:sz w:val="18"/>
              </w:rPr>
            </w:pPr>
            <w:r>
              <w:rPr>
                <w:sz w:val="18"/>
              </w:rPr>
              <w:t>What</w:t>
            </w:r>
            <w:r>
              <w:rPr>
                <w:spacing w:val="-5"/>
                <w:sz w:val="18"/>
              </w:rPr>
              <w:t> </w:t>
            </w:r>
            <w:r>
              <w:rPr>
                <w:sz w:val="18"/>
              </w:rPr>
              <w:t>impact</w:t>
            </w:r>
            <w:r>
              <w:rPr>
                <w:spacing w:val="-4"/>
                <w:sz w:val="18"/>
              </w:rPr>
              <w:t> </w:t>
            </w:r>
            <w:r>
              <w:rPr>
                <w:sz w:val="18"/>
              </w:rPr>
              <w:t>have</w:t>
            </w:r>
            <w:r>
              <w:rPr>
                <w:spacing w:val="-2"/>
                <w:sz w:val="18"/>
              </w:rPr>
              <w:t> </w:t>
            </w:r>
            <w:r>
              <w:rPr>
                <w:sz w:val="18"/>
              </w:rPr>
              <w:t>the</w:t>
            </w:r>
            <w:r>
              <w:rPr>
                <w:spacing w:val="-2"/>
                <w:sz w:val="18"/>
              </w:rPr>
              <w:t> </w:t>
            </w:r>
            <w:r>
              <w:rPr>
                <w:sz w:val="18"/>
              </w:rPr>
              <w:t>changes</w:t>
            </w:r>
            <w:r>
              <w:rPr>
                <w:spacing w:val="-3"/>
                <w:sz w:val="18"/>
              </w:rPr>
              <w:t> </w:t>
            </w:r>
            <w:r>
              <w:rPr>
                <w:sz w:val="18"/>
              </w:rPr>
              <w:t>had</w:t>
            </w:r>
            <w:r>
              <w:rPr>
                <w:spacing w:val="-3"/>
                <w:sz w:val="18"/>
              </w:rPr>
              <w:t> </w:t>
            </w:r>
            <w:r>
              <w:rPr>
                <w:sz w:val="18"/>
              </w:rPr>
              <w:t>on</w:t>
            </w:r>
            <w:r>
              <w:rPr>
                <w:spacing w:val="-2"/>
                <w:sz w:val="18"/>
              </w:rPr>
              <w:t> </w:t>
            </w:r>
            <w:r>
              <w:rPr>
                <w:sz w:val="18"/>
              </w:rPr>
              <w:t>your</w:t>
            </w:r>
            <w:r>
              <w:rPr>
                <w:spacing w:val="-2"/>
                <w:sz w:val="18"/>
              </w:rPr>
              <w:t> </w:t>
            </w:r>
            <w:r>
              <w:rPr>
                <w:sz w:val="18"/>
              </w:rPr>
              <w:t>satisfaction</w:t>
            </w:r>
            <w:r>
              <w:rPr>
                <w:spacing w:val="-3"/>
                <w:sz w:val="18"/>
              </w:rPr>
              <w:t> </w:t>
            </w:r>
            <w:r>
              <w:rPr>
                <w:sz w:val="18"/>
              </w:rPr>
              <w:t>with</w:t>
            </w:r>
            <w:r>
              <w:rPr>
                <w:spacing w:val="-2"/>
                <w:sz w:val="18"/>
              </w:rPr>
              <w:t> </w:t>
            </w:r>
            <w:r>
              <w:rPr>
                <w:sz w:val="18"/>
              </w:rPr>
              <w:t>your</w:t>
            </w:r>
            <w:r>
              <w:rPr>
                <w:spacing w:val="-3"/>
                <w:sz w:val="18"/>
              </w:rPr>
              <w:t> </w:t>
            </w:r>
            <w:r>
              <w:rPr>
                <w:sz w:val="18"/>
              </w:rPr>
              <w:t>job?</w:t>
            </w:r>
          </w:p>
        </w:tc>
      </w:tr>
      <w:tr>
        <w:trPr>
          <w:trHeight w:val="1965" w:hRule="atLeast"/>
        </w:trPr>
        <w:tc>
          <w:tcPr>
            <w:tcW w:w="1980" w:type="dxa"/>
          </w:tcPr>
          <w:p>
            <w:pPr>
              <w:pStyle w:val="TableParagraph"/>
              <w:ind w:left="107" w:right="115"/>
              <w:rPr>
                <w:sz w:val="16"/>
              </w:rPr>
            </w:pPr>
            <w:r>
              <w:rPr>
                <w:sz w:val="16"/>
              </w:rPr>
              <w:t>Interaction with</w:t>
            </w:r>
            <w:r>
              <w:rPr>
                <w:spacing w:val="1"/>
                <w:sz w:val="16"/>
              </w:rPr>
              <w:t> </w:t>
            </w:r>
            <w:r>
              <w:rPr>
                <w:sz w:val="16"/>
              </w:rPr>
              <w:t>community</w:t>
            </w:r>
            <w:r>
              <w:rPr>
                <w:spacing w:val="-5"/>
                <w:sz w:val="16"/>
              </w:rPr>
              <w:t> </w:t>
            </w:r>
            <w:r>
              <w:rPr>
                <w:sz w:val="16"/>
              </w:rPr>
              <w:t>pharmacy</w:t>
            </w:r>
          </w:p>
          <w:p>
            <w:pPr>
              <w:pStyle w:val="TableParagraph"/>
              <w:spacing w:line="196" w:lineRule="exact"/>
              <w:ind w:left="107"/>
              <w:rPr>
                <w:sz w:val="16"/>
              </w:rPr>
            </w:pPr>
            <w:r>
              <w:rPr>
                <w:sz w:val="16"/>
              </w:rPr>
              <w:t>–</w:t>
            </w:r>
            <w:r>
              <w:rPr>
                <w:spacing w:val="1"/>
                <w:sz w:val="16"/>
              </w:rPr>
              <w:t> </w:t>
            </w:r>
            <w:r>
              <w:rPr>
                <w:sz w:val="16"/>
              </w:rPr>
              <w:t>GPs</w:t>
            </w:r>
            <w:r>
              <w:rPr>
                <w:spacing w:val="-2"/>
                <w:sz w:val="16"/>
              </w:rPr>
              <w:t> </w:t>
            </w:r>
            <w:r>
              <w:rPr>
                <w:sz w:val="16"/>
              </w:rPr>
              <w:t>only</w:t>
            </w:r>
          </w:p>
        </w:tc>
        <w:tc>
          <w:tcPr>
            <w:tcW w:w="7038" w:type="dxa"/>
          </w:tcPr>
          <w:p>
            <w:pPr>
              <w:pStyle w:val="TableParagraph"/>
              <w:numPr>
                <w:ilvl w:val="0"/>
                <w:numId w:val="246"/>
              </w:numPr>
              <w:tabs>
                <w:tab w:pos="276" w:val="left" w:leader="none"/>
              </w:tabs>
              <w:spacing w:line="219" w:lineRule="exact" w:before="0" w:after="0"/>
              <w:ind w:left="275" w:right="0" w:hanging="169"/>
              <w:jc w:val="left"/>
              <w:rPr>
                <w:sz w:val="18"/>
              </w:rPr>
            </w:pPr>
            <w:r>
              <w:rPr>
                <w:b/>
                <w:sz w:val="18"/>
              </w:rPr>
              <w:t>(R4)</w:t>
            </w:r>
            <w:r>
              <w:rPr>
                <w:b/>
                <w:spacing w:val="-3"/>
                <w:sz w:val="18"/>
              </w:rPr>
              <w:t> </w:t>
            </w:r>
            <w:r>
              <w:rPr>
                <w:sz w:val="18"/>
              </w:rPr>
              <w:t>How</w:t>
            </w:r>
            <w:r>
              <w:rPr>
                <w:spacing w:val="-4"/>
                <w:sz w:val="18"/>
              </w:rPr>
              <w:t> </w:t>
            </w:r>
            <w:r>
              <w:rPr>
                <w:sz w:val="18"/>
              </w:rPr>
              <w:t>did</w:t>
            </w:r>
            <w:r>
              <w:rPr>
                <w:spacing w:val="-3"/>
                <w:sz w:val="18"/>
              </w:rPr>
              <w:t> </w:t>
            </w:r>
            <w:r>
              <w:rPr>
                <w:sz w:val="18"/>
              </w:rPr>
              <w:t>you</w:t>
            </w:r>
            <w:r>
              <w:rPr>
                <w:spacing w:val="-2"/>
                <w:sz w:val="18"/>
              </w:rPr>
              <w:t> </w:t>
            </w:r>
            <w:r>
              <w:rPr>
                <w:sz w:val="18"/>
              </w:rPr>
              <w:t>select</w:t>
            </w:r>
            <w:r>
              <w:rPr>
                <w:spacing w:val="-4"/>
                <w:sz w:val="18"/>
              </w:rPr>
              <w:t> </w:t>
            </w:r>
            <w:r>
              <w:rPr>
                <w:sz w:val="18"/>
              </w:rPr>
              <w:t>the</w:t>
            </w:r>
            <w:r>
              <w:rPr>
                <w:spacing w:val="-4"/>
                <w:sz w:val="18"/>
              </w:rPr>
              <w:t> </w:t>
            </w:r>
            <w:r>
              <w:rPr>
                <w:sz w:val="18"/>
              </w:rPr>
              <w:t>patients</w:t>
            </w:r>
            <w:r>
              <w:rPr>
                <w:spacing w:val="-3"/>
                <w:sz w:val="18"/>
              </w:rPr>
              <w:t> </w:t>
            </w:r>
            <w:r>
              <w:rPr>
                <w:sz w:val="18"/>
              </w:rPr>
              <w:t>that</w:t>
            </w:r>
            <w:r>
              <w:rPr>
                <w:spacing w:val="-4"/>
                <w:sz w:val="18"/>
              </w:rPr>
              <w:t> </w:t>
            </w:r>
            <w:r>
              <w:rPr>
                <w:sz w:val="18"/>
              </w:rPr>
              <w:t>you</w:t>
            </w:r>
            <w:r>
              <w:rPr>
                <w:spacing w:val="-1"/>
                <w:sz w:val="18"/>
              </w:rPr>
              <w:t> </w:t>
            </w:r>
            <w:r>
              <w:rPr>
                <w:sz w:val="18"/>
              </w:rPr>
              <w:t>referred</w:t>
            </w:r>
            <w:r>
              <w:rPr>
                <w:spacing w:val="-3"/>
                <w:sz w:val="18"/>
              </w:rPr>
              <w:t> </w:t>
            </w:r>
            <w:r>
              <w:rPr>
                <w:sz w:val="18"/>
              </w:rPr>
              <w:t>to</w:t>
            </w:r>
            <w:r>
              <w:rPr>
                <w:spacing w:val="-3"/>
                <w:sz w:val="18"/>
              </w:rPr>
              <w:t> </w:t>
            </w:r>
            <w:r>
              <w:rPr>
                <w:sz w:val="18"/>
              </w:rPr>
              <w:t>the</w:t>
            </w:r>
            <w:r>
              <w:rPr>
                <w:spacing w:val="-2"/>
                <w:sz w:val="18"/>
              </w:rPr>
              <w:t> </w:t>
            </w:r>
            <w:r>
              <w:rPr>
                <w:sz w:val="18"/>
              </w:rPr>
              <w:t>Trial</w:t>
            </w:r>
            <w:r>
              <w:rPr>
                <w:spacing w:val="-2"/>
                <w:sz w:val="18"/>
              </w:rPr>
              <w:t> </w:t>
            </w:r>
            <w:r>
              <w:rPr>
                <w:sz w:val="18"/>
              </w:rPr>
              <w:t>Program?</w:t>
            </w:r>
          </w:p>
          <w:p>
            <w:pPr>
              <w:pStyle w:val="TableParagraph"/>
              <w:numPr>
                <w:ilvl w:val="0"/>
                <w:numId w:val="246"/>
              </w:numPr>
              <w:tabs>
                <w:tab w:pos="276" w:val="left" w:leader="none"/>
              </w:tabs>
              <w:spacing w:line="240" w:lineRule="auto" w:before="0" w:after="0"/>
              <w:ind w:left="275" w:right="0" w:hanging="169"/>
              <w:jc w:val="left"/>
              <w:rPr>
                <w:sz w:val="18"/>
              </w:rPr>
            </w:pPr>
            <w:r>
              <w:rPr>
                <w:sz w:val="18"/>
              </w:rPr>
              <w:t>What</w:t>
            </w:r>
            <w:r>
              <w:rPr>
                <w:spacing w:val="-6"/>
                <w:sz w:val="18"/>
              </w:rPr>
              <w:t> </w:t>
            </w:r>
            <w:r>
              <w:rPr>
                <w:sz w:val="18"/>
              </w:rPr>
              <w:t>have</w:t>
            </w:r>
            <w:r>
              <w:rPr>
                <w:spacing w:val="-3"/>
                <w:sz w:val="18"/>
              </w:rPr>
              <w:t> </w:t>
            </w:r>
            <w:r>
              <w:rPr>
                <w:sz w:val="18"/>
              </w:rPr>
              <w:t>the</w:t>
            </w:r>
            <w:r>
              <w:rPr>
                <w:spacing w:val="-3"/>
                <w:sz w:val="18"/>
              </w:rPr>
              <w:t> </w:t>
            </w:r>
            <w:r>
              <w:rPr>
                <w:sz w:val="18"/>
              </w:rPr>
              <w:t>pharmacists</w:t>
            </w:r>
            <w:r>
              <w:rPr>
                <w:spacing w:val="-4"/>
                <w:sz w:val="18"/>
              </w:rPr>
              <w:t> </w:t>
            </w:r>
            <w:r>
              <w:rPr>
                <w:sz w:val="18"/>
              </w:rPr>
              <w:t>done</w:t>
            </w:r>
            <w:r>
              <w:rPr>
                <w:spacing w:val="-3"/>
                <w:sz w:val="18"/>
              </w:rPr>
              <w:t> </w:t>
            </w:r>
            <w:r>
              <w:rPr>
                <w:sz w:val="18"/>
              </w:rPr>
              <w:t>for</w:t>
            </w:r>
            <w:r>
              <w:rPr>
                <w:spacing w:val="-3"/>
                <w:sz w:val="18"/>
              </w:rPr>
              <w:t> </w:t>
            </w:r>
            <w:r>
              <w:rPr>
                <w:sz w:val="18"/>
              </w:rPr>
              <w:t>your</w:t>
            </w:r>
            <w:r>
              <w:rPr>
                <w:spacing w:val="-4"/>
                <w:sz w:val="18"/>
              </w:rPr>
              <w:t> </w:t>
            </w:r>
            <w:r>
              <w:rPr>
                <w:sz w:val="18"/>
              </w:rPr>
              <w:t>patients?</w:t>
            </w:r>
          </w:p>
          <w:p>
            <w:pPr>
              <w:pStyle w:val="TableParagraph"/>
              <w:numPr>
                <w:ilvl w:val="0"/>
                <w:numId w:val="246"/>
              </w:numPr>
              <w:tabs>
                <w:tab w:pos="276" w:val="left" w:leader="none"/>
              </w:tabs>
              <w:spacing w:line="240" w:lineRule="auto" w:before="1" w:after="0"/>
              <w:ind w:left="275" w:right="0" w:hanging="169"/>
              <w:jc w:val="left"/>
              <w:rPr>
                <w:sz w:val="18"/>
              </w:rPr>
            </w:pPr>
            <w:r>
              <w:rPr>
                <w:sz w:val="18"/>
              </w:rPr>
              <w:t>How</w:t>
            </w:r>
            <w:r>
              <w:rPr>
                <w:spacing w:val="-5"/>
                <w:sz w:val="18"/>
              </w:rPr>
              <w:t> </w:t>
            </w:r>
            <w:r>
              <w:rPr>
                <w:sz w:val="18"/>
              </w:rPr>
              <w:t>do</w:t>
            </w:r>
            <w:r>
              <w:rPr>
                <w:spacing w:val="-3"/>
                <w:sz w:val="18"/>
              </w:rPr>
              <w:t> </w:t>
            </w:r>
            <w:r>
              <w:rPr>
                <w:sz w:val="18"/>
              </w:rPr>
              <w:t>you</w:t>
            </w:r>
            <w:r>
              <w:rPr>
                <w:spacing w:val="-3"/>
                <w:sz w:val="18"/>
              </w:rPr>
              <w:t> </w:t>
            </w:r>
            <w:r>
              <w:rPr>
                <w:sz w:val="18"/>
              </w:rPr>
              <w:t>work</w:t>
            </w:r>
            <w:r>
              <w:rPr>
                <w:spacing w:val="-2"/>
                <w:sz w:val="18"/>
              </w:rPr>
              <w:t> </w:t>
            </w:r>
            <w:r>
              <w:rPr>
                <w:sz w:val="18"/>
              </w:rPr>
              <w:t>with</w:t>
            </w:r>
            <w:r>
              <w:rPr>
                <w:spacing w:val="-3"/>
                <w:sz w:val="18"/>
              </w:rPr>
              <w:t> </w:t>
            </w:r>
            <w:r>
              <w:rPr>
                <w:sz w:val="18"/>
              </w:rPr>
              <w:t>the</w:t>
            </w:r>
            <w:r>
              <w:rPr>
                <w:spacing w:val="-2"/>
                <w:sz w:val="18"/>
              </w:rPr>
              <w:t> </w:t>
            </w:r>
            <w:r>
              <w:rPr>
                <w:sz w:val="18"/>
              </w:rPr>
              <w:t>pharmacists?</w:t>
            </w:r>
          </w:p>
          <w:p>
            <w:pPr>
              <w:pStyle w:val="TableParagraph"/>
              <w:numPr>
                <w:ilvl w:val="0"/>
                <w:numId w:val="246"/>
              </w:numPr>
              <w:tabs>
                <w:tab w:pos="276" w:val="left" w:leader="none"/>
              </w:tabs>
              <w:spacing w:line="240" w:lineRule="auto" w:before="0" w:after="0"/>
              <w:ind w:left="275" w:right="0" w:hanging="169"/>
              <w:jc w:val="left"/>
              <w:rPr>
                <w:sz w:val="18"/>
              </w:rPr>
            </w:pPr>
            <w:r>
              <w:rPr>
                <w:sz w:val="18"/>
              </w:rPr>
              <w:t>Is</w:t>
            </w:r>
            <w:r>
              <w:rPr>
                <w:spacing w:val="-3"/>
                <w:sz w:val="18"/>
              </w:rPr>
              <w:t> </w:t>
            </w:r>
            <w:r>
              <w:rPr>
                <w:sz w:val="18"/>
              </w:rPr>
              <w:t>there</w:t>
            </w:r>
            <w:r>
              <w:rPr>
                <w:spacing w:val="-2"/>
                <w:sz w:val="18"/>
              </w:rPr>
              <w:t> </w:t>
            </w:r>
            <w:r>
              <w:rPr>
                <w:sz w:val="18"/>
              </w:rPr>
              <w:t>any</w:t>
            </w:r>
            <w:r>
              <w:rPr>
                <w:spacing w:val="-3"/>
                <w:sz w:val="18"/>
              </w:rPr>
              <w:t> </w:t>
            </w:r>
            <w:r>
              <w:rPr>
                <w:sz w:val="18"/>
              </w:rPr>
              <w:t>overlap</w:t>
            </w:r>
            <w:r>
              <w:rPr>
                <w:spacing w:val="-3"/>
                <w:sz w:val="18"/>
              </w:rPr>
              <w:t> </w:t>
            </w:r>
            <w:r>
              <w:rPr>
                <w:sz w:val="18"/>
              </w:rPr>
              <w:t>between</w:t>
            </w:r>
            <w:r>
              <w:rPr>
                <w:spacing w:val="-2"/>
                <w:sz w:val="18"/>
              </w:rPr>
              <w:t> </w:t>
            </w:r>
            <w:r>
              <w:rPr>
                <w:sz w:val="18"/>
              </w:rPr>
              <w:t>what</w:t>
            </w:r>
            <w:r>
              <w:rPr>
                <w:spacing w:val="-3"/>
                <w:sz w:val="18"/>
              </w:rPr>
              <w:t> </w:t>
            </w:r>
            <w:r>
              <w:rPr>
                <w:sz w:val="18"/>
              </w:rPr>
              <w:t>you</w:t>
            </w:r>
            <w:r>
              <w:rPr>
                <w:spacing w:val="-2"/>
                <w:sz w:val="18"/>
              </w:rPr>
              <w:t> </w:t>
            </w:r>
            <w:r>
              <w:rPr>
                <w:sz w:val="18"/>
              </w:rPr>
              <w:t>do</w:t>
            </w:r>
            <w:r>
              <w:rPr>
                <w:spacing w:val="-3"/>
                <w:sz w:val="18"/>
              </w:rPr>
              <w:t> </w:t>
            </w:r>
            <w:r>
              <w:rPr>
                <w:sz w:val="18"/>
              </w:rPr>
              <w:t>and</w:t>
            </w:r>
            <w:r>
              <w:rPr>
                <w:spacing w:val="-3"/>
                <w:sz w:val="18"/>
              </w:rPr>
              <w:t> </w:t>
            </w:r>
            <w:r>
              <w:rPr>
                <w:sz w:val="18"/>
              </w:rPr>
              <w:t>what</w:t>
            </w:r>
            <w:r>
              <w:rPr>
                <w:spacing w:val="-4"/>
                <w:sz w:val="18"/>
              </w:rPr>
              <w:t> </w:t>
            </w:r>
            <w:r>
              <w:rPr>
                <w:sz w:val="18"/>
              </w:rPr>
              <w:t>the</w:t>
            </w:r>
            <w:r>
              <w:rPr>
                <w:spacing w:val="-1"/>
                <w:sz w:val="18"/>
              </w:rPr>
              <w:t> </w:t>
            </w:r>
            <w:r>
              <w:rPr>
                <w:sz w:val="18"/>
              </w:rPr>
              <w:t>pharmacist</w:t>
            </w:r>
            <w:r>
              <w:rPr>
                <w:spacing w:val="-4"/>
                <w:sz w:val="18"/>
              </w:rPr>
              <w:t> </w:t>
            </w:r>
            <w:r>
              <w:rPr>
                <w:sz w:val="18"/>
              </w:rPr>
              <w:t>does?</w:t>
            </w:r>
          </w:p>
          <w:p>
            <w:pPr>
              <w:pStyle w:val="TableParagraph"/>
              <w:numPr>
                <w:ilvl w:val="0"/>
                <w:numId w:val="246"/>
              </w:numPr>
              <w:tabs>
                <w:tab w:pos="276" w:val="left" w:leader="none"/>
              </w:tabs>
              <w:spacing w:line="240" w:lineRule="auto" w:before="0" w:after="0"/>
              <w:ind w:left="275" w:right="540" w:hanging="168"/>
              <w:jc w:val="left"/>
              <w:rPr>
                <w:sz w:val="18"/>
              </w:rPr>
            </w:pPr>
            <w:r>
              <w:rPr>
                <w:sz w:val="18"/>
              </w:rPr>
              <w:t>What</w:t>
            </w:r>
            <w:r>
              <w:rPr>
                <w:spacing w:val="-3"/>
                <w:sz w:val="18"/>
              </w:rPr>
              <w:t> </w:t>
            </w:r>
            <w:r>
              <w:rPr>
                <w:sz w:val="18"/>
              </w:rPr>
              <w:t>changes</w:t>
            </w:r>
            <w:r>
              <w:rPr>
                <w:spacing w:val="-3"/>
                <w:sz w:val="18"/>
              </w:rPr>
              <w:t> </w:t>
            </w:r>
            <w:r>
              <w:rPr>
                <w:sz w:val="18"/>
              </w:rPr>
              <w:t>have</w:t>
            </w:r>
            <w:r>
              <w:rPr>
                <w:spacing w:val="-2"/>
                <w:sz w:val="18"/>
              </w:rPr>
              <w:t> </w:t>
            </w:r>
            <w:r>
              <w:rPr>
                <w:sz w:val="18"/>
              </w:rPr>
              <w:t>you</w:t>
            </w:r>
            <w:r>
              <w:rPr>
                <w:spacing w:val="-2"/>
                <w:sz w:val="18"/>
              </w:rPr>
              <w:t> </w:t>
            </w:r>
            <w:r>
              <w:rPr>
                <w:sz w:val="18"/>
              </w:rPr>
              <w:t>seen</w:t>
            </w:r>
            <w:r>
              <w:rPr>
                <w:spacing w:val="-4"/>
                <w:sz w:val="18"/>
              </w:rPr>
              <w:t> </w:t>
            </w:r>
            <w:r>
              <w:rPr>
                <w:sz w:val="18"/>
              </w:rPr>
              <w:t>in</w:t>
            </w:r>
            <w:r>
              <w:rPr>
                <w:spacing w:val="-2"/>
                <w:sz w:val="18"/>
              </w:rPr>
              <w:t> </w:t>
            </w:r>
            <w:r>
              <w:rPr>
                <w:sz w:val="18"/>
              </w:rPr>
              <w:t>your</w:t>
            </w:r>
            <w:r>
              <w:rPr>
                <w:spacing w:val="-2"/>
                <w:sz w:val="18"/>
              </w:rPr>
              <w:t> </w:t>
            </w:r>
            <w:r>
              <w:rPr>
                <w:sz w:val="18"/>
              </w:rPr>
              <w:t>patients (if</w:t>
            </w:r>
            <w:r>
              <w:rPr>
                <w:spacing w:val="-2"/>
                <w:sz w:val="18"/>
              </w:rPr>
              <w:t> </w:t>
            </w:r>
            <w:r>
              <w:rPr>
                <w:sz w:val="18"/>
              </w:rPr>
              <w:t>any)</w:t>
            </w:r>
            <w:r>
              <w:rPr>
                <w:spacing w:val="-5"/>
                <w:sz w:val="18"/>
              </w:rPr>
              <w:t> </w:t>
            </w:r>
            <w:r>
              <w:rPr>
                <w:sz w:val="18"/>
              </w:rPr>
              <w:t>as</w:t>
            </w:r>
            <w:r>
              <w:rPr>
                <w:spacing w:val="-3"/>
                <w:sz w:val="18"/>
              </w:rPr>
              <w:t> </w:t>
            </w:r>
            <w:r>
              <w:rPr>
                <w:sz w:val="18"/>
              </w:rPr>
              <w:t>a</w:t>
            </w:r>
            <w:r>
              <w:rPr>
                <w:spacing w:val="-3"/>
                <w:sz w:val="18"/>
              </w:rPr>
              <w:t> </w:t>
            </w:r>
            <w:r>
              <w:rPr>
                <w:sz w:val="18"/>
              </w:rPr>
              <w:t>result</w:t>
            </w:r>
            <w:r>
              <w:rPr>
                <w:spacing w:val="-4"/>
                <w:sz w:val="18"/>
              </w:rPr>
              <w:t> </w:t>
            </w:r>
            <w:r>
              <w:rPr>
                <w:sz w:val="18"/>
              </w:rPr>
              <w:t>of</w:t>
            </w:r>
            <w:r>
              <w:rPr>
                <w:spacing w:val="-1"/>
                <w:sz w:val="18"/>
              </w:rPr>
              <w:t> </w:t>
            </w:r>
            <w:r>
              <w:rPr>
                <w:sz w:val="18"/>
              </w:rPr>
              <w:t>their</w:t>
            </w:r>
            <w:r>
              <w:rPr>
                <w:spacing w:val="-47"/>
                <w:sz w:val="18"/>
              </w:rPr>
              <w:t> </w:t>
            </w:r>
            <w:r>
              <w:rPr>
                <w:sz w:val="18"/>
              </w:rPr>
              <w:t>participating</w:t>
            </w:r>
            <w:r>
              <w:rPr>
                <w:spacing w:val="-4"/>
                <w:sz w:val="18"/>
              </w:rPr>
              <w:t> </w:t>
            </w:r>
            <w:r>
              <w:rPr>
                <w:sz w:val="18"/>
              </w:rPr>
              <w:t>in</w:t>
            </w:r>
            <w:r>
              <w:rPr>
                <w:spacing w:val="-2"/>
                <w:sz w:val="18"/>
              </w:rPr>
              <w:t> </w:t>
            </w:r>
            <w:r>
              <w:rPr>
                <w:sz w:val="18"/>
              </w:rPr>
              <w:t>the Trial Program?</w:t>
            </w:r>
          </w:p>
          <w:p>
            <w:pPr>
              <w:pStyle w:val="TableParagraph"/>
              <w:numPr>
                <w:ilvl w:val="0"/>
                <w:numId w:val="246"/>
              </w:numPr>
              <w:tabs>
                <w:tab w:pos="279" w:val="left" w:leader="none"/>
              </w:tabs>
              <w:spacing w:line="240" w:lineRule="auto" w:before="0" w:after="0"/>
              <w:ind w:left="278" w:right="109" w:hanging="171"/>
              <w:jc w:val="left"/>
              <w:rPr>
                <w:sz w:val="18"/>
              </w:rPr>
            </w:pPr>
            <w:r>
              <w:rPr>
                <w:sz w:val="18"/>
              </w:rPr>
              <w:t>Is there anything else that you would like to add about working with the</w:t>
            </w:r>
            <w:r>
              <w:rPr>
                <w:spacing w:val="1"/>
                <w:sz w:val="18"/>
              </w:rPr>
              <w:t> </w:t>
            </w:r>
            <w:r>
              <w:rPr>
                <w:sz w:val="18"/>
              </w:rPr>
              <w:t>community</w:t>
            </w:r>
            <w:r>
              <w:rPr>
                <w:spacing w:val="-5"/>
                <w:sz w:val="18"/>
              </w:rPr>
              <w:t> </w:t>
            </w:r>
            <w:r>
              <w:rPr>
                <w:sz w:val="18"/>
              </w:rPr>
              <w:t>pharmacists</w:t>
            </w:r>
            <w:r>
              <w:rPr>
                <w:spacing w:val="-5"/>
                <w:sz w:val="18"/>
              </w:rPr>
              <w:t> </w:t>
            </w:r>
            <w:r>
              <w:rPr>
                <w:sz w:val="18"/>
              </w:rPr>
              <w:t>in</w:t>
            </w:r>
            <w:r>
              <w:rPr>
                <w:spacing w:val="-4"/>
                <w:sz w:val="18"/>
              </w:rPr>
              <w:t> </w:t>
            </w:r>
            <w:r>
              <w:rPr>
                <w:sz w:val="18"/>
              </w:rPr>
              <w:t>helping</w:t>
            </w:r>
            <w:r>
              <w:rPr>
                <w:spacing w:val="-5"/>
                <w:sz w:val="18"/>
              </w:rPr>
              <w:t> </w:t>
            </w:r>
            <w:r>
              <w:rPr>
                <w:sz w:val="18"/>
              </w:rPr>
              <w:t>your</w:t>
            </w:r>
            <w:r>
              <w:rPr>
                <w:spacing w:val="-4"/>
                <w:sz w:val="18"/>
              </w:rPr>
              <w:t> </w:t>
            </w:r>
            <w:r>
              <w:rPr>
                <w:sz w:val="18"/>
              </w:rPr>
              <w:t>patients</w:t>
            </w:r>
            <w:r>
              <w:rPr>
                <w:spacing w:val="-5"/>
                <w:sz w:val="18"/>
              </w:rPr>
              <w:t> </w:t>
            </w:r>
            <w:r>
              <w:rPr>
                <w:sz w:val="18"/>
              </w:rPr>
              <w:t>manage</w:t>
            </w:r>
            <w:r>
              <w:rPr>
                <w:spacing w:val="-4"/>
                <w:sz w:val="18"/>
              </w:rPr>
              <w:t> </w:t>
            </w:r>
            <w:r>
              <w:rPr>
                <w:sz w:val="18"/>
              </w:rPr>
              <w:t>their</w:t>
            </w:r>
            <w:r>
              <w:rPr>
                <w:spacing w:val="-4"/>
                <w:sz w:val="18"/>
              </w:rPr>
              <w:t> </w:t>
            </w:r>
            <w:r>
              <w:rPr>
                <w:sz w:val="18"/>
              </w:rPr>
              <w:t>medications?</w:t>
            </w:r>
          </w:p>
        </w:tc>
      </w:tr>
      <w:tr>
        <w:trPr>
          <w:trHeight w:val="861" w:hRule="atLeast"/>
        </w:trPr>
        <w:tc>
          <w:tcPr>
            <w:tcW w:w="1980" w:type="dxa"/>
          </w:tcPr>
          <w:p>
            <w:pPr>
              <w:pStyle w:val="TableParagraph"/>
              <w:ind w:left="107" w:right="646"/>
              <w:rPr>
                <w:sz w:val="16"/>
              </w:rPr>
            </w:pPr>
            <w:r>
              <w:rPr>
                <w:sz w:val="16"/>
              </w:rPr>
              <w:t>Practice-based</w:t>
            </w:r>
            <w:r>
              <w:rPr>
                <w:spacing w:val="-42"/>
                <w:sz w:val="16"/>
              </w:rPr>
              <w:t> </w:t>
            </w:r>
            <w:r>
              <w:rPr>
                <w:sz w:val="16"/>
              </w:rPr>
              <w:t>pharmacist</w:t>
            </w:r>
          </w:p>
        </w:tc>
        <w:tc>
          <w:tcPr>
            <w:tcW w:w="7038" w:type="dxa"/>
          </w:tcPr>
          <w:p>
            <w:pPr>
              <w:pStyle w:val="TableParagraph"/>
              <w:numPr>
                <w:ilvl w:val="0"/>
                <w:numId w:val="247"/>
              </w:numPr>
              <w:tabs>
                <w:tab w:pos="279" w:val="left" w:leader="none"/>
              </w:tabs>
              <w:spacing w:line="240" w:lineRule="auto" w:before="0" w:after="0"/>
              <w:ind w:left="278" w:right="298" w:hanging="171"/>
              <w:jc w:val="left"/>
              <w:rPr>
                <w:sz w:val="18"/>
              </w:rPr>
            </w:pPr>
            <w:r>
              <w:rPr>
                <w:b/>
                <w:sz w:val="18"/>
              </w:rPr>
              <w:t>(R4) </w:t>
            </w:r>
            <w:r>
              <w:rPr>
                <w:sz w:val="18"/>
              </w:rPr>
              <w:t>Is there a pharmacist who works in your practice? (This may be a</w:t>
            </w:r>
            <w:r>
              <w:rPr>
                <w:spacing w:val="1"/>
                <w:sz w:val="18"/>
              </w:rPr>
              <w:t> </w:t>
            </w:r>
            <w:r>
              <w:rPr>
                <w:sz w:val="18"/>
              </w:rPr>
              <w:t>pharmacist</w:t>
            </w:r>
            <w:r>
              <w:rPr>
                <w:spacing w:val="-5"/>
                <w:sz w:val="18"/>
              </w:rPr>
              <w:t> </w:t>
            </w:r>
            <w:r>
              <w:rPr>
                <w:sz w:val="18"/>
              </w:rPr>
              <w:t>employed</w:t>
            </w:r>
            <w:r>
              <w:rPr>
                <w:spacing w:val="-4"/>
                <w:sz w:val="18"/>
              </w:rPr>
              <w:t> </w:t>
            </w:r>
            <w:r>
              <w:rPr>
                <w:sz w:val="18"/>
              </w:rPr>
              <w:t>by</w:t>
            </w:r>
            <w:r>
              <w:rPr>
                <w:spacing w:val="-4"/>
                <w:sz w:val="18"/>
              </w:rPr>
              <w:t> </w:t>
            </w:r>
            <w:r>
              <w:rPr>
                <w:sz w:val="18"/>
              </w:rPr>
              <w:t>your</w:t>
            </w:r>
            <w:r>
              <w:rPr>
                <w:spacing w:val="-2"/>
                <w:sz w:val="18"/>
              </w:rPr>
              <w:t> </w:t>
            </w:r>
            <w:r>
              <w:rPr>
                <w:sz w:val="18"/>
              </w:rPr>
              <w:t>practice</w:t>
            </w:r>
            <w:r>
              <w:rPr>
                <w:spacing w:val="-3"/>
                <w:sz w:val="18"/>
              </w:rPr>
              <w:t> </w:t>
            </w:r>
            <w:r>
              <w:rPr>
                <w:sz w:val="18"/>
              </w:rPr>
              <w:t>or</w:t>
            </w:r>
            <w:r>
              <w:rPr>
                <w:spacing w:val="-5"/>
                <w:sz w:val="18"/>
              </w:rPr>
              <w:t> </w:t>
            </w:r>
            <w:r>
              <w:rPr>
                <w:sz w:val="18"/>
              </w:rPr>
              <w:t>a</w:t>
            </w:r>
            <w:r>
              <w:rPr>
                <w:spacing w:val="-2"/>
                <w:sz w:val="18"/>
              </w:rPr>
              <w:t> </w:t>
            </w:r>
            <w:r>
              <w:rPr>
                <w:sz w:val="18"/>
              </w:rPr>
              <w:t>visiting</w:t>
            </w:r>
            <w:r>
              <w:rPr>
                <w:spacing w:val="-5"/>
                <w:sz w:val="18"/>
              </w:rPr>
              <w:t> </w:t>
            </w:r>
            <w:r>
              <w:rPr>
                <w:sz w:val="18"/>
              </w:rPr>
              <w:t>pharmacist.)</w:t>
            </w:r>
            <w:r>
              <w:rPr>
                <w:spacing w:val="-5"/>
                <w:sz w:val="18"/>
              </w:rPr>
              <w:t> </w:t>
            </w:r>
            <w:r>
              <w:rPr>
                <w:sz w:val="18"/>
              </w:rPr>
              <w:t>If</w:t>
            </w:r>
            <w:r>
              <w:rPr>
                <w:spacing w:val="-3"/>
                <w:sz w:val="18"/>
              </w:rPr>
              <w:t> </w:t>
            </w:r>
            <w:r>
              <w:rPr>
                <w:sz w:val="18"/>
              </w:rPr>
              <w:t>so,</w:t>
            </w:r>
            <w:r>
              <w:rPr>
                <w:spacing w:val="-4"/>
                <w:sz w:val="18"/>
              </w:rPr>
              <w:t> </w:t>
            </w:r>
            <w:r>
              <w:rPr>
                <w:sz w:val="18"/>
              </w:rPr>
              <w:t>how</w:t>
            </w:r>
            <w:r>
              <w:rPr>
                <w:spacing w:val="-47"/>
                <w:sz w:val="18"/>
              </w:rPr>
              <w:t> </w:t>
            </w:r>
            <w:r>
              <w:rPr>
                <w:sz w:val="18"/>
              </w:rPr>
              <w:t>does</w:t>
            </w:r>
            <w:r>
              <w:rPr>
                <w:spacing w:val="-1"/>
                <w:sz w:val="18"/>
              </w:rPr>
              <w:t> </w:t>
            </w:r>
            <w:r>
              <w:rPr>
                <w:sz w:val="18"/>
              </w:rPr>
              <w:t>this</w:t>
            </w:r>
            <w:r>
              <w:rPr>
                <w:spacing w:val="-2"/>
                <w:sz w:val="18"/>
              </w:rPr>
              <w:t> </w:t>
            </w:r>
            <w:r>
              <w:rPr>
                <w:sz w:val="18"/>
              </w:rPr>
              <w:t>pharmacist</w:t>
            </w:r>
            <w:r>
              <w:rPr>
                <w:spacing w:val="-3"/>
                <w:sz w:val="18"/>
              </w:rPr>
              <w:t> </w:t>
            </w:r>
            <w:r>
              <w:rPr>
                <w:sz w:val="18"/>
              </w:rPr>
              <w:t>work</w:t>
            </w:r>
            <w:r>
              <w:rPr>
                <w:spacing w:val="-1"/>
                <w:sz w:val="18"/>
              </w:rPr>
              <w:t> </w:t>
            </w:r>
            <w:r>
              <w:rPr>
                <w:sz w:val="18"/>
              </w:rPr>
              <w:t>with</w:t>
            </w:r>
            <w:r>
              <w:rPr>
                <w:spacing w:val="-1"/>
                <w:sz w:val="18"/>
              </w:rPr>
              <w:t> </w:t>
            </w:r>
            <w:r>
              <w:rPr>
                <w:sz w:val="18"/>
              </w:rPr>
              <w:t>HCH</w:t>
            </w:r>
            <w:r>
              <w:rPr>
                <w:spacing w:val="-2"/>
                <w:sz w:val="18"/>
              </w:rPr>
              <w:t> </w:t>
            </w:r>
            <w:r>
              <w:rPr>
                <w:sz w:val="18"/>
              </w:rPr>
              <w:t>patients</w:t>
            </w:r>
            <w:r>
              <w:rPr>
                <w:spacing w:val="-2"/>
                <w:sz w:val="18"/>
              </w:rPr>
              <w:t> </w:t>
            </w:r>
            <w:r>
              <w:rPr>
                <w:sz w:val="18"/>
              </w:rPr>
              <w:t>and</w:t>
            </w:r>
            <w:r>
              <w:rPr>
                <w:spacing w:val="-1"/>
                <w:sz w:val="18"/>
              </w:rPr>
              <w:t> </w:t>
            </w:r>
            <w:r>
              <w:rPr>
                <w:sz w:val="18"/>
              </w:rPr>
              <w:t>other</w:t>
            </w:r>
            <w:r>
              <w:rPr>
                <w:spacing w:val="-1"/>
                <w:sz w:val="18"/>
              </w:rPr>
              <w:t> </w:t>
            </w:r>
            <w:r>
              <w:rPr>
                <w:sz w:val="18"/>
              </w:rPr>
              <w:t>staff?</w:t>
            </w:r>
          </w:p>
        </w:tc>
      </w:tr>
      <w:tr>
        <w:trPr>
          <w:trHeight w:val="710" w:hRule="atLeast"/>
        </w:trPr>
        <w:tc>
          <w:tcPr>
            <w:tcW w:w="1980" w:type="dxa"/>
          </w:tcPr>
          <w:p>
            <w:pPr>
              <w:pStyle w:val="TableParagraph"/>
              <w:spacing w:before="2"/>
              <w:ind w:left="107"/>
              <w:rPr>
                <w:sz w:val="16"/>
              </w:rPr>
            </w:pPr>
            <w:r>
              <w:rPr>
                <w:sz w:val="16"/>
              </w:rPr>
              <w:t>Anything</w:t>
            </w:r>
            <w:r>
              <w:rPr>
                <w:spacing w:val="-3"/>
                <w:sz w:val="16"/>
              </w:rPr>
              <w:t> </w:t>
            </w:r>
            <w:r>
              <w:rPr>
                <w:sz w:val="16"/>
              </w:rPr>
              <w:t>else?</w:t>
            </w:r>
          </w:p>
        </w:tc>
        <w:tc>
          <w:tcPr>
            <w:tcW w:w="7038" w:type="dxa"/>
          </w:tcPr>
          <w:p>
            <w:pPr>
              <w:pStyle w:val="TableParagraph"/>
              <w:numPr>
                <w:ilvl w:val="0"/>
                <w:numId w:val="248"/>
              </w:numPr>
              <w:tabs>
                <w:tab w:pos="276" w:val="left" w:leader="none"/>
              </w:tabs>
              <w:spacing w:line="240" w:lineRule="auto" w:before="1" w:after="0"/>
              <w:ind w:left="275" w:right="0" w:hanging="169"/>
              <w:jc w:val="left"/>
              <w:rPr>
                <w:sz w:val="18"/>
              </w:rPr>
            </w:pPr>
            <w:r>
              <w:rPr>
                <w:sz w:val="18"/>
              </w:rPr>
              <w:t>Is</w:t>
            </w:r>
            <w:r>
              <w:rPr>
                <w:spacing w:val="-2"/>
                <w:sz w:val="18"/>
              </w:rPr>
              <w:t> </w:t>
            </w:r>
            <w:r>
              <w:rPr>
                <w:sz w:val="18"/>
              </w:rPr>
              <w:t>there</w:t>
            </w:r>
            <w:r>
              <w:rPr>
                <w:spacing w:val="-2"/>
                <w:sz w:val="18"/>
              </w:rPr>
              <w:t> </w:t>
            </w:r>
            <w:r>
              <w:rPr>
                <w:sz w:val="18"/>
              </w:rPr>
              <w:t>anything</w:t>
            </w:r>
            <w:r>
              <w:rPr>
                <w:spacing w:val="-4"/>
                <w:sz w:val="18"/>
              </w:rPr>
              <w:t> </w:t>
            </w:r>
            <w:r>
              <w:rPr>
                <w:sz w:val="18"/>
              </w:rPr>
              <w:t>else</w:t>
            </w:r>
            <w:r>
              <w:rPr>
                <w:spacing w:val="-2"/>
                <w:sz w:val="18"/>
              </w:rPr>
              <w:t> </w:t>
            </w:r>
            <w:r>
              <w:rPr>
                <w:sz w:val="18"/>
              </w:rPr>
              <w:t>that</w:t>
            </w:r>
            <w:r>
              <w:rPr>
                <w:spacing w:val="-4"/>
                <w:sz w:val="18"/>
              </w:rPr>
              <w:t> </w:t>
            </w:r>
            <w:r>
              <w:rPr>
                <w:sz w:val="18"/>
              </w:rPr>
              <w:t>we</w:t>
            </w:r>
            <w:r>
              <w:rPr>
                <w:spacing w:val="-2"/>
                <w:sz w:val="18"/>
              </w:rPr>
              <w:t> </w:t>
            </w:r>
            <w:r>
              <w:rPr>
                <w:sz w:val="18"/>
              </w:rPr>
              <w:t>haven’t</w:t>
            </w:r>
            <w:r>
              <w:rPr>
                <w:spacing w:val="-4"/>
                <w:sz w:val="18"/>
              </w:rPr>
              <w:t> </w:t>
            </w:r>
            <w:r>
              <w:rPr>
                <w:sz w:val="18"/>
              </w:rPr>
              <w:t>discussed</w:t>
            </w:r>
            <w:r>
              <w:rPr>
                <w:spacing w:val="-3"/>
                <w:sz w:val="18"/>
              </w:rPr>
              <w:t> </w:t>
            </w:r>
            <w:r>
              <w:rPr>
                <w:sz w:val="18"/>
              </w:rPr>
              <w:t>that</w:t>
            </w:r>
            <w:r>
              <w:rPr>
                <w:spacing w:val="-4"/>
                <w:sz w:val="18"/>
              </w:rPr>
              <w:t> </w:t>
            </w:r>
            <w:r>
              <w:rPr>
                <w:sz w:val="18"/>
              </w:rPr>
              <w:t>you</w:t>
            </w:r>
            <w:r>
              <w:rPr>
                <w:spacing w:val="-2"/>
                <w:sz w:val="18"/>
              </w:rPr>
              <w:t> </w:t>
            </w:r>
            <w:r>
              <w:rPr>
                <w:sz w:val="18"/>
              </w:rPr>
              <w:t>would</w:t>
            </w:r>
            <w:r>
              <w:rPr>
                <w:spacing w:val="-3"/>
                <w:sz w:val="18"/>
              </w:rPr>
              <w:t> </w:t>
            </w:r>
            <w:r>
              <w:rPr>
                <w:sz w:val="18"/>
              </w:rPr>
              <w:t>like</w:t>
            </w:r>
            <w:r>
              <w:rPr>
                <w:spacing w:val="-2"/>
                <w:sz w:val="18"/>
              </w:rPr>
              <w:t> </w:t>
            </w:r>
            <w:r>
              <w:rPr>
                <w:sz w:val="18"/>
              </w:rPr>
              <w:t>to</w:t>
            </w:r>
          </w:p>
          <w:p>
            <w:pPr>
              <w:pStyle w:val="TableParagraph"/>
              <w:spacing w:before="31"/>
              <w:ind w:left="275"/>
              <w:rPr>
                <w:sz w:val="18"/>
              </w:rPr>
            </w:pPr>
            <w:r>
              <w:rPr>
                <w:sz w:val="18"/>
              </w:rPr>
              <w:t>mention?</w:t>
            </w:r>
          </w:p>
        </w:tc>
      </w:tr>
    </w:tbl>
    <w:p>
      <w:pPr>
        <w:spacing w:line="276" w:lineRule="auto" w:before="3"/>
        <w:ind w:left="1140" w:right="1523" w:firstLine="0"/>
        <w:jc w:val="left"/>
        <w:rPr>
          <w:i/>
          <w:sz w:val="14"/>
        </w:rPr>
      </w:pPr>
      <w:r>
        <w:rPr>
          <w:i/>
          <w:sz w:val="14"/>
        </w:rPr>
        <w:t>* ‘Practice’ is used as a general term to encompass all primary care entities participating in HCH. Alternative terms include ‘service’,</w:t>
      </w:r>
      <w:r>
        <w:rPr>
          <w:i/>
          <w:spacing w:val="-36"/>
          <w:sz w:val="14"/>
        </w:rPr>
        <w:t> </w:t>
      </w:r>
      <w:r>
        <w:rPr>
          <w:i/>
          <w:sz w:val="14"/>
        </w:rPr>
        <w:t>‘organisation’, and</w:t>
      </w:r>
      <w:r>
        <w:rPr>
          <w:i/>
          <w:spacing w:val="-1"/>
          <w:sz w:val="14"/>
        </w:rPr>
        <w:t> </w:t>
      </w:r>
      <w:r>
        <w:rPr>
          <w:i/>
          <w:sz w:val="14"/>
        </w:rPr>
        <w:t>‘clinic’;</w:t>
      </w:r>
      <w:r>
        <w:rPr>
          <w:i/>
          <w:spacing w:val="-2"/>
          <w:sz w:val="14"/>
        </w:rPr>
        <w:t> </w:t>
      </w:r>
      <w:r>
        <w:rPr>
          <w:i/>
          <w:sz w:val="14"/>
        </w:rPr>
        <w:t>**</w:t>
      </w:r>
      <w:r>
        <w:rPr>
          <w:i/>
          <w:spacing w:val="-1"/>
          <w:sz w:val="14"/>
        </w:rPr>
        <w:t> </w:t>
      </w:r>
      <w:r>
        <w:rPr>
          <w:i/>
          <w:sz w:val="14"/>
        </w:rPr>
        <w:t>Includes</w:t>
      </w:r>
      <w:r>
        <w:rPr>
          <w:i/>
          <w:spacing w:val="-1"/>
          <w:sz w:val="14"/>
        </w:rPr>
        <w:t> </w:t>
      </w:r>
      <w:r>
        <w:rPr>
          <w:i/>
          <w:sz w:val="14"/>
        </w:rPr>
        <w:t>all</w:t>
      </w:r>
      <w:r>
        <w:rPr>
          <w:i/>
          <w:spacing w:val="2"/>
          <w:sz w:val="14"/>
        </w:rPr>
        <w:t> </w:t>
      </w:r>
      <w:r>
        <w:rPr>
          <w:i/>
          <w:sz w:val="14"/>
        </w:rPr>
        <w:t>staff of a</w:t>
      </w:r>
      <w:r>
        <w:rPr>
          <w:i/>
          <w:spacing w:val="-1"/>
          <w:sz w:val="14"/>
        </w:rPr>
        <w:t> </w:t>
      </w:r>
      <w:r>
        <w:rPr>
          <w:i/>
          <w:sz w:val="14"/>
        </w:rPr>
        <w:t>practice, clinical</w:t>
      </w:r>
      <w:r>
        <w:rPr>
          <w:i/>
          <w:spacing w:val="1"/>
          <w:sz w:val="14"/>
        </w:rPr>
        <w:t> </w:t>
      </w:r>
      <w:r>
        <w:rPr>
          <w:i/>
          <w:sz w:val="14"/>
        </w:rPr>
        <w:t>and</w:t>
      </w:r>
      <w:r>
        <w:rPr>
          <w:i/>
          <w:spacing w:val="-3"/>
          <w:sz w:val="14"/>
        </w:rPr>
        <w:t> </w:t>
      </w:r>
      <w:r>
        <w:rPr>
          <w:i/>
          <w:sz w:val="14"/>
        </w:rPr>
        <w:t>non-clinical,</w:t>
      </w:r>
      <w:r>
        <w:rPr>
          <w:i/>
          <w:spacing w:val="-2"/>
          <w:sz w:val="14"/>
        </w:rPr>
        <w:t> </w:t>
      </w:r>
      <w:r>
        <w:rPr>
          <w:i/>
          <w:sz w:val="14"/>
        </w:rPr>
        <w:t>involved</w:t>
      </w:r>
      <w:r>
        <w:rPr>
          <w:i/>
          <w:spacing w:val="-1"/>
          <w:sz w:val="14"/>
        </w:rPr>
        <w:t> </w:t>
      </w:r>
      <w:r>
        <w:rPr>
          <w:i/>
          <w:sz w:val="14"/>
        </w:rPr>
        <w:t>in</w:t>
      </w:r>
      <w:r>
        <w:rPr>
          <w:i/>
          <w:spacing w:val="-3"/>
          <w:sz w:val="14"/>
        </w:rPr>
        <w:t> </w:t>
      </w:r>
      <w:r>
        <w:rPr>
          <w:i/>
          <w:sz w:val="14"/>
        </w:rPr>
        <w:t>HCH.</w:t>
      </w:r>
    </w:p>
    <w:p>
      <w:pPr>
        <w:pStyle w:val="BodyText"/>
        <w:rPr>
          <w:i/>
          <w:sz w:val="16"/>
        </w:rPr>
      </w:pPr>
    </w:p>
    <w:p>
      <w:pPr>
        <w:pStyle w:val="Heading2"/>
        <w:spacing w:line="276" w:lineRule="auto" w:before="1"/>
        <w:ind w:left="1140" w:right="2021"/>
      </w:pPr>
      <w:bookmarkStart w:name="_bookmark93" w:id="94"/>
      <w:bookmarkEnd w:id="94"/>
      <w:r>
        <w:rPr/>
      </w:r>
      <w:r>
        <w:rPr>
          <w:color w:val="003C79"/>
        </w:rPr>
        <w:t>Topic guide – Community pharmacists (rounds 4 and 5</w:t>
      </w:r>
      <w:r>
        <w:rPr>
          <w:color w:val="003C79"/>
          <w:spacing w:val="-86"/>
        </w:rPr>
        <w:t> </w:t>
      </w:r>
      <w:r>
        <w:rPr>
          <w:color w:val="003C79"/>
        </w:rPr>
        <w:t>only)</w:t>
      </w:r>
    </w:p>
    <w:p>
      <w:pPr>
        <w:pStyle w:val="BodyText"/>
        <w:spacing w:before="5"/>
        <w:rPr>
          <w:sz w:val="16"/>
        </w:rPr>
      </w:pPr>
    </w:p>
    <w:tbl>
      <w:tblPr>
        <w:tblW w:w="0" w:type="auto"/>
        <w:jc w:val="left"/>
        <w:tblInd w:w="11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980"/>
        <w:gridCol w:w="7038"/>
      </w:tblGrid>
      <w:tr>
        <w:trPr>
          <w:trHeight w:val="220" w:hRule="atLeast"/>
        </w:trPr>
        <w:tc>
          <w:tcPr>
            <w:tcW w:w="1980" w:type="dxa"/>
            <w:shd w:val="clear" w:color="auto" w:fill="003C79"/>
          </w:tcPr>
          <w:p>
            <w:pPr>
              <w:pStyle w:val="TableParagraph"/>
              <w:spacing w:line="200" w:lineRule="exact"/>
              <w:ind w:left="107"/>
              <w:rPr>
                <w:b/>
                <w:sz w:val="18"/>
              </w:rPr>
            </w:pPr>
            <w:r>
              <w:rPr>
                <w:b/>
                <w:color w:val="FFFFFF"/>
                <w:sz w:val="18"/>
              </w:rPr>
              <w:t>Topic</w:t>
            </w:r>
          </w:p>
        </w:tc>
        <w:tc>
          <w:tcPr>
            <w:tcW w:w="7038" w:type="dxa"/>
            <w:shd w:val="clear" w:color="auto" w:fill="003C79"/>
          </w:tcPr>
          <w:p>
            <w:pPr>
              <w:pStyle w:val="TableParagraph"/>
              <w:spacing w:line="200" w:lineRule="exact"/>
              <w:ind w:left="107"/>
              <w:rPr>
                <w:b/>
                <w:sz w:val="18"/>
              </w:rPr>
            </w:pPr>
            <w:r>
              <w:rPr>
                <w:b/>
                <w:color w:val="FFFFFF"/>
                <w:sz w:val="18"/>
              </w:rPr>
              <w:t>Question</w:t>
            </w:r>
          </w:p>
        </w:tc>
      </w:tr>
      <w:tr>
        <w:trPr>
          <w:trHeight w:val="3511" w:hRule="atLeast"/>
        </w:trPr>
        <w:tc>
          <w:tcPr>
            <w:tcW w:w="1980" w:type="dxa"/>
          </w:tcPr>
          <w:p>
            <w:pPr>
              <w:pStyle w:val="TableParagraph"/>
              <w:spacing w:line="219" w:lineRule="exact"/>
              <w:ind w:left="107"/>
              <w:rPr>
                <w:sz w:val="18"/>
              </w:rPr>
            </w:pPr>
            <w:r>
              <w:rPr>
                <w:sz w:val="18"/>
              </w:rPr>
              <w:t>Introduction</w:t>
            </w:r>
          </w:p>
        </w:tc>
        <w:tc>
          <w:tcPr>
            <w:tcW w:w="7038" w:type="dxa"/>
          </w:tcPr>
          <w:p>
            <w:pPr>
              <w:pStyle w:val="TableParagraph"/>
              <w:numPr>
                <w:ilvl w:val="0"/>
                <w:numId w:val="249"/>
              </w:numPr>
              <w:tabs>
                <w:tab w:pos="279" w:val="left" w:leader="none"/>
              </w:tabs>
              <w:spacing w:line="219" w:lineRule="exact" w:before="0" w:after="0"/>
              <w:ind w:left="278" w:right="0" w:hanging="172"/>
              <w:jc w:val="both"/>
              <w:rPr>
                <w:sz w:val="18"/>
              </w:rPr>
            </w:pPr>
            <w:r>
              <w:rPr>
                <w:sz w:val="18"/>
              </w:rPr>
              <w:t>Introduction</w:t>
            </w:r>
            <w:r>
              <w:rPr>
                <w:spacing w:val="-7"/>
                <w:sz w:val="18"/>
              </w:rPr>
              <w:t> </w:t>
            </w:r>
            <w:r>
              <w:rPr>
                <w:sz w:val="18"/>
              </w:rPr>
              <w:t>of</w:t>
            </w:r>
            <w:r>
              <w:rPr>
                <w:spacing w:val="-4"/>
                <w:sz w:val="18"/>
              </w:rPr>
              <w:t> </w:t>
            </w:r>
            <w:r>
              <w:rPr>
                <w:sz w:val="18"/>
              </w:rPr>
              <w:t>researcher</w:t>
            </w:r>
            <w:r>
              <w:rPr>
                <w:spacing w:val="-3"/>
                <w:sz w:val="18"/>
              </w:rPr>
              <w:t> </w:t>
            </w:r>
            <w:r>
              <w:rPr>
                <w:sz w:val="18"/>
              </w:rPr>
              <w:t>and</w:t>
            </w:r>
            <w:r>
              <w:rPr>
                <w:spacing w:val="-4"/>
                <w:sz w:val="18"/>
              </w:rPr>
              <w:t> </w:t>
            </w:r>
            <w:r>
              <w:rPr>
                <w:sz w:val="18"/>
              </w:rPr>
              <w:t>describe</w:t>
            </w:r>
            <w:r>
              <w:rPr>
                <w:spacing w:val="-4"/>
                <w:sz w:val="18"/>
              </w:rPr>
              <w:t> </w:t>
            </w:r>
            <w:r>
              <w:rPr>
                <w:sz w:val="18"/>
              </w:rPr>
              <w:t>the</w:t>
            </w:r>
            <w:r>
              <w:rPr>
                <w:spacing w:val="-3"/>
                <w:sz w:val="18"/>
              </w:rPr>
              <w:t> </w:t>
            </w:r>
            <w:r>
              <w:rPr>
                <w:sz w:val="18"/>
              </w:rPr>
              <w:t>project</w:t>
            </w:r>
            <w:r>
              <w:rPr>
                <w:spacing w:val="-5"/>
                <w:sz w:val="18"/>
              </w:rPr>
              <w:t> </w:t>
            </w:r>
            <w:r>
              <w:rPr>
                <w:sz w:val="18"/>
              </w:rPr>
              <w:t>and</w:t>
            </w:r>
            <w:r>
              <w:rPr>
                <w:spacing w:val="-4"/>
                <w:sz w:val="18"/>
              </w:rPr>
              <w:t> </w:t>
            </w:r>
            <w:r>
              <w:rPr>
                <w:sz w:val="18"/>
              </w:rPr>
              <w:t>its</w:t>
            </w:r>
            <w:r>
              <w:rPr>
                <w:spacing w:val="-5"/>
                <w:sz w:val="18"/>
              </w:rPr>
              <w:t> </w:t>
            </w:r>
            <w:r>
              <w:rPr>
                <w:sz w:val="18"/>
              </w:rPr>
              <w:t>purpose.</w:t>
            </w:r>
          </w:p>
          <w:p>
            <w:pPr>
              <w:pStyle w:val="TableParagraph"/>
              <w:numPr>
                <w:ilvl w:val="0"/>
                <w:numId w:val="249"/>
              </w:numPr>
              <w:tabs>
                <w:tab w:pos="279" w:val="left" w:leader="none"/>
              </w:tabs>
              <w:spacing w:line="240" w:lineRule="auto" w:before="0" w:after="0"/>
              <w:ind w:left="278" w:right="128" w:hanging="171"/>
              <w:jc w:val="both"/>
              <w:rPr>
                <w:sz w:val="18"/>
              </w:rPr>
            </w:pPr>
            <w:r>
              <w:rPr>
                <w:sz w:val="18"/>
              </w:rPr>
              <w:t>Remind</w:t>
            </w:r>
            <w:r>
              <w:rPr>
                <w:spacing w:val="-4"/>
                <w:sz w:val="18"/>
              </w:rPr>
              <w:t> </w:t>
            </w:r>
            <w:r>
              <w:rPr>
                <w:sz w:val="18"/>
              </w:rPr>
              <w:t>the participant</w:t>
            </w:r>
            <w:r>
              <w:rPr>
                <w:spacing w:val="-4"/>
                <w:sz w:val="18"/>
              </w:rPr>
              <w:t> </w:t>
            </w:r>
            <w:r>
              <w:rPr>
                <w:sz w:val="18"/>
              </w:rPr>
              <w:t>that</w:t>
            </w:r>
            <w:r>
              <w:rPr>
                <w:spacing w:val="-4"/>
                <w:sz w:val="18"/>
              </w:rPr>
              <w:t> </w:t>
            </w:r>
            <w:r>
              <w:rPr>
                <w:sz w:val="18"/>
              </w:rPr>
              <w:t>participation</w:t>
            </w:r>
            <w:r>
              <w:rPr>
                <w:spacing w:val="-4"/>
                <w:sz w:val="18"/>
              </w:rPr>
              <w:t> </w:t>
            </w:r>
            <w:r>
              <w:rPr>
                <w:sz w:val="18"/>
              </w:rPr>
              <w:t>is</w:t>
            </w:r>
            <w:r>
              <w:rPr>
                <w:spacing w:val="-3"/>
                <w:sz w:val="18"/>
              </w:rPr>
              <w:t> </w:t>
            </w:r>
            <w:r>
              <w:rPr>
                <w:sz w:val="18"/>
              </w:rPr>
              <w:t>voluntary;</w:t>
            </w:r>
            <w:r>
              <w:rPr>
                <w:spacing w:val="-5"/>
                <w:sz w:val="18"/>
              </w:rPr>
              <w:t> </w:t>
            </w:r>
            <w:r>
              <w:rPr>
                <w:sz w:val="18"/>
              </w:rPr>
              <w:t>that</w:t>
            </w:r>
            <w:r>
              <w:rPr>
                <w:spacing w:val="-4"/>
                <w:sz w:val="18"/>
              </w:rPr>
              <w:t> </w:t>
            </w:r>
            <w:r>
              <w:rPr>
                <w:sz w:val="18"/>
              </w:rPr>
              <w:t>they</w:t>
            </w:r>
            <w:r>
              <w:rPr>
                <w:spacing w:val="-3"/>
                <w:sz w:val="18"/>
              </w:rPr>
              <w:t> </w:t>
            </w:r>
            <w:r>
              <w:rPr>
                <w:sz w:val="18"/>
              </w:rPr>
              <w:t>do</w:t>
            </w:r>
            <w:r>
              <w:rPr>
                <w:spacing w:val="-2"/>
                <w:sz w:val="18"/>
              </w:rPr>
              <w:t> </w:t>
            </w:r>
            <w:r>
              <w:rPr>
                <w:sz w:val="18"/>
              </w:rPr>
              <w:t>not</w:t>
            </w:r>
            <w:r>
              <w:rPr>
                <w:spacing w:val="-4"/>
                <w:sz w:val="18"/>
              </w:rPr>
              <w:t> </w:t>
            </w:r>
            <w:r>
              <w:rPr>
                <w:sz w:val="18"/>
              </w:rPr>
              <w:t>have</w:t>
            </w:r>
            <w:r>
              <w:rPr>
                <w:spacing w:val="-47"/>
                <w:sz w:val="18"/>
              </w:rPr>
              <w:t> </w:t>
            </w:r>
            <w:r>
              <w:rPr>
                <w:sz w:val="18"/>
              </w:rPr>
              <w:t>to take part, and that there will be no repercussions if they choose not to do</w:t>
            </w:r>
            <w:r>
              <w:rPr>
                <w:spacing w:val="-48"/>
                <w:sz w:val="18"/>
              </w:rPr>
              <w:t> </w:t>
            </w:r>
            <w:r>
              <w:rPr>
                <w:sz w:val="18"/>
              </w:rPr>
              <w:t>so.</w:t>
            </w:r>
          </w:p>
          <w:p>
            <w:pPr>
              <w:pStyle w:val="TableParagraph"/>
              <w:numPr>
                <w:ilvl w:val="0"/>
                <w:numId w:val="249"/>
              </w:numPr>
              <w:tabs>
                <w:tab w:pos="279" w:val="left" w:leader="none"/>
              </w:tabs>
              <w:spacing w:line="240" w:lineRule="auto" w:before="0" w:after="0"/>
              <w:ind w:left="278" w:right="414" w:hanging="171"/>
              <w:jc w:val="left"/>
              <w:rPr>
                <w:sz w:val="18"/>
              </w:rPr>
            </w:pPr>
            <w:r>
              <w:rPr>
                <w:sz w:val="18"/>
              </w:rPr>
              <w:t>Remind</w:t>
            </w:r>
            <w:r>
              <w:rPr>
                <w:spacing w:val="-3"/>
                <w:sz w:val="18"/>
              </w:rPr>
              <w:t> </w:t>
            </w:r>
            <w:r>
              <w:rPr>
                <w:sz w:val="18"/>
              </w:rPr>
              <w:t>the</w:t>
            </w:r>
            <w:r>
              <w:rPr>
                <w:spacing w:val="-2"/>
                <w:sz w:val="18"/>
              </w:rPr>
              <w:t> </w:t>
            </w:r>
            <w:r>
              <w:rPr>
                <w:sz w:val="18"/>
              </w:rPr>
              <w:t>participant</w:t>
            </w:r>
            <w:r>
              <w:rPr>
                <w:spacing w:val="-4"/>
                <w:sz w:val="18"/>
              </w:rPr>
              <w:t> </w:t>
            </w:r>
            <w:r>
              <w:rPr>
                <w:sz w:val="18"/>
              </w:rPr>
              <w:t>that</w:t>
            </w:r>
            <w:r>
              <w:rPr>
                <w:spacing w:val="-3"/>
                <w:sz w:val="18"/>
              </w:rPr>
              <w:t> </w:t>
            </w:r>
            <w:r>
              <w:rPr>
                <w:sz w:val="18"/>
              </w:rPr>
              <w:t>they</w:t>
            </w:r>
            <w:r>
              <w:rPr>
                <w:spacing w:val="-3"/>
                <w:sz w:val="18"/>
              </w:rPr>
              <w:t> </w:t>
            </w:r>
            <w:r>
              <w:rPr>
                <w:sz w:val="18"/>
              </w:rPr>
              <w:t>can</w:t>
            </w:r>
            <w:r>
              <w:rPr>
                <w:spacing w:val="-2"/>
                <w:sz w:val="18"/>
              </w:rPr>
              <w:t> </w:t>
            </w:r>
            <w:r>
              <w:rPr>
                <w:sz w:val="18"/>
              </w:rPr>
              <w:t>withdraw</w:t>
            </w:r>
            <w:r>
              <w:rPr>
                <w:spacing w:val="-3"/>
                <w:sz w:val="18"/>
              </w:rPr>
              <w:t> </w:t>
            </w:r>
            <w:r>
              <w:rPr>
                <w:sz w:val="18"/>
              </w:rPr>
              <w:t>from</w:t>
            </w:r>
            <w:r>
              <w:rPr>
                <w:spacing w:val="-5"/>
                <w:sz w:val="18"/>
              </w:rPr>
              <w:t> </w:t>
            </w:r>
            <w:r>
              <w:rPr>
                <w:sz w:val="18"/>
              </w:rPr>
              <w:t>the</w:t>
            </w:r>
            <w:r>
              <w:rPr>
                <w:spacing w:val="-2"/>
                <w:sz w:val="18"/>
              </w:rPr>
              <w:t> </w:t>
            </w:r>
            <w:r>
              <w:rPr>
                <w:sz w:val="18"/>
              </w:rPr>
              <w:t>interview</w:t>
            </w:r>
            <w:r>
              <w:rPr>
                <w:spacing w:val="-3"/>
                <w:sz w:val="18"/>
              </w:rPr>
              <w:t> </w:t>
            </w:r>
            <w:r>
              <w:rPr>
                <w:sz w:val="18"/>
              </w:rPr>
              <w:t>at</w:t>
            </w:r>
            <w:r>
              <w:rPr>
                <w:spacing w:val="-3"/>
                <w:sz w:val="18"/>
              </w:rPr>
              <w:t> </w:t>
            </w:r>
            <w:r>
              <w:rPr>
                <w:sz w:val="18"/>
              </w:rPr>
              <w:t>any</w:t>
            </w:r>
            <w:r>
              <w:rPr>
                <w:spacing w:val="-47"/>
                <w:sz w:val="18"/>
              </w:rPr>
              <w:t> </w:t>
            </w:r>
            <w:r>
              <w:rPr>
                <w:sz w:val="18"/>
              </w:rPr>
              <w:t>time,</w:t>
            </w:r>
            <w:r>
              <w:rPr>
                <w:spacing w:val="-3"/>
                <w:sz w:val="18"/>
              </w:rPr>
              <w:t> </w:t>
            </w:r>
            <w:r>
              <w:rPr>
                <w:sz w:val="18"/>
              </w:rPr>
              <w:t>and that</w:t>
            </w:r>
            <w:r>
              <w:rPr>
                <w:spacing w:val="-3"/>
                <w:sz w:val="18"/>
              </w:rPr>
              <w:t> </w:t>
            </w:r>
            <w:r>
              <w:rPr>
                <w:sz w:val="18"/>
              </w:rPr>
              <w:t>they</w:t>
            </w:r>
            <w:r>
              <w:rPr>
                <w:spacing w:val="-2"/>
                <w:sz w:val="18"/>
              </w:rPr>
              <w:t> </w:t>
            </w:r>
            <w:r>
              <w:rPr>
                <w:sz w:val="18"/>
              </w:rPr>
              <w:t>do</w:t>
            </w:r>
            <w:r>
              <w:rPr>
                <w:spacing w:val="-1"/>
                <w:sz w:val="18"/>
              </w:rPr>
              <w:t> </w:t>
            </w:r>
            <w:r>
              <w:rPr>
                <w:sz w:val="18"/>
              </w:rPr>
              <w:t>not have</w:t>
            </w:r>
            <w:r>
              <w:rPr>
                <w:spacing w:val="-1"/>
                <w:sz w:val="18"/>
              </w:rPr>
              <w:t> </w:t>
            </w:r>
            <w:r>
              <w:rPr>
                <w:sz w:val="18"/>
              </w:rPr>
              <w:t>to</w:t>
            </w:r>
            <w:r>
              <w:rPr>
                <w:spacing w:val="2"/>
                <w:sz w:val="18"/>
              </w:rPr>
              <w:t> </w:t>
            </w:r>
            <w:r>
              <w:rPr>
                <w:sz w:val="18"/>
              </w:rPr>
              <w:t>answer any</w:t>
            </w:r>
            <w:r>
              <w:rPr>
                <w:spacing w:val="-2"/>
                <w:sz w:val="18"/>
              </w:rPr>
              <w:t> </w:t>
            </w:r>
            <w:r>
              <w:rPr>
                <w:sz w:val="18"/>
              </w:rPr>
              <w:t>further</w:t>
            </w:r>
            <w:r>
              <w:rPr>
                <w:spacing w:val="-2"/>
                <w:sz w:val="18"/>
              </w:rPr>
              <w:t> </w:t>
            </w:r>
            <w:r>
              <w:rPr>
                <w:sz w:val="18"/>
              </w:rPr>
              <w:t>questions.</w:t>
            </w:r>
          </w:p>
          <w:p>
            <w:pPr>
              <w:pStyle w:val="TableParagraph"/>
              <w:numPr>
                <w:ilvl w:val="0"/>
                <w:numId w:val="249"/>
              </w:numPr>
              <w:tabs>
                <w:tab w:pos="279" w:val="left" w:leader="none"/>
              </w:tabs>
              <w:spacing w:line="240" w:lineRule="auto" w:before="1" w:after="0"/>
              <w:ind w:left="278" w:right="231" w:hanging="171"/>
              <w:jc w:val="left"/>
              <w:rPr>
                <w:sz w:val="18"/>
              </w:rPr>
            </w:pPr>
            <w:r>
              <w:rPr>
                <w:sz w:val="18"/>
              </w:rPr>
              <w:t>Outline</w:t>
            </w:r>
            <w:r>
              <w:rPr>
                <w:spacing w:val="-6"/>
                <w:sz w:val="18"/>
              </w:rPr>
              <w:t> </w:t>
            </w:r>
            <w:r>
              <w:rPr>
                <w:sz w:val="18"/>
              </w:rPr>
              <w:t>confidentiality/anonymity</w:t>
            </w:r>
            <w:r>
              <w:rPr>
                <w:spacing w:val="-4"/>
                <w:sz w:val="18"/>
              </w:rPr>
              <w:t> </w:t>
            </w:r>
            <w:r>
              <w:rPr>
                <w:sz w:val="18"/>
              </w:rPr>
              <w:t>provisions,</w:t>
            </w:r>
            <w:r>
              <w:rPr>
                <w:spacing w:val="-6"/>
                <w:sz w:val="18"/>
              </w:rPr>
              <w:t> </w:t>
            </w:r>
            <w:r>
              <w:rPr>
                <w:sz w:val="18"/>
              </w:rPr>
              <w:t>that</w:t>
            </w:r>
            <w:r>
              <w:rPr>
                <w:spacing w:val="-5"/>
                <w:sz w:val="18"/>
              </w:rPr>
              <w:t> </w:t>
            </w:r>
            <w:r>
              <w:rPr>
                <w:sz w:val="18"/>
              </w:rPr>
              <w:t>is,</w:t>
            </w:r>
            <w:r>
              <w:rPr>
                <w:spacing w:val="-7"/>
                <w:sz w:val="18"/>
              </w:rPr>
              <w:t> </w:t>
            </w:r>
            <w:r>
              <w:rPr>
                <w:sz w:val="18"/>
              </w:rPr>
              <w:t>that</w:t>
            </w:r>
            <w:r>
              <w:rPr>
                <w:spacing w:val="-3"/>
                <w:sz w:val="18"/>
              </w:rPr>
              <w:t> </w:t>
            </w:r>
            <w:r>
              <w:rPr>
                <w:sz w:val="18"/>
              </w:rPr>
              <w:t>they</w:t>
            </w:r>
            <w:r>
              <w:rPr>
                <w:spacing w:val="-4"/>
                <w:sz w:val="18"/>
              </w:rPr>
              <w:t> </w:t>
            </w:r>
            <w:r>
              <w:rPr>
                <w:sz w:val="18"/>
              </w:rPr>
              <w:t>or</w:t>
            </w:r>
            <w:r>
              <w:rPr>
                <w:spacing w:val="-4"/>
                <w:sz w:val="18"/>
              </w:rPr>
              <w:t> </w:t>
            </w:r>
            <w:r>
              <w:rPr>
                <w:sz w:val="18"/>
              </w:rPr>
              <w:t>anyone</w:t>
            </w:r>
            <w:r>
              <w:rPr>
                <w:spacing w:val="-3"/>
                <w:sz w:val="18"/>
              </w:rPr>
              <w:t> </w:t>
            </w:r>
            <w:r>
              <w:rPr>
                <w:sz w:val="18"/>
              </w:rPr>
              <w:t>(or</w:t>
            </w:r>
            <w:r>
              <w:rPr>
                <w:spacing w:val="-47"/>
                <w:sz w:val="18"/>
              </w:rPr>
              <w:t> </w:t>
            </w:r>
            <w:r>
              <w:rPr>
                <w:sz w:val="18"/>
              </w:rPr>
              <w:t>practice)</w:t>
            </w:r>
            <w:r>
              <w:rPr>
                <w:spacing w:val="-4"/>
                <w:sz w:val="18"/>
              </w:rPr>
              <w:t> </w:t>
            </w:r>
            <w:r>
              <w:rPr>
                <w:sz w:val="18"/>
              </w:rPr>
              <w:t>will</w:t>
            </w:r>
            <w:r>
              <w:rPr>
                <w:spacing w:val="-2"/>
                <w:sz w:val="18"/>
              </w:rPr>
              <w:t> </w:t>
            </w:r>
            <w:r>
              <w:rPr>
                <w:sz w:val="18"/>
              </w:rPr>
              <w:t>not</w:t>
            </w:r>
            <w:r>
              <w:rPr>
                <w:spacing w:val="-3"/>
                <w:sz w:val="18"/>
              </w:rPr>
              <w:t> </w:t>
            </w:r>
            <w:r>
              <w:rPr>
                <w:sz w:val="18"/>
              </w:rPr>
              <w:t>be</w:t>
            </w:r>
            <w:r>
              <w:rPr>
                <w:spacing w:val="-3"/>
                <w:sz w:val="18"/>
              </w:rPr>
              <w:t> </w:t>
            </w:r>
            <w:r>
              <w:rPr>
                <w:sz w:val="18"/>
              </w:rPr>
              <w:t>named</w:t>
            </w:r>
            <w:r>
              <w:rPr>
                <w:spacing w:val="-1"/>
                <w:sz w:val="18"/>
              </w:rPr>
              <w:t> </w:t>
            </w:r>
            <w:r>
              <w:rPr>
                <w:sz w:val="18"/>
              </w:rPr>
              <w:t>in</w:t>
            </w:r>
            <w:r>
              <w:rPr>
                <w:spacing w:val="-3"/>
                <w:sz w:val="18"/>
              </w:rPr>
              <w:t> </w:t>
            </w:r>
            <w:r>
              <w:rPr>
                <w:sz w:val="18"/>
              </w:rPr>
              <w:t>any</w:t>
            </w:r>
            <w:r>
              <w:rPr>
                <w:spacing w:val="-2"/>
                <w:sz w:val="18"/>
              </w:rPr>
              <w:t> </w:t>
            </w:r>
            <w:r>
              <w:rPr>
                <w:sz w:val="18"/>
              </w:rPr>
              <w:t>reporting</w:t>
            </w:r>
            <w:r>
              <w:rPr>
                <w:spacing w:val="-3"/>
                <w:sz w:val="18"/>
              </w:rPr>
              <w:t> </w:t>
            </w:r>
            <w:r>
              <w:rPr>
                <w:sz w:val="18"/>
              </w:rPr>
              <w:t>of</w:t>
            </w:r>
            <w:r>
              <w:rPr>
                <w:spacing w:val="-1"/>
                <w:sz w:val="18"/>
              </w:rPr>
              <w:t> </w:t>
            </w:r>
            <w:r>
              <w:rPr>
                <w:sz w:val="18"/>
              </w:rPr>
              <w:t>results</w:t>
            </w:r>
            <w:r>
              <w:rPr>
                <w:spacing w:val="-3"/>
                <w:sz w:val="18"/>
              </w:rPr>
              <w:t> </w:t>
            </w:r>
            <w:r>
              <w:rPr>
                <w:sz w:val="18"/>
              </w:rPr>
              <w:t>to</w:t>
            </w:r>
            <w:r>
              <w:rPr>
                <w:spacing w:val="-1"/>
                <w:sz w:val="18"/>
              </w:rPr>
              <w:t> </w:t>
            </w:r>
            <w:r>
              <w:rPr>
                <w:sz w:val="18"/>
              </w:rPr>
              <w:t>any</w:t>
            </w:r>
            <w:r>
              <w:rPr>
                <w:spacing w:val="-2"/>
                <w:sz w:val="18"/>
              </w:rPr>
              <w:t> </w:t>
            </w:r>
            <w:r>
              <w:rPr>
                <w:sz w:val="18"/>
              </w:rPr>
              <w:t>parties.</w:t>
            </w:r>
          </w:p>
          <w:p>
            <w:pPr>
              <w:pStyle w:val="TableParagraph"/>
              <w:numPr>
                <w:ilvl w:val="0"/>
                <w:numId w:val="249"/>
              </w:numPr>
              <w:tabs>
                <w:tab w:pos="279" w:val="left" w:leader="none"/>
              </w:tabs>
              <w:spacing w:line="240" w:lineRule="auto" w:before="0" w:after="0"/>
              <w:ind w:left="278" w:right="484" w:hanging="171"/>
              <w:jc w:val="left"/>
              <w:rPr>
                <w:sz w:val="18"/>
              </w:rPr>
            </w:pPr>
            <w:r>
              <w:rPr>
                <w:sz w:val="18"/>
              </w:rPr>
              <w:t>Outline how they will be informed of the results of the research when it is</w:t>
            </w:r>
            <w:r>
              <w:rPr>
                <w:spacing w:val="-47"/>
                <w:sz w:val="18"/>
              </w:rPr>
              <w:t> </w:t>
            </w:r>
            <w:r>
              <w:rPr>
                <w:sz w:val="18"/>
              </w:rPr>
              <w:t>finished.</w:t>
            </w:r>
          </w:p>
          <w:p>
            <w:pPr>
              <w:pStyle w:val="TableParagraph"/>
              <w:numPr>
                <w:ilvl w:val="0"/>
                <w:numId w:val="249"/>
              </w:numPr>
              <w:tabs>
                <w:tab w:pos="279" w:val="left" w:leader="none"/>
              </w:tabs>
              <w:spacing w:line="240" w:lineRule="auto" w:before="0" w:after="0"/>
              <w:ind w:left="278" w:right="344" w:hanging="171"/>
              <w:jc w:val="left"/>
              <w:rPr>
                <w:sz w:val="18"/>
              </w:rPr>
            </w:pPr>
            <w:r>
              <w:rPr>
                <w:sz w:val="18"/>
              </w:rPr>
              <w:t>Provide details on who to contact in case of any or concerns or questions</w:t>
            </w:r>
            <w:r>
              <w:rPr>
                <w:spacing w:val="-47"/>
                <w:sz w:val="18"/>
              </w:rPr>
              <w:t> </w:t>
            </w:r>
            <w:r>
              <w:rPr>
                <w:sz w:val="18"/>
              </w:rPr>
              <w:t>that may</w:t>
            </w:r>
            <w:r>
              <w:rPr>
                <w:spacing w:val="-1"/>
                <w:sz w:val="18"/>
              </w:rPr>
              <w:t> </w:t>
            </w:r>
            <w:r>
              <w:rPr>
                <w:sz w:val="18"/>
              </w:rPr>
              <w:t>arise after the</w:t>
            </w:r>
            <w:r>
              <w:rPr>
                <w:spacing w:val="-3"/>
                <w:sz w:val="18"/>
              </w:rPr>
              <w:t> </w:t>
            </w:r>
            <w:r>
              <w:rPr>
                <w:sz w:val="18"/>
              </w:rPr>
              <w:t>interview.</w:t>
            </w:r>
          </w:p>
          <w:p>
            <w:pPr>
              <w:pStyle w:val="TableParagraph"/>
              <w:numPr>
                <w:ilvl w:val="0"/>
                <w:numId w:val="249"/>
              </w:numPr>
              <w:tabs>
                <w:tab w:pos="279" w:val="left" w:leader="none"/>
              </w:tabs>
              <w:spacing w:line="219" w:lineRule="exact" w:before="0" w:after="0"/>
              <w:ind w:left="278" w:right="0" w:hanging="172"/>
              <w:jc w:val="left"/>
              <w:rPr>
                <w:sz w:val="18"/>
              </w:rPr>
            </w:pPr>
            <w:r>
              <w:rPr>
                <w:sz w:val="18"/>
              </w:rPr>
              <w:t>Seek</w:t>
            </w:r>
            <w:r>
              <w:rPr>
                <w:spacing w:val="-2"/>
                <w:sz w:val="18"/>
              </w:rPr>
              <w:t> </w:t>
            </w:r>
            <w:r>
              <w:rPr>
                <w:sz w:val="18"/>
              </w:rPr>
              <w:t>permission</w:t>
            </w:r>
            <w:r>
              <w:rPr>
                <w:spacing w:val="-2"/>
                <w:sz w:val="18"/>
              </w:rPr>
              <w:t> </w:t>
            </w:r>
            <w:r>
              <w:rPr>
                <w:sz w:val="18"/>
              </w:rPr>
              <w:t>to</w:t>
            </w:r>
            <w:r>
              <w:rPr>
                <w:spacing w:val="-2"/>
                <w:sz w:val="18"/>
              </w:rPr>
              <w:t> </w:t>
            </w:r>
            <w:r>
              <w:rPr>
                <w:sz w:val="18"/>
              </w:rPr>
              <w:t>audio</w:t>
            </w:r>
            <w:r>
              <w:rPr>
                <w:spacing w:val="-4"/>
                <w:sz w:val="18"/>
              </w:rPr>
              <w:t> </w:t>
            </w:r>
            <w:r>
              <w:rPr>
                <w:sz w:val="18"/>
              </w:rPr>
              <w:t>record</w:t>
            </w:r>
            <w:r>
              <w:rPr>
                <w:spacing w:val="-3"/>
                <w:sz w:val="18"/>
              </w:rPr>
              <w:t> </w:t>
            </w:r>
            <w:r>
              <w:rPr>
                <w:sz w:val="18"/>
              </w:rPr>
              <w:t>the</w:t>
            </w:r>
            <w:r>
              <w:rPr>
                <w:spacing w:val="-3"/>
                <w:sz w:val="18"/>
              </w:rPr>
              <w:t> </w:t>
            </w:r>
            <w:r>
              <w:rPr>
                <w:sz w:val="18"/>
              </w:rPr>
              <w:t>interview.</w:t>
            </w:r>
          </w:p>
          <w:p>
            <w:pPr>
              <w:pStyle w:val="TableParagraph"/>
              <w:numPr>
                <w:ilvl w:val="0"/>
                <w:numId w:val="249"/>
              </w:numPr>
              <w:tabs>
                <w:tab w:pos="279" w:val="left" w:leader="none"/>
              </w:tabs>
              <w:spacing w:line="240" w:lineRule="auto" w:before="0" w:after="0"/>
              <w:ind w:left="278" w:right="0" w:hanging="172"/>
              <w:jc w:val="left"/>
              <w:rPr>
                <w:sz w:val="18"/>
              </w:rPr>
            </w:pPr>
            <w:r>
              <w:rPr>
                <w:sz w:val="18"/>
              </w:rPr>
              <w:t>Check</w:t>
            </w:r>
            <w:r>
              <w:rPr>
                <w:spacing w:val="-5"/>
                <w:sz w:val="18"/>
              </w:rPr>
              <w:t> </w:t>
            </w:r>
            <w:r>
              <w:rPr>
                <w:sz w:val="18"/>
              </w:rPr>
              <w:t>whether</w:t>
            </w:r>
            <w:r>
              <w:rPr>
                <w:spacing w:val="-4"/>
                <w:sz w:val="18"/>
              </w:rPr>
              <w:t> </w:t>
            </w:r>
            <w:r>
              <w:rPr>
                <w:sz w:val="18"/>
              </w:rPr>
              <w:t>the</w:t>
            </w:r>
            <w:r>
              <w:rPr>
                <w:spacing w:val="-2"/>
                <w:sz w:val="18"/>
              </w:rPr>
              <w:t> </w:t>
            </w:r>
            <w:r>
              <w:rPr>
                <w:sz w:val="18"/>
              </w:rPr>
              <w:t>participant</w:t>
            </w:r>
            <w:r>
              <w:rPr>
                <w:spacing w:val="-4"/>
                <w:sz w:val="18"/>
              </w:rPr>
              <w:t> </w:t>
            </w:r>
            <w:r>
              <w:rPr>
                <w:sz w:val="18"/>
              </w:rPr>
              <w:t>has</w:t>
            </w:r>
            <w:r>
              <w:rPr>
                <w:spacing w:val="-4"/>
                <w:sz w:val="18"/>
              </w:rPr>
              <w:t> </w:t>
            </w:r>
            <w:r>
              <w:rPr>
                <w:sz w:val="18"/>
              </w:rPr>
              <w:t>any</w:t>
            </w:r>
            <w:r>
              <w:rPr>
                <w:spacing w:val="-3"/>
                <w:sz w:val="18"/>
              </w:rPr>
              <w:t> </w:t>
            </w:r>
            <w:r>
              <w:rPr>
                <w:sz w:val="18"/>
              </w:rPr>
              <w:t>questions.</w:t>
            </w:r>
          </w:p>
          <w:p>
            <w:pPr>
              <w:pStyle w:val="TableParagraph"/>
              <w:numPr>
                <w:ilvl w:val="0"/>
                <w:numId w:val="249"/>
              </w:numPr>
              <w:tabs>
                <w:tab w:pos="279" w:val="left" w:leader="none"/>
              </w:tabs>
              <w:spacing w:line="240" w:lineRule="auto" w:before="1" w:after="0"/>
              <w:ind w:left="278" w:right="0" w:hanging="172"/>
              <w:jc w:val="left"/>
              <w:rPr>
                <w:sz w:val="18"/>
              </w:rPr>
            </w:pPr>
            <w:r>
              <w:rPr>
                <w:sz w:val="18"/>
              </w:rPr>
              <w:t>Seek</w:t>
            </w:r>
            <w:r>
              <w:rPr>
                <w:spacing w:val="-3"/>
                <w:sz w:val="18"/>
              </w:rPr>
              <w:t> </w:t>
            </w:r>
            <w:r>
              <w:rPr>
                <w:sz w:val="18"/>
              </w:rPr>
              <w:t>verbal</w:t>
            </w:r>
            <w:r>
              <w:rPr>
                <w:spacing w:val="-2"/>
                <w:sz w:val="18"/>
              </w:rPr>
              <w:t> </w:t>
            </w:r>
            <w:r>
              <w:rPr>
                <w:sz w:val="18"/>
              </w:rPr>
              <w:t>consent</w:t>
            </w:r>
            <w:r>
              <w:rPr>
                <w:spacing w:val="-4"/>
                <w:sz w:val="18"/>
              </w:rPr>
              <w:t> </w:t>
            </w:r>
            <w:r>
              <w:rPr>
                <w:sz w:val="18"/>
              </w:rPr>
              <w:t>for</w:t>
            </w:r>
            <w:r>
              <w:rPr>
                <w:spacing w:val="-1"/>
                <w:sz w:val="18"/>
              </w:rPr>
              <w:t> </w:t>
            </w:r>
            <w:r>
              <w:rPr>
                <w:sz w:val="18"/>
              </w:rPr>
              <w:t>participation.</w:t>
            </w:r>
          </w:p>
        </w:tc>
      </w:tr>
      <w:tr>
        <w:trPr>
          <w:trHeight w:val="1545" w:hRule="atLeast"/>
        </w:trPr>
        <w:tc>
          <w:tcPr>
            <w:tcW w:w="1980" w:type="dxa"/>
          </w:tcPr>
          <w:p>
            <w:pPr>
              <w:pStyle w:val="TableParagraph"/>
              <w:spacing w:line="219" w:lineRule="exact"/>
              <w:ind w:left="107"/>
              <w:rPr>
                <w:sz w:val="18"/>
              </w:rPr>
            </w:pPr>
            <w:r>
              <w:rPr>
                <w:sz w:val="18"/>
              </w:rPr>
              <w:t>Background</w:t>
            </w:r>
          </w:p>
        </w:tc>
        <w:tc>
          <w:tcPr>
            <w:tcW w:w="7038" w:type="dxa"/>
          </w:tcPr>
          <w:p>
            <w:pPr>
              <w:pStyle w:val="TableParagraph"/>
              <w:numPr>
                <w:ilvl w:val="0"/>
                <w:numId w:val="250"/>
              </w:numPr>
              <w:tabs>
                <w:tab w:pos="279" w:val="left" w:leader="none"/>
              </w:tabs>
              <w:spacing w:line="240" w:lineRule="auto" w:before="0" w:after="0"/>
              <w:ind w:left="278" w:right="133" w:hanging="171"/>
              <w:jc w:val="left"/>
              <w:rPr>
                <w:sz w:val="18"/>
              </w:rPr>
            </w:pPr>
            <w:r>
              <w:rPr>
                <w:sz w:val="18"/>
              </w:rPr>
              <w:t>How</w:t>
            </w:r>
            <w:r>
              <w:rPr>
                <w:spacing w:val="-2"/>
                <w:sz w:val="18"/>
              </w:rPr>
              <w:t> </w:t>
            </w:r>
            <w:r>
              <w:rPr>
                <w:sz w:val="18"/>
              </w:rPr>
              <w:t>many</w:t>
            </w:r>
            <w:r>
              <w:rPr>
                <w:spacing w:val="-3"/>
                <w:sz w:val="18"/>
              </w:rPr>
              <w:t> </w:t>
            </w:r>
            <w:r>
              <w:rPr>
                <w:sz w:val="18"/>
              </w:rPr>
              <w:t>patients</w:t>
            </w:r>
            <w:r>
              <w:rPr>
                <w:spacing w:val="-4"/>
                <w:sz w:val="18"/>
              </w:rPr>
              <w:t> </w:t>
            </w:r>
            <w:r>
              <w:rPr>
                <w:sz w:val="18"/>
              </w:rPr>
              <w:t>approximately</w:t>
            </w:r>
            <w:r>
              <w:rPr>
                <w:spacing w:val="-3"/>
                <w:sz w:val="18"/>
              </w:rPr>
              <w:t> </w:t>
            </w:r>
            <w:r>
              <w:rPr>
                <w:sz w:val="18"/>
              </w:rPr>
              <w:t>have</w:t>
            </w:r>
            <w:r>
              <w:rPr>
                <w:spacing w:val="-2"/>
                <w:sz w:val="18"/>
              </w:rPr>
              <w:t> </w:t>
            </w:r>
            <w:r>
              <w:rPr>
                <w:sz w:val="18"/>
              </w:rPr>
              <w:t>you</w:t>
            </w:r>
            <w:r>
              <w:rPr>
                <w:spacing w:val="-3"/>
                <w:sz w:val="18"/>
              </w:rPr>
              <w:t> </w:t>
            </w:r>
            <w:r>
              <w:rPr>
                <w:sz w:val="18"/>
              </w:rPr>
              <w:t>had</w:t>
            </w:r>
            <w:r>
              <w:rPr>
                <w:spacing w:val="-3"/>
                <w:sz w:val="18"/>
              </w:rPr>
              <w:t> </w:t>
            </w:r>
            <w:r>
              <w:rPr>
                <w:sz w:val="18"/>
              </w:rPr>
              <w:t>referred</w:t>
            </w:r>
            <w:r>
              <w:rPr>
                <w:spacing w:val="-3"/>
                <w:sz w:val="18"/>
              </w:rPr>
              <w:t> </w:t>
            </w:r>
            <w:r>
              <w:rPr>
                <w:sz w:val="18"/>
              </w:rPr>
              <w:t>as</w:t>
            </w:r>
            <w:r>
              <w:rPr>
                <w:spacing w:val="-4"/>
                <w:sz w:val="18"/>
              </w:rPr>
              <w:t> </w:t>
            </w:r>
            <w:r>
              <w:rPr>
                <w:sz w:val="18"/>
              </w:rPr>
              <w:t>part</w:t>
            </w:r>
            <w:r>
              <w:rPr>
                <w:spacing w:val="-4"/>
                <w:sz w:val="18"/>
              </w:rPr>
              <w:t> </w:t>
            </w:r>
            <w:r>
              <w:rPr>
                <w:sz w:val="18"/>
              </w:rPr>
              <w:t>of</w:t>
            </w:r>
            <w:r>
              <w:rPr>
                <w:spacing w:val="-1"/>
                <w:sz w:val="18"/>
              </w:rPr>
              <w:t> </w:t>
            </w:r>
            <w:r>
              <w:rPr>
                <w:sz w:val="18"/>
              </w:rPr>
              <w:t>the</w:t>
            </w:r>
            <w:r>
              <w:rPr>
                <w:spacing w:val="-3"/>
                <w:sz w:val="18"/>
              </w:rPr>
              <w:t> </w:t>
            </w:r>
            <w:r>
              <w:rPr>
                <w:sz w:val="18"/>
              </w:rPr>
              <w:t>Trial</w:t>
            </w:r>
            <w:r>
              <w:rPr>
                <w:spacing w:val="-47"/>
                <w:sz w:val="18"/>
              </w:rPr>
              <w:t> </w:t>
            </w:r>
            <w:r>
              <w:rPr>
                <w:sz w:val="18"/>
              </w:rPr>
              <w:t>Program?</w:t>
            </w:r>
          </w:p>
          <w:p>
            <w:pPr>
              <w:pStyle w:val="TableParagraph"/>
              <w:numPr>
                <w:ilvl w:val="0"/>
                <w:numId w:val="250"/>
              </w:numPr>
              <w:tabs>
                <w:tab w:pos="279" w:val="left" w:leader="none"/>
              </w:tabs>
              <w:spacing w:line="240" w:lineRule="auto" w:before="0" w:after="0"/>
              <w:ind w:left="278" w:right="0" w:hanging="172"/>
              <w:jc w:val="left"/>
              <w:rPr>
                <w:sz w:val="18"/>
              </w:rPr>
            </w:pPr>
            <w:r>
              <w:rPr>
                <w:sz w:val="18"/>
              </w:rPr>
              <w:t>How</w:t>
            </w:r>
            <w:r>
              <w:rPr>
                <w:spacing w:val="-3"/>
                <w:sz w:val="18"/>
              </w:rPr>
              <w:t> </w:t>
            </w:r>
            <w:r>
              <w:rPr>
                <w:sz w:val="18"/>
              </w:rPr>
              <w:t>many</w:t>
            </w:r>
            <w:r>
              <w:rPr>
                <w:spacing w:val="-3"/>
                <w:sz w:val="18"/>
              </w:rPr>
              <w:t> </w:t>
            </w:r>
            <w:r>
              <w:rPr>
                <w:sz w:val="18"/>
              </w:rPr>
              <w:t>different</w:t>
            </w:r>
            <w:r>
              <w:rPr>
                <w:spacing w:val="-5"/>
                <w:sz w:val="18"/>
              </w:rPr>
              <w:t> </w:t>
            </w:r>
            <w:r>
              <w:rPr>
                <w:sz w:val="18"/>
              </w:rPr>
              <w:t>GPs/</w:t>
            </w:r>
            <w:r>
              <w:rPr>
                <w:spacing w:val="-3"/>
                <w:sz w:val="18"/>
              </w:rPr>
              <w:t> </w:t>
            </w:r>
            <w:r>
              <w:rPr>
                <w:sz w:val="18"/>
              </w:rPr>
              <w:t>practices</w:t>
            </w:r>
            <w:r>
              <w:rPr>
                <w:spacing w:val="-4"/>
                <w:sz w:val="18"/>
              </w:rPr>
              <w:t> </w:t>
            </w:r>
            <w:r>
              <w:rPr>
                <w:sz w:val="18"/>
              </w:rPr>
              <w:t>are</w:t>
            </w:r>
            <w:r>
              <w:rPr>
                <w:spacing w:val="-3"/>
                <w:sz w:val="18"/>
              </w:rPr>
              <w:t> </w:t>
            </w:r>
            <w:r>
              <w:rPr>
                <w:sz w:val="18"/>
              </w:rPr>
              <w:t>the</w:t>
            </w:r>
            <w:r>
              <w:rPr>
                <w:spacing w:val="-5"/>
                <w:sz w:val="18"/>
              </w:rPr>
              <w:t> </w:t>
            </w:r>
            <w:r>
              <w:rPr>
                <w:sz w:val="18"/>
              </w:rPr>
              <w:t>patients</w:t>
            </w:r>
            <w:r>
              <w:rPr>
                <w:spacing w:val="-4"/>
                <w:sz w:val="18"/>
              </w:rPr>
              <w:t> </w:t>
            </w:r>
            <w:r>
              <w:rPr>
                <w:sz w:val="18"/>
              </w:rPr>
              <w:t>referred</w:t>
            </w:r>
            <w:r>
              <w:rPr>
                <w:spacing w:val="-6"/>
                <w:sz w:val="18"/>
              </w:rPr>
              <w:t> </w:t>
            </w:r>
            <w:r>
              <w:rPr>
                <w:sz w:val="18"/>
              </w:rPr>
              <w:t>from?</w:t>
            </w:r>
          </w:p>
          <w:p>
            <w:pPr>
              <w:pStyle w:val="TableParagraph"/>
              <w:numPr>
                <w:ilvl w:val="0"/>
                <w:numId w:val="250"/>
              </w:numPr>
              <w:tabs>
                <w:tab w:pos="279" w:val="left" w:leader="none"/>
              </w:tabs>
              <w:spacing w:line="240" w:lineRule="auto" w:before="0" w:after="0"/>
              <w:ind w:left="278" w:right="762" w:hanging="171"/>
              <w:jc w:val="left"/>
              <w:rPr>
                <w:sz w:val="18"/>
              </w:rPr>
            </w:pPr>
            <w:r>
              <w:rPr>
                <w:sz w:val="18"/>
              </w:rPr>
              <w:t>Did</w:t>
            </w:r>
            <w:r>
              <w:rPr>
                <w:spacing w:val="-4"/>
                <w:sz w:val="18"/>
              </w:rPr>
              <w:t> </w:t>
            </w:r>
            <w:r>
              <w:rPr>
                <w:sz w:val="18"/>
              </w:rPr>
              <w:t>you</w:t>
            </w:r>
            <w:r>
              <w:rPr>
                <w:spacing w:val="-2"/>
                <w:sz w:val="18"/>
              </w:rPr>
              <w:t> </w:t>
            </w:r>
            <w:r>
              <w:rPr>
                <w:sz w:val="18"/>
              </w:rPr>
              <w:t>provide</w:t>
            </w:r>
            <w:r>
              <w:rPr>
                <w:spacing w:val="-3"/>
                <w:sz w:val="18"/>
              </w:rPr>
              <w:t> </w:t>
            </w:r>
            <w:r>
              <w:rPr>
                <w:sz w:val="18"/>
              </w:rPr>
              <w:t>Home</w:t>
            </w:r>
            <w:r>
              <w:rPr>
                <w:spacing w:val="-2"/>
                <w:sz w:val="18"/>
              </w:rPr>
              <w:t> </w:t>
            </w:r>
            <w:r>
              <w:rPr>
                <w:sz w:val="18"/>
              </w:rPr>
              <w:t>Medicine</w:t>
            </w:r>
            <w:r>
              <w:rPr>
                <w:spacing w:val="-5"/>
                <w:sz w:val="18"/>
              </w:rPr>
              <w:t> </w:t>
            </w:r>
            <w:r>
              <w:rPr>
                <w:sz w:val="18"/>
              </w:rPr>
              <w:t>Reviews</w:t>
            </w:r>
            <w:r>
              <w:rPr>
                <w:spacing w:val="-3"/>
                <w:sz w:val="18"/>
              </w:rPr>
              <w:t> </w:t>
            </w:r>
            <w:r>
              <w:rPr>
                <w:sz w:val="18"/>
              </w:rPr>
              <w:t>for</w:t>
            </w:r>
            <w:r>
              <w:rPr>
                <w:spacing w:val="-3"/>
                <w:sz w:val="18"/>
              </w:rPr>
              <w:t> </w:t>
            </w:r>
            <w:r>
              <w:rPr>
                <w:sz w:val="18"/>
              </w:rPr>
              <w:t>patients</w:t>
            </w:r>
            <w:r>
              <w:rPr>
                <w:spacing w:val="-3"/>
                <w:sz w:val="18"/>
              </w:rPr>
              <w:t> </w:t>
            </w:r>
            <w:r>
              <w:rPr>
                <w:sz w:val="18"/>
              </w:rPr>
              <w:t>prior</w:t>
            </w:r>
            <w:r>
              <w:rPr>
                <w:spacing w:val="-3"/>
                <w:sz w:val="18"/>
              </w:rPr>
              <w:t> </w:t>
            </w:r>
            <w:r>
              <w:rPr>
                <w:sz w:val="18"/>
              </w:rPr>
              <w:t>to</w:t>
            </w:r>
            <w:r>
              <w:rPr>
                <w:spacing w:val="-3"/>
                <w:sz w:val="18"/>
              </w:rPr>
              <w:t> </w:t>
            </w:r>
            <w:r>
              <w:rPr>
                <w:sz w:val="18"/>
              </w:rPr>
              <w:t>the</w:t>
            </w:r>
            <w:r>
              <w:rPr>
                <w:spacing w:val="-3"/>
                <w:sz w:val="18"/>
              </w:rPr>
              <w:t> </w:t>
            </w:r>
            <w:r>
              <w:rPr>
                <w:sz w:val="18"/>
              </w:rPr>
              <w:t>Trial</w:t>
            </w:r>
            <w:r>
              <w:rPr>
                <w:spacing w:val="-47"/>
                <w:sz w:val="18"/>
              </w:rPr>
              <w:t> </w:t>
            </w:r>
            <w:r>
              <w:rPr>
                <w:sz w:val="18"/>
              </w:rPr>
              <w:t>Program?</w:t>
            </w:r>
          </w:p>
          <w:p>
            <w:pPr>
              <w:pStyle w:val="TableParagraph"/>
              <w:numPr>
                <w:ilvl w:val="0"/>
                <w:numId w:val="250"/>
              </w:numPr>
              <w:tabs>
                <w:tab w:pos="279" w:val="left" w:leader="none"/>
              </w:tabs>
              <w:spacing w:line="220" w:lineRule="atLeast" w:before="0" w:after="0"/>
              <w:ind w:left="278" w:right="268" w:hanging="171"/>
              <w:jc w:val="left"/>
              <w:rPr>
                <w:sz w:val="18"/>
              </w:rPr>
            </w:pPr>
            <w:r>
              <w:rPr>
                <w:sz w:val="18"/>
              </w:rPr>
              <w:t>Did</w:t>
            </w:r>
            <w:r>
              <w:rPr>
                <w:spacing w:val="-4"/>
                <w:sz w:val="18"/>
              </w:rPr>
              <w:t> </w:t>
            </w:r>
            <w:r>
              <w:rPr>
                <w:sz w:val="18"/>
              </w:rPr>
              <w:t>you</w:t>
            </w:r>
            <w:r>
              <w:rPr>
                <w:spacing w:val="-2"/>
                <w:sz w:val="18"/>
              </w:rPr>
              <w:t> </w:t>
            </w:r>
            <w:r>
              <w:rPr>
                <w:sz w:val="18"/>
              </w:rPr>
              <w:t>provide</w:t>
            </w:r>
            <w:r>
              <w:rPr>
                <w:spacing w:val="-3"/>
                <w:sz w:val="18"/>
              </w:rPr>
              <w:t> </w:t>
            </w:r>
            <w:r>
              <w:rPr>
                <w:sz w:val="18"/>
              </w:rPr>
              <w:t>MedsCheck</w:t>
            </w:r>
            <w:r>
              <w:rPr>
                <w:spacing w:val="-2"/>
                <w:sz w:val="18"/>
              </w:rPr>
              <w:t> </w:t>
            </w:r>
            <w:r>
              <w:rPr>
                <w:sz w:val="18"/>
              </w:rPr>
              <w:t>or</w:t>
            </w:r>
            <w:r>
              <w:rPr>
                <w:spacing w:val="-2"/>
                <w:sz w:val="18"/>
              </w:rPr>
              <w:t> </w:t>
            </w:r>
            <w:r>
              <w:rPr>
                <w:sz w:val="18"/>
              </w:rPr>
              <w:t>Diabetes</w:t>
            </w:r>
            <w:r>
              <w:rPr>
                <w:spacing w:val="-3"/>
                <w:sz w:val="18"/>
              </w:rPr>
              <w:t> </w:t>
            </w:r>
            <w:r>
              <w:rPr>
                <w:sz w:val="18"/>
              </w:rPr>
              <w:t>MedsCheck</w:t>
            </w:r>
            <w:r>
              <w:rPr>
                <w:spacing w:val="-4"/>
                <w:sz w:val="18"/>
              </w:rPr>
              <w:t> </w:t>
            </w:r>
            <w:r>
              <w:rPr>
                <w:sz w:val="18"/>
              </w:rPr>
              <w:t>service</w:t>
            </w:r>
            <w:r>
              <w:rPr>
                <w:spacing w:val="-3"/>
                <w:sz w:val="18"/>
              </w:rPr>
              <w:t> </w:t>
            </w:r>
            <w:r>
              <w:rPr>
                <w:sz w:val="18"/>
              </w:rPr>
              <w:t>to</w:t>
            </w:r>
            <w:r>
              <w:rPr>
                <w:spacing w:val="-3"/>
                <w:sz w:val="18"/>
              </w:rPr>
              <w:t> </w:t>
            </w:r>
            <w:r>
              <w:rPr>
                <w:sz w:val="18"/>
              </w:rPr>
              <w:t>any</w:t>
            </w:r>
            <w:r>
              <w:rPr>
                <w:spacing w:val="-3"/>
                <w:sz w:val="18"/>
              </w:rPr>
              <w:t> </w:t>
            </w:r>
            <w:r>
              <w:rPr>
                <w:sz w:val="18"/>
              </w:rPr>
              <w:t>of</w:t>
            </w:r>
            <w:r>
              <w:rPr>
                <w:spacing w:val="-3"/>
                <w:sz w:val="18"/>
              </w:rPr>
              <w:t> </w:t>
            </w:r>
            <w:r>
              <w:rPr>
                <w:sz w:val="18"/>
              </w:rPr>
              <w:t>the</w:t>
            </w:r>
            <w:r>
              <w:rPr>
                <w:spacing w:val="-47"/>
                <w:sz w:val="18"/>
              </w:rPr>
              <w:t> </w:t>
            </w:r>
            <w:r>
              <w:rPr>
                <w:sz w:val="18"/>
              </w:rPr>
              <w:t>clients</w:t>
            </w:r>
            <w:r>
              <w:rPr>
                <w:spacing w:val="-2"/>
                <w:sz w:val="18"/>
              </w:rPr>
              <w:t> </w:t>
            </w:r>
            <w:r>
              <w:rPr>
                <w:sz w:val="18"/>
              </w:rPr>
              <w:t>of</w:t>
            </w:r>
            <w:r>
              <w:rPr>
                <w:spacing w:val="-1"/>
                <w:sz w:val="18"/>
              </w:rPr>
              <w:t> </w:t>
            </w:r>
            <w:r>
              <w:rPr>
                <w:sz w:val="18"/>
              </w:rPr>
              <w:t>your pharmacy</w:t>
            </w:r>
            <w:r>
              <w:rPr>
                <w:spacing w:val="-2"/>
                <w:sz w:val="18"/>
              </w:rPr>
              <w:t> </w:t>
            </w:r>
            <w:r>
              <w:rPr>
                <w:sz w:val="18"/>
              </w:rPr>
              <w:t>prior to</w:t>
            </w:r>
            <w:r>
              <w:rPr>
                <w:spacing w:val="-2"/>
                <w:sz w:val="18"/>
              </w:rPr>
              <w:t> </w:t>
            </w:r>
            <w:r>
              <w:rPr>
                <w:sz w:val="18"/>
              </w:rPr>
              <w:t>the Trial</w:t>
            </w:r>
            <w:r>
              <w:rPr>
                <w:spacing w:val="-1"/>
                <w:sz w:val="18"/>
              </w:rPr>
              <w:t> </w:t>
            </w:r>
            <w:r>
              <w:rPr>
                <w:sz w:val="18"/>
              </w:rPr>
              <w:t>Program?</w:t>
            </w:r>
          </w:p>
        </w:tc>
      </w:tr>
    </w:tbl>
    <w:p>
      <w:pPr>
        <w:spacing w:after="0" w:line="220" w:lineRule="atLeast"/>
        <w:jc w:val="left"/>
        <w:rPr>
          <w:sz w:val="18"/>
        </w:rPr>
        <w:sectPr>
          <w:type w:val="continuous"/>
          <w:pgSz w:w="11910" w:h="16840"/>
          <w:pgMar w:header="0" w:footer="948" w:top="1420" w:bottom="1670" w:left="300" w:right="0"/>
        </w:sectPr>
      </w:pPr>
    </w:p>
    <w:tbl>
      <w:tblPr>
        <w:tblW w:w="0" w:type="auto"/>
        <w:jc w:val="left"/>
        <w:tblInd w:w="11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980"/>
        <w:gridCol w:w="7038"/>
      </w:tblGrid>
      <w:tr>
        <w:trPr>
          <w:trHeight w:val="220" w:hRule="atLeast"/>
        </w:trPr>
        <w:tc>
          <w:tcPr>
            <w:tcW w:w="1980" w:type="dxa"/>
            <w:shd w:val="clear" w:color="auto" w:fill="003C79"/>
          </w:tcPr>
          <w:p>
            <w:pPr>
              <w:pStyle w:val="TableParagraph"/>
              <w:spacing w:line="201" w:lineRule="exact"/>
              <w:ind w:left="107"/>
              <w:rPr>
                <w:b/>
                <w:sz w:val="18"/>
              </w:rPr>
            </w:pPr>
            <w:r>
              <w:rPr>
                <w:b/>
                <w:color w:val="FFFFFF"/>
                <w:sz w:val="18"/>
              </w:rPr>
              <w:t>Topic</w:t>
            </w:r>
          </w:p>
        </w:tc>
        <w:tc>
          <w:tcPr>
            <w:tcW w:w="7038" w:type="dxa"/>
            <w:shd w:val="clear" w:color="auto" w:fill="003C79"/>
          </w:tcPr>
          <w:p>
            <w:pPr>
              <w:pStyle w:val="TableParagraph"/>
              <w:spacing w:line="201" w:lineRule="exact"/>
              <w:ind w:left="107"/>
              <w:rPr>
                <w:b/>
                <w:sz w:val="18"/>
              </w:rPr>
            </w:pPr>
            <w:r>
              <w:rPr>
                <w:b/>
                <w:color w:val="FFFFFF"/>
                <w:sz w:val="18"/>
              </w:rPr>
              <w:t>Question</w:t>
            </w:r>
          </w:p>
        </w:tc>
      </w:tr>
      <w:tr>
        <w:trPr>
          <w:trHeight w:val="422" w:hRule="atLeast"/>
        </w:trPr>
        <w:tc>
          <w:tcPr>
            <w:tcW w:w="1980" w:type="dxa"/>
          </w:tcPr>
          <w:p>
            <w:pPr>
              <w:pStyle w:val="TableParagraph"/>
              <w:rPr>
                <w:rFonts w:ascii="Times New Roman"/>
                <w:sz w:val="18"/>
              </w:rPr>
            </w:pPr>
          </w:p>
        </w:tc>
        <w:tc>
          <w:tcPr>
            <w:tcW w:w="7038" w:type="dxa"/>
          </w:tcPr>
          <w:p>
            <w:pPr>
              <w:pStyle w:val="TableParagraph"/>
              <w:numPr>
                <w:ilvl w:val="0"/>
                <w:numId w:val="251"/>
              </w:numPr>
              <w:tabs>
                <w:tab w:pos="279" w:val="left" w:leader="none"/>
              </w:tabs>
              <w:spacing w:line="219" w:lineRule="exact" w:before="0" w:after="0"/>
              <w:ind w:left="278" w:right="0" w:hanging="172"/>
              <w:jc w:val="left"/>
              <w:rPr>
                <w:sz w:val="18"/>
              </w:rPr>
            </w:pPr>
            <w:r>
              <w:rPr>
                <w:sz w:val="18"/>
              </w:rPr>
              <w:t>What</w:t>
            </w:r>
            <w:r>
              <w:rPr>
                <w:spacing w:val="-2"/>
                <w:sz w:val="18"/>
              </w:rPr>
              <w:t> </w:t>
            </w:r>
            <w:r>
              <w:rPr>
                <w:sz w:val="18"/>
              </w:rPr>
              <w:t>training</w:t>
            </w:r>
            <w:r>
              <w:rPr>
                <w:spacing w:val="-4"/>
                <w:sz w:val="18"/>
              </w:rPr>
              <w:t> </w:t>
            </w:r>
            <w:r>
              <w:rPr>
                <w:sz w:val="18"/>
              </w:rPr>
              <w:t>did</w:t>
            </w:r>
            <w:r>
              <w:rPr>
                <w:spacing w:val="-3"/>
                <w:sz w:val="18"/>
              </w:rPr>
              <w:t> </w:t>
            </w:r>
            <w:r>
              <w:rPr>
                <w:sz w:val="18"/>
              </w:rPr>
              <w:t>you</w:t>
            </w:r>
            <w:r>
              <w:rPr>
                <w:spacing w:val="-4"/>
                <w:sz w:val="18"/>
              </w:rPr>
              <w:t> </w:t>
            </w:r>
            <w:r>
              <w:rPr>
                <w:sz w:val="18"/>
              </w:rPr>
              <w:t>participate</w:t>
            </w:r>
            <w:r>
              <w:rPr>
                <w:spacing w:val="-4"/>
                <w:sz w:val="18"/>
              </w:rPr>
              <w:t> </w:t>
            </w:r>
            <w:r>
              <w:rPr>
                <w:sz w:val="18"/>
              </w:rPr>
              <w:t>in</w:t>
            </w:r>
            <w:r>
              <w:rPr>
                <w:spacing w:val="-4"/>
                <w:sz w:val="18"/>
              </w:rPr>
              <w:t> </w:t>
            </w:r>
            <w:r>
              <w:rPr>
                <w:sz w:val="18"/>
              </w:rPr>
              <w:t>for</w:t>
            </w:r>
            <w:r>
              <w:rPr>
                <w:spacing w:val="-2"/>
                <w:sz w:val="18"/>
              </w:rPr>
              <w:t> </w:t>
            </w:r>
            <w:r>
              <w:rPr>
                <w:sz w:val="18"/>
              </w:rPr>
              <w:t>the</w:t>
            </w:r>
            <w:r>
              <w:rPr>
                <w:spacing w:val="-3"/>
                <w:sz w:val="18"/>
              </w:rPr>
              <w:t> </w:t>
            </w:r>
            <w:r>
              <w:rPr>
                <w:sz w:val="18"/>
              </w:rPr>
              <w:t>Trial</w:t>
            </w:r>
            <w:r>
              <w:rPr>
                <w:spacing w:val="-2"/>
                <w:sz w:val="18"/>
              </w:rPr>
              <w:t> </w:t>
            </w:r>
            <w:r>
              <w:rPr>
                <w:sz w:val="18"/>
              </w:rPr>
              <w:t>Program?</w:t>
            </w:r>
          </w:p>
        </w:tc>
      </w:tr>
      <w:tr>
        <w:trPr>
          <w:trHeight w:val="2406" w:hRule="atLeast"/>
        </w:trPr>
        <w:tc>
          <w:tcPr>
            <w:tcW w:w="1980" w:type="dxa"/>
          </w:tcPr>
          <w:p>
            <w:pPr>
              <w:pStyle w:val="TableParagraph"/>
              <w:ind w:left="107" w:right="235"/>
              <w:rPr>
                <w:sz w:val="18"/>
              </w:rPr>
            </w:pPr>
            <w:r>
              <w:rPr>
                <w:sz w:val="18"/>
              </w:rPr>
              <w:t>Collaboration with</w:t>
            </w:r>
            <w:r>
              <w:rPr>
                <w:spacing w:val="-47"/>
                <w:sz w:val="18"/>
              </w:rPr>
              <w:t> </w:t>
            </w:r>
            <w:r>
              <w:rPr>
                <w:sz w:val="18"/>
              </w:rPr>
              <w:t>GP</w:t>
            </w:r>
          </w:p>
        </w:tc>
        <w:tc>
          <w:tcPr>
            <w:tcW w:w="7038" w:type="dxa"/>
          </w:tcPr>
          <w:p>
            <w:pPr>
              <w:pStyle w:val="TableParagraph"/>
              <w:numPr>
                <w:ilvl w:val="0"/>
                <w:numId w:val="252"/>
              </w:numPr>
              <w:tabs>
                <w:tab w:pos="276" w:val="left" w:leader="none"/>
              </w:tabs>
              <w:spacing w:line="219" w:lineRule="exact" w:before="0" w:after="0"/>
              <w:ind w:left="275" w:right="0" w:hanging="169"/>
              <w:jc w:val="left"/>
              <w:rPr>
                <w:sz w:val="18"/>
              </w:rPr>
            </w:pPr>
            <w:r>
              <w:rPr>
                <w:sz w:val="18"/>
              </w:rPr>
              <w:t>How</w:t>
            </w:r>
            <w:r>
              <w:rPr>
                <w:spacing w:val="-4"/>
                <w:sz w:val="18"/>
              </w:rPr>
              <w:t> </w:t>
            </w:r>
            <w:r>
              <w:rPr>
                <w:sz w:val="18"/>
              </w:rPr>
              <w:t>are</w:t>
            </w:r>
            <w:r>
              <w:rPr>
                <w:spacing w:val="-3"/>
                <w:sz w:val="18"/>
              </w:rPr>
              <w:t> </w:t>
            </w:r>
            <w:r>
              <w:rPr>
                <w:sz w:val="18"/>
              </w:rPr>
              <w:t>patients</w:t>
            </w:r>
            <w:r>
              <w:rPr>
                <w:spacing w:val="-3"/>
                <w:sz w:val="18"/>
              </w:rPr>
              <w:t> </w:t>
            </w:r>
            <w:r>
              <w:rPr>
                <w:sz w:val="18"/>
              </w:rPr>
              <w:t>referred</w:t>
            </w:r>
            <w:r>
              <w:rPr>
                <w:spacing w:val="-3"/>
                <w:sz w:val="18"/>
              </w:rPr>
              <w:t> </w:t>
            </w:r>
            <w:r>
              <w:rPr>
                <w:sz w:val="18"/>
              </w:rPr>
              <w:t>to</w:t>
            </w:r>
            <w:r>
              <w:rPr>
                <w:spacing w:val="-2"/>
                <w:sz w:val="18"/>
              </w:rPr>
              <w:t> </w:t>
            </w:r>
            <w:r>
              <w:rPr>
                <w:sz w:val="18"/>
              </w:rPr>
              <w:t>you</w:t>
            </w:r>
            <w:r>
              <w:rPr>
                <w:spacing w:val="-2"/>
                <w:sz w:val="18"/>
              </w:rPr>
              <w:t> </w:t>
            </w:r>
            <w:r>
              <w:rPr>
                <w:sz w:val="18"/>
              </w:rPr>
              <w:t>by</w:t>
            </w:r>
            <w:r>
              <w:rPr>
                <w:spacing w:val="-3"/>
                <w:sz w:val="18"/>
              </w:rPr>
              <w:t> </w:t>
            </w:r>
            <w:r>
              <w:rPr>
                <w:sz w:val="18"/>
              </w:rPr>
              <w:t>the</w:t>
            </w:r>
            <w:r>
              <w:rPr>
                <w:spacing w:val="-2"/>
                <w:sz w:val="18"/>
              </w:rPr>
              <w:t> </w:t>
            </w:r>
            <w:r>
              <w:rPr>
                <w:sz w:val="18"/>
              </w:rPr>
              <w:t>GP?</w:t>
            </w:r>
          </w:p>
          <w:p>
            <w:pPr>
              <w:pStyle w:val="TableParagraph"/>
              <w:numPr>
                <w:ilvl w:val="0"/>
                <w:numId w:val="252"/>
              </w:numPr>
              <w:tabs>
                <w:tab w:pos="276" w:val="left" w:leader="none"/>
              </w:tabs>
              <w:spacing w:line="240" w:lineRule="auto" w:before="0" w:after="0"/>
              <w:ind w:left="275" w:right="317" w:hanging="168"/>
              <w:jc w:val="left"/>
              <w:rPr>
                <w:sz w:val="18"/>
              </w:rPr>
            </w:pPr>
            <w:r>
              <w:rPr>
                <w:sz w:val="18"/>
              </w:rPr>
              <w:t>Are</w:t>
            </w:r>
            <w:r>
              <w:rPr>
                <w:spacing w:val="-2"/>
                <w:sz w:val="18"/>
              </w:rPr>
              <w:t> </w:t>
            </w:r>
            <w:r>
              <w:rPr>
                <w:sz w:val="18"/>
              </w:rPr>
              <w:t>the</w:t>
            </w:r>
            <w:r>
              <w:rPr>
                <w:spacing w:val="-2"/>
                <w:sz w:val="18"/>
              </w:rPr>
              <w:t> </w:t>
            </w:r>
            <w:r>
              <w:rPr>
                <w:sz w:val="18"/>
              </w:rPr>
              <w:t>practices</w:t>
            </w:r>
            <w:r>
              <w:rPr>
                <w:spacing w:val="-3"/>
                <w:sz w:val="18"/>
              </w:rPr>
              <w:t> </w:t>
            </w:r>
            <w:r>
              <w:rPr>
                <w:sz w:val="18"/>
              </w:rPr>
              <w:t>referring</w:t>
            </w:r>
            <w:r>
              <w:rPr>
                <w:spacing w:val="-5"/>
                <w:sz w:val="18"/>
              </w:rPr>
              <w:t> </w:t>
            </w:r>
            <w:r>
              <w:rPr>
                <w:sz w:val="18"/>
              </w:rPr>
              <w:t>the</w:t>
            </w:r>
            <w:r>
              <w:rPr>
                <w:spacing w:val="-2"/>
                <w:sz w:val="18"/>
              </w:rPr>
              <w:t> </w:t>
            </w:r>
            <w:r>
              <w:rPr>
                <w:sz w:val="18"/>
              </w:rPr>
              <w:t>right</w:t>
            </w:r>
            <w:r>
              <w:rPr>
                <w:spacing w:val="-4"/>
                <w:sz w:val="18"/>
              </w:rPr>
              <w:t> </w:t>
            </w:r>
            <w:r>
              <w:rPr>
                <w:sz w:val="18"/>
              </w:rPr>
              <w:t>sort</w:t>
            </w:r>
            <w:r>
              <w:rPr>
                <w:spacing w:val="-4"/>
                <w:sz w:val="18"/>
              </w:rPr>
              <w:t> </w:t>
            </w:r>
            <w:r>
              <w:rPr>
                <w:sz w:val="18"/>
              </w:rPr>
              <w:t>of</w:t>
            </w:r>
            <w:r>
              <w:rPr>
                <w:spacing w:val="-2"/>
                <w:sz w:val="18"/>
              </w:rPr>
              <w:t> </w:t>
            </w:r>
            <w:r>
              <w:rPr>
                <w:sz w:val="18"/>
              </w:rPr>
              <w:t>patients</w:t>
            </w:r>
            <w:r>
              <w:rPr>
                <w:spacing w:val="-3"/>
                <w:sz w:val="18"/>
              </w:rPr>
              <w:t> </w:t>
            </w:r>
            <w:r>
              <w:rPr>
                <w:sz w:val="18"/>
              </w:rPr>
              <w:t>to</w:t>
            </w:r>
            <w:r>
              <w:rPr>
                <w:spacing w:val="-2"/>
                <w:sz w:val="18"/>
              </w:rPr>
              <w:t> </w:t>
            </w:r>
            <w:r>
              <w:rPr>
                <w:sz w:val="18"/>
              </w:rPr>
              <w:t>you</w:t>
            </w:r>
            <w:r>
              <w:rPr>
                <w:spacing w:val="-2"/>
                <w:sz w:val="18"/>
              </w:rPr>
              <w:t> </w:t>
            </w:r>
            <w:r>
              <w:rPr>
                <w:sz w:val="18"/>
              </w:rPr>
              <w:t>to</w:t>
            </w:r>
            <w:r>
              <w:rPr>
                <w:spacing w:val="-4"/>
                <w:sz w:val="18"/>
              </w:rPr>
              <w:t> </w:t>
            </w:r>
            <w:r>
              <w:rPr>
                <w:sz w:val="18"/>
              </w:rPr>
              <w:t>receive</w:t>
            </w:r>
            <w:r>
              <w:rPr>
                <w:spacing w:val="-2"/>
                <w:sz w:val="18"/>
              </w:rPr>
              <w:t> </w:t>
            </w:r>
            <w:r>
              <w:rPr>
                <w:sz w:val="18"/>
              </w:rPr>
              <w:t>these</w:t>
            </w:r>
            <w:r>
              <w:rPr>
                <w:spacing w:val="-47"/>
                <w:sz w:val="18"/>
              </w:rPr>
              <w:t> </w:t>
            </w:r>
            <w:r>
              <w:rPr>
                <w:sz w:val="18"/>
              </w:rPr>
              <w:t>services?</w:t>
            </w:r>
            <w:r>
              <w:rPr>
                <w:spacing w:val="-4"/>
                <w:sz w:val="18"/>
              </w:rPr>
              <w:t> </w:t>
            </w:r>
            <w:r>
              <w:rPr>
                <w:sz w:val="18"/>
              </w:rPr>
              <w:t>If yes,</w:t>
            </w:r>
            <w:r>
              <w:rPr>
                <w:spacing w:val="-4"/>
                <w:sz w:val="18"/>
              </w:rPr>
              <w:t> </w:t>
            </w:r>
            <w:r>
              <w:rPr>
                <w:sz w:val="18"/>
              </w:rPr>
              <w:t>what</w:t>
            </w:r>
            <w:r>
              <w:rPr>
                <w:spacing w:val="-2"/>
                <w:sz w:val="18"/>
              </w:rPr>
              <w:t> </w:t>
            </w:r>
            <w:r>
              <w:rPr>
                <w:sz w:val="18"/>
              </w:rPr>
              <w:t>does</w:t>
            </w:r>
            <w:r>
              <w:rPr>
                <w:spacing w:val="-2"/>
                <w:sz w:val="18"/>
              </w:rPr>
              <w:t> </w:t>
            </w:r>
            <w:r>
              <w:rPr>
                <w:sz w:val="18"/>
              </w:rPr>
              <w:t>this</w:t>
            </w:r>
            <w:r>
              <w:rPr>
                <w:spacing w:val="-1"/>
                <w:sz w:val="18"/>
              </w:rPr>
              <w:t> </w:t>
            </w:r>
            <w:r>
              <w:rPr>
                <w:sz w:val="18"/>
              </w:rPr>
              <w:t>mean?</w:t>
            </w:r>
            <w:r>
              <w:rPr>
                <w:spacing w:val="-4"/>
                <w:sz w:val="18"/>
              </w:rPr>
              <w:t> </w:t>
            </w:r>
            <w:r>
              <w:rPr>
                <w:sz w:val="18"/>
              </w:rPr>
              <w:t>If not,</w:t>
            </w:r>
            <w:r>
              <w:rPr>
                <w:spacing w:val="-2"/>
                <w:sz w:val="18"/>
              </w:rPr>
              <w:t> </w:t>
            </w:r>
            <w:r>
              <w:rPr>
                <w:sz w:val="18"/>
              </w:rPr>
              <w:t>what</w:t>
            </w:r>
            <w:r>
              <w:rPr>
                <w:spacing w:val="-3"/>
                <w:sz w:val="18"/>
              </w:rPr>
              <w:t> </w:t>
            </w:r>
            <w:r>
              <w:rPr>
                <w:sz w:val="18"/>
              </w:rPr>
              <w:t>are the</w:t>
            </w:r>
            <w:r>
              <w:rPr>
                <w:spacing w:val="-3"/>
                <w:sz w:val="18"/>
              </w:rPr>
              <w:t> </w:t>
            </w:r>
            <w:r>
              <w:rPr>
                <w:sz w:val="18"/>
              </w:rPr>
              <w:t>issues?</w:t>
            </w:r>
          </w:p>
          <w:p>
            <w:pPr>
              <w:pStyle w:val="TableParagraph"/>
              <w:numPr>
                <w:ilvl w:val="0"/>
                <w:numId w:val="252"/>
              </w:numPr>
              <w:tabs>
                <w:tab w:pos="276" w:val="left" w:leader="none"/>
              </w:tabs>
              <w:spacing w:line="240" w:lineRule="auto" w:before="0" w:after="0"/>
              <w:ind w:left="275" w:right="0" w:hanging="169"/>
              <w:jc w:val="left"/>
              <w:rPr>
                <w:sz w:val="18"/>
              </w:rPr>
            </w:pPr>
            <w:r>
              <w:rPr>
                <w:sz w:val="18"/>
              </w:rPr>
              <w:t>How</w:t>
            </w:r>
            <w:r>
              <w:rPr>
                <w:spacing w:val="-4"/>
                <w:sz w:val="18"/>
              </w:rPr>
              <w:t> </w:t>
            </w:r>
            <w:r>
              <w:rPr>
                <w:sz w:val="18"/>
              </w:rPr>
              <w:t>do</w:t>
            </w:r>
            <w:r>
              <w:rPr>
                <w:spacing w:val="-2"/>
                <w:sz w:val="18"/>
              </w:rPr>
              <w:t> </w:t>
            </w:r>
            <w:r>
              <w:rPr>
                <w:sz w:val="18"/>
              </w:rPr>
              <w:t>you</w:t>
            </w:r>
            <w:r>
              <w:rPr>
                <w:spacing w:val="-2"/>
                <w:sz w:val="18"/>
              </w:rPr>
              <w:t> </w:t>
            </w:r>
            <w:r>
              <w:rPr>
                <w:sz w:val="18"/>
              </w:rPr>
              <w:t>work</w:t>
            </w:r>
            <w:r>
              <w:rPr>
                <w:spacing w:val="-1"/>
                <w:sz w:val="18"/>
              </w:rPr>
              <w:t> </w:t>
            </w:r>
            <w:r>
              <w:rPr>
                <w:sz w:val="18"/>
              </w:rPr>
              <w:t>with</w:t>
            </w:r>
            <w:r>
              <w:rPr>
                <w:spacing w:val="-1"/>
                <w:sz w:val="18"/>
              </w:rPr>
              <w:t> </w:t>
            </w:r>
            <w:r>
              <w:rPr>
                <w:sz w:val="18"/>
              </w:rPr>
              <w:t>the</w:t>
            </w:r>
            <w:r>
              <w:rPr>
                <w:spacing w:val="-4"/>
                <w:sz w:val="18"/>
              </w:rPr>
              <w:t> </w:t>
            </w:r>
            <w:r>
              <w:rPr>
                <w:sz w:val="18"/>
              </w:rPr>
              <w:t>GPs?</w:t>
            </w:r>
          </w:p>
          <w:p>
            <w:pPr>
              <w:pStyle w:val="TableParagraph"/>
              <w:numPr>
                <w:ilvl w:val="0"/>
                <w:numId w:val="252"/>
              </w:numPr>
              <w:tabs>
                <w:tab w:pos="276" w:val="left" w:leader="none"/>
              </w:tabs>
              <w:spacing w:line="220" w:lineRule="exact" w:before="0" w:after="0"/>
              <w:ind w:left="275" w:right="0" w:hanging="169"/>
              <w:jc w:val="left"/>
              <w:rPr>
                <w:sz w:val="18"/>
              </w:rPr>
            </w:pPr>
            <w:r>
              <w:rPr>
                <w:sz w:val="18"/>
              </w:rPr>
              <w:t>How</w:t>
            </w:r>
            <w:r>
              <w:rPr>
                <w:spacing w:val="-4"/>
                <w:sz w:val="18"/>
              </w:rPr>
              <w:t> </w:t>
            </w:r>
            <w:r>
              <w:rPr>
                <w:sz w:val="18"/>
              </w:rPr>
              <w:t>often</w:t>
            </w:r>
            <w:r>
              <w:rPr>
                <w:spacing w:val="-2"/>
                <w:sz w:val="18"/>
              </w:rPr>
              <w:t> </w:t>
            </w:r>
            <w:r>
              <w:rPr>
                <w:sz w:val="18"/>
              </w:rPr>
              <w:t>would</w:t>
            </w:r>
            <w:r>
              <w:rPr>
                <w:spacing w:val="-3"/>
                <w:sz w:val="18"/>
              </w:rPr>
              <w:t> </w:t>
            </w:r>
            <w:r>
              <w:rPr>
                <w:sz w:val="18"/>
              </w:rPr>
              <w:t>you</w:t>
            </w:r>
            <w:r>
              <w:rPr>
                <w:spacing w:val="-2"/>
                <w:sz w:val="18"/>
              </w:rPr>
              <w:t> </w:t>
            </w:r>
            <w:r>
              <w:rPr>
                <w:sz w:val="18"/>
              </w:rPr>
              <w:t>be</w:t>
            </w:r>
            <w:r>
              <w:rPr>
                <w:spacing w:val="-4"/>
                <w:sz w:val="18"/>
              </w:rPr>
              <w:t> </w:t>
            </w:r>
            <w:r>
              <w:rPr>
                <w:sz w:val="18"/>
              </w:rPr>
              <w:t>in</w:t>
            </w:r>
            <w:r>
              <w:rPr>
                <w:spacing w:val="-4"/>
                <w:sz w:val="18"/>
              </w:rPr>
              <w:t> </w:t>
            </w:r>
            <w:r>
              <w:rPr>
                <w:sz w:val="18"/>
              </w:rPr>
              <w:t>contact</w:t>
            </w:r>
            <w:r>
              <w:rPr>
                <w:spacing w:val="-4"/>
                <w:sz w:val="18"/>
              </w:rPr>
              <w:t> </w:t>
            </w:r>
            <w:r>
              <w:rPr>
                <w:sz w:val="18"/>
              </w:rPr>
              <w:t>typically</w:t>
            </w:r>
            <w:r>
              <w:rPr>
                <w:spacing w:val="-3"/>
                <w:sz w:val="18"/>
              </w:rPr>
              <w:t> </w:t>
            </w:r>
            <w:r>
              <w:rPr>
                <w:sz w:val="18"/>
              </w:rPr>
              <w:t>with</w:t>
            </w:r>
            <w:r>
              <w:rPr>
                <w:spacing w:val="-2"/>
                <w:sz w:val="18"/>
              </w:rPr>
              <w:t> </w:t>
            </w:r>
            <w:r>
              <w:rPr>
                <w:sz w:val="18"/>
              </w:rPr>
              <w:t>a</w:t>
            </w:r>
            <w:r>
              <w:rPr>
                <w:spacing w:val="-2"/>
                <w:sz w:val="18"/>
              </w:rPr>
              <w:t> </w:t>
            </w:r>
            <w:r>
              <w:rPr>
                <w:sz w:val="18"/>
              </w:rPr>
              <w:t>patient’s</w:t>
            </w:r>
            <w:r>
              <w:rPr>
                <w:spacing w:val="-3"/>
                <w:sz w:val="18"/>
              </w:rPr>
              <w:t> </w:t>
            </w:r>
            <w:r>
              <w:rPr>
                <w:sz w:val="18"/>
              </w:rPr>
              <w:t>GP?</w:t>
            </w:r>
          </w:p>
          <w:p>
            <w:pPr>
              <w:pStyle w:val="TableParagraph"/>
              <w:numPr>
                <w:ilvl w:val="0"/>
                <w:numId w:val="252"/>
              </w:numPr>
              <w:tabs>
                <w:tab w:pos="276" w:val="left" w:leader="none"/>
              </w:tabs>
              <w:spacing w:line="240" w:lineRule="auto" w:before="0" w:after="0"/>
              <w:ind w:left="275" w:right="475" w:hanging="168"/>
              <w:jc w:val="left"/>
              <w:rPr>
                <w:sz w:val="18"/>
              </w:rPr>
            </w:pPr>
            <w:r>
              <w:rPr>
                <w:sz w:val="18"/>
              </w:rPr>
              <w:t>Is</w:t>
            </w:r>
            <w:r>
              <w:rPr>
                <w:spacing w:val="-3"/>
                <w:sz w:val="18"/>
              </w:rPr>
              <w:t> </w:t>
            </w:r>
            <w:r>
              <w:rPr>
                <w:sz w:val="18"/>
              </w:rPr>
              <w:t>this</w:t>
            </w:r>
            <w:r>
              <w:rPr>
                <w:spacing w:val="-2"/>
                <w:sz w:val="18"/>
              </w:rPr>
              <w:t> </w:t>
            </w:r>
            <w:r>
              <w:rPr>
                <w:sz w:val="18"/>
              </w:rPr>
              <w:t>more,</w:t>
            </w:r>
            <w:r>
              <w:rPr>
                <w:spacing w:val="-3"/>
                <w:sz w:val="18"/>
              </w:rPr>
              <w:t> </w:t>
            </w:r>
            <w:r>
              <w:rPr>
                <w:sz w:val="18"/>
              </w:rPr>
              <w:t>less or</w:t>
            </w:r>
            <w:r>
              <w:rPr>
                <w:spacing w:val="-2"/>
                <w:sz w:val="18"/>
              </w:rPr>
              <w:t> </w:t>
            </w:r>
            <w:r>
              <w:rPr>
                <w:sz w:val="18"/>
              </w:rPr>
              <w:t>about</w:t>
            </w:r>
            <w:r>
              <w:rPr>
                <w:spacing w:val="-3"/>
                <w:sz w:val="18"/>
              </w:rPr>
              <w:t> </w:t>
            </w:r>
            <w:r>
              <w:rPr>
                <w:sz w:val="18"/>
              </w:rPr>
              <w:t>the</w:t>
            </w:r>
            <w:r>
              <w:rPr>
                <w:spacing w:val="-1"/>
                <w:sz w:val="18"/>
              </w:rPr>
              <w:t> </w:t>
            </w:r>
            <w:r>
              <w:rPr>
                <w:sz w:val="18"/>
              </w:rPr>
              <w:t>same</w:t>
            </w:r>
            <w:r>
              <w:rPr>
                <w:spacing w:val="-1"/>
                <w:sz w:val="18"/>
              </w:rPr>
              <w:t> </w:t>
            </w:r>
            <w:r>
              <w:rPr>
                <w:sz w:val="18"/>
              </w:rPr>
              <w:t>as</w:t>
            </w:r>
            <w:r>
              <w:rPr>
                <w:spacing w:val="-3"/>
                <w:sz w:val="18"/>
              </w:rPr>
              <w:t> </w:t>
            </w:r>
            <w:r>
              <w:rPr>
                <w:sz w:val="18"/>
              </w:rPr>
              <w:t>contact</w:t>
            </w:r>
            <w:r>
              <w:rPr>
                <w:spacing w:val="-3"/>
                <w:sz w:val="18"/>
              </w:rPr>
              <w:t> </w:t>
            </w:r>
            <w:r>
              <w:rPr>
                <w:sz w:val="18"/>
              </w:rPr>
              <w:t>that</w:t>
            </w:r>
            <w:r>
              <w:rPr>
                <w:spacing w:val="-3"/>
                <w:sz w:val="18"/>
              </w:rPr>
              <w:t> </w:t>
            </w:r>
            <w:r>
              <w:rPr>
                <w:sz w:val="18"/>
              </w:rPr>
              <w:t>you</w:t>
            </w:r>
            <w:r>
              <w:rPr>
                <w:spacing w:val="-1"/>
                <w:sz w:val="18"/>
              </w:rPr>
              <w:t> </w:t>
            </w:r>
            <w:r>
              <w:rPr>
                <w:sz w:val="18"/>
              </w:rPr>
              <w:t>would</w:t>
            </w:r>
            <w:r>
              <w:rPr>
                <w:spacing w:val="-2"/>
                <w:sz w:val="18"/>
              </w:rPr>
              <w:t> </w:t>
            </w:r>
            <w:r>
              <w:rPr>
                <w:sz w:val="18"/>
              </w:rPr>
              <w:t>have</w:t>
            </w:r>
            <w:r>
              <w:rPr>
                <w:spacing w:val="-2"/>
                <w:sz w:val="18"/>
              </w:rPr>
              <w:t> </w:t>
            </w:r>
            <w:r>
              <w:rPr>
                <w:sz w:val="18"/>
              </w:rPr>
              <w:t>had</w:t>
            </w:r>
            <w:r>
              <w:rPr>
                <w:spacing w:val="-47"/>
                <w:sz w:val="18"/>
              </w:rPr>
              <w:t> </w:t>
            </w:r>
            <w:r>
              <w:rPr>
                <w:sz w:val="18"/>
              </w:rPr>
              <w:t>previously under different initiatives (e.g. Home Medicine Review,</w:t>
            </w:r>
            <w:r>
              <w:rPr>
                <w:spacing w:val="1"/>
                <w:sz w:val="18"/>
              </w:rPr>
              <w:t> </w:t>
            </w:r>
            <w:r>
              <w:rPr>
                <w:sz w:val="18"/>
              </w:rPr>
              <w:t>MedsCheck)?</w:t>
            </w:r>
          </w:p>
          <w:p>
            <w:pPr>
              <w:pStyle w:val="TableParagraph"/>
              <w:numPr>
                <w:ilvl w:val="0"/>
                <w:numId w:val="252"/>
              </w:numPr>
              <w:tabs>
                <w:tab w:pos="276" w:val="left" w:leader="none"/>
              </w:tabs>
              <w:spacing w:line="240" w:lineRule="auto" w:before="0" w:after="0"/>
              <w:ind w:left="275" w:right="0" w:hanging="169"/>
              <w:jc w:val="left"/>
              <w:rPr>
                <w:sz w:val="18"/>
              </w:rPr>
            </w:pPr>
            <w:r>
              <w:rPr>
                <w:sz w:val="18"/>
              </w:rPr>
              <w:t>Is</w:t>
            </w:r>
            <w:r>
              <w:rPr>
                <w:spacing w:val="-3"/>
                <w:sz w:val="18"/>
              </w:rPr>
              <w:t> </w:t>
            </w:r>
            <w:r>
              <w:rPr>
                <w:sz w:val="18"/>
              </w:rPr>
              <w:t>there</w:t>
            </w:r>
            <w:r>
              <w:rPr>
                <w:spacing w:val="-1"/>
                <w:sz w:val="18"/>
              </w:rPr>
              <w:t> </w:t>
            </w:r>
            <w:r>
              <w:rPr>
                <w:sz w:val="18"/>
              </w:rPr>
              <w:t>any</w:t>
            </w:r>
            <w:r>
              <w:rPr>
                <w:spacing w:val="-3"/>
                <w:sz w:val="18"/>
              </w:rPr>
              <w:t> </w:t>
            </w:r>
            <w:r>
              <w:rPr>
                <w:sz w:val="18"/>
              </w:rPr>
              <w:t>overlap</w:t>
            </w:r>
            <w:r>
              <w:rPr>
                <w:spacing w:val="-2"/>
                <w:sz w:val="18"/>
              </w:rPr>
              <w:t> </w:t>
            </w:r>
            <w:r>
              <w:rPr>
                <w:sz w:val="18"/>
              </w:rPr>
              <w:t>between</w:t>
            </w:r>
            <w:r>
              <w:rPr>
                <w:spacing w:val="-2"/>
                <w:sz w:val="18"/>
              </w:rPr>
              <w:t> </w:t>
            </w:r>
            <w:r>
              <w:rPr>
                <w:sz w:val="18"/>
              </w:rPr>
              <w:t>what</w:t>
            </w:r>
            <w:r>
              <w:rPr>
                <w:spacing w:val="-3"/>
                <w:sz w:val="18"/>
              </w:rPr>
              <w:t> </w:t>
            </w:r>
            <w:r>
              <w:rPr>
                <w:sz w:val="18"/>
              </w:rPr>
              <w:t>you</w:t>
            </w:r>
            <w:r>
              <w:rPr>
                <w:spacing w:val="-2"/>
                <w:sz w:val="18"/>
              </w:rPr>
              <w:t> </w:t>
            </w:r>
            <w:r>
              <w:rPr>
                <w:sz w:val="18"/>
              </w:rPr>
              <w:t>do</w:t>
            </w:r>
            <w:r>
              <w:rPr>
                <w:spacing w:val="-2"/>
                <w:sz w:val="18"/>
              </w:rPr>
              <w:t> </w:t>
            </w:r>
            <w:r>
              <w:rPr>
                <w:sz w:val="18"/>
              </w:rPr>
              <w:t>and</w:t>
            </w:r>
            <w:r>
              <w:rPr>
                <w:spacing w:val="-2"/>
                <w:sz w:val="18"/>
              </w:rPr>
              <w:t> </w:t>
            </w:r>
            <w:r>
              <w:rPr>
                <w:sz w:val="18"/>
              </w:rPr>
              <w:t>what</w:t>
            </w:r>
            <w:r>
              <w:rPr>
                <w:spacing w:val="-4"/>
                <w:sz w:val="18"/>
              </w:rPr>
              <w:t> </w:t>
            </w:r>
            <w:r>
              <w:rPr>
                <w:sz w:val="18"/>
              </w:rPr>
              <w:t>the</w:t>
            </w:r>
            <w:r>
              <w:rPr>
                <w:spacing w:val="-1"/>
                <w:sz w:val="18"/>
              </w:rPr>
              <w:t> </w:t>
            </w:r>
            <w:r>
              <w:rPr>
                <w:sz w:val="18"/>
              </w:rPr>
              <w:t>GP</w:t>
            </w:r>
            <w:r>
              <w:rPr>
                <w:spacing w:val="-4"/>
                <w:sz w:val="18"/>
              </w:rPr>
              <w:t> </w:t>
            </w:r>
            <w:r>
              <w:rPr>
                <w:sz w:val="18"/>
              </w:rPr>
              <w:t>does?</w:t>
            </w:r>
          </w:p>
          <w:p>
            <w:pPr>
              <w:pStyle w:val="TableParagraph"/>
              <w:numPr>
                <w:ilvl w:val="0"/>
                <w:numId w:val="252"/>
              </w:numPr>
              <w:tabs>
                <w:tab w:pos="279" w:val="left" w:leader="none"/>
              </w:tabs>
              <w:spacing w:line="240" w:lineRule="auto" w:before="0" w:after="0"/>
              <w:ind w:left="278" w:right="0" w:hanging="172"/>
              <w:jc w:val="left"/>
              <w:rPr>
                <w:sz w:val="18"/>
              </w:rPr>
            </w:pPr>
            <w:r>
              <w:rPr>
                <w:sz w:val="18"/>
              </w:rPr>
              <w:t>Are</w:t>
            </w:r>
            <w:r>
              <w:rPr>
                <w:spacing w:val="-3"/>
                <w:sz w:val="18"/>
              </w:rPr>
              <w:t> </w:t>
            </w:r>
            <w:r>
              <w:rPr>
                <w:sz w:val="18"/>
              </w:rPr>
              <w:t>your</w:t>
            </w:r>
            <w:r>
              <w:rPr>
                <w:spacing w:val="-2"/>
                <w:sz w:val="18"/>
              </w:rPr>
              <w:t> </w:t>
            </w:r>
            <w:r>
              <w:rPr>
                <w:sz w:val="18"/>
              </w:rPr>
              <w:t>recommendations</w:t>
            </w:r>
            <w:r>
              <w:rPr>
                <w:spacing w:val="-2"/>
                <w:sz w:val="18"/>
              </w:rPr>
              <w:t> </w:t>
            </w:r>
            <w:r>
              <w:rPr>
                <w:sz w:val="18"/>
              </w:rPr>
              <w:t>for</w:t>
            </w:r>
            <w:r>
              <w:rPr>
                <w:spacing w:val="-2"/>
                <w:sz w:val="18"/>
              </w:rPr>
              <w:t> </w:t>
            </w:r>
            <w:r>
              <w:rPr>
                <w:sz w:val="18"/>
              </w:rPr>
              <w:t>your</w:t>
            </w:r>
            <w:r>
              <w:rPr>
                <w:spacing w:val="-2"/>
                <w:sz w:val="18"/>
              </w:rPr>
              <w:t> </w:t>
            </w:r>
            <w:r>
              <w:rPr>
                <w:sz w:val="18"/>
              </w:rPr>
              <w:t>patient</w:t>
            </w:r>
            <w:r>
              <w:rPr>
                <w:spacing w:val="-4"/>
                <w:sz w:val="18"/>
              </w:rPr>
              <w:t> </w:t>
            </w:r>
            <w:r>
              <w:rPr>
                <w:sz w:val="18"/>
              </w:rPr>
              <w:t>taken</w:t>
            </w:r>
            <w:r>
              <w:rPr>
                <w:spacing w:val="-4"/>
                <w:sz w:val="18"/>
              </w:rPr>
              <w:t> </w:t>
            </w:r>
            <w:r>
              <w:rPr>
                <w:sz w:val="18"/>
              </w:rPr>
              <w:t>up</w:t>
            </w:r>
            <w:r>
              <w:rPr>
                <w:spacing w:val="-3"/>
                <w:sz w:val="18"/>
              </w:rPr>
              <w:t> </w:t>
            </w:r>
            <w:r>
              <w:rPr>
                <w:sz w:val="18"/>
              </w:rPr>
              <w:t>by</w:t>
            </w:r>
            <w:r>
              <w:rPr>
                <w:spacing w:val="-6"/>
                <w:sz w:val="18"/>
              </w:rPr>
              <w:t> </w:t>
            </w:r>
            <w:r>
              <w:rPr>
                <w:sz w:val="18"/>
              </w:rPr>
              <w:t>their</w:t>
            </w:r>
            <w:r>
              <w:rPr>
                <w:spacing w:val="4"/>
                <w:sz w:val="18"/>
              </w:rPr>
              <w:t> </w:t>
            </w:r>
            <w:r>
              <w:rPr>
                <w:sz w:val="18"/>
              </w:rPr>
              <w:t>GP?</w:t>
            </w:r>
          </w:p>
        </w:tc>
      </w:tr>
      <w:tr>
        <w:trPr>
          <w:trHeight w:val="641" w:hRule="atLeast"/>
        </w:trPr>
        <w:tc>
          <w:tcPr>
            <w:tcW w:w="1980" w:type="dxa"/>
          </w:tcPr>
          <w:p>
            <w:pPr>
              <w:pStyle w:val="TableParagraph"/>
              <w:ind w:left="107" w:right="868"/>
              <w:rPr>
                <w:sz w:val="18"/>
              </w:rPr>
            </w:pPr>
            <w:r>
              <w:rPr>
                <w:sz w:val="18"/>
              </w:rPr>
              <w:t>Impact on</w:t>
            </w:r>
            <w:r>
              <w:rPr>
                <w:spacing w:val="1"/>
                <w:sz w:val="18"/>
              </w:rPr>
              <w:t> </w:t>
            </w:r>
            <w:r>
              <w:rPr>
                <w:spacing w:val="-1"/>
                <w:sz w:val="18"/>
              </w:rPr>
              <w:t>pharmacist</w:t>
            </w:r>
          </w:p>
        </w:tc>
        <w:tc>
          <w:tcPr>
            <w:tcW w:w="7038" w:type="dxa"/>
          </w:tcPr>
          <w:p>
            <w:pPr>
              <w:pStyle w:val="TableParagraph"/>
              <w:numPr>
                <w:ilvl w:val="0"/>
                <w:numId w:val="253"/>
              </w:numPr>
              <w:tabs>
                <w:tab w:pos="279" w:val="left" w:leader="none"/>
              </w:tabs>
              <w:spacing w:line="240" w:lineRule="auto" w:before="0" w:after="0"/>
              <w:ind w:left="278" w:right="540" w:hanging="171"/>
              <w:jc w:val="left"/>
              <w:rPr>
                <w:sz w:val="18"/>
              </w:rPr>
            </w:pPr>
            <w:r>
              <w:rPr>
                <w:sz w:val="18"/>
              </w:rPr>
              <w:t>What</w:t>
            </w:r>
            <w:r>
              <w:rPr>
                <w:spacing w:val="-5"/>
                <w:sz w:val="18"/>
              </w:rPr>
              <w:t> </w:t>
            </w:r>
            <w:r>
              <w:rPr>
                <w:sz w:val="18"/>
              </w:rPr>
              <w:t>changes</w:t>
            </w:r>
            <w:r>
              <w:rPr>
                <w:spacing w:val="-3"/>
                <w:sz w:val="18"/>
              </w:rPr>
              <w:t> </w:t>
            </w:r>
            <w:r>
              <w:rPr>
                <w:sz w:val="18"/>
              </w:rPr>
              <w:t>have</w:t>
            </w:r>
            <w:r>
              <w:rPr>
                <w:spacing w:val="-3"/>
                <w:sz w:val="18"/>
              </w:rPr>
              <w:t> </w:t>
            </w:r>
            <w:r>
              <w:rPr>
                <w:sz w:val="18"/>
              </w:rPr>
              <w:t>you/your</w:t>
            </w:r>
            <w:r>
              <w:rPr>
                <w:spacing w:val="-2"/>
                <w:sz w:val="18"/>
              </w:rPr>
              <w:t> </w:t>
            </w:r>
            <w:r>
              <w:rPr>
                <w:sz w:val="18"/>
              </w:rPr>
              <w:t>pharmacy</w:t>
            </w:r>
            <w:r>
              <w:rPr>
                <w:spacing w:val="-3"/>
                <w:sz w:val="18"/>
              </w:rPr>
              <w:t> </w:t>
            </w:r>
            <w:r>
              <w:rPr>
                <w:sz w:val="18"/>
              </w:rPr>
              <w:t>made</w:t>
            </w:r>
            <w:r>
              <w:rPr>
                <w:spacing w:val="-3"/>
                <w:sz w:val="18"/>
              </w:rPr>
              <w:t> </w:t>
            </w:r>
            <w:r>
              <w:rPr>
                <w:sz w:val="18"/>
              </w:rPr>
              <w:t>to</w:t>
            </w:r>
            <w:r>
              <w:rPr>
                <w:spacing w:val="-3"/>
                <w:sz w:val="18"/>
              </w:rPr>
              <w:t> </w:t>
            </w:r>
            <w:r>
              <w:rPr>
                <w:sz w:val="18"/>
              </w:rPr>
              <w:t>the</w:t>
            </w:r>
            <w:r>
              <w:rPr>
                <w:spacing w:val="-3"/>
                <w:sz w:val="18"/>
              </w:rPr>
              <w:t> </w:t>
            </w:r>
            <w:r>
              <w:rPr>
                <w:sz w:val="18"/>
              </w:rPr>
              <w:t>way</w:t>
            </w:r>
            <w:r>
              <w:rPr>
                <w:spacing w:val="-3"/>
                <w:sz w:val="18"/>
              </w:rPr>
              <w:t> </w:t>
            </w:r>
            <w:r>
              <w:rPr>
                <w:sz w:val="18"/>
              </w:rPr>
              <w:t>that</w:t>
            </w:r>
            <w:r>
              <w:rPr>
                <w:spacing w:val="-4"/>
                <w:sz w:val="18"/>
              </w:rPr>
              <w:t> </w:t>
            </w:r>
            <w:r>
              <w:rPr>
                <w:sz w:val="18"/>
              </w:rPr>
              <w:t>you</w:t>
            </w:r>
            <w:r>
              <w:rPr>
                <w:spacing w:val="-3"/>
                <w:sz w:val="18"/>
              </w:rPr>
              <w:t> </w:t>
            </w:r>
            <w:r>
              <w:rPr>
                <w:sz w:val="18"/>
              </w:rPr>
              <w:t>do</w:t>
            </w:r>
            <w:r>
              <w:rPr>
                <w:spacing w:val="-47"/>
                <w:sz w:val="18"/>
              </w:rPr>
              <w:t> </w:t>
            </w:r>
            <w:r>
              <w:rPr>
                <w:sz w:val="18"/>
              </w:rPr>
              <w:t>things</w:t>
            </w:r>
            <w:r>
              <w:rPr>
                <w:spacing w:val="-2"/>
                <w:sz w:val="18"/>
              </w:rPr>
              <w:t> </w:t>
            </w:r>
            <w:r>
              <w:rPr>
                <w:sz w:val="18"/>
              </w:rPr>
              <w:t>as</w:t>
            </w:r>
            <w:r>
              <w:rPr>
                <w:spacing w:val="-1"/>
                <w:sz w:val="18"/>
              </w:rPr>
              <w:t> </w:t>
            </w:r>
            <w:r>
              <w:rPr>
                <w:sz w:val="18"/>
              </w:rPr>
              <w:t>a</w:t>
            </w:r>
            <w:r>
              <w:rPr>
                <w:spacing w:val="-1"/>
                <w:sz w:val="18"/>
              </w:rPr>
              <w:t> </w:t>
            </w:r>
            <w:r>
              <w:rPr>
                <w:sz w:val="18"/>
              </w:rPr>
              <w:t>result</w:t>
            </w:r>
            <w:r>
              <w:rPr>
                <w:spacing w:val="-2"/>
                <w:sz w:val="18"/>
              </w:rPr>
              <w:t> </w:t>
            </w:r>
            <w:r>
              <w:rPr>
                <w:sz w:val="18"/>
              </w:rPr>
              <w:t>of the Trial</w:t>
            </w:r>
            <w:r>
              <w:rPr>
                <w:spacing w:val="-2"/>
                <w:sz w:val="18"/>
              </w:rPr>
              <w:t> </w:t>
            </w:r>
            <w:r>
              <w:rPr>
                <w:sz w:val="18"/>
              </w:rPr>
              <w:t>Program?</w:t>
            </w:r>
          </w:p>
        </w:tc>
      </w:tr>
      <w:tr>
        <w:trPr>
          <w:trHeight w:val="2627" w:hRule="atLeast"/>
        </w:trPr>
        <w:tc>
          <w:tcPr>
            <w:tcW w:w="1980" w:type="dxa"/>
          </w:tcPr>
          <w:p>
            <w:pPr>
              <w:pStyle w:val="TableParagraph"/>
              <w:ind w:left="107" w:right="194"/>
              <w:rPr>
                <w:sz w:val="18"/>
              </w:rPr>
            </w:pPr>
            <w:r>
              <w:rPr>
                <w:sz w:val="18"/>
              </w:rPr>
              <w:t>Medication</w:t>
            </w:r>
            <w:r>
              <w:rPr>
                <w:spacing w:val="1"/>
                <w:sz w:val="18"/>
              </w:rPr>
              <w:t> </w:t>
            </w:r>
            <w:r>
              <w:rPr>
                <w:sz w:val="18"/>
              </w:rPr>
              <w:t>Management</w:t>
            </w:r>
            <w:r>
              <w:rPr>
                <w:spacing w:val="-9"/>
                <w:sz w:val="18"/>
              </w:rPr>
              <w:t> </w:t>
            </w:r>
            <w:r>
              <w:rPr>
                <w:sz w:val="18"/>
              </w:rPr>
              <w:t>plan</w:t>
            </w:r>
          </w:p>
        </w:tc>
        <w:tc>
          <w:tcPr>
            <w:tcW w:w="7038" w:type="dxa"/>
          </w:tcPr>
          <w:p>
            <w:pPr>
              <w:pStyle w:val="TableParagraph"/>
              <w:numPr>
                <w:ilvl w:val="0"/>
                <w:numId w:val="254"/>
              </w:numPr>
              <w:tabs>
                <w:tab w:pos="279" w:val="left" w:leader="none"/>
              </w:tabs>
              <w:spacing w:line="219" w:lineRule="exact" w:before="0" w:after="0"/>
              <w:ind w:left="278" w:right="0" w:hanging="172"/>
              <w:jc w:val="left"/>
              <w:rPr>
                <w:sz w:val="18"/>
              </w:rPr>
            </w:pPr>
            <w:r>
              <w:rPr>
                <w:sz w:val="18"/>
              </w:rPr>
              <w:t>How</w:t>
            </w:r>
            <w:r>
              <w:rPr>
                <w:spacing w:val="-5"/>
                <w:sz w:val="18"/>
              </w:rPr>
              <w:t> </w:t>
            </w:r>
            <w:r>
              <w:rPr>
                <w:sz w:val="18"/>
              </w:rPr>
              <w:t>do</w:t>
            </w:r>
            <w:r>
              <w:rPr>
                <w:spacing w:val="-3"/>
                <w:sz w:val="18"/>
              </w:rPr>
              <w:t> </w:t>
            </w:r>
            <w:r>
              <w:rPr>
                <w:sz w:val="18"/>
              </w:rPr>
              <w:t>you</w:t>
            </w:r>
            <w:r>
              <w:rPr>
                <w:spacing w:val="-2"/>
                <w:sz w:val="18"/>
              </w:rPr>
              <w:t> </w:t>
            </w:r>
            <w:r>
              <w:rPr>
                <w:sz w:val="18"/>
              </w:rPr>
              <w:t>approach</w:t>
            </w:r>
            <w:r>
              <w:rPr>
                <w:spacing w:val="-2"/>
                <w:sz w:val="18"/>
              </w:rPr>
              <w:t> </w:t>
            </w:r>
            <w:r>
              <w:rPr>
                <w:sz w:val="18"/>
              </w:rPr>
              <w:t>developing</w:t>
            </w:r>
            <w:r>
              <w:rPr>
                <w:spacing w:val="-4"/>
                <w:sz w:val="18"/>
              </w:rPr>
              <w:t> </w:t>
            </w:r>
            <w:r>
              <w:rPr>
                <w:sz w:val="18"/>
              </w:rPr>
              <w:t>MMPs?</w:t>
            </w:r>
          </w:p>
          <w:p>
            <w:pPr>
              <w:pStyle w:val="TableParagraph"/>
              <w:numPr>
                <w:ilvl w:val="0"/>
                <w:numId w:val="254"/>
              </w:numPr>
              <w:tabs>
                <w:tab w:pos="279" w:val="left" w:leader="none"/>
              </w:tabs>
              <w:spacing w:line="240" w:lineRule="auto" w:before="0" w:after="0"/>
              <w:ind w:left="278" w:right="0" w:hanging="172"/>
              <w:jc w:val="left"/>
              <w:rPr>
                <w:sz w:val="18"/>
              </w:rPr>
            </w:pPr>
            <w:r>
              <w:rPr>
                <w:sz w:val="18"/>
              </w:rPr>
              <w:t>Was</w:t>
            </w:r>
            <w:r>
              <w:rPr>
                <w:spacing w:val="-1"/>
                <w:sz w:val="18"/>
              </w:rPr>
              <w:t> </w:t>
            </w:r>
            <w:r>
              <w:rPr>
                <w:sz w:val="18"/>
              </w:rPr>
              <w:t>the</w:t>
            </w:r>
            <w:r>
              <w:rPr>
                <w:spacing w:val="-3"/>
                <w:sz w:val="18"/>
              </w:rPr>
              <w:t> </w:t>
            </w:r>
            <w:r>
              <w:rPr>
                <w:sz w:val="18"/>
              </w:rPr>
              <w:t>online</w:t>
            </w:r>
            <w:r>
              <w:rPr>
                <w:spacing w:val="-3"/>
                <w:sz w:val="18"/>
              </w:rPr>
              <w:t> </w:t>
            </w:r>
            <w:r>
              <w:rPr>
                <w:sz w:val="18"/>
              </w:rPr>
              <w:t>process</w:t>
            </w:r>
            <w:r>
              <w:rPr>
                <w:spacing w:val="-4"/>
                <w:sz w:val="18"/>
              </w:rPr>
              <w:t> </w:t>
            </w:r>
            <w:r>
              <w:rPr>
                <w:sz w:val="18"/>
              </w:rPr>
              <w:t>useful</w:t>
            </w:r>
            <w:r>
              <w:rPr>
                <w:spacing w:val="-5"/>
                <w:sz w:val="18"/>
              </w:rPr>
              <w:t> </w:t>
            </w:r>
            <w:r>
              <w:rPr>
                <w:sz w:val="18"/>
              </w:rPr>
              <w:t>in</w:t>
            </w:r>
            <w:r>
              <w:rPr>
                <w:spacing w:val="-2"/>
                <w:sz w:val="18"/>
              </w:rPr>
              <w:t> </w:t>
            </w:r>
            <w:r>
              <w:rPr>
                <w:sz w:val="18"/>
              </w:rPr>
              <w:t>populating</w:t>
            </w:r>
            <w:r>
              <w:rPr>
                <w:spacing w:val="-5"/>
                <w:sz w:val="18"/>
              </w:rPr>
              <w:t> </w:t>
            </w:r>
            <w:r>
              <w:rPr>
                <w:sz w:val="18"/>
              </w:rPr>
              <w:t>the</w:t>
            </w:r>
            <w:r>
              <w:rPr>
                <w:spacing w:val="-3"/>
                <w:sz w:val="18"/>
              </w:rPr>
              <w:t> </w:t>
            </w:r>
            <w:r>
              <w:rPr>
                <w:sz w:val="18"/>
              </w:rPr>
              <w:t>MMP?</w:t>
            </w:r>
          </w:p>
          <w:p>
            <w:pPr>
              <w:pStyle w:val="TableParagraph"/>
              <w:numPr>
                <w:ilvl w:val="0"/>
                <w:numId w:val="254"/>
              </w:numPr>
              <w:tabs>
                <w:tab w:pos="279" w:val="left" w:leader="none"/>
              </w:tabs>
              <w:spacing w:line="240" w:lineRule="auto" w:before="0" w:after="0"/>
              <w:ind w:left="278" w:right="610" w:hanging="171"/>
              <w:jc w:val="left"/>
              <w:rPr>
                <w:sz w:val="18"/>
              </w:rPr>
            </w:pPr>
            <w:r>
              <w:rPr>
                <w:sz w:val="18"/>
              </w:rPr>
              <w:t>Is this different to the way that you may have done these before? If so,</w:t>
            </w:r>
            <w:r>
              <w:rPr>
                <w:spacing w:val="-48"/>
                <w:sz w:val="18"/>
              </w:rPr>
              <w:t> </w:t>
            </w:r>
            <w:r>
              <w:rPr>
                <w:sz w:val="18"/>
              </w:rPr>
              <w:t>how?</w:t>
            </w:r>
          </w:p>
          <w:p>
            <w:pPr>
              <w:pStyle w:val="TableParagraph"/>
              <w:ind w:left="107"/>
              <w:rPr>
                <w:sz w:val="18"/>
              </w:rPr>
            </w:pPr>
            <w:r>
              <w:rPr>
                <w:sz w:val="18"/>
              </w:rPr>
              <w:t>Prompts</w:t>
            </w:r>
          </w:p>
          <w:p>
            <w:pPr>
              <w:pStyle w:val="TableParagraph"/>
              <w:numPr>
                <w:ilvl w:val="1"/>
                <w:numId w:val="254"/>
              </w:numPr>
              <w:tabs>
                <w:tab w:pos="821" w:val="left" w:leader="none"/>
                <w:tab w:pos="822" w:val="left" w:leader="none"/>
              </w:tabs>
              <w:spacing w:line="240" w:lineRule="auto" w:before="0" w:after="0"/>
              <w:ind w:left="821" w:right="0" w:hanging="357"/>
              <w:jc w:val="left"/>
              <w:rPr>
                <w:sz w:val="18"/>
              </w:rPr>
            </w:pPr>
            <w:r>
              <w:rPr>
                <w:sz w:val="18"/>
              </w:rPr>
              <w:t>Changes</w:t>
            </w:r>
            <w:r>
              <w:rPr>
                <w:spacing w:val="-4"/>
                <w:sz w:val="18"/>
              </w:rPr>
              <w:t> </w:t>
            </w:r>
            <w:r>
              <w:rPr>
                <w:sz w:val="18"/>
              </w:rPr>
              <w:t>in</w:t>
            </w:r>
            <w:r>
              <w:rPr>
                <w:spacing w:val="-4"/>
                <w:sz w:val="18"/>
              </w:rPr>
              <w:t> </w:t>
            </w:r>
            <w:r>
              <w:rPr>
                <w:sz w:val="18"/>
              </w:rPr>
              <w:t>patient</w:t>
            </w:r>
            <w:r>
              <w:rPr>
                <w:spacing w:val="-6"/>
                <w:sz w:val="18"/>
              </w:rPr>
              <w:t> </w:t>
            </w:r>
            <w:r>
              <w:rPr>
                <w:sz w:val="18"/>
              </w:rPr>
              <w:t>involvement</w:t>
            </w:r>
            <w:r>
              <w:rPr>
                <w:spacing w:val="-4"/>
                <w:sz w:val="18"/>
              </w:rPr>
              <w:t> </w:t>
            </w:r>
            <w:r>
              <w:rPr>
                <w:sz w:val="18"/>
              </w:rPr>
              <w:t>in</w:t>
            </w:r>
            <w:r>
              <w:rPr>
                <w:spacing w:val="-3"/>
                <w:sz w:val="18"/>
              </w:rPr>
              <w:t> </w:t>
            </w:r>
            <w:r>
              <w:rPr>
                <w:sz w:val="18"/>
              </w:rPr>
              <w:t>development/</w:t>
            </w:r>
            <w:r>
              <w:rPr>
                <w:spacing w:val="-2"/>
                <w:sz w:val="18"/>
              </w:rPr>
              <w:t> </w:t>
            </w:r>
            <w:r>
              <w:rPr>
                <w:sz w:val="18"/>
              </w:rPr>
              <w:t>review</w:t>
            </w:r>
            <w:r>
              <w:rPr>
                <w:spacing w:val="-3"/>
                <w:sz w:val="18"/>
              </w:rPr>
              <w:t> </w:t>
            </w:r>
            <w:r>
              <w:rPr>
                <w:sz w:val="18"/>
              </w:rPr>
              <w:t>of</w:t>
            </w:r>
            <w:r>
              <w:rPr>
                <w:spacing w:val="-2"/>
                <w:sz w:val="18"/>
              </w:rPr>
              <w:t> </w:t>
            </w:r>
            <w:r>
              <w:rPr>
                <w:sz w:val="18"/>
              </w:rPr>
              <w:t>the</w:t>
            </w:r>
            <w:r>
              <w:rPr>
                <w:spacing w:val="-2"/>
                <w:sz w:val="18"/>
              </w:rPr>
              <w:t> </w:t>
            </w:r>
            <w:r>
              <w:rPr>
                <w:sz w:val="18"/>
              </w:rPr>
              <w:t>plan?</w:t>
            </w:r>
          </w:p>
          <w:p>
            <w:pPr>
              <w:pStyle w:val="TableParagraph"/>
              <w:numPr>
                <w:ilvl w:val="1"/>
                <w:numId w:val="254"/>
              </w:numPr>
              <w:tabs>
                <w:tab w:pos="821" w:val="left" w:leader="none"/>
                <w:tab w:pos="822" w:val="left" w:leader="none"/>
              </w:tabs>
              <w:spacing w:line="240" w:lineRule="auto" w:before="0" w:after="0"/>
              <w:ind w:left="821" w:right="0" w:hanging="357"/>
              <w:jc w:val="left"/>
              <w:rPr>
                <w:sz w:val="18"/>
              </w:rPr>
            </w:pPr>
            <w:r>
              <w:rPr>
                <w:sz w:val="18"/>
              </w:rPr>
              <w:t>Regularity</w:t>
            </w:r>
            <w:r>
              <w:rPr>
                <w:spacing w:val="-4"/>
                <w:sz w:val="18"/>
              </w:rPr>
              <w:t> </w:t>
            </w:r>
            <w:r>
              <w:rPr>
                <w:sz w:val="18"/>
              </w:rPr>
              <w:t>of</w:t>
            </w:r>
            <w:r>
              <w:rPr>
                <w:spacing w:val="-2"/>
                <w:sz w:val="18"/>
              </w:rPr>
              <w:t> </w:t>
            </w:r>
            <w:r>
              <w:rPr>
                <w:sz w:val="18"/>
              </w:rPr>
              <w:t>discussion</w:t>
            </w:r>
            <w:r>
              <w:rPr>
                <w:spacing w:val="-5"/>
                <w:sz w:val="18"/>
              </w:rPr>
              <w:t> </w:t>
            </w:r>
            <w:r>
              <w:rPr>
                <w:sz w:val="18"/>
              </w:rPr>
              <w:t>of</w:t>
            </w:r>
            <w:r>
              <w:rPr>
                <w:spacing w:val="-2"/>
                <w:sz w:val="18"/>
              </w:rPr>
              <w:t> </w:t>
            </w:r>
            <w:r>
              <w:rPr>
                <w:sz w:val="18"/>
              </w:rPr>
              <w:t>the</w:t>
            </w:r>
            <w:r>
              <w:rPr>
                <w:spacing w:val="-2"/>
                <w:sz w:val="18"/>
              </w:rPr>
              <w:t> </w:t>
            </w:r>
            <w:r>
              <w:rPr>
                <w:sz w:val="18"/>
              </w:rPr>
              <w:t>plan</w:t>
            </w:r>
            <w:r>
              <w:rPr>
                <w:spacing w:val="-2"/>
                <w:sz w:val="18"/>
              </w:rPr>
              <w:t> </w:t>
            </w:r>
            <w:r>
              <w:rPr>
                <w:sz w:val="18"/>
              </w:rPr>
              <w:t>with</w:t>
            </w:r>
            <w:r>
              <w:rPr>
                <w:spacing w:val="-2"/>
                <w:sz w:val="18"/>
              </w:rPr>
              <w:t> </w:t>
            </w:r>
            <w:r>
              <w:rPr>
                <w:sz w:val="18"/>
              </w:rPr>
              <w:t>the</w:t>
            </w:r>
            <w:r>
              <w:rPr>
                <w:spacing w:val="-5"/>
                <w:sz w:val="18"/>
              </w:rPr>
              <w:t> </w:t>
            </w:r>
            <w:r>
              <w:rPr>
                <w:sz w:val="18"/>
              </w:rPr>
              <w:t>patient?</w:t>
            </w:r>
          </w:p>
          <w:p>
            <w:pPr>
              <w:pStyle w:val="TableParagraph"/>
              <w:numPr>
                <w:ilvl w:val="1"/>
                <w:numId w:val="254"/>
              </w:numPr>
              <w:tabs>
                <w:tab w:pos="828" w:val="left" w:leader="none"/>
                <w:tab w:pos="829" w:val="left" w:leader="none"/>
              </w:tabs>
              <w:spacing w:line="240" w:lineRule="auto" w:before="0" w:after="0"/>
              <w:ind w:left="828" w:right="0" w:hanging="361"/>
              <w:jc w:val="left"/>
              <w:rPr>
                <w:sz w:val="18"/>
              </w:rPr>
            </w:pPr>
            <w:r>
              <w:rPr>
                <w:sz w:val="18"/>
              </w:rPr>
              <w:t>Regularity</w:t>
            </w:r>
            <w:r>
              <w:rPr>
                <w:spacing w:val="-3"/>
                <w:sz w:val="18"/>
              </w:rPr>
              <w:t> </w:t>
            </w:r>
            <w:r>
              <w:rPr>
                <w:sz w:val="18"/>
              </w:rPr>
              <w:t>of</w:t>
            </w:r>
            <w:r>
              <w:rPr>
                <w:spacing w:val="-2"/>
                <w:sz w:val="18"/>
              </w:rPr>
              <w:t> </w:t>
            </w:r>
            <w:r>
              <w:rPr>
                <w:sz w:val="18"/>
              </w:rPr>
              <w:t>discussion</w:t>
            </w:r>
            <w:r>
              <w:rPr>
                <w:spacing w:val="-5"/>
                <w:sz w:val="18"/>
              </w:rPr>
              <w:t> </w:t>
            </w:r>
            <w:r>
              <w:rPr>
                <w:sz w:val="18"/>
              </w:rPr>
              <w:t>of</w:t>
            </w:r>
            <w:r>
              <w:rPr>
                <w:spacing w:val="-1"/>
                <w:sz w:val="18"/>
              </w:rPr>
              <w:t> </w:t>
            </w:r>
            <w:r>
              <w:rPr>
                <w:sz w:val="18"/>
              </w:rPr>
              <w:t>the</w:t>
            </w:r>
            <w:r>
              <w:rPr>
                <w:spacing w:val="-1"/>
                <w:sz w:val="18"/>
              </w:rPr>
              <w:t> </w:t>
            </w:r>
            <w:r>
              <w:rPr>
                <w:sz w:val="18"/>
              </w:rPr>
              <w:t>plan</w:t>
            </w:r>
            <w:r>
              <w:rPr>
                <w:spacing w:val="-2"/>
                <w:sz w:val="18"/>
              </w:rPr>
              <w:t> </w:t>
            </w:r>
            <w:r>
              <w:rPr>
                <w:sz w:val="18"/>
              </w:rPr>
              <w:t>with</w:t>
            </w:r>
            <w:r>
              <w:rPr>
                <w:spacing w:val="-2"/>
                <w:sz w:val="18"/>
              </w:rPr>
              <w:t> </w:t>
            </w:r>
            <w:r>
              <w:rPr>
                <w:sz w:val="18"/>
              </w:rPr>
              <w:t>the</w:t>
            </w:r>
            <w:r>
              <w:rPr>
                <w:spacing w:val="-4"/>
                <w:sz w:val="18"/>
              </w:rPr>
              <w:t> </w:t>
            </w:r>
            <w:r>
              <w:rPr>
                <w:sz w:val="18"/>
              </w:rPr>
              <w:t>patient’s</w:t>
            </w:r>
            <w:r>
              <w:rPr>
                <w:spacing w:val="-3"/>
                <w:sz w:val="18"/>
              </w:rPr>
              <w:t> </w:t>
            </w:r>
            <w:r>
              <w:rPr>
                <w:sz w:val="18"/>
              </w:rPr>
              <w:t>GP,</w:t>
            </w:r>
            <w:r>
              <w:rPr>
                <w:spacing w:val="-3"/>
                <w:sz w:val="18"/>
              </w:rPr>
              <w:t> </w:t>
            </w:r>
            <w:r>
              <w:rPr>
                <w:sz w:val="18"/>
              </w:rPr>
              <w:t>care</w:t>
            </w:r>
          </w:p>
          <w:p>
            <w:pPr>
              <w:pStyle w:val="TableParagraph"/>
              <w:spacing w:before="1"/>
              <w:ind w:left="828"/>
              <w:rPr>
                <w:sz w:val="18"/>
              </w:rPr>
            </w:pPr>
            <w:r>
              <w:rPr>
                <w:sz w:val="18"/>
              </w:rPr>
              <w:t>coordinator</w:t>
            </w:r>
            <w:r>
              <w:rPr>
                <w:spacing w:val="-5"/>
                <w:sz w:val="18"/>
              </w:rPr>
              <w:t> </w:t>
            </w:r>
            <w:r>
              <w:rPr>
                <w:sz w:val="18"/>
              </w:rPr>
              <w:t>or</w:t>
            </w:r>
            <w:r>
              <w:rPr>
                <w:spacing w:val="-2"/>
                <w:sz w:val="18"/>
              </w:rPr>
              <w:t> </w:t>
            </w:r>
            <w:r>
              <w:rPr>
                <w:sz w:val="18"/>
              </w:rPr>
              <w:t>Aboriginal</w:t>
            </w:r>
            <w:r>
              <w:rPr>
                <w:spacing w:val="-5"/>
                <w:sz w:val="18"/>
              </w:rPr>
              <w:t> </w:t>
            </w:r>
            <w:r>
              <w:rPr>
                <w:sz w:val="18"/>
              </w:rPr>
              <w:t>Health</w:t>
            </w:r>
            <w:r>
              <w:rPr>
                <w:spacing w:val="-2"/>
                <w:sz w:val="18"/>
              </w:rPr>
              <w:t> </w:t>
            </w:r>
            <w:r>
              <w:rPr>
                <w:sz w:val="18"/>
              </w:rPr>
              <w:t>Worker?</w:t>
            </w:r>
          </w:p>
          <w:p>
            <w:pPr>
              <w:pStyle w:val="TableParagraph"/>
              <w:rPr>
                <w:sz w:val="18"/>
              </w:rPr>
            </w:pPr>
          </w:p>
          <w:p>
            <w:pPr>
              <w:pStyle w:val="TableParagraph"/>
              <w:numPr>
                <w:ilvl w:val="0"/>
                <w:numId w:val="254"/>
              </w:numPr>
              <w:tabs>
                <w:tab w:pos="279" w:val="left" w:leader="none"/>
              </w:tabs>
              <w:spacing w:line="240" w:lineRule="auto" w:before="0" w:after="0"/>
              <w:ind w:left="278" w:right="0" w:hanging="172"/>
              <w:jc w:val="left"/>
              <w:rPr>
                <w:sz w:val="18"/>
              </w:rPr>
            </w:pPr>
            <w:r>
              <w:rPr>
                <w:sz w:val="18"/>
              </w:rPr>
              <w:t>How</w:t>
            </w:r>
            <w:r>
              <w:rPr>
                <w:spacing w:val="-5"/>
                <w:sz w:val="18"/>
              </w:rPr>
              <w:t> </w:t>
            </w:r>
            <w:r>
              <w:rPr>
                <w:sz w:val="18"/>
              </w:rPr>
              <w:t>have</w:t>
            </w:r>
            <w:r>
              <w:rPr>
                <w:spacing w:val="-2"/>
                <w:sz w:val="18"/>
              </w:rPr>
              <w:t> </w:t>
            </w:r>
            <w:r>
              <w:rPr>
                <w:sz w:val="18"/>
              </w:rPr>
              <w:t>these</w:t>
            </w:r>
            <w:r>
              <w:rPr>
                <w:spacing w:val="-3"/>
                <w:sz w:val="18"/>
              </w:rPr>
              <w:t> </w:t>
            </w:r>
            <w:r>
              <w:rPr>
                <w:sz w:val="18"/>
              </w:rPr>
              <w:t>changes</w:t>
            </w:r>
            <w:r>
              <w:rPr>
                <w:spacing w:val="-3"/>
                <w:sz w:val="18"/>
              </w:rPr>
              <w:t> </w:t>
            </w:r>
            <w:r>
              <w:rPr>
                <w:sz w:val="18"/>
              </w:rPr>
              <w:t>come</w:t>
            </w:r>
            <w:r>
              <w:rPr>
                <w:spacing w:val="-3"/>
                <w:sz w:val="18"/>
              </w:rPr>
              <w:t> </w:t>
            </w:r>
            <w:r>
              <w:rPr>
                <w:sz w:val="18"/>
              </w:rPr>
              <w:t>about?</w:t>
            </w:r>
          </w:p>
        </w:tc>
      </w:tr>
      <w:tr>
        <w:trPr>
          <w:trHeight w:val="1303" w:hRule="atLeast"/>
        </w:trPr>
        <w:tc>
          <w:tcPr>
            <w:tcW w:w="1980" w:type="dxa"/>
          </w:tcPr>
          <w:p>
            <w:pPr>
              <w:pStyle w:val="TableParagraph"/>
              <w:ind w:left="107" w:right="107"/>
              <w:rPr>
                <w:sz w:val="18"/>
              </w:rPr>
            </w:pPr>
            <w:r>
              <w:rPr>
                <w:sz w:val="18"/>
              </w:rPr>
              <w:t>Medication delivery</w:t>
            </w:r>
            <w:r>
              <w:rPr>
                <w:spacing w:val="-47"/>
                <w:sz w:val="18"/>
              </w:rPr>
              <w:t> </w:t>
            </w:r>
            <w:r>
              <w:rPr>
                <w:sz w:val="18"/>
              </w:rPr>
              <w:t>aids</w:t>
            </w:r>
          </w:p>
        </w:tc>
        <w:tc>
          <w:tcPr>
            <w:tcW w:w="7038" w:type="dxa"/>
          </w:tcPr>
          <w:p>
            <w:pPr>
              <w:pStyle w:val="TableParagraph"/>
              <w:numPr>
                <w:ilvl w:val="0"/>
                <w:numId w:val="255"/>
              </w:numPr>
              <w:tabs>
                <w:tab w:pos="276" w:val="left" w:leader="none"/>
              </w:tabs>
              <w:spacing w:line="240" w:lineRule="auto" w:before="0" w:after="0"/>
              <w:ind w:left="275" w:right="161" w:hanging="168"/>
              <w:jc w:val="left"/>
              <w:rPr>
                <w:sz w:val="18"/>
              </w:rPr>
            </w:pPr>
            <w:r>
              <w:rPr>
                <w:sz w:val="18"/>
              </w:rPr>
              <w:t>What</w:t>
            </w:r>
            <w:r>
              <w:rPr>
                <w:spacing w:val="-5"/>
                <w:sz w:val="18"/>
              </w:rPr>
              <w:t> </w:t>
            </w:r>
            <w:r>
              <w:rPr>
                <w:sz w:val="18"/>
              </w:rPr>
              <w:t>proportion</w:t>
            </w:r>
            <w:r>
              <w:rPr>
                <w:spacing w:val="-3"/>
                <w:sz w:val="18"/>
              </w:rPr>
              <w:t> </w:t>
            </w:r>
            <w:r>
              <w:rPr>
                <w:sz w:val="18"/>
              </w:rPr>
              <w:t>of</w:t>
            </w:r>
            <w:r>
              <w:rPr>
                <w:spacing w:val="-3"/>
                <w:sz w:val="18"/>
              </w:rPr>
              <w:t> </w:t>
            </w:r>
            <w:r>
              <w:rPr>
                <w:sz w:val="18"/>
              </w:rPr>
              <w:t>your</w:t>
            </w:r>
            <w:r>
              <w:rPr>
                <w:spacing w:val="-2"/>
                <w:sz w:val="18"/>
              </w:rPr>
              <w:t> </w:t>
            </w:r>
            <w:r>
              <w:rPr>
                <w:sz w:val="18"/>
              </w:rPr>
              <w:t>Trial</w:t>
            </w:r>
            <w:r>
              <w:rPr>
                <w:spacing w:val="-3"/>
                <w:sz w:val="18"/>
              </w:rPr>
              <w:t> </w:t>
            </w:r>
            <w:r>
              <w:rPr>
                <w:sz w:val="18"/>
              </w:rPr>
              <w:t>Program</w:t>
            </w:r>
            <w:r>
              <w:rPr>
                <w:spacing w:val="-7"/>
                <w:sz w:val="18"/>
              </w:rPr>
              <w:t> </w:t>
            </w:r>
            <w:r>
              <w:rPr>
                <w:sz w:val="18"/>
              </w:rPr>
              <w:t>patients</w:t>
            </w:r>
            <w:r>
              <w:rPr>
                <w:spacing w:val="-3"/>
                <w:sz w:val="18"/>
              </w:rPr>
              <w:t> </w:t>
            </w:r>
            <w:r>
              <w:rPr>
                <w:sz w:val="18"/>
              </w:rPr>
              <w:t>require</w:t>
            </w:r>
            <w:r>
              <w:rPr>
                <w:spacing w:val="-3"/>
                <w:sz w:val="18"/>
              </w:rPr>
              <w:t> </w:t>
            </w:r>
            <w:r>
              <w:rPr>
                <w:sz w:val="18"/>
              </w:rPr>
              <w:t>a</w:t>
            </w:r>
            <w:r>
              <w:rPr>
                <w:spacing w:val="-6"/>
                <w:sz w:val="18"/>
              </w:rPr>
              <w:t> </w:t>
            </w:r>
            <w:r>
              <w:rPr>
                <w:sz w:val="18"/>
              </w:rPr>
              <w:t>dose</w:t>
            </w:r>
            <w:r>
              <w:rPr>
                <w:spacing w:val="-2"/>
                <w:sz w:val="18"/>
              </w:rPr>
              <w:t> </w:t>
            </w:r>
            <w:r>
              <w:rPr>
                <w:sz w:val="18"/>
              </w:rPr>
              <w:t>administration</w:t>
            </w:r>
            <w:r>
              <w:rPr>
                <w:spacing w:val="-47"/>
                <w:sz w:val="18"/>
              </w:rPr>
              <w:t> </w:t>
            </w:r>
            <w:r>
              <w:rPr>
                <w:sz w:val="18"/>
              </w:rPr>
              <w:t>aid?</w:t>
            </w:r>
          </w:p>
          <w:p>
            <w:pPr>
              <w:pStyle w:val="TableParagraph"/>
              <w:numPr>
                <w:ilvl w:val="0"/>
                <w:numId w:val="255"/>
              </w:numPr>
              <w:tabs>
                <w:tab w:pos="276" w:val="left" w:leader="none"/>
              </w:tabs>
              <w:spacing w:line="240" w:lineRule="auto" w:before="0" w:after="0"/>
              <w:ind w:left="275" w:right="0" w:hanging="169"/>
              <w:jc w:val="left"/>
              <w:rPr>
                <w:sz w:val="18"/>
              </w:rPr>
            </w:pPr>
            <w:r>
              <w:rPr>
                <w:sz w:val="18"/>
              </w:rPr>
              <w:t>Were</w:t>
            </w:r>
            <w:r>
              <w:rPr>
                <w:spacing w:val="-4"/>
                <w:sz w:val="18"/>
              </w:rPr>
              <w:t> </w:t>
            </w:r>
            <w:r>
              <w:rPr>
                <w:sz w:val="18"/>
              </w:rPr>
              <w:t>any</w:t>
            </w:r>
            <w:r>
              <w:rPr>
                <w:spacing w:val="-4"/>
                <w:sz w:val="18"/>
              </w:rPr>
              <w:t> </w:t>
            </w:r>
            <w:r>
              <w:rPr>
                <w:sz w:val="18"/>
              </w:rPr>
              <w:t>of</w:t>
            </w:r>
            <w:r>
              <w:rPr>
                <w:spacing w:val="-3"/>
                <w:sz w:val="18"/>
              </w:rPr>
              <w:t> </w:t>
            </w:r>
            <w:r>
              <w:rPr>
                <w:sz w:val="18"/>
              </w:rPr>
              <w:t>these</w:t>
            </w:r>
            <w:r>
              <w:rPr>
                <w:spacing w:val="-3"/>
                <w:sz w:val="18"/>
              </w:rPr>
              <w:t> </w:t>
            </w:r>
            <w:r>
              <w:rPr>
                <w:sz w:val="18"/>
              </w:rPr>
              <w:t>patients</w:t>
            </w:r>
            <w:r>
              <w:rPr>
                <w:spacing w:val="-6"/>
                <w:sz w:val="18"/>
              </w:rPr>
              <w:t> </w:t>
            </w:r>
            <w:r>
              <w:rPr>
                <w:sz w:val="18"/>
              </w:rPr>
              <w:t>using</w:t>
            </w:r>
            <w:r>
              <w:rPr>
                <w:spacing w:val="-4"/>
                <w:sz w:val="18"/>
              </w:rPr>
              <w:t> </w:t>
            </w:r>
            <w:r>
              <w:rPr>
                <w:sz w:val="18"/>
              </w:rPr>
              <w:t>dose</w:t>
            </w:r>
            <w:r>
              <w:rPr>
                <w:spacing w:val="1"/>
                <w:sz w:val="18"/>
              </w:rPr>
              <w:t> </w:t>
            </w:r>
            <w:r>
              <w:rPr>
                <w:sz w:val="18"/>
              </w:rPr>
              <w:t>administration</w:t>
            </w:r>
            <w:r>
              <w:rPr>
                <w:spacing w:val="-4"/>
                <w:sz w:val="18"/>
              </w:rPr>
              <w:t> </w:t>
            </w:r>
            <w:r>
              <w:rPr>
                <w:sz w:val="18"/>
              </w:rPr>
              <w:t>aids</w:t>
            </w:r>
            <w:r>
              <w:rPr>
                <w:spacing w:val="-4"/>
                <w:sz w:val="18"/>
              </w:rPr>
              <w:t> </w:t>
            </w:r>
            <w:r>
              <w:rPr>
                <w:sz w:val="18"/>
              </w:rPr>
              <w:t>previously?</w:t>
            </w:r>
          </w:p>
          <w:p>
            <w:pPr>
              <w:pStyle w:val="TableParagraph"/>
              <w:numPr>
                <w:ilvl w:val="0"/>
                <w:numId w:val="255"/>
              </w:numPr>
              <w:tabs>
                <w:tab w:pos="279" w:val="left" w:leader="none"/>
              </w:tabs>
              <w:spacing w:line="240" w:lineRule="auto" w:before="0" w:after="0"/>
              <w:ind w:left="278" w:right="590" w:hanging="171"/>
              <w:jc w:val="left"/>
              <w:rPr>
                <w:sz w:val="18"/>
              </w:rPr>
            </w:pPr>
            <w:r>
              <w:rPr>
                <w:sz w:val="18"/>
              </w:rPr>
              <w:t>How</w:t>
            </w:r>
            <w:r>
              <w:rPr>
                <w:spacing w:val="-4"/>
                <w:sz w:val="18"/>
              </w:rPr>
              <w:t> </w:t>
            </w:r>
            <w:r>
              <w:rPr>
                <w:sz w:val="18"/>
              </w:rPr>
              <w:t>do</w:t>
            </w:r>
            <w:r>
              <w:rPr>
                <w:spacing w:val="-3"/>
                <w:sz w:val="18"/>
              </w:rPr>
              <w:t> </w:t>
            </w:r>
            <w:r>
              <w:rPr>
                <w:sz w:val="18"/>
              </w:rPr>
              <w:t>you</w:t>
            </w:r>
            <w:r>
              <w:rPr>
                <w:spacing w:val="-2"/>
                <w:sz w:val="18"/>
              </w:rPr>
              <w:t> </w:t>
            </w:r>
            <w:r>
              <w:rPr>
                <w:sz w:val="18"/>
              </w:rPr>
              <w:t>determine</w:t>
            </w:r>
            <w:r>
              <w:rPr>
                <w:spacing w:val="-2"/>
                <w:sz w:val="18"/>
              </w:rPr>
              <w:t> </w:t>
            </w:r>
            <w:r>
              <w:rPr>
                <w:sz w:val="18"/>
              </w:rPr>
              <w:t>whether</w:t>
            </w:r>
            <w:r>
              <w:rPr>
                <w:spacing w:val="-2"/>
                <w:sz w:val="18"/>
              </w:rPr>
              <w:t> </w:t>
            </w:r>
            <w:r>
              <w:rPr>
                <w:sz w:val="18"/>
              </w:rPr>
              <w:t>a</w:t>
            </w:r>
            <w:r>
              <w:rPr>
                <w:spacing w:val="-2"/>
                <w:sz w:val="18"/>
              </w:rPr>
              <w:t> </w:t>
            </w:r>
            <w:r>
              <w:rPr>
                <w:sz w:val="18"/>
              </w:rPr>
              <w:t>patient</w:t>
            </w:r>
            <w:r>
              <w:rPr>
                <w:spacing w:val="-4"/>
                <w:sz w:val="18"/>
              </w:rPr>
              <w:t> </w:t>
            </w:r>
            <w:r>
              <w:rPr>
                <w:sz w:val="18"/>
              </w:rPr>
              <w:t>would</w:t>
            </w:r>
            <w:r>
              <w:rPr>
                <w:spacing w:val="-3"/>
                <w:sz w:val="18"/>
              </w:rPr>
              <w:t> </w:t>
            </w:r>
            <w:r>
              <w:rPr>
                <w:sz w:val="18"/>
              </w:rPr>
              <w:t>be</w:t>
            </w:r>
            <w:r>
              <w:rPr>
                <w:spacing w:val="-2"/>
                <w:sz w:val="18"/>
              </w:rPr>
              <w:t> </w:t>
            </w:r>
            <w:r>
              <w:rPr>
                <w:sz w:val="18"/>
              </w:rPr>
              <w:t>suitable</w:t>
            </w:r>
            <w:r>
              <w:rPr>
                <w:spacing w:val="-2"/>
                <w:sz w:val="18"/>
              </w:rPr>
              <w:t> </w:t>
            </w:r>
            <w:r>
              <w:rPr>
                <w:sz w:val="18"/>
              </w:rPr>
              <w:t>for</w:t>
            </w:r>
            <w:r>
              <w:rPr>
                <w:spacing w:val="-2"/>
                <w:sz w:val="18"/>
              </w:rPr>
              <w:t> </w:t>
            </w:r>
            <w:r>
              <w:rPr>
                <w:sz w:val="18"/>
              </w:rPr>
              <w:t>a</w:t>
            </w:r>
            <w:r>
              <w:rPr>
                <w:spacing w:val="-2"/>
                <w:sz w:val="18"/>
              </w:rPr>
              <w:t> </w:t>
            </w:r>
            <w:r>
              <w:rPr>
                <w:sz w:val="18"/>
              </w:rPr>
              <w:t>dose</w:t>
            </w:r>
            <w:r>
              <w:rPr>
                <w:spacing w:val="-47"/>
                <w:sz w:val="18"/>
              </w:rPr>
              <w:t> </w:t>
            </w:r>
            <w:r>
              <w:rPr>
                <w:sz w:val="18"/>
              </w:rPr>
              <w:t>administration</w:t>
            </w:r>
            <w:r>
              <w:rPr>
                <w:spacing w:val="-1"/>
                <w:sz w:val="18"/>
              </w:rPr>
              <w:t> </w:t>
            </w:r>
            <w:r>
              <w:rPr>
                <w:sz w:val="18"/>
              </w:rPr>
              <w:t>aid?</w:t>
            </w:r>
          </w:p>
        </w:tc>
      </w:tr>
      <w:tr>
        <w:trPr>
          <w:trHeight w:val="1986" w:hRule="atLeast"/>
        </w:trPr>
        <w:tc>
          <w:tcPr>
            <w:tcW w:w="1980" w:type="dxa"/>
          </w:tcPr>
          <w:p>
            <w:pPr>
              <w:pStyle w:val="TableParagraph"/>
              <w:ind w:left="107" w:right="96"/>
              <w:rPr>
                <w:sz w:val="18"/>
              </w:rPr>
            </w:pPr>
            <w:r>
              <w:rPr>
                <w:sz w:val="18"/>
              </w:rPr>
              <w:t>Supporting services</w:t>
            </w:r>
            <w:r>
              <w:rPr>
                <w:spacing w:val="1"/>
                <w:sz w:val="18"/>
              </w:rPr>
              <w:t> </w:t>
            </w:r>
            <w:r>
              <w:rPr>
                <w:sz w:val="18"/>
              </w:rPr>
              <w:t>(i.e. blood glucose</w:t>
            </w:r>
            <w:r>
              <w:rPr>
                <w:spacing w:val="1"/>
                <w:sz w:val="18"/>
              </w:rPr>
              <w:t> </w:t>
            </w:r>
            <w:r>
              <w:rPr>
                <w:sz w:val="18"/>
              </w:rPr>
              <w:t>monitoring, blood</w:t>
            </w:r>
            <w:r>
              <w:rPr>
                <w:spacing w:val="1"/>
                <w:sz w:val="18"/>
              </w:rPr>
              <w:t> </w:t>
            </w:r>
            <w:r>
              <w:rPr>
                <w:sz w:val="18"/>
              </w:rPr>
              <w:t>pressure monitoring,</w:t>
            </w:r>
            <w:r>
              <w:rPr>
                <w:spacing w:val="-48"/>
                <w:sz w:val="18"/>
              </w:rPr>
              <w:t> </w:t>
            </w:r>
            <w:r>
              <w:rPr>
                <w:sz w:val="18"/>
              </w:rPr>
              <w:t>asthma</w:t>
            </w:r>
            <w:r>
              <w:rPr>
                <w:spacing w:val="1"/>
                <w:sz w:val="18"/>
              </w:rPr>
              <w:t> </w:t>
            </w:r>
            <w:r>
              <w:rPr>
                <w:sz w:val="18"/>
              </w:rPr>
              <w:t>management plan</w:t>
            </w:r>
            <w:r>
              <w:rPr>
                <w:spacing w:val="1"/>
                <w:sz w:val="18"/>
              </w:rPr>
              <w:t> </w:t>
            </w:r>
            <w:r>
              <w:rPr>
                <w:sz w:val="18"/>
              </w:rPr>
              <w:t>etc.)</w:t>
            </w:r>
          </w:p>
        </w:tc>
        <w:tc>
          <w:tcPr>
            <w:tcW w:w="7038" w:type="dxa"/>
          </w:tcPr>
          <w:p>
            <w:pPr>
              <w:pStyle w:val="TableParagraph"/>
              <w:numPr>
                <w:ilvl w:val="0"/>
                <w:numId w:val="256"/>
              </w:numPr>
              <w:tabs>
                <w:tab w:pos="276" w:val="left" w:leader="none"/>
              </w:tabs>
              <w:spacing w:line="219" w:lineRule="exact" w:before="0" w:after="0"/>
              <w:ind w:left="275" w:right="0" w:hanging="169"/>
              <w:jc w:val="left"/>
              <w:rPr>
                <w:sz w:val="18"/>
              </w:rPr>
            </w:pPr>
            <w:r>
              <w:rPr>
                <w:sz w:val="18"/>
              </w:rPr>
              <w:t>What</w:t>
            </w:r>
            <w:r>
              <w:rPr>
                <w:spacing w:val="-5"/>
                <w:sz w:val="18"/>
              </w:rPr>
              <w:t> </w:t>
            </w:r>
            <w:r>
              <w:rPr>
                <w:sz w:val="18"/>
              </w:rPr>
              <w:t>were</w:t>
            </w:r>
            <w:r>
              <w:rPr>
                <w:spacing w:val="-2"/>
                <w:sz w:val="18"/>
              </w:rPr>
              <w:t> </w:t>
            </w:r>
            <w:r>
              <w:rPr>
                <w:sz w:val="18"/>
              </w:rPr>
              <w:t>the</w:t>
            </w:r>
            <w:r>
              <w:rPr>
                <w:spacing w:val="-2"/>
                <w:sz w:val="18"/>
              </w:rPr>
              <w:t> </w:t>
            </w:r>
            <w:r>
              <w:rPr>
                <w:sz w:val="18"/>
              </w:rPr>
              <w:t>most</w:t>
            </w:r>
            <w:r>
              <w:rPr>
                <w:spacing w:val="-2"/>
                <w:sz w:val="18"/>
              </w:rPr>
              <w:t> </w:t>
            </w:r>
            <w:r>
              <w:rPr>
                <w:sz w:val="18"/>
              </w:rPr>
              <w:t>common</w:t>
            </w:r>
            <w:r>
              <w:rPr>
                <w:spacing w:val="-2"/>
                <w:sz w:val="18"/>
              </w:rPr>
              <w:t> </w:t>
            </w:r>
            <w:r>
              <w:rPr>
                <w:sz w:val="18"/>
              </w:rPr>
              <w:t>supporting</w:t>
            </w:r>
            <w:r>
              <w:rPr>
                <w:spacing w:val="-4"/>
                <w:sz w:val="18"/>
              </w:rPr>
              <w:t> </w:t>
            </w:r>
            <w:r>
              <w:rPr>
                <w:sz w:val="18"/>
              </w:rPr>
              <w:t>services</w:t>
            </w:r>
            <w:r>
              <w:rPr>
                <w:spacing w:val="-3"/>
                <w:sz w:val="18"/>
              </w:rPr>
              <w:t> </w:t>
            </w:r>
            <w:r>
              <w:rPr>
                <w:sz w:val="18"/>
              </w:rPr>
              <w:t>you</w:t>
            </w:r>
            <w:r>
              <w:rPr>
                <w:spacing w:val="-4"/>
                <w:sz w:val="18"/>
              </w:rPr>
              <w:t> </w:t>
            </w:r>
            <w:r>
              <w:rPr>
                <w:sz w:val="18"/>
              </w:rPr>
              <w:t>delivered?</w:t>
            </w:r>
          </w:p>
          <w:p>
            <w:pPr>
              <w:pStyle w:val="TableParagraph"/>
              <w:numPr>
                <w:ilvl w:val="0"/>
                <w:numId w:val="256"/>
              </w:numPr>
              <w:tabs>
                <w:tab w:pos="276" w:val="left" w:leader="none"/>
              </w:tabs>
              <w:spacing w:line="240" w:lineRule="auto" w:before="0" w:after="0"/>
              <w:ind w:left="275" w:right="177" w:hanging="168"/>
              <w:jc w:val="left"/>
              <w:rPr>
                <w:sz w:val="18"/>
              </w:rPr>
            </w:pPr>
            <w:r>
              <w:rPr>
                <w:sz w:val="18"/>
              </w:rPr>
              <w:t>How did you assess what service was required for what type of patient, and</w:t>
            </w:r>
            <w:r>
              <w:rPr>
                <w:spacing w:val="-48"/>
                <w:sz w:val="18"/>
              </w:rPr>
              <w:t> </w:t>
            </w:r>
            <w:r>
              <w:rPr>
                <w:sz w:val="18"/>
              </w:rPr>
              <w:t>who</w:t>
            </w:r>
            <w:r>
              <w:rPr>
                <w:spacing w:val="-1"/>
                <w:sz w:val="18"/>
              </w:rPr>
              <w:t> </w:t>
            </w:r>
            <w:r>
              <w:rPr>
                <w:sz w:val="18"/>
              </w:rPr>
              <w:t>would</w:t>
            </w:r>
            <w:r>
              <w:rPr>
                <w:spacing w:val="-1"/>
                <w:sz w:val="18"/>
              </w:rPr>
              <w:t> </w:t>
            </w:r>
            <w:r>
              <w:rPr>
                <w:sz w:val="18"/>
              </w:rPr>
              <w:t>benefit</w:t>
            </w:r>
            <w:r>
              <w:rPr>
                <w:spacing w:val="-2"/>
                <w:sz w:val="18"/>
              </w:rPr>
              <w:t> </w:t>
            </w:r>
            <w:r>
              <w:rPr>
                <w:sz w:val="18"/>
              </w:rPr>
              <w:t>from</w:t>
            </w:r>
            <w:r>
              <w:rPr>
                <w:spacing w:val="-4"/>
                <w:sz w:val="18"/>
              </w:rPr>
              <w:t> </w:t>
            </w:r>
            <w:r>
              <w:rPr>
                <w:sz w:val="18"/>
              </w:rPr>
              <w:t>the</w:t>
            </w:r>
            <w:r>
              <w:rPr>
                <w:spacing w:val="2"/>
                <w:sz w:val="18"/>
              </w:rPr>
              <w:t> </w:t>
            </w:r>
            <w:r>
              <w:rPr>
                <w:sz w:val="18"/>
              </w:rPr>
              <w:t>service?</w:t>
            </w:r>
          </w:p>
          <w:p>
            <w:pPr>
              <w:pStyle w:val="TableParagraph"/>
              <w:numPr>
                <w:ilvl w:val="0"/>
                <w:numId w:val="256"/>
              </w:numPr>
              <w:tabs>
                <w:tab w:pos="276" w:val="left" w:leader="none"/>
              </w:tabs>
              <w:spacing w:line="240" w:lineRule="auto" w:before="0" w:after="0"/>
              <w:ind w:left="275" w:right="257" w:hanging="168"/>
              <w:jc w:val="left"/>
              <w:rPr>
                <w:sz w:val="18"/>
              </w:rPr>
            </w:pPr>
            <w:r>
              <w:rPr>
                <w:sz w:val="18"/>
              </w:rPr>
              <w:t>In your opinion, would Tier 1 patients have benefitted from supporting</w:t>
            </w:r>
            <w:r>
              <w:rPr>
                <w:spacing w:val="1"/>
                <w:sz w:val="18"/>
              </w:rPr>
              <w:t> </w:t>
            </w:r>
            <w:r>
              <w:rPr>
                <w:sz w:val="18"/>
              </w:rPr>
              <w:t>services? If so, under what circumstances? Did you provide any supporting</w:t>
            </w:r>
            <w:r>
              <w:rPr>
                <w:spacing w:val="-48"/>
                <w:sz w:val="18"/>
              </w:rPr>
              <w:t> </w:t>
            </w:r>
            <w:r>
              <w:rPr>
                <w:sz w:val="18"/>
              </w:rPr>
              <w:t>services to Tier 1 patients outside of the Trial Program (e.g. the patient paid</w:t>
            </w:r>
            <w:r>
              <w:rPr>
                <w:spacing w:val="-47"/>
                <w:sz w:val="18"/>
              </w:rPr>
              <w:t> </w:t>
            </w:r>
            <w:r>
              <w:rPr>
                <w:sz w:val="18"/>
              </w:rPr>
              <w:t>for</w:t>
            </w:r>
            <w:r>
              <w:rPr>
                <w:spacing w:val="-1"/>
                <w:sz w:val="18"/>
              </w:rPr>
              <w:t> </w:t>
            </w:r>
            <w:r>
              <w:rPr>
                <w:sz w:val="18"/>
              </w:rPr>
              <w:t>the service)?</w:t>
            </w:r>
          </w:p>
        </w:tc>
      </w:tr>
      <w:tr>
        <w:trPr>
          <w:trHeight w:val="2186" w:hRule="atLeast"/>
        </w:trPr>
        <w:tc>
          <w:tcPr>
            <w:tcW w:w="1980" w:type="dxa"/>
          </w:tcPr>
          <w:p>
            <w:pPr>
              <w:pStyle w:val="TableParagraph"/>
              <w:spacing w:line="219" w:lineRule="exact"/>
              <w:ind w:left="107"/>
              <w:rPr>
                <w:sz w:val="18"/>
              </w:rPr>
            </w:pPr>
            <w:r>
              <w:rPr>
                <w:sz w:val="18"/>
              </w:rPr>
              <w:t>Time</w:t>
            </w:r>
            <w:r>
              <w:rPr>
                <w:spacing w:val="-5"/>
                <w:sz w:val="18"/>
              </w:rPr>
              <w:t> </w:t>
            </w:r>
            <w:r>
              <w:rPr>
                <w:sz w:val="18"/>
              </w:rPr>
              <w:t>estimates</w:t>
            </w:r>
          </w:p>
        </w:tc>
        <w:tc>
          <w:tcPr>
            <w:tcW w:w="7038" w:type="dxa"/>
          </w:tcPr>
          <w:p>
            <w:pPr>
              <w:pStyle w:val="TableParagraph"/>
              <w:numPr>
                <w:ilvl w:val="0"/>
                <w:numId w:val="257"/>
              </w:numPr>
              <w:tabs>
                <w:tab w:pos="276" w:val="left" w:leader="none"/>
              </w:tabs>
              <w:spacing w:line="240" w:lineRule="auto" w:before="0" w:after="0"/>
              <w:ind w:left="275" w:right="364" w:hanging="168"/>
              <w:jc w:val="left"/>
              <w:rPr>
                <w:sz w:val="18"/>
              </w:rPr>
            </w:pPr>
            <w:r>
              <w:rPr>
                <w:sz w:val="18"/>
              </w:rPr>
              <w:t>Thinking about a typical Tier 1 patient, can you break down the activities</w:t>
            </w:r>
            <w:r>
              <w:rPr>
                <w:spacing w:val="1"/>
                <w:sz w:val="18"/>
              </w:rPr>
              <w:t> </w:t>
            </w:r>
            <w:r>
              <w:rPr>
                <w:sz w:val="18"/>
              </w:rPr>
              <w:t>that you undertake in relation to that patient outside of the direct</w:t>
            </w:r>
            <w:r>
              <w:rPr>
                <w:spacing w:val="1"/>
                <w:sz w:val="18"/>
              </w:rPr>
              <w:t> </w:t>
            </w:r>
            <w:r>
              <w:rPr>
                <w:sz w:val="18"/>
              </w:rPr>
              <w:t>consultation</w:t>
            </w:r>
            <w:r>
              <w:rPr>
                <w:spacing w:val="-4"/>
                <w:sz w:val="18"/>
              </w:rPr>
              <w:t> </w:t>
            </w:r>
            <w:r>
              <w:rPr>
                <w:sz w:val="18"/>
              </w:rPr>
              <w:t>with</w:t>
            </w:r>
            <w:r>
              <w:rPr>
                <w:spacing w:val="-3"/>
                <w:sz w:val="18"/>
              </w:rPr>
              <w:t> </w:t>
            </w:r>
            <w:r>
              <w:rPr>
                <w:sz w:val="18"/>
              </w:rPr>
              <w:t>the</w:t>
            </w:r>
            <w:r>
              <w:rPr>
                <w:spacing w:val="-4"/>
                <w:sz w:val="18"/>
              </w:rPr>
              <w:t> </w:t>
            </w:r>
            <w:r>
              <w:rPr>
                <w:sz w:val="18"/>
              </w:rPr>
              <w:t>patient</w:t>
            </w:r>
            <w:r>
              <w:rPr>
                <w:spacing w:val="-2"/>
                <w:sz w:val="18"/>
              </w:rPr>
              <w:t> </w:t>
            </w:r>
            <w:r>
              <w:rPr>
                <w:sz w:val="18"/>
              </w:rPr>
              <w:t>(e.g.</w:t>
            </w:r>
            <w:r>
              <w:rPr>
                <w:spacing w:val="-6"/>
                <w:sz w:val="18"/>
              </w:rPr>
              <w:t> </w:t>
            </w:r>
            <w:r>
              <w:rPr>
                <w:sz w:val="18"/>
              </w:rPr>
              <w:t>communicating</w:t>
            </w:r>
            <w:r>
              <w:rPr>
                <w:spacing w:val="-5"/>
                <w:sz w:val="18"/>
              </w:rPr>
              <w:t> </w:t>
            </w:r>
            <w:r>
              <w:rPr>
                <w:sz w:val="18"/>
              </w:rPr>
              <w:t>with</w:t>
            </w:r>
            <w:r>
              <w:rPr>
                <w:spacing w:val="-5"/>
                <w:sz w:val="18"/>
              </w:rPr>
              <w:t> </w:t>
            </w:r>
            <w:r>
              <w:rPr>
                <w:sz w:val="18"/>
              </w:rPr>
              <w:t>the</w:t>
            </w:r>
            <w:r>
              <w:rPr>
                <w:spacing w:val="-4"/>
                <w:sz w:val="18"/>
              </w:rPr>
              <w:t> </w:t>
            </w:r>
            <w:r>
              <w:rPr>
                <w:sz w:val="18"/>
              </w:rPr>
              <w:t>patient’s</w:t>
            </w:r>
            <w:r>
              <w:rPr>
                <w:spacing w:val="-4"/>
                <w:sz w:val="18"/>
              </w:rPr>
              <w:t> </w:t>
            </w:r>
            <w:r>
              <w:rPr>
                <w:sz w:val="18"/>
              </w:rPr>
              <w:t>HCH</w:t>
            </w:r>
            <w:r>
              <w:rPr>
                <w:spacing w:val="-47"/>
                <w:sz w:val="18"/>
              </w:rPr>
              <w:t> </w:t>
            </w:r>
            <w:r>
              <w:rPr>
                <w:sz w:val="18"/>
              </w:rPr>
              <w:t>and organising services)? How much time would you spend on each of</w:t>
            </w:r>
            <w:r>
              <w:rPr>
                <w:spacing w:val="1"/>
                <w:sz w:val="18"/>
              </w:rPr>
              <w:t> </w:t>
            </w:r>
            <w:r>
              <w:rPr>
                <w:sz w:val="18"/>
              </w:rPr>
              <w:t>those activities, and how many activities over a 12-month period? How</w:t>
            </w:r>
            <w:r>
              <w:rPr>
                <w:spacing w:val="1"/>
                <w:sz w:val="18"/>
              </w:rPr>
              <w:t> </w:t>
            </w:r>
            <w:r>
              <w:rPr>
                <w:sz w:val="18"/>
              </w:rPr>
              <w:t>much time would you typically spend in the initial consultation with the</w:t>
            </w:r>
            <w:r>
              <w:rPr>
                <w:spacing w:val="1"/>
                <w:sz w:val="18"/>
              </w:rPr>
              <w:t> </w:t>
            </w:r>
            <w:r>
              <w:rPr>
                <w:sz w:val="18"/>
              </w:rPr>
              <w:t>patient,</w:t>
            </w:r>
            <w:r>
              <w:rPr>
                <w:spacing w:val="-3"/>
                <w:sz w:val="18"/>
              </w:rPr>
              <w:t> </w:t>
            </w:r>
            <w:r>
              <w:rPr>
                <w:sz w:val="18"/>
              </w:rPr>
              <w:t>and</w:t>
            </w:r>
            <w:r>
              <w:rPr>
                <w:spacing w:val="-2"/>
                <w:sz w:val="18"/>
              </w:rPr>
              <w:t> </w:t>
            </w:r>
            <w:r>
              <w:rPr>
                <w:sz w:val="18"/>
              </w:rPr>
              <w:t>then</w:t>
            </w:r>
            <w:r>
              <w:rPr>
                <w:spacing w:val="-1"/>
                <w:sz w:val="18"/>
              </w:rPr>
              <w:t> </w:t>
            </w:r>
            <w:r>
              <w:rPr>
                <w:sz w:val="18"/>
              </w:rPr>
              <w:t>how</w:t>
            </w:r>
            <w:r>
              <w:rPr>
                <w:spacing w:val="-3"/>
                <w:sz w:val="18"/>
              </w:rPr>
              <w:t> </w:t>
            </w:r>
            <w:r>
              <w:rPr>
                <w:sz w:val="18"/>
              </w:rPr>
              <w:t>much</w:t>
            </w:r>
            <w:r>
              <w:rPr>
                <w:spacing w:val="-1"/>
                <w:sz w:val="18"/>
              </w:rPr>
              <w:t> </w:t>
            </w:r>
            <w:r>
              <w:rPr>
                <w:sz w:val="18"/>
              </w:rPr>
              <w:t>time</w:t>
            </w:r>
            <w:r>
              <w:rPr>
                <w:spacing w:val="-1"/>
                <w:sz w:val="18"/>
              </w:rPr>
              <w:t> </w:t>
            </w:r>
            <w:r>
              <w:rPr>
                <w:sz w:val="18"/>
              </w:rPr>
              <w:t>for each</w:t>
            </w:r>
            <w:r>
              <w:rPr>
                <w:spacing w:val="-3"/>
                <w:sz w:val="18"/>
              </w:rPr>
              <w:t> </w:t>
            </w:r>
            <w:r>
              <w:rPr>
                <w:sz w:val="18"/>
              </w:rPr>
              <w:t>follow</w:t>
            </w:r>
            <w:r>
              <w:rPr>
                <w:spacing w:val="-2"/>
                <w:sz w:val="18"/>
              </w:rPr>
              <w:t> </w:t>
            </w:r>
            <w:r>
              <w:rPr>
                <w:sz w:val="18"/>
              </w:rPr>
              <w:t>up</w:t>
            </w:r>
            <w:r>
              <w:rPr>
                <w:spacing w:val="-2"/>
                <w:sz w:val="18"/>
              </w:rPr>
              <w:t> </w:t>
            </w:r>
            <w:r>
              <w:rPr>
                <w:sz w:val="18"/>
              </w:rPr>
              <w:t>consultation?</w:t>
            </w:r>
          </w:p>
          <w:p>
            <w:pPr>
              <w:pStyle w:val="TableParagraph"/>
              <w:numPr>
                <w:ilvl w:val="0"/>
                <w:numId w:val="257"/>
              </w:numPr>
              <w:tabs>
                <w:tab w:pos="276" w:val="left" w:leader="none"/>
              </w:tabs>
              <w:spacing w:line="240" w:lineRule="auto" w:before="0" w:after="0"/>
              <w:ind w:left="275" w:right="0" w:hanging="169"/>
              <w:jc w:val="left"/>
              <w:rPr>
                <w:sz w:val="18"/>
              </w:rPr>
            </w:pPr>
            <w:r>
              <w:rPr>
                <w:sz w:val="18"/>
              </w:rPr>
              <w:t>As</w:t>
            </w:r>
            <w:r>
              <w:rPr>
                <w:spacing w:val="1"/>
                <w:sz w:val="18"/>
              </w:rPr>
              <w:t> </w:t>
            </w:r>
            <w:r>
              <w:rPr>
                <w:sz w:val="18"/>
              </w:rPr>
              <w:t>above</w:t>
            </w:r>
            <w:r>
              <w:rPr>
                <w:spacing w:val="-3"/>
                <w:sz w:val="18"/>
              </w:rPr>
              <w:t> </w:t>
            </w:r>
            <w:r>
              <w:rPr>
                <w:sz w:val="18"/>
              </w:rPr>
              <w:t>for</w:t>
            </w:r>
            <w:r>
              <w:rPr>
                <w:spacing w:val="-2"/>
                <w:sz w:val="18"/>
              </w:rPr>
              <w:t> </w:t>
            </w:r>
            <w:r>
              <w:rPr>
                <w:sz w:val="18"/>
              </w:rPr>
              <w:t>a</w:t>
            </w:r>
            <w:r>
              <w:rPr>
                <w:spacing w:val="-3"/>
                <w:sz w:val="18"/>
              </w:rPr>
              <w:t> </w:t>
            </w:r>
            <w:r>
              <w:rPr>
                <w:sz w:val="18"/>
              </w:rPr>
              <w:t>typical</w:t>
            </w:r>
            <w:r>
              <w:rPr>
                <w:spacing w:val="-3"/>
                <w:sz w:val="18"/>
              </w:rPr>
              <w:t> </w:t>
            </w:r>
            <w:r>
              <w:rPr>
                <w:sz w:val="18"/>
              </w:rPr>
              <w:t>Tier</w:t>
            </w:r>
            <w:r>
              <w:rPr>
                <w:spacing w:val="-4"/>
                <w:sz w:val="18"/>
              </w:rPr>
              <w:t> </w:t>
            </w:r>
            <w:r>
              <w:rPr>
                <w:sz w:val="18"/>
              </w:rPr>
              <w:t>2</w:t>
            </w:r>
            <w:r>
              <w:rPr>
                <w:spacing w:val="-3"/>
                <w:sz w:val="18"/>
              </w:rPr>
              <w:t> </w:t>
            </w:r>
            <w:r>
              <w:rPr>
                <w:sz w:val="18"/>
              </w:rPr>
              <w:t>patient.</w:t>
            </w:r>
          </w:p>
          <w:p>
            <w:pPr>
              <w:pStyle w:val="TableParagraph"/>
              <w:numPr>
                <w:ilvl w:val="0"/>
                <w:numId w:val="257"/>
              </w:numPr>
              <w:tabs>
                <w:tab w:pos="279" w:val="left" w:leader="none"/>
              </w:tabs>
              <w:spacing w:line="240" w:lineRule="auto" w:before="0" w:after="0"/>
              <w:ind w:left="278" w:right="0" w:hanging="172"/>
              <w:jc w:val="left"/>
              <w:rPr>
                <w:sz w:val="18"/>
              </w:rPr>
            </w:pPr>
            <w:r>
              <w:rPr>
                <w:sz w:val="18"/>
              </w:rPr>
              <w:t>As</w:t>
            </w:r>
            <w:r>
              <w:rPr>
                <w:spacing w:val="1"/>
                <w:sz w:val="18"/>
              </w:rPr>
              <w:t> </w:t>
            </w:r>
            <w:r>
              <w:rPr>
                <w:sz w:val="18"/>
              </w:rPr>
              <w:t>above</w:t>
            </w:r>
            <w:r>
              <w:rPr>
                <w:spacing w:val="-3"/>
                <w:sz w:val="18"/>
              </w:rPr>
              <w:t> </w:t>
            </w:r>
            <w:r>
              <w:rPr>
                <w:sz w:val="18"/>
              </w:rPr>
              <w:t>for</w:t>
            </w:r>
            <w:r>
              <w:rPr>
                <w:spacing w:val="-2"/>
                <w:sz w:val="18"/>
              </w:rPr>
              <w:t> </w:t>
            </w:r>
            <w:r>
              <w:rPr>
                <w:sz w:val="18"/>
              </w:rPr>
              <w:t>a</w:t>
            </w:r>
            <w:r>
              <w:rPr>
                <w:spacing w:val="-3"/>
                <w:sz w:val="18"/>
              </w:rPr>
              <w:t> </w:t>
            </w:r>
            <w:r>
              <w:rPr>
                <w:sz w:val="18"/>
              </w:rPr>
              <w:t>typical</w:t>
            </w:r>
            <w:r>
              <w:rPr>
                <w:spacing w:val="-3"/>
                <w:sz w:val="18"/>
              </w:rPr>
              <w:t> </w:t>
            </w:r>
            <w:r>
              <w:rPr>
                <w:sz w:val="18"/>
              </w:rPr>
              <w:t>Tier</w:t>
            </w:r>
            <w:r>
              <w:rPr>
                <w:spacing w:val="-4"/>
                <w:sz w:val="18"/>
              </w:rPr>
              <w:t> </w:t>
            </w:r>
            <w:r>
              <w:rPr>
                <w:sz w:val="18"/>
              </w:rPr>
              <w:t>3</w:t>
            </w:r>
            <w:r>
              <w:rPr>
                <w:spacing w:val="-3"/>
                <w:sz w:val="18"/>
              </w:rPr>
              <w:t> </w:t>
            </w:r>
            <w:r>
              <w:rPr>
                <w:sz w:val="18"/>
              </w:rPr>
              <w:t>patient.</w:t>
            </w:r>
          </w:p>
        </w:tc>
      </w:tr>
      <w:tr>
        <w:trPr>
          <w:trHeight w:val="1987" w:hRule="atLeast"/>
        </w:trPr>
        <w:tc>
          <w:tcPr>
            <w:tcW w:w="1980" w:type="dxa"/>
          </w:tcPr>
          <w:p>
            <w:pPr>
              <w:pStyle w:val="TableParagraph"/>
              <w:spacing w:line="219" w:lineRule="exact"/>
              <w:ind w:left="107"/>
              <w:rPr>
                <w:sz w:val="18"/>
              </w:rPr>
            </w:pPr>
            <w:r>
              <w:rPr>
                <w:sz w:val="18"/>
              </w:rPr>
              <w:t>Impacts/</w:t>
            </w:r>
            <w:r>
              <w:rPr>
                <w:spacing w:val="-5"/>
                <w:sz w:val="18"/>
              </w:rPr>
              <w:t> </w:t>
            </w:r>
            <w:r>
              <w:rPr>
                <w:sz w:val="18"/>
              </w:rPr>
              <w:t>outcomes</w:t>
            </w:r>
          </w:p>
        </w:tc>
        <w:tc>
          <w:tcPr>
            <w:tcW w:w="7038" w:type="dxa"/>
          </w:tcPr>
          <w:p>
            <w:pPr>
              <w:pStyle w:val="TableParagraph"/>
              <w:numPr>
                <w:ilvl w:val="0"/>
                <w:numId w:val="258"/>
              </w:numPr>
              <w:tabs>
                <w:tab w:pos="276" w:val="left" w:leader="none"/>
              </w:tabs>
              <w:spacing w:line="240" w:lineRule="auto" w:before="0" w:after="0"/>
              <w:ind w:left="275" w:right="541" w:hanging="168"/>
              <w:jc w:val="left"/>
              <w:rPr>
                <w:sz w:val="18"/>
              </w:rPr>
            </w:pPr>
            <w:r>
              <w:rPr>
                <w:sz w:val="18"/>
              </w:rPr>
              <w:t>What</w:t>
            </w:r>
            <w:r>
              <w:rPr>
                <w:spacing w:val="-4"/>
                <w:sz w:val="18"/>
              </w:rPr>
              <w:t> </w:t>
            </w:r>
            <w:r>
              <w:rPr>
                <w:sz w:val="18"/>
              </w:rPr>
              <w:t>changes</w:t>
            </w:r>
            <w:r>
              <w:rPr>
                <w:spacing w:val="-3"/>
                <w:sz w:val="18"/>
              </w:rPr>
              <w:t> </w:t>
            </w:r>
            <w:r>
              <w:rPr>
                <w:sz w:val="18"/>
              </w:rPr>
              <w:t>have</w:t>
            </w:r>
            <w:r>
              <w:rPr>
                <w:spacing w:val="-2"/>
                <w:sz w:val="18"/>
              </w:rPr>
              <w:t> </w:t>
            </w:r>
            <w:r>
              <w:rPr>
                <w:sz w:val="18"/>
              </w:rPr>
              <w:t>you</w:t>
            </w:r>
            <w:r>
              <w:rPr>
                <w:spacing w:val="-2"/>
                <w:sz w:val="18"/>
              </w:rPr>
              <w:t> </w:t>
            </w:r>
            <w:r>
              <w:rPr>
                <w:sz w:val="18"/>
              </w:rPr>
              <w:t>seen</w:t>
            </w:r>
            <w:r>
              <w:rPr>
                <w:spacing w:val="-4"/>
                <w:sz w:val="18"/>
              </w:rPr>
              <w:t> </w:t>
            </w:r>
            <w:r>
              <w:rPr>
                <w:sz w:val="18"/>
              </w:rPr>
              <w:t>in</w:t>
            </w:r>
            <w:r>
              <w:rPr>
                <w:spacing w:val="-2"/>
                <w:sz w:val="18"/>
              </w:rPr>
              <w:t> </w:t>
            </w:r>
            <w:r>
              <w:rPr>
                <w:sz w:val="18"/>
              </w:rPr>
              <w:t>your</w:t>
            </w:r>
            <w:r>
              <w:rPr>
                <w:spacing w:val="-2"/>
                <w:sz w:val="18"/>
              </w:rPr>
              <w:t> </w:t>
            </w:r>
            <w:r>
              <w:rPr>
                <w:sz w:val="18"/>
              </w:rPr>
              <w:t>patients (if</w:t>
            </w:r>
            <w:r>
              <w:rPr>
                <w:spacing w:val="-2"/>
                <w:sz w:val="18"/>
              </w:rPr>
              <w:t> </w:t>
            </w:r>
            <w:r>
              <w:rPr>
                <w:sz w:val="18"/>
              </w:rPr>
              <w:t>any)</w:t>
            </w:r>
            <w:r>
              <w:rPr>
                <w:spacing w:val="-5"/>
                <w:sz w:val="18"/>
              </w:rPr>
              <w:t> </w:t>
            </w:r>
            <w:r>
              <w:rPr>
                <w:sz w:val="18"/>
              </w:rPr>
              <w:t>as</w:t>
            </w:r>
            <w:r>
              <w:rPr>
                <w:spacing w:val="-3"/>
                <w:sz w:val="18"/>
              </w:rPr>
              <w:t> </w:t>
            </w:r>
            <w:r>
              <w:rPr>
                <w:sz w:val="18"/>
              </w:rPr>
              <w:t>a</w:t>
            </w:r>
            <w:r>
              <w:rPr>
                <w:spacing w:val="-3"/>
                <w:sz w:val="18"/>
              </w:rPr>
              <w:t> </w:t>
            </w:r>
            <w:r>
              <w:rPr>
                <w:sz w:val="18"/>
              </w:rPr>
              <w:t>result</w:t>
            </w:r>
            <w:r>
              <w:rPr>
                <w:spacing w:val="-4"/>
                <w:sz w:val="18"/>
              </w:rPr>
              <w:t> </w:t>
            </w:r>
            <w:r>
              <w:rPr>
                <w:sz w:val="18"/>
              </w:rPr>
              <w:t>of</w:t>
            </w:r>
            <w:r>
              <w:rPr>
                <w:spacing w:val="-1"/>
                <w:sz w:val="18"/>
              </w:rPr>
              <w:t> </w:t>
            </w:r>
            <w:r>
              <w:rPr>
                <w:sz w:val="18"/>
              </w:rPr>
              <w:t>their</w:t>
            </w:r>
            <w:r>
              <w:rPr>
                <w:spacing w:val="-47"/>
                <w:sz w:val="18"/>
              </w:rPr>
              <w:t> </w:t>
            </w:r>
            <w:r>
              <w:rPr>
                <w:sz w:val="18"/>
              </w:rPr>
              <w:t>participating</w:t>
            </w:r>
            <w:r>
              <w:rPr>
                <w:spacing w:val="-4"/>
                <w:sz w:val="18"/>
              </w:rPr>
              <w:t> </w:t>
            </w:r>
            <w:r>
              <w:rPr>
                <w:sz w:val="18"/>
              </w:rPr>
              <w:t>in</w:t>
            </w:r>
            <w:r>
              <w:rPr>
                <w:spacing w:val="-2"/>
                <w:sz w:val="18"/>
              </w:rPr>
              <w:t> </w:t>
            </w:r>
            <w:r>
              <w:rPr>
                <w:sz w:val="18"/>
              </w:rPr>
              <w:t>the Trial Program?</w:t>
            </w:r>
          </w:p>
          <w:p>
            <w:pPr>
              <w:pStyle w:val="TableParagraph"/>
              <w:ind w:left="107"/>
              <w:rPr>
                <w:sz w:val="18"/>
              </w:rPr>
            </w:pPr>
            <w:r>
              <w:rPr>
                <w:sz w:val="18"/>
              </w:rPr>
              <w:t>Prompts:</w:t>
            </w:r>
          </w:p>
          <w:p>
            <w:pPr>
              <w:pStyle w:val="TableParagraph"/>
              <w:numPr>
                <w:ilvl w:val="1"/>
                <w:numId w:val="258"/>
              </w:numPr>
              <w:tabs>
                <w:tab w:pos="821" w:val="left" w:leader="none"/>
                <w:tab w:pos="822" w:val="left" w:leader="none"/>
              </w:tabs>
              <w:spacing w:line="240" w:lineRule="auto" w:before="0" w:after="0"/>
              <w:ind w:left="821" w:right="0" w:hanging="357"/>
              <w:jc w:val="left"/>
              <w:rPr>
                <w:sz w:val="18"/>
              </w:rPr>
            </w:pPr>
            <w:r>
              <w:rPr>
                <w:sz w:val="18"/>
              </w:rPr>
              <w:t>Engagement</w:t>
            </w:r>
            <w:r>
              <w:rPr>
                <w:spacing w:val="-7"/>
                <w:sz w:val="18"/>
              </w:rPr>
              <w:t> </w:t>
            </w:r>
            <w:r>
              <w:rPr>
                <w:sz w:val="18"/>
              </w:rPr>
              <w:t>in</w:t>
            </w:r>
            <w:r>
              <w:rPr>
                <w:spacing w:val="-5"/>
                <w:sz w:val="18"/>
              </w:rPr>
              <w:t> </w:t>
            </w:r>
            <w:r>
              <w:rPr>
                <w:sz w:val="18"/>
              </w:rPr>
              <w:t>care</w:t>
            </w:r>
            <w:r>
              <w:rPr>
                <w:spacing w:val="-5"/>
                <w:sz w:val="18"/>
              </w:rPr>
              <w:t> </w:t>
            </w:r>
            <w:r>
              <w:rPr>
                <w:sz w:val="18"/>
              </w:rPr>
              <w:t>planning/</w:t>
            </w:r>
            <w:r>
              <w:rPr>
                <w:spacing w:val="-5"/>
                <w:sz w:val="18"/>
              </w:rPr>
              <w:t> </w:t>
            </w:r>
            <w:r>
              <w:rPr>
                <w:sz w:val="18"/>
              </w:rPr>
              <w:t>medication</w:t>
            </w:r>
            <w:r>
              <w:rPr>
                <w:spacing w:val="-5"/>
                <w:sz w:val="18"/>
              </w:rPr>
              <w:t> </w:t>
            </w:r>
            <w:r>
              <w:rPr>
                <w:sz w:val="18"/>
              </w:rPr>
              <w:t>management.</w:t>
            </w:r>
          </w:p>
          <w:p>
            <w:pPr>
              <w:pStyle w:val="TableParagraph"/>
              <w:numPr>
                <w:ilvl w:val="1"/>
                <w:numId w:val="258"/>
              </w:numPr>
              <w:tabs>
                <w:tab w:pos="821" w:val="left" w:leader="none"/>
                <w:tab w:pos="822" w:val="left" w:leader="none"/>
              </w:tabs>
              <w:spacing w:line="240" w:lineRule="auto" w:before="0" w:after="0"/>
              <w:ind w:left="821" w:right="0" w:hanging="357"/>
              <w:jc w:val="left"/>
              <w:rPr>
                <w:sz w:val="18"/>
              </w:rPr>
            </w:pPr>
            <w:r>
              <w:rPr>
                <w:sz w:val="18"/>
              </w:rPr>
              <w:t>Understanding</w:t>
            </w:r>
            <w:r>
              <w:rPr>
                <w:spacing w:val="-6"/>
                <w:sz w:val="18"/>
              </w:rPr>
              <w:t> </w:t>
            </w:r>
            <w:r>
              <w:rPr>
                <w:sz w:val="18"/>
              </w:rPr>
              <w:t>nature</w:t>
            </w:r>
            <w:r>
              <w:rPr>
                <w:spacing w:val="-3"/>
                <w:sz w:val="18"/>
              </w:rPr>
              <w:t> </w:t>
            </w:r>
            <w:r>
              <w:rPr>
                <w:sz w:val="18"/>
              </w:rPr>
              <w:t>and</w:t>
            </w:r>
            <w:r>
              <w:rPr>
                <w:spacing w:val="-4"/>
                <w:sz w:val="18"/>
              </w:rPr>
              <w:t> </w:t>
            </w:r>
            <w:r>
              <w:rPr>
                <w:sz w:val="18"/>
              </w:rPr>
              <w:t>cause</w:t>
            </w:r>
            <w:r>
              <w:rPr>
                <w:spacing w:val="-4"/>
                <w:sz w:val="18"/>
              </w:rPr>
              <w:t> </w:t>
            </w:r>
            <w:r>
              <w:rPr>
                <w:sz w:val="18"/>
              </w:rPr>
              <w:t>of</w:t>
            </w:r>
            <w:r>
              <w:rPr>
                <w:spacing w:val="-5"/>
                <w:sz w:val="18"/>
              </w:rPr>
              <w:t> </w:t>
            </w:r>
            <w:r>
              <w:rPr>
                <w:sz w:val="18"/>
              </w:rPr>
              <w:t>health</w:t>
            </w:r>
            <w:r>
              <w:rPr>
                <w:spacing w:val="-3"/>
                <w:sz w:val="18"/>
              </w:rPr>
              <w:t> </w:t>
            </w:r>
            <w:r>
              <w:rPr>
                <w:sz w:val="18"/>
              </w:rPr>
              <w:t>conditions(s).</w:t>
            </w:r>
          </w:p>
          <w:p>
            <w:pPr>
              <w:pStyle w:val="TableParagraph"/>
              <w:numPr>
                <w:ilvl w:val="1"/>
                <w:numId w:val="258"/>
              </w:numPr>
              <w:tabs>
                <w:tab w:pos="821" w:val="left" w:leader="none"/>
                <w:tab w:pos="822" w:val="left" w:leader="none"/>
              </w:tabs>
              <w:spacing w:line="240" w:lineRule="auto" w:before="0" w:after="0"/>
              <w:ind w:left="821" w:right="0" w:hanging="357"/>
              <w:jc w:val="left"/>
              <w:rPr>
                <w:sz w:val="18"/>
              </w:rPr>
            </w:pPr>
            <w:r>
              <w:rPr>
                <w:sz w:val="18"/>
              </w:rPr>
              <w:t>Understanding</w:t>
            </w:r>
            <w:r>
              <w:rPr>
                <w:spacing w:val="-5"/>
                <w:sz w:val="18"/>
              </w:rPr>
              <w:t> </w:t>
            </w:r>
            <w:r>
              <w:rPr>
                <w:sz w:val="18"/>
              </w:rPr>
              <w:t>the</w:t>
            </w:r>
            <w:r>
              <w:rPr>
                <w:spacing w:val="-2"/>
                <w:sz w:val="18"/>
              </w:rPr>
              <w:t> </w:t>
            </w:r>
            <w:r>
              <w:rPr>
                <w:sz w:val="18"/>
              </w:rPr>
              <w:t>role</w:t>
            </w:r>
            <w:r>
              <w:rPr>
                <w:spacing w:val="-5"/>
                <w:sz w:val="18"/>
              </w:rPr>
              <w:t> </w:t>
            </w:r>
            <w:r>
              <w:rPr>
                <w:sz w:val="18"/>
              </w:rPr>
              <w:t>of</w:t>
            </w:r>
            <w:r>
              <w:rPr>
                <w:spacing w:val="-1"/>
                <w:sz w:val="18"/>
              </w:rPr>
              <w:t> </w:t>
            </w:r>
            <w:r>
              <w:rPr>
                <w:sz w:val="18"/>
              </w:rPr>
              <w:t>medications</w:t>
            </w:r>
            <w:r>
              <w:rPr>
                <w:spacing w:val="-2"/>
                <w:sz w:val="18"/>
              </w:rPr>
              <w:t> </w:t>
            </w:r>
            <w:r>
              <w:rPr>
                <w:sz w:val="18"/>
              </w:rPr>
              <w:t>and</w:t>
            </w:r>
            <w:r>
              <w:rPr>
                <w:spacing w:val="-4"/>
                <w:sz w:val="18"/>
              </w:rPr>
              <w:t> </w:t>
            </w:r>
            <w:r>
              <w:rPr>
                <w:sz w:val="18"/>
              </w:rPr>
              <w:t>other</w:t>
            </w:r>
            <w:r>
              <w:rPr>
                <w:spacing w:val="-2"/>
                <w:sz w:val="18"/>
              </w:rPr>
              <w:t> </w:t>
            </w:r>
            <w:r>
              <w:rPr>
                <w:sz w:val="18"/>
              </w:rPr>
              <w:t>treatments.</w:t>
            </w:r>
          </w:p>
          <w:p>
            <w:pPr>
              <w:pStyle w:val="TableParagraph"/>
              <w:numPr>
                <w:ilvl w:val="1"/>
                <w:numId w:val="258"/>
              </w:numPr>
              <w:tabs>
                <w:tab w:pos="821" w:val="left" w:leader="none"/>
                <w:tab w:pos="822" w:val="left" w:leader="none"/>
              </w:tabs>
              <w:spacing w:line="240" w:lineRule="auto" w:before="0" w:after="0"/>
              <w:ind w:left="821" w:right="0" w:hanging="357"/>
              <w:jc w:val="left"/>
              <w:rPr>
                <w:sz w:val="18"/>
              </w:rPr>
            </w:pPr>
            <w:r>
              <w:rPr>
                <w:sz w:val="18"/>
              </w:rPr>
              <w:t>Skills</w:t>
            </w:r>
            <w:r>
              <w:rPr>
                <w:spacing w:val="-6"/>
                <w:sz w:val="18"/>
              </w:rPr>
              <w:t> </w:t>
            </w:r>
            <w:r>
              <w:rPr>
                <w:sz w:val="18"/>
              </w:rPr>
              <w:t>for</w:t>
            </w:r>
            <w:r>
              <w:rPr>
                <w:spacing w:val="-4"/>
                <w:sz w:val="18"/>
              </w:rPr>
              <w:t> </w:t>
            </w:r>
            <w:r>
              <w:rPr>
                <w:sz w:val="18"/>
              </w:rPr>
              <w:t>day-to-day</w:t>
            </w:r>
            <w:r>
              <w:rPr>
                <w:spacing w:val="-1"/>
                <w:sz w:val="18"/>
              </w:rPr>
              <w:t> </w:t>
            </w:r>
            <w:r>
              <w:rPr>
                <w:sz w:val="18"/>
              </w:rPr>
              <w:t>management.</w:t>
            </w:r>
          </w:p>
          <w:p>
            <w:pPr>
              <w:pStyle w:val="TableParagraph"/>
              <w:numPr>
                <w:ilvl w:val="1"/>
                <w:numId w:val="258"/>
              </w:numPr>
              <w:tabs>
                <w:tab w:pos="821" w:val="left" w:leader="none"/>
                <w:tab w:pos="822" w:val="left" w:leader="none"/>
              </w:tabs>
              <w:spacing w:line="240" w:lineRule="auto" w:before="0" w:after="0"/>
              <w:ind w:left="821" w:right="0" w:hanging="357"/>
              <w:jc w:val="left"/>
              <w:rPr>
                <w:sz w:val="18"/>
              </w:rPr>
            </w:pPr>
            <w:r>
              <w:rPr>
                <w:sz w:val="18"/>
              </w:rPr>
              <w:t>Understanding</w:t>
            </w:r>
            <w:r>
              <w:rPr>
                <w:spacing w:val="-5"/>
                <w:sz w:val="18"/>
              </w:rPr>
              <w:t> </w:t>
            </w:r>
            <w:r>
              <w:rPr>
                <w:sz w:val="18"/>
              </w:rPr>
              <w:t>of</w:t>
            </w:r>
            <w:r>
              <w:rPr>
                <w:spacing w:val="-4"/>
                <w:sz w:val="18"/>
              </w:rPr>
              <w:t> </w:t>
            </w:r>
            <w:r>
              <w:rPr>
                <w:sz w:val="18"/>
              </w:rPr>
              <w:t>role</w:t>
            </w:r>
            <w:r>
              <w:rPr>
                <w:spacing w:val="-2"/>
                <w:sz w:val="18"/>
              </w:rPr>
              <w:t> </w:t>
            </w:r>
            <w:r>
              <w:rPr>
                <w:sz w:val="18"/>
              </w:rPr>
              <w:t>of</w:t>
            </w:r>
            <w:r>
              <w:rPr>
                <w:spacing w:val="-5"/>
                <w:sz w:val="18"/>
              </w:rPr>
              <w:t> </w:t>
            </w:r>
            <w:r>
              <w:rPr>
                <w:sz w:val="18"/>
              </w:rPr>
              <w:t>lifestyle</w:t>
            </w:r>
            <w:r>
              <w:rPr>
                <w:spacing w:val="-3"/>
                <w:sz w:val="18"/>
              </w:rPr>
              <w:t> </w:t>
            </w:r>
            <w:r>
              <w:rPr>
                <w:sz w:val="18"/>
              </w:rPr>
              <w:t>factors</w:t>
            </w:r>
            <w:r>
              <w:rPr>
                <w:spacing w:val="-3"/>
                <w:sz w:val="18"/>
              </w:rPr>
              <w:t> </w:t>
            </w:r>
            <w:r>
              <w:rPr>
                <w:sz w:val="18"/>
              </w:rPr>
              <w:t>and</w:t>
            </w:r>
            <w:r>
              <w:rPr>
                <w:spacing w:val="-4"/>
                <w:sz w:val="18"/>
              </w:rPr>
              <w:t> </w:t>
            </w:r>
            <w:r>
              <w:rPr>
                <w:sz w:val="18"/>
              </w:rPr>
              <w:t>skills</w:t>
            </w:r>
            <w:r>
              <w:rPr>
                <w:spacing w:val="-4"/>
                <w:sz w:val="18"/>
              </w:rPr>
              <w:t> </w:t>
            </w:r>
            <w:r>
              <w:rPr>
                <w:sz w:val="18"/>
              </w:rPr>
              <w:t>to</w:t>
            </w:r>
            <w:r>
              <w:rPr>
                <w:spacing w:val="-3"/>
                <w:sz w:val="18"/>
              </w:rPr>
              <w:t> </w:t>
            </w:r>
            <w:r>
              <w:rPr>
                <w:sz w:val="18"/>
              </w:rPr>
              <w:t>make</w:t>
            </w:r>
            <w:r>
              <w:rPr>
                <w:spacing w:val="-2"/>
                <w:sz w:val="18"/>
              </w:rPr>
              <w:t> </w:t>
            </w:r>
            <w:r>
              <w:rPr>
                <w:sz w:val="18"/>
              </w:rPr>
              <w:t>changes.</w:t>
            </w:r>
          </w:p>
          <w:p>
            <w:pPr>
              <w:pStyle w:val="TableParagraph"/>
              <w:numPr>
                <w:ilvl w:val="1"/>
                <w:numId w:val="258"/>
              </w:numPr>
              <w:tabs>
                <w:tab w:pos="821" w:val="left" w:leader="none"/>
                <w:tab w:pos="822" w:val="left" w:leader="none"/>
              </w:tabs>
              <w:spacing w:line="202" w:lineRule="exact" w:before="0" w:after="0"/>
              <w:ind w:left="821" w:right="0" w:hanging="357"/>
              <w:jc w:val="left"/>
              <w:rPr>
                <w:sz w:val="18"/>
              </w:rPr>
            </w:pPr>
            <w:r>
              <w:rPr>
                <w:sz w:val="18"/>
              </w:rPr>
              <w:t>Identifying</w:t>
            </w:r>
            <w:r>
              <w:rPr>
                <w:spacing w:val="-6"/>
                <w:sz w:val="18"/>
              </w:rPr>
              <w:t> </w:t>
            </w:r>
            <w:r>
              <w:rPr>
                <w:sz w:val="18"/>
              </w:rPr>
              <w:t>and</w:t>
            </w:r>
            <w:r>
              <w:rPr>
                <w:spacing w:val="-4"/>
                <w:sz w:val="18"/>
              </w:rPr>
              <w:t> </w:t>
            </w:r>
            <w:r>
              <w:rPr>
                <w:sz w:val="18"/>
              </w:rPr>
              <w:t>preventing</w:t>
            </w:r>
            <w:r>
              <w:rPr>
                <w:spacing w:val="-6"/>
                <w:sz w:val="18"/>
              </w:rPr>
              <w:t> </w:t>
            </w:r>
            <w:r>
              <w:rPr>
                <w:sz w:val="18"/>
              </w:rPr>
              <w:t>further</w:t>
            </w:r>
            <w:r>
              <w:rPr>
                <w:spacing w:val="-5"/>
                <w:sz w:val="18"/>
              </w:rPr>
              <w:t> </w:t>
            </w:r>
            <w:r>
              <w:rPr>
                <w:sz w:val="18"/>
              </w:rPr>
              <w:t>problems.</w:t>
            </w:r>
          </w:p>
        </w:tc>
      </w:tr>
    </w:tbl>
    <w:p>
      <w:pPr>
        <w:spacing w:after="0" w:line="202" w:lineRule="exact"/>
        <w:jc w:val="left"/>
        <w:rPr>
          <w:sz w:val="18"/>
        </w:rPr>
        <w:sectPr>
          <w:type w:val="continuous"/>
          <w:pgSz w:w="11910" w:h="16840"/>
          <w:pgMar w:header="0" w:footer="948" w:top="1420" w:bottom="1430" w:left="300" w:right="0"/>
        </w:sectPr>
      </w:pPr>
    </w:p>
    <w:tbl>
      <w:tblPr>
        <w:tblW w:w="0" w:type="auto"/>
        <w:jc w:val="left"/>
        <w:tblInd w:w="11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980"/>
        <w:gridCol w:w="7038"/>
      </w:tblGrid>
      <w:tr>
        <w:trPr>
          <w:trHeight w:val="220" w:hRule="atLeast"/>
        </w:trPr>
        <w:tc>
          <w:tcPr>
            <w:tcW w:w="1980" w:type="dxa"/>
            <w:shd w:val="clear" w:color="auto" w:fill="003C79"/>
          </w:tcPr>
          <w:p>
            <w:pPr>
              <w:pStyle w:val="TableParagraph"/>
              <w:spacing w:line="201" w:lineRule="exact"/>
              <w:ind w:left="107"/>
              <w:rPr>
                <w:b/>
                <w:sz w:val="18"/>
              </w:rPr>
            </w:pPr>
            <w:r>
              <w:rPr>
                <w:b/>
                <w:color w:val="FFFFFF"/>
                <w:sz w:val="18"/>
              </w:rPr>
              <w:t>Topic</w:t>
            </w:r>
          </w:p>
        </w:tc>
        <w:tc>
          <w:tcPr>
            <w:tcW w:w="7038" w:type="dxa"/>
            <w:shd w:val="clear" w:color="auto" w:fill="003C79"/>
          </w:tcPr>
          <w:p>
            <w:pPr>
              <w:pStyle w:val="TableParagraph"/>
              <w:spacing w:line="201" w:lineRule="exact"/>
              <w:ind w:left="107"/>
              <w:rPr>
                <w:b/>
                <w:sz w:val="18"/>
              </w:rPr>
            </w:pPr>
            <w:r>
              <w:rPr>
                <w:b/>
                <w:color w:val="FFFFFF"/>
                <w:sz w:val="18"/>
              </w:rPr>
              <w:t>Question</w:t>
            </w:r>
          </w:p>
        </w:tc>
      </w:tr>
      <w:tr>
        <w:trPr>
          <w:trHeight w:val="441" w:hRule="atLeast"/>
        </w:trPr>
        <w:tc>
          <w:tcPr>
            <w:tcW w:w="1980" w:type="dxa"/>
          </w:tcPr>
          <w:p>
            <w:pPr>
              <w:pStyle w:val="TableParagraph"/>
              <w:rPr>
                <w:rFonts w:ascii="Times New Roman"/>
                <w:sz w:val="18"/>
              </w:rPr>
            </w:pPr>
          </w:p>
        </w:tc>
        <w:tc>
          <w:tcPr>
            <w:tcW w:w="7038" w:type="dxa"/>
          </w:tcPr>
          <w:p>
            <w:pPr>
              <w:pStyle w:val="TableParagraph"/>
              <w:numPr>
                <w:ilvl w:val="0"/>
                <w:numId w:val="259"/>
              </w:numPr>
              <w:tabs>
                <w:tab w:pos="821" w:val="left" w:leader="none"/>
                <w:tab w:pos="822" w:val="left" w:leader="none"/>
              </w:tabs>
              <w:spacing w:line="220" w:lineRule="exact" w:before="0" w:after="0"/>
              <w:ind w:left="821" w:right="587" w:hanging="356"/>
              <w:jc w:val="left"/>
              <w:rPr>
                <w:sz w:val="18"/>
              </w:rPr>
            </w:pPr>
            <w:r>
              <w:rPr>
                <w:sz w:val="18"/>
              </w:rPr>
              <w:t>Access</w:t>
            </w:r>
            <w:r>
              <w:rPr>
                <w:spacing w:val="-4"/>
                <w:sz w:val="18"/>
              </w:rPr>
              <w:t> </w:t>
            </w:r>
            <w:r>
              <w:rPr>
                <w:sz w:val="18"/>
              </w:rPr>
              <w:t>to</w:t>
            </w:r>
            <w:r>
              <w:rPr>
                <w:spacing w:val="-3"/>
                <w:sz w:val="18"/>
              </w:rPr>
              <w:t> </w:t>
            </w:r>
            <w:r>
              <w:rPr>
                <w:sz w:val="18"/>
              </w:rPr>
              <w:t>aides/</w:t>
            </w:r>
            <w:r>
              <w:rPr>
                <w:spacing w:val="-3"/>
                <w:sz w:val="18"/>
              </w:rPr>
              <w:t> </w:t>
            </w:r>
            <w:r>
              <w:rPr>
                <w:sz w:val="18"/>
              </w:rPr>
              <w:t>devices</w:t>
            </w:r>
            <w:r>
              <w:rPr>
                <w:spacing w:val="-6"/>
                <w:sz w:val="18"/>
              </w:rPr>
              <w:t> </w:t>
            </w:r>
            <w:r>
              <w:rPr>
                <w:sz w:val="18"/>
              </w:rPr>
              <w:t>and</w:t>
            </w:r>
            <w:r>
              <w:rPr>
                <w:spacing w:val="-4"/>
                <w:sz w:val="18"/>
              </w:rPr>
              <w:t> </w:t>
            </w:r>
            <w:r>
              <w:rPr>
                <w:sz w:val="18"/>
              </w:rPr>
              <w:t>medication</w:t>
            </w:r>
            <w:r>
              <w:rPr>
                <w:spacing w:val="-3"/>
                <w:sz w:val="18"/>
              </w:rPr>
              <w:t> </w:t>
            </w:r>
            <w:r>
              <w:rPr>
                <w:sz w:val="18"/>
              </w:rPr>
              <w:t>management</w:t>
            </w:r>
            <w:r>
              <w:rPr>
                <w:spacing w:val="-5"/>
                <w:sz w:val="18"/>
              </w:rPr>
              <w:t> </w:t>
            </w:r>
            <w:r>
              <w:rPr>
                <w:sz w:val="18"/>
              </w:rPr>
              <w:t>support</w:t>
            </w:r>
            <w:r>
              <w:rPr>
                <w:spacing w:val="-47"/>
                <w:sz w:val="18"/>
              </w:rPr>
              <w:t> </w:t>
            </w:r>
            <w:r>
              <w:rPr>
                <w:sz w:val="18"/>
              </w:rPr>
              <w:t>services.</w:t>
            </w:r>
          </w:p>
        </w:tc>
      </w:tr>
      <w:tr>
        <w:trPr>
          <w:trHeight w:val="863" w:hRule="atLeast"/>
        </w:trPr>
        <w:tc>
          <w:tcPr>
            <w:tcW w:w="1980" w:type="dxa"/>
          </w:tcPr>
          <w:p>
            <w:pPr>
              <w:pStyle w:val="TableParagraph"/>
              <w:spacing w:line="219" w:lineRule="exact"/>
              <w:ind w:left="107"/>
              <w:rPr>
                <w:sz w:val="18"/>
              </w:rPr>
            </w:pPr>
            <w:r>
              <w:rPr>
                <w:sz w:val="18"/>
              </w:rPr>
              <w:t>Recommendation</w:t>
            </w:r>
          </w:p>
        </w:tc>
        <w:tc>
          <w:tcPr>
            <w:tcW w:w="7038" w:type="dxa"/>
          </w:tcPr>
          <w:p>
            <w:pPr>
              <w:pStyle w:val="TableParagraph"/>
              <w:numPr>
                <w:ilvl w:val="0"/>
                <w:numId w:val="260"/>
              </w:numPr>
              <w:tabs>
                <w:tab w:pos="276" w:val="left" w:leader="none"/>
              </w:tabs>
              <w:spacing w:line="219" w:lineRule="exact" w:before="0" w:after="0"/>
              <w:ind w:left="275" w:right="0" w:hanging="169"/>
              <w:jc w:val="left"/>
              <w:rPr>
                <w:sz w:val="18"/>
              </w:rPr>
            </w:pPr>
            <w:r>
              <w:rPr>
                <w:sz w:val="18"/>
              </w:rPr>
              <w:t>Should</w:t>
            </w:r>
            <w:r>
              <w:rPr>
                <w:spacing w:val="-3"/>
                <w:sz w:val="18"/>
              </w:rPr>
              <w:t> </w:t>
            </w:r>
            <w:r>
              <w:rPr>
                <w:sz w:val="18"/>
              </w:rPr>
              <w:t>the</w:t>
            </w:r>
            <w:r>
              <w:rPr>
                <w:spacing w:val="-1"/>
                <w:sz w:val="18"/>
              </w:rPr>
              <w:t> </w:t>
            </w:r>
            <w:r>
              <w:rPr>
                <w:sz w:val="18"/>
              </w:rPr>
              <w:t>Trial</w:t>
            </w:r>
            <w:r>
              <w:rPr>
                <w:spacing w:val="-2"/>
                <w:sz w:val="18"/>
              </w:rPr>
              <w:t> </w:t>
            </w:r>
            <w:r>
              <w:rPr>
                <w:sz w:val="18"/>
              </w:rPr>
              <w:t>Program</w:t>
            </w:r>
            <w:r>
              <w:rPr>
                <w:spacing w:val="-5"/>
                <w:sz w:val="18"/>
              </w:rPr>
              <w:t> </w:t>
            </w:r>
            <w:r>
              <w:rPr>
                <w:sz w:val="18"/>
              </w:rPr>
              <w:t>continue?</w:t>
            </w:r>
          </w:p>
          <w:p>
            <w:pPr>
              <w:pStyle w:val="TableParagraph"/>
              <w:numPr>
                <w:ilvl w:val="0"/>
                <w:numId w:val="260"/>
              </w:numPr>
              <w:tabs>
                <w:tab w:pos="276" w:val="left" w:leader="none"/>
              </w:tabs>
              <w:spacing w:line="240" w:lineRule="auto" w:before="0" w:after="0"/>
              <w:ind w:left="275" w:right="0" w:hanging="169"/>
              <w:jc w:val="left"/>
              <w:rPr>
                <w:sz w:val="18"/>
              </w:rPr>
            </w:pPr>
            <w:r>
              <w:rPr>
                <w:sz w:val="18"/>
              </w:rPr>
              <w:t>If</w:t>
            </w:r>
            <w:r>
              <w:rPr>
                <w:spacing w:val="-3"/>
                <w:sz w:val="18"/>
              </w:rPr>
              <w:t> </w:t>
            </w:r>
            <w:r>
              <w:rPr>
                <w:sz w:val="18"/>
              </w:rPr>
              <w:t>not,</w:t>
            </w:r>
            <w:r>
              <w:rPr>
                <w:spacing w:val="-3"/>
                <w:sz w:val="18"/>
              </w:rPr>
              <w:t> </w:t>
            </w:r>
            <w:r>
              <w:rPr>
                <w:sz w:val="18"/>
              </w:rPr>
              <w:t>why</w:t>
            </w:r>
            <w:r>
              <w:rPr>
                <w:spacing w:val="-1"/>
                <w:sz w:val="18"/>
              </w:rPr>
              <w:t> </w:t>
            </w:r>
            <w:r>
              <w:rPr>
                <w:sz w:val="18"/>
              </w:rPr>
              <w:t>not?</w:t>
            </w:r>
          </w:p>
          <w:p>
            <w:pPr>
              <w:pStyle w:val="TableParagraph"/>
              <w:numPr>
                <w:ilvl w:val="0"/>
                <w:numId w:val="260"/>
              </w:numPr>
              <w:tabs>
                <w:tab w:pos="279" w:val="left" w:leader="none"/>
              </w:tabs>
              <w:spacing w:line="240" w:lineRule="auto" w:before="0" w:after="0"/>
              <w:ind w:left="278" w:right="0" w:hanging="172"/>
              <w:jc w:val="left"/>
              <w:rPr>
                <w:sz w:val="18"/>
              </w:rPr>
            </w:pPr>
            <w:r>
              <w:rPr>
                <w:sz w:val="18"/>
              </w:rPr>
              <w:t>If</w:t>
            </w:r>
            <w:r>
              <w:rPr>
                <w:spacing w:val="-4"/>
                <w:sz w:val="18"/>
              </w:rPr>
              <w:t> </w:t>
            </w:r>
            <w:r>
              <w:rPr>
                <w:sz w:val="18"/>
              </w:rPr>
              <w:t>so,</w:t>
            </w:r>
            <w:r>
              <w:rPr>
                <w:spacing w:val="-4"/>
                <w:sz w:val="18"/>
              </w:rPr>
              <w:t> </w:t>
            </w:r>
            <w:r>
              <w:rPr>
                <w:sz w:val="18"/>
              </w:rPr>
              <w:t>would</w:t>
            </w:r>
            <w:r>
              <w:rPr>
                <w:spacing w:val="-3"/>
                <w:sz w:val="18"/>
              </w:rPr>
              <w:t> </w:t>
            </w:r>
            <w:r>
              <w:rPr>
                <w:sz w:val="18"/>
              </w:rPr>
              <w:t>you</w:t>
            </w:r>
            <w:r>
              <w:rPr>
                <w:spacing w:val="-2"/>
                <w:sz w:val="18"/>
              </w:rPr>
              <w:t> </w:t>
            </w:r>
            <w:r>
              <w:rPr>
                <w:sz w:val="18"/>
              </w:rPr>
              <w:t>recommend</w:t>
            </w:r>
            <w:r>
              <w:rPr>
                <w:spacing w:val="-3"/>
                <w:sz w:val="18"/>
              </w:rPr>
              <w:t> </w:t>
            </w:r>
            <w:r>
              <w:rPr>
                <w:sz w:val="18"/>
              </w:rPr>
              <w:t>any</w:t>
            </w:r>
            <w:r>
              <w:rPr>
                <w:spacing w:val="-3"/>
                <w:sz w:val="18"/>
              </w:rPr>
              <w:t> </w:t>
            </w:r>
            <w:r>
              <w:rPr>
                <w:sz w:val="18"/>
              </w:rPr>
              <w:t>changes?</w:t>
            </w:r>
          </w:p>
        </w:tc>
      </w:tr>
      <w:tr>
        <w:trPr>
          <w:trHeight w:val="640" w:hRule="atLeast"/>
        </w:trPr>
        <w:tc>
          <w:tcPr>
            <w:tcW w:w="1980" w:type="dxa"/>
          </w:tcPr>
          <w:p>
            <w:pPr>
              <w:pStyle w:val="TableParagraph"/>
              <w:spacing w:line="219" w:lineRule="exact"/>
              <w:ind w:left="107"/>
              <w:rPr>
                <w:sz w:val="18"/>
              </w:rPr>
            </w:pPr>
            <w:r>
              <w:rPr>
                <w:sz w:val="18"/>
              </w:rPr>
              <w:t>Anything</w:t>
            </w:r>
            <w:r>
              <w:rPr>
                <w:spacing w:val="-6"/>
                <w:sz w:val="18"/>
              </w:rPr>
              <w:t> </w:t>
            </w:r>
            <w:r>
              <w:rPr>
                <w:sz w:val="18"/>
              </w:rPr>
              <w:t>else?</w:t>
            </w:r>
          </w:p>
        </w:tc>
        <w:tc>
          <w:tcPr>
            <w:tcW w:w="7038" w:type="dxa"/>
          </w:tcPr>
          <w:p>
            <w:pPr>
              <w:pStyle w:val="TableParagraph"/>
              <w:numPr>
                <w:ilvl w:val="0"/>
                <w:numId w:val="261"/>
              </w:numPr>
              <w:tabs>
                <w:tab w:pos="279" w:val="left" w:leader="none"/>
              </w:tabs>
              <w:spacing w:line="219" w:lineRule="exact" w:before="0" w:after="0"/>
              <w:ind w:left="278" w:right="0" w:hanging="172"/>
              <w:jc w:val="left"/>
              <w:rPr>
                <w:sz w:val="18"/>
              </w:rPr>
            </w:pPr>
            <w:r>
              <w:rPr>
                <w:sz w:val="18"/>
              </w:rPr>
              <w:t>Is</w:t>
            </w:r>
            <w:r>
              <w:rPr>
                <w:spacing w:val="-3"/>
                <w:sz w:val="18"/>
              </w:rPr>
              <w:t> </w:t>
            </w:r>
            <w:r>
              <w:rPr>
                <w:sz w:val="18"/>
              </w:rPr>
              <w:t>there</w:t>
            </w:r>
            <w:r>
              <w:rPr>
                <w:spacing w:val="-2"/>
                <w:sz w:val="18"/>
              </w:rPr>
              <w:t> </w:t>
            </w:r>
            <w:r>
              <w:rPr>
                <w:sz w:val="18"/>
              </w:rPr>
              <w:t>anything</w:t>
            </w:r>
            <w:r>
              <w:rPr>
                <w:spacing w:val="-4"/>
                <w:sz w:val="18"/>
              </w:rPr>
              <w:t> </w:t>
            </w:r>
            <w:r>
              <w:rPr>
                <w:sz w:val="18"/>
              </w:rPr>
              <w:t>else</w:t>
            </w:r>
            <w:r>
              <w:rPr>
                <w:spacing w:val="-2"/>
                <w:sz w:val="18"/>
              </w:rPr>
              <w:t> </w:t>
            </w:r>
            <w:r>
              <w:rPr>
                <w:sz w:val="18"/>
              </w:rPr>
              <w:t>that</w:t>
            </w:r>
            <w:r>
              <w:rPr>
                <w:spacing w:val="-4"/>
                <w:sz w:val="18"/>
              </w:rPr>
              <w:t> </w:t>
            </w:r>
            <w:r>
              <w:rPr>
                <w:sz w:val="18"/>
              </w:rPr>
              <w:t>we</w:t>
            </w:r>
            <w:r>
              <w:rPr>
                <w:spacing w:val="-2"/>
                <w:sz w:val="18"/>
              </w:rPr>
              <w:t> </w:t>
            </w:r>
            <w:r>
              <w:rPr>
                <w:sz w:val="18"/>
              </w:rPr>
              <w:t>haven’t</w:t>
            </w:r>
            <w:r>
              <w:rPr>
                <w:spacing w:val="-4"/>
                <w:sz w:val="18"/>
              </w:rPr>
              <w:t> </w:t>
            </w:r>
            <w:r>
              <w:rPr>
                <w:sz w:val="18"/>
              </w:rPr>
              <w:t>discussed</w:t>
            </w:r>
            <w:r>
              <w:rPr>
                <w:spacing w:val="-3"/>
                <w:sz w:val="18"/>
              </w:rPr>
              <w:t> </w:t>
            </w:r>
            <w:r>
              <w:rPr>
                <w:sz w:val="18"/>
              </w:rPr>
              <w:t>that</w:t>
            </w:r>
            <w:r>
              <w:rPr>
                <w:spacing w:val="-4"/>
                <w:sz w:val="18"/>
              </w:rPr>
              <w:t> </w:t>
            </w:r>
            <w:r>
              <w:rPr>
                <w:sz w:val="18"/>
              </w:rPr>
              <w:t>you</w:t>
            </w:r>
            <w:r>
              <w:rPr>
                <w:spacing w:val="-2"/>
                <w:sz w:val="18"/>
              </w:rPr>
              <w:t> </w:t>
            </w:r>
            <w:r>
              <w:rPr>
                <w:sz w:val="18"/>
              </w:rPr>
              <w:t>would</w:t>
            </w:r>
            <w:r>
              <w:rPr>
                <w:spacing w:val="-3"/>
                <w:sz w:val="18"/>
              </w:rPr>
              <w:t> </w:t>
            </w:r>
            <w:r>
              <w:rPr>
                <w:sz w:val="18"/>
              </w:rPr>
              <w:t>like</w:t>
            </w:r>
            <w:r>
              <w:rPr>
                <w:spacing w:val="-2"/>
                <w:sz w:val="18"/>
              </w:rPr>
              <w:t> </w:t>
            </w:r>
            <w:r>
              <w:rPr>
                <w:sz w:val="18"/>
              </w:rPr>
              <w:t>to</w:t>
            </w:r>
          </w:p>
          <w:p>
            <w:pPr>
              <w:pStyle w:val="TableParagraph"/>
              <w:ind w:left="278"/>
              <w:rPr>
                <w:sz w:val="18"/>
              </w:rPr>
            </w:pPr>
            <w:r>
              <w:rPr>
                <w:sz w:val="18"/>
              </w:rPr>
              <w:t>mention?</w:t>
            </w:r>
          </w:p>
        </w:tc>
      </w:tr>
    </w:tbl>
    <w:p>
      <w:pPr>
        <w:pStyle w:val="BodyText"/>
        <w:spacing w:before="1"/>
        <w:rPr>
          <w:sz w:val="15"/>
        </w:rPr>
      </w:pPr>
    </w:p>
    <w:p>
      <w:pPr>
        <w:pStyle w:val="Heading2"/>
        <w:spacing w:line="276" w:lineRule="auto" w:before="99"/>
        <w:ind w:left="1140" w:right="2308"/>
      </w:pPr>
      <w:bookmarkStart w:name="_bookmark94" w:id="95"/>
      <w:bookmarkEnd w:id="95"/>
      <w:r>
        <w:rPr/>
      </w:r>
      <w:r>
        <w:rPr>
          <w:color w:val="003C79"/>
        </w:rPr>
        <w:t>Topic guide – Related provider focus groups (except</w:t>
      </w:r>
      <w:r>
        <w:rPr>
          <w:color w:val="003C79"/>
          <w:spacing w:val="-86"/>
        </w:rPr>
        <w:t> </w:t>
      </w:r>
      <w:r>
        <w:rPr>
          <w:color w:val="003C79"/>
        </w:rPr>
        <w:t>community pharmacists)</w:t>
      </w:r>
    </w:p>
    <w:p>
      <w:pPr>
        <w:pStyle w:val="BodyText"/>
        <w:spacing w:before="4"/>
        <w:rPr>
          <w:sz w:val="16"/>
        </w:rPr>
      </w:pPr>
    </w:p>
    <w:tbl>
      <w:tblPr>
        <w:tblW w:w="0" w:type="auto"/>
        <w:jc w:val="left"/>
        <w:tblInd w:w="11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980"/>
        <w:gridCol w:w="7038"/>
      </w:tblGrid>
      <w:tr>
        <w:trPr>
          <w:trHeight w:val="225" w:hRule="atLeast"/>
        </w:trPr>
        <w:tc>
          <w:tcPr>
            <w:tcW w:w="1980" w:type="dxa"/>
            <w:shd w:val="clear" w:color="auto" w:fill="003C79"/>
          </w:tcPr>
          <w:p>
            <w:pPr>
              <w:pStyle w:val="TableParagraph"/>
              <w:spacing w:line="196" w:lineRule="exact"/>
              <w:ind w:left="107"/>
              <w:rPr>
                <w:b/>
                <w:sz w:val="16"/>
              </w:rPr>
            </w:pPr>
            <w:r>
              <w:rPr>
                <w:b/>
                <w:color w:val="FFFFFF"/>
                <w:sz w:val="16"/>
              </w:rPr>
              <w:t>Topic</w:t>
            </w:r>
          </w:p>
        </w:tc>
        <w:tc>
          <w:tcPr>
            <w:tcW w:w="7038" w:type="dxa"/>
            <w:shd w:val="clear" w:color="auto" w:fill="003C79"/>
          </w:tcPr>
          <w:p>
            <w:pPr>
              <w:pStyle w:val="TableParagraph"/>
              <w:spacing w:line="196" w:lineRule="exact"/>
              <w:ind w:left="107"/>
              <w:rPr>
                <w:b/>
                <w:sz w:val="16"/>
              </w:rPr>
            </w:pPr>
            <w:r>
              <w:rPr>
                <w:b/>
                <w:color w:val="FFFFFF"/>
                <w:sz w:val="16"/>
              </w:rPr>
              <w:t>Question</w:t>
            </w:r>
          </w:p>
        </w:tc>
      </w:tr>
      <w:tr>
        <w:trPr>
          <w:trHeight w:val="4768" w:hRule="atLeast"/>
        </w:trPr>
        <w:tc>
          <w:tcPr>
            <w:tcW w:w="1980" w:type="dxa"/>
          </w:tcPr>
          <w:p>
            <w:pPr>
              <w:pStyle w:val="TableParagraph"/>
              <w:spacing w:line="196" w:lineRule="exact"/>
              <w:ind w:left="107"/>
              <w:rPr>
                <w:sz w:val="16"/>
              </w:rPr>
            </w:pPr>
            <w:r>
              <w:rPr>
                <w:sz w:val="16"/>
              </w:rPr>
              <w:t>Introduction</w:t>
            </w:r>
          </w:p>
        </w:tc>
        <w:tc>
          <w:tcPr>
            <w:tcW w:w="7038" w:type="dxa"/>
          </w:tcPr>
          <w:p>
            <w:pPr>
              <w:pStyle w:val="TableParagraph"/>
              <w:numPr>
                <w:ilvl w:val="0"/>
                <w:numId w:val="262"/>
              </w:numPr>
              <w:tabs>
                <w:tab w:pos="279" w:val="left" w:leader="none"/>
              </w:tabs>
              <w:spacing w:line="219" w:lineRule="exact" w:before="0" w:after="0"/>
              <w:ind w:left="278" w:right="0" w:hanging="172"/>
              <w:jc w:val="left"/>
              <w:rPr>
                <w:sz w:val="18"/>
              </w:rPr>
            </w:pPr>
            <w:r>
              <w:rPr>
                <w:sz w:val="18"/>
              </w:rPr>
              <w:t>Introduction</w:t>
            </w:r>
            <w:r>
              <w:rPr>
                <w:spacing w:val="-7"/>
                <w:sz w:val="18"/>
              </w:rPr>
              <w:t> </w:t>
            </w:r>
            <w:r>
              <w:rPr>
                <w:sz w:val="18"/>
              </w:rPr>
              <w:t>of</w:t>
            </w:r>
            <w:r>
              <w:rPr>
                <w:spacing w:val="-4"/>
                <w:sz w:val="18"/>
              </w:rPr>
              <w:t> </w:t>
            </w:r>
            <w:r>
              <w:rPr>
                <w:sz w:val="18"/>
              </w:rPr>
              <w:t>researcher</w:t>
            </w:r>
            <w:r>
              <w:rPr>
                <w:spacing w:val="-3"/>
                <w:sz w:val="18"/>
              </w:rPr>
              <w:t> </w:t>
            </w:r>
            <w:r>
              <w:rPr>
                <w:sz w:val="18"/>
              </w:rPr>
              <w:t>and</w:t>
            </w:r>
            <w:r>
              <w:rPr>
                <w:spacing w:val="-4"/>
                <w:sz w:val="18"/>
              </w:rPr>
              <w:t> </w:t>
            </w:r>
            <w:r>
              <w:rPr>
                <w:sz w:val="18"/>
              </w:rPr>
              <w:t>describe</w:t>
            </w:r>
            <w:r>
              <w:rPr>
                <w:spacing w:val="-4"/>
                <w:sz w:val="18"/>
              </w:rPr>
              <w:t> </w:t>
            </w:r>
            <w:r>
              <w:rPr>
                <w:sz w:val="18"/>
              </w:rPr>
              <w:t>the</w:t>
            </w:r>
            <w:r>
              <w:rPr>
                <w:spacing w:val="-3"/>
                <w:sz w:val="18"/>
              </w:rPr>
              <w:t> </w:t>
            </w:r>
            <w:r>
              <w:rPr>
                <w:sz w:val="18"/>
              </w:rPr>
              <w:t>project</w:t>
            </w:r>
            <w:r>
              <w:rPr>
                <w:spacing w:val="-5"/>
                <w:sz w:val="18"/>
              </w:rPr>
              <w:t> </w:t>
            </w:r>
            <w:r>
              <w:rPr>
                <w:sz w:val="18"/>
              </w:rPr>
              <w:t>and</w:t>
            </w:r>
            <w:r>
              <w:rPr>
                <w:spacing w:val="-4"/>
                <w:sz w:val="18"/>
              </w:rPr>
              <w:t> </w:t>
            </w:r>
            <w:r>
              <w:rPr>
                <w:sz w:val="18"/>
              </w:rPr>
              <w:t>its</w:t>
            </w:r>
            <w:r>
              <w:rPr>
                <w:spacing w:val="-5"/>
                <w:sz w:val="18"/>
              </w:rPr>
              <w:t> </w:t>
            </w:r>
            <w:r>
              <w:rPr>
                <w:sz w:val="18"/>
              </w:rPr>
              <w:t>purpose.</w:t>
            </w:r>
          </w:p>
          <w:p>
            <w:pPr>
              <w:pStyle w:val="TableParagraph"/>
              <w:numPr>
                <w:ilvl w:val="0"/>
                <w:numId w:val="262"/>
              </w:numPr>
              <w:tabs>
                <w:tab w:pos="279" w:val="left" w:leader="none"/>
              </w:tabs>
              <w:spacing w:line="240" w:lineRule="auto" w:before="33" w:after="0"/>
              <w:ind w:left="278" w:right="0" w:hanging="172"/>
              <w:jc w:val="left"/>
              <w:rPr>
                <w:sz w:val="18"/>
              </w:rPr>
            </w:pPr>
            <w:r>
              <w:rPr>
                <w:sz w:val="18"/>
              </w:rPr>
              <w:t>Outline:</w:t>
            </w:r>
          </w:p>
          <w:p>
            <w:pPr>
              <w:pStyle w:val="TableParagraph"/>
              <w:numPr>
                <w:ilvl w:val="0"/>
                <w:numId w:val="262"/>
              </w:numPr>
              <w:tabs>
                <w:tab w:pos="279" w:val="left" w:leader="none"/>
              </w:tabs>
              <w:spacing w:line="276" w:lineRule="auto" w:before="34" w:after="0"/>
              <w:ind w:left="278" w:right="143" w:hanging="171"/>
              <w:jc w:val="left"/>
              <w:rPr>
                <w:sz w:val="18"/>
              </w:rPr>
            </w:pPr>
            <w:r>
              <w:rPr>
                <w:sz w:val="18"/>
              </w:rPr>
              <w:t>Remind the participant(s) that participation is voluntary; that they do not</w:t>
            </w:r>
            <w:r>
              <w:rPr>
                <w:spacing w:val="1"/>
                <w:sz w:val="18"/>
              </w:rPr>
              <w:t> </w:t>
            </w:r>
            <w:r>
              <w:rPr>
                <w:sz w:val="18"/>
              </w:rPr>
              <w:t>have to take part, and that there will be no repercussions if they choose not</w:t>
            </w:r>
            <w:r>
              <w:rPr>
                <w:spacing w:val="-47"/>
                <w:sz w:val="18"/>
              </w:rPr>
              <w:t> </w:t>
            </w:r>
            <w:r>
              <w:rPr>
                <w:sz w:val="18"/>
              </w:rPr>
              <w:t>to</w:t>
            </w:r>
            <w:r>
              <w:rPr>
                <w:spacing w:val="-1"/>
                <w:sz w:val="18"/>
              </w:rPr>
              <w:t> </w:t>
            </w:r>
            <w:r>
              <w:rPr>
                <w:sz w:val="18"/>
              </w:rPr>
              <w:t>do so.</w:t>
            </w:r>
          </w:p>
          <w:p>
            <w:pPr>
              <w:pStyle w:val="TableParagraph"/>
              <w:numPr>
                <w:ilvl w:val="0"/>
                <w:numId w:val="262"/>
              </w:numPr>
              <w:tabs>
                <w:tab w:pos="279" w:val="left" w:leader="none"/>
              </w:tabs>
              <w:spacing w:line="220" w:lineRule="exact" w:before="0" w:after="0"/>
              <w:ind w:left="278" w:right="0" w:hanging="172"/>
              <w:jc w:val="left"/>
              <w:rPr>
                <w:sz w:val="18"/>
              </w:rPr>
            </w:pPr>
            <w:r>
              <w:rPr>
                <w:sz w:val="18"/>
              </w:rPr>
              <w:t>Describe</w:t>
            </w:r>
            <w:r>
              <w:rPr>
                <w:spacing w:val="-5"/>
                <w:sz w:val="18"/>
              </w:rPr>
              <w:t> </w:t>
            </w:r>
            <w:r>
              <w:rPr>
                <w:sz w:val="18"/>
              </w:rPr>
              <w:t>what</w:t>
            </w:r>
            <w:r>
              <w:rPr>
                <w:spacing w:val="-4"/>
                <w:sz w:val="18"/>
              </w:rPr>
              <w:t> </w:t>
            </w:r>
            <w:r>
              <w:rPr>
                <w:sz w:val="18"/>
              </w:rPr>
              <w:t>participation</w:t>
            </w:r>
            <w:r>
              <w:rPr>
                <w:spacing w:val="-5"/>
                <w:sz w:val="18"/>
              </w:rPr>
              <w:t> </w:t>
            </w:r>
            <w:r>
              <w:rPr>
                <w:sz w:val="18"/>
              </w:rPr>
              <w:t>in</w:t>
            </w:r>
            <w:r>
              <w:rPr>
                <w:spacing w:val="-4"/>
                <w:sz w:val="18"/>
              </w:rPr>
              <w:t> </w:t>
            </w:r>
            <w:r>
              <w:rPr>
                <w:sz w:val="18"/>
              </w:rPr>
              <w:t>the</w:t>
            </w:r>
            <w:r>
              <w:rPr>
                <w:spacing w:val="-2"/>
                <w:sz w:val="18"/>
              </w:rPr>
              <w:t> </w:t>
            </w:r>
            <w:r>
              <w:rPr>
                <w:sz w:val="18"/>
              </w:rPr>
              <w:t>focus</w:t>
            </w:r>
            <w:r>
              <w:rPr>
                <w:spacing w:val="-2"/>
                <w:sz w:val="18"/>
              </w:rPr>
              <w:t> </w:t>
            </w:r>
            <w:r>
              <w:rPr>
                <w:sz w:val="18"/>
              </w:rPr>
              <w:t>group</w:t>
            </w:r>
            <w:r>
              <w:rPr>
                <w:spacing w:val="-5"/>
                <w:sz w:val="18"/>
              </w:rPr>
              <w:t> </w:t>
            </w:r>
            <w:r>
              <w:rPr>
                <w:sz w:val="18"/>
              </w:rPr>
              <w:t>involves.</w:t>
            </w:r>
          </w:p>
          <w:p>
            <w:pPr>
              <w:pStyle w:val="TableParagraph"/>
              <w:numPr>
                <w:ilvl w:val="0"/>
                <w:numId w:val="262"/>
              </w:numPr>
              <w:tabs>
                <w:tab w:pos="279" w:val="left" w:leader="none"/>
              </w:tabs>
              <w:spacing w:line="276" w:lineRule="auto" w:before="34" w:after="0"/>
              <w:ind w:left="278" w:right="147" w:hanging="171"/>
              <w:jc w:val="left"/>
              <w:rPr>
                <w:sz w:val="18"/>
              </w:rPr>
            </w:pPr>
            <w:r>
              <w:rPr>
                <w:sz w:val="18"/>
              </w:rPr>
              <w:t>Remind</w:t>
            </w:r>
            <w:r>
              <w:rPr>
                <w:spacing w:val="-3"/>
                <w:sz w:val="18"/>
              </w:rPr>
              <w:t> </w:t>
            </w:r>
            <w:r>
              <w:rPr>
                <w:sz w:val="18"/>
              </w:rPr>
              <w:t>the</w:t>
            </w:r>
            <w:r>
              <w:rPr>
                <w:spacing w:val="-1"/>
                <w:sz w:val="18"/>
              </w:rPr>
              <w:t> </w:t>
            </w:r>
            <w:r>
              <w:rPr>
                <w:sz w:val="18"/>
              </w:rPr>
              <w:t>participant</w:t>
            </w:r>
            <w:r>
              <w:rPr>
                <w:spacing w:val="-4"/>
                <w:sz w:val="18"/>
              </w:rPr>
              <w:t> </w:t>
            </w:r>
            <w:r>
              <w:rPr>
                <w:sz w:val="18"/>
              </w:rPr>
              <w:t>that</w:t>
            </w:r>
            <w:r>
              <w:rPr>
                <w:spacing w:val="-3"/>
                <w:sz w:val="18"/>
              </w:rPr>
              <w:t> </w:t>
            </w:r>
            <w:r>
              <w:rPr>
                <w:sz w:val="18"/>
              </w:rPr>
              <w:t>they</w:t>
            </w:r>
            <w:r>
              <w:rPr>
                <w:spacing w:val="-2"/>
                <w:sz w:val="18"/>
              </w:rPr>
              <w:t> </w:t>
            </w:r>
            <w:r>
              <w:rPr>
                <w:sz w:val="18"/>
              </w:rPr>
              <w:t>can</w:t>
            </w:r>
            <w:r>
              <w:rPr>
                <w:spacing w:val="-2"/>
                <w:sz w:val="18"/>
              </w:rPr>
              <w:t> </w:t>
            </w:r>
            <w:r>
              <w:rPr>
                <w:sz w:val="18"/>
              </w:rPr>
              <w:t>withdraw</w:t>
            </w:r>
            <w:r>
              <w:rPr>
                <w:spacing w:val="-2"/>
                <w:sz w:val="18"/>
              </w:rPr>
              <w:t> </w:t>
            </w:r>
            <w:r>
              <w:rPr>
                <w:sz w:val="18"/>
              </w:rPr>
              <w:t>from</w:t>
            </w:r>
            <w:r>
              <w:rPr>
                <w:spacing w:val="-5"/>
                <w:sz w:val="18"/>
              </w:rPr>
              <w:t> </w:t>
            </w:r>
            <w:r>
              <w:rPr>
                <w:sz w:val="18"/>
              </w:rPr>
              <w:t>the</w:t>
            </w:r>
            <w:r>
              <w:rPr>
                <w:spacing w:val="-2"/>
                <w:sz w:val="18"/>
              </w:rPr>
              <w:t> </w:t>
            </w:r>
            <w:r>
              <w:rPr>
                <w:sz w:val="18"/>
              </w:rPr>
              <w:t>focus</w:t>
            </w:r>
            <w:r>
              <w:rPr>
                <w:spacing w:val="-2"/>
                <w:sz w:val="18"/>
              </w:rPr>
              <w:t> </w:t>
            </w:r>
            <w:r>
              <w:rPr>
                <w:sz w:val="18"/>
              </w:rPr>
              <w:t>group</w:t>
            </w:r>
            <w:r>
              <w:rPr>
                <w:spacing w:val="-2"/>
                <w:sz w:val="18"/>
              </w:rPr>
              <w:t> </w:t>
            </w:r>
            <w:r>
              <w:rPr>
                <w:sz w:val="18"/>
              </w:rPr>
              <w:t>at</w:t>
            </w:r>
            <w:r>
              <w:rPr>
                <w:spacing w:val="-4"/>
                <w:sz w:val="18"/>
              </w:rPr>
              <w:t> </w:t>
            </w:r>
            <w:r>
              <w:rPr>
                <w:sz w:val="18"/>
              </w:rPr>
              <w:t>any</w:t>
            </w:r>
            <w:r>
              <w:rPr>
                <w:spacing w:val="-46"/>
                <w:sz w:val="18"/>
              </w:rPr>
              <w:t> </w:t>
            </w:r>
            <w:r>
              <w:rPr>
                <w:sz w:val="18"/>
              </w:rPr>
              <w:t>time,</w:t>
            </w:r>
            <w:r>
              <w:rPr>
                <w:spacing w:val="-3"/>
                <w:sz w:val="18"/>
              </w:rPr>
              <w:t> </w:t>
            </w:r>
            <w:r>
              <w:rPr>
                <w:sz w:val="18"/>
              </w:rPr>
              <w:t>and that</w:t>
            </w:r>
            <w:r>
              <w:rPr>
                <w:spacing w:val="-3"/>
                <w:sz w:val="18"/>
              </w:rPr>
              <w:t> </w:t>
            </w:r>
            <w:r>
              <w:rPr>
                <w:sz w:val="18"/>
              </w:rPr>
              <w:t>they</w:t>
            </w:r>
            <w:r>
              <w:rPr>
                <w:spacing w:val="-1"/>
                <w:sz w:val="18"/>
              </w:rPr>
              <w:t> </w:t>
            </w:r>
            <w:r>
              <w:rPr>
                <w:sz w:val="18"/>
              </w:rPr>
              <w:t>do</w:t>
            </w:r>
            <w:r>
              <w:rPr>
                <w:spacing w:val="-1"/>
                <w:sz w:val="18"/>
              </w:rPr>
              <w:t> </w:t>
            </w:r>
            <w:r>
              <w:rPr>
                <w:sz w:val="18"/>
              </w:rPr>
              <w:t>not have</w:t>
            </w:r>
            <w:r>
              <w:rPr>
                <w:spacing w:val="-1"/>
                <w:sz w:val="18"/>
              </w:rPr>
              <w:t> </w:t>
            </w:r>
            <w:r>
              <w:rPr>
                <w:sz w:val="18"/>
              </w:rPr>
              <w:t>to</w:t>
            </w:r>
            <w:r>
              <w:rPr>
                <w:spacing w:val="-1"/>
                <w:sz w:val="18"/>
              </w:rPr>
              <w:t> </w:t>
            </w:r>
            <w:r>
              <w:rPr>
                <w:sz w:val="18"/>
              </w:rPr>
              <w:t>answer</w:t>
            </w:r>
            <w:r>
              <w:rPr>
                <w:spacing w:val="-1"/>
                <w:sz w:val="18"/>
              </w:rPr>
              <w:t> </w:t>
            </w:r>
            <w:r>
              <w:rPr>
                <w:sz w:val="18"/>
              </w:rPr>
              <w:t>any</w:t>
            </w:r>
            <w:r>
              <w:rPr>
                <w:spacing w:val="-2"/>
                <w:sz w:val="18"/>
              </w:rPr>
              <w:t> </w:t>
            </w:r>
            <w:r>
              <w:rPr>
                <w:sz w:val="18"/>
              </w:rPr>
              <w:t>further</w:t>
            </w:r>
            <w:r>
              <w:rPr>
                <w:spacing w:val="-1"/>
                <w:sz w:val="18"/>
              </w:rPr>
              <w:t> </w:t>
            </w:r>
            <w:r>
              <w:rPr>
                <w:sz w:val="18"/>
              </w:rPr>
              <w:t>questions.</w:t>
            </w:r>
          </w:p>
          <w:p>
            <w:pPr>
              <w:pStyle w:val="TableParagraph"/>
              <w:numPr>
                <w:ilvl w:val="0"/>
                <w:numId w:val="262"/>
              </w:numPr>
              <w:tabs>
                <w:tab w:pos="279" w:val="left" w:leader="none"/>
              </w:tabs>
              <w:spacing w:line="276" w:lineRule="auto" w:before="0" w:after="0"/>
              <w:ind w:left="278" w:right="351" w:hanging="171"/>
              <w:jc w:val="both"/>
              <w:rPr>
                <w:sz w:val="18"/>
              </w:rPr>
            </w:pPr>
            <w:r>
              <w:rPr>
                <w:sz w:val="18"/>
              </w:rPr>
              <w:t>Outline confidentiality/anonymity provisions, that is, that the practice and</w:t>
            </w:r>
            <w:r>
              <w:rPr>
                <w:spacing w:val="-48"/>
                <w:sz w:val="18"/>
              </w:rPr>
              <w:t> </w:t>
            </w:r>
            <w:r>
              <w:rPr>
                <w:sz w:val="18"/>
              </w:rPr>
              <w:t>individuals responding on behalf of the practice will not be named in any</w:t>
            </w:r>
            <w:r>
              <w:rPr>
                <w:spacing w:val="-47"/>
                <w:sz w:val="18"/>
              </w:rPr>
              <w:t> </w:t>
            </w:r>
            <w:r>
              <w:rPr>
                <w:sz w:val="18"/>
              </w:rPr>
              <w:t>reporting</w:t>
            </w:r>
            <w:r>
              <w:rPr>
                <w:spacing w:val="-3"/>
                <w:sz w:val="18"/>
              </w:rPr>
              <w:t> </w:t>
            </w:r>
            <w:r>
              <w:rPr>
                <w:sz w:val="18"/>
              </w:rPr>
              <w:t>of</w:t>
            </w:r>
            <w:r>
              <w:rPr>
                <w:spacing w:val="1"/>
                <w:sz w:val="18"/>
              </w:rPr>
              <w:t> </w:t>
            </w:r>
            <w:r>
              <w:rPr>
                <w:sz w:val="18"/>
              </w:rPr>
              <w:t>results</w:t>
            </w:r>
            <w:r>
              <w:rPr>
                <w:spacing w:val="-1"/>
                <w:sz w:val="18"/>
              </w:rPr>
              <w:t> </w:t>
            </w:r>
            <w:r>
              <w:rPr>
                <w:sz w:val="18"/>
              </w:rPr>
              <w:t>to any</w:t>
            </w:r>
            <w:r>
              <w:rPr>
                <w:spacing w:val="-2"/>
                <w:sz w:val="18"/>
              </w:rPr>
              <w:t> </w:t>
            </w:r>
            <w:r>
              <w:rPr>
                <w:sz w:val="18"/>
              </w:rPr>
              <w:t>parties.</w:t>
            </w:r>
          </w:p>
          <w:p>
            <w:pPr>
              <w:pStyle w:val="TableParagraph"/>
              <w:numPr>
                <w:ilvl w:val="0"/>
                <w:numId w:val="262"/>
              </w:numPr>
              <w:tabs>
                <w:tab w:pos="279" w:val="left" w:leader="none"/>
              </w:tabs>
              <w:spacing w:line="273" w:lineRule="auto" w:before="1" w:after="0"/>
              <w:ind w:left="278" w:right="634" w:hanging="171"/>
              <w:jc w:val="left"/>
              <w:rPr>
                <w:sz w:val="18"/>
              </w:rPr>
            </w:pPr>
            <w:r>
              <w:rPr>
                <w:sz w:val="18"/>
              </w:rPr>
              <w:t>Outline</w:t>
            </w:r>
            <w:r>
              <w:rPr>
                <w:spacing w:val="-5"/>
                <w:sz w:val="18"/>
              </w:rPr>
              <w:t> </w:t>
            </w:r>
            <w:r>
              <w:rPr>
                <w:sz w:val="18"/>
              </w:rPr>
              <w:t>how</w:t>
            </w:r>
            <w:r>
              <w:rPr>
                <w:spacing w:val="-4"/>
                <w:sz w:val="18"/>
              </w:rPr>
              <w:t> </w:t>
            </w:r>
            <w:r>
              <w:rPr>
                <w:sz w:val="18"/>
              </w:rPr>
              <w:t>the</w:t>
            </w:r>
            <w:r>
              <w:rPr>
                <w:spacing w:val="-2"/>
                <w:sz w:val="18"/>
              </w:rPr>
              <w:t> </w:t>
            </w:r>
            <w:r>
              <w:rPr>
                <w:sz w:val="18"/>
              </w:rPr>
              <w:t>practice</w:t>
            </w:r>
            <w:r>
              <w:rPr>
                <w:spacing w:val="-2"/>
                <w:sz w:val="18"/>
              </w:rPr>
              <w:t> </w:t>
            </w:r>
            <w:r>
              <w:rPr>
                <w:sz w:val="18"/>
              </w:rPr>
              <w:t>will</w:t>
            </w:r>
            <w:r>
              <w:rPr>
                <w:spacing w:val="-3"/>
                <w:sz w:val="18"/>
              </w:rPr>
              <w:t> </w:t>
            </w:r>
            <w:r>
              <w:rPr>
                <w:sz w:val="18"/>
              </w:rPr>
              <w:t>be</w:t>
            </w:r>
            <w:r>
              <w:rPr>
                <w:spacing w:val="-4"/>
                <w:sz w:val="18"/>
              </w:rPr>
              <w:t> </w:t>
            </w:r>
            <w:r>
              <w:rPr>
                <w:sz w:val="18"/>
              </w:rPr>
              <w:t>informed</w:t>
            </w:r>
            <w:r>
              <w:rPr>
                <w:spacing w:val="-3"/>
                <w:sz w:val="18"/>
              </w:rPr>
              <w:t> </w:t>
            </w:r>
            <w:r>
              <w:rPr>
                <w:sz w:val="18"/>
              </w:rPr>
              <w:t>of</w:t>
            </w:r>
            <w:r>
              <w:rPr>
                <w:spacing w:val="-1"/>
                <w:sz w:val="18"/>
              </w:rPr>
              <w:t> </w:t>
            </w:r>
            <w:r>
              <w:rPr>
                <w:sz w:val="18"/>
              </w:rPr>
              <w:t>the</w:t>
            </w:r>
            <w:r>
              <w:rPr>
                <w:spacing w:val="-3"/>
                <w:sz w:val="18"/>
              </w:rPr>
              <w:t> </w:t>
            </w:r>
            <w:r>
              <w:rPr>
                <w:sz w:val="18"/>
              </w:rPr>
              <w:t>results</w:t>
            </w:r>
            <w:r>
              <w:rPr>
                <w:spacing w:val="-5"/>
                <w:sz w:val="18"/>
              </w:rPr>
              <w:t> </w:t>
            </w:r>
            <w:r>
              <w:rPr>
                <w:sz w:val="18"/>
              </w:rPr>
              <w:t>of</w:t>
            </w:r>
            <w:r>
              <w:rPr>
                <w:spacing w:val="-2"/>
                <w:sz w:val="18"/>
              </w:rPr>
              <w:t> </w:t>
            </w:r>
            <w:r>
              <w:rPr>
                <w:sz w:val="18"/>
              </w:rPr>
              <w:t>the</w:t>
            </w:r>
            <w:r>
              <w:rPr>
                <w:spacing w:val="-2"/>
                <w:sz w:val="18"/>
              </w:rPr>
              <w:t> </w:t>
            </w:r>
            <w:r>
              <w:rPr>
                <w:sz w:val="18"/>
              </w:rPr>
              <w:t>research</w:t>
            </w:r>
            <w:r>
              <w:rPr>
                <w:spacing w:val="-47"/>
                <w:sz w:val="18"/>
              </w:rPr>
              <w:t> </w:t>
            </w:r>
            <w:r>
              <w:rPr>
                <w:sz w:val="18"/>
              </w:rPr>
              <w:t>when</w:t>
            </w:r>
            <w:r>
              <w:rPr>
                <w:spacing w:val="-2"/>
                <w:sz w:val="18"/>
              </w:rPr>
              <w:t> </w:t>
            </w:r>
            <w:r>
              <w:rPr>
                <w:sz w:val="18"/>
              </w:rPr>
              <w:t>it</w:t>
            </w:r>
            <w:r>
              <w:rPr>
                <w:spacing w:val="-2"/>
                <w:sz w:val="18"/>
              </w:rPr>
              <w:t> </w:t>
            </w:r>
            <w:r>
              <w:rPr>
                <w:sz w:val="18"/>
              </w:rPr>
              <w:t>is</w:t>
            </w:r>
            <w:r>
              <w:rPr>
                <w:spacing w:val="-3"/>
                <w:sz w:val="18"/>
              </w:rPr>
              <w:t> </w:t>
            </w:r>
            <w:r>
              <w:rPr>
                <w:sz w:val="18"/>
              </w:rPr>
              <w:t>finished.</w:t>
            </w:r>
          </w:p>
          <w:p>
            <w:pPr>
              <w:pStyle w:val="TableParagraph"/>
              <w:numPr>
                <w:ilvl w:val="0"/>
                <w:numId w:val="262"/>
              </w:numPr>
              <w:tabs>
                <w:tab w:pos="279" w:val="left" w:leader="none"/>
              </w:tabs>
              <w:spacing w:line="276" w:lineRule="auto" w:before="3" w:after="0"/>
              <w:ind w:left="278" w:right="344" w:hanging="171"/>
              <w:jc w:val="left"/>
              <w:rPr>
                <w:sz w:val="18"/>
              </w:rPr>
            </w:pPr>
            <w:r>
              <w:rPr>
                <w:sz w:val="18"/>
              </w:rPr>
              <w:t>Provide details on who to contact in case of any or concerns or questions</w:t>
            </w:r>
            <w:r>
              <w:rPr>
                <w:spacing w:val="-47"/>
                <w:sz w:val="18"/>
              </w:rPr>
              <w:t> </w:t>
            </w:r>
            <w:r>
              <w:rPr>
                <w:sz w:val="18"/>
              </w:rPr>
              <w:t>that may</w:t>
            </w:r>
            <w:r>
              <w:rPr>
                <w:spacing w:val="-1"/>
                <w:sz w:val="18"/>
              </w:rPr>
              <w:t> </w:t>
            </w:r>
            <w:r>
              <w:rPr>
                <w:sz w:val="18"/>
              </w:rPr>
              <w:t>arise after the</w:t>
            </w:r>
            <w:r>
              <w:rPr>
                <w:spacing w:val="-3"/>
                <w:sz w:val="18"/>
              </w:rPr>
              <w:t> </w:t>
            </w:r>
            <w:r>
              <w:rPr>
                <w:sz w:val="18"/>
              </w:rPr>
              <w:t>focus</w:t>
            </w:r>
            <w:r>
              <w:rPr>
                <w:spacing w:val="-1"/>
                <w:sz w:val="18"/>
              </w:rPr>
              <w:t> </w:t>
            </w:r>
            <w:r>
              <w:rPr>
                <w:sz w:val="18"/>
              </w:rPr>
              <w:t>group.</w:t>
            </w:r>
          </w:p>
          <w:p>
            <w:pPr>
              <w:pStyle w:val="TableParagraph"/>
              <w:numPr>
                <w:ilvl w:val="0"/>
                <w:numId w:val="262"/>
              </w:numPr>
              <w:tabs>
                <w:tab w:pos="279" w:val="left" w:leader="none"/>
              </w:tabs>
              <w:spacing w:line="240" w:lineRule="auto" w:before="1" w:after="0"/>
              <w:ind w:left="278" w:right="0" w:hanging="172"/>
              <w:jc w:val="left"/>
              <w:rPr>
                <w:sz w:val="18"/>
              </w:rPr>
            </w:pPr>
            <w:r>
              <w:rPr>
                <w:sz w:val="18"/>
              </w:rPr>
              <w:t>Seek</w:t>
            </w:r>
            <w:r>
              <w:rPr>
                <w:spacing w:val="-3"/>
                <w:sz w:val="18"/>
              </w:rPr>
              <w:t> </w:t>
            </w:r>
            <w:r>
              <w:rPr>
                <w:sz w:val="18"/>
              </w:rPr>
              <w:t>permission</w:t>
            </w:r>
            <w:r>
              <w:rPr>
                <w:spacing w:val="-2"/>
                <w:sz w:val="18"/>
              </w:rPr>
              <w:t> </w:t>
            </w:r>
            <w:r>
              <w:rPr>
                <w:sz w:val="18"/>
              </w:rPr>
              <w:t>to</w:t>
            </w:r>
            <w:r>
              <w:rPr>
                <w:spacing w:val="-2"/>
                <w:sz w:val="18"/>
              </w:rPr>
              <w:t> </w:t>
            </w:r>
            <w:r>
              <w:rPr>
                <w:sz w:val="18"/>
              </w:rPr>
              <w:t>audio</w:t>
            </w:r>
            <w:r>
              <w:rPr>
                <w:spacing w:val="-5"/>
                <w:sz w:val="18"/>
              </w:rPr>
              <w:t> </w:t>
            </w:r>
            <w:r>
              <w:rPr>
                <w:sz w:val="18"/>
              </w:rPr>
              <w:t>record</w:t>
            </w:r>
            <w:r>
              <w:rPr>
                <w:spacing w:val="-3"/>
                <w:sz w:val="18"/>
              </w:rPr>
              <w:t> </w:t>
            </w:r>
            <w:r>
              <w:rPr>
                <w:sz w:val="18"/>
              </w:rPr>
              <w:t>the</w:t>
            </w:r>
            <w:r>
              <w:rPr>
                <w:spacing w:val="-2"/>
                <w:sz w:val="18"/>
              </w:rPr>
              <w:t> </w:t>
            </w:r>
            <w:r>
              <w:rPr>
                <w:sz w:val="18"/>
              </w:rPr>
              <w:t>focus</w:t>
            </w:r>
            <w:r>
              <w:rPr>
                <w:spacing w:val="-3"/>
                <w:sz w:val="18"/>
              </w:rPr>
              <w:t> </w:t>
            </w:r>
            <w:r>
              <w:rPr>
                <w:sz w:val="18"/>
              </w:rPr>
              <w:t>group.</w:t>
            </w:r>
          </w:p>
          <w:p>
            <w:pPr>
              <w:pStyle w:val="TableParagraph"/>
              <w:numPr>
                <w:ilvl w:val="0"/>
                <w:numId w:val="262"/>
              </w:numPr>
              <w:tabs>
                <w:tab w:pos="279" w:val="left" w:leader="none"/>
              </w:tabs>
              <w:spacing w:line="240" w:lineRule="auto" w:before="32" w:after="0"/>
              <w:ind w:left="278" w:right="0" w:hanging="172"/>
              <w:jc w:val="left"/>
              <w:rPr>
                <w:sz w:val="18"/>
              </w:rPr>
            </w:pPr>
            <w:r>
              <w:rPr>
                <w:sz w:val="18"/>
              </w:rPr>
              <w:t>Check</w:t>
            </w:r>
            <w:r>
              <w:rPr>
                <w:spacing w:val="-5"/>
                <w:sz w:val="18"/>
              </w:rPr>
              <w:t> </w:t>
            </w:r>
            <w:r>
              <w:rPr>
                <w:sz w:val="18"/>
              </w:rPr>
              <w:t>whether</w:t>
            </w:r>
            <w:r>
              <w:rPr>
                <w:spacing w:val="-5"/>
                <w:sz w:val="18"/>
              </w:rPr>
              <w:t> </w:t>
            </w:r>
            <w:r>
              <w:rPr>
                <w:sz w:val="18"/>
              </w:rPr>
              <w:t>the</w:t>
            </w:r>
            <w:r>
              <w:rPr>
                <w:spacing w:val="-3"/>
                <w:sz w:val="18"/>
              </w:rPr>
              <w:t> </w:t>
            </w:r>
            <w:r>
              <w:rPr>
                <w:sz w:val="18"/>
              </w:rPr>
              <w:t>participant(s)</w:t>
            </w:r>
            <w:r>
              <w:rPr>
                <w:spacing w:val="-5"/>
                <w:sz w:val="18"/>
              </w:rPr>
              <w:t> </w:t>
            </w:r>
            <w:r>
              <w:rPr>
                <w:sz w:val="18"/>
              </w:rPr>
              <w:t>has(ve)</w:t>
            </w:r>
            <w:r>
              <w:rPr>
                <w:spacing w:val="-4"/>
                <w:sz w:val="18"/>
              </w:rPr>
              <w:t> </w:t>
            </w:r>
            <w:r>
              <w:rPr>
                <w:sz w:val="18"/>
              </w:rPr>
              <w:t>any</w:t>
            </w:r>
            <w:r>
              <w:rPr>
                <w:spacing w:val="-4"/>
                <w:sz w:val="18"/>
              </w:rPr>
              <w:t> </w:t>
            </w:r>
            <w:r>
              <w:rPr>
                <w:sz w:val="18"/>
              </w:rPr>
              <w:t>questions.</w:t>
            </w:r>
          </w:p>
          <w:p>
            <w:pPr>
              <w:pStyle w:val="TableParagraph"/>
              <w:numPr>
                <w:ilvl w:val="0"/>
                <w:numId w:val="262"/>
              </w:numPr>
              <w:tabs>
                <w:tab w:pos="279" w:val="left" w:leader="none"/>
              </w:tabs>
              <w:spacing w:line="240" w:lineRule="auto" w:before="33" w:after="0"/>
              <w:ind w:left="278" w:right="0" w:hanging="172"/>
              <w:jc w:val="left"/>
              <w:rPr>
                <w:sz w:val="18"/>
              </w:rPr>
            </w:pPr>
            <w:r>
              <w:rPr>
                <w:sz w:val="18"/>
              </w:rPr>
              <w:t>Seek</w:t>
            </w:r>
            <w:r>
              <w:rPr>
                <w:spacing w:val="-3"/>
                <w:sz w:val="18"/>
              </w:rPr>
              <w:t> </w:t>
            </w:r>
            <w:r>
              <w:rPr>
                <w:sz w:val="18"/>
              </w:rPr>
              <w:t>verbal</w:t>
            </w:r>
            <w:r>
              <w:rPr>
                <w:spacing w:val="-2"/>
                <w:sz w:val="18"/>
              </w:rPr>
              <w:t> </w:t>
            </w:r>
            <w:r>
              <w:rPr>
                <w:sz w:val="18"/>
              </w:rPr>
              <w:t>consent</w:t>
            </w:r>
            <w:r>
              <w:rPr>
                <w:spacing w:val="-4"/>
                <w:sz w:val="18"/>
              </w:rPr>
              <w:t> </w:t>
            </w:r>
            <w:r>
              <w:rPr>
                <w:sz w:val="18"/>
              </w:rPr>
              <w:t>for</w:t>
            </w:r>
            <w:r>
              <w:rPr>
                <w:spacing w:val="-1"/>
                <w:sz w:val="18"/>
              </w:rPr>
              <w:t> </w:t>
            </w:r>
            <w:r>
              <w:rPr>
                <w:sz w:val="18"/>
              </w:rPr>
              <w:t>participation.</w:t>
            </w:r>
          </w:p>
        </w:tc>
      </w:tr>
      <w:tr>
        <w:trPr>
          <w:trHeight w:val="961" w:hRule="atLeast"/>
        </w:trPr>
        <w:tc>
          <w:tcPr>
            <w:tcW w:w="1980" w:type="dxa"/>
          </w:tcPr>
          <w:p>
            <w:pPr>
              <w:pStyle w:val="TableParagraph"/>
              <w:spacing w:line="196" w:lineRule="exact"/>
              <w:ind w:left="107"/>
              <w:rPr>
                <w:sz w:val="16"/>
              </w:rPr>
            </w:pPr>
            <w:r>
              <w:rPr>
                <w:sz w:val="16"/>
              </w:rPr>
              <w:t>Initiatives</w:t>
            </w:r>
            <w:r>
              <w:rPr>
                <w:spacing w:val="-4"/>
                <w:sz w:val="16"/>
              </w:rPr>
              <w:t> </w:t>
            </w:r>
            <w:r>
              <w:rPr>
                <w:sz w:val="16"/>
              </w:rPr>
              <w:t>under</w:t>
            </w:r>
            <w:r>
              <w:rPr>
                <w:spacing w:val="-4"/>
                <w:sz w:val="16"/>
              </w:rPr>
              <w:t> </w:t>
            </w:r>
            <w:r>
              <w:rPr>
                <w:sz w:val="16"/>
              </w:rPr>
              <w:t>HCH</w:t>
            </w:r>
          </w:p>
        </w:tc>
        <w:tc>
          <w:tcPr>
            <w:tcW w:w="7038" w:type="dxa"/>
          </w:tcPr>
          <w:p>
            <w:pPr>
              <w:pStyle w:val="TableParagraph"/>
              <w:numPr>
                <w:ilvl w:val="0"/>
                <w:numId w:val="263"/>
              </w:numPr>
              <w:tabs>
                <w:tab w:pos="279" w:val="left" w:leader="none"/>
              </w:tabs>
              <w:spacing w:line="276" w:lineRule="auto" w:before="0" w:after="0"/>
              <w:ind w:left="278" w:right="307" w:hanging="171"/>
              <w:jc w:val="left"/>
              <w:rPr>
                <w:sz w:val="18"/>
              </w:rPr>
            </w:pPr>
            <w:r>
              <w:rPr>
                <w:sz w:val="18"/>
              </w:rPr>
              <w:t>What</w:t>
            </w:r>
            <w:r>
              <w:rPr>
                <w:spacing w:val="-4"/>
                <w:sz w:val="18"/>
              </w:rPr>
              <w:t> </w:t>
            </w:r>
            <w:r>
              <w:rPr>
                <w:sz w:val="18"/>
              </w:rPr>
              <w:t>changes,</w:t>
            </w:r>
            <w:r>
              <w:rPr>
                <w:spacing w:val="-4"/>
                <w:sz w:val="18"/>
              </w:rPr>
              <w:t> </w:t>
            </w:r>
            <w:r>
              <w:rPr>
                <w:sz w:val="18"/>
              </w:rPr>
              <w:t>if</w:t>
            </w:r>
            <w:r>
              <w:rPr>
                <w:spacing w:val="-3"/>
                <w:sz w:val="18"/>
              </w:rPr>
              <w:t> </w:t>
            </w:r>
            <w:r>
              <w:rPr>
                <w:sz w:val="18"/>
              </w:rPr>
              <w:t>any,</w:t>
            </w:r>
            <w:r>
              <w:rPr>
                <w:spacing w:val="-5"/>
                <w:sz w:val="18"/>
              </w:rPr>
              <w:t> </w:t>
            </w:r>
            <w:r>
              <w:rPr>
                <w:sz w:val="18"/>
              </w:rPr>
              <w:t>have</w:t>
            </w:r>
            <w:r>
              <w:rPr>
                <w:spacing w:val="-4"/>
                <w:sz w:val="18"/>
              </w:rPr>
              <w:t> </w:t>
            </w:r>
            <w:r>
              <w:rPr>
                <w:sz w:val="18"/>
              </w:rPr>
              <w:t>occurred</w:t>
            </w:r>
            <w:r>
              <w:rPr>
                <w:spacing w:val="-3"/>
                <w:sz w:val="18"/>
              </w:rPr>
              <w:t> </w:t>
            </w:r>
            <w:r>
              <w:rPr>
                <w:sz w:val="18"/>
              </w:rPr>
              <w:t>at</w:t>
            </w:r>
            <w:r>
              <w:rPr>
                <w:spacing w:val="-4"/>
                <w:sz w:val="18"/>
              </w:rPr>
              <w:t> </w:t>
            </w:r>
            <w:r>
              <w:rPr>
                <w:sz w:val="18"/>
              </w:rPr>
              <w:t>the</w:t>
            </w:r>
            <w:r>
              <w:rPr>
                <w:spacing w:val="-2"/>
                <w:sz w:val="18"/>
              </w:rPr>
              <w:t> </w:t>
            </w:r>
            <w:r>
              <w:rPr>
                <w:sz w:val="18"/>
              </w:rPr>
              <w:t>HCH</w:t>
            </w:r>
            <w:r>
              <w:rPr>
                <w:spacing w:val="-3"/>
                <w:sz w:val="18"/>
              </w:rPr>
              <w:t> </w:t>
            </w:r>
            <w:r>
              <w:rPr>
                <w:sz w:val="18"/>
              </w:rPr>
              <w:t>practices</w:t>
            </w:r>
            <w:r>
              <w:rPr>
                <w:spacing w:val="-3"/>
                <w:sz w:val="18"/>
              </w:rPr>
              <w:t> </w:t>
            </w:r>
            <w:r>
              <w:rPr>
                <w:sz w:val="18"/>
              </w:rPr>
              <w:t>that</w:t>
            </w:r>
            <w:r>
              <w:rPr>
                <w:spacing w:val="-4"/>
                <w:sz w:val="18"/>
              </w:rPr>
              <w:t> </w:t>
            </w:r>
            <w:r>
              <w:rPr>
                <w:sz w:val="18"/>
              </w:rPr>
              <w:t>you</w:t>
            </w:r>
            <w:r>
              <w:rPr>
                <w:spacing w:val="-2"/>
                <w:sz w:val="18"/>
              </w:rPr>
              <w:t> </w:t>
            </w:r>
            <w:r>
              <w:rPr>
                <w:sz w:val="18"/>
              </w:rPr>
              <w:t>share</w:t>
            </w:r>
            <w:r>
              <w:rPr>
                <w:spacing w:val="-47"/>
                <w:sz w:val="18"/>
              </w:rPr>
              <w:t> </w:t>
            </w:r>
            <w:r>
              <w:rPr>
                <w:sz w:val="18"/>
              </w:rPr>
              <w:t>patients</w:t>
            </w:r>
            <w:r>
              <w:rPr>
                <w:spacing w:val="-3"/>
                <w:sz w:val="18"/>
              </w:rPr>
              <w:t> </w:t>
            </w:r>
            <w:r>
              <w:rPr>
                <w:sz w:val="18"/>
              </w:rPr>
              <w:t>with</w:t>
            </w:r>
            <w:r>
              <w:rPr>
                <w:spacing w:val="2"/>
                <w:sz w:val="18"/>
              </w:rPr>
              <w:t> </w:t>
            </w:r>
            <w:r>
              <w:rPr>
                <w:sz w:val="18"/>
              </w:rPr>
              <w:t>(</w:t>
            </w:r>
            <w:r>
              <w:rPr>
                <w:b/>
                <w:sz w:val="18"/>
              </w:rPr>
              <w:t>R2</w:t>
            </w:r>
            <w:r>
              <w:rPr>
                <w:sz w:val="18"/>
              </w:rPr>
              <w:t>)</w:t>
            </w:r>
            <w:r>
              <w:rPr>
                <w:spacing w:val="-4"/>
                <w:sz w:val="18"/>
              </w:rPr>
              <w:t> </w:t>
            </w:r>
            <w:r>
              <w:rPr>
                <w:sz w:val="18"/>
              </w:rPr>
              <w:t>since</w:t>
            </w:r>
            <w:r>
              <w:rPr>
                <w:spacing w:val="-3"/>
                <w:sz w:val="18"/>
              </w:rPr>
              <w:t> </w:t>
            </w:r>
            <w:r>
              <w:rPr>
                <w:sz w:val="18"/>
              </w:rPr>
              <w:t>the</w:t>
            </w:r>
            <w:r>
              <w:rPr>
                <w:spacing w:val="-2"/>
                <w:sz w:val="18"/>
              </w:rPr>
              <w:t> </w:t>
            </w:r>
            <w:r>
              <w:rPr>
                <w:sz w:val="18"/>
              </w:rPr>
              <w:t>start</w:t>
            </w:r>
            <w:r>
              <w:rPr>
                <w:spacing w:val="-3"/>
                <w:sz w:val="18"/>
              </w:rPr>
              <w:t> </w:t>
            </w:r>
            <w:r>
              <w:rPr>
                <w:sz w:val="18"/>
              </w:rPr>
              <w:t>of</w:t>
            </w:r>
            <w:r>
              <w:rPr>
                <w:spacing w:val="-1"/>
                <w:sz w:val="18"/>
              </w:rPr>
              <w:t> </w:t>
            </w:r>
            <w:r>
              <w:rPr>
                <w:sz w:val="18"/>
              </w:rPr>
              <w:t>HCH/</w:t>
            </w:r>
            <w:r>
              <w:rPr>
                <w:spacing w:val="1"/>
                <w:sz w:val="18"/>
              </w:rPr>
              <w:t> </w:t>
            </w:r>
            <w:r>
              <w:rPr>
                <w:sz w:val="18"/>
              </w:rPr>
              <w:t>(</w:t>
            </w:r>
            <w:r>
              <w:rPr>
                <w:b/>
                <w:sz w:val="18"/>
              </w:rPr>
              <w:t>R4/R5</w:t>
            </w:r>
            <w:r>
              <w:rPr>
                <w:sz w:val="18"/>
              </w:rPr>
              <w:t>)</w:t>
            </w:r>
            <w:r>
              <w:rPr>
                <w:spacing w:val="-3"/>
                <w:sz w:val="18"/>
              </w:rPr>
              <w:t> </w:t>
            </w:r>
            <w:r>
              <w:rPr>
                <w:sz w:val="18"/>
              </w:rPr>
              <w:t>in</w:t>
            </w:r>
            <w:r>
              <w:rPr>
                <w:spacing w:val="-2"/>
                <w:sz w:val="18"/>
              </w:rPr>
              <w:t> </w:t>
            </w:r>
            <w:r>
              <w:rPr>
                <w:sz w:val="18"/>
              </w:rPr>
              <w:t>the</w:t>
            </w:r>
            <w:r>
              <w:rPr>
                <w:spacing w:val="-1"/>
                <w:sz w:val="18"/>
              </w:rPr>
              <w:t> </w:t>
            </w:r>
            <w:r>
              <w:rPr>
                <w:sz w:val="18"/>
              </w:rPr>
              <w:t>last</w:t>
            </w:r>
            <w:r>
              <w:rPr>
                <w:spacing w:val="-4"/>
                <w:sz w:val="18"/>
              </w:rPr>
              <w:t> </w:t>
            </w:r>
            <w:r>
              <w:rPr>
                <w:sz w:val="18"/>
              </w:rPr>
              <w:t>12</w:t>
            </w:r>
            <w:r>
              <w:rPr>
                <w:spacing w:val="-1"/>
                <w:sz w:val="18"/>
              </w:rPr>
              <w:t> </w:t>
            </w:r>
            <w:r>
              <w:rPr>
                <w:sz w:val="18"/>
              </w:rPr>
              <w:t>months)?</w:t>
            </w:r>
          </w:p>
          <w:p>
            <w:pPr>
              <w:pStyle w:val="TableParagraph"/>
              <w:numPr>
                <w:ilvl w:val="0"/>
                <w:numId w:val="263"/>
              </w:numPr>
              <w:tabs>
                <w:tab w:pos="279" w:val="left" w:leader="none"/>
              </w:tabs>
              <w:spacing w:line="240" w:lineRule="auto" w:before="0" w:after="0"/>
              <w:ind w:left="278" w:right="0" w:hanging="172"/>
              <w:jc w:val="left"/>
              <w:rPr>
                <w:sz w:val="18"/>
              </w:rPr>
            </w:pPr>
            <w:r>
              <w:rPr>
                <w:sz w:val="18"/>
              </w:rPr>
              <w:t>How</w:t>
            </w:r>
            <w:r>
              <w:rPr>
                <w:spacing w:val="-4"/>
                <w:sz w:val="18"/>
              </w:rPr>
              <w:t> </w:t>
            </w:r>
            <w:r>
              <w:rPr>
                <w:sz w:val="18"/>
              </w:rPr>
              <w:t>did</w:t>
            </w:r>
            <w:r>
              <w:rPr>
                <w:spacing w:val="-3"/>
                <w:sz w:val="18"/>
              </w:rPr>
              <w:t> </w:t>
            </w:r>
            <w:r>
              <w:rPr>
                <w:sz w:val="18"/>
              </w:rPr>
              <w:t>you</w:t>
            </w:r>
            <w:r>
              <w:rPr>
                <w:spacing w:val="-2"/>
                <w:sz w:val="18"/>
              </w:rPr>
              <w:t> </w:t>
            </w:r>
            <w:r>
              <w:rPr>
                <w:sz w:val="18"/>
              </w:rPr>
              <w:t>become</w:t>
            </w:r>
            <w:r>
              <w:rPr>
                <w:spacing w:val="-2"/>
                <w:sz w:val="18"/>
              </w:rPr>
              <w:t> </w:t>
            </w:r>
            <w:r>
              <w:rPr>
                <w:sz w:val="18"/>
              </w:rPr>
              <w:t>aware</w:t>
            </w:r>
            <w:r>
              <w:rPr>
                <w:spacing w:val="-2"/>
                <w:sz w:val="18"/>
              </w:rPr>
              <w:t> </w:t>
            </w:r>
            <w:r>
              <w:rPr>
                <w:sz w:val="18"/>
              </w:rPr>
              <w:t>of</w:t>
            </w:r>
            <w:r>
              <w:rPr>
                <w:spacing w:val="-1"/>
                <w:sz w:val="18"/>
              </w:rPr>
              <w:t> </w:t>
            </w:r>
            <w:r>
              <w:rPr>
                <w:sz w:val="18"/>
              </w:rPr>
              <w:t>these</w:t>
            </w:r>
            <w:r>
              <w:rPr>
                <w:spacing w:val="-4"/>
                <w:sz w:val="18"/>
              </w:rPr>
              <w:t> </w:t>
            </w:r>
            <w:r>
              <w:rPr>
                <w:sz w:val="18"/>
              </w:rPr>
              <w:t>changes?</w:t>
            </w:r>
          </w:p>
        </w:tc>
      </w:tr>
      <w:tr>
        <w:trPr>
          <w:trHeight w:val="1214" w:hRule="atLeast"/>
        </w:trPr>
        <w:tc>
          <w:tcPr>
            <w:tcW w:w="1980" w:type="dxa"/>
          </w:tcPr>
          <w:p>
            <w:pPr>
              <w:pStyle w:val="TableParagraph"/>
              <w:spacing w:line="276" w:lineRule="auto"/>
              <w:ind w:left="107" w:right="428"/>
              <w:rPr>
                <w:sz w:val="16"/>
              </w:rPr>
            </w:pPr>
            <w:r>
              <w:rPr>
                <w:sz w:val="16"/>
              </w:rPr>
              <w:t>Impact on related</w:t>
            </w:r>
            <w:r>
              <w:rPr>
                <w:spacing w:val="-42"/>
                <w:sz w:val="16"/>
              </w:rPr>
              <w:t> </w:t>
            </w:r>
            <w:r>
              <w:rPr>
                <w:sz w:val="16"/>
              </w:rPr>
              <w:t>provider</w:t>
            </w:r>
          </w:p>
        </w:tc>
        <w:tc>
          <w:tcPr>
            <w:tcW w:w="7038" w:type="dxa"/>
          </w:tcPr>
          <w:p>
            <w:pPr>
              <w:pStyle w:val="TableParagraph"/>
              <w:numPr>
                <w:ilvl w:val="0"/>
                <w:numId w:val="264"/>
              </w:numPr>
              <w:tabs>
                <w:tab w:pos="279" w:val="left" w:leader="none"/>
              </w:tabs>
              <w:spacing w:line="278" w:lineRule="auto" w:before="0" w:after="0"/>
              <w:ind w:left="278" w:right="120" w:hanging="171"/>
              <w:jc w:val="left"/>
              <w:rPr>
                <w:sz w:val="18"/>
              </w:rPr>
            </w:pPr>
            <w:r>
              <w:rPr>
                <w:sz w:val="18"/>
              </w:rPr>
              <w:t>What</w:t>
            </w:r>
            <w:r>
              <w:rPr>
                <w:spacing w:val="-4"/>
                <w:sz w:val="18"/>
              </w:rPr>
              <w:t> </w:t>
            </w:r>
            <w:r>
              <w:rPr>
                <w:sz w:val="18"/>
              </w:rPr>
              <w:t>changes</w:t>
            </w:r>
            <w:r>
              <w:rPr>
                <w:spacing w:val="-4"/>
                <w:sz w:val="18"/>
              </w:rPr>
              <w:t> </w:t>
            </w:r>
            <w:r>
              <w:rPr>
                <w:sz w:val="18"/>
              </w:rPr>
              <w:t>have</w:t>
            </w:r>
            <w:r>
              <w:rPr>
                <w:spacing w:val="-2"/>
                <w:sz w:val="18"/>
              </w:rPr>
              <w:t> </w:t>
            </w:r>
            <w:r>
              <w:rPr>
                <w:sz w:val="18"/>
              </w:rPr>
              <w:t>you</w:t>
            </w:r>
            <w:r>
              <w:rPr>
                <w:spacing w:val="1"/>
                <w:sz w:val="18"/>
              </w:rPr>
              <w:t> </w:t>
            </w:r>
            <w:r>
              <w:rPr>
                <w:sz w:val="18"/>
              </w:rPr>
              <w:t>made,</w:t>
            </w:r>
            <w:r>
              <w:rPr>
                <w:spacing w:val="-4"/>
                <w:sz w:val="18"/>
              </w:rPr>
              <w:t> </w:t>
            </w:r>
            <w:r>
              <w:rPr>
                <w:sz w:val="18"/>
              </w:rPr>
              <w:t>if</w:t>
            </w:r>
            <w:r>
              <w:rPr>
                <w:spacing w:val="-2"/>
                <w:sz w:val="18"/>
              </w:rPr>
              <w:t> </w:t>
            </w:r>
            <w:r>
              <w:rPr>
                <w:sz w:val="18"/>
              </w:rPr>
              <w:t>any,</w:t>
            </w:r>
            <w:r>
              <w:rPr>
                <w:spacing w:val="-5"/>
                <w:sz w:val="18"/>
              </w:rPr>
              <w:t> </w:t>
            </w:r>
            <w:r>
              <w:rPr>
                <w:sz w:val="18"/>
              </w:rPr>
              <w:t>to</w:t>
            </w:r>
            <w:r>
              <w:rPr>
                <w:spacing w:val="-3"/>
                <w:sz w:val="18"/>
              </w:rPr>
              <w:t> </w:t>
            </w:r>
            <w:r>
              <w:rPr>
                <w:sz w:val="18"/>
              </w:rPr>
              <w:t>the</w:t>
            </w:r>
            <w:r>
              <w:rPr>
                <w:spacing w:val="-2"/>
                <w:sz w:val="18"/>
              </w:rPr>
              <w:t> </w:t>
            </w:r>
            <w:r>
              <w:rPr>
                <w:sz w:val="18"/>
              </w:rPr>
              <w:t>way</w:t>
            </w:r>
            <w:r>
              <w:rPr>
                <w:spacing w:val="-3"/>
                <w:sz w:val="18"/>
              </w:rPr>
              <w:t> </w:t>
            </w:r>
            <w:r>
              <w:rPr>
                <w:sz w:val="18"/>
              </w:rPr>
              <w:t>that</w:t>
            </w:r>
            <w:r>
              <w:rPr>
                <w:spacing w:val="-1"/>
                <w:sz w:val="18"/>
              </w:rPr>
              <w:t> </w:t>
            </w:r>
            <w:r>
              <w:rPr>
                <w:sz w:val="18"/>
              </w:rPr>
              <w:t>you</w:t>
            </w:r>
            <w:r>
              <w:rPr>
                <w:spacing w:val="-2"/>
                <w:sz w:val="18"/>
              </w:rPr>
              <w:t> </w:t>
            </w:r>
            <w:r>
              <w:rPr>
                <w:sz w:val="18"/>
              </w:rPr>
              <w:t>practice/</w:t>
            </w:r>
            <w:r>
              <w:rPr>
                <w:spacing w:val="-4"/>
                <w:sz w:val="18"/>
              </w:rPr>
              <w:t> </w:t>
            </w:r>
            <w:r>
              <w:rPr>
                <w:sz w:val="18"/>
              </w:rPr>
              <w:t>deliver</w:t>
            </w:r>
            <w:r>
              <w:rPr>
                <w:spacing w:val="-47"/>
                <w:sz w:val="18"/>
              </w:rPr>
              <w:t> </w:t>
            </w:r>
            <w:r>
              <w:rPr>
                <w:sz w:val="18"/>
              </w:rPr>
              <w:t>care</w:t>
            </w:r>
            <w:r>
              <w:rPr>
                <w:spacing w:val="-1"/>
                <w:sz w:val="18"/>
              </w:rPr>
              <w:t> </w:t>
            </w:r>
            <w:r>
              <w:rPr>
                <w:sz w:val="18"/>
              </w:rPr>
              <w:t>to</w:t>
            </w:r>
            <w:r>
              <w:rPr>
                <w:spacing w:val="-1"/>
                <w:sz w:val="18"/>
              </w:rPr>
              <w:t> </w:t>
            </w:r>
            <w:r>
              <w:rPr>
                <w:sz w:val="18"/>
              </w:rPr>
              <w:t>patients</w:t>
            </w:r>
            <w:r>
              <w:rPr>
                <w:spacing w:val="-1"/>
                <w:sz w:val="18"/>
              </w:rPr>
              <w:t> </w:t>
            </w:r>
            <w:r>
              <w:rPr>
                <w:sz w:val="18"/>
              </w:rPr>
              <w:t>within</w:t>
            </w:r>
            <w:r>
              <w:rPr>
                <w:spacing w:val="-1"/>
                <w:sz w:val="18"/>
              </w:rPr>
              <w:t> </w:t>
            </w:r>
            <w:r>
              <w:rPr>
                <w:sz w:val="18"/>
              </w:rPr>
              <w:t>the</w:t>
            </w:r>
            <w:r>
              <w:rPr>
                <w:spacing w:val="-2"/>
                <w:sz w:val="18"/>
              </w:rPr>
              <w:t> </w:t>
            </w:r>
            <w:r>
              <w:rPr>
                <w:sz w:val="18"/>
              </w:rPr>
              <w:t>HCH</w:t>
            </w:r>
            <w:r>
              <w:rPr>
                <w:spacing w:val="-1"/>
                <w:sz w:val="18"/>
              </w:rPr>
              <w:t> </w:t>
            </w:r>
            <w:r>
              <w:rPr>
                <w:sz w:val="18"/>
              </w:rPr>
              <w:t>target</w:t>
            </w:r>
            <w:r>
              <w:rPr>
                <w:spacing w:val="-2"/>
                <w:sz w:val="18"/>
              </w:rPr>
              <w:t> </w:t>
            </w:r>
            <w:r>
              <w:rPr>
                <w:sz w:val="18"/>
              </w:rPr>
              <w:t>group?</w:t>
            </w:r>
          </w:p>
          <w:p>
            <w:pPr>
              <w:pStyle w:val="TableParagraph"/>
              <w:numPr>
                <w:ilvl w:val="0"/>
                <w:numId w:val="264"/>
              </w:numPr>
              <w:tabs>
                <w:tab w:pos="279" w:val="left" w:leader="none"/>
              </w:tabs>
              <w:spacing w:line="273" w:lineRule="auto" w:before="0" w:after="0"/>
              <w:ind w:left="278" w:right="428" w:hanging="171"/>
              <w:jc w:val="left"/>
              <w:rPr>
                <w:sz w:val="18"/>
              </w:rPr>
            </w:pPr>
            <w:r>
              <w:rPr>
                <w:sz w:val="18"/>
              </w:rPr>
              <w:t>Have</w:t>
            </w:r>
            <w:r>
              <w:rPr>
                <w:spacing w:val="-3"/>
                <w:sz w:val="18"/>
              </w:rPr>
              <w:t> </w:t>
            </w:r>
            <w:r>
              <w:rPr>
                <w:sz w:val="18"/>
              </w:rPr>
              <w:t>any</w:t>
            </w:r>
            <w:r>
              <w:rPr>
                <w:spacing w:val="-3"/>
                <w:sz w:val="18"/>
              </w:rPr>
              <w:t> </w:t>
            </w:r>
            <w:r>
              <w:rPr>
                <w:sz w:val="18"/>
              </w:rPr>
              <w:t>of</w:t>
            </w:r>
            <w:r>
              <w:rPr>
                <w:spacing w:val="-3"/>
                <w:sz w:val="18"/>
              </w:rPr>
              <w:t> </w:t>
            </w:r>
            <w:r>
              <w:rPr>
                <w:sz w:val="18"/>
              </w:rPr>
              <w:t>these</w:t>
            </w:r>
            <w:r>
              <w:rPr>
                <w:spacing w:val="-2"/>
                <w:sz w:val="18"/>
              </w:rPr>
              <w:t> </w:t>
            </w:r>
            <w:r>
              <w:rPr>
                <w:sz w:val="18"/>
              </w:rPr>
              <w:t>been</w:t>
            </w:r>
            <w:r>
              <w:rPr>
                <w:spacing w:val="-2"/>
                <w:sz w:val="18"/>
              </w:rPr>
              <w:t> </w:t>
            </w:r>
            <w:r>
              <w:rPr>
                <w:sz w:val="18"/>
              </w:rPr>
              <w:t>prompted</w:t>
            </w:r>
            <w:r>
              <w:rPr>
                <w:spacing w:val="-4"/>
                <w:sz w:val="18"/>
              </w:rPr>
              <w:t> </w:t>
            </w:r>
            <w:r>
              <w:rPr>
                <w:sz w:val="18"/>
              </w:rPr>
              <w:t>by</w:t>
            </w:r>
            <w:r>
              <w:rPr>
                <w:spacing w:val="-3"/>
                <w:sz w:val="18"/>
              </w:rPr>
              <w:t> </w:t>
            </w:r>
            <w:r>
              <w:rPr>
                <w:sz w:val="18"/>
              </w:rPr>
              <w:t>the</w:t>
            </w:r>
            <w:r>
              <w:rPr>
                <w:spacing w:val="-2"/>
                <w:sz w:val="18"/>
              </w:rPr>
              <w:t> </w:t>
            </w:r>
            <w:r>
              <w:rPr>
                <w:sz w:val="18"/>
              </w:rPr>
              <w:t>implementation</w:t>
            </w:r>
            <w:r>
              <w:rPr>
                <w:spacing w:val="-3"/>
                <w:sz w:val="18"/>
              </w:rPr>
              <w:t> </w:t>
            </w:r>
            <w:r>
              <w:rPr>
                <w:sz w:val="18"/>
              </w:rPr>
              <w:t>of</w:t>
            </w:r>
            <w:r>
              <w:rPr>
                <w:spacing w:val="-2"/>
                <w:sz w:val="18"/>
              </w:rPr>
              <w:t> </w:t>
            </w:r>
            <w:r>
              <w:rPr>
                <w:sz w:val="18"/>
              </w:rPr>
              <w:t>HCH</w:t>
            </w:r>
            <w:r>
              <w:rPr>
                <w:spacing w:val="-4"/>
                <w:sz w:val="18"/>
              </w:rPr>
              <w:t> </w:t>
            </w:r>
            <w:r>
              <w:rPr>
                <w:sz w:val="18"/>
              </w:rPr>
              <w:t>at</w:t>
            </w:r>
            <w:r>
              <w:rPr>
                <w:spacing w:val="-4"/>
                <w:sz w:val="18"/>
              </w:rPr>
              <w:t> </w:t>
            </w:r>
            <w:r>
              <w:rPr>
                <w:sz w:val="18"/>
              </w:rPr>
              <w:t>the</w:t>
            </w:r>
            <w:r>
              <w:rPr>
                <w:spacing w:val="-47"/>
                <w:sz w:val="18"/>
              </w:rPr>
              <w:t> </w:t>
            </w:r>
            <w:r>
              <w:rPr>
                <w:sz w:val="18"/>
              </w:rPr>
              <w:t>practices</w:t>
            </w:r>
            <w:r>
              <w:rPr>
                <w:spacing w:val="-2"/>
                <w:sz w:val="18"/>
              </w:rPr>
              <w:t> </w:t>
            </w:r>
            <w:r>
              <w:rPr>
                <w:sz w:val="18"/>
              </w:rPr>
              <w:t>that</w:t>
            </w:r>
            <w:r>
              <w:rPr>
                <w:spacing w:val="-2"/>
                <w:sz w:val="18"/>
              </w:rPr>
              <w:t> </w:t>
            </w:r>
            <w:r>
              <w:rPr>
                <w:sz w:val="18"/>
              </w:rPr>
              <w:t>you share</w:t>
            </w:r>
            <w:r>
              <w:rPr>
                <w:spacing w:val="-1"/>
                <w:sz w:val="18"/>
              </w:rPr>
              <w:t> </w:t>
            </w:r>
            <w:r>
              <w:rPr>
                <w:sz w:val="18"/>
              </w:rPr>
              <w:t>patients</w:t>
            </w:r>
            <w:r>
              <w:rPr>
                <w:spacing w:val="-1"/>
                <w:sz w:val="18"/>
              </w:rPr>
              <w:t> </w:t>
            </w:r>
            <w:r>
              <w:rPr>
                <w:sz w:val="18"/>
              </w:rPr>
              <w:t>with?</w:t>
            </w:r>
          </w:p>
        </w:tc>
      </w:tr>
      <w:tr>
        <w:trPr>
          <w:trHeight w:val="2858" w:hRule="atLeast"/>
        </w:trPr>
        <w:tc>
          <w:tcPr>
            <w:tcW w:w="1980" w:type="dxa"/>
          </w:tcPr>
          <w:p>
            <w:pPr>
              <w:pStyle w:val="TableParagraph"/>
              <w:spacing w:line="276" w:lineRule="auto" w:before="2"/>
              <w:ind w:left="107" w:right="423"/>
              <w:rPr>
                <w:sz w:val="16"/>
              </w:rPr>
            </w:pPr>
            <w:r>
              <w:rPr>
                <w:sz w:val="16"/>
              </w:rPr>
              <w:t>Shared care plan/</w:t>
            </w:r>
            <w:r>
              <w:rPr>
                <w:spacing w:val="-42"/>
                <w:sz w:val="16"/>
              </w:rPr>
              <w:t> </w:t>
            </w:r>
            <w:r>
              <w:rPr>
                <w:sz w:val="16"/>
              </w:rPr>
              <w:t>planning</w:t>
            </w:r>
            <w:r>
              <w:rPr>
                <w:spacing w:val="-4"/>
                <w:sz w:val="16"/>
              </w:rPr>
              <w:t> </w:t>
            </w:r>
            <w:r>
              <w:rPr>
                <w:sz w:val="16"/>
              </w:rPr>
              <w:t>process</w:t>
            </w:r>
          </w:p>
        </w:tc>
        <w:tc>
          <w:tcPr>
            <w:tcW w:w="7038" w:type="dxa"/>
          </w:tcPr>
          <w:p>
            <w:pPr>
              <w:pStyle w:val="TableParagraph"/>
              <w:numPr>
                <w:ilvl w:val="0"/>
                <w:numId w:val="265"/>
              </w:numPr>
              <w:tabs>
                <w:tab w:pos="279" w:val="left" w:leader="none"/>
              </w:tabs>
              <w:spacing w:line="273" w:lineRule="auto" w:before="1" w:after="0"/>
              <w:ind w:left="278" w:right="294" w:hanging="171"/>
              <w:jc w:val="left"/>
              <w:rPr>
                <w:sz w:val="18"/>
              </w:rPr>
            </w:pPr>
            <w:r>
              <w:rPr>
                <w:sz w:val="18"/>
              </w:rPr>
              <w:t>What changes, if any, have there been to the care plan/ care planning</w:t>
            </w:r>
            <w:r>
              <w:rPr>
                <w:spacing w:val="1"/>
                <w:sz w:val="18"/>
              </w:rPr>
              <w:t> </w:t>
            </w:r>
            <w:r>
              <w:rPr>
                <w:sz w:val="18"/>
              </w:rPr>
              <w:t>process</w:t>
            </w:r>
            <w:r>
              <w:rPr>
                <w:spacing w:val="-5"/>
                <w:sz w:val="18"/>
              </w:rPr>
              <w:t> </w:t>
            </w:r>
            <w:r>
              <w:rPr>
                <w:sz w:val="18"/>
              </w:rPr>
              <w:t>for</w:t>
            </w:r>
            <w:r>
              <w:rPr>
                <w:spacing w:val="-3"/>
                <w:sz w:val="18"/>
              </w:rPr>
              <w:t> </w:t>
            </w:r>
            <w:r>
              <w:rPr>
                <w:sz w:val="18"/>
              </w:rPr>
              <w:t>the</w:t>
            </w:r>
            <w:r>
              <w:rPr>
                <w:spacing w:val="-4"/>
                <w:sz w:val="18"/>
              </w:rPr>
              <w:t> </w:t>
            </w:r>
            <w:r>
              <w:rPr>
                <w:sz w:val="18"/>
              </w:rPr>
              <w:t>patients</w:t>
            </w:r>
            <w:r>
              <w:rPr>
                <w:spacing w:val="-4"/>
                <w:sz w:val="18"/>
              </w:rPr>
              <w:t> </w:t>
            </w:r>
            <w:r>
              <w:rPr>
                <w:sz w:val="18"/>
              </w:rPr>
              <w:t>that</w:t>
            </w:r>
            <w:r>
              <w:rPr>
                <w:spacing w:val="-5"/>
                <w:sz w:val="18"/>
              </w:rPr>
              <w:t> </w:t>
            </w:r>
            <w:r>
              <w:rPr>
                <w:sz w:val="18"/>
              </w:rPr>
              <w:t>you</w:t>
            </w:r>
            <w:r>
              <w:rPr>
                <w:spacing w:val="-4"/>
                <w:sz w:val="18"/>
              </w:rPr>
              <w:t> </w:t>
            </w:r>
            <w:r>
              <w:rPr>
                <w:sz w:val="18"/>
              </w:rPr>
              <w:t>jointly</w:t>
            </w:r>
            <w:r>
              <w:rPr>
                <w:spacing w:val="-4"/>
                <w:sz w:val="18"/>
              </w:rPr>
              <w:t> </w:t>
            </w:r>
            <w:r>
              <w:rPr>
                <w:sz w:val="18"/>
              </w:rPr>
              <w:t>manage</w:t>
            </w:r>
            <w:r>
              <w:rPr>
                <w:spacing w:val="-3"/>
                <w:sz w:val="18"/>
              </w:rPr>
              <w:t> </w:t>
            </w:r>
            <w:r>
              <w:rPr>
                <w:sz w:val="18"/>
              </w:rPr>
              <w:t>with</w:t>
            </w:r>
            <w:r>
              <w:rPr>
                <w:spacing w:val="-4"/>
                <w:sz w:val="18"/>
              </w:rPr>
              <w:t> </w:t>
            </w:r>
            <w:r>
              <w:rPr>
                <w:sz w:val="18"/>
              </w:rPr>
              <w:t>the</w:t>
            </w:r>
            <w:r>
              <w:rPr>
                <w:spacing w:val="-3"/>
                <w:sz w:val="18"/>
              </w:rPr>
              <w:t> </w:t>
            </w:r>
            <w:r>
              <w:rPr>
                <w:sz w:val="18"/>
              </w:rPr>
              <w:t>HCH</w:t>
            </w:r>
            <w:r>
              <w:rPr>
                <w:spacing w:val="-5"/>
                <w:sz w:val="18"/>
              </w:rPr>
              <w:t> </w:t>
            </w:r>
            <w:r>
              <w:rPr>
                <w:sz w:val="18"/>
              </w:rPr>
              <w:t>practice(s)?</w:t>
            </w:r>
          </w:p>
          <w:p>
            <w:pPr>
              <w:pStyle w:val="TableParagraph"/>
              <w:spacing w:before="7"/>
              <w:rPr>
                <w:sz w:val="16"/>
              </w:rPr>
            </w:pPr>
          </w:p>
          <w:p>
            <w:pPr>
              <w:pStyle w:val="TableParagraph"/>
              <w:ind w:left="107"/>
              <w:rPr>
                <w:sz w:val="16"/>
              </w:rPr>
            </w:pPr>
            <w:r>
              <w:rPr>
                <w:sz w:val="16"/>
              </w:rPr>
              <w:t>Prompts</w:t>
            </w:r>
          </w:p>
          <w:p>
            <w:pPr>
              <w:pStyle w:val="TableParagraph"/>
              <w:spacing w:before="9"/>
              <w:rPr>
                <w:sz w:val="18"/>
              </w:rPr>
            </w:pPr>
          </w:p>
          <w:p>
            <w:pPr>
              <w:pStyle w:val="TableParagraph"/>
              <w:numPr>
                <w:ilvl w:val="1"/>
                <w:numId w:val="265"/>
              </w:numPr>
              <w:tabs>
                <w:tab w:pos="821" w:val="left" w:leader="none"/>
                <w:tab w:pos="822" w:val="left" w:leader="none"/>
              </w:tabs>
              <w:spacing w:line="240" w:lineRule="auto" w:before="0" w:after="0"/>
              <w:ind w:left="821" w:right="0" w:hanging="357"/>
              <w:jc w:val="left"/>
              <w:rPr>
                <w:sz w:val="18"/>
              </w:rPr>
            </w:pPr>
            <w:r>
              <w:rPr>
                <w:sz w:val="18"/>
              </w:rPr>
              <w:t>Changes</w:t>
            </w:r>
            <w:r>
              <w:rPr>
                <w:spacing w:val="-4"/>
                <w:sz w:val="18"/>
              </w:rPr>
              <w:t> </w:t>
            </w:r>
            <w:r>
              <w:rPr>
                <w:sz w:val="18"/>
              </w:rPr>
              <w:t>in</w:t>
            </w:r>
            <w:r>
              <w:rPr>
                <w:spacing w:val="-4"/>
                <w:sz w:val="18"/>
              </w:rPr>
              <w:t> </w:t>
            </w:r>
            <w:r>
              <w:rPr>
                <w:sz w:val="18"/>
              </w:rPr>
              <w:t>patient</w:t>
            </w:r>
            <w:r>
              <w:rPr>
                <w:spacing w:val="-6"/>
                <w:sz w:val="18"/>
              </w:rPr>
              <w:t> </w:t>
            </w:r>
            <w:r>
              <w:rPr>
                <w:sz w:val="18"/>
              </w:rPr>
              <w:t>involvement</w:t>
            </w:r>
            <w:r>
              <w:rPr>
                <w:spacing w:val="-4"/>
                <w:sz w:val="18"/>
              </w:rPr>
              <w:t> </w:t>
            </w:r>
            <w:r>
              <w:rPr>
                <w:sz w:val="18"/>
              </w:rPr>
              <w:t>in</w:t>
            </w:r>
            <w:r>
              <w:rPr>
                <w:spacing w:val="-3"/>
                <w:sz w:val="18"/>
              </w:rPr>
              <w:t> </w:t>
            </w:r>
            <w:r>
              <w:rPr>
                <w:sz w:val="18"/>
              </w:rPr>
              <w:t>development/</w:t>
            </w:r>
            <w:r>
              <w:rPr>
                <w:spacing w:val="-2"/>
                <w:sz w:val="18"/>
              </w:rPr>
              <w:t> </w:t>
            </w:r>
            <w:r>
              <w:rPr>
                <w:sz w:val="18"/>
              </w:rPr>
              <w:t>review</w:t>
            </w:r>
            <w:r>
              <w:rPr>
                <w:spacing w:val="-3"/>
                <w:sz w:val="18"/>
              </w:rPr>
              <w:t> </w:t>
            </w:r>
            <w:r>
              <w:rPr>
                <w:sz w:val="18"/>
              </w:rPr>
              <w:t>of</w:t>
            </w:r>
            <w:r>
              <w:rPr>
                <w:spacing w:val="-2"/>
                <w:sz w:val="18"/>
              </w:rPr>
              <w:t> </w:t>
            </w:r>
            <w:r>
              <w:rPr>
                <w:sz w:val="18"/>
              </w:rPr>
              <w:t>the</w:t>
            </w:r>
            <w:r>
              <w:rPr>
                <w:spacing w:val="-2"/>
                <w:sz w:val="18"/>
              </w:rPr>
              <w:t> </w:t>
            </w:r>
            <w:r>
              <w:rPr>
                <w:sz w:val="18"/>
              </w:rPr>
              <w:t>plan?</w:t>
            </w:r>
          </w:p>
          <w:p>
            <w:pPr>
              <w:pStyle w:val="TableParagraph"/>
              <w:numPr>
                <w:ilvl w:val="1"/>
                <w:numId w:val="265"/>
              </w:numPr>
              <w:tabs>
                <w:tab w:pos="821" w:val="left" w:leader="none"/>
                <w:tab w:pos="822" w:val="left" w:leader="none"/>
              </w:tabs>
              <w:spacing w:line="240" w:lineRule="auto" w:before="32" w:after="0"/>
              <w:ind w:left="821" w:right="0" w:hanging="357"/>
              <w:jc w:val="left"/>
              <w:rPr>
                <w:sz w:val="18"/>
              </w:rPr>
            </w:pPr>
            <w:r>
              <w:rPr>
                <w:sz w:val="18"/>
              </w:rPr>
              <w:t>Content</w:t>
            </w:r>
            <w:r>
              <w:rPr>
                <w:spacing w:val="-4"/>
                <w:sz w:val="18"/>
              </w:rPr>
              <w:t> </w:t>
            </w:r>
            <w:r>
              <w:rPr>
                <w:sz w:val="18"/>
              </w:rPr>
              <w:t>of the</w:t>
            </w:r>
            <w:r>
              <w:rPr>
                <w:spacing w:val="-1"/>
                <w:sz w:val="18"/>
              </w:rPr>
              <w:t> </w:t>
            </w:r>
            <w:r>
              <w:rPr>
                <w:sz w:val="18"/>
              </w:rPr>
              <w:t>care</w:t>
            </w:r>
            <w:r>
              <w:rPr>
                <w:spacing w:val="1"/>
                <w:sz w:val="18"/>
              </w:rPr>
              <w:t> </w:t>
            </w:r>
            <w:r>
              <w:rPr>
                <w:sz w:val="18"/>
              </w:rPr>
              <w:t>plan?</w:t>
            </w:r>
          </w:p>
          <w:p>
            <w:pPr>
              <w:pStyle w:val="TableParagraph"/>
              <w:numPr>
                <w:ilvl w:val="1"/>
                <w:numId w:val="265"/>
              </w:numPr>
              <w:tabs>
                <w:tab w:pos="821" w:val="left" w:leader="none"/>
                <w:tab w:pos="822" w:val="left" w:leader="none"/>
              </w:tabs>
              <w:spacing w:line="240" w:lineRule="auto" w:before="33" w:after="0"/>
              <w:ind w:left="821" w:right="0" w:hanging="357"/>
              <w:jc w:val="left"/>
              <w:rPr>
                <w:sz w:val="18"/>
              </w:rPr>
            </w:pPr>
            <w:r>
              <w:rPr>
                <w:sz w:val="18"/>
              </w:rPr>
              <w:t>The</w:t>
            </w:r>
            <w:r>
              <w:rPr>
                <w:spacing w:val="-2"/>
                <w:sz w:val="18"/>
              </w:rPr>
              <w:t> </w:t>
            </w:r>
            <w:r>
              <w:rPr>
                <w:sz w:val="18"/>
              </w:rPr>
              <w:t>way</w:t>
            </w:r>
            <w:r>
              <w:rPr>
                <w:spacing w:val="-2"/>
                <w:sz w:val="18"/>
              </w:rPr>
              <w:t> </w:t>
            </w:r>
            <w:r>
              <w:rPr>
                <w:sz w:val="18"/>
              </w:rPr>
              <w:t>in</w:t>
            </w:r>
            <w:r>
              <w:rPr>
                <w:spacing w:val="-2"/>
                <w:sz w:val="18"/>
              </w:rPr>
              <w:t> </w:t>
            </w:r>
            <w:r>
              <w:rPr>
                <w:sz w:val="18"/>
              </w:rPr>
              <w:t>which</w:t>
            </w:r>
            <w:r>
              <w:rPr>
                <w:spacing w:val="-3"/>
                <w:sz w:val="18"/>
              </w:rPr>
              <w:t> </w:t>
            </w:r>
            <w:r>
              <w:rPr>
                <w:sz w:val="18"/>
              </w:rPr>
              <w:t>the</w:t>
            </w:r>
            <w:r>
              <w:rPr>
                <w:spacing w:val="-2"/>
                <w:sz w:val="18"/>
              </w:rPr>
              <w:t> </w:t>
            </w:r>
            <w:r>
              <w:rPr>
                <w:sz w:val="18"/>
              </w:rPr>
              <w:t>plan</w:t>
            </w:r>
            <w:r>
              <w:rPr>
                <w:spacing w:val="-3"/>
                <w:sz w:val="18"/>
              </w:rPr>
              <w:t> </w:t>
            </w:r>
            <w:r>
              <w:rPr>
                <w:sz w:val="18"/>
              </w:rPr>
              <w:t>is</w:t>
            </w:r>
            <w:r>
              <w:rPr>
                <w:spacing w:val="-4"/>
                <w:sz w:val="18"/>
              </w:rPr>
              <w:t> </w:t>
            </w:r>
            <w:r>
              <w:rPr>
                <w:sz w:val="18"/>
              </w:rPr>
              <w:t>communicated</w:t>
            </w:r>
            <w:r>
              <w:rPr>
                <w:spacing w:val="-3"/>
                <w:sz w:val="18"/>
              </w:rPr>
              <w:t> </w:t>
            </w:r>
            <w:r>
              <w:rPr>
                <w:sz w:val="18"/>
              </w:rPr>
              <w:t>to</w:t>
            </w:r>
            <w:r>
              <w:rPr>
                <w:spacing w:val="-2"/>
                <w:sz w:val="18"/>
              </w:rPr>
              <w:t> </w:t>
            </w:r>
            <w:r>
              <w:rPr>
                <w:sz w:val="18"/>
              </w:rPr>
              <w:t>the</w:t>
            </w:r>
            <w:r>
              <w:rPr>
                <w:spacing w:val="-2"/>
                <w:sz w:val="18"/>
              </w:rPr>
              <w:t> </w:t>
            </w:r>
            <w:r>
              <w:rPr>
                <w:sz w:val="18"/>
              </w:rPr>
              <w:t>patient?</w:t>
            </w:r>
          </w:p>
          <w:p>
            <w:pPr>
              <w:pStyle w:val="TableParagraph"/>
              <w:numPr>
                <w:ilvl w:val="1"/>
                <w:numId w:val="265"/>
              </w:numPr>
              <w:tabs>
                <w:tab w:pos="821" w:val="left" w:leader="none"/>
                <w:tab w:pos="822" w:val="left" w:leader="none"/>
              </w:tabs>
              <w:spacing w:line="240" w:lineRule="auto" w:before="34" w:after="0"/>
              <w:ind w:left="821" w:right="0" w:hanging="357"/>
              <w:jc w:val="left"/>
              <w:rPr>
                <w:sz w:val="18"/>
              </w:rPr>
            </w:pPr>
            <w:r>
              <w:rPr>
                <w:sz w:val="18"/>
              </w:rPr>
              <w:t>Regularity</w:t>
            </w:r>
            <w:r>
              <w:rPr>
                <w:spacing w:val="-4"/>
                <w:sz w:val="18"/>
              </w:rPr>
              <w:t> </w:t>
            </w:r>
            <w:r>
              <w:rPr>
                <w:sz w:val="18"/>
              </w:rPr>
              <w:t>of</w:t>
            </w:r>
            <w:r>
              <w:rPr>
                <w:spacing w:val="-2"/>
                <w:sz w:val="18"/>
              </w:rPr>
              <w:t> </w:t>
            </w:r>
            <w:r>
              <w:rPr>
                <w:sz w:val="18"/>
              </w:rPr>
              <w:t>discussion</w:t>
            </w:r>
            <w:r>
              <w:rPr>
                <w:spacing w:val="-5"/>
                <w:sz w:val="18"/>
              </w:rPr>
              <w:t> </w:t>
            </w:r>
            <w:r>
              <w:rPr>
                <w:sz w:val="18"/>
              </w:rPr>
              <w:t>of</w:t>
            </w:r>
            <w:r>
              <w:rPr>
                <w:spacing w:val="-2"/>
                <w:sz w:val="18"/>
              </w:rPr>
              <w:t> </w:t>
            </w:r>
            <w:r>
              <w:rPr>
                <w:sz w:val="18"/>
              </w:rPr>
              <w:t>the</w:t>
            </w:r>
            <w:r>
              <w:rPr>
                <w:spacing w:val="-2"/>
                <w:sz w:val="18"/>
              </w:rPr>
              <w:t> </w:t>
            </w:r>
            <w:r>
              <w:rPr>
                <w:sz w:val="18"/>
              </w:rPr>
              <w:t>plan</w:t>
            </w:r>
            <w:r>
              <w:rPr>
                <w:spacing w:val="-2"/>
                <w:sz w:val="18"/>
              </w:rPr>
              <w:t> </w:t>
            </w:r>
            <w:r>
              <w:rPr>
                <w:sz w:val="18"/>
              </w:rPr>
              <w:t>with</w:t>
            </w:r>
            <w:r>
              <w:rPr>
                <w:spacing w:val="-2"/>
                <w:sz w:val="18"/>
              </w:rPr>
              <w:t> </w:t>
            </w:r>
            <w:r>
              <w:rPr>
                <w:sz w:val="18"/>
              </w:rPr>
              <w:t>the</w:t>
            </w:r>
            <w:r>
              <w:rPr>
                <w:spacing w:val="-5"/>
                <w:sz w:val="18"/>
              </w:rPr>
              <w:t> </w:t>
            </w:r>
            <w:r>
              <w:rPr>
                <w:sz w:val="18"/>
              </w:rPr>
              <w:t>patient?</w:t>
            </w:r>
          </w:p>
          <w:p>
            <w:pPr>
              <w:pStyle w:val="TableParagraph"/>
              <w:numPr>
                <w:ilvl w:val="1"/>
                <w:numId w:val="265"/>
              </w:numPr>
              <w:tabs>
                <w:tab w:pos="828" w:val="left" w:leader="none"/>
                <w:tab w:pos="829" w:val="left" w:leader="none"/>
              </w:tabs>
              <w:spacing w:line="240" w:lineRule="auto" w:before="34" w:after="0"/>
              <w:ind w:left="828" w:right="0" w:hanging="361"/>
              <w:jc w:val="left"/>
              <w:rPr>
                <w:sz w:val="18"/>
              </w:rPr>
            </w:pPr>
            <w:r>
              <w:rPr>
                <w:sz w:val="18"/>
              </w:rPr>
              <w:t>Regularity</w:t>
            </w:r>
            <w:r>
              <w:rPr>
                <w:spacing w:val="-4"/>
                <w:sz w:val="18"/>
              </w:rPr>
              <w:t> </w:t>
            </w:r>
            <w:r>
              <w:rPr>
                <w:sz w:val="18"/>
              </w:rPr>
              <w:t>of</w:t>
            </w:r>
            <w:r>
              <w:rPr>
                <w:spacing w:val="-2"/>
                <w:sz w:val="18"/>
              </w:rPr>
              <w:t> </w:t>
            </w:r>
            <w:r>
              <w:rPr>
                <w:sz w:val="18"/>
              </w:rPr>
              <w:t>discussion</w:t>
            </w:r>
            <w:r>
              <w:rPr>
                <w:spacing w:val="-5"/>
                <w:sz w:val="18"/>
              </w:rPr>
              <w:t> </w:t>
            </w:r>
            <w:r>
              <w:rPr>
                <w:sz w:val="18"/>
              </w:rPr>
              <w:t>of</w:t>
            </w:r>
            <w:r>
              <w:rPr>
                <w:spacing w:val="-2"/>
                <w:sz w:val="18"/>
              </w:rPr>
              <w:t> </w:t>
            </w:r>
            <w:r>
              <w:rPr>
                <w:sz w:val="18"/>
              </w:rPr>
              <w:t>the</w:t>
            </w:r>
            <w:r>
              <w:rPr>
                <w:spacing w:val="-2"/>
                <w:sz w:val="18"/>
              </w:rPr>
              <w:t> </w:t>
            </w:r>
            <w:r>
              <w:rPr>
                <w:sz w:val="18"/>
              </w:rPr>
              <w:t>plan</w:t>
            </w:r>
            <w:r>
              <w:rPr>
                <w:spacing w:val="-3"/>
                <w:sz w:val="18"/>
              </w:rPr>
              <w:t> </w:t>
            </w:r>
            <w:r>
              <w:rPr>
                <w:sz w:val="18"/>
              </w:rPr>
              <w:t>with</w:t>
            </w:r>
            <w:r>
              <w:rPr>
                <w:spacing w:val="-2"/>
                <w:sz w:val="18"/>
              </w:rPr>
              <w:t> </w:t>
            </w:r>
            <w:r>
              <w:rPr>
                <w:sz w:val="18"/>
              </w:rPr>
              <w:t>the</w:t>
            </w:r>
            <w:r>
              <w:rPr>
                <w:spacing w:val="-4"/>
                <w:sz w:val="18"/>
              </w:rPr>
              <w:t> </w:t>
            </w:r>
            <w:r>
              <w:rPr>
                <w:sz w:val="18"/>
              </w:rPr>
              <w:t>patient’s</w:t>
            </w:r>
            <w:r>
              <w:rPr>
                <w:spacing w:val="-4"/>
                <w:sz w:val="18"/>
              </w:rPr>
              <w:t> </w:t>
            </w:r>
            <w:r>
              <w:rPr>
                <w:sz w:val="18"/>
              </w:rPr>
              <w:t>GP?</w:t>
            </w:r>
          </w:p>
          <w:p>
            <w:pPr>
              <w:pStyle w:val="TableParagraph"/>
              <w:numPr>
                <w:ilvl w:val="0"/>
                <w:numId w:val="265"/>
              </w:numPr>
              <w:tabs>
                <w:tab w:pos="276" w:val="left" w:leader="none"/>
              </w:tabs>
              <w:spacing w:line="240" w:lineRule="auto" w:before="32" w:after="0"/>
              <w:ind w:left="275" w:right="0" w:hanging="169"/>
              <w:jc w:val="left"/>
              <w:rPr>
                <w:sz w:val="18"/>
              </w:rPr>
            </w:pPr>
            <w:r>
              <w:rPr>
                <w:sz w:val="18"/>
              </w:rPr>
              <w:t>How</w:t>
            </w:r>
            <w:r>
              <w:rPr>
                <w:spacing w:val="-5"/>
                <w:sz w:val="18"/>
              </w:rPr>
              <w:t> </w:t>
            </w:r>
            <w:r>
              <w:rPr>
                <w:sz w:val="18"/>
              </w:rPr>
              <w:t>have</w:t>
            </w:r>
            <w:r>
              <w:rPr>
                <w:spacing w:val="-2"/>
                <w:sz w:val="18"/>
              </w:rPr>
              <w:t> </w:t>
            </w:r>
            <w:r>
              <w:rPr>
                <w:sz w:val="18"/>
              </w:rPr>
              <w:t>these</w:t>
            </w:r>
            <w:r>
              <w:rPr>
                <w:spacing w:val="-3"/>
                <w:sz w:val="18"/>
              </w:rPr>
              <w:t> </w:t>
            </w:r>
            <w:r>
              <w:rPr>
                <w:sz w:val="18"/>
              </w:rPr>
              <w:t>changes</w:t>
            </w:r>
            <w:r>
              <w:rPr>
                <w:spacing w:val="-3"/>
                <w:sz w:val="18"/>
              </w:rPr>
              <w:t> </w:t>
            </w:r>
            <w:r>
              <w:rPr>
                <w:sz w:val="18"/>
              </w:rPr>
              <w:t>come</w:t>
            </w:r>
            <w:r>
              <w:rPr>
                <w:spacing w:val="-3"/>
                <w:sz w:val="18"/>
              </w:rPr>
              <w:t> </w:t>
            </w:r>
            <w:r>
              <w:rPr>
                <w:sz w:val="18"/>
              </w:rPr>
              <w:t>about?</w:t>
            </w:r>
          </w:p>
        </w:tc>
      </w:tr>
    </w:tbl>
    <w:p>
      <w:pPr>
        <w:spacing w:after="0" w:line="240" w:lineRule="auto"/>
        <w:jc w:val="left"/>
        <w:rPr>
          <w:sz w:val="18"/>
        </w:rPr>
        <w:sectPr>
          <w:type w:val="continuous"/>
          <w:pgSz w:w="11910" w:h="16840"/>
          <w:pgMar w:header="0" w:footer="948" w:top="1420" w:bottom="1619" w:left="300" w:right="0"/>
        </w:sectPr>
      </w:pPr>
    </w:p>
    <w:tbl>
      <w:tblPr>
        <w:tblW w:w="0" w:type="auto"/>
        <w:jc w:val="left"/>
        <w:tblInd w:w="11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980"/>
        <w:gridCol w:w="7038"/>
      </w:tblGrid>
      <w:tr>
        <w:trPr>
          <w:trHeight w:val="225" w:hRule="atLeast"/>
        </w:trPr>
        <w:tc>
          <w:tcPr>
            <w:tcW w:w="1980" w:type="dxa"/>
            <w:shd w:val="clear" w:color="auto" w:fill="003C79"/>
          </w:tcPr>
          <w:p>
            <w:pPr>
              <w:pStyle w:val="TableParagraph"/>
              <w:spacing w:line="196" w:lineRule="exact"/>
              <w:ind w:left="107"/>
              <w:rPr>
                <w:b/>
                <w:sz w:val="16"/>
              </w:rPr>
            </w:pPr>
            <w:r>
              <w:rPr>
                <w:b/>
                <w:color w:val="FFFFFF"/>
                <w:sz w:val="16"/>
              </w:rPr>
              <w:t>Topic</w:t>
            </w:r>
          </w:p>
        </w:tc>
        <w:tc>
          <w:tcPr>
            <w:tcW w:w="7038" w:type="dxa"/>
            <w:shd w:val="clear" w:color="auto" w:fill="003C79"/>
          </w:tcPr>
          <w:p>
            <w:pPr>
              <w:pStyle w:val="TableParagraph"/>
              <w:spacing w:line="196" w:lineRule="exact"/>
              <w:ind w:left="107"/>
              <w:rPr>
                <w:b/>
                <w:sz w:val="16"/>
              </w:rPr>
            </w:pPr>
            <w:r>
              <w:rPr>
                <w:b/>
                <w:color w:val="FFFFFF"/>
                <w:sz w:val="16"/>
              </w:rPr>
              <w:t>Question</w:t>
            </w:r>
          </w:p>
        </w:tc>
      </w:tr>
      <w:tr>
        <w:trPr>
          <w:trHeight w:val="3871" w:hRule="atLeast"/>
        </w:trPr>
        <w:tc>
          <w:tcPr>
            <w:tcW w:w="1980" w:type="dxa"/>
          </w:tcPr>
          <w:p>
            <w:pPr>
              <w:pStyle w:val="TableParagraph"/>
              <w:spacing w:line="196" w:lineRule="exact"/>
              <w:ind w:left="107"/>
              <w:rPr>
                <w:sz w:val="16"/>
              </w:rPr>
            </w:pPr>
            <w:r>
              <w:rPr>
                <w:sz w:val="16"/>
              </w:rPr>
              <w:t>Impacts/</w:t>
            </w:r>
            <w:r>
              <w:rPr>
                <w:spacing w:val="-4"/>
                <w:sz w:val="16"/>
              </w:rPr>
              <w:t> </w:t>
            </w:r>
            <w:r>
              <w:rPr>
                <w:sz w:val="16"/>
              </w:rPr>
              <w:t>outcomes</w:t>
            </w:r>
          </w:p>
        </w:tc>
        <w:tc>
          <w:tcPr>
            <w:tcW w:w="7038" w:type="dxa"/>
          </w:tcPr>
          <w:p>
            <w:pPr>
              <w:pStyle w:val="TableParagraph"/>
              <w:numPr>
                <w:ilvl w:val="0"/>
                <w:numId w:val="266"/>
              </w:numPr>
              <w:tabs>
                <w:tab w:pos="276" w:val="left" w:leader="none"/>
              </w:tabs>
              <w:spacing w:line="276" w:lineRule="auto" w:before="0" w:after="0"/>
              <w:ind w:left="275" w:right="239" w:hanging="168"/>
              <w:jc w:val="left"/>
              <w:rPr>
                <w:sz w:val="18"/>
              </w:rPr>
            </w:pPr>
            <w:r>
              <w:rPr>
                <w:sz w:val="18"/>
              </w:rPr>
              <w:t>(</w:t>
            </w:r>
            <w:r>
              <w:rPr>
                <w:b/>
                <w:sz w:val="18"/>
              </w:rPr>
              <w:t>R2)</w:t>
            </w:r>
            <w:r>
              <w:rPr>
                <w:b/>
                <w:spacing w:val="1"/>
                <w:sz w:val="18"/>
              </w:rPr>
              <w:t> </w:t>
            </w:r>
            <w:r>
              <w:rPr>
                <w:sz w:val="18"/>
              </w:rPr>
              <w:t>What</w:t>
            </w:r>
            <w:r>
              <w:rPr>
                <w:spacing w:val="-4"/>
                <w:sz w:val="18"/>
              </w:rPr>
              <w:t> </w:t>
            </w:r>
            <w:r>
              <w:rPr>
                <w:sz w:val="18"/>
              </w:rPr>
              <w:t>impacts/</w:t>
            </w:r>
            <w:r>
              <w:rPr>
                <w:spacing w:val="-3"/>
                <w:sz w:val="18"/>
              </w:rPr>
              <w:t> </w:t>
            </w:r>
            <w:r>
              <w:rPr>
                <w:sz w:val="18"/>
              </w:rPr>
              <w:t>outcomes</w:t>
            </w:r>
            <w:r>
              <w:rPr>
                <w:spacing w:val="-4"/>
                <w:sz w:val="18"/>
              </w:rPr>
              <w:t> </w:t>
            </w:r>
            <w:r>
              <w:rPr>
                <w:sz w:val="18"/>
              </w:rPr>
              <w:t>have</w:t>
            </w:r>
            <w:r>
              <w:rPr>
                <w:spacing w:val="-2"/>
                <w:sz w:val="18"/>
              </w:rPr>
              <w:t> </w:t>
            </w:r>
            <w:r>
              <w:rPr>
                <w:sz w:val="18"/>
              </w:rPr>
              <w:t>you</w:t>
            </w:r>
            <w:r>
              <w:rPr>
                <w:spacing w:val="-3"/>
                <w:sz w:val="18"/>
              </w:rPr>
              <w:t> </w:t>
            </w:r>
            <w:r>
              <w:rPr>
                <w:sz w:val="18"/>
              </w:rPr>
              <w:t>noticed</w:t>
            </w:r>
            <w:r>
              <w:rPr>
                <w:spacing w:val="-6"/>
                <w:sz w:val="18"/>
              </w:rPr>
              <w:t> </w:t>
            </w:r>
            <w:r>
              <w:rPr>
                <w:sz w:val="18"/>
              </w:rPr>
              <w:t>in</w:t>
            </w:r>
            <w:r>
              <w:rPr>
                <w:spacing w:val="-2"/>
                <w:sz w:val="18"/>
              </w:rPr>
              <w:t> </w:t>
            </w:r>
            <w:r>
              <w:rPr>
                <w:sz w:val="18"/>
              </w:rPr>
              <w:t>HCH</w:t>
            </w:r>
            <w:r>
              <w:rPr>
                <w:spacing w:val="-6"/>
                <w:sz w:val="18"/>
              </w:rPr>
              <w:t> </w:t>
            </w:r>
            <w:r>
              <w:rPr>
                <w:sz w:val="18"/>
              </w:rPr>
              <w:t>enrollees</w:t>
            </w:r>
            <w:r>
              <w:rPr>
                <w:spacing w:val="-4"/>
                <w:sz w:val="18"/>
              </w:rPr>
              <w:t> </w:t>
            </w:r>
            <w:r>
              <w:rPr>
                <w:sz w:val="18"/>
              </w:rPr>
              <w:t>since</w:t>
            </w:r>
            <w:r>
              <w:rPr>
                <w:spacing w:val="-2"/>
                <w:sz w:val="18"/>
              </w:rPr>
              <w:t> </w:t>
            </w:r>
            <w:r>
              <w:rPr>
                <w:sz w:val="18"/>
              </w:rPr>
              <w:t>the</w:t>
            </w:r>
            <w:r>
              <w:rPr>
                <w:spacing w:val="-47"/>
                <w:sz w:val="18"/>
              </w:rPr>
              <w:t> </w:t>
            </w:r>
            <w:r>
              <w:rPr>
                <w:sz w:val="18"/>
              </w:rPr>
              <w:t>implementation</w:t>
            </w:r>
            <w:r>
              <w:rPr>
                <w:spacing w:val="-1"/>
                <w:sz w:val="18"/>
              </w:rPr>
              <w:t> </w:t>
            </w:r>
            <w:r>
              <w:rPr>
                <w:sz w:val="18"/>
              </w:rPr>
              <w:t>of HCH?</w:t>
            </w:r>
          </w:p>
          <w:p>
            <w:pPr>
              <w:pStyle w:val="TableParagraph"/>
              <w:numPr>
                <w:ilvl w:val="0"/>
                <w:numId w:val="266"/>
              </w:numPr>
              <w:tabs>
                <w:tab w:pos="276" w:val="left" w:leader="none"/>
              </w:tabs>
              <w:spacing w:line="276" w:lineRule="auto" w:before="0" w:after="0"/>
              <w:ind w:left="275" w:right="253" w:hanging="168"/>
              <w:jc w:val="left"/>
              <w:rPr>
                <w:sz w:val="18"/>
              </w:rPr>
            </w:pPr>
            <w:r>
              <w:rPr>
                <w:sz w:val="18"/>
              </w:rPr>
              <w:t>(</w:t>
            </w:r>
            <w:r>
              <w:rPr>
                <w:b/>
                <w:sz w:val="18"/>
              </w:rPr>
              <w:t>R4/R5) </w:t>
            </w:r>
            <w:r>
              <w:rPr>
                <w:sz w:val="18"/>
              </w:rPr>
              <w:t>What</w:t>
            </w:r>
            <w:r>
              <w:rPr>
                <w:spacing w:val="-5"/>
                <w:sz w:val="18"/>
              </w:rPr>
              <w:t> </w:t>
            </w:r>
            <w:r>
              <w:rPr>
                <w:sz w:val="18"/>
              </w:rPr>
              <w:t>impacts/</w:t>
            </w:r>
            <w:r>
              <w:rPr>
                <w:spacing w:val="-2"/>
                <w:sz w:val="18"/>
              </w:rPr>
              <w:t> </w:t>
            </w:r>
            <w:r>
              <w:rPr>
                <w:sz w:val="18"/>
              </w:rPr>
              <w:t>outcomes</w:t>
            </w:r>
            <w:r>
              <w:rPr>
                <w:spacing w:val="-4"/>
                <w:sz w:val="18"/>
              </w:rPr>
              <w:t> </w:t>
            </w:r>
            <w:r>
              <w:rPr>
                <w:sz w:val="18"/>
              </w:rPr>
              <w:t>have</w:t>
            </w:r>
            <w:r>
              <w:rPr>
                <w:spacing w:val="-2"/>
                <w:sz w:val="18"/>
              </w:rPr>
              <w:t> </w:t>
            </w:r>
            <w:r>
              <w:rPr>
                <w:sz w:val="18"/>
              </w:rPr>
              <w:t>you</w:t>
            </w:r>
            <w:r>
              <w:rPr>
                <w:spacing w:val="-3"/>
                <w:sz w:val="18"/>
              </w:rPr>
              <w:t> </w:t>
            </w:r>
            <w:r>
              <w:rPr>
                <w:sz w:val="18"/>
              </w:rPr>
              <w:t>noticed</w:t>
            </w:r>
            <w:r>
              <w:rPr>
                <w:spacing w:val="-4"/>
                <w:sz w:val="18"/>
              </w:rPr>
              <w:t> </w:t>
            </w:r>
            <w:r>
              <w:rPr>
                <w:sz w:val="18"/>
              </w:rPr>
              <w:t>in</w:t>
            </w:r>
            <w:r>
              <w:rPr>
                <w:spacing w:val="-2"/>
                <w:sz w:val="18"/>
              </w:rPr>
              <w:t> </w:t>
            </w:r>
            <w:r>
              <w:rPr>
                <w:sz w:val="18"/>
              </w:rPr>
              <w:t>HCH</w:t>
            </w:r>
            <w:r>
              <w:rPr>
                <w:spacing w:val="-3"/>
                <w:sz w:val="18"/>
              </w:rPr>
              <w:t> </w:t>
            </w:r>
            <w:r>
              <w:rPr>
                <w:sz w:val="18"/>
              </w:rPr>
              <w:t>enrollees</w:t>
            </w:r>
            <w:r>
              <w:rPr>
                <w:spacing w:val="-5"/>
                <w:sz w:val="18"/>
              </w:rPr>
              <w:t> </w:t>
            </w:r>
            <w:r>
              <w:rPr>
                <w:sz w:val="18"/>
              </w:rPr>
              <w:t>in</w:t>
            </w:r>
            <w:r>
              <w:rPr>
                <w:spacing w:val="-3"/>
                <w:sz w:val="18"/>
              </w:rPr>
              <w:t> </w:t>
            </w:r>
            <w:r>
              <w:rPr>
                <w:sz w:val="18"/>
              </w:rPr>
              <w:t>the</w:t>
            </w:r>
            <w:r>
              <w:rPr>
                <w:spacing w:val="-47"/>
                <w:sz w:val="18"/>
              </w:rPr>
              <w:t> </w:t>
            </w:r>
            <w:r>
              <w:rPr>
                <w:sz w:val="18"/>
              </w:rPr>
              <w:t>last</w:t>
            </w:r>
            <w:r>
              <w:rPr>
                <w:spacing w:val="-3"/>
                <w:sz w:val="18"/>
              </w:rPr>
              <w:t> </w:t>
            </w:r>
            <w:r>
              <w:rPr>
                <w:sz w:val="18"/>
              </w:rPr>
              <w:t>12 months?</w:t>
            </w:r>
            <w:r>
              <w:rPr>
                <w:spacing w:val="-1"/>
                <w:sz w:val="18"/>
              </w:rPr>
              <w:t> </w:t>
            </w:r>
            <w:r>
              <w:rPr>
                <w:sz w:val="18"/>
              </w:rPr>
              <w:t>…since the</w:t>
            </w:r>
            <w:r>
              <w:rPr>
                <w:spacing w:val="-3"/>
                <w:sz w:val="18"/>
              </w:rPr>
              <w:t> </w:t>
            </w:r>
            <w:r>
              <w:rPr>
                <w:sz w:val="18"/>
              </w:rPr>
              <w:t>implementation of HCH?</w:t>
            </w:r>
          </w:p>
          <w:p>
            <w:pPr>
              <w:pStyle w:val="TableParagraph"/>
              <w:spacing w:before="5"/>
              <w:rPr>
                <w:sz w:val="16"/>
              </w:rPr>
            </w:pPr>
          </w:p>
          <w:p>
            <w:pPr>
              <w:pStyle w:val="TableParagraph"/>
              <w:ind w:left="107"/>
              <w:rPr>
                <w:sz w:val="16"/>
              </w:rPr>
            </w:pPr>
            <w:r>
              <w:rPr>
                <w:sz w:val="16"/>
              </w:rPr>
              <w:t>Prompts:</w:t>
            </w:r>
          </w:p>
          <w:p>
            <w:pPr>
              <w:pStyle w:val="TableParagraph"/>
              <w:spacing w:before="7"/>
              <w:rPr>
                <w:sz w:val="18"/>
              </w:rPr>
            </w:pPr>
          </w:p>
          <w:p>
            <w:pPr>
              <w:pStyle w:val="TableParagraph"/>
              <w:numPr>
                <w:ilvl w:val="1"/>
                <w:numId w:val="266"/>
              </w:numPr>
              <w:tabs>
                <w:tab w:pos="821" w:val="left" w:leader="none"/>
                <w:tab w:pos="822" w:val="left" w:leader="none"/>
              </w:tabs>
              <w:spacing w:line="240" w:lineRule="auto" w:before="0" w:after="0"/>
              <w:ind w:left="821" w:right="0" w:hanging="357"/>
              <w:jc w:val="left"/>
              <w:rPr>
                <w:sz w:val="18"/>
              </w:rPr>
            </w:pPr>
            <w:r>
              <w:rPr>
                <w:sz w:val="18"/>
              </w:rPr>
              <w:t>Engagement</w:t>
            </w:r>
            <w:r>
              <w:rPr>
                <w:spacing w:val="-7"/>
                <w:sz w:val="18"/>
              </w:rPr>
              <w:t> </w:t>
            </w:r>
            <w:r>
              <w:rPr>
                <w:sz w:val="18"/>
              </w:rPr>
              <w:t>in</w:t>
            </w:r>
            <w:r>
              <w:rPr>
                <w:spacing w:val="-4"/>
                <w:sz w:val="18"/>
              </w:rPr>
              <w:t> </w:t>
            </w:r>
            <w:r>
              <w:rPr>
                <w:sz w:val="18"/>
              </w:rPr>
              <w:t>care</w:t>
            </w:r>
            <w:r>
              <w:rPr>
                <w:spacing w:val="-4"/>
                <w:sz w:val="18"/>
              </w:rPr>
              <w:t> </w:t>
            </w:r>
            <w:r>
              <w:rPr>
                <w:sz w:val="18"/>
              </w:rPr>
              <w:t>planning.</w:t>
            </w:r>
          </w:p>
          <w:p>
            <w:pPr>
              <w:pStyle w:val="TableParagraph"/>
              <w:numPr>
                <w:ilvl w:val="1"/>
                <w:numId w:val="266"/>
              </w:numPr>
              <w:tabs>
                <w:tab w:pos="821" w:val="left" w:leader="none"/>
                <w:tab w:pos="822" w:val="left" w:leader="none"/>
              </w:tabs>
              <w:spacing w:line="240" w:lineRule="auto" w:before="34" w:after="0"/>
              <w:ind w:left="821" w:right="0" w:hanging="357"/>
              <w:jc w:val="left"/>
              <w:rPr>
                <w:sz w:val="18"/>
              </w:rPr>
            </w:pPr>
            <w:r>
              <w:rPr>
                <w:sz w:val="18"/>
              </w:rPr>
              <w:t>Understanding</w:t>
            </w:r>
            <w:r>
              <w:rPr>
                <w:spacing w:val="-6"/>
                <w:sz w:val="18"/>
              </w:rPr>
              <w:t> </w:t>
            </w:r>
            <w:r>
              <w:rPr>
                <w:sz w:val="18"/>
              </w:rPr>
              <w:t>nature</w:t>
            </w:r>
            <w:r>
              <w:rPr>
                <w:spacing w:val="-3"/>
                <w:sz w:val="18"/>
              </w:rPr>
              <w:t> </w:t>
            </w:r>
            <w:r>
              <w:rPr>
                <w:sz w:val="18"/>
              </w:rPr>
              <w:t>and</w:t>
            </w:r>
            <w:r>
              <w:rPr>
                <w:spacing w:val="-4"/>
                <w:sz w:val="18"/>
              </w:rPr>
              <w:t> </w:t>
            </w:r>
            <w:r>
              <w:rPr>
                <w:sz w:val="18"/>
              </w:rPr>
              <w:t>cause</w:t>
            </w:r>
            <w:r>
              <w:rPr>
                <w:spacing w:val="-4"/>
                <w:sz w:val="18"/>
              </w:rPr>
              <w:t> </w:t>
            </w:r>
            <w:r>
              <w:rPr>
                <w:sz w:val="18"/>
              </w:rPr>
              <w:t>of</w:t>
            </w:r>
            <w:r>
              <w:rPr>
                <w:spacing w:val="-5"/>
                <w:sz w:val="18"/>
              </w:rPr>
              <w:t> </w:t>
            </w:r>
            <w:r>
              <w:rPr>
                <w:sz w:val="18"/>
              </w:rPr>
              <w:t>health</w:t>
            </w:r>
            <w:r>
              <w:rPr>
                <w:spacing w:val="-3"/>
                <w:sz w:val="18"/>
              </w:rPr>
              <w:t> </w:t>
            </w:r>
            <w:r>
              <w:rPr>
                <w:sz w:val="18"/>
              </w:rPr>
              <w:t>conditions(s).</w:t>
            </w:r>
          </w:p>
          <w:p>
            <w:pPr>
              <w:pStyle w:val="TableParagraph"/>
              <w:numPr>
                <w:ilvl w:val="1"/>
                <w:numId w:val="266"/>
              </w:numPr>
              <w:tabs>
                <w:tab w:pos="821" w:val="left" w:leader="none"/>
                <w:tab w:pos="822" w:val="left" w:leader="none"/>
              </w:tabs>
              <w:spacing w:line="240" w:lineRule="auto" w:before="31" w:after="0"/>
              <w:ind w:left="821" w:right="0" w:hanging="357"/>
              <w:jc w:val="left"/>
              <w:rPr>
                <w:sz w:val="18"/>
              </w:rPr>
            </w:pPr>
            <w:r>
              <w:rPr>
                <w:sz w:val="18"/>
              </w:rPr>
              <w:t>Understanding</w:t>
            </w:r>
            <w:r>
              <w:rPr>
                <w:spacing w:val="-5"/>
                <w:sz w:val="18"/>
              </w:rPr>
              <w:t> </w:t>
            </w:r>
            <w:r>
              <w:rPr>
                <w:sz w:val="18"/>
              </w:rPr>
              <w:t>the</w:t>
            </w:r>
            <w:r>
              <w:rPr>
                <w:spacing w:val="-2"/>
                <w:sz w:val="18"/>
              </w:rPr>
              <w:t> </w:t>
            </w:r>
            <w:r>
              <w:rPr>
                <w:sz w:val="18"/>
              </w:rPr>
              <w:t>role</w:t>
            </w:r>
            <w:r>
              <w:rPr>
                <w:spacing w:val="-6"/>
                <w:sz w:val="18"/>
              </w:rPr>
              <w:t> </w:t>
            </w:r>
            <w:r>
              <w:rPr>
                <w:sz w:val="18"/>
              </w:rPr>
              <w:t>of</w:t>
            </w:r>
            <w:r>
              <w:rPr>
                <w:spacing w:val="-1"/>
                <w:sz w:val="18"/>
              </w:rPr>
              <w:t> </w:t>
            </w:r>
            <w:r>
              <w:rPr>
                <w:sz w:val="18"/>
              </w:rPr>
              <w:t>medications</w:t>
            </w:r>
            <w:r>
              <w:rPr>
                <w:spacing w:val="-3"/>
                <w:sz w:val="18"/>
              </w:rPr>
              <w:t> </w:t>
            </w:r>
            <w:r>
              <w:rPr>
                <w:sz w:val="18"/>
              </w:rPr>
              <w:t>and</w:t>
            </w:r>
            <w:r>
              <w:rPr>
                <w:spacing w:val="-3"/>
                <w:sz w:val="18"/>
              </w:rPr>
              <w:t> </w:t>
            </w:r>
            <w:r>
              <w:rPr>
                <w:sz w:val="18"/>
              </w:rPr>
              <w:t>other</w:t>
            </w:r>
            <w:r>
              <w:rPr>
                <w:spacing w:val="-3"/>
                <w:sz w:val="18"/>
              </w:rPr>
              <w:t> </w:t>
            </w:r>
            <w:r>
              <w:rPr>
                <w:sz w:val="18"/>
              </w:rPr>
              <w:t>treatments.</w:t>
            </w:r>
          </w:p>
          <w:p>
            <w:pPr>
              <w:pStyle w:val="TableParagraph"/>
              <w:numPr>
                <w:ilvl w:val="1"/>
                <w:numId w:val="266"/>
              </w:numPr>
              <w:tabs>
                <w:tab w:pos="821" w:val="left" w:leader="none"/>
                <w:tab w:pos="822" w:val="left" w:leader="none"/>
              </w:tabs>
              <w:spacing w:line="240" w:lineRule="auto" w:before="34" w:after="0"/>
              <w:ind w:left="821" w:right="0" w:hanging="357"/>
              <w:jc w:val="left"/>
              <w:rPr>
                <w:sz w:val="18"/>
              </w:rPr>
            </w:pPr>
            <w:r>
              <w:rPr>
                <w:sz w:val="18"/>
              </w:rPr>
              <w:t>Skills</w:t>
            </w:r>
            <w:r>
              <w:rPr>
                <w:spacing w:val="-6"/>
                <w:sz w:val="18"/>
              </w:rPr>
              <w:t> </w:t>
            </w:r>
            <w:r>
              <w:rPr>
                <w:sz w:val="18"/>
              </w:rPr>
              <w:t>for</w:t>
            </w:r>
            <w:r>
              <w:rPr>
                <w:spacing w:val="-4"/>
                <w:sz w:val="18"/>
              </w:rPr>
              <w:t> </w:t>
            </w:r>
            <w:r>
              <w:rPr>
                <w:sz w:val="18"/>
              </w:rPr>
              <w:t>day-to-day</w:t>
            </w:r>
            <w:r>
              <w:rPr>
                <w:spacing w:val="-1"/>
                <w:sz w:val="18"/>
              </w:rPr>
              <w:t> </w:t>
            </w:r>
            <w:r>
              <w:rPr>
                <w:sz w:val="18"/>
              </w:rPr>
              <w:t>management.</w:t>
            </w:r>
          </w:p>
          <w:p>
            <w:pPr>
              <w:pStyle w:val="TableParagraph"/>
              <w:numPr>
                <w:ilvl w:val="1"/>
                <w:numId w:val="266"/>
              </w:numPr>
              <w:tabs>
                <w:tab w:pos="821" w:val="left" w:leader="none"/>
                <w:tab w:pos="822" w:val="left" w:leader="none"/>
              </w:tabs>
              <w:spacing w:line="240" w:lineRule="auto" w:before="33" w:after="0"/>
              <w:ind w:left="821" w:right="0" w:hanging="357"/>
              <w:jc w:val="left"/>
              <w:rPr>
                <w:sz w:val="18"/>
              </w:rPr>
            </w:pPr>
            <w:r>
              <w:rPr>
                <w:sz w:val="18"/>
              </w:rPr>
              <w:t>Understanding</w:t>
            </w:r>
            <w:r>
              <w:rPr>
                <w:spacing w:val="-5"/>
                <w:sz w:val="18"/>
              </w:rPr>
              <w:t> </w:t>
            </w:r>
            <w:r>
              <w:rPr>
                <w:sz w:val="18"/>
              </w:rPr>
              <w:t>of</w:t>
            </w:r>
            <w:r>
              <w:rPr>
                <w:spacing w:val="-4"/>
                <w:sz w:val="18"/>
              </w:rPr>
              <w:t> </w:t>
            </w:r>
            <w:r>
              <w:rPr>
                <w:sz w:val="18"/>
              </w:rPr>
              <w:t>role</w:t>
            </w:r>
            <w:r>
              <w:rPr>
                <w:spacing w:val="-2"/>
                <w:sz w:val="18"/>
              </w:rPr>
              <w:t> </w:t>
            </w:r>
            <w:r>
              <w:rPr>
                <w:sz w:val="18"/>
              </w:rPr>
              <w:t>of</w:t>
            </w:r>
            <w:r>
              <w:rPr>
                <w:spacing w:val="-5"/>
                <w:sz w:val="18"/>
              </w:rPr>
              <w:t> </w:t>
            </w:r>
            <w:r>
              <w:rPr>
                <w:sz w:val="18"/>
              </w:rPr>
              <w:t>lifestyle</w:t>
            </w:r>
            <w:r>
              <w:rPr>
                <w:spacing w:val="-3"/>
                <w:sz w:val="18"/>
              </w:rPr>
              <w:t> </w:t>
            </w:r>
            <w:r>
              <w:rPr>
                <w:sz w:val="18"/>
              </w:rPr>
              <w:t>factors</w:t>
            </w:r>
            <w:r>
              <w:rPr>
                <w:spacing w:val="-3"/>
                <w:sz w:val="18"/>
              </w:rPr>
              <w:t> </w:t>
            </w:r>
            <w:r>
              <w:rPr>
                <w:sz w:val="18"/>
              </w:rPr>
              <w:t>and</w:t>
            </w:r>
            <w:r>
              <w:rPr>
                <w:spacing w:val="-4"/>
                <w:sz w:val="18"/>
              </w:rPr>
              <w:t> </w:t>
            </w:r>
            <w:r>
              <w:rPr>
                <w:sz w:val="18"/>
              </w:rPr>
              <w:t>skills</w:t>
            </w:r>
            <w:r>
              <w:rPr>
                <w:spacing w:val="-4"/>
                <w:sz w:val="18"/>
              </w:rPr>
              <w:t> </w:t>
            </w:r>
            <w:r>
              <w:rPr>
                <w:sz w:val="18"/>
              </w:rPr>
              <w:t>to</w:t>
            </w:r>
            <w:r>
              <w:rPr>
                <w:spacing w:val="-3"/>
                <w:sz w:val="18"/>
              </w:rPr>
              <w:t> </w:t>
            </w:r>
            <w:r>
              <w:rPr>
                <w:sz w:val="18"/>
              </w:rPr>
              <w:t>make</w:t>
            </w:r>
            <w:r>
              <w:rPr>
                <w:spacing w:val="-2"/>
                <w:sz w:val="18"/>
              </w:rPr>
              <w:t> </w:t>
            </w:r>
            <w:r>
              <w:rPr>
                <w:sz w:val="18"/>
              </w:rPr>
              <w:t>changes.</w:t>
            </w:r>
          </w:p>
          <w:p>
            <w:pPr>
              <w:pStyle w:val="TableParagraph"/>
              <w:numPr>
                <w:ilvl w:val="1"/>
                <w:numId w:val="266"/>
              </w:numPr>
              <w:tabs>
                <w:tab w:pos="821" w:val="left" w:leader="none"/>
                <w:tab w:pos="822" w:val="left" w:leader="none"/>
              </w:tabs>
              <w:spacing w:line="240" w:lineRule="auto" w:before="34" w:after="0"/>
              <w:ind w:left="821" w:right="0" w:hanging="357"/>
              <w:jc w:val="left"/>
              <w:rPr>
                <w:sz w:val="18"/>
              </w:rPr>
            </w:pPr>
            <w:r>
              <w:rPr>
                <w:sz w:val="18"/>
              </w:rPr>
              <w:t>Identifying</w:t>
            </w:r>
            <w:r>
              <w:rPr>
                <w:spacing w:val="-6"/>
                <w:sz w:val="18"/>
              </w:rPr>
              <w:t> </w:t>
            </w:r>
            <w:r>
              <w:rPr>
                <w:sz w:val="18"/>
              </w:rPr>
              <w:t>and</w:t>
            </w:r>
            <w:r>
              <w:rPr>
                <w:spacing w:val="-4"/>
                <w:sz w:val="18"/>
              </w:rPr>
              <w:t> </w:t>
            </w:r>
            <w:r>
              <w:rPr>
                <w:sz w:val="18"/>
              </w:rPr>
              <w:t>preventing</w:t>
            </w:r>
            <w:r>
              <w:rPr>
                <w:spacing w:val="-6"/>
                <w:sz w:val="18"/>
              </w:rPr>
              <w:t> </w:t>
            </w:r>
            <w:r>
              <w:rPr>
                <w:sz w:val="18"/>
              </w:rPr>
              <w:t>further</w:t>
            </w:r>
            <w:r>
              <w:rPr>
                <w:spacing w:val="-5"/>
                <w:sz w:val="18"/>
              </w:rPr>
              <w:t> </w:t>
            </w:r>
            <w:r>
              <w:rPr>
                <w:sz w:val="18"/>
              </w:rPr>
              <w:t>problems.</w:t>
            </w:r>
          </w:p>
          <w:p>
            <w:pPr>
              <w:pStyle w:val="TableParagraph"/>
              <w:numPr>
                <w:ilvl w:val="1"/>
                <w:numId w:val="266"/>
              </w:numPr>
              <w:tabs>
                <w:tab w:pos="821" w:val="left" w:leader="none"/>
                <w:tab w:pos="822" w:val="left" w:leader="none"/>
              </w:tabs>
              <w:spacing w:line="240" w:lineRule="auto" w:before="32" w:after="0"/>
              <w:ind w:left="821" w:right="0" w:hanging="357"/>
              <w:jc w:val="left"/>
              <w:rPr>
                <w:sz w:val="18"/>
              </w:rPr>
            </w:pPr>
            <w:r>
              <w:rPr>
                <w:sz w:val="18"/>
              </w:rPr>
              <w:t>Referrals</w:t>
            </w:r>
            <w:r>
              <w:rPr>
                <w:spacing w:val="-4"/>
                <w:sz w:val="18"/>
              </w:rPr>
              <w:t> </w:t>
            </w:r>
            <w:r>
              <w:rPr>
                <w:sz w:val="18"/>
              </w:rPr>
              <w:t>to/</w:t>
            </w:r>
            <w:r>
              <w:rPr>
                <w:spacing w:val="-4"/>
                <w:sz w:val="18"/>
              </w:rPr>
              <w:t> </w:t>
            </w:r>
            <w:r>
              <w:rPr>
                <w:sz w:val="18"/>
              </w:rPr>
              <w:t>use</w:t>
            </w:r>
            <w:r>
              <w:rPr>
                <w:spacing w:val="-3"/>
                <w:sz w:val="18"/>
              </w:rPr>
              <w:t> </w:t>
            </w:r>
            <w:r>
              <w:rPr>
                <w:sz w:val="18"/>
              </w:rPr>
              <w:t>of</w:t>
            </w:r>
            <w:r>
              <w:rPr>
                <w:spacing w:val="-2"/>
                <w:sz w:val="18"/>
              </w:rPr>
              <w:t> </w:t>
            </w:r>
            <w:r>
              <w:rPr>
                <w:sz w:val="18"/>
              </w:rPr>
              <w:t>other</w:t>
            </w:r>
            <w:r>
              <w:rPr>
                <w:spacing w:val="-3"/>
                <w:sz w:val="18"/>
              </w:rPr>
              <w:t> </w:t>
            </w:r>
            <w:r>
              <w:rPr>
                <w:sz w:val="18"/>
              </w:rPr>
              <w:t>services?</w:t>
            </w:r>
          </w:p>
          <w:p>
            <w:pPr>
              <w:pStyle w:val="TableParagraph"/>
              <w:numPr>
                <w:ilvl w:val="1"/>
                <w:numId w:val="266"/>
              </w:numPr>
              <w:tabs>
                <w:tab w:pos="821" w:val="left" w:leader="none"/>
                <w:tab w:pos="822" w:val="left" w:leader="none"/>
              </w:tabs>
              <w:spacing w:line="240" w:lineRule="auto" w:before="34" w:after="0"/>
              <w:ind w:left="821" w:right="0" w:hanging="357"/>
              <w:jc w:val="left"/>
              <w:rPr>
                <w:sz w:val="18"/>
              </w:rPr>
            </w:pPr>
            <w:r>
              <w:rPr>
                <w:sz w:val="18"/>
              </w:rPr>
              <w:t>Access</w:t>
            </w:r>
            <w:r>
              <w:rPr>
                <w:spacing w:val="-4"/>
                <w:sz w:val="18"/>
              </w:rPr>
              <w:t> </w:t>
            </w:r>
            <w:r>
              <w:rPr>
                <w:sz w:val="18"/>
              </w:rPr>
              <w:t>to</w:t>
            </w:r>
            <w:r>
              <w:rPr>
                <w:spacing w:val="-2"/>
                <w:sz w:val="18"/>
              </w:rPr>
              <w:t> </w:t>
            </w:r>
            <w:r>
              <w:rPr>
                <w:sz w:val="18"/>
              </w:rPr>
              <w:t>aides/</w:t>
            </w:r>
            <w:r>
              <w:rPr>
                <w:spacing w:val="-3"/>
                <w:sz w:val="18"/>
              </w:rPr>
              <w:t> </w:t>
            </w:r>
            <w:r>
              <w:rPr>
                <w:sz w:val="18"/>
              </w:rPr>
              <w:t>devices?</w:t>
            </w:r>
          </w:p>
        </w:tc>
      </w:tr>
      <w:tr>
        <w:trPr>
          <w:trHeight w:val="707" w:hRule="atLeast"/>
        </w:trPr>
        <w:tc>
          <w:tcPr>
            <w:tcW w:w="1980" w:type="dxa"/>
          </w:tcPr>
          <w:p>
            <w:pPr>
              <w:pStyle w:val="TableParagraph"/>
              <w:spacing w:line="196" w:lineRule="exact"/>
              <w:ind w:left="107"/>
              <w:rPr>
                <w:sz w:val="16"/>
              </w:rPr>
            </w:pPr>
            <w:r>
              <w:rPr>
                <w:sz w:val="16"/>
              </w:rPr>
              <w:t>Recommendation</w:t>
            </w:r>
          </w:p>
        </w:tc>
        <w:tc>
          <w:tcPr>
            <w:tcW w:w="7038" w:type="dxa"/>
          </w:tcPr>
          <w:p>
            <w:pPr>
              <w:pStyle w:val="TableParagraph"/>
              <w:numPr>
                <w:ilvl w:val="0"/>
                <w:numId w:val="267"/>
              </w:numPr>
              <w:tabs>
                <w:tab w:pos="276" w:val="left" w:leader="none"/>
              </w:tabs>
              <w:spacing w:line="276" w:lineRule="auto" w:before="0" w:after="0"/>
              <w:ind w:left="275" w:right="385" w:hanging="168"/>
              <w:jc w:val="left"/>
              <w:rPr>
                <w:sz w:val="18"/>
              </w:rPr>
            </w:pPr>
            <w:r>
              <w:rPr>
                <w:sz w:val="18"/>
              </w:rPr>
              <w:t>(</w:t>
            </w:r>
            <w:r>
              <w:rPr>
                <w:b/>
                <w:sz w:val="18"/>
              </w:rPr>
              <w:t>R4/5</w:t>
            </w:r>
            <w:r>
              <w:rPr>
                <w:sz w:val="18"/>
              </w:rPr>
              <w:t>) Would</w:t>
            </w:r>
            <w:r>
              <w:rPr>
                <w:spacing w:val="-3"/>
                <w:sz w:val="18"/>
              </w:rPr>
              <w:t> </w:t>
            </w:r>
            <w:r>
              <w:rPr>
                <w:sz w:val="18"/>
              </w:rPr>
              <w:t>you</w:t>
            </w:r>
            <w:r>
              <w:rPr>
                <w:spacing w:val="-2"/>
                <w:sz w:val="18"/>
              </w:rPr>
              <w:t> </w:t>
            </w:r>
            <w:r>
              <w:rPr>
                <w:sz w:val="18"/>
              </w:rPr>
              <w:t>recommend</w:t>
            </w:r>
            <w:r>
              <w:rPr>
                <w:spacing w:val="-3"/>
                <w:sz w:val="18"/>
              </w:rPr>
              <w:t> </w:t>
            </w:r>
            <w:r>
              <w:rPr>
                <w:sz w:val="18"/>
              </w:rPr>
              <w:t>HCH</w:t>
            </w:r>
            <w:r>
              <w:rPr>
                <w:spacing w:val="-4"/>
                <w:sz w:val="18"/>
              </w:rPr>
              <w:t> </w:t>
            </w:r>
            <w:r>
              <w:rPr>
                <w:sz w:val="18"/>
              </w:rPr>
              <w:t>for</w:t>
            </w:r>
            <w:r>
              <w:rPr>
                <w:spacing w:val="-2"/>
                <w:sz w:val="18"/>
              </w:rPr>
              <w:t> </w:t>
            </w:r>
            <w:r>
              <w:rPr>
                <w:sz w:val="18"/>
              </w:rPr>
              <w:t>your</w:t>
            </w:r>
            <w:r>
              <w:rPr>
                <w:spacing w:val="-4"/>
                <w:sz w:val="18"/>
              </w:rPr>
              <w:t> </w:t>
            </w:r>
            <w:r>
              <w:rPr>
                <w:sz w:val="18"/>
              </w:rPr>
              <w:t>other</w:t>
            </w:r>
            <w:r>
              <w:rPr>
                <w:spacing w:val="-2"/>
                <w:sz w:val="18"/>
              </w:rPr>
              <w:t> </w:t>
            </w:r>
            <w:r>
              <w:rPr>
                <w:sz w:val="18"/>
              </w:rPr>
              <w:t>patients?</w:t>
            </w:r>
            <w:r>
              <w:rPr>
                <w:spacing w:val="-5"/>
                <w:sz w:val="18"/>
              </w:rPr>
              <w:t> </w:t>
            </w:r>
            <w:r>
              <w:rPr>
                <w:sz w:val="18"/>
              </w:rPr>
              <w:t>If</w:t>
            </w:r>
            <w:r>
              <w:rPr>
                <w:spacing w:val="-3"/>
                <w:sz w:val="18"/>
              </w:rPr>
              <w:t> </w:t>
            </w:r>
            <w:r>
              <w:rPr>
                <w:sz w:val="18"/>
              </w:rPr>
              <w:t>so,</w:t>
            </w:r>
            <w:r>
              <w:rPr>
                <w:spacing w:val="-4"/>
                <w:sz w:val="18"/>
              </w:rPr>
              <w:t> </w:t>
            </w:r>
            <w:r>
              <w:rPr>
                <w:sz w:val="18"/>
              </w:rPr>
              <w:t>on</w:t>
            </w:r>
            <w:r>
              <w:rPr>
                <w:spacing w:val="-2"/>
                <w:sz w:val="18"/>
              </w:rPr>
              <w:t> </w:t>
            </w:r>
            <w:r>
              <w:rPr>
                <w:sz w:val="18"/>
              </w:rPr>
              <w:t>what</w:t>
            </w:r>
            <w:r>
              <w:rPr>
                <w:spacing w:val="-47"/>
                <w:sz w:val="18"/>
              </w:rPr>
              <w:t> </w:t>
            </w:r>
            <w:r>
              <w:rPr>
                <w:sz w:val="18"/>
              </w:rPr>
              <w:t>basis?</w:t>
            </w:r>
            <w:r>
              <w:rPr>
                <w:spacing w:val="-4"/>
                <w:sz w:val="18"/>
              </w:rPr>
              <w:t> </w:t>
            </w:r>
            <w:r>
              <w:rPr>
                <w:sz w:val="18"/>
              </w:rPr>
              <w:t>If not,</w:t>
            </w:r>
            <w:r>
              <w:rPr>
                <w:spacing w:val="-2"/>
                <w:sz w:val="18"/>
              </w:rPr>
              <w:t> </w:t>
            </w:r>
            <w:r>
              <w:rPr>
                <w:sz w:val="18"/>
              </w:rPr>
              <w:t>why not?</w:t>
            </w:r>
          </w:p>
        </w:tc>
      </w:tr>
      <w:tr>
        <w:trPr>
          <w:trHeight w:val="707" w:hRule="atLeast"/>
        </w:trPr>
        <w:tc>
          <w:tcPr>
            <w:tcW w:w="1980" w:type="dxa"/>
          </w:tcPr>
          <w:p>
            <w:pPr>
              <w:pStyle w:val="TableParagraph"/>
              <w:spacing w:line="196" w:lineRule="exact"/>
              <w:ind w:left="107"/>
              <w:rPr>
                <w:sz w:val="16"/>
              </w:rPr>
            </w:pPr>
            <w:r>
              <w:rPr>
                <w:sz w:val="16"/>
              </w:rPr>
              <w:t>Anything</w:t>
            </w:r>
            <w:r>
              <w:rPr>
                <w:spacing w:val="-3"/>
                <w:sz w:val="16"/>
              </w:rPr>
              <w:t> </w:t>
            </w:r>
            <w:r>
              <w:rPr>
                <w:sz w:val="16"/>
              </w:rPr>
              <w:t>else?</w:t>
            </w:r>
          </w:p>
        </w:tc>
        <w:tc>
          <w:tcPr>
            <w:tcW w:w="7038" w:type="dxa"/>
          </w:tcPr>
          <w:p>
            <w:pPr>
              <w:pStyle w:val="TableParagraph"/>
              <w:numPr>
                <w:ilvl w:val="0"/>
                <w:numId w:val="268"/>
              </w:numPr>
              <w:tabs>
                <w:tab w:pos="276" w:val="left" w:leader="none"/>
              </w:tabs>
              <w:spacing w:line="276" w:lineRule="auto" w:before="0" w:after="0"/>
              <w:ind w:left="275" w:right="660" w:hanging="168"/>
              <w:jc w:val="left"/>
              <w:rPr>
                <w:sz w:val="18"/>
              </w:rPr>
            </w:pPr>
            <w:r>
              <w:rPr>
                <w:sz w:val="18"/>
              </w:rPr>
              <w:t>Is there anything else that we haven’t discussed that you would like to</w:t>
            </w:r>
            <w:r>
              <w:rPr>
                <w:spacing w:val="-47"/>
                <w:sz w:val="18"/>
              </w:rPr>
              <w:t> </w:t>
            </w:r>
            <w:r>
              <w:rPr>
                <w:sz w:val="18"/>
              </w:rPr>
              <w:t>mention?</w:t>
            </w:r>
          </w:p>
        </w:tc>
      </w:tr>
    </w:tbl>
    <w:p>
      <w:pPr>
        <w:pStyle w:val="BodyText"/>
        <w:spacing w:before="1"/>
        <w:rPr>
          <w:sz w:val="15"/>
        </w:rPr>
      </w:pPr>
    </w:p>
    <w:p>
      <w:pPr>
        <w:pStyle w:val="Heading2"/>
        <w:spacing w:before="100"/>
        <w:ind w:left="1140"/>
      </w:pPr>
      <w:bookmarkStart w:name="_bookmark95" w:id="96"/>
      <w:bookmarkEnd w:id="96"/>
      <w:r>
        <w:rPr/>
      </w:r>
      <w:r>
        <w:rPr>
          <w:color w:val="003C79"/>
        </w:rPr>
        <w:t>Topic</w:t>
      </w:r>
      <w:r>
        <w:rPr>
          <w:color w:val="003C79"/>
          <w:spacing w:val="-3"/>
        </w:rPr>
        <w:t> </w:t>
      </w:r>
      <w:r>
        <w:rPr>
          <w:color w:val="003C79"/>
        </w:rPr>
        <w:t>guide</w:t>
      </w:r>
      <w:r>
        <w:rPr>
          <w:color w:val="003C79"/>
          <w:spacing w:val="-6"/>
        </w:rPr>
        <w:t> </w:t>
      </w:r>
      <w:r>
        <w:rPr>
          <w:color w:val="003C79"/>
        </w:rPr>
        <w:t>–</w:t>
      </w:r>
      <w:r>
        <w:rPr>
          <w:color w:val="003C79"/>
          <w:spacing w:val="-4"/>
        </w:rPr>
        <w:t> </w:t>
      </w:r>
      <w:r>
        <w:rPr>
          <w:color w:val="003C79"/>
        </w:rPr>
        <w:t>PHN</w:t>
      </w:r>
      <w:r>
        <w:rPr>
          <w:color w:val="003C79"/>
          <w:spacing w:val="-6"/>
        </w:rPr>
        <w:t> </w:t>
      </w:r>
      <w:r>
        <w:rPr>
          <w:color w:val="003C79"/>
        </w:rPr>
        <w:t>interviews</w:t>
      </w:r>
    </w:p>
    <w:p>
      <w:pPr>
        <w:pStyle w:val="BodyText"/>
        <w:rPr>
          <w:sz w:val="21"/>
        </w:rPr>
      </w:pPr>
    </w:p>
    <w:tbl>
      <w:tblPr>
        <w:tblW w:w="0" w:type="auto"/>
        <w:jc w:val="left"/>
        <w:tblInd w:w="11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980"/>
        <w:gridCol w:w="7038"/>
      </w:tblGrid>
      <w:tr>
        <w:trPr>
          <w:trHeight w:val="225" w:hRule="atLeast"/>
        </w:trPr>
        <w:tc>
          <w:tcPr>
            <w:tcW w:w="1980" w:type="dxa"/>
            <w:shd w:val="clear" w:color="auto" w:fill="003C79"/>
          </w:tcPr>
          <w:p>
            <w:pPr>
              <w:pStyle w:val="TableParagraph"/>
              <w:spacing w:line="196" w:lineRule="exact"/>
              <w:ind w:left="107"/>
              <w:rPr>
                <w:b/>
                <w:sz w:val="16"/>
              </w:rPr>
            </w:pPr>
            <w:r>
              <w:rPr>
                <w:b/>
                <w:color w:val="FFFFFF"/>
                <w:sz w:val="16"/>
              </w:rPr>
              <w:t>Topic</w:t>
            </w:r>
          </w:p>
        </w:tc>
        <w:tc>
          <w:tcPr>
            <w:tcW w:w="7038" w:type="dxa"/>
            <w:shd w:val="clear" w:color="auto" w:fill="003C79"/>
          </w:tcPr>
          <w:p>
            <w:pPr>
              <w:pStyle w:val="TableParagraph"/>
              <w:spacing w:line="196" w:lineRule="exact"/>
              <w:ind w:left="107"/>
              <w:rPr>
                <w:b/>
                <w:sz w:val="16"/>
              </w:rPr>
            </w:pPr>
            <w:r>
              <w:rPr>
                <w:b/>
                <w:color w:val="FFFFFF"/>
                <w:sz w:val="16"/>
              </w:rPr>
              <w:t>Question</w:t>
            </w:r>
          </w:p>
        </w:tc>
      </w:tr>
      <w:tr>
        <w:trPr>
          <w:trHeight w:val="4769" w:hRule="atLeast"/>
        </w:trPr>
        <w:tc>
          <w:tcPr>
            <w:tcW w:w="1980" w:type="dxa"/>
          </w:tcPr>
          <w:p>
            <w:pPr>
              <w:pStyle w:val="TableParagraph"/>
              <w:spacing w:before="2"/>
              <w:ind w:left="107"/>
              <w:rPr>
                <w:sz w:val="16"/>
              </w:rPr>
            </w:pPr>
            <w:r>
              <w:rPr>
                <w:sz w:val="16"/>
              </w:rPr>
              <w:t>Introduction</w:t>
            </w:r>
          </w:p>
        </w:tc>
        <w:tc>
          <w:tcPr>
            <w:tcW w:w="7038" w:type="dxa"/>
          </w:tcPr>
          <w:p>
            <w:pPr>
              <w:pStyle w:val="TableParagraph"/>
              <w:numPr>
                <w:ilvl w:val="0"/>
                <w:numId w:val="269"/>
              </w:numPr>
              <w:tabs>
                <w:tab w:pos="279" w:val="left" w:leader="none"/>
              </w:tabs>
              <w:spacing w:line="240" w:lineRule="auto" w:before="1" w:after="0"/>
              <w:ind w:left="278" w:right="0" w:hanging="172"/>
              <w:jc w:val="left"/>
              <w:rPr>
                <w:sz w:val="18"/>
              </w:rPr>
            </w:pPr>
            <w:r>
              <w:rPr>
                <w:sz w:val="18"/>
              </w:rPr>
              <w:t>Introduction</w:t>
            </w:r>
            <w:r>
              <w:rPr>
                <w:spacing w:val="-7"/>
                <w:sz w:val="18"/>
              </w:rPr>
              <w:t> </w:t>
            </w:r>
            <w:r>
              <w:rPr>
                <w:sz w:val="18"/>
              </w:rPr>
              <w:t>of</w:t>
            </w:r>
            <w:r>
              <w:rPr>
                <w:spacing w:val="-4"/>
                <w:sz w:val="18"/>
              </w:rPr>
              <w:t> </w:t>
            </w:r>
            <w:r>
              <w:rPr>
                <w:sz w:val="18"/>
              </w:rPr>
              <w:t>researcher</w:t>
            </w:r>
            <w:r>
              <w:rPr>
                <w:spacing w:val="-3"/>
                <w:sz w:val="18"/>
              </w:rPr>
              <w:t> </w:t>
            </w:r>
            <w:r>
              <w:rPr>
                <w:sz w:val="18"/>
              </w:rPr>
              <w:t>and</w:t>
            </w:r>
            <w:r>
              <w:rPr>
                <w:spacing w:val="-4"/>
                <w:sz w:val="18"/>
              </w:rPr>
              <w:t> </w:t>
            </w:r>
            <w:r>
              <w:rPr>
                <w:sz w:val="18"/>
              </w:rPr>
              <w:t>describe</w:t>
            </w:r>
            <w:r>
              <w:rPr>
                <w:spacing w:val="-4"/>
                <w:sz w:val="18"/>
              </w:rPr>
              <w:t> </w:t>
            </w:r>
            <w:r>
              <w:rPr>
                <w:sz w:val="18"/>
              </w:rPr>
              <w:t>the</w:t>
            </w:r>
            <w:r>
              <w:rPr>
                <w:spacing w:val="-3"/>
                <w:sz w:val="18"/>
              </w:rPr>
              <w:t> </w:t>
            </w:r>
            <w:r>
              <w:rPr>
                <w:sz w:val="18"/>
              </w:rPr>
              <w:t>project</w:t>
            </w:r>
            <w:r>
              <w:rPr>
                <w:spacing w:val="-5"/>
                <w:sz w:val="18"/>
              </w:rPr>
              <w:t> </w:t>
            </w:r>
            <w:r>
              <w:rPr>
                <w:sz w:val="18"/>
              </w:rPr>
              <w:t>and</w:t>
            </w:r>
            <w:r>
              <w:rPr>
                <w:spacing w:val="-4"/>
                <w:sz w:val="18"/>
              </w:rPr>
              <w:t> </w:t>
            </w:r>
            <w:r>
              <w:rPr>
                <w:sz w:val="18"/>
              </w:rPr>
              <w:t>its</w:t>
            </w:r>
            <w:r>
              <w:rPr>
                <w:spacing w:val="-5"/>
                <w:sz w:val="18"/>
              </w:rPr>
              <w:t> </w:t>
            </w:r>
            <w:r>
              <w:rPr>
                <w:sz w:val="18"/>
              </w:rPr>
              <w:t>purpose.</w:t>
            </w:r>
          </w:p>
          <w:p>
            <w:pPr>
              <w:pStyle w:val="TableParagraph"/>
              <w:numPr>
                <w:ilvl w:val="0"/>
                <w:numId w:val="269"/>
              </w:numPr>
              <w:tabs>
                <w:tab w:pos="279" w:val="left" w:leader="none"/>
              </w:tabs>
              <w:spacing w:line="240" w:lineRule="auto" w:before="31" w:after="0"/>
              <w:ind w:left="278" w:right="0" w:hanging="172"/>
              <w:jc w:val="left"/>
              <w:rPr>
                <w:sz w:val="18"/>
              </w:rPr>
            </w:pPr>
            <w:r>
              <w:rPr>
                <w:sz w:val="18"/>
              </w:rPr>
              <w:t>Outline:</w:t>
            </w:r>
          </w:p>
          <w:p>
            <w:pPr>
              <w:pStyle w:val="TableParagraph"/>
              <w:numPr>
                <w:ilvl w:val="0"/>
                <w:numId w:val="269"/>
              </w:numPr>
              <w:tabs>
                <w:tab w:pos="279" w:val="left" w:leader="none"/>
              </w:tabs>
              <w:spacing w:line="276" w:lineRule="auto" w:before="34" w:after="0"/>
              <w:ind w:left="278" w:right="146" w:hanging="171"/>
              <w:jc w:val="left"/>
              <w:rPr>
                <w:sz w:val="18"/>
              </w:rPr>
            </w:pPr>
            <w:r>
              <w:rPr>
                <w:sz w:val="18"/>
              </w:rPr>
              <w:t>Remind the participant(s) that participation is voluntary; that they do not</w:t>
            </w:r>
            <w:r>
              <w:rPr>
                <w:spacing w:val="1"/>
                <w:sz w:val="18"/>
              </w:rPr>
              <w:t> </w:t>
            </w:r>
            <w:r>
              <w:rPr>
                <w:sz w:val="18"/>
              </w:rPr>
              <w:t>have to take part, and that there will be no repercussions if they choose not</w:t>
            </w:r>
            <w:r>
              <w:rPr>
                <w:spacing w:val="-48"/>
                <w:sz w:val="18"/>
              </w:rPr>
              <w:t> </w:t>
            </w:r>
            <w:r>
              <w:rPr>
                <w:sz w:val="18"/>
              </w:rPr>
              <w:t>to</w:t>
            </w:r>
            <w:r>
              <w:rPr>
                <w:spacing w:val="-1"/>
                <w:sz w:val="18"/>
              </w:rPr>
              <w:t> </w:t>
            </w:r>
            <w:r>
              <w:rPr>
                <w:sz w:val="18"/>
              </w:rPr>
              <w:t>do so.</w:t>
            </w:r>
          </w:p>
          <w:p>
            <w:pPr>
              <w:pStyle w:val="TableParagraph"/>
              <w:numPr>
                <w:ilvl w:val="0"/>
                <w:numId w:val="269"/>
              </w:numPr>
              <w:tabs>
                <w:tab w:pos="279" w:val="left" w:leader="none"/>
              </w:tabs>
              <w:spacing w:line="220" w:lineRule="exact" w:before="0" w:after="0"/>
              <w:ind w:left="278" w:right="0" w:hanging="172"/>
              <w:jc w:val="left"/>
              <w:rPr>
                <w:sz w:val="18"/>
              </w:rPr>
            </w:pPr>
            <w:r>
              <w:rPr>
                <w:sz w:val="18"/>
              </w:rPr>
              <w:t>Describe</w:t>
            </w:r>
            <w:r>
              <w:rPr>
                <w:spacing w:val="-5"/>
                <w:sz w:val="18"/>
              </w:rPr>
              <w:t> </w:t>
            </w:r>
            <w:r>
              <w:rPr>
                <w:sz w:val="18"/>
              </w:rPr>
              <w:t>what</w:t>
            </w:r>
            <w:r>
              <w:rPr>
                <w:spacing w:val="-4"/>
                <w:sz w:val="18"/>
              </w:rPr>
              <w:t> </w:t>
            </w:r>
            <w:r>
              <w:rPr>
                <w:sz w:val="18"/>
              </w:rPr>
              <w:t>participation</w:t>
            </w:r>
            <w:r>
              <w:rPr>
                <w:spacing w:val="-4"/>
                <w:sz w:val="18"/>
              </w:rPr>
              <w:t> </w:t>
            </w:r>
            <w:r>
              <w:rPr>
                <w:sz w:val="18"/>
              </w:rPr>
              <w:t>in</w:t>
            </w:r>
            <w:r>
              <w:rPr>
                <w:spacing w:val="-4"/>
                <w:sz w:val="18"/>
              </w:rPr>
              <w:t> </w:t>
            </w:r>
            <w:r>
              <w:rPr>
                <w:sz w:val="18"/>
              </w:rPr>
              <w:t>the</w:t>
            </w:r>
            <w:r>
              <w:rPr>
                <w:spacing w:val="-3"/>
                <w:sz w:val="18"/>
              </w:rPr>
              <w:t> </w:t>
            </w:r>
            <w:r>
              <w:rPr>
                <w:sz w:val="18"/>
              </w:rPr>
              <w:t>interview</w:t>
            </w:r>
            <w:r>
              <w:rPr>
                <w:spacing w:val="-5"/>
                <w:sz w:val="18"/>
              </w:rPr>
              <w:t> </w:t>
            </w:r>
            <w:r>
              <w:rPr>
                <w:sz w:val="18"/>
              </w:rPr>
              <w:t>involves.</w:t>
            </w:r>
          </w:p>
          <w:p>
            <w:pPr>
              <w:pStyle w:val="TableParagraph"/>
              <w:numPr>
                <w:ilvl w:val="0"/>
                <w:numId w:val="269"/>
              </w:numPr>
              <w:tabs>
                <w:tab w:pos="279" w:val="left" w:leader="none"/>
              </w:tabs>
              <w:spacing w:line="276" w:lineRule="auto" w:before="34" w:after="0"/>
              <w:ind w:left="278" w:right="414" w:hanging="171"/>
              <w:jc w:val="left"/>
              <w:rPr>
                <w:sz w:val="18"/>
              </w:rPr>
            </w:pPr>
            <w:r>
              <w:rPr>
                <w:sz w:val="18"/>
              </w:rPr>
              <w:t>Remind</w:t>
            </w:r>
            <w:r>
              <w:rPr>
                <w:spacing w:val="-3"/>
                <w:sz w:val="18"/>
              </w:rPr>
              <w:t> </w:t>
            </w:r>
            <w:r>
              <w:rPr>
                <w:sz w:val="18"/>
              </w:rPr>
              <w:t>the</w:t>
            </w:r>
            <w:r>
              <w:rPr>
                <w:spacing w:val="-2"/>
                <w:sz w:val="18"/>
              </w:rPr>
              <w:t> </w:t>
            </w:r>
            <w:r>
              <w:rPr>
                <w:sz w:val="18"/>
              </w:rPr>
              <w:t>participant</w:t>
            </w:r>
            <w:r>
              <w:rPr>
                <w:spacing w:val="-4"/>
                <w:sz w:val="18"/>
              </w:rPr>
              <w:t> </w:t>
            </w:r>
            <w:r>
              <w:rPr>
                <w:sz w:val="18"/>
              </w:rPr>
              <w:t>that</w:t>
            </w:r>
            <w:r>
              <w:rPr>
                <w:spacing w:val="-3"/>
                <w:sz w:val="18"/>
              </w:rPr>
              <w:t> </w:t>
            </w:r>
            <w:r>
              <w:rPr>
                <w:sz w:val="18"/>
              </w:rPr>
              <w:t>they</w:t>
            </w:r>
            <w:r>
              <w:rPr>
                <w:spacing w:val="-3"/>
                <w:sz w:val="18"/>
              </w:rPr>
              <w:t> </w:t>
            </w:r>
            <w:r>
              <w:rPr>
                <w:sz w:val="18"/>
              </w:rPr>
              <w:t>can</w:t>
            </w:r>
            <w:r>
              <w:rPr>
                <w:spacing w:val="-2"/>
                <w:sz w:val="18"/>
              </w:rPr>
              <w:t> </w:t>
            </w:r>
            <w:r>
              <w:rPr>
                <w:sz w:val="18"/>
              </w:rPr>
              <w:t>withdraw</w:t>
            </w:r>
            <w:r>
              <w:rPr>
                <w:spacing w:val="-3"/>
                <w:sz w:val="18"/>
              </w:rPr>
              <w:t> </w:t>
            </w:r>
            <w:r>
              <w:rPr>
                <w:sz w:val="18"/>
              </w:rPr>
              <w:t>from</w:t>
            </w:r>
            <w:r>
              <w:rPr>
                <w:spacing w:val="-5"/>
                <w:sz w:val="18"/>
              </w:rPr>
              <w:t> </w:t>
            </w:r>
            <w:r>
              <w:rPr>
                <w:sz w:val="18"/>
              </w:rPr>
              <w:t>the</w:t>
            </w:r>
            <w:r>
              <w:rPr>
                <w:spacing w:val="-2"/>
                <w:sz w:val="18"/>
              </w:rPr>
              <w:t> </w:t>
            </w:r>
            <w:r>
              <w:rPr>
                <w:sz w:val="18"/>
              </w:rPr>
              <w:t>interview</w:t>
            </w:r>
            <w:r>
              <w:rPr>
                <w:spacing w:val="-3"/>
                <w:sz w:val="18"/>
              </w:rPr>
              <w:t> </w:t>
            </w:r>
            <w:r>
              <w:rPr>
                <w:sz w:val="18"/>
              </w:rPr>
              <w:t>at</w:t>
            </w:r>
            <w:r>
              <w:rPr>
                <w:spacing w:val="-3"/>
                <w:sz w:val="18"/>
              </w:rPr>
              <w:t> </w:t>
            </w:r>
            <w:r>
              <w:rPr>
                <w:sz w:val="18"/>
              </w:rPr>
              <w:t>any</w:t>
            </w:r>
            <w:r>
              <w:rPr>
                <w:spacing w:val="-47"/>
                <w:sz w:val="18"/>
              </w:rPr>
              <w:t> </w:t>
            </w:r>
            <w:r>
              <w:rPr>
                <w:sz w:val="18"/>
              </w:rPr>
              <w:t>time,</w:t>
            </w:r>
            <w:r>
              <w:rPr>
                <w:spacing w:val="-3"/>
                <w:sz w:val="18"/>
              </w:rPr>
              <w:t> </w:t>
            </w:r>
            <w:r>
              <w:rPr>
                <w:sz w:val="18"/>
              </w:rPr>
              <w:t>and that</w:t>
            </w:r>
            <w:r>
              <w:rPr>
                <w:spacing w:val="-3"/>
                <w:sz w:val="18"/>
              </w:rPr>
              <w:t> </w:t>
            </w:r>
            <w:r>
              <w:rPr>
                <w:sz w:val="18"/>
              </w:rPr>
              <w:t>they</w:t>
            </w:r>
            <w:r>
              <w:rPr>
                <w:spacing w:val="-2"/>
                <w:sz w:val="18"/>
              </w:rPr>
              <w:t> </w:t>
            </w:r>
            <w:r>
              <w:rPr>
                <w:sz w:val="18"/>
              </w:rPr>
              <w:t>do</w:t>
            </w:r>
            <w:r>
              <w:rPr>
                <w:spacing w:val="-1"/>
                <w:sz w:val="18"/>
              </w:rPr>
              <w:t> </w:t>
            </w:r>
            <w:r>
              <w:rPr>
                <w:sz w:val="18"/>
              </w:rPr>
              <w:t>not have</w:t>
            </w:r>
            <w:r>
              <w:rPr>
                <w:spacing w:val="-1"/>
                <w:sz w:val="18"/>
              </w:rPr>
              <w:t> </w:t>
            </w:r>
            <w:r>
              <w:rPr>
                <w:sz w:val="18"/>
              </w:rPr>
              <w:t>to</w:t>
            </w:r>
            <w:r>
              <w:rPr>
                <w:spacing w:val="-1"/>
                <w:sz w:val="18"/>
              </w:rPr>
              <w:t> </w:t>
            </w:r>
            <w:r>
              <w:rPr>
                <w:sz w:val="18"/>
              </w:rPr>
              <w:t>answer</w:t>
            </w:r>
            <w:r>
              <w:rPr>
                <w:spacing w:val="-1"/>
                <w:sz w:val="18"/>
              </w:rPr>
              <w:t> </w:t>
            </w:r>
            <w:r>
              <w:rPr>
                <w:sz w:val="18"/>
              </w:rPr>
              <w:t>any</w:t>
            </w:r>
            <w:r>
              <w:rPr>
                <w:spacing w:val="-2"/>
                <w:sz w:val="18"/>
              </w:rPr>
              <w:t> </w:t>
            </w:r>
            <w:r>
              <w:rPr>
                <w:sz w:val="18"/>
              </w:rPr>
              <w:t>further</w:t>
            </w:r>
            <w:r>
              <w:rPr>
                <w:spacing w:val="3"/>
                <w:sz w:val="18"/>
              </w:rPr>
              <w:t> </w:t>
            </w:r>
            <w:r>
              <w:rPr>
                <w:sz w:val="18"/>
              </w:rPr>
              <w:t>questions.</w:t>
            </w:r>
          </w:p>
          <w:p>
            <w:pPr>
              <w:pStyle w:val="TableParagraph"/>
              <w:numPr>
                <w:ilvl w:val="0"/>
                <w:numId w:val="269"/>
              </w:numPr>
              <w:tabs>
                <w:tab w:pos="279" w:val="left" w:leader="none"/>
              </w:tabs>
              <w:spacing w:line="276" w:lineRule="auto" w:before="1" w:after="0"/>
              <w:ind w:left="278" w:right="739" w:hanging="171"/>
              <w:jc w:val="both"/>
              <w:rPr>
                <w:sz w:val="18"/>
              </w:rPr>
            </w:pPr>
            <w:r>
              <w:rPr>
                <w:sz w:val="18"/>
              </w:rPr>
              <w:t>Outline</w:t>
            </w:r>
            <w:r>
              <w:rPr>
                <w:spacing w:val="-5"/>
                <w:sz w:val="18"/>
              </w:rPr>
              <w:t> </w:t>
            </w:r>
            <w:r>
              <w:rPr>
                <w:sz w:val="18"/>
              </w:rPr>
              <w:t>confidentiality/anonymity</w:t>
            </w:r>
            <w:r>
              <w:rPr>
                <w:spacing w:val="-4"/>
                <w:sz w:val="18"/>
              </w:rPr>
              <w:t> </w:t>
            </w:r>
            <w:r>
              <w:rPr>
                <w:sz w:val="18"/>
              </w:rPr>
              <w:t>provisions,</w:t>
            </w:r>
            <w:r>
              <w:rPr>
                <w:spacing w:val="-6"/>
                <w:sz w:val="18"/>
              </w:rPr>
              <w:t> </w:t>
            </w:r>
            <w:r>
              <w:rPr>
                <w:sz w:val="18"/>
              </w:rPr>
              <w:t>that</w:t>
            </w:r>
            <w:r>
              <w:rPr>
                <w:spacing w:val="-5"/>
                <w:sz w:val="18"/>
              </w:rPr>
              <w:t> </w:t>
            </w:r>
            <w:r>
              <w:rPr>
                <w:sz w:val="18"/>
              </w:rPr>
              <w:t>is,</w:t>
            </w:r>
            <w:r>
              <w:rPr>
                <w:spacing w:val="-6"/>
                <w:sz w:val="18"/>
              </w:rPr>
              <w:t> </w:t>
            </w:r>
            <w:r>
              <w:rPr>
                <w:sz w:val="18"/>
              </w:rPr>
              <w:t>that</w:t>
            </w:r>
            <w:r>
              <w:rPr>
                <w:spacing w:val="-3"/>
                <w:sz w:val="18"/>
              </w:rPr>
              <w:t> </w:t>
            </w:r>
            <w:r>
              <w:rPr>
                <w:sz w:val="18"/>
              </w:rPr>
              <w:t>the</w:t>
            </w:r>
            <w:r>
              <w:rPr>
                <w:spacing w:val="-3"/>
                <w:sz w:val="18"/>
              </w:rPr>
              <w:t> </w:t>
            </w:r>
            <w:r>
              <w:rPr>
                <w:sz w:val="18"/>
              </w:rPr>
              <w:t>PHN</w:t>
            </w:r>
            <w:r>
              <w:rPr>
                <w:spacing w:val="-4"/>
                <w:sz w:val="18"/>
              </w:rPr>
              <w:t> </w:t>
            </w:r>
            <w:r>
              <w:rPr>
                <w:sz w:val="18"/>
              </w:rPr>
              <w:t>and</w:t>
            </w:r>
            <w:r>
              <w:rPr>
                <w:spacing w:val="-48"/>
                <w:sz w:val="18"/>
              </w:rPr>
              <w:t> </w:t>
            </w:r>
            <w:r>
              <w:rPr>
                <w:sz w:val="18"/>
              </w:rPr>
              <w:t>individuals responding on behalf of the PHN will not be named in any</w:t>
            </w:r>
            <w:r>
              <w:rPr>
                <w:spacing w:val="-47"/>
                <w:sz w:val="18"/>
              </w:rPr>
              <w:t> </w:t>
            </w:r>
            <w:r>
              <w:rPr>
                <w:sz w:val="18"/>
              </w:rPr>
              <w:t>reporting</w:t>
            </w:r>
            <w:r>
              <w:rPr>
                <w:spacing w:val="-3"/>
                <w:sz w:val="18"/>
              </w:rPr>
              <w:t> </w:t>
            </w:r>
            <w:r>
              <w:rPr>
                <w:sz w:val="18"/>
              </w:rPr>
              <w:t>of</w:t>
            </w:r>
            <w:r>
              <w:rPr>
                <w:spacing w:val="1"/>
                <w:sz w:val="18"/>
              </w:rPr>
              <w:t> </w:t>
            </w:r>
            <w:r>
              <w:rPr>
                <w:sz w:val="18"/>
              </w:rPr>
              <w:t>results</w:t>
            </w:r>
            <w:r>
              <w:rPr>
                <w:spacing w:val="-1"/>
                <w:sz w:val="18"/>
              </w:rPr>
              <w:t> </w:t>
            </w:r>
            <w:r>
              <w:rPr>
                <w:sz w:val="18"/>
              </w:rPr>
              <w:t>to any</w:t>
            </w:r>
            <w:r>
              <w:rPr>
                <w:spacing w:val="-2"/>
                <w:sz w:val="18"/>
              </w:rPr>
              <w:t> </w:t>
            </w:r>
            <w:r>
              <w:rPr>
                <w:sz w:val="18"/>
              </w:rPr>
              <w:t>parties.</w:t>
            </w:r>
          </w:p>
          <w:p>
            <w:pPr>
              <w:pStyle w:val="TableParagraph"/>
              <w:numPr>
                <w:ilvl w:val="0"/>
                <w:numId w:val="269"/>
              </w:numPr>
              <w:tabs>
                <w:tab w:pos="279" w:val="left" w:leader="none"/>
              </w:tabs>
              <w:spacing w:line="276" w:lineRule="auto" w:before="0" w:after="0"/>
              <w:ind w:left="278" w:right="170" w:hanging="171"/>
              <w:jc w:val="left"/>
              <w:rPr>
                <w:sz w:val="18"/>
              </w:rPr>
            </w:pPr>
            <w:r>
              <w:rPr>
                <w:sz w:val="18"/>
              </w:rPr>
              <w:t>Outline how the PHN will be informed of the results of the research when it is</w:t>
            </w:r>
            <w:r>
              <w:rPr>
                <w:spacing w:val="-47"/>
                <w:sz w:val="18"/>
              </w:rPr>
              <w:t> </w:t>
            </w:r>
            <w:r>
              <w:rPr>
                <w:sz w:val="18"/>
              </w:rPr>
              <w:t>finished.</w:t>
            </w:r>
          </w:p>
          <w:p>
            <w:pPr>
              <w:pStyle w:val="TableParagraph"/>
              <w:numPr>
                <w:ilvl w:val="0"/>
                <w:numId w:val="269"/>
              </w:numPr>
              <w:tabs>
                <w:tab w:pos="279" w:val="left" w:leader="none"/>
              </w:tabs>
              <w:spacing w:line="276" w:lineRule="auto" w:before="0" w:after="0"/>
              <w:ind w:left="278" w:right="344" w:hanging="171"/>
              <w:jc w:val="left"/>
              <w:rPr>
                <w:sz w:val="18"/>
              </w:rPr>
            </w:pPr>
            <w:r>
              <w:rPr>
                <w:sz w:val="18"/>
              </w:rPr>
              <w:t>Provide details on who to contact in case of any or concerns or questions</w:t>
            </w:r>
            <w:r>
              <w:rPr>
                <w:spacing w:val="-47"/>
                <w:sz w:val="18"/>
              </w:rPr>
              <w:t> </w:t>
            </w:r>
            <w:r>
              <w:rPr>
                <w:sz w:val="18"/>
              </w:rPr>
              <w:t>that may</w:t>
            </w:r>
            <w:r>
              <w:rPr>
                <w:spacing w:val="-1"/>
                <w:sz w:val="18"/>
              </w:rPr>
              <w:t> </w:t>
            </w:r>
            <w:r>
              <w:rPr>
                <w:sz w:val="18"/>
              </w:rPr>
              <w:t>arise after the</w:t>
            </w:r>
            <w:r>
              <w:rPr>
                <w:spacing w:val="-3"/>
                <w:sz w:val="18"/>
              </w:rPr>
              <w:t> </w:t>
            </w:r>
            <w:r>
              <w:rPr>
                <w:sz w:val="18"/>
              </w:rPr>
              <w:t>interview.</w:t>
            </w:r>
          </w:p>
          <w:p>
            <w:pPr>
              <w:pStyle w:val="TableParagraph"/>
              <w:numPr>
                <w:ilvl w:val="0"/>
                <w:numId w:val="269"/>
              </w:numPr>
              <w:tabs>
                <w:tab w:pos="279" w:val="left" w:leader="none"/>
              </w:tabs>
              <w:spacing w:line="240" w:lineRule="auto" w:before="0" w:after="0"/>
              <w:ind w:left="278" w:right="0" w:hanging="172"/>
              <w:jc w:val="left"/>
              <w:rPr>
                <w:sz w:val="18"/>
              </w:rPr>
            </w:pPr>
            <w:r>
              <w:rPr>
                <w:sz w:val="18"/>
              </w:rPr>
              <w:t>Seek</w:t>
            </w:r>
            <w:r>
              <w:rPr>
                <w:spacing w:val="-2"/>
                <w:sz w:val="18"/>
              </w:rPr>
              <w:t> </w:t>
            </w:r>
            <w:r>
              <w:rPr>
                <w:sz w:val="18"/>
              </w:rPr>
              <w:t>permission</w:t>
            </w:r>
            <w:r>
              <w:rPr>
                <w:spacing w:val="-2"/>
                <w:sz w:val="18"/>
              </w:rPr>
              <w:t> </w:t>
            </w:r>
            <w:r>
              <w:rPr>
                <w:sz w:val="18"/>
              </w:rPr>
              <w:t>to</w:t>
            </w:r>
            <w:r>
              <w:rPr>
                <w:spacing w:val="-2"/>
                <w:sz w:val="18"/>
              </w:rPr>
              <w:t> </w:t>
            </w:r>
            <w:r>
              <w:rPr>
                <w:sz w:val="18"/>
              </w:rPr>
              <w:t>audio</w:t>
            </w:r>
            <w:r>
              <w:rPr>
                <w:spacing w:val="-4"/>
                <w:sz w:val="18"/>
              </w:rPr>
              <w:t> </w:t>
            </w:r>
            <w:r>
              <w:rPr>
                <w:sz w:val="18"/>
              </w:rPr>
              <w:t>record</w:t>
            </w:r>
            <w:r>
              <w:rPr>
                <w:spacing w:val="-3"/>
                <w:sz w:val="18"/>
              </w:rPr>
              <w:t> </w:t>
            </w:r>
            <w:r>
              <w:rPr>
                <w:sz w:val="18"/>
              </w:rPr>
              <w:t>the</w:t>
            </w:r>
            <w:r>
              <w:rPr>
                <w:spacing w:val="-3"/>
                <w:sz w:val="18"/>
              </w:rPr>
              <w:t> </w:t>
            </w:r>
            <w:r>
              <w:rPr>
                <w:sz w:val="18"/>
              </w:rPr>
              <w:t>interview.</w:t>
            </w:r>
          </w:p>
          <w:p>
            <w:pPr>
              <w:pStyle w:val="TableParagraph"/>
              <w:numPr>
                <w:ilvl w:val="0"/>
                <w:numId w:val="269"/>
              </w:numPr>
              <w:tabs>
                <w:tab w:pos="279" w:val="left" w:leader="none"/>
              </w:tabs>
              <w:spacing w:line="240" w:lineRule="auto" w:before="33" w:after="0"/>
              <w:ind w:left="278" w:right="0" w:hanging="172"/>
              <w:jc w:val="left"/>
              <w:rPr>
                <w:sz w:val="18"/>
              </w:rPr>
            </w:pPr>
            <w:r>
              <w:rPr>
                <w:sz w:val="18"/>
              </w:rPr>
              <w:t>Check</w:t>
            </w:r>
            <w:r>
              <w:rPr>
                <w:spacing w:val="-5"/>
                <w:sz w:val="18"/>
              </w:rPr>
              <w:t> </w:t>
            </w:r>
            <w:r>
              <w:rPr>
                <w:sz w:val="18"/>
              </w:rPr>
              <w:t>whether</w:t>
            </w:r>
            <w:r>
              <w:rPr>
                <w:spacing w:val="-5"/>
                <w:sz w:val="18"/>
              </w:rPr>
              <w:t> </w:t>
            </w:r>
            <w:r>
              <w:rPr>
                <w:sz w:val="18"/>
              </w:rPr>
              <w:t>the</w:t>
            </w:r>
            <w:r>
              <w:rPr>
                <w:spacing w:val="-3"/>
                <w:sz w:val="18"/>
              </w:rPr>
              <w:t> </w:t>
            </w:r>
            <w:r>
              <w:rPr>
                <w:sz w:val="18"/>
              </w:rPr>
              <w:t>participant(s)</w:t>
            </w:r>
            <w:r>
              <w:rPr>
                <w:spacing w:val="-5"/>
                <w:sz w:val="18"/>
              </w:rPr>
              <w:t> </w:t>
            </w:r>
            <w:r>
              <w:rPr>
                <w:sz w:val="18"/>
              </w:rPr>
              <w:t>has(ve)</w:t>
            </w:r>
            <w:r>
              <w:rPr>
                <w:spacing w:val="-4"/>
                <w:sz w:val="18"/>
              </w:rPr>
              <w:t> </w:t>
            </w:r>
            <w:r>
              <w:rPr>
                <w:sz w:val="18"/>
              </w:rPr>
              <w:t>any</w:t>
            </w:r>
            <w:r>
              <w:rPr>
                <w:spacing w:val="-4"/>
                <w:sz w:val="18"/>
              </w:rPr>
              <w:t> </w:t>
            </w:r>
            <w:r>
              <w:rPr>
                <w:sz w:val="18"/>
              </w:rPr>
              <w:t>questions.</w:t>
            </w:r>
          </w:p>
          <w:p>
            <w:pPr>
              <w:pStyle w:val="TableParagraph"/>
              <w:numPr>
                <w:ilvl w:val="0"/>
                <w:numId w:val="269"/>
              </w:numPr>
              <w:tabs>
                <w:tab w:pos="279" w:val="left" w:leader="none"/>
              </w:tabs>
              <w:spacing w:line="240" w:lineRule="auto" w:before="32" w:after="0"/>
              <w:ind w:left="278" w:right="0" w:hanging="172"/>
              <w:jc w:val="left"/>
              <w:rPr>
                <w:sz w:val="18"/>
              </w:rPr>
            </w:pPr>
            <w:r>
              <w:rPr>
                <w:sz w:val="18"/>
              </w:rPr>
              <w:t>Seek</w:t>
            </w:r>
            <w:r>
              <w:rPr>
                <w:spacing w:val="-3"/>
                <w:sz w:val="18"/>
              </w:rPr>
              <w:t> </w:t>
            </w:r>
            <w:r>
              <w:rPr>
                <w:sz w:val="18"/>
              </w:rPr>
              <w:t>verbal</w:t>
            </w:r>
            <w:r>
              <w:rPr>
                <w:spacing w:val="-2"/>
                <w:sz w:val="18"/>
              </w:rPr>
              <w:t> </w:t>
            </w:r>
            <w:r>
              <w:rPr>
                <w:sz w:val="18"/>
              </w:rPr>
              <w:t>consent</w:t>
            </w:r>
            <w:r>
              <w:rPr>
                <w:spacing w:val="-1"/>
                <w:sz w:val="18"/>
              </w:rPr>
              <w:t> </w:t>
            </w:r>
            <w:r>
              <w:rPr>
                <w:sz w:val="18"/>
              </w:rPr>
              <w:t>for</w:t>
            </w:r>
            <w:r>
              <w:rPr>
                <w:spacing w:val="-5"/>
                <w:sz w:val="18"/>
              </w:rPr>
              <w:t> </w:t>
            </w:r>
            <w:r>
              <w:rPr>
                <w:sz w:val="18"/>
              </w:rPr>
              <w:t>participation.</w:t>
            </w:r>
          </w:p>
        </w:tc>
      </w:tr>
      <w:tr>
        <w:trPr>
          <w:trHeight w:val="2349" w:hRule="atLeast"/>
        </w:trPr>
        <w:tc>
          <w:tcPr>
            <w:tcW w:w="1980" w:type="dxa"/>
          </w:tcPr>
          <w:p>
            <w:pPr>
              <w:pStyle w:val="TableParagraph"/>
              <w:spacing w:line="276" w:lineRule="auto" w:before="2"/>
              <w:ind w:left="107" w:right="228"/>
              <w:rPr>
                <w:sz w:val="16"/>
              </w:rPr>
            </w:pPr>
            <w:r>
              <w:rPr>
                <w:sz w:val="16"/>
              </w:rPr>
              <w:t>Enablers and barriers</w:t>
            </w:r>
            <w:r>
              <w:rPr>
                <w:spacing w:val="-42"/>
                <w:sz w:val="16"/>
              </w:rPr>
              <w:t> </w:t>
            </w:r>
            <w:r>
              <w:rPr>
                <w:sz w:val="16"/>
              </w:rPr>
              <w:t>for</w:t>
            </w:r>
            <w:r>
              <w:rPr>
                <w:spacing w:val="-1"/>
                <w:sz w:val="16"/>
              </w:rPr>
              <w:t> </w:t>
            </w:r>
            <w:r>
              <w:rPr>
                <w:sz w:val="16"/>
              </w:rPr>
              <w:t>PHNs</w:t>
            </w:r>
          </w:p>
        </w:tc>
        <w:tc>
          <w:tcPr>
            <w:tcW w:w="7038" w:type="dxa"/>
          </w:tcPr>
          <w:p>
            <w:pPr>
              <w:pStyle w:val="TableParagraph"/>
              <w:numPr>
                <w:ilvl w:val="0"/>
                <w:numId w:val="270"/>
              </w:numPr>
              <w:tabs>
                <w:tab w:pos="279" w:val="left" w:leader="none"/>
              </w:tabs>
              <w:spacing w:line="273" w:lineRule="auto" w:before="1" w:after="0"/>
              <w:ind w:left="278" w:right="937" w:hanging="171"/>
              <w:jc w:val="left"/>
              <w:rPr>
                <w:sz w:val="18"/>
              </w:rPr>
            </w:pPr>
            <w:r>
              <w:rPr>
                <w:sz w:val="18"/>
              </w:rPr>
              <w:t>(</w:t>
            </w:r>
            <w:r>
              <w:rPr>
                <w:b/>
                <w:sz w:val="18"/>
              </w:rPr>
              <w:t>R2</w:t>
            </w:r>
            <w:r>
              <w:rPr>
                <w:sz w:val="18"/>
              </w:rPr>
              <w:t>) What</w:t>
            </w:r>
            <w:r>
              <w:rPr>
                <w:spacing w:val="-5"/>
                <w:sz w:val="18"/>
              </w:rPr>
              <w:t> </w:t>
            </w:r>
            <w:r>
              <w:rPr>
                <w:sz w:val="18"/>
              </w:rPr>
              <w:t>factors</w:t>
            </w:r>
            <w:r>
              <w:rPr>
                <w:spacing w:val="-4"/>
                <w:sz w:val="18"/>
              </w:rPr>
              <w:t> </w:t>
            </w:r>
            <w:r>
              <w:rPr>
                <w:sz w:val="18"/>
              </w:rPr>
              <w:t>contributed</w:t>
            </w:r>
            <w:r>
              <w:rPr>
                <w:spacing w:val="-3"/>
                <w:sz w:val="18"/>
              </w:rPr>
              <w:t> </w:t>
            </w:r>
            <w:r>
              <w:rPr>
                <w:sz w:val="18"/>
              </w:rPr>
              <w:t>to</w:t>
            </w:r>
            <w:r>
              <w:rPr>
                <w:spacing w:val="-4"/>
                <w:sz w:val="18"/>
              </w:rPr>
              <w:t> </w:t>
            </w:r>
            <w:r>
              <w:rPr>
                <w:sz w:val="18"/>
              </w:rPr>
              <w:t>you</w:t>
            </w:r>
            <w:r>
              <w:rPr>
                <w:spacing w:val="-3"/>
                <w:sz w:val="18"/>
              </w:rPr>
              <w:t> </w:t>
            </w:r>
            <w:r>
              <w:rPr>
                <w:sz w:val="18"/>
              </w:rPr>
              <w:t>being</w:t>
            </w:r>
            <w:r>
              <w:rPr>
                <w:spacing w:val="-4"/>
                <w:sz w:val="18"/>
              </w:rPr>
              <w:t> </w:t>
            </w:r>
            <w:r>
              <w:rPr>
                <w:sz w:val="18"/>
              </w:rPr>
              <w:t>able</w:t>
            </w:r>
            <w:r>
              <w:rPr>
                <w:spacing w:val="-3"/>
                <w:sz w:val="18"/>
              </w:rPr>
              <w:t> </w:t>
            </w:r>
            <w:r>
              <w:rPr>
                <w:sz w:val="18"/>
              </w:rPr>
              <w:t>to</w:t>
            </w:r>
            <w:r>
              <w:rPr>
                <w:spacing w:val="-3"/>
                <w:sz w:val="18"/>
              </w:rPr>
              <w:t> </w:t>
            </w:r>
            <w:r>
              <w:rPr>
                <w:sz w:val="18"/>
              </w:rPr>
              <w:t>effectively</w:t>
            </w:r>
            <w:r>
              <w:rPr>
                <w:spacing w:val="-4"/>
                <w:sz w:val="18"/>
              </w:rPr>
              <w:t> </w:t>
            </w:r>
            <w:r>
              <w:rPr>
                <w:sz w:val="18"/>
              </w:rPr>
              <w:t>train</w:t>
            </w:r>
            <w:r>
              <w:rPr>
                <w:spacing w:val="-46"/>
                <w:sz w:val="18"/>
              </w:rPr>
              <w:t> </w:t>
            </w:r>
            <w:r>
              <w:rPr>
                <w:sz w:val="18"/>
              </w:rPr>
              <w:t>practices</w:t>
            </w:r>
            <w:r>
              <w:rPr>
                <w:spacing w:val="-3"/>
                <w:sz w:val="18"/>
              </w:rPr>
              <w:t> </w:t>
            </w:r>
            <w:r>
              <w:rPr>
                <w:sz w:val="18"/>
              </w:rPr>
              <w:t>and</w:t>
            </w:r>
            <w:r>
              <w:rPr>
                <w:spacing w:val="-3"/>
                <w:sz w:val="18"/>
              </w:rPr>
              <w:t> </w:t>
            </w:r>
            <w:r>
              <w:rPr>
                <w:sz w:val="18"/>
              </w:rPr>
              <w:t>assist</w:t>
            </w:r>
            <w:r>
              <w:rPr>
                <w:spacing w:val="-3"/>
                <w:sz w:val="18"/>
              </w:rPr>
              <w:t> </w:t>
            </w:r>
            <w:r>
              <w:rPr>
                <w:sz w:val="18"/>
              </w:rPr>
              <w:t>them</w:t>
            </w:r>
            <w:r>
              <w:rPr>
                <w:spacing w:val="-6"/>
                <w:sz w:val="18"/>
              </w:rPr>
              <w:t> </w:t>
            </w:r>
            <w:r>
              <w:rPr>
                <w:sz w:val="18"/>
              </w:rPr>
              <w:t>in</w:t>
            </w:r>
            <w:r>
              <w:rPr>
                <w:spacing w:val="-4"/>
                <w:sz w:val="18"/>
              </w:rPr>
              <w:t> </w:t>
            </w:r>
            <w:r>
              <w:rPr>
                <w:sz w:val="18"/>
              </w:rPr>
              <w:t>enrolment</w:t>
            </w:r>
            <w:r>
              <w:rPr>
                <w:spacing w:val="-3"/>
                <w:sz w:val="18"/>
              </w:rPr>
              <w:t> </w:t>
            </w:r>
            <w:r>
              <w:rPr>
                <w:sz w:val="18"/>
              </w:rPr>
              <w:t>of</w:t>
            </w:r>
            <w:r>
              <w:rPr>
                <w:spacing w:val="-1"/>
                <w:sz w:val="18"/>
              </w:rPr>
              <w:t> </w:t>
            </w:r>
            <w:r>
              <w:rPr>
                <w:sz w:val="18"/>
              </w:rPr>
              <w:t>patients</w:t>
            </w:r>
            <w:r>
              <w:rPr>
                <w:spacing w:val="-5"/>
                <w:sz w:val="18"/>
              </w:rPr>
              <w:t> </w:t>
            </w:r>
            <w:r>
              <w:rPr>
                <w:sz w:val="18"/>
              </w:rPr>
              <w:t>in</w:t>
            </w:r>
            <w:r>
              <w:rPr>
                <w:spacing w:val="-1"/>
                <w:sz w:val="18"/>
              </w:rPr>
              <w:t> </w:t>
            </w:r>
            <w:r>
              <w:rPr>
                <w:sz w:val="18"/>
              </w:rPr>
              <w:t>the</w:t>
            </w:r>
            <w:r>
              <w:rPr>
                <w:spacing w:val="-6"/>
                <w:sz w:val="18"/>
              </w:rPr>
              <w:t> </w:t>
            </w:r>
            <w:r>
              <w:rPr>
                <w:sz w:val="18"/>
              </w:rPr>
              <w:t>program?</w:t>
            </w:r>
          </w:p>
          <w:p>
            <w:pPr>
              <w:pStyle w:val="TableParagraph"/>
              <w:numPr>
                <w:ilvl w:val="0"/>
                <w:numId w:val="270"/>
              </w:numPr>
              <w:tabs>
                <w:tab w:pos="279" w:val="left" w:leader="none"/>
              </w:tabs>
              <w:spacing w:line="276" w:lineRule="auto" w:before="3" w:after="0"/>
              <w:ind w:left="278" w:right="424" w:hanging="171"/>
              <w:jc w:val="left"/>
              <w:rPr>
                <w:sz w:val="18"/>
              </w:rPr>
            </w:pPr>
            <w:r>
              <w:rPr>
                <w:sz w:val="18"/>
              </w:rPr>
              <w:t>(</w:t>
            </w:r>
            <w:r>
              <w:rPr>
                <w:b/>
                <w:sz w:val="18"/>
              </w:rPr>
              <w:t>R2</w:t>
            </w:r>
            <w:r>
              <w:rPr>
                <w:sz w:val="18"/>
              </w:rPr>
              <w:t>) What factors have prevented you from effectively training practices</w:t>
            </w:r>
            <w:r>
              <w:rPr>
                <w:spacing w:val="-47"/>
                <w:sz w:val="18"/>
              </w:rPr>
              <w:t> </w:t>
            </w:r>
            <w:r>
              <w:rPr>
                <w:sz w:val="18"/>
              </w:rPr>
              <w:t>and</w:t>
            </w:r>
            <w:r>
              <w:rPr>
                <w:spacing w:val="-2"/>
                <w:sz w:val="18"/>
              </w:rPr>
              <w:t> </w:t>
            </w:r>
            <w:r>
              <w:rPr>
                <w:sz w:val="18"/>
              </w:rPr>
              <w:t>assisting</w:t>
            </w:r>
            <w:r>
              <w:rPr>
                <w:spacing w:val="-2"/>
                <w:sz w:val="18"/>
              </w:rPr>
              <w:t> </w:t>
            </w:r>
            <w:r>
              <w:rPr>
                <w:sz w:val="18"/>
              </w:rPr>
              <w:t>them</w:t>
            </w:r>
            <w:r>
              <w:rPr>
                <w:spacing w:val="-5"/>
                <w:sz w:val="18"/>
              </w:rPr>
              <w:t> </w:t>
            </w:r>
            <w:r>
              <w:rPr>
                <w:sz w:val="18"/>
              </w:rPr>
              <w:t>in</w:t>
            </w:r>
            <w:r>
              <w:rPr>
                <w:spacing w:val="-2"/>
                <w:sz w:val="18"/>
              </w:rPr>
              <w:t> </w:t>
            </w:r>
            <w:r>
              <w:rPr>
                <w:sz w:val="18"/>
              </w:rPr>
              <w:t>enrolling</w:t>
            </w:r>
            <w:r>
              <w:rPr>
                <w:spacing w:val="-3"/>
                <w:sz w:val="18"/>
              </w:rPr>
              <w:t> </w:t>
            </w:r>
            <w:r>
              <w:rPr>
                <w:sz w:val="18"/>
              </w:rPr>
              <w:t>patients</w:t>
            </w:r>
            <w:r>
              <w:rPr>
                <w:spacing w:val="-1"/>
                <w:sz w:val="18"/>
              </w:rPr>
              <w:t> </w:t>
            </w:r>
            <w:r>
              <w:rPr>
                <w:sz w:val="18"/>
              </w:rPr>
              <w:t>in</w:t>
            </w:r>
            <w:r>
              <w:rPr>
                <w:spacing w:val="-1"/>
                <w:sz w:val="18"/>
              </w:rPr>
              <w:t> </w:t>
            </w:r>
            <w:r>
              <w:rPr>
                <w:sz w:val="18"/>
              </w:rPr>
              <w:t>the program?</w:t>
            </w:r>
          </w:p>
          <w:p>
            <w:pPr>
              <w:pStyle w:val="TableParagraph"/>
              <w:spacing w:before="5"/>
              <w:rPr>
                <w:sz w:val="16"/>
              </w:rPr>
            </w:pPr>
          </w:p>
          <w:p>
            <w:pPr>
              <w:pStyle w:val="TableParagraph"/>
              <w:ind w:left="107"/>
              <w:rPr>
                <w:sz w:val="16"/>
              </w:rPr>
            </w:pPr>
            <w:r>
              <w:rPr>
                <w:sz w:val="16"/>
              </w:rPr>
              <w:t>Prompts:</w:t>
            </w:r>
          </w:p>
          <w:p>
            <w:pPr>
              <w:pStyle w:val="TableParagraph"/>
              <w:spacing w:before="7"/>
              <w:rPr>
                <w:sz w:val="18"/>
              </w:rPr>
            </w:pPr>
          </w:p>
          <w:p>
            <w:pPr>
              <w:pStyle w:val="TableParagraph"/>
              <w:numPr>
                <w:ilvl w:val="1"/>
                <w:numId w:val="270"/>
              </w:numPr>
              <w:tabs>
                <w:tab w:pos="828" w:val="left" w:leader="none"/>
                <w:tab w:pos="829" w:val="left" w:leader="none"/>
              </w:tabs>
              <w:spacing w:line="240" w:lineRule="auto" w:before="1" w:after="0"/>
              <w:ind w:left="828" w:right="0" w:hanging="361"/>
              <w:jc w:val="left"/>
              <w:rPr>
                <w:sz w:val="18"/>
              </w:rPr>
            </w:pPr>
            <w:r>
              <w:rPr>
                <w:sz w:val="18"/>
              </w:rPr>
              <w:t>Internal</w:t>
            </w:r>
            <w:r>
              <w:rPr>
                <w:spacing w:val="-2"/>
                <w:sz w:val="18"/>
              </w:rPr>
              <w:t> </w:t>
            </w:r>
            <w:r>
              <w:rPr>
                <w:sz w:val="18"/>
              </w:rPr>
              <w:t>(within</w:t>
            </w:r>
            <w:r>
              <w:rPr>
                <w:spacing w:val="-3"/>
                <w:sz w:val="18"/>
              </w:rPr>
              <w:t> </w:t>
            </w:r>
            <w:r>
              <w:rPr>
                <w:sz w:val="18"/>
              </w:rPr>
              <w:t>the</w:t>
            </w:r>
            <w:r>
              <w:rPr>
                <w:spacing w:val="-4"/>
                <w:sz w:val="18"/>
              </w:rPr>
              <w:t> </w:t>
            </w:r>
            <w:r>
              <w:rPr>
                <w:sz w:val="18"/>
              </w:rPr>
              <w:t>PHN).</w:t>
            </w:r>
          </w:p>
          <w:p>
            <w:pPr>
              <w:pStyle w:val="TableParagraph"/>
              <w:numPr>
                <w:ilvl w:val="1"/>
                <w:numId w:val="270"/>
              </w:numPr>
              <w:tabs>
                <w:tab w:pos="821" w:val="left" w:leader="none"/>
                <w:tab w:pos="822" w:val="left" w:leader="none"/>
              </w:tabs>
              <w:spacing w:line="240" w:lineRule="auto" w:before="33" w:after="0"/>
              <w:ind w:left="821" w:right="0" w:hanging="357"/>
              <w:jc w:val="left"/>
              <w:rPr>
                <w:sz w:val="18"/>
              </w:rPr>
            </w:pPr>
            <w:r>
              <w:rPr>
                <w:sz w:val="18"/>
              </w:rPr>
              <w:t>External</w:t>
            </w:r>
            <w:r>
              <w:rPr>
                <w:spacing w:val="-3"/>
                <w:sz w:val="18"/>
              </w:rPr>
              <w:t> </w:t>
            </w:r>
            <w:r>
              <w:rPr>
                <w:sz w:val="18"/>
              </w:rPr>
              <w:t>(e.g.</w:t>
            </w:r>
            <w:r>
              <w:rPr>
                <w:spacing w:val="-6"/>
                <w:sz w:val="18"/>
              </w:rPr>
              <w:t> </w:t>
            </w:r>
            <w:r>
              <w:rPr>
                <w:sz w:val="18"/>
              </w:rPr>
              <w:t>practice,</w:t>
            </w:r>
            <w:r>
              <w:rPr>
                <w:spacing w:val="-6"/>
                <w:sz w:val="18"/>
              </w:rPr>
              <w:t> </w:t>
            </w:r>
            <w:r>
              <w:rPr>
                <w:sz w:val="18"/>
              </w:rPr>
              <w:t>training/</w:t>
            </w:r>
            <w:r>
              <w:rPr>
                <w:spacing w:val="-4"/>
                <w:sz w:val="18"/>
              </w:rPr>
              <w:t> </w:t>
            </w:r>
            <w:r>
              <w:rPr>
                <w:sz w:val="18"/>
              </w:rPr>
              <w:t>enrolment</w:t>
            </w:r>
            <w:r>
              <w:rPr>
                <w:spacing w:val="-6"/>
                <w:sz w:val="18"/>
              </w:rPr>
              <w:t> </w:t>
            </w:r>
            <w:r>
              <w:rPr>
                <w:sz w:val="18"/>
              </w:rPr>
              <w:t>materials</w:t>
            </w:r>
            <w:r>
              <w:rPr>
                <w:spacing w:val="-5"/>
                <w:sz w:val="18"/>
              </w:rPr>
              <w:t> </w:t>
            </w:r>
            <w:r>
              <w:rPr>
                <w:sz w:val="18"/>
              </w:rPr>
              <w:t>provided).</w:t>
            </w:r>
          </w:p>
        </w:tc>
      </w:tr>
    </w:tbl>
    <w:p>
      <w:pPr>
        <w:spacing w:after="0" w:line="240" w:lineRule="auto"/>
        <w:jc w:val="left"/>
        <w:rPr>
          <w:sz w:val="18"/>
        </w:rPr>
        <w:sectPr>
          <w:type w:val="continuous"/>
          <w:pgSz w:w="11910" w:h="16840"/>
          <w:pgMar w:header="0" w:footer="948" w:top="1420" w:bottom="1427" w:left="300" w:right="0"/>
        </w:sectPr>
      </w:pPr>
    </w:p>
    <w:tbl>
      <w:tblPr>
        <w:tblW w:w="0" w:type="auto"/>
        <w:jc w:val="left"/>
        <w:tblInd w:w="11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980"/>
        <w:gridCol w:w="7038"/>
      </w:tblGrid>
      <w:tr>
        <w:trPr>
          <w:trHeight w:val="225" w:hRule="atLeast"/>
        </w:trPr>
        <w:tc>
          <w:tcPr>
            <w:tcW w:w="1980" w:type="dxa"/>
            <w:shd w:val="clear" w:color="auto" w:fill="003C79"/>
          </w:tcPr>
          <w:p>
            <w:pPr>
              <w:pStyle w:val="TableParagraph"/>
              <w:spacing w:line="196" w:lineRule="exact"/>
              <w:ind w:left="107"/>
              <w:rPr>
                <w:b/>
                <w:sz w:val="16"/>
              </w:rPr>
            </w:pPr>
            <w:r>
              <w:rPr>
                <w:b/>
                <w:color w:val="FFFFFF"/>
                <w:sz w:val="16"/>
              </w:rPr>
              <w:t>Topic</w:t>
            </w:r>
          </w:p>
        </w:tc>
        <w:tc>
          <w:tcPr>
            <w:tcW w:w="7038" w:type="dxa"/>
            <w:shd w:val="clear" w:color="auto" w:fill="003C79"/>
          </w:tcPr>
          <w:p>
            <w:pPr>
              <w:pStyle w:val="TableParagraph"/>
              <w:spacing w:line="196" w:lineRule="exact"/>
              <w:ind w:left="107"/>
              <w:rPr>
                <w:b/>
                <w:sz w:val="16"/>
              </w:rPr>
            </w:pPr>
            <w:r>
              <w:rPr>
                <w:b/>
                <w:color w:val="FFFFFF"/>
                <w:sz w:val="16"/>
              </w:rPr>
              <w:t>Question</w:t>
            </w:r>
          </w:p>
        </w:tc>
      </w:tr>
      <w:tr>
        <w:trPr>
          <w:trHeight w:val="707" w:hRule="atLeast"/>
        </w:trPr>
        <w:tc>
          <w:tcPr>
            <w:tcW w:w="1980" w:type="dxa"/>
          </w:tcPr>
          <w:p>
            <w:pPr>
              <w:pStyle w:val="TableParagraph"/>
              <w:rPr>
                <w:rFonts w:ascii="Times New Roman"/>
                <w:sz w:val="18"/>
              </w:rPr>
            </w:pPr>
          </w:p>
        </w:tc>
        <w:tc>
          <w:tcPr>
            <w:tcW w:w="7038" w:type="dxa"/>
          </w:tcPr>
          <w:p>
            <w:pPr>
              <w:pStyle w:val="TableParagraph"/>
              <w:numPr>
                <w:ilvl w:val="0"/>
                <w:numId w:val="271"/>
              </w:numPr>
              <w:tabs>
                <w:tab w:pos="279" w:val="left" w:leader="none"/>
              </w:tabs>
              <w:spacing w:line="276" w:lineRule="auto" w:before="0" w:after="0"/>
              <w:ind w:left="278" w:right="872" w:hanging="171"/>
              <w:jc w:val="left"/>
              <w:rPr>
                <w:sz w:val="18"/>
              </w:rPr>
            </w:pPr>
            <w:r>
              <w:rPr>
                <w:sz w:val="18"/>
              </w:rPr>
              <w:t>(</w:t>
            </w:r>
            <w:r>
              <w:rPr>
                <w:b/>
                <w:sz w:val="18"/>
              </w:rPr>
              <w:t>R4/R5</w:t>
            </w:r>
            <w:r>
              <w:rPr>
                <w:sz w:val="18"/>
              </w:rPr>
              <w:t>) What would you do differently next time if you were to assist</w:t>
            </w:r>
            <w:r>
              <w:rPr>
                <w:spacing w:val="-48"/>
                <w:sz w:val="18"/>
              </w:rPr>
              <w:t> </w:t>
            </w:r>
            <w:r>
              <w:rPr>
                <w:sz w:val="18"/>
              </w:rPr>
              <w:t>practices</w:t>
            </w:r>
            <w:r>
              <w:rPr>
                <w:spacing w:val="-4"/>
                <w:sz w:val="18"/>
              </w:rPr>
              <w:t> </w:t>
            </w:r>
            <w:r>
              <w:rPr>
                <w:sz w:val="18"/>
              </w:rPr>
              <w:t>within</w:t>
            </w:r>
            <w:r>
              <w:rPr>
                <w:spacing w:val="-2"/>
                <w:sz w:val="18"/>
              </w:rPr>
              <w:t> </w:t>
            </w:r>
            <w:r>
              <w:rPr>
                <w:sz w:val="18"/>
              </w:rPr>
              <w:t>your</w:t>
            </w:r>
            <w:r>
              <w:rPr>
                <w:spacing w:val="-5"/>
                <w:sz w:val="18"/>
              </w:rPr>
              <w:t> </w:t>
            </w:r>
            <w:r>
              <w:rPr>
                <w:sz w:val="18"/>
              </w:rPr>
              <w:t>region</w:t>
            </w:r>
            <w:r>
              <w:rPr>
                <w:spacing w:val="-4"/>
                <w:sz w:val="18"/>
              </w:rPr>
              <w:t> </w:t>
            </w:r>
            <w:r>
              <w:rPr>
                <w:sz w:val="18"/>
              </w:rPr>
              <w:t>to</w:t>
            </w:r>
            <w:r>
              <w:rPr>
                <w:spacing w:val="-2"/>
                <w:sz w:val="18"/>
              </w:rPr>
              <w:t> </w:t>
            </w:r>
            <w:r>
              <w:rPr>
                <w:sz w:val="18"/>
              </w:rPr>
              <w:t>implement</w:t>
            </w:r>
            <w:r>
              <w:rPr>
                <w:spacing w:val="-5"/>
                <w:sz w:val="18"/>
              </w:rPr>
              <w:t> </w:t>
            </w:r>
            <w:r>
              <w:rPr>
                <w:sz w:val="18"/>
              </w:rPr>
              <w:t>HCH</w:t>
            </w:r>
            <w:r>
              <w:rPr>
                <w:spacing w:val="-3"/>
                <w:sz w:val="18"/>
              </w:rPr>
              <w:t> </w:t>
            </w:r>
            <w:r>
              <w:rPr>
                <w:sz w:val="18"/>
              </w:rPr>
              <w:t>or</w:t>
            </w:r>
            <w:r>
              <w:rPr>
                <w:spacing w:val="-2"/>
                <w:sz w:val="18"/>
              </w:rPr>
              <w:t> </w:t>
            </w:r>
            <w:r>
              <w:rPr>
                <w:sz w:val="18"/>
              </w:rPr>
              <w:t>a</w:t>
            </w:r>
            <w:r>
              <w:rPr>
                <w:spacing w:val="-3"/>
                <w:sz w:val="18"/>
              </w:rPr>
              <w:t> </w:t>
            </w:r>
            <w:r>
              <w:rPr>
                <w:sz w:val="18"/>
              </w:rPr>
              <w:t>similar</w:t>
            </w:r>
            <w:r>
              <w:rPr>
                <w:spacing w:val="-2"/>
                <w:sz w:val="18"/>
              </w:rPr>
              <w:t> </w:t>
            </w:r>
            <w:r>
              <w:rPr>
                <w:sz w:val="18"/>
              </w:rPr>
              <w:t>model?</w:t>
            </w:r>
          </w:p>
        </w:tc>
      </w:tr>
      <w:tr>
        <w:trPr>
          <w:trHeight w:val="1216" w:hRule="atLeast"/>
        </w:trPr>
        <w:tc>
          <w:tcPr>
            <w:tcW w:w="1980" w:type="dxa"/>
          </w:tcPr>
          <w:p>
            <w:pPr>
              <w:pStyle w:val="TableParagraph"/>
              <w:spacing w:line="276" w:lineRule="auto"/>
              <w:ind w:left="107" w:right="228"/>
              <w:rPr>
                <w:sz w:val="16"/>
              </w:rPr>
            </w:pPr>
            <w:r>
              <w:rPr>
                <w:sz w:val="16"/>
              </w:rPr>
              <w:t>Enablers and barriers</w:t>
            </w:r>
            <w:r>
              <w:rPr>
                <w:spacing w:val="-42"/>
                <w:sz w:val="16"/>
              </w:rPr>
              <w:t> </w:t>
            </w:r>
            <w:r>
              <w:rPr>
                <w:sz w:val="16"/>
              </w:rPr>
              <w:t>for</w:t>
            </w:r>
            <w:r>
              <w:rPr>
                <w:spacing w:val="-1"/>
                <w:sz w:val="16"/>
              </w:rPr>
              <w:t> </w:t>
            </w:r>
            <w:r>
              <w:rPr>
                <w:sz w:val="16"/>
              </w:rPr>
              <w:t>practices</w:t>
            </w:r>
          </w:p>
        </w:tc>
        <w:tc>
          <w:tcPr>
            <w:tcW w:w="7038" w:type="dxa"/>
          </w:tcPr>
          <w:p>
            <w:pPr>
              <w:pStyle w:val="TableParagraph"/>
              <w:numPr>
                <w:ilvl w:val="0"/>
                <w:numId w:val="272"/>
              </w:numPr>
              <w:tabs>
                <w:tab w:pos="279" w:val="left" w:leader="none"/>
              </w:tabs>
              <w:spacing w:line="276" w:lineRule="auto" w:before="0" w:after="0"/>
              <w:ind w:left="278" w:right="377" w:hanging="171"/>
              <w:jc w:val="left"/>
              <w:rPr>
                <w:sz w:val="18"/>
              </w:rPr>
            </w:pPr>
            <w:r>
              <w:rPr>
                <w:sz w:val="18"/>
              </w:rPr>
              <w:t>What do you believe are the main factors that have helped the rollout of</w:t>
            </w:r>
            <w:r>
              <w:rPr>
                <w:spacing w:val="-47"/>
                <w:sz w:val="18"/>
              </w:rPr>
              <w:t> </w:t>
            </w:r>
            <w:r>
              <w:rPr>
                <w:sz w:val="18"/>
              </w:rPr>
              <w:t>HCH</w:t>
            </w:r>
            <w:r>
              <w:rPr>
                <w:spacing w:val="-1"/>
                <w:sz w:val="18"/>
              </w:rPr>
              <w:t> </w:t>
            </w:r>
            <w:r>
              <w:rPr>
                <w:sz w:val="18"/>
              </w:rPr>
              <w:t>amongst</w:t>
            </w:r>
            <w:r>
              <w:rPr>
                <w:spacing w:val="-2"/>
                <w:sz w:val="18"/>
              </w:rPr>
              <w:t> </w:t>
            </w:r>
            <w:r>
              <w:rPr>
                <w:sz w:val="18"/>
              </w:rPr>
              <w:t>the practices</w:t>
            </w:r>
            <w:r>
              <w:rPr>
                <w:spacing w:val="-3"/>
                <w:sz w:val="18"/>
              </w:rPr>
              <w:t> </w:t>
            </w:r>
            <w:r>
              <w:rPr>
                <w:sz w:val="18"/>
              </w:rPr>
              <w:t>in</w:t>
            </w:r>
            <w:r>
              <w:rPr>
                <w:spacing w:val="-2"/>
                <w:sz w:val="18"/>
              </w:rPr>
              <w:t> </w:t>
            </w:r>
            <w:r>
              <w:rPr>
                <w:sz w:val="18"/>
              </w:rPr>
              <w:t>your PHN?</w:t>
            </w:r>
          </w:p>
          <w:p>
            <w:pPr>
              <w:pStyle w:val="TableParagraph"/>
              <w:numPr>
                <w:ilvl w:val="0"/>
                <w:numId w:val="272"/>
              </w:numPr>
              <w:tabs>
                <w:tab w:pos="279" w:val="left" w:leader="none"/>
              </w:tabs>
              <w:spacing w:line="276" w:lineRule="auto" w:before="0" w:after="0"/>
              <w:ind w:left="278" w:right="392" w:hanging="171"/>
              <w:jc w:val="left"/>
              <w:rPr>
                <w:sz w:val="18"/>
              </w:rPr>
            </w:pPr>
            <w:r>
              <w:rPr>
                <w:sz w:val="18"/>
              </w:rPr>
              <w:t>What</w:t>
            </w:r>
            <w:r>
              <w:rPr>
                <w:spacing w:val="-2"/>
                <w:sz w:val="18"/>
              </w:rPr>
              <w:t> </w:t>
            </w:r>
            <w:r>
              <w:rPr>
                <w:sz w:val="18"/>
              </w:rPr>
              <w:t>do</w:t>
            </w:r>
            <w:r>
              <w:rPr>
                <w:spacing w:val="-3"/>
                <w:sz w:val="18"/>
              </w:rPr>
              <w:t> </w:t>
            </w:r>
            <w:r>
              <w:rPr>
                <w:sz w:val="18"/>
              </w:rPr>
              <w:t>you</w:t>
            </w:r>
            <w:r>
              <w:rPr>
                <w:spacing w:val="-3"/>
                <w:sz w:val="18"/>
              </w:rPr>
              <w:t> </w:t>
            </w:r>
            <w:r>
              <w:rPr>
                <w:sz w:val="18"/>
              </w:rPr>
              <w:t>believe</w:t>
            </w:r>
            <w:r>
              <w:rPr>
                <w:spacing w:val="-2"/>
                <w:sz w:val="18"/>
              </w:rPr>
              <w:t> </w:t>
            </w:r>
            <w:r>
              <w:rPr>
                <w:sz w:val="18"/>
              </w:rPr>
              <w:t>are</w:t>
            </w:r>
            <w:r>
              <w:rPr>
                <w:spacing w:val="-3"/>
                <w:sz w:val="18"/>
              </w:rPr>
              <w:t> </w:t>
            </w:r>
            <w:r>
              <w:rPr>
                <w:sz w:val="18"/>
              </w:rPr>
              <w:t>the</w:t>
            </w:r>
            <w:r>
              <w:rPr>
                <w:spacing w:val="-3"/>
                <w:sz w:val="18"/>
              </w:rPr>
              <w:t> </w:t>
            </w:r>
            <w:r>
              <w:rPr>
                <w:sz w:val="18"/>
              </w:rPr>
              <w:t>main</w:t>
            </w:r>
            <w:r>
              <w:rPr>
                <w:spacing w:val="-2"/>
                <w:sz w:val="18"/>
              </w:rPr>
              <w:t> </w:t>
            </w:r>
            <w:r>
              <w:rPr>
                <w:sz w:val="18"/>
              </w:rPr>
              <w:t>factors</w:t>
            </w:r>
            <w:r>
              <w:rPr>
                <w:spacing w:val="-4"/>
                <w:sz w:val="18"/>
              </w:rPr>
              <w:t> </w:t>
            </w:r>
            <w:r>
              <w:rPr>
                <w:sz w:val="18"/>
              </w:rPr>
              <w:t>that</w:t>
            </w:r>
            <w:r>
              <w:rPr>
                <w:spacing w:val="1"/>
                <w:sz w:val="18"/>
              </w:rPr>
              <w:t> </w:t>
            </w:r>
            <w:r>
              <w:rPr>
                <w:sz w:val="18"/>
              </w:rPr>
              <w:t>have</w:t>
            </w:r>
            <w:r>
              <w:rPr>
                <w:spacing w:val="-2"/>
                <w:sz w:val="18"/>
              </w:rPr>
              <w:t> </w:t>
            </w:r>
            <w:r>
              <w:rPr>
                <w:sz w:val="18"/>
              </w:rPr>
              <w:t>caused</w:t>
            </w:r>
            <w:r>
              <w:rPr>
                <w:spacing w:val="-4"/>
                <w:sz w:val="18"/>
              </w:rPr>
              <w:t> </w:t>
            </w:r>
            <w:r>
              <w:rPr>
                <w:sz w:val="18"/>
              </w:rPr>
              <w:t>difficulties</w:t>
            </w:r>
            <w:r>
              <w:rPr>
                <w:spacing w:val="-6"/>
                <w:sz w:val="18"/>
              </w:rPr>
              <w:t> </w:t>
            </w:r>
            <w:r>
              <w:rPr>
                <w:sz w:val="18"/>
              </w:rPr>
              <w:t>in</w:t>
            </w:r>
            <w:r>
              <w:rPr>
                <w:spacing w:val="-46"/>
                <w:sz w:val="18"/>
              </w:rPr>
              <w:t> </w:t>
            </w:r>
            <w:r>
              <w:rPr>
                <w:sz w:val="18"/>
              </w:rPr>
              <w:t>rolling-out</w:t>
            </w:r>
            <w:r>
              <w:rPr>
                <w:spacing w:val="-3"/>
                <w:sz w:val="18"/>
              </w:rPr>
              <w:t> </w:t>
            </w:r>
            <w:r>
              <w:rPr>
                <w:sz w:val="18"/>
              </w:rPr>
              <w:t>HCH</w:t>
            </w:r>
            <w:r>
              <w:rPr>
                <w:spacing w:val="-1"/>
                <w:sz w:val="18"/>
              </w:rPr>
              <w:t> </w:t>
            </w:r>
            <w:r>
              <w:rPr>
                <w:sz w:val="18"/>
              </w:rPr>
              <w:t>amongst the practices</w:t>
            </w:r>
            <w:r>
              <w:rPr>
                <w:spacing w:val="-4"/>
                <w:sz w:val="18"/>
              </w:rPr>
              <w:t> </w:t>
            </w:r>
            <w:r>
              <w:rPr>
                <w:sz w:val="18"/>
              </w:rPr>
              <w:t>in your</w:t>
            </w:r>
            <w:r>
              <w:rPr>
                <w:spacing w:val="-2"/>
                <w:sz w:val="18"/>
              </w:rPr>
              <w:t> </w:t>
            </w:r>
            <w:r>
              <w:rPr>
                <w:sz w:val="18"/>
              </w:rPr>
              <w:t>PHN?</w:t>
            </w:r>
          </w:p>
        </w:tc>
      </w:tr>
      <w:tr>
        <w:trPr>
          <w:trHeight w:val="1214" w:hRule="atLeast"/>
        </w:trPr>
        <w:tc>
          <w:tcPr>
            <w:tcW w:w="1980" w:type="dxa"/>
          </w:tcPr>
          <w:p>
            <w:pPr>
              <w:pStyle w:val="TableParagraph"/>
              <w:spacing w:line="196" w:lineRule="exact"/>
              <w:ind w:left="107"/>
              <w:rPr>
                <w:sz w:val="16"/>
              </w:rPr>
            </w:pPr>
            <w:r>
              <w:rPr>
                <w:sz w:val="16"/>
              </w:rPr>
              <w:t>Practice</w:t>
            </w:r>
            <w:r>
              <w:rPr>
                <w:spacing w:val="-4"/>
                <w:sz w:val="16"/>
              </w:rPr>
              <w:t> </w:t>
            </w:r>
            <w:r>
              <w:rPr>
                <w:sz w:val="16"/>
              </w:rPr>
              <w:t>features</w:t>
            </w:r>
          </w:p>
        </w:tc>
        <w:tc>
          <w:tcPr>
            <w:tcW w:w="7038" w:type="dxa"/>
          </w:tcPr>
          <w:p>
            <w:pPr>
              <w:pStyle w:val="TableParagraph"/>
              <w:numPr>
                <w:ilvl w:val="0"/>
                <w:numId w:val="273"/>
              </w:numPr>
              <w:tabs>
                <w:tab w:pos="279" w:val="left" w:leader="none"/>
              </w:tabs>
              <w:spacing w:line="276" w:lineRule="auto" w:before="0" w:after="0"/>
              <w:ind w:left="278" w:right="494" w:hanging="171"/>
              <w:jc w:val="left"/>
              <w:rPr>
                <w:sz w:val="18"/>
              </w:rPr>
            </w:pPr>
            <w:r>
              <w:rPr>
                <w:sz w:val="18"/>
              </w:rPr>
              <w:t>Out</w:t>
            </w:r>
            <w:r>
              <w:rPr>
                <w:spacing w:val="-5"/>
                <w:sz w:val="18"/>
              </w:rPr>
              <w:t> </w:t>
            </w:r>
            <w:r>
              <w:rPr>
                <w:sz w:val="18"/>
              </w:rPr>
              <w:t>of</w:t>
            </w:r>
            <w:r>
              <w:rPr>
                <w:spacing w:val="-1"/>
                <w:sz w:val="18"/>
              </w:rPr>
              <w:t> </w:t>
            </w:r>
            <w:r>
              <w:rPr>
                <w:sz w:val="18"/>
              </w:rPr>
              <w:t>the</w:t>
            </w:r>
            <w:r>
              <w:rPr>
                <w:spacing w:val="-2"/>
                <w:sz w:val="18"/>
              </w:rPr>
              <w:t> </w:t>
            </w:r>
            <w:r>
              <w:rPr>
                <w:sz w:val="18"/>
              </w:rPr>
              <w:t>practices</w:t>
            </w:r>
            <w:r>
              <w:rPr>
                <w:spacing w:val="-3"/>
                <w:sz w:val="18"/>
              </w:rPr>
              <w:t> </w:t>
            </w:r>
            <w:r>
              <w:rPr>
                <w:sz w:val="18"/>
              </w:rPr>
              <w:t>within</w:t>
            </w:r>
            <w:r>
              <w:rPr>
                <w:spacing w:val="-2"/>
                <w:sz w:val="18"/>
              </w:rPr>
              <w:t> </w:t>
            </w:r>
            <w:r>
              <w:rPr>
                <w:sz w:val="18"/>
              </w:rPr>
              <w:t>your</w:t>
            </w:r>
            <w:r>
              <w:rPr>
                <w:spacing w:val="-2"/>
                <w:sz w:val="18"/>
              </w:rPr>
              <w:t> </w:t>
            </w:r>
            <w:r>
              <w:rPr>
                <w:sz w:val="18"/>
              </w:rPr>
              <w:t>region</w:t>
            </w:r>
            <w:r>
              <w:rPr>
                <w:spacing w:val="-6"/>
                <w:sz w:val="18"/>
              </w:rPr>
              <w:t> </w:t>
            </w:r>
            <w:r>
              <w:rPr>
                <w:sz w:val="18"/>
              </w:rPr>
              <w:t>implementing</w:t>
            </w:r>
            <w:r>
              <w:rPr>
                <w:spacing w:val="-4"/>
                <w:sz w:val="18"/>
              </w:rPr>
              <w:t> </w:t>
            </w:r>
            <w:r>
              <w:rPr>
                <w:sz w:val="18"/>
              </w:rPr>
              <w:t>HCH,</w:t>
            </w:r>
            <w:r>
              <w:rPr>
                <w:spacing w:val="-5"/>
                <w:sz w:val="18"/>
              </w:rPr>
              <w:t> </w:t>
            </w:r>
            <w:r>
              <w:rPr>
                <w:sz w:val="18"/>
              </w:rPr>
              <w:t>what</w:t>
            </w:r>
            <w:r>
              <w:rPr>
                <w:spacing w:val="-4"/>
                <w:sz w:val="18"/>
              </w:rPr>
              <w:t> </w:t>
            </w:r>
            <w:r>
              <w:rPr>
                <w:sz w:val="18"/>
              </w:rPr>
              <w:t>are</w:t>
            </w:r>
            <w:r>
              <w:rPr>
                <w:spacing w:val="-2"/>
                <w:sz w:val="18"/>
              </w:rPr>
              <w:t> </w:t>
            </w:r>
            <w:r>
              <w:rPr>
                <w:sz w:val="18"/>
              </w:rPr>
              <w:t>the</w:t>
            </w:r>
            <w:r>
              <w:rPr>
                <w:spacing w:val="-47"/>
                <w:sz w:val="18"/>
              </w:rPr>
              <w:t> </w:t>
            </w:r>
            <w:r>
              <w:rPr>
                <w:sz w:val="18"/>
              </w:rPr>
              <w:t>features of the practices that you would consider successful in</w:t>
            </w:r>
            <w:r>
              <w:rPr>
                <w:spacing w:val="1"/>
                <w:sz w:val="18"/>
              </w:rPr>
              <w:t> </w:t>
            </w:r>
            <w:r>
              <w:rPr>
                <w:sz w:val="18"/>
              </w:rPr>
              <w:t>implementing</w:t>
            </w:r>
            <w:r>
              <w:rPr>
                <w:spacing w:val="-3"/>
                <w:sz w:val="18"/>
              </w:rPr>
              <w:t> </w:t>
            </w:r>
            <w:r>
              <w:rPr>
                <w:sz w:val="18"/>
              </w:rPr>
              <w:t>HCH</w:t>
            </w:r>
            <w:r>
              <w:rPr>
                <w:spacing w:val="-3"/>
                <w:sz w:val="18"/>
              </w:rPr>
              <w:t> </w:t>
            </w:r>
            <w:r>
              <w:rPr>
                <w:sz w:val="18"/>
              </w:rPr>
              <w:t>and/</w:t>
            </w:r>
            <w:r>
              <w:rPr>
                <w:spacing w:val="-1"/>
                <w:sz w:val="18"/>
              </w:rPr>
              <w:t> </w:t>
            </w:r>
            <w:r>
              <w:rPr>
                <w:sz w:val="18"/>
              </w:rPr>
              <w:t>or</w:t>
            </w:r>
            <w:r>
              <w:rPr>
                <w:spacing w:val="-2"/>
                <w:sz w:val="18"/>
              </w:rPr>
              <w:t> </w:t>
            </w:r>
            <w:r>
              <w:rPr>
                <w:sz w:val="18"/>
              </w:rPr>
              <w:t>achieving</w:t>
            </w:r>
            <w:r>
              <w:rPr>
                <w:spacing w:val="-3"/>
                <w:sz w:val="18"/>
              </w:rPr>
              <w:t> </w:t>
            </w:r>
            <w:r>
              <w:rPr>
                <w:sz w:val="18"/>
              </w:rPr>
              <w:t>the</w:t>
            </w:r>
            <w:r>
              <w:rPr>
                <w:spacing w:val="-1"/>
                <w:sz w:val="18"/>
              </w:rPr>
              <w:t> </w:t>
            </w:r>
            <w:r>
              <w:rPr>
                <w:sz w:val="18"/>
              </w:rPr>
              <w:t>aims</w:t>
            </w:r>
            <w:r>
              <w:rPr>
                <w:spacing w:val="-2"/>
                <w:sz w:val="18"/>
              </w:rPr>
              <w:t> </w:t>
            </w:r>
            <w:r>
              <w:rPr>
                <w:sz w:val="18"/>
              </w:rPr>
              <w:t>of</w:t>
            </w:r>
            <w:r>
              <w:rPr>
                <w:spacing w:val="-1"/>
                <w:sz w:val="18"/>
              </w:rPr>
              <w:t> </w:t>
            </w:r>
            <w:r>
              <w:rPr>
                <w:sz w:val="18"/>
              </w:rPr>
              <w:t>the</w:t>
            </w:r>
            <w:r>
              <w:rPr>
                <w:spacing w:val="-1"/>
                <w:sz w:val="18"/>
              </w:rPr>
              <w:t> </w:t>
            </w:r>
            <w:r>
              <w:rPr>
                <w:sz w:val="18"/>
              </w:rPr>
              <w:t>program?</w:t>
            </w:r>
          </w:p>
          <w:p>
            <w:pPr>
              <w:pStyle w:val="TableParagraph"/>
              <w:numPr>
                <w:ilvl w:val="0"/>
                <w:numId w:val="273"/>
              </w:numPr>
              <w:tabs>
                <w:tab w:pos="279" w:val="left" w:leader="none"/>
              </w:tabs>
              <w:spacing w:line="220" w:lineRule="exact" w:before="0" w:after="0"/>
              <w:ind w:left="278" w:right="0" w:hanging="172"/>
              <w:jc w:val="left"/>
              <w:rPr>
                <w:sz w:val="18"/>
              </w:rPr>
            </w:pPr>
            <w:r>
              <w:rPr>
                <w:sz w:val="18"/>
              </w:rPr>
              <w:t>What</w:t>
            </w:r>
            <w:r>
              <w:rPr>
                <w:spacing w:val="-5"/>
                <w:sz w:val="18"/>
              </w:rPr>
              <w:t> </w:t>
            </w:r>
            <w:r>
              <w:rPr>
                <w:sz w:val="18"/>
              </w:rPr>
              <w:t>are</w:t>
            </w:r>
            <w:r>
              <w:rPr>
                <w:spacing w:val="-2"/>
                <w:sz w:val="18"/>
              </w:rPr>
              <w:t> </w:t>
            </w:r>
            <w:r>
              <w:rPr>
                <w:sz w:val="18"/>
              </w:rPr>
              <w:t>the</w:t>
            </w:r>
            <w:r>
              <w:rPr>
                <w:spacing w:val="-2"/>
                <w:sz w:val="18"/>
              </w:rPr>
              <w:t> </w:t>
            </w:r>
            <w:r>
              <w:rPr>
                <w:sz w:val="18"/>
              </w:rPr>
              <w:t>features</w:t>
            </w:r>
            <w:r>
              <w:rPr>
                <w:spacing w:val="-3"/>
                <w:sz w:val="18"/>
              </w:rPr>
              <w:t> </w:t>
            </w:r>
            <w:r>
              <w:rPr>
                <w:sz w:val="18"/>
              </w:rPr>
              <w:t>of</w:t>
            </w:r>
            <w:r>
              <w:rPr>
                <w:spacing w:val="-4"/>
                <w:sz w:val="18"/>
              </w:rPr>
              <w:t> </w:t>
            </w:r>
            <w:r>
              <w:rPr>
                <w:sz w:val="18"/>
              </w:rPr>
              <w:t>the</w:t>
            </w:r>
            <w:r>
              <w:rPr>
                <w:spacing w:val="-3"/>
                <w:sz w:val="18"/>
              </w:rPr>
              <w:t> </w:t>
            </w:r>
            <w:r>
              <w:rPr>
                <w:sz w:val="18"/>
              </w:rPr>
              <w:t>practices</w:t>
            </w:r>
            <w:r>
              <w:rPr>
                <w:spacing w:val="-3"/>
                <w:sz w:val="18"/>
              </w:rPr>
              <w:t> </w:t>
            </w:r>
            <w:r>
              <w:rPr>
                <w:sz w:val="18"/>
              </w:rPr>
              <w:t>that</w:t>
            </w:r>
            <w:r>
              <w:rPr>
                <w:spacing w:val="-4"/>
                <w:sz w:val="18"/>
              </w:rPr>
              <w:t> </w:t>
            </w:r>
            <w:r>
              <w:rPr>
                <w:sz w:val="18"/>
              </w:rPr>
              <w:t>you</w:t>
            </w:r>
            <w:r>
              <w:rPr>
                <w:spacing w:val="-4"/>
                <w:sz w:val="18"/>
              </w:rPr>
              <w:t> </w:t>
            </w:r>
            <w:r>
              <w:rPr>
                <w:sz w:val="18"/>
              </w:rPr>
              <w:t>consider</w:t>
            </w:r>
            <w:r>
              <w:rPr>
                <w:spacing w:val="-2"/>
                <w:sz w:val="18"/>
              </w:rPr>
              <w:t> </w:t>
            </w:r>
            <w:r>
              <w:rPr>
                <w:sz w:val="18"/>
              </w:rPr>
              <w:t>not</w:t>
            </w:r>
            <w:r>
              <w:rPr>
                <w:spacing w:val="-5"/>
                <w:sz w:val="18"/>
              </w:rPr>
              <w:t> </w:t>
            </w:r>
            <w:r>
              <w:rPr>
                <w:sz w:val="18"/>
              </w:rPr>
              <w:t>as</w:t>
            </w:r>
            <w:r>
              <w:rPr>
                <w:spacing w:val="-3"/>
                <w:sz w:val="18"/>
              </w:rPr>
              <w:t> </w:t>
            </w:r>
            <w:r>
              <w:rPr>
                <w:sz w:val="18"/>
              </w:rPr>
              <w:t>successful?</w:t>
            </w:r>
          </w:p>
        </w:tc>
      </w:tr>
      <w:tr>
        <w:trPr>
          <w:trHeight w:val="2604" w:hRule="atLeast"/>
        </w:trPr>
        <w:tc>
          <w:tcPr>
            <w:tcW w:w="1980" w:type="dxa"/>
          </w:tcPr>
          <w:p>
            <w:pPr>
              <w:pStyle w:val="TableParagraph"/>
              <w:spacing w:line="276" w:lineRule="auto"/>
              <w:ind w:left="107" w:right="330"/>
              <w:rPr>
                <w:sz w:val="16"/>
              </w:rPr>
            </w:pPr>
            <w:r>
              <w:rPr>
                <w:sz w:val="16"/>
              </w:rPr>
              <w:t>Contextual</w:t>
            </w:r>
            <w:r>
              <w:rPr>
                <w:spacing w:val="1"/>
                <w:sz w:val="16"/>
              </w:rPr>
              <w:t> </w:t>
            </w:r>
            <w:r>
              <w:rPr>
                <w:spacing w:val="-1"/>
                <w:sz w:val="16"/>
              </w:rPr>
              <w:t>information/</w:t>
            </w:r>
            <w:r>
              <w:rPr>
                <w:spacing w:val="-3"/>
                <w:sz w:val="16"/>
              </w:rPr>
              <w:t> </w:t>
            </w:r>
            <w:r>
              <w:rPr>
                <w:sz w:val="16"/>
              </w:rPr>
              <w:t>factors</w:t>
            </w:r>
          </w:p>
        </w:tc>
        <w:tc>
          <w:tcPr>
            <w:tcW w:w="7038" w:type="dxa"/>
          </w:tcPr>
          <w:p>
            <w:pPr>
              <w:pStyle w:val="TableParagraph"/>
              <w:numPr>
                <w:ilvl w:val="0"/>
                <w:numId w:val="274"/>
              </w:numPr>
              <w:tabs>
                <w:tab w:pos="279" w:val="left" w:leader="none"/>
              </w:tabs>
              <w:spacing w:line="276" w:lineRule="auto" w:before="0" w:after="0"/>
              <w:ind w:left="278" w:right="242" w:hanging="171"/>
              <w:jc w:val="left"/>
              <w:rPr>
                <w:sz w:val="18"/>
              </w:rPr>
            </w:pPr>
            <w:r>
              <w:rPr>
                <w:sz w:val="18"/>
              </w:rPr>
              <w:t>What changes/ initiatives, if any, are occurring/ have occurred </w:t>
            </w:r>
            <w:r>
              <w:rPr>
                <w:sz w:val="18"/>
                <w:u w:val="single"/>
              </w:rPr>
              <w:t>not related</w:t>
            </w:r>
            <w:r>
              <w:rPr>
                <w:spacing w:val="-47"/>
                <w:sz w:val="18"/>
              </w:rPr>
              <w:t> </w:t>
            </w:r>
            <w:r>
              <w:rPr>
                <w:sz w:val="18"/>
                <w:u w:val="single"/>
              </w:rPr>
              <w:t>to HCH</w:t>
            </w:r>
            <w:r>
              <w:rPr>
                <w:sz w:val="18"/>
              </w:rPr>
              <w:t> that have impacted on the implementation of HCH within your</w:t>
            </w:r>
            <w:r>
              <w:rPr>
                <w:spacing w:val="1"/>
                <w:sz w:val="18"/>
              </w:rPr>
              <w:t> </w:t>
            </w:r>
            <w:r>
              <w:rPr>
                <w:sz w:val="18"/>
              </w:rPr>
              <w:t>region</w:t>
            </w:r>
            <w:r>
              <w:rPr>
                <w:spacing w:val="-4"/>
                <w:sz w:val="18"/>
              </w:rPr>
              <w:t> </w:t>
            </w:r>
            <w:r>
              <w:rPr>
                <w:sz w:val="18"/>
              </w:rPr>
              <w:t>and/ or the</w:t>
            </w:r>
            <w:r>
              <w:rPr>
                <w:spacing w:val="-5"/>
                <w:sz w:val="18"/>
              </w:rPr>
              <w:t> </w:t>
            </w:r>
            <w:r>
              <w:rPr>
                <w:sz w:val="18"/>
              </w:rPr>
              <w:t>impacts/</w:t>
            </w:r>
            <w:r>
              <w:rPr>
                <w:spacing w:val="2"/>
                <w:sz w:val="18"/>
              </w:rPr>
              <w:t> </w:t>
            </w:r>
            <w:r>
              <w:rPr>
                <w:sz w:val="18"/>
              </w:rPr>
              <w:t>outcomes</w:t>
            </w:r>
            <w:r>
              <w:rPr>
                <w:spacing w:val="-1"/>
                <w:sz w:val="18"/>
              </w:rPr>
              <w:t> </w:t>
            </w:r>
            <w:r>
              <w:rPr>
                <w:sz w:val="18"/>
              </w:rPr>
              <w:t>of</w:t>
            </w:r>
            <w:r>
              <w:rPr>
                <w:spacing w:val="-1"/>
                <w:sz w:val="18"/>
              </w:rPr>
              <w:t> </w:t>
            </w:r>
            <w:r>
              <w:rPr>
                <w:sz w:val="18"/>
              </w:rPr>
              <w:t>HCH?</w:t>
            </w:r>
          </w:p>
          <w:p>
            <w:pPr>
              <w:pStyle w:val="TableParagraph"/>
              <w:spacing w:before="5"/>
              <w:rPr>
                <w:sz w:val="16"/>
              </w:rPr>
            </w:pPr>
          </w:p>
          <w:p>
            <w:pPr>
              <w:pStyle w:val="TableParagraph"/>
              <w:ind w:left="107"/>
              <w:rPr>
                <w:sz w:val="16"/>
              </w:rPr>
            </w:pPr>
            <w:r>
              <w:rPr>
                <w:sz w:val="16"/>
              </w:rPr>
              <w:t>Prompts:</w:t>
            </w:r>
          </w:p>
          <w:p>
            <w:pPr>
              <w:pStyle w:val="TableParagraph"/>
              <w:spacing w:before="7"/>
              <w:rPr>
                <w:sz w:val="18"/>
              </w:rPr>
            </w:pPr>
          </w:p>
          <w:p>
            <w:pPr>
              <w:pStyle w:val="TableParagraph"/>
              <w:numPr>
                <w:ilvl w:val="1"/>
                <w:numId w:val="274"/>
              </w:numPr>
              <w:tabs>
                <w:tab w:pos="828" w:val="left" w:leader="none"/>
                <w:tab w:pos="829" w:val="left" w:leader="none"/>
              </w:tabs>
              <w:spacing w:line="240" w:lineRule="auto" w:before="0" w:after="0"/>
              <w:ind w:left="828" w:right="0" w:hanging="361"/>
              <w:jc w:val="left"/>
              <w:rPr>
                <w:sz w:val="18"/>
              </w:rPr>
            </w:pPr>
            <w:r>
              <w:rPr>
                <w:sz w:val="18"/>
              </w:rPr>
              <w:t>LHN</w:t>
            </w:r>
            <w:r>
              <w:rPr>
                <w:spacing w:val="-5"/>
                <w:sz w:val="18"/>
              </w:rPr>
              <w:t> </w:t>
            </w:r>
            <w:r>
              <w:rPr>
                <w:sz w:val="18"/>
              </w:rPr>
              <w:t>changes/</w:t>
            </w:r>
            <w:r>
              <w:rPr>
                <w:spacing w:val="-5"/>
                <w:sz w:val="18"/>
              </w:rPr>
              <w:t> </w:t>
            </w:r>
            <w:r>
              <w:rPr>
                <w:sz w:val="18"/>
              </w:rPr>
              <w:t>initiatives.</w:t>
            </w:r>
          </w:p>
          <w:p>
            <w:pPr>
              <w:pStyle w:val="TableParagraph"/>
              <w:numPr>
                <w:ilvl w:val="1"/>
                <w:numId w:val="274"/>
              </w:numPr>
              <w:tabs>
                <w:tab w:pos="828" w:val="left" w:leader="none"/>
                <w:tab w:pos="829" w:val="left" w:leader="none"/>
              </w:tabs>
              <w:spacing w:line="240" w:lineRule="auto" w:before="34" w:after="0"/>
              <w:ind w:left="828" w:right="0" w:hanging="361"/>
              <w:jc w:val="left"/>
              <w:rPr>
                <w:sz w:val="18"/>
              </w:rPr>
            </w:pPr>
            <w:r>
              <w:rPr>
                <w:sz w:val="18"/>
              </w:rPr>
              <w:t>State/</w:t>
            </w:r>
            <w:r>
              <w:rPr>
                <w:spacing w:val="-6"/>
                <w:sz w:val="18"/>
              </w:rPr>
              <w:t> </w:t>
            </w:r>
            <w:r>
              <w:rPr>
                <w:sz w:val="18"/>
              </w:rPr>
              <w:t>territory</w:t>
            </w:r>
            <w:r>
              <w:rPr>
                <w:spacing w:val="-6"/>
                <w:sz w:val="18"/>
              </w:rPr>
              <w:t> </w:t>
            </w:r>
            <w:r>
              <w:rPr>
                <w:sz w:val="18"/>
              </w:rPr>
              <w:t>changes/</w:t>
            </w:r>
            <w:r>
              <w:rPr>
                <w:spacing w:val="-7"/>
                <w:sz w:val="18"/>
              </w:rPr>
              <w:t> </w:t>
            </w:r>
            <w:r>
              <w:rPr>
                <w:sz w:val="18"/>
              </w:rPr>
              <w:t>initiatives.</w:t>
            </w:r>
          </w:p>
          <w:p>
            <w:pPr>
              <w:pStyle w:val="TableParagraph"/>
              <w:numPr>
                <w:ilvl w:val="1"/>
                <w:numId w:val="274"/>
              </w:numPr>
              <w:tabs>
                <w:tab w:pos="828" w:val="left" w:leader="none"/>
                <w:tab w:pos="829" w:val="left" w:leader="none"/>
              </w:tabs>
              <w:spacing w:line="240" w:lineRule="auto" w:before="33" w:after="0"/>
              <w:ind w:left="828" w:right="0" w:hanging="361"/>
              <w:jc w:val="left"/>
              <w:rPr>
                <w:sz w:val="18"/>
              </w:rPr>
            </w:pPr>
            <w:r>
              <w:rPr>
                <w:sz w:val="18"/>
              </w:rPr>
              <w:t>Availability/</w:t>
            </w:r>
            <w:r>
              <w:rPr>
                <w:spacing w:val="-6"/>
                <w:sz w:val="18"/>
              </w:rPr>
              <w:t> </w:t>
            </w:r>
            <w:r>
              <w:rPr>
                <w:sz w:val="18"/>
              </w:rPr>
              <w:t>withdrawal</w:t>
            </w:r>
            <w:r>
              <w:rPr>
                <w:spacing w:val="-5"/>
                <w:sz w:val="18"/>
              </w:rPr>
              <w:t> </w:t>
            </w:r>
            <w:r>
              <w:rPr>
                <w:sz w:val="18"/>
              </w:rPr>
              <w:t>of</w:t>
            </w:r>
            <w:r>
              <w:rPr>
                <w:spacing w:val="-5"/>
                <w:sz w:val="18"/>
              </w:rPr>
              <w:t> </w:t>
            </w:r>
            <w:r>
              <w:rPr>
                <w:sz w:val="18"/>
              </w:rPr>
              <w:t>community</w:t>
            </w:r>
            <w:r>
              <w:rPr>
                <w:spacing w:val="-5"/>
                <w:sz w:val="18"/>
              </w:rPr>
              <w:t> </w:t>
            </w:r>
            <w:r>
              <w:rPr>
                <w:sz w:val="18"/>
              </w:rPr>
              <w:t>programs.</w:t>
            </w:r>
          </w:p>
          <w:p>
            <w:pPr>
              <w:pStyle w:val="TableParagraph"/>
              <w:numPr>
                <w:ilvl w:val="1"/>
                <w:numId w:val="274"/>
              </w:numPr>
              <w:tabs>
                <w:tab w:pos="828" w:val="left" w:leader="none"/>
                <w:tab w:pos="829" w:val="left" w:leader="none"/>
              </w:tabs>
              <w:spacing w:line="240" w:lineRule="auto" w:before="32" w:after="0"/>
              <w:ind w:left="828" w:right="0" w:hanging="361"/>
              <w:jc w:val="left"/>
              <w:rPr>
                <w:sz w:val="18"/>
              </w:rPr>
            </w:pPr>
            <w:r>
              <w:rPr>
                <w:sz w:val="18"/>
              </w:rPr>
              <w:t>Availability/</w:t>
            </w:r>
            <w:r>
              <w:rPr>
                <w:spacing w:val="-5"/>
                <w:sz w:val="18"/>
              </w:rPr>
              <w:t> </w:t>
            </w:r>
            <w:r>
              <w:rPr>
                <w:sz w:val="18"/>
              </w:rPr>
              <w:t>withdrawal</w:t>
            </w:r>
            <w:r>
              <w:rPr>
                <w:spacing w:val="-4"/>
                <w:sz w:val="18"/>
              </w:rPr>
              <w:t> </w:t>
            </w:r>
            <w:r>
              <w:rPr>
                <w:sz w:val="18"/>
              </w:rPr>
              <w:t>of</w:t>
            </w:r>
            <w:r>
              <w:rPr>
                <w:spacing w:val="-5"/>
                <w:sz w:val="18"/>
              </w:rPr>
              <w:t> </w:t>
            </w:r>
            <w:r>
              <w:rPr>
                <w:sz w:val="18"/>
              </w:rPr>
              <w:t>private</w:t>
            </w:r>
            <w:r>
              <w:rPr>
                <w:spacing w:val="-4"/>
                <w:sz w:val="18"/>
              </w:rPr>
              <w:t> </w:t>
            </w:r>
            <w:r>
              <w:rPr>
                <w:sz w:val="18"/>
              </w:rPr>
              <w:t>health</w:t>
            </w:r>
            <w:r>
              <w:rPr>
                <w:spacing w:val="-3"/>
                <w:sz w:val="18"/>
              </w:rPr>
              <w:t> </w:t>
            </w:r>
            <w:r>
              <w:rPr>
                <w:sz w:val="18"/>
              </w:rPr>
              <w:t>insurance</w:t>
            </w:r>
            <w:r>
              <w:rPr>
                <w:spacing w:val="-4"/>
                <w:sz w:val="18"/>
              </w:rPr>
              <w:t> </w:t>
            </w:r>
            <w:r>
              <w:rPr>
                <w:sz w:val="18"/>
              </w:rPr>
              <w:t>programs.</w:t>
            </w:r>
          </w:p>
        </w:tc>
      </w:tr>
      <w:tr>
        <w:trPr>
          <w:trHeight w:val="1723" w:hRule="atLeast"/>
        </w:trPr>
        <w:tc>
          <w:tcPr>
            <w:tcW w:w="1980" w:type="dxa"/>
          </w:tcPr>
          <w:p>
            <w:pPr>
              <w:pStyle w:val="TableParagraph"/>
              <w:spacing w:line="193" w:lineRule="exact"/>
              <w:ind w:left="107"/>
              <w:rPr>
                <w:sz w:val="16"/>
              </w:rPr>
            </w:pPr>
            <w:r>
              <w:rPr>
                <w:sz w:val="16"/>
              </w:rPr>
              <w:t>Benchmark</w:t>
            </w:r>
            <w:r>
              <w:rPr>
                <w:spacing w:val="-2"/>
                <w:sz w:val="16"/>
              </w:rPr>
              <w:t> </w:t>
            </w:r>
            <w:r>
              <w:rPr>
                <w:sz w:val="16"/>
              </w:rPr>
              <w:t>reports</w:t>
            </w:r>
          </w:p>
        </w:tc>
        <w:tc>
          <w:tcPr>
            <w:tcW w:w="7038" w:type="dxa"/>
          </w:tcPr>
          <w:p>
            <w:pPr>
              <w:pStyle w:val="TableParagraph"/>
              <w:numPr>
                <w:ilvl w:val="0"/>
                <w:numId w:val="275"/>
              </w:numPr>
              <w:tabs>
                <w:tab w:pos="279" w:val="left" w:leader="none"/>
              </w:tabs>
              <w:spacing w:line="273" w:lineRule="auto" w:before="0" w:after="0"/>
              <w:ind w:left="278" w:right="368" w:hanging="171"/>
              <w:jc w:val="left"/>
              <w:rPr>
                <w:sz w:val="18"/>
              </w:rPr>
            </w:pPr>
            <w:r>
              <w:rPr>
                <w:sz w:val="18"/>
              </w:rPr>
              <w:t>How</w:t>
            </w:r>
            <w:r>
              <w:rPr>
                <w:spacing w:val="-5"/>
                <w:sz w:val="18"/>
              </w:rPr>
              <w:t> </w:t>
            </w:r>
            <w:r>
              <w:rPr>
                <w:sz w:val="18"/>
              </w:rPr>
              <w:t>did</w:t>
            </w:r>
            <w:r>
              <w:rPr>
                <w:spacing w:val="-3"/>
                <w:sz w:val="18"/>
              </w:rPr>
              <w:t> </w:t>
            </w:r>
            <w:r>
              <w:rPr>
                <w:sz w:val="18"/>
              </w:rPr>
              <w:t>you</w:t>
            </w:r>
            <w:r>
              <w:rPr>
                <w:spacing w:val="-2"/>
                <w:sz w:val="18"/>
              </w:rPr>
              <w:t> </w:t>
            </w:r>
            <w:r>
              <w:rPr>
                <w:sz w:val="18"/>
              </w:rPr>
              <w:t>use</w:t>
            </w:r>
            <w:r>
              <w:rPr>
                <w:spacing w:val="-3"/>
                <w:sz w:val="18"/>
              </w:rPr>
              <w:t> </w:t>
            </w:r>
            <w:r>
              <w:rPr>
                <w:sz w:val="18"/>
              </w:rPr>
              <w:t>the</w:t>
            </w:r>
            <w:r>
              <w:rPr>
                <w:spacing w:val="-4"/>
                <w:sz w:val="18"/>
              </w:rPr>
              <w:t> </w:t>
            </w:r>
            <w:r>
              <w:rPr>
                <w:sz w:val="18"/>
              </w:rPr>
              <w:t>reports</w:t>
            </w:r>
            <w:r>
              <w:rPr>
                <w:spacing w:val="-5"/>
                <w:sz w:val="18"/>
              </w:rPr>
              <w:t> </w:t>
            </w:r>
            <w:r>
              <w:rPr>
                <w:sz w:val="18"/>
              </w:rPr>
              <w:t>that</w:t>
            </w:r>
            <w:r>
              <w:rPr>
                <w:spacing w:val="-4"/>
                <w:sz w:val="18"/>
              </w:rPr>
              <w:t> </w:t>
            </w:r>
            <w:r>
              <w:rPr>
                <w:sz w:val="18"/>
              </w:rPr>
              <w:t>you</w:t>
            </w:r>
            <w:r>
              <w:rPr>
                <w:spacing w:val="-3"/>
                <w:sz w:val="18"/>
              </w:rPr>
              <w:t> </w:t>
            </w:r>
            <w:r>
              <w:rPr>
                <w:sz w:val="18"/>
              </w:rPr>
              <w:t>received</w:t>
            </w:r>
            <w:r>
              <w:rPr>
                <w:spacing w:val="-3"/>
                <w:sz w:val="18"/>
              </w:rPr>
              <w:t> </w:t>
            </w:r>
            <w:r>
              <w:rPr>
                <w:sz w:val="18"/>
              </w:rPr>
              <w:t>from</w:t>
            </w:r>
            <w:r>
              <w:rPr>
                <w:spacing w:val="-6"/>
                <w:sz w:val="18"/>
              </w:rPr>
              <w:t> </w:t>
            </w:r>
            <w:r>
              <w:rPr>
                <w:sz w:val="18"/>
              </w:rPr>
              <w:t>Health</w:t>
            </w:r>
            <w:r>
              <w:rPr>
                <w:spacing w:val="-2"/>
                <w:sz w:val="18"/>
              </w:rPr>
              <w:t> </w:t>
            </w:r>
            <w:r>
              <w:rPr>
                <w:sz w:val="18"/>
              </w:rPr>
              <w:t>Policy</w:t>
            </w:r>
            <w:r>
              <w:rPr>
                <w:spacing w:val="1"/>
                <w:sz w:val="18"/>
              </w:rPr>
              <w:t> </w:t>
            </w:r>
            <w:r>
              <w:rPr>
                <w:sz w:val="18"/>
              </w:rPr>
              <w:t>Analysis</w:t>
            </w:r>
            <w:r>
              <w:rPr>
                <w:spacing w:val="-47"/>
                <w:sz w:val="18"/>
              </w:rPr>
              <w:t> </w:t>
            </w:r>
            <w:r>
              <w:rPr>
                <w:sz w:val="18"/>
              </w:rPr>
              <w:t>benchmarking</w:t>
            </w:r>
            <w:r>
              <w:rPr>
                <w:spacing w:val="-3"/>
                <w:sz w:val="18"/>
              </w:rPr>
              <w:t> </w:t>
            </w:r>
            <w:r>
              <w:rPr>
                <w:sz w:val="18"/>
              </w:rPr>
              <w:t>practices</w:t>
            </w:r>
            <w:r>
              <w:rPr>
                <w:spacing w:val="-1"/>
                <w:sz w:val="18"/>
              </w:rPr>
              <w:t> </w:t>
            </w:r>
            <w:r>
              <w:rPr>
                <w:sz w:val="18"/>
              </w:rPr>
              <w:t>within</w:t>
            </w:r>
            <w:r>
              <w:rPr>
                <w:spacing w:val="-2"/>
                <w:sz w:val="18"/>
              </w:rPr>
              <w:t> </w:t>
            </w:r>
            <w:r>
              <w:rPr>
                <w:sz w:val="18"/>
              </w:rPr>
              <w:t>your</w:t>
            </w:r>
            <w:r>
              <w:rPr>
                <w:spacing w:val="-1"/>
                <w:sz w:val="18"/>
              </w:rPr>
              <w:t> </w:t>
            </w:r>
            <w:r>
              <w:rPr>
                <w:sz w:val="18"/>
              </w:rPr>
              <w:t>PHN?</w:t>
            </w:r>
          </w:p>
          <w:p>
            <w:pPr>
              <w:pStyle w:val="TableParagraph"/>
              <w:numPr>
                <w:ilvl w:val="0"/>
                <w:numId w:val="275"/>
              </w:numPr>
              <w:tabs>
                <w:tab w:pos="279" w:val="left" w:leader="none"/>
              </w:tabs>
              <w:spacing w:line="240" w:lineRule="auto" w:before="2" w:after="0"/>
              <w:ind w:left="278" w:right="0" w:hanging="172"/>
              <w:jc w:val="left"/>
              <w:rPr>
                <w:sz w:val="18"/>
              </w:rPr>
            </w:pPr>
            <w:r>
              <w:rPr>
                <w:sz w:val="18"/>
              </w:rPr>
              <w:t>Were</w:t>
            </w:r>
            <w:r>
              <w:rPr>
                <w:spacing w:val="-3"/>
                <w:sz w:val="18"/>
              </w:rPr>
              <w:t> </w:t>
            </w:r>
            <w:r>
              <w:rPr>
                <w:sz w:val="18"/>
              </w:rPr>
              <w:t>they</w:t>
            </w:r>
            <w:r>
              <w:rPr>
                <w:spacing w:val="-3"/>
                <w:sz w:val="18"/>
              </w:rPr>
              <w:t> </w:t>
            </w:r>
            <w:r>
              <w:rPr>
                <w:sz w:val="18"/>
              </w:rPr>
              <w:t>useful</w:t>
            </w:r>
            <w:r>
              <w:rPr>
                <w:spacing w:val="-2"/>
                <w:sz w:val="18"/>
              </w:rPr>
              <w:t> </w:t>
            </w:r>
            <w:r>
              <w:rPr>
                <w:sz w:val="18"/>
              </w:rPr>
              <w:t>for</w:t>
            </w:r>
            <w:r>
              <w:rPr>
                <w:spacing w:val="-2"/>
                <w:sz w:val="18"/>
              </w:rPr>
              <w:t> </w:t>
            </w:r>
            <w:r>
              <w:rPr>
                <w:sz w:val="18"/>
              </w:rPr>
              <w:t>you? Why</w:t>
            </w:r>
            <w:r>
              <w:rPr>
                <w:spacing w:val="-4"/>
                <w:sz w:val="18"/>
              </w:rPr>
              <w:t> </w:t>
            </w:r>
            <w:r>
              <w:rPr>
                <w:sz w:val="18"/>
              </w:rPr>
              <w:t>or</w:t>
            </w:r>
            <w:r>
              <w:rPr>
                <w:spacing w:val="-2"/>
                <w:sz w:val="18"/>
              </w:rPr>
              <w:t> </w:t>
            </w:r>
            <w:r>
              <w:rPr>
                <w:sz w:val="18"/>
              </w:rPr>
              <w:t>why</w:t>
            </w:r>
            <w:r>
              <w:rPr>
                <w:spacing w:val="-2"/>
                <w:sz w:val="18"/>
              </w:rPr>
              <w:t> </w:t>
            </w:r>
            <w:r>
              <w:rPr>
                <w:sz w:val="18"/>
              </w:rPr>
              <w:t>not?</w:t>
            </w:r>
          </w:p>
          <w:p>
            <w:pPr>
              <w:pStyle w:val="TableParagraph"/>
              <w:numPr>
                <w:ilvl w:val="0"/>
                <w:numId w:val="275"/>
              </w:numPr>
              <w:tabs>
                <w:tab w:pos="279" w:val="left" w:leader="none"/>
              </w:tabs>
              <w:spacing w:line="240" w:lineRule="auto" w:before="34" w:after="0"/>
              <w:ind w:left="278" w:right="0" w:hanging="172"/>
              <w:jc w:val="left"/>
              <w:rPr>
                <w:sz w:val="18"/>
              </w:rPr>
            </w:pPr>
            <w:r>
              <w:rPr>
                <w:sz w:val="18"/>
              </w:rPr>
              <w:t>How</w:t>
            </w:r>
            <w:r>
              <w:rPr>
                <w:spacing w:val="-4"/>
                <w:sz w:val="18"/>
              </w:rPr>
              <w:t> </w:t>
            </w:r>
            <w:r>
              <w:rPr>
                <w:sz w:val="18"/>
              </w:rPr>
              <w:t>useful</w:t>
            </w:r>
            <w:r>
              <w:rPr>
                <w:spacing w:val="-2"/>
                <w:sz w:val="18"/>
              </w:rPr>
              <w:t> </w:t>
            </w:r>
            <w:r>
              <w:rPr>
                <w:sz w:val="18"/>
              </w:rPr>
              <w:t>do</w:t>
            </w:r>
            <w:r>
              <w:rPr>
                <w:spacing w:val="-2"/>
                <w:sz w:val="18"/>
              </w:rPr>
              <w:t> </w:t>
            </w:r>
            <w:r>
              <w:rPr>
                <w:sz w:val="18"/>
              </w:rPr>
              <w:t>you</w:t>
            </w:r>
            <w:r>
              <w:rPr>
                <w:spacing w:val="-2"/>
                <w:sz w:val="18"/>
              </w:rPr>
              <w:t> </w:t>
            </w:r>
            <w:r>
              <w:rPr>
                <w:sz w:val="18"/>
              </w:rPr>
              <w:t>think</w:t>
            </w:r>
            <w:r>
              <w:rPr>
                <w:spacing w:val="-2"/>
                <w:sz w:val="18"/>
              </w:rPr>
              <w:t> </w:t>
            </w:r>
            <w:r>
              <w:rPr>
                <w:sz w:val="18"/>
              </w:rPr>
              <w:t>the</w:t>
            </w:r>
            <w:r>
              <w:rPr>
                <w:spacing w:val="-4"/>
                <w:sz w:val="18"/>
              </w:rPr>
              <w:t> </w:t>
            </w:r>
            <w:r>
              <w:rPr>
                <w:sz w:val="18"/>
              </w:rPr>
              <w:t>practice</w:t>
            </w:r>
            <w:r>
              <w:rPr>
                <w:spacing w:val="-1"/>
                <w:sz w:val="18"/>
              </w:rPr>
              <w:t> </w:t>
            </w:r>
            <w:r>
              <w:rPr>
                <w:sz w:val="18"/>
              </w:rPr>
              <w:t>reports</w:t>
            </w:r>
            <w:r>
              <w:rPr>
                <w:spacing w:val="-3"/>
                <w:sz w:val="18"/>
              </w:rPr>
              <w:t> </w:t>
            </w:r>
            <w:r>
              <w:rPr>
                <w:sz w:val="18"/>
              </w:rPr>
              <w:t>were?</w:t>
            </w:r>
          </w:p>
          <w:p>
            <w:pPr>
              <w:pStyle w:val="TableParagraph"/>
              <w:numPr>
                <w:ilvl w:val="0"/>
                <w:numId w:val="275"/>
              </w:numPr>
              <w:tabs>
                <w:tab w:pos="279" w:val="left" w:leader="none"/>
              </w:tabs>
              <w:spacing w:line="273" w:lineRule="auto" w:before="33" w:after="0"/>
              <w:ind w:left="278" w:right="392" w:hanging="171"/>
              <w:jc w:val="left"/>
              <w:rPr>
                <w:sz w:val="18"/>
              </w:rPr>
            </w:pPr>
            <w:r>
              <w:rPr>
                <w:sz w:val="18"/>
              </w:rPr>
              <w:t>Do</w:t>
            </w:r>
            <w:r>
              <w:rPr>
                <w:spacing w:val="-2"/>
                <w:sz w:val="18"/>
              </w:rPr>
              <w:t> </w:t>
            </w:r>
            <w:r>
              <w:rPr>
                <w:sz w:val="18"/>
              </w:rPr>
              <w:t>you</w:t>
            </w:r>
            <w:r>
              <w:rPr>
                <w:spacing w:val="-2"/>
                <w:sz w:val="18"/>
              </w:rPr>
              <w:t> </w:t>
            </w:r>
            <w:r>
              <w:rPr>
                <w:sz w:val="18"/>
              </w:rPr>
              <w:t>have</w:t>
            </w:r>
            <w:r>
              <w:rPr>
                <w:spacing w:val="-2"/>
                <w:sz w:val="18"/>
              </w:rPr>
              <w:t> </w:t>
            </w:r>
            <w:r>
              <w:rPr>
                <w:sz w:val="18"/>
              </w:rPr>
              <w:t>any</w:t>
            </w:r>
            <w:r>
              <w:rPr>
                <w:spacing w:val="-3"/>
                <w:sz w:val="18"/>
              </w:rPr>
              <w:t> </w:t>
            </w:r>
            <w:r>
              <w:rPr>
                <w:sz w:val="18"/>
              </w:rPr>
              <w:t>suggestions</w:t>
            </w:r>
            <w:r>
              <w:rPr>
                <w:spacing w:val="-2"/>
                <w:sz w:val="18"/>
              </w:rPr>
              <w:t> </w:t>
            </w:r>
            <w:r>
              <w:rPr>
                <w:sz w:val="18"/>
              </w:rPr>
              <w:t>for</w:t>
            </w:r>
            <w:r>
              <w:rPr>
                <w:spacing w:val="-4"/>
                <w:sz w:val="18"/>
              </w:rPr>
              <w:t> </w:t>
            </w:r>
            <w:r>
              <w:rPr>
                <w:sz w:val="18"/>
              </w:rPr>
              <w:t>how</w:t>
            </w:r>
            <w:r>
              <w:rPr>
                <w:spacing w:val="-4"/>
                <w:sz w:val="18"/>
              </w:rPr>
              <w:t> </w:t>
            </w:r>
            <w:r>
              <w:rPr>
                <w:sz w:val="18"/>
              </w:rPr>
              <w:t>to</w:t>
            </w:r>
            <w:r>
              <w:rPr>
                <w:spacing w:val="-2"/>
                <w:sz w:val="18"/>
              </w:rPr>
              <w:t> </w:t>
            </w:r>
            <w:r>
              <w:rPr>
                <w:sz w:val="18"/>
              </w:rPr>
              <w:t>make</w:t>
            </w:r>
            <w:r>
              <w:rPr>
                <w:spacing w:val="-2"/>
                <w:sz w:val="18"/>
              </w:rPr>
              <w:t> </w:t>
            </w:r>
            <w:r>
              <w:rPr>
                <w:sz w:val="18"/>
              </w:rPr>
              <w:t>the</w:t>
            </w:r>
            <w:r>
              <w:rPr>
                <w:spacing w:val="-2"/>
                <w:sz w:val="18"/>
              </w:rPr>
              <w:t> </w:t>
            </w:r>
            <w:r>
              <w:rPr>
                <w:sz w:val="18"/>
              </w:rPr>
              <w:t>reports</w:t>
            </w:r>
            <w:r>
              <w:rPr>
                <w:spacing w:val="-3"/>
                <w:sz w:val="18"/>
              </w:rPr>
              <w:t> </w:t>
            </w:r>
            <w:r>
              <w:rPr>
                <w:sz w:val="18"/>
              </w:rPr>
              <w:t>more</w:t>
            </w:r>
            <w:r>
              <w:rPr>
                <w:spacing w:val="-2"/>
                <w:sz w:val="18"/>
              </w:rPr>
              <w:t> </w:t>
            </w:r>
            <w:r>
              <w:rPr>
                <w:sz w:val="18"/>
              </w:rPr>
              <w:t>useful</w:t>
            </w:r>
            <w:r>
              <w:rPr>
                <w:spacing w:val="-3"/>
                <w:sz w:val="18"/>
              </w:rPr>
              <w:t> </w:t>
            </w:r>
            <w:r>
              <w:rPr>
                <w:sz w:val="18"/>
              </w:rPr>
              <w:t>for</w:t>
            </w:r>
            <w:r>
              <w:rPr>
                <w:spacing w:val="-47"/>
                <w:sz w:val="18"/>
              </w:rPr>
              <w:t> </w:t>
            </w:r>
            <w:r>
              <w:rPr>
                <w:sz w:val="18"/>
              </w:rPr>
              <w:t>your</w:t>
            </w:r>
            <w:r>
              <w:rPr>
                <w:spacing w:val="-2"/>
                <w:sz w:val="18"/>
              </w:rPr>
              <w:t> </w:t>
            </w:r>
            <w:r>
              <w:rPr>
                <w:sz w:val="18"/>
              </w:rPr>
              <w:t>PHN</w:t>
            </w:r>
            <w:r>
              <w:rPr>
                <w:spacing w:val="-4"/>
                <w:sz w:val="18"/>
              </w:rPr>
              <w:t> </w:t>
            </w:r>
            <w:r>
              <w:rPr>
                <w:sz w:val="18"/>
              </w:rPr>
              <w:t>and/</w:t>
            </w:r>
            <w:r>
              <w:rPr>
                <w:spacing w:val="-2"/>
                <w:sz w:val="18"/>
              </w:rPr>
              <w:t> </w:t>
            </w:r>
            <w:r>
              <w:rPr>
                <w:sz w:val="18"/>
              </w:rPr>
              <w:t>or</w:t>
            </w:r>
            <w:r>
              <w:rPr>
                <w:spacing w:val="-2"/>
                <w:sz w:val="18"/>
              </w:rPr>
              <w:t> </w:t>
            </w:r>
            <w:r>
              <w:rPr>
                <w:sz w:val="18"/>
              </w:rPr>
              <w:t>for</w:t>
            </w:r>
            <w:r>
              <w:rPr>
                <w:spacing w:val="-3"/>
                <w:sz w:val="18"/>
              </w:rPr>
              <w:t> </w:t>
            </w:r>
            <w:r>
              <w:rPr>
                <w:sz w:val="18"/>
              </w:rPr>
              <w:t>practices (e.g.</w:t>
            </w:r>
            <w:r>
              <w:rPr>
                <w:spacing w:val="-4"/>
                <w:sz w:val="18"/>
              </w:rPr>
              <w:t> </w:t>
            </w:r>
            <w:r>
              <w:rPr>
                <w:sz w:val="18"/>
              </w:rPr>
              <w:t>frequency,</w:t>
            </w:r>
            <w:r>
              <w:rPr>
                <w:spacing w:val="-5"/>
                <w:sz w:val="18"/>
              </w:rPr>
              <w:t> </w:t>
            </w:r>
            <w:r>
              <w:rPr>
                <w:sz w:val="18"/>
              </w:rPr>
              <w:t>content,</w:t>
            </w:r>
            <w:r>
              <w:rPr>
                <w:spacing w:val="-1"/>
                <w:sz w:val="18"/>
              </w:rPr>
              <w:t> </w:t>
            </w:r>
            <w:r>
              <w:rPr>
                <w:sz w:val="18"/>
              </w:rPr>
              <w:t>comparisons)?</w:t>
            </w:r>
          </w:p>
        </w:tc>
      </w:tr>
      <w:tr>
        <w:trPr>
          <w:trHeight w:val="707" w:hRule="atLeast"/>
        </w:trPr>
        <w:tc>
          <w:tcPr>
            <w:tcW w:w="1980" w:type="dxa"/>
          </w:tcPr>
          <w:p>
            <w:pPr>
              <w:pStyle w:val="TableParagraph"/>
              <w:spacing w:line="276" w:lineRule="auto"/>
              <w:ind w:left="107" w:right="473"/>
              <w:rPr>
                <w:sz w:val="16"/>
              </w:rPr>
            </w:pPr>
            <w:r>
              <w:rPr>
                <w:sz w:val="16"/>
              </w:rPr>
              <w:t>Future</w:t>
            </w:r>
            <w:r>
              <w:rPr>
                <w:spacing w:val="1"/>
                <w:sz w:val="16"/>
              </w:rPr>
              <w:t> </w:t>
            </w:r>
            <w:r>
              <w:rPr>
                <w:sz w:val="16"/>
              </w:rPr>
              <w:t>recommendation</w:t>
            </w:r>
          </w:p>
        </w:tc>
        <w:tc>
          <w:tcPr>
            <w:tcW w:w="7038" w:type="dxa"/>
          </w:tcPr>
          <w:p>
            <w:pPr>
              <w:pStyle w:val="TableParagraph"/>
              <w:numPr>
                <w:ilvl w:val="0"/>
                <w:numId w:val="276"/>
              </w:numPr>
              <w:tabs>
                <w:tab w:pos="279" w:val="left" w:leader="none"/>
              </w:tabs>
              <w:spacing w:line="273" w:lineRule="auto" w:before="0" w:after="0"/>
              <w:ind w:left="278" w:right="156" w:hanging="171"/>
              <w:jc w:val="left"/>
              <w:rPr>
                <w:sz w:val="18"/>
              </w:rPr>
            </w:pPr>
            <w:r>
              <w:rPr>
                <w:sz w:val="18"/>
              </w:rPr>
              <w:t>(</w:t>
            </w:r>
            <w:r>
              <w:rPr>
                <w:b/>
                <w:sz w:val="18"/>
              </w:rPr>
              <w:t>R4/R5</w:t>
            </w:r>
            <w:r>
              <w:rPr>
                <w:sz w:val="18"/>
              </w:rPr>
              <w:t>) Would you recommend further rollout of HCH beyond the trial? If so,</w:t>
            </w:r>
            <w:r>
              <w:rPr>
                <w:spacing w:val="-47"/>
                <w:sz w:val="18"/>
              </w:rPr>
              <w:t> </w:t>
            </w:r>
            <w:r>
              <w:rPr>
                <w:sz w:val="18"/>
              </w:rPr>
              <w:t>what</w:t>
            </w:r>
            <w:r>
              <w:rPr>
                <w:spacing w:val="-3"/>
                <w:sz w:val="18"/>
              </w:rPr>
              <w:t> </w:t>
            </w:r>
            <w:r>
              <w:rPr>
                <w:sz w:val="18"/>
              </w:rPr>
              <w:t>would</w:t>
            </w:r>
            <w:r>
              <w:rPr>
                <w:spacing w:val="-1"/>
                <w:sz w:val="18"/>
              </w:rPr>
              <w:t> </w:t>
            </w:r>
            <w:r>
              <w:rPr>
                <w:sz w:val="18"/>
              </w:rPr>
              <w:t>the</w:t>
            </w:r>
            <w:r>
              <w:rPr>
                <w:spacing w:val="2"/>
                <w:sz w:val="18"/>
              </w:rPr>
              <w:t> </w:t>
            </w:r>
            <w:r>
              <w:rPr>
                <w:sz w:val="18"/>
              </w:rPr>
              <w:t>program</w:t>
            </w:r>
            <w:r>
              <w:rPr>
                <w:spacing w:val="-4"/>
                <w:sz w:val="18"/>
              </w:rPr>
              <w:t> </w:t>
            </w:r>
            <w:r>
              <w:rPr>
                <w:sz w:val="18"/>
              </w:rPr>
              <w:t>look like?</w:t>
            </w:r>
            <w:r>
              <w:rPr>
                <w:spacing w:val="-3"/>
                <w:sz w:val="18"/>
              </w:rPr>
              <w:t> </w:t>
            </w:r>
            <w:r>
              <w:rPr>
                <w:sz w:val="18"/>
              </w:rPr>
              <w:t>If</w:t>
            </w:r>
            <w:r>
              <w:rPr>
                <w:spacing w:val="-3"/>
                <w:sz w:val="18"/>
              </w:rPr>
              <w:t> </w:t>
            </w:r>
            <w:r>
              <w:rPr>
                <w:sz w:val="18"/>
              </w:rPr>
              <w:t>not,</w:t>
            </w:r>
            <w:r>
              <w:rPr>
                <w:spacing w:val="-2"/>
                <w:sz w:val="18"/>
              </w:rPr>
              <w:t> </w:t>
            </w:r>
            <w:r>
              <w:rPr>
                <w:sz w:val="18"/>
              </w:rPr>
              <w:t>why not?</w:t>
            </w:r>
          </w:p>
        </w:tc>
      </w:tr>
      <w:tr>
        <w:trPr>
          <w:trHeight w:val="707" w:hRule="atLeast"/>
        </w:trPr>
        <w:tc>
          <w:tcPr>
            <w:tcW w:w="1980" w:type="dxa"/>
          </w:tcPr>
          <w:p>
            <w:pPr>
              <w:pStyle w:val="TableParagraph"/>
              <w:spacing w:line="196" w:lineRule="exact"/>
              <w:ind w:left="107"/>
              <w:rPr>
                <w:sz w:val="16"/>
              </w:rPr>
            </w:pPr>
            <w:r>
              <w:rPr>
                <w:sz w:val="16"/>
              </w:rPr>
              <w:t>Anything</w:t>
            </w:r>
            <w:r>
              <w:rPr>
                <w:spacing w:val="-3"/>
                <w:sz w:val="16"/>
              </w:rPr>
              <w:t> </w:t>
            </w:r>
            <w:r>
              <w:rPr>
                <w:sz w:val="16"/>
              </w:rPr>
              <w:t>else?</w:t>
            </w:r>
          </w:p>
        </w:tc>
        <w:tc>
          <w:tcPr>
            <w:tcW w:w="7038" w:type="dxa"/>
          </w:tcPr>
          <w:p>
            <w:pPr>
              <w:pStyle w:val="TableParagraph"/>
              <w:numPr>
                <w:ilvl w:val="0"/>
                <w:numId w:val="277"/>
              </w:numPr>
              <w:tabs>
                <w:tab w:pos="279" w:val="left" w:leader="none"/>
              </w:tabs>
              <w:spacing w:line="219" w:lineRule="exact" w:before="0" w:after="0"/>
              <w:ind w:left="278" w:right="0" w:hanging="172"/>
              <w:jc w:val="left"/>
              <w:rPr>
                <w:sz w:val="18"/>
              </w:rPr>
            </w:pPr>
            <w:r>
              <w:rPr>
                <w:sz w:val="18"/>
              </w:rPr>
              <w:t>Is</w:t>
            </w:r>
            <w:r>
              <w:rPr>
                <w:spacing w:val="-3"/>
                <w:sz w:val="18"/>
              </w:rPr>
              <w:t> </w:t>
            </w:r>
            <w:r>
              <w:rPr>
                <w:sz w:val="18"/>
              </w:rPr>
              <w:t>there</w:t>
            </w:r>
            <w:r>
              <w:rPr>
                <w:spacing w:val="-2"/>
                <w:sz w:val="18"/>
              </w:rPr>
              <w:t> </w:t>
            </w:r>
            <w:r>
              <w:rPr>
                <w:sz w:val="18"/>
              </w:rPr>
              <w:t>anything</w:t>
            </w:r>
            <w:r>
              <w:rPr>
                <w:spacing w:val="-4"/>
                <w:sz w:val="18"/>
              </w:rPr>
              <w:t> </w:t>
            </w:r>
            <w:r>
              <w:rPr>
                <w:sz w:val="18"/>
              </w:rPr>
              <w:t>else</w:t>
            </w:r>
            <w:r>
              <w:rPr>
                <w:spacing w:val="-2"/>
                <w:sz w:val="18"/>
              </w:rPr>
              <w:t> </w:t>
            </w:r>
            <w:r>
              <w:rPr>
                <w:sz w:val="18"/>
              </w:rPr>
              <w:t>that</w:t>
            </w:r>
            <w:r>
              <w:rPr>
                <w:spacing w:val="-4"/>
                <w:sz w:val="18"/>
              </w:rPr>
              <w:t> </w:t>
            </w:r>
            <w:r>
              <w:rPr>
                <w:sz w:val="18"/>
              </w:rPr>
              <w:t>we</w:t>
            </w:r>
            <w:r>
              <w:rPr>
                <w:spacing w:val="-2"/>
                <w:sz w:val="18"/>
              </w:rPr>
              <w:t> </w:t>
            </w:r>
            <w:r>
              <w:rPr>
                <w:sz w:val="18"/>
              </w:rPr>
              <w:t>haven’t</w:t>
            </w:r>
            <w:r>
              <w:rPr>
                <w:spacing w:val="-4"/>
                <w:sz w:val="18"/>
              </w:rPr>
              <w:t> </w:t>
            </w:r>
            <w:r>
              <w:rPr>
                <w:sz w:val="18"/>
              </w:rPr>
              <w:t>discussed</w:t>
            </w:r>
            <w:r>
              <w:rPr>
                <w:spacing w:val="-3"/>
                <w:sz w:val="18"/>
              </w:rPr>
              <w:t> </w:t>
            </w:r>
            <w:r>
              <w:rPr>
                <w:sz w:val="18"/>
              </w:rPr>
              <w:t>that</w:t>
            </w:r>
            <w:r>
              <w:rPr>
                <w:spacing w:val="-4"/>
                <w:sz w:val="18"/>
              </w:rPr>
              <w:t> </w:t>
            </w:r>
            <w:r>
              <w:rPr>
                <w:sz w:val="18"/>
              </w:rPr>
              <w:t>you</w:t>
            </w:r>
            <w:r>
              <w:rPr>
                <w:spacing w:val="-2"/>
                <w:sz w:val="18"/>
              </w:rPr>
              <w:t> </w:t>
            </w:r>
            <w:r>
              <w:rPr>
                <w:sz w:val="18"/>
              </w:rPr>
              <w:t>would</w:t>
            </w:r>
            <w:r>
              <w:rPr>
                <w:spacing w:val="-3"/>
                <w:sz w:val="18"/>
              </w:rPr>
              <w:t> </w:t>
            </w:r>
            <w:r>
              <w:rPr>
                <w:sz w:val="18"/>
              </w:rPr>
              <w:t>like</w:t>
            </w:r>
            <w:r>
              <w:rPr>
                <w:spacing w:val="-2"/>
                <w:sz w:val="18"/>
              </w:rPr>
              <w:t> </w:t>
            </w:r>
            <w:r>
              <w:rPr>
                <w:sz w:val="18"/>
              </w:rPr>
              <w:t>to</w:t>
            </w:r>
          </w:p>
          <w:p>
            <w:pPr>
              <w:pStyle w:val="TableParagraph"/>
              <w:spacing w:before="31"/>
              <w:ind w:left="278"/>
              <w:rPr>
                <w:sz w:val="18"/>
              </w:rPr>
            </w:pPr>
            <w:r>
              <w:rPr>
                <w:sz w:val="18"/>
              </w:rPr>
              <w:t>mention?</w:t>
            </w:r>
          </w:p>
        </w:tc>
      </w:tr>
    </w:tbl>
    <w:p>
      <w:pPr>
        <w:pStyle w:val="BodyText"/>
        <w:rPr>
          <w:sz w:val="15"/>
        </w:rPr>
      </w:pPr>
    </w:p>
    <w:p>
      <w:pPr>
        <w:pStyle w:val="Heading2"/>
        <w:spacing w:before="99"/>
        <w:ind w:left="1140"/>
      </w:pPr>
      <w:bookmarkStart w:name="_bookmark96" w:id="97"/>
      <w:bookmarkEnd w:id="97"/>
      <w:r>
        <w:rPr/>
      </w:r>
      <w:r>
        <w:rPr>
          <w:color w:val="003C79"/>
        </w:rPr>
        <w:t>Topic</w:t>
      </w:r>
      <w:r>
        <w:rPr>
          <w:color w:val="003C79"/>
          <w:spacing w:val="-3"/>
        </w:rPr>
        <w:t> </w:t>
      </w:r>
      <w:r>
        <w:rPr>
          <w:color w:val="003C79"/>
        </w:rPr>
        <w:t>guide</w:t>
      </w:r>
      <w:r>
        <w:rPr>
          <w:color w:val="003C79"/>
          <w:spacing w:val="-5"/>
        </w:rPr>
        <w:t> </w:t>
      </w:r>
      <w:r>
        <w:rPr>
          <w:color w:val="003C79"/>
        </w:rPr>
        <w:t>–</w:t>
      </w:r>
      <w:r>
        <w:rPr>
          <w:color w:val="003C79"/>
          <w:spacing w:val="-1"/>
        </w:rPr>
        <w:t> </w:t>
      </w:r>
      <w:r>
        <w:rPr>
          <w:color w:val="003C79"/>
        </w:rPr>
        <w:t>LHN/</w:t>
      </w:r>
      <w:r>
        <w:rPr>
          <w:color w:val="003C79"/>
          <w:spacing w:val="-6"/>
        </w:rPr>
        <w:t> </w:t>
      </w:r>
      <w:r>
        <w:rPr>
          <w:color w:val="003C79"/>
        </w:rPr>
        <w:t>state</w:t>
      </w:r>
      <w:r>
        <w:rPr>
          <w:color w:val="003C79"/>
          <w:spacing w:val="-6"/>
        </w:rPr>
        <w:t> </w:t>
      </w:r>
      <w:r>
        <w:rPr>
          <w:color w:val="003C79"/>
        </w:rPr>
        <w:t>and</w:t>
      </w:r>
      <w:r>
        <w:rPr>
          <w:color w:val="003C79"/>
          <w:spacing w:val="-2"/>
        </w:rPr>
        <w:t> </w:t>
      </w:r>
      <w:r>
        <w:rPr>
          <w:color w:val="003C79"/>
        </w:rPr>
        <w:t>territory</w:t>
      </w:r>
      <w:r>
        <w:rPr>
          <w:color w:val="003C79"/>
          <w:spacing w:val="-4"/>
        </w:rPr>
        <w:t> </w:t>
      </w:r>
      <w:r>
        <w:rPr>
          <w:color w:val="003C79"/>
        </w:rPr>
        <w:t>interviews</w:t>
      </w:r>
    </w:p>
    <w:p>
      <w:pPr>
        <w:pStyle w:val="BodyText"/>
        <w:spacing w:before="4"/>
        <w:rPr>
          <w:sz w:val="21"/>
        </w:rPr>
      </w:pPr>
    </w:p>
    <w:tbl>
      <w:tblPr>
        <w:tblW w:w="0" w:type="auto"/>
        <w:jc w:val="left"/>
        <w:tblInd w:w="11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980"/>
        <w:gridCol w:w="7038"/>
      </w:tblGrid>
      <w:tr>
        <w:trPr>
          <w:trHeight w:val="225" w:hRule="atLeast"/>
        </w:trPr>
        <w:tc>
          <w:tcPr>
            <w:tcW w:w="1980" w:type="dxa"/>
            <w:shd w:val="clear" w:color="auto" w:fill="003C79"/>
          </w:tcPr>
          <w:p>
            <w:pPr>
              <w:pStyle w:val="TableParagraph"/>
              <w:spacing w:line="196" w:lineRule="exact"/>
              <w:ind w:left="107"/>
              <w:rPr>
                <w:b/>
                <w:sz w:val="16"/>
              </w:rPr>
            </w:pPr>
            <w:r>
              <w:rPr>
                <w:b/>
                <w:color w:val="FFFFFF"/>
                <w:sz w:val="16"/>
              </w:rPr>
              <w:t>Topic</w:t>
            </w:r>
          </w:p>
        </w:tc>
        <w:tc>
          <w:tcPr>
            <w:tcW w:w="7038" w:type="dxa"/>
            <w:shd w:val="clear" w:color="auto" w:fill="003C79"/>
          </w:tcPr>
          <w:p>
            <w:pPr>
              <w:pStyle w:val="TableParagraph"/>
              <w:spacing w:line="196" w:lineRule="exact"/>
              <w:ind w:left="107"/>
              <w:rPr>
                <w:b/>
                <w:sz w:val="16"/>
              </w:rPr>
            </w:pPr>
            <w:r>
              <w:rPr>
                <w:b/>
                <w:color w:val="FFFFFF"/>
                <w:sz w:val="16"/>
              </w:rPr>
              <w:t>Question</w:t>
            </w:r>
          </w:p>
        </w:tc>
      </w:tr>
      <w:tr>
        <w:trPr>
          <w:trHeight w:val="3300" w:hRule="atLeast"/>
        </w:trPr>
        <w:tc>
          <w:tcPr>
            <w:tcW w:w="1980" w:type="dxa"/>
          </w:tcPr>
          <w:p>
            <w:pPr>
              <w:pStyle w:val="TableParagraph"/>
              <w:spacing w:line="196" w:lineRule="exact"/>
              <w:ind w:left="107"/>
              <w:rPr>
                <w:sz w:val="16"/>
              </w:rPr>
            </w:pPr>
            <w:r>
              <w:rPr>
                <w:sz w:val="16"/>
              </w:rPr>
              <w:t>Introduction</w:t>
            </w:r>
          </w:p>
        </w:tc>
        <w:tc>
          <w:tcPr>
            <w:tcW w:w="7038" w:type="dxa"/>
          </w:tcPr>
          <w:p>
            <w:pPr>
              <w:pStyle w:val="TableParagraph"/>
              <w:numPr>
                <w:ilvl w:val="0"/>
                <w:numId w:val="278"/>
              </w:numPr>
              <w:tabs>
                <w:tab w:pos="279" w:val="left" w:leader="none"/>
              </w:tabs>
              <w:spacing w:line="219" w:lineRule="exact" w:before="0" w:after="0"/>
              <w:ind w:left="278" w:right="0" w:hanging="172"/>
              <w:jc w:val="left"/>
              <w:rPr>
                <w:sz w:val="18"/>
              </w:rPr>
            </w:pPr>
            <w:r>
              <w:rPr>
                <w:sz w:val="18"/>
              </w:rPr>
              <w:t>Introduction</w:t>
            </w:r>
            <w:r>
              <w:rPr>
                <w:spacing w:val="-6"/>
                <w:sz w:val="18"/>
              </w:rPr>
              <w:t> </w:t>
            </w:r>
            <w:r>
              <w:rPr>
                <w:sz w:val="18"/>
              </w:rPr>
              <w:t>of</w:t>
            </w:r>
            <w:r>
              <w:rPr>
                <w:spacing w:val="-5"/>
                <w:sz w:val="18"/>
              </w:rPr>
              <w:t> </w:t>
            </w:r>
            <w:r>
              <w:rPr>
                <w:sz w:val="18"/>
              </w:rPr>
              <w:t>researcher</w:t>
            </w:r>
            <w:r>
              <w:rPr>
                <w:spacing w:val="-3"/>
                <w:sz w:val="18"/>
              </w:rPr>
              <w:t> </w:t>
            </w:r>
            <w:r>
              <w:rPr>
                <w:sz w:val="18"/>
              </w:rPr>
              <w:t>and describe</w:t>
            </w:r>
            <w:r>
              <w:rPr>
                <w:spacing w:val="-3"/>
                <w:sz w:val="18"/>
              </w:rPr>
              <w:t> </w:t>
            </w:r>
            <w:r>
              <w:rPr>
                <w:sz w:val="18"/>
              </w:rPr>
              <w:t>the</w:t>
            </w:r>
            <w:r>
              <w:rPr>
                <w:spacing w:val="-3"/>
                <w:sz w:val="18"/>
              </w:rPr>
              <w:t> </w:t>
            </w:r>
            <w:r>
              <w:rPr>
                <w:sz w:val="18"/>
              </w:rPr>
              <w:t>project</w:t>
            </w:r>
            <w:r>
              <w:rPr>
                <w:spacing w:val="-5"/>
                <w:sz w:val="18"/>
              </w:rPr>
              <w:t> </w:t>
            </w:r>
            <w:r>
              <w:rPr>
                <w:sz w:val="18"/>
              </w:rPr>
              <w:t>and</w:t>
            </w:r>
            <w:r>
              <w:rPr>
                <w:spacing w:val="-5"/>
                <w:sz w:val="18"/>
              </w:rPr>
              <w:t> </w:t>
            </w:r>
            <w:r>
              <w:rPr>
                <w:sz w:val="18"/>
              </w:rPr>
              <w:t>its</w:t>
            </w:r>
            <w:r>
              <w:rPr>
                <w:spacing w:val="-4"/>
                <w:sz w:val="18"/>
              </w:rPr>
              <w:t> </w:t>
            </w:r>
            <w:r>
              <w:rPr>
                <w:sz w:val="18"/>
              </w:rPr>
              <w:t>purpose.</w:t>
            </w:r>
          </w:p>
          <w:p>
            <w:pPr>
              <w:pStyle w:val="TableParagraph"/>
              <w:numPr>
                <w:ilvl w:val="0"/>
                <w:numId w:val="278"/>
              </w:numPr>
              <w:tabs>
                <w:tab w:pos="279" w:val="left" w:leader="none"/>
              </w:tabs>
              <w:spacing w:line="240" w:lineRule="auto" w:before="33" w:after="0"/>
              <w:ind w:left="278" w:right="0" w:hanging="172"/>
              <w:jc w:val="left"/>
              <w:rPr>
                <w:sz w:val="18"/>
              </w:rPr>
            </w:pPr>
            <w:r>
              <w:rPr>
                <w:sz w:val="18"/>
              </w:rPr>
              <w:t>Outline:</w:t>
            </w:r>
          </w:p>
          <w:p>
            <w:pPr>
              <w:pStyle w:val="TableParagraph"/>
              <w:numPr>
                <w:ilvl w:val="0"/>
                <w:numId w:val="278"/>
              </w:numPr>
              <w:tabs>
                <w:tab w:pos="279" w:val="left" w:leader="none"/>
              </w:tabs>
              <w:spacing w:line="276" w:lineRule="auto" w:before="32" w:after="0"/>
              <w:ind w:left="278" w:right="148" w:hanging="171"/>
              <w:jc w:val="left"/>
              <w:rPr>
                <w:sz w:val="18"/>
              </w:rPr>
            </w:pPr>
            <w:r>
              <w:rPr>
                <w:sz w:val="18"/>
              </w:rPr>
              <w:t>Remind the participant(s) that participation is voluntary; that they do not</w:t>
            </w:r>
            <w:r>
              <w:rPr>
                <w:spacing w:val="1"/>
                <w:sz w:val="18"/>
              </w:rPr>
              <w:t> </w:t>
            </w:r>
            <w:r>
              <w:rPr>
                <w:sz w:val="18"/>
              </w:rPr>
              <w:t>have</w:t>
            </w:r>
            <w:r>
              <w:rPr>
                <w:spacing w:val="-3"/>
                <w:sz w:val="18"/>
              </w:rPr>
              <w:t> </w:t>
            </w:r>
            <w:r>
              <w:rPr>
                <w:sz w:val="18"/>
              </w:rPr>
              <w:t>to</w:t>
            </w:r>
            <w:r>
              <w:rPr>
                <w:spacing w:val="-3"/>
                <w:sz w:val="18"/>
              </w:rPr>
              <w:t> </w:t>
            </w:r>
            <w:r>
              <w:rPr>
                <w:sz w:val="18"/>
              </w:rPr>
              <w:t>take</w:t>
            </w:r>
            <w:r>
              <w:rPr>
                <w:spacing w:val="-2"/>
                <w:sz w:val="18"/>
              </w:rPr>
              <w:t> </w:t>
            </w:r>
            <w:r>
              <w:rPr>
                <w:sz w:val="18"/>
              </w:rPr>
              <w:t>part,</w:t>
            </w:r>
            <w:r>
              <w:rPr>
                <w:spacing w:val="-4"/>
                <w:sz w:val="18"/>
              </w:rPr>
              <w:t> </w:t>
            </w:r>
            <w:r>
              <w:rPr>
                <w:sz w:val="18"/>
              </w:rPr>
              <w:t>and</w:t>
            </w:r>
            <w:r>
              <w:rPr>
                <w:spacing w:val="-1"/>
                <w:sz w:val="18"/>
              </w:rPr>
              <w:t> </w:t>
            </w:r>
            <w:r>
              <w:rPr>
                <w:sz w:val="18"/>
              </w:rPr>
              <w:t>that</w:t>
            </w:r>
            <w:r>
              <w:rPr>
                <w:spacing w:val="-1"/>
                <w:sz w:val="18"/>
              </w:rPr>
              <w:t> </w:t>
            </w:r>
            <w:r>
              <w:rPr>
                <w:sz w:val="18"/>
              </w:rPr>
              <w:t>there</w:t>
            </w:r>
            <w:r>
              <w:rPr>
                <w:spacing w:val="-2"/>
                <w:sz w:val="18"/>
              </w:rPr>
              <w:t> </w:t>
            </w:r>
            <w:r>
              <w:rPr>
                <w:sz w:val="18"/>
              </w:rPr>
              <w:t>will</w:t>
            </w:r>
            <w:r>
              <w:rPr>
                <w:spacing w:val="-3"/>
                <w:sz w:val="18"/>
              </w:rPr>
              <w:t> </w:t>
            </w:r>
            <w:r>
              <w:rPr>
                <w:sz w:val="18"/>
              </w:rPr>
              <w:t>be</w:t>
            </w:r>
            <w:r>
              <w:rPr>
                <w:spacing w:val="-2"/>
                <w:sz w:val="18"/>
              </w:rPr>
              <w:t> </w:t>
            </w:r>
            <w:r>
              <w:rPr>
                <w:sz w:val="18"/>
              </w:rPr>
              <w:t>no</w:t>
            </w:r>
            <w:r>
              <w:rPr>
                <w:spacing w:val="-5"/>
                <w:sz w:val="18"/>
              </w:rPr>
              <w:t> </w:t>
            </w:r>
            <w:r>
              <w:rPr>
                <w:sz w:val="18"/>
              </w:rPr>
              <w:t>repercussions</w:t>
            </w:r>
            <w:r>
              <w:rPr>
                <w:spacing w:val="-3"/>
                <w:sz w:val="18"/>
              </w:rPr>
              <w:t> </w:t>
            </w:r>
            <w:r>
              <w:rPr>
                <w:sz w:val="18"/>
              </w:rPr>
              <w:t>if</w:t>
            </w:r>
            <w:r>
              <w:rPr>
                <w:spacing w:val="-1"/>
                <w:sz w:val="18"/>
              </w:rPr>
              <w:t> </w:t>
            </w:r>
            <w:r>
              <w:rPr>
                <w:sz w:val="18"/>
              </w:rPr>
              <w:t>they</w:t>
            </w:r>
            <w:r>
              <w:rPr>
                <w:spacing w:val="-5"/>
                <w:sz w:val="18"/>
              </w:rPr>
              <w:t> </w:t>
            </w:r>
            <w:r>
              <w:rPr>
                <w:sz w:val="18"/>
              </w:rPr>
              <w:t>choose</w:t>
            </w:r>
            <w:r>
              <w:rPr>
                <w:spacing w:val="-2"/>
                <w:sz w:val="18"/>
              </w:rPr>
              <w:t> </w:t>
            </w:r>
            <w:r>
              <w:rPr>
                <w:sz w:val="18"/>
              </w:rPr>
              <w:t>not</w:t>
            </w:r>
            <w:r>
              <w:rPr>
                <w:spacing w:val="-47"/>
                <w:sz w:val="18"/>
              </w:rPr>
              <w:t> </w:t>
            </w:r>
            <w:r>
              <w:rPr>
                <w:sz w:val="18"/>
              </w:rPr>
              <w:t>to</w:t>
            </w:r>
            <w:r>
              <w:rPr>
                <w:spacing w:val="-1"/>
                <w:sz w:val="18"/>
              </w:rPr>
              <w:t> </w:t>
            </w:r>
            <w:r>
              <w:rPr>
                <w:sz w:val="18"/>
              </w:rPr>
              <w:t>do so.</w:t>
            </w:r>
          </w:p>
          <w:p>
            <w:pPr>
              <w:pStyle w:val="TableParagraph"/>
              <w:numPr>
                <w:ilvl w:val="0"/>
                <w:numId w:val="278"/>
              </w:numPr>
              <w:tabs>
                <w:tab w:pos="279" w:val="left" w:leader="none"/>
              </w:tabs>
              <w:spacing w:line="240" w:lineRule="auto" w:before="2" w:after="0"/>
              <w:ind w:left="278" w:right="0" w:hanging="172"/>
              <w:jc w:val="left"/>
              <w:rPr>
                <w:sz w:val="18"/>
              </w:rPr>
            </w:pPr>
            <w:r>
              <w:rPr>
                <w:sz w:val="18"/>
              </w:rPr>
              <w:t>Describe</w:t>
            </w:r>
            <w:r>
              <w:rPr>
                <w:spacing w:val="-5"/>
                <w:sz w:val="18"/>
              </w:rPr>
              <w:t> </w:t>
            </w:r>
            <w:r>
              <w:rPr>
                <w:sz w:val="18"/>
              </w:rPr>
              <w:t>what</w:t>
            </w:r>
            <w:r>
              <w:rPr>
                <w:spacing w:val="-3"/>
                <w:sz w:val="18"/>
              </w:rPr>
              <w:t> </w:t>
            </w:r>
            <w:r>
              <w:rPr>
                <w:sz w:val="18"/>
              </w:rPr>
              <w:t>participation</w:t>
            </w:r>
            <w:r>
              <w:rPr>
                <w:spacing w:val="-5"/>
                <w:sz w:val="18"/>
              </w:rPr>
              <w:t> </w:t>
            </w:r>
            <w:r>
              <w:rPr>
                <w:sz w:val="18"/>
              </w:rPr>
              <w:t>in</w:t>
            </w:r>
            <w:r>
              <w:rPr>
                <w:spacing w:val="-3"/>
                <w:sz w:val="18"/>
              </w:rPr>
              <w:t> </w:t>
            </w:r>
            <w:r>
              <w:rPr>
                <w:sz w:val="18"/>
              </w:rPr>
              <w:t>the</w:t>
            </w:r>
            <w:r>
              <w:rPr>
                <w:spacing w:val="-4"/>
                <w:sz w:val="18"/>
              </w:rPr>
              <w:t> </w:t>
            </w:r>
            <w:r>
              <w:rPr>
                <w:sz w:val="18"/>
              </w:rPr>
              <w:t>interview</w:t>
            </w:r>
            <w:r>
              <w:rPr>
                <w:spacing w:val="-1"/>
                <w:sz w:val="18"/>
              </w:rPr>
              <w:t> </w:t>
            </w:r>
            <w:r>
              <w:rPr>
                <w:sz w:val="18"/>
              </w:rPr>
              <w:t>involves.</w:t>
            </w:r>
          </w:p>
          <w:p>
            <w:pPr>
              <w:pStyle w:val="TableParagraph"/>
              <w:numPr>
                <w:ilvl w:val="0"/>
                <w:numId w:val="278"/>
              </w:numPr>
              <w:tabs>
                <w:tab w:pos="279" w:val="left" w:leader="none"/>
              </w:tabs>
              <w:spacing w:line="276" w:lineRule="auto" w:before="31" w:after="0"/>
              <w:ind w:left="278" w:right="414" w:hanging="171"/>
              <w:jc w:val="left"/>
              <w:rPr>
                <w:sz w:val="18"/>
              </w:rPr>
            </w:pPr>
            <w:r>
              <w:rPr>
                <w:sz w:val="18"/>
              </w:rPr>
              <w:t>Remind</w:t>
            </w:r>
            <w:r>
              <w:rPr>
                <w:spacing w:val="-3"/>
                <w:sz w:val="18"/>
              </w:rPr>
              <w:t> </w:t>
            </w:r>
            <w:r>
              <w:rPr>
                <w:sz w:val="18"/>
              </w:rPr>
              <w:t>the</w:t>
            </w:r>
            <w:r>
              <w:rPr>
                <w:spacing w:val="-2"/>
                <w:sz w:val="18"/>
              </w:rPr>
              <w:t> </w:t>
            </w:r>
            <w:r>
              <w:rPr>
                <w:sz w:val="18"/>
              </w:rPr>
              <w:t>participant</w:t>
            </w:r>
            <w:r>
              <w:rPr>
                <w:spacing w:val="-4"/>
                <w:sz w:val="18"/>
              </w:rPr>
              <w:t> </w:t>
            </w:r>
            <w:r>
              <w:rPr>
                <w:sz w:val="18"/>
              </w:rPr>
              <w:t>that</w:t>
            </w:r>
            <w:r>
              <w:rPr>
                <w:spacing w:val="-3"/>
                <w:sz w:val="18"/>
              </w:rPr>
              <w:t> </w:t>
            </w:r>
            <w:r>
              <w:rPr>
                <w:sz w:val="18"/>
              </w:rPr>
              <w:t>they</w:t>
            </w:r>
            <w:r>
              <w:rPr>
                <w:spacing w:val="-3"/>
                <w:sz w:val="18"/>
              </w:rPr>
              <w:t> </w:t>
            </w:r>
            <w:r>
              <w:rPr>
                <w:sz w:val="18"/>
              </w:rPr>
              <w:t>can</w:t>
            </w:r>
            <w:r>
              <w:rPr>
                <w:spacing w:val="-2"/>
                <w:sz w:val="18"/>
              </w:rPr>
              <w:t> </w:t>
            </w:r>
            <w:r>
              <w:rPr>
                <w:sz w:val="18"/>
              </w:rPr>
              <w:t>withdraw</w:t>
            </w:r>
            <w:r>
              <w:rPr>
                <w:spacing w:val="-3"/>
                <w:sz w:val="18"/>
              </w:rPr>
              <w:t> </w:t>
            </w:r>
            <w:r>
              <w:rPr>
                <w:sz w:val="18"/>
              </w:rPr>
              <w:t>from</w:t>
            </w:r>
            <w:r>
              <w:rPr>
                <w:spacing w:val="-5"/>
                <w:sz w:val="18"/>
              </w:rPr>
              <w:t> </w:t>
            </w:r>
            <w:r>
              <w:rPr>
                <w:sz w:val="18"/>
              </w:rPr>
              <w:t>the</w:t>
            </w:r>
            <w:r>
              <w:rPr>
                <w:spacing w:val="-2"/>
                <w:sz w:val="18"/>
              </w:rPr>
              <w:t> </w:t>
            </w:r>
            <w:r>
              <w:rPr>
                <w:sz w:val="18"/>
              </w:rPr>
              <w:t>interview</w:t>
            </w:r>
            <w:r>
              <w:rPr>
                <w:spacing w:val="-3"/>
                <w:sz w:val="18"/>
              </w:rPr>
              <w:t> </w:t>
            </w:r>
            <w:r>
              <w:rPr>
                <w:sz w:val="18"/>
              </w:rPr>
              <w:t>at</w:t>
            </w:r>
            <w:r>
              <w:rPr>
                <w:spacing w:val="-3"/>
                <w:sz w:val="18"/>
              </w:rPr>
              <w:t> </w:t>
            </w:r>
            <w:r>
              <w:rPr>
                <w:sz w:val="18"/>
              </w:rPr>
              <w:t>any</w:t>
            </w:r>
            <w:r>
              <w:rPr>
                <w:spacing w:val="-47"/>
                <w:sz w:val="18"/>
              </w:rPr>
              <w:t> </w:t>
            </w:r>
            <w:r>
              <w:rPr>
                <w:sz w:val="18"/>
              </w:rPr>
              <w:t>time,</w:t>
            </w:r>
            <w:r>
              <w:rPr>
                <w:spacing w:val="-3"/>
                <w:sz w:val="18"/>
              </w:rPr>
              <w:t> </w:t>
            </w:r>
            <w:r>
              <w:rPr>
                <w:sz w:val="18"/>
              </w:rPr>
              <w:t>and that</w:t>
            </w:r>
            <w:r>
              <w:rPr>
                <w:spacing w:val="-3"/>
                <w:sz w:val="18"/>
              </w:rPr>
              <w:t> </w:t>
            </w:r>
            <w:r>
              <w:rPr>
                <w:sz w:val="18"/>
              </w:rPr>
              <w:t>they</w:t>
            </w:r>
            <w:r>
              <w:rPr>
                <w:spacing w:val="-2"/>
                <w:sz w:val="18"/>
              </w:rPr>
              <w:t> </w:t>
            </w:r>
            <w:r>
              <w:rPr>
                <w:sz w:val="18"/>
              </w:rPr>
              <w:t>do</w:t>
            </w:r>
            <w:r>
              <w:rPr>
                <w:spacing w:val="-1"/>
                <w:sz w:val="18"/>
              </w:rPr>
              <w:t> </w:t>
            </w:r>
            <w:r>
              <w:rPr>
                <w:sz w:val="18"/>
              </w:rPr>
              <w:t>not have</w:t>
            </w:r>
            <w:r>
              <w:rPr>
                <w:spacing w:val="-1"/>
                <w:sz w:val="18"/>
              </w:rPr>
              <w:t> </w:t>
            </w:r>
            <w:r>
              <w:rPr>
                <w:sz w:val="18"/>
              </w:rPr>
              <w:t>to</w:t>
            </w:r>
            <w:r>
              <w:rPr>
                <w:spacing w:val="-1"/>
                <w:sz w:val="18"/>
              </w:rPr>
              <w:t> </w:t>
            </w:r>
            <w:r>
              <w:rPr>
                <w:sz w:val="18"/>
              </w:rPr>
              <w:t>answer</w:t>
            </w:r>
            <w:r>
              <w:rPr>
                <w:spacing w:val="-1"/>
                <w:sz w:val="18"/>
              </w:rPr>
              <w:t> </w:t>
            </w:r>
            <w:r>
              <w:rPr>
                <w:sz w:val="18"/>
              </w:rPr>
              <w:t>any</w:t>
            </w:r>
            <w:r>
              <w:rPr>
                <w:spacing w:val="-2"/>
                <w:sz w:val="18"/>
              </w:rPr>
              <w:t> </w:t>
            </w:r>
            <w:r>
              <w:rPr>
                <w:sz w:val="18"/>
              </w:rPr>
              <w:t>further</w:t>
            </w:r>
            <w:r>
              <w:rPr>
                <w:spacing w:val="-2"/>
                <w:sz w:val="18"/>
              </w:rPr>
              <w:t> </w:t>
            </w:r>
            <w:r>
              <w:rPr>
                <w:sz w:val="18"/>
              </w:rPr>
              <w:t>questions.</w:t>
            </w:r>
          </w:p>
          <w:p>
            <w:pPr>
              <w:pStyle w:val="TableParagraph"/>
              <w:numPr>
                <w:ilvl w:val="0"/>
                <w:numId w:val="278"/>
              </w:numPr>
              <w:tabs>
                <w:tab w:pos="279" w:val="left" w:leader="none"/>
              </w:tabs>
              <w:spacing w:line="276" w:lineRule="auto" w:before="1" w:after="0"/>
              <w:ind w:left="278" w:right="202" w:hanging="171"/>
              <w:jc w:val="left"/>
              <w:rPr>
                <w:sz w:val="18"/>
              </w:rPr>
            </w:pPr>
            <w:r>
              <w:rPr>
                <w:sz w:val="18"/>
              </w:rPr>
              <w:t>Outline</w:t>
            </w:r>
            <w:r>
              <w:rPr>
                <w:spacing w:val="-6"/>
                <w:sz w:val="18"/>
              </w:rPr>
              <w:t> </w:t>
            </w:r>
            <w:r>
              <w:rPr>
                <w:sz w:val="18"/>
              </w:rPr>
              <w:t>confidentiality/anonymity</w:t>
            </w:r>
            <w:r>
              <w:rPr>
                <w:spacing w:val="-4"/>
                <w:sz w:val="18"/>
              </w:rPr>
              <w:t> </w:t>
            </w:r>
            <w:r>
              <w:rPr>
                <w:sz w:val="18"/>
              </w:rPr>
              <w:t>provisions,</w:t>
            </w:r>
            <w:r>
              <w:rPr>
                <w:spacing w:val="-6"/>
                <w:sz w:val="18"/>
              </w:rPr>
              <w:t> </w:t>
            </w:r>
            <w:r>
              <w:rPr>
                <w:sz w:val="18"/>
              </w:rPr>
              <w:t>that</w:t>
            </w:r>
            <w:r>
              <w:rPr>
                <w:spacing w:val="-5"/>
                <w:sz w:val="18"/>
              </w:rPr>
              <w:t> </w:t>
            </w:r>
            <w:r>
              <w:rPr>
                <w:sz w:val="18"/>
              </w:rPr>
              <w:t>is,</w:t>
            </w:r>
            <w:r>
              <w:rPr>
                <w:spacing w:val="-6"/>
                <w:sz w:val="18"/>
              </w:rPr>
              <w:t> </w:t>
            </w:r>
            <w:r>
              <w:rPr>
                <w:sz w:val="18"/>
              </w:rPr>
              <w:t>that</w:t>
            </w:r>
            <w:r>
              <w:rPr>
                <w:spacing w:val="-4"/>
                <w:sz w:val="18"/>
              </w:rPr>
              <w:t> </w:t>
            </w:r>
            <w:r>
              <w:rPr>
                <w:sz w:val="18"/>
              </w:rPr>
              <w:t>the</w:t>
            </w:r>
            <w:r>
              <w:rPr>
                <w:spacing w:val="-3"/>
                <w:sz w:val="18"/>
              </w:rPr>
              <w:t> </w:t>
            </w:r>
            <w:r>
              <w:rPr>
                <w:sz w:val="18"/>
              </w:rPr>
              <w:t>LHN/</w:t>
            </w:r>
            <w:r>
              <w:rPr>
                <w:spacing w:val="-3"/>
                <w:sz w:val="18"/>
              </w:rPr>
              <w:t> </w:t>
            </w:r>
            <w:r>
              <w:rPr>
                <w:sz w:val="18"/>
              </w:rPr>
              <w:t>state</w:t>
            </w:r>
            <w:r>
              <w:rPr>
                <w:spacing w:val="-4"/>
                <w:sz w:val="18"/>
              </w:rPr>
              <w:t> </w:t>
            </w:r>
            <w:r>
              <w:rPr>
                <w:sz w:val="18"/>
              </w:rPr>
              <w:t>and</w:t>
            </w:r>
            <w:r>
              <w:rPr>
                <w:spacing w:val="-47"/>
                <w:sz w:val="18"/>
              </w:rPr>
              <w:t> </w:t>
            </w:r>
            <w:r>
              <w:rPr>
                <w:sz w:val="18"/>
              </w:rPr>
              <w:t>territory health authority and individuals responding on behalf of an</w:t>
            </w:r>
            <w:r>
              <w:rPr>
                <w:spacing w:val="1"/>
                <w:sz w:val="18"/>
              </w:rPr>
              <w:t> </w:t>
            </w:r>
            <w:r>
              <w:rPr>
                <w:sz w:val="18"/>
              </w:rPr>
              <w:t>organisation</w:t>
            </w:r>
            <w:r>
              <w:rPr>
                <w:spacing w:val="-2"/>
                <w:sz w:val="18"/>
              </w:rPr>
              <w:t> </w:t>
            </w:r>
            <w:r>
              <w:rPr>
                <w:sz w:val="18"/>
              </w:rPr>
              <w:t>will</w:t>
            </w:r>
            <w:r>
              <w:rPr>
                <w:spacing w:val="-4"/>
                <w:sz w:val="18"/>
              </w:rPr>
              <w:t> </w:t>
            </w:r>
            <w:r>
              <w:rPr>
                <w:sz w:val="18"/>
              </w:rPr>
              <w:t>not</w:t>
            </w:r>
            <w:r>
              <w:rPr>
                <w:spacing w:val="-3"/>
                <w:sz w:val="18"/>
              </w:rPr>
              <w:t> </w:t>
            </w:r>
            <w:r>
              <w:rPr>
                <w:sz w:val="18"/>
              </w:rPr>
              <w:t>be</w:t>
            </w:r>
            <w:r>
              <w:rPr>
                <w:spacing w:val="-2"/>
                <w:sz w:val="18"/>
              </w:rPr>
              <w:t> </w:t>
            </w:r>
            <w:r>
              <w:rPr>
                <w:sz w:val="18"/>
              </w:rPr>
              <w:t>named</w:t>
            </w:r>
            <w:r>
              <w:rPr>
                <w:spacing w:val="-2"/>
                <w:sz w:val="18"/>
              </w:rPr>
              <w:t> </w:t>
            </w:r>
            <w:r>
              <w:rPr>
                <w:sz w:val="18"/>
              </w:rPr>
              <w:t>in</w:t>
            </w:r>
            <w:r>
              <w:rPr>
                <w:spacing w:val="-2"/>
                <w:sz w:val="18"/>
              </w:rPr>
              <w:t> </w:t>
            </w:r>
            <w:r>
              <w:rPr>
                <w:sz w:val="18"/>
              </w:rPr>
              <w:t>any</w:t>
            </w:r>
            <w:r>
              <w:rPr>
                <w:spacing w:val="-2"/>
                <w:sz w:val="18"/>
              </w:rPr>
              <w:t> </w:t>
            </w:r>
            <w:r>
              <w:rPr>
                <w:sz w:val="18"/>
              </w:rPr>
              <w:t>reporting</w:t>
            </w:r>
            <w:r>
              <w:rPr>
                <w:spacing w:val="-4"/>
                <w:sz w:val="18"/>
              </w:rPr>
              <w:t> </w:t>
            </w:r>
            <w:r>
              <w:rPr>
                <w:sz w:val="18"/>
              </w:rPr>
              <w:t>of</w:t>
            </w:r>
            <w:r>
              <w:rPr>
                <w:spacing w:val="-2"/>
                <w:sz w:val="18"/>
              </w:rPr>
              <w:t> </w:t>
            </w:r>
            <w:r>
              <w:rPr>
                <w:sz w:val="18"/>
              </w:rPr>
              <w:t>results</w:t>
            </w:r>
            <w:r>
              <w:rPr>
                <w:spacing w:val="-3"/>
                <w:sz w:val="18"/>
              </w:rPr>
              <w:t> </w:t>
            </w:r>
            <w:r>
              <w:rPr>
                <w:sz w:val="18"/>
              </w:rPr>
              <w:t>to</w:t>
            </w:r>
            <w:r>
              <w:rPr>
                <w:spacing w:val="-1"/>
                <w:sz w:val="18"/>
              </w:rPr>
              <w:t> </w:t>
            </w:r>
            <w:r>
              <w:rPr>
                <w:sz w:val="18"/>
              </w:rPr>
              <w:t>any</w:t>
            </w:r>
            <w:r>
              <w:rPr>
                <w:spacing w:val="-3"/>
                <w:sz w:val="18"/>
              </w:rPr>
              <w:t> </w:t>
            </w:r>
            <w:r>
              <w:rPr>
                <w:sz w:val="18"/>
              </w:rPr>
              <w:t>parties.</w:t>
            </w:r>
          </w:p>
          <w:p>
            <w:pPr>
              <w:pStyle w:val="TableParagraph"/>
              <w:numPr>
                <w:ilvl w:val="0"/>
                <w:numId w:val="278"/>
              </w:numPr>
              <w:tabs>
                <w:tab w:pos="279" w:val="left" w:leader="none"/>
              </w:tabs>
              <w:spacing w:line="240" w:lineRule="auto" w:before="0" w:after="0"/>
              <w:ind w:left="278" w:right="0" w:hanging="172"/>
              <w:jc w:val="left"/>
              <w:rPr>
                <w:sz w:val="18"/>
              </w:rPr>
            </w:pPr>
            <w:r>
              <w:rPr>
                <w:sz w:val="18"/>
              </w:rPr>
              <w:t>Outline</w:t>
            </w:r>
            <w:r>
              <w:rPr>
                <w:spacing w:val="-5"/>
                <w:sz w:val="18"/>
              </w:rPr>
              <w:t> </w:t>
            </w:r>
            <w:r>
              <w:rPr>
                <w:sz w:val="18"/>
              </w:rPr>
              <w:t>how</w:t>
            </w:r>
            <w:r>
              <w:rPr>
                <w:spacing w:val="-4"/>
                <w:sz w:val="18"/>
              </w:rPr>
              <w:t> </w:t>
            </w:r>
            <w:r>
              <w:rPr>
                <w:sz w:val="18"/>
              </w:rPr>
              <w:t>the</w:t>
            </w:r>
            <w:r>
              <w:rPr>
                <w:spacing w:val="-2"/>
                <w:sz w:val="18"/>
              </w:rPr>
              <w:t> </w:t>
            </w:r>
            <w:r>
              <w:rPr>
                <w:sz w:val="18"/>
              </w:rPr>
              <w:t>LHN/</w:t>
            </w:r>
            <w:r>
              <w:rPr>
                <w:spacing w:val="-2"/>
                <w:sz w:val="18"/>
              </w:rPr>
              <w:t> </w:t>
            </w:r>
            <w:r>
              <w:rPr>
                <w:sz w:val="18"/>
              </w:rPr>
              <w:t>state</w:t>
            </w:r>
            <w:r>
              <w:rPr>
                <w:spacing w:val="-2"/>
                <w:sz w:val="18"/>
              </w:rPr>
              <w:t> </w:t>
            </w:r>
            <w:r>
              <w:rPr>
                <w:sz w:val="18"/>
              </w:rPr>
              <w:t>and</w:t>
            </w:r>
            <w:r>
              <w:rPr>
                <w:spacing w:val="-4"/>
                <w:sz w:val="18"/>
              </w:rPr>
              <w:t> </w:t>
            </w:r>
            <w:r>
              <w:rPr>
                <w:sz w:val="18"/>
              </w:rPr>
              <w:t>territory</w:t>
            </w:r>
            <w:r>
              <w:rPr>
                <w:spacing w:val="-3"/>
                <w:sz w:val="18"/>
              </w:rPr>
              <w:t> </w:t>
            </w:r>
            <w:r>
              <w:rPr>
                <w:sz w:val="18"/>
              </w:rPr>
              <w:t>health</w:t>
            </w:r>
            <w:r>
              <w:rPr>
                <w:spacing w:val="-2"/>
                <w:sz w:val="18"/>
              </w:rPr>
              <w:t> </w:t>
            </w:r>
            <w:r>
              <w:rPr>
                <w:sz w:val="18"/>
              </w:rPr>
              <w:t>authority</w:t>
            </w:r>
            <w:r>
              <w:rPr>
                <w:spacing w:val="-3"/>
                <w:sz w:val="18"/>
              </w:rPr>
              <w:t> </w:t>
            </w:r>
            <w:r>
              <w:rPr>
                <w:sz w:val="18"/>
              </w:rPr>
              <w:t>will</w:t>
            </w:r>
            <w:r>
              <w:rPr>
                <w:spacing w:val="-3"/>
                <w:sz w:val="18"/>
              </w:rPr>
              <w:t> </w:t>
            </w:r>
            <w:r>
              <w:rPr>
                <w:sz w:val="18"/>
              </w:rPr>
              <w:t>be</w:t>
            </w:r>
            <w:r>
              <w:rPr>
                <w:spacing w:val="-5"/>
                <w:sz w:val="18"/>
              </w:rPr>
              <w:t> </w:t>
            </w:r>
            <w:r>
              <w:rPr>
                <w:sz w:val="18"/>
              </w:rPr>
              <w:t>informed</w:t>
            </w:r>
            <w:r>
              <w:rPr>
                <w:spacing w:val="-3"/>
                <w:sz w:val="18"/>
              </w:rPr>
              <w:t> </w:t>
            </w:r>
            <w:r>
              <w:rPr>
                <w:sz w:val="18"/>
              </w:rPr>
              <w:t>of</w:t>
            </w:r>
          </w:p>
          <w:p>
            <w:pPr>
              <w:pStyle w:val="TableParagraph"/>
              <w:spacing w:before="34"/>
              <w:ind w:left="278"/>
              <w:rPr>
                <w:sz w:val="18"/>
              </w:rPr>
            </w:pPr>
            <w:r>
              <w:rPr>
                <w:sz w:val="18"/>
              </w:rPr>
              <w:t>the</w:t>
            </w:r>
            <w:r>
              <w:rPr>
                <w:spacing w:val="-2"/>
                <w:sz w:val="18"/>
              </w:rPr>
              <w:t> </w:t>
            </w:r>
            <w:r>
              <w:rPr>
                <w:sz w:val="18"/>
              </w:rPr>
              <w:t>results</w:t>
            </w:r>
            <w:r>
              <w:rPr>
                <w:spacing w:val="-3"/>
                <w:sz w:val="18"/>
              </w:rPr>
              <w:t> </w:t>
            </w:r>
            <w:r>
              <w:rPr>
                <w:sz w:val="18"/>
              </w:rPr>
              <w:t>of</w:t>
            </w:r>
            <w:r>
              <w:rPr>
                <w:spacing w:val="-4"/>
                <w:sz w:val="18"/>
              </w:rPr>
              <w:t> </w:t>
            </w:r>
            <w:r>
              <w:rPr>
                <w:sz w:val="18"/>
              </w:rPr>
              <w:t>the</w:t>
            </w:r>
            <w:r>
              <w:rPr>
                <w:spacing w:val="-1"/>
                <w:sz w:val="18"/>
              </w:rPr>
              <w:t> </w:t>
            </w:r>
            <w:r>
              <w:rPr>
                <w:sz w:val="18"/>
              </w:rPr>
              <w:t>research</w:t>
            </w:r>
            <w:r>
              <w:rPr>
                <w:spacing w:val="-2"/>
                <w:sz w:val="18"/>
              </w:rPr>
              <w:t> </w:t>
            </w:r>
            <w:r>
              <w:rPr>
                <w:sz w:val="18"/>
              </w:rPr>
              <w:t>when</w:t>
            </w:r>
            <w:r>
              <w:rPr>
                <w:spacing w:val="-4"/>
                <w:sz w:val="18"/>
              </w:rPr>
              <w:t> </w:t>
            </w:r>
            <w:r>
              <w:rPr>
                <w:sz w:val="18"/>
              </w:rPr>
              <w:t>it</w:t>
            </w:r>
            <w:r>
              <w:rPr>
                <w:spacing w:val="-5"/>
                <w:sz w:val="18"/>
              </w:rPr>
              <w:t> </w:t>
            </w:r>
            <w:r>
              <w:rPr>
                <w:sz w:val="18"/>
              </w:rPr>
              <w:t>is</w:t>
            </w:r>
            <w:r>
              <w:rPr>
                <w:spacing w:val="-2"/>
                <w:sz w:val="18"/>
              </w:rPr>
              <w:t> </w:t>
            </w:r>
            <w:r>
              <w:rPr>
                <w:sz w:val="18"/>
              </w:rPr>
              <w:t>finished.</w:t>
            </w:r>
          </w:p>
        </w:tc>
      </w:tr>
    </w:tbl>
    <w:p>
      <w:pPr>
        <w:spacing w:after="0"/>
        <w:rPr>
          <w:sz w:val="18"/>
        </w:rPr>
        <w:sectPr>
          <w:type w:val="continuous"/>
          <w:pgSz w:w="11910" w:h="16840"/>
          <w:pgMar w:header="0" w:footer="948" w:top="1420" w:bottom="1621" w:left="300" w:right="0"/>
        </w:sectPr>
      </w:pPr>
    </w:p>
    <w:tbl>
      <w:tblPr>
        <w:tblW w:w="0" w:type="auto"/>
        <w:jc w:val="left"/>
        <w:tblInd w:w="115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980"/>
        <w:gridCol w:w="7038"/>
      </w:tblGrid>
      <w:tr>
        <w:trPr>
          <w:trHeight w:val="225" w:hRule="atLeast"/>
        </w:trPr>
        <w:tc>
          <w:tcPr>
            <w:tcW w:w="1980" w:type="dxa"/>
            <w:shd w:val="clear" w:color="auto" w:fill="003C79"/>
          </w:tcPr>
          <w:p>
            <w:pPr>
              <w:pStyle w:val="TableParagraph"/>
              <w:spacing w:line="196" w:lineRule="exact"/>
              <w:ind w:left="107"/>
              <w:rPr>
                <w:b/>
                <w:sz w:val="16"/>
              </w:rPr>
            </w:pPr>
            <w:r>
              <w:rPr>
                <w:b/>
                <w:color w:val="FFFFFF"/>
                <w:sz w:val="16"/>
              </w:rPr>
              <w:t>Topic</w:t>
            </w:r>
          </w:p>
        </w:tc>
        <w:tc>
          <w:tcPr>
            <w:tcW w:w="7038" w:type="dxa"/>
            <w:shd w:val="clear" w:color="auto" w:fill="003C79"/>
          </w:tcPr>
          <w:p>
            <w:pPr>
              <w:pStyle w:val="TableParagraph"/>
              <w:spacing w:line="196" w:lineRule="exact"/>
              <w:ind w:left="107"/>
              <w:rPr>
                <w:b/>
                <w:sz w:val="16"/>
              </w:rPr>
            </w:pPr>
            <w:r>
              <w:rPr>
                <w:b/>
                <w:color w:val="FFFFFF"/>
                <w:sz w:val="16"/>
              </w:rPr>
              <w:t>Question</w:t>
            </w:r>
          </w:p>
        </w:tc>
      </w:tr>
      <w:tr>
        <w:trPr>
          <w:trHeight w:val="1468" w:hRule="atLeast"/>
        </w:trPr>
        <w:tc>
          <w:tcPr>
            <w:tcW w:w="1980" w:type="dxa"/>
          </w:tcPr>
          <w:p>
            <w:pPr>
              <w:pStyle w:val="TableParagraph"/>
              <w:rPr>
                <w:rFonts w:ascii="Times New Roman"/>
                <w:sz w:val="16"/>
              </w:rPr>
            </w:pPr>
          </w:p>
        </w:tc>
        <w:tc>
          <w:tcPr>
            <w:tcW w:w="7038" w:type="dxa"/>
          </w:tcPr>
          <w:p>
            <w:pPr>
              <w:pStyle w:val="TableParagraph"/>
              <w:numPr>
                <w:ilvl w:val="0"/>
                <w:numId w:val="279"/>
              </w:numPr>
              <w:tabs>
                <w:tab w:pos="279" w:val="left" w:leader="none"/>
              </w:tabs>
              <w:spacing w:line="276" w:lineRule="auto" w:before="0" w:after="0"/>
              <w:ind w:left="278" w:right="343" w:hanging="171"/>
              <w:jc w:val="left"/>
              <w:rPr>
                <w:sz w:val="18"/>
              </w:rPr>
            </w:pPr>
            <w:r>
              <w:rPr>
                <w:sz w:val="18"/>
              </w:rPr>
              <w:t>Provide details on who to contact in case of any or concerns or questions</w:t>
            </w:r>
            <w:r>
              <w:rPr>
                <w:spacing w:val="-47"/>
                <w:sz w:val="18"/>
              </w:rPr>
              <w:t> </w:t>
            </w:r>
            <w:r>
              <w:rPr>
                <w:sz w:val="18"/>
              </w:rPr>
              <w:t>that may</w:t>
            </w:r>
            <w:r>
              <w:rPr>
                <w:spacing w:val="-1"/>
                <w:sz w:val="18"/>
              </w:rPr>
              <w:t> </w:t>
            </w:r>
            <w:r>
              <w:rPr>
                <w:sz w:val="18"/>
              </w:rPr>
              <w:t>arise after the</w:t>
            </w:r>
            <w:r>
              <w:rPr>
                <w:spacing w:val="-3"/>
                <w:sz w:val="18"/>
              </w:rPr>
              <w:t> </w:t>
            </w:r>
            <w:r>
              <w:rPr>
                <w:sz w:val="18"/>
              </w:rPr>
              <w:t>interview.</w:t>
            </w:r>
          </w:p>
          <w:p>
            <w:pPr>
              <w:pStyle w:val="TableParagraph"/>
              <w:numPr>
                <w:ilvl w:val="0"/>
                <w:numId w:val="279"/>
              </w:numPr>
              <w:tabs>
                <w:tab w:pos="279" w:val="left" w:leader="none"/>
              </w:tabs>
              <w:spacing w:line="240" w:lineRule="auto" w:before="0" w:after="0"/>
              <w:ind w:left="278" w:right="0" w:hanging="172"/>
              <w:jc w:val="left"/>
              <w:rPr>
                <w:sz w:val="18"/>
              </w:rPr>
            </w:pPr>
            <w:r>
              <w:rPr>
                <w:sz w:val="18"/>
              </w:rPr>
              <w:t>Seek</w:t>
            </w:r>
            <w:r>
              <w:rPr>
                <w:spacing w:val="-2"/>
                <w:sz w:val="18"/>
              </w:rPr>
              <w:t> </w:t>
            </w:r>
            <w:r>
              <w:rPr>
                <w:sz w:val="18"/>
              </w:rPr>
              <w:t>permission</w:t>
            </w:r>
            <w:r>
              <w:rPr>
                <w:spacing w:val="-2"/>
                <w:sz w:val="18"/>
              </w:rPr>
              <w:t> </w:t>
            </w:r>
            <w:r>
              <w:rPr>
                <w:sz w:val="18"/>
              </w:rPr>
              <w:t>to</w:t>
            </w:r>
            <w:r>
              <w:rPr>
                <w:spacing w:val="-2"/>
                <w:sz w:val="18"/>
              </w:rPr>
              <w:t> </w:t>
            </w:r>
            <w:r>
              <w:rPr>
                <w:sz w:val="18"/>
              </w:rPr>
              <w:t>audio</w:t>
            </w:r>
            <w:r>
              <w:rPr>
                <w:spacing w:val="-4"/>
                <w:sz w:val="18"/>
              </w:rPr>
              <w:t> </w:t>
            </w:r>
            <w:r>
              <w:rPr>
                <w:sz w:val="18"/>
              </w:rPr>
              <w:t>record</w:t>
            </w:r>
            <w:r>
              <w:rPr>
                <w:spacing w:val="-3"/>
                <w:sz w:val="18"/>
              </w:rPr>
              <w:t> </w:t>
            </w:r>
            <w:r>
              <w:rPr>
                <w:sz w:val="18"/>
              </w:rPr>
              <w:t>the</w:t>
            </w:r>
            <w:r>
              <w:rPr>
                <w:spacing w:val="-3"/>
                <w:sz w:val="18"/>
              </w:rPr>
              <w:t> </w:t>
            </w:r>
            <w:r>
              <w:rPr>
                <w:sz w:val="18"/>
              </w:rPr>
              <w:t>interview.</w:t>
            </w:r>
          </w:p>
          <w:p>
            <w:pPr>
              <w:pStyle w:val="TableParagraph"/>
              <w:numPr>
                <w:ilvl w:val="0"/>
                <w:numId w:val="279"/>
              </w:numPr>
              <w:tabs>
                <w:tab w:pos="279" w:val="left" w:leader="none"/>
              </w:tabs>
              <w:spacing w:line="240" w:lineRule="auto" w:before="33" w:after="0"/>
              <w:ind w:left="278" w:right="0" w:hanging="172"/>
              <w:jc w:val="left"/>
              <w:rPr>
                <w:sz w:val="18"/>
              </w:rPr>
            </w:pPr>
            <w:r>
              <w:rPr>
                <w:sz w:val="18"/>
              </w:rPr>
              <w:t>Check</w:t>
            </w:r>
            <w:r>
              <w:rPr>
                <w:spacing w:val="-5"/>
                <w:sz w:val="18"/>
              </w:rPr>
              <w:t> </w:t>
            </w:r>
            <w:r>
              <w:rPr>
                <w:sz w:val="18"/>
              </w:rPr>
              <w:t>whether</w:t>
            </w:r>
            <w:r>
              <w:rPr>
                <w:spacing w:val="-5"/>
                <w:sz w:val="18"/>
              </w:rPr>
              <w:t> </w:t>
            </w:r>
            <w:r>
              <w:rPr>
                <w:sz w:val="18"/>
              </w:rPr>
              <w:t>the</w:t>
            </w:r>
            <w:r>
              <w:rPr>
                <w:spacing w:val="-3"/>
                <w:sz w:val="18"/>
              </w:rPr>
              <w:t> </w:t>
            </w:r>
            <w:r>
              <w:rPr>
                <w:sz w:val="18"/>
              </w:rPr>
              <w:t>participant(s)</w:t>
            </w:r>
            <w:r>
              <w:rPr>
                <w:spacing w:val="-5"/>
                <w:sz w:val="18"/>
              </w:rPr>
              <w:t> </w:t>
            </w:r>
            <w:r>
              <w:rPr>
                <w:sz w:val="18"/>
              </w:rPr>
              <w:t>has(ve)</w:t>
            </w:r>
            <w:r>
              <w:rPr>
                <w:spacing w:val="-4"/>
                <w:sz w:val="18"/>
              </w:rPr>
              <w:t> </w:t>
            </w:r>
            <w:r>
              <w:rPr>
                <w:sz w:val="18"/>
              </w:rPr>
              <w:t>any</w:t>
            </w:r>
            <w:r>
              <w:rPr>
                <w:spacing w:val="-4"/>
                <w:sz w:val="18"/>
              </w:rPr>
              <w:t> </w:t>
            </w:r>
            <w:r>
              <w:rPr>
                <w:sz w:val="18"/>
              </w:rPr>
              <w:t>questions.</w:t>
            </w:r>
          </w:p>
          <w:p>
            <w:pPr>
              <w:pStyle w:val="TableParagraph"/>
              <w:numPr>
                <w:ilvl w:val="0"/>
                <w:numId w:val="279"/>
              </w:numPr>
              <w:tabs>
                <w:tab w:pos="279" w:val="left" w:leader="none"/>
              </w:tabs>
              <w:spacing w:line="240" w:lineRule="auto" w:before="32" w:after="0"/>
              <w:ind w:left="278" w:right="0" w:hanging="172"/>
              <w:jc w:val="left"/>
              <w:rPr>
                <w:sz w:val="18"/>
              </w:rPr>
            </w:pPr>
            <w:r>
              <w:rPr>
                <w:sz w:val="18"/>
              </w:rPr>
              <w:t>Seek</w:t>
            </w:r>
            <w:r>
              <w:rPr>
                <w:spacing w:val="-3"/>
                <w:sz w:val="18"/>
              </w:rPr>
              <w:t> </w:t>
            </w:r>
            <w:r>
              <w:rPr>
                <w:sz w:val="18"/>
              </w:rPr>
              <w:t>verbal</w:t>
            </w:r>
            <w:r>
              <w:rPr>
                <w:spacing w:val="-2"/>
                <w:sz w:val="18"/>
              </w:rPr>
              <w:t> </w:t>
            </w:r>
            <w:r>
              <w:rPr>
                <w:sz w:val="18"/>
              </w:rPr>
              <w:t>consent</w:t>
            </w:r>
            <w:r>
              <w:rPr>
                <w:spacing w:val="-4"/>
                <w:sz w:val="18"/>
              </w:rPr>
              <w:t> </w:t>
            </w:r>
            <w:r>
              <w:rPr>
                <w:sz w:val="18"/>
              </w:rPr>
              <w:t>for</w:t>
            </w:r>
            <w:r>
              <w:rPr>
                <w:spacing w:val="-4"/>
                <w:sz w:val="18"/>
              </w:rPr>
              <w:t> </w:t>
            </w:r>
            <w:r>
              <w:rPr>
                <w:sz w:val="18"/>
              </w:rPr>
              <w:t>participation.</w:t>
            </w:r>
          </w:p>
        </w:tc>
      </w:tr>
      <w:tr>
        <w:trPr>
          <w:trHeight w:val="3564" w:hRule="atLeast"/>
        </w:trPr>
        <w:tc>
          <w:tcPr>
            <w:tcW w:w="1980" w:type="dxa"/>
          </w:tcPr>
          <w:p>
            <w:pPr>
              <w:pStyle w:val="TableParagraph"/>
              <w:spacing w:line="276" w:lineRule="auto" w:before="2"/>
              <w:ind w:left="107" w:right="330"/>
              <w:rPr>
                <w:sz w:val="16"/>
              </w:rPr>
            </w:pPr>
            <w:r>
              <w:rPr>
                <w:sz w:val="16"/>
              </w:rPr>
              <w:t>Contextual</w:t>
            </w:r>
            <w:r>
              <w:rPr>
                <w:spacing w:val="1"/>
                <w:sz w:val="16"/>
              </w:rPr>
              <w:t> </w:t>
            </w:r>
            <w:r>
              <w:rPr>
                <w:spacing w:val="-1"/>
                <w:sz w:val="16"/>
              </w:rPr>
              <w:t>information/</w:t>
            </w:r>
            <w:r>
              <w:rPr>
                <w:spacing w:val="-3"/>
                <w:sz w:val="16"/>
              </w:rPr>
              <w:t> </w:t>
            </w:r>
            <w:r>
              <w:rPr>
                <w:sz w:val="16"/>
              </w:rPr>
              <w:t>factors</w:t>
            </w:r>
          </w:p>
        </w:tc>
        <w:tc>
          <w:tcPr>
            <w:tcW w:w="7038" w:type="dxa"/>
          </w:tcPr>
          <w:p>
            <w:pPr>
              <w:pStyle w:val="TableParagraph"/>
              <w:numPr>
                <w:ilvl w:val="0"/>
                <w:numId w:val="280"/>
              </w:numPr>
              <w:tabs>
                <w:tab w:pos="279" w:val="left" w:leader="none"/>
              </w:tabs>
              <w:spacing w:line="276" w:lineRule="auto" w:before="1" w:after="0"/>
              <w:ind w:left="278" w:right="242" w:hanging="171"/>
              <w:jc w:val="left"/>
              <w:rPr>
                <w:sz w:val="18"/>
              </w:rPr>
            </w:pPr>
            <w:r>
              <w:rPr>
                <w:sz w:val="18"/>
              </w:rPr>
              <w:t>What changes/ initiatives, if any, are occurring/ have occurred </w:t>
            </w:r>
            <w:r>
              <w:rPr>
                <w:sz w:val="18"/>
                <w:u w:val="single"/>
              </w:rPr>
              <w:t>not related</w:t>
            </w:r>
            <w:r>
              <w:rPr>
                <w:spacing w:val="-47"/>
                <w:sz w:val="18"/>
              </w:rPr>
              <w:t> </w:t>
            </w:r>
            <w:r>
              <w:rPr>
                <w:sz w:val="18"/>
                <w:u w:val="single"/>
              </w:rPr>
              <w:t>to HCH</w:t>
            </w:r>
            <w:r>
              <w:rPr>
                <w:sz w:val="18"/>
              </w:rPr>
              <w:t> that have impacted on the implementation of HCH and/ or the</w:t>
            </w:r>
            <w:r>
              <w:rPr>
                <w:spacing w:val="1"/>
                <w:sz w:val="18"/>
              </w:rPr>
              <w:t> </w:t>
            </w:r>
            <w:r>
              <w:rPr>
                <w:sz w:val="18"/>
              </w:rPr>
              <w:t>impacts/</w:t>
            </w:r>
            <w:r>
              <w:rPr>
                <w:spacing w:val="-1"/>
                <w:sz w:val="18"/>
              </w:rPr>
              <w:t> </w:t>
            </w:r>
            <w:r>
              <w:rPr>
                <w:sz w:val="18"/>
              </w:rPr>
              <w:t>outcomes</w:t>
            </w:r>
            <w:r>
              <w:rPr>
                <w:spacing w:val="-2"/>
                <w:sz w:val="18"/>
              </w:rPr>
              <w:t> </w:t>
            </w:r>
            <w:r>
              <w:rPr>
                <w:sz w:val="18"/>
              </w:rPr>
              <w:t>of</w:t>
            </w:r>
            <w:r>
              <w:rPr>
                <w:spacing w:val="-1"/>
                <w:sz w:val="18"/>
              </w:rPr>
              <w:t> </w:t>
            </w:r>
            <w:r>
              <w:rPr>
                <w:sz w:val="18"/>
              </w:rPr>
              <w:t>HCH within</w:t>
            </w:r>
            <w:r>
              <w:rPr>
                <w:spacing w:val="-1"/>
                <w:sz w:val="18"/>
              </w:rPr>
              <w:t> </w:t>
            </w:r>
            <w:r>
              <w:rPr>
                <w:sz w:val="18"/>
              </w:rPr>
              <w:t>your</w:t>
            </w:r>
            <w:r>
              <w:rPr>
                <w:spacing w:val="-3"/>
                <w:sz w:val="18"/>
              </w:rPr>
              <w:t> </w:t>
            </w:r>
            <w:r>
              <w:rPr>
                <w:sz w:val="18"/>
              </w:rPr>
              <w:t>state/</w:t>
            </w:r>
            <w:r>
              <w:rPr>
                <w:spacing w:val="-1"/>
                <w:sz w:val="18"/>
              </w:rPr>
              <w:t> </w:t>
            </w:r>
            <w:r>
              <w:rPr>
                <w:sz w:val="18"/>
              </w:rPr>
              <w:t>territory/</w:t>
            </w:r>
            <w:r>
              <w:rPr>
                <w:spacing w:val="-2"/>
                <w:sz w:val="18"/>
              </w:rPr>
              <w:t> </w:t>
            </w:r>
            <w:r>
              <w:rPr>
                <w:sz w:val="18"/>
              </w:rPr>
              <w:t>region?</w:t>
            </w:r>
          </w:p>
          <w:p>
            <w:pPr>
              <w:pStyle w:val="TableParagraph"/>
              <w:numPr>
                <w:ilvl w:val="0"/>
                <w:numId w:val="280"/>
              </w:numPr>
              <w:tabs>
                <w:tab w:pos="279" w:val="left" w:leader="none"/>
              </w:tabs>
              <w:spacing w:line="220" w:lineRule="exact" w:before="0" w:after="0"/>
              <w:ind w:left="278" w:right="0" w:hanging="172"/>
              <w:jc w:val="left"/>
              <w:rPr>
                <w:sz w:val="18"/>
              </w:rPr>
            </w:pPr>
            <w:r>
              <w:rPr>
                <w:sz w:val="18"/>
              </w:rPr>
              <w:t>Describe</w:t>
            </w:r>
            <w:r>
              <w:rPr>
                <w:spacing w:val="-7"/>
                <w:sz w:val="18"/>
              </w:rPr>
              <w:t> </w:t>
            </w:r>
            <w:r>
              <w:rPr>
                <w:sz w:val="18"/>
              </w:rPr>
              <w:t>these</w:t>
            </w:r>
            <w:r>
              <w:rPr>
                <w:spacing w:val="-3"/>
                <w:sz w:val="18"/>
              </w:rPr>
              <w:t> </w:t>
            </w:r>
            <w:r>
              <w:rPr>
                <w:sz w:val="18"/>
              </w:rPr>
              <w:t>changes/</w:t>
            </w:r>
            <w:r>
              <w:rPr>
                <w:spacing w:val="-5"/>
                <w:sz w:val="18"/>
              </w:rPr>
              <w:t> </w:t>
            </w:r>
            <w:r>
              <w:rPr>
                <w:sz w:val="18"/>
              </w:rPr>
              <w:t>initiatives.</w:t>
            </w:r>
          </w:p>
          <w:p>
            <w:pPr>
              <w:pStyle w:val="TableParagraph"/>
              <w:spacing w:before="1"/>
              <w:rPr>
                <w:sz w:val="19"/>
              </w:rPr>
            </w:pPr>
          </w:p>
          <w:p>
            <w:pPr>
              <w:pStyle w:val="TableParagraph"/>
              <w:ind w:left="107"/>
              <w:rPr>
                <w:sz w:val="16"/>
              </w:rPr>
            </w:pPr>
            <w:r>
              <w:rPr>
                <w:sz w:val="16"/>
              </w:rPr>
              <w:t>Prompts</w:t>
            </w:r>
          </w:p>
          <w:p>
            <w:pPr>
              <w:pStyle w:val="TableParagraph"/>
              <w:spacing w:before="7"/>
              <w:rPr>
                <w:sz w:val="18"/>
              </w:rPr>
            </w:pPr>
          </w:p>
          <w:p>
            <w:pPr>
              <w:pStyle w:val="TableParagraph"/>
              <w:numPr>
                <w:ilvl w:val="1"/>
                <w:numId w:val="280"/>
              </w:numPr>
              <w:tabs>
                <w:tab w:pos="828" w:val="left" w:leader="none"/>
                <w:tab w:pos="829" w:val="left" w:leader="none"/>
              </w:tabs>
              <w:spacing w:line="240" w:lineRule="auto" w:before="0" w:after="0"/>
              <w:ind w:left="828" w:right="0" w:hanging="361"/>
              <w:jc w:val="left"/>
              <w:rPr>
                <w:sz w:val="18"/>
              </w:rPr>
            </w:pPr>
            <w:r>
              <w:rPr>
                <w:sz w:val="18"/>
              </w:rPr>
              <w:t>Initiating</w:t>
            </w:r>
            <w:r>
              <w:rPr>
                <w:spacing w:val="-8"/>
                <w:sz w:val="18"/>
              </w:rPr>
              <w:t> </w:t>
            </w:r>
            <w:r>
              <w:rPr>
                <w:sz w:val="18"/>
              </w:rPr>
              <w:t>organisation(s).</w:t>
            </w:r>
          </w:p>
          <w:p>
            <w:pPr>
              <w:pStyle w:val="TableParagraph"/>
              <w:numPr>
                <w:ilvl w:val="1"/>
                <w:numId w:val="280"/>
              </w:numPr>
              <w:tabs>
                <w:tab w:pos="828" w:val="left" w:leader="none"/>
                <w:tab w:pos="829" w:val="left" w:leader="none"/>
              </w:tabs>
              <w:spacing w:line="240" w:lineRule="auto" w:before="34" w:after="0"/>
              <w:ind w:left="828" w:right="0" w:hanging="361"/>
              <w:jc w:val="left"/>
              <w:rPr>
                <w:sz w:val="18"/>
              </w:rPr>
            </w:pPr>
            <w:r>
              <w:rPr>
                <w:sz w:val="18"/>
              </w:rPr>
              <w:t>Target</w:t>
            </w:r>
            <w:r>
              <w:rPr>
                <w:spacing w:val="-5"/>
                <w:sz w:val="18"/>
              </w:rPr>
              <w:t> </w:t>
            </w:r>
            <w:r>
              <w:rPr>
                <w:sz w:val="18"/>
              </w:rPr>
              <w:t>group(s).</w:t>
            </w:r>
          </w:p>
          <w:p>
            <w:pPr>
              <w:pStyle w:val="TableParagraph"/>
              <w:numPr>
                <w:ilvl w:val="1"/>
                <w:numId w:val="280"/>
              </w:numPr>
              <w:tabs>
                <w:tab w:pos="828" w:val="left" w:leader="none"/>
                <w:tab w:pos="829" w:val="left" w:leader="none"/>
              </w:tabs>
              <w:spacing w:line="240" w:lineRule="auto" w:before="34" w:after="0"/>
              <w:ind w:left="828" w:right="0" w:hanging="361"/>
              <w:jc w:val="left"/>
              <w:rPr>
                <w:sz w:val="18"/>
              </w:rPr>
            </w:pPr>
            <w:r>
              <w:rPr>
                <w:sz w:val="18"/>
              </w:rPr>
              <w:t>Aim(s)</w:t>
            </w:r>
            <w:r>
              <w:rPr>
                <w:spacing w:val="-4"/>
                <w:sz w:val="18"/>
              </w:rPr>
              <w:t> </w:t>
            </w:r>
            <w:r>
              <w:rPr>
                <w:sz w:val="18"/>
              </w:rPr>
              <w:t>of</w:t>
            </w:r>
            <w:r>
              <w:rPr>
                <w:spacing w:val="-1"/>
                <w:sz w:val="18"/>
              </w:rPr>
              <w:t> </w:t>
            </w:r>
            <w:r>
              <w:rPr>
                <w:sz w:val="18"/>
              </w:rPr>
              <w:t>the</w:t>
            </w:r>
            <w:r>
              <w:rPr>
                <w:spacing w:val="-1"/>
                <w:sz w:val="18"/>
              </w:rPr>
              <w:t> </w:t>
            </w:r>
            <w:r>
              <w:rPr>
                <w:sz w:val="18"/>
              </w:rPr>
              <w:t>initiative.</w:t>
            </w:r>
          </w:p>
          <w:p>
            <w:pPr>
              <w:pStyle w:val="TableParagraph"/>
              <w:numPr>
                <w:ilvl w:val="1"/>
                <w:numId w:val="280"/>
              </w:numPr>
              <w:tabs>
                <w:tab w:pos="821" w:val="left" w:leader="none"/>
                <w:tab w:pos="822" w:val="left" w:leader="none"/>
              </w:tabs>
              <w:spacing w:line="240" w:lineRule="auto" w:before="31" w:after="0"/>
              <w:ind w:left="821" w:right="0" w:hanging="357"/>
              <w:jc w:val="left"/>
              <w:rPr>
                <w:sz w:val="18"/>
              </w:rPr>
            </w:pPr>
            <w:r>
              <w:rPr>
                <w:sz w:val="18"/>
              </w:rPr>
              <w:t>Time</w:t>
            </w:r>
            <w:r>
              <w:rPr>
                <w:spacing w:val="-5"/>
                <w:sz w:val="18"/>
              </w:rPr>
              <w:t> </w:t>
            </w:r>
            <w:r>
              <w:rPr>
                <w:sz w:val="18"/>
              </w:rPr>
              <w:t>frame</w:t>
            </w:r>
            <w:r>
              <w:rPr>
                <w:spacing w:val="-4"/>
                <w:sz w:val="18"/>
              </w:rPr>
              <w:t> </w:t>
            </w:r>
            <w:r>
              <w:rPr>
                <w:sz w:val="18"/>
              </w:rPr>
              <w:t>of</w:t>
            </w:r>
            <w:r>
              <w:rPr>
                <w:spacing w:val="-5"/>
                <w:sz w:val="18"/>
              </w:rPr>
              <w:t> </w:t>
            </w:r>
            <w:r>
              <w:rPr>
                <w:sz w:val="18"/>
              </w:rPr>
              <w:t>implementation</w:t>
            </w:r>
            <w:r>
              <w:rPr>
                <w:spacing w:val="-1"/>
                <w:sz w:val="18"/>
              </w:rPr>
              <w:t> </w:t>
            </w:r>
            <w:r>
              <w:rPr>
                <w:sz w:val="18"/>
              </w:rPr>
              <w:t>(start/</w:t>
            </w:r>
            <w:r>
              <w:rPr>
                <w:spacing w:val="-4"/>
                <w:sz w:val="18"/>
              </w:rPr>
              <w:t> </w:t>
            </w:r>
            <w:r>
              <w:rPr>
                <w:sz w:val="18"/>
              </w:rPr>
              <w:t>end).</w:t>
            </w:r>
          </w:p>
          <w:p>
            <w:pPr>
              <w:pStyle w:val="TableParagraph"/>
              <w:spacing w:before="2"/>
              <w:rPr>
                <w:sz w:val="19"/>
              </w:rPr>
            </w:pPr>
          </w:p>
          <w:p>
            <w:pPr>
              <w:pStyle w:val="TableParagraph"/>
              <w:numPr>
                <w:ilvl w:val="0"/>
                <w:numId w:val="280"/>
              </w:numPr>
              <w:tabs>
                <w:tab w:pos="279" w:val="left" w:leader="none"/>
              </w:tabs>
              <w:spacing w:line="273" w:lineRule="auto" w:before="0" w:after="0"/>
              <w:ind w:left="278" w:right="1100" w:hanging="171"/>
              <w:jc w:val="left"/>
              <w:rPr>
                <w:sz w:val="18"/>
              </w:rPr>
            </w:pPr>
            <w:r>
              <w:rPr>
                <w:sz w:val="18"/>
              </w:rPr>
              <w:t>How</w:t>
            </w:r>
            <w:r>
              <w:rPr>
                <w:spacing w:val="-5"/>
                <w:sz w:val="18"/>
              </w:rPr>
              <w:t> </w:t>
            </w:r>
            <w:r>
              <w:rPr>
                <w:sz w:val="18"/>
              </w:rPr>
              <w:t>have</w:t>
            </w:r>
            <w:r>
              <w:rPr>
                <w:spacing w:val="-3"/>
                <w:sz w:val="18"/>
              </w:rPr>
              <w:t> </w:t>
            </w:r>
            <w:r>
              <w:rPr>
                <w:sz w:val="18"/>
              </w:rPr>
              <w:t>the</w:t>
            </w:r>
            <w:r>
              <w:rPr>
                <w:spacing w:val="-3"/>
                <w:sz w:val="18"/>
              </w:rPr>
              <w:t> </w:t>
            </w:r>
            <w:r>
              <w:rPr>
                <w:sz w:val="18"/>
              </w:rPr>
              <w:t>above</w:t>
            </w:r>
            <w:r>
              <w:rPr>
                <w:spacing w:val="-3"/>
                <w:sz w:val="18"/>
              </w:rPr>
              <w:t> </w:t>
            </w:r>
            <w:r>
              <w:rPr>
                <w:sz w:val="18"/>
              </w:rPr>
              <w:t>changes/</w:t>
            </w:r>
            <w:r>
              <w:rPr>
                <w:spacing w:val="-3"/>
                <w:sz w:val="18"/>
              </w:rPr>
              <w:t> </w:t>
            </w:r>
            <w:r>
              <w:rPr>
                <w:sz w:val="18"/>
              </w:rPr>
              <w:t>initiatives</w:t>
            </w:r>
            <w:r>
              <w:rPr>
                <w:spacing w:val="-6"/>
                <w:sz w:val="18"/>
              </w:rPr>
              <w:t> </w:t>
            </w:r>
            <w:r>
              <w:rPr>
                <w:sz w:val="18"/>
              </w:rPr>
              <w:t>impacted</w:t>
            </w:r>
            <w:r>
              <w:rPr>
                <w:spacing w:val="-4"/>
                <w:sz w:val="18"/>
              </w:rPr>
              <w:t> </w:t>
            </w:r>
            <w:r>
              <w:rPr>
                <w:sz w:val="18"/>
              </w:rPr>
              <w:t>on</w:t>
            </w:r>
            <w:r>
              <w:rPr>
                <w:spacing w:val="-3"/>
                <w:sz w:val="18"/>
              </w:rPr>
              <w:t> </w:t>
            </w:r>
            <w:r>
              <w:rPr>
                <w:sz w:val="18"/>
              </w:rPr>
              <w:t>practices</w:t>
            </w:r>
            <w:r>
              <w:rPr>
                <w:spacing w:val="-47"/>
                <w:sz w:val="18"/>
              </w:rPr>
              <w:t> </w:t>
            </w:r>
            <w:r>
              <w:rPr>
                <w:sz w:val="18"/>
              </w:rPr>
              <w:t>participating</w:t>
            </w:r>
            <w:r>
              <w:rPr>
                <w:spacing w:val="-4"/>
                <w:sz w:val="18"/>
              </w:rPr>
              <w:t> </w:t>
            </w:r>
            <w:r>
              <w:rPr>
                <w:sz w:val="18"/>
              </w:rPr>
              <w:t>in</w:t>
            </w:r>
            <w:r>
              <w:rPr>
                <w:spacing w:val="-2"/>
                <w:sz w:val="18"/>
              </w:rPr>
              <w:t> </w:t>
            </w:r>
            <w:r>
              <w:rPr>
                <w:sz w:val="18"/>
              </w:rPr>
              <w:t>HCH</w:t>
            </w:r>
            <w:r>
              <w:rPr>
                <w:spacing w:val="-2"/>
                <w:sz w:val="18"/>
              </w:rPr>
              <w:t> </w:t>
            </w:r>
            <w:r>
              <w:rPr>
                <w:sz w:val="18"/>
              </w:rPr>
              <w:t>and/ or enrolled</w:t>
            </w:r>
            <w:r>
              <w:rPr>
                <w:spacing w:val="1"/>
                <w:sz w:val="18"/>
              </w:rPr>
              <w:t> </w:t>
            </w:r>
            <w:r>
              <w:rPr>
                <w:sz w:val="18"/>
              </w:rPr>
              <w:t>patients?</w:t>
            </w:r>
          </w:p>
        </w:tc>
      </w:tr>
      <w:tr>
        <w:trPr>
          <w:trHeight w:val="1216" w:hRule="atLeast"/>
        </w:trPr>
        <w:tc>
          <w:tcPr>
            <w:tcW w:w="1980" w:type="dxa"/>
          </w:tcPr>
          <w:p>
            <w:pPr>
              <w:pStyle w:val="TableParagraph"/>
              <w:spacing w:line="276" w:lineRule="auto" w:before="2"/>
              <w:ind w:left="107" w:right="228"/>
              <w:rPr>
                <w:sz w:val="16"/>
              </w:rPr>
            </w:pPr>
            <w:r>
              <w:rPr>
                <w:sz w:val="16"/>
              </w:rPr>
              <w:t>Enablers and barriers</w:t>
            </w:r>
            <w:r>
              <w:rPr>
                <w:spacing w:val="-42"/>
                <w:sz w:val="16"/>
              </w:rPr>
              <w:t> </w:t>
            </w:r>
            <w:r>
              <w:rPr>
                <w:sz w:val="16"/>
              </w:rPr>
              <w:t>for</w:t>
            </w:r>
            <w:r>
              <w:rPr>
                <w:spacing w:val="-1"/>
                <w:sz w:val="16"/>
              </w:rPr>
              <w:t> </w:t>
            </w:r>
            <w:r>
              <w:rPr>
                <w:sz w:val="16"/>
              </w:rPr>
              <w:t>practices</w:t>
            </w:r>
          </w:p>
        </w:tc>
        <w:tc>
          <w:tcPr>
            <w:tcW w:w="7038" w:type="dxa"/>
          </w:tcPr>
          <w:p>
            <w:pPr>
              <w:pStyle w:val="TableParagraph"/>
              <w:numPr>
                <w:ilvl w:val="0"/>
                <w:numId w:val="281"/>
              </w:numPr>
              <w:tabs>
                <w:tab w:pos="279" w:val="left" w:leader="none"/>
              </w:tabs>
              <w:spacing w:line="273" w:lineRule="auto" w:before="1" w:after="0"/>
              <w:ind w:left="278" w:right="377" w:hanging="171"/>
              <w:jc w:val="left"/>
              <w:rPr>
                <w:sz w:val="18"/>
              </w:rPr>
            </w:pPr>
            <w:r>
              <w:rPr>
                <w:sz w:val="18"/>
              </w:rPr>
              <w:t>What do you believe are the main factors that have helped the rollout of</w:t>
            </w:r>
            <w:r>
              <w:rPr>
                <w:spacing w:val="-47"/>
                <w:sz w:val="18"/>
              </w:rPr>
              <w:t> </w:t>
            </w:r>
            <w:r>
              <w:rPr>
                <w:sz w:val="18"/>
              </w:rPr>
              <w:t>HCH</w:t>
            </w:r>
            <w:r>
              <w:rPr>
                <w:spacing w:val="-1"/>
                <w:sz w:val="18"/>
              </w:rPr>
              <w:t> </w:t>
            </w:r>
            <w:r>
              <w:rPr>
                <w:sz w:val="18"/>
              </w:rPr>
              <w:t>amongst</w:t>
            </w:r>
            <w:r>
              <w:rPr>
                <w:spacing w:val="-3"/>
                <w:sz w:val="18"/>
              </w:rPr>
              <w:t> </w:t>
            </w:r>
            <w:r>
              <w:rPr>
                <w:sz w:val="18"/>
              </w:rPr>
              <w:t>the practices</w:t>
            </w:r>
            <w:r>
              <w:rPr>
                <w:spacing w:val="-4"/>
                <w:sz w:val="18"/>
              </w:rPr>
              <w:t> </w:t>
            </w:r>
            <w:r>
              <w:rPr>
                <w:sz w:val="18"/>
              </w:rPr>
              <w:t>in</w:t>
            </w:r>
            <w:r>
              <w:rPr>
                <w:spacing w:val="-3"/>
                <w:sz w:val="18"/>
              </w:rPr>
              <w:t> </w:t>
            </w:r>
            <w:r>
              <w:rPr>
                <w:sz w:val="18"/>
              </w:rPr>
              <w:t>your</w:t>
            </w:r>
            <w:r>
              <w:rPr>
                <w:spacing w:val="-1"/>
                <w:sz w:val="18"/>
              </w:rPr>
              <w:t> </w:t>
            </w:r>
            <w:r>
              <w:rPr>
                <w:sz w:val="18"/>
              </w:rPr>
              <w:t>region/</w:t>
            </w:r>
            <w:r>
              <w:rPr>
                <w:spacing w:val="-1"/>
                <w:sz w:val="18"/>
              </w:rPr>
              <w:t> </w:t>
            </w:r>
            <w:r>
              <w:rPr>
                <w:sz w:val="18"/>
              </w:rPr>
              <w:t>state/</w:t>
            </w:r>
            <w:r>
              <w:rPr>
                <w:spacing w:val="-1"/>
                <w:sz w:val="18"/>
              </w:rPr>
              <w:t> </w:t>
            </w:r>
            <w:r>
              <w:rPr>
                <w:sz w:val="18"/>
              </w:rPr>
              <w:t>territory?</w:t>
            </w:r>
          </w:p>
          <w:p>
            <w:pPr>
              <w:pStyle w:val="TableParagraph"/>
              <w:numPr>
                <w:ilvl w:val="0"/>
                <w:numId w:val="281"/>
              </w:numPr>
              <w:tabs>
                <w:tab w:pos="279" w:val="left" w:leader="none"/>
              </w:tabs>
              <w:spacing w:line="276" w:lineRule="auto" w:before="3" w:after="0"/>
              <w:ind w:left="278" w:right="396" w:hanging="171"/>
              <w:jc w:val="left"/>
              <w:rPr>
                <w:sz w:val="18"/>
              </w:rPr>
            </w:pPr>
            <w:r>
              <w:rPr>
                <w:sz w:val="18"/>
              </w:rPr>
              <w:t>What</w:t>
            </w:r>
            <w:r>
              <w:rPr>
                <w:spacing w:val="-2"/>
                <w:sz w:val="18"/>
              </w:rPr>
              <w:t> </w:t>
            </w:r>
            <w:r>
              <w:rPr>
                <w:sz w:val="18"/>
              </w:rPr>
              <w:t>do</w:t>
            </w:r>
            <w:r>
              <w:rPr>
                <w:spacing w:val="-3"/>
                <w:sz w:val="18"/>
              </w:rPr>
              <w:t> </w:t>
            </w:r>
            <w:r>
              <w:rPr>
                <w:sz w:val="18"/>
              </w:rPr>
              <w:t>you</w:t>
            </w:r>
            <w:r>
              <w:rPr>
                <w:spacing w:val="-3"/>
                <w:sz w:val="18"/>
              </w:rPr>
              <w:t> </w:t>
            </w:r>
            <w:r>
              <w:rPr>
                <w:sz w:val="18"/>
              </w:rPr>
              <w:t>believe</w:t>
            </w:r>
            <w:r>
              <w:rPr>
                <w:spacing w:val="-2"/>
                <w:sz w:val="18"/>
              </w:rPr>
              <w:t> </w:t>
            </w:r>
            <w:r>
              <w:rPr>
                <w:sz w:val="18"/>
              </w:rPr>
              <w:t>are</w:t>
            </w:r>
            <w:r>
              <w:rPr>
                <w:spacing w:val="-3"/>
                <w:sz w:val="18"/>
              </w:rPr>
              <w:t> </w:t>
            </w:r>
            <w:r>
              <w:rPr>
                <w:sz w:val="18"/>
              </w:rPr>
              <w:t>the</w:t>
            </w:r>
            <w:r>
              <w:rPr>
                <w:spacing w:val="-3"/>
                <w:sz w:val="18"/>
              </w:rPr>
              <w:t> </w:t>
            </w:r>
            <w:r>
              <w:rPr>
                <w:sz w:val="18"/>
              </w:rPr>
              <w:t>main</w:t>
            </w:r>
            <w:r>
              <w:rPr>
                <w:spacing w:val="-2"/>
                <w:sz w:val="18"/>
              </w:rPr>
              <w:t> </w:t>
            </w:r>
            <w:r>
              <w:rPr>
                <w:sz w:val="18"/>
              </w:rPr>
              <w:t>factors</w:t>
            </w:r>
            <w:r>
              <w:rPr>
                <w:spacing w:val="-4"/>
                <w:sz w:val="18"/>
              </w:rPr>
              <w:t> </w:t>
            </w:r>
            <w:r>
              <w:rPr>
                <w:sz w:val="18"/>
              </w:rPr>
              <w:t>that</w:t>
            </w:r>
            <w:r>
              <w:rPr>
                <w:spacing w:val="-5"/>
                <w:sz w:val="18"/>
              </w:rPr>
              <w:t> </w:t>
            </w:r>
            <w:r>
              <w:rPr>
                <w:sz w:val="18"/>
              </w:rPr>
              <w:t>have</w:t>
            </w:r>
            <w:r>
              <w:rPr>
                <w:spacing w:val="-2"/>
                <w:sz w:val="18"/>
              </w:rPr>
              <w:t> </w:t>
            </w:r>
            <w:r>
              <w:rPr>
                <w:sz w:val="18"/>
              </w:rPr>
              <w:t>caused</w:t>
            </w:r>
            <w:r>
              <w:rPr>
                <w:spacing w:val="-4"/>
                <w:sz w:val="18"/>
              </w:rPr>
              <w:t> </w:t>
            </w:r>
            <w:r>
              <w:rPr>
                <w:sz w:val="18"/>
              </w:rPr>
              <w:t>difficulties</w:t>
            </w:r>
            <w:r>
              <w:rPr>
                <w:spacing w:val="-5"/>
                <w:sz w:val="18"/>
              </w:rPr>
              <w:t> </w:t>
            </w:r>
            <w:r>
              <w:rPr>
                <w:sz w:val="18"/>
              </w:rPr>
              <w:t>in</w:t>
            </w:r>
            <w:r>
              <w:rPr>
                <w:spacing w:val="-47"/>
                <w:sz w:val="18"/>
              </w:rPr>
              <w:t> </w:t>
            </w:r>
            <w:r>
              <w:rPr>
                <w:sz w:val="18"/>
              </w:rPr>
              <w:t>rolling-out</w:t>
            </w:r>
            <w:r>
              <w:rPr>
                <w:spacing w:val="-4"/>
                <w:sz w:val="18"/>
              </w:rPr>
              <w:t> </w:t>
            </w:r>
            <w:r>
              <w:rPr>
                <w:sz w:val="18"/>
              </w:rPr>
              <w:t>HCH</w:t>
            </w:r>
            <w:r>
              <w:rPr>
                <w:spacing w:val="-2"/>
                <w:sz w:val="18"/>
              </w:rPr>
              <w:t> </w:t>
            </w:r>
            <w:r>
              <w:rPr>
                <w:sz w:val="18"/>
              </w:rPr>
              <w:t>amongst</w:t>
            </w:r>
            <w:r>
              <w:rPr>
                <w:spacing w:val="-3"/>
                <w:sz w:val="18"/>
              </w:rPr>
              <w:t> </w:t>
            </w:r>
            <w:r>
              <w:rPr>
                <w:sz w:val="18"/>
              </w:rPr>
              <w:t>practices</w:t>
            </w:r>
            <w:r>
              <w:rPr>
                <w:spacing w:val="-4"/>
                <w:sz w:val="18"/>
              </w:rPr>
              <w:t> </w:t>
            </w:r>
            <w:r>
              <w:rPr>
                <w:sz w:val="18"/>
              </w:rPr>
              <w:t>in</w:t>
            </w:r>
            <w:r>
              <w:rPr>
                <w:spacing w:val="-1"/>
                <w:sz w:val="18"/>
              </w:rPr>
              <w:t> </w:t>
            </w:r>
            <w:r>
              <w:rPr>
                <w:sz w:val="18"/>
              </w:rPr>
              <w:t>your</w:t>
            </w:r>
            <w:r>
              <w:rPr>
                <w:spacing w:val="-1"/>
                <w:sz w:val="18"/>
              </w:rPr>
              <w:t> </w:t>
            </w:r>
            <w:r>
              <w:rPr>
                <w:sz w:val="18"/>
              </w:rPr>
              <w:t>region/</w:t>
            </w:r>
            <w:r>
              <w:rPr>
                <w:spacing w:val="-3"/>
                <w:sz w:val="18"/>
              </w:rPr>
              <w:t> </w:t>
            </w:r>
            <w:r>
              <w:rPr>
                <w:sz w:val="18"/>
              </w:rPr>
              <w:t>state/</w:t>
            </w:r>
            <w:r>
              <w:rPr>
                <w:spacing w:val="-1"/>
                <w:sz w:val="18"/>
              </w:rPr>
              <w:t> </w:t>
            </w:r>
            <w:r>
              <w:rPr>
                <w:sz w:val="18"/>
              </w:rPr>
              <w:t>territory?</w:t>
            </w:r>
          </w:p>
        </w:tc>
      </w:tr>
      <w:tr>
        <w:trPr>
          <w:trHeight w:val="1641" w:hRule="atLeast"/>
        </w:trPr>
        <w:tc>
          <w:tcPr>
            <w:tcW w:w="1980" w:type="dxa"/>
          </w:tcPr>
          <w:p>
            <w:pPr>
              <w:pStyle w:val="TableParagraph"/>
              <w:spacing w:line="196" w:lineRule="exact"/>
              <w:ind w:left="107"/>
              <w:rPr>
                <w:sz w:val="16"/>
              </w:rPr>
            </w:pPr>
            <w:r>
              <w:rPr>
                <w:sz w:val="16"/>
              </w:rPr>
              <w:t>Practice</w:t>
            </w:r>
            <w:r>
              <w:rPr>
                <w:spacing w:val="-4"/>
                <w:sz w:val="16"/>
              </w:rPr>
              <w:t> </w:t>
            </w:r>
            <w:r>
              <w:rPr>
                <w:sz w:val="16"/>
              </w:rPr>
              <w:t>features</w:t>
            </w:r>
          </w:p>
        </w:tc>
        <w:tc>
          <w:tcPr>
            <w:tcW w:w="7038" w:type="dxa"/>
          </w:tcPr>
          <w:p>
            <w:pPr>
              <w:pStyle w:val="TableParagraph"/>
              <w:spacing w:line="196" w:lineRule="exact"/>
              <w:ind w:left="107"/>
              <w:rPr>
                <w:sz w:val="16"/>
              </w:rPr>
            </w:pPr>
            <w:r>
              <w:rPr>
                <w:sz w:val="16"/>
              </w:rPr>
              <w:t>For LHNs</w:t>
            </w:r>
            <w:r>
              <w:rPr>
                <w:spacing w:val="-3"/>
                <w:sz w:val="16"/>
              </w:rPr>
              <w:t> </w:t>
            </w:r>
            <w:r>
              <w:rPr>
                <w:sz w:val="16"/>
              </w:rPr>
              <w:t>only:</w:t>
            </w:r>
          </w:p>
          <w:p>
            <w:pPr>
              <w:pStyle w:val="TableParagraph"/>
              <w:spacing w:before="7"/>
              <w:rPr>
                <w:sz w:val="18"/>
              </w:rPr>
            </w:pPr>
          </w:p>
          <w:p>
            <w:pPr>
              <w:pStyle w:val="TableParagraph"/>
              <w:numPr>
                <w:ilvl w:val="0"/>
                <w:numId w:val="282"/>
              </w:numPr>
              <w:tabs>
                <w:tab w:pos="279" w:val="left" w:leader="none"/>
              </w:tabs>
              <w:spacing w:line="276" w:lineRule="auto" w:before="0" w:after="0"/>
              <w:ind w:left="278" w:right="494" w:hanging="171"/>
              <w:jc w:val="left"/>
              <w:rPr>
                <w:sz w:val="18"/>
              </w:rPr>
            </w:pPr>
            <w:r>
              <w:rPr>
                <w:sz w:val="18"/>
              </w:rPr>
              <w:t>Out</w:t>
            </w:r>
            <w:r>
              <w:rPr>
                <w:spacing w:val="-5"/>
                <w:sz w:val="18"/>
              </w:rPr>
              <w:t> </w:t>
            </w:r>
            <w:r>
              <w:rPr>
                <w:sz w:val="18"/>
              </w:rPr>
              <w:t>of</w:t>
            </w:r>
            <w:r>
              <w:rPr>
                <w:spacing w:val="-1"/>
                <w:sz w:val="18"/>
              </w:rPr>
              <w:t> </w:t>
            </w:r>
            <w:r>
              <w:rPr>
                <w:sz w:val="18"/>
              </w:rPr>
              <w:t>the</w:t>
            </w:r>
            <w:r>
              <w:rPr>
                <w:spacing w:val="-2"/>
                <w:sz w:val="18"/>
              </w:rPr>
              <w:t> </w:t>
            </w:r>
            <w:r>
              <w:rPr>
                <w:sz w:val="18"/>
              </w:rPr>
              <w:t>practices</w:t>
            </w:r>
            <w:r>
              <w:rPr>
                <w:spacing w:val="-3"/>
                <w:sz w:val="18"/>
              </w:rPr>
              <w:t> </w:t>
            </w:r>
            <w:r>
              <w:rPr>
                <w:sz w:val="18"/>
              </w:rPr>
              <w:t>within</w:t>
            </w:r>
            <w:r>
              <w:rPr>
                <w:spacing w:val="-2"/>
                <w:sz w:val="18"/>
              </w:rPr>
              <w:t> </w:t>
            </w:r>
            <w:r>
              <w:rPr>
                <w:sz w:val="18"/>
              </w:rPr>
              <w:t>your</w:t>
            </w:r>
            <w:r>
              <w:rPr>
                <w:spacing w:val="-2"/>
                <w:sz w:val="18"/>
              </w:rPr>
              <w:t> </w:t>
            </w:r>
            <w:r>
              <w:rPr>
                <w:sz w:val="18"/>
              </w:rPr>
              <w:t>region</w:t>
            </w:r>
            <w:r>
              <w:rPr>
                <w:spacing w:val="-6"/>
                <w:sz w:val="18"/>
              </w:rPr>
              <w:t> </w:t>
            </w:r>
            <w:r>
              <w:rPr>
                <w:sz w:val="18"/>
              </w:rPr>
              <w:t>implementing</w:t>
            </w:r>
            <w:r>
              <w:rPr>
                <w:spacing w:val="-4"/>
                <w:sz w:val="18"/>
              </w:rPr>
              <w:t> </w:t>
            </w:r>
            <w:r>
              <w:rPr>
                <w:sz w:val="18"/>
              </w:rPr>
              <w:t>HCH,</w:t>
            </w:r>
            <w:r>
              <w:rPr>
                <w:spacing w:val="-5"/>
                <w:sz w:val="18"/>
              </w:rPr>
              <w:t> </w:t>
            </w:r>
            <w:r>
              <w:rPr>
                <w:sz w:val="18"/>
              </w:rPr>
              <w:t>what</w:t>
            </w:r>
            <w:r>
              <w:rPr>
                <w:spacing w:val="-4"/>
                <w:sz w:val="18"/>
              </w:rPr>
              <w:t> </w:t>
            </w:r>
            <w:r>
              <w:rPr>
                <w:sz w:val="18"/>
              </w:rPr>
              <w:t>are</w:t>
            </w:r>
            <w:r>
              <w:rPr>
                <w:spacing w:val="-2"/>
                <w:sz w:val="18"/>
              </w:rPr>
              <w:t> </w:t>
            </w:r>
            <w:r>
              <w:rPr>
                <w:sz w:val="18"/>
              </w:rPr>
              <w:t>the</w:t>
            </w:r>
            <w:r>
              <w:rPr>
                <w:spacing w:val="-47"/>
                <w:sz w:val="18"/>
              </w:rPr>
              <w:t> </w:t>
            </w:r>
            <w:r>
              <w:rPr>
                <w:sz w:val="18"/>
              </w:rPr>
              <w:t>features of the practices that you would consider successful in</w:t>
            </w:r>
            <w:r>
              <w:rPr>
                <w:spacing w:val="1"/>
                <w:sz w:val="18"/>
              </w:rPr>
              <w:t> </w:t>
            </w:r>
            <w:r>
              <w:rPr>
                <w:sz w:val="18"/>
              </w:rPr>
              <w:t>implementing</w:t>
            </w:r>
            <w:r>
              <w:rPr>
                <w:spacing w:val="-4"/>
                <w:sz w:val="18"/>
              </w:rPr>
              <w:t> </w:t>
            </w:r>
            <w:r>
              <w:rPr>
                <w:sz w:val="18"/>
              </w:rPr>
              <w:t>HCH</w:t>
            </w:r>
            <w:r>
              <w:rPr>
                <w:spacing w:val="-2"/>
                <w:sz w:val="18"/>
              </w:rPr>
              <w:t> </w:t>
            </w:r>
            <w:r>
              <w:rPr>
                <w:sz w:val="18"/>
              </w:rPr>
              <w:t>and/</w:t>
            </w:r>
            <w:r>
              <w:rPr>
                <w:spacing w:val="2"/>
                <w:sz w:val="18"/>
              </w:rPr>
              <w:t> </w:t>
            </w:r>
            <w:r>
              <w:rPr>
                <w:sz w:val="18"/>
              </w:rPr>
              <w:t>or</w:t>
            </w:r>
            <w:r>
              <w:rPr>
                <w:spacing w:val="-3"/>
                <w:sz w:val="18"/>
              </w:rPr>
              <w:t> </w:t>
            </w:r>
            <w:r>
              <w:rPr>
                <w:sz w:val="18"/>
              </w:rPr>
              <w:t>achieving</w:t>
            </w:r>
            <w:r>
              <w:rPr>
                <w:spacing w:val="-3"/>
                <w:sz w:val="18"/>
              </w:rPr>
              <w:t> </w:t>
            </w:r>
            <w:r>
              <w:rPr>
                <w:sz w:val="18"/>
              </w:rPr>
              <w:t>the</w:t>
            </w:r>
            <w:r>
              <w:rPr>
                <w:spacing w:val="-1"/>
                <w:sz w:val="18"/>
              </w:rPr>
              <w:t> </w:t>
            </w:r>
            <w:r>
              <w:rPr>
                <w:sz w:val="18"/>
              </w:rPr>
              <w:t>aims</w:t>
            </w:r>
            <w:r>
              <w:rPr>
                <w:spacing w:val="-2"/>
                <w:sz w:val="18"/>
              </w:rPr>
              <w:t> </w:t>
            </w:r>
            <w:r>
              <w:rPr>
                <w:sz w:val="18"/>
              </w:rPr>
              <w:t>of</w:t>
            </w:r>
            <w:r>
              <w:rPr>
                <w:spacing w:val="-1"/>
                <w:sz w:val="18"/>
              </w:rPr>
              <w:t> </w:t>
            </w:r>
            <w:r>
              <w:rPr>
                <w:sz w:val="18"/>
              </w:rPr>
              <w:t>the</w:t>
            </w:r>
            <w:r>
              <w:rPr>
                <w:spacing w:val="-1"/>
                <w:sz w:val="18"/>
              </w:rPr>
              <w:t> </w:t>
            </w:r>
            <w:r>
              <w:rPr>
                <w:sz w:val="18"/>
              </w:rPr>
              <w:t>program?</w:t>
            </w:r>
          </w:p>
          <w:p>
            <w:pPr>
              <w:pStyle w:val="TableParagraph"/>
              <w:numPr>
                <w:ilvl w:val="0"/>
                <w:numId w:val="282"/>
              </w:numPr>
              <w:tabs>
                <w:tab w:pos="279" w:val="left" w:leader="none"/>
              </w:tabs>
              <w:spacing w:line="240" w:lineRule="auto" w:before="2" w:after="0"/>
              <w:ind w:left="278" w:right="0" w:hanging="172"/>
              <w:jc w:val="left"/>
              <w:rPr>
                <w:sz w:val="18"/>
              </w:rPr>
            </w:pPr>
            <w:r>
              <w:rPr>
                <w:sz w:val="18"/>
              </w:rPr>
              <w:t>What</w:t>
            </w:r>
            <w:r>
              <w:rPr>
                <w:spacing w:val="-5"/>
                <w:sz w:val="18"/>
              </w:rPr>
              <w:t> </w:t>
            </w:r>
            <w:r>
              <w:rPr>
                <w:sz w:val="18"/>
              </w:rPr>
              <w:t>are</w:t>
            </w:r>
            <w:r>
              <w:rPr>
                <w:spacing w:val="-2"/>
                <w:sz w:val="18"/>
              </w:rPr>
              <w:t> </w:t>
            </w:r>
            <w:r>
              <w:rPr>
                <w:sz w:val="18"/>
              </w:rPr>
              <w:t>the</w:t>
            </w:r>
            <w:r>
              <w:rPr>
                <w:spacing w:val="-2"/>
                <w:sz w:val="18"/>
              </w:rPr>
              <w:t> </w:t>
            </w:r>
            <w:r>
              <w:rPr>
                <w:sz w:val="18"/>
              </w:rPr>
              <w:t>features</w:t>
            </w:r>
            <w:r>
              <w:rPr>
                <w:spacing w:val="-3"/>
                <w:sz w:val="18"/>
              </w:rPr>
              <w:t> </w:t>
            </w:r>
            <w:r>
              <w:rPr>
                <w:sz w:val="18"/>
              </w:rPr>
              <w:t>of</w:t>
            </w:r>
            <w:r>
              <w:rPr>
                <w:spacing w:val="-4"/>
                <w:sz w:val="18"/>
              </w:rPr>
              <w:t> </w:t>
            </w:r>
            <w:r>
              <w:rPr>
                <w:sz w:val="18"/>
              </w:rPr>
              <w:t>the</w:t>
            </w:r>
            <w:r>
              <w:rPr>
                <w:spacing w:val="-3"/>
                <w:sz w:val="18"/>
              </w:rPr>
              <w:t> </w:t>
            </w:r>
            <w:r>
              <w:rPr>
                <w:sz w:val="18"/>
              </w:rPr>
              <w:t>practices</w:t>
            </w:r>
            <w:r>
              <w:rPr>
                <w:spacing w:val="-3"/>
                <w:sz w:val="18"/>
              </w:rPr>
              <w:t> </w:t>
            </w:r>
            <w:r>
              <w:rPr>
                <w:sz w:val="18"/>
              </w:rPr>
              <w:t>that</w:t>
            </w:r>
            <w:r>
              <w:rPr>
                <w:spacing w:val="-4"/>
                <w:sz w:val="18"/>
              </w:rPr>
              <w:t> </w:t>
            </w:r>
            <w:r>
              <w:rPr>
                <w:sz w:val="18"/>
              </w:rPr>
              <w:t>you</w:t>
            </w:r>
            <w:r>
              <w:rPr>
                <w:spacing w:val="-4"/>
                <w:sz w:val="18"/>
              </w:rPr>
              <w:t> </w:t>
            </w:r>
            <w:r>
              <w:rPr>
                <w:sz w:val="18"/>
              </w:rPr>
              <w:t>consider</w:t>
            </w:r>
            <w:r>
              <w:rPr>
                <w:spacing w:val="-2"/>
                <w:sz w:val="18"/>
              </w:rPr>
              <w:t> </w:t>
            </w:r>
            <w:r>
              <w:rPr>
                <w:sz w:val="18"/>
              </w:rPr>
              <w:t>not</w:t>
            </w:r>
            <w:r>
              <w:rPr>
                <w:spacing w:val="-5"/>
                <w:sz w:val="18"/>
              </w:rPr>
              <w:t> </w:t>
            </w:r>
            <w:r>
              <w:rPr>
                <w:sz w:val="18"/>
              </w:rPr>
              <w:t>as</w:t>
            </w:r>
            <w:r>
              <w:rPr>
                <w:spacing w:val="-3"/>
                <w:sz w:val="18"/>
              </w:rPr>
              <w:t> </w:t>
            </w:r>
            <w:r>
              <w:rPr>
                <w:sz w:val="18"/>
              </w:rPr>
              <w:t>successful?</w:t>
            </w:r>
          </w:p>
        </w:tc>
      </w:tr>
      <w:tr>
        <w:trPr>
          <w:trHeight w:val="707" w:hRule="atLeast"/>
        </w:trPr>
        <w:tc>
          <w:tcPr>
            <w:tcW w:w="1980" w:type="dxa"/>
          </w:tcPr>
          <w:p>
            <w:pPr>
              <w:pStyle w:val="TableParagraph"/>
              <w:spacing w:line="276" w:lineRule="auto"/>
              <w:ind w:left="107" w:right="473"/>
              <w:rPr>
                <w:sz w:val="16"/>
              </w:rPr>
            </w:pPr>
            <w:r>
              <w:rPr>
                <w:sz w:val="16"/>
              </w:rPr>
              <w:t>Future</w:t>
            </w:r>
            <w:r>
              <w:rPr>
                <w:spacing w:val="1"/>
                <w:sz w:val="16"/>
              </w:rPr>
              <w:t> </w:t>
            </w:r>
            <w:r>
              <w:rPr>
                <w:sz w:val="16"/>
              </w:rPr>
              <w:t>recommendation</w:t>
            </w:r>
          </w:p>
        </w:tc>
        <w:tc>
          <w:tcPr>
            <w:tcW w:w="7038" w:type="dxa"/>
          </w:tcPr>
          <w:p>
            <w:pPr>
              <w:pStyle w:val="TableParagraph"/>
              <w:numPr>
                <w:ilvl w:val="0"/>
                <w:numId w:val="283"/>
              </w:numPr>
              <w:tabs>
                <w:tab w:pos="279" w:val="left" w:leader="none"/>
              </w:tabs>
              <w:spacing w:line="276" w:lineRule="auto" w:before="0" w:after="0"/>
              <w:ind w:left="278" w:right="156" w:hanging="171"/>
              <w:jc w:val="left"/>
              <w:rPr>
                <w:sz w:val="18"/>
              </w:rPr>
            </w:pPr>
            <w:r>
              <w:rPr>
                <w:sz w:val="18"/>
              </w:rPr>
              <w:t>(</w:t>
            </w:r>
            <w:r>
              <w:rPr>
                <w:b/>
                <w:sz w:val="18"/>
              </w:rPr>
              <w:t>R4/R5</w:t>
            </w:r>
            <w:r>
              <w:rPr>
                <w:sz w:val="18"/>
              </w:rPr>
              <w:t>) Would you recommend further rollout of HCH beyond the trial? If so,</w:t>
            </w:r>
            <w:r>
              <w:rPr>
                <w:spacing w:val="-47"/>
                <w:sz w:val="18"/>
              </w:rPr>
              <w:t> </w:t>
            </w:r>
            <w:r>
              <w:rPr>
                <w:sz w:val="18"/>
              </w:rPr>
              <w:t>what</w:t>
            </w:r>
            <w:r>
              <w:rPr>
                <w:spacing w:val="-3"/>
                <w:sz w:val="18"/>
              </w:rPr>
              <w:t> </w:t>
            </w:r>
            <w:r>
              <w:rPr>
                <w:sz w:val="18"/>
              </w:rPr>
              <w:t>would</w:t>
            </w:r>
            <w:r>
              <w:rPr>
                <w:spacing w:val="-1"/>
                <w:sz w:val="18"/>
              </w:rPr>
              <w:t> </w:t>
            </w:r>
            <w:r>
              <w:rPr>
                <w:sz w:val="18"/>
              </w:rPr>
              <w:t>the program</w:t>
            </w:r>
            <w:r>
              <w:rPr>
                <w:spacing w:val="-4"/>
                <w:sz w:val="18"/>
              </w:rPr>
              <w:t> </w:t>
            </w:r>
            <w:r>
              <w:rPr>
                <w:sz w:val="18"/>
              </w:rPr>
              <w:t>look like?</w:t>
            </w:r>
            <w:r>
              <w:rPr>
                <w:spacing w:val="-3"/>
                <w:sz w:val="18"/>
              </w:rPr>
              <w:t> </w:t>
            </w:r>
            <w:r>
              <w:rPr>
                <w:sz w:val="18"/>
              </w:rPr>
              <w:t>If</w:t>
            </w:r>
            <w:r>
              <w:rPr>
                <w:spacing w:val="1"/>
                <w:sz w:val="18"/>
              </w:rPr>
              <w:t> </w:t>
            </w:r>
            <w:r>
              <w:rPr>
                <w:sz w:val="18"/>
              </w:rPr>
              <w:t>not,</w:t>
            </w:r>
            <w:r>
              <w:rPr>
                <w:spacing w:val="-2"/>
                <w:sz w:val="18"/>
              </w:rPr>
              <w:t> </w:t>
            </w:r>
            <w:r>
              <w:rPr>
                <w:sz w:val="18"/>
              </w:rPr>
              <w:t>why not?</w:t>
            </w:r>
          </w:p>
        </w:tc>
      </w:tr>
      <w:tr>
        <w:trPr>
          <w:trHeight w:val="707" w:hRule="atLeast"/>
        </w:trPr>
        <w:tc>
          <w:tcPr>
            <w:tcW w:w="1980" w:type="dxa"/>
          </w:tcPr>
          <w:p>
            <w:pPr>
              <w:pStyle w:val="TableParagraph"/>
              <w:spacing w:line="196" w:lineRule="exact"/>
              <w:ind w:left="107"/>
              <w:rPr>
                <w:sz w:val="16"/>
              </w:rPr>
            </w:pPr>
            <w:r>
              <w:rPr>
                <w:sz w:val="16"/>
              </w:rPr>
              <w:t>Anything</w:t>
            </w:r>
            <w:r>
              <w:rPr>
                <w:spacing w:val="-3"/>
                <w:sz w:val="16"/>
              </w:rPr>
              <w:t> </w:t>
            </w:r>
            <w:r>
              <w:rPr>
                <w:sz w:val="16"/>
              </w:rPr>
              <w:t>else?</w:t>
            </w:r>
          </w:p>
        </w:tc>
        <w:tc>
          <w:tcPr>
            <w:tcW w:w="7038" w:type="dxa"/>
          </w:tcPr>
          <w:p>
            <w:pPr>
              <w:pStyle w:val="TableParagraph"/>
              <w:numPr>
                <w:ilvl w:val="0"/>
                <w:numId w:val="284"/>
              </w:numPr>
              <w:tabs>
                <w:tab w:pos="279" w:val="left" w:leader="none"/>
              </w:tabs>
              <w:spacing w:line="219" w:lineRule="exact" w:before="0" w:after="0"/>
              <w:ind w:left="278" w:right="0" w:hanging="172"/>
              <w:jc w:val="left"/>
              <w:rPr>
                <w:sz w:val="18"/>
              </w:rPr>
            </w:pPr>
            <w:r>
              <w:rPr>
                <w:sz w:val="18"/>
              </w:rPr>
              <w:t>Is</w:t>
            </w:r>
            <w:r>
              <w:rPr>
                <w:spacing w:val="-3"/>
                <w:sz w:val="18"/>
              </w:rPr>
              <w:t> </w:t>
            </w:r>
            <w:r>
              <w:rPr>
                <w:sz w:val="18"/>
              </w:rPr>
              <w:t>there</w:t>
            </w:r>
            <w:r>
              <w:rPr>
                <w:spacing w:val="-2"/>
                <w:sz w:val="18"/>
              </w:rPr>
              <w:t> </w:t>
            </w:r>
            <w:r>
              <w:rPr>
                <w:sz w:val="18"/>
              </w:rPr>
              <w:t>anything</w:t>
            </w:r>
            <w:r>
              <w:rPr>
                <w:spacing w:val="-4"/>
                <w:sz w:val="18"/>
              </w:rPr>
              <w:t> </w:t>
            </w:r>
            <w:r>
              <w:rPr>
                <w:sz w:val="18"/>
              </w:rPr>
              <w:t>else</w:t>
            </w:r>
            <w:r>
              <w:rPr>
                <w:spacing w:val="-2"/>
                <w:sz w:val="18"/>
              </w:rPr>
              <w:t> </w:t>
            </w:r>
            <w:r>
              <w:rPr>
                <w:sz w:val="18"/>
              </w:rPr>
              <w:t>that</w:t>
            </w:r>
            <w:r>
              <w:rPr>
                <w:spacing w:val="-4"/>
                <w:sz w:val="18"/>
              </w:rPr>
              <w:t> </w:t>
            </w:r>
            <w:r>
              <w:rPr>
                <w:sz w:val="18"/>
              </w:rPr>
              <w:t>we</w:t>
            </w:r>
            <w:r>
              <w:rPr>
                <w:spacing w:val="-2"/>
                <w:sz w:val="18"/>
              </w:rPr>
              <w:t> </w:t>
            </w:r>
            <w:r>
              <w:rPr>
                <w:sz w:val="18"/>
              </w:rPr>
              <w:t>haven’t</w:t>
            </w:r>
            <w:r>
              <w:rPr>
                <w:spacing w:val="-4"/>
                <w:sz w:val="18"/>
              </w:rPr>
              <w:t> </w:t>
            </w:r>
            <w:r>
              <w:rPr>
                <w:sz w:val="18"/>
              </w:rPr>
              <w:t>discussed</w:t>
            </w:r>
            <w:r>
              <w:rPr>
                <w:spacing w:val="-3"/>
                <w:sz w:val="18"/>
              </w:rPr>
              <w:t> </w:t>
            </w:r>
            <w:r>
              <w:rPr>
                <w:sz w:val="18"/>
              </w:rPr>
              <w:t>that</w:t>
            </w:r>
            <w:r>
              <w:rPr>
                <w:spacing w:val="-4"/>
                <w:sz w:val="18"/>
              </w:rPr>
              <w:t> </w:t>
            </w:r>
            <w:r>
              <w:rPr>
                <w:sz w:val="18"/>
              </w:rPr>
              <w:t>you</w:t>
            </w:r>
            <w:r>
              <w:rPr>
                <w:spacing w:val="-2"/>
                <w:sz w:val="18"/>
              </w:rPr>
              <w:t> </w:t>
            </w:r>
            <w:r>
              <w:rPr>
                <w:sz w:val="18"/>
              </w:rPr>
              <w:t>would</w:t>
            </w:r>
            <w:r>
              <w:rPr>
                <w:spacing w:val="-3"/>
                <w:sz w:val="18"/>
              </w:rPr>
              <w:t> </w:t>
            </w:r>
            <w:r>
              <w:rPr>
                <w:sz w:val="18"/>
              </w:rPr>
              <w:t>like</w:t>
            </w:r>
            <w:r>
              <w:rPr>
                <w:spacing w:val="-2"/>
                <w:sz w:val="18"/>
              </w:rPr>
              <w:t> </w:t>
            </w:r>
            <w:r>
              <w:rPr>
                <w:sz w:val="18"/>
              </w:rPr>
              <w:t>to</w:t>
            </w:r>
          </w:p>
          <w:p>
            <w:pPr>
              <w:pStyle w:val="TableParagraph"/>
              <w:spacing w:before="33"/>
              <w:ind w:left="278"/>
              <w:rPr>
                <w:sz w:val="18"/>
              </w:rPr>
            </w:pPr>
            <w:r>
              <w:rPr>
                <w:sz w:val="18"/>
              </w:rPr>
              <w:t>mention?</w:t>
            </w:r>
          </w:p>
        </w:tc>
      </w:tr>
    </w:tbl>
    <w:p>
      <w:pPr>
        <w:spacing w:after="0"/>
        <w:rPr>
          <w:sz w:val="18"/>
        </w:rPr>
        <w:sectPr>
          <w:type w:val="continuous"/>
          <w:pgSz w:w="11910" w:h="16840"/>
          <w:pgMar w:header="0" w:footer="948" w:top="1420" w:bottom="1140" w:left="30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2"/>
        </w:rPr>
      </w:pPr>
    </w:p>
    <w:p>
      <w:pPr>
        <w:pStyle w:val="BodyText"/>
        <w:spacing w:line="276" w:lineRule="auto"/>
        <w:ind w:left="1140" w:right="1378"/>
      </w:pPr>
      <w:r>
        <w:rPr/>
        <w:pict>
          <v:group style="position:absolute;margin-left:20.164064pt;margin-top:-124.511391pt;width:575.050pt;height:114.55pt;mso-position-horizontal-relative:page;mso-position-vertical-relative:paragraph;z-index:16188416" id="docshapegroup331" coordorigin="403,-2490" coordsize="11501,2291">
            <v:shape style="position:absolute;left:403;top:-2491;width:11501;height:1614" type="#_x0000_t75" id="docshape332" stroked="false">
              <v:imagedata r:id="rId32" o:title=""/>
            </v:shape>
            <v:shape style="position:absolute;left:403;top:-2491;width:11501;height:2291" type="#_x0000_t202" id="docshape333" filled="false" stroked="false">
              <v:textbox inset="0,0,0,0">
                <w:txbxContent>
                  <w:p>
                    <w:pPr>
                      <w:spacing w:line="240" w:lineRule="auto" w:before="10"/>
                      <w:rPr>
                        <w:sz w:val="114"/>
                      </w:rPr>
                    </w:pPr>
                  </w:p>
                  <w:p>
                    <w:pPr>
                      <w:spacing w:before="0"/>
                      <w:ind w:left="1037" w:right="0" w:firstLine="0"/>
                      <w:jc w:val="left"/>
                      <w:rPr>
                        <w:sz w:val="72"/>
                      </w:rPr>
                    </w:pPr>
                    <w:r>
                      <w:rPr>
                        <w:color w:val="003C79"/>
                        <w:sz w:val="72"/>
                      </w:rPr>
                      <w:t>References</w:t>
                    </w:r>
                  </w:p>
                </w:txbxContent>
              </v:textbox>
              <w10:wrap type="none"/>
            </v:shape>
            <w10:wrap type="none"/>
          </v:group>
        </w:pict>
      </w:r>
      <w:bookmarkStart w:name="_bookmark97" w:id="98"/>
      <w:bookmarkEnd w:id="98"/>
      <w:r>
        <w:rPr/>
      </w:r>
      <w:bookmarkStart w:name="_bookmark98" w:id="99"/>
      <w:bookmarkEnd w:id="99"/>
      <w:r>
        <w:rPr/>
      </w:r>
      <w:r>
        <w:rPr/>
        <w:t>Agency</w:t>
      </w:r>
      <w:r>
        <w:rPr>
          <w:spacing w:val="-4"/>
        </w:rPr>
        <w:t> </w:t>
      </w:r>
      <w:r>
        <w:rPr/>
        <w:t>for</w:t>
      </w:r>
      <w:r>
        <w:rPr>
          <w:spacing w:val="-4"/>
        </w:rPr>
        <w:t> </w:t>
      </w:r>
      <w:r>
        <w:rPr/>
        <w:t>Healthcare</w:t>
      </w:r>
      <w:r>
        <w:rPr>
          <w:spacing w:val="-2"/>
        </w:rPr>
        <w:t> </w:t>
      </w:r>
      <w:r>
        <w:rPr/>
        <w:t>Research</w:t>
      </w:r>
      <w:r>
        <w:rPr>
          <w:spacing w:val="-4"/>
        </w:rPr>
        <w:t> </w:t>
      </w:r>
      <w:r>
        <w:rPr/>
        <w:t>and</w:t>
      </w:r>
      <w:r>
        <w:rPr>
          <w:spacing w:val="-4"/>
        </w:rPr>
        <w:t> </w:t>
      </w:r>
      <w:r>
        <w:rPr/>
        <w:t>Quality,</w:t>
      </w:r>
      <w:r>
        <w:rPr>
          <w:spacing w:val="-6"/>
        </w:rPr>
        <w:t> </w:t>
      </w:r>
      <w:r>
        <w:rPr/>
        <w:t>2015.</w:t>
      </w:r>
      <w:r>
        <w:rPr>
          <w:spacing w:val="-5"/>
        </w:rPr>
        <w:t> </w:t>
      </w:r>
      <w:r>
        <w:rPr/>
        <w:t>CAHPS®</w:t>
      </w:r>
      <w:r>
        <w:rPr>
          <w:spacing w:val="-2"/>
        </w:rPr>
        <w:t> </w:t>
      </w:r>
      <w:r>
        <w:rPr/>
        <w:t>Clinician</w:t>
      </w:r>
      <w:r>
        <w:rPr>
          <w:spacing w:val="-4"/>
        </w:rPr>
        <w:t> </w:t>
      </w:r>
      <w:r>
        <w:rPr/>
        <w:t>&amp;</w:t>
      </w:r>
      <w:r>
        <w:rPr>
          <w:spacing w:val="-4"/>
        </w:rPr>
        <w:t> </w:t>
      </w:r>
      <w:r>
        <w:rPr/>
        <w:t>Group</w:t>
      </w:r>
      <w:r>
        <w:rPr>
          <w:spacing w:val="-2"/>
        </w:rPr>
        <w:t> </w:t>
      </w:r>
      <w:r>
        <w:rPr/>
        <w:t>Survey:</w:t>
      </w:r>
      <w:r>
        <w:rPr>
          <w:spacing w:val="-52"/>
        </w:rPr>
        <w:t> </w:t>
      </w:r>
      <w:r>
        <w:rPr/>
        <w:t>Overview</w:t>
      </w:r>
      <w:r>
        <w:rPr>
          <w:spacing w:val="1"/>
        </w:rPr>
        <w:t> </w:t>
      </w:r>
      <w:r>
        <w:rPr/>
        <w:t>of</w:t>
      </w:r>
      <w:r>
        <w:rPr>
          <w:spacing w:val="-1"/>
        </w:rPr>
        <w:t> </w:t>
      </w:r>
      <w:r>
        <w:rPr/>
        <w:t>the</w:t>
      </w:r>
      <w:r>
        <w:rPr>
          <w:spacing w:val="-1"/>
        </w:rPr>
        <w:t> </w:t>
      </w:r>
      <w:r>
        <w:rPr/>
        <w:t>Questionnaires.</w:t>
      </w:r>
      <w:r>
        <w:rPr>
          <w:spacing w:val="1"/>
        </w:rPr>
        <w:t> </w:t>
      </w:r>
      <w:r>
        <w:rPr/>
        <w:t>AHRQ.</w:t>
      </w:r>
    </w:p>
    <w:p>
      <w:pPr>
        <w:pStyle w:val="BodyText"/>
        <w:spacing w:line="276" w:lineRule="auto" w:before="120"/>
        <w:ind w:left="1140" w:right="1103"/>
      </w:pPr>
      <w:bookmarkStart w:name="_bookmark99" w:id="100"/>
      <w:bookmarkEnd w:id="100"/>
      <w:r>
        <w:rPr/>
      </w:r>
      <w:r>
        <w:rPr/>
        <w:t>Agency</w:t>
      </w:r>
      <w:r>
        <w:rPr>
          <w:spacing w:val="-4"/>
        </w:rPr>
        <w:t> </w:t>
      </w:r>
      <w:r>
        <w:rPr/>
        <w:t>for</w:t>
      </w:r>
      <w:r>
        <w:rPr>
          <w:spacing w:val="-4"/>
        </w:rPr>
        <w:t> </w:t>
      </w:r>
      <w:r>
        <w:rPr/>
        <w:t>Healthcare</w:t>
      </w:r>
      <w:r>
        <w:rPr>
          <w:spacing w:val="-4"/>
        </w:rPr>
        <w:t> </w:t>
      </w:r>
      <w:r>
        <w:rPr/>
        <w:t>Research</w:t>
      </w:r>
      <w:r>
        <w:rPr>
          <w:spacing w:val="-3"/>
        </w:rPr>
        <w:t> </w:t>
      </w:r>
      <w:r>
        <w:rPr/>
        <w:t>and</w:t>
      </w:r>
      <w:r>
        <w:rPr>
          <w:spacing w:val="-4"/>
        </w:rPr>
        <w:t> </w:t>
      </w:r>
      <w:r>
        <w:rPr/>
        <w:t>Quality,</w:t>
      </w:r>
      <w:r>
        <w:rPr>
          <w:spacing w:val="-6"/>
        </w:rPr>
        <w:t> </w:t>
      </w:r>
      <w:r>
        <w:rPr/>
        <w:t>2016.</w:t>
      </w:r>
      <w:r>
        <w:rPr>
          <w:spacing w:val="-4"/>
        </w:rPr>
        <w:t> </w:t>
      </w:r>
      <w:r>
        <w:rPr/>
        <w:t>Care</w:t>
      </w:r>
      <w:r>
        <w:rPr>
          <w:spacing w:val="-2"/>
        </w:rPr>
        <w:t> </w:t>
      </w:r>
      <w:r>
        <w:rPr/>
        <w:t>Coordination</w:t>
      </w:r>
      <w:r>
        <w:rPr>
          <w:spacing w:val="-3"/>
        </w:rPr>
        <w:t> </w:t>
      </w:r>
      <w:r>
        <w:rPr/>
        <w:t>Quality</w:t>
      </w:r>
      <w:r>
        <w:rPr>
          <w:spacing w:val="-5"/>
        </w:rPr>
        <w:t> </w:t>
      </w:r>
      <w:r>
        <w:rPr/>
        <w:t>Measure</w:t>
      </w:r>
      <w:r>
        <w:rPr>
          <w:spacing w:val="-4"/>
        </w:rPr>
        <w:t> </w:t>
      </w:r>
      <w:r>
        <w:rPr/>
        <w:t>for</w:t>
      </w:r>
      <w:r>
        <w:rPr>
          <w:spacing w:val="-52"/>
        </w:rPr>
        <w:t> </w:t>
      </w:r>
      <w:r>
        <w:rPr/>
        <w:t>Primary</w:t>
      </w:r>
      <w:r>
        <w:rPr>
          <w:spacing w:val="-1"/>
        </w:rPr>
        <w:t> </w:t>
      </w:r>
      <w:r>
        <w:rPr/>
        <w:t>Care</w:t>
      </w:r>
      <w:r>
        <w:rPr>
          <w:spacing w:val="2"/>
        </w:rPr>
        <w:t> </w:t>
      </w:r>
      <w:r>
        <w:rPr/>
        <w:t>(CCQM-PC).</w:t>
      </w:r>
      <w:r>
        <w:rPr>
          <w:spacing w:val="2"/>
        </w:rPr>
        <w:t> </w:t>
      </w:r>
      <w:r>
        <w:rPr/>
        <w:t>AHRQ.</w:t>
      </w:r>
    </w:p>
    <w:p>
      <w:pPr>
        <w:pStyle w:val="BodyText"/>
        <w:spacing w:line="276" w:lineRule="auto" w:before="120"/>
        <w:ind w:left="1140" w:right="1447"/>
      </w:pPr>
      <w:bookmarkStart w:name="_bookmark100" w:id="101"/>
      <w:bookmarkEnd w:id="101"/>
      <w:r>
        <w:rPr/>
      </w:r>
      <w:r>
        <w:rPr/>
        <w:t>Altavela, J.L., Jones, M.K., Ritter, M., 2008. A prospective trial of a clinical pharmacy</w:t>
      </w:r>
      <w:r>
        <w:rPr>
          <w:spacing w:val="1"/>
        </w:rPr>
        <w:t> </w:t>
      </w:r>
      <w:r>
        <w:rPr/>
        <w:t>intervention</w:t>
      </w:r>
      <w:r>
        <w:rPr>
          <w:spacing w:val="-3"/>
        </w:rPr>
        <w:t> </w:t>
      </w:r>
      <w:r>
        <w:rPr/>
        <w:t>in</w:t>
      </w:r>
      <w:r>
        <w:rPr>
          <w:spacing w:val="-3"/>
        </w:rPr>
        <w:t> </w:t>
      </w:r>
      <w:r>
        <w:rPr/>
        <w:t>a</w:t>
      </w:r>
      <w:r>
        <w:rPr>
          <w:spacing w:val="-2"/>
        </w:rPr>
        <w:t> </w:t>
      </w:r>
      <w:r>
        <w:rPr/>
        <w:t>primary</w:t>
      </w:r>
      <w:r>
        <w:rPr>
          <w:spacing w:val="-5"/>
        </w:rPr>
        <w:t> </w:t>
      </w:r>
      <w:r>
        <w:rPr/>
        <w:t>care</w:t>
      </w:r>
      <w:r>
        <w:rPr>
          <w:spacing w:val="-3"/>
        </w:rPr>
        <w:t> </w:t>
      </w:r>
      <w:r>
        <w:rPr/>
        <w:t>practice</w:t>
      </w:r>
      <w:r>
        <w:rPr>
          <w:spacing w:val="-4"/>
        </w:rPr>
        <w:t> </w:t>
      </w:r>
      <w:r>
        <w:rPr/>
        <w:t>in</w:t>
      </w:r>
      <w:r>
        <w:rPr>
          <w:spacing w:val="-2"/>
        </w:rPr>
        <w:t> </w:t>
      </w:r>
      <w:r>
        <w:rPr/>
        <w:t>a</w:t>
      </w:r>
      <w:r>
        <w:rPr>
          <w:spacing w:val="-3"/>
        </w:rPr>
        <w:t> </w:t>
      </w:r>
      <w:r>
        <w:rPr/>
        <w:t>capitated</w:t>
      </w:r>
      <w:r>
        <w:rPr>
          <w:spacing w:val="-3"/>
        </w:rPr>
        <w:t> </w:t>
      </w:r>
      <w:r>
        <w:rPr/>
        <w:t>payment</w:t>
      </w:r>
      <w:r>
        <w:rPr>
          <w:spacing w:val="-2"/>
        </w:rPr>
        <w:t> </w:t>
      </w:r>
      <w:r>
        <w:rPr/>
        <w:t>system.</w:t>
      </w:r>
      <w:r>
        <w:rPr>
          <w:spacing w:val="-5"/>
        </w:rPr>
        <w:t> </w:t>
      </w:r>
      <w:r>
        <w:rPr/>
        <w:t>J</w:t>
      </w:r>
      <w:r>
        <w:rPr>
          <w:spacing w:val="-4"/>
        </w:rPr>
        <w:t> </w:t>
      </w:r>
      <w:r>
        <w:rPr/>
        <w:t>Manag</w:t>
      </w:r>
      <w:r>
        <w:rPr>
          <w:spacing w:val="-3"/>
        </w:rPr>
        <w:t> </w:t>
      </w:r>
      <w:r>
        <w:rPr/>
        <w:t>Care</w:t>
      </w:r>
      <w:r>
        <w:rPr>
          <w:spacing w:val="-4"/>
        </w:rPr>
        <w:t> </w:t>
      </w:r>
      <w:r>
        <w:rPr/>
        <w:t>Pharm</w:t>
      </w:r>
      <w:r>
        <w:rPr>
          <w:spacing w:val="-52"/>
        </w:rPr>
        <w:t> </w:t>
      </w:r>
      <w:r>
        <w:rPr/>
        <w:t>14:831-43.</w:t>
      </w:r>
    </w:p>
    <w:p>
      <w:pPr>
        <w:pStyle w:val="BodyText"/>
        <w:spacing w:line="276" w:lineRule="auto" w:before="122"/>
        <w:ind w:left="1140" w:right="1822"/>
        <w:jc w:val="both"/>
      </w:pPr>
      <w:bookmarkStart w:name="_bookmark101" w:id="102"/>
      <w:bookmarkEnd w:id="102"/>
      <w:r>
        <w:rPr/>
      </w:r>
      <w:r>
        <w:rPr/>
        <w:t>American Geriatrics Society Beers Criteria Update Expert Panel, 2015. American Geriatrics</w:t>
      </w:r>
      <w:r>
        <w:rPr>
          <w:spacing w:val="-54"/>
        </w:rPr>
        <w:t> </w:t>
      </w:r>
      <w:r>
        <w:rPr/>
        <w:t>Society 2015 Updated Beers Criteria for Potentially Inappropriate Medication Use in Older</w:t>
      </w:r>
      <w:r>
        <w:rPr>
          <w:spacing w:val="-53"/>
        </w:rPr>
        <w:t> </w:t>
      </w:r>
      <w:r>
        <w:rPr/>
        <w:t>Adults.</w:t>
      </w:r>
      <w:r>
        <w:rPr>
          <w:spacing w:val="-4"/>
        </w:rPr>
        <w:t> </w:t>
      </w:r>
      <w:r>
        <w:rPr/>
        <w:t>Journal of</w:t>
      </w:r>
      <w:r>
        <w:rPr>
          <w:spacing w:val="-2"/>
        </w:rPr>
        <w:t> </w:t>
      </w:r>
      <w:r>
        <w:rPr/>
        <w:t>the</w:t>
      </w:r>
      <w:r>
        <w:rPr>
          <w:spacing w:val="2"/>
        </w:rPr>
        <w:t> </w:t>
      </w:r>
      <w:r>
        <w:rPr/>
        <w:t>American Geriatrics</w:t>
      </w:r>
      <w:r>
        <w:rPr>
          <w:spacing w:val="-2"/>
        </w:rPr>
        <w:t> </w:t>
      </w:r>
      <w:r>
        <w:rPr/>
        <w:t>Society</w:t>
      </w:r>
      <w:r>
        <w:rPr>
          <w:spacing w:val="-2"/>
        </w:rPr>
        <w:t> </w:t>
      </w:r>
      <w:r>
        <w:rPr/>
        <w:t>63:2227-46.</w:t>
      </w:r>
    </w:p>
    <w:p>
      <w:pPr>
        <w:pStyle w:val="BodyText"/>
        <w:spacing w:before="118"/>
        <w:ind w:left="1140"/>
        <w:jc w:val="both"/>
      </w:pPr>
      <w:bookmarkStart w:name="_bookmark102" w:id="103"/>
      <w:bookmarkEnd w:id="103"/>
      <w:r>
        <w:rPr/>
      </w:r>
      <w:r>
        <w:rPr/>
        <w:t>Australian</w:t>
      </w:r>
      <w:r>
        <w:rPr>
          <w:spacing w:val="-4"/>
        </w:rPr>
        <w:t> </w:t>
      </w:r>
      <w:r>
        <w:rPr/>
        <w:t>Government</w:t>
      </w:r>
      <w:r>
        <w:rPr>
          <w:spacing w:val="-3"/>
        </w:rPr>
        <w:t> </w:t>
      </w:r>
      <w:r>
        <w:rPr/>
        <w:t>Department</w:t>
      </w:r>
      <w:r>
        <w:rPr>
          <w:spacing w:val="-2"/>
        </w:rPr>
        <w:t> </w:t>
      </w:r>
      <w:r>
        <w:rPr/>
        <w:t>of</w:t>
      </w:r>
      <w:r>
        <w:rPr>
          <w:spacing w:val="-5"/>
        </w:rPr>
        <w:t> </w:t>
      </w:r>
      <w:r>
        <w:rPr/>
        <w:t>Health,</w:t>
      </w:r>
      <w:r>
        <w:rPr>
          <w:spacing w:val="-6"/>
        </w:rPr>
        <w:t> </w:t>
      </w:r>
      <w:r>
        <w:rPr/>
        <w:t>2016.</w:t>
      </w:r>
      <w:r>
        <w:rPr>
          <w:spacing w:val="-7"/>
        </w:rPr>
        <w:t> </w:t>
      </w:r>
      <w:r>
        <w:rPr/>
        <w:t>Health</w:t>
      </w:r>
      <w:r>
        <w:rPr>
          <w:spacing w:val="-3"/>
        </w:rPr>
        <w:t> </w:t>
      </w:r>
      <w:r>
        <w:rPr/>
        <w:t>Care</w:t>
      </w:r>
      <w:r>
        <w:rPr>
          <w:spacing w:val="-5"/>
        </w:rPr>
        <w:t> </w:t>
      </w:r>
      <w:r>
        <w:rPr/>
        <w:t>Homes</w:t>
      </w:r>
      <w:r>
        <w:rPr>
          <w:spacing w:val="-5"/>
        </w:rPr>
        <w:t> </w:t>
      </w:r>
      <w:r>
        <w:rPr/>
        <w:t>information</w:t>
      </w:r>
      <w:r>
        <w:rPr>
          <w:spacing w:val="-3"/>
        </w:rPr>
        <w:t> </w:t>
      </w:r>
      <w:r>
        <w:rPr/>
        <w:t>booklet.</w:t>
      </w:r>
    </w:p>
    <w:p>
      <w:pPr>
        <w:pStyle w:val="BodyText"/>
        <w:spacing w:line="276" w:lineRule="auto" w:before="158"/>
        <w:ind w:left="1140" w:right="1967"/>
      </w:pPr>
      <w:bookmarkStart w:name="_bookmark103" w:id="104"/>
      <w:bookmarkEnd w:id="104"/>
      <w:r>
        <w:rPr/>
      </w:r>
      <w:r>
        <w:rPr/>
        <w:t>Bice,</w:t>
      </w:r>
      <w:r>
        <w:rPr>
          <w:spacing w:val="-6"/>
        </w:rPr>
        <w:t> </w:t>
      </w:r>
      <w:r>
        <w:rPr/>
        <w:t>T.W.,</w:t>
      </w:r>
      <w:r>
        <w:rPr>
          <w:spacing w:val="-3"/>
        </w:rPr>
        <w:t> </w:t>
      </w:r>
      <w:r>
        <w:rPr/>
        <w:t>Boxerman,</w:t>
      </w:r>
      <w:r>
        <w:rPr>
          <w:spacing w:val="-3"/>
        </w:rPr>
        <w:t> </w:t>
      </w:r>
      <w:r>
        <w:rPr/>
        <w:t>S.B.,</w:t>
      </w:r>
      <w:r>
        <w:rPr>
          <w:spacing w:val="-3"/>
        </w:rPr>
        <w:t> </w:t>
      </w:r>
      <w:r>
        <w:rPr/>
        <w:t>1977. A</w:t>
      </w:r>
      <w:r>
        <w:rPr>
          <w:spacing w:val="-6"/>
        </w:rPr>
        <w:t> </w:t>
      </w:r>
      <w:r>
        <w:rPr/>
        <w:t>quantitative</w:t>
      </w:r>
      <w:r>
        <w:rPr>
          <w:spacing w:val="-4"/>
        </w:rPr>
        <w:t> </w:t>
      </w:r>
      <w:r>
        <w:rPr/>
        <w:t>measure of</w:t>
      </w:r>
      <w:r>
        <w:rPr>
          <w:spacing w:val="-3"/>
        </w:rPr>
        <w:t> </w:t>
      </w:r>
      <w:r>
        <w:rPr/>
        <w:t>continuity</w:t>
      </w:r>
      <w:r>
        <w:rPr>
          <w:spacing w:val="-5"/>
        </w:rPr>
        <w:t> </w:t>
      </w:r>
      <w:r>
        <w:rPr/>
        <w:t>of</w:t>
      </w:r>
      <w:r>
        <w:rPr>
          <w:spacing w:val="-3"/>
        </w:rPr>
        <w:t> </w:t>
      </w:r>
      <w:r>
        <w:rPr/>
        <w:t>care.</w:t>
      </w:r>
      <w:r>
        <w:rPr>
          <w:spacing w:val="-5"/>
        </w:rPr>
        <w:t> </w:t>
      </w:r>
      <w:r>
        <w:rPr/>
        <w:t>Med</w:t>
      </w:r>
      <w:r>
        <w:rPr>
          <w:spacing w:val="-1"/>
        </w:rPr>
        <w:t> </w:t>
      </w:r>
      <w:r>
        <w:rPr/>
        <w:t>Care</w:t>
      </w:r>
      <w:r>
        <w:rPr>
          <w:spacing w:val="-52"/>
        </w:rPr>
        <w:t> </w:t>
      </w:r>
      <w:r>
        <w:rPr/>
        <w:t>15:347-9.</w:t>
      </w:r>
    </w:p>
    <w:p>
      <w:pPr>
        <w:pStyle w:val="BodyText"/>
        <w:spacing w:line="276" w:lineRule="auto" w:before="120"/>
        <w:ind w:left="1140" w:right="1378"/>
      </w:pPr>
      <w:bookmarkStart w:name="_bookmark104" w:id="105"/>
      <w:bookmarkEnd w:id="105"/>
      <w:r>
        <w:rPr/>
      </w:r>
      <w:r>
        <w:rPr/>
        <w:t>Brooks,</w:t>
      </w:r>
      <w:r>
        <w:rPr>
          <w:spacing w:val="-1"/>
        </w:rPr>
        <w:t> </w:t>
      </w:r>
      <w:r>
        <w:rPr/>
        <w:t>A.D.,</w:t>
      </w:r>
      <w:r>
        <w:rPr>
          <w:spacing w:val="-4"/>
        </w:rPr>
        <w:t> </w:t>
      </w:r>
      <w:r>
        <w:rPr/>
        <w:t>Rihani,</w:t>
      </w:r>
      <w:r>
        <w:rPr>
          <w:spacing w:val="-3"/>
        </w:rPr>
        <w:t> </w:t>
      </w:r>
      <w:r>
        <w:rPr/>
        <w:t>R.S.,</w:t>
      </w:r>
      <w:r>
        <w:rPr>
          <w:spacing w:val="-4"/>
        </w:rPr>
        <w:t> </w:t>
      </w:r>
      <w:r>
        <w:rPr/>
        <w:t>Derus,</w:t>
      </w:r>
      <w:r>
        <w:rPr>
          <w:spacing w:val="-3"/>
        </w:rPr>
        <w:t> </w:t>
      </w:r>
      <w:r>
        <w:rPr/>
        <w:t>C.L.,</w:t>
      </w:r>
      <w:r>
        <w:rPr>
          <w:spacing w:val="-6"/>
        </w:rPr>
        <w:t> </w:t>
      </w:r>
      <w:r>
        <w:rPr/>
        <w:t>2007.</w:t>
      </w:r>
      <w:r>
        <w:rPr>
          <w:spacing w:val="-5"/>
        </w:rPr>
        <w:t> </w:t>
      </w:r>
      <w:r>
        <w:rPr/>
        <w:t>Pharmacist</w:t>
      </w:r>
      <w:r>
        <w:rPr>
          <w:spacing w:val="-2"/>
        </w:rPr>
        <w:t> </w:t>
      </w:r>
      <w:r>
        <w:rPr/>
        <w:t>membership</w:t>
      </w:r>
      <w:r>
        <w:rPr>
          <w:spacing w:val="-2"/>
        </w:rPr>
        <w:t> </w:t>
      </w:r>
      <w:r>
        <w:rPr/>
        <w:t>in</w:t>
      </w:r>
      <w:r>
        <w:rPr>
          <w:spacing w:val="-3"/>
        </w:rPr>
        <w:t> </w:t>
      </w:r>
      <w:r>
        <w:rPr/>
        <w:t>a</w:t>
      </w:r>
      <w:r>
        <w:rPr>
          <w:spacing w:val="-2"/>
        </w:rPr>
        <w:t> </w:t>
      </w:r>
      <w:r>
        <w:rPr/>
        <w:t>medical</w:t>
      </w:r>
      <w:r>
        <w:rPr>
          <w:spacing w:val="-3"/>
        </w:rPr>
        <w:t> </w:t>
      </w:r>
      <w:r>
        <w:rPr/>
        <w:t>group's</w:t>
      </w:r>
      <w:r>
        <w:rPr>
          <w:spacing w:val="-52"/>
        </w:rPr>
        <w:t> </w:t>
      </w:r>
      <w:r>
        <w:rPr/>
        <w:t>diabetes</w:t>
      </w:r>
      <w:r>
        <w:rPr>
          <w:spacing w:val="-2"/>
        </w:rPr>
        <w:t> </w:t>
      </w:r>
      <w:r>
        <w:rPr/>
        <w:t>health</w:t>
      </w:r>
      <w:r>
        <w:rPr>
          <w:spacing w:val="-1"/>
        </w:rPr>
        <w:t> </w:t>
      </w:r>
      <w:r>
        <w:rPr/>
        <w:t>management program.</w:t>
      </w:r>
      <w:r>
        <w:rPr>
          <w:spacing w:val="1"/>
        </w:rPr>
        <w:t> </w:t>
      </w:r>
      <w:r>
        <w:rPr/>
        <w:t>Am</w:t>
      </w:r>
      <w:r>
        <w:rPr>
          <w:spacing w:val="-1"/>
        </w:rPr>
        <w:t> </w:t>
      </w:r>
      <w:r>
        <w:rPr/>
        <w:t>J</w:t>
      </w:r>
      <w:r>
        <w:rPr>
          <w:spacing w:val="-2"/>
        </w:rPr>
        <w:t> </w:t>
      </w:r>
      <w:r>
        <w:rPr/>
        <w:t>Health</w:t>
      </w:r>
      <w:r>
        <w:rPr>
          <w:spacing w:val="-1"/>
        </w:rPr>
        <w:t> </w:t>
      </w:r>
      <w:r>
        <w:rPr/>
        <w:t>Syst Pharm</w:t>
      </w:r>
      <w:r>
        <w:rPr>
          <w:spacing w:val="-1"/>
        </w:rPr>
        <w:t> </w:t>
      </w:r>
      <w:r>
        <w:rPr/>
        <w:t>64:617-21.</w:t>
      </w:r>
    </w:p>
    <w:p>
      <w:pPr>
        <w:pStyle w:val="BodyText"/>
        <w:spacing w:line="276" w:lineRule="auto" w:before="120"/>
        <w:ind w:left="1140" w:right="1882"/>
      </w:pPr>
      <w:bookmarkStart w:name="_bookmark105" w:id="106"/>
      <w:bookmarkEnd w:id="106"/>
      <w:r>
        <w:rPr/>
      </w:r>
      <w:r>
        <w:rPr/>
        <w:t>Campbell, M.J., 2000. Cluster randomized trials in general (family) practice research. Stat</w:t>
      </w:r>
      <w:r>
        <w:rPr>
          <w:spacing w:val="-54"/>
        </w:rPr>
        <w:t> </w:t>
      </w:r>
      <w:r>
        <w:rPr/>
        <w:t>Methods</w:t>
      </w:r>
      <w:r>
        <w:rPr>
          <w:spacing w:val="-2"/>
        </w:rPr>
        <w:t> </w:t>
      </w:r>
      <w:r>
        <w:rPr/>
        <w:t>Med</w:t>
      </w:r>
      <w:r>
        <w:rPr>
          <w:spacing w:val="-1"/>
        </w:rPr>
        <w:t> </w:t>
      </w:r>
      <w:r>
        <w:rPr/>
        <w:t>Res</w:t>
      </w:r>
      <w:r>
        <w:rPr>
          <w:spacing w:val="-1"/>
        </w:rPr>
        <w:t> </w:t>
      </w:r>
      <w:r>
        <w:rPr/>
        <w:t>9:81-94.</w:t>
      </w:r>
    </w:p>
    <w:p>
      <w:pPr>
        <w:pStyle w:val="BodyText"/>
        <w:spacing w:line="276" w:lineRule="auto" w:before="121"/>
        <w:ind w:left="1140" w:right="1675"/>
      </w:pPr>
      <w:bookmarkStart w:name="_bookmark106" w:id="107"/>
      <w:bookmarkEnd w:id="107"/>
      <w:r>
        <w:rPr/>
      </w:r>
      <w:r>
        <w:rPr/>
        <w:t>Chung,</w:t>
      </w:r>
      <w:r>
        <w:rPr>
          <w:spacing w:val="-3"/>
        </w:rPr>
        <w:t> </w:t>
      </w:r>
      <w:r>
        <w:rPr/>
        <w:t>N.,</w:t>
      </w:r>
      <w:r>
        <w:rPr>
          <w:spacing w:val="-3"/>
        </w:rPr>
        <w:t> </w:t>
      </w:r>
      <w:r>
        <w:rPr/>
        <w:t>Rascati,</w:t>
      </w:r>
      <w:r>
        <w:rPr>
          <w:spacing w:val="-4"/>
        </w:rPr>
        <w:t> </w:t>
      </w:r>
      <w:r>
        <w:rPr/>
        <w:t>K.,</w:t>
      </w:r>
      <w:r>
        <w:rPr>
          <w:spacing w:val="-3"/>
        </w:rPr>
        <w:t> </w:t>
      </w:r>
      <w:r>
        <w:rPr/>
        <w:t>Lopez,</w:t>
      </w:r>
      <w:r>
        <w:rPr>
          <w:spacing w:val="-3"/>
        </w:rPr>
        <w:t> </w:t>
      </w:r>
      <w:r>
        <w:rPr/>
        <w:t>D.,</w:t>
      </w:r>
      <w:r>
        <w:rPr>
          <w:spacing w:val="-4"/>
        </w:rPr>
        <w:t> </w:t>
      </w:r>
      <w:r>
        <w:rPr/>
        <w:t>Jokerst,</w:t>
      </w:r>
      <w:r>
        <w:rPr>
          <w:spacing w:val="-5"/>
        </w:rPr>
        <w:t> </w:t>
      </w:r>
      <w:r>
        <w:rPr/>
        <w:t>J.,</w:t>
      </w:r>
      <w:r>
        <w:rPr>
          <w:spacing w:val="-2"/>
        </w:rPr>
        <w:t> </w:t>
      </w:r>
      <w:r>
        <w:rPr/>
        <w:t>Garza, A.,</w:t>
      </w:r>
      <w:r>
        <w:rPr>
          <w:spacing w:val="-3"/>
        </w:rPr>
        <w:t> </w:t>
      </w:r>
      <w:r>
        <w:rPr/>
        <w:t>2014.</w:t>
      </w:r>
      <w:r>
        <w:rPr>
          <w:spacing w:val="-4"/>
        </w:rPr>
        <w:t> </w:t>
      </w:r>
      <w:r>
        <w:rPr/>
        <w:t>Impact</w:t>
      </w:r>
      <w:r>
        <w:rPr>
          <w:spacing w:val="-1"/>
        </w:rPr>
        <w:t> </w:t>
      </w:r>
      <w:r>
        <w:rPr/>
        <w:t>of</w:t>
      </w:r>
      <w:r>
        <w:rPr>
          <w:spacing w:val="-3"/>
        </w:rPr>
        <w:t> </w:t>
      </w:r>
      <w:r>
        <w:rPr/>
        <w:t>a</w:t>
      </w:r>
      <w:r>
        <w:rPr>
          <w:spacing w:val="-1"/>
        </w:rPr>
        <w:t> </w:t>
      </w:r>
      <w:r>
        <w:rPr/>
        <w:t>clinical</w:t>
      </w:r>
      <w:r>
        <w:rPr>
          <w:spacing w:val="-2"/>
        </w:rPr>
        <w:t> </w:t>
      </w:r>
      <w:r>
        <w:rPr/>
        <w:t>pharmacy</w:t>
      </w:r>
      <w:r>
        <w:rPr>
          <w:spacing w:val="-52"/>
        </w:rPr>
        <w:t> </w:t>
      </w:r>
      <w:r>
        <w:rPr/>
        <w:t>program on changes in hemoglobin A1c, diabetes-related hospitalizations, and diabetes-</w:t>
      </w:r>
      <w:r>
        <w:rPr>
          <w:spacing w:val="1"/>
        </w:rPr>
        <w:t> </w:t>
      </w:r>
      <w:r>
        <w:rPr/>
        <w:t>related emergency department visits for patients with diabetes in an underserved</w:t>
      </w:r>
      <w:r>
        <w:rPr>
          <w:spacing w:val="1"/>
        </w:rPr>
        <w:t> </w:t>
      </w:r>
      <w:r>
        <w:rPr/>
        <w:t>population.</w:t>
      </w:r>
      <w:r>
        <w:rPr>
          <w:spacing w:val="-4"/>
        </w:rPr>
        <w:t> </w:t>
      </w:r>
      <w:r>
        <w:rPr/>
        <w:t>J</w:t>
      </w:r>
      <w:r>
        <w:rPr>
          <w:spacing w:val="-1"/>
        </w:rPr>
        <w:t> </w:t>
      </w:r>
      <w:r>
        <w:rPr/>
        <w:t>Manag</w:t>
      </w:r>
      <w:r>
        <w:rPr>
          <w:spacing w:val="-1"/>
        </w:rPr>
        <w:t> </w:t>
      </w:r>
      <w:r>
        <w:rPr/>
        <w:t>Care</w:t>
      </w:r>
      <w:r>
        <w:rPr>
          <w:spacing w:val="-1"/>
        </w:rPr>
        <w:t> </w:t>
      </w:r>
      <w:r>
        <w:rPr/>
        <w:t>Spec Pharm</w:t>
      </w:r>
      <w:r>
        <w:rPr>
          <w:spacing w:val="-1"/>
        </w:rPr>
        <w:t> </w:t>
      </w:r>
      <w:r>
        <w:rPr/>
        <w:t>20:914-9.</w:t>
      </w:r>
    </w:p>
    <w:p>
      <w:pPr>
        <w:pStyle w:val="BodyText"/>
        <w:spacing w:line="276" w:lineRule="auto" w:before="120"/>
        <w:ind w:left="1140" w:right="1722"/>
        <w:jc w:val="both"/>
      </w:pPr>
      <w:bookmarkStart w:name="_bookmark107" w:id="108"/>
      <w:bookmarkEnd w:id="108"/>
      <w:r>
        <w:rPr/>
      </w:r>
      <w:r>
        <w:rPr/>
        <w:t>Cranor, C.W., Bunting, B.A., Christensen, D.B., 2003. The Asheville Project: long-term clinical</w:t>
      </w:r>
      <w:r>
        <w:rPr>
          <w:spacing w:val="1"/>
        </w:rPr>
        <w:t> </w:t>
      </w:r>
      <w:r>
        <w:rPr/>
        <w:t>and economic outcomes of a community pharmacy diabetes care program. J Am Pharm</w:t>
      </w:r>
      <w:r>
        <w:rPr>
          <w:spacing w:val="-54"/>
        </w:rPr>
        <w:t> </w:t>
      </w:r>
      <w:r>
        <w:rPr/>
        <w:t>Assoc</w:t>
      </w:r>
      <w:r>
        <w:rPr>
          <w:spacing w:val="1"/>
        </w:rPr>
        <w:t> </w:t>
      </w:r>
      <w:r>
        <w:rPr/>
        <w:t>(Wash)</w:t>
      </w:r>
      <w:r>
        <w:rPr>
          <w:spacing w:val="-2"/>
        </w:rPr>
        <w:t> </w:t>
      </w:r>
      <w:r>
        <w:rPr/>
        <w:t>43:173-84.</w:t>
      </w:r>
    </w:p>
    <w:p>
      <w:pPr>
        <w:pStyle w:val="BodyText"/>
        <w:spacing w:line="276" w:lineRule="auto" w:before="119"/>
        <w:ind w:left="1140" w:right="1378"/>
      </w:pPr>
      <w:bookmarkStart w:name="_bookmark108" w:id="109"/>
      <w:bookmarkEnd w:id="109"/>
      <w:r>
        <w:rPr/>
      </w:r>
      <w:r>
        <w:rPr/>
        <w:t>Debenito,</w:t>
      </w:r>
      <w:r>
        <w:rPr>
          <w:spacing w:val="-5"/>
        </w:rPr>
        <w:t> </w:t>
      </w:r>
      <w:r>
        <w:rPr/>
        <w:t>J.M.,</w:t>
      </w:r>
      <w:r>
        <w:rPr>
          <w:spacing w:val="-5"/>
        </w:rPr>
        <w:t> </w:t>
      </w:r>
      <w:r>
        <w:rPr/>
        <w:t>Billups,</w:t>
      </w:r>
      <w:r>
        <w:rPr>
          <w:spacing w:val="-4"/>
        </w:rPr>
        <w:t> </w:t>
      </w:r>
      <w:r>
        <w:rPr/>
        <w:t>S.J.,</w:t>
      </w:r>
      <w:r>
        <w:rPr>
          <w:spacing w:val="-3"/>
        </w:rPr>
        <w:t> </w:t>
      </w:r>
      <w:r>
        <w:rPr/>
        <w:t>Tran,</w:t>
      </w:r>
      <w:r>
        <w:rPr>
          <w:spacing w:val="-5"/>
        </w:rPr>
        <w:t> </w:t>
      </w:r>
      <w:r>
        <w:rPr/>
        <w:t>T.S.,</w:t>
      </w:r>
      <w:r>
        <w:rPr>
          <w:spacing w:val="-4"/>
        </w:rPr>
        <w:t> </w:t>
      </w:r>
      <w:r>
        <w:rPr/>
        <w:t>Price,</w:t>
      </w:r>
      <w:r>
        <w:rPr>
          <w:spacing w:val="-3"/>
        </w:rPr>
        <w:t> </w:t>
      </w:r>
      <w:r>
        <w:rPr/>
        <w:t>L.C.,</w:t>
      </w:r>
      <w:r>
        <w:rPr>
          <w:spacing w:val="-5"/>
        </w:rPr>
        <w:t> </w:t>
      </w:r>
      <w:r>
        <w:rPr/>
        <w:t>2014.</w:t>
      </w:r>
      <w:r>
        <w:rPr>
          <w:spacing w:val="-2"/>
        </w:rPr>
        <w:t> </w:t>
      </w:r>
      <w:r>
        <w:rPr/>
        <w:t>Impact</w:t>
      </w:r>
      <w:r>
        <w:rPr>
          <w:spacing w:val="-1"/>
        </w:rPr>
        <w:t> </w:t>
      </w:r>
      <w:r>
        <w:rPr/>
        <w:t>of</w:t>
      </w:r>
      <w:r>
        <w:rPr>
          <w:spacing w:val="-3"/>
        </w:rPr>
        <w:t> </w:t>
      </w:r>
      <w:r>
        <w:rPr/>
        <w:t>a</w:t>
      </w:r>
      <w:r>
        <w:rPr>
          <w:spacing w:val="-1"/>
        </w:rPr>
        <w:t> </w:t>
      </w:r>
      <w:r>
        <w:rPr/>
        <w:t>clinical</w:t>
      </w:r>
      <w:r>
        <w:rPr>
          <w:spacing w:val="-2"/>
        </w:rPr>
        <w:t> </w:t>
      </w:r>
      <w:r>
        <w:rPr/>
        <w:t>pharmacy</w:t>
      </w:r>
      <w:r>
        <w:rPr>
          <w:spacing w:val="-4"/>
        </w:rPr>
        <w:t> </w:t>
      </w:r>
      <w:r>
        <w:rPr/>
        <w:t>anemia</w:t>
      </w:r>
      <w:r>
        <w:rPr>
          <w:spacing w:val="-52"/>
        </w:rPr>
        <w:t> </w:t>
      </w:r>
      <w:r>
        <w:rPr/>
        <w:t>management service on adherence to monitoring guidelines, clinical outcomes, and</w:t>
      </w:r>
      <w:r>
        <w:rPr>
          <w:spacing w:val="1"/>
        </w:rPr>
        <w:t> </w:t>
      </w:r>
      <w:r>
        <w:rPr/>
        <w:t>medication</w:t>
      </w:r>
      <w:r>
        <w:rPr>
          <w:spacing w:val="-1"/>
        </w:rPr>
        <w:t> </w:t>
      </w:r>
      <w:r>
        <w:rPr/>
        <w:t>utilization.</w:t>
      </w:r>
      <w:r>
        <w:rPr>
          <w:spacing w:val="-3"/>
        </w:rPr>
        <w:t> </w:t>
      </w:r>
      <w:r>
        <w:rPr/>
        <w:t>J</w:t>
      </w:r>
      <w:r>
        <w:rPr>
          <w:spacing w:val="-1"/>
        </w:rPr>
        <w:t> </w:t>
      </w:r>
      <w:r>
        <w:rPr/>
        <w:t>Manag</w:t>
      </w:r>
      <w:r>
        <w:rPr>
          <w:spacing w:val="-2"/>
        </w:rPr>
        <w:t> </w:t>
      </w:r>
      <w:r>
        <w:rPr/>
        <w:t>Care</w:t>
      </w:r>
      <w:r>
        <w:rPr>
          <w:spacing w:val="-1"/>
        </w:rPr>
        <w:t> </w:t>
      </w:r>
      <w:r>
        <w:rPr/>
        <w:t>Spec Pharm</w:t>
      </w:r>
      <w:r>
        <w:rPr>
          <w:spacing w:val="-2"/>
        </w:rPr>
        <w:t> </w:t>
      </w:r>
      <w:r>
        <w:rPr/>
        <w:t>20:715-20.</w:t>
      </w:r>
    </w:p>
    <w:p>
      <w:pPr>
        <w:pStyle w:val="BodyText"/>
        <w:spacing w:line="276" w:lineRule="auto" w:before="122"/>
        <w:ind w:left="1140" w:right="2166"/>
      </w:pPr>
      <w:bookmarkStart w:name="_bookmark109" w:id="110"/>
      <w:bookmarkEnd w:id="110"/>
      <w:r>
        <w:rPr/>
      </w:r>
      <w:r>
        <w:rPr/>
        <w:t>Dillman, D.A., Smyth, J.D., Christian, L.M., 2014. Internet, Phone, Mail, and Mixed-Mode</w:t>
      </w:r>
      <w:r>
        <w:rPr>
          <w:spacing w:val="-53"/>
        </w:rPr>
        <w:t> </w:t>
      </w:r>
      <w:r>
        <w:rPr/>
        <w:t>Surveys:</w:t>
      </w:r>
      <w:r>
        <w:rPr>
          <w:spacing w:val="-4"/>
        </w:rPr>
        <w:t> </w:t>
      </w:r>
      <w:r>
        <w:rPr/>
        <w:t>The</w:t>
      </w:r>
      <w:r>
        <w:rPr>
          <w:spacing w:val="1"/>
        </w:rPr>
        <w:t> </w:t>
      </w:r>
      <w:r>
        <w:rPr/>
        <w:t>Tailored</w:t>
      </w:r>
      <w:r>
        <w:rPr>
          <w:spacing w:val="-1"/>
        </w:rPr>
        <w:t> </w:t>
      </w:r>
      <w:r>
        <w:rPr/>
        <w:t>Design</w:t>
      </w:r>
      <w:r>
        <w:rPr>
          <w:spacing w:val="-1"/>
        </w:rPr>
        <w:t> </w:t>
      </w:r>
      <w:r>
        <w:rPr/>
        <w:t>Method,</w:t>
      </w:r>
      <w:r>
        <w:rPr>
          <w:spacing w:val="-4"/>
        </w:rPr>
        <w:t> </w:t>
      </w:r>
      <w:r>
        <w:rPr/>
        <w:t>4th ed.</w:t>
      </w:r>
      <w:r>
        <w:rPr>
          <w:spacing w:val="-3"/>
        </w:rPr>
        <w:t> </w:t>
      </w:r>
      <w:r>
        <w:rPr/>
        <w:t>Wiley,</w:t>
      </w:r>
      <w:r>
        <w:rPr>
          <w:spacing w:val="-4"/>
        </w:rPr>
        <w:t> </w:t>
      </w:r>
      <w:r>
        <w:rPr/>
        <w:t>Hoboken,</w:t>
      </w:r>
      <w:r>
        <w:rPr>
          <w:spacing w:val="-1"/>
        </w:rPr>
        <w:t> </w:t>
      </w:r>
      <w:r>
        <w:rPr/>
        <w:t>New</w:t>
      </w:r>
      <w:r>
        <w:rPr>
          <w:spacing w:val="1"/>
        </w:rPr>
        <w:t> </w:t>
      </w:r>
      <w:r>
        <w:rPr/>
        <w:t>Jersey.</w:t>
      </w:r>
    </w:p>
    <w:p>
      <w:pPr>
        <w:pStyle w:val="BodyText"/>
        <w:spacing w:line="276" w:lineRule="auto" w:before="120"/>
        <w:ind w:left="1140" w:right="1457"/>
      </w:pPr>
      <w:bookmarkStart w:name="_bookmark110" w:id="111"/>
      <w:bookmarkEnd w:id="111"/>
      <w:r>
        <w:rPr/>
      </w:r>
      <w:r>
        <w:rPr/>
        <w:t>Fifield, J.,</w:t>
      </w:r>
      <w:r>
        <w:rPr>
          <w:spacing w:val="2"/>
        </w:rPr>
        <w:t> </w:t>
      </w:r>
      <w:r>
        <w:rPr/>
        <w:t>Forrest, D.D., Martin-Peele, M., Burleson,</w:t>
      </w:r>
      <w:r>
        <w:rPr>
          <w:spacing w:val="2"/>
        </w:rPr>
        <w:t> </w:t>
      </w:r>
      <w:r>
        <w:rPr/>
        <w:t>J.A.,</w:t>
      </w:r>
      <w:r>
        <w:rPr>
          <w:spacing w:val="5"/>
        </w:rPr>
        <w:t> </w:t>
      </w:r>
      <w:r>
        <w:rPr/>
        <w:t>Goyzueta, J., Fujimoto, M., Gillespie,</w:t>
      </w:r>
      <w:r>
        <w:rPr>
          <w:spacing w:val="1"/>
        </w:rPr>
        <w:t> </w:t>
      </w:r>
      <w:r>
        <w:rPr/>
        <w:t>W., 2013. A randomized, controlled trial of implementing the patient-centered medical home</w:t>
      </w:r>
      <w:r>
        <w:rPr>
          <w:spacing w:val="-53"/>
        </w:rPr>
        <w:t> </w:t>
      </w:r>
      <w:r>
        <w:rPr/>
        <w:t>model</w:t>
      </w:r>
      <w:r>
        <w:rPr>
          <w:spacing w:val="-1"/>
        </w:rPr>
        <w:t> </w:t>
      </w:r>
      <w:r>
        <w:rPr/>
        <w:t>in solo</w:t>
      </w:r>
      <w:r>
        <w:rPr>
          <w:spacing w:val="-1"/>
        </w:rPr>
        <w:t> </w:t>
      </w:r>
      <w:r>
        <w:rPr/>
        <w:t>and</w:t>
      </w:r>
      <w:r>
        <w:rPr>
          <w:spacing w:val="-1"/>
        </w:rPr>
        <w:t> </w:t>
      </w:r>
      <w:r>
        <w:rPr/>
        <w:t>small</w:t>
      </w:r>
      <w:r>
        <w:rPr>
          <w:spacing w:val="-1"/>
        </w:rPr>
        <w:t> </w:t>
      </w:r>
      <w:r>
        <w:rPr/>
        <w:t>practices.</w:t>
      </w:r>
      <w:r>
        <w:rPr>
          <w:spacing w:val="-3"/>
        </w:rPr>
        <w:t> </w:t>
      </w:r>
      <w:r>
        <w:rPr/>
        <w:t>J</w:t>
      </w:r>
      <w:r>
        <w:rPr>
          <w:spacing w:val="-1"/>
        </w:rPr>
        <w:t> </w:t>
      </w:r>
      <w:r>
        <w:rPr/>
        <w:t>Gen Intern</w:t>
      </w:r>
      <w:r>
        <w:rPr>
          <w:spacing w:val="-1"/>
        </w:rPr>
        <w:t> </w:t>
      </w:r>
      <w:r>
        <w:rPr/>
        <w:t>Med</w:t>
      </w:r>
      <w:r>
        <w:rPr>
          <w:spacing w:val="-1"/>
        </w:rPr>
        <w:t> </w:t>
      </w:r>
      <w:r>
        <w:rPr/>
        <w:t>28:770-7.</w:t>
      </w:r>
    </w:p>
    <w:p>
      <w:pPr>
        <w:pStyle w:val="BodyText"/>
        <w:spacing w:line="276" w:lineRule="auto" w:before="118"/>
        <w:ind w:left="1140" w:right="1378"/>
      </w:pPr>
      <w:bookmarkStart w:name="_bookmark111" w:id="112"/>
      <w:bookmarkEnd w:id="112"/>
      <w:r>
        <w:rPr/>
      </w:r>
      <w:r>
        <w:rPr/>
        <w:t>Fishman, P.A., Johnson, E.A., Coleman, K., Larson, E.B., Hsu, C., Ross, T.R., Liss, D., Tufano, J.,</w:t>
      </w:r>
      <w:r>
        <w:rPr>
          <w:spacing w:val="1"/>
        </w:rPr>
        <w:t> </w:t>
      </w:r>
      <w:r>
        <w:rPr/>
        <w:t>Reid,</w:t>
      </w:r>
      <w:r>
        <w:rPr>
          <w:spacing w:val="-6"/>
        </w:rPr>
        <w:t> </w:t>
      </w:r>
      <w:r>
        <w:rPr/>
        <w:t>R.J.,</w:t>
      </w:r>
      <w:r>
        <w:rPr>
          <w:spacing w:val="-3"/>
        </w:rPr>
        <w:t> </w:t>
      </w:r>
      <w:r>
        <w:rPr/>
        <w:t>2012.</w:t>
      </w:r>
      <w:r>
        <w:rPr>
          <w:spacing w:val="-4"/>
        </w:rPr>
        <w:t> </w:t>
      </w:r>
      <w:r>
        <w:rPr/>
        <w:t>Impact</w:t>
      </w:r>
      <w:r>
        <w:rPr>
          <w:spacing w:val="-1"/>
        </w:rPr>
        <w:t> </w:t>
      </w:r>
      <w:r>
        <w:rPr/>
        <w:t>on</w:t>
      </w:r>
      <w:r>
        <w:rPr>
          <w:spacing w:val="-3"/>
        </w:rPr>
        <w:t> </w:t>
      </w:r>
      <w:r>
        <w:rPr/>
        <w:t>seniors</w:t>
      </w:r>
      <w:r>
        <w:rPr>
          <w:spacing w:val="-1"/>
        </w:rPr>
        <w:t> </w:t>
      </w:r>
      <w:r>
        <w:rPr/>
        <w:t>of</w:t>
      </w:r>
      <w:r>
        <w:rPr>
          <w:spacing w:val="-3"/>
        </w:rPr>
        <w:t> </w:t>
      </w:r>
      <w:r>
        <w:rPr/>
        <w:t>the</w:t>
      </w:r>
      <w:r>
        <w:rPr>
          <w:spacing w:val="-4"/>
        </w:rPr>
        <w:t> </w:t>
      </w:r>
      <w:r>
        <w:rPr/>
        <w:t>patient-centered</w:t>
      </w:r>
      <w:r>
        <w:rPr>
          <w:spacing w:val="-2"/>
        </w:rPr>
        <w:t> </w:t>
      </w:r>
      <w:r>
        <w:rPr/>
        <w:t>medical</w:t>
      </w:r>
      <w:r>
        <w:rPr>
          <w:spacing w:val="-3"/>
        </w:rPr>
        <w:t> </w:t>
      </w:r>
      <w:r>
        <w:rPr/>
        <w:t>home:</w:t>
      </w:r>
      <w:r>
        <w:rPr>
          <w:spacing w:val="-2"/>
        </w:rPr>
        <w:t> </w:t>
      </w:r>
      <w:r>
        <w:rPr/>
        <w:t>evidence</w:t>
      </w:r>
      <w:r>
        <w:rPr>
          <w:spacing w:val="-4"/>
        </w:rPr>
        <w:t> </w:t>
      </w:r>
      <w:r>
        <w:rPr/>
        <w:t>from</w:t>
      </w:r>
      <w:r>
        <w:rPr>
          <w:spacing w:val="-3"/>
        </w:rPr>
        <w:t> </w:t>
      </w:r>
      <w:r>
        <w:rPr/>
        <w:t>a</w:t>
      </w:r>
      <w:r>
        <w:rPr>
          <w:spacing w:val="-52"/>
        </w:rPr>
        <w:t> </w:t>
      </w:r>
      <w:r>
        <w:rPr/>
        <w:t>pilot study.</w:t>
      </w:r>
      <w:r>
        <w:rPr>
          <w:spacing w:val="-1"/>
        </w:rPr>
        <w:t> </w:t>
      </w:r>
      <w:r>
        <w:rPr/>
        <w:t>Gerontologist</w:t>
      </w:r>
      <w:r>
        <w:rPr>
          <w:spacing w:val="1"/>
        </w:rPr>
        <w:t> </w:t>
      </w:r>
      <w:r>
        <w:rPr/>
        <w:t>52:703-11.</w:t>
      </w:r>
    </w:p>
    <w:p>
      <w:pPr>
        <w:pStyle w:val="BodyText"/>
        <w:spacing w:line="276" w:lineRule="auto" w:before="122"/>
        <w:ind w:left="1140" w:right="1491"/>
      </w:pPr>
      <w:bookmarkStart w:name="_bookmark112" w:id="113"/>
      <w:bookmarkEnd w:id="113"/>
      <w:r>
        <w:rPr/>
      </w:r>
      <w:r>
        <w:rPr/>
        <w:t>Friedberg, M.W., Rosenthal, M.B., Werner, R.M., Volpp, K.G., Schneider, E.C., 2015. Effects of a</w:t>
      </w:r>
      <w:r>
        <w:rPr>
          <w:spacing w:val="-54"/>
        </w:rPr>
        <w:t> </w:t>
      </w:r>
      <w:r>
        <w:rPr/>
        <w:t>Medical Home and Shared Savings Intervention on Quality and Utilization of Care. JAMA</w:t>
      </w:r>
      <w:r>
        <w:rPr>
          <w:spacing w:val="1"/>
        </w:rPr>
        <w:t> </w:t>
      </w:r>
      <w:r>
        <w:rPr/>
        <w:t>Intern</w:t>
      </w:r>
      <w:r>
        <w:rPr>
          <w:spacing w:val="-1"/>
        </w:rPr>
        <w:t> </w:t>
      </w:r>
      <w:r>
        <w:rPr/>
        <w:t>Med</w:t>
      </w:r>
      <w:r>
        <w:rPr>
          <w:spacing w:val="-1"/>
        </w:rPr>
        <w:t> </w:t>
      </w:r>
      <w:r>
        <w:rPr/>
        <w:t>175:1362-8.</w:t>
      </w:r>
    </w:p>
    <w:p>
      <w:pPr>
        <w:spacing w:after="0" w:line="276" w:lineRule="auto"/>
        <w:sectPr>
          <w:footerReference w:type="default" r:id="rId65"/>
          <w:pgSz w:w="11910" w:h="16840"/>
          <w:pgMar w:footer="678" w:header="0" w:top="20" w:bottom="860" w:left="300" w:right="0"/>
        </w:sectPr>
      </w:pPr>
    </w:p>
    <w:p>
      <w:pPr>
        <w:pStyle w:val="BodyText"/>
        <w:spacing w:line="276" w:lineRule="auto" w:before="82"/>
        <w:ind w:left="1140" w:right="907"/>
      </w:pPr>
      <w:bookmarkStart w:name="_bookmark113" w:id="114"/>
      <w:bookmarkEnd w:id="114"/>
      <w:r>
        <w:rPr/>
      </w:r>
      <w:bookmarkStart w:name="_bookmark114" w:id="115"/>
      <w:bookmarkEnd w:id="115"/>
      <w:r>
        <w:rPr/>
      </w:r>
      <w:r>
        <w:rPr/>
        <w:t>Gibbons, C.J., Small, N., Rick, J., Burt, J., Hann, M., Bower, P., 2017. The Patient Assessment of</w:t>
      </w:r>
      <w:r>
        <w:rPr>
          <w:spacing w:val="1"/>
        </w:rPr>
        <w:t> </w:t>
      </w:r>
      <w:r>
        <w:rPr/>
        <w:t>Chronic</w:t>
      </w:r>
      <w:r>
        <w:rPr>
          <w:spacing w:val="-4"/>
        </w:rPr>
        <w:t> </w:t>
      </w:r>
      <w:r>
        <w:rPr/>
        <w:t>Illness</w:t>
      </w:r>
      <w:r>
        <w:rPr>
          <w:spacing w:val="-4"/>
        </w:rPr>
        <w:t> </w:t>
      </w:r>
      <w:r>
        <w:rPr/>
        <w:t>Care</w:t>
      </w:r>
      <w:r>
        <w:rPr>
          <w:spacing w:val="-4"/>
        </w:rPr>
        <w:t> </w:t>
      </w:r>
      <w:r>
        <w:rPr/>
        <w:t>produces</w:t>
      </w:r>
      <w:r>
        <w:rPr>
          <w:spacing w:val="-4"/>
        </w:rPr>
        <w:t> </w:t>
      </w:r>
      <w:r>
        <w:rPr/>
        <w:t>measurements</w:t>
      </w:r>
      <w:r>
        <w:rPr>
          <w:spacing w:val="-4"/>
        </w:rPr>
        <w:t> </w:t>
      </w:r>
      <w:r>
        <w:rPr/>
        <w:t>along</w:t>
      </w:r>
      <w:r>
        <w:rPr>
          <w:spacing w:val="-4"/>
        </w:rPr>
        <w:t> </w:t>
      </w:r>
      <w:r>
        <w:rPr/>
        <w:t>a</w:t>
      </w:r>
      <w:r>
        <w:rPr>
          <w:spacing w:val="-3"/>
        </w:rPr>
        <w:t> </w:t>
      </w:r>
      <w:r>
        <w:rPr/>
        <w:t>single</w:t>
      </w:r>
      <w:r>
        <w:rPr>
          <w:spacing w:val="-4"/>
        </w:rPr>
        <w:t> </w:t>
      </w:r>
      <w:r>
        <w:rPr/>
        <w:t>dimension:</w:t>
      </w:r>
      <w:r>
        <w:rPr>
          <w:spacing w:val="-4"/>
        </w:rPr>
        <w:t> </w:t>
      </w:r>
      <w:r>
        <w:rPr/>
        <w:t>results</w:t>
      </w:r>
      <w:r>
        <w:rPr>
          <w:spacing w:val="-4"/>
        </w:rPr>
        <w:t> </w:t>
      </w:r>
      <w:r>
        <w:rPr/>
        <w:t>from</w:t>
      </w:r>
      <w:r>
        <w:rPr>
          <w:spacing w:val="-4"/>
        </w:rPr>
        <w:t> </w:t>
      </w:r>
      <w:r>
        <w:rPr/>
        <w:t>a</w:t>
      </w:r>
      <w:r>
        <w:rPr>
          <w:spacing w:val="-3"/>
        </w:rPr>
        <w:t> </w:t>
      </w:r>
      <w:r>
        <w:rPr/>
        <w:t>Mokken</w:t>
      </w:r>
      <w:r>
        <w:rPr>
          <w:spacing w:val="-53"/>
        </w:rPr>
        <w:t> </w:t>
      </w:r>
      <w:r>
        <w:rPr/>
        <w:t>analysis.</w:t>
      </w:r>
      <w:r>
        <w:rPr>
          <w:spacing w:val="-4"/>
        </w:rPr>
        <w:t> </w:t>
      </w:r>
      <w:r>
        <w:rPr/>
        <w:t>Health Qual Life</w:t>
      </w:r>
      <w:r>
        <w:rPr>
          <w:spacing w:val="2"/>
        </w:rPr>
        <w:t> </w:t>
      </w:r>
      <w:r>
        <w:rPr/>
        <w:t>Outcomes</w:t>
      </w:r>
      <w:r>
        <w:rPr>
          <w:spacing w:val="-2"/>
        </w:rPr>
        <w:t> </w:t>
      </w:r>
      <w:r>
        <w:rPr/>
        <w:t>15:61.</w:t>
      </w:r>
    </w:p>
    <w:p>
      <w:pPr>
        <w:pStyle w:val="BodyText"/>
        <w:spacing w:line="276" w:lineRule="auto" w:before="119"/>
        <w:ind w:left="1140" w:right="1378"/>
      </w:pPr>
      <w:bookmarkStart w:name="_bookmark115" w:id="116"/>
      <w:bookmarkEnd w:id="116"/>
      <w:r>
        <w:rPr/>
      </w:r>
      <w:r>
        <w:rPr/>
        <w:t>Hemming,</w:t>
      </w:r>
      <w:r>
        <w:rPr>
          <w:spacing w:val="-5"/>
        </w:rPr>
        <w:t> </w:t>
      </w:r>
      <w:r>
        <w:rPr/>
        <w:t>K.,</w:t>
      </w:r>
      <w:r>
        <w:rPr>
          <w:spacing w:val="-3"/>
        </w:rPr>
        <w:t> </w:t>
      </w:r>
      <w:r>
        <w:rPr/>
        <w:t>Haines,</w:t>
      </w:r>
      <w:r>
        <w:rPr>
          <w:spacing w:val="-5"/>
        </w:rPr>
        <w:t> </w:t>
      </w:r>
      <w:r>
        <w:rPr/>
        <w:t>T.P.,</w:t>
      </w:r>
      <w:r>
        <w:rPr>
          <w:spacing w:val="-3"/>
        </w:rPr>
        <w:t> </w:t>
      </w:r>
      <w:r>
        <w:rPr/>
        <w:t>Chilton,</w:t>
      </w:r>
      <w:r>
        <w:rPr>
          <w:spacing w:val="-5"/>
        </w:rPr>
        <w:t> </w:t>
      </w:r>
      <w:r>
        <w:rPr/>
        <w:t>P.J.,</w:t>
      </w:r>
      <w:r>
        <w:rPr>
          <w:spacing w:val="-3"/>
        </w:rPr>
        <w:t> </w:t>
      </w:r>
      <w:r>
        <w:rPr/>
        <w:t>Girling, A.J.,</w:t>
      </w:r>
      <w:r>
        <w:rPr>
          <w:spacing w:val="-3"/>
        </w:rPr>
        <w:t> </w:t>
      </w:r>
      <w:r>
        <w:rPr/>
        <w:t>Lilford,</w:t>
      </w:r>
      <w:r>
        <w:rPr>
          <w:spacing w:val="-3"/>
        </w:rPr>
        <w:t> </w:t>
      </w:r>
      <w:r>
        <w:rPr/>
        <w:t>R.J.,</w:t>
      </w:r>
      <w:r>
        <w:rPr>
          <w:spacing w:val="-5"/>
        </w:rPr>
        <w:t> </w:t>
      </w:r>
      <w:r>
        <w:rPr/>
        <w:t>2015.</w:t>
      </w:r>
      <w:r>
        <w:rPr>
          <w:spacing w:val="-4"/>
        </w:rPr>
        <w:t> </w:t>
      </w:r>
      <w:r>
        <w:rPr/>
        <w:t>The stepped</w:t>
      </w:r>
      <w:r>
        <w:rPr>
          <w:spacing w:val="-3"/>
        </w:rPr>
        <w:t> </w:t>
      </w:r>
      <w:r>
        <w:rPr/>
        <w:t>wedge</w:t>
      </w:r>
      <w:r>
        <w:rPr>
          <w:spacing w:val="-53"/>
        </w:rPr>
        <w:t> </w:t>
      </w:r>
      <w:r>
        <w:rPr/>
        <w:t>cluster</w:t>
      </w:r>
      <w:r>
        <w:rPr>
          <w:spacing w:val="-3"/>
        </w:rPr>
        <w:t> </w:t>
      </w:r>
      <w:r>
        <w:rPr/>
        <w:t>randomised</w:t>
      </w:r>
      <w:r>
        <w:rPr>
          <w:spacing w:val="-2"/>
        </w:rPr>
        <w:t> </w:t>
      </w:r>
      <w:r>
        <w:rPr/>
        <w:t>trial:</w:t>
      </w:r>
      <w:r>
        <w:rPr>
          <w:spacing w:val="-4"/>
        </w:rPr>
        <w:t> </w:t>
      </w:r>
      <w:r>
        <w:rPr/>
        <w:t>rationale,</w:t>
      </w:r>
      <w:r>
        <w:rPr>
          <w:spacing w:val="-4"/>
        </w:rPr>
        <w:t> </w:t>
      </w:r>
      <w:r>
        <w:rPr/>
        <w:t>design,</w:t>
      </w:r>
      <w:r>
        <w:rPr>
          <w:spacing w:val="-3"/>
        </w:rPr>
        <w:t> </w:t>
      </w:r>
      <w:r>
        <w:rPr/>
        <w:t>analysis,</w:t>
      </w:r>
      <w:r>
        <w:rPr>
          <w:spacing w:val="-4"/>
        </w:rPr>
        <w:t> </w:t>
      </w:r>
      <w:r>
        <w:rPr/>
        <w:t>and</w:t>
      </w:r>
      <w:r>
        <w:rPr>
          <w:spacing w:val="-2"/>
        </w:rPr>
        <w:t> </w:t>
      </w:r>
      <w:r>
        <w:rPr/>
        <w:t>reporting.</w:t>
      </w:r>
      <w:r>
        <w:rPr>
          <w:spacing w:val="-4"/>
        </w:rPr>
        <w:t> </w:t>
      </w:r>
      <w:r>
        <w:rPr/>
        <w:t>BMJ</w:t>
      </w:r>
      <w:r>
        <w:rPr>
          <w:spacing w:val="-3"/>
        </w:rPr>
        <w:t> </w:t>
      </w:r>
      <w:r>
        <w:rPr/>
        <w:t>350:h391.</w:t>
      </w:r>
    </w:p>
    <w:p>
      <w:pPr>
        <w:pStyle w:val="BodyText"/>
        <w:spacing w:line="276" w:lineRule="auto" w:before="120"/>
        <w:ind w:left="1140" w:right="1502"/>
        <w:jc w:val="both"/>
      </w:pPr>
      <w:bookmarkStart w:name="_bookmark116" w:id="117"/>
      <w:bookmarkEnd w:id="117"/>
      <w:r>
        <w:rPr/>
      </w:r>
      <w:r>
        <w:rPr/>
        <w:t>Herdman,</w:t>
      </w:r>
      <w:r>
        <w:rPr>
          <w:spacing w:val="-5"/>
        </w:rPr>
        <w:t> </w:t>
      </w:r>
      <w:r>
        <w:rPr/>
        <w:t>M.,</w:t>
      </w:r>
      <w:r>
        <w:rPr>
          <w:spacing w:val="-2"/>
        </w:rPr>
        <w:t> </w:t>
      </w:r>
      <w:r>
        <w:rPr/>
        <w:t>Gudex,</w:t>
      </w:r>
      <w:r>
        <w:rPr>
          <w:spacing w:val="-2"/>
        </w:rPr>
        <w:t> </w:t>
      </w:r>
      <w:r>
        <w:rPr/>
        <w:t>C.,</w:t>
      </w:r>
      <w:r>
        <w:rPr>
          <w:spacing w:val="-2"/>
        </w:rPr>
        <w:t> </w:t>
      </w:r>
      <w:r>
        <w:rPr/>
        <w:t>Lloyd,</w:t>
      </w:r>
      <w:r>
        <w:rPr>
          <w:spacing w:val="-2"/>
        </w:rPr>
        <w:t> </w:t>
      </w:r>
      <w:r>
        <w:rPr/>
        <w:t>A.,</w:t>
      </w:r>
      <w:r>
        <w:rPr>
          <w:spacing w:val="-2"/>
        </w:rPr>
        <w:t> </w:t>
      </w:r>
      <w:r>
        <w:rPr/>
        <w:t>Janssen,</w:t>
      </w:r>
      <w:r>
        <w:rPr>
          <w:spacing w:val="-5"/>
        </w:rPr>
        <w:t> </w:t>
      </w:r>
      <w:r>
        <w:rPr/>
        <w:t>M.,</w:t>
      </w:r>
      <w:r>
        <w:rPr>
          <w:spacing w:val="-4"/>
        </w:rPr>
        <w:t> </w:t>
      </w:r>
      <w:r>
        <w:rPr/>
        <w:t>Kind,</w:t>
      </w:r>
      <w:r>
        <w:rPr>
          <w:spacing w:val="-4"/>
        </w:rPr>
        <w:t> </w:t>
      </w:r>
      <w:r>
        <w:rPr/>
        <w:t>P.,</w:t>
      </w:r>
      <w:r>
        <w:rPr>
          <w:spacing w:val="-2"/>
        </w:rPr>
        <w:t> </w:t>
      </w:r>
      <w:r>
        <w:rPr/>
        <w:t>Parkin,</w:t>
      </w:r>
      <w:r>
        <w:rPr>
          <w:spacing w:val="-4"/>
        </w:rPr>
        <w:t> </w:t>
      </w:r>
      <w:r>
        <w:rPr/>
        <w:t>D.,</w:t>
      </w:r>
      <w:r>
        <w:rPr>
          <w:spacing w:val="-2"/>
        </w:rPr>
        <w:t> </w:t>
      </w:r>
      <w:r>
        <w:rPr/>
        <w:t>Bonsel,</w:t>
      </w:r>
      <w:r>
        <w:rPr>
          <w:spacing w:val="-2"/>
        </w:rPr>
        <w:t> </w:t>
      </w:r>
      <w:r>
        <w:rPr/>
        <w:t>G.,</w:t>
      </w:r>
      <w:r>
        <w:rPr>
          <w:spacing w:val="-5"/>
        </w:rPr>
        <w:t> </w:t>
      </w:r>
      <w:r>
        <w:rPr/>
        <w:t>Badia,</w:t>
      </w:r>
      <w:r>
        <w:rPr>
          <w:spacing w:val="-2"/>
        </w:rPr>
        <w:t> </w:t>
      </w:r>
      <w:r>
        <w:rPr/>
        <w:t>X.,</w:t>
      </w:r>
      <w:r>
        <w:rPr>
          <w:spacing w:val="-2"/>
        </w:rPr>
        <w:t> </w:t>
      </w:r>
      <w:r>
        <w:rPr/>
        <w:t>2011.</w:t>
      </w:r>
      <w:r>
        <w:rPr>
          <w:spacing w:val="-53"/>
        </w:rPr>
        <w:t> </w:t>
      </w:r>
      <w:r>
        <w:rPr/>
        <w:t>Development and preliminary testing of the new five-level version of EQ-5D (EQ-5D-5L). Qual</w:t>
      </w:r>
      <w:r>
        <w:rPr>
          <w:spacing w:val="1"/>
        </w:rPr>
        <w:t> </w:t>
      </w:r>
      <w:r>
        <w:rPr/>
        <w:t>Life</w:t>
      </w:r>
      <w:r>
        <w:rPr>
          <w:spacing w:val="-2"/>
        </w:rPr>
        <w:t> </w:t>
      </w:r>
      <w:r>
        <w:rPr/>
        <w:t>Res</w:t>
      </w:r>
      <w:r>
        <w:rPr>
          <w:spacing w:val="-1"/>
        </w:rPr>
        <w:t> </w:t>
      </w:r>
      <w:r>
        <w:rPr/>
        <w:t>20:1727-36.</w:t>
      </w:r>
    </w:p>
    <w:p>
      <w:pPr>
        <w:pStyle w:val="BodyText"/>
        <w:spacing w:line="276" w:lineRule="auto" w:before="121"/>
        <w:ind w:left="1140" w:right="1675"/>
      </w:pPr>
      <w:bookmarkStart w:name="_bookmark117" w:id="118"/>
      <w:bookmarkEnd w:id="118"/>
      <w:r>
        <w:rPr/>
      </w:r>
      <w:r>
        <w:rPr/>
        <w:t>Hibbard,</w:t>
      </w:r>
      <w:r>
        <w:rPr>
          <w:spacing w:val="-5"/>
        </w:rPr>
        <w:t> </w:t>
      </w:r>
      <w:r>
        <w:rPr/>
        <w:t>J.H.,</w:t>
      </w:r>
      <w:r>
        <w:rPr>
          <w:spacing w:val="-4"/>
        </w:rPr>
        <w:t> </w:t>
      </w:r>
      <w:r>
        <w:rPr/>
        <w:t>Mahoney,</w:t>
      </w:r>
      <w:r>
        <w:rPr>
          <w:spacing w:val="-3"/>
        </w:rPr>
        <w:t> </w:t>
      </w:r>
      <w:r>
        <w:rPr/>
        <w:t>E.R.,</w:t>
      </w:r>
      <w:r>
        <w:rPr>
          <w:spacing w:val="-2"/>
        </w:rPr>
        <w:t> </w:t>
      </w:r>
      <w:r>
        <w:rPr/>
        <w:t>Stockard,</w:t>
      </w:r>
      <w:r>
        <w:rPr>
          <w:spacing w:val="-5"/>
        </w:rPr>
        <w:t> </w:t>
      </w:r>
      <w:r>
        <w:rPr/>
        <w:t>J.,</w:t>
      </w:r>
      <w:r>
        <w:rPr>
          <w:spacing w:val="-2"/>
        </w:rPr>
        <w:t> </w:t>
      </w:r>
      <w:r>
        <w:rPr/>
        <w:t>Tusler,</w:t>
      </w:r>
      <w:r>
        <w:rPr>
          <w:spacing w:val="-3"/>
        </w:rPr>
        <w:t> </w:t>
      </w:r>
      <w:r>
        <w:rPr/>
        <w:t>M.,</w:t>
      </w:r>
      <w:r>
        <w:rPr>
          <w:spacing w:val="-4"/>
        </w:rPr>
        <w:t> </w:t>
      </w:r>
      <w:r>
        <w:rPr/>
        <w:t>2005.</w:t>
      </w:r>
      <w:r>
        <w:rPr>
          <w:spacing w:val="-5"/>
        </w:rPr>
        <w:t> </w:t>
      </w:r>
      <w:r>
        <w:rPr/>
        <w:t>Development and</w:t>
      </w:r>
      <w:r>
        <w:rPr>
          <w:spacing w:val="-3"/>
        </w:rPr>
        <w:t> </w:t>
      </w:r>
      <w:r>
        <w:rPr/>
        <w:t>testing</w:t>
      </w:r>
      <w:r>
        <w:rPr>
          <w:spacing w:val="-2"/>
        </w:rPr>
        <w:t> </w:t>
      </w:r>
      <w:r>
        <w:rPr/>
        <w:t>of</w:t>
      </w:r>
      <w:r>
        <w:rPr>
          <w:spacing w:val="-3"/>
        </w:rPr>
        <w:t> </w:t>
      </w:r>
      <w:r>
        <w:rPr/>
        <w:t>a</w:t>
      </w:r>
      <w:r>
        <w:rPr>
          <w:spacing w:val="-52"/>
        </w:rPr>
        <w:t> </w:t>
      </w:r>
      <w:r>
        <w:rPr/>
        <w:t>short form</w:t>
      </w:r>
      <w:r>
        <w:rPr>
          <w:spacing w:val="1"/>
        </w:rPr>
        <w:t> </w:t>
      </w:r>
      <w:r>
        <w:rPr/>
        <w:t>of</w:t>
      </w:r>
      <w:r>
        <w:rPr>
          <w:spacing w:val="-1"/>
        </w:rPr>
        <w:t> </w:t>
      </w:r>
      <w:r>
        <w:rPr/>
        <w:t>the</w:t>
      </w:r>
      <w:r>
        <w:rPr>
          <w:spacing w:val="-2"/>
        </w:rPr>
        <w:t> </w:t>
      </w:r>
      <w:r>
        <w:rPr/>
        <w:t>patient</w:t>
      </w:r>
      <w:r>
        <w:rPr>
          <w:spacing w:val="-2"/>
        </w:rPr>
        <w:t> </w:t>
      </w:r>
      <w:r>
        <w:rPr/>
        <w:t>activation measure.</w:t>
      </w:r>
      <w:r>
        <w:rPr>
          <w:spacing w:val="-4"/>
        </w:rPr>
        <w:t> </w:t>
      </w:r>
      <w:r>
        <w:rPr/>
        <w:t>Health Serv</w:t>
      </w:r>
      <w:r>
        <w:rPr>
          <w:spacing w:val="-2"/>
        </w:rPr>
        <w:t> </w:t>
      </w:r>
      <w:r>
        <w:rPr/>
        <w:t>Res</w:t>
      </w:r>
      <w:r>
        <w:rPr>
          <w:spacing w:val="-2"/>
        </w:rPr>
        <w:t> </w:t>
      </w:r>
      <w:r>
        <w:rPr/>
        <w:t>40:1918-30.</w:t>
      </w:r>
    </w:p>
    <w:p>
      <w:pPr>
        <w:pStyle w:val="BodyText"/>
        <w:spacing w:line="276" w:lineRule="auto" w:before="121"/>
        <w:ind w:left="1140" w:right="1465"/>
      </w:pPr>
      <w:bookmarkStart w:name="_bookmark118" w:id="119"/>
      <w:bookmarkEnd w:id="119"/>
      <w:r>
        <w:rPr/>
      </w:r>
      <w:r>
        <w:rPr/>
        <w:t>Hilmer, S.N., Mager, D.E., Simonsick, E.M., Cao, Y., Ling, S.M., Windham, B.G., Harris, T.B.,</w:t>
      </w:r>
      <w:r>
        <w:rPr>
          <w:spacing w:val="1"/>
        </w:rPr>
        <w:t> </w:t>
      </w:r>
      <w:r>
        <w:rPr/>
        <w:t>Hanlon,</w:t>
      </w:r>
      <w:r>
        <w:rPr>
          <w:spacing w:val="-5"/>
        </w:rPr>
        <w:t> </w:t>
      </w:r>
      <w:r>
        <w:rPr/>
        <w:t>J.T.,</w:t>
      </w:r>
      <w:r>
        <w:rPr>
          <w:spacing w:val="-5"/>
        </w:rPr>
        <w:t> </w:t>
      </w:r>
      <w:r>
        <w:rPr/>
        <w:t>Rubin,</w:t>
      </w:r>
      <w:r>
        <w:rPr>
          <w:spacing w:val="-5"/>
        </w:rPr>
        <w:t> </w:t>
      </w:r>
      <w:r>
        <w:rPr/>
        <w:t>S.M.,</w:t>
      </w:r>
      <w:r>
        <w:rPr>
          <w:spacing w:val="-3"/>
        </w:rPr>
        <w:t> </w:t>
      </w:r>
      <w:r>
        <w:rPr/>
        <w:t>et</w:t>
      </w:r>
      <w:r>
        <w:rPr>
          <w:spacing w:val="-1"/>
        </w:rPr>
        <w:t> </w:t>
      </w:r>
      <w:r>
        <w:rPr/>
        <w:t>al.,</w:t>
      </w:r>
      <w:r>
        <w:rPr>
          <w:spacing w:val="-4"/>
        </w:rPr>
        <w:t> </w:t>
      </w:r>
      <w:r>
        <w:rPr/>
        <w:t>2007. A</w:t>
      </w:r>
      <w:r>
        <w:rPr>
          <w:spacing w:val="-6"/>
        </w:rPr>
        <w:t> </w:t>
      </w:r>
      <w:r>
        <w:rPr/>
        <w:t>drug</w:t>
      </w:r>
      <w:r>
        <w:rPr>
          <w:spacing w:val="-3"/>
        </w:rPr>
        <w:t> </w:t>
      </w:r>
      <w:r>
        <w:rPr/>
        <w:t>burden</w:t>
      </w:r>
      <w:r>
        <w:rPr>
          <w:spacing w:val="-2"/>
        </w:rPr>
        <w:t> </w:t>
      </w:r>
      <w:r>
        <w:rPr/>
        <w:t>index</w:t>
      </w:r>
      <w:r>
        <w:rPr>
          <w:spacing w:val="-2"/>
        </w:rPr>
        <w:t> </w:t>
      </w:r>
      <w:r>
        <w:rPr/>
        <w:t>to</w:t>
      </w:r>
      <w:r>
        <w:rPr>
          <w:spacing w:val="-2"/>
        </w:rPr>
        <w:t> </w:t>
      </w:r>
      <w:r>
        <w:rPr/>
        <w:t>define</w:t>
      </w:r>
      <w:r>
        <w:rPr>
          <w:spacing w:val="-3"/>
        </w:rPr>
        <w:t> </w:t>
      </w:r>
      <w:r>
        <w:rPr/>
        <w:t>the</w:t>
      </w:r>
      <w:r>
        <w:rPr>
          <w:spacing w:val="-3"/>
        </w:rPr>
        <w:t> </w:t>
      </w:r>
      <w:r>
        <w:rPr/>
        <w:t>functional</w:t>
      </w:r>
      <w:r>
        <w:rPr>
          <w:spacing w:val="-2"/>
        </w:rPr>
        <w:t> </w:t>
      </w:r>
      <w:r>
        <w:rPr/>
        <w:t>burden</w:t>
      </w:r>
      <w:r>
        <w:rPr>
          <w:spacing w:val="-1"/>
        </w:rPr>
        <w:t> </w:t>
      </w:r>
      <w:r>
        <w:rPr/>
        <w:t>of</w:t>
      </w:r>
      <w:r>
        <w:rPr>
          <w:spacing w:val="-52"/>
        </w:rPr>
        <w:t> </w:t>
      </w:r>
      <w:r>
        <w:rPr/>
        <w:t>medications</w:t>
      </w:r>
      <w:r>
        <w:rPr>
          <w:spacing w:val="-2"/>
        </w:rPr>
        <w:t> </w:t>
      </w:r>
      <w:r>
        <w:rPr/>
        <w:t>in older</w:t>
      </w:r>
      <w:r>
        <w:rPr>
          <w:spacing w:val="-1"/>
        </w:rPr>
        <w:t> </w:t>
      </w:r>
      <w:r>
        <w:rPr/>
        <w:t>people.</w:t>
      </w:r>
      <w:r>
        <w:rPr>
          <w:spacing w:val="-2"/>
        </w:rPr>
        <w:t> </w:t>
      </w:r>
      <w:r>
        <w:rPr/>
        <w:t>Arch Intern Med</w:t>
      </w:r>
      <w:r>
        <w:rPr>
          <w:spacing w:val="-1"/>
        </w:rPr>
        <w:t> </w:t>
      </w:r>
      <w:r>
        <w:rPr/>
        <w:t>167:781-7.</w:t>
      </w:r>
    </w:p>
    <w:p>
      <w:pPr>
        <w:pStyle w:val="BodyText"/>
        <w:spacing w:line="276" w:lineRule="auto" w:before="119"/>
        <w:ind w:left="1140" w:right="1424"/>
      </w:pPr>
      <w:bookmarkStart w:name="_bookmark119" w:id="120"/>
      <w:bookmarkEnd w:id="120"/>
      <w:r>
        <w:rPr/>
      </w:r>
      <w:r>
        <w:rPr/>
        <w:t>Hurst, N.P., Ruta, D.A., Kind, P., 1998. Comparison of the MOS short form-12 (SF12) health status</w:t>
      </w:r>
      <w:r>
        <w:rPr>
          <w:spacing w:val="-53"/>
        </w:rPr>
        <w:t> </w:t>
      </w:r>
      <w:r>
        <w:rPr/>
        <w:t>questionnaire</w:t>
      </w:r>
      <w:r>
        <w:rPr>
          <w:spacing w:val="-3"/>
        </w:rPr>
        <w:t> </w:t>
      </w:r>
      <w:r>
        <w:rPr/>
        <w:t>with</w:t>
      </w:r>
      <w:r>
        <w:rPr>
          <w:spacing w:val="-3"/>
        </w:rPr>
        <w:t> </w:t>
      </w:r>
      <w:r>
        <w:rPr/>
        <w:t>the</w:t>
      </w:r>
      <w:r>
        <w:rPr>
          <w:spacing w:val="-3"/>
        </w:rPr>
        <w:t> </w:t>
      </w:r>
      <w:r>
        <w:rPr/>
        <w:t>SF36</w:t>
      </w:r>
      <w:r>
        <w:rPr>
          <w:spacing w:val="-2"/>
        </w:rPr>
        <w:t> </w:t>
      </w:r>
      <w:r>
        <w:rPr/>
        <w:t>in</w:t>
      </w:r>
      <w:r>
        <w:rPr>
          <w:spacing w:val="-2"/>
        </w:rPr>
        <w:t> </w:t>
      </w:r>
      <w:r>
        <w:rPr/>
        <w:t>patients</w:t>
      </w:r>
      <w:r>
        <w:rPr>
          <w:spacing w:val="-2"/>
        </w:rPr>
        <w:t> </w:t>
      </w:r>
      <w:r>
        <w:rPr/>
        <w:t>with</w:t>
      </w:r>
      <w:r>
        <w:rPr>
          <w:spacing w:val="-2"/>
        </w:rPr>
        <w:t> </w:t>
      </w:r>
      <w:r>
        <w:rPr/>
        <w:t>rheumatoid</w:t>
      </w:r>
      <w:r>
        <w:rPr>
          <w:spacing w:val="-2"/>
        </w:rPr>
        <w:t> </w:t>
      </w:r>
      <w:r>
        <w:rPr/>
        <w:t>arthritis.</w:t>
      </w:r>
      <w:r>
        <w:rPr>
          <w:spacing w:val="-5"/>
        </w:rPr>
        <w:t> </w:t>
      </w:r>
      <w:r>
        <w:rPr/>
        <w:t>Br</w:t>
      </w:r>
      <w:r>
        <w:rPr>
          <w:spacing w:val="-3"/>
        </w:rPr>
        <w:t> </w:t>
      </w:r>
      <w:r>
        <w:rPr/>
        <w:t>J</w:t>
      </w:r>
      <w:r>
        <w:rPr>
          <w:spacing w:val="1"/>
        </w:rPr>
        <w:t> </w:t>
      </w:r>
      <w:r>
        <w:rPr/>
        <w:t>Rheumatol</w:t>
      </w:r>
      <w:r>
        <w:rPr>
          <w:spacing w:val="-2"/>
        </w:rPr>
        <w:t> </w:t>
      </w:r>
      <w:r>
        <w:rPr/>
        <w:t>37:862-9.</w:t>
      </w:r>
    </w:p>
    <w:p>
      <w:pPr>
        <w:pStyle w:val="BodyText"/>
        <w:spacing w:line="276" w:lineRule="auto" w:before="120"/>
        <w:ind w:left="1140" w:right="1606"/>
      </w:pPr>
      <w:bookmarkStart w:name="_bookmark120" w:id="121"/>
      <w:bookmarkEnd w:id="121"/>
      <w:r>
        <w:rPr/>
      </w:r>
      <w:r>
        <w:rPr/>
        <w:t>Jackson, G.L., Powers, B.J., Chatterjee, R., Bettger, J.P., Kemper, A.R., Hasselblad, V., Dolor,</w:t>
      </w:r>
      <w:r>
        <w:rPr>
          <w:spacing w:val="1"/>
        </w:rPr>
        <w:t> </w:t>
      </w:r>
      <w:r>
        <w:rPr/>
        <w:t>R.J., Irvine, R.J., Heidenfelder, B.L., et al., 2013. Improving patient care. The patient centered</w:t>
      </w:r>
      <w:r>
        <w:rPr>
          <w:spacing w:val="-53"/>
        </w:rPr>
        <w:t> </w:t>
      </w:r>
      <w:r>
        <w:rPr/>
        <w:t>medical</w:t>
      </w:r>
      <w:r>
        <w:rPr>
          <w:spacing w:val="-1"/>
        </w:rPr>
        <w:t> </w:t>
      </w:r>
      <w:r>
        <w:rPr/>
        <w:t>home.</w:t>
      </w:r>
      <w:r>
        <w:rPr>
          <w:spacing w:val="-1"/>
        </w:rPr>
        <w:t> </w:t>
      </w:r>
      <w:r>
        <w:rPr/>
        <w:t>A</w:t>
      </w:r>
      <w:r>
        <w:rPr>
          <w:spacing w:val="-3"/>
        </w:rPr>
        <w:t> </w:t>
      </w:r>
      <w:r>
        <w:rPr/>
        <w:t>Systematic Review.</w:t>
      </w:r>
      <w:r>
        <w:rPr>
          <w:spacing w:val="-1"/>
        </w:rPr>
        <w:t> </w:t>
      </w:r>
      <w:r>
        <w:rPr/>
        <w:t>Ann</w:t>
      </w:r>
      <w:r>
        <w:rPr>
          <w:spacing w:val="-1"/>
        </w:rPr>
        <w:t> </w:t>
      </w:r>
      <w:r>
        <w:rPr/>
        <w:t>Intern</w:t>
      </w:r>
      <w:r>
        <w:rPr>
          <w:spacing w:val="-2"/>
        </w:rPr>
        <w:t> </w:t>
      </w:r>
      <w:r>
        <w:rPr/>
        <w:t>Med</w:t>
      </w:r>
      <w:r>
        <w:rPr>
          <w:spacing w:val="-1"/>
        </w:rPr>
        <w:t> </w:t>
      </w:r>
      <w:r>
        <w:rPr/>
        <w:t>158:169-78.</w:t>
      </w:r>
    </w:p>
    <w:p>
      <w:pPr>
        <w:pStyle w:val="BodyText"/>
        <w:spacing w:before="121"/>
        <w:ind w:left="1140"/>
        <w:jc w:val="both"/>
      </w:pPr>
      <w:bookmarkStart w:name="_bookmark121" w:id="122"/>
      <w:bookmarkEnd w:id="122"/>
      <w:r>
        <w:rPr/>
      </w:r>
      <w:r>
        <w:rPr/>
        <w:t>Lin,</w:t>
      </w:r>
      <w:r>
        <w:rPr>
          <w:spacing w:val="-4"/>
        </w:rPr>
        <w:t> </w:t>
      </w:r>
      <w:r>
        <w:rPr/>
        <w:t>H.W.,</w:t>
      </w:r>
      <w:r>
        <w:rPr>
          <w:spacing w:val="-2"/>
        </w:rPr>
        <w:t> </w:t>
      </w:r>
      <w:r>
        <w:rPr/>
        <w:t>Lin,</w:t>
      </w:r>
      <w:r>
        <w:rPr>
          <w:spacing w:val="-2"/>
        </w:rPr>
        <w:t> </w:t>
      </w:r>
      <w:r>
        <w:rPr/>
        <w:t>C.H.,</w:t>
      </w:r>
      <w:r>
        <w:rPr>
          <w:spacing w:val="-2"/>
        </w:rPr>
        <w:t> </w:t>
      </w:r>
      <w:r>
        <w:rPr/>
        <w:t>Chang, C.K.,</w:t>
      </w:r>
      <w:r>
        <w:rPr>
          <w:spacing w:val="-2"/>
        </w:rPr>
        <w:t> </w:t>
      </w:r>
      <w:r>
        <w:rPr/>
        <w:t>Chou,</w:t>
      </w:r>
      <w:r>
        <w:rPr>
          <w:spacing w:val="-2"/>
        </w:rPr>
        <w:t> </w:t>
      </w:r>
      <w:r>
        <w:rPr/>
        <w:t>C.Y.,</w:t>
      </w:r>
      <w:r>
        <w:rPr>
          <w:spacing w:val="-4"/>
        </w:rPr>
        <w:t> </w:t>
      </w:r>
      <w:r>
        <w:rPr/>
        <w:t>Yu,</w:t>
      </w:r>
      <w:r>
        <w:rPr>
          <w:spacing w:val="-3"/>
        </w:rPr>
        <w:t> </w:t>
      </w:r>
      <w:r>
        <w:rPr/>
        <w:t>I.W.,</w:t>
      </w:r>
      <w:r>
        <w:rPr>
          <w:spacing w:val="-2"/>
        </w:rPr>
        <w:t> </w:t>
      </w:r>
      <w:r>
        <w:rPr/>
        <w:t>Lin,</w:t>
      </w:r>
      <w:r>
        <w:rPr>
          <w:spacing w:val="-2"/>
        </w:rPr>
        <w:t> </w:t>
      </w:r>
      <w:r>
        <w:rPr/>
        <w:t>C.C.,</w:t>
      </w:r>
      <w:r>
        <w:rPr>
          <w:spacing w:val="-2"/>
        </w:rPr>
        <w:t> </w:t>
      </w:r>
      <w:r>
        <w:rPr/>
        <w:t>Li,</w:t>
      </w:r>
      <w:r>
        <w:rPr>
          <w:spacing w:val="-2"/>
        </w:rPr>
        <w:t> </w:t>
      </w:r>
      <w:r>
        <w:rPr/>
        <w:t>T.C.,</w:t>
      </w:r>
      <w:r>
        <w:rPr>
          <w:spacing w:val="-1"/>
        </w:rPr>
        <w:t> </w:t>
      </w:r>
      <w:r>
        <w:rPr/>
        <w:t>Li,</w:t>
      </w:r>
      <w:r>
        <w:rPr>
          <w:spacing w:val="-2"/>
        </w:rPr>
        <w:t> </w:t>
      </w:r>
      <w:r>
        <w:rPr/>
        <w:t>C.I.,</w:t>
      </w:r>
      <w:r>
        <w:rPr>
          <w:spacing w:val="-4"/>
        </w:rPr>
        <w:t> </w:t>
      </w:r>
      <w:r>
        <w:rPr/>
        <w:t>Hsieh,</w:t>
      </w:r>
      <w:r>
        <w:rPr>
          <w:spacing w:val="-4"/>
        </w:rPr>
        <w:t> </w:t>
      </w:r>
      <w:r>
        <w:rPr/>
        <w:t>Y.W.,</w:t>
      </w:r>
      <w:r>
        <w:rPr>
          <w:spacing w:val="-3"/>
        </w:rPr>
        <w:t> </w:t>
      </w:r>
      <w:r>
        <w:rPr/>
        <w:t>2018.</w:t>
      </w:r>
    </w:p>
    <w:p>
      <w:pPr>
        <w:pStyle w:val="BodyText"/>
        <w:spacing w:line="276" w:lineRule="auto" w:before="35"/>
        <w:ind w:left="1140" w:right="2029"/>
      </w:pPr>
      <w:r>
        <w:rPr/>
        <w:t>Economic outcomes of pharmacist-physician medication therapy management for</w:t>
      </w:r>
      <w:r>
        <w:rPr>
          <w:spacing w:val="1"/>
        </w:rPr>
        <w:t> </w:t>
      </w:r>
      <w:r>
        <w:rPr/>
        <w:t>polypharmacy</w:t>
      </w:r>
      <w:r>
        <w:rPr>
          <w:spacing w:val="-6"/>
        </w:rPr>
        <w:t> </w:t>
      </w:r>
      <w:r>
        <w:rPr/>
        <w:t>elderly:</w:t>
      </w:r>
      <w:r>
        <w:rPr>
          <w:spacing w:val="-1"/>
        </w:rPr>
        <w:t> </w:t>
      </w:r>
      <w:r>
        <w:rPr/>
        <w:t>A</w:t>
      </w:r>
      <w:r>
        <w:rPr>
          <w:spacing w:val="-5"/>
        </w:rPr>
        <w:t> </w:t>
      </w:r>
      <w:r>
        <w:rPr/>
        <w:t>prospective,</w:t>
      </w:r>
      <w:r>
        <w:rPr>
          <w:spacing w:val="-7"/>
        </w:rPr>
        <w:t> </w:t>
      </w:r>
      <w:r>
        <w:rPr/>
        <w:t>randomized,</w:t>
      </w:r>
      <w:r>
        <w:rPr>
          <w:spacing w:val="-6"/>
        </w:rPr>
        <w:t> </w:t>
      </w:r>
      <w:r>
        <w:rPr/>
        <w:t>controlled</w:t>
      </w:r>
      <w:r>
        <w:rPr>
          <w:spacing w:val="-4"/>
        </w:rPr>
        <w:t> </w:t>
      </w:r>
      <w:r>
        <w:rPr/>
        <w:t>trial.</w:t>
      </w:r>
      <w:r>
        <w:rPr>
          <w:spacing w:val="-6"/>
        </w:rPr>
        <w:t> </w:t>
      </w:r>
      <w:r>
        <w:rPr/>
        <w:t>J</w:t>
      </w:r>
      <w:r>
        <w:rPr>
          <w:spacing w:val="-4"/>
        </w:rPr>
        <w:t> </w:t>
      </w:r>
      <w:r>
        <w:rPr/>
        <w:t>Formos</w:t>
      </w:r>
      <w:r>
        <w:rPr>
          <w:spacing w:val="-3"/>
        </w:rPr>
        <w:t> </w:t>
      </w:r>
      <w:r>
        <w:rPr/>
        <w:t>Med</w:t>
      </w:r>
      <w:r>
        <w:rPr>
          <w:spacing w:val="-1"/>
        </w:rPr>
        <w:t> </w:t>
      </w:r>
      <w:r>
        <w:rPr/>
        <w:t>Assoc</w:t>
      </w:r>
      <w:r>
        <w:rPr>
          <w:spacing w:val="-53"/>
        </w:rPr>
        <w:t> </w:t>
      </w:r>
      <w:r>
        <w:rPr/>
        <w:t>117:235-43.</w:t>
      </w:r>
    </w:p>
    <w:p>
      <w:pPr>
        <w:pStyle w:val="BodyText"/>
        <w:spacing w:line="276" w:lineRule="auto" w:before="122"/>
        <w:ind w:left="1140" w:right="798"/>
      </w:pPr>
      <w:bookmarkStart w:name="_bookmark122" w:id="123"/>
      <w:bookmarkEnd w:id="123"/>
      <w:r>
        <w:rPr/>
      </w:r>
      <w:r>
        <w:rPr/>
        <w:t>MacColl</w:t>
      </w:r>
      <w:r>
        <w:rPr>
          <w:spacing w:val="-4"/>
        </w:rPr>
        <w:t> </w:t>
      </w:r>
      <w:r>
        <w:rPr/>
        <w:t>Center</w:t>
      </w:r>
      <w:r>
        <w:rPr>
          <w:spacing w:val="-5"/>
        </w:rPr>
        <w:t> </w:t>
      </w:r>
      <w:r>
        <w:rPr/>
        <w:t>for</w:t>
      </w:r>
      <w:r>
        <w:rPr>
          <w:spacing w:val="-4"/>
        </w:rPr>
        <w:t> </w:t>
      </w:r>
      <w:r>
        <w:rPr/>
        <w:t>Health</w:t>
      </w:r>
      <w:r>
        <w:rPr>
          <w:spacing w:val="-4"/>
        </w:rPr>
        <w:t> </w:t>
      </w:r>
      <w:r>
        <w:rPr/>
        <w:t>Care</w:t>
      </w:r>
      <w:r>
        <w:rPr>
          <w:spacing w:val="-4"/>
        </w:rPr>
        <w:t> </w:t>
      </w:r>
      <w:r>
        <w:rPr/>
        <w:t>Innovation</w:t>
      </w:r>
      <w:r>
        <w:rPr>
          <w:spacing w:val="-4"/>
        </w:rPr>
        <w:t> </w:t>
      </w:r>
      <w:r>
        <w:rPr/>
        <w:t>at</w:t>
      </w:r>
      <w:r>
        <w:rPr>
          <w:spacing w:val="-3"/>
        </w:rPr>
        <w:t> </w:t>
      </w:r>
      <w:r>
        <w:rPr/>
        <w:t>Group</w:t>
      </w:r>
      <w:r>
        <w:rPr>
          <w:spacing w:val="-3"/>
        </w:rPr>
        <w:t> </w:t>
      </w:r>
      <w:r>
        <w:rPr/>
        <w:t>Health</w:t>
      </w:r>
      <w:r>
        <w:rPr>
          <w:spacing w:val="-4"/>
        </w:rPr>
        <w:t> </w:t>
      </w:r>
      <w:r>
        <w:rPr/>
        <w:t>Research</w:t>
      </w:r>
      <w:r>
        <w:rPr>
          <w:spacing w:val="-4"/>
        </w:rPr>
        <w:t> </w:t>
      </w:r>
      <w:r>
        <w:rPr/>
        <w:t>Institute,</w:t>
      </w:r>
      <w:r>
        <w:rPr>
          <w:spacing w:val="-4"/>
        </w:rPr>
        <w:t> </w:t>
      </w:r>
      <w:r>
        <w:rPr/>
        <w:t>Qualis</w:t>
      </w:r>
      <w:r>
        <w:rPr>
          <w:spacing w:val="-5"/>
        </w:rPr>
        <w:t> </w:t>
      </w:r>
      <w:r>
        <w:rPr/>
        <w:t>Health,</w:t>
      </w:r>
      <w:r>
        <w:rPr>
          <w:spacing w:val="-52"/>
        </w:rPr>
        <w:t> </w:t>
      </w:r>
      <w:r>
        <w:rPr/>
        <w:t>WentWest,</w:t>
      </w:r>
      <w:r>
        <w:rPr>
          <w:spacing w:val="-2"/>
        </w:rPr>
        <w:t> </w:t>
      </w:r>
      <w:r>
        <w:rPr/>
        <w:t>AGPAL,</w:t>
      </w:r>
      <w:r>
        <w:rPr>
          <w:spacing w:val="-1"/>
        </w:rPr>
        <w:t> </w:t>
      </w:r>
      <w:r>
        <w:rPr/>
        <w:t>2017.</w:t>
      </w:r>
      <w:r>
        <w:rPr>
          <w:spacing w:val="-2"/>
        </w:rPr>
        <w:t> </w:t>
      </w:r>
      <w:r>
        <w:rPr/>
        <w:t>Health Care</w:t>
      </w:r>
      <w:r>
        <w:rPr>
          <w:spacing w:val="-2"/>
        </w:rPr>
        <w:t> </w:t>
      </w:r>
      <w:r>
        <w:rPr/>
        <w:t>Home</w:t>
      </w:r>
      <w:r>
        <w:rPr>
          <w:spacing w:val="2"/>
        </w:rPr>
        <w:t> </w:t>
      </w:r>
      <w:r>
        <w:rPr/>
        <w:t>Assessment,</w:t>
      </w:r>
      <w:r>
        <w:rPr>
          <w:spacing w:val="-4"/>
        </w:rPr>
        <w:t> </w:t>
      </w:r>
      <w:r>
        <w:rPr/>
        <w:t>Brisbane.</w:t>
      </w:r>
    </w:p>
    <w:p>
      <w:pPr>
        <w:pStyle w:val="BodyText"/>
        <w:spacing w:line="276" w:lineRule="auto" w:before="120"/>
        <w:ind w:left="1140" w:right="1826"/>
      </w:pPr>
      <w:bookmarkStart w:name="_bookmark123" w:id="124"/>
      <w:bookmarkEnd w:id="124"/>
      <w:r>
        <w:rPr/>
      </w:r>
      <w:r>
        <w:rPr/>
        <w:t>Matzke, G.R., Moczygemba, L.R., Williams, K.J., Czar, M.J., Lee, W.T., 2018. Impact of a</w:t>
      </w:r>
      <w:r>
        <w:rPr>
          <w:spacing w:val="1"/>
        </w:rPr>
        <w:t> </w:t>
      </w:r>
      <w:r>
        <w:rPr/>
        <w:t>pharmacist-physician collaborative care model on patient outcomes and health services</w:t>
      </w:r>
      <w:r>
        <w:rPr>
          <w:spacing w:val="-53"/>
        </w:rPr>
        <w:t> </w:t>
      </w:r>
      <w:r>
        <w:rPr/>
        <w:t>utilization.</w:t>
      </w:r>
      <w:r>
        <w:rPr>
          <w:spacing w:val="-2"/>
        </w:rPr>
        <w:t> </w:t>
      </w:r>
      <w:r>
        <w:rPr/>
        <w:t>Am</w:t>
      </w:r>
      <w:r>
        <w:rPr>
          <w:spacing w:val="2"/>
        </w:rPr>
        <w:t> </w:t>
      </w:r>
      <w:r>
        <w:rPr/>
        <w:t>J</w:t>
      </w:r>
      <w:r>
        <w:rPr>
          <w:spacing w:val="-1"/>
        </w:rPr>
        <w:t> </w:t>
      </w:r>
      <w:r>
        <w:rPr/>
        <w:t>Health</w:t>
      </w:r>
      <w:r>
        <w:rPr>
          <w:spacing w:val="-1"/>
        </w:rPr>
        <w:t> </w:t>
      </w:r>
      <w:r>
        <w:rPr/>
        <w:t>Syst</w:t>
      </w:r>
      <w:r>
        <w:rPr>
          <w:spacing w:val="1"/>
        </w:rPr>
        <w:t> </w:t>
      </w:r>
      <w:r>
        <w:rPr/>
        <w:t>Pharm</w:t>
      </w:r>
      <w:r>
        <w:rPr>
          <w:spacing w:val="4"/>
        </w:rPr>
        <w:t> </w:t>
      </w:r>
      <w:r>
        <w:rPr/>
        <w:t>75:1039-47.</w:t>
      </w:r>
    </w:p>
    <w:p>
      <w:pPr>
        <w:pStyle w:val="BodyText"/>
        <w:spacing w:line="276" w:lineRule="auto" w:before="119"/>
        <w:ind w:left="1140" w:right="1378"/>
      </w:pPr>
      <w:bookmarkStart w:name="_bookmark124" w:id="125"/>
      <w:bookmarkEnd w:id="125"/>
      <w:r>
        <w:rPr/>
      </w:r>
      <w:r>
        <w:rPr/>
        <w:t>McFarland,</w:t>
      </w:r>
      <w:r>
        <w:rPr>
          <w:spacing w:val="-5"/>
        </w:rPr>
        <w:t> </w:t>
      </w:r>
      <w:r>
        <w:rPr/>
        <w:t>S.M.,</w:t>
      </w:r>
      <w:r>
        <w:rPr>
          <w:spacing w:val="-5"/>
        </w:rPr>
        <w:t> </w:t>
      </w:r>
      <w:r>
        <w:rPr/>
        <w:t>Wallace,</w:t>
      </w:r>
      <w:r>
        <w:rPr>
          <w:spacing w:val="-5"/>
        </w:rPr>
        <w:t> </w:t>
      </w:r>
      <w:r>
        <w:rPr/>
        <w:t>J.P.,</w:t>
      </w:r>
      <w:r>
        <w:rPr>
          <w:spacing w:val="-5"/>
        </w:rPr>
        <w:t> </w:t>
      </w:r>
      <w:r>
        <w:rPr/>
        <w:t>Parra,</w:t>
      </w:r>
      <w:r>
        <w:rPr>
          <w:spacing w:val="-3"/>
        </w:rPr>
        <w:t> </w:t>
      </w:r>
      <w:r>
        <w:rPr/>
        <w:t>J.,</w:t>
      </w:r>
      <w:r>
        <w:rPr>
          <w:spacing w:val="-5"/>
        </w:rPr>
        <w:t> </w:t>
      </w:r>
      <w:r>
        <w:rPr/>
        <w:t>Baker,</w:t>
      </w:r>
      <w:r>
        <w:rPr>
          <w:spacing w:val="-5"/>
        </w:rPr>
        <w:t> </w:t>
      </w:r>
      <w:r>
        <w:rPr/>
        <w:t>J.,</w:t>
      </w:r>
      <w:r>
        <w:rPr>
          <w:spacing w:val="-3"/>
        </w:rPr>
        <w:t> </w:t>
      </w:r>
      <w:r>
        <w:rPr/>
        <w:t>2014.</w:t>
      </w:r>
      <w:r>
        <w:rPr>
          <w:spacing w:val="-5"/>
        </w:rPr>
        <w:t> </w:t>
      </w:r>
      <w:r>
        <w:rPr/>
        <w:t>Evaluation</w:t>
      </w:r>
      <w:r>
        <w:rPr>
          <w:spacing w:val="-2"/>
        </w:rPr>
        <w:t> </w:t>
      </w:r>
      <w:r>
        <w:rPr/>
        <w:t>of</w:t>
      </w:r>
      <w:r>
        <w:rPr>
          <w:spacing w:val="-3"/>
        </w:rPr>
        <w:t> </w:t>
      </w:r>
      <w:r>
        <w:rPr/>
        <w:t>patient</w:t>
      </w:r>
      <w:r>
        <w:rPr>
          <w:spacing w:val="-1"/>
        </w:rPr>
        <w:t> </w:t>
      </w:r>
      <w:r>
        <w:rPr/>
        <w:t>satisfaction</w:t>
      </w:r>
      <w:r>
        <w:rPr>
          <w:spacing w:val="-4"/>
        </w:rPr>
        <w:t> </w:t>
      </w:r>
      <w:r>
        <w:rPr/>
        <w:t>with</w:t>
      </w:r>
      <w:r>
        <w:rPr>
          <w:spacing w:val="-52"/>
        </w:rPr>
        <w:t> </w:t>
      </w:r>
      <w:r>
        <w:rPr/>
        <w:t>diabetes management provided by clinical pharmacists in the patient-centered medical</w:t>
      </w:r>
      <w:r>
        <w:rPr>
          <w:spacing w:val="1"/>
        </w:rPr>
        <w:t> </w:t>
      </w:r>
      <w:r>
        <w:rPr/>
        <w:t>home.</w:t>
      </w:r>
      <w:r>
        <w:rPr>
          <w:spacing w:val="-4"/>
        </w:rPr>
        <w:t> </w:t>
      </w:r>
      <w:r>
        <w:rPr/>
        <w:t>Patient</w:t>
      </w:r>
      <w:r>
        <w:rPr>
          <w:spacing w:val="1"/>
        </w:rPr>
        <w:t> </w:t>
      </w:r>
      <w:r>
        <w:rPr/>
        <w:t>7:115-21.</w:t>
      </w:r>
    </w:p>
    <w:p>
      <w:pPr>
        <w:pStyle w:val="BodyText"/>
        <w:spacing w:line="276" w:lineRule="auto" w:before="121"/>
        <w:ind w:left="1140" w:right="1103"/>
      </w:pPr>
      <w:bookmarkStart w:name="_bookmark125" w:id="126"/>
      <w:bookmarkEnd w:id="126"/>
      <w:r>
        <w:rPr/>
      </w:r>
      <w:r>
        <w:rPr/>
        <w:t>Medical</w:t>
      </w:r>
      <w:r>
        <w:rPr>
          <w:spacing w:val="-3"/>
        </w:rPr>
        <w:t> </w:t>
      </w:r>
      <w:r>
        <w:rPr/>
        <w:t>Research</w:t>
      </w:r>
      <w:r>
        <w:rPr>
          <w:spacing w:val="-3"/>
        </w:rPr>
        <w:t> </w:t>
      </w:r>
      <w:r>
        <w:rPr/>
        <w:t>Council,</w:t>
      </w:r>
      <w:r>
        <w:rPr>
          <w:spacing w:val="-6"/>
        </w:rPr>
        <w:t> </w:t>
      </w:r>
      <w:r>
        <w:rPr/>
        <w:t>2006.</w:t>
      </w:r>
      <w:r>
        <w:rPr>
          <w:spacing w:val="-5"/>
        </w:rPr>
        <w:t> </w:t>
      </w:r>
      <w:r>
        <w:rPr/>
        <w:t>Developing</w:t>
      </w:r>
      <w:r>
        <w:rPr>
          <w:spacing w:val="-4"/>
        </w:rPr>
        <w:t> </w:t>
      </w:r>
      <w:r>
        <w:rPr/>
        <w:t>and</w:t>
      </w:r>
      <w:r>
        <w:rPr>
          <w:spacing w:val="-3"/>
        </w:rPr>
        <w:t> </w:t>
      </w:r>
      <w:r>
        <w:rPr/>
        <w:t>evaluating</w:t>
      </w:r>
      <w:r>
        <w:rPr>
          <w:spacing w:val="-4"/>
        </w:rPr>
        <w:t> </w:t>
      </w:r>
      <w:r>
        <w:rPr/>
        <w:t>complex</w:t>
      </w:r>
      <w:r>
        <w:rPr>
          <w:spacing w:val="-4"/>
        </w:rPr>
        <w:t> </w:t>
      </w:r>
      <w:r>
        <w:rPr/>
        <w:t>interventions.</w:t>
      </w:r>
      <w:r>
        <w:rPr>
          <w:spacing w:val="-6"/>
        </w:rPr>
        <w:t> </w:t>
      </w:r>
      <w:r>
        <w:rPr/>
        <w:t>MRC,</w:t>
      </w:r>
      <w:r>
        <w:rPr>
          <w:spacing w:val="-53"/>
        </w:rPr>
        <w:t> </w:t>
      </w:r>
      <w:r>
        <w:rPr/>
        <w:t>London.</w:t>
      </w:r>
    </w:p>
    <w:p>
      <w:pPr>
        <w:pStyle w:val="BodyText"/>
        <w:spacing w:line="276" w:lineRule="auto" w:before="121"/>
        <w:ind w:left="1140" w:right="1675"/>
      </w:pPr>
      <w:bookmarkStart w:name="_bookmark126" w:id="127"/>
      <w:bookmarkEnd w:id="127"/>
      <w:r>
        <w:rPr/>
      </w:r>
      <w:r>
        <w:rPr/>
        <w:t>Migliozzi, D.R., Zullo, A.R., Collins, C., Elsaid, K.A., 2015. Achieving blood pressure control</w:t>
      </w:r>
      <w:r>
        <w:rPr>
          <w:spacing w:val="1"/>
        </w:rPr>
        <w:t> </w:t>
      </w:r>
      <w:r>
        <w:rPr/>
        <w:t>among</w:t>
      </w:r>
      <w:r>
        <w:rPr>
          <w:spacing w:val="-4"/>
        </w:rPr>
        <w:t> </w:t>
      </w:r>
      <w:r>
        <w:rPr/>
        <w:t>renal</w:t>
      </w:r>
      <w:r>
        <w:rPr>
          <w:spacing w:val="-4"/>
        </w:rPr>
        <w:t> </w:t>
      </w:r>
      <w:r>
        <w:rPr/>
        <w:t>transplant</w:t>
      </w:r>
      <w:r>
        <w:rPr>
          <w:spacing w:val="-3"/>
        </w:rPr>
        <w:t> </w:t>
      </w:r>
      <w:r>
        <w:rPr/>
        <w:t>recipients</w:t>
      </w:r>
      <w:r>
        <w:rPr>
          <w:spacing w:val="-5"/>
        </w:rPr>
        <w:t> </w:t>
      </w:r>
      <w:r>
        <w:rPr/>
        <w:t>by</w:t>
      </w:r>
      <w:r>
        <w:rPr>
          <w:spacing w:val="-5"/>
        </w:rPr>
        <w:t> </w:t>
      </w:r>
      <w:r>
        <w:rPr/>
        <w:t>integrating</w:t>
      </w:r>
      <w:r>
        <w:rPr>
          <w:spacing w:val="-6"/>
        </w:rPr>
        <w:t> </w:t>
      </w:r>
      <w:r>
        <w:rPr/>
        <w:t>electronic</w:t>
      </w:r>
      <w:r>
        <w:rPr>
          <w:spacing w:val="-4"/>
        </w:rPr>
        <w:t> </w:t>
      </w:r>
      <w:r>
        <w:rPr/>
        <w:t>health</w:t>
      </w:r>
      <w:r>
        <w:rPr>
          <w:spacing w:val="-6"/>
        </w:rPr>
        <w:t> </w:t>
      </w:r>
      <w:r>
        <w:rPr/>
        <w:t>technology</w:t>
      </w:r>
      <w:r>
        <w:rPr>
          <w:spacing w:val="-4"/>
        </w:rPr>
        <w:t> </w:t>
      </w:r>
      <w:r>
        <w:rPr/>
        <w:t>and</w:t>
      </w:r>
      <w:r>
        <w:rPr>
          <w:spacing w:val="-5"/>
        </w:rPr>
        <w:t> </w:t>
      </w:r>
      <w:r>
        <w:rPr/>
        <w:t>clinical</w:t>
      </w:r>
      <w:r>
        <w:rPr>
          <w:spacing w:val="-53"/>
        </w:rPr>
        <w:t> </w:t>
      </w:r>
      <w:r>
        <w:rPr/>
        <w:t>pharmacy</w:t>
      </w:r>
      <w:r>
        <w:rPr>
          <w:spacing w:val="-3"/>
        </w:rPr>
        <w:t> </w:t>
      </w:r>
      <w:r>
        <w:rPr/>
        <w:t>services.</w:t>
      </w:r>
      <w:r>
        <w:rPr>
          <w:spacing w:val="2"/>
        </w:rPr>
        <w:t> </w:t>
      </w:r>
      <w:r>
        <w:rPr/>
        <w:t>Am</w:t>
      </w:r>
      <w:r>
        <w:rPr>
          <w:spacing w:val="2"/>
        </w:rPr>
        <w:t> </w:t>
      </w:r>
      <w:r>
        <w:rPr/>
        <w:t>J</w:t>
      </w:r>
      <w:r>
        <w:rPr>
          <w:spacing w:val="1"/>
        </w:rPr>
        <w:t> </w:t>
      </w:r>
      <w:r>
        <w:rPr/>
        <w:t>Health Syst</w:t>
      </w:r>
      <w:r>
        <w:rPr>
          <w:spacing w:val="1"/>
        </w:rPr>
        <w:t> </w:t>
      </w:r>
      <w:r>
        <w:rPr/>
        <w:t>Pharm</w:t>
      </w:r>
      <w:r>
        <w:rPr>
          <w:spacing w:val="-2"/>
        </w:rPr>
        <w:t> </w:t>
      </w:r>
      <w:r>
        <w:rPr/>
        <w:t>72:1987-92.</w:t>
      </w:r>
    </w:p>
    <w:p>
      <w:pPr>
        <w:pStyle w:val="BodyText"/>
        <w:spacing w:line="276" w:lineRule="auto" w:before="118"/>
        <w:ind w:left="1140" w:right="1675"/>
      </w:pPr>
      <w:bookmarkStart w:name="_bookmark127" w:id="128"/>
      <w:bookmarkEnd w:id="128"/>
      <w:r>
        <w:rPr/>
      </w:r>
      <w:r>
        <w:rPr/>
        <w:t>Mosquera,</w:t>
      </w:r>
      <w:r>
        <w:rPr>
          <w:spacing w:val="-4"/>
        </w:rPr>
        <w:t> </w:t>
      </w:r>
      <w:r>
        <w:rPr/>
        <w:t>R.A., Avritscher,</w:t>
      </w:r>
      <w:r>
        <w:rPr>
          <w:spacing w:val="-5"/>
        </w:rPr>
        <w:t> </w:t>
      </w:r>
      <w:r>
        <w:rPr/>
        <w:t>E.B.,</w:t>
      </w:r>
      <w:r>
        <w:rPr>
          <w:spacing w:val="-3"/>
        </w:rPr>
        <w:t> </w:t>
      </w:r>
      <w:r>
        <w:rPr/>
        <w:t>Samuels,</w:t>
      </w:r>
      <w:r>
        <w:rPr>
          <w:spacing w:val="-4"/>
        </w:rPr>
        <w:t> </w:t>
      </w:r>
      <w:r>
        <w:rPr/>
        <w:t>C.L.,</w:t>
      </w:r>
      <w:r>
        <w:rPr>
          <w:spacing w:val="-5"/>
        </w:rPr>
        <w:t> </w:t>
      </w:r>
      <w:r>
        <w:rPr/>
        <w:t>Harris,</w:t>
      </w:r>
      <w:r>
        <w:rPr>
          <w:spacing w:val="-3"/>
        </w:rPr>
        <w:t> </w:t>
      </w:r>
      <w:r>
        <w:rPr/>
        <w:t>T.S.,</w:t>
      </w:r>
      <w:r>
        <w:rPr>
          <w:spacing w:val="-3"/>
        </w:rPr>
        <w:t> </w:t>
      </w:r>
      <w:r>
        <w:rPr/>
        <w:t>Pedroza,</w:t>
      </w:r>
      <w:r>
        <w:rPr>
          <w:spacing w:val="-3"/>
        </w:rPr>
        <w:t> </w:t>
      </w:r>
      <w:r>
        <w:rPr/>
        <w:t>C.,</w:t>
      </w:r>
      <w:r>
        <w:rPr>
          <w:spacing w:val="-5"/>
        </w:rPr>
        <w:t> </w:t>
      </w:r>
      <w:r>
        <w:rPr/>
        <w:t>Evans,</w:t>
      </w:r>
      <w:r>
        <w:rPr>
          <w:spacing w:val="-4"/>
        </w:rPr>
        <w:t> </w:t>
      </w:r>
      <w:r>
        <w:rPr/>
        <w:t>P.,</w:t>
      </w:r>
      <w:r>
        <w:rPr>
          <w:spacing w:val="-3"/>
        </w:rPr>
        <w:t> </w:t>
      </w:r>
      <w:r>
        <w:rPr/>
        <w:t>Navarro,</w:t>
      </w:r>
      <w:r>
        <w:rPr>
          <w:spacing w:val="-3"/>
        </w:rPr>
        <w:t> </w:t>
      </w:r>
      <w:r>
        <w:rPr/>
        <w:t>F.,</w:t>
      </w:r>
      <w:r>
        <w:rPr>
          <w:spacing w:val="-52"/>
        </w:rPr>
        <w:t> </w:t>
      </w:r>
      <w:r>
        <w:rPr/>
        <w:t>Wootton, S.H., Pacheco, S., et al., 2014. Effect of an enhanced medical home on serious</w:t>
      </w:r>
      <w:r>
        <w:rPr>
          <w:spacing w:val="1"/>
        </w:rPr>
        <w:t> </w:t>
      </w:r>
      <w:r>
        <w:rPr/>
        <w:t>illness and cost of care among high-risk children with chronic illness: a randomized clinical</w:t>
      </w:r>
      <w:r>
        <w:rPr>
          <w:spacing w:val="1"/>
        </w:rPr>
        <w:t> </w:t>
      </w:r>
      <w:r>
        <w:rPr/>
        <w:t>trial.</w:t>
      </w:r>
      <w:r>
        <w:rPr>
          <w:spacing w:val="-4"/>
        </w:rPr>
        <w:t> </w:t>
      </w:r>
      <w:r>
        <w:rPr/>
        <w:t>Jama 312:2640-8.</w:t>
      </w:r>
    </w:p>
    <w:p>
      <w:pPr>
        <w:pStyle w:val="BodyText"/>
        <w:spacing w:line="276" w:lineRule="auto" w:before="120"/>
        <w:ind w:left="1140" w:right="1649"/>
        <w:jc w:val="both"/>
      </w:pPr>
      <w:bookmarkStart w:name="_bookmark128" w:id="129"/>
      <w:bookmarkEnd w:id="129"/>
      <w:r>
        <w:rPr/>
      </w:r>
      <w:r>
        <w:rPr/>
        <w:t>Murray,</w:t>
      </w:r>
      <w:r>
        <w:rPr>
          <w:spacing w:val="-4"/>
        </w:rPr>
        <w:t> </w:t>
      </w:r>
      <w:r>
        <w:rPr/>
        <w:t>C.J.L.,</w:t>
      </w:r>
      <w:r>
        <w:rPr>
          <w:spacing w:val="-5"/>
        </w:rPr>
        <w:t> </w:t>
      </w:r>
      <w:r>
        <w:rPr/>
        <w:t>Evans,</w:t>
      </w:r>
      <w:r>
        <w:rPr>
          <w:spacing w:val="-6"/>
        </w:rPr>
        <w:t> </w:t>
      </w:r>
      <w:r>
        <w:rPr/>
        <w:t>D.B.,</w:t>
      </w:r>
      <w:r>
        <w:rPr>
          <w:spacing w:val="-5"/>
        </w:rPr>
        <w:t> </w:t>
      </w:r>
      <w:r>
        <w:rPr/>
        <w:t>2003.</w:t>
      </w:r>
      <w:r>
        <w:rPr>
          <w:spacing w:val="-6"/>
        </w:rPr>
        <w:t> </w:t>
      </w:r>
      <w:r>
        <w:rPr/>
        <w:t>Health</w:t>
      </w:r>
      <w:r>
        <w:rPr>
          <w:spacing w:val="-2"/>
        </w:rPr>
        <w:t> </w:t>
      </w:r>
      <w:r>
        <w:rPr/>
        <w:t>systems</w:t>
      </w:r>
      <w:r>
        <w:rPr>
          <w:spacing w:val="-4"/>
        </w:rPr>
        <w:t> </w:t>
      </w:r>
      <w:r>
        <w:rPr/>
        <w:t>performance</w:t>
      </w:r>
      <w:r>
        <w:rPr>
          <w:spacing w:val="-4"/>
        </w:rPr>
        <w:t> </w:t>
      </w:r>
      <w:r>
        <w:rPr/>
        <w:t>assessment:</w:t>
      </w:r>
      <w:r>
        <w:rPr>
          <w:spacing w:val="-3"/>
        </w:rPr>
        <w:t> </w:t>
      </w:r>
      <w:r>
        <w:rPr/>
        <w:t>Goals,</w:t>
      </w:r>
      <w:r>
        <w:rPr>
          <w:spacing w:val="-6"/>
        </w:rPr>
        <w:t> </w:t>
      </w:r>
      <w:r>
        <w:rPr/>
        <w:t>framework</w:t>
      </w:r>
      <w:r>
        <w:rPr>
          <w:spacing w:val="-53"/>
        </w:rPr>
        <w:t> </w:t>
      </w:r>
      <w:r>
        <w:rPr/>
        <w:t>and overview, in: Murray, C.J.L., Evans, D.B. (Eds.), Health systems performance assessment:</w:t>
      </w:r>
      <w:r>
        <w:rPr>
          <w:spacing w:val="-53"/>
        </w:rPr>
        <w:t> </w:t>
      </w:r>
      <w:r>
        <w:rPr/>
        <w:t>Debates,</w:t>
      </w:r>
      <w:r>
        <w:rPr>
          <w:spacing w:val="-4"/>
        </w:rPr>
        <w:t> </w:t>
      </w:r>
      <w:r>
        <w:rPr/>
        <w:t>methids</w:t>
      </w:r>
      <w:r>
        <w:rPr>
          <w:spacing w:val="-1"/>
        </w:rPr>
        <w:t> </w:t>
      </w:r>
      <w:r>
        <w:rPr/>
        <w:t>and</w:t>
      </w:r>
      <w:r>
        <w:rPr>
          <w:spacing w:val="-1"/>
        </w:rPr>
        <w:t> </w:t>
      </w:r>
      <w:r>
        <w:rPr/>
        <w:t>empiricism.</w:t>
      </w:r>
      <w:r>
        <w:rPr>
          <w:spacing w:val="-3"/>
        </w:rPr>
        <w:t> </w:t>
      </w:r>
      <w:r>
        <w:rPr/>
        <w:t>WHO,</w:t>
      </w:r>
      <w:r>
        <w:rPr>
          <w:spacing w:val="-1"/>
        </w:rPr>
        <w:t> </w:t>
      </w:r>
      <w:r>
        <w:rPr/>
        <w:t>Geneva,</w:t>
      </w:r>
      <w:r>
        <w:rPr>
          <w:spacing w:val="-3"/>
        </w:rPr>
        <w:t> </w:t>
      </w:r>
      <w:r>
        <w:rPr/>
        <w:t>pp.</w:t>
      </w:r>
      <w:r>
        <w:rPr>
          <w:spacing w:val="-3"/>
        </w:rPr>
        <w:t> </w:t>
      </w:r>
      <w:r>
        <w:rPr/>
        <w:t>3-18.</w:t>
      </w:r>
    </w:p>
    <w:p>
      <w:pPr>
        <w:spacing w:after="0" w:line="276" w:lineRule="auto"/>
        <w:jc w:val="both"/>
        <w:sectPr>
          <w:pgSz w:w="11910" w:h="16840"/>
          <w:pgMar w:header="0" w:footer="678" w:top="1340" w:bottom="860" w:left="300" w:right="0"/>
        </w:sectPr>
      </w:pPr>
    </w:p>
    <w:p>
      <w:pPr>
        <w:pStyle w:val="BodyText"/>
        <w:spacing w:line="276" w:lineRule="auto" w:before="82"/>
        <w:ind w:left="1140" w:right="1809"/>
        <w:jc w:val="both"/>
      </w:pPr>
      <w:r>
        <w:rPr/>
        <w:t>Peikes,</w:t>
      </w:r>
      <w:r>
        <w:rPr>
          <w:spacing w:val="-5"/>
        </w:rPr>
        <w:t> </w:t>
      </w:r>
      <w:r>
        <w:rPr/>
        <w:t>D.,</w:t>
      </w:r>
      <w:r>
        <w:rPr>
          <w:spacing w:val="-4"/>
        </w:rPr>
        <w:t> </w:t>
      </w:r>
      <w:r>
        <w:rPr/>
        <w:t>Zutshi,</w:t>
      </w:r>
      <w:r>
        <w:rPr>
          <w:spacing w:val="-2"/>
        </w:rPr>
        <w:t> </w:t>
      </w:r>
      <w:r>
        <w:rPr/>
        <w:t>A.,</w:t>
      </w:r>
      <w:r>
        <w:rPr>
          <w:spacing w:val="-2"/>
        </w:rPr>
        <w:t> </w:t>
      </w:r>
      <w:r>
        <w:rPr/>
        <w:t>Genevro,</w:t>
      </w:r>
      <w:r>
        <w:rPr>
          <w:spacing w:val="-4"/>
        </w:rPr>
        <w:t> </w:t>
      </w:r>
      <w:r>
        <w:rPr/>
        <w:t>J.L.,</w:t>
      </w:r>
      <w:r>
        <w:rPr>
          <w:spacing w:val="-4"/>
        </w:rPr>
        <w:t> </w:t>
      </w:r>
      <w:r>
        <w:rPr/>
        <w:t>Parchman,</w:t>
      </w:r>
      <w:r>
        <w:rPr>
          <w:spacing w:val="-4"/>
        </w:rPr>
        <w:t> </w:t>
      </w:r>
      <w:r>
        <w:rPr/>
        <w:t>M.L.,</w:t>
      </w:r>
      <w:r>
        <w:rPr>
          <w:spacing w:val="-4"/>
        </w:rPr>
        <w:t> </w:t>
      </w:r>
      <w:r>
        <w:rPr/>
        <w:t>Meyers,</w:t>
      </w:r>
      <w:r>
        <w:rPr>
          <w:spacing w:val="-4"/>
        </w:rPr>
        <w:t> </w:t>
      </w:r>
      <w:r>
        <w:rPr/>
        <w:t>D.S.,</w:t>
      </w:r>
      <w:r>
        <w:rPr>
          <w:spacing w:val="-4"/>
        </w:rPr>
        <w:t> </w:t>
      </w:r>
      <w:r>
        <w:rPr/>
        <w:t>2012.</w:t>
      </w:r>
      <w:r>
        <w:rPr>
          <w:spacing w:val="-4"/>
        </w:rPr>
        <w:t> </w:t>
      </w:r>
      <w:r>
        <w:rPr/>
        <w:t>Early</w:t>
      </w:r>
      <w:r>
        <w:rPr>
          <w:spacing w:val="-1"/>
        </w:rPr>
        <w:t> </w:t>
      </w:r>
      <w:r>
        <w:rPr/>
        <w:t>evaluations</w:t>
      </w:r>
      <w:r>
        <w:rPr>
          <w:spacing w:val="-2"/>
        </w:rPr>
        <w:t> </w:t>
      </w:r>
      <w:r>
        <w:rPr/>
        <w:t>of</w:t>
      </w:r>
      <w:r>
        <w:rPr>
          <w:spacing w:val="-53"/>
        </w:rPr>
        <w:t> </w:t>
      </w:r>
      <w:r>
        <w:rPr/>
        <w:t>the</w:t>
      </w:r>
      <w:r>
        <w:rPr>
          <w:spacing w:val="-2"/>
        </w:rPr>
        <w:t> </w:t>
      </w:r>
      <w:r>
        <w:rPr/>
        <w:t>medical</w:t>
      </w:r>
      <w:r>
        <w:rPr>
          <w:spacing w:val="-1"/>
        </w:rPr>
        <w:t> </w:t>
      </w:r>
      <w:r>
        <w:rPr/>
        <w:t>home:</w:t>
      </w:r>
      <w:r>
        <w:rPr>
          <w:spacing w:val="-4"/>
        </w:rPr>
        <w:t> </w:t>
      </w:r>
      <w:r>
        <w:rPr/>
        <w:t>building</w:t>
      </w:r>
      <w:r>
        <w:rPr>
          <w:spacing w:val="-1"/>
        </w:rPr>
        <w:t> </w:t>
      </w:r>
      <w:r>
        <w:rPr/>
        <w:t>on</w:t>
      </w:r>
      <w:r>
        <w:rPr>
          <w:spacing w:val="-2"/>
        </w:rPr>
        <w:t> </w:t>
      </w:r>
      <w:r>
        <w:rPr/>
        <w:t>a</w:t>
      </w:r>
      <w:r>
        <w:rPr>
          <w:spacing w:val="-1"/>
        </w:rPr>
        <w:t> </w:t>
      </w:r>
      <w:r>
        <w:rPr/>
        <w:t>promising</w:t>
      </w:r>
      <w:r>
        <w:rPr>
          <w:spacing w:val="-2"/>
        </w:rPr>
        <w:t> </w:t>
      </w:r>
      <w:r>
        <w:rPr/>
        <w:t>start.</w:t>
      </w:r>
      <w:r>
        <w:rPr>
          <w:spacing w:val="-1"/>
        </w:rPr>
        <w:t> </w:t>
      </w:r>
      <w:r>
        <w:rPr/>
        <w:t>Am</w:t>
      </w:r>
      <w:r>
        <w:rPr>
          <w:spacing w:val="1"/>
        </w:rPr>
        <w:t> </w:t>
      </w:r>
      <w:r>
        <w:rPr/>
        <w:t>J</w:t>
      </w:r>
      <w:r>
        <w:rPr>
          <w:spacing w:val="-2"/>
        </w:rPr>
        <w:t> </w:t>
      </w:r>
      <w:r>
        <w:rPr/>
        <w:t>Manag</w:t>
      </w:r>
      <w:r>
        <w:rPr>
          <w:spacing w:val="-2"/>
        </w:rPr>
        <w:t> </w:t>
      </w:r>
      <w:r>
        <w:rPr/>
        <w:t>Care</w:t>
      </w:r>
      <w:r>
        <w:rPr>
          <w:spacing w:val="2"/>
        </w:rPr>
        <w:t> </w:t>
      </w:r>
      <w:r>
        <w:rPr/>
        <w:t>18:105-16.</w:t>
      </w:r>
    </w:p>
    <w:p>
      <w:pPr>
        <w:pStyle w:val="BodyText"/>
        <w:spacing w:line="276" w:lineRule="auto" w:before="120"/>
        <w:ind w:left="1140" w:right="1906"/>
        <w:jc w:val="both"/>
      </w:pPr>
      <w:bookmarkStart w:name="_bookmark129" w:id="130"/>
      <w:bookmarkEnd w:id="130"/>
      <w:r>
        <w:rPr/>
      </w:r>
      <w:r>
        <w:rPr/>
        <w:t>Pollack,</w:t>
      </w:r>
      <w:r>
        <w:rPr>
          <w:spacing w:val="-3"/>
        </w:rPr>
        <w:t> </w:t>
      </w:r>
      <w:r>
        <w:rPr/>
        <w:t>C.E.,</w:t>
      </w:r>
      <w:r>
        <w:rPr>
          <w:spacing w:val="-4"/>
        </w:rPr>
        <w:t> </w:t>
      </w:r>
      <w:r>
        <w:rPr/>
        <w:t>Weissman,</w:t>
      </w:r>
      <w:r>
        <w:rPr>
          <w:spacing w:val="-2"/>
        </w:rPr>
        <w:t> </w:t>
      </w:r>
      <w:r>
        <w:rPr/>
        <w:t>G.E.,</w:t>
      </w:r>
      <w:r>
        <w:rPr>
          <w:spacing w:val="-4"/>
        </w:rPr>
        <w:t> </w:t>
      </w:r>
      <w:r>
        <w:rPr/>
        <w:t>Lemke,</w:t>
      </w:r>
      <w:r>
        <w:rPr>
          <w:spacing w:val="-2"/>
        </w:rPr>
        <w:t> </w:t>
      </w:r>
      <w:r>
        <w:rPr/>
        <w:t>K.W.,</w:t>
      </w:r>
      <w:r>
        <w:rPr>
          <w:spacing w:val="-4"/>
        </w:rPr>
        <w:t> </w:t>
      </w:r>
      <w:r>
        <w:rPr/>
        <w:t>Hussey,</w:t>
      </w:r>
      <w:r>
        <w:rPr>
          <w:spacing w:val="-5"/>
        </w:rPr>
        <w:t> </w:t>
      </w:r>
      <w:r>
        <w:rPr/>
        <w:t>P.S.,</w:t>
      </w:r>
      <w:r>
        <w:rPr>
          <w:spacing w:val="-4"/>
        </w:rPr>
        <w:t> </w:t>
      </w:r>
      <w:r>
        <w:rPr/>
        <w:t>Weiner,</w:t>
      </w:r>
      <w:r>
        <w:rPr>
          <w:spacing w:val="-4"/>
        </w:rPr>
        <w:t> </w:t>
      </w:r>
      <w:r>
        <w:rPr/>
        <w:t>J.P.,</w:t>
      </w:r>
      <w:r>
        <w:rPr>
          <w:spacing w:val="-4"/>
        </w:rPr>
        <w:t> </w:t>
      </w:r>
      <w:r>
        <w:rPr/>
        <w:t>2013.</w:t>
      </w:r>
      <w:r>
        <w:rPr>
          <w:spacing w:val="-4"/>
        </w:rPr>
        <w:t> </w:t>
      </w:r>
      <w:r>
        <w:rPr/>
        <w:t>Patient sharing</w:t>
      </w:r>
      <w:r>
        <w:rPr>
          <w:spacing w:val="-53"/>
        </w:rPr>
        <w:t> </w:t>
      </w:r>
      <w:r>
        <w:rPr/>
        <w:t>among physicians and costs of care: a network analytic approach to care coordination</w:t>
      </w:r>
      <w:r>
        <w:rPr>
          <w:spacing w:val="-53"/>
        </w:rPr>
        <w:t> </w:t>
      </w:r>
      <w:r>
        <w:rPr/>
        <w:t>using</w:t>
      </w:r>
      <w:r>
        <w:rPr>
          <w:spacing w:val="-2"/>
        </w:rPr>
        <w:t> </w:t>
      </w:r>
      <w:r>
        <w:rPr/>
        <w:t>claims</w:t>
      </w:r>
      <w:r>
        <w:rPr>
          <w:spacing w:val="-1"/>
        </w:rPr>
        <w:t> </w:t>
      </w:r>
      <w:r>
        <w:rPr/>
        <w:t>data.</w:t>
      </w:r>
      <w:r>
        <w:rPr>
          <w:spacing w:val="-3"/>
        </w:rPr>
        <w:t> </w:t>
      </w:r>
      <w:r>
        <w:rPr/>
        <w:t>J</w:t>
      </w:r>
      <w:r>
        <w:rPr>
          <w:spacing w:val="2"/>
        </w:rPr>
        <w:t> </w:t>
      </w:r>
      <w:r>
        <w:rPr/>
        <w:t>Gen</w:t>
      </w:r>
      <w:r>
        <w:rPr>
          <w:spacing w:val="1"/>
        </w:rPr>
        <w:t> </w:t>
      </w:r>
      <w:r>
        <w:rPr/>
        <w:t>Intern Med</w:t>
      </w:r>
      <w:r>
        <w:rPr>
          <w:spacing w:val="-1"/>
        </w:rPr>
        <w:t> </w:t>
      </w:r>
      <w:r>
        <w:rPr/>
        <w:t>28:459-65.</w:t>
      </w:r>
    </w:p>
    <w:p>
      <w:pPr>
        <w:pStyle w:val="BodyText"/>
        <w:spacing w:line="276" w:lineRule="auto" w:before="119"/>
        <w:ind w:left="1140" w:right="1378"/>
      </w:pPr>
      <w:bookmarkStart w:name="_bookmark130" w:id="131"/>
      <w:bookmarkEnd w:id="131"/>
      <w:r>
        <w:rPr/>
      </w:r>
      <w:r>
        <w:rPr/>
        <w:t>Pousinho, S., Morgado, M., Falcao, A., Alves, G., 2016. Pharmacist Interventions in the</w:t>
      </w:r>
      <w:r>
        <w:rPr>
          <w:spacing w:val="1"/>
        </w:rPr>
        <w:t> </w:t>
      </w:r>
      <w:r>
        <w:rPr/>
        <w:t>Management</w:t>
      </w:r>
      <w:r>
        <w:rPr>
          <w:spacing w:val="-3"/>
        </w:rPr>
        <w:t> </w:t>
      </w:r>
      <w:r>
        <w:rPr/>
        <w:t>of</w:t>
      </w:r>
      <w:r>
        <w:rPr>
          <w:spacing w:val="-4"/>
        </w:rPr>
        <w:t> </w:t>
      </w:r>
      <w:r>
        <w:rPr/>
        <w:t>Type</w:t>
      </w:r>
      <w:r>
        <w:rPr>
          <w:spacing w:val="-5"/>
        </w:rPr>
        <w:t> </w:t>
      </w:r>
      <w:r>
        <w:rPr/>
        <w:t>2</w:t>
      </w:r>
      <w:r>
        <w:rPr>
          <w:spacing w:val="-1"/>
        </w:rPr>
        <w:t> </w:t>
      </w:r>
      <w:r>
        <w:rPr/>
        <w:t>Diabetes</w:t>
      </w:r>
      <w:r>
        <w:rPr>
          <w:spacing w:val="-4"/>
        </w:rPr>
        <w:t> </w:t>
      </w:r>
      <w:r>
        <w:rPr/>
        <w:t>Mellitus:</w:t>
      </w:r>
      <w:r>
        <w:rPr>
          <w:spacing w:val="-5"/>
        </w:rPr>
        <w:t> </w:t>
      </w:r>
      <w:r>
        <w:rPr/>
        <w:t>A</w:t>
      </w:r>
      <w:r>
        <w:rPr>
          <w:spacing w:val="-5"/>
        </w:rPr>
        <w:t> </w:t>
      </w:r>
      <w:r>
        <w:rPr/>
        <w:t>Systematic</w:t>
      </w:r>
      <w:r>
        <w:rPr>
          <w:spacing w:val="-3"/>
        </w:rPr>
        <w:t> </w:t>
      </w:r>
      <w:r>
        <w:rPr/>
        <w:t>Review</w:t>
      </w:r>
      <w:r>
        <w:rPr>
          <w:spacing w:val="-2"/>
        </w:rPr>
        <w:t> </w:t>
      </w:r>
      <w:r>
        <w:rPr/>
        <w:t>of</w:t>
      </w:r>
      <w:r>
        <w:rPr>
          <w:spacing w:val="-4"/>
        </w:rPr>
        <w:t> </w:t>
      </w:r>
      <w:r>
        <w:rPr/>
        <w:t>Randomized</w:t>
      </w:r>
      <w:r>
        <w:rPr>
          <w:spacing w:val="-4"/>
        </w:rPr>
        <w:t> </w:t>
      </w:r>
      <w:r>
        <w:rPr/>
        <w:t>Controlled</w:t>
      </w:r>
      <w:r>
        <w:rPr>
          <w:spacing w:val="-53"/>
        </w:rPr>
        <w:t> </w:t>
      </w:r>
      <w:r>
        <w:rPr/>
        <w:t>Trials.</w:t>
      </w:r>
      <w:r>
        <w:rPr>
          <w:spacing w:val="-2"/>
        </w:rPr>
        <w:t> </w:t>
      </w:r>
      <w:r>
        <w:rPr/>
        <w:t>J</w:t>
      </w:r>
      <w:r>
        <w:rPr>
          <w:spacing w:val="-1"/>
        </w:rPr>
        <w:t> </w:t>
      </w:r>
      <w:r>
        <w:rPr/>
        <w:t>Manag</w:t>
      </w:r>
      <w:r>
        <w:rPr>
          <w:spacing w:val="-1"/>
        </w:rPr>
        <w:t> </w:t>
      </w:r>
      <w:r>
        <w:rPr/>
        <w:t>Care</w:t>
      </w:r>
      <w:r>
        <w:rPr>
          <w:spacing w:val="-1"/>
        </w:rPr>
        <w:t> </w:t>
      </w:r>
      <w:r>
        <w:rPr/>
        <w:t>Spec Pharm</w:t>
      </w:r>
      <w:r>
        <w:rPr>
          <w:spacing w:val="-1"/>
        </w:rPr>
        <w:t> </w:t>
      </w:r>
      <w:r>
        <w:rPr/>
        <w:t>22:493-515.</w:t>
      </w:r>
    </w:p>
    <w:p>
      <w:pPr>
        <w:pStyle w:val="BodyText"/>
        <w:spacing w:line="276" w:lineRule="auto" w:before="121"/>
        <w:ind w:left="1140" w:right="1875"/>
      </w:pPr>
      <w:bookmarkStart w:name="_bookmark131" w:id="132"/>
      <w:bookmarkEnd w:id="132"/>
      <w:r>
        <w:rPr/>
      </w:r>
      <w:r>
        <w:rPr/>
        <w:t>Primary Health Care Advisory Group, 2015. Better Outcomes for People with Chronic and</w:t>
      </w:r>
      <w:r>
        <w:rPr>
          <w:spacing w:val="-54"/>
        </w:rPr>
        <w:t> </w:t>
      </w:r>
      <w:r>
        <w:rPr/>
        <w:t>Complex</w:t>
      </w:r>
      <w:r>
        <w:rPr>
          <w:spacing w:val="-2"/>
        </w:rPr>
        <w:t> </w:t>
      </w:r>
      <w:r>
        <w:rPr/>
        <w:t>Health Conditions:</w:t>
      </w:r>
      <w:r>
        <w:rPr>
          <w:spacing w:val="-4"/>
        </w:rPr>
        <w:t> </w:t>
      </w:r>
      <w:r>
        <w:rPr/>
        <w:t>Final Report.</w:t>
      </w:r>
      <w:r>
        <w:rPr>
          <w:spacing w:val="-3"/>
        </w:rPr>
        <w:t> </w:t>
      </w:r>
      <w:r>
        <w:rPr/>
        <w:t>Department of</w:t>
      </w:r>
      <w:r>
        <w:rPr>
          <w:spacing w:val="-1"/>
        </w:rPr>
        <w:t> </w:t>
      </w:r>
      <w:r>
        <w:rPr/>
        <w:t>Health.</w:t>
      </w:r>
    </w:p>
    <w:p>
      <w:pPr>
        <w:pStyle w:val="BodyText"/>
        <w:spacing w:line="276" w:lineRule="auto" w:before="121"/>
        <w:ind w:left="1140" w:right="1773"/>
      </w:pPr>
      <w:bookmarkStart w:name="_bookmark132" w:id="133"/>
      <w:bookmarkEnd w:id="133"/>
      <w:r>
        <w:rPr/>
      </w:r>
      <w:r>
        <w:rPr/>
        <w:t>Prudencio, J., Cutler, T., Roberts, S., Marin, S., Wilson, M., 2018. The Effect of Clinical</w:t>
      </w:r>
      <w:r>
        <w:rPr>
          <w:spacing w:val="1"/>
        </w:rPr>
        <w:t> </w:t>
      </w:r>
      <w:r>
        <w:rPr/>
        <w:t>Pharmacist-Led</w:t>
      </w:r>
      <w:r>
        <w:rPr>
          <w:spacing w:val="-6"/>
        </w:rPr>
        <w:t> </w:t>
      </w:r>
      <w:r>
        <w:rPr/>
        <w:t>Comprehensive</w:t>
      </w:r>
      <w:r>
        <w:rPr>
          <w:spacing w:val="-4"/>
        </w:rPr>
        <w:t> </w:t>
      </w:r>
      <w:r>
        <w:rPr/>
        <w:t>Medication</w:t>
      </w:r>
      <w:r>
        <w:rPr>
          <w:spacing w:val="-5"/>
        </w:rPr>
        <w:t> </w:t>
      </w:r>
      <w:r>
        <w:rPr/>
        <w:t>Management</w:t>
      </w:r>
      <w:r>
        <w:rPr>
          <w:spacing w:val="-3"/>
        </w:rPr>
        <w:t> </w:t>
      </w:r>
      <w:r>
        <w:rPr/>
        <w:t>on</w:t>
      </w:r>
      <w:r>
        <w:rPr>
          <w:spacing w:val="-4"/>
        </w:rPr>
        <w:t> </w:t>
      </w:r>
      <w:r>
        <w:rPr/>
        <w:t>Chronic</w:t>
      </w:r>
      <w:r>
        <w:rPr>
          <w:spacing w:val="-5"/>
        </w:rPr>
        <w:t> </w:t>
      </w:r>
      <w:r>
        <w:rPr/>
        <w:t>Disease</w:t>
      </w:r>
      <w:r>
        <w:rPr>
          <w:spacing w:val="-5"/>
        </w:rPr>
        <w:t> </w:t>
      </w:r>
      <w:r>
        <w:rPr/>
        <w:t>State</w:t>
      </w:r>
      <w:r>
        <w:rPr>
          <w:spacing w:val="-5"/>
        </w:rPr>
        <w:t> </w:t>
      </w:r>
      <w:r>
        <w:rPr/>
        <w:t>Goal</w:t>
      </w:r>
      <w:r>
        <w:rPr>
          <w:spacing w:val="-53"/>
        </w:rPr>
        <w:t> </w:t>
      </w:r>
      <w:r>
        <w:rPr/>
        <w:t>Attainment</w:t>
      </w:r>
      <w:r>
        <w:rPr>
          <w:spacing w:val="-1"/>
        </w:rPr>
        <w:t> </w:t>
      </w:r>
      <w:r>
        <w:rPr/>
        <w:t>in</w:t>
      </w:r>
      <w:r>
        <w:rPr>
          <w:spacing w:val="-2"/>
        </w:rPr>
        <w:t> </w:t>
      </w:r>
      <w:r>
        <w:rPr/>
        <w:t>a</w:t>
      </w:r>
      <w:r>
        <w:rPr>
          <w:spacing w:val="-2"/>
        </w:rPr>
        <w:t> </w:t>
      </w:r>
      <w:r>
        <w:rPr/>
        <w:t>Patient-Centered</w:t>
      </w:r>
      <w:r>
        <w:rPr>
          <w:spacing w:val="-2"/>
        </w:rPr>
        <w:t> </w:t>
      </w:r>
      <w:r>
        <w:rPr/>
        <w:t>Medical</w:t>
      </w:r>
      <w:r>
        <w:rPr>
          <w:spacing w:val="-2"/>
        </w:rPr>
        <w:t> </w:t>
      </w:r>
      <w:r>
        <w:rPr/>
        <w:t>Home.</w:t>
      </w:r>
      <w:r>
        <w:rPr>
          <w:spacing w:val="-5"/>
        </w:rPr>
        <w:t> </w:t>
      </w:r>
      <w:r>
        <w:rPr/>
        <w:t>J</w:t>
      </w:r>
      <w:r>
        <w:rPr>
          <w:spacing w:val="-3"/>
        </w:rPr>
        <w:t> </w:t>
      </w:r>
      <w:r>
        <w:rPr/>
        <w:t>Manag Care</w:t>
      </w:r>
      <w:r>
        <w:rPr>
          <w:spacing w:val="-3"/>
        </w:rPr>
        <w:t> </w:t>
      </w:r>
      <w:r>
        <w:rPr/>
        <w:t>Spec Pharm</w:t>
      </w:r>
      <w:r>
        <w:rPr>
          <w:spacing w:val="-3"/>
        </w:rPr>
        <w:t> </w:t>
      </w:r>
      <w:r>
        <w:rPr/>
        <w:t>24:423-29.</w:t>
      </w:r>
    </w:p>
    <w:p>
      <w:pPr>
        <w:pStyle w:val="BodyText"/>
        <w:spacing w:line="276" w:lineRule="auto" w:before="119"/>
        <w:ind w:left="1140" w:right="1577"/>
      </w:pPr>
      <w:bookmarkStart w:name="_bookmark133" w:id="134"/>
      <w:bookmarkEnd w:id="134"/>
      <w:r>
        <w:rPr/>
      </w:r>
      <w:r>
        <w:rPr/>
        <w:t>Ramalho</w:t>
      </w:r>
      <w:r>
        <w:rPr>
          <w:spacing w:val="-4"/>
        </w:rPr>
        <w:t> </w:t>
      </w:r>
      <w:r>
        <w:rPr/>
        <w:t>de Oliveira,</w:t>
      </w:r>
      <w:r>
        <w:rPr>
          <w:spacing w:val="-6"/>
        </w:rPr>
        <w:t> </w:t>
      </w:r>
      <w:r>
        <w:rPr/>
        <w:t>D.,</w:t>
      </w:r>
      <w:r>
        <w:rPr>
          <w:spacing w:val="-3"/>
        </w:rPr>
        <w:t> </w:t>
      </w:r>
      <w:r>
        <w:rPr/>
        <w:t>Brummel,</w:t>
      </w:r>
      <w:r>
        <w:rPr>
          <w:spacing w:val="-1"/>
        </w:rPr>
        <w:t> </w:t>
      </w:r>
      <w:r>
        <w:rPr/>
        <w:t>A.R.,</w:t>
      </w:r>
      <w:r>
        <w:rPr>
          <w:spacing w:val="-5"/>
        </w:rPr>
        <w:t> </w:t>
      </w:r>
      <w:r>
        <w:rPr/>
        <w:t>Miller,</w:t>
      </w:r>
      <w:r>
        <w:rPr>
          <w:spacing w:val="-5"/>
        </w:rPr>
        <w:t> </w:t>
      </w:r>
      <w:r>
        <w:rPr/>
        <w:t>D.B.,</w:t>
      </w:r>
      <w:r>
        <w:rPr>
          <w:spacing w:val="-6"/>
        </w:rPr>
        <w:t> </w:t>
      </w:r>
      <w:r>
        <w:rPr/>
        <w:t>2010.</w:t>
      </w:r>
      <w:r>
        <w:rPr>
          <w:spacing w:val="-5"/>
        </w:rPr>
        <w:t> </w:t>
      </w:r>
      <w:r>
        <w:rPr/>
        <w:t>Medication</w:t>
      </w:r>
      <w:r>
        <w:rPr>
          <w:spacing w:val="-2"/>
        </w:rPr>
        <w:t> </w:t>
      </w:r>
      <w:r>
        <w:rPr/>
        <w:t>therapy</w:t>
      </w:r>
      <w:r>
        <w:rPr>
          <w:spacing w:val="-5"/>
        </w:rPr>
        <w:t> </w:t>
      </w:r>
      <w:r>
        <w:rPr/>
        <w:t>management:</w:t>
      </w:r>
      <w:r>
        <w:rPr>
          <w:spacing w:val="-52"/>
        </w:rPr>
        <w:t> </w:t>
      </w:r>
      <w:r>
        <w:rPr/>
        <w:t>10 years of experience in a large integrated health care system. J Manag Care Pharm</w:t>
      </w:r>
      <w:r>
        <w:rPr>
          <w:spacing w:val="1"/>
        </w:rPr>
        <w:t> </w:t>
      </w:r>
      <w:r>
        <w:rPr/>
        <w:t>16:185-95.</w:t>
      </w:r>
    </w:p>
    <w:p>
      <w:pPr>
        <w:pStyle w:val="BodyText"/>
        <w:spacing w:line="276" w:lineRule="auto" w:before="121"/>
        <w:ind w:left="1140" w:right="1820"/>
      </w:pPr>
      <w:bookmarkStart w:name="_bookmark134" w:id="135"/>
      <w:bookmarkEnd w:id="135"/>
      <w:r>
        <w:rPr/>
      </w:r>
      <w:r>
        <w:rPr/>
        <w:t>Romanelli, R.J., Leahy, A., Jukes, T., Ishisaka, D.Y., 2015. Pharmacist-led medication</w:t>
      </w:r>
      <w:r>
        <w:rPr>
          <w:spacing w:val="1"/>
        </w:rPr>
        <w:t> </w:t>
      </w:r>
      <w:r>
        <w:rPr/>
        <w:t>management program within a patient-centered medical home. Am J Health Syst Pharm</w:t>
      </w:r>
      <w:r>
        <w:rPr>
          <w:spacing w:val="-53"/>
        </w:rPr>
        <w:t> </w:t>
      </w:r>
      <w:r>
        <w:rPr/>
        <w:t>72:453-9.</w:t>
      </w:r>
    </w:p>
    <w:p>
      <w:pPr>
        <w:pStyle w:val="BodyText"/>
        <w:spacing w:line="276" w:lineRule="auto" w:before="119"/>
        <w:ind w:left="1140" w:right="1378"/>
      </w:pPr>
      <w:bookmarkStart w:name="_bookmark135" w:id="136"/>
      <w:bookmarkEnd w:id="136"/>
      <w:r>
        <w:rPr/>
      </w:r>
      <w:r>
        <w:rPr/>
        <w:t>Rosenthal, M.B., Sinaiko, A.D., Eastman, D., Chapman, B., Partridge, G., 2015. Impact of the</w:t>
      </w:r>
      <w:r>
        <w:rPr>
          <w:spacing w:val="1"/>
        </w:rPr>
        <w:t> </w:t>
      </w:r>
      <w:r>
        <w:rPr/>
        <w:t>Rochester</w:t>
      </w:r>
      <w:r>
        <w:rPr>
          <w:spacing w:val="-4"/>
        </w:rPr>
        <w:t> </w:t>
      </w:r>
      <w:r>
        <w:rPr/>
        <w:t>Medical</w:t>
      </w:r>
      <w:r>
        <w:rPr>
          <w:spacing w:val="-3"/>
        </w:rPr>
        <w:t> </w:t>
      </w:r>
      <w:r>
        <w:rPr/>
        <w:t>Home</w:t>
      </w:r>
      <w:r>
        <w:rPr>
          <w:spacing w:val="-4"/>
        </w:rPr>
        <w:t> </w:t>
      </w:r>
      <w:r>
        <w:rPr/>
        <w:t>Initiative</w:t>
      </w:r>
      <w:r>
        <w:rPr>
          <w:spacing w:val="-4"/>
        </w:rPr>
        <w:t> </w:t>
      </w:r>
      <w:r>
        <w:rPr/>
        <w:t>on</w:t>
      </w:r>
      <w:r>
        <w:rPr>
          <w:spacing w:val="-3"/>
        </w:rPr>
        <w:t> </w:t>
      </w:r>
      <w:r>
        <w:rPr/>
        <w:t>Primary</w:t>
      </w:r>
      <w:r>
        <w:rPr>
          <w:spacing w:val="-3"/>
        </w:rPr>
        <w:t> </w:t>
      </w:r>
      <w:r>
        <w:rPr/>
        <w:t>Care</w:t>
      </w:r>
      <w:r>
        <w:rPr>
          <w:spacing w:val="-4"/>
        </w:rPr>
        <w:t> </w:t>
      </w:r>
      <w:r>
        <w:rPr/>
        <w:t>Practices,</w:t>
      </w:r>
      <w:r>
        <w:rPr>
          <w:spacing w:val="-4"/>
        </w:rPr>
        <w:t> </w:t>
      </w:r>
      <w:r>
        <w:rPr/>
        <w:t>Quality,</w:t>
      </w:r>
      <w:r>
        <w:rPr>
          <w:spacing w:val="-5"/>
        </w:rPr>
        <w:t> </w:t>
      </w:r>
      <w:r>
        <w:rPr/>
        <w:t>Utilization,</w:t>
      </w:r>
      <w:r>
        <w:rPr>
          <w:spacing w:val="-6"/>
        </w:rPr>
        <w:t> </w:t>
      </w:r>
      <w:r>
        <w:rPr/>
        <w:t>and</w:t>
      </w:r>
      <w:r>
        <w:rPr>
          <w:spacing w:val="-4"/>
        </w:rPr>
        <w:t> </w:t>
      </w:r>
      <w:r>
        <w:rPr/>
        <w:t>Costs.</w:t>
      </w:r>
      <w:r>
        <w:rPr>
          <w:spacing w:val="-52"/>
        </w:rPr>
        <w:t> </w:t>
      </w:r>
      <w:r>
        <w:rPr/>
        <w:t>Med</w:t>
      </w:r>
      <w:r>
        <w:rPr>
          <w:spacing w:val="-2"/>
        </w:rPr>
        <w:t> </w:t>
      </w:r>
      <w:r>
        <w:rPr/>
        <w:t>Care</w:t>
      </w:r>
      <w:r>
        <w:rPr>
          <w:spacing w:val="-1"/>
        </w:rPr>
        <w:t> </w:t>
      </w:r>
      <w:r>
        <w:rPr/>
        <w:t>53:967-73.</w:t>
      </w:r>
    </w:p>
    <w:p>
      <w:pPr>
        <w:pStyle w:val="BodyText"/>
        <w:spacing w:line="276" w:lineRule="auto" w:before="121"/>
        <w:ind w:left="1140" w:right="1675"/>
      </w:pPr>
      <w:bookmarkStart w:name="_bookmark136" w:id="137"/>
      <w:bookmarkEnd w:id="137"/>
      <w:r>
        <w:rPr/>
      </w:r>
      <w:r>
        <w:rPr/>
        <w:t>Roth,</w:t>
      </w:r>
      <w:r>
        <w:rPr>
          <w:spacing w:val="-5"/>
        </w:rPr>
        <w:t> </w:t>
      </w:r>
      <w:r>
        <w:rPr/>
        <w:t>M.T.,</w:t>
      </w:r>
      <w:r>
        <w:rPr>
          <w:spacing w:val="-5"/>
        </w:rPr>
        <w:t> </w:t>
      </w:r>
      <w:r>
        <w:rPr/>
        <w:t>Ivey,</w:t>
      </w:r>
      <w:r>
        <w:rPr>
          <w:spacing w:val="-5"/>
        </w:rPr>
        <w:t> </w:t>
      </w:r>
      <w:r>
        <w:rPr/>
        <w:t>J.L.,</w:t>
      </w:r>
      <w:r>
        <w:rPr>
          <w:spacing w:val="-3"/>
        </w:rPr>
        <w:t> </w:t>
      </w:r>
      <w:r>
        <w:rPr/>
        <w:t>Esserman,</w:t>
      </w:r>
      <w:r>
        <w:rPr>
          <w:spacing w:val="-4"/>
        </w:rPr>
        <w:t> </w:t>
      </w:r>
      <w:r>
        <w:rPr/>
        <w:t>D.A., Crisp,</w:t>
      </w:r>
      <w:r>
        <w:rPr>
          <w:spacing w:val="-3"/>
        </w:rPr>
        <w:t> </w:t>
      </w:r>
      <w:r>
        <w:rPr/>
        <w:t>G.,</w:t>
      </w:r>
      <w:r>
        <w:rPr>
          <w:spacing w:val="-5"/>
        </w:rPr>
        <w:t> </w:t>
      </w:r>
      <w:r>
        <w:rPr/>
        <w:t>Kurz,</w:t>
      </w:r>
      <w:r>
        <w:rPr>
          <w:spacing w:val="-3"/>
        </w:rPr>
        <w:t> </w:t>
      </w:r>
      <w:r>
        <w:rPr/>
        <w:t>J.,</w:t>
      </w:r>
      <w:r>
        <w:rPr>
          <w:spacing w:val="-4"/>
        </w:rPr>
        <w:t> </w:t>
      </w:r>
      <w:r>
        <w:rPr/>
        <w:t>Weinberger,</w:t>
      </w:r>
      <w:r>
        <w:rPr>
          <w:spacing w:val="-5"/>
        </w:rPr>
        <w:t> </w:t>
      </w:r>
      <w:r>
        <w:rPr/>
        <w:t>M.,</w:t>
      </w:r>
      <w:r>
        <w:rPr>
          <w:spacing w:val="-3"/>
        </w:rPr>
        <w:t> </w:t>
      </w:r>
      <w:r>
        <w:rPr/>
        <w:t>2013.</w:t>
      </w:r>
      <w:r>
        <w:rPr>
          <w:spacing w:val="-3"/>
        </w:rPr>
        <w:t> </w:t>
      </w:r>
      <w:r>
        <w:rPr/>
        <w:t>Individualized</w:t>
      </w:r>
      <w:r>
        <w:rPr>
          <w:spacing w:val="-52"/>
        </w:rPr>
        <w:t> </w:t>
      </w:r>
      <w:r>
        <w:rPr/>
        <w:t>medication assessment and planning: optimizing medication use in older adults in the</w:t>
      </w:r>
      <w:r>
        <w:rPr>
          <w:spacing w:val="1"/>
        </w:rPr>
        <w:t> </w:t>
      </w:r>
      <w:r>
        <w:rPr/>
        <w:t>primary</w:t>
      </w:r>
      <w:r>
        <w:rPr>
          <w:spacing w:val="-3"/>
        </w:rPr>
        <w:t> </w:t>
      </w:r>
      <w:r>
        <w:rPr/>
        <w:t>care</w:t>
      </w:r>
      <w:r>
        <w:rPr>
          <w:spacing w:val="-1"/>
        </w:rPr>
        <w:t> </w:t>
      </w:r>
      <w:r>
        <w:rPr/>
        <w:t>setting.</w:t>
      </w:r>
      <w:r>
        <w:rPr>
          <w:spacing w:val="-3"/>
        </w:rPr>
        <w:t> </w:t>
      </w:r>
      <w:r>
        <w:rPr/>
        <w:t>Pharmacotherapy</w:t>
      </w:r>
      <w:r>
        <w:rPr>
          <w:spacing w:val="-2"/>
        </w:rPr>
        <w:t> </w:t>
      </w:r>
      <w:r>
        <w:rPr/>
        <w:t>33:787-97.</w:t>
      </w:r>
    </w:p>
    <w:p>
      <w:pPr>
        <w:pStyle w:val="BodyText"/>
        <w:spacing w:line="276" w:lineRule="auto" w:before="119"/>
        <w:ind w:left="1140" w:right="1378"/>
      </w:pPr>
      <w:bookmarkStart w:name="_bookmark137" w:id="138"/>
      <w:bookmarkEnd w:id="138"/>
      <w:r>
        <w:rPr/>
      </w:r>
      <w:r>
        <w:rPr/>
        <w:t>Saultz,</w:t>
      </w:r>
      <w:r>
        <w:rPr>
          <w:spacing w:val="-6"/>
        </w:rPr>
        <w:t> </w:t>
      </w:r>
      <w:r>
        <w:rPr/>
        <w:t>J.W.,</w:t>
      </w:r>
      <w:r>
        <w:rPr>
          <w:spacing w:val="-6"/>
        </w:rPr>
        <w:t> </w:t>
      </w:r>
      <w:r>
        <w:rPr/>
        <w:t>2003.</w:t>
      </w:r>
      <w:r>
        <w:rPr>
          <w:spacing w:val="-5"/>
        </w:rPr>
        <w:t> </w:t>
      </w:r>
      <w:r>
        <w:rPr/>
        <w:t>Defining</w:t>
      </w:r>
      <w:r>
        <w:rPr>
          <w:spacing w:val="-4"/>
        </w:rPr>
        <w:t> </w:t>
      </w:r>
      <w:r>
        <w:rPr/>
        <w:t>and</w:t>
      </w:r>
      <w:r>
        <w:rPr>
          <w:spacing w:val="-4"/>
        </w:rPr>
        <w:t> </w:t>
      </w:r>
      <w:r>
        <w:rPr/>
        <w:t>Measuring</w:t>
      </w:r>
      <w:r>
        <w:rPr>
          <w:spacing w:val="-3"/>
        </w:rPr>
        <w:t> </w:t>
      </w:r>
      <w:r>
        <w:rPr/>
        <w:t>Interpersonal</w:t>
      </w:r>
      <w:r>
        <w:rPr>
          <w:spacing w:val="-3"/>
        </w:rPr>
        <w:t> </w:t>
      </w:r>
      <w:r>
        <w:rPr/>
        <w:t>Continuity</w:t>
      </w:r>
      <w:r>
        <w:rPr>
          <w:spacing w:val="-5"/>
        </w:rPr>
        <w:t> </w:t>
      </w:r>
      <w:r>
        <w:rPr/>
        <w:t>of</w:t>
      </w:r>
      <w:r>
        <w:rPr>
          <w:spacing w:val="-4"/>
        </w:rPr>
        <w:t> </w:t>
      </w:r>
      <w:r>
        <w:rPr/>
        <w:t>Care. The</w:t>
      </w:r>
      <w:r>
        <w:rPr>
          <w:spacing w:val="-1"/>
        </w:rPr>
        <w:t> </w:t>
      </w:r>
      <w:r>
        <w:rPr/>
        <w:t>Annals</w:t>
      </w:r>
      <w:r>
        <w:rPr>
          <w:spacing w:val="-4"/>
        </w:rPr>
        <w:t> </w:t>
      </w:r>
      <w:r>
        <w:rPr/>
        <w:t>of</w:t>
      </w:r>
      <w:r>
        <w:rPr>
          <w:spacing w:val="-52"/>
        </w:rPr>
        <w:t> </w:t>
      </w:r>
      <w:r>
        <w:rPr/>
        <w:t>Family</w:t>
      </w:r>
      <w:r>
        <w:rPr>
          <w:spacing w:val="-3"/>
        </w:rPr>
        <w:t> </w:t>
      </w:r>
      <w:r>
        <w:rPr/>
        <w:t>Medicine</w:t>
      </w:r>
      <w:r>
        <w:rPr>
          <w:spacing w:val="-1"/>
        </w:rPr>
        <w:t> </w:t>
      </w:r>
      <w:r>
        <w:rPr/>
        <w:t>1:134-43.</w:t>
      </w:r>
    </w:p>
    <w:p>
      <w:pPr>
        <w:pStyle w:val="BodyText"/>
        <w:spacing w:line="276" w:lineRule="auto" w:before="120"/>
        <w:ind w:left="1140" w:right="1543"/>
      </w:pPr>
      <w:bookmarkStart w:name="_bookmark138" w:id="139"/>
      <w:bookmarkEnd w:id="139"/>
      <w:r>
        <w:rPr/>
      </w:r>
      <w:r>
        <w:rPr/>
        <w:t>Slazak, E.M., Kozakiewicz, J.T., Winters, N.S., Smith, J.R., Monte, S.V., 2017. Statin Adherence</w:t>
      </w:r>
      <w:r>
        <w:rPr>
          <w:spacing w:val="1"/>
        </w:rPr>
        <w:t> </w:t>
      </w:r>
      <w:r>
        <w:rPr/>
        <w:t>Rates in Patients Utilizing a Patient-Centered Medical Home-Based Pharmacy. J Pharm Pract</w:t>
      </w:r>
      <w:r>
        <w:rPr>
          <w:spacing w:val="-53"/>
        </w:rPr>
        <w:t> </w:t>
      </w:r>
      <w:r>
        <w:rPr/>
        <w:t>30:516-20.</w:t>
      </w:r>
    </w:p>
    <w:p>
      <w:pPr>
        <w:pStyle w:val="BodyText"/>
        <w:spacing w:line="276" w:lineRule="auto" w:before="121"/>
        <w:ind w:left="1140" w:right="1617"/>
      </w:pPr>
      <w:bookmarkStart w:name="_bookmark139" w:id="140"/>
      <w:bookmarkEnd w:id="140"/>
      <w:r>
        <w:rPr/>
      </w:r>
      <w:r>
        <w:rPr/>
        <w:t>Stiefel M, K., N., 2012. A Guide to Measuring the Triple Aim: Population Health, Experience of</w:t>
      </w:r>
      <w:r>
        <w:rPr>
          <w:spacing w:val="-53"/>
        </w:rPr>
        <w:t> </w:t>
      </w:r>
      <w:r>
        <w:rPr/>
        <w:t>Care, and Per Capita Cost. IHI Innovation Series white paper. Institute for Healthcare</w:t>
      </w:r>
      <w:r>
        <w:rPr>
          <w:spacing w:val="1"/>
        </w:rPr>
        <w:t> </w:t>
      </w:r>
      <w:r>
        <w:rPr/>
        <w:t>Improvement,</w:t>
      </w:r>
      <w:r>
        <w:rPr>
          <w:spacing w:val="-4"/>
        </w:rPr>
        <w:t> </w:t>
      </w:r>
      <w:r>
        <w:rPr/>
        <w:t>Cambridge,</w:t>
      </w:r>
      <w:r>
        <w:rPr>
          <w:spacing w:val="-3"/>
        </w:rPr>
        <w:t> </w:t>
      </w:r>
      <w:r>
        <w:rPr/>
        <w:t>Massachusetts.</w:t>
      </w:r>
    </w:p>
    <w:p>
      <w:pPr>
        <w:pStyle w:val="BodyText"/>
        <w:spacing w:line="276" w:lineRule="auto" w:before="120"/>
        <w:ind w:left="1140" w:right="1695"/>
      </w:pPr>
      <w:bookmarkStart w:name="_bookmark140" w:id="141"/>
      <w:bookmarkEnd w:id="141"/>
      <w:r>
        <w:rPr/>
      </w:r>
      <w:r>
        <w:rPr/>
        <w:t>Tate, M.L., Hopper, S., Bergeron, S.P., 2018. Clinical and Economic Benefits of Pharmacist</w:t>
      </w:r>
      <w:r>
        <w:rPr>
          <w:spacing w:val="1"/>
        </w:rPr>
        <w:t> </w:t>
      </w:r>
      <w:r>
        <w:rPr/>
        <w:t>Involvement in a Community Hospital-Affiliated Patient-Centered Medical Home. J Manag</w:t>
      </w:r>
      <w:r>
        <w:rPr>
          <w:spacing w:val="-54"/>
        </w:rPr>
        <w:t> </w:t>
      </w:r>
      <w:r>
        <w:rPr/>
        <w:t>Care</w:t>
      </w:r>
      <w:r>
        <w:rPr>
          <w:spacing w:val="-2"/>
        </w:rPr>
        <w:t> </w:t>
      </w:r>
      <w:r>
        <w:rPr/>
        <w:t>Spec Pharm</w:t>
      </w:r>
      <w:r>
        <w:rPr>
          <w:spacing w:val="-1"/>
        </w:rPr>
        <w:t> </w:t>
      </w:r>
      <w:r>
        <w:rPr/>
        <w:t>24:160-64.</w:t>
      </w:r>
    </w:p>
    <w:p>
      <w:pPr>
        <w:pStyle w:val="BodyText"/>
        <w:spacing w:line="276" w:lineRule="auto" w:before="121"/>
        <w:ind w:left="1140" w:right="1610"/>
      </w:pPr>
      <w:bookmarkStart w:name="_bookmark141" w:id="142"/>
      <w:bookmarkEnd w:id="142"/>
      <w:r>
        <w:rPr/>
      </w:r>
      <w:r>
        <w:rPr/>
        <w:t>Vickers, A.J., 2003. How many repeated measures in repeated measures designs? Statistical</w:t>
      </w:r>
      <w:r>
        <w:rPr>
          <w:spacing w:val="-54"/>
        </w:rPr>
        <w:t> </w:t>
      </w:r>
      <w:r>
        <w:rPr/>
        <w:t>issues</w:t>
      </w:r>
      <w:r>
        <w:rPr>
          <w:spacing w:val="-2"/>
        </w:rPr>
        <w:t> </w:t>
      </w:r>
      <w:r>
        <w:rPr/>
        <w:t>for</w:t>
      </w:r>
      <w:r>
        <w:rPr>
          <w:spacing w:val="2"/>
        </w:rPr>
        <w:t> </w:t>
      </w:r>
      <w:r>
        <w:rPr/>
        <w:t>comparative</w:t>
      </w:r>
      <w:r>
        <w:rPr>
          <w:spacing w:val="-2"/>
        </w:rPr>
        <w:t> </w:t>
      </w:r>
      <w:r>
        <w:rPr/>
        <w:t>trials.</w:t>
      </w:r>
      <w:r>
        <w:rPr>
          <w:spacing w:val="-4"/>
        </w:rPr>
        <w:t> </w:t>
      </w:r>
      <w:r>
        <w:rPr/>
        <w:t>BMC</w:t>
      </w:r>
      <w:r>
        <w:rPr>
          <w:spacing w:val="-2"/>
        </w:rPr>
        <w:t> </w:t>
      </w:r>
      <w:r>
        <w:rPr/>
        <w:t>Med</w:t>
      </w:r>
      <w:r>
        <w:rPr>
          <w:spacing w:val="1"/>
        </w:rPr>
        <w:t> </w:t>
      </w:r>
      <w:r>
        <w:rPr/>
        <w:t>Res</w:t>
      </w:r>
      <w:r>
        <w:rPr>
          <w:spacing w:val="-1"/>
        </w:rPr>
        <w:t> </w:t>
      </w:r>
      <w:r>
        <w:rPr/>
        <w:t>Methodol</w:t>
      </w:r>
      <w:r>
        <w:rPr>
          <w:spacing w:val="-1"/>
        </w:rPr>
        <w:t> </w:t>
      </w:r>
      <w:r>
        <w:rPr/>
        <w:t>3:22.</w:t>
      </w:r>
    </w:p>
    <w:p>
      <w:pPr>
        <w:pStyle w:val="BodyText"/>
        <w:spacing w:line="276" w:lineRule="auto" w:before="120"/>
        <w:ind w:left="1140" w:right="1378"/>
      </w:pPr>
      <w:bookmarkStart w:name="_bookmark142" w:id="143"/>
      <w:bookmarkEnd w:id="143"/>
      <w:r>
        <w:rPr/>
      </w:r>
      <w:r>
        <w:rPr/>
        <w:t>Weinberger,</w:t>
      </w:r>
      <w:r>
        <w:rPr>
          <w:spacing w:val="-4"/>
        </w:rPr>
        <w:t> </w:t>
      </w:r>
      <w:r>
        <w:rPr/>
        <w:t>M.,</w:t>
      </w:r>
      <w:r>
        <w:rPr>
          <w:spacing w:val="-4"/>
        </w:rPr>
        <w:t> </w:t>
      </w:r>
      <w:r>
        <w:rPr/>
        <w:t>Murray,</w:t>
      </w:r>
      <w:r>
        <w:rPr>
          <w:spacing w:val="-1"/>
        </w:rPr>
        <w:t> </w:t>
      </w:r>
      <w:r>
        <w:rPr/>
        <w:t>M.D.,</w:t>
      </w:r>
      <w:r>
        <w:rPr>
          <w:spacing w:val="-4"/>
        </w:rPr>
        <w:t> </w:t>
      </w:r>
      <w:r>
        <w:rPr/>
        <w:t>Marrero,</w:t>
      </w:r>
      <w:r>
        <w:rPr>
          <w:spacing w:val="-1"/>
        </w:rPr>
        <w:t> </w:t>
      </w:r>
      <w:r>
        <w:rPr/>
        <w:t>D.G.,</w:t>
      </w:r>
      <w:r>
        <w:rPr>
          <w:spacing w:val="-4"/>
        </w:rPr>
        <w:t> </w:t>
      </w:r>
      <w:r>
        <w:rPr/>
        <w:t>Brewer,</w:t>
      </w:r>
      <w:r>
        <w:rPr>
          <w:spacing w:val="-2"/>
        </w:rPr>
        <w:t> </w:t>
      </w:r>
      <w:r>
        <w:rPr/>
        <w:t>N.,</w:t>
      </w:r>
      <w:r>
        <w:rPr>
          <w:spacing w:val="-1"/>
        </w:rPr>
        <w:t> </w:t>
      </w:r>
      <w:r>
        <w:rPr/>
        <w:t>Lykens,</w:t>
      </w:r>
      <w:r>
        <w:rPr>
          <w:spacing w:val="-4"/>
        </w:rPr>
        <w:t> </w:t>
      </w:r>
      <w:r>
        <w:rPr/>
        <w:t>M.,</w:t>
      </w:r>
      <w:r>
        <w:rPr>
          <w:spacing w:val="-1"/>
        </w:rPr>
        <w:t> </w:t>
      </w:r>
      <w:r>
        <w:rPr/>
        <w:t>Harris,</w:t>
      </w:r>
      <w:r>
        <w:rPr>
          <w:spacing w:val="-4"/>
        </w:rPr>
        <w:t> </w:t>
      </w:r>
      <w:r>
        <w:rPr/>
        <w:t>L.E.,</w:t>
      </w:r>
      <w:r>
        <w:rPr>
          <w:spacing w:val="-3"/>
        </w:rPr>
        <w:t> </w:t>
      </w:r>
      <w:r>
        <w:rPr/>
        <w:t>Seshadri,</w:t>
      </w:r>
      <w:r>
        <w:rPr>
          <w:spacing w:val="-4"/>
        </w:rPr>
        <w:t> </w:t>
      </w:r>
      <w:r>
        <w:rPr/>
        <w:t>R.,</w:t>
      </w:r>
      <w:r>
        <w:rPr>
          <w:spacing w:val="-52"/>
        </w:rPr>
        <w:t> </w:t>
      </w:r>
      <w:r>
        <w:rPr/>
        <w:t>Caffrey, H., Roesner, J.F., et al., 2002. Effectiveness of pharmacist care for patients with</w:t>
      </w:r>
      <w:r>
        <w:rPr>
          <w:spacing w:val="1"/>
        </w:rPr>
        <w:t> </w:t>
      </w:r>
      <w:r>
        <w:rPr/>
        <w:t>reactive</w:t>
      </w:r>
      <w:r>
        <w:rPr>
          <w:spacing w:val="-2"/>
        </w:rPr>
        <w:t> </w:t>
      </w:r>
      <w:r>
        <w:rPr/>
        <w:t>airways</w:t>
      </w:r>
      <w:r>
        <w:rPr>
          <w:spacing w:val="-2"/>
        </w:rPr>
        <w:t> </w:t>
      </w:r>
      <w:r>
        <w:rPr/>
        <w:t>disease:</w:t>
      </w:r>
      <w:r>
        <w:rPr>
          <w:spacing w:val="-2"/>
        </w:rPr>
        <w:t> </w:t>
      </w:r>
      <w:r>
        <w:rPr/>
        <w:t>a</w:t>
      </w:r>
      <w:r>
        <w:rPr>
          <w:spacing w:val="-1"/>
        </w:rPr>
        <w:t> </w:t>
      </w:r>
      <w:r>
        <w:rPr/>
        <w:t>randomized</w:t>
      </w:r>
      <w:r>
        <w:rPr>
          <w:spacing w:val="-2"/>
        </w:rPr>
        <w:t> </w:t>
      </w:r>
      <w:r>
        <w:rPr/>
        <w:t>controlled</w:t>
      </w:r>
      <w:r>
        <w:rPr>
          <w:spacing w:val="-2"/>
        </w:rPr>
        <w:t> </w:t>
      </w:r>
      <w:r>
        <w:rPr/>
        <w:t>trial.</w:t>
      </w:r>
      <w:r>
        <w:rPr>
          <w:spacing w:val="-4"/>
        </w:rPr>
        <w:t> </w:t>
      </w:r>
      <w:r>
        <w:rPr/>
        <w:t>Jama</w:t>
      </w:r>
      <w:r>
        <w:rPr>
          <w:spacing w:val="-1"/>
        </w:rPr>
        <w:t> </w:t>
      </w:r>
      <w:r>
        <w:rPr/>
        <w:t>288:1594-602.</w:t>
      </w:r>
    </w:p>
    <w:p>
      <w:pPr>
        <w:pStyle w:val="BodyText"/>
        <w:spacing w:line="276" w:lineRule="auto" w:before="119"/>
        <w:ind w:left="1140" w:right="1465"/>
      </w:pPr>
      <w:bookmarkStart w:name="_bookmark143" w:id="144"/>
      <w:bookmarkEnd w:id="144"/>
      <w:r>
        <w:rPr/>
      </w:r>
      <w:r>
        <w:rPr/>
        <w:t>Williams, J.W., Jackson, G.L., Powers, B.J., Chatterjee, R., Bettger, J.P., Kemper, A.R.,</w:t>
      </w:r>
      <w:r>
        <w:rPr>
          <w:spacing w:val="1"/>
        </w:rPr>
        <w:t> </w:t>
      </w:r>
      <w:r>
        <w:rPr/>
        <w:t>Hasselblad,</w:t>
      </w:r>
      <w:r>
        <w:rPr>
          <w:spacing w:val="-5"/>
        </w:rPr>
        <w:t> </w:t>
      </w:r>
      <w:r>
        <w:rPr/>
        <w:t>V.,</w:t>
      </w:r>
      <w:r>
        <w:rPr>
          <w:spacing w:val="-5"/>
        </w:rPr>
        <w:t> </w:t>
      </w:r>
      <w:r>
        <w:rPr/>
        <w:t>Dolor,</w:t>
      </w:r>
      <w:r>
        <w:rPr>
          <w:spacing w:val="-4"/>
        </w:rPr>
        <w:t> </w:t>
      </w:r>
      <w:r>
        <w:rPr/>
        <w:t>R.J.,</w:t>
      </w:r>
      <w:r>
        <w:rPr>
          <w:spacing w:val="-5"/>
        </w:rPr>
        <w:t> </w:t>
      </w:r>
      <w:r>
        <w:rPr/>
        <w:t>Irvine,</w:t>
      </w:r>
      <w:r>
        <w:rPr>
          <w:spacing w:val="-2"/>
        </w:rPr>
        <w:t> </w:t>
      </w:r>
      <w:r>
        <w:rPr/>
        <w:t>R.J.,</w:t>
      </w:r>
      <w:r>
        <w:rPr>
          <w:spacing w:val="-5"/>
        </w:rPr>
        <w:t> </w:t>
      </w:r>
      <w:r>
        <w:rPr/>
        <w:t>et al.,</w:t>
      </w:r>
      <w:r>
        <w:rPr>
          <w:spacing w:val="-3"/>
        </w:rPr>
        <w:t> </w:t>
      </w:r>
      <w:r>
        <w:rPr/>
        <w:t>2012.</w:t>
      </w:r>
      <w:r>
        <w:rPr>
          <w:spacing w:val="-3"/>
        </w:rPr>
        <w:t> </w:t>
      </w:r>
      <w:r>
        <w:rPr/>
        <w:t>Closing</w:t>
      </w:r>
      <w:r>
        <w:rPr>
          <w:spacing w:val="-2"/>
        </w:rPr>
        <w:t> </w:t>
      </w:r>
      <w:r>
        <w:rPr/>
        <w:t>the</w:t>
      </w:r>
      <w:r>
        <w:rPr>
          <w:spacing w:val="-3"/>
        </w:rPr>
        <w:t> </w:t>
      </w:r>
      <w:r>
        <w:rPr/>
        <w:t>quality</w:t>
      </w:r>
      <w:r>
        <w:rPr>
          <w:spacing w:val="-3"/>
        </w:rPr>
        <w:t> </w:t>
      </w:r>
      <w:r>
        <w:rPr/>
        <w:t>gap:</w:t>
      </w:r>
      <w:r>
        <w:rPr>
          <w:spacing w:val="-5"/>
        </w:rPr>
        <w:t> </w:t>
      </w:r>
      <w:r>
        <w:rPr/>
        <w:t>revisiting</w:t>
      </w:r>
      <w:r>
        <w:rPr>
          <w:spacing w:val="-4"/>
        </w:rPr>
        <w:t> </w:t>
      </w:r>
      <w:r>
        <w:rPr/>
        <w:t>the</w:t>
      </w:r>
      <w:r>
        <w:rPr>
          <w:spacing w:val="-3"/>
        </w:rPr>
        <w:t> </w:t>
      </w:r>
      <w:r>
        <w:rPr/>
        <w:t>state</w:t>
      </w:r>
    </w:p>
    <w:p>
      <w:pPr>
        <w:spacing w:after="0" w:line="276" w:lineRule="auto"/>
        <w:sectPr>
          <w:pgSz w:w="11910" w:h="16840"/>
          <w:pgMar w:header="0" w:footer="678" w:top="1340" w:bottom="860" w:left="300" w:right="0"/>
        </w:sectPr>
      </w:pPr>
    </w:p>
    <w:p>
      <w:pPr>
        <w:pStyle w:val="BodyText"/>
        <w:spacing w:line="276" w:lineRule="auto" w:before="82"/>
        <w:ind w:left="1140" w:right="1900"/>
      </w:pPr>
      <w:r>
        <w:rPr/>
        <w:t>of the science (vol. 2: the patient-centered medical home). Evid Rep Technol Assess (Full</w:t>
      </w:r>
      <w:r>
        <w:rPr>
          <w:spacing w:val="-53"/>
        </w:rPr>
        <w:t> </w:t>
      </w:r>
      <w:r>
        <w:rPr/>
        <w:t>Rep):1-210.</w:t>
      </w:r>
    </w:p>
    <w:p>
      <w:pPr>
        <w:pStyle w:val="BodyText"/>
        <w:spacing w:line="276" w:lineRule="auto" w:before="120"/>
        <w:ind w:left="1140" w:right="798"/>
      </w:pPr>
      <w:bookmarkStart w:name="_bookmark144" w:id="145"/>
      <w:bookmarkEnd w:id="145"/>
      <w:r>
        <w:rPr/>
      </w:r>
      <w:r>
        <w:rPr/>
        <w:t>World</w:t>
      </w:r>
      <w:r>
        <w:rPr>
          <w:spacing w:val="-5"/>
        </w:rPr>
        <w:t> </w:t>
      </w:r>
      <w:r>
        <w:rPr/>
        <w:t>Health</w:t>
      </w:r>
      <w:r>
        <w:rPr>
          <w:spacing w:val="-3"/>
        </w:rPr>
        <w:t> </w:t>
      </w:r>
      <w:r>
        <w:rPr/>
        <w:t>Organization,</w:t>
      </w:r>
      <w:r>
        <w:rPr>
          <w:spacing w:val="-6"/>
        </w:rPr>
        <w:t> </w:t>
      </w:r>
      <w:r>
        <w:rPr/>
        <w:t>2000.</w:t>
      </w:r>
      <w:r>
        <w:rPr>
          <w:spacing w:val="-6"/>
        </w:rPr>
        <w:t> </w:t>
      </w:r>
      <w:r>
        <w:rPr/>
        <w:t>The</w:t>
      </w:r>
      <w:r>
        <w:rPr>
          <w:spacing w:val="-4"/>
        </w:rPr>
        <w:t> </w:t>
      </w:r>
      <w:r>
        <w:rPr/>
        <w:t>World</w:t>
      </w:r>
      <w:r>
        <w:rPr>
          <w:spacing w:val="-4"/>
        </w:rPr>
        <w:t> </w:t>
      </w:r>
      <w:r>
        <w:rPr/>
        <w:t>Health</w:t>
      </w:r>
      <w:r>
        <w:rPr>
          <w:spacing w:val="-3"/>
        </w:rPr>
        <w:t> </w:t>
      </w:r>
      <w:r>
        <w:rPr/>
        <w:t>Report</w:t>
      </w:r>
      <w:r>
        <w:rPr>
          <w:spacing w:val="-3"/>
        </w:rPr>
        <w:t> </w:t>
      </w:r>
      <w:r>
        <w:rPr/>
        <w:t>2000.</w:t>
      </w:r>
      <w:r>
        <w:rPr>
          <w:spacing w:val="-4"/>
        </w:rPr>
        <w:t> </w:t>
      </w:r>
      <w:r>
        <w:rPr/>
        <w:t>Health</w:t>
      </w:r>
      <w:r>
        <w:rPr>
          <w:spacing w:val="-3"/>
        </w:rPr>
        <w:t> </w:t>
      </w:r>
      <w:r>
        <w:rPr/>
        <w:t>Systems:</w:t>
      </w:r>
      <w:r>
        <w:rPr>
          <w:spacing w:val="-6"/>
        </w:rPr>
        <w:t> </w:t>
      </w:r>
      <w:r>
        <w:rPr/>
        <w:t>Improving</w:t>
      </w:r>
      <w:r>
        <w:rPr>
          <w:spacing w:val="-52"/>
        </w:rPr>
        <w:t> </w:t>
      </w:r>
      <w:r>
        <w:rPr/>
        <w:t>Performance.</w:t>
      </w:r>
      <w:r>
        <w:rPr>
          <w:spacing w:val="-2"/>
        </w:rPr>
        <w:t> </w:t>
      </w:r>
      <w:r>
        <w:rPr/>
        <w:t>WHO,</w:t>
      </w:r>
      <w:r>
        <w:rPr>
          <w:spacing w:val="-1"/>
        </w:rPr>
        <w:t> </w:t>
      </w:r>
      <w:r>
        <w:rPr/>
        <w:t>Geneva.</w:t>
      </w:r>
    </w:p>
    <w:p>
      <w:pPr>
        <w:pStyle w:val="BodyText"/>
        <w:spacing w:line="276" w:lineRule="auto" w:before="120"/>
        <w:ind w:left="1140" w:right="1534"/>
      </w:pPr>
      <w:bookmarkStart w:name="_bookmark145" w:id="146"/>
      <w:bookmarkEnd w:id="146"/>
      <w:r>
        <w:rPr/>
      </w:r>
      <w:r>
        <w:rPr/>
        <w:t>Zlateva, I., Anderson, D., Coman, E., Khatri, K., Tian, T., Fifield, J., 2015. Development and</w:t>
      </w:r>
      <w:r>
        <w:rPr>
          <w:spacing w:val="1"/>
        </w:rPr>
        <w:t> </w:t>
      </w:r>
      <w:r>
        <w:rPr/>
        <w:t>validation of the Medical Home Care Coordination Survey for assessing care coordination in</w:t>
      </w:r>
      <w:r>
        <w:rPr>
          <w:spacing w:val="-54"/>
        </w:rPr>
        <w:t> </w:t>
      </w:r>
      <w:r>
        <w:rPr/>
        <w:t>the primary care setting from the patient and provider perspectives. BMC Health Serv Res</w:t>
      </w:r>
      <w:r>
        <w:rPr>
          <w:spacing w:val="1"/>
        </w:rPr>
        <w:t> </w:t>
      </w:r>
      <w:r>
        <w:rPr/>
        <w:t>15:226.</w:t>
      </w:r>
    </w:p>
    <w:sectPr>
      <w:pgSz w:w="11910" w:h="16840"/>
      <w:pgMar w:header="0" w:footer="678" w:top="1340" w:bottom="860" w:left="3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entury Gothic">
    <w:altName w:val="Century Gothic"/>
    <w:charset w:val="0"/>
    <w:family w:val="swiss"/>
    <w:pitch w:val="variable"/>
  </w:font>
  <w:font w:name="Symbol">
    <w:altName w:val="Symbol"/>
    <w:charset w:val="2"/>
    <w:family w:val="roman"/>
    <w:pitch w:val="variable"/>
  </w:font>
  <w:font w:name="Courier New">
    <w:altName w:val="Courier New"/>
    <w:charset w:val="0"/>
    <w:family w:val="modern"/>
    <w:pitch w:val="fixed"/>
  </w:font>
  <w:font w:name="Wingdings">
    <w:altName w:val="Wingdings"/>
    <w:charset w:val="2"/>
    <w:family w:val="auto"/>
    <w:pitch w:val="variable"/>
  </w:font>
  <w:font w:name="Cambria Math">
    <w:altName w:val="Cambria Math"/>
    <w:charset w:val="0"/>
    <w:family w:val="roman"/>
    <w:pitch w:val="variable"/>
  </w:font>
  <w:font w:name="Arial Black">
    <w:altName w:val="Arial Black"/>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84pt;margin-top:794.039917pt;width:454.27pt;height:.48004pt;mso-position-horizontal-relative:page;mso-position-vertical-relative:page;z-index:-27555840" id="docshape1" filled="true" fillcolor="#d9d9d9" stroked="false">
          <v:fill type="solid"/>
          <w10:wrap type="none"/>
        </v:rect>
      </w:pict>
    </w:r>
    <w:r>
      <w:rPr/>
      <w:pict>
        <v:shapetype id="_x0000_t202" o:spt="202" coordsize="21600,21600" path="m,l,21600r21600,l21600,xe">
          <v:stroke joinstyle="miter"/>
          <v:path gradientshapeok="t" o:connecttype="rect"/>
        </v:shapetype>
        <v:shape style="position:absolute;margin-left:71.024002pt;margin-top:794.427246pt;width:202.15pt;height:13.05pt;mso-position-horizontal-relative:page;mso-position-vertical-relative:page;z-index:-27555328" type="#_x0000_t202" id="docshape2" filled="false" stroked="false">
          <v:textbox inset="0,0,0,0">
            <w:txbxContent>
              <w:p>
                <w:pPr>
                  <w:spacing w:before="20"/>
                  <w:ind w:left="20" w:right="0" w:firstLine="0"/>
                  <w:jc w:val="left"/>
                  <w:rPr>
                    <w:b/>
                    <w:sz w:val="18"/>
                  </w:rPr>
                </w:pPr>
                <w:r>
                  <w:rPr>
                    <w:b/>
                    <w:color w:val="7E7E7E"/>
                    <w:sz w:val="18"/>
                  </w:rPr>
                  <w:t>Evaluation</w:t>
                </w:r>
                <w:r>
                  <w:rPr>
                    <w:b/>
                    <w:color w:val="7E7E7E"/>
                    <w:spacing w:val="-2"/>
                    <w:sz w:val="18"/>
                  </w:rPr>
                  <w:t> </w:t>
                </w:r>
                <w:r>
                  <w:rPr>
                    <w:b/>
                    <w:color w:val="7E7E7E"/>
                    <w:sz w:val="18"/>
                  </w:rPr>
                  <w:t>of</w:t>
                </w:r>
                <w:r>
                  <w:rPr>
                    <w:b/>
                    <w:color w:val="7E7E7E"/>
                    <w:spacing w:val="-2"/>
                    <w:sz w:val="18"/>
                  </w:rPr>
                  <w:t> </w:t>
                </w:r>
                <w:r>
                  <w:rPr>
                    <w:b/>
                    <w:color w:val="7E7E7E"/>
                    <w:sz w:val="18"/>
                  </w:rPr>
                  <w:t>the</w:t>
                </w:r>
                <w:r>
                  <w:rPr>
                    <w:b/>
                    <w:color w:val="7E7E7E"/>
                    <w:spacing w:val="-2"/>
                    <w:sz w:val="18"/>
                  </w:rPr>
                  <w:t> </w:t>
                </w:r>
                <w:r>
                  <w:rPr>
                    <w:b/>
                    <w:color w:val="7E7E7E"/>
                    <w:sz w:val="18"/>
                  </w:rPr>
                  <w:t>Health</w:t>
                </w:r>
                <w:r>
                  <w:rPr>
                    <w:b/>
                    <w:color w:val="7E7E7E"/>
                    <w:spacing w:val="-1"/>
                    <w:sz w:val="18"/>
                  </w:rPr>
                  <w:t> </w:t>
                </w:r>
                <w:r>
                  <w:rPr>
                    <w:b/>
                    <w:color w:val="7E7E7E"/>
                    <w:sz w:val="18"/>
                  </w:rPr>
                  <w:t>Care</w:t>
                </w:r>
                <w:r>
                  <w:rPr>
                    <w:b/>
                    <w:color w:val="7E7E7E"/>
                    <w:spacing w:val="-2"/>
                    <w:sz w:val="18"/>
                  </w:rPr>
                  <w:t> </w:t>
                </w:r>
                <w:r>
                  <w:rPr>
                    <w:b/>
                    <w:color w:val="7E7E7E"/>
                    <w:sz w:val="18"/>
                  </w:rPr>
                  <w:t>Homes</w:t>
                </w:r>
                <w:r>
                  <w:rPr>
                    <w:b/>
                    <w:color w:val="7E7E7E"/>
                    <w:spacing w:val="-1"/>
                    <w:sz w:val="18"/>
                  </w:rPr>
                  <w:t> </w:t>
                </w:r>
                <w:r>
                  <w:rPr>
                    <w:b/>
                    <w:color w:val="7E7E7E"/>
                    <w:sz w:val="18"/>
                  </w:rPr>
                  <w:t>program</w:t>
                </w:r>
              </w:p>
            </w:txbxContent>
          </v:textbox>
          <w10:wrap type="none"/>
        </v:shape>
      </w:pict>
    </w:r>
    <w:r>
      <w:rPr/>
      <w:pict>
        <v:shape style="position:absolute;margin-left:495.059998pt;margin-top:794.427246pt;width:29.5pt;height:13.05pt;mso-position-horizontal-relative:page;mso-position-vertical-relative:page;z-index:-27554816" type="#_x0000_t202" id="docshape3" filled="false" stroked="false">
          <v:textbox inset="0,0,0,0">
            <w:txbxContent>
              <w:p>
                <w:pPr>
                  <w:spacing w:before="20"/>
                  <w:ind w:left="20" w:right="0" w:firstLine="0"/>
                  <w:jc w:val="left"/>
                  <w:rPr>
                    <w:b/>
                    <w:sz w:val="18"/>
                  </w:rPr>
                </w:pPr>
                <w:r>
                  <w:rPr>
                    <w:b/>
                    <w:color w:val="7E7E7E"/>
                    <w:sz w:val="18"/>
                  </w:rPr>
                  <w:t>Page i</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547.923279pt;width:202.15pt;height:13.05pt;mso-position-horizontal-relative:page;mso-position-vertical-relative:page;z-index:-27544064" type="#_x0000_t202" id="docshape47" filled="false" stroked="false">
          <v:textbox inset="0,0,0,0">
            <w:txbxContent>
              <w:p>
                <w:pPr>
                  <w:spacing w:before="20"/>
                  <w:ind w:left="20" w:right="0" w:firstLine="0"/>
                  <w:jc w:val="left"/>
                  <w:rPr>
                    <w:b/>
                    <w:sz w:val="18"/>
                  </w:rPr>
                </w:pPr>
                <w:r>
                  <w:rPr>
                    <w:b/>
                    <w:color w:val="7E7E7E"/>
                    <w:sz w:val="18"/>
                  </w:rPr>
                  <w:t>Evaluation</w:t>
                </w:r>
                <w:r>
                  <w:rPr>
                    <w:b/>
                    <w:color w:val="7E7E7E"/>
                    <w:spacing w:val="-2"/>
                    <w:sz w:val="18"/>
                  </w:rPr>
                  <w:t> </w:t>
                </w:r>
                <w:r>
                  <w:rPr>
                    <w:b/>
                    <w:color w:val="7E7E7E"/>
                    <w:sz w:val="18"/>
                  </w:rPr>
                  <w:t>of</w:t>
                </w:r>
                <w:r>
                  <w:rPr>
                    <w:b/>
                    <w:color w:val="7E7E7E"/>
                    <w:spacing w:val="-2"/>
                    <w:sz w:val="18"/>
                  </w:rPr>
                  <w:t> </w:t>
                </w:r>
                <w:r>
                  <w:rPr>
                    <w:b/>
                    <w:color w:val="7E7E7E"/>
                    <w:sz w:val="18"/>
                  </w:rPr>
                  <w:t>the</w:t>
                </w:r>
                <w:r>
                  <w:rPr>
                    <w:b/>
                    <w:color w:val="7E7E7E"/>
                    <w:spacing w:val="-2"/>
                    <w:sz w:val="18"/>
                  </w:rPr>
                  <w:t> </w:t>
                </w:r>
                <w:r>
                  <w:rPr>
                    <w:b/>
                    <w:color w:val="7E7E7E"/>
                    <w:sz w:val="18"/>
                  </w:rPr>
                  <w:t>Health</w:t>
                </w:r>
                <w:r>
                  <w:rPr>
                    <w:b/>
                    <w:color w:val="7E7E7E"/>
                    <w:spacing w:val="-1"/>
                    <w:sz w:val="18"/>
                  </w:rPr>
                  <w:t> </w:t>
                </w:r>
                <w:r>
                  <w:rPr>
                    <w:b/>
                    <w:color w:val="7E7E7E"/>
                    <w:sz w:val="18"/>
                  </w:rPr>
                  <w:t>Care</w:t>
                </w:r>
                <w:r>
                  <w:rPr>
                    <w:b/>
                    <w:color w:val="7E7E7E"/>
                    <w:spacing w:val="-2"/>
                    <w:sz w:val="18"/>
                  </w:rPr>
                  <w:t> </w:t>
                </w:r>
                <w:r>
                  <w:rPr>
                    <w:b/>
                    <w:color w:val="7E7E7E"/>
                    <w:sz w:val="18"/>
                  </w:rPr>
                  <w:t>Homes</w:t>
                </w:r>
                <w:r>
                  <w:rPr>
                    <w:b/>
                    <w:color w:val="7E7E7E"/>
                    <w:spacing w:val="-1"/>
                    <w:sz w:val="18"/>
                  </w:rPr>
                  <w:t> </w:t>
                </w:r>
                <w:r>
                  <w:rPr>
                    <w:b/>
                    <w:color w:val="7E7E7E"/>
                    <w:sz w:val="18"/>
                  </w:rPr>
                  <w:t>program</w:t>
                </w:r>
              </w:p>
            </w:txbxContent>
          </v:textbox>
          <w10:wrap type="none"/>
        </v:shape>
      </w:pict>
    </w:r>
    <w:r>
      <w:rPr/>
      <w:pict>
        <v:shape style="position:absolute;margin-left:730.380005pt;margin-top:547.923279pt;width:40.450pt;height:13.05pt;mso-position-horizontal-relative:page;mso-position-vertical-relative:page;z-index:-27543552" type="#_x0000_t202" id="docshape48" filled="false" stroked="false">
          <v:textbox inset="0,0,0,0">
            <w:txbxContent>
              <w:p>
                <w:pPr>
                  <w:spacing w:before="20"/>
                  <w:ind w:left="20" w:right="0" w:firstLine="0"/>
                  <w:jc w:val="left"/>
                  <w:rPr>
                    <w:b/>
                    <w:sz w:val="18"/>
                  </w:rPr>
                </w:pPr>
                <w:r>
                  <w:rPr>
                    <w:b/>
                    <w:color w:val="7E7E7E"/>
                    <w:sz w:val="18"/>
                  </w:rPr>
                  <w:t>Page </w:t>
                </w:r>
                <w:r>
                  <w:rPr/>
                  <w:fldChar w:fldCharType="begin"/>
                </w:r>
                <w:r>
                  <w:rPr>
                    <w:b/>
                    <w:color w:val="7E7E7E"/>
                    <w:sz w:val="18"/>
                  </w:rPr>
                  <w:instrText> PAGE </w:instrText>
                </w:r>
                <w:r>
                  <w:rPr/>
                  <w:fldChar w:fldCharType="separate"/>
                </w:r>
                <w:r>
                  <w:rPr/>
                  <w:t>23</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547.536011pt;width:700.92pt;height:.47998pt;mso-position-horizontal-relative:page;mso-position-vertical-relative:page;z-index:-27543040" id="docshape50" filled="true" fillcolor="#d9d9d9" stroked="false">
          <v:fill type="solid"/>
          <w10:wrap type="none"/>
        </v:rect>
      </w:pict>
    </w:r>
    <w:r>
      <w:rPr/>
      <w:pict>
        <v:shape style="position:absolute;margin-left:71pt;margin-top:547.923279pt;width:202.15pt;height:13.05pt;mso-position-horizontal-relative:page;mso-position-vertical-relative:page;z-index:-27542528" type="#_x0000_t202" id="docshape51" filled="false" stroked="false">
          <v:textbox inset="0,0,0,0">
            <w:txbxContent>
              <w:p>
                <w:pPr>
                  <w:spacing w:before="20"/>
                  <w:ind w:left="20" w:right="0" w:firstLine="0"/>
                  <w:jc w:val="left"/>
                  <w:rPr>
                    <w:b/>
                    <w:sz w:val="18"/>
                  </w:rPr>
                </w:pPr>
                <w:r>
                  <w:rPr>
                    <w:b/>
                    <w:color w:val="7E7E7E"/>
                    <w:sz w:val="18"/>
                  </w:rPr>
                  <w:t>Evaluation</w:t>
                </w:r>
                <w:r>
                  <w:rPr>
                    <w:b/>
                    <w:color w:val="7E7E7E"/>
                    <w:spacing w:val="-2"/>
                    <w:sz w:val="18"/>
                  </w:rPr>
                  <w:t> </w:t>
                </w:r>
                <w:r>
                  <w:rPr>
                    <w:b/>
                    <w:color w:val="7E7E7E"/>
                    <w:sz w:val="18"/>
                  </w:rPr>
                  <w:t>of</w:t>
                </w:r>
                <w:r>
                  <w:rPr>
                    <w:b/>
                    <w:color w:val="7E7E7E"/>
                    <w:spacing w:val="-2"/>
                    <w:sz w:val="18"/>
                  </w:rPr>
                  <w:t> </w:t>
                </w:r>
                <w:r>
                  <w:rPr>
                    <w:b/>
                    <w:color w:val="7E7E7E"/>
                    <w:sz w:val="18"/>
                  </w:rPr>
                  <w:t>the</w:t>
                </w:r>
                <w:r>
                  <w:rPr>
                    <w:b/>
                    <w:color w:val="7E7E7E"/>
                    <w:spacing w:val="-2"/>
                    <w:sz w:val="18"/>
                  </w:rPr>
                  <w:t> </w:t>
                </w:r>
                <w:r>
                  <w:rPr>
                    <w:b/>
                    <w:color w:val="7E7E7E"/>
                    <w:sz w:val="18"/>
                  </w:rPr>
                  <w:t>Health</w:t>
                </w:r>
                <w:r>
                  <w:rPr>
                    <w:b/>
                    <w:color w:val="7E7E7E"/>
                    <w:spacing w:val="-1"/>
                    <w:sz w:val="18"/>
                  </w:rPr>
                  <w:t> </w:t>
                </w:r>
                <w:r>
                  <w:rPr>
                    <w:b/>
                    <w:color w:val="7E7E7E"/>
                    <w:sz w:val="18"/>
                  </w:rPr>
                  <w:t>Care</w:t>
                </w:r>
                <w:r>
                  <w:rPr>
                    <w:b/>
                    <w:color w:val="7E7E7E"/>
                    <w:spacing w:val="-2"/>
                    <w:sz w:val="18"/>
                  </w:rPr>
                  <w:t> </w:t>
                </w:r>
                <w:r>
                  <w:rPr>
                    <w:b/>
                    <w:color w:val="7E7E7E"/>
                    <w:sz w:val="18"/>
                  </w:rPr>
                  <w:t>Homes</w:t>
                </w:r>
                <w:r>
                  <w:rPr>
                    <w:b/>
                    <w:color w:val="7E7E7E"/>
                    <w:spacing w:val="-1"/>
                    <w:sz w:val="18"/>
                  </w:rPr>
                  <w:t> </w:t>
                </w:r>
                <w:r>
                  <w:rPr>
                    <w:b/>
                    <w:color w:val="7E7E7E"/>
                    <w:sz w:val="18"/>
                  </w:rPr>
                  <w:t>program</w:t>
                </w:r>
              </w:p>
            </w:txbxContent>
          </v:textbox>
          <w10:wrap type="none"/>
        </v:shape>
      </w:pict>
    </w:r>
    <w:r>
      <w:rPr/>
      <w:pict>
        <v:shape style="position:absolute;margin-left:730.380005pt;margin-top:547.923279pt;width:40.450pt;height:13.05pt;mso-position-horizontal-relative:page;mso-position-vertical-relative:page;z-index:-27542016" type="#_x0000_t202" id="docshape52" filled="false" stroked="false">
          <v:textbox inset="0,0,0,0">
            <w:txbxContent>
              <w:p>
                <w:pPr>
                  <w:spacing w:before="20"/>
                  <w:ind w:left="20" w:right="0" w:firstLine="0"/>
                  <w:jc w:val="left"/>
                  <w:rPr>
                    <w:b/>
                    <w:sz w:val="18"/>
                  </w:rPr>
                </w:pPr>
                <w:r>
                  <w:rPr>
                    <w:b/>
                    <w:color w:val="7E7E7E"/>
                    <w:sz w:val="18"/>
                  </w:rPr>
                  <w:t>Page </w:t>
                </w:r>
                <w:r>
                  <w:rPr/>
                  <w:fldChar w:fldCharType="begin"/>
                </w:r>
                <w:r>
                  <w:rPr>
                    <w:b/>
                    <w:color w:val="7E7E7E"/>
                    <w:sz w:val="18"/>
                  </w:rPr>
                  <w:instrText> PAGE </w:instrText>
                </w:r>
                <w:r>
                  <w:rPr/>
                  <w:fldChar w:fldCharType="separate"/>
                </w:r>
                <w:r>
                  <w:rPr/>
                  <w:t>24</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84pt;margin-top:794.159973pt;width:454.27pt;height:.47998pt;mso-position-horizontal-relative:page;mso-position-vertical-relative:page;z-index:-27541504" id="docshape53" filled="true" fillcolor="#d9d9d9" stroked="false">
          <v:fill type="solid"/>
          <w10:wrap type="none"/>
        </v:rect>
      </w:pict>
    </w:r>
    <w:r>
      <w:rPr/>
      <w:pict>
        <v:shape style="position:absolute;margin-left:71.024002pt;margin-top:794.547241pt;width:202.15pt;height:13.05pt;mso-position-horizontal-relative:page;mso-position-vertical-relative:page;z-index:-27540992" type="#_x0000_t202" id="docshape54" filled="false" stroked="false">
          <v:textbox inset="0,0,0,0">
            <w:txbxContent>
              <w:p>
                <w:pPr>
                  <w:spacing w:before="20"/>
                  <w:ind w:left="20" w:right="0" w:firstLine="0"/>
                  <w:jc w:val="left"/>
                  <w:rPr>
                    <w:b/>
                    <w:sz w:val="18"/>
                  </w:rPr>
                </w:pPr>
                <w:r>
                  <w:rPr>
                    <w:b/>
                    <w:color w:val="7E7E7E"/>
                    <w:sz w:val="18"/>
                  </w:rPr>
                  <w:t>Evaluation</w:t>
                </w:r>
                <w:r>
                  <w:rPr>
                    <w:b/>
                    <w:color w:val="7E7E7E"/>
                    <w:spacing w:val="-2"/>
                    <w:sz w:val="18"/>
                  </w:rPr>
                  <w:t> </w:t>
                </w:r>
                <w:r>
                  <w:rPr>
                    <w:b/>
                    <w:color w:val="7E7E7E"/>
                    <w:sz w:val="18"/>
                  </w:rPr>
                  <w:t>of</w:t>
                </w:r>
                <w:r>
                  <w:rPr>
                    <w:b/>
                    <w:color w:val="7E7E7E"/>
                    <w:spacing w:val="-2"/>
                    <w:sz w:val="18"/>
                  </w:rPr>
                  <w:t> </w:t>
                </w:r>
                <w:r>
                  <w:rPr>
                    <w:b/>
                    <w:color w:val="7E7E7E"/>
                    <w:sz w:val="18"/>
                  </w:rPr>
                  <w:t>the</w:t>
                </w:r>
                <w:r>
                  <w:rPr>
                    <w:b/>
                    <w:color w:val="7E7E7E"/>
                    <w:spacing w:val="-2"/>
                    <w:sz w:val="18"/>
                  </w:rPr>
                  <w:t> </w:t>
                </w:r>
                <w:r>
                  <w:rPr>
                    <w:b/>
                    <w:color w:val="7E7E7E"/>
                    <w:sz w:val="18"/>
                  </w:rPr>
                  <w:t>Health</w:t>
                </w:r>
                <w:r>
                  <w:rPr>
                    <w:b/>
                    <w:color w:val="7E7E7E"/>
                    <w:spacing w:val="-1"/>
                    <w:sz w:val="18"/>
                  </w:rPr>
                  <w:t> </w:t>
                </w:r>
                <w:r>
                  <w:rPr>
                    <w:b/>
                    <w:color w:val="7E7E7E"/>
                    <w:sz w:val="18"/>
                  </w:rPr>
                  <w:t>Care</w:t>
                </w:r>
                <w:r>
                  <w:rPr>
                    <w:b/>
                    <w:color w:val="7E7E7E"/>
                    <w:spacing w:val="-2"/>
                    <w:sz w:val="18"/>
                  </w:rPr>
                  <w:t> </w:t>
                </w:r>
                <w:r>
                  <w:rPr>
                    <w:b/>
                    <w:color w:val="7E7E7E"/>
                    <w:sz w:val="18"/>
                  </w:rPr>
                  <w:t>Homes</w:t>
                </w:r>
                <w:r>
                  <w:rPr>
                    <w:b/>
                    <w:color w:val="7E7E7E"/>
                    <w:spacing w:val="-1"/>
                    <w:sz w:val="18"/>
                  </w:rPr>
                  <w:t> </w:t>
                </w:r>
                <w:r>
                  <w:rPr>
                    <w:b/>
                    <w:color w:val="7E7E7E"/>
                    <w:sz w:val="18"/>
                  </w:rPr>
                  <w:t>program</w:t>
                </w:r>
              </w:p>
            </w:txbxContent>
          </v:textbox>
          <w10:wrap type="none"/>
        </v:shape>
      </w:pict>
    </w:r>
    <w:r>
      <w:rPr/>
      <w:pict>
        <v:shape style="position:absolute;margin-left:487.140015pt;margin-top:794.547241pt;width:40.4pt;height:13.05pt;mso-position-horizontal-relative:page;mso-position-vertical-relative:page;z-index:-27540480" type="#_x0000_t202" id="docshape55" filled="false" stroked="false">
          <v:textbox inset="0,0,0,0">
            <w:txbxContent>
              <w:p>
                <w:pPr>
                  <w:spacing w:before="20"/>
                  <w:ind w:left="20" w:right="0" w:firstLine="0"/>
                  <w:jc w:val="left"/>
                  <w:rPr>
                    <w:b/>
                    <w:sz w:val="18"/>
                  </w:rPr>
                </w:pPr>
                <w:r>
                  <w:rPr>
                    <w:b/>
                    <w:color w:val="7E7E7E"/>
                    <w:sz w:val="18"/>
                  </w:rPr>
                  <w:t>Page </w:t>
                </w:r>
                <w:r>
                  <w:rPr/>
                  <w:fldChar w:fldCharType="begin"/>
                </w:r>
                <w:r>
                  <w:rPr>
                    <w:b/>
                    <w:color w:val="7E7E7E"/>
                    <w:sz w:val="18"/>
                  </w:rPr>
                  <w:instrText> PAGE </w:instrText>
                </w:r>
                <w:r>
                  <w:rPr/>
                  <w:fldChar w:fldCharType="separate"/>
                </w:r>
                <w:r>
                  <w:rPr/>
                  <w:t>26</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547.923279pt;width:202.15pt;height:13.05pt;mso-position-horizontal-relative:page;mso-position-vertical-relative:page;z-index:-27539968" type="#_x0000_t202" id="docshape56" filled="false" stroked="false">
          <v:textbox inset="0,0,0,0">
            <w:txbxContent>
              <w:p>
                <w:pPr>
                  <w:spacing w:before="20"/>
                  <w:ind w:left="20" w:right="0" w:firstLine="0"/>
                  <w:jc w:val="left"/>
                  <w:rPr>
                    <w:b/>
                    <w:sz w:val="18"/>
                  </w:rPr>
                </w:pPr>
                <w:r>
                  <w:rPr>
                    <w:b/>
                    <w:color w:val="7E7E7E"/>
                    <w:sz w:val="18"/>
                  </w:rPr>
                  <w:t>Evaluation</w:t>
                </w:r>
                <w:r>
                  <w:rPr>
                    <w:b/>
                    <w:color w:val="7E7E7E"/>
                    <w:spacing w:val="-2"/>
                    <w:sz w:val="18"/>
                  </w:rPr>
                  <w:t> </w:t>
                </w:r>
                <w:r>
                  <w:rPr>
                    <w:b/>
                    <w:color w:val="7E7E7E"/>
                    <w:sz w:val="18"/>
                  </w:rPr>
                  <w:t>of</w:t>
                </w:r>
                <w:r>
                  <w:rPr>
                    <w:b/>
                    <w:color w:val="7E7E7E"/>
                    <w:spacing w:val="-2"/>
                    <w:sz w:val="18"/>
                  </w:rPr>
                  <w:t> </w:t>
                </w:r>
                <w:r>
                  <w:rPr>
                    <w:b/>
                    <w:color w:val="7E7E7E"/>
                    <w:sz w:val="18"/>
                  </w:rPr>
                  <w:t>the</w:t>
                </w:r>
                <w:r>
                  <w:rPr>
                    <w:b/>
                    <w:color w:val="7E7E7E"/>
                    <w:spacing w:val="-2"/>
                    <w:sz w:val="18"/>
                  </w:rPr>
                  <w:t> </w:t>
                </w:r>
                <w:r>
                  <w:rPr>
                    <w:b/>
                    <w:color w:val="7E7E7E"/>
                    <w:sz w:val="18"/>
                  </w:rPr>
                  <w:t>Health</w:t>
                </w:r>
                <w:r>
                  <w:rPr>
                    <w:b/>
                    <w:color w:val="7E7E7E"/>
                    <w:spacing w:val="-1"/>
                    <w:sz w:val="18"/>
                  </w:rPr>
                  <w:t> </w:t>
                </w:r>
                <w:r>
                  <w:rPr>
                    <w:b/>
                    <w:color w:val="7E7E7E"/>
                    <w:sz w:val="18"/>
                  </w:rPr>
                  <w:t>Care</w:t>
                </w:r>
                <w:r>
                  <w:rPr>
                    <w:b/>
                    <w:color w:val="7E7E7E"/>
                    <w:spacing w:val="-2"/>
                    <w:sz w:val="18"/>
                  </w:rPr>
                  <w:t> </w:t>
                </w:r>
                <w:r>
                  <w:rPr>
                    <w:b/>
                    <w:color w:val="7E7E7E"/>
                    <w:sz w:val="18"/>
                  </w:rPr>
                  <w:t>Homes</w:t>
                </w:r>
                <w:r>
                  <w:rPr>
                    <w:b/>
                    <w:color w:val="7E7E7E"/>
                    <w:spacing w:val="-1"/>
                    <w:sz w:val="18"/>
                  </w:rPr>
                  <w:t> </w:t>
                </w:r>
                <w:r>
                  <w:rPr>
                    <w:b/>
                    <w:color w:val="7E7E7E"/>
                    <w:sz w:val="18"/>
                  </w:rPr>
                  <w:t>program</w:t>
                </w:r>
              </w:p>
            </w:txbxContent>
          </v:textbox>
          <w10:wrap type="none"/>
        </v:shape>
      </w:pict>
    </w:r>
    <w:r>
      <w:rPr/>
      <w:pict>
        <v:shape style="position:absolute;margin-left:730.380005pt;margin-top:547.923279pt;width:40.450pt;height:13.05pt;mso-position-horizontal-relative:page;mso-position-vertical-relative:page;z-index:-27539456" type="#_x0000_t202" id="docshape57" filled="false" stroked="false">
          <v:textbox inset="0,0,0,0">
            <w:txbxContent>
              <w:p>
                <w:pPr>
                  <w:spacing w:before="20"/>
                  <w:ind w:left="20" w:right="0" w:firstLine="0"/>
                  <w:jc w:val="left"/>
                  <w:rPr>
                    <w:b/>
                    <w:sz w:val="18"/>
                  </w:rPr>
                </w:pPr>
                <w:r>
                  <w:rPr>
                    <w:b/>
                    <w:color w:val="7E7E7E"/>
                    <w:sz w:val="18"/>
                  </w:rPr>
                  <w:t>Page </w:t>
                </w:r>
                <w:r>
                  <w:rPr/>
                  <w:fldChar w:fldCharType="begin"/>
                </w:r>
                <w:r>
                  <w:rPr>
                    <w:b/>
                    <w:color w:val="7E7E7E"/>
                    <w:sz w:val="18"/>
                  </w:rPr>
                  <w:instrText> PAGE </w:instrText>
                </w:r>
                <w:r>
                  <w:rPr/>
                  <w:fldChar w:fldCharType="separate"/>
                </w:r>
                <w:r>
                  <w:rPr/>
                  <w:t>28</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547.536011pt;width:700.92pt;height:.47998pt;mso-position-horizontal-relative:page;mso-position-vertical-relative:page;z-index:-27538944" id="docshape59" filled="true" fillcolor="#d9d9d9" stroked="false">
          <v:fill type="solid"/>
          <w10:wrap type="none"/>
        </v:rect>
      </w:pict>
    </w:r>
    <w:r>
      <w:rPr/>
      <w:pict>
        <v:shape style="position:absolute;margin-left:71pt;margin-top:547.923279pt;width:202.15pt;height:13.05pt;mso-position-horizontal-relative:page;mso-position-vertical-relative:page;z-index:-27538432" type="#_x0000_t202" id="docshape60" filled="false" stroked="false">
          <v:textbox inset="0,0,0,0">
            <w:txbxContent>
              <w:p>
                <w:pPr>
                  <w:spacing w:before="20"/>
                  <w:ind w:left="20" w:right="0" w:firstLine="0"/>
                  <w:jc w:val="left"/>
                  <w:rPr>
                    <w:b/>
                    <w:sz w:val="18"/>
                  </w:rPr>
                </w:pPr>
                <w:r>
                  <w:rPr>
                    <w:b/>
                    <w:color w:val="7E7E7E"/>
                    <w:sz w:val="18"/>
                  </w:rPr>
                  <w:t>Evaluation</w:t>
                </w:r>
                <w:r>
                  <w:rPr>
                    <w:b/>
                    <w:color w:val="7E7E7E"/>
                    <w:spacing w:val="-2"/>
                    <w:sz w:val="18"/>
                  </w:rPr>
                  <w:t> </w:t>
                </w:r>
                <w:r>
                  <w:rPr>
                    <w:b/>
                    <w:color w:val="7E7E7E"/>
                    <w:sz w:val="18"/>
                  </w:rPr>
                  <w:t>of</w:t>
                </w:r>
                <w:r>
                  <w:rPr>
                    <w:b/>
                    <w:color w:val="7E7E7E"/>
                    <w:spacing w:val="-2"/>
                    <w:sz w:val="18"/>
                  </w:rPr>
                  <w:t> </w:t>
                </w:r>
                <w:r>
                  <w:rPr>
                    <w:b/>
                    <w:color w:val="7E7E7E"/>
                    <w:sz w:val="18"/>
                  </w:rPr>
                  <w:t>the</w:t>
                </w:r>
                <w:r>
                  <w:rPr>
                    <w:b/>
                    <w:color w:val="7E7E7E"/>
                    <w:spacing w:val="-2"/>
                    <w:sz w:val="18"/>
                  </w:rPr>
                  <w:t> </w:t>
                </w:r>
                <w:r>
                  <w:rPr>
                    <w:b/>
                    <w:color w:val="7E7E7E"/>
                    <w:sz w:val="18"/>
                  </w:rPr>
                  <w:t>Health</w:t>
                </w:r>
                <w:r>
                  <w:rPr>
                    <w:b/>
                    <w:color w:val="7E7E7E"/>
                    <w:spacing w:val="-1"/>
                    <w:sz w:val="18"/>
                  </w:rPr>
                  <w:t> </w:t>
                </w:r>
                <w:r>
                  <w:rPr>
                    <w:b/>
                    <w:color w:val="7E7E7E"/>
                    <w:sz w:val="18"/>
                  </w:rPr>
                  <w:t>Care</w:t>
                </w:r>
                <w:r>
                  <w:rPr>
                    <w:b/>
                    <w:color w:val="7E7E7E"/>
                    <w:spacing w:val="-2"/>
                    <w:sz w:val="18"/>
                  </w:rPr>
                  <w:t> </w:t>
                </w:r>
                <w:r>
                  <w:rPr>
                    <w:b/>
                    <w:color w:val="7E7E7E"/>
                    <w:sz w:val="18"/>
                  </w:rPr>
                  <w:t>Homes</w:t>
                </w:r>
                <w:r>
                  <w:rPr>
                    <w:b/>
                    <w:color w:val="7E7E7E"/>
                    <w:spacing w:val="-1"/>
                    <w:sz w:val="18"/>
                  </w:rPr>
                  <w:t> </w:t>
                </w:r>
                <w:r>
                  <w:rPr>
                    <w:b/>
                    <w:color w:val="7E7E7E"/>
                    <w:sz w:val="18"/>
                  </w:rPr>
                  <w:t>program</w:t>
                </w:r>
              </w:p>
            </w:txbxContent>
          </v:textbox>
          <w10:wrap type="none"/>
        </v:shape>
      </w:pict>
    </w:r>
    <w:r>
      <w:rPr/>
      <w:pict>
        <v:shape style="position:absolute;margin-left:730.380005pt;margin-top:547.923279pt;width:40.450pt;height:13.05pt;mso-position-horizontal-relative:page;mso-position-vertical-relative:page;z-index:-27537920" type="#_x0000_t202" id="docshape61" filled="false" stroked="false">
          <v:textbox inset="0,0,0,0">
            <w:txbxContent>
              <w:p>
                <w:pPr>
                  <w:spacing w:before="20"/>
                  <w:ind w:left="20" w:right="0" w:firstLine="0"/>
                  <w:jc w:val="left"/>
                  <w:rPr>
                    <w:b/>
                    <w:sz w:val="18"/>
                  </w:rPr>
                </w:pPr>
                <w:r>
                  <w:rPr>
                    <w:b/>
                    <w:color w:val="7E7E7E"/>
                    <w:sz w:val="18"/>
                  </w:rPr>
                  <w:t>Page </w:t>
                </w:r>
                <w:r>
                  <w:rPr/>
                  <w:fldChar w:fldCharType="begin"/>
                </w:r>
                <w:r>
                  <w:rPr>
                    <w:b/>
                    <w:color w:val="7E7E7E"/>
                    <w:sz w:val="18"/>
                  </w:rPr>
                  <w:instrText> PAGE </w:instrText>
                </w:r>
                <w:r>
                  <w:rPr/>
                  <w:fldChar w:fldCharType="separate"/>
                </w:r>
                <w:r>
                  <w:rPr/>
                  <w:t>29</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024002pt;margin-top:794.547241pt;width:202.15pt;height:13.05pt;mso-position-horizontal-relative:page;mso-position-vertical-relative:page;z-index:-27537408" type="#_x0000_t202" id="docshape62" filled="false" stroked="false">
          <v:textbox inset="0,0,0,0">
            <w:txbxContent>
              <w:p>
                <w:pPr>
                  <w:spacing w:before="20"/>
                  <w:ind w:left="20" w:right="0" w:firstLine="0"/>
                  <w:jc w:val="left"/>
                  <w:rPr>
                    <w:b/>
                    <w:sz w:val="18"/>
                  </w:rPr>
                </w:pPr>
                <w:r>
                  <w:rPr>
                    <w:b/>
                    <w:color w:val="7E7E7E"/>
                    <w:sz w:val="18"/>
                  </w:rPr>
                  <w:t>Evaluation</w:t>
                </w:r>
                <w:r>
                  <w:rPr>
                    <w:b/>
                    <w:color w:val="7E7E7E"/>
                    <w:spacing w:val="-2"/>
                    <w:sz w:val="18"/>
                  </w:rPr>
                  <w:t> </w:t>
                </w:r>
                <w:r>
                  <w:rPr>
                    <w:b/>
                    <w:color w:val="7E7E7E"/>
                    <w:sz w:val="18"/>
                  </w:rPr>
                  <w:t>of</w:t>
                </w:r>
                <w:r>
                  <w:rPr>
                    <w:b/>
                    <w:color w:val="7E7E7E"/>
                    <w:spacing w:val="-2"/>
                    <w:sz w:val="18"/>
                  </w:rPr>
                  <w:t> </w:t>
                </w:r>
                <w:r>
                  <w:rPr>
                    <w:b/>
                    <w:color w:val="7E7E7E"/>
                    <w:sz w:val="18"/>
                  </w:rPr>
                  <w:t>the</w:t>
                </w:r>
                <w:r>
                  <w:rPr>
                    <w:b/>
                    <w:color w:val="7E7E7E"/>
                    <w:spacing w:val="-2"/>
                    <w:sz w:val="18"/>
                  </w:rPr>
                  <w:t> </w:t>
                </w:r>
                <w:r>
                  <w:rPr>
                    <w:b/>
                    <w:color w:val="7E7E7E"/>
                    <w:sz w:val="18"/>
                  </w:rPr>
                  <w:t>Health</w:t>
                </w:r>
                <w:r>
                  <w:rPr>
                    <w:b/>
                    <w:color w:val="7E7E7E"/>
                    <w:spacing w:val="-1"/>
                    <w:sz w:val="18"/>
                  </w:rPr>
                  <w:t> </w:t>
                </w:r>
                <w:r>
                  <w:rPr>
                    <w:b/>
                    <w:color w:val="7E7E7E"/>
                    <w:sz w:val="18"/>
                  </w:rPr>
                  <w:t>Care</w:t>
                </w:r>
                <w:r>
                  <w:rPr>
                    <w:b/>
                    <w:color w:val="7E7E7E"/>
                    <w:spacing w:val="-2"/>
                    <w:sz w:val="18"/>
                  </w:rPr>
                  <w:t> </w:t>
                </w:r>
                <w:r>
                  <w:rPr>
                    <w:b/>
                    <w:color w:val="7E7E7E"/>
                    <w:sz w:val="18"/>
                  </w:rPr>
                  <w:t>Homes</w:t>
                </w:r>
                <w:r>
                  <w:rPr>
                    <w:b/>
                    <w:color w:val="7E7E7E"/>
                    <w:spacing w:val="-1"/>
                    <w:sz w:val="18"/>
                  </w:rPr>
                  <w:t> </w:t>
                </w:r>
                <w:r>
                  <w:rPr>
                    <w:b/>
                    <w:color w:val="7E7E7E"/>
                    <w:sz w:val="18"/>
                  </w:rPr>
                  <w:t>program</w:t>
                </w:r>
              </w:p>
            </w:txbxContent>
          </v:textbox>
          <w10:wrap type="none"/>
        </v:shape>
      </w:pict>
    </w:r>
    <w:r>
      <w:rPr/>
      <w:pict>
        <v:shape style="position:absolute;margin-left:487.140015pt;margin-top:794.547241pt;width:37.4pt;height:13.05pt;mso-position-horizontal-relative:page;mso-position-vertical-relative:page;z-index:-27536896" type="#_x0000_t202" id="docshape63" filled="false" stroked="false">
          <v:textbox inset="0,0,0,0">
            <w:txbxContent>
              <w:p>
                <w:pPr>
                  <w:spacing w:before="20"/>
                  <w:ind w:left="20" w:right="0" w:firstLine="0"/>
                  <w:jc w:val="left"/>
                  <w:rPr>
                    <w:b/>
                    <w:sz w:val="18"/>
                  </w:rPr>
                </w:pPr>
                <w:r>
                  <w:rPr>
                    <w:b/>
                    <w:color w:val="7E7E7E"/>
                    <w:sz w:val="18"/>
                  </w:rPr>
                  <w:t>Page</w:t>
                </w:r>
                <w:r>
                  <w:rPr>
                    <w:b/>
                    <w:color w:val="7E7E7E"/>
                    <w:spacing w:val="-1"/>
                    <w:sz w:val="18"/>
                  </w:rPr>
                  <w:t> </w:t>
                </w:r>
                <w:r>
                  <w:rPr>
                    <w:b/>
                    <w:color w:val="7E7E7E"/>
                    <w:sz w:val="18"/>
                  </w:rPr>
                  <w:t>35</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547.923279pt;width:202.15pt;height:13.05pt;mso-position-horizontal-relative:page;mso-position-vertical-relative:page;z-index:-27536384" type="#_x0000_t202" id="docshape65" filled="false" stroked="false">
          <v:textbox inset="0,0,0,0">
            <w:txbxContent>
              <w:p>
                <w:pPr>
                  <w:spacing w:before="20"/>
                  <w:ind w:left="20" w:right="0" w:firstLine="0"/>
                  <w:jc w:val="left"/>
                  <w:rPr>
                    <w:b/>
                    <w:sz w:val="18"/>
                  </w:rPr>
                </w:pPr>
                <w:r>
                  <w:rPr>
                    <w:b/>
                    <w:color w:val="7E7E7E"/>
                    <w:sz w:val="18"/>
                  </w:rPr>
                  <w:t>Evaluation</w:t>
                </w:r>
                <w:r>
                  <w:rPr>
                    <w:b/>
                    <w:color w:val="7E7E7E"/>
                    <w:spacing w:val="-2"/>
                    <w:sz w:val="18"/>
                  </w:rPr>
                  <w:t> </w:t>
                </w:r>
                <w:r>
                  <w:rPr>
                    <w:b/>
                    <w:color w:val="7E7E7E"/>
                    <w:sz w:val="18"/>
                  </w:rPr>
                  <w:t>of</w:t>
                </w:r>
                <w:r>
                  <w:rPr>
                    <w:b/>
                    <w:color w:val="7E7E7E"/>
                    <w:spacing w:val="-2"/>
                    <w:sz w:val="18"/>
                  </w:rPr>
                  <w:t> </w:t>
                </w:r>
                <w:r>
                  <w:rPr>
                    <w:b/>
                    <w:color w:val="7E7E7E"/>
                    <w:sz w:val="18"/>
                  </w:rPr>
                  <w:t>the</w:t>
                </w:r>
                <w:r>
                  <w:rPr>
                    <w:b/>
                    <w:color w:val="7E7E7E"/>
                    <w:spacing w:val="-2"/>
                    <w:sz w:val="18"/>
                  </w:rPr>
                  <w:t> </w:t>
                </w:r>
                <w:r>
                  <w:rPr>
                    <w:b/>
                    <w:color w:val="7E7E7E"/>
                    <w:sz w:val="18"/>
                  </w:rPr>
                  <w:t>Health</w:t>
                </w:r>
                <w:r>
                  <w:rPr>
                    <w:b/>
                    <w:color w:val="7E7E7E"/>
                    <w:spacing w:val="-1"/>
                    <w:sz w:val="18"/>
                  </w:rPr>
                  <w:t> </w:t>
                </w:r>
                <w:r>
                  <w:rPr>
                    <w:b/>
                    <w:color w:val="7E7E7E"/>
                    <w:sz w:val="18"/>
                  </w:rPr>
                  <w:t>Care</w:t>
                </w:r>
                <w:r>
                  <w:rPr>
                    <w:b/>
                    <w:color w:val="7E7E7E"/>
                    <w:spacing w:val="-2"/>
                    <w:sz w:val="18"/>
                  </w:rPr>
                  <w:t> </w:t>
                </w:r>
                <w:r>
                  <w:rPr>
                    <w:b/>
                    <w:color w:val="7E7E7E"/>
                    <w:sz w:val="18"/>
                  </w:rPr>
                  <w:t>Homes</w:t>
                </w:r>
                <w:r>
                  <w:rPr>
                    <w:b/>
                    <w:color w:val="7E7E7E"/>
                    <w:spacing w:val="-1"/>
                    <w:sz w:val="18"/>
                  </w:rPr>
                  <w:t> </w:t>
                </w:r>
                <w:r>
                  <w:rPr>
                    <w:b/>
                    <w:color w:val="7E7E7E"/>
                    <w:sz w:val="18"/>
                  </w:rPr>
                  <w:t>program</w:t>
                </w:r>
              </w:p>
            </w:txbxContent>
          </v:textbox>
          <w10:wrap type="none"/>
        </v:shape>
      </w:pict>
    </w:r>
    <w:r>
      <w:rPr/>
      <w:pict>
        <v:shape style="position:absolute;margin-left:730.380005pt;margin-top:547.923279pt;width:37.450pt;height:13.05pt;mso-position-horizontal-relative:page;mso-position-vertical-relative:page;z-index:-27535872" type="#_x0000_t202" id="docshape66" filled="false" stroked="false">
          <v:textbox inset="0,0,0,0">
            <w:txbxContent>
              <w:p>
                <w:pPr>
                  <w:spacing w:before="20"/>
                  <w:ind w:left="20" w:right="0" w:firstLine="0"/>
                  <w:jc w:val="left"/>
                  <w:rPr>
                    <w:b/>
                    <w:sz w:val="18"/>
                  </w:rPr>
                </w:pPr>
                <w:r>
                  <w:rPr>
                    <w:b/>
                    <w:color w:val="7E7E7E"/>
                    <w:sz w:val="18"/>
                  </w:rPr>
                  <w:t>Page</w:t>
                </w:r>
                <w:r>
                  <w:rPr>
                    <w:b/>
                    <w:color w:val="7E7E7E"/>
                    <w:spacing w:val="-1"/>
                    <w:sz w:val="18"/>
                  </w:rPr>
                  <w:t> </w:t>
                </w:r>
                <w:r>
                  <w:rPr>
                    <w:b/>
                    <w:color w:val="7E7E7E"/>
                    <w:sz w:val="18"/>
                  </w:rPr>
                  <w:t>36</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024002pt;margin-top:794.547241pt;width:202.15pt;height:13.05pt;mso-position-horizontal-relative:page;mso-position-vertical-relative:page;z-index:-27535360" type="#_x0000_t202" id="docshape68" filled="false" stroked="false">
          <v:textbox inset="0,0,0,0">
            <w:txbxContent>
              <w:p>
                <w:pPr>
                  <w:spacing w:before="20"/>
                  <w:ind w:left="20" w:right="0" w:firstLine="0"/>
                  <w:jc w:val="left"/>
                  <w:rPr>
                    <w:b/>
                    <w:sz w:val="18"/>
                  </w:rPr>
                </w:pPr>
                <w:r>
                  <w:rPr>
                    <w:b/>
                    <w:color w:val="7E7E7E"/>
                    <w:sz w:val="18"/>
                  </w:rPr>
                  <w:t>Evaluation</w:t>
                </w:r>
                <w:r>
                  <w:rPr>
                    <w:b/>
                    <w:color w:val="7E7E7E"/>
                    <w:spacing w:val="-2"/>
                    <w:sz w:val="18"/>
                  </w:rPr>
                  <w:t> </w:t>
                </w:r>
                <w:r>
                  <w:rPr>
                    <w:b/>
                    <w:color w:val="7E7E7E"/>
                    <w:sz w:val="18"/>
                  </w:rPr>
                  <w:t>of</w:t>
                </w:r>
                <w:r>
                  <w:rPr>
                    <w:b/>
                    <w:color w:val="7E7E7E"/>
                    <w:spacing w:val="-2"/>
                    <w:sz w:val="18"/>
                  </w:rPr>
                  <w:t> </w:t>
                </w:r>
                <w:r>
                  <w:rPr>
                    <w:b/>
                    <w:color w:val="7E7E7E"/>
                    <w:sz w:val="18"/>
                  </w:rPr>
                  <w:t>the</w:t>
                </w:r>
                <w:r>
                  <w:rPr>
                    <w:b/>
                    <w:color w:val="7E7E7E"/>
                    <w:spacing w:val="-2"/>
                    <w:sz w:val="18"/>
                  </w:rPr>
                  <w:t> </w:t>
                </w:r>
                <w:r>
                  <w:rPr>
                    <w:b/>
                    <w:color w:val="7E7E7E"/>
                    <w:sz w:val="18"/>
                  </w:rPr>
                  <w:t>Health</w:t>
                </w:r>
                <w:r>
                  <w:rPr>
                    <w:b/>
                    <w:color w:val="7E7E7E"/>
                    <w:spacing w:val="-1"/>
                    <w:sz w:val="18"/>
                  </w:rPr>
                  <w:t> </w:t>
                </w:r>
                <w:r>
                  <w:rPr>
                    <w:b/>
                    <w:color w:val="7E7E7E"/>
                    <w:sz w:val="18"/>
                  </w:rPr>
                  <w:t>Care</w:t>
                </w:r>
                <w:r>
                  <w:rPr>
                    <w:b/>
                    <w:color w:val="7E7E7E"/>
                    <w:spacing w:val="-2"/>
                    <w:sz w:val="18"/>
                  </w:rPr>
                  <w:t> </w:t>
                </w:r>
                <w:r>
                  <w:rPr>
                    <w:b/>
                    <w:color w:val="7E7E7E"/>
                    <w:sz w:val="18"/>
                  </w:rPr>
                  <w:t>Homes</w:t>
                </w:r>
                <w:r>
                  <w:rPr>
                    <w:b/>
                    <w:color w:val="7E7E7E"/>
                    <w:spacing w:val="-1"/>
                    <w:sz w:val="18"/>
                  </w:rPr>
                  <w:t> </w:t>
                </w:r>
                <w:r>
                  <w:rPr>
                    <w:b/>
                    <w:color w:val="7E7E7E"/>
                    <w:sz w:val="18"/>
                  </w:rPr>
                  <w:t>program</w:t>
                </w:r>
              </w:p>
            </w:txbxContent>
          </v:textbox>
          <w10:wrap type="none"/>
        </v:shape>
      </w:pict>
    </w:r>
    <w:r>
      <w:rPr/>
      <w:pict>
        <v:shape style="position:absolute;margin-left:487.140015pt;margin-top:794.547241pt;width:37.4pt;height:13.05pt;mso-position-horizontal-relative:page;mso-position-vertical-relative:page;z-index:-27534848" type="#_x0000_t202" id="docshape69" filled="false" stroked="false">
          <v:textbox inset="0,0,0,0">
            <w:txbxContent>
              <w:p>
                <w:pPr>
                  <w:spacing w:before="20"/>
                  <w:ind w:left="20" w:right="0" w:firstLine="0"/>
                  <w:jc w:val="left"/>
                  <w:rPr>
                    <w:b/>
                    <w:sz w:val="18"/>
                  </w:rPr>
                </w:pPr>
                <w:r>
                  <w:rPr>
                    <w:b/>
                    <w:color w:val="7E7E7E"/>
                    <w:sz w:val="18"/>
                  </w:rPr>
                  <w:t>Page</w:t>
                </w:r>
                <w:r>
                  <w:rPr>
                    <w:b/>
                    <w:color w:val="7E7E7E"/>
                    <w:spacing w:val="-1"/>
                    <w:sz w:val="18"/>
                  </w:rPr>
                  <w:t> </w:t>
                </w:r>
                <w:r>
                  <w:rPr>
                    <w:b/>
                    <w:color w:val="7E7E7E"/>
                    <w:sz w:val="18"/>
                  </w:rPr>
                  <w:t>37</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547.923279pt;width:202.15pt;height:13.05pt;mso-position-horizontal-relative:page;mso-position-vertical-relative:page;z-index:-27534336" type="#_x0000_t202" id="docshape71" filled="false" stroked="false">
          <v:textbox inset="0,0,0,0">
            <w:txbxContent>
              <w:p>
                <w:pPr>
                  <w:spacing w:before="20"/>
                  <w:ind w:left="20" w:right="0" w:firstLine="0"/>
                  <w:jc w:val="left"/>
                  <w:rPr>
                    <w:b/>
                    <w:sz w:val="18"/>
                  </w:rPr>
                </w:pPr>
                <w:r>
                  <w:rPr>
                    <w:b/>
                    <w:color w:val="7E7E7E"/>
                    <w:sz w:val="18"/>
                  </w:rPr>
                  <w:t>Evaluation</w:t>
                </w:r>
                <w:r>
                  <w:rPr>
                    <w:b/>
                    <w:color w:val="7E7E7E"/>
                    <w:spacing w:val="-2"/>
                    <w:sz w:val="18"/>
                  </w:rPr>
                  <w:t> </w:t>
                </w:r>
                <w:r>
                  <w:rPr>
                    <w:b/>
                    <w:color w:val="7E7E7E"/>
                    <w:sz w:val="18"/>
                  </w:rPr>
                  <w:t>of</w:t>
                </w:r>
                <w:r>
                  <w:rPr>
                    <w:b/>
                    <w:color w:val="7E7E7E"/>
                    <w:spacing w:val="-2"/>
                    <w:sz w:val="18"/>
                  </w:rPr>
                  <w:t> </w:t>
                </w:r>
                <w:r>
                  <w:rPr>
                    <w:b/>
                    <w:color w:val="7E7E7E"/>
                    <w:sz w:val="18"/>
                  </w:rPr>
                  <w:t>the</w:t>
                </w:r>
                <w:r>
                  <w:rPr>
                    <w:b/>
                    <w:color w:val="7E7E7E"/>
                    <w:spacing w:val="-2"/>
                    <w:sz w:val="18"/>
                  </w:rPr>
                  <w:t> </w:t>
                </w:r>
                <w:r>
                  <w:rPr>
                    <w:b/>
                    <w:color w:val="7E7E7E"/>
                    <w:sz w:val="18"/>
                  </w:rPr>
                  <w:t>Health</w:t>
                </w:r>
                <w:r>
                  <w:rPr>
                    <w:b/>
                    <w:color w:val="7E7E7E"/>
                    <w:spacing w:val="-1"/>
                    <w:sz w:val="18"/>
                  </w:rPr>
                  <w:t> </w:t>
                </w:r>
                <w:r>
                  <w:rPr>
                    <w:b/>
                    <w:color w:val="7E7E7E"/>
                    <w:sz w:val="18"/>
                  </w:rPr>
                  <w:t>Care</w:t>
                </w:r>
                <w:r>
                  <w:rPr>
                    <w:b/>
                    <w:color w:val="7E7E7E"/>
                    <w:spacing w:val="-2"/>
                    <w:sz w:val="18"/>
                  </w:rPr>
                  <w:t> </w:t>
                </w:r>
                <w:r>
                  <w:rPr>
                    <w:b/>
                    <w:color w:val="7E7E7E"/>
                    <w:sz w:val="18"/>
                  </w:rPr>
                  <w:t>Homes</w:t>
                </w:r>
                <w:r>
                  <w:rPr>
                    <w:b/>
                    <w:color w:val="7E7E7E"/>
                    <w:spacing w:val="-1"/>
                    <w:sz w:val="18"/>
                  </w:rPr>
                  <w:t> </w:t>
                </w:r>
                <w:r>
                  <w:rPr>
                    <w:b/>
                    <w:color w:val="7E7E7E"/>
                    <w:sz w:val="18"/>
                  </w:rPr>
                  <w:t>program</w:t>
                </w:r>
              </w:p>
            </w:txbxContent>
          </v:textbox>
          <w10:wrap type="none"/>
        </v:shape>
      </w:pict>
    </w:r>
    <w:r>
      <w:rPr/>
      <w:pict>
        <v:shape style="position:absolute;margin-left:730.380005pt;margin-top:547.923279pt;width:40.450pt;height:13.05pt;mso-position-horizontal-relative:page;mso-position-vertical-relative:page;z-index:-27533824" type="#_x0000_t202" id="docshape72" filled="false" stroked="false">
          <v:textbox inset="0,0,0,0">
            <w:txbxContent>
              <w:p>
                <w:pPr>
                  <w:spacing w:before="20"/>
                  <w:ind w:left="20" w:right="0" w:firstLine="0"/>
                  <w:jc w:val="left"/>
                  <w:rPr>
                    <w:b/>
                    <w:sz w:val="18"/>
                  </w:rPr>
                </w:pPr>
                <w:r>
                  <w:rPr>
                    <w:b/>
                    <w:color w:val="7E7E7E"/>
                    <w:sz w:val="18"/>
                  </w:rPr>
                  <w:t>Page </w:t>
                </w:r>
                <w:r>
                  <w:rPr/>
                  <w:fldChar w:fldCharType="begin"/>
                </w:r>
                <w:r>
                  <w:rPr>
                    <w:b/>
                    <w:color w:val="7E7E7E"/>
                    <w:sz w:val="18"/>
                  </w:rPr>
                  <w:instrText> PAGE </w:instrText>
                </w:r>
                <w:r>
                  <w:rPr/>
                  <w:fldChar w:fldCharType="separate"/>
                </w:r>
                <w:r>
                  <w:rPr/>
                  <w:t>38</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547.536011pt;width:700.92pt;height:.47998pt;mso-position-horizontal-relative:page;mso-position-vertical-relative:page;z-index:-27533312" id="docshape74" filled="true" fillcolor="#d9d9d9" stroked="false">
          <v:fill type="solid"/>
          <w10:wrap type="none"/>
        </v:rect>
      </w:pict>
    </w:r>
    <w:r>
      <w:rPr/>
      <w:pict>
        <v:shape style="position:absolute;margin-left:71pt;margin-top:547.923279pt;width:202.15pt;height:13.05pt;mso-position-horizontal-relative:page;mso-position-vertical-relative:page;z-index:-27532800" type="#_x0000_t202" id="docshape75" filled="false" stroked="false">
          <v:textbox inset="0,0,0,0">
            <w:txbxContent>
              <w:p>
                <w:pPr>
                  <w:spacing w:before="20"/>
                  <w:ind w:left="20" w:right="0" w:firstLine="0"/>
                  <w:jc w:val="left"/>
                  <w:rPr>
                    <w:b/>
                    <w:sz w:val="18"/>
                  </w:rPr>
                </w:pPr>
                <w:r>
                  <w:rPr>
                    <w:b/>
                    <w:color w:val="7E7E7E"/>
                    <w:sz w:val="18"/>
                  </w:rPr>
                  <w:t>Evaluation</w:t>
                </w:r>
                <w:r>
                  <w:rPr>
                    <w:b/>
                    <w:color w:val="7E7E7E"/>
                    <w:spacing w:val="-2"/>
                    <w:sz w:val="18"/>
                  </w:rPr>
                  <w:t> </w:t>
                </w:r>
                <w:r>
                  <w:rPr>
                    <w:b/>
                    <w:color w:val="7E7E7E"/>
                    <w:sz w:val="18"/>
                  </w:rPr>
                  <w:t>of</w:t>
                </w:r>
                <w:r>
                  <w:rPr>
                    <w:b/>
                    <w:color w:val="7E7E7E"/>
                    <w:spacing w:val="-2"/>
                    <w:sz w:val="18"/>
                  </w:rPr>
                  <w:t> </w:t>
                </w:r>
                <w:r>
                  <w:rPr>
                    <w:b/>
                    <w:color w:val="7E7E7E"/>
                    <w:sz w:val="18"/>
                  </w:rPr>
                  <w:t>the</w:t>
                </w:r>
                <w:r>
                  <w:rPr>
                    <w:b/>
                    <w:color w:val="7E7E7E"/>
                    <w:spacing w:val="-2"/>
                    <w:sz w:val="18"/>
                  </w:rPr>
                  <w:t> </w:t>
                </w:r>
                <w:r>
                  <w:rPr>
                    <w:b/>
                    <w:color w:val="7E7E7E"/>
                    <w:sz w:val="18"/>
                  </w:rPr>
                  <w:t>Health</w:t>
                </w:r>
                <w:r>
                  <w:rPr>
                    <w:b/>
                    <w:color w:val="7E7E7E"/>
                    <w:spacing w:val="-1"/>
                    <w:sz w:val="18"/>
                  </w:rPr>
                  <w:t> </w:t>
                </w:r>
                <w:r>
                  <w:rPr>
                    <w:b/>
                    <w:color w:val="7E7E7E"/>
                    <w:sz w:val="18"/>
                  </w:rPr>
                  <w:t>Care</w:t>
                </w:r>
                <w:r>
                  <w:rPr>
                    <w:b/>
                    <w:color w:val="7E7E7E"/>
                    <w:spacing w:val="-2"/>
                    <w:sz w:val="18"/>
                  </w:rPr>
                  <w:t> </w:t>
                </w:r>
                <w:r>
                  <w:rPr>
                    <w:b/>
                    <w:color w:val="7E7E7E"/>
                    <w:sz w:val="18"/>
                  </w:rPr>
                  <w:t>Homes</w:t>
                </w:r>
                <w:r>
                  <w:rPr>
                    <w:b/>
                    <w:color w:val="7E7E7E"/>
                    <w:spacing w:val="-1"/>
                    <w:sz w:val="18"/>
                  </w:rPr>
                  <w:t> </w:t>
                </w:r>
                <w:r>
                  <w:rPr>
                    <w:b/>
                    <w:color w:val="7E7E7E"/>
                    <w:sz w:val="18"/>
                  </w:rPr>
                  <w:t>program</w:t>
                </w:r>
              </w:p>
            </w:txbxContent>
          </v:textbox>
          <w10:wrap type="none"/>
        </v:shape>
      </w:pict>
    </w:r>
    <w:r>
      <w:rPr/>
      <w:pict>
        <v:shape style="position:absolute;margin-left:730.380005pt;margin-top:547.923279pt;width:40.450pt;height:13.05pt;mso-position-horizontal-relative:page;mso-position-vertical-relative:page;z-index:-27532288" type="#_x0000_t202" id="docshape76" filled="false" stroked="false">
          <v:textbox inset="0,0,0,0">
            <w:txbxContent>
              <w:p>
                <w:pPr>
                  <w:spacing w:before="20"/>
                  <w:ind w:left="20" w:right="0" w:firstLine="0"/>
                  <w:jc w:val="left"/>
                  <w:rPr>
                    <w:b/>
                    <w:sz w:val="18"/>
                  </w:rPr>
                </w:pPr>
                <w:r>
                  <w:rPr>
                    <w:b/>
                    <w:color w:val="7E7E7E"/>
                    <w:sz w:val="18"/>
                  </w:rPr>
                  <w:t>Page </w:t>
                </w:r>
                <w:r>
                  <w:rPr/>
                  <w:fldChar w:fldCharType="begin"/>
                </w:r>
                <w:r>
                  <w:rPr>
                    <w:b/>
                    <w:color w:val="7E7E7E"/>
                    <w:sz w:val="18"/>
                  </w:rPr>
                  <w:instrText> PAGE </w:instrText>
                </w:r>
                <w:r>
                  <w:rPr/>
                  <w:fldChar w:fldCharType="separate"/>
                </w:r>
                <w:r>
                  <w:rPr/>
                  <w:t>39</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84pt;margin-top:794.039917pt;width:454.27pt;height:.48004pt;mso-position-horizontal-relative:page;mso-position-vertical-relative:page;z-index:-27554304" id="docshape4" filled="true" fillcolor="#d9d9d9" stroked="false">
          <v:fill type="solid"/>
          <w10:wrap type="none"/>
        </v:rect>
      </w:pict>
    </w:r>
    <w:r>
      <w:rPr/>
      <w:pict>
        <v:shape style="position:absolute;margin-left:71.024002pt;margin-top:794.547241pt;width:202.15pt;height:13.05pt;mso-position-horizontal-relative:page;mso-position-vertical-relative:page;z-index:-27553792" type="#_x0000_t202" id="docshape5" filled="false" stroked="false">
          <v:textbox inset="0,0,0,0">
            <w:txbxContent>
              <w:p>
                <w:pPr>
                  <w:spacing w:before="20"/>
                  <w:ind w:left="20" w:right="0" w:firstLine="0"/>
                  <w:jc w:val="left"/>
                  <w:rPr>
                    <w:b/>
                    <w:sz w:val="18"/>
                  </w:rPr>
                </w:pPr>
                <w:r>
                  <w:rPr>
                    <w:b/>
                    <w:color w:val="7E7E7E"/>
                    <w:sz w:val="18"/>
                  </w:rPr>
                  <w:t>Evaluation</w:t>
                </w:r>
                <w:r>
                  <w:rPr>
                    <w:b/>
                    <w:color w:val="7E7E7E"/>
                    <w:spacing w:val="-2"/>
                    <w:sz w:val="18"/>
                  </w:rPr>
                  <w:t> </w:t>
                </w:r>
                <w:r>
                  <w:rPr>
                    <w:b/>
                    <w:color w:val="7E7E7E"/>
                    <w:sz w:val="18"/>
                  </w:rPr>
                  <w:t>of</w:t>
                </w:r>
                <w:r>
                  <w:rPr>
                    <w:b/>
                    <w:color w:val="7E7E7E"/>
                    <w:spacing w:val="-2"/>
                    <w:sz w:val="18"/>
                  </w:rPr>
                  <w:t> </w:t>
                </w:r>
                <w:r>
                  <w:rPr>
                    <w:b/>
                    <w:color w:val="7E7E7E"/>
                    <w:sz w:val="18"/>
                  </w:rPr>
                  <w:t>the</w:t>
                </w:r>
                <w:r>
                  <w:rPr>
                    <w:b/>
                    <w:color w:val="7E7E7E"/>
                    <w:spacing w:val="-2"/>
                    <w:sz w:val="18"/>
                  </w:rPr>
                  <w:t> </w:t>
                </w:r>
                <w:r>
                  <w:rPr>
                    <w:b/>
                    <w:color w:val="7E7E7E"/>
                    <w:sz w:val="18"/>
                  </w:rPr>
                  <w:t>Health</w:t>
                </w:r>
                <w:r>
                  <w:rPr>
                    <w:b/>
                    <w:color w:val="7E7E7E"/>
                    <w:spacing w:val="-1"/>
                    <w:sz w:val="18"/>
                  </w:rPr>
                  <w:t> </w:t>
                </w:r>
                <w:r>
                  <w:rPr>
                    <w:b/>
                    <w:color w:val="7E7E7E"/>
                    <w:sz w:val="18"/>
                  </w:rPr>
                  <w:t>Care</w:t>
                </w:r>
                <w:r>
                  <w:rPr>
                    <w:b/>
                    <w:color w:val="7E7E7E"/>
                    <w:spacing w:val="-2"/>
                    <w:sz w:val="18"/>
                  </w:rPr>
                  <w:t> </w:t>
                </w:r>
                <w:r>
                  <w:rPr>
                    <w:b/>
                    <w:color w:val="7E7E7E"/>
                    <w:sz w:val="18"/>
                  </w:rPr>
                  <w:t>Homes</w:t>
                </w:r>
                <w:r>
                  <w:rPr>
                    <w:b/>
                    <w:color w:val="7E7E7E"/>
                    <w:spacing w:val="-1"/>
                    <w:sz w:val="18"/>
                  </w:rPr>
                  <w:t> </w:t>
                </w:r>
                <w:r>
                  <w:rPr>
                    <w:b/>
                    <w:color w:val="7E7E7E"/>
                    <w:sz w:val="18"/>
                  </w:rPr>
                  <w:t>program</w:t>
                </w:r>
              </w:p>
            </w:txbxContent>
          </v:textbox>
          <w10:wrap type="none"/>
        </v:shape>
      </w:pict>
    </w:r>
    <w:r>
      <w:rPr/>
      <w:pict>
        <v:shape style="position:absolute;margin-left:487.140015pt;margin-top:794.547241pt;width:40.4pt;height:13.05pt;mso-position-horizontal-relative:page;mso-position-vertical-relative:page;z-index:-27553280" type="#_x0000_t202" id="docshape6" filled="false" stroked="false">
          <v:textbox inset="0,0,0,0">
            <w:txbxContent>
              <w:p>
                <w:pPr>
                  <w:spacing w:before="20"/>
                  <w:ind w:left="20" w:right="0" w:firstLine="0"/>
                  <w:jc w:val="left"/>
                  <w:rPr>
                    <w:b/>
                    <w:sz w:val="18"/>
                  </w:rPr>
                </w:pPr>
                <w:r>
                  <w:rPr>
                    <w:b/>
                    <w:color w:val="7E7E7E"/>
                    <w:sz w:val="18"/>
                  </w:rPr>
                  <w:t>Page </w:t>
                </w:r>
                <w:r>
                  <w:rPr/>
                  <w:fldChar w:fldCharType="begin"/>
                </w:r>
                <w:r>
                  <w:rPr>
                    <w:b/>
                    <w:color w:val="7E7E7E"/>
                    <w:sz w:val="18"/>
                  </w:rPr>
                  <w:instrText> PAGE </w:instrText>
                </w:r>
                <w:r>
                  <w:rPr/>
                  <w:fldChar w:fldCharType="separate"/>
                </w:r>
                <w:r>
                  <w:rPr/>
                  <w:t>10</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84pt;margin-top:794.159973pt;width:454.27pt;height:.47998pt;mso-position-horizontal-relative:page;mso-position-vertical-relative:page;z-index:-27531776" id="docshape77" filled="true" fillcolor="#d9d9d9" stroked="false">
          <v:fill type="solid"/>
          <w10:wrap type="none"/>
        </v:rect>
      </w:pict>
    </w:r>
    <w:r>
      <w:rPr/>
      <w:pict>
        <v:shape style="position:absolute;margin-left:71.024002pt;margin-top:794.547241pt;width:202.15pt;height:13.05pt;mso-position-horizontal-relative:page;mso-position-vertical-relative:page;z-index:-27531264" type="#_x0000_t202" id="docshape78" filled="false" stroked="false">
          <v:textbox inset="0,0,0,0">
            <w:txbxContent>
              <w:p>
                <w:pPr>
                  <w:spacing w:before="20"/>
                  <w:ind w:left="20" w:right="0" w:firstLine="0"/>
                  <w:jc w:val="left"/>
                  <w:rPr>
                    <w:b/>
                    <w:sz w:val="18"/>
                  </w:rPr>
                </w:pPr>
                <w:r>
                  <w:rPr>
                    <w:b/>
                    <w:color w:val="7E7E7E"/>
                    <w:sz w:val="18"/>
                  </w:rPr>
                  <w:t>Evaluation</w:t>
                </w:r>
                <w:r>
                  <w:rPr>
                    <w:b/>
                    <w:color w:val="7E7E7E"/>
                    <w:spacing w:val="-2"/>
                    <w:sz w:val="18"/>
                  </w:rPr>
                  <w:t> </w:t>
                </w:r>
                <w:r>
                  <w:rPr>
                    <w:b/>
                    <w:color w:val="7E7E7E"/>
                    <w:sz w:val="18"/>
                  </w:rPr>
                  <w:t>of</w:t>
                </w:r>
                <w:r>
                  <w:rPr>
                    <w:b/>
                    <w:color w:val="7E7E7E"/>
                    <w:spacing w:val="-2"/>
                    <w:sz w:val="18"/>
                  </w:rPr>
                  <w:t> </w:t>
                </w:r>
                <w:r>
                  <w:rPr>
                    <w:b/>
                    <w:color w:val="7E7E7E"/>
                    <w:sz w:val="18"/>
                  </w:rPr>
                  <w:t>the</w:t>
                </w:r>
                <w:r>
                  <w:rPr>
                    <w:b/>
                    <w:color w:val="7E7E7E"/>
                    <w:spacing w:val="-2"/>
                    <w:sz w:val="18"/>
                  </w:rPr>
                  <w:t> </w:t>
                </w:r>
                <w:r>
                  <w:rPr>
                    <w:b/>
                    <w:color w:val="7E7E7E"/>
                    <w:sz w:val="18"/>
                  </w:rPr>
                  <w:t>Health</w:t>
                </w:r>
                <w:r>
                  <w:rPr>
                    <w:b/>
                    <w:color w:val="7E7E7E"/>
                    <w:spacing w:val="-1"/>
                    <w:sz w:val="18"/>
                  </w:rPr>
                  <w:t> </w:t>
                </w:r>
                <w:r>
                  <w:rPr>
                    <w:b/>
                    <w:color w:val="7E7E7E"/>
                    <w:sz w:val="18"/>
                  </w:rPr>
                  <w:t>Care</w:t>
                </w:r>
                <w:r>
                  <w:rPr>
                    <w:b/>
                    <w:color w:val="7E7E7E"/>
                    <w:spacing w:val="-2"/>
                    <w:sz w:val="18"/>
                  </w:rPr>
                  <w:t> </w:t>
                </w:r>
                <w:r>
                  <w:rPr>
                    <w:b/>
                    <w:color w:val="7E7E7E"/>
                    <w:sz w:val="18"/>
                  </w:rPr>
                  <w:t>Homes</w:t>
                </w:r>
                <w:r>
                  <w:rPr>
                    <w:b/>
                    <w:color w:val="7E7E7E"/>
                    <w:spacing w:val="-1"/>
                    <w:sz w:val="18"/>
                  </w:rPr>
                  <w:t> </w:t>
                </w:r>
                <w:r>
                  <w:rPr>
                    <w:b/>
                    <w:color w:val="7E7E7E"/>
                    <w:sz w:val="18"/>
                  </w:rPr>
                  <w:t>program</w:t>
                </w:r>
              </w:p>
            </w:txbxContent>
          </v:textbox>
          <w10:wrap type="none"/>
        </v:shape>
      </w:pict>
    </w:r>
    <w:r>
      <w:rPr/>
      <w:pict>
        <v:shape style="position:absolute;margin-left:487.140015pt;margin-top:794.547241pt;width:40.4pt;height:13.05pt;mso-position-horizontal-relative:page;mso-position-vertical-relative:page;z-index:-27530752" type="#_x0000_t202" id="docshape79" filled="false" stroked="false">
          <v:textbox inset="0,0,0,0">
            <w:txbxContent>
              <w:p>
                <w:pPr>
                  <w:spacing w:before="20"/>
                  <w:ind w:left="20" w:right="0" w:firstLine="0"/>
                  <w:jc w:val="left"/>
                  <w:rPr>
                    <w:b/>
                    <w:sz w:val="18"/>
                  </w:rPr>
                </w:pPr>
                <w:r>
                  <w:rPr>
                    <w:b/>
                    <w:color w:val="7E7E7E"/>
                    <w:sz w:val="18"/>
                  </w:rPr>
                  <w:t>Page </w:t>
                </w:r>
                <w:r>
                  <w:rPr/>
                  <w:fldChar w:fldCharType="begin"/>
                </w:r>
                <w:r>
                  <w:rPr>
                    <w:b/>
                    <w:color w:val="7E7E7E"/>
                    <w:sz w:val="18"/>
                  </w:rPr>
                  <w:instrText> PAGE </w:instrText>
                </w:r>
                <w:r>
                  <w:rPr/>
                  <w:fldChar w:fldCharType="separate"/>
                </w:r>
                <w:r>
                  <w:rPr/>
                  <w:t>41</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pt;margin-top:783.507263pt;width:230.65pt;height:24.1pt;mso-position-horizontal-relative:page;mso-position-vertical-relative:page;z-index:-27530240" type="#_x0000_t202" id="docshape131" filled="false" stroked="false">
          <v:textbox inset="0,0,0,0">
            <w:txbxContent>
              <w:p>
                <w:pPr>
                  <w:spacing w:before="20"/>
                  <w:ind w:left="20" w:right="1" w:firstLine="0"/>
                  <w:jc w:val="left"/>
                  <w:rPr>
                    <w:b/>
                    <w:sz w:val="18"/>
                  </w:rPr>
                </w:pPr>
                <w:r>
                  <w:rPr>
                    <w:b/>
                    <w:color w:val="808080"/>
                    <w:sz w:val="18"/>
                  </w:rPr>
                  <w:t>Evaluation of the Health Care Homes (HCH) program</w:t>
                </w:r>
                <w:r>
                  <w:rPr>
                    <w:b/>
                    <w:color w:val="808080"/>
                    <w:spacing w:val="-48"/>
                    <w:sz w:val="18"/>
                  </w:rPr>
                  <w:t> </w:t>
                </w:r>
                <w:r>
                  <w:rPr>
                    <w:b/>
                    <w:color w:val="808080"/>
                    <w:sz w:val="18"/>
                  </w:rPr>
                  <w:t>Practice</w:t>
                </w:r>
                <w:r>
                  <w:rPr>
                    <w:b/>
                    <w:color w:val="808080"/>
                    <w:spacing w:val="-2"/>
                    <w:sz w:val="18"/>
                  </w:rPr>
                  <w:t> </w:t>
                </w:r>
                <w:r>
                  <w:rPr>
                    <w:b/>
                    <w:color w:val="808080"/>
                    <w:sz w:val="18"/>
                  </w:rPr>
                  <w:t>survey,</w:t>
                </w:r>
                <w:r>
                  <w:rPr>
                    <w:b/>
                    <w:color w:val="808080"/>
                    <w:spacing w:val="-1"/>
                    <w:sz w:val="18"/>
                  </w:rPr>
                  <w:t> </w:t>
                </w:r>
                <w:r>
                  <w:rPr>
                    <w:b/>
                    <w:color w:val="808080"/>
                    <w:sz w:val="18"/>
                  </w:rPr>
                  <w:t>version</w:t>
                </w:r>
                <w:r>
                  <w:rPr>
                    <w:b/>
                    <w:color w:val="808080"/>
                    <w:spacing w:val="-1"/>
                    <w:sz w:val="18"/>
                  </w:rPr>
                  <w:t> </w:t>
                </w:r>
                <w:r>
                  <w:rPr>
                    <w:b/>
                    <w:color w:val="808080"/>
                    <w:sz w:val="18"/>
                  </w:rPr>
                  <w:t>0.2,</w:t>
                </w:r>
                <w:r>
                  <w:rPr>
                    <w:b/>
                    <w:color w:val="808080"/>
                    <w:spacing w:val="-4"/>
                    <w:sz w:val="18"/>
                  </w:rPr>
                  <w:t> </w:t>
                </w:r>
                <w:r>
                  <w:rPr>
                    <w:b/>
                    <w:color w:val="808080"/>
                    <w:sz w:val="18"/>
                  </w:rPr>
                  <w:t>4</w:t>
                </w:r>
                <w:r>
                  <w:rPr>
                    <w:b/>
                    <w:color w:val="808080"/>
                    <w:spacing w:val="-2"/>
                    <w:sz w:val="18"/>
                  </w:rPr>
                  <w:t> </w:t>
                </w:r>
                <w:r>
                  <w:rPr>
                    <w:b/>
                    <w:color w:val="808080"/>
                    <w:sz w:val="18"/>
                  </w:rPr>
                  <w:t>November 2017</w:t>
                </w:r>
              </w:p>
            </w:txbxContent>
          </v:textbox>
          <w10:wrap type="none"/>
        </v:shape>
      </w:pict>
    </w:r>
    <w:r>
      <w:rPr/>
      <w:pict>
        <v:shape style="position:absolute;margin-left:517.26001pt;margin-top:794.547241pt;width:37.4pt;height:13.05pt;mso-position-horizontal-relative:page;mso-position-vertical-relative:page;z-index:-27529728" type="#_x0000_t202" id="docshape132" filled="false" stroked="false">
          <v:textbox inset="0,0,0,0">
            <w:txbxContent>
              <w:p>
                <w:pPr>
                  <w:spacing w:before="20"/>
                  <w:ind w:left="20" w:right="0" w:firstLine="0"/>
                  <w:jc w:val="left"/>
                  <w:rPr>
                    <w:b/>
                    <w:sz w:val="18"/>
                  </w:rPr>
                </w:pPr>
                <w:r>
                  <w:rPr>
                    <w:b/>
                    <w:color w:val="7E7E7E"/>
                    <w:sz w:val="18"/>
                  </w:rPr>
                  <w:t>Page</w:t>
                </w:r>
                <w:r>
                  <w:rPr>
                    <w:b/>
                    <w:color w:val="7E7E7E"/>
                    <w:spacing w:val="-1"/>
                    <w:sz w:val="18"/>
                  </w:rPr>
                  <w:t> </w:t>
                </w:r>
                <w:r>
                  <w:rPr>
                    <w:b/>
                    <w:color w:val="7E7E7E"/>
                    <w:sz w:val="18"/>
                  </w:rPr>
                  <w:t>87</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pt;margin-top:783.507263pt;width:230.65pt;height:24.1pt;mso-position-horizontal-relative:page;mso-position-vertical-relative:page;z-index:-27529216" type="#_x0000_t202" id="docshape134" filled="false" stroked="false">
          <v:textbox inset="0,0,0,0">
            <w:txbxContent>
              <w:p>
                <w:pPr>
                  <w:spacing w:before="20"/>
                  <w:ind w:left="20" w:right="1" w:firstLine="0"/>
                  <w:jc w:val="left"/>
                  <w:rPr>
                    <w:b/>
                    <w:sz w:val="18"/>
                  </w:rPr>
                </w:pPr>
                <w:r>
                  <w:rPr>
                    <w:b/>
                    <w:color w:val="808080"/>
                    <w:sz w:val="18"/>
                  </w:rPr>
                  <w:t>Evaluation of the Health Care Homes (HCH) program</w:t>
                </w:r>
                <w:r>
                  <w:rPr>
                    <w:b/>
                    <w:color w:val="808080"/>
                    <w:spacing w:val="-48"/>
                    <w:sz w:val="18"/>
                  </w:rPr>
                  <w:t> </w:t>
                </w:r>
                <w:r>
                  <w:rPr>
                    <w:b/>
                    <w:color w:val="808080"/>
                    <w:sz w:val="18"/>
                  </w:rPr>
                  <w:t>Practice</w:t>
                </w:r>
                <w:r>
                  <w:rPr>
                    <w:b/>
                    <w:color w:val="808080"/>
                    <w:spacing w:val="-1"/>
                    <w:sz w:val="18"/>
                  </w:rPr>
                  <w:t> </w:t>
                </w:r>
                <w:r>
                  <w:rPr>
                    <w:b/>
                    <w:color w:val="808080"/>
                    <w:sz w:val="18"/>
                  </w:rPr>
                  <w:t>survey,</w:t>
                </w:r>
                <w:r>
                  <w:rPr>
                    <w:b/>
                    <w:color w:val="808080"/>
                    <w:spacing w:val="-1"/>
                    <w:sz w:val="18"/>
                  </w:rPr>
                  <w:t> </w:t>
                </w:r>
                <w:r>
                  <w:rPr>
                    <w:b/>
                    <w:color w:val="808080"/>
                    <w:sz w:val="18"/>
                  </w:rPr>
                  <w:t>version</w:t>
                </w:r>
                <w:r>
                  <w:rPr>
                    <w:b/>
                    <w:color w:val="808080"/>
                    <w:spacing w:val="-1"/>
                    <w:sz w:val="18"/>
                  </w:rPr>
                  <w:t> </w:t>
                </w:r>
                <w:r>
                  <w:rPr>
                    <w:b/>
                    <w:color w:val="808080"/>
                    <w:sz w:val="18"/>
                  </w:rPr>
                  <w:t>0.3,</w:t>
                </w:r>
                <w:r>
                  <w:rPr>
                    <w:b/>
                    <w:color w:val="808080"/>
                    <w:spacing w:val="-4"/>
                    <w:sz w:val="18"/>
                  </w:rPr>
                  <w:t> </w:t>
                </w:r>
                <w:r>
                  <w:rPr>
                    <w:b/>
                    <w:color w:val="808080"/>
                    <w:sz w:val="18"/>
                  </w:rPr>
                  <w:t>4</w:t>
                </w:r>
                <w:r>
                  <w:rPr>
                    <w:b/>
                    <w:color w:val="808080"/>
                    <w:spacing w:val="-2"/>
                    <w:sz w:val="18"/>
                  </w:rPr>
                  <w:t> </w:t>
                </w:r>
                <w:r>
                  <w:rPr>
                    <w:b/>
                    <w:color w:val="808080"/>
                    <w:sz w:val="18"/>
                  </w:rPr>
                  <w:t>September</w:t>
                </w:r>
                <w:r>
                  <w:rPr>
                    <w:b/>
                    <w:color w:val="808080"/>
                    <w:spacing w:val="-2"/>
                    <w:sz w:val="18"/>
                  </w:rPr>
                  <w:t> </w:t>
                </w:r>
                <w:r>
                  <w:rPr>
                    <w:b/>
                    <w:color w:val="808080"/>
                    <w:sz w:val="18"/>
                  </w:rPr>
                  <w:t>2019</w:t>
                </w:r>
              </w:p>
            </w:txbxContent>
          </v:textbox>
          <w10:wrap type="none"/>
        </v:shape>
      </w:pict>
    </w:r>
    <w:r>
      <w:rPr/>
      <w:pict>
        <v:shape style="position:absolute;margin-left:512.219971pt;margin-top:794.547241pt;width:45.45pt;height:13.05pt;mso-position-horizontal-relative:page;mso-position-vertical-relative:page;z-index:-27528704" type="#_x0000_t202" id="docshape135" filled="false" stroked="false">
          <v:textbox inset="0,0,0,0">
            <w:txbxContent>
              <w:p>
                <w:pPr>
                  <w:spacing w:before="20"/>
                  <w:ind w:left="20" w:right="0" w:firstLine="0"/>
                  <w:jc w:val="left"/>
                  <w:rPr>
                    <w:b/>
                    <w:sz w:val="18"/>
                  </w:rPr>
                </w:pPr>
                <w:r>
                  <w:rPr>
                    <w:b/>
                    <w:color w:val="7E7E7E"/>
                    <w:sz w:val="18"/>
                  </w:rPr>
                  <w:t>Page </w:t>
                </w:r>
                <w:r>
                  <w:rPr/>
                  <w:fldChar w:fldCharType="begin"/>
                </w:r>
                <w:r>
                  <w:rPr>
                    <w:b/>
                    <w:color w:val="7E7E7E"/>
                    <w:sz w:val="18"/>
                  </w:rPr>
                  <w:instrText> PAGE </w:instrText>
                </w:r>
                <w:r>
                  <w:rPr/>
                  <w:fldChar w:fldCharType="separate"/>
                </w:r>
                <w:r>
                  <w:rPr/>
                  <w:t>100</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pt;margin-top:536.883301pt;width:230.65pt;height:24.1pt;mso-position-horizontal-relative:page;mso-position-vertical-relative:page;z-index:-27528192" type="#_x0000_t202" id="docshape158" filled="false" stroked="false">
          <v:textbox inset="0,0,0,0">
            <w:txbxContent>
              <w:p>
                <w:pPr>
                  <w:spacing w:before="20"/>
                  <w:ind w:left="20" w:right="1" w:firstLine="0"/>
                  <w:jc w:val="left"/>
                  <w:rPr>
                    <w:b/>
                    <w:sz w:val="18"/>
                  </w:rPr>
                </w:pPr>
                <w:r>
                  <w:rPr>
                    <w:b/>
                    <w:color w:val="808080"/>
                    <w:sz w:val="18"/>
                  </w:rPr>
                  <w:t>Evaluation of the Health Care Homes (HCH) program</w:t>
                </w:r>
                <w:r>
                  <w:rPr>
                    <w:b/>
                    <w:color w:val="808080"/>
                    <w:spacing w:val="-48"/>
                    <w:sz w:val="18"/>
                  </w:rPr>
                  <w:t> </w:t>
                </w:r>
                <w:r>
                  <w:rPr>
                    <w:b/>
                    <w:color w:val="808080"/>
                    <w:sz w:val="18"/>
                  </w:rPr>
                  <w:t>Practice</w:t>
                </w:r>
                <w:r>
                  <w:rPr>
                    <w:b/>
                    <w:color w:val="808080"/>
                    <w:spacing w:val="-1"/>
                    <w:sz w:val="18"/>
                  </w:rPr>
                  <w:t> </w:t>
                </w:r>
                <w:r>
                  <w:rPr>
                    <w:b/>
                    <w:color w:val="808080"/>
                    <w:sz w:val="18"/>
                  </w:rPr>
                  <w:t>survey,</w:t>
                </w:r>
                <w:r>
                  <w:rPr>
                    <w:b/>
                    <w:color w:val="808080"/>
                    <w:spacing w:val="-1"/>
                    <w:sz w:val="18"/>
                  </w:rPr>
                  <w:t> </w:t>
                </w:r>
                <w:r>
                  <w:rPr>
                    <w:b/>
                    <w:color w:val="808080"/>
                    <w:sz w:val="18"/>
                  </w:rPr>
                  <w:t>version 0.3,</w:t>
                </w:r>
                <w:r>
                  <w:rPr>
                    <w:b/>
                    <w:color w:val="808080"/>
                    <w:spacing w:val="-4"/>
                    <w:sz w:val="18"/>
                  </w:rPr>
                  <w:t> </w:t>
                </w:r>
                <w:r>
                  <w:rPr>
                    <w:b/>
                    <w:color w:val="808080"/>
                    <w:sz w:val="18"/>
                  </w:rPr>
                  <w:t>4</w:t>
                </w:r>
                <w:r>
                  <w:rPr>
                    <w:b/>
                    <w:color w:val="808080"/>
                    <w:spacing w:val="-1"/>
                    <w:sz w:val="18"/>
                  </w:rPr>
                  <w:t> </w:t>
                </w:r>
                <w:r>
                  <w:rPr>
                    <w:b/>
                    <w:color w:val="808080"/>
                    <w:sz w:val="18"/>
                  </w:rPr>
                  <w:t>September</w:t>
                </w:r>
              </w:p>
            </w:txbxContent>
          </v:textbox>
          <w10:wrap type="none"/>
        </v:shape>
      </w:pict>
    </w:r>
    <w:r>
      <w:rPr/>
      <w:pict>
        <v:shape style="position:absolute;margin-left:760.280029pt;margin-top:547.923279pt;width:45.45pt;height:13.05pt;mso-position-horizontal-relative:page;mso-position-vertical-relative:page;z-index:-27527680" type="#_x0000_t202" id="docshape159" filled="false" stroked="false">
          <v:textbox inset="0,0,0,0">
            <w:txbxContent>
              <w:p>
                <w:pPr>
                  <w:spacing w:before="20"/>
                  <w:ind w:left="20" w:right="0" w:firstLine="0"/>
                  <w:jc w:val="left"/>
                  <w:rPr>
                    <w:b/>
                    <w:sz w:val="18"/>
                  </w:rPr>
                </w:pPr>
                <w:r>
                  <w:rPr>
                    <w:b/>
                    <w:color w:val="7E7E7E"/>
                    <w:sz w:val="18"/>
                  </w:rPr>
                  <w:t>Page </w:t>
                </w:r>
                <w:r>
                  <w:rPr/>
                  <w:fldChar w:fldCharType="begin"/>
                </w:r>
                <w:r>
                  <w:rPr>
                    <w:b/>
                    <w:color w:val="7E7E7E"/>
                    <w:sz w:val="18"/>
                  </w:rPr>
                  <w:instrText> PAGE </w:instrText>
                </w:r>
                <w:r>
                  <w:rPr/>
                  <w:fldChar w:fldCharType="separate"/>
                </w:r>
                <w:r>
                  <w:rPr/>
                  <w:t>106</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pt;margin-top:783.507263pt;width:230.65pt;height:24.1pt;mso-position-horizontal-relative:page;mso-position-vertical-relative:page;z-index:-27527168" type="#_x0000_t202" id="docshape160" filled="false" stroked="false">
          <v:textbox inset="0,0,0,0">
            <w:txbxContent>
              <w:p>
                <w:pPr>
                  <w:spacing w:before="20"/>
                  <w:ind w:left="20" w:right="1" w:firstLine="0"/>
                  <w:jc w:val="left"/>
                  <w:rPr>
                    <w:b/>
                    <w:sz w:val="18"/>
                  </w:rPr>
                </w:pPr>
                <w:r>
                  <w:rPr>
                    <w:b/>
                    <w:color w:val="808080"/>
                    <w:sz w:val="18"/>
                  </w:rPr>
                  <w:t>Evaluation of the Health Care Homes (HCH) program</w:t>
                </w:r>
                <w:r>
                  <w:rPr>
                    <w:b/>
                    <w:color w:val="808080"/>
                    <w:spacing w:val="-48"/>
                    <w:sz w:val="18"/>
                  </w:rPr>
                  <w:t> </w:t>
                </w:r>
                <w:r>
                  <w:rPr>
                    <w:b/>
                    <w:color w:val="808080"/>
                    <w:sz w:val="18"/>
                  </w:rPr>
                  <w:t>Practice</w:t>
                </w:r>
                <w:r>
                  <w:rPr>
                    <w:b/>
                    <w:color w:val="808080"/>
                    <w:spacing w:val="-1"/>
                    <w:sz w:val="18"/>
                  </w:rPr>
                  <w:t> </w:t>
                </w:r>
                <w:r>
                  <w:rPr>
                    <w:b/>
                    <w:color w:val="808080"/>
                    <w:sz w:val="18"/>
                  </w:rPr>
                  <w:t>survey,</w:t>
                </w:r>
                <w:r>
                  <w:rPr>
                    <w:b/>
                    <w:color w:val="808080"/>
                    <w:spacing w:val="-1"/>
                    <w:sz w:val="18"/>
                  </w:rPr>
                  <w:t> </w:t>
                </w:r>
                <w:r>
                  <w:rPr>
                    <w:b/>
                    <w:color w:val="808080"/>
                    <w:sz w:val="18"/>
                  </w:rPr>
                  <w:t>version</w:t>
                </w:r>
                <w:r>
                  <w:rPr>
                    <w:b/>
                    <w:color w:val="808080"/>
                    <w:spacing w:val="-1"/>
                    <w:sz w:val="18"/>
                  </w:rPr>
                  <w:t> </w:t>
                </w:r>
                <w:r>
                  <w:rPr>
                    <w:b/>
                    <w:color w:val="808080"/>
                    <w:sz w:val="18"/>
                  </w:rPr>
                  <w:t>0.3,</w:t>
                </w:r>
                <w:r>
                  <w:rPr>
                    <w:b/>
                    <w:color w:val="808080"/>
                    <w:spacing w:val="-4"/>
                    <w:sz w:val="18"/>
                  </w:rPr>
                  <w:t> </w:t>
                </w:r>
                <w:r>
                  <w:rPr>
                    <w:b/>
                    <w:color w:val="808080"/>
                    <w:sz w:val="18"/>
                  </w:rPr>
                  <w:t>4</w:t>
                </w:r>
                <w:r>
                  <w:rPr>
                    <w:b/>
                    <w:color w:val="808080"/>
                    <w:spacing w:val="-1"/>
                    <w:sz w:val="18"/>
                  </w:rPr>
                  <w:t> </w:t>
                </w:r>
                <w:r>
                  <w:rPr>
                    <w:b/>
                    <w:color w:val="808080"/>
                    <w:sz w:val="18"/>
                  </w:rPr>
                  <w:t>September 2019</w:t>
                </w:r>
              </w:p>
            </w:txbxContent>
          </v:textbox>
          <w10:wrap type="none"/>
        </v:shape>
      </w:pict>
    </w:r>
    <w:r>
      <w:rPr/>
      <w:pict>
        <v:shape style="position:absolute;margin-left:512.219971pt;margin-top:794.547241pt;width:45.45pt;height:13.05pt;mso-position-horizontal-relative:page;mso-position-vertical-relative:page;z-index:-27526656" type="#_x0000_t202" id="docshape161" filled="false" stroked="false">
          <v:textbox inset="0,0,0,0">
            <w:txbxContent>
              <w:p>
                <w:pPr>
                  <w:spacing w:before="20"/>
                  <w:ind w:left="20" w:right="0" w:firstLine="0"/>
                  <w:jc w:val="left"/>
                  <w:rPr>
                    <w:b/>
                    <w:sz w:val="18"/>
                  </w:rPr>
                </w:pPr>
                <w:r>
                  <w:rPr>
                    <w:b/>
                    <w:color w:val="7E7E7E"/>
                    <w:sz w:val="18"/>
                  </w:rPr>
                  <w:t>Page </w:t>
                </w:r>
                <w:r>
                  <w:rPr/>
                  <w:fldChar w:fldCharType="begin"/>
                </w:r>
                <w:r>
                  <w:rPr>
                    <w:b/>
                    <w:color w:val="7E7E7E"/>
                    <w:sz w:val="18"/>
                  </w:rPr>
                  <w:instrText> PAGE </w:instrText>
                </w:r>
                <w:r>
                  <w:rPr/>
                  <w:fldChar w:fldCharType="separate"/>
                </w:r>
                <w:r>
                  <w:rPr/>
                  <w:t>109</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pt;margin-top:536.883301pt;width:230.65pt;height:24.1pt;mso-position-horizontal-relative:page;mso-position-vertical-relative:page;z-index:-27526144" type="#_x0000_t202" id="docshape168" filled="false" stroked="false">
          <v:textbox inset="0,0,0,0">
            <w:txbxContent>
              <w:p>
                <w:pPr>
                  <w:spacing w:before="20"/>
                  <w:ind w:left="20" w:right="1" w:firstLine="0"/>
                  <w:jc w:val="left"/>
                  <w:rPr>
                    <w:b/>
                    <w:sz w:val="18"/>
                  </w:rPr>
                </w:pPr>
                <w:r>
                  <w:rPr>
                    <w:b/>
                    <w:color w:val="808080"/>
                    <w:sz w:val="18"/>
                  </w:rPr>
                  <w:t>Evaluation of the Health Care Homes (HCH) program</w:t>
                </w:r>
                <w:r>
                  <w:rPr>
                    <w:b/>
                    <w:color w:val="808080"/>
                    <w:spacing w:val="-48"/>
                    <w:sz w:val="18"/>
                  </w:rPr>
                  <w:t> </w:t>
                </w:r>
                <w:r>
                  <w:rPr>
                    <w:b/>
                    <w:color w:val="808080"/>
                    <w:sz w:val="18"/>
                  </w:rPr>
                  <w:t>Practice</w:t>
                </w:r>
                <w:r>
                  <w:rPr>
                    <w:b/>
                    <w:color w:val="808080"/>
                    <w:spacing w:val="-1"/>
                    <w:sz w:val="18"/>
                  </w:rPr>
                  <w:t> </w:t>
                </w:r>
                <w:r>
                  <w:rPr>
                    <w:b/>
                    <w:color w:val="808080"/>
                    <w:sz w:val="18"/>
                  </w:rPr>
                  <w:t>survey,</w:t>
                </w:r>
                <w:r>
                  <w:rPr>
                    <w:b/>
                    <w:color w:val="808080"/>
                    <w:spacing w:val="-1"/>
                    <w:sz w:val="18"/>
                  </w:rPr>
                  <w:t> </w:t>
                </w:r>
                <w:r>
                  <w:rPr>
                    <w:b/>
                    <w:color w:val="808080"/>
                    <w:sz w:val="18"/>
                  </w:rPr>
                  <w:t>version</w:t>
                </w:r>
                <w:r>
                  <w:rPr>
                    <w:b/>
                    <w:color w:val="808080"/>
                    <w:spacing w:val="-1"/>
                    <w:sz w:val="18"/>
                  </w:rPr>
                  <w:t> </w:t>
                </w:r>
                <w:r>
                  <w:rPr>
                    <w:b/>
                    <w:color w:val="808080"/>
                    <w:sz w:val="18"/>
                  </w:rPr>
                  <w:t>0.3,</w:t>
                </w:r>
                <w:r>
                  <w:rPr>
                    <w:b/>
                    <w:color w:val="808080"/>
                    <w:spacing w:val="-4"/>
                    <w:sz w:val="18"/>
                  </w:rPr>
                  <w:t> </w:t>
                </w:r>
                <w:r>
                  <w:rPr>
                    <w:b/>
                    <w:color w:val="808080"/>
                    <w:sz w:val="18"/>
                  </w:rPr>
                  <w:t>4</w:t>
                </w:r>
                <w:r>
                  <w:rPr>
                    <w:b/>
                    <w:color w:val="808080"/>
                    <w:spacing w:val="-2"/>
                    <w:sz w:val="18"/>
                  </w:rPr>
                  <w:t> </w:t>
                </w:r>
                <w:r>
                  <w:rPr>
                    <w:b/>
                    <w:color w:val="808080"/>
                    <w:sz w:val="18"/>
                  </w:rPr>
                  <w:t>September</w:t>
                </w:r>
                <w:r>
                  <w:rPr>
                    <w:b/>
                    <w:color w:val="808080"/>
                    <w:spacing w:val="-1"/>
                    <w:sz w:val="18"/>
                  </w:rPr>
                  <w:t> </w:t>
                </w:r>
                <w:r>
                  <w:rPr>
                    <w:b/>
                    <w:color w:val="808080"/>
                    <w:sz w:val="18"/>
                  </w:rPr>
                  <w:t>2019</w:t>
                </w:r>
              </w:p>
            </w:txbxContent>
          </v:textbox>
          <w10:wrap type="none"/>
        </v:shape>
      </w:pict>
    </w:r>
    <w:r>
      <w:rPr/>
      <w:pict>
        <v:shape style="position:absolute;margin-left:760.280029pt;margin-top:547.923279pt;width:45.45pt;height:13.05pt;mso-position-horizontal-relative:page;mso-position-vertical-relative:page;z-index:-27525632" type="#_x0000_t202" id="docshape169" filled="false" stroked="false">
          <v:textbox inset="0,0,0,0">
            <w:txbxContent>
              <w:p>
                <w:pPr>
                  <w:spacing w:before="20"/>
                  <w:ind w:left="20" w:right="0" w:firstLine="0"/>
                  <w:jc w:val="left"/>
                  <w:rPr>
                    <w:b/>
                    <w:sz w:val="18"/>
                  </w:rPr>
                </w:pPr>
                <w:r>
                  <w:rPr>
                    <w:b/>
                    <w:color w:val="7E7E7E"/>
                    <w:sz w:val="18"/>
                  </w:rPr>
                  <w:t>Page </w:t>
                </w:r>
                <w:r>
                  <w:rPr/>
                  <w:fldChar w:fldCharType="begin"/>
                </w:r>
                <w:r>
                  <w:rPr>
                    <w:b/>
                    <w:color w:val="7E7E7E"/>
                    <w:sz w:val="18"/>
                  </w:rPr>
                  <w:instrText> PAGE </w:instrText>
                </w:r>
                <w:r>
                  <w:rPr/>
                  <w:fldChar w:fldCharType="separate"/>
                </w:r>
                <w:r>
                  <w:rPr/>
                  <w:t>114</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pt;margin-top:783.507263pt;width:230.65pt;height:24.1pt;mso-position-horizontal-relative:page;mso-position-vertical-relative:page;z-index:-27525120" type="#_x0000_t202" id="docshape170" filled="false" stroked="false">
          <v:textbox inset="0,0,0,0">
            <w:txbxContent>
              <w:p>
                <w:pPr>
                  <w:spacing w:before="20"/>
                  <w:ind w:left="20" w:right="1" w:firstLine="0"/>
                  <w:jc w:val="left"/>
                  <w:rPr>
                    <w:b/>
                    <w:sz w:val="18"/>
                  </w:rPr>
                </w:pPr>
                <w:r>
                  <w:rPr>
                    <w:b/>
                    <w:color w:val="808080"/>
                    <w:sz w:val="18"/>
                  </w:rPr>
                  <w:t>Evaluation of the Health Care Homes (HCH) program</w:t>
                </w:r>
                <w:r>
                  <w:rPr>
                    <w:b/>
                    <w:color w:val="808080"/>
                    <w:spacing w:val="-48"/>
                    <w:sz w:val="18"/>
                  </w:rPr>
                  <w:t> </w:t>
                </w:r>
                <w:r>
                  <w:rPr>
                    <w:b/>
                    <w:color w:val="808080"/>
                    <w:sz w:val="18"/>
                  </w:rPr>
                  <w:t>Practice</w:t>
                </w:r>
                <w:r>
                  <w:rPr>
                    <w:b/>
                    <w:color w:val="808080"/>
                    <w:spacing w:val="-1"/>
                    <w:sz w:val="18"/>
                  </w:rPr>
                  <w:t> </w:t>
                </w:r>
                <w:r>
                  <w:rPr>
                    <w:b/>
                    <w:color w:val="808080"/>
                    <w:sz w:val="18"/>
                  </w:rPr>
                  <w:t>survey,</w:t>
                </w:r>
                <w:r>
                  <w:rPr>
                    <w:b/>
                    <w:color w:val="808080"/>
                    <w:spacing w:val="-1"/>
                    <w:sz w:val="18"/>
                  </w:rPr>
                  <w:t> </w:t>
                </w:r>
                <w:r>
                  <w:rPr>
                    <w:b/>
                    <w:color w:val="808080"/>
                    <w:sz w:val="18"/>
                  </w:rPr>
                  <w:t>version</w:t>
                </w:r>
                <w:r>
                  <w:rPr>
                    <w:b/>
                    <w:color w:val="808080"/>
                    <w:spacing w:val="-1"/>
                    <w:sz w:val="18"/>
                  </w:rPr>
                  <w:t> </w:t>
                </w:r>
                <w:r>
                  <w:rPr>
                    <w:b/>
                    <w:color w:val="808080"/>
                    <w:sz w:val="18"/>
                  </w:rPr>
                  <w:t>0.2,</w:t>
                </w:r>
                <w:r>
                  <w:rPr>
                    <w:b/>
                    <w:color w:val="808080"/>
                    <w:spacing w:val="-4"/>
                    <w:sz w:val="18"/>
                  </w:rPr>
                  <w:t> </w:t>
                </w:r>
                <w:r>
                  <w:rPr>
                    <w:b/>
                    <w:color w:val="808080"/>
                    <w:sz w:val="18"/>
                  </w:rPr>
                  <w:t>4</w:t>
                </w:r>
                <w:r>
                  <w:rPr>
                    <w:b/>
                    <w:color w:val="808080"/>
                    <w:spacing w:val="-2"/>
                    <w:sz w:val="18"/>
                  </w:rPr>
                  <w:t> </w:t>
                </w:r>
                <w:r>
                  <w:rPr>
                    <w:b/>
                    <w:color w:val="808080"/>
                    <w:sz w:val="18"/>
                  </w:rPr>
                  <w:t>September</w:t>
                </w:r>
                <w:r>
                  <w:rPr>
                    <w:b/>
                    <w:color w:val="808080"/>
                    <w:spacing w:val="-2"/>
                    <w:sz w:val="18"/>
                  </w:rPr>
                  <w:t> </w:t>
                </w:r>
                <w:r>
                  <w:rPr>
                    <w:b/>
                    <w:color w:val="808080"/>
                    <w:sz w:val="18"/>
                  </w:rPr>
                  <w:t>2019</w:t>
                </w:r>
              </w:p>
            </w:txbxContent>
          </v:textbox>
          <w10:wrap type="none"/>
        </v:shape>
      </w:pict>
    </w:r>
    <w:r>
      <w:rPr/>
      <w:pict>
        <v:shape style="position:absolute;margin-left:512.219971pt;margin-top:794.547241pt;width:42.45pt;height:13.05pt;mso-position-horizontal-relative:page;mso-position-vertical-relative:page;z-index:-27524608" type="#_x0000_t202" id="docshape171" filled="false" stroked="false">
          <v:textbox inset="0,0,0,0">
            <w:txbxContent>
              <w:p>
                <w:pPr>
                  <w:spacing w:before="20"/>
                  <w:ind w:left="20" w:right="0" w:firstLine="0"/>
                  <w:jc w:val="left"/>
                  <w:rPr>
                    <w:b/>
                    <w:sz w:val="18"/>
                  </w:rPr>
                </w:pPr>
                <w:r>
                  <w:rPr>
                    <w:b/>
                    <w:color w:val="7E7E7E"/>
                    <w:sz w:val="18"/>
                  </w:rPr>
                  <w:t>Page</w:t>
                </w:r>
                <w:r>
                  <w:rPr>
                    <w:b/>
                    <w:color w:val="7E7E7E"/>
                    <w:spacing w:val="-2"/>
                    <w:sz w:val="18"/>
                  </w:rPr>
                  <w:t> </w:t>
                </w:r>
                <w:r>
                  <w:rPr>
                    <w:b/>
                    <w:color w:val="7E7E7E"/>
                    <w:sz w:val="18"/>
                  </w:rPr>
                  <w:t>117</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pt;margin-top:783.507263pt;width:230.65pt;height:24.1pt;mso-position-horizontal-relative:page;mso-position-vertical-relative:page;z-index:-27524096" type="#_x0000_t202" id="docshape172" filled="false" stroked="false">
          <v:textbox inset="0,0,0,0">
            <w:txbxContent>
              <w:p>
                <w:pPr>
                  <w:spacing w:before="20"/>
                  <w:ind w:left="20" w:right="1" w:firstLine="0"/>
                  <w:jc w:val="left"/>
                  <w:rPr>
                    <w:b/>
                    <w:sz w:val="18"/>
                  </w:rPr>
                </w:pPr>
                <w:r>
                  <w:rPr>
                    <w:b/>
                    <w:color w:val="808080"/>
                    <w:sz w:val="18"/>
                  </w:rPr>
                  <w:t>Evaluation of the Health Care Homes (HCH) program</w:t>
                </w:r>
                <w:r>
                  <w:rPr>
                    <w:b/>
                    <w:color w:val="808080"/>
                    <w:spacing w:val="-48"/>
                    <w:sz w:val="18"/>
                  </w:rPr>
                  <w:t> </w:t>
                </w:r>
                <w:r>
                  <w:rPr>
                    <w:b/>
                    <w:color w:val="808080"/>
                    <w:sz w:val="18"/>
                  </w:rPr>
                  <w:t>Practice</w:t>
                </w:r>
                <w:r>
                  <w:rPr>
                    <w:b/>
                    <w:color w:val="808080"/>
                    <w:spacing w:val="-1"/>
                    <w:sz w:val="18"/>
                  </w:rPr>
                  <w:t> </w:t>
                </w:r>
                <w:r>
                  <w:rPr>
                    <w:b/>
                    <w:color w:val="808080"/>
                    <w:sz w:val="18"/>
                  </w:rPr>
                  <w:t>survey,</w:t>
                </w:r>
                <w:r>
                  <w:rPr>
                    <w:b/>
                    <w:color w:val="808080"/>
                    <w:spacing w:val="-1"/>
                    <w:sz w:val="18"/>
                  </w:rPr>
                  <w:t> </w:t>
                </w:r>
                <w:r>
                  <w:rPr>
                    <w:b/>
                    <w:color w:val="808080"/>
                    <w:sz w:val="18"/>
                  </w:rPr>
                  <w:t>version</w:t>
                </w:r>
                <w:r>
                  <w:rPr>
                    <w:b/>
                    <w:color w:val="808080"/>
                    <w:spacing w:val="-1"/>
                    <w:sz w:val="18"/>
                  </w:rPr>
                  <w:t> </w:t>
                </w:r>
                <w:r>
                  <w:rPr>
                    <w:b/>
                    <w:color w:val="808080"/>
                    <w:sz w:val="18"/>
                  </w:rPr>
                  <w:t>0.3,</w:t>
                </w:r>
                <w:r>
                  <w:rPr>
                    <w:b/>
                    <w:color w:val="808080"/>
                    <w:spacing w:val="-4"/>
                    <w:sz w:val="18"/>
                  </w:rPr>
                  <w:t> </w:t>
                </w:r>
                <w:r>
                  <w:rPr>
                    <w:b/>
                    <w:color w:val="808080"/>
                    <w:sz w:val="18"/>
                  </w:rPr>
                  <w:t>4</w:t>
                </w:r>
                <w:r>
                  <w:rPr>
                    <w:b/>
                    <w:color w:val="808080"/>
                    <w:spacing w:val="-1"/>
                    <w:sz w:val="18"/>
                  </w:rPr>
                  <w:t> </w:t>
                </w:r>
                <w:r>
                  <w:rPr>
                    <w:b/>
                    <w:color w:val="808080"/>
                    <w:sz w:val="18"/>
                  </w:rPr>
                  <w:t>September 2019</w:t>
                </w:r>
              </w:p>
            </w:txbxContent>
          </v:textbox>
          <w10:wrap type="none"/>
        </v:shape>
      </w:pict>
    </w:r>
    <w:r>
      <w:rPr/>
      <w:pict>
        <v:shape style="position:absolute;margin-left:512.219971pt;margin-top:794.547241pt;width:42.45pt;height:13.05pt;mso-position-horizontal-relative:page;mso-position-vertical-relative:page;z-index:-27523584" type="#_x0000_t202" id="docshape173" filled="false" stroked="false">
          <v:textbox inset="0,0,0,0">
            <w:txbxContent>
              <w:p>
                <w:pPr>
                  <w:spacing w:before="20"/>
                  <w:ind w:left="20" w:right="0" w:firstLine="0"/>
                  <w:jc w:val="left"/>
                  <w:rPr>
                    <w:b/>
                    <w:sz w:val="18"/>
                  </w:rPr>
                </w:pPr>
                <w:r>
                  <w:rPr>
                    <w:b/>
                    <w:color w:val="7E7E7E"/>
                    <w:sz w:val="18"/>
                  </w:rPr>
                  <w:t>Page</w:t>
                </w:r>
                <w:r>
                  <w:rPr>
                    <w:b/>
                    <w:color w:val="7E7E7E"/>
                    <w:spacing w:val="-2"/>
                    <w:sz w:val="18"/>
                  </w:rPr>
                  <w:t> </w:t>
                </w:r>
                <w:r>
                  <w:rPr>
                    <w:b/>
                    <w:color w:val="7E7E7E"/>
                    <w:sz w:val="18"/>
                  </w:rPr>
                  <w:t>118</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pt;margin-top:783.507263pt;width:230.65pt;height:24.1pt;mso-position-horizontal-relative:page;mso-position-vertical-relative:page;z-index:-27523072" type="#_x0000_t202" id="docshape174" filled="false" stroked="false">
          <v:textbox inset="0,0,0,0">
            <w:txbxContent>
              <w:p>
                <w:pPr>
                  <w:spacing w:before="20"/>
                  <w:ind w:left="20" w:right="1" w:firstLine="0"/>
                  <w:jc w:val="left"/>
                  <w:rPr>
                    <w:b/>
                    <w:sz w:val="18"/>
                  </w:rPr>
                </w:pPr>
                <w:r>
                  <w:rPr>
                    <w:b/>
                    <w:color w:val="808080"/>
                    <w:sz w:val="18"/>
                  </w:rPr>
                  <w:t>Evaluation of the Health Care Homes (HCH) program</w:t>
                </w:r>
                <w:r>
                  <w:rPr>
                    <w:b/>
                    <w:color w:val="808080"/>
                    <w:spacing w:val="-48"/>
                    <w:sz w:val="18"/>
                  </w:rPr>
                  <w:t> </w:t>
                </w:r>
                <w:r>
                  <w:rPr>
                    <w:b/>
                    <w:color w:val="808080"/>
                    <w:sz w:val="18"/>
                  </w:rPr>
                  <w:t>Practice</w:t>
                </w:r>
                <w:r>
                  <w:rPr>
                    <w:b/>
                    <w:color w:val="808080"/>
                    <w:spacing w:val="-1"/>
                    <w:sz w:val="18"/>
                  </w:rPr>
                  <w:t> </w:t>
                </w:r>
                <w:r>
                  <w:rPr>
                    <w:b/>
                    <w:color w:val="808080"/>
                    <w:sz w:val="18"/>
                  </w:rPr>
                  <w:t>survey,</w:t>
                </w:r>
                <w:r>
                  <w:rPr>
                    <w:b/>
                    <w:color w:val="808080"/>
                    <w:spacing w:val="-1"/>
                    <w:sz w:val="18"/>
                  </w:rPr>
                  <w:t> </w:t>
                </w:r>
                <w:r>
                  <w:rPr>
                    <w:b/>
                    <w:color w:val="808080"/>
                    <w:sz w:val="18"/>
                  </w:rPr>
                  <w:t>version</w:t>
                </w:r>
                <w:r>
                  <w:rPr>
                    <w:b/>
                    <w:color w:val="808080"/>
                    <w:spacing w:val="-1"/>
                    <w:sz w:val="18"/>
                  </w:rPr>
                  <w:t> </w:t>
                </w:r>
                <w:r>
                  <w:rPr>
                    <w:b/>
                    <w:color w:val="808080"/>
                    <w:sz w:val="18"/>
                  </w:rPr>
                  <w:t>0.3,</w:t>
                </w:r>
                <w:r>
                  <w:rPr>
                    <w:b/>
                    <w:color w:val="808080"/>
                    <w:spacing w:val="-4"/>
                    <w:sz w:val="18"/>
                  </w:rPr>
                  <w:t> </w:t>
                </w:r>
                <w:r>
                  <w:rPr>
                    <w:b/>
                    <w:color w:val="808080"/>
                    <w:sz w:val="18"/>
                  </w:rPr>
                  <w:t>4</w:t>
                </w:r>
                <w:r>
                  <w:rPr>
                    <w:b/>
                    <w:color w:val="808080"/>
                    <w:spacing w:val="-1"/>
                    <w:sz w:val="18"/>
                  </w:rPr>
                  <w:t> </w:t>
                </w:r>
                <w:r>
                  <w:rPr>
                    <w:b/>
                    <w:color w:val="808080"/>
                    <w:sz w:val="18"/>
                  </w:rPr>
                  <w:t>September 2019</w:t>
                </w:r>
              </w:p>
            </w:txbxContent>
          </v:textbox>
          <w10:wrap type="none"/>
        </v:shape>
      </w:pict>
    </w:r>
    <w:r>
      <w:rPr/>
      <w:pict>
        <v:shape style="position:absolute;margin-left:512.219971pt;margin-top:794.547241pt;width:45.45pt;height:13.05pt;mso-position-horizontal-relative:page;mso-position-vertical-relative:page;z-index:-27522560" type="#_x0000_t202" id="docshape175" filled="false" stroked="false">
          <v:textbox inset="0,0,0,0">
            <w:txbxContent>
              <w:p>
                <w:pPr>
                  <w:spacing w:before="20"/>
                  <w:ind w:left="20" w:right="0" w:firstLine="0"/>
                  <w:jc w:val="left"/>
                  <w:rPr>
                    <w:b/>
                    <w:sz w:val="18"/>
                  </w:rPr>
                </w:pPr>
                <w:r>
                  <w:rPr>
                    <w:b/>
                    <w:color w:val="7E7E7E"/>
                    <w:sz w:val="18"/>
                  </w:rPr>
                  <w:t>Page </w:t>
                </w:r>
                <w:r>
                  <w:rPr/>
                  <w:fldChar w:fldCharType="begin"/>
                </w:r>
                <w:r>
                  <w:rPr>
                    <w:b/>
                    <w:color w:val="7E7E7E"/>
                    <w:sz w:val="18"/>
                  </w:rPr>
                  <w:instrText> PAGE </w:instrText>
                </w:r>
                <w:r>
                  <w:rPr/>
                  <w:fldChar w:fldCharType="separate"/>
                </w:r>
                <w:r>
                  <w:rPr/>
                  <w:t>119</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024002pt;margin-top:794.427246pt;width:202.15pt;height:13.05pt;mso-position-horizontal-relative:page;mso-position-vertical-relative:page;z-index:-27522048" type="#_x0000_t202" id="docshape181" filled="false" stroked="false">
          <v:textbox inset="0,0,0,0">
            <w:txbxContent>
              <w:p>
                <w:pPr>
                  <w:spacing w:before="20"/>
                  <w:ind w:left="20" w:right="0" w:firstLine="0"/>
                  <w:jc w:val="left"/>
                  <w:rPr>
                    <w:b/>
                    <w:sz w:val="18"/>
                  </w:rPr>
                </w:pPr>
                <w:r>
                  <w:rPr>
                    <w:b/>
                    <w:color w:val="7E7E7E"/>
                    <w:sz w:val="18"/>
                  </w:rPr>
                  <w:t>Evaluation</w:t>
                </w:r>
                <w:r>
                  <w:rPr>
                    <w:b/>
                    <w:color w:val="7E7E7E"/>
                    <w:spacing w:val="-2"/>
                    <w:sz w:val="18"/>
                  </w:rPr>
                  <w:t> </w:t>
                </w:r>
                <w:r>
                  <w:rPr>
                    <w:b/>
                    <w:color w:val="7E7E7E"/>
                    <w:sz w:val="18"/>
                  </w:rPr>
                  <w:t>of</w:t>
                </w:r>
                <w:r>
                  <w:rPr>
                    <w:b/>
                    <w:color w:val="7E7E7E"/>
                    <w:spacing w:val="-2"/>
                    <w:sz w:val="18"/>
                  </w:rPr>
                  <w:t> </w:t>
                </w:r>
                <w:r>
                  <w:rPr>
                    <w:b/>
                    <w:color w:val="7E7E7E"/>
                    <w:sz w:val="18"/>
                  </w:rPr>
                  <w:t>the</w:t>
                </w:r>
                <w:r>
                  <w:rPr>
                    <w:b/>
                    <w:color w:val="7E7E7E"/>
                    <w:spacing w:val="-2"/>
                    <w:sz w:val="18"/>
                  </w:rPr>
                  <w:t> </w:t>
                </w:r>
                <w:r>
                  <w:rPr>
                    <w:b/>
                    <w:color w:val="7E7E7E"/>
                    <w:sz w:val="18"/>
                  </w:rPr>
                  <w:t>Health</w:t>
                </w:r>
                <w:r>
                  <w:rPr>
                    <w:b/>
                    <w:color w:val="7E7E7E"/>
                    <w:spacing w:val="-1"/>
                    <w:sz w:val="18"/>
                  </w:rPr>
                  <w:t> </w:t>
                </w:r>
                <w:r>
                  <w:rPr>
                    <w:b/>
                    <w:color w:val="7E7E7E"/>
                    <w:sz w:val="18"/>
                  </w:rPr>
                  <w:t>Care</w:t>
                </w:r>
                <w:r>
                  <w:rPr>
                    <w:b/>
                    <w:color w:val="7E7E7E"/>
                    <w:spacing w:val="-2"/>
                    <w:sz w:val="18"/>
                  </w:rPr>
                  <w:t> </w:t>
                </w:r>
                <w:r>
                  <w:rPr>
                    <w:b/>
                    <w:color w:val="7E7E7E"/>
                    <w:sz w:val="18"/>
                  </w:rPr>
                  <w:t>Homes</w:t>
                </w:r>
                <w:r>
                  <w:rPr>
                    <w:b/>
                    <w:color w:val="7E7E7E"/>
                    <w:spacing w:val="-1"/>
                    <w:sz w:val="18"/>
                  </w:rPr>
                  <w:t> </w:t>
                </w:r>
                <w:r>
                  <w:rPr>
                    <w:b/>
                    <w:color w:val="7E7E7E"/>
                    <w:sz w:val="18"/>
                  </w:rPr>
                  <w:t>program</w:t>
                </w:r>
              </w:p>
            </w:txbxContent>
          </v:textbox>
          <w10:wrap type="none"/>
        </v:shape>
      </w:pict>
    </w:r>
    <w:r>
      <w:rPr/>
      <w:pict>
        <v:shape style="position:absolute;margin-left:482.100006pt;margin-top:794.427246pt;width:42.45pt;height:13.05pt;mso-position-horizontal-relative:page;mso-position-vertical-relative:page;z-index:-27521536" type="#_x0000_t202" id="docshape182" filled="false" stroked="false">
          <v:textbox inset="0,0,0,0">
            <w:txbxContent>
              <w:p>
                <w:pPr>
                  <w:spacing w:before="20"/>
                  <w:ind w:left="20" w:right="0" w:firstLine="0"/>
                  <w:jc w:val="left"/>
                  <w:rPr>
                    <w:b/>
                    <w:sz w:val="18"/>
                  </w:rPr>
                </w:pPr>
                <w:r>
                  <w:rPr>
                    <w:b/>
                    <w:color w:val="7E7E7E"/>
                    <w:sz w:val="18"/>
                  </w:rPr>
                  <w:t>Page</w:t>
                </w:r>
                <w:r>
                  <w:rPr>
                    <w:b/>
                    <w:color w:val="7E7E7E"/>
                    <w:spacing w:val="-2"/>
                    <w:sz w:val="18"/>
                  </w:rPr>
                  <w:t> </w:t>
                </w:r>
                <w:r>
                  <w:rPr>
                    <w:b/>
                    <w:color w:val="7E7E7E"/>
                    <w:sz w:val="18"/>
                  </w:rPr>
                  <w:t>123</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547.923279pt;width:202.15pt;height:13.05pt;mso-position-horizontal-relative:page;mso-position-vertical-relative:page;z-index:-27552768" type="#_x0000_t202" id="docshape20" filled="false" stroked="false">
          <v:textbox inset="0,0,0,0">
            <w:txbxContent>
              <w:p>
                <w:pPr>
                  <w:spacing w:before="20"/>
                  <w:ind w:left="20" w:right="0" w:firstLine="0"/>
                  <w:jc w:val="left"/>
                  <w:rPr>
                    <w:b/>
                    <w:sz w:val="18"/>
                  </w:rPr>
                </w:pPr>
                <w:r>
                  <w:rPr>
                    <w:b/>
                    <w:color w:val="7E7E7E"/>
                    <w:sz w:val="18"/>
                  </w:rPr>
                  <w:t>Evaluation</w:t>
                </w:r>
                <w:r>
                  <w:rPr>
                    <w:b/>
                    <w:color w:val="7E7E7E"/>
                    <w:spacing w:val="-2"/>
                    <w:sz w:val="18"/>
                  </w:rPr>
                  <w:t> </w:t>
                </w:r>
                <w:r>
                  <w:rPr>
                    <w:b/>
                    <w:color w:val="7E7E7E"/>
                    <w:sz w:val="18"/>
                  </w:rPr>
                  <w:t>of</w:t>
                </w:r>
                <w:r>
                  <w:rPr>
                    <w:b/>
                    <w:color w:val="7E7E7E"/>
                    <w:spacing w:val="-2"/>
                    <w:sz w:val="18"/>
                  </w:rPr>
                  <w:t> </w:t>
                </w:r>
                <w:r>
                  <w:rPr>
                    <w:b/>
                    <w:color w:val="7E7E7E"/>
                    <w:sz w:val="18"/>
                  </w:rPr>
                  <w:t>the</w:t>
                </w:r>
                <w:r>
                  <w:rPr>
                    <w:b/>
                    <w:color w:val="7E7E7E"/>
                    <w:spacing w:val="-2"/>
                    <w:sz w:val="18"/>
                  </w:rPr>
                  <w:t> </w:t>
                </w:r>
                <w:r>
                  <w:rPr>
                    <w:b/>
                    <w:color w:val="7E7E7E"/>
                    <w:sz w:val="18"/>
                  </w:rPr>
                  <w:t>Health</w:t>
                </w:r>
                <w:r>
                  <w:rPr>
                    <w:b/>
                    <w:color w:val="7E7E7E"/>
                    <w:spacing w:val="-1"/>
                    <w:sz w:val="18"/>
                  </w:rPr>
                  <w:t> </w:t>
                </w:r>
                <w:r>
                  <w:rPr>
                    <w:b/>
                    <w:color w:val="7E7E7E"/>
                    <w:sz w:val="18"/>
                  </w:rPr>
                  <w:t>Care</w:t>
                </w:r>
                <w:r>
                  <w:rPr>
                    <w:b/>
                    <w:color w:val="7E7E7E"/>
                    <w:spacing w:val="-2"/>
                    <w:sz w:val="18"/>
                  </w:rPr>
                  <w:t> </w:t>
                </w:r>
                <w:r>
                  <w:rPr>
                    <w:b/>
                    <w:color w:val="7E7E7E"/>
                    <w:sz w:val="18"/>
                  </w:rPr>
                  <w:t>Homes</w:t>
                </w:r>
                <w:r>
                  <w:rPr>
                    <w:b/>
                    <w:color w:val="7E7E7E"/>
                    <w:spacing w:val="-1"/>
                    <w:sz w:val="18"/>
                  </w:rPr>
                  <w:t> </w:t>
                </w:r>
                <w:r>
                  <w:rPr>
                    <w:b/>
                    <w:color w:val="7E7E7E"/>
                    <w:sz w:val="18"/>
                  </w:rPr>
                  <w:t>program</w:t>
                </w:r>
              </w:p>
            </w:txbxContent>
          </v:textbox>
          <w10:wrap type="none"/>
        </v:shape>
      </w:pict>
    </w:r>
    <w:r>
      <w:rPr/>
      <w:pict>
        <v:shape style="position:absolute;margin-left:716.219971pt;margin-top:547.923279pt;width:37.450pt;height:13.05pt;mso-position-horizontal-relative:page;mso-position-vertical-relative:page;z-index:-27552256" type="#_x0000_t202" id="docshape21" filled="false" stroked="false">
          <v:textbox inset="0,0,0,0">
            <w:txbxContent>
              <w:p>
                <w:pPr>
                  <w:spacing w:before="20"/>
                  <w:ind w:left="20" w:right="0" w:firstLine="0"/>
                  <w:jc w:val="left"/>
                  <w:rPr>
                    <w:b/>
                    <w:sz w:val="18"/>
                  </w:rPr>
                </w:pPr>
                <w:r>
                  <w:rPr>
                    <w:b/>
                    <w:color w:val="7E7E7E"/>
                    <w:sz w:val="18"/>
                  </w:rPr>
                  <w:t>Page</w:t>
                </w:r>
                <w:r>
                  <w:rPr>
                    <w:b/>
                    <w:color w:val="7E7E7E"/>
                    <w:spacing w:val="-1"/>
                    <w:sz w:val="18"/>
                  </w:rPr>
                  <w:t> </w:t>
                </w:r>
                <w:r>
                  <w:rPr>
                    <w:b/>
                    <w:color w:val="7E7E7E"/>
                    <w:sz w:val="18"/>
                  </w:rPr>
                  <w:t>11</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pt;margin-top:783.507263pt;width:230.65pt;height:24.1pt;mso-position-horizontal-relative:page;mso-position-vertical-relative:page;z-index:-27521024" type="#_x0000_t202" id="docshape184" filled="false" stroked="false">
          <v:textbox inset="0,0,0,0">
            <w:txbxContent>
              <w:p>
                <w:pPr>
                  <w:spacing w:before="20"/>
                  <w:ind w:left="20" w:right="1" w:firstLine="0"/>
                  <w:jc w:val="left"/>
                  <w:rPr>
                    <w:b/>
                    <w:sz w:val="18"/>
                  </w:rPr>
                </w:pPr>
                <w:r>
                  <w:rPr>
                    <w:b/>
                    <w:color w:val="808080"/>
                    <w:sz w:val="18"/>
                  </w:rPr>
                  <w:t>Evaluation of the Health Care Homes (HCH) program</w:t>
                </w:r>
                <w:r>
                  <w:rPr>
                    <w:b/>
                    <w:color w:val="808080"/>
                    <w:spacing w:val="-48"/>
                    <w:sz w:val="18"/>
                  </w:rPr>
                  <w:t> </w:t>
                </w:r>
                <w:r>
                  <w:rPr>
                    <w:b/>
                    <w:color w:val="808080"/>
                    <w:sz w:val="18"/>
                  </w:rPr>
                  <w:t>Practice</w:t>
                </w:r>
                <w:r>
                  <w:rPr>
                    <w:b/>
                    <w:color w:val="808080"/>
                    <w:spacing w:val="-2"/>
                    <w:sz w:val="18"/>
                  </w:rPr>
                  <w:t> </w:t>
                </w:r>
                <w:r>
                  <w:rPr>
                    <w:b/>
                    <w:color w:val="808080"/>
                    <w:sz w:val="18"/>
                  </w:rPr>
                  <w:t>staff</w:t>
                </w:r>
                <w:r>
                  <w:rPr>
                    <w:b/>
                    <w:color w:val="808080"/>
                    <w:spacing w:val="-2"/>
                    <w:sz w:val="18"/>
                  </w:rPr>
                  <w:t> </w:t>
                </w:r>
                <w:r>
                  <w:rPr>
                    <w:b/>
                    <w:color w:val="808080"/>
                    <w:sz w:val="18"/>
                  </w:rPr>
                  <w:t>survey,</w:t>
                </w:r>
                <w:r>
                  <w:rPr>
                    <w:b/>
                    <w:color w:val="808080"/>
                    <w:spacing w:val="-2"/>
                    <w:sz w:val="18"/>
                  </w:rPr>
                  <w:t> </w:t>
                </w:r>
                <w:r>
                  <w:rPr>
                    <w:b/>
                    <w:color w:val="808080"/>
                    <w:sz w:val="18"/>
                  </w:rPr>
                  <w:t>version</w:t>
                </w:r>
                <w:r>
                  <w:rPr>
                    <w:b/>
                    <w:color w:val="808080"/>
                    <w:spacing w:val="-2"/>
                    <w:sz w:val="18"/>
                  </w:rPr>
                  <w:t> </w:t>
                </w:r>
                <w:r>
                  <w:rPr>
                    <w:b/>
                    <w:color w:val="808080"/>
                    <w:sz w:val="18"/>
                  </w:rPr>
                  <w:t>0.3,</w:t>
                </w:r>
                <w:r>
                  <w:rPr>
                    <w:b/>
                    <w:color w:val="808080"/>
                    <w:spacing w:val="-2"/>
                    <w:sz w:val="18"/>
                  </w:rPr>
                  <w:t> </w:t>
                </w:r>
                <w:r>
                  <w:rPr>
                    <w:b/>
                    <w:color w:val="808080"/>
                    <w:sz w:val="18"/>
                  </w:rPr>
                  <w:t>4</w:t>
                </w:r>
                <w:r>
                  <w:rPr>
                    <w:b/>
                    <w:color w:val="808080"/>
                    <w:spacing w:val="-1"/>
                    <w:sz w:val="18"/>
                  </w:rPr>
                  <w:t> </w:t>
                </w:r>
                <w:r>
                  <w:rPr>
                    <w:b/>
                    <w:color w:val="808080"/>
                    <w:sz w:val="18"/>
                  </w:rPr>
                  <w:t>September</w:t>
                </w:r>
                <w:r>
                  <w:rPr>
                    <w:b/>
                    <w:color w:val="808080"/>
                    <w:spacing w:val="-3"/>
                    <w:sz w:val="18"/>
                  </w:rPr>
                  <w:t> </w:t>
                </w:r>
                <w:r>
                  <w:rPr>
                    <w:b/>
                    <w:color w:val="808080"/>
                    <w:sz w:val="18"/>
                  </w:rPr>
                  <w:t>2019</w:t>
                </w:r>
              </w:p>
            </w:txbxContent>
          </v:textbox>
          <w10:wrap type="none"/>
        </v:shape>
      </w:pict>
    </w:r>
    <w:r>
      <w:rPr/>
      <w:pict>
        <v:shape style="position:absolute;margin-left:512.219971pt;margin-top:794.547241pt;width:45.45pt;height:13.05pt;mso-position-horizontal-relative:page;mso-position-vertical-relative:page;z-index:-27520512" type="#_x0000_t202" id="docshape185" filled="false" stroked="false">
          <v:textbox inset="0,0,0,0">
            <w:txbxContent>
              <w:p>
                <w:pPr>
                  <w:spacing w:before="20"/>
                  <w:ind w:left="20" w:right="0" w:firstLine="0"/>
                  <w:jc w:val="left"/>
                  <w:rPr>
                    <w:b/>
                    <w:sz w:val="18"/>
                  </w:rPr>
                </w:pPr>
                <w:r>
                  <w:rPr>
                    <w:b/>
                    <w:color w:val="7E7E7E"/>
                    <w:sz w:val="18"/>
                  </w:rPr>
                  <w:t>Page </w:t>
                </w:r>
                <w:r>
                  <w:rPr/>
                  <w:fldChar w:fldCharType="begin"/>
                </w:r>
                <w:r>
                  <w:rPr>
                    <w:b/>
                    <w:color w:val="7E7E7E"/>
                    <w:sz w:val="18"/>
                  </w:rPr>
                  <w:instrText> PAGE </w:instrText>
                </w:r>
                <w:r>
                  <w:rPr/>
                  <w:fldChar w:fldCharType="separate"/>
                </w:r>
                <w:r>
                  <w:rPr/>
                  <w:t>124</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pt;margin-top:783.507263pt;width:230.65pt;height:24.1pt;mso-position-horizontal-relative:page;mso-position-vertical-relative:page;z-index:-27520000" type="#_x0000_t202" id="docshape197" filled="false" stroked="false">
          <v:textbox inset="0,0,0,0">
            <w:txbxContent>
              <w:p>
                <w:pPr>
                  <w:spacing w:before="20"/>
                  <w:ind w:left="20" w:right="1" w:firstLine="0"/>
                  <w:jc w:val="left"/>
                  <w:rPr>
                    <w:b/>
                    <w:sz w:val="18"/>
                  </w:rPr>
                </w:pPr>
                <w:r>
                  <w:rPr>
                    <w:b/>
                    <w:color w:val="808080"/>
                    <w:sz w:val="18"/>
                  </w:rPr>
                  <w:t>Evaluation of the Health Care Homes (HCH) program</w:t>
                </w:r>
                <w:r>
                  <w:rPr>
                    <w:b/>
                    <w:color w:val="808080"/>
                    <w:spacing w:val="-48"/>
                    <w:sz w:val="18"/>
                  </w:rPr>
                  <w:t> </w:t>
                </w:r>
                <w:r>
                  <w:rPr>
                    <w:b/>
                    <w:color w:val="808080"/>
                    <w:sz w:val="18"/>
                  </w:rPr>
                  <w:t>Practice</w:t>
                </w:r>
                <w:r>
                  <w:rPr>
                    <w:b/>
                    <w:color w:val="808080"/>
                    <w:spacing w:val="-2"/>
                    <w:sz w:val="18"/>
                  </w:rPr>
                  <w:t> </w:t>
                </w:r>
                <w:r>
                  <w:rPr>
                    <w:b/>
                    <w:color w:val="808080"/>
                    <w:sz w:val="18"/>
                  </w:rPr>
                  <w:t>staff</w:t>
                </w:r>
                <w:r>
                  <w:rPr>
                    <w:b/>
                    <w:color w:val="808080"/>
                    <w:spacing w:val="-2"/>
                    <w:sz w:val="18"/>
                  </w:rPr>
                  <w:t> </w:t>
                </w:r>
                <w:r>
                  <w:rPr>
                    <w:b/>
                    <w:color w:val="808080"/>
                    <w:sz w:val="18"/>
                  </w:rPr>
                  <w:t>survey,</w:t>
                </w:r>
                <w:r>
                  <w:rPr>
                    <w:b/>
                    <w:color w:val="808080"/>
                    <w:spacing w:val="-2"/>
                    <w:sz w:val="18"/>
                  </w:rPr>
                  <w:t> </w:t>
                </w:r>
                <w:r>
                  <w:rPr>
                    <w:b/>
                    <w:color w:val="808080"/>
                    <w:sz w:val="18"/>
                  </w:rPr>
                  <w:t>version</w:t>
                </w:r>
                <w:r>
                  <w:rPr>
                    <w:b/>
                    <w:color w:val="808080"/>
                    <w:spacing w:val="-2"/>
                    <w:sz w:val="18"/>
                  </w:rPr>
                  <w:t> </w:t>
                </w:r>
                <w:r>
                  <w:rPr>
                    <w:b/>
                    <w:color w:val="808080"/>
                    <w:sz w:val="18"/>
                  </w:rPr>
                  <w:t>0.3,</w:t>
                </w:r>
                <w:r>
                  <w:rPr>
                    <w:b/>
                    <w:color w:val="808080"/>
                    <w:spacing w:val="-2"/>
                    <w:sz w:val="18"/>
                  </w:rPr>
                  <w:t> </w:t>
                </w:r>
                <w:r>
                  <w:rPr>
                    <w:b/>
                    <w:color w:val="808080"/>
                    <w:sz w:val="18"/>
                  </w:rPr>
                  <w:t>4</w:t>
                </w:r>
                <w:r>
                  <w:rPr>
                    <w:b/>
                    <w:color w:val="808080"/>
                    <w:spacing w:val="-2"/>
                    <w:sz w:val="18"/>
                  </w:rPr>
                  <w:t> </w:t>
                </w:r>
                <w:r>
                  <w:rPr>
                    <w:b/>
                    <w:color w:val="808080"/>
                    <w:sz w:val="18"/>
                  </w:rPr>
                  <w:t>September</w:t>
                </w:r>
                <w:r>
                  <w:rPr>
                    <w:b/>
                    <w:color w:val="808080"/>
                    <w:spacing w:val="-3"/>
                    <w:sz w:val="18"/>
                  </w:rPr>
                  <w:t> </w:t>
                </w:r>
                <w:r>
                  <w:rPr>
                    <w:b/>
                    <w:color w:val="808080"/>
                    <w:sz w:val="18"/>
                  </w:rPr>
                  <w:t>2019</w:t>
                </w:r>
              </w:p>
            </w:txbxContent>
          </v:textbox>
          <w10:wrap type="none"/>
        </v:shape>
      </w:pict>
    </w:r>
    <w:r>
      <w:rPr/>
      <w:pict>
        <v:shape style="position:absolute;margin-left:512.219971pt;margin-top:794.547241pt;width:45.45pt;height:13.05pt;mso-position-horizontal-relative:page;mso-position-vertical-relative:page;z-index:-27519488" type="#_x0000_t202" id="docshape198" filled="false" stroked="false">
          <v:textbox inset="0,0,0,0">
            <w:txbxContent>
              <w:p>
                <w:pPr>
                  <w:spacing w:before="20"/>
                  <w:ind w:left="20" w:right="0" w:firstLine="0"/>
                  <w:jc w:val="left"/>
                  <w:rPr>
                    <w:b/>
                    <w:sz w:val="18"/>
                  </w:rPr>
                </w:pPr>
                <w:r>
                  <w:rPr>
                    <w:b/>
                    <w:color w:val="7E7E7E"/>
                    <w:sz w:val="18"/>
                  </w:rPr>
                  <w:t>Page </w:t>
                </w:r>
                <w:r>
                  <w:rPr/>
                  <w:fldChar w:fldCharType="begin"/>
                </w:r>
                <w:r>
                  <w:rPr>
                    <w:b/>
                    <w:color w:val="7E7E7E"/>
                    <w:sz w:val="18"/>
                  </w:rPr>
                  <w:instrText> PAGE </w:instrText>
                </w:r>
                <w:r>
                  <w:rPr/>
                  <w:fldChar w:fldCharType="separate"/>
                </w:r>
                <w:r>
                  <w:rPr/>
                  <w:t>139</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024002pt;margin-top:794.427246pt;width:202.15pt;height:13.05pt;mso-position-horizontal-relative:page;mso-position-vertical-relative:page;z-index:-27518976" type="#_x0000_t202" id="docshape223" filled="false" stroked="false">
          <v:textbox inset="0,0,0,0">
            <w:txbxContent>
              <w:p>
                <w:pPr>
                  <w:spacing w:before="20"/>
                  <w:ind w:left="20" w:right="0" w:firstLine="0"/>
                  <w:jc w:val="left"/>
                  <w:rPr>
                    <w:b/>
                    <w:sz w:val="18"/>
                  </w:rPr>
                </w:pPr>
                <w:r>
                  <w:rPr>
                    <w:b/>
                    <w:color w:val="7E7E7E"/>
                    <w:sz w:val="18"/>
                  </w:rPr>
                  <w:t>Evaluation</w:t>
                </w:r>
                <w:r>
                  <w:rPr>
                    <w:b/>
                    <w:color w:val="7E7E7E"/>
                    <w:spacing w:val="-2"/>
                    <w:sz w:val="18"/>
                  </w:rPr>
                  <w:t> </w:t>
                </w:r>
                <w:r>
                  <w:rPr>
                    <w:b/>
                    <w:color w:val="7E7E7E"/>
                    <w:sz w:val="18"/>
                  </w:rPr>
                  <w:t>of</w:t>
                </w:r>
                <w:r>
                  <w:rPr>
                    <w:b/>
                    <w:color w:val="7E7E7E"/>
                    <w:spacing w:val="-2"/>
                    <w:sz w:val="18"/>
                  </w:rPr>
                  <w:t> </w:t>
                </w:r>
                <w:r>
                  <w:rPr>
                    <w:b/>
                    <w:color w:val="7E7E7E"/>
                    <w:sz w:val="18"/>
                  </w:rPr>
                  <w:t>the</w:t>
                </w:r>
                <w:r>
                  <w:rPr>
                    <w:b/>
                    <w:color w:val="7E7E7E"/>
                    <w:spacing w:val="-2"/>
                    <w:sz w:val="18"/>
                  </w:rPr>
                  <w:t> </w:t>
                </w:r>
                <w:r>
                  <w:rPr>
                    <w:b/>
                    <w:color w:val="7E7E7E"/>
                    <w:sz w:val="18"/>
                  </w:rPr>
                  <w:t>Health</w:t>
                </w:r>
                <w:r>
                  <w:rPr>
                    <w:b/>
                    <w:color w:val="7E7E7E"/>
                    <w:spacing w:val="-1"/>
                    <w:sz w:val="18"/>
                  </w:rPr>
                  <w:t> </w:t>
                </w:r>
                <w:r>
                  <w:rPr>
                    <w:b/>
                    <w:color w:val="7E7E7E"/>
                    <w:sz w:val="18"/>
                  </w:rPr>
                  <w:t>Care</w:t>
                </w:r>
                <w:r>
                  <w:rPr>
                    <w:b/>
                    <w:color w:val="7E7E7E"/>
                    <w:spacing w:val="-2"/>
                    <w:sz w:val="18"/>
                  </w:rPr>
                  <w:t> </w:t>
                </w:r>
                <w:r>
                  <w:rPr>
                    <w:b/>
                    <w:color w:val="7E7E7E"/>
                    <w:sz w:val="18"/>
                  </w:rPr>
                  <w:t>Homes</w:t>
                </w:r>
                <w:r>
                  <w:rPr>
                    <w:b/>
                    <w:color w:val="7E7E7E"/>
                    <w:spacing w:val="-1"/>
                    <w:sz w:val="18"/>
                  </w:rPr>
                  <w:t> </w:t>
                </w:r>
                <w:r>
                  <w:rPr>
                    <w:b/>
                    <w:color w:val="7E7E7E"/>
                    <w:sz w:val="18"/>
                  </w:rPr>
                  <w:t>program</w:t>
                </w:r>
              </w:p>
            </w:txbxContent>
          </v:textbox>
          <w10:wrap type="none"/>
        </v:shape>
      </w:pict>
    </w:r>
    <w:r>
      <w:rPr/>
      <w:pict>
        <v:shape style="position:absolute;margin-left:482.100006pt;margin-top:794.427246pt;width:42.45pt;height:13.05pt;mso-position-horizontal-relative:page;mso-position-vertical-relative:page;z-index:-27518464" type="#_x0000_t202" id="docshape224" filled="false" stroked="false">
          <v:textbox inset="0,0,0,0">
            <w:txbxContent>
              <w:p>
                <w:pPr>
                  <w:spacing w:before="20"/>
                  <w:ind w:left="20" w:right="0" w:firstLine="0"/>
                  <w:jc w:val="left"/>
                  <w:rPr>
                    <w:b/>
                    <w:sz w:val="18"/>
                  </w:rPr>
                </w:pPr>
                <w:r>
                  <w:rPr>
                    <w:b/>
                    <w:color w:val="7E7E7E"/>
                    <w:sz w:val="18"/>
                  </w:rPr>
                  <w:t>Page</w:t>
                </w:r>
                <w:r>
                  <w:rPr>
                    <w:b/>
                    <w:color w:val="7E7E7E"/>
                    <w:spacing w:val="-2"/>
                    <w:sz w:val="18"/>
                  </w:rPr>
                  <w:t> </w:t>
                </w:r>
                <w:r>
                  <w:rPr>
                    <w:b/>
                    <w:color w:val="7E7E7E"/>
                    <w:sz w:val="18"/>
                  </w:rPr>
                  <w:t>141</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pt;margin-top:783.507263pt;width:294.6pt;height:24.1pt;mso-position-horizontal-relative:page;mso-position-vertical-relative:page;z-index:-27517952" type="#_x0000_t202" id="docshape230" filled="false" stroked="false">
          <v:textbox inset="0,0,0,0">
            <w:txbxContent>
              <w:p>
                <w:pPr>
                  <w:spacing w:before="20"/>
                  <w:ind w:left="20" w:right="0" w:firstLine="0"/>
                  <w:jc w:val="left"/>
                  <w:rPr>
                    <w:b/>
                    <w:sz w:val="18"/>
                  </w:rPr>
                </w:pPr>
                <w:r>
                  <w:rPr>
                    <w:b/>
                    <w:color w:val="808080"/>
                    <w:sz w:val="18"/>
                  </w:rPr>
                  <w:t>Evaluation</w:t>
                </w:r>
                <w:r>
                  <w:rPr>
                    <w:b/>
                    <w:color w:val="808080"/>
                    <w:spacing w:val="-2"/>
                    <w:sz w:val="18"/>
                  </w:rPr>
                  <w:t> </w:t>
                </w:r>
                <w:r>
                  <w:rPr>
                    <w:b/>
                    <w:color w:val="808080"/>
                    <w:sz w:val="18"/>
                  </w:rPr>
                  <w:t>of</w:t>
                </w:r>
                <w:r>
                  <w:rPr>
                    <w:b/>
                    <w:color w:val="808080"/>
                    <w:spacing w:val="-3"/>
                    <w:sz w:val="18"/>
                  </w:rPr>
                  <w:t> </w:t>
                </w:r>
                <w:r>
                  <w:rPr>
                    <w:b/>
                    <w:color w:val="808080"/>
                    <w:sz w:val="18"/>
                  </w:rPr>
                  <w:t>the</w:t>
                </w:r>
                <w:r>
                  <w:rPr>
                    <w:b/>
                    <w:color w:val="808080"/>
                    <w:spacing w:val="-1"/>
                    <w:sz w:val="18"/>
                  </w:rPr>
                  <w:t> </w:t>
                </w:r>
                <w:r>
                  <w:rPr>
                    <w:b/>
                    <w:color w:val="808080"/>
                    <w:sz w:val="18"/>
                  </w:rPr>
                  <w:t>Health</w:t>
                </w:r>
                <w:r>
                  <w:rPr>
                    <w:b/>
                    <w:color w:val="808080"/>
                    <w:spacing w:val="-2"/>
                    <w:sz w:val="18"/>
                  </w:rPr>
                  <w:t> </w:t>
                </w:r>
                <w:r>
                  <w:rPr>
                    <w:b/>
                    <w:color w:val="808080"/>
                    <w:sz w:val="18"/>
                  </w:rPr>
                  <w:t>Care</w:t>
                </w:r>
                <w:r>
                  <w:rPr>
                    <w:b/>
                    <w:color w:val="808080"/>
                    <w:spacing w:val="-1"/>
                    <w:sz w:val="18"/>
                  </w:rPr>
                  <w:t> </w:t>
                </w:r>
                <w:r>
                  <w:rPr>
                    <w:b/>
                    <w:color w:val="808080"/>
                    <w:sz w:val="18"/>
                  </w:rPr>
                  <w:t>Homes</w:t>
                </w:r>
                <w:r>
                  <w:rPr>
                    <w:b/>
                    <w:color w:val="808080"/>
                    <w:spacing w:val="-3"/>
                    <w:sz w:val="18"/>
                  </w:rPr>
                  <w:t> </w:t>
                </w:r>
                <w:r>
                  <w:rPr>
                    <w:b/>
                    <w:color w:val="808080"/>
                    <w:sz w:val="18"/>
                  </w:rPr>
                  <w:t>(HCH)</w:t>
                </w:r>
                <w:r>
                  <w:rPr>
                    <w:b/>
                    <w:color w:val="808080"/>
                    <w:spacing w:val="-4"/>
                    <w:sz w:val="18"/>
                  </w:rPr>
                  <w:t> </w:t>
                </w:r>
                <w:r>
                  <w:rPr>
                    <w:b/>
                    <w:color w:val="808080"/>
                    <w:sz w:val="18"/>
                  </w:rPr>
                  <w:t>program</w:t>
                </w:r>
              </w:p>
              <w:p>
                <w:pPr>
                  <w:spacing w:before="0"/>
                  <w:ind w:left="20" w:right="0" w:firstLine="0"/>
                  <w:jc w:val="left"/>
                  <w:rPr>
                    <w:b/>
                    <w:sz w:val="18"/>
                  </w:rPr>
                </w:pPr>
                <w:r>
                  <w:rPr>
                    <w:b/>
                    <w:color w:val="808080"/>
                    <w:sz w:val="18"/>
                  </w:rPr>
                  <w:t>Primary</w:t>
                </w:r>
                <w:r>
                  <w:rPr>
                    <w:b/>
                    <w:color w:val="808080"/>
                    <w:spacing w:val="-3"/>
                    <w:sz w:val="18"/>
                  </w:rPr>
                  <w:t> </w:t>
                </w:r>
                <w:r>
                  <w:rPr>
                    <w:b/>
                    <w:color w:val="808080"/>
                    <w:sz w:val="18"/>
                  </w:rPr>
                  <w:t>Health</w:t>
                </w:r>
                <w:r>
                  <w:rPr>
                    <w:b/>
                    <w:color w:val="808080"/>
                    <w:spacing w:val="-3"/>
                    <w:sz w:val="18"/>
                  </w:rPr>
                  <w:t> </w:t>
                </w:r>
                <w:r>
                  <w:rPr>
                    <w:b/>
                    <w:color w:val="808080"/>
                    <w:sz w:val="18"/>
                  </w:rPr>
                  <w:t>Network</w:t>
                </w:r>
                <w:r>
                  <w:rPr>
                    <w:b/>
                    <w:color w:val="808080"/>
                    <w:spacing w:val="-2"/>
                    <w:sz w:val="18"/>
                  </w:rPr>
                  <w:t> </w:t>
                </w:r>
                <w:r>
                  <w:rPr>
                    <w:b/>
                    <w:color w:val="808080"/>
                    <w:sz w:val="18"/>
                  </w:rPr>
                  <w:t>(PHN)</w:t>
                </w:r>
                <w:r>
                  <w:rPr>
                    <w:b/>
                    <w:color w:val="808080"/>
                    <w:spacing w:val="-3"/>
                    <w:sz w:val="18"/>
                  </w:rPr>
                  <w:t> </w:t>
                </w:r>
                <w:r>
                  <w:rPr>
                    <w:b/>
                    <w:color w:val="808080"/>
                    <w:sz w:val="18"/>
                  </w:rPr>
                  <w:t>survey,</w:t>
                </w:r>
                <w:r>
                  <w:rPr>
                    <w:b/>
                    <w:color w:val="808080"/>
                    <w:spacing w:val="-3"/>
                    <w:sz w:val="18"/>
                  </w:rPr>
                  <w:t> </w:t>
                </w:r>
                <w:r>
                  <w:rPr>
                    <w:b/>
                    <w:color w:val="808080"/>
                    <w:sz w:val="18"/>
                  </w:rPr>
                  <w:t>version</w:t>
                </w:r>
                <w:r>
                  <w:rPr>
                    <w:b/>
                    <w:color w:val="808080"/>
                    <w:spacing w:val="-3"/>
                    <w:sz w:val="18"/>
                  </w:rPr>
                  <w:t> </w:t>
                </w:r>
                <w:r>
                  <w:rPr>
                    <w:b/>
                    <w:color w:val="808080"/>
                    <w:sz w:val="18"/>
                  </w:rPr>
                  <w:t>0.2,</w:t>
                </w:r>
                <w:r>
                  <w:rPr>
                    <w:b/>
                    <w:color w:val="808080"/>
                    <w:spacing w:val="-3"/>
                    <w:sz w:val="18"/>
                  </w:rPr>
                  <w:t> </w:t>
                </w:r>
                <w:r>
                  <w:rPr>
                    <w:b/>
                    <w:color w:val="808080"/>
                    <w:sz w:val="18"/>
                  </w:rPr>
                  <w:t>4</w:t>
                </w:r>
                <w:r>
                  <w:rPr>
                    <w:b/>
                    <w:color w:val="808080"/>
                    <w:spacing w:val="-3"/>
                    <w:sz w:val="18"/>
                  </w:rPr>
                  <w:t> </w:t>
                </w:r>
                <w:r>
                  <w:rPr>
                    <w:b/>
                    <w:color w:val="808080"/>
                    <w:sz w:val="18"/>
                  </w:rPr>
                  <w:t>November</w:t>
                </w:r>
                <w:r>
                  <w:rPr>
                    <w:b/>
                    <w:color w:val="808080"/>
                    <w:spacing w:val="-3"/>
                    <w:sz w:val="18"/>
                  </w:rPr>
                  <w:t> </w:t>
                </w:r>
                <w:r>
                  <w:rPr>
                    <w:b/>
                    <w:color w:val="808080"/>
                    <w:sz w:val="18"/>
                  </w:rPr>
                  <w:t>2017</w:t>
                </w:r>
              </w:p>
            </w:txbxContent>
          </v:textbox>
          <w10:wrap type="none"/>
        </v:shape>
      </w:pict>
    </w:r>
    <w:r>
      <w:rPr/>
      <w:pict>
        <v:shape style="position:absolute;margin-left:512.219971pt;margin-top:794.547241pt;width:45.45pt;height:13.05pt;mso-position-horizontal-relative:page;mso-position-vertical-relative:page;z-index:-27517440" type="#_x0000_t202" id="docshape231" filled="false" stroked="false">
          <v:textbox inset="0,0,0,0">
            <w:txbxContent>
              <w:p>
                <w:pPr>
                  <w:spacing w:before="20"/>
                  <w:ind w:left="20" w:right="0" w:firstLine="0"/>
                  <w:jc w:val="left"/>
                  <w:rPr>
                    <w:b/>
                    <w:sz w:val="18"/>
                  </w:rPr>
                </w:pPr>
                <w:r>
                  <w:rPr>
                    <w:b/>
                    <w:color w:val="7E7E7E"/>
                    <w:sz w:val="18"/>
                  </w:rPr>
                  <w:t>Page </w:t>
                </w:r>
                <w:r>
                  <w:rPr/>
                  <w:fldChar w:fldCharType="begin"/>
                </w:r>
                <w:r>
                  <w:rPr>
                    <w:b/>
                    <w:color w:val="7E7E7E"/>
                    <w:sz w:val="18"/>
                  </w:rPr>
                  <w:instrText> PAGE </w:instrText>
                </w:r>
                <w:r>
                  <w:rPr/>
                  <w:fldChar w:fldCharType="separate"/>
                </w:r>
                <w:r>
                  <w:rPr/>
                  <w:t>142</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pt;margin-top:783.507263pt;width:296.150pt;height:24.1pt;mso-position-horizontal-relative:page;mso-position-vertical-relative:page;z-index:-27516928" type="#_x0000_t202" id="docshape242" filled="false" stroked="false">
          <v:textbox inset="0,0,0,0">
            <w:txbxContent>
              <w:p>
                <w:pPr>
                  <w:spacing w:before="20"/>
                  <w:ind w:left="20" w:right="0" w:firstLine="0"/>
                  <w:jc w:val="left"/>
                  <w:rPr>
                    <w:b/>
                    <w:sz w:val="18"/>
                  </w:rPr>
                </w:pPr>
                <w:r>
                  <w:rPr>
                    <w:b/>
                    <w:color w:val="808080"/>
                    <w:sz w:val="18"/>
                  </w:rPr>
                  <w:t>Evaluation</w:t>
                </w:r>
                <w:r>
                  <w:rPr>
                    <w:b/>
                    <w:color w:val="808080"/>
                    <w:spacing w:val="-2"/>
                    <w:sz w:val="18"/>
                  </w:rPr>
                  <w:t> </w:t>
                </w:r>
                <w:r>
                  <w:rPr>
                    <w:b/>
                    <w:color w:val="808080"/>
                    <w:sz w:val="18"/>
                  </w:rPr>
                  <w:t>of</w:t>
                </w:r>
                <w:r>
                  <w:rPr>
                    <w:b/>
                    <w:color w:val="808080"/>
                    <w:spacing w:val="-3"/>
                    <w:sz w:val="18"/>
                  </w:rPr>
                  <w:t> </w:t>
                </w:r>
                <w:r>
                  <w:rPr>
                    <w:b/>
                    <w:color w:val="808080"/>
                    <w:sz w:val="18"/>
                  </w:rPr>
                  <w:t>the</w:t>
                </w:r>
                <w:r>
                  <w:rPr>
                    <w:b/>
                    <w:color w:val="808080"/>
                    <w:spacing w:val="-1"/>
                    <w:sz w:val="18"/>
                  </w:rPr>
                  <w:t> </w:t>
                </w:r>
                <w:r>
                  <w:rPr>
                    <w:b/>
                    <w:color w:val="808080"/>
                    <w:sz w:val="18"/>
                  </w:rPr>
                  <w:t>Health</w:t>
                </w:r>
                <w:r>
                  <w:rPr>
                    <w:b/>
                    <w:color w:val="808080"/>
                    <w:spacing w:val="-2"/>
                    <w:sz w:val="18"/>
                  </w:rPr>
                  <w:t> </w:t>
                </w:r>
                <w:r>
                  <w:rPr>
                    <w:b/>
                    <w:color w:val="808080"/>
                    <w:sz w:val="18"/>
                  </w:rPr>
                  <w:t>Care</w:t>
                </w:r>
                <w:r>
                  <w:rPr>
                    <w:b/>
                    <w:color w:val="808080"/>
                    <w:spacing w:val="-1"/>
                    <w:sz w:val="18"/>
                  </w:rPr>
                  <w:t> </w:t>
                </w:r>
                <w:r>
                  <w:rPr>
                    <w:b/>
                    <w:color w:val="808080"/>
                    <w:sz w:val="18"/>
                  </w:rPr>
                  <w:t>Homes</w:t>
                </w:r>
                <w:r>
                  <w:rPr>
                    <w:b/>
                    <w:color w:val="808080"/>
                    <w:spacing w:val="-3"/>
                    <w:sz w:val="18"/>
                  </w:rPr>
                  <w:t> </w:t>
                </w:r>
                <w:r>
                  <w:rPr>
                    <w:b/>
                    <w:color w:val="808080"/>
                    <w:sz w:val="18"/>
                  </w:rPr>
                  <w:t>(HCH)</w:t>
                </w:r>
                <w:r>
                  <w:rPr>
                    <w:b/>
                    <w:color w:val="808080"/>
                    <w:spacing w:val="-4"/>
                    <w:sz w:val="18"/>
                  </w:rPr>
                  <w:t> </w:t>
                </w:r>
                <w:r>
                  <w:rPr>
                    <w:b/>
                    <w:color w:val="808080"/>
                    <w:sz w:val="18"/>
                  </w:rPr>
                  <w:t>program</w:t>
                </w:r>
              </w:p>
              <w:p>
                <w:pPr>
                  <w:spacing w:before="0"/>
                  <w:ind w:left="20" w:right="0" w:firstLine="0"/>
                  <w:jc w:val="left"/>
                  <w:rPr>
                    <w:b/>
                    <w:sz w:val="18"/>
                  </w:rPr>
                </w:pPr>
                <w:r>
                  <w:rPr>
                    <w:b/>
                    <w:color w:val="808080"/>
                    <w:sz w:val="18"/>
                  </w:rPr>
                  <w:t>Primary</w:t>
                </w:r>
                <w:r>
                  <w:rPr>
                    <w:b/>
                    <w:color w:val="808080"/>
                    <w:spacing w:val="-3"/>
                    <w:sz w:val="18"/>
                  </w:rPr>
                  <w:t> </w:t>
                </w:r>
                <w:r>
                  <w:rPr>
                    <w:b/>
                    <w:color w:val="808080"/>
                    <w:sz w:val="18"/>
                  </w:rPr>
                  <w:t>Health</w:t>
                </w:r>
                <w:r>
                  <w:rPr>
                    <w:b/>
                    <w:color w:val="808080"/>
                    <w:spacing w:val="-3"/>
                    <w:sz w:val="18"/>
                  </w:rPr>
                  <w:t> </w:t>
                </w:r>
                <w:r>
                  <w:rPr>
                    <w:b/>
                    <w:color w:val="808080"/>
                    <w:sz w:val="18"/>
                  </w:rPr>
                  <w:t>Network</w:t>
                </w:r>
                <w:r>
                  <w:rPr>
                    <w:b/>
                    <w:color w:val="808080"/>
                    <w:spacing w:val="-2"/>
                    <w:sz w:val="18"/>
                  </w:rPr>
                  <w:t> </w:t>
                </w:r>
                <w:r>
                  <w:rPr>
                    <w:b/>
                    <w:color w:val="808080"/>
                    <w:sz w:val="18"/>
                  </w:rPr>
                  <w:t>(PHN)</w:t>
                </w:r>
                <w:r>
                  <w:rPr>
                    <w:b/>
                    <w:color w:val="808080"/>
                    <w:spacing w:val="-3"/>
                    <w:sz w:val="18"/>
                  </w:rPr>
                  <w:t> </w:t>
                </w:r>
                <w:r>
                  <w:rPr>
                    <w:b/>
                    <w:color w:val="808080"/>
                    <w:sz w:val="18"/>
                  </w:rPr>
                  <w:t>survey,</w:t>
                </w:r>
                <w:r>
                  <w:rPr>
                    <w:b/>
                    <w:color w:val="808080"/>
                    <w:spacing w:val="-3"/>
                    <w:sz w:val="18"/>
                  </w:rPr>
                  <w:t> </w:t>
                </w:r>
                <w:r>
                  <w:rPr>
                    <w:b/>
                    <w:color w:val="808080"/>
                    <w:sz w:val="18"/>
                  </w:rPr>
                  <w:t>version</w:t>
                </w:r>
                <w:r>
                  <w:rPr>
                    <w:b/>
                    <w:color w:val="808080"/>
                    <w:spacing w:val="-3"/>
                    <w:sz w:val="18"/>
                  </w:rPr>
                  <w:t> </w:t>
                </w:r>
                <w:r>
                  <w:rPr>
                    <w:b/>
                    <w:color w:val="808080"/>
                    <w:sz w:val="18"/>
                  </w:rPr>
                  <w:t>0.3,</w:t>
                </w:r>
                <w:r>
                  <w:rPr>
                    <w:b/>
                    <w:color w:val="808080"/>
                    <w:spacing w:val="-3"/>
                    <w:sz w:val="18"/>
                  </w:rPr>
                  <w:t> </w:t>
                </w:r>
                <w:r>
                  <w:rPr>
                    <w:b/>
                    <w:color w:val="808080"/>
                    <w:sz w:val="18"/>
                  </w:rPr>
                  <w:t>4</w:t>
                </w:r>
                <w:r>
                  <w:rPr>
                    <w:b/>
                    <w:color w:val="808080"/>
                    <w:spacing w:val="-3"/>
                    <w:sz w:val="18"/>
                  </w:rPr>
                  <w:t> </w:t>
                </w:r>
                <w:r>
                  <w:rPr>
                    <w:b/>
                    <w:color w:val="808080"/>
                    <w:sz w:val="18"/>
                  </w:rPr>
                  <w:t>September</w:t>
                </w:r>
                <w:r>
                  <w:rPr>
                    <w:b/>
                    <w:color w:val="808080"/>
                    <w:spacing w:val="-4"/>
                    <w:sz w:val="18"/>
                  </w:rPr>
                  <w:t> </w:t>
                </w:r>
                <w:r>
                  <w:rPr>
                    <w:b/>
                    <w:color w:val="808080"/>
                    <w:sz w:val="18"/>
                  </w:rPr>
                  <w:t>2019</w:t>
                </w:r>
              </w:p>
            </w:txbxContent>
          </v:textbox>
          <w10:wrap type="none"/>
        </v:shape>
      </w:pict>
    </w:r>
    <w:r>
      <w:rPr/>
      <w:pict>
        <v:shape style="position:absolute;margin-left:512.219971pt;margin-top:794.547241pt;width:45.45pt;height:13.05pt;mso-position-horizontal-relative:page;mso-position-vertical-relative:page;z-index:-27516416" type="#_x0000_t202" id="docshape243" filled="false" stroked="false">
          <v:textbox inset="0,0,0,0">
            <w:txbxContent>
              <w:p>
                <w:pPr>
                  <w:spacing w:before="20"/>
                  <w:ind w:left="20" w:right="0" w:firstLine="0"/>
                  <w:jc w:val="left"/>
                  <w:rPr>
                    <w:b/>
                    <w:sz w:val="18"/>
                  </w:rPr>
                </w:pPr>
                <w:r>
                  <w:rPr>
                    <w:b/>
                    <w:color w:val="7E7E7E"/>
                    <w:sz w:val="18"/>
                  </w:rPr>
                  <w:t>Page </w:t>
                </w:r>
                <w:r>
                  <w:rPr/>
                  <w:fldChar w:fldCharType="begin"/>
                </w:r>
                <w:r>
                  <w:rPr>
                    <w:b/>
                    <w:color w:val="7E7E7E"/>
                    <w:sz w:val="18"/>
                  </w:rPr>
                  <w:instrText> PAGE </w:instrText>
                </w:r>
                <w:r>
                  <w:rPr/>
                  <w:fldChar w:fldCharType="separate"/>
                </w:r>
                <w:r>
                  <w:rPr/>
                  <w:t>151</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024002pt;margin-top:794.427246pt;width:202.15pt;height:13.05pt;mso-position-horizontal-relative:page;mso-position-vertical-relative:page;z-index:-27515904" type="#_x0000_t202" id="docshape260" filled="false" stroked="false">
          <v:textbox inset="0,0,0,0">
            <w:txbxContent>
              <w:p>
                <w:pPr>
                  <w:spacing w:before="20"/>
                  <w:ind w:left="20" w:right="0" w:firstLine="0"/>
                  <w:jc w:val="left"/>
                  <w:rPr>
                    <w:b/>
                    <w:sz w:val="18"/>
                  </w:rPr>
                </w:pPr>
                <w:r>
                  <w:rPr>
                    <w:b/>
                    <w:color w:val="7E7E7E"/>
                    <w:sz w:val="18"/>
                  </w:rPr>
                  <w:t>Evaluation</w:t>
                </w:r>
                <w:r>
                  <w:rPr>
                    <w:b/>
                    <w:color w:val="7E7E7E"/>
                    <w:spacing w:val="-2"/>
                    <w:sz w:val="18"/>
                  </w:rPr>
                  <w:t> </w:t>
                </w:r>
                <w:r>
                  <w:rPr>
                    <w:b/>
                    <w:color w:val="7E7E7E"/>
                    <w:sz w:val="18"/>
                  </w:rPr>
                  <w:t>of</w:t>
                </w:r>
                <w:r>
                  <w:rPr>
                    <w:b/>
                    <w:color w:val="7E7E7E"/>
                    <w:spacing w:val="-2"/>
                    <w:sz w:val="18"/>
                  </w:rPr>
                  <w:t> </w:t>
                </w:r>
                <w:r>
                  <w:rPr>
                    <w:b/>
                    <w:color w:val="7E7E7E"/>
                    <w:sz w:val="18"/>
                  </w:rPr>
                  <w:t>the</w:t>
                </w:r>
                <w:r>
                  <w:rPr>
                    <w:b/>
                    <w:color w:val="7E7E7E"/>
                    <w:spacing w:val="-2"/>
                    <w:sz w:val="18"/>
                  </w:rPr>
                  <w:t> </w:t>
                </w:r>
                <w:r>
                  <w:rPr>
                    <w:b/>
                    <w:color w:val="7E7E7E"/>
                    <w:sz w:val="18"/>
                  </w:rPr>
                  <w:t>Health</w:t>
                </w:r>
                <w:r>
                  <w:rPr>
                    <w:b/>
                    <w:color w:val="7E7E7E"/>
                    <w:spacing w:val="-1"/>
                    <w:sz w:val="18"/>
                  </w:rPr>
                  <w:t> </w:t>
                </w:r>
                <w:r>
                  <w:rPr>
                    <w:b/>
                    <w:color w:val="7E7E7E"/>
                    <w:sz w:val="18"/>
                  </w:rPr>
                  <w:t>Care</w:t>
                </w:r>
                <w:r>
                  <w:rPr>
                    <w:b/>
                    <w:color w:val="7E7E7E"/>
                    <w:spacing w:val="-2"/>
                    <w:sz w:val="18"/>
                  </w:rPr>
                  <w:t> </w:t>
                </w:r>
                <w:r>
                  <w:rPr>
                    <w:b/>
                    <w:color w:val="7E7E7E"/>
                    <w:sz w:val="18"/>
                  </w:rPr>
                  <w:t>Homes</w:t>
                </w:r>
                <w:r>
                  <w:rPr>
                    <w:b/>
                    <w:color w:val="7E7E7E"/>
                    <w:spacing w:val="-1"/>
                    <w:sz w:val="18"/>
                  </w:rPr>
                  <w:t> </w:t>
                </w:r>
                <w:r>
                  <w:rPr>
                    <w:b/>
                    <w:color w:val="7E7E7E"/>
                    <w:sz w:val="18"/>
                  </w:rPr>
                  <w:t>program</w:t>
                </w:r>
              </w:p>
            </w:txbxContent>
          </v:textbox>
          <w10:wrap type="none"/>
        </v:shape>
      </w:pict>
    </w:r>
    <w:r>
      <w:rPr/>
      <w:pict>
        <v:shape style="position:absolute;margin-left:482.100006pt;margin-top:794.427246pt;width:42.45pt;height:13.05pt;mso-position-horizontal-relative:page;mso-position-vertical-relative:page;z-index:-27515392" type="#_x0000_t202" id="docshape261" filled="false" stroked="false">
          <v:textbox inset="0,0,0,0">
            <w:txbxContent>
              <w:p>
                <w:pPr>
                  <w:spacing w:before="20"/>
                  <w:ind w:left="20" w:right="0" w:firstLine="0"/>
                  <w:jc w:val="left"/>
                  <w:rPr>
                    <w:b/>
                    <w:sz w:val="18"/>
                  </w:rPr>
                </w:pPr>
                <w:r>
                  <w:rPr>
                    <w:b/>
                    <w:color w:val="7E7E7E"/>
                    <w:sz w:val="18"/>
                  </w:rPr>
                  <w:t>Page</w:t>
                </w:r>
                <w:r>
                  <w:rPr>
                    <w:b/>
                    <w:color w:val="7E7E7E"/>
                    <w:spacing w:val="-2"/>
                    <w:sz w:val="18"/>
                  </w:rPr>
                  <w:t> </w:t>
                </w:r>
                <w:r>
                  <w:rPr>
                    <w:b/>
                    <w:color w:val="7E7E7E"/>
                    <w:sz w:val="18"/>
                  </w:rPr>
                  <w:t>159</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pt;margin-top:783.507263pt;width:230.65pt;height:24.1pt;mso-position-horizontal-relative:page;mso-position-vertical-relative:page;z-index:-27514880" type="#_x0000_t202" id="docshape263" filled="false" stroked="false">
          <v:textbox inset="0,0,0,0">
            <w:txbxContent>
              <w:p>
                <w:pPr>
                  <w:spacing w:before="20"/>
                  <w:ind w:left="20" w:right="1" w:firstLine="0"/>
                  <w:jc w:val="left"/>
                  <w:rPr>
                    <w:b/>
                    <w:sz w:val="18"/>
                  </w:rPr>
                </w:pPr>
                <w:r>
                  <w:rPr>
                    <w:b/>
                    <w:color w:val="808080"/>
                    <w:sz w:val="18"/>
                  </w:rPr>
                  <w:t>Evaluation of the Health Care Homes (HCH) program</w:t>
                </w:r>
                <w:r>
                  <w:rPr>
                    <w:b/>
                    <w:color w:val="808080"/>
                    <w:spacing w:val="-48"/>
                    <w:sz w:val="18"/>
                  </w:rPr>
                  <w:t> </w:t>
                </w:r>
                <w:r>
                  <w:rPr>
                    <w:b/>
                    <w:color w:val="808080"/>
                    <w:sz w:val="18"/>
                  </w:rPr>
                  <w:t>Patient</w:t>
                </w:r>
                <w:r>
                  <w:rPr>
                    <w:b/>
                    <w:color w:val="808080"/>
                    <w:spacing w:val="-3"/>
                    <w:sz w:val="18"/>
                  </w:rPr>
                  <w:t> </w:t>
                </w:r>
                <w:r>
                  <w:rPr>
                    <w:b/>
                    <w:color w:val="808080"/>
                    <w:sz w:val="18"/>
                  </w:rPr>
                  <w:t>survey,</w:t>
                </w:r>
                <w:r>
                  <w:rPr>
                    <w:b/>
                    <w:color w:val="808080"/>
                    <w:spacing w:val="-1"/>
                    <w:sz w:val="18"/>
                  </w:rPr>
                  <w:t> </w:t>
                </w:r>
                <w:r>
                  <w:rPr>
                    <w:b/>
                    <w:color w:val="808080"/>
                    <w:sz w:val="18"/>
                  </w:rPr>
                  <w:t>version</w:t>
                </w:r>
                <w:r>
                  <w:rPr>
                    <w:b/>
                    <w:color w:val="808080"/>
                    <w:spacing w:val="-1"/>
                    <w:sz w:val="18"/>
                  </w:rPr>
                  <w:t> </w:t>
                </w:r>
                <w:r>
                  <w:rPr>
                    <w:b/>
                    <w:color w:val="808080"/>
                    <w:sz w:val="18"/>
                  </w:rPr>
                  <w:t>0.5, 4</w:t>
                </w:r>
                <w:r>
                  <w:rPr>
                    <w:b/>
                    <w:color w:val="808080"/>
                    <w:spacing w:val="-1"/>
                    <w:sz w:val="18"/>
                  </w:rPr>
                  <w:t> </w:t>
                </w:r>
                <w:r>
                  <w:rPr>
                    <w:b/>
                    <w:color w:val="808080"/>
                    <w:sz w:val="18"/>
                  </w:rPr>
                  <w:t>September</w:t>
                </w:r>
                <w:r>
                  <w:rPr>
                    <w:b/>
                    <w:color w:val="808080"/>
                    <w:spacing w:val="-2"/>
                    <w:sz w:val="18"/>
                  </w:rPr>
                  <w:t> </w:t>
                </w:r>
                <w:r>
                  <w:rPr>
                    <w:b/>
                    <w:color w:val="808080"/>
                    <w:sz w:val="18"/>
                  </w:rPr>
                  <w:t>2019</w:t>
                </w:r>
              </w:p>
            </w:txbxContent>
          </v:textbox>
          <w10:wrap type="none"/>
        </v:shape>
      </w:pict>
    </w:r>
    <w:r>
      <w:rPr/>
      <w:pict>
        <v:shape style="position:absolute;margin-left:512.219971pt;margin-top:794.547241pt;width:42.45pt;height:13.05pt;mso-position-horizontal-relative:page;mso-position-vertical-relative:page;z-index:-27514368" type="#_x0000_t202" id="docshape264" filled="false" stroked="false">
          <v:textbox inset="0,0,0,0">
            <w:txbxContent>
              <w:p>
                <w:pPr>
                  <w:spacing w:before="20"/>
                  <w:ind w:left="20" w:right="0" w:firstLine="0"/>
                  <w:jc w:val="left"/>
                  <w:rPr>
                    <w:b/>
                    <w:sz w:val="18"/>
                  </w:rPr>
                </w:pPr>
                <w:r>
                  <w:rPr>
                    <w:b/>
                    <w:color w:val="7E7E7E"/>
                    <w:sz w:val="18"/>
                  </w:rPr>
                  <w:t>Page</w:t>
                </w:r>
                <w:r>
                  <w:rPr>
                    <w:b/>
                    <w:color w:val="7E7E7E"/>
                    <w:spacing w:val="-2"/>
                    <w:sz w:val="18"/>
                  </w:rPr>
                  <w:t> </w:t>
                </w:r>
                <w:r>
                  <w:rPr>
                    <w:b/>
                    <w:color w:val="7E7E7E"/>
                    <w:sz w:val="18"/>
                  </w:rPr>
                  <w:t>160</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pt;margin-top:783.507263pt;width:230.65pt;height:24.1pt;mso-position-horizontal-relative:page;mso-position-vertical-relative:page;z-index:-27513856" type="#_x0000_t202" id="docshape266" filled="false" stroked="false">
          <v:textbox inset="0,0,0,0">
            <w:txbxContent>
              <w:p>
                <w:pPr>
                  <w:spacing w:before="20"/>
                  <w:ind w:left="20" w:right="1" w:firstLine="0"/>
                  <w:jc w:val="left"/>
                  <w:rPr>
                    <w:b/>
                    <w:sz w:val="18"/>
                  </w:rPr>
                </w:pPr>
                <w:r>
                  <w:rPr>
                    <w:b/>
                    <w:color w:val="808080"/>
                    <w:sz w:val="18"/>
                  </w:rPr>
                  <w:t>Evaluation of the Health Care Homes (HCH) program</w:t>
                </w:r>
                <w:r>
                  <w:rPr>
                    <w:b/>
                    <w:color w:val="808080"/>
                    <w:spacing w:val="-48"/>
                    <w:sz w:val="18"/>
                  </w:rPr>
                  <w:t> </w:t>
                </w:r>
                <w:r>
                  <w:rPr>
                    <w:b/>
                    <w:color w:val="808080"/>
                    <w:sz w:val="18"/>
                  </w:rPr>
                  <w:t>Patient</w:t>
                </w:r>
                <w:r>
                  <w:rPr>
                    <w:b/>
                    <w:color w:val="808080"/>
                    <w:spacing w:val="-3"/>
                    <w:sz w:val="18"/>
                  </w:rPr>
                  <w:t> </w:t>
                </w:r>
                <w:r>
                  <w:rPr>
                    <w:b/>
                    <w:color w:val="808080"/>
                    <w:sz w:val="18"/>
                  </w:rPr>
                  <w:t>survey,</w:t>
                </w:r>
                <w:r>
                  <w:rPr>
                    <w:b/>
                    <w:color w:val="808080"/>
                    <w:spacing w:val="-1"/>
                    <w:sz w:val="18"/>
                  </w:rPr>
                  <w:t> </w:t>
                </w:r>
                <w:r>
                  <w:rPr>
                    <w:b/>
                    <w:color w:val="808080"/>
                    <w:sz w:val="18"/>
                  </w:rPr>
                  <w:t>version</w:t>
                </w:r>
                <w:r>
                  <w:rPr>
                    <w:b/>
                    <w:color w:val="808080"/>
                    <w:spacing w:val="-1"/>
                    <w:sz w:val="18"/>
                  </w:rPr>
                  <w:t> </w:t>
                </w:r>
                <w:r>
                  <w:rPr>
                    <w:b/>
                    <w:color w:val="808080"/>
                    <w:sz w:val="18"/>
                  </w:rPr>
                  <w:t>0.5, 4</w:t>
                </w:r>
                <w:r>
                  <w:rPr>
                    <w:b/>
                    <w:color w:val="808080"/>
                    <w:spacing w:val="-1"/>
                    <w:sz w:val="18"/>
                  </w:rPr>
                  <w:t> </w:t>
                </w:r>
                <w:r>
                  <w:rPr>
                    <w:b/>
                    <w:color w:val="808080"/>
                    <w:sz w:val="18"/>
                  </w:rPr>
                  <w:t>September</w:t>
                </w:r>
                <w:r>
                  <w:rPr>
                    <w:b/>
                    <w:color w:val="808080"/>
                    <w:spacing w:val="-2"/>
                    <w:sz w:val="18"/>
                  </w:rPr>
                  <w:t> </w:t>
                </w:r>
                <w:r>
                  <w:rPr>
                    <w:b/>
                    <w:color w:val="808080"/>
                    <w:sz w:val="18"/>
                  </w:rPr>
                  <w:t>2019</w:t>
                </w:r>
              </w:p>
            </w:txbxContent>
          </v:textbox>
          <w10:wrap type="none"/>
        </v:shape>
      </w:pict>
    </w:r>
    <w:r>
      <w:rPr/>
      <w:pict>
        <v:shape style="position:absolute;margin-left:446.100006pt;margin-top:794.547241pt;width:45.45pt;height:13.05pt;mso-position-horizontal-relative:page;mso-position-vertical-relative:page;z-index:-27513344" type="#_x0000_t202" id="docshape267" filled="false" stroked="false">
          <v:textbox inset="0,0,0,0">
            <w:txbxContent>
              <w:p>
                <w:pPr>
                  <w:spacing w:before="20"/>
                  <w:ind w:left="20" w:right="0" w:firstLine="0"/>
                  <w:jc w:val="left"/>
                  <w:rPr>
                    <w:b/>
                    <w:sz w:val="18"/>
                  </w:rPr>
                </w:pPr>
                <w:r>
                  <w:rPr>
                    <w:b/>
                    <w:color w:val="7E7E7E"/>
                    <w:sz w:val="18"/>
                  </w:rPr>
                  <w:t>Page </w:t>
                </w:r>
                <w:r>
                  <w:rPr/>
                  <w:fldChar w:fldCharType="begin"/>
                </w:r>
                <w:r>
                  <w:rPr>
                    <w:b/>
                    <w:color w:val="7E7E7E"/>
                    <w:sz w:val="18"/>
                  </w:rPr>
                  <w:instrText> PAGE </w:instrText>
                </w:r>
                <w:r>
                  <w:rPr/>
                  <w:fldChar w:fldCharType="separate"/>
                </w:r>
                <w:r>
                  <w:rPr/>
                  <w:t>161</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024002pt;margin-top:783.507263pt;width:322.2pt;height:24.1pt;mso-position-horizontal-relative:page;mso-position-vertical-relative:page;z-index:-27512832" type="#_x0000_t202" id="docshape326" filled="false" stroked="false">
          <v:textbox inset="0,0,0,0">
            <w:txbxContent>
              <w:p>
                <w:pPr>
                  <w:spacing w:before="20"/>
                  <w:ind w:left="20" w:right="0" w:firstLine="0"/>
                  <w:jc w:val="left"/>
                  <w:rPr>
                    <w:b/>
                    <w:sz w:val="18"/>
                  </w:rPr>
                </w:pPr>
                <w:r>
                  <w:rPr>
                    <w:b/>
                    <w:color w:val="808080"/>
                    <w:sz w:val="18"/>
                  </w:rPr>
                  <w:t>Evaluation</w:t>
                </w:r>
                <w:r>
                  <w:rPr>
                    <w:b/>
                    <w:color w:val="808080"/>
                    <w:spacing w:val="-2"/>
                    <w:sz w:val="18"/>
                  </w:rPr>
                  <w:t> </w:t>
                </w:r>
                <w:r>
                  <w:rPr>
                    <w:b/>
                    <w:color w:val="808080"/>
                    <w:sz w:val="18"/>
                  </w:rPr>
                  <w:t>of</w:t>
                </w:r>
                <w:r>
                  <w:rPr>
                    <w:b/>
                    <w:color w:val="808080"/>
                    <w:spacing w:val="-3"/>
                    <w:sz w:val="18"/>
                  </w:rPr>
                  <w:t> </w:t>
                </w:r>
                <w:r>
                  <w:rPr>
                    <w:b/>
                    <w:color w:val="808080"/>
                    <w:sz w:val="18"/>
                  </w:rPr>
                  <w:t>the</w:t>
                </w:r>
                <w:r>
                  <w:rPr>
                    <w:b/>
                    <w:color w:val="808080"/>
                    <w:spacing w:val="-1"/>
                    <w:sz w:val="18"/>
                  </w:rPr>
                  <w:t> </w:t>
                </w:r>
                <w:r>
                  <w:rPr>
                    <w:b/>
                    <w:color w:val="808080"/>
                    <w:sz w:val="18"/>
                  </w:rPr>
                  <w:t>Health</w:t>
                </w:r>
                <w:r>
                  <w:rPr>
                    <w:b/>
                    <w:color w:val="808080"/>
                    <w:spacing w:val="-2"/>
                    <w:sz w:val="18"/>
                  </w:rPr>
                  <w:t> </w:t>
                </w:r>
                <w:r>
                  <w:rPr>
                    <w:b/>
                    <w:color w:val="808080"/>
                    <w:sz w:val="18"/>
                  </w:rPr>
                  <w:t>Care</w:t>
                </w:r>
                <w:r>
                  <w:rPr>
                    <w:b/>
                    <w:color w:val="808080"/>
                    <w:spacing w:val="-1"/>
                    <w:sz w:val="18"/>
                  </w:rPr>
                  <w:t> </w:t>
                </w:r>
                <w:r>
                  <w:rPr>
                    <w:b/>
                    <w:color w:val="808080"/>
                    <w:sz w:val="18"/>
                  </w:rPr>
                  <w:t>Homes</w:t>
                </w:r>
                <w:r>
                  <w:rPr>
                    <w:b/>
                    <w:color w:val="808080"/>
                    <w:spacing w:val="-3"/>
                    <w:sz w:val="18"/>
                  </w:rPr>
                  <w:t> </w:t>
                </w:r>
                <w:r>
                  <w:rPr>
                    <w:b/>
                    <w:color w:val="808080"/>
                    <w:sz w:val="18"/>
                  </w:rPr>
                  <w:t>(HCH)</w:t>
                </w:r>
                <w:r>
                  <w:rPr>
                    <w:b/>
                    <w:color w:val="808080"/>
                    <w:spacing w:val="-4"/>
                    <w:sz w:val="18"/>
                  </w:rPr>
                  <w:t> </w:t>
                </w:r>
                <w:r>
                  <w:rPr>
                    <w:b/>
                    <w:color w:val="808080"/>
                    <w:sz w:val="18"/>
                  </w:rPr>
                  <w:t>program</w:t>
                </w:r>
              </w:p>
              <w:p>
                <w:pPr>
                  <w:spacing w:before="0"/>
                  <w:ind w:left="20" w:right="0" w:firstLine="0"/>
                  <w:jc w:val="left"/>
                  <w:rPr>
                    <w:b/>
                    <w:sz w:val="18"/>
                  </w:rPr>
                </w:pPr>
                <w:r>
                  <w:rPr>
                    <w:b/>
                    <w:color w:val="808080"/>
                    <w:sz w:val="18"/>
                  </w:rPr>
                  <w:t>Topic</w:t>
                </w:r>
                <w:r>
                  <w:rPr>
                    <w:b/>
                    <w:color w:val="808080"/>
                    <w:spacing w:val="-2"/>
                    <w:sz w:val="18"/>
                  </w:rPr>
                  <w:t> </w:t>
                </w:r>
                <w:r>
                  <w:rPr>
                    <w:b/>
                    <w:color w:val="808080"/>
                    <w:sz w:val="18"/>
                  </w:rPr>
                  <w:t>guides</w:t>
                </w:r>
                <w:r>
                  <w:rPr>
                    <w:b/>
                    <w:color w:val="808080"/>
                    <w:spacing w:val="-2"/>
                    <w:sz w:val="18"/>
                  </w:rPr>
                  <w:t> </w:t>
                </w:r>
                <w:r>
                  <w:rPr>
                    <w:b/>
                    <w:color w:val="808080"/>
                    <w:sz w:val="18"/>
                  </w:rPr>
                  <w:t>–</w:t>
                </w:r>
                <w:r>
                  <w:rPr>
                    <w:b/>
                    <w:color w:val="808080"/>
                    <w:spacing w:val="-1"/>
                    <w:sz w:val="18"/>
                  </w:rPr>
                  <w:t> </w:t>
                </w:r>
                <w:r>
                  <w:rPr>
                    <w:b/>
                    <w:color w:val="808080"/>
                    <w:sz w:val="18"/>
                  </w:rPr>
                  <w:t>interviews</w:t>
                </w:r>
                <w:r>
                  <w:rPr>
                    <w:b/>
                    <w:color w:val="808080"/>
                    <w:spacing w:val="-4"/>
                    <w:sz w:val="18"/>
                  </w:rPr>
                  <w:t> </w:t>
                </w:r>
                <w:r>
                  <w:rPr>
                    <w:b/>
                    <w:color w:val="808080"/>
                    <w:sz w:val="18"/>
                  </w:rPr>
                  <w:t>and</w:t>
                </w:r>
                <w:r>
                  <w:rPr>
                    <w:b/>
                    <w:color w:val="808080"/>
                    <w:spacing w:val="-1"/>
                    <w:sz w:val="18"/>
                  </w:rPr>
                  <w:t> </w:t>
                </w:r>
                <w:r>
                  <w:rPr>
                    <w:b/>
                    <w:color w:val="808080"/>
                    <w:sz w:val="18"/>
                  </w:rPr>
                  <w:t>focus</w:t>
                </w:r>
                <w:r>
                  <w:rPr>
                    <w:b/>
                    <w:color w:val="808080"/>
                    <w:spacing w:val="-2"/>
                    <w:sz w:val="18"/>
                  </w:rPr>
                  <w:t> </w:t>
                </w:r>
                <w:r>
                  <w:rPr>
                    <w:b/>
                    <w:color w:val="808080"/>
                    <w:sz w:val="18"/>
                  </w:rPr>
                  <w:t>groups,</w:t>
                </w:r>
                <w:r>
                  <w:rPr>
                    <w:b/>
                    <w:color w:val="808080"/>
                    <w:spacing w:val="-2"/>
                    <w:sz w:val="18"/>
                  </w:rPr>
                  <w:t> </w:t>
                </w:r>
                <w:r>
                  <w:rPr>
                    <w:b/>
                    <w:color w:val="808080"/>
                    <w:sz w:val="18"/>
                  </w:rPr>
                  <w:t>version</w:t>
                </w:r>
                <w:r>
                  <w:rPr>
                    <w:b/>
                    <w:color w:val="808080"/>
                    <w:spacing w:val="-2"/>
                    <w:sz w:val="18"/>
                  </w:rPr>
                  <w:t> </w:t>
                </w:r>
                <w:r>
                  <w:rPr>
                    <w:b/>
                    <w:color w:val="808080"/>
                    <w:sz w:val="18"/>
                  </w:rPr>
                  <w:t>0.3,</w:t>
                </w:r>
                <w:r>
                  <w:rPr>
                    <w:b/>
                    <w:color w:val="808080"/>
                    <w:spacing w:val="-6"/>
                    <w:sz w:val="18"/>
                  </w:rPr>
                  <w:t> </w:t>
                </w:r>
                <w:r>
                  <w:rPr>
                    <w:b/>
                    <w:color w:val="808080"/>
                    <w:sz w:val="18"/>
                  </w:rPr>
                  <w:t>4</w:t>
                </w:r>
                <w:r>
                  <w:rPr>
                    <w:b/>
                    <w:color w:val="808080"/>
                    <w:spacing w:val="-2"/>
                    <w:sz w:val="18"/>
                  </w:rPr>
                  <w:t> </w:t>
                </w:r>
                <w:r>
                  <w:rPr>
                    <w:b/>
                    <w:color w:val="808080"/>
                    <w:sz w:val="18"/>
                  </w:rPr>
                  <w:t>September</w:t>
                </w:r>
                <w:r>
                  <w:rPr>
                    <w:b/>
                    <w:color w:val="808080"/>
                    <w:spacing w:val="-3"/>
                    <w:sz w:val="18"/>
                  </w:rPr>
                  <w:t> </w:t>
                </w:r>
                <w:r>
                  <w:rPr>
                    <w:b/>
                    <w:color w:val="808080"/>
                    <w:sz w:val="18"/>
                  </w:rPr>
                  <w:t>2016</w:t>
                </w:r>
              </w:p>
            </w:txbxContent>
          </v:textbox>
          <w10:wrap type="none"/>
        </v:shape>
      </w:pict>
    </w:r>
    <w:r>
      <w:rPr/>
      <w:pict>
        <v:shape style="position:absolute;margin-left:482.100006pt;margin-top:794.547241pt;width:45.45pt;height:13.05pt;mso-position-horizontal-relative:page;mso-position-vertical-relative:page;z-index:-27512320" type="#_x0000_t202" id="docshape327" filled="false" stroked="false">
          <v:textbox inset="0,0,0,0">
            <w:txbxContent>
              <w:p>
                <w:pPr>
                  <w:spacing w:before="20"/>
                  <w:ind w:left="20" w:right="0" w:firstLine="0"/>
                  <w:jc w:val="left"/>
                  <w:rPr>
                    <w:b/>
                    <w:sz w:val="18"/>
                  </w:rPr>
                </w:pPr>
                <w:r>
                  <w:rPr>
                    <w:b/>
                    <w:color w:val="7E7E7E"/>
                    <w:sz w:val="18"/>
                  </w:rPr>
                  <w:t>Page </w:t>
                </w:r>
                <w:r>
                  <w:rPr/>
                  <w:fldChar w:fldCharType="begin"/>
                </w:r>
                <w:r>
                  <w:rPr>
                    <w:b/>
                    <w:color w:val="7E7E7E"/>
                    <w:sz w:val="18"/>
                  </w:rPr>
                  <w:instrText> PAGE </w:instrText>
                </w:r>
                <w:r>
                  <w:rPr/>
                  <w:fldChar w:fldCharType="separate"/>
                </w:r>
                <w:r>
                  <w:rPr/>
                  <w:t>177</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024002pt;margin-top:794.547241pt;width:202.15pt;height:13.05pt;mso-position-horizontal-relative:page;mso-position-vertical-relative:page;z-index:-27551744" type="#_x0000_t202" id="docshape23" filled="false" stroked="false">
          <v:textbox inset="0,0,0,0">
            <w:txbxContent>
              <w:p>
                <w:pPr>
                  <w:spacing w:before="20"/>
                  <w:ind w:left="20" w:right="0" w:firstLine="0"/>
                  <w:jc w:val="left"/>
                  <w:rPr>
                    <w:b/>
                    <w:sz w:val="18"/>
                  </w:rPr>
                </w:pPr>
                <w:r>
                  <w:rPr>
                    <w:b/>
                    <w:color w:val="7E7E7E"/>
                    <w:sz w:val="18"/>
                  </w:rPr>
                  <w:t>Evaluation</w:t>
                </w:r>
                <w:r>
                  <w:rPr>
                    <w:b/>
                    <w:color w:val="7E7E7E"/>
                    <w:spacing w:val="-2"/>
                    <w:sz w:val="18"/>
                  </w:rPr>
                  <w:t> </w:t>
                </w:r>
                <w:r>
                  <w:rPr>
                    <w:b/>
                    <w:color w:val="7E7E7E"/>
                    <w:sz w:val="18"/>
                  </w:rPr>
                  <w:t>of</w:t>
                </w:r>
                <w:r>
                  <w:rPr>
                    <w:b/>
                    <w:color w:val="7E7E7E"/>
                    <w:spacing w:val="-2"/>
                    <w:sz w:val="18"/>
                  </w:rPr>
                  <w:t> </w:t>
                </w:r>
                <w:r>
                  <w:rPr>
                    <w:b/>
                    <w:color w:val="7E7E7E"/>
                    <w:sz w:val="18"/>
                  </w:rPr>
                  <w:t>the</w:t>
                </w:r>
                <w:r>
                  <w:rPr>
                    <w:b/>
                    <w:color w:val="7E7E7E"/>
                    <w:spacing w:val="-2"/>
                    <w:sz w:val="18"/>
                  </w:rPr>
                  <w:t> </w:t>
                </w:r>
                <w:r>
                  <w:rPr>
                    <w:b/>
                    <w:color w:val="7E7E7E"/>
                    <w:sz w:val="18"/>
                  </w:rPr>
                  <w:t>Health</w:t>
                </w:r>
                <w:r>
                  <w:rPr>
                    <w:b/>
                    <w:color w:val="7E7E7E"/>
                    <w:spacing w:val="-1"/>
                    <w:sz w:val="18"/>
                  </w:rPr>
                  <w:t> </w:t>
                </w:r>
                <w:r>
                  <w:rPr>
                    <w:b/>
                    <w:color w:val="7E7E7E"/>
                    <w:sz w:val="18"/>
                  </w:rPr>
                  <w:t>Care</w:t>
                </w:r>
                <w:r>
                  <w:rPr>
                    <w:b/>
                    <w:color w:val="7E7E7E"/>
                    <w:spacing w:val="-2"/>
                    <w:sz w:val="18"/>
                  </w:rPr>
                  <w:t> </w:t>
                </w:r>
                <w:r>
                  <w:rPr>
                    <w:b/>
                    <w:color w:val="7E7E7E"/>
                    <w:sz w:val="18"/>
                  </w:rPr>
                  <w:t>Homes</w:t>
                </w:r>
                <w:r>
                  <w:rPr>
                    <w:b/>
                    <w:color w:val="7E7E7E"/>
                    <w:spacing w:val="-1"/>
                    <w:sz w:val="18"/>
                  </w:rPr>
                  <w:t> </w:t>
                </w:r>
                <w:r>
                  <w:rPr>
                    <w:b/>
                    <w:color w:val="7E7E7E"/>
                    <w:sz w:val="18"/>
                  </w:rPr>
                  <w:t>program</w:t>
                </w:r>
              </w:p>
            </w:txbxContent>
          </v:textbox>
          <w10:wrap type="none"/>
        </v:shape>
      </w:pict>
    </w:r>
    <w:r>
      <w:rPr/>
      <w:pict>
        <v:shape style="position:absolute;margin-left:487.140015pt;margin-top:794.547241pt;width:37.4pt;height:13.05pt;mso-position-horizontal-relative:page;mso-position-vertical-relative:page;z-index:-27551232" type="#_x0000_t202" id="docshape24" filled="false" stroked="false">
          <v:textbox inset="0,0,0,0">
            <w:txbxContent>
              <w:p>
                <w:pPr>
                  <w:spacing w:before="20"/>
                  <w:ind w:left="20" w:right="0" w:firstLine="0"/>
                  <w:jc w:val="left"/>
                  <w:rPr>
                    <w:b/>
                    <w:sz w:val="18"/>
                  </w:rPr>
                </w:pPr>
                <w:r>
                  <w:rPr>
                    <w:b/>
                    <w:color w:val="7E7E7E"/>
                    <w:sz w:val="18"/>
                  </w:rPr>
                  <w:t>Page</w:t>
                </w:r>
                <w:r>
                  <w:rPr>
                    <w:b/>
                    <w:color w:val="7E7E7E"/>
                    <w:spacing w:val="-1"/>
                    <w:sz w:val="18"/>
                  </w:rPr>
                  <w:t> </w:t>
                </w:r>
                <w:r>
                  <w:rPr>
                    <w:b/>
                    <w:color w:val="7E7E7E"/>
                    <w:sz w:val="18"/>
                  </w:rPr>
                  <w:t>12</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84pt;margin-top:794.039917pt;width:454.27pt;height:.48004pt;mso-position-horizontal-relative:page;mso-position-vertical-relative:page;z-index:-27511808" id="docshape328" filled="true" fillcolor="#d9d9d9" stroked="false">
          <v:fill type="solid"/>
          <w10:wrap type="none"/>
        </v:rect>
      </w:pict>
    </w:r>
    <w:r>
      <w:rPr/>
      <w:pict>
        <v:shape style="position:absolute;margin-left:71.024002pt;margin-top:794.427246pt;width:202.15pt;height:13.05pt;mso-position-horizontal-relative:page;mso-position-vertical-relative:page;z-index:-27511296" type="#_x0000_t202" id="docshape329" filled="false" stroked="false">
          <v:textbox inset="0,0,0,0">
            <w:txbxContent>
              <w:p>
                <w:pPr>
                  <w:spacing w:before="20"/>
                  <w:ind w:left="20" w:right="0" w:firstLine="0"/>
                  <w:jc w:val="left"/>
                  <w:rPr>
                    <w:b/>
                    <w:sz w:val="18"/>
                  </w:rPr>
                </w:pPr>
                <w:r>
                  <w:rPr>
                    <w:b/>
                    <w:color w:val="7E7E7E"/>
                    <w:sz w:val="18"/>
                  </w:rPr>
                  <w:t>Evaluation</w:t>
                </w:r>
                <w:r>
                  <w:rPr>
                    <w:b/>
                    <w:color w:val="7E7E7E"/>
                    <w:spacing w:val="-2"/>
                    <w:sz w:val="18"/>
                  </w:rPr>
                  <w:t> </w:t>
                </w:r>
                <w:r>
                  <w:rPr>
                    <w:b/>
                    <w:color w:val="7E7E7E"/>
                    <w:sz w:val="18"/>
                  </w:rPr>
                  <w:t>of</w:t>
                </w:r>
                <w:r>
                  <w:rPr>
                    <w:b/>
                    <w:color w:val="7E7E7E"/>
                    <w:spacing w:val="-2"/>
                    <w:sz w:val="18"/>
                  </w:rPr>
                  <w:t> </w:t>
                </w:r>
                <w:r>
                  <w:rPr>
                    <w:b/>
                    <w:color w:val="7E7E7E"/>
                    <w:sz w:val="18"/>
                  </w:rPr>
                  <w:t>the</w:t>
                </w:r>
                <w:r>
                  <w:rPr>
                    <w:b/>
                    <w:color w:val="7E7E7E"/>
                    <w:spacing w:val="-2"/>
                    <w:sz w:val="18"/>
                  </w:rPr>
                  <w:t> </w:t>
                </w:r>
                <w:r>
                  <w:rPr>
                    <w:b/>
                    <w:color w:val="7E7E7E"/>
                    <w:sz w:val="18"/>
                  </w:rPr>
                  <w:t>Health</w:t>
                </w:r>
                <w:r>
                  <w:rPr>
                    <w:b/>
                    <w:color w:val="7E7E7E"/>
                    <w:spacing w:val="-1"/>
                    <w:sz w:val="18"/>
                  </w:rPr>
                  <w:t> </w:t>
                </w:r>
                <w:r>
                  <w:rPr>
                    <w:b/>
                    <w:color w:val="7E7E7E"/>
                    <w:sz w:val="18"/>
                  </w:rPr>
                  <w:t>Care</w:t>
                </w:r>
                <w:r>
                  <w:rPr>
                    <w:b/>
                    <w:color w:val="7E7E7E"/>
                    <w:spacing w:val="-2"/>
                    <w:sz w:val="18"/>
                  </w:rPr>
                  <w:t> </w:t>
                </w:r>
                <w:r>
                  <w:rPr>
                    <w:b/>
                    <w:color w:val="7E7E7E"/>
                    <w:sz w:val="18"/>
                  </w:rPr>
                  <w:t>Homes</w:t>
                </w:r>
                <w:r>
                  <w:rPr>
                    <w:b/>
                    <w:color w:val="7E7E7E"/>
                    <w:spacing w:val="-1"/>
                    <w:sz w:val="18"/>
                  </w:rPr>
                  <w:t> </w:t>
                </w:r>
                <w:r>
                  <w:rPr>
                    <w:b/>
                    <w:color w:val="7E7E7E"/>
                    <w:sz w:val="18"/>
                  </w:rPr>
                  <w:t>program</w:t>
                </w:r>
              </w:p>
            </w:txbxContent>
          </v:textbox>
          <w10:wrap type="none"/>
        </v:shape>
      </w:pict>
    </w:r>
    <w:r>
      <w:rPr/>
      <w:pict>
        <v:shape style="position:absolute;margin-left:482.100006pt;margin-top:794.427246pt;width:45.45pt;height:13.05pt;mso-position-horizontal-relative:page;mso-position-vertical-relative:page;z-index:-27510784" type="#_x0000_t202" id="docshape330" filled="false" stroked="false">
          <v:textbox inset="0,0,0,0">
            <w:txbxContent>
              <w:p>
                <w:pPr>
                  <w:spacing w:before="20"/>
                  <w:ind w:left="20" w:right="0" w:firstLine="0"/>
                  <w:jc w:val="left"/>
                  <w:rPr>
                    <w:b/>
                    <w:sz w:val="18"/>
                  </w:rPr>
                </w:pPr>
                <w:r>
                  <w:rPr>
                    <w:b/>
                    <w:color w:val="7E7E7E"/>
                    <w:sz w:val="18"/>
                  </w:rPr>
                  <w:t>Page </w:t>
                </w:r>
                <w:r>
                  <w:rPr/>
                  <w:fldChar w:fldCharType="begin"/>
                </w:r>
                <w:r>
                  <w:rPr>
                    <w:b/>
                    <w:color w:val="7E7E7E"/>
                    <w:sz w:val="18"/>
                  </w:rPr>
                  <w:instrText> PAGE </w:instrText>
                </w:r>
                <w:r>
                  <w:rPr/>
                  <w:fldChar w:fldCharType="separate"/>
                </w:r>
                <w:r>
                  <w:rPr/>
                  <w:t>191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547.536011pt;width:700.92pt;height:.47998pt;mso-position-horizontal-relative:page;mso-position-vertical-relative:page;z-index:-27550720" id="docshape26" filled="true" fillcolor="#d9d9d9" stroked="false">
          <v:fill type="solid"/>
          <w10:wrap type="none"/>
        </v:rect>
      </w:pict>
    </w:r>
    <w:r>
      <w:rPr/>
      <w:pict>
        <v:shape style="position:absolute;margin-left:71pt;margin-top:547.923279pt;width:202.15pt;height:13.05pt;mso-position-horizontal-relative:page;mso-position-vertical-relative:page;z-index:-27550208" type="#_x0000_t202" id="docshape27" filled="false" stroked="false">
          <v:textbox inset="0,0,0,0">
            <w:txbxContent>
              <w:p>
                <w:pPr>
                  <w:spacing w:before="20"/>
                  <w:ind w:left="20" w:right="0" w:firstLine="0"/>
                  <w:jc w:val="left"/>
                  <w:rPr>
                    <w:b/>
                    <w:sz w:val="18"/>
                  </w:rPr>
                </w:pPr>
                <w:r>
                  <w:rPr>
                    <w:b/>
                    <w:color w:val="7E7E7E"/>
                    <w:sz w:val="18"/>
                  </w:rPr>
                  <w:t>Evaluation</w:t>
                </w:r>
                <w:r>
                  <w:rPr>
                    <w:b/>
                    <w:color w:val="7E7E7E"/>
                    <w:spacing w:val="-2"/>
                    <w:sz w:val="18"/>
                  </w:rPr>
                  <w:t> </w:t>
                </w:r>
                <w:r>
                  <w:rPr>
                    <w:b/>
                    <w:color w:val="7E7E7E"/>
                    <w:sz w:val="18"/>
                  </w:rPr>
                  <w:t>of</w:t>
                </w:r>
                <w:r>
                  <w:rPr>
                    <w:b/>
                    <w:color w:val="7E7E7E"/>
                    <w:spacing w:val="-2"/>
                    <w:sz w:val="18"/>
                  </w:rPr>
                  <w:t> </w:t>
                </w:r>
                <w:r>
                  <w:rPr>
                    <w:b/>
                    <w:color w:val="7E7E7E"/>
                    <w:sz w:val="18"/>
                  </w:rPr>
                  <w:t>the</w:t>
                </w:r>
                <w:r>
                  <w:rPr>
                    <w:b/>
                    <w:color w:val="7E7E7E"/>
                    <w:spacing w:val="-2"/>
                    <w:sz w:val="18"/>
                  </w:rPr>
                  <w:t> </w:t>
                </w:r>
                <w:r>
                  <w:rPr>
                    <w:b/>
                    <w:color w:val="7E7E7E"/>
                    <w:sz w:val="18"/>
                  </w:rPr>
                  <w:t>Health</w:t>
                </w:r>
                <w:r>
                  <w:rPr>
                    <w:b/>
                    <w:color w:val="7E7E7E"/>
                    <w:spacing w:val="-1"/>
                    <w:sz w:val="18"/>
                  </w:rPr>
                  <w:t> </w:t>
                </w:r>
                <w:r>
                  <w:rPr>
                    <w:b/>
                    <w:color w:val="7E7E7E"/>
                    <w:sz w:val="18"/>
                  </w:rPr>
                  <w:t>Care</w:t>
                </w:r>
                <w:r>
                  <w:rPr>
                    <w:b/>
                    <w:color w:val="7E7E7E"/>
                    <w:spacing w:val="-2"/>
                    <w:sz w:val="18"/>
                  </w:rPr>
                  <w:t> </w:t>
                </w:r>
                <w:r>
                  <w:rPr>
                    <w:b/>
                    <w:color w:val="7E7E7E"/>
                    <w:sz w:val="18"/>
                  </w:rPr>
                  <w:t>Homes</w:t>
                </w:r>
                <w:r>
                  <w:rPr>
                    <w:b/>
                    <w:color w:val="7E7E7E"/>
                    <w:spacing w:val="-1"/>
                    <w:sz w:val="18"/>
                  </w:rPr>
                  <w:t> </w:t>
                </w:r>
                <w:r>
                  <w:rPr>
                    <w:b/>
                    <w:color w:val="7E7E7E"/>
                    <w:sz w:val="18"/>
                  </w:rPr>
                  <w:t>program</w:t>
                </w:r>
              </w:p>
            </w:txbxContent>
          </v:textbox>
          <w10:wrap type="none"/>
        </v:shape>
      </w:pict>
    </w:r>
    <w:r>
      <w:rPr/>
      <w:pict>
        <v:shape style="position:absolute;margin-left:730.380005pt;margin-top:547.923279pt;width:40.450pt;height:13.05pt;mso-position-horizontal-relative:page;mso-position-vertical-relative:page;z-index:-27549696" type="#_x0000_t202" id="docshape28" filled="false" stroked="false">
          <v:textbox inset="0,0,0,0">
            <w:txbxContent>
              <w:p>
                <w:pPr>
                  <w:spacing w:before="20"/>
                  <w:ind w:left="20" w:right="0" w:firstLine="0"/>
                  <w:jc w:val="left"/>
                  <w:rPr>
                    <w:b/>
                    <w:sz w:val="18"/>
                  </w:rPr>
                </w:pPr>
                <w:r>
                  <w:rPr>
                    <w:b/>
                    <w:color w:val="7E7E7E"/>
                    <w:sz w:val="18"/>
                  </w:rPr>
                  <w:t>Page </w:t>
                </w:r>
                <w:r>
                  <w:rPr/>
                  <w:fldChar w:fldCharType="begin"/>
                </w:r>
                <w:r>
                  <w:rPr>
                    <w:b/>
                    <w:color w:val="7E7E7E"/>
                    <w:sz w:val="18"/>
                  </w:rPr>
                  <w:instrText> PAGE </w:instrText>
                </w:r>
                <w:r>
                  <w:rPr/>
                  <w:fldChar w:fldCharType="separate"/>
                </w:r>
                <w:r>
                  <w:rPr/>
                  <w:t>13</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84pt;margin-top:794.159973pt;width:454.27pt;height:.47998pt;mso-position-horizontal-relative:page;mso-position-vertical-relative:page;z-index:-27549184" id="docshape29" filled="true" fillcolor="#d9d9d9" stroked="false">
          <v:fill type="solid"/>
          <w10:wrap type="none"/>
        </v:rect>
      </w:pict>
    </w:r>
    <w:r>
      <w:rPr/>
      <w:pict>
        <v:shape style="position:absolute;margin-left:71.024002pt;margin-top:794.547241pt;width:202.15pt;height:13.05pt;mso-position-horizontal-relative:page;mso-position-vertical-relative:page;z-index:-27548672" type="#_x0000_t202" id="docshape30" filled="false" stroked="false">
          <v:textbox inset="0,0,0,0">
            <w:txbxContent>
              <w:p>
                <w:pPr>
                  <w:spacing w:before="20"/>
                  <w:ind w:left="20" w:right="0" w:firstLine="0"/>
                  <w:jc w:val="left"/>
                  <w:rPr>
                    <w:b/>
                    <w:sz w:val="18"/>
                  </w:rPr>
                </w:pPr>
                <w:r>
                  <w:rPr>
                    <w:b/>
                    <w:color w:val="7E7E7E"/>
                    <w:sz w:val="18"/>
                  </w:rPr>
                  <w:t>Evaluation</w:t>
                </w:r>
                <w:r>
                  <w:rPr>
                    <w:b/>
                    <w:color w:val="7E7E7E"/>
                    <w:spacing w:val="-2"/>
                    <w:sz w:val="18"/>
                  </w:rPr>
                  <w:t> </w:t>
                </w:r>
                <w:r>
                  <w:rPr>
                    <w:b/>
                    <w:color w:val="7E7E7E"/>
                    <w:sz w:val="18"/>
                  </w:rPr>
                  <w:t>of</w:t>
                </w:r>
                <w:r>
                  <w:rPr>
                    <w:b/>
                    <w:color w:val="7E7E7E"/>
                    <w:spacing w:val="-2"/>
                    <w:sz w:val="18"/>
                  </w:rPr>
                  <w:t> </w:t>
                </w:r>
                <w:r>
                  <w:rPr>
                    <w:b/>
                    <w:color w:val="7E7E7E"/>
                    <w:sz w:val="18"/>
                  </w:rPr>
                  <w:t>the</w:t>
                </w:r>
                <w:r>
                  <w:rPr>
                    <w:b/>
                    <w:color w:val="7E7E7E"/>
                    <w:spacing w:val="-2"/>
                    <w:sz w:val="18"/>
                  </w:rPr>
                  <w:t> </w:t>
                </w:r>
                <w:r>
                  <w:rPr>
                    <w:b/>
                    <w:color w:val="7E7E7E"/>
                    <w:sz w:val="18"/>
                  </w:rPr>
                  <w:t>Health</w:t>
                </w:r>
                <w:r>
                  <w:rPr>
                    <w:b/>
                    <w:color w:val="7E7E7E"/>
                    <w:spacing w:val="-1"/>
                    <w:sz w:val="18"/>
                  </w:rPr>
                  <w:t> </w:t>
                </w:r>
                <w:r>
                  <w:rPr>
                    <w:b/>
                    <w:color w:val="7E7E7E"/>
                    <w:sz w:val="18"/>
                  </w:rPr>
                  <w:t>Care</w:t>
                </w:r>
                <w:r>
                  <w:rPr>
                    <w:b/>
                    <w:color w:val="7E7E7E"/>
                    <w:spacing w:val="-2"/>
                    <w:sz w:val="18"/>
                  </w:rPr>
                  <w:t> </w:t>
                </w:r>
                <w:r>
                  <w:rPr>
                    <w:b/>
                    <w:color w:val="7E7E7E"/>
                    <w:sz w:val="18"/>
                  </w:rPr>
                  <w:t>Homes</w:t>
                </w:r>
                <w:r>
                  <w:rPr>
                    <w:b/>
                    <w:color w:val="7E7E7E"/>
                    <w:spacing w:val="-1"/>
                    <w:sz w:val="18"/>
                  </w:rPr>
                  <w:t> </w:t>
                </w:r>
                <w:r>
                  <w:rPr>
                    <w:b/>
                    <w:color w:val="7E7E7E"/>
                    <w:sz w:val="18"/>
                  </w:rPr>
                  <w:t>program</w:t>
                </w:r>
              </w:p>
            </w:txbxContent>
          </v:textbox>
          <w10:wrap type="none"/>
        </v:shape>
      </w:pict>
    </w:r>
    <w:r>
      <w:rPr/>
      <w:pict>
        <v:shape style="position:absolute;margin-left:487.140015pt;margin-top:794.547241pt;width:40.4pt;height:13.05pt;mso-position-horizontal-relative:page;mso-position-vertical-relative:page;z-index:-27548160" type="#_x0000_t202" id="docshape31" filled="false" stroked="false">
          <v:textbox inset="0,0,0,0">
            <w:txbxContent>
              <w:p>
                <w:pPr>
                  <w:spacing w:before="20"/>
                  <w:ind w:left="20" w:right="0" w:firstLine="0"/>
                  <w:jc w:val="left"/>
                  <w:rPr>
                    <w:b/>
                    <w:sz w:val="18"/>
                  </w:rPr>
                </w:pPr>
                <w:r>
                  <w:rPr>
                    <w:b/>
                    <w:color w:val="7E7E7E"/>
                    <w:sz w:val="18"/>
                  </w:rPr>
                  <w:t>Page </w:t>
                </w:r>
                <w:r>
                  <w:rPr/>
                  <w:fldChar w:fldCharType="begin"/>
                </w:r>
                <w:r>
                  <w:rPr>
                    <w:b/>
                    <w:color w:val="7E7E7E"/>
                    <w:sz w:val="18"/>
                  </w:rPr>
                  <w:instrText> PAGE </w:instrText>
                </w:r>
                <w:r>
                  <w:rPr/>
                  <w:fldChar w:fldCharType="separate"/>
                </w:r>
                <w:r>
                  <w:rPr/>
                  <w:t>16</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547.923279pt;width:202.15pt;height:13.05pt;mso-position-horizontal-relative:page;mso-position-vertical-relative:page;z-index:-27547648" type="#_x0000_t202" id="docshape38" filled="false" stroked="false">
          <v:textbox inset="0,0,0,0">
            <w:txbxContent>
              <w:p>
                <w:pPr>
                  <w:spacing w:before="20"/>
                  <w:ind w:left="20" w:right="0" w:firstLine="0"/>
                  <w:jc w:val="left"/>
                  <w:rPr>
                    <w:b/>
                    <w:sz w:val="18"/>
                  </w:rPr>
                </w:pPr>
                <w:r>
                  <w:rPr>
                    <w:b/>
                    <w:color w:val="7E7E7E"/>
                    <w:sz w:val="18"/>
                  </w:rPr>
                  <w:t>Evaluation</w:t>
                </w:r>
                <w:r>
                  <w:rPr>
                    <w:b/>
                    <w:color w:val="7E7E7E"/>
                    <w:spacing w:val="-2"/>
                    <w:sz w:val="18"/>
                  </w:rPr>
                  <w:t> </w:t>
                </w:r>
                <w:r>
                  <w:rPr>
                    <w:b/>
                    <w:color w:val="7E7E7E"/>
                    <w:sz w:val="18"/>
                  </w:rPr>
                  <w:t>of</w:t>
                </w:r>
                <w:r>
                  <w:rPr>
                    <w:b/>
                    <w:color w:val="7E7E7E"/>
                    <w:spacing w:val="-2"/>
                    <w:sz w:val="18"/>
                  </w:rPr>
                  <w:t> </w:t>
                </w:r>
                <w:r>
                  <w:rPr>
                    <w:b/>
                    <w:color w:val="7E7E7E"/>
                    <w:sz w:val="18"/>
                  </w:rPr>
                  <w:t>the</w:t>
                </w:r>
                <w:r>
                  <w:rPr>
                    <w:b/>
                    <w:color w:val="7E7E7E"/>
                    <w:spacing w:val="-2"/>
                    <w:sz w:val="18"/>
                  </w:rPr>
                  <w:t> </w:t>
                </w:r>
                <w:r>
                  <w:rPr>
                    <w:b/>
                    <w:color w:val="7E7E7E"/>
                    <w:sz w:val="18"/>
                  </w:rPr>
                  <w:t>Health</w:t>
                </w:r>
                <w:r>
                  <w:rPr>
                    <w:b/>
                    <w:color w:val="7E7E7E"/>
                    <w:spacing w:val="-1"/>
                    <w:sz w:val="18"/>
                  </w:rPr>
                  <w:t> </w:t>
                </w:r>
                <w:r>
                  <w:rPr>
                    <w:b/>
                    <w:color w:val="7E7E7E"/>
                    <w:sz w:val="18"/>
                  </w:rPr>
                  <w:t>Care</w:t>
                </w:r>
                <w:r>
                  <w:rPr>
                    <w:b/>
                    <w:color w:val="7E7E7E"/>
                    <w:spacing w:val="-2"/>
                    <w:sz w:val="18"/>
                  </w:rPr>
                  <w:t> </w:t>
                </w:r>
                <w:r>
                  <w:rPr>
                    <w:b/>
                    <w:color w:val="7E7E7E"/>
                    <w:sz w:val="18"/>
                  </w:rPr>
                  <w:t>Homes</w:t>
                </w:r>
                <w:r>
                  <w:rPr>
                    <w:b/>
                    <w:color w:val="7E7E7E"/>
                    <w:spacing w:val="-1"/>
                    <w:sz w:val="18"/>
                  </w:rPr>
                  <w:t> </w:t>
                </w:r>
                <w:r>
                  <w:rPr>
                    <w:b/>
                    <w:color w:val="7E7E7E"/>
                    <w:sz w:val="18"/>
                  </w:rPr>
                  <w:t>program</w:t>
                </w:r>
              </w:p>
            </w:txbxContent>
          </v:textbox>
          <w10:wrap type="none"/>
        </v:shape>
      </w:pict>
    </w:r>
    <w:r>
      <w:rPr/>
      <w:pict>
        <v:shape style="position:absolute;margin-left:730.380005pt;margin-top:547.923279pt;width:40.450pt;height:13.05pt;mso-position-horizontal-relative:page;mso-position-vertical-relative:page;z-index:-27547136" type="#_x0000_t202" id="docshape39" filled="false" stroked="false">
          <v:textbox inset="0,0,0,0">
            <w:txbxContent>
              <w:p>
                <w:pPr>
                  <w:spacing w:before="20"/>
                  <w:ind w:left="20" w:right="0" w:firstLine="0"/>
                  <w:jc w:val="left"/>
                  <w:rPr>
                    <w:b/>
                    <w:sz w:val="18"/>
                  </w:rPr>
                </w:pPr>
                <w:r>
                  <w:rPr>
                    <w:b/>
                    <w:color w:val="7E7E7E"/>
                    <w:sz w:val="18"/>
                  </w:rPr>
                  <w:t>Page </w:t>
                </w:r>
                <w:r>
                  <w:rPr/>
                  <w:fldChar w:fldCharType="begin"/>
                </w:r>
                <w:r>
                  <w:rPr>
                    <w:b/>
                    <w:color w:val="7E7E7E"/>
                    <w:sz w:val="18"/>
                  </w:rPr>
                  <w:instrText> PAGE </w:instrText>
                </w:r>
                <w:r>
                  <w:rPr/>
                  <w:fldChar w:fldCharType="separate"/>
                </w:r>
                <w:r>
                  <w:rPr/>
                  <w:t>19</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70.559998pt;margin-top:547.536011pt;width:700.92pt;height:.47998pt;mso-position-horizontal-relative:page;mso-position-vertical-relative:page;z-index:-27546624" id="docshape41" filled="true" fillcolor="#d9d9d9" stroked="false">
          <v:fill type="solid"/>
          <w10:wrap type="none"/>
        </v:rect>
      </w:pict>
    </w:r>
    <w:r>
      <w:rPr/>
      <w:pict>
        <v:shape style="position:absolute;margin-left:71pt;margin-top:547.923279pt;width:202.15pt;height:13.05pt;mso-position-horizontal-relative:page;mso-position-vertical-relative:page;z-index:-27546112" type="#_x0000_t202" id="docshape42" filled="false" stroked="false">
          <v:textbox inset="0,0,0,0">
            <w:txbxContent>
              <w:p>
                <w:pPr>
                  <w:spacing w:before="20"/>
                  <w:ind w:left="20" w:right="0" w:firstLine="0"/>
                  <w:jc w:val="left"/>
                  <w:rPr>
                    <w:b/>
                    <w:sz w:val="18"/>
                  </w:rPr>
                </w:pPr>
                <w:r>
                  <w:rPr>
                    <w:b/>
                    <w:color w:val="7E7E7E"/>
                    <w:sz w:val="18"/>
                  </w:rPr>
                  <w:t>Evaluation</w:t>
                </w:r>
                <w:r>
                  <w:rPr>
                    <w:b/>
                    <w:color w:val="7E7E7E"/>
                    <w:spacing w:val="-2"/>
                    <w:sz w:val="18"/>
                  </w:rPr>
                  <w:t> </w:t>
                </w:r>
                <w:r>
                  <w:rPr>
                    <w:b/>
                    <w:color w:val="7E7E7E"/>
                    <w:sz w:val="18"/>
                  </w:rPr>
                  <w:t>of</w:t>
                </w:r>
                <w:r>
                  <w:rPr>
                    <w:b/>
                    <w:color w:val="7E7E7E"/>
                    <w:spacing w:val="-2"/>
                    <w:sz w:val="18"/>
                  </w:rPr>
                  <w:t> </w:t>
                </w:r>
                <w:r>
                  <w:rPr>
                    <w:b/>
                    <w:color w:val="7E7E7E"/>
                    <w:sz w:val="18"/>
                  </w:rPr>
                  <w:t>the</w:t>
                </w:r>
                <w:r>
                  <w:rPr>
                    <w:b/>
                    <w:color w:val="7E7E7E"/>
                    <w:spacing w:val="-2"/>
                    <w:sz w:val="18"/>
                  </w:rPr>
                  <w:t> </w:t>
                </w:r>
                <w:r>
                  <w:rPr>
                    <w:b/>
                    <w:color w:val="7E7E7E"/>
                    <w:sz w:val="18"/>
                  </w:rPr>
                  <w:t>Health</w:t>
                </w:r>
                <w:r>
                  <w:rPr>
                    <w:b/>
                    <w:color w:val="7E7E7E"/>
                    <w:spacing w:val="-1"/>
                    <w:sz w:val="18"/>
                  </w:rPr>
                  <w:t> </w:t>
                </w:r>
                <w:r>
                  <w:rPr>
                    <w:b/>
                    <w:color w:val="7E7E7E"/>
                    <w:sz w:val="18"/>
                  </w:rPr>
                  <w:t>Care</w:t>
                </w:r>
                <w:r>
                  <w:rPr>
                    <w:b/>
                    <w:color w:val="7E7E7E"/>
                    <w:spacing w:val="-2"/>
                    <w:sz w:val="18"/>
                  </w:rPr>
                  <w:t> </w:t>
                </w:r>
                <w:r>
                  <w:rPr>
                    <w:b/>
                    <w:color w:val="7E7E7E"/>
                    <w:sz w:val="18"/>
                  </w:rPr>
                  <w:t>Homes</w:t>
                </w:r>
                <w:r>
                  <w:rPr>
                    <w:b/>
                    <w:color w:val="7E7E7E"/>
                    <w:spacing w:val="-1"/>
                    <w:sz w:val="18"/>
                  </w:rPr>
                  <w:t> </w:t>
                </w:r>
                <w:r>
                  <w:rPr>
                    <w:b/>
                    <w:color w:val="7E7E7E"/>
                    <w:sz w:val="18"/>
                  </w:rPr>
                  <w:t>program</w:t>
                </w:r>
              </w:p>
            </w:txbxContent>
          </v:textbox>
          <w10:wrap type="none"/>
        </v:shape>
      </w:pict>
    </w:r>
    <w:r>
      <w:rPr/>
      <w:pict>
        <v:shape style="position:absolute;margin-left:730.380005pt;margin-top:547.923279pt;width:40.450pt;height:13.05pt;mso-position-horizontal-relative:page;mso-position-vertical-relative:page;z-index:-27545600" type="#_x0000_t202" id="docshape43" filled="false" stroked="false">
          <v:textbox inset="0,0,0,0">
            <w:txbxContent>
              <w:p>
                <w:pPr>
                  <w:spacing w:before="20"/>
                  <w:ind w:left="20" w:right="0" w:firstLine="0"/>
                  <w:jc w:val="left"/>
                  <w:rPr>
                    <w:b/>
                    <w:sz w:val="18"/>
                  </w:rPr>
                </w:pPr>
                <w:r>
                  <w:rPr>
                    <w:b/>
                    <w:color w:val="7E7E7E"/>
                    <w:sz w:val="18"/>
                  </w:rPr>
                  <w:t>Page </w:t>
                </w:r>
                <w:r>
                  <w:rPr/>
                  <w:fldChar w:fldCharType="begin"/>
                </w:r>
                <w:r>
                  <w:rPr>
                    <w:b/>
                    <w:color w:val="7E7E7E"/>
                    <w:sz w:val="18"/>
                  </w:rPr>
                  <w:instrText> PAGE </w:instrText>
                </w:r>
                <w:r>
                  <w:rPr/>
                  <w:fldChar w:fldCharType="separate"/>
                </w:r>
                <w:r>
                  <w:rPr/>
                  <w:t>20</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024002pt;margin-top:794.547241pt;width:202.15pt;height:13.05pt;mso-position-horizontal-relative:page;mso-position-vertical-relative:page;z-index:-27545088" type="#_x0000_t202" id="docshape44" filled="false" stroked="false">
          <v:textbox inset="0,0,0,0">
            <w:txbxContent>
              <w:p>
                <w:pPr>
                  <w:spacing w:before="20"/>
                  <w:ind w:left="20" w:right="0" w:firstLine="0"/>
                  <w:jc w:val="left"/>
                  <w:rPr>
                    <w:b/>
                    <w:sz w:val="18"/>
                  </w:rPr>
                </w:pPr>
                <w:r>
                  <w:rPr>
                    <w:b/>
                    <w:color w:val="7E7E7E"/>
                    <w:sz w:val="18"/>
                  </w:rPr>
                  <w:t>Evaluation</w:t>
                </w:r>
                <w:r>
                  <w:rPr>
                    <w:b/>
                    <w:color w:val="7E7E7E"/>
                    <w:spacing w:val="-2"/>
                    <w:sz w:val="18"/>
                  </w:rPr>
                  <w:t> </w:t>
                </w:r>
                <w:r>
                  <w:rPr>
                    <w:b/>
                    <w:color w:val="7E7E7E"/>
                    <w:sz w:val="18"/>
                  </w:rPr>
                  <w:t>of</w:t>
                </w:r>
                <w:r>
                  <w:rPr>
                    <w:b/>
                    <w:color w:val="7E7E7E"/>
                    <w:spacing w:val="-2"/>
                    <w:sz w:val="18"/>
                  </w:rPr>
                  <w:t> </w:t>
                </w:r>
                <w:r>
                  <w:rPr>
                    <w:b/>
                    <w:color w:val="7E7E7E"/>
                    <w:sz w:val="18"/>
                  </w:rPr>
                  <w:t>the</w:t>
                </w:r>
                <w:r>
                  <w:rPr>
                    <w:b/>
                    <w:color w:val="7E7E7E"/>
                    <w:spacing w:val="-2"/>
                    <w:sz w:val="18"/>
                  </w:rPr>
                  <w:t> </w:t>
                </w:r>
                <w:r>
                  <w:rPr>
                    <w:b/>
                    <w:color w:val="7E7E7E"/>
                    <w:sz w:val="18"/>
                  </w:rPr>
                  <w:t>Health</w:t>
                </w:r>
                <w:r>
                  <w:rPr>
                    <w:b/>
                    <w:color w:val="7E7E7E"/>
                    <w:spacing w:val="-1"/>
                    <w:sz w:val="18"/>
                  </w:rPr>
                  <w:t> </w:t>
                </w:r>
                <w:r>
                  <w:rPr>
                    <w:b/>
                    <w:color w:val="7E7E7E"/>
                    <w:sz w:val="18"/>
                  </w:rPr>
                  <w:t>Care</w:t>
                </w:r>
                <w:r>
                  <w:rPr>
                    <w:b/>
                    <w:color w:val="7E7E7E"/>
                    <w:spacing w:val="-2"/>
                    <w:sz w:val="18"/>
                  </w:rPr>
                  <w:t> </w:t>
                </w:r>
                <w:r>
                  <w:rPr>
                    <w:b/>
                    <w:color w:val="7E7E7E"/>
                    <w:sz w:val="18"/>
                  </w:rPr>
                  <w:t>Homes</w:t>
                </w:r>
                <w:r>
                  <w:rPr>
                    <w:b/>
                    <w:color w:val="7E7E7E"/>
                    <w:spacing w:val="-1"/>
                    <w:sz w:val="18"/>
                  </w:rPr>
                  <w:t> </w:t>
                </w:r>
                <w:r>
                  <w:rPr>
                    <w:b/>
                    <w:color w:val="7E7E7E"/>
                    <w:sz w:val="18"/>
                  </w:rPr>
                  <w:t>program</w:t>
                </w:r>
              </w:p>
            </w:txbxContent>
          </v:textbox>
          <w10:wrap type="none"/>
        </v:shape>
      </w:pict>
    </w:r>
    <w:r>
      <w:rPr/>
      <w:pict>
        <v:shape style="position:absolute;margin-left:487.140015pt;margin-top:794.547241pt;width:37.4pt;height:13.05pt;mso-position-horizontal-relative:page;mso-position-vertical-relative:page;z-index:-27544576" type="#_x0000_t202" id="docshape45" filled="false" stroked="false">
          <v:textbox inset="0,0,0,0">
            <w:txbxContent>
              <w:p>
                <w:pPr>
                  <w:spacing w:before="20"/>
                  <w:ind w:left="20" w:right="0" w:firstLine="0"/>
                  <w:jc w:val="left"/>
                  <w:rPr>
                    <w:b/>
                    <w:sz w:val="18"/>
                  </w:rPr>
                </w:pPr>
                <w:r>
                  <w:rPr>
                    <w:b/>
                    <w:color w:val="7E7E7E"/>
                    <w:sz w:val="18"/>
                  </w:rPr>
                  <w:t>Page</w:t>
                </w:r>
                <w:r>
                  <w:rPr>
                    <w:b/>
                    <w:color w:val="7E7E7E"/>
                    <w:spacing w:val="-1"/>
                    <w:sz w:val="18"/>
                  </w:rPr>
                  <w:t> </w:t>
                </w:r>
                <w:r>
                  <w:rPr>
                    <w:b/>
                    <w:color w:val="7E7E7E"/>
                    <w:sz w:val="18"/>
                  </w:rPr>
                  <w:t>22</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83">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71"/>
      </w:pPr>
      <w:rPr>
        <w:rFonts w:hint="default"/>
        <w:lang w:val="en-au" w:eastAsia="en-US" w:bidi="ar-SA"/>
      </w:rPr>
    </w:lvl>
    <w:lvl w:ilvl="2">
      <w:start w:val="0"/>
      <w:numFmt w:val="bullet"/>
      <w:lvlText w:val="•"/>
      <w:lvlJc w:val="left"/>
      <w:pPr>
        <w:ind w:left="1629" w:hanging="171"/>
      </w:pPr>
      <w:rPr>
        <w:rFonts w:hint="default"/>
        <w:lang w:val="en-au" w:eastAsia="en-US" w:bidi="ar-SA"/>
      </w:rPr>
    </w:lvl>
    <w:lvl w:ilvl="3">
      <w:start w:val="0"/>
      <w:numFmt w:val="bullet"/>
      <w:lvlText w:val="•"/>
      <w:lvlJc w:val="left"/>
      <w:pPr>
        <w:ind w:left="2304" w:hanging="171"/>
      </w:pPr>
      <w:rPr>
        <w:rFonts w:hint="default"/>
        <w:lang w:val="en-au" w:eastAsia="en-US" w:bidi="ar-SA"/>
      </w:rPr>
    </w:lvl>
    <w:lvl w:ilvl="4">
      <w:start w:val="0"/>
      <w:numFmt w:val="bullet"/>
      <w:lvlText w:val="•"/>
      <w:lvlJc w:val="left"/>
      <w:pPr>
        <w:ind w:left="2979" w:hanging="171"/>
      </w:pPr>
      <w:rPr>
        <w:rFonts w:hint="default"/>
        <w:lang w:val="en-au" w:eastAsia="en-US" w:bidi="ar-SA"/>
      </w:rPr>
    </w:lvl>
    <w:lvl w:ilvl="5">
      <w:start w:val="0"/>
      <w:numFmt w:val="bullet"/>
      <w:lvlText w:val="•"/>
      <w:lvlJc w:val="left"/>
      <w:pPr>
        <w:ind w:left="3654" w:hanging="171"/>
      </w:pPr>
      <w:rPr>
        <w:rFonts w:hint="default"/>
        <w:lang w:val="en-au" w:eastAsia="en-US" w:bidi="ar-SA"/>
      </w:rPr>
    </w:lvl>
    <w:lvl w:ilvl="6">
      <w:start w:val="0"/>
      <w:numFmt w:val="bullet"/>
      <w:lvlText w:val="•"/>
      <w:lvlJc w:val="left"/>
      <w:pPr>
        <w:ind w:left="4328" w:hanging="171"/>
      </w:pPr>
      <w:rPr>
        <w:rFonts w:hint="default"/>
        <w:lang w:val="en-au" w:eastAsia="en-US" w:bidi="ar-SA"/>
      </w:rPr>
    </w:lvl>
    <w:lvl w:ilvl="7">
      <w:start w:val="0"/>
      <w:numFmt w:val="bullet"/>
      <w:lvlText w:val="•"/>
      <w:lvlJc w:val="left"/>
      <w:pPr>
        <w:ind w:left="5003" w:hanging="171"/>
      </w:pPr>
      <w:rPr>
        <w:rFonts w:hint="default"/>
        <w:lang w:val="en-au" w:eastAsia="en-US" w:bidi="ar-SA"/>
      </w:rPr>
    </w:lvl>
    <w:lvl w:ilvl="8">
      <w:start w:val="0"/>
      <w:numFmt w:val="bullet"/>
      <w:lvlText w:val="•"/>
      <w:lvlJc w:val="left"/>
      <w:pPr>
        <w:ind w:left="5678" w:hanging="171"/>
      </w:pPr>
      <w:rPr>
        <w:rFonts w:hint="default"/>
        <w:lang w:val="en-au" w:eastAsia="en-US" w:bidi="ar-SA"/>
      </w:rPr>
    </w:lvl>
  </w:abstractNum>
  <w:abstractNum w:abstractNumId="282">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71"/>
      </w:pPr>
      <w:rPr>
        <w:rFonts w:hint="default"/>
        <w:lang w:val="en-au" w:eastAsia="en-US" w:bidi="ar-SA"/>
      </w:rPr>
    </w:lvl>
    <w:lvl w:ilvl="2">
      <w:start w:val="0"/>
      <w:numFmt w:val="bullet"/>
      <w:lvlText w:val="•"/>
      <w:lvlJc w:val="left"/>
      <w:pPr>
        <w:ind w:left="1629" w:hanging="171"/>
      </w:pPr>
      <w:rPr>
        <w:rFonts w:hint="default"/>
        <w:lang w:val="en-au" w:eastAsia="en-US" w:bidi="ar-SA"/>
      </w:rPr>
    </w:lvl>
    <w:lvl w:ilvl="3">
      <w:start w:val="0"/>
      <w:numFmt w:val="bullet"/>
      <w:lvlText w:val="•"/>
      <w:lvlJc w:val="left"/>
      <w:pPr>
        <w:ind w:left="2304" w:hanging="171"/>
      </w:pPr>
      <w:rPr>
        <w:rFonts w:hint="default"/>
        <w:lang w:val="en-au" w:eastAsia="en-US" w:bidi="ar-SA"/>
      </w:rPr>
    </w:lvl>
    <w:lvl w:ilvl="4">
      <w:start w:val="0"/>
      <w:numFmt w:val="bullet"/>
      <w:lvlText w:val="•"/>
      <w:lvlJc w:val="left"/>
      <w:pPr>
        <w:ind w:left="2979" w:hanging="171"/>
      </w:pPr>
      <w:rPr>
        <w:rFonts w:hint="default"/>
        <w:lang w:val="en-au" w:eastAsia="en-US" w:bidi="ar-SA"/>
      </w:rPr>
    </w:lvl>
    <w:lvl w:ilvl="5">
      <w:start w:val="0"/>
      <w:numFmt w:val="bullet"/>
      <w:lvlText w:val="•"/>
      <w:lvlJc w:val="left"/>
      <w:pPr>
        <w:ind w:left="3654" w:hanging="171"/>
      </w:pPr>
      <w:rPr>
        <w:rFonts w:hint="default"/>
        <w:lang w:val="en-au" w:eastAsia="en-US" w:bidi="ar-SA"/>
      </w:rPr>
    </w:lvl>
    <w:lvl w:ilvl="6">
      <w:start w:val="0"/>
      <w:numFmt w:val="bullet"/>
      <w:lvlText w:val="•"/>
      <w:lvlJc w:val="left"/>
      <w:pPr>
        <w:ind w:left="4328" w:hanging="171"/>
      </w:pPr>
      <w:rPr>
        <w:rFonts w:hint="default"/>
        <w:lang w:val="en-au" w:eastAsia="en-US" w:bidi="ar-SA"/>
      </w:rPr>
    </w:lvl>
    <w:lvl w:ilvl="7">
      <w:start w:val="0"/>
      <w:numFmt w:val="bullet"/>
      <w:lvlText w:val="•"/>
      <w:lvlJc w:val="left"/>
      <w:pPr>
        <w:ind w:left="5003" w:hanging="171"/>
      </w:pPr>
      <w:rPr>
        <w:rFonts w:hint="default"/>
        <w:lang w:val="en-au" w:eastAsia="en-US" w:bidi="ar-SA"/>
      </w:rPr>
    </w:lvl>
    <w:lvl w:ilvl="8">
      <w:start w:val="0"/>
      <w:numFmt w:val="bullet"/>
      <w:lvlText w:val="•"/>
      <w:lvlJc w:val="left"/>
      <w:pPr>
        <w:ind w:left="5678" w:hanging="171"/>
      </w:pPr>
      <w:rPr>
        <w:rFonts w:hint="default"/>
        <w:lang w:val="en-au" w:eastAsia="en-US" w:bidi="ar-SA"/>
      </w:rPr>
    </w:lvl>
  </w:abstractNum>
  <w:abstractNum w:abstractNumId="281">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71"/>
      </w:pPr>
      <w:rPr>
        <w:rFonts w:hint="default"/>
        <w:lang w:val="en-au" w:eastAsia="en-US" w:bidi="ar-SA"/>
      </w:rPr>
    </w:lvl>
    <w:lvl w:ilvl="2">
      <w:start w:val="0"/>
      <w:numFmt w:val="bullet"/>
      <w:lvlText w:val="•"/>
      <w:lvlJc w:val="left"/>
      <w:pPr>
        <w:ind w:left="1629" w:hanging="171"/>
      </w:pPr>
      <w:rPr>
        <w:rFonts w:hint="default"/>
        <w:lang w:val="en-au" w:eastAsia="en-US" w:bidi="ar-SA"/>
      </w:rPr>
    </w:lvl>
    <w:lvl w:ilvl="3">
      <w:start w:val="0"/>
      <w:numFmt w:val="bullet"/>
      <w:lvlText w:val="•"/>
      <w:lvlJc w:val="left"/>
      <w:pPr>
        <w:ind w:left="2304" w:hanging="171"/>
      </w:pPr>
      <w:rPr>
        <w:rFonts w:hint="default"/>
        <w:lang w:val="en-au" w:eastAsia="en-US" w:bidi="ar-SA"/>
      </w:rPr>
    </w:lvl>
    <w:lvl w:ilvl="4">
      <w:start w:val="0"/>
      <w:numFmt w:val="bullet"/>
      <w:lvlText w:val="•"/>
      <w:lvlJc w:val="left"/>
      <w:pPr>
        <w:ind w:left="2979" w:hanging="171"/>
      </w:pPr>
      <w:rPr>
        <w:rFonts w:hint="default"/>
        <w:lang w:val="en-au" w:eastAsia="en-US" w:bidi="ar-SA"/>
      </w:rPr>
    </w:lvl>
    <w:lvl w:ilvl="5">
      <w:start w:val="0"/>
      <w:numFmt w:val="bullet"/>
      <w:lvlText w:val="•"/>
      <w:lvlJc w:val="left"/>
      <w:pPr>
        <w:ind w:left="3654" w:hanging="171"/>
      </w:pPr>
      <w:rPr>
        <w:rFonts w:hint="default"/>
        <w:lang w:val="en-au" w:eastAsia="en-US" w:bidi="ar-SA"/>
      </w:rPr>
    </w:lvl>
    <w:lvl w:ilvl="6">
      <w:start w:val="0"/>
      <w:numFmt w:val="bullet"/>
      <w:lvlText w:val="•"/>
      <w:lvlJc w:val="left"/>
      <w:pPr>
        <w:ind w:left="4328" w:hanging="171"/>
      </w:pPr>
      <w:rPr>
        <w:rFonts w:hint="default"/>
        <w:lang w:val="en-au" w:eastAsia="en-US" w:bidi="ar-SA"/>
      </w:rPr>
    </w:lvl>
    <w:lvl w:ilvl="7">
      <w:start w:val="0"/>
      <w:numFmt w:val="bullet"/>
      <w:lvlText w:val="•"/>
      <w:lvlJc w:val="left"/>
      <w:pPr>
        <w:ind w:left="5003" w:hanging="171"/>
      </w:pPr>
      <w:rPr>
        <w:rFonts w:hint="default"/>
        <w:lang w:val="en-au" w:eastAsia="en-US" w:bidi="ar-SA"/>
      </w:rPr>
    </w:lvl>
    <w:lvl w:ilvl="8">
      <w:start w:val="0"/>
      <w:numFmt w:val="bullet"/>
      <w:lvlText w:val="•"/>
      <w:lvlJc w:val="left"/>
      <w:pPr>
        <w:ind w:left="5678" w:hanging="171"/>
      </w:pPr>
      <w:rPr>
        <w:rFonts w:hint="default"/>
        <w:lang w:val="en-au" w:eastAsia="en-US" w:bidi="ar-SA"/>
      </w:rPr>
    </w:lvl>
  </w:abstractNum>
  <w:abstractNum w:abstractNumId="280">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71"/>
      </w:pPr>
      <w:rPr>
        <w:rFonts w:hint="default"/>
        <w:lang w:val="en-au" w:eastAsia="en-US" w:bidi="ar-SA"/>
      </w:rPr>
    </w:lvl>
    <w:lvl w:ilvl="2">
      <w:start w:val="0"/>
      <w:numFmt w:val="bullet"/>
      <w:lvlText w:val="•"/>
      <w:lvlJc w:val="left"/>
      <w:pPr>
        <w:ind w:left="1629" w:hanging="171"/>
      </w:pPr>
      <w:rPr>
        <w:rFonts w:hint="default"/>
        <w:lang w:val="en-au" w:eastAsia="en-US" w:bidi="ar-SA"/>
      </w:rPr>
    </w:lvl>
    <w:lvl w:ilvl="3">
      <w:start w:val="0"/>
      <w:numFmt w:val="bullet"/>
      <w:lvlText w:val="•"/>
      <w:lvlJc w:val="left"/>
      <w:pPr>
        <w:ind w:left="2304" w:hanging="171"/>
      </w:pPr>
      <w:rPr>
        <w:rFonts w:hint="default"/>
        <w:lang w:val="en-au" w:eastAsia="en-US" w:bidi="ar-SA"/>
      </w:rPr>
    </w:lvl>
    <w:lvl w:ilvl="4">
      <w:start w:val="0"/>
      <w:numFmt w:val="bullet"/>
      <w:lvlText w:val="•"/>
      <w:lvlJc w:val="left"/>
      <w:pPr>
        <w:ind w:left="2979" w:hanging="171"/>
      </w:pPr>
      <w:rPr>
        <w:rFonts w:hint="default"/>
        <w:lang w:val="en-au" w:eastAsia="en-US" w:bidi="ar-SA"/>
      </w:rPr>
    </w:lvl>
    <w:lvl w:ilvl="5">
      <w:start w:val="0"/>
      <w:numFmt w:val="bullet"/>
      <w:lvlText w:val="•"/>
      <w:lvlJc w:val="left"/>
      <w:pPr>
        <w:ind w:left="3654" w:hanging="171"/>
      </w:pPr>
      <w:rPr>
        <w:rFonts w:hint="default"/>
        <w:lang w:val="en-au" w:eastAsia="en-US" w:bidi="ar-SA"/>
      </w:rPr>
    </w:lvl>
    <w:lvl w:ilvl="6">
      <w:start w:val="0"/>
      <w:numFmt w:val="bullet"/>
      <w:lvlText w:val="•"/>
      <w:lvlJc w:val="left"/>
      <w:pPr>
        <w:ind w:left="4328" w:hanging="171"/>
      </w:pPr>
      <w:rPr>
        <w:rFonts w:hint="default"/>
        <w:lang w:val="en-au" w:eastAsia="en-US" w:bidi="ar-SA"/>
      </w:rPr>
    </w:lvl>
    <w:lvl w:ilvl="7">
      <w:start w:val="0"/>
      <w:numFmt w:val="bullet"/>
      <w:lvlText w:val="•"/>
      <w:lvlJc w:val="left"/>
      <w:pPr>
        <w:ind w:left="5003" w:hanging="171"/>
      </w:pPr>
      <w:rPr>
        <w:rFonts w:hint="default"/>
        <w:lang w:val="en-au" w:eastAsia="en-US" w:bidi="ar-SA"/>
      </w:rPr>
    </w:lvl>
    <w:lvl w:ilvl="8">
      <w:start w:val="0"/>
      <w:numFmt w:val="bullet"/>
      <w:lvlText w:val="•"/>
      <w:lvlJc w:val="left"/>
      <w:pPr>
        <w:ind w:left="5678" w:hanging="171"/>
      </w:pPr>
      <w:rPr>
        <w:rFonts w:hint="default"/>
        <w:lang w:val="en-au" w:eastAsia="en-US" w:bidi="ar-SA"/>
      </w:rPr>
    </w:lvl>
  </w:abstractNum>
  <w:abstractNum w:abstractNumId="279">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828" w:hanging="360"/>
      </w:pPr>
      <w:rPr>
        <w:rFonts w:hint="default" w:ascii="Symbol" w:hAnsi="Symbol" w:eastAsia="Symbol" w:cs="Symbol"/>
        <w:b w:val="0"/>
        <w:bCs w:val="0"/>
        <w:i w:val="0"/>
        <w:iCs w:val="0"/>
        <w:w w:val="100"/>
        <w:sz w:val="18"/>
        <w:szCs w:val="18"/>
        <w:lang w:val="en-au" w:eastAsia="en-US" w:bidi="ar-SA"/>
      </w:rPr>
    </w:lvl>
    <w:lvl w:ilvl="2">
      <w:start w:val="0"/>
      <w:numFmt w:val="bullet"/>
      <w:lvlText w:val="•"/>
      <w:lvlJc w:val="left"/>
      <w:pPr>
        <w:ind w:left="1509" w:hanging="360"/>
      </w:pPr>
      <w:rPr>
        <w:rFonts w:hint="default"/>
        <w:lang w:val="en-au" w:eastAsia="en-US" w:bidi="ar-SA"/>
      </w:rPr>
    </w:lvl>
    <w:lvl w:ilvl="3">
      <w:start w:val="0"/>
      <w:numFmt w:val="bullet"/>
      <w:lvlText w:val="•"/>
      <w:lvlJc w:val="left"/>
      <w:pPr>
        <w:ind w:left="2199" w:hanging="360"/>
      </w:pPr>
      <w:rPr>
        <w:rFonts w:hint="default"/>
        <w:lang w:val="en-au" w:eastAsia="en-US" w:bidi="ar-SA"/>
      </w:rPr>
    </w:lvl>
    <w:lvl w:ilvl="4">
      <w:start w:val="0"/>
      <w:numFmt w:val="bullet"/>
      <w:lvlText w:val="•"/>
      <w:lvlJc w:val="left"/>
      <w:pPr>
        <w:ind w:left="2889" w:hanging="360"/>
      </w:pPr>
      <w:rPr>
        <w:rFonts w:hint="default"/>
        <w:lang w:val="en-au" w:eastAsia="en-US" w:bidi="ar-SA"/>
      </w:rPr>
    </w:lvl>
    <w:lvl w:ilvl="5">
      <w:start w:val="0"/>
      <w:numFmt w:val="bullet"/>
      <w:lvlText w:val="•"/>
      <w:lvlJc w:val="left"/>
      <w:pPr>
        <w:ind w:left="3579" w:hanging="360"/>
      </w:pPr>
      <w:rPr>
        <w:rFonts w:hint="default"/>
        <w:lang w:val="en-au" w:eastAsia="en-US" w:bidi="ar-SA"/>
      </w:rPr>
    </w:lvl>
    <w:lvl w:ilvl="6">
      <w:start w:val="0"/>
      <w:numFmt w:val="bullet"/>
      <w:lvlText w:val="•"/>
      <w:lvlJc w:val="left"/>
      <w:pPr>
        <w:ind w:left="4268" w:hanging="360"/>
      </w:pPr>
      <w:rPr>
        <w:rFonts w:hint="default"/>
        <w:lang w:val="en-au" w:eastAsia="en-US" w:bidi="ar-SA"/>
      </w:rPr>
    </w:lvl>
    <w:lvl w:ilvl="7">
      <w:start w:val="0"/>
      <w:numFmt w:val="bullet"/>
      <w:lvlText w:val="•"/>
      <w:lvlJc w:val="left"/>
      <w:pPr>
        <w:ind w:left="4958" w:hanging="360"/>
      </w:pPr>
      <w:rPr>
        <w:rFonts w:hint="default"/>
        <w:lang w:val="en-au" w:eastAsia="en-US" w:bidi="ar-SA"/>
      </w:rPr>
    </w:lvl>
    <w:lvl w:ilvl="8">
      <w:start w:val="0"/>
      <w:numFmt w:val="bullet"/>
      <w:lvlText w:val="•"/>
      <w:lvlJc w:val="left"/>
      <w:pPr>
        <w:ind w:left="5648" w:hanging="360"/>
      </w:pPr>
      <w:rPr>
        <w:rFonts w:hint="default"/>
        <w:lang w:val="en-au" w:eastAsia="en-US" w:bidi="ar-SA"/>
      </w:rPr>
    </w:lvl>
  </w:abstractNum>
  <w:abstractNum w:abstractNumId="278">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71"/>
      </w:pPr>
      <w:rPr>
        <w:rFonts w:hint="default"/>
        <w:lang w:val="en-au" w:eastAsia="en-US" w:bidi="ar-SA"/>
      </w:rPr>
    </w:lvl>
    <w:lvl w:ilvl="2">
      <w:start w:val="0"/>
      <w:numFmt w:val="bullet"/>
      <w:lvlText w:val="•"/>
      <w:lvlJc w:val="left"/>
      <w:pPr>
        <w:ind w:left="1629" w:hanging="171"/>
      </w:pPr>
      <w:rPr>
        <w:rFonts w:hint="default"/>
        <w:lang w:val="en-au" w:eastAsia="en-US" w:bidi="ar-SA"/>
      </w:rPr>
    </w:lvl>
    <w:lvl w:ilvl="3">
      <w:start w:val="0"/>
      <w:numFmt w:val="bullet"/>
      <w:lvlText w:val="•"/>
      <w:lvlJc w:val="left"/>
      <w:pPr>
        <w:ind w:left="2304" w:hanging="171"/>
      </w:pPr>
      <w:rPr>
        <w:rFonts w:hint="default"/>
        <w:lang w:val="en-au" w:eastAsia="en-US" w:bidi="ar-SA"/>
      </w:rPr>
    </w:lvl>
    <w:lvl w:ilvl="4">
      <w:start w:val="0"/>
      <w:numFmt w:val="bullet"/>
      <w:lvlText w:val="•"/>
      <w:lvlJc w:val="left"/>
      <w:pPr>
        <w:ind w:left="2979" w:hanging="171"/>
      </w:pPr>
      <w:rPr>
        <w:rFonts w:hint="default"/>
        <w:lang w:val="en-au" w:eastAsia="en-US" w:bidi="ar-SA"/>
      </w:rPr>
    </w:lvl>
    <w:lvl w:ilvl="5">
      <w:start w:val="0"/>
      <w:numFmt w:val="bullet"/>
      <w:lvlText w:val="•"/>
      <w:lvlJc w:val="left"/>
      <w:pPr>
        <w:ind w:left="3654" w:hanging="171"/>
      </w:pPr>
      <w:rPr>
        <w:rFonts w:hint="default"/>
        <w:lang w:val="en-au" w:eastAsia="en-US" w:bidi="ar-SA"/>
      </w:rPr>
    </w:lvl>
    <w:lvl w:ilvl="6">
      <w:start w:val="0"/>
      <w:numFmt w:val="bullet"/>
      <w:lvlText w:val="•"/>
      <w:lvlJc w:val="left"/>
      <w:pPr>
        <w:ind w:left="4328" w:hanging="171"/>
      </w:pPr>
      <w:rPr>
        <w:rFonts w:hint="default"/>
        <w:lang w:val="en-au" w:eastAsia="en-US" w:bidi="ar-SA"/>
      </w:rPr>
    </w:lvl>
    <w:lvl w:ilvl="7">
      <w:start w:val="0"/>
      <w:numFmt w:val="bullet"/>
      <w:lvlText w:val="•"/>
      <w:lvlJc w:val="left"/>
      <w:pPr>
        <w:ind w:left="5003" w:hanging="171"/>
      </w:pPr>
      <w:rPr>
        <w:rFonts w:hint="default"/>
        <w:lang w:val="en-au" w:eastAsia="en-US" w:bidi="ar-SA"/>
      </w:rPr>
    </w:lvl>
    <w:lvl w:ilvl="8">
      <w:start w:val="0"/>
      <w:numFmt w:val="bullet"/>
      <w:lvlText w:val="•"/>
      <w:lvlJc w:val="left"/>
      <w:pPr>
        <w:ind w:left="5678" w:hanging="171"/>
      </w:pPr>
      <w:rPr>
        <w:rFonts w:hint="default"/>
        <w:lang w:val="en-au" w:eastAsia="en-US" w:bidi="ar-SA"/>
      </w:rPr>
    </w:lvl>
  </w:abstractNum>
  <w:abstractNum w:abstractNumId="277">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71"/>
      </w:pPr>
      <w:rPr>
        <w:rFonts w:hint="default"/>
        <w:lang w:val="en-au" w:eastAsia="en-US" w:bidi="ar-SA"/>
      </w:rPr>
    </w:lvl>
    <w:lvl w:ilvl="2">
      <w:start w:val="0"/>
      <w:numFmt w:val="bullet"/>
      <w:lvlText w:val="•"/>
      <w:lvlJc w:val="left"/>
      <w:pPr>
        <w:ind w:left="1629" w:hanging="171"/>
      </w:pPr>
      <w:rPr>
        <w:rFonts w:hint="default"/>
        <w:lang w:val="en-au" w:eastAsia="en-US" w:bidi="ar-SA"/>
      </w:rPr>
    </w:lvl>
    <w:lvl w:ilvl="3">
      <w:start w:val="0"/>
      <w:numFmt w:val="bullet"/>
      <w:lvlText w:val="•"/>
      <w:lvlJc w:val="left"/>
      <w:pPr>
        <w:ind w:left="2304" w:hanging="171"/>
      </w:pPr>
      <w:rPr>
        <w:rFonts w:hint="default"/>
        <w:lang w:val="en-au" w:eastAsia="en-US" w:bidi="ar-SA"/>
      </w:rPr>
    </w:lvl>
    <w:lvl w:ilvl="4">
      <w:start w:val="0"/>
      <w:numFmt w:val="bullet"/>
      <w:lvlText w:val="•"/>
      <w:lvlJc w:val="left"/>
      <w:pPr>
        <w:ind w:left="2979" w:hanging="171"/>
      </w:pPr>
      <w:rPr>
        <w:rFonts w:hint="default"/>
        <w:lang w:val="en-au" w:eastAsia="en-US" w:bidi="ar-SA"/>
      </w:rPr>
    </w:lvl>
    <w:lvl w:ilvl="5">
      <w:start w:val="0"/>
      <w:numFmt w:val="bullet"/>
      <w:lvlText w:val="•"/>
      <w:lvlJc w:val="left"/>
      <w:pPr>
        <w:ind w:left="3654" w:hanging="171"/>
      </w:pPr>
      <w:rPr>
        <w:rFonts w:hint="default"/>
        <w:lang w:val="en-au" w:eastAsia="en-US" w:bidi="ar-SA"/>
      </w:rPr>
    </w:lvl>
    <w:lvl w:ilvl="6">
      <w:start w:val="0"/>
      <w:numFmt w:val="bullet"/>
      <w:lvlText w:val="•"/>
      <w:lvlJc w:val="left"/>
      <w:pPr>
        <w:ind w:left="4328" w:hanging="171"/>
      </w:pPr>
      <w:rPr>
        <w:rFonts w:hint="default"/>
        <w:lang w:val="en-au" w:eastAsia="en-US" w:bidi="ar-SA"/>
      </w:rPr>
    </w:lvl>
    <w:lvl w:ilvl="7">
      <w:start w:val="0"/>
      <w:numFmt w:val="bullet"/>
      <w:lvlText w:val="•"/>
      <w:lvlJc w:val="left"/>
      <w:pPr>
        <w:ind w:left="5003" w:hanging="171"/>
      </w:pPr>
      <w:rPr>
        <w:rFonts w:hint="default"/>
        <w:lang w:val="en-au" w:eastAsia="en-US" w:bidi="ar-SA"/>
      </w:rPr>
    </w:lvl>
    <w:lvl w:ilvl="8">
      <w:start w:val="0"/>
      <w:numFmt w:val="bullet"/>
      <w:lvlText w:val="•"/>
      <w:lvlJc w:val="left"/>
      <w:pPr>
        <w:ind w:left="5678" w:hanging="171"/>
      </w:pPr>
      <w:rPr>
        <w:rFonts w:hint="default"/>
        <w:lang w:val="en-au" w:eastAsia="en-US" w:bidi="ar-SA"/>
      </w:rPr>
    </w:lvl>
  </w:abstractNum>
  <w:abstractNum w:abstractNumId="276">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71"/>
      </w:pPr>
      <w:rPr>
        <w:rFonts w:hint="default"/>
        <w:lang w:val="en-au" w:eastAsia="en-US" w:bidi="ar-SA"/>
      </w:rPr>
    </w:lvl>
    <w:lvl w:ilvl="2">
      <w:start w:val="0"/>
      <w:numFmt w:val="bullet"/>
      <w:lvlText w:val="•"/>
      <w:lvlJc w:val="left"/>
      <w:pPr>
        <w:ind w:left="1629" w:hanging="171"/>
      </w:pPr>
      <w:rPr>
        <w:rFonts w:hint="default"/>
        <w:lang w:val="en-au" w:eastAsia="en-US" w:bidi="ar-SA"/>
      </w:rPr>
    </w:lvl>
    <w:lvl w:ilvl="3">
      <w:start w:val="0"/>
      <w:numFmt w:val="bullet"/>
      <w:lvlText w:val="•"/>
      <w:lvlJc w:val="left"/>
      <w:pPr>
        <w:ind w:left="2304" w:hanging="171"/>
      </w:pPr>
      <w:rPr>
        <w:rFonts w:hint="default"/>
        <w:lang w:val="en-au" w:eastAsia="en-US" w:bidi="ar-SA"/>
      </w:rPr>
    </w:lvl>
    <w:lvl w:ilvl="4">
      <w:start w:val="0"/>
      <w:numFmt w:val="bullet"/>
      <w:lvlText w:val="•"/>
      <w:lvlJc w:val="left"/>
      <w:pPr>
        <w:ind w:left="2979" w:hanging="171"/>
      </w:pPr>
      <w:rPr>
        <w:rFonts w:hint="default"/>
        <w:lang w:val="en-au" w:eastAsia="en-US" w:bidi="ar-SA"/>
      </w:rPr>
    </w:lvl>
    <w:lvl w:ilvl="5">
      <w:start w:val="0"/>
      <w:numFmt w:val="bullet"/>
      <w:lvlText w:val="•"/>
      <w:lvlJc w:val="left"/>
      <w:pPr>
        <w:ind w:left="3654" w:hanging="171"/>
      </w:pPr>
      <w:rPr>
        <w:rFonts w:hint="default"/>
        <w:lang w:val="en-au" w:eastAsia="en-US" w:bidi="ar-SA"/>
      </w:rPr>
    </w:lvl>
    <w:lvl w:ilvl="6">
      <w:start w:val="0"/>
      <w:numFmt w:val="bullet"/>
      <w:lvlText w:val="•"/>
      <w:lvlJc w:val="left"/>
      <w:pPr>
        <w:ind w:left="4328" w:hanging="171"/>
      </w:pPr>
      <w:rPr>
        <w:rFonts w:hint="default"/>
        <w:lang w:val="en-au" w:eastAsia="en-US" w:bidi="ar-SA"/>
      </w:rPr>
    </w:lvl>
    <w:lvl w:ilvl="7">
      <w:start w:val="0"/>
      <w:numFmt w:val="bullet"/>
      <w:lvlText w:val="•"/>
      <w:lvlJc w:val="left"/>
      <w:pPr>
        <w:ind w:left="5003" w:hanging="171"/>
      </w:pPr>
      <w:rPr>
        <w:rFonts w:hint="default"/>
        <w:lang w:val="en-au" w:eastAsia="en-US" w:bidi="ar-SA"/>
      </w:rPr>
    </w:lvl>
    <w:lvl w:ilvl="8">
      <w:start w:val="0"/>
      <w:numFmt w:val="bullet"/>
      <w:lvlText w:val="•"/>
      <w:lvlJc w:val="left"/>
      <w:pPr>
        <w:ind w:left="5678" w:hanging="171"/>
      </w:pPr>
      <w:rPr>
        <w:rFonts w:hint="default"/>
        <w:lang w:val="en-au" w:eastAsia="en-US" w:bidi="ar-SA"/>
      </w:rPr>
    </w:lvl>
  </w:abstractNum>
  <w:abstractNum w:abstractNumId="275">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71"/>
      </w:pPr>
      <w:rPr>
        <w:rFonts w:hint="default"/>
        <w:lang w:val="en-au" w:eastAsia="en-US" w:bidi="ar-SA"/>
      </w:rPr>
    </w:lvl>
    <w:lvl w:ilvl="2">
      <w:start w:val="0"/>
      <w:numFmt w:val="bullet"/>
      <w:lvlText w:val="•"/>
      <w:lvlJc w:val="left"/>
      <w:pPr>
        <w:ind w:left="1629" w:hanging="171"/>
      </w:pPr>
      <w:rPr>
        <w:rFonts w:hint="default"/>
        <w:lang w:val="en-au" w:eastAsia="en-US" w:bidi="ar-SA"/>
      </w:rPr>
    </w:lvl>
    <w:lvl w:ilvl="3">
      <w:start w:val="0"/>
      <w:numFmt w:val="bullet"/>
      <w:lvlText w:val="•"/>
      <w:lvlJc w:val="left"/>
      <w:pPr>
        <w:ind w:left="2304" w:hanging="171"/>
      </w:pPr>
      <w:rPr>
        <w:rFonts w:hint="default"/>
        <w:lang w:val="en-au" w:eastAsia="en-US" w:bidi="ar-SA"/>
      </w:rPr>
    </w:lvl>
    <w:lvl w:ilvl="4">
      <w:start w:val="0"/>
      <w:numFmt w:val="bullet"/>
      <w:lvlText w:val="•"/>
      <w:lvlJc w:val="left"/>
      <w:pPr>
        <w:ind w:left="2979" w:hanging="171"/>
      </w:pPr>
      <w:rPr>
        <w:rFonts w:hint="default"/>
        <w:lang w:val="en-au" w:eastAsia="en-US" w:bidi="ar-SA"/>
      </w:rPr>
    </w:lvl>
    <w:lvl w:ilvl="5">
      <w:start w:val="0"/>
      <w:numFmt w:val="bullet"/>
      <w:lvlText w:val="•"/>
      <w:lvlJc w:val="left"/>
      <w:pPr>
        <w:ind w:left="3654" w:hanging="171"/>
      </w:pPr>
      <w:rPr>
        <w:rFonts w:hint="default"/>
        <w:lang w:val="en-au" w:eastAsia="en-US" w:bidi="ar-SA"/>
      </w:rPr>
    </w:lvl>
    <w:lvl w:ilvl="6">
      <w:start w:val="0"/>
      <w:numFmt w:val="bullet"/>
      <w:lvlText w:val="•"/>
      <w:lvlJc w:val="left"/>
      <w:pPr>
        <w:ind w:left="4328" w:hanging="171"/>
      </w:pPr>
      <w:rPr>
        <w:rFonts w:hint="default"/>
        <w:lang w:val="en-au" w:eastAsia="en-US" w:bidi="ar-SA"/>
      </w:rPr>
    </w:lvl>
    <w:lvl w:ilvl="7">
      <w:start w:val="0"/>
      <w:numFmt w:val="bullet"/>
      <w:lvlText w:val="•"/>
      <w:lvlJc w:val="left"/>
      <w:pPr>
        <w:ind w:left="5003" w:hanging="171"/>
      </w:pPr>
      <w:rPr>
        <w:rFonts w:hint="default"/>
        <w:lang w:val="en-au" w:eastAsia="en-US" w:bidi="ar-SA"/>
      </w:rPr>
    </w:lvl>
    <w:lvl w:ilvl="8">
      <w:start w:val="0"/>
      <w:numFmt w:val="bullet"/>
      <w:lvlText w:val="•"/>
      <w:lvlJc w:val="left"/>
      <w:pPr>
        <w:ind w:left="5678" w:hanging="171"/>
      </w:pPr>
      <w:rPr>
        <w:rFonts w:hint="default"/>
        <w:lang w:val="en-au" w:eastAsia="en-US" w:bidi="ar-SA"/>
      </w:rPr>
    </w:lvl>
  </w:abstractNum>
  <w:abstractNum w:abstractNumId="274">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71"/>
      </w:pPr>
      <w:rPr>
        <w:rFonts w:hint="default"/>
        <w:lang w:val="en-au" w:eastAsia="en-US" w:bidi="ar-SA"/>
      </w:rPr>
    </w:lvl>
    <w:lvl w:ilvl="2">
      <w:start w:val="0"/>
      <w:numFmt w:val="bullet"/>
      <w:lvlText w:val="•"/>
      <w:lvlJc w:val="left"/>
      <w:pPr>
        <w:ind w:left="1629" w:hanging="171"/>
      </w:pPr>
      <w:rPr>
        <w:rFonts w:hint="default"/>
        <w:lang w:val="en-au" w:eastAsia="en-US" w:bidi="ar-SA"/>
      </w:rPr>
    </w:lvl>
    <w:lvl w:ilvl="3">
      <w:start w:val="0"/>
      <w:numFmt w:val="bullet"/>
      <w:lvlText w:val="•"/>
      <w:lvlJc w:val="left"/>
      <w:pPr>
        <w:ind w:left="2304" w:hanging="171"/>
      </w:pPr>
      <w:rPr>
        <w:rFonts w:hint="default"/>
        <w:lang w:val="en-au" w:eastAsia="en-US" w:bidi="ar-SA"/>
      </w:rPr>
    </w:lvl>
    <w:lvl w:ilvl="4">
      <w:start w:val="0"/>
      <w:numFmt w:val="bullet"/>
      <w:lvlText w:val="•"/>
      <w:lvlJc w:val="left"/>
      <w:pPr>
        <w:ind w:left="2979" w:hanging="171"/>
      </w:pPr>
      <w:rPr>
        <w:rFonts w:hint="default"/>
        <w:lang w:val="en-au" w:eastAsia="en-US" w:bidi="ar-SA"/>
      </w:rPr>
    </w:lvl>
    <w:lvl w:ilvl="5">
      <w:start w:val="0"/>
      <w:numFmt w:val="bullet"/>
      <w:lvlText w:val="•"/>
      <w:lvlJc w:val="left"/>
      <w:pPr>
        <w:ind w:left="3654" w:hanging="171"/>
      </w:pPr>
      <w:rPr>
        <w:rFonts w:hint="default"/>
        <w:lang w:val="en-au" w:eastAsia="en-US" w:bidi="ar-SA"/>
      </w:rPr>
    </w:lvl>
    <w:lvl w:ilvl="6">
      <w:start w:val="0"/>
      <w:numFmt w:val="bullet"/>
      <w:lvlText w:val="•"/>
      <w:lvlJc w:val="left"/>
      <w:pPr>
        <w:ind w:left="4328" w:hanging="171"/>
      </w:pPr>
      <w:rPr>
        <w:rFonts w:hint="default"/>
        <w:lang w:val="en-au" w:eastAsia="en-US" w:bidi="ar-SA"/>
      </w:rPr>
    </w:lvl>
    <w:lvl w:ilvl="7">
      <w:start w:val="0"/>
      <w:numFmt w:val="bullet"/>
      <w:lvlText w:val="•"/>
      <w:lvlJc w:val="left"/>
      <w:pPr>
        <w:ind w:left="5003" w:hanging="171"/>
      </w:pPr>
      <w:rPr>
        <w:rFonts w:hint="default"/>
        <w:lang w:val="en-au" w:eastAsia="en-US" w:bidi="ar-SA"/>
      </w:rPr>
    </w:lvl>
    <w:lvl w:ilvl="8">
      <w:start w:val="0"/>
      <w:numFmt w:val="bullet"/>
      <w:lvlText w:val="•"/>
      <w:lvlJc w:val="left"/>
      <w:pPr>
        <w:ind w:left="5678" w:hanging="171"/>
      </w:pPr>
      <w:rPr>
        <w:rFonts w:hint="default"/>
        <w:lang w:val="en-au" w:eastAsia="en-US" w:bidi="ar-SA"/>
      </w:rPr>
    </w:lvl>
  </w:abstractNum>
  <w:abstractNum w:abstractNumId="273">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828" w:hanging="360"/>
      </w:pPr>
      <w:rPr>
        <w:rFonts w:hint="default" w:ascii="Symbol" w:hAnsi="Symbol" w:eastAsia="Symbol" w:cs="Symbol"/>
        <w:b w:val="0"/>
        <w:bCs w:val="0"/>
        <w:i w:val="0"/>
        <w:iCs w:val="0"/>
        <w:w w:val="100"/>
        <w:sz w:val="18"/>
        <w:szCs w:val="18"/>
        <w:lang w:val="en-au" w:eastAsia="en-US" w:bidi="ar-SA"/>
      </w:rPr>
    </w:lvl>
    <w:lvl w:ilvl="2">
      <w:start w:val="0"/>
      <w:numFmt w:val="bullet"/>
      <w:lvlText w:val="•"/>
      <w:lvlJc w:val="left"/>
      <w:pPr>
        <w:ind w:left="1509" w:hanging="360"/>
      </w:pPr>
      <w:rPr>
        <w:rFonts w:hint="default"/>
        <w:lang w:val="en-au" w:eastAsia="en-US" w:bidi="ar-SA"/>
      </w:rPr>
    </w:lvl>
    <w:lvl w:ilvl="3">
      <w:start w:val="0"/>
      <w:numFmt w:val="bullet"/>
      <w:lvlText w:val="•"/>
      <w:lvlJc w:val="left"/>
      <w:pPr>
        <w:ind w:left="2199" w:hanging="360"/>
      </w:pPr>
      <w:rPr>
        <w:rFonts w:hint="default"/>
        <w:lang w:val="en-au" w:eastAsia="en-US" w:bidi="ar-SA"/>
      </w:rPr>
    </w:lvl>
    <w:lvl w:ilvl="4">
      <w:start w:val="0"/>
      <w:numFmt w:val="bullet"/>
      <w:lvlText w:val="•"/>
      <w:lvlJc w:val="left"/>
      <w:pPr>
        <w:ind w:left="2889" w:hanging="360"/>
      </w:pPr>
      <w:rPr>
        <w:rFonts w:hint="default"/>
        <w:lang w:val="en-au" w:eastAsia="en-US" w:bidi="ar-SA"/>
      </w:rPr>
    </w:lvl>
    <w:lvl w:ilvl="5">
      <w:start w:val="0"/>
      <w:numFmt w:val="bullet"/>
      <w:lvlText w:val="•"/>
      <w:lvlJc w:val="left"/>
      <w:pPr>
        <w:ind w:left="3579" w:hanging="360"/>
      </w:pPr>
      <w:rPr>
        <w:rFonts w:hint="default"/>
        <w:lang w:val="en-au" w:eastAsia="en-US" w:bidi="ar-SA"/>
      </w:rPr>
    </w:lvl>
    <w:lvl w:ilvl="6">
      <w:start w:val="0"/>
      <w:numFmt w:val="bullet"/>
      <w:lvlText w:val="•"/>
      <w:lvlJc w:val="left"/>
      <w:pPr>
        <w:ind w:left="4268" w:hanging="360"/>
      </w:pPr>
      <w:rPr>
        <w:rFonts w:hint="default"/>
        <w:lang w:val="en-au" w:eastAsia="en-US" w:bidi="ar-SA"/>
      </w:rPr>
    </w:lvl>
    <w:lvl w:ilvl="7">
      <w:start w:val="0"/>
      <w:numFmt w:val="bullet"/>
      <w:lvlText w:val="•"/>
      <w:lvlJc w:val="left"/>
      <w:pPr>
        <w:ind w:left="4958" w:hanging="360"/>
      </w:pPr>
      <w:rPr>
        <w:rFonts w:hint="default"/>
        <w:lang w:val="en-au" w:eastAsia="en-US" w:bidi="ar-SA"/>
      </w:rPr>
    </w:lvl>
    <w:lvl w:ilvl="8">
      <w:start w:val="0"/>
      <w:numFmt w:val="bullet"/>
      <w:lvlText w:val="•"/>
      <w:lvlJc w:val="left"/>
      <w:pPr>
        <w:ind w:left="5648" w:hanging="360"/>
      </w:pPr>
      <w:rPr>
        <w:rFonts w:hint="default"/>
        <w:lang w:val="en-au" w:eastAsia="en-US" w:bidi="ar-SA"/>
      </w:rPr>
    </w:lvl>
  </w:abstractNum>
  <w:abstractNum w:abstractNumId="272">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71"/>
      </w:pPr>
      <w:rPr>
        <w:rFonts w:hint="default"/>
        <w:lang w:val="en-au" w:eastAsia="en-US" w:bidi="ar-SA"/>
      </w:rPr>
    </w:lvl>
    <w:lvl w:ilvl="2">
      <w:start w:val="0"/>
      <w:numFmt w:val="bullet"/>
      <w:lvlText w:val="•"/>
      <w:lvlJc w:val="left"/>
      <w:pPr>
        <w:ind w:left="1629" w:hanging="171"/>
      </w:pPr>
      <w:rPr>
        <w:rFonts w:hint="default"/>
        <w:lang w:val="en-au" w:eastAsia="en-US" w:bidi="ar-SA"/>
      </w:rPr>
    </w:lvl>
    <w:lvl w:ilvl="3">
      <w:start w:val="0"/>
      <w:numFmt w:val="bullet"/>
      <w:lvlText w:val="•"/>
      <w:lvlJc w:val="left"/>
      <w:pPr>
        <w:ind w:left="2304" w:hanging="171"/>
      </w:pPr>
      <w:rPr>
        <w:rFonts w:hint="default"/>
        <w:lang w:val="en-au" w:eastAsia="en-US" w:bidi="ar-SA"/>
      </w:rPr>
    </w:lvl>
    <w:lvl w:ilvl="4">
      <w:start w:val="0"/>
      <w:numFmt w:val="bullet"/>
      <w:lvlText w:val="•"/>
      <w:lvlJc w:val="left"/>
      <w:pPr>
        <w:ind w:left="2979" w:hanging="171"/>
      </w:pPr>
      <w:rPr>
        <w:rFonts w:hint="default"/>
        <w:lang w:val="en-au" w:eastAsia="en-US" w:bidi="ar-SA"/>
      </w:rPr>
    </w:lvl>
    <w:lvl w:ilvl="5">
      <w:start w:val="0"/>
      <w:numFmt w:val="bullet"/>
      <w:lvlText w:val="•"/>
      <w:lvlJc w:val="left"/>
      <w:pPr>
        <w:ind w:left="3654" w:hanging="171"/>
      </w:pPr>
      <w:rPr>
        <w:rFonts w:hint="default"/>
        <w:lang w:val="en-au" w:eastAsia="en-US" w:bidi="ar-SA"/>
      </w:rPr>
    </w:lvl>
    <w:lvl w:ilvl="6">
      <w:start w:val="0"/>
      <w:numFmt w:val="bullet"/>
      <w:lvlText w:val="•"/>
      <w:lvlJc w:val="left"/>
      <w:pPr>
        <w:ind w:left="4328" w:hanging="171"/>
      </w:pPr>
      <w:rPr>
        <w:rFonts w:hint="default"/>
        <w:lang w:val="en-au" w:eastAsia="en-US" w:bidi="ar-SA"/>
      </w:rPr>
    </w:lvl>
    <w:lvl w:ilvl="7">
      <w:start w:val="0"/>
      <w:numFmt w:val="bullet"/>
      <w:lvlText w:val="•"/>
      <w:lvlJc w:val="left"/>
      <w:pPr>
        <w:ind w:left="5003" w:hanging="171"/>
      </w:pPr>
      <w:rPr>
        <w:rFonts w:hint="default"/>
        <w:lang w:val="en-au" w:eastAsia="en-US" w:bidi="ar-SA"/>
      </w:rPr>
    </w:lvl>
    <w:lvl w:ilvl="8">
      <w:start w:val="0"/>
      <w:numFmt w:val="bullet"/>
      <w:lvlText w:val="•"/>
      <w:lvlJc w:val="left"/>
      <w:pPr>
        <w:ind w:left="5678" w:hanging="171"/>
      </w:pPr>
      <w:rPr>
        <w:rFonts w:hint="default"/>
        <w:lang w:val="en-au" w:eastAsia="en-US" w:bidi="ar-SA"/>
      </w:rPr>
    </w:lvl>
  </w:abstractNum>
  <w:abstractNum w:abstractNumId="271">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71"/>
      </w:pPr>
      <w:rPr>
        <w:rFonts w:hint="default"/>
        <w:lang w:val="en-au" w:eastAsia="en-US" w:bidi="ar-SA"/>
      </w:rPr>
    </w:lvl>
    <w:lvl w:ilvl="2">
      <w:start w:val="0"/>
      <w:numFmt w:val="bullet"/>
      <w:lvlText w:val="•"/>
      <w:lvlJc w:val="left"/>
      <w:pPr>
        <w:ind w:left="1629" w:hanging="171"/>
      </w:pPr>
      <w:rPr>
        <w:rFonts w:hint="default"/>
        <w:lang w:val="en-au" w:eastAsia="en-US" w:bidi="ar-SA"/>
      </w:rPr>
    </w:lvl>
    <w:lvl w:ilvl="3">
      <w:start w:val="0"/>
      <w:numFmt w:val="bullet"/>
      <w:lvlText w:val="•"/>
      <w:lvlJc w:val="left"/>
      <w:pPr>
        <w:ind w:left="2304" w:hanging="171"/>
      </w:pPr>
      <w:rPr>
        <w:rFonts w:hint="default"/>
        <w:lang w:val="en-au" w:eastAsia="en-US" w:bidi="ar-SA"/>
      </w:rPr>
    </w:lvl>
    <w:lvl w:ilvl="4">
      <w:start w:val="0"/>
      <w:numFmt w:val="bullet"/>
      <w:lvlText w:val="•"/>
      <w:lvlJc w:val="left"/>
      <w:pPr>
        <w:ind w:left="2979" w:hanging="171"/>
      </w:pPr>
      <w:rPr>
        <w:rFonts w:hint="default"/>
        <w:lang w:val="en-au" w:eastAsia="en-US" w:bidi="ar-SA"/>
      </w:rPr>
    </w:lvl>
    <w:lvl w:ilvl="5">
      <w:start w:val="0"/>
      <w:numFmt w:val="bullet"/>
      <w:lvlText w:val="•"/>
      <w:lvlJc w:val="left"/>
      <w:pPr>
        <w:ind w:left="3654" w:hanging="171"/>
      </w:pPr>
      <w:rPr>
        <w:rFonts w:hint="default"/>
        <w:lang w:val="en-au" w:eastAsia="en-US" w:bidi="ar-SA"/>
      </w:rPr>
    </w:lvl>
    <w:lvl w:ilvl="6">
      <w:start w:val="0"/>
      <w:numFmt w:val="bullet"/>
      <w:lvlText w:val="•"/>
      <w:lvlJc w:val="left"/>
      <w:pPr>
        <w:ind w:left="4328" w:hanging="171"/>
      </w:pPr>
      <w:rPr>
        <w:rFonts w:hint="default"/>
        <w:lang w:val="en-au" w:eastAsia="en-US" w:bidi="ar-SA"/>
      </w:rPr>
    </w:lvl>
    <w:lvl w:ilvl="7">
      <w:start w:val="0"/>
      <w:numFmt w:val="bullet"/>
      <w:lvlText w:val="•"/>
      <w:lvlJc w:val="left"/>
      <w:pPr>
        <w:ind w:left="5003" w:hanging="171"/>
      </w:pPr>
      <w:rPr>
        <w:rFonts w:hint="default"/>
        <w:lang w:val="en-au" w:eastAsia="en-US" w:bidi="ar-SA"/>
      </w:rPr>
    </w:lvl>
    <w:lvl w:ilvl="8">
      <w:start w:val="0"/>
      <w:numFmt w:val="bullet"/>
      <w:lvlText w:val="•"/>
      <w:lvlJc w:val="left"/>
      <w:pPr>
        <w:ind w:left="5678" w:hanging="171"/>
      </w:pPr>
      <w:rPr>
        <w:rFonts w:hint="default"/>
        <w:lang w:val="en-au" w:eastAsia="en-US" w:bidi="ar-SA"/>
      </w:rPr>
    </w:lvl>
  </w:abstractNum>
  <w:abstractNum w:abstractNumId="270">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71"/>
      </w:pPr>
      <w:rPr>
        <w:rFonts w:hint="default"/>
        <w:lang w:val="en-au" w:eastAsia="en-US" w:bidi="ar-SA"/>
      </w:rPr>
    </w:lvl>
    <w:lvl w:ilvl="2">
      <w:start w:val="0"/>
      <w:numFmt w:val="bullet"/>
      <w:lvlText w:val="•"/>
      <w:lvlJc w:val="left"/>
      <w:pPr>
        <w:ind w:left="1629" w:hanging="171"/>
      </w:pPr>
      <w:rPr>
        <w:rFonts w:hint="default"/>
        <w:lang w:val="en-au" w:eastAsia="en-US" w:bidi="ar-SA"/>
      </w:rPr>
    </w:lvl>
    <w:lvl w:ilvl="3">
      <w:start w:val="0"/>
      <w:numFmt w:val="bullet"/>
      <w:lvlText w:val="•"/>
      <w:lvlJc w:val="left"/>
      <w:pPr>
        <w:ind w:left="2304" w:hanging="171"/>
      </w:pPr>
      <w:rPr>
        <w:rFonts w:hint="default"/>
        <w:lang w:val="en-au" w:eastAsia="en-US" w:bidi="ar-SA"/>
      </w:rPr>
    </w:lvl>
    <w:lvl w:ilvl="4">
      <w:start w:val="0"/>
      <w:numFmt w:val="bullet"/>
      <w:lvlText w:val="•"/>
      <w:lvlJc w:val="left"/>
      <w:pPr>
        <w:ind w:left="2979" w:hanging="171"/>
      </w:pPr>
      <w:rPr>
        <w:rFonts w:hint="default"/>
        <w:lang w:val="en-au" w:eastAsia="en-US" w:bidi="ar-SA"/>
      </w:rPr>
    </w:lvl>
    <w:lvl w:ilvl="5">
      <w:start w:val="0"/>
      <w:numFmt w:val="bullet"/>
      <w:lvlText w:val="•"/>
      <w:lvlJc w:val="left"/>
      <w:pPr>
        <w:ind w:left="3654" w:hanging="171"/>
      </w:pPr>
      <w:rPr>
        <w:rFonts w:hint="default"/>
        <w:lang w:val="en-au" w:eastAsia="en-US" w:bidi="ar-SA"/>
      </w:rPr>
    </w:lvl>
    <w:lvl w:ilvl="6">
      <w:start w:val="0"/>
      <w:numFmt w:val="bullet"/>
      <w:lvlText w:val="•"/>
      <w:lvlJc w:val="left"/>
      <w:pPr>
        <w:ind w:left="4328" w:hanging="171"/>
      </w:pPr>
      <w:rPr>
        <w:rFonts w:hint="default"/>
        <w:lang w:val="en-au" w:eastAsia="en-US" w:bidi="ar-SA"/>
      </w:rPr>
    </w:lvl>
    <w:lvl w:ilvl="7">
      <w:start w:val="0"/>
      <w:numFmt w:val="bullet"/>
      <w:lvlText w:val="•"/>
      <w:lvlJc w:val="left"/>
      <w:pPr>
        <w:ind w:left="5003" w:hanging="171"/>
      </w:pPr>
      <w:rPr>
        <w:rFonts w:hint="default"/>
        <w:lang w:val="en-au" w:eastAsia="en-US" w:bidi="ar-SA"/>
      </w:rPr>
    </w:lvl>
    <w:lvl w:ilvl="8">
      <w:start w:val="0"/>
      <w:numFmt w:val="bullet"/>
      <w:lvlText w:val="•"/>
      <w:lvlJc w:val="left"/>
      <w:pPr>
        <w:ind w:left="5678" w:hanging="171"/>
      </w:pPr>
      <w:rPr>
        <w:rFonts w:hint="default"/>
        <w:lang w:val="en-au" w:eastAsia="en-US" w:bidi="ar-SA"/>
      </w:rPr>
    </w:lvl>
  </w:abstractNum>
  <w:abstractNum w:abstractNumId="269">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828" w:hanging="360"/>
      </w:pPr>
      <w:rPr>
        <w:rFonts w:hint="default" w:ascii="Symbol" w:hAnsi="Symbol" w:eastAsia="Symbol" w:cs="Symbol"/>
        <w:b w:val="0"/>
        <w:bCs w:val="0"/>
        <w:i w:val="0"/>
        <w:iCs w:val="0"/>
        <w:w w:val="100"/>
        <w:sz w:val="18"/>
        <w:szCs w:val="18"/>
        <w:lang w:val="en-au" w:eastAsia="en-US" w:bidi="ar-SA"/>
      </w:rPr>
    </w:lvl>
    <w:lvl w:ilvl="2">
      <w:start w:val="0"/>
      <w:numFmt w:val="bullet"/>
      <w:lvlText w:val="•"/>
      <w:lvlJc w:val="left"/>
      <w:pPr>
        <w:ind w:left="1509" w:hanging="360"/>
      </w:pPr>
      <w:rPr>
        <w:rFonts w:hint="default"/>
        <w:lang w:val="en-au" w:eastAsia="en-US" w:bidi="ar-SA"/>
      </w:rPr>
    </w:lvl>
    <w:lvl w:ilvl="3">
      <w:start w:val="0"/>
      <w:numFmt w:val="bullet"/>
      <w:lvlText w:val="•"/>
      <w:lvlJc w:val="left"/>
      <w:pPr>
        <w:ind w:left="2199" w:hanging="360"/>
      </w:pPr>
      <w:rPr>
        <w:rFonts w:hint="default"/>
        <w:lang w:val="en-au" w:eastAsia="en-US" w:bidi="ar-SA"/>
      </w:rPr>
    </w:lvl>
    <w:lvl w:ilvl="4">
      <w:start w:val="0"/>
      <w:numFmt w:val="bullet"/>
      <w:lvlText w:val="•"/>
      <w:lvlJc w:val="left"/>
      <w:pPr>
        <w:ind w:left="2889" w:hanging="360"/>
      </w:pPr>
      <w:rPr>
        <w:rFonts w:hint="default"/>
        <w:lang w:val="en-au" w:eastAsia="en-US" w:bidi="ar-SA"/>
      </w:rPr>
    </w:lvl>
    <w:lvl w:ilvl="5">
      <w:start w:val="0"/>
      <w:numFmt w:val="bullet"/>
      <w:lvlText w:val="•"/>
      <w:lvlJc w:val="left"/>
      <w:pPr>
        <w:ind w:left="3579" w:hanging="360"/>
      </w:pPr>
      <w:rPr>
        <w:rFonts w:hint="default"/>
        <w:lang w:val="en-au" w:eastAsia="en-US" w:bidi="ar-SA"/>
      </w:rPr>
    </w:lvl>
    <w:lvl w:ilvl="6">
      <w:start w:val="0"/>
      <w:numFmt w:val="bullet"/>
      <w:lvlText w:val="•"/>
      <w:lvlJc w:val="left"/>
      <w:pPr>
        <w:ind w:left="4268" w:hanging="360"/>
      </w:pPr>
      <w:rPr>
        <w:rFonts w:hint="default"/>
        <w:lang w:val="en-au" w:eastAsia="en-US" w:bidi="ar-SA"/>
      </w:rPr>
    </w:lvl>
    <w:lvl w:ilvl="7">
      <w:start w:val="0"/>
      <w:numFmt w:val="bullet"/>
      <w:lvlText w:val="•"/>
      <w:lvlJc w:val="left"/>
      <w:pPr>
        <w:ind w:left="4958" w:hanging="360"/>
      </w:pPr>
      <w:rPr>
        <w:rFonts w:hint="default"/>
        <w:lang w:val="en-au" w:eastAsia="en-US" w:bidi="ar-SA"/>
      </w:rPr>
    </w:lvl>
    <w:lvl w:ilvl="8">
      <w:start w:val="0"/>
      <w:numFmt w:val="bullet"/>
      <w:lvlText w:val="•"/>
      <w:lvlJc w:val="left"/>
      <w:pPr>
        <w:ind w:left="5648" w:hanging="360"/>
      </w:pPr>
      <w:rPr>
        <w:rFonts w:hint="default"/>
        <w:lang w:val="en-au" w:eastAsia="en-US" w:bidi="ar-SA"/>
      </w:rPr>
    </w:lvl>
  </w:abstractNum>
  <w:abstractNum w:abstractNumId="268">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71"/>
      </w:pPr>
      <w:rPr>
        <w:rFonts w:hint="default"/>
        <w:lang w:val="en-au" w:eastAsia="en-US" w:bidi="ar-SA"/>
      </w:rPr>
    </w:lvl>
    <w:lvl w:ilvl="2">
      <w:start w:val="0"/>
      <w:numFmt w:val="bullet"/>
      <w:lvlText w:val="•"/>
      <w:lvlJc w:val="left"/>
      <w:pPr>
        <w:ind w:left="1629" w:hanging="171"/>
      </w:pPr>
      <w:rPr>
        <w:rFonts w:hint="default"/>
        <w:lang w:val="en-au" w:eastAsia="en-US" w:bidi="ar-SA"/>
      </w:rPr>
    </w:lvl>
    <w:lvl w:ilvl="3">
      <w:start w:val="0"/>
      <w:numFmt w:val="bullet"/>
      <w:lvlText w:val="•"/>
      <w:lvlJc w:val="left"/>
      <w:pPr>
        <w:ind w:left="2304" w:hanging="171"/>
      </w:pPr>
      <w:rPr>
        <w:rFonts w:hint="default"/>
        <w:lang w:val="en-au" w:eastAsia="en-US" w:bidi="ar-SA"/>
      </w:rPr>
    </w:lvl>
    <w:lvl w:ilvl="4">
      <w:start w:val="0"/>
      <w:numFmt w:val="bullet"/>
      <w:lvlText w:val="•"/>
      <w:lvlJc w:val="left"/>
      <w:pPr>
        <w:ind w:left="2979" w:hanging="171"/>
      </w:pPr>
      <w:rPr>
        <w:rFonts w:hint="default"/>
        <w:lang w:val="en-au" w:eastAsia="en-US" w:bidi="ar-SA"/>
      </w:rPr>
    </w:lvl>
    <w:lvl w:ilvl="5">
      <w:start w:val="0"/>
      <w:numFmt w:val="bullet"/>
      <w:lvlText w:val="•"/>
      <w:lvlJc w:val="left"/>
      <w:pPr>
        <w:ind w:left="3654" w:hanging="171"/>
      </w:pPr>
      <w:rPr>
        <w:rFonts w:hint="default"/>
        <w:lang w:val="en-au" w:eastAsia="en-US" w:bidi="ar-SA"/>
      </w:rPr>
    </w:lvl>
    <w:lvl w:ilvl="6">
      <w:start w:val="0"/>
      <w:numFmt w:val="bullet"/>
      <w:lvlText w:val="•"/>
      <w:lvlJc w:val="left"/>
      <w:pPr>
        <w:ind w:left="4328" w:hanging="171"/>
      </w:pPr>
      <w:rPr>
        <w:rFonts w:hint="default"/>
        <w:lang w:val="en-au" w:eastAsia="en-US" w:bidi="ar-SA"/>
      </w:rPr>
    </w:lvl>
    <w:lvl w:ilvl="7">
      <w:start w:val="0"/>
      <w:numFmt w:val="bullet"/>
      <w:lvlText w:val="•"/>
      <w:lvlJc w:val="left"/>
      <w:pPr>
        <w:ind w:left="5003" w:hanging="171"/>
      </w:pPr>
      <w:rPr>
        <w:rFonts w:hint="default"/>
        <w:lang w:val="en-au" w:eastAsia="en-US" w:bidi="ar-SA"/>
      </w:rPr>
    </w:lvl>
    <w:lvl w:ilvl="8">
      <w:start w:val="0"/>
      <w:numFmt w:val="bullet"/>
      <w:lvlText w:val="•"/>
      <w:lvlJc w:val="left"/>
      <w:pPr>
        <w:ind w:left="5678" w:hanging="171"/>
      </w:pPr>
      <w:rPr>
        <w:rFonts w:hint="default"/>
        <w:lang w:val="en-au" w:eastAsia="en-US" w:bidi="ar-SA"/>
      </w:rPr>
    </w:lvl>
  </w:abstractNum>
  <w:abstractNum w:abstractNumId="267">
    <w:multiLevelType w:val="hybridMultilevel"/>
    <w:lvl w:ilvl="0">
      <w:start w:val="0"/>
      <w:numFmt w:val="bullet"/>
      <w:lvlText w:val=""/>
      <w:lvlJc w:val="left"/>
      <w:pPr>
        <w:ind w:left="275" w:hanging="168"/>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68"/>
      </w:pPr>
      <w:rPr>
        <w:rFonts w:hint="default"/>
        <w:lang w:val="en-au" w:eastAsia="en-US" w:bidi="ar-SA"/>
      </w:rPr>
    </w:lvl>
    <w:lvl w:ilvl="2">
      <w:start w:val="0"/>
      <w:numFmt w:val="bullet"/>
      <w:lvlText w:val="•"/>
      <w:lvlJc w:val="left"/>
      <w:pPr>
        <w:ind w:left="1629" w:hanging="168"/>
      </w:pPr>
      <w:rPr>
        <w:rFonts w:hint="default"/>
        <w:lang w:val="en-au" w:eastAsia="en-US" w:bidi="ar-SA"/>
      </w:rPr>
    </w:lvl>
    <w:lvl w:ilvl="3">
      <w:start w:val="0"/>
      <w:numFmt w:val="bullet"/>
      <w:lvlText w:val="•"/>
      <w:lvlJc w:val="left"/>
      <w:pPr>
        <w:ind w:left="2304" w:hanging="168"/>
      </w:pPr>
      <w:rPr>
        <w:rFonts w:hint="default"/>
        <w:lang w:val="en-au" w:eastAsia="en-US" w:bidi="ar-SA"/>
      </w:rPr>
    </w:lvl>
    <w:lvl w:ilvl="4">
      <w:start w:val="0"/>
      <w:numFmt w:val="bullet"/>
      <w:lvlText w:val="•"/>
      <w:lvlJc w:val="left"/>
      <w:pPr>
        <w:ind w:left="2979" w:hanging="168"/>
      </w:pPr>
      <w:rPr>
        <w:rFonts w:hint="default"/>
        <w:lang w:val="en-au" w:eastAsia="en-US" w:bidi="ar-SA"/>
      </w:rPr>
    </w:lvl>
    <w:lvl w:ilvl="5">
      <w:start w:val="0"/>
      <w:numFmt w:val="bullet"/>
      <w:lvlText w:val="•"/>
      <w:lvlJc w:val="left"/>
      <w:pPr>
        <w:ind w:left="3654" w:hanging="168"/>
      </w:pPr>
      <w:rPr>
        <w:rFonts w:hint="default"/>
        <w:lang w:val="en-au" w:eastAsia="en-US" w:bidi="ar-SA"/>
      </w:rPr>
    </w:lvl>
    <w:lvl w:ilvl="6">
      <w:start w:val="0"/>
      <w:numFmt w:val="bullet"/>
      <w:lvlText w:val="•"/>
      <w:lvlJc w:val="left"/>
      <w:pPr>
        <w:ind w:left="4328" w:hanging="168"/>
      </w:pPr>
      <w:rPr>
        <w:rFonts w:hint="default"/>
        <w:lang w:val="en-au" w:eastAsia="en-US" w:bidi="ar-SA"/>
      </w:rPr>
    </w:lvl>
    <w:lvl w:ilvl="7">
      <w:start w:val="0"/>
      <w:numFmt w:val="bullet"/>
      <w:lvlText w:val="•"/>
      <w:lvlJc w:val="left"/>
      <w:pPr>
        <w:ind w:left="5003" w:hanging="168"/>
      </w:pPr>
      <w:rPr>
        <w:rFonts w:hint="default"/>
        <w:lang w:val="en-au" w:eastAsia="en-US" w:bidi="ar-SA"/>
      </w:rPr>
    </w:lvl>
    <w:lvl w:ilvl="8">
      <w:start w:val="0"/>
      <w:numFmt w:val="bullet"/>
      <w:lvlText w:val="•"/>
      <w:lvlJc w:val="left"/>
      <w:pPr>
        <w:ind w:left="5678" w:hanging="168"/>
      </w:pPr>
      <w:rPr>
        <w:rFonts w:hint="default"/>
        <w:lang w:val="en-au" w:eastAsia="en-US" w:bidi="ar-SA"/>
      </w:rPr>
    </w:lvl>
  </w:abstractNum>
  <w:abstractNum w:abstractNumId="266">
    <w:multiLevelType w:val="hybridMultilevel"/>
    <w:lvl w:ilvl="0">
      <w:start w:val="0"/>
      <w:numFmt w:val="bullet"/>
      <w:lvlText w:val=""/>
      <w:lvlJc w:val="left"/>
      <w:pPr>
        <w:ind w:left="275" w:hanging="168"/>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68"/>
      </w:pPr>
      <w:rPr>
        <w:rFonts w:hint="default"/>
        <w:lang w:val="en-au" w:eastAsia="en-US" w:bidi="ar-SA"/>
      </w:rPr>
    </w:lvl>
    <w:lvl w:ilvl="2">
      <w:start w:val="0"/>
      <w:numFmt w:val="bullet"/>
      <w:lvlText w:val="•"/>
      <w:lvlJc w:val="left"/>
      <w:pPr>
        <w:ind w:left="1629" w:hanging="168"/>
      </w:pPr>
      <w:rPr>
        <w:rFonts w:hint="default"/>
        <w:lang w:val="en-au" w:eastAsia="en-US" w:bidi="ar-SA"/>
      </w:rPr>
    </w:lvl>
    <w:lvl w:ilvl="3">
      <w:start w:val="0"/>
      <w:numFmt w:val="bullet"/>
      <w:lvlText w:val="•"/>
      <w:lvlJc w:val="left"/>
      <w:pPr>
        <w:ind w:left="2304" w:hanging="168"/>
      </w:pPr>
      <w:rPr>
        <w:rFonts w:hint="default"/>
        <w:lang w:val="en-au" w:eastAsia="en-US" w:bidi="ar-SA"/>
      </w:rPr>
    </w:lvl>
    <w:lvl w:ilvl="4">
      <w:start w:val="0"/>
      <w:numFmt w:val="bullet"/>
      <w:lvlText w:val="•"/>
      <w:lvlJc w:val="left"/>
      <w:pPr>
        <w:ind w:left="2979" w:hanging="168"/>
      </w:pPr>
      <w:rPr>
        <w:rFonts w:hint="default"/>
        <w:lang w:val="en-au" w:eastAsia="en-US" w:bidi="ar-SA"/>
      </w:rPr>
    </w:lvl>
    <w:lvl w:ilvl="5">
      <w:start w:val="0"/>
      <w:numFmt w:val="bullet"/>
      <w:lvlText w:val="•"/>
      <w:lvlJc w:val="left"/>
      <w:pPr>
        <w:ind w:left="3654" w:hanging="168"/>
      </w:pPr>
      <w:rPr>
        <w:rFonts w:hint="default"/>
        <w:lang w:val="en-au" w:eastAsia="en-US" w:bidi="ar-SA"/>
      </w:rPr>
    </w:lvl>
    <w:lvl w:ilvl="6">
      <w:start w:val="0"/>
      <w:numFmt w:val="bullet"/>
      <w:lvlText w:val="•"/>
      <w:lvlJc w:val="left"/>
      <w:pPr>
        <w:ind w:left="4328" w:hanging="168"/>
      </w:pPr>
      <w:rPr>
        <w:rFonts w:hint="default"/>
        <w:lang w:val="en-au" w:eastAsia="en-US" w:bidi="ar-SA"/>
      </w:rPr>
    </w:lvl>
    <w:lvl w:ilvl="7">
      <w:start w:val="0"/>
      <w:numFmt w:val="bullet"/>
      <w:lvlText w:val="•"/>
      <w:lvlJc w:val="left"/>
      <w:pPr>
        <w:ind w:left="5003" w:hanging="168"/>
      </w:pPr>
      <w:rPr>
        <w:rFonts w:hint="default"/>
        <w:lang w:val="en-au" w:eastAsia="en-US" w:bidi="ar-SA"/>
      </w:rPr>
    </w:lvl>
    <w:lvl w:ilvl="8">
      <w:start w:val="0"/>
      <w:numFmt w:val="bullet"/>
      <w:lvlText w:val="•"/>
      <w:lvlJc w:val="left"/>
      <w:pPr>
        <w:ind w:left="5678" w:hanging="168"/>
      </w:pPr>
      <w:rPr>
        <w:rFonts w:hint="default"/>
        <w:lang w:val="en-au" w:eastAsia="en-US" w:bidi="ar-SA"/>
      </w:rPr>
    </w:lvl>
  </w:abstractNum>
  <w:abstractNum w:abstractNumId="265">
    <w:multiLevelType w:val="hybridMultilevel"/>
    <w:lvl w:ilvl="0">
      <w:start w:val="0"/>
      <w:numFmt w:val="bullet"/>
      <w:lvlText w:val=""/>
      <w:lvlJc w:val="left"/>
      <w:pPr>
        <w:ind w:left="275" w:hanging="168"/>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821" w:hanging="356"/>
      </w:pPr>
      <w:rPr>
        <w:rFonts w:hint="default" w:ascii="Symbol" w:hAnsi="Symbol" w:eastAsia="Symbol" w:cs="Symbol"/>
        <w:b w:val="0"/>
        <w:bCs w:val="0"/>
        <w:i w:val="0"/>
        <w:iCs w:val="0"/>
        <w:w w:val="100"/>
        <w:sz w:val="18"/>
        <w:szCs w:val="18"/>
        <w:lang w:val="en-au" w:eastAsia="en-US" w:bidi="ar-SA"/>
      </w:rPr>
    </w:lvl>
    <w:lvl w:ilvl="2">
      <w:start w:val="0"/>
      <w:numFmt w:val="bullet"/>
      <w:lvlText w:val="•"/>
      <w:lvlJc w:val="left"/>
      <w:pPr>
        <w:ind w:left="1509" w:hanging="356"/>
      </w:pPr>
      <w:rPr>
        <w:rFonts w:hint="default"/>
        <w:lang w:val="en-au" w:eastAsia="en-US" w:bidi="ar-SA"/>
      </w:rPr>
    </w:lvl>
    <w:lvl w:ilvl="3">
      <w:start w:val="0"/>
      <w:numFmt w:val="bullet"/>
      <w:lvlText w:val="•"/>
      <w:lvlJc w:val="left"/>
      <w:pPr>
        <w:ind w:left="2199" w:hanging="356"/>
      </w:pPr>
      <w:rPr>
        <w:rFonts w:hint="default"/>
        <w:lang w:val="en-au" w:eastAsia="en-US" w:bidi="ar-SA"/>
      </w:rPr>
    </w:lvl>
    <w:lvl w:ilvl="4">
      <w:start w:val="0"/>
      <w:numFmt w:val="bullet"/>
      <w:lvlText w:val="•"/>
      <w:lvlJc w:val="left"/>
      <w:pPr>
        <w:ind w:left="2889" w:hanging="356"/>
      </w:pPr>
      <w:rPr>
        <w:rFonts w:hint="default"/>
        <w:lang w:val="en-au" w:eastAsia="en-US" w:bidi="ar-SA"/>
      </w:rPr>
    </w:lvl>
    <w:lvl w:ilvl="5">
      <w:start w:val="0"/>
      <w:numFmt w:val="bullet"/>
      <w:lvlText w:val="•"/>
      <w:lvlJc w:val="left"/>
      <w:pPr>
        <w:ind w:left="3579" w:hanging="356"/>
      </w:pPr>
      <w:rPr>
        <w:rFonts w:hint="default"/>
        <w:lang w:val="en-au" w:eastAsia="en-US" w:bidi="ar-SA"/>
      </w:rPr>
    </w:lvl>
    <w:lvl w:ilvl="6">
      <w:start w:val="0"/>
      <w:numFmt w:val="bullet"/>
      <w:lvlText w:val="•"/>
      <w:lvlJc w:val="left"/>
      <w:pPr>
        <w:ind w:left="4268" w:hanging="356"/>
      </w:pPr>
      <w:rPr>
        <w:rFonts w:hint="default"/>
        <w:lang w:val="en-au" w:eastAsia="en-US" w:bidi="ar-SA"/>
      </w:rPr>
    </w:lvl>
    <w:lvl w:ilvl="7">
      <w:start w:val="0"/>
      <w:numFmt w:val="bullet"/>
      <w:lvlText w:val="•"/>
      <w:lvlJc w:val="left"/>
      <w:pPr>
        <w:ind w:left="4958" w:hanging="356"/>
      </w:pPr>
      <w:rPr>
        <w:rFonts w:hint="default"/>
        <w:lang w:val="en-au" w:eastAsia="en-US" w:bidi="ar-SA"/>
      </w:rPr>
    </w:lvl>
    <w:lvl w:ilvl="8">
      <w:start w:val="0"/>
      <w:numFmt w:val="bullet"/>
      <w:lvlText w:val="•"/>
      <w:lvlJc w:val="left"/>
      <w:pPr>
        <w:ind w:left="5648" w:hanging="356"/>
      </w:pPr>
      <w:rPr>
        <w:rFonts w:hint="default"/>
        <w:lang w:val="en-au" w:eastAsia="en-US" w:bidi="ar-SA"/>
      </w:rPr>
    </w:lvl>
  </w:abstractNum>
  <w:abstractNum w:abstractNumId="264">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821" w:hanging="356"/>
      </w:pPr>
      <w:rPr>
        <w:rFonts w:hint="default" w:ascii="Symbol" w:hAnsi="Symbol" w:eastAsia="Symbol" w:cs="Symbol"/>
        <w:b w:val="0"/>
        <w:bCs w:val="0"/>
        <w:i w:val="0"/>
        <w:iCs w:val="0"/>
        <w:w w:val="100"/>
        <w:sz w:val="18"/>
        <w:szCs w:val="18"/>
        <w:lang w:val="en-au" w:eastAsia="en-US" w:bidi="ar-SA"/>
      </w:rPr>
    </w:lvl>
    <w:lvl w:ilvl="2">
      <w:start w:val="0"/>
      <w:numFmt w:val="bullet"/>
      <w:lvlText w:val="•"/>
      <w:lvlJc w:val="left"/>
      <w:pPr>
        <w:ind w:left="1509" w:hanging="356"/>
      </w:pPr>
      <w:rPr>
        <w:rFonts w:hint="default"/>
        <w:lang w:val="en-au" w:eastAsia="en-US" w:bidi="ar-SA"/>
      </w:rPr>
    </w:lvl>
    <w:lvl w:ilvl="3">
      <w:start w:val="0"/>
      <w:numFmt w:val="bullet"/>
      <w:lvlText w:val="•"/>
      <w:lvlJc w:val="left"/>
      <w:pPr>
        <w:ind w:left="2199" w:hanging="356"/>
      </w:pPr>
      <w:rPr>
        <w:rFonts w:hint="default"/>
        <w:lang w:val="en-au" w:eastAsia="en-US" w:bidi="ar-SA"/>
      </w:rPr>
    </w:lvl>
    <w:lvl w:ilvl="4">
      <w:start w:val="0"/>
      <w:numFmt w:val="bullet"/>
      <w:lvlText w:val="•"/>
      <w:lvlJc w:val="left"/>
      <w:pPr>
        <w:ind w:left="2889" w:hanging="356"/>
      </w:pPr>
      <w:rPr>
        <w:rFonts w:hint="default"/>
        <w:lang w:val="en-au" w:eastAsia="en-US" w:bidi="ar-SA"/>
      </w:rPr>
    </w:lvl>
    <w:lvl w:ilvl="5">
      <w:start w:val="0"/>
      <w:numFmt w:val="bullet"/>
      <w:lvlText w:val="•"/>
      <w:lvlJc w:val="left"/>
      <w:pPr>
        <w:ind w:left="3579" w:hanging="356"/>
      </w:pPr>
      <w:rPr>
        <w:rFonts w:hint="default"/>
        <w:lang w:val="en-au" w:eastAsia="en-US" w:bidi="ar-SA"/>
      </w:rPr>
    </w:lvl>
    <w:lvl w:ilvl="6">
      <w:start w:val="0"/>
      <w:numFmt w:val="bullet"/>
      <w:lvlText w:val="•"/>
      <w:lvlJc w:val="left"/>
      <w:pPr>
        <w:ind w:left="4268" w:hanging="356"/>
      </w:pPr>
      <w:rPr>
        <w:rFonts w:hint="default"/>
        <w:lang w:val="en-au" w:eastAsia="en-US" w:bidi="ar-SA"/>
      </w:rPr>
    </w:lvl>
    <w:lvl w:ilvl="7">
      <w:start w:val="0"/>
      <w:numFmt w:val="bullet"/>
      <w:lvlText w:val="•"/>
      <w:lvlJc w:val="left"/>
      <w:pPr>
        <w:ind w:left="4958" w:hanging="356"/>
      </w:pPr>
      <w:rPr>
        <w:rFonts w:hint="default"/>
        <w:lang w:val="en-au" w:eastAsia="en-US" w:bidi="ar-SA"/>
      </w:rPr>
    </w:lvl>
    <w:lvl w:ilvl="8">
      <w:start w:val="0"/>
      <w:numFmt w:val="bullet"/>
      <w:lvlText w:val="•"/>
      <w:lvlJc w:val="left"/>
      <w:pPr>
        <w:ind w:left="5648" w:hanging="356"/>
      </w:pPr>
      <w:rPr>
        <w:rFonts w:hint="default"/>
        <w:lang w:val="en-au" w:eastAsia="en-US" w:bidi="ar-SA"/>
      </w:rPr>
    </w:lvl>
  </w:abstractNum>
  <w:abstractNum w:abstractNumId="263">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71"/>
      </w:pPr>
      <w:rPr>
        <w:rFonts w:hint="default"/>
        <w:lang w:val="en-au" w:eastAsia="en-US" w:bidi="ar-SA"/>
      </w:rPr>
    </w:lvl>
    <w:lvl w:ilvl="2">
      <w:start w:val="0"/>
      <w:numFmt w:val="bullet"/>
      <w:lvlText w:val="•"/>
      <w:lvlJc w:val="left"/>
      <w:pPr>
        <w:ind w:left="1629" w:hanging="171"/>
      </w:pPr>
      <w:rPr>
        <w:rFonts w:hint="default"/>
        <w:lang w:val="en-au" w:eastAsia="en-US" w:bidi="ar-SA"/>
      </w:rPr>
    </w:lvl>
    <w:lvl w:ilvl="3">
      <w:start w:val="0"/>
      <w:numFmt w:val="bullet"/>
      <w:lvlText w:val="•"/>
      <w:lvlJc w:val="left"/>
      <w:pPr>
        <w:ind w:left="2304" w:hanging="171"/>
      </w:pPr>
      <w:rPr>
        <w:rFonts w:hint="default"/>
        <w:lang w:val="en-au" w:eastAsia="en-US" w:bidi="ar-SA"/>
      </w:rPr>
    </w:lvl>
    <w:lvl w:ilvl="4">
      <w:start w:val="0"/>
      <w:numFmt w:val="bullet"/>
      <w:lvlText w:val="•"/>
      <w:lvlJc w:val="left"/>
      <w:pPr>
        <w:ind w:left="2979" w:hanging="171"/>
      </w:pPr>
      <w:rPr>
        <w:rFonts w:hint="default"/>
        <w:lang w:val="en-au" w:eastAsia="en-US" w:bidi="ar-SA"/>
      </w:rPr>
    </w:lvl>
    <w:lvl w:ilvl="5">
      <w:start w:val="0"/>
      <w:numFmt w:val="bullet"/>
      <w:lvlText w:val="•"/>
      <w:lvlJc w:val="left"/>
      <w:pPr>
        <w:ind w:left="3654" w:hanging="171"/>
      </w:pPr>
      <w:rPr>
        <w:rFonts w:hint="default"/>
        <w:lang w:val="en-au" w:eastAsia="en-US" w:bidi="ar-SA"/>
      </w:rPr>
    </w:lvl>
    <w:lvl w:ilvl="6">
      <w:start w:val="0"/>
      <w:numFmt w:val="bullet"/>
      <w:lvlText w:val="•"/>
      <w:lvlJc w:val="left"/>
      <w:pPr>
        <w:ind w:left="4328" w:hanging="171"/>
      </w:pPr>
      <w:rPr>
        <w:rFonts w:hint="default"/>
        <w:lang w:val="en-au" w:eastAsia="en-US" w:bidi="ar-SA"/>
      </w:rPr>
    </w:lvl>
    <w:lvl w:ilvl="7">
      <w:start w:val="0"/>
      <w:numFmt w:val="bullet"/>
      <w:lvlText w:val="•"/>
      <w:lvlJc w:val="left"/>
      <w:pPr>
        <w:ind w:left="5003" w:hanging="171"/>
      </w:pPr>
      <w:rPr>
        <w:rFonts w:hint="default"/>
        <w:lang w:val="en-au" w:eastAsia="en-US" w:bidi="ar-SA"/>
      </w:rPr>
    </w:lvl>
    <w:lvl w:ilvl="8">
      <w:start w:val="0"/>
      <w:numFmt w:val="bullet"/>
      <w:lvlText w:val="•"/>
      <w:lvlJc w:val="left"/>
      <w:pPr>
        <w:ind w:left="5678" w:hanging="171"/>
      </w:pPr>
      <w:rPr>
        <w:rFonts w:hint="default"/>
        <w:lang w:val="en-au" w:eastAsia="en-US" w:bidi="ar-SA"/>
      </w:rPr>
    </w:lvl>
  </w:abstractNum>
  <w:abstractNum w:abstractNumId="262">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71"/>
      </w:pPr>
      <w:rPr>
        <w:rFonts w:hint="default"/>
        <w:lang w:val="en-au" w:eastAsia="en-US" w:bidi="ar-SA"/>
      </w:rPr>
    </w:lvl>
    <w:lvl w:ilvl="2">
      <w:start w:val="0"/>
      <w:numFmt w:val="bullet"/>
      <w:lvlText w:val="•"/>
      <w:lvlJc w:val="left"/>
      <w:pPr>
        <w:ind w:left="1629" w:hanging="171"/>
      </w:pPr>
      <w:rPr>
        <w:rFonts w:hint="default"/>
        <w:lang w:val="en-au" w:eastAsia="en-US" w:bidi="ar-SA"/>
      </w:rPr>
    </w:lvl>
    <w:lvl w:ilvl="3">
      <w:start w:val="0"/>
      <w:numFmt w:val="bullet"/>
      <w:lvlText w:val="•"/>
      <w:lvlJc w:val="left"/>
      <w:pPr>
        <w:ind w:left="2304" w:hanging="171"/>
      </w:pPr>
      <w:rPr>
        <w:rFonts w:hint="default"/>
        <w:lang w:val="en-au" w:eastAsia="en-US" w:bidi="ar-SA"/>
      </w:rPr>
    </w:lvl>
    <w:lvl w:ilvl="4">
      <w:start w:val="0"/>
      <w:numFmt w:val="bullet"/>
      <w:lvlText w:val="•"/>
      <w:lvlJc w:val="left"/>
      <w:pPr>
        <w:ind w:left="2979" w:hanging="171"/>
      </w:pPr>
      <w:rPr>
        <w:rFonts w:hint="default"/>
        <w:lang w:val="en-au" w:eastAsia="en-US" w:bidi="ar-SA"/>
      </w:rPr>
    </w:lvl>
    <w:lvl w:ilvl="5">
      <w:start w:val="0"/>
      <w:numFmt w:val="bullet"/>
      <w:lvlText w:val="•"/>
      <w:lvlJc w:val="left"/>
      <w:pPr>
        <w:ind w:left="3654" w:hanging="171"/>
      </w:pPr>
      <w:rPr>
        <w:rFonts w:hint="default"/>
        <w:lang w:val="en-au" w:eastAsia="en-US" w:bidi="ar-SA"/>
      </w:rPr>
    </w:lvl>
    <w:lvl w:ilvl="6">
      <w:start w:val="0"/>
      <w:numFmt w:val="bullet"/>
      <w:lvlText w:val="•"/>
      <w:lvlJc w:val="left"/>
      <w:pPr>
        <w:ind w:left="4328" w:hanging="171"/>
      </w:pPr>
      <w:rPr>
        <w:rFonts w:hint="default"/>
        <w:lang w:val="en-au" w:eastAsia="en-US" w:bidi="ar-SA"/>
      </w:rPr>
    </w:lvl>
    <w:lvl w:ilvl="7">
      <w:start w:val="0"/>
      <w:numFmt w:val="bullet"/>
      <w:lvlText w:val="•"/>
      <w:lvlJc w:val="left"/>
      <w:pPr>
        <w:ind w:left="5003" w:hanging="171"/>
      </w:pPr>
      <w:rPr>
        <w:rFonts w:hint="default"/>
        <w:lang w:val="en-au" w:eastAsia="en-US" w:bidi="ar-SA"/>
      </w:rPr>
    </w:lvl>
    <w:lvl w:ilvl="8">
      <w:start w:val="0"/>
      <w:numFmt w:val="bullet"/>
      <w:lvlText w:val="•"/>
      <w:lvlJc w:val="left"/>
      <w:pPr>
        <w:ind w:left="5678" w:hanging="171"/>
      </w:pPr>
      <w:rPr>
        <w:rFonts w:hint="default"/>
        <w:lang w:val="en-au" w:eastAsia="en-US" w:bidi="ar-SA"/>
      </w:rPr>
    </w:lvl>
  </w:abstractNum>
  <w:abstractNum w:abstractNumId="261">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71"/>
      </w:pPr>
      <w:rPr>
        <w:rFonts w:hint="default"/>
        <w:lang w:val="en-au" w:eastAsia="en-US" w:bidi="ar-SA"/>
      </w:rPr>
    </w:lvl>
    <w:lvl w:ilvl="2">
      <w:start w:val="0"/>
      <w:numFmt w:val="bullet"/>
      <w:lvlText w:val="•"/>
      <w:lvlJc w:val="left"/>
      <w:pPr>
        <w:ind w:left="1629" w:hanging="171"/>
      </w:pPr>
      <w:rPr>
        <w:rFonts w:hint="default"/>
        <w:lang w:val="en-au" w:eastAsia="en-US" w:bidi="ar-SA"/>
      </w:rPr>
    </w:lvl>
    <w:lvl w:ilvl="3">
      <w:start w:val="0"/>
      <w:numFmt w:val="bullet"/>
      <w:lvlText w:val="•"/>
      <w:lvlJc w:val="left"/>
      <w:pPr>
        <w:ind w:left="2304" w:hanging="171"/>
      </w:pPr>
      <w:rPr>
        <w:rFonts w:hint="default"/>
        <w:lang w:val="en-au" w:eastAsia="en-US" w:bidi="ar-SA"/>
      </w:rPr>
    </w:lvl>
    <w:lvl w:ilvl="4">
      <w:start w:val="0"/>
      <w:numFmt w:val="bullet"/>
      <w:lvlText w:val="•"/>
      <w:lvlJc w:val="left"/>
      <w:pPr>
        <w:ind w:left="2979" w:hanging="171"/>
      </w:pPr>
      <w:rPr>
        <w:rFonts w:hint="default"/>
        <w:lang w:val="en-au" w:eastAsia="en-US" w:bidi="ar-SA"/>
      </w:rPr>
    </w:lvl>
    <w:lvl w:ilvl="5">
      <w:start w:val="0"/>
      <w:numFmt w:val="bullet"/>
      <w:lvlText w:val="•"/>
      <w:lvlJc w:val="left"/>
      <w:pPr>
        <w:ind w:left="3654" w:hanging="171"/>
      </w:pPr>
      <w:rPr>
        <w:rFonts w:hint="default"/>
        <w:lang w:val="en-au" w:eastAsia="en-US" w:bidi="ar-SA"/>
      </w:rPr>
    </w:lvl>
    <w:lvl w:ilvl="6">
      <w:start w:val="0"/>
      <w:numFmt w:val="bullet"/>
      <w:lvlText w:val="•"/>
      <w:lvlJc w:val="left"/>
      <w:pPr>
        <w:ind w:left="4328" w:hanging="171"/>
      </w:pPr>
      <w:rPr>
        <w:rFonts w:hint="default"/>
        <w:lang w:val="en-au" w:eastAsia="en-US" w:bidi="ar-SA"/>
      </w:rPr>
    </w:lvl>
    <w:lvl w:ilvl="7">
      <w:start w:val="0"/>
      <w:numFmt w:val="bullet"/>
      <w:lvlText w:val="•"/>
      <w:lvlJc w:val="left"/>
      <w:pPr>
        <w:ind w:left="5003" w:hanging="171"/>
      </w:pPr>
      <w:rPr>
        <w:rFonts w:hint="default"/>
        <w:lang w:val="en-au" w:eastAsia="en-US" w:bidi="ar-SA"/>
      </w:rPr>
    </w:lvl>
    <w:lvl w:ilvl="8">
      <w:start w:val="0"/>
      <w:numFmt w:val="bullet"/>
      <w:lvlText w:val="•"/>
      <w:lvlJc w:val="left"/>
      <w:pPr>
        <w:ind w:left="5678" w:hanging="171"/>
      </w:pPr>
      <w:rPr>
        <w:rFonts w:hint="default"/>
        <w:lang w:val="en-au" w:eastAsia="en-US" w:bidi="ar-SA"/>
      </w:rPr>
    </w:lvl>
  </w:abstractNum>
  <w:abstractNum w:abstractNumId="260">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71"/>
      </w:pPr>
      <w:rPr>
        <w:rFonts w:hint="default"/>
        <w:lang w:val="en-au" w:eastAsia="en-US" w:bidi="ar-SA"/>
      </w:rPr>
    </w:lvl>
    <w:lvl w:ilvl="2">
      <w:start w:val="0"/>
      <w:numFmt w:val="bullet"/>
      <w:lvlText w:val="•"/>
      <w:lvlJc w:val="left"/>
      <w:pPr>
        <w:ind w:left="1629" w:hanging="171"/>
      </w:pPr>
      <w:rPr>
        <w:rFonts w:hint="default"/>
        <w:lang w:val="en-au" w:eastAsia="en-US" w:bidi="ar-SA"/>
      </w:rPr>
    </w:lvl>
    <w:lvl w:ilvl="3">
      <w:start w:val="0"/>
      <w:numFmt w:val="bullet"/>
      <w:lvlText w:val="•"/>
      <w:lvlJc w:val="left"/>
      <w:pPr>
        <w:ind w:left="2304" w:hanging="171"/>
      </w:pPr>
      <w:rPr>
        <w:rFonts w:hint="default"/>
        <w:lang w:val="en-au" w:eastAsia="en-US" w:bidi="ar-SA"/>
      </w:rPr>
    </w:lvl>
    <w:lvl w:ilvl="4">
      <w:start w:val="0"/>
      <w:numFmt w:val="bullet"/>
      <w:lvlText w:val="•"/>
      <w:lvlJc w:val="left"/>
      <w:pPr>
        <w:ind w:left="2979" w:hanging="171"/>
      </w:pPr>
      <w:rPr>
        <w:rFonts w:hint="default"/>
        <w:lang w:val="en-au" w:eastAsia="en-US" w:bidi="ar-SA"/>
      </w:rPr>
    </w:lvl>
    <w:lvl w:ilvl="5">
      <w:start w:val="0"/>
      <w:numFmt w:val="bullet"/>
      <w:lvlText w:val="•"/>
      <w:lvlJc w:val="left"/>
      <w:pPr>
        <w:ind w:left="3654" w:hanging="171"/>
      </w:pPr>
      <w:rPr>
        <w:rFonts w:hint="default"/>
        <w:lang w:val="en-au" w:eastAsia="en-US" w:bidi="ar-SA"/>
      </w:rPr>
    </w:lvl>
    <w:lvl w:ilvl="6">
      <w:start w:val="0"/>
      <w:numFmt w:val="bullet"/>
      <w:lvlText w:val="•"/>
      <w:lvlJc w:val="left"/>
      <w:pPr>
        <w:ind w:left="4328" w:hanging="171"/>
      </w:pPr>
      <w:rPr>
        <w:rFonts w:hint="default"/>
        <w:lang w:val="en-au" w:eastAsia="en-US" w:bidi="ar-SA"/>
      </w:rPr>
    </w:lvl>
    <w:lvl w:ilvl="7">
      <w:start w:val="0"/>
      <w:numFmt w:val="bullet"/>
      <w:lvlText w:val="•"/>
      <w:lvlJc w:val="left"/>
      <w:pPr>
        <w:ind w:left="5003" w:hanging="171"/>
      </w:pPr>
      <w:rPr>
        <w:rFonts w:hint="default"/>
        <w:lang w:val="en-au" w:eastAsia="en-US" w:bidi="ar-SA"/>
      </w:rPr>
    </w:lvl>
    <w:lvl w:ilvl="8">
      <w:start w:val="0"/>
      <w:numFmt w:val="bullet"/>
      <w:lvlText w:val="•"/>
      <w:lvlJc w:val="left"/>
      <w:pPr>
        <w:ind w:left="5678" w:hanging="171"/>
      </w:pPr>
      <w:rPr>
        <w:rFonts w:hint="default"/>
        <w:lang w:val="en-au" w:eastAsia="en-US" w:bidi="ar-SA"/>
      </w:rPr>
    </w:lvl>
  </w:abstractNum>
  <w:abstractNum w:abstractNumId="259">
    <w:multiLevelType w:val="hybridMultilevel"/>
    <w:lvl w:ilvl="0">
      <w:start w:val="0"/>
      <w:numFmt w:val="bullet"/>
      <w:lvlText w:val=""/>
      <w:lvlJc w:val="left"/>
      <w:pPr>
        <w:ind w:left="275" w:hanging="168"/>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68"/>
      </w:pPr>
      <w:rPr>
        <w:rFonts w:hint="default"/>
        <w:lang w:val="en-au" w:eastAsia="en-US" w:bidi="ar-SA"/>
      </w:rPr>
    </w:lvl>
    <w:lvl w:ilvl="2">
      <w:start w:val="0"/>
      <w:numFmt w:val="bullet"/>
      <w:lvlText w:val="•"/>
      <w:lvlJc w:val="left"/>
      <w:pPr>
        <w:ind w:left="1629" w:hanging="168"/>
      </w:pPr>
      <w:rPr>
        <w:rFonts w:hint="default"/>
        <w:lang w:val="en-au" w:eastAsia="en-US" w:bidi="ar-SA"/>
      </w:rPr>
    </w:lvl>
    <w:lvl w:ilvl="3">
      <w:start w:val="0"/>
      <w:numFmt w:val="bullet"/>
      <w:lvlText w:val="•"/>
      <w:lvlJc w:val="left"/>
      <w:pPr>
        <w:ind w:left="2304" w:hanging="168"/>
      </w:pPr>
      <w:rPr>
        <w:rFonts w:hint="default"/>
        <w:lang w:val="en-au" w:eastAsia="en-US" w:bidi="ar-SA"/>
      </w:rPr>
    </w:lvl>
    <w:lvl w:ilvl="4">
      <w:start w:val="0"/>
      <w:numFmt w:val="bullet"/>
      <w:lvlText w:val="•"/>
      <w:lvlJc w:val="left"/>
      <w:pPr>
        <w:ind w:left="2979" w:hanging="168"/>
      </w:pPr>
      <w:rPr>
        <w:rFonts w:hint="default"/>
        <w:lang w:val="en-au" w:eastAsia="en-US" w:bidi="ar-SA"/>
      </w:rPr>
    </w:lvl>
    <w:lvl w:ilvl="5">
      <w:start w:val="0"/>
      <w:numFmt w:val="bullet"/>
      <w:lvlText w:val="•"/>
      <w:lvlJc w:val="left"/>
      <w:pPr>
        <w:ind w:left="3654" w:hanging="168"/>
      </w:pPr>
      <w:rPr>
        <w:rFonts w:hint="default"/>
        <w:lang w:val="en-au" w:eastAsia="en-US" w:bidi="ar-SA"/>
      </w:rPr>
    </w:lvl>
    <w:lvl w:ilvl="6">
      <w:start w:val="0"/>
      <w:numFmt w:val="bullet"/>
      <w:lvlText w:val="•"/>
      <w:lvlJc w:val="left"/>
      <w:pPr>
        <w:ind w:left="4328" w:hanging="168"/>
      </w:pPr>
      <w:rPr>
        <w:rFonts w:hint="default"/>
        <w:lang w:val="en-au" w:eastAsia="en-US" w:bidi="ar-SA"/>
      </w:rPr>
    </w:lvl>
    <w:lvl w:ilvl="7">
      <w:start w:val="0"/>
      <w:numFmt w:val="bullet"/>
      <w:lvlText w:val="•"/>
      <w:lvlJc w:val="left"/>
      <w:pPr>
        <w:ind w:left="5003" w:hanging="168"/>
      </w:pPr>
      <w:rPr>
        <w:rFonts w:hint="default"/>
        <w:lang w:val="en-au" w:eastAsia="en-US" w:bidi="ar-SA"/>
      </w:rPr>
    </w:lvl>
    <w:lvl w:ilvl="8">
      <w:start w:val="0"/>
      <w:numFmt w:val="bullet"/>
      <w:lvlText w:val="•"/>
      <w:lvlJc w:val="left"/>
      <w:pPr>
        <w:ind w:left="5678" w:hanging="168"/>
      </w:pPr>
      <w:rPr>
        <w:rFonts w:hint="default"/>
        <w:lang w:val="en-au" w:eastAsia="en-US" w:bidi="ar-SA"/>
      </w:rPr>
    </w:lvl>
  </w:abstractNum>
  <w:abstractNum w:abstractNumId="258">
    <w:multiLevelType w:val="hybridMultilevel"/>
    <w:lvl w:ilvl="0">
      <w:start w:val="0"/>
      <w:numFmt w:val="bullet"/>
      <w:lvlText w:val=""/>
      <w:lvlJc w:val="left"/>
      <w:pPr>
        <w:ind w:left="821" w:hanging="356"/>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1440" w:hanging="356"/>
      </w:pPr>
      <w:rPr>
        <w:rFonts w:hint="default"/>
        <w:lang w:val="en-au" w:eastAsia="en-US" w:bidi="ar-SA"/>
      </w:rPr>
    </w:lvl>
    <w:lvl w:ilvl="2">
      <w:start w:val="0"/>
      <w:numFmt w:val="bullet"/>
      <w:lvlText w:val="•"/>
      <w:lvlJc w:val="left"/>
      <w:pPr>
        <w:ind w:left="2061" w:hanging="356"/>
      </w:pPr>
      <w:rPr>
        <w:rFonts w:hint="default"/>
        <w:lang w:val="en-au" w:eastAsia="en-US" w:bidi="ar-SA"/>
      </w:rPr>
    </w:lvl>
    <w:lvl w:ilvl="3">
      <w:start w:val="0"/>
      <w:numFmt w:val="bullet"/>
      <w:lvlText w:val="•"/>
      <w:lvlJc w:val="left"/>
      <w:pPr>
        <w:ind w:left="2682" w:hanging="356"/>
      </w:pPr>
      <w:rPr>
        <w:rFonts w:hint="default"/>
        <w:lang w:val="en-au" w:eastAsia="en-US" w:bidi="ar-SA"/>
      </w:rPr>
    </w:lvl>
    <w:lvl w:ilvl="4">
      <w:start w:val="0"/>
      <w:numFmt w:val="bullet"/>
      <w:lvlText w:val="•"/>
      <w:lvlJc w:val="left"/>
      <w:pPr>
        <w:ind w:left="3303" w:hanging="356"/>
      </w:pPr>
      <w:rPr>
        <w:rFonts w:hint="default"/>
        <w:lang w:val="en-au" w:eastAsia="en-US" w:bidi="ar-SA"/>
      </w:rPr>
    </w:lvl>
    <w:lvl w:ilvl="5">
      <w:start w:val="0"/>
      <w:numFmt w:val="bullet"/>
      <w:lvlText w:val="•"/>
      <w:lvlJc w:val="left"/>
      <w:pPr>
        <w:ind w:left="3924" w:hanging="356"/>
      </w:pPr>
      <w:rPr>
        <w:rFonts w:hint="default"/>
        <w:lang w:val="en-au" w:eastAsia="en-US" w:bidi="ar-SA"/>
      </w:rPr>
    </w:lvl>
    <w:lvl w:ilvl="6">
      <w:start w:val="0"/>
      <w:numFmt w:val="bullet"/>
      <w:lvlText w:val="•"/>
      <w:lvlJc w:val="left"/>
      <w:pPr>
        <w:ind w:left="4544" w:hanging="356"/>
      </w:pPr>
      <w:rPr>
        <w:rFonts w:hint="default"/>
        <w:lang w:val="en-au" w:eastAsia="en-US" w:bidi="ar-SA"/>
      </w:rPr>
    </w:lvl>
    <w:lvl w:ilvl="7">
      <w:start w:val="0"/>
      <w:numFmt w:val="bullet"/>
      <w:lvlText w:val="•"/>
      <w:lvlJc w:val="left"/>
      <w:pPr>
        <w:ind w:left="5165" w:hanging="356"/>
      </w:pPr>
      <w:rPr>
        <w:rFonts w:hint="default"/>
        <w:lang w:val="en-au" w:eastAsia="en-US" w:bidi="ar-SA"/>
      </w:rPr>
    </w:lvl>
    <w:lvl w:ilvl="8">
      <w:start w:val="0"/>
      <w:numFmt w:val="bullet"/>
      <w:lvlText w:val="•"/>
      <w:lvlJc w:val="left"/>
      <w:pPr>
        <w:ind w:left="5786" w:hanging="356"/>
      </w:pPr>
      <w:rPr>
        <w:rFonts w:hint="default"/>
        <w:lang w:val="en-au" w:eastAsia="en-US" w:bidi="ar-SA"/>
      </w:rPr>
    </w:lvl>
  </w:abstractNum>
  <w:abstractNum w:abstractNumId="257">
    <w:multiLevelType w:val="hybridMultilevel"/>
    <w:lvl w:ilvl="0">
      <w:start w:val="0"/>
      <w:numFmt w:val="bullet"/>
      <w:lvlText w:val=""/>
      <w:lvlJc w:val="left"/>
      <w:pPr>
        <w:ind w:left="275" w:hanging="168"/>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821" w:hanging="356"/>
      </w:pPr>
      <w:rPr>
        <w:rFonts w:hint="default" w:ascii="Symbol" w:hAnsi="Symbol" w:eastAsia="Symbol" w:cs="Symbol"/>
        <w:b w:val="0"/>
        <w:bCs w:val="0"/>
        <w:i w:val="0"/>
        <w:iCs w:val="0"/>
        <w:w w:val="100"/>
        <w:sz w:val="18"/>
        <w:szCs w:val="18"/>
        <w:lang w:val="en-au" w:eastAsia="en-US" w:bidi="ar-SA"/>
      </w:rPr>
    </w:lvl>
    <w:lvl w:ilvl="2">
      <w:start w:val="0"/>
      <w:numFmt w:val="bullet"/>
      <w:lvlText w:val="•"/>
      <w:lvlJc w:val="left"/>
      <w:pPr>
        <w:ind w:left="1509" w:hanging="356"/>
      </w:pPr>
      <w:rPr>
        <w:rFonts w:hint="default"/>
        <w:lang w:val="en-au" w:eastAsia="en-US" w:bidi="ar-SA"/>
      </w:rPr>
    </w:lvl>
    <w:lvl w:ilvl="3">
      <w:start w:val="0"/>
      <w:numFmt w:val="bullet"/>
      <w:lvlText w:val="•"/>
      <w:lvlJc w:val="left"/>
      <w:pPr>
        <w:ind w:left="2199" w:hanging="356"/>
      </w:pPr>
      <w:rPr>
        <w:rFonts w:hint="default"/>
        <w:lang w:val="en-au" w:eastAsia="en-US" w:bidi="ar-SA"/>
      </w:rPr>
    </w:lvl>
    <w:lvl w:ilvl="4">
      <w:start w:val="0"/>
      <w:numFmt w:val="bullet"/>
      <w:lvlText w:val="•"/>
      <w:lvlJc w:val="left"/>
      <w:pPr>
        <w:ind w:left="2889" w:hanging="356"/>
      </w:pPr>
      <w:rPr>
        <w:rFonts w:hint="default"/>
        <w:lang w:val="en-au" w:eastAsia="en-US" w:bidi="ar-SA"/>
      </w:rPr>
    </w:lvl>
    <w:lvl w:ilvl="5">
      <w:start w:val="0"/>
      <w:numFmt w:val="bullet"/>
      <w:lvlText w:val="•"/>
      <w:lvlJc w:val="left"/>
      <w:pPr>
        <w:ind w:left="3579" w:hanging="356"/>
      </w:pPr>
      <w:rPr>
        <w:rFonts w:hint="default"/>
        <w:lang w:val="en-au" w:eastAsia="en-US" w:bidi="ar-SA"/>
      </w:rPr>
    </w:lvl>
    <w:lvl w:ilvl="6">
      <w:start w:val="0"/>
      <w:numFmt w:val="bullet"/>
      <w:lvlText w:val="•"/>
      <w:lvlJc w:val="left"/>
      <w:pPr>
        <w:ind w:left="4268" w:hanging="356"/>
      </w:pPr>
      <w:rPr>
        <w:rFonts w:hint="default"/>
        <w:lang w:val="en-au" w:eastAsia="en-US" w:bidi="ar-SA"/>
      </w:rPr>
    </w:lvl>
    <w:lvl w:ilvl="7">
      <w:start w:val="0"/>
      <w:numFmt w:val="bullet"/>
      <w:lvlText w:val="•"/>
      <w:lvlJc w:val="left"/>
      <w:pPr>
        <w:ind w:left="4958" w:hanging="356"/>
      </w:pPr>
      <w:rPr>
        <w:rFonts w:hint="default"/>
        <w:lang w:val="en-au" w:eastAsia="en-US" w:bidi="ar-SA"/>
      </w:rPr>
    </w:lvl>
    <w:lvl w:ilvl="8">
      <w:start w:val="0"/>
      <w:numFmt w:val="bullet"/>
      <w:lvlText w:val="•"/>
      <w:lvlJc w:val="left"/>
      <w:pPr>
        <w:ind w:left="5648" w:hanging="356"/>
      </w:pPr>
      <w:rPr>
        <w:rFonts w:hint="default"/>
        <w:lang w:val="en-au" w:eastAsia="en-US" w:bidi="ar-SA"/>
      </w:rPr>
    </w:lvl>
  </w:abstractNum>
  <w:abstractNum w:abstractNumId="256">
    <w:multiLevelType w:val="hybridMultilevel"/>
    <w:lvl w:ilvl="0">
      <w:start w:val="0"/>
      <w:numFmt w:val="bullet"/>
      <w:lvlText w:val=""/>
      <w:lvlJc w:val="left"/>
      <w:pPr>
        <w:ind w:left="275" w:hanging="168"/>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68"/>
      </w:pPr>
      <w:rPr>
        <w:rFonts w:hint="default"/>
        <w:lang w:val="en-au" w:eastAsia="en-US" w:bidi="ar-SA"/>
      </w:rPr>
    </w:lvl>
    <w:lvl w:ilvl="2">
      <w:start w:val="0"/>
      <w:numFmt w:val="bullet"/>
      <w:lvlText w:val="•"/>
      <w:lvlJc w:val="left"/>
      <w:pPr>
        <w:ind w:left="1629" w:hanging="168"/>
      </w:pPr>
      <w:rPr>
        <w:rFonts w:hint="default"/>
        <w:lang w:val="en-au" w:eastAsia="en-US" w:bidi="ar-SA"/>
      </w:rPr>
    </w:lvl>
    <w:lvl w:ilvl="3">
      <w:start w:val="0"/>
      <w:numFmt w:val="bullet"/>
      <w:lvlText w:val="•"/>
      <w:lvlJc w:val="left"/>
      <w:pPr>
        <w:ind w:left="2304" w:hanging="168"/>
      </w:pPr>
      <w:rPr>
        <w:rFonts w:hint="default"/>
        <w:lang w:val="en-au" w:eastAsia="en-US" w:bidi="ar-SA"/>
      </w:rPr>
    </w:lvl>
    <w:lvl w:ilvl="4">
      <w:start w:val="0"/>
      <w:numFmt w:val="bullet"/>
      <w:lvlText w:val="•"/>
      <w:lvlJc w:val="left"/>
      <w:pPr>
        <w:ind w:left="2979" w:hanging="168"/>
      </w:pPr>
      <w:rPr>
        <w:rFonts w:hint="default"/>
        <w:lang w:val="en-au" w:eastAsia="en-US" w:bidi="ar-SA"/>
      </w:rPr>
    </w:lvl>
    <w:lvl w:ilvl="5">
      <w:start w:val="0"/>
      <w:numFmt w:val="bullet"/>
      <w:lvlText w:val="•"/>
      <w:lvlJc w:val="left"/>
      <w:pPr>
        <w:ind w:left="3654" w:hanging="168"/>
      </w:pPr>
      <w:rPr>
        <w:rFonts w:hint="default"/>
        <w:lang w:val="en-au" w:eastAsia="en-US" w:bidi="ar-SA"/>
      </w:rPr>
    </w:lvl>
    <w:lvl w:ilvl="6">
      <w:start w:val="0"/>
      <w:numFmt w:val="bullet"/>
      <w:lvlText w:val="•"/>
      <w:lvlJc w:val="left"/>
      <w:pPr>
        <w:ind w:left="4328" w:hanging="168"/>
      </w:pPr>
      <w:rPr>
        <w:rFonts w:hint="default"/>
        <w:lang w:val="en-au" w:eastAsia="en-US" w:bidi="ar-SA"/>
      </w:rPr>
    </w:lvl>
    <w:lvl w:ilvl="7">
      <w:start w:val="0"/>
      <w:numFmt w:val="bullet"/>
      <w:lvlText w:val="•"/>
      <w:lvlJc w:val="left"/>
      <w:pPr>
        <w:ind w:left="5003" w:hanging="168"/>
      </w:pPr>
      <w:rPr>
        <w:rFonts w:hint="default"/>
        <w:lang w:val="en-au" w:eastAsia="en-US" w:bidi="ar-SA"/>
      </w:rPr>
    </w:lvl>
    <w:lvl w:ilvl="8">
      <w:start w:val="0"/>
      <w:numFmt w:val="bullet"/>
      <w:lvlText w:val="•"/>
      <w:lvlJc w:val="left"/>
      <w:pPr>
        <w:ind w:left="5678" w:hanging="168"/>
      </w:pPr>
      <w:rPr>
        <w:rFonts w:hint="default"/>
        <w:lang w:val="en-au" w:eastAsia="en-US" w:bidi="ar-SA"/>
      </w:rPr>
    </w:lvl>
  </w:abstractNum>
  <w:abstractNum w:abstractNumId="255">
    <w:multiLevelType w:val="hybridMultilevel"/>
    <w:lvl w:ilvl="0">
      <w:start w:val="0"/>
      <w:numFmt w:val="bullet"/>
      <w:lvlText w:val=""/>
      <w:lvlJc w:val="left"/>
      <w:pPr>
        <w:ind w:left="275" w:hanging="168"/>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68"/>
      </w:pPr>
      <w:rPr>
        <w:rFonts w:hint="default"/>
        <w:lang w:val="en-au" w:eastAsia="en-US" w:bidi="ar-SA"/>
      </w:rPr>
    </w:lvl>
    <w:lvl w:ilvl="2">
      <w:start w:val="0"/>
      <w:numFmt w:val="bullet"/>
      <w:lvlText w:val="•"/>
      <w:lvlJc w:val="left"/>
      <w:pPr>
        <w:ind w:left="1629" w:hanging="168"/>
      </w:pPr>
      <w:rPr>
        <w:rFonts w:hint="default"/>
        <w:lang w:val="en-au" w:eastAsia="en-US" w:bidi="ar-SA"/>
      </w:rPr>
    </w:lvl>
    <w:lvl w:ilvl="3">
      <w:start w:val="0"/>
      <w:numFmt w:val="bullet"/>
      <w:lvlText w:val="•"/>
      <w:lvlJc w:val="left"/>
      <w:pPr>
        <w:ind w:left="2304" w:hanging="168"/>
      </w:pPr>
      <w:rPr>
        <w:rFonts w:hint="default"/>
        <w:lang w:val="en-au" w:eastAsia="en-US" w:bidi="ar-SA"/>
      </w:rPr>
    </w:lvl>
    <w:lvl w:ilvl="4">
      <w:start w:val="0"/>
      <w:numFmt w:val="bullet"/>
      <w:lvlText w:val="•"/>
      <w:lvlJc w:val="left"/>
      <w:pPr>
        <w:ind w:left="2979" w:hanging="168"/>
      </w:pPr>
      <w:rPr>
        <w:rFonts w:hint="default"/>
        <w:lang w:val="en-au" w:eastAsia="en-US" w:bidi="ar-SA"/>
      </w:rPr>
    </w:lvl>
    <w:lvl w:ilvl="5">
      <w:start w:val="0"/>
      <w:numFmt w:val="bullet"/>
      <w:lvlText w:val="•"/>
      <w:lvlJc w:val="left"/>
      <w:pPr>
        <w:ind w:left="3654" w:hanging="168"/>
      </w:pPr>
      <w:rPr>
        <w:rFonts w:hint="default"/>
        <w:lang w:val="en-au" w:eastAsia="en-US" w:bidi="ar-SA"/>
      </w:rPr>
    </w:lvl>
    <w:lvl w:ilvl="6">
      <w:start w:val="0"/>
      <w:numFmt w:val="bullet"/>
      <w:lvlText w:val="•"/>
      <w:lvlJc w:val="left"/>
      <w:pPr>
        <w:ind w:left="4328" w:hanging="168"/>
      </w:pPr>
      <w:rPr>
        <w:rFonts w:hint="default"/>
        <w:lang w:val="en-au" w:eastAsia="en-US" w:bidi="ar-SA"/>
      </w:rPr>
    </w:lvl>
    <w:lvl w:ilvl="7">
      <w:start w:val="0"/>
      <w:numFmt w:val="bullet"/>
      <w:lvlText w:val="•"/>
      <w:lvlJc w:val="left"/>
      <w:pPr>
        <w:ind w:left="5003" w:hanging="168"/>
      </w:pPr>
      <w:rPr>
        <w:rFonts w:hint="default"/>
        <w:lang w:val="en-au" w:eastAsia="en-US" w:bidi="ar-SA"/>
      </w:rPr>
    </w:lvl>
    <w:lvl w:ilvl="8">
      <w:start w:val="0"/>
      <w:numFmt w:val="bullet"/>
      <w:lvlText w:val="•"/>
      <w:lvlJc w:val="left"/>
      <w:pPr>
        <w:ind w:left="5678" w:hanging="168"/>
      </w:pPr>
      <w:rPr>
        <w:rFonts w:hint="default"/>
        <w:lang w:val="en-au" w:eastAsia="en-US" w:bidi="ar-SA"/>
      </w:rPr>
    </w:lvl>
  </w:abstractNum>
  <w:abstractNum w:abstractNumId="254">
    <w:multiLevelType w:val="hybridMultilevel"/>
    <w:lvl w:ilvl="0">
      <w:start w:val="0"/>
      <w:numFmt w:val="bullet"/>
      <w:lvlText w:val=""/>
      <w:lvlJc w:val="left"/>
      <w:pPr>
        <w:ind w:left="275" w:hanging="168"/>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68"/>
      </w:pPr>
      <w:rPr>
        <w:rFonts w:hint="default"/>
        <w:lang w:val="en-au" w:eastAsia="en-US" w:bidi="ar-SA"/>
      </w:rPr>
    </w:lvl>
    <w:lvl w:ilvl="2">
      <w:start w:val="0"/>
      <w:numFmt w:val="bullet"/>
      <w:lvlText w:val="•"/>
      <w:lvlJc w:val="left"/>
      <w:pPr>
        <w:ind w:left="1629" w:hanging="168"/>
      </w:pPr>
      <w:rPr>
        <w:rFonts w:hint="default"/>
        <w:lang w:val="en-au" w:eastAsia="en-US" w:bidi="ar-SA"/>
      </w:rPr>
    </w:lvl>
    <w:lvl w:ilvl="3">
      <w:start w:val="0"/>
      <w:numFmt w:val="bullet"/>
      <w:lvlText w:val="•"/>
      <w:lvlJc w:val="left"/>
      <w:pPr>
        <w:ind w:left="2304" w:hanging="168"/>
      </w:pPr>
      <w:rPr>
        <w:rFonts w:hint="default"/>
        <w:lang w:val="en-au" w:eastAsia="en-US" w:bidi="ar-SA"/>
      </w:rPr>
    </w:lvl>
    <w:lvl w:ilvl="4">
      <w:start w:val="0"/>
      <w:numFmt w:val="bullet"/>
      <w:lvlText w:val="•"/>
      <w:lvlJc w:val="left"/>
      <w:pPr>
        <w:ind w:left="2979" w:hanging="168"/>
      </w:pPr>
      <w:rPr>
        <w:rFonts w:hint="default"/>
        <w:lang w:val="en-au" w:eastAsia="en-US" w:bidi="ar-SA"/>
      </w:rPr>
    </w:lvl>
    <w:lvl w:ilvl="5">
      <w:start w:val="0"/>
      <w:numFmt w:val="bullet"/>
      <w:lvlText w:val="•"/>
      <w:lvlJc w:val="left"/>
      <w:pPr>
        <w:ind w:left="3654" w:hanging="168"/>
      </w:pPr>
      <w:rPr>
        <w:rFonts w:hint="default"/>
        <w:lang w:val="en-au" w:eastAsia="en-US" w:bidi="ar-SA"/>
      </w:rPr>
    </w:lvl>
    <w:lvl w:ilvl="6">
      <w:start w:val="0"/>
      <w:numFmt w:val="bullet"/>
      <w:lvlText w:val="•"/>
      <w:lvlJc w:val="left"/>
      <w:pPr>
        <w:ind w:left="4328" w:hanging="168"/>
      </w:pPr>
      <w:rPr>
        <w:rFonts w:hint="default"/>
        <w:lang w:val="en-au" w:eastAsia="en-US" w:bidi="ar-SA"/>
      </w:rPr>
    </w:lvl>
    <w:lvl w:ilvl="7">
      <w:start w:val="0"/>
      <w:numFmt w:val="bullet"/>
      <w:lvlText w:val="•"/>
      <w:lvlJc w:val="left"/>
      <w:pPr>
        <w:ind w:left="5003" w:hanging="168"/>
      </w:pPr>
      <w:rPr>
        <w:rFonts w:hint="default"/>
        <w:lang w:val="en-au" w:eastAsia="en-US" w:bidi="ar-SA"/>
      </w:rPr>
    </w:lvl>
    <w:lvl w:ilvl="8">
      <w:start w:val="0"/>
      <w:numFmt w:val="bullet"/>
      <w:lvlText w:val="•"/>
      <w:lvlJc w:val="left"/>
      <w:pPr>
        <w:ind w:left="5678" w:hanging="168"/>
      </w:pPr>
      <w:rPr>
        <w:rFonts w:hint="default"/>
        <w:lang w:val="en-au" w:eastAsia="en-US" w:bidi="ar-SA"/>
      </w:rPr>
    </w:lvl>
  </w:abstractNum>
  <w:abstractNum w:abstractNumId="253">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821" w:hanging="356"/>
      </w:pPr>
      <w:rPr>
        <w:rFonts w:hint="default" w:ascii="Symbol" w:hAnsi="Symbol" w:eastAsia="Symbol" w:cs="Symbol"/>
        <w:b w:val="0"/>
        <w:bCs w:val="0"/>
        <w:i w:val="0"/>
        <w:iCs w:val="0"/>
        <w:w w:val="100"/>
        <w:sz w:val="18"/>
        <w:szCs w:val="18"/>
        <w:lang w:val="en-au" w:eastAsia="en-US" w:bidi="ar-SA"/>
      </w:rPr>
    </w:lvl>
    <w:lvl w:ilvl="2">
      <w:start w:val="0"/>
      <w:numFmt w:val="bullet"/>
      <w:lvlText w:val="•"/>
      <w:lvlJc w:val="left"/>
      <w:pPr>
        <w:ind w:left="1509" w:hanging="356"/>
      </w:pPr>
      <w:rPr>
        <w:rFonts w:hint="default"/>
        <w:lang w:val="en-au" w:eastAsia="en-US" w:bidi="ar-SA"/>
      </w:rPr>
    </w:lvl>
    <w:lvl w:ilvl="3">
      <w:start w:val="0"/>
      <w:numFmt w:val="bullet"/>
      <w:lvlText w:val="•"/>
      <w:lvlJc w:val="left"/>
      <w:pPr>
        <w:ind w:left="2199" w:hanging="356"/>
      </w:pPr>
      <w:rPr>
        <w:rFonts w:hint="default"/>
        <w:lang w:val="en-au" w:eastAsia="en-US" w:bidi="ar-SA"/>
      </w:rPr>
    </w:lvl>
    <w:lvl w:ilvl="4">
      <w:start w:val="0"/>
      <w:numFmt w:val="bullet"/>
      <w:lvlText w:val="•"/>
      <w:lvlJc w:val="left"/>
      <w:pPr>
        <w:ind w:left="2889" w:hanging="356"/>
      </w:pPr>
      <w:rPr>
        <w:rFonts w:hint="default"/>
        <w:lang w:val="en-au" w:eastAsia="en-US" w:bidi="ar-SA"/>
      </w:rPr>
    </w:lvl>
    <w:lvl w:ilvl="5">
      <w:start w:val="0"/>
      <w:numFmt w:val="bullet"/>
      <w:lvlText w:val="•"/>
      <w:lvlJc w:val="left"/>
      <w:pPr>
        <w:ind w:left="3579" w:hanging="356"/>
      </w:pPr>
      <w:rPr>
        <w:rFonts w:hint="default"/>
        <w:lang w:val="en-au" w:eastAsia="en-US" w:bidi="ar-SA"/>
      </w:rPr>
    </w:lvl>
    <w:lvl w:ilvl="6">
      <w:start w:val="0"/>
      <w:numFmt w:val="bullet"/>
      <w:lvlText w:val="•"/>
      <w:lvlJc w:val="left"/>
      <w:pPr>
        <w:ind w:left="4268" w:hanging="356"/>
      </w:pPr>
      <w:rPr>
        <w:rFonts w:hint="default"/>
        <w:lang w:val="en-au" w:eastAsia="en-US" w:bidi="ar-SA"/>
      </w:rPr>
    </w:lvl>
    <w:lvl w:ilvl="7">
      <w:start w:val="0"/>
      <w:numFmt w:val="bullet"/>
      <w:lvlText w:val="•"/>
      <w:lvlJc w:val="left"/>
      <w:pPr>
        <w:ind w:left="4958" w:hanging="356"/>
      </w:pPr>
      <w:rPr>
        <w:rFonts w:hint="default"/>
        <w:lang w:val="en-au" w:eastAsia="en-US" w:bidi="ar-SA"/>
      </w:rPr>
    </w:lvl>
    <w:lvl w:ilvl="8">
      <w:start w:val="0"/>
      <w:numFmt w:val="bullet"/>
      <w:lvlText w:val="•"/>
      <w:lvlJc w:val="left"/>
      <w:pPr>
        <w:ind w:left="5648" w:hanging="356"/>
      </w:pPr>
      <w:rPr>
        <w:rFonts w:hint="default"/>
        <w:lang w:val="en-au" w:eastAsia="en-US" w:bidi="ar-SA"/>
      </w:rPr>
    </w:lvl>
  </w:abstractNum>
  <w:abstractNum w:abstractNumId="252">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71"/>
      </w:pPr>
      <w:rPr>
        <w:rFonts w:hint="default"/>
        <w:lang w:val="en-au" w:eastAsia="en-US" w:bidi="ar-SA"/>
      </w:rPr>
    </w:lvl>
    <w:lvl w:ilvl="2">
      <w:start w:val="0"/>
      <w:numFmt w:val="bullet"/>
      <w:lvlText w:val="•"/>
      <w:lvlJc w:val="left"/>
      <w:pPr>
        <w:ind w:left="1629" w:hanging="171"/>
      </w:pPr>
      <w:rPr>
        <w:rFonts w:hint="default"/>
        <w:lang w:val="en-au" w:eastAsia="en-US" w:bidi="ar-SA"/>
      </w:rPr>
    </w:lvl>
    <w:lvl w:ilvl="3">
      <w:start w:val="0"/>
      <w:numFmt w:val="bullet"/>
      <w:lvlText w:val="•"/>
      <w:lvlJc w:val="left"/>
      <w:pPr>
        <w:ind w:left="2304" w:hanging="171"/>
      </w:pPr>
      <w:rPr>
        <w:rFonts w:hint="default"/>
        <w:lang w:val="en-au" w:eastAsia="en-US" w:bidi="ar-SA"/>
      </w:rPr>
    </w:lvl>
    <w:lvl w:ilvl="4">
      <w:start w:val="0"/>
      <w:numFmt w:val="bullet"/>
      <w:lvlText w:val="•"/>
      <w:lvlJc w:val="left"/>
      <w:pPr>
        <w:ind w:left="2979" w:hanging="171"/>
      </w:pPr>
      <w:rPr>
        <w:rFonts w:hint="default"/>
        <w:lang w:val="en-au" w:eastAsia="en-US" w:bidi="ar-SA"/>
      </w:rPr>
    </w:lvl>
    <w:lvl w:ilvl="5">
      <w:start w:val="0"/>
      <w:numFmt w:val="bullet"/>
      <w:lvlText w:val="•"/>
      <w:lvlJc w:val="left"/>
      <w:pPr>
        <w:ind w:left="3654" w:hanging="171"/>
      </w:pPr>
      <w:rPr>
        <w:rFonts w:hint="default"/>
        <w:lang w:val="en-au" w:eastAsia="en-US" w:bidi="ar-SA"/>
      </w:rPr>
    </w:lvl>
    <w:lvl w:ilvl="6">
      <w:start w:val="0"/>
      <w:numFmt w:val="bullet"/>
      <w:lvlText w:val="•"/>
      <w:lvlJc w:val="left"/>
      <w:pPr>
        <w:ind w:left="4328" w:hanging="171"/>
      </w:pPr>
      <w:rPr>
        <w:rFonts w:hint="default"/>
        <w:lang w:val="en-au" w:eastAsia="en-US" w:bidi="ar-SA"/>
      </w:rPr>
    </w:lvl>
    <w:lvl w:ilvl="7">
      <w:start w:val="0"/>
      <w:numFmt w:val="bullet"/>
      <w:lvlText w:val="•"/>
      <w:lvlJc w:val="left"/>
      <w:pPr>
        <w:ind w:left="5003" w:hanging="171"/>
      </w:pPr>
      <w:rPr>
        <w:rFonts w:hint="default"/>
        <w:lang w:val="en-au" w:eastAsia="en-US" w:bidi="ar-SA"/>
      </w:rPr>
    </w:lvl>
    <w:lvl w:ilvl="8">
      <w:start w:val="0"/>
      <w:numFmt w:val="bullet"/>
      <w:lvlText w:val="•"/>
      <w:lvlJc w:val="left"/>
      <w:pPr>
        <w:ind w:left="5678" w:hanging="171"/>
      </w:pPr>
      <w:rPr>
        <w:rFonts w:hint="default"/>
        <w:lang w:val="en-au" w:eastAsia="en-US" w:bidi="ar-SA"/>
      </w:rPr>
    </w:lvl>
  </w:abstractNum>
  <w:abstractNum w:abstractNumId="251">
    <w:multiLevelType w:val="hybridMultilevel"/>
    <w:lvl w:ilvl="0">
      <w:start w:val="0"/>
      <w:numFmt w:val="bullet"/>
      <w:lvlText w:val=""/>
      <w:lvlJc w:val="left"/>
      <w:pPr>
        <w:ind w:left="275" w:hanging="168"/>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68"/>
      </w:pPr>
      <w:rPr>
        <w:rFonts w:hint="default"/>
        <w:lang w:val="en-au" w:eastAsia="en-US" w:bidi="ar-SA"/>
      </w:rPr>
    </w:lvl>
    <w:lvl w:ilvl="2">
      <w:start w:val="0"/>
      <w:numFmt w:val="bullet"/>
      <w:lvlText w:val="•"/>
      <w:lvlJc w:val="left"/>
      <w:pPr>
        <w:ind w:left="1629" w:hanging="168"/>
      </w:pPr>
      <w:rPr>
        <w:rFonts w:hint="default"/>
        <w:lang w:val="en-au" w:eastAsia="en-US" w:bidi="ar-SA"/>
      </w:rPr>
    </w:lvl>
    <w:lvl w:ilvl="3">
      <w:start w:val="0"/>
      <w:numFmt w:val="bullet"/>
      <w:lvlText w:val="•"/>
      <w:lvlJc w:val="left"/>
      <w:pPr>
        <w:ind w:left="2304" w:hanging="168"/>
      </w:pPr>
      <w:rPr>
        <w:rFonts w:hint="default"/>
        <w:lang w:val="en-au" w:eastAsia="en-US" w:bidi="ar-SA"/>
      </w:rPr>
    </w:lvl>
    <w:lvl w:ilvl="4">
      <w:start w:val="0"/>
      <w:numFmt w:val="bullet"/>
      <w:lvlText w:val="•"/>
      <w:lvlJc w:val="left"/>
      <w:pPr>
        <w:ind w:left="2979" w:hanging="168"/>
      </w:pPr>
      <w:rPr>
        <w:rFonts w:hint="default"/>
        <w:lang w:val="en-au" w:eastAsia="en-US" w:bidi="ar-SA"/>
      </w:rPr>
    </w:lvl>
    <w:lvl w:ilvl="5">
      <w:start w:val="0"/>
      <w:numFmt w:val="bullet"/>
      <w:lvlText w:val="•"/>
      <w:lvlJc w:val="left"/>
      <w:pPr>
        <w:ind w:left="3654" w:hanging="168"/>
      </w:pPr>
      <w:rPr>
        <w:rFonts w:hint="default"/>
        <w:lang w:val="en-au" w:eastAsia="en-US" w:bidi="ar-SA"/>
      </w:rPr>
    </w:lvl>
    <w:lvl w:ilvl="6">
      <w:start w:val="0"/>
      <w:numFmt w:val="bullet"/>
      <w:lvlText w:val="•"/>
      <w:lvlJc w:val="left"/>
      <w:pPr>
        <w:ind w:left="4328" w:hanging="168"/>
      </w:pPr>
      <w:rPr>
        <w:rFonts w:hint="default"/>
        <w:lang w:val="en-au" w:eastAsia="en-US" w:bidi="ar-SA"/>
      </w:rPr>
    </w:lvl>
    <w:lvl w:ilvl="7">
      <w:start w:val="0"/>
      <w:numFmt w:val="bullet"/>
      <w:lvlText w:val="•"/>
      <w:lvlJc w:val="left"/>
      <w:pPr>
        <w:ind w:left="5003" w:hanging="168"/>
      </w:pPr>
      <w:rPr>
        <w:rFonts w:hint="default"/>
        <w:lang w:val="en-au" w:eastAsia="en-US" w:bidi="ar-SA"/>
      </w:rPr>
    </w:lvl>
    <w:lvl w:ilvl="8">
      <w:start w:val="0"/>
      <w:numFmt w:val="bullet"/>
      <w:lvlText w:val="•"/>
      <w:lvlJc w:val="left"/>
      <w:pPr>
        <w:ind w:left="5678" w:hanging="168"/>
      </w:pPr>
      <w:rPr>
        <w:rFonts w:hint="default"/>
        <w:lang w:val="en-au" w:eastAsia="en-US" w:bidi="ar-SA"/>
      </w:rPr>
    </w:lvl>
  </w:abstractNum>
  <w:abstractNum w:abstractNumId="250">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71"/>
      </w:pPr>
      <w:rPr>
        <w:rFonts w:hint="default"/>
        <w:lang w:val="en-au" w:eastAsia="en-US" w:bidi="ar-SA"/>
      </w:rPr>
    </w:lvl>
    <w:lvl w:ilvl="2">
      <w:start w:val="0"/>
      <w:numFmt w:val="bullet"/>
      <w:lvlText w:val="•"/>
      <w:lvlJc w:val="left"/>
      <w:pPr>
        <w:ind w:left="1629" w:hanging="171"/>
      </w:pPr>
      <w:rPr>
        <w:rFonts w:hint="default"/>
        <w:lang w:val="en-au" w:eastAsia="en-US" w:bidi="ar-SA"/>
      </w:rPr>
    </w:lvl>
    <w:lvl w:ilvl="3">
      <w:start w:val="0"/>
      <w:numFmt w:val="bullet"/>
      <w:lvlText w:val="•"/>
      <w:lvlJc w:val="left"/>
      <w:pPr>
        <w:ind w:left="2304" w:hanging="171"/>
      </w:pPr>
      <w:rPr>
        <w:rFonts w:hint="default"/>
        <w:lang w:val="en-au" w:eastAsia="en-US" w:bidi="ar-SA"/>
      </w:rPr>
    </w:lvl>
    <w:lvl w:ilvl="4">
      <w:start w:val="0"/>
      <w:numFmt w:val="bullet"/>
      <w:lvlText w:val="•"/>
      <w:lvlJc w:val="left"/>
      <w:pPr>
        <w:ind w:left="2979" w:hanging="171"/>
      </w:pPr>
      <w:rPr>
        <w:rFonts w:hint="default"/>
        <w:lang w:val="en-au" w:eastAsia="en-US" w:bidi="ar-SA"/>
      </w:rPr>
    </w:lvl>
    <w:lvl w:ilvl="5">
      <w:start w:val="0"/>
      <w:numFmt w:val="bullet"/>
      <w:lvlText w:val="•"/>
      <w:lvlJc w:val="left"/>
      <w:pPr>
        <w:ind w:left="3654" w:hanging="171"/>
      </w:pPr>
      <w:rPr>
        <w:rFonts w:hint="default"/>
        <w:lang w:val="en-au" w:eastAsia="en-US" w:bidi="ar-SA"/>
      </w:rPr>
    </w:lvl>
    <w:lvl w:ilvl="6">
      <w:start w:val="0"/>
      <w:numFmt w:val="bullet"/>
      <w:lvlText w:val="•"/>
      <w:lvlJc w:val="left"/>
      <w:pPr>
        <w:ind w:left="4328" w:hanging="171"/>
      </w:pPr>
      <w:rPr>
        <w:rFonts w:hint="default"/>
        <w:lang w:val="en-au" w:eastAsia="en-US" w:bidi="ar-SA"/>
      </w:rPr>
    </w:lvl>
    <w:lvl w:ilvl="7">
      <w:start w:val="0"/>
      <w:numFmt w:val="bullet"/>
      <w:lvlText w:val="•"/>
      <w:lvlJc w:val="left"/>
      <w:pPr>
        <w:ind w:left="5003" w:hanging="171"/>
      </w:pPr>
      <w:rPr>
        <w:rFonts w:hint="default"/>
        <w:lang w:val="en-au" w:eastAsia="en-US" w:bidi="ar-SA"/>
      </w:rPr>
    </w:lvl>
    <w:lvl w:ilvl="8">
      <w:start w:val="0"/>
      <w:numFmt w:val="bullet"/>
      <w:lvlText w:val="•"/>
      <w:lvlJc w:val="left"/>
      <w:pPr>
        <w:ind w:left="5678" w:hanging="171"/>
      </w:pPr>
      <w:rPr>
        <w:rFonts w:hint="default"/>
        <w:lang w:val="en-au" w:eastAsia="en-US" w:bidi="ar-SA"/>
      </w:rPr>
    </w:lvl>
  </w:abstractNum>
  <w:abstractNum w:abstractNumId="249">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71"/>
      </w:pPr>
      <w:rPr>
        <w:rFonts w:hint="default"/>
        <w:lang w:val="en-au" w:eastAsia="en-US" w:bidi="ar-SA"/>
      </w:rPr>
    </w:lvl>
    <w:lvl w:ilvl="2">
      <w:start w:val="0"/>
      <w:numFmt w:val="bullet"/>
      <w:lvlText w:val="•"/>
      <w:lvlJc w:val="left"/>
      <w:pPr>
        <w:ind w:left="1629" w:hanging="171"/>
      </w:pPr>
      <w:rPr>
        <w:rFonts w:hint="default"/>
        <w:lang w:val="en-au" w:eastAsia="en-US" w:bidi="ar-SA"/>
      </w:rPr>
    </w:lvl>
    <w:lvl w:ilvl="3">
      <w:start w:val="0"/>
      <w:numFmt w:val="bullet"/>
      <w:lvlText w:val="•"/>
      <w:lvlJc w:val="left"/>
      <w:pPr>
        <w:ind w:left="2304" w:hanging="171"/>
      </w:pPr>
      <w:rPr>
        <w:rFonts w:hint="default"/>
        <w:lang w:val="en-au" w:eastAsia="en-US" w:bidi="ar-SA"/>
      </w:rPr>
    </w:lvl>
    <w:lvl w:ilvl="4">
      <w:start w:val="0"/>
      <w:numFmt w:val="bullet"/>
      <w:lvlText w:val="•"/>
      <w:lvlJc w:val="left"/>
      <w:pPr>
        <w:ind w:left="2979" w:hanging="171"/>
      </w:pPr>
      <w:rPr>
        <w:rFonts w:hint="default"/>
        <w:lang w:val="en-au" w:eastAsia="en-US" w:bidi="ar-SA"/>
      </w:rPr>
    </w:lvl>
    <w:lvl w:ilvl="5">
      <w:start w:val="0"/>
      <w:numFmt w:val="bullet"/>
      <w:lvlText w:val="•"/>
      <w:lvlJc w:val="left"/>
      <w:pPr>
        <w:ind w:left="3654" w:hanging="171"/>
      </w:pPr>
      <w:rPr>
        <w:rFonts w:hint="default"/>
        <w:lang w:val="en-au" w:eastAsia="en-US" w:bidi="ar-SA"/>
      </w:rPr>
    </w:lvl>
    <w:lvl w:ilvl="6">
      <w:start w:val="0"/>
      <w:numFmt w:val="bullet"/>
      <w:lvlText w:val="•"/>
      <w:lvlJc w:val="left"/>
      <w:pPr>
        <w:ind w:left="4328" w:hanging="171"/>
      </w:pPr>
      <w:rPr>
        <w:rFonts w:hint="default"/>
        <w:lang w:val="en-au" w:eastAsia="en-US" w:bidi="ar-SA"/>
      </w:rPr>
    </w:lvl>
    <w:lvl w:ilvl="7">
      <w:start w:val="0"/>
      <w:numFmt w:val="bullet"/>
      <w:lvlText w:val="•"/>
      <w:lvlJc w:val="left"/>
      <w:pPr>
        <w:ind w:left="5003" w:hanging="171"/>
      </w:pPr>
      <w:rPr>
        <w:rFonts w:hint="default"/>
        <w:lang w:val="en-au" w:eastAsia="en-US" w:bidi="ar-SA"/>
      </w:rPr>
    </w:lvl>
    <w:lvl w:ilvl="8">
      <w:start w:val="0"/>
      <w:numFmt w:val="bullet"/>
      <w:lvlText w:val="•"/>
      <w:lvlJc w:val="left"/>
      <w:pPr>
        <w:ind w:left="5678" w:hanging="171"/>
      </w:pPr>
      <w:rPr>
        <w:rFonts w:hint="default"/>
        <w:lang w:val="en-au" w:eastAsia="en-US" w:bidi="ar-SA"/>
      </w:rPr>
    </w:lvl>
  </w:abstractNum>
  <w:abstractNum w:abstractNumId="248">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71"/>
      </w:pPr>
      <w:rPr>
        <w:rFonts w:hint="default"/>
        <w:lang w:val="en-au" w:eastAsia="en-US" w:bidi="ar-SA"/>
      </w:rPr>
    </w:lvl>
    <w:lvl w:ilvl="2">
      <w:start w:val="0"/>
      <w:numFmt w:val="bullet"/>
      <w:lvlText w:val="•"/>
      <w:lvlJc w:val="left"/>
      <w:pPr>
        <w:ind w:left="1629" w:hanging="171"/>
      </w:pPr>
      <w:rPr>
        <w:rFonts w:hint="default"/>
        <w:lang w:val="en-au" w:eastAsia="en-US" w:bidi="ar-SA"/>
      </w:rPr>
    </w:lvl>
    <w:lvl w:ilvl="3">
      <w:start w:val="0"/>
      <w:numFmt w:val="bullet"/>
      <w:lvlText w:val="•"/>
      <w:lvlJc w:val="left"/>
      <w:pPr>
        <w:ind w:left="2304" w:hanging="171"/>
      </w:pPr>
      <w:rPr>
        <w:rFonts w:hint="default"/>
        <w:lang w:val="en-au" w:eastAsia="en-US" w:bidi="ar-SA"/>
      </w:rPr>
    </w:lvl>
    <w:lvl w:ilvl="4">
      <w:start w:val="0"/>
      <w:numFmt w:val="bullet"/>
      <w:lvlText w:val="•"/>
      <w:lvlJc w:val="left"/>
      <w:pPr>
        <w:ind w:left="2979" w:hanging="171"/>
      </w:pPr>
      <w:rPr>
        <w:rFonts w:hint="default"/>
        <w:lang w:val="en-au" w:eastAsia="en-US" w:bidi="ar-SA"/>
      </w:rPr>
    </w:lvl>
    <w:lvl w:ilvl="5">
      <w:start w:val="0"/>
      <w:numFmt w:val="bullet"/>
      <w:lvlText w:val="•"/>
      <w:lvlJc w:val="left"/>
      <w:pPr>
        <w:ind w:left="3654" w:hanging="171"/>
      </w:pPr>
      <w:rPr>
        <w:rFonts w:hint="default"/>
        <w:lang w:val="en-au" w:eastAsia="en-US" w:bidi="ar-SA"/>
      </w:rPr>
    </w:lvl>
    <w:lvl w:ilvl="6">
      <w:start w:val="0"/>
      <w:numFmt w:val="bullet"/>
      <w:lvlText w:val="•"/>
      <w:lvlJc w:val="left"/>
      <w:pPr>
        <w:ind w:left="4328" w:hanging="171"/>
      </w:pPr>
      <w:rPr>
        <w:rFonts w:hint="default"/>
        <w:lang w:val="en-au" w:eastAsia="en-US" w:bidi="ar-SA"/>
      </w:rPr>
    </w:lvl>
    <w:lvl w:ilvl="7">
      <w:start w:val="0"/>
      <w:numFmt w:val="bullet"/>
      <w:lvlText w:val="•"/>
      <w:lvlJc w:val="left"/>
      <w:pPr>
        <w:ind w:left="5003" w:hanging="171"/>
      </w:pPr>
      <w:rPr>
        <w:rFonts w:hint="default"/>
        <w:lang w:val="en-au" w:eastAsia="en-US" w:bidi="ar-SA"/>
      </w:rPr>
    </w:lvl>
    <w:lvl w:ilvl="8">
      <w:start w:val="0"/>
      <w:numFmt w:val="bullet"/>
      <w:lvlText w:val="•"/>
      <w:lvlJc w:val="left"/>
      <w:pPr>
        <w:ind w:left="5678" w:hanging="171"/>
      </w:pPr>
      <w:rPr>
        <w:rFonts w:hint="default"/>
        <w:lang w:val="en-au" w:eastAsia="en-US" w:bidi="ar-SA"/>
      </w:rPr>
    </w:lvl>
  </w:abstractNum>
  <w:abstractNum w:abstractNumId="247">
    <w:multiLevelType w:val="hybridMultilevel"/>
    <w:lvl w:ilvl="0">
      <w:start w:val="0"/>
      <w:numFmt w:val="bullet"/>
      <w:lvlText w:val=""/>
      <w:lvlJc w:val="left"/>
      <w:pPr>
        <w:ind w:left="275" w:hanging="168"/>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68"/>
      </w:pPr>
      <w:rPr>
        <w:rFonts w:hint="default"/>
        <w:lang w:val="en-au" w:eastAsia="en-US" w:bidi="ar-SA"/>
      </w:rPr>
    </w:lvl>
    <w:lvl w:ilvl="2">
      <w:start w:val="0"/>
      <w:numFmt w:val="bullet"/>
      <w:lvlText w:val="•"/>
      <w:lvlJc w:val="left"/>
      <w:pPr>
        <w:ind w:left="1629" w:hanging="168"/>
      </w:pPr>
      <w:rPr>
        <w:rFonts w:hint="default"/>
        <w:lang w:val="en-au" w:eastAsia="en-US" w:bidi="ar-SA"/>
      </w:rPr>
    </w:lvl>
    <w:lvl w:ilvl="3">
      <w:start w:val="0"/>
      <w:numFmt w:val="bullet"/>
      <w:lvlText w:val="•"/>
      <w:lvlJc w:val="left"/>
      <w:pPr>
        <w:ind w:left="2304" w:hanging="168"/>
      </w:pPr>
      <w:rPr>
        <w:rFonts w:hint="default"/>
        <w:lang w:val="en-au" w:eastAsia="en-US" w:bidi="ar-SA"/>
      </w:rPr>
    </w:lvl>
    <w:lvl w:ilvl="4">
      <w:start w:val="0"/>
      <w:numFmt w:val="bullet"/>
      <w:lvlText w:val="•"/>
      <w:lvlJc w:val="left"/>
      <w:pPr>
        <w:ind w:left="2979" w:hanging="168"/>
      </w:pPr>
      <w:rPr>
        <w:rFonts w:hint="default"/>
        <w:lang w:val="en-au" w:eastAsia="en-US" w:bidi="ar-SA"/>
      </w:rPr>
    </w:lvl>
    <w:lvl w:ilvl="5">
      <w:start w:val="0"/>
      <w:numFmt w:val="bullet"/>
      <w:lvlText w:val="•"/>
      <w:lvlJc w:val="left"/>
      <w:pPr>
        <w:ind w:left="3654" w:hanging="168"/>
      </w:pPr>
      <w:rPr>
        <w:rFonts w:hint="default"/>
        <w:lang w:val="en-au" w:eastAsia="en-US" w:bidi="ar-SA"/>
      </w:rPr>
    </w:lvl>
    <w:lvl w:ilvl="6">
      <w:start w:val="0"/>
      <w:numFmt w:val="bullet"/>
      <w:lvlText w:val="•"/>
      <w:lvlJc w:val="left"/>
      <w:pPr>
        <w:ind w:left="4328" w:hanging="168"/>
      </w:pPr>
      <w:rPr>
        <w:rFonts w:hint="default"/>
        <w:lang w:val="en-au" w:eastAsia="en-US" w:bidi="ar-SA"/>
      </w:rPr>
    </w:lvl>
    <w:lvl w:ilvl="7">
      <w:start w:val="0"/>
      <w:numFmt w:val="bullet"/>
      <w:lvlText w:val="•"/>
      <w:lvlJc w:val="left"/>
      <w:pPr>
        <w:ind w:left="5003" w:hanging="168"/>
      </w:pPr>
      <w:rPr>
        <w:rFonts w:hint="default"/>
        <w:lang w:val="en-au" w:eastAsia="en-US" w:bidi="ar-SA"/>
      </w:rPr>
    </w:lvl>
    <w:lvl w:ilvl="8">
      <w:start w:val="0"/>
      <w:numFmt w:val="bullet"/>
      <w:lvlText w:val="•"/>
      <w:lvlJc w:val="left"/>
      <w:pPr>
        <w:ind w:left="5678" w:hanging="168"/>
      </w:pPr>
      <w:rPr>
        <w:rFonts w:hint="default"/>
        <w:lang w:val="en-au" w:eastAsia="en-US" w:bidi="ar-SA"/>
      </w:rPr>
    </w:lvl>
  </w:abstractNum>
  <w:abstractNum w:abstractNumId="246">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71"/>
      </w:pPr>
      <w:rPr>
        <w:rFonts w:hint="default"/>
        <w:lang w:val="en-au" w:eastAsia="en-US" w:bidi="ar-SA"/>
      </w:rPr>
    </w:lvl>
    <w:lvl w:ilvl="2">
      <w:start w:val="0"/>
      <w:numFmt w:val="bullet"/>
      <w:lvlText w:val="•"/>
      <w:lvlJc w:val="left"/>
      <w:pPr>
        <w:ind w:left="1629" w:hanging="171"/>
      </w:pPr>
      <w:rPr>
        <w:rFonts w:hint="default"/>
        <w:lang w:val="en-au" w:eastAsia="en-US" w:bidi="ar-SA"/>
      </w:rPr>
    </w:lvl>
    <w:lvl w:ilvl="3">
      <w:start w:val="0"/>
      <w:numFmt w:val="bullet"/>
      <w:lvlText w:val="•"/>
      <w:lvlJc w:val="left"/>
      <w:pPr>
        <w:ind w:left="2304" w:hanging="171"/>
      </w:pPr>
      <w:rPr>
        <w:rFonts w:hint="default"/>
        <w:lang w:val="en-au" w:eastAsia="en-US" w:bidi="ar-SA"/>
      </w:rPr>
    </w:lvl>
    <w:lvl w:ilvl="4">
      <w:start w:val="0"/>
      <w:numFmt w:val="bullet"/>
      <w:lvlText w:val="•"/>
      <w:lvlJc w:val="left"/>
      <w:pPr>
        <w:ind w:left="2979" w:hanging="171"/>
      </w:pPr>
      <w:rPr>
        <w:rFonts w:hint="default"/>
        <w:lang w:val="en-au" w:eastAsia="en-US" w:bidi="ar-SA"/>
      </w:rPr>
    </w:lvl>
    <w:lvl w:ilvl="5">
      <w:start w:val="0"/>
      <w:numFmt w:val="bullet"/>
      <w:lvlText w:val="•"/>
      <w:lvlJc w:val="left"/>
      <w:pPr>
        <w:ind w:left="3654" w:hanging="171"/>
      </w:pPr>
      <w:rPr>
        <w:rFonts w:hint="default"/>
        <w:lang w:val="en-au" w:eastAsia="en-US" w:bidi="ar-SA"/>
      </w:rPr>
    </w:lvl>
    <w:lvl w:ilvl="6">
      <w:start w:val="0"/>
      <w:numFmt w:val="bullet"/>
      <w:lvlText w:val="•"/>
      <w:lvlJc w:val="left"/>
      <w:pPr>
        <w:ind w:left="4328" w:hanging="171"/>
      </w:pPr>
      <w:rPr>
        <w:rFonts w:hint="default"/>
        <w:lang w:val="en-au" w:eastAsia="en-US" w:bidi="ar-SA"/>
      </w:rPr>
    </w:lvl>
    <w:lvl w:ilvl="7">
      <w:start w:val="0"/>
      <w:numFmt w:val="bullet"/>
      <w:lvlText w:val="•"/>
      <w:lvlJc w:val="left"/>
      <w:pPr>
        <w:ind w:left="5003" w:hanging="171"/>
      </w:pPr>
      <w:rPr>
        <w:rFonts w:hint="default"/>
        <w:lang w:val="en-au" w:eastAsia="en-US" w:bidi="ar-SA"/>
      </w:rPr>
    </w:lvl>
    <w:lvl w:ilvl="8">
      <w:start w:val="0"/>
      <w:numFmt w:val="bullet"/>
      <w:lvlText w:val="•"/>
      <w:lvlJc w:val="left"/>
      <w:pPr>
        <w:ind w:left="5678" w:hanging="171"/>
      </w:pPr>
      <w:rPr>
        <w:rFonts w:hint="default"/>
        <w:lang w:val="en-au" w:eastAsia="en-US" w:bidi="ar-SA"/>
      </w:rPr>
    </w:lvl>
  </w:abstractNum>
  <w:abstractNum w:abstractNumId="245">
    <w:multiLevelType w:val="hybridMultilevel"/>
    <w:lvl w:ilvl="0">
      <w:start w:val="0"/>
      <w:numFmt w:val="bullet"/>
      <w:lvlText w:val=""/>
      <w:lvlJc w:val="left"/>
      <w:pPr>
        <w:ind w:left="275" w:hanging="168"/>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68"/>
      </w:pPr>
      <w:rPr>
        <w:rFonts w:hint="default"/>
        <w:lang w:val="en-au" w:eastAsia="en-US" w:bidi="ar-SA"/>
      </w:rPr>
    </w:lvl>
    <w:lvl w:ilvl="2">
      <w:start w:val="0"/>
      <w:numFmt w:val="bullet"/>
      <w:lvlText w:val="•"/>
      <w:lvlJc w:val="left"/>
      <w:pPr>
        <w:ind w:left="1629" w:hanging="168"/>
      </w:pPr>
      <w:rPr>
        <w:rFonts w:hint="default"/>
        <w:lang w:val="en-au" w:eastAsia="en-US" w:bidi="ar-SA"/>
      </w:rPr>
    </w:lvl>
    <w:lvl w:ilvl="3">
      <w:start w:val="0"/>
      <w:numFmt w:val="bullet"/>
      <w:lvlText w:val="•"/>
      <w:lvlJc w:val="left"/>
      <w:pPr>
        <w:ind w:left="2304" w:hanging="168"/>
      </w:pPr>
      <w:rPr>
        <w:rFonts w:hint="default"/>
        <w:lang w:val="en-au" w:eastAsia="en-US" w:bidi="ar-SA"/>
      </w:rPr>
    </w:lvl>
    <w:lvl w:ilvl="4">
      <w:start w:val="0"/>
      <w:numFmt w:val="bullet"/>
      <w:lvlText w:val="•"/>
      <w:lvlJc w:val="left"/>
      <w:pPr>
        <w:ind w:left="2979" w:hanging="168"/>
      </w:pPr>
      <w:rPr>
        <w:rFonts w:hint="default"/>
        <w:lang w:val="en-au" w:eastAsia="en-US" w:bidi="ar-SA"/>
      </w:rPr>
    </w:lvl>
    <w:lvl w:ilvl="5">
      <w:start w:val="0"/>
      <w:numFmt w:val="bullet"/>
      <w:lvlText w:val="•"/>
      <w:lvlJc w:val="left"/>
      <w:pPr>
        <w:ind w:left="3654" w:hanging="168"/>
      </w:pPr>
      <w:rPr>
        <w:rFonts w:hint="default"/>
        <w:lang w:val="en-au" w:eastAsia="en-US" w:bidi="ar-SA"/>
      </w:rPr>
    </w:lvl>
    <w:lvl w:ilvl="6">
      <w:start w:val="0"/>
      <w:numFmt w:val="bullet"/>
      <w:lvlText w:val="•"/>
      <w:lvlJc w:val="left"/>
      <w:pPr>
        <w:ind w:left="4328" w:hanging="168"/>
      </w:pPr>
      <w:rPr>
        <w:rFonts w:hint="default"/>
        <w:lang w:val="en-au" w:eastAsia="en-US" w:bidi="ar-SA"/>
      </w:rPr>
    </w:lvl>
    <w:lvl w:ilvl="7">
      <w:start w:val="0"/>
      <w:numFmt w:val="bullet"/>
      <w:lvlText w:val="•"/>
      <w:lvlJc w:val="left"/>
      <w:pPr>
        <w:ind w:left="5003" w:hanging="168"/>
      </w:pPr>
      <w:rPr>
        <w:rFonts w:hint="default"/>
        <w:lang w:val="en-au" w:eastAsia="en-US" w:bidi="ar-SA"/>
      </w:rPr>
    </w:lvl>
    <w:lvl w:ilvl="8">
      <w:start w:val="0"/>
      <w:numFmt w:val="bullet"/>
      <w:lvlText w:val="•"/>
      <w:lvlJc w:val="left"/>
      <w:pPr>
        <w:ind w:left="5678" w:hanging="168"/>
      </w:pPr>
      <w:rPr>
        <w:rFonts w:hint="default"/>
        <w:lang w:val="en-au" w:eastAsia="en-US" w:bidi="ar-SA"/>
      </w:rPr>
    </w:lvl>
  </w:abstractNum>
  <w:abstractNum w:abstractNumId="244">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821" w:hanging="356"/>
      </w:pPr>
      <w:rPr>
        <w:rFonts w:hint="default" w:ascii="Symbol" w:hAnsi="Symbol" w:eastAsia="Symbol" w:cs="Symbol"/>
        <w:b w:val="0"/>
        <w:bCs w:val="0"/>
        <w:i w:val="0"/>
        <w:iCs w:val="0"/>
        <w:w w:val="100"/>
        <w:sz w:val="18"/>
        <w:szCs w:val="18"/>
        <w:lang w:val="en-au" w:eastAsia="en-US" w:bidi="ar-SA"/>
      </w:rPr>
    </w:lvl>
    <w:lvl w:ilvl="2">
      <w:start w:val="0"/>
      <w:numFmt w:val="bullet"/>
      <w:lvlText w:val="•"/>
      <w:lvlJc w:val="left"/>
      <w:pPr>
        <w:ind w:left="1509" w:hanging="356"/>
      </w:pPr>
      <w:rPr>
        <w:rFonts w:hint="default"/>
        <w:lang w:val="en-au" w:eastAsia="en-US" w:bidi="ar-SA"/>
      </w:rPr>
    </w:lvl>
    <w:lvl w:ilvl="3">
      <w:start w:val="0"/>
      <w:numFmt w:val="bullet"/>
      <w:lvlText w:val="•"/>
      <w:lvlJc w:val="left"/>
      <w:pPr>
        <w:ind w:left="2199" w:hanging="356"/>
      </w:pPr>
      <w:rPr>
        <w:rFonts w:hint="default"/>
        <w:lang w:val="en-au" w:eastAsia="en-US" w:bidi="ar-SA"/>
      </w:rPr>
    </w:lvl>
    <w:lvl w:ilvl="4">
      <w:start w:val="0"/>
      <w:numFmt w:val="bullet"/>
      <w:lvlText w:val="•"/>
      <w:lvlJc w:val="left"/>
      <w:pPr>
        <w:ind w:left="2889" w:hanging="356"/>
      </w:pPr>
      <w:rPr>
        <w:rFonts w:hint="default"/>
        <w:lang w:val="en-au" w:eastAsia="en-US" w:bidi="ar-SA"/>
      </w:rPr>
    </w:lvl>
    <w:lvl w:ilvl="5">
      <w:start w:val="0"/>
      <w:numFmt w:val="bullet"/>
      <w:lvlText w:val="•"/>
      <w:lvlJc w:val="left"/>
      <w:pPr>
        <w:ind w:left="3579" w:hanging="356"/>
      </w:pPr>
      <w:rPr>
        <w:rFonts w:hint="default"/>
        <w:lang w:val="en-au" w:eastAsia="en-US" w:bidi="ar-SA"/>
      </w:rPr>
    </w:lvl>
    <w:lvl w:ilvl="6">
      <w:start w:val="0"/>
      <w:numFmt w:val="bullet"/>
      <w:lvlText w:val="•"/>
      <w:lvlJc w:val="left"/>
      <w:pPr>
        <w:ind w:left="4268" w:hanging="356"/>
      </w:pPr>
      <w:rPr>
        <w:rFonts w:hint="default"/>
        <w:lang w:val="en-au" w:eastAsia="en-US" w:bidi="ar-SA"/>
      </w:rPr>
    </w:lvl>
    <w:lvl w:ilvl="7">
      <w:start w:val="0"/>
      <w:numFmt w:val="bullet"/>
      <w:lvlText w:val="•"/>
      <w:lvlJc w:val="left"/>
      <w:pPr>
        <w:ind w:left="4958" w:hanging="356"/>
      </w:pPr>
      <w:rPr>
        <w:rFonts w:hint="default"/>
        <w:lang w:val="en-au" w:eastAsia="en-US" w:bidi="ar-SA"/>
      </w:rPr>
    </w:lvl>
    <w:lvl w:ilvl="8">
      <w:start w:val="0"/>
      <w:numFmt w:val="bullet"/>
      <w:lvlText w:val="•"/>
      <w:lvlJc w:val="left"/>
      <w:pPr>
        <w:ind w:left="5648" w:hanging="356"/>
      </w:pPr>
      <w:rPr>
        <w:rFonts w:hint="default"/>
        <w:lang w:val="en-au" w:eastAsia="en-US" w:bidi="ar-SA"/>
      </w:rPr>
    </w:lvl>
  </w:abstractNum>
  <w:abstractNum w:abstractNumId="243">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71"/>
      </w:pPr>
      <w:rPr>
        <w:rFonts w:hint="default"/>
        <w:lang w:val="en-au" w:eastAsia="en-US" w:bidi="ar-SA"/>
      </w:rPr>
    </w:lvl>
    <w:lvl w:ilvl="2">
      <w:start w:val="0"/>
      <w:numFmt w:val="bullet"/>
      <w:lvlText w:val="•"/>
      <w:lvlJc w:val="left"/>
      <w:pPr>
        <w:ind w:left="1629" w:hanging="171"/>
      </w:pPr>
      <w:rPr>
        <w:rFonts w:hint="default"/>
        <w:lang w:val="en-au" w:eastAsia="en-US" w:bidi="ar-SA"/>
      </w:rPr>
    </w:lvl>
    <w:lvl w:ilvl="3">
      <w:start w:val="0"/>
      <w:numFmt w:val="bullet"/>
      <w:lvlText w:val="•"/>
      <w:lvlJc w:val="left"/>
      <w:pPr>
        <w:ind w:left="2304" w:hanging="171"/>
      </w:pPr>
      <w:rPr>
        <w:rFonts w:hint="default"/>
        <w:lang w:val="en-au" w:eastAsia="en-US" w:bidi="ar-SA"/>
      </w:rPr>
    </w:lvl>
    <w:lvl w:ilvl="4">
      <w:start w:val="0"/>
      <w:numFmt w:val="bullet"/>
      <w:lvlText w:val="•"/>
      <w:lvlJc w:val="left"/>
      <w:pPr>
        <w:ind w:left="2979" w:hanging="171"/>
      </w:pPr>
      <w:rPr>
        <w:rFonts w:hint="default"/>
        <w:lang w:val="en-au" w:eastAsia="en-US" w:bidi="ar-SA"/>
      </w:rPr>
    </w:lvl>
    <w:lvl w:ilvl="5">
      <w:start w:val="0"/>
      <w:numFmt w:val="bullet"/>
      <w:lvlText w:val="•"/>
      <w:lvlJc w:val="left"/>
      <w:pPr>
        <w:ind w:left="3654" w:hanging="171"/>
      </w:pPr>
      <w:rPr>
        <w:rFonts w:hint="default"/>
        <w:lang w:val="en-au" w:eastAsia="en-US" w:bidi="ar-SA"/>
      </w:rPr>
    </w:lvl>
    <w:lvl w:ilvl="6">
      <w:start w:val="0"/>
      <w:numFmt w:val="bullet"/>
      <w:lvlText w:val="•"/>
      <w:lvlJc w:val="left"/>
      <w:pPr>
        <w:ind w:left="4328" w:hanging="171"/>
      </w:pPr>
      <w:rPr>
        <w:rFonts w:hint="default"/>
        <w:lang w:val="en-au" w:eastAsia="en-US" w:bidi="ar-SA"/>
      </w:rPr>
    </w:lvl>
    <w:lvl w:ilvl="7">
      <w:start w:val="0"/>
      <w:numFmt w:val="bullet"/>
      <w:lvlText w:val="•"/>
      <w:lvlJc w:val="left"/>
      <w:pPr>
        <w:ind w:left="5003" w:hanging="171"/>
      </w:pPr>
      <w:rPr>
        <w:rFonts w:hint="default"/>
        <w:lang w:val="en-au" w:eastAsia="en-US" w:bidi="ar-SA"/>
      </w:rPr>
    </w:lvl>
    <w:lvl w:ilvl="8">
      <w:start w:val="0"/>
      <w:numFmt w:val="bullet"/>
      <w:lvlText w:val="•"/>
      <w:lvlJc w:val="left"/>
      <w:pPr>
        <w:ind w:left="5678" w:hanging="171"/>
      </w:pPr>
      <w:rPr>
        <w:rFonts w:hint="default"/>
        <w:lang w:val="en-au" w:eastAsia="en-US" w:bidi="ar-SA"/>
      </w:rPr>
    </w:lvl>
  </w:abstractNum>
  <w:abstractNum w:abstractNumId="242">
    <w:multiLevelType w:val="hybridMultilevel"/>
    <w:lvl w:ilvl="0">
      <w:start w:val="0"/>
      <w:numFmt w:val="bullet"/>
      <w:lvlText w:val=""/>
      <w:lvlJc w:val="left"/>
      <w:pPr>
        <w:ind w:left="275" w:hanging="168"/>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68"/>
      </w:pPr>
      <w:rPr>
        <w:rFonts w:hint="default"/>
        <w:lang w:val="en-au" w:eastAsia="en-US" w:bidi="ar-SA"/>
      </w:rPr>
    </w:lvl>
    <w:lvl w:ilvl="2">
      <w:start w:val="0"/>
      <w:numFmt w:val="bullet"/>
      <w:lvlText w:val="•"/>
      <w:lvlJc w:val="left"/>
      <w:pPr>
        <w:ind w:left="1629" w:hanging="168"/>
      </w:pPr>
      <w:rPr>
        <w:rFonts w:hint="default"/>
        <w:lang w:val="en-au" w:eastAsia="en-US" w:bidi="ar-SA"/>
      </w:rPr>
    </w:lvl>
    <w:lvl w:ilvl="3">
      <w:start w:val="0"/>
      <w:numFmt w:val="bullet"/>
      <w:lvlText w:val="•"/>
      <w:lvlJc w:val="left"/>
      <w:pPr>
        <w:ind w:left="2304" w:hanging="168"/>
      </w:pPr>
      <w:rPr>
        <w:rFonts w:hint="default"/>
        <w:lang w:val="en-au" w:eastAsia="en-US" w:bidi="ar-SA"/>
      </w:rPr>
    </w:lvl>
    <w:lvl w:ilvl="4">
      <w:start w:val="0"/>
      <w:numFmt w:val="bullet"/>
      <w:lvlText w:val="•"/>
      <w:lvlJc w:val="left"/>
      <w:pPr>
        <w:ind w:left="2979" w:hanging="168"/>
      </w:pPr>
      <w:rPr>
        <w:rFonts w:hint="default"/>
        <w:lang w:val="en-au" w:eastAsia="en-US" w:bidi="ar-SA"/>
      </w:rPr>
    </w:lvl>
    <w:lvl w:ilvl="5">
      <w:start w:val="0"/>
      <w:numFmt w:val="bullet"/>
      <w:lvlText w:val="•"/>
      <w:lvlJc w:val="left"/>
      <w:pPr>
        <w:ind w:left="3654" w:hanging="168"/>
      </w:pPr>
      <w:rPr>
        <w:rFonts w:hint="default"/>
        <w:lang w:val="en-au" w:eastAsia="en-US" w:bidi="ar-SA"/>
      </w:rPr>
    </w:lvl>
    <w:lvl w:ilvl="6">
      <w:start w:val="0"/>
      <w:numFmt w:val="bullet"/>
      <w:lvlText w:val="•"/>
      <w:lvlJc w:val="left"/>
      <w:pPr>
        <w:ind w:left="4328" w:hanging="168"/>
      </w:pPr>
      <w:rPr>
        <w:rFonts w:hint="default"/>
        <w:lang w:val="en-au" w:eastAsia="en-US" w:bidi="ar-SA"/>
      </w:rPr>
    </w:lvl>
    <w:lvl w:ilvl="7">
      <w:start w:val="0"/>
      <w:numFmt w:val="bullet"/>
      <w:lvlText w:val="•"/>
      <w:lvlJc w:val="left"/>
      <w:pPr>
        <w:ind w:left="5003" w:hanging="168"/>
      </w:pPr>
      <w:rPr>
        <w:rFonts w:hint="default"/>
        <w:lang w:val="en-au" w:eastAsia="en-US" w:bidi="ar-SA"/>
      </w:rPr>
    </w:lvl>
    <w:lvl w:ilvl="8">
      <w:start w:val="0"/>
      <w:numFmt w:val="bullet"/>
      <w:lvlText w:val="•"/>
      <w:lvlJc w:val="left"/>
      <w:pPr>
        <w:ind w:left="5678" w:hanging="168"/>
      </w:pPr>
      <w:rPr>
        <w:rFonts w:hint="default"/>
        <w:lang w:val="en-au" w:eastAsia="en-US" w:bidi="ar-SA"/>
      </w:rPr>
    </w:lvl>
  </w:abstractNum>
  <w:abstractNum w:abstractNumId="241">
    <w:multiLevelType w:val="hybridMultilevel"/>
    <w:lvl w:ilvl="0">
      <w:start w:val="0"/>
      <w:numFmt w:val="bullet"/>
      <w:lvlText w:val=""/>
      <w:lvlJc w:val="left"/>
      <w:pPr>
        <w:ind w:left="275" w:hanging="168"/>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828" w:hanging="360"/>
      </w:pPr>
      <w:rPr>
        <w:rFonts w:hint="default" w:ascii="Symbol" w:hAnsi="Symbol" w:eastAsia="Symbol" w:cs="Symbol"/>
        <w:b w:val="0"/>
        <w:bCs w:val="0"/>
        <w:i w:val="0"/>
        <w:iCs w:val="0"/>
        <w:w w:val="100"/>
        <w:sz w:val="18"/>
        <w:szCs w:val="18"/>
        <w:lang w:val="en-au" w:eastAsia="en-US" w:bidi="ar-SA"/>
      </w:rPr>
    </w:lvl>
    <w:lvl w:ilvl="2">
      <w:start w:val="0"/>
      <w:numFmt w:val="bullet"/>
      <w:lvlText w:val="•"/>
      <w:lvlJc w:val="left"/>
      <w:pPr>
        <w:ind w:left="1509" w:hanging="360"/>
      </w:pPr>
      <w:rPr>
        <w:rFonts w:hint="default"/>
        <w:lang w:val="en-au" w:eastAsia="en-US" w:bidi="ar-SA"/>
      </w:rPr>
    </w:lvl>
    <w:lvl w:ilvl="3">
      <w:start w:val="0"/>
      <w:numFmt w:val="bullet"/>
      <w:lvlText w:val="•"/>
      <w:lvlJc w:val="left"/>
      <w:pPr>
        <w:ind w:left="2199" w:hanging="360"/>
      </w:pPr>
      <w:rPr>
        <w:rFonts w:hint="default"/>
        <w:lang w:val="en-au" w:eastAsia="en-US" w:bidi="ar-SA"/>
      </w:rPr>
    </w:lvl>
    <w:lvl w:ilvl="4">
      <w:start w:val="0"/>
      <w:numFmt w:val="bullet"/>
      <w:lvlText w:val="•"/>
      <w:lvlJc w:val="left"/>
      <w:pPr>
        <w:ind w:left="2889" w:hanging="360"/>
      </w:pPr>
      <w:rPr>
        <w:rFonts w:hint="default"/>
        <w:lang w:val="en-au" w:eastAsia="en-US" w:bidi="ar-SA"/>
      </w:rPr>
    </w:lvl>
    <w:lvl w:ilvl="5">
      <w:start w:val="0"/>
      <w:numFmt w:val="bullet"/>
      <w:lvlText w:val="•"/>
      <w:lvlJc w:val="left"/>
      <w:pPr>
        <w:ind w:left="3579" w:hanging="360"/>
      </w:pPr>
      <w:rPr>
        <w:rFonts w:hint="default"/>
        <w:lang w:val="en-au" w:eastAsia="en-US" w:bidi="ar-SA"/>
      </w:rPr>
    </w:lvl>
    <w:lvl w:ilvl="6">
      <w:start w:val="0"/>
      <w:numFmt w:val="bullet"/>
      <w:lvlText w:val="•"/>
      <w:lvlJc w:val="left"/>
      <w:pPr>
        <w:ind w:left="4268" w:hanging="360"/>
      </w:pPr>
      <w:rPr>
        <w:rFonts w:hint="default"/>
        <w:lang w:val="en-au" w:eastAsia="en-US" w:bidi="ar-SA"/>
      </w:rPr>
    </w:lvl>
    <w:lvl w:ilvl="7">
      <w:start w:val="0"/>
      <w:numFmt w:val="bullet"/>
      <w:lvlText w:val="•"/>
      <w:lvlJc w:val="left"/>
      <w:pPr>
        <w:ind w:left="4958" w:hanging="360"/>
      </w:pPr>
      <w:rPr>
        <w:rFonts w:hint="default"/>
        <w:lang w:val="en-au" w:eastAsia="en-US" w:bidi="ar-SA"/>
      </w:rPr>
    </w:lvl>
    <w:lvl w:ilvl="8">
      <w:start w:val="0"/>
      <w:numFmt w:val="bullet"/>
      <w:lvlText w:val="•"/>
      <w:lvlJc w:val="left"/>
      <w:pPr>
        <w:ind w:left="5648" w:hanging="360"/>
      </w:pPr>
      <w:rPr>
        <w:rFonts w:hint="default"/>
        <w:lang w:val="en-au" w:eastAsia="en-US" w:bidi="ar-SA"/>
      </w:rPr>
    </w:lvl>
  </w:abstractNum>
  <w:abstractNum w:abstractNumId="240">
    <w:multiLevelType w:val="hybridMultilevel"/>
    <w:lvl w:ilvl="0">
      <w:start w:val="0"/>
      <w:numFmt w:val="bullet"/>
      <w:lvlText w:val=""/>
      <w:lvlJc w:val="left"/>
      <w:pPr>
        <w:ind w:left="275" w:hanging="168"/>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68"/>
      </w:pPr>
      <w:rPr>
        <w:rFonts w:hint="default"/>
        <w:lang w:val="en-au" w:eastAsia="en-US" w:bidi="ar-SA"/>
      </w:rPr>
    </w:lvl>
    <w:lvl w:ilvl="2">
      <w:start w:val="0"/>
      <w:numFmt w:val="bullet"/>
      <w:lvlText w:val="•"/>
      <w:lvlJc w:val="left"/>
      <w:pPr>
        <w:ind w:left="1629" w:hanging="168"/>
      </w:pPr>
      <w:rPr>
        <w:rFonts w:hint="default"/>
        <w:lang w:val="en-au" w:eastAsia="en-US" w:bidi="ar-SA"/>
      </w:rPr>
    </w:lvl>
    <w:lvl w:ilvl="3">
      <w:start w:val="0"/>
      <w:numFmt w:val="bullet"/>
      <w:lvlText w:val="•"/>
      <w:lvlJc w:val="left"/>
      <w:pPr>
        <w:ind w:left="2304" w:hanging="168"/>
      </w:pPr>
      <w:rPr>
        <w:rFonts w:hint="default"/>
        <w:lang w:val="en-au" w:eastAsia="en-US" w:bidi="ar-SA"/>
      </w:rPr>
    </w:lvl>
    <w:lvl w:ilvl="4">
      <w:start w:val="0"/>
      <w:numFmt w:val="bullet"/>
      <w:lvlText w:val="•"/>
      <w:lvlJc w:val="left"/>
      <w:pPr>
        <w:ind w:left="2979" w:hanging="168"/>
      </w:pPr>
      <w:rPr>
        <w:rFonts w:hint="default"/>
        <w:lang w:val="en-au" w:eastAsia="en-US" w:bidi="ar-SA"/>
      </w:rPr>
    </w:lvl>
    <w:lvl w:ilvl="5">
      <w:start w:val="0"/>
      <w:numFmt w:val="bullet"/>
      <w:lvlText w:val="•"/>
      <w:lvlJc w:val="left"/>
      <w:pPr>
        <w:ind w:left="3654" w:hanging="168"/>
      </w:pPr>
      <w:rPr>
        <w:rFonts w:hint="default"/>
        <w:lang w:val="en-au" w:eastAsia="en-US" w:bidi="ar-SA"/>
      </w:rPr>
    </w:lvl>
    <w:lvl w:ilvl="6">
      <w:start w:val="0"/>
      <w:numFmt w:val="bullet"/>
      <w:lvlText w:val="•"/>
      <w:lvlJc w:val="left"/>
      <w:pPr>
        <w:ind w:left="4328" w:hanging="168"/>
      </w:pPr>
      <w:rPr>
        <w:rFonts w:hint="default"/>
        <w:lang w:val="en-au" w:eastAsia="en-US" w:bidi="ar-SA"/>
      </w:rPr>
    </w:lvl>
    <w:lvl w:ilvl="7">
      <w:start w:val="0"/>
      <w:numFmt w:val="bullet"/>
      <w:lvlText w:val="•"/>
      <w:lvlJc w:val="left"/>
      <w:pPr>
        <w:ind w:left="5003" w:hanging="168"/>
      </w:pPr>
      <w:rPr>
        <w:rFonts w:hint="default"/>
        <w:lang w:val="en-au" w:eastAsia="en-US" w:bidi="ar-SA"/>
      </w:rPr>
    </w:lvl>
    <w:lvl w:ilvl="8">
      <w:start w:val="0"/>
      <w:numFmt w:val="bullet"/>
      <w:lvlText w:val="•"/>
      <w:lvlJc w:val="left"/>
      <w:pPr>
        <w:ind w:left="5678" w:hanging="168"/>
      </w:pPr>
      <w:rPr>
        <w:rFonts w:hint="default"/>
        <w:lang w:val="en-au" w:eastAsia="en-US" w:bidi="ar-SA"/>
      </w:rPr>
    </w:lvl>
  </w:abstractNum>
  <w:abstractNum w:abstractNumId="239">
    <w:multiLevelType w:val="hybridMultilevel"/>
    <w:lvl w:ilvl="0">
      <w:start w:val="0"/>
      <w:numFmt w:val="bullet"/>
      <w:lvlText w:val=""/>
      <w:lvlJc w:val="left"/>
      <w:pPr>
        <w:ind w:left="275" w:hanging="168"/>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68"/>
      </w:pPr>
      <w:rPr>
        <w:rFonts w:hint="default"/>
        <w:lang w:val="en-au" w:eastAsia="en-US" w:bidi="ar-SA"/>
      </w:rPr>
    </w:lvl>
    <w:lvl w:ilvl="2">
      <w:start w:val="0"/>
      <w:numFmt w:val="bullet"/>
      <w:lvlText w:val="•"/>
      <w:lvlJc w:val="left"/>
      <w:pPr>
        <w:ind w:left="1629" w:hanging="168"/>
      </w:pPr>
      <w:rPr>
        <w:rFonts w:hint="default"/>
        <w:lang w:val="en-au" w:eastAsia="en-US" w:bidi="ar-SA"/>
      </w:rPr>
    </w:lvl>
    <w:lvl w:ilvl="3">
      <w:start w:val="0"/>
      <w:numFmt w:val="bullet"/>
      <w:lvlText w:val="•"/>
      <w:lvlJc w:val="left"/>
      <w:pPr>
        <w:ind w:left="2304" w:hanging="168"/>
      </w:pPr>
      <w:rPr>
        <w:rFonts w:hint="default"/>
        <w:lang w:val="en-au" w:eastAsia="en-US" w:bidi="ar-SA"/>
      </w:rPr>
    </w:lvl>
    <w:lvl w:ilvl="4">
      <w:start w:val="0"/>
      <w:numFmt w:val="bullet"/>
      <w:lvlText w:val="•"/>
      <w:lvlJc w:val="left"/>
      <w:pPr>
        <w:ind w:left="2979" w:hanging="168"/>
      </w:pPr>
      <w:rPr>
        <w:rFonts w:hint="default"/>
        <w:lang w:val="en-au" w:eastAsia="en-US" w:bidi="ar-SA"/>
      </w:rPr>
    </w:lvl>
    <w:lvl w:ilvl="5">
      <w:start w:val="0"/>
      <w:numFmt w:val="bullet"/>
      <w:lvlText w:val="•"/>
      <w:lvlJc w:val="left"/>
      <w:pPr>
        <w:ind w:left="3654" w:hanging="168"/>
      </w:pPr>
      <w:rPr>
        <w:rFonts w:hint="default"/>
        <w:lang w:val="en-au" w:eastAsia="en-US" w:bidi="ar-SA"/>
      </w:rPr>
    </w:lvl>
    <w:lvl w:ilvl="6">
      <w:start w:val="0"/>
      <w:numFmt w:val="bullet"/>
      <w:lvlText w:val="•"/>
      <w:lvlJc w:val="left"/>
      <w:pPr>
        <w:ind w:left="4328" w:hanging="168"/>
      </w:pPr>
      <w:rPr>
        <w:rFonts w:hint="default"/>
        <w:lang w:val="en-au" w:eastAsia="en-US" w:bidi="ar-SA"/>
      </w:rPr>
    </w:lvl>
    <w:lvl w:ilvl="7">
      <w:start w:val="0"/>
      <w:numFmt w:val="bullet"/>
      <w:lvlText w:val="•"/>
      <w:lvlJc w:val="left"/>
      <w:pPr>
        <w:ind w:left="5003" w:hanging="168"/>
      </w:pPr>
      <w:rPr>
        <w:rFonts w:hint="default"/>
        <w:lang w:val="en-au" w:eastAsia="en-US" w:bidi="ar-SA"/>
      </w:rPr>
    </w:lvl>
    <w:lvl w:ilvl="8">
      <w:start w:val="0"/>
      <w:numFmt w:val="bullet"/>
      <w:lvlText w:val="•"/>
      <w:lvlJc w:val="left"/>
      <w:pPr>
        <w:ind w:left="5678" w:hanging="168"/>
      </w:pPr>
      <w:rPr>
        <w:rFonts w:hint="default"/>
        <w:lang w:val="en-au" w:eastAsia="en-US" w:bidi="ar-SA"/>
      </w:rPr>
    </w:lvl>
  </w:abstractNum>
  <w:abstractNum w:abstractNumId="238">
    <w:multiLevelType w:val="hybridMultilevel"/>
    <w:lvl w:ilvl="0">
      <w:start w:val="0"/>
      <w:numFmt w:val="bullet"/>
      <w:lvlText w:val=""/>
      <w:lvlJc w:val="left"/>
      <w:pPr>
        <w:ind w:left="275" w:hanging="168"/>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68"/>
      </w:pPr>
      <w:rPr>
        <w:rFonts w:hint="default"/>
        <w:lang w:val="en-au" w:eastAsia="en-US" w:bidi="ar-SA"/>
      </w:rPr>
    </w:lvl>
    <w:lvl w:ilvl="2">
      <w:start w:val="0"/>
      <w:numFmt w:val="bullet"/>
      <w:lvlText w:val="•"/>
      <w:lvlJc w:val="left"/>
      <w:pPr>
        <w:ind w:left="1629" w:hanging="168"/>
      </w:pPr>
      <w:rPr>
        <w:rFonts w:hint="default"/>
        <w:lang w:val="en-au" w:eastAsia="en-US" w:bidi="ar-SA"/>
      </w:rPr>
    </w:lvl>
    <w:lvl w:ilvl="3">
      <w:start w:val="0"/>
      <w:numFmt w:val="bullet"/>
      <w:lvlText w:val="•"/>
      <w:lvlJc w:val="left"/>
      <w:pPr>
        <w:ind w:left="2304" w:hanging="168"/>
      </w:pPr>
      <w:rPr>
        <w:rFonts w:hint="default"/>
        <w:lang w:val="en-au" w:eastAsia="en-US" w:bidi="ar-SA"/>
      </w:rPr>
    </w:lvl>
    <w:lvl w:ilvl="4">
      <w:start w:val="0"/>
      <w:numFmt w:val="bullet"/>
      <w:lvlText w:val="•"/>
      <w:lvlJc w:val="left"/>
      <w:pPr>
        <w:ind w:left="2979" w:hanging="168"/>
      </w:pPr>
      <w:rPr>
        <w:rFonts w:hint="default"/>
        <w:lang w:val="en-au" w:eastAsia="en-US" w:bidi="ar-SA"/>
      </w:rPr>
    </w:lvl>
    <w:lvl w:ilvl="5">
      <w:start w:val="0"/>
      <w:numFmt w:val="bullet"/>
      <w:lvlText w:val="•"/>
      <w:lvlJc w:val="left"/>
      <w:pPr>
        <w:ind w:left="3654" w:hanging="168"/>
      </w:pPr>
      <w:rPr>
        <w:rFonts w:hint="default"/>
        <w:lang w:val="en-au" w:eastAsia="en-US" w:bidi="ar-SA"/>
      </w:rPr>
    </w:lvl>
    <w:lvl w:ilvl="6">
      <w:start w:val="0"/>
      <w:numFmt w:val="bullet"/>
      <w:lvlText w:val="•"/>
      <w:lvlJc w:val="left"/>
      <w:pPr>
        <w:ind w:left="4328" w:hanging="168"/>
      </w:pPr>
      <w:rPr>
        <w:rFonts w:hint="default"/>
        <w:lang w:val="en-au" w:eastAsia="en-US" w:bidi="ar-SA"/>
      </w:rPr>
    </w:lvl>
    <w:lvl w:ilvl="7">
      <w:start w:val="0"/>
      <w:numFmt w:val="bullet"/>
      <w:lvlText w:val="•"/>
      <w:lvlJc w:val="left"/>
      <w:pPr>
        <w:ind w:left="5003" w:hanging="168"/>
      </w:pPr>
      <w:rPr>
        <w:rFonts w:hint="default"/>
        <w:lang w:val="en-au" w:eastAsia="en-US" w:bidi="ar-SA"/>
      </w:rPr>
    </w:lvl>
    <w:lvl w:ilvl="8">
      <w:start w:val="0"/>
      <w:numFmt w:val="bullet"/>
      <w:lvlText w:val="•"/>
      <w:lvlJc w:val="left"/>
      <w:pPr>
        <w:ind w:left="5678" w:hanging="168"/>
      </w:pPr>
      <w:rPr>
        <w:rFonts w:hint="default"/>
        <w:lang w:val="en-au" w:eastAsia="en-US" w:bidi="ar-SA"/>
      </w:rPr>
    </w:lvl>
  </w:abstractNum>
  <w:abstractNum w:abstractNumId="237">
    <w:multiLevelType w:val="hybridMultilevel"/>
    <w:lvl w:ilvl="0">
      <w:start w:val="0"/>
      <w:numFmt w:val="bullet"/>
      <w:lvlText w:val=""/>
      <w:lvlJc w:val="left"/>
      <w:pPr>
        <w:ind w:left="275" w:hanging="168"/>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68"/>
      </w:pPr>
      <w:rPr>
        <w:rFonts w:hint="default"/>
        <w:lang w:val="en-au" w:eastAsia="en-US" w:bidi="ar-SA"/>
      </w:rPr>
    </w:lvl>
    <w:lvl w:ilvl="2">
      <w:start w:val="0"/>
      <w:numFmt w:val="bullet"/>
      <w:lvlText w:val="•"/>
      <w:lvlJc w:val="left"/>
      <w:pPr>
        <w:ind w:left="1629" w:hanging="168"/>
      </w:pPr>
      <w:rPr>
        <w:rFonts w:hint="default"/>
        <w:lang w:val="en-au" w:eastAsia="en-US" w:bidi="ar-SA"/>
      </w:rPr>
    </w:lvl>
    <w:lvl w:ilvl="3">
      <w:start w:val="0"/>
      <w:numFmt w:val="bullet"/>
      <w:lvlText w:val="•"/>
      <w:lvlJc w:val="left"/>
      <w:pPr>
        <w:ind w:left="2304" w:hanging="168"/>
      </w:pPr>
      <w:rPr>
        <w:rFonts w:hint="default"/>
        <w:lang w:val="en-au" w:eastAsia="en-US" w:bidi="ar-SA"/>
      </w:rPr>
    </w:lvl>
    <w:lvl w:ilvl="4">
      <w:start w:val="0"/>
      <w:numFmt w:val="bullet"/>
      <w:lvlText w:val="•"/>
      <w:lvlJc w:val="left"/>
      <w:pPr>
        <w:ind w:left="2979" w:hanging="168"/>
      </w:pPr>
      <w:rPr>
        <w:rFonts w:hint="default"/>
        <w:lang w:val="en-au" w:eastAsia="en-US" w:bidi="ar-SA"/>
      </w:rPr>
    </w:lvl>
    <w:lvl w:ilvl="5">
      <w:start w:val="0"/>
      <w:numFmt w:val="bullet"/>
      <w:lvlText w:val="•"/>
      <w:lvlJc w:val="left"/>
      <w:pPr>
        <w:ind w:left="3654" w:hanging="168"/>
      </w:pPr>
      <w:rPr>
        <w:rFonts w:hint="default"/>
        <w:lang w:val="en-au" w:eastAsia="en-US" w:bidi="ar-SA"/>
      </w:rPr>
    </w:lvl>
    <w:lvl w:ilvl="6">
      <w:start w:val="0"/>
      <w:numFmt w:val="bullet"/>
      <w:lvlText w:val="•"/>
      <w:lvlJc w:val="left"/>
      <w:pPr>
        <w:ind w:left="4328" w:hanging="168"/>
      </w:pPr>
      <w:rPr>
        <w:rFonts w:hint="default"/>
        <w:lang w:val="en-au" w:eastAsia="en-US" w:bidi="ar-SA"/>
      </w:rPr>
    </w:lvl>
    <w:lvl w:ilvl="7">
      <w:start w:val="0"/>
      <w:numFmt w:val="bullet"/>
      <w:lvlText w:val="•"/>
      <w:lvlJc w:val="left"/>
      <w:pPr>
        <w:ind w:left="5003" w:hanging="168"/>
      </w:pPr>
      <w:rPr>
        <w:rFonts w:hint="default"/>
        <w:lang w:val="en-au" w:eastAsia="en-US" w:bidi="ar-SA"/>
      </w:rPr>
    </w:lvl>
    <w:lvl w:ilvl="8">
      <w:start w:val="0"/>
      <w:numFmt w:val="bullet"/>
      <w:lvlText w:val="•"/>
      <w:lvlJc w:val="left"/>
      <w:pPr>
        <w:ind w:left="5678" w:hanging="168"/>
      </w:pPr>
      <w:rPr>
        <w:rFonts w:hint="default"/>
        <w:lang w:val="en-au" w:eastAsia="en-US" w:bidi="ar-SA"/>
      </w:rPr>
    </w:lvl>
  </w:abstractNum>
  <w:abstractNum w:abstractNumId="236">
    <w:multiLevelType w:val="hybridMultilevel"/>
    <w:lvl w:ilvl="0">
      <w:start w:val="0"/>
      <w:numFmt w:val="bullet"/>
      <w:lvlText w:val=""/>
      <w:lvlJc w:val="left"/>
      <w:pPr>
        <w:ind w:left="275" w:hanging="168"/>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68"/>
      </w:pPr>
      <w:rPr>
        <w:rFonts w:hint="default"/>
        <w:lang w:val="en-au" w:eastAsia="en-US" w:bidi="ar-SA"/>
      </w:rPr>
    </w:lvl>
    <w:lvl w:ilvl="2">
      <w:start w:val="0"/>
      <w:numFmt w:val="bullet"/>
      <w:lvlText w:val="•"/>
      <w:lvlJc w:val="left"/>
      <w:pPr>
        <w:ind w:left="1629" w:hanging="168"/>
      </w:pPr>
      <w:rPr>
        <w:rFonts w:hint="default"/>
        <w:lang w:val="en-au" w:eastAsia="en-US" w:bidi="ar-SA"/>
      </w:rPr>
    </w:lvl>
    <w:lvl w:ilvl="3">
      <w:start w:val="0"/>
      <w:numFmt w:val="bullet"/>
      <w:lvlText w:val="•"/>
      <w:lvlJc w:val="left"/>
      <w:pPr>
        <w:ind w:left="2304" w:hanging="168"/>
      </w:pPr>
      <w:rPr>
        <w:rFonts w:hint="default"/>
        <w:lang w:val="en-au" w:eastAsia="en-US" w:bidi="ar-SA"/>
      </w:rPr>
    </w:lvl>
    <w:lvl w:ilvl="4">
      <w:start w:val="0"/>
      <w:numFmt w:val="bullet"/>
      <w:lvlText w:val="•"/>
      <w:lvlJc w:val="left"/>
      <w:pPr>
        <w:ind w:left="2979" w:hanging="168"/>
      </w:pPr>
      <w:rPr>
        <w:rFonts w:hint="default"/>
        <w:lang w:val="en-au" w:eastAsia="en-US" w:bidi="ar-SA"/>
      </w:rPr>
    </w:lvl>
    <w:lvl w:ilvl="5">
      <w:start w:val="0"/>
      <w:numFmt w:val="bullet"/>
      <w:lvlText w:val="•"/>
      <w:lvlJc w:val="left"/>
      <w:pPr>
        <w:ind w:left="3654" w:hanging="168"/>
      </w:pPr>
      <w:rPr>
        <w:rFonts w:hint="default"/>
        <w:lang w:val="en-au" w:eastAsia="en-US" w:bidi="ar-SA"/>
      </w:rPr>
    </w:lvl>
    <w:lvl w:ilvl="6">
      <w:start w:val="0"/>
      <w:numFmt w:val="bullet"/>
      <w:lvlText w:val="•"/>
      <w:lvlJc w:val="left"/>
      <w:pPr>
        <w:ind w:left="4328" w:hanging="168"/>
      </w:pPr>
      <w:rPr>
        <w:rFonts w:hint="default"/>
        <w:lang w:val="en-au" w:eastAsia="en-US" w:bidi="ar-SA"/>
      </w:rPr>
    </w:lvl>
    <w:lvl w:ilvl="7">
      <w:start w:val="0"/>
      <w:numFmt w:val="bullet"/>
      <w:lvlText w:val="•"/>
      <w:lvlJc w:val="left"/>
      <w:pPr>
        <w:ind w:left="5003" w:hanging="168"/>
      </w:pPr>
      <w:rPr>
        <w:rFonts w:hint="default"/>
        <w:lang w:val="en-au" w:eastAsia="en-US" w:bidi="ar-SA"/>
      </w:rPr>
    </w:lvl>
    <w:lvl w:ilvl="8">
      <w:start w:val="0"/>
      <w:numFmt w:val="bullet"/>
      <w:lvlText w:val="•"/>
      <w:lvlJc w:val="left"/>
      <w:pPr>
        <w:ind w:left="5678" w:hanging="168"/>
      </w:pPr>
      <w:rPr>
        <w:rFonts w:hint="default"/>
        <w:lang w:val="en-au" w:eastAsia="en-US" w:bidi="ar-SA"/>
      </w:rPr>
    </w:lvl>
  </w:abstractNum>
  <w:abstractNum w:abstractNumId="235">
    <w:multiLevelType w:val="hybridMultilevel"/>
    <w:lvl w:ilvl="0">
      <w:start w:val="0"/>
      <w:numFmt w:val="bullet"/>
      <w:lvlText w:val=""/>
      <w:lvlJc w:val="left"/>
      <w:pPr>
        <w:ind w:left="275" w:hanging="168"/>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828" w:hanging="360"/>
      </w:pPr>
      <w:rPr>
        <w:rFonts w:hint="default" w:ascii="Symbol" w:hAnsi="Symbol" w:eastAsia="Symbol" w:cs="Symbol"/>
        <w:b w:val="0"/>
        <w:bCs w:val="0"/>
        <w:i w:val="0"/>
        <w:iCs w:val="0"/>
        <w:w w:val="100"/>
        <w:sz w:val="18"/>
        <w:szCs w:val="18"/>
        <w:lang w:val="en-au" w:eastAsia="en-US" w:bidi="ar-SA"/>
      </w:rPr>
    </w:lvl>
    <w:lvl w:ilvl="2">
      <w:start w:val="0"/>
      <w:numFmt w:val="bullet"/>
      <w:lvlText w:val="•"/>
      <w:lvlJc w:val="left"/>
      <w:pPr>
        <w:ind w:left="1509" w:hanging="360"/>
      </w:pPr>
      <w:rPr>
        <w:rFonts w:hint="default"/>
        <w:lang w:val="en-au" w:eastAsia="en-US" w:bidi="ar-SA"/>
      </w:rPr>
    </w:lvl>
    <w:lvl w:ilvl="3">
      <w:start w:val="0"/>
      <w:numFmt w:val="bullet"/>
      <w:lvlText w:val="•"/>
      <w:lvlJc w:val="left"/>
      <w:pPr>
        <w:ind w:left="2199" w:hanging="360"/>
      </w:pPr>
      <w:rPr>
        <w:rFonts w:hint="default"/>
        <w:lang w:val="en-au" w:eastAsia="en-US" w:bidi="ar-SA"/>
      </w:rPr>
    </w:lvl>
    <w:lvl w:ilvl="4">
      <w:start w:val="0"/>
      <w:numFmt w:val="bullet"/>
      <w:lvlText w:val="•"/>
      <w:lvlJc w:val="left"/>
      <w:pPr>
        <w:ind w:left="2889" w:hanging="360"/>
      </w:pPr>
      <w:rPr>
        <w:rFonts w:hint="default"/>
        <w:lang w:val="en-au" w:eastAsia="en-US" w:bidi="ar-SA"/>
      </w:rPr>
    </w:lvl>
    <w:lvl w:ilvl="5">
      <w:start w:val="0"/>
      <w:numFmt w:val="bullet"/>
      <w:lvlText w:val="•"/>
      <w:lvlJc w:val="left"/>
      <w:pPr>
        <w:ind w:left="3579" w:hanging="360"/>
      </w:pPr>
      <w:rPr>
        <w:rFonts w:hint="default"/>
        <w:lang w:val="en-au" w:eastAsia="en-US" w:bidi="ar-SA"/>
      </w:rPr>
    </w:lvl>
    <w:lvl w:ilvl="6">
      <w:start w:val="0"/>
      <w:numFmt w:val="bullet"/>
      <w:lvlText w:val="•"/>
      <w:lvlJc w:val="left"/>
      <w:pPr>
        <w:ind w:left="4268" w:hanging="360"/>
      </w:pPr>
      <w:rPr>
        <w:rFonts w:hint="default"/>
        <w:lang w:val="en-au" w:eastAsia="en-US" w:bidi="ar-SA"/>
      </w:rPr>
    </w:lvl>
    <w:lvl w:ilvl="7">
      <w:start w:val="0"/>
      <w:numFmt w:val="bullet"/>
      <w:lvlText w:val="•"/>
      <w:lvlJc w:val="left"/>
      <w:pPr>
        <w:ind w:left="4958" w:hanging="360"/>
      </w:pPr>
      <w:rPr>
        <w:rFonts w:hint="default"/>
        <w:lang w:val="en-au" w:eastAsia="en-US" w:bidi="ar-SA"/>
      </w:rPr>
    </w:lvl>
    <w:lvl w:ilvl="8">
      <w:start w:val="0"/>
      <w:numFmt w:val="bullet"/>
      <w:lvlText w:val="•"/>
      <w:lvlJc w:val="left"/>
      <w:pPr>
        <w:ind w:left="5648" w:hanging="360"/>
      </w:pPr>
      <w:rPr>
        <w:rFonts w:hint="default"/>
        <w:lang w:val="en-au" w:eastAsia="en-US" w:bidi="ar-SA"/>
      </w:rPr>
    </w:lvl>
  </w:abstractNum>
  <w:abstractNum w:abstractNumId="234">
    <w:multiLevelType w:val="hybridMultilevel"/>
    <w:lvl w:ilvl="0">
      <w:start w:val="0"/>
      <w:numFmt w:val="bullet"/>
      <w:lvlText w:val=""/>
      <w:lvlJc w:val="left"/>
      <w:pPr>
        <w:ind w:left="275" w:hanging="168"/>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68"/>
      </w:pPr>
      <w:rPr>
        <w:rFonts w:hint="default"/>
        <w:lang w:val="en-au" w:eastAsia="en-US" w:bidi="ar-SA"/>
      </w:rPr>
    </w:lvl>
    <w:lvl w:ilvl="2">
      <w:start w:val="0"/>
      <w:numFmt w:val="bullet"/>
      <w:lvlText w:val="•"/>
      <w:lvlJc w:val="left"/>
      <w:pPr>
        <w:ind w:left="1629" w:hanging="168"/>
      </w:pPr>
      <w:rPr>
        <w:rFonts w:hint="default"/>
        <w:lang w:val="en-au" w:eastAsia="en-US" w:bidi="ar-SA"/>
      </w:rPr>
    </w:lvl>
    <w:lvl w:ilvl="3">
      <w:start w:val="0"/>
      <w:numFmt w:val="bullet"/>
      <w:lvlText w:val="•"/>
      <w:lvlJc w:val="left"/>
      <w:pPr>
        <w:ind w:left="2304" w:hanging="168"/>
      </w:pPr>
      <w:rPr>
        <w:rFonts w:hint="default"/>
        <w:lang w:val="en-au" w:eastAsia="en-US" w:bidi="ar-SA"/>
      </w:rPr>
    </w:lvl>
    <w:lvl w:ilvl="4">
      <w:start w:val="0"/>
      <w:numFmt w:val="bullet"/>
      <w:lvlText w:val="•"/>
      <w:lvlJc w:val="left"/>
      <w:pPr>
        <w:ind w:left="2979" w:hanging="168"/>
      </w:pPr>
      <w:rPr>
        <w:rFonts w:hint="default"/>
        <w:lang w:val="en-au" w:eastAsia="en-US" w:bidi="ar-SA"/>
      </w:rPr>
    </w:lvl>
    <w:lvl w:ilvl="5">
      <w:start w:val="0"/>
      <w:numFmt w:val="bullet"/>
      <w:lvlText w:val="•"/>
      <w:lvlJc w:val="left"/>
      <w:pPr>
        <w:ind w:left="3654" w:hanging="168"/>
      </w:pPr>
      <w:rPr>
        <w:rFonts w:hint="default"/>
        <w:lang w:val="en-au" w:eastAsia="en-US" w:bidi="ar-SA"/>
      </w:rPr>
    </w:lvl>
    <w:lvl w:ilvl="6">
      <w:start w:val="0"/>
      <w:numFmt w:val="bullet"/>
      <w:lvlText w:val="•"/>
      <w:lvlJc w:val="left"/>
      <w:pPr>
        <w:ind w:left="4328" w:hanging="168"/>
      </w:pPr>
      <w:rPr>
        <w:rFonts w:hint="default"/>
        <w:lang w:val="en-au" w:eastAsia="en-US" w:bidi="ar-SA"/>
      </w:rPr>
    </w:lvl>
    <w:lvl w:ilvl="7">
      <w:start w:val="0"/>
      <w:numFmt w:val="bullet"/>
      <w:lvlText w:val="•"/>
      <w:lvlJc w:val="left"/>
      <w:pPr>
        <w:ind w:left="5003" w:hanging="168"/>
      </w:pPr>
      <w:rPr>
        <w:rFonts w:hint="default"/>
        <w:lang w:val="en-au" w:eastAsia="en-US" w:bidi="ar-SA"/>
      </w:rPr>
    </w:lvl>
    <w:lvl w:ilvl="8">
      <w:start w:val="0"/>
      <w:numFmt w:val="bullet"/>
      <w:lvlText w:val="•"/>
      <w:lvlJc w:val="left"/>
      <w:pPr>
        <w:ind w:left="5678" w:hanging="168"/>
      </w:pPr>
      <w:rPr>
        <w:rFonts w:hint="default"/>
        <w:lang w:val="en-au" w:eastAsia="en-US" w:bidi="ar-SA"/>
      </w:rPr>
    </w:lvl>
  </w:abstractNum>
  <w:abstractNum w:abstractNumId="233">
    <w:multiLevelType w:val="hybridMultilevel"/>
    <w:lvl w:ilvl="0">
      <w:start w:val="0"/>
      <w:numFmt w:val="bullet"/>
      <w:lvlText w:val=""/>
      <w:lvlJc w:val="left"/>
      <w:pPr>
        <w:ind w:left="275" w:hanging="168"/>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828" w:hanging="360"/>
      </w:pPr>
      <w:rPr>
        <w:rFonts w:hint="default" w:ascii="Symbol" w:hAnsi="Symbol" w:eastAsia="Symbol" w:cs="Symbol"/>
        <w:b w:val="0"/>
        <w:bCs w:val="0"/>
        <w:i w:val="0"/>
        <w:iCs w:val="0"/>
        <w:w w:val="100"/>
        <w:sz w:val="18"/>
        <w:szCs w:val="18"/>
        <w:lang w:val="en-au" w:eastAsia="en-US" w:bidi="ar-SA"/>
      </w:rPr>
    </w:lvl>
    <w:lvl w:ilvl="2">
      <w:start w:val="0"/>
      <w:numFmt w:val="bullet"/>
      <w:lvlText w:val="•"/>
      <w:lvlJc w:val="left"/>
      <w:pPr>
        <w:ind w:left="1509" w:hanging="360"/>
      </w:pPr>
      <w:rPr>
        <w:rFonts w:hint="default"/>
        <w:lang w:val="en-au" w:eastAsia="en-US" w:bidi="ar-SA"/>
      </w:rPr>
    </w:lvl>
    <w:lvl w:ilvl="3">
      <w:start w:val="0"/>
      <w:numFmt w:val="bullet"/>
      <w:lvlText w:val="•"/>
      <w:lvlJc w:val="left"/>
      <w:pPr>
        <w:ind w:left="2199" w:hanging="360"/>
      </w:pPr>
      <w:rPr>
        <w:rFonts w:hint="default"/>
        <w:lang w:val="en-au" w:eastAsia="en-US" w:bidi="ar-SA"/>
      </w:rPr>
    </w:lvl>
    <w:lvl w:ilvl="4">
      <w:start w:val="0"/>
      <w:numFmt w:val="bullet"/>
      <w:lvlText w:val="•"/>
      <w:lvlJc w:val="left"/>
      <w:pPr>
        <w:ind w:left="2889" w:hanging="360"/>
      </w:pPr>
      <w:rPr>
        <w:rFonts w:hint="default"/>
        <w:lang w:val="en-au" w:eastAsia="en-US" w:bidi="ar-SA"/>
      </w:rPr>
    </w:lvl>
    <w:lvl w:ilvl="5">
      <w:start w:val="0"/>
      <w:numFmt w:val="bullet"/>
      <w:lvlText w:val="•"/>
      <w:lvlJc w:val="left"/>
      <w:pPr>
        <w:ind w:left="3579" w:hanging="360"/>
      </w:pPr>
      <w:rPr>
        <w:rFonts w:hint="default"/>
        <w:lang w:val="en-au" w:eastAsia="en-US" w:bidi="ar-SA"/>
      </w:rPr>
    </w:lvl>
    <w:lvl w:ilvl="6">
      <w:start w:val="0"/>
      <w:numFmt w:val="bullet"/>
      <w:lvlText w:val="•"/>
      <w:lvlJc w:val="left"/>
      <w:pPr>
        <w:ind w:left="4268" w:hanging="360"/>
      </w:pPr>
      <w:rPr>
        <w:rFonts w:hint="default"/>
        <w:lang w:val="en-au" w:eastAsia="en-US" w:bidi="ar-SA"/>
      </w:rPr>
    </w:lvl>
    <w:lvl w:ilvl="7">
      <w:start w:val="0"/>
      <w:numFmt w:val="bullet"/>
      <w:lvlText w:val="•"/>
      <w:lvlJc w:val="left"/>
      <w:pPr>
        <w:ind w:left="4958" w:hanging="360"/>
      </w:pPr>
      <w:rPr>
        <w:rFonts w:hint="default"/>
        <w:lang w:val="en-au" w:eastAsia="en-US" w:bidi="ar-SA"/>
      </w:rPr>
    </w:lvl>
    <w:lvl w:ilvl="8">
      <w:start w:val="0"/>
      <w:numFmt w:val="bullet"/>
      <w:lvlText w:val="•"/>
      <w:lvlJc w:val="left"/>
      <w:pPr>
        <w:ind w:left="5648" w:hanging="360"/>
      </w:pPr>
      <w:rPr>
        <w:rFonts w:hint="default"/>
        <w:lang w:val="en-au" w:eastAsia="en-US" w:bidi="ar-SA"/>
      </w:rPr>
    </w:lvl>
  </w:abstractNum>
  <w:abstractNum w:abstractNumId="232">
    <w:multiLevelType w:val="hybridMultilevel"/>
    <w:lvl w:ilvl="0">
      <w:start w:val="0"/>
      <w:numFmt w:val="bullet"/>
      <w:lvlText w:val=""/>
      <w:lvlJc w:val="left"/>
      <w:pPr>
        <w:ind w:left="275" w:hanging="168"/>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68"/>
      </w:pPr>
      <w:rPr>
        <w:rFonts w:hint="default"/>
        <w:lang w:val="en-au" w:eastAsia="en-US" w:bidi="ar-SA"/>
      </w:rPr>
    </w:lvl>
    <w:lvl w:ilvl="2">
      <w:start w:val="0"/>
      <w:numFmt w:val="bullet"/>
      <w:lvlText w:val="•"/>
      <w:lvlJc w:val="left"/>
      <w:pPr>
        <w:ind w:left="1629" w:hanging="168"/>
      </w:pPr>
      <w:rPr>
        <w:rFonts w:hint="default"/>
        <w:lang w:val="en-au" w:eastAsia="en-US" w:bidi="ar-SA"/>
      </w:rPr>
    </w:lvl>
    <w:lvl w:ilvl="3">
      <w:start w:val="0"/>
      <w:numFmt w:val="bullet"/>
      <w:lvlText w:val="•"/>
      <w:lvlJc w:val="left"/>
      <w:pPr>
        <w:ind w:left="2304" w:hanging="168"/>
      </w:pPr>
      <w:rPr>
        <w:rFonts w:hint="default"/>
        <w:lang w:val="en-au" w:eastAsia="en-US" w:bidi="ar-SA"/>
      </w:rPr>
    </w:lvl>
    <w:lvl w:ilvl="4">
      <w:start w:val="0"/>
      <w:numFmt w:val="bullet"/>
      <w:lvlText w:val="•"/>
      <w:lvlJc w:val="left"/>
      <w:pPr>
        <w:ind w:left="2979" w:hanging="168"/>
      </w:pPr>
      <w:rPr>
        <w:rFonts w:hint="default"/>
        <w:lang w:val="en-au" w:eastAsia="en-US" w:bidi="ar-SA"/>
      </w:rPr>
    </w:lvl>
    <w:lvl w:ilvl="5">
      <w:start w:val="0"/>
      <w:numFmt w:val="bullet"/>
      <w:lvlText w:val="•"/>
      <w:lvlJc w:val="left"/>
      <w:pPr>
        <w:ind w:left="3654" w:hanging="168"/>
      </w:pPr>
      <w:rPr>
        <w:rFonts w:hint="default"/>
        <w:lang w:val="en-au" w:eastAsia="en-US" w:bidi="ar-SA"/>
      </w:rPr>
    </w:lvl>
    <w:lvl w:ilvl="6">
      <w:start w:val="0"/>
      <w:numFmt w:val="bullet"/>
      <w:lvlText w:val="•"/>
      <w:lvlJc w:val="left"/>
      <w:pPr>
        <w:ind w:left="4328" w:hanging="168"/>
      </w:pPr>
      <w:rPr>
        <w:rFonts w:hint="default"/>
        <w:lang w:val="en-au" w:eastAsia="en-US" w:bidi="ar-SA"/>
      </w:rPr>
    </w:lvl>
    <w:lvl w:ilvl="7">
      <w:start w:val="0"/>
      <w:numFmt w:val="bullet"/>
      <w:lvlText w:val="•"/>
      <w:lvlJc w:val="left"/>
      <w:pPr>
        <w:ind w:left="5003" w:hanging="168"/>
      </w:pPr>
      <w:rPr>
        <w:rFonts w:hint="default"/>
        <w:lang w:val="en-au" w:eastAsia="en-US" w:bidi="ar-SA"/>
      </w:rPr>
    </w:lvl>
    <w:lvl w:ilvl="8">
      <w:start w:val="0"/>
      <w:numFmt w:val="bullet"/>
      <w:lvlText w:val="•"/>
      <w:lvlJc w:val="left"/>
      <w:pPr>
        <w:ind w:left="5678" w:hanging="168"/>
      </w:pPr>
      <w:rPr>
        <w:rFonts w:hint="default"/>
        <w:lang w:val="en-au" w:eastAsia="en-US" w:bidi="ar-SA"/>
      </w:rPr>
    </w:lvl>
  </w:abstractNum>
  <w:abstractNum w:abstractNumId="231">
    <w:multiLevelType w:val="hybridMultilevel"/>
    <w:lvl w:ilvl="0">
      <w:start w:val="0"/>
      <w:numFmt w:val="bullet"/>
      <w:lvlText w:val=""/>
      <w:lvlJc w:val="left"/>
      <w:pPr>
        <w:ind w:left="275" w:hanging="168"/>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68"/>
      </w:pPr>
      <w:rPr>
        <w:rFonts w:hint="default"/>
        <w:lang w:val="en-au" w:eastAsia="en-US" w:bidi="ar-SA"/>
      </w:rPr>
    </w:lvl>
    <w:lvl w:ilvl="2">
      <w:start w:val="0"/>
      <w:numFmt w:val="bullet"/>
      <w:lvlText w:val="•"/>
      <w:lvlJc w:val="left"/>
      <w:pPr>
        <w:ind w:left="1629" w:hanging="168"/>
      </w:pPr>
      <w:rPr>
        <w:rFonts w:hint="default"/>
        <w:lang w:val="en-au" w:eastAsia="en-US" w:bidi="ar-SA"/>
      </w:rPr>
    </w:lvl>
    <w:lvl w:ilvl="3">
      <w:start w:val="0"/>
      <w:numFmt w:val="bullet"/>
      <w:lvlText w:val="•"/>
      <w:lvlJc w:val="left"/>
      <w:pPr>
        <w:ind w:left="2304" w:hanging="168"/>
      </w:pPr>
      <w:rPr>
        <w:rFonts w:hint="default"/>
        <w:lang w:val="en-au" w:eastAsia="en-US" w:bidi="ar-SA"/>
      </w:rPr>
    </w:lvl>
    <w:lvl w:ilvl="4">
      <w:start w:val="0"/>
      <w:numFmt w:val="bullet"/>
      <w:lvlText w:val="•"/>
      <w:lvlJc w:val="left"/>
      <w:pPr>
        <w:ind w:left="2979" w:hanging="168"/>
      </w:pPr>
      <w:rPr>
        <w:rFonts w:hint="default"/>
        <w:lang w:val="en-au" w:eastAsia="en-US" w:bidi="ar-SA"/>
      </w:rPr>
    </w:lvl>
    <w:lvl w:ilvl="5">
      <w:start w:val="0"/>
      <w:numFmt w:val="bullet"/>
      <w:lvlText w:val="•"/>
      <w:lvlJc w:val="left"/>
      <w:pPr>
        <w:ind w:left="3654" w:hanging="168"/>
      </w:pPr>
      <w:rPr>
        <w:rFonts w:hint="default"/>
        <w:lang w:val="en-au" w:eastAsia="en-US" w:bidi="ar-SA"/>
      </w:rPr>
    </w:lvl>
    <w:lvl w:ilvl="6">
      <w:start w:val="0"/>
      <w:numFmt w:val="bullet"/>
      <w:lvlText w:val="•"/>
      <w:lvlJc w:val="left"/>
      <w:pPr>
        <w:ind w:left="4328" w:hanging="168"/>
      </w:pPr>
      <w:rPr>
        <w:rFonts w:hint="default"/>
        <w:lang w:val="en-au" w:eastAsia="en-US" w:bidi="ar-SA"/>
      </w:rPr>
    </w:lvl>
    <w:lvl w:ilvl="7">
      <w:start w:val="0"/>
      <w:numFmt w:val="bullet"/>
      <w:lvlText w:val="•"/>
      <w:lvlJc w:val="left"/>
      <w:pPr>
        <w:ind w:left="5003" w:hanging="168"/>
      </w:pPr>
      <w:rPr>
        <w:rFonts w:hint="default"/>
        <w:lang w:val="en-au" w:eastAsia="en-US" w:bidi="ar-SA"/>
      </w:rPr>
    </w:lvl>
    <w:lvl w:ilvl="8">
      <w:start w:val="0"/>
      <w:numFmt w:val="bullet"/>
      <w:lvlText w:val="•"/>
      <w:lvlJc w:val="left"/>
      <w:pPr>
        <w:ind w:left="5678" w:hanging="168"/>
      </w:pPr>
      <w:rPr>
        <w:rFonts w:hint="default"/>
        <w:lang w:val="en-au" w:eastAsia="en-US" w:bidi="ar-SA"/>
      </w:rPr>
    </w:lvl>
  </w:abstractNum>
  <w:abstractNum w:abstractNumId="230">
    <w:multiLevelType w:val="hybridMultilevel"/>
    <w:lvl w:ilvl="0">
      <w:start w:val="0"/>
      <w:numFmt w:val="bullet"/>
      <w:lvlText w:val=""/>
      <w:lvlJc w:val="left"/>
      <w:pPr>
        <w:ind w:left="275" w:hanging="168"/>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68"/>
      </w:pPr>
      <w:rPr>
        <w:rFonts w:hint="default"/>
        <w:lang w:val="en-au" w:eastAsia="en-US" w:bidi="ar-SA"/>
      </w:rPr>
    </w:lvl>
    <w:lvl w:ilvl="2">
      <w:start w:val="0"/>
      <w:numFmt w:val="bullet"/>
      <w:lvlText w:val="•"/>
      <w:lvlJc w:val="left"/>
      <w:pPr>
        <w:ind w:left="1629" w:hanging="168"/>
      </w:pPr>
      <w:rPr>
        <w:rFonts w:hint="default"/>
        <w:lang w:val="en-au" w:eastAsia="en-US" w:bidi="ar-SA"/>
      </w:rPr>
    </w:lvl>
    <w:lvl w:ilvl="3">
      <w:start w:val="0"/>
      <w:numFmt w:val="bullet"/>
      <w:lvlText w:val="•"/>
      <w:lvlJc w:val="left"/>
      <w:pPr>
        <w:ind w:left="2304" w:hanging="168"/>
      </w:pPr>
      <w:rPr>
        <w:rFonts w:hint="default"/>
        <w:lang w:val="en-au" w:eastAsia="en-US" w:bidi="ar-SA"/>
      </w:rPr>
    </w:lvl>
    <w:lvl w:ilvl="4">
      <w:start w:val="0"/>
      <w:numFmt w:val="bullet"/>
      <w:lvlText w:val="•"/>
      <w:lvlJc w:val="left"/>
      <w:pPr>
        <w:ind w:left="2979" w:hanging="168"/>
      </w:pPr>
      <w:rPr>
        <w:rFonts w:hint="default"/>
        <w:lang w:val="en-au" w:eastAsia="en-US" w:bidi="ar-SA"/>
      </w:rPr>
    </w:lvl>
    <w:lvl w:ilvl="5">
      <w:start w:val="0"/>
      <w:numFmt w:val="bullet"/>
      <w:lvlText w:val="•"/>
      <w:lvlJc w:val="left"/>
      <w:pPr>
        <w:ind w:left="3654" w:hanging="168"/>
      </w:pPr>
      <w:rPr>
        <w:rFonts w:hint="default"/>
        <w:lang w:val="en-au" w:eastAsia="en-US" w:bidi="ar-SA"/>
      </w:rPr>
    </w:lvl>
    <w:lvl w:ilvl="6">
      <w:start w:val="0"/>
      <w:numFmt w:val="bullet"/>
      <w:lvlText w:val="•"/>
      <w:lvlJc w:val="left"/>
      <w:pPr>
        <w:ind w:left="4328" w:hanging="168"/>
      </w:pPr>
      <w:rPr>
        <w:rFonts w:hint="default"/>
        <w:lang w:val="en-au" w:eastAsia="en-US" w:bidi="ar-SA"/>
      </w:rPr>
    </w:lvl>
    <w:lvl w:ilvl="7">
      <w:start w:val="0"/>
      <w:numFmt w:val="bullet"/>
      <w:lvlText w:val="•"/>
      <w:lvlJc w:val="left"/>
      <w:pPr>
        <w:ind w:left="5003" w:hanging="168"/>
      </w:pPr>
      <w:rPr>
        <w:rFonts w:hint="default"/>
        <w:lang w:val="en-au" w:eastAsia="en-US" w:bidi="ar-SA"/>
      </w:rPr>
    </w:lvl>
    <w:lvl w:ilvl="8">
      <w:start w:val="0"/>
      <w:numFmt w:val="bullet"/>
      <w:lvlText w:val="•"/>
      <w:lvlJc w:val="left"/>
      <w:pPr>
        <w:ind w:left="5678" w:hanging="168"/>
      </w:pPr>
      <w:rPr>
        <w:rFonts w:hint="default"/>
        <w:lang w:val="en-au" w:eastAsia="en-US" w:bidi="ar-SA"/>
      </w:rPr>
    </w:lvl>
  </w:abstractNum>
  <w:abstractNum w:abstractNumId="229">
    <w:multiLevelType w:val="hybridMultilevel"/>
    <w:lvl w:ilvl="0">
      <w:start w:val="0"/>
      <w:numFmt w:val="bullet"/>
      <w:lvlText w:val=""/>
      <w:lvlJc w:val="left"/>
      <w:pPr>
        <w:ind w:left="275" w:hanging="168"/>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68"/>
      </w:pPr>
      <w:rPr>
        <w:rFonts w:hint="default"/>
        <w:lang w:val="en-au" w:eastAsia="en-US" w:bidi="ar-SA"/>
      </w:rPr>
    </w:lvl>
    <w:lvl w:ilvl="2">
      <w:start w:val="0"/>
      <w:numFmt w:val="bullet"/>
      <w:lvlText w:val="•"/>
      <w:lvlJc w:val="left"/>
      <w:pPr>
        <w:ind w:left="1629" w:hanging="168"/>
      </w:pPr>
      <w:rPr>
        <w:rFonts w:hint="default"/>
        <w:lang w:val="en-au" w:eastAsia="en-US" w:bidi="ar-SA"/>
      </w:rPr>
    </w:lvl>
    <w:lvl w:ilvl="3">
      <w:start w:val="0"/>
      <w:numFmt w:val="bullet"/>
      <w:lvlText w:val="•"/>
      <w:lvlJc w:val="left"/>
      <w:pPr>
        <w:ind w:left="2304" w:hanging="168"/>
      </w:pPr>
      <w:rPr>
        <w:rFonts w:hint="default"/>
        <w:lang w:val="en-au" w:eastAsia="en-US" w:bidi="ar-SA"/>
      </w:rPr>
    </w:lvl>
    <w:lvl w:ilvl="4">
      <w:start w:val="0"/>
      <w:numFmt w:val="bullet"/>
      <w:lvlText w:val="•"/>
      <w:lvlJc w:val="left"/>
      <w:pPr>
        <w:ind w:left="2979" w:hanging="168"/>
      </w:pPr>
      <w:rPr>
        <w:rFonts w:hint="default"/>
        <w:lang w:val="en-au" w:eastAsia="en-US" w:bidi="ar-SA"/>
      </w:rPr>
    </w:lvl>
    <w:lvl w:ilvl="5">
      <w:start w:val="0"/>
      <w:numFmt w:val="bullet"/>
      <w:lvlText w:val="•"/>
      <w:lvlJc w:val="left"/>
      <w:pPr>
        <w:ind w:left="3654" w:hanging="168"/>
      </w:pPr>
      <w:rPr>
        <w:rFonts w:hint="default"/>
        <w:lang w:val="en-au" w:eastAsia="en-US" w:bidi="ar-SA"/>
      </w:rPr>
    </w:lvl>
    <w:lvl w:ilvl="6">
      <w:start w:val="0"/>
      <w:numFmt w:val="bullet"/>
      <w:lvlText w:val="•"/>
      <w:lvlJc w:val="left"/>
      <w:pPr>
        <w:ind w:left="4328" w:hanging="168"/>
      </w:pPr>
      <w:rPr>
        <w:rFonts w:hint="default"/>
        <w:lang w:val="en-au" w:eastAsia="en-US" w:bidi="ar-SA"/>
      </w:rPr>
    </w:lvl>
    <w:lvl w:ilvl="7">
      <w:start w:val="0"/>
      <w:numFmt w:val="bullet"/>
      <w:lvlText w:val="•"/>
      <w:lvlJc w:val="left"/>
      <w:pPr>
        <w:ind w:left="5003" w:hanging="168"/>
      </w:pPr>
      <w:rPr>
        <w:rFonts w:hint="default"/>
        <w:lang w:val="en-au" w:eastAsia="en-US" w:bidi="ar-SA"/>
      </w:rPr>
    </w:lvl>
    <w:lvl w:ilvl="8">
      <w:start w:val="0"/>
      <w:numFmt w:val="bullet"/>
      <w:lvlText w:val="•"/>
      <w:lvlJc w:val="left"/>
      <w:pPr>
        <w:ind w:left="5678" w:hanging="168"/>
      </w:pPr>
      <w:rPr>
        <w:rFonts w:hint="default"/>
        <w:lang w:val="en-au" w:eastAsia="en-US" w:bidi="ar-SA"/>
      </w:rPr>
    </w:lvl>
  </w:abstractNum>
  <w:abstractNum w:abstractNumId="228">
    <w:multiLevelType w:val="hybridMultilevel"/>
    <w:lvl w:ilvl="0">
      <w:start w:val="0"/>
      <w:numFmt w:val="bullet"/>
      <w:lvlText w:val=""/>
      <w:lvlJc w:val="left"/>
      <w:pPr>
        <w:ind w:left="275" w:hanging="168"/>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828" w:hanging="360"/>
      </w:pPr>
      <w:rPr>
        <w:rFonts w:hint="default" w:ascii="Symbol" w:hAnsi="Symbol" w:eastAsia="Symbol" w:cs="Symbol"/>
        <w:b w:val="0"/>
        <w:bCs w:val="0"/>
        <w:i w:val="0"/>
        <w:iCs w:val="0"/>
        <w:w w:val="100"/>
        <w:sz w:val="18"/>
        <w:szCs w:val="18"/>
        <w:lang w:val="en-au" w:eastAsia="en-US" w:bidi="ar-SA"/>
      </w:rPr>
    </w:lvl>
    <w:lvl w:ilvl="2">
      <w:start w:val="0"/>
      <w:numFmt w:val="bullet"/>
      <w:lvlText w:val="•"/>
      <w:lvlJc w:val="left"/>
      <w:pPr>
        <w:ind w:left="1509" w:hanging="360"/>
      </w:pPr>
      <w:rPr>
        <w:rFonts w:hint="default"/>
        <w:lang w:val="en-au" w:eastAsia="en-US" w:bidi="ar-SA"/>
      </w:rPr>
    </w:lvl>
    <w:lvl w:ilvl="3">
      <w:start w:val="0"/>
      <w:numFmt w:val="bullet"/>
      <w:lvlText w:val="•"/>
      <w:lvlJc w:val="left"/>
      <w:pPr>
        <w:ind w:left="2199" w:hanging="360"/>
      </w:pPr>
      <w:rPr>
        <w:rFonts w:hint="default"/>
        <w:lang w:val="en-au" w:eastAsia="en-US" w:bidi="ar-SA"/>
      </w:rPr>
    </w:lvl>
    <w:lvl w:ilvl="4">
      <w:start w:val="0"/>
      <w:numFmt w:val="bullet"/>
      <w:lvlText w:val="•"/>
      <w:lvlJc w:val="left"/>
      <w:pPr>
        <w:ind w:left="2889" w:hanging="360"/>
      </w:pPr>
      <w:rPr>
        <w:rFonts w:hint="default"/>
        <w:lang w:val="en-au" w:eastAsia="en-US" w:bidi="ar-SA"/>
      </w:rPr>
    </w:lvl>
    <w:lvl w:ilvl="5">
      <w:start w:val="0"/>
      <w:numFmt w:val="bullet"/>
      <w:lvlText w:val="•"/>
      <w:lvlJc w:val="left"/>
      <w:pPr>
        <w:ind w:left="3579" w:hanging="360"/>
      </w:pPr>
      <w:rPr>
        <w:rFonts w:hint="default"/>
        <w:lang w:val="en-au" w:eastAsia="en-US" w:bidi="ar-SA"/>
      </w:rPr>
    </w:lvl>
    <w:lvl w:ilvl="6">
      <w:start w:val="0"/>
      <w:numFmt w:val="bullet"/>
      <w:lvlText w:val="•"/>
      <w:lvlJc w:val="left"/>
      <w:pPr>
        <w:ind w:left="4268" w:hanging="360"/>
      </w:pPr>
      <w:rPr>
        <w:rFonts w:hint="default"/>
        <w:lang w:val="en-au" w:eastAsia="en-US" w:bidi="ar-SA"/>
      </w:rPr>
    </w:lvl>
    <w:lvl w:ilvl="7">
      <w:start w:val="0"/>
      <w:numFmt w:val="bullet"/>
      <w:lvlText w:val="•"/>
      <w:lvlJc w:val="left"/>
      <w:pPr>
        <w:ind w:left="4958" w:hanging="360"/>
      </w:pPr>
      <w:rPr>
        <w:rFonts w:hint="default"/>
        <w:lang w:val="en-au" w:eastAsia="en-US" w:bidi="ar-SA"/>
      </w:rPr>
    </w:lvl>
    <w:lvl w:ilvl="8">
      <w:start w:val="0"/>
      <w:numFmt w:val="bullet"/>
      <w:lvlText w:val="•"/>
      <w:lvlJc w:val="left"/>
      <w:pPr>
        <w:ind w:left="5648" w:hanging="360"/>
      </w:pPr>
      <w:rPr>
        <w:rFonts w:hint="default"/>
        <w:lang w:val="en-au" w:eastAsia="en-US" w:bidi="ar-SA"/>
      </w:rPr>
    </w:lvl>
  </w:abstractNum>
  <w:abstractNum w:abstractNumId="227">
    <w:multiLevelType w:val="hybridMultilevel"/>
    <w:lvl w:ilvl="0">
      <w:start w:val="0"/>
      <w:numFmt w:val="bullet"/>
      <w:lvlText w:val=""/>
      <w:lvlJc w:val="left"/>
      <w:pPr>
        <w:ind w:left="275" w:hanging="168"/>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68"/>
      </w:pPr>
      <w:rPr>
        <w:rFonts w:hint="default"/>
        <w:lang w:val="en-au" w:eastAsia="en-US" w:bidi="ar-SA"/>
      </w:rPr>
    </w:lvl>
    <w:lvl w:ilvl="2">
      <w:start w:val="0"/>
      <w:numFmt w:val="bullet"/>
      <w:lvlText w:val="•"/>
      <w:lvlJc w:val="left"/>
      <w:pPr>
        <w:ind w:left="1629" w:hanging="168"/>
      </w:pPr>
      <w:rPr>
        <w:rFonts w:hint="default"/>
        <w:lang w:val="en-au" w:eastAsia="en-US" w:bidi="ar-SA"/>
      </w:rPr>
    </w:lvl>
    <w:lvl w:ilvl="3">
      <w:start w:val="0"/>
      <w:numFmt w:val="bullet"/>
      <w:lvlText w:val="•"/>
      <w:lvlJc w:val="left"/>
      <w:pPr>
        <w:ind w:left="2304" w:hanging="168"/>
      </w:pPr>
      <w:rPr>
        <w:rFonts w:hint="default"/>
        <w:lang w:val="en-au" w:eastAsia="en-US" w:bidi="ar-SA"/>
      </w:rPr>
    </w:lvl>
    <w:lvl w:ilvl="4">
      <w:start w:val="0"/>
      <w:numFmt w:val="bullet"/>
      <w:lvlText w:val="•"/>
      <w:lvlJc w:val="left"/>
      <w:pPr>
        <w:ind w:left="2979" w:hanging="168"/>
      </w:pPr>
      <w:rPr>
        <w:rFonts w:hint="default"/>
        <w:lang w:val="en-au" w:eastAsia="en-US" w:bidi="ar-SA"/>
      </w:rPr>
    </w:lvl>
    <w:lvl w:ilvl="5">
      <w:start w:val="0"/>
      <w:numFmt w:val="bullet"/>
      <w:lvlText w:val="•"/>
      <w:lvlJc w:val="left"/>
      <w:pPr>
        <w:ind w:left="3654" w:hanging="168"/>
      </w:pPr>
      <w:rPr>
        <w:rFonts w:hint="default"/>
        <w:lang w:val="en-au" w:eastAsia="en-US" w:bidi="ar-SA"/>
      </w:rPr>
    </w:lvl>
    <w:lvl w:ilvl="6">
      <w:start w:val="0"/>
      <w:numFmt w:val="bullet"/>
      <w:lvlText w:val="•"/>
      <w:lvlJc w:val="left"/>
      <w:pPr>
        <w:ind w:left="4328" w:hanging="168"/>
      </w:pPr>
      <w:rPr>
        <w:rFonts w:hint="default"/>
        <w:lang w:val="en-au" w:eastAsia="en-US" w:bidi="ar-SA"/>
      </w:rPr>
    </w:lvl>
    <w:lvl w:ilvl="7">
      <w:start w:val="0"/>
      <w:numFmt w:val="bullet"/>
      <w:lvlText w:val="•"/>
      <w:lvlJc w:val="left"/>
      <w:pPr>
        <w:ind w:left="5003" w:hanging="168"/>
      </w:pPr>
      <w:rPr>
        <w:rFonts w:hint="default"/>
        <w:lang w:val="en-au" w:eastAsia="en-US" w:bidi="ar-SA"/>
      </w:rPr>
    </w:lvl>
    <w:lvl w:ilvl="8">
      <w:start w:val="0"/>
      <w:numFmt w:val="bullet"/>
      <w:lvlText w:val="•"/>
      <w:lvlJc w:val="left"/>
      <w:pPr>
        <w:ind w:left="5678" w:hanging="168"/>
      </w:pPr>
      <w:rPr>
        <w:rFonts w:hint="default"/>
        <w:lang w:val="en-au" w:eastAsia="en-US" w:bidi="ar-SA"/>
      </w:rPr>
    </w:lvl>
  </w:abstractNum>
  <w:abstractNum w:abstractNumId="226">
    <w:multiLevelType w:val="hybridMultilevel"/>
    <w:lvl w:ilvl="0">
      <w:start w:val="0"/>
      <w:numFmt w:val="bullet"/>
      <w:lvlText w:val=""/>
      <w:lvlJc w:val="left"/>
      <w:pPr>
        <w:ind w:left="275" w:hanging="168"/>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68"/>
      </w:pPr>
      <w:rPr>
        <w:rFonts w:hint="default"/>
        <w:lang w:val="en-au" w:eastAsia="en-US" w:bidi="ar-SA"/>
      </w:rPr>
    </w:lvl>
    <w:lvl w:ilvl="2">
      <w:start w:val="0"/>
      <w:numFmt w:val="bullet"/>
      <w:lvlText w:val="•"/>
      <w:lvlJc w:val="left"/>
      <w:pPr>
        <w:ind w:left="1629" w:hanging="168"/>
      </w:pPr>
      <w:rPr>
        <w:rFonts w:hint="default"/>
        <w:lang w:val="en-au" w:eastAsia="en-US" w:bidi="ar-SA"/>
      </w:rPr>
    </w:lvl>
    <w:lvl w:ilvl="3">
      <w:start w:val="0"/>
      <w:numFmt w:val="bullet"/>
      <w:lvlText w:val="•"/>
      <w:lvlJc w:val="left"/>
      <w:pPr>
        <w:ind w:left="2304" w:hanging="168"/>
      </w:pPr>
      <w:rPr>
        <w:rFonts w:hint="default"/>
        <w:lang w:val="en-au" w:eastAsia="en-US" w:bidi="ar-SA"/>
      </w:rPr>
    </w:lvl>
    <w:lvl w:ilvl="4">
      <w:start w:val="0"/>
      <w:numFmt w:val="bullet"/>
      <w:lvlText w:val="•"/>
      <w:lvlJc w:val="left"/>
      <w:pPr>
        <w:ind w:left="2979" w:hanging="168"/>
      </w:pPr>
      <w:rPr>
        <w:rFonts w:hint="default"/>
        <w:lang w:val="en-au" w:eastAsia="en-US" w:bidi="ar-SA"/>
      </w:rPr>
    </w:lvl>
    <w:lvl w:ilvl="5">
      <w:start w:val="0"/>
      <w:numFmt w:val="bullet"/>
      <w:lvlText w:val="•"/>
      <w:lvlJc w:val="left"/>
      <w:pPr>
        <w:ind w:left="3654" w:hanging="168"/>
      </w:pPr>
      <w:rPr>
        <w:rFonts w:hint="default"/>
        <w:lang w:val="en-au" w:eastAsia="en-US" w:bidi="ar-SA"/>
      </w:rPr>
    </w:lvl>
    <w:lvl w:ilvl="6">
      <w:start w:val="0"/>
      <w:numFmt w:val="bullet"/>
      <w:lvlText w:val="•"/>
      <w:lvlJc w:val="left"/>
      <w:pPr>
        <w:ind w:left="4328" w:hanging="168"/>
      </w:pPr>
      <w:rPr>
        <w:rFonts w:hint="default"/>
        <w:lang w:val="en-au" w:eastAsia="en-US" w:bidi="ar-SA"/>
      </w:rPr>
    </w:lvl>
    <w:lvl w:ilvl="7">
      <w:start w:val="0"/>
      <w:numFmt w:val="bullet"/>
      <w:lvlText w:val="•"/>
      <w:lvlJc w:val="left"/>
      <w:pPr>
        <w:ind w:left="5003" w:hanging="168"/>
      </w:pPr>
      <w:rPr>
        <w:rFonts w:hint="default"/>
        <w:lang w:val="en-au" w:eastAsia="en-US" w:bidi="ar-SA"/>
      </w:rPr>
    </w:lvl>
    <w:lvl w:ilvl="8">
      <w:start w:val="0"/>
      <w:numFmt w:val="bullet"/>
      <w:lvlText w:val="•"/>
      <w:lvlJc w:val="left"/>
      <w:pPr>
        <w:ind w:left="5678" w:hanging="168"/>
      </w:pPr>
      <w:rPr>
        <w:rFonts w:hint="default"/>
        <w:lang w:val="en-au" w:eastAsia="en-US" w:bidi="ar-SA"/>
      </w:rPr>
    </w:lvl>
  </w:abstractNum>
  <w:abstractNum w:abstractNumId="225">
    <w:multiLevelType w:val="hybridMultilevel"/>
    <w:lvl w:ilvl="0">
      <w:start w:val="0"/>
      <w:numFmt w:val="bullet"/>
      <w:lvlText w:val=""/>
      <w:lvlJc w:val="left"/>
      <w:pPr>
        <w:ind w:left="275" w:hanging="168"/>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68"/>
      </w:pPr>
      <w:rPr>
        <w:rFonts w:hint="default"/>
        <w:lang w:val="en-au" w:eastAsia="en-US" w:bidi="ar-SA"/>
      </w:rPr>
    </w:lvl>
    <w:lvl w:ilvl="2">
      <w:start w:val="0"/>
      <w:numFmt w:val="bullet"/>
      <w:lvlText w:val="•"/>
      <w:lvlJc w:val="left"/>
      <w:pPr>
        <w:ind w:left="1629" w:hanging="168"/>
      </w:pPr>
      <w:rPr>
        <w:rFonts w:hint="default"/>
        <w:lang w:val="en-au" w:eastAsia="en-US" w:bidi="ar-SA"/>
      </w:rPr>
    </w:lvl>
    <w:lvl w:ilvl="3">
      <w:start w:val="0"/>
      <w:numFmt w:val="bullet"/>
      <w:lvlText w:val="•"/>
      <w:lvlJc w:val="left"/>
      <w:pPr>
        <w:ind w:left="2304" w:hanging="168"/>
      </w:pPr>
      <w:rPr>
        <w:rFonts w:hint="default"/>
        <w:lang w:val="en-au" w:eastAsia="en-US" w:bidi="ar-SA"/>
      </w:rPr>
    </w:lvl>
    <w:lvl w:ilvl="4">
      <w:start w:val="0"/>
      <w:numFmt w:val="bullet"/>
      <w:lvlText w:val="•"/>
      <w:lvlJc w:val="left"/>
      <w:pPr>
        <w:ind w:left="2979" w:hanging="168"/>
      </w:pPr>
      <w:rPr>
        <w:rFonts w:hint="default"/>
        <w:lang w:val="en-au" w:eastAsia="en-US" w:bidi="ar-SA"/>
      </w:rPr>
    </w:lvl>
    <w:lvl w:ilvl="5">
      <w:start w:val="0"/>
      <w:numFmt w:val="bullet"/>
      <w:lvlText w:val="•"/>
      <w:lvlJc w:val="left"/>
      <w:pPr>
        <w:ind w:left="3654" w:hanging="168"/>
      </w:pPr>
      <w:rPr>
        <w:rFonts w:hint="default"/>
        <w:lang w:val="en-au" w:eastAsia="en-US" w:bidi="ar-SA"/>
      </w:rPr>
    </w:lvl>
    <w:lvl w:ilvl="6">
      <w:start w:val="0"/>
      <w:numFmt w:val="bullet"/>
      <w:lvlText w:val="•"/>
      <w:lvlJc w:val="left"/>
      <w:pPr>
        <w:ind w:left="4328" w:hanging="168"/>
      </w:pPr>
      <w:rPr>
        <w:rFonts w:hint="default"/>
        <w:lang w:val="en-au" w:eastAsia="en-US" w:bidi="ar-SA"/>
      </w:rPr>
    </w:lvl>
    <w:lvl w:ilvl="7">
      <w:start w:val="0"/>
      <w:numFmt w:val="bullet"/>
      <w:lvlText w:val="•"/>
      <w:lvlJc w:val="left"/>
      <w:pPr>
        <w:ind w:left="5003" w:hanging="168"/>
      </w:pPr>
      <w:rPr>
        <w:rFonts w:hint="default"/>
        <w:lang w:val="en-au" w:eastAsia="en-US" w:bidi="ar-SA"/>
      </w:rPr>
    </w:lvl>
    <w:lvl w:ilvl="8">
      <w:start w:val="0"/>
      <w:numFmt w:val="bullet"/>
      <w:lvlText w:val="•"/>
      <w:lvlJc w:val="left"/>
      <w:pPr>
        <w:ind w:left="5678" w:hanging="168"/>
      </w:pPr>
      <w:rPr>
        <w:rFonts w:hint="default"/>
        <w:lang w:val="en-au" w:eastAsia="en-US" w:bidi="ar-SA"/>
      </w:rPr>
    </w:lvl>
  </w:abstractNum>
  <w:abstractNum w:abstractNumId="224">
    <w:multiLevelType w:val="hybridMultilevel"/>
    <w:lvl w:ilvl="0">
      <w:start w:val="0"/>
      <w:numFmt w:val="bullet"/>
      <w:lvlText w:val=""/>
      <w:lvlJc w:val="left"/>
      <w:pPr>
        <w:ind w:left="275" w:hanging="168"/>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68"/>
      </w:pPr>
      <w:rPr>
        <w:rFonts w:hint="default"/>
        <w:lang w:val="en-au" w:eastAsia="en-US" w:bidi="ar-SA"/>
      </w:rPr>
    </w:lvl>
    <w:lvl w:ilvl="2">
      <w:start w:val="0"/>
      <w:numFmt w:val="bullet"/>
      <w:lvlText w:val="•"/>
      <w:lvlJc w:val="left"/>
      <w:pPr>
        <w:ind w:left="1629" w:hanging="168"/>
      </w:pPr>
      <w:rPr>
        <w:rFonts w:hint="default"/>
        <w:lang w:val="en-au" w:eastAsia="en-US" w:bidi="ar-SA"/>
      </w:rPr>
    </w:lvl>
    <w:lvl w:ilvl="3">
      <w:start w:val="0"/>
      <w:numFmt w:val="bullet"/>
      <w:lvlText w:val="•"/>
      <w:lvlJc w:val="left"/>
      <w:pPr>
        <w:ind w:left="2304" w:hanging="168"/>
      </w:pPr>
      <w:rPr>
        <w:rFonts w:hint="default"/>
        <w:lang w:val="en-au" w:eastAsia="en-US" w:bidi="ar-SA"/>
      </w:rPr>
    </w:lvl>
    <w:lvl w:ilvl="4">
      <w:start w:val="0"/>
      <w:numFmt w:val="bullet"/>
      <w:lvlText w:val="•"/>
      <w:lvlJc w:val="left"/>
      <w:pPr>
        <w:ind w:left="2979" w:hanging="168"/>
      </w:pPr>
      <w:rPr>
        <w:rFonts w:hint="default"/>
        <w:lang w:val="en-au" w:eastAsia="en-US" w:bidi="ar-SA"/>
      </w:rPr>
    </w:lvl>
    <w:lvl w:ilvl="5">
      <w:start w:val="0"/>
      <w:numFmt w:val="bullet"/>
      <w:lvlText w:val="•"/>
      <w:lvlJc w:val="left"/>
      <w:pPr>
        <w:ind w:left="3654" w:hanging="168"/>
      </w:pPr>
      <w:rPr>
        <w:rFonts w:hint="default"/>
        <w:lang w:val="en-au" w:eastAsia="en-US" w:bidi="ar-SA"/>
      </w:rPr>
    </w:lvl>
    <w:lvl w:ilvl="6">
      <w:start w:val="0"/>
      <w:numFmt w:val="bullet"/>
      <w:lvlText w:val="•"/>
      <w:lvlJc w:val="left"/>
      <w:pPr>
        <w:ind w:left="4328" w:hanging="168"/>
      </w:pPr>
      <w:rPr>
        <w:rFonts w:hint="default"/>
        <w:lang w:val="en-au" w:eastAsia="en-US" w:bidi="ar-SA"/>
      </w:rPr>
    </w:lvl>
    <w:lvl w:ilvl="7">
      <w:start w:val="0"/>
      <w:numFmt w:val="bullet"/>
      <w:lvlText w:val="•"/>
      <w:lvlJc w:val="left"/>
      <w:pPr>
        <w:ind w:left="5003" w:hanging="168"/>
      </w:pPr>
      <w:rPr>
        <w:rFonts w:hint="default"/>
        <w:lang w:val="en-au" w:eastAsia="en-US" w:bidi="ar-SA"/>
      </w:rPr>
    </w:lvl>
    <w:lvl w:ilvl="8">
      <w:start w:val="0"/>
      <w:numFmt w:val="bullet"/>
      <w:lvlText w:val="•"/>
      <w:lvlJc w:val="left"/>
      <w:pPr>
        <w:ind w:left="5678" w:hanging="168"/>
      </w:pPr>
      <w:rPr>
        <w:rFonts w:hint="default"/>
        <w:lang w:val="en-au" w:eastAsia="en-US" w:bidi="ar-SA"/>
      </w:rPr>
    </w:lvl>
  </w:abstractNum>
  <w:abstractNum w:abstractNumId="223">
    <w:multiLevelType w:val="hybridMultilevel"/>
    <w:lvl w:ilvl="0">
      <w:start w:val="0"/>
      <w:numFmt w:val="bullet"/>
      <w:lvlText w:val=""/>
      <w:lvlJc w:val="left"/>
      <w:pPr>
        <w:ind w:left="275" w:hanging="168"/>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68"/>
      </w:pPr>
      <w:rPr>
        <w:rFonts w:hint="default"/>
        <w:lang w:val="en-au" w:eastAsia="en-US" w:bidi="ar-SA"/>
      </w:rPr>
    </w:lvl>
    <w:lvl w:ilvl="2">
      <w:start w:val="0"/>
      <w:numFmt w:val="bullet"/>
      <w:lvlText w:val="•"/>
      <w:lvlJc w:val="left"/>
      <w:pPr>
        <w:ind w:left="1629" w:hanging="168"/>
      </w:pPr>
      <w:rPr>
        <w:rFonts w:hint="default"/>
        <w:lang w:val="en-au" w:eastAsia="en-US" w:bidi="ar-SA"/>
      </w:rPr>
    </w:lvl>
    <w:lvl w:ilvl="3">
      <w:start w:val="0"/>
      <w:numFmt w:val="bullet"/>
      <w:lvlText w:val="•"/>
      <w:lvlJc w:val="left"/>
      <w:pPr>
        <w:ind w:left="2304" w:hanging="168"/>
      </w:pPr>
      <w:rPr>
        <w:rFonts w:hint="default"/>
        <w:lang w:val="en-au" w:eastAsia="en-US" w:bidi="ar-SA"/>
      </w:rPr>
    </w:lvl>
    <w:lvl w:ilvl="4">
      <w:start w:val="0"/>
      <w:numFmt w:val="bullet"/>
      <w:lvlText w:val="•"/>
      <w:lvlJc w:val="left"/>
      <w:pPr>
        <w:ind w:left="2979" w:hanging="168"/>
      </w:pPr>
      <w:rPr>
        <w:rFonts w:hint="default"/>
        <w:lang w:val="en-au" w:eastAsia="en-US" w:bidi="ar-SA"/>
      </w:rPr>
    </w:lvl>
    <w:lvl w:ilvl="5">
      <w:start w:val="0"/>
      <w:numFmt w:val="bullet"/>
      <w:lvlText w:val="•"/>
      <w:lvlJc w:val="left"/>
      <w:pPr>
        <w:ind w:left="3654" w:hanging="168"/>
      </w:pPr>
      <w:rPr>
        <w:rFonts w:hint="default"/>
        <w:lang w:val="en-au" w:eastAsia="en-US" w:bidi="ar-SA"/>
      </w:rPr>
    </w:lvl>
    <w:lvl w:ilvl="6">
      <w:start w:val="0"/>
      <w:numFmt w:val="bullet"/>
      <w:lvlText w:val="•"/>
      <w:lvlJc w:val="left"/>
      <w:pPr>
        <w:ind w:left="4328" w:hanging="168"/>
      </w:pPr>
      <w:rPr>
        <w:rFonts w:hint="default"/>
        <w:lang w:val="en-au" w:eastAsia="en-US" w:bidi="ar-SA"/>
      </w:rPr>
    </w:lvl>
    <w:lvl w:ilvl="7">
      <w:start w:val="0"/>
      <w:numFmt w:val="bullet"/>
      <w:lvlText w:val="•"/>
      <w:lvlJc w:val="left"/>
      <w:pPr>
        <w:ind w:left="5003" w:hanging="168"/>
      </w:pPr>
      <w:rPr>
        <w:rFonts w:hint="default"/>
        <w:lang w:val="en-au" w:eastAsia="en-US" w:bidi="ar-SA"/>
      </w:rPr>
    </w:lvl>
    <w:lvl w:ilvl="8">
      <w:start w:val="0"/>
      <w:numFmt w:val="bullet"/>
      <w:lvlText w:val="•"/>
      <w:lvlJc w:val="left"/>
      <w:pPr>
        <w:ind w:left="5678" w:hanging="168"/>
      </w:pPr>
      <w:rPr>
        <w:rFonts w:hint="default"/>
        <w:lang w:val="en-au" w:eastAsia="en-US" w:bidi="ar-SA"/>
      </w:rPr>
    </w:lvl>
  </w:abstractNum>
  <w:abstractNum w:abstractNumId="222">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821" w:hanging="356"/>
      </w:pPr>
      <w:rPr>
        <w:rFonts w:hint="default" w:ascii="Symbol" w:hAnsi="Symbol" w:eastAsia="Symbol" w:cs="Symbol"/>
        <w:b w:val="0"/>
        <w:bCs w:val="0"/>
        <w:i w:val="0"/>
        <w:iCs w:val="0"/>
        <w:w w:val="100"/>
        <w:sz w:val="18"/>
        <w:szCs w:val="18"/>
        <w:lang w:val="en-au" w:eastAsia="en-US" w:bidi="ar-SA"/>
      </w:rPr>
    </w:lvl>
    <w:lvl w:ilvl="2">
      <w:start w:val="0"/>
      <w:numFmt w:val="bullet"/>
      <w:lvlText w:val="•"/>
      <w:lvlJc w:val="left"/>
      <w:pPr>
        <w:ind w:left="1509" w:hanging="356"/>
      </w:pPr>
      <w:rPr>
        <w:rFonts w:hint="default"/>
        <w:lang w:val="en-au" w:eastAsia="en-US" w:bidi="ar-SA"/>
      </w:rPr>
    </w:lvl>
    <w:lvl w:ilvl="3">
      <w:start w:val="0"/>
      <w:numFmt w:val="bullet"/>
      <w:lvlText w:val="•"/>
      <w:lvlJc w:val="left"/>
      <w:pPr>
        <w:ind w:left="2199" w:hanging="356"/>
      </w:pPr>
      <w:rPr>
        <w:rFonts w:hint="default"/>
        <w:lang w:val="en-au" w:eastAsia="en-US" w:bidi="ar-SA"/>
      </w:rPr>
    </w:lvl>
    <w:lvl w:ilvl="4">
      <w:start w:val="0"/>
      <w:numFmt w:val="bullet"/>
      <w:lvlText w:val="•"/>
      <w:lvlJc w:val="left"/>
      <w:pPr>
        <w:ind w:left="2889" w:hanging="356"/>
      </w:pPr>
      <w:rPr>
        <w:rFonts w:hint="default"/>
        <w:lang w:val="en-au" w:eastAsia="en-US" w:bidi="ar-SA"/>
      </w:rPr>
    </w:lvl>
    <w:lvl w:ilvl="5">
      <w:start w:val="0"/>
      <w:numFmt w:val="bullet"/>
      <w:lvlText w:val="•"/>
      <w:lvlJc w:val="left"/>
      <w:pPr>
        <w:ind w:left="3579" w:hanging="356"/>
      </w:pPr>
      <w:rPr>
        <w:rFonts w:hint="default"/>
        <w:lang w:val="en-au" w:eastAsia="en-US" w:bidi="ar-SA"/>
      </w:rPr>
    </w:lvl>
    <w:lvl w:ilvl="6">
      <w:start w:val="0"/>
      <w:numFmt w:val="bullet"/>
      <w:lvlText w:val="•"/>
      <w:lvlJc w:val="left"/>
      <w:pPr>
        <w:ind w:left="4268" w:hanging="356"/>
      </w:pPr>
      <w:rPr>
        <w:rFonts w:hint="default"/>
        <w:lang w:val="en-au" w:eastAsia="en-US" w:bidi="ar-SA"/>
      </w:rPr>
    </w:lvl>
    <w:lvl w:ilvl="7">
      <w:start w:val="0"/>
      <w:numFmt w:val="bullet"/>
      <w:lvlText w:val="•"/>
      <w:lvlJc w:val="left"/>
      <w:pPr>
        <w:ind w:left="4958" w:hanging="356"/>
      </w:pPr>
      <w:rPr>
        <w:rFonts w:hint="default"/>
        <w:lang w:val="en-au" w:eastAsia="en-US" w:bidi="ar-SA"/>
      </w:rPr>
    </w:lvl>
    <w:lvl w:ilvl="8">
      <w:start w:val="0"/>
      <w:numFmt w:val="bullet"/>
      <w:lvlText w:val="•"/>
      <w:lvlJc w:val="left"/>
      <w:pPr>
        <w:ind w:left="5648" w:hanging="356"/>
      </w:pPr>
      <w:rPr>
        <w:rFonts w:hint="default"/>
        <w:lang w:val="en-au" w:eastAsia="en-US" w:bidi="ar-SA"/>
      </w:rPr>
    </w:lvl>
  </w:abstractNum>
  <w:abstractNum w:abstractNumId="221">
    <w:multiLevelType w:val="hybridMultilevel"/>
    <w:lvl w:ilvl="0">
      <w:start w:val="0"/>
      <w:numFmt w:val="bullet"/>
      <w:lvlText w:val=""/>
      <w:lvlJc w:val="left"/>
      <w:pPr>
        <w:ind w:left="278" w:hanging="22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420" w:hanging="145"/>
      </w:pPr>
      <w:rPr>
        <w:rFonts w:hint="default" w:ascii="Symbol" w:hAnsi="Symbol" w:eastAsia="Symbol" w:cs="Symbol"/>
        <w:b w:val="0"/>
        <w:bCs w:val="0"/>
        <w:i w:val="0"/>
        <w:iCs w:val="0"/>
        <w:w w:val="100"/>
        <w:sz w:val="18"/>
        <w:szCs w:val="18"/>
        <w:lang w:val="en-au" w:eastAsia="en-US" w:bidi="ar-SA"/>
      </w:rPr>
    </w:lvl>
    <w:lvl w:ilvl="2">
      <w:start w:val="0"/>
      <w:numFmt w:val="bullet"/>
      <w:lvlText w:val="•"/>
      <w:lvlJc w:val="left"/>
      <w:pPr>
        <w:ind w:left="1154" w:hanging="145"/>
      </w:pPr>
      <w:rPr>
        <w:rFonts w:hint="default"/>
        <w:lang w:val="en-au" w:eastAsia="en-US" w:bidi="ar-SA"/>
      </w:rPr>
    </w:lvl>
    <w:lvl w:ilvl="3">
      <w:start w:val="0"/>
      <w:numFmt w:val="bullet"/>
      <w:lvlText w:val="•"/>
      <w:lvlJc w:val="left"/>
      <w:pPr>
        <w:ind w:left="1888" w:hanging="145"/>
      </w:pPr>
      <w:rPr>
        <w:rFonts w:hint="default"/>
        <w:lang w:val="en-au" w:eastAsia="en-US" w:bidi="ar-SA"/>
      </w:rPr>
    </w:lvl>
    <w:lvl w:ilvl="4">
      <w:start w:val="0"/>
      <w:numFmt w:val="bullet"/>
      <w:lvlText w:val="•"/>
      <w:lvlJc w:val="left"/>
      <w:pPr>
        <w:ind w:left="2622" w:hanging="145"/>
      </w:pPr>
      <w:rPr>
        <w:rFonts w:hint="default"/>
        <w:lang w:val="en-au" w:eastAsia="en-US" w:bidi="ar-SA"/>
      </w:rPr>
    </w:lvl>
    <w:lvl w:ilvl="5">
      <w:start w:val="0"/>
      <w:numFmt w:val="bullet"/>
      <w:lvlText w:val="•"/>
      <w:lvlJc w:val="left"/>
      <w:pPr>
        <w:ind w:left="3356" w:hanging="145"/>
      </w:pPr>
      <w:rPr>
        <w:rFonts w:hint="default"/>
        <w:lang w:val="en-au" w:eastAsia="en-US" w:bidi="ar-SA"/>
      </w:rPr>
    </w:lvl>
    <w:lvl w:ilvl="6">
      <w:start w:val="0"/>
      <w:numFmt w:val="bullet"/>
      <w:lvlText w:val="•"/>
      <w:lvlJc w:val="left"/>
      <w:pPr>
        <w:ind w:left="4091" w:hanging="145"/>
      </w:pPr>
      <w:rPr>
        <w:rFonts w:hint="default"/>
        <w:lang w:val="en-au" w:eastAsia="en-US" w:bidi="ar-SA"/>
      </w:rPr>
    </w:lvl>
    <w:lvl w:ilvl="7">
      <w:start w:val="0"/>
      <w:numFmt w:val="bullet"/>
      <w:lvlText w:val="•"/>
      <w:lvlJc w:val="left"/>
      <w:pPr>
        <w:ind w:left="4825" w:hanging="145"/>
      </w:pPr>
      <w:rPr>
        <w:rFonts w:hint="default"/>
        <w:lang w:val="en-au" w:eastAsia="en-US" w:bidi="ar-SA"/>
      </w:rPr>
    </w:lvl>
    <w:lvl w:ilvl="8">
      <w:start w:val="0"/>
      <w:numFmt w:val="bullet"/>
      <w:lvlText w:val="•"/>
      <w:lvlJc w:val="left"/>
      <w:pPr>
        <w:ind w:left="5559" w:hanging="145"/>
      </w:pPr>
      <w:rPr>
        <w:rFonts w:hint="default"/>
        <w:lang w:val="en-au" w:eastAsia="en-US" w:bidi="ar-SA"/>
      </w:rPr>
    </w:lvl>
  </w:abstractNum>
  <w:abstractNum w:abstractNumId="220">
    <w:multiLevelType w:val="hybridMultilevel"/>
    <w:lvl w:ilvl="0">
      <w:start w:val="0"/>
      <w:numFmt w:val="bullet"/>
      <w:lvlText w:val=""/>
      <w:lvlJc w:val="left"/>
      <w:pPr>
        <w:ind w:left="275" w:hanging="168"/>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68"/>
      </w:pPr>
      <w:rPr>
        <w:rFonts w:hint="default"/>
        <w:lang w:val="en-au" w:eastAsia="en-US" w:bidi="ar-SA"/>
      </w:rPr>
    </w:lvl>
    <w:lvl w:ilvl="2">
      <w:start w:val="0"/>
      <w:numFmt w:val="bullet"/>
      <w:lvlText w:val="•"/>
      <w:lvlJc w:val="left"/>
      <w:pPr>
        <w:ind w:left="1629" w:hanging="168"/>
      </w:pPr>
      <w:rPr>
        <w:rFonts w:hint="default"/>
        <w:lang w:val="en-au" w:eastAsia="en-US" w:bidi="ar-SA"/>
      </w:rPr>
    </w:lvl>
    <w:lvl w:ilvl="3">
      <w:start w:val="0"/>
      <w:numFmt w:val="bullet"/>
      <w:lvlText w:val="•"/>
      <w:lvlJc w:val="left"/>
      <w:pPr>
        <w:ind w:left="2304" w:hanging="168"/>
      </w:pPr>
      <w:rPr>
        <w:rFonts w:hint="default"/>
        <w:lang w:val="en-au" w:eastAsia="en-US" w:bidi="ar-SA"/>
      </w:rPr>
    </w:lvl>
    <w:lvl w:ilvl="4">
      <w:start w:val="0"/>
      <w:numFmt w:val="bullet"/>
      <w:lvlText w:val="•"/>
      <w:lvlJc w:val="left"/>
      <w:pPr>
        <w:ind w:left="2979" w:hanging="168"/>
      </w:pPr>
      <w:rPr>
        <w:rFonts w:hint="default"/>
        <w:lang w:val="en-au" w:eastAsia="en-US" w:bidi="ar-SA"/>
      </w:rPr>
    </w:lvl>
    <w:lvl w:ilvl="5">
      <w:start w:val="0"/>
      <w:numFmt w:val="bullet"/>
      <w:lvlText w:val="•"/>
      <w:lvlJc w:val="left"/>
      <w:pPr>
        <w:ind w:left="3654" w:hanging="168"/>
      </w:pPr>
      <w:rPr>
        <w:rFonts w:hint="default"/>
        <w:lang w:val="en-au" w:eastAsia="en-US" w:bidi="ar-SA"/>
      </w:rPr>
    </w:lvl>
    <w:lvl w:ilvl="6">
      <w:start w:val="0"/>
      <w:numFmt w:val="bullet"/>
      <w:lvlText w:val="•"/>
      <w:lvlJc w:val="left"/>
      <w:pPr>
        <w:ind w:left="4328" w:hanging="168"/>
      </w:pPr>
      <w:rPr>
        <w:rFonts w:hint="default"/>
        <w:lang w:val="en-au" w:eastAsia="en-US" w:bidi="ar-SA"/>
      </w:rPr>
    </w:lvl>
    <w:lvl w:ilvl="7">
      <w:start w:val="0"/>
      <w:numFmt w:val="bullet"/>
      <w:lvlText w:val="•"/>
      <w:lvlJc w:val="left"/>
      <w:pPr>
        <w:ind w:left="5003" w:hanging="168"/>
      </w:pPr>
      <w:rPr>
        <w:rFonts w:hint="default"/>
        <w:lang w:val="en-au" w:eastAsia="en-US" w:bidi="ar-SA"/>
      </w:rPr>
    </w:lvl>
    <w:lvl w:ilvl="8">
      <w:start w:val="0"/>
      <w:numFmt w:val="bullet"/>
      <w:lvlText w:val="•"/>
      <w:lvlJc w:val="left"/>
      <w:pPr>
        <w:ind w:left="5678" w:hanging="168"/>
      </w:pPr>
      <w:rPr>
        <w:rFonts w:hint="default"/>
        <w:lang w:val="en-au" w:eastAsia="en-US" w:bidi="ar-SA"/>
      </w:rPr>
    </w:lvl>
  </w:abstractNum>
  <w:abstractNum w:abstractNumId="219">
    <w:multiLevelType w:val="hybridMultilevel"/>
    <w:lvl w:ilvl="0">
      <w:start w:val="0"/>
      <w:numFmt w:val="bullet"/>
      <w:lvlText w:val=""/>
      <w:lvlJc w:val="left"/>
      <w:pPr>
        <w:ind w:left="275" w:hanging="168"/>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68"/>
      </w:pPr>
      <w:rPr>
        <w:rFonts w:hint="default"/>
        <w:lang w:val="en-au" w:eastAsia="en-US" w:bidi="ar-SA"/>
      </w:rPr>
    </w:lvl>
    <w:lvl w:ilvl="2">
      <w:start w:val="0"/>
      <w:numFmt w:val="bullet"/>
      <w:lvlText w:val="•"/>
      <w:lvlJc w:val="left"/>
      <w:pPr>
        <w:ind w:left="1629" w:hanging="168"/>
      </w:pPr>
      <w:rPr>
        <w:rFonts w:hint="default"/>
        <w:lang w:val="en-au" w:eastAsia="en-US" w:bidi="ar-SA"/>
      </w:rPr>
    </w:lvl>
    <w:lvl w:ilvl="3">
      <w:start w:val="0"/>
      <w:numFmt w:val="bullet"/>
      <w:lvlText w:val="•"/>
      <w:lvlJc w:val="left"/>
      <w:pPr>
        <w:ind w:left="2304" w:hanging="168"/>
      </w:pPr>
      <w:rPr>
        <w:rFonts w:hint="default"/>
        <w:lang w:val="en-au" w:eastAsia="en-US" w:bidi="ar-SA"/>
      </w:rPr>
    </w:lvl>
    <w:lvl w:ilvl="4">
      <w:start w:val="0"/>
      <w:numFmt w:val="bullet"/>
      <w:lvlText w:val="•"/>
      <w:lvlJc w:val="left"/>
      <w:pPr>
        <w:ind w:left="2979" w:hanging="168"/>
      </w:pPr>
      <w:rPr>
        <w:rFonts w:hint="default"/>
        <w:lang w:val="en-au" w:eastAsia="en-US" w:bidi="ar-SA"/>
      </w:rPr>
    </w:lvl>
    <w:lvl w:ilvl="5">
      <w:start w:val="0"/>
      <w:numFmt w:val="bullet"/>
      <w:lvlText w:val="•"/>
      <w:lvlJc w:val="left"/>
      <w:pPr>
        <w:ind w:left="3654" w:hanging="168"/>
      </w:pPr>
      <w:rPr>
        <w:rFonts w:hint="default"/>
        <w:lang w:val="en-au" w:eastAsia="en-US" w:bidi="ar-SA"/>
      </w:rPr>
    </w:lvl>
    <w:lvl w:ilvl="6">
      <w:start w:val="0"/>
      <w:numFmt w:val="bullet"/>
      <w:lvlText w:val="•"/>
      <w:lvlJc w:val="left"/>
      <w:pPr>
        <w:ind w:left="4328" w:hanging="168"/>
      </w:pPr>
      <w:rPr>
        <w:rFonts w:hint="default"/>
        <w:lang w:val="en-au" w:eastAsia="en-US" w:bidi="ar-SA"/>
      </w:rPr>
    </w:lvl>
    <w:lvl w:ilvl="7">
      <w:start w:val="0"/>
      <w:numFmt w:val="bullet"/>
      <w:lvlText w:val="•"/>
      <w:lvlJc w:val="left"/>
      <w:pPr>
        <w:ind w:left="5003" w:hanging="168"/>
      </w:pPr>
      <w:rPr>
        <w:rFonts w:hint="default"/>
        <w:lang w:val="en-au" w:eastAsia="en-US" w:bidi="ar-SA"/>
      </w:rPr>
    </w:lvl>
    <w:lvl w:ilvl="8">
      <w:start w:val="0"/>
      <w:numFmt w:val="bullet"/>
      <w:lvlText w:val="•"/>
      <w:lvlJc w:val="left"/>
      <w:pPr>
        <w:ind w:left="5678" w:hanging="168"/>
      </w:pPr>
      <w:rPr>
        <w:rFonts w:hint="default"/>
        <w:lang w:val="en-au" w:eastAsia="en-US" w:bidi="ar-SA"/>
      </w:rPr>
    </w:lvl>
  </w:abstractNum>
  <w:abstractNum w:abstractNumId="218">
    <w:multiLevelType w:val="hybridMultilevel"/>
    <w:lvl w:ilvl="0">
      <w:start w:val="0"/>
      <w:numFmt w:val="bullet"/>
      <w:lvlText w:val=""/>
      <w:lvlJc w:val="left"/>
      <w:pPr>
        <w:ind w:left="275" w:hanging="168"/>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68"/>
      </w:pPr>
      <w:rPr>
        <w:rFonts w:hint="default"/>
        <w:lang w:val="en-au" w:eastAsia="en-US" w:bidi="ar-SA"/>
      </w:rPr>
    </w:lvl>
    <w:lvl w:ilvl="2">
      <w:start w:val="0"/>
      <w:numFmt w:val="bullet"/>
      <w:lvlText w:val="•"/>
      <w:lvlJc w:val="left"/>
      <w:pPr>
        <w:ind w:left="1629" w:hanging="168"/>
      </w:pPr>
      <w:rPr>
        <w:rFonts w:hint="default"/>
        <w:lang w:val="en-au" w:eastAsia="en-US" w:bidi="ar-SA"/>
      </w:rPr>
    </w:lvl>
    <w:lvl w:ilvl="3">
      <w:start w:val="0"/>
      <w:numFmt w:val="bullet"/>
      <w:lvlText w:val="•"/>
      <w:lvlJc w:val="left"/>
      <w:pPr>
        <w:ind w:left="2304" w:hanging="168"/>
      </w:pPr>
      <w:rPr>
        <w:rFonts w:hint="default"/>
        <w:lang w:val="en-au" w:eastAsia="en-US" w:bidi="ar-SA"/>
      </w:rPr>
    </w:lvl>
    <w:lvl w:ilvl="4">
      <w:start w:val="0"/>
      <w:numFmt w:val="bullet"/>
      <w:lvlText w:val="•"/>
      <w:lvlJc w:val="left"/>
      <w:pPr>
        <w:ind w:left="2979" w:hanging="168"/>
      </w:pPr>
      <w:rPr>
        <w:rFonts w:hint="default"/>
        <w:lang w:val="en-au" w:eastAsia="en-US" w:bidi="ar-SA"/>
      </w:rPr>
    </w:lvl>
    <w:lvl w:ilvl="5">
      <w:start w:val="0"/>
      <w:numFmt w:val="bullet"/>
      <w:lvlText w:val="•"/>
      <w:lvlJc w:val="left"/>
      <w:pPr>
        <w:ind w:left="3654" w:hanging="168"/>
      </w:pPr>
      <w:rPr>
        <w:rFonts w:hint="default"/>
        <w:lang w:val="en-au" w:eastAsia="en-US" w:bidi="ar-SA"/>
      </w:rPr>
    </w:lvl>
    <w:lvl w:ilvl="6">
      <w:start w:val="0"/>
      <w:numFmt w:val="bullet"/>
      <w:lvlText w:val="•"/>
      <w:lvlJc w:val="left"/>
      <w:pPr>
        <w:ind w:left="4328" w:hanging="168"/>
      </w:pPr>
      <w:rPr>
        <w:rFonts w:hint="default"/>
        <w:lang w:val="en-au" w:eastAsia="en-US" w:bidi="ar-SA"/>
      </w:rPr>
    </w:lvl>
    <w:lvl w:ilvl="7">
      <w:start w:val="0"/>
      <w:numFmt w:val="bullet"/>
      <w:lvlText w:val="•"/>
      <w:lvlJc w:val="left"/>
      <w:pPr>
        <w:ind w:left="5003" w:hanging="168"/>
      </w:pPr>
      <w:rPr>
        <w:rFonts w:hint="default"/>
        <w:lang w:val="en-au" w:eastAsia="en-US" w:bidi="ar-SA"/>
      </w:rPr>
    </w:lvl>
    <w:lvl w:ilvl="8">
      <w:start w:val="0"/>
      <w:numFmt w:val="bullet"/>
      <w:lvlText w:val="•"/>
      <w:lvlJc w:val="left"/>
      <w:pPr>
        <w:ind w:left="5678" w:hanging="168"/>
      </w:pPr>
      <w:rPr>
        <w:rFonts w:hint="default"/>
        <w:lang w:val="en-au" w:eastAsia="en-US" w:bidi="ar-SA"/>
      </w:rPr>
    </w:lvl>
  </w:abstractNum>
  <w:abstractNum w:abstractNumId="217">
    <w:multiLevelType w:val="hybridMultilevel"/>
    <w:lvl w:ilvl="0">
      <w:start w:val="0"/>
      <w:numFmt w:val="bullet"/>
      <w:lvlText w:val=""/>
      <w:lvlJc w:val="left"/>
      <w:pPr>
        <w:ind w:left="275" w:hanging="168"/>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828" w:hanging="360"/>
      </w:pPr>
      <w:rPr>
        <w:rFonts w:hint="default" w:ascii="Symbol" w:hAnsi="Symbol" w:eastAsia="Symbol" w:cs="Symbol"/>
        <w:b w:val="0"/>
        <w:bCs w:val="0"/>
        <w:i w:val="0"/>
        <w:iCs w:val="0"/>
        <w:w w:val="100"/>
        <w:sz w:val="18"/>
        <w:szCs w:val="18"/>
        <w:lang w:val="en-au" w:eastAsia="en-US" w:bidi="ar-SA"/>
      </w:rPr>
    </w:lvl>
    <w:lvl w:ilvl="2">
      <w:start w:val="0"/>
      <w:numFmt w:val="bullet"/>
      <w:lvlText w:val="•"/>
      <w:lvlJc w:val="left"/>
      <w:pPr>
        <w:ind w:left="1509" w:hanging="360"/>
      </w:pPr>
      <w:rPr>
        <w:rFonts w:hint="default"/>
        <w:lang w:val="en-au" w:eastAsia="en-US" w:bidi="ar-SA"/>
      </w:rPr>
    </w:lvl>
    <w:lvl w:ilvl="3">
      <w:start w:val="0"/>
      <w:numFmt w:val="bullet"/>
      <w:lvlText w:val="•"/>
      <w:lvlJc w:val="left"/>
      <w:pPr>
        <w:ind w:left="2199" w:hanging="360"/>
      </w:pPr>
      <w:rPr>
        <w:rFonts w:hint="default"/>
        <w:lang w:val="en-au" w:eastAsia="en-US" w:bidi="ar-SA"/>
      </w:rPr>
    </w:lvl>
    <w:lvl w:ilvl="4">
      <w:start w:val="0"/>
      <w:numFmt w:val="bullet"/>
      <w:lvlText w:val="•"/>
      <w:lvlJc w:val="left"/>
      <w:pPr>
        <w:ind w:left="2889" w:hanging="360"/>
      </w:pPr>
      <w:rPr>
        <w:rFonts w:hint="default"/>
        <w:lang w:val="en-au" w:eastAsia="en-US" w:bidi="ar-SA"/>
      </w:rPr>
    </w:lvl>
    <w:lvl w:ilvl="5">
      <w:start w:val="0"/>
      <w:numFmt w:val="bullet"/>
      <w:lvlText w:val="•"/>
      <w:lvlJc w:val="left"/>
      <w:pPr>
        <w:ind w:left="3579" w:hanging="360"/>
      </w:pPr>
      <w:rPr>
        <w:rFonts w:hint="default"/>
        <w:lang w:val="en-au" w:eastAsia="en-US" w:bidi="ar-SA"/>
      </w:rPr>
    </w:lvl>
    <w:lvl w:ilvl="6">
      <w:start w:val="0"/>
      <w:numFmt w:val="bullet"/>
      <w:lvlText w:val="•"/>
      <w:lvlJc w:val="left"/>
      <w:pPr>
        <w:ind w:left="4268" w:hanging="360"/>
      </w:pPr>
      <w:rPr>
        <w:rFonts w:hint="default"/>
        <w:lang w:val="en-au" w:eastAsia="en-US" w:bidi="ar-SA"/>
      </w:rPr>
    </w:lvl>
    <w:lvl w:ilvl="7">
      <w:start w:val="0"/>
      <w:numFmt w:val="bullet"/>
      <w:lvlText w:val="•"/>
      <w:lvlJc w:val="left"/>
      <w:pPr>
        <w:ind w:left="4958" w:hanging="360"/>
      </w:pPr>
      <w:rPr>
        <w:rFonts w:hint="default"/>
        <w:lang w:val="en-au" w:eastAsia="en-US" w:bidi="ar-SA"/>
      </w:rPr>
    </w:lvl>
    <w:lvl w:ilvl="8">
      <w:start w:val="0"/>
      <w:numFmt w:val="bullet"/>
      <w:lvlText w:val="•"/>
      <w:lvlJc w:val="left"/>
      <w:pPr>
        <w:ind w:left="5648" w:hanging="360"/>
      </w:pPr>
      <w:rPr>
        <w:rFonts w:hint="default"/>
        <w:lang w:val="en-au" w:eastAsia="en-US" w:bidi="ar-SA"/>
      </w:rPr>
    </w:lvl>
  </w:abstractNum>
  <w:abstractNum w:abstractNumId="216">
    <w:multiLevelType w:val="hybridMultilevel"/>
    <w:lvl w:ilvl="0">
      <w:start w:val="0"/>
      <w:numFmt w:val="bullet"/>
      <w:lvlText w:val=""/>
      <w:lvlJc w:val="left"/>
      <w:pPr>
        <w:ind w:left="275" w:hanging="168"/>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828" w:hanging="360"/>
      </w:pPr>
      <w:rPr>
        <w:rFonts w:hint="default" w:ascii="Symbol" w:hAnsi="Symbol" w:eastAsia="Symbol" w:cs="Symbol"/>
        <w:b w:val="0"/>
        <w:bCs w:val="0"/>
        <w:i w:val="0"/>
        <w:iCs w:val="0"/>
        <w:w w:val="100"/>
        <w:sz w:val="18"/>
        <w:szCs w:val="18"/>
        <w:lang w:val="en-au" w:eastAsia="en-US" w:bidi="ar-SA"/>
      </w:rPr>
    </w:lvl>
    <w:lvl w:ilvl="2">
      <w:start w:val="0"/>
      <w:numFmt w:val="bullet"/>
      <w:lvlText w:val="•"/>
      <w:lvlJc w:val="left"/>
      <w:pPr>
        <w:ind w:left="1509" w:hanging="360"/>
      </w:pPr>
      <w:rPr>
        <w:rFonts w:hint="default"/>
        <w:lang w:val="en-au" w:eastAsia="en-US" w:bidi="ar-SA"/>
      </w:rPr>
    </w:lvl>
    <w:lvl w:ilvl="3">
      <w:start w:val="0"/>
      <w:numFmt w:val="bullet"/>
      <w:lvlText w:val="•"/>
      <w:lvlJc w:val="left"/>
      <w:pPr>
        <w:ind w:left="2199" w:hanging="360"/>
      </w:pPr>
      <w:rPr>
        <w:rFonts w:hint="default"/>
        <w:lang w:val="en-au" w:eastAsia="en-US" w:bidi="ar-SA"/>
      </w:rPr>
    </w:lvl>
    <w:lvl w:ilvl="4">
      <w:start w:val="0"/>
      <w:numFmt w:val="bullet"/>
      <w:lvlText w:val="•"/>
      <w:lvlJc w:val="left"/>
      <w:pPr>
        <w:ind w:left="2889" w:hanging="360"/>
      </w:pPr>
      <w:rPr>
        <w:rFonts w:hint="default"/>
        <w:lang w:val="en-au" w:eastAsia="en-US" w:bidi="ar-SA"/>
      </w:rPr>
    </w:lvl>
    <w:lvl w:ilvl="5">
      <w:start w:val="0"/>
      <w:numFmt w:val="bullet"/>
      <w:lvlText w:val="•"/>
      <w:lvlJc w:val="left"/>
      <w:pPr>
        <w:ind w:left="3579" w:hanging="360"/>
      </w:pPr>
      <w:rPr>
        <w:rFonts w:hint="default"/>
        <w:lang w:val="en-au" w:eastAsia="en-US" w:bidi="ar-SA"/>
      </w:rPr>
    </w:lvl>
    <w:lvl w:ilvl="6">
      <w:start w:val="0"/>
      <w:numFmt w:val="bullet"/>
      <w:lvlText w:val="•"/>
      <w:lvlJc w:val="left"/>
      <w:pPr>
        <w:ind w:left="4268" w:hanging="360"/>
      </w:pPr>
      <w:rPr>
        <w:rFonts w:hint="default"/>
        <w:lang w:val="en-au" w:eastAsia="en-US" w:bidi="ar-SA"/>
      </w:rPr>
    </w:lvl>
    <w:lvl w:ilvl="7">
      <w:start w:val="0"/>
      <w:numFmt w:val="bullet"/>
      <w:lvlText w:val="•"/>
      <w:lvlJc w:val="left"/>
      <w:pPr>
        <w:ind w:left="4958" w:hanging="360"/>
      </w:pPr>
      <w:rPr>
        <w:rFonts w:hint="default"/>
        <w:lang w:val="en-au" w:eastAsia="en-US" w:bidi="ar-SA"/>
      </w:rPr>
    </w:lvl>
    <w:lvl w:ilvl="8">
      <w:start w:val="0"/>
      <w:numFmt w:val="bullet"/>
      <w:lvlText w:val="•"/>
      <w:lvlJc w:val="left"/>
      <w:pPr>
        <w:ind w:left="5648" w:hanging="360"/>
      </w:pPr>
      <w:rPr>
        <w:rFonts w:hint="default"/>
        <w:lang w:val="en-au" w:eastAsia="en-US" w:bidi="ar-SA"/>
      </w:rPr>
    </w:lvl>
  </w:abstractNum>
  <w:abstractNum w:abstractNumId="215">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71"/>
      </w:pPr>
      <w:rPr>
        <w:rFonts w:hint="default"/>
        <w:lang w:val="en-au" w:eastAsia="en-US" w:bidi="ar-SA"/>
      </w:rPr>
    </w:lvl>
    <w:lvl w:ilvl="2">
      <w:start w:val="0"/>
      <w:numFmt w:val="bullet"/>
      <w:lvlText w:val="•"/>
      <w:lvlJc w:val="left"/>
      <w:pPr>
        <w:ind w:left="1629" w:hanging="171"/>
      </w:pPr>
      <w:rPr>
        <w:rFonts w:hint="default"/>
        <w:lang w:val="en-au" w:eastAsia="en-US" w:bidi="ar-SA"/>
      </w:rPr>
    </w:lvl>
    <w:lvl w:ilvl="3">
      <w:start w:val="0"/>
      <w:numFmt w:val="bullet"/>
      <w:lvlText w:val="•"/>
      <w:lvlJc w:val="left"/>
      <w:pPr>
        <w:ind w:left="2304" w:hanging="171"/>
      </w:pPr>
      <w:rPr>
        <w:rFonts w:hint="default"/>
        <w:lang w:val="en-au" w:eastAsia="en-US" w:bidi="ar-SA"/>
      </w:rPr>
    </w:lvl>
    <w:lvl w:ilvl="4">
      <w:start w:val="0"/>
      <w:numFmt w:val="bullet"/>
      <w:lvlText w:val="•"/>
      <w:lvlJc w:val="left"/>
      <w:pPr>
        <w:ind w:left="2979" w:hanging="171"/>
      </w:pPr>
      <w:rPr>
        <w:rFonts w:hint="default"/>
        <w:lang w:val="en-au" w:eastAsia="en-US" w:bidi="ar-SA"/>
      </w:rPr>
    </w:lvl>
    <w:lvl w:ilvl="5">
      <w:start w:val="0"/>
      <w:numFmt w:val="bullet"/>
      <w:lvlText w:val="•"/>
      <w:lvlJc w:val="left"/>
      <w:pPr>
        <w:ind w:left="3654" w:hanging="171"/>
      </w:pPr>
      <w:rPr>
        <w:rFonts w:hint="default"/>
        <w:lang w:val="en-au" w:eastAsia="en-US" w:bidi="ar-SA"/>
      </w:rPr>
    </w:lvl>
    <w:lvl w:ilvl="6">
      <w:start w:val="0"/>
      <w:numFmt w:val="bullet"/>
      <w:lvlText w:val="•"/>
      <w:lvlJc w:val="left"/>
      <w:pPr>
        <w:ind w:left="4328" w:hanging="171"/>
      </w:pPr>
      <w:rPr>
        <w:rFonts w:hint="default"/>
        <w:lang w:val="en-au" w:eastAsia="en-US" w:bidi="ar-SA"/>
      </w:rPr>
    </w:lvl>
    <w:lvl w:ilvl="7">
      <w:start w:val="0"/>
      <w:numFmt w:val="bullet"/>
      <w:lvlText w:val="•"/>
      <w:lvlJc w:val="left"/>
      <w:pPr>
        <w:ind w:left="5003" w:hanging="171"/>
      </w:pPr>
      <w:rPr>
        <w:rFonts w:hint="default"/>
        <w:lang w:val="en-au" w:eastAsia="en-US" w:bidi="ar-SA"/>
      </w:rPr>
    </w:lvl>
    <w:lvl w:ilvl="8">
      <w:start w:val="0"/>
      <w:numFmt w:val="bullet"/>
      <w:lvlText w:val="•"/>
      <w:lvlJc w:val="left"/>
      <w:pPr>
        <w:ind w:left="5678" w:hanging="171"/>
      </w:pPr>
      <w:rPr>
        <w:rFonts w:hint="default"/>
        <w:lang w:val="en-au" w:eastAsia="en-US" w:bidi="ar-SA"/>
      </w:rPr>
    </w:lvl>
  </w:abstractNum>
  <w:abstractNum w:abstractNumId="214">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71"/>
      </w:pPr>
      <w:rPr>
        <w:rFonts w:hint="default"/>
        <w:lang w:val="en-au" w:eastAsia="en-US" w:bidi="ar-SA"/>
      </w:rPr>
    </w:lvl>
    <w:lvl w:ilvl="2">
      <w:start w:val="0"/>
      <w:numFmt w:val="bullet"/>
      <w:lvlText w:val="•"/>
      <w:lvlJc w:val="left"/>
      <w:pPr>
        <w:ind w:left="1629" w:hanging="171"/>
      </w:pPr>
      <w:rPr>
        <w:rFonts w:hint="default"/>
        <w:lang w:val="en-au" w:eastAsia="en-US" w:bidi="ar-SA"/>
      </w:rPr>
    </w:lvl>
    <w:lvl w:ilvl="3">
      <w:start w:val="0"/>
      <w:numFmt w:val="bullet"/>
      <w:lvlText w:val="•"/>
      <w:lvlJc w:val="left"/>
      <w:pPr>
        <w:ind w:left="2304" w:hanging="171"/>
      </w:pPr>
      <w:rPr>
        <w:rFonts w:hint="default"/>
        <w:lang w:val="en-au" w:eastAsia="en-US" w:bidi="ar-SA"/>
      </w:rPr>
    </w:lvl>
    <w:lvl w:ilvl="4">
      <w:start w:val="0"/>
      <w:numFmt w:val="bullet"/>
      <w:lvlText w:val="•"/>
      <w:lvlJc w:val="left"/>
      <w:pPr>
        <w:ind w:left="2979" w:hanging="171"/>
      </w:pPr>
      <w:rPr>
        <w:rFonts w:hint="default"/>
        <w:lang w:val="en-au" w:eastAsia="en-US" w:bidi="ar-SA"/>
      </w:rPr>
    </w:lvl>
    <w:lvl w:ilvl="5">
      <w:start w:val="0"/>
      <w:numFmt w:val="bullet"/>
      <w:lvlText w:val="•"/>
      <w:lvlJc w:val="left"/>
      <w:pPr>
        <w:ind w:left="3654" w:hanging="171"/>
      </w:pPr>
      <w:rPr>
        <w:rFonts w:hint="default"/>
        <w:lang w:val="en-au" w:eastAsia="en-US" w:bidi="ar-SA"/>
      </w:rPr>
    </w:lvl>
    <w:lvl w:ilvl="6">
      <w:start w:val="0"/>
      <w:numFmt w:val="bullet"/>
      <w:lvlText w:val="•"/>
      <w:lvlJc w:val="left"/>
      <w:pPr>
        <w:ind w:left="4328" w:hanging="171"/>
      </w:pPr>
      <w:rPr>
        <w:rFonts w:hint="default"/>
        <w:lang w:val="en-au" w:eastAsia="en-US" w:bidi="ar-SA"/>
      </w:rPr>
    </w:lvl>
    <w:lvl w:ilvl="7">
      <w:start w:val="0"/>
      <w:numFmt w:val="bullet"/>
      <w:lvlText w:val="•"/>
      <w:lvlJc w:val="left"/>
      <w:pPr>
        <w:ind w:left="5003" w:hanging="171"/>
      </w:pPr>
      <w:rPr>
        <w:rFonts w:hint="default"/>
        <w:lang w:val="en-au" w:eastAsia="en-US" w:bidi="ar-SA"/>
      </w:rPr>
    </w:lvl>
    <w:lvl w:ilvl="8">
      <w:start w:val="0"/>
      <w:numFmt w:val="bullet"/>
      <w:lvlText w:val="•"/>
      <w:lvlJc w:val="left"/>
      <w:pPr>
        <w:ind w:left="5678" w:hanging="171"/>
      </w:pPr>
      <w:rPr>
        <w:rFonts w:hint="default"/>
        <w:lang w:val="en-au" w:eastAsia="en-US" w:bidi="ar-SA"/>
      </w:rPr>
    </w:lvl>
  </w:abstractNum>
  <w:abstractNum w:abstractNumId="213">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71"/>
      </w:pPr>
      <w:rPr>
        <w:rFonts w:hint="default"/>
        <w:lang w:val="en-au" w:eastAsia="en-US" w:bidi="ar-SA"/>
      </w:rPr>
    </w:lvl>
    <w:lvl w:ilvl="2">
      <w:start w:val="0"/>
      <w:numFmt w:val="bullet"/>
      <w:lvlText w:val="•"/>
      <w:lvlJc w:val="left"/>
      <w:pPr>
        <w:ind w:left="1629" w:hanging="171"/>
      </w:pPr>
      <w:rPr>
        <w:rFonts w:hint="default"/>
        <w:lang w:val="en-au" w:eastAsia="en-US" w:bidi="ar-SA"/>
      </w:rPr>
    </w:lvl>
    <w:lvl w:ilvl="3">
      <w:start w:val="0"/>
      <w:numFmt w:val="bullet"/>
      <w:lvlText w:val="•"/>
      <w:lvlJc w:val="left"/>
      <w:pPr>
        <w:ind w:left="2304" w:hanging="171"/>
      </w:pPr>
      <w:rPr>
        <w:rFonts w:hint="default"/>
        <w:lang w:val="en-au" w:eastAsia="en-US" w:bidi="ar-SA"/>
      </w:rPr>
    </w:lvl>
    <w:lvl w:ilvl="4">
      <w:start w:val="0"/>
      <w:numFmt w:val="bullet"/>
      <w:lvlText w:val="•"/>
      <w:lvlJc w:val="left"/>
      <w:pPr>
        <w:ind w:left="2979" w:hanging="171"/>
      </w:pPr>
      <w:rPr>
        <w:rFonts w:hint="default"/>
        <w:lang w:val="en-au" w:eastAsia="en-US" w:bidi="ar-SA"/>
      </w:rPr>
    </w:lvl>
    <w:lvl w:ilvl="5">
      <w:start w:val="0"/>
      <w:numFmt w:val="bullet"/>
      <w:lvlText w:val="•"/>
      <w:lvlJc w:val="left"/>
      <w:pPr>
        <w:ind w:left="3654" w:hanging="171"/>
      </w:pPr>
      <w:rPr>
        <w:rFonts w:hint="default"/>
        <w:lang w:val="en-au" w:eastAsia="en-US" w:bidi="ar-SA"/>
      </w:rPr>
    </w:lvl>
    <w:lvl w:ilvl="6">
      <w:start w:val="0"/>
      <w:numFmt w:val="bullet"/>
      <w:lvlText w:val="•"/>
      <w:lvlJc w:val="left"/>
      <w:pPr>
        <w:ind w:left="4328" w:hanging="171"/>
      </w:pPr>
      <w:rPr>
        <w:rFonts w:hint="default"/>
        <w:lang w:val="en-au" w:eastAsia="en-US" w:bidi="ar-SA"/>
      </w:rPr>
    </w:lvl>
    <w:lvl w:ilvl="7">
      <w:start w:val="0"/>
      <w:numFmt w:val="bullet"/>
      <w:lvlText w:val="•"/>
      <w:lvlJc w:val="left"/>
      <w:pPr>
        <w:ind w:left="5003" w:hanging="171"/>
      </w:pPr>
      <w:rPr>
        <w:rFonts w:hint="default"/>
        <w:lang w:val="en-au" w:eastAsia="en-US" w:bidi="ar-SA"/>
      </w:rPr>
    </w:lvl>
    <w:lvl w:ilvl="8">
      <w:start w:val="0"/>
      <w:numFmt w:val="bullet"/>
      <w:lvlText w:val="•"/>
      <w:lvlJc w:val="left"/>
      <w:pPr>
        <w:ind w:left="5678" w:hanging="171"/>
      </w:pPr>
      <w:rPr>
        <w:rFonts w:hint="default"/>
        <w:lang w:val="en-au" w:eastAsia="en-US" w:bidi="ar-SA"/>
      </w:rPr>
    </w:lvl>
  </w:abstractNum>
  <w:abstractNum w:abstractNumId="212">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71"/>
      </w:pPr>
      <w:rPr>
        <w:rFonts w:hint="default"/>
        <w:lang w:val="en-au" w:eastAsia="en-US" w:bidi="ar-SA"/>
      </w:rPr>
    </w:lvl>
    <w:lvl w:ilvl="2">
      <w:start w:val="0"/>
      <w:numFmt w:val="bullet"/>
      <w:lvlText w:val="•"/>
      <w:lvlJc w:val="left"/>
      <w:pPr>
        <w:ind w:left="1629" w:hanging="171"/>
      </w:pPr>
      <w:rPr>
        <w:rFonts w:hint="default"/>
        <w:lang w:val="en-au" w:eastAsia="en-US" w:bidi="ar-SA"/>
      </w:rPr>
    </w:lvl>
    <w:lvl w:ilvl="3">
      <w:start w:val="0"/>
      <w:numFmt w:val="bullet"/>
      <w:lvlText w:val="•"/>
      <w:lvlJc w:val="left"/>
      <w:pPr>
        <w:ind w:left="2304" w:hanging="171"/>
      </w:pPr>
      <w:rPr>
        <w:rFonts w:hint="default"/>
        <w:lang w:val="en-au" w:eastAsia="en-US" w:bidi="ar-SA"/>
      </w:rPr>
    </w:lvl>
    <w:lvl w:ilvl="4">
      <w:start w:val="0"/>
      <w:numFmt w:val="bullet"/>
      <w:lvlText w:val="•"/>
      <w:lvlJc w:val="left"/>
      <w:pPr>
        <w:ind w:left="2979" w:hanging="171"/>
      </w:pPr>
      <w:rPr>
        <w:rFonts w:hint="default"/>
        <w:lang w:val="en-au" w:eastAsia="en-US" w:bidi="ar-SA"/>
      </w:rPr>
    </w:lvl>
    <w:lvl w:ilvl="5">
      <w:start w:val="0"/>
      <w:numFmt w:val="bullet"/>
      <w:lvlText w:val="•"/>
      <w:lvlJc w:val="left"/>
      <w:pPr>
        <w:ind w:left="3654" w:hanging="171"/>
      </w:pPr>
      <w:rPr>
        <w:rFonts w:hint="default"/>
        <w:lang w:val="en-au" w:eastAsia="en-US" w:bidi="ar-SA"/>
      </w:rPr>
    </w:lvl>
    <w:lvl w:ilvl="6">
      <w:start w:val="0"/>
      <w:numFmt w:val="bullet"/>
      <w:lvlText w:val="•"/>
      <w:lvlJc w:val="left"/>
      <w:pPr>
        <w:ind w:left="4328" w:hanging="171"/>
      </w:pPr>
      <w:rPr>
        <w:rFonts w:hint="default"/>
        <w:lang w:val="en-au" w:eastAsia="en-US" w:bidi="ar-SA"/>
      </w:rPr>
    </w:lvl>
    <w:lvl w:ilvl="7">
      <w:start w:val="0"/>
      <w:numFmt w:val="bullet"/>
      <w:lvlText w:val="•"/>
      <w:lvlJc w:val="left"/>
      <w:pPr>
        <w:ind w:left="5003" w:hanging="171"/>
      </w:pPr>
      <w:rPr>
        <w:rFonts w:hint="default"/>
        <w:lang w:val="en-au" w:eastAsia="en-US" w:bidi="ar-SA"/>
      </w:rPr>
    </w:lvl>
    <w:lvl w:ilvl="8">
      <w:start w:val="0"/>
      <w:numFmt w:val="bullet"/>
      <w:lvlText w:val="•"/>
      <w:lvlJc w:val="left"/>
      <w:pPr>
        <w:ind w:left="5678" w:hanging="171"/>
      </w:pPr>
      <w:rPr>
        <w:rFonts w:hint="default"/>
        <w:lang w:val="en-au" w:eastAsia="en-US" w:bidi="ar-SA"/>
      </w:rPr>
    </w:lvl>
  </w:abstractNum>
  <w:abstractNum w:abstractNumId="211">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71"/>
      </w:pPr>
      <w:rPr>
        <w:rFonts w:hint="default"/>
        <w:lang w:val="en-au" w:eastAsia="en-US" w:bidi="ar-SA"/>
      </w:rPr>
    </w:lvl>
    <w:lvl w:ilvl="2">
      <w:start w:val="0"/>
      <w:numFmt w:val="bullet"/>
      <w:lvlText w:val="•"/>
      <w:lvlJc w:val="left"/>
      <w:pPr>
        <w:ind w:left="1629" w:hanging="171"/>
      </w:pPr>
      <w:rPr>
        <w:rFonts w:hint="default"/>
        <w:lang w:val="en-au" w:eastAsia="en-US" w:bidi="ar-SA"/>
      </w:rPr>
    </w:lvl>
    <w:lvl w:ilvl="3">
      <w:start w:val="0"/>
      <w:numFmt w:val="bullet"/>
      <w:lvlText w:val="•"/>
      <w:lvlJc w:val="left"/>
      <w:pPr>
        <w:ind w:left="2304" w:hanging="171"/>
      </w:pPr>
      <w:rPr>
        <w:rFonts w:hint="default"/>
        <w:lang w:val="en-au" w:eastAsia="en-US" w:bidi="ar-SA"/>
      </w:rPr>
    </w:lvl>
    <w:lvl w:ilvl="4">
      <w:start w:val="0"/>
      <w:numFmt w:val="bullet"/>
      <w:lvlText w:val="•"/>
      <w:lvlJc w:val="left"/>
      <w:pPr>
        <w:ind w:left="2979" w:hanging="171"/>
      </w:pPr>
      <w:rPr>
        <w:rFonts w:hint="default"/>
        <w:lang w:val="en-au" w:eastAsia="en-US" w:bidi="ar-SA"/>
      </w:rPr>
    </w:lvl>
    <w:lvl w:ilvl="5">
      <w:start w:val="0"/>
      <w:numFmt w:val="bullet"/>
      <w:lvlText w:val="•"/>
      <w:lvlJc w:val="left"/>
      <w:pPr>
        <w:ind w:left="3654" w:hanging="171"/>
      </w:pPr>
      <w:rPr>
        <w:rFonts w:hint="default"/>
        <w:lang w:val="en-au" w:eastAsia="en-US" w:bidi="ar-SA"/>
      </w:rPr>
    </w:lvl>
    <w:lvl w:ilvl="6">
      <w:start w:val="0"/>
      <w:numFmt w:val="bullet"/>
      <w:lvlText w:val="•"/>
      <w:lvlJc w:val="left"/>
      <w:pPr>
        <w:ind w:left="4328" w:hanging="171"/>
      </w:pPr>
      <w:rPr>
        <w:rFonts w:hint="default"/>
        <w:lang w:val="en-au" w:eastAsia="en-US" w:bidi="ar-SA"/>
      </w:rPr>
    </w:lvl>
    <w:lvl w:ilvl="7">
      <w:start w:val="0"/>
      <w:numFmt w:val="bullet"/>
      <w:lvlText w:val="•"/>
      <w:lvlJc w:val="left"/>
      <w:pPr>
        <w:ind w:left="5003" w:hanging="171"/>
      </w:pPr>
      <w:rPr>
        <w:rFonts w:hint="default"/>
        <w:lang w:val="en-au" w:eastAsia="en-US" w:bidi="ar-SA"/>
      </w:rPr>
    </w:lvl>
    <w:lvl w:ilvl="8">
      <w:start w:val="0"/>
      <w:numFmt w:val="bullet"/>
      <w:lvlText w:val="•"/>
      <w:lvlJc w:val="left"/>
      <w:pPr>
        <w:ind w:left="5678" w:hanging="171"/>
      </w:pPr>
      <w:rPr>
        <w:rFonts w:hint="default"/>
        <w:lang w:val="en-au" w:eastAsia="en-US" w:bidi="ar-SA"/>
      </w:rPr>
    </w:lvl>
  </w:abstractNum>
  <w:abstractNum w:abstractNumId="210">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71"/>
      </w:pPr>
      <w:rPr>
        <w:rFonts w:hint="default"/>
        <w:lang w:val="en-au" w:eastAsia="en-US" w:bidi="ar-SA"/>
      </w:rPr>
    </w:lvl>
    <w:lvl w:ilvl="2">
      <w:start w:val="0"/>
      <w:numFmt w:val="bullet"/>
      <w:lvlText w:val="•"/>
      <w:lvlJc w:val="left"/>
      <w:pPr>
        <w:ind w:left="1629" w:hanging="171"/>
      </w:pPr>
      <w:rPr>
        <w:rFonts w:hint="default"/>
        <w:lang w:val="en-au" w:eastAsia="en-US" w:bidi="ar-SA"/>
      </w:rPr>
    </w:lvl>
    <w:lvl w:ilvl="3">
      <w:start w:val="0"/>
      <w:numFmt w:val="bullet"/>
      <w:lvlText w:val="•"/>
      <w:lvlJc w:val="left"/>
      <w:pPr>
        <w:ind w:left="2304" w:hanging="171"/>
      </w:pPr>
      <w:rPr>
        <w:rFonts w:hint="default"/>
        <w:lang w:val="en-au" w:eastAsia="en-US" w:bidi="ar-SA"/>
      </w:rPr>
    </w:lvl>
    <w:lvl w:ilvl="4">
      <w:start w:val="0"/>
      <w:numFmt w:val="bullet"/>
      <w:lvlText w:val="•"/>
      <w:lvlJc w:val="left"/>
      <w:pPr>
        <w:ind w:left="2979" w:hanging="171"/>
      </w:pPr>
      <w:rPr>
        <w:rFonts w:hint="default"/>
        <w:lang w:val="en-au" w:eastAsia="en-US" w:bidi="ar-SA"/>
      </w:rPr>
    </w:lvl>
    <w:lvl w:ilvl="5">
      <w:start w:val="0"/>
      <w:numFmt w:val="bullet"/>
      <w:lvlText w:val="•"/>
      <w:lvlJc w:val="left"/>
      <w:pPr>
        <w:ind w:left="3654" w:hanging="171"/>
      </w:pPr>
      <w:rPr>
        <w:rFonts w:hint="default"/>
        <w:lang w:val="en-au" w:eastAsia="en-US" w:bidi="ar-SA"/>
      </w:rPr>
    </w:lvl>
    <w:lvl w:ilvl="6">
      <w:start w:val="0"/>
      <w:numFmt w:val="bullet"/>
      <w:lvlText w:val="•"/>
      <w:lvlJc w:val="left"/>
      <w:pPr>
        <w:ind w:left="4328" w:hanging="171"/>
      </w:pPr>
      <w:rPr>
        <w:rFonts w:hint="default"/>
        <w:lang w:val="en-au" w:eastAsia="en-US" w:bidi="ar-SA"/>
      </w:rPr>
    </w:lvl>
    <w:lvl w:ilvl="7">
      <w:start w:val="0"/>
      <w:numFmt w:val="bullet"/>
      <w:lvlText w:val="•"/>
      <w:lvlJc w:val="left"/>
      <w:pPr>
        <w:ind w:left="5003" w:hanging="171"/>
      </w:pPr>
      <w:rPr>
        <w:rFonts w:hint="default"/>
        <w:lang w:val="en-au" w:eastAsia="en-US" w:bidi="ar-SA"/>
      </w:rPr>
    </w:lvl>
    <w:lvl w:ilvl="8">
      <w:start w:val="0"/>
      <w:numFmt w:val="bullet"/>
      <w:lvlText w:val="•"/>
      <w:lvlJc w:val="left"/>
      <w:pPr>
        <w:ind w:left="5678" w:hanging="171"/>
      </w:pPr>
      <w:rPr>
        <w:rFonts w:hint="default"/>
        <w:lang w:val="en-au" w:eastAsia="en-US" w:bidi="ar-SA"/>
      </w:rPr>
    </w:lvl>
  </w:abstractNum>
  <w:abstractNum w:abstractNumId="209">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821" w:hanging="356"/>
      </w:pPr>
      <w:rPr>
        <w:rFonts w:hint="default" w:ascii="Symbol" w:hAnsi="Symbol" w:eastAsia="Symbol" w:cs="Symbol"/>
        <w:b w:val="0"/>
        <w:bCs w:val="0"/>
        <w:i w:val="0"/>
        <w:iCs w:val="0"/>
        <w:w w:val="100"/>
        <w:sz w:val="18"/>
        <w:szCs w:val="18"/>
        <w:lang w:val="en-au" w:eastAsia="en-US" w:bidi="ar-SA"/>
      </w:rPr>
    </w:lvl>
    <w:lvl w:ilvl="2">
      <w:start w:val="0"/>
      <w:numFmt w:val="bullet"/>
      <w:lvlText w:val="•"/>
      <w:lvlJc w:val="left"/>
      <w:pPr>
        <w:ind w:left="1509" w:hanging="356"/>
      </w:pPr>
      <w:rPr>
        <w:rFonts w:hint="default"/>
        <w:lang w:val="en-au" w:eastAsia="en-US" w:bidi="ar-SA"/>
      </w:rPr>
    </w:lvl>
    <w:lvl w:ilvl="3">
      <w:start w:val="0"/>
      <w:numFmt w:val="bullet"/>
      <w:lvlText w:val="•"/>
      <w:lvlJc w:val="left"/>
      <w:pPr>
        <w:ind w:left="2199" w:hanging="356"/>
      </w:pPr>
      <w:rPr>
        <w:rFonts w:hint="default"/>
        <w:lang w:val="en-au" w:eastAsia="en-US" w:bidi="ar-SA"/>
      </w:rPr>
    </w:lvl>
    <w:lvl w:ilvl="4">
      <w:start w:val="0"/>
      <w:numFmt w:val="bullet"/>
      <w:lvlText w:val="•"/>
      <w:lvlJc w:val="left"/>
      <w:pPr>
        <w:ind w:left="2889" w:hanging="356"/>
      </w:pPr>
      <w:rPr>
        <w:rFonts w:hint="default"/>
        <w:lang w:val="en-au" w:eastAsia="en-US" w:bidi="ar-SA"/>
      </w:rPr>
    </w:lvl>
    <w:lvl w:ilvl="5">
      <w:start w:val="0"/>
      <w:numFmt w:val="bullet"/>
      <w:lvlText w:val="•"/>
      <w:lvlJc w:val="left"/>
      <w:pPr>
        <w:ind w:left="3579" w:hanging="356"/>
      </w:pPr>
      <w:rPr>
        <w:rFonts w:hint="default"/>
        <w:lang w:val="en-au" w:eastAsia="en-US" w:bidi="ar-SA"/>
      </w:rPr>
    </w:lvl>
    <w:lvl w:ilvl="6">
      <w:start w:val="0"/>
      <w:numFmt w:val="bullet"/>
      <w:lvlText w:val="•"/>
      <w:lvlJc w:val="left"/>
      <w:pPr>
        <w:ind w:left="4268" w:hanging="356"/>
      </w:pPr>
      <w:rPr>
        <w:rFonts w:hint="default"/>
        <w:lang w:val="en-au" w:eastAsia="en-US" w:bidi="ar-SA"/>
      </w:rPr>
    </w:lvl>
    <w:lvl w:ilvl="7">
      <w:start w:val="0"/>
      <w:numFmt w:val="bullet"/>
      <w:lvlText w:val="•"/>
      <w:lvlJc w:val="left"/>
      <w:pPr>
        <w:ind w:left="4958" w:hanging="356"/>
      </w:pPr>
      <w:rPr>
        <w:rFonts w:hint="default"/>
        <w:lang w:val="en-au" w:eastAsia="en-US" w:bidi="ar-SA"/>
      </w:rPr>
    </w:lvl>
    <w:lvl w:ilvl="8">
      <w:start w:val="0"/>
      <w:numFmt w:val="bullet"/>
      <w:lvlText w:val="•"/>
      <w:lvlJc w:val="left"/>
      <w:pPr>
        <w:ind w:left="5648" w:hanging="356"/>
      </w:pPr>
      <w:rPr>
        <w:rFonts w:hint="default"/>
        <w:lang w:val="en-au" w:eastAsia="en-US" w:bidi="ar-SA"/>
      </w:rPr>
    </w:lvl>
  </w:abstractNum>
  <w:abstractNum w:abstractNumId="208">
    <w:multiLevelType w:val="hybridMultilevel"/>
    <w:lvl w:ilvl="0">
      <w:start w:val="0"/>
      <w:numFmt w:val="bullet"/>
      <w:lvlText w:val=""/>
      <w:lvlJc w:val="left"/>
      <w:pPr>
        <w:ind w:left="278" w:hanging="22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420" w:hanging="145"/>
      </w:pPr>
      <w:rPr>
        <w:rFonts w:hint="default" w:ascii="Symbol" w:hAnsi="Symbol" w:eastAsia="Symbol" w:cs="Symbol"/>
        <w:b w:val="0"/>
        <w:bCs w:val="0"/>
        <w:i w:val="0"/>
        <w:iCs w:val="0"/>
        <w:w w:val="100"/>
        <w:sz w:val="18"/>
        <w:szCs w:val="18"/>
        <w:lang w:val="en-au" w:eastAsia="en-US" w:bidi="ar-SA"/>
      </w:rPr>
    </w:lvl>
    <w:lvl w:ilvl="2">
      <w:start w:val="0"/>
      <w:numFmt w:val="bullet"/>
      <w:lvlText w:val="•"/>
      <w:lvlJc w:val="left"/>
      <w:pPr>
        <w:ind w:left="1154" w:hanging="145"/>
      </w:pPr>
      <w:rPr>
        <w:rFonts w:hint="default"/>
        <w:lang w:val="en-au" w:eastAsia="en-US" w:bidi="ar-SA"/>
      </w:rPr>
    </w:lvl>
    <w:lvl w:ilvl="3">
      <w:start w:val="0"/>
      <w:numFmt w:val="bullet"/>
      <w:lvlText w:val="•"/>
      <w:lvlJc w:val="left"/>
      <w:pPr>
        <w:ind w:left="1888" w:hanging="145"/>
      </w:pPr>
      <w:rPr>
        <w:rFonts w:hint="default"/>
        <w:lang w:val="en-au" w:eastAsia="en-US" w:bidi="ar-SA"/>
      </w:rPr>
    </w:lvl>
    <w:lvl w:ilvl="4">
      <w:start w:val="0"/>
      <w:numFmt w:val="bullet"/>
      <w:lvlText w:val="•"/>
      <w:lvlJc w:val="left"/>
      <w:pPr>
        <w:ind w:left="2622" w:hanging="145"/>
      </w:pPr>
      <w:rPr>
        <w:rFonts w:hint="default"/>
        <w:lang w:val="en-au" w:eastAsia="en-US" w:bidi="ar-SA"/>
      </w:rPr>
    </w:lvl>
    <w:lvl w:ilvl="5">
      <w:start w:val="0"/>
      <w:numFmt w:val="bullet"/>
      <w:lvlText w:val="•"/>
      <w:lvlJc w:val="left"/>
      <w:pPr>
        <w:ind w:left="3356" w:hanging="145"/>
      </w:pPr>
      <w:rPr>
        <w:rFonts w:hint="default"/>
        <w:lang w:val="en-au" w:eastAsia="en-US" w:bidi="ar-SA"/>
      </w:rPr>
    </w:lvl>
    <w:lvl w:ilvl="6">
      <w:start w:val="0"/>
      <w:numFmt w:val="bullet"/>
      <w:lvlText w:val="•"/>
      <w:lvlJc w:val="left"/>
      <w:pPr>
        <w:ind w:left="4091" w:hanging="145"/>
      </w:pPr>
      <w:rPr>
        <w:rFonts w:hint="default"/>
        <w:lang w:val="en-au" w:eastAsia="en-US" w:bidi="ar-SA"/>
      </w:rPr>
    </w:lvl>
    <w:lvl w:ilvl="7">
      <w:start w:val="0"/>
      <w:numFmt w:val="bullet"/>
      <w:lvlText w:val="•"/>
      <w:lvlJc w:val="left"/>
      <w:pPr>
        <w:ind w:left="4825" w:hanging="145"/>
      </w:pPr>
      <w:rPr>
        <w:rFonts w:hint="default"/>
        <w:lang w:val="en-au" w:eastAsia="en-US" w:bidi="ar-SA"/>
      </w:rPr>
    </w:lvl>
    <w:lvl w:ilvl="8">
      <w:start w:val="0"/>
      <w:numFmt w:val="bullet"/>
      <w:lvlText w:val="•"/>
      <w:lvlJc w:val="left"/>
      <w:pPr>
        <w:ind w:left="5559" w:hanging="145"/>
      </w:pPr>
      <w:rPr>
        <w:rFonts w:hint="default"/>
        <w:lang w:val="en-au" w:eastAsia="en-US" w:bidi="ar-SA"/>
      </w:rPr>
    </w:lvl>
  </w:abstractNum>
  <w:abstractNum w:abstractNumId="207">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71"/>
      </w:pPr>
      <w:rPr>
        <w:rFonts w:hint="default"/>
        <w:lang w:val="en-au" w:eastAsia="en-US" w:bidi="ar-SA"/>
      </w:rPr>
    </w:lvl>
    <w:lvl w:ilvl="2">
      <w:start w:val="0"/>
      <w:numFmt w:val="bullet"/>
      <w:lvlText w:val="•"/>
      <w:lvlJc w:val="left"/>
      <w:pPr>
        <w:ind w:left="1629" w:hanging="171"/>
      </w:pPr>
      <w:rPr>
        <w:rFonts w:hint="default"/>
        <w:lang w:val="en-au" w:eastAsia="en-US" w:bidi="ar-SA"/>
      </w:rPr>
    </w:lvl>
    <w:lvl w:ilvl="3">
      <w:start w:val="0"/>
      <w:numFmt w:val="bullet"/>
      <w:lvlText w:val="•"/>
      <w:lvlJc w:val="left"/>
      <w:pPr>
        <w:ind w:left="2304" w:hanging="171"/>
      </w:pPr>
      <w:rPr>
        <w:rFonts w:hint="default"/>
        <w:lang w:val="en-au" w:eastAsia="en-US" w:bidi="ar-SA"/>
      </w:rPr>
    </w:lvl>
    <w:lvl w:ilvl="4">
      <w:start w:val="0"/>
      <w:numFmt w:val="bullet"/>
      <w:lvlText w:val="•"/>
      <w:lvlJc w:val="left"/>
      <w:pPr>
        <w:ind w:left="2979" w:hanging="171"/>
      </w:pPr>
      <w:rPr>
        <w:rFonts w:hint="default"/>
        <w:lang w:val="en-au" w:eastAsia="en-US" w:bidi="ar-SA"/>
      </w:rPr>
    </w:lvl>
    <w:lvl w:ilvl="5">
      <w:start w:val="0"/>
      <w:numFmt w:val="bullet"/>
      <w:lvlText w:val="•"/>
      <w:lvlJc w:val="left"/>
      <w:pPr>
        <w:ind w:left="3654" w:hanging="171"/>
      </w:pPr>
      <w:rPr>
        <w:rFonts w:hint="default"/>
        <w:lang w:val="en-au" w:eastAsia="en-US" w:bidi="ar-SA"/>
      </w:rPr>
    </w:lvl>
    <w:lvl w:ilvl="6">
      <w:start w:val="0"/>
      <w:numFmt w:val="bullet"/>
      <w:lvlText w:val="•"/>
      <w:lvlJc w:val="left"/>
      <w:pPr>
        <w:ind w:left="4328" w:hanging="171"/>
      </w:pPr>
      <w:rPr>
        <w:rFonts w:hint="default"/>
        <w:lang w:val="en-au" w:eastAsia="en-US" w:bidi="ar-SA"/>
      </w:rPr>
    </w:lvl>
    <w:lvl w:ilvl="7">
      <w:start w:val="0"/>
      <w:numFmt w:val="bullet"/>
      <w:lvlText w:val="•"/>
      <w:lvlJc w:val="left"/>
      <w:pPr>
        <w:ind w:left="5003" w:hanging="171"/>
      </w:pPr>
      <w:rPr>
        <w:rFonts w:hint="default"/>
        <w:lang w:val="en-au" w:eastAsia="en-US" w:bidi="ar-SA"/>
      </w:rPr>
    </w:lvl>
    <w:lvl w:ilvl="8">
      <w:start w:val="0"/>
      <w:numFmt w:val="bullet"/>
      <w:lvlText w:val="•"/>
      <w:lvlJc w:val="left"/>
      <w:pPr>
        <w:ind w:left="5678" w:hanging="171"/>
      </w:pPr>
      <w:rPr>
        <w:rFonts w:hint="default"/>
        <w:lang w:val="en-au" w:eastAsia="en-US" w:bidi="ar-SA"/>
      </w:rPr>
    </w:lvl>
  </w:abstractNum>
  <w:abstractNum w:abstractNumId="206">
    <w:multiLevelType w:val="hybridMultilevel"/>
    <w:lvl w:ilvl="0">
      <w:start w:val="0"/>
      <w:numFmt w:val="bullet"/>
      <w:lvlText w:val=""/>
      <w:lvlJc w:val="left"/>
      <w:pPr>
        <w:ind w:left="821" w:hanging="356"/>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1440" w:hanging="356"/>
      </w:pPr>
      <w:rPr>
        <w:rFonts w:hint="default"/>
        <w:lang w:val="en-au" w:eastAsia="en-US" w:bidi="ar-SA"/>
      </w:rPr>
    </w:lvl>
    <w:lvl w:ilvl="2">
      <w:start w:val="0"/>
      <w:numFmt w:val="bullet"/>
      <w:lvlText w:val="•"/>
      <w:lvlJc w:val="left"/>
      <w:pPr>
        <w:ind w:left="2061" w:hanging="356"/>
      </w:pPr>
      <w:rPr>
        <w:rFonts w:hint="default"/>
        <w:lang w:val="en-au" w:eastAsia="en-US" w:bidi="ar-SA"/>
      </w:rPr>
    </w:lvl>
    <w:lvl w:ilvl="3">
      <w:start w:val="0"/>
      <w:numFmt w:val="bullet"/>
      <w:lvlText w:val="•"/>
      <w:lvlJc w:val="left"/>
      <w:pPr>
        <w:ind w:left="2682" w:hanging="356"/>
      </w:pPr>
      <w:rPr>
        <w:rFonts w:hint="default"/>
        <w:lang w:val="en-au" w:eastAsia="en-US" w:bidi="ar-SA"/>
      </w:rPr>
    </w:lvl>
    <w:lvl w:ilvl="4">
      <w:start w:val="0"/>
      <w:numFmt w:val="bullet"/>
      <w:lvlText w:val="•"/>
      <w:lvlJc w:val="left"/>
      <w:pPr>
        <w:ind w:left="3303" w:hanging="356"/>
      </w:pPr>
      <w:rPr>
        <w:rFonts w:hint="default"/>
        <w:lang w:val="en-au" w:eastAsia="en-US" w:bidi="ar-SA"/>
      </w:rPr>
    </w:lvl>
    <w:lvl w:ilvl="5">
      <w:start w:val="0"/>
      <w:numFmt w:val="bullet"/>
      <w:lvlText w:val="•"/>
      <w:lvlJc w:val="left"/>
      <w:pPr>
        <w:ind w:left="3924" w:hanging="356"/>
      </w:pPr>
      <w:rPr>
        <w:rFonts w:hint="default"/>
        <w:lang w:val="en-au" w:eastAsia="en-US" w:bidi="ar-SA"/>
      </w:rPr>
    </w:lvl>
    <w:lvl w:ilvl="6">
      <w:start w:val="0"/>
      <w:numFmt w:val="bullet"/>
      <w:lvlText w:val="•"/>
      <w:lvlJc w:val="left"/>
      <w:pPr>
        <w:ind w:left="4544" w:hanging="356"/>
      </w:pPr>
      <w:rPr>
        <w:rFonts w:hint="default"/>
        <w:lang w:val="en-au" w:eastAsia="en-US" w:bidi="ar-SA"/>
      </w:rPr>
    </w:lvl>
    <w:lvl w:ilvl="7">
      <w:start w:val="0"/>
      <w:numFmt w:val="bullet"/>
      <w:lvlText w:val="•"/>
      <w:lvlJc w:val="left"/>
      <w:pPr>
        <w:ind w:left="5165" w:hanging="356"/>
      </w:pPr>
      <w:rPr>
        <w:rFonts w:hint="default"/>
        <w:lang w:val="en-au" w:eastAsia="en-US" w:bidi="ar-SA"/>
      </w:rPr>
    </w:lvl>
    <w:lvl w:ilvl="8">
      <w:start w:val="0"/>
      <w:numFmt w:val="bullet"/>
      <w:lvlText w:val="•"/>
      <w:lvlJc w:val="left"/>
      <w:pPr>
        <w:ind w:left="5786" w:hanging="356"/>
      </w:pPr>
      <w:rPr>
        <w:rFonts w:hint="default"/>
        <w:lang w:val="en-au" w:eastAsia="en-US" w:bidi="ar-SA"/>
      </w:rPr>
    </w:lvl>
  </w:abstractNum>
  <w:abstractNum w:abstractNumId="205">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821" w:hanging="356"/>
      </w:pPr>
      <w:rPr>
        <w:rFonts w:hint="default" w:ascii="Symbol" w:hAnsi="Symbol" w:eastAsia="Symbol" w:cs="Symbol"/>
        <w:b w:val="0"/>
        <w:bCs w:val="0"/>
        <w:i w:val="0"/>
        <w:iCs w:val="0"/>
        <w:w w:val="100"/>
        <w:sz w:val="18"/>
        <w:szCs w:val="18"/>
        <w:lang w:val="en-au" w:eastAsia="en-US" w:bidi="ar-SA"/>
      </w:rPr>
    </w:lvl>
    <w:lvl w:ilvl="2">
      <w:start w:val="0"/>
      <w:numFmt w:val="bullet"/>
      <w:lvlText w:val="•"/>
      <w:lvlJc w:val="left"/>
      <w:pPr>
        <w:ind w:left="1509" w:hanging="356"/>
      </w:pPr>
      <w:rPr>
        <w:rFonts w:hint="default"/>
        <w:lang w:val="en-au" w:eastAsia="en-US" w:bidi="ar-SA"/>
      </w:rPr>
    </w:lvl>
    <w:lvl w:ilvl="3">
      <w:start w:val="0"/>
      <w:numFmt w:val="bullet"/>
      <w:lvlText w:val="•"/>
      <w:lvlJc w:val="left"/>
      <w:pPr>
        <w:ind w:left="2199" w:hanging="356"/>
      </w:pPr>
      <w:rPr>
        <w:rFonts w:hint="default"/>
        <w:lang w:val="en-au" w:eastAsia="en-US" w:bidi="ar-SA"/>
      </w:rPr>
    </w:lvl>
    <w:lvl w:ilvl="4">
      <w:start w:val="0"/>
      <w:numFmt w:val="bullet"/>
      <w:lvlText w:val="•"/>
      <w:lvlJc w:val="left"/>
      <w:pPr>
        <w:ind w:left="2889" w:hanging="356"/>
      </w:pPr>
      <w:rPr>
        <w:rFonts w:hint="default"/>
        <w:lang w:val="en-au" w:eastAsia="en-US" w:bidi="ar-SA"/>
      </w:rPr>
    </w:lvl>
    <w:lvl w:ilvl="5">
      <w:start w:val="0"/>
      <w:numFmt w:val="bullet"/>
      <w:lvlText w:val="•"/>
      <w:lvlJc w:val="left"/>
      <w:pPr>
        <w:ind w:left="3579" w:hanging="356"/>
      </w:pPr>
      <w:rPr>
        <w:rFonts w:hint="default"/>
        <w:lang w:val="en-au" w:eastAsia="en-US" w:bidi="ar-SA"/>
      </w:rPr>
    </w:lvl>
    <w:lvl w:ilvl="6">
      <w:start w:val="0"/>
      <w:numFmt w:val="bullet"/>
      <w:lvlText w:val="•"/>
      <w:lvlJc w:val="left"/>
      <w:pPr>
        <w:ind w:left="4268" w:hanging="356"/>
      </w:pPr>
      <w:rPr>
        <w:rFonts w:hint="default"/>
        <w:lang w:val="en-au" w:eastAsia="en-US" w:bidi="ar-SA"/>
      </w:rPr>
    </w:lvl>
    <w:lvl w:ilvl="7">
      <w:start w:val="0"/>
      <w:numFmt w:val="bullet"/>
      <w:lvlText w:val="•"/>
      <w:lvlJc w:val="left"/>
      <w:pPr>
        <w:ind w:left="4958" w:hanging="356"/>
      </w:pPr>
      <w:rPr>
        <w:rFonts w:hint="default"/>
        <w:lang w:val="en-au" w:eastAsia="en-US" w:bidi="ar-SA"/>
      </w:rPr>
    </w:lvl>
    <w:lvl w:ilvl="8">
      <w:start w:val="0"/>
      <w:numFmt w:val="bullet"/>
      <w:lvlText w:val="•"/>
      <w:lvlJc w:val="left"/>
      <w:pPr>
        <w:ind w:left="5648" w:hanging="356"/>
      </w:pPr>
      <w:rPr>
        <w:rFonts w:hint="default"/>
        <w:lang w:val="en-au" w:eastAsia="en-US" w:bidi="ar-SA"/>
      </w:rPr>
    </w:lvl>
  </w:abstractNum>
  <w:abstractNum w:abstractNumId="204">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821" w:hanging="356"/>
      </w:pPr>
      <w:rPr>
        <w:rFonts w:hint="default" w:ascii="Symbol" w:hAnsi="Symbol" w:eastAsia="Symbol" w:cs="Symbol"/>
        <w:b w:val="0"/>
        <w:bCs w:val="0"/>
        <w:i w:val="0"/>
        <w:iCs w:val="0"/>
        <w:w w:val="100"/>
        <w:sz w:val="18"/>
        <w:szCs w:val="18"/>
        <w:lang w:val="en-au" w:eastAsia="en-US" w:bidi="ar-SA"/>
      </w:rPr>
    </w:lvl>
    <w:lvl w:ilvl="2">
      <w:start w:val="0"/>
      <w:numFmt w:val="bullet"/>
      <w:lvlText w:val="•"/>
      <w:lvlJc w:val="left"/>
      <w:pPr>
        <w:ind w:left="1509" w:hanging="356"/>
      </w:pPr>
      <w:rPr>
        <w:rFonts w:hint="default"/>
        <w:lang w:val="en-au" w:eastAsia="en-US" w:bidi="ar-SA"/>
      </w:rPr>
    </w:lvl>
    <w:lvl w:ilvl="3">
      <w:start w:val="0"/>
      <w:numFmt w:val="bullet"/>
      <w:lvlText w:val="•"/>
      <w:lvlJc w:val="left"/>
      <w:pPr>
        <w:ind w:left="2199" w:hanging="356"/>
      </w:pPr>
      <w:rPr>
        <w:rFonts w:hint="default"/>
        <w:lang w:val="en-au" w:eastAsia="en-US" w:bidi="ar-SA"/>
      </w:rPr>
    </w:lvl>
    <w:lvl w:ilvl="4">
      <w:start w:val="0"/>
      <w:numFmt w:val="bullet"/>
      <w:lvlText w:val="•"/>
      <w:lvlJc w:val="left"/>
      <w:pPr>
        <w:ind w:left="2889" w:hanging="356"/>
      </w:pPr>
      <w:rPr>
        <w:rFonts w:hint="default"/>
        <w:lang w:val="en-au" w:eastAsia="en-US" w:bidi="ar-SA"/>
      </w:rPr>
    </w:lvl>
    <w:lvl w:ilvl="5">
      <w:start w:val="0"/>
      <w:numFmt w:val="bullet"/>
      <w:lvlText w:val="•"/>
      <w:lvlJc w:val="left"/>
      <w:pPr>
        <w:ind w:left="3579" w:hanging="356"/>
      </w:pPr>
      <w:rPr>
        <w:rFonts w:hint="default"/>
        <w:lang w:val="en-au" w:eastAsia="en-US" w:bidi="ar-SA"/>
      </w:rPr>
    </w:lvl>
    <w:lvl w:ilvl="6">
      <w:start w:val="0"/>
      <w:numFmt w:val="bullet"/>
      <w:lvlText w:val="•"/>
      <w:lvlJc w:val="left"/>
      <w:pPr>
        <w:ind w:left="4268" w:hanging="356"/>
      </w:pPr>
      <w:rPr>
        <w:rFonts w:hint="default"/>
        <w:lang w:val="en-au" w:eastAsia="en-US" w:bidi="ar-SA"/>
      </w:rPr>
    </w:lvl>
    <w:lvl w:ilvl="7">
      <w:start w:val="0"/>
      <w:numFmt w:val="bullet"/>
      <w:lvlText w:val="•"/>
      <w:lvlJc w:val="left"/>
      <w:pPr>
        <w:ind w:left="4958" w:hanging="356"/>
      </w:pPr>
      <w:rPr>
        <w:rFonts w:hint="default"/>
        <w:lang w:val="en-au" w:eastAsia="en-US" w:bidi="ar-SA"/>
      </w:rPr>
    </w:lvl>
    <w:lvl w:ilvl="8">
      <w:start w:val="0"/>
      <w:numFmt w:val="bullet"/>
      <w:lvlText w:val="•"/>
      <w:lvlJc w:val="left"/>
      <w:pPr>
        <w:ind w:left="5648" w:hanging="356"/>
      </w:pPr>
      <w:rPr>
        <w:rFonts w:hint="default"/>
        <w:lang w:val="en-au" w:eastAsia="en-US" w:bidi="ar-SA"/>
      </w:rPr>
    </w:lvl>
  </w:abstractNum>
  <w:abstractNum w:abstractNumId="203">
    <w:multiLevelType w:val="hybridMultilevel"/>
    <w:lvl w:ilvl="0">
      <w:start w:val="0"/>
      <w:numFmt w:val="bullet"/>
      <w:lvlText w:val=""/>
      <w:lvlJc w:val="left"/>
      <w:pPr>
        <w:ind w:left="821" w:hanging="356"/>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1440" w:hanging="356"/>
      </w:pPr>
      <w:rPr>
        <w:rFonts w:hint="default"/>
        <w:lang w:val="en-au" w:eastAsia="en-US" w:bidi="ar-SA"/>
      </w:rPr>
    </w:lvl>
    <w:lvl w:ilvl="2">
      <w:start w:val="0"/>
      <w:numFmt w:val="bullet"/>
      <w:lvlText w:val="•"/>
      <w:lvlJc w:val="left"/>
      <w:pPr>
        <w:ind w:left="2061" w:hanging="356"/>
      </w:pPr>
      <w:rPr>
        <w:rFonts w:hint="default"/>
        <w:lang w:val="en-au" w:eastAsia="en-US" w:bidi="ar-SA"/>
      </w:rPr>
    </w:lvl>
    <w:lvl w:ilvl="3">
      <w:start w:val="0"/>
      <w:numFmt w:val="bullet"/>
      <w:lvlText w:val="•"/>
      <w:lvlJc w:val="left"/>
      <w:pPr>
        <w:ind w:left="2682" w:hanging="356"/>
      </w:pPr>
      <w:rPr>
        <w:rFonts w:hint="default"/>
        <w:lang w:val="en-au" w:eastAsia="en-US" w:bidi="ar-SA"/>
      </w:rPr>
    </w:lvl>
    <w:lvl w:ilvl="4">
      <w:start w:val="0"/>
      <w:numFmt w:val="bullet"/>
      <w:lvlText w:val="•"/>
      <w:lvlJc w:val="left"/>
      <w:pPr>
        <w:ind w:left="3303" w:hanging="356"/>
      </w:pPr>
      <w:rPr>
        <w:rFonts w:hint="default"/>
        <w:lang w:val="en-au" w:eastAsia="en-US" w:bidi="ar-SA"/>
      </w:rPr>
    </w:lvl>
    <w:lvl w:ilvl="5">
      <w:start w:val="0"/>
      <w:numFmt w:val="bullet"/>
      <w:lvlText w:val="•"/>
      <w:lvlJc w:val="left"/>
      <w:pPr>
        <w:ind w:left="3924" w:hanging="356"/>
      </w:pPr>
      <w:rPr>
        <w:rFonts w:hint="default"/>
        <w:lang w:val="en-au" w:eastAsia="en-US" w:bidi="ar-SA"/>
      </w:rPr>
    </w:lvl>
    <w:lvl w:ilvl="6">
      <w:start w:val="0"/>
      <w:numFmt w:val="bullet"/>
      <w:lvlText w:val="•"/>
      <w:lvlJc w:val="left"/>
      <w:pPr>
        <w:ind w:left="4544" w:hanging="356"/>
      </w:pPr>
      <w:rPr>
        <w:rFonts w:hint="default"/>
        <w:lang w:val="en-au" w:eastAsia="en-US" w:bidi="ar-SA"/>
      </w:rPr>
    </w:lvl>
    <w:lvl w:ilvl="7">
      <w:start w:val="0"/>
      <w:numFmt w:val="bullet"/>
      <w:lvlText w:val="•"/>
      <w:lvlJc w:val="left"/>
      <w:pPr>
        <w:ind w:left="5165" w:hanging="356"/>
      </w:pPr>
      <w:rPr>
        <w:rFonts w:hint="default"/>
        <w:lang w:val="en-au" w:eastAsia="en-US" w:bidi="ar-SA"/>
      </w:rPr>
    </w:lvl>
    <w:lvl w:ilvl="8">
      <w:start w:val="0"/>
      <w:numFmt w:val="bullet"/>
      <w:lvlText w:val="•"/>
      <w:lvlJc w:val="left"/>
      <w:pPr>
        <w:ind w:left="5786" w:hanging="356"/>
      </w:pPr>
      <w:rPr>
        <w:rFonts w:hint="default"/>
        <w:lang w:val="en-au" w:eastAsia="en-US" w:bidi="ar-SA"/>
      </w:rPr>
    </w:lvl>
  </w:abstractNum>
  <w:abstractNum w:abstractNumId="202">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71"/>
      </w:pPr>
      <w:rPr>
        <w:rFonts w:hint="default"/>
        <w:lang w:val="en-au" w:eastAsia="en-US" w:bidi="ar-SA"/>
      </w:rPr>
    </w:lvl>
    <w:lvl w:ilvl="2">
      <w:start w:val="0"/>
      <w:numFmt w:val="bullet"/>
      <w:lvlText w:val="•"/>
      <w:lvlJc w:val="left"/>
      <w:pPr>
        <w:ind w:left="1629" w:hanging="171"/>
      </w:pPr>
      <w:rPr>
        <w:rFonts w:hint="default"/>
        <w:lang w:val="en-au" w:eastAsia="en-US" w:bidi="ar-SA"/>
      </w:rPr>
    </w:lvl>
    <w:lvl w:ilvl="3">
      <w:start w:val="0"/>
      <w:numFmt w:val="bullet"/>
      <w:lvlText w:val="•"/>
      <w:lvlJc w:val="left"/>
      <w:pPr>
        <w:ind w:left="2304" w:hanging="171"/>
      </w:pPr>
      <w:rPr>
        <w:rFonts w:hint="default"/>
        <w:lang w:val="en-au" w:eastAsia="en-US" w:bidi="ar-SA"/>
      </w:rPr>
    </w:lvl>
    <w:lvl w:ilvl="4">
      <w:start w:val="0"/>
      <w:numFmt w:val="bullet"/>
      <w:lvlText w:val="•"/>
      <w:lvlJc w:val="left"/>
      <w:pPr>
        <w:ind w:left="2979" w:hanging="171"/>
      </w:pPr>
      <w:rPr>
        <w:rFonts w:hint="default"/>
        <w:lang w:val="en-au" w:eastAsia="en-US" w:bidi="ar-SA"/>
      </w:rPr>
    </w:lvl>
    <w:lvl w:ilvl="5">
      <w:start w:val="0"/>
      <w:numFmt w:val="bullet"/>
      <w:lvlText w:val="•"/>
      <w:lvlJc w:val="left"/>
      <w:pPr>
        <w:ind w:left="3654" w:hanging="171"/>
      </w:pPr>
      <w:rPr>
        <w:rFonts w:hint="default"/>
        <w:lang w:val="en-au" w:eastAsia="en-US" w:bidi="ar-SA"/>
      </w:rPr>
    </w:lvl>
    <w:lvl w:ilvl="6">
      <w:start w:val="0"/>
      <w:numFmt w:val="bullet"/>
      <w:lvlText w:val="•"/>
      <w:lvlJc w:val="left"/>
      <w:pPr>
        <w:ind w:left="4328" w:hanging="171"/>
      </w:pPr>
      <w:rPr>
        <w:rFonts w:hint="default"/>
        <w:lang w:val="en-au" w:eastAsia="en-US" w:bidi="ar-SA"/>
      </w:rPr>
    </w:lvl>
    <w:lvl w:ilvl="7">
      <w:start w:val="0"/>
      <w:numFmt w:val="bullet"/>
      <w:lvlText w:val="•"/>
      <w:lvlJc w:val="left"/>
      <w:pPr>
        <w:ind w:left="5003" w:hanging="171"/>
      </w:pPr>
      <w:rPr>
        <w:rFonts w:hint="default"/>
        <w:lang w:val="en-au" w:eastAsia="en-US" w:bidi="ar-SA"/>
      </w:rPr>
    </w:lvl>
    <w:lvl w:ilvl="8">
      <w:start w:val="0"/>
      <w:numFmt w:val="bullet"/>
      <w:lvlText w:val="•"/>
      <w:lvlJc w:val="left"/>
      <w:pPr>
        <w:ind w:left="5678" w:hanging="171"/>
      </w:pPr>
      <w:rPr>
        <w:rFonts w:hint="default"/>
        <w:lang w:val="en-au" w:eastAsia="en-US" w:bidi="ar-SA"/>
      </w:rPr>
    </w:lvl>
  </w:abstractNum>
  <w:abstractNum w:abstractNumId="201">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71"/>
      </w:pPr>
      <w:rPr>
        <w:rFonts w:hint="default"/>
        <w:lang w:val="en-au" w:eastAsia="en-US" w:bidi="ar-SA"/>
      </w:rPr>
    </w:lvl>
    <w:lvl w:ilvl="2">
      <w:start w:val="0"/>
      <w:numFmt w:val="bullet"/>
      <w:lvlText w:val="•"/>
      <w:lvlJc w:val="left"/>
      <w:pPr>
        <w:ind w:left="1629" w:hanging="171"/>
      </w:pPr>
      <w:rPr>
        <w:rFonts w:hint="default"/>
        <w:lang w:val="en-au" w:eastAsia="en-US" w:bidi="ar-SA"/>
      </w:rPr>
    </w:lvl>
    <w:lvl w:ilvl="3">
      <w:start w:val="0"/>
      <w:numFmt w:val="bullet"/>
      <w:lvlText w:val="•"/>
      <w:lvlJc w:val="left"/>
      <w:pPr>
        <w:ind w:left="2304" w:hanging="171"/>
      </w:pPr>
      <w:rPr>
        <w:rFonts w:hint="default"/>
        <w:lang w:val="en-au" w:eastAsia="en-US" w:bidi="ar-SA"/>
      </w:rPr>
    </w:lvl>
    <w:lvl w:ilvl="4">
      <w:start w:val="0"/>
      <w:numFmt w:val="bullet"/>
      <w:lvlText w:val="•"/>
      <w:lvlJc w:val="left"/>
      <w:pPr>
        <w:ind w:left="2979" w:hanging="171"/>
      </w:pPr>
      <w:rPr>
        <w:rFonts w:hint="default"/>
        <w:lang w:val="en-au" w:eastAsia="en-US" w:bidi="ar-SA"/>
      </w:rPr>
    </w:lvl>
    <w:lvl w:ilvl="5">
      <w:start w:val="0"/>
      <w:numFmt w:val="bullet"/>
      <w:lvlText w:val="•"/>
      <w:lvlJc w:val="left"/>
      <w:pPr>
        <w:ind w:left="3654" w:hanging="171"/>
      </w:pPr>
      <w:rPr>
        <w:rFonts w:hint="default"/>
        <w:lang w:val="en-au" w:eastAsia="en-US" w:bidi="ar-SA"/>
      </w:rPr>
    </w:lvl>
    <w:lvl w:ilvl="6">
      <w:start w:val="0"/>
      <w:numFmt w:val="bullet"/>
      <w:lvlText w:val="•"/>
      <w:lvlJc w:val="left"/>
      <w:pPr>
        <w:ind w:left="4328" w:hanging="171"/>
      </w:pPr>
      <w:rPr>
        <w:rFonts w:hint="default"/>
        <w:lang w:val="en-au" w:eastAsia="en-US" w:bidi="ar-SA"/>
      </w:rPr>
    </w:lvl>
    <w:lvl w:ilvl="7">
      <w:start w:val="0"/>
      <w:numFmt w:val="bullet"/>
      <w:lvlText w:val="•"/>
      <w:lvlJc w:val="left"/>
      <w:pPr>
        <w:ind w:left="5003" w:hanging="171"/>
      </w:pPr>
      <w:rPr>
        <w:rFonts w:hint="default"/>
        <w:lang w:val="en-au" w:eastAsia="en-US" w:bidi="ar-SA"/>
      </w:rPr>
    </w:lvl>
    <w:lvl w:ilvl="8">
      <w:start w:val="0"/>
      <w:numFmt w:val="bullet"/>
      <w:lvlText w:val="•"/>
      <w:lvlJc w:val="left"/>
      <w:pPr>
        <w:ind w:left="5678" w:hanging="171"/>
      </w:pPr>
      <w:rPr>
        <w:rFonts w:hint="default"/>
        <w:lang w:val="en-au" w:eastAsia="en-US" w:bidi="ar-SA"/>
      </w:rPr>
    </w:lvl>
  </w:abstractNum>
  <w:abstractNum w:abstractNumId="200">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71"/>
      </w:pPr>
      <w:rPr>
        <w:rFonts w:hint="default"/>
        <w:lang w:val="en-au" w:eastAsia="en-US" w:bidi="ar-SA"/>
      </w:rPr>
    </w:lvl>
    <w:lvl w:ilvl="2">
      <w:start w:val="0"/>
      <w:numFmt w:val="bullet"/>
      <w:lvlText w:val="•"/>
      <w:lvlJc w:val="left"/>
      <w:pPr>
        <w:ind w:left="1629" w:hanging="171"/>
      </w:pPr>
      <w:rPr>
        <w:rFonts w:hint="default"/>
        <w:lang w:val="en-au" w:eastAsia="en-US" w:bidi="ar-SA"/>
      </w:rPr>
    </w:lvl>
    <w:lvl w:ilvl="3">
      <w:start w:val="0"/>
      <w:numFmt w:val="bullet"/>
      <w:lvlText w:val="•"/>
      <w:lvlJc w:val="left"/>
      <w:pPr>
        <w:ind w:left="2304" w:hanging="171"/>
      </w:pPr>
      <w:rPr>
        <w:rFonts w:hint="default"/>
        <w:lang w:val="en-au" w:eastAsia="en-US" w:bidi="ar-SA"/>
      </w:rPr>
    </w:lvl>
    <w:lvl w:ilvl="4">
      <w:start w:val="0"/>
      <w:numFmt w:val="bullet"/>
      <w:lvlText w:val="•"/>
      <w:lvlJc w:val="left"/>
      <w:pPr>
        <w:ind w:left="2979" w:hanging="171"/>
      </w:pPr>
      <w:rPr>
        <w:rFonts w:hint="default"/>
        <w:lang w:val="en-au" w:eastAsia="en-US" w:bidi="ar-SA"/>
      </w:rPr>
    </w:lvl>
    <w:lvl w:ilvl="5">
      <w:start w:val="0"/>
      <w:numFmt w:val="bullet"/>
      <w:lvlText w:val="•"/>
      <w:lvlJc w:val="left"/>
      <w:pPr>
        <w:ind w:left="3654" w:hanging="171"/>
      </w:pPr>
      <w:rPr>
        <w:rFonts w:hint="default"/>
        <w:lang w:val="en-au" w:eastAsia="en-US" w:bidi="ar-SA"/>
      </w:rPr>
    </w:lvl>
    <w:lvl w:ilvl="6">
      <w:start w:val="0"/>
      <w:numFmt w:val="bullet"/>
      <w:lvlText w:val="•"/>
      <w:lvlJc w:val="left"/>
      <w:pPr>
        <w:ind w:left="4328" w:hanging="171"/>
      </w:pPr>
      <w:rPr>
        <w:rFonts w:hint="default"/>
        <w:lang w:val="en-au" w:eastAsia="en-US" w:bidi="ar-SA"/>
      </w:rPr>
    </w:lvl>
    <w:lvl w:ilvl="7">
      <w:start w:val="0"/>
      <w:numFmt w:val="bullet"/>
      <w:lvlText w:val="•"/>
      <w:lvlJc w:val="left"/>
      <w:pPr>
        <w:ind w:left="5003" w:hanging="171"/>
      </w:pPr>
      <w:rPr>
        <w:rFonts w:hint="default"/>
        <w:lang w:val="en-au" w:eastAsia="en-US" w:bidi="ar-SA"/>
      </w:rPr>
    </w:lvl>
    <w:lvl w:ilvl="8">
      <w:start w:val="0"/>
      <w:numFmt w:val="bullet"/>
      <w:lvlText w:val="•"/>
      <w:lvlJc w:val="left"/>
      <w:pPr>
        <w:ind w:left="5678" w:hanging="171"/>
      </w:pPr>
      <w:rPr>
        <w:rFonts w:hint="default"/>
        <w:lang w:val="en-au" w:eastAsia="en-US" w:bidi="ar-SA"/>
      </w:rPr>
    </w:lvl>
  </w:abstractNum>
  <w:abstractNum w:abstractNumId="199">
    <w:multiLevelType w:val="hybridMultilevel"/>
    <w:lvl w:ilvl="0">
      <w:start w:val="0"/>
      <w:numFmt w:val="bullet"/>
      <w:lvlText w:val=""/>
      <w:lvlJc w:val="left"/>
      <w:pPr>
        <w:ind w:left="278" w:hanging="17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954" w:hanging="171"/>
      </w:pPr>
      <w:rPr>
        <w:rFonts w:hint="default"/>
        <w:lang w:val="en-au" w:eastAsia="en-US" w:bidi="ar-SA"/>
      </w:rPr>
    </w:lvl>
    <w:lvl w:ilvl="2">
      <w:start w:val="0"/>
      <w:numFmt w:val="bullet"/>
      <w:lvlText w:val="•"/>
      <w:lvlJc w:val="left"/>
      <w:pPr>
        <w:ind w:left="1629" w:hanging="171"/>
      </w:pPr>
      <w:rPr>
        <w:rFonts w:hint="default"/>
        <w:lang w:val="en-au" w:eastAsia="en-US" w:bidi="ar-SA"/>
      </w:rPr>
    </w:lvl>
    <w:lvl w:ilvl="3">
      <w:start w:val="0"/>
      <w:numFmt w:val="bullet"/>
      <w:lvlText w:val="•"/>
      <w:lvlJc w:val="left"/>
      <w:pPr>
        <w:ind w:left="2304" w:hanging="171"/>
      </w:pPr>
      <w:rPr>
        <w:rFonts w:hint="default"/>
        <w:lang w:val="en-au" w:eastAsia="en-US" w:bidi="ar-SA"/>
      </w:rPr>
    </w:lvl>
    <w:lvl w:ilvl="4">
      <w:start w:val="0"/>
      <w:numFmt w:val="bullet"/>
      <w:lvlText w:val="•"/>
      <w:lvlJc w:val="left"/>
      <w:pPr>
        <w:ind w:left="2979" w:hanging="171"/>
      </w:pPr>
      <w:rPr>
        <w:rFonts w:hint="default"/>
        <w:lang w:val="en-au" w:eastAsia="en-US" w:bidi="ar-SA"/>
      </w:rPr>
    </w:lvl>
    <w:lvl w:ilvl="5">
      <w:start w:val="0"/>
      <w:numFmt w:val="bullet"/>
      <w:lvlText w:val="•"/>
      <w:lvlJc w:val="left"/>
      <w:pPr>
        <w:ind w:left="3654" w:hanging="171"/>
      </w:pPr>
      <w:rPr>
        <w:rFonts w:hint="default"/>
        <w:lang w:val="en-au" w:eastAsia="en-US" w:bidi="ar-SA"/>
      </w:rPr>
    </w:lvl>
    <w:lvl w:ilvl="6">
      <w:start w:val="0"/>
      <w:numFmt w:val="bullet"/>
      <w:lvlText w:val="•"/>
      <w:lvlJc w:val="left"/>
      <w:pPr>
        <w:ind w:left="4328" w:hanging="171"/>
      </w:pPr>
      <w:rPr>
        <w:rFonts w:hint="default"/>
        <w:lang w:val="en-au" w:eastAsia="en-US" w:bidi="ar-SA"/>
      </w:rPr>
    </w:lvl>
    <w:lvl w:ilvl="7">
      <w:start w:val="0"/>
      <w:numFmt w:val="bullet"/>
      <w:lvlText w:val="•"/>
      <w:lvlJc w:val="left"/>
      <w:pPr>
        <w:ind w:left="5003" w:hanging="171"/>
      </w:pPr>
      <w:rPr>
        <w:rFonts w:hint="default"/>
        <w:lang w:val="en-au" w:eastAsia="en-US" w:bidi="ar-SA"/>
      </w:rPr>
    </w:lvl>
    <w:lvl w:ilvl="8">
      <w:start w:val="0"/>
      <w:numFmt w:val="bullet"/>
      <w:lvlText w:val="•"/>
      <w:lvlJc w:val="left"/>
      <w:pPr>
        <w:ind w:left="5678" w:hanging="171"/>
      </w:pPr>
      <w:rPr>
        <w:rFonts w:hint="default"/>
        <w:lang w:val="en-au" w:eastAsia="en-US" w:bidi="ar-SA"/>
      </w:rPr>
    </w:lvl>
  </w:abstractNum>
  <w:abstractNum w:abstractNumId="198">
    <w:multiLevelType w:val="hybridMultilevel"/>
    <w:lvl w:ilvl="0">
      <w:start w:val="2"/>
      <w:numFmt w:val="decimalZero"/>
      <w:lvlText w:val="(%1)"/>
      <w:lvlJc w:val="left"/>
      <w:pPr>
        <w:ind w:left="800" w:hanging="381"/>
        <w:jc w:val="left"/>
      </w:pPr>
      <w:rPr>
        <w:rFonts w:hint="default" w:ascii="Century Gothic" w:hAnsi="Century Gothic" w:eastAsia="Century Gothic" w:cs="Century Gothic"/>
        <w:b w:val="0"/>
        <w:bCs w:val="0"/>
        <w:i w:val="0"/>
        <w:iCs w:val="0"/>
        <w:spacing w:val="-4"/>
        <w:w w:val="100"/>
        <w:sz w:val="18"/>
        <w:szCs w:val="18"/>
        <w:lang w:val="en-au" w:eastAsia="en-US" w:bidi="ar-SA"/>
      </w:rPr>
    </w:lvl>
    <w:lvl w:ilvl="1">
      <w:start w:val="1"/>
      <w:numFmt w:val="decimal"/>
      <w:lvlText w:val="%2."/>
      <w:lvlJc w:val="left"/>
      <w:pPr>
        <w:ind w:left="2686"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2">
      <w:start w:val="0"/>
      <w:numFmt w:val="bullet"/>
      <w:lvlText w:val="•"/>
      <w:lvlJc w:val="left"/>
      <w:pPr>
        <w:ind w:left="3671" w:hanging="720"/>
      </w:pPr>
      <w:rPr>
        <w:rFonts w:hint="default"/>
        <w:lang w:val="en-au" w:eastAsia="en-US" w:bidi="ar-SA"/>
      </w:rPr>
    </w:lvl>
    <w:lvl w:ilvl="3">
      <w:start w:val="0"/>
      <w:numFmt w:val="bullet"/>
      <w:lvlText w:val="•"/>
      <w:lvlJc w:val="left"/>
      <w:pPr>
        <w:ind w:left="4663" w:hanging="720"/>
      </w:pPr>
      <w:rPr>
        <w:rFonts w:hint="default"/>
        <w:lang w:val="en-au" w:eastAsia="en-US" w:bidi="ar-SA"/>
      </w:rPr>
    </w:lvl>
    <w:lvl w:ilvl="4">
      <w:start w:val="0"/>
      <w:numFmt w:val="bullet"/>
      <w:lvlText w:val="•"/>
      <w:lvlJc w:val="left"/>
      <w:pPr>
        <w:ind w:left="5655" w:hanging="720"/>
      </w:pPr>
      <w:rPr>
        <w:rFonts w:hint="default"/>
        <w:lang w:val="en-au" w:eastAsia="en-US" w:bidi="ar-SA"/>
      </w:rPr>
    </w:lvl>
    <w:lvl w:ilvl="5">
      <w:start w:val="0"/>
      <w:numFmt w:val="bullet"/>
      <w:lvlText w:val="•"/>
      <w:lvlJc w:val="left"/>
      <w:pPr>
        <w:ind w:left="6647" w:hanging="720"/>
      </w:pPr>
      <w:rPr>
        <w:rFonts w:hint="default"/>
        <w:lang w:val="en-au" w:eastAsia="en-US" w:bidi="ar-SA"/>
      </w:rPr>
    </w:lvl>
    <w:lvl w:ilvl="6">
      <w:start w:val="0"/>
      <w:numFmt w:val="bullet"/>
      <w:lvlText w:val="•"/>
      <w:lvlJc w:val="left"/>
      <w:pPr>
        <w:ind w:left="7639" w:hanging="720"/>
      </w:pPr>
      <w:rPr>
        <w:rFonts w:hint="default"/>
        <w:lang w:val="en-au" w:eastAsia="en-US" w:bidi="ar-SA"/>
      </w:rPr>
    </w:lvl>
    <w:lvl w:ilvl="7">
      <w:start w:val="0"/>
      <w:numFmt w:val="bullet"/>
      <w:lvlText w:val="•"/>
      <w:lvlJc w:val="left"/>
      <w:pPr>
        <w:ind w:left="8630" w:hanging="720"/>
      </w:pPr>
      <w:rPr>
        <w:rFonts w:hint="default"/>
        <w:lang w:val="en-au" w:eastAsia="en-US" w:bidi="ar-SA"/>
      </w:rPr>
    </w:lvl>
    <w:lvl w:ilvl="8">
      <w:start w:val="0"/>
      <w:numFmt w:val="bullet"/>
      <w:lvlText w:val="•"/>
      <w:lvlJc w:val="left"/>
      <w:pPr>
        <w:ind w:left="9622" w:hanging="720"/>
      </w:pPr>
      <w:rPr>
        <w:rFonts w:hint="default"/>
        <w:lang w:val="en-au" w:eastAsia="en-US" w:bidi="ar-SA"/>
      </w:rPr>
    </w:lvl>
  </w:abstractNum>
  <w:abstractNum w:abstractNumId="197">
    <w:multiLevelType w:val="hybridMultilevel"/>
    <w:lvl w:ilvl="0">
      <w:start w:val="98"/>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1"/>
      <w:numFmt w:val="decimal"/>
      <w:lvlText w:val="%2."/>
      <w:lvlJc w:val="left"/>
      <w:pPr>
        <w:ind w:left="1860" w:hanging="449"/>
        <w:jc w:val="left"/>
      </w:pPr>
      <w:rPr>
        <w:rFonts w:hint="default" w:ascii="Century Gothic" w:hAnsi="Century Gothic" w:eastAsia="Century Gothic" w:cs="Century Gothic"/>
        <w:b w:val="0"/>
        <w:bCs w:val="0"/>
        <w:i w:val="0"/>
        <w:iCs w:val="0"/>
        <w:spacing w:val="0"/>
        <w:w w:val="100"/>
        <w:sz w:val="18"/>
        <w:szCs w:val="18"/>
        <w:lang w:val="en-au" w:eastAsia="en-US" w:bidi="ar-SA"/>
      </w:rPr>
    </w:lvl>
    <w:lvl w:ilvl="2">
      <w:start w:val="0"/>
      <w:numFmt w:val="bullet"/>
      <w:lvlText w:val="•"/>
      <w:lvlJc w:val="left"/>
      <w:pPr>
        <w:ind w:left="3809" w:hanging="449"/>
      </w:pPr>
      <w:rPr>
        <w:rFonts w:hint="default"/>
        <w:lang w:val="en-au" w:eastAsia="en-US" w:bidi="ar-SA"/>
      </w:rPr>
    </w:lvl>
    <w:lvl w:ilvl="3">
      <w:start w:val="0"/>
      <w:numFmt w:val="bullet"/>
      <w:lvlText w:val="•"/>
      <w:lvlJc w:val="left"/>
      <w:pPr>
        <w:ind w:left="4783" w:hanging="449"/>
      </w:pPr>
      <w:rPr>
        <w:rFonts w:hint="default"/>
        <w:lang w:val="en-au" w:eastAsia="en-US" w:bidi="ar-SA"/>
      </w:rPr>
    </w:lvl>
    <w:lvl w:ilvl="4">
      <w:start w:val="0"/>
      <w:numFmt w:val="bullet"/>
      <w:lvlText w:val="•"/>
      <w:lvlJc w:val="left"/>
      <w:pPr>
        <w:ind w:left="5758" w:hanging="449"/>
      </w:pPr>
      <w:rPr>
        <w:rFonts w:hint="default"/>
        <w:lang w:val="en-au" w:eastAsia="en-US" w:bidi="ar-SA"/>
      </w:rPr>
    </w:lvl>
    <w:lvl w:ilvl="5">
      <w:start w:val="0"/>
      <w:numFmt w:val="bullet"/>
      <w:lvlText w:val="•"/>
      <w:lvlJc w:val="left"/>
      <w:pPr>
        <w:ind w:left="6733" w:hanging="449"/>
      </w:pPr>
      <w:rPr>
        <w:rFonts w:hint="default"/>
        <w:lang w:val="en-au" w:eastAsia="en-US" w:bidi="ar-SA"/>
      </w:rPr>
    </w:lvl>
    <w:lvl w:ilvl="6">
      <w:start w:val="0"/>
      <w:numFmt w:val="bullet"/>
      <w:lvlText w:val="•"/>
      <w:lvlJc w:val="left"/>
      <w:pPr>
        <w:ind w:left="7707" w:hanging="449"/>
      </w:pPr>
      <w:rPr>
        <w:rFonts w:hint="default"/>
        <w:lang w:val="en-au" w:eastAsia="en-US" w:bidi="ar-SA"/>
      </w:rPr>
    </w:lvl>
    <w:lvl w:ilvl="7">
      <w:start w:val="0"/>
      <w:numFmt w:val="bullet"/>
      <w:lvlText w:val="•"/>
      <w:lvlJc w:val="left"/>
      <w:pPr>
        <w:ind w:left="8682" w:hanging="449"/>
      </w:pPr>
      <w:rPr>
        <w:rFonts w:hint="default"/>
        <w:lang w:val="en-au" w:eastAsia="en-US" w:bidi="ar-SA"/>
      </w:rPr>
    </w:lvl>
    <w:lvl w:ilvl="8">
      <w:start w:val="0"/>
      <w:numFmt w:val="bullet"/>
      <w:lvlText w:val="•"/>
      <w:lvlJc w:val="left"/>
      <w:pPr>
        <w:ind w:left="9657" w:hanging="449"/>
      </w:pPr>
      <w:rPr>
        <w:rFonts w:hint="default"/>
        <w:lang w:val="en-au" w:eastAsia="en-US" w:bidi="ar-SA"/>
      </w:rPr>
    </w:lvl>
  </w:abstractNum>
  <w:abstractNum w:abstractNumId="196">
    <w:multiLevelType w:val="hybridMultilevel"/>
    <w:lvl w:ilvl="0">
      <w:start w:val="1"/>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95">
    <w:multiLevelType w:val="hybridMultilevel"/>
    <w:lvl w:ilvl="0">
      <w:start w:val="98"/>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94">
    <w:multiLevelType w:val="hybridMultilevel"/>
    <w:lvl w:ilvl="0">
      <w:start w:val="1"/>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93">
    <w:multiLevelType w:val="hybridMultilevel"/>
    <w:lvl w:ilvl="0">
      <w:start w:val="98"/>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92">
    <w:multiLevelType w:val="hybridMultilevel"/>
    <w:lvl w:ilvl="0">
      <w:start w:val="98"/>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91">
    <w:multiLevelType w:val="hybridMultilevel"/>
    <w:lvl w:ilvl="0">
      <w:start w:val="1"/>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90">
    <w:multiLevelType w:val="hybridMultilevel"/>
    <w:lvl w:ilvl="0">
      <w:start w:val="98"/>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89">
    <w:multiLevelType w:val="hybridMultilevel"/>
    <w:lvl w:ilvl="0">
      <w:start w:val="1"/>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88">
    <w:multiLevelType w:val="hybridMultilevel"/>
    <w:lvl w:ilvl="0">
      <w:start w:val="98"/>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87">
    <w:multiLevelType w:val="hybridMultilevel"/>
    <w:lvl w:ilvl="0">
      <w:start w:val="1"/>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86">
    <w:multiLevelType w:val="hybridMultilevel"/>
    <w:lvl w:ilvl="0">
      <w:start w:val="98"/>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85">
    <w:multiLevelType w:val="hybridMultilevel"/>
    <w:lvl w:ilvl="0">
      <w:start w:val="1"/>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84">
    <w:multiLevelType w:val="hybridMultilevel"/>
    <w:lvl w:ilvl="0">
      <w:start w:val="98"/>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83">
    <w:multiLevelType w:val="hybridMultilevel"/>
    <w:lvl w:ilvl="0">
      <w:start w:val="1"/>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82">
    <w:multiLevelType w:val="hybridMultilevel"/>
    <w:lvl w:ilvl="0">
      <w:start w:val="98"/>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81">
    <w:multiLevelType w:val="hybridMultilevel"/>
    <w:lvl w:ilvl="0">
      <w:start w:val="1"/>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80">
    <w:multiLevelType w:val="hybridMultilevel"/>
    <w:lvl w:ilvl="0">
      <w:start w:val="98"/>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79">
    <w:multiLevelType w:val="hybridMultilevel"/>
    <w:lvl w:ilvl="0">
      <w:start w:val="1"/>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78">
    <w:multiLevelType w:val="hybridMultilevel"/>
    <w:lvl w:ilvl="0">
      <w:start w:val="1"/>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77">
    <w:multiLevelType w:val="hybridMultilevel"/>
    <w:lvl w:ilvl="0">
      <w:start w:val="1"/>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76">
    <w:multiLevelType w:val="hybridMultilevel"/>
    <w:lvl w:ilvl="0">
      <w:start w:val="98"/>
      <w:numFmt w:val="decimal"/>
      <w:lvlText w:val="%1."/>
      <w:lvlJc w:val="left"/>
      <w:pPr>
        <w:ind w:left="258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3482" w:hanging="720"/>
      </w:pPr>
      <w:rPr>
        <w:rFonts w:hint="default"/>
        <w:lang w:val="en-au" w:eastAsia="en-US" w:bidi="ar-SA"/>
      </w:rPr>
    </w:lvl>
    <w:lvl w:ilvl="2">
      <w:start w:val="0"/>
      <w:numFmt w:val="bullet"/>
      <w:lvlText w:val="•"/>
      <w:lvlJc w:val="left"/>
      <w:pPr>
        <w:ind w:left="4385" w:hanging="720"/>
      </w:pPr>
      <w:rPr>
        <w:rFonts w:hint="default"/>
        <w:lang w:val="en-au" w:eastAsia="en-US" w:bidi="ar-SA"/>
      </w:rPr>
    </w:lvl>
    <w:lvl w:ilvl="3">
      <w:start w:val="0"/>
      <w:numFmt w:val="bullet"/>
      <w:lvlText w:val="•"/>
      <w:lvlJc w:val="left"/>
      <w:pPr>
        <w:ind w:left="5287" w:hanging="720"/>
      </w:pPr>
      <w:rPr>
        <w:rFonts w:hint="default"/>
        <w:lang w:val="en-au" w:eastAsia="en-US" w:bidi="ar-SA"/>
      </w:rPr>
    </w:lvl>
    <w:lvl w:ilvl="4">
      <w:start w:val="0"/>
      <w:numFmt w:val="bullet"/>
      <w:lvlText w:val="•"/>
      <w:lvlJc w:val="left"/>
      <w:pPr>
        <w:ind w:left="6190" w:hanging="720"/>
      </w:pPr>
      <w:rPr>
        <w:rFonts w:hint="default"/>
        <w:lang w:val="en-au" w:eastAsia="en-US" w:bidi="ar-SA"/>
      </w:rPr>
    </w:lvl>
    <w:lvl w:ilvl="5">
      <w:start w:val="0"/>
      <w:numFmt w:val="bullet"/>
      <w:lvlText w:val="•"/>
      <w:lvlJc w:val="left"/>
      <w:pPr>
        <w:ind w:left="7093" w:hanging="720"/>
      </w:pPr>
      <w:rPr>
        <w:rFonts w:hint="default"/>
        <w:lang w:val="en-au" w:eastAsia="en-US" w:bidi="ar-SA"/>
      </w:rPr>
    </w:lvl>
    <w:lvl w:ilvl="6">
      <w:start w:val="0"/>
      <w:numFmt w:val="bullet"/>
      <w:lvlText w:val="•"/>
      <w:lvlJc w:val="left"/>
      <w:pPr>
        <w:ind w:left="7995" w:hanging="720"/>
      </w:pPr>
      <w:rPr>
        <w:rFonts w:hint="default"/>
        <w:lang w:val="en-au" w:eastAsia="en-US" w:bidi="ar-SA"/>
      </w:rPr>
    </w:lvl>
    <w:lvl w:ilvl="7">
      <w:start w:val="0"/>
      <w:numFmt w:val="bullet"/>
      <w:lvlText w:val="•"/>
      <w:lvlJc w:val="left"/>
      <w:pPr>
        <w:ind w:left="8898" w:hanging="720"/>
      </w:pPr>
      <w:rPr>
        <w:rFonts w:hint="default"/>
        <w:lang w:val="en-au" w:eastAsia="en-US" w:bidi="ar-SA"/>
      </w:rPr>
    </w:lvl>
    <w:lvl w:ilvl="8">
      <w:start w:val="0"/>
      <w:numFmt w:val="bullet"/>
      <w:lvlText w:val="•"/>
      <w:lvlJc w:val="left"/>
      <w:pPr>
        <w:ind w:left="9801" w:hanging="720"/>
      </w:pPr>
      <w:rPr>
        <w:rFonts w:hint="default"/>
        <w:lang w:val="en-au" w:eastAsia="en-US" w:bidi="ar-SA"/>
      </w:rPr>
    </w:lvl>
  </w:abstractNum>
  <w:abstractNum w:abstractNumId="175">
    <w:multiLevelType w:val="hybridMultilevel"/>
    <w:lvl w:ilvl="0">
      <w:start w:val="98"/>
      <w:numFmt w:val="decimal"/>
      <w:lvlText w:val="%1."/>
      <w:lvlJc w:val="left"/>
      <w:pPr>
        <w:ind w:left="258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3482" w:hanging="720"/>
      </w:pPr>
      <w:rPr>
        <w:rFonts w:hint="default"/>
        <w:lang w:val="en-au" w:eastAsia="en-US" w:bidi="ar-SA"/>
      </w:rPr>
    </w:lvl>
    <w:lvl w:ilvl="2">
      <w:start w:val="0"/>
      <w:numFmt w:val="bullet"/>
      <w:lvlText w:val="•"/>
      <w:lvlJc w:val="left"/>
      <w:pPr>
        <w:ind w:left="4385" w:hanging="720"/>
      </w:pPr>
      <w:rPr>
        <w:rFonts w:hint="default"/>
        <w:lang w:val="en-au" w:eastAsia="en-US" w:bidi="ar-SA"/>
      </w:rPr>
    </w:lvl>
    <w:lvl w:ilvl="3">
      <w:start w:val="0"/>
      <w:numFmt w:val="bullet"/>
      <w:lvlText w:val="•"/>
      <w:lvlJc w:val="left"/>
      <w:pPr>
        <w:ind w:left="5287" w:hanging="720"/>
      </w:pPr>
      <w:rPr>
        <w:rFonts w:hint="default"/>
        <w:lang w:val="en-au" w:eastAsia="en-US" w:bidi="ar-SA"/>
      </w:rPr>
    </w:lvl>
    <w:lvl w:ilvl="4">
      <w:start w:val="0"/>
      <w:numFmt w:val="bullet"/>
      <w:lvlText w:val="•"/>
      <w:lvlJc w:val="left"/>
      <w:pPr>
        <w:ind w:left="6190" w:hanging="720"/>
      </w:pPr>
      <w:rPr>
        <w:rFonts w:hint="default"/>
        <w:lang w:val="en-au" w:eastAsia="en-US" w:bidi="ar-SA"/>
      </w:rPr>
    </w:lvl>
    <w:lvl w:ilvl="5">
      <w:start w:val="0"/>
      <w:numFmt w:val="bullet"/>
      <w:lvlText w:val="•"/>
      <w:lvlJc w:val="left"/>
      <w:pPr>
        <w:ind w:left="7093" w:hanging="720"/>
      </w:pPr>
      <w:rPr>
        <w:rFonts w:hint="default"/>
        <w:lang w:val="en-au" w:eastAsia="en-US" w:bidi="ar-SA"/>
      </w:rPr>
    </w:lvl>
    <w:lvl w:ilvl="6">
      <w:start w:val="0"/>
      <w:numFmt w:val="bullet"/>
      <w:lvlText w:val="•"/>
      <w:lvlJc w:val="left"/>
      <w:pPr>
        <w:ind w:left="7995" w:hanging="720"/>
      </w:pPr>
      <w:rPr>
        <w:rFonts w:hint="default"/>
        <w:lang w:val="en-au" w:eastAsia="en-US" w:bidi="ar-SA"/>
      </w:rPr>
    </w:lvl>
    <w:lvl w:ilvl="7">
      <w:start w:val="0"/>
      <w:numFmt w:val="bullet"/>
      <w:lvlText w:val="•"/>
      <w:lvlJc w:val="left"/>
      <w:pPr>
        <w:ind w:left="8898" w:hanging="720"/>
      </w:pPr>
      <w:rPr>
        <w:rFonts w:hint="default"/>
        <w:lang w:val="en-au" w:eastAsia="en-US" w:bidi="ar-SA"/>
      </w:rPr>
    </w:lvl>
    <w:lvl w:ilvl="8">
      <w:start w:val="0"/>
      <w:numFmt w:val="bullet"/>
      <w:lvlText w:val="•"/>
      <w:lvlJc w:val="left"/>
      <w:pPr>
        <w:ind w:left="9801" w:hanging="720"/>
      </w:pPr>
      <w:rPr>
        <w:rFonts w:hint="default"/>
        <w:lang w:val="en-au" w:eastAsia="en-US" w:bidi="ar-SA"/>
      </w:rPr>
    </w:lvl>
  </w:abstractNum>
  <w:abstractNum w:abstractNumId="174">
    <w:multiLevelType w:val="hybridMultilevel"/>
    <w:lvl w:ilvl="0">
      <w:start w:val="98"/>
      <w:numFmt w:val="decimal"/>
      <w:lvlText w:val="%1."/>
      <w:lvlJc w:val="left"/>
      <w:pPr>
        <w:ind w:left="258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3482" w:hanging="720"/>
      </w:pPr>
      <w:rPr>
        <w:rFonts w:hint="default"/>
        <w:lang w:val="en-au" w:eastAsia="en-US" w:bidi="ar-SA"/>
      </w:rPr>
    </w:lvl>
    <w:lvl w:ilvl="2">
      <w:start w:val="0"/>
      <w:numFmt w:val="bullet"/>
      <w:lvlText w:val="•"/>
      <w:lvlJc w:val="left"/>
      <w:pPr>
        <w:ind w:left="4385" w:hanging="720"/>
      </w:pPr>
      <w:rPr>
        <w:rFonts w:hint="default"/>
        <w:lang w:val="en-au" w:eastAsia="en-US" w:bidi="ar-SA"/>
      </w:rPr>
    </w:lvl>
    <w:lvl w:ilvl="3">
      <w:start w:val="0"/>
      <w:numFmt w:val="bullet"/>
      <w:lvlText w:val="•"/>
      <w:lvlJc w:val="left"/>
      <w:pPr>
        <w:ind w:left="5287" w:hanging="720"/>
      </w:pPr>
      <w:rPr>
        <w:rFonts w:hint="default"/>
        <w:lang w:val="en-au" w:eastAsia="en-US" w:bidi="ar-SA"/>
      </w:rPr>
    </w:lvl>
    <w:lvl w:ilvl="4">
      <w:start w:val="0"/>
      <w:numFmt w:val="bullet"/>
      <w:lvlText w:val="•"/>
      <w:lvlJc w:val="left"/>
      <w:pPr>
        <w:ind w:left="6190" w:hanging="720"/>
      </w:pPr>
      <w:rPr>
        <w:rFonts w:hint="default"/>
        <w:lang w:val="en-au" w:eastAsia="en-US" w:bidi="ar-SA"/>
      </w:rPr>
    </w:lvl>
    <w:lvl w:ilvl="5">
      <w:start w:val="0"/>
      <w:numFmt w:val="bullet"/>
      <w:lvlText w:val="•"/>
      <w:lvlJc w:val="left"/>
      <w:pPr>
        <w:ind w:left="7093" w:hanging="720"/>
      </w:pPr>
      <w:rPr>
        <w:rFonts w:hint="default"/>
        <w:lang w:val="en-au" w:eastAsia="en-US" w:bidi="ar-SA"/>
      </w:rPr>
    </w:lvl>
    <w:lvl w:ilvl="6">
      <w:start w:val="0"/>
      <w:numFmt w:val="bullet"/>
      <w:lvlText w:val="•"/>
      <w:lvlJc w:val="left"/>
      <w:pPr>
        <w:ind w:left="7995" w:hanging="720"/>
      </w:pPr>
      <w:rPr>
        <w:rFonts w:hint="default"/>
        <w:lang w:val="en-au" w:eastAsia="en-US" w:bidi="ar-SA"/>
      </w:rPr>
    </w:lvl>
    <w:lvl w:ilvl="7">
      <w:start w:val="0"/>
      <w:numFmt w:val="bullet"/>
      <w:lvlText w:val="•"/>
      <w:lvlJc w:val="left"/>
      <w:pPr>
        <w:ind w:left="8898" w:hanging="720"/>
      </w:pPr>
      <w:rPr>
        <w:rFonts w:hint="default"/>
        <w:lang w:val="en-au" w:eastAsia="en-US" w:bidi="ar-SA"/>
      </w:rPr>
    </w:lvl>
    <w:lvl w:ilvl="8">
      <w:start w:val="0"/>
      <w:numFmt w:val="bullet"/>
      <w:lvlText w:val="•"/>
      <w:lvlJc w:val="left"/>
      <w:pPr>
        <w:ind w:left="9801" w:hanging="720"/>
      </w:pPr>
      <w:rPr>
        <w:rFonts w:hint="default"/>
        <w:lang w:val="en-au" w:eastAsia="en-US" w:bidi="ar-SA"/>
      </w:rPr>
    </w:lvl>
  </w:abstractNum>
  <w:abstractNum w:abstractNumId="173">
    <w:multiLevelType w:val="hybridMultilevel"/>
    <w:lvl w:ilvl="0">
      <w:start w:val="98"/>
      <w:numFmt w:val="decimal"/>
      <w:lvlText w:val="%1."/>
      <w:lvlJc w:val="left"/>
      <w:pPr>
        <w:ind w:left="258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3482" w:hanging="720"/>
      </w:pPr>
      <w:rPr>
        <w:rFonts w:hint="default"/>
        <w:lang w:val="en-au" w:eastAsia="en-US" w:bidi="ar-SA"/>
      </w:rPr>
    </w:lvl>
    <w:lvl w:ilvl="2">
      <w:start w:val="0"/>
      <w:numFmt w:val="bullet"/>
      <w:lvlText w:val="•"/>
      <w:lvlJc w:val="left"/>
      <w:pPr>
        <w:ind w:left="4385" w:hanging="720"/>
      </w:pPr>
      <w:rPr>
        <w:rFonts w:hint="default"/>
        <w:lang w:val="en-au" w:eastAsia="en-US" w:bidi="ar-SA"/>
      </w:rPr>
    </w:lvl>
    <w:lvl w:ilvl="3">
      <w:start w:val="0"/>
      <w:numFmt w:val="bullet"/>
      <w:lvlText w:val="•"/>
      <w:lvlJc w:val="left"/>
      <w:pPr>
        <w:ind w:left="5287" w:hanging="720"/>
      </w:pPr>
      <w:rPr>
        <w:rFonts w:hint="default"/>
        <w:lang w:val="en-au" w:eastAsia="en-US" w:bidi="ar-SA"/>
      </w:rPr>
    </w:lvl>
    <w:lvl w:ilvl="4">
      <w:start w:val="0"/>
      <w:numFmt w:val="bullet"/>
      <w:lvlText w:val="•"/>
      <w:lvlJc w:val="left"/>
      <w:pPr>
        <w:ind w:left="6190" w:hanging="720"/>
      </w:pPr>
      <w:rPr>
        <w:rFonts w:hint="default"/>
        <w:lang w:val="en-au" w:eastAsia="en-US" w:bidi="ar-SA"/>
      </w:rPr>
    </w:lvl>
    <w:lvl w:ilvl="5">
      <w:start w:val="0"/>
      <w:numFmt w:val="bullet"/>
      <w:lvlText w:val="•"/>
      <w:lvlJc w:val="left"/>
      <w:pPr>
        <w:ind w:left="7093" w:hanging="720"/>
      </w:pPr>
      <w:rPr>
        <w:rFonts w:hint="default"/>
        <w:lang w:val="en-au" w:eastAsia="en-US" w:bidi="ar-SA"/>
      </w:rPr>
    </w:lvl>
    <w:lvl w:ilvl="6">
      <w:start w:val="0"/>
      <w:numFmt w:val="bullet"/>
      <w:lvlText w:val="•"/>
      <w:lvlJc w:val="left"/>
      <w:pPr>
        <w:ind w:left="7995" w:hanging="720"/>
      </w:pPr>
      <w:rPr>
        <w:rFonts w:hint="default"/>
        <w:lang w:val="en-au" w:eastAsia="en-US" w:bidi="ar-SA"/>
      </w:rPr>
    </w:lvl>
    <w:lvl w:ilvl="7">
      <w:start w:val="0"/>
      <w:numFmt w:val="bullet"/>
      <w:lvlText w:val="•"/>
      <w:lvlJc w:val="left"/>
      <w:pPr>
        <w:ind w:left="8898" w:hanging="720"/>
      </w:pPr>
      <w:rPr>
        <w:rFonts w:hint="default"/>
        <w:lang w:val="en-au" w:eastAsia="en-US" w:bidi="ar-SA"/>
      </w:rPr>
    </w:lvl>
    <w:lvl w:ilvl="8">
      <w:start w:val="0"/>
      <w:numFmt w:val="bullet"/>
      <w:lvlText w:val="•"/>
      <w:lvlJc w:val="left"/>
      <w:pPr>
        <w:ind w:left="9801" w:hanging="720"/>
      </w:pPr>
      <w:rPr>
        <w:rFonts w:hint="default"/>
        <w:lang w:val="en-au" w:eastAsia="en-US" w:bidi="ar-SA"/>
      </w:rPr>
    </w:lvl>
  </w:abstractNum>
  <w:abstractNum w:abstractNumId="172">
    <w:multiLevelType w:val="hybridMultilevel"/>
    <w:lvl w:ilvl="0">
      <w:start w:val="1"/>
      <w:numFmt w:val="lowerLetter"/>
      <w:lvlText w:val="%1."/>
      <w:lvlJc w:val="left"/>
      <w:pPr>
        <w:ind w:left="1838" w:hanging="699"/>
        <w:jc w:val="left"/>
      </w:pPr>
      <w:rPr>
        <w:rFonts w:hint="default" w:ascii="Century Gothic" w:hAnsi="Century Gothic" w:eastAsia="Century Gothic" w:cs="Century Gothic"/>
        <w:b w:val="0"/>
        <w:bCs w:val="0"/>
        <w:i w:val="0"/>
        <w:iCs w:val="0"/>
        <w:spacing w:val="-1"/>
        <w:w w:val="100"/>
        <w:sz w:val="18"/>
        <w:szCs w:val="18"/>
        <w:lang w:val="en-au" w:eastAsia="en-US" w:bidi="ar-SA"/>
      </w:rPr>
    </w:lvl>
    <w:lvl w:ilvl="1">
      <w:start w:val="1"/>
      <w:numFmt w:val="decimal"/>
      <w:lvlText w:val="%2."/>
      <w:lvlJc w:val="left"/>
      <w:pPr>
        <w:ind w:left="258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2">
      <w:start w:val="0"/>
      <w:numFmt w:val="bullet"/>
      <w:lvlText w:val="•"/>
      <w:lvlJc w:val="left"/>
      <w:pPr>
        <w:ind w:left="3582" w:hanging="720"/>
      </w:pPr>
      <w:rPr>
        <w:rFonts w:hint="default"/>
        <w:lang w:val="en-au" w:eastAsia="en-US" w:bidi="ar-SA"/>
      </w:rPr>
    </w:lvl>
    <w:lvl w:ilvl="3">
      <w:start w:val="0"/>
      <w:numFmt w:val="bullet"/>
      <w:lvlText w:val="•"/>
      <w:lvlJc w:val="left"/>
      <w:pPr>
        <w:ind w:left="4585" w:hanging="720"/>
      </w:pPr>
      <w:rPr>
        <w:rFonts w:hint="default"/>
        <w:lang w:val="en-au" w:eastAsia="en-US" w:bidi="ar-SA"/>
      </w:rPr>
    </w:lvl>
    <w:lvl w:ilvl="4">
      <w:start w:val="0"/>
      <w:numFmt w:val="bullet"/>
      <w:lvlText w:val="•"/>
      <w:lvlJc w:val="left"/>
      <w:pPr>
        <w:ind w:left="5588" w:hanging="720"/>
      </w:pPr>
      <w:rPr>
        <w:rFonts w:hint="default"/>
        <w:lang w:val="en-au" w:eastAsia="en-US" w:bidi="ar-SA"/>
      </w:rPr>
    </w:lvl>
    <w:lvl w:ilvl="5">
      <w:start w:val="0"/>
      <w:numFmt w:val="bullet"/>
      <w:lvlText w:val="•"/>
      <w:lvlJc w:val="left"/>
      <w:pPr>
        <w:ind w:left="6591" w:hanging="720"/>
      </w:pPr>
      <w:rPr>
        <w:rFonts w:hint="default"/>
        <w:lang w:val="en-au" w:eastAsia="en-US" w:bidi="ar-SA"/>
      </w:rPr>
    </w:lvl>
    <w:lvl w:ilvl="6">
      <w:start w:val="0"/>
      <w:numFmt w:val="bullet"/>
      <w:lvlText w:val="•"/>
      <w:lvlJc w:val="left"/>
      <w:pPr>
        <w:ind w:left="7594" w:hanging="720"/>
      </w:pPr>
      <w:rPr>
        <w:rFonts w:hint="default"/>
        <w:lang w:val="en-au" w:eastAsia="en-US" w:bidi="ar-SA"/>
      </w:rPr>
    </w:lvl>
    <w:lvl w:ilvl="7">
      <w:start w:val="0"/>
      <w:numFmt w:val="bullet"/>
      <w:lvlText w:val="•"/>
      <w:lvlJc w:val="left"/>
      <w:pPr>
        <w:ind w:left="8597" w:hanging="720"/>
      </w:pPr>
      <w:rPr>
        <w:rFonts w:hint="default"/>
        <w:lang w:val="en-au" w:eastAsia="en-US" w:bidi="ar-SA"/>
      </w:rPr>
    </w:lvl>
    <w:lvl w:ilvl="8">
      <w:start w:val="0"/>
      <w:numFmt w:val="bullet"/>
      <w:lvlText w:val="•"/>
      <w:lvlJc w:val="left"/>
      <w:pPr>
        <w:ind w:left="9600" w:hanging="720"/>
      </w:pPr>
      <w:rPr>
        <w:rFonts w:hint="default"/>
        <w:lang w:val="en-au" w:eastAsia="en-US" w:bidi="ar-SA"/>
      </w:rPr>
    </w:lvl>
  </w:abstractNum>
  <w:abstractNum w:abstractNumId="171">
    <w:multiLevelType w:val="hybridMultilevel"/>
    <w:lvl w:ilvl="0">
      <w:start w:val="98"/>
      <w:numFmt w:val="decimal"/>
      <w:lvlText w:val="%1."/>
      <w:lvlJc w:val="left"/>
      <w:pPr>
        <w:ind w:left="258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3482" w:hanging="720"/>
      </w:pPr>
      <w:rPr>
        <w:rFonts w:hint="default"/>
        <w:lang w:val="en-au" w:eastAsia="en-US" w:bidi="ar-SA"/>
      </w:rPr>
    </w:lvl>
    <w:lvl w:ilvl="2">
      <w:start w:val="0"/>
      <w:numFmt w:val="bullet"/>
      <w:lvlText w:val="•"/>
      <w:lvlJc w:val="left"/>
      <w:pPr>
        <w:ind w:left="4385" w:hanging="720"/>
      </w:pPr>
      <w:rPr>
        <w:rFonts w:hint="default"/>
        <w:lang w:val="en-au" w:eastAsia="en-US" w:bidi="ar-SA"/>
      </w:rPr>
    </w:lvl>
    <w:lvl w:ilvl="3">
      <w:start w:val="0"/>
      <w:numFmt w:val="bullet"/>
      <w:lvlText w:val="•"/>
      <w:lvlJc w:val="left"/>
      <w:pPr>
        <w:ind w:left="5287" w:hanging="720"/>
      </w:pPr>
      <w:rPr>
        <w:rFonts w:hint="default"/>
        <w:lang w:val="en-au" w:eastAsia="en-US" w:bidi="ar-SA"/>
      </w:rPr>
    </w:lvl>
    <w:lvl w:ilvl="4">
      <w:start w:val="0"/>
      <w:numFmt w:val="bullet"/>
      <w:lvlText w:val="•"/>
      <w:lvlJc w:val="left"/>
      <w:pPr>
        <w:ind w:left="6190" w:hanging="720"/>
      </w:pPr>
      <w:rPr>
        <w:rFonts w:hint="default"/>
        <w:lang w:val="en-au" w:eastAsia="en-US" w:bidi="ar-SA"/>
      </w:rPr>
    </w:lvl>
    <w:lvl w:ilvl="5">
      <w:start w:val="0"/>
      <w:numFmt w:val="bullet"/>
      <w:lvlText w:val="•"/>
      <w:lvlJc w:val="left"/>
      <w:pPr>
        <w:ind w:left="7093" w:hanging="720"/>
      </w:pPr>
      <w:rPr>
        <w:rFonts w:hint="default"/>
        <w:lang w:val="en-au" w:eastAsia="en-US" w:bidi="ar-SA"/>
      </w:rPr>
    </w:lvl>
    <w:lvl w:ilvl="6">
      <w:start w:val="0"/>
      <w:numFmt w:val="bullet"/>
      <w:lvlText w:val="•"/>
      <w:lvlJc w:val="left"/>
      <w:pPr>
        <w:ind w:left="7995" w:hanging="720"/>
      </w:pPr>
      <w:rPr>
        <w:rFonts w:hint="default"/>
        <w:lang w:val="en-au" w:eastAsia="en-US" w:bidi="ar-SA"/>
      </w:rPr>
    </w:lvl>
    <w:lvl w:ilvl="7">
      <w:start w:val="0"/>
      <w:numFmt w:val="bullet"/>
      <w:lvlText w:val="•"/>
      <w:lvlJc w:val="left"/>
      <w:pPr>
        <w:ind w:left="8898" w:hanging="720"/>
      </w:pPr>
      <w:rPr>
        <w:rFonts w:hint="default"/>
        <w:lang w:val="en-au" w:eastAsia="en-US" w:bidi="ar-SA"/>
      </w:rPr>
    </w:lvl>
    <w:lvl w:ilvl="8">
      <w:start w:val="0"/>
      <w:numFmt w:val="bullet"/>
      <w:lvlText w:val="•"/>
      <w:lvlJc w:val="left"/>
      <w:pPr>
        <w:ind w:left="9801" w:hanging="720"/>
      </w:pPr>
      <w:rPr>
        <w:rFonts w:hint="default"/>
        <w:lang w:val="en-au" w:eastAsia="en-US" w:bidi="ar-SA"/>
      </w:rPr>
    </w:lvl>
  </w:abstractNum>
  <w:abstractNum w:abstractNumId="170">
    <w:multiLevelType w:val="hybridMultilevel"/>
    <w:lvl w:ilvl="0">
      <w:start w:val="98"/>
      <w:numFmt w:val="decimal"/>
      <w:lvlText w:val="%1."/>
      <w:lvlJc w:val="left"/>
      <w:pPr>
        <w:ind w:left="258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3482" w:hanging="720"/>
      </w:pPr>
      <w:rPr>
        <w:rFonts w:hint="default"/>
        <w:lang w:val="en-au" w:eastAsia="en-US" w:bidi="ar-SA"/>
      </w:rPr>
    </w:lvl>
    <w:lvl w:ilvl="2">
      <w:start w:val="0"/>
      <w:numFmt w:val="bullet"/>
      <w:lvlText w:val="•"/>
      <w:lvlJc w:val="left"/>
      <w:pPr>
        <w:ind w:left="4385" w:hanging="720"/>
      </w:pPr>
      <w:rPr>
        <w:rFonts w:hint="default"/>
        <w:lang w:val="en-au" w:eastAsia="en-US" w:bidi="ar-SA"/>
      </w:rPr>
    </w:lvl>
    <w:lvl w:ilvl="3">
      <w:start w:val="0"/>
      <w:numFmt w:val="bullet"/>
      <w:lvlText w:val="•"/>
      <w:lvlJc w:val="left"/>
      <w:pPr>
        <w:ind w:left="5287" w:hanging="720"/>
      </w:pPr>
      <w:rPr>
        <w:rFonts w:hint="default"/>
        <w:lang w:val="en-au" w:eastAsia="en-US" w:bidi="ar-SA"/>
      </w:rPr>
    </w:lvl>
    <w:lvl w:ilvl="4">
      <w:start w:val="0"/>
      <w:numFmt w:val="bullet"/>
      <w:lvlText w:val="•"/>
      <w:lvlJc w:val="left"/>
      <w:pPr>
        <w:ind w:left="6190" w:hanging="720"/>
      </w:pPr>
      <w:rPr>
        <w:rFonts w:hint="default"/>
        <w:lang w:val="en-au" w:eastAsia="en-US" w:bidi="ar-SA"/>
      </w:rPr>
    </w:lvl>
    <w:lvl w:ilvl="5">
      <w:start w:val="0"/>
      <w:numFmt w:val="bullet"/>
      <w:lvlText w:val="•"/>
      <w:lvlJc w:val="left"/>
      <w:pPr>
        <w:ind w:left="7093" w:hanging="720"/>
      </w:pPr>
      <w:rPr>
        <w:rFonts w:hint="default"/>
        <w:lang w:val="en-au" w:eastAsia="en-US" w:bidi="ar-SA"/>
      </w:rPr>
    </w:lvl>
    <w:lvl w:ilvl="6">
      <w:start w:val="0"/>
      <w:numFmt w:val="bullet"/>
      <w:lvlText w:val="•"/>
      <w:lvlJc w:val="left"/>
      <w:pPr>
        <w:ind w:left="7995" w:hanging="720"/>
      </w:pPr>
      <w:rPr>
        <w:rFonts w:hint="default"/>
        <w:lang w:val="en-au" w:eastAsia="en-US" w:bidi="ar-SA"/>
      </w:rPr>
    </w:lvl>
    <w:lvl w:ilvl="7">
      <w:start w:val="0"/>
      <w:numFmt w:val="bullet"/>
      <w:lvlText w:val="•"/>
      <w:lvlJc w:val="left"/>
      <w:pPr>
        <w:ind w:left="8898" w:hanging="720"/>
      </w:pPr>
      <w:rPr>
        <w:rFonts w:hint="default"/>
        <w:lang w:val="en-au" w:eastAsia="en-US" w:bidi="ar-SA"/>
      </w:rPr>
    </w:lvl>
    <w:lvl w:ilvl="8">
      <w:start w:val="0"/>
      <w:numFmt w:val="bullet"/>
      <w:lvlText w:val="•"/>
      <w:lvlJc w:val="left"/>
      <w:pPr>
        <w:ind w:left="9801" w:hanging="720"/>
      </w:pPr>
      <w:rPr>
        <w:rFonts w:hint="default"/>
        <w:lang w:val="en-au" w:eastAsia="en-US" w:bidi="ar-SA"/>
      </w:rPr>
    </w:lvl>
  </w:abstractNum>
  <w:abstractNum w:abstractNumId="169">
    <w:multiLevelType w:val="hybridMultilevel"/>
    <w:lvl w:ilvl="0">
      <w:start w:val="98"/>
      <w:numFmt w:val="decimal"/>
      <w:lvlText w:val="%1."/>
      <w:lvlJc w:val="left"/>
      <w:pPr>
        <w:ind w:left="258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3482" w:hanging="720"/>
      </w:pPr>
      <w:rPr>
        <w:rFonts w:hint="default"/>
        <w:lang w:val="en-au" w:eastAsia="en-US" w:bidi="ar-SA"/>
      </w:rPr>
    </w:lvl>
    <w:lvl w:ilvl="2">
      <w:start w:val="0"/>
      <w:numFmt w:val="bullet"/>
      <w:lvlText w:val="•"/>
      <w:lvlJc w:val="left"/>
      <w:pPr>
        <w:ind w:left="4385" w:hanging="720"/>
      </w:pPr>
      <w:rPr>
        <w:rFonts w:hint="default"/>
        <w:lang w:val="en-au" w:eastAsia="en-US" w:bidi="ar-SA"/>
      </w:rPr>
    </w:lvl>
    <w:lvl w:ilvl="3">
      <w:start w:val="0"/>
      <w:numFmt w:val="bullet"/>
      <w:lvlText w:val="•"/>
      <w:lvlJc w:val="left"/>
      <w:pPr>
        <w:ind w:left="5287" w:hanging="720"/>
      </w:pPr>
      <w:rPr>
        <w:rFonts w:hint="default"/>
        <w:lang w:val="en-au" w:eastAsia="en-US" w:bidi="ar-SA"/>
      </w:rPr>
    </w:lvl>
    <w:lvl w:ilvl="4">
      <w:start w:val="0"/>
      <w:numFmt w:val="bullet"/>
      <w:lvlText w:val="•"/>
      <w:lvlJc w:val="left"/>
      <w:pPr>
        <w:ind w:left="6190" w:hanging="720"/>
      </w:pPr>
      <w:rPr>
        <w:rFonts w:hint="default"/>
        <w:lang w:val="en-au" w:eastAsia="en-US" w:bidi="ar-SA"/>
      </w:rPr>
    </w:lvl>
    <w:lvl w:ilvl="5">
      <w:start w:val="0"/>
      <w:numFmt w:val="bullet"/>
      <w:lvlText w:val="•"/>
      <w:lvlJc w:val="left"/>
      <w:pPr>
        <w:ind w:left="7093" w:hanging="720"/>
      </w:pPr>
      <w:rPr>
        <w:rFonts w:hint="default"/>
        <w:lang w:val="en-au" w:eastAsia="en-US" w:bidi="ar-SA"/>
      </w:rPr>
    </w:lvl>
    <w:lvl w:ilvl="6">
      <w:start w:val="0"/>
      <w:numFmt w:val="bullet"/>
      <w:lvlText w:val="•"/>
      <w:lvlJc w:val="left"/>
      <w:pPr>
        <w:ind w:left="7995" w:hanging="720"/>
      </w:pPr>
      <w:rPr>
        <w:rFonts w:hint="default"/>
        <w:lang w:val="en-au" w:eastAsia="en-US" w:bidi="ar-SA"/>
      </w:rPr>
    </w:lvl>
    <w:lvl w:ilvl="7">
      <w:start w:val="0"/>
      <w:numFmt w:val="bullet"/>
      <w:lvlText w:val="•"/>
      <w:lvlJc w:val="left"/>
      <w:pPr>
        <w:ind w:left="8898" w:hanging="720"/>
      </w:pPr>
      <w:rPr>
        <w:rFonts w:hint="default"/>
        <w:lang w:val="en-au" w:eastAsia="en-US" w:bidi="ar-SA"/>
      </w:rPr>
    </w:lvl>
    <w:lvl w:ilvl="8">
      <w:start w:val="0"/>
      <w:numFmt w:val="bullet"/>
      <w:lvlText w:val="•"/>
      <w:lvlJc w:val="left"/>
      <w:pPr>
        <w:ind w:left="9801" w:hanging="720"/>
      </w:pPr>
      <w:rPr>
        <w:rFonts w:hint="default"/>
        <w:lang w:val="en-au" w:eastAsia="en-US" w:bidi="ar-SA"/>
      </w:rPr>
    </w:lvl>
  </w:abstractNum>
  <w:abstractNum w:abstractNumId="168">
    <w:multiLevelType w:val="hybridMultilevel"/>
    <w:lvl w:ilvl="0">
      <w:start w:val="98"/>
      <w:numFmt w:val="decimal"/>
      <w:lvlText w:val="%1."/>
      <w:lvlJc w:val="left"/>
      <w:pPr>
        <w:ind w:left="258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3482" w:hanging="720"/>
      </w:pPr>
      <w:rPr>
        <w:rFonts w:hint="default"/>
        <w:lang w:val="en-au" w:eastAsia="en-US" w:bidi="ar-SA"/>
      </w:rPr>
    </w:lvl>
    <w:lvl w:ilvl="2">
      <w:start w:val="0"/>
      <w:numFmt w:val="bullet"/>
      <w:lvlText w:val="•"/>
      <w:lvlJc w:val="left"/>
      <w:pPr>
        <w:ind w:left="4385" w:hanging="720"/>
      </w:pPr>
      <w:rPr>
        <w:rFonts w:hint="default"/>
        <w:lang w:val="en-au" w:eastAsia="en-US" w:bidi="ar-SA"/>
      </w:rPr>
    </w:lvl>
    <w:lvl w:ilvl="3">
      <w:start w:val="0"/>
      <w:numFmt w:val="bullet"/>
      <w:lvlText w:val="•"/>
      <w:lvlJc w:val="left"/>
      <w:pPr>
        <w:ind w:left="5287" w:hanging="720"/>
      </w:pPr>
      <w:rPr>
        <w:rFonts w:hint="default"/>
        <w:lang w:val="en-au" w:eastAsia="en-US" w:bidi="ar-SA"/>
      </w:rPr>
    </w:lvl>
    <w:lvl w:ilvl="4">
      <w:start w:val="0"/>
      <w:numFmt w:val="bullet"/>
      <w:lvlText w:val="•"/>
      <w:lvlJc w:val="left"/>
      <w:pPr>
        <w:ind w:left="6190" w:hanging="720"/>
      </w:pPr>
      <w:rPr>
        <w:rFonts w:hint="default"/>
        <w:lang w:val="en-au" w:eastAsia="en-US" w:bidi="ar-SA"/>
      </w:rPr>
    </w:lvl>
    <w:lvl w:ilvl="5">
      <w:start w:val="0"/>
      <w:numFmt w:val="bullet"/>
      <w:lvlText w:val="•"/>
      <w:lvlJc w:val="left"/>
      <w:pPr>
        <w:ind w:left="7093" w:hanging="720"/>
      </w:pPr>
      <w:rPr>
        <w:rFonts w:hint="default"/>
        <w:lang w:val="en-au" w:eastAsia="en-US" w:bidi="ar-SA"/>
      </w:rPr>
    </w:lvl>
    <w:lvl w:ilvl="6">
      <w:start w:val="0"/>
      <w:numFmt w:val="bullet"/>
      <w:lvlText w:val="•"/>
      <w:lvlJc w:val="left"/>
      <w:pPr>
        <w:ind w:left="7995" w:hanging="720"/>
      </w:pPr>
      <w:rPr>
        <w:rFonts w:hint="default"/>
        <w:lang w:val="en-au" w:eastAsia="en-US" w:bidi="ar-SA"/>
      </w:rPr>
    </w:lvl>
    <w:lvl w:ilvl="7">
      <w:start w:val="0"/>
      <w:numFmt w:val="bullet"/>
      <w:lvlText w:val="•"/>
      <w:lvlJc w:val="left"/>
      <w:pPr>
        <w:ind w:left="8898" w:hanging="720"/>
      </w:pPr>
      <w:rPr>
        <w:rFonts w:hint="default"/>
        <w:lang w:val="en-au" w:eastAsia="en-US" w:bidi="ar-SA"/>
      </w:rPr>
    </w:lvl>
    <w:lvl w:ilvl="8">
      <w:start w:val="0"/>
      <w:numFmt w:val="bullet"/>
      <w:lvlText w:val="•"/>
      <w:lvlJc w:val="left"/>
      <w:pPr>
        <w:ind w:left="9801" w:hanging="720"/>
      </w:pPr>
      <w:rPr>
        <w:rFonts w:hint="default"/>
        <w:lang w:val="en-au" w:eastAsia="en-US" w:bidi="ar-SA"/>
      </w:rPr>
    </w:lvl>
  </w:abstractNum>
  <w:abstractNum w:abstractNumId="167">
    <w:multiLevelType w:val="hybridMultilevel"/>
    <w:lvl w:ilvl="0">
      <w:start w:val="98"/>
      <w:numFmt w:val="decimal"/>
      <w:lvlText w:val="%1."/>
      <w:lvlJc w:val="left"/>
      <w:pPr>
        <w:ind w:left="258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3482" w:hanging="720"/>
      </w:pPr>
      <w:rPr>
        <w:rFonts w:hint="default"/>
        <w:lang w:val="en-au" w:eastAsia="en-US" w:bidi="ar-SA"/>
      </w:rPr>
    </w:lvl>
    <w:lvl w:ilvl="2">
      <w:start w:val="0"/>
      <w:numFmt w:val="bullet"/>
      <w:lvlText w:val="•"/>
      <w:lvlJc w:val="left"/>
      <w:pPr>
        <w:ind w:left="4385" w:hanging="720"/>
      </w:pPr>
      <w:rPr>
        <w:rFonts w:hint="default"/>
        <w:lang w:val="en-au" w:eastAsia="en-US" w:bidi="ar-SA"/>
      </w:rPr>
    </w:lvl>
    <w:lvl w:ilvl="3">
      <w:start w:val="0"/>
      <w:numFmt w:val="bullet"/>
      <w:lvlText w:val="•"/>
      <w:lvlJc w:val="left"/>
      <w:pPr>
        <w:ind w:left="5287" w:hanging="720"/>
      </w:pPr>
      <w:rPr>
        <w:rFonts w:hint="default"/>
        <w:lang w:val="en-au" w:eastAsia="en-US" w:bidi="ar-SA"/>
      </w:rPr>
    </w:lvl>
    <w:lvl w:ilvl="4">
      <w:start w:val="0"/>
      <w:numFmt w:val="bullet"/>
      <w:lvlText w:val="•"/>
      <w:lvlJc w:val="left"/>
      <w:pPr>
        <w:ind w:left="6190" w:hanging="720"/>
      </w:pPr>
      <w:rPr>
        <w:rFonts w:hint="default"/>
        <w:lang w:val="en-au" w:eastAsia="en-US" w:bidi="ar-SA"/>
      </w:rPr>
    </w:lvl>
    <w:lvl w:ilvl="5">
      <w:start w:val="0"/>
      <w:numFmt w:val="bullet"/>
      <w:lvlText w:val="•"/>
      <w:lvlJc w:val="left"/>
      <w:pPr>
        <w:ind w:left="7093" w:hanging="720"/>
      </w:pPr>
      <w:rPr>
        <w:rFonts w:hint="default"/>
        <w:lang w:val="en-au" w:eastAsia="en-US" w:bidi="ar-SA"/>
      </w:rPr>
    </w:lvl>
    <w:lvl w:ilvl="6">
      <w:start w:val="0"/>
      <w:numFmt w:val="bullet"/>
      <w:lvlText w:val="•"/>
      <w:lvlJc w:val="left"/>
      <w:pPr>
        <w:ind w:left="7995" w:hanging="720"/>
      </w:pPr>
      <w:rPr>
        <w:rFonts w:hint="default"/>
        <w:lang w:val="en-au" w:eastAsia="en-US" w:bidi="ar-SA"/>
      </w:rPr>
    </w:lvl>
    <w:lvl w:ilvl="7">
      <w:start w:val="0"/>
      <w:numFmt w:val="bullet"/>
      <w:lvlText w:val="•"/>
      <w:lvlJc w:val="left"/>
      <w:pPr>
        <w:ind w:left="8898" w:hanging="720"/>
      </w:pPr>
      <w:rPr>
        <w:rFonts w:hint="default"/>
        <w:lang w:val="en-au" w:eastAsia="en-US" w:bidi="ar-SA"/>
      </w:rPr>
    </w:lvl>
    <w:lvl w:ilvl="8">
      <w:start w:val="0"/>
      <w:numFmt w:val="bullet"/>
      <w:lvlText w:val="•"/>
      <w:lvlJc w:val="left"/>
      <w:pPr>
        <w:ind w:left="9801" w:hanging="720"/>
      </w:pPr>
      <w:rPr>
        <w:rFonts w:hint="default"/>
        <w:lang w:val="en-au" w:eastAsia="en-US" w:bidi="ar-SA"/>
      </w:rPr>
    </w:lvl>
  </w:abstractNum>
  <w:abstractNum w:abstractNumId="166">
    <w:multiLevelType w:val="hybridMultilevel"/>
    <w:lvl w:ilvl="0">
      <w:start w:val="98"/>
      <w:numFmt w:val="decimal"/>
      <w:lvlText w:val="%1."/>
      <w:lvlJc w:val="left"/>
      <w:pPr>
        <w:ind w:left="258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3482" w:hanging="720"/>
      </w:pPr>
      <w:rPr>
        <w:rFonts w:hint="default"/>
        <w:lang w:val="en-au" w:eastAsia="en-US" w:bidi="ar-SA"/>
      </w:rPr>
    </w:lvl>
    <w:lvl w:ilvl="2">
      <w:start w:val="0"/>
      <w:numFmt w:val="bullet"/>
      <w:lvlText w:val="•"/>
      <w:lvlJc w:val="left"/>
      <w:pPr>
        <w:ind w:left="4385" w:hanging="720"/>
      </w:pPr>
      <w:rPr>
        <w:rFonts w:hint="default"/>
        <w:lang w:val="en-au" w:eastAsia="en-US" w:bidi="ar-SA"/>
      </w:rPr>
    </w:lvl>
    <w:lvl w:ilvl="3">
      <w:start w:val="0"/>
      <w:numFmt w:val="bullet"/>
      <w:lvlText w:val="•"/>
      <w:lvlJc w:val="left"/>
      <w:pPr>
        <w:ind w:left="5287" w:hanging="720"/>
      </w:pPr>
      <w:rPr>
        <w:rFonts w:hint="default"/>
        <w:lang w:val="en-au" w:eastAsia="en-US" w:bidi="ar-SA"/>
      </w:rPr>
    </w:lvl>
    <w:lvl w:ilvl="4">
      <w:start w:val="0"/>
      <w:numFmt w:val="bullet"/>
      <w:lvlText w:val="•"/>
      <w:lvlJc w:val="left"/>
      <w:pPr>
        <w:ind w:left="6190" w:hanging="720"/>
      </w:pPr>
      <w:rPr>
        <w:rFonts w:hint="default"/>
        <w:lang w:val="en-au" w:eastAsia="en-US" w:bidi="ar-SA"/>
      </w:rPr>
    </w:lvl>
    <w:lvl w:ilvl="5">
      <w:start w:val="0"/>
      <w:numFmt w:val="bullet"/>
      <w:lvlText w:val="•"/>
      <w:lvlJc w:val="left"/>
      <w:pPr>
        <w:ind w:left="7093" w:hanging="720"/>
      </w:pPr>
      <w:rPr>
        <w:rFonts w:hint="default"/>
        <w:lang w:val="en-au" w:eastAsia="en-US" w:bidi="ar-SA"/>
      </w:rPr>
    </w:lvl>
    <w:lvl w:ilvl="6">
      <w:start w:val="0"/>
      <w:numFmt w:val="bullet"/>
      <w:lvlText w:val="•"/>
      <w:lvlJc w:val="left"/>
      <w:pPr>
        <w:ind w:left="7995" w:hanging="720"/>
      </w:pPr>
      <w:rPr>
        <w:rFonts w:hint="default"/>
        <w:lang w:val="en-au" w:eastAsia="en-US" w:bidi="ar-SA"/>
      </w:rPr>
    </w:lvl>
    <w:lvl w:ilvl="7">
      <w:start w:val="0"/>
      <w:numFmt w:val="bullet"/>
      <w:lvlText w:val="•"/>
      <w:lvlJc w:val="left"/>
      <w:pPr>
        <w:ind w:left="8898" w:hanging="720"/>
      </w:pPr>
      <w:rPr>
        <w:rFonts w:hint="default"/>
        <w:lang w:val="en-au" w:eastAsia="en-US" w:bidi="ar-SA"/>
      </w:rPr>
    </w:lvl>
    <w:lvl w:ilvl="8">
      <w:start w:val="0"/>
      <w:numFmt w:val="bullet"/>
      <w:lvlText w:val="•"/>
      <w:lvlJc w:val="left"/>
      <w:pPr>
        <w:ind w:left="9801" w:hanging="720"/>
      </w:pPr>
      <w:rPr>
        <w:rFonts w:hint="default"/>
        <w:lang w:val="en-au" w:eastAsia="en-US" w:bidi="ar-SA"/>
      </w:rPr>
    </w:lvl>
  </w:abstractNum>
  <w:abstractNum w:abstractNumId="165">
    <w:multiLevelType w:val="hybridMultilevel"/>
    <w:lvl w:ilvl="0">
      <w:start w:val="1"/>
      <w:numFmt w:val="lowerLetter"/>
      <w:lvlText w:val="%1."/>
      <w:lvlJc w:val="left"/>
      <w:pPr>
        <w:ind w:left="1838" w:hanging="699"/>
        <w:jc w:val="left"/>
      </w:pPr>
      <w:rPr>
        <w:rFonts w:hint="default" w:ascii="Century Gothic" w:hAnsi="Century Gothic" w:eastAsia="Century Gothic" w:cs="Century Gothic"/>
        <w:b w:val="0"/>
        <w:bCs w:val="0"/>
        <w:i w:val="0"/>
        <w:iCs w:val="0"/>
        <w:spacing w:val="-1"/>
        <w:w w:val="100"/>
        <w:sz w:val="18"/>
        <w:szCs w:val="18"/>
        <w:lang w:val="en-au" w:eastAsia="en-US" w:bidi="ar-SA"/>
      </w:rPr>
    </w:lvl>
    <w:lvl w:ilvl="1">
      <w:start w:val="1"/>
      <w:numFmt w:val="decimal"/>
      <w:lvlText w:val="%2."/>
      <w:lvlJc w:val="left"/>
      <w:pPr>
        <w:ind w:left="258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2">
      <w:start w:val="0"/>
      <w:numFmt w:val="bullet"/>
      <w:lvlText w:val="•"/>
      <w:lvlJc w:val="left"/>
      <w:pPr>
        <w:ind w:left="3582" w:hanging="720"/>
      </w:pPr>
      <w:rPr>
        <w:rFonts w:hint="default"/>
        <w:lang w:val="en-au" w:eastAsia="en-US" w:bidi="ar-SA"/>
      </w:rPr>
    </w:lvl>
    <w:lvl w:ilvl="3">
      <w:start w:val="0"/>
      <w:numFmt w:val="bullet"/>
      <w:lvlText w:val="•"/>
      <w:lvlJc w:val="left"/>
      <w:pPr>
        <w:ind w:left="4585" w:hanging="720"/>
      </w:pPr>
      <w:rPr>
        <w:rFonts w:hint="default"/>
        <w:lang w:val="en-au" w:eastAsia="en-US" w:bidi="ar-SA"/>
      </w:rPr>
    </w:lvl>
    <w:lvl w:ilvl="4">
      <w:start w:val="0"/>
      <w:numFmt w:val="bullet"/>
      <w:lvlText w:val="•"/>
      <w:lvlJc w:val="left"/>
      <w:pPr>
        <w:ind w:left="5588" w:hanging="720"/>
      </w:pPr>
      <w:rPr>
        <w:rFonts w:hint="default"/>
        <w:lang w:val="en-au" w:eastAsia="en-US" w:bidi="ar-SA"/>
      </w:rPr>
    </w:lvl>
    <w:lvl w:ilvl="5">
      <w:start w:val="0"/>
      <w:numFmt w:val="bullet"/>
      <w:lvlText w:val="•"/>
      <w:lvlJc w:val="left"/>
      <w:pPr>
        <w:ind w:left="6591" w:hanging="720"/>
      </w:pPr>
      <w:rPr>
        <w:rFonts w:hint="default"/>
        <w:lang w:val="en-au" w:eastAsia="en-US" w:bidi="ar-SA"/>
      </w:rPr>
    </w:lvl>
    <w:lvl w:ilvl="6">
      <w:start w:val="0"/>
      <w:numFmt w:val="bullet"/>
      <w:lvlText w:val="•"/>
      <w:lvlJc w:val="left"/>
      <w:pPr>
        <w:ind w:left="7594" w:hanging="720"/>
      </w:pPr>
      <w:rPr>
        <w:rFonts w:hint="default"/>
        <w:lang w:val="en-au" w:eastAsia="en-US" w:bidi="ar-SA"/>
      </w:rPr>
    </w:lvl>
    <w:lvl w:ilvl="7">
      <w:start w:val="0"/>
      <w:numFmt w:val="bullet"/>
      <w:lvlText w:val="•"/>
      <w:lvlJc w:val="left"/>
      <w:pPr>
        <w:ind w:left="8597" w:hanging="720"/>
      </w:pPr>
      <w:rPr>
        <w:rFonts w:hint="default"/>
        <w:lang w:val="en-au" w:eastAsia="en-US" w:bidi="ar-SA"/>
      </w:rPr>
    </w:lvl>
    <w:lvl w:ilvl="8">
      <w:start w:val="0"/>
      <w:numFmt w:val="bullet"/>
      <w:lvlText w:val="•"/>
      <w:lvlJc w:val="left"/>
      <w:pPr>
        <w:ind w:left="9600" w:hanging="720"/>
      </w:pPr>
      <w:rPr>
        <w:rFonts w:hint="default"/>
        <w:lang w:val="en-au" w:eastAsia="en-US" w:bidi="ar-SA"/>
      </w:rPr>
    </w:lvl>
  </w:abstractNum>
  <w:abstractNum w:abstractNumId="164">
    <w:multiLevelType w:val="hybridMultilevel"/>
    <w:lvl w:ilvl="0">
      <w:start w:val="98"/>
      <w:numFmt w:val="decimal"/>
      <w:lvlText w:val="%1."/>
      <w:lvlJc w:val="left"/>
      <w:pPr>
        <w:ind w:left="258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3482" w:hanging="720"/>
      </w:pPr>
      <w:rPr>
        <w:rFonts w:hint="default"/>
        <w:lang w:val="en-au" w:eastAsia="en-US" w:bidi="ar-SA"/>
      </w:rPr>
    </w:lvl>
    <w:lvl w:ilvl="2">
      <w:start w:val="0"/>
      <w:numFmt w:val="bullet"/>
      <w:lvlText w:val="•"/>
      <w:lvlJc w:val="left"/>
      <w:pPr>
        <w:ind w:left="4385" w:hanging="720"/>
      </w:pPr>
      <w:rPr>
        <w:rFonts w:hint="default"/>
        <w:lang w:val="en-au" w:eastAsia="en-US" w:bidi="ar-SA"/>
      </w:rPr>
    </w:lvl>
    <w:lvl w:ilvl="3">
      <w:start w:val="0"/>
      <w:numFmt w:val="bullet"/>
      <w:lvlText w:val="•"/>
      <w:lvlJc w:val="left"/>
      <w:pPr>
        <w:ind w:left="5287" w:hanging="720"/>
      </w:pPr>
      <w:rPr>
        <w:rFonts w:hint="default"/>
        <w:lang w:val="en-au" w:eastAsia="en-US" w:bidi="ar-SA"/>
      </w:rPr>
    </w:lvl>
    <w:lvl w:ilvl="4">
      <w:start w:val="0"/>
      <w:numFmt w:val="bullet"/>
      <w:lvlText w:val="•"/>
      <w:lvlJc w:val="left"/>
      <w:pPr>
        <w:ind w:left="6190" w:hanging="720"/>
      </w:pPr>
      <w:rPr>
        <w:rFonts w:hint="default"/>
        <w:lang w:val="en-au" w:eastAsia="en-US" w:bidi="ar-SA"/>
      </w:rPr>
    </w:lvl>
    <w:lvl w:ilvl="5">
      <w:start w:val="0"/>
      <w:numFmt w:val="bullet"/>
      <w:lvlText w:val="•"/>
      <w:lvlJc w:val="left"/>
      <w:pPr>
        <w:ind w:left="7093" w:hanging="720"/>
      </w:pPr>
      <w:rPr>
        <w:rFonts w:hint="default"/>
        <w:lang w:val="en-au" w:eastAsia="en-US" w:bidi="ar-SA"/>
      </w:rPr>
    </w:lvl>
    <w:lvl w:ilvl="6">
      <w:start w:val="0"/>
      <w:numFmt w:val="bullet"/>
      <w:lvlText w:val="•"/>
      <w:lvlJc w:val="left"/>
      <w:pPr>
        <w:ind w:left="7995" w:hanging="720"/>
      </w:pPr>
      <w:rPr>
        <w:rFonts w:hint="default"/>
        <w:lang w:val="en-au" w:eastAsia="en-US" w:bidi="ar-SA"/>
      </w:rPr>
    </w:lvl>
    <w:lvl w:ilvl="7">
      <w:start w:val="0"/>
      <w:numFmt w:val="bullet"/>
      <w:lvlText w:val="•"/>
      <w:lvlJc w:val="left"/>
      <w:pPr>
        <w:ind w:left="8898" w:hanging="720"/>
      </w:pPr>
      <w:rPr>
        <w:rFonts w:hint="default"/>
        <w:lang w:val="en-au" w:eastAsia="en-US" w:bidi="ar-SA"/>
      </w:rPr>
    </w:lvl>
    <w:lvl w:ilvl="8">
      <w:start w:val="0"/>
      <w:numFmt w:val="bullet"/>
      <w:lvlText w:val="•"/>
      <w:lvlJc w:val="left"/>
      <w:pPr>
        <w:ind w:left="9801" w:hanging="720"/>
      </w:pPr>
      <w:rPr>
        <w:rFonts w:hint="default"/>
        <w:lang w:val="en-au" w:eastAsia="en-US" w:bidi="ar-SA"/>
      </w:rPr>
    </w:lvl>
  </w:abstractNum>
  <w:abstractNum w:abstractNumId="163">
    <w:multiLevelType w:val="hybridMultilevel"/>
    <w:lvl w:ilvl="0">
      <w:start w:val="98"/>
      <w:numFmt w:val="decimal"/>
      <w:lvlText w:val="%1."/>
      <w:lvlJc w:val="left"/>
      <w:pPr>
        <w:ind w:left="258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3482" w:hanging="720"/>
      </w:pPr>
      <w:rPr>
        <w:rFonts w:hint="default"/>
        <w:lang w:val="en-au" w:eastAsia="en-US" w:bidi="ar-SA"/>
      </w:rPr>
    </w:lvl>
    <w:lvl w:ilvl="2">
      <w:start w:val="0"/>
      <w:numFmt w:val="bullet"/>
      <w:lvlText w:val="•"/>
      <w:lvlJc w:val="left"/>
      <w:pPr>
        <w:ind w:left="4385" w:hanging="720"/>
      </w:pPr>
      <w:rPr>
        <w:rFonts w:hint="default"/>
        <w:lang w:val="en-au" w:eastAsia="en-US" w:bidi="ar-SA"/>
      </w:rPr>
    </w:lvl>
    <w:lvl w:ilvl="3">
      <w:start w:val="0"/>
      <w:numFmt w:val="bullet"/>
      <w:lvlText w:val="•"/>
      <w:lvlJc w:val="left"/>
      <w:pPr>
        <w:ind w:left="5287" w:hanging="720"/>
      </w:pPr>
      <w:rPr>
        <w:rFonts w:hint="default"/>
        <w:lang w:val="en-au" w:eastAsia="en-US" w:bidi="ar-SA"/>
      </w:rPr>
    </w:lvl>
    <w:lvl w:ilvl="4">
      <w:start w:val="0"/>
      <w:numFmt w:val="bullet"/>
      <w:lvlText w:val="•"/>
      <w:lvlJc w:val="left"/>
      <w:pPr>
        <w:ind w:left="6190" w:hanging="720"/>
      </w:pPr>
      <w:rPr>
        <w:rFonts w:hint="default"/>
        <w:lang w:val="en-au" w:eastAsia="en-US" w:bidi="ar-SA"/>
      </w:rPr>
    </w:lvl>
    <w:lvl w:ilvl="5">
      <w:start w:val="0"/>
      <w:numFmt w:val="bullet"/>
      <w:lvlText w:val="•"/>
      <w:lvlJc w:val="left"/>
      <w:pPr>
        <w:ind w:left="7093" w:hanging="720"/>
      </w:pPr>
      <w:rPr>
        <w:rFonts w:hint="default"/>
        <w:lang w:val="en-au" w:eastAsia="en-US" w:bidi="ar-SA"/>
      </w:rPr>
    </w:lvl>
    <w:lvl w:ilvl="6">
      <w:start w:val="0"/>
      <w:numFmt w:val="bullet"/>
      <w:lvlText w:val="•"/>
      <w:lvlJc w:val="left"/>
      <w:pPr>
        <w:ind w:left="7995" w:hanging="720"/>
      </w:pPr>
      <w:rPr>
        <w:rFonts w:hint="default"/>
        <w:lang w:val="en-au" w:eastAsia="en-US" w:bidi="ar-SA"/>
      </w:rPr>
    </w:lvl>
    <w:lvl w:ilvl="7">
      <w:start w:val="0"/>
      <w:numFmt w:val="bullet"/>
      <w:lvlText w:val="•"/>
      <w:lvlJc w:val="left"/>
      <w:pPr>
        <w:ind w:left="8898" w:hanging="720"/>
      </w:pPr>
      <w:rPr>
        <w:rFonts w:hint="default"/>
        <w:lang w:val="en-au" w:eastAsia="en-US" w:bidi="ar-SA"/>
      </w:rPr>
    </w:lvl>
    <w:lvl w:ilvl="8">
      <w:start w:val="0"/>
      <w:numFmt w:val="bullet"/>
      <w:lvlText w:val="•"/>
      <w:lvlJc w:val="left"/>
      <w:pPr>
        <w:ind w:left="9801" w:hanging="720"/>
      </w:pPr>
      <w:rPr>
        <w:rFonts w:hint="default"/>
        <w:lang w:val="en-au" w:eastAsia="en-US" w:bidi="ar-SA"/>
      </w:rPr>
    </w:lvl>
  </w:abstractNum>
  <w:abstractNum w:abstractNumId="162">
    <w:multiLevelType w:val="hybridMultilevel"/>
    <w:lvl w:ilvl="0">
      <w:start w:val="98"/>
      <w:numFmt w:val="decimal"/>
      <w:lvlText w:val="%1."/>
      <w:lvlJc w:val="left"/>
      <w:pPr>
        <w:ind w:left="258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3482" w:hanging="720"/>
      </w:pPr>
      <w:rPr>
        <w:rFonts w:hint="default"/>
        <w:lang w:val="en-au" w:eastAsia="en-US" w:bidi="ar-SA"/>
      </w:rPr>
    </w:lvl>
    <w:lvl w:ilvl="2">
      <w:start w:val="0"/>
      <w:numFmt w:val="bullet"/>
      <w:lvlText w:val="•"/>
      <w:lvlJc w:val="left"/>
      <w:pPr>
        <w:ind w:left="4385" w:hanging="720"/>
      </w:pPr>
      <w:rPr>
        <w:rFonts w:hint="default"/>
        <w:lang w:val="en-au" w:eastAsia="en-US" w:bidi="ar-SA"/>
      </w:rPr>
    </w:lvl>
    <w:lvl w:ilvl="3">
      <w:start w:val="0"/>
      <w:numFmt w:val="bullet"/>
      <w:lvlText w:val="•"/>
      <w:lvlJc w:val="left"/>
      <w:pPr>
        <w:ind w:left="5287" w:hanging="720"/>
      </w:pPr>
      <w:rPr>
        <w:rFonts w:hint="default"/>
        <w:lang w:val="en-au" w:eastAsia="en-US" w:bidi="ar-SA"/>
      </w:rPr>
    </w:lvl>
    <w:lvl w:ilvl="4">
      <w:start w:val="0"/>
      <w:numFmt w:val="bullet"/>
      <w:lvlText w:val="•"/>
      <w:lvlJc w:val="left"/>
      <w:pPr>
        <w:ind w:left="6190" w:hanging="720"/>
      </w:pPr>
      <w:rPr>
        <w:rFonts w:hint="default"/>
        <w:lang w:val="en-au" w:eastAsia="en-US" w:bidi="ar-SA"/>
      </w:rPr>
    </w:lvl>
    <w:lvl w:ilvl="5">
      <w:start w:val="0"/>
      <w:numFmt w:val="bullet"/>
      <w:lvlText w:val="•"/>
      <w:lvlJc w:val="left"/>
      <w:pPr>
        <w:ind w:left="7093" w:hanging="720"/>
      </w:pPr>
      <w:rPr>
        <w:rFonts w:hint="default"/>
        <w:lang w:val="en-au" w:eastAsia="en-US" w:bidi="ar-SA"/>
      </w:rPr>
    </w:lvl>
    <w:lvl w:ilvl="6">
      <w:start w:val="0"/>
      <w:numFmt w:val="bullet"/>
      <w:lvlText w:val="•"/>
      <w:lvlJc w:val="left"/>
      <w:pPr>
        <w:ind w:left="7995" w:hanging="720"/>
      </w:pPr>
      <w:rPr>
        <w:rFonts w:hint="default"/>
        <w:lang w:val="en-au" w:eastAsia="en-US" w:bidi="ar-SA"/>
      </w:rPr>
    </w:lvl>
    <w:lvl w:ilvl="7">
      <w:start w:val="0"/>
      <w:numFmt w:val="bullet"/>
      <w:lvlText w:val="•"/>
      <w:lvlJc w:val="left"/>
      <w:pPr>
        <w:ind w:left="8898" w:hanging="720"/>
      </w:pPr>
      <w:rPr>
        <w:rFonts w:hint="default"/>
        <w:lang w:val="en-au" w:eastAsia="en-US" w:bidi="ar-SA"/>
      </w:rPr>
    </w:lvl>
    <w:lvl w:ilvl="8">
      <w:start w:val="0"/>
      <w:numFmt w:val="bullet"/>
      <w:lvlText w:val="•"/>
      <w:lvlJc w:val="left"/>
      <w:pPr>
        <w:ind w:left="9801" w:hanging="720"/>
      </w:pPr>
      <w:rPr>
        <w:rFonts w:hint="default"/>
        <w:lang w:val="en-au" w:eastAsia="en-US" w:bidi="ar-SA"/>
      </w:rPr>
    </w:lvl>
  </w:abstractNum>
  <w:abstractNum w:abstractNumId="161">
    <w:multiLevelType w:val="hybridMultilevel"/>
    <w:lvl w:ilvl="0">
      <w:start w:val="98"/>
      <w:numFmt w:val="decimal"/>
      <w:lvlText w:val="%1."/>
      <w:lvlJc w:val="left"/>
      <w:pPr>
        <w:ind w:left="258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3482" w:hanging="720"/>
      </w:pPr>
      <w:rPr>
        <w:rFonts w:hint="default"/>
        <w:lang w:val="en-au" w:eastAsia="en-US" w:bidi="ar-SA"/>
      </w:rPr>
    </w:lvl>
    <w:lvl w:ilvl="2">
      <w:start w:val="0"/>
      <w:numFmt w:val="bullet"/>
      <w:lvlText w:val="•"/>
      <w:lvlJc w:val="left"/>
      <w:pPr>
        <w:ind w:left="4385" w:hanging="720"/>
      </w:pPr>
      <w:rPr>
        <w:rFonts w:hint="default"/>
        <w:lang w:val="en-au" w:eastAsia="en-US" w:bidi="ar-SA"/>
      </w:rPr>
    </w:lvl>
    <w:lvl w:ilvl="3">
      <w:start w:val="0"/>
      <w:numFmt w:val="bullet"/>
      <w:lvlText w:val="•"/>
      <w:lvlJc w:val="left"/>
      <w:pPr>
        <w:ind w:left="5287" w:hanging="720"/>
      </w:pPr>
      <w:rPr>
        <w:rFonts w:hint="default"/>
        <w:lang w:val="en-au" w:eastAsia="en-US" w:bidi="ar-SA"/>
      </w:rPr>
    </w:lvl>
    <w:lvl w:ilvl="4">
      <w:start w:val="0"/>
      <w:numFmt w:val="bullet"/>
      <w:lvlText w:val="•"/>
      <w:lvlJc w:val="left"/>
      <w:pPr>
        <w:ind w:left="6190" w:hanging="720"/>
      </w:pPr>
      <w:rPr>
        <w:rFonts w:hint="default"/>
        <w:lang w:val="en-au" w:eastAsia="en-US" w:bidi="ar-SA"/>
      </w:rPr>
    </w:lvl>
    <w:lvl w:ilvl="5">
      <w:start w:val="0"/>
      <w:numFmt w:val="bullet"/>
      <w:lvlText w:val="•"/>
      <w:lvlJc w:val="left"/>
      <w:pPr>
        <w:ind w:left="7093" w:hanging="720"/>
      </w:pPr>
      <w:rPr>
        <w:rFonts w:hint="default"/>
        <w:lang w:val="en-au" w:eastAsia="en-US" w:bidi="ar-SA"/>
      </w:rPr>
    </w:lvl>
    <w:lvl w:ilvl="6">
      <w:start w:val="0"/>
      <w:numFmt w:val="bullet"/>
      <w:lvlText w:val="•"/>
      <w:lvlJc w:val="left"/>
      <w:pPr>
        <w:ind w:left="7995" w:hanging="720"/>
      </w:pPr>
      <w:rPr>
        <w:rFonts w:hint="default"/>
        <w:lang w:val="en-au" w:eastAsia="en-US" w:bidi="ar-SA"/>
      </w:rPr>
    </w:lvl>
    <w:lvl w:ilvl="7">
      <w:start w:val="0"/>
      <w:numFmt w:val="bullet"/>
      <w:lvlText w:val="•"/>
      <w:lvlJc w:val="left"/>
      <w:pPr>
        <w:ind w:left="8898" w:hanging="720"/>
      </w:pPr>
      <w:rPr>
        <w:rFonts w:hint="default"/>
        <w:lang w:val="en-au" w:eastAsia="en-US" w:bidi="ar-SA"/>
      </w:rPr>
    </w:lvl>
    <w:lvl w:ilvl="8">
      <w:start w:val="0"/>
      <w:numFmt w:val="bullet"/>
      <w:lvlText w:val="•"/>
      <w:lvlJc w:val="left"/>
      <w:pPr>
        <w:ind w:left="9801" w:hanging="720"/>
      </w:pPr>
      <w:rPr>
        <w:rFonts w:hint="default"/>
        <w:lang w:val="en-au" w:eastAsia="en-US" w:bidi="ar-SA"/>
      </w:rPr>
    </w:lvl>
  </w:abstractNum>
  <w:abstractNum w:abstractNumId="160">
    <w:multiLevelType w:val="hybridMultilevel"/>
    <w:lvl w:ilvl="0">
      <w:start w:val="98"/>
      <w:numFmt w:val="decimal"/>
      <w:lvlText w:val="%1."/>
      <w:lvlJc w:val="left"/>
      <w:pPr>
        <w:ind w:left="258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3482" w:hanging="720"/>
      </w:pPr>
      <w:rPr>
        <w:rFonts w:hint="default"/>
        <w:lang w:val="en-au" w:eastAsia="en-US" w:bidi="ar-SA"/>
      </w:rPr>
    </w:lvl>
    <w:lvl w:ilvl="2">
      <w:start w:val="0"/>
      <w:numFmt w:val="bullet"/>
      <w:lvlText w:val="•"/>
      <w:lvlJc w:val="left"/>
      <w:pPr>
        <w:ind w:left="4385" w:hanging="720"/>
      </w:pPr>
      <w:rPr>
        <w:rFonts w:hint="default"/>
        <w:lang w:val="en-au" w:eastAsia="en-US" w:bidi="ar-SA"/>
      </w:rPr>
    </w:lvl>
    <w:lvl w:ilvl="3">
      <w:start w:val="0"/>
      <w:numFmt w:val="bullet"/>
      <w:lvlText w:val="•"/>
      <w:lvlJc w:val="left"/>
      <w:pPr>
        <w:ind w:left="5287" w:hanging="720"/>
      </w:pPr>
      <w:rPr>
        <w:rFonts w:hint="default"/>
        <w:lang w:val="en-au" w:eastAsia="en-US" w:bidi="ar-SA"/>
      </w:rPr>
    </w:lvl>
    <w:lvl w:ilvl="4">
      <w:start w:val="0"/>
      <w:numFmt w:val="bullet"/>
      <w:lvlText w:val="•"/>
      <w:lvlJc w:val="left"/>
      <w:pPr>
        <w:ind w:left="6190" w:hanging="720"/>
      </w:pPr>
      <w:rPr>
        <w:rFonts w:hint="default"/>
        <w:lang w:val="en-au" w:eastAsia="en-US" w:bidi="ar-SA"/>
      </w:rPr>
    </w:lvl>
    <w:lvl w:ilvl="5">
      <w:start w:val="0"/>
      <w:numFmt w:val="bullet"/>
      <w:lvlText w:val="•"/>
      <w:lvlJc w:val="left"/>
      <w:pPr>
        <w:ind w:left="7093" w:hanging="720"/>
      </w:pPr>
      <w:rPr>
        <w:rFonts w:hint="default"/>
        <w:lang w:val="en-au" w:eastAsia="en-US" w:bidi="ar-SA"/>
      </w:rPr>
    </w:lvl>
    <w:lvl w:ilvl="6">
      <w:start w:val="0"/>
      <w:numFmt w:val="bullet"/>
      <w:lvlText w:val="•"/>
      <w:lvlJc w:val="left"/>
      <w:pPr>
        <w:ind w:left="7995" w:hanging="720"/>
      </w:pPr>
      <w:rPr>
        <w:rFonts w:hint="default"/>
        <w:lang w:val="en-au" w:eastAsia="en-US" w:bidi="ar-SA"/>
      </w:rPr>
    </w:lvl>
    <w:lvl w:ilvl="7">
      <w:start w:val="0"/>
      <w:numFmt w:val="bullet"/>
      <w:lvlText w:val="•"/>
      <w:lvlJc w:val="left"/>
      <w:pPr>
        <w:ind w:left="8898" w:hanging="720"/>
      </w:pPr>
      <w:rPr>
        <w:rFonts w:hint="default"/>
        <w:lang w:val="en-au" w:eastAsia="en-US" w:bidi="ar-SA"/>
      </w:rPr>
    </w:lvl>
    <w:lvl w:ilvl="8">
      <w:start w:val="0"/>
      <w:numFmt w:val="bullet"/>
      <w:lvlText w:val="•"/>
      <w:lvlJc w:val="left"/>
      <w:pPr>
        <w:ind w:left="9801" w:hanging="720"/>
      </w:pPr>
      <w:rPr>
        <w:rFonts w:hint="default"/>
        <w:lang w:val="en-au" w:eastAsia="en-US" w:bidi="ar-SA"/>
      </w:rPr>
    </w:lvl>
  </w:abstractNum>
  <w:abstractNum w:abstractNumId="159">
    <w:multiLevelType w:val="hybridMultilevel"/>
    <w:lvl w:ilvl="0">
      <w:start w:val="98"/>
      <w:numFmt w:val="decimal"/>
      <w:lvlText w:val="%1."/>
      <w:lvlJc w:val="left"/>
      <w:pPr>
        <w:ind w:left="258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3482" w:hanging="720"/>
      </w:pPr>
      <w:rPr>
        <w:rFonts w:hint="default"/>
        <w:lang w:val="en-au" w:eastAsia="en-US" w:bidi="ar-SA"/>
      </w:rPr>
    </w:lvl>
    <w:lvl w:ilvl="2">
      <w:start w:val="0"/>
      <w:numFmt w:val="bullet"/>
      <w:lvlText w:val="•"/>
      <w:lvlJc w:val="left"/>
      <w:pPr>
        <w:ind w:left="4385" w:hanging="720"/>
      </w:pPr>
      <w:rPr>
        <w:rFonts w:hint="default"/>
        <w:lang w:val="en-au" w:eastAsia="en-US" w:bidi="ar-SA"/>
      </w:rPr>
    </w:lvl>
    <w:lvl w:ilvl="3">
      <w:start w:val="0"/>
      <w:numFmt w:val="bullet"/>
      <w:lvlText w:val="•"/>
      <w:lvlJc w:val="left"/>
      <w:pPr>
        <w:ind w:left="5287" w:hanging="720"/>
      </w:pPr>
      <w:rPr>
        <w:rFonts w:hint="default"/>
        <w:lang w:val="en-au" w:eastAsia="en-US" w:bidi="ar-SA"/>
      </w:rPr>
    </w:lvl>
    <w:lvl w:ilvl="4">
      <w:start w:val="0"/>
      <w:numFmt w:val="bullet"/>
      <w:lvlText w:val="•"/>
      <w:lvlJc w:val="left"/>
      <w:pPr>
        <w:ind w:left="6190" w:hanging="720"/>
      </w:pPr>
      <w:rPr>
        <w:rFonts w:hint="default"/>
        <w:lang w:val="en-au" w:eastAsia="en-US" w:bidi="ar-SA"/>
      </w:rPr>
    </w:lvl>
    <w:lvl w:ilvl="5">
      <w:start w:val="0"/>
      <w:numFmt w:val="bullet"/>
      <w:lvlText w:val="•"/>
      <w:lvlJc w:val="left"/>
      <w:pPr>
        <w:ind w:left="7093" w:hanging="720"/>
      </w:pPr>
      <w:rPr>
        <w:rFonts w:hint="default"/>
        <w:lang w:val="en-au" w:eastAsia="en-US" w:bidi="ar-SA"/>
      </w:rPr>
    </w:lvl>
    <w:lvl w:ilvl="6">
      <w:start w:val="0"/>
      <w:numFmt w:val="bullet"/>
      <w:lvlText w:val="•"/>
      <w:lvlJc w:val="left"/>
      <w:pPr>
        <w:ind w:left="7995" w:hanging="720"/>
      </w:pPr>
      <w:rPr>
        <w:rFonts w:hint="default"/>
        <w:lang w:val="en-au" w:eastAsia="en-US" w:bidi="ar-SA"/>
      </w:rPr>
    </w:lvl>
    <w:lvl w:ilvl="7">
      <w:start w:val="0"/>
      <w:numFmt w:val="bullet"/>
      <w:lvlText w:val="•"/>
      <w:lvlJc w:val="left"/>
      <w:pPr>
        <w:ind w:left="8898" w:hanging="720"/>
      </w:pPr>
      <w:rPr>
        <w:rFonts w:hint="default"/>
        <w:lang w:val="en-au" w:eastAsia="en-US" w:bidi="ar-SA"/>
      </w:rPr>
    </w:lvl>
    <w:lvl w:ilvl="8">
      <w:start w:val="0"/>
      <w:numFmt w:val="bullet"/>
      <w:lvlText w:val="•"/>
      <w:lvlJc w:val="left"/>
      <w:pPr>
        <w:ind w:left="9801" w:hanging="720"/>
      </w:pPr>
      <w:rPr>
        <w:rFonts w:hint="default"/>
        <w:lang w:val="en-au" w:eastAsia="en-US" w:bidi="ar-SA"/>
      </w:rPr>
    </w:lvl>
  </w:abstractNum>
  <w:abstractNum w:abstractNumId="158">
    <w:multiLevelType w:val="hybridMultilevel"/>
    <w:lvl w:ilvl="0">
      <w:start w:val="98"/>
      <w:numFmt w:val="decimal"/>
      <w:lvlText w:val="%1."/>
      <w:lvlJc w:val="left"/>
      <w:pPr>
        <w:ind w:left="258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3482" w:hanging="720"/>
      </w:pPr>
      <w:rPr>
        <w:rFonts w:hint="default"/>
        <w:lang w:val="en-au" w:eastAsia="en-US" w:bidi="ar-SA"/>
      </w:rPr>
    </w:lvl>
    <w:lvl w:ilvl="2">
      <w:start w:val="0"/>
      <w:numFmt w:val="bullet"/>
      <w:lvlText w:val="•"/>
      <w:lvlJc w:val="left"/>
      <w:pPr>
        <w:ind w:left="4385" w:hanging="720"/>
      </w:pPr>
      <w:rPr>
        <w:rFonts w:hint="default"/>
        <w:lang w:val="en-au" w:eastAsia="en-US" w:bidi="ar-SA"/>
      </w:rPr>
    </w:lvl>
    <w:lvl w:ilvl="3">
      <w:start w:val="0"/>
      <w:numFmt w:val="bullet"/>
      <w:lvlText w:val="•"/>
      <w:lvlJc w:val="left"/>
      <w:pPr>
        <w:ind w:left="5287" w:hanging="720"/>
      </w:pPr>
      <w:rPr>
        <w:rFonts w:hint="default"/>
        <w:lang w:val="en-au" w:eastAsia="en-US" w:bidi="ar-SA"/>
      </w:rPr>
    </w:lvl>
    <w:lvl w:ilvl="4">
      <w:start w:val="0"/>
      <w:numFmt w:val="bullet"/>
      <w:lvlText w:val="•"/>
      <w:lvlJc w:val="left"/>
      <w:pPr>
        <w:ind w:left="6190" w:hanging="720"/>
      </w:pPr>
      <w:rPr>
        <w:rFonts w:hint="default"/>
        <w:lang w:val="en-au" w:eastAsia="en-US" w:bidi="ar-SA"/>
      </w:rPr>
    </w:lvl>
    <w:lvl w:ilvl="5">
      <w:start w:val="0"/>
      <w:numFmt w:val="bullet"/>
      <w:lvlText w:val="•"/>
      <w:lvlJc w:val="left"/>
      <w:pPr>
        <w:ind w:left="7093" w:hanging="720"/>
      </w:pPr>
      <w:rPr>
        <w:rFonts w:hint="default"/>
        <w:lang w:val="en-au" w:eastAsia="en-US" w:bidi="ar-SA"/>
      </w:rPr>
    </w:lvl>
    <w:lvl w:ilvl="6">
      <w:start w:val="0"/>
      <w:numFmt w:val="bullet"/>
      <w:lvlText w:val="•"/>
      <w:lvlJc w:val="left"/>
      <w:pPr>
        <w:ind w:left="7995" w:hanging="720"/>
      </w:pPr>
      <w:rPr>
        <w:rFonts w:hint="default"/>
        <w:lang w:val="en-au" w:eastAsia="en-US" w:bidi="ar-SA"/>
      </w:rPr>
    </w:lvl>
    <w:lvl w:ilvl="7">
      <w:start w:val="0"/>
      <w:numFmt w:val="bullet"/>
      <w:lvlText w:val="•"/>
      <w:lvlJc w:val="left"/>
      <w:pPr>
        <w:ind w:left="8898" w:hanging="720"/>
      </w:pPr>
      <w:rPr>
        <w:rFonts w:hint="default"/>
        <w:lang w:val="en-au" w:eastAsia="en-US" w:bidi="ar-SA"/>
      </w:rPr>
    </w:lvl>
    <w:lvl w:ilvl="8">
      <w:start w:val="0"/>
      <w:numFmt w:val="bullet"/>
      <w:lvlText w:val="•"/>
      <w:lvlJc w:val="left"/>
      <w:pPr>
        <w:ind w:left="9801" w:hanging="720"/>
      </w:pPr>
      <w:rPr>
        <w:rFonts w:hint="default"/>
        <w:lang w:val="en-au" w:eastAsia="en-US" w:bidi="ar-SA"/>
      </w:rPr>
    </w:lvl>
  </w:abstractNum>
  <w:abstractNum w:abstractNumId="157">
    <w:multiLevelType w:val="hybridMultilevel"/>
    <w:lvl w:ilvl="0">
      <w:start w:val="98"/>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1"/>
      <w:numFmt w:val="lowerLetter"/>
      <w:lvlText w:val="%2."/>
      <w:lvlJc w:val="left"/>
      <w:pPr>
        <w:ind w:left="1838" w:hanging="699"/>
        <w:jc w:val="right"/>
      </w:pPr>
      <w:rPr>
        <w:rFonts w:hint="default" w:ascii="Century Gothic" w:hAnsi="Century Gothic" w:eastAsia="Century Gothic" w:cs="Century Gothic"/>
        <w:b w:val="0"/>
        <w:bCs w:val="0"/>
        <w:i w:val="0"/>
        <w:iCs w:val="0"/>
        <w:spacing w:val="-1"/>
        <w:w w:val="100"/>
        <w:sz w:val="18"/>
        <w:szCs w:val="18"/>
        <w:lang w:val="en-au" w:eastAsia="en-US" w:bidi="ar-SA"/>
      </w:rPr>
    </w:lvl>
    <w:lvl w:ilvl="2">
      <w:start w:val="1"/>
      <w:numFmt w:val="decimal"/>
      <w:lvlText w:val="%3."/>
      <w:lvlJc w:val="left"/>
      <w:pPr>
        <w:ind w:left="258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3">
      <w:start w:val="0"/>
      <w:numFmt w:val="bullet"/>
      <w:lvlText w:val="•"/>
      <w:lvlJc w:val="left"/>
      <w:pPr>
        <w:ind w:left="3708" w:hanging="720"/>
      </w:pPr>
      <w:rPr>
        <w:rFonts w:hint="default"/>
        <w:lang w:val="en-au" w:eastAsia="en-US" w:bidi="ar-SA"/>
      </w:rPr>
    </w:lvl>
    <w:lvl w:ilvl="4">
      <w:start w:val="0"/>
      <w:numFmt w:val="bullet"/>
      <w:lvlText w:val="•"/>
      <w:lvlJc w:val="left"/>
      <w:pPr>
        <w:ind w:left="4836" w:hanging="720"/>
      </w:pPr>
      <w:rPr>
        <w:rFonts w:hint="default"/>
        <w:lang w:val="en-au" w:eastAsia="en-US" w:bidi="ar-SA"/>
      </w:rPr>
    </w:lvl>
    <w:lvl w:ilvl="5">
      <w:start w:val="0"/>
      <w:numFmt w:val="bullet"/>
      <w:lvlText w:val="•"/>
      <w:lvlJc w:val="left"/>
      <w:pPr>
        <w:ind w:left="5964" w:hanging="720"/>
      </w:pPr>
      <w:rPr>
        <w:rFonts w:hint="default"/>
        <w:lang w:val="en-au" w:eastAsia="en-US" w:bidi="ar-SA"/>
      </w:rPr>
    </w:lvl>
    <w:lvl w:ilvl="6">
      <w:start w:val="0"/>
      <w:numFmt w:val="bullet"/>
      <w:lvlText w:val="•"/>
      <w:lvlJc w:val="left"/>
      <w:pPr>
        <w:ind w:left="7093" w:hanging="720"/>
      </w:pPr>
      <w:rPr>
        <w:rFonts w:hint="default"/>
        <w:lang w:val="en-au" w:eastAsia="en-US" w:bidi="ar-SA"/>
      </w:rPr>
    </w:lvl>
    <w:lvl w:ilvl="7">
      <w:start w:val="0"/>
      <w:numFmt w:val="bullet"/>
      <w:lvlText w:val="•"/>
      <w:lvlJc w:val="left"/>
      <w:pPr>
        <w:ind w:left="8221" w:hanging="720"/>
      </w:pPr>
      <w:rPr>
        <w:rFonts w:hint="default"/>
        <w:lang w:val="en-au" w:eastAsia="en-US" w:bidi="ar-SA"/>
      </w:rPr>
    </w:lvl>
    <w:lvl w:ilvl="8">
      <w:start w:val="0"/>
      <w:numFmt w:val="bullet"/>
      <w:lvlText w:val="•"/>
      <w:lvlJc w:val="left"/>
      <w:pPr>
        <w:ind w:left="9349" w:hanging="720"/>
      </w:pPr>
      <w:rPr>
        <w:rFonts w:hint="default"/>
        <w:lang w:val="en-au" w:eastAsia="en-US" w:bidi="ar-SA"/>
      </w:rPr>
    </w:lvl>
  </w:abstractNum>
  <w:abstractNum w:abstractNumId="156">
    <w:multiLevelType w:val="hybridMultilevel"/>
    <w:lvl w:ilvl="0">
      <w:start w:val="98"/>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55">
    <w:multiLevelType w:val="hybridMultilevel"/>
    <w:lvl w:ilvl="0">
      <w:start w:val="1"/>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54">
    <w:multiLevelType w:val="hybridMultilevel"/>
    <w:lvl w:ilvl="0">
      <w:start w:val="98"/>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53">
    <w:multiLevelType w:val="hybridMultilevel"/>
    <w:lvl w:ilvl="0">
      <w:start w:val="1"/>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52">
    <w:multiLevelType w:val="hybridMultilevel"/>
    <w:lvl w:ilvl="0">
      <w:start w:val="98"/>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51">
    <w:multiLevelType w:val="hybridMultilevel"/>
    <w:lvl w:ilvl="0">
      <w:start w:val="1"/>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50">
    <w:multiLevelType w:val="hybridMultilevel"/>
    <w:lvl w:ilvl="0">
      <w:start w:val="98"/>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49">
    <w:multiLevelType w:val="hybridMultilevel"/>
    <w:lvl w:ilvl="0">
      <w:start w:val="1"/>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48">
    <w:multiLevelType w:val="hybridMultilevel"/>
    <w:lvl w:ilvl="0">
      <w:start w:val="98"/>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47">
    <w:multiLevelType w:val="hybridMultilevel"/>
    <w:lvl w:ilvl="0">
      <w:start w:val="1"/>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46">
    <w:multiLevelType w:val="hybridMultilevel"/>
    <w:lvl w:ilvl="0">
      <w:start w:val="98"/>
      <w:numFmt w:val="decimal"/>
      <w:lvlText w:val="%1."/>
      <w:lvlJc w:val="left"/>
      <w:pPr>
        <w:ind w:left="1543"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430" w:hanging="720"/>
      </w:pPr>
      <w:rPr>
        <w:rFonts w:hint="default"/>
        <w:lang w:val="en-au" w:eastAsia="en-US" w:bidi="ar-SA"/>
      </w:rPr>
    </w:lvl>
    <w:lvl w:ilvl="2">
      <w:start w:val="0"/>
      <w:numFmt w:val="bullet"/>
      <w:lvlText w:val="•"/>
      <w:lvlJc w:val="left"/>
      <w:pPr>
        <w:ind w:left="3321" w:hanging="720"/>
      </w:pPr>
      <w:rPr>
        <w:rFonts w:hint="default"/>
        <w:lang w:val="en-au" w:eastAsia="en-US" w:bidi="ar-SA"/>
      </w:rPr>
    </w:lvl>
    <w:lvl w:ilvl="3">
      <w:start w:val="0"/>
      <w:numFmt w:val="bullet"/>
      <w:lvlText w:val="•"/>
      <w:lvlJc w:val="left"/>
      <w:pPr>
        <w:ind w:left="4212" w:hanging="720"/>
      </w:pPr>
      <w:rPr>
        <w:rFonts w:hint="default"/>
        <w:lang w:val="en-au" w:eastAsia="en-US" w:bidi="ar-SA"/>
      </w:rPr>
    </w:lvl>
    <w:lvl w:ilvl="4">
      <w:start w:val="0"/>
      <w:numFmt w:val="bullet"/>
      <w:lvlText w:val="•"/>
      <w:lvlJc w:val="left"/>
      <w:pPr>
        <w:ind w:left="5103" w:hanging="720"/>
      </w:pPr>
      <w:rPr>
        <w:rFonts w:hint="default"/>
        <w:lang w:val="en-au" w:eastAsia="en-US" w:bidi="ar-SA"/>
      </w:rPr>
    </w:lvl>
    <w:lvl w:ilvl="5">
      <w:start w:val="0"/>
      <w:numFmt w:val="bullet"/>
      <w:lvlText w:val="•"/>
      <w:lvlJc w:val="left"/>
      <w:pPr>
        <w:ind w:left="5994" w:hanging="720"/>
      </w:pPr>
      <w:rPr>
        <w:rFonts w:hint="default"/>
        <w:lang w:val="en-au" w:eastAsia="en-US" w:bidi="ar-SA"/>
      </w:rPr>
    </w:lvl>
    <w:lvl w:ilvl="6">
      <w:start w:val="0"/>
      <w:numFmt w:val="bullet"/>
      <w:lvlText w:val="•"/>
      <w:lvlJc w:val="left"/>
      <w:pPr>
        <w:ind w:left="6885" w:hanging="720"/>
      </w:pPr>
      <w:rPr>
        <w:rFonts w:hint="default"/>
        <w:lang w:val="en-au" w:eastAsia="en-US" w:bidi="ar-SA"/>
      </w:rPr>
    </w:lvl>
    <w:lvl w:ilvl="7">
      <w:start w:val="0"/>
      <w:numFmt w:val="bullet"/>
      <w:lvlText w:val="•"/>
      <w:lvlJc w:val="left"/>
      <w:pPr>
        <w:ind w:left="7776" w:hanging="720"/>
      </w:pPr>
      <w:rPr>
        <w:rFonts w:hint="default"/>
        <w:lang w:val="en-au" w:eastAsia="en-US" w:bidi="ar-SA"/>
      </w:rPr>
    </w:lvl>
    <w:lvl w:ilvl="8">
      <w:start w:val="0"/>
      <w:numFmt w:val="bullet"/>
      <w:lvlText w:val="•"/>
      <w:lvlJc w:val="left"/>
      <w:pPr>
        <w:ind w:left="8667" w:hanging="720"/>
      </w:pPr>
      <w:rPr>
        <w:rFonts w:hint="default"/>
        <w:lang w:val="en-au" w:eastAsia="en-US" w:bidi="ar-SA"/>
      </w:rPr>
    </w:lvl>
  </w:abstractNum>
  <w:abstractNum w:abstractNumId="145">
    <w:multiLevelType w:val="hybridMultilevel"/>
    <w:lvl w:ilvl="0">
      <w:start w:val="1"/>
      <w:numFmt w:val="decimal"/>
      <w:lvlText w:val="%1."/>
      <w:lvlJc w:val="left"/>
      <w:pPr>
        <w:ind w:left="1543"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430" w:hanging="720"/>
      </w:pPr>
      <w:rPr>
        <w:rFonts w:hint="default"/>
        <w:lang w:val="en-au" w:eastAsia="en-US" w:bidi="ar-SA"/>
      </w:rPr>
    </w:lvl>
    <w:lvl w:ilvl="2">
      <w:start w:val="0"/>
      <w:numFmt w:val="bullet"/>
      <w:lvlText w:val="•"/>
      <w:lvlJc w:val="left"/>
      <w:pPr>
        <w:ind w:left="3321" w:hanging="720"/>
      </w:pPr>
      <w:rPr>
        <w:rFonts w:hint="default"/>
        <w:lang w:val="en-au" w:eastAsia="en-US" w:bidi="ar-SA"/>
      </w:rPr>
    </w:lvl>
    <w:lvl w:ilvl="3">
      <w:start w:val="0"/>
      <w:numFmt w:val="bullet"/>
      <w:lvlText w:val="•"/>
      <w:lvlJc w:val="left"/>
      <w:pPr>
        <w:ind w:left="4212" w:hanging="720"/>
      </w:pPr>
      <w:rPr>
        <w:rFonts w:hint="default"/>
        <w:lang w:val="en-au" w:eastAsia="en-US" w:bidi="ar-SA"/>
      </w:rPr>
    </w:lvl>
    <w:lvl w:ilvl="4">
      <w:start w:val="0"/>
      <w:numFmt w:val="bullet"/>
      <w:lvlText w:val="•"/>
      <w:lvlJc w:val="left"/>
      <w:pPr>
        <w:ind w:left="5103" w:hanging="720"/>
      </w:pPr>
      <w:rPr>
        <w:rFonts w:hint="default"/>
        <w:lang w:val="en-au" w:eastAsia="en-US" w:bidi="ar-SA"/>
      </w:rPr>
    </w:lvl>
    <w:lvl w:ilvl="5">
      <w:start w:val="0"/>
      <w:numFmt w:val="bullet"/>
      <w:lvlText w:val="•"/>
      <w:lvlJc w:val="left"/>
      <w:pPr>
        <w:ind w:left="5994" w:hanging="720"/>
      </w:pPr>
      <w:rPr>
        <w:rFonts w:hint="default"/>
        <w:lang w:val="en-au" w:eastAsia="en-US" w:bidi="ar-SA"/>
      </w:rPr>
    </w:lvl>
    <w:lvl w:ilvl="6">
      <w:start w:val="0"/>
      <w:numFmt w:val="bullet"/>
      <w:lvlText w:val="•"/>
      <w:lvlJc w:val="left"/>
      <w:pPr>
        <w:ind w:left="6885" w:hanging="720"/>
      </w:pPr>
      <w:rPr>
        <w:rFonts w:hint="default"/>
        <w:lang w:val="en-au" w:eastAsia="en-US" w:bidi="ar-SA"/>
      </w:rPr>
    </w:lvl>
    <w:lvl w:ilvl="7">
      <w:start w:val="0"/>
      <w:numFmt w:val="bullet"/>
      <w:lvlText w:val="•"/>
      <w:lvlJc w:val="left"/>
      <w:pPr>
        <w:ind w:left="7776" w:hanging="720"/>
      </w:pPr>
      <w:rPr>
        <w:rFonts w:hint="default"/>
        <w:lang w:val="en-au" w:eastAsia="en-US" w:bidi="ar-SA"/>
      </w:rPr>
    </w:lvl>
    <w:lvl w:ilvl="8">
      <w:start w:val="0"/>
      <w:numFmt w:val="bullet"/>
      <w:lvlText w:val="•"/>
      <w:lvlJc w:val="left"/>
      <w:pPr>
        <w:ind w:left="8667" w:hanging="720"/>
      </w:pPr>
      <w:rPr>
        <w:rFonts w:hint="default"/>
        <w:lang w:val="en-au" w:eastAsia="en-US" w:bidi="ar-SA"/>
      </w:rPr>
    </w:lvl>
  </w:abstractNum>
  <w:abstractNum w:abstractNumId="144">
    <w:multiLevelType w:val="hybridMultilevel"/>
    <w:lvl w:ilvl="0">
      <w:start w:val="98"/>
      <w:numFmt w:val="decimal"/>
      <w:lvlText w:val="%1."/>
      <w:lvlJc w:val="left"/>
      <w:pPr>
        <w:ind w:left="144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289" w:hanging="720"/>
      </w:pPr>
      <w:rPr>
        <w:rFonts w:hint="default"/>
        <w:lang w:val="en-au" w:eastAsia="en-US" w:bidi="ar-SA"/>
      </w:rPr>
    </w:lvl>
    <w:lvl w:ilvl="2">
      <w:start w:val="0"/>
      <w:numFmt w:val="bullet"/>
      <w:lvlText w:val="•"/>
      <w:lvlJc w:val="left"/>
      <w:pPr>
        <w:ind w:left="3138" w:hanging="720"/>
      </w:pPr>
      <w:rPr>
        <w:rFonts w:hint="default"/>
        <w:lang w:val="en-au" w:eastAsia="en-US" w:bidi="ar-SA"/>
      </w:rPr>
    </w:lvl>
    <w:lvl w:ilvl="3">
      <w:start w:val="0"/>
      <w:numFmt w:val="bullet"/>
      <w:lvlText w:val="•"/>
      <w:lvlJc w:val="left"/>
      <w:pPr>
        <w:ind w:left="3987" w:hanging="720"/>
      </w:pPr>
      <w:rPr>
        <w:rFonts w:hint="default"/>
        <w:lang w:val="en-au" w:eastAsia="en-US" w:bidi="ar-SA"/>
      </w:rPr>
    </w:lvl>
    <w:lvl w:ilvl="4">
      <w:start w:val="0"/>
      <w:numFmt w:val="bullet"/>
      <w:lvlText w:val="•"/>
      <w:lvlJc w:val="left"/>
      <w:pPr>
        <w:ind w:left="4837" w:hanging="720"/>
      </w:pPr>
      <w:rPr>
        <w:rFonts w:hint="default"/>
        <w:lang w:val="en-au" w:eastAsia="en-US" w:bidi="ar-SA"/>
      </w:rPr>
    </w:lvl>
    <w:lvl w:ilvl="5">
      <w:start w:val="0"/>
      <w:numFmt w:val="bullet"/>
      <w:lvlText w:val="•"/>
      <w:lvlJc w:val="left"/>
      <w:pPr>
        <w:ind w:left="5686" w:hanging="720"/>
      </w:pPr>
      <w:rPr>
        <w:rFonts w:hint="default"/>
        <w:lang w:val="en-au" w:eastAsia="en-US" w:bidi="ar-SA"/>
      </w:rPr>
    </w:lvl>
    <w:lvl w:ilvl="6">
      <w:start w:val="0"/>
      <w:numFmt w:val="bullet"/>
      <w:lvlText w:val="•"/>
      <w:lvlJc w:val="left"/>
      <w:pPr>
        <w:ind w:left="6535" w:hanging="720"/>
      </w:pPr>
      <w:rPr>
        <w:rFonts w:hint="default"/>
        <w:lang w:val="en-au" w:eastAsia="en-US" w:bidi="ar-SA"/>
      </w:rPr>
    </w:lvl>
    <w:lvl w:ilvl="7">
      <w:start w:val="0"/>
      <w:numFmt w:val="bullet"/>
      <w:lvlText w:val="•"/>
      <w:lvlJc w:val="left"/>
      <w:pPr>
        <w:ind w:left="7385" w:hanging="720"/>
      </w:pPr>
      <w:rPr>
        <w:rFonts w:hint="default"/>
        <w:lang w:val="en-au" w:eastAsia="en-US" w:bidi="ar-SA"/>
      </w:rPr>
    </w:lvl>
    <w:lvl w:ilvl="8">
      <w:start w:val="0"/>
      <w:numFmt w:val="bullet"/>
      <w:lvlText w:val="•"/>
      <w:lvlJc w:val="left"/>
      <w:pPr>
        <w:ind w:left="8234" w:hanging="720"/>
      </w:pPr>
      <w:rPr>
        <w:rFonts w:hint="default"/>
        <w:lang w:val="en-au" w:eastAsia="en-US" w:bidi="ar-SA"/>
      </w:rPr>
    </w:lvl>
  </w:abstractNum>
  <w:abstractNum w:abstractNumId="143">
    <w:multiLevelType w:val="hybridMultilevel"/>
    <w:lvl w:ilvl="0">
      <w:start w:val="1"/>
      <w:numFmt w:val="decimal"/>
      <w:lvlText w:val="%1."/>
      <w:lvlJc w:val="left"/>
      <w:pPr>
        <w:ind w:left="144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289" w:hanging="720"/>
      </w:pPr>
      <w:rPr>
        <w:rFonts w:hint="default"/>
        <w:lang w:val="en-au" w:eastAsia="en-US" w:bidi="ar-SA"/>
      </w:rPr>
    </w:lvl>
    <w:lvl w:ilvl="2">
      <w:start w:val="0"/>
      <w:numFmt w:val="bullet"/>
      <w:lvlText w:val="•"/>
      <w:lvlJc w:val="left"/>
      <w:pPr>
        <w:ind w:left="3138" w:hanging="720"/>
      </w:pPr>
      <w:rPr>
        <w:rFonts w:hint="default"/>
        <w:lang w:val="en-au" w:eastAsia="en-US" w:bidi="ar-SA"/>
      </w:rPr>
    </w:lvl>
    <w:lvl w:ilvl="3">
      <w:start w:val="0"/>
      <w:numFmt w:val="bullet"/>
      <w:lvlText w:val="•"/>
      <w:lvlJc w:val="left"/>
      <w:pPr>
        <w:ind w:left="3987" w:hanging="720"/>
      </w:pPr>
      <w:rPr>
        <w:rFonts w:hint="default"/>
        <w:lang w:val="en-au" w:eastAsia="en-US" w:bidi="ar-SA"/>
      </w:rPr>
    </w:lvl>
    <w:lvl w:ilvl="4">
      <w:start w:val="0"/>
      <w:numFmt w:val="bullet"/>
      <w:lvlText w:val="•"/>
      <w:lvlJc w:val="left"/>
      <w:pPr>
        <w:ind w:left="4837" w:hanging="720"/>
      </w:pPr>
      <w:rPr>
        <w:rFonts w:hint="default"/>
        <w:lang w:val="en-au" w:eastAsia="en-US" w:bidi="ar-SA"/>
      </w:rPr>
    </w:lvl>
    <w:lvl w:ilvl="5">
      <w:start w:val="0"/>
      <w:numFmt w:val="bullet"/>
      <w:lvlText w:val="•"/>
      <w:lvlJc w:val="left"/>
      <w:pPr>
        <w:ind w:left="5686" w:hanging="720"/>
      </w:pPr>
      <w:rPr>
        <w:rFonts w:hint="default"/>
        <w:lang w:val="en-au" w:eastAsia="en-US" w:bidi="ar-SA"/>
      </w:rPr>
    </w:lvl>
    <w:lvl w:ilvl="6">
      <w:start w:val="0"/>
      <w:numFmt w:val="bullet"/>
      <w:lvlText w:val="•"/>
      <w:lvlJc w:val="left"/>
      <w:pPr>
        <w:ind w:left="6535" w:hanging="720"/>
      </w:pPr>
      <w:rPr>
        <w:rFonts w:hint="default"/>
        <w:lang w:val="en-au" w:eastAsia="en-US" w:bidi="ar-SA"/>
      </w:rPr>
    </w:lvl>
    <w:lvl w:ilvl="7">
      <w:start w:val="0"/>
      <w:numFmt w:val="bullet"/>
      <w:lvlText w:val="•"/>
      <w:lvlJc w:val="left"/>
      <w:pPr>
        <w:ind w:left="7385" w:hanging="720"/>
      </w:pPr>
      <w:rPr>
        <w:rFonts w:hint="default"/>
        <w:lang w:val="en-au" w:eastAsia="en-US" w:bidi="ar-SA"/>
      </w:rPr>
    </w:lvl>
    <w:lvl w:ilvl="8">
      <w:start w:val="0"/>
      <w:numFmt w:val="bullet"/>
      <w:lvlText w:val="•"/>
      <w:lvlJc w:val="left"/>
      <w:pPr>
        <w:ind w:left="8234" w:hanging="720"/>
      </w:pPr>
      <w:rPr>
        <w:rFonts w:hint="default"/>
        <w:lang w:val="en-au" w:eastAsia="en-US" w:bidi="ar-SA"/>
      </w:rPr>
    </w:lvl>
  </w:abstractNum>
  <w:abstractNum w:abstractNumId="142">
    <w:multiLevelType w:val="hybridMultilevel"/>
    <w:lvl w:ilvl="0">
      <w:start w:val="98"/>
      <w:numFmt w:val="decimal"/>
      <w:lvlText w:val="%1."/>
      <w:lvlJc w:val="left"/>
      <w:pPr>
        <w:ind w:left="144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289" w:hanging="720"/>
      </w:pPr>
      <w:rPr>
        <w:rFonts w:hint="default"/>
        <w:lang w:val="en-au" w:eastAsia="en-US" w:bidi="ar-SA"/>
      </w:rPr>
    </w:lvl>
    <w:lvl w:ilvl="2">
      <w:start w:val="0"/>
      <w:numFmt w:val="bullet"/>
      <w:lvlText w:val="•"/>
      <w:lvlJc w:val="left"/>
      <w:pPr>
        <w:ind w:left="3138" w:hanging="720"/>
      </w:pPr>
      <w:rPr>
        <w:rFonts w:hint="default"/>
        <w:lang w:val="en-au" w:eastAsia="en-US" w:bidi="ar-SA"/>
      </w:rPr>
    </w:lvl>
    <w:lvl w:ilvl="3">
      <w:start w:val="0"/>
      <w:numFmt w:val="bullet"/>
      <w:lvlText w:val="•"/>
      <w:lvlJc w:val="left"/>
      <w:pPr>
        <w:ind w:left="3987" w:hanging="720"/>
      </w:pPr>
      <w:rPr>
        <w:rFonts w:hint="default"/>
        <w:lang w:val="en-au" w:eastAsia="en-US" w:bidi="ar-SA"/>
      </w:rPr>
    </w:lvl>
    <w:lvl w:ilvl="4">
      <w:start w:val="0"/>
      <w:numFmt w:val="bullet"/>
      <w:lvlText w:val="•"/>
      <w:lvlJc w:val="left"/>
      <w:pPr>
        <w:ind w:left="4837" w:hanging="720"/>
      </w:pPr>
      <w:rPr>
        <w:rFonts w:hint="default"/>
        <w:lang w:val="en-au" w:eastAsia="en-US" w:bidi="ar-SA"/>
      </w:rPr>
    </w:lvl>
    <w:lvl w:ilvl="5">
      <w:start w:val="0"/>
      <w:numFmt w:val="bullet"/>
      <w:lvlText w:val="•"/>
      <w:lvlJc w:val="left"/>
      <w:pPr>
        <w:ind w:left="5686" w:hanging="720"/>
      </w:pPr>
      <w:rPr>
        <w:rFonts w:hint="default"/>
        <w:lang w:val="en-au" w:eastAsia="en-US" w:bidi="ar-SA"/>
      </w:rPr>
    </w:lvl>
    <w:lvl w:ilvl="6">
      <w:start w:val="0"/>
      <w:numFmt w:val="bullet"/>
      <w:lvlText w:val="•"/>
      <w:lvlJc w:val="left"/>
      <w:pPr>
        <w:ind w:left="6535" w:hanging="720"/>
      </w:pPr>
      <w:rPr>
        <w:rFonts w:hint="default"/>
        <w:lang w:val="en-au" w:eastAsia="en-US" w:bidi="ar-SA"/>
      </w:rPr>
    </w:lvl>
    <w:lvl w:ilvl="7">
      <w:start w:val="0"/>
      <w:numFmt w:val="bullet"/>
      <w:lvlText w:val="•"/>
      <w:lvlJc w:val="left"/>
      <w:pPr>
        <w:ind w:left="7385" w:hanging="720"/>
      </w:pPr>
      <w:rPr>
        <w:rFonts w:hint="default"/>
        <w:lang w:val="en-au" w:eastAsia="en-US" w:bidi="ar-SA"/>
      </w:rPr>
    </w:lvl>
    <w:lvl w:ilvl="8">
      <w:start w:val="0"/>
      <w:numFmt w:val="bullet"/>
      <w:lvlText w:val="•"/>
      <w:lvlJc w:val="left"/>
      <w:pPr>
        <w:ind w:left="8234" w:hanging="720"/>
      </w:pPr>
      <w:rPr>
        <w:rFonts w:hint="default"/>
        <w:lang w:val="en-au" w:eastAsia="en-US" w:bidi="ar-SA"/>
      </w:rPr>
    </w:lvl>
  </w:abstractNum>
  <w:abstractNum w:abstractNumId="141">
    <w:multiLevelType w:val="hybridMultilevel"/>
    <w:lvl w:ilvl="0">
      <w:start w:val="1"/>
      <w:numFmt w:val="decimal"/>
      <w:lvlText w:val="%1."/>
      <w:lvlJc w:val="left"/>
      <w:pPr>
        <w:ind w:left="144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289" w:hanging="720"/>
      </w:pPr>
      <w:rPr>
        <w:rFonts w:hint="default"/>
        <w:lang w:val="en-au" w:eastAsia="en-US" w:bidi="ar-SA"/>
      </w:rPr>
    </w:lvl>
    <w:lvl w:ilvl="2">
      <w:start w:val="0"/>
      <w:numFmt w:val="bullet"/>
      <w:lvlText w:val="•"/>
      <w:lvlJc w:val="left"/>
      <w:pPr>
        <w:ind w:left="3138" w:hanging="720"/>
      </w:pPr>
      <w:rPr>
        <w:rFonts w:hint="default"/>
        <w:lang w:val="en-au" w:eastAsia="en-US" w:bidi="ar-SA"/>
      </w:rPr>
    </w:lvl>
    <w:lvl w:ilvl="3">
      <w:start w:val="0"/>
      <w:numFmt w:val="bullet"/>
      <w:lvlText w:val="•"/>
      <w:lvlJc w:val="left"/>
      <w:pPr>
        <w:ind w:left="3987" w:hanging="720"/>
      </w:pPr>
      <w:rPr>
        <w:rFonts w:hint="default"/>
        <w:lang w:val="en-au" w:eastAsia="en-US" w:bidi="ar-SA"/>
      </w:rPr>
    </w:lvl>
    <w:lvl w:ilvl="4">
      <w:start w:val="0"/>
      <w:numFmt w:val="bullet"/>
      <w:lvlText w:val="•"/>
      <w:lvlJc w:val="left"/>
      <w:pPr>
        <w:ind w:left="4837" w:hanging="720"/>
      </w:pPr>
      <w:rPr>
        <w:rFonts w:hint="default"/>
        <w:lang w:val="en-au" w:eastAsia="en-US" w:bidi="ar-SA"/>
      </w:rPr>
    </w:lvl>
    <w:lvl w:ilvl="5">
      <w:start w:val="0"/>
      <w:numFmt w:val="bullet"/>
      <w:lvlText w:val="•"/>
      <w:lvlJc w:val="left"/>
      <w:pPr>
        <w:ind w:left="5686" w:hanging="720"/>
      </w:pPr>
      <w:rPr>
        <w:rFonts w:hint="default"/>
        <w:lang w:val="en-au" w:eastAsia="en-US" w:bidi="ar-SA"/>
      </w:rPr>
    </w:lvl>
    <w:lvl w:ilvl="6">
      <w:start w:val="0"/>
      <w:numFmt w:val="bullet"/>
      <w:lvlText w:val="•"/>
      <w:lvlJc w:val="left"/>
      <w:pPr>
        <w:ind w:left="6535" w:hanging="720"/>
      </w:pPr>
      <w:rPr>
        <w:rFonts w:hint="default"/>
        <w:lang w:val="en-au" w:eastAsia="en-US" w:bidi="ar-SA"/>
      </w:rPr>
    </w:lvl>
    <w:lvl w:ilvl="7">
      <w:start w:val="0"/>
      <w:numFmt w:val="bullet"/>
      <w:lvlText w:val="•"/>
      <w:lvlJc w:val="left"/>
      <w:pPr>
        <w:ind w:left="7385" w:hanging="720"/>
      </w:pPr>
      <w:rPr>
        <w:rFonts w:hint="default"/>
        <w:lang w:val="en-au" w:eastAsia="en-US" w:bidi="ar-SA"/>
      </w:rPr>
    </w:lvl>
    <w:lvl w:ilvl="8">
      <w:start w:val="0"/>
      <w:numFmt w:val="bullet"/>
      <w:lvlText w:val="•"/>
      <w:lvlJc w:val="left"/>
      <w:pPr>
        <w:ind w:left="8234" w:hanging="720"/>
      </w:pPr>
      <w:rPr>
        <w:rFonts w:hint="default"/>
        <w:lang w:val="en-au" w:eastAsia="en-US" w:bidi="ar-SA"/>
      </w:rPr>
    </w:lvl>
  </w:abstractNum>
  <w:abstractNum w:abstractNumId="140">
    <w:multiLevelType w:val="hybridMultilevel"/>
    <w:lvl w:ilvl="0">
      <w:start w:val="97"/>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39">
    <w:multiLevelType w:val="hybridMultilevel"/>
    <w:lvl w:ilvl="0">
      <w:start w:val="1"/>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38">
    <w:multiLevelType w:val="hybridMultilevel"/>
    <w:lvl w:ilvl="0">
      <w:start w:val="98"/>
      <w:numFmt w:val="decimal"/>
      <w:lvlText w:val="%1."/>
      <w:lvlJc w:val="left"/>
      <w:pPr>
        <w:ind w:left="258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3482" w:hanging="720"/>
      </w:pPr>
      <w:rPr>
        <w:rFonts w:hint="default"/>
        <w:lang w:val="en-au" w:eastAsia="en-US" w:bidi="ar-SA"/>
      </w:rPr>
    </w:lvl>
    <w:lvl w:ilvl="2">
      <w:start w:val="0"/>
      <w:numFmt w:val="bullet"/>
      <w:lvlText w:val="•"/>
      <w:lvlJc w:val="left"/>
      <w:pPr>
        <w:ind w:left="4385" w:hanging="720"/>
      </w:pPr>
      <w:rPr>
        <w:rFonts w:hint="default"/>
        <w:lang w:val="en-au" w:eastAsia="en-US" w:bidi="ar-SA"/>
      </w:rPr>
    </w:lvl>
    <w:lvl w:ilvl="3">
      <w:start w:val="0"/>
      <w:numFmt w:val="bullet"/>
      <w:lvlText w:val="•"/>
      <w:lvlJc w:val="left"/>
      <w:pPr>
        <w:ind w:left="5287" w:hanging="720"/>
      </w:pPr>
      <w:rPr>
        <w:rFonts w:hint="default"/>
        <w:lang w:val="en-au" w:eastAsia="en-US" w:bidi="ar-SA"/>
      </w:rPr>
    </w:lvl>
    <w:lvl w:ilvl="4">
      <w:start w:val="0"/>
      <w:numFmt w:val="bullet"/>
      <w:lvlText w:val="•"/>
      <w:lvlJc w:val="left"/>
      <w:pPr>
        <w:ind w:left="6190" w:hanging="720"/>
      </w:pPr>
      <w:rPr>
        <w:rFonts w:hint="default"/>
        <w:lang w:val="en-au" w:eastAsia="en-US" w:bidi="ar-SA"/>
      </w:rPr>
    </w:lvl>
    <w:lvl w:ilvl="5">
      <w:start w:val="0"/>
      <w:numFmt w:val="bullet"/>
      <w:lvlText w:val="•"/>
      <w:lvlJc w:val="left"/>
      <w:pPr>
        <w:ind w:left="7093" w:hanging="720"/>
      </w:pPr>
      <w:rPr>
        <w:rFonts w:hint="default"/>
        <w:lang w:val="en-au" w:eastAsia="en-US" w:bidi="ar-SA"/>
      </w:rPr>
    </w:lvl>
    <w:lvl w:ilvl="6">
      <w:start w:val="0"/>
      <w:numFmt w:val="bullet"/>
      <w:lvlText w:val="•"/>
      <w:lvlJc w:val="left"/>
      <w:pPr>
        <w:ind w:left="7995" w:hanging="720"/>
      </w:pPr>
      <w:rPr>
        <w:rFonts w:hint="default"/>
        <w:lang w:val="en-au" w:eastAsia="en-US" w:bidi="ar-SA"/>
      </w:rPr>
    </w:lvl>
    <w:lvl w:ilvl="7">
      <w:start w:val="0"/>
      <w:numFmt w:val="bullet"/>
      <w:lvlText w:val="•"/>
      <w:lvlJc w:val="left"/>
      <w:pPr>
        <w:ind w:left="8898" w:hanging="720"/>
      </w:pPr>
      <w:rPr>
        <w:rFonts w:hint="default"/>
        <w:lang w:val="en-au" w:eastAsia="en-US" w:bidi="ar-SA"/>
      </w:rPr>
    </w:lvl>
    <w:lvl w:ilvl="8">
      <w:start w:val="0"/>
      <w:numFmt w:val="bullet"/>
      <w:lvlText w:val="•"/>
      <w:lvlJc w:val="left"/>
      <w:pPr>
        <w:ind w:left="9801" w:hanging="720"/>
      </w:pPr>
      <w:rPr>
        <w:rFonts w:hint="default"/>
        <w:lang w:val="en-au" w:eastAsia="en-US" w:bidi="ar-SA"/>
      </w:rPr>
    </w:lvl>
  </w:abstractNum>
  <w:abstractNum w:abstractNumId="137">
    <w:multiLevelType w:val="hybridMultilevel"/>
    <w:lvl w:ilvl="0">
      <w:start w:val="98"/>
      <w:numFmt w:val="decimal"/>
      <w:lvlText w:val="%1."/>
      <w:lvlJc w:val="left"/>
      <w:pPr>
        <w:ind w:left="258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3482" w:hanging="720"/>
      </w:pPr>
      <w:rPr>
        <w:rFonts w:hint="default"/>
        <w:lang w:val="en-au" w:eastAsia="en-US" w:bidi="ar-SA"/>
      </w:rPr>
    </w:lvl>
    <w:lvl w:ilvl="2">
      <w:start w:val="0"/>
      <w:numFmt w:val="bullet"/>
      <w:lvlText w:val="•"/>
      <w:lvlJc w:val="left"/>
      <w:pPr>
        <w:ind w:left="4385" w:hanging="720"/>
      </w:pPr>
      <w:rPr>
        <w:rFonts w:hint="default"/>
        <w:lang w:val="en-au" w:eastAsia="en-US" w:bidi="ar-SA"/>
      </w:rPr>
    </w:lvl>
    <w:lvl w:ilvl="3">
      <w:start w:val="0"/>
      <w:numFmt w:val="bullet"/>
      <w:lvlText w:val="•"/>
      <w:lvlJc w:val="left"/>
      <w:pPr>
        <w:ind w:left="5287" w:hanging="720"/>
      </w:pPr>
      <w:rPr>
        <w:rFonts w:hint="default"/>
        <w:lang w:val="en-au" w:eastAsia="en-US" w:bidi="ar-SA"/>
      </w:rPr>
    </w:lvl>
    <w:lvl w:ilvl="4">
      <w:start w:val="0"/>
      <w:numFmt w:val="bullet"/>
      <w:lvlText w:val="•"/>
      <w:lvlJc w:val="left"/>
      <w:pPr>
        <w:ind w:left="6190" w:hanging="720"/>
      </w:pPr>
      <w:rPr>
        <w:rFonts w:hint="default"/>
        <w:lang w:val="en-au" w:eastAsia="en-US" w:bidi="ar-SA"/>
      </w:rPr>
    </w:lvl>
    <w:lvl w:ilvl="5">
      <w:start w:val="0"/>
      <w:numFmt w:val="bullet"/>
      <w:lvlText w:val="•"/>
      <w:lvlJc w:val="left"/>
      <w:pPr>
        <w:ind w:left="7093" w:hanging="720"/>
      </w:pPr>
      <w:rPr>
        <w:rFonts w:hint="default"/>
        <w:lang w:val="en-au" w:eastAsia="en-US" w:bidi="ar-SA"/>
      </w:rPr>
    </w:lvl>
    <w:lvl w:ilvl="6">
      <w:start w:val="0"/>
      <w:numFmt w:val="bullet"/>
      <w:lvlText w:val="•"/>
      <w:lvlJc w:val="left"/>
      <w:pPr>
        <w:ind w:left="7995" w:hanging="720"/>
      </w:pPr>
      <w:rPr>
        <w:rFonts w:hint="default"/>
        <w:lang w:val="en-au" w:eastAsia="en-US" w:bidi="ar-SA"/>
      </w:rPr>
    </w:lvl>
    <w:lvl w:ilvl="7">
      <w:start w:val="0"/>
      <w:numFmt w:val="bullet"/>
      <w:lvlText w:val="•"/>
      <w:lvlJc w:val="left"/>
      <w:pPr>
        <w:ind w:left="8898" w:hanging="720"/>
      </w:pPr>
      <w:rPr>
        <w:rFonts w:hint="default"/>
        <w:lang w:val="en-au" w:eastAsia="en-US" w:bidi="ar-SA"/>
      </w:rPr>
    </w:lvl>
    <w:lvl w:ilvl="8">
      <w:start w:val="0"/>
      <w:numFmt w:val="bullet"/>
      <w:lvlText w:val="•"/>
      <w:lvlJc w:val="left"/>
      <w:pPr>
        <w:ind w:left="9801" w:hanging="720"/>
      </w:pPr>
      <w:rPr>
        <w:rFonts w:hint="default"/>
        <w:lang w:val="en-au" w:eastAsia="en-US" w:bidi="ar-SA"/>
      </w:rPr>
    </w:lvl>
  </w:abstractNum>
  <w:abstractNum w:abstractNumId="136">
    <w:multiLevelType w:val="hybridMultilevel"/>
    <w:lvl w:ilvl="0">
      <w:start w:val="98"/>
      <w:numFmt w:val="decimal"/>
      <w:lvlText w:val="%1."/>
      <w:lvlJc w:val="left"/>
      <w:pPr>
        <w:ind w:left="258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3482" w:hanging="720"/>
      </w:pPr>
      <w:rPr>
        <w:rFonts w:hint="default"/>
        <w:lang w:val="en-au" w:eastAsia="en-US" w:bidi="ar-SA"/>
      </w:rPr>
    </w:lvl>
    <w:lvl w:ilvl="2">
      <w:start w:val="0"/>
      <w:numFmt w:val="bullet"/>
      <w:lvlText w:val="•"/>
      <w:lvlJc w:val="left"/>
      <w:pPr>
        <w:ind w:left="4385" w:hanging="720"/>
      </w:pPr>
      <w:rPr>
        <w:rFonts w:hint="default"/>
        <w:lang w:val="en-au" w:eastAsia="en-US" w:bidi="ar-SA"/>
      </w:rPr>
    </w:lvl>
    <w:lvl w:ilvl="3">
      <w:start w:val="0"/>
      <w:numFmt w:val="bullet"/>
      <w:lvlText w:val="•"/>
      <w:lvlJc w:val="left"/>
      <w:pPr>
        <w:ind w:left="5287" w:hanging="720"/>
      </w:pPr>
      <w:rPr>
        <w:rFonts w:hint="default"/>
        <w:lang w:val="en-au" w:eastAsia="en-US" w:bidi="ar-SA"/>
      </w:rPr>
    </w:lvl>
    <w:lvl w:ilvl="4">
      <w:start w:val="0"/>
      <w:numFmt w:val="bullet"/>
      <w:lvlText w:val="•"/>
      <w:lvlJc w:val="left"/>
      <w:pPr>
        <w:ind w:left="6190" w:hanging="720"/>
      </w:pPr>
      <w:rPr>
        <w:rFonts w:hint="default"/>
        <w:lang w:val="en-au" w:eastAsia="en-US" w:bidi="ar-SA"/>
      </w:rPr>
    </w:lvl>
    <w:lvl w:ilvl="5">
      <w:start w:val="0"/>
      <w:numFmt w:val="bullet"/>
      <w:lvlText w:val="•"/>
      <w:lvlJc w:val="left"/>
      <w:pPr>
        <w:ind w:left="7093" w:hanging="720"/>
      </w:pPr>
      <w:rPr>
        <w:rFonts w:hint="default"/>
        <w:lang w:val="en-au" w:eastAsia="en-US" w:bidi="ar-SA"/>
      </w:rPr>
    </w:lvl>
    <w:lvl w:ilvl="6">
      <w:start w:val="0"/>
      <w:numFmt w:val="bullet"/>
      <w:lvlText w:val="•"/>
      <w:lvlJc w:val="left"/>
      <w:pPr>
        <w:ind w:left="7995" w:hanging="720"/>
      </w:pPr>
      <w:rPr>
        <w:rFonts w:hint="default"/>
        <w:lang w:val="en-au" w:eastAsia="en-US" w:bidi="ar-SA"/>
      </w:rPr>
    </w:lvl>
    <w:lvl w:ilvl="7">
      <w:start w:val="0"/>
      <w:numFmt w:val="bullet"/>
      <w:lvlText w:val="•"/>
      <w:lvlJc w:val="left"/>
      <w:pPr>
        <w:ind w:left="8898" w:hanging="720"/>
      </w:pPr>
      <w:rPr>
        <w:rFonts w:hint="default"/>
        <w:lang w:val="en-au" w:eastAsia="en-US" w:bidi="ar-SA"/>
      </w:rPr>
    </w:lvl>
    <w:lvl w:ilvl="8">
      <w:start w:val="0"/>
      <w:numFmt w:val="bullet"/>
      <w:lvlText w:val="•"/>
      <w:lvlJc w:val="left"/>
      <w:pPr>
        <w:ind w:left="9801" w:hanging="720"/>
      </w:pPr>
      <w:rPr>
        <w:rFonts w:hint="default"/>
        <w:lang w:val="en-au" w:eastAsia="en-US" w:bidi="ar-SA"/>
      </w:rPr>
    </w:lvl>
  </w:abstractNum>
  <w:abstractNum w:abstractNumId="135">
    <w:multiLevelType w:val="hybridMultilevel"/>
    <w:lvl w:ilvl="0">
      <w:start w:val="98"/>
      <w:numFmt w:val="decimal"/>
      <w:lvlText w:val="%1."/>
      <w:lvlJc w:val="left"/>
      <w:pPr>
        <w:ind w:left="258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3482" w:hanging="720"/>
      </w:pPr>
      <w:rPr>
        <w:rFonts w:hint="default"/>
        <w:lang w:val="en-au" w:eastAsia="en-US" w:bidi="ar-SA"/>
      </w:rPr>
    </w:lvl>
    <w:lvl w:ilvl="2">
      <w:start w:val="0"/>
      <w:numFmt w:val="bullet"/>
      <w:lvlText w:val="•"/>
      <w:lvlJc w:val="left"/>
      <w:pPr>
        <w:ind w:left="4385" w:hanging="720"/>
      </w:pPr>
      <w:rPr>
        <w:rFonts w:hint="default"/>
        <w:lang w:val="en-au" w:eastAsia="en-US" w:bidi="ar-SA"/>
      </w:rPr>
    </w:lvl>
    <w:lvl w:ilvl="3">
      <w:start w:val="0"/>
      <w:numFmt w:val="bullet"/>
      <w:lvlText w:val="•"/>
      <w:lvlJc w:val="left"/>
      <w:pPr>
        <w:ind w:left="5287" w:hanging="720"/>
      </w:pPr>
      <w:rPr>
        <w:rFonts w:hint="default"/>
        <w:lang w:val="en-au" w:eastAsia="en-US" w:bidi="ar-SA"/>
      </w:rPr>
    </w:lvl>
    <w:lvl w:ilvl="4">
      <w:start w:val="0"/>
      <w:numFmt w:val="bullet"/>
      <w:lvlText w:val="•"/>
      <w:lvlJc w:val="left"/>
      <w:pPr>
        <w:ind w:left="6190" w:hanging="720"/>
      </w:pPr>
      <w:rPr>
        <w:rFonts w:hint="default"/>
        <w:lang w:val="en-au" w:eastAsia="en-US" w:bidi="ar-SA"/>
      </w:rPr>
    </w:lvl>
    <w:lvl w:ilvl="5">
      <w:start w:val="0"/>
      <w:numFmt w:val="bullet"/>
      <w:lvlText w:val="•"/>
      <w:lvlJc w:val="left"/>
      <w:pPr>
        <w:ind w:left="7093" w:hanging="720"/>
      </w:pPr>
      <w:rPr>
        <w:rFonts w:hint="default"/>
        <w:lang w:val="en-au" w:eastAsia="en-US" w:bidi="ar-SA"/>
      </w:rPr>
    </w:lvl>
    <w:lvl w:ilvl="6">
      <w:start w:val="0"/>
      <w:numFmt w:val="bullet"/>
      <w:lvlText w:val="•"/>
      <w:lvlJc w:val="left"/>
      <w:pPr>
        <w:ind w:left="7995" w:hanging="720"/>
      </w:pPr>
      <w:rPr>
        <w:rFonts w:hint="default"/>
        <w:lang w:val="en-au" w:eastAsia="en-US" w:bidi="ar-SA"/>
      </w:rPr>
    </w:lvl>
    <w:lvl w:ilvl="7">
      <w:start w:val="0"/>
      <w:numFmt w:val="bullet"/>
      <w:lvlText w:val="•"/>
      <w:lvlJc w:val="left"/>
      <w:pPr>
        <w:ind w:left="8898" w:hanging="720"/>
      </w:pPr>
      <w:rPr>
        <w:rFonts w:hint="default"/>
        <w:lang w:val="en-au" w:eastAsia="en-US" w:bidi="ar-SA"/>
      </w:rPr>
    </w:lvl>
    <w:lvl w:ilvl="8">
      <w:start w:val="0"/>
      <w:numFmt w:val="bullet"/>
      <w:lvlText w:val="•"/>
      <w:lvlJc w:val="left"/>
      <w:pPr>
        <w:ind w:left="9801" w:hanging="720"/>
      </w:pPr>
      <w:rPr>
        <w:rFonts w:hint="default"/>
        <w:lang w:val="en-au" w:eastAsia="en-US" w:bidi="ar-SA"/>
      </w:rPr>
    </w:lvl>
  </w:abstractNum>
  <w:abstractNum w:abstractNumId="134">
    <w:multiLevelType w:val="hybridMultilevel"/>
    <w:lvl w:ilvl="0">
      <w:start w:val="98"/>
      <w:numFmt w:val="decimal"/>
      <w:lvlText w:val="%1."/>
      <w:lvlJc w:val="left"/>
      <w:pPr>
        <w:ind w:left="258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3482" w:hanging="720"/>
      </w:pPr>
      <w:rPr>
        <w:rFonts w:hint="default"/>
        <w:lang w:val="en-au" w:eastAsia="en-US" w:bidi="ar-SA"/>
      </w:rPr>
    </w:lvl>
    <w:lvl w:ilvl="2">
      <w:start w:val="0"/>
      <w:numFmt w:val="bullet"/>
      <w:lvlText w:val="•"/>
      <w:lvlJc w:val="left"/>
      <w:pPr>
        <w:ind w:left="4385" w:hanging="720"/>
      </w:pPr>
      <w:rPr>
        <w:rFonts w:hint="default"/>
        <w:lang w:val="en-au" w:eastAsia="en-US" w:bidi="ar-SA"/>
      </w:rPr>
    </w:lvl>
    <w:lvl w:ilvl="3">
      <w:start w:val="0"/>
      <w:numFmt w:val="bullet"/>
      <w:lvlText w:val="•"/>
      <w:lvlJc w:val="left"/>
      <w:pPr>
        <w:ind w:left="5287" w:hanging="720"/>
      </w:pPr>
      <w:rPr>
        <w:rFonts w:hint="default"/>
        <w:lang w:val="en-au" w:eastAsia="en-US" w:bidi="ar-SA"/>
      </w:rPr>
    </w:lvl>
    <w:lvl w:ilvl="4">
      <w:start w:val="0"/>
      <w:numFmt w:val="bullet"/>
      <w:lvlText w:val="•"/>
      <w:lvlJc w:val="left"/>
      <w:pPr>
        <w:ind w:left="6190" w:hanging="720"/>
      </w:pPr>
      <w:rPr>
        <w:rFonts w:hint="default"/>
        <w:lang w:val="en-au" w:eastAsia="en-US" w:bidi="ar-SA"/>
      </w:rPr>
    </w:lvl>
    <w:lvl w:ilvl="5">
      <w:start w:val="0"/>
      <w:numFmt w:val="bullet"/>
      <w:lvlText w:val="•"/>
      <w:lvlJc w:val="left"/>
      <w:pPr>
        <w:ind w:left="7093" w:hanging="720"/>
      </w:pPr>
      <w:rPr>
        <w:rFonts w:hint="default"/>
        <w:lang w:val="en-au" w:eastAsia="en-US" w:bidi="ar-SA"/>
      </w:rPr>
    </w:lvl>
    <w:lvl w:ilvl="6">
      <w:start w:val="0"/>
      <w:numFmt w:val="bullet"/>
      <w:lvlText w:val="•"/>
      <w:lvlJc w:val="left"/>
      <w:pPr>
        <w:ind w:left="7995" w:hanging="720"/>
      </w:pPr>
      <w:rPr>
        <w:rFonts w:hint="default"/>
        <w:lang w:val="en-au" w:eastAsia="en-US" w:bidi="ar-SA"/>
      </w:rPr>
    </w:lvl>
    <w:lvl w:ilvl="7">
      <w:start w:val="0"/>
      <w:numFmt w:val="bullet"/>
      <w:lvlText w:val="•"/>
      <w:lvlJc w:val="left"/>
      <w:pPr>
        <w:ind w:left="8898" w:hanging="720"/>
      </w:pPr>
      <w:rPr>
        <w:rFonts w:hint="default"/>
        <w:lang w:val="en-au" w:eastAsia="en-US" w:bidi="ar-SA"/>
      </w:rPr>
    </w:lvl>
    <w:lvl w:ilvl="8">
      <w:start w:val="0"/>
      <w:numFmt w:val="bullet"/>
      <w:lvlText w:val="•"/>
      <w:lvlJc w:val="left"/>
      <w:pPr>
        <w:ind w:left="9801" w:hanging="720"/>
      </w:pPr>
      <w:rPr>
        <w:rFonts w:hint="default"/>
        <w:lang w:val="en-au" w:eastAsia="en-US" w:bidi="ar-SA"/>
      </w:rPr>
    </w:lvl>
  </w:abstractNum>
  <w:abstractNum w:abstractNumId="133">
    <w:multiLevelType w:val="hybridMultilevel"/>
    <w:lvl w:ilvl="0">
      <w:start w:val="98"/>
      <w:numFmt w:val="decimal"/>
      <w:lvlText w:val="%1."/>
      <w:lvlJc w:val="left"/>
      <w:pPr>
        <w:ind w:left="258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3482" w:hanging="720"/>
      </w:pPr>
      <w:rPr>
        <w:rFonts w:hint="default"/>
        <w:lang w:val="en-au" w:eastAsia="en-US" w:bidi="ar-SA"/>
      </w:rPr>
    </w:lvl>
    <w:lvl w:ilvl="2">
      <w:start w:val="0"/>
      <w:numFmt w:val="bullet"/>
      <w:lvlText w:val="•"/>
      <w:lvlJc w:val="left"/>
      <w:pPr>
        <w:ind w:left="4385" w:hanging="720"/>
      </w:pPr>
      <w:rPr>
        <w:rFonts w:hint="default"/>
        <w:lang w:val="en-au" w:eastAsia="en-US" w:bidi="ar-SA"/>
      </w:rPr>
    </w:lvl>
    <w:lvl w:ilvl="3">
      <w:start w:val="0"/>
      <w:numFmt w:val="bullet"/>
      <w:lvlText w:val="•"/>
      <w:lvlJc w:val="left"/>
      <w:pPr>
        <w:ind w:left="5287" w:hanging="720"/>
      </w:pPr>
      <w:rPr>
        <w:rFonts w:hint="default"/>
        <w:lang w:val="en-au" w:eastAsia="en-US" w:bidi="ar-SA"/>
      </w:rPr>
    </w:lvl>
    <w:lvl w:ilvl="4">
      <w:start w:val="0"/>
      <w:numFmt w:val="bullet"/>
      <w:lvlText w:val="•"/>
      <w:lvlJc w:val="left"/>
      <w:pPr>
        <w:ind w:left="6190" w:hanging="720"/>
      </w:pPr>
      <w:rPr>
        <w:rFonts w:hint="default"/>
        <w:lang w:val="en-au" w:eastAsia="en-US" w:bidi="ar-SA"/>
      </w:rPr>
    </w:lvl>
    <w:lvl w:ilvl="5">
      <w:start w:val="0"/>
      <w:numFmt w:val="bullet"/>
      <w:lvlText w:val="•"/>
      <w:lvlJc w:val="left"/>
      <w:pPr>
        <w:ind w:left="7093" w:hanging="720"/>
      </w:pPr>
      <w:rPr>
        <w:rFonts w:hint="default"/>
        <w:lang w:val="en-au" w:eastAsia="en-US" w:bidi="ar-SA"/>
      </w:rPr>
    </w:lvl>
    <w:lvl w:ilvl="6">
      <w:start w:val="0"/>
      <w:numFmt w:val="bullet"/>
      <w:lvlText w:val="•"/>
      <w:lvlJc w:val="left"/>
      <w:pPr>
        <w:ind w:left="7995" w:hanging="720"/>
      </w:pPr>
      <w:rPr>
        <w:rFonts w:hint="default"/>
        <w:lang w:val="en-au" w:eastAsia="en-US" w:bidi="ar-SA"/>
      </w:rPr>
    </w:lvl>
    <w:lvl w:ilvl="7">
      <w:start w:val="0"/>
      <w:numFmt w:val="bullet"/>
      <w:lvlText w:val="•"/>
      <w:lvlJc w:val="left"/>
      <w:pPr>
        <w:ind w:left="8898" w:hanging="720"/>
      </w:pPr>
      <w:rPr>
        <w:rFonts w:hint="default"/>
        <w:lang w:val="en-au" w:eastAsia="en-US" w:bidi="ar-SA"/>
      </w:rPr>
    </w:lvl>
    <w:lvl w:ilvl="8">
      <w:start w:val="0"/>
      <w:numFmt w:val="bullet"/>
      <w:lvlText w:val="•"/>
      <w:lvlJc w:val="left"/>
      <w:pPr>
        <w:ind w:left="9801" w:hanging="720"/>
      </w:pPr>
      <w:rPr>
        <w:rFonts w:hint="default"/>
        <w:lang w:val="en-au" w:eastAsia="en-US" w:bidi="ar-SA"/>
      </w:rPr>
    </w:lvl>
  </w:abstractNum>
  <w:abstractNum w:abstractNumId="132">
    <w:multiLevelType w:val="hybridMultilevel"/>
    <w:lvl w:ilvl="0">
      <w:start w:val="1"/>
      <w:numFmt w:val="lowerLetter"/>
      <w:lvlText w:val="%1."/>
      <w:lvlJc w:val="left"/>
      <w:pPr>
        <w:ind w:left="1838" w:hanging="699"/>
        <w:jc w:val="left"/>
      </w:pPr>
      <w:rPr>
        <w:rFonts w:hint="default" w:ascii="Century Gothic" w:hAnsi="Century Gothic" w:eastAsia="Century Gothic" w:cs="Century Gothic"/>
        <w:b w:val="0"/>
        <w:bCs w:val="0"/>
        <w:i w:val="0"/>
        <w:iCs w:val="0"/>
        <w:spacing w:val="-1"/>
        <w:w w:val="100"/>
        <w:sz w:val="18"/>
        <w:szCs w:val="18"/>
        <w:lang w:val="en-au" w:eastAsia="en-US" w:bidi="ar-SA"/>
      </w:rPr>
    </w:lvl>
    <w:lvl w:ilvl="1">
      <w:start w:val="1"/>
      <w:numFmt w:val="decimal"/>
      <w:lvlText w:val="%2."/>
      <w:lvlJc w:val="left"/>
      <w:pPr>
        <w:ind w:left="258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2">
      <w:start w:val="0"/>
      <w:numFmt w:val="bullet"/>
      <w:lvlText w:val="•"/>
      <w:lvlJc w:val="left"/>
      <w:pPr>
        <w:ind w:left="3582" w:hanging="720"/>
      </w:pPr>
      <w:rPr>
        <w:rFonts w:hint="default"/>
        <w:lang w:val="en-au" w:eastAsia="en-US" w:bidi="ar-SA"/>
      </w:rPr>
    </w:lvl>
    <w:lvl w:ilvl="3">
      <w:start w:val="0"/>
      <w:numFmt w:val="bullet"/>
      <w:lvlText w:val="•"/>
      <w:lvlJc w:val="left"/>
      <w:pPr>
        <w:ind w:left="4585" w:hanging="720"/>
      </w:pPr>
      <w:rPr>
        <w:rFonts w:hint="default"/>
        <w:lang w:val="en-au" w:eastAsia="en-US" w:bidi="ar-SA"/>
      </w:rPr>
    </w:lvl>
    <w:lvl w:ilvl="4">
      <w:start w:val="0"/>
      <w:numFmt w:val="bullet"/>
      <w:lvlText w:val="•"/>
      <w:lvlJc w:val="left"/>
      <w:pPr>
        <w:ind w:left="5588" w:hanging="720"/>
      </w:pPr>
      <w:rPr>
        <w:rFonts w:hint="default"/>
        <w:lang w:val="en-au" w:eastAsia="en-US" w:bidi="ar-SA"/>
      </w:rPr>
    </w:lvl>
    <w:lvl w:ilvl="5">
      <w:start w:val="0"/>
      <w:numFmt w:val="bullet"/>
      <w:lvlText w:val="•"/>
      <w:lvlJc w:val="left"/>
      <w:pPr>
        <w:ind w:left="6591" w:hanging="720"/>
      </w:pPr>
      <w:rPr>
        <w:rFonts w:hint="default"/>
        <w:lang w:val="en-au" w:eastAsia="en-US" w:bidi="ar-SA"/>
      </w:rPr>
    </w:lvl>
    <w:lvl w:ilvl="6">
      <w:start w:val="0"/>
      <w:numFmt w:val="bullet"/>
      <w:lvlText w:val="•"/>
      <w:lvlJc w:val="left"/>
      <w:pPr>
        <w:ind w:left="7594" w:hanging="720"/>
      </w:pPr>
      <w:rPr>
        <w:rFonts w:hint="default"/>
        <w:lang w:val="en-au" w:eastAsia="en-US" w:bidi="ar-SA"/>
      </w:rPr>
    </w:lvl>
    <w:lvl w:ilvl="7">
      <w:start w:val="0"/>
      <w:numFmt w:val="bullet"/>
      <w:lvlText w:val="•"/>
      <w:lvlJc w:val="left"/>
      <w:pPr>
        <w:ind w:left="8597" w:hanging="720"/>
      </w:pPr>
      <w:rPr>
        <w:rFonts w:hint="default"/>
        <w:lang w:val="en-au" w:eastAsia="en-US" w:bidi="ar-SA"/>
      </w:rPr>
    </w:lvl>
    <w:lvl w:ilvl="8">
      <w:start w:val="0"/>
      <w:numFmt w:val="bullet"/>
      <w:lvlText w:val="•"/>
      <w:lvlJc w:val="left"/>
      <w:pPr>
        <w:ind w:left="9600" w:hanging="720"/>
      </w:pPr>
      <w:rPr>
        <w:rFonts w:hint="default"/>
        <w:lang w:val="en-au" w:eastAsia="en-US" w:bidi="ar-SA"/>
      </w:rPr>
    </w:lvl>
  </w:abstractNum>
  <w:abstractNum w:abstractNumId="131">
    <w:multiLevelType w:val="hybridMultilevel"/>
    <w:lvl w:ilvl="0">
      <w:start w:val="98"/>
      <w:numFmt w:val="decimal"/>
      <w:lvlText w:val="%1."/>
      <w:lvlJc w:val="left"/>
      <w:pPr>
        <w:ind w:left="258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3482" w:hanging="720"/>
      </w:pPr>
      <w:rPr>
        <w:rFonts w:hint="default"/>
        <w:lang w:val="en-au" w:eastAsia="en-US" w:bidi="ar-SA"/>
      </w:rPr>
    </w:lvl>
    <w:lvl w:ilvl="2">
      <w:start w:val="0"/>
      <w:numFmt w:val="bullet"/>
      <w:lvlText w:val="•"/>
      <w:lvlJc w:val="left"/>
      <w:pPr>
        <w:ind w:left="4385" w:hanging="720"/>
      </w:pPr>
      <w:rPr>
        <w:rFonts w:hint="default"/>
        <w:lang w:val="en-au" w:eastAsia="en-US" w:bidi="ar-SA"/>
      </w:rPr>
    </w:lvl>
    <w:lvl w:ilvl="3">
      <w:start w:val="0"/>
      <w:numFmt w:val="bullet"/>
      <w:lvlText w:val="•"/>
      <w:lvlJc w:val="left"/>
      <w:pPr>
        <w:ind w:left="5287" w:hanging="720"/>
      </w:pPr>
      <w:rPr>
        <w:rFonts w:hint="default"/>
        <w:lang w:val="en-au" w:eastAsia="en-US" w:bidi="ar-SA"/>
      </w:rPr>
    </w:lvl>
    <w:lvl w:ilvl="4">
      <w:start w:val="0"/>
      <w:numFmt w:val="bullet"/>
      <w:lvlText w:val="•"/>
      <w:lvlJc w:val="left"/>
      <w:pPr>
        <w:ind w:left="6190" w:hanging="720"/>
      </w:pPr>
      <w:rPr>
        <w:rFonts w:hint="default"/>
        <w:lang w:val="en-au" w:eastAsia="en-US" w:bidi="ar-SA"/>
      </w:rPr>
    </w:lvl>
    <w:lvl w:ilvl="5">
      <w:start w:val="0"/>
      <w:numFmt w:val="bullet"/>
      <w:lvlText w:val="•"/>
      <w:lvlJc w:val="left"/>
      <w:pPr>
        <w:ind w:left="7093" w:hanging="720"/>
      </w:pPr>
      <w:rPr>
        <w:rFonts w:hint="default"/>
        <w:lang w:val="en-au" w:eastAsia="en-US" w:bidi="ar-SA"/>
      </w:rPr>
    </w:lvl>
    <w:lvl w:ilvl="6">
      <w:start w:val="0"/>
      <w:numFmt w:val="bullet"/>
      <w:lvlText w:val="•"/>
      <w:lvlJc w:val="left"/>
      <w:pPr>
        <w:ind w:left="7995" w:hanging="720"/>
      </w:pPr>
      <w:rPr>
        <w:rFonts w:hint="default"/>
        <w:lang w:val="en-au" w:eastAsia="en-US" w:bidi="ar-SA"/>
      </w:rPr>
    </w:lvl>
    <w:lvl w:ilvl="7">
      <w:start w:val="0"/>
      <w:numFmt w:val="bullet"/>
      <w:lvlText w:val="•"/>
      <w:lvlJc w:val="left"/>
      <w:pPr>
        <w:ind w:left="8898" w:hanging="720"/>
      </w:pPr>
      <w:rPr>
        <w:rFonts w:hint="default"/>
        <w:lang w:val="en-au" w:eastAsia="en-US" w:bidi="ar-SA"/>
      </w:rPr>
    </w:lvl>
    <w:lvl w:ilvl="8">
      <w:start w:val="0"/>
      <w:numFmt w:val="bullet"/>
      <w:lvlText w:val="•"/>
      <w:lvlJc w:val="left"/>
      <w:pPr>
        <w:ind w:left="9801" w:hanging="720"/>
      </w:pPr>
      <w:rPr>
        <w:rFonts w:hint="default"/>
        <w:lang w:val="en-au" w:eastAsia="en-US" w:bidi="ar-SA"/>
      </w:rPr>
    </w:lvl>
  </w:abstractNum>
  <w:abstractNum w:abstractNumId="130">
    <w:multiLevelType w:val="hybridMultilevel"/>
    <w:lvl w:ilvl="0">
      <w:start w:val="98"/>
      <w:numFmt w:val="decimal"/>
      <w:lvlText w:val="%1."/>
      <w:lvlJc w:val="left"/>
      <w:pPr>
        <w:ind w:left="258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3482" w:hanging="720"/>
      </w:pPr>
      <w:rPr>
        <w:rFonts w:hint="default"/>
        <w:lang w:val="en-au" w:eastAsia="en-US" w:bidi="ar-SA"/>
      </w:rPr>
    </w:lvl>
    <w:lvl w:ilvl="2">
      <w:start w:val="0"/>
      <w:numFmt w:val="bullet"/>
      <w:lvlText w:val="•"/>
      <w:lvlJc w:val="left"/>
      <w:pPr>
        <w:ind w:left="4385" w:hanging="720"/>
      </w:pPr>
      <w:rPr>
        <w:rFonts w:hint="default"/>
        <w:lang w:val="en-au" w:eastAsia="en-US" w:bidi="ar-SA"/>
      </w:rPr>
    </w:lvl>
    <w:lvl w:ilvl="3">
      <w:start w:val="0"/>
      <w:numFmt w:val="bullet"/>
      <w:lvlText w:val="•"/>
      <w:lvlJc w:val="left"/>
      <w:pPr>
        <w:ind w:left="5287" w:hanging="720"/>
      </w:pPr>
      <w:rPr>
        <w:rFonts w:hint="default"/>
        <w:lang w:val="en-au" w:eastAsia="en-US" w:bidi="ar-SA"/>
      </w:rPr>
    </w:lvl>
    <w:lvl w:ilvl="4">
      <w:start w:val="0"/>
      <w:numFmt w:val="bullet"/>
      <w:lvlText w:val="•"/>
      <w:lvlJc w:val="left"/>
      <w:pPr>
        <w:ind w:left="6190" w:hanging="720"/>
      </w:pPr>
      <w:rPr>
        <w:rFonts w:hint="default"/>
        <w:lang w:val="en-au" w:eastAsia="en-US" w:bidi="ar-SA"/>
      </w:rPr>
    </w:lvl>
    <w:lvl w:ilvl="5">
      <w:start w:val="0"/>
      <w:numFmt w:val="bullet"/>
      <w:lvlText w:val="•"/>
      <w:lvlJc w:val="left"/>
      <w:pPr>
        <w:ind w:left="7093" w:hanging="720"/>
      </w:pPr>
      <w:rPr>
        <w:rFonts w:hint="default"/>
        <w:lang w:val="en-au" w:eastAsia="en-US" w:bidi="ar-SA"/>
      </w:rPr>
    </w:lvl>
    <w:lvl w:ilvl="6">
      <w:start w:val="0"/>
      <w:numFmt w:val="bullet"/>
      <w:lvlText w:val="•"/>
      <w:lvlJc w:val="left"/>
      <w:pPr>
        <w:ind w:left="7995" w:hanging="720"/>
      </w:pPr>
      <w:rPr>
        <w:rFonts w:hint="default"/>
        <w:lang w:val="en-au" w:eastAsia="en-US" w:bidi="ar-SA"/>
      </w:rPr>
    </w:lvl>
    <w:lvl w:ilvl="7">
      <w:start w:val="0"/>
      <w:numFmt w:val="bullet"/>
      <w:lvlText w:val="•"/>
      <w:lvlJc w:val="left"/>
      <w:pPr>
        <w:ind w:left="8898" w:hanging="720"/>
      </w:pPr>
      <w:rPr>
        <w:rFonts w:hint="default"/>
        <w:lang w:val="en-au" w:eastAsia="en-US" w:bidi="ar-SA"/>
      </w:rPr>
    </w:lvl>
    <w:lvl w:ilvl="8">
      <w:start w:val="0"/>
      <w:numFmt w:val="bullet"/>
      <w:lvlText w:val="•"/>
      <w:lvlJc w:val="left"/>
      <w:pPr>
        <w:ind w:left="9801" w:hanging="720"/>
      </w:pPr>
      <w:rPr>
        <w:rFonts w:hint="default"/>
        <w:lang w:val="en-au" w:eastAsia="en-US" w:bidi="ar-SA"/>
      </w:rPr>
    </w:lvl>
  </w:abstractNum>
  <w:abstractNum w:abstractNumId="129">
    <w:multiLevelType w:val="hybridMultilevel"/>
    <w:lvl w:ilvl="0">
      <w:start w:val="98"/>
      <w:numFmt w:val="decimal"/>
      <w:lvlText w:val="%1."/>
      <w:lvlJc w:val="left"/>
      <w:pPr>
        <w:ind w:left="258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3482" w:hanging="720"/>
      </w:pPr>
      <w:rPr>
        <w:rFonts w:hint="default"/>
        <w:lang w:val="en-au" w:eastAsia="en-US" w:bidi="ar-SA"/>
      </w:rPr>
    </w:lvl>
    <w:lvl w:ilvl="2">
      <w:start w:val="0"/>
      <w:numFmt w:val="bullet"/>
      <w:lvlText w:val="•"/>
      <w:lvlJc w:val="left"/>
      <w:pPr>
        <w:ind w:left="4385" w:hanging="720"/>
      </w:pPr>
      <w:rPr>
        <w:rFonts w:hint="default"/>
        <w:lang w:val="en-au" w:eastAsia="en-US" w:bidi="ar-SA"/>
      </w:rPr>
    </w:lvl>
    <w:lvl w:ilvl="3">
      <w:start w:val="0"/>
      <w:numFmt w:val="bullet"/>
      <w:lvlText w:val="•"/>
      <w:lvlJc w:val="left"/>
      <w:pPr>
        <w:ind w:left="5287" w:hanging="720"/>
      </w:pPr>
      <w:rPr>
        <w:rFonts w:hint="default"/>
        <w:lang w:val="en-au" w:eastAsia="en-US" w:bidi="ar-SA"/>
      </w:rPr>
    </w:lvl>
    <w:lvl w:ilvl="4">
      <w:start w:val="0"/>
      <w:numFmt w:val="bullet"/>
      <w:lvlText w:val="•"/>
      <w:lvlJc w:val="left"/>
      <w:pPr>
        <w:ind w:left="6190" w:hanging="720"/>
      </w:pPr>
      <w:rPr>
        <w:rFonts w:hint="default"/>
        <w:lang w:val="en-au" w:eastAsia="en-US" w:bidi="ar-SA"/>
      </w:rPr>
    </w:lvl>
    <w:lvl w:ilvl="5">
      <w:start w:val="0"/>
      <w:numFmt w:val="bullet"/>
      <w:lvlText w:val="•"/>
      <w:lvlJc w:val="left"/>
      <w:pPr>
        <w:ind w:left="7093" w:hanging="720"/>
      </w:pPr>
      <w:rPr>
        <w:rFonts w:hint="default"/>
        <w:lang w:val="en-au" w:eastAsia="en-US" w:bidi="ar-SA"/>
      </w:rPr>
    </w:lvl>
    <w:lvl w:ilvl="6">
      <w:start w:val="0"/>
      <w:numFmt w:val="bullet"/>
      <w:lvlText w:val="•"/>
      <w:lvlJc w:val="left"/>
      <w:pPr>
        <w:ind w:left="7995" w:hanging="720"/>
      </w:pPr>
      <w:rPr>
        <w:rFonts w:hint="default"/>
        <w:lang w:val="en-au" w:eastAsia="en-US" w:bidi="ar-SA"/>
      </w:rPr>
    </w:lvl>
    <w:lvl w:ilvl="7">
      <w:start w:val="0"/>
      <w:numFmt w:val="bullet"/>
      <w:lvlText w:val="•"/>
      <w:lvlJc w:val="left"/>
      <w:pPr>
        <w:ind w:left="8898" w:hanging="720"/>
      </w:pPr>
      <w:rPr>
        <w:rFonts w:hint="default"/>
        <w:lang w:val="en-au" w:eastAsia="en-US" w:bidi="ar-SA"/>
      </w:rPr>
    </w:lvl>
    <w:lvl w:ilvl="8">
      <w:start w:val="0"/>
      <w:numFmt w:val="bullet"/>
      <w:lvlText w:val="•"/>
      <w:lvlJc w:val="left"/>
      <w:pPr>
        <w:ind w:left="9801" w:hanging="720"/>
      </w:pPr>
      <w:rPr>
        <w:rFonts w:hint="default"/>
        <w:lang w:val="en-au" w:eastAsia="en-US" w:bidi="ar-SA"/>
      </w:rPr>
    </w:lvl>
  </w:abstractNum>
  <w:abstractNum w:abstractNumId="128">
    <w:multiLevelType w:val="hybridMultilevel"/>
    <w:lvl w:ilvl="0">
      <w:start w:val="98"/>
      <w:numFmt w:val="decimal"/>
      <w:lvlText w:val="%1."/>
      <w:lvlJc w:val="left"/>
      <w:pPr>
        <w:ind w:left="258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3482" w:hanging="720"/>
      </w:pPr>
      <w:rPr>
        <w:rFonts w:hint="default"/>
        <w:lang w:val="en-au" w:eastAsia="en-US" w:bidi="ar-SA"/>
      </w:rPr>
    </w:lvl>
    <w:lvl w:ilvl="2">
      <w:start w:val="0"/>
      <w:numFmt w:val="bullet"/>
      <w:lvlText w:val="•"/>
      <w:lvlJc w:val="left"/>
      <w:pPr>
        <w:ind w:left="4385" w:hanging="720"/>
      </w:pPr>
      <w:rPr>
        <w:rFonts w:hint="default"/>
        <w:lang w:val="en-au" w:eastAsia="en-US" w:bidi="ar-SA"/>
      </w:rPr>
    </w:lvl>
    <w:lvl w:ilvl="3">
      <w:start w:val="0"/>
      <w:numFmt w:val="bullet"/>
      <w:lvlText w:val="•"/>
      <w:lvlJc w:val="left"/>
      <w:pPr>
        <w:ind w:left="5287" w:hanging="720"/>
      </w:pPr>
      <w:rPr>
        <w:rFonts w:hint="default"/>
        <w:lang w:val="en-au" w:eastAsia="en-US" w:bidi="ar-SA"/>
      </w:rPr>
    </w:lvl>
    <w:lvl w:ilvl="4">
      <w:start w:val="0"/>
      <w:numFmt w:val="bullet"/>
      <w:lvlText w:val="•"/>
      <w:lvlJc w:val="left"/>
      <w:pPr>
        <w:ind w:left="6190" w:hanging="720"/>
      </w:pPr>
      <w:rPr>
        <w:rFonts w:hint="default"/>
        <w:lang w:val="en-au" w:eastAsia="en-US" w:bidi="ar-SA"/>
      </w:rPr>
    </w:lvl>
    <w:lvl w:ilvl="5">
      <w:start w:val="0"/>
      <w:numFmt w:val="bullet"/>
      <w:lvlText w:val="•"/>
      <w:lvlJc w:val="left"/>
      <w:pPr>
        <w:ind w:left="7093" w:hanging="720"/>
      </w:pPr>
      <w:rPr>
        <w:rFonts w:hint="default"/>
        <w:lang w:val="en-au" w:eastAsia="en-US" w:bidi="ar-SA"/>
      </w:rPr>
    </w:lvl>
    <w:lvl w:ilvl="6">
      <w:start w:val="0"/>
      <w:numFmt w:val="bullet"/>
      <w:lvlText w:val="•"/>
      <w:lvlJc w:val="left"/>
      <w:pPr>
        <w:ind w:left="7995" w:hanging="720"/>
      </w:pPr>
      <w:rPr>
        <w:rFonts w:hint="default"/>
        <w:lang w:val="en-au" w:eastAsia="en-US" w:bidi="ar-SA"/>
      </w:rPr>
    </w:lvl>
    <w:lvl w:ilvl="7">
      <w:start w:val="0"/>
      <w:numFmt w:val="bullet"/>
      <w:lvlText w:val="•"/>
      <w:lvlJc w:val="left"/>
      <w:pPr>
        <w:ind w:left="8898" w:hanging="720"/>
      </w:pPr>
      <w:rPr>
        <w:rFonts w:hint="default"/>
        <w:lang w:val="en-au" w:eastAsia="en-US" w:bidi="ar-SA"/>
      </w:rPr>
    </w:lvl>
    <w:lvl w:ilvl="8">
      <w:start w:val="0"/>
      <w:numFmt w:val="bullet"/>
      <w:lvlText w:val="•"/>
      <w:lvlJc w:val="left"/>
      <w:pPr>
        <w:ind w:left="9801" w:hanging="720"/>
      </w:pPr>
      <w:rPr>
        <w:rFonts w:hint="default"/>
        <w:lang w:val="en-au" w:eastAsia="en-US" w:bidi="ar-SA"/>
      </w:rPr>
    </w:lvl>
  </w:abstractNum>
  <w:abstractNum w:abstractNumId="127">
    <w:multiLevelType w:val="hybridMultilevel"/>
    <w:lvl w:ilvl="0">
      <w:start w:val="98"/>
      <w:numFmt w:val="decimal"/>
      <w:lvlText w:val="%1."/>
      <w:lvlJc w:val="left"/>
      <w:pPr>
        <w:ind w:left="258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3482" w:hanging="720"/>
      </w:pPr>
      <w:rPr>
        <w:rFonts w:hint="default"/>
        <w:lang w:val="en-au" w:eastAsia="en-US" w:bidi="ar-SA"/>
      </w:rPr>
    </w:lvl>
    <w:lvl w:ilvl="2">
      <w:start w:val="0"/>
      <w:numFmt w:val="bullet"/>
      <w:lvlText w:val="•"/>
      <w:lvlJc w:val="left"/>
      <w:pPr>
        <w:ind w:left="4385" w:hanging="720"/>
      </w:pPr>
      <w:rPr>
        <w:rFonts w:hint="default"/>
        <w:lang w:val="en-au" w:eastAsia="en-US" w:bidi="ar-SA"/>
      </w:rPr>
    </w:lvl>
    <w:lvl w:ilvl="3">
      <w:start w:val="0"/>
      <w:numFmt w:val="bullet"/>
      <w:lvlText w:val="•"/>
      <w:lvlJc w:val="left"/>
      <w:pPr>
        <w:ind w:left="5287" w:hanging="720"/>
      </w:pPr>
      <w:rPr>
        <w:rFonts w:hint="default"/>
        <w:lang w:val="en-au" w:eastAsia="en-US" w:bidi="ar-SA"/>
      </w:rPr>
    </w:lvl>
    <w:lvl w:ilvl="4">
      <w:start w:val="0"/>
      <w:numFmt w:val="bullet"/>
      <w:lvlText w:val="•"/>
      <w:lvlJc w:val="left"/>
      <w:pPr>
        <w:ind w:left="6190" w:hanging="720"/>
      </w:pPr>
      <w:rPr>
        <w:rFonts w:hint="default"/>
        <w:lang w:val="en-au" w:eastAsia="en-US" w:bidi="ar-SA"/>
      </w:rPr>
    </w:lvl>
    <w:lvl w:ilvl="5">
      <w:start w:val="0"/>
      <w:numFmt w:val="bullet"/>
      <w:lvlText w:val="•"/>
      <w:lvlJc w:val="left"/>
      <w:pPr>
        <w:ind w:left="7093" w:hanging="720"/>
      </w:pPr>
      <w:rPr>
        <w:rFonts w:hint="default"/>
        <w:lang w:val="en-au" w:eastAsia="en-US" w:bidi="ar-SA"/>
      </w:rPr>
    </w:lvl>
    <w:lvl w:ilvl="6">
      <w:start w:val="0"/>
      <w:numFmt w:val="bullet"/>
      <w:lvlText w:val="•"/>
      <w:lvlJc w:val="left"/>
      <w:pPr>
        <w:ind w:left="7995" w:hanging="720"/>
      </w:pPr>
      <w:rPr>
        <w:rFonts w:hint="default"/>
        <w:lang w:val="en-au" w:eastAsia="en-US" w:bidi="ar-SA"/>
      </w:rPr>
    </w:lvl>
    <w:lvl w:ilvl="7">
      <w:start w:val="0"/>
      <w:numFmt w:val="bullet"/>
      <w:lvlText w:val="•"/>
      <w:lvlJc w:val="left"/>
      <w:pPr>
        <w:ind w:left="8898" w:hanging="720"/>
      </w:pPr>
      <w:rPr>
        <w:rFonts w:hint="default"/>
        <w:lang w:val="en-au" w:eastAsia="en-US" w:bidi="ar-SA"/>
      </w:rPr>
    </w:lvl>
    <w:lvl w:ilvl="8">
      <w:start w:val="0"/>
      <w:numFmt w:val="bullet"/>
      <w:lvlText w:val="•"/>
      <w:lvlJc w:val="left"/>
      <w:pPr>
        <w:ind w:left="9801" w:hanging="720"/>
      </w:pPr>
      <w:rPr>
        <w:rFonts w:hint="default"/>
        <w:lang w:val="en-au" w:eastAsia="en-US" w:bidi="ar-SA"/>
      </w:rPr>
    </w:lvl>
  </w:abstractNum>
  <w:abstractNum w:abstractNumId="126">
    <w:multiLevelType w:val="hybridMultilevel"/>
    <w:lvl w:ilvl="0">
      <w:start w:val="98"/>
      <w:numFmt w:val="decimal"/>
      <w:lvlText w:val="%1."/>
      <w:lvlJc w:val="left"/>
      <w:pPr>
        <w:ind w:left="258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3482" w:hanging="720"/>
      </w:pPr>
      <w:rPr>
        <w:rFonts w:hint="default"/>
        <w:lang w:val="en-au" w:eastAsia="en-US" w:bidi="ar-SA"/>
      </w:rPr>
    </w:lvl>
    <w:lvl w:ilvl="2">
      <w:start w:val="0"/>
      <w:numFmt w:val="bullet"/>
      <w:lvlText w:val="•"/>
      <w:lvlJc w:val="left"/>
      <w:pPr>
        <w:ind w:left="4385" w:hanging="720"/>
      </w:pPr>
      <w:rPr>
        <w:rFonts w:hint="default"/>
        <w:lang w:val="en-au" w:eastAsia="en-US" w:bidi="ar-SA"/>
      </w:rPr>
    </w:lvl>
    <w:lvl w:ilvl="3">
      <w:start w:val="0"/>
      <w:numFmt w:val="bullet"/>
      <w:lvlText w:val="•"/>
      <w:lvlJc w:val="left"/>
      <w:pPr>
        <w:ind w:left="5287" w:hanging="720"/>
      </w:pPr>
      <w:rPr>
        <w:rFonts w:hint="default"/>
        <w:lang w:val="en-au" w:eastAsia="en-US" w:bidi="ar-SA"/>
      </w:rPr>
    </w:lvl>
    <w:lvl w:ilvl="4">
      <w:start w:val="0"/>
      <w:numFmt w:val="bullet"/>
      <w:lvlText w:val="•"/>
      <w:lvlJc w:val="left"/>
      <w:pPr>
        <w:ind w:left="6190" w:hanging="720"/>
      </w:pPr>
      <w:rPr>
        <w:rFonts w:hint="default"/>
        <w:lang w:val="en-au" w:eastAsia="en-US" w:bidi="ar-SA"/>
      </w:rPr>
    </w:lvl>
    <w:lvl w:ilvl="5">
      <w:start w:val="0"/>
      <w:numFmt w:val="bullet"/>
      <w:lvlText w:val="•"/>
      <w:lvlJc w:val="left"/>
      <w:pPr>
        <w:ind w:left="7093" w:hanging="720"/>
      </w:pPr>
      <w:rPr>
        <w:rFonts w:hint="default"/>
        <w:lang w:val="en-au" w:eastAsia="en-US" w:bidi="ar-SA"/>
      </w:rPr>
    </w:lvl>
    <w:lvl w:ilvl="6">
      <w:start w:val="0"/>
      <w:numFmt w:val="bullet"/>
      <w:lvlText w:val="•"/>
      <w:lvlJc w:val="left"/>
      <w:pPr>
        <w:ind w:left="7995" w:hanging="720"/>
      </w:pPr>
      <w:rPr>
        <w:rFonts w:hint="default"/>
        <w:lang w:val="en-au" w:eastAsia="en-US" w:bidi="ar-SA"/>
      </w:rPr>
    </w:lvl>
    <w:lvl w:ilvl="7">
      <w:start w:val="0"/>
      <w:numFmt w:val="bullet"/>
      <w:lvlText w:val="•"/>
      <w:lvlJc w:val="left"/>
      <w:pPr>
        <w:ind w:left="8898" w:hanging="720"/>
      </w:pPr>
      <w:rPr>
        <w:rFonts w:hint="default"/>
        <w:lang w:val="en-au" w:eastAsia="en-US" w:bidi="ar-SA"/>
      </w:rPr>
    </w:lvl>
    <w:lvl w:ilvl="8">
      <w:start w:val="0"/>
      <w:numFmt w:val="bullet"/>
      <w:lvlText w:val="•"/>
      <w:lvlJc w:val="left"/>
      <w:pPr>
        <w:ind w:left="9801" w:hanging="720"/>
      </w:pPr>
      <w:rPr>
        <w:rFonts w:hint="default"/>
        <w:lang w:val="en-au" w:eastAsia="en-US" w:bidi="ar-SA"/>
      </w:rPr>
    </w:lvl>
  </w:abstractNum>
  <w:abstractNum w:abstractNumId="125">
    <w:multiLevelType w:val="hybridMultilevel"/>
    <w:lvl w:ilvl="0">
      <w:start w:val="98"/>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1"/>
      <w:numFmt w:val="lowerLetter"/>
      <w:lvlText w:val="%2."/>
      <w:lvlJc w:val="left"/>
      <w:pPr>
        <w:ind w:left="1838" w:hanging="747"/>
        <w:jc w:val="left"/>
      </w:pPr>
      <w:rPr>
        <w:rFonts w:hint="default" w:ascii="Century Gothic" w:hAnsi="Century Gothic" w:eastAsia="Century Gothic" w:cs="Century Gothic"/>
        <w:b w:val="0"/>
        <w:bCs w:val="0"/>
        <w:i w:val="0"/>
        <w:iCs w:val="0"/>
        <w:spacing w:val="-1"/>
        <w:w w:val="100"/>
        <w:sz w:val="18"/>
        <w:szCs w:val="18"/>
        <w:lang w:val="en-au" w:eastAsia="en-US" w:bidi="ar-SA"/>
      </w:rPr>
    </w:lvl>
    <w:lvl w:ilvl="2">
      <w:start w:val="1"/>
      <w:numFmt w:val="decimal"/>
      <w:lvlText w:val="%3."/>
      <w:lvlJc w:val="left"/>
      <w:pPr>
        <w:ind w:left="258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3">
      <w:start w:val="0"/>
      <w:numFmt w:val="bullet"/>
      <w:lvlText w:val="•"/>
      <w:lvlJc w:val="left"/>
      <w:pPr>
        <w:ind w:left="3708" w:hanging="720"/>
      </w:pPr>
      <w:rPr>
        <w:rFonts w:hint="default"/>
        <w:lang w:val="en-au" w:eastAsia="en-US" w:bidi="ar-SA"/>
      </w:rPr>
    </w:lvl>
    <w:lvl w:ilvl="4">
      <w:start w:val="0"/>
      <w:numFmt w:val="bullet"/>
      <w:lvlText w:val="•"/>
      <w:lvlJc w:val="left"/>
      <w:pPr>
        <w:ind w:left="4836" w:hanging="720"/>
      </w:pPr>
      <w:rPr>
        <w:rFonts w:hint="default"/>
        <w:lang w:val="en-au" w:eastAsia="en-US" w:bidi="ar-SA"/>
      </w:rPr>
    </w:lvl>
    <w:lvl w:ilvl="5">
      <w:start w:val="0"/>
      <w:numFmt w:val="bullet"/>
      <w:lvlText w:val="•"/>
      <w:lvlJc w:val="left"/>
      <w:pPr>
        <w:ind w:left="5964" w:hanging="720"/>
      </w:pPr>
      <w:rPr>
        <w:rFonts w:hint="default"/>
        <w:lang w:val="en-au" w:eastAsia="en-US" w:bidi="ar-SA"/>
      </w:rPr>
    </w:lvl>
    <w:lvl w:ilvl="6">
      <w:start w:val="0"/>
      <w:numFmt w:val="bullet"/>
      <w:lvlText w:val="•"/>
      <w:lvlJc w:val="left"/>
      <w:pPr>
        <w:ind w:left="7093" w:hanging="720"/>
      </w:pPr>
      <w:rPr>
        <w:rFonts w:hint="default"/>
        <w:lang w:val="en-au" w:eastAsia="en-US" w:bidi="ar-SA"/>
      </w:rPr>
    </w:lvl>
    <w:lvl w:ilvl="7">
      <w:start w:val="0"/>
      <w:numFmt w:val="bullet"/>
      <w:lvlText w:val="•"/>
      <w:lvlJc w:val="left"/>
      <w:pPr>
        <w:ind w:left="8221" w:hanging="720"/>
      </w:pPr>
      <w:rPr>
        <w:rFonts w:hint="default"/>
        <w:lang w:val="en-au" w:eastAsia="en-US" w:bidi="ar-SA"/>
      </w:rPr>
    </w:lvl>
    <w:lvl w:ilvl="8">
      <w:start w:val="0"/>
      <w:numFmt w:val="bullet"/>
      <w:lvlText w:val="•"/>
      <w:lvlJc w:val="left"/>
      <w:pPr>
        <w:ind w:left="9349" w:hanging="720"/>
      </w:pPr>
      <w:rPr>
        <w:rFonts w:hint="default"/>
        <w:lang w:val="en-au" w:eastAsia="en-US" w:bidi="ar-SA"/>
      </w:rPr>
    </w:lvl>
  </w:abstractNum>
  <w:abstractNum w:abstractNumId="124">
    <w:multiLevelType w:val="hybridMultilevel"/>
    <w:lvl w:ilvl="0">
      <w:start w:val="1"/>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23">
    <w:multiLevelType w:val="hybridMultilevel"/>
    <w:lvl w:ilvl="0">
      <w:start w:val="98"/>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22">
    <w:multiLevelType w:val="hybridMultilevel"/>
    <w:lvl w:ilvl="0">
      <w:start w:val="1"/>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21">
    <w:multiLevelType w:val="hybridMultilevel"/>
    <w:lvl w:ilvl="0">
      <w:start w:val="98"/>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20">
    <w:multiLevelType w:val="hybridMultilevel"/>
    <w:lvl w:ilvl="0">
      <w:start w:val="1"/>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19">
    <w:multiLevelType w:val="hybridMultilevel"/>
    <w:lvl w:ilvl="0">
      <w:start w:val="98"/>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18">
    <w:multiLevelType w:val="hybridMultilevel"/>
    <w:lvl w:ilvl="0">
      <w:start w:val="1"/>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17">
    <w:multiLevelType w:val="hybridMultilevel"/>
    <w:lvl w:ilvl="0">
      <w:start w:val="98"/>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16">
    <w:multiLevelType w:val="hybridMultilevel"/>
    <w:lvl w:ilvl="0">
      <w:start w:val="1"/>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15">
    <w:multiLevelType w:val="hybridMultilevel"/>
    <w:lvl w:ilvl="0">
      <w:start w:val="98"/>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14">
    <w:multiLevelType w:val="hybridMultilevel"/>
    <w:lvl w:ilvl="0">
      <w:start w:val="98"/>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13">
    <w:multiLevelType w:val="hybridMultilevel"/>
    <w:lvl w:ilvl="0">
      <w:start w:val="1"/>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12">
    <w:multiLevelType w:val="hybridMultilevel"/>
    <w:lvl w:ilvl="0">
      <w:start w:val="98"/>
      <w:numFmt w:val="decimal"/>
      <w:lvlText w:val="%1."/>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834" w:hanging="720"/>
      </w:pPr>
      <w:rPr>
        <w:rFonts w:hint="default"/>
        <w:lang w:val="en-au" w:eastAsia="en-US" w:bidi="ar-SA"/>
      </w:rPr>
    </w:lvl>
    <w:lvl w:ilvl="2">
      <w:start w:val="0"/>
      <w:numFmt w:val="bullet"/>
      <w:lvlText w:val="•"/>
      <w:lvlJc w:val="left"/>
      <w:pPr>
        <w:ind w:left="3809" w:hanging="720"/>
      </w:pPr>
      <w:rPr>
        <w:rFonts w:hint="default"/>
        <w:lang w:val="en-au" w:eastAsia="en-US" w:bidi="ar-SA"/>
      </w:rPr>
    </w:lvl>
    <w:lvl w:ilvl="3">
      <w:start w:val="0"/>
      <w:numFmt w:val="bullet"/>
      <w:lvlText w:val="•"/>
      <w:lvlJc w:val="left"/>
      <w:pPr>
        <w:ind w:left="4783" w:hanging="720"/>
      </w:pPr>
      <w:rPr>
        <w:rFonts w:hint="default"/>
        <w:lang w:val="en-au" w:eastAsia="en-US" w:bidi="ar-SA"/>
      </w:rPr>
    </w:lvl>
    <w:lvl w:ilvl="4">
      <w:start w:val="0"/>
      <w:numFmt w:val="bullet"/>
      <w:lvlText w:val="•"/>
      <w:lvlJc w:val="left"/>
      <w:pPr>
        <w:ind w:left="5758" w:hanging="720"/>
      </w:pPr>
      <w:rPr>
        <w:rFonts w:hint="default"/>
        <w:lang w:val="en-au" w:eastAsia="en-US" w:bidi="ar-SA"/>
      </w:rPr>
    </w:lvl>
    <w:lvl w:ilvl="5">
      <w:start w:val="0"/>
      <w:numFmt w:val="bullet"/>
      <w:lvlText w:val="•"/>
      <w:lvlJc w:val="left"/>
      <w:pPr>
        <w:ind w:left="6733" w:hanging="720"/>
      </w:pPr>
      <w:rPr>
        <w:rFonts w:hint="default"/>
        <w:lang w:val="en-au" w:eastAsia="en-US" w:bidi="ar-SA"/>
      </w:rPr>
    </w:lvl>
    <w:lvl w:ilvl="6">
      <w:start w:val="0"/>
      <w:numFmt w:val="bullet"/>
      <w:lvlText w:val="•"/>
      <w:lvlJc w:val="left"/>
      <w:pPr>
        <w:ind w:left="7707" w:hanging="720"/>
      </w:pPr>
      <w:rPr>
        <w:rFonts w:hint="default"/>
        <w:lang w:val="en-au" w:eastAsia="en-US" w:bidi="ar-SA"/>
      </w:rPr>
    </w:lvl>
    <w:lvl w:ilvl="7">
      <w:start w:val="0"/>
      <w:numFmt w:val="bullet"/>
      <w:lvlText w:val="•"/>
      <w:lvlJc w:val="left"/>
      <w:pPr>
        <w:ind w:left="8682" w:hanging="720"/>
      </w:pPr>
      <w:rPr>
        <w:rFonts w:hint="default"/>
        <w:lang w:val="en-au" w:eastAsia="en-US" w:bidi="ar-SA"/>
      </w:rPr>
    </w:lvl>
    <w:lvl w:ilvl="8">
      <w:start w:val="0"/>
      <w:numFmt w:val="bullet"/>
      <w:lvlText w:val="•"/>
      <w:lvlJc w:val="left"/>
      <w:pPr>
        <w:ind w:left="9657" w:hanging="720"/>
      </w:pPr>
      <w:rPr>
        <w:rFonts w:hint="default"/>
        <w:lang w:val="en-au" w:eastAsia="en-US" w:bidi="ar-SA"/>
      </w:rPr>
    </w:lvl>
  </w:abstractNum>
  <w:abstractNum w:abstractNumId="111">
    <w:multiLevelType w:val="hybridMultilevel"/>
    <w:lvl w:ilvl="0">
      <w:start w:val="1"/>
      <w:numFmt w:val="decimal"/>
      <w:lvlText w:val="%1."/>
      <w:lvlJc w:val="left"/>
      <w:pPr>
        <w:ind w:left="1272" w:hanging="286"/>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1"/>
      <w:numFmt w:val="decimal"/>
      <w:lvlText w:val="%2."/>
      <w:lvlJc w:val="left"/>
      <w:pPr>
        <w:ind w:left="1860"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2">
      <w:start w:val="0"/>
      <w:numFmt w:val="bullet"/>
      <w:lvlText w:val="•"/>
      <w:lvlJc w:val="left"/>
      <w:pPr>
        <w:ind w:left="2942" w:hanging="720"/>
      </w:pPr>
      <w:rPr>
        <w:rFonts w:hint="default"/>
        <w:lang w:val="en-au" w:eastAsia="en-US" w:bidi="ar-SA"/>
      </w:rPr>
    </w:lvl>
    <w:lvl w:ilvl="3">
      <w:start w:val="0"/>
      <w:numFmt w:val="bullet"/>
      <w:lvlText w:val="•"/>
      <w:lvlJc w:val="left"/>
      <w:pPr>
        <w:ind w:left="4025" w:hanging="720"/>
      </w:pPr>
      <w:rPr>
        <w:rFonts w:hint="default"/>
        <w:lang w:val="en-au" w:eastAsia="en-US" w:bidi="ar-SA"/>
      </w:rPr>
    </w:lvl>
    <w:lvl w:ilvl="4">
      <w:start w:val="0"/>
      <w:numFmt w:val="bullet"/>
      <w:lvlText w:val="•"/>
      <w:lvlJc w:val="left"/>
      <w:pPr>
        <w:ind w:left="5108" w:hanging="720"/>
      </w:pPr>
      <w:rPr>
        <w:rFonts w:hint="default"/>
        <w:lang w:val="en-au" w:eastAsia="en-US" w:bidi="ar-SA"/>
      </w:rPr>
    </w:lvl>
    <w:lvl w:ilvl="5">
      <w:start w:val="0"/>
      <w:numFmt w:val="bullet"/>
      <w:lvlText w:val="•"/>
      <w:lvlJc w:val="left"/>
      <w:pPr>
        <w:ind w:left="6191" w:hanging="720"/>
      </w:pPr>
      <w:rPr>
        <w:rFonts w:hint="default"/>
        <w:lang w:val="en-au" w:eastAsia="en-US" w:bidi="ar-SA"/>
      </w:rPr>
    </w:lvl>
    <w:lvl w:ilvl="6">
      <w:start w:val="0"/>
      <w:numFmt w:val="bullet"/>
      <w:lvlText w:val="•"/>
      <w:lvlJc w:val="left"/>
      <w:pPr>
        <w:ind w:left="7274" w:hanging="720"/>
      </w:pPr>
      <w:rPr>
        <w:rFonts w:hint="default"/>
        <w:lang w:val="en-au" w:eastAsia="en-US" w:bidi="ar-SA"/>
      </w:rPr>
    </w:lvl>
    <w:lvl w:ilvl="7">
      <w:start w:val="0"/>
      <w:numFmt w:val="bullet"/>
      <w:lvlText w:val="•"/>
      <w:lvlJc w:val="left"/>
      <w:pPr>
        <w:ind w:left="8357" w:hanging="720"/>
      </w:pPr>
      <w:rPr>
        <w:rFonts w:hint="default"/>
        <w:lang w:val="en-au" w:eastAsia="en-US" w:bidi="ar-SA"/>
      </w:rPr>
    </w:lvl>
    <w:lvl w:ilvl="8">
      <w:start w:val="0"/>
      <w:numFmt w:val="bullet"/>
      <w:lvlText w:val="•"/>
      <w:lvlJc w:val="left"/>
      <w:pPr>
        <w:ind w:left="9440" w:hanging="720"/>
      </w:pPr>
      <w:rPr>
        <w:rFonts w:hint="default"/>
        <w:lang w:val="en-au" w:eastAsia="en-US" w:bidi="ar-SA"/>
      </w:rPr>
    </w:lvl>
  </w:abstractNum>
  <w:abstractNum w:abstractNumId="110">
    <w:multiLevelType w:val="hybridMultilevel"/>
    <w:lvl w:ilvl="0">
      <w:start w:val="1"/>
      <w:numFmt w:val="decimal"/>
      <w:lvlText w:val="%1"/>
      <w:lvlJc w:val="left"/>
      <w:pPr>
        <w:ind w:left="1922" w:hanging="151"/>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2888" w:hanging="151"/>
      </w:pPr>
      <w:rPr>
        <w:rFonts w:hint="default"/>
        <w:lang w:val="en-au" w:eastAsia="en-US" w:bidi="ar-SA"/>
      </w:rPr>
    </w:lvl>
    <w:lvl w:ilvl="2">
      <w:start w:val="0"/>
      <w:numFmt w:val="bullet"/>
      <w:lvlText w:val="•"/>
      <w:lvlJc w:val="left"/>
      <w:pPr>
        <w:ind w:left="3857" w:hanging="151"/>
      </w:pPr>
      <w:rPr>
        <w:rFonts w:hint="default"/>
        <w:lang w:val="en-au" w:eastAsia="en-US" w:bidi="ar-SA"/>
      </w:rPr>
    </w:lvl>
    <w:lvl w:ilvl="3">
      <w:start w:val="0"/>
      <w:numFmt w:val="bullet"/>
      <w:lvlText w:val="•"/>
      <w:lvlJc w:val="left"/>
      <w:pPr>
        <w:ind w:left="4825" w:hanging="151"/>
      </w:pPr>
      <w:rPr>
        <w:rFonts w:hint="default"/>
        <w:lang w:val="en-au" w:eastAsia="en-US" w:bidi="ar-SA"/>
      </w:rPr>
    </w:lvl>
    <w:lvl w:ilvl="4">
      <w:start w:val="0"/>
      <w:numFmt w:val="bullet"/>
      <w:lvlText w:val="•"/>
      <w:lvlJc w:val="left"/>
      <w:pPr>
        <w:ind w:left="5794" w:hanging="151"/>
      </w:pPr>
      <w:rPr>
        <w:rFonts w:hint="default"/>
        <w:lang w:val="en-au" w:eastAsia="en-US" w:bidi="ar-SA"/>
      </w:rPr>
    </w:lvl>
    <w:lvl w:ilvl="5">
      <w:start w:val="0"/>
      <w:numFmt w:val="bullet"/>
      <w:lvlText w:val="•"/>
      <w:lvlJc w:val="left"/>
      <w:pPr>
        <w:ind w:left="6763" w:hanging="151"/>
      </w:pPr>
      <w:rPr>
        <w:rFonts w:hint="default"/>
        <w:lang w:val="en-au" w:eastAsia="en-US" w:bidi="ar-SA"/>
      </w:rPr>
    </w:lvl>
    <w:lvl w:ilvl="6">
      <w:start w:val="0"/>
      <w:numFmt w:val="bullet"/>
      <w:lvlText w:val="•"/>
      <w:lvlJc w:val="left"/>
      <w:pPr>
        <w:ind w:left="7731" w:hanging="151"/>
      </w:pPr>
      <w:rPr>
        <w:rFonts w:hint="default"/>
        <w:lang w:val="en-au" w:eastAsia="en-US" w:bidi="ar-SA"/>
      </w:rPr>
    </w:lvl>
    <w:lvl w:ilvl="7">
      <w:start w:val="0"/>
      <w:numFmt w:val="bullet"/>
      <w:lvlText w:val="•"/>
      <w:lvlJc w:val="left"/>
      <w:pPr>
        <w:ind w:left="8700" w:hanging="151"/>
      </w:pPr>
      <w:rPr>
        <w:rFonts w:hint="default"/>
        <w:lang w:val="en-au" w:eastAsia="en-US" w:bidi="ar-SA"/>
      </w:rPr>
    </w:lvl>
    <w:lvl w:ilvl="8">
      <w:start w:val="0"/>
      <w:numFmt w:val="bullet"/>
      <w:lvlText w:val="•"/>
      <w:lvlJc w:val="left"/>
      <w:pPr>
        <w:ind w:left="9669" w:hanging="151"/>
      </w:pPr>
      <w:rPr>
        <w:rFonts w:hint="default"/>
        <w:lang w:val="en-au" w:eastAsia="en-US" w:bidi="ar-SA"/>
      </w:rPr>
    </w:lvl>
  </w:abstractNum>
  <w:abstractNum w:abstractNumId="109">
    <w:multiLevelType w:val="hybridMultilevel"/>
    <w:lvl w:ilvl="0">
      <w:start w:val="0"/>
      <w:numFmt w:val="bullet"/>
      <w:lvlText w:val=""/>
      <w:lvlJc w:val="left"/>
      <w:pPr>
        <w:ind w:left="1140" w:hanging="361"/>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2186" w:hanging="361"/>
      </w:pPr>
      <w:rPr>
        <w:rFonts w:hint="default"/>
        <w:lang w:val="en-au" w:eastAsia="en-US" w:bidi="ar-SA"/>
      </w:rPr>
    </w:lvl>
    <w:lvl w:ilvl="2">
      <w:start w:val="0"/>
      <w:numFmt w:val="bullet"/>
      <w:lvlText w:val="•"/>
      <w:lvlJc w:val="left"/>
      <w:pPr>
        <w:ind w:left="3233" w:hanging="361"/>
      </w:pPr>
      <w:rPr>
        <w:rFonts w:hint="default"/>
        <w:lang w:val="en-au" w:eastAsia="en-US" w:bidi="ar-SA"/>
      </w:rPr>
    </w:lvl>
    <w:lvl w:ilvl="3">
      <w:start w:val="0"/>
      <w:numFmt w:val="bullet"/>
      <w:lvlText w:val="•"/>
      <w:lvlJc w:val="left"/>
      <w:pPr>
        <w:ind w:left="4279" w:hanging="361"/>
      </w:pPr>
      <w:rPr>
        <w:rFonts w:hint="default"/>
        <w:lang w:val="en-au" w:eastAsia="en-US" w:bidi="ar-SA"/>
      </w:rPr>
    </w:lvl>
    <w:lvl w:ilvl="4">
      <w:start w:val="0"/>
      <w:numFmt w:val="bullet"/>
      <w:lvlText w:val="•"/>
      <w:lvlJc w:val="left"/>
      <w:pPr>
        <w:ind w:left="5326" w:hanging="361"/>
      </w:pPr>
      <w:rPr>
        <w:rFonts w:hint="default"/>
        <w:lang w:val="en-au" w:eastAsia="en-US" w:bidi="ar-SA"/>
      </w:rPr>
    </w:lvl>
    <w:lvl w:ilvl="5">
      <w:start w:val="0"/>
      <w:numFmt w:val="bullet"/>
      <w:lvlText w:val="•"/>
      <w:lvlJc w:val="left"/>
      <w:pPr>
        <w:ind w:left="6373" w:hanging="361"/>
      </w:pPr>
      <w:rPr>
        <w:rFonts w:hint="default"/>
        <w:lang w:val="en-au" w:eastAsia="en-US" w:bidi="ar-SA"/>
      </w:rPr>
    </w:lvl>
    <w:lvl w:ilvl="6">
      <w:start w:val="0"/>
      <w:numFmt w:val="bullet"/>
      <w:lvlText w:val="•"/>
      <w:lvlJc w:val="left"/>
      <w:pPr>
        <w:ind w:left="7419" w:hanging="361"/>
      </w:pPr>
      <w:rPr>
        <w:rFonts w:hint="default"/>
        <w:lang w:val="en-au" w:eastAsia="en-US" w:bidi="ar-SA"/>
      </w:rPr>
    </w:lvl>
    <w:lvl w:ilvl="7">
      <w:start w:val="0"/>
      <w:numFmt w:val="bullet"/>
      <w:lvlText w:val="•"/>
      <w:lvlJc w:val="left"/>
      <w:pPr>
        <w:ind w:left="8466" w:hanging="361"/>
      </w:pPr>
      <w:rPr>
        <w:rFonts w:hint="default"/>
        <w:lang w:val="en-au" w:eastAsia="en-US" w:bidi="ar-SA"/>
      </w:rPr>
    </w:lvl>
    <w:lvl w:ilvl="8">
      <w:start w:val="0"/>
      <w:numFmt w:val="bullet"/>
      <w:lvlText w:val="•"/>
      <w:lvlJc w:val="left"/>
      <w:pPr>
        <w:ind w:left="9513" w:hanging="361"/>
      </w:pPr>
      <w:rPr>
        <w:rFonts w:hint="default"/>
        <w:lang w:val="en-au" w:eastAsia="en-US" w:bidi="ar-SA"/>
      </w:rPr>
    </w:lvl>
  </w:abstractNum>
  <w:abstractNum w:abstractNumId="108">
    <w:multiLevelType w:val="hybridMultilevel"/>
    <w:lvl w:ilvl="0">
      <w:start w:val="1"/>
      <w:numFmt w:val="decimal"/>
      <w:lvlText w:val="%1."/>
      <w:lvlJc w:val="left"/>
      <w:pPr>
        <w:ind w:left="847" w:hanging="36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1"/>
      <w:numFmt w:val="decimal"/>
      <w:lvlText w:val="%2."/>
      <w:lvlJc w:val="left"/>
      <w:pPr>
        <w:ind w:left="1860" w:hanging="360"/>
        <w:jc w:val="left"/>
      </w:pPr>
      <w:rPr>
        <w:rFonts w:hint="default" w:ascii="Century Gothic" w:hAnsi="Century Gothic" w:eastAsia="Century Gothic" w:cs="Century Gothic"/>
        <w:b w:val="0"/>
        <w:bCs w:val="0"/>
        <w:i w:val="0"/>
        <w:iCs w:val="0"/>
        <w:spacing w:val="0"/>
        <w:w w:val="100"/>
        <w:sz w:val="18"/>
        <w:szCs w:val="18"/>
        <w:lang w:val="en-au" w:eastAsia="en-US" w:bidi="ar-SA"/>
      </w:rPr>
    </w:lvl>
    <w:lvl w:ilvl="2">
      <w:start w:val="1"/>
      <w:numFmt w:val="lowerLetter"/>
      <w:lvlText w:val="%3."/>
      <w:lvlJc w:val="left"/>
      <w:pPr>
        <w:ind w:left="1553" w:hanging="281"/>
        <w:jc w:val="left"/>
      </w:pPr>
      <w:rPr>
        <w:rFonts w:hint="default" w:ascii="Century Gothic" w:hAnsi="Century Gothic" w:eastAsia="Century Gothic" w:cs="Century Gothic"/>
        <w:b w:val="0"/>
        <w:bCs w:val="0"/>
        <w:i w:val="0"/>
        <w:iCs w:val="0"/>
        <w:spacing w:val="-1"/>
        <w:w w:val="100"/>
        <w:sz w:val="18"/>
        <w:szCs w:val="18"/>
        <w:lang w:val="en-au" w:eastAsia="en-US" w:bidi="ar-SA"/>
      </w:rPr>
    </w:lvl>
    <w:lvl w:ilvl="3">
      <w:start w:val="1"/>
      <w:numFmt w:val="lowerRoman"/>
      <w:lvlText w:val="%4."/>
      <w:lvlJc w:val="left"/>
      <w:pPr>
        <w:ind w:left="1838" w:hanging="286"/>
        <w:jc w:val="left"/>
      </w:pPr>
      <w:rPr>
        <w:rFonts w:hint="default" w:ascii="Century Gothic" w:hAnsi="Century Gothic" w:eastAsia="Century Gothic" w:cs="Century Gothic"/>
        <w:b w:val="0"/>
        <w:bCs w:val="0"/>
        <w:i w:val="0"/>
        <w:iCs w:val="0"/>
        <w:spacing w:val="0"/>
        <w:w w:val="100"/>
        <w:sz w:val="18"/>
        <w:szCs w:val="18"/>
        <w:lang w:val="en-au" w:eastAsia="en-US" w:bidi="ar-SA"/>
      </w:rPr>
    </w:lvl>
    <w:lvl w:ilvl="4">
      <w:start w:val="0"/>
      <w:numFmt w:val="bullet"/>
      <w:lvlText w:val="•"/>
      <w:lvlJc w:val="left"/>
      <w:pPr>
        <w:ind w:left="1860" w:hanging="286"/>
      </w:pPr>
      <w:rPr>
        <w:rFonts w:hint="default"/>
        <w:lang w:val="en-au" w:eastAsia="en-US" w:bidi="ar-SA"/>
      </w:rPr>
    </w:lvl>
    <w:lvl w:ilvl="5">
      <w:start w:val="0"/>
      <w:numFmt w:val="bullet"/>
      <w:lvlText w:val="•"/>
      <w:lvlJc w:val="left"/>
      <w:pPr>
        <w:ind w:left="3484" w:hanging="286"/>
      </w:pPr>
      <w:rPr>
        <w:rFonts w:hint="default"/>
        <w:lang w:val="en-au" w:eastAsia="en-US" w:bidi="ar-SA"/>
      </w:rPr>
    </w:lvl>
    <w:lvl w:ilvl="6">
      <w:start w:val="0"/>
      <w:numFmt w:val="bullet"/>
      <w:lvlText w:val="•"/>
      <w:lvlJc w:val="left"/>
      <w:pPr>
        <w:ind w:left="5108" w:hanging="286"/>
      </w:pPr>
      <w:rPr>
        <w:rFonts w:hint="default"/>
        <w:lang w:val="en-au" w:eastAsia="en-US" w:bidi="ar-SA"/>
      </w:rPr>
    </w:lvl>
    <w:lvl w:ilvl="7">
      <w:start w:val="0"/>
      <w:numFmt w:val="bullet"/>
      <w:lvlText w:val="•"/>
      <w:lvlJc w:val="left"/>
      <w:pPr>
        <w:ind w:left="6733" w:hanging="286"/>
      </w:pPr>
      <w:rPr>
        <w:rFonts w:hint="default"/>
        <w:lang w:val="en-au" w:eastAsia="en-US" w:bidi="ar-SA"/>
      </w:rPr>
    </w:lvl>
    <w:lvl w:ilvl="8">
      <w:start w:val="0"/>
      <w:numFmt w:val="bullet"/>
      <w:lvlText w:val="•"/>
      <w:lvlJc w:val="left"/>
      <w:pPr>
        <w:ind w:left="8357" w:hanging="286"/>
      </w:pPr>
      <w:rPr>
        <w:rFonts w:hint="default"/>
        <w:lang w:val="en-au" w:eastAsia="en-US" w:bidi="ar-SA"/>
      </w:rPr>
    </w:lvl>
  </w:abstractNum>
  <w:abstractNum w:abstractNumId="107">
    <w:multiLevelType w:val="hybridMultilevel"/>
    <w:lvl w:ilvl="0">
      <w:start w:val="1"/>
      <w:numFmt w:val="decimal"/>
      <w:lvlText w:val="%1."/>
      <w:lvlJc w:val="left"/>
      <w:pPr>
        <w:ind w:left="703" w:hanging="284"/>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1"/>
      <w:numFmt w:val="decimal"/>
      <w:lvlText w:val="%2"/>
      <w:lvlJc w:val="left"/>
      <w:pPr>
        <w:ind w:left="1922" w:hanging="151"/>
        <w:jc w:val="left"/>
      </w:pPr>
      <w:rPr>
        <w:rFonts w:hint="default" w:ascii="Century Gothic" w:hAnsi="Century Gothic" w:eastAsia="Century Gothic" w:cs="Century Gothic"/>
        <w:b w:val="0"/>
        <w:bCs w:val="0"/>
        <w:i w:val="0"/>
        <w:iCs w:val="0"/>
        <w:w w:val="100"/>
        <w:sz w:val="18"/>
        <w:szCs w:val="18"/>
        <w:lang w:val="en-au" w:eastAsia="en-US" w:bidi="ar-SA"/>
      </w:rPr>
    </w:lvl>
    <w:lvl w:ilvl="2">
      <w:start w:val="0"/>
      <w:numFmt w:val="bullet"/>
      <w:lvlText w:val="•"/>
      <w:lvlJc w:val="left"/>
      <w:pPr>
        <w:ind w:left="2996" w:hanging="151"/>
      </w:pPr>
      <w:rPr>
        <w:rFonts w:hint="default"/>
        <w:lang w:val="en-au" w:eastAsia="en-US" w:bidi="ar-SA"/>
      </w:rPr>
    </w:lvl>
    <w:lvl w:ilvl="3">
      <w:start w:val="0"/>
      <w:numFmt w:val="bullet"/>
      <w:lvlText w:val="•"/>
      <w:lvlJc w:val="left"/>
      <w:pPr>
        <w:ind w:left="4072" w:hanging="151"/>
      </w:pPr>
      <w:rPr>
        <w:rFonts w:hint="default"/>
        <w:lang w:val="en-au" w:eastAsia="en-US" w:bidi="ar-SA"/>
      </w:rPr>
    </w:lvl>
    <w:lvl w:ilvl="4">
      <w:start w:val="0"/>
      <w:numFmt w:val="bullet"/>
      <w:lvlText w:val="•"/>
      <w:lvlJc w:val="left"/>
      <w:pPr>
        <w:ind w:left="5148" w:hanging="151"/>
      </w:pPr>
      <w:rPr>
        <w:rFonts w:hint="default"/>
        <w:lang w:val="en-au" w:eastAsia="en-US" w:bidi="ar-SA"/>
      </w:rPr>
    </w:lvl>
    <w:lvl w:ilvl="5">
      <w:start w:val="0"/>
      <w:numFmt w:val="bullet"/>
      <w:lvlText w:val="•"/>
      <w:lvlJc w:val="left"/>
      <w:pPr>
        <w:ind w:left="6225" w:hanging="151"/>
      </w:pPr>
      <w:rPr>
        <w:rFonts w:hint="default"/>
        <w:lang w:val="en-au" w:eastAsia="en-US" w:bidi="ar-SA"/>
      </w:rPr>
    </w:lvl>
    <w:lvl w:ilvl="6">
      <w:start w:val="0"/>
      <w:numFmt w:val="bullet"/>
      <w:lvlText w:val="•"/>
      <w:lvlJc w:val="left"/>
      <w:pPr>
        <w:ind w:left="7301" w:hanging="151"/>
      </w:pPr>
      <w:rPr>
        <w:rFonts w:hint="default"/>
        <w:lang w:val="en-au" w:eastAsia="en-US" w:bidi="ar-SA"/>
      </w:rPr>
    </w:lvl>
    <w:lvl w:ilvl="7">
      <w:start w:val="0"/>
      <w:numFmt w:val="bullet"/>
      <w:lvlText w:val="•"/>
      <w:lvlJc w:val="left"/>
      <w:pPr>
        <w:ind w:left="8377" w:hanging="151"/>
      </w:pPr>
      <w:rPr>
        <w:rFonts w:hint="default"/>
        <w:lang w:val="en-au" w:eastAsia="en-US" w:bidi="ar-SA"/>
      </w:rPr>
    </w:lvl>
    <w:lvl w:ilvl="8">
      <w:start w:val="0"/>
      <w:numFmt w:val="bullet"/>
      <w:lvlText w:val="•"/>
      <w:lvlJc w:val="left"/>
      <w:pPr>
        <w:ind w:left="9453" w:hanging="151"/>
      </w:pPr>
      <w:rPr>
        <w:rFonts w:hint="default"/>
        <w:lang w:val="en-au" w:eastAsia="en-US" w:bidi="ar-SA"/>
      </w:rPr>
    </w:lvl>
  </w:abstractNum>
  <w:abstractNum w:abstractNumId="106">
    <w:multiLevelType w:val="hybridMultilevel"/>
    <w:lvl w:ilvl="0">
      <w:start w:val="1"/>
      <w:numFmt w:val="decimal"/>
      <w:lvlText w:val="%1."/>
      <w:lvlJc w:val="left"/>
      <w:pPr>
        <w:ind w:left="618" w:hanging="199"/>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1718" w:hanging="199"/>
      </w:pPr>
      <w:rPr>
        <w:rFonts w:hint="default"/>
        <w:lang w:val="en-au" w:eastAsia="en-US" w:bidi="ar-SA"/>
      </w:rPr>
    </w:lvl>
    <w:lvl w:ilvl="2">
      <w:start w:val="0"/>
      <w:numFmt w:val="bullet"/>
      <w:lvlText w:val="•"/>
      <w:lvlJc w:val="left"/>
      <w:pPr>
        <w:ind w:left="2817" w:hanging="199"/>
      </w:pPr>
      <w:rPr>
        <w:rFonts w:hint="default"/>
        <w:lang w:val="en-au" w:eastAsia="en-US" w:bidi="ar-SA"/>
      </w:rPr>
    </w:lvl>
    <w:lvl w:ilvl="3">
      <w:start w:val="0"/>
      <w:numFmt w:val="bullet"/>
      <w:lvlText w:val="•"/>
      <w:lvlJc w:val="left"/>
      <w:pPr>
        <w:ind w:left="3915" w:hanging="199"/>
      </w:pPr>
      <w:rPr>
        <w:rFonts w:hint="default"/>
        <w:lang w:val="en-au" w:eastAsia="en-US" w:bidi="ar-SA"/>
      </w:rPr>
    </w:lvl>
    <w:lvl w:ilvl="4">
      <w:start w:val="0"/>
      <w:numFmt w:val="bullet"/>
      <w:lvlText w:val="•"/>
      <w:lvlJc w:val="left"/>
      <w:pPr>
        <w:ind w:left="5014" w:hanging="199"/>
      </w:pPr>
      <w:rPr>
        <w:rFonts w:hint="default"/>
        <w:lang w:val="en-au" w:eastAsia="en-US" w:bidi="ar-SA"/>
      </w:rPr>
    </w:lvl>
    <w:lvl w:ilvl="5">
      <w:start w:val="0"/>
      <w:numFmt w:val="bullet"/>
      <w:lvlText w:val="•"/>
      <w:lvlJc w:val="left"/>
      <w:pPr>
        <w:ind w:left="6113" w:hanging="199"/>
      </w:pPr>
      <w:rPr>
        <w:rFonts w:hint="default"/>
        <w:lang w:val="en-au" w:eastAsia="en-US" w:bidi="ar-SA"/>
      </w:rPr>
    </w:lvl>
    <w:lvl w:ilvl="6">
      <w:start w:val="0"/>
      <w:numFmt w:val="bullet"/>
      <w:lvlText w:val="•"/>
      <w:lvlJc w:val="left"/>
      <w:pPr>
        <w:ind w:left="7211" w:hanging="199"/>
      </w:pPr>
      <w:rPr>
        <w:rFonts w:hint="default"/>
        <w:lang w:val="en-au" w:eastAsia="en-US" w:bidi="ar-SA"/>
      </w:rPr>
    </w:lvl>
    <w:lvl w:ilvl="7">
      <w:start w:val="0"/>
      <w:numFmt w:val="bullet"/>
      <w:lvlText w:val="•"/>
      <w:lvlJc w:val="left"/>
      <w:pPr>
        <w:ind w:left="8310" w:hanging="199"/>
      </w:pPr>
      <w:rPr>
        <w:rFonts w:hint="default"/>
        <w:lang w:val="en-au" w:eastAsia="en-US" w:bidi="ar-SA"/>
      </w:rPr>
    </w:lvl>
    <w:lvl w:ilvl="8">
      <w:start w:val="0"/>
      <w:numFmt w:val="bullet"/>
      <w:lvlText w:val="•"/>
      <w:lvlJc w:val="left"/>
      <w:pPr>
        <w:ind w:left="9409" w:hanging="199"/>
      </w:pPr>
      <w:rPr>
        <w:rFonts w:hint="default"/>
        <w:lang w:val="en-au" w:eastAsia="en-US" w:bidi="ar-SA"/>
      </w:rPr>
    </w:lvl>
  </w:abstractNum>
  <w:abstractNum w:abstractNumId="105">
    <w:multiLevelType w:val="hybridMultilevel"/>
    <w:lvl w:ilvl="0">
      <w:start w:val="25"/>
      <w:numFmt w:val="decimal"/>
      <w:lvlText w:val="%1."/>
      <w:lvlJc w:val="left"/>
      <w:pPr>
        <w:ind w:left="420" w:hanging="300"/>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1538" w:hanging="300"/>
      </w:pPr>
      <w:rPr>
        <w:rFonts w:hint="default"/>
        <w:lang w:val="en-au" w:eastAsia="en-US" w:bidi="ar-SA"/>
      </w:rPr>
    </w:lvl>
    <w:lvl w:ilvl="2">
      <w:start w:val="0"/>
      <w:numFmt w:val="bullet"/>
      <w:lvlText w:val="•"/>
      <w:lvlJc w:val="left"/>
      <w:pPr>
        <w:ind w:left="2657" w:hanging="300"/>
      </w:pPr>
      <w:rPr>
        <w:rFonts w:hint="default"/>
        <w:lang w:val="en-au" w:eastAsia="en-US" w:bidi="ar-SA"/>
      </w:rPr>
    </w:lvl>
    <w:lvl w:ilvl="3">
      <w:start w:val="0"/>
      <w:numFmt w:val="bullet"/>
      <w:lvlText w:val="•"/>
      <w:lvlJc w:val="left"/>
      <w:pPr>
        <w:ind w:left="3775" w:hanging="300"/>
      </w:pPr>
      <w:rPr>
        <w:rFonts w:hint="default"/>
        <w:lang w:val="en-au" w:eastAsia="en-US" w:bidi="ar-SA"/>
      </w:rPr>
    </w:lvl>
    <w:lvl w:ilvl="4">
      <w:start w:val="0"/>
      <w:numFmt w:val="bullet"/>
      <w:lvlText w:val="•"/>
      <w:lvlJc w:val="left"/>
      <w:pPr>
        <w:ind w:left="4894" w:hanging="300"/>
      </w:pPr>
      <w:rPr>
        <w:rFonts w:hint="default"/>
        <w:lang w:val="en-au" w:eastAsia="en-US" w:bidi="ar-SA"/>
      </w:rPr>
    </w:lvl>
    <w:lvl w:ilvl="5">
      <w:start w:val="0"/>
      <w:numFmt w:val="bullet"/>
      <w:lvlText w:val="•"/>
      <w:lvlJc w:val="left"/>
      <w:pPr>
        <w:ind w:left="6013" w:hanging="300"/>
      </w:pPr>
      <w:rPr>
        <w:rFonts w:hint="default"/>
        <w:lang w:val="en-au" w:eastAsia="en-US" w:bidi="ar-SA"/>
      </w:rPr>
    </w:lvl>
    <w:lvl w:ilvl="6">
      <w:start w:val="0"/>
      <w:numFmt w:val="bullet"/>
      <w:lvlText w:val="•"/>
      <w:lvlJc w:val="left"/>
      <w:pPr>
        <w:ind w:left="7131" w:hanging="300"/>
      </w:pPr>
      <w:rPr>
        <w:rFonts w:hint="default"/>
        <w:lang w:val="en-au" w:eastAsia="en-US" w:bidi="ar-SA"/>
      </w:rPr>
    </w:lvl>
    <w:lvl w:ilvl="7">
      <w:start w:val="0"/>
      <w:numFmt w:val="bullet"/>
      <w:lvlText w:val="•"/>
      <w:lvlJc w:val="left"/>
      <w:pPr>
        <w:ind w:left="8250" w:hanging="300"/>
      </w:pPr>
      <w:rPr>
        <w:rFonts w:hint="default"/>
        <w:lang w:val="en-au" w:eastAsia="en-US" w:bidi="ar-SA"/>
      </w:rPr>
    </w:lvl>
    <w:lvl w:ilvl="8">
      <w:start w:val="0"/>
      <w:numFmt w:val="bullet"/>
      <w:lvlText w:val="•"/>
      <w:lvlJc w:val="left"/>
      <w:pPr>
        <w:ind w:left="9369" w:hanging="300"/>
      </w:pPr>
      <w:rPr>
        <w:rFonts w:hint="default"/>
        <w:lang w:val="en-au" w:eastAsia="en-US" w:bidi="ar-SA"/>
      </w:rPr>
    </w:lvl>
  </w:abstractNum>
  <w:abstractNum w:abstractNumId="104">
    <w:multiLevelType w:val="hybridMultilevel"/>
    <w:lvl w:ilvl="0">
      <w:start w:val="1"/>
      <w:numFmt w:val="decimal"/>
      <w:lvlText w:val="%1."/>
      <w:lvlJc w:val="left"/>
      <w:pPr>
        <w:ind w:left="618" w:hanging="199"/>
        <w:jc w:val="left"/>
      </w:pPr>
      <w:rPr>
        <w:rFonts w:hint="default"/>
        <w:w w:val="100"/>
        <w:lang w:val="en-au" w:eastAsia="en-US" w:bidi="ar-SA"/>
      </w:rPr>
    </w:lvl>
    <w:lvl w:ilvl="1">
      <w:start w:val="0"/>
      <w:numFmt w:val="bullet"/>
      <w:lvlText w:val=""/>
      <w:lvlJc w:val="left"/>
      <w:pPr>
        <w:ind w:left="1140" w:hanging="361"/>
      </w:pPr>
      <w:rPr>
        <w:rFonts w:hint="default" w:ascii="Symbol" w:hAnsi="Symbol" w:eastAsia="Symbol" w:cs="Symbol"/>
        <w:b w:val="0"/>
        <w:bCs w:val="0"/>
        <w:i w:val="0"/>
        <w:iCs w:val="0"/>
        <w:w w:val="100"/>
        <w:sz w:val="18"/>
        <w:szCs w:val="18"/>
        <w:lang w:val="en-au" w:eastAsia="en-US" w:bidi="ar-SA"/>
      </w:rPr>
    </w:lvl>
    <w:lvl w:ilvl="2">
      <w:start w:val="0"/>
      <w:numFmt w:val="bullet"/>
      <w:lvlText w:val="•"/>
      <w:lvlJc w:val="left"/>
      <w:pPr>
        <w:ind w:left="2302" w:hanging="361"/>
      </w:pPr>
      <w:rPr>
        <w:rFonts w:hint="default"/>
        <w:lang w:val="en-au" w:eastAsia="en-US" w:bidi="ar-SA"/>
      </w:rPr>
    </w:lvl>
    <w:lvl w:ilvl="3">
      <w:start w:val="0"/>
      <w:numFmt w:val="bullet"/>
      <w:lvlText w:val="•"/>
      <w:lvlJc w:val="left"/>
      <w:pPr>
        <w:ind w:left="3465" w:hanging="361"/>
      </w:pPr>
      <w:rPr>
        <w:rFonts w:hint="default"/>
        <w:lang w:val="en-au" w:eastAsia="en-US" w:bidi="ar-SA"/>
      </w:rPr>
    </w:lvl>
    <w:lvl w:ilvl="4">
      <w:start w:val="0"/>
      <w:numFmt w:val="bullet"/>
      <w:lvlText w:val="•"/>
      <w:lvlJc w:val="left"/>
      <w:pPr>
        <w:ind w:left="4628" w:hanging="361"/>
      </w:pPr>
      <w:rPr>
        <w:rFonts w:hint="default"/>
        <w:lang w:val="en-au" w:eastAsia="en-US" w:bidi="ar-SA"/>
      </w:rPr>
    </w:lvl>
    <w:lvl w:ilvl="5">
      <w:start w:val="0"/>
      <w:numFmt w:val="bullet"/>
      <w:lvlText w:val="•"/>
      <w:lvlJc w:val="left"/>
      <w:pPr>
        <w:ind w:left="5791" w:hanging="361"/>
      </w:pPr>
      <w:rPr>
        <w:rFonts w:hint="default"/>
        <w:lang w:val="en-au" w:eastAsia="en-US" w:bidi="ar-SA"/>
      </w:rPr>
    </w:lvl>
    <w:lvl w:ilvl="6">
      <w:start w:val="0"/>
      <w:numFmt w:val="bullet"/>
      <w:lvlText w:val="•"/>
      <w:lvlJc w:val="left"/>
      <w:pPr>
        <w:ind w:left="6954" w:hanging="361"/>
      </w:pPr>
      <w:rPr>
        <w:rFonts w:hint="default"/>
        <w:lang w:val="en-au" w:eastAsia="en-US" w:bidi="ar-SA"/>
      </w:rPr>
    </w:lvl>
    <w:lvl w:ilvl="7">
      <w:start w:val="0"/>
      <w:numFmt w:val="bullet"/>
      <w:lvlText w:val="•"/>
      <w:lvlJc w:val="left"/>
      <w:pPr>
        <w:ind w:left="8117" w:hanging="361"/>
      </w:pPr>
      <w:rPr>
        <w:rFonts w:hint="default"/>
        <w:lang w:val="en-au" w:eastAsia="en-US" w:bidi="ar-SA"/>
      </w:rPr>
    </w:lvl>
    <w:lvl w:ilvl="8">
      <w:start w:val="0"/>
      <w:numFmt w:val="bullet"/>
      <w:lvlText w:val="•"/>
      <w:lvlJc w:val="left"/>
      <w:pPr>
        <w:ind w:left="9280" w:hanging="361"/>
      </w:pPr>
      <w:rPr>
        <w:rFonts w:hint="default"/>
        <w:lang w:val="en-au" w:eastAsia="en-US" w:bidi="ar-SA"/>
      </w:rPr>
    </w:lvl>
  </w:abstractNum>
  <w:abstractNum w:abstractNumId="103">
    <w:multiLevelType w:val="hybridMultilevel"/>
    <w:lvl w:ilvl="0">
      <w:start w:val="2"/>
      <w:numFmt w:val="lowerLetter"/>
      <w:lvlText w:val="%1."/>
      <w:lvlJc w:val="left"/>
      <w:pPr>
        <w:ind w:left="670" w:hanging="284"/>
        <w:jc w:val="left"/>
      </w:pPr>
      <w:rPr>
        <w:rFonts w:hint="default" w:ascii="Century Gothic" w:hAnsi="Century Gothic" w:eastAsia="Century Gothic" w:cs="Century Gothic"/>
        <w:b w:val="0"/>
        <w:bCs w:val="0"/>
        <w:i w:val="0"/>
        <w:iCs w:val="0"/>
        <w:spacing w:val="-1"/>
        <w:w w:val="100"/>
        <w:sz w:val="18"/>
        <w:szCs w:val="18"/>
        <w:lang w:val="en-au" w:eastAsia="en-US" w:bidi="ar-SA"/>
      </w:rPr>
    </w:lvl>
    <w:lvl w:ilvl="1">
      <w:start w:val="0"/>
      <w:numFmt w:val="bullet"/>
      <w:lvlText w:val="•"/>
      <w:lvlJc w:val="left"/>
      <w:pPr>
        <w:ind w:left="1656" w:hanging="284"/>
      </w:pPr>
      <w:rPr>
        <w:rFonts w:hint="default"/>
        <w:lang w:val="en-au" w:eastAsia="en-US" w:bidi="ar-SA"/>
      </w:rPr>
    </w:lvl>
    <w:lvl w:ilvl="2">
      <w:start w:val="0"/>
      <w:numFmt w:val="bullet"/>
      <w:lvlText w:val="•"/>
      <w:lvlJc w:val="left"/>
      <w:pPr>
        <w:ind w:left="2633" w:hanging="284"/>
      </w:pPr>
      <w:rPr>
        <w:rFonts w:hint="default"/>
        <w:lang w:val="en-au" w:eastAsia="en-US" w:bidi="ar-SA"/>
      </w:rPr>
    </w:lvl>
    <w:lvl w:ilvl="3">
      <w:start w:val="0"/>
      <w:numFmt w:val="bullet"/>
      <w:lvlText w:val="•"/>
      <w:lvlJc w:val="left"/>
      <w:pPr>
        <w:ind w:left="3610" w:hanging="284"/>
      </w:pPr>
      <w:rPr>
        <w:rFonts w:hint="default"/>
        <w:lang w:val="en-au" w:eastAsia="en-US" w:bidi="ar-SA"/>
      </w:rPr>
    </w:lvl>
    <w:lvl w:ilvl="4">
      <w:start w:val="0"/>
      <w:numFmt w:val="bullet"/>
      <w:lvlText w:val="•"/>
      <w:lvlJc w:val="left"/>
      <w:pPr>
        <w:ind w:left="4587" w:hanging="284"/>
      </w:pPr>
      <w:rPr>
        <w:rFonts w:hint="default"/>
        <w:lang w:val="en-au" w:eastAsia="en-US" w:bidi="ar-SA"/>
      </w:rPr>
    </w:lvl>
    <w:lvl w:ilvl="5">
      <w:start w:val="0"/>
      <w:numFmt w:val="bullet"/>
      <w:lvlText w:val="•"/>
      <w:lvlJc w:val="left"/>
      <w:pPr>
        <w:ind w:left="5564" w:hanging="284"/>
      </w:pPr>
      <w:rPr>
        <w:rFonts w:hint="default"/>
        <w:lang w:val="en-au" w:eastAsia="en-US" w:bidi="ar-SA"/>
      </w:rPr>
    </w:lvl>
    <w:lvl w:ilvl="6">
      <w:start w:val="0"/>
      <w:numFmt w:val="bullet"/>
      <w:lvlText w:val="•"/>
      <w:lvlJc w:val="left"/>
      <w:pPr>
        <w:ind w:left="6541" w:hanging="284"/>
      </w:pPr>
      <w:rPr>
        <w:rFonts w:hint="default"/>
        <w:lang w:val="en-au" w:eastAsia="en-US" w:bidi="ar-SA"/>
      </w:rPr>
    </w:lvl>
    <w:lvl w:ilvl="7">
      <w:start w:val="0"/>
      <w:numFmt w:val="bullet"/>
      <w:lvlText w:val="•"/>
      <w:lvlJc w:val="left"/>
      <w:pPr>
        <w:ind w:left="7518" w:hanging="284"/>
      </w:pPr>
      <w:rPr>
        <w:rFonts w:hint="default"/>
        <w:lang w:val="en-au" w:eastAsia="en-US" w:bidi="ar-SA"/>
      </w:rPr>
    </w:lvl>
    <w:lvl w:ilvl="8">
      <w:start w:val="0"/>
      <w:numFmt w:val="bullet"/>
      <w:lvlText w:val="•"/>
      <w:lvlJc w:val="left"/>
      <w:pPr>
        <w:ind w:left="8495" w:hanging="284"/>
      </w:pPr>
      <w:rPr>
        <w:rFonts w:hint="default"/>
        <w:lang w:val="en-au" w:eastAsia="en-US" w:bidi="ar-SA"/>
      </w:rPr>
    </w:lvl>
  </w:abstractNum>
  <w:abstractNum w:abstractNumId="102">
    <w:multiLevelType w:val="hybridMultilevel"/>
    <w:lvl w:ilvl="0">
      <w:start w:val="23"/>
      <w:numFmt w:val="decimal"/>
      <w:lvlText w:val="%1."/>
      <w:lvlJc w:val="left"/>
      <w:pPr>
        <w:ind w:left="1140" w:hanging="300"/>
        <w:jc w:val="left"/>
      </w:pPr>
      <w:rPr>
        <w:rFonts w:hint="default" w:ascii="Century Gothic" w:hAnsi="Century Gothic" w:eastAsia="Century Gothic" w:cs="Century Gothic"/>
        <w:b w:val="0"/>
        <w:bCs w:val="0"/>
        <w:i w:val="0"/>
        <w:iCs w:val="0"/>
        <w:w w:val="100"/>
        <w:sz w:val="18"/>
        <w:szCs w:val="18"/>
        <w:lang w:val="en-au" w:eastAsia="en-US" w:bidi="ar-SA"/>
      </w:rPr>
    </w:lvl>
    <w:lvl w:ilvl="1">
      <w:start w:val="1"/>
      <w:numFmt w:val="lowerLetter"/>
      <w:lvlText w:val="%2."/>
      <w:lvlJc w:val="left"/>
      <w:pPr>
        <w:ind w:left="1810" w:hanging="284"/>
        <w:jc w:val="left"/>
      </w:pPr>
      <w:rPr>
        <w:rFonts w:hint="default" w:ascii="Century Gothic" w:hAnsi="Century Gothic" w:eastAsia="Century Gothic" w:cs="Century Gothic"/>
        <w:b w:val="0"/>
        <w:bCs w:val="0"/>
        <w:i w:val="0"/>
        <w:iCs w:val="0"/>
        <w:spacing w:val="-1"/>
        <w:w w:val="100"/>
        <w:sz w:val="18"/>
        <w:szCs w:val="18"/>
        <w:lang w:val="en-au" w:eastAsia="en-US" w:bidi="ar-SA"/>
      </w:rPr>
    </w:lvl>
    <w:lvl w:ilvl="2">
      <w:start w:val="0"/>
      <w:numFmt w:val="bullet"/>
      <w:lvlText w:val="•"/>
      <w:lvlJc w:val="left"/>
      <w:pPr>
        <w:ind w:left="2907" w:hanging="284"/>
      </w:pPr>
      <w:rPr>
        <w:rFonts w:hint="default"/>
        <w:lang w:val="en-au" w:eastAsia="en-US" w:bidi="ar-SA"/>
      </w:rPr>
    </w:lvl>
    <w:lvl w:ilvl="3">
      <w:start w:val="0"/>
      <w:numFmt w:val="bullet"/>
      <w:lvlText w:val="•"/>
      <w:lvlJc w:val="left"/>
      <w:pPr>
        <w:ind w:left="3994" w:hanging="284"/>
      </w:pPr>
      <w:rPr>
        <w:rFonts w:hint="default"/>
        <w:lang w:val="en-au" w:eastAsia="en-US" w:bidi="ar-SA"/>
      </w:rPr>
    </w:lvl>
    <w:lvl w:ilvl="4">
      <w:start w:val="0"/>
      <w:numFmt w:val="bullet"/>
      <w:lvlText w:val="•"/>
      <w:lvlJc w:val="left"/>
      <w:pPr>
        <w:ind w:left="5082" w:hanging="284"/>
      </w:pPr>
      <w:rPr>
        <w:rFonts w:hint="default"/>
        <w:lang w:val="en-au" w:eastAsia="en-US" w:bidi="ar-SA"/>
      </w:rPr>
    </w:lvl>
    <w:lvl w:ilvl="5">
      <w:start w:val="0"/>
      <w:numFmt w:val="bullet"/>
      <w:lvlText w:val="•"/>
      <w:lvlJc w:val="left"/>
      <w:pPr>
        <w:ind w:left="6169" w:hanging="284"/>
      </w:pPr>
      <w:rPr>
        <w:rFonts w:hint="default"/>
        <w:lang w:val="en-au" w:eastAsia="en-US" w:bidi="ar-SA"/>
      </w:rPr>
    </w:lvl>
    <w:lvl w:ilvl="6">
      <w:start w:val="0"/>
      <w:numFmt w:val="bullet"/>
      <w:lvlText w:val="•"/>
      <w:lvlJc w:val="left"/>
      <w:pPr>
        <w:ind w:left="7256" w:hanging="284"/>
      </w:pPr>
      <w:rPr>
        <w:rFonts w:hint="default"/>
        <w:lang w:val="en-au" w:eastAsia="en-US" w:bidi="ar-SA"/>
      </w:rPr>
    </w:lvl>
    <w:lvl w:ilvl="7">
      <w:start w:val="0"/>
      <w:numFmt w:val="bullet"/>
      <w:lvlText w:val="•"/>
      <w:lvlJc w:val="left"/>
      <w:pPr>
        <w:ind w:left="8344" w:hanging="284"/>
      </w:pPr>
      <w:rPr>
        <w:rFonts w:hint="default"/>
        <w:lang w:val="en-au" w:eastAsia="en-US" w:bidi="ar-SA"/>
      </w:rPr>
    </w:lvl>
    <w:lvl w:ilvl="8">
      <w:start w:val="0"/>
      <w:numFmt w:val="bullet"/>
      <w:lvlText w:val="•"/>
      <w:lvlJc w:val="left"/>
      <w:pPr>
        <w:ind w:left="9431" w:hanging="284"/>
      </w:pPr>
      <w:rPr>
        <w:rFonts w:hint="default"/>
        <w:lang w:val="en-au" w:eastAsia="en-US" w:bidi="ar-SA"/>
      </w:rPr>
    </w:lvl>
  </w:abstractNum>
  <w:abstractNum w:abstractNumId="101">
    <w:multiLevelType w:val="hybridMultilevel"/>
    <w:lvl w:ilvl="0">
      <w:start w:val="1"/>
      <w:numFmt w:val="lowerLetter"/>
      <w:lvlText w:val="%1."/>
      <w:lvlJc w:val="left"/>
      <w:pPr>
        <w:ind w:left="923" w:hanging="221"/>
        <w:jc w:val="left"/>
      </w:pPr>
      <w:rPr>
        <w:rFonts w:hint="default" w:ascii="Century Gothic" w:hAnsi="Century Gothic" w:eastAsia="Century Gothic" w:cs="Century Gothic"/>
        <w:b w:val="0"/>
        <w:bCs w:val="0"/>
        <w:i w:val="0"/>
        <w:iCs w:val="0"/>
        <w:spacing w:val="-1"/>
        <w:w w:val="100"/>
        <w:sz w:val="18"/>
        <w:szCs w:val="18"/>
        <w:lang w:val="en-au" w:eastAsia="en-US" w:bidi="ar-SA"/>
      </w:rPr>
    </w:lvl>
    <w:lvl w:ilvl="1">
      <w:start w:val="0"/>
      <w:numFmt w:val="bullet"/>
      <w:lvlText w:val="•"/>
      <w:lvlJc w:val="left"/>
      <w:pPr>
        <w:ind w:left="1988" w:hanging="221"/>
      </w:pPr>
      <w:rPr>
        <w:rFonts w:hint="default"/>
        <w:lang w:val="en-au" w:eastAsia="en-US" w:bidi="ar-SA"/>
      </w:rPr>
    </w:lvl>
    <w:lvl w:ilvl="2">
      <w:start w:val="0"/>
      <w:numFmt w:val="bullet"/>
      <w:lvlText w:val="•"/>
      <w:lvlJc w:val="left"/>
      <w:pPr>
        <w:ind w:left="3057" w:hanging="221"/>
      </w:pPr>
      <w:rPr>
        <w:rFonts w:hint="default"/>
        <w:lang w:val="en-au" w:eastAsia="en-US" w:bidi="ar-SA"/>
      </w:rPr>
    </w:lvl>
    <w:lvl w:ilvl="3">
      <w:start w:val="0"/>
      <w:numFmt w:val="bullet"/>
      <w:lvlText w:val="•"/>
      <w:lvlJc w:val="left"/>
      <w:pPr>
        <w:ind w:left="4125" w:hanging="221"/>
      </w:pPr>
      <w:rPr>
        <w:rFonts w:hint="default"/>
        <w:lang w:val="en-au" w:eastAsia="en-US" w:bidi="ar-SA"/>
      </w:rPr>
    </w:lvl>
    <w:lvl w:ilvl="4">
      <w:start w:val="0"/>
      <w:numFmt w:val="bullet"/>
      <w:lvlText w:val="•"/>
      <w:lvlJc w:val="left"/>
      <w:pPr>
        <w:ind w:left="5194" w:hanging="221"/>
      </w:pPr>
      <w:rPr>
        <w:rFonts w:hint="default"/>
        <w:lang w:val="en-au" w:eastAsia="en-US" w:bidi="ar-SA"/>
      </w:rPr>
    </w:lvl>
    <w:lvl w:ilvl="5">
      <w:start w:val="0"/>
      <w:numFmt w:val="bullet"/>
      <w:lvlText w:val="•"/>
      <w:lvlJc w:val="left"/>
      <w:pPr>
        <w:ind w:left="6263" w:hanging="221"/>
      </w:pPr>
      <w:rPr>
        <w:rFonts w:hint="default"/>
        <w:lang w:val="en-au" w:eastAsia="en-US" w:bidi="ar-SA"/>
      </w:rPr>
    </w:lvl>
    <w:lvl w:ilvl="6">
      <w:start w:val="0"/>
      <w:numFmt w:val="bullet"/>
      <w:lvlText w:val="•"/>
      <w:lvlJc w:val="left"/>
      <w:pPr>
        <w:ind w:left="7331" w:hanging="221"/>
      </w:pPr>
      <w:rPr>
        <w:rFonts w:hint="default"/>
        <w:lang w:val="en-au" w:eastAsia="en-US" w:bidi="ar-SA"/>
      </w:rPr>
    </w:lvl>
    <w:lvl w:ilvl="7">
      <w:start w:val="0"/>
      <w:numFmt w:val="bullet"/>
      <w:lvlText w:val="•"/>
      <w:lvlJc w:val="left"/>
      <w:pPr>
        <w:ind w:left="8400" w:hanging="221"/>
      </w:pPr>
      <w:rPr>
        <w:rFonts w:hint="default"/>
        <w:lang w:val="en-au" w:eastAsia="en-US" w:bidi="ar-SA"/>
      </w:rPr>
    </w:lvl>
    <w:lvl w:ilvl="8">
      <w:start w:val="0"/>
      <w:numFmt w:val="bullet"/>
      <w:lvlText w:val="•"/>
      <w:lvlJc w:val="left"/>
      <w:pPr>
        <w:ind w:left="9469" w:hanging="221"/>
      </w:pPr>
      <w:rPr>
        <w:rFonts w:hint="default"/>
        <w:lang w:val="en-au" w:eastAsia="en-US" w:bidi="ar-SA"/>
      </w:rPr>
    </w:lvl>
  </w:abstractNum>
  <w:abstractNum w:abstractNumId="100">
    <w:multiLevelType w:val="hybridMultilevel"/>
    <w:lvl w:ilvl="0">
      <w:start w:val="1"/>
      <w:numFmt w:val="decimal"/>
      <w:lvlText w:val="%1."/>
      <w:lvlJc w:val="left"/>
      <w:pPr>
        <w:ind w:left="410" w:hanging="411"/>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1296" w:hanging="411"/>
      </w:pPr>
      <w:rPr>
        <w:rFonts w:hint="default"/>
        <w:lang w:val="en-au" w:eastAsia="en-US" w:bidi="ar-SA"/>
      </w:rPr>
    </w:lvl>
    <w:lvl w:ilvl="2">
      <w:start w:val="0"/>
      <w:numFmt w:val="bullet"/>
      <w:lvlText w:val="•"/>
      <w:lvlJc w:val="left"/>
      <w:pPr>
        <w:ind w:left="2173" w:hanging="411"/>
      </w:pPr>
      <w:rPr>
        <w:rFonts w:hint="default"/>
        <w:lang w:val="en-au" w:eastAsia="en-US" w:bidi="ar-SA"/>
      </w:rPr>
    </w:lvl>
    <w:lvl w:ilvl="3">
      <w:start w:val="0"/>
      <w:numFmt w:val="bullet"/>
      <w:lvlText w:val="•"/>
      <w:lvlJc w:val="left"/>
      <w:pPr>
        <w:ind w:left="3049" w:hanging="411"/>
      </w:pPr>
      <w:rPr>
        <w:rFonts w:hint="default"/>
        <w:lang w:val="en-au" w:eastAsia="en-US" w:bidi="ar-SA"/>
      </w:rPr>
    </w:lvl>
    <w:lvl w:ilvl="4">
      <w:start w:val="0"/>
      <w:numFmt w:val="bullet"/>
      <w:lvlText w:val="•"/>
      <w:lvlJc w:val="left"/>
      <w:pPr>
        <w:ind w:left="3926" w:hanging="411"/>
      </w:pPr>
      <w:rPr>
        <w:rFonts w:hint="default"/>
        <w:lang w:val="en-au" w:eastAsia="en-US" w:bidi="ar-SA"/>
      </w:rPr>
    </w:lvl>
    <w:lvl w:ilvl="5">
      <w:start w:val="0"/>
      <w:numFmt w:val="bullet"/>
      <w:lvlText w:val="•"/>
      <w:lvlJc w:val="left"/>
      <w:pPr>
        <w:ind w:left="4803" w:hanging="411"/>
      </w:pPr>
      <w:rPr>
        <w:rFonts w:hint="default"/>
        <w:lang w:val="en-au" w:eastAsia="en-US" w:bidi="ar-SA"/>
      </w:rPr>
    </w:lvl>
    <w:lvl w:ilvl="6">
      <w:start w:val="0"/>
      <w:numFmt w:val="bullet"/>
      <w:lvlText w:val="•"/>
      <w:lvlJc w:val="left"/>
      <w:pPr>
        <w:ind w:left="5679" w:hanging="411"/>
      </w:pPr>
      <w:rPr>
        <w:rFonts w:hint="default"/>
        <w:lang w:val="en-au" w:eastAsia="en-US" w:bidi="ar-SA"/>
      </w:rPr>
    </w:lvl>
    <w:lvl w:ilvl="7">
      <w:start w:val="0"/>
      <w:numFmt w:val="bullet"/>
      <w:lvlText w:val="•"/>
      <w:lvlJc w:val="left"/>
      <w:pPr>
        <w:ind w:left="6556" w:hanging="411"/>
      </w:pPr>
      <w:rPr>
        <w:rFonts w:hint="default"/>
        <w:lang w:val="en-au" w:eastAsia="en-US" w:bidi="ar-SA"/>
      </w:rPr>
    </w:lvl>
    <w:lvl w:ilvl="8">
      <w:start w:val="0"/>
      <w:numFmt w:val="bullet"/>
      <w:lvlText w:val="•"/>
      <w:lvlJc w:val="left"/>
      <w:pPr>
        <w:ind w:left="7433" w:hanging="411"/>
      </w:pPr>
      <w:rPr>
        <w:rFonts w:hint="default"/>
        <w:lang w:val="en-au" w:eastAsia="en-US" w:bidi="ar-SA"/>
      </w:rPr>
    </w:lvl>
  </w:abstractNum>
  <w:abstractNum w:abstractNumId="99">
    <w:multiLevelType w:val="hybridMultilevel"/>
    <w:lvl w:ilvl="0">
      <w:start w:val="1"/>
      <w:numFmt w:val="decimal"/>
      <w:lvlText w:val="%1."/>
      <w:lvlJc w:val="left"/>
      <w:pPr>
        <w:ind w:left="1973"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942" w:hanging="720"/>
      </w:pPr>
      <w:rPr>
        <w:rFonts w:hint="default"/>
        <w:lang w:val="en-au" w:eastAsia="en-US" w:bidi="ar-SA"/>
      </w:rPr>
    </w:lvl>
    <w:lvl w:ilvl="2">
      <w:start w:val="0"/>
      <w:numFmt w:val="bullet"/>
      <w:lvlText w:val="•"/>
      <w:lvlJc w:val="left"/>
      <w:pPr>
        <w:ind w:left="3905" w:hanging="720"/>
      </w:pPr>
      <w:rPr>
        <w:rFonts w:hint="default"/>
        <w:lang w:val="en-au" w:eastAsia="en-US" w:bidi="ar-SA"/>
      </w:rPr>
    </w:lvl>
    <w:lvl w:ilvl="3">
      <w:start w:val="0"/>
      <w:numFmt w:val="bullet"/>
      <w:lvlText w:val="•"/>
      <w:lvlJc w:val="left"/>
      <w:pPr>
        <w:ind w:left="4867" w:hanging="720"/>
      </w:pPr>
      <w:rPr>
        <w:rFonts w:hint="default"/>
        <w:lang w:val="en-au" w:eastAsia="en-US" w:bidi="ar-SA"/>
      </w:rPr>
    </w:lvl>
    <w:lvl w:ilvl="4">
      <w:start w:val="0"/>
      <w:numFmt w:val="bullet"/>
      <w:lvlText w:val="•"/>
      <w:lvlJc w:val="left"/>
      <w:pPr>
        <w:ind w:left="5830" w:hanging="720"/>
      </w:pPr>
      <w:rPr>
        <w:rFonts w:hint="default"/>
        <w:lang w:val="en-au" w:eastAsia="en-US" w:bidi="ar-SA"/>
      </w:rPr>
    </w:lvl>
    <w:lvl w:ilvl="5">
      <w:start w:val="0"/>
      <w:numFmt w:val="bullet"/>
      <w:lvlText w:val="•"/>
      <w:lvlJc w:val="left"/>
      <w:pPr>
        <w:ind w:left="6793" w:hanging="720"/>
      </w:pPr>
      <w:rPr>
        <w:rFonts w:hint="default"/>
        <w:lang w:val="en-au" w:eastAsia="en-US" w:bidi="ar-SA"/>
      </w:rPr>
    </w:lvl>
    <w:lvl w:ilvl="6">
      <w:start w:val="0"/>
      <w:numFmt w:val="bullet"/>
      <w:lvlText w:val="•"/>
      <w:lvlJc w:val="left"/>
      <w:pPr>
        <w:ind w:left="7755" w:hanging="720"/>
      </w:pPr>
      <w:rPr>
        <w:rFonts w:hint="default"/>
        <w:lang w:val="en-au" w:eastAsia="en-US" w:bidi="ar-SA"/>
      </w:rPr>
    </w:lvl>
    <w:lvl w:ilvl="7">
      <w:start w:val="0"/>
      <w:numFmt w:val="bullet"/>
      <w:lvlText w:val="•"/>
      <w:lvlJc w:val="left"/>
      <w:pPr>
        <w:ind w:left="8718" w:hanging="720"/>
      </w:pPr>
      <w:rPr>
        <w:rFonts w:hint="default"/>
        <w:lang w:val="en-au" w:eastAsia="en-US" w:bidi="ar-SA"/>
      </w:rPr>
    </w:lvl>
    <w:lvl w:ilvl="8">
      <w:start w:val="0"/>
      <w:numFmt w:val="bullet"/>
      <w:lvlText w:val="•"/>
      <w:lvlJc w:val="left"/>
      <w:pPr>
        <w:ind w:left="9681" w:hanging="720"/>
      </w:pPr>
      <w:rPr>
        <w:rFonts w:hint="default"/>
        <w:lang w:val="en-au" w:eastAsia="en-US" w:bidi="ar-SA"/>
      </w:rPr>
    </w:lvl>
  </w:abstractNum>
  <w:abstractNum w:abstractNumId="98">
    <w:multiLevelType w:val="hybridMultilevel"/>
    <w:lvl w:ilvl="0">
      <w:start w:val="1"/>
      <w:numFmt w:val="decimal"/>
      <w:lvlText w:val="%1."/>
      <w:lvlJc w:val="left"/>
      <w:pPr>
        <w:ind w:left="1973" w:hanging="72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942" w:hanging="720"/>
      </w:pPr>
      <w:rPr>
        <w:rFonts w:hint="default"/>
        <w:lang w:val="en-au" w:eastAsia="en-US" w:bidi="ar-SA"/>
      </w:rPr>
    </w:lvl>
    <w:lvl w:ilvl="2">
      <w:start w:val="0"/>
      <w:numFmt w:val="bullet"/>
      <w:lvlText w:val="•"/>
      <w:lvlJc w:val="left"/>
      <w:pPr>
        <w:ind w:left="3905" w:hanging="720"/>
      </w:pPr>
      <w:rPr>
        <w:rFonts w:hint="default"/>
        <w:lang w:val="en-au" w:eastAsia="en-US" w:bidi="ar-SA"/>
      </w:rPr>
    </w:lvl>
    <w:lvl w:ilvl="3">
      <w:start w:val="0"/>
      <w:numFmt w:val="bullet"/>
      <w:lvlText w:val="•"/>
      <w:lvlJc w:val="left"/>
      <w:pPr>
        <w:ind w:left="4867" w:hanging="720"/>
      </w:pPr>
      <w:rPr>
        <w:rFonts w:hint="default"/>
        <w:lang w:val="en-au" w:eastAsia="en-US" w:bidi="ar-SA"/>
      </w:rPr>
    </w:lvl>
    <w:lvl w:ilvl="4">
      <w:start w:val="0"/>
      <w:numFmt w:val="bullet"/>
      <w:lvlText w:val="•"/>
      <w:lvlJc w:val="left"/>
      <w:pPr>
        <w:ind w:left="5830" w:hanging="720"/>
      </w:pPr>
      <w:rPr>
        <w:rFonts w:hint="default"/>
        <w:lang w:val="en-au" w:eastAsia="en-US" w:bidi="ar-SA"/>
      </w:rPr>
    </w:lvl>
    <w:lvl w:ilvl="5">
      <w:start w:val="0"/>
      <w:numFmt w:val="bullet"/>
      <w:lvlText w:val="•"/>
      <w:lvlJc w:val="left"/>
      <w:pPr>
        <w:ind w:left="6793" w:hanging="720"/>
      </w:pPr>
      <w:rPr>
        <w:rFonts w:hint="default"/>
        <w:lang w:val="en-au" w:eastAsia="en-US" w:bidi="ar-SA"/>
      </w:rPr>
    </w:lvl>
    <w:lvl w:ilvl="6">
      <w:start w:val="0"/>
      <w:numFmt w:val="bullet"/>
      <w:lvlText w:val="•"/>
      <w:lvlJc w:val="left"/>
      <w:pPr>
        <w:ind w:left="7755" w:hanging="720"/>
      </w:pPr>
      <w:rPr>
        <w:rFonts w:hint="default"/>
        <w:lang w:val="en-au" w:eastAsia="en-US" w:bidi="ar-SA"/>
      </w:rPr>
    </w:lvl>
    <w:lvl w:ilvl="7">
      <w:start w:val="0"/>
      <w:numFmt w:val="bullet"/>
      <w:lvlText w:val="•"/>
      <w:lvlJc w:val="left"/>
      <w:pPr>
        <w:ind w:left="8718" w:hanging="720"/>
      </w:pPr>
      <w:rPr>
        <w:rFonts w:hint="default"/>
        <w:lang w:val="en-au" w:eastAsia="en-US" w:bidi="ar-SA"/>
      </w:rPr>
    </w:lvl>
    <w:lvl w:ilvl="8">
      <w:start w:val="0"/>
      <w:numFmt w:val="bullet"/>
      <w:lvlText w:val="•"/>
      <w:lvlJc w:val="left"/>
      <w:pPr>
        <w:ind w:left="9681" w:hanging="720"/>
      </w:pPr>
      <w:rPr>
        <w:rFonts w:hint="default"/>
        <w:lang w:val="en-au" w:eastAsia="en-US" w:bidi="ar-SA"/>
      </w:rPr>
    </w:lvl>
  </w:abstractNum>
  <w:abstractNum w:abstractNumId="97">
    <w:multiLevelType w:val="hybridMultilevel"/>
    <w:lvl w:ilvl="0">
      <w:start w:val="1"/>
      <w:numFmt w:val="decimal"/>
      <w:lvlText w:val="%1."/>
      <w:lvlJc w:val="left"/>
      <w:pPr>
        <w:ind w:left="1457" w:hanging="204"/>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0"/>
      <w:numFmt w:val="bullet"/>
      <w:lvlText w:val="•"/>
      <w:lvlJc w:val="left"/>
      <w:pPr>
        <w:ind w:left="2474" w:hanging="204"/>
      </w:pPr>
      <w:rPr>
        <w:rFonts w:hint="default"/>
        <w:lang w:val="en-au" w:eastAsia="en-US" w:bidi="ar-SA"/>
      </w:rPr>
    </w:lvl>
    <w:lvl w:ilvl="2">
      <w:start w:val="0"/>
      <w:numFmt w:val="bullet"/>
      <w:lvlText w:val="•"/>
      <w:lvlJc w:val="left"/>
      <w:pPr>
        <w:ind w:left="3489" w:hanging="204"/>
      </w:pPr>
      <w:rPr>
        <w:rFonts w:hint="default"/>
        <w:lang w:val="en-au" w:eastAsia="en-US" w:bidi="ar-SA"/>
      </w:rPr>
    </w:lvl>
    <w:lvl w:ilvl="3">
      <w:start w:val="0"/>
      <w:numFmt w:val="bullet"/>
      <w:lvlText w:val="•"/>
      <w:lvlJc w:val="left"/>
      <w:pPr>
        <w:ind w:left="4503" w:hanging="204"/>
      </w:pPr>
      <w:rPr>
        <w:rFonts w:hint="default"/>
        <w:lang w:val="en-au" w:eastAsia="en-US" w:bidi="ar-SA"/>
      </w:rPr>
    </w:lvl>
    <w:lvl w:ilvl="4">
      <w:start w:val="0"/>
      <w:numFmt w:val="bullet"/>
      <w:lvlText w:val="•"/>
      <w:lvlJc w:val="left"/>
      <w:pPr>
        <w:ind w:left="5518" w:hanging="204"/>
      </w:pPr>
      <w:rPr>
        <w:rFonts w:hint="default"/>
        <w:lang w:val="en-au" w:eastAsia="en-US" w:bidi="ar-SA"/>
      </w:rPr>
    </w:lvl>
    <w:lvl w:ilvl="5">
      <w:start w:val="0"/>
      <w:numFmt w:val="bullet"/>
      <w:lvlText w:val="•"/>
      <w:lvlJc w:val="left"/>
      <w:pPr>
        <w:ind w:left="6533" w:hanging="204"/>
      </w:pPr>
      <w:rPr>
        <w:rFonts w:hint="default"/>
        <w:lang w:val="en-au" w:eastAsia="en-US" w:bidi="ar-SA"/>
      </w:rPr>
    </w:lvl>
    <w:lvl w:ilvl="6">
      <w:start w:val="0"/>
      <w:numFmt w:val="bullet"/>
      <w:lvlText w:val="•"/>
      <w:lvlJc w:val="left"/>
      <w:pPr>
        <w:ind w:left="7547" w:hanging="204"/>
      </w:pPr>
      <w:rPr>
        <w:rFonts w:hint="default"/>
        <w:lang w:val="en-au" w:eastAsia="en-US" w:bidi="ar-SA"/>
      </w:rPr>
    </w:lvl>
    <w:lvl w:ilvl="7">
      <w:start w:val="0"/>
      <w:numFmt w:val="bullet"/>
      <w:lvlText w:val="•"/>
      <w:lvlJc w:val="left"/>
      <w:pPr>
        <w:ind w:left="8562" w:hanging="204"/>
      </w:pPr>
      <w:rPr>
        <w:rFonts w:hint="default"/>
        <w:lang w:val="en-au" w:eastAsia="en-US" w:bidi="ar-SA"/>
      </w:rPr>
    </w:lvl>
    <w:lvl w:ilvl="8">
      <w:start w:val="0"/>
      <w:numFmt w:val="bullet"/>
      <w:lvlText w:val="•"/>
      <w:lvlJc w:val="left"/>
      <w:pPr>
        <w:ind w:left="9577" w:hanging="204"/>
      </w:pPr>
      <w:rPr>
        <w:rFonts w:hint="default"/>
        <w:lang w:val="en-au" w:eastAsia="en-US" w:bidi="ar-SA"/>
      </w:rPr>
    </w:lvl>
  </w:abstractNum>
  <w:abstractNum w:abstractNumId="96">
    <w:multiLevelType w:val="hybridMultilevel"/>
    <w:lvl w:ilvl="0">
      <w:start w:val="1"/>
      <w:numFmt w:val="lowerLetter"/>
      <w:lvlText w:val="%1."/>
      <w:lvlJc w:val="left"/>
      <w:pPr>
        <w:ind w:left="923" w:hanging="221"/>
        <w:jc w:val="left"/>
      </w:pPr>
      <w:rPr>
        <w:rFonts w:hint="default" w:ascii="Century Gothic" w:hAnsi="Century Gothic" w:eastAsia="Century Gothic" w:cs="Century Gothic"/>
        <w:b w:val="0"/>
        <w:bCs w:val="0"/>
        <w:i w:val="0"/>
        <w:iCs w:val="0"/>
        <w:spacing w:val="-1"/>
        <w:w w:val="100"/>
        <w:sz w:val="18"/>
        <w:szCs w:val="18"/>
        <w:lang w:val="en-au" w:eastAsia="en-US" w:bidi="ar-SA"/>
      </w:rPr>
    </w:lvl>
    <w:lvl w:ilvl="1">
      <w:start w:val="1"/>
      <w:numFmt w:val="decimal"/>
      <w:lvlText w:val="%2."/>
      <w:lvlJc w:val="left"/>
      <w:pPr>
        <w:ind w:left="1457" w:hanging="204"/>
        <w:jc w:val="left"/>
      </w:pPr>
      <w:rPr>
        <w:rFonts w:hint="default" w:ascii="Century Gothic" w:hAnsi="Century Gothic" w:eastAsia="Century Gothic" w:cs="Century Gothic"/>
        <w:b w:val="0"/>
        <w:bCs w:val="0"/>
        <w:i w:val="0"/>
        <w:iCs w:val="0"/>
        <w:spacing w:val="0"/>
        <w:w w:val="100"/>
        <w:sz w:val="18"/>
        <w:szCs w:val="18"/>
        <w:lang w:val="en-au" w:eastAsia="en-US" w:bidi="ar-SA"/>
      </w:rPr>
    </w:lvl>
    <w:lvl w:ilvl="2">
      <w:start w:val="0"/>
      <w:numFmt w:val="bullet"/>
      <w:lvlText w:val="•"/>
      <w:lvlJc w:val="left"/>
      <w:pPr>
        <w:ind w:left="2587" w:hanging="204"/>
      </w:pPr>
      <w:rPr>
        <w:rFonts w:hint="default"/>
        <w:lang w:val="en-au" w:eastAsia="en-US" w:bidi="ar-SA"/>
      </w:rPr>
    </w:lvl>
    <w:lvl w:ilvl="3">
      <w:start w:val="0"/>
      <w:numFmt w:val="bullet"/>
      <w:lvlText w:val="•"/>
      <w:lvlJc w:val="left"/>
      <w:pPr>
        <w:ind w:left="3714" w:hanging="204"/>
      </w:pPr>
      <w:rPr>
        <w:rFonts w:hint="default"/>
        <w:lang w:val="en-au" w:eastAsia="en-US" w:bidi="ar-SA"/>
      </w:rPr>
    </w:lvl>
    <w:lvl w:ilvl="4">
      <w:start w:val="0"/>
      <w:numFmt w:val="bullet"/>
      <w:lvlText w:val="•"/>
      <w:lvlJc w:val="left"/>
      <w:pPr>
        <w:ind w:left="4842" w:hanging="204"/>
      </w:pPr>
      <w:rPr>
        <w:rFonts w:hint="default"/>
        <w:lang w:val="en-au" w:eastAsia="en-US" w:bidi="ar-SA"/>
      </w:rPr>
    </w:lvl>
    <w:lvl w:ilvl="5">
      <w:start w:val="0"/>
      <w:numFmt w:val="bullet"/>
      <w:lvlText w:val="•"/>
      <w:lvlJc w:val="left"/>
      <w:pPr>
        <w:ind w:left="5969" w:hanging="204"/>
      </w:pPr>
      <w:rPr>
        <w:rFonts w:hint="default"/>
        <w:lang w:val="en-au" w:eastAsia="en-US" w:bidi="ar-SA"/>
      </w:rPr>
    </w:lvl>
    <w:lvl w:ilvl="6">
      <w:start w:val="0"/>
      <w:numFmt w:val="bullet"/>
      <w:lvlText w:val="•"/>
      <w:lvlJc w:val="left"/>
      <w:pPr>
        <w:ind w:left="7096" w:hanging="204"/>
      </w:pPr>
      <w:rPr>
        <w:rFonts w:hint="default"/>
        <w:lang w:val="en-au" w:eastAsia="en-US" w:bidi="ar-SA"/>
      </w:rPr>
    </w:lvl>
    <w:lvl w:ilvl="7">
      <w:start w:val="0"/>
      <w:numFmt w:val="bullet"/>
      <w:lvlText w:val="•"/>
      <w:lvlJc w:val="left"/>
      <w:pPr>
        <w:ind w:left="8224" w:hanging="204"/>
      </w:pPr>
      <w:rPr>
        <w:rFonts w:hint="default"/>
        <w:lang w:val="en-au" w:eastAsia="en-US" w:bidi="ar-SA"/>
      </w:rPr>
    </w:lvl>
    <w:lvl w:ilvl="8">
      <w:start w:val="0"/>
      <w:numFmt w:val="bullet"/>
      <w:lvlText w:val="•"/>
      <w:lvlJc w:val="left"/>
      <w:pPr>
        <w:ind w:left="9351" w:hanging="204"/>
      </w:pPr>
      <w:rPr>
        <w:rFonts w:hint="default"/>
        <w:lang w:val="en-au" w:eastAsia="en-US" w:bidi="ar-SA"/>
      </w:rPr>
    </w:lvl>
  </w:abstractNum>
  <w:abstractNum w:abstractNumId="95">
    <w:multiLevelType w:val="hybridMultilevel"/>
    <w:lvl w:ilvl="0">
      <w:start w:val="1"/>
      <w:numFmt w:val="lowerLetter"/>
      <w:lvlText w:val="%1."/>
      <w:lvlJc w:val="left"/>
      <w:pPr>
        <w:ind w:left="923" w:hanging="221"/>
        <w:jc w:val="left"/>
      </w:pPr>
      <w:rPr>
        <w:rFonts w:hint="default" w:ascii="Century Gothic" w:hAnsi="Century Gothic" w:eastAsia="Century Gothic" w:cs="Century Gothic"/>
        <w:b w:val="0"/>
        <w:bCs w:val="0"/>
        <w:i w:val="0"/>
        <w:iCs w:val="0"/>
        <w:spacing w:val="-1"/>
        <w:w w:val="100"/>
        <w:sz w:val="18"/>
        <w:szCs w:val="18"/>
        <w:lang w:val="en-au" w:eastAsia="en-US" w:bidi="ar-SA"/>
      </w:rPr>
    </w:lvl>
    <w:lvl w:ilvl="1">
      <w:start w:val="0"/>
      <w:numFmt w:val="bullet"/>
      <w:lvlText w:val="•"/>
      <w:lvlJc w:val="left"/>
      <w:pPr>
        <w:ind w:left="1988" w:hanging="221"/>
      </w:pPr>
      <w:rPr>
        <w:rFonts w:hint="default"/>
        <w:lang w:val="en-au" w:eastAsia="en-US" w:bidi="ar-SA"/>
      </w:rPr>
    </w:lvl>
    <w:lvl w:ilvl="2">
      <w:start w:val="0"/>
      <w:numFmt w:val="bullet"/>
      <w:lvlText w:val="•"/>
      <w:lvlJc w:val="left"/>
      <w:pPr>
        <w:ind w:left="3057" w:hanging="221"/>
      </w:pPr>
      <w:rPr>
        <w:rFonts w:hint="default"/>
        <w:lang w:val="en-au" w:eastAsia="en-US" w:bidi="ar-SA"/>
      </w:rPr>
    </w:lvl>
    <w:lvl w:ilvl="3">
      <w:start w:val="0"/>
      <w:numFmt w:val="bullet"/>
      <w:lvlText w:val="•"/>
      <w:lvlJc w:val="left"/>
      <w:pPr>
        <w:ind w:left="4125" w:hanging="221"/>
      </w:pPr>
      <w:rPr>
        <w:rFonts w:hint="default"/>
        <w:lang w:val="en-au" w:eastAsia="en-US" w:bidi="ar-SA"/>
      </w:rPr>
    </w:lvl>
    <w:lvl w:ilvl="4">
      <w:start w:val="0"/>
      <w:numFmt w:val="bullet"/>
      <w:lvlText w:val="•"/>
      <w:lvlJc w:val="left"/>
      <w:pPr>
        <w:ind w:left="5194" w:hanging="221"/>
      </w:pPr>
      <w:rPr>
        <w:rFonts w:hint="default"/>
        <w:lang w:val="en-au" w:eastAsia="en-US" w:bidi="ar-SA"/>
      </w:rPr>
    </w:lvl>
    <w:lvl w:ilvl="5">
      <w:start w:val="0"/>
      <w:numFmt w:val="bullet"/>
      <w:lvlText w:val="•"/>
      <w:lvlJc w:val="left"/>
      <w:pPr>
        <w:ind w:left="6263" w:hanging="221"/>
      </w:pPr>
      <w:rPr>
        <w:rFonts w:hint="default"/>
        <w:lang w:val="en-au" w:eastAsia="en-US" w:bidi="ar-SA"/>
      </w:rPr>
    </w:lvl>
    <w:lvl w:ilvl="6">
      <w:start w:val="0"/>
      <w:numFmt w:val="bullet"/>
      <w:lvlText w:val="•"/>
      <w:lvlJc w:val="left"/>
      <w:pPr>
        <w:ind w:left="7331" w:hanging="221"/>
      </w:pPr>
      <w:rPr>
        <w:rFonts w:hint="default"/>
        <w:lang w:val="en-au" w:eastAsia="en-US" w:bidi="ar-SA"/>
      </w:rPr>
    </w:lvl>
    <w:lvl w:ilvl="7">
      <w:start w:val="0"/>
      <w:numFmt w:val="bullet"/>
      <w:lvlText w:val="•"/>
      <w:lvlJc w:val="left"/>
      <w:pPr>
        <w:ind w:left="8400" w:hanging="221"/>
      </w:pPr>
      <w:rPr>
        <w:rFonts w:hint="default"/>
        <w:lang w:val="en-au" w:eastAsia="en-US" w:bidi="ar-SA"/>
      </w:rPr>
    </w:lvl>
    <w:lvl w:ilvl="8">
      <w:start w:val="0"/>
      <w:numFmt w:val="bullet"/>
      <w:lvlText w:val="•"/>
      <w:lvlJc w:val="left"/>
      <w:pPr>
        <w:ind w:left="9469" w:hanging="221"/>
      </w:pPr>
      <w:rPr>
        <w:rFonts w:hint="default"/>
        <w:lang w:val="en-au" w:eastAsia="en-US" w:bidi="ar-SA"/>
      </w:rPr>
    </w:lvl>
  </w:abstractNum>
  <w:abstractNum w:abstractNumId="94">
    <w:multiLevelType w:val="hybridMultilevel"/>
    <w:lvl w:ilvl="0">
      <w:start w:val="1"/>
      <w:numFmt w:val="lowerLetter"/>
      <w:lvlText w:val="%1."/>
      <w:lvlJc w:val="left"/>
      <w:pPr>
        <w:ind w:left="923" w:hanging="221"/>
        <w:jc w:val="left"/>
      </w:pPr>
      <w:rPr>
        <w:rFonts w:hint="default" w:ascii="Century Gothic" w:hAnsi="Century Gothic" w:eastAsia="Century Gothic" w:cs="Century Gothic"/>
        <w:b w:val="0"/>
        <w:bCs w:val="0"/>
        <w:i w:val="0"/>
        <w:iCs w:val="0"/>
        <w:spacing w:val="-1"/>
        <w:w w:val="100"/>
        <w:sz w:val="18"/>
        <w:szCs w:val="18"/>
        <w:lang w:val="en-au" w:eastAsia="en-US" w:bidi="ar-SA"/>
      </w:rPr>
    </w:lvl>
    <w:lvl w:ilvl="1">
      <w:start w:val="0"/>
      <w:numFmt w:val="bullet"/>
      <w:lvlText w:val="•"/>
      <w:lvlJc w:val="left"/>
      <w:pPr>
        <w:ind w:left="1988" w:hanging="221"/>
      </w:pPr>
      <w:rPr>
        <w:rFonts w:hint="default"/>
        <w:lang w:val="en-au" w:eastAsia="en-US" w:bidi="ar-SA"/>
      </w:rPr>
    </w:lvl>
    <w:lvl w:ilvl="2">
      <w:start w:val="0"/>
      <w:numFmt w:val="bullet"/>
      <w:lvlText w:val="•"/>
      <w:lvlJc w:val="left"/>
      <w:pPr>
        <w:ind w:left="3057" w:hanging="221"/>
      </w:pPr>
      <w:rPr>
        <w:rFonts w:hint="default"/>
        <w:lang w:val="en-au" w:eastAsia="en-US" w:bidi="ar-SA"/>
      </w:rPr>
    </w:lvl>
    <w:lvl w:ilvl="3">
      <w:start w:val="0"/>
      <w:numFmt w:val="bullet"/>
      <w:lvlText w:val="•"/>
      <w:lvlJc w:val="left"/>
      <w:pPr>
        <w:ind w:left="4125" w:hanging="221"/>
      </w:pPr>
      <w:rPr>
        <w:rFonts w:hint="default"/>
        <w:lang w:val="en-au" w:eastAsia="en-US" w:bidi="ar-SA"/>
      </w:rPr>
    </w:lvl>
    <w:lvl w:ilvl="4">
      <w:start w:val="0"/>
      <w:numFmt w:val="bullet"/>
      <w:lvlText w:val="•"/>
      <w:lvlJc w:val="left"/>
      <w:pPr>
        <w:ind w:left="5194" w:hanging="221"/>
      </w:pPr>
      <w:rPr>
        <w:rFonts w:hint="default"/>
        <w:lang w:val="en-au" w:eastAsia="en-US" w:bidi="ar-SA"/>
      </w:rPr>
    </w:lvl>
    <w:lvl w:ilvl="5">
      <w:start w:val="0"/>
      <w:numFmt w:val="bullet"/>
      <w:lvlText w:val="•"/>
      <w:lvlJc w:val="left"/>
      <w:pPr>
        <w:ind w:left="6263" w:hanging="221"/>
      </w:pPr>
      <w:rPr>
        <w:rFonts w:hint="default"/>
        <w:lang w:val="en-au" w:eastAsia="en-US" w:bidi="ar-SA"/>
      </w:rPr>
    </w:lvl>
    <w:lvl w:ilvl="6">
      <w:start w:val="0"/>
      <w:numFmt w:val="bullet"/>
      <w:lvlText w:val="•"/>
      <w:lvlJc w:val="left"/>
      <w:pPr>
        <w:ind w:left="7331" w:hanging="221"/>
      </w:pPr>
      <w:rPr>
        <w:rFonts w:hint="default"/>
        <w:lang w:val="en-au" w:eastAsia="en-US" w:bidi="ar-SA"/>
      </w:rPr>
    </w:lvl>
    <w:lvl w:ilvl="7">
      <w:start w:val="0"/>
      <w:numFmt w:val="bullet"/>
      <w:lvlText w:val="•"/>
      <w:lvlJc w:val="left"/>
      <w:pPr>
        <w:ind w:left="8400" w:hanging="221"/>
      </w:pPr>
      <w:rPr>
        <w:rFonts w:hint="default"/>
        <w:lang w:val="en-au" w:eastAsia="en-US" w:bidi="ar-SA"/>
      </w:rPr>
    </w:lvl>
    <w:lvl w:ilvl="8">
      <w:start w:val="0"/>
      <w:numFmt w:val="bullet"/>
      <w:lvlText w:val="•"/>
      <w:lvlJc w:val="left"/>
      <w:pPr>
        <w:ind w:left="9469" w:hanging="221"/>
      </w:pPr>
      <w:rPr>
        <w:rFonts w:hint="default"/>
        <w:lang w:val="en-au" w:eastAsia="en-US" w:bidi="ar-SA"/>
      </w:rPr>
    </w:lvl>
  </w:abstractNum>
  <w:abstractNum w:abstractNumId="93">
    <w:multiLevelType w:val="hybridMultilevel"/>
    <w:lvl w:ilvl="0">
      <w:start w:val="1"/>
      <w:numFmt w:val="lowerLetter"/>
      <w:lvlText w:val="%1."/>
      <w:lvlJc w:val="left"/>
      <w:pPr>
        <w:ind w:left="923" w:hanging="221"/>
        <w:jc w:val="left"/>
      </w:pPr>
      <w:rPr>
        <w:rFonts w:hint="default" w:ascii="Century Gothic" w:hAnsi="Century Gothic" w:eastAsia="Century Gothic" w:cs="Century Gothic"/>
        <w:b w:val="0"/>
        <w:bCs w:val="0"/>
        <w:i w:val="0"/>
        <w:iCs w:val="0"/>
        <w:spacing w:val="-1"/>
        <w:w w:val="100"/>
        <w:sz w:val="18"/>
        <w:szCs w:val="18"/>
        <w:lang w:val="en-au" w:eastAsia="en-US" w:bidi="ar-SA"/>
      </w:rPr>
    </w:lvl>
    <w:lvl w:ilvl="1">
      <w:start w:val="0"/>
      <w:numFmt w:val="bullet"/>
      <w:lvlText w:val="•"/>
      <w:lvlJc w:val="left"/>
      <w:pPr>
        <w:ind w:left="1988" w:hanging="221"/>
      </w:pPr>
      <w:rPr>
        <w:rFonts w:hint="default"/>
        <w:lang w:val="en-au" w:eastAsia="en-US" w:bidi="ar-SA"/>
      </w:rPr>
    </w:lvl>
    <w:lvl w:ilvl="2">
      <w:start w:val="0"/>
      <w:numFmt w:val="bullet"/>
      <w:lvlText w:val="•"/>
      <w:lvlJc w:val="left"/>
      <w:pPr>
        <w:ind w:left="3057" w:hanging="221"/>
      </w:pPr>
      <w:rPr>
        <w:rFonts w:hint="default"/>
        <w:lang w:val="en-au" w:eastAsia="en-US" w:bidi="ar-SA"/>
      </w:rPr>
    </w:lvl>
    <w:lvl w:ilvl="3">
      <w:start w:val="0"/>
      <w:numFmt w:val="bullet"/>
      <w:lvlText w:val="•"/>
      <w:lvlJc w:val="left"/>
      <w:pPr>
        <w:ind w:left="4125" w:hanging="221"/>
      </w:pPr>
      <w:rPr>
        <w:rFonts w:hint="default"/>
        <w:lang w:val="en-au" w:eastAsia="en-US" w:bidi="ar-SA"/>
      </w:rPr>
    </w:lvl>
    <w:lvl w:ilvl="4">
      <w:start w:val="0"/>
      <w:numFmt w:val="bullet"/>
      <w:lvlText w:val="•"/>
      <w:lvlJc w:val="left"/>
      <w:pPr>
        <w:ind w:left="5194" w:hanging="221"/>
      </w:pPr>
      <w:rPr>
        <w:rFonts w:hint="default"/>
        <w:lang w:val="en-au" w:eastAsia="en-US" w:bidi="ar-SA"/>
      </w:rPr>
    </w:lvl>
    <w:lvl w:ilvl="5">
      <w:start w:val="0"/>
      <w:numFmt w:val="bullet"/>
      <w:lvlText w:val="•"/>
      <w:lvlJc w:val="left"/>
      <w:pPr>
        <w:ind w:left="6263" w:hanging="221"/>
      </w:pPr>
      <w:rPr>
        <w:rFonts w:hint="default"/>
        <w:lang w:val="en-au" w:eastAsia="en-US" w:bidi="ar-SA"/>
      </w:rPr>
    </w:lvl>
    <w:lvl w:ilvl="6">
      <w:start w:val="0"/>
      <w:numFmt w:val="bullet"/>
      <w:lvlText w:val="•"/>
      <w:lvlJc w:val="left"/>
      <w:pPr>
        <w:ind w:left="7331" w:hanging="221"/>
      </w:pPr>
      <w:rPr>
        <w:rFonts w:hint="default"/>
        <w:lang w:val="en-au" w:eastAsia="en-US" w:bidi="ar-SA"/>
      </w:rPr>
    </w:lvl>
    <w:lvl w:ilvl="7">
      <w:start w:val="0"/>
      <w:numFmt w:val="bullet"/>
      <w:lvlText w:val="•"/>
      <w:lvlJc w:val="left"/>
      <w:pPr>
        <w:ind w:left="8400" w:hanging="221"/>
      </w:pPr>
      <w:rPr>
        <w:rFonts w:hint="default"/>
        <w:lang w:val="en-au" w:eastAsia="en-US" w:bidi="ar-SA"/>
      </w:rPr>
    </w:lvl>
    <w:lvl w:ilvl="8">
      <w:start w:val="0"/>
      <w:numFmt w:val="bullet"/>
      <w:lvlText w:val="•"/>
      <w:lvlJc w:val="left"/>
      <w:pPr>
        <w:ind w:left="9469" w:hanging="221"/>
      </w:pPr>
      <w:rPr>
        <w:rFonts w:hint="default"/>
        <w:lang w:val="en-au" w:eastAsia="en-US" w:bidi="ar-SA"/>
      </w:rPr>
    </w:lvl>
  </w:abstractNum>
  <w:abstractNum w:abstractNumId="92">
    <w:multiLevelType w:val="hybridMultilevel"/>
    <w:lvl w:ilvl="0">
      <w:start w:val="1"/>
      <w:numFmt w:val="lowerLetter"/>
      <w:lvlText w:val="%1."/>
      <w:lvlJc w:val="left"/>
      <w:pPr>
        <w:ind w:left="923" w:hanging="221"/>
        <w:jc w:val="left"/>
      </w:pPr>
      <w:rPr>
        <w:rFonts w:hint="default" w:ascii="Century Gothic" w:hAnsi="Century Gothic" w:eastAsia="Century Gothic" w:cs="Century Gothic"/>
        <w:b w:val="0"/>
        <w:bCs w:val="0"/>
        <w:i w:val="0"/>
        <w:iCs w:val="0"/>
        <w:spacing w:val="-1"/>
        <w:w w:val="100"/>
        <w:sz w:val="18"/>
        <w:szCs w:val="18"/>
        <w:lang w:val="en-au" w:eastAsia="en-US" w:bidi="ar-SA"/>
      </w:rPr>
    </w:lvl>
    <w:lvl w:ilvl="1">
      <w:start w:val="0"/>
      <w:numFmt w:val="bullet"/>
      <w:lvlText w:val="•"/>
      <w:lvlJc w:val="left"/>
      <w:pPr>
        <w:ind w:left="1988" w:hanging="221"/>
      </w:pPr>
      <w:rPr>
        <w:rFonts w:hint="default"/>
        <w:lang w:val="en-au" w:eastAsia="en-US" w:bidi="ar-SA"/>
      </w:rPr>
    </w:lvl>
    <w:lvl w:ilvl="2">
      <w:start w:val="0"/>
      <w:numFmt w:val="bullet"/>
      <w:lvlText w:val="•"/>
      <w:lvlJc w:val="left"/>
      <w:pPr>
        <w:ind w:left="3057" w:hanging="221"/>
      </w:pPr>
      <w:rPr>
        <w:rFonts w:hint="default"/>
        <w:lang w:val="en-au" w:eastAsia="en-US" w:bidi="ar-SA"/>
      </w:rPr>
    </w:lvl>
    <w:lvl w:ilvl="3">
      <w:start w:val="0"/>
      <w:numFmt w:val="bullet"/>
      <w:lvlText w:val="•"/>
      <w:lvlJc w:val="left"/>
      <w:pPr>
        <w:ind w:left="4125" w:hanging="221"/>
      </w:pPr>
      <w:rPr>
        <w:rFonts w:hint="default"/>
        <w:lang w:val="en-au" w:eastAsia="en-US" w:bidi="ar-SA"/>
      </w:rPr>
    </w:lvl>
    <w:lvl w:ilvl="4">
      <w:start w:val="0"/>
      <w:numFmt w:val="bullet"/>
      <w:lvlText w:val="•"/>
      <w:lvlJc w:val="left"/>
      <w:pPr>
        <w:ind w:left="5194" w:hanging="221"/>
      </w:pPr>
      <w:rPr>
        <w:rFonts w:hint="default"/>
        <w:lang w:val="en-au" w:eastAsia="en-US" w:bidi="ar-SA"/>
      </w:rPr>
    </w:lvl>
    <w:lvl w:ilvl="5">
      <w:start w:val="0"/>
      <w:numFmt w:val="bullet"/>
      <w:lvlText w:val="•"/>
      <w:lvlJc w:val="left"/>
      <w:pPr>
        <w:ind w:left="6263" w:hanging="221"/>
      </w:pPr>
      <w:rPr>
        <w:rFonts w:hint="default"/>
        <w:lang w:val="en-au" w:eastAsia="en-US" w:bidi="ar-SA"/>
      </w:rPr>
    </w:lvl>
    <w:lvl w:ilvl="6">
      <w:start w:val="0"/>
      <w:numFmt w:val="bullet"/>
      <w:lvlText w:val="•"/>
      <w:lvlJc w:val="left"/>
      <w:pPr>
        <w:ind w:left="7331" w:hanging="221"/>
      </w:pPr>
      <w:rPr>
        <w:rFonts w:hint="default"/>
        <w:lang w:val="en-au" w:eastAsia="en-US" w:bidi="ar-SA"/>
      </w:rPr>
    </w:lvl>
    <w:lvl w:ilvl="7">
      <w:start w:val="0"/>
      <w:numFmt w:val="bullet"/>
      <w:lvlText w:val="•"/>
      <w:lvlJc w:val="left"/>
      <w:pPr>
        <w:ind w:left="8400" w:hanging="221"/>
      </w:pPr>
      <w:rPr>
        <w:rFonts w:hint="default"/>
        <w:lang w:val="en-au" w:eastAsia="en-US" w:bidi="ar-SA"/>
      </w:rPr>
    </w:lvl>
    <w:lvl w:ilvl="8">
      <w:start w:val="0"/>
      <w:numFmt w:val="bullet"/>
      <w:lvlText w:val="•"/>
      <w:lvlJc w:val="left"/>
      <w:pPr>
        <w:ind w:left="9469" w:hanging="221"/>
      </w:pPr>
      <w:rPr>
        <w:rFonts w:hint="default"/>
        <w:lang w:val="en-au" w:eastAsia="en-US" w:bidi="ar-SA"/>
      </w:rPr>
    </w:lvl>
  </w:abstractNum>
  <w:abstractNum w:abstractNumId="91">
    <w:multiLevelType w:val="hybridMultilevel"/>
    <w:lvl w:ilvl="0">
      <w:start w:val="1"/>
      <w:numFmt w:val="lowerLetter"/>
      <w:lvlText w:val="%1."/>
      <w:lvlJc w:val="left"/>
      <w:pPr>
        <w:ind w:left="974" w:hanging="272"/>
        <w:jc w:val="left"/>
      </w:pPr>
      <w:rPr>
        <w:rFonts w:hint="default" w:ascii="Century Gothic" w:hAnsi="Century Gothic" w:eastAsia="Century Gothic" w:cs="Century Gothic"/>
        <w:b w:val="0"/>
        <w:bCs w:val="0"/>
        <w:i w:val="0"/>
        <w:iCs w:val="0"/>
        <w:spacing w:val="-1"/>
        <w:w w:val="100"/>
        <w:sz w:val="18"/>
        <w:szCs w:val="18"/>
        <w:lang w:val="en-au" w:eastAsia="en-US" w:bidi="ar-SA"/>
      </w:rPr>
    </w:lvl>
    <w:lvl w:ilvl="1">
      <w:start w:val="0"/>
      <w:numFmt w:val="bullet"/>
      <w:lvlText w:val="•"/>
      <w:lvlJc w:val="left"/>
      <w:pPr>
        <w:ind w:left="2042" w:hanging="272"/>
      </w:pPr>
      <w:rPr>
        <w:rFonts w:hint="default"/>
        <w:lang w:val="en-au" w:eastAsia="en-US" w:bidi="ar-SA"/>
      </w:rPr>
    </w:lvl>
    <w:lvl w:ilvl="2">
      <w:start w:val="0"/>
      <w:numFmt w:val="bullet"/>
      <w:lvlText w:val="•"/>
      <w:lvlJc w:val="left"/>
      <w:pPr>
        <w:ind w:left="3105" w:hanging="272"/>
      </w:pPr>
      <w:rPr>
        <w:rFonts w:hint="default"/>
        <w:lang w:val="en-au" w:eastAsia="en-US" w:bidi="ar-SA"/>
      </w:rPr>
    </w:lvl>
    <w:lvl w:ilvl="3">
      <w:start w:val="0"/>
      <w:numFmt w:val="bullet"/>
      <w:lvlText w:val="•"/>
      <w:lvlJc w:val="left"/>
      <w:pPr>
        <w:ind w:left="4167" w:hanging="272"/>
      </w:pPr>
      <w:rPr>
        <w:rFonts w:hint="default"/>
        <w:lang w:val="en-au" w:eastAsia="en-US" w:bidi="ar-SA"/>
      </w:rPr>
    </w:lvl>
    <w:lvl w:ilvl="4">
      <w:start w:val="0"/>
      <w:numFmt w:val="bullet"/>
      <w:lvlText w:val="•"/>
      <w:lvlJc w:val="left"/>
      <w:pPr>
        <w:ind w:left="5230" w:hanging="272"/>
      </w:pPr>
      <w:rPr>
        <w:rFonts w:hint="default"/>
        <w:lang w:val="en-au" w:eastAsia="en-US" w:bidi="ar-SA"/>
      </w:rPr>
    </w:lvl>
    <w:lvl w:ilvl="5">
      <w:start w:val="0"/>
      <w:numFmt w:val="bullet"/>
      <w:lvlText w:val="•"/>
      <w:lvlJc w:val="left"/>
      <w:pPr>
        <w:ind w:left="6293" w:hanging="272"/>
      </w:pPr>
      <w:rPr>
        <w:rFonts w:hint="default"/>
        <w:lang w:val="en-au" w:eastAsia="en-US" w:bidi="ar-SA"/>
      </w:rPr>
    </w:lvl>
    <w:lvl w:ilvl="6">
      <w:start w:val="0"/>
      <w:numFmt w:val="bullet"/>
      <w:lvlText w:val="•"/>
      <w:lvlJc w:val="left"/>
      <w:pPr>
        <w:ind w:left="7355" w:hanging="272"/>
      </w:pPr>
      <w:rPr>
        <w:rFonts w:hint="default"/>
        <w:lang w:val="en-au" w:eastAsia="en-US" w:bidi="ar-SA"/>
      </w:rPr>
    </w:lvl>
    <w:lvl w:ilvl="7">
      <w:start w:val="0"/>
      <w:numFmt w:val="bullet"/>
      <w:lvlText w:val="•"/>
      <w:lvlJc w:val="left"/>
      <w:pPr>
        <w:ind w:left="8418" w:hanging="272"/>
      </w:pPr>
      <w:rPr>
        <w:rFonts w:hint="default"/>
        <w:lang w:val="en-au" w:eastAsia="en-US" w:bidi="ar-SA"/>
      </w:rPr>
    </w:lvl>
    <w:lvl w:ilvl="8">
      <w:start w:val="0"/>
      <w:numFmt w:val="bullet"/>
      <w:lvlText w:val="•"/>
      <w:lvlJc w:val="left"/>
      <w:pPr>
        <w:ind w:left="9481" w:hanging="272"/>
      </w:pPr>
      <w:rPr>
        <w:rFonts w:hint="default"/>
        <w:lang w:val="en-au" w:eastAsia="en-US" w:bidi="ar-SA"/>
      </w:rPr>
    </w:lvl>
  </w:abstractNum>
  <w:abstractNum w:abstractNumId="90">
    <w:multiLevelType w:val="hybridMultilevel"/>
    <w:lvl w:ilvl="0">
      <w:start w:val="1"/>
      <w:numFmt w:val="lowerLetter"/>
      <w:lvlText w:val="%1."/>
      <w:lvlJc w:val="left"/>
      <w:pPr>
        <w:ind w:left="986" w:hanging="284"/>
        <w:jc w:val="left"/>
      </w:pPr>
      <w:rPr>
        <w:rFonts w:hint="default" w:ascii="Century Gothic" w:hAnsi="Century Gothic" w:eastAsia="Century Gothic" w:cs="Century Gothic"/>
        <w:b w:val="0"/>
        <w:bCs w:val="0"/>
        <w:i w:val="0"/>
        <w:iCs w:val="0"/>
        <w:spacing w:val="-1"/>
        <w:w w:val="100"/>
        <w:sz w:val="18"/>
        <w:szCs w:val="18"/>
        <w:lang w:val="en-au" w:eastAsia="en-US" w:bidi="ar-SA"/>
      </w:rPr>
    </w:lvl>
    <w:lvl w:ilvl="1">
      <w:start w:val="0"/>
      <w:numFmt w:val="bullet"/>
      <w:lvlText w:val="•"/>
      <w:lvlJc w:val="left"/>
      <w:pPr>
        <w:ind w:left="2042" w:hanging="284"/>
      </w:pPr>
      <w:rPr>
        <w:rFonts w:hint="default"/>
        <w:lang w:val="en-au" w:eastAsia="en-US" w:bidi="ar-SA"/>
      </w:rPr>
    </w:lvl>
    <w:lvl w:ilvl="2">
      <w:start w:val="0"/>
      <w:numFmt w:val="bullet"/>
      <w:lvlText w:val="•"/>
      <w:lvlJc w:val="left"/>
      <w:pPr>
        <w:ind w:left="3105" w:hanging="284"/>
      </w:pPr>
      <w:rPr>
        <w:rFonts w:hint="default"/>
        <w:lang w:val="en-au" w:eastAsia="en-US" w:bidi="ar-SA"/>
      </w:rPr>
    </w:lvl>
    <w:lvl w:ilvl="3">
      <w:start w:val="0"/>
      <w:numFmt w:val="bullet"/>
      <w:lvlText w:val="•"/>
      <w:lvlJc w:val="left"/>
      <w:pPr>
        <w:ind w:left="4167" w:hanging="284"/>
      </w:pPr>
      <w:rPr>
        <w:rFonts w:hint="default"/>
        <w:lang w:val="en-au" w:eastAsia="en-US" w:bidi="ar-SA"/>
      </w:rPr>
    </w:lvl>
    <w:lvl w:ilvl="4">
      <w:start w:val="0"/>
      <w:numFmt w:val="bullet"/>
      <w:lvlText w:val="•"/>
      <w:lvlJc w:val="left"/>
      <w:pPr>
        <w:ind w:left="5230" w:hanging="284"/>
      </w:pPr>
      <w:rPr>
        <w:rFonts w:hint="default"/>
        <w:lang w:val="en-au" w:eastAsia="en-US" w:bidi="ar-SA"/>
      </w:rPr>
    </w:lvl>
    <w:lvl w:ilvl="5">
      <w:start w:val="0"/>
      <w:numFmt w:val="bullet"/>
      <w:lvlText w:val="•"/>
      <w:lvlJc w:val="left"/>
      <w:pPr>
        <w:ind w:left="6293" w:hanging="284"/>
      </w:pPr>
      <w:rPr>
        <w:rFonts w:hint="default"/>
        <w:lang w:val="en-au" w:eastAsia="en-US" w:bidi="ar-SA"/>
      </w:rPr>
    </w:lvl>
    <w:lvl w:ilvl="6">
      <w:start w:val="0"/>
      <w:numFmt w:val="bullet"/>
      <w:lvlText w:val="•"/>
      <w:lvlJc w:val="left"/>
      <w:pPr>
        <w:ind w:left="7355" w:hanging="284"/>
      </w:pPr>
      <w:rPr>
        <w:rFonts w:hint="default"/>
        <w:lang w:val="en-au" w:eastAsia="en-US" w:bidi="ar-SA"/>
      </w:rPr>
    </w:lvl>
    <w:lvl w:ilvl="7">
      <w:start w:val="0"/>
      <w:numFmt w:val="bullet"/>
      <w:lvlText w:val="•"/>
      <w:lvlJc w:val="left"/>
      <w:pPr>
        <w:ind w:left="8418" w:hanging="284"/>
      </w:pPr>
      <w:rPr>
        <w:rFonts w:hint="default"/>
        <w:lang w:val="en-au" w:eastAsia="en-US" w:bidi="ar-SA"/>
      </w:rPr>
    </w:lvl>
    <w:lvl w:ilvl="8">
      <w:start w:val="0"/>
      <w:numFmt w:val="bullet"/>
      <w:lvlText w:val="•"/>
      <w:lvlJc w:val="left"/>
      <w:pPr>
        <w:ind w:left="9481" w:hanging="284"/>
      </w:pPr>
      <w:rPr>
        <w:rFonts w:hint="default"/>
        <w:lang w:val="en-au" w:eastAsia="en-US" w:bidi="ar-SA"/>
      </w:rPr>
    </w:lvl>
  </w:abstractNum>
  <w:abstractNum w:abstractNumId="89">
    <w:multiLevelType w:val="hybridMultilevel"/>
    <w:lvl w:ilvl="0">
      <w:start w:val="1"/>
      <w:numFmt w:val="decimal"/>
      <w:lvlText w:val="(%1)"/>
      <w:lvlJc w:val="left"/>
      <w:pPr>
        <w:ind w:left="1697" w:hanging="361"/>
        <w:jc w:val="left"/>
      </w:pPr>
      <w:rPr>
        <w:rFonts w:hint="default" w:ascii="Century Gothic" w:hAnsi="Century Gothic" w:eastAsia="Century Gothic" w:cs="Century Gothic"/>
        <w:b w:val="0"/>
        <w:bCs w:val="0"/>
        <w:i w:val="0"/>
        <w:iCs w:val="0"/>
        <w:spacing w:val="-4"/>
        <w:w w:val="100"/>
        <w:sz w:val="18"/>
        <w:szCs w:val="18"/>
        <w:lang w:val="en-au" w:eastAsia="en-US" w:bidi="ar-SA"/>
      </w:rPr>
    </w:lvl>
    <w:lvl w:ilvl="1">
      <w:start w:val="0"/>
      <w:numFmt w:val="bullet"/>
      <w:lvlText w:val="•"/>
      <w:lvlJc w:val="left"/>
      <w:pPr>
        <w:ind w:left="2690" w:hanging="361"/>
      </w:pPr>
      <w:rPr>
        <w:rFonts w:hint="default"/>
        <w:lang w:val="en-au" w:eastAsia="en-US" w:bidi="ar-SA"/>
      </w:rPr>
    </w:lvl>
    <w:lvl w:ilvl="2">
      <w:start w:val="0"/>
      <w:numFmt w:val="bullet"/>
      <w:lvlText w:val="•"/>
      <w:lvlJc w:val="left"/>
      <w:pPr>
        <w:ind w:left="3681" w:hanging="361"/>
      </w:pPr>
      <w:rPr>
        <w:rFonts w:hint="default"/>
        <w:lang w:val="en-au" w:eastAsia="en-US" w:bidi="ar-SA"/>
      </w:rPr>
    </w:lvl>
    <w:lvl w:ilvl="3">
      <w:start w:val="0"/>
      <w:numFmt w:val="bullet"/>
      <w:lvlText w:val="•"/>
      <w:lvlJc w:val="left"/>
      <w:pPr>
        <w:ind w:left="4671" w:hanging="361"/>
      </w:pPr>
      <w:rPr>
        <w:rFonts w:hint="default"/>
        <w:lang w:val="en-au" w:eastAsia="en-US" w:bidi="ar-SA"/>
      </w:rPr>
    </w:lvl>
    <w:lvl w:ilvl="4">
      <w:start w:val="0"/>
      <w:numFmt w:val="bullet"/>
      <w:lvlText w:val="•"/>
      <w:lvlJc w:val="left"/>
      <w:pPr>
        <w:ind w:left="5662" w:hanging="361"/>
      </w:pPr>
      <w:rPr>
        <w:rFonts w:hint="default"/>
        <w:lang w:val="en-au" w:eastAsia="en-US" w:bidi="ar-SA"/>
      </w:rPr>
    </w:lvl>
    <w:lvl w:ilvl="5">
      <w:start w:val="0"/>
      <w:numFmt w:val="bullet"/>
      <w:lvlText w:val="•"/>
      <w:lvlJc w:val="left"/>
      <w:pPr>
        <w:ind w:left="6653" w:hanging="361"/>
      </w:pPr>
      <w:rPr>
        <w:rFonts w:hint="default"/>
        <w:lang w:val="en-au" w:eastAsia="en-US" w:bidi="ar-SA"/>
      </w:rPr>
    </w:lvl>
    <w:lvl w:ilvl="6">
      <w:start w:val="0"/>
      <w:numFmt w:val="bullet"/>
      <w:lvlText w:val="•"/>
      <w:lvlJc w:val="left"/>
      <w:pPr>
        <w:ind w:left="7643" w:hanging="361"/>
      </w:pPr>
      <w:rPr>
        <w:rFonts w:hint="default"/>
        <w:lang w:val="en-au" w:eastAsia="en-US" w:bidi="ar-SA"/>
      </w:rPr>
    </w:lvl>
    <w:lvl w:ilvl="7">
      <w:start w:val="0"/>
      <w:numFmt w:val="bullet"/>
      <w:lvlText w:val="•"/>
      <w:lvlJc w:val="left"/>
      <w:pPr>
        <w:ind w:left="8634" w:hanging="361"/>
      </w:pPr>
      <w:rPr>
        <w:rFonts w:hint="default"/>
        <w:lang w:val="en-au" w:eastAsia="en-US" w:bidi="ar-SA"/>
      </w:rPr>
    </w:lvl>
    <w:lvl w:ilvl="8">
      <w:start w:val="0"/>
      <w:numFmt w:val="bullet"/>
      <w:lvlText w:val="•"/>
      <w:lvlJc w:val="left"/>
      <w:pPr>
        <w:ind w:left="9625" w:hanging="361"/>
      </w:pPr>
      <w:rPr>
        <w:rFonts w:hint="default"/>
        <w:lang w:val="en-au" w:eastAsia="en-US" w:bidi="ar-SA"/>
      </w:rPr>
    </w:lvl>
  </w:abstractNum>
  <w:abstractNum w:abstractNumId="88">
    <w:multiLevelType w:val="hybridMultilevel"/>
    <w:lvl w:ilvl="0">
      <w:start w:val="1"/>
      <w:numFmt w:val="decimal"/>
      <w:lvlText w:val="(%1)"/>
      <w:lvlJc w:val="left"/>
      <w:pPr>
        <w:ind w:left="1140" w:hanging="361"/>
        <w:jc w:val="left"/>
      </w:pPr>
      <w:rPr>
        <w:rFonts w:hint="default" w:ascii="Century Gothic" w:hAnsi="Century Gothic" w:eastAsia="Century Gothic" w:cs="Century Gothic"/>
        <w:b w:val="0"/>
        <w:bCs w:val="0"/>
        <w:i w:val="0"/>
        <w:iCs w:val="0"/>
        <w:spacing w:val="-4"/>
        <w:w w:val="100"/>
        <w:sz w:val="18"/>
        <w:szCs w:val="18"/>
        <w:lang w:val="en-au" w:eastAsia="en-US" w:bidi="ar-SA"/>
      </w:rPr>
    </w:lvl>
    <w:lvl w:ilvl="1">
      <w:start w:val="0"/>
      <w:numFmt w:val="bullet"/>
      <w:lvlText w:val="•"/>
      <w:lvlJc w:val="left"/>
      <w:pPr>
        <w:ind w:left="2186" w:hanging="361"/>
      </w:pPr>
      <w:rPr>
        <w:rFonts w:hint="default"/>
        <w:lang w:val="en-au" w:eastAsia="en-US" w:bidi="ar-SA"/>
      </w:rPr>
    </w:lvl>
    <w:lvl w:ilvl="2">
      <w:start w:val="0"/>
      <w:numFmt w:val="bullet"/>
      <w:lvlText w:val="•"/>
      <w:lvlJc w:val="left"/>
      <w:pPr>
        <w:ind w:left="3233" w:hanging="361"/>
      </w:pPr>
      <w:rPr>
        <w:rFonts w:hint="default"/>
        <w:lang w:val="en-au" w:eastAsia="en-US" w:bidi="ar-SA"/>
      </w:rPr>
    </w:lvl>
    <w:lvl w:ilvl="3">
      <w:start w:val="0"/>
      <w:numFmt w:val="bullet"/>
      <w:lvlText w:val="•"/>
      <w:lvlJc w:val="left"/>
      <w:pPr>
        <w:ind w:left="4279" w:hanging="361"/>
      </w:pPr>
      <w:rPr>
        <w:rFonts w:hint="default"/>
        <w:lang w:val="en-au" w:eastAsia="en-US" w:bidi="ar-SA"/>
      </w:rPr>
    </w:lvl>
    <w:lvl w:ilvl="4">
      <w:start w:val="0"/>
      <w:numFmt w:val="bullet"/>
      <w:lvlText w:val="•"/>
      <w:lvlJc w:val="left"/>
      <w:pPr>
        <w:ind w:left="5326" w:hanging="361"/>
      </w:pPr>
      <w:rPr>
        <w:rFonts w:hint="default"/>
        <w:lang w:val="en-au" w:eastAsia="en-US" w:bidi="ar-SA"/>
      </w:rPr>
    </w:lvl>
    <w:lvl w:ilvl="5">
      <w:start w:val="0"/>
      <w:numFmt w:val="bullet"/>
      <w:lvlText w:val="•"/>
      <w:lvlJc w:val="left"/>
      <w:pPr>
        <w:ind w:left="6373" w:hanging="361"/>
      </w:pPr>
      <w:rPr>
        <w:rFonts w:hint="default"/>
        <w:lang w:val="en-au" w:eastAsia="en-US" w:bidi="ar-SA"/>
      </w:rPr>
    </w:lvl>
    <w:lvl w:ilvl="6">
      <w:start w:val="0"/>
      <w:numFmt w:val="bullet"/>
      <w:lvlText w:val="•"/>
      <w:lvlJc w:val="left"/>
      <w:pPr>
        <w:ind w:left="7419" w:hanging="361"/>
      </w:pPr>
      <w:rPr>
        <w:rFonts w:hint="default"/>
        <w:lang w:val="en-au" w:eastAsia="en-US" w:bidi="ar-SA"/>
      </w:rPr>
    </w:lvl>
    <w:lvl w:ilvl="7">
      <w:start w:val="0"/>
      <w:numFmt w:val="bullet"/>
      <w:lvlText w:val="•"/>
      <w:lvlJc w:val="left"/>
      <w:pPr>
        <w:ind w:left="8466" w:hanging="361"/>
      </w:pPr>
      <w:rPr>
        <w:rFonts w:hint="default"/>
        <w:lang w:val="en-au" w:eastAsia="en-US" w:bidi="ar-SA"/>
      </w:rPr>
    </w:lvl>
    <w:lvl w:ilvl="8">
      <w:start w:val="0"/>
      <w:numFmt w:val="bullet"/>
      <w:lvlText w:val="•"/>
      <w:lvlJc w:val="left"/>
      <w:pPr>
        <w:ind w:left="9513" w:hanging="361"/>
      </w:pPr>
      <w:rPr>
        <w:rFonts w:hint="default"/>
        <w:lang w:val="en-au" w:eastAsia="en-US" w:bidi="ar-SA"/>
      </w:rPr>
    </w:lvl>
  </w:abstractNum>
  <w:abstractNum w:abstractNumId="87">
    <w:multiLevelType w:val="hybridMultilevel"/>
    <w:lvl w:ilvl="0">
      <w:start w:val="2"/>
      <w:numFmt w:val="decimal"/>
      <w:lvlText w:val="%1"/>
      <w:lvlJc w:val="left"/>
      <w:pPr>
        <w:ind w:left="420" w:hanging="305"/>
        <w:jc w:val="left"/>
      </w:pPr>
      <w:rPr>
        <w:rFonts w:hint="default"/>
        <w:lang w:val="en-au" w:eastAsia="en-US" w:bidi="ar-SA"/>
      </w:rPr>
    </w:lvl>
    <w:lvl w:ilvl="1">
      <w:start w:val="2"/>
      <w:numFmt w:val="decimal"/>
      <w:lvlText w:val="%1.%2"/>
      <w:lvlJc w:val="left"/>
      <w:pPr>
        <w:ind w:left="420" w:hanging="305"/>
        <w:jc w:val="left"/>
      </w:pPr>
      <w:rPr>
        <w:rFonts w:hint="default" w:ascii="Century Gothic" w:hAnsi="Century Gothic" w:eastAsia="Century Gothic" w:cs="Century Gothic"/>
        <w:b w:val="0"/>
        <w:bCs w:val="0"/>
        <w:i w:val="0"/>
        <w:iCs w:val="0"/>
        <w:spacing w:val="-2"/>
        <w:w w:val="100"/>
        <w:sz w:val="18"/>
        <w:szCs w:val="18"/>
        <w:lang w:val="en-au" w:eastAsia="en-US" w:bidi="ar-SA"/>
      </w:rPr>
    </w:lvl>
    <w:lvl w:ilvl="2">
      <w:start w:val="0"/>
      <w:numFmt w:val="bullet"/>
      <w:lvlText w:val="•"/>
      <w:lvlJc w:val="left"/>
      <w:pPr>
        <w:ind w:left="2657" w:hanging="305"/>
      </w:pPr>
      <w:rPr>
        <w:rFonts w:hint="default"/>
        <w:lang w:val="en-au" w:eastAsia="en-US" w:bidi="ar-SA"/>
      </w:rPr>
    </w:lvl>
    <w:lvl w:ilvl="3">
      <w:start w:val="0"/>
      <w:numFmt w:val="bullet"/>
      <w:lvlText w:val="•"/>
      <w:lvlJc w:val="left"/>
      <w:pPr>
        <w:ind w:left="3775" w:hanging="305"/>
      </w:pPr>
      <w:rPr>
        <w:rFonts w:hint="default"/>
        <w:lang w:val="en-au" w:eastAsia="en-US" w:bidi="ar-SA"/>
      </w:rPr>
    </w:lvl>
    <w:lvl w:ilvl="4">
      <w:start w:val="0"/>
      <w:numFmt w:val="bullet"/>
      <w:lvlText w:val="•"/>
      <w:lvlJc w:val="left"/>
      <w:pPr>
        <w:ind w:left="4894" w:hanging="305"/>
      </w:pPr>
      <w:rPr>
        <w:rFonts w:hint="default"/>
        <w:lang w:val="en-au" w:eastAsia="en-US" w:bidi="ar-SA"/>
      </w:rPr>
    </w:lvl>
    <w:lvl w:ilvl="5">
      <w:start w:val="0"/>
      <w:numFmt w:val="bullet"/>
      <w:lvlText w:val="•"/>
      <w:lvlJc w:val="left"/>
      <w:pPr>
        <w:ind w:left="6013" w:hanging="305"/>
      </w:pPr>
      <w:rPr>
        <w:rFonts w:hint="default"/>
        <w:lang w:val="en-au" w:eastAsia="en-US" w:bidi="ar-SA"/>
      </w:rPr>
    </w:lvl>
    <w:lvl w:ilvl="6">
      <w:start w:val="0"/>
      <w:numFmt w:val="bullet"/>
      <w:lvlText w:val="•"/>
      <w:lvlJc w:val="left"/>
      <w:pPr>
        <w:ind w:left="7131" w:hanging="305"/>
      </w:pPr>
      <w:rPr>
        <w:rFonts w:hint="default"/>
        <w:lang w:val="en-au" w:eastAsia="en-US" w:bidi="ar-SA"/>
      </w:rPr>
    </w:lvl>
    <w:lvl w:ilvl="7">
      <w:start w:val="0"/>
      <w:numFmt w:val="bullet"/>
      <w:lvlText w:val="•"/>
      <w:lvlJc w:val="left"/>
      <w:pPr>
        <w:ind w:left="8250" w:hanging="305"/>
      </w:pPr>
      <w:rPr>
        <w:rFonts w:hint="default"/>
        <w:lang w:val="en-au" w:eastAsia="en-US" w:bidi="ar-SA"/>
      </w:rPr>
    </w:lvl>
    <w:lvl w:ilvl="8">
      <w:start w:val="0"/>
      <w:numFmt w:val="bullet"/>
      <w:lvlText w:val="•"/>
      <w:lvlJc w:val="left"/>
      <w:pPr>
        <w:ind w:left="9369" w:hanging="305"/>
      </w:pPr>
      <w:rPr>
        <w:rFonts w:hint="default"/>
        <w:lang w:val="en-au" w:eastAsia="en-US" w:bidi="ar-SA"/>
      </w:rPr>
    </w:lvl>
  </w:abstractNum>
  <w:abstractNum w:abstractNumId="86">
    <w:multiLevelType w:val="hybridMultilevel"/>
    <w:lvl w:ilvl="0">
      <w:start w:val="1"/>
      <w:numFmt w:val="decimal"/>
      <w:lvlText w:val="%1."/>
      <w:lvlJc w:val="left"/>
      <w:pPr>
        <w:ind w:left="621" w:hanging="202"/>
        <w:jc w:val="left"/>
      </w:pPr>
      <w:rPr>
        <w:rFonts w:hint="default" w:ascii="Century Gothic" w:hAnsi="Century Gothic" w:eastAsia="Century Gothic" w:cs="Century Gothic"/>
        <w:b w:val="0"/>
        <w:bCs w:val="0"/>
        <w:i w:val="0"/>
        <w:iCs w:val="0"/>
        <w:w w:val="100"/>
        <w:sz w:val="18"/>
        <w:szCs w:val="18"/>
        <w:lang w:val="en-au" w:eastAsia="en-US" w:bidi="ar-SA"/>
      </w:rPr>
    </w:lvl>
    <w:lvl w:ilvl="1">
      <w:start w:val="1"/>
      <w:numFmt w:val="decimal"/>
      <w:lvlText w:val="%1.%2"/>
      <w:lvlJc w:val="left"/>
      <w:pPr>
        <w:ind w:left="420" w:hanging="298"/>
        <w:jc w:val="left"/>
      </w:pPr>
      <w:rPr>
        <w:rFonts w:hint="default" w:ascii="Century Gothic" w:hAnsi="Century Gothic" w:eastAsia="Century Gothic" w:cs="Century Gothic"/>
        <w:b w:val="0"/>
        <w:bCs w:val="0"/>
        <w:i w:val="0"/>
        <w:iCs w:val="0"/>
        <w:spacing w:val="-2"/>
        <w:w w:val="100"/>
        <w:sz w:val="18"/>
        <w:szCs w:val="18"/>
        <w:lang w:val="en-au" w:eastAsia="en-US" w:bidi="ar-SA"/>
      </w:rPr>
    </w:lvl>
    <w:lvl w:ilvl="2">
      <w:start w:val="0"/>
      <w:numFmt w:val="bullet"/>
      <w:lvlText w:val="•"/>
      <w:lvlJc w:val="left"/>
      <w:pPr>
        <w:ind w:left="1840" w:hanging="298"/>
      </w:pPr>
      <w:rPr>
        <w:rFonts w:hint="default"/>
        <w:lang w:val="en-au" w:eastAsia="en-US" w:bidi="ar-SA"/>
      </w:rPr>
    </w:lvl>
    <w:lvl w:ilvl="3">
      <w:start w:val="0"/>
      <w:numFmt w:val="bullet"/>
      <w:lvlText w:val="•"/>
      <w:lvlJc w:val="left"/>
      <w:pPr>
        <w:ind w:left="3061" w:hanging="298"/>
      </w:pPr>
      <w:rPr>
        <w:rFonts w:hint="default"/>
        <w:lang w:val="en-au" w:eastAsia="en-US" w:bidi="ar-SA"/>
      </w:rPr>
    </w:lvl>
    <w:lvl w:ilvl="4">
      <w:start w:val="0"/>
      <w:numFmt w:val="bullet"/>
      <w:lvlText w:val="•"/>
      <w:lvlJc w:val="left"/>
      <w:pPr>
        <w:ind w:left="4282" w:hanging="298"/>
      </w:pPr>
      <w:rPr>
        <w:rFonts w:hint="default"/>
        <w:lang w:val="en-au" w:eastAsia="en-US" w:bidi="ar-SA"/>
      </w:rPr>
    </w:lvl>
    <w:lvl w:ilvl="5">
      <w:start w:val="0"/>
      <w:numFmt w:val="bullet"/>
      <w:lvlText w:val="•"/>
      <w:lvlJc w:val="left"/>
      <w:pPr>
        <w:ind w:left="5502" w:hanging="298"/>
      </w:pPr>
      <w:rPr>
        <w:rFonts w:hint="default"/>
        <w:lang w:val="en-au" w:eastAsia="en-US" w:bidi="ar-SA"/>
      </w:rPr>
    </w:lvl>
    <w:lvl w:ilvl="6">
      <w:start w:val="0"/>
      <w:numFmt w:val="bullet"/>
      <w:lvlText w:val="•"/>
      <w:lvlJc w:val="left"/>
      <w:pPr>
        <w:ind w:left="6723" w:hanging="298"/>
      </w:pPr>
      <w:rPr>
        <w:rFonts w:hint="default"/>
        <w:lang w:val="en-au" w:eastAsia="en-US" w:bidi="ar-SA"/>
      </w:rPr>
    </w:lvl>
    <w:lvl w:ilvl="7">
      <w:start w:val="0"/>
      <w:numFmt w:val="bullet"/>
      <w:lvlText w:val="•"/>
      <w:lvlJc w:val="left"/>
      <w:pPr>
        <w:ind w:left="7944" w:hanging="298"/>
      </w:pPr>
      <w:rPr>
        <w:rFonts w:hint="default"/>
        <w:lang w:val="en-au" w:eastAsia="en-US" w:bidi="ar-SA"/>
      </w:rPr>
    </w:lvl>
    <w:lvl w:ilvl="8">
      <w:start w:val="0"/>
      <w:numFmt w:val="bullet"/>
      <w:lvlText w:val="•"/>
      <w:lvlJc w:val="left"/>
      <w:pPr>
        <w:ind w:left="9164" w:hanging="298"/>
      </w:pPr>
      <w:rPr>
        <w:rFonts w:hint="default"/>
        <w:lang w:val="en-au" w:eastAsia="en-US" w:bidi="ar-SA"/>
      </w:rPr>
    </w:lvl>
  </w:abstractNum>
  <w:abstractNum w:abstractNumId="85">
    <w:multiLevelType w:val="hybridMultilevel"/>
    <w:lvl w:ilvl="0">
      <w:start w:val="1"/>
      <w:numFmt w:val="decimal"/>
      <w:lvlText w:val="%1."/>
      <w:lvlJc w:val="left"/>
      <w:pPr>
        <w:ind w:left="420" w:hanging="199"/>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1538" w:hanging="199"/>
      </w:pPr>
      <w:rPr>
        <w:rFonts w:hint="default"/>
        <w:lang w:val="en-au" w:eastAsia="en-US" w:bidi="ar-SA"/>
      </w:rPr>
    </w:lvl>
    <w:lvl w:ilvl="2">
      <w:start w:val="0"/>
      <w:numFmt w:val="bullet"/>
      <w:lvlText w:val="•"/>
      <w:lvlJc w:val="left"/>
      <w:pPr>
        <w:ind w:left="2657" w:hanging="199"/>
      </w:pPr>
      <w:rPr>
        <w:rFonts w:hint="default"/>
        <w:lang w:val="en-au" w:eastAsia="en-US" w:bidi="ar-SA"/>
      </w:rPr>
    </w:lvl>
    <w:lvl w:ilvl="3">
      <w:start w:val="0"/>
      <w:numFmt w:val="bullet"/>
      <w:lvlText w:val="•"/>
      <w:lvlJc w:val="left"/>
      <w:pPr>
        <w:ind w:left="3775" w:hanging="199"/>
      </w:pPr>
      <w:rPr>
        <w:rFonts w:hint="default"/>
        <w:lang w:val="en-au" w:eastAsia="en-US" w:bidi="ar-SA"/>
      </w:rPr>
    </w:lvl>
    <w:lvl w:ilvl="4">
      <w:start w:val="0"/>
      <w:numFmt w:val="bullet"/>
      <w:lvlText w:val="•"/>
      <w:lvlJc w:val="left"/>
      <w:pPr>
        <w:ind w:left="4894" w:hanging="199"/>
      </w:pPr>
      <w:rPr>
        <w:rFonts w:hint="default"/>
        <w:lang w:val="en-au" w:eastAsia="en-US" w:bidi="ar-SA"/>
      </w:rPr>
    </w:lvl>
    <w:lvl w:ilvl="5">
      <w:start w:val="0"/>
      <w:numFmt w:val="bullet"/>
      <w:lvlText w:val="•"/>
      <w:lvlJc w:val="left"/>
      <w:pPr>
        <w:ind w:left="6013" w:hanging="199"/>
      </w:pPr>
      <w:rPr>
        <w:rFonts w:hint="default"/>
        <w:lang w:val="en-au" w:eastAsia="en-US" w:bidi="ar-SA"/>
      </w:rPr>
    </w:lvl>
    <w:lvl w:ilvl="6">
      <w:start w:val="0"/>
      <w:numFmt w:val="bullet"/>
      <w:lvlText w:val="•"/>
      <w:lvlJc w:val="left"/>
      <w:pPr>
        <w:ind w:left="7131" w:hanging="199"/>
      </w:pPr>
      <w:rPr>
        <w:rFonts w:hint="default"/>
        <w:lang w:val="en-au" w:eastAsia="en-US" w:bidi="ar-SA"/>
      </w:rPr>
    </w:lvl>
    <w:lvl w:ilvl="7">
      <w:start w:val="0"/>
      <w:numFmt w:val="bullet"/>
      <w:lvlText w:val="•"/>
      <w:lvlJc w:val="left"/>
      <w:pPr>
        <w:ind w:left="8250" w:hanging="199"/>
      </w:pPr>
      <w:rPr>
        <w:rFonts w:hint="default"/>
        <w:lang w:val="en-au" w:eastAsia="en-US" w:bidi="ar-SA"/>
      </w:rPr>
    </w:lvl>
    <w:lvl w:ilvl="8">
      <w:start w:val="0"/>
      <w:numFmt w:val="bullet"/>
      <w:lvlText w:val="•"/>
      <w:lvlJc w:val="left"/>
      <w:pPr>
        <w:ind w:left="9369" w:hanging="199"/>
      </w:pPr>
      <w:rPr>
        <w:rFonts w:hint="default"/>
        <w:lang w:val="en-au" w:eastAsia="en-US" w:bidi="ar-SA"/>
      </w:rPr>
    </w:lvl>
  </w:abstractNum>
  <w:abstractNum w:abstractNumId="84">
    <w:multiLevelType w:val="hybridMultilevel"/>
    <w:lvl w:ilvl="0">
      <w:start w:val="1"/>
      <w:numFmt w:val="decimal"/>
      <w:lvlText w:val="%1"/>
      <w:lvlJc w:val="left"/>
      <w:pPr>
        <w:ind w:left="1637" w:hanging="152"/>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2636" w:hanging="152"/>
      </w:pPr>
      <w:rPr>
        <w:rFonts w:hint="default"/>
        <w:lang w:val="en-au" w:eastAsia="en-US" w:bidi="ar-SA"/>
      </w:rPr>
    </w:lvl>
    <w:lvl w:ilvl="2">
      <w:start w:val="0"/>
      <w:numFmt w:val="bullet"/>
      <w:lvlText w:val="•"/>
      <w:lvlJc w:val="left"/>
      <w:pPr>
        <w:ind w:left="3633" w:hanging="152"/>
      </w:pPr>
      <w:rPr>
        <w:rFonts w:hint="default"/>
        <w:lang w:val="en-au" w:eastAsia="en-US" w:bidi="ar-SA"/>
      </w:rPr>
    </w:lvl>
    <w:lvl w:ilvl="3">
      <w:start w:val="0"/>
      <w:numFmt w:val="bullet"/>
      <w:lvlText w:val="•"/>
      <w:lvlJc w:val="left"/>
      <w:pPr>
        <w:ind w:left="4629" w:hanging="152"/>
      </w:pPr>
      <w:rPr>
        <w:rFonts w:hint="default"/>
        <w:lang w:val="en-au" w:eastAsia="en-US" w:bidi="ar-SA"/>
      </w:rPr>
    </w:lvl>
    <w:lvl w:ilvl="4">
      <w:start w:val="0"/>
      <w:numFmt w:val="bullet"/>
      <w:lvlText w:val="•"/>
      <w:lvlJc w:val="left"/>
      <w:pPr>
        <w:ind w:left="5626" w:hanging="152"/>
      </w:pPr>
      <w:rPr>
        <w:rFonts w:hint="default"/>
        <w:lang w:val="en-au" w:eastAsia="en-US" w:bidi="ar-SA"/>
      </w:rPr>
    </w:lvl>
    <w:lvl w:ilvl="5">
      <w:start w:val="0"/>
      <w:numFmt w:val="bullet"/>
      <w:lvlText w:val="•"/>
      <w:lvlJc w:val="left"/>
      <w:pPr>
        <w:ind w:left="6623" w:hanging="152"/>
      </w:pPr>
      <w:rPr>
        <w:rFonts w:hint="default"/>
        <w:lang w:val="en-au" w:eastAsia="en-US" w:bidi="ar-SA"/>
      </w:rPr>
    </w:lvl>
    <w:lvl w:ilvl="6">
      <w:start w:val="0"/>
      <w:numFmt w:val="bullet"/>
      <w:lvlText w:val="•"/>
      <w:lvlJc w:val="left"/>
      <w:pPr>
        <w:ind w:left="7619" w:hanging="152"/>
      </w:pPr>
      <w:rPr>
        <w:rFonts w:hint="default"/>
        <w:lang w:val="en-au" w:eastAsia="en-US" w:bidi="ar-SA"/>
      </w:rPr>
    </w:lvl>
    <w:lvl w:ilvl="7">
      <w:start w:val="0"/>
      <w:numFmt w:val="bullet"/>
      <w:lvlText w:val="•"/>
      <w:lvlJc w:val="left"/>
      <w:pPr>
        <w:ind w:left="8616" w:hanging="152"/>
      </w:pPr>
      <w:rPr>
        <w:rFonts w:hint="default"/>
        <w:lang w:val="en-au" w:eastAsia="en-US" w:bidi="ar-SA"/>
      </w:rPr>
    </w:lvl>
    <w:lvl w:ilvl="8">
      <w:start w:val="0"/>
      <w:numFmt w:val="bullet"/>
      <w:lvlText w:val="•"/>
      <w:lvlJc w:val="left"/>
      <w:pPr>
        <w:ind w:left="9613" w:hanging="152"/>
      </w:pPr>
      <w:rPr>
        <w:rFonts w:hint="default"/>
        <w:lang w:val="en-au" w:eastAsia="en-US" w:bidi="ar-SA"/>
      </w:rPr>
    </w:lvl>
  </w:abstractNum>
  <w:abstractNum w:abstractNumId="83">
    <w:multiLevelType w:val="hybridMultilevel"/>
    <w:lvl w:ilvl="0">
      <w:start w:val="1"/>
      <w:numFmt w:val="decimal"/>
      <w:lvlText w:val="%1"/>
      <w:lvlJc w:val="left"/>
      <w:pPr>
        <w:ind w:left="1637" w:hanging="152"/>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2636" w:hanging="152"/>
      </w:pPr>
      <w:rPr>
        <w:rFonts w:hint="default"/>
        <w:lang w:val="en-au" w:eastAsia="en-US" w:bidi="ar-SA"/>
      </w:rPr>
    </w:lvl>
    <w:lvl w:ilvl="2">
      <w:start w:val="0"/>
      <w:numFmt w:val="bullet"/>
      <w:lvlText w:val="•"/>
      <w:lvlJc w:val="left"/>
      <w:pPr>
        <w:ind w:left="3633" w:hanging="152"/>
      </w:pPr>
      <w:rPr>
        <w:rFonts w:hint="default"/>
        <w:lang w:val="en-au" w:eastAsia="en-US" w:bidi="ar-SA"/>
      </w:rPr>
    </w:lvl>
    <w:lvl w:ilvl="3">
      <w:start w:val="0"/>
      <w:numFmt w:val="bullet"/>
      <w:lvlText w:val="•"/>
      <w:lvlJc w:val="left"/>
      <w:pPr>
        <w:ind w:left="4629" w:hanging="152"/>
      </w:pPr>
      <w:rPr>
        <w:rFonts w:hint="default"/>
        <w:lang w:val="en-au" w:eastAsia="en-US" w:bidi="ar-SA"/>
      </w:rPr>
    </w:lvl>
    <w:lvl w:ilvl="4">
      <w:start w:val="0"/>
      <w:numFmt w:val="bullet"/>
      <w:lvlText w:val="•"/>
      <w:lvlJc w:val="left"/>
      <w:pPr>
        <w:ind w:left="5626" w:hanging="152"/>
      </w:pPr>
      <w:rPr>
        <w:rFonts w:hint="default"/>
        <w:lang w:val="en-au" w:eastAsia="en-US" w:bidi="ar-SA"/>
      </w:rPr>
    </w:lvl>
    <w:lvl w:ilvl="5">
      <w:start w:val="0"/>
      <w:numFmt w:val="bullet"/>
      <w:lvlText w:val="•"/>
      <w:lvlJc w:val="left"/>
      <w:pPr>
        <w:ind w:left="6623" w:hanging="152"/>
      </w:pPr>
      <w:rPr>
        <w:rFonts w:hint="default"/>
        <w:lang w:val="en-au" w:eastAsia="en-US" w:bidi="ar-SA"/>
      </w:rPr>
    </w:lvl>
    <w:lvl w:ilvl="6">
      <w:start w:val="0"/>
      <w:numFmt w:val="bullet"/>
      <w:lvlText w:val="•"/>
      <w:lvlJc w:val="left"/>
      <w:pPr>
        <w:ind w:left="7619" w:hanging="152"/>
      </w:pPr>
      <w:rPr>
        <w:rFonts w:hint="default"/>
        <w:lang w:val="en-au" w:eastAsia="en-US" w:bidi="ar-SA"/>
      </w:rPr>
    </w:lvl>
    <w:lvl w:ilvl="7">
      <w:start w:val="0"/>
      <w:numFmt w:val="bullet"/>
      <w:lvlText w:val="•"/>
      <w:lvlJc w:val="left"/>
      <w:pPr>
        <w:ind w:left="8616" w:hanging="152"/>
      </w:pPr>
      <w:rPr>
        <w:rFonts w:hint="default"/>
        <w:lang w:val="en-au" w:eastAsia="en-US" w:bidi="ar-SA"/>
      </w:rPr>
    </w:lvl>
    <w:lvl w:ilvl="8">
      <w:start w:val="0"/>
      <w:numFmt w:val="bullet"/>
      <w:lvlText w:val="•"/>
      <w:lvlJc w:val="left"/>
      <w:pPr>
        <w:ind w:left="9613" w:hanging="152"/>
      </w:pPr>
      <w:rPr>
        <w:rFonts w:hint="default"/>
        <w:lang w:val="en-au" w:eastAsia="en-US" w:bidi="ar-SA"/>
      </w:rPr>
    </w:lvl>
  </w:abstractNum>
  <w:abstractNum w:abstractNumId="82">
    <w:multiLevelType w:val="hybridMultilevel"/>
    <w:lvl w:ilvl="0">
      <w:start w:val="4"/>
      <w:numFmt w:val="decimal"/>
      <w:lvlText w:val="%1"/>
      <w:lvlJc w:val="left"/>
      <w:pPr>
        <w:ind w:left="1636" w:hanging="151"/>
        <w:jc w:val="righ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2636" w:hanging="151"/>
      </w:pPr>
      <w:rPr>
        <w:rFonts w:hint="default"/>
        <w:lang w:val="en-au" w:eastAsia="en-US" w:bidi="ar-SA"/>
      </w:rPr>
    </w:lvl>
    <w:lvl w:ilvl="2">
      <w:start w:val="0"/>
      <w:numFmt w:val="bullet"/>
      <w:lvlText w:val="•"/>
      <w:lvlJc w:val="left"/>
      <w:pPr>
        <w:ind w:left="3633" w:hanging="151"/>
      </w:pPr>
      <w:rPr>
        <w:rFonts w:hint="default"/>
        <w:lang w:val="en-au" w:eastAsia="en-US" w:bidi="ar-SA"/>
      </w:rPr>
    </w:lvl>
    <w:lvl w:ilvl="3">
      <w:start w:val="0"/>
      <w:numFmt w:val="bullet"/>
      <w:lvlText w:val="•"/>
      <w:lvlJc w:val="left"/>
      <w:pPr>
        <w:ind w:left="4629" w:hanging="151"/>
      </w:pPr>
      <w:rPr>
        <w:rFonts w:hint="default"/>
        <w:lang w:val="en-au" w:eastAsia="en-US" w:bidi="ar-SA"/>
      </w:rPr>
    </w:lvl>
    <w:lvl w:ilvl="4">
      <w:start w:val="0"/>
      <w:numFmt w:val="bullet"/>
      <w:lvlText w:val="•"/>
      <w:lvlJc w:val="left"/>
      <w:pPr>
        <w:ind w:left="5626" w:hanging="151"/>
      </w:pPr>
      <w:rPr>
        <w:rFonts w:hint="default"/>
        <w:lang w:val="en-au" w:eastAsia="en-US" w:bidi="ar-SA"/>
      </w:rPr>
    </w:lvl>
    <w:lvl w:ilvl="5">
      <w:start w:val="0"/>
      <w:numFmt w:val="bullet"/>
      <w:lvlText w:val="•"/>
      <w:lvlJc w:val="left"/>
      <w:pPr>
        <w:ind w:left="6623" w:hanging="151"/>
      </w:pPr>
      <w:rPr>
        <w:rFonts w:hint="default"/>
        <w:lang w:val="en-au" w:eastAsia="en-US" w:bidi="ar-SA"/>
      </w:rPr>
    </w:lvl>
    <w:lvl w:ilvl="6">
      <w:start w:val="0"/>
      <w:numFmt w:val="bullet"/>
      <w:lvlText w:val="•"/>
      <w:lvlJc w:val="left"/>
      <w:pPr>
        <w:ind w:left="7619" w:hanging="151"/>
      </w:pPr>
      <w:rPr>
        <w:rFonts w:hint="default"/>
        <w:lang w:val="en-au" w:eastAsia="en-US" w:bidi="ar-SA"/>
      </w:rPr>
    </w:lvl>
    <w:lvl w:ilvl="7">
      <w:start w:val="0"/>
      <w:numFmt w:val="bullet"/>
      <w:lvlText w:val="•"/>
      <w:lvlJc w:val="left"/>
      <w:pPr>
        <w:ind w:left="8616" w:hanging="151"/>
      </w:pPr>
      <w:rPr>
        <w:rFonts w:hint="default"/>
        <w:lang w:val="en-au" w:eastAsia="en-US" w:bidi="ar-SA"/>
      </w:rPr>
    </w:lvl>
    <w:lvl w:ilvl="8">
      <w:start w:val="0"/>
      <w:numFmt w:val="bullet"/>
      <w:lvlText w:val="•"/>
      <w:lvlJc w:val="left"/>
      <w:pPr>
        <w:ind w:left="9613" w:hanging="151"/>
      </w:pPr>
      <w:rPr>
        <w:rFonts w:hint="default"/>
        <w:lang w:val="en-au" w:eastAsia="en-US" w:bidi="ar-SA"/>
      </w:rPr>
    </w:lvl>
  </w:abstractNum>
  <w:abstractNum w:abstractNumId="81">
    <w:multiLevelType w:val="hybridMultilevel"/>
    <w:lvl w:ilvl="0">
      <w:start w:val="19"/>
      <w:numFmt w:val="decimal"/>
      <w:lvlText w:val="%1."/>
      <w:lvlJc w:val="left"/>
      <w:pPr>
        <w:ind w:left="460" w:hanging="36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9"/>
      <w:numFmt w:val="decimal"/>
      <w:lvlText w:val="%2."/>
      <w:lvlJc w:val="left"/>
      <w:pPr>
        <w:ind w:left="780" w:hanging="360"/>
        <w:jc w:val="left"/>
      </w:pPr>
      <w:rPr>
        <w:rFonts w:hint="default" w:ascii="Century Gothic" w:hAnsi="Century Gothic" w:eastAsia="Century Gothic" w:cs="Century Gothic"/>
        <w:b w:val="0"/>
        <w:bCs w:val="0"/>
        <w:i w:val="0"/>
        <w:iCs w:val="0"/>
        <w:spacing w:val="0"/>
        <w:w w:val="100"/>
        <w:sz w:val="18"/>
        <w:szCs w:val="18"/>
        <w:lang w:val="en-au" w:eastAsia="en-US" w:bidi="ar-SA"/>
      </w:rPr>
    </w:lvl>
    <w:lvl w:ilvl="2">
      <w:start w:val="1"/>
      <w:numFmt w:val="decimal"/>
      <w:lvlText w:val="%3"/>
      <w:lvlJc w:val="left"/>
      <w:pPr>
        <w:ind w:left="1922" w:hanging="151"/>
        <w:jc w:val="left"/>
      </w:pPr>
      <w:rPr>
        <w:rFonts w:hint="default" w:ascii="Century Gothic" w:hAnsi="Century Gothic" w:eastAsia="Century Gothic" w:cs="Century Gothic"/>
        <w:b w:val="0"/>
        <w:bCs w:val="0"/>
        <w:i w:val="0"/>
        <w:iCs w:val="0"/>
        <w:w w:val="100"/>
        <w:sz w:val="18"/>
        <w:szCs w:val="18"/>
        <w:lang w:val="en-au" w:eastAsia="en-US" w:bidi="ar-SA"/>
      </w:rPr>
    </w:lvl>
    <w:lvl w:ilvl="3">
      <w:start w:val="0"/>
      <w:numFmt w:val="bullet"/>
      <w:lvlText w:val="•"/>
      <w:lvlJc w:val="left"/>
      <w:pPr>
        <w:ind w:left="1920" w:hanging="151"/>
      </w:pPr>
      <w:rPr>
        <w:rFonts w:hint="default"/>
        <w:lang w:val="en-au" w:eastAsia="en-US" w:bidi="ar-SA"/>
      </w:rPr>
    </w:lvl>
    <w:lvl w:ilvl="4">
      <w:start w:val="0"/>
      <w:numFmt w:val="bullet"/>
      <w:lvlText w:val="•"/>
      <w:lvlJc w:val="left"/>
      <w:pPr>
        <w:ind w:left="3258" w:hanging="151"/>
      </w:pPr>
      <w:rPr>
        <w:rFonts w:hint="default"/>
        <w:lang w:val="en-au" w:eastAsia="en-US" w:bidi="ar-SA"/>
      </w:rPr>
    </w:lvl>
    <w:lvl w:ilvl="5">
      <w:start w:val="0"/>
      <w:numFmt w:val="bullet"/>
      <w:lvlText w:val="•"/>
      <w:lvlJc w:val="left"/>
      <w:pPr>
        <w:ind w:left="4596" w:hanging="151"/>
      </w:pPr>
      <w:rPr>
        <w:rFonts w:hint="default"/>
        <w:lang w:val="en-au" w:eastAsia="en-US" w:bidi="ar-SA"/>
      </w:rPr>
    </w:lvl>
    <w:lvl w:ilvl="6">
      <w:start w:val="0"/>
      <w:numFmt w:val="bullet"/>
      <w:lvlText w:val="•"/>
      <w:lvlJc w:val="left"/>
      <w:pPr>
        <w:ind w:left="5934" w:hanging="151"/>
      </w:pPr>
      <w:rPr>
        <w:rFonts w:hint="default"/>
        <w:lang w:val="en-au" w:eastAsia="en-US" w:bidi="ar-SA"/>
      </w:rPr>
    </w:lvl>
    <w:lvl w:ilvl="7">
      <w:start w:val="0"/>
      <w:numFmt w:val="bullet"/>
      <w:lvlText w:val="•"/>
      <w:lvlJc w:val="left"/>
      <w:pPr>
        <w:ind w:left="7272" w:hanging="151"/>
      </w:pPr>
      <w:rPr>
        <w:rFonts w:hint="default"/>
        <w:lang w:val="en-au" w:eastAsia="en-US" w:bidi="ar-SA"/>
      </w:rPr>
    </w:lvl>
    <w:lvl w:ilvl="8">
      <w:start w:val="0"/>
      <w:numFmt w:val="bullet"/>
      <w:lvlText w:val="•"/>
      <w:lvlJc w:val="left"/>
      <w:pPr>
        <w:ind w:left="8610" w:hanging="151"/>
      </w:pPr>
      <w:rPr>
        <w:rFonts w:hint="default"/>
        <w:lang w:val="en-au" w:eastAsia="en-US" w:bidi="ar-SA"/>
      </w:rPr>
    </w:lvl>
  </w:abstractNum>
  <w:abstractNum w:abstractNumId="80">
    <w:multiLevelType w:val="hybridMultilevel"/>
    <w:lvl w:ilvl="0">
      <w:start w:val="4"/>
      <w:numFmt w:val="decimal"/>
      <w:lvlText w:val="%1"/>
      <w:lvlJc w:val="left"/>
      <w:pPr>
        <w:ind w:left="1356" w:hanging="151"/>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2308" w:hanging="151"/>
      </w:pPr>
      <w:rPr>
        <w:rFonts w:hint="default"/>
        <w:lang w:val="en-au" w:eastAsia="en-US" w:bidi="ar-SA"/>
      </w:rPr>
    </w:lvl>
    <w:lvl w:ilvl="2">
      <w:start w:val="0"/>
      <w:numFmt w:val="bullet"/>
      <w:lvlText w:val="•"/>
      <w:lvlJc w:val="left"/>
      <w:pPr>
        <w:ind w:left="3257" w:hanging="151"/>
      </w:pPr>
      <w:rPr>
        <w:rFonts w:hint="default"/>
        <w:lang w:val="en-au" w:eastAsia="en-US" w:bidi="ar-SA"/>
      </w:rPr>
    </w:lvl>
    <w:lvl w:ilvl="3">
      <w:start w:val="0"/>
      <w:numFmt w:val="bullet"/>
      <w:lvlText w:val="•"/>
      <w:lvlJc w:val="left"/>
      <w:pPr>
        <w:ind w:left="4205" w:hanging="151"/>
      </w:pPr>
      <w:rPr>
        <w:rFonts w:hint="default"/>
        <w:lang w:val="en-au" w:eastAsia="en-US" w:bidi="ar-SA"/>
      </w:rPr>
    </w:lvl>
    <w:lvl w:ilvl="4">
      <w:start w:val="0"/>
      <w:numFmt w:val="bullet"/>
      <w:lvlText w:val="•"/>
      <w:lvlJc w:val="left"/>
      <w:pPr>
        <w:ind w:left="5154" w:hanging="151"/>
      </w:pPr>
      <w:rPr>
        <w:rFonts w:hint="default"/>
        <w:lang w:val="en-au" w:eastAsia="en-US" w:bidi="ar-SA"/>
      </w:rPr>
    </w:lvl>
    <w:lvl w:ilvl="5">
      <w:start w:val="0"/>
      <w:numFmt w:val="bullet"/>
      <w:lvlText w:val="•"/>
      <w:lvlJc w:val="left"/>
      <w:pPr>
        <w:ind w:left="6103" w:hanging="151"/>
      </w:pPr>
      <w:rPr>
        <w:rFonts w:hint="default"/>
        <w:lang w:val="en-au" w:eastAsia="en-US" w:bidi="ar-SA"/>
      </w:rPr>
    </w:lvl>
    <w:lvl w:ilvl="6">
      <w:start w:val="0"/>
      <w:numFmt w:val="bullet"/>
      <w:lvlText w:val="•"/>
      <w:lvlJc w:val="left"/>
      <w:pPr>
        <w:ind w:left="7051" w:hanging="151"/>
      </w:pPr>
      <w:rPr>
        <w:rFonts w:hint="default"/>
        <w:lang w:val="en-au" w:eastAsia="en-US" w:bidi="ar-SA"/>
      </w:rPr>
    </w:lvl>
    <w:lvl w:ilvl="7">
      <w:start w:val="0"/>
      <w:numFmt w:val="bullet"/>
      <w:lvlText w:val="•"/>
      <w:lvlJc w:val="left"/>
      <w:pPr>
        <w:ind w:left="8000" w:hanging="151"/>
      </w:pPr>
      <w:rPr>
        <w:rFonts w:hint="default"/>
        <w:lang w:val="en-au" w:eastAsia="en-US" w:bidi="ar-SA"/>
      </w:rPr>
    </w:lvl>
    <w:lvl w:ilvl="8">
      <w:start w:val="0"/>
      <w:numFmt w:val="bullet"/>
      <w:lvlText w:val="•"/>
      <w:lvlJc w:val="left"/>
      <w:pPr>
        <w:ind w:left="8949" w:hanging="151"/>
      </w:pPr>
      <w:rPr>
        <w:rFonts w:hint="default"/>
        <w:lang w:val="en-au" w:eastAsia="en-US" w:bidi="ar-SA"/>
      </w:rPr>
    </w:lvl>
  </w:abstractNum>
  <w:abstractNum w:abstractNumId="79">
    <w:multiLevelType w:val="hybridMultilevel"/>
    <w:lvl w:ilvl="0">
      <w:start w:val="4"/>
      <w:numFmt w:val="decimal"/>
      <w:lvlText w:val="%1"/>
      <w:lvlJc w:val="left"/>
      <w:pPr>
        <w:ind w:left="932" w:hanging="152"/>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1930" w:hanging="152"/>
      </w:pPr>
      <w:rPr>
        <w:rFonts w:hint="default"/>
        <w:lang w:val="en-au" w:eastAsia="en-US" w:bidi="ar-SA"/>
      </w:rPr>
    </w:lvl>
    <w:lvl w:ilvl="2">
      <w:start w:val="0"/>
      <w:numFmt w:val="bullet"/>
      <w:lvlText w:val="•"/>
      <w:lvlJc w:val="left"/>
      <w:pPr>
        <w:ind w:left="2921" w:hanging="152"/>
      </w:pPr>
      <w:rPr>
        <w:rFonts w:hint="default"/>
        <w:lang w:val="en-au" w:eastAsia="en-US" w:bidi="ar-SA"/>
      </w:rPr>
    </w:lvl>
    <w:lvl w:ilvl="3">
      <w:start w:val="0"/>
      <w:numFmt w:val="bullet"/>
      <w:lvlText w:val="•"/>
      <w:lvlJc w:val="left"/>
      <w:pPr>
        <w:ind w:left="3911" w:hanging="152"/>
      </w:pPr>
      <w:rPr>
        <w:rFonts w:hint="default"/>
        <w:lang w:val="en-au" w:eastAsia="en-US" w:bidi="ar-SA"/>
      </w:rPr>
    </w:lvl>
    <w:lvl w:ilvl="4">
      <w:start w:val="0"/>
      <w:numFmt w:val="bullet"/>
      <w:lvlText w:val="•"/>
      <w:lvlJc w:val="left"/>
      <w:pPr>
        <w:ind w:left="4902" w:hanging="152"/>
      </w:pPr>
      <w:rPr>
        <w:rFonts w:hint="default"/>
        <w:lang w:val="en-au" w:eastAsia="en-US" w:bidi="ar-SA"/>
      </w:rPr>
    </w:lvl>
    <w:lvl w:ilvl="5">
      <w:start w:val="0"/>
      <w:numFmt w:val="bullet"/>
      <w:lvlText w:val="•"/>
      <w:lvlJc w:val="left"/>
      <w:pPr>
        <w:ind w:left="5893" w:hanging="152"/>
      </w:pPr>
      <w:rPr>
        <w:rFonts w:hint="default"/>
        <w:lang w:val="en-au" w:eastAsia="en-US" w:bidi="ar-SA"/>
      </w:rPr>
    </w:lvl>
    <w:lvl w:ilvl="6">
      <w:start w:val="0"/>
      <w:numFmt w:val="bullet"/>
      <w:lvlText w:val="•"/>
      <w:lvlJc w:val="left"/>
      <w:pPr>
        <w:ind w:left="6883" w:hanging="152"/>
      </w:pPr>
      <w:rPr>
        <w:rFonts w:hint="default"/>
        <w:lang w:val="en-au" w:eastAsia="en-US" w:bidi="ar-SA"/>
      </w:rPr>
    </w:lvl>
    <w:lvl w:ilvl="7">
      <w:start w:val="0"/>
      <w:numFmt w:val="bullet"/>
      <w:lvlText w:val="•"/>
      <w:lvlJc w:val="left"/>
      <w:pPr>
        <w:ind w:left="7874" w:hanging="152"/>
      </w:pPr>
      <w:rPr>
        <w:rFonts w:hint="default"/>
        <w:lang w:val="en-au" w:eastAsia="en-US" w:bidi="ar-SA"/>
      </w:rPr>
    </w:lvl>
    <w:lvl w:ilvl="8">
      <w:start w:val="0"/>
      <w:numFmt w:val="bullet"/>
      <w:lvlText w:val="•"/>
      <w:lvlJc w:val="left"/>
      <w:pPr>
        <w:ind w:left="8865" w:hanging="152"/>
      </w:pPr>
      <w:rPr>
        <w:rFonts w:hint="default"/>
        <w:lang w:val="en-au" w:eastAsia="en-US" w:bidi="ar-SA"/>
      </w:rPr>
    </w:lvl>
  </w:abstractNum>
  <w:abstractNum w:abstractNumId="78">
    <w:multiLevelType w:val="hybridMultilevel"/>
    <w:lvl w:ilvl="0">
      <w:start w:val="1"/>
      <w:numFmt w:val="decimal"/>
      <w:lvlText w:val="%1"/>
      <w:lvlJc w:val="left"/>
      <w:pPr>
        <w:ind w:left="932" w:hanging="152"/>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1930" w:hanging="152"/>
      </w:pPr>
      <w:rPr>
        <w:rFonts w:hint="default"/>
        <w:lang w:val="en-au" w:eastAsia="en-US" w:bidi="ar-SA"/>
      </w:rPr>
    </w:lvl>
    <w:lvl w:ilvl="2">
      <w:start w:val="0"/>
      <w:numFmt w:val="bullet"/>
      <w:lvlText w:val="•"/>
      <w:lvlJc w:val="left"/>
      <w:pPr>
        <w:ind w:left="2921" w:hanging="152"/>
      </w:pPr>
      <w:rPr>
        <w:rFonts w:hint="default"/>
        <w:lang w:val="en-au" w:eastAsia="en-US" w:bidi="ar-SA"/>
      </w:rPr>
    </w:lvl>
    <w:lvl w:ilvl="3">
      <w:start w:val="0"/>
      <w:numFmt w:val="bullet"/>
      <w:lvlText w:val="•"/>
      <w:lvlJc w:val="left"/>
      <w:pPr>
        <w:ind w:left="3911" w:hanging="152"/>
      </w:pPr>
      <w:rPr>
        <w:rFonts w:hint="default"/>
        <w:lang w:val="en-au" w:eastAsia="en-US" w:bidi="ar-SA"/>
      </w:rPr>
    </w:lvl>
    <w:lvl w:ilvl="4">
      <w:start w:val="0"/>
      <w:numFmt w:val="bullet"/>
      <w:lvlText w:val="•"/>
      <w:lvlJc w:val="left"/>
      <w:pPr>
        <w:ind w:left="4902" w:hanging="152"/>
      </w:pPr>
      <w:rPr>
        <w:rFonts w:hint="default"/>
        <w:lang w:val="en-au" w:eastAsia="en-US" w:bidi="ar-SA"/>
      </w:rPr>
    </w:lvl>
    <w:lvl w:ilvl="5">
      <w:start w:val="0"/>
      <w:numFmt w:val="bullet"/>
      <w:lvlText w:val="•"/>
      <w:lvlJc w:val="left"/>
      <w:pPr>
        <w:ind w:left="5893" w:hanging="152"/>
      </w:pPr>
      <w:rPr>
        <w:rFonts w:hint="default"/>
        <w:lang w:val="en-au" w:eastAsia="en-US" w:bidi="ar-SA"/>
      </w:rPr>
    </w:lvl>
    <w:lvl w:ilvl="6">
      <w:start w:val="0"/>
      <w:numFmt w:val="bullet"/>
      <w:lvlText w:val="•"/>
      <w:lvlJc w:val="left"/>
      <w:pPr>
        <w:ind w:left="6883" w:hanging="152"/>
      </w:pPr>
      <w:rPr>
        <w:rFonts w:hint="default"/>
        <w:lang w:val="en-au" w:eastAsia="en-US" w:bidi="ar-SA"/>
      </w:rPr>
    </w:lvl>
    <w:lvl w:ilvl="7">
      <w:start w:val="0"/>
      <w:numFmt w:val="bullet"/>
      <w:lvlText w:val="•"/>
      <w:lvlJc w:val="left"/>
      <w:pPr>
        <w:ind w:left="7874" w:hanging="152"/>
      </w:pPr>
      <w:rPr>
        <w:rFonts w:hint="default"/>
        <w:lang w:val="en-au" w:eastAsia="en-US" w:bidi="ar-SA"/>
      </w:rPr>
    </w:lvl>
    <w:lvl w:ilvl="8">
      <w:start w:val="0"/>
      <w:numFmt w:val="bullet"/>
      <w:lvlText w:val="•"/>
      <w:lvlJc w:val="left"/>
      <w:pPr>
        <w:ind w:left="8865" w:hanging="152"/>
      </w:pPr>
      <w:rPr>
        <w:rFonts w:hint="default"/>
        <w:lang w:val="en-au" w:eastAsia="en-US" w:bidi="ar-SA"/>
      </w:rPr>
    </w:lvl>
  </w:abstractNum>
  <w:abstractNum w:abstractNumId="77">
    <w:multiLevelType w:val="hybridMultilevel"/>
    <w:lvl w:ilvl="0">
      <w:start w:val="3"/>
      <w:numFmt w:val="decimal"/>
      <w:lvlText w:val="%1"/>
      <w:lvlJc w:val="left"/>
      <w:pPr>
        <w:ind w:left="932" w:hanging="152"/>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1930" w:hanging="152"/>
      </w:pPr>
      <w:rPr>
        <w:rFonts w:hint="default"/>
        <w:lang w:val="en-au" w:eastAsia="en-US" w:bidi="ar-SA"/>
      </w:rPr>
    </w:lvl>
    <w:lvl w:ilvl="2">
      <w:start w:val="0"/>
      <w:numFmt w:val="bullet"/>
      <w:lvlText w:val="•"/>
      <w:lvlJc w:val="left"/>
      <w:pPr>
        <w:ind w:left="2921" w:hanging="152"/>
      </w:pPr>
      <w:rPr>
        <w:rFonts w:hint="default"/>
        <w:lang w:val="en-au" w:eastAsia="en-US" w:bidi="ar-SA"/>
      </w:rPr>
    </w:lvl>
    <w:lvl w:ilvl="3">
      <w:start w:val="0"/>
      <w:numFmt w:val="bullet"/>
      <w:lvlText w:val="•"/>
      <w:lvlJc w:val="left"/>
      <w:pPr>
        <w:ind w:left="3911" w:hanging="152"/>
      </w:pPr>
      <w:rPr>
        <w:rFonts w:hint="default"/>
        <w:lang w:val="en-au" w:eastAsia="en-US" w:bidi="ar-SA"/>
      </w:rPr>
    </w:lvl>
    <w:lvl w:ilvl="4">
      <w:start w:val="0"/>
      <w:numFmt w:val="bullet"/>
      <w:lvlText w:val="•"/>
      <w:lvlJc w:val="left"/>
      <w:pPr>
        <w:ind w:left="4902" w:hanging="152"/>
      </w:pPr>
      <w:rPr>
        <w:rFonts w:hint="default"/>
        <w:lang w:val="en-au" w:eastAsia="en-US" w:bidi="ar-SA"/>
      </w:rPr>
    </w:lvl>
    <w:lvl w:ilvl="5">
      <w:start w:val="0"/>
      <w:numFmt w:val="bullet"/>
      <w:lvlText w:val="•"/>
      <w:lvlJc w:val="left"/>
      <w:pPr>
        <w:ind w:left="5893" w:hanging="152"/>
      </w:pPr>
      <w:rPr>
        <w:rFonts w:hint="default"/>
        <w:lang w:val="en-au" w:eastAsia="en-US" w:bidi="ar-SA"/>
      </w:rPr>
    </w:lvl>
    <w:lvl w:ilvl="6">
      <w:start w:val="0"/>
      <w:numFmt w:val="bullet"/>
      <w:lvlText w:val="•"/>
      <w:lvlJc w:val="left"/>
      <w:pPr>
        <w:ind w:left="6883" w:hanging="152"/>
      </w:pPr>
      <w:rPr>
        <w:rFonts w:hint="default"/>
        <w:lang w:val="en-au" w:eastAsia="en-US" w:bidi="ar-SA"/>
      </w:rPr>
    </w:lvl>
    <w:lvl w:ilvl="7">
      <w:start w:val="0"/>
      <w:numFmt w:val="bullet"/>
      <w:lvlText w:val="•"/>
      <w:lvlJc w:val="left"/>
      <w:pPr>
        <w:ind w:left="7874" w:hanging="152"/>
      </w:pPr>
      <w:rPr>
        <w:rFonts w:hint="default"/>
        <w:lang w:val="en-au" w:eastAsia="en-US" w:bidi="ar-SA"/>
      </w:rPr>
    </w:lvl>
    <w:lvl w:ilvl="8">
      <w:start w:val="0"/>
      <w:numFmt w:val="bullet"/>
      <w:lvlText w:val="•"/>
      <w:lvlJc w:val="left"/>
      <w:pPr>
        <w:ind w:left="8865" w:hanging="152"/>
      </w:pPr>
      <w:rPr>
        <w:rFonts w:hint="default"/>
        <w:lang w:val="en-au" w:eastAsia="en-US" w:bidi="ar-SA"/>
      </w:rPr>
    </w:lvl>
  </w:abstractNum>
  <w:abstractNum w:abstractNumId="76">
    <w:multiLevelType w:val="hybridMultilevel"/>
    <w:lvl w:ilvl="0">
      <w:start w:val="1"/>
      <w:numFmt w:val="decimal"/>
      <w:lvlText w:val="%1."/>
      <w:lvlJc w:val="left"/>
      <w:pPr>
        <w:ind w:left="500" w:hanging="36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1"/>
      <w:numFmt w:val="decimal"/>
      <w:lvlText w:val="%2"/>
      <w:lvlJc w:val="left"/>
      <w:pPr>
        <w:ind w:left="931" w:hanging="151"/>
        <w:jc w:val="left"/>
      </w:pPr>
      <w:rPr>
        <w:rFonts w:hint="default" w:ascii="Century Gothic" w:hAnsi="Century Gothic" w:eastAsia="Century Gothic" w:cs="Century Gothic"/>
        <w:b w:val="0"/>
        <w:bCs w:val="0"/>
        <w:i w:val="0"/>
        <w:iCs w:val="0"/>
        <w:w w:val="100"/>
        <w:sz w:val="18"/>
        <w:szCs w:val="18"/>
        <w:lang w:val="en-au" w:eastAsia="en-US" w:bidi="ar-SA"/>
      </w:rPr>
    </w:lvl>
    <w:lvl w:ilvl="2">
      <w:start w:val="0"/>
      <w:numFmt w:val="bullet"/>
      <w:lvlText w:val="•"/>
      <w:lvlJc w:val="left"/>
      <w:pPr>
        <w:ind w:left="940" w:hanging="151"/>
      </w:pPr>
      <w:rPr>
        <w:rFonts w:hint="default"/>
        <w:lang w:val="en-au" w:eastAsia="en-US" w:bidi="ar-SA"/>
      </w:rPr>
    </w:lvl>
    <w:lvl w:ilvl="3">
      <w:start w:val="0"/>
      <w:numFmt w:val="bullet"/>
      <w:lvlText w:val="•"/>
      <w:lvlJc w:val="left"/>
      <w:pPr>
        <w:ind w:left="2178" w:hanging="151"/>
      </w:pPr>
      <w:rPr>
        <w:rFonts w:hint="default"/>
        <w:lang w:val="en-au" w:eastAsia="en-US" w:bidi="ar-SA"/>
      </w:rPr>
    </w:lvl>
    <w:lvl w:ilvl="4">
      <w:start w:val="0"/>
      <w:numFmt w:val="bullet"/>
      <w:lvlText w:val="•"/>
      <w:lvlJc w:val="left"/>
      <w:pPr>
        <w:ind w:left="3416" w:hanging="151"/>
      </w:pPr>
      <w:rPr>
        <w:rFonts w:hint="default"/>
        <w:lang w:val="en-au" w:eastAsia="en-US" w:bidi="ar-SA"/>
      </w:rPr>
    </w:lvl>
    <w:lvl w:ilvl="5">
      <w:start w:val="0"/>
      <w:numFmt w:val="bullet"/>
      <w:lvlText w:val="•"/>
      <w:lvlJc w:val="left"/>
      <w:pPr>
        <w:ind w:left="4654" w:hanging="151"/>
      </w:pPr>
      <w:rPr>
        <w:rFonts w:hint="default"/>
        <w:lang w:val="en-au" w:eastAsia="en-US" w:bidi="ar-SA"/>
      </w:rPr>
    </w:lvl>
    <w:lvl w:ilvl="6">
      <w:start w:val="0"/>
      <w:numFmt w:val="bullet"/>
      <w:lvlText w:val="•"/>
      <w:lvlJc w:val="left"/>
      <w:pPr>
        <w:ind w:left="5893" w:hanging="151"/>
      </w:pPr>
      <w:rPr>
        <w:rFonts w:hint="default"/>
        <w:lang w:val="en-au" w:eastAsia="en-US" w:bidi="ar-SA"/>
      </w:rPr>
    </w:lvl>
    <w:lvl w:ilvl="7">
      <w:start w:val="0"/>
      <w:numFmt w:val="bullet"/>
      <w:lvlText w:val="•"/>
      <w:lvlJc w:val="left"/>
      <w:pPr>
        <w:ind w:left="7131" w:hanging="151"/>
      </w:pPr>
      <w:rPr>
        <w:rFonts w:hint="default"/>
        <w:lang w:val="en-au" w:eastAsia="en-US" w:bidi="ar-SA"/>
      </w:rPr>
    </w:lvl>
    <w:lvl w:ilvl="8">
      <w:start w:val="0"/>
      <w:numFmt w:val="bullet"/>
      <w:lvlText w:val="•"/>
      <w:lvlJc w:val="left"/>
      <w:pPr>
        <w:ind w:left="8369" w:hanging="151"/>
      </w:pPr>
      <w:rPr>
        <w:rFonts w:hint="default"/>
        <w:lang w:val="en-au" w:eastAsia="en-US" w:bidi="ar-SA"/>
      </w:rPr>
    </w:lvl>
  </w:abstractNum>
  <w:abstractNum w:abstractNumId="75">
    <w:multiLevelType w:val="hybridMultilevel"/>
    <w:lvl w:ilvl="0">
      <w:start w:val="33"/>
      <w:numFmt w:val="decimal"/>
      <w:lvlText w:val="%1."/>
      <w:lvlJc w:val="left"/>
      <w:pPr>
        <w:ind w:left="383" w:hanging="284"/>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1"/>
      <w:numFmt w:val="decimal"/>
      <w:lvlText w:val="%2"/>
      <w:lvlJc w:val="left"/>
      <w:pPr>
        <w:ind w:left="1642" w:hanging="151"/>
        <w:jc w:val="left"/>
      </w:pPr>
      <w:rPr>
        <w:rFonts w:hint="default" w:ascii="Century Gothic" w:hAnsi="Century Gothic" w:eastAsia="Century Gothic" w:cs="Century Gothic"/>
        <w:b w:val="0"/>
        <w:bCs w:val="0"/>
        <w:i w:val="0"/>
        <w:iCs w:val="0"/>
        <w:w w:val="100"/>
        <w:sz w:val="18"/>
        <w:szCs w:val="18"/>
        <w:lang w:val="en-au" w:eastAsia="en-US" w:bidi="ar-SA"/>
      </w:rPr>
    </w:lvl>
    <w:lvl w:ilvl="2">
      <w:start w:val="0"/>
      <w:numFmt w:val="bullet"/>
      <w:lvlText w:val="•"/>
      <w:lvlJc w:val="left"/>
      <w:pPr>
        <w:ind w:left="2658" w:hanging="151"/>
      </w:pPr>
      <w:rPr>
        <w:rFonts w:hint="default"/>
        <w:lang w:val="en-au" w:eastAsia="en-US" w:bidi="ar-SA"/>
      </w:rPr>
    </w:lvl>
    <w:lvl w:ilvl="3">
      <w:start w:val="0"/>
      <w:numFmt w:val="bullet"/>
      <w:lvlText w:val="•"/>
      <w:lvlJc w:val="left"/>
      <w:pPr>
        <w:ind w:left="3676" w:hanging="151"/>
      </w:pPr>
      <w:rPr>
        <w:rFonts w:hint="default"/>
        <w:lang w:val="en-au" w:eastAsia="en-US" w:bidi="ar-SA"/>
      </w:rPr>
    </w:lvl>
    <w:lvl w:ilvl="4">
      <w:start w:val="0"/>
      <w:numFmt w:val="bullet"/>
      <w:lvlText w:val="•"/>
      <w:lvlJc w:val="left"/>
      <w:pPr>
        <w:ind w:left="4695" w:hanging="151"/>
      </w:pPr>
      <w:rPr>
        <w:rFonts w:hint="default"/>
        <w:lang w:val="en-au" w:eastAsia="en-US" w:bidi="ar-SA"/>
      </w:rPr>
    </w:lvl>
    <w:lvl w:ilvl="5">
      <w:start w:val="0"/>
      <w:numFmt w:val="bullet"/>
      <w:lvlText w:val="•"/>
      <w:lvlJc w:val="left"/>
      <w:pPr>
        <w:ind w:left="5713" w:hanging="151"/>
      </w:pPr>
      <w:rPr>
        <w:rFonts w:hint="default"/>
        <w:lang w:val="en-au" w:eastAsia="en-US" w:bidi="ar-SA"/>
      </w:rPr>
    </w:lvl>
    <w:lvl w:ilvl="6">
      <w:start w:val="0"/>
      <w:numFmt w:val="bullet"/>
      <w:lvlText w:val="•"/>
      <w:lvlJc w:val="left"/>
      <w:pPr>
        <w:ind w:left="6732" w:hanging="151"/>
      </w:pPr>
      <w:rPr>
        <w:rFonts w:hint="default"/>
        <w:lang w:val="en-au" w:eastAsia="en-US" w:bidi="ar-SA"/>
      </w:rPr>
    </w:lvl>
    <w:lvl w:ilvl="7">
      <w:start w:val="0"/>
      <w:numFmt w:val="bullet"/>
      <w:lvlText w:val="•"/>
      <w:lvlJc w:val="left"/>
      <w:pPr>
        <w:ind w:left="7750" w:hanging="151"/>
      </w:pPr>
      <w:rPr>
        <w:rFonts w:hint="default"/>
        <w:lang w:val="en-au" w:eastAsia="en-US" w:bidi="ar-SA"/>
      </w:rPr>
    </w:lvl>
    <w:lvl w:ilvl="8">
      <w:start w:val="0"/>
      <w:numFmt w:val="bullet"/>
      <w:lvlText w:val="•"/>
      <w:lvlJc w:val="left"/>
      <w:pPr>
        <w:ind w:left="8769" w:hanging="151"/>
      </w:pPr>
      <w:rPr>
        <w:rFonts w:hint="default"/>
        <w:lang w:val="en-au" w:eastAsia="en-US" w:bidi="ar-SA"/>
      </w:rPr>
    </w:lvl>
  </w:abstractNum>
  <w:abstractNum w:abstractNumId="74">
    <w:multiLevelType w:val="hybridMultilevel"/>
    <w:lvl w:ilvl="0">
      <w:start w:val="4"/>
      <w:numFmt w:val="decimal"/>
      <w:lvlText w:val="%1"/>
      <w:lvlJc w:val="left"/>
      <w:pPr>
        <w:ind w:left="1356" w:hanging="151"/>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2328" w:hanging="151"/>
      </w:pPr>
      <w:rPr>
        <w:rFonts w:hint="default"/>
        <w:lang w:val="en-au" w:eastAsia="en-US" w:bidi="ar-SA"/>
      </w:rPr>
    </w:lvl>
    <w:lvl w:ilvl="2">
      <w:start w:val="0"/>
      <w:numFmt w:val="bullet"/>
      <w:lvlText w:val="•"/>
      <w:lvlJc w:val="left"/>
      <w:pPr>
        <w:ind w:left="3297" w:hanging="151"/>
      </w:pPr>
      <w:rPr>
        <w:rFonts w:hint="default"/>
        <w:lang w:val="en-au" w:eastAsia="en-US" w:bidi="ar-SA"/>
      </w:rPr>
    </w:lvl>
    <w:lvl w:ilvl="3">
      <w:start w:val="0"/>
      <w:numFmt w:val="bullet"/>
      <w:lvlText w:val="•"/>
      <w:lvlJc w:val="left"/>
      <w:pPr>
        <w:ind w:left="4265" w:hanging="151"/>
      </w:pPr>
      <w:rPr>
        <w:rFonts w:hint="default"/>
        <w:lang w:val="en-au" w:eastAsia="en-US" w:bidi="ar-SA"/>
      </w:rPr>
    </w:lvl>
    <w:lvl w:ilvl="4">
      <w:start w:val="0"/>
      <w:numFmt w:val="bullet"/>
      <w:lvlText w:val="•"/>
      <w:lvlJc w:val="left"/>
      <w:pPr>
        <w:ind w:left="5234" w:hanging="151"/>
      </w:pPr>
      <w:rPr>
        <w:rFonts w:hint="default"/>
        <w:lang w:val="en-au" w:eastAsia="en-US" w:bidi="ar-SA"/>
      </w:rPr>
    </w:lvl>
    <w:lvl w:ilvl="5">
      <w:start w:val="0"/>
      <w:numFmt w:val="bullet"/>
      <w:lvlText w:val="•"/>
      <w:lvlJc w:val="left"/>
      <w:pPr>
        <w:ind w:left="6203" w:hanging="151"/>
      </w:pPr>
      <w:rPr>
        <w:rFonts w:hint="default"/>
        <w:lang w:val="en-au" w:eastAsia="en-US" w:bidi="ar-SA"/>
      </w:rPr>
    </w:lvl>
    <w:lvl w:ilvl="6">
      <w:start w:val="0"/>
      <w:numFmt w:val="bullet"/>
      <w:lvlText w:val="•"/>
      <w:lvlJc w:val="left"/>
      <w:pPr>
        <w:ind w:left="7171" w:hanging="151"/>
      </w:pPr>
      <w:rPr>
        <w:rFonts w:hint="default"/>
        <w:lang w:val="en-au" w:eastAsia="en-US" w:bidi="ar-SA"/>
      </w:rPr>
    </w:lvl>
    <w:lvl w:ilvl="7">
      <w:start w:val="0"/>
      <w:numFmt w:val="bullet"/>
      <w:lvlText w:val="•"/>
      <w:lvlJc w:val="left"/>
      <w:pPr>
        <w:ind w:left="8140" w:hanging="151"/>
      </w:pPr>
      <w:rPr>
        <w:rFonts w:hint="default"/>
        <w:lang w:val="en-au" w:eastAsia="en-US" w:bidi="ar-SA"/>
      </w:rPr>
    </w:lvl>
    <w:lvl w:ilvl="8">
      <w:start w:val="0"/>
      <w:numFmt w:val="bullet"/>
      <w:lvlText w:val="•"/>
      <w:lvlJc w:val="left"/>
      <w:pPr>
        <w:ind w:left="9109" w:hanging="151"/>
      </w:pPr>
      <w:rPr>
        <w:rFonts w:hint="default"/>
        <w:lang w:val="en-au" w:eastAsia="en-US" w:bidi="ar-SA"/>
      </w:rPr>
    </w:lvl>
  </w:abstractNum>
  <w:abstractNum w:abstractNumId="73">
    <w:multiLevelType w:val="hybridMultilevel"/>
    <w:lvl w:ilvl="0">
      <w:start w:val="4"/>
      <w:numFmt w:val="decimal"/>
      <w:lvlText w:val="%1"/>
      <w:lvlJc w:val="left"/>
      <w:pPr>
        <w:ind w:left="932" w:hanging="152"/>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1950" w:hanging="152"/>
      </w:pPr>
      <w:rPr>
        <w:rFonts w:hint="default"/>
        <w:lang w:val="en-au" w:eastAsia="en-US" w:bidi="ar-SA"/>
      </w:rPr>
    </w:lvl>
    <w:lvl w:ilvl="2">
      <w:start w:val="0"/>
      <w:numFmt w:val="bullet"/>
      <w:lvlText w:val="•"/>
      <w:lvlJc w:val="left"/>
      <w:pPr>
        <w:ind w:left="2961" w:hanging="152"/>
      </w:pPr>
      <w:rPr>
        <w:rFonts w:hint="default"/>
        <w:lang w:val="en-au" w:eastAsia="en-US" w:bidi="ar-SA"/>
      </w:rPr>
    </w:lvl>
    <w:lvl w:ilvl="3">
      <w:start w:val="0"/>
      <w:numFmt w:val="bullet"/>
      <w:lvlText w:val="•"/>
      <w:lvlJc w:val="left"/>
      <w:pPr>
        <w:ind w:left="3971" w:hanging="152"/>
      </w:pPr>
      <w:rPr>
        <w:rFonts w:hint="default"/>
        <w:lang w:val="en-au" w:eastAsia="en-US" w:bidi="ar-SA"/>
      </w:rPr>
    </w:lvl>
    <w:lvl w:ilvl="4">
      <w:start w:val="0"/>
      <w:numFmt w:val="bullet"/>
      <w:lvlText w:val="•"/>
      <w:lvlJc w:val="left"/>
      <w:pPr>
        <w:ind w:left="4982" w:hanging="152"/>
      </w:pPr>
      <w:rPr>
        <w:rFonts w:hint="default"/>
        <w:lang w:val="en-au" w:eastAsia="en-US" w:bidi="ar-SA"/>
      </w:rPr>
    </w:lvl>
    <w:lvl w:ilvl="5">
      <w:start w:val="0"/>
      <w:numFmt w:val="bullet"/>
      <w:lvlText w:val="•"/>
      <w:lvlJc w:val="left"/>
      <w:pPr>
        <w:ind w:left="5993" w:hanging="152"/>
      </w:pPr>
      <w:rPr>
        <w:rFonts w:hint="default"/>
        <w:lang w:val="en-au" w:eastAsia="en-US" w:bidi="ar-SA"/>
      </w:rPr>
    </w:lvl>
    <w:lvl w:ilvl="6">
      <w:start w:val="0"/>
      <w:numFmt w:val="bullet"/>
      <w:lvlText w:val="•"/>
      <w:lvlJc w:val="left"/>
      <w:pPr>
        <w:ind w:left="7003" w:hanging="152"/>
      </w:pPr>
      <w:rPr>
        <w:rFonts w:hint="default"/>
        <w:lang w:val="en-au" w:eastAsia="en-US" w:bidi="ar-SA"/>
      </w:rPr>
    </w:lvl>
    <w:lvl w:ilvl="7">
      <w:start w:val="0"/>
      <w:numFmt w:val="bullet"/>
      <w:lvlText w:val="•"/>
      <w:lvlJc w:val="left"/>
      <w:pPr>
        <w:ind w:left="8014" w:hanging="152"/>
      </w:pPr>
      <w:rPr>
        <w:rFonts w:hint="default"/>
        <w:lang w:val="en-au" w:eastAsia="en-US" w:bidi="ar-SA"/>
      </w:rPr>
    </w:lvl>
    <w:lvl w:ilvl="8">
      <w:start w:val="0"/>
      <w:numFmt w:val="bullet"/>
      <w:lvlText w:val="•"/>
      <w:lvlJc w:val="left"/>
      <w:pPr>
        <w:ind w:left="9025" w:hanging="152"/>
      </w:pPr>
      <w:rPr>
        <w:rFonts w:hint="default"/>
        <w:lang w:val="en-au" w:eastAsia="en-US" w:bidi="ar-SA"/>
      </w:rPr>
    </w:lvl>
  </w:abstractNum>
  <w:abstractNum w:abstractNumId="72">
    <w:multiLevelType w:val="hybridMultilevel"/>
    <w:lvl w:ilvl="0">
      <w:start w:val="1"/>
      <w:numFmt w:val="decimal"/>
      <w:lvlText w:val="%1"/>
      <w:lvlJc w:val="left"/>
      <w:pPr>
        <w:ind w:left="932" w:hanging="152"/>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1950" w:hanging="152"/>
      </w:pPr>
      <w:rPr>
        <w:rFonts w:hint="default"/>
        <w:lang w:val="en-au" w:eastAsia="en-US" w:bidi="ar-SA"/>
      </w:rPr>
    </w:lvl>
    <w:lvl w:ilvl="2">
      <w:start w:val="0"/>
      <w:numFmt w:val="bullet"/>
      <w:lvlText w:val="•"/>
      <w:lvlJc w:val="left"/>
      <w:pPr>
        <w:ind w:left="2961" w:hanging="152"/>
      </w:pPr>
      <w:rPr>
        <w:rFonts w:hint="default"/>
        <w:lang w:val="en-au" w:eastAsia="en-US" w:bidi="ar-SA"/>
      </w:rPr>
    </w:lvl>
    <w:lvl w:ilvl="3">
      <w:start w:val="0"/>
      <w:numFmt w:val="bullet"/>
      <w:lvlText w:val="•"/>
      <w:lvlJc w:val="left"/>
      <w:pPr>
        <w:ind w:left="3971" w:hanging="152"/>
      </w:pPr>
      <w:rPr>
        <w:rFonts w:hint="default"/>
        <w:lang w:val="en-au" w:eastAsia="en-US" w:bidi="ar-SA"/>
      </w:rPr>
    </w:lvl>
    <w:lvl w:ilvl="4">
      <w:start w:val="0"/>
      <w:numFmt w:val="bullet"/>
      <w:lvlText w:val="•"/>
      <w:lvlJc w:val="left"/>
      <w:pPr>
        <w:ind w:left="4982" w:hanging="152"/>
      </w:pPr>
      <w:rPr>
        <w:rFonts w:hint="default"/>
        <w:lang w:val="en-au" w:eastAsia="en-US" w:bidi="ar-SA"/>
      </w:rPr>
    </w:lvl>
    <w:lvl w:ilvl="5">
      <w:start w:val="0"/>
      <w:numFmt w:val="bullet"/>
      <w:lvlText w:val="•"/>
      <w:lvlJc w:val="left"/>
      <w:pPr>
        <w:ind w:left="5993" w:hanging="152"/>
      </w:pPr>
      <w:rPr>
        <w:rFonts w:hint="default"/>
        <w:lang w:val="en-au" w:eastAsia="en-US" w:bidi="ar-SA"/>
      </w:rPr>
    </w:lvl>
    <w:lvl w:ilvl="6">
      <w:start w:val="0"/>
      <w:numFmt w:val="bullet"/>
      <w:lvlText w:val="•"/>
      <w:lvlJc w:val="left"/>
      <w:pPr>
        <w:ind w:left="7003" w:hanging="152"/>
      </w:pPr>
      <w:rPr>
        <w:rFonts w:hint="default"/>
        <w:lang w:val="en-au" w:eastAsia="en-US" w:bidi="ar-SA"/>
      </w:rPr>
    </w:lvl>
    <w:lvl w:ilvl="7">
      <w:start w:val="0"/>
      <w:numFmt w:val="bullet"/>
      <w:lvlText w:val="•"/>
      <w:lvlJc w:val="left"/>
      <w:pPr>
        <w:ind w:left="8014" w:hanging="152"/>
      </w:pPr>
      <w:rPr>
        <w:rFonts w:hint="default"/>
        <w:lang w:val="en-au" w:eastAsia="en-US" w:bidi="ar-SA"/>
      </w:rPr>
    </w:lvl>
    <w:lvl w:ilvl="8">
      <w:start w:val="0"/>
      <w:numFmt w:val="bullet"/>
      <w:lvlText w:val="•"/>
      <w:lvlJc w:val="left"/>
      <w:pPr>
        <w:ind w:left="9025" w:hanging="152"/>
      </w:pPr>
      <w:rPr>
        <w:rFonts w:hint="default"/>
        <w:lang w:val="en-au" w:eastAsia="en-US" w:bidi="ar-SA"/>
      </w:rPr>
    </w:lvl>
  </w:abstractNum>
  <w:abstractNum w:abstractNumId="71">
    <w:multiLevelType w:val="hybridMultilevel"/>
    <w:lvl w:ilvl="0">
      <w:start w:val="3"/>
      <w:numFmt w:val="decimal"/>
      <w:lvlText w:val="%1"/>
      <w:lvlJc w:val="left"/>
      <w:pPr>
        <w:ind w:left="932" w:hanging="152"/>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1950" w:hanging="152"/>
      </w:pPr>
      <w:rPr>
        <w:rFonts w:hint="default"/>
        <w:lang w:val="en-au" w:eastAsia="en-US" w:bidi="ar-SA"/>
      </w:rPr>
    </w:lvl>
    <w:lvl w:ilvl="2">
      <w:start w:val="0"/>
      <w:numFmt w:val="bullet"/>
      <w:lvlText w:val="•"/>
      <w:lvlJc w:val="left"/>
      <w:pPr>
        <w:ind w:left="2961" w:hanging="152"/>
      </w:pPr>
      <w:rPr>
        <w:rFonts w:hint="default"/>
        <w:lang w:val="en-au" w:eastAsia="en-US" w:bidi="ar-SA"/>
      </w:rPr>
    </w:lvl>
    <w:lvl w:ilvl="3">
      <w:start w:val="0"/>
      <w:numFmt w:val="bullet"/>
      <w:lvlText w:val="•"/>
      <w:lvlJc w:val="left"/>
      <w:pPr>
        <w:ind w:left="3971" w:hanging="152"/>
      </w:pPr>
      <w:rPr>
        <w:rFonts w:hint="default"/>
        <w:lang w:val="en-au" w:eastAsia="en-US" w:bidi="ar-SA"/>
      </w:rPr>
    </w:lvl>
    <w:lvl w:ilvl="4">
      <w:start w:val="0"/>
      <w:numFmt w:val="bullet"/>
      <w:lvlText w:val="•"/>
      <w:lvlJc w:val="left"/>
      <w:pPr>
        <w:ind w:left="4982" w:hanging="152"/>
      </w:pPr>
      <w:rPr>
        <w:rFonts w:hint="default"/>
        <w:lang w:val="en-au" w:eastAsia="en-US" w:bidi="ar-SA"/>
      </w:rPr>
    </w:lvl>
    <w:lvl w:ilvl="5">
      <w:start w:val="0"/>
      <w:numFmt w:val="bullet"/>
      <w:lvlText w:val="•"/>
      <w:lvlJc w:val="left"/>
      <w:pPr>
        <w:ind w:left="5993" w:hanging="152"/>
      </w:pPr>
      <w:rPr>
        <w:rFonts w:hint="default"/>
        <w:lang w:val="en-au" w:eastAsia="en-US" w:bidi="ar-SA"/>
      </w:rPr>
    </w:lvl>
    <w:lvl w:ilvl="6">
      <w:start w:val="0"/>
      <w:numFmt w:val="bullet"/>
      <w:lvlText w:val="•"/>
      <w:lvlJc w:val="left"/>
      <w:pPr>
        <w:ind w:left="7003" w:hanging="152"/>
      </w:pPr>
      <w:rPr>
        <w:rFonts w:hint="default"/>
        <w:lang w:val="en-au" w:eastAsia="en-US" w:bidi="ar-SA"/>
      </w:rPr>
    </w:lvl>
    <w:lvl w:ilvl="7">
      <w:start w:val="0"/>
      <w:numFmt w:val="bullet"/>
      <w:lvlText w:val="•"/>
      <w:lvlJc w:val="left"/>
      <w:pPr>
        <w:ind w:left="8014" w:hanging="152"/>
      </w:pPr>
      <w:rPr>
        <w:rFonts w:hint="default"/>
        <w:lang w:val="en-au" w:eastAsia="en-US" w:bidi="ar-SA"/>
      </w:rPr>
    </w:lvl>
    <w:lvl w:ilvl="8">
      <w:start w:val="0"/>
      <w:numFmt w:val="bullet"/>
      <w:lvlText w:val="•"/>
      <w:lvlJc w:val="left"/>
      <w:pPr>
        <w:ind w:left="9025" w:hanging="152"/>
      </w:pPr>
      <w:rPr>
        <w:rFonts w:hint="default"/>
        <w:lang w:val="en-au" w:eastAsia="en-US" w:bidi="ar-SA"/>
      </w:rPr>
    </w:lvl>
  </w:abstractNum>
  <w:abstractNum w:abstractNumId="70">
    <w:multiLevelType w:val="hybridMultilevel"/>
    <w:lvl w:ilvl="0">
      <w:start w:val="1"/>
      <w:numFmt w:val="decimal"/>
      <w:lvlText w:val="%1."/>
      <w:lvlJc w:val="left"/>
      <w:pPr>
        <w:ind w:left="500" w:hanging="360"/>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1"/>
      <w:numFmt w:val="decimal"/>
      <w:lvlText w:val="%2"/>
      <w:lvlJc w:val="left"/>
      <w:pPr>
        <w:ind w:left="931" w:hanging="151"/>
        <w:jc w:val="left"/>
      </w:pPr>
      <w:rPr>
        <w:rFonts w:hint="default" w:ascii="Century Gothic" w:hAnsi="Century Gothic" w:eastAsia="Century Gothic" w:cs="Century Gothic"/>
        <w:b w:val="0"/>
        <w:bCs w:val="0"/>
        <w:i w:val="0"/>
        <w:iCs w:val="0"/>
        <w:w w:val="100"/>
        <w:sz w:val="18"/>
        <w:szCs w:val="18"/>
        <w:lang w:val="en-au" w:eastAsia="en-US" w:bidi="ar-SA"/>
      </w:rPr>
    </w:lvl>
    <w:lvl w:ilvl="2">
      <w:start w:val="0"/>
      <w:numFmt w:val="bullet"/>
      <w:lvlText w:val="•"/>
      <w:lvlJc w:val="left"/>
      <w:pPr>
        <w:ind w:left="940" w:hanging="151"/>
      </w:pPr>
      <w:rPr>
        <w:rFonts w:hint="default"/>
        <w:lang w:val="en-au" w:eastAsia="en-US" w:bidi="ar-SA"/>
      </w:rPr>
    </w:lvl>
    <w:lvl w:ilvl="3">
      <w:start w:val="0"/>
      <w:numFmt w:val="bullet"/>
      <w:lvlText w:val="•"/>
      <w:lvlJc w:val="left"/>
      <w:pPr>
        <w:ind w:left="2203" w:hanging="151"/>
      </w:pPr>
      <w:rPr>
        <w:rFonts w:hint="default"/>
        <w:lang w:val="en-au" w:eastAsia="en-US" w:bidi="ar-SA"/>
      </w:rPr>
    </w:lvl>
    <w:lvl w:ilvl="4">
      <w:start w:val="0"/>
      <w:numFmt w:val="bullet"/>
      <w:lvlText w:val="•"/>
      <w:lvlJc w:val="left"/>
      <w:pPr>
        <w:ind w:left="3466" w:hanging="151"/>
      </w:pPr>
      <w:rPr>
        <w:rFonts w:hint="default"/>
        <w:lang w:val="en-au" w:eastAsia="en-US" w:bidi="ar-SA"/>
      </w:rPr>
    </w:lvl>
    <w:lvl w:ilvl="5">
      <w:start w:val="0"/>
      <w:numFmt w:val="bullet"/>
      <w:lvlText w:val="•"/>
      <w:lvlJc w:val="left"/>
      <w:pPr>
        <w:ind w:left="4729" w:hanging="151"/>
      </w:pPr>
      <w:rPr>
        <w:rFonts w:hint="default"/>
        <w:lang w:val="en-au" w:eastAsia="en-US" w:bidi="ar-SA"/>
      </w:rPr>
    </w:lvl>
    <w:lvl w:ilvl="6">
      <w:start w:val="0"/>
      <w:numFmt w:val="bullet"/>
      <w:lvlText w:val="•"/>
      <w:lvlJc w:val="left"/>
      <w:pPr>
        <w:ind w:left="5993" w:hanging="151"/>
      </w:pPr>
      <w:rPr>
        <w:rFonts w:hint="default"/>
        <w:lang w:val="en-au" w:eastAsia="en-US" w:bidi="ar-SA"/>
      </w:rPr>
    </w:lvl>
    <w:lvl w:ilvl="7">
      <w:start w:val="0"/>
      <w:numFmt w:val="bullet"/>
      <w:lvlText w:val="•"/>
      <w:lvlJc w:val="left"/>
      <w:pPr>
        <w:ind w:left="7256" w:hanging="151"/>
      </w:pPr>
      <w:rPr>
        <w:rFonts w:hint="default"/>
        <w:lang w:val="en-au" w:eastAsia="en-US" w:bidi="ar-SA"/>
      </w:rPr>
    </w:lvl>
    <w:lvl w:ilvl="8">
      <w:start w:val="0"/>
      <w:numFmt w:val="bullet"/>
      <w:lvlText w:val="•"/>
      <w:lvlJc w:val="left"/>
      <w:pPr>
        <w:ind w:left="8519" w:hanging="151"/>
      </w:pPr>
      <w:rPr>
        <w:rFonts w:hint="default"/>
        <w:lang w:val="en-au" w:eastAsia="en-US" w:bidi="ar-SA"/>
      </w:rPr>
    </w:lvl>
  </w:abstractNum>
  <w:abstractNum w:abstractNumId="69">
    <w:multiLevelType w:val="hybridMultilevel"/>
    <w:lvl w:ilvl="0">
      <w:start w:val="1"/>
      <w:numFmt w:val="decimal"/>
      <w:lvlText w:val="%1"/>
      <w:lvlJc w:val="left"/>
      <w:pPr>
        <w:ind w:left="932" w:hanging="152"/>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1950" w:hanging="152"/>
      </w:pPr>
      <w:rPr>
        <w:rFonts w:hint="default"/>
        <w:lang w:val="en-au" w:eastAsia="en-US" w:bidi="ar-SA"/>
      </w:rPr>
    </w:lvl>
    <w:lvl w:ilvl="2">
      <w:start w:val="0"/>
      <w:numFmt w:val="bullet"/>
      <w:lvlText w:val="•"/>
      <w:lvlJc w:val="left"/>
      <w:pPr>
        <w:ind w:left="2961" w:hanging="152"/>
      </w:pPr>
      <w:rPr>
        <w:rFonts w:hint="default"/>
        <w:lang w:val="en-au" w:eastAsia="en-US" w:bidi="ar-SA"/>
      </w:rPr>
    </w:lvl>
    <w:lvl w:ilvl="3">
      <w:start w:val="0"/>
      <w:numFmt w:val="bullet"/>
      <w:lvlText w:val="•"/>
      <w:lvlJc w:val="left"/>
      <w:pPr>
        <w:ind w:left="3971" w:hanging="152"/>
      </w:pPr>
      <w:rPr>
        <w:rFonts w:hint="default"/>
        <w:lang w:val="en-au" w:eastAsia="en-US" w:bidi="ar-SA"/>
      </w:rPr>
    </w:lvl>
    <w:lvl w:ilvl="4">
      <w:start w:val="0"/>
      <w:numFmt w:val="bullet"/>
      <w:lvlText w:val="•"/>
      <w:lvlJc w:val="left"/>
      <w:pPr>
        <w:ind w:left="4982" w:hanging="152"/>
      </w:pPr>
      <w:rPr>
        <w:rFonts w:hint="default"/>
        <w:lang w:val="en-au" w:eastAsia="en-US" w:bidi="ar-SA"/>
      </w:rPr>
    </w:lvl>
    <w:lvl w:ilvl="5">
      <w:start w:val="0"/>
      <w:numFmt w:val="bullet"/>
      <w:lvlText w:val="•"/>
      <w:lvlJc w:val="left"/>
      <w:pPr>
        <w:ind w:left="5993" w:hanging="152"/>
      </w:pPr>
      <w:rPr>
        <w:rFonts w:hint="default"/>
        <w:lang w:val="en-au" w:eastAsia="en-US" w:bidi="ar-SA"/>
      </w:rPr>
    </w:lvl>
    <w:lvl w:ilvl="6">
      <w:start w:val="0"/>
      <w:numFmt w:val="bullet"/>
      <w:lvlText w:val="•"/>
      <w:lvlJc w:val="left"/>
      <w:pPr>
        <w:ind w:left="7003" w:hanging="152"/>
      </w:pPr>
      <w:rPr>
        <w:rFonts w:hint="default"/>
        <w:lang w:val="en-au" w:eastAsia="en-US" w:bidi="ar-SA"/>
      </w:rPr>
    </w:lvl>
    <w:lvl w:ilvl="7">
      <w:start w:val="0"/>
      <w:numFmt w:val="bullet"/>
      <w:lvlText w:val="•"/>
      <w:lvlJc w:val="left"/>
      <w:pPr>
        <w:ind w:left="8014" w:hanging="152"/>
      </w:pPr>
      <w:rPr>
        <w:rFonts w:hint="default"/>
        <w:lang w:val="en-au" w:eastAsia="en-US" w:bidi="ar-SA"/>
      </w:rPr>
    </w:lvl>
    <w:lvl w:ilvl="8">
      <w:start w:val="0"/>
      <w:numFmt w:val="bullet"/>
      <w:lvlText w:val="•"/>
      <w:lvlJc w:val="left"/>
      <w:pPr>
        <w:ind w:left="9025" w:hanging="152"/>
      </w:pPr>
      <w:rPr>
        <w:rFonts w:hint="default"/>
        <w:lang w:val="en-au" w:eastAsia="en-US" w:bidi="ar-SA"/>
      </w:rPr>
    </w:lvl>
  </w:abstractNum>
  <w:abstractNum w:abstractNumId="68">
    <w:multiLevelType w:val="hybridMultilevel"/>
    <w:lvl w:ilvl="0">
      <w:start w:val="1"/>
      <w:numFmt w:val="decimal"/>
      <w:lvlText w:val="%1"/>
      <w:lvlJc w:val="left"/>
      <w:pPr>
        <w:ind w:left="931" w:hanging="151"/>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1950" w:hanging="151"/>
      </w:pPr>
      <w:rPr>
        <w:rFonts w:hint="default"/>
        <w:lang w:val="en-au" w:eastAsia="en-US" w:bidi="ar-SA"/>
      </w:rPr>
    </w:lvl>
    <w:lvl w:ilvl="2">
      <w:start w:val="0"/>
      <w:numFmt w:val="bullet"/>
      <w:lvlText w:val="•"/>
      <w:lvlJc w:val="left"/>
      <w:pPr>
        <w:ind w:left="2961" w:hanging="151"/>
      </w:pPr>
      <w:rPr>
        <w:rFonts w:hint="default"/>
        <w:lang w:val="en-au" w:eastAsia="en-US" w:bidi="ar-SA"/>
      </w:rPr>
    </w:lvl>
    <w:lvl w:ilvl="3">
      <w:start w:val="0"/>
      <w:numFmt w:val="bullet"/>
      <w:lvlText w:val="•"/>
      <w:lvlJc w:val="left"/>
      <w:pPr>
        <w:ind w:left="3971" w:hanging="151"/>
      </w:pPr>
      <w:rPr>
        <w:rFonts w:hint="default"/>
        <w:lang w:val="en-au" w:eastAsia="en-US" w:bidi="ar-SA"/>
      </w:rPr>
    </w:lvl>
    <w:lvl w:ilvl="4">
      <w:start w:val="0"/>
      <w:numFmt w:val="bullet"/>
      <w:lvlText w:val="•"/>
      <w:lvlJc w:val="left"/>
      <w:pPr>
        <w:ind w:left="4982" w:hanging="151"/>
      </w:pPr>
      <w:rPr>
        <w:rFonts w:hint="default"/>
        <w:lang w:val="en-au" w:eastAsia="en-US" w:bidi="ar-SA"/>
      </w:rPr>
    </w:lvl>
    <w:lvl w:ilvl="5">
      <w:start w:val="0"/>
      <w:numFmt w:val="bullet"/>
      <w:lvlText w:val="•"/>
      <w:lvlJc w:val="left"/>
      <w:pPr>
        <w:ind w:left="5993" w:hanging="151"/>
      </w:pPr>
      <w:rPr>
        <w:rFonts w:hint="default"/>
        <w:lang w:val="en-au" w:eastAsia="en-US" w:bidi="ar-SA"/>
      </w:rPr>
    </w:lvl>
    <w:lvl w:ilvl="6">
      <w:start w:val="0"/>
      <w:numFmt w:val="bullet"/>
      <w:lvlText w:val="•"/>
      <w:lvlJc w:val="left"/>
      <w:pPr>
        <w:ind w:left="7003" w:hanging="151"/>
      </w:pPr>
      <w:rPr>
        <w:rFonts w:hint="default"/>
        <w:lang w:val="en-au" w:eastAsia="en-US" w:bidi="ar-SA"/>
      </w:rPr>
    </w:lvl>
    <w:lvl w:ilvl="7">
      <w:start w:val="0"/>
      <w:numFmt w:val="bullet"/>
      <w:lvlText w:val="•"/>
      <w:lvlJc w:val="left"/>
      <w:pPr>
        <w:ind w:left="8014" w:hanging="151"/>
      </w:pPr>
      <w:rPr>
        <w:rFonts w:hint="default"/>
        <w:lang w:val="en-au" w:eastAsia="en-US" w:bidi="ar-SA"/>
      </w:rPr>
    </w:lvl>
    <w:lvl w:ilvl="8">
      <w:start w:val="0"/>
      <w:numFmt w:val="bullet"/>
      <w:lvlText w:val="•"/>
      <w:lvlJc w:val="left"/>
      <w:pPr>
        <w:ind w:left="9025" w:hanging="151"/>
      </w:pPr>
      <w:rPr>
        <w:rFonts w:hint="default"/>
        <w:lang w:val="en-au" w:eastAsia="en-US" w:bidi="ar-SA"/>
      </w:rPr>
    </w:lvl>
  </w:abstractNum>
  <w:abstractNum w:abstractNumId="67">
    <w:multiLevelType w:val="hybridMultilevel"/>
    <w:lvl w:ilvl="0">
      <w:start w:val="4"/>
      <w:numFmt w:val="decimal"/>
      <w:lvlText w:val="%1"/>
      <w:lvlJc w:val="left"/>
      <w:pPr>
        <w:ind w:left="932" w:hanging="152"/>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1950" w:hanging="152"/>
      </w:pPr>
      <w:rPr>
        <w:rFonts w:hint="default"/>
        <w:lang w:val="en-au" w:eastAsia="en-US" w:bidi="ar-SA"/>
      </w:rPr>
    </w:lvl>
    <w:lvl w:ilvl="2">
      <w:start w:val="0"/>
      <w:numFmt w:val="bullet"/>
      <w:lvlText w:val="•"/>
      <w:lvlJc w:val="left"/>
      <w:pPr>
        <w:ind w:left="2961" w:hanging="152"/>
      </w:pPr>
      <w:rPr>
        <w:rFonts w:hint="default"/>
        <w:lang w:val="en-au" w:eastAsia="en-US" w:bidi="ar-SA"/>
      </w:rPr>
    </w:lvl>
    <w:lvl w:ilvl="3">
      <w:start w:val="0"/>
      <w:numFmt w:val="bullet"/>
      <w:lvlText w:val="•"/>
      <w:lvlJc w:val="left"/>
      <w:pPr>
        <w:ind w:left="3971" w:hanging="152"/>
      </w:pPr>
      <w:rPr>
        <w:rFonts w:hint="default"/>
        <w:lang w:val="en-au" w:eastAsia="en-US" w:bidi="ar-SA"/>
      </w:rPr>
    </w:lvl>
    <w:lvl w:ilvl="4">
      <w:start w:val="0"/>
      <w:numFmt w:val="bullet"/>
      <w:lvlText w:val="•"/>
      <w:lvlJc w:val="left"/>
      <w:pPr>
        <w:ind w:left="4982" w:hanging="152"/>
      </w:pPr>
      <w:rPr>
        <w:rFonts w:hint="default"/>
        <w:lang w:val="en-au" w:eastAsia="en-US" w:bidi="ar-SA"/>
      </w:rPr>
    </w:lvl>
    <w:lvl w:ilvl="5">
      <w:start w:val="0"/>
      <w:numFmt w:val="bullet"/>
      <w:lvlText w:val="•"/>
      <w:lvlJc w:val="left"/>
      <w:pPr>
        <w:ind w:left="5993" w:hanging="152"/>
      </w:pPr>
      <w:rPr>
        <w:rFonts w:hint="default"/>
        <w:lang w:val="en-au" w:eastAsia="en-US" w:bidi="ar-SA"/>
      </w:rPr>
    </w:lvl>
    <w:lvl w:ilvl="6">
      <w:start w:val="0"/>
      <w:numFmt w:val="bullet"/>
      <w:lvlText w:val="•"/>
      <w:lvlJc w:val="left"/>
      <w:pPr>
        <w:ind w:left="7003" w:hanging="152"/>
      </w:pPr>
      <w:rPr>
        <w:rFonts w:hint="default"/>
        <w:lang w:val="en-au" w:eastAsia="en-US" w:bidi="ar-SA"/>
      </w:rPr>
    </w:lvl>
    <w:lvl w:ilvl="7">
      <w:start w:val="0"/>
      <w:numFmt w:val="bullet"/>
      <w:lvlText w:val="•"/>
      <w:lvlJc w:val="left"/>
      <w:pPr>
        <w:ind w:left="8014" w:hanging="152"/>
      </w:pPr>
      <w:rPr>
        <w:rFonts w:hint="default"/>
        <w:lang w:val="en-au" w:eastAsia="en-US" w:bidi="ar-SA"/>
      </w:rPr>
    </w:lvl>
    <w:lvl w:ilvl="8">
      <w:start w:val="0"/>
      <w:numFmt w:val="bullet"/>
      <w:lvlText w:val="•"/>
      <w:lvlJc w:val="left"/>
      <w:pPr>
        <w:ind w:left="9025" w:hanging="152"/>
      </w:pPr>
      <w:rPr>
        <w:rFonts w:hint="default"/>
        <w:lang w:val="en-au" w:eastAsia="en-US" w:bidi="ar-SA"/>
      </w:rPr>
    </w:lvl>
  </w:abstractNum>
  <w:abstractNum w:abstractNumId="66">
    <w:multiLevelType w:val="hybridMultilevel"/>
    <w:lvl w:ilvl="0">
      <w:start w:val="1"/>
      <w:numFmt w:val="decimal"/>
      <w:lvlText w:val="%1"/>
      <w:lvlJc w:val="left"/>
      <w:pPr>
        <w:ind w:left="931" w:hanging="151"/>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1950" w:hanging="151"/>
      </w:pPr>
      <w:rPr>
        <w:rFonts w:hint="default"/>
        <w:lang w:val="en-au" w:eastAsia="en-US" w:bidi="ar-SA"/>
      </w:rPr>
    </w:lvl>
    <w:lvl w:ilvl="2">
      <w:start w:val="0"/>
      <w:numFmt w:val="bullet"/>
      <w:lvlText w:val="•"/>
      <w:lvlJc w:val="left"/>
      <w:pPr>
        <w:ind w:left="2961" w:hanging="151"/>
      </w:pPr>
      <w:rPr>
        <w:rFonts w:hint="default"/>
        <w:lang w:val="en-au" w:eastAsia="en-US" w:bidi="ar-SA"/>
      </w:rPr>
    </w:lvl>
    <w:lvl w:ilvl="3">
      <w:start w:val="0"/>
      <w:numFmt w:val="bullet"/>
      <w:lvlText w:val="•"/>
      <w:lvlJc w:val="left"/>
      <w:pPr>
        <w:ind w:left="3971" w:hanging="151"/>
      </w:pPr>
      <w:rPr>
        <w:rFonts w:hint="default"/>
        <w:lang w:val="en-au" w:eastAsia="en-US" w:bidi="ar-SA"/>
      </w:rPr>
    </w:lvl>
    <w:lvl w:ilvl="4">
      <w:start w:val="0"/>
      <w:numFmt w:val="bullet"/>
      <w:lvlText w:val="•"/>
      <w:lvlJc w:val="left"/>
      <w:pPr>
        <w:ind w:left="4982" w:hanging="151"/>
      </w:pPr>
      <w:rPr>
        <w:rFonts w:hint="default"/>
        <w:lang w:val="en-au" w:eastAsia="en-US" w:bidi="ar-SA"/>
      </w:rPr>
    </w:lvl>
    <w:lvl w:ilvl="5">
      <w:start w:val="0"/>
      <w:numFmt w:val="bullet"/>
      <w:lvlText w:val="•"/>
      <w:lvlJc w:val="left"/>
      <w:pPr>
        <w:ind w:left="5993" w:hanging="151"/>
      </w:pPr>
      <w:rPr>
        <w:rFonts w:hint="default"/>
        <w:lang w:val="en-au" w:eastAsia="en-US" w:bidi="ar-SA"/>
      </w:rPr>
    </w:lvl>
    <w:lvl w:ilvl="6">
      <w:start w:val="0"/>
      <w:numFmt w:val="bullet"/>
      <w:lvlText w:val="•"/>
      <w:lvlJc w:val="left"/>
      <w:pPr>
        <w:ind w:left="7003" w:hanging="151"/>
      </w:pPr>
      <w:rPr>
        <w:rFonts w:hint="default"/>
        <w:lang w:val="en-au" w:eastAsia="en-US" w:bidi="ar-SA"/>
      </w:rPr>
    </w:lvl>
    <w:lvl w:ilvl="7">
      <w:start w:val="0"/>
      <w:numFmt w:val="bullet"/>
      <w:lvlText w:val="•"/>
      <w:lvlJc w:val="left"/>
      <w:pPr>
        <w:ind w:left="8014" w:hanging="151"/>
      </w:pPr>
      <w:rPr>
        <w:rFonts w:hint="default"/>
        <w:lang w:val="en-au" w:eastAsia="en-US" w:bidi="ar-SA"/>
      </w:rPr>
    </w:lvl>
    <w:lvl w:ilvl="8">
      <w:start w:val="0"/>
      <w:numFmt w:val="bullet"/>
      <w:lvlText w:val="•"/>
      <w:lvlJc w:val="left"/>
      <w:pPr>
        <w:ind w:left="9025" w:hanging="151"/>
      </w:pPr>
      <w:rPr>
        <w:rFonts w:hint="default"/>
        <w:lang w:val="en-au" w:eastAsia="en-US" w:bidi="ar-SA"/>
      </w:rPr>
    </w:lvl>
  </w:abstractNum>
  <w:abstractNum w:abstractNumId="65">
    <w:multiLevelType w:val="hybridMultilevel"/>
    <w:lvl w:ilvl="0">
      <w:start w:val="4"/>
      <w:numFmt w:val="decimal"/>
      <w:lvlText w:val="%1"/>
      <w:lvlJc w:val="left"/>
      <w:pPr>
        <w:ind w:left="932" w:hanging="152"/>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1950" w:hanging="152"/>
      </w:pPr>
      <w:rPr>
        <w:rFonts w:hint="default"/>
        <w:lang w:val="en-au" w:eastAsia="en-US" w:bidi="ar-SA"/>
      </w:rPr>
    </w:lvl>
    <w:lvl w:ilvl="2">
      <w:start w:val="0"/>
      <w:numFmt w:val="bullet"/>
      <w:lvlText w:val="•"/>
      <w:lvlJc w:val="left"/>
      <w:pPr>
        <w:ind w:left="2961" w:hanging="152"/>
      </w:pPr>
      <w:rPr>
        <w:rFonts w:hint="default"/>
        <w:lang w:val="en-au" w:eastAsia="en-US" w:bidi="ar-SA"/>
      </w:rPr>
    </w:lvl>
    <w:lvl w:ilvl="3">
      <w:start w:val="0"/>
      <w:numFmt w:val="bullet"/>
      <w:lvlText w:val="•"/>
      <w:lvlJc w:val="left"/>
      <w:pPr>
        <w:ind w:left="3971" w:hanging="152"/>
      </w:pPr>
      <w:rPr>
        <w:rFonts w:hint="default"/>
        <w:lang w:val="en-au" w:eastAsia="en-US" w:bidi="ar-SA"/>
      </w:rPr>
    </w:lvl>
    <w:lvl w:ilvl="4">
      <w:start w:val="0"/>
      <w:numFmt w:val="bullet"/>
      <w:lvlText w:val="•"/>
      <w:lvlJc w:val="left"/>
      <w:pPr>
        <w:ind w:left="4982" w:hanging="152"/>
      </w:pPr>
      <w:rPr>
        <w:rFonts w:hint="default"/>
        <w:lang w:val="en-au" w:eastAsia="en-US" w:bidi="ar-SA"/>
      </w:rPr>
    </w:lvl>
    <w:lvl w:ilvl="5">
      <w:start w:val="0"/>
      <w:numFmt w:val="bullet"/>
      <w:lvlText w:val="•"/>
      <w:lvlJc w:val="left"/>
      <w:pPr>
        <w:ind w:left="5993" w:hanging="152"/>
      </w:pPr>
      <w:rPr>
        <w:rFonts w:hint="default"/>
        <w:lang w:val="en-au" w:eastAsia="en-US" w:bidi="ar-SA"/>
      </w:rPr>
    </w:lvl>
    <w:lvl w:ilvl="6">
      <w:start w:val="0"/>
      <w:numFmt w:val="bullet"/>
      <w:lvlText w:val="•"/>
      <w:lvlJc w:val="left"/>
      <w:pPr>
        <w:ind w:left="7003" w:hanging="152"/>
      </w:pPr>
      <w:rPr>
        <w:rFonts w:hint="default"/>
        <w:lang w:val="en-au" w:eastAsia="en-US" w:bidi="ar-SA"/>
      </w:rPr>
    </w:lvl>
    <w:lvl w:ilvl="7">
      <w:start w:val="0"/>
      <w:numFmt w:val="bullet"/>
      <w:lvlText w:val="•"/>
      <w:lvlJc w:val="left"/>
      <w:pPr>
        <w:ind w:left="8014" w:hanging="152"/>
      </w:pPr>
      <w:rPr>
        <w:rFonts w:hint="default"/>
        <w:lang w:val="en-au" w:eastAsia="en-US" w:bidi="ar-SA"/>
      </w:rPr>
    </w:lvl>
    <w:lvl w:ilvl="8">
      <w:start w:val="0"/>
      <w:numFmt w:val="bullet"/>
      <w:lvlText w:val="•"/>
      <w:lvlJc w:val="left"/>
      <w:pPr>
        <w:ind w:left="9025" w:hanging="152"/>
      </w:pPr>
      <w:rPr>
        <w:rFonts w:hint="default"/>
        <w:lang w:val="en-au" w:eastAsia="en-US" w:bidi="ar-SA"/>
      </w:rPr>
    </w:lvl>
  </w:abstractNum>
  <w:abstractNum w:abstractNumId="64">
    <w:multiLevelType w:val="hybridMultilevel"/>
    <w:lvl w:ilvl="0">
      <w:start w:val="1"/>
      <w:numFmt w:val="decimal"/>
      <w:lvlText w:val="%1"/>
      <w:lvlJc w:val="left"/>
      <w:pPr>
        <w:ind w:left="931" w:hanging="151"/>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1950" w:hanging="151"/>
      </w:pPr>
      <w:rPr>
        <w:rFonts w:hint="default"/>
        <w:lang w:val="en-au" w:eastAsia="en-US" w:bidi="ar-SA"/>
      </w:rPr>
    </w:lvl>
    <w:lvl w:ilvl="2">
      <w:start w:val="0"/>
      <w:numFmt w:val="bullet"/>
      <w:lvlText w:val="•"/>
      <w:lvlJc w:val="left"/>
      <w:pPr>
        <w:ind w:left="2961" w:hanging="151"/>
      </w:pPr>
      <w:rPr>
        <w:rFonts w:hint="default"/>
        <w:lang w:val="en-au" w:eastAsia="en-US" w:bidi="ar-SA"/>
      </w:rPr>
    </w:lvl>
    <w:lvl w:ilvl="3">
      <w:start w:val="0"/>
      <w:numFmt w:val="bullet"/>
      <w:lvlText w:val="•"/>
      <w:lvlJc w:val="left"/>
      <w:pPr>
        <w:ind w:left="3971" w:hanging="151"/>
      </w:pPr>
      <w:rPr>
        <w:rFonts w:hint="default"/>
        <w:lang w:val="en-au" w:eastAsia="en-US" w:bidi="ar-SA"/>
      </w:rPr>
    </w:lvl>
    <w:lvl w:ilvl="4">
      <w:start w:val="0"/>
      <w:numFmt w:val="bullet"/>
      <w:lvlText w:val="•"/>
      <w:lvlJc w:val="left"/>
      <w:pPr>
        <w:ind w:left="4982" w:hanging="151"/>
      </w:pPr>
      <w:rPr>
        <w:rFonts w:hint="default"/>
        <w:lang w:val="en-au" w:eastAsia="en-US" w:bidi="ar-SA"/>
      </w:rPr>
    </w:lvl>
    <w:lvl w:ilvl="5">
      <w:start w:val="0"/>
      <w:numFmt w:val="bullet"/>
      <w:lvlText w:val="•"/>
      <w:lvlJc w:val="left"/>
      <w:pPr>
        <w:ind w:left="5993" w:hanging="151"/>
      </w:pPr>
      <w:rPr>
        <w:rFonts w:hint="default"/>
        <w:lang w:val="en-au" w:eastAsia="en-US" w:bidi="ar-SA"/>
      </w:rPr>
    </w:lvl>
    <w:lvl w:ilvl="6">
      <w:start w:val="0"/>
      <w:numFmt w:val="bullet"/>
      <w:lvlText w:val="•"/>
      <w:lvlJc w:val="left"/>
      <w:pPr>
        <w:ind w:left="7003" w:hanging="151"/>
      </w:pPr>
      <w:rPr>
        <w:rFonts w:hint="default"/>
        <w:lang w:val="en-au" w:eastAsia="en-US" w:bidi="ar-SA"/>
      </w:rPr>
    </w:lvl>
    <w:lvl w:ilvl="7">
      <w:start w:val="0"/>
      <w:numFmt w:val="bullet"/>
      <w:lvlText w:val="•"/>
      <w:lvlJc w:val="left"/>
      <w:pPr>
        <w:ind w:left="8014" w:hanging="151"/>
      </w:pPr>
      <w:rPr>
        <w:rFonts w:hint="default"/>
        <w:lang w:val="en-au" w:eastAsia="en-US" w:bidi="ar-SA"/>
      </w:rPr>
    </w:lvl>
    <w:lvl w:ilvl="8">
      <w:start w:val="0"/>
      <w:numFmt w:val="bullet"/>
      <w:lvlText w:val="•"/>
      <w:lvlJc w:val="left"/>
      <w:pPr>
        <w:ind w:left="9025" w:hanging="151"/>
      </w:pPr>
      <w:rPr>
        <w:rFonts w:hint="default"/>
        <w:lang w:val="en-au" w:eastAsia="en-US" w:bidi="ar-SA"/>
      </w:rPr>
    </w:lvl>
  </w:abstractNum>
  <w:abstractNum w:abstractNumId="63">
    <w:multiLevelType w:val="hybridMultilevel"/>
    <w:lvl w:ilvl="0">
      <w:start w:val="1"/>
      <w:numFmt w:val="decimal"/>
      <w:lvlText w:val="%1"/>
      <w:lvlJc w:val="left"/>
      <w:pPr>
        <w:ind w:left="931" w:hanging="151"/>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1950" w:hanging="151"/>
      </w:pPr>
      <w:rPr>
        <w:rFonts w:hint="default"/>
        <w:lang w:val="en-au" w:eastAsia="en-US" w:bidi="ar-SA"/>
      </w:rPr>
    </w:lvl>
    <w:lvl w:ilvl="2">
      <w:start w:val="0"/>
      <w:numFmt w:val="bullet"/>
      <w:lvlText w:val="•"/>
      <w:lvlJc w:val="left"/>
      <w:pPr>
        <w:ind w:left="2961" w:hanging="151"/>
      </w:pPr>
      <w:rPr>
        <w:rFonts w:hint="default"/>
        <w:lang w:val="en-au" w:eastAsia="en-US" w:bidi="ar-SA"/>
      </w:rPr>
    </w:lvl>
    <w:lvl w:ilvl="3">
      <w:start w:val="0"/>
      <w:numFmt w:val="bullet"/>
      <w:lvlText w:val="•"/>
      <w:lvlJc w:val="left"/>
      <w:pPr>
        <w:ind w:left="3971" w:hanging="151"/>
      </w:pPr>
      <w:rPr>
        <w:rFonts w:hint="default"/>
        <w:lang w:val="en-au" w:eastAsia="en-US" w:bidi="ar-SA"/>
      </w:rPr>
    </w:lvl>
    <w:lvl w:ilvl="4">
      <w:start w:val="0"/>
      <w:numFmt w:val="bullet"/>
      <w:lvlText w:val="•"/>
      <w:lvlJc w:val="left"/>
      <w:pPr>
        <w:ind w:left="4982" w:hanging="151"/>
      </w:pPr>
      <w:rPr>
        <w:rFonts w:hint="default"/>
        <w:lang w:val="en-au" w:eastAsia="en-US" w:bidi="ar-SA"/>
      </w:rPr>
    </w:lvl>
    <w:lvl w:ilvl="5">
      <w:start w:val="0"/>
      <w:numFmt w:val="bullet"/>
      <w:lvlText w:val="•"/>
      <w:lvlJc w:val="left"/>
      <w:pPr>
        <w:ind w:left="5993" w:hanging="151"/>
      </w:pPr>
      <w:rPr>
        <w:rFonts w:hint="default"/>
        <w:lang w:val="en-au" w:eastAsia="en-US" w:bidi="ar-SA"/>
      </w:rPr>
    </w:lvl>
    <w:lvl w:ilvl="6">
      <w:start w:val="0"/>
      <w:numFmt w:val="bullet"/>
      <w:lvlText w:val="•"/>
      <w:lvlJc w:val="left"/>
      <w:pPr>
        <w:ind w:left="7003" w:hanging="151"/>
      </w:pPr>
      <w:rPr>
        <w:rFonts w:hint="default"/>
        <w:lang w:val="en-au" w:eastAsia="en-US" w:bidi="ar-SA"/>
      </w:rPr>
    </w:lvl>
    <w:lvl w:ilvl="7">
      <w:start w:val="0"/>
      <w:numFmt w:val="bullet"/>
      <w:lvlText w:val="•"/>
      <w:lvlJc w:val="left"/>
      <w:pPr>
        <w:ind w:left="8014" w:hanging="151"/>
      </w:pPr>
      <w:rPr>
        <w:rFonts w:hint="default"/>
        <w:lang w:val="en-au" w:eastAsia="en-US" w:bidi="ar-SA"/>
      </w:rPr>
    </w:lvl>
    <w:lvl w:ilvl="8">
      <w:start w:val="0"/>
      <w:numFmt w:val="bullet"/>
      <w:lvlText w:val="•"/>
      <w:lvlJc w:val="left"/>
      <w:pPr>
        <w:ind w:left="9025" w:hanging="151"/>
      </w:pPr>
      <w:rPr>
        <w:rFonts w:hint="default"/>
        <w:lang w:val="en-au" w:eastAsia="en-US" w:bidi="ar-SA"/>
      </w:rPr>
    </w:lvl>
  </w:abstractNum>
  <w:abstractNum w:abstractNumId="62">
    <w:multiLevelType w:val="hybridMultilevel"/>
    <w:lvl w:ilvl="0">
      <w:start w:val="4"/>
      <w:numFmt w:val="decimal"/>
      <w:lvlText w:val="%1"/>
      <w:lvlJc w:val="left"/>
      <w:pPr>
        <w:ind w:left="932" w:hanging="152"/>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1950" w:hanging="152"/>
      </w:pPr>
      <w:rPr>
        <w:rFonts w:hint="default"/>
        <w:lang w:val="en-au" w:eastAsia="en-US" w:bidi="ar-SA"/>
      </w:rPr>
    </w:lvl>
    <w:lvl w:ilvl="2">
      <w:start w:val="0"/>
      <w:numFmt w:val="bullet"/>
      <w:lvlText w:val="•"/>
      <w:lvlJc w:val="left"/>
      <w:pPr>
        <w:ind w:left="2961" w:hanging="152"/>
      </w:pPr>
      <w:rPr>
        <w:rFonts w:hint="default"/>
        <w:lang w:val="en-au" w:eastAsia="en-US" w:bidi="ar-SA"/>
      </w:rPr>
    </w:lvl>
    <w:lvl w:ilvl="3">
      <w:start w:val="0"/>
      <w:numFmt w:val="bullet"/>
      <w:lvlText w:val="•"/>
      <w:lvlJc w:val="left"/>
      <w:pPr>
        <w:ind w:left="3971" w:hanging="152"/>
      </w:pPr>
      <w:rPr>
        <w:rFonts w:hint="default"/>
        <w:lang w:val="en-au" w:eastAsia="en-US" w:bidi="ar-SA"/>
      </w:rPr>
    </w:lvl>
    <w:lvl w:ilvl="4">
      <w:start w:val="0"/>
      <w:numFmt w:val="bullet"/>
      <w:lvlText w:val="•"/>
      <w:lvlJc w:val="left"/>
      <w:pPr>
        <w:ind w:left="4982" w:hanging="152"/>
      </w:pPr>
      <w:rPr>
        <w:rFonts w:hint="default"/>
        <w:lang w:val="en-au" w:eastAsia="en-US" w:bidi="ar-SA"/>
      </w:rPr>
    </w:lvl>
    <w:lvl w:ilvl="5">
      <w:start w:val="0"/>
      <w:numFmt w:val="bullet"/>
      <w:lvlText w:val="•"/>
      <w:lvlJc w:val="left"/>
      <w:pPr>
        <w:ind w:left="5993" w:hanging="152"/>
      </w:pPr>
      <w:rPr>
        <w:rFonts w:hint="default"/>
        <w:lang w:val="en-au" w:eastAsia="en-US" w:bidi="ar-SA"/>
      </w:rPr>
    </w:lvl>
    <w:lvl w:ilvl="6">
      <w:start w:val="0"/>
      <w:numFmt w:val="bullet"/>
      <w:lvlText w:val="•"/>
      <w:lvlJc w:val="left"/>
      <w:pPr>
        <w:ind w:left="7003" w:hanging="152"/>
      </w:pPr>
      <w:rPr>
        <w:rFonts w:hint="default"/>
        <w:lang w:val="en-au" w:eastAsia="en-US" w:bidi="ar-SA"/>
      </w:rPr>
    </w:lvl>
    <w:lvl w:ilvl="7">
      <w:start w:val="0"/>
      <w:numFmt w:val="bullet"/>
      <w:lvlText w:val="•"/>
      <w:lvlJc w:val="left"/>
      <w:pPr>
        <w:ind w:left="8014" w:hanging="152"/>
      </w:pPr>
      <w:rPr>
        <w:rFonts w:hint="default"/>
        <w:lang w:val="en-au" w:eastAsia="en-US" w:bidi="ar-SA"/>
      </w:rPr>
    </w:lvl>
    <w:lvl w:ilvl="8">
      <w:start w:val="0"/>
      <w:numFmt w:val="bullet"/>
      <w:lvlText w:val="•"/>
      <w:lvlJc w:val="left"/>
      <w:pPr>
        <w:ind w:left="9025" w:hanging="152"/>
      </w:pPr>
      <w:rPr>
        <w:rFonts w:hint="default"/>
        <w:lang w:val="en-au" w:eastAsia="en-US" w:bidi="ar-SA"/>
      </w:rPr>
    </w:lvl>
  </w:abstractNum>
  <w:abstractNum w:abstractNumId="61">
    <w:multiLevelType w:val="hybridMultilevel"/>
    <w:lvl w:ilvl="0">
      <w:start w:val="1"/>
      <w:numFmt w:val="decimal"/>
      <w:lvlText w:val="%1"/>
      <w:lvlJc w:val="left"/>
      <w:pPr>
        <w:ind w:left="931" w:hanging="151"/>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1950" w:hanging="151"/>
      </w:pPr>
      <w:rPr>
        <w:rFonts w:hint="default"/>
        <w:lang w:val="en-au" w:eastAsia="en-US" w:bidi="ar-SA"/>
      </w:rPr>
    </w:lvl>
    <w:lvl w:ilvl="2">
      <w:start w:val="0"/>
      <w:numFmt w:val="bullet"/>
      <w:lvlText w:val="•"/>
      <w:lvlJc w:val="left"/>
      <w:pPr>
        <w:ind w:left="2961" w:hanging="151"/>
      </w:pPr>
      <w:rPr>
        <w:rFonts w:hint="default"/>
        <w:lang w:val="en-au" w:eastAsia="en-US" w:bidi="ar-SA"/>
      </w:rPr>
    </w:lvl>
    <w:lvl w:ilvl="3">
      <w:start w:val="0"/>
      <w:numFmt w:val="bullet"/>
      <w:lvlText w:val="•"/>
      <w:lvlJc w:val="left"/>
      <w:pPr>
        <w:ind w:left="3971" w:hanging="151"/>
      </w:pPr>
      <w:rPr>
        <w:rFonts w:hint="default"/>
        <w:lang w:val="en-au" w:eastAsia="en-US" w:bidi="ar-SA"/>
      </w:rPr>
    </w:lvl>
    <w:lvl w:ilvl="4">
      <w:start w:val="0"/>
      <w:numFmt w:val="bullet"/>
      <w:lvlText w:val="•"/>
      <w:lvlJc w:val="left"/>
      <w:pPr>
        <w:ind w:left="4982" w:hanging="151"/>
      </w:pPr>
      <w:rPr>
        <w:rFonts w:hint="default"/>
        <w:lang w:val="en-au" w:eastAsia="en-US" w:bidi="ar-SA"/>
      </w:rPr>
    </w:lvl>
    <w:lvl w:ilvl="5">
      <w:start w:val="0"/>
      <w:numFmt w:val="bullet"/>
      <w:lvlText w:val="•"/>
      <w:lvlJc w:val="left"/>
      <w:pPr>
        <w:ind w:left="5993" w:hanging="151"/>
      </w:pPr>
      <w:rPr>
        <w:rFonts w:hint="default"/>
        <w:lang w:val="en-au" w:eastAsia="en-US" w:bidi="ar-SA"/>
      </w:rPr>
    </w:lvl>
    <w:lvl w:ilvl="6">
      <w:start w:val="0"/>
      <w:numFmt w:val="bullet"/>
      <w:lvlText w:val="•"/>
      <w:lvlJc w:val="left"/>
      <w:pPr>
        <w:ind w:left="7003" w:hanging="151"/>
      </w:pPr>
      <w:rPr>
        <w:rFonts w:hint="default"/>
        <w:lang w:val="en-au" w:eastAsia="en-US" w:bidi="ar-SA"/>
      </w:rPr>
    </w:lvl>
    <w:lvl w:ilvl="7">
      <w:start w:val="0"/>
      <w:numFmt w:val="bullet"/>
      <w:lvlText w:val="•"/>
      <w:lvlJc w:val="left"/>
      <w:pPr>
        <w:ind w:left="8014" w:hanging="151"/>
      </w:pPr>
      <w:rPr>
        <w:rFonts w:hint="default"/>
        <w:lang w:val="en-au" w:eastAsia="en-US" w:bidi="ar-SA"/>
      </w:rPr>
    </w:lvl>
    <w:lvl w:ilvl="8">
      <w:start w:val="0"/>
      <w:numFmt w:val="bullet"/>
      <w:lvlText w:val="•"/>
      <w:lvlJc w:val="left"/>
      <w:pPr>
        <w:ind w:left="9025" w:hanging="151"/>
      </w:pPr>
      <w:rPr>
        <w:rFonts w:hint="default"/>
        <w:lang w:val="en-au" w:eastAsia="en-US" w:bidi="ar-SA"/>
      </w:rPr>
    </w:lvl>
  </w:abstractNum>
  <w:abstractNum w:abstractNumId="60">
    <w:multiLevelType w:val="hybridMultilevel"/>
    <w:lvl w:ilvl="0">
      <w:start w:val="1"/>
      <w:numFmt w:val="decimal"/>
      <w:lvlText w:val="%1"/>
      <w:lvlJc w:val="left"/>
      <w:pPr>
        <w:ind w:left="931" w:hanging="151"/>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1950" w:hanging="151"/>
      </w:pPr>
      <w:rPr>
        <w:rFonts w:hint="default"/>
        <w:lang w:val="en-au" w:eastAsia="en-US" w:bidi="ar-SA"/>
      </w:rPr>
    </w:lvl>
    <w:lvl w:ilvl="2">
      <w:start w:val="0"/>
      <w:numFmt w:val="bullet"/>
      <w:lvlText w:val="•"/>
      <w:lvlJc w:val="left"/>
      <w:pPr>
        <w:ind w:left="2961" w:hanging="151"/>
      </w:pPr>
      <w:rPr>
        <w:rFonts w:hint="default"/>
        <w:lang w:val="en-au" w:eastAsia="en-US" w:bidi="ar-SA"/>
      </w:rPr>
    </w:lvl>
    <w:lvl w:ilvl="3">
      <w:start w:val="0"/>
      <w:numFmt w:val="bullet"/>
      <w:lvlText w:val="•"/>
      <w:lvlJc w:val="left"/>
      <w:pPr>
        <w:ind w:left="3971" w:hanging="151"/>
      </w:pPr>
      <w:rPr>
        <w:rFonts w:hint="default"/>
        <w:lang w:val="en-au" w:eastAsia="en-US" w:bidi="ar-SA"/>
      </w:rPr>
    </w:lvl>
    <w:lvl w:ilvl="4">
      <w:start w:val="0"/>
      <w:numFmt w:val="bullet"/>
      <w:lvlText w:val="•"/>
      <w:lvlJc w:val="left"/>
      <w:pPr>
        <w:ind w:left="4982" w:hanging="151"/>
      </w:pPr>
      <w:rPr>
        <w:rFonts w:hint="default"/>
        <w:lang w:val="en-au" w:eastAsia="en-US" w:bidi="ar-SA"/>
      </w:rPr>
    </w:lvl>
    <w:lvl w:ilvl="5">
      <w:start w:val="0"/>
      <w:numFmt w:val="bullet"/>
      <w:lvlText w:val="•"/>
      <w:lvlJc w:val="left"/>
      <w:pPr>
        <w:ind w:left="5993" w:hanging="151"/>
      </w:pPr>
      <w:rPr>
        <w:rFonts w:hint="default"/>
        <w:lang w:val="en-au" w:eastAsia="en-US" w:bidi="ar-SA"/>
      </w:rPr>
    </w:lvl>
    <w:lvl w:ilvl="6">
      <w:start w:val="0"/>
      <w:numFmt w:val="bullet"/>
      <w:lvlText w:val="•"/>
      <w:lvlJc w:val="left"/>
      <w:pPr>
        <w:ind w:left="7003" w:hanging="151"/>
      </w:pPr>
      <w:rPr>
        <w:rFonts w:hint="default"/>
        <w:lang w:val="en-au" w:eastAsia="en-US" w:bidi="ar-SA"/>
      </w:rPr>
    </w:lvl>
    <w:lvl w:ilvl="7">
      <w:start w:val="0"/>
      <w:numFmt w:val="bullet"/>
      <w:lvlText w:val="•"/>
      <w:lvlJc w:val="left"/>
      <w:pPr>
        <w:ind w:left="8014" w:hanging="151"/>
      </w:pPr>
      <w:rPr>
        <w:rFonts w:hint="default"/>
        <w:lang w:val="en-au" w:eastAsia="en-US" w:bidi="ar-SA"/>
      </w:rPr>
    </w:lvl>
    <w:lvl w:ilvl="8">
      <w:start w:val="0"/>
      <w:numFmt w:val="bullet"/>
      <w:lvlText w:val="•"/>
      <w:lvlJc w:val="left"/>
      <w:pPr>
        <w:ind w:left="9025" w:hanging="151"/>
      </w:pPr>
      <w:rPr>
        <w:rFonts w:hint="default"/>
        <w:lang w:val="en-au" w:eastAsia="en-US" w:bidi="ar-SA"/>
      </w:rPr>
    </w:lvl>
  </w:abstractNum>
  <w:abstractNum w:abstractNumId="59">
    <w:multiLevelType w:val="hybridMultilevel"/>
    <w:lvl w:ilvl="0">
      <w:start w:val="1"/>
      <w:numFmt w:val="decimal"/>
      <w:lvlText w:val="%1"/>
      <w:lvlJc w:val="left"/>
      <w:pPr>
        <w:ind w:left="931" w:hanging="151"/>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1950" w:hanging="151"/>
      </w:pPr>
      <w:rPr>
        <w:rFonts w:hint="default"/>
        <w:lang w:val="en-au" w:eastAsia="en-US" w:bidi="ar-SA"/>
      </w:rPr>
    </w:lvl>
    <w:lvl w:ilvl="2">
      <w:start w:val="0"/>
      <w:numFmt w:val="bullet"/>
      <w:lvlText w:val="•"/>
      <w:lvlJc w:val="left"/>
      <w:pPr>
        <w:ind w:left="2961" w:hanging="151"/>
      </w:pPr>
      <w:rPr>
        <w:rFonts w:hint="default"/>
        <w:lang w:val="en-au" w:eastAsia="en-US" w:bidi="ar-SA"/>
      </w:rPr>
    </w:lvl>
    <w:lvl w:ilvl="3">
      <w:start w:val="0"/>
      <w:numFmt w:val="bullet"/>
      <w:lvlText w:val="•"/>
      <w:lvlJc w:val="left"/>
      <w:pPr>
        <w:ind w:left="3971" w:hanging="151"/>
      </w:pPr>
      <w:rPr>
        <w:rFonts w:hint="default"/>
        <w:lang w:val="en-au" w:eastAsia="en-US" w:bidi="ar-SA"/>
      </w:rPr>
    </w:lvl>
    <w:lvl w:ilvl="4">
      <w:start w:val="0"/>
      <w:numFmt w:val="bullet"/>
      <w:lvlText w:val="•"/>
      <w:lvlJc w:val="left"/>
      <w:pPr>
        <w:ind w:left="4982" w:hanging="151"/>
      </w:pPr>
      <w:rPr>
        <w:rFonts w:hint="default"/>
        <w:lang w:val="en-au" w:eastAsia="en-US" w:bidi="ar-SA"/>
      </w:rPr>
    </w:lvl>
    <w:lvl w:ilvl="5">
      <w:start w:val="0"/>
      <w:numFmt w:val="bullet"/>
      <w:lvlText w:val="•"/>
      <w:lvlJc w:val="left"/>
      <w:pPr>
        <w:ind w:left="5993" w:hanging="151"/>
      </w:pPr>
      <w:rPr>
        <w:rFonts w:hint="default"/>
        <w:lang w:val="en-au" w:eastAsia="en-US" w:bidi="ar-SA"/>
      </w:rPr>
    </w:lvl>
    <w:lvl w:ilvl="6">
      <w:start w:val="0"/>
      <w:numFmt w:val="bullet"/>
      <w:lvlText w:val="•"/>
      <w:lvlJc w:val="left"/>
      <w:pPr>
        <w:ind w:left="7003" w:hanging="151"/>
      </w:pPr>
      <w:rPr>
        <w:rFonts w:hint="default"/>
        <w:lang w:val="en-au" w:eastAsia="en-US" w:bidi="ar-SA"/>
      </w:rPr>
    </w:lvl>
    <w:lvl w:ilvl="7">
      <w:start w:val="0"/>
      <w:numFmt w:val="bullet"/>
      <w:lvlText w:val="•"/>
      <w:lvlJc w:val="left"/>
      <w:pPr>
        <w:ind w:left="8014" w:hanging="151"/>
      </w:pPr>
      <w:rPr>
        <w:rFonts w:hint="default"/>
        <w:lang w:val="en-au" w:eastAsia="en-US" w:bidi="ar-SA"/>
      </w:rPr>
    </w:lvl>
    <w:lvl w:ilvl="8">
      <w:start w:val="0"/>
      <w:numFmt w:val="bullet"/>
      <w:lvlText w:val="•"/>
      <w:lvlJc w:val="left"/>
      <w:pPr>
        <w:ind w:left="9025" w:hanging="151"/>
      </w:pPr>
      <w:rPr>
        <w:rFonts w:hint="default"/>
        <w:lang w:val="en-au" w:eastAsia="en-US" w:bidi="ar-SA"/>
      </w:rPr>
    </w:lvl>
  </w:abstractNum>
  <w:abstractNum w:abstractNumId="58">
    <w:multiLevelType w:val="hybridMultilevel"/>
    <w:lvl w:ilvl="0">
      <w:start w:val="1"/>
      <w:numFmt w:val="decimal"/>
      <w:lvlText w:val="%1"/>
      <w:lvlJc w:val="left"/>
      <w:pPr>
        <w:ind w:left="932" w:hanging="152"/>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1950" w:hanging="152"/>
      </w:pPr>
      <w:rPr>
        <w:rFonts w:hint="default"/>
        <w:lang w:val="en-au" w:eastAsia="en-US" w:bidi="ar-SA"/>
      </w:rPr>
    </w:lvl>
    <w:lvl w:ilvl="2">
      <w:start w:val="0"/>
      <w:numFmt w:val="bullet"/>
      <w:lvlText w:val="•"/>
      <w:lvlJc w:val="left"/>
      <w:pPr>
        <w:ind w:left="2961" w:hanging="152"/>
      </w:pPr>
      <w:rPr>
        <w:rFonts w:hint="default"/>
        <w:lang w:val="en-au" w:eastAsia="en-US" w:bidi="ar-SA"/>
      </w:rPr>
    </w:lvl>
    <w:lvl w:ilvl="3">
      <w:start w:val="0"/>
      <w:numFmt w:val="bullet"/>
      <w:lvlText w:val="•"/>
      <w:lvlJc w:val="left"/>
      <w:pPr>
        <w:ind w:left="3971" w:hanging="152"/>
      </w:pPr>
      <w:rPr>
        <w:rFonts w:hint="default"/>
        <w:lang w:val="en-au" w:eastAsia="en-US" w:bidi="ar-SA"/>
      </w:rPr>
    </w:lvl>
    <w:lvl w:ilvl="4">
      <w:start w:val="0"/>
      <w:numFmt w:val="bullet"/>
      <w:lvlText w:val="•"/>
      <w:lvlJc w:val="left"/>
      <w:pPr>
        <w:ind w:left="4982" w:hanging="152"/>
      </w:pPr>
      <w:rPr>
        <w:rFonts w:hint="default"/>
        <w:lang w:val="en-au" w:eastAsia="en-US" w:bidi="ar-SA"/>
      </w:rPr>
    </w:lvl>
    <w:lvl w:ilvl="5">
      <w:start w:val="0"/>
      <w:numFmt w:val="bullet"/>
      <w:lvlText w:val="•"/>
      <w:lvlJc w:val="left"/>
      <w:pPr>
        <w:ind w:left="5993" w:hanging="152"/>
      </w:pPr>
      <w:rPr>
        <w:rFonts w:hint="default"/>
        <w:lang w:val="en-au" w:eastAsia="en-US" w:bidi="ar-SA"/>
      </w:rPr>
    </w:lvl>
    <w:lvl w:ilvl="6">
      <w:start w:val="0"/>
      <w:numFmt w:val="bullet"/>
      <w:lvlText w:val="•"/>
      <w:lvlJc w:val="left"/>
      <w:pPr>
        <w:ind w:left="7003" w:hanging="152"/>
      </w:pPr>
      <w:rPr>
        <w:rFonts w:hint="default"/>
        <w:lang w:val="en-au" w:eastAsia="en-US" w:bidi="ar-SA"/>
      </w:rPr>
    </w:lvl>
    <w:lvl w:ilvl="7">
      <w:start w:val="0"/>
      <w:numFmt w:val="bullet"/>
      <w:lvlText w:val="•"/>
      <w:lvlJc w:val="left"/>
      <w:pPr>
        <w:ind w:left="8014" w:hanging="152"/>
      </w:pPr>
      <w:rPr>
        <w:rFonts w:hint="default"/>
        <w:lang w:val="en-au" w:eastAsia="en-US" w:bidi="ar-SA"/>
      </w:rPr>
    </w:lvl>
    <w:lvl w:ilvl="8">
      <w:start w:val="0"/>
      <w:numFmt w:val="bullet"/>
      <w:lvlText w:val="•"/>
      <w:lvlJc w:val="left"/>
      <w:pPr>
        <w:ind w:left="9025" w:hanging="152"/>
      </w:pPr>
      <w:rPr>
        <w:rFonts w:hint="default"/>
        <w:lang w:val="en-au" w:eastAsia="en-US" w:bidi="ar-SA"/>
      </w:rPr>
    </w:lvl>
  </w:abstractNum>
  <w:abstractNum w:abstractNumId="57">
    <w:multiLevelType w:val="hybridMultilevel"/>
    <w:lvl w:ilvl="0">
      <w:start w:val="1"/>
      <w:numFmt w:val="decimal"/>
      <w:lvlText w:val="%1"/>
      <w:lvlJc w:val="left"/>
      <w:pPr>
        <w:ind w:left="931" w:hanging="151"/>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1950" w:hanging="151"/>
      </w:pPr>
      <w:rPr>
        <w:rFonts w:hint="default"/>
        <w:lang w:val="en-au" w:eastAsia="en-US" w:bidi="ar-SA"/>
      </w:rPr>
    </w:lvl>
    <w:lvl w:ilvl="2">
      <w:start w:val="0"/>
      <w:numFmt w:val="bullet"/>
      <w:lvlText w:val="•"/>
      <w:lvlJc w:val="left"/>
      <w:pPr>
        <w:ind w:left="2961" w:hanging="151"/>
      </w:pPr>
      <w:rPr>
        <w:rFonts w:hint="default"/>
        <w:lang w:val="en-au" w:eastAsia="en-US" w:bidi="ar-SA"/>
      </w:rPr>
    </w:lvl>
    <w:lvl w:ilvl="3">
      <w:start w:val="0"/>
      <w:numFmt w:val="bullet"/>
      <w:lvlText w:val="•"/>
      <w:lvlJc w:val="left"/>
      <w:pPr>
        <w:ind w:left="3971" w:hanging="151"/>
      </w:pPr>
      <w:rPr>
        <w:rFonts w:hint="default"/>
        <w:lang w:val="en-au" w:eastAsia="en-US" w:bidi="ar-SA"/>
      </w:rPr>
    </w:lvl>
    <w:lvl w:ilvl="4">
      <w:start w:val="0"/>
      <w:numFmt w:val="bullet"/>
      <w:lvlText w:val="•"/>
      <w:lvlJc w:val="left"/>
      <w:pPr>
        <w:ind w:left="4982" w:hanging="151"/>
      </w:pPr>
      <w:rPr>
        <w:rFonts w:hint="default"/>
        <w:lang w:val="en-au" w:eastAsia="en-US" w:bidi="ar-SA"/>
      </w:rPr>
    </w:lvl>
    <w:lvl w:ilvl="5">
      <w:start w:val="0"/>
      <w:numFmt w:val="bullet"/>
      <w:lvlText w:val="•"/>
      <w:lvlJc w:val="left"/>
      <w:pPr>
        <w:ind w:left="5993" w:hanging="151"/>
      </w:pPr>
      <w:rPr>
        <w:rFonts w:hint="default"/>
        <w:lang w:val="en-au" w:eastAsia="en-US" w:bidi="ar-SA"/>
      </w:rPr>
    </w:lvl>
    <w:lvl w:ilvl="6">
      <w:start w:val="0"/>
      <w:numFmt w:val="bullet"/>
      <w:lvlText w:val="•"/>
      <w:lvlJc w:val="left"/>
      <w:pPr>
        <w:ind w:left="7003" w:hanging="151"/>
      </w:pPr>
      <w:rPr>
        <w:rFonts w:hint="default"/>
        <w:lang w:val="en-au" w:eastAsia="en-US" w:bidi="ar-SA"/>
      </w:rPr>
    </w:lvl>
    <w:lvl w:ilvl="7">
      <w:start w:val="0"/>
      <w:numFmt w:val="bullet"/>
      <w:lvlText w:val="•"/>
      <w:lvlJc w:val="left"/>
      <w:pPr>
        <w:ind w:left="8014" w:hanging="151"/>
      </w:pPr>
      <w:rPr>
        <w:rFonts w:hint="default"/>
        <w:lang w:val="en-au" w:eastAsia="en-US" w:bidi="ar-SA"/>
      </w:rPr>
    </w:lvl>
    <w:lvl w:ilvl="8">
      <w:start w:val="0"/>
      <w:numFmt w:val="bullet"/>
      <w:lvlText w:val="•"/>
      <w:lvlJc w:val="left"/>
      <w:pPr>
        <w:ind w:left="9025" w:hanging="151"/>
      </w:pPr>
      <w:rPr>
        <w:rFonts w:hint="default"/>
        <w:lang w:val="en-au" w:eastAsia="en-US" w:bidi="ar-SA"/>
      </w:rPr>
    </w:lvl>
  </w:abstractNum>
  <w:abstractNum w:abstractNumId="56">
    <w:multiLevelType w:val="hybridMultilevel"/>
    <w:lvl w:ilvl="0">
      <w:start w:val="3"/>
      <w:numFmt w:val="decimal"/>
      <w:lvlText w:val="%1"/>
      <w:lvlJc w:val="left"/>
      <w:pPr>
        <w:ind w:left="932" w:hanging="152"/>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1950" w:hanging="152"/>
      </w:pPr>
      <w:rPr>
        <w:rFonts w:hint="default"/>
        <w:lang w:val="en-au" w:eastAsia="en-US" w:bidi="ar-SA"/>
      </w:rPr>
    </w:lvl>
    <w:lvl w:ilvl="2">
      <w:start w:val="0"/>
      <w:numFmt w:val="bullet"/>
      <w:lvlText w:val="•"/>
      <w:lvlJc w:val="left"/>
      <w:pPr>
        <w:ind w:left="2961" w:hanging="152"/>
      </w:pPr>
      <w:rPr>
        <w:rFonts w:hint="default"/>
        <w:lang w:val="en-au" w:eastAsia="en-US" w:bidi="ar-SA"/>
      </w:rPr>
    </w:lvl>
    <w:lvl w:ilvl="3">
      <w:start w:val="0"/>
      <w:numFmt w:val="bullet"/>
      <w:lvlText w:val="•"/>
      <w:lvlJc w:val="left"/>
      <w:pPr>
        <w:ind w:left="3971" w:hanging="152"/>
      </w:pPr>
      <w:rPr>
        <w:rFonts w:hint="default"/>
        <w:lang w:val="en-au" w:eastAsia="en-US" w:bidi="ar-SA"/>
      </w:rPr>
    </w:lvl>
    <w:lvl w:ilvl="4">
      <w:start w:val="0"/>
      <w:numFmt w:val="bullet"/>
      <w:lvlText w:val="•"/>
      <w:lvlJc w:val="left"/>
      <w:pPr>
        <w:ind w:left="4982" w:hanging="152"/>
      </w:pPr>
      <w:rPr>
        <w:rFonts w:hint="default"/>
        <w:lang w:val="en-au" w:eastAsia="en-US" w:bidi="ar-SA"/>
      </w:rPr>
    </w:lvl>
    <w:lvl w:ilvl="5">
      <w:start w:val="0"/>
      <w:numFmt w:val="bullet"/>
      <w:lvlText w:val="•"/>
      <w:lvlJc w:val="left"/>
      <w:pPr>
        <w:ind w:left="5993" w:hanging="152"/>
      </w:pPr>
      <w:rPr>
        <w:rFonts w:hint="default"/>
        <w:lang w:val="en-au" w:eastAsia="en-US" w:bidi="ar-SA"/>
      </w:rPr>
    </w:lvl>
    <w:lvl w:ilvl="6">
      <w:start w:val="0"/>
      <w:numFmt w:val="bullet"/>
      <w:lvlText w:val="•"/>
      <w:lvlJc w:val="left"/>
      <w:pPr>
        <w:ind w:left="7003" w:hanging="152"/>
      </w:pPr>
      <w:rPr>
        <w:rFonts w:hint="default"/>
        <w:lang w:val="en-au" w:eastAsia="en-US" w:bidi="ar-SA"/>
      </w:rPr>
    </w:lvl>
    <w:lvl w:ilvl="7">
      <w:start w:val="0"/>
      <w:numFmt w:val="bullet"/>
      <w:lvlText w:val="•"/>
      <w:lvlJc w:val="left"/>
      <w:pPr>
        <w:ind w:left="8014" w:hanging="152"/>
      </w:pPr>
      <w:rPr>
        <w:rFonts w:hint="default"/>
        <w:lang w:val="en-au" w:eastAsia="en-US" w:bidi="ar-SA"/>
      </w:rPr>
    </w:lvl>
    <w:lvl w:ilvl="8">
      <w:start w:val="0"/>
      <w:numFmt w:val="bullet"/>
      <w:lvlText w:val="•"/>
      <w:lvlJc w:val="left"/>
      <w:pPr>
        <w:ind w:left="9025" w:hanging="152"/>
      </w:pPr>
      <w:rPr>
        <w:rFonts w:hint="default"/>
        <w:lang w:val="en-au" w:eastAsia="en-US" w:bidi="ar-SA"/>
      </w:rPr>
    </w:lvl>
  </w:abstractNum>
  <w:abstractNum w:abstractNumId="55">
    <w:multiLevelType w:val="hybridMultilevel"/>
    <w:lvl w:ilvl="0">
      <w:start w:val="3"/>
      <w:numFmt w:val="decimal"/>
      <w:lvlText w:val="%1"/>
      <w:lvlJc w:val="left"/>
      <w:pPr>
        <w:ind w:left="781" w:hanging="152"/>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1806" w:hanging="152"/>
      </w:pPr>
      <w:rPr>
        <w:rFonts w:hint="default"/>
        <w:lang w:val="en-au" w:eastAsia="en-US" w:bidi="ar-SA"/>
      </w:rPr>
    </w:lvl>
    <w:lvl w:ilvl="2">
      <w:start w:val="0"/>
      <w:numFmt w:val="bullet"/>
      <w:lvlText w:val="•"/>
      <w:lvlJc w:val="left"/>
      <w:pPr>
        <w:ind w:left="2833" w:hanging="152"/>
      </w:pPr>
      <w:rPr>
        <w:rFonts w:hint="default"/>
        <w:lang w:val="en-au" w:eastAsia="en-US" w:bidi="ar-SA"/>
      </w:rPr>
    </w:lvl>
    <w:lvl w:ilvl="3">
      <w:start w:val="0"/>
      <w:numFmt w:val="bullet"/>
      <w:lvlText w:val="•"/>
      <w:lvlJc w:val="left"/>
      <w:pPr>
        <w:ind w:left="3859" w:hanging="152"/>
      </w:pPr>
      <w:rPr>
        <w:rFonts w:hint="default"/>
        <w:lang w:val="en-au" w:eastAsia="en-US" w:bidi="ar-SA"/>
      </w:rPr>
    </w:lvl>
    <w:lvl w:ilvl="4">
      <w:start w:val="0"/>
      <w:numFmt w:val="bullet"/>
      <w:lvlText w:val="•"/>
      <w:lvlJc w:val="left"/>
      <w:pPr>
        <w:ind w:left="4886" w:hanging="152"/>
      </w:pPr>
      <w:rPr>
        <w:rFonts w:hint="default"/>
        <w:lang w:val="en-au" w:eastAsia="en-US" w:bidi="ar-SA"/>
      </w:rPr>
    </w:lvl>
    <w:lvl w:ilvl="5">
      <w:start w:val="0"/>
      <w:numFmt w:val="bullet"/>
      <w:lvlText w:val="•"/>
      <w:lvlJc w:val="left"/>
      <w:pPr>
        <w:ind w:left="5913" w:hanging="152"/>
      </w:pPr>
      <w:rPr>
        <w:rFonts w:hint="default"/>
        <w:lang w:val="en-au" w:eastAsia="en-US" w:bidi="ar-SA"/>
      </w:rPr>
    </w:lvl>
    <w:lvl w:ilvl="6">
      <w:start w:val="0"/>
      <w:numFmt w:val="bullet"/>
      <w:lvlText w:val="•"/>
      <w:lvlJc w:val="left"/>
      <w:pPr>
        <w:ind w:left="6939" w:hanging="152"/>
      </w:pPr>
      <w:rPr>
        <w:rFonts w:hint="default"/>
        <w:lang w:val="en-au" w:eastAsia="en-US" w:bidi="ar-SA"/>
      </w:rPr>
    </w:lvl>
    <w:lvl w:ilvl="7">
      <w:start w:val="0"/>
      <w:numFmt w:val="bullet"/>
      <w:lvlText w:val="•"/>
      <w:lvlJc w:val="left"/>
      <w:pPr>
        <w:ind w:left="7966" w:hanging="152"/>
      </w:pPr>
      <w:rPr>
        <w:rFonts w:hint="default"/>
        <w:lang w:val="en-au" w:eastAsia="en-US" w:bidi="ar-SA"/>
      </w:rPr>
    </w:lvl>
    <w:lvl w:ilvl="8">
      <w:start w:val="0"/>
      <w:numFmt w:val="bullet"/>
      <w:lvlText w:val="•"/>
      <w:lvlJc w:val="left"/>
      <w:pPr>
        <w:ind w:left="8993" w:hanging="152"/>
      </w:pPr>
      <w:rPr>
        <w:rFonts w:hint="default"/>
        <w:lang w:val="en-au" w:eastAsia="en-US" w:bidi="ar-SA"/>
      </w:rPr>
    </w:lvl>
  </w:abstractNum>
  <w:abstractNum w:abstractNumId="54">
    <w:multiLevelType w:val="hybridMultilevel"/>
    <w:lvl w:ilvl="0">
      <w:start w:val="1"/>
      <w:numFmt w:val="decimal"/>
      <w:lvlText w:val="%1"/>
      <w:lvlJc w:val="left"/>
      <w:pPr>
        <w:ind w:left="931" w:hanging="151"/>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1950" w:hanging="151"/>
      </w:pPr>
      <w:rPr>
        <w:rFonts w:hint="default"/>
        <w:lang w:val="en-au" w:eastAsia="en-US" w:bidi="ar-SA"/>
      </w:rPr>
    </w:lvl>
    <w:lvl w:ilvl="2">
      <w:start w:val="0"/>
      <w:numFmt w:val="bullet"/>
      <w:lvlText w:val="•"/>
      <w:lvlJc w:val="left"/>
      <w:pPr>
        <w:ind w:left="2961" w:hanging="151"/>
      </w:pPr>
      <w:rPr>
        <w:rFonts w:hint="default"/>
        <w:lang w:val="en-au" w:eastAsia="en-US" w:bidi="ar-SA"/>
      </w:rPr>
    </w:lvl>
    <w:lvl w:ilvl="3">
      <w:start w:val="0"/>
      <w:numFmt w:val="bullet"/>
      <w:lvlText w:val="•"/>
      <w:lvlJc w:val="left"/>
      <w:pPr>
        <w:ind w:left="3971" w:hanging="151"/>
      </w:pPr>
      <w:rPr>
        <w:rFonts w:hint="default"/>
        <w:lang w:val="en-au" w:eastAsia="en-US" w:bidi="ar-SA"/>
      </w:rPr>
    </w:lvl>
    <w:lvl w:ilvl="4">
      <w:start w:val="0"/>
      <w:numFmt w:val="bullet"/>
      <w:lvlText w:val="•"/>
      <w:lvlJc w:val="left"/>
      <w:pPr>
        <w:ind w:left="4982" w:hanging="151"/>
      </w:pPr>
      <w:rPr>
        <w:rFonts w:hint="default"/>
        <w:lang w:val="en-au" w:eastAsia="en-US" w:bidi="ar-SA"/>
      </w:rPr>
    </w:lvl>
    <w:lvl w:ilvl="5">
      <w:start w:val="0"/>
      <w:numFmt w:val="bullet"/>
      <w:lvlText w:val="•"/>
      <w:lvlJc w:val="left"/>
      <w:pPr>
        <w:ind w:left="5993" w:hanging="151"/>
      </w:pPr>
      <w:rPr>
        <w:rFonts w:hint="default"/>
        <w:lang w:val="en-au" w:eastAsia="en-US" w:bidi="ar-SA"/>
      </w:rPr>
    </w:lvl>
    <w:lvl w:ilvl="6">
      <w:start w:val="0"/>
      <w:numFmt w:val="bullet"/>
      <w:lvlText w:val="•"/>
      <w:lvlJc w:val="left"/>
      <w:pPr>
        <w:ind w:left="7003" w:hanging="151"/>
      </w:pPr>
      <w:rPr>
        <w:rFonts w:hint="default"/>
        <w:lang w:val="en-au" w:eastAsia="en-US" w:bidi="ar-SA"/>
      </w:rPr>
    </w:lvl>
    <w:lvl w:ilvl="7">
      <w:start w:val="0"/>
      <w:numFmt w:val="bullet"/>
      <w:lvlText w:val="•"/>
      <w:lvlJc w:val="left"/>
      <w:pPr>
        <w:ind w:left="8014" w:hanging="151"/>
      </w:pPr>
      <w:rPr>
        <w:rFonts w:hint="default"/>
        <w:lang w:val="en-au" w:eastAsia="en-US" w:bidi="ar-SA"/>
      </w:rPr>
    </w:lvl>
    <w:lvl w:ilvl="8">
      <w:start w:val="0"/>
      <w:numFmt w:val="bullet"/>
      <w:lvlText w:val="•"/>
      <w:lvlJc w:val="left"/>
      <w:pPr>
        <w:ind w:left="9025" w:hanging="151"/>
      </w:pPr>
      <w:rPr>
        <w:rFonts w:hint="default"/>
        <w:lang w:val="en-au" w:eastAsia="en-US" w:bidi="ar-SA"/>
      </w:rPr>
    </w:lvl>
  </w:abstractNum>
  <w:abstractNum w:abstractNumId="53">
    <w:multiLevelType w:val="hybridMultilevel"/>
    <w:lvl w:ilvl="0">
      <w:start w:val="1"/>
      <w:numFmt w:val="decimal"/>
      <w:lvlText w:val="%1"/>
      <w:lvlJc w:val="left"/>
      <w:pPr>
        <w:ind w:left="934" w:hanging="154"/>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1950" w:hanging="154"/>
      </w:pPr>
      <w:rPr>
        <w:rFonts w:hint="default"/>
        <w:lang w:val="en-au" w:eastAsia="en-US" w:bidi="ar-SA"/>
      </w:rPr>
    </w:lvl>
    <w:lvl w:ilvl="2">
      <w:start w:val="0"/>
      <w:numFmt w:val="bullet"/>
      <w:lvlText w:val="•"/>
      <w:lvlJc w:val="left"/>
      <w:pPr>
        <w:ind w:left="2961" w:hanging="154"/>
      </w:pPr>
      <w:rPr>
        <w:rFonts w:hint="default"/>
        <w:lang w:val="en-au" w:eastAsia="en-US" w:bidi="ar-SA"/>
      </w:rPr>
    </w:lvl>
    <w:lvl w:ilvl="3">
      <w:start w:val="0"/>
      <w:numFmt w:val="bullet"/>
      <w:lvlText w:val="•"/>
      <w:lvlJc w:val="left"/>
      <w:pPr>
        <w:ind w:left="3971" w:hanging="154"/>
      </w:pPr>
      <w:rPr>
        <w:rFonts w:hint="default"/>
        <w:lang w:val="en-au" w:eastAsia="en-US" w:bidi="ar-SA"/>
      </w:rPr>
    </w:lvl>
    <w:lvl w:ilvl="4">
      <w:start w:val="0"/>
      <w:numFmt w:val="bullet"/>
      <w:lvlText w:val="•"/>
      <w:lvlJc w:val="left"/>
      <w:pPr>
        <w:ind w:left="4982" w:hanging="154"/>
      </w:pPr>
      <w:rPr>
        <w:rFonts w:hint="default"/>
        <w:lang w:val="en-au" w:eastAsia="en-US" w:bidi="ar-SA"/>
      </w:rPr>
    </w:lvl>
    <w:lvl w:ilvl="5">
      <w:start w:val="0"/>
      <w:numFmt w:val="bullet"/>
      <w:lvlText w:val="•"/>
      <w:lvlJc w:val="left"/>
      <w:pPr>
        <w:ind w:left="5993" w:hanging="154"/>
      </w:pPr>
      <w:rPr>
        <w:rFonts w:hint="default"/>
        <w:lang w:val="en-au" w:eastAsia="en-US" w:bidi="ar-SA"/>
      </w:rPr>
    </w:lvl>
    <w:lvl w:ilvl="6">
      <w:start w:val="0"/>
      <w:numFmt w:val="bullet"/>
      <w:lvlText w:val="•"/>
      <w:lvlJc w:val="left"/>
      <w:pPr>
        <w:ind w:left="7003" w:hanging="154"/>
      </w:pPr>
      <w:rPr>
        <w:rFonts w:hint="default"/>
        <w:lang w:val="en-au" w:eastAsia="en-US" w:bidi="ar-SA"/>
      </w:rPr>
    </w:lvl>
    <w:lvl w:ilvl="7">
      <w:start w:val="0"/>
      <w:numFmt w:val="bullet"/>
      <w:lvlText w:val="•"/>
      <w:lvlJc w:val="left"/>
      <w:pPr>
        <w:ind w:left="8014" w:hanging="154"/>
      </w:pPr>
      <w:rPr>
        <w:rFonts w:hint="default"/>
        <w:lang w:val="en-au" w:eastAsia="en-US" w:bidi="ar-SA"/>
      </w:rPr>
    </w:lvl>
    <w:lvl w:ilvl="8">
      <w:start w:val="0"/>
      <w:numFmt w:val="bullet"/>
      <w:lvlText w:val="•"/>
      <w:lvlJc w:val="left"/>
      <w:pPr>
        <w:ind w:left="9025" w:hanging="154"/>
      </w:pPr>
      <w:rPr>
        <w:rFonts w:hint="default"/>
        <w:lang w:val="en-au" w:eastAsia="en-US" w:bidi="ar-SA"/>
      </w:rPr>
    </w:lvl>
  </w:abstractNum>
  <w:abstractNum w:abstractNumId="52">
    <w:multiLevelType w:val="hybridMultilevel"/>
    <w:lvl w:ilvl="0">
      <w:start w:val="1"/>
      <w:numFmt w:val="decimal"/>
      <w:lvlText w:val="%1"/>
      <w:lvlJc w:val="left"/>
      <w:pPr>
        <w:ind w:left="931" w:hanging="151"/>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1950" w:hanging="151"/>
      </w:pPr>
      <w:rPr>
        <w:rFonts w:hint="default"/>
        <w:lang w:val="en-au" w:eastAsia="en-US" w:bidi="ar-SA"/>
      </w:rPr>
    </w:lvl>
    <w:lvl w:ilvl="2">
      <w:start w:val="0"/>
      <w:numFmt w:val="bullet"/>
      <w:lvlText w:val="•"/>
      <w:lvlJc w:val="left"/>
      <w:pPr>
        <w:ind w:left="2961" w:hanging="151"/>
      </w:pPr>
      <w:rPr>
        <w:rFonts w:hint="default"/>
        <w:lang w:val="en-au" w:eastAsia="en-US" w:bidi="ar-SA"/>
      </w:rPr>
    </w:lvl>
    <w:lvl w:ilvl="3">
      <w:start w:val="0"/>
      <w:numFmt w:val="bullet"/>
      <w:lvlText w:val="•"/>
      <w:lvlJc w:val="left"/>
      <w:pPr>
        <w:ind w:left="3971" w:hanging="151"/>
      </w:pPr>
      <w:rPr>
        <w:rFonts w:hint="default"/>
        <w:lang w:val="en-au" w:eastAsia="en-US" w:bidi="ar-SA"/>
      </w:rPr>
    </w:lvl>
    <w:lvl w:ilvl="4">
      <w:start w:val="0"/>
      <w:numFmt w:val="bullet"/>
      <w:lvlText w:val="•"/>
      <w:lvlJc w:val="left"/>
      <w:pPr>
        <w:ind w:left="4982" w:hanging="151"/>
      </w:pPr>
      <w:rPr>
        <w:rFonts w:hint="default"/>
        <w:lang w:val="en-au" w:eastAsia="en-US" w:bidi="ar-SA"/>
      </w:rPr>
    </w:lvl>
    <w:lvl w:ilvl="5">
      <w:start w:val="0"/>
      <w:numFmt w:val="bullet"/>
      <w:lvlText w:val="•"/>
      <w:lvlJc w:val="left"/>
      <w:pPr>
        <w:ind w:left="5993" w:hanging="151"/>
      </w:pPr>
      <w:rPr>
        <w:rFonts w:hint="default"/>
        <w:lang w:val="en-au" w:eastAsia="en-US" w:bidi="ar-SA"/>
      </w:rPr>
    </w:lvl>
    <w:lvl w:ilvl="6">
      <w:start w:val="0"/>
      <w:numFmt w:val="bullet"/>
      <w:lvlText w:val="•"/>
      <w:lvlJc w:val="left"/>
      <w:pPr>
        <w:ind w:left="7003" w:hanging="151"/>
      </w:pPr>
      <w:rPr>
        <w:rFonts w:hint="default"/>
        <w:lang w:val="en-au" w:eastAsia="en-US" w:bidi="ar-SA"/>
      </w:rPr>
    </w:lvl>
    <w:lvl w:ilvl="7">
      <w:start w:val="0"/>
      <w:numFmt w:val="bullet"/>
      <w:lvlText w:val="•"/>
      <w:lvlJc w:val="left"/>
      <w:pPr>
        <w:ind w:left="8014" w:hanging="151"/>
      </w:pPr>
      <w:rPr>
        <w:rFonts w:hint="default"/>
        <w:lang w:val="en-au" w:eastAsia="en-US" w:bidi="ar-SA"/>
      </w:rPr>
    </w:lvl>
    <w:lvl w:ilvl="8">
      <w:start w:val="0"/>
      <w:numFmt w:val="bullet"/>
      <w:lvlText w:val="•"/>
      <w:lvlJc w:val="left"/>
      <w:pPr>
        <w:ind w:left="9025" w:hanging="151"/>
      </w:pPr>
      <w:rPr>
        <w:rFonts w:hint="default"/>
        <w:lang w:val="en-au" w:eastAsia="en-US" w:bidi="ar-SA"/>
      </w:rPr>
    </w:lvl>
  </w:abstractNum>
  <w:abstractNum w:abstractNumId="51">
    <w:multiLevelType w:val="hybridMultilevel"/>
    <w:lvl w:ilvl="0">
      <w:start w:val="1"/>
      <w:numFmt w:val="decimal"/>
      <w:lvlText w:val="%1"/>
      <w:lvlJc w:val="left"/>
      <w:pPr>
        <w:ind w:left="931" w:hanging="151"/>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1950" w:hanging="151"/>
      </w:pPr>
      <w:rPr>
        <w:rFonts w:hint="default"/>
        <w:lang w:val="en-au" w:eastAsia="en-US" w:bidi="ar-SA"/>
      </w:rPr>
    </w:lvl>
    <w:lvl w:ilvl="2">
      <w:start w:val="0"/>
      <w:numFmt w:val="bullet"/>
      <w:lvlText w:val="•"/>
      <w:lvlJc w:val="left"/>
      <w:pPr>
        <w:ind w:left="2961" w:hanging="151"/>
      </w:pPr>
      <w:rPr>
        <w:rFonts w:hint="default"/>
        <w:lang w:val="en-au" w:eastAsia="en-US" w:bidi="ar-SA"/>
      </w:rPr>
    </w:lvl>
    <w:lvl w:ilvl="3">
      <w:start w:val="0"/>
      <w:numFmt w:val="bullet"/>
      <w:lvlText w:val="•"/>
      <w:lvlJc w:val="left"/>
      <w:pPr>
        <w:ind w:left="3971" w:hanging="151"/>
      </w:pPr>
      <w:rPr>
        <w:rFonts w:hint="default"/>
        <w:lang w:val="en-au" w:eastAsia="en-US" w:bidi="ar-SA"/>
      </w:rPr>
    </w:lvl>
    <w:lvl w:ilvl="4">
      <w:start w:val="0"/>
      <w:numFmt w:val="bullet"/>
      <w:lvlText w:val="•"/>
      <w:lvlJc w:val="left"/>
      <w:pPr>
        <w:ind w:left="4982" w:hanging="151"/>
      </w:pPr>
      <w:rPr>
        <w:rFonts w:hint="default"/>
        <w:lang w:val="en-au" w:eastAsia="en-US" w:bidi="ar-SA"/>
      </w:rPr>
    </w:lvl>
    <w:lvl w:ilvl="5">
      <w:start w:val="0"/>
      <w:numFmt w:val="bullet"/>
      <w:lvlText w:val="•"/>
      <w:lvlJc w:val="left"/>
      <w:pPr>
        <w:ind w:left="5993" w:hanging="151"/>
      </w:pPr>
      <w:rPr>
        <w:rFonts w:hint="default"/>
        <w:lang w:val="en-au" w:eastAsia="en-US" w:bidi="ar-SA"/>
      </w:rPr>
    </w:lvl>
    <w:lvl w:ilvl="6">
      <w:start w:val="0"/>
      <w:numFmt w:val="bullet"/>
      <w:lvlText w:val="•"/>
      <w:lvlJc w:val="left"/>
      <w:pPr>
        <w:ind w:left="7003" w:hanging="151"/>
      </w:pPr>
      <w:rPr>
        <w:rFonts w:hint="default"/>
        <w:lang w:val="en-au" w:eastAsia="en-US" w:bidi="ar-SA"/>
      </w:rPr>
    </w:lvl>
    <w:lvl w:ilvl="7">
      <w:start w:val="0"/>
      <w:numFmt w:val="bullet"/>
      <w:lvlText w:val="•"/>
      <w:lvlJc w:val="left"/>
      <w:pPr>
        <w:ind w:left="8014" w:hanging="151"/>
      </w:pPr>
      <w:rPr>
        <w:rFonts w:hint="default"/>
        <w:lang w:val="en-au" w:eastAsia="en-US" w:bidi="ar-SA"/>
      </w:rPr>
    </w:lvl>
    <w:lvl w:ilvl="8">
      <w:start w:val="0"/>
      <w:numFmt w:val="bullet"/>
      <w:lvlText w:val="•"/>
      <w:lvlJc w:val="left"/>
      <w:pPr>
        <w:ind w:left="9025" w:hanging="151"/>
      </w:pPr>
      <w:rPr>
        <w:rFonts w:hint="default"/>
        <w:lang w:val="en-au" w:eastAsia="en-US" w:bidi="ar-SA"/>
      </w:rPr>
    </w:lvl>
  </w:abstractNum>
  <w:abstractNum w:abstractNumId="50">
    <w:multiLevelType w:val="hybridMultilevel"/>
    <w:lvl w:ilvl="0">
      <w:start w:val="1"/>
      <w:numFmt w:val="decimal"/>
      <w:lvlText w:val="%1"/>
      <w:lvlJc w:val="left"/>
      <w:pPr>
        <w:ind w:left="931" w:hanging="151"/>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1950" w:hanging="151"/>
      </w:pPr>
      <w:rPr>
        <w:rFonts w:hint="default"/>
        <w:lang w:val="en-au" w:eastAsia="en-US" w:bidi="ar-SA"/>
      </w:rPr>
    </w:lvl>
    <w:lvl w:ilvl="2">
      <w:start w:val="0"/>
      <w:numFmt w:val="bullet"/>
      <w:lvlText w:val="•"/>
      <w:lvlJc w:val="left"/>
      <w:pPr>
        <w:ind w:left="2961" w:hanging="151"/>
      </w:pPr>
      <w:rPr>
        <w:rFonts w:hint="default"/>
        <w:lang w:val="en-au" w:eastAsia="en-US" w:bidi="ar-SA"/>
      </w:rPr>
    </w:lvl>
    <w:lvl w:ilvl="3">
      <w:start w:val="0"/>
      <w:numFmt w:val="bullet"/>
      <w:lvlText w:val="•"/>
      <w:lvlJc w:val="left"/>
      <w:pPr>
        <w:ind w:left="3971" w:hanging="151"/>
      </w:pPr>
      <w:rPr>
        <w:rFonts w:hint="default"/>
        <w:lang w:val="en-au" w:eastAsia="en-US" w:bidi="ar-SA"/>
      </w:rPr>
    </w:lvl>
    <w:lvl w:ilvl="4">
      <w:start w:val="0"/>
      <w:numFmt w:val="bullet"/>
      <w:lvlText w:val="•"/>
      <w:lvlJc w:val="left"/>
      <w:pPr>
        <w:ind w:left="4982" w:hanging="151"/>
      </w:pPr>
      <w:rPr>
        <w:rFonts w:hint="default"/>
        <w:lang w:val="en-au" w:eastAsia="en-US" w:bidi="ar-SA"/>
      </w:rPr>
    </w:lvl>
    <w:lvl w:ilvl="5">
      <w:start w:val="0"/>
      <w:numFmt w:val="bullet"/>
      <w:lvlText w:val="•"/>
      <w:lvlJc w:val="left"/>
      <w:pPr>
        <w:ind w:left="5993" w:hanging="151"/>
      </w:pPr>
      <w:rPr>
        <w:rFonts w:hint="default"/>
        <w:lang w:val="en-au" w:eastAsia="en-US" w:bidi="ar-SA"/>
      </w:rPr>
    </w:lvl>
    <w:lvl w:ilvl="6">
      <w:start w:val="0"/>
      <w:numFmt w:val="bullet"/>
      <w:lvlText w:val="•"/>
      <w:lvlJc w:val="left"/>
      <w:pPr>
        <w:ind w:left="7003" w:hanging="151"/>
      </w:pPr>
      <w:rPr>
        <w:rFonts w:hint="default"/>
        <w:lang w:val="en-au" w:eastAsia="en-US" w:bidi="ar-SA"/>
      </w:rPr>
    </w:lvl>
    <w:lvl w:ilvl="7">
      <w:start w:val="0"/>
      <w:numFmt w:val="bullet"/>
      <w:lvlText w:val="•"/>
      <w:lvlJc w:val="left"/>
      <w:pPr>
        <w:ind w:left="8014" w:hanging="151"/>
      </w:pPr>
      <w:rPr>
        <w:rFonts w:hint="default"/>
        <w:lang w:val="en-au" w:eastAsia="en-US" w:bidi="ar-SA"/>
      </w:rPr>
    </w:lvl>
    <w:lvl w:ilvl="8">
      <w:start w:val="0"/>
      <w:numFmt w:val="bullet"/>
      <w:lvlText w:val="•"/>
      <w:lvlJc w:val="left"/>
      <w:pPr>
        <w:ind w:left="9025" w:hanging="151"/>
      </w:pPr>
      <w:rPr>
        <w:rFonts w:hint="default"/>
        <w:lang w:val="en-au" w:eastAsia="en-US" w:bidi="ar-SA"/>
      </w:rPr>
    </w:lvl>
  </w:abstractNum>
  <w:abstractNum w:abstractNumId="49">
    <w:multiLevelType w:val="hybridMultilevel"/>
    <w:lvl w:ilvl="0">
      <w:start w:val="1"/>
      <w:numFmt w:val="decimal"/>
      <w:lvlText w:val="%1"/>
      <w:lvlJc w:val="left"/>
      <w:pPr>
        <w:ind w:left="932" w:hanging="152"/>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1950" w:hanging="152"/>
      </w:pPr>
      <w:rPr>
        <w:rFonts w:hint="default"/>
        <w:lang w:val="en-au" w:eastAsia="en-US" w:bidi="ar-SA"/>
      </w:rPr>
    </w:lvl>
    <w:lvl w:ilvl="2">
      <w:start w:val="0"/>
      <w:numFmt w:val="bullet"/>
      <w:lvlText w:val="•"/>
      <w:lvlJc w:val="left"/>
      <w:pPr>
        <w:ind w:left="2961" w:hanging="152"/>
      </w:pPr>
      <w:rPr>
        <w:rFonts w:hint="default"/>
        <w:lang w:val="en-au" w:eastAsia="en-US" w:bidi="ar-SA"/>
      </w:rPr>
    </w:lvl>
    <w:lvl w:ilvl="3">
      <w:start w:val="0"/>
      <w:numFmt w:val="bullet"/>
      <w:lvlText w:val="•"/>
      <w:lvlJc w:val="left"/>
      <w:pPr>
        <w:ind w:left="3971" w:hanging="152"/>
      </w:pPr>
      <w:rPr>
        <w:rFonts w:hint="default"/>
        <w:lang w:val="en-au" w:eastAsia="en-US" w:bidi="ar-SA"/>
      </w:rPr>
    </w:lvl>
    <w:lvl w:ilvl="4">
      <w:start w:val="0"/>
      <w:numFmt w:val="bullet"/>
      <w:lvlText w:val="•"/>
      <w:lvlJc w:val="left"/>
      <w:pPr>
        <w:ind w:left="4982" w:hanging="152"/>
      </w:pPr>
      <w:rPr>
        <w:rFonts w:hint="default"/>
        <w:lang w:val="en-au" w:eastAsia="en-US" w:bidi="ar-SA"/>
      </w:rPr>
    </w:lvl>
    <w:lvl w:ilvl="5">
      <w:start w:val="0"/>
      <w:numFmt w:val="bullet"/>
      <w:lvlText w:val="•"/>
      <w:lvlJc w:val="left"/>
      <w:pPr>
        <w:ind w:left="5993" w:hanging="152"/>
      </w:pPr>
      <w:rPr>
        <w:rFonts w:hint="default"/>
        <w:lang w:val="en-au" w:eastAsia="en-US" w:bidi="ar-SA"/>
      </w:rPr>
    </w:lvl>
    <w:lvl w:ilvl="6">
      <w:start w:val="0"/>
      <w:numFmt w:val="bullet"/>
      <w:lvlText w:val="•"/>
      <w:lvlJc w:val="left"/>
      <w:pPr>
        <w:ind w:left="7003" w:hanging="152"/>
      </w:pPr>
      <w:rPr>
        <w:rFonts w:hint="default"/>
        <w:lang w:val="en-au" w:eastAsia="en-US" w:bidi="ar-SA"/>
      </w:rPr>
    </w:lvl>
    <w:lvl w:ilvl="7">
      <w:start w:val="0"/>
      <w:numFmt w:val="bullet"/>
      <w:lvlText w:val="•"/>
      <w:lvlJc w:val="left"/>
      <w:pPr>
        <w:ind w:left="8014" w:hanging="152"/>
      </w:pPr>
      <w:rPr>
        <w:rFonts w:hint="default"/>
        <w:lang w:val="en-au" w:eastAsia="en-US" w:bidi="ar-SA"/>
      </w:rPr>
    </w:lvl>
    <w:lvl w:ilvl="8">
      <w:start w:val="0"/>
      <w:numFmt w:val="bullet"/>
      <w:lvlText w:val="•"/>
      <w:lvlJc w:val="left"/>
      <w:pPr>
        <w:ind w:left="9025" w:hanging="152"/>
      </w:pPr>
      <w:rPr>
        <w:rFonts w:hint="default"/>
        <w:lang w:val="en-au" w:eastAsia="en-US" w:bidi="ar-SA"/>
      </w:rPr>
    </w:lvl>
  </w:abstractNum>
  <w:abstractNum w:abstractNumId="48">
    <w:multiLevelType w:val="hybridMultilevel"/>
    <w:lvl w:ilvl="0">
      <w:start w:val="4"/>
      <w:numFmt w:val="decimal"/>
      <w:lvlText w:val="%1"/>
      <w:lvlJc w:val="left"/>
      <w:pPr>
        <w:ind w:left="931" w:hanging="151"/>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1950" w:hanging="151"/>
      </w:pPr>
      <w:rPr>
        <w:rFonts w:hint="default"/>
        <w:lang w:val="en-au" w:eastAsia="en-US" w:bidi="ar-SA"/>
      </w:rPr>
    </w:lvl>
    <w:lvl w:ilvl="2">
      <w:start w:val="0"/>
      <w:numFmt w:val="bullet"/>
      <w:lvlText w:val="•"/>
      <w:lvlJc w:val="left"/>
      <w:pPr>
        <w:ind w:left="2961" w:hanging="151"/>
      </w:pPr>
      <w:rPr>
        <w:rFonts w:hint="default"/>
        <w:lang w:val="en-au" w:eastAsia="en-US" w:bidi="ar-SA"/>
      </w:rPr>
    </w:lvl>
    <w:lvl w:ilvl="3">
      <w:start w:val="0"/>
      <w:numFmt w:val="bullet"/>
      <w:lvlText w:val="•"/>
      <w:lvlJc w:val="left"/>
      <w:pPr>
        <w:ind w:left="3971" w:hanging="151"/>
      </w:pPr>
      <w:rPr>
        <w:rFonts w:hint="default"/>
        <w:lang w:val="en-au" w:eastAsia="en-US" w:bidi="ar-SA"/>
      </w:rPr>
    </w:lvl>
    <w:lvl w:ilvl="4">
      <w:start w:val="0"/>
      <w:numFmt w:val="bullet"/>
      <w:lvlText w:val="•"/>
      <w:lvlJc w:val="left"/>
      <w:pPr>
        <w:ind w:left="4982" w:hanging="151"/>
      </w:pPr>
      <w:rPr>
        <w:rFonts w:hint="default"/>
        <w:lang w:val="en-au" w:eastAsia="en-US" w:bidi="ar-SA"/>
      </w:rPr>
    </w:lvl>
    <w:lvl w:ilvl="5">
      <w:start w:val="0"/>
      <w:numFmt w:val="bullet"/>
      <w:lvlText w:val="•"/>
      <w:lvlJc w:val="left"/>
      <w:pPr>
        <w:ind w:left="5993" w:hanging="151"/>
      </w:pPr>
      <w:rPr>
        <w:rFonts w:hint="default"/>
        <w:lang w:val="en-au" w:eastAsia="en-US" w:bidi="ar-SA"/>
      </w:rPr>
    </w:lvl>
    <w:lvl w:ilvl="6">
      <w:start w:val="0"/>
      <w:numFmt w:val="bullet"/>
      <w:lvlText w:val="•"/>
      <w:lvlJc w:val="left"/>
      <w:pPr>
        <w:ind w:left="7003" w:hanging="151"/>
      </w:pPr>
      <w:rPr>
        <w:rFonts w:hint="default"/>
        <w:lang w:val="en-au" w:eastAsia="en-US" w:bidi="ar-SA"/>
      </w:rPr>
    </w:lvl>
    <w:lvl w:ilvl="7">
      <w:start w:val="0"/>
      <w:numFmt w:val="bullet"/>
      <w:lvlText w:val="•"/>
      <w:lvlJc w:val="left"/>
      <w:pPr>
        <w:ind w:left="8014" w:hanging="151"/>
      </w:pPr>
      <w:rPr>
        <w:rFonts w:hint="default"/>
        <w:lang w:val="en-au" w:eastAsia="en-US" w:bidi="ar-SA"/>
      </w:rPr>
    </w:lvl>
    <w:lvl w:ilvl="8">
      <w:start w:val="0"/>
      <w:numFmt w:val="bullet"/>
      <w:lvlText w:val="•"/>
      <w:lvlJc w:val="left"/>
      <w:pPr>
        <w:ind w:left="9025" w:hanging="151"/>
      </w:pPr>
      <w:rPr>
        <w:rFonts w:hint="default"/>
        <w:lang w:val="en-au" w:eastAsia="en-US" w:bidi="ar-SA"/>
      </w:rPr>
    </w:lvl>
  </w:abstractNum>
  <w:abstractNum w:abstractNumId="47">
    <w:multiLevelType w:val="hybridMultilevel"/>
    <w:lvl w:ilvl="0">
      <w:start w:val="1"/>
      <w:numFmt w:val="decimal"/>
      <w:lvlText w:val="%1"/>
      <w:lvlJc w:val="left"/>
      <w:pPr>
        <w:ind w:left="931" w:hanging="151"/>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1950" w:hanging="151"/>
      </w:pPr>
      <w:rPr>
        <w:rFonts w:hint="default"/>
        <w:lang w:val="en-au" w:eastAsia="en-US" w:bidi="ar-SA"/>
      </w:rPr>
    </w:lvl>
    <w:lvl w:ilvl="2">
      <w:start w:val="0"/>
      <w:numFmt w:val="bullet"/>
      <w:lvlText w:val="•"/>
      <w:lvlJc w:val="left"/>
      <w:pPr>
        <w:ind w:left="2961" w:hanging="151"/>
      </w:pPr>
      <w:rPr>
        <w:rFonts w:hint="default"/>
        <w:lang w:val="en-au" w:eastAsia="en-US" w:bidi="ar-SA"/>
      </w:rPr>
    </w:lvl>
    <w:lvl w:ilvl="3">
      <w:start w:val="0"/>
      <w:numFmt w:val="bullet"/>
      <w:lvlText w:val="•"/>
      <w:lvlJc w:val="left"/>
      <w:pPr>
        <w:ind w:left="3971" w:hanging="151"/>
      </w:pPr>
      <w:rPr>
        <w:rFonts w:hint="default"/>
        <w:lang w:val="en-au" w:eastAsia="en-US" w:bidi="ar-SA"/>
      </w:rPr>
    </w:lvl>
    <w:lvl w:ilvl="4">
      <w:start w:val="0"/>
      <w:numFmt w:val="bullet"/>
      <w:lvlText w:val="•"/>
      <w:lvlJc w:val="left"/>
      <w:pPr>
        <w:ind w:left="4982" w:hanging="151"/>
      </w:pPr>
      <w:rPr>
        <w:rFonts w:hint="default"/>
        <w:lang w:val="en-au" w:eastAsia="en-US" w:bidi="ar-SA"/>
      </w:rPr>
    </w:lvl>
    <w:lvl w:ilvl="5">
      <w:start w:val="0"/>
      <w:numFmt w:val="bullet"/>
      <w:lvlText w:val="•"/>
      <w:lvlJc w:val="left"/>
      <w:pPr>
        <w:ind w:left="5993" w:hanging="151"/>
      </w:pPr>
      <w:rPr>
        <w:rFonts w:hint="default"/>
        <w:lang w:val="en-au" w:eastAsia="en-US" w:bidi="ar-SA"/>
      </w:rPr>
    </w:lvl>
    <w:lvl w:ilvl="6">
      <w:start w:val="0"/>
      <w:numFmt w:val="bullet"/>
      <w:lvlText w:val="•"/>
      <w:lvlJc w:val="left"/>
      <w:pPr>
        <w:ind w:left="7003" w:hanging="151"/>
      </w:pPr>
      <w:rPr>
        <w:rFonts w:hint="default"/>
        <w:lang w:val="en-au" w:eastAsia="en-US" w:bidi="ar-SA"/>
      </w:rPr>
    </w:lvl>
    <w:lvl w:ilvl="7">
      <w:start w:val="0"/>
      <w:numFmt w:val="bullet"/>
      <w:lvlText w:val="•"/>
      <w:lvlJc w:val="left"/>
      <w:pPr>
        <w:ind w:left="8014" w:hanging="151"/>
      </w:pPr>
      <w:rPr>
        <w:rFonts w:hint="default"/>
        <w:lang w:val="en-au" w:eastAsia="en-US" w:bidi="ar-SA"/>
      </w:rPr>
    </w:lvl>
    <w:lvl w:ilvl="8">
      <w:start w:val="0"/>
      <w:numFmt w:val="bullet"/>
      <w:lvlText w:val="•"/>
      <w:lvlJc w:val="left"/>
      <w:pPr>
        <w:ind w:left="9025" w:hanging="151"/>
      </w:pPr>
      <w:rPr>
        <w:rFonts w:hint="default"/>
        <w:lang w:val="en-au" w:eastAsia="en-US" w:bidi="ar-SA"/>
      </w:rPr>
    </w:lvl>
  </w:abstractNum>
  <w:abstractNum w:abstractNumId="46">
    <w:multiLevelType w:val="hybridMultilevel"/>
    <w:lvl w:ilvl="0">
      <w:start w:val="1"/>
      <w:numFmt w:val="decimal"/>
      <w:lvlText w:val="%1"/>
      <w:lvlJc w:val="left"/>
      <w:pPr>
        <w:ind w:left="1642" w:hanging="152"/>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2580" w:hanging="152"/>
      </w:pPr>
      <w:rPr>
        <w:rFonts w:hint="default"/>
        <w:lang w:val="en-au" w:eastAsia="en-US" w:bidi="ar-SA"/>
      </w:rPr>
    </w:lvl>
    <w:lvl w:ilvl="2">
      <w:start w:val="0"/>
      <w:numFmt w:val="bullet"/>
      <w:lvlText w:val="•"/>
      <w:lvlJc w:val="left"/>
      <w:pPr>
        <w:ind w:left="3521" w:hanging="152"/>
      </w:pPr>
      <w:rPr>
        <w:rFonts w:hint="default"/>
        <w:lang w:val="en-au" w:eastAsia="en-US" w:bidi="ar-SA"/>
      </w:rPr>
    </w:lvl>
    <w:lvl w:ilvl="3">
      <w:start w:val="0"/>
      <w:numFmt w:val="bullet"/>
      <w:lvlText w:val="•"/>
      <w:lvlJc w:val="left"/>
      <w:pPr>
        <w:ind w:left="4461" w:hanging="152"/>
      </w:pPr>
      <w:rPr>
        <w:rFonts w:hint="default"/>
        <w:lang w:val="en-au" w:eastAsia="en-US" w:bidi="ar-SA"/>
      </w:rPr>
    </w:lvl>
    <w:lvl w:ilvl="4">
      <w:start w:val="0"/>
      <w:numFmt w:val="bullet"/>
      <w:lvlText w:val="•"/>
      <w:lvlJc w:val="left"/>
      <w:pPr>
        <w:ind w:left="5402" w:hanging="152"/>
      </w:pPr>
      <w:rPr>
        <w:rFonts w:hint="default"/>
        <w:lang w:val="en-au" w:eastAsia="en-US" w:bidi="ar-SA"/>
      </w:rPr>
    </w:lvl>
    <w:lvl w:ilvl="5">
      <w:start w:val="0"/>
      <w:numFmt w:val="bullet"/>
      <w:lvlText w:val="•"/>
      <w:lvlJc w:val="left"/>
      <w:pPr>
        <w:ind w:left="6343" w:hanging="152"/>
      </w:pPr>
      <w:rPr>
        <w:rFonts w:hint="default"/>
        <w:lang w:val="en-au" w:eastAsia="en-US" w:bidi="ar-SA"/>
      </w:rPr>
    </w:lvl>
    <w:lvl w:ilvl="6">
      <w:start w:val="0"/>
      <w:numFmt w:val="bullet"/>
      <w:lvlText w:val="•"/>
      <w:lvlJc w:val="left"/>
      <w:pPr>
        <w:ind w:left="7283" w:hanging="152"/>
      </w:pPr>
      <w:rPr>
        <w:rFonts w:hint="default"/>
        <w:lang w:val="en-au" w:eastAsia="en-US" w:bidi="ar-SA"/>
      </w:rPr>
    </w:lvl>
    <w:lvl w:ilvl="7">
      <w:start w:val="0"/>
      <w:numFmt w:val="bullet"/>
      <w:lvlText w:val="•"/>
      <w:lvlJc w:val="left"/>
      <w:pPr>
        <w:ind w:left="8224" w:hanging="152"/>
      </w:pPr>
      <w:rPr>
        <w:rFonts w:hint="default"/>
        <w:lang w:val="en-au" w:eastAsia="en-US" w:bidi="ar-SA"/>
      </w:rPr>
    </w:lvl>
    <w:lvl w:ilvl="8">
      <w:start w:val="0"/>
      <w:numFmt w:val="bullet"/>
      <w:lvlText w:val="•"/>
      <w:lvlJc w:val="left"/>
      <w:pPr>
        <w:ind w:left="9165" w:hanging="152"/>
      </w:pPr>
      <w:rPr>
        <w:rFonts w:hint="default"/>
        <w:lang w:val="en-au" w:eastAsia="en-US" w:bidi="ar-SA"/>
      </w:rPr>
    </w:lvl>
  </w:abstractNum>
  <w:abstractNum w:abstractNumId="45">
    <w:multiLevelType w:val="hybridMultilevel"/>
    <w:lvl w:ilvl="0">
      <w:start w:val="1"/>
      <w:numFmt w:val="decimal"/>
      <w:lvlText w:val="%1"/>
      <w:lvlJc w:val="left"/>
      <w:pPr>
        <w:ind w:left="1642" w:hanging="151"/>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2580" w:hanging="151"/>
      </w:pPr>
      <w:rPr>
        <w:rFonts w:hint="default"/>
        <w:lang w:val="en-au" w:eastAsia="en-US" w:bidi="ar-SA"/>
      </w:rPr>
    </w:lvl>
    <w:lvl w:ilvl="2">
      <w:start w:val="0"/>
      <w:numFmt w:val="bullet"/>
      <w:lvlText w:val="•"/>
      <w:lvlJc w:val="left"/>
      <w:pPr>
        <w:ind w:left="3521" w:hanging="151"/>
      </w:pPr>
      <w:rPr>
        <w:rFonts w:hint="default"/>
        <w:lang w:val="en-au" w:eastAsia="en-US" w:bidi="ar-SA"/>
      </w:rPr>
    </w:lvl>
    <w:lvl w:ilvl="3">
      <w:start w:val="0"/>
      <w:numFmt w:val="bullet"/>
      <w:lvlText w:val="•"/>
      <w:lvlJc w:val="left"/>
      <w:pPr>
        <w:ind w:left="4461" w:hanging="151"/>
      </w:pPr>
      <w:rPr>
        <w:rFonts w:hint="default"/>
        <w:lang w:val="en-au" w:eastAsia="en-US" w:bidi="ar-SA"/>
      </w:rPr>
    </w:lvl>
    <w:lvl w:ilvl="4">
      <w:start w:val="0"/>
      <w:numFmt w:val="bullet"/>
      <w:lvlText w:val="•"/>
      <w:lvlJc w:val="left"/>
      <w:pPr>
        <w:ind w:left="5402" w:hanging="151"/>
      </w:pPr>
      <w:rPr>
        <w:rFonts w:hint="default"/>
        <w:lang w:val="en-au" w:eastAsia="en-US" w:bidi="ar-SA"/>
      </w:rPr>
    </w:lvl>
    <w:lvl w:ilvl="5">
      <w:start w:val="0"/>
      <w:numFmt w:val="bullet"/>
      <w:lvlText w:val="•"/>
      <w:lvlJc w:val="left"/>
      <w:pPr>
        <w:ind w:left="6343" w:hanging="151"/>
      </w:pPr>
      <w:rPr>
        <w:rFonts w:hint="default"/>
        <w:lang w:val="en-au" w:eastAsia="en-US" w:bidi="ar-SA"/>
      </w:rPr>
    </w:lvl>
    <w:lvl w:ilvl="6">
      <w:start w:val="0"/>
      <w:numFmt w:val="bullet"/>
      <w:lvlText w:val="•"/>
      <w:lvlJc w:val="left"/>
      <w:pPr>
        <w:ind w:left="7283" w:hanging="151"/>
      </w:pPr>
      <w:rPr>
        <w:rFonts w:hint="default"/>
        <w:lang w:val="en-au" w:eastAsia="en-US" w:bidi="ar-SA"/>
      </w:rPr>
    </w:lvl>
    <w:lvl w:ilvl="7">
      <w:start w:val="0"/>
      <w:numFmt w:val="bullet"/>
      <w:lvlText w:val="•"/>
      <w:lvlJc w:val="left"/>
      <w:pPr>
        <w:ind w:left="8224" w:hanging="151"/>
      </w:pPr>
      <w:rPr>
        <w:rFonts w:hint="default"/>
        <w:lang w:val="en-au" w:eastAsia="en-US" w:bidi="ar-SA"/>
      </w:rPr>
    </w:lvl>
    <w:lvl w:ilvl="8">
      <w:start w:val="0"/>
      <w:numFmt w:val="bullet"/>
      <w:lvlText w:val="•"/>
      <w:lvlJc w:val="left"/>
      <w:pPr>
        <w:ind w:left="9165" w:hanging="151"/>
      </w:pPr>
      <w:rPr>
        <w:rFonts w:hint="default"/>
        <w:lang w:val="en-au" w:eastAsia="en-US" w:bidi="ar-SA"/>
      </w:rPr>
    </w:lvl>
  </w:abstractNum>
  <w:abstractNum w:abstractNumId="44">
    <w:multiLevelType w:val="hybridMultilevel"/>
    <w:lvl w:ilvl="0">
      <w:start w:val="1"/>
      <w:numFmt w:val="upperLetter"/>
      <w:lvlText w:val="%1."/>
      <w:lvlJc w:val="left"/>
      <w:pPr>
        <w:ind w:left="860" w:hanging="236"/>
        <w:jc w:val="left"/>
      </w:pPr>
      <w:rPr>
        <w:rFonts w:hint="default" w:ascii="Century Gothic" w:hAnsi="Century Gothic" w:eastAsia="Century Gothic" w:cs="Century Gothic"/>
        <w:b w:val="0"/>
        <w:bCs w:val="0"/>
        <w:i w:val="0"/>
        <w:iCs w:val="0"/>
        <w:spacing w:val="-6"/>
        <w:w w:val="100"/>
        <w:sz w:val="18"/>
        <w:szCs w:val="18"/>
        <w:lang w:val="en-au" w:eastAsia="en-US" w:bidi="ar-SA"/>
      </w:rPr>
    </w:lvl>
    <w:lvl w:ilvl="1">
      <w:start w:val="0"/>
      <w:numFmt w:val="bullet"/>
      <w:lvlText w:val="•"/>
      <w:lvlJc w:val="left"/>
      <w:pPr>
        <w:ind w:left="1878" w:hanging="236"/>
      </w:pPr>
      <w:rPr>
        <w:rFonts w:hint="default"/>
        <w:lang w:val="en-au" w:eastAsia="en-US" w:bidi="ar-SA"/>
      </w:rPr>
    </w:lvl>
    <w:lvl w:ilvl="2">
      <w:start w:val="0"/>
      <w:numFmt w:val="bullet"/>
      <w:lvlText w:val="•"/>
      <w:lvlJc w:val="left"/>
      <w:pPr>
        <w:ind w:left="2897" w:hanging="236"/>
      </w:pPr>
      <w:rPr>
        <w:rFonts w:hint="default"/>
        <w:lang w:val="en-au" w:eastAsia="en-US" w:bidi="ar-SA"/>
      </w:rPr>
    </w:lvl>
    <w:lvl w:ilvl="3">
      <w:start w:val="0"/>
      <w:numFmt w:val="bullet"/>
      <w:lvlText w:val="•"/>
      <w:lvlJc w:val="left"/>
      <w:pPr>
        <w:ind w:left="3915" w:hanging="236"/>
      </w:pPr>
      <w:rPr>
        <w:rFonts w:hint="default"/>
        <w:lang w:val="en-au" w:eastAsia="en-US" w:bidi="ar-SA"/>
      </w:rPr>
    </w:lvl>
    <w:lvl w:ilvl="4">
      <w:start w:val="0"/>
      <w:numFmt w:val="bullet"/>
      <w:lvlText w:val="•"/>
      <w:lvlJc w:val="left"/>
      <w:pPr>
        <w:ind w:left="4934" w:hanging="236"/>
      </w:pPr>
      <w:rPr>
        <w:rFonts w:hint="default"/>
        <w:lang w:val="en-au" w:eastAsia="en-US" w:bidi="ar-SA"/>
      </w:rPr>
    </w:lvl>
    <w:lvl w:ilvl="5">
      <w:start w:val="0"/>
      <w:numFmt w:val="bullet"/>
      <w:lvlText w:val="•"/>
      <w:lvlJc w:val="left"/>
      <w:pPr>
        <w:ind w:left="5953" w:hanging="236"/>
      </w:pPr>
      <w:rPr>
        <w:rFonts w:hint="default"/>
        <w:lang w:val="en-au" w:eastAsia="en-US" w:bidi="ar-SA"/>
      </w:rPr>
    </w:lvl>
    <w:lvl w:ilvl="6">
      <w:start w:val="0"/>
      <w:numFmt w:val="bullet"/>
      <w:lvlText w:val="•"/>
      <w:lvlJc w:val="left"/>
      <w:pPr>
        <w:ind w:left="6971" w:hanging="236"/>
      </w:pPr>
      <w:rPr>
        <w:rFonts w:hint="default"/>
        <w:lang w:val="en-au" w:eastAsia="en-US" w:bidi="ar-SA"/>
      </w:rPr>
    </w:lvl>
    <w:lvl w:ilvl="7">
      <w:start w:val="0"/>
      <w:numFmt w:val="bullet"/>
      <w:lvlText w:val="•"/>
      <w:lvlJc w:val="left"/>
      <w:pPr>
        <w:ind w:left="7990" w:hanging="236"/>
      </w:pPr>
      <w:rPr>
        <w:rFonts w:hint="default"/>
        <w:lang w:val="en-au" w:eastAsia="en-US" w:bidi="ar-SA"/>
      </w:rPr>
    </w:lvl>
    <w:lvl w:ilvl="8">
      <w:start w:val="0"/>
      <w:numFmt w:val="bullet"/>
      <w:lvlText w:val="•"/>
      <w:lvlJc w:val="left"/>
      <w:pPr>
        <w:ind w:left="9009" w:hanging="236"/>
      </w:pPr>
      <w:rPr>
        <w:rFonts w:hint="default"/>
        <w:lang w:val="en-au" w:eastAsia="en-US" w:bidi="ar-SA"/>
      </w:rPr>
    </w:lvl>
  </w:abstractNum>
  <w:abstractNum w:abstractNumId="43">
    <w:multiLevelType w:val="hybridMultilevel"/>
    <w:lvl w:ilvl="0">
      <w:start w:val="1"/>
      <w:numFmt w:val="decimal"/>
      <w:lvlText w:val="%1"/>
      <w:lvlJc w:val="left"/>
      <w:pPr>
        <w:ind w:left="1709" w:hanging="151"/>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2634" w:hanging="151"/>
      </w:pPr>
      <w:rPr>
        <w:rFonts w:hint="default"/>
        <w:lang w:val="en-au" w:eastAsia="en-US" w:bidi="ar-SA"/>
      </w:rPr>
    </w:lvl>
    <w:lvl w:ilvl="2">
      <w:start w:val="0"/>
      <w:numFmt w:val="bullet"/>
      <w:lvlText w:val="•"/>
      <w:lvlJc w:val="left"/>
      <w:pPr>
        <w:ind w:left="3569" w:hanging="151"/>
      </w:pPr>
      <w:rPr>
        <w:rFonts w:hint="default"/>
        <w:lang w:val="en-au" w:eastAsia="en-US" w:bidi="ar-SA"/>
      </w:rPr>
    </w:lvl>
    <w:lvl w:ilvl="3">
      <w:start w:val="0"/>
      <w:numFmt w:val="bullet"/>
      <w:lvlText w:val="•"/>
      <w:lvlJc w:val="left"/>
      <w:pPr>
        <w:ind w:left="4503" w:hanging="151"/>
      </w:pPr>
      <w:rPr>
        <w:rFonts w:hint="default"/>
        <w:lang w:val="en-au" w:eastAsia="en-US" w:bidi="ar-SA"/>
      </w:rPr>
    </w:lvl>
    <w:lvl w:ilvl="4">
      <w:start w:val="0"/>
      <w:numFmt w:val="bullet"/>
      <w:lvlText w:val="•"/>
      <w:lvlJc w:val="left"/>
      <w:pPr>
        <w:ind w:left="5438" w:hanging="151"/>
      </w:pPr>
      <w:rPr>
        <w:rFonts w:hint="default"/>
        <w:lang w:val="en-au" w:eastAsia="en-US" w:bidi="ar-SA"/>
      </w:rPr>
    </w:lvl>
    <w:lvl w:ilvl="5">
      <w:start w:val="0"/>
      <w:numFmt w:val="bullet"/>
      <w:lvlText w:val="•"/>
      <w:lvlJc w:val="left"/>
      <w:pPr>
        <w:ind w:left="6373" w:hanging="151"/>
      </w:pPr>
      <w:rPr>
        <w:rFonts w:hint="default"/>
        <w:lang w:val="en-au" w:eastAsia="en-US" w:bidi="ar-SA"/>
      </w:rPr>
    </w:lvl>
    <w:lvl w:ilvl="6">
      <w:start w:val="0"/>
      <w:numFmt w:val="bullet"/>
      <w:lvlText w:val="•"/>
      <w:lvlJc w:val="left"/>
      <w:pPr>
        <w:ind w:left="7307" w:hanging="151"/>
      </w:pPr>
      <w:rPr>
        <w:rFonts w:hint="default"/>
        <w:lang w:val="en-au" w:eastAsia="en-US" w:bidi="ar-SA"/>
      </w:rPr>
    </w:lvl>
    <w:lvl w:ilvl="7">
      <w:start w:val="0"/>
      <w:numFmt w:val="bullet"/>
      <w:lvlText w:val="•"/>
      <w:lvlJc w:val="left"/>
      <w:pPr>
        <w:ind w:left="8242" w:hanging="151"/>
      </w:pPr>
      <w:rPr>
        <w:rFonts w:hint="default"/>
        <w:lang w:val="en-au" w:eastAsia="en-US" w:bidi="ar-SA"/>
      </w:rPr>
    </w:lvl>
    <w:lvl w:ilvl="8">
      <w:start w:val="0"/>
      <w:numFmt w:val="bullet"/>
      <w:lvlText w:val="•"/>
      <w:lvlJc w:val="left"/>
      <w:pPr>
        <w:ind w:left="9177" w:hanging="151"/>
      </w:pPr>
      <w:rPr>
        <w:rFonts w:hint="default"/>
        <w:lang w:val="en-au" w:eastAsia="en-US" w:bidi="ar-SA"/>
      </w:rPr>
    </w:lvl>
  </w:abstractNum>
  <w:abstractNum w:abstractNumId="42">
    <w:multiLevelType w:val="hybridMultilevel"/>
    <w:lvl w:ilvl="0">
      <w:start w:val="1"/>
      <w:numFmt w:val="decimal"/>
      <w:lvlText w:val="%1."/>
      <w:lvlJc w:val="left"/>
      <w:pPr>
        <w:ind w:left="423" w:hanging="284"/>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1"/>
      <w:numFmt w:val="decimal"/>
      <w:lvlText w:val="%2"/>
      <w:lvlJc w:val="left"/>
      <w:pPr>
        <w:ind w:left="1710" w:hanging="152"/>
        <w:jc w:val="left"/>
      </w:pPr>
      <w:rPr>
        <w:rFonts w:hint="default" w:ascii="Century Gothic" w:hAnsi="Century Gothic" w:eastAsia="Century Gothic" w:cs="Century Gothic"/>
        <w:b w:val="0"/>
        <w:bCs w:val="0"/>
        <w:i w:val="0"/>
        <w:iCs w:val="0"/>
        <w:w w:val="100"/>
        <w:sz w:val="18"/>
        <w:szCs w:val="18"/>
        <w:lang w:val="en-au" w:eastAsia="en-US" w:bidi="ar-SA"/>
      </w:rPr>
    </w:lvl>
    <w:lvl w:ilvl="2">
      <w:start w:val="0"/>
      <w:numFmt w:val="bullet"/>
      <w:lvlText w:val="•"/>
      <w:lvlJc w:val="left"/>
      <w:pPr>
        <w:ind w:left="2756" w:hanging="152"/>
      </w:pPr>
      <w:rPr>
        <w:rFonts w:hint="default"/>
        <w:lang w:val="en-au" w:eastAsia="en-US" w:bidi="ar-SA"/>
      </w:rPr>
    </w:lvl>
    <w:lvl w:ilvl="3">
      <w:start w:val="0"/>
      <w:numFmt w:val="bullet"/>
      <w:lvlText w:val="•"/>
      <w:lvlJc w:val="left"/>
      <w:pPr>
        <w:ind w:left="3792" w:hanging="152"/>
      </w:pPr>
      <w:rPr>
        <w:rFonts w:hint="default"/>
        <w:lang w:val="en-au" w:eastAsia="en-US" w:bidi="ar-SA"/>
      </w:rPr>
    </w:lvl>
    <w:lvl w:ilvl="4">
      <w:start w:val="0"/>
      <w:numFmt w:val="bullet"/>
      <w:lvlText w:val="•"/>
      <w:lvlJc w:val="left"/>
      <w:pPr>
        <w:ind w:left="4828" w:hanging="152"/>
      </w:pPr>
      <w:rPr>
        <w:rFonts w:hint="default"/>
        <w:lang w:val="en-au" w:eastAsia="en-US" w:bidi="ar-SA"/>
      </w:rPr>
    </w:lvl>
    <w:lvl w:ilvl="5">
      <w:start w:val="0"/>
      <w:numFmt w:val="bullet"/>
      <w:lvlText w:val="•"/>
      <w:lvlJc w:val="left"/>
      <w:pPr>
        <w:ind w:left="5865" w:hanging="152"/>
      </w:pPr>
      <w:rPr>
        <w:rFonts w:hint="default"/>
        <w:lang w:val="en-au" w:eastAsia="en-US" w:bidi="ar-SA"/>
      </w:rPr>
    </w:lvl>
    <w:lvl w:ilvl="6">
      <w:start w:val="0"/>
      <w:numFmt w:val="bullet"/>
      <w:lvlText w:val="•"/>
      <w:lvlJc w:val="left"/>
      <w:pPr>
        <w:ind w:left="6901" w:hanging="152"/>
      </w:pPr>
      <w:rPr>
        <w:rFonts w:hint="default"/>
        <w:lang w:val="en-au" w:eastAsia="en-US" w:bidi="ar-SA"/>
      </w:rPr>
    </w:lvl>
    <w:lvl w:ilvl="7">
      <w:start w:val="0"/>
      <w:numFmt w:val="bullet"/>
      <w:lvlText w:val="•"/>
      <w:lvlJc w:val="left"/>
      <w:pPr>
        <w:ind w:left="7937" w:hanging="152"/>
      </w:pPr>
      <w:rPr>
        <w:rFonts w:hint="default"/>
        <w:lang w:val="en-au" w:eastAsia="en-US" w:bidi="ar-SA"/>
      </w:rPr>
    </w:lvl>
    <w:lvl w:ilvl="8">
      <w:start w:val="0"/>
      <w:numFmt w:val="bullet"/>
      <w:lvlText w:val="•"/>
      <w:lvlJc w:val="left"/>
      <w:pPr>
        <w:ind w:left="8973" w:hanging="152"/>
      </w:pPr>
      <w:rPr>
        <w:rFonts w:hint="default"/>
        <w:lang w:val="en-au" w:eastAsia="en-US" w:bidi="ar-SA"/>
      </w:rPr>
    </w:lvl>
  </w:abstractNum>
  <w:abstractNum w:abstractNumId="41">
    <w:multiLevelType w:val="hybridMultilevel"/>
    <w:lvl w:ilvl="0">
      <w:start w:val="1"/>
      <w:numFmt w:val="decimal"/>
      <w:lvlText w:val="%1."/>
      <w:lvlJc w:val="left"/>
      <w:pPr>
        <w:ind w:left="140" w:hanging="199"/>
        <w:jc w:val="left"/>
      </w:pPr>
      <w:rPr>
        <w:rFonts w:hint="default" w:ascii="Century Gothic" w:hAnsi="Century Gothic" w:eastAsia="Century Gothic" w:cs="Century Gothic"/>
        <w:b w:val="0"/>
        <w:bCs w:val="0"/>
        <w:i w:val="0"/>
        <w:iCs w:val="0"/>
        <w:w w:val="100"/>
        <w:sz w:val="18"/>
        <w:szCs w:val="18"/>
        <w:lang w:val="en-au" w:eastAsia="en-US" w:bidi="ar-SA"/>
      </w:rPr>
    </w:lvl>
    <w:lvl w:ilvl="1">
      <w:start w:val="0"/>
      <w:numFmt w:val="bullet"/>
      <w:lvlText w:val="•"/>
      <w:lvlJc w:val="left"/>
      <w:pPr>
        <w:ind w:left="1230" w:hanging="199"/>
      </w:pPr>
      <w:rPr>
        <w:rFonts w:hint="default"/>
        <w:lang w:val="en-au" w:eastAsia="en-US" w:bidi="ar-SA"/>
      </w:rPr>
    </w:lvl>
    <w:lvl w:ilvl="2">
      <w:start w:val="0"/>
      <w:numFmt w:val="bullet"/>
      <w:lvlText w:val="•"/>
      <w:lvlJc w:val="left"/>
      <w:pPr>
        <w:ind w:left="2321" w:hanging="199"/>
      </w:pPr>
      <w:rPr>
        <w:rFonts w:hint="default"/>
        <w:lang w:val="en-au" w:eastAsia="en-US" w:bidi="ar-SA"/>
      </w:rPr>
    </w:lvl>
    <w:lvl w:ilvl="3">
      <w:start w:val="0"/>
      <w:numFmt w:val="bullet"/>
      <w:lvlText w:val="•"/>
      <w:lvlJc w:val="left"/>
      <w:pPr>
        <w:ind w:left="3411" w:hanging="199"/>
      </w:pPr>
      <w:rPr>
        <w:rFonts w:hint="default"/>
        <w:lang w:val="en-au" w:eastAsia="en-US" w:bidi="ar-SA"/>
      </w:rPr>
    </w:lvl>
    <w:lvl w:ilvl="4">
      <w:start w:val="0"/>
      <w:numFmt w:val="bullet"/>
      <w:lvlText w:val="•"/>
      <w:lvlJc w:val="left"/>
      <w:pPr>
        <w:ind w:left="4502" w:hanging="199"/>
      </w:pPr>
      <w:rPr>
        <w:rFonts w:hint="default"/>
        <w:lang w:val="en-au" w:eastAsia="en-US" w:bidi="ar-SA"/>
      </w:rPr>
    </w:lvl>
    <w:lvl w:ilvl="5">
      <w:start w:val="0"/>
      <w:numFmt w:val="bullet"/>
      <w:lvlText w:val="•"/>
      <w:lvlJc w:val="left"/>
      <w:pPr>
        <w:ind w:left="5593" w:hanging="199"/>
      </w:pPr>
      <w:rPr>
        <w:rFonts w:hint="default"/>
        <w:lang w:val="en-au" w:eastAsia="en-US" w:bidi="ar-SA"/>
      </w:rPr>
    </w:lvl>
    <w:lvl w:ilvl="6">
      <w:start w:val="0"/>
      <w:numFmt w:val="bullet"/>
      <w:lvlText w:val="•"/>
      <w:lvlJc w:val="left"/>
      <w:pPr>
        <w:ind w:left="6683" w:hanging="199"/>
      </w:pPr>
      <w:rPr>
        <w:rFonts w:hint="default"/>
        <w:lang w:val="en-au" w:eastAsia="en-US" w:bidi="ar-SA"/>
      </w:rPr>
    </w:lvl>
    <w:lvl w:ilvl="7">
      <w:start w:val="0"/>
      <w:numFmt w:val="bullet"/>
      <w:lvlText w:val="•"/>
      <w:lvlJc w:val="left"/>
      <w:pPr>
        <w:ind w:left="7774" w:hanging="199"/>
      </w:pPr>
      <w:rPr>
        <w:rFonts w:hint="default"/>
        <w:lang w:val="en-au" w:eastAsia="en-US" w:bidi="ar-SA"/>
      </w:rPr>
    </w:lvl>
    <w:lvl w:ilvl="8">
      <w:start w:val="0"/>
      <w:numFmt w:val="bullet"/>
      <w:lvlText w:val="•"/>
      <w:lvlJc w:val="left"/>
      <w:pPr>
        <w:ind w:left="8865" w:hanging="199"/>
      </w:pPr>
      <w:rPr>
        <w:rFonts w:hint="default"/>
        <w:lang w:val="en-au" w:eastAsia="en-US" w:bidi="ar-SA"/>
      </w:rPr>
    </w:lvl>
  </w:abstractNum>
  <w:abstractNum w:abstractNumId="40">
    <w:multiLevelType w:val="hybridMultilevel"/>
    <w:lvl w:ilvl="0">
      <w:start w:val="1"/>
      <w:numFmt w:val="decimal"/>
      <w:lvlText w:val="%1."/>
      <w:lvlJc w:val="left"/>
      <w:pPr>
        <w:ind w:left="567" w:hanging="428"/>
        <w:jc w:val="left"/>
      </w:pPr>
      <w:rPr>
        <w:rFonts w:hint="default" w:ascii="Century Gothic" w:hAnsi="Century Gothic" w:eastAsia="Century Gothic" w:cs="Century Gothic"/>
        <w:b w:val="0"/>
        <w:bCs w:val="0"/>
        <w:i w:val="0"/>
        <w:iCs w:val="0"/>
        <w:spacing w:val="0"/>
        <w:w w:val="100"/>
        <w:sz w:val="18"/>
        <w:szCs w:val="18"/>
        <w:lang w:val="en-au" w:eastAsia="en-US" w:bidi="ar-SA"/>
      </w:rPr>
    </w:lvl>
    <w:lvl w:ilvl="1">
      <w:start w:val="1"/>
      <w:numFmt w:val="lowerLetter"/>
      <w:lvlText w:val="%2."/>
      <w:lvlJc w:val="left"/>
      <w:pPr>
        <w:ind w:left="992" w:hanging="286"/>
        <w:jc w:val="left"/>
      </w:pPr>
      <w:rPr>
        <w:rFonts w:hint="default" w:ascii="Century Gothic" w:hAnsi="Century Gothic" w:eastAsia="Century Gothic" w:cs="Century Gothic"/>
        <w:b w:val="0"/>
        <w:bCs w:val="0"/>
        <w:i w:val="0"/>
        <w:iCs w:val="0"/>
        <w:spacing w:val="-1"/>
        <w:w w:val="100"/>
        <w:sz w:val="18"/>
        <w:szCs w:val="18"/>
        <w:lang w:val="en-au" w:eastAsia="en-US" w:bidi="ar-SA"/>
      </w:rPr>
    </w:lvl>
    <w:lvl w:ilvl="2">
      <w:start w:val="0"/>
      <w:numFmt w:val="bullet"/>
      <w:lvlText w:val="•"/>
      <w:lvlJc w:val="left"/>
      <w:pPr>
        <w:ind w:left="1140" w:hanging="286"/>
      </w:pPr>
      <w:rPr>
        <w:rFonts w:hint="default"/>
        <w:lang w:val="en-au" w:eastAsia="en-US" w:bidi="ar-SA"/>
      </w:rPr>
    </w:lvl>
    <w:lvl w:ilvl="3">
      <w:start w:val="0"/>
      <w:numFmt w:val="bullet"/>
      <w:lvlText w:val="•"/>
      <w:lvlJc w:val="left"/>
      <w:pPr>
        <w:ind w:left="2378" w:hanging="286"/>
      </w:pPr>
      <w:rPr>
        <w:rFonts w:hint="default"/>
        <w:lang w:val="en-au" w:eastAsia="en-US" w:bidi="ar-SA"/>
      </w:rPr>
    </w:lvl>
    <w:lvl w:ilvl="4">
      <w:start w:val="0"/>
      <w:numFmt w:val="bullet"/>
      <w:lvlText w:val="•"/>
      <w:lvlJc w:val="left"/>
      <w:pPr>
        <w:ind w:left="3616" w:hanging="286"/>
      </w:pPr>
      <w:rPr>
        <w:rFonts w:hint="default"/>
        <w:lang w:val="en-au" w:eastAsia="en-US" w:bidi="ar-SA"/>
      </w:rPr>
    </w:lvl>
    <w:lvl w:ilvl="5">
      <w:start w:val="0"/>
      <w:numFmt w:val="bullet"/>
      <w:lvlText w:val="•"/>
      <w:lvlJc w:val="left"/>
      <w:pPr>
        <w:ind w:left="4854" w:hanging="286"/>
      </w:pPr>
      <w:rPr>
        <w:rFonts w:hint="default"/>
        <w:lang w:val="en-au" w:eastAsia="en-US" w:bidi="ar-SA"/>
      </w:rPr>
    </w:lvl>
    <w:lvl w:ilvl="6">
      <w:start w:val="0"/>
      <w:numFmt w:val="bullet"/>
      <w:lvlText w:val="•"/>
      <w:lvlJc w:val="left"/>
      <w:pPr>
        <w:ind w:left="6093" w:hanging="286"/>
      </w:pPr>
      <w:rPr>
        <w:rFonts w:hint="default"/>
        <w:lang w:val="en-au" w:eastAsia="en-US" w:bidi="ar-SA"/>
      </w:rPr>
    </w:lvl>
    <w:lvl w:ilvl="7">
      <w:start w:val="0"/>
      <w:numFmt w:val="bullet"/>
      <w:lvlText w:val="•"/>
      <w:lvlJc w:val="left"/>
      <w:pPr>
        <w:ind w:left="7331" w:hanging="286"/>
      </w:pPr>
      <w:rPr>
        <w:rFonts w:hint="default"/>
        <w:lang w:val="en-au" w:eastAsia="en-US" w:bidi="ar-SA"/>
      </w:rPr>
    </w:lvl>
    <w:lvl w:ilvl="8">
      <w:start w:val="0"/>
      <w:numFmt w:val="bullet"/>
      <w:lvlText w:val="•"/>
      <w:lvlJc w:val="left"/>
      <w:pPr>
        <w:ind w:left="8569" w:hanging="286"/>
      </w:pPr>
      <w:rPr>
        <w:rFonts w:hint="default"/>
        <w:lang w:val="en-au" w:eastAsia="en-US" w:bidi="ar-SA"/>
      </w:rPr>
    </w:lvl>
  </w:abstractNum>
  <w:abstractNum w:abstractNumId="39">
    <w:multiLevelType w:val="hybridMultilevel"/>
    <w:lvl w:ilvl="0">
      <w:start w:val="0"/>
      <w:numFmt w:val="bullet"/>
      <w:lvlText w:val=""/>
      <w:lvlJc w:val="left"/>
      <w:pPr>
        <w:ind w:left="280" w:hanging="173"/>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761" w:hanging="173"/>
      </w:pPr>
      <w:rPr>
        <w:rFonts w:hint="default"/>
        <w:lang w:val="en-au" w:eastAsia="en-US" w:bidi="ar-SA"/>
      </w:rPr>
    </w:lvl>
    <w:lvl w:ilvl="2">
      <w:start w:val="0"/>
      <w:numFmt w:val="bullet"/>
      <w:lvlText w:val="•"/>
      <w:lvlJc w:val="left"/>
      <w:pPr>
        <w:ind w:left="1242" w:hanging="173"/>
      </w:pPr>
      <w:rPr>
        <w:rFonts w:hint="default"/>
        <w:lang w:val="en-au" w:eastAsia="en-US" w:bidi="ar-SA"/>
      </w:rPr>
    </w:lvl>
    <w:lvl w:ilvl="3">
      <w:start w:val="0"/>
      <w:numFmt w:val="bullet"/>
      <w:lvlText w:val="•"/>
      <w:lvlJc w:val="left"/>
      <w:pPr>
        <w:ind w:left="1723" w:hanging="173"/>
      </w:pPr>
      <w:rPr>
        <w:rFonts w:hint="default"/>
        <w:lang w:val="en-au" w:eastAsia="en-US" w:bidi="ar-SA"/>
      </w:rPr>
    </w:lvl>
    <w:lvl w:ilvl="4">
      <w:start w:val="0"/>
      <w:numFmt w:val="bullet"/>
      <w:lvlText w:val="•"/>
      <w:lvlJc w:val="left"/>
      <w:pPr>
        <w:ind w:left="2205" w:hanging="173"/>
      </w:pPr>
      <w:rPr>
        <w:rFonts w:hint="default"/>
        <w:lang w:val="en-au" w:eastAsia="en-US" w:bidi="ar-SA"/>
      </w:rPr>
    </w:lvl>
    <w:lvl w:ilvl="5">
      <w:start w:val="0"/>
      <w:numFmt w:val="bullet"/>
      <w:lvlText w:val="•"/>
      <w:lvlJc w:val="left"/>
      <w:pPr>
        <w:ind w:left="2686" w:hanging="173"/>
      </w:pPr>
      <w:rPr>
        <w:rFonts w:hint="default"/>
        <w:lang w:val="en-au" w:eastAsia="en-US" w:bidi="ar-SA"/>
      </w:rPr>
    </w:lvl>
    <w:lvl w:ilvl="6">
      <w:start w:val="0"/>
      <w:numFmt w:val="bullet"/>
      <w:lvlText w:val="•"/>
      <w:lvlJc w:val="left"/>
      <w:pPr>
        <w:ind w:left="3167" w:hanging="173"/>
      </w:pPr>
      <w:rPr>
        <w:rFonts w:hint="default"/>
        <w:lang w:val="en-au" w:eastAsia="en-US" w:bidi="ar-SA"/>
      </w:rPr>
    </w:lvl>
    <w:lvl w:ilvl="7">
      <w:start w:val="0"/>
      <w:numFmt w:val="bullet"/>
      <w:lvlText w:val="•"/>
      <w:lvlJc w:val="left"/>
      <w:pPr>
        <w:ind w:left="3649" w:hanging="173"/>
      </w:pPr>
      <w:rPr>
        <w:rFonts w:hint="default"/>
        <w:lang w:val="en-au" w:eastAsia="en-US" w:bidi="ar-SA"/>
      </w:rPr>
    </w:lvl>
    <w:lvl w:ilvl="8">
      <w:start w:val="0"/>
      <w:numFmt w:val="bullet"/>
      <w:lvlText w:val="•"/>
      <w:lvlJc w:val="left"/>
      <w:pPr>
        <w:ind w:left="4130" w:hanging="173"/>
      </w:pPr>
      <w:rPr>
        <w:rFonts w:hint="default"/>
        <w:lang w:val="en-au" w:eastAsia="en-US" w:bidi="ar-SA"/>
      </w:rPr>
    </w:lvl>
  </w:abstractNum>
  <w:abstractNum w:abstractNumId="38">
    <w:multiLevelType w:val="hybridMultilevel"/>
    <w:lvl w:ilvl="0">
      <w:start w:val="0"/>
      <w:numFmt w:val="bullet"/>
      <w:lvlText w:val=""/>
      <w:lvlJc w:val="left"/>
      <w:pPr>
        <w:ind w:left="280" w:hanging="173"/>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761" w:hanging="173"/>
      </w:pPr>
      <w:rPr>
        <w:rFonts w:hint="default"/>
        <w:lang w:val="en-au" w:eastAsia="en-US" w:bidi="ar-SA"/>
      </w:rPr>
    </w:lvl>
    <w:lvl w:ilvl="2">
      <w:start w:val="0"/>
      <w:numFmt w:val="bullet"/>
      <w:lvlText w:val="•"/>
      <w:lvlJc w:val="left"/>
      <w:pPr>
        <w:ind w:left="1242" w:hanging="173"/>
      </w:pPr>
      <w:rPr>
        <w:rFonts w:hint="default"/>
        <w:lang w:val="en-au" w:eastAsia="en-US" w:bidi="ar-SA"/>
      </w:rPr>
    </w:lvl>
    <w:lvl w:ilvl="3">
      <w:start w:val="0"/>
      <w:numFmt w:val="bullet"/>
      <w:lvlText w:val="•"/>
      <w:lvlJc w:val="left"/>
      <w:pPr>
        <w:ind w:left="1723" w:hanging="173"/>
      </w:pPr>
      <w:rPr>
        <w:rFonts w:hint="default"/>
        <w:lang w:val="en-au" w:eastAsia="en-US" w:bidi="ar-SA"/>
      </w:rPr>
    </w:lvl>
    <w:lvl w:ilvl="4">
      <w:start w:val="0"/>
      <w:numFmt w:val="bullet"/>
      <w:lvlText w:val="•"/>
      <w:lvlJc w:val="left"/>
      <w:pPr>
        <w:ind w:left="2205" w:hanging="173"/>
      </w:pPr>
      <w:rPr>
        <w:rFonts w:hint="default"/>
        <w:lang w:val="en-au" w:eastAsia="en-US" w:bidi="ar-SA"/>
      </w:rPr>
    </w:lvl>
    <w:lvl w:ilvl="5">
      <w:start w:val="0"/>
      <w:numFmt w:val="bullet"/>
      <w:lvlText w:val="•"/>
      <w:lvlJc w:val="left"/>
      <w:pPr>
        <w:ind w:left="2686" w:hanging="173"/>
      </w:pPr>
      <w:rPr>
        <w:rFonts w:hint="default"/>
        <w:lang w:val="en-au" w:eastAsia="en-US" w:bidi="ar-SA"/>
      </w:rPr>
    </w:lvl>
    <w:lvl w:ilvl="6">
      <w:start w:val="0"/>
      <w:numFmt w:val="bullet"/>
      <w:lvlText w:val="•"/>
      <w:lvlJc w:val="left"/>
      <w:pPr>
        <w:ind w:left="3167" w:hanging="173"/>
      </w:pPr>
      <w:rPr>
        <w:rFonts w:hint="default"/>
        <w:lang w:val="en-au" w:eastAsia="en-US" w:bidi="ar-SA"/>
      </w:rPr>
    </w:lvl>
    <w:lvl w:ilvl="7">
      <w:start w:val="0"/>
      <w:numFmt w:val="bullet"/>
      <w:lvlText w:val="•"/>
      <w:lvlJc w:val="left"/>
      <w:pPr>
        <w:ind w:left="3649" w:hanging="173"/>
      </w:pPr>
      <w:rPr>
        <w:rFonts w:hint="default"/>
        <w:lang w:val="en-au" w:eastAsia="en-US" w:bidi="ar-SA"/>
      </w:rPr>
    </w:lvl>
    <w:lvl w:ilvl="8">
      <w:start w:val="0"/>
      <w:numFmt w:val="bullet"/>
      <w:lvlText w:val="•"/>
      <w:lvlJc w:val="left"/>
      <w:pPr>
        <w:ind w:left="4130" w:hanging="173"/>
      </w:pPr>
      <w:rPr>
        <w:rFonts w:hint="default"/>
        <w:lang w:val="en-au" w:eastAsia="en-US" w:bidi="ar-SA"/>
      </w:rPr>
    </w:lvl>
  </w:abstractNum>
  <w:abstractNum w:abstractNumId="37">
    <w:multiLevelType w:val="hybridMultilevel"/>
    <w:lvl w:ilvl="0">
      <w:start w:val="0"/>
      <w:numFmt w:val="bullet"/>
      <w:lvlText w:val=""/>
      <w:lvlJc w:val="left"/>
      <w:pPr>
        <w:ind w:left="280" w:hanging="173"/>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761" w:hanging="173"/>
      </w:pPr>
      <w:rPr>
        <w:rFonts w:hint="default"/>
        <w:lang w:val="en-au" w:eastAsia="en-US" w:bidi="ar-SA"/>
      </w:rPr>
    </w:lvl>
    <w:lvl w:ilvl="2">
      <w:start w:val="0"/>
      <w:numFmt w:val="bullet"/>
      <w:lvlText w:val="•"/>
      <w:lvlJc w:val="left"/>
      <w:pPr>
        <w:ind w:left="1242" w:hanging="173"/>
      </w:pPr>
      <w:rPr>
        <w:rFonts w:hint="default"/>
        <w:lang w:val="en-au" w:eastAsia="en-US" w:bidi="ar-SA"/>
      </w:rPr>
    </w:lvl>
    <w:lvl w:ilvl="3">
      <w:start w:val="0"/>
      <w:numFmt w:val="bullet"/>
      <w:lvlText w:val="•"/>
      <w:lvlJc w:val="left"/>
      <w:pPr>
        <w:ind w:left="1723" w:hanging="173"/>
      </w:pPr>
      <w:rPr>
        <w:rFonts w:hint="default"/>
        <w:lang w:val="en-au" w:eastAsia="en-US" w:bidi="ar-SA"/>
      </w:rPr>
    </w:lvl>
    <w:lvl w:ilvl="4">
      <w:start w:val="0"/>
      <w:numFmt w:val="bullet"/>
      <w:lvlText w:val="•"/>
      <w:lvlJc w:val="left"/>
      <w:pPr>
        <w:ind w:left="2205" w:hanging="173"/>
      </w:pPr>
      <w:rPr>
        <w:rFonts w:hint="default"/>
        <w:lang w:val="en-au" w:eastAsia="en-US" w:bidi="ar-SA"/>
      </w:rPr>
    </w:lvl>
    <w:lvl w:ilvl="5">
      <w:start w:val="0"/>
      <w:numFmt w:val="bullet"/>
      <w:lvlText w:val="•"/>
      <w:lvlJc w:val="left"/>
      <w:pPr>
        <w:ind w:left="2686" w:hanging="173"/>
      </w:pPr>
      <w:rPr>
        <w:rFonts w:hint="default"/>
        <w:lang w:val="en-au" w:eastAsia="en-US" w:bidi="ar-SA"/>
      </w:rPr>
    </w:lvl>
    <w:lvl w:ilvl="6">
      <w:start w:val="0"/>
      <w:numFmt w:val="bullet"/>
      <w:lvlText w:val="•"/>
      <w:lvlJc w:val="left"/>
      <w:pPr>
        <w:ind w:left="3167" w:hanging="173"/>
      </w:pPr>
      <w:rPr>
        <w:rFonts w:hint="default"/>
        <w:lang w:val="en-au" w:eastAsia="en-US" w:bidi="ar-SA"/>
      </w:rPr>
    </w:lvl>
    <w:lvl w:ilvl="7">
      <w:start w:val="0"/>
      <w:numFmt w:val="bullet"/>
      <w:lvlText w:val="•"/>
      <w:lvlJc w:val="left"/>
      <w:pPr>
        <w:ind w:left="3649" w:hanging="173"/>
      </w:pPr>
      <w:rPr>
        <w:rFonts w:hint="default"/>
        <w:lang w:val="en-au" w:eastAsia="en-US" w:bidi="ar-SA"/>
      </w:rPr>
    </w:lvl>
    <w:lvl w:ilvl="8">
      <w:start w:val="0"/>
      <w:numFmt w:val="bullet"/>
      <w:lvlText w:val="•"/>
      <w:lvlJc w:val="left"/>
      <w:pPr>
        <w:ind w:left="4130" w:hanging="173"/>
      </w:pPr>
      <w:rPr>
        <w:rFonts w:hint="default"/>
        <w:lang w:val="en-au" w:eastAsia="en-US" w:bidi="ar-SA"/>
      </w:rPr>
    </w:lvl>
  </w:abstractNum>
  <w:abstractNum w:abstractNumId="36">
    <w:multiLevelType w:val="hybridMultilevel"/>
    <w:lvl w:ilvl="0">
      <w:start w:val="0"/>
      <w:numFmt w:val="bullet"/>
      <w:lvlText w:val=""/>
      <w:lvlJc w:val="left"/>
      <w:pPr>
        <w:ind w:left="280" w:hanging="173"/>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761" w:hanging="173"/>
      </w:pPr>
      <w:rPr>
        <w:rFonts w:hint="default"/>
        <w:lang w:val="en-au" w:eastAsia="en-US" w:bidi="ar-SA"/>
      </w:rPr>
    </w:lvl>
    <w:lvl w:ilvl="2">
      <w:start w:val="0"/>
      <w:numFmt w:val="bullet"/>
      <w:lvlText w:val="•"/>
      <w:lvlJc w:val="left"/>
      <w:pPr>
        <w:ind w:left="1242" w:hanging="173"/>
      </w:pPr>
      <w:rPr>
        <w:rFonts w:hint="default"/>
        <w:lang w:val="en-au" w:eastAsia="en-US" w:bidi="ar-SA"/>
      </w:rPr>
    </w:lvl>
    <w:lvl w:ilvl="3">
      <w:start w:val="0"/>
      <w:numFmt w:val="bullet"/>
      <w:lvlText w:val="•"/>
      <w:lvlJc w:val="left"/>
      <w:pPr>
        <w:ind w:left="1723" w:hanging="173"/>
      </w:pPr>
      <w:rPr>
        <w:rFonts w:hint="default"/>
        <w:lang w:val="en-au" w:eastAsia="en-US" w:bidi="ar-SA"/>
      </w:rPr>
    </w:lvl>
    <w:lvl w:ilvl="4">
      <w:start w:val="0"/>
      <w:numFmt w:val="bullet"/>
      <w:lvlText w:val="•"/>
      <w:lvlJc w:val="left"/>
      <w:pPr>
        <w:ind w:left="2205" w:hanging="173"/>
      </w:pPr>
      <w:rPr>
        <w:rFonts w:hint="default"/>
        <w:lang w:val="en-au" w:eastAsia="en-US" w:bidi="ar-SA"/>
      </w:rPr>
    </w:lvl>
    <w:lvl w:ilvl="5">
      <w:start w:val="0"/>
      <w:numFmt w:val="bullet"/>
      <w:lvlText w:val="•"/>
      <w:lvlJc w:val="left"/>
      <w:pPr>
        <w:ind w:left="2686" w:hanging="173"/>
      </w:pPr>
      <w:rPr>
        <w:rFonts w:hint="default"/>
        <w:lang w:val="en-au" w:eastAsia="en-US" w:bidi="ar-SA"/>
      </w:rPr>
    </w:lvl>
    <w:lvl w:ilvl="6">
      <w:start w:val="0"/>
      <w:numFmt w:val="bullet"/>
      <w:lvlText w:val="•"/>
      <w:lvlJc w:val="left"/>
      <w:pPr>
        <w:ind w:left="3167" w:hanging="173"/>
      </w:pPr>
      <w:rPr>
        <w:rFonts w:hint="default"/>
        <w:lang w:val="en-au" w:eastAsia="en-US" w:bidi="ar-SA"/>
      </w:rPr>
    </w:lvl>
    <w:lvl w:ilvl="7">
      <w:start w:val="0"/>
      <w:numFmt w:val="bullet"/>
      <w:lvlText w:val="•"/>
      <w:lvlJc w:val="left"/>
      <w:pPr>
        <w:ind w:left="3649" w:hanging="173"/>
      </w:pPr>
      <w:rPr>
        <w:rFonts w:hint="default"/>
        <w:lang w:val="en-au" w:eastAsia="en-US" w:bidi="ar-SA"/>
      </w:rPr>
    </w:lvl>
    <w:lvl w:ilvl="8">
      <w:start w:val="0"/>
      <w:numFmt w:val="bullet"/>
      <w:lvlText w:val="•"/>
      <w:lvlJc w:val="left"/>
      <w:pPr>
        <w:ind w:left="4130" w:hanging="173"/>
      </w:pPr>
      <w:rPr>
        <w:rFonts w:hint="default"/>
        <w:lang w:val="en-au" w:eastAsia="en-US" w:bidi="ar-SA"/>
      </w:rPr>
    </w:lvl>
  </w:abstractNum>
  <w:abstractNum w:abstractNumId="35">
    <w:multiLevelType w:val="hybridMultilevel"/>
    <w:lvl w:ilvl="0">
      <w:start w:val="0"/>
      <w:numFmt w:val="bullet"/>
      <w:lvlText w:val=""/>
      <w:lvlJc w:val="left"/>
      <w:pPr>
        <w:ind w:left="280" w:hanging="173"/>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761" w:hanging="173"/>
      </w:pPr>
      <w:rPr>
        <w:rFonts w:hint="default"/>
        <w:lang w:val="en-au" w:eastAsia="en-US" w:bidi="ar-SA"/>
      </w:rPr>
    </w:lvl>
    <w:lvl w:ilvl="2">
      <w:start w:val="0"/>
      <w:numFmt w:val="bullet"/>
      <w:lvlText w:val="•"/>
      <w:lvlJc w:val="left"/>
      <w:pPr>
        <w:ind w:left="1242" w:hanging="173"/>
      </w:pPr>
      <w:rPr>
        <w:rFonts w:hint="default"/>
        <w:lang w:val="en-au" w:eastAsia="en-US" w:bidi="ar-SA"/>
      </w:rPr>
    </w:lvl>
    <w:lvl w:ilvl="3">
      <w:start w:val="0"/>
      <w:numFmt w:val="bullet"/>
      <w:lvlText w:val="•"/>
      <w:lvlJc w:val="left"/>
      <w:pPr>
        <w:ind w:left="1723" w:hanging="173"/>
      </w:pPr>
      <w:rPr>
        <w:rFonts w:hint="default"/>
        <w:lang w:val="en-au" w:eastAsia="en-US" w:bidi="ar-SA"/>
      </w:rPr>
    </w:lvl>
    <w:lvl w:ilvl="4">
      <w:start w:val="0"/>
      <w:numFmt w:val="bullet"/>
      <w:lvlText w:val="•"/>
      <w:lvlJc w:val="left"/>
      <w:pPr>
        <w:ind w:left="2205" w:hanging="173"/>
      </w:pPr>
      <w:rPr>
        <w:rFonts w:hint="default"/>
        <w:lang w:val="en-au" w:eastAsia="en-US" w:bidi="ar-SA"/>
      </w:rPr>
    </w:lvl>
    <w:lvl w:ilvl="5">
      <w:start w:val="0"/>
      <w:numFmt w:val="bullet"/>
      <w:lvlText w:val="•"/>
      <w:lvlJc w:val="left"/>
      <w:pPr>
        <w:ind w:left="2686" w:hanging="173"/>
      </w:pPr>
      <w:rPr>
        <w:rFonts w:hint="default"/>
        <w:lang w:val="en-au" w:eastAsia="en-US" w:bidi="ar-SA"/>
      </w:rPr>
    </w:lvl>
    <w:lvl w:ilvl="6">
      <w:start w:val="0"/>
      <w:numFmt w:val="bullet"/>
      <w:lvlText w:val="•"/>
      <w:lvlJc w:val="left"/>
      <w:pPr>
        <w:ind w:left="3167" w:hanging="173"/>
      </w:pPr>
      <w:rPr>
        <w:rFonts w:hint="default"/>
        <w:lang w:val="en-au" w:eastAsia="en-US" w:bidi="ar-SA"/>
      </w:rPr>
    </w:lvl>
    <w:lvl w:ilvl="7">
      <w:start w:val="0"/>
      <w:numFmt w:val="bullet"/>
      <w:lvlText w:val="•"/>
      <w:lvlJc w:val="left"/>
      <w:pPr>
        <w:ind w:left="3649" w:hanging="173"/>
      </w:pPr>
      <w:rPr>
        <w:rFonts w:hint="default"/>
        <w:lang w:val="en-au" w:eastAsia="en-US" w:bidi="ar-SA"/>
      </w:rPr>
    </w:lvl>
    <w:lvl w:ilvl="8">
      <w:start w:val="0"/>
      <w:numFmt w:val="bullet"/>
      <w:lvlText w:val="•"/>
      <w:lvlJc w:val="left"/>
      <w:pPr>
        <w:ind w:left="4130" w:hanging="173"/>
      </w:pPr>
      <w:rPr>
        <w:rFonts w:hint="default"/>
        <w:lang w:val="en-au" w:eastAsia="en-US" w:bidi="ar-SA"/>
      </w:rPr>
    </w:lvl>
  </w:abstractNum>
  <w:abstractNum w:abstractNumId="34">
    <w:multiLevelType w:val="hybridMultilevel"/>
    <w:lvl w:ilvl="0">
      <w:start w:val="0"/>
      <w:numFmt w:val="bullet"/>
      <w:lvlText w:val=""/>
      <w:lvlJc w:val="left"/>
      <w:pPr>
        <w:ind w:left="281" w:hanging="142"/>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501" w:hanging="142"/>
      </w:pPr>
      <w:rPr>
        <w:rFonts w:hint="default"/>
        <w:lang w:val="en-au" w:eastAsia="en-US" w:bidi="ar-SA"/>
      </w:rPr>
    </w:lvl>
    <w:lvl w:ilvl="2">
      <w:start w:val="0"/>
      <w:numFmt w:val="bullet"/>
      <w:lvlText w:val="•"/>
      <w:lvlJc w:val="left"/>
      <w:pPr>
        <w:ind w:left="722" w:hanging="142"/>
      </w:pPr>
      <w:rPr>
        <w:rFonts w:hint="default"/>
        <w:lang w:val="en-au" w:eastAsia="en-US" w:bidi="ar-SA"/>
      </w:rPr>
    </w:lvl>
    <w:lvl w:ilvl="3">
      <w:start w:val="0"/>
      <w:numFmt w:val="bullet"/>
      <w:lvlText w:val="•"/>
      <w:lvlJc w:val="left"/>
      <w:pPr>
        <w:ind w:left="943" w:hanging="142"/>
      </w:pPr>
      <w:rPr>
        <w:rFonts w:hint="default"/>
        <w:lang w:val="en-au" w:eastAsia="en-US" w:bidi="ar-SA"/>
      </w:rPr>
    </w:lvl>
    <w:lvl w:ilvl="4">
      <w:start w:val="0"/>
      <w:numFmt w:val="bullet"/>
      <w:lvlText w:val="•"/>
      <w:lvlJc w:val="left"/>
      <w:pPr>
        <w:ind w:left="1164" w:hanging="142"/>
      </w:pPr>
      <w:rPr>
        <w:rFonts w:hint="default"/>
        <w:lang w:val="en-au" w:eastAsia="en-US" w:bidi="ar-SA"/>
      </w:rPr>
    </w:lvl>
    <w:lvl w:ilvl="5">
      <w:start w:val="0"/>
      <w:numFmt w:val="bullet"/>
      <w:lvlText w:val="•"/>
      <w:lvlJc w:val="left"/>
      <w:pPr>
        <w:ind w:left="1386" w:hanging="142"/>
      </w:pPr>
      <w:rPr>
        <w:rFonts w:hint="default"/>
        <w:lang w:val="en-au" w:eastAsia="en-US" w:bidi="ar-SA"/>
      </w:rPr>
    </w:lvl>
    <w:lvl w:ilvl="6">
      <w:start w:val="0"/>
      <w:numFmt w:val="bullet"/>
      <w:lvlText w:val="•"/>
      <w:lvlJc w:val="left"/>
      <w:pPr>
        <w:ind w:left="1607" w:hanging="142"/>
      </w:pPr>
      <w:rPr>
        <w:rFonts w:hint="default"/>
        <w:lang w:val="en-au" w:eastAsia="en-US" w:bidi="ar-SA"/>
      </w:rPr>
    </w:lvl>
    <w:lvl w:ilvl="7">
      <w:start w:val="0"/>
      <w:numFmt w:val="bullet"/>
      <w:lvlText w:val="•"/>
      <w:lvlJc w:val="left"/>
      <w:pPr>
        <w:ind w:left="1828" w:hanging="142"/>
      </w:pPr>
      <w:rPr>
        <w:rFonts w:hint="default"/>
        <w:lang w:val="en-au" w:eastAsia="en-US" w:bidi="ar-SA"/>
      </w:rPr>
    </w:lvl>
    <w:lvl w:ilvl="8">
      <w:start w:val="0"/>
      <w:numFmt w:val="bullet"/>
      <w:lvlText w:val="•"/>
      <w:lvlJc w:val="left"/>
      <w:pPr>
        <w:ind w:left="2049" w:hanging="142"/>
      </w:pPr>
      <w:rPr>
        <w:rFonts w:hint="default"/>
        <w:lang w:val="en-au" w:eastAsia="en-US" w:bidi="ar-SA"/>
      </w:rPr>
    </w:lvl>
  </w:abstractNum>
  <w:abstractNum w:abstractNumId="33">
    <w:multiLevelType w:val="hybridMultilevel"/>
    <w:lvl w:ilvl="0">
      <w:start w:val="0"/>
      <w:numFmt w:val="bullet"/>
      <w:lvlText w:val=""/>
      <w:lvlJc w:val="left"/>
      <w:pPr>
        <w:ind w:left="281" w:hanging="142"/>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501" w:hanging="142"/>
      </w:pPr>
      <w:rPr>
        <w:rFonts w:hint="default"/>
        <w:lang w:val="en-au" w:eastAsia="en-US" w:bidi="ar-SA"/>
      </w:rPr>
    </w:lvl>
    <w:lvl w:ilvl="2">
      <w:start w:val="0"/>
      <w:numFmt w:val="bullet"/>
      <w:lvlText w:val="•"/>
      <w:lvlJc w:val="left"/>
      <w:pPr>
        <w:ind w:left="722" w:hanging="142"/>
      </w:pPr>
      <w:rPr>
        <w:rFonts w:hint="default"/>
        <w:lang w:val="en-au" w:eastAsia="en-US" w:bidi="ar-SA"/>
      </w:rPr>
    </w:lvl>
    <w:lvl w:ilvl="3">
      <w:start w:val="0"/>
      <w:numFmt w:val="bullet"/>
      <w:lvlText w:val="•"/>
      <w:lvlJc w:val="left"/>
      <w:pPr>
        <w:ind w:left="943" w:hanging="142"/>
      </w:pPr>
      <w:rPr>
        <w:rFonts w:hint="default"/>
        <w:lang w:val="en-au" w:eastAsia="en-US" w:bidi="ar-SA"/>
      </w:rPr>
    </w:lvl>
    <w:lvl w:ilvl="4">
      <w:start w:val="0"/>
      <w:numFmt w:val="bullet"/>
      <w:lvlText w:val="•"/>
      <w:lvlJc w:val="left"/>
      <w:pPr>
        <w:ind w:left="1164" w:hanging="142"/>
      </w:pPr>
      <w:rPr>
        <w:rFonts w:hint="default"/>
        <w:lang w:val="en-au" w:eastAsia="en-US" w:bidi="ar-SA"/>
      </w:rPr>
    </w:lvl>
    <w:lvl w:ilvl="5">
      <w:start w:val="0"/>
      <w:numFmt w:val="bullet"/>
      <w:lvlText w:val="•"/>
      <w:lvlJc w:val="left"/>
      <w:pPr>
        <w:ind w:left="1386" w:hanging="142"/>
      </w:pPr>
      <w:rPr>
        <w:rFonts w:hint="default"/>
        <w:lang w:val="en-au" w:eastAsia="en-US" w:bidi="ar-SA"/>
      </w:rPr>
    </w:lvl>
    <w:lvl w:ilvl="6">
      <w:start w:val="0"/>
      <w:numFmt w:val="bullet"/>
      <w:lvlText w:val="•"/>
      <w:lvlJc w:val="left"/>
      <w:pPr>
        <w:ind w:left="1607" w:hanging="142"/>
      </w:pPr>
      <w:rPr>
        <w:rFonts w:hint="default"/>
        <w:lang w:val="en-au" w:eastAsia="en-US" w:bidi="ar-SA"/>
      </w:rPr>
    </w:lvl>
    <w:lvl w:ilvl="7">
      <w:start w:val="0"/>
      <w:numFmt w:val="bullet"/>
      <w:lvlText w:val="•"/>
      <w:lvlJc w:val="left"/>
      <w:pPr>
        <w:ind w:left="1828" w:hanging="142"/>
      </w:pPr>
      <w:rPr>
        <w:rFonts w:hint="default"/>
        <w:lang w:val="en-au" w:eastAsia="en-US" w:bidi="ar-SA"/>
      </w:rPr>
    </w:lvl>
    <w:lvl w:ilvl="8">
      <w:start w:val="0"/>
      <w:numFmt w:val="bullet"/>
      <w:lvlText w:val="•"/>
      <w:lvlJc w:val="left"/>
      <w:pPr>
        <w:ind w:left="2049" w:hanging="142"/>
      </w:pPr>
      <w:rPr>
        <w:rFonts w:hint="default"/>
        <w:lang w:val="en-au" w:eastAsia="en-US" w:bidi="ar-SA"/>
      </w:rPr>
    </w:lvl>
  </w:abstractNum>
  <w:abstractNum w:abstractNumId="32">
    <w:multiLevelType w:val="hybridMultilevel"/>
    <w:lvl w:ilvl="0">
      <w:start w:val="0"/>
      <w:numFmt w:val="bullet"/>
      <w:lvlText w:val=""/>
      <w:lvlJc w:val="left"/>
      <w:pPr>
        <w:ind w:left="281" w:hanging="142"/>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501" w:hanging="142"/>
      </w:pPr>
      <w:rPr>
        <w:rFonts w:hint="default"/>
        <w:lang w:val="en-au" w:eastAsia="en-US" w:bidi="ar-SA"/>
      </w:rPr>
    </w:lvl>
    <w:lvl w:ilvl="2">
      <w:start w:val="0"/>
      <w:numFmt w:val="bullet"/>
      <w:lvlText w:val="•"/>
      <w:lvlJc w:val="left"/>
      <w:pPr>
        <w:ind w:left="722" w:hanging="142"/>
      </w:pPr>
      <w:rPr>
        <w:rFonts w:hint="default"/>
        <w:lang w:val="en-au" w:eastAsia="en-US" w:bidi="ar-SA"/>
      </w:rPr>
    </w:lvl>
    <w:lvl w:ilvl="3">
      <w:start w:val="0"/>
      <w:numFmt w:val="bullet"/>
      <w:lvlText w:val="•"/>
      <w:lvlJc w:val="left"/>
      <w:pPr>
        <w:ind w:left="943" w:hanging="142"/>
      </w:pPr>
      <w:rPr>
        <w:rFonts w:hint="default"/>
        <w:lang w:val="en-au" w:eastAsia="en-US" w:bidi="ar-SA"/>
      </w:rPr>
    </w:lvl>
    <w:lvl w:ilvl="4">
      <w:start w:val="0"/>
      <w:numFmt w:val="bullet"/>
      <w:lvlText w:val="•"/>
      <w:lvlJc w:val="left"/>
      <w:pPr>
        <w:ind w:left="1164" w:hanging="142"/>
      </w:pPr>
      <w:rPr>
        <w:rFonts w:hint="default"/>
        <w:lang w:val="en-au" w:eastAsia="en-US" w:bidi="ar-SA"/>
      </w:rPr>
    </w:lvl>
    <w:lvl w:ilvl="5">
      <w:start w:val="0"/>
      <w:numFmt w:val="bullet"/>
      <w:lvlText w:val="•"/>
      <w:lvlJc w:val="left"/>
      <w:pPr>
        <w:ind w:left="1386" w:hanging="142"/>
      </w:pPr>
      <w:rPr>
        <w:rFonts w:hint="default"/>
        <w:lang w:val="en-au" w:eastAsia="en-US" w:bidi="ar-SA"/>
      </w:rPr>
    </w:lvl>
    <w:lvl w:ilvl="6">
      <w:start w:val="0"/>
      <w:numFmt w:val="bullet"/>
      <w:lvlText w:val="•"/>
      <w:lvlJc w:val="left"/>
      <w:pPr>
        <w:ind w:left="1607" w:hanging="142"/>
      </w:pPr>
      <w:rPr>
        <w:rFonts w:hint="default"/>
        <w:lang w:val="en-au" w:eastAsia="en-US" w:bidi="ar-SA"/>
      </w:rPr>
    </w:lvl>
    <w:lvl w:ilvl="7">
      <w:start w:val="0"/>
      <w:numFmt w:val="bullet"/>
      <w:lvlText w:val="•"/>
      <w:lvlJc w:val="left"/>
      <w:pPr>
        <w:ind w:left="1828" w:hanging="142"/>
      </w:pPr>
      <w:rPr>
        <w:rFonts w:hint="default"/>
        <w:lang w:val="en-au" w:eastAsia="en-US" w:bidi="ar-SA"/>
      </w:rPr>
    </w:lvl>
    <w:lvl w:ilvl="8">
      <w:start w:val="0"/>
      <w:numFmt w:val="bullet"/>
      <w:lvlText w:val="•"/>
      <w:lvlJc w:val="left"/>
      <w:pPr>
        <w:ind w:left="2049" w:hanging="142"/>
      </w:pPr>
      <w:rPr>
        <w:rFonts w:hint="default"/>
        <w:lang w:val="en-au" w:eastAsia="en-US" w:bidi="ar-SA"/>
      </w:rPr>
    </w:lvl>
  </w:abstractNum>
  <w:abstractNum w:abstractNumId="31">
    <w:multiLevelType w:val="hybridMultilevel"/>
    <w:lvl w:ilvl="0">
      <w:start w:val="0"/>
      <w:numFmt w:val="bullet"/>
      <w:lvlText w:val=""/>
      <w:lvlJc w:val="left"/>
      <w:pPr>
        <w:ind w:left="281" w:hanging="142"/>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501" w:hanging="142"/>
      </w:pPr>
      <w:rPr>
        <w:rFonts w:hint="default"/>
        <w:lang w:val="en-au" w:eastAsia="en-US" w:bidi="ar-SA"/>
      </w:rPr>
    </w:lvl>
    <w:lvl w:ilvl="2">
      <w:start w:val="0"/>
      <w:numFmt w:val="bullet"/>
      <w:lvlText w:val="•"/>
      <w:lvlJc w:val="left"/>
      <w:pPr>
        <w:ind w:left="722" w:hanging="142"/>
      </w:pPr>
      <w:rPr>
        <w:rFonts w:hint="default"/>
        <w:lang w:val="en-au" w:eastAsia="en-US" w:bidi="ar-SA"/>
      </w:rPr>
    </w:lvl>
    <w:lvl w:ilvl="3">
      <w:start w:val="0"/>
      <w:numFmt w:val="bullet"/>
      <w:lvlText w:val="•"/>
      <w:lvlJc w:val="left"/>
      <w:pPr>
        <w:ind w:left="943" w:hanging="142"/>
      </w:pPr>
      <w:rPr>
        <w:rFonts w:hint="default"/>
        <w:lang w:val="en-au" w:eastAsia="en-US" w:bidi="ar-SA"/>
      </w:rPr>
    </w:lvl>
    <w:lvl w:ilvl="4">
      <w:start w:val="0"/>
      <w:numFmt w:val="bullet"/>
      <w:lvlText w:val="•"/>
      <w:lvlJc w:val="left"/>
      <w:pPr>
        <w:ind w:left="1164" w:hanging="142"/>
      </w:pPr>
      <w:rPr>
        <w:rFonts w:hint="default"/>
        <w:lang w:val="en-au" w:eastAsia="en-US" w:bidi="ar-SA"/>
      </w:rPr>
    </w:lvl>
    <w:lvl w:ilvl="5">
      <w:start w:val="0"/>
      <w:numFmt w:val="bullet"/>
      <w:lvlText w:val="•"/>
      <w:lvlJc w:val="left"/>
      <w:pPr>
        <w:ind w:left="1386" w:hanging="142"/>
      </w:pPr>
      <w:rPr>
        <w:rFonts w:hint="default"/>
        <w:lang w:val="en-au" w:eastAsia="en-US" w:bidi="ar-SA"/>
      </w:rPr>
    </w:lvl>
    <w:lvl w:ilvl="6">
      <w:start w:val="0"/>
      <w:numFmt w:val="bullet"/>
      <w:lvlText w:val="•"/>
      <w:lvlJc w:val="left"/>
      <w:pPr>
        <w:ind w:left="1607" w:hanging="142"/>
      </w:pPr>
      <w:rPr>
        <w:rFonts w:hint="default"/>
        <w:lang w:val="en-au" w:eastAsia="en-US" w:bidi="ar-SA"/>
      </w:rPr>
    </w:lvl>
    <w:lvl w:ilvl="7">
      <w:start w:val="0"/>
      <w:numFmt w:val="bullet"/>
      <w:lvlText w:val="•"/>
      <w:lvlJc w:val="left"/>
      <w:pPr>
        <w:ind w:left="1828" w:hanging="142"/>
      </w:pPr>
      <w:rPr>
        <w:rFonts w:hint="default"/>
        <w:lang w:val="en-au" w:eastAsia="en-US" w:bidi="ar-SA"/>
      </w:rPr>
    </w:lvl>
    <w:lvl w:ilvl="8">
      <w:start w:val="0"/>
      <w:numFmt w:val="bullet"/>
      <w:lvlText w:val="•"/>
      <w:lvlJc w:val="left"/>
      <w:pPr>
        <w:ind w:left="2049" w:hanging="142"/>
      </w:pPr>
      <w:rPr>
        <w:rFonts w:hint="default"/>
        <w:lang w:val="en-au" w:eastAsia="en-US" w:bidi="ar-SA"/>
      </w:rPr>
    </w:lvl>
  </w:abstractNum>
  <w:abstractNum w:abstractNumId="30">
    <w:multiLevelType w:val="hybridMultilevel"/>
    <w:lvl w:ilvl="0">
      <w:start w:val="0"/>
      <w:numFmt w:val="bullet"/>
      <w:lvlText w:val=""/>
      <w:lvlJc w:val="left"/>
      <w:pPr>
        <w:ind w:left="284" w:hanging="144"/>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501" w:hanging="144"/>
      </w:pPr>
      <w:rPr>
        <w:rFonts w:hint="default"/>
        <w:lang w:val="en-au" w:eastAsia="en-US" w:bidi="ar-SA"/>
      </w:rPr>
    </w:lvl>
    <w:lvl w:ilvl="2">
      <w:start w:val="0"/>
      <w:numFmt w:val="bullet"/>
      <w:lvlText w:val="•"/>
      <w:lvlJc w:val="left"/>
      <w:pPr>
        <w:ind w:left="722" w:hanging="144"/>
      </w:pPr>
      <w:rPr>
        <w:rFonts w:hint="default"/>
        <w:lang w:val="en-au" w:eastAsia="en-US" w:bidi="ar-SA"/>
      </w:rPr>
    </w:lvl>
    <w:lvl w:ilvl="3">
      <w:start w:val="0"/>
      <w:numFmt w:val="bullet"/>
      <w:lvlText w:val="•"/>
      <w:lvlJc w:val="left"/>
      <w:pPr>
        <w:ind w:left="943" w:hanging="144"/>
      </w:pPr>
      <w:rPr>
        <w:rFonts w:hint="default"/>
        <w:lang w:val="en-au" w:eastAsia="en-US" w:bidi="ar-SA"/>
      </w:rPr>
    </w:lvl>
    <w:lvl w:ilvl="4">
      <w:start w:val="0"/>
      <w:numFmt w:val="bullet"/>
      <w:lvlText w:val="•"/>
      <w:lvlJc w:val="left"/>
      <w:pPr>
        <w:ind w:left="1164" w:hanging="144"/>
      </w:pPr>
      <w:rPr>
        <w:rFonts w:hint="default"/>
        <w:lang w:val="en-au" w:eastAsia="en-US" w:bidi="ar-SA"/>
      </w:rPr>
    </w:lvl>
    <w:lvl w:ilvl="5">
      <w:start w:val="0"/>
      <w:numFmt w:val="bullet"/>
      <w:lvlText w:val="•"/>
      <w:lvlJc w:val="left"/>
      <w:pPr>
        <w:ind w:left="1386" w:hanging="144"/>
      </w:pPr>
      <w:rPr>
        <w:rFonts w:hint="default"/>
        <w:lang w:val="en-au" w:eastAsia="en-US" w:bidi="ar-SA"/>
      </w:rPr>
    </w:lvl>
    <w:lvl w:ilvl="6">
      <w:start w:val="0"/>
      <w:numFmt w:val="bullet"/>
      <w:lvlText w:val="•"/>
      <w:lvlJc w:val="left"/>
      <w:pPr>
        <w:ind w:left="1607" w:hanging="144"/>
      </w:pPr>
      <w:rPr>
        <w:rFonts w:hint="default"/>
        <w:lang w:val="en-au" w:eastAsia="en-US" w:bidi="ar-SA"/>
      </w:rPr>
    </w:lvl>
    <w:lvl w:ilvl="7">
      <w:start w:val="0"/>
      <w:numFmt w:val="bullet"/>
      <w:lvlText w:val="•"/>
      <w:lvlJc w:val="left"/>
      <w:pPr>
        <w:ind w:left="1828" w:hanging="144"/>
      </w:pPr>
      <w:rPr>
        <w:rFonts w:hint="default"/>
        <w:lang w:val="en-au" w:eastAsia="en-US" w:bidi="ar-SA"/>
      </w:rPr>
    </w:lvl>
    <w:lvl w:ilvl="8">
      <w:start w:val="0"/>
      <w:numFmt w:val="bullet"/>
      <w:lvlText w:val="•"/>
      <w:lvlJc w:val="left"/>
      <w:pPr>
        <w:ind w:left="2049" w:hanging="144"/>
      </w:pPr>
      <w:rPr>
        <w:rFonts w:hint="default"/>
        <w:lang w:val="en-au" w:eastAsia="en-US" w:bidi="ar-SA"/>
      </w:rPr>
    </w:lvl>
  </w:abstractNum>
  <w:abstractNum w:abstractNumId="29">
    <w:multiLevelType w:val="hybridMultilevel"/>
    <w:lvl w:ilvl="0">
      <w:start w:val="0"/>
      <w:numFmt w:val="bullet"/>
      <w:lvlText w:val=""/>
      <w:lvlJc w:val="left"/>
      <w:pPr>
        <w:ind w:left="281" w:hanging="142"/>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501" w:hanging="142"/>
      </w:pPr>
      <w:rPr>
        <w:rFonts w:hint="default"/>
        <w:lang w:val="en-au" w:eastAsia="en-US" w:bidi="ar-SA"/>
      </w:rPr>
    </w:lvl>
    <w:lvl w:ilvl="2">
      <w:start w:val="0"/>
      <w:numFmt w:val="bullet"/>
      <w:lvlText w:val="•"/>
      <w:lvlJc w:val="left"/>
      <w:pPr>
        <w:ind w:left="722" w:hanging="142"/>
      </w:pPr>
      <w:rPr>
        <w:rFonts w:hint="default"/>
        <w:lang w:val="en-au" w:eastAsia="en-US" w:bidi="ar-SA"/>
      </w:rPr>
    </w:lvl>
    <w:lvl w:ilvl="3">
      <w:start w:val="0"/>
      <w:numFmt w:val="bullet"/>
      <w:lvlText w:val="•"/>
      <w:lvlJc w:val="left"/>
      <w:pPr>
        <w:ind w:left="943" w:hanging="142"/>
      </w:pPr>
      <w:rPr>
        <w:rFonts w:hint="default"/>
        <w:lang w:val="en-au" w:eastAsia="en-US" w:bidi="ar-SA"/>
      </w:rPr>
    </w:lvl>
    <w:lvl w:ilvl="4">
      <w:start w:val="0"/>
      <w:numFmt w:val="bullet"/>
      <w:lvlText w:val="•"/>
      <w:lvlJc w:val="left"/>
      <w:pPr>
        <w:ind w:left="1164" w:hanging="142"/>
      </w:pPr>
      <w:rPr>
        <w:rFonts w:hint="default"/>
        <w:lang w:val="en-au" w:eastAsia="en-US" w:bidi="ar-SA"/>
      </w:rPr>
    </w:lvl>
    <w:lvl w:ilvl="5">
      <w:start w:val="0"/>
      <w:numFmt w:val="bullet"/>
      <w:lvlText w:val="•"/>
      <w:lvlJc w:val="left"/>
      <w:pPr>
        <w:ind w:left="1386" w:hanging="142"/>
      </w:pPr>
      <w:rPr>
        <w:rFonts w:hint="default"/>
        <w:lang w:val="en-au" w:eastAsia="en-US" w:bidi="ar-SA"/>
      </w:rPr>
    </w:lvl>
    <w:lvl w:ilvl="6">
      <w:start w:val="0"/>
      <w:numFmt w:val="bullet"/>
      <w:lvlText w:val="•"/>
      <w:lvlJc w:val="left"/>
      <w:pPr>
        <w:ind w:left="1607" w:hanging="142"/>
      </w:pPr>
      <w:rPr>
        <w:rFonts w:hint="default"/>
        <w:lang w:val="en-au" w:eastAsia="en-US" w:bidi="ar-SA"/>
      </w:rPr>
    </w:lvl>
    <w:lvl w:ilvl="7">
      <w:start w:val="0"/>
      <w:numFmt w:val="bullet"/>
      <w:lvlText w:val="•"/>
      <w:lvlJc w:val="left"/>
      <w:pPr>
        <w:ind w:left="1828" w:hanging="142"/>
      </w:pPr>
      <w:rPr>
        <w:rFonts w:hint="default"/>
        <w:lang w:val="en-au" w:eastAsia="en-US" w:bidi="ar-SA"/>
      </w:rPr>
    </w:lvl>
    <w:lvl w:ilvl="8">
      <w:start w:val="0"/>
      <w:numFmt w:val="bullet"/>
      <w:lvlText w:val="•"/>
      <w:lvlJc w:val="left"/>
      <w:pPr>
        <w:ind w:left="2049" w:hanging="142"/>
      </w:pPr>
      <w:rPr>
        <w:rFonts w:hint="default"/>
        <w:lang w:val="en-au" w:eastAsia="en-US" w:bidi="ar-SA"/>
      </w:rPr>
    </w:lvl>
  </w:abstractNum>
  <w:abstractNum w:abstractNumId="28">
    <w:multiLevelType w:val="hybridMultilevel"/>
    <w:lvl w:ilvl="0">
      <w:start w:val="0"/>
      <w:numFmt w:val="bullet"/>
      <w:lvlText w:val=""/>
      <w:lvlJc w:val="left"/>
      <w:pPr>
        <w:ind w:left="281" w:hanging="142"/>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501" w:hanging="142"/>
      </w:pPr>
      <w:rPr>
        <w:rFonts w:hint="default"/>
        <w:lang w:val="en-au" w:eastAsia="en-US" w:bidi="ar-SA"/>
      </w:rPr>
    </w:lvl>
    <w:lvl w:ilvl="2">
      <w:start w:val="0"/>
      <w:numFmt w:val="bullet"/>
      <w:lvlText w:val="•"/>
      <w:lvlJc w:val="left"/>
      <w:pPr>
        <w:ind w:left="722" w:hanging="142"/>
      </w:pPr>
      <w:rPr>
        <w:rFonts w:hint="default"/>
        <w:lang w:val="en-au" w:eastAsia="en-US" w:bidi="ar-SA"/>
      </w:rPr>
    </w:lvl>
    <w:lvl w:ilvl="3">
      <w:start w:val="0"/>
      <w:numFmt w:val="bullet"/>
      <w:lvlText w:val="•"/>
      <w:lvlJc w:val="left"/>
      <w:pPr>
        <w:ind w:left="943" w:hanging="142"/>
      </w:pPr>
      <w:rPr>
        <w:rFonts w:hint="default"/>
        <w:lang w:val="en-au" w:eastAsia="en-US" w:bidi="ar-SA"/>
      </w:rPr>
    </w:lvl>
    <w:lvl w:ilvl="4">
      <w:start w:val="0"/>
      <w:numFmt w:val="bullet"/>
      <w:lvlText w:val="•"/>
      <w:lvlJc w:val="left"/>
      <w:pPr>
        <w:ind w:left="1164" w:hanging="142"/>
      </w:pPr>
      <w:rPr>
        <w:rFonts w:hint="default"/>
        <w:lang w:val="en-au" w:eastAsia="en-US" w:bidi="ar-SA"/>
      </w:rPr>
    </w:lvl>
    <w:lvl w:ilvl="5">
      <w:start w:val="0"/>
      <w:numFmt w:val="bullet"/>
      <w:lvlText w:val="•"/>
      <w:lvlJc w:val="left"/>
      <w:pPr>
        <w:ind w:left="1386" w:hanging="142"/>
      </w:pPr>
      <w:rPr>
        <w:rFonts w:hint="default"/>
        <w:lang w:val="en-au" w:eastAsia="en-US" w:bidi="ar-SA"/>
      </w:rPr>
    </w:lvl>
    <w:lvl w:ilvl="6">
      <w:start w:val="0"/>
      <w:numFmt w:val="bullet"/>
      <w:lvlText w:val="•"/>
      <w:lvlJc w:val="left"/>
      <w:pPr>
        <w:ind w:left="1607" w:hanging="142"/>
      </w:pPr>
      <w:rPr>
        <w:rFonts w:hint="default"/>
        <w:lang w:val="en-au" w:eastAsia="en-US" w:bidi="ar-SA"/>
      </w:rPr>
    </w:lvl>
    <w:lvl w:ilvl="7">
      <w:start w:val="0"/>
      <w:numFmt w:val="bullet"/>
      <w:lvlText w:val="•"/>
      <w:lvlJc w:val="left"/>
      <w:pPr>
        <w:ind w:left="1828" w:hanging="142"/>
      </w:pPr>
      <w:rPr>
        <w:rFonts w:hint="default"/>
        <w:lang w:val="en-au" w:eastAsia="en-US" w:bidi="ar-SA"/>
      </w:rPr>
    </w:lvl>
    <w:lvl w:ilvl="8">
      <w:start w:val="0"/>
      <w:numFmt w:val="bullet"/>
      <w:lvlText w:val="•"/>
      <w:lvlJc w:val="left"/>
      <w:pPr>
        <w:ind w:left="2049" w:hanging="142"/>
      </w:pPr>
      <w:rPr>
        <w:rFonts w:hint="default"/>
        <w:lang w:val="en-au" w:eastAsia="en-US" w:bidi="ar-SA"/>
      </w:rPr>
    </w:lvl>
  </w:abstractNum>
  <w:abstractNum w:abstractNumId="27">
    <w:multiLevelType w:val="hybridMultilevel"/>
    <w:lvl w:ilvl="0">
      <w:start w:val="0"/>
      <w:numFmt w:val="bullet"/>
      <w:lvlText w:val=""/>
      <w:lvlJc w:val="left"/>
      <w:pPr>
        <w:ind w:left="281" w:hanging="142"/>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501" w:hanging="142"/>
      </w:pPr>
      <w:rPr>
        <w:rFonts w:hint="default"/>
        <w:lang w:val="en-au" w:eastAsia="en-US" w:bidi="ar-SA"/>
      </w:rPr>
    </w:lvl>
    <w:lvl w:ilvl="2">
      <w:start w:val="0"/>
      <w:numFmt w:val="bullet"/>
      <w:lvlText w:val="•"/>
      <w:lvlJc w:val="left"/>
      <w:pPr>
        <w:ind w:left="722" w:hanging="142"/>
      </w:pPr>
      <w:rPr>
        <w:rFonts w:hint="default"/>
        <w:lang w:val="en-au" w:eastAsia="en-US" w:bidi="ar-SA"/>
      </w:rPr>
    </w:lvl>
    <w:lvl w:ilvl="3">
      <w:start w:val="0"/>
      <w:numFmt w:val="bullet"/>
      <w:lvlText w:val="•"/>
      <w:lvlJc w:val="left"/>
      <w:pPr>
        <w:ind w:left="943" w:hanging="142"/>
      </w:pPr>
      <w:rPr>
        <w:rFonts w:hint="default"/>
        <w:lang w:val="en-au" w:eastAsia="en-US" w:bidi="ar-SA"/>
      </w:rPr>
    </w:lvl>
    <w:lvl w:ilvl="4">
      <w:start w:val="0"/>
      <w:numFmt w:val="bullet"/>
      <w:lvlText w:val="•"/>
      <w:lvlJc w:val="left"/>
      <w:pPr>
        <w:ind w:left="1164" w:hanging="142"/>
      </w:pPr>
      <w:rPr>
        <w:rFonts w:hint="default"/>
        <w:lang w:val="en-au" w:eastAsia="en-US" w:bidi="ar-SA"/>
      </w:rPr>
    </w:lvl>
    <w:lvl w:ilvl="5">
      <w:start w:val="0"/>
      <w:numFmt w:val="bullet"/>
      <w:lvlText w:val="•"/>
      <w:lvlJc w:val="left"/>
      <w:pPr>
        <w:ind w:left="1386" w:hanging="142"/>
      </w:pPr>
      <w:rPr>
        <w:rFonts w:hint="default"/>
        <w:lang w:val="en-au" w:eastAsia="en-US" w:bidi="ar-SA"/>
      </w:rPr>
    </w:lvl>
    <w:lvl w:ilvl="6">
      <w:start w:val="0"/>
      <w:numFmt w:val="bullet"/>
      <w:lvlText w:val="•"/>
      <w:lvlJc w:val="left"/>
      <w:pPr>
        <w:ind w:left="1607" w:hanging="142"/>
      </w:pPr>
      <w:rPr>
        <w:rFonts w:hint="default"/>
        <w:lang w:val="en-au" w:eastAsia="en-US" w:bidi="ar-SA"/>
      </w:rPr>
    </w:lvl>
    <w:lvl w:ilvl="7">
      <w:start w:val="0"/>
      <w:numFmt w:val="bullet"/>
      <w:lvlText w:val="•"/>
      <w:lvlJc w:val="left"/>
      <w:pPr>
        <w:ind w:left="1828" w:hanging="142"/>
      </w:pPr>
      <w:rPr>
        <w:rFonts w:hint="default"/>
        <w:lang w:val="en-au" w:eastAsia="en-US" w:bidi="ar-SA"/>
      </w:rPr>
    </w:lvl>
    <w:lvl w:ilvl="8">
      <w:start w:val="0"/>
      <w:numFmt w:val="bullet"/>
      <w:lvlText w:val="•"/>
      <w:lvlJc w:val="left"/>
      <w:pPr>
        <w:ind w:left="2049" w:hanging="142"/>
      </w:pPr>
      <w:rPr>
        <w:rFonts w:hint="default"/>
        <w:lang w:val="en-au" w:eastAsia="en-US" w:bidi="ar-SA"/>
      </w:rPr>
    </w:lvl>
  </w:abstractNum>
  <w:abstractNum w:abstractNumId="26">
    <w:multiLevelType w:val="hybridMultilevel"/>
    <w:lvl w:ilvl="0">
      <w:start w:val="0"/>
      <w:numFmt w:val="bullet"/>
      <w:lvlText w:val=""/>
      <w:lvlJc w:val="left"/>
      <w:pPr>
        <w:ind w:left="281" w:hanging="142"/>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501" w:hanging="142"/>
      </w:pPr>
      <w:rPr>
        <w:rFonts w:hint="default"/>
        <w:lang w:val="en-au" w:eastAsia="en-US" w:bidi="ar-SA"/>
      </w:rPr>
    </w:lvl>
    <w:lvl w:ilvl="2">
      <w:start w:val="0"/>
      <w:numFmt w:val="bullet"/>
      <w:lvlText w:val="•"/>
      <w:lvlJc w:val="left"/>
      <w:pPr>
        <w:ind w:left="722" w:hanging="142"/>
      </w:pPr>
      <w:rPr>
        <w:rFonts w:hint="default"/>
        <w:lang w:val="en-au" w:eastAsia="en-US" w:bidi="ar-SA"/>
      </w:rPr>
    </w:lvl>
    <w:lvl w:ilvl="3">
      <w:start w:val="0"/>
      <w:numFmt w:val="bullet"/>
      <w:lvlText w:val="•"/>
      <w:lvlJc w:val="left"/>
      <w:pPr>
        <w:ind w:left="943" w:hanging="142"/>
      </w:pPr>
      <w:rPr>
        <w:rFonts w:hint="default"/>
        <w:lang w:val="en-au" w:eastAsia="en-US" w:bidi="ar-SA"/>
      </w:rPr>
    </w:lvl>
    <w:lvl w:ilvl="4">
      <w:start w:val="0"/>
      <w:numFmt w:val="bullet"/>
      <w:lvlText w:val="•"/>
      <w:lvlJc w:val="left"/>
      <w:pPr>
        <w:ind w:left="1164" w:hanging="142"/>
      </w:pPr>
      <w:rPr>
        <w:rFonts w:hint="default"/>
        <w:lang w:val="en-au" w:eastAsia="en-US" w:bidi="ar-SA"/>
      </w:rPr>
    </w:lvl>
    <w:lvl w:ilvl="5">
      <w:start w:val="0"/>
      <w:numFmt w:val="bullet"/>
      <w:lvlText w:val="•"/>
      <w:lvlJc w:val="left"/>
      <w:pPr>
        <w:ind w:left="1386" w:hanging="142"/>
      </w:pPr>
      <w:rPr>
        <w:rFonts w:hint="default"/>
        <w:lang w:val="en-au" w:eastAsia="en-US" w:bidi="ar-SA"/>
      </w:rPr>
    </w:lvl>
    <w:lvl w:ilvl="6">
      <w:start w:val="0"/>
      <w:numFmt w:val="bullet"/>
      <w:lvlText w:val="•"/>
      <w:lvlJc w:val="left"/>
      <w:pPr>
        <w:ind w:left="1607" w:hanging="142"/>
      </w:pPr>
      <w:rPr>
        <w:rFonts w:hint="default"/>
        <w:lang w:val="en-au" w:eastAsia="en-US" w:bidi="ar-SA"/>
      </w:rPr>
    </w:lvl>
    <w:lvl w:ilvl="7">
      <w:start w:val="0"/>
      <w:numFmt w:val="bullet"/>
      <w:lvlText w:val="•"/>
      <w:lvlJc w:val="left"/>
      <w:pPr>
        <w:ind w:left="1828" w:hanging="142"/>
      </w:pPr>
      <w:rPr>
        <w:rFonts w:hint="default"/>
        <w:lang w:val="en-au" w:eastAsia="en-US" w:bidi="ar-SA"/>
      </w:rPr>
    </w:lvl>
    <w:lvl w:ilvl="8">
      <w:start w:val="0"/>
      <w:numFmt w:val="bullet"/>
      <w:lvlText w:val="•"/>
      <w:lvlJc w:val="left"/>
      <w:pPr>
        <w:ind w:left="2049" w:hanging="142"/>
      </w:pPr>
      <w:rPr>
        <w:rFonts w:hint="default"/>
        <w:lang w:val="en-au" w:eastAsia="en-US" w:bidi="ar-SA"/>
      </w:rPr>
    </w:lvl>
  </w:abstractNum>
  <w:abstractNum w:abstractNumId="25">
    <w:multiLevelType w:val="hybridMultilevel"/>
    <w:lvl w:ilvl="0">
      <w:start w:val="0"/>
      <w:numFmt w:val="bullet"/>
      <w:lvlText w:val=""/>
      <w:lvlJc w:val="left"/>
      <w:pPr>
        <w:ind w:left="465" w:hanging="360"/>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1045" w:hanging="360"/>
      </w:pPr>
      <w:rPr>
        <w:rFonts w:hint="default"/>
        <w:lang w:val="en-au" w:eastAsia="en-US" w:bidi="ar-SA"/>
      </w:rPr>
    </w:lvl>
    <w:lvl w:ilvl="2">
      <w:start w:val="0"/>
      <w:numFmt w:val="bullet"/>
      <w:lvlText w:val="•"/>
      <w:lvlJc w:val="left"/>
      <w:pPr>
        <w:ind w:left="1631" w:hanging="360"/>
      </w:pPr>
      <w:rPr>
        <w:rFonts w:hint="default"/>
        <w:lang w:val="en-au" w:eastAsia="en-US" w:bidi="ar-SA"/>
      </w:rPr>
    </w:lvl>
    <w:lvl w:ilvl="3">
      <w:start w:val="0"/>
      <w:numFmt w:val="bullet"/>
      <w:lvlText w:val="•"/>
      <w:lvlJc w:val="left"/>
      <w:pPr>
        <w:ind w:left="2217" w:hanging="360"/>
      </w:pPr>
      <w:rPr>
        <w:rFonts w:hint="default"/>
        <w:lang w:val="en-au" w:eastAsia="en-US" w:bidi="ar-SA"/>
      </w:rPr>
    </w:lvl>
    <w:lvl w:ilvl="4">
      <w:start w:val="0"/>
      <w:numFmt w:val="bullet"/>
      <w:lvlText w:val="•"/>
      <w:lvlJc w:val="left"/>
      <w:pPr>
        <w:ind w:left="2802" w:hanging="360"/>
      </w:pPr>
      <w:rPr>
        <w:rFonts w:hint="default"/>
        <w:lang w:val="en-au" w:eastAsia="en-US" w:bidi="ar-SA"/>
      </w:rPr>
    </w:lvl>
    <w:lvl w:ilvl="5">
      <w:start w:val="0"/>
      <w:numFmt w:val="bullet"/>
      <w:lvlText w:val="•"/>
      <w:lvlJc w:val="left"/>
      <w:pPr>
        <w:ind w:left="3388" w:hanging="360"/>
      </w:pPr>
      <w:rPr>
        <w:rFonts w:hint="default"/>
        <w:lang w:val="en-au" w:eastAsia="en-US" w:bidi="ar-SA"/>
      </w:rPr>
    </w:lvl>
    <w:lvl w:ilvl="6">
      <w:start w:val="0"/>
      <w:numFmt w:val="bullet"/>
      <w:lvlText w:val="•"/>
      <w:lvlJc w:val="left"/>
      <w:pPr>
        <w:ind w:left="3974" w:hanging="360"/>
      </w:pPr>
      <w:rPr>
        <w:rFonts w:hint="default"/>
        <w:lang w:val="en-au" w:eastAsia="en-US" w:bidi="ar-SA"/>
      </w:rPr>
    </w:lvl>
    <w:lvl w:ilvl="7">
      <w:start w:val="0"/>
      <w:numFmt w:val="bullet"/>
      <w:lvlText w:val="•"/>
      <w:lvlJc w:val="left"/>
      <w:pPr>
        <w:ind w:left="4559" w:hanging="360"/>
      </w:pPr>
      <w:rPr>
        <w:rFonts w:hint="default"/>
        <w:lang w:val="en-au" w:eastAsia="en-US" w:bidi="ar-SA"/>
      </w:rPr>
    </w:lvl>
    <w:lvl w:ilvl="8">
      <w:start w:val="0"/>
      <w:numFmt w:val="bullet"/>
      <w:lvlText w:val="•"/>
      <w:lvlJc w:val="left"/>
      <w:pPr>
        <w:ind w:left="5145" w:hanging="360"/>
      </w:pPr>
      <w:rPr>
        <w:rFonts w:hint="default"/>
        <w:lang w:val="en-au" w:eastAsia="en-US" w:bidi="ar-SA"/>
      </w:rPr>
    </w:lvl>
  </w:abstractNum>
  <w:abstractNum w:abstractNumId="24">
    <w:multiLevelType w:val="hybridMultilevel"/>
    <w:lvl w:ilvl="0">
      <w:start w:val="0"/>
      <w:numFmt w:val="bullet"/>
      <w:lvlText w:val=""/>
      <w:lvlJc w:val="left"/>
      <w:pPr>
        <w:ind w:left="465" w:hanging="360"/>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1045" w:hanging="360"/>
      </w:pPr>
      <w:rPr>
        <w:rFonts w:hint="default"/>
        <w:lang w:val="en-au" w:eastAsia="en-US" w:bidi="ar-SA"/>
      </w:rPr>
    </w:lvl>
    <w:lvl w:ilvl="2">
      <w:start w:val="0"/>
      <w:numFmt w:val="bullet"/>
      <w:lvlText w:val="•"/>
      <w:lvlJc w:val="left"/>
      <w:pPr>
        <w:ind w:left="1631" w:hanging="360"/>
      </w:pPr>
      <w:rPr>
        <w:rFonts w:hint="default"/>
        <w:lang w:val="en-au" w:eastAsia="en-US" w:bidi="ar-SA"/>
      </w:rPr>
    </w:lvl>
    <w:lvl w:ilvl="3">
      <w:start w:val="0"/>
      <w:numFmt w:val="bullet"/>
      <w:lvlText w:val="•"/>
      <w:lvlJc w:val="left"/>
      <w:pPr>
        <w:ind w:left="2217" w:hanging="360"/>
      </w:pPr>
      <w:rPr>
        <w:rFonts w:hint="default"/>
        <w:lang w:val="en-au" w:eastAsia="en-US" w:bidi="ar-SA"/>
      </w:rPr>
    </w:lvl>
    <w:lvl w:ilvl="4">
      <w:start w:val="0"/>
      <w:numFmt w:val="bullet"/>
      <w:lvlText w:val="•"/>
      <w:lvlJc w:val="left"/>
      <w:pPr>
        <w:ind w:left="2802" w:hanging="360"/>
      </w:pPr>
      <w:rPr>
        <w:rFonts w:hint="default"/>
        <w:lang w:val="en-au" w:eastAsia="en-US" w:bidi="ar-SA"/>
      </w:rPr>
    </w:lvl>
    <w:lvl w:ilvl="5">
      <w:start w:val="0"/>
      <w:numFmt w:val="bullet"/>
      <w:lvlText w:val="•"/>
      <w:lvlJc w:val="left"/>
      <w:pPr>
        <w:ind w:left="3388" w:hanging="360"/>
      </w:pPr>
      <w:rPr>
        <w:rFonts w:hint="default"/>
        <w:lang w:val="en-au" w:eastAsia="en-US" w:bidi="ar-SA"/>
      </w:rPr>
    </w:lvl>
    <w:lvl w:ilvl="6">
      <w:start w:val="0"/>
      <w:numFmt w:val="bullet"/>
      <w:lvlText w:val="•"/>
      <w:lvlJc w:val="left"/>
      <w:pPr>
        <w:ind w:left="3974" w:hanging="360"/>
      </w:pPr>
      <w:rPr>
        <w:rFonts w:hint="default"/>
        <w:lang w:val="en-au" w:eastAsia="en-US" w:bidi="ar-SA"/>
      </w:rPr>
    </w:lvl>
    <w:lvl w:ilvl="7">
      <w:start w:val="0"/>
      <w:numFmt w:val="bullet"/>
      <w:lvlText w:val="•"/>
      <w:lvlJc w:val="left"/>
      <w:pPr>
        <w:ind w:left="4559" w:hanging="360"/>
      </w:pPr>
      <w:rPr>
        <w:rFonts w:hint="default"/>
        <w:lang w:val="en-au" w:eastAsia="en-US" w:bidi="ar-SA"/>
      </w:rPr>
    </w:lvl>
    <w:lvl w:ilvl="8">
      <w:start w:val="0"/>
      <w:numFmt w:val="bullet"/>
      <w:lvlText w:val="•"/>
      <w:lvlJc w:val="left"/>
      <w:pPr>
        <w:ind w:left="5145" w:hanging="360"/>
      </w:pPr>
      <w:rPr>
        <w:rFonts w:hint="default"/>
        <w:lang w:val="en-au" w:eastAsia="en-US" w:bidi="ar-SA"/>
      </w:rPr>
    </w:lvl>
  </w:abstractNum>
  <w:abstractNum w:abstractNumId="23">
    <w:multiLevelType w:val="hybridMultilevel"/>
    <w:lvl w:ilvl="0">
      <w:start w:val="0"/>
      <w:numFmt w:val="bullet"/>
      <w:lvlText w:val=""/>
      <w:lvlJc w:val="left"/>
      <w:pPr>
        <w:ind w:left="465" w:hanging="360"/>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1045" w:hanging="360"/>
      </w:pPr>
      <w:rPr>
        <w:rFonts w:hint="default"/>
        <w:lang w:val="en-au" w:eastAsia="en-US" w:bidi="ar-SA"/>
      </w:rPr>
    </w:lvl>
    <w:lvl w:ilvl="2">
      <w:start w:val="0"/>
      <w:numFmt w:val="bullet"/>
      <w:lvlText w:val="•"/>
      <w:lvlJc w:val="left"/>
      <w:pPr>
        <w:ind w:left="1631" w:hanging="360"/>
      </w:pPr>
      <w:rPr>
        <w:rFonts w:hint="default"/>
        <w:lang w:val="en-au" w:eastAsia="en-US" w:bidi="ar-SA"/>
      </w:rPr>
    </w:lvl>
    <w:lvl w:ilvl="3">
      <w:start w:val="0"/>
      <w:numFmt w:val="bullet"/>
      <w:lvlText w:val="•"/>
      <w:lvlJc w:val="left"/>
      <w:pPr>
        <w:ind w:left="2217" w:hanging="360"/>
      </w:pPr>
      <w:rPr>
        <w:rFonts w:hint="default"/>
        <w:lang w:val="en-au" w:eastAsia="en-US" w:bidi="ar-SA"/>
      </w:rPr>
    </w:lvl>
    <w:lvl w:ilvl="4">
      <w:start w:val="0"/>
      <w:numFmt w:val="bullet"/>
      <w:lvlText w:val="•"/>
      <w:lvlJc w:val="left"/>
      <w:pPr>
        <w:ind w:left="2802" w:hanging="360"/>
      </w:pPr>
      <w:rPr>
        <w:rFonts w:hint="default"/>
        <w:lang w:val="en-au" w:eastAsia="en-US" w:bidi="ar-SA"/>
      </w:rPr>
    </w:lvl>
    <w:lvl w:ilvl="5">
      <w:start w:val="0"/>
      <w:numFmt w:val="bullet"/>
      <w:lvlText w:val="•"/>
      <w:lvlJc w:val="left"/>
      <w:pPr>
        <w:ind w:left="3388" w:hanging="360"/>
      </w:pPr>
      <w:rPr>
        <w:rFonts w:hint="default"/>
        <w:lang w:val="en-au" w:eastAsia="en-US" w:bidi="ar-SA"/>
      </w:rPr>
    </w:lvl>
    <w:lvl w:ilvl="6">
      <w:start w:val="0"/>
      <w:numFmt w:val="bullet"/>
      <w:lvlText w:val="•"/>
      <w:lvlJc w:val="left"/>
      <w:pPr>
        <w:ind w:left="3974" w:hanging="360"/>
      </w:pPr>
      <w:rPr>
        <w:rFonts w:hint="default"/>
        <w:lang w:val="en-au" w:eastAsia="en-US" w:bidi="ar-SA"/>
      </w:rPr>
    </w:lvl>
    <w:lvl w:ilvl="7">
      <w:start w:val="0"/>
      <w:numFmt w:val="bullet"/>
      <w:lvlText w:val="•"/>
      <w:lvlJc w:val="left"/>
      <w:pPr>
        <w:ind w:left="4559" w:hanging="360"/>
      </w:pPr>
      <w:rPr>
        <w:rFonts w:hint="default"/>
        <w:lang w:val="en-au" w:eastAsia="en-US" w:bidi="ar-SA"/>
      </w:rPr>
    </w:lvl>
    <w:lvl w:ilvl="8">
      <w:start w:val="0"/>
      <w:numFmt w:val="bullet"/>
      <w:lvlText w:val="•"/>
      <w:lvlJc w:val="left"/>
      <w:pPr>
        <w:ind w:left="5145" w:hanging="360"/>
      </w:pPr>
      <w:rPr>
        <w:rFonts w:hint="default"/>
        <w:lang w:val="en-au" w:eastAsia="en-US" w:bidi="ar-SA"/>
      </w:rPr>
    </w:lvl>
  </w:abstractNum>
  <w:abstractNum w:abstractNumId="22">
    <w:multiLevelType w:val="hybridMultilevel"/>
    <w:lvl w:ilvl="0">
      <w:start w:val="0"/>
      <w:numFmt w:val="bullet"/>
      <w:lvlText w:val=""/>
      <w:lvlJc w:val="left"/>
      <w:pPr>
        <w:ind w:left="465" w:hanging="360"/>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1045" w:hanging="360"/>
      </w:pPr>
      <w:rPr>
        <w:rFonts w:hint="default"/>
        <w:lang w:val="en-au" w:eastAsia="en-US" w:bidi="ar-SA"/>
      </w:rPr>
    </w:lvl>
    <w:lvl w:ilvl="2">
      <w:start w:val="0"/>
      <w:numFmt w:val="bullet"/>
      <w:lvlText w:val="•"/>
      <w:lvlJc w:val="left"/>
      <w:pPr>
        <w:ind w:left="1631" w:hanging="360"/>
      </w:pPr>
      <w:rPr>
        <w:rFonts w:hint="default"/>
        <w:lang w:val="en-au" w:eastAsia="en-US" w:bidi="ar-SA"/>
      </w:rPr>
    </w:lvl>
    <w:lvl w:ilvl="3">
      <w:start w:val="0"/>
      <w:numFmt w:val="bullet"/>
      <w:lvlText w:val="•"/>
      <w:lvlJc w:val="left"/>
      <w:pPr>
        <w:ind w:left="2217" w:hanging="360"/>
      </w:pPr>
      <w:rPr>
        <w:rFonts w:hint="default"/>
        <w:lang w:val="en-au" w:eastAsia="en-US" w:bidi="ar-SA"/>
      </w:rPr>
    </w:lvl>
    <w:lvl w:ilvl="4">
      <w:start w:val="0"/>
      <w:numFmt w:val="bullet"/>
      <w:lvlText w:val="•"/>
      <w:lvlJc w:val="left"/>
      <w:pPr>
        <w:ind w:left="2802" w:hanging="360"/>
      </w:pPr>
      <w:rPr>
        <w:rFonts w:hint="default"/>
        <w:lang w:val="en-au" w:eastAsia="en-US" w:bidi="ar-SA"/>
      </w:rPr>
    </w:lvl>
    <w:lvl w:ilvl="5">
      <w:start w:val="0"/>
      <w:numFmt w:val="bullet"/>
      <w:lvlText w:val="•"/>
      <w:lvlJc w:val="left"/>
      <w:pPr>
        <w:ind w:left="3388" w:hanging="360"/>
      </w:pPr>
      <w:rPr>
        <w:rFonts w:hint="default"/>
        <w:lang w:val="en-au" w:eastAsia="en-US" w:bidi="ar-SA"/>
      </w:rPr>
    </w:lvl>
    <w:lvl w:ilvl="6">
      <w:start w:val="0"/>
      <w:numFmt w:val="bullet"/>
      <w:lvlText w:val="•"/>
      <w:lvlJc w:val="left"/>
      <w:pPr>
        <w:ind w:left="3974" w:hanging="360"/>
      </w:pPr>
      <w:rPr>
        <w:rFonts w:hint="default"/>
        <w:lang w:val="en-au" w:eastAsia="en-US" w:bidi="ar-SA"/>
      </w:rPr>
    </w:lvl>
    <w:lvl w:ilvl="7">
      <w:start w:val="0"/>
      <w:numFmt w:val="bullet"/>
      <w:lvlText w:val="•"/>
      <w:lvlJc w:val="left"/>
      <w:pPr>
        <w:ind w:left="4559" w:hanging="360"/>
      </w:pPr>
      <w:rPr>
        <w:rFonts w:hint="default"/>
        <w:lang w:val="en-au" w:eastAsia="en-US" w:bidi="ar-SA"/>
      </w:rPr>
    </w:lvl>
    <w:lvl w:ilvl="8">
      <w:start w:val="0"/>
      <w:numFmt w:val="bullet"/>
      <w:lvlText w:val="•"/>
      <w:lvlJc w:val="left"/>
      <w:pPr>
        <w:ind w:left="5145" w:hanging="360"/>
      </w:pPr>
      <w:rPr>
        <w:rFonts w:hint="default"/>
        <w:lang w:val="en-au" w:eastAsia="en-US" w:bidi="ar-SA"/>
      </w:rPr>
    </w:lvl>
  </w:abstractNum>
  <w:abstractNum w:abstractNumId="21">
    <w:multiLevelType w:val="hybridMultilevel"/>
    <w:lvl w:ilvl="0">
      <w:start w:val="0"/>
      <w:numFmt w:val="bullet"/>
      <w:lvlText w:val=""/>
      <w:lvlJc w:val="left"/>
      <w:pPr>
        <w:ind w:left="465" w:hanging="360"/>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1045" w:hanging="360"/>
      </w:pPr>
      <w:rPr>
        <w:rFonts w:hint="default"/>
        <w:lang w:val="en-au" w:eastAsia="en-US" w:bidi="ar-SA"/>
      </w:rPr>
    </w:lvl>
    <w:lvl w:ilvl="2">
      <w:start w:val="0"/>
      <w:numFmt w:val="bullet"/>
      <w:lvlText w:val="•"/>
      <w:lvlJc w:val="left"/>
      <w:pPr>
        <w:ind w:left="1631" w:hanging="360"/>
      </w:pPr>
      <w:rPr>
        <w:rFonts w:hint="default"/>
        <w:lang w:val="en-au" w:eastAsia="en-US" w:bidi="ar-SA"/>
      </w:rPr>
    </w:lvl>
    <w:lvl w:ilvl="3">
      <w:start w:val="0"/>
      <w:numFmt w:val="bullet"/>
      <w:lvlText w:val="•"/>
      <w:lvlJc w:val="left"/>
      <w:pPr>
        <w:ind w:left="2217" w:hanging="360"/>
      </w:pPr>
      <w:rPr>
        <w:rFonts w:hint="default"/>
        <w:lang w:val="en-au" w:eastAsia="en-US" w:bidi="ar-SA"/>
      </w:rPr>
    </w:lvl>
    <w:lvl w:ilvl="4">
      <w:start w:val="0"/>
      <w:numFmt w:val="bullet"/>
      <w:lvlText w:val="•"/>
      <w:lvlJc w:val="left"/>
      <w:pPr>
        <w:ind w:left="2802" w:hanging="360"/>
      </w:pPr>
      <w:rPr>
        <w:rFonts w:hint="default"/>
        <w:lang w:val="en-au" w:eastAsia="en-US" w:bidi="ar-SA"/>
      </w:rPr>
    </w:lvl>
    <w:lvl w:ilvl="5">
      <w:start w:val="0"/>
      <w:numFmt w:val="bullet"/>
      <w:lvlText w:val="•"/>
      <w:lvlJc w:val="left"/>
      <w:pPr>
        <w:ind w:left="3388" w:hanging="360"/>
      </w:pPr>
      <w:rPr>
        <w:rFonts w:hint="default"/>
        <w:lang w:val="en-au" w:eastAsia="en-US" w:bidi="ar-SA"/>
      </w:rPr>
    </w:lvl>
    <w:lvl w:ilvl="6">
      <w:start w:val="0"/>
      <w:numFmt w:val="bullet"/>
      <w:lvlText w:val="•"/>
      <w:lvlJc w:val="left"/>
      <w:pPr>
        <w:ind w:left="3974" w:hanging="360"/>
      </w:pPr>
      <w:rPr>
        <w:rFonts w:hint="default"/>
        <w:lang w:val="en-au" w:eastAsia="en-US" w:bidi="ar-SA"/>
      </w:rPr>
    </w:lvl>
    <w:lvl w:ilvl="7">
      <w:start w:val="0"/>
      <w:numFmt w:val="bullet"/>
      <w:lvlText w:val="•"/>
      <w:lvlJc w:val="left"/>
      <w:pPr>
        <w:ind w:left="4559" w:hanging="360"/>
      </w:pPr>
      <w:rPr>
        <w:rFonts w:hint="default"/>
        <w:lang w:val="en-au" w:eastAsia="en-US" w:bidi="ar-SA"/>
      </w:rPr>
    </w:lvl>
    <w:lvl w:ilvl="8">
      <w:start w:val="0"/>
      <w:numFmt w:val="bullet"/>
      <w:lvlText w:val="•"/>
      <w:lvlJc w:val="left"/>
      <w:pPr>
        <w:ind w:left="5145" w:hanging="360"/>
      </w:pPr>
      <w:rPr>
        <w:rFonts w:hint="default"/>
        <w:lang w:val="en-au" w:eastAsia="en-US" w:bidi="ar-SA"/>
      </w:rPr>
    </w:lvl>
  </w:abstractNum>
  <w:abstractNum w:abstractNumId="20">
    <w:multiLevelType w:val="hybridMultilevel"/>
    <w:lvl w:ilvl="0">
      <w:start w:val="0"/>
      <w:numFmt w:val="bullet"/>
      <w:lvlText w:val=""/>
      <w:lvlJc w:val="left"/>
      <w:pPr>
        <w:ind w:left="465" w:hanging="360"/>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1045" w:hanging="360"/>
      </w:pPr>
      <w:rPr>
        <w:rFonts w:hint="default"/>
        <w:lang w:val="en-au" w:eastAsia="en-US" w:bidi="ar-SA"/>
      </w:rPr>
    </w:lvl>
    <w:lvl w:ilvl="2">
      <w:start w:val="0"/>
      <w:numFmt w:val="bullet"/>
      <w:lvlText w:val="•"/>
      <w:lvlJc w:val="left"/>
      <w:pPr>
        <w:ind w:left="1631" w:hanging="360"/>
      </w:pPr>
      <w:rPr>
        <w:rFonts w:hint="default"/>
        <w:lang w:val="en-au" w:eastAsia="en-US" w:bidi="ar-SA"/>
      </w:rPr>
    </w:lvl>
    <w:lvl w:ilvl="3">
      <w:start w:val="0"/>
      <w:numFmt w:val="bullet"/>
      <w:lvlText w:val="•"/>
      <w:lvlJc w:val="left"/>
      <w:pPr>
        <w:ind w:left="2217" w:hanging="360"/>
      </w:pPr>
      <w:rPr>
        <w:rFonts w:hint="default"/>
        <w:lang w:val="en-au" w:eastAsia="en-US" w:bidi="ar-SA"/>
      </w:rPr>
    </w:lvl>
    <w:lvl w:ilvl="4">
      <w:start w:val="0"/>
      <w:numFmt w:val="bullet"/>
      <w:lvlText w:val="•"/>
      <w:lvlJc w:val="left"/>
      <w:pPr>
        <w:ind w:left="2802" w:hanging="360"/>
      </w:pPr>
      <w:rPr>
        <w:rFonts w:hint="default"/>
        <w:lang w:val="en-au" w:eastAsia="en-US" w:bidi="ar-SA"/>
      </w:rPr>
    </w:lvl>
    <w:lvl w:ilvl="5">
      <w:start w:val="0"/>
      <w:numFmt w:val="bullet"/>
      <w:lvlText w:val="•"/>
      <w:lvlJc w:val="left"/>
      <w:pPr>
        <w:ind w:left="3388" w:hanging="360"/>
      </w:pPr>
      <w:rPr>
        <w:rFonts w:hint="default"/>
        <w:lang w:val="en-au" w:eastAsia="en-US" w:bidi="ar-SA"/>
      </w:rPr>
    </w:lvl>
    <w:lvl w:ilvl="6">
      <w:start w:val="0"/>
      <w:numFmt w:val="bullet"/>
      <w:lvlText w:val="•"/>
      <w:lvlJc w:val="left"/>
      <w:pPr>
        <w:ind w:left="3974" w:hanging="360"/>
      </w:pPr>
      <w:rPr>
        <w:rFonts w:hint="default"/>
        <w:lang w:val="en-au" w:eastAsia="en-US" w:bidi="ar-SA"/>
      </w:rPr>
    </w:lvl>
    <w:lvl w:ilvl="7">
      <w:start w:val="0"/>
      <w:numFmt w:val="bullet"/>
      <w:lvlText w:val="•"/>
      <w:lvlJc w:val="left"/>
      <w:pPr>
        <w:ind w:left="4559" w:hanging="360"/>
      </w:pPr>
      <w:rPr>
        <w:rFonts w:hint="default"/>
        <w:lang w:val="en-au" w:eastAsia="en-US" w:bidi="ar-SA"/>
      </w:rPr>
    </w:lvl>
    <w:lvl w:ilvl="8">
      <w:start w:val="0"/>
      <w:numFmt w:val="bullet"/>
      <w:lvlText w:val="•"/>
      <w:lvlJc w:val="left"/>
      <w:pPr>
        <w:ind w:left="5145" w:hanging="360"/>
      </w:pPr>
      <w:rPr>
        <w:rFonts w:hint="default"/>
        <w:lang w:val="en-au" w:eastAsia="en-US" w:bidi="ar-SA"/>
      </w:rPr>
    </w:lvl>
  </w:abstractNum>
  <w:abstractNum w:abstractNumId="19">
    <w:multiLevelType w:val="hybridMultilevel"/>
    <w:lvl w:ilvl="0">
      <w:start w:val="0"/>
      <w:numFmt w:val="bullet"/>
      <w:lvlText w:val=""/>
      <w:lvlJc w:val="left"/>
      <w:pPr>
        <w:ind w:left="465" w:hanging="360"/>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1045" w:hanging="360"/>
      </w:pPr>
      <w:rPr>
        <w:rFonts w:hint="default"/>
        <w:lang w:val="en-au" w:eastAsia="en-US" w:bidi="ar-SA"/>
      </w:rPr>
    </w:lvl>
    <w:lvl w:ilvl="2">
      <w:start w:val="0"/>
      <w:numFmt w:val="bullet"/>
      <w:lvlText w:val="•"/>
      <w:lvlJc w:val="left"/>
      <w:pPr>
        <w:ind w:left="1631" w:hanging="360"/>
      </w:pPr>
      <w:rPr>
        <w:rFonts w:hint="default"/>
        <w:lang w:val="en-au" w:eastAsia="en-US" w:bidi="ar-SA"/>
      </w:rPr>
    </w:lvl>
    <w:lvl w:ilvl="3">
      <w:start w:val="0"/>
      <w:numFmt w:val="bullet"/>
      <w:lvlText w:val="•"/>
      <w:lvlJc w:val="left"/>
      <w:pPr>
        <w:ind w:left="2217" w:hanging="360"/>
      </w:pPr>
      <w:rPr>
        <w:rFonts w:hint="default"/>
        <w:lang w:val="en-au" w:eastAsia="en-US" w:bidi="ar-SA"/>
      </w:rPr>
    </w:lvl>
    <w:lvl w:ilvl="4">
      <w:start w:val="0"/>
      <w:numFmt w:val="bullet"/>
      <w:lvlText w:val="•"/>
      <w:lvlJc w:val="left"/>
      <w:pPr>
        <w:ind w:left="2802" w:hanging="360"/>
      </w:pPr>
      <w:rPr>
        <w:rFonts w:hint="default"/>
        <w:lang w:val="en-au" w:eastAsia="en-US" w:bidi="ar-SA"/>
      </w:rPr>
    </w:lvl>
    <w:lvl w:ilvl="5">
      <w:start w:val="0"/>
      <w:numFmt w:val="bullet"/>
      <w:lvlText w:val="•"/>
      <w:lvlJc w:val="left"/>
      <w:pPr>
        <w:ind w:left="3388" w:hanging="360"/>
      </w:pPr>
      <w:rPr>
        <w:rFonts w:hint="default"/>
        <w:lang w:val="en-au" w:eastAsia="en-US" w:bidi="ar-SA"/>
      </w:rPr>
    </w:lvl>
    <w:lvl w:ilvl="6">
      <w:start w:val="0"/>
      <w:numFmt w:val="bullet"/>
      <w:lvlText w:val="•"/>
      <w:lvlJc w:val="left"/>
      <w:pPr>
        <w:ind w:left="3974" w:hanging="360"/>
      </w:pPr>
      <w:rPr>
        <w:rFonts w:hint="default"/>
        <w:lang w:val="en-au" w:eastAsia="en-US" w:bidi="ar-SA"/>
      </w:rPr>
    </w:lvl>
    <w:lvl w:ilvl="7">
      <w:start w:val="0"/>
      <w:numFmt w:val="bullet"/>
      <w:lvlText w:val="•"/>
      <w:lvlJc w:val="left"/>
      <w:pPr>
        <w:ind w:left="4559" w:hanging="360"/>
      </w:pPr>
      <w:rPr>
        <w:rFonts w:hint="default"/>
        <w:lang w:val="en-au" w:eastAsia="en-US" w:bidi="ar-SA"/>
      </w:rPr>
    </w:lvl>
    <w:lvl w:ilvl="8">
      <w:start w:val="0"/>
      <w:numFmt w:val="bullet"/>
      <w:lvlText w:val="•"/>
      <w:lvlJc w:val="left"/>
      <w:pPr>
        <w:ind w:left="5145" w:hanging="360"/>
      </w:pPr>
      <w:rPr>
        <w:rFonts w:hint="default"/>
        <w:lang w:val="en-au" w:eastAsia="en-US" w:bidi="ar-SA"/>
      </w:rPr>
    </w:lvl>
  </w:abstractNum>
  <w:abstractNum w:abstractNumId="18">
    <w:multiLevelType w:val="hybridMultilevel"/>
    <w:lvl w:ilvl="0">
      <w:start w:val="0"/>
      <w:numFmt w:val="bullet"/>
      <w:lvlText w:val=""/>
      <w:lvlJc w:val="left"/>
      <w:pPr>
        <w:ind w:left="465" w:hanging="360"/>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1045" w:hanging="360"/>
      </w:pPr>
      <w:rPr>
        <w:rFonts w:hint="default"/>
        <w:lang w:val="en-au" w:eastAsia="en-US" w:bidi="ar-SA"/>
      </w:rPr>
    </w:lvl>
    <w:lvl w:ilvl="2">
      <w:start w:val="0"/>
      <w:numFmt w:val="bullet"/>
      <w:lvlText w:val="•"/>
      <w:lvlJc w:val="left"/>
      <w:pPr>
        <w:ind w:left="1631" w:hanging="360"/>
      </w:pPr>
      <w:rPr>
        <w:rFonts w:hint="default"/>
        <w:lang w:val="en-au" w:eastAsia="en-US" w:bidi="ar-SA"/>
      </w:rPr>
    </w:lvl>
    <w:lvl w:ilvl="3">
      <w:start w:val="0"/>
      <w:numFmt w:val="bullet"/>
      <w:lvlText w:val="•"/>
      <w:lvlJc w:val="left"/>
      <w:pPr>
        <w:ind w:left="2217" w:hanging="360"/>
      </w:pPr>
      <w:rPr>
        <w:rFonts w:hint="default"/>
        <w:lang w:val="en-au" w:eastAsia="en-US" w:bidi="ar-SA"/>
      </w:rPr>
    </w:lvl>
    <w:lvl w:ilvl="4">
      <w:start w:val="0"/>
      <w:numFmt w:val="bullet"/>
      <w:lvlText w:val="•"/>
      <w:lvlJc w:val="left"/>
      <w:pPr>
        <w:ind w:left="2802" w:hanging="360"/>
      </w:pPr>
      <w:rPr>
        <w:rFonts w:hint="default"/>
        <w:lang w:val="en-au" w:eastAsia="en-US" w:bidi="ar-SA"/>
      </w:rPr>
    </w:lvl>
    <w:lvl w:ilvl="5">
      <w:start w:val="0"/>
      <w:numFmt w:val="bullet"/>
      <w:lvlText w:val="•"/>
      <w:lvlJc w:val="left"/>
      <w:pPr>
        <w:ind w:left="3388" w:hanging="360"/>
      </w:pPr>
      <w:rPr>
        <w:rFonts w:hint="default"/>
        <w:lang w:val="en-au" w:eastAsia="en-US" w:bidi="ar-SA"/>
      </w:rPr>
    </w:lvl>
    <w:lvl w:ilvl="6">
      <w:start w:val="0"/>
      <w:numFmt w:val="bullet"/>
      <w:lvlText w:val="•"/>
      <w:lvlJc w:val="left"/>
      <w:pPr>
        <w:ind w:left="3974" w:hanging="360"/>
      </w:pPr>
      <w:rPr>
        <w:rFonts w:hint="default"/>
        <w:lang w:val="en-au" w:eastAsia="en-US" w:bidi="ar-SA"/>
      </w:rPr>
    </w:lvl>
    <w:lvl w:ilvl="7">
      <w:start w:val="0"/>
      <w:numFmt w:val="bullet"/>
      <w:lvlText w:val="•"/>
      <w:lvlJc w:val="left"/>
      <w:pPr>
        <w:ind w:left="4559" w:hanging="360"/>
      </w:pPr>
      <w:rPr>
        <w:rFonts w:hint="default"/>
        <w:lang w:val="en-au" w:eastAsia="en-US" w:bidi="ar-SA"/>
      </w:rPr>
    </w:lvl>
    <w:lvl w:ilvl="8">
      <w:start w:val="0"/>
      <w:numFmt w:val="bullet"/>
      <w:lvlText w:val="•"/>
      <w:lvlJc w:val="left"/>
      <w:pPr>
        <w:ind w:left="5145" w:hanging="360"/>
      </w:pPr>
      <w:rPr>
        <w:rFonts w:hint="default"/>
        <w:lang w:val="en-au" w:eastAsia="en-US" w:bidi="ar-SA"/>
      </w:rPr>
    </w:lvl>
  </w:abstractNum>
  <w:abstractNum w:abstractNumId="17">
    <w:multiLevelType w:val="hybridMultilevel"/>
    <w:lvl w:ilvl="0">
      <w:start w:val="0"/>
      <w:numFmt w:val="bullet"/>
      <w:lvlText w:val=""/>
      <w:lvlJc w:val="left"/>
      <w:pPr>
        <w:ind w:left="465" w:hanging="360"/>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1045" w:hanging="360"/>
      </w:pPr>
      <w:rPr>
        <w:rFonts w:hint="default"/>
        <w:lang w:val="en-au" w:eastAsia="en-US" w:bidi="ar-SA"/>
      </w:rPr>
    </w:lvl>
    <w:lvl w:ilvl="2">
      <w:start w:val="0"/>
      <w:numFmt w:val="bullet"/>
      <w:lvlText w:val="•"/>
      <w:lvlJc w:val="left"/>
      <w:pPr>
        <w:ind w:left="1631" w:hanging="360"/>
      </w:pPr>
      <w:rPr>
        <w:rFonts w:hint="default"/>
        <w:lang w:val="en-au" w:eastAsia="en-US" w:bidi="ar-SA"/>
      </w:rPr>
    </w:lvl>
    <w:lvl w:ilvl="3">
      <w:start w:val="0"/>
      <w:numFmt w:val="bullet"/>
      <w:lvlText w:val="•"/>
      <w:lvlJc w:val="left"/>
      <w:pPr>
        <w:ind w:left="2217" w:hanging="360"/>
      </w:pPr>
      <w:rPr>
        <w:rFonts w:hint="default"/>
        <w:lang w:val="en-au" w:eastAsia="en-US" w:bidi="ar-SA"/>
      </w:rPr>
    </w:lvl>
    <w:lvl w:ilvl="4">
      <w:start w:val="0"/>
      <w:numFmt w:val="bullet"/>
      <w:lvlText w:val="•"/>
      <w:lvlJc w:val="left"/>
      <w:pPr>
        <w:ind w:left="2802" w:hanging="360"/>
      </w:pPr>
      <w:rPr>
        <w:rFonts w:hint="default"/>
        <w:lang w:val="en-au" w:eastAsia="en-US" w:bidi="ar-SA"/>
      </w:rPr>
    </w:lvl>
    <w:lvl w:ilvl="5">
      <w:start w:val="0"/>
      <w:numFmt w:val="bullet"/>
      <w:lvlText w:val="•"/>
      <w:lvlJc w:val="left"/>
      <w:pPr>
        <w:ind w:left="3388" w:hanging="360"/>
      </w:pPr>
      <w:rPr>
        <w:rFonts w:hint="default"/>
        <w:lang w:val="en-au" w:eastAsia="en-US" w:bidi="ar-SA"/>
      </w:rPr>
    </w:lvl>
    <w:lvl w:ilvl="6">
      <w:start w:val="0"/>
      <w:numFmt w:val="bullet"/>
      <w:lvlText w:val="•"/>
      <w:lvlJc w:val="left"/>
      <w:pPr>
        <w:ind w:left="3974" w:hanging="360"/>
      </w:pPr>
      <w:rPr>
        <w:rFonts w:hint="default"/>
        <w:lang w:val="en-au" w:eastAsia="en-US" w:bidi="ar-SA"/>
      </w:rPr>
    </w:lvl>
    <w:lvl w:ilvl="7">
      <w:start w:val="0"/>
      <w:numFmt w:val="bullet"/>
      <w:lvlText w:val="•"/>
      <w:lvlJc w:val="left"/>
      <w:pPr>
        <w:ind w:left="4559" w:hanging="360"/>
      </w:pPr>
      <w:rPr>
        <w:rFonts w:hint="default"/>
        <w:lang w:val="en-au" w:eastAsia="en-US" w:bidi="ar-SA"/>
      </w:rPr>
    </w:lvl>
    <w:lvl w:ilvl="8">
      <w:start w:val="0"/>
      <w:numFmt w:val="bullet"/>
      <w:lvlText w:val="•"/>
      <w:lvlJc w:val="left"/>
      <w:pPr>
        <w:ind w:left="5145" w:hanging="360"/>
      </w:pPr>
      <w:rPr>
        <w:rFonts w:hint="default"/>
        <w:lang w:val="en-au" w:eastAsia="en-US" w:bidi="ar-SA"/>
      </w:rPr>
    </w:lvl>
  </w:abstractNum>
  <w:abstractNum w:abstractNumId="16">
    <w:multiLevelType w:val="hybridMultilevel"/>
    <w:lvl w:ilvl="0">
      <w:start w:val="0"/>
      <w:numFmt w:val="bullet"/>
      <w:lvlText w:val=""/>
      <w:lvlJc w:val="left"/>
      <w:pPr>
        <w:ind w:left="1573" w:hanging="356"/>
      </w:pPr>
      <w:rPr>
        <w:rFonts w:hint="default" w:ascii="Symbol" w:hAnsi="Symbol" w:eastAsia="Symbol" w:cs="Symbol"/>
        <w:b w:val="0"/>
        <w:bCs w:val="0"/>
        <w:i w:val="0"/>
        <w:iCs w:val="0"/>
        <w:w w:val="99"/>
        <w:sz w:val="20"/>
        <w:szCs w:val="20"/>
        <w:lang w:val="en-au" w:eastAsia="en-US" w:bidi="ar-SA"/>
      </w:rPr>
    </w:lvl>
    <w:lvl w:ilvl="1">
      <w:start w:val="0"/>
      <w:numFmt w:val="bullet"/>
      <w:lvlText w:val="o"/>
      <w:lvlJc w:val="left"/>
      <w:pPr>
        <w:ind w:left="2293" w:hanging="356"/>
      </w:pPr>
      <w:rPr>
        <w:rFonts w:hint="default" w:ascii="Courier New" w:hAnsi="Courier New" w:eastAsia="Courier New" w:cs="Courier New"/>
        <w:b w:val="0"/>
        <w:bCs w:val="0"/>
        <w:i w:val="0"/>
        <w:iCs w:val="0"/>
        <w:w w:val="99"/>
        <w:sz w:val="20"/>
        <w:szCs w:val="20"/>
        <w:lang w:val="en-au" w:eastAsia="en-US" w:bidi="ar-SA"/>
      </w:rPr>
    </w:lvl>
    <w:lvl w:ilvl="2">
      <w:start w:val="0"/>
      <w:numFmt w:val="bullet"/>
      <w:lvlText w:val="•"/>
      <w:lvlJc w:val="left"/>
      <w:pPr>
        <w:ind w:left="2300" w:hanging="356"/>
      </w:pPr>
      <w:rPr>
        <w:rFonts w:hint="default"/>
        <w:lang w:val="en-au" w:eastAsia="en-US" w:bidi="ar-SA"/>
      </w:rPr>
    </w:lvl>
    <w:lvl w:ilvl="3">
      <w:start w:val="0"/>
      <w:numFmt w:val="bullet"/>
      <w:lvlText w:val="•"/>
      <w:lvlJc w:val="left"/>
      <w:pPr>
        <w:ind w:left="3393" w:hanging="356"/>
      </w:pPr>
      <w:rPr>
        <w:rFonts w:hint="default"/>
        <w:lang w:val="en-au" w:eastAsia="en-US" w:bidi="ar-SA"/>
      </w:rPr>
    </w:lvl>
    <w:lvl w:ilvl="4">
      <w:start w:val="0"/>
      <w:numFmt w:val="bullet"/>
      <w:lvlText w:val="•"/>
      <w:lvlJc w:val="left"/>
      <w:pPr>
        <w:ind w:left="4486" w:hanging="356"/>
      </w:pPr>
      <w:rPr>
        <w:rFonts w:hint="default"/>
        <w:lang w:val="en-au" w:eastAsia="en-US" w:bidi="ar-SA"/>
      </w:rPr>
    </w:lvl>
    <w:lvl w:ilvl="5">
      <w:start w:val="0"/>
      <w:numFmt w:val="bullet"/>
      <w:lvlText w:val="•"/>
      <w:lvlJc w:val="left"/>
      <w:pPr>
        <w:ind w:left="5579" w:hanging="356"/>
      </w:pPr>
      <w:rPr>
        <w:rFonts w:hint="default"/>
        <w:lang w:val="en-au" w:eastAsia="en-US" w:bidi="ar-SA"/>
      </w:rPr>
    </w:lvl>
    <w:lvl w:ilvl="6">
      <w:start w:val="0"/>
      <w:numFmt w:val="bullet"/>
      <w:lvlText w:val="•"/>
      <w:lvlJc w:val="left"/>
      <w:pPr>
        <w:ind w:left="6673" w:hanging="356"/>
      </w:pPr>
      <w:rPr>
        <w:rFonts w:hint="default"/>
        <w:lang w:val="en-au" w:eastAsia="en-US" w:bidi="ar-SA"/>
      </w:rPr>
    </w:lvl>
    <w:lvl w:ilvl="7">
      <w:start w:val="0"/>
      <w:numFmt w:val="bullet"/>
      <w:lvlText w:val="•"/>
      <w:lvlJc w:val="left"/>
      <w:pPr>
        <w:ind w:left="7766" w:hanging="356"/>
      </w:pPr>
      <w:rPr>
        <w:rFonts w:hint="default"/>
        <w:lang w:val="en-au" w:eastAsia="en-US" w:bidi="ar-SA"/>
      </w:rPr>
    </w:lvl>
    <w:lvl w:ilvl="8">
      <w:start w:val="0"/>
      <w:numFmt w:val="bullet"/>
      <w:lvlText w:val="•"/>
      <w:lvlJc w:val="left"/>
      <w:pPr>
        <w:ind w:left="8859" w:hanging="356"/>
      </w:pPr>
      <w:rPr>
        <w:rFonts w:hint="default"/>
        <w:lang w:val="en-au" w:eastAsia="en-US" w:bidi="ar-SA"/>
      </w:rPr>
    </w:lvl>
  </w:abstractNum>
  <w:abstractNum w:abstractNumId="15">
    <w:multiLevelType w:val="hybridMultilevel"/>
    <w:lvl w:ilvl="0">
      <w:start w:val="0"/>
      <w:numFmt w:val="bullet"/>
      <w:lvlText w:val="*"/>
      <w:lvlJc w:val="left"/>
      <w:pPr>
        <w:ind w:left="970" w:hanging="111"/>
      </w:pPr>
      <w:rPr>
        <w:rFonts w:hint="default" w:ascii="Century Gothic" w:hAnsi="Century Gothic" w:eastAsia="Century Gothic" w:cs="Century Gothic"/>
        <w:b w:val="0"/>
        <w:bCs w:val="0"/>
        <w:i/>
        <w:iCs/>
        <w:w w:val="100"/>
        <w:sz w:val="16"/>
        <w:szCs w:val="16"/>
        <w:lang w:val="en-au" w:eastAsia="en-US" w:bidi="ar-SA"/>
      </w:rPr>
    </w:lvl>
    <w:lvl w:ilvl="1">
      <w:start w:val="0"/>
      <w:numFmt w:val="bullet"/>
      <w:lvlText w:val=""/>
      <w:lvlJc w:val="left"/>
      <w:pPr>
        <w:ind w:left="1573" w:hanging="356"/>
      </w:pPr>
      <w:rPr>
        <w:rFonts w:hint="default" w:ascii="Symbol" w:hAnsi="Symbol" w:eastAsia="Symbol" w:cs="Symbol"/>
        <w:b w:val="0"/>
        <w:bCs w:val="0"/>
        <w:i w:val="0"/>
        <w:iCs w:val="0"/>
        <w:w w:val="99"/>
        <w:sz w:val="20"/>
        <w:szCs w:val="20"/>
        <w:lang w:val="en-au" w:eastAsia="en-US" w:bidi="ar-SA"/>
      </w:rPr>
    </w:lvl>
    <w:lvl w:ilvl="2">
      <w:start w:val="0"/>
      <w:numFmt w:val="bullet"/>
      <w:lvlText w:val=""/>
      <w:lvlJc w:val="left"/>
      <w:pPr>
        <w:ind w:left="1722" w:hanging="356"/>
      </w:pPr>
      <w:rPr>
        <w:rFonts w:hint="default" w:ascii="Symbol" w:hAnsi="Symbol" w:eastAsia="Symbol" w:cs="Symbol"/>
        <w:b w:val="0"/>
        <w:bCs w:val="0"/>
        <w:i w:val="0"/>
        <w:iCs w:val="0"/>
        <w:w w:val="100"/>
        <w:sz w:val="18"/>
        <w:szCs w:val="18"/>
        <w:lang w:val="en-au" w:eastAsia="en-US" w:bidi="ar-SA"/>
      </w:rPr>
    </w:lvl>
    <w:lvl w:ilvl="3">
      <w:start w:val="0"/>
      <w:numFmt w:val="bullet"/>
      <w:lvlText w:val="•"/>
      <w:lvlJc w:val="left"/>
      <w:pPr>
        <w:ind w:left="2885" w:hanging="356"/>
      </w:pPr>
      <w:rPr>
        <w:rFonts w:hint="default"/>
        <w:lang w:val="en-au" w:eastAsia="en-US" w:bidi="ar-SA"/>
      </w:rPr>
    </w:lvl>
    <w:lvl w:ilvl="4">
      <w:start w:val="0"/>
      <w:numFmt w:val="bullet"/>
      <w:lvlText w:val="•"/>
      <w:lvlJc w:val="left"/>
      <w:pPr>
        <w:ind w:left="4051" w:hanging="356"/>
      </w:pPr>
      <w:rPr>
        <w:rFonts w:hint="default"/>
        <w:lang w:val="en-au" w:eastAsia="en-US" w:bidi="ar-SA"/>
      </w:rPr>
    </w:lvl>
    <w:lvl w:ilvl="5">
      <w:start w:val="0"/>
      <w:numFmt w:val="bullet"/>
      <w:lvlText w:val="•"/>
      <w:lvlJc w:val="left"/>
      <w:pPr>
        <w:ind w:left="5217" w:hanging="356"/>
      </w:pPr>
      <w:rPr>
        <w:rFonts w:hint="default"/>
        <w:lang w:val="en-au" w:eastAsia="en-US" w:bidi="ar-SA"/>
      </w:rPr>
    </w:lvl>
    <w:lvl w:ilvl="6">
      <w:start w:val="0"/>
      <w:numFmt w:val="bullet"/>
      <w:lvlText w:val="•"/>
      <w:lvlJc w:val="left"/>
      <w:pPr>
        <w:ind w:left="6383" w:hanging="356"/>
      </w:pPr>
      <w:rPr>
        <w:rFonts w:hint="default"/>
        <w:lang w:val="en-au" w:eastAsia="en-US" w:bidi="ar-SA"/>
      </w:rPr>
    </w:lvl>
    <w:lvl w:ilvl="7">
      <w:start w:val="0"/>
      <w:numFmt w:val="bullet"/>
      <w:lvlText w:val="•"/>
      <w:lvlJc w:val="left"/>
      <w:pPr>
        <w:ind w:left="7549" w:hanging="356"/>
      </w:pPr>
      <w:rPr>
        <w:rFonts w:hint="default"/>
        <w:lang w:val="en-au" w:eastAsia="en-US" w:bidi="ar-SA"/>
      </w:rPr>
    </w:lvl>
    <w:lvl w:ilvl="8">
      <w:start w:val="0"/>
      <w:numFmt w:val="bullet"/>
      <w:lvlText w:val="•"/>
      <w:lvlJc w:val="left"/>
      <w:pPr>
        <w:ind w:left="8714" w:hanging="356"/>
      </w:pPr>
      <w:rPr>
        <w:rFonts w:hint="default"/>
        <w:lang w:val="en-au" w:eastAsia="en-US" w:bidi="ar-SA"/>
      </w:rPr>
    </w:lvl>
  </w:abstractNum>
  <w:abstractNum w:abstractNumId="14">
    <w:multiLevelType w:val="hybridMultilevel"/>
    <w:lvl w:ilvl="0">
      <w:start w:val="0"/>
      <w:numFmt w:val="bullet"/>
      <w:lvlText w:val="o"/>
      <w:lvlJc w:val="left"/>
      <w:pPr>
        <w:ind w:left="1132" w:hanging="284"/>
      </w:pPr>
      <w:rPr>
        <w:rFonts w:hint="default" w:ascii="Courier New" w:hAnsi="Courier New" w:eastAsia="Courier New" w:cs="Courier New"/>
        <w:b w:val="0"/>
        <w:bCs w:val="0"/>
        <w:i w:val="0"/>
        <w:iCs w:val="0"/>
        <w:w w:val="100"/>
        <w:sz w:val="18"/>
        <w:szCs w:val="18"/>
        <w:lang w:val="en-au" w:eastAsia="en-US" w:bidi="ar-SA"/>
      </w:rPr>
    </w:lvl>
    <w:lvl w:ilvl="1">
      <w:start w:val="0"/>
      <w:numFmt w:val="bullet"/>
      <w:lvlText w:val="•"/>
      <w:lvlJc w:val="left"/>
      <w:pPr>
        <w:ind w:left="1657" w:hanging="284"/>
      </w:pPr>
      <w:rPr>
        <w:rFonts w:hint="default"/>
        <w:lang w:val="en-au" w:eastAsia="en-US" w:bidi="ar-SA"/>
      </w:rPr>
    </w:lvl>
    <w:lvl w:ilvl="2">
      <w:start w:val="0"/>
      <w:numFmt w:val="bullet"/>
      <w:lvlText w:val="•"/>
      <w:lvlJc w:val="left"/>
      <w:pPr>
        <w:ind w:left="2175" w:hanging="284"/>
      </w:pPr>
      <w:rPr>
        <w:rFonts w:hint="default"/>
        <w:lang w:val="en-au" w:eastAsia="en-US" w:bidi="ar-SA"/>
      </w:rPr>
    </w:lvl>
    <w:lvl w:ilvl="3">
      <w:start w:val="0"/>
      <w:numFmt w:val="bullet"/>
      <w:lvlText w:val="•"/>
      <w:lvlJc w:val="left"/>
      <w:pPr>
        <w:ind w:left="2693" w:hanging="284"/>
      </w:pPr>
      <w:rPr>
        <w:rFonts w:hint="default"/>
        <w:lang w:val="en-au" w:eastAsia="en-US" w:bidi="ar-SA"/>
      </w:rPr>
    </w:lvl>
    <w:lvl w:ilvl="4">
      <w:start w:val="0"/>
      <w:numFmt w:val="bullet"/>
      <w:lvlText w:val="•"/>
      <w:lvlJc w:val="left"/>
      <w:pPr>
        <w:ind w:left="3210" w:hanging="284"/>
      </w:pPr>
      <w:rPr>
        <w:rFonts w:hint="default"/>
        <w:lang w:val="en-au" w:eastAsia="en-US" w:bidi="ar-SA"/>
      </w:rPr>
    </w:lvl>
    <w:lvl w:ilvl="5">
      <w:start w:val="0"/>
      <w:numFmt w:val="bullet"/>
      <w:lvlText w:val="•"/>
      <w:lvlJc w:val="left"/>
      <w:pPr>
        <w:ind w:left="3728" w:hanging="284"/>
      </w:pPr>
      <w:rPr>
        <w:rFonts w:hint="default"/>
        <w:lang w:val="en-au" w:eastAsia="en-US" w:bidi="ar-SA"/>
      </w:rPr>
    </w:lvl>
    <w:lvl w:ilvl="6">
      <w:start w:val="0"/>
      <w:numFmt w:val="bullet"/>
      <w:lvlText w:val="•"/>
      <w:lvlJc w:val="left"/>
      <w:pPr>
        <w:ind w:left="4246" w:hanging="284"/>
      </w:pPr>
      <w:rPr>
        <w:rFonts w:hint="default"/>
        <w:lang w:val="en-au" w:eastAsia="en-US" w:bidi="ar-SA"/>
      </w:rPr>
    </w:lvl>
    <w:lvl w:ilvl="7">
      <w:start w:val="0"/>
      <w:numFmt w:val="bullet"/>
      <w:lvlText w:val="•"/>
      <w:lvlJc w:val="left"/>
      <w:pPr>
        <w:ind w:left="4763" w:hanging="284"/>
      </w:pPr>
      <w:rPr>
        <w:rFonts w:hint="default"/>
        <w:lang w:val="en-au" w:eastAsia="en-US" w:bidi="ar-SA"/>
      </w:rPr>
    </w:lvl>
    <w:lvl w:ilvl="8">
      <w:start w:val="0"/>
      <w:numFmt w:val="bullet"/>
      <w:lvlText w:val="•"/>
      <w:lvlJc w:val="left"/>
      <w:pPr>
        <w:ind w:left="5281" w:hanging="284"/>
      </w:pPr>
      <w:rPr>
        <w:rFonts w:hint="default"/>
        <w:lang w:val="en-au" w:eastAsia="en-US" w:bidi="ar-SA"/>
      </w:rPr>
    </w:lvl>
  </w:abstractNum>
  <w:abstractNum w:abstractNumId="13">
    <w:multiLevelType w:val="hybridMultilevel"/>
    <w:lvl w:ilvl="0">
      <w:start w:val="0"/>
      <w:numFmt w:val="bullet"/>
      <w:lvlText w:val=""/>
      <w:lvlJc w:val="left"/>
      <w:pPr>
        <w:ind w:left="825" w:hanging="356"/>
      </w:pPr>
      <w:rPr>
        <w:rFonts w:hint="default" w:ascii="Symbol" w:hAnsi="Symbol" w:eastAsia="Symbol" w:cs="Symbol"/>
        <w:b w:val="0"/>
        <w:bCs w:val="0"/>
        <w:i w:val="0"/>
        <w:iCs w:val="0"/>
        <w:w w:val="100"/>
        <w:sz w:val="18"/>
        <w:szCs w:val="18"/>
        <w:lang w:val="en-au" w:eastAsia="en-US" w:bidi="ar-SA"/>
      </w:rPr>
    </w:lvl>
    <w:lvl w:ilvl="1">
      <w:start w:val="0"/>
      <w:numFmt w:val="bullet"/>
      <w:lvlText w:val="o"/>
      <w:lvlJc w:val="left"/>
      <w:pPr>
        <w:ind w:left="1132" w:hanging="284"/>
      </w:pPr>
      <w:rPr>
        <w:rFonts w:hint="default" w:ascii="Courier New" w:hAnsi="Courier New" w:eastAsia="Courier New" w:cs="Courier New"/>
        <w:b w:val="0"/>
        <w:bCs w:val="0"/>
        <w:i w:val="0"/>
        <w:iCs w:val="0"/>
        <w:w w:val="100"/>
        <w:sz w:val="18"/>
        <w:szCs w:val="18"/>
        <w:lang w:val="en-au" w:eastAsia="en-US" w:bidi="ar-SA"/>
      </w:rPr>
    </w:lvl>
    <w:lvl w:ilvl="2">
      <w:start w:val="0"/>
      <w:numFmt w:val="bullet"/>
      <w:lvlText w:val="•"/>
      <w:lvlJc w:val="left"/>
      <w:pPr>
        <w:ind w:left="1715" w:hanging="284"/>
      </w:pPr>
      <w:rPr>
        <w:rFonts w:hint="default"/>
        <w:lang w:val="en-au" w:eastAsia="en-US" w:bidi="ar-SA"/>
      </w:rPr>
    </w:lvl>
    <w:lvl w:ilvl="3">
      <w:start w:val="0"/>
      <w:numFmt w:val="bullet"/>
      <w:lvlText w:val="•"/>
      <w:lvlJc w:val="left"/>
      <w:pPr>
        <w:ind w:left="2290" w:hanging="284"/>
      </w:pPr>
      <w:rPr>
        <w:rFonts w:hint="default"/>
        <w:lang w:val="en-au" w:eastAsia="en-US" w:bidi="ar-SA"/>
      </w:rPr>
    </w:lvl>
    <w:lvl w:ilvl="4">
      <w:start w:val="0"/>
      <w:numFmt w:val="bullet"/>
      <w:lvlText w:val="•"/>
      <w:lvlJc w:val="left"/>
      <w:pPr>
        <w:ind w:left="2865" w:hanging="284"/>
      </w:pPr>
      <w:rPr>
        <w:rFonts w:hint="default"/>
        <w:lang w:val="en-au" w:eastAsia="en-US" w:bidi="ar-SA"/>
      </w:rPr>
    </w:lvl>
    <w:lvl w:ilvl="5">
      <w:start w:val="0"/>
      <w:numFmt w:val="bullet"/>
      <w:lvlText w:val="•"/>
      <w:lvlJc w:val="left"/>
      <w:pPr>
        <w:ind w:left="3440" w:hanging="284"/>
      </w:pPr>
      <w:rPr>
        <w:rFonts w:hint="default"/>
        <w:lang w:val="en-au" w:eastAsia="en-US" w:bidi="ar-SA"/>
      </w:rPr>
    </w:lvl>
    <w:lvl w:ilvl="6">
      <w:start w:val="0"/>
      <w:numFmt w:val="bullet"/>
      <w:lvlText w:val="•"/>
      <w:lvlJc w:val="left"/>
      <w:pPr>
        <w:ind w:left="4016" w:hanging="284"/>
      </w:pPr>
      <w:rPr>
        <w:rFonts w:hint="default"/>
        <w:lang w:val="en-au" w:eastAsia="en-US" w:bidi="ar-SA"/>
      </w:rPr>
    </w:lvl>
    <w:lvl w:ilvl="7">
      <w:start w:val="0"/>
      <w:numFmt w:val="bullet"/>
      <w:lvlText w:val="•"/>
      <w:lvlJc w:val="left"/>
      <w:pPr>
        <w:ind w:left="4591" w:hanging="284"/>
      </w:pPr>
      <w:rPr>
        <w:rFonts w:hint="default"/>
        <w:lang w:val="en-au" w:eastAsia="en-US" w:bidi="ar-SA"/>
      </w:rPr>
    </w:lvl>
    <w:lvl w:ilvl="8">
      <w:start w:val="0"/>
      <w:numFmt w:val="bullet"/>
      <w:lvlText w:val="•"/>
      <w:lvlJc w:val="left"/>
      <w:pPr>
        <w:ind w:left="5166" w:hanging="284"/>
      </w:pPr>
      <w:rPr>
        <w:rFonts w:hint="default"/>
        <w:lang w:val="en-au" w:eastAsia="en-US" w:bidi="ar-SA"/>
      </w:rPr>
    </w:lvl>
  </w:abstractNum>
  <w:abstractNum w:abstractNumId="12">
    <w:multiLevelType w:val="hybridMultilevel"/>
    <w:lvl w:ilvl="0">
      <w:start w:val="0"/>
      <w:numFmt w:val="bullet"/>
      <w:lvlText w:val=""/>
      <w:lvlJc w:val="left"/>
      <w:pPr>
        <w:ind w:left="271" w:hanging="142"/>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583" w:hanging="142"/>
      </w:pPr>
      <w:rPr>
        <w:rFonts w:hint="default"/>
        <w:lang w:val="en-au" w:eastAsia="en-US" w:bidi="ar-SA"/>
      </w:rPr>
    </w:lvl>
    <w:lvl w:ilvl="2">
      <w:start w:val="0"/>
      <w:numFmt w:val="bullet"/>
      <w:lvlText w:val="•"/>
      <w:lvlJc w:val="left"/>
      <w:pPr>
        <w:ind w:left="886" w:hanging="142"/>
      </w:pPr>
      <w:rPr>
        <w:rFonts w:hint="default"/>
        <w:lang w:val="en-au" w:eastAsia="en-US" w:bidi="ar-SA"/>
      </w:rPr>
    </w:lvl>
    <w:lvl w:ilvl="3">
      <w:start w:val="0"/>
      <w:numFmt w:val="bullet"/>
      <w:lvlText w:val="•"/>
      <w:lvlJc w:val="left"/>
      <w:pPr>
        <w:ind w:left="1189" w:hanging="142"/>
      </w:pPr>
      <w:rPr>
        <w:rFonts w:hint="default"/>
        <w:lang w:val="en-au" w:eastAsia="en-US" w:bidi="ar-SA"/>
      </w:rPr>
    </w:lvl>
    <w:lvl w:ilvl="4">
      <w:start w:val="0"/>
      <w:numFmt w:val="bullet"/>
      <w:lvlText w:val="•"/>
      <w:lvlJc w:val="left"/>
      <w:pPr>
        <w:ind w:left="1492" w:hanging="142"/>
      </w:pPr>
      <w:rPr>
        <w:rFonts w:hint="default"/>
        <w:lang w:val="en-au" w:eastAsia="en-US" w:bidi="ar-SA"/>
      </w:rPr>
    </w:lvl>
    <w:lvl w:ilvl="5">
      <w:start w:val="0"/>
      <w:numFmt w:val="bullet"/>
      <w:lvlText w:val="•"/>
      <w:lvlJc w:val="left"/>
      <w:pPr>
        <w:ind w:left="1795" w:hanging="142"/>
      </w:pPr>
      <w:rPr>
        <w:rFonts w:hint="default"/>
        <w:lang w:val="en-au" w:eastAsia="en-US" w:bidi="ar-SA"/>
      </w:rPr>
    </w:lvl>
    <w:lvl w:ilvl="6">
      <w:start w:val="0"/>
      <w:numFmt w:val="bullet"/>
      <w:lvlText w:val="•"/>
      <w:lvlJc w:val="left"/>
      <w:pPr>
        <w:ind w:left="2098" w:hanging="142"/>
      </w:pPr>
      <w:rPr>
        <w:rFonts w:hint="default"/>
        <w:lang w:val="en-au" w:eastAsia="en-US" w:bidi="ar-SA"/>
      </w:rPr>
    </w:lvl>
    <w:lvl w:ilvl="7">
      <w:start w:val="0"/>
      <w:numFmt w:val="bullet"/>
      <w:lvlText w:val="•"/>
      <w:lvlJc w:val="left"/>
      <w:pPr>
        <w:ind w:left="2401" w:hanging="142"/>
      </w:pPr>
      <w:rPr>
        <w:rFonts w:hint="default"/>
        <w:lang w:val="en-au" w:eastAsia="en-US" w:bidi="ar-SA"/>
      </w:rPr>
    </w:lvl>
    <w:lvl w:ilvl="8">
      <w:start w:val="0"/>
      <w:numFmt w:val="bullet"/>
      <w:lvlText w:val="•"/>
      <w:lvlJc w:val="left"/>
      <w:pPr>
        <w:ind w:left="2704" w:hanging="142"/>
      </w:pPr>
      <w:rPr>
        <w:rFonts w:hint="default"/>
        <w:lang w:val="en-au" w:eastAsia="en-US" w:bidi="ar-SA"/>
      </w:rPr>
    </w:lvl>
  </w:abstractNum>
  <w:abstractNum w:abstractNumId="11">
    <w:multiLevelType w:val="hybridMultilevel"/>
    <w:lvl w:ilvl="0">
      <w:start w:val="0"/>
      <w:numFmt w:val="bullet"/>
      <w:lvlText w:val=""/>
      <w:lvlJc w:val="left"/>
      <w:pPr>
        <w:ind w:left="271" w:hanging="142"/>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583" w:hanging="142"/>
      </w:pPr>
      <w:rPr>
        <w:rFonts w:hint="default"/>
        <w:lang w:val="en-au" w:eastAsia="en-US" w:bidi="ar-SA"/>
      </w:rPr>
    </w:lvl>
    <w:lvl w:ilvl="2">
      <w:start w:val="0"/>
      <w:numFmt w:val="bullet"/>
      <w:lvlText w:val="•"/>
      <w:lvlJc w:val="left"/>
      <w:pPr>
        <w:ind w:left="886" w:hanging="142"/>
      </w:pPr>
      <w:rPr>
        <w:rFonts w:hint="default"/>
        <w:lang w:val="en-au" w:eastAsia="en-US" w:bidi="ar-SA"/>
      </w:rPr>
    </w:lvl>
    <w:lvl w:ilvl="3">
      <w:start w:val="0"/>
      <w:numFmt w:val="bullet"/>
      <w:lvlText w:val="•"/>
      <w:lvlJc w:val="left"/>
      <w:pPr>
        <w:ind w:left="1189" w:hanging="142"/>
      </w:pPr>
      <w:rPr>
        <w:rFonts w:hint="default"/>
        <w:lang w:val="en-au" w:eastAsia="en-US" w:bidi="ar-SA"/>
      </w:rPr>
    </w:lvl>
    <w:lvl w:ilvl="4">
      <w:start w:val="0"/>
      <w:numFmt w:val="bullet"/>
      <w:lvlText w:val="•"/>
      <w:lvlJc w:val="left"/>
      <w:pPr>
        <w:ind w:left="1492" w:hanging="142"/>
      </w:pPr>
      <w:rPr>
        <w:rFonts w:hint="default"/>
        <w:lang w:val="en-au" w:eastAsia="en-US" w:bidi="ar-SA"/>
      </w:rPr>
    </w:lvl>
    <w:lvl w:ilvl="5">
      <w:start w:val="0"/>
      <w:numFmt w:val="bullet"/>
      <w:lvlText w:val="•"/>
      <w:lvlJc w:val="left"/>
      <w:pPr>
        <w:ind w:left="1795" w:hanging="142"/>
      </w:pPr>
      <w:rPr>
        <w:rFonts w:hint="default"/>
        <w:lang w:val="en-au" w:eastAsia="en-US" w:bidi="ar-SA"/>
      </w:rPr>
    </w:lvl>
    <w:lvl w:ilvl="6">
      <w:start w:val="0"/>
      <w:numFmt w:val="bullet"/>
      <w:lvlText w:val="•"/>
      <w:lvlJc w:val="left"/>
      <w:pPr>
        <w:ind w:left="2098" w:hanging="142"/>
      </w:pPr>
      <w:rPr>
        <w:rFonts w:hint="default"/>
        <w:lang w:val="en-au" w:eastAsia="en-US" w:bidi="ar-SA"/>
      </w:rPr>
    </w:lvl>
    <w:lvl w:ilvl="7">
      <w:start w:val="0"/>
      <w:numFmt w:val="bullet"/>
      <w:lvlText w:val="•"/>
      <w:lvlJc w:val="left"/>
      <w:pPr>
        <w:ind w:left="2401" w:hanging="142"/>
      </w:pPr>
      <w:rPr>
        <w:rFonts w:hint="default"/>
        <w:lang w:val="en-au" w:eastAsia="en-US" w:bidi="ar-SA"/>
      </w:rPr>
    </w:lvl>
    <w:lvl w:ilvl="8">
      <w:start w:val="0"/>
      <w:numFmt w:val="bullet"/>
      <w:lvlText w:val="•"/>
      <w:lvlJc w:val="left"/>
      <w:pPr>
        <w:ind w:left="2704" w:hanging="142"/>
      </w:pPr>
      <w:rPr>
        <w:rFonts w:hint="default"/>
        <w:lang w:val="en-au" w:eastAsia="en-US" w:bidi="ar-SA"/>
      </w:rPr>
    </w:lvl>
  </w:abstractNum>
  <w:abstractNum w:abstractNumId="10">
    <w:multiLevelType w:val="hybridMultilevel"/>
    <w:lvl w:ilvl="0">
      <w:start w:val="0"/>
      <w:numFmt w:val="bullet"/>
      <w:lvlText w:val=""/>
      <w:lvlJc w:val="left"/>
      <w:pPr>
        <w:ind w:left="1573" w:hanging="356"/>
      </w:pPr>
      <w:rPr>
        <w:rFonts w:hint="default" w:ascii="Symbol" w:hAnsi="Symbol" w:eastAsia="Symbol" w:cs="Symbol"/>
        <w:b w:val="0"/>
        <w:bCs w:val="0"/>
        <w:i w:val="0"/>
        <w:iCs w:val="0"/>
        <w:w w:val="99"/>
        <w:sz w:val="20"/>
        <w:szCs w:val="20"/>
        <w:lang w:val="en-au" w:eastAsia="en-US" w:bidi="ar-SA"/>
      </w:rPr>
    </w:lvl>
    <w:lvl w:ilvl="1">
      <w:start w:val="0"/>
      <w:numFmt w:val="bullet"/>
      <w:lvlText w:val="•"/>
      <w:lvlJc w:val="left"/>
      <w:pPr>
        <w:ind w:left="2526" w:hanging="356"/>
      </w:pPr>
      <w:rPr>
        <w:rFonts w:hint="default"/>
        <w:lang w:val="en-au" w:eastAsia="en-US" w:bidi="ar-SA"/>
      </w:rPr>
    </w:lvl>
    <w:lvl w:ilvl="2">
      <w:start w:val="0"/>
      <w:numFmt w:val="bullet"/>
      <w:lvlText w:val="•"/>
      <w:lvlJc w:val="left"/>
      <w:pPr>
        <w:ind w:left="3473" w:hanging="356"/>
      </w:pPr>
      <w:rPr>
        <w:rFonts w:hint="default"/>
        <w:lang w:val="en-au" w:eastAsia="en-US" w:bidi="ar-SA"/>
      </w:rPr>
    </w:lvl>
    <w:lvl w:ilvl="3">
      <w:start w:val="0"/>
      <w:numFmt w:val="bullet"/>
      <w:lvlText w:val="•"/>
      <w:lvlJc w:val="left"/>
      <w:pPr>
        <w:ind w:left="4419" w:hanging="356"/>
      </w:pPr>
      <w:rPr>
        <w:rFonts w:hint="default"/>
        <w:lang w:val="en-au" w:eastAsia="en-US" w:bidi="ar-SA"/>
      </w:rPr>
    </w:lvl>
    <w:lvl w:ilvl="4">
      <w:start w:val="0"/>
      <w:numFmt w:val="bullet"/>
      <w:lvlText w:val="•"/>
      <w:lvlJc w:val="left"/>
      <w:pPr>
        <w:ind w:left="5366" w:hanging="356"/>
      </w:pPr>
      <w:rPr>
        <w:rFonts w:hint="default"/>
        <w:lang w:val="en-au" w:eastAsia="en-US" w:bidi="ar-SA"/>
      </w:rPr>
    </w:lvl>
    <w:lvl w:ilvl="5">
      <w:start w:val="0"/>
      <w:numFmt w:val="bullet"/>
      <w:lvlText w:val="•"/>
      <w:lvlJc w:val="left"/>
      <w:pPr>
        <w:ind w:left="6313" w:hanging="356"/>
      </w:pPr>
      <w:rPr>
        <w:rFonts w:hint="default"/>
        <w:lang w:val="en-au" w:eastAsia="en-US" w:bidi="ar-SA"/>
      </w:rPr>
    </w:lvl>
    <w:lvl w:ilvl="6">
      <w:start w:val="0"/>
      <w:numFmt w:val="bullet"/>
      <w:lvlText w:val="•"/>
      <w:lvlJc w:val="left"/>
      <w:pPr>
        <w:ind w:left="7259" w:hanging="356"/>
      </w:pPr>
      <w:rPr>
        <w:rFonts w:hint="default"/>
        <w:lang w:val="en-au" w:eastAsia="en-US" w:bidi="ar-SA"/>
      </w:rPr>
    </w:lvl>
    <w:lvl w:ilvl="7">
      <w:start w:val="0"/>
      <w:numFmt w:val="bullet"/>
      <w:lvlText w:val="•"/>
      <w:lvlJc w:val="left"/>
      <w:pPr>
        <w:ind w:left="8206" w:hanging="356"/>
      </w:pPr>
      <w:rPr>
        <w:rFonts w:hint="default"/>
        <w:lang w:val="en-au" w:eastAsia="en-US" w:bidi="ar-SA"/>
      </w:rPr>
    </w:lvl>
    <w:lvl w:ilvl="8">
      <w:start w:val="0"/>
      <w:numFmt w:val="bullet"/>
      <w:lvlText w:val="•"/>
      <w:lvlJc w:val="left"/>
      <w:pPr>
        <w:ind w:left="9153" w:hanging="356"/>
      </w:pPr>
      <w:rPr>
        <w:rFonts w:hint="default"/>
        <w:lang w:val="en-au" w:eastAsia="en-US" w:bidi="ar-SA"/>
      </w:rPr>
    </w:lvl>
  </w:abstractNum>
  <w:abstractNum w:abstractNumId="9">
    <w:multiLevelType w:val="hybridMultilevel"/>
    <w:lvl w:ilvl="0">
      <w:start w:val="4"/>
      <w:numFmt w:val="decimal"/>
      <w:lvlText w:val="%1"/>
      <w:lvlJc w:val="left"/>
      <w:pPr>
        <w:ind w:left="700" w:hanging="576"/>
        <w:jc w:val="left"/>
      </w:pPr>
      <w:rPr>
        <w:rFonts w:hint="default"/>
        <w:lang w:val="en-au" w:eastAsia="en-US" w:bidi="ar-SA"/>
      </w:rPr>
    </w:lvl>
    <w:lvl w:ilvl="1">
      <w:start w:val="2"/>
      <w:numFmt w:val="decimalZero"/>
      <w:lvlText w:val="%1.%2"/>
      <w:lvlJc w:val="left"/>
      <w:pPr>
        <w:ind w:left="700" w:hanging="576"/>
        <w:jc w:val="left"/>
      </w:pPr>
      <w:rPr>
        <w:rFonts w:hint="default"/>
        <w:lang w:val="en-au" w:eastAsia="en-US" w:bidi="ar-SA"/>
      </w:rPr>
    </w:lvl>
    <w:lvl w:ilvl="2">
      <w:start w:val="1"/>
      <w:numFmt w:val="decimalZero"/>
      <w:lvlText w:val="%1.%2.%3"/>
      <w:lvlJc w:val="left"/>
      <w:pPr>
        <w:ind w:left="700" w:hanging="576"/>
        <w:jc w:val="left"/>
      </w:pPr>
      <w:rPr>
        <w:rFonts w:hint="default" w:ascii="Century Gothic" w:hAnsi="Century Gothic" w:eastAsia="Century Gothic" w:cs="Century Gothic"/>
        <w:b w:val="0"/>
        <w:bCs w:val="0"/>
        <w:i w:val="0"/>
        <w:iCs w:val="0"/>
        <w:spacing w:val="-2"/>
        <w:w w:val="100"/>
        <w:sz w:val="16"/>
        <w:szCs w:val="16"/>
        <w:lang w:val="en-au" w:eastAsia="en-US" w:bidi="ar-SA"/>
      </w:rPr>
    </w:lvl>
    <w:lvl w:ilvl="3">
      <w:start w:val="1"/>
      <w:numFmt w:val="lowerLetter"/>
      <w:lvlText w:val="(%4)"/>
      <w:lvlJc w:val="left"/>
      <w:pPr>
        <w:ind w:left="700" w:hanging="271"/>
        <w:jc w:val="left"/>
      </w:pPr>
      <w:rPr>
        <w:rFonts w:hint="default" w:ascii="Century Gothic" w:hAnsi="Century Gothic" w:eastAsia="Century Gothic" w:cs="Century Gothic"/>
        <w:b w:val="0"/>
        <w:bCs w:val="0"/>
        <w:i w:val="0"/>
        <w:iCs w:val="0"/>
        <w:w w:val="100"/>
        <w:sz w:val="16"/>
        <w:szCs w:val="16"/>
        <w:lang w:val="en-au" w:eastAsia="en-US" w:bidi="ar-SA"/>
      </w:rPr>
    </w:lvl>
    <w:lvl w:ilvl="4">
      <w:start w:val="0"/>
      <w:numFmt w:val="bullet"/>
      <w:lvlText w:val="•"/>
      <w:lvlJc w:val="left"/>
      <w:pPr>
        <w:ind w:left="3157" w:hanging="271"/>
      </w:pPr>
      <w:rPr>
        <w:rFonts w:hint="default"/>
        <w:lang w:val="en-au" w:eastAsia="en-US" w:bidi="ar-SA"/>
      </w:rPr>
    </w:lvl>
    <w:lvl w:ilvl="5">
      <w:start w:val="0"/>
      <w:numFmt w:val="bullet"/>
      <w:lvlText w:val="•"/>
      <w:lvlJc w:val="left"/>
      <w:pPr>
        <w:ind w:left="3771" w:hanging="271"/>
      </w:pPr>
      <w:rPr>
        <w:rFonts w:hint="default"/>
        <w:lang w:val="en-au" w:eastAsia="en-US" w:bidi="ar-SA"/>
      </w:rPr>
    </w:lvl>
    <w:lvl w:ilvl="6">
      <w:start w:val="0"/>
      <w:numFmt w:val="bullet"/>
      <w:lvlText w:val="•"/>
      <w:lvlJc w:val="left"/>
      <w:pPr>
        <w:ind w:left="4385" w:hanging="271"/>
      </w:pPr>
      <w:rPr>
        <w:rFonts w:hint="default"/>
        <w:lang w:val="en-au" w:eastAsia="en-US" w:bidi="ar-SA"/>
      </w:rPr>
    </w:lvl>
    <w:lvl w:ilvl="7">
      <w:start w:val="0"/>
      <w:numFmt w:val="bullet"/>
      <w:lvlText w:val="•"/>
      <w:lvlJc w:val="left"/>
      <w:pPr>
        <w:ind w:left="5000" w:hanging="271"/>
      </w:pPr>
      <w:rPr>
        <w:rFonts w:hint="default"/>
        <w:lang w:val="en-au" w:eastAsia="en-US" w:bidi="ar-SA"/>
      </w:rPr>
    </w:lvl>
    <w:lvl w:ilvl="8">
      <w:start w:val="0"/>
      <w:numFmt w:val="bullet"/>
      <w:lvlText w:val="•"/>
      <w:lvlJc w:val="left"/>
      <w:pPr>
        <w:ind w:left="5614" w:hanging="271"/>
      </w:pPr>
      <w:rPr>
        <w:rFonts w:hint="default"/>
        <w:lang w:val="en-au" w:eastAsia="en-US" w:bidi="ar-SA"/>
      </w:rPr>
    </w:lvl>
  </w:abstractNum>
  <w:abstractNum w:abstractNumId="8">
    <w:multiLevelType w:val="hybridMultilevel"/>
    <w:lvl w:ilvl="0">
      <w:start w:val="1"/>
      <w:numFmt w:val="decimal"/>
      <w:lvlText w:val="%1."/>
      <w:lvlJc w:val="left"/>
      <w:pPr>
        <w:ind w:left="820" w:hanging="360"/>
        <w:jc w:val="left"/>
      </w:pPr>
      <w:rPr>
        <w:rFonts w:hint="default" w:ascii="Century Gothic" w:hAnsi="Century Gothic" w:eastAsia="Century Gothic" w:cs="Century Gothic"/>
        <w:b w:val="0"/>
        <w:bCs w:val="0"/>
        <w:i w:val="0"/>
        <w:iCs w:val="0"/>
        <w:w w:val="99"/>
        <w:sz w:val="20"/>
        <w:szCs w:val="20"/>
        <w:lang w:val="en-au" w:eastAsia="en-US" w:bidi="ar-SA"/>
      </w:rPr>
    </w:lvl>
    <w:lvl w:ilvl="1">
      <w:start w:val="0"/>
      <w:numFmt w:val="bullet"/>
      <w:lvlText w:val="•"/>
      <w:lvlJc w:val="left"/>
      <w:pPr>
        <w:ind w:left="1680" w:hanging="360"/>
      </w:pPr>
      <w:rPr>
        <w:rFonts w:hint="default"/>
        <w:lang w:val="en-au" w:eastAsia="en-US" w:bidi="ar-SA"/>
      </w:rPr>
    </w:lvl>
    <w:lvl w:ilvl="2">
      <w:start w:val="0"/>
      <w:numFmt w:val="bullet"/>
      <w:lvlText w:val="•"/>
      <w:lvlJc w:val="left"/>
      <w:pPr>
        <w:ind w:left="2541" w:hanging="360"/>
      </w:pPr>
      <w:rPr>
        <w:rFonts w:hint="default"/>
        <w:lang w:val="en-au" w:eastAsia="en-US" w:bidi="ar-SA"/>
      </w:rPr>
    </w:lvl>
    <w:lvl w:ilvl="3">
      <w:start w:val="0"/>
      <w:numFmt w:val="bullet"/>
      <w:lvlText w:val="•"/>
      <w:lvlJc w:val="left"/>
      <w:pPr>
        <w:ind w:left="3401" w:hanging="360"/>
      </w:pPr>
      <w:rPr>
        <w:rFonts w:hint="default"/>
        <w:lang w:val="en-au" w:eastAsia="en-US" w:bidi="ar-SA"/>
      </w:rPr>
    </w:lvl>
    <w:lvl w:ilvl="4">
      <w:start w:val="0"/>
      <w:numFmt w:val="bullet"/>
      <w:lvlText w:val="•"/>
      <w:lvlJc w:val="left"/>
      <w:pPr>
        <w:ind w:left="4262" w:hanging="360"/>
      </w:pPr>
      <w:rPr>
        <w:rFonts w:hint="default"/>
        <w:lang w:val="en-au" w:eastAsia="en-US" w:bidi="ar-SA"/>
      </w:rPr>
    </w:lvl>
    <w:lvl w:ilvl="5">
      <w:start w:val="0"/>
      <w:numFmt w:val="bullet"/>
      <w:lvlText w:val="•"/>
      <w:lvlJc w:val="left"/>
      <w:pPr>
        <w:ind w:left="5123" w:hanging="360"/>
      </w:pPr>
      <w:rPr>
        <w:rFonts w:hint="default"/>
        <w:lang w:val="en-au" w:eastAsia="en-US" w:bidi="ar-SA"/>
      </w:rPr>
    </w:lvl>
    <w:lvl w:ilvl="6">
      <w:start w:val="0"/>
      <w:numFmt w:val="bullet"/>
      <w:lvlText w:val="•"/>
      <w:lvlJc w:val="left"/>
      <w:pPr>
        <w:ind w:left="5983" w:hanging="360"/>
      </w:pPr>
      <w:rPr>
        <w:rFonts w:hint="default"/>
        <w:lang w:val="en-au" w:eastAsia="en-US" w:bidi="ar-SA"/>
      </w:rPr>
    </w:lvl>
    <w:lvl w:ilvl="7">
      <w:start w:val="0"/>
      <w:numFmt w:val="bullet"/>
      <w:lvlText w:val="•"/>
      <w:lvlJc w:val="left"/>
      <w:pPr>
        <w:ind w:left="6844" w:hanging="360"/>
      </w:pPr>
      <w:rPr>
        <w:rFonts w:hint="default"/>
        <w:lang w:val="en-au" w:eastAsia="en-US" w:bidi="ar-SA"/>
      </w:rPr>
    </w:lvl>
    <w:lvl w:ilvl="8">
      <w:start w:val="0"/>
      <w:numFmt w:val="bullet"/>
      <w:lvlText w:val="•"/>
      <w:lvlJc w:val="left"/>
      <w:pPr>
        <w:ind w:left="7705" w:hanging="360"/>
      </w:pPr>
      <w:rPr>
        <w:rFonts w:hint="default"/>
        <w:lang w:val="en-au" w:eastAsia="en-US" w:bidi="ar-SA"/>
      </w:rPr>
    </w:lvl>
  </w:abstractNum>
  <w:abstractNum w:abstractNumId="7">
    <w:multiLevelType w:val="hybridMultilevel"/>
    <w:lvl w:ilvl="0">
      <w:start w:val="0"/>
      <w:numFmt w:val="bullet"/>
      <w:lvlText w:val=""/>
      <w:lvlJc w:val="left"/>
      <w:pPr>
        <w:ind w:left="853" w:hanging="356"/>
      </w:pPr>
      <w:rPr>
        <w:rFonts w:hint="default" w:ascii="Symbol" w:hAnsi="Symbol" w:eastAsia="Symbol" w:cs="Symbol"/>
        <w:b w:val="0"/>
        <w:bCs w:val="0"/>
        <w:i w:val="0"/>
        <w:iCs w:val="0"/>
        <w:w w:val="99"/>
        <w:sz w:val="20"/>
        <w:szCs w:val="20"/>
        <w:lang w:val="en-au" w:eastAsia="en-US" w:bidi="ar-SA"/>
      </w:rPr>
    </w:lvl>
    <w:lvl w:ilvl="1">
      <w:start w:val="0"/>
      <w:numFmt w:val="bullet"/>
      <w:lvlText w:val="•"/>
      <w:lvlJc w:val="left"/>
      <w:pPr>
        <w:ind w:left="1704" w:hanging="356"/>
      </w:pPr>
      <w:rPr>
        <w:rFonts w:hint="default"/>
        <w:lang w:val="en-au" w:eastAsia="en-US" w:bidi="ar-SA"/>
      </w:rPr>
    </w:lvl>
    <w:lvl w:ilvl="2">
      <w:start w:val="0"/>
      <w:numFmt w:val="bullet"/>
      <w:lvlText w:val="•"/>
      <w:lvlJc w:val="left"/>
      <w:pPr>
        <w:ind w:left="2549" w:hanging="356"/>
      </w:pPr>
      <w:rPr>
        <w:rFonts w:hint="default"/>
        <w:lang w:val="en-au" w:eastAsia="en-US" w:bidi="ar-SA"/>
      </w:rPr>
    </w:lvl>
    <w:lvl w:ilvl="3">
      <w:start w:val="0"/>
      <w:numFmt w:val="bullet"/>
      <w:lvlText w:val="•"/>
      <w:lvlJc w:val="left"/>
      <w:pPr>
        <w:ind w:left="3393" w:hanging="356"/>
      </w:pPr>
      <w:rPr>
        <w:rFonts w:hint="default"/>
        <w:lang w:val="en-au" w:eastAsia="en-US" w:bidi="ar-SA"/>
      </w:rPr>
    </w:lvl>
    <w:lvl w:ilvl="4">
      <w:start w:val="0"/>
      <w:numFmt w:val="bullet"/>
      <w:lvlText w:val="•"/>
      <w:lvlJc w:val="left"/>
      <w:pPr>
        <w:ind w:left="4238" w:hanging="356"/>
      </w:pPr>
      <w:rPr>
        <w:rFonts w:hint="default"/>
        <w:lang w:val="en-au" w:eastAsia="en-US" w:bidi="ar-SA"/>
      </w:rPr>
    </w:lvl>
    <w:lvl w:ilvl="5">
      <w:start w:val="0"/>
      <w:numFmt w:val="bullet"/>
      <w:lvlText w:val="•"/>
      <w:lvlJc w:val="left"/>
      <w:pPr>
        <w:ind w:left="5083" w:hanging="356"/>
      </w:pPr>
      <w:rPr>
        <w:rFonts w:hint="default"/>
        <w:lang w:val="en-au" w:eastAsia="en-US" w:bidi="ar-SA"/>
      </w:rPr>
    </w:lvl>
    <w:lvl w:ilvl="6">
      <w:start w:val="0"/>
      <w:numFmt w:val="bullet"/>
      <w:lvlText w:val="•"/>
      <w:lvlJc w:val="left"/>
      <w:pPr>
        <w:ind w:left="5927" w:hanging="356"/>
      </w:pPr>
      <w:rPr>
        <w:rFonts w:hint="default"/>
        <w:lang w:val="en-au" w:eastAsia="en-US" w:bidi="ar-SA"/>
      </w:rPr>
    </w:lvl>
    <w:lvl w:ilvl="7">
      <w:start w:val="0"/>
      <w:numFmt w:val="bullet"/>
      <w:lvlText w:val="•"/>
      <w:lvlJc w:val="left"/>
      <w:pPr>
        <w:ind w:left="6772" w:hanging="356"/>
      </w:pPr>
      <w:rPr>
        <w:rFonts w:hint="default"/>
        <w:lang w:val="en-au" w:eastAsia="en-US" w:bidi="ar-SA"/>
      </w:rPr>
    </w:lvl>
    <w:lvl w:ilvl="8">
      <w:start w:val="0"/>
      <w:numFmt w:val="bullet"/>
      <w:lvlText w:val="•"/>
      <w:lvlJc w:val="left"/>
      <w:pPr>
        <w:ind w:left="7617" w:hanging="356"/>
      </w:pPr>
      <w:rPr>
        <w:rFonts w:hint="default"/>
        <w:lang w:val="en-au" w:eastAsia="en-US" w:bidi="ar-SA"/>
      </w:rPr>
    </w:lvl>
  </w:abstractNum>
  <w:abstractNum w:abstractNumId="6">
    <w:multiLevelType w:val="hybridMultilevel"/>
    <w:lvl w:ilvl="0">
      <w:start w:val="0"/>
      <w:numFmt w:val="bullet"/>
      <w:lvlText w:val=""/>
      <w:lvlJc w:val="left"/>
      <w:pPr>
        <w:ind w:left="276" w:hanging="179"/>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689" w:hanging="179"/>
      </w:pPr>
      <w:rPr>
        <w:rFonts w:hint="default"/>
        <w:lang w:val="en-au" w:eastAsia="en-US" w:bidi="ar-SA"/>
      </w:rPr>
    </w:lvl>
    <w:lvl w:ilvl="2">
      <w:start w:val="0"/>
      <w:numFmt w:val="bullet"/>
      <w:lvlText w:val="•"/>
      <w:lvlJc w:val="left"/>
      <w:pPr>
        <w:ind w:left="1099" w:hanging="179"/>
      </w:pPr>
      <w:rPr>
        <w:rFonts w:hint="default"/>
        <w:lang w:val="en-au" w:eastAsia="en-US" w:bidi="ar-SA"/>
      </w:rPr>
    </w:lvl>
    <w:lvl w:ilvl="3">
      <w:start w:val="0"/>
      <w:numFmt w:val="bullet"/>
      <w:lvlText w:val="•"/>
      <w:lvlJc w:val="left"/>
      <w:pPr>
        <w:ind w:left="1509" w:hanging="179"/>
      </w:pPr>
      <w:rPr>
        <w:rFonts w:hint="default"/>
        <w:lang w:val="en-au" w:eastAsia="en-US" w:bidi="ar-SA"/>
      </w:rPr>
    </w:lvl>
    <w:lvl w:ilvl="4">
      <w:start w:val="0"/>
      <w:numFmt w:val="bullet"/>
      <w:lvlText w:val="•"/>
      <w:lvlJc w:val="left"/>
      <w:pPr>
        <w:ind w:left="1919" w:hanging="179"/>
      </w:pPr>
      <w:rPr>
        <w:rFonts w:hint="default"/>
        <w:lang w:val="en-au" w:eastAsia="en-US" w:bidi="ar-SA"/>
      </w:rPr>
    </w:lvl>
    <w:lvl w:ilvl="5">
      <w:start w:val="0"/>
      <w:numFmt w:val="bullet"/>
      <w:lvlText w:val="•"/>
      <w:lvlJc w:val="left"/>
      <w:pPr>
        <w:ind w:left="2329" w:hanging="179"/>
      </w:pPr>
      <w:rPr>
        <w:rFonts w:hint="default"/>
        <w:lang w:val="en-au" w:eastAsia="en-US" w:bidi="ar-SA"/>
      </w:rPr>
    </w:lvl>
    <w:lvl w:ilvl="6">
      <w:start w:val="0"/>
      <w:numFmt w:val="bullet"/>
      <w:lvlText w:val="•"/>
      <w:lvlJc w:val="left"/>
      <w:pPr>
        <w:ind w:left="2738" w:hanging="179"/>
      </w:pPr>
      <w:rPr>
        <w:rFonts w:hint="default"/>
        <w:lang w:val="en-au" w:eastAsia="en-US" w:bidi="ar-SA"/>
      </w:rPr>
    </w:lvl>
    <w:lvl w:ilvl="7">
      <w:start w:val="0"/>
      <w:numFmt w:val="bullet"/>
      <w:lvlText w:val="•"/>
      <w:lvlJc w:val="left"/>
      <w:pPr>
        <w:ind w:left="3148" w:hanging="179"/>
      </w:pPr>
      <w:rPr>
        <w:rFonts w:hint="default"/>
        <w:lang w:val="en-au" w:eastAsia="en-US" w:bidi="ar-SA"/>
      </w:rPr>
    </w:lvl>
    <w:lvl w:ilvl="8">
      <w:start w:val="0"/>
      <w:numFmt w:val="bullet"/>
      <w:lvlText w:val="•"/>
      <w:lvlJc w:val="left"/>
      <w:pPr>
        <w:ind w:left="3558" w:hanging="179"/>
      </w:pPr>
      <w:rPr>
        <w:rFonts w:hint="default"/>
        <w:lang w:val="en-au" w:eastAsia="en-US" w:bidi="ar-SA"/>
      </w:rPr>
    </w:lvl>
  </w:abstractNum>
  <w:abstractNum w:abstractNumId="5">
    <w:multiLevelType w:val="hybridMultilevel"/>
    <w:lvl w:ilvl="0">
      <w:start w:val="1"/>
      <w:numFmt w:val="decimal"/>
      <w:lvlText w:val="%1."/>
      <w:lvlJc w:val="left"/>
      <w:pPr>
        <w:ind w:left="2153" w:hanging="356"/>
        <w:jc w:val="left"/>
      </w:pPr>
      <w:rPr>
        <w:rFonts w:hint="default" w:ascii="Century Gothic" w:hAnsi="Century Gothic" w:eastAsia="Century Gothic" w:cs="Century Gothic"/>
        <w:b w:val="0"/>
        <w:bCs w:val="0"/>
        <w:i w:val="0"/>
        <w:iCs w:val="0"/>
        <w:w w:val="99"/>
        <w:sz w:val="20"/>
        <w:szCs w:val="20"/>
        <w:lang w:val="en-au" w:eastAsia="en-US" w:bidi="ar-SA"/>
      </w:rPr>
    </w:lvl>
    <w:lvl w:ilvl="1">
      <w:start w:val="0"/>
      <w:numFmt w:val="bullet"/>
      <w:lvlText w:val="•"/>
      <w:lvlJc w:val="left"/>
      <w:pPr>
        <w:ind w:left="3134" w:hanging="356"/>
      </w:pPr>
      <w:rPr>
        <w:rFonts w:hint="default"/>
        <w:lang w:val="en-au" w:eastAsia="en-US" w:bidi="ar-SA"/>
      </w:rPr>
    </w:lvl>
    <w:lvl w:ilvl="2">
      <w:start w:val="0"/>
      <w:numFmt w:val="bullet"/>
      <w:lvlText w:val="•"/>
      <w:lvlJc w:val="left"/>
      <w:pPr>
        <w:ind w:left="4109" w:hanging="356"/>
      </w:pPr>
      <w:rPr>
        <w:rFonts w:hint="default"/>
        <w:lang w:val="en-au" w:eastAsia="en-US" w:bidi="ar-SA"/>
      </w:rPr>
    </w:lvl>
    <w:lvl w:ilvl="3">
      <w:start w:val="0"/>
      <w:numFmt w:val="bullet"/>
      <w:lvlText w:val="•"/>
      <w:lvlJc w:val="left"/>
      <w:pPr>
        <w:ind w:left="5083" w:hanging="356"/>
      </w:pPr>
      <w:rPr>
        <w:rFonts w:hint="default"/>
        <w:lang w:val="en-au" w:eastAsia="en-US" w:bidi="ar-SA"/>
      </w:rPr>
    </w:lvl>
    <w:lvl w:ilvl="4">
      <w:start w:val="0"/>
      <w:numFmt w:val="bullet"/>
      <w:lvlText w:val="•"/>
      <w:lvlJc w:val="left"/>
      <w:pPr>
        <w:ind w:left="6058" w:hanging="356"/>
      </w:pPr>
      <w:rPr>
        <w:rFonts w:hint="default"/>
        <w:lang w:val="en-au" w:eastAsia="en-US" w:bidi="ar-SA"/>
      </w:rPr>
    </w:lvl>
    <w:lvl w:ilvl="5">
      <w:start w:val="0"/>
      <w:numFmt w:val="bullet"/>
      <w:lvlText w:val="•"/>
      <w:lvlJc w:val="left"/>
      <w:pPr>
        <w:ind w:left="7033" w:hanging="356"/>
      </w:pPr>
      <w:rPr>
        <w:rFonts w:hint="default"/>
        <w:lang w:val="en-au" w:eastAsia="en-US" w:bidi="ar-SA"/>
      </w:rPr>
    </w:lvl>
    <w:lvl w:ilvl="6">
      <w:start w:val="0"/>
      <w:numFmt w:val="bullet"/>
      <w:lvlText w:val="•"/>
      <w:lvlJc w:val="left"/>
      <w:pPr>
        <w:ind w:left="8007" w:hanging="356"/>
      </w:pPr>
      <w:rPr>
        <w:rFonts w:hint="default"/>
        <w:lang w:val="en-au" w:eastAsia="en-US" w:bidi="ar-SA"/>
      </w:rPr>
    </w:lvl>
    <w:lvl w:ilvl="7">
      <w:start w:val="0"/>
      <w:numFmt w:val="bullet"/>
      <w:lvlText w:val="•"/>
      <w:lvlJc w:val="left"/>
      <w:pPr>
        <w:ind w:left="8982" w:hanging="356"/>
      </w:pPr>
      <w:rPr>
        <w:rFonts w:hint="default"/>
        <w:lang w:val="en-au" w:eastAsia="en-US" w:bidi="ar-SA"/>
      </w:rPr>
    </w:lvl>
    <w:lvl w:ilvl="8">
      <w:start w:val="0"/>
      <w:numFmt w:val="bullet"/>
      <w:lvlText w:val="•"/>
      <w:lvlJc w:val="left"/>
      <w:pPr>
        <w:ind w:left="9957" w:hanging="356"/>
      </w:pPr>
      <w:rPr>
        <w:rFonts w:hint="default"/>
        <w:lang w:val="en-au" w:eastAsia="en-US" w:bidi="ar-SA"/>
      </w:rPr>
    </w:lvl>
  </w:abstractNum>
  <w:abstractNum w:abstractNumId="4">
    <w:multiLevelType w:val="hybridMultilevel"/>
    <w:lvl w:ilvl="0">
      <w:start w:val="0"/>
      <w:numFmt w:val="bullet"/>
      <w:lvlText w:val=""/>
      <w:lvlJc w:val="left"/>
      <w:pPr>
        <w:ind w:left="2153" w:hanging="356"/>
      </w:pPr>
      <w:rPr>
        <w:rFonts w:hint="default" w:ascii="Symbol" w:hAnsi="Symbol" w:eastAsia="Symbol" w:cs="Symbol"/>
        <w:b w:val="0"/>
        <w:bCs w:val="0"/>
        <w:i w:val="0"/>
        <w:iCs w:val="0"/>
        <w:w w:val="99"/>
        <w:sz w:val="20"/>
        <w:szCs w:val="20"/>
        <w:lang w:val="en-au" w:eastAsia="en-US" w:bidi="ar-SA"/>
      </w:rPr>
    </w:lvl>
    <w:lvl w:ilvl="1">
      <w:start w:val="0"/>
      <w:numFmt w:val="bullet"/>
      <w:lvlText w:val="o"/>
      <w:lvlJc w:val="left"/>
      <w:pPr>
        <w:ind w:left="2880" w:hanging="360"/>
      </w:pPr>
      <w:rPr>
        <w:rFonts w:hint="default" w:ascii="Courier New" w:hAnsi="Courier New" w:eastAsia="Courier New" w:cs="Courier New"/>
        <w:b w:val="0"/>
        <w:bCs w:val="0"/>
        <w:i w:val="0"/>
        <w:iCs w:val="0"/>
        <w:w w:val="99"/>
        <w:sz w:val="20"/>
        <w:szCs w:val="20"/>
        <w:lang w:val="en-au" w:eastAsia="en-US" w:bidi="ar-SA"/>
      </w:rPr>
    </w:lvl>
    <w:lvl w:ilvl="2">
      <w:start w:val="0"/>
      <w:numFmt w:val="bullet"/>
      <w:lvlText w:val="•"/>
      <w:lvlJc w:val="left"/>
      <w:pPr>
        <w:ind w:left="3882" w:hanging="360"/>
      </w:pPr>
      <w:rPr>
        <w:rFonts w:hint="default"/>
        <w:lang w:val="en-au" w:eastAsia="en-US" w:bidi="ar-SA"/>
      </w:rPr>
    </w:lvl>
    <w:lvl w:ilvl="3">
      <w:start w:val="0"/>
      <w:numFmt w:val="bullet"/>
      <w:lvlText w:val="•"/>
      <w:lvlJc w:val="left"/>
      <w:pPr>
        <w:ind w:left="4885" w:hanging="360"/>
      </w:pPr>
      <w:rPr>
        <w:rFonts w:hint="default"/>
        <w:lang w:val="en-au" w:eastAsia="en-US" w:bidi="ar-SA"/>
      </w:rPr>
    </w:lvl>
    <w:lvl w:ilvl="4">
      <w:start w:val="0"/>
      <w:numFmt w:val="bullet"/>
      <w:lvlText w:val="•"/>
      <w:lvlJc w:val="left"/>
      <w:pPr>
        <w:ind w:left="5888" w:hanging="360"/>
      </w:pPr>
      <w:rPr>
        <w:rFonts w:hint="default"/>
        <w:lang w:val="en-au" w:eastAsia="en-US" w:bidi="ar-SA"/>
      </w:rPr>
    </w:lvl>
    <w:lvl w:ilvl="5">
      <w:start w:val="0"/>
      <w:numFmt w:val="bullet"/>
      <w:lvlText w:val="•"/>
      <w:lvlJc w:val="left"/>
      <w:pPr>
        <w:ind w:left="6891" w:hanging="360"/>
      </w:pPr>
      <w:rPr>
        <w:rFonts w:hint="default"/>
        <w:lang w:val="en-au" w:eastAsia="en-US" w:bidi="ar-SA"/>
      </w:rPr>
    </w:lvl>
    <w:lvl w:ilvl="6">
      <w:start w:val="0"/>
      <w:numFmt w:val="bullet"/>
      <w:lvlText w:val="•"/>
      <w:lvlJc w:val="left"/>
      <w:pPr>
        <w:ind w:left="7894" w:hanging="360"/>
      </w:pPr>
      <w:rPr>
        <w:rFonts w:hint="default"/>
        <w:lang w:val="en-au" w:eastAsia="en-US" w:bidi="ar-SA"/>
      </w:rPr>
    </w:lvl>
    <w:lvl w:ilvl="7">
      <w:start w:val="0"/>
      <w:numFmt w:val="bullet"/>
      <w:lvlText w:val="•"/>
      <w:lvlJc w:val="left"/>
      <w:pPr>
        <w:ind w:left="8897" w:hanging="360"/>
      </w:pPr>
      <w:rPr>
        <w:rFonts w:hint="default"/>
        <w:lang w:val="en-au" w:eastAsia="en-US" w:bidi="ar-SA"/>
      </w:rPr>
    </w:lvl>
    <w:lvl w:ilvl="8">
      <w:start w:val="0"/>
      <w:numFmt w:val="bullet"/>
      <w:lvlText w:val="•"/>
      <w:lvlJc w:val="left"/>
      <w:pPr>
        <w:ind w:left="9900" w:hanging="360"/>
      </w:pPr>
      <w:rPr>
        <w:rFonts w:hint="default"/>
        <w:lang w:val="en-au" w:eastAsia="en-US" w:bidi="ar-SA"/>
      </w:rPr>
    </w:lvl>
  </w:abstractNum>
  <w:abstractNum w:abstractNumId="3">
    <w:multiLevelType w:val="hybridMultilevel"/>
    <w:lvl w:ilvl="0">
      <w:start w:val="0"/>
      <w:numFmt w:val="bullet"/>
      <w:lvlText w:val=""/>
      <w:lvlJc w:val="left"/>
      <w:pPr>
        <w:ind w:left="271" w:hanging="142"/>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583" w:hanging="142"/>
      </w:pPr>
      <w:rPr>
        <w:rFonts w:hint="default"/>
        <w:lang w:val="en-au" w:eastAsia="en-US" w:bidi="ar-SA"/>
      </w:rPr>
    </w:lvl>
    <w:lvl w:ilvl="2">
      <w:start w:val="0"/>
      <w:numFmt w:val="bullet"/>
      <w:lvlText w:val="•"/>
      <w:lvlJc w:val="left"/>
      <w:pPr>
        <w:ind w:left="886" w:hanging="142"/>
      </w:pPr>
      <w:rPr>
        <w:rFonts w:hint="default"/>
        <w:lang w:val="en-au" w:eastAsia="en-US" w:bidi="ar-SA"/>
      </w:rPr>
    </w:lvl>
    <w:lvl w:ilvl="3">
      <w:start w:val="0"/>
      <w:numFmt w:val="bullet"/>
      <w:lvlText w:val="•"/>
      <w:lvlJc w:val="left"/>
      <w:pPr>
        <w:ind w:left="1189" w:hanging="142"/>
      </w:pPr>
      <w:rPr>
        <w:rFonts w:hint="default"/>
        <w:lang w:val="en-au" w:eastAsia="en-US" w:bidi="ar-SA"/>
      </w:rPr>
    </w:lvl>
    <w:lvl w:ilvl="4">
      <w:start w:val="0"/>
      <w:numFmt w:val="bullet"/>
      <w:lvlText w:val="•"/>
      <w:lvlJc w:val="left"/>
      <w:pPr>
        <w:ind w:left="1492" w:hanging="142"/>
      </w:pPr>
      <w:rPr>
        <w:rFonts w:hint="default"/>
        <w:lang w:val="en-au" w:eastAsia="en-US" w:bidi="ar-SA"/>
      </w:rPr>
    </w:lvl>
    <w:lvl w:ilvl="5">
      <w:start w:val="0"/>
      <w:numFmt w:val="bullet"/>
      <w:lvlText w:val="•"/>
      <w:lvlJc w:val="left"/>
      <w:pPr>
        <w:ind w:left="1795" w:hanging="142"/>
      </w:pPr>
      <w:rPr>
        <w:rFonts w:hint="default"/>
        <w:lang w:val="en-au" w:eastAsia="en-US" w:bidi="ar-SA"/>
      </w:rPr>
    </w:lvl>
    <w:lvl w:ilvl="6">
      <w:start w:val="0"/>
      <w:numFmt w:val="bullet"/>
      <w:lvlText w:val="•"/>
      <w:lvlJc w:val="left"/>
      <w:pPr>
        <w:ind w:left="2098" w:hanging="142"/>
      </w:pPr>
      <w:rPr>
        <w:rFonts w:hint="default"/>
        <w:lang w:val="en-au" w:eastAsia="en-US" w:bidi="ar-SA"/>
      </w:rPr>
    </w:lvl>
    <w:lvl w:ilvl="7">
      <w:start w:val="0"/>
      <w:numFmt w:val="bullet"/>
      <w:lvlText w:val="•"/>
      <w:lvlJc w:val="left"/>
      <w:pPr>
        <w:ind w:left="2401" w:hanging="142"/>
      </w:pPr>
      <w:rPr>
        <w:rFonts w:hint="default"/>
        <w:lang w:val="en-au" w:eastAsia="en-US" w:bidi="ar-SA"/>
      </w:rPr>
    </w:lvl>
    <w:lvl w:ilvl="8">
      <w:start w:val="0"/>
      <w:numFmt w:val="bullet"/>
      <w:lvlText w:val="•"/>
      <w:lvlJc w:val="left"/>
      <w:pPr>
        <w:ind w:left="2704" w:hanging="142"/>
      </w:pPr>
      <w:rPr>
        <w:rFonts w:hint="default"/>
        <w:lang w:val="en-au" w:eastAsia="en-US" w:bidi="ar-SA"/>
      </w:rPr>
    </w:lvl>
  </w:abstractNum>
  <w:abstractNum w:abstractNumId="2">
    <w:multiLevelType w:val="hybridMultilevel"/>
    <w:lvl w:ilvl="0">
      <w:start w:val="0"/>
      <w:numFmt w:val="bullet"/>
      <w:lvlText w:val=""/>
      <w:lvlJc w:val="left"/>
      <w:pPr>
        <w:ind w:left="271" w:hanging="142"/>
      </w:pPr>
      <w:rPr>
        <w:rFonts w:hint="default" w:ascii="Symbol" w:hAnsi="Symbol" w:eastAsia="Symbol" w:cs="Symbol"/>
        <w:b w:val="0"/>
        <w:bCs w:val="0"/>
        <w:i w:val="0"/>
        <w:iCs w:val="0"/>
        <w:w w:val="100"/>
        <w:sz w:val="18"/>
        <w:szCs w:val="18"/>
        <w:lang w:val="en-au" w:eastAsia="en-US" w:bidi="ar-SA"/>
      </w:rPr>
    </w:lvl>
    <w:lvl w:ilvl="1">
      <w:start w:val="0"/>
      <w:numFmt w:val="bullet"/>
      <w:lvlText w:val="•"/>
      <w:lvlJc w:val="left"/>
      <w:pPr>
        <w:ind w:left="583" w:hanging="142"/>
      </w:pPr>
      <w:rPr>
        <w:rFonts w:hint="default"/>
        <w:lang w:val="en-au" w:eastAsia="en-US" w:bidi="ar-SA"/>
      </w:rPr>
    </w:lvl>
    <w:lvl w:ilvl="2">
      <w:start w:val="0"/>
      <w:numFmt w:val="bullet"/>
      <w:lvlText w:val="•"/>
      <w:lvlJc w:val="left"/>
      <w:pPr>
        <w:ind w:left="886" w:hanging="142"/>
      </w:pPr>
      <w:rPr>
        <w:rFonts w:hint="default"/>
        <w:lang w:val="en-au" w:eastAsia="en-US" w:bidi="ar-SA"/>
      </w:rPr>
    </w:lvl>
    <w:lvl w:ilvl="3">
      <w:start w:val="0"/>
      <w:numFmt w:val="bullet"/>
      <w:lvlText w:val="•"/>
      <w:lvlJc w:val="left"/>
      <w:pPr>
        <w:ind w:left="1189" w:hanging="142"/>
      </w:pPr>
      <w:rPr>
        <w:rFonts w:hint="default"/>
        <w:lang w:val="en-au" w:eastAsia="en-US" w:bidi="ar-SA"/>
      </w:rPr>
    </w:lvl>
    <w:lvl w:ilvl="4">
      <w:start w:val="0"/>
      <w:numFmt w:val="bullet"/>
      <w:lvlText w:val="•"/>
      <w:lvlJc w:val="left"/>
      <w:pPr>
        <w:ind w:left="1492" w:hanging="142"/>
      </w:pPr>
      <w:rPr>
        <w:rFonts w:hint="default"/>
        <w:lang w:val="en-au" w:eastAsia="en-US" w:bidi="ar-SA"/>
      </w:rPr>
    </w:lvl>
    <w:lvl w:ilvl="5">
      <w:start w:val="0"/>
      <w:numFmt w:val="bullet"/>
      <w:lvlText w:val="•"/>
      <w:lvlJc w:val="left"/>
      <w:pPr>
        <w:ind w:left="1795" w:hanging="142"/>
      </w:pPr>
      <w:rPr>
        <w:rFonts w:hint="default"/>
        <w:lang w:val="en-au" w:eastAsia="en-US" w:bidi="ar-SA"/>
      </w:rPr>
    </w:lvl>
    <w:lvl w:ilvl="6">
      <w:start w:val="0"/>
      <w:numFmt w:val="bullet"/>
      <w:lvlText w:val="•"/>
      <w:lvlJc w:val="left"/>
      <w:pPr>
        <w:ind w:left="2098" w:hanging="142"/>
      </w:pPr>
      <w:rPr>
        <w:rFonts w:hint="default"/>
        <w:lang w:val="en-au" w:eastAsia="en-US" w:bidi="ar-SA"/>
      </w:rPr>
    </w:lvl>
    <w:lvl w:ilvl="7">
      <w:start w:val="0"/>
      <w:numFmt w:val="bullet"/>
      <w:lvlText w:val="•"/>
      <w:lvlJc w:val="left"/>
      <w:pPr>
        <w:ind w:left="2401" w:hanging="142"/>
      </w:pPr>
      <w:rPr>
        <w:rFonts w:hint="default"/>
        <w:lang w:val="en-au" w:eastAsia="en-US" w:bidi="ar-SA"/>
      </w:rPr>
    </w:lvl>
    <w:lvl w:ilvl="8">
      <w:start w:val="0"/>
      <w:numFmt w:val="bullet"/>
      <w:lvlText w:val="•"/>
      <w:lvlJc w:val="left"/>
      <w:pPr>
        <w:ind w:left="2704" w:hanging="142"/>
      </w:pPr>
      <w:rPr>
        <w:rFonts w:hint="default"/>
        <w:lang w:val="en-au" w:eastAsia="en-US" w:bidi="ar-SA"/>
      </w:rPr>
    </w:lvl>
  </w:abstractNum>
  <w:abstractNum w:abstractNumId="1">
    <w:multiLevelType w:val="hybridMultilevel"/>
    <w:lvl w:ilvl="0">
      <w:start w:val="0"/>
      <w:numFmt w:val="bullet"/>
      <w:lvlText w:val=""/>
      <w:lvlJc w:val="left"/>
      <w:pPr>
        <w:ind w:left="2153" w:hanging="356"/>
      </w:pPr>
      <w:rPr>
        <w:rFonts w:hint="default" w:ascii="Symbol" w:hAnsi="Symbol" w:eastAsia="Symbol" w:cs="Symbol"/>
        <w:b w:val="0"/>
        <w:bCs w:val="0"/>
        <w:i w:val="0"/>
        <w:iCs w:val="0"/>
        <w:w w:val="99"/>
        <w:sz w:val="20"/>
        <w:szCs w:val="20"/>
        <w:lang w:val="en-au" w:eastAsia="en-US" w:bidi="ar-SA"/>
      </w:rPr>
    </w:lvl>
    <w:lvl w:ilvl="1">
      <w:start w:val="0"/>
      <w:numFmt w:val="bullet"/>
      <w:lvlText w:val="o"/>
      <w:lvlJc w:val="left"/>
      <w:pPr>
        <w:ind w:left="2880" w:hanging="360"/>
      </w:pPr>
      <w:rPr>
        <w:rFonts w:hint="default" w:ascii="Courier New" w:hAnsi="Courier New" w:eastAsia="Courier New" w:cs="Courier New"/>
        <w:b w:val="0"/>
        <w:bCs w:val="0"/>
        <w:i w:val="0"/>
        <w:iCs w:val="0"/>
        <w:w w:val="99"/>
        <w:sz w:val="20"/>
        <w:szCs w:val="20"/>
        <w:lang w:val="en-au" w:eastAsia="en-US" w:bidi="ar-SA"/>
      </w:rPr>
    </w:lvl>
    <w:lvl w:ilvl="2">
      <w:start w:val="0"/>
      <w:numFmt w:val="bullet"/>
      <w:lvlText w:val="•"/>
      <w:lvlJc w:val="left"/>
      <w:pPr>
        <w:ind w:left="3882" w:hanging="360"/>
      </w:pPr>
      <w:rPr>
        <w:rFonts w:hint="default"/>
        <w:lang w:val="en-au" w:eastAsia="en-US" w:bidi="ar-SA"/>
      </w:rPr>
    </w:lvl>
    <w:lvl w:ilvl="3">
      <w:start w:val="0"/>
      <w:numFmt w:val="bullet"/>
      <w:lvlText w:val="•"/>
      <w:lvlJc w:val="left"/>
      <w:pPr>
        <w:ind w:left="4885" w:hanging="360"/>
      </w:pPr>
      <w:rPr>
        <w:rFonts w:hint="default"/>
        <w:lang w:val="en-au" w:eastAsia="en-US" w:bidi="ar-SA"/>
      </w:rPr>
    </w:lvl>
    <w:lvl w:ilvl="4">
      <w:start w:val="0"/>
      <w:numFmt w:val="bullet"/>
      <w:lvlText w:val="•"/>
      <w:lvlJc w:val="left"/>
      <w:pPr>
        <w:ind w:left="5888" w:hanging="360"/>
      </w:pPr>
      <w:rPr>
        <w:rFonts w:hint="default"/>
        <w:lang w:val="en-au" w:eastAsia="en-US" w:bidi="ar-SA"/>
      </w:rPr>
    </w:lvl>
    <w:lvl w:ilvl="5">
      <w:start w:val="0"/>
      <w:numFmt w:val="bullet"/>
      <w:lvlText w:val="•"/>
      <w:lvlJc w:val="left"/>
      <w:pPr>
        <w:ind w:left="6891" w:hanging="360"/>
      </w:pPr>
      <w:rPr>
        <w:rFonts w:hint="default"/>
        <w:lang w:val="en-au" w:eastAsia="en-US" w:bidi="ar-SA"/>
      </w:rPr>
    </w:lvl>
    <w:lvl w:ilvl="6">
      <w:start w:val="0"/>
      <w:numFmt w:val="bullet"/>
      <w:lvlText w:val="•"/>
      <w:lvlJc w:val="left"/>
      <w:pPr>
        <w:ind w:left="7894" w:hanging="360"/>
      </w:pPr>
      <w:rPr>
        <w:rFonts w:hint="default"/>
        <w:lang w:val="en-au" w:eastAsia="en-US" w:bidi="ar-SA"/>
      </w:rPr>
    </w:lvl>
    <w:lvl w:ilvl="7">
      <w:start w:val="0"/>
      <w:numFmt w:val="bullet"/>
      <w:lvlText w:val="•"/>
      <w:lvlJc w:val="left"/>
      <w:pPr>
        <w:ind w:left="8897" w:hanging="360"/>
      </w:pPr>
      <w:rPr>
        <w:rFonts w:hint="default"/>
        <w:lang w:val="en-au" w:eastAsia="en-US" w:bidi="ar-SA"/>
      </w:rPr>
    </w:lvl>
    <w:lvl w:ilvl="8">
      <w:start w:val="0"/>
      <w:numFmt w:val="bullet"/>
      <w:lvlText w:val="•"/>
      <w:lvlJc w:val="left"/>
      <w:pPr>
        <w:ind w:left="9900" w:hanging="360"/>
      </w:pPr>
      <w:rPr>
        <w:rFonts w:hint="default"/>
        <w:lang w:val="en-au" w:eastAsia="en-US" w:bidi="ar-SA"/>
      </w:rPr>
    </w:lvl>
  </w:abstractNum>
  <w:abstractNum w:abstractNumId="0">
    <w:multiLevelType w:val="hybridMultilevel"/>
    <w:lvl w:ilvl="0">
      <w:start w:val="1"/>
      <w:numFmt w:val="decimal"/>
      <w:lvlText w:val="%1"/>
      <w:lvlJc w:val="left"/>
      <w:pPr>
        <w:ind w:left="1668" w:hanging="370"/>
        <w:jc w:val="left"/>
      </w:pPr>
      <w:rPr>
        <w:rFonts w:hint="default" w:ascii="Century Gothic" w:hAnsi="Century Gothic" w:eastAsia="Century Gothic" w:cs="Century Gothic"/>
        <w:b w:val="0"/>
        <w:bCs w:val="0"/>
        <w:i/>
        <w:iCs/>
        <w:color w:val="003C79"/>
        <w:w w:val="99"/>
        <w:sz w:val="20"/>
        <w:szCs w:val="20"/>
        <w:lang w:val="en-au" w:eastAsia="en-US" w:bidi="ar-SA"/>
      </w:rPr>
    </w:lvl>
    <w:lvl w:ilvl="1">
      <w:start w:val="1"/>
      <w:numFmt w:val="decimal"/>
      <w:lvlText w:val="%2."/>
      <w:lvlJc w:val="left"/>
      <w:pPr>
        <w:ind w:left="2153" w:hanging="356"/>
        <w:jc w:val="left"/>
      </w:pPr>
      <w:rPr>
        <w:rFonts w:hint="default" w:ascii="Century Gothic" w:hAnsi="Century Gothic" w:eastAsia="Century Gothic" w:cs="Century Gothic"/>
        <w:b w:val="0"/>
        <w:bCs w:val="0"/>
        <w:i w:val="0"/>
        <w:iCs w:val="0"/>
        <w:w w:val="99"/>
        <w:sz w:val="20"/>
        <w:szCs w:val="20"/>
        <w:lang w:val="en-au" w:eastAsia="en-US" w:bidi="ar-SA"/>
      </w:rPr>
    </w:lvl>
    <w:lvl w:ilvl="2">
      <w:start w:val="0"/>
      <w:numFmt w:val="bullet"/>
      <w:lvlText w:val="•"/>
      <w:lvlJc w:val="left"/>
      <w:pPr>
        <w:ind w:left="3242" w:hanging="356"/>
      </w:pPr>
      <w:rPr>
        <w:rFonts w:hint="default"/>
        <w:lang w:val="en-au" w:eastAsia="en-US" w:bidi="ar-SA"/>
      </w:rPr>
    </w:lvl>
    <w:lvl w:ilvl="3">
      <w:start w:val="0"/>
      <w:numFmt w:val="bullet"/>
      <w:lvlText w:val="•"/>
      <w:lvlJc w:val="left"/>
      <w:pPr>
        <w:ind w:left="4325" w:hanging="356"/>
      </w:pPr>
      <w:rPr>
        <w:rFonts w:hint="default"/>
        <w:lang w:val="en-au" w:eastAsia="en-US" w:bidi="ar-SA"/>
      </w:rPr>
    </w:lvl>
    <w:lvl w:ilvl="4">
      <w:start w:val="0"/>
      <w:numFmt w:val="bullet"/>
      <w:lvlText w:val="•"/>
      <w:lvlJc w:val="left"/>
      <w:pPr>
        <w:ind w:left="5408" w:hanging="356"/>
      </w:pPr>
      <w:rPr>
        <w:rFonts w:hint="default"/>
        <w:lang w:val="en-au" w:eastAsia="en-US" w:bidi="ar-SA"/>
      </w:rPr>
    </w:lvl>
    <w:lvl w:ilvl="5">
      <w:start w:val="0"/>
      <w:numFmt w:val="bullet"/>
      <w:lvlText w:val="•"/>
      <w:lvlJc w:val="left"/>
      <w:pPr>
        <w:ind w:left="6491" w:hanging="356"/>
      </w:pPr>
      <w:rPr>
        <w:rFonts w:hint="default"/>
        <w:lang w:val="en-au" w:eastAsia="en-US" w:bidi="ar-SA"/>
      </w:rPr>
    </w:lvl>
    <w:lvl w:ilvl="6">
      <w:start w:val="0"/>
      <w:numFmt w:val="bullet"/>
      <w:lvlText w:val="•"/>
      <w:lvlJc w:val="left"/>
      <w:pPr>
        <w:ind w:left="7574" w:hanging="356"/>
      </w:pPr>
      <w:rPr>
        <w:rFonts w:hint="default"/>
        <w:lang w:val="en-au" w:eastAsia="en-US" w:bidi="ar-SA"/>
      </w:rPr>
    </w:lvl>
    <w:lvl w:ilvl="7">
      <w:start w:val="0"/>
      <w:numFmt w:val="bullet"/>
      <w:lvlText w:val="•"/>
      <w:lvlJc w:val="left"/>
      <w:pPr>
        <w:ind w:left="8657" w:hanging="356"/>
      </w:pPr>
      <w:rPr>
        <w:rFonts w:hint="default"/>
        <w:lang w:val="en-au" w:eastAsia="en-US" w:bidi="ar-SA"/>
      </w:rPr>
    </w:lvl>
    <w:lvl w:ilvl="8">
      <w:start w:val="0"/>
      <w:numFmt w:val="bullet"/>
      <w:lvlText w:val="•"/>
      <w:lvlJc w:val="left"/>
      <w:pPr>
        <w:ind w:left="9740" w:hanging="356"/>
      </w:pPr>
      <w:rPr>
        <w:rFonts w:hint="default"/>
        <w:lang w:val="en-au" w:eastAsia="en-US" w:bidi="ar-SA"/>
      </w:rPr>
    </w:lvl>
  </w:abstractNum>
  <w:num w:numId="284">
    <w:abstractNumId w:val="283"/>
  </w:num>
  <w:num w:numId="283">
    <w:abstractNumId w:val="282"/>
  </w:num>
  <w:num w:numId="282">
    <w:abstractNumId w:val="281"/>
  </w:num>
  <w:num w:numId="281">
    <w:abstractNumId w:val="280"/>
  </w:num>
  <w:num w:numId="280">
    <w:abstractNumId w:val="279"/>
  </w:num>
  <w:num w:numId="279">
    <w:abstractNumId w:val="278"/>
  </w:num>
  <w:num w:numId="278">
    <w:abstractNumId w:val="277"/>
  </w:num>
  <w:num w:numId="277">
    <w:abstractNumId w:val="276"/>
  </w:num>
  <w:num w:numId="276">
    <w:abstractNumId w:val="275"/>
  </w:num>
  <w:num w:numId="275">
    <w:abstractNumId w:val="274"/>
  </w:num>
  <w:num w:numId="274">
    <w:abstractNumId w:val="273"/>
  </w:num>
  <w:num w:numId="273">
    <w:abstractNumId w:val="272"/>
  </w:num>
  <w:num w:numId="272">
    <w:abstractNumId w:val="271"/>
  </w:num>
  <w:num w:numId="271">
    <w:abstractNumId w:val="270"/>
  </w:num>
  <w:num w:numId="270">
    <w:abstractNumId w:val="269"/>
  </w:num>
  <w:num w:numId="269">
    <w:abstractNumId w:val="268"/>
  </w:num>
  <w:num w:numId="268">
    <w:abstractNumId w:val="267"/>
  </w:num>
  <w:num w:numId="267">
    <w:abstractNumId w:val="266"/>
  </w:num>
  <w:num w:numId="266">
    <w:abstractNumId w:val="265"/>
  </w:num>
  <w:num w:numId="265">
    <w:abstractNumId w:val="264"/>
  </w:num>
  <w:num w:numId="264">
    <w:abstractNumId w:val="263"/>
  </w:num>
  <w:num w:numId="263">
    <w:abstractNumId w:val="262"/>
  </w:num>
  <w:num w:numId="262">
    <w:abstractNumId w:val="261"/>
  </w:num>
  <w:num w:numId="261">
    <w:abstractNumId w:val="260"/>
  </w:num>
  <w:num w:numId="260">
    <w:abstractNumId w:val="259"/>
  </w:num>
  <w:num w:numId="259">
    <w:abstractNumId w:val="258"/>
  </w:num>
  <w:num w:numId="258">
    <w:abstractNumId w:val="257"/>
  </w:num>
  <w:num w:numId="257">
    <w:abstractNumId w:val="256"/>
  </w:num>
  <w:num w:numId="256">
    <w:abstractNumId w:val="255"/>
  </w:num>
  <w:num w:numId="255">
    <w:abstractNumId w:val="254"/>
  </w:num>
  <w:num w:numId="254">
    <w:abstractNumId w:val="253"/>
  </w:num>
  <w:num w:numId="253">
    <w:abstractNumId w:val="252"/>
  </w:num>
  <w:num w:numId="252">
    <w:abstractNumId w:val="251"/>
  </w:num>
  <w:num w:numId="251">
    <w:abstractNumId w:val="250"/>
  </w:num>
  <w:num w:numId="250">
    <w:abstractNumId w:val="249"/>
  </w:num>
  <w:num w:numId="249">
    <w:abstractNumId w:val="248"/>
  </w:num>
  <w:num w:numId="248">
    <w:abstractNumId w:val="247"/>
  </w:num>
  <w:num w:numId="247">
    <w:abstractNumId w:val="246"/>
  </w:num>
  <w:num w:numId="246">
    <w:abstractNumId w:val="245"/>
  </w:num>
  <w:num w:numId="245">
    <w:abstractNumId w:val="244"/>
  </w:num>
  <w:num w:numId="244">
    <w:abstractNumId w:val="243"/>
  </w:num>
  <w:num w:numId="243">
    <w:abstractNumId w:val="242"/>
  </w:num>
  <w:num w:numId="242">
    <w:abstractNumId w:val="241"/>
  </w:num>
  <w:num w:numId="241">
    <w:abstractNumId w:val="240"/>
  </w:num>
  <w:num w:numId="240">
    <w:abstractNumId w:val="239"/>
  </w:num>
  <w:num w:numId="239">
    <w:abstractNumId w:val="238"/>
  </w:num>
  <w:num w:numId="238">
    <w:abstractNumId w:val="237"/>
  </w:num>
  <w:num w:numId="237">
    <w:abstractNumId w:val="236"/>
  </w:num>
  <w:num w:numId="236">
    <w:abstractNumId w:val="235"/>
  </w:num>
  <w:num w:numId="235">
    <w:abstractNumId w:val="234"/>
  </w:num>
  <w:num w:numId="234">
    <w:abstractNumId w:val="233"/>
  </w:num>
  <w:num w:numId="233">
    <w:abstractNumId w:val="232"/>
  </w:num>
  <w:num w:numId="232">
    <w:abstractNumId w:val="231"/>
  </w:num>
  <w:num w:numId="231">
    <w:abstractNumId w:val="230"/>
  </w:num>
  <w:num w:numId="230">
    <w:abstractNumId w:val="229"/>
  </w:num>
  <w:num w:numId="229">
    <w:abstractNumId w:val="228"/>
  </w:num>
  <w:num w:numId="228">
    <w:abstractNumId w:val="227"/>
  </w:num>
  <w:num w:numId="227">
    <w:abstractNumId w:val="226"/>
  </w:num>
  <w:num w:numId="226">
    <w:abstractNumId w:val="225"/>
  </w:num>
  <w:num w:numId="225">
    <w:abstractNumId w:val="224"/>
  </w:num>
  <w:num w:numId="224">
    <w:abstractNumId w:val="223"/>
  </w:num>
  <w:num w:numId="223">
    <w:abstractNumId w:val="222"/>
  </w:num>
  <w:num w:numId="222">
    <w:abstractNumId w:val="221"/>
  </w:num>
  <w:num w:numId="221">
    <w:abstractNumId w:val="220"/>
  </w:num>
  <w:num w:numId="220">
    <w:abstractNumId w:val="219"/>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1">
    <w:abstractNumId w:val="210"/>
  </w:num>
  <w:num w:numId="210">
    <w:abstractNumId w:val="209"/>
  </w:num>
  <w:num w:numId="209">
    <w:abstractNumId w:val="208"/>
  </w:num>
  <w:num w:numId="208">
    <w:abstractNumId w:val="207"/>
  </w:num>
  <w:num w:numId="207">
    <w:abstractNumId w:val="206"/>
  </w:num>
  <w:num w:numId="206">
    <w:abstractNumId w:val="205"/>
  </w:num>
  <w:num w:numId="205">
    <w:abstractNumId w:val="204"/>
  </w:num>
  <w:num w:numId="204">
    <w:abstractNumId w:val="203"/>
  </w:num>
  <w:num w:numId="203">
    <w:abstractNumId w:val="202"/>
  </w:num>
  <w:num w:numId="202">
    <w:abstractNumId w:val="201"/>
  </w:num>
  <w:num w:numId="201">
    <w:abstractNumId w:val="200"/>
  </w:num>
  <w:num w:numId="200">
    <w:abstractNumId w:val="199"/>
  </w: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entury Gothic" w:hAnsi="Century Gothic" w:eastAsia="Century Gothic" w:cs="Century Gothic"/>
      <w:lang w:val="en-au" w:eastAsia="en-US" w:bidi="ar-SA"/>
    </w:rPr>
  </w:style>
  <w:style w:styleId="TOC1" w:type="paragraph">
    <w:name w:val="TOC 1"/>
    <w:basedOn w:val="Normal"/>
    <w:uiPriority w:val="1"/>
    <w:qFormat/>
    <w:pPr>
      <w:spacing w:before="136"/>
      <w:ind w:left="1668" w:hanging="371"/>
    </w:pPr>
    <w:rPr>
      <w:rFonts w:ascii="Century Gothic" w:hAnsi="Century Gothic" w:eastAsia="Century Gothic" w:cs="Century Gothic"/>
      <w:i/>
      <w:iCs/>
      <w:sz w:val="20"/>
      <w:szCs w:val="20"/>
      <w:lang w:val="en-au" w:eastAsia="en-US" w:bidi="ar-SA"/>
    </w:rPr>
  </w:style>
  <w:style w:styleId="TOC2" w:type="paragraph">
    <w:name w:val="TOC 2"/>
    <w:basedOn w:val="Normal"/>
    <w:uiPriority w:val="1"/>
    <w:qFormat/>
    <w:pPr>
      <w:spacing w:before="136"/>
      <w:ind w:left="1661"/>
    </w:pPr>
    <w:rPr>
      <w:rFonts w:ascii="Century Gothic" w:hAnsi="Century Gothic" w:eastAsia="Century Gothic" w:cs="Century Gothic"/>
      <w:sz w:val="20"/>
      <w:szCs w:val="20"/>
      <w:lang w:val="en-au" w:eastAsia="en-US" w:bidi="ar-SA"/>
    </w:rPr>
  </w:style>
  <w:style w:styleId="BodyText" w:type="paragraph">
    <w:name w:val="Body Text"/>
    <w:basedOn w:val="Normal"/>
    <w:uiPriority w:val="1"/>
    <w:qFormat/>
    <w:pPr/>
    <w:rPr>
      <w:rFonts w:ascii="Century Gothic" w:hAnsi="Century Gothic" w:eastAsia="Century Gothic" w:cs="Century Gothic"/>
      <w:sz w:val="20"/>
      <w:szCs w:val="20"/>
      <w:lang w:val="en-au" w:eastAsia="en-US" w:bidi="ar-SA"/>
    </w:rPr>
  </w:style>
  <w:style w:styleId="Heading1" w:type="paragraph">
    <w:name w:val="Heading 1"/>
    <w:basedOn w:val="Normal"/>
    <w:uiPriority w:val="1"/>
    <w:qFormat/>
    <w:pPr>
      <w:spacing w:before="100"/>
      <w:ind w:left="860"/>
      <w:outlineLvl w:val="1"/>
    </w:pPr>
    <w:rPr>
      <w:rFonts w:ascii="Century Gothic" w:hAnsi="Century Gothic" w:eastAsia="Century Gothic" w:cs="Century Gothic"/>
      <w:sz w:val="72"/>
      <w:szCs w:val="72"/>
      <w:lang w:val="en-au" w:eastAsia="en-US" w:bidi="ar-SA"/>
    </w:rPr>
  </w:style>
  <w:style w:styleId="Heading2" w:type="paragraph">
    <w:name w:val="Heading 2"/>
    <w:basedOn w:val="Normal"/>
    <w:uiPriority w:val="1"/>
    <w:qFormat/>
    <w:pPr>
      <w:ind w:left="860"/>
      <w:outlineLvl w:val="2"/>
    </w:pPr>
    <w:rPr>
      <w:rFonts w:ascii="Century Gothic" w:hAnsi="Century Gothic" w:eastAsia="Century Gothic" w:cs="Century Gothic"/>
      <w:sz w:val="32"/>
      <w:szCs w:val="32"/>
      <w:lang w:val="en-au" w:eastAsia="en-US" w:bidi="ar-SA"/>
    </w:rPr>
  </w:style>
  <w:style w:styleId="Heading3" w:type="paragraph">
    <w:name w:val="Heading 3"/>
    <w:basedOn w:val="Normal"/>
    <w:uiPriority w:val="1"/>
    <w:qFormat/>
    <w:pPr>
      <w:spacing w:before="1"/>
      <w:ind w:left="1440"/>
      <w:outlineLvl w:val="3"/>
    </w:pPr>
    <w:rPr>
      <w:rFonts w:ascii="Century Gothic" w:hAnsi="Century Gothic" w:eastAsia="Century Gothic" w:cs="Century Gothic"/>
      <w:b/>
      <w:bCs/>
      <w:sz w:val="28"/>
      <w:szCs w:val="28"/>
      <w:lang w:val="en-au" w:eastAsia="en-US" w:bidi="ar-SA"/>
    </w:rPr>
  </w:style>
  <w:style w:styleId="Heading4" w:type="paragraph">
    <w:name w:val="Heading 4"/>
    <w:basedOn w:val="Normal"/>
    <w:uiPriority w:val="1"/>
    <w:qFormat/>
    <w:pPr>
      <w:spacing w:before="78"/>
      <w:ind w:left="1178"/>
      <w:outlineLvl w:val="4"/>
    </w:pPr>
    <w:rPr>
      <w:rFonts w:ascii="Arial Black" w:hAnsi="Arial Black" w:eastAsia="Arial Black" w:cs="Arial Black"/>
      <w:sz w:val="28"/>
      <w:szCs w:val="28"/>
      <w:lang w:val="en-au" w:eastAsia="en-US" w:bidi="ar-SA"/>
    </w:rPr>
  </w:style>
  <w:style w:styleId="Heading5" w:type="paragraph">
    <w:name w:val="Heading 5"/>
    <w:basedOn w:val="Normal"/>
    <w:uiPriority w:val="1"/>
    <w:qFormat/>
    <w:pPr>
      <w:spacing w:before="199"/>
      <w:ind w:left="860"/>
      <w:outlineLvl w:val="5"/>
    </w:pPr>
    <w:rPr>
      <w:rFonts w:ascii="Century Gothic" w:hAnsi="Century Gothic" w:eastAsia="Century Gothic" w:cs="Century Gothic"/>
      <w:sz w:val="24"/>
      <w:szCs w:val="24"/>
      <w:lang w:val="en-au" w:eastAsia="en-US" w:bidi="ar-SA"/>
    </w:rPr>
  </w:style>
  <w:style w:styleId="Heading6" w:type="paragraph">
    <w:name w:val="Heading 6"/>
    <w:basedOn w:val="Normal"/>
    <w:uiPriority w:val="1"/>
    <w:qFormat/>
    <w:pPr>
      <w:spacing w:before="82"/>
      <w:ind w:left="140"/>
      <w:outlineLvl w:val="6"/>
    </w:pPr>
    <w:rPr>
      <w:rFonts w:ascii="Century Gothic" w:hAnsi="Century Gothic" w:eastAsia="Century Gothic" w:cs="Century Gothic"/>
      <w:b/>
      <w:bCs/>
      <w:sz w:val="20"/>
      <w:szCs w:val="20"/>
      <w:lang w:val="en-au" w:eastAsia="en-US" w:bidi="ar-SA"/>
    </w:rPr>
  </w:style>
  <w:style w:styleId="ListParagraph" w:type="paragraph">
    <w:name w:val="List Paragraph"/>
    <w:basedOn w:val="Normal"/>
    <w:uiPriority w:val="1"/>
    <w:qFormat/>
    <w:pPr>
      <w:ind w:left="2580" w:hanging="721"/>
    </w:pPr>
    <w:rPr>
      <w:rFonts w:ascii="Century Gothic" w:hAnsi="Century Gothic" w:eastAsia="Century Gothic" w:cs="Century Gothic"/>
      <w:lang w:val="en-au" w:eastAsia="en-US" w:bidi="ar-SA"/>
    </w:rPr>
  </w:style>
  <w:style w:styleId="TableParagraph" w:type="paragraph">
    <w:name w:val="Table Paragraph"/>
    <w:basedOn w:val="Normal"/>
    <w:uiPriority w:val="1"/>
    <w:qFormat/>
    <w:pPr/>
    <w:rPr>
      <w:rFonts w:ascii="Century Gothic" w:hAnsi="Century Gothic" w:eastAsia="Century Gothic" w:cs="Century Gothic"/>
      <w:lang w:val="en-a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2.jpeg"/><Relationship Id="rId9" Type="http://schemas.openxmlformats.org/officeDocument/2006/relationships/footer" Target="footer3.xml"/><Relationship Id="rId10" Type="http://schemas.openxmlformats.org/officeDocument/2006/relationships/image" Target="media/image3.jpeg"/><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footer" Target="footer6.xml"/><Relationship Id="rId17" Type="http://schemas.openxmlformats.org/officeDocument/2006/relationships/image" Target="media/image7.jpeg"/><Relationship Id="rId18" Type="http://schemas.openxmlformats.org/officeDocument/2006/relationships/footer" Target="footer7.xml"/><Relationship Id="rId19" Type="http://schemas.openxmlformats.org/officeDocument/2006/relationships/footer" Target="footer8.xml"/><Relationship Id="rId20" Type="http://schemas.openxmlformats.org/officeDocument/2006/relationships/footer" Target="footer9.xml"/><Relationship Id="rId21" Type="http://schemas.openxmlformats.org/officeDocument/2006/relationships/footer" Target="footer10.xml"/><Relationship Id="rId22" Type="http://schemas.openxmlformats.org/officeDocument/2006/relationships/footer" Target="footer11.xml"/><Relationship Id="rId23" Type="http://schemas.openxmlformats.org/officeDocument/2006/relationships/footer" Target="footer12.xml"/><Relationship Id="rId24" Type="http://schemas.openxmlformats.org/officeDocument/2006/relationships/footer" Target="footer13.xml"/><Relationship Id="rId25" Type="http://schemas.openxmlformats.org/officeDocument/2006/relationships/footer" Target="footer14.xml"/><Relationship Id="rId26" Type="http://schemas.openxmlformats.org/officeDocument/2006/relationships/footer" Target="footer15.xml"/><Relationship Id="rId27" Type="http://schemas.openxmlformats.org/officeDocument/2006/relationships/footer" Target="footer16.xml"/><Relationship Id="rId28" Type="http://schemas.openxmlformats.org/officeDocument/2006/relationships/footer" Target="footer17.xml"/><Relationship Id="rId29" Type="http://schemas.openxmlformats.org/officeDocument/2006/relationships/footer" Target="footer18.xml"/><Relationship Id="rId30" Type="http://schemas.openxmlformats.org/officeDocument/2006/relationships/footer" Target="footer19.xml"/><Relationship Id="rId31" Type="http://schemas.openxmlformats.org/officeDocument/2006/relationships/footer" Target="footer20.xml"/><Relationship Id="rId32" Type="http://schemas.openxmlformats.org/officeDocument/2006/relationships/image" Target="media/image8.jpeg"/><Relationship Id="rId33" Type="http://schemas.openxmlformats.org/officeDocument/2006/relationships/image" Target="media/image9.jpeg"/><Relationship Id="rId34" Type="http://schemas.openxmlformats.org/officeDocument/2006/relationships/image" Target="media/image10.png"/><Relationship Id="rId35" Type="http://schemas.openxmlformats.org/officeDocument/2006/relationships/image" Target="media/image11.jpeg"/><Relationship Id="rId36" Type="http://schemas.openxmlformats.org/officeDocument/2006/relationships/image" Target="media/image12.png"/><Relationship Id="rId37" Type="http://schemas.openxmlformats.org/officeDocument/2006/relationships/footer" Target="footer21.xml"/><Relationship Id="rId38" Type="http://schemas.openxmlformats.org/officeDocument/2006/relationships/hyperlink" Target="mailto:info@healthpolicy.com.au" TargetMode="External"/><Relationship Id="rId39" Type="http://schemas.openxmlformats.org/officeDocument/2006/relationships/hyperlink" Target="mailto:ethics@health.gov.au" TargetMode="External"/><Relationship Id="rId40" Type="http://schemas.openxmlformats.org/officeDocument/2006/relationships/hyperlink" Target="mailto:healthcarehomes@health.gov.au" TargetMode="External"/><Relationship Id="rId41" Type="http://schemas.openxmlformats.org/officeDocument/2006/relationships/image" Target="media/image13.png"/><Relationship Id="rId42" Type="http://schemas.openxmlformats.org/officeDocument/2006/relationships/footer" Target="footer22.xml"/><Relationship Id="rId43" Type="http://schemas.openxmlformats.org/officeDocument/2006/relationships/image" Target="media/image14.png"/><Relationship Id="rId44" Type="http://schemas.openxmlformats.org/officeDocument/2006/relationships/footer" Target="footer23.xml"/><Relationship Id="rId45" Type="http://schemas.openxmlformats.org/officeDocument/2006/relationships/footer" Target="footer24.xml"/><Relationship Id="rId46" Type="http://schemas.openxmlformats.org/officeDocument/2006/relationships/footer" Target="footer25.xml"/><Relationship Id="rId47" Type="http://schemas.openxmlformats.org/officeDocument/2006/relationships/footer" Target="footer26.xml"/><Relationship Id="rId48" Type="http://schemas.openxmlformats.org/officeDocument/2006/relationships/footer" Target="footer27.xml"/><Relationship Id="rId49" Type="http://schemas.openxmlformats.org/officeDocument/2006/relationships/footer" Target="footer28.xml"/><Relationship Id="rId50" Type="http://schemas.openxmlformats.org/officeDocument/2006/relationships/footer" Target="footer29.xml"/><Relationship Id="rId51" Type="http://schemas.openxmlformats.org/officeDocument/2006/relationships/footer" Target="footer30.xml"/><Relationship Id="rId52" Type="http://schemas.openxmlformats.org/officeDocument/2006/relationships/hyperlink" Target="mailto:ethics@act.gov.au" TargetMode="External"/><Relationship Id="rId53" Type="http://schemas.openxmlformats.org/officeDocument/2006/relationships/footer" Target="footer31.xml"/><Relationship Id="rId54" Type="http://schemas.openxmlformats.org/officeDocument/2006/relationships/footer" Target="footer32.xml"/><Relationship Id="rId55" Type="http://schemas.openxmlformats.org/officeDocument/2006/relationships/footer" Target="footer33.xml"/><Relationship Id="rId56" Type="http://schemas.openxmlformats.org/officeDocument/2006/relationships/image" Target="media/image15.jpeg"/><Relationship Id="rId57" Type="http://schemas.openxmlformats.org/officeDocument/2006/relationships/footer" Target="footer34.xml"/><Relationship Id="rId58" Type="http://schemas.openxmlformats.org/officeDocument/2006/relationships/footer" Target="footer35.xml"/><Relationship Id="rId59" Type="http://schemas.openxmlformats.org/officeDocument/2006/relationships/footer" Target="footer36.xml"/><Relationship Id="rId60" Type="http://schemas.openxmlformats.org/officeDocument/2006/relationships/footer" Target="footer37.xml"/><Relationship Id="rId61" Type="http://schemas.openxmlformats.org/officeDocument/2006/relationships/hyperlink" Target="mailto:jpearse@healthpolicy.com.au" TargetMode="External"/><Relationship Id="rId62" Type="http://schemas.openxmlformats.org/officeDocument/2006/relationships/hyperlink" Target="http://www.health.gov.au/internet/main/publishing.nsf/content/health-care-homes" TargetMode="External"/><Relationship Id="rId63" Type="http://schemas.openxmlformats.org/officeDocument/2006/relationships/footer" Target="footer38.xml"/><Relationship Id="rId64" Type="http://schemas.openxmlformats.org/officeDocument/2006/relationships/footer" Target="footer39.xml"/><Relationship Id="rId65" Type="http://schemas.openxmlformats.org/officeDocument/2006/relationships/footer" Target="footer40.xml"/><Relationship Id="rId6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 Manager</dc:creator>
  <dcterms:created xsi:type="dcterms:W3CDTF">2022-02-17T01:59:05Z</dcterms:created>
  <dcterms:modified xsi:type="dcterms:W3CDTF">2022-02-17T01:59:05Z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2019-09-23T00:00:00Z</vt:filetime>
  </property>
  <property fmtid="{D5CDD505-2E9C-101B-9397-08002B2CF9AE}" pid="3" name="Creator">
    <vt:lpwstr>Microsoft® Word for Office 365</vt:lpwstr>
  </property>
  <property fmtid="{D5CDD505-2E9C-101B-9397-08002B2CF9AE}" pid="4" name="LastSaved">
    <vt:filetime>2022-02-17T00:00:00Z</vt:filetime>
  </property>
</Properties>
</file>